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14.xml" ContentType="application/vnd.openxmlformats-officedocument.wordprocessingml.header+xml"/>
  <Default Extension="jpeg" ContentType="image/jpeg"/>
  <Default Extension="wmf" ContentType="image/x-wmf"/>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BB3" w:rsidRDefault="00184BB3" w:rsidP="00184BB3">
      <w:pPr>
        <w:ind w:firstLine="0"/>
        <w:jc w:val="center"/>
        <w:rPr>
          <w:rFonts w:cs="Arial"/>
          <w:sz w:val="40"/>
          <w:szCs w:val="40"/>
        </w:rPr>
      </w:pPr>
    </w:p>
    <w:p w:rsidR="00184BB3" w:rsidRDefault="00184BB3" w:rsidP="00184BB3">
      <w:pPr>
        <w:ind w:firstLine="0"/>
        <w:jc w:val="center"/>
        <w:rPr>
          <w:rFonts w:cs="Arial"/>
          <w:sz w:val="40"/>
          <w:szCs w:val="40"/>
        </w:rPr>
      </w:pPr>
    </w:p>
    <w:p w:rsidR="00184BB3" w:rsidRDefault="00184BB3" w:rsidP="00184BB3">
      <w:pPr>
        <w:ind w:firstLine="0"/>
        <w:jc w:val="center"/>
        <w:rPr>
          <w:rFonts w:cs="Arial"/>
          <w:sz w:val="40"/>
          <w:szCs w:val="40"/>
        </w:rPr>
      </w:pPr>
    </w:p>
    <w:p w:rsidR="00184BB3" w:rsidRPr="00520EFD" w:rsidRDefault="00184BB3" w:rsidP="00184BB3">
      <w:pPr>
        <w:ind w:firstLine="0"/>
        <w:jc w:val="center"/>
        <w:rPr>
          <w:rFonts w:cs="Arial"/>
          <w:sz w:val="24"/>
        </w:rPr>
      </w:pPr>
      <w:r w:rsidRPr="00520EFD">
        <w:rPr>
          <w:rFonts w:cs="Arial"/>
          <w:sz w:val="24"/>
        </w:rPr>
        <w:t>Siefkes — Stil als Zeichenprozess</w:t>
      </w:r>
    </w:p>
    <w:p w:rsidR="00184BB3" w:rsidRDefault="00184BB3">
      <w:pPr>
        <w:tabs>
          <w:tab w:val="clear" w:pos="397"/>
          <w:tab w:val="clear" w:pos="567"/>
          <w:tab w:val="clear" w:pos="851"/>
          <w:tab w:val="clear" w:pos="1134"/>
          <w:tab w:val="clear" w:pos="1418"/>
        </w:tabs>
        <w:ind w:firstLine="0"/>
        <w:jc w:val="left"/>
        <w:rPr>
          <w:rFonts w:cs="Arial"/>
          <w:sz w:val="40"/>
          <w:szCs w:val="40"/>
        </w:rPr>
      </w:pPr>
      <w:r>
        <w:rPr>
          <w:rFonts w:cs="Arial"/>
          <w:sz w:val="40"/>
          <w:szCs w:val="40"/>
        </w:rPr>
        <w:br w:type="page"/>
      </w:r>
    </w:p>
    <w:p w:rsidR="00184BB3" w:rsidRDefault="00184BB3">
      <w:pPr>
        <w:tabs>
          <w:tab w:val="clear" w:pos="397"/>
          <w:tab w:val="clear" w:pos="567"/>
          <w:tab w:val="clear" w:pos="851"/>
          <w:tab w:val="clear" w:pos="1134"/>
          <w:tab w:val="clear" w:pos="1418"/>
        </w:tabs>
        <w:ind w:firstLine="0"/>
        <w:jc w:val="left"/>
        <w:rPr>
          <w:rFonts w:cs="Arial"/>
          <w:sz w:val="40"/>
          <w:szCs w:val="40"/>
        </w:rPr>
      </w:pPr>
      <w:r>
        <w:rPr>
          <w:rFonts w:cs="Arial"/>
          <w:sz w:val="40"/>
          <w:szCs w:val="40"/>
        </w:rPr>
        <w:lastRenderedPageBreak/>
        <w:br w:type="page"/>
      </w:r>
    </w:p>
    <w:p w:rsidR="00F04850" w:rsidRDefault="00F04850" w:rsidP="00F04850">
      <w:pPr>
        <w:ind w:firstLine="0"/>
        <w:jc w:val="center"/>
        <w:rPr>
          <w:rFonts w:cs="Arial"/>
          <w:sz w:val="40"/>
          <w:szCs w:val="40"/>
        </w:rPr>
      </w:pPr>
    </w:p>
    <w:p w:rsidR="00F04850" w:rsidRDefault="00F04850" w:rsidP="00F04850">
      <w:pPr>
        <w:ind w:firstLine="0"/>
        <w:jc w:val="center"/>
        <w:rPr>
          <w:rFonts w:cs="Arial"/>
          <w:sz w:val="40"/>
          <w:szCs w:val="40"/>
        </w:rPr>
      </w:pPr>
    </w:p>
    <w:p w:rsidR="00F04850" w:rsidRDefault="00F04850" w:rsidP="00F04850">
      <w:pPr>
        <w:ind w:firstLine="0"/>
        <w:jc w:val="center"/>
        <w:rPr>
          <w:rFonts w:cs="Arial"/>
          <w:sz w:val="40"/>
          <w:szCs w:val="40"/>
        </w:rPr>
      </w:pPr>
    </w:p>
    <w:p w:rsidR="00F04850" w:rsidRPr="00520EFD" w:rsidRDefault="00F04850" w:rsidP="00520EFD">
      <w:pPr>
        <w:ind w:firstLine="0"/>
        <w:jc w:val="center"/>
        <w:rPr>
          <w:rFonts w:cs="Arial"/>
          <w:sz w:val="28"/>
          <w:szCs w:val="28"/>
        </w:rPr>
      </w:pPr>
      <w:r w:rsidRPr="00520EFD">
        <w:rPr>
          <w:rFonts w:cs="Arial"/>
          <w:sz w:val="28"/>
          <w:szCs w:val="28"/>
        </w:rPr>
        <w:t>Martin Siefkes</w:t>
      </w:r>
    </w:p>
    <w:p w:rsidR="00F04850" w:rsidRDefault="00F04850" w:rsidP="00F04850">
      <w:pPr>
        <w:ind w:firstLine="0"/>
        <w:jc w:val="center"/>
        <w:rPr>
          <w:rFonts w:cs="Arial"/>
        </w:rPr>
      </w:pPr>
    </w:p>
    <w:p w:rsidR="00520EFD" w:rsidRPr="008E4274" w:rsidRDefault="00520EFD" w:rsidP="00F04850">
      <w:pPr>
        <w:ind w:firstLine="0"/>
        <w:jc w:val="center"/>
        <w:rPr>
          <w:rFonts w:cs="Arial"/>
        </w:rPr>
      </w:pPr>
    </w:p>
    <w:p w:rsidR="00F04850" w:rsidRPr="00D2289B" w:rsidRDefault="00F04850" w:rsidP="00F04850">
      <w:pPr>
        <w:ind w:firstLine="0"/>
        <w:jc w:val="center"/>
        <w:rPr>
          <w:rFonts w:cs="Arial"/>
          <w:sz w:val="48"/>
          <w:szCs w:val="48"/>
        </w:rPr>
      </w:pPr>
      <w:r w:rsidRPr="00D2289B">
        <w:rPr>
          <w:rFonts w:cs="Arial"/>
          <w:sz w:val="48"/>
          <w:szCs w:val="48"/>
        </w:rPr>
        <w:t>Stil als Zeichenprozess</w:t>
      </w:r>
    </w:p>
    <w:p w:rsidR="00F04850" w:rsidRDefault="00F04850" w:rsidP="00F04850">
      <w:pPr>
        <w:ind w:firstLine="0"/>
        <w:jc w:val="center"/>
        <w:rPr>
          <w:rFonts w:cs="Arial"/>
          <w:sz w:val="28"/>
          <w:szCs w:val="28"/>
        </w:rPr>
      </w:pPr>
    </w:p>
    <w:p w:rsidR="007D6C07" w:rsidRPr="003613A4" w:rsidRDefault="00F04850" w:rsidP="003613A4">
      <w:pPr>
        <w:ind w:firstLine="0"/>
        <w:jc w:val="center"/>
        <w:rPr>
          <w:rFonts w:cs="Arial"/>
          <w:sz w:val="28"/>
          <w:szCs w:val="28"/>
        </w:rPr>
      </w:pPr>
      <w:r w:rsidRPr="00520EFD">
        <w:rPr>
          <w:rFonts w:cs="Arial"/>
          <w:sz w:val="28"/>
          <w:szCs w:val="28"/>
        </w:rPr>
        <w:t>Wie Variation bei Verhalten, Artefakten</w:t>
      </w:r>
      <w:r w:rsidR="00E057B1" w:rsidRPr="00520EFD">
        <w:rPr>
          <w:rFonts w:cs="Arial"/>
          <w:sz w:val="28"/>
          <w:szCs w:val="28"/>
        </w:rPr>
        <w:br/>
      </w:r>
      <w:r w:rsidRPr="00520EFD">
        <w:rPr>
          <w:rFonts w:cs="Arial"/>
          <w:sz w:val="28"/>
          <w:szCs w:val="28"/>
        </w:rPr>
        <w:t>und Texten Information erzeugt</w:t>
      </w:r>
    </w:p>
    <w:p w:rsidR="002C093D" w:rsidRDefault="009B77F5" w:rsidP="002C093D">
      <w:pPr>
        <w:tabs>
          <w:tab w:val="clear" w:pos="567"/>
          <w:tab w:val="clear" w:pos="851"/>
          <w:tab w:val="clear" w:pos="1134"/>
          <w:tab w:val="clear" w:pos="1418"/>
        </w:tabs>
        <w:jc w:val="left"/>
      </w:pPr>
      <w:r>
        <w:br w:type="page"/>
      </w:r>
    </w:p>
    <w:p w:rsidR="00BF5AA5" w:rsidRPr="0029309E" w:rsidRDefault="00BF5AA5" w:rsidP="00BF5AA5">
      <w:pPr>
        <w:pStyle w:val="Text"/>
        <w:ind w:firstLine="0"/>
        <w:jc w:val="center"/>
        <w:rPr>
          <w:sz w:val="18"/>
          <w:szCs w:val="18"/>
        </w:rPr>
      </w:pPr>
      <w:r w:rsidRPr="0029309E">
        <w:rPr>
          <w:sz w:val="18"/>
          <w:szCs w:val="18"/>
        </w:rPr>
        <w:lastRenderedPageBreak/>
        <w:t xml:space="preserve">Dieses Buch ist als </w:t>
      </w:r>
      <w:r w:rsidR="0029309E">
        <w:rPr>
          <w:sz w:val="18"/>
          <w:szCs w:val="18"/>
        </w:rPr>
        <w:t xml:space="preserve">Printversion </w:t>
      </w:r>
      <w:r w:rsidRPr="0029309E">
        <w:rPr>
          <w:sz w:val="18"/>
          <w:szCs w:val="18"/>
        </w:rPr>
        <w:t>beim Verlag Königshausen &amp; Neumann erhältlich</w:t>
      </w:r>
    </w:p>
    <w:p w:rsidR="0029309E" w:rsidRDefault="0029309E" w:rsidP="00BF5AA5">
      <w:pPr>
        <w:pStyle w:val="Text"/>
        <w:ind w:firstLine="0"/>
        <w:jc w:val="center"/>
        <w:rPr>
          <w:rFonts w:eastAsia="Times New Roman" w:cs="OriginalGaramondBT-Roman"/>
          <w:sz w:val="18"/>
          <w:szCs w:val="18"/>
        </w:rPr>
      </w:pPr>
    </w:p>
    <w:p w:rsidR="00BF5AA5" w:rsidRPr="0029309E" w:rsidRDefault="0029309E" w:rsidP="00BF5AA5">
      <w:pPr>
        <w:pStyle w:val="Text"/>
        <w:ind w:firstLine="0"/>
        <w:jc w:val="center"/>
        <w:rPr>
          <w:sz w:val="18"/>
          <w:szCs w:val="18"/>
        </w:rPr>
      </w:pPr>
      <w:r w:rsidRPr="0029309E">
        <w:rPr>
          <w:rFonts w:eastAsia="Times New Roman" w:cs="OriginalGaramondBT-Roman"/>
          <w:sz w:val="18"/>
          <w:szCs w:val="18"/>
        </w:rPr>
        <w:t>www.koenigshausen-neumann.de</w:t>
      </w:r>
    </w:p>
    <w:p w:rsidR="00BF5AA5" w:rsidRPr="0029309E" w:rsidRDefault="00BF5AA5" w:rsidP="00BF5AA5">
      <w:pPr>
        <w:pStyle w:val="Text"/>
        <w:ind w:firstLine="0"/>
        <w:jc w:val="center"/>
        <w:rPr>
          <w:sz w:val="18"/>
          <w:szCs w:val="18"/>
        </w:rPr>
      </w:pPr>
    </w:p>
    <w:p w:rsidR="002C093D" w:rsidRDefault="002C093D" w:rsidP="000B67C5">
      <w:pPr>
        <w:tabs>
          <w:tab w:val="clear" w:pos="567"/>
          <w:tab w:val="clear" w:pos="851"/>
          <w:tab w:val="clear" w:pos="1134"/>
          <w:tab w:val="clear" w:pos="1418"/>
        </w:tabs>
        <w:ind w:firstLine="0"/>
        <w:jc w:val="left"/>
      </w:pPr>
    </w:p>
    <w:p w:rsidR="0029309E" w:rsidRDefault="0029309E" w:rsidP="0029309E">
      <w:pPr>
        <w:pStyle w:val="Text"/>
        <w:ind w:left="454" w:hanging="454"/>
        <w:jc w:val="center"/>
      </w:pPr>
      <w:r>
        <w:rPr>
          <w:sz w:val="18"/>
          <w:szCs w:val="18"/>
        </w:rPr>
        <w:t>Weitere Informationen zum Verfasser unter www.siefkes.de</w:t>
      </w:r>
    </w:p>
    <w:p w:rsidR="002C093D" w:rsidRDefault="002C093D" w:rsidP="00616C82">
      <w:pPr>
        <w:tabs>
          <w:tab w:val="clear" w:pos="567"/>
          <w:tab w:val="clear" w:pos="851"/>
          <w:tab w:val="clear" w:pos="1134"/>
          <w:tab w:val="clear" w:pos="1418"/>
        </w:tabs>
        <w:ind w:firstLine="0"/>
        <w:jc w:val="left"/>
      </w:pPr>
    </w:p>
    <w:p w:rsidR="002F0FCD" w:rsidRDefault="002F0FC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2C093D" w:rsidRDefault="002C093D" w:rsidP="00616C82">
      <w:pPr>
        <w:tabs>
          <w:tab w:val="clear" w:pos="567"/>
          <w:tab w:val="clear" w:pos="851"/>
          <w:tab w:val="clear" w:pos="1134"/>
          <w:tab w:val="clear" w:pos="1418"/>
        </w:tabs>
        <w:ind w:firstLine="0"/>
        <w:jc w:val="left"/>
      </w:pPr>
    </w:p>
    <w:p w:rsidR="00B3358B" w:rsidRDefault="00B3358B" w:rsidP="00616C82">
      <w:pPr>
        <w:tabs>
          <w:tab w:val="clear" w:pos="567"/>
          <w:tab w:val="clear" w:pos="851"/>
          <w:tab w:val="clear" w:pos="1134"/>
          <w:tab w:val="clear" w:pos="1418"/>
        </w:tabs>
        <w:ind w:firstLine="0"/>
        <w:jc w:val="left"/>
      </w:pPr>
    </w:p>
    <w:p w:rsidR="00B3358B" w:rsidRDefault="00B3358B" w:rsidP="00616C82">
      <w:pPr>
        <w:tabs>
          <w:tab w:val="clear" w:pos="567"/>
          <w:tab w:val="clear" w:pos="851"/>
          <w:tab w:val="clear" w:pos="1134"/>
          <w:tab w:val="clear" w:pos="1418"/>
        </w:tabs>
        <w:ind w:firstLine="0"/>
        <w:jc w:val="left"/>
      </w:pPr>
    </w:p>
    <w:p w:rsidR="00B3358B" w:rsidRDefault="00B3358B" w:rsidP="00616C82">
      <w:pPr>
        <w:tabs>
          <w:tab w:val="clear" w:pos="567"/>
          <w:tab w:val="clear" w:pos="851"/>
          <w:tab w:val="clear" w:pos="1134"/>
          <w:tab w:val="clear" w:pos="1418"/>
        </w:tabs>
        <w:ind w:firstLine="0"/>
        <w:jc w:val="left"/>
      </w:pPr>
    </w:p>
    <w:p w:rsidR="00B3358B" w:rsidRDefault="00B3358B" w:rsidP="00616C82">
      <w:pPr>
        <w:tabs>
          <w:tab w:val="clear" w:pos="567"/>
          <w:tab w:val="clear" w:pos="851"/>
          <w:tab w:val="clear" w:pos="1134"/>
          <w:tab w:val="clear" w:pos="1418"/>
        </w:tabs>
        <w:ind w:firstLine="0"/>
        <w:jc w:val="left"/>
      </w:pPr>
    </w:p>
    <w:p w:rsidR="00B3358B" w:rsidRDefault="00B3358B" w:rsidP="00616C82">
      <w:pPr>
        <w:tabs>
          <w:tab w:val="clear" w:pos="567"/>
          <w:tab w:val="clear" w:pos="851"/>
          <w:tab w:val="clear" w:pos="1134"/>
          <w:tab w:val="clear" w:pos="1418"/>
        </w:tabs>
        <w:ind w:firstLine="0"/>
        <w:jc w:val="left"/>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7D6C07" w:rsidRDefault="007D6C07" w:rsidP="007D6C07">
      <w:pPr>
        <w:pStyle w:val="Text"/>
        <w:ind w:firstLine="0"/>
        <w:rPr>
          <w:sz w:val="18"/>
          <w:szCs w:val="18"/>
        </w:rPr>
      </w:pPr>
    </w:p>
    <w:p w:rsidR="00B3358B" w:rsidRPr="00656BAB" w:rsidRDefault="00B3358B" w:rsidP="007D6C07">
      <w:pPr>
        <w:pStyle w:val="Text"/>
        <w:ind w:firstLine="0"/>
        <w:rPr>
          <w:sz w:val="18"/>
          <w:szCs w:val="18"/>
        </w:rPr>
      </w:pPr>
      <w:r w:rsidRPr="00656BAB">
        <w:rPr>
          <w:sz w:val="18"/>
          <w:szCs w:val="18"/>
        </w:rPr>
        <w:t>Copyright © 201</w:t>
      </w:r>
      <w:r w:rsidR="007F77E7" w:rsidRPr="00656BAB">
        <w:rPr>
          <w:sz w:val="18"/>
          <w:szCs w:val="18"/>
        </w:rPr>
        <w:t>2</w:t>
      </w:r>
      <w:r w:rsidRPr="00656BAB">
        <w:rPr>
          <w:sz w:val="18"/>
          <w:szCs w:val="18"/>
        </w:rPr>
        <w:t xml:space="preserve"> Martin Siefkes</w:t>
      </w:r>
    </w:p>
    <w:p w:rsidR="00B3358B" w:rsidRPr="00656BAB" w:rsidRDefault="00B3358B" w:rsidP="007D6C07">
      <w:pPr>
        <w:pStyle w:val="Text"/>
        <w:rPr>
          <w:sz w:val="18"/>
          <w:szCs w:val="18"/>
        </w:rPr>
      </w:pPr>
    </w:p>
    <w:p w:rsidR="00656BAB" w:rsidRPr="00656BAB" w:rsidRDefault="0013399D" w:rsidP="00656BAB">
      <w:pPr>
        <w:ind w:firstLine="0"/>
        <w:rPr>
          <w:sz w:val="18"/>
          <w:szCs w:val="18"/>
        </w:rPr>
      </w:pPr>
      <w:r w:rsidRPr="00656BAB">
        <w:rPr>
          <w:sz w:val="18"/>
          <w:szCs w:val="18"/>
        </w:rPr>
        <w:t>Dieses Werk wird unter den Bedingungen der „Creative Commons Namensnennung-Weitergabe unter gleichen Bedingungen Deutschland“-Lizenz (abgekürzt „CC BY-SA“) in der</w:t>
      </w:r>
      <w:r>
        <w:rPr>
          <w:sz w:val="18"/>
          <w:szCs w:val="18"/>
        </w:rPr>
        <w:t xml:space="preserve"> Version 3.0 veröffentlicht. Der</w:t>
      </w:r>
      <w:r w:rsidRPr="00656BAB">
        <w:rPr>
          <w:sz w:val="18"/>
          <w:szCs w:val="18"/>
        </w:rPr>
        <w:t xml:space="preserve"> Text der Lizenz </w:t>
      </w:r>
      <w:r>
        <w:rPr>
          <w:sz w:val="18"/>
          <w:szCs w:val="18"/>
        </w:rPr>
        <w:t xml:space="preserve">ist </w:t>
      </w:r>
      <w:r w:rsidRPr="00656BAB">
        <w:rPr>
          <w:sz w:val="18"/>
          <w:szCs w:val="18"/>
        </w:rPr>
        <w:t xml:space="preserve">unter der </w:t>
      </w:r>
      <w:r>
        <w:rPr>
          <w:sz w:val="18"/>
          <w:szCs w:val="18"/>
        </w:rPr>
        <w:t xml:space="preserve">Internetadresse </w:t>
      </w:r>
      <w:r w:rsidRPr="00656BAB">
        <w:rPr>
          <w:sz w:val="18"/>
          <w:szCs w:val="18"/>
        </w:rPr>
        <w:t>http://creativecommons.org/licenses/by-sa/3.0/de</w:t>
      </w:r>
      <w:r w:rsidRPr="008650ED">
        <w:rPr>
          <w:sz w:val="18"/>
          <w:szCs w:val="18"/>
        </w:rPr>
        <w:t xml:space="preserve"> </w:t>
      </w:r>
      <w:r>
        <w:rPr>
          <w:sz w:val="18"/>
          <w:szCs w:val="18"/>
        </w:rPr>
        <w:t>erhältlich</w:t>
      </w:r>
      <w:r w:rsidRPr="00656BAB">
        <w:rPr>
          <w:sz w:val="18"/>
          <w:szCs w:val="18"/>
        </w:rPr>
        <w:t>.</w:t>
      </w:r>
    </w:p>
    <w:p w:rsidR="00656BAB" w:rsidRPr="00656BAB" w:rsidRDefault="00656BAB" w:rsidP="00656BAB">
      <w:pPr>
        <w:rPr>
          <w:sz w:val="18"/>
          <w:szCs w:val="18"/>
        </w:rPr>
      </w:pPr>
    </w:p>
    <w:p w:rsidR="00656BAB" w:rsidRPr="00656BAB" w:rsidRDefault="00656BAB" w:rsidP="00656BAB">
      <w:pPr>
        <w:ind w:firstLine="0"/>
        <w:rPr>
          <w:sz w:val="18"/>
          <w:szCs w:val="18"/>
        </w:rPr>
      </w:pPr>
      <w:r w:rsidRPr="00656BAB">
        <w:rPr>
          <w:sz w:val="18"/>
          <w:szCs w:val="18"/>
        </w:rPr>
        <w:t xml:space="preserve">Für die Bilder gelten gesonderte Lizenzbedingungen; siehe Bildnachweis auf S. </w:t>
      </w:r>
      <w:r w:rsidR="005D7996" w:rsidRPr="00656BAB">
        <w:rPr>
          <w:sz w:val="18"/>
          <w:szCs w:val="18"/>
        </w:rPr>
        <w:fldChar w:fldCharType="begin"/>
      </w:r>
      <w:r w:rsidRPr="00656BAB">
        <w:rPr>
          <w:sz w:val="18"/>
          <w:szCs w:val="18"/>
        </w:rPr>
        <w:instrText xml:space="preserve"> PAGEREF Bildnachweis \h </w:instrText>
      </w:r>
      <w:r w:rsidR="005D7996" w:rsidRPr="00656BAB">
        <w:rPr>
          <w:sz w:val="18"/>
          <w:szCs w:val="18"/>
        </w:rPr>
      </w:r>
      <w:r w:rsidR="005D7996" w:rsidRPr="00656BAB">
        <w:rPr>
          <w:sz w:val="18"/>
          <w:szCs w:val="18"/>
        </w:rPr>
        <w:fldChar w:fldCharType="separate"/>
      </w:r>
      <w:r w:rsidR="001231D3">
        <w:rPr>
          <w:noProof/>
          <w:sz w:val="18"/>
          <w:szCs w:val="18"/>
        </w:rPr>
        <w:t>461</w:t>
      </w:r>
      <w:r w:rsidR="005D7996" w:rsidRPr="00656BAB">
        <w:rPr>
          <w:sz w:val="18"/>
          <w:szCs w:val="18"/>
        </w:rPr>
        <w:fldChar w:fldCharType="end"/>
      </w:r>
      <w:r w:rsidRPr="00656BAB">
        <w:rPr>
          <w:sz w:val="18"/>
          <w:szCs w:val="18"/>
        </w:rPr>
        <w:t>.</w:t>
      </w:r>
    </w:p>
    <w:p w:rsidR="00D7702F" w:rsidRPr="007D6C07" w:rsidRDefault="00D7702F" w:rsidP="007D6C07">
      <w:pPr>
        <w:pStyle w:val="Text"/>
        <w:ind w:firstLine="0"/>
        <w:rPr>
          <w:sz w:val="18"/>
          <w:szCs w:val="18"/>
        </w:rPr>
      </w:pPr>
    </w:p>
    <w:p w:rsidR="002D1371" w:rsidRPr="007D6C07" w:rsidRDefault="002D1371" w:rsidP="007D6C07">
      <w:pPr>
        <w:pStyle w:val="Text"/>
        <w:rPr>
          <w:sz w:val="18"/>
          <w:szCs w:val="18"/>
        </w:rPr>
      </w:pPr>
    </w:p>
    <w:p w:rsidR="002C093D" w:rsidRDefault="007D6C07" w:rsidP="007D6C07">
      <w:pPr>
        <w:pStyle w:val="Text"/>
        <w:ind w:firstLine="0"/>
      </w:pPr>
      <w:r w:rsidRPr="007D6C07">
        <w:rPr>
          <w:sz w:val="18"/>
          <w:szCs w:val="18"/>
        </w:rPr>
        <w:t>Zugl.: Berlin, Technische Universität, Diss., 2010. (D 83)</w:t>
      </w:r>
    </w:p>
    <w:p w:rsidR="008B1FB5" w:rsidRDefault="008B1FB5" w:rsidP="00857BF9">
      <w:pPr>
        <w:pStyle w:val="Text"/>
        <w:ind w:left="454" w:hanging="454"/>
      </w:pPr>
    </w:p>
    <w:p w:rsidR="008B1FB5" w:rsidRDefault="008B1FB5" w:rsidP="00857BF9">
      <w:pPr>
        <w:pStyle w:val="Text"/>
        <w:ind w:left="454" w:hanging="454"/>
      </w:pPr>
    </w:p>
    <w:p w:rsidR="000D58A4" w:rsidRDefault="000D58A4" w:rsidP="00857BF9">
      <w:pPr>
        <w:pStyle w:val="Text"/>
        <w:ind w:left="454" w:hanging="454"/>
      </w:pPr>
    </w:p>
    <w:p w:rsidR="000D58A4" w:rsidRDefault="000D58A4" w:rsidP="00857BF9">
      <w:pPr>
        <w:pStyle w:val="Text"/>
        <w:ind w:left="454" w:hanging="454"/>
      </w:pPr>
    </w:p>
    <w:p w:rsidR="009A25E7" w:rsidRDefault="009A25E7" w:rsidP="00857BF9">
      <w:pPr>
        <w:pStyle w:val="Text"/>
        <w:ind w:left="454" w:hanging="454"/>
      </w:pPr>
    </w:p>
    <w:p w:rsidR="009A25E7" w:rsidRDefault="009A25E7" w:rsidP="00857BF9">
      <w:pPr>
        <w:pStyle w:val="Text"/>
        <w:ind w:left="454" w:hanging="454"/>
      </w:pPr>
    </w:p>
    <w:p w:rsidR="008B1FB5" w:rsidRDefault="008B1FB5" w:rsidP="00857BF9">
      <w:pPr>
        <w:pStyle w:val="Text"/>
        <w:ind w:left="454" w:hanging="454"/>
      </w:pPr>
    </w:p>
    <w:p w:rsidR="008B1FB5" w:rsidRPr="008B1FB5" w:rsidRDefault="008B1FB5" w:rsidP="000B67C5">
      <w:pPr>
        <w:pStyle w:val="Text"/>
        <w:ind w:firstLine="0"/>
        <w:jc w:val="center"/>
        <w:rPr>
          <w:i/>
        </w:rPr>
      </w:pPr>
      <w:r w:rsidRPr="008B1FB5">
        <w:rPr>
          <w:i/>
        </w:rPr>
        <w:t>Meinen Eltern</w:t>
      </w:r>
    </w:p>
    <w:p w:rsidR="008B1FB5" w:rsidRDefault="008B1FB5" w:rsidP="000B67C5">
      <w:pPr>
        <w:pStyle w:val="Text"/>
        <w:ind w:firstLine="0"/>
        <w:jc w:val="center"/>
      </w:pPr>
    </w:p>
    <w:p w:rsidR="008B1FB5" w:rsidRDefault="008B1FB5" w:rsidP="000B67C5">
      <w:pPr>
        <w:pStyle w:val="Text"/>
        <w:ind w:firstLine="0"/>
        <w:jc w:val="center"/>
      </w:pPr>
      <w:r>
        <w:t>Uta Siefkes geb. Schlaich</w:t>
      </w:r>
    </w:p>
    <w:p w:rsidR="008B1FB5" w:rsidRDefault="00512FC8" w:rsidP="000B67C5">
      <w:pPr>
        <w:pStyle w:val="Text"/>
        <w:ind w:firstLine="0"/>
        <w:jc w:val="center"/>
      </w:pPr>
      <w:r>
        <w:t>(1940–2002</w:t>
      </w:r>
      <w:r w:rsidR="008B1FB5">
        <w:t>)</w:t>
      </w:r>
    </w:p>
    <w:p w:rsidR="008B1FB5" w:rsidRDefault="008B1FB5" w:rsidP="000B67C5">
      <w:pPr>
        <w:pStyle w:val="Text"/>
        <w:ind w:firstLine="0"/>
        <w:jc w:val="center"/>
      </w:pPr>
    </w:p>
    <w:p w:rsidR="008B1FB5" w:rsidRDefault="008B1FB5" w:rsidP="000B67C5">
      <w:pPr>
        <w:pStyle w:val="Text"/>
        <w:ind w:firstLine="0"/>
        <w:jc w:val="center"/>
      </w:pPr>
      <w:r>
        <w:t>Harm Siefkes</w:t>
      </w:r>
    </w:p>
    <w:p w:rsidR="00C146F0" w:rsidRDefault="008B1FB5" w:rsidP="0001363F">
      <w:pPr>
        <w:tabs>
          <w:tab w:val="clear" w:pos="397"/>
          <w:tab w:val="clear" w:pos="567"/>
          <w:tab w:val="clear" w:pos="851"/>
          <w:tab w:val="clear" w:pos="1134"/>
          <w:tab w:val="clear" w:pos="1418"/>
        </w:tabs>
        <w:ind w:firstLine="0"/>
        <w:jc w:val="center"/>
        <w:sectPr w:rsidR="00C146F0" w:rsidSect="00EF517E">
          <w:footerReference w:type="even" r:id="rId8"/>
          <w:footerReference w:type="default" r:id="rId9"/>
          <w:type w:val="continuous"/>
          <w:pgSz w:w="8789" w:h="13325" w:code="9"/>
          <w:pgMar w:top="1134" w:right="851" w:bottom="1418" w:left="1134" w:header="567" w:footer="680" w:gutter="0"/>
          <w:pgNumType w:start="1"/>
          <w:cols w:space="720"/>
          <w:docGrid w:linePitch="360"/>
        </w:sectPr>
      </w:pPr>
      <w:r>
        <w:t>(1936–1989)</w:t>
      </w:r>
      <w:r w:rsidR="006E7E97">
        <w:br w:type="page"/>
      </w:r>
      <w:r w:rsidR="007924FE">
        <w:lastRenderedPageBreak/>
        <w:br w:type="page"/>
      </w:r>
    </w:p>
    <w:p w:rsidR="00FB6E53" w:rsidRDefault="00382BB2" w:rsidP="00C146F0">
      <w:pPr>
        <w:pStyle w:val="TitelohneNummer"/>
      </w:pPr>
      <w:bookmarkStart w:id="0" w:name="_Toc325456686"/>
      <w:r w:rsidRPr="00C146F0">
        <w:lastRenderedPageBreak/>
        <w:t>Zusammenfassung</w:t>
      </w:r>
      <w:bookmarkEnd w:id="0"/>
    </w:p>
    <w:p w:rsidR="00FB6E53" w:rsidRDefault="00FB6E53" w:rsidP="00A937B9">
      <w:pPr>
        <w:ind w:firstLine="0"/>
      </w:pPr>
      <w:r>
        <w:t>Stil ist ein Phänomen, das uns täglich in vielen Bereichen begegnet: Bei Artefa</w:t>
      </w:r>
      <w:r>
        <w:t>k</w:t>
      </w:r>
      <w:r>
        <w:t xml:space="preserve">ten und Gebäuden, Sprache und sozialer Interaktion, beim Autofahren und im Sport, beim Verhandeln und Lernen, Argumentieren und Denken gibt es Stile. Gemeinsam ist den entsprechenden Vorgängen, dass </w:t>
      </w:r>
      <w:r w:rsidRPr="00750186">
        <w:rPr>
          <w:i/>
        </w:rPr>
        <w:t>Variation</w:t>
      </w:r>
      <w:r>
        <w:t xml:space="preserve"> bei grundsätzl</w:t>
      </w:r>
      <w:r>
        <w:t>i</w:t>
      </w:r>
      <w:r>
        <w:t xml:space="preserve">cher Vergleichbarkeit existiert und durch die jeweilige Auswahl </w:t>
      </w:r>
      <w:r w:rsidRPr="00750186">
        <w:rPr>
          <w:i/>
        </w:rPr>
        <w:t>Information</w:t>
      </w:r>
      <w:r>
        <w:t xml:space="preserve"> en</w:t>
      </w:r>
      <w:r>
        <w:t>t</w:t>
      </w:r>
      <w:r>
        <w:t>steht: Oft können wir Schlüsse über Herkunftsort und Zweck eines Artefakts oder Texts, über Erfahrungen, Vorlieben und Können des Stilanwenders ziehen; Zuordnung zu Personen, Zeit oder Kultur sind möglich.</w:t>
      </w:r>
    </w:p>
    <w:p w:rsidR="00FB6E53" w:rsidRDefault="00FB6E53" w:rsidP="00FB6E53">
      <w:r>
        <w:t>Die Arbeit entwickelt auf semiotischer Grundlage eine allgemeine Stilthe</w:t>
      </w:r>
      <w:r>
        <w:t>o</w:t>
      </w:r>
      <w:r>
        <w:t>rie</w:t>
      </w:r>
      <w:r w:rsidRPr="002D1200">
        <w:t>.</w:t>
      </w:r>
      <w:r>
        <w:t xml:space="preserve"> Methodisch wird dabei zunächst eine Begriffsexplikation des natürlich</w:t>
      </w:r>
      <w:r w:rsidR="001515DB">
        <w:softHyphen/>
      </w:r>
      <w:r>
        <w:t>sprachlichen Begriffs ‚Stil‘ vorgenommen (Kapitel 2) und diese durch Vergleich mit den semiotisch relevanten Schulen der Stilforschung überprüft (Kapitel 3). Auf dieser Grundlage wird in Kapitel 4 bis 7 ein Modell konstruiert. Dabei we</w:t>
      </w:r>
      <w:r>
        <w:t>r</w:t>
      </w:r>
      <w:r>
        <w:t xml:space="preserve">den zwei miteinander interagierende Zeichenprozesse modelliert, der </w:t>
      </w:r>
      <w:r w:rsidRPr="00B3306F">
        <w:rPr>
          <w:i/>
        </w:rPr>
        <w:t>Merkmal</w:t>
      </w:r>
      <w:r w:rsidRPr="00B3306F">
        <w:rPr>
          <w:i/>
        </w:rPr>
        <w:t>s</w:t>
      </w:r>
      <w:r w:rsidRPr="00B3306F">
        <w:rPr>
          <w:i/>
        </w:rPr>
        <w:t>prozess</w:t>
      </w:r>
      <w:r>
        <w:t xml:space="preserve"> (Kapitel 5) und der </w:t>
      </w:r>
      <w:r w:rsidRPr="00B3306F">
        <w:rPr>
          <w:i/>
        </w:rPr>
        <w:t>Interpretationsprozess</w:t>
      </w:r>
      <w:r>
        <w:t xml:space="preserve"> (Kapitel 7).</w:t>
      </w:r>
    </w:p>
    <w:p w:rsidR="00FB6E53" w:rsidRDefault="00FB6E53" w:rsidP="00FB6E53">
      <w:r>
        <w:t xml:space="preserve">Im Merkmalsprozess wird angelehnt an die strukturalistische Dichotomie </w:t>
      </w:r>
      <w:r w:rsidRPr="004F0390">
        <w:rPr>
          <w:i/>
        </w:rPr>
        <w:t>Paradigma – Syntagma</w:t>
      </w:r>
      <w:r>
        <w:t xml:space="preserve"> dargestellt, wie aus </w:t>
      </w:r>
      <w:r w:rsidRPr="004F0390">
        <w:rPr>
          <w:i/>
        </w:rPr>
        <w:t>Alternativenklassen</w:t>
      </w:r>
      <w:r>
        <w:t xml:space="preserve"> (</w:t>
      </w:r>
      <w:r w:rsidR="005D7996">
        <w:fldChar w:fldCharType="begin"/>
      </w:r>
      <w:r>
        <w:instrText xml:space="preserve"> REF _Ref212029118 \r \h </w:instrText>
      </w:r>
      <w:r w:rsidR="005D7996">
        <w:fldChar w:fldCharType="separate"/>
      </w:r>
      <w:r w:rsidR="001231D3">
        <w:t>4.4</w:t>
      </w:r>
      <w:r w:rsidR="005D7996">
        <w:fldChar w:fldCharType="end"/>
      </w:r>
      <w:r>
        <w:t xml:space="preserve">) die Elemente ausgewählt werden, die eine </w:t>
      </w:r>
      <w:r w:rsidRPr="004F0390">
        <w:rPr>
          <w:i/>
        </w:rPr>
        <w:t>Realisierung</w:t>
      </w:r>
      <w:r>
        <w:t xml:space="preserve"> bilden (</w:t>
      </w:r>
      <w:r w:rsidR="005D7996">
        <w:fldChar w:fldCharType="begin"/>
      </w:r>
      <w:r>
        <w:instrText xml:space="preserve"> REF _Ref212453073 \r \h </w:instrText>
      </w:r>
      <w:r w:rsidR="005D7996">
        <w:fldChar w:fldCharType="separate"/>
      </w:r>
      <w:r w:rsidR="001231D3">
        <w:t>4.5</w:t>
      </w:r>
      <w:r w:rsidR="005D7996">
        <w:fldChar w:fldCharType="end"/>
      </w:r>
      <w:r>
        <w:t xml:space="preserve">). Die Regelmäßigkeiten, die bei diesen Auswahlprozessen auftreten, werden als </w:t>
      </w:r>
      <w:r w:rsidRPr="008039EC">
        <w:rPr>
          <w:i/>
        </w:rPr>
        <w:t>Merkmalsregeln</w:t>
      </w:r>
      <w:r>
        <w:t xml:space="preserve"> modelliert (</w:t>
      </w:r>
      <w:r w:rsidR="005D7996">
        <w:fldChar w:fldCharType="begin"/>
      </w:r>
      <w:r>
        <w:instrText xml:space="preserve"> REF _Ref212124499 \r \h </w:instrText>
      </w:r>
      <w:r w:rsidR="005D7996">
        <w:fldChar w:fldCharType="separate"/>
      </w:r>
      <w:r w:rsidR="001231D3">
        <w:t>5.3</w:t>
      </w:r>
      <w:r w:rsidR="005D7996">
        <w:fldChar w:fldCharType="end"/>
      </w:r>
      <w:r>
        <w:t>), deren Anwendung stilistische Merkmale in der Realisierung erzeugt. Durch die Annahme von Regeln, die bei der Schemaausführung (</w:t>
      </w:r>
      <w:r w:rsidR="005D7996">
        <w:fldChar w:fldCharType="begin"/>
      </w:r>
      <w:r>
        <w:instrText xml:space="preserve"> REF _Ref255458444 \r \h </w:instrText>
      </w:r>
      <w:r w:rsidR="005D7996">
        <w:fldChar w:fldCharType="separate"/>
      </w:r>
      <w:r w:rsidR="001231D3">
        <w:t>5.2</w:t>
      </w:r>
      <w:r w:rsidR="005D7996">
        <w:fldChar w:fldCharType="end"/>
      </w:r>
      <w:r>
        <w:t>) mit Ko</w:t>
      </w:r>
      <w:r>
        <w:t>n</w:t>
      </w:r>
      <w:r>
        <w:t xml:space="preserve">textfaktoren interagieren, wird die Möglichkeit erklärt, aufgrund des Stils </w:t>
      </w:r>
      <w:r w:rsidRPr="00750186">
        <w:rPr>
          <w:i/>
        </w:rPr>
        <w:t>Vo</w:t>
      </w:r>
      <w:r w:rsidRPr="00750186">
        <w:rPr>
          <w:i/>
        </w:rPr>
        <w:t>r</w:t>
      </w:r>
      <w:r w:rsidRPr="00750186">
        <w:rPr>
          <w:i/>
        </w:rPr>
        <w:t>hersagen</w:t>
      </w:r>
      <w:r>
        <w:t xml:space="preserve"> über weitere Realisierungen zu machen oder eine Realisierung einer Person, Gruppe oder Entstehungszeit </w:t>
      </w:r>
      <w:r w:rsidRPr="00B6580A">
        <w:rPr>
          <w:i/>
        </w:rPr>
        <w:t>zuzuordnen</w:t>
      </w:r>
      <w:r>
        <w:t>.</w:t>
      </w:r>
    </w:p>
    <w:p w:rsidR="00963FEB" w:rsidRDefault="00FB6E53" w:rsidP="00FB6E53">
      <w:r>
        <w:t>Merkmalsregeln sind aber bei der Wahrnehmung eines Stils</w:t>
      </w:r>
      <w:r w:rsidRPr="00FF476C">
        <w:t xml:space="preserve"> </w:t>
      </w:r>
      <w:r>
        <w:t>nur der Au</w:t>
      </w:r>
      <w:r>
        <w:t>s</w:t>
      </w:r>
      <w:r>
        <w:t xml:space="preserve">gangspunkt. Auf ihrer Basis ergeben sich in einer </w:t>
      </w:r>
      <w:r>
        <w:rPr>
          <w:i/>
        </w:rPr>
        <w:t>Stili</w:t>
      </w:r>
      <w:r w:rsidRPr="00B6580A">
        <w:rPr>
          <w:i/>
        </w:rPr>
        <w:t>nterpretation</w:t>
      </w:r>
      <w:r>
        <w:t xml:space="preserve"> </w:t>
      </w:r>
      <w:r w:rsidR="00963FEB">
        <w:t>(</w:t>
      </w:r>
      <w:r w:rsidR="005D7996">
        <w:fldChar w:fldCharType="begin"/>
      </w:r>
      <w:r w:rsidR="00963FEB">
        <w:instrText xml:space="preserve"> REF _Ref254352326 \r \h </w:instrText>
      </w:r>
      <w:r w:rsidR="005D7996">
        <w:fldChar w:fldCharType="separate"/>
      </w:r>
      <w:r w:rsidR="001231D3">
        <w:t>6.1</w:t>
      </w:r>
      <w:r w:rsidR="005D7996">
        <w:fldChar w:fldCharType="end"/>
      </w:r>
      <w:r w:rsidR="00963FEB">
        <w:t xml:space="preserve">) </w:t>
      </w:r>
      <w:r>
        <w:t>weitere Informationen, indem mit Hilfe von Hintergrundwissen durch verschiedene Operationen Interpretationsergebnisse erzeugt werden (</w:t>
      </w:r>
      <w:r w:rsidR="005D7996">
        <w:fldChar w:fldCharType="begin"/>
      </w:r>
      <w:r>
        <w:instrText xml:space="preserve"> REF _Ref254352653 \r \h </w:instrText>
      </w:r>
      <w:r w:rsidR="005D7996">
        <w:fldChar w:fldCharType="separate"/>
      </w:r>
      <w:r w:rsidR="001231D3">
        <w:t>6.2</w:t>
      </w:r>
      <w:r w:rsidR="005D7996">
        <w:fldChar w:fldCharType="end"/>
      </w:r>
      <w:r>
        <w:t xml:space="preserve">). Im </w:t>
      </w:r>
      <w:r w:rsidRPr="00B3306F">
        <w:t>Interpretat</w:t>
      </w:r>
      <w:r w:rsidRPr="00B3306F">
        <w:t>i</w:t>
      </w:r>
      <w:r w:rsidRPr="00B3306F">
        <w:t>onsprozess</w:t>
      </w:r>
      <w:r w:rsidR="00963FEB">
        <w:t xml:space="preserve"> (Kapitel 7</w:t>
      </w:r>
      <w:r>
        <w:t xml:space="preserve">) </w:t>
      </w:r>
      <w:r w:rsidR="00963FEB">
        <w:t xml:space="preserve">werden </w:t>
      </w:r>
      <w:r>
        <w:t xml:space="preserve">aus Stilen </w:t>
      </w:r>
      <w:r w:rsidR="00963FEB">
        <w:t>verschiedene Arten von Interpretat</w:t>
      </w:r>
      <w:r w:rsidR="00963FEB">
        <w:t>i</w:t>
      </w:r>
      <w:r w:rsidR="00963FEB">
        <w:t>onsergebnissen gewonnen: Dabei kann es sich um Propositionsannahmen, aber auch um Gefühle und Eindrücke handeln (</w:t>
      </w:r>
      <w:r w:rsidR="005D7996">
        <w:fldChar w:fldCharType="begin"/>
      </w:r>
      <w:r w:rsidR="00963FEB">
        <w:instrText xml:space="preserve"> REF _Ref253668018 \r \h </w:instrText>
      </w:r>
      <w:r w:rsidR="005D7996">
        <w:fldChar w:fldCharType="separate"/>
      </w:r>
      <w:r w:rsidR="001231D3">
        <w:t>6.2.2</w:t>
      </w:r>
      <w:r w:rsidR="005D7996">
        <w:fldChar w:fldCharType="end"/>
      </w:r>
      <w:r w:rsidR="00963FEB">
        <w:t>)</w:t>
      </w:r>
      <w:r>
        <w:t xml:space="preserve">. </w:t>
      </w:r>
      <w:r w:rsidR="00963FEB">
        <w:t>In Interpretationen werden logische Schlussverfahren (Deduktion, Induktion, Abduktion) angewandt; aber auch Assoziationen, die Suche nach Bedeutungen, sowie Gefühle und Eindrücke, die in Reaktion auf einen Stil entstehen, spielen eine Rolle (</w:t>
      </w:r>
      <w:r w:rsidR="005D7996">
        <w:fldChar w:fldCharType="begin"/>
      </w:r>
      <w:r w:rsidR="00963FEB">
        <w:instrText xml:space="preserve"> REF _Ref259795418 \r \h </w:instrText>
      </w:r>
      <w:r w:rsidR="005D7996">
        <w:fldChar w:fldCharType="separate"/>
      </w:r>
      <w:r w:rsidR="001231D3">
        <w:t>6.4</w:t>
      </w:r>
      <w:r w:rsidR="005D7996">
        <w:fldChar w:fldCharType="end"/>
      </w:r>
      <w:r w:rsidR="00963FEB">
        <w:t>).</w:t>
      </w:r>
    </w:p>
    <w:p w:rsidR="00FB6E53" w:rsidRDefault="00FB6E53" w:rsidP="00FB6E53">
      <w:r>
        <w:t xml:space="preserve">Eine Reihe von </w:t>
      </w:r>
      <w:r w:rsidR="00963FEB">
        <w:t xml:space="preserve">Beispielen für </w:t>
      </w:r>
      <w:r>
        <w:t>Interpretationen aus verschiedenen Stilbere</w:t>
      </w:r>
      <w:r>
        <w:t>i</w:t>
      </w:r>
      <w:r>
        <w:t xml:space="preserve">chen wird </w:t>
      </w:r>
      <w:r w:rsidR="00095AC2">
        <w:t xml:space="preserve">nachvollzogen </w:t>
      </w:r>
      <w:r>
        <w:t>(</w:t>
      </w:r>
      <w:r w:rsidR="005D7996">
        <w:fldChar w:fldCharType="begin"/>
      </w:r>
      <w:r>
        <w:instrText xml:space="preserve"> REF _Ref255407192 \r \h </w:instrText>
      </w:r>
      <w:r w:rsidR="005D7996">
        <w:fldChar w:fldCharType="separate"/>
      </w:r>
      <w:r w:rsidR="001231D3">
        <w:t>7.1</w:t>
      </w:r>
      <w:r w:rsidR="005D7996">
        <w:fldChar w:fldCharType="end"/>
      </w:r>
      <w:r>
        <w:t xml:space="preserve">), wobei </w:t>
      </w:r>
      <w:r w:rsidR="00095AC2">
        <w:t xml:space="preserve">demonstriert wird, dass die im </w:t>
      </w:r>
      <w:r w:rsidR="00963FEB">
        <w:t>formalen Modell</w:t>
      </w:r>
      <w:r w:rsidR="00095AC2">
        <w:t xml:space="preserve"> angenommenen Operationen und Ergebnissorten zur Analyse empirisch </w:t>
      </w:r>
      <w:r w:rsidR="00095AC2">
        <w:lastRenderedPageBreak/>
        <w:t>vorkommender Interpretationen</w:t>
      </w:r>
      <w:r w:rsidR="00963FEB">
        <w:t xml:space="preserve"> </w:t>
      </w:r>
      <w:r w:rsidR="00095AC2">
        <w:t>ausreichen</w:t>
      </w:r>
      <w:r w:rsidR="00963FEB">
        <w:t xml:space="preserve">. </w:t>
      </w:r>
      <w:r w:rsidR="00095AC2">
        <w:t>Modelliert werden die Abläufe bei der Stilinterpretation (</w:t>
      </w:r>
      <w:r w:rsidR="005D7996">
        <w:fldChar w:fldCharType="begin"/>
      </w:r>
      <w:r w:rsidR="00095AC2">
        <w:instrText xml:space="preserve"> REF _Ref315201331 \r \h </w:instrText>
      </w:r>
      <w:r w:rsidR="005D7996">
        <w:fldChar w:fldCharType="separate"/>
      </w:r>
      <w:r w:rsidR="001231D3">
        <w:t>7.2</w:t>
      </w:r>
      <w:r w:rsidR="005D7996">
        <w:fldChar w:fldCharType="end"/>
      </w:r>
      <w:r w:rsidR="00095AC2">
        <w:t>) sowie die allgemeineren Vorgänge des Anwendens und Wahrnehmens von Stilen (</w:t>
      </w:r>
      <w:r w:rsidR="005D7996">
        <w:fldChar w:fldCharType="begin"/>
      </w:r>
      <w:r w:rsidR="00095AC2">
        <w:instrText xml:space="preserve"> REF _Ref256411675 \r \h </w:instrText>
      </w:r>
      <w:r w:rsidR="005D7996">
        <w:fldChar w:fldCharType="separate"/>
      </w:r>
      <w:r w:rsidR="001231D3">
        <w:t>7.3</w:t>
      </w:r>
      <w:r w:rsidR="005D7996">
        <w:fldChar w:fldCharType="end"/>
      </w:r>
      <w:r w:rsidR="00095AC2">
        <w:t xml:space="preserve">). </w:t>
      </w:r>
      <w:r>
        <w:t xml:space="preserve">Das Modell </w:t>
      </w:r>
      <w:r w:rsidR="007143B6">
        <w:t>ermöglicht die präzise Unte</w:t>
      </w:r>
      <w:r w:rsidR="007143B6">
        <w:t>r</w:t>
      </w:r>
      <w:r w:rsidR="007143B6">
        <w:t>scheidung zwischen angewandtem und wahrgenommenem Stil (</w:t>
      </w:r>
      <w:r w:rsidR="005D7996">
        <w:fldChar w:fldCharType="begin"/>
      </w:r>
      <w:r w:rsidR="00095AC2">
        <w:instrText xml:space="preserve"> REF _Ref261879934 \r \h </w:instrText>
      </w:r>
      <w:r w:rsidR="005D7996">
        <w:fldChar w:fldCharType="separate"/>
      </w:r>
      <w:r w:rsidR="001231D3">
        <w:t>7.3.5</w:t>
      </w:r>
      <w:r w:rsidR="005D7996">
        <w:fldChar w:fldCharType="end"/>
      </w:r>
      <w:r w:rsidR="007143B6">
        <w:t xml:space="preserve">) und </w:t>
      </w:r>
      <w:r w:rsidR="00095AC2">
        <w:t>e</w:t>
      </w:r>
      <w:r w:rsidR="00095AC2">
        <w:t>r</w:t>
      </w:r>
      <w:r w:rsidR="00095AC2">
        <w:t xml:space="preserve">klärt </w:t>
      </w:r>
      <w:r>
        <w:t>die Subjektivität der Stilwahrnehmung (</w:t>
      </w:r>
      <w:r w:rsidR="005D7996">
        <w:fldChar w:fldCharType="begin"/>
      </w:r>
      <w:r w:rsidR="00095AC2">
        <w:instrText xml:space="preserve"> REF _Ref273617215 \r \h </w:instrText>
      </w:r>
      <w:r w:rsidR="005D7996">
        <w:fldChar w:fldCharType="separate"/>
      </w:r>
      <w:r w:rsidR="001231D3">
        <w:t>7.3.6</w:t>
      </w:r>
      <w:r w:rsidR="005D7996">
        <w:fldChar w:fldCharType="end"/>
      </w:r>
      <w:r>
        <w:t>).</w:t>
      </w:r>
    </w:p>
    <w:p w:rsidR="006E7E97" w:rsidRDefault="00FB6E53" w:rsidP="00067D04">
      <w:pPr>
        <w:rPr>
          <w:color w:val="000000"/>
        </w:rPr>
      </w:pPr>
      <w:r>
        <w:t>In Kap</w:t>
      </w:r>
      <w:r w:rsidR="007143B6">
        <w:t>itel</w:t>
      </w:r>
      <w:r>
        <w:t xml:space="preserve"> 8 wird </w:t>
      </w:r>
      <w:r w:rsidR="008D198B">
        <w:t xml:space="preserve">das Verhältnis der entwickelten allgemeinen Stiltheorie </w:t>
      </w:r>
      <w:r>
        <w:t xml:space="preserve">zu bereichsspezifischen </w:t>
      </w:r>
      <w:r w:rsidR="0002370C">
        <w:t>Stilt</w:t>
      </w:r>
      <w:r>
        <w:t>heorien erläutert (Abschnitt</w:t>
      </w:r>
      <w:r w:rsidR="0002370C">
        <w:t xml:space="preserve"> </w:t>
      </w:r>
      <w:r w:rsidR="005D7996">
        <w:fldChar w:fldCharType="begin"/>
      </w:r>
      <w:r w:rsidR="0002370C">
        <w:instrText xml:space="preserve"> REF _Ref254783670 \r \h </w:instrText>
      </w:r>
      <w:r w:rsidR="005D7996">
        <w:fldChar w:fldCharType="separate"/>
      </w:r>
      <w:r w:rsidR="001231D3">
        <w:t>8.1</w:t>
      </w:r>
      <w:r w:rsidR="005D7996">
        <w:fldChar w:fldCharType="end"/>
      </w:r>
      <w:r>
        <w:t>), pragmatische Aspe</w:t>
      </w:r>
      <w:r>
        <w:t>k</w:t>
      </w:r>
      <w:r>
        <w:t>te des Stilgebrauchs untersucht (</w:t>
      </w:r>
      <w:r w:rsidR="005D7996">
        <w:fldChar w:fldCharType="begin"/>
      </w:r>
      <w:r w:rsidR="0002370C">
        <w:instrText xml:space="preserve"> REF _Ref266001212 \r \h </w:instrText>
      </w:r>
      <w:r w:rsidR="005D7996">
        <w:fldChar w:fldCharType="separate"/>
      </w:r>
      <w:r w:rsidR="001231D3">
        <w:t>8.2</w:t>
      </w:r>
      <w:r w:rsidR="005D7996">
        <w:fldChar w:fldCharType="end"/>
      </w:r>
      <w:r>
        <w:t>), Stil von anderen Begriffen abgegrenzt (</w:t>
      </w:r>
      <w:r w:rsidR="005D7996">
        <w:fldChar w:fldCharType="begin"/>
      </w:r>
      <w:r w:rsidR="0002370C">
        <w:instrText xml:space="preserve"> REF _Ref266001175 \r \h </w:instrText>
      </w:r>
      <w:r w:rsidR="005D7996">
        <w:fldChar w:fldCharType="separate"/>
      </w:r>
      <w:r w:rsidR="001231D3">
        <w:t>8.3</w:t>
      </w:r>
      <w:r w:rsidR="005D7996">
        <w:fldChar w:fldCharType="end"/>
      </w:r>
      <w:r>
        <w:t>) und die Rolle von Stil in der Gesellschaft kurz dargestellt (</w:t>
      </w:r>
      <w:r w:rsidR="005D7996">
        <w:fldChar w:fldCharType="begin"/>
      </w:r>
      <w:r w:rsidR="0002370C">
        <w:instrText xml:space="preserve"> REF _Ref266001272 \r \h </w:instrText>
      </w:r>
      <w:r w:rsidR="005D7996">
        <w:fldChar w:fldCharType="separate"/>
      </w:r>
      <w:r w:rsidR="001231D3">
        <w:t>8.4</w:t>
      </w:r>
      <w:r w:rsidR="005D7996">
        <w:fldChar w:fldCharType="end"/>
      </w:r>
      <w:r>
        <w:t>). Die Arbeit wird durch einige wissenschaftstheoretische Überlegungen abgeschlossen: Es werden Konsequenzen aus der entworfenen Theorie für den Zusammenhang zwischen Begriff und Phänomen (</w:t>
      </w:r>
      <w:r w:rsidR="005D7996">
        <w:fldChar w:fldCharType="begin"/>
      </w:r>
      <w:r w:rsidR="0002370C">
        <w:instrText xml:space="preserve"> REF _Ref321764452 \r \h </w:instrText>
      </w:r>
      <w:r w:rsidR="005D7996">
        <w:fldChar w:fldCharType="separate"/>
      </w:r>
      <w:r w:rsidR="001231D3">
        <w:t>9.1</w:t>
      </w:r>
      <w:r w:rsidR="005D7996">
        <w:fldChar w:fldCharType="end"/>
      </w:r>
      <w:r>
        <w:t>), die Frage der mentalen Repräsentation natürlich</w:t>
      </w:r>
      <w:r w:rsidR="00014A32">
        <w:softHyphen/>
      </w:r>
      <w:r>
        <w:t>sprachlicher Begriffe (</w:t>
      </w:r>
      <w:r w:rsidR="005D7996">
        <w:fldChar w:fldCharType="begin"/>
      </w:r>
      <w:r w:rsidR="0002370C">
        <w:instrText xml:space="preserve"> REF _Ref262116772 \r \h </w:instrText>
      </w:r>
      <w:r w:rsidR="005D7996">
        <w:fldChar w:fldCharType="separate"/>
      </w:r>
      <w:r w:rsidR="001231D3">
        <w:t>9.2</w:t>
      </w:r>
      <w:r w:rsidR="005D7996">
        <w:fldChar w:fldCharType="end"/>
      </w:r>
      <w:r>
        <w:t xml:space="preserve">) </w:t>
      </w:r>
      <w:r w:rsidR="00456D9B">
        <w:t xml:space="preserve">und </w:t>
      </w:r>
      <w:r>
        <w:t>den Umgang mit Vagheit im Gegenstandbereich der Geisteswissenschaften (</w:t>
      </w:r>
      <w:r w:rsidR="005D7996">
        <w:fldChar w:fldCharType="begin"/>
      </w:r>
      <w:r w:rsidR="0002370C">
        <w:instrText xml:space="preserve"> REF _Ref214861298 \r \h </w:instrText>
      </w:r>
      <w:r w:rsidR="005D7996">
        <w:fldChar w:fldCharType="separate"/>
      </w:r>
      <w:r w:rsidR="001231D3">
        <w:t>9.4</w:t>
      </w:r>
      <w:r w:rsidR="005D7996">
        <w:fldChar w:fldCharType="end"/>
      </w:r>
      <w:r>
        <w:t>)</w:t>
      </w:r>
      <w:r w:rsidR="0002370C">
        <w:t xml:space="preserve"> </w:t>
      </w:r>
      <w:r>
        <w:t>erwogen.</w:t>
      </w:r>
      <w:r w:rsidR="006E7E97">
        <w:br w:type="page"/>
      </w:r>
    </w:p>
    <w:p w:rsidR="00F73466" w:rsidRPr="00130B8D" w:rsidRDefault="00F73466" w:rsidP="002C093D">
      <w:pPr>
        <w:pStyle w:val="Text"/>
        <w:ind w:left="454" w:hanging="454"/>
        <w:jc w:val="center"/>
        <w:sectPr w:rsidR="00F73466" w:rsidRPr="00130B8D" w:rsidSect="00C146F0">
          <w:headerReference w:type="even" r:id="rId10"/>
          <w:headerReference w:type="default" r:id="rId11"/>
          <w:type w:val="continuous"/>
          <w:pgSz w:w="8789" w:h="13325" w:code="9"/>
          <w:pgMar w:top="1134" w:right="851" w:bottom="1418" w:left="1134" w:header="567" w:footer="680" w:gutter="0"/>
          <w:cols w:space="720"/>
          <w:titlePg/>
          <w:docGrid w:linePitch="360"/>
        </w:sectPr>
      </w:pPr>
    </w:p>
    <w:sdt>
      <w:sdtPr>
        <w:rPr>
          <w:rFonts w:ascii="Times New Roman" w:eastAsia="Lucida Sans Unicode" w:hAnsi="Times New Roman" w:cs="Tahoma"/>
          <w:color w:val="auto"/>
          <w:sz w:val="24"/>
          <w:szCs w:val="24"/>
        </w:rPr>
        <w:id w:val="6418116"/>
        <w:docPartObj>
          <w:docPartGallery w:val="Table of Contents"/>
          <w:docPartUnique/>
        </w:docPartObj>
      </w:sdtPr>
      <w:sdtEndPr>
        <w:rPr>
          <w:rFonts w:ascii="OrigGarmnd BT" w:hAnsi="OrigGarmnd BT"/>
          <w:sz w:val="22"/>
        </w:rPr>
      </w:sdtEndPr>
      <w:sdtContent>
        <w:bookmarkStart w:id="1" w:name="_Toc289929729" w:displacedByCustomXml="prev"/>
        <w:bookmarkStart w:id="2" w:name="_Toc289421040" w:displacedByCustomXml="prev"/>
        <w:bookmarkStart w:id="3" w:name="_Toc289939191" w:displacedByCustomXml="prev"/>
        <w:bookmarkStart w:id="4" w:name="_Toc325456687" w:displacedByCustomXml="prev"/>
        <w:p w:rsidR="00211F44" w:rsidRDefault="00211F44" w:rsidP="00382BB2">
          <w:pPr>
            <w:pStyle w:val="TitelohneNummer"/>
          </w:pPr>
          <w:r>
            <w:t>Inhalt</w:t>
          </w:r>
          <w:bookmarkEnd w:id="4"/>
          <w:bookmarkEnd w:id="3"/>
          <w:bookmarkEnd w:id="2"/>
          <w:bookmarkEnd w:id="1"/>
        </w:p>
        <w:p w:rsidR="00D870BE" w:rsidRDefault="005D7996">
          <w:pPr>
            <w:pStyle w:val="Verzeichnis1"/>
            <w:rPr>
              <w:rFonts w:asciiTheme="minorHAnsi" w:eastAsiaTheme="minorEastAsia" w:hAnsiTheme="minorHAnsi" w:cstheme="minorBidi"/>
              <w:noProof/>
              <w:szCs w:val="22"/>
            </w:rPr>
          </w:pPr>
          <w:r>
            <w:fldChar w:fldCharType="begin"/>
          </w:r>
          <w:r w:rsidR="007F3E73">
            <w:instrText xml:space="preserve"> TOC \o "1-4" \h \z \t "Titel,1" </w:instrText>
          </w:r>
          <w:r>
            <w:fldChar w:fldCharType="separate"/>
          </w:r>
          <w:hyperlink w:anchor="_Toc325456686" w:history="1">
            <w:r w:rsidR="00D870BE" w:rsidRPr="00792F42">
              <w:rPr>
                <w:rStyle w:val="Hyperlink"/>
                <w:noProof/>
              </w:rPr>
              <w:t>Zusammenfassung</w:t>
            </w:r>
            <w:r w:rsidR="00D870BE">
              <w:rPr>
                <w:noProof/>
                <w:webHidden/>
              </w:rPr>
              <w:tab/>
            </w:r>
            <w:r>
              <w:rPr>
                <w:noProof/>
                <w:webHidden/>
              </w:rPr>
              <w:fldChar w:fldCharType="begin"/>
            </w:r>
            <w:r w:rsidR="00D870BE">
              <w:rPr>
                <w:noProof/>
                <w:webHidden/>
              </w:rPr>
              <w:instrText xml:space="preserve"> PAGEREF _Toc325456686 \h </w:instrText>
            </w:r>
            <w:r>
              <w:rPr>
                <w:noProof/>
                <w:webHidden/>
              </w:rPr>
            </w:r>
            <w:r>
              <w:rPr>
                <w:noProof/>
                <w:webHidden/>
              </w:rPr>
              <w:fldChar w:fldCharType="separate"/>
            </w:r>
            <w:r w:rsidR="001231D3">
              <w:rPr>
                <w:noProof/>
                <w:webHidden/>
              </w:rPr>
              <w:t>7</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687" w:history="1">
            <w:r w:rsidR="00D870BE" w:rsidRPr="00792F42">
              <w:rPr>
                <w:rStyle w:val="Hyperlink"/>
                <w:noProof/>
              </w:rPr>
              <w:t>Inhalt</w:t>
            </w:r>
            <w:r w:rsidR="00D870BE">
              <w:rPr>
                <w:noProof/>
                <w:webHidden/>
              </w:rPr>
              <w:tab/>
            </w:r>
            <w:r>
              <w:rPr>
                <w:noProof/>
                <w:webHidden/>
              </w:rPr>
              <w:fldChar w:fldCharType="begin"/>
            </w:r>
            <w:r w:rsidR="00D870BE">
              <w:rPr>
                <w:noProof/>
                <w:webHidden/>
              </w:rPr>
              <w:instrText xml:space="preserve"> PAGEREF _Toc325456687 \h </w:instrText>
            </w:r>
            <w:r>
              <w:rPr>
                <w:noProof/>
                <w:webHidden/>
              </w:rPr>
            </w:r>
            <w:r>
              <w:rPr>
                <w:noProof/>
                <w:webHidden/>
              </w:rPr>
              <w:fldChar w:fldCharType="separate"/>
            </w:r>
            <w:r w:rsidR="001231D3">
              <w:rPr>
                <w:noProof/>
                <w:webHidden/>
              </w:rPr>
              <w:t>9</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688" w:history="1">
            <w:r w:rsidR="00D870BE" w:rsidRPr="00792F42">
              <w:rPr>
                <w:rStyle w:val="Hyperlink"/>
                <w:noProof/>
              </w:rPr>
              <w:t>Danksagung</w:t>
            </w:r>
            <w:r w:rsidR="00D870BE">
              <w:rPr>
                <w:noProof/>
                <w:webHidden/>
              </w:rPr>
              <w:tab/>
            </w:r>
            <w:r>
              <w:rPr>
                <w:noProof/>
                <w:webHidden/>
              </w:rPr>
              <w:fldChar w:fldCharType="begin"/>
            </w:r>
            <w:r w:rsidR="00D870BE">
              <w:rPr>
                <w:noProof/>
                <w:webHidden/>
              </w:rPr>
              <w:instrText xml:space="preserve"> PAGEREF _Toc325456688 \h </w:instrText>
            </w:r>
            <w:r>
              <w:rPr>
                <w:noProof/>
                <w:webHidden/>
              </w:rPr>
            </w:r>
            <w:r>
              <w:rPr>
                <w:noProof/>
                <w:webHidden/>
              </w:rPr>
              <w:fldChar w:fldCharType="separate"/>
            </w:r>
            <w:r w:rsidR="001231D3">
              <w:rPr>
                <w:noProof/>
                <w:webHidden/>
              </w:rPr>
              <w:t>15</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689" w:history="1">
            <w:r w:rsidR="00D870BE" w:rsidRPr="00792F42">
              <w:rPr>
                <w:rStyle w:val="Hyperlink"/>
                <w:noProof/>
              </w:rPr>
              <w:t>Einleitung</w:t>
            </w:r>
            <w:r w:rsidR="00D870BE">
              <w:rPr>
                <w:noProof/>
                <w:webHidden/>
              </w:rPr>
              <w:tab/>
            </w:r>
            <w:r>
              <w:rPr>
                <w:noProof/>
                <w:webHidden/>
              </w:rPr>
              <w:fldChar w:fldCharType="begin"/>
            </w:r>
            <w:r w:rsidR="00D870BE">
              <w:rPr>
                <w:noProof/>
                <w:webHidden/>
              </w:rPr>
              <w:instrText xml:space="preserve"> PAGEREF _Toc325456689 \h </w:instrText>
            </w:r>
            <w:r>
              <w:rPr>
                <w:noProof/>
                <w:webHidden/>
              </w:rPr>
            </w:r>
            <w:r>
              <w:rPr>
                <w:noProof/>
                <w:webHidden/>
              </w:rPr>
              <w:fldChar w:fldCharType="separate"/>
            </w:r>
            <w:r w:rsidR="001231D3">
              <w:rPr>
                <w:noProof/>
                <w:webHidden/>
              </w:rPr>
              <w:t>17</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690" w:history="1">
            <w:r w:rsidR="00D870BE" w:rsidRPr="00792F42">
              <w:rPr>
                <w:rStyle w:val="Hyperlink"/>
                <w:noProof/>
              </w:rPr>
              <w:t>Kapitel 1: Zur Methode</w:t>
            </w:r>
            <w:r w:rsidR="00D870BE">
              <w:rPr>
                <w:noProof/>
                <w:webHidden/>
              </w:rPr>
              <w:tab/>
            </w:r>
            <w:r>
              <w:rPr>
                <w:noProof/>
                <w:webHidden/>
              </w:rPr>
              <w:fldChar w:fldCharType="begin"/>
            </w:r>
            <w:r w:rsidR="00D870BE">
              <w:rPr>
                <w:noProof/>
                <w:webHidden/>
              </w:rPr>
              <w:instrText xml:space="preserve"> PAGEREF _Toc325456690 \h </w:instrText>
            </w:r>
            <w:r>
              <w:rPr>
                <w:noProof/>
                <w:webHidden/>
              </w:rPr>
            </w:r>
            <w:r>
              <w:rPr>
                <w:noProof/>
                <w:webHidden/>
              </w:rPr>
              <w:fldChar w:fldCharType="separate"/>
            </w:r>
            <w:r w:rsidR="001231D3">
              <w:rPr>
                <w:noProof/>
                <w:webHidden/>
              </w:rPr>
              <w:t>20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1" w:history="1">
            <w:r w:rsidR="00D870BE" w:rsidRPr="00792F42">
              <w:rPr>
                <w:rStyle w:val="Hyperlink"/>
                <w:noProof/>
              </w:rPr>
              <w:t>1.1</w:t>
            </w:r>
            <w:r w:rsidR="00D870BE">
              <w:rPr>
                <w:rFonts w:asciiTheme="minorHAnsi" w:eastAsiaTheme="minorEastAsia" w:hAnsiTheme="minorHAnsi" w:cstheme="minorBidi"/>
                <w:noProof/>
                <w:sz w:val="22"/>
                <w:szCs w:val="22"/>
              </w:rPr>
              <w:tab/>
            </w:r>
            <w:r w:rsidR="00D870BE" w:rsidRPr="00792F42">
              <w:rPr>
                <w:rStyle w:val="Hyperlink"/>
                <w:noProof/>
              </w:rPr>
              <w:t>Aufbau der Theorie</w:t>
            </w:r>
            <w:r w:rsidR="00D870BE">
              <w:rPr>
                <w:noProof/>
                <w:webHidden/>
              </w:rPr>
              <w:tab/>
            </w:r>
            <w:r>
              <w:rPr>
                <w:noProof/>
                <w:webHidden/>
              </w:rPr>
              <w:fldChar w:fldCharType="begin"/>
            </w:r>
            <w:r w:rsidR="00D870BE">
              <w:rPr>
                <w:noProof/>
                <w:webHidden/>
              </w:rPr>
              <w:instrText xml:space="preserve"> PAGEREF _Toc325456691 \h </w:instrText>
            </w:r>
            <w:r>
              <w:rPr>
                <w:noProof/>
                <w:webHidden/>
              </w:rPr>
            </w:r>
            <w:r>
              <w:rPr>
                <w:noProof/>
                <w:webHidden/>
              </w:rPr>
              <w:fldChar w:fldCharType="separate"/>
            </w:r>
            <w:r w:rsidR="001231D3">
              <w:rPr>
                <w:noProof/>
                <w:webHidden/>
              </w:rPr>
              <w:t>20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2" w:history="1">
            <w:r w:rsidR="00D870BE" w:rsidRPr="00792F42">
              <w:rPr>
                <w:rStyle w:val="Hyperlink"/>
                <w:noProof/>
              </w:rPr>
              <w:t>1.2</w:t>
            </w:r>
            <w:r w:rsidR="00D870BE">
              <w:rPr>
                <w:rFonts w:asciiTheme="minorHAnsi" w:eastAsiaTheme="minorEastAsia" w:hAnsiTheme="minorHAnsi" w:cstheme="minorBidi"/>
                <w:noProof/>
                <w:sz w:val="22"/>
                <w:szCs w:val="22"/>
              </w:rPr>
              <w:tab/>
            </w:r>
            <w:r w:rsidR="00D870BE" w:rsidRPr="00792F42">
              <w:rPr>
                <w:rStyle w:val="Hyperlink"/>
                <w:noProof/>
              </w:rPr>
              <w:t>Begriffsexplikation und Modellierung</w:t>
            </w:r>
            <w:r w:rsidR="00D870BE">
              <w:rPr>
                <w:noProof/>
                <w:webHidden/>
              </w:rPr>
              <w:tab/>
            </w:r>
            <w:r>
              <w:rPr>
                <w:noProof/>
                <w:webHidden/>
              </w:rPr>
              <w:fldChar w:fldCharType="begin"/>
            </w:r>
            <w:r w:rsidR="00D870BE">
              <w:rPr>
                <w:noProof/>
                <w:webHidden/>
              </w:rPr>
              <w:instrText xml:space="preserve"> PAGEREF _Toc325456692 \h </w:instrText>
            </w:r>
            <w:r>
              <w:rPr>
                <w:noProof/>
                <w:webHidden/>
              </w:rPr>
            </w:r>
            <w:r>
              <w:rPr>
                <w:noProof/>
                <w:webHidden/>
              </w:rPr>
              <w:fldChar w:fldCharType="separate"/>
            </w:r>
            <w:r w:rsidR="001231D3">
              <w:rPr>
                <w:noProof/>
                <w:webHidden/>
              </w:rPr>
              <w:t>22</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3" w:history="1">
            <w:r w:rsidR="00D870BE" w:rsidRPr="00792F42">
              <w:rPr>
                <w:rStyle w:val="Hyperlink"/>
                <w:noProof/>
              </w:rPr>
              <w:t>1.3</w:t>
            </w:r>
            <w:r w:rsidR="00D870BE">
              <w:rPr>
                <w:rFonts w:asciiTheme="minorHAnsi" w:eastAsiaTheme="minorEastAsia" w:hAnsiTheme="minorHAnsi" w:cstheme="minorBidi"/>
                <w:noProof/>
                <w:sz w:val="22"/>
                <w:szCs w:val="22"/>
              </w:rPr>
              <w:tab/>
            </w:r>
            <w:r w:rsidR="00D870BE" w:rsidRPr="00792F42">
              <w:rPr>
                <w:rStyle w:val="Hyperlink"/>
                <w:noProof/>
              </w:rPr>
              <w:t>Zur formalen Darstellung des Stilmodells</w:t>
            </w:r>
            <w:r w:rsidR="00D870BE">
              <w:rPr>
                <w:noProof/>
                <w:webHidden/>
              </w:rPr>
              <w:tab/>
            </w:r>
            <w:r>
              <w:rPr>
                <w:noProof/>
                <w:webHidden/>
              </w:rPr>
              <w:fldChar w:fldCharType="begin"/>
            </w:r>
            <w:r w:rsidR="00D870BE">
              <w:rPr>
                <w:noProof/>
                <w:webHidden/>
              </w:rPr>
              <w:instrText xml:space="preserve"> PAGEREF _Toc325456693 \h </w:instrText>
            </w:r>
            <w:r>
              <w:rPr>
                <w:noProof/>
                <w:webHidden/>
              </w:rPr>
            </w:r>
            <w:r>
              <w:rPr>
                <w:noProof/>
                <w:webHidden/>
              </w:rPr>
              <w:fldChar w:fldCharType="separate"/>
            </w:r>
            <w:r w:rsidR="001231D3">
              <w:rPr>
                <w:noProof/>
                <w:webHidden/>
              </w:rPr>
              <w:t>29</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694" w:history="1">
            <w:r w:rsidR="00D870BE" w:rsidRPr="00792F42">
              <w:rPr>
                <w:rStyle w:val="Hyperlink"/>
                <w:noProof/>
              </w:rPr>
              <w:t>Kapitel 2: Annäherung an das Stilmodell</w:t>
            </w:r>
            <w:r w:rsidR="00D870BE">
              <w:rPr>
                <w:noProof/>
                <w:webHidden/>
              </w:rPr>
              <w:tab/>
            </w:r>
            <w:r>
              <w:rPr>
                <w:noProof/>
                <w:webHidden/>
              </w:rPr>
              <w:fldChar w:fldCharType="begin"/>
            </w:r>
            <w:r w:rsidR="00D870BE">
              <w:rPr>
                <w:noProof/>
                <w:webHidden/>
              </w:rPr>
              <w:instrText xml:space="preserve"> PAGEREF _Toc325456694 \h </w:instrText>
            </w:r>
            <w:r>
              <w:rPr>
                <w:noProof/>
                <w:webHidden/>
              </w:rPr>
            </w:r>
            <w:r>
              <w:rPr>
                <w:noProof/>
                <w:webHidden/>
              </w:rPr>
              <w:fldChar w:fldCharType="separate"/>
            </w:r>
            <w:r w:rsidR="001231D3">
              <w:rPr>
                <w:noProof/>
                <w:webHidden/>
              </w:rPr>
              <w:t>36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5" w:history="1">
            <w:r w:rsidR="00D870BE" w:rsidRPr="00792F42">
              <w:rPr>
                <w:rStyle w:val="Hyperlink"/>
                <w:noProof/>
              </w:rPr>
              <w:t>2.1</w:t>
            </w:r>
            <w:r w:rsidR="00D870BE">
              <w:rPr>
                <w:rFonts w:asciiTheme="minorHAnsi" w:eastAsiaTheme="minorEastAsia" w:hAnsiTheme="minorHAnsi" w:cstheme="minorBidi"/>
                <w:noProof/>
                <w:sz w:val="22"/>
                <w:szCs w:val="22"/>
              </w:rPr>
              <w:tab/>
            </w:r>
            <w:r w:rsidR="00D870BE" w:rsidRPr="00792F42">
              <w:rPr>
                <w:rStyle w:val="Hyperlink"/>
                <w:noProof/>
              </w:rPr>
              <w:t>Warum muss Stil über Auswahl beschrieben werden?</w:t>
            </w:r>
            <w:r w:rsidR="00D870BE">
              <w:rPr>
                <w:noProof/>
                <w:webHidden/>
              </w:rPr>
              <w:tab/>
            </w:r>
            <w:r>
              <w:rPr>
                <w:noProof/>
                <w:webHidden/>
              </w:rPr>
              <w:fldChar w:fldCharType="begin"/>
            </w:r>
            <w:r w:rsidR="00D870BE">
              <w:rPr>
                <w:noProof/>
                <w:webHidden/>
              </w:rPr>
              <w:instrText xml:space="preserve"> PAGEREF _Toc325456695 \h </w:instrText>
            </w:r>
            <w:r>
              <w:rPr>
                <w:noProof/>
                <w:webHidden/>
              </w:rPr>
            </w:r>
            <w:r>
              <w:rPr>
                <w:noProof/>
                <w:webHidden/>
              </w:rPr>
              <w:fldChar w:fldCharType="separate"/>
            </w:r>
            <w:r w:rsidR="001231D3">
              <w:rPr>
                <w:noProof/>
                <w:webHidden/>
              </w:rPr>
              <w:t>38</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6" w:history="1">
            <w:r w:rsidR="00D870BE" w:rsidRPr="00792F42">
              <w:rPr>
                <w:rStyle w:val="Hyperlink"/>
                <w:noProof/>
              </w:rPr>
              <w:t>2.2</w:t>
            </w:r>
            <w:r w:rsidR="00D870BE">
              <w:rPr>
                <w:rFonts w:asciiTheme="minorHAnsi" w:eastAsiaTheme="minorEastAsia" w:hAnsiTheme="minorHAnsi" w:cstheme="minorBidi"/>
                <w:noProof/>
                <w:sz w:val="22"/>
                <w:szCs w:val="22"/>
              </w:rPr>
              <w:tab/>
            </w:r>
            <w:r w:rsidR="00D870BE" w:rsidRPr="00792F42">
              <w:rPr>
                <w:rStyle w:val="Hyperlink"/>
                <w:noProof/>
              </w:rPr>
              <w:t>Verallgemeinerung auf Stil außerhalb von Zeichengebrauch</w:t>
            </w:r>
            <w:r w:rsidR="00D870BE">
              <w:rPr>
                <w:noProof/>
                <w:webHidden/>
              </w:rPr>
              <w:tab/>
            </w:r>
            <w:r>
              <w:rPr>
                <w:noProof/>
                <w:webHidden/>
              </w:rPr>
              <w:fldChar w:fldCharType="begin"/>
            </w:r>
            <w:r w:rsidR="00D870BE">
              <w:rPr>
                <w:noProof/>
                <w:webHidden/>
              </w:rPr>
              <w:instrText xml:space="preserve"> PAGEREF _Toc325456696 \h </w:instrText>
            </w:r>
            <w:r>
              <w:rPr>
                <w:noProof/>
                <w:webHidden/>
              </w:rPr>
            </w:r>
            <w:r>
              <w:rPr>
                <w:noProof/>
                <w:webHidden/>
              </w:rPr>
              <w:fldChar w:fldCharType="separate"/>
            </w:r>
            <w:r w:rsidR="001231D3">
              <w:rPr>
                <w:noProof/>
                <w:webHidden/>
              </w:rPr>
              <w:t>43</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7" w:history="1">
            <w:r w:rsidR="00D870BE" w:rsidRPr="00792F42">
              <w:rPr>
                <w:rStyle w:val="Hyperlink"/>
                <w:noProof/>
              </w:rPr>
              <w:t>2.3</w:t>
            </w:r>
            <w:r w:rsidR="00D870BE">
              <w:rPr>
                <w:rFonts w:asciiTheme="minorHAnsi" w:eastAsiaTheme="minorEastAsia" w:hAnsiTheme="minorHAnsi" w:cstheme="minorBidi"/>
                <w:noProof/>
                <w:sz w:val="22"/>
                <w:szCs w:val="22"/>
              </w:rPr>
              <w:tab/>
            </w:r>
            <w:r w:rsidR="00D870BE" w:rsidRPr="00792F42">
              <w:rPr>
                <w:rStyle w:val="Hyperlink"/>
                <w:noProof/>
              </w:rPr>
              <w:t>Nicht alle Auswahl ist stilistische Auswahl</w:t>
            </w:r>
            <w:r w:rsidR="00D870BE">
              <w:rPr>
                <w:noProof/>
                <w:webHidden/>
              </w:rPr>
              <w:tab/>
            </w:r>
            <w:r>
              <w:rPr>
                <w:noProof/>
                <w:webHidden/>
              </w:rPr>
              <w:fldChar w:fldCharType="begin"/>
            </w:r>
            <w:r w:rsidR="00D870BE">
              <w:rPr>
                <w:noProof/>
                <w:webHidden/>
              </w:rPr>
              <w:instrText xml:space="preserve"> PAGEREF _Toc325456697 \h </w:instrText>
            </w:r>
            <w:r>
              <w:rPr>
                <w:noProof/>
                <w:webHidden/>
              </w:rPr>
            </w:r>
            <w:r>
              <w:rPr>
                <w:noProof/>
                <w:webHidden/>
              </w:rPr>
              <w:fldChar w:fldCharType="separate"/>
            </w:r>
            <w:r w:rsidR="001231D3">
              <w:rPr>
                <w:noProof/>
                <w:webHidden/>
              </w:rPr>
              <w:t>49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8" w:history="1">
            <w:r w:rsidR="00D870BE" w:rsidRPr="00792F42">
              <w:rPr>
                <w:rStyle w:val="Hyperlink"/>
                <w:noProof/>
              </w:rPr>
              <w:t>2.4</w:t>
            </w:r>
            <w:r w:rsidR="00D870BE">
              <w:rPr>
                <w:rFonts w:asciiTheme="minorHAnsi" w:eastAsiaTheme="minorEastAsia" w:hAnsiTheme="minorHAnsi" w:cstheme="minorBidi"/>
                <w:noProof/>
                <w:sz w:val="22"/>
                <w:szCs w:val="22"/>
              </w:rPr>
              <w:tab/>
            </w:r>
            <w:r w:rsidR="00D870BE" w:rsidRPr="00792F42">
              <w:rPr>
                <w:rStyle w:val="Hyperlink"/>
                <w:noProof/>
              </w:rPr>
              <w:t>Alternativenklasse und Realisierung</w:t>
            </w:r>
            <w:r w:rsidR="00D870BE">
              <w:rPr>
                <w:noProof/>
                <w:webHidden/>
              </w:rPr>
              <w:tab/>
            </w:r>
            <w:r>
              <w:rPr>
                <w:noProof/>
                <w:webHidden/>
              </w:rPr>
              <w:fldChar w:fldCharType="begin"/>
            </w:r>
            <w:r w:rsidR="00D870BE">
              <w:rPr>
                <w:noProof/>
                <w:webHidden/>
              </w:rPr>
              <w:instrText xml:space="preserve"> PAGEREF _Toc325456698 \h </w:instrText>
            </w:r>
            <w:r>
              <w:rPr>
                <w:noProof/>
                <w:webHidden/>
              </w:rPr>
            </w:r>
            <w:r>
              <w:rPr>
                <w:noProof/>
                <w:webHidden/>
              </w:rPr>
              <w:fldChar w:fldCharType="separate"/>
            </w:r>
            <w:r w:rsidR="001231D3">
              <w:rPr>
                <w:noProof/>
                <w:webHidden/>
              </w:rPr>
              <w:t>52</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699" w:history="1">
            <w:r w:rsidR="00D870BE" w:rsidRPr="00792F42">
              <w:rPr>
                <w:rStyle w:val="Hyperlink"/>
                <w:noProof/>
              </w:rPr>
              <w:t>2.5</w:t>
            </w:r>
            <w:r w:rsidR="00D870BE">
              <w:rPr>
                <w:rFonts w:asciiTheme="minorHAnsi" w:eastAsiaTheme="minorEastAsia" w:hAnsiTheme="minorHAnsi" w:cstheme="minorBidi"/>
                <w:noProof/>
                <w:sz w:val="22"/>
                <w:szCs w:val="22"/>
              </w:rPr>
              <w:tab/>
            </w:r>
            <w:r w:rsidR="00D870BE" w:rsidRPr="00792F42">
              <w:rPr>
                <w:rStyle w:val="Hyperlink"/>
                <w:noProof/>
              </w:rPr>
              <w:t>Alternativenbedingungen</w:t>
            </w:r>
            <w:r w:rsidR="00D870BE">
              <w:rPr>
                <w:noProof/>
                <w:webHidden/>
              </w:rPr>
              <w:tab/>
            </w:r>
            <w:r>
              <w:rPr>
                <w:noProof/>
                <w:webHidden/>
              </w:rPr>
              <w:fldChar w:fldCharType="begin"/>
            </w:r>
            <w:r w:rsidR="00D870BE">
              <w:rPr>
                <w:noProof/>
                <w:webHidden/>
              </w:rPr>
              <w:instrText xml:space="preserve"> PAGEREF _Toc325456699 \h </w:instrText>
            </w:r>
            <w:r>
              <w:rPr>
                <w:noProof/>
                <w:webHidden/>
              </w:rPr>
            </w:r>
            <w:r>
              <w:rPr>
                <w:noProof/>
                <w:webHidden/>
              </w:rPr>
              <w:fldChar w:fldCharType="separate"/>
            </w:r>
            <w:r w:rsidR="001231D3">
              <w:rPr>
                <w:noProof/>
                <w:webHidden/>
              </w:rPr>
              <w:t>54</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0" w:history="1">
            <w:r w:rsidR="00D870BE" w:rsidRPr="00792F42">
              <w:rPr>
                <w:rStyle w:val="Hyperlink"/>
                <w:noProof/>
              </w:rPr>
              <w:t>2.6</w:t>
            </w:r>
            <w:r w:rsidR="00D870BE">
              <w:rPr>
                <w:rFonts w:asciiTheme="minorHAnsi" w:eastAsiaTheme="minorEastAsia" w:hAnsiTheme="minorHAnsi" w:cstheme="minorBidi"/>
                <w:noProof/>
                <w:sz w:val="22"/>
                <w:szCs w:val="22"/>
              </w:rPr>
              <w:tab/>
            </w:r>
            <w:r w:rsidR="00D870BE" w:rsidRPr="00792F42">
              <w:rPr>
                <w:rStyle w:val="Hyperlink"/>
                <w:noProof/>
              </w:rPr>
              <w:t>Schemata als Grundlage von Stil</w:t>
            </w:r>
            <w:r w:rsidR="00D870BE">
              <w:rPr>
                <w:noProof/>
                <w:webHidden/>
              </w:rPr>
              <w:tab/>
            </w:r>
            <w:r>
              <w:rPr>
                <w:noProof/>
                <w:webHidden/>
              </w:rPr>
              <w:fldChar w:fldCharType="begin"/>
            </w:r>
            <w:r w:rsidR="00D870BE">
              <w:rPr>
                <w:noProof/>
                <w:webHidden/>
              </w:rPr>
              <w:instrText xml:space="preserve"> PAGEREF _Toc325456700 \h </w:instrText>
            </w:r>
            <w:r>
              <w:rPr>
                <w:noProof/>
                <w:webHidden/>
              </w:rPr>
            </w:r>
            <w:r>
              <w:rPr>
                <w:noProof/>
                <w:webHidden/>
              </w:rPr>
              <w:fldChar w:fldCharType="separate"/>
            </w:r>
            <w:r w:rsidR="001231D3">
              <w:rPr>
                <w:noProof/>
                <w:webHidden/>
              </w:rPr>
              <w:t>59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1" w:history="1">
            <w:r w:rsidR="00D870BE" w:rsidRPr="00792F42">
              <w:rPr>
                <w:rStyle w:val="Hyperlink"/>
                <w:noProof/>
              </w:rPr>
              <w:t>2.7</w:t>
            </w:r>
            <w:r w:rsidR="00D870BE">
              <w:rPr>
                <w:rFonts w:asciiTheme="minorHAnsi" w:eastAsiaTheme="minorEastAsia" w:hAnsiTheme="minorHAnsi" w:cstheme="minorBidi"/>
                <w:noProof/>
                <w:sz w:val="22"/>
                <w:szCs w:val="22"/>
              </w:rPr>
              <w:tab/>
            </w:r>
            <w:r w:rsidR="00D870BE" w:rsidRPr="00792F42">
              <w:rPr>
                <w:rStyle w:val="Hyperlink"/>
                <w:noProof/>
              </w:rPr>
              <w:t>Anderes Schema – anderer Stil</w:t>
            </w:r>
            <w:r w:rsidR="00D870BE">
              <w:rPr>
                <w:noProof/>
                <w:webHidden/>
              </w:rPr>
              <w:tab/>
            </w:r>
            <w:r>
              <w:rPr>
                <w:noProof/>
                <w:webHidden/>
              </w:rPr>
              <w:fldChar w:fldCharType="begin"/>
            </w:r>
            <w:r w:rsidR="00D870BE">
              <w:rPr>
                <w:noProof/>
                <w:webHidden/>
              </w:rPr>
              <w:instrText xml:space="preserve"> PAGEREF _Toc325456701 \h </w:instrText>
            </w:r>
            <w:r>
              <w:rPr>
                <w:noProof/>
                <w:webHidden/>
              </w:rPr>
            </w:r>
            <w:r>
              <w:rPr>
                <w:noProof/>
                <w:webHidden/>
              </w:rPr>
              <w:fldChar w:fldCharType="separate"/>
            </w:r>
            <w:r w:rsidR="001231D3">
              <w:rPr>
                <w:noProof/>
                <w:webHidden/>
              </w:rPr>
              <w:t>65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2" w:history="1">
            <w:r w:rsidR="00D870BE" w:rsidRPr="00792F42">
              <w:rPr>
                <w:rStyle w:val="Hyperlink"/>
                <w:noProof/>
              </w:rPr>
              <w:t>2.8</w:t>
            </w:r>
            <w:r w:rsidR="00D870BE">
              <w:rPr>
                <w:rFonts w:asciiTheme="minorHAnsi" w:eastAsiaTheme="minorEastAsia" w:hAnsiTheme="minorHAnsi" w:cstheme="minorBidi"/>
                <w:noProof/>
                <w:sz w:val="22"/>
                <w:szCs w:val="22"/>
              </w:rPr>
              <w:tab/>
            </w:r>
            <w:r w:rsidR="00D870BE" w:rsidRPr="00792F42">
              <w:rPr>
                <w:rStyle w:val="Hyperlink"/>
                <w:noProof/>
              </w:rPr>
              <w:t>Arten von Information in Realisierungen</w:t>
            </w:r>
            <w:r w:rsidR="00D870BE">
              <w:rPr>
                <w:noProof/>
                <w:webHidden/>
              </w:rPr>
              <w:tab/>
            </w:r>
            <w:r>
              <w:rPr>
                <w:noProof/>
                <w:webHidden/>
              </w:rPr>
              <w:fldChar w:fldCharType="begin"/>
            </w:r>
            <w:r w:rsidR="00D870BE">
              <w:rPr>
                <w:noProof/>
                <w:webHidden/>
              </w:rPr>
              <w:instrText xml:space="preserve"> PAGEREF _Toc325456702 \h </w:instrText>
            </w:r>
            <w:r>
              <w:rPr>
                <w:noProof/>
                <w:webHidden/>
              </w:rPr>
            </w:r>
            <w:r>
              <w:rPr>
                <w:noProof/>
                <w:webHidden/>
              </w:rPr>
              <w:fldChar w:fldCharType="separate"/>
            </w:r>
            <w:r w:rsidR="001231D3">
              <w:rPr>
                <w:noProof/>
                <w:webHidden/>
              </w:rPr>
              <w:t>71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3" w:history="1">
            <w:r w:rsidR="00D870BE" w:rsidRPr="00792F42">
              <w:rPr>
                <w:rStyle w:val="Hyperlink"/>
                <w:noProof/>
              </w:rPr>
              <w:t>2.9</w:t>
            </w:r>
            <w:r w:rsidR="00D870BE">
              <w:rPr>
                <w:rFonts w:asciiTheme="minorHAnsi" w:eastAsiaTheme="minorEastAsia" w:hAnsiTheme="minorHAnsi" w:cstheme="minorBidi"/>
                <w:noProof/>
                <w:sz w:val="22"/>
                <w:szCs w:val="22"/>
              </w:rPr>
              <w:tab/>
            </w:r>
            <w:r w:rsidR="00D870BE" w:rsidRPr="00792F42">
              <w:rPr>
                <w:rStyle w:val="Hyperlink"/>
                <w:noProof/>
              </w:rPr>
              <w:t>Information als Verhältnis von Alternativenklassen und Realisierung</w:t>
            </w:r>
            <w:r w:rsidR="00384A12">
              <w:rPr>
                <w:rStyle w:val="Hyperlink"/>
                <w:noProof/>
              </w:rPr>
              <w:t xml:space="preserve"> </w:t>
            </w:r>
            <w:r w:rsidR="00D870BE">
              <w:rPr>
                <w:noProof/>
                <w:webHidden/>
              </w:rPr>
              <w:tab/>
            </w:r>
            <w:r>
              <w:rPr>
                <w:noProof/>
                <w:webHidden/>
              </w:rPr>
              <w:fldChar w:fldCharType="begin"/>
            </w:r>
            <w:r w:rsidR="00D870BE">
              <w:rPr>
                <w:noProof/>
                <w:webHidden/>
              </w:rPr>
              <w:instrText xml:space="preserve"> PAGEREF _Toc325456703 \h </w:instrText>
            </w:r>
            <w:r>
              <w:rPr>
                <w:noProof/>
                <w:webHidden/>
              </w:rPr>
            </w:r>
            <w:r>
              <w:rPr>
                <w:noProof/>
                <w:webHidden/>
              </w:rPr>
              <w:fldChar w:fldCharType="separate"/>
            </w:r>
            <w:r w:rsidR="001231D3">
              <w:rPr>
                <w:noProof/>
                <w:webHidden/>
              </w:rPr>
              <w:t>76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4" w:history="1">
            <w:r w:rsidR="00D870BE" w:rsidRPr="00792F42">
              <w:rPr>
                <w:rStyle w:val="Hyperlink"/>
                <w:noProof/>
              </w:rPr>
              <w:t>2.10</w:t>
            </w:r>
            <w:r w:rsidR="00D870BE">
              <w:rPr>
                <w:rFonts w:asciiTheme="minorHAnsi" w:eastAsiaTheme="minorEastAsia" w:hAnsiTheme="minorHAnsi" w:cstheme="minorBidi"/>
                <w:noProof/>
                <w:sz w:val="22"/>
                <w:szCs w:val="22"/>
              </w:rPr>
              <w:tab/>
            </w:r>
            <w:r w:rsidR="00D870BE" w:rsidRPr="00792F42">
              <w:rPr>
                <w:rStyle w:val="Hyperlink"/>
                <w:noProof/>
              </w:rPr>
              <w:t>Regelmäßigkeiten der Auswahl</w:t>
            </w:r>
            <w:r w:rsidR="00D870BE">
              <w:rPr>
                <w:noProof/>
                <w:webHidden/>
              </w:rPr>
              <w:tab/>
            </w:r>
            <w:r>
              <w:rPr>
                <w:noProof/>
                <w:webHidden/>
              </w:rPr>
              <w:fldChar w:fldCharType="begin"/>
            </w:r>
            <w:r w:rsidR="00D870BE">
              <w:rPr>
                <w:noProof/>
                <w:webHidden/>
              </w:rPr>
              <w:instrText xml:space="preserve"> PAGEREF _Toc325456704 \h </w:instrText>
            </w:r>
            <w:r>
              <w:rPr>
                <w:noProof/>
                <w:webHidden/>
              </w:rPr>
            </w:r>
            <w:r>
              <w:rPr>
                <w:noProof/>
                <w:webHidden/>
              </w:rPr>
              <w:fldChar w:fldCharType="separate"/>
            </w:r>
            <w:r w:rsidR="001231D3">
              <w:rPr>
                <w:noProof/>
                <w:webHidden/>
              </w:rPr>
              <w:t>78</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5" w:history="1">
            <w:r w:rsidR="00D870BE" w:rsidRPr="00792F42">
              <w:rPr>
                <w:rStyle w:val="Hyperlink"/>
                <w:noProof/>
              </w:rPr>
              <w:t>2.11</w:t>
            </w:r>
            <w:r w:rsidR="00D870BE">
              <w:rPr>
                <w:rFonts w:asciiTheme="minorHAnsi" w:eastAsiaTheme="minorEastAsia" w:hAnsiTheme="minorHAnsi" w:cstheme="minorBidi"/>
                <w:noProof/>
                <w:sz w:val="22"/>
                <w:szCs w:val="22"/>
              </w:rPr>
              <w:tab/>
            </w:r>
            <w:r w:rsidR="00D870BE" w:rsidRPr="00792F42">
              <w:rPr>
                <w:rStyle w:val="Hyperlink"/>
                <w:noProof/>
              </w:rPr>
              <w:t>Stilistische Merkmale</w:t>
            </w:r>
            <w:r w:rsidR="00D870BE">
              <w:rPr>
                <w:noProof/>
                <w:webHidden/>
              </w:rPr>
              <w:tab/>
            </w:r>
            <w:r>
              <w:rPr>
                <w:noProof/>
                <w:webHidden/>
              </w:rPr>
              <w:fldChar w:fldCharType="begin"/>
            </w:r>
            <w:r w:rsidR="00D870BE">
              <w:rPr>
                <w:noProof/>
                <w:webHidden/>
              </w:rPr>
              <w:instrText xml:space="preserve"> PAGEREF _Toc325456705 \h </w:instrText>
            </w:r>
            <w:r>
              <w:rPr>
                <w:noProof/>
                <w:webHidden/>
              </w:rPr>
            </w:r>
            <w:r>
              <w:rPr>
                <w:noProof/>
                <w:webHidden/>
              </w:rPr>
              <w:fldChar w:fldCharType="separate"/>
            </w:r>
            <w:r w:rsidR="001231D3">
              <w:rPr>
                <w:noProof/>
                <w:webHidden/>
              </w:rPr>
              <w:t>80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6" w:history="1">
            <w:r w:rsidR="00D870BE" w:rsidRPr="00792F42">
              <w:rPr>
                <w:rStyle w:val="Hyperlink"/>
                <w:noProof/>
              </w:rPr>
              <w:t>2.12</w:t>
            </w:r>
            <w:r w:rsidR="00D870BE">
              <w:rPr>
                <w:rFonts w:asciiTheme="minorHAnsi" w:eastAsiaTheme="minorEastAsia" w:hAnsiTheme="minorHAnsi" w:cstheme="minorBidi"/>
                <w:noProof/>
                <w:sz w:val="22"/>
                <w:szCs w:val="22"/>
              </w:rPr>
              <w:tab/>
            </w:r>
            <w:r w:rsidR="00D870BE" w:rsidRPr="00792F42">
              <w:rPr>
                <w:rStyle w:val="Hyperlink"/>
                <w:noProof/>
              </w:rPr>
              <w:t>Merkmalserzeugende Regeln (= Merkmalsregeln)</w:t>
            </w:r>
            <w:r w:rsidR="00D870BE">
              <w:rPr>
                <w:noProof/>
                <w:webHidden/>
              </w:rPr>
              <w:tab/>
            </w:r>
            <w:r>
              <w:rPr>
                <w:noProof/>
                <w:webHidden/>
              </w:rPr>
              <w:fldChar w:fldCharType="begin"/>
            </w:r>
            <w:r w:rsidR="00D870BE">
              <w:rPr>
                <w:noProof/>
                <w:webHidden/>
              </w:rPr>
              <w:instrText xml:space="preserve"> PAGEREF _Toc325456706 \h </w:instrText>
            </w:r>
            <w:r>
              <w:rPr>
                <w:noProof/>
                <w:webHidden/>
              </w:rPr>
            </w:r>
            <w:r>
              <w:rPr>
                <w:noProof/>
                <w:webHidden/>
              </w:rPr>
              <w:fldChar w:fldCharType="separate"/>
            </w:r>
            <w:r w:rsidR="001231D3">
              <w:rPr>
                <w:noProof/>
                <w:webHidden/>
              </w:rPr>
              <w:t>81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7" w:history="1">
            <w:r w:rsidR="00D870BE" w:rsidRPr="00792F42">
              <w:rPr>
                <w:rStyle w:val="Hyperlink"/>
                <w:noProof/>
              </w:rPr>
              <w:t>2.13</w:t>
            </w:r>
            <w:r w:rsidR="00D870BE">
              <w:rPr>
                <w:rFonts w:asciiTheme="minorHAnsi" w:eastAsiaTheme="minorEastAsia" w:hAnsiTheme="minorHAnsi" w:cstheme="minorBidi"/>
                <w:noProof/>
                <w:sz w:val="22"/>
                <w:szCs w:val="22"/>
              </w:rPr>
              <w:tab/>
            </w:r>
            <w:r w:rsidR="00D870BE" w:rsidRPr="00792F42">
              <w:rPr>
                <w:rStyle w:val="Hyperlink"/>
                <w:noProof/>
              </w:rPr>
              <w:t>Einschreiben und Auslesen von Merkmalsregeln</w:t>
            </w:r>
            <w:r w:rsidR="00D870BE">
              <w:rPr>
                <w:noProof/>
                <w:webHidden/>
              </w:rPr>
              <w:tab/>
            </w:r>
            <w:r>
              <w:rPr>
                <w:noProof/>
                <w:webHidden/>
              </w:rPr>
              <w:fldChar w:fldCharType="begin"/>
            </w:r>
            <w:r w:rsidR="00D870BE">
              <w:rPr>
                <w:noProof/>
                <w:webHidden/>
              </w:rPr>
              <w:instrText xml:space="preserve"> PAGEREF _Toc325456707 \h </w:instrText>
            </w:r>
            <w:r>
              <w:rPr>
                <w:noProof/>
                <w:webHidden/>
              </w:rPr>
            </w:r>
            <w:r>
              <w:rPr>
                <w:noProof/>
                <w:webHidden/>
              </w:rPr>
              <w:fldChar w:fldCharType="separate"/>
            </w:r>
            <w:r w:rsidR="001231D3">
              <w:rPr>
                <w:noProof/>
                <w:webHidden/>
              </w:rPr>
              <w:t>87</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8" w:history="1">
            <w:r w:rsidR="00D870BE" w:rsidRPr="00792F42">
              <w:rPr>
                <w:rStyle w:val="Hyperlink"/>
                <w:noProof/>
              </w:rPr>
              <w:t>2.14</w:t>
            </w:r>
            <w:r w:rsidR="00D870BE">
              <w:rPr>
                <w:rFonts w:asciiTheme="minorHAnsi" w:eastAsiaTheme="minorEastAsia" w:hAnsiTheme="minorHAnsi" w:cstheme="minorBidi"/>
                <w:noProof/>
                <w:sz w:val="22"/>
                <w:szCs w:val="22"/>
              </w:rPr>
              <w:tab/>
            </w:r>
            <w:r w:rsidR="00D870BE" w:rsidRPr="00792F42">
              <w:rPr>
                <w:rStyle w:val="Hyperlink"/>
                <w:noProof/>
              </w:rPr>
              <w:t>Zwei Prozesse</w:t>
            </w:r>
            <w:r w:rsidR="00D870BE">
              <w:rPr>
                <w:noProof/>
                <w:webHidden/>
              </w:rPr>
              <w:tab/>
            </w:r>
            <w:r>
              <w:rPr>
                <w:noProof/>
                <w:webHidden/>
              </w:rPr>
              <w:fldChar w:fldCharType="begin"/>
            </w:r>
            <w:r w:rsidR="00D870BE">
              <w:rPr>
                <w:noProof/>
                <w:webHidden/>
              </w:rPr>
              <w:instrText xml:space="preserve"> PAGEREF _Toc325456708 \h </w:instrText>
            </w:r>
            <w:r>
              <w:rPr>
                <w:noProof/>
                <w:webHidden/>
              </w:rPr>
            </w:r>
            <w:r>
              <w:rPr>
                <w:noProof/>
                <w:webHidden/>
              </w:rPr>
              <w:fldChar w:fldCharType="separate"/>
            </w:r>
            <w:r w:rsidR="001231D3">
              <w:rPr>
                <w:noProof/>
                <w:webHidden/>
              </w:rPr>
              <w:t>89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09" w:history="1">
            <w:r w:rsidR="00D870BE" w:rsidRPr="00792F42">
              <w:rPr>
                <w:rStyle w:val="Hyperlink"/>
                <w:noProof/>
              </w:rPr>
              <w:t>2.15</w:t>
            </w:r>
            <w:r w:rsidR="00D870BE">
              <w:rPr>
                <w:rFonts w:asciiTheme="minorHAnsi" w:eastAsiaTheme="minorEastAsia" w:hAnsiTheme="minorHAnsi" w:cstheme="minorBidi"/>
                <w:noProof/>
                <w:sz w:val="22"/>
                <w:szCs w:val="22"/>
              </w:rPr>
              <w:tab/>
            </w:r>
            <w:r w:rsidR="00D870BE" w:rsidRPr="00792F42">
              <w:rPr>
                <w:rStyle w:val="Hyperlink"/>
                <w:noProof/>
              </w:rPr>
              <w:t>Die Interpretation</w:t>
            </w:r>
            <w:r w:rsidR="00D870BE">
              <w:rPr>
                <w:noProof/>
                <w:webHidden/>
              </w:rPr>
              <w:tab/>
            </w:r>
            <w:r>
              <w:rPr>
                <w:noProof/>
                <w:webHidden/>
              </w:rPr>
              <w:fldChar w:fldCharType="begin"/>
            </w:r>
            <w:r w:rsidR="00D870BE">
              <w:rPr>
                <w:noProof/>
                <w:webHidden/>
              </w:rPr>
              <w:instrText xml:space="preserve"> PAGEREF _Toc325456709 \h </w:instrText>
            </w:r>
            <w:r>
              <w:rPr>
                <w:noProof/>
                <w:webHidden/>
              </w:rPr>
            </w:r>
            <w:r>
              <w:rPr>
                <w:noProof/>
                <w:webHidden/>
              </w:rPr>
              <w:fldChar w:fldCharType="separate"/>
            </w:r>
            <w:r w:rsidR="001231D3">
              <w:rPr>
                <w:noProof/>
                <w:webHidden/>
              </w:rPr>
              <w:t>91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0" w:history="1">
            <w:r w:rsidR="00D870BE" w:rsidRPr="00792F42">
              <w:rPr>
                <w:rStyle w:val="Hyperlink"/>
                <w:noProof/>
              </w:rPr>
              <w:t>2.16</w:t>
            </w:r>
            <w:r w:rsidR="00D870BE">
              <w:rPr>
                <w:rFonts w:asciiTheme="minorHAnsi" w:eastAsiaTheme="minorEastAsia" w:hAnsiTheme="minorHAnsi" w:cstheme="minorBidi"/>
                <w:noProof/>
                <w:sz w:val="22"/>
                <w:szCs w:val="22"/>
              </w:rPr>
              <w:tab/>
            </w:r>
            <w:r w:rsidR="00D870BE" w:rsidRPr="00792F42">
              <w:rPr>
                <w:rStyle w:val="Hyperlink"/>
                <w:noProof/>
              </w:rPr>
              <w:t>Definition von Stil</w:t>
            </w:r>
            <w:r w:rsidR="00D870BE">
              <w:rPr>
                <w:noProof/>
                <w:webHidden/>
              </w:rPr>
              <w:tab/>
            </w:r>
            <w:r>
              <w:rPr>
                <w:noProof/>
                <w:webHidden/>
              </w:rPr>
              <w:fldChar w:fldCharType="begin"/>
            </w:r>
            <w:r w:rsidR="00D870BE">
              <w:rPr>
                <w:noProof/>
                <w:webHidden/>
              </w:rPr>
              <w:instrText xml:space="preserve"> PAGEREF _Toc325456710 \h </w:instrText>
            </w:r>
            <w:r>
              <w:rPr>
                <w:noProof/>
                <w:webHidden/>
              </w:rPr>
            </w:r>
            <w:r>
              <w:rPr>
                <w:noProof/>
                <w:webHidden/>
              </w:rPr>
              <w:fldChar w:fldCharType="separate"/>
            </w:r>
            <w:r w:rsidR="001231D3">
              <w:rPr>
                <w:noProof/>
                <w:webHidden/>
              </w:rPr>
              <w:t>93</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1" w:history="1">
            <w:r w:rsidR="00D870BE" w:rsidRPr="00792F42">
              <w:rPr>
                <w:rStyle w:val="Hyperlink"/>
                <w:noProof/>
              </w:rPr>
              <w:t>2.17</w:t>
            </w:r>
            <w:r w:rsidR="00D870BE">
              <w:rPr>
                <w:rFonts w:asciiTheme="minorHAnsi" w:eastAsiaTheme="minorEastAsia" w:hAnsiTheme="minorHAnsi" w:cstheme="minorBidi"/>
                <w:noProof/>
                <w:sz w:val="22"/>
                <w:szCs w:val="22"/>
              </w:rPr>
              <w:tab/>
            </w:r>
            <w:r w:rsidR="00D870BE" w:rsidRPr="00792F42">
              <w:rPr>
                <w:rStyle w:val="Hyperlink"/>
                <w:noProof/>
              </w:rPr>
              <w:t>Anwenden und Wahrnehmen von Stilen</w:t>
            </w:r>
            <w:r w:rsidR="00D870BE">
              <w:rPr>
                <w:noProof/>
                <w:webHidden/>
              </w:rPr>
              <w:tab/>
            </w:r>
            <w:r>
              <w:rPr>
                <w:noProof/>
                <w:webHidden/>
              </w:rPr>
              <w:fldChar w:fldCharType="begin"/>
            </w:r>
            <w:r w:rsidR="00D870BE">
              <w:rPr>
                <w:noProof/>
                <w:webHidden/>
              </w:rPr>
              <w:instrText xml:space="preserve"> PAGEREF _Toc325456711 \h </w:instrText>
            </w:r>
            <w:r>
              <w:rPr>
                <w:noProof/>
                <w:webHidden/>
              </w:rPr>
            </w:r>
            <w:r>
              <w:rPr>
                <w:noProof/>
                <w:webHidden/>
              </w:rPr>
              <w:fldChar w:fldCharType="separate"/>
            </w:r>
            <w:r w:rsidR="001231D3">
              <w:rPr>
                <w:noProof/>
                <w:webHidden/>
              </w:rPr>
              <w:t>97</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712" w:history="1">
            <w:r w:rsidR="00D870BE" w:rsidRPr="00792F42">
              <w:rPr>
                <w:rStyle w:val="Hyperlink"/>
                <w:noProof/>
              </w:rPr>
              <w:t>Kapitel 3: Ausgangspunkte in der Forschung</w:t>
            </w:r>
            <w:r w:rsidR="00D870BE">
              <w:rPr>
                <w:noProof/>
                <w:webHidden/>
              </w:rPr>
              <w:tab/>
            </w:r>
            <w:r>
              <w:rPr>
                <w:noProof/>
                <w:webHidden/>
              </w:rPr>
              <w:fldChar w:fldCharType="begin"/>
            </w:r>
            <w:r w:rsidR="00D870BE">
              <w:rPr>
                <w:noProof/>
                <w:webHidden/>
              </w:rPr>
              <w:instrText xml:space="preserve"> PAGEREF _Toc325456712 \h </w:instrText>
            </w:r>
            <w:r>
              <w:rPr>
                <w:noProof/>
                <w:webHidden/>
              </w:rPr>
            </w:r>
            <w:r>
              <w:rPr>
                <w:noProof/>
                <w:webHidden/>
              </w:rPr>
              <w:fldChar w:fldCharType="separate"/>
            </w:r>
            <w:r w:rsidR="001231D3">
              <w:rPr>
                <w:noProof/>
                <w:webHidden/>
              </w:rPr>
              <w:t>99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3" w:history="1">
            <w:r w:rsidR="00D870BE" w:rsidRPr="00792F42">
              <w:rPr>
                <w:rStyle w:val="Hyperlink"/>
                <w:noProof/>
              </w:rPr>
              <w:t>3.1</w:t>
            </w:r>
            <w:r w:rsidR="00D870BE">
              <w:rPr>
                <w:rFonts w:asciiTheme="minorHAnsi" w:eastAsiaTheme="minorEastAsia" w:hAnsiTheme="minorHAnsi" w:cstheme="minorBidi"/>
                <w:noProof/>
                <w:sz w:val="22"/>
                <w:szCs w:val="22"/>
              </w:rPr>
              <w:tab/>
            </w:r>
            <w:r w:rsidR="00D870BE" w:rsidRPr="00792F42">
              <w:rPr>
                <w:rStyle w:val="Hyperlink"/>
                <w:noProof/>
              </w:rPr>
              <w:t>Stil als Auswahl</w:t>
            </w:r>
            <w:r w:rsidR="00D870BE">
              <w:rPr>
                <w:noProof/>
                <w:webHidden/>
              </w:rPr>
              <w:tab/>
            </w:r>
            <w:r>
              <w:rPr>
                <w:noProof/>
                <w:webHidden/>
              </w:rPr>
              <w:fldChar w:fldCharType="begin"/>
            </w:r>
            <w:r w:rsidR="00D870BE">
              <w:rPr>
                <w:noProof/>
                <w:webHidden/>
              </w:rPr>
              <w:instrText xml:space="preserve"> PAGEREF _Toc325456713 \h </w:instrText>
            </w:r>
            <w:r>
              <w:rPr>
                <w:noProof/>
                <w:webHidden/>
              </w:rPr>
            </w:r>
            <w:r>
              <w:rPr>
                <w:noProof/>
                <w:webHidden/>
              </w:rPr>
              <w:fldChar w:fldCharType="separate"/>
            </w:r>
            <w:r w:rsidR="001231D3">
              <w:rPr>
                <w:noProof/>
                <w:webHidden/>
              </w:rPr>
              <w:t>100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4" w:history="1">
            <w:r w:rsidR="00D870BE" w:rsidRPr="00792F42">
              <w:rPr>
                <w:rStyle w:val="Hyperlink"/>
                <w:rFonts w:eastAsia="Times New Roman" w:cs="Times New Roman"/>
                <w:noProof/>
              </w:rPr>
              <w:t>3.2</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 als Zeichen</w:t>
            </w:r>
            <w:r w:rsidR="00D870BE">
              <w:rPr>
                <w:noProof/>
                <w:webHidden/>
              </w:rPr>
              <w:tab/>
            </w:r>
            <w:r>
              <w:rPr>
                <w:noProof/>
                <w:webHidden/>
              </w:rPr>
              <w:fldChar w:fldCharType="begin"/>
            </w:r>
            <w:r w:rsidR="00D870BE">
              <w:rPr>
                <w:noProof/>
                <w:webHidden/>
              </w:rPr>
              <w:instrText xml:space="preserve"> PAGEREF _Toc325456714 \h </w:instrText>
            </w:r>
            <w:r>
              <w:rPr>
                <w:noProof/>
                <w:webHidden/>
              </w:rPr>
            </w:r>
            <w:r>
              <w:rPr>
                <w:noProof/>
                <w:webHidden/>
              </w:rPr>
              <w:fldChar w:fldCharType="separate"/>
            </w:r>
            <w:r w:rsidR="001231D3">
              <w:rPr>
                <w:noProof/>
                <w:webHidden/>
              </w:rPr>
              <w:t>103</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5" w:history="1">
            <w:r w:rsidR="00D870BE" w:rsidRPr="00792F42">
              <w:rPr>
                <w:rStyle w:val="Hyperlink"/>
                <w:rFonts w:eastAsia="Times New Roman" w:cs="Times New Roman"/>
                <w:noProof/>
              </w:rPr>
              <w:t>3.3</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 als Information</w:t>
            </w:r>
            <w:r w:rsidR="00D870BE">
              <w:rPr>
                <w:noProof/>
                <w:webHidden/>
              </w:rPr>
              <w:tab/>
            </w:r>
            <w:r>
              <w:rPr>
                <w:noProof/>
                <w:webHidden/>
              </w:rPr>
              <w:fldChar w:fldCharType="begin"/>
            </w:r>
            <w:r w:rsidR="00D870BE">
              <w:rPr>
                <w:noProof/>
                <w:webHidden/>
              </w:rPr>
              <w:instrText xml:space="preserve"> PAGEREF _Toc325456715 \h </w:instrText>
            </w:r>
            <w:r>
              <w:rPr>
                <w:noProof/>
                <w:webHidden/>
              </w:rPr>
            </w:r>
            <w:r>
              <w:rPr>
                <w:noProof/>
                <w:webHidden/>
              </w:rPr>
              <w:fldChar w:fldCharType="separate"/>
            </w:r>
            <w:r w:rsidR="001231D3">
              <w:rPr>
                <w:noProof/>
                <w:webHidden/>
              </w:rPr>
              <w:t>109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6" w:history="1">
            <w:r w:rsidR="00D870BE" w:rsidRPr="00792F42">
              <w:rPr>
                <w:rStyle w:val="Hyperlink"/>
                <w:noProof/>
              </w:rPr>
              <w:t>3.4</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 als Abweichung oder Häufigkeit</w:t>
            </w:r>
            <w:r w:rsidR="00D870BE">
              <w:rPr>
                <w:noProof/>
                <w:webHidden/>
              </w:rPr>
              <w:tab/>
            </w:r>
            <w:r>
              <w:rPr>
                <w:noProof/>
                <w:webHidden/>
              </w:rPr>
              <w:fldChar w:fldCharType="begin"/>
            </w:r>
            <w:r w:rsidR="00D870BE">
              <w:rPr>
                <w:noProof/>
                <w:webHidden/>
              </w:rPr>
              <w:instrText xml:space="preserve"> PAGEREF _Toc325456716 \h </w:instrText>
            </w:r>
            <w:r>
              <w:rPr>
                <w:noProof/>
                <w:webHidden/>
              </w:rPr>
            </w:r>
            <w:r>
              <w:rPr>
                <w:noProof/>
                <w:webHidden/>
              </w:rPr>
              <w:fldChar w:fldCharType="separate"/>
            </w:r>
            <w:r w:rsidR="001231D3">
              <w:rPr>
                <w:noProof/>
                <w:webHidden/>
              </w:rPr>
              <w:t>112</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7" w:history="1">
            <w:r w:rsidR="00D870BE" w:rsidRPr="00792F42">
              <w:rPr>
                <w:rStyle w:val="Hyperlink"/>
                <w:noProof/>
              </w:rPr>
              <w:t>3.5</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 als Regel oder Muster</w:t>
            </w:r>
            <w:r w:rsidR="00D870BE">
              <w:rPr>
                <w:noProof/>
                <w:webHidden/>
              </w:rPr>
              <w:tab/>
            </w:r>
            <w:r>
              <w:rPr>
                <w:noProof/>
                <w:webHidden/>
              </w:rPr>
              <w:fldChar w:fldCharType="begin"/>
            </w:r>
            <w:r w:rsidR="00D870BE">
              <w:rPr>
                <w:noProof/>
                <w:webHidden/>
              </w:rPr>
              <w:instrText xml:space="preserve"> PAGEREF _Toc325456717 \h </w:instrText>
            </w:r>
            <w:r>
              <w:rPr>
                <w:noProof/>
                <w:webHidden/>
              </w:rPr>
            </w:r>
            <w:r>
              <w:rPr>
                <w:noProof/>
                <w:webHidden/>
              </w:rPr>
              <w:fldChar w:fldCharType="separate"/>
            </w:r>
            <w:r w:rsidR="001231D3">
              <w:rPr>
                <w:noProof/>
                <w:webHidden/>
              </w:rPr>
              <w:t>115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8" w:history="1">
            <w:r w:rsidR="00D870BE" w:rsidRPr="00792F42">
              <w:rPr>
                <w:rStyle w:val="Hyperlink"/>
                <w:noProof/>
              </w:rPr>
              <w:t>3.6</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 als Struktur</w:t>
            </w:r>
            <w:r w:rsidR="00D870BE">
              <w:rPr>
                <w:noProof/>
                <w:webHidden/>
              </w:rPr>
              <w:tab/>
            </w:r>
            <w:r>
              <w:rPr>
                <w:noProof/>
                <w:webHidden/>
              </w:rPr>
              <w:fldChar w:fldCharType="begin"/>
            </w:r>
            <w:r w:rsidR="00D870BE">
              <w:rPr>
                <w:noProof/>
                <w:webHidden/>
              </w:rPr>
              <w:instrText xml:space="preserve"> PAGEREF _Toc325456718 \h </w:instrText>
            </w:r>
            <w:r>
              <w:rPr>
                <w:noProof/>
                <w:webHidden/>
              </w:rPr>
            </w:r>
            <w:r>
              <w:rPr>
                <w:noProof/>
                <w:webHidden/>
              </w:rPr>
              <w:fldChar w:fldCharType="separate"/>
            </w:r>
            <w:r w:rsidR="001231D3">
              <w:rPr>
                <w:noProof/>
                <w:webHidden/>
              </w:rPr>
              <w:t>119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19" w:history="1">
            <w:r w:rsidR="00D870BE" w:rsidRPr="00792F42">
              <w:rPr>
                <w:rStyle w:val="Hyperlink"/>
                <w:rFonts w:eastAsia="Times New Roman" w:cs="Times New Roman"/>
                <w:noProof/>
              </w:rPr>
              <w:t>3.7</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Stilinterpretation als Zeichenprozess</w:t>
            </w:r>
            <w:r w:rsidR="00D870BE">
              <w:rPr>
                <w:noProof/>
                <w:webHidden/>
              </w:rPr>
              <w:tab/>
            </w:r>
            <w:r>
              <w:rPr>
                <w:noProof/>
                <w:webHidden/>
              </w:rPr>
              <w:fldChar w:fldCharType="begin"/>
            </w:r>
            <w:r w:rsidR="00D870BE">
              <w:rPr>
                <w:noProof/>
                <w:webHidden/>
              </w:rPr>
              <w:instrText xml:space="preserve"> PAGEREF _Toc325456719 \h </w:instrText>
            </w:r>
            <w:r>
              <w:rPr>
                <w:noProof/>
                <w:webHidden/>
              </w:rPr>
            </w:r>
            <w:r>
              <w:rPr>
                <w:noProof/>
                <w:webHidden/>
              </w:rPr>
              <w:fldChar w:fldCharType="separate"/>
            </w:r>
            <w:r w:rsidR="001231D3">
              <w:rPr>
                <w:noProof/>
                <w:webHidden/>
              </w:rPr>
              <w:t>124</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20" w:history="1">
            <w:r w:rsidR="00D870BE" w:rsidRPr="00792F42">
              <w:rPr>
                <w:rStyle w:val="Hyperlink"/>
                <w:noProof/>
              </w:rPr>
              <w:t>3.8</w:t>
            </w:r>
            <w:r w:rsidR="00D870BE">
              <w:rPr>
                <w:rFonts w:asciiTheme="minorHAnsi" w:eastAsiaTheme="minorEastAsia" w:hAnsiTheme="minorHAnsi" w:cstheme="minorBidi"/>
                <w:noProof/>
                <w:sz w:val="22"/>
                <w:szCs w:val="22"/>
              </w:rPr>
              <w:tab/>
            </w:r>
            <w:r w:rsidR="00D870BE" w:rsidRPr="00792F42">
              <w:rPr>
                <w:rStyle w:val="Hyperlink"/>
                <w:rFonts w:eastAsia="Times New Roman" w:cs="Times New Roman"/>
                <w:noProof/>
              </w:rPr>
              <w:t>Individualität und Allgemeinheit von Stilen</w:t>
            </w:r>
            <w:r w:rsidR="00D870BE">
              <w:rPr>
                <w:noProof/>
                <w:webHidden/>
              </w:rPr>
              <w:tab/>
            </w:r>
            <w:r>
              <w:rPr>
                <w:noProof/>
                <w:webHidden/>
              </w:rPr>
              <w:fldChar w:fldCharType="begin"/>
            </w:r>
            <w:r w:rsidR="00D870BE">
              <w:rPr>
                <w:noProof/>
                <w:webHidden/>
              </w:rPr>
              <w:instrText xml:space="preserve"> PAGEREF _Toc325456720 \h </w:instrText>
            </w:r>
            <w:r>
              <w:rPr>
                <w:noProof/>
                <w:webHidden/>
              </w:rPr>
            </w:r>
            <w:r>
              <w:rPr>
                <w:noProof/>
                <w:webHidden/>
              </w:rPr>
              <w:fldChar w:fldCharType="separate"/>
            </w:r>
            <w:r w:rsidR="001231D3">
              <w:rPr>
                <w:noProof/>
                <w:webHidden/>
              </w:rPr>
              <w:t>126</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721" w:history="1">
            <w:r w:rsidR="00D870BE" w:rsidRPr="00792F42">
              <w:rPr>
                <w:rStyle w:val="Hyperlink"/>
                <w:noProof/>
              </w:rPr>
              <w:t>Kapitel 4: Schemata und Alternativenklassen</w:t>
            </w:r>
            <w:r w:rsidR="00D870BE">
              <w:rPr>
                <w:noProof/>
                <w:webHidden/>
              </w:rPr>
              <w:tab/>
            </w:r>
            <w:r>
              <w:rPr>
                <w:noProof/>
                <w:webHidden/>
              </w:rPr>
              <w:fldChar w:fldCharType="begin"/>
            </w:r>
            <w:r w:rsidR="00D870BE">
              <w:rPr>
                <w:noProof/>
                <w:webHidden/>
              </w:rPr>
              <w:instrText xml:space="preserve"> PAGEREF _Toc325456721 \h </w:instrText>
            </w:r>
            <w:r>
              <w:rPr>
                <w:noProof/>
                <w:webHidden/>
              </w:rPr>
            </w:r>
            <w:r>
              <w:rPr>
                <w:noProof/>
                <w:webHidden/>
              </w:rPr>
              <w:fldChar w:fldCharType="separate"/>
            </w:r>
            <w:r w:rsidR="001231D3">
              <w:rPr>
                <w:noProof/>
                <w:webHidden/>
              </w:rPr>
              <w:t>131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22" w:history="1">
            <w:r w:rsidR="00D870BE" w:rsidRPr="00792F42">
              <w:rPr>
                <w:rStyle w:val="Hyperlink"/>
                <w:noProof/>
              </w:rPr>
              <w:t>4.1</w:t>
            </w:r>
            <w:r w:rsidR="00D870BE">
              <w:rPr>
                <w:rFonts w:asciiTheme="minorHAnsi" w:eastAsiaTheme="minorEastAsia" w:hAnsiTheme="minorHAnsi" w:cstheme="minorBidi"/>
                <w:noProof/>
                <w:sz w:val="22"/>
                <w:szCs w:val="22"/>
              </w:rPr>
              <w:tab/>
            </w:r>
            <w:r w:rsidR="00D870BE" w:rsidRPr="00792F42">
              <w:rPr>
                <w:rStyle w:val="Hyperlink"/>
                <w:noProof/>
              </w:rPr>
              <w:t>Übersicht über das Stilmodell</w:t>
            </w:r>
            <w:r w:rsidR="00D870BE">
              <w:rPr>
                <w:noProof/>
                <w:webHidden/>
              </w:rPr>
              <w:tab/>
            </w:r>
            <w:r>
              <w:rPr>
                <w:noProof/>
                <w:webHidden/>
              </w:rPr>
              <w:fldChar w:fldCharType="begin"/>
            </w:r>
            <w:r w:rsidR="00D870BE">
              <w:rPr>
                <w:noProof/>
                <w:webHidden/>
              </w:rPr>
              <w:instrText xml:space="preserve"> PAGEREF _Toc325456722 \h </w:instrText>
            </w:r>
            <w:r>
              <w:rPr>
                <w:noProof/>
                <w:webHidden/>
              </w:rPr>
            </w:r>
            <w:r>
              <w:rPr>
                <w:noProof/>
                <w:webHidden/>
              </w:rPr>
              <w:fldChar w:fldCharType="separate"/>
            </w:r>
            <w:r w:rsidR="001231D3">
              <w:rPr>
                <w:noProof/>
                <w:webHidden/>
              </w:rPr>
              <w:t>131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23" w:history="1">
            <w:r w:rsidR="00D870BE" w:rsidRPr="00792F42">
              <w:rPr>
                <w:rStyle w:val="Hyperlink"/>
                <w:noProof/>
              </w:rPr>
              <w:t>4.2</w:t>
            </w:r>
            <w:r w:rsidR="00D870BE">
              <w:rPr>
                <w:rFonts w:asciiTheme="minorHAnsi" w:eastAsiaTheme="minorEastAsia" w:hAnsiTheme="minorHAnsi" w:cstheme="minorBidi"/>
                <w:noProof/>
                <w:sz w:val="22"/>
                <w:szCs w:val="22"/>
              </w:rPr>
              <w:tab/>
            </w:r>
            <w:r w:rsidR="00D870BE" w:rsidRPr="00792F42">
              <w:rPr>
                <w:rStyle w:val="Hyperlink"/>
                <w:noProof/>
              </w:rPr>
              <w:t>Schema und Schemaort</w:t>
            </w:r>
            <w:r w:rsidR="00D870BE">
              <w:rPr>
                <w:noProof/>
                <w:webHidden/>
              </w:rPr>
              <w:tab/>
            </w:r>
            <w:r>
              <w:rPr>
                <w:noProof/>
                <w:webHidden/>
              </w:rPr>
              <w:fldChar w:fldCharType="begin"/>
            </w:r>
            <w:r w:rsidR="00D870BE">
              <w:rPr>
                <w:noProof/>
                <w:webHidden/>
              </w:rPr>
              <w:instrText xml:space="preserve"> PAGEREF _Toc325456723 \h </w:instrText>
            </w:r>
            <w:r>
              <w:rPr>
                <w:noProof/>
                <w:webHidden/>
              </w:rPr>
            </w:r>
            <w:r>
              <w:rPr>
                <w:noProof/>
                <w:webHidden/>
              </w:rPr>
              <w:fldChar w:fldCharType="separate"/>
            </w:r>
            <w:r w:rsidR="001231D3">
              <w:rPr>
                <w:noProof/>
                <w:webHidden/>
              </w:rPr>
              <w:t>133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4" w:history="1">
            <w:r w:rsidR="00D870BE" w:rsidRPr="00792F42">
              <w:rPr>
                <w:rStyle w:val="Hyperlink"/>
                <w:noProof/>
              </w:rPr>
              <w:t>4.2.1</w:t>
            </w:r>
            <w:r w:rsidR="00D870BE">
              <w:rPr>
                <w:rFonts w:asciiTheme="minorHAnsi" w:eastAsiaTheme="minorEastAsia" w:hAnsiTheme="minorHAnsi" w:cstheme="minorBidi"/>
                <w:noProof/>
                <w:sz w:val="22"/>
                <w:szCs w:val="22"/>
              </w:rPr>
              <w:tab/>
            </w:r>
            <w:r w:rsidR="00D870BE" w:rsidRPr="00792F42">
              <w:rPr>
                <w:rStyle w:val="Hyperlink"/>
                <w:noProof/>
              </w:rPr>
              <w:t>Der Möglichkeitsraum für Alternativen</w:t>
            </w:r>
            <w:r w:rsidR="00D870BE">
              <w:rPr>
                <w:noProof/>
                <w:webHidden/>
              </w:rPr>
              <w:tab/>
            </w:r>
            <w:r>
              <w:rPr>
                <w:noProof/>
                <w:webHidden/>
              </w:rPr>
              <w:fldChar w:fldCharType="begin"/>
            </w:r>
            <w:r w:rsidR="00D870BE">
              <w:rPr>
                <w:noProof/>
                <w:webHidden/>
              </w:rPr>
              <w:instrText xml:space="preserve"> PAGEREF _Toc325456724 \h </w:instrText>
            </w:r>
            <w:r>
              <w:rPr>
                <w:noProof/>
                <w:webHidden/>
              </w:rPr>
            </w:r>
            <w:r>
              <w:rPr>
                <w:noProof/>
                <w:webHidden/>
              </w:rPr>
              <w:fldChar w:fldCharType="separate"/>
            </w:r>
            <w:r w:rsidR="001231D3">
              <w:rPr>
                <w:noProof/>
                <w:webHidden/>
              </w:rPr>
              <w:t>133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5" w:history="1">
            <w:r w:rsidR="00D870BE" w:rsidRPr="00792F42">
              <w:rPr>
                <w:rStyle w:val="Hyperlink"/>
                <w:noProof/>
              </w:rPr>
              <w:t>4.2.2</w:t>
            </w:r>
            <w:r w:rsidR="00D870BE">
              <w:rPr>
                <w:rFonts w:asciiTheme="minorHAnsi" w:eastAsiaTheme="minorEastAsia" w:hAnsiTheme="minorHAnsi" w:cstheme="minorBidi"/>
                <w:noProof/>
                <w:sz w:val="22"/>
                <w:szCs w:val="22"/>
              </w:rPr>
              <w:tab/>
            </w:r>
            <w:r w:rsidR="00D870BE" w:rsidRPr="00792F42">
              <w:rPr>
                <w:rStyle w:val="Hyperlink"/>
                <w:noProof/>
              </w:rPr>
              <w:t>Schemata</w:t>
            </w:r>
            <w:r w:rsidR="00D870BE">
              <w:rPr>
                <w:noProof/>
                <w:webHidden/>
              </w:rPr>
              <w:tab/>
            </w:r>
            <w:r>
              <w:rPr>
                <w:noProof/>
                <w:webHidden/>
              </w:rPr>
              <w:fldChar w:fldCharType="begin"/>
            </w:r>
            <w:r w:rsidR="00D870BE">
              <w:rPr>
                <w:noProof/>
                <w:webHidden/>
              </w:rPr>
              <w:instrText xml:space="preserve"> PAGEREF _Toc325456725 \h </w:instrText>
            </w:r>
            <w:r>
              <w:rPr>
                <w:noProof/>
                <w:webHidden/>
              </w:rPr>
            </w:r>
            <w:r>
              <w:rPr>
                <w:noProof/>
                <w:webHidden/>
              </w:rPr>
              <w:fldChar w:fldCharType="separate"/>
            </w:r>
            <w:r w:rsidR="001231D3">
              <w:rPr>
                <w:noProof/>
                <w:webHidden/>
              </w:rPr>
              <w:t>134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6" w:history="1">
            <w:r w:rsidR="00D870BE" w:rsidRPr="00792F42">
              <w:rPr>
                <w:rStyle w:val="Hyperlink"/>
                <w:noProof/>
              </w:rPr>
              <w:t>4.2.3</w:t>
            </w:r>
            <w:r w:rsidR="00D870BE">
              <w:rPr>
                <w:rFonts w:asciiTheme="minorHAnsi" w:eastAsiaTheme="minorEastAsia" w:hAnsiTheme="minorHAnsi" w:cstheme="minorBidi"/>
                <w:noProof/>
                <w:sz w:val="22"/>
                <w:szCs w:val="22"/>
              </w:rPr>
              <w:tab/>
            </w:r>
            <w:r w:rsidR="00D870BE" w:rsidRPr="00792F42">
              <w:rPr>
                <w:rStyle w:val="Hyperlink"/>
                <w:noProof/>
              </w:rPr>
              <w:t>Schemaorte</w:t>
            </w:r>
            <w:r w:rsidR="00D870BE">
              <w:rPr>
                <w:noProof/>
                <w:webHidden/>
              </w:rPr>
              <w:tab/>
            </w:r>
            <w:r>
              <w:rPr>
                <w:noProof/>
                <w:webHidden/>
              </w:rPr>
              <w:fldChar w:fldCharType="begin"/>
            </w:r>
            <w:r w:rsidR="00D870BE">
              <w:rPr>
                <w:noProof/>
                <w:webHidden/>
              </w:rPr>
              <w:instrText xml:space="preserve"> PAGEREF _Toc325456726 \h </w:instrText>
            </w:r>
            <w:r>
              <w:rPr>
                <w:noProof/>
                <w:webHidden/>
              </w:rPr>
            </w:r>
            <w:r>
              <w:rPr>
                <w:noProof/>
                <w:webHidden/>
              </w:rPr>
              <w:fldChar w:fldCharType="separate"/>
            </w:r>
            <w:r w:rsidR="001231D3">
              <w:rPr>
                <w:noProof/>
                <w:webHidden/>
              </w:rPr>
              <w:t>141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7" w:history="1">
            <w:r w:rsidR="00D870BE" w:rsidRPr="00792F42">
              <w:rPr>
                <w:rStyle w:val="Hyperlink"/>
                <w:noProof/>
              </w:rPr>
              <w:t>4.2.4</w:t>
            </w:r>
            <w:r w:rsidR="00D870BE">
              <w:rPr>
                <w:rFonts w:asciiTheme="minorHAnsi" w:eastAsiaTheme="minorEastAsia" w:hAnsiTheme="minorHAnsi" w:cstheme="minorBidi"/>
                <w:noProof/>
                <w:sz w:val="22"/>
                <w:szCs w:val="22"/>
              </w:rPr>
              <w:tab/>
            </w:r>
            <w:r w:rsidR="00D870BE" w:rsidRPr="00792F42">
              <w:rPr>
                <w:rStyle w:val="Hyperlink"/>
                <w:noProof/>
              </w:rPr>
              <w:t>Unterschemata</w:t>
            </w:r>
            <w:r w:rsidR="00D870BE">
              <w:rPr>
                <w:noProof/>
                <w:webHidden/>
              </w:rPr>
              <w:tab/>
            </w:r>
            <w:r>
              <w:rPr>
                <w:noProof/>
                <w:webHidden/>
              </w:rPr>
              <w:fldChar w:fldCharType="begin"/>
            </w:r>
            <w:r w:rsidR="00D870BE">
              <w:rPr>
                <w:noProof/>
                <w:webHidden/>
              </w:rPr>
              <w:instrText xml:space="preserve"> PAGEREF _Toc325456727 \h </w:instrText>
            </w:r>
            <w:r>
              <w:rPr>
                <w:noProof/>
                <w:webHidden/>
              </w:rPr>
            </w:r>
            <w:r>
              <w:rPr>
                <w:noProof/>
                <w:webHidden/>
              </w:rPr>
              <w:fldChar w:fldCharType="separate"/>
            </w:r>
            <w:r w:rsidR="001231D3">
              <w:rPr>
                <w:noProof/>
                <w:webHidden/>
              </w:rPr>
              <w:t>144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8" w:history="1">
            <w:r w:rsidR="00D870BE" w:rsidRPr="00792F42">
              <w:rPr>
                <w:rStyle w:val="Hyperlink"/>
                <w:noProof/>
              </w:rPr>
              <w:t>4.2.5</w:t>
            </w:r>
            <w:r w:rsidR="00D870BE">
              <w:rPr>
                <w:rFonts w:asciiTheme="minorHAnsi" w:eastAsiaTheme="minorEastAsia" w:hAnsiTheme="minorHAnsi" w:cstheme="minorBidi"/>
                <w:noProof/>
                <w:sz w:val="22"/>
                <w:szCs w:val="22"/>
              </w:rPr>
              <w:tab/>
            </w:r>
            <w:r w:rsidR="00D870BE" w:rsidRPr="00792F42">
              <w:rPr>
                <w:rStyle w:val="Hyperlink"/>
                <w:noProof/>
              </w:rPr>
              <w:t>Zusammenfassende Überlegungen</w:t>
            </w:r>
            <w:r w:rsidR="00D870BE">
              <w:rPr>
                <w:noProof/>
                <w:webHidden/>
              </w:rPr>
              <w:tab/>
            </w:r>
            <w:r>
              <w:rPr>
                <w:noProof/>
                <w:webHidden/>
              </w:rPr>
              <w:fldChar w:fldCharType="begin"/>
            </w:r>
            <w:r w:rsidR="00D870BE">
              <w:rPr>
                <w:noProof/>
                <w:webHidden/>
              </w:rPr>
              <w:instrText xml:space="preserve"> PAGEREF _Toc325456728 \h </w:instrText>
            </w:r>
            <w:r>
              <w:rPr>
                <w:noProof/>
                <w:webHidden/>
              </w:rPr>
            </w:r>
            <w:r>
              <w:rPr>
                <w:noProof/>
                <w:webHidden/>
              </w:rPr>
              <w:fldChar w:fldCharType="separate"/>
            </w:r>
            <w:r w:rsidR="001231D3">
              <w:rPr>
                <w:noProof/>
                <w:webHidden/>
              </w:rPr>
              <w:t>144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29" w:history="1">
            <w:r w:rsidR="00D870BE" w:rsidRPr="00792F42">
              <w:rPr>
                <w:rStyle w:val="Hyperlink"/>
                <w:noProof/>
              </w:rPr>
              <w:t>4.2.6</w:t>
            </w:r>
            <w:r w:rsidR="00D870BE">
              <w:rPr>
                <w:rFonts w:asciiTheme="minorHAnsi" w:eastAsiaTheme="minorEastAsia" w:hAnsiTheme="minorHAnsi" w:cstheme="minorBidi"/>
                <w:noProof/>
                <w:sz w:val="22"/>
                <w:szCs w:val="22"/>
              </w:rPr>
              <w:tab/>
            </w:r>
            <w:r w:rsidR="00D870BE" w:rsidRPr="00792F42">
              <w:rPr>
                <w:rStyle w:val="Hyperlink"/>
                <w:noProof/>
              </w:rPr>
              <w:t>Definition von Schema und Schemaort durch Eigenschaften</w:t>
            </w:r>
            <w:r w:rsidR="00D870BE">
              <w:rPr>
                <w:noProof/>
                <w:webHidden/>
              </w:rPr>
              <w:tab/>
            </w:r>
            <w:r>
              <w:rPr>
                <w:noProof/>
                <w:webHidden/>
              </w:rPr>
              <w:fldChar w:fldCharType="begin"/>
            </w:r>
            <w:r w:rsidR="00D870BE">
              <w:rPr>
                <w:noProof/>
                <w:webHidden/>
              </w:rPr>
              <w:instrText xml:space="preserve"> PAGEREF _Toc325456729 \h </w:instrText>
            </w:r>
            <w:r>
              <w:rPr>
                <w:noProof/>
                <w:webHidden/>
              </w:rPr>
            </w:r>
            <w:r>
              <w:rPr>
                <w:noProof/>
                <w:webHidden/>
              </w:rPr>
              <w:fldChar w:fldCharType="separate"/>
            </w:r>
            <w:r w:rsidR="001231D3">
              <w:rPr>
                <w:noProof/>
                <w:webHidden/>
              </w:rPr>
              <w:t>146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30" w:history="1">
            <w:r w:rsidR="00D870BE" w:rsidRPr="00792F42">
              <w:rPr>
                <w:rStyle w:val="Hyperlink"/>
                <w:noProof/>
              </w:rPr>
              <w:t>4.2.7</w:t>
            </w:r>
            <w:r w:rsidR="00D870BE">
              <w:rPr>
                <w:rFonts w:asciiTheme="minorHAnsi" w:eastAsiaTheme="minorEastAsia" w:hAnsiTheme="minorHAnsi" w:cstheme="minorBidi"/>
                <w:noProof/>
                <w:sz w:val="22"/>
                <w:szCs w:val="22"/>
              </w:rPr>
              <w:tab/>
            </w:r>
            <w:r w:rsidR="00D870BE" w:rsidRPr="00792F42">
              <w:rPr>
                <w:rStyle w:val="Hyperlink"/>
                <w:noProof/>
              </w:rPr>
              <w:t>Kreativer Umgang mit Schemata</w:t>
            </w:r>
            <w:r w:rsidR="00D870BE">
              <w:rPr>
                <w:noProof/>
                <w:webHidden/>
              </w:rPr>
              <w:tab/>
            </w:r>
            <w:r>
              <w:rPr>
                <w:noProof/>
                <w:webHidden/>
              </w:rPr>
              <w:fldChar w:fldCharType="begin"/>
            </w:r>
            <w:r w:rsidR="00D870BE">
              <w:rPr>
                <w:noProof/>
                <w:webHidden/>
              </w:rPr>
              <w:instrText xml:space="preserve"> PAGEREF _Toc325456730 \h </w:instrText>
            </w:r>
            <w:r>
              <w:rPr>
                <w:noProof/>
                <w:webHidden/>
              </w:rPr>
            </w:r>
            <w:r>
              <w:rPr>
                <w:noProof/>
                <w:webHidden/>
              </w:rPr>
              <w:fldChar w:fldCharType="separate"/>
            </w:r>
            <w:r w:rsidR="001231D3">
              <w:rPr>
                <w:noProof/>
                <w:webHidden/>
              </w:rPr>
              <w:t>148</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31" w:history="1">
            <w:r w:rsidR="00D870BE" w:rsidRPr="00792F42">
              <w:rPr>
                <w:rStyle w:val="Hyperlink"/>
                <w:noProof/>
              </w:rPr>
              <w:t>4.3</w:t>
            </w:r>
            <w:r w:rsidR="00D870BE">
              <w:rPr>
                <w:rFonts w:asciiTheme="minorHAnsi" w:eastAsiaTheme="minorEastAsia" w:hAnsiTheme="minorHAnsi" w:cstheme="minorBidi"/>
                <w:noProof/>
                <w:sz w:val="22"/>
                <w:szCs w:val="22"/>
              </w:rPr>
              <w:tab/>
            </w:r>
            <w:r w:rsidR="00D870BE" w:rsidRPr="00792F42">
              <w:rPr>
                <w:rStyle w:val="Hyperlink"/>
                <w:noProof/>
              </w:rPr>
              <w:t>Eigenschaften von Elementen</w:t>
            </w:r>
            <w:r w:rsidR="00D870BE">
              <w:rPr>
                <w:noProof/>
                <w:webHidden/>
              </w:rPr>
              <w:tab/>
            </w:r>
            <w:r>
              <w:rPr>
                <w:noProof/>
                <w:webHidden/>
              </w:rPr>
              <w:fldChar w:fldCharType="begin"/>
            </w:r>
            <w:r w:rsidR="00D870BE">
              <w:rPr>
                <w:noProof/>
                <w:webHidden/>
              </w:rPr>
              <w:instrText xml:space="preserve"> PAGEREF _Toc325456731 \h </w:instrText>
            </w:r>
            <w:r>
              <w:rPr>
                <w:noProof/>
                <w:webHidden/>
              </w:rPr>
            </w:r>
            <w:r>
              <w:rPr>
                <w:noProof/>
                <w:webHidden/>
              </w:rPr>
              <w:fldChar w:fldCharType="separate"/>
            </w:r>
            <w:r w:rsidR="001231D3">
              <w:rPr>
                <w:noProof/>
                <w:webHidden/>
              </w:rPr>
              <w:t>149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32" w:history="1">
            <w:r w:rsidR="00D870BE" w:rsidRPr="00792F42">
              <w:rPr>
                <w:rStyle w:val="Hyperlink"/>
                <w:noProof/>
              </w:rPr>
              <w:t>4.3.1</w:t>
            </w:r>
            <w:r w:rsidR="00D870BE">
              <w:rPr>
                <w:rFonts w:asciiTheme="minorHAnsi" w:eastAsiaTheme="minorEastAsia" w:hAnsiTheme="minorHAnsi" w:cstheme="minorBidi"/>
                <w:noProof/>
                <w:sz w:val="22"/>
                <w:szCs w:val="22"/>
              </w:rPr>
              <w:tab/>
            </w:r>
            <w:r w:rsidR="00D870BE" w:rsidRPr="00792F42">
              <w:rPr>
                <w:rStyle w:val="Hyperlink"/>
                <w:noProof/>
              </w:rPr>
              <w:t>Eigenschaften aus Alternativenbedingungen</w:t>
            </w:r>
            <w:r w:rsidR="00D870BE">
              <w:rPr>
                <w:noProof/>
                <w:webHidden/>
              </w:rPr>
              <w:tab/>
            </w:r>
            <w:r>
              <w:rPr>
                <w:noProof/>
                <w:webHidden/>
              </w:rPr>
              <w:fldChar w:fldCharType="begin"/>
            </w:r>
            <w:r w:rsidR="00D870BE">
              <w:rPr>
                <w:noProof/>
                <w:webHidden/>
              </w:rPr>
              <w:instrText xml:space="preserve"> PAGEREF _Toc325456732 \h </w:instrText>
            </w:r>
            <w:r>
              <w:rPr>
                <w:noProof/>
                <w:webHidden/>
              </w:rPr>
            </w:r>
            <w:r>
              <w:rPr>
                <w:noProof/>
                <w:webHidden/>
              </w:rPr>
              <w:fldChar w:fldCharType="separate"/>
            </w:r>
            <w:r w:rsidR="001231D3">
              <w:rPr>
                <w:noProof/>
                <w:webHidden/>
              </w:rPr>
              <w:t>150</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33" w:history="1">
            <w:r w:rsidR="00D870BE" w:rsidRPr="00792F42">
              <w:rPr>
                <w:rStyle w:val="Hyperlink"/>
                <w:noProof/>
              </w:rPr>
              <w:t>4.3.2</w:t>
            </w:r>
            <w:r w:rsidR="00D870BE">
              <w:rPr>
                <w:rFonts w:asciiTheme="minorHAnsi" w:eastAsiaTheme="minorEastAsia" w:hAnsiTheme="minorHAnsi" w:cstheme="minorBidi"/>
                <w:noProof/>
                <w:sz w:val="22"/>
                <w:szCs w:val="22"/>
              </w:rPr>
              <w:tab/>
            </w:r>
            <w:r w:rsidR="00D870BE" w:rsidRPr="00792F42">
              <w:rPr>
                <w:rStyle w:val="Hyperlink"/>
                <w:noProof/>
              </w:rPr>
              <w:t>Verlangte Eigenschaften</w:t>
            </w:r>
            <w:r w:rsidR="00D870BE">
              <w:rPr>
                <w:noProof/>
                <w:webHidden/>
              </w:rPr>
              <w:tab/>
            </w:r>
            <w:r>
              <w:rPr>
                <w:noProof/>
                <w:webHidden/>
              </w:rPr>
              <w:fldChar w:fldCharType="begin"/>
            </w:r>
            <w:r w:rsidR="00D870BE">
              <w:rPr>
                <w:noProof/>
                <w:webHidden/>
              </w:rPr>
              <w:instrText xml:space="preserve"> PAGEREF _Toc325456733 \h </w:instrText>
            </w:r>
            <w:r>
              <w:rPr>
                <w:noProof/>
                <w:webHidden/>
              </w:rPr>
            </w:r>
            <w:r>
              <w:rPr>
                <w:noProof/>
                <w:webHidden/>
              </w:rPr>
              <w:fldChar w:fldCharType="separate"/>
            </w:r>
            <w:r w:rsidR="001231D3">
              <w:rPr>
                <w:noProof/>
                <w:webHidden/>
              </w:rPr>
              <w:t>151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34" w:history="1">
            <w:r w:rsidR="00D870BE" w:rsidRPr="00792F42">
              <w:rPr>
                <w:rStyle w:val="Hyperlink"/>
                <w:noProof/>
              </w:rPr>
              <w:t>4.4</w:t>
            </w:r>
            <w:r w:rsidR="00D870BE">
              <w:rPr>
                <w:rFonts w:asciiTheme="minorHAnsi" w:eastAsiaTheme="minorEastAsia" w:hAnsiTheme="minorHAnsi" w:cstheme="minorBidi"/>
                <w:noProof/>
                <w:sz w:val="22"/>
                <w:szCs w:val="22"/>
              </w:rPr>
              <w:tab/>
            </w:r>
            <w:r w:rsidR="00D870BE" w:rsidRPr="00792F42">
              <w:rPr>
                <w:rStyle w:val="Hyperlink"/>
                <w:noProof/>
              </w:rPr>
              <w:t>Bildung von Alternativenklassen</w:t>
            </w:r>
            <w:r w:rsidR="00D870BE">
              <w:rPr>
                <w:noProof/>
                <w:webHidden/>
              </w:rPr>
              <w:tab/>
            </w:r>
            <w:r>
              <w:rPr>
                <w:noProof/>
                <w:webHidden/>
              </w:rPr>
              <w:fldChar w:fldCharType="begin"/>
            </w:r>
            <w:r w:rsidR="00D870BE">
              <w:rPr>
                <w:noProof/>
                <w:webHidden/>
              </w:rPr>
              <w:instrText xml:space="preserve"> PAGEREF _Toc325456734 \h </w:instrText>
            </w:r>
            <w:r>
              <w:rPr>
                <w:noProof/>
                <w:webHidden/>
              </w:rPr>
            </w:r>
            <w:r>
              <w:rPr>
                <w:noProof/>
                <w:webHidden/>
              </w:rPr>
              <w:fldChar w:fldCharType="separate"/>
            </w:r>
            <w:r w:rsidR="001231D3">
              <w:rPr>
                <w:noProof/>
                <w:webHidden/>
              </w:rPr>
              <w:t>159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35" w:history="1">
            <w:r w:rsidR="00D870BE" w:rsidRPr="00792F42">
              <w:rPr>
                <w:rStyle w:val="Hyperlink"/>
                <w:noProof/>
              </w:rPr>
              <w:t>4.5</w:t>
            </w:r>
            <w:r w:rsidR="00D870BE">
              <w:rPr>
                <w:rFonts w:asciiTheme="minorHAnsi" w:eastAsiaTheme="minorEastAsia" w:hAnsiTheme="minorHAnsi" w:cstheme="minorBidi"/>
                <w:noProof/>
                <w:sz w:val="22"/>
                <w:szCs w:val="22"/>
              </w:rPr>
              <w:tab/>
            </w:r>
            <w:r w:rsidR="00D870BE" w:rsidRPr="00792F42">
              <w:rPr>
                <w:rStyle w:val="Hyperlink"/>
                <w:noProof/>
              </w:rPr>
              <w:t>Die Realisierung</w:t>
            </w:r>
            <w:r w:rsidR="00D870BE">
              <w:rPr>
                <w:noProof/>
                <w:webHidden/>
              </w:rPr>
              <w:tab/>
            </w:r>
            <w:r>
              <w:rPr>
                <w:noProof/>
                <w:webHidden/>
              </w:rPr>
              <w:fldChar w:fldCharType="begin"/>
            </w:r>
            <w:r w:rsidR="00D870BE">
              <w:rPr>
                <w:noProof/>
                <w:webHidden/>
              </w:rPr>
              <w:instrText xml:space="preserve"> PAGEREF _Toc325456735 \h </w:instrText>
            </w:r>
            <w:r>
              <w:rPr>
                <w:noProof/>
                <w:webHidden/>
              </w:rPr>
            </w:r>
            <w:r>
              <w:rPr>
                <w:noProof/>
                <w:webHidden/>
              </w:rPr>
              <w:fldChar w:fldCharType="separate"/>
            </w:r>
            <w:r w:rsidR="001231D3">
              <w:rPr>
                <w:noProof/>
                <w:webHidden/>
              </w:rPr>
              <w:t>161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36" w:history="1">
            <w:r w:rsidR="00D870BE" w:rsidRPr="00792F42">
              <w:rPr>
                <w:rStyle w:val="Hyperlink"/>
                <w:noProof/>
              </w:rPr>
              <w:t>4.5.1</w:t>
            </w:r>
            <w:r w:rsidR="00D870BE">
              <w:rPr>
                <w:rFonts w:asciiTheme="minorHAnsi" w:eastAsiaTheme="minorEastAsia" w:hAnsiTheme="minorHAnsi" w:cstheme="minorBidi"/>
                <w:noProof/>
                <w:sz w:val="22"/>
                <w:szCs w:val="22"/>
              </w:rPr>
              <w:tab/>
            </w:r>
            <w:r w:rsidR="00D870BE" w:rsidRPr="00792F42">
              <w:rPr>
                <w:rStyle w:val="Hyperlink"/>
                <w:noProof/>
              </w:rPr>
              <w:t>Darstellung</w:t>
            </w:r>
            <w:r w:rsidR="00D870BE">
              <w:rPr>
                <w:noProof/>
                <w:webHidden/>
              </w:rPr>
              <w:tab/>
            </w:r>
            <w:r>
              <w:rPr>
                <w:noProof/>
                <w:webHidden/>
              </w:rPr>
              <w:fldChar w:fldCharType="begin"/>
            </w:r>
            <w:r w:rsidR="00D870BE">
              <w:rPr>
                <w:noProof/>
                <w:webHidden/>
              </w:rPr>
              <w:instrText xml:space="preserve"> PAGEREF _Toc325456736 \h </w:instrText>
            </w:r>
            <w:r>
              <w:rPr>
                <w:noProof/>
                <w:webHidden/>
              </w:rPr>
            </w:r>
            <w:r>
              <w:rPr>
                <w:noProof/>
                <w:webHidden/>
              </w:rPr>
              <w:fldChar w:fldCharType="separate"/>
            </w:r>
            <w:r w:rsidR="001231D3">
              <w:rPr>
                <w:noProof/>
                <w:webHidden/>
              </w:rPr>
              <w:t>164</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737" w:history="1">
            <w:r w:rsidR="00D870BE" w:rsidRPr="00792F42">
              <w:rPr>
                <w:rStyle w:val="Hyperlink"/>
                <w:noProof/>
              </w:rPr>
              <w:t>Kapitel 5: Der Merkmalsprozess</w:t>
            </w:r>
            <w:r w:rsidR="00D870BE">
              <w:rPr>
                <w:noProof/>
                <w:webHidden/>
              </w:rPr>
              <w:tab/>
            </w:r>
            <w:r>
              <w:rPr>
                <w:noProof/>
                <w:webHidden/>
              </w:rPr>
              <w:fldChar w:fldCharType="begin"/>
            </w:r>
            <w:r w:rsidR="00D870BE">
              <w:rPr>
                <w:noProof/>
                <w:webHidden/>
              </w:rPr>
              <w:instrText xml:space="preserve"> PAGEREF _Toc325456737 \h </w:instrText>
            </w:r>
            <w:r>
              <w:rPr>
                <w:noProof/>
                <w:webHidden/>
              </w:rPr>
            </w:r>
            <w:r>
              <w:rPr>
                <w:noProof/>
                <w:webHidden/>
              </w:rPr>
              <w:fldChar w:fldCharType="separate"/>
            </w:r>
            <w:r w:rsidR="001231D3">
              <w:rPr>
                <w:noProof/>
                <w:webHidden/>
              </w:rPr>
              <w:t>166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38" w:history="1">
            <w:r w:rsidR="00D870BE" w:rsidRPr="00792F42">
              <w:rPr>
                <w:rStyle w:val="Hyperlink"/>
                <w:noProof/>
              </w:rPr>
              <w:t>5.1</w:t>
            </w:r>
            <w:r w:rsidR="00D870BE">
              <w:rPr>
                <w:rFonts w:asciiTheme="minorHAnsi" w:eastAsiaTheme="minorEastAsia" w:hAnsiTheme="minorHAnsi" w:cstheme="minorBidi"/>
                <w:noProof/>
                <w:sz w:val="22"/>
                <w:szCs w:val="22"/>
              </w:rPr>
              <w:tab/>
            </w:r>
            <w:r w:rsidR="00D870BE" w:rsidRPr="00792F42">
              <w:rPr>
                <w:rStyle w:val="Hyperlink"/>
                <w:noProof/>
              </w:rPr>
              <w:t>Allgemeines</w:t>
            </w:r>
            <w:r w:rsidR="00D870BE">
              <w:rPr>
                <w:noProof/>
                <w:webHidden/>
              </w:rPr>
              <w:tab/>
            </w:r>
            <w:r>
              <w:rPr>
                <w:noProof/>
                <w:webHidden/>
              </w:rPr>
              <w:fldChar w:fldCharType="begin"/>
            </w:r>
            <w:r w:rsidR="00D870BE">
              <w:rPr>
                <w:noProof/>
                <w:webHidden/>
              </w:rPr>
              <w:instrText xml:space="preserve"> PAGEREF _Toc325456738 \h </w:instrText>
            </w:r>
            <w:r>
              <w:rPr>
                <w:noProof/>
                <w:webHidden/>
              </w:rPr>
            </w:r>
            <w:r>
              <w:rPr>
                <w:noProof/>
                <w:webHidden/>
              </w:rPr>
              <w:fldChar w:fldCharType="separate"/>
            </w:r>
            <w:r w:rsidR="001231D3">
              <w:rPr>
                <w:noProof/>
                <w:webHidden/>
              </w:rPr>
              <w:t>166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39" w:history="1">
            <w:r w:rsidR="00D870BE" w:rsidRPr="00792F42">
              <w:rPr>
                <w:rStyle w:val="Hyperlink"/>
                <w:noProof/>
              </w:rPr>
              <w:t>5.2</w:t>
            </w:r>
            <w:r w:rsidR="00D870BE">
              <w:rPr>
                <w:rFonts w:asciiTheme="minorHAnsi" w:eastAsiaTheme="minorEastAsia" w:hAnsiTheme="minorHAnsi" w:cstheme="minorBidi"/>
                <w:noProof/>
                <w:sz w:val="22"/>
                <w:szCs w:val="22"/>
              </w:rPr>
              <w:tab/>
            </w:r>
            <w:r w:rsidR="00D870BE" w:rsidRPr="00792F42">
              <w:rPr>
                <w:rStyle w:val="Hyperlink"/>
                <w:noProof/>
              </w:rPr>
              <w:t>Vom Schema zur Realisierung: Der Ort der Stilentstehung</w:t>
            </w:r>
            <w:r w:rsidR="00D870BE">
              <w:rPr>
                <w:noProof/>
                <w:webHidden/>
              </w:rPr>
              <w:tab/>
            </w:r>
            <w:r>
              <w:rPr>
                <w:noProof/>
                <w:webHidden/>
              </w:rPr>
              <w:fldChar w:fldCharType="begin"/>
            </w:r>
            <w:r w:rsidR="00D870BE">
              <w:rPr>
                <w:noProof/>
                <w:webHidden/>
              </w:rPr>
              <w:instrText xml:space="preserve"> PAGEREF _Toc325456739 \h </w:instrText>
            </w:r>
            <w:r>
              <w:rPr>
                <w:noProof/>
                <w:webHidden/>
              </w:rPr>
            </w:r>
            <w:r>
              <w:rPr>
                <w:noProof/>
                <w:webHidden/>
              </w:rPr>
              <w:fldChar w:fldCharType="separate"/>
            </w:r>
            <w:r w:rsidR="001231D3">
              <w:rPr>
                <w:noProof/>
                <w:webHidden/>
              </w:rPr>
              <w:t>172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0" w:history="1">
            <w:r w:rsidR="00D870BE" w:rsidRPr="00792F42">
              <w:rPr>
                <w:rStyle w:val="Hyperlink"/>
                <w:noProof/>
              </w:rPr>
              <w:t>5.2.1</w:t>
            </w:r>
            <w:r w:rsidR="00D870BE">
              <w:rPr>
                <w:rFonts w:asciiTheme="minorHAnsi" w:eastAsiaTheme="minorEastAsia" w:hAnsiTheme="minorHAnsi" w:cstheme="minorBidi"/>
                <w:noProof/>
                <w:sz w:val="22"/>
                <w:szCs w:val="22"/>
              </w:rPr>
              <w:tab/>
            </w:r>
            <w:r w:rsidR="00D870BE" w:rsidRPr="00792F42">
              <w:rPr>
                <w:rStyle w:val="Hyperlink"/>
                <w:noProof/>
              </w:rPr>
              <w:t>Voraussetzungen</w:t>
            </w:r>
            <w:r w:rsidR="00D870BE">
              <w:rPr>
                <w:noProof/>
                <w:webHidden/>
              </w:rPr>
              <w:tab/>
            </w:r>
            <w:r>
              <w:rPr>
                <w:noProof/>
                <w:webHidden/>
              </w:rPr>
              <w:fldChar w:fldCharType="begin"/>
            </w:r>
            <w:r w:rsidR="00D870BE">
              <w:rPr>
                <w:noProof/>
                <w:webHidden/>
              </w:rPr>
              <w:instrText xml:space="preserve"> PAGEREF _Toc325456740 \h </w:instrText>
            </w:r>
            <w:r>
              <w:rPr>
                <w:noProof/>
                <w:webHidden/>
              </w:rPr>
            </w:r>
            <w:r>
              <w:rPr>
                <w:noProof/>
                <w:webHidden/>
              </w:rPr>
              <w:fldChar w:fldCharType="separate"/>
            </w:r>
            <w:r w:rsidR="001231D3">
              <w:rPr>
                <w:noProof/>
                <w:webHidden/>
              </w:rPr>
              <w:t>172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1" w:history="1">
            <w:r w:rsidR="00D870BE" w:rsidRPr="00792F42">
              <w:rPr>
                <w:rStyle w:val="Hyperlink"/>
                <w:noProof/>
              </w:rPr>
              <w:t>5.2.2</w:t>
            </w:r>
            <w:r w:rsidR="00D870BE">
              <w:rPr>
                <w:rFonts w:asciiTheme="minorHAnsi" w:eastAsiaTheme="minorEastAsia" w:hAnsiTheme="minorHAnsi" w:cstheme="minorBidi"/>
                <w:noProof/>
                <w:sz w:val="22"/>
                <w:szCs w:val="22"/>
              </w:rPr>
              <w:tab/>
            </w:r>
            <w:r w:rsidR="00D870BE" w:rsidRPr="00792F42">
              <w:rPr>
                <w:rStyle w:val="Hyperlink"/>
                <w:noProof/>
              </w:rPr>
              <w:t>Die Schemaausführung</w:t>
            </w:r>
            <w:r w:rsidR="00D870BE">
              <w:rPr>
                <w:noProof/>
                <w:webHidden/>
              </w:rPr>
              <w:tab/>
            </w:r>
            <w:r>
              <w:rPr>
                <w:noProof/>
                <w:webHidden/>
              </w:rPr>
              <w:fldChar w:fldCharType="begin"/>
            </w:r>
            <w:r w:rsidR="00D870BE">
              <w:rPr>
                <w:noProof/>
                <w:webHidden/>
              </w:rPr>
              <w:instrText xml:space="preserve"> PAGEREF _Toc325456741 \h </w:instrText>
            </w:r>
            <w:r>
              <w:rPr>
                <w:noProof/>
                <w:webHidden/>
              </w:rPr>
            </w:r>
            <w:r>
              <w:rPr>
                <w:noProof/>
                <w:webHidden/>
              </w:rPr>
              <w:fldChar w:fldCharType="separate"/>
            </w:r>
            <w:r w:rsidR="001231D3">
              <w:rPr>
                <w:noProof/>
                <w:webHidden/>
              </w:rPr>
              <w:t>173</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42" w:history="1">
            <w:r w:rsidR="00D870BE" w:rsidRPr="00792F42">
              <w:rPr>
                <w:rStyle w:val="Hyperlink"/>
                <w:noProof/>
              </w:rPr>
              <w:t>5.3</w:t>
            </w:r>
            <w:r w:rsidR="00D870BE">
              <w:rPr>
                <w:rFonts w:asciiTheme="minorHAnsi" w:eastAsiaTheme="minorEastAsia" w:hAnsiTheme="minorHAnsi" w:cstheme="minorBidi"/>
                <w:noProof/>
                <w:sz w:val="22"/>
                <w:szCs w:val="22"/>
              </w:rPr>
              <w:tab/>
            </w:r>
            <w:r w:rsidR="00D870BE" w:rsidRPr="00792F42">
              <w:rPr>
                <w:rStyle w:val="Hyperlink"/>
                <w:noProof/>
              </w:rPr>
              <w:t>Merkmalsregeln</w:t>
            </w:r>
            <w:r w:rsidR="00D870BE">
              <w:rPr>
                <w:noProof/>
                <w:webHidden/>
              </w:rPr>
              <w:tab/>
            </w:r>
            <w:r>
              <w:rPr>
                <w:noProof/>
                <w:webHidden/>
              </w:rPr>
              <w:fldChar w:fldCharType="begin"/>
            </w:r>
            <w:r w:rsidR="00D870BE">
              <w:rPr>
                <w:noProof/>
                <w:webHidden/>
              </w:rPr>
              <w:instrText xml:space="preserve"> PAGEREF _Toc325456742 \h </w:instrText>
            </w:r>
            <w:r>
              <w:rPr>
                <w:noProof/>
                <w:webHidden/>
              </w:rPr>
            </w:r>
            <w:r>
              <w:rPr>
                <w:noProof/>
                <w:webHidden/>
              </w:rPr>
              <w:fldChar w:fldCharType="separate"/>
            </w:r>
            <w:r w:rsidR="001231D3">
              <w:rPr>
                <w:noProof/>
                <w:webHidden/>
              </w:rPr>
              <w:t>181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3" w:history="1">
            <w:r w:rsidR="00D870BE" w:rsidRPr="00792F42">
              <w:rPr>
                <w:rStyle w:val="Hyperlink"/>
                <w:noProof/>
              </w:rPr>
              <w:t>5.3.1</w:t>
            </w:r>
            <w:r w:rsidR="00D870BE">
              <w:rPr>
                <w:rFonts w:asciiTheme="minorHAnsi" w:eastAsiaTheme="minorEastAsia" w:hAnsiTheme="minorHAnsi" w:cstheme="minorBidi"/>
                <w:noProof/>
                <w:sz w:val="22"/>
                <w:szCs w:val="22"/>
              </w:rPr>
              <w:tab/>
            </w:r>
            <w:r w:rsidR="00D870BE" w:rsidRPr="00792F42">
              <w:rPr>
                <w:rStyle w:val="Hyperlink"/>
                <w:noProof/>
              </w:rPr>
              <w:t>Die Variablen der Merkmalsregel</w:t>
            </w:r>
            <w:r w:rsidR="00D870BE">
              <w:rPr>
                <w:noProof/>
                <w:webHidden/>
              </w:rPr>
              <w:tab/>
            </w:r>
            <w:r>
              <w:rPr>
                <w:noProof/>
                <w:webHidden/>
              </w:rPr>
              <w:fldChar w:fldCharType="begin"/>
            </w:r>
            <w:r w:rsidR="00D870BE">
              <w:rPr>
                <w:noProof/>
                <w:webHidden/>
              </w:rPr>
              <w:instrText xml:space="preserve"> PAGEREF _Toc325456743 \h </w:instrText>
            </w:r>
            <w:r>
              <w:rPr>
                <w:noProof/>
                <w:webHidden/>
              </w:rPr>
            </w:r>
            <w:r>
              <w:rPr>
                <w:noProof/>
                <w:webHidden/>
              </w:rPr>
              <w:fldChar w:fldCharType="separate"/>
            </w:r>
            <w:r w:rsidR="001231D3">
              <w:rPr>
                <w:noProof/>
                <w:webHidden/>
              </w:rPr>
              <w:t>182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4" w:history="1">
            <w:r w:rsidR="00D870BE" w:rsidRPr="00792F42">
              <w:rPr>
                <w:rStyle w:val="Hyperlink"/>
                <w:noProof/>
              </w:rPr>
              <w:t>5.3.2</w:t>
            </w:r>
            <w:r w:rsidR="00D870BE">
              <w:rPr>
                <w:rFonts w:asciiTheme="minorHAnsi" w:eastAsiaTheme="minorEastAsia" w:hAnsiTheme="minorHAnsi" w:cstheme="minorBidi"/>
                <w:noProof/>
                <w:sz w:val="22"/>
                <w:szCs w:val="22"/>
              </w:rPr>
              <w:tab/>
            </w:r>
            <w:r w:rsidR="00D870BE" w:rsidRPr="00792F42">
              <w:rPr>
                <w:rStyle w:val="Hyperlink"/>
                <w:noProof/>
              </w:rPr>
              <w:t>Priorisierung von Merkmalsregeln</w:t>
            </w:r>
            <w:r w:rsidR="00D870BE">
              <w:rPr>
                <w:noProof/>
                <w:webHidden/>
              </w:rPr>
              <w:tab/>
            </w:r>
            <w:r>
              <w:rPr>
                <w:noProof/>
                <w:webHidden/>
              </w:rPr>
              <w:fldChar w:fldCharType="begin"/>
            </w:r>
            <w:r w:rsidR="00D870BE">
              <w:rPr>
                <w:noProof/>
                <w:webHidden/>
              </w:rPr>
              <w:instrText xml:space="preserve"> PAGEREF _Toc325456744 \h </w:instrText>
            </w:r>
            <w:r>
              <w:rPr>
                <w:noProof/>
                <w:webHidden/>
              </w:rPr>
            </w:r>
            <w:r>
              <w:rPr>
                <w:noProof/>
                <w:webHidden/>
              </w:rPr>
              <w:fldChar w:fldCharType="separate"/>
            </w:r>
            <w:r w:rsidR="001231D3">
              <w:rPr>
                <w:noProof/>
                <w:webHidden/>
              </w:rPr>
              <w:t>186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45" w:history="1">
            <w:r w:rsidR="00D870BE" w:rsidRPr="00792F42">
              <w:rPr>
                <w:rStyle w:val="Hyperlink"/>
                <w:noProof/>
              </w:rPr>
              <w:t>5.4</w:t>
            </w:r>
            <w:r w:rsidR="00D870BE">
              <w:rPr>
                <w:rFonts w:asciiTheme="minorHAnsi" w:eastAsiaTheme="minorEastAsia" w:hAnsiTheme="minorHAnsi" w:cstheme="minorBidi"/>
                <w:noProof/>
                <w:sz w:val="22"/>
                <w:szCs w:val="22"/>
              </w:rPr>
              <w:tab/>
            </w:r>
            <w:r w:rsidR="00D870BE" w:rsidRPr="00792F42">
              <w:rPr>
                <w:rStyle w:val="Hyperlink"/>
                <w:noProof/>
              </w:rPr>
              <w:t>Einschreiben von Merkmalsregeln</w:t>
            </w:r>
            <w:r w:rsidR="00D870BE">
              <w:rPr>
                <w:noProof/>
                <w:webHidden/>
              </w:rPr>
              <w:tab/>
            </w:r>
            <w:r>
              <w:rPr>
                <w:noProof/>
                <w:webHidden/>
              </w:rPr>
              <w:fldChar w:fldCharType="begin"/>
            </w:r>
            <w:r w:rsidR="00D870BE">
              <w:rPr>
                <w:noProof/>
                <w:webHidden/>
              </w:rPr>
              <w:instrText xml:space="preserve"> PAGEREF _Toc325456745 \h </w:instrText>
            </w:r>
            <w:r>
              <w:rPr>
                <w:noProof/>
                <w:webHidden/>
              </w:rPr>
            </w:r>
            <w:r>
              <w:rPr>
                <w:noProof/>
                <w:webHidden/>
              </w:rPr>
              <w:fldChar w:fldCharType="separate"/>
            </w:r>
            <w:r w:rsidR="001231D3">
              <w:rPr>
                <w:noProof/>
                <w:webHidden/>
              </w:rPr>
              <w:t>188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6" w:history="1">
            <w:r w:rsidR="00D870BE" w:rsidRPr="00792F42">
              <w:rPr>
                <w:rStyle w:val="Hyperlink"/>
                <w:noProof/>
              </w:rPr>
              <w:t>5.4.1</w:t>
            </w:r>
            <w:r w:rsidR="00D870BE">
              <w:rPr>
                <w:rFonts w:asciiTheme="minorHAnsi" w:eastAsiaTheme="minorEastAsia" w:hAnsiTheme="minorHAnsi" w:cstheme="minorBidi"/>
                <w:noProof/>
                <w:sz w:val="22"/>
                <w:szCs w:val="22"/>
              </w:rPr>
              <w:tab/>
            </w:r>
            <w:r w:rsidR="00D870BE" w:rsidRPr="00792F42">
              <w:rPr>
                <w:rStyle w:val="Hyperlink"/>
                <w:noProof/>
              </w:rPr>
              <w:t>Die Funktion Merkmalsregeln_einschreiben</w:t>
            </w:r>
            <w:r w:rsidR="00D870BE">
              <w:rPr>
                <w:noProof/>
                <w:webHidden/>
              </w:rPr>
              <w:tab/>
            </w:r>
            <w:r>
              <w:rPr>
                <w:noProof/>
                <w:webHidden/>
              </w:rPr>
              <w:fldChar w:fldCharType="begin"/>
            </w:r>
            <w:r w:rsidR="00D870BE">
              <w:rPr>
                <w:noProof/>
                <w:webHidden/>
              </w:rPr>
              <w:instrText xml:space="preserve"> PAGEREF _Toc325456746 \h </w:instrText>
            </w:r>
            <w:r>
              <w:rPr>
                <w:noProof/>
                <w:webHidden/>
              </w:rPr>
            </w:r>
            <w:r>
              <w:rPr>
                <w:noProof/>
                <w:webHidden/>
              </w:rPr>
              <w:fldChar w:fldCharType="separate"/>
            </w:r>
            <w:r w:rsidR="001231D3">
              <w:rPr>
                <w:noProof/>
                <w:webHidden/>
              </w:rPr>
              <w:t>188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7" w:history="1">
            <w:r w:rsidR="00D870BE" w:rsidRPr="00792F42">
              <w:rPr>
                <w:rStyle w:val="Hyperlink"/>
                <w:noProof/>
              </w:rPr>
              <w:t>5.4.2</w:t>
            </w:r>
            <w:r w:rsidR="00D870BE">
              <w:rPr>
                <w:rFonts w:asciiTheme="minorHAnsi" w:eastAsiaTheme="minorEastAsia" w:hAnsiTheme="minorHAnsi" w:cstheme="minorBidi"/>
                <w:noProof/>
                <w:sz w:val="22"/>
                <w:szCs w:val="22"/>
              </w:rPr>
              <w:tab/>
            </w:r>
            <w:r w:rsidR="00D870BE" w:rsidRPr="00792F42">
              <w:rPr>
                <w:rStyle w:val="Hyperlink"/>
                <w:noProof/>
              </w:rPr>
              <w:t>Die Funktion Merkmalsregel_anwenden</w:t>
            </w:r>
            <w:r w:rsidR="00D870BE">
              <w:rPr>
                <w:noProof/>
                <w:webHidden/>
              </w:rPr>
              <w:tab/>
            </w:r>
            <w:r>
              <w:rPr>
                <w:noProof/>
                <w:webHidden/>
              </w:rPr>
              <w:fldChar w:fldCharType="begin"/>
            </w:r>
            <w:r w:rsidR="00D870BE">
              <w:rPr>
                <w:noProof/>
                <w:webHidden/>
              </w:rPr>
              <w:instrText xml:space="preserve"> PAGEREF _Toc325456747 \h </w:instrText>
            </w:r>
            <w:r>
              <w:rPr>
                <w:noProof/>
                <w:webHidden/>
              </w:rPr>
            </w:r>
            <w:r>
              <w:rPr>
                <w:noProof/>
                <w:webHidden/>
              </w:rPr>
              <w:fldChar w:fldCharType="separate"/>
            </w:r>
            <w:r w:rsidR="001231D3">
              <w:rPr>
                <w:noProof/>
                <w:webHidden/>
              </w:rPr>
              <w:t>190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48" w:history="1">
            <w:r w:rsidR="00D870BE" w:rsidRPr="00792F42">
              <w:rPr>
                <w:rStyle w:val="Hyperlink"/>
                <w:noProof/>
              </w:rPr>
              <w:t>5.5</w:t>
            </w:r>
            <w:r w:rsidR="00D870BE">
              <w:rPr>
                <w:rFonts w:asciiTheme="minorHAnsi" w:eastAsiaTheme="minorEastAsia" w:hAnsiTheme="minorHAnsi" w:cstheme="minorBidi"/>
                <w:noProof/>
                <w:sz w:val="22"/>
                <w:szCs w:val="22"/>
              </w:rPr>
              <w:tab/>
            </w:r>
            <w:r w:rsidR="00D870BE" w:rsidRPr="00792F42">
              <w:rPr>
                <w:rStyle w:val="Hyperlink"/>
                <w:noProof/>
              </w:rPr>
              <w:t>Auslesen von Merkmalsregeln</w:t>
            </w:r>
            <w:r w:rsidR="00D870BE">
              <w:rPr>
                <w:noProof/>
                <w:webHidden/>
              </w:rPr>
              <w:tab/>
            </w:r>
            <w:r>
              <w:rPr>
                <w:noProof/>
                <w:webHidden/>
              </w:rPr>
              <w:fldChar w:fldCharType="begin"/>
            </w:r>
            <w:r w:rsidR="00D870BE">
              <w:rPr>
                <w:noProof/>
                <w:webHidden/>
              </w:rPr>
              <w:instrText xml:space="preserve"> PAGEREF _Toc325456748 \h </w:instrText>
            </w:r>
            <w:r>
              <w:rPr>
                <w:noProof/>
                <w:webHidden/>
              </w:rPr>
            </w:r>
            <w:r>
              <w:rPr>
                <w:noProof/>
                <w:webHidden/>
              </w:rPr>
              <w:fldChar w:fldCharType="separate"/>
            </w:r>
            <w:r w:rsidR="001231D3">
              <w:rPr>
                <w:noProof/>
                <w:webHidden/>
              </w:rPr>
              <w:t>193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49" w:history="1">
            <w:r w:rsidR="00D870BE" w:rsidRPr="00792F42">
              <w:rPr>
                <w:rStyle w:val="Hyperlink"/>
                <w:noProof/>
              </w:rPr>
              <w:t>5.5.1</w:t>
            </w:r>
            <w:r w:rsidR="00D870BE">
              <w:rPr>
                <w:rFonts w:asciiTheme="minorHAnsi" w:eastAsiaTheme="minorEastAsia" w:hAnsiTheme="minorHAnsi" w:cstheme="minorBidi"/>
                <w:noProof/>
                <w:sz w:val="22"/>
                <w:szCs w:val="22"/>
              </w:rPr>
              <w:tab/>
            </w:r>
            <w:r w:rsidR="00D870BE" w:rsidRPr="00792F42">
              <w:rPr>
                <w:rStyle w:val="Hyperlink"/>
                <w:noProof/>
              </w:rPr>
              <w:t>Allgemeines</w:t>
            </w:r>
            <w:r w:rsidR="00D870BE">
              <w:rPr>
                <w:noProof/>
                <w:webHidden/>
              </w:rPr>
              <w:tab/>
            </w:r>
            <w:r>
              <w:rPr>
                <w:noProof/>
                <w:webHidden/>
              </w:rPr>
              <w:fldChar w:fldCharType="begin"/>
            </w:r>
            <w:r w:rsidR="00D870BE">
              <w:rPr>
                <w:noProof/>
                <w:webHidden/>
              </w:rPr>
              <w:instrText xml:space="preserve"> PAGEREF _Toc325456749 \h </w:instrText>
            </w:r>
            <w:r>
              <w:rPr>
                <w:noProof/>
                <w:webHidden/>
              </w:rPr>
            </w:r>
            <w:r>
              <w:rPr>
                <w:noProof/>
                <w:webHidden/>
              </w:rPr>
              <w:fldChar w:fldCharType="separate"/>
            </w:r>
            <w:r w:rsidR="001231D3">
              <w:rPr>
                <w:noProof/>
                <w:webHidden/>
              </w:rPr>
              <w:t>193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0" w:history="1">
            <w:r w:rsidR="00D870BE" w:rsidRPr="00792F42">
              <w:rPr>
                <w:rStyle w:val="Hyperlink"/>
                <w:noProof/>
              </w:rPr>
              <w:t>5.5.2</w:t>
            </w:r>
            <w:r w:rsidR="00D870BE">
              <w:rPr>
                <w:rFonts w:asciiTheme="minorHAnsi" w:eastAsiaTheme="minorEastAsia" w:hAnsiTheme="minorHAnsi" w:cstheme="minorBidi"/>
                <w:noProof/>
                <w:sz w:val="22"/>
                <w:szCs w:val="22"/>
              </w:rPr>
              <w:tab/>
            </w:r>
            <w:r w:rsidR="00D870BE" w:rsidRPr="00792F42">
              <w:rPr>
                <w:rStyle w:val="Hyperlink"/>
                <w:noProof/>
              </w:rPr>
              <w:t>Berücksichtigung der zufälligen Wahrscheinlichkeit</w:t>
            </w:r>
            <w:r w:rsidR="00D870BE">
              <w:rPr>
                <w:noProof/>
                <w:webHidden/>
              </w:rPr>
              <w:tab/>
            </w:r>
            <w:r>
              <w:rPr>
                <w:noProof/>
                <w:webHidden/>
              </w:rPr>
              <w:fldChar w:fldCharType="begin"/>
            </w:r>
            <w:r w:rsidR="00D870BE">
              <w:rPr>
                <w:noProof/>
                <w:webHidden/>
              </w:rPr>
              <w:instrText xml:space="preserve"> PAGEREF _Toc325456750 \h </w:instrText>
            </w:r>
            <w:r>
              <w:rPr>
                <w:noProof/>
                <w:webHidden/>
              </w:rPr>
            </w:r>
            <w:r>
              <w:rPr>
                <w:noProof/>
                <w:webHidden/>
              </w:rPr>
              <w:fldChar w:fldCharType="separate"/>
            </w:r>
            <w:r w:rsidR="001231D3">
              <w:rPr>
                <w:noProof/>
                <w:webHidden/>
              </w:rPr>
              <w:t>195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1" w:history="1">
            <w:r w:rsidR="00D870BE" w:rsidRPr="00792F42">
              <w:rPr>
                <w:rStyle w:val="Hyperlink"/>
                <w:noProof/>
              </w:rPr>
              <w:t>5.5.3</w:t>
            </w:r>
            <w:r w:rsidR="00D870BE">
              <w:rPr>
                <w:rFonts w:asciiTheme="minorHAnsi" w:eastAsiaTheme="minorEastAsia" w:hAnsiTheme="minorHAnsi" w:cstheme="minorBidi"/>
                <w:noProof/>
                <w:sz w:val="22"/>
                <w:szCs w:val="22"/>
              </w:rPr>
              <w:tab/>
            </w:r>
            <w:r w:rsidR="00D870BE" w:rsidRPr="00792F42">
              <w:rPr>
                <w:rStyle w:val="Hyperlink"/>
                <w:noProof/>
              </w:rPr>
              <w:t>Die Funktion Merkmalsregeln_auslesen</w:t>
            </w:r>
            <w:r w:rsidR="00D870BE">
              <w:rPr>
                <w:noProof/>
                <w:webHidden/>
              </w:rPr>
              <w:tab/>
            </w:r>
            <w:r>
              <w:rPr>
                <w:noProof/>
                <w:webHidden/>
              </w:rPr>
              <w:fldChar w:fldCharType="begin"/>
            </w:r>
            <w:r w:rsidR="00D870BE">
              <w:rPr>
                <w:noProof/>
                <w:webHidden/>
              </w:rPr>
              <w:instrText xml:space="preserve"> PAGEREF _Toc325456751 \h </w:instrText>
            </w:r>
            <w:r>
              <w:rPr>
                <w:noProof/>
                <w:webHidden/>
              </w:rPr>
            </w:r>
            <w:r>
              <w:rPr>
                <w:noProof/>
                <w:webHidden/>
              </w:rPr>
              <w:fldChar w:fldCharType="separate"/>
            </w:r>
            <w:r w:rsidR="001231D3">
              <w:rPr>
                <w:noProof/>
                <w:webHidden/>
              </w:rPr>
              <w:t>199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2" w:history="1">
            <w:r w:rsidR="00D870BE" w:rsidRPr="00792F42">
              <w:rPr>
                <w:rStyle w:val="Hyperlink"/>
                <w:noProof/>
              </w:rPr>
              <w:t>5.5.4</w:t>
            </w:r>
            <w:r w:rsidR="00D870BE">
              <w:rPr>
                <w:rFonts w:asciiTheme="minorHAnsi" w:eastAsiaTheme="minorEastAsia" w:hAnsiTheme="minorHAnsi" w:cstheme="minorBidi"/>
                <w:noProof/>
                <w:sz w:val="22"/>
                <w:szCs w:val="22"/>
              </w:rPr>
              <w:tab/>
            </w:r>
            <w:r w:rsidR="00D870BE" w:rsidRPr="00792F42">
              <w:rPr>
                <w:rStyle w:val="Hyperlink"/>
                <w:noProof/>
              </w:rPr>
              <w:t>Die Disambiguierung</w:t>
            </w:r>
            <w:r w:rsidR="00D870BE">
              <w:rPr>
                <w:noProof/>
                <w:webHidden/>
              </w:rPr>
              <w:tab/>
            </w:r>
            <w:r>
              <w:rPr>
                <w:noProof/>
                <w:webHidden/>
              </w:rPr>
              <w:fldChar w:fldCharType="begin"/>
            </w:r>
            <w:r w:rsidR="00D870BE">
              <w:rPr>
                <w:noProof/>
                <w:webHidden/>
              </w:rPr>
              <w:instrText xml:space="preserve"> PAGEREF _Toc325456752 \h </w:instrText>
            </w:r>
            <w:r>
              <w:rPr>
                <w:noProof/>
                <w:webHidden/>
              </w:rPr>
            </w:r>
            <w:r>
              <w:rPr>
                <w:noProof/>
                <w:webHidden/>
              </w:rPr>
              <w:fldChar w:fldCharType="separate"/>
            </w:r>
            <w:r w:rsidR="001231D3">
              <w:rPr>
                <w:noProof/>
                <w:webHidden/>
              </w:rPr>
              <w:t>206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3" w:history="1">
            <w:r w:rsidR="00D870BE" w:rsidRPr="00792F42">
              <w:rPr>
                <w:rStyle w:val="Hyperlink"/>
                <w:noProof/>
              </w:rPr>
              <w:t>5.5.5</w:t>
            </w:r>
            <w:r w:rsidR="00D870BE">
              <w:rPr>
                <w:rFonts w:asciiTheme="minorHAnsi" w:eastAsiaTheme="minorEastAsia" w:hAnsiTheme="minorHAnsi" w:cstheme="minorBidi"/>
                <w:noProof/>
                <w:sz w:val="22"/>
                <w:szCs w:val="22"/>
              </w:rPr>
              <w:tab/>
            </w:r>
            <w:r w:rsidR="00D870BE" w:rsidRPr="00792F42">
              <w:rPr>
                <w:rStyle w:val="Hyperlink"/>
                <w:noProof/>
              </w:rPr>
              <w:t>Priorisierung oder globale Häufigkeit?</w:t>
            </w:r>
            <w:r w:rsidR="00D870BE">
              <w:rPr>
                <w:noProof/>
                <w:webHidden/>
              </w:rPr>
              <w:tab/>
            </w:r>
            <w:r>
              <w:rPr>
                <w:noProof/>
                <w:webHidden/>
              </w:rPr>
              <w:fldChar w:fldCharType="begin"/>
            </w:r>
            <w:r w:rsidR="00D870BE">
              <w:rPr>
                <w:noProof/>
                <w:webHidden/>
              </w:rPr>
              <w:instrText xml:space="preserve"> PAGEREF _Toc325456753 \h </w:instrText>
            </w:r>
            <w:r>
              <w:rPr>
                <w:noProof/>
                <w:webHidden/>
              </w:rPr>
            </w:r>
            <w:r>
              <w:rPr>
                <w:noProof/>
                <w:webHidden/>
              </w:rPr>
              <w:fldChar w:fldCharType="separate"/>
            </w:r>
            <w:r w:rsidR="001231D3">
              <w:rPr>
                <w:noProof/>
                <w:webHidden/>
              </w:rPr>
              <w:t>225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54" w:history="1">
            <w:r w:rsidR="00D870BE" w:rsidRPr="00792F42">
              <w:rPr>
                <w:rStyle w:val="Hyperlink"/>
                <w:noProof/>
              </w:rPr>
              <w:t>5.6</w:t>
            </w:r>
            <w:r w:rsidR="00D870BE">
              <w:rPr>
                <w:rFonts w:asciiTheme="minorHAnsi" w:eastAsiaTheme="minorEastAsia" w:hAnsiTheme="minorHAnsi" w:cstheme="minorBidi"/>
                <w:noProof/>
                <w:sz w:val="22"/>
                <w:szCs w:val="22"/>
              </w:rPr>
              <w:tab/>
            </w:r>
            <w:r w:rsidR="00D870BE" w:rsidRPr="00792F42">
              <w:rPr>
                <w:rStyle w:val="Hyperlink"/>
                <w:noProof/>
              </w:rPr>
              <w:t>Weitere Aspekte von Merkmalsregeln</w:t>
            </w:r>
            <w:r w:rsidR="00D870BE">
              <w:rPr>
                <w:noProof/>
                <w:webHidden/>
              </w:rPr>
              <w:tab/>
            </w:r>
            <w:r>
              <w:rPr>
                <w:noProof/>
                <w:webHidden/>
              </w:rPr>
              <w:fldChar w:fldCharType="begin"/>
            </w:r>
            <w:r w:rsidR="00D870BE">
              <w:rPr>
                <w:noProof/>
                <w:webHidden/>
              </w:rPr>
              <w:instrText xml:space="preserve"> PAGEREF _Toc325456754 \h </w:instrText>
            </w:r>
            <w:r>
              <w:rPr>
                <w:noProof/>
                <w:webHidden/>
              </w:rPr>
            </w:r>
            <w:r>
              <w:rPr>
                <w:noProof/>
                <w:webHidden/>
              </w:rPr>
              <w:fldChar w:fldCharType="separate"/>
            </w:r>
            <w:r w:rsidR="001231D3">
              <w:rPr>
                <w:noProof/>
                <w:webHidden/>
              </w:rPr>
              <w:t>229</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755" w:history="1">
            <w:r w:rsidR="00D870BE" w:rsidRPr="00792F42">
              <w:rPr>
                <w:rStyle w:val="Hyperlink"/>
                <w:noProof/>
              </w:rPr>
              <w:t>Kapitel 6: Interpretationsschritte</w:t>
            </w:r>
            <w:r w:rsidR="00D870BE">
              <w:rPr>
                <w:noProof/>
                <w:webHidden/>
              </w:rPr>
              <w:tab/>
            </w:r>
            <w:r>
              <w:rPr>
                <w:noProof/>
                <w:webHidden/>
              </w:rPr>
              <w:fldChar w:fldCharType="begin"/>
            </w:r>
            <w:r w:rsidR="00D870BE">
              <w:rPr>
                <w:noProof/>
                <w:webHidden/>
              </w:rPr>
              <w:instrText xml:space="preserve"> PAGEREF _Toc325456755 \h </w:instrText>
            </w:r>
            <w:r>
              <w:rPr>
                <w:noProof/>
                <w:webHidden/>
              </w:rPr>
            </w:r>
            <w:r>
              <w:rPr>
                <w:noProof/>
                <w:webHidden/>
              </w:rPr>
              <w:fldChar w:fldCharType="separate"/>
            </w:r>
            <w:r w:rsidR="001231D3">
              <w:rPr>
                <w:noProof/>
                <w:webHidden/>
              </w:rPr>
              <w:t>234</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56" w:history="1">
            <w:r w:rsidR="00D870BE" w:rsidRPr="00792F42">
              <w:rPr>
                <w:rStyle w:val="Hyperlink"/>
                <w:noProof/>
              </w:rPr>
              <w:t>6.1</w:t>
            </w:r>
            <w:r w:rsidR="00D870BE">
              <w:rPr>
                <w:rFonts w:asciiTheme="minorHAnsi" w:eastAsiaTheme="minorEastAsia" w:hAnsiTheme="minorHAnsi" w:cstheme="minorBidi"/>
                <w:noProof/>
                <w:sz w:val="22"/>
                <w:szCs w:val="22"/>
              </w:rPr>
              <w:tab/>
            </w:r>
            <w:r w:rsidR="00D870BE" w:rsidRPr="00792F42">
              <w:rPr>
                <w:rStyle w:val="Hyperlink"/>
                <w:noProof/>
              </w:rPr>
              <w:t>Allgemeines</w:t>
            </w:r>
            <w:r w:rsidR="00D870BE">
              <w:rPr>
                <w:noProof/>
                <w:webHidden/>
              </w:rPr>
              <w:tab/>
            </w:r>
            <w:r>
              <w:rPr>
                <w:noProof/>
                <w:webHidden/>
              </w:rPr>
              <w:fldChar w:fldCharType="begin"/>
            </w:r>
            <w:r w:rsidR="00D870BE">
              <w:rPr>
                <w:noProof/>
                <w:webHidden/>
              </w:rPr>
              <w:instrText xml:space="preserve"> PAGEREF _Toc325456756 \h </w:instrText>
            </w:r>
            <w:r>
              <w:rPr>
                <w:noProof/>
                <w:webHidden/>
              </w:rPr>
            </w:r>
            <w:r>
              <w:rPr>
                <w:noProof/>
                <w:webHidden/>
              </w:rPr>
              <w:fldChar w:fldCharType="separate"/>
            </w:r>
            <w:r w:rsidR="001231D3">
              <w:rPr>
                <w:noProof/>
                <w:webHidden/>
              </w:rPr>
              <w:t>234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7" w:history="1">
            <w:r w:rsidR="00D870BE" w:rsidRPr="00792F42">
              <w:rPr>
                <w:rStyle w:val="Hyperlink"/>
                <w:noProof/>
              </w:rPr>
              <w:t>6.1.1</w:t>
            </w:r>
            <w:r w:rsidR="00D870BE">
              <w:rPr>
                <w:rFonts w:asciiTheme="minorHAnsi" w:eastAsiaTheme="minorEastAsia" w:hAnsiTheme="minorHAnsi" w:cstheme="minorBidi"/>
                <w:noProof/>
                <w:sz w:val="22"/>
                <w:szCs w:val="22"/>
              </w:rPr>
              <w:tab/>
            </w:r>
            <w:r w:rsidR="00D870BE" w:rsidRPr="00792F42">
              <w:rPr>
                <w:rStyle w:val="Hyperlink"/>
                <w:noProof/>
              </w:rPr>
              <w:t>Was wird untersucht?</w:t>
            </w:r>
            <w:r w:rsidR="00D870BE">
              <w:rPr>
                <w:noProof/>
                <w:webHidden/>
              </w:rPr>
              <w:tab/>
            </w:r>
            <w:r>
              <w:rPr>
                <w:noProof/>
                <w:webHidden/>
              </w:rPr>
              <w:fldChar w:fldCharType="begin"/>
            </w:r>
            <w:r w:rsidR="00D870BE">
              <w:rPr>
                <w:noProof/>
                <w:webHidden/>
              </w:rPr>
              <w:instrText xml:space="preserve"> PAGEREF _Toc325456757 \h </w:instrText>
            </w:r>
            <w:r>
              <w:rPr>
                <w:noProof/>
                <w:webHidden/>
              </w:rPr>
            </w:r>
            <w:r>
              <w:rPr>
                <w:noProof/>
                <w:webHidden/>
              </w:rPr>
              <w:fldChar w:fldCharType="separate"/>
            </w:r>
            <w:r w:rsidR="001231D3">
              <w:rPr>
                <w:noProof/>
                <w:webHidden/>
              </w:rPr>
              <w:t>234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8" w:history="1">
            <w:r w:rsidR="00D870BE" w:rsidRPr="00792F42">
              <w:rPr>
                <w:rStyle w:val="Hyperlink"/>
                <w:noProof/>
              </w:rPr>
              <w:t>6.1.2</w:t>
            </w:r>
            <w:r w:rsidR="00D870BE">
              <w:rPr>
                <w:rFonts w:asciiTheme="minorHAnsi" w:eastAsiaTheme="minorEastAsia" w:hAnsiTheme="minorHAnsi" w:cstheme="minorBidi"/>
                <w:noProof/>
                <w:sz w:val="22"/>
                <w:szCs w:val="22"/>
              </w:rPr>
              <w:tab/>
            </w:r>
            <w:r w:rsidR="00D870BE" w:rsidRPr="00792F42">
              <w:rPr>
                <w:rStyle w:val="Hyperlink"/>
                <w:noProof/>
              </w:rPr>
              <w:t>Übersicht über die Kapitel 6 und 7</w:t>
            </w:r>
            <w:r w:rsidR="00D870BE">
              <w:rPr>
                <w:noProof/>
                <w:webHidden/>
              </w:rPr>
              <w:tab/>
            </w:r>
            <w:r>
              <w:rPr>
                <w:noProof/>
                <w:webHidden/>
              </w:rPr>
              <w:fldChar w:fldCharType="begin"/>
            </w:r>
            <w:r w:rsidR="00D870BE">
              <w:rPr>
                <w:noProof/>
                <w:webHidden/>
              </w:rPr>
              <w:instrText xml:space="preserve"> PAGEREF _Toc325456758 \h </w:instrText>
            </w:r>
            <w:r>
              <w:rPr>
                <w:noProof/>
                <w:webHidden/>
              </w:rPr>
            </w:r>
            <w:r>
              <w:rPr>
                <w:noProof/>
                <w:webHidden/>
              </w:rPr>
              <w:fldChar w:fldCharType="separate"/>
            </w:r>
            <w:r w:rsidR="001231D3">
              <w:rPr>
                <w:noProof/>
                <w:webHidden/>
              </w:rPr>
              <w:t>235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59" w:history="1">
            <w:r w:rsidR="00D870BE" w:rsidRPr="00792F42">
              <w:rPr>
                <w:rStyle w:val="Hyperlink"/>
                <w:noProof/>
              </w:rPr>
              <w:t>6.1.3</w:t>
            </w:r>
            <w:r w:rsidR="00D870BE">
              <w:rPr>
                <w:rFonts w:asciiTheme="minorHAnsi" w:eastAsiaTheme="minorEastAsia" w:hAnsiTheme="minorHAnsi" w:cstheme="minorBidi"/>
                <w:noProof/>
                <w:sz w:val="22"/>
                <w:szCs w:val="22"/>
              </w:rPr>
              <w:tab/>
            </w:r>
            <w:r w:rsidR="00D870BE" w:rsidRPr="00792F42">
              <w:rPr>
                <w:rStyle w:val="Hyperlink"/>
                <w:noProof/>
              </w:rPr>
              <w:t>Definition von Interpretation</w:t>
            </w:r>
            <w:r w:rsidR="00D870BE">
              <w:rPr>
                <w:noProof/>
                <w:webHidden/>
              </w:rPr>
              <w:tab/>
            </w:r>
            <w:r>
              <w:rPr>
                <w:noProof/>
                <w:webHidden/>
              </w:rPr>
              <w:fldChar w:fldCharType="begin"/>
            </w:r>
            <w:r w:rsidR="00D870BE">
              <w:rPr>
                <w:noProof/>
                <w:webHidden/>
              </w:rPr>
              <w:instrText xml:space="preserve"> PAGEREF _Toc325456759 \h </w:instrText>
            </w:r>
            <w:r>
              <w:rPr>
                <w:noProof/>
                <w:webHidden/>
              </w:rPr>
            </w:r>
            <w:r>
              <w:rPr>
                <w:noProof/>
                <w:webHidden/>
              </w:rPr>
              <w:fldChar w:fldCharType="separate"/>
            </w:r>
            <w:r w:rsidR="001231D3">
              <w:rPr>
                <w:noProof/>
                <w:webHidden/>
              </w:rPr>
              <w:t>236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60" w:history="1">
            <w:r w:rsidR="00D870BE" w:rsidRPr="00792F42">
              <w:rPr>
                <w:rStyle w:val="Hyperlink"/>
                <w:noProof/>
              </w:rPr>
              <w:t>6.2</w:t>
            </w:r>
            <w:r w:rsidR="00D870BE">
              <w:rPr>
                <w:rFonts w:asciiTheme="minorHAnsi" w:eastAsiaTheme="minorEastAsia" w:hAnsiTheme="minorHAnsi" w:cstheme="minorBidi"/>
                <w:noProof/>
                <w:sz w:val="22"/>
                <w:szCs w:val="22"/>
              </w:rPr>
              <w:tab/>
            </w:r>
            <w:r w:rsidR="00D870BE" w:rsidRPr="00792F42">
              <w:rPr>
                <w:rStyle w:val="Hyperlink"/>
                <w:noProof/>
              </w:rPr>
              <w:t>Grundlagen der Stilinterpretation</w:t>
            </w:r>
            <w:r w:rsidR="00D870BE">
              <w:rPr>
                <w:noProof/>
                <w:webHidden/>
              </w:rPr>
              <w:tab/>
            </w:r>
            <w:r>
              <w:rPr>
                <w:noProof/>
                <w:webHidden/>
              </w:rPr>
              <w:fldChar w:fldCharType="begin"/>
            </w:r>
            <w:r w:rsidR="00D870BE">
              <w:rPr>
                <w:noProof/>
                <w:webHidden/>
              </w:rPr>
              <w:instrText xml:space="preserve"> PAGEREF _Toc325456760 \h </w:instrText>
            </w:r>
            <w:r>
              <w:rPr>
                <w:noProof/>
                <w:webHidden/>
              </w:rPr>
            </w:r>
            <w:r>
              <w:rPr>
                <w:noProof/>
                <w:webHidden/>
              </w:rPr>
              <w:fldChar w:fldCharType="separate"/>
            </w:r>
            <w:r w:rsidR="001231D3">
              <w:rPr>
                <w:noProof/>
                <w:webHidden/>
              </w:rPr>
              <w:t>239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61" w:history="1">
            <w:r w:rsidR="00D870BE" w:rsidRPr="00792F42">
              <w:rPr>
                <w:rStyle w:val="Hyperlink"/>
                <w:noProof/>
              </w:rPr>
              <w:t>6.2.1</w:t>
            </w:r>
            <w:r w:rsidR="00D870BE">
              <w:rPr>
                <w:rFonts w:asciiTheme="minorHAnsi" w:eastAsiaTheme="minorEastAsia" w:hAnsiTheme="minorHAnsi" w:cstheme="minorBidi"/>
                <w:noProof/>
                <w:sz w:val="22"/>
                <w:szCs w:val="22"/>
              </w:rPr>
              <w:tab/>
            </w:r>
            <w:r w:rsidR="00D870BE" w:rsidRPr="00792F42">
              <w:rPr>
                <w:rStyle w:val="Hyperlink"/>
                <w:noProof/>
              </w:rPr>
              <w:t>Operationen</w:t>
            </w:r>
            <w:r w:rsidR="00D870BE">
              <w:rPr>
                <w:noProof/>
                <w:webHidden/>
              </w:rPr>
              <w:tab/>
            </w:r>
            <w:r>
              <w:rPr>
                <w:noProof/>
                <w:webHidden/>
              </w:rPr>
              <w:fldChar w:fldCharType="begin"/>
            </w:r>
            <w:r w:rsidR="00D870BE">
              <w:rPr>
                <w:noProof/>
                <w:webHidden/>
              </w:rPr>
              <w:instrText xml:space="preserve"> PAGEREF _Toc325456761 \h </w:instrText>
            </w:r>
            <w:r>
              <w:rPr>
                <w:noProof/>
                <w:webHidden/>
              </w:rPr>
            </w:r>
            <w:r>
              <w:rPr>
                <w:noProof/>
                <w:webHidden/>
              </w:rPr>
              <w:fldChar w:fldCharType="separate"/>
            </w:r>
            <w:r w:rsidR="001231D3">
              <w:rPr>
                <w:noProof/>
                <w:webHidden/>
              </w:rPr>
              <w:t>239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62" w:history="1">
            <w:r w:rsidR="00D870BE" w:rsidRPr="00792F42">
              <w:rPr>
                <w:rStyle w:val="Hyperlink"/>
                <w:noProof/>
              </w:rPr>
              <w:t>6.2.2</w:t>
            </w:r>
            <w:r w:rsidR="00D870BE">
              <w:rPr>
                <w:rFonts w:asciiTheme="minorHAnsi" w:eastAsiaTheme="minorEastAsia" w:hAnsiTheme="minorHAnsi" w:cstheme="minorBidi"/>
                <w:noProof/>
                <w:sz w:val="22"/>
                <w:szCs w:val="22"/>
              </w:rPr>
              <w:tab/>
            </w:r>
            <w:r w:rsidR="00D870BE" w:rsidRPr="00792F42">
              <w:rPr>
                <w:rStyle w:val="Hyperlink"/>
                <w:noProof/>
              </w:rPr>
              <w:t>Ergebnisse</w:t>
            </w:r>
            <w:r w:rsidR="00D870BE">
              <w:rPr>
                <w:noProof/>
                <w:webHidden/>
              </w:rPr>
              <w:tab/>
            </w:r>
            <w:r>
              <w:rPr>
                <w:noProof/>
                <w:webHidden/>
              </w:rPr>
              <w:fldChar w:fldCharType="begin"/>
            </w:r>
            <w:r w:rsidR="00D870BE">
              <w:rPr>
                <w:noProof/>
                <w:webHidden/>
              </w:rPr>
              <w:instrText xml:space="preserve"> PAGEREF _Toc325456762 \h </w:instrText>
            </w:r>
            <w:r>
              <w:rPr>
                <w:noProof/>
                <w:webHidden/>
              </w:rPr>
            </w:r>
            <w:r>
              <w:rPr>
                <w:noProof/>
                <w:webHidden/>
              </w:rPr>
              <w:fldChar w:fldCharType="separate"/>
            </w:r>
            <w:r w:rsidR="001231D3">
              <w:rPr>
                <w:noProof/>
                <w:webHidden/>
              </w:rPr>
              <w:t>241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63" w:history="1">
            <w:r w:rsidR="00D870BE" w:rsidRPr="00792F42">
              <w:rPr>
                <w:rStyle w:val="Hyperlink"/>
                <w:noProof/>
              </w:rPr>
              <w:t>6.2.3</w:t>
            </w:r>
            <w:r w:rsidR="00D870BE">
              <w:rPr>
                <w:rFonts w:asciiTheme="minorHAnsi" w:eastAsiaTheme="minorEastAsia" w:hAnsiTheme="minorHAnsi" w:cstheme="minorBidi"/>
                <w:noProof/>
                <w:sz w:val="22"/>
                <w:szCs w:val="22"/>
              </w:rPr>
              <w:tab/>
            </w:r>
            <w:r w:rsidR="00D870BE" w:rsidRPr="00792F42">
              <w:rPr>
                <w:rStyle w:val="Hyperlink"/>
                <w:noProof/>
              </w:rPr>
              <w:t>Hintergrundwissen</w:t>
            </w:r>
            <w:r w:rsidR="00D870BE">
              <w:rPr>
                <w:noProof/>
                <w:webHidden/>
              </w:rPr>
              <w:tab/>
            </w:r>
            <w:r>
              <w:rPr>
                <w:noProof/>
                <w:webHidden/>
              </w:rPr>
              <w:fldChar w:fldCharType="begin"/>
            </w:r>
            <w:r w:rsidR="00D870BE">
              <w:rPr>
                <w:noProof/>
                <w:webHidden/>
              </w:rPr>
              <w:instrText xml:space="preserve"> PAGEREF _Toc325456763 \h </w:instrText>
            </w:r>
            <w:r>
              <w:rPr>
                <w:noProof/>
                <w:webHidden/>
              </w:rPr>
            </w:r>
            <w:r>
              <w:rPr>
                <w:noProof/>
                <w:webHidden/>
              </w:rPr>
              <w:fldChar w:fldCharType="separate"/>
            </w:r>
            <w:r w:rsidR="001231D3">
              <w:rPr>
                <w:noProof/>
                <w:webHidden/>
              </w:rPr>
              <w:t>245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64" w:history="1">
            <w:r w:rsidR="00D870BE" w:rsidRPr="00792F42">
              <w:rPr>
                <w:rStyle w:val="Hyperlink"/>
                <w:noProof/>
              </w:rPr>
              <w:t>6.3</w:t>
            </w:r>
            <w:r w:rsidR="00D870BE">
              <w:rPr>
                <w:rFonts w:asciiTheme="minorHAnsi" w:eastAsiaTheme="minorEastAsia" w:hAnsiTheme="minorHAnsi" w:cstheme="minorBidi"/>
                <w:noProof/>
                <w:sz w:val="22"/>
                <w:szCs w:val="22"/>
              </w:rPr>
              <w:tab/>
            </w:r>
            <w:r w:rsidR="00D870BE" w:rsidRPr="00792F42">
              <w:rPr>
                <w:rStyle w:val="Hyperlink"/>
                <w:noProof/>
              </w:rPr>
              <w:t>Erzeugung von Ergebnissen</w:t>
            </w:r>
            <w:r w:rsidR="00D870BE">
              <w:rPr>
                <w:noProof/>
                <w:webHidden/>
              </w:rPr>
              <w:tab/>
            </w:r>
            <w:r>
              <w:rPr>
                <w:noProof/>
                <w:webHidden/>
              </w:rPr>
              <w:fldChar w:fldCharType="begin"/>
            </w:r>
            <w:r w:rsidR="00D870BE">
              <w:rPr>
                <w:noProof/>
                <w:webHidden/>
              </w:rPr>
              <w:instrText xml:space="preserve"> PAGEREF _Toc325456764 \h </w:instrText>
            </w:r>
            <w:r>
              <w:rPr>
                <w:noProof/>
                <w:webHidden/>
              </w:rPr>
            </w:r>
            <w:r>
              <w:rPr>
                <w:noProof/>
                <w:webHidden/>
              </w:rPr>
              <w:fldChar w:fldCharType="separate"/>
            </w:r>
            <w:r w:rsidR="001231D3">
              <w:rPr>
                <w:noProof/>
                <w:webHidden/>
              </w:rPr>
              <w:t>246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65" w:history="1">
            <w:r w:rsidR="00D870BE" w:rsidRPr="00792F42">
              <w:rPr>
                <w:rStyle w:val="Hyperlink"/>
                <w:noProof/>
              </w:rPr>
              <w:t>6.3.1</w:t>
            </w:r>
            <w:r w:rsidR="00D870BE">
              <w:rPr>
                <w:rFonts w:asciiTheme="minorHAnsi" w:eastAsiaTheme="minorEastAsia" w:hAnsiTheme="minorHAnsi" w:cstheme="minorBidi"/>
                <w:noProof/>
                <w:sz w:val="22"/>
                <w:szCs w:val="22"/>
              </w:rPr>
              <w:tab/>
            </w:r>
            <w:r w:rsidR="00D870BE" w:rsidRPr="00792F42">
              <w:rPr>
                <w:rStyle w:val="Hyperlink"/>
                <w:noProof/>
              </w:rPr>
              <w:t>Aus einer Merkmalsregel</w:t>
            </w:r>
            <w:r w:rsidR="00D870BE">
              <w:rPr>
                <w:noProof/>
                <w:webHidden/>
              </w:rPr>
              <w:tab/>
            </w:r>
            <w:r>
              <w:rPr>
                <w:noProof/>
                <w:webHidden/>
              </w:rPr>
              <w:fldChar w:fldCharType="begin"/>
            </w:r>
            <w:r w:rsidR="00D870BE">
              <w:rPr>
                <w:noProof/>
                <w:webHidden/>
              </w:rPr>
              <w:instrText xml:space="preserve"> PAGEREF _Toc325456765 \h </w:instrText>
            </w:r>
            <w:r>
              <w:rPr>
                <w:noProof/>
                <w:webHidden/>
              </w:rPr>
            </w:r>
            <w:r>
              <w:rPr>
                <w:noProof/>
                <w:webHidden/>
              </w:rPr>
              <w:fldChar w:fldCharType="separate"/>
            </w:r>
            <w:r w:rsidR="001231D3">
              <w:rPr>
                <w:noProof/>
                <w:webHidden/>
              </w:rPr>
              <w:t>251</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66" w:history="1">
            <w:r w:rsidR="00D870BE" w:rsidRPr="00792F42">
              <w:rPr>
                <w:rStyle w:val="Hyperlink"/>
                <w:noProof/>
              </w:rPr>
              <w:t>6.3.1.1</w:t>
            </w:r>
            <w:r w:rsidR="00D870BE">
              <w:rPr>
                <w:rFonts w:asciiTheme="minorHAnsi" w:eastAsiaTheme="minorEastAsia" w:hAnsiTheme="minorHAnsi" w:cstheme="minorBidi"/>
                <w:noProof/>
                <w:sz w:val="22"/>
                <w:szCs w:val="22"/>
              </w:rPr>
              <w:tab/>
            </w:r>
            <w:r w:rsidR="00D870BE" w:rsidRPr="00792F42">
              <w:rPr>
                <w:rStyle w:val="Hyperlink"/>
                <w:noProof/>
              </w:rPr>
              <w:t>Ohne frühere Ergebnisse, ohne Hintergrundwissen</w:t>
            </w:r>
            <w:r w:rsidR="00D870BE">
              <w:rPr>
                <w:noProof/>
                <w:webHidden/>
              </w:rPr>
              <w:tab/>
            </w:r>
            <w:r>
              <w:rPr>
                <w:noProof/>
                <w:webHidden/>
              </w:rPr>
              <w:fldChar w:fldCharType="begin"/>
            </w:r>
            <w:r w:rsidR="00D870BE">
              <w:rPr>
                <w:noProof/>
                <w:webHidden/>
              </w:rPr>
              <w:instrText xml:space="preserve"> PAGEREF _Toc325456766 \h </w:instrText>
            </w:r>
            <w:r>
              <w:rPr>
                <w:noProof/>
                <w:webHidden/>
              </w:rPr>
            </w:r>
            <w:r>
              <w:rPr>
                <w:noProof/>
                <w:webHidden/>
              </w:rPr>
              <w:fldChar w:fldCharType="separate"/>
            </w:r>
            <w:r w:rsidR="001231D3">
              <w:rPr>
                <w:noProof/>
                <w:webHidden/>
              </w:rPr>
              <w:t>251</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67" w:history="1">
            <w:r w:rsidR="00D870BE" w:rsidRPr="00792F42">
              <w:rPr>
                <w:rStyle w:val="Hyperlink"/>
                <w:noProof/>
              </w:rPr>
              <w:t>6.3.1.2</w:t>
            </w:r>
            <w:r w:rsidR="00D870BE">
              <w:rPr>
                <w:rFonts w:asciiTheme="minorHAnsi" w:eastAsiaTheme="minorEastAsia" w:hAnsiTheme="minorHAnsi" w:cstheme="minorBidi"/>
                <w:noProof/>
                <w:sz w:val="22"/>
                <w:szCs w:val="22"/>
              </w:rPr>
              <w:tab/>
            </w:r>
            <w:r w:rsidR="00D870BE" w:rsidRPr="00792F42">
              <w:rPr>
                <w:rStyle w:val="Hyperlink"/>
                <w:noProof/>
              </w:rPr>
              <w:t>Ohne frühere Ergebnisse, mit Hintergrundwissen</w:t>
            </w:r>
            <w:r w:rsidR="00D870BE">
              <w:rPr>
                <w:noProof/>
                <w:webHidden/>
              </w:rPr>
              <w:tab/>
            </w:r>
            <w:r>
              <w:rPr>
                <w:noProof/>
                <w:webHidden/>
              </w:rPr>
              <w:fldChar w:fldCharType="begin"/>
            </w:r>
            <w:r w:rsidR="00D870BE">
              <w:rPr>
                <w:noProof/>
                <w:webHidden/>
              </w:rPr>
              <w:instrText xml:space="preserve"> PAGEREF _Toc325456767 \h </w:instrText>
            </w:r>
            <w:r>
              <w:rPr>
                <w:noProof/>
                <w:webHidden/>
              </w:rPr>
            </w:r>
            <w:r>
              <w:rPr>
                <w:noProof/>
                <w:webHidden/>
              </w:rPr>
              <w:fldChar w:fldCharType="separate"/>
            </w:r>
            <w:r w:rsidR="001231D3">
              <w:rPr>
                <w:noProof/>
                <w:webHidden/>
              </w:rPr>
              <w:t>252</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68" w:history="1">
            <w:r w:rsidR="00D870BE" w:rsidRPr="00792F42">
              <w:rPr>
                <w:rStyle w:val="Hyperlink"/>
                <w:noProof/>
              </w:rPr>
              <w:t>6.3.1.3</w:t>
            </w:r>
            <w:r w:rsidR="00D870BE">
              <w:rPr>
                <w:rFonts w:asciiTheme="minorHAnsi" w:eastAsiaTheme="minorEastAsia" w:hAnsiTheme="minorHAnsi" w:cstheme="minorBidi"/>
                <w:noProof/>
                <w:sz w:val="22"/>
                <w:szCs w:val="22"/>
              </w:rPr>
              <w:tab/>
            </w:r>
            <w:r w:rsidR="00D870BE" w:rsidRPr="00792F42">
              <w:rPr>
                <w:rStyle w:val="Hyperlink"/>
                <w:noProof/>
              </w:rPr>
              <w:t>Mit früheren Ergebnissen, ohne Hintergrundwissen</w:t>
            </w:r>
            <w:r w:rsidR="00D870BE">
              <w:rPr>
                <w:noProof/>
                <w:webHidden/>
              </w:rPr>
              <w:tab/>
            </w:r>
            <w:r>
              <w:rPr>
                <w:noProof/>
                <w:webHidden/>
              </w:rPr>
              <w:fldChar w:fldCharType="begin"/>
            </w:r>
            <w:r w:rsidR="00D870BE">
              <w:rPr>
                <w:noProof/>
                <w:webHidden/>
              </w:rPr>
              <w:instrText xml:space="preserve"> PAGEREF _Toc325456768 \h </w:instrText>
            </w:r>
            <w:r>
              <w:rPr>
                <w:noProof/>
                <w:webHidden/>
              </w:rPr>
            </w:r>
            <w:r>
              <w:rPr>
                <w:noProof/>
                <w:webHidden/>
              </w:rPr>
              <w:fldChar w:fldCharType="separate"/>
            </w:r>
            <w:r w:rsidR="001231D3">
              <w:rPr>
                <w:noProof/>
                <w:webHidden/>
              </w:rPr>
              <w:t>255</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69" w:history="1">
            <w:r w:rsidR="00D870BE" w:rsidRPr="00792F42">
              <w:rPr>
                <w:rStyle w:val="Hyperlink"/>
                <w:noProof/>
              </w:rPr>
              <w:t>6.3.1.4</w:t>
            </w:r>
            <w:r w:rsidR="00D870BE">
              <w:rPr>
                <w:rFonts w:asciiTheme="minorHAnsi" w:eastAsiaTheme="minorEastAsia" w:hAnsiTheme="minorHAnsi" w:cstheme="minorBidi"/>
                <w:noProof/>
                <w:sz w:val="22"/>
                <w:szCs w:val="22"/>
              </w:rPr>
              <w:tab/>
            </w:r>
            <w:r w:rsidR="00D870BE" w:rsidRPr="00792F42">
              <w:rPr>
                <w:rStyle w:val="Hyperlink"/>
                <w:noProof/>
              </w:rPr>
              <w:t>Mit früheren Ergebnissen, mit Hintergrundwissen</w:t>
            </w:r>
            <w:r w:rsidR="00D870BE">
              <w:rPr>
                <w:noProof/>
                <w:webHidden/>
              </w:rPr>
              <w:tab/>
            </w:r>
            <w:r>
              <w:rPr>
                <w:noProof/>
                <w:webHidden/>
              </w:rPr>
              <w:fldChar w:fldCharType="begin"/>
            </w:r>
            <w:r w:rsidR="00D870BE">
              <w:rPr>
                <w:noProof/>
                <w:webHidden/>
              </w:rPr>
              <w:instrText xml:space="preserve"> PAGEREF _Toc325456769 \h </w:instrText>
            </w:r>
            <w:r>
              <w:rPr>
                <w:noProof/>
                <w:webHidden/>
              </w:rPr>
            </w:r>
            <w:r>
              <w:rPr>
                <w:noProof/>
                <w:webHidden/>
              </w:rPr>
              <w:fldChar w:fldCharType="separate"/>
            </w:r>
            <w:r w:rsidR="001231D3">
              <w:rPr>
                <w:noProof/>
                <w:webHidden/>
              </w:rPr>
              <w:t>255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70" w:history="1">
            <w:r w:rsidR="00D870BE" w:rsidRPr="00792F42">
              <w:rPr>
                <w:rStyle w:val="Hyperlink"/>
                <w:noProof/>
              </w:rPr>
              <w:t>6.3.2</w:t>
            </w:r>
            <w:r w:rsidR="00D870BE">
              <w:rPr>
                <w:rFonts w:asciiTheme="minorHAnsi" w:eastAsiaTheme="minorEastAsia" w:hAnsiTheme="minorHAnsi" w:cstheme="minorBidi"/>
                <w:noProof/>
                <w:sz w:val="22"/>
                <w:szCs w:val="22"/>
              </w:rPr>
              <w:tab/>
            </w:r>
            <w:r w:rsidR="00D870BE" w:rsidRPr="00792F42">
              <w:rPr>
                <w:rStyle w:val="Hyperlink"/>
                <w:noProof/>
              </w:rPr>
              <w:t>Aus mehreren Merkmalsregeln</w:t>
            </w:r>
            <w:r w:rsidR="00D870BE">
              <w:rPr>
                <w:noProof/>
                <w:webHidden/>
              </w:rPr>
              <w:tab/>
            </w:r>
            <w:r>
              <w:rPr>
                <w:noProof/>
                <w:webHidden/>
              </w:rPr>
              <w:fldChar w:fldCharType="begin"/>
            </w:r>
            <w:r w:rsidR="00D870BE">
              <w:rPr>
                <w:noProof/>
                <w:webHidden/>
              </w:rPr>
              <w:instrText xml:space="preserve"> PAGEREF _Toc325456770 \h </w:instrText>
            </w:r>
            <w:r>
              <w:rPr>
                <w:noProof/>
                <w:webHidden/>
              </w:rPr>
            </w:r>
            <w:r>
              <w:rPr>
                <w:noProof/>
                <w:webHidden/>
              </w:rPr>
              <w:fldChar w:fldCharType="separate"/>
            </w:r>
            <w:r w:rsidR="001231D3">
              <w:rPr>
                <w:noProof/>
                <w:webHidden/>
              </w:rPr>
              <w:t>256</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1" w:history="1">
            <w:r w:rsidR="00D870BE" w:rsidRPr="00792F42">
              <w:rPr>
                <w:rStyle w:val="Hyperlink"/>
                <w:noProof/>
              </w:rPr>
              <w:t>6.3.2.1</w:t>
            </w:r>
            <w:r w:rsidR="00D870BE">
              <w:rPr>
                <w:rFonts w:asciiTheme="minorHAnsi" w:eastAsiaTheme="minorEastAsia" w:hAnsiTheme="minorHAnsi" w:cstheme="minorBidi"/>
                <w:noProof/>
                <w:sz w:val="22"/>
                <w:szCs w:val="22"/>
              </w:rPr>
              <w:tab/>
            </w:r>
            <w:r w:rsidR="00D870BE" w:rsidRPr="00792F42">
              <w:rPr>
                <w:rStyle w:val="Hyperlink"/>
                <w:noProof/>
              </w:rPr>
              <w:t>Ohne frühere Ergebnisse, ohne Hintergrundwissen</w:t>
            </w:r>
            <w:r w:rsidR="00D870BE">
              <w:rPr>
                <w:noProof/>
                <w:webHidden/>
              </w:rPr>
              <w:tab/>
            </w:r>
            <w:r>
              <w:rPr>
                <w:noProof/>
                <w:webHidden/>
              </w:rPr>
              <w:fldChar w:fldCharType="begin"/>
            </w:r>
            <w:r w:rsidR="00D870BE">
              <w:rPr>
                <w:noProof/>
                <w:webHidden/>
              </w:rPr>
              <w:instrText xml:space="preserve"> PAGEREF _Toc325456771 \h </w:instrText>
            </w:r>
            <w:r>
              <w:rPr>
                <w:noProof/>
                <w:webHidden/>
              </w:rPr>
            </w:r>
            <w:r>
              <w:rPr>
                <w:noProof/>
                <w:webHidden/>
              </w:rPr>
              <w:fldChar w:fldCharType="separate"/>
            </w:r>
            <w:r w:rsidR="001231D3">
              <w:rPr>
                <w:noProof/>
                <w:webHidden/>
              </w:rPr>
              <w:t>256</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2" w:history="1">
            <w:r w:rsidR="00D870BE" w:rsidRPr="00792F42">
              <w:rPr>
                <w:rStyle w:val="Hyperlink"/>
                <w:noProof/>
              </w:rPr>
              <w:t>6.3.2.2</w:t>
            </w:r>
            <w:r w:rsidR="00D870BE">
              <w:rPr>
                <w:rFonts w:asciiTheme="minorHAnsi" w:eastAsiaTheme="minorEastAsia" w:hAnsiTheme="minorHAnsi" w:cstheme="minorBidi"/>
                <w:noProof/>
                <w:sz w:val="22"/>
                <w:szCs w:val="22"/>
              </w:rPr>
              <w:tab/>
            </w:r>
            <w:r w:rsidR="00D870BE" w:rsidRPr="00792F42">
              <w:rPr>
                <w:rStyle w:val="Hyperlink"/>
                <w:noProof/>
              </w:rPr>
              <w:t>Ohne frühere Ergebnisse, mit Hintergrundwissen</w:t>
            </w:r>
            <w:r w:rsidR="00D870BE">
              <w:rPr>
                <w:noProof/>
                <w:webHidden/>
              </w:rPr>
              <w:tab/>
            </w:r>
            <w:r>
              <w:rPr>
                <w:noProof/>
                <w:webHidden/>
              </w:rPr>
              <w:fldChar w:fldCharType="begin"/>
            </w:r>
            <w:r w:rsidR="00D870BE">
              <w:rPr>
                <w:noProof/>
                <w:webHidden/>
              </w:rPr>
              <w:instrText xml:space="preserve"> PAGEREF _Toc325456772 \h </w:instrText>
            </w:r>
            <w:r>
              <w:rPr>
                <w:noProof/>
                <w:webHidden/>
              </w:rPr>
            </w:r>
            <w:r>
              <w:rPr>
                <w:noProof/>
                <w:webHidden/>
              </w:rPr>
              <w:fldChar w:fldCharType="separate"/>
            </w:r>
            <w:r w:rsidR="001231D3">
              <w:rPr>
                <w:noProof/>
                <w:webHidden/>
              </w:rPr>
              <w:t>260</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3" w:history="1">
            <w:r w:rsidR="00D870BE" w:rsidRPr="00792F42">
              <w:rPr>
                <w:rStyle w:val="Hyperlink"/>
                <w:noProof/>
              </w:rPr>
              <w:t>6.3.2.3</w:t>
            </w:r>
            <w:r w:rsidR="00D870BE">
              <w:rPr>
                <w:rFonts w:asciiTheme="minorHAnsi" w:eastAsiaTheme="minorEastAsia" w:hAnsiTheme="minorHAnsi" w:cstheme="minorBidi"/>
                <w:noProof/>
                <w:sz w:val="22"/>
                <w:szCs w:val="22"/>
              </w:rPr>
              <w:tab/>
            </w:r>
            <w:r w:rsidR="00D870BE" w:rsidRPr="00792F42">
              <w:rPr>
                <w:rStyle w:val="Hyperlink"/>
                <w:noProof/>
              </w:rPr>
              <w:t>Mit früheren Ergebnissen, ohne Hintergrundwissen</w:t>
            </w:r>
            <w:r w:rsidR="00D870BE">
              <w:rPr>
                <w:noProof/>
                <w:webHidden/>
              </w:rPr>
              <w:tab/>
            </w:r>
            <w:r>
              <w:rPr>
                <w:noProof/>
                <w:webHidden/>
              </w:rPr>
              <w:fldChar w:fldCharType="begin"/>
            </w:r>
            <w:r w:rsidR="00D870BE">
              <w:rPr>
                <w:noProof/>
                <w:webHidden/>
              </w:rPr>
              <w:instrText xml:space="preserve"> PAGEREF _Toc325456773 \h </w:instrText>
            </w:r>
            <w:r>
              <w:rPr>
                <w:noProof/>
                <w:webHidden/>
              </w:rPr>
            </w:r>
            <w:r>
              <w:rPr>
                <w:noProof/>
                <w:webHidden/>
              </w:rPr>
              <w:fldChar w:fldCharType="separate"/>
            </w:r>
            <w:r w:rsidR="001231D3">
              <w:rPr>
                <w:noProof/>
                <w:webHidden/>
              </w:rPr>
              <w:t>262</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4" w:history="1">
            <w:r w:rsidR="00D870BE" w:rsidRPr="00792F42">
              <w:rPr>
                <w:rStyle w:val="Hyperlink"/>
                <w:noProof/>
              </w:rPr>
              <w:t>6.3.2.4</w:t>
            </w:r>
            <w:r w:rsidR="00D870BE">
              <w:rPr>
                <w:rFonts w:asciiTheme="minorHAnsi" w:eastAsiaTheme="minorEastAsia" w:hAnsiTheme="minorHAnsi" w:cstheme="minorBidi"/>
                <w:noProof/>
                <w:sz w:val="22"/>
                <w:szCs w:val="22"/>
              </w:rPr>
              <w:tab/>
            </w:r>
            <w:r w:rsidR="00D870BE" w:rsidRPr="00792F42">
              <w:rPr>
                <w:rStyle w:val="Hyperlink"/>
                <w:noProof/>
              </w:rPr>
              <w:t>Mit früheren Ergebnissen, mit Hintergrundwissen</w:t>
            </w:r>
            <w:r w:rsidR="00D870BE">
              <w:rPr>
                <w:noProof/>
                <w:webHidden/>
              </w:rPr>
              <w:tab/>
            </w:r>
            <w:r>
              <w:rPr>
                <w:noProof/>
                <w:webHidden/>
              </w:rPr>
              <w:fldChar w:fldCharType="begin"/>
            </w:r>
            <w:r w:rsidR="00D870BE">
              <w:rPr>
                <w:noProof/>
                <w:webHidden/>
              </w:rPr>
              <w:instrText xml:space="preserve"> PAGEREF _Toc325456774 \h </w:instrText>
            </w:r>
            <w:r>
              <w:rPr>
                <w:noProof/>
                <w:webHidden/>
              </w:rPr>
            </w:r>
            <w:r>
              <w:rPr>
                <w:noProof/>
                <w:webHidden/>
              </w:rPr>
              <w:fldChar w:fldCharType="separate"/>
            </w:r>
            <w:r w:rsidR="001231D3">
              <w:rPr>
                <w:noProof/>
                <w:webHidden/>
              </w:rPr>
              <w:t>263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75" w:history="1">
            <w:r w:rsidR="00D870BE" w:rsidRPr="00792F42">
              <w:rPr>
                <w:rStyle w:val="Hyperlink"/>
                <w:noProof/>
              </w:rPr>
              <w:t>6.3.3</w:t>
            </w:r>
            <w:r w:rsidR="00D870BE">
              <w:rPr>
                <w:rFonts w:asciiTheme="minorHAnsi" w:eastAsiaTheme="minorEastAsia" w:hAnsiTheme="minorHAnsi" w:cstheme="minorBidi"/>
                <w:noProof/>
                <w:sz w:val="22"/>
                <w:szCs w:val="22"/>
              </w:rPr>
              <w:tab/>
            </w:r>
            <w:r w:rsidR="00D870BE" w:rsidRPr="00792F42">
              <w:rPr>
                <w:rStyle w:val="Hyperlink"/>
                <w:noProof/>
              </w:rPr>
              <w:t>Erzeugung eines Ergebnisses aus früheren Ergebnissen</w:t>
            </w:r>
            <w:r w:rsidR="00D870BE">
              <w:rPr>
                <w:noProof/>
                <w:webHidden/>
              </w:rPr>
              <w:tab/>
            </w:r>
            <w:r>
              <w:rPr>
                <w:noProof/>
                <w:webHidden/>
              </w:rPr>
              <w:fldChar w:fldCharType="begin"/>
            </w:r>
            <w:r w:rsidR="00D870BE">
              <w:rPr>
                <w:noProof/>
                <w:webHidden/>
              </w:rPr>
              <w:instrText xml:space="preserve"> PAGEREF _Toc325456775 \h </w:instrText>
            </w:r>
            <w:r>
              <w:rPr>
                <w:noProof/>
                <w:webHidden/>
              </w:rPr>
            </w:r>
            <w:r>
              <w:rPr>
                <w:noProof/>
                <w:webHidden/>
              </w:rPr>
              <w:fldChar w:fldCharType="separate"/>
            </w:r>
            <w:r w:rsidR="001231D3">
              <w:rPr>
                <w:noProof/>
                <w:webHidden/>
              </w:rPr>
              <w:t>265</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6" w:history="1">
            <w:r w:rsidR="00D870BE" w:rsidRPr="00792F42">
              <w:rPr>
                <w:rStyle w:val="Hyperlink"/>
                <w:noProof/>
              </w:rPr>
              <w:t>6.3.3.1</w:t>
            </w:r>
            <w:r w:rsidR="00D870BE">
              <w:rPr>
                <w:rFonts w:asciiTheme="minorHAnsi" w:eastAsiaTheme="minorEastAsia" w:hAnsiTheme="minorHAnsi" w:cstheme="minorBidi"/>
                <w:noProof/>
                <w:sz w:val="22"/>
                <w:szCs w:val="22"/>
              </w:rPr>
              <w:tab/>
            </w:r>
            <w:r w:rsidR="00D870BE" w:rsidRPr="00792F42">
              <w:rPr>
                <w:rStyle w:val="Hyperlink"/>
                <w:noProof/>
              </w:rPr>
              <w:t>Ohne Hintergrundwissen</w:t>
            </w:r>
            <w:r w:rsidR="00D870BE">
              <w:rPr>
                <w:noProof/>
                <w:webHidden/>
              </w:rPr>
              <w:tab/>
            </w:r>
            <w:r>
              <w:rPr>
                <w:noProof/>
                <w:webHidden/>
              </w:rPr>
              <w:fldChar w:fldCharType="begin"/>
            </w:r>
            <w:r w:rsidR="00D870BE">
              <w:rPr>
                <w:noProof/>
                <w:webHidden/>
              </w:rPr>
              <w:instrText xml:space="preserve"> PAGEREF _Toc325456776 \h </w:instrText>
            </w:r>
            <w:r>
              <w:rPr>
                <w:noProof/>
                <w:webHidden/>
              </w:rPr>
            </w:r>
            <w:r>
              <w:rPr>
                <w:noProof/>
                <w:webHidden/>
              </w:rPr>
              <w:fldChar w:fldCharType="separate"/>
            </w:r>
            <w:r w:rsidR="001231D3">
              <w:rPr>
                <w:noProof/>
                <w:webHidden/>
              </w:rPr>
              <w:t>265</w:t>
            </w:r>
            <w:r>
              <w:rPr>
                <w:noProof/>
                <w:webHidden/>
              </w:rPr>
              <w:fldChar w:fldCharType="end"/>
            </w:r>
          </w:hyperlink>
        </w:p>
        <w:p w:rsidR="00D870BE" w:rsidRDefault="005D7996">
          <w:pPr>
            <w:pStyle w:val="Verzeichnis4"/>
            <w:rPr>
              <w:rFonts w:asciiTheme="minorHAnsi" w:eastAsiaTheme="minorEastAsia" w:hAnsiTheme="minorHAnsi" w:cstheme="minorBidi"/>
              <w:noProof/>
              <w:sz w:val="22"/>
              <w:szCs w:val="22"/>
            </w:rPr>
          </w:pPr>
          <w:hyperlink w:anchor="_Toc325456777" w:history="1">
            <w:r w:rsidR="00D870BE" w:rsidRPr="00792F42">
              <w:rPr>
                <w:rStyle w:val="Hyperlink"/>
                <w:noProof/>
              </w:rPr>
              <w:t>6.3.3.2</w:t>
            </w:r>
            <w:r w:rsidR="00D870BE">
              <w:rPr>
                <w:rFonts w:asciiTheme="minorHAnsi" w:eastAsiaTheme="minorEastAsia" w:hAnsiTheme="minorHAnsi" w:cstheme="minorBidi"/>
                <w:noProof/>
                <w:sz w:val="22"/>
                <w:szCs w:val="22"/>
              </w:rPr>
              <w:tab/>
            </w:r>
            <w:r w:rsidR="00D870BE" w:rsidRPr="00792F42">
              <w:rPr>
                <w:rStyle w:val="Hyperlink"/>
                <w:noProof/>
              </w:rPr>
              <w:t>Mit Hintergrundwissen</w:t>
            </w:r>
            <w:r w:rsidR="00D870BE">
              <w:rPr>
                <w:noProof/>
                <w:webHidden/>
              </w:rPr>
              <w:tab/>
            </w:r>
            <w:r>
              <w:rPr>
                <w:noProof/>
                <w:webHidden/>
              </w:rPr>
              <w:fldChar w:fldCharType="begin"/>
            </w:r>
            <w:r w:rsidR="00D870BE">
              <w:rPr>
                <w:noProof/>
                <w:webHidden/>
              </w:rPr>
              <w:instrText xml:space="preserve"> PAGEREF _Toc325456777 \h </w:instrText>
            </w:r>
            <w:r>
              <w:rPr>
                <w:noProof/>
                <w:webHidden/>
              </w:rPr>
            </w:r>
            <w:r>
              <w:rPr>
                <w:noProof/>
                <w:webHidden/>
              </w:rPr>
              <w:fldChar w:fldCharType="separate"/>
            </w:r>
            <w:r w:rsidR="001231D3">
              <w:rPr>
                <w:noProof/>
                <w:webHidden/>
              </w:rPr>
              <w:t>266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78" w:history="1">
            <w:r w:rsidR="00D870BE" w:rsidRPr="00792F42">
              <w:rPr>
                <w:rStyle w:val="Hyperlink"/>
                <w:noProof/>
              </w:rPr>
              <w:t>6.4</w:t>
            </w:r>
            <w:r w:rsidR="00D870BE">
              <w:rPr>
                <w:rFonts w:asciiTheme="minorHAnsi" w:eastAsiaTheme="minorEastAsia" w:hAnsiTheme="minorHAnsi" w:cstheme="minorBidi"/>
                <w:noProof/>
                <w:sz w:val="22"/>
                <w:szCs w:val="22"/>
              </w:rPr>
              <w:tab/>
            </w:r>
            <w:r w:rsidR="00D870BE" w:rsidRPr="00792F42">
              <w:rPr>
                <w:rStyle w:val="Hyperlink"/>
                <w:noProof/>
              </w:rPr>
              <w:t>Operationen</w:t>
            </w:r>
            <w:r w:rsidR="00D870BE">
              <w:rPr>
                <w:noProof/>
                <w:webHidden/>
              </w:rPr>
              <w:tab/>
            </w:r>
            <w:r>
              <w:rPr>
                <w:noProof/>
                <w:webHidden/>
              </w:rPr>
              <w:fldChar w:fldCharType="begin"/>
            </w:r>
            <w:r w:rsidR="00D870BE">
              <w:rPr>
                <w:noProof/>
                <w:webHidden/>
              </w:rPr>
              <w:instrText xml:space="preserve"> PAGEREF _Toc325456778 \h </w:instrText>
            </w:r>
            <w:r>
              <w:rPr>
                <w:noProof/>
                <w:webHidden/>
              </w:rPr>
            </w:r>
            <w:r>
              <w:rPr>
                <w:noProof/>
                <w:webHidden/>
              </w:rPr>
              <w:fldChar w:fldCharType="separate"/>
            </w:r>
            <w:r w:rsidR="001231D3">
              <w:rPr>
                <w:noProof/>
                <w:webHidden/>
              </w:rPr>
              <w:t>267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79" w:history="1">
            <w:r w:rsidR="00D870BE" w:rsidRPr="00792F42">
              <w:rPr>
                <w:rStyle w:val="Hyperlink"/>
                <w:noProof/>
              </w:rPr>
              <w:t>6.4.1</w:t>
            </w:r>
            <w:r w:rsidR="00D870BE">
              <w:rPr>
                <w:rFonts w:asciiTheme="minorHAnsi" w:eastAsiaTheme="minorEastAsia" w:hAnsiTheme="minorHAnsi" w:cstheme="minorBidi"/>
                <w:noProof/>
                <w:sz w:val="22"/>
                <w:szCs w:val="22"/>
              </w:rPr>
              <w:tab/>
            </w:r>
            <w:r w:rsidR="00D870BE" w:rsidRPr="00792F42">
              <w:rPr>
                <w:rStyle w:val="Hyperlink"/>
                <w:noProof/>
              </w:rPr>
              <w:t>Deduktion</w:t>
            </w:r>
            <w:r w:rsidR="00D870BE">
              <w:rPr>
                <w:noProof/>
                <w:webHidden/>
              </w:rPr>
              <w:tab/>
            </w:r>
            <w:r>
              <w:rPr>
                <w:noProof/>
                <w:webHidden/>
              </w:rPr>
              <w:fldChar w:fldCharType="begin"/>
            </w:r>
            <w:r w:rsidR="00D870BE">
              <w:rPr>
                <w:noProof/>
                <w:webHidden/>
              </w:rPr>
              <w:instrText xml:space="preserve"> PAGEREF _Toc325456779 \h </w:instrText>
            </w:r>
            <w:r>
              <w:rPr>
                <w:noProof/>
                <w:webHidden/>
              </w:rPr>
            </w:r>
            <w:r>
              <w:rPr>
                <w:noProof/>
                <w:webHidden/>
              </w:rPr>
              <w:fldChar w:fldCharType="separate"/>
            </w:r>
            <w:r w:rsidR="001231D3">
              <w:rPr>
                <w:noProof/>
                <w:webHidden/>
              </w:rPr>
              <w:t>268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0" w:history="1">
            <w:r w:rsidR="00D870BE" w:rsidRPr="00792F42">
              <w:rPr>
                <w:rStyle w:val="Hyperlink"/>
                <w:noProof/>
              </w:rPr>
              <w:t>6.4.2</w:t>
            </w:r>
            <w:r w:rsidR="00D870BE">
              <w:rPr>
                <w:rFonts w:asciiTheme="minorHAnsi" w:eastAsiaTheme="minorEastAsia" w:hAnsiTheme="minorHAnsi" w:cstheme="minorBidi"/>
                <w:noProof/>
                <w:sz w:val="22"/>
                <w:szCs w:val="22"/>
              </w:rPr>
              <w:tab/>
            </w:r>
            <w:r w:rsidR="00D870BE" w:rsidRPr="00792F42">
              <w:rPr>
                <w:rStyle w:val="Hyperlink"/>
                <w:noProof/>
              </w:rPr>
              <w:t>Induktion</w:t>
            </w:r>
            <w:r w:rsidR="00D870BE">
              <w:rPr>
                <w:noProof/>
                <w:webHidden/>
              </w:rPr>
              <w:tab/>
            </w:r>
            <w:r>
              <w:rPr>
                <w:noProof/>
                <w:webHidden/>
              </w:rPr>
              <w:fldChar w:fldCharType="begin"/>
            </w:r>
            <w:r w:rsidR="00D870BE">
              <w:rPr>
                <w:noProof/>
                <w:webHidden/>
              </w:rPr>
              <w:instrText xml:space="preserve"> PAGEREF _Toc325456780 \h </w:instrText>
            </w:r>
            <w:r>
              <w:rPr>
                <w:noProof/>
                <w:webHidden/>
              </w:rPr>
            </w:r>
            <w:r>
              <w:rPr>
                <w:noProof/>
                <w:webHidden/>
              </w:rPr>
              <w:fldChar w:fldCharType="separate"/>
            </w:r>
            <w:r w:rsidR="001231D3">
              <w:rPr>
                <w:noProof/>
                <w:webHidden/>
              </w:rPr>
              <w:t>272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1" w:history="1">
            <w:r w:rsidR="00D870BE" w:rsidRPr="00792F42">
              <w:rPr>
                <w:rStyle w:val="Hyperlink"/>
                <w:noProof/>
              </w:rPr>
              <w:t>6.4.3</w:t>
            </w:r>
            <w:r w:rsidR="00D870BE">
              <w:rPr>
                <w:rFonts w:asciiTheme="minorHAnsi" w:eastAsiaTheme="minorEastAsia" w:hAnsiTheme="minorHAnsi" w:cstheme="minorBidi"/>
                <w:noProof/>
                <w:sz w:val="22"/>
                <w:szCs w:val="22"/>
              </w:rPr>
              <w:tab/>
            </w:r>
            <w:r w:rsidR="00D870BE" w:rsidRPr="00792F42">
              <w:rPr>
                <w:rStyle w:val="Hyperlink"/>
                <w:noProof/>
              </w:rPr>
              <w:t>Abduktion</w:t>
            </w:r>
            <w:r w:rsidR="00D870BE">
              <w:rPr>
                <w:noProof/>
                <w:webHidden/>
              </w:rPr>
              <w:tab/>
            </w:r>
            <w:r>
              <w:rPr>
                <w:noProof/>
                <w:webHidden/>
              </w:rPr>
              <w:fldChar w:fldCharType="begin"/>
            </w:r>
            <w:r w:rsidR="00D870BE">
              <w:rPr>
                <w:noProof/>
                <w:webHidden/>
              </w:rPr>
              <w:instrText xml:space="preserve"> PAGEREF _Toc325456781 \h </w:instrText>
            </w:r>
            <w:r>
              <w:rPr>
                <w:noProof/>
                <w:webHidden/>
              </w:rPr>
            </w:r>
            <w:r>
              <w:rPr>
                <w:noProof/>
                <w:webHidden/>
              </w:rPr>
              <w:fldChar w:fldCharType="separate"/>
            </w:r>
            <w:r w:rsidR="001231D3">
              <w:rPr>
                <w:noProof/>
                <w:webHidden/>
              </w:rPr>
              <w:t>273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2" w:history="1">
            <w:r w:rsidR="00D870BE" w:rsidRPr="00792F42">
              <w:rPr>
                <w:rStyle w:val="Hyperlink"/>
                <w:noProof/>
              </w:rPr>
              <w:t>6.4.4</w:t>
            </w:r>
            <w:r w:rsidR="00D870BE">
              <w:rPr>
                <w:rFonts w:asciiTheme="minorHAnsi" w:eastAsiaTheme="minorEastAsia" w:hAnsiTheme="minorHAnsi" w:cstheme="minorBidi"/>
                <w:noProof/>
                <w:sz w:val="22"/>
                <w:szCs w:val="22"/>
              </w:rPr>
              <w:tab/>
            </w:r>
            <w:r w:rsidR="00D870BE" w:rsidRPr="00792F42">
              <w:rPr>
                <w:rStyle w:val="Hyperlink"/>
                <w:noProof/>
              </w:rPr>
              <w:t>Assoziation</w:t>
            </w:r>
            <w:r w:rsidR="00D870BE">
              <w:rPr>
                <w:noProof/>
                <w:webHidden/>
              </w:rPr>
              <w:tab/>
            </w:r>
            <w:r>
              <w:rPr>
                <w:noProof/>
                <w:webHidden/>
              </w:rPr>
              <w:fldChar w:fldCharType="begin"/>
            </w:r>
            <w:r w:rsidR="00D870BE">
              <w:rPr>
                <w:noProof/>
                <w:webHidden/>
              </w:rPr>
              <w:instrText xml:space="preserve"> PAGEREF _Toc325456782 \h </w:instrText>
            </w:r>
            <w:r>
              <w:rPr>
                <w:noProof/>
                <w:webHidden/>
              </w:rPr>
            </w:r>
            <w:r>
              <w:rPr>
                <w:noProof/>
                <w:webHidden/>
              </w:rPr>
              <w:fldChar w:fldCharType="separate"/>
            </w:r>
            <w:r w:rsidR="001231D3">
              <w:rPr>
                <w:noProof/>
                <w:webHidden/>
              </w:rPr>
              <w:t>275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3" w:history="1">
            <w:r w:rsidR="00D870BE" w:rsidRPr="00792F42">
              <w:rPr>
                <w:rStyle w:val="Hyperlink"/>
                <w:noProof/>
              </w:rPr>
              <w:t>6.4.5</w:t>
            </w:r>
            <w:r w:rsidR="00D870BE">
              <w:rPr>
                <w:rFonts w:asciiTheme="minorHAnsi" w:eastAsiaTheme="minorEastAsia" w:hAnsiTheme="minorHAnsi" w:cstheme="minorBidi"/>
                <w:noProof/>
                <w:sz w:val="22"/>
                <w:szCs w:val="22"/>
              </w:rPr>
              <w:tab/>
            </w:r>
            <w:r w:rsidR="00D870BE" w:rsidRPr="00792F42">
              <w:rPr>
                <w:rStyle w:val="Hyperlink"/>
                <w:noProof/>
              </w:rPr>
              <w:t>Bedeutungssuche</w:t>
            </w:r>
            <w:r w:rsidR="00D870BE">
              <w:rPr>
                <w:noProof/>
                <w:webHidden/>
              </w:rPr>
              <w:tab/>
            </w:r>
            <w:r>
              <w:rPr>
                <w:noProof/>
                <w:webHidden/>
              </w:rPr>
              <w:fldChar w:fldCharType="begin"/>
            </w:r>
            <w:r w:rsidR="00D870BE">
              <w:rPr>
                <w:noProof/>
                <w:webHidden/>
              </w:rPr>
              <w:instrText xml:space="preserve"> PAGEREF _Toc325456783 \h </w:instrText>
            </w:r>
            <w:r>
              <w:rPr>
                <w:noProof/>
                <w:webHidden/>
              </w:rPr>
            </w:r>
            <w:r>
              <w:rPr>
                <w:noProof/>
                <w:webHidden/>
              </w:rPr>
              <w:fldChar w:fldCharType="separate"/>
            </w:r>
            <w:r w:rsidR="001231D3">
              <w:rPr>
                <w:noProof/>
                <w:webHidden/>
              </w:rPr>
              <w:t>279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4" w:history="1">
            <w:r w:rsidR="00D870BE" w:rsidRPr="00792F42">
              <w:rPr>
                <w:rStyle w:val="Hyperlink"/>
                <w:noProof/>
              </w:rPr>
              <w:t>6.4.6</w:t>
            </w:r>
            <w:r w:rsidR="00D870BE">
              <w:rPr>
                <w:rFonts w:asciiTheme="minorHAnsi" w:eastAsiaTheme="minorEastAsia" w:hAnsiTheme="minorHAnsi" w:cstheme="minorBidi"/>
                <w:noProof/>
                <w:sz w:val="22"/>
                <w:szCs w:val="22"/>
              </w:rPr>
              <w:tab/>
            </w:r>
            <w:r w:rsidR="00D870BE" w:rsidRPr="00792F42">
              <w:rPr>
                <w:rStyle w:val="Hyperlink"/>
                <w:noProof/>
              </w:rPr>
              <w:t>Gefühlsreaktion</w:t>
            </w:r>
            <w:r w:rsidR="00D870BE">
              <w:rPr>
                <w:noProof/>
                <w:webHidden/>
              </w:rPr>
              <w:tab/>
            </w:r>
            <w:r>
              <w:rPr>
                <w:noProof/>
                <w:webHidden/>
              </w:rPr>
              <w:fldChar w:fldCharType="begin"/>
            </w:r>
            <w:r w:rsidR="00D870BE">
              <w:rPr>
                <w:noProof/>
                <w:webHidden/>
              </w:rPr>
              <w:instrText xml:space="preserve"> PAGEREF _Toc325456784 \h </w:instrText>
            </w:r>
            <w:r>
              <w:rPr>
                <w:noProof/>
                <w:webHidden/>
              </w:rPr>
            </w:r>
            <w:r>
              <w:rPr>
                <w:noProof/>
                <w:webHidden/>
              </w:rPr>
              <w:fldChar w:fldCharType="separate"/>
            </w:r>
            <w:r w:rsidR="001231D3">
              <w:rPr>
                <w:noProof/>
                <w:webHidden/>
              </w:rPr>
              <w:t>281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5" w:history="1">
            <w:r w:rsidR="00D870BE" w:rsidRPr="00792F42">
              <w:rPr>
                <w:rStyle w:val="Hyperlink"/>
                <w:noProof/>
              </w:rPr>
              <w:t>6.4.7</w:t>
            </w:r>
            <w:r w:rsidR="00D870BE">
              <w:rPr>
                <w:rFonts w:asciiTheme="minorHAnsi" w:eastAsiaTheme="minorEastAsia" w:hAnsiTheme="minorHAnsi" w:cstheme="minorBidi"/>
                <w:noProof/>
                <w:sz w:val="22"/>
                <w:szCs w:val="22"/>
              </w:rPr>
              <w:tab/>
            </w:r>
            <w:r w:rsidR="00D870BE" w:rsidRPr="00792F42">
              <w:rPr>
                <w:rStyle w:val="Hyperlink"/>
                <w:noProof/>
              </w:rPr>
              <w:t>Eindrucksreaktion</w:t>
            </w:r>
            <w:r w:rsidR="00D870BE">
              <w:rPr>
                <w:noProof/>
                <w:webHidden/>
              </w:rPr>
              <w:tab/>
            </w:r>
            <w:r>
              <w:rPr>
                <w:noProof/>
                <w:webHidden/>
              </w:rPr>
              <w:fldChar w:fldCharType="begin"/>
            </w:r>
            <w:r w:rsidR="00D870BE">
              <w:rPr>
                <w:noProof/>
                <w:webHidden/>
              </w:rPr>
              <w:instrText xml:space="preserve"> PAGEREF _Toc325456785 \h </w:instrText>
            </w:r>
            <w:r>
              <w:rPr>
                <w:noProof/>
                <w:webHidden/>
              </w:rPr>
            </w:r>
            <w:r>
              <w:rPr>
                <w:noProof/>
                <w:webHidden/>
              </w:rPr>
              <w:fldChar w:fldCharType="separate"/>
            </w:r>
            <w:r w:rsidR="001231D3">
              <w:rPr>
                <w:noProof/>
                <w:webHidden/>
              </w:rPr>
              <w:t>283</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786" w:history="1">
            <w:r w:rsidR="00D870BE" w:rsidRPr="00792F42">
              <w:rPr>
                <w:rStyle w:val="Hyperlink"/>
                <w:noProof/>
              </w:rPr>
              <w:t>Kapitel 7: Der Interpretationsprozess</w:t>
            </w:r>
            <w:r w:rsidR="00D870BE">
              <w:rPr>
                <w:noProof/>
                <w:webHidden/>
              </w:rPr>
              <w:tab/>
            </w:r>
            <w:r>
              <w:rPr>
                <w:noProof/>
                <w:webHidden/>
              </w:rPr>
              <w:fldChar w:fldCharType="begin"/>
            </w:r>
            <w:r w:rsidR="00D870BE">
              <w:rPr>
                <w:noProof/>
                <w:webHidden/>
              </w:rPr>
              <w:instrText xml:space="preserve"> PAGEREF _Toc325456786 \h </w:instrText>
            </w:r>
            <w:r>
              <w:rPr>
                <w:noProof/>
                <w:webHidden/>
              </w:rPr>
            </w:r>
            <w:r>
              <w:rPr>
                <w:noProof/>
                <w:webHidden/>
              </w:rPr>
              <w:fldChar w:fldCharType="separate"/>
            </w:r>
            <w:r w:rsidR="001231D3">
              <w:rPr>
                <w:noProof/>
                <w:webHidden/>
              </w:rPr>
              <w:t>288</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87" w:history="1">
            <w:r w:rsidR="00D870BE" w:rsidRPr="00792F42">
              <w:rPr>
                <w:rStyle w:val="Hyperlink"/>
                <w:noProof/>
              </w:rPr>
              <w:t>7.1</w:t>
            </w:r>
            <w:r w:rsidR="00D870BE">
              <w:rPr>
                <w:rFonts w:asciiTheme="minorHAnsi" w:eastAsiaTheme="minorEastAsia" w:hAnsiTheme="minorHAnsi" w:cstheme="minorBidi"/>
                <w:noProof/>
                <w:sz w:val="22"/>
                <w:szCs w:val="22"/>
              </w:rPr>
              <w:tab/>
            </w:r>
            <w:r w:rsidR="00D870BE" w:rsidRPr="00792F42">
              <w:rPr>
                <w:rStyle w:val="Hyperlink"/>
                <w:noProof/>
              </w:rPr>
              <w:t>Beispiele für Interpretationen</w:t>
            </w:r>
            <w:r w:rsidR="00D870BE">
              <w:rPr>
                <w:noProof/>
                <w:webHidden/>
              </w:rPr>
              <w:tab/>
            </w:r>
            <w:r>
              <w:rPr>
                <w:noProof/>
                <w:webHidden/>
              </w:rPr>
              <w:fldChar w:fldCharType="begin"/>
            </w:r>
            <w:r w:rsidR="00D870BE">
              <w:rPr>
                <w:noProof/>
                <w:webHidden/>
              </w:rPr>
              <w:instrText xml:space="preserve"> PAGEREF _Toc325456787 \h </w:instrText>
            </w:r>
            <w:r>
              <w:rPr>
                <w:noProof/>
                <w:webHidden/>
              </w:rPr>
            </w:r>
            <w:r>
              <w:rPr>
                <w:noProof/>
                <w:webHidden/>
              </w:rPr>
              <w:fldChar w:fldCharType="separate"/>
            </w:r>
            <w:r w:rsidR="001231D3">
              <w:rPr>
                <w:noProof/>
                <w:webHidden/>
              </w:rPr>
              <w:t>288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8" w:history="1">
            <w:r w:rsidR="00D870BE" w:rsidRPr="00792F42">
              <w:rPr>
                <w:rStyle w:val="Hyperlink"/>
                <w:noProof/>
              </w:rPr>
              <w:t>7.1.1</w:t>
            </w:r>
            <w:r w:rsidR="00D870BE">
              <w:rPr>
                <w:rFonts w:asciiTheme="minorHAnsi" w:eastAsiaTheme="minorEastAsia" w:hAnsiTheme="minorHAnsi" w:cstheme="minorBidi"/>
                <w:noProof/>
                <w:sz w:val="22"/>
                <w:szCs w:val="22"/>
              </w:rPr>
              <w:tab/>
            </w:r>
            <w:r w:rsidR="00D870BE" w:rsidRPr="00792F42">
              <w:rPr>
                <w:rStyle w:val="Hyperlink"/>
                <w:noProof/>
              </w:rPr>
              <w:t>Richard Meier</w:t>
            </w:r>
            <w:r w:rsidR="00D870BE">
              <w:rPr>
                <w:noProof/>
                <w:webHidden/>
              </w:rPr>
              <w:tab/>
            </w:r>
            <w:r>
              <w:rPr>
                <w:noProof/>
                <w:webHidden/>
              </w:rPr>
              <w:fldChar w:fldCharType="begin"/>
            </w:r>
            <w:r w:rsidR="00D870BE">
              <w:rPr>
                <w:noProof/>
                <w:webHidden/>
              </w:rPr>
              <w:instrText xml:space="preserve"> PAGEREF _Toc325456788 \h </w:instrText>
            </w:r>
            <w:r>
              <w:rPr>
                <w:noProof/>
                <w:webHidden/>
              </w:rPr>
            </w:r>
            <w:r>
              <w:rPr>
                <w:noProof/>
                <w:webHidden/>
              </w:rPr>
              <w:fldChar w:fldCharType="separate"/>
            </w:r>
            <w:r w:rsidR="001231D3">
              <w:rPr>
                <w:noProof/>
                <w:webHidden/>
              </w:rPr>
              <w:t>288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89" w:history="1">
            <w:r w:rsidR="00D870BE" w:rsidRPr="00792F42">
              <w:rPr>
                <w:rStyle w:val="Hyperlink"/>
                <w:noProof/>
              </w:rPr>
              <w:t>7.1.2</w:t>
            </w:r>
            <w:r w:rsidR="00D870BE">
              <w:rPr>
                <w:rFonts w:asciiTheme="minorHAnsi" w:eastAsiaTheme="minorEastAsia" w:hAnsiTheme="minorHAnsi" w:cstheme="minorBidi"/>
                <w:noProof/>
                <w:sz w:val="22"/>
                <w:szCs w:val="22"/>
              </w:rPr>
              <w:tab/>
            </w:r>
            <w:r w:rsidR="00D870BE" w:rsidRPr="00792F42">
              <w:rPr>
                <w:rStyle w:val="Hyperlink"/>
                <w:noProof/>
              </w:rPr>
              <w:t>Bret Easton Ellis</w:t>
            </w:r>
            <w:r w:rsidR="00D870BE">
              <w:rPr>
                <w:noProof/>
                <w:webHidden/>
              </w:rPr>
              <w:tab/>
            </w:r>
            <w:r>
              <w:rPr>
                <w:noProof/>
                <w:webHidden/>
              </w:rPr>
              <w:fldChar w:fldCharType="begin"/>
            </w:r>
            <w:r w:rsidR="00D870BE">
              <w:rPr>
                <w:noProof/>
                <w:webHidden/>
              </w:rPr>
              <w:instrText xml:space="preserve"> PAGEREF _Toc325456789 \h </w:instrText>
            </w:r>
            <w:r>
              <w:rPr>
                <w:noProof/>
                <w:webHidden/>
              </w:rPr>
            </w:r>
            <w:r>
              <w:rPr>
                <w:noProof/>
                <w:webHidden/>
              </w:rPr>
              <w:fldChar w:fldCharType="separate"/>
            </w:r>
            <w:r w:rsidR="001231D3">
              <w:rPr>
                <w:noProof/>
                <w:webHidden/>
              </w:rPr>
              <w:t>295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0" w:history="1">
            <w:r w:rsidR="00D870BE" w:rsidRPr="00792F42">
              <w:rPr>
                <w:rStyle w:val="Hyperlink"/>
                <w:noProof/>
              </w:rPr>
              <w:t>7.1.3</w:t>
            </w:r>
            <w:r w:rsidR="00D870BE">
              <w:rPr>
                <w:rFonts w:asciiTheme="minorHAnsi" w:eastAsiaTheme="minorEastAsia" w:hAnsiTheme="minorHAnsi" w:cstheme="minorBidi"/>
                <w:noProof/>
                <w:sz w:val="22"/>
                <w:szCs w:val="22"/>
              </w:rPr>
              <w:tab/>
            </w:r>
            <w:r w:rsidR="00D870BE" w:rsidRPr="00792F42">
              <w:rPr>
                <w:rStyle w:val="Hyperlink"/>
                <w:noProof/>
              </w:rPr>
              <w:t>Ein Klassiker: Romanik vs. Gotik</w:t>
            </w:r>
            <w:r w:rsidR="00D870BE">
              <w:rPr>
                <w:noProof/>
                <w:webHidden/>
              </w:rPr>
              <w:tab/>
            </w:r>
            <w:r>
              <w:rPr>
                <w:noProof/>
                <w:webHidden/>
              </w:rPr>
              <w:fldChar w:fldCharType="begin"/>
            </w:r>
            <w:r w:rsidR="00D870BE">
              <w:rPr>
                <w:noProof/>
                <w:webHidden/>
              </w:rPr>
              <w:instrText xml:space="preserve"> PAGEREF _Toc325456790 \h </w:instrText>
            </w:r>
            <w:r>
              <w:rPr>
                <w:noProof/>
                <w:webHidden/>
              </w:rPr>
            </w:r>
            <w:r>
              <w:rPr>
                <w:noProof/>
                <w:webHidden/>
              </w:rPr>
              <w:fldChar w:fldCharType="separate"/>
            </w:r>
            <w:r w:rsidR="001231D3">
              <w:rPr>
                <w:noProof/>
                <w:webHidden/>
              </w:rPr>
              <w:t>299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1" w:history="1">
            <w:r w:rsidR="00D870BE" w:rsidRPr="00792F42">
              <w:rPr>
                <w:rStyle w:val="Hyperlink"/>
                <w:noProof/>
              </w:rPr>
              <w:t>7.1.4</w:t>
            </w:r>
            <w:r w:rsidR="00D870BE">
              <w:rPr>
                <w:rFonts w:asciiTheme="minorHAnsi" w:eastAsiaTheme="minorEastAsia" w:hAnsiTheme="minorHAnsi" w:cstheme="minorBidi"/>
                <w:noProof/>
                <w:sz w:val="22"/>
                <w:szCs w:val="22"/>
              </w:rPr>
              <w:tab/>
            </w:r>
            <w:r w:rsidR="00D870BE" w:rsidRPr="00792F42">
              <w:rPr>
                <w:rStyle w:val="Hyperlink"/>
                <w:noProof/>
              </w:rPr>
              <w:t>Relationen zwischen Merkmalsregeln (bei Spielstilen)</w:t>
            </w:r>
            <w:r w:rsidR="00D870BE">
              <w:rPr>
                <w:noProof/>
                <w:webHidden/>
              </w:rPr>
              <w:tab/>
            </w:r>
            <w:r>
              <w:rPr>
                <w:noProof/>
                <w:webHidden/>
              </w:rPr>
              <w:fldChar w:fldCharType="begin"/>
            </w:r>
            <w:r w:rsidR="00D870BE">
              <w:rPr>
                <w:noProof/>
                <w:webHidden/>
              </w:rPr>
              <w:instrText xml:space="preserve"> PAGEREF _Toc325456791 \h </w:instrText>
            </w:r>
            <w:r>
              <w:rPr>
                <w:noProof/>
                <w:webHidden/>
              </w:rPr>
            </w:r>
            <w:r>
              <w:rPr>
                <w:noProof/>
                <w:webHidden/>
              </w:rPr>
              <w:fldChar w:fldCharType="separate"/>
            </w:r>
            <w:r w:rsidR="001231D3">
              <w:rPr>
                <w:noProof/>
                <w:webHidden/>
              </w:rPr>
              <w:t>305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2" w:history="1">
            <w:r w:rsidR="00D870BE" w:rsidRPr="00792F42">
              <w:rPr>
                <w:rStyle w:val="Hyperlink"/>
                <w:noProof/>
              </w:rPr>
              <w:t>7.1.5</w:t>
            </w:r>
            <w:r w:rsidR="00D870BE">
              <w:rPr>
                <w:rFonts w:asciiTheme="minorHAnsi" w:eastAsiaTheme="minorEastAsia" w:hAnsiTheme="minorHAnsi" w:cstheme="minorBidi"/>
                <w:noProof/>
                <w:sz w:val="22"/>
                <w:szCs w:val="22"/>
              </w:rPr>
              <w:tab/>
            </w:r>
            <w:r w:rsidR="00D870BE" w:rsidRPr="00792F42">
              <w:rPr>
                <w:rStyle w:val="Hyperlink"/>
                <w:noProof/>
              </w:rPr>
              <w:t>Liszts Interpretation der Zigeunermusik</w:t>
            </w:r>
            <w:r w:rsidR="00D870BE">
              <w:rPr>
                <w:noProof/>
                <w:webHidden/>
              </w:rPr>
              <w:tab/>
            </w:r>
            <w:r>
              <w:rPr>
                <w:noProof/>
                <w:webHidden/>
              </w:rPr>
              <w:fldChar w:fldCharType="begin"/>
            </w:r>
            <w:r w:rsidR="00D870BE">
              <w:rPr>
                <w:noProof/>
                <w:webHidden/>
              </w:rPr>
              <w:instrText xml:space="preserve"> PAGEREF _Toc325456792 \h </w:instrText>
            </w:r>
            <w:r>
              <w:rPr>
                <w:noProof/>
                <w:webHidden/>
              </w:rPr>
            </w:r>
            <w:r>
              <w:rPr>
                <w:noProof/>
                <w:webHidden/>
              </w:rPr>
              <w:fldChar w:fldCharType="separate"/>
            </w:r>
            <w:r w:rsidR="001231D3">
              <w:rPr>
                <w:noProof/>
                <w:webHidden/>
              </w:rPr>
              <w:t>312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3" w:history="1">
            <w:r w:rsidR="00D870BE" w:rsidRPr="00792F42">
              <w:rPr>
                <w:rStyle w:val="Hyperlink"/>
                <w:noProof/>
              </w:rPr>
              <w:t>7.1.6</w:t>
            </w:r>
            <w:r w:rsidR="00D870BE">
              <w:rPr>
                <w:rFonts w:asciiTheme="minorHAnsi" w:eastAsiaTheme="minorEastAsia" w:hAnsiTheme="minorHAnsi" w:cstheme="minorBidi"/>
                <w:noProof/>
                <w:sz w:val="22"/>
                <w:szCs w:val="22"/>
              </w:rPr>
              <w:tab/>
            </w:r>
            <w:r w:rsidR="00D870BE" w:rsidRPr="00792F42">
              <w:rPr>
                <w:rStyle w:val="Hyperlink"/>
                <w:noProof/>
              </w:rPr>
              <w:t>Bewegungsstile</w:t>
            </w:r>
            <w:r w:rsidR="00D870BE">
              <w:rPr>
                <w:noProof/>
                <w:webHidden/>
              </w:rPr>
              <w:tab/>
            </w:r>
            <w:r>
              <w:rPr>
                <w:noProof/>
                <w:webHidden/>
              </w:rPr>
              <w:fldChar w:fldCharType="begin"/>
            </w:r>
            <w:r w:rsidR="00D870BE">
              <w:rPr>
                <w:noProof/>
                <w:webHidden/>
              </w:rPr>
              <w:instrText xml:space="preserve"> PAGEREF _Toc325456793 \h </w:instrText>
            </w:r>
            <w:r>
              <w:rPr>
                <w:noProof/>
                <w:webHidden/>
              </w:rPr>
            </w:r>
            <w:r>
              <w:rPr>
                <w:noProof/>
                <w:webHidden/>
              </w:rPr>
              <w:fldChar w:fldCharType="separate"/>
            </w:r>
            <w:r w:rsidR="001231D3">
              <w:rPr>
                <w:noProof/>
                <w:webHidden/>
              </w:rPr>
              <w:t>321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4" w:history="1">
            <w:r w:rsidR="00D870BE" w:rsidRPr="00792F42">
              <w:rPr>
                <w:rStyle w:val="Hyperlink"/>
                <w:noProof/>
              </w:rPr>
              <w:t>7.1.7</w:t>
            </w:r>
            <w:r w:rsidR="00D870BE">
              <w:rPr>
                <w:rFonts w:asciiTheme="minorHAnsi" w:eastAsiaTheme="minorEastAsia" w:hAnsiTheme="minorHAnsi" w:cstheme="minorBidi"/>
                <w:noProof/>
                <w:sz w:val="22"/>
                <w:szCs w:val="22"/>
              </w:rPr>
              <w:tab/>
            </w:r>
            <w:r w:rsidR="00D870BE" w:rsidRPr="00792F42">
              <w:rPr>
                <w:rStyle w:val="Hyperlink"/>
                <w:noProof/>
              </w:rPr>
              <w:t>Ein ägyptischer Bildstil</w:t>
            </w:r>
            <w:r w:rsidR="00D870BE">
              <w:rPr>
                <w:noProof/>
                <w:webHidden/>
              </w:rPr>
              <w:tab/>
            </w:r>
            <w:r>
              <w:rPr>
                <w:noProof/>
                <w:webHidden/>
              </w:rPr>
              <w:fldChar w:fldCharType="begin"/>
            </w:r>
            <w:r w:rsidR="00D870BE">
              <w:rPr>
                <w:noProof/>
                <w:webHidden/>
              </w:rPr>
              <w:instrText xml:space="preserve"> PAGEREF _Toc325456794 \h </w:instrText>
            </w:r>
            <w:r>
              <w:rPr>
                <w:noProof/>
                <w:webHidden/>
              </w:rPr>
            </w:r>
            <w:r>
              <w:rPr>
                <w:noProof/>
                <w:webHidden/>
              </w:rPr>
              <w:fldChar w:fldCharType="separate"/>
            </w:r>
            <w:r w:rsidR="001231D3">
              <w:rPr>
                <w:noProof/>
                <w:webHidden/>
              </w:rPr>
              <w:t>329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5" w:history="1">
            <w:r w:rsidR="00D870BE" w:rsidRPr="00792F42">
              <w:rPr>
                <w:rStyle w:val="Hyperlink"/>
                <w:noProof/>
              </w:rPr>
              <w:t>7.1.8</w:t>
            </w:r>
            <w:r w:rsidR="00D870BE">
              <w:rPr>
                <w:rFonts w:asciiTheme="minorHAnsi" w:eastAsiaTheme="minorEastAsia" w:hAnsiTheme="minorHAnsi" w:cstheme="minorBidi"/>
                <w:noProof/>
                <w:sz w:val="22"/>
                <w:szCs w:val="22"/>
              </w:rPr>
              <w:tab/>
            </w:r>
            <w:r w:rsidR="00D870BE" w:rsidRPr="00792F42">
              <w:rPr>
                <w:rStyle w:val="Hyperlink"/>
                <w:noProof/>
              </w:rPr>
              <w:t>Ein Stil bei Bankraub</w:t>
            </w:r>
            <w:r w:rsidR="00D870BE">
              <w:rPr>
                <w:noProof/>
                <w:webHidden/>
              </w:rPr>
              <w:tab/>
            </w:r>
            <w:r>
              <w:rPr>
                <w:noProof/>
                <w:webHidden/>
              </w:rPr>
              <w:fldChar w:fldCharType="begin"/>
            </w:r>
            <w:r w:rsidR="00D870BE">
              <w:rPr>
                <w:noProof/>
                <w:webHidden/>
              </w:rPr>
              <w:instrText xml:space="preserve"> PAGEREF _Toc325456795 \h </w:instrText>
            </w:r>
            <w:r>
              <w:rPr>
                <w:noProof/>
                <w:webHidden/>
              </w:rPr>
            </w:r>
            <w:r>
              <w:rPr>
                <w:noProof/>
                <w:webHidden/>
              </w:rPr>
              <w:fldChar w:fldCharType="separate"/>
            </w:r>
            <w:r w:rsidR="001231D3">
              <w:rPr>
                <w:noProof/>
                <w:webHidden/>
              </w:rPr>
              <w:t>331</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796" w:history="1">
            <w:r w:rsidR="00D870BE" w:rsidRPr="00792F42">
              <w:rPr>
                <w:rStyle w:val="Hyperlink"/>
                <w:noProof/>
              </w:rPr>
              <w:t>7.2</w:t>
            </w:r>
            <w:r w:rsidR="00D870BE">
              <w:rPr>
                <w:rFonts w:asciiTheme="minorHAnsi" w:eastAsiaTheme="minorEastAsia" w:hAnsiTheme="minorHAnsi" w:cstheme="minorBidi"/>
                <w:noProof/>
                <w:sz w:val="22"/>
                <w:szCs w:val="22"/>
              </w:rPr>
              <w:tab/>
            </w:r>
            <w:r w:rsidR="00D870BE" w:rsidRPr="00792F42">
              <w:rPr>
                <w:rStyle w:val="Hyperlink"/>
                <w:noProof/>
              </w:rPr>
              <w:t>Die Funktionen des Interpretationsprozesses</w:t>
            </w:r>
            <w:r w:rsidR="00D870BE">
              <w:rPr>
                <w:noProof/>
                <w:webHidden/>
              </w:rPr>
              <w:tab/>
            </w:r>
            <w:r>
              <w:rPr>
                <w:noProof/>
                <w:webHidden/>
              </w:rPr>
              <w:fldChar w:fldCharType="begin"/>
            </w:r>
            <w:r w:rsidR="00D870BE">
              <w:rPr>
                <w:noProof/>
                <w:webHidden/>
              </w:rPr>
              <w:instrText xml:space="preserve"> PAGEREF _Toc325456796 \h </w:instrText>
            </w:r>
            <w:r>
              <w:rPr>
                <w:noProof/>
                <w:webHidden/>
              </w:rPr>
            </w:r>
            <w:r>
              <w:rPr>
                <w:noProof/>
                <w:webHidden/>
              </w:rPr>
              <w:fldChar w:fldCharType="separate"/>
            </w:r>
            <w:r w:rsidR="001231D3">
              <w:rPr>
                <w:noProof/>
                <w:webHidden/>
              </w:rPr>
              <w:t>337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7" w:history="1">
            <w:r w:rsidR="00D870BE" w:rsidRPr="00792F42">
              <w:rPr>
                <w:rStyle w:val="Hyperlink"/>
                <w:noProof/>
              </w:rPr>
              <w:t>7.2.1</w:t>
            </w:r>
            <w:r w:rsidR="00D870BE">
              <w:rPr>
                <w:rFonts w:asciiTheme="minorHAnsi" w:eastAsiaTheme="minorEastAsia" w:hAnsiTheme="minorHAnsi" w:cstheme="minorBidi"/>
                <w:noProof/>
                <w:sz w:val="22"/>
                <w:szCs w:val="22"/>
              </w:rPr>
              <w:tab/>
            </w:r>
            <w:r w:rsidR="00D870BE" w:rsidRPr="00792F42">
              <w:rPr>
                <w:rStyle w:val="Hyperlink"/>
                <w:noProof/>
              </w:rPr>
              <w:t>Die Funktion Interpretation</w:t>
            </w:r>
            <w:r w:rsidR="00D870BE">
              <w:rPr>
                <w:noProof/>
                <w:webHidden/>
              </w:rPr>
              <w:tab/>
            </w:r>
            <w:r>
              <w:rPr>
                <w:noProof/>
                <w:webHidden/>
              </w:rPr>
              <w:fldChar w:fldCharType="begin"/>
            </w:r>
            <w:r w:rsidR="00D870BE">
              <w:rPr>
                <w:noProof/>
                <w:webHidden/>
              </w:rPr>
              <w:instrText xml:space="preserve"> PAGEREF _Toc325456797 \h </w:instrText>
            </w:r>
            <w:r>
              <w:rPr>
                <w:noProof/>
                <w:webHidden/>
              </w:rPr>
            </w:r>
            <w:r>
              <w:rPr>
                <w:noProof/>
                <w:webHidden/>
              </w:rPr>
              <w:fldChar w:fldCharType="separate"/>
            </w:r>
            <w:r w:rsidR="001231D3">
              <w:rPr>
                <w:noProof/>
                <w:webHidden/>
              </w:rPr>
              <w:t>338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8" w:history="1">
            <w:r w:rsidR="00D870BE" w:rsidRPr="00792F42">
              <w:rPr>
                <w:rStyle w:val="Hyperlink"/>
                <w:noProof/>
              </w:rPr>
              <w:t>7.2.2</w:t>
            </w:r>
            <w:r w:rsidR="00D870BE">
              <w:rPr>
                <w:rFonts w:asciiTheme="minorHAnsi" w:eastAsiaTheme="minorEastAsia" w:hAnsiTheme="minorHAnsi" w:cstheme="minorBidi"/>
                <w:noProof/>
                <w:sz w:val="22"/>
                <w:szCs w:val="22"/>
              </w:rPr>
              <w:tab/>
            </w:r>
            <w:r w:rsidR="00D870BE" w:rsidRPr="00792F42">
              <w:rPr>
                <w:rStyle w:val="Hyperlink"/>
                <w:noProof/>
              </w:rPr>
              <w:t>Relevantes Hintergrundwissen</w:t>
            </w:r>
            <w:r w:rsidR="00D870BE">
              <w:rPr>
                <w:noProof/>
                <w:webHidden/>
              </w:rPr>
              <w:tab/>
            </w:r>
            <w:r>
              <w:rPr>
                <w:noProof/>
                <w:webHidden/>
              </w:rPr>
              <w:fldChar w:fldCharType="begin"/>
            </w:r>
            <w:r w:rsidR="00D870BE">
              <w:rPr>
                <w:noProof/>
                <w:webHidden/>
              </w:rPr>
              <w:instrText xml:space="preserve"> PAGEREF _Toc325456798 \h </w:instrText>
            </w:r>
            <w:r>
              <w:rPr>
                <w:noProof/>
                <w:webHidden/>
              </w:rPr>
            </w:r>
            <w:r>
              <w:rPr>
                <w:noProof/>
                <w:webHidden/>
              </w:rPr>
              <w:fldChar w:fldCharType="separate"/>
            </w:r>
            <w:r w:rsidR="001231D3">
              <w:rPr>
                <w:noProof/>
                <w:webHidden/>
              </w:rPr>
              <w:t>349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799" w:history="1">
            <w:r w:rsidR="00D870BE" w:rsidRPr="00792F42">
              <w:rPr>
                <w:rStyle w:val="Hyperlink"/>
                <w:noProof/>
              </w:rPr>
              <w:t>7.2.3</w:t>
            </w:r>
            <w:r w:rsidR="00D870BE">
              <w:rPr>
                <w:rFonts w:asciiTheme="minorHAnsi" w:eastAsiaTheme="minorEastAsia" w:hAnsiTheme="minorHAnsi" w:cstheme="minorBidi"/>
                <w:noProof/>
                <w:sz w:val="22"/>
                <w:szCs w:val="22"/>
              </w:rPr>
              <w:tab/>
            </w:r>
            <w:r w:rsidR="00D870BE" w:rsidRPr="00792F42">
              <w:rPr>
                <w:rStyle w:val="Hyperlink"/>
                <w:noProof/>
              </w:rPr>
              <w:t>Die Funktion Ergebnisse</w:t>
            </w:r>
            <w:r w:rsidR="00D870BE">
              <w:rPr>
                <w:noProof/>
                <w:webHidden/>
              </w:rPr>
              <w:tab/>
            </w:r>
            <w:r>
              <w:rPr>
                <w:noProof/>
                <w:webHidden/>
              </w:rPr>
              <w:fldChar w:fldCharType="begin"/>
            </w:r>
            <w:r w:rsidR="00D870BE">
              <w:rPr>
                <w:noProof/>
                <w:webHidden/>
              </w:rPr>
              <w:instrText xml:space="preserve"> PAGEREF _Toc325456799 \h </w:instrText>
            </w:r>
            <w:r>
              <w:rPr>
                <w:noProof/>
                <w:webHidden/>
              </w:rPr>
            </w:r>
            <w:r>
              <w:rPr>
                <w:noProof/>
                <w:webHidden/>
              </w:rPr>
              <w:fldChar w:fldCharType="separate"/>
            </w:r>
            <w:r w:rsidR="001231D3">
              <w:rPr>
                <w:noProof/>
                <w:webHidden/>
              </w:rPr>
              <w:t>352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0" w:history="1">
            <w:r w:rsidR="00D870BE" w:rsidRPr="00792F42">
              <w:rPr>
                <w:rStyle w:val="Hyperlink"/>
                <w:noProof/>
              </w:rPr>
              <w:t>7.2.4</w:t>
            </w:r>
            <w:r w:rsidR="00D870BE">
              <w:rPr>
                <w:rFonts w:asciiTheme="minorHAnsi" w:eastAsiaTheme="minorEastAsia" w:hAnsiTheme="minorHAnsi" w:cstheme="minorBidi"/>
                <w:noProof/>
                <w:sz w:val="22"/>
                <w:szCs w:val="22"/>
              </w:rPr>
              <w:tab/>
            </w:r>
            <w:r w:rsidR="00D870BE" w:rsidRPr="00792F42">
              <w:rPr>
                <w:rStyle w:val="Hyperlink"/>
                <w:noProof/>
              </w:rPr>
              <w:t>Die Ausgabe der Interpretation</w:t>
            </w:r>
            <w:r w:rsidR="00D870BE">
              <w:rPr>
                <w:noProof/>
                <w:webHidden/>
              </w:rPr>
              <w:tab/>
            </w:r>
            <w:r>
              <w:rPr>
                <w:noProof/>
                <w:webHidden/>
              </w:rPr>
              <w:fldChar w:fldCharType="begin"/>
            </w:r>
            <w:r w:rsidR="00D870BE">
              <w:rPr>
                <w:noProof/>
                <w:webHidden/>
              </w:rPr>
              <w:instrText xml:space="preserve"> PAGEREF _Toc325456800 \h </w:instrText>
            </w:r>
            <w:r>
              <w:rPr>
                <w:noProof/>
                <w:webHidden/>
              </w:rPr>
            </w:r>
            <w:r>
              <w:rPr>
                <w:noProof/>
                <w:webHidden/>
              </w:rPr>
              <w:fldChar w:fldCharType="separate"/>
            </w:r>
            <w:r w:rsidR="001231D3">
              <w:rPr>
                <w:noProof/>
                <w:webHidden/>
              </w:rPr>
              <w:t>354</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01" w:history="1">
            <w:r w:rsidR="00D870BE" w:rsidRPr="00792F42">
              <w:rPr>
                <w:rStyle w:val="Hyperlink"/>
                <w:noProof/>
              </w:rPr>
              <w:t>7.3</w:t>
            </w:r>
            <w:r w:rsidR="00D870BE">
              <w:rPr>
                <w:rFonts w:asciiTheme="minorHAnsi" w:eastAsiaTheme="minorEastAsia" w:hAnsiTheme="minorHAnsi" w:cstheme="minorBidi"/>
                <w:noProof/>
                <w:sz w:val="22"/>
                <w:szCs w:val="22"/>
              </w:rPr>
              <w:tab/>
            </w:r>
            <w:r w:rsidR="00D870BE" w:rsidRPr="00792F42">
              <w:rPr>
                <w:rStyle w:val="Hyperlink"/>
                <w:noProof/>
              </w:rPr>
              <w:t>Anwenden und Wahrnehmen von Stilen</w:t>
            </w:r>
            <w:r w:rsidR="00D870BE">
              <w:rPr>
                <w:noProof/>
                <w:webHidden/>
              </w:rPr>
              <w:tab/>
            </w:r>
            <w:r>
              <w:rPr>
                <w:noProof/>
                <w:webHidden/>
              </w:rPr>
              <w:fldChar w:fldCharType="begin"/>
            </w:r>
            <w:r w:rsidR="00D870BE">
              <w:rPr>
                <w:noProof/>
                <w:webHidden/>
              </w:rPr>
              <w:instrText xml:space="preserve"> PAGEREF _Toc325456801 \h </w:instrText>
            </w:r>
            <w:r>
              <w:rPr>
                <w:noProof/>
                <w:webHidden/>
              </w:rPr>
            </w:r>
            <w:r>
              <w:rPr>
                <w:noProof/>
                <w:webHidden/>
              </w:rPr>
              <w:fldChar w:fldCharType="separate"/>
            </w:r>
            <w:r w:rsidR="001231D3">
              <w:rPr>
                <w:noProof/>
                <w:webHidden/>
              </w:rPr>
              <w:t>366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2" w:history="1">
            <w:r w:rsidR="00D870BE" w:rsidRPr="00792F42">
              <w:rPr>
                <w:rStyle w:val="Hyperlink"/>
                <w:noProof/>
              </w:rPr>
              <w:t>7.3.1</w:t>
            </w:r>
            <w:r w:rsidR="00D870BE">
              <w:rPr>
                <w:rFonts w:asciiTheme="minorHAnsi" w:eastAsiaTheme="minorEastAsia" w:hAnsiTheme="minorHAnsi" w:cstheme="minorBidi"/>
                <w:noProof/>
                <w:sz w:val="22"/>
                <w:szCs w:val="22"/>
              </w:rPr>
              <w:tab/>
            </w:r>
            <w:r w:rsidR="00D870BE" w:rsidRPr="00792F42">
              <w:rPr>
                <w:rStyle w:val="Hyperlink"/>
                <w:noProof/>
              </w:rPr>
              <w:t>Anwenden eines Stils</w:t>
            </w:r>
            <w:r w:rsidR="00D870BE">
              <w:rPr>
                <w:noProof/>
                <w:webHidden/>
              </w:rPr>
              <w:tab/>
            </w:r>
            <w:r>
              <w:rPr>
                <w:noProof/>
                <w:webHidden/>
              </w:rPr>
              <w:fldChar w:fldCharType="begin"/>
            </w:r>
            <w:r w:rsidR="00D870BE">
              <w:rPr>
                <w:noProof/>
                <w:webHidden/>
              </w:rPr>
              <w:instrText xml:space="preserve"> PAGEREF _Toc325456802 \h </w:instrText>
            </w:r>
            <w:r>
              <w:rPr>
                <w:noProof/>
                <w:webHidden/>
              </w:rPr>
            </w:r>
            <w:r>
              <w:rPr>
                <w:noProof/>
                <w:webHidden/>
              </w:rPr>
              <w:fldChar w:fldCharType="separate"/>
            </w:r>
            <w:r w:rsidR="001231D3">
              <w:rPr>
                <w:noProof/>
                <w:webHidden/>
              </w:rPr>
              <w:t>367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3" w:history="1">
            <w:r w:rsidR="00D870BE" w:rsidRPr="00792F42">
              <w:rPr>
                <w:rStyle w:val="Hyperlink"/>
                <w:noProof/>
              </w:rPr>
              <w:t>7.3.2</w:t>
            </w:r>
            <w:r w:rsidR="00D870BE">
              <w:rPr>
                <w:rFonts w:asciiTheme="minorHAnsi" w:eastAsiaTheme="minorEastAsia" w:hAnsiTheme="minorHAnsi" w:cstheme="minorBidi"/>
                <w:noProof/>
                <w:sz w:val="22"/>
                <w:szCs w:val="22"/>
              </w:rPr>
              <w:tab/>
            </w:r>
            <w:r w:rsidR="00D870BE" w:rsidRPr="00792F42">
              <w:rPr>
                <w:rStyle w:val="Hyperlink"/>
                <w:noProof/>
              </w:rPr>
              <w:t>Wahrnehmen eines Stils</w:t>
            </w:r>
            <w:r w:rsidR="00D870BE">
              <w:rPr>
                <w:noProof/>
                <w:webHidden/>
              </w:rPr>
              <w:tab/>
            </w:r>
            <w:r>
              <w:rPr>
                <w:noProof/>
                <w:webHidden/>
              </w:rPr>
              <w:fldChar w:fldCharType="begin"/>
            </w:r>
            <w:r w:rsidR="00D870BE">
              <w:rPr>
                <w:noProof/>
                <w:webHidden/>
              </w:rPr>
              <w:instrText xml:space="preserve"> PAGEREF _Toc325456803 \h </w:instrText>
            </w:r>
            <w:r>
              <w:rPr>
                <w:noProof/>
                <w:webHidden/>
              </w:rPr>
            </w:r>
            <w:r>
              <w:rPr>
                <w:noProof/>
                <w:webHidden/>
              </w:rPr>
              <w:fldChar w:fldCharType="separate"/>
            </w:r>
            <w:r w:rsidR="001231D3">
              <w:rPr>
                <w:noProof/>
                <w:webHidden/>
              </w:rPr>
              <w:t>372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4" w:history="1">
            <w:r w:rsidR="00D870BE" w:rsidRPr="00792F42">
              <w:rPr>
                <w:rStyle w:val="Hyperlink"/>
                <w:noProof/>
              </w:rPr>
              <w:t>7.3.3</w:t>
            </w:r>
            <w:r w:rsidR="00D870BE">
              <w:rPr>
                <w:rFonts w:asciiTheme="minorHAnsi" w:eastAsiaTheme="minorEastAsia" w:hAnsiTheme="minorHAnsi" w:cstheme="minorBidi"/>
                <w:noProof/>
                <w:sz w:val="22"/>
                <w:szCs w:val="22"/>
              </w:rPr>
              <w:tab/>
            </w:r>
            <w:r w:rsidR="00D870BE" w:rsidRPr="00792F42">
              <w:rPr>
                <w:rStyle w:val="Hyperlink"/>
                <w:noProof/>
              </w:rPr>
              <w:t>Die Funktion Schema</w:t>
            </w:r>
            <w:r w:rsidR="00D870BE">
              <w:rPr>
                <w:noProof/>
                <w:webHidden/>
              </w:rPr>
              <w:tab/>
            </w:r>
            <w:r>
              <w:rPr>
                <w:noProof/>
                <w:webHidden/>
              </w:rPr>
              <w:fldChar w:fldCharType="begin"/>
            </w:r>
            <w:r w:rsidR="00D870BE">
              <w:rPr>
                <w:noProof/>
                <w:webHidden/>
              </w:rPr>
              <w:instrText xml:space="preserve"> PAGEREF _Toc325456804 \h </w:instrText>
            </w:r>
            <w:r>
              <w:rPr>
                <w:noProof/>
                <w:webHidden/>
              </w:rPr>
            </w:r>
            <w:r>
              <w:rPr>
                <w:noProof/>
                <w:webHidden/>
              </w:rPr>
              <w:fldChar w:fldCharType="separate"/>
            </w:r>
            <w:r w:rsidR="001231D3">
              <w:rPr>
                <w:noProof/>
                <w:webHidden/>
              </w:rPr>
              <w:t>374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5" w:history="1">
            <w:r w:rsidR="00D870BE" w:rsidRPr="00792F42">
              <w:rPr>
                <w:rStyle w:val="Hyperlink"/>
                <w:noProof/>
              </w:rPr>
              <w:t>7.3.4</w:t>
            </w:r>
            <w:r w:rsidR="00D870BE">
              <w:rPr>
                <w:rFonts w:asciiTheme="minorHAnsi" w:eastAsiaTheme="minorEastAsia" w:hAnsiTheme="minorHAnsi" w:cstheme="minorBidi"/>
                <w:noProof/>
                <w:sz w:val="22"/>
                <w:szCs w:val="22"/>
              </w:rPr>
              <w:tab/>
            </w:r>
            <w:r w:rsidR="00D870BE" w:rsidRPr="00792F42">
              <w:rPr>
                <w:rStyle w:val="Hyperlink"/>
                <w:noProof/>
              </w:rPr>
              <w:t>Die Rückwirkung des Interpretationsprozesses auf den Merkmalsprozess</w:t>
            </w:r>
            <w:r w:rsidR="00D870BE">
              <w:rPr>
                <w:noProof/>
                <w:webHidden/>
              </w:rPr>
              <w:tab/>
            </w:r>
            <w:r>
              <w:rPr>
                <w:noProof/>
                <w:webHidden/>
              </w:rPr>
              <w:fldChar w:fldCharType="begin"/>
            </w:r>
            <w:r w:rsidR="00D870BE">
              <w:rPr>
                <w:noProof/>
                <w:webHidden/>
              </w:rPr>
              <w:instrText xml:space="preserve"> PAGEREF _Toc325456805 \h </w:instrText>
            </w:r>
            <w:r>
              <w:rPr>
                <w:noProof/>
                <w:webHidden/>
              </w:rPr>
            </w:r>
            <w:r>
              <w:rPr>
                <w:noProof/>
                <w:webHidden/>
              </w:rPr>
              <w:fldChar w:fldCharType="separate"/>
            </w:r>
            <w:r w:rsidR="001231D3">
              <w:rPr>
                <w:noProof/>
                <w:webHidden/>
              </w:rPr>
              <w:t>376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6" w:history="1">
            <w:r w:rsidR="00D870BE" w:rsidRPr="00792F42">
              <w:rPr>
                <w:rStyle w:val="Hyperlink"/>
                <w:noProof/>
              </w:rPr>
              <w:t>7.3.5</w:t>
            </w:r>
            <w:r w:rsidR="00D870BE">
              <w:rPr>
                <w:rFonts w:asciiTheme="minorHAnsi" w:eastAsiaTheme="minorEastAsia" w:hAnsiTheme="minorHAnsi" w:cstheme="minorBidi"/>
                <w:noProof/>
                <w:sz w:val="22"/>
                <w:szCs w:val="22"/>
              </w:rPr>
              <w:tab/>
            </w:r>
            <w:r w:rsidR="00D870BE" w:rsidRPr="00792F42">
              <w:rPr>
                <w:rStyle w:val="Hyperlink"/>
                <w:noProof/>
              </w:rPr>
              <w:t>Was definiert einen bestimmten Stil?</w:t>
            </w:r>
            <w:r w:rsidR="00D870BE">
              <w:rPr>
                <w:noProof/>
                <w:webHidden/>
              </w:rPr>
              <w:tab/>
            </w:r>
            <w:r>
              <w:rPr>
                <w:noProof/>
                <w:webHidden/>
              </w:rPr>
              <w:fldChar w:fldCharType="begin"/>
            </w:r>
            <w:r w:rsidR="00D870BE">
              <w:rPr>
                <w:noProof/>
                <w:webHidden/>
              </w:rPr>
              <w:instrText xml:space="preserve"> PAGEREF _Toc325456806 \h </w:instrText>
            </w:r>
            <w:r>
              <w:rPr>
                <w:noProof/>
                <w:webHidden/>
              </w:rPr>
            </w:r>
            <w:r>
              <w:rPr>
                <w:noProof/>
                <w:webHidden/>
              </w:rPr>
              <w:fldChar w:fldCharType="separate"/>
            </w:r>
            <w:r w:rsidR="001231D3">
              <w:rPr>
                <w:noProof/>
                <w:webHidden/>
              </w:rPr>
              <w:t>378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07" w:history="1">
            <w:r w:rsidR="00D870BE" w:rsidRPr="00792F42">
              <w:rPr>
                <w:rStyle w:val="Hyperlink"/>
                <w:noProof/>
              </w:rPr>
              <w:t>7.3.6</w:t>
            </w:r>
            <w:r w:rsidR="00D870BE">
              <w:rPr>
                <w:rFonts w:asciiTheme="minorHAnsi" w:eastAsiaTheme="minorEastAsia" w:hAnsiTheme="minorHAnsi" w:cstheme="minorBidi"/>
                <w:noProof/>
                <w:sz w:val="22"/>
                <w:szCs w:val="22"/>
              </w:rPr>
              <w:tab/>
            </w:r>
            <w:r w:rsidR="00D870BE" w:rsidRPr="00792F42">
              <w:rPr>
                <w:rStyle w:val="Hyperlink"/>
                <w:noProof/>
              </w:rPr>
              <w:t>Anwender- und Wahrnehmerstile</w:t>
            </w:r>
            <w:r w:rsidR="00D870BE">
              <w:rPr>
                <w:noProof/>
                <w:webHidden/>
              </w:rPr>
              <w:tab/>
            </w:r>
            <w:r>
              <w:rPr>
                <w:noProof/>
                <w:webHidden/>
              </w:rPr>
              <w:fldChar w:fldCharType="begin"/>
            </w:r>
            <w:r w:rsidR="00D870BE">
              <w:rPr>
                <w:noProof/>
                <w:webHidden/>
              </w:rPr>
              <w:instrText xml:space="preserve"> PAGEREF _Toc325456807 \h </w:instrText>
            </w:r>
            <w:r>
              <w:rPr>
                <w:noProof/>
                <w:webHidden/>
              </w:rPr>
            </w:r>
            <w:r>
              <w:rPr>
                <w:noProof/>
                <w:webHidden/>
              </w:rPr>
              <w:fldChar w:fldCharType="separate"/>
            </w:r>
            <w:r w:rsidR="001231D3">
              <w:rPr>
                <w:noProof/>
                <w:webHidden/>
              </w:rPr>
              <w:t>380</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808" w:history="1">
            <w:r w:rsidR="00D870BE" w:rsidRPr="00792F42">
              <w:rPr>
                <w:rStyle w:val="Hyperlink"/>
                <w:noProof/>
              </w:rPr>
              <w:t>Kapitel 8: Einbettung des Stilmodells</w:t>
            </w:r>
            <w:r w:rsidR="00D870BE">
              <w:rPr>
                <w:noProof/>
                <w:webHidden/>
              </w:rPr>
              <w:tab/>
            </w:r>
            <w:r>
              <w:rPr>
                <w:noProof/>
                <w:webHidden/>
              </w:rPr>
              <w:fldChar w:fldCharType="begin"/>
            </w:r>
            <w:r w:rsidR="00D870BE">
              <w:rPr>
                <w:noProof/>
                <w:webHidden/>
              </w:rPr>
              <w:instrText xml:space="preserve"> PAGEREF _Toc325456808 \h </w:instrText>
            </w:r>
            <w:r>
              <w:rPr>
                <w:noProof/>
                <w:webHidden/>
              </w:rPr>
            </w:r>
            <w:r>
              <w:rPr>
                <w:noProof/>
                <w:webHidden/>
              </w:rPr>
              <w:fldChar w:fldCharType="separate"/>
            </w:r>
            <w:r w:rsidR="001231D3">
              <w:rPr>
                <w:noProof/>
                <w:webHidden/>
              </w:rPr>
              <w:t>384</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09" w:history="1">
            <w:r w:rsidR="00D870BE" w:rsidRPr="00792F42">
              <w:rPr>
                <w:rStyle w:val="Hyperlink"/>
                <w:noProof/>
              </w:rPr>
              <w:t>8.1</w:t>
            </w:r>
            <w:r w:rsidR="00D870BE">
              <w:rPr>
                <w:rFonts w:asciiTheme="minorHAnsi" w:eastAsiaTheme="minorEastAsia" w:hAnsiTheme="minorHAnsi" w:cstheme="minorBidi"/>
                <w:noProof/>
                <w:sz w:val="22"/>
                <w:szCs w:val="22"/>
              </w:rPr>
              <w:tab/>
            </w:r>
            <w:r w:rsidR="00D870BE" w:rsidRPr="00792F42">
              <w:rPr>
                <w:rStyle w:val="Hyperlink"/>
                <w:noProof/>
              </w:rPr>
              <w:t>Semiotische Theorien zu einzelnen Stilbereichen</w:t>
            </w:r>
            <w:r w:rsidR="00D870BE">
              <w:rPr>
                <w:noProof/>
                <w:webHidden/>
              </w:rPr>
              <w:tab/>
            </w:r>
            <w:r>
              <w:rPr>
                <w:noProof/>
                <w:webHidden/>
              </w:rPr>
              <w:fldChar w:fldCharType="begin"/>
            </w:r>
            <w:r w:rsidR="00D870BE">
              <w:rPr>
                <w:noProof/>
                <w:webHidden/>
              </w:rPr>
              <w:instrText xml:space="preserve"> PAGEREF _Toc325456809 \h </w:instrText>
            </w:r>
            <w:r>
              <w:rPr>
                <w:noProof/>
                <w:webHidden/>
              </w:rPr>
            </w:r>
            <w:r>
              <w:rPr>
                <w:noProof/>
                <w:webHidden/>
              </w:rPr>
              <w:fldChar w:fldCharType="separate"/>
            </w:r>
            <w:r w:rsidR="001231D3">
              <w:rPr>
                <w:noProof/>
                <w:webHidden/>
              </w:rPr>
              <w:t>384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0" w:history="1">
            <w:r w:rsidR="00D870BE" w:rsidRPr="00792F42">
              <w:rPr>
                <w:rStyle w:val="Hyperlink"/>
                <w:noProof/>
              </w:rPr>
              <w:t>8.1.1</w:t>
            </w:r>
            <w:r w:rsidR="00D870BE">
              <w:rPr>
                <w:rFonts w:asciiTheme="minorHAnsi" w:eastAsiaTheme="minorEastAsia" w:hAnsiTheme="minorHAnsi" w:cstheme="minorBidi"/>
                <w:noProof/>
                <w:sz w:val="22"/>
                <w:szCs w:val="22"/>
              </w:rPr>
              <w:tab/>
            </w:r>
            <w:r w:rsidR="00D870BE" w:rsidRPr="00792F42">
              <w:rPr>
                <w:rStyle w:val="Hyperlink"/>
                <w:noProof/>
              </w:rPr>
              <w:t>Semiotik als Bindeglied zwischen den Einzelwissenschaften</w:t>
            </w:r>
            <w:r w:rsidR="00D870BE">
              <w:rPr>
                <w:noProof/>
                <w:webHidden/>
              </w:rPr>
              <w:tab/>
            </w:r>
            <w:r>
              <w:rPr>
                <w:noProof/>
                <w:webHidden/>
              </w:rPr>
              <w:fldChar w:fldCharType="begin"/>
            </w:r>
            <w:r w:rsidR="00D870BE">
              <w:rPr>
                <w:noProof/>
                <w:webHidden/>
              </w:rPr>
              <w:instrText xml:space="preserve"> PAGEREF _Toc325456810 \h </w:instrText>
            </w:r>
            <w:r>
              <w:rPr>
                <w:noProof/>
                <w:webHidden/>
              </w:rPr>
            </w:r>
            <w:r>
              <w:rPr>
                <w:noProof/>
                <w:webHidden/>
              </w:rPr>
              <w:fldChar w:fldCharType="separate"/>
            </w:r>
            <w:r w:rsidR="001231D3">
              <w:rPr>
                <w:noProof/>
                <w:webHidden/>
              </w:rPr>
              <w:t>384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1" w:history="1">
            <w:r w:rsidR="00D870BE" w:rsidRPr="00792F42">
              <w:rPr>
                <w:rStyle w:val="Hyperlink"/>
                <w:noProof/>
              </w:rPr>
              <w:t>8.1.2</w:t>
            </w:r>
            <w:r w:rsidR="00D870BE">
              <w:rPr>
                <w:rFonts w:asciiTheme="minorHAnsi" w:eastAsiaTheme="minorEastAsia" w:hAnsiTheme="minorHAnsi" w:cstheme="minorBidi"/>
                <w:noProof/>
                <w:sz w:val="22"/>
                <w:szCs w:val="22"/>
              </w:rPr>
              <w:tab/>
            </w:r>
            <w:r w:rsidR="00D870BE" w:rsidRPr="00792F42">
              <w:rPr>
                <w:rStyle w:val="Hyperlink"/>
                <w:noProof/>
              </w:rPr>
              <w:t>Anforderungen an bereichsspezifische Stiltheorien</w:t>
            </w:r>
            <w:r w:rsidR="00D870BE">
              <w:rPr>
                <w:noProof/>
                <w:webHidden/>
              </w:rPr>
              <w:tab/>
            </w:r>
            <w:r>
              <w:rPr>
                <w:noProof/>
                <w:webHidden/>
              </w:rPr>
              <w:fldChar w:fldCharType="begin"/>
            </w:r>
            <w:r w:rsidR="00D870BE">
              <w:rPr>
                <w:noProof/>
                <w:webHidden/>
              </w:rPr>
              <w:instrText xml:space="preserve"> PAGEREF _Toc325456811 \h </w:instrText>
            </w:r>
            <w:r>
              <w:rPr>
                <w:noProof/>
                <w:webHidden/>
              </w:rPr>
            </w:r>
            <w:r>
              <w:rPr>
                <w:noProof/>
                <w:webHidden/>
              </w:rPr>
              <w:fldChar w:fldCharType="separate"/>
            </w:r>
            <w:r w:rsidR="001231D3">
              <w:rPr>
                <w:noProof/>
                <w:webHidden/>
              </w:rPr>
              <w:t>386</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2" w:history="1">
            <w:r w:rsidR="00D870BE" w:rsidRPr="00792F42">
              <w:rPr>
                <w:rStyle w:val="Hyperlink"/>
                <w:noProof/>
              </w:rPr>
              <w:t>8.1.3</w:t>
            </w:r>
            <w:r w:rsidR="00D870BE">
              <w:rPr>
                <w:rFonts w:asciiTheme="minorHAnsi" w:eastAsiaTheme="minorEastAsia" w:hAnsiTheme="minorHAnsi" w:cstheme="minorBidi"/>
                <w:noProof/>
                <w:sz w:val="22"/>
                <w:szCs w:val="22"/>
              </w:rPr>
              <w:tab/>
            </w:r>
            <w:r w:rsidR="00D870BE" w:rsidRPr="00792F42">
              <w:rPr>
                <w:rStyle w:val="Hyperlink"/>
                <w:noProof/>
              </w:rPr>
              <w:t>Bereichsspezifische Stilphänomene</w:t>
            </w:r>
            <w:r w:rsidR="00D870BE">
              <w:rPr>
                <w:noProof/>
                <w:webHidden/>
              </w:rPr>
              <w:tab/>
            </w:r>
            <w:r>
              <w:rPr>
                <w:noProof/>
                <w:webHidden/>
              </w:rPr>
              <w:fldChar w:fldCharType="begin"/>
            </w:r>
            <w:r w:rsidR="00D870BE">
              <w:rPr>
                <w:noProof/>
                <w:webHidden/>
              </w:rPr>
              <w:instrText xml:space="preserve"> PAGEREF _Toc325456812 \h </w:instrText>
            </w:r>
            <w:r>
              <w:rPr>
                <w:noProof/>
                <w:webHidden/>
              </w:rPr>
            </w:r>
            <w:r>
              <w:rPr>
                <w:noProof/>
                <w:webHidden/>
              </w:rPr>
              <w:fldChar w:fldCharType="separate"/>
            </w:r>
            <w:r w:rsidR="001231D3">
              <w:rPr>
                <w:noProof/>
                <w:webHidden/>
              </w:rPr>
              <w:t>387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3" w:history="1">
            <w:r w:rsidR="00D870BE" w:rsidRPr="00792F42">
              <w:rPr>
                <w:rStyle w:val="Hyperlink"/>
                <w:noProof/>
              </w:rPr>
              <w:t>8.1.4</w:t>
            </w:r>
            <w:r w:rsidR="00D870BE">
              <w:rPr>
                <w:rFonts w:asciiTheme="minorHAnsi" w:eastAsiaTheme="minorEastAsia" w:hAnsiTheme="minorHAnsi" w:cstheme="minorBidi"/>
                <w:noProof/>
                <w:sz w:val="22"/>
                <w:szCs w:val="22"/>
              </w:rPr>
              <w:tab/>
            </w:r>
            <w:r w:rsidR="00D870BE" w:rsidRPr="00792F42">
              <w:rPr>
                <w:rStyle w:val="Hyperlink"/>
                <w:noProof/>
              </w:rPr>
              <w:t>Klärungsbedarf durch fehlende Grundlagen</w:t>
            </w:r>
            <w:r w:rsidR="00D870BE">
              <w:rPr>
                <w:noProof/>
                <w:webHidden/>
              </w:rPr>
              <w:tab/>
            </w:r>
            <w:r>
              <w:rPr>
                <w:noProof/>
                <w:webHidden/>
              </w:rPr>
              <w:fldChar w:fldCharType="begin"/>
            </w:r>
            <w:r w:rsidR="00D870BE">
              <w:rPr>
                <w:noProof/>
                <w:webHidden/>
              </w:rPr>
              <w:instrText xml:space="preserve"> PAGEREF _Toc325456813 \h </w:instrText>
            </w:r>
            <w:r>
              <w:rPr>
                <w:noProof/>
                <w:webHidden/>
              </w:rPr>
            </w:r>
            <w:r>
              <w:rPr>
                <w:noProof/>
                <w:webHidden/>
              </w:rPr>
              <w:fldChar w:fldCharType="separate"/>
            </w:r>
            <w:r w:rsidR="001231D3">
              <w:rPr>
                <w:noProof/>
                <w:webHidden/>
              </w:rPr>
              <w:t>390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14" w:history="1">
            <w:r w:rsidR="00D870BE" w:rsidRPr="00792F42">
              <w:rPr>
                <w:rStyle w:val="Hyperlink"/>
                <w:noProof/>
              </w:rPr>
              <w:t>8.2</w:t>
            </w:r>
            <w:r w:rsidR="00D870BE">
              <w:rPr>
                <w:rFonts w:asciiTheme="minorHAnsi" w:eastAsiaTheme="minorEastAsia" w:hAnsiTheme="minorHAnsi" w:cstheme="minorBidi"/>
                <w:noProof/>
                <w:sz w:val="22"/>
                <w:szCs w:val="22"/>
              </w:rPr>
              <w:tab/>
            </w:r>
            <w:r w:rsidR="00D870BE" w:rsidRPr="00792F42">
              <w:rPr>
                <w:rStyle w:val="Hyperlink"/>
                <w:noProof/>
              </w:rPr>
              <w:t>Zum Umgang mit Stilen</w:t>
            </w:r>
            <w:r w:rsidR="00D870BE">
              <w:rPr>
                <w:noProof/>
                <w:webHidden/>
              </w:rPr>
              <w:tab/>
            </w:r>
            <w:r>
              <w:rPr>
                <w:noProof/>
                <w:webHidden/>
              </w:rPr>
              <w:fldChar w:fldCharType="begin"/>
            </w:r>
            <w:r w:rsidR="00D870BE">
              <w:rPr>
                <w:noProof/>
                <w:webHidden/>
              </w:rPr>
              <w:instrText xml:space="preserve"> PAGEREF _Toc325456814 \h </w:instrText>
            </w:r>
            <w:r>
              <w:rPr>
                <w:noProof/>
                <w:webHidden/>
              </w:rPr>
            </w:r>
            <w:r>
              <w:rPr>
                <w:noProof/>
                <w:webHidden/>
              </w:rPr>
              <w:fldChar w:fldCharType="separate"/>
            </w:r>
            <w:r w:rsidR="001231D3">
              <w:rPr>
                <w:noProof/>
                <w:webHidden/>
              </w:rPr>
              <w:t>391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5" w:history="1">
            <w:r w:rsidR="00D870BE" w:rsidRPr="00792F42">
              <w:rPr>
                <w:rStyle w:val="Hyperlink"/>
                <w:noProof/>
              </w:rPr>
              <w:t>8.2.1</w:t>
            </w:r>
            <w:r w:rsidR="00D870BE">
              <w:rPr>
                <w:rFonts w:asciiTheme="minorHAnsi" w:eastAsiaTheme="minorEastAsia" w:hAnsiTheme="minorHAnsi" w:cstheme="minorBidi"/>
                <w:noProof/>
                <w:sz w:val="22"/>
                <w:szCs w:val="22"/>
              </w:rPr>
              <w:tab/>
            </w:r>
            <w:r w:rsidR="00D870BE" w:rsidRPr="00792F42">
              <w:rPr>
                <w:rStyle w:val="Hyperlink"/>
                <w:noProof/>
              </w:rPr>
              <w:t>Grad der Unterschiedlichkeit von Stilen</w:t>
            </w:r>
            <w:r w:rsidR="00D870BE">
              <w:rPr>
                <w:noProof/>
                <w:webHidden/>
              </w:rPr>
              <w:tab/>
            </w:r>
            <w:r>
              <w:rPr>
                <w:noProof/>
                <w:webHidden/>
              </w:rPr>
              <w:fldChar w:fldCharType="begin"/>
            </w:r>
            <w:r w:rsidR="00D870BE">
              <w:rPr>
                <w:noProof/>
                <w:webHidden/>
              </w:rPr>
              <w:instrText xml:space="preserve"> PAGEREF _Toc325456815 \h </w:instrText>
            </w:r>
            <w:r>
              <w:rPr>
                <w:noProof/>
                <w:webHidden/>
              </w:rPr>
            </w:r>
            <w:r>
              <w:rPr>
                <w:noProof/>
                <w:webHidden/>
              </w:rPr>
              <w:fldChar w:fldCharType="separate"/>
            </w:r>
            <w:r w:rsidR="001231D3">
              <w:rPr>
                <w:noProof/>
                <w:webHidden/>
              </w:rPr>
              <w:t>391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6" w:history="1">
            <w:r w:rsidR="00D870BE" w:rsidRPr="00792F42">
              <w:rPr>
                <w:rStyle w:val="Hyperlink"/>
                <w:noProof/>
              </w:rPr>
              <w:t>8.2.2</w:t>
            </w:r>
            <w:r w:rsidR="00D870BE">
              <w:rPr>
                <w:rFonts w:asciiTheme="minorHAnsi" w:eastAsiaTheme="minorEastAsia" w:hAnsiTheme="minorHAnsi" w:cstheme="minorBidi"/>
                <w:noProof/>
                <w:sz w:val="22"/>
                <w:szCs w:val="22"/>
              </w:rPr>
              <w:tab/>
            </w:r>
            <w:r w:rsidR="00D870BE" w:rsidRPr="00792F42">
              <w:rPr>
                <w:rStyle w:val="Hyperlink"/>
                <w:noProof/>
              </w:rPr>
              <w:t>Absichtlichkeit und Bewusstheit von Stilen</w:t>
            </w:r>
            <w:r w:rsidR="00D870BE">
              <w:rPr>
                <w:noProof/>
                <w:webHidden/>
              </w:rPr>
              <w:tab/>
            </w:r>
            <w:r>
              <w:rPr>
                <w:noProof/>
                <w:webHidden/>
              </w:rPr>
              <w:fldChar w:fldCharType="begin"/>
            </w:r>
            <w:r w:rsidR="00D870BE">
              <w:rPr>
                <w:noProof/>
                <w:webHidden/>
              </w:rPr>
              <w:instrText xml:space="preserve"> PAGEREF _Toc325456816 \h </w:instrText>
            </w:r>
            <w:r>
              <w:rPr>
                <w:noProof/>
                <w:webHidden/>
              </w:rPr>
            </w:r>
            <w:r>
              <w:rPr>
                <w:noProof/>
                <w:webHidden/>
              </w:rPr>
              <w:fldChar w:fldCharType="separate"/>
            </w:r>
            <w:r w:rsidR="001231D3">
              <w:rPr>
                <w:noProof/>
                <w:webHidden/>
              </w:rPr>
              <w:t>398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7" w:history="1">
            <w:r w:rsidR="00D870BE" w:rsidRPr="00792F42">
              <w:rPr>
                <w:rStyle w:val="Hyperlink"/>
                <w:noProof/>
              </w:rPr>
              <w:t>8.2.3</w:t>
            </w:r>
            <w:r w:rsidR="00D870BE">
              <w:rPr>
                <w:rFonts w:asciiTheme="minorHAnsi" w:eastAsiaTheme="minorEastAsia" w:hAnsiTheme="minorHAnsi" w:cstheme="minorBidi"/>
                <w:noProof/>
                <w:sz w:val="22"/>
                <w:szCs w:val="22"/>
              </w:rPr>
              <w:tab/>
            </w:r>
            <w:r w:rsidR="00D870BE" w:rsidRPr="00792F42">
              <w:rPr>
                <w:rStyle w:val="Hyperlink"/>
                <w:noProof/>
              </w:rPr>
              <w:t>Stil als Betrachtungsweise</w:t>
            </w:r>
            <w:r w:rsidR="00D870BE">
              <w:rPr>
                <w:noProof/>
                <w:webHidden/>
              </w:rPr>
              <w:tab/>
            </w:r>
            <w:r>
              <w:rPr>
                <w:noProof/>
                <w:webHidden/>
              </w:rPr>
              <w:fldChar w:fldCharType="begin"/>
            </w:r>
            <w:r w:rsidR="00D870BE">
              <w:rPr>
                <w:noProof/>
                <w:webHidden/>
              </w:rPr>
              <w:instrText xml:space="preserve"> PAGEREF _Toc325456817 \h </w:instrText>
            </w:r>
            <w:r>
              <w:rPr>
                <w:noProof/>
                <w:webHidden/>
              </w:rPr>
            </w:r>
            <w:r>
              <w:rPr>
                <w:noProof/>
                <w:webHidden/>
              </w:rPr>
              <w:fldChar w:fldCharType="separate"/>
            </w:r>
            <w:r w:rsidR="001231D3">
              <w:rPr>
                <w:noProof/>
                <w:webHidden/>
              </w:rPr>
              <w:t>400</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18" w:history="1">
            <w:r w:rsidR="00D870BE" w:rsidRPr="00792F42">
              <w:rPr>
                <w:rStyle w:val="Hyperlink"/>
                <w:noProof/>
              </w:rPr>
              <w:t>8.2.4</w:t>
            </w:r>
            <w:r w:rsidR="00D870BE">
              <w:rPr>
                <w:rFonts w:asciiTheme="minorHAnsi" w:eastAsiaTheme="minorEastAsia" w:hAnsiTheme="minorHAnsi" w:cstheme="minorBidi"/>
                <w:noProof/>
                <w:sz w:val="22"/>
                <w:szCs w:val="22"/>
              </w:rPr>
              <w:tab/>
            </w:r>
            <w:r w:rsidR="00D870BE" w:rsidRPr="00792F42">
              <w:rPr>
                <w:rStyle w:val="Hyperlink"/>
                <w:noProof/>
              </w:rPr>
              <w:t>Vorteile von Stilkompetenz</w:t>
            </w:r>
            <w:r w:rsidR="00D870BE">
              <w:rPr>
                <w:noProof/>
                <w:webHidden/>
              </w:rPr>
              <w:tab/>
            </w:r>
            <w:r>
              <w:rPr>
                <w:noProof/>
                <w:webHidden/>
              </w:rPr>
              <w:fldChar w:fldCharType="begin"/>
            </w:r>
            <w:r w:rsidR="00D870BE">
              <w:rPr>
                <w:noProof/>
                <w:webHidden/>
              </w:rPr>
              <w:instrText xml:space="preserve"> PAGEREF _Toc325456818 \h </w:instrText>
            </w:r>
            <w:r>
              <w:rPr>
                <w:noProof/>
                <w:webHidden/>
              </w:rPr>
            </w:r>
            <w:r>
              <w:rPr>
                <w:noProof/>
                <w:webHidden/>
              </w:rPr>
              <w:fldChar w:fldCharType="separate"/>
            </w:r>
            <w:r w:rsidR="001231D3">
              <w:rPr>
                <w:noProof/>
                <w:webHidden/>
              </w:rPr>
              <w:t>405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19" w:history="1">
            <w:r w:rsidR="00D870BE" w:rsidRPr="00792F42">
              <w:rPr>
                <w:rStyle w:val="Hyperlink"/>
                <w:noProof/>
              </w:rPr>
              <w:t>8.3</w:t>
            </w:r>
            <w:r w:rsidR="00D870BE">
              <w:rPr>
                <w:rFonts w:asciiTheme="minorHAnsi" w:eastAsiaTheme="minorEastAsia" w:hAnsiTheme="minorHAnsi" w:cstheme="minorBidi"/>
                <w:noProof/>
                <w:sz w:val="22"/>
                <w:szCs w:val="22"/>
              </w:rPr>
              <w:tab/>
            </w:r>
            <w:r w:rsidR="00D870BE" w:rsidRPr="00792F42">
              <w:rPr>
                <w:rStyle w:val="Hyperlink"/>
                <w:noProof/>
              </w:rPr>
              <w:t>Abgrenzungen</w:t>
            </w:r>
            <w:r w:rsidR="00D870BE">
              <w:rPr>
                <w:noProof/>
                <w:webHidden/>
              </w:rPr>
              <w:tab/>
            </w:r>
            <w:r>
              <w:rPr>
                <w:noProof/>
                <w:webHidden/>
              </w:rPr>
              <w:fldChar w:fldCharType="begin"/>
            </w:r>
            <w:r w:rsidR="00D870BE">
              <w:rPr>
                <w:noProof/>
                <w:webHidden/>
              </w:rPr>
              <w:instrText xml:space="preserve"> PAGEREF _Toc325456819 \h </w:instrText>
            </w:r>
            <w:r>
              <w:rPr>
                <w:noProof/>
                <w:webHidden/>
              </w:rPr>
            </w:r>
            <w:r>
              <w:rPr>
                <w:noProof/>
                <w:webHidden/>
              </w:rPr>
              <w:fldChar w:fldCharType="separate"/>
            </w:r>
            <w:r w:rsidR="001231D3">
              <w:rPr>
                <w:noProof/>
                <w:webHidden/>
              </w:rPr>
              <w:t>407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0" w:history="1">
            <w:r w:rsidR="00D870BE" w:rsidRPr="00792F42">
              <w:rPr>
                <w:rStyle w:val="Hyperlink"/>
                <w:noProof/>
              </w:rPr>
              <w:t>8.3.1</w:t>
            </w:r>
            <w:r w:rsidR="00D870BE">
              <w:rPr>
                <w:rFonts w:asciiTheme="minorHAnsi" w:eastAsiaTheme="minorEastAsia" w:hAnsiTheme="minorHAnsi" w:cstheme="minorBidi"/>
                <w:noProof/>
                <w:sz w:val="22"/>
                <w:szCs w:val="22"/>
              </w:rPr>
              <w:tab/>
            </w:r>
            <w:r w:rsidR="00D870BE" w:rsidRPr="00792F42">
              <w:rPr>
                <w:rStyle w:val="Hyperlink"/>
                <w:noProof/>
              </w:rPr>
              <w:t>Gruppen- und Individualstile</w:t>
            </w:r>
            <w:r w:rsidR="00D870BE">
              <w:rPr>
                <w:noProof/>
                <w:webHidden/>
              </w:rPr>
              <w:tab/>
            </w:r>
            <w:r>
              <w:rPr>
                <w:noProof/>
                <w:webHidden/>
              </w:rPr>
              <w:fldChar w:fldCharType="begin"/>
            </w:r>
            <w:r w:rsidR="00D870BE">
              <w:rPr>
                <w:noProof/>
                <w:webHidden/>
              </w:rPr>
              <w:instrText xml:space="preserve"> PAGEREF _Toc325456820 \h </w:instrText>
            </w:r>
            <w:r>
              <w:rPr>
                <w:noProof/>
                <w:webHidden/>
              </w:rPr>
            </w:r>
            <w:r>
              <w:rPr>
                <w:noProof/>
                <w:webHidden/>
              </w:rPr>
              <w:fldChar w:fldCharType="separate"/>
            </w:r>
            <w:r w:rsidR="001231D3">
              <w:rPr>
                <w:noProof/>
                <w:webHidden/>
              </w:rPr>
              <w:t>407</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1" w:history="1">
            <w:r w:rsidR="00D870BE" w:rsidRPr="00792F42">
              <w:rPr>
                <w:rStyle w:val="Hyperlink"/>
                <w:noProof/>
              </w:rPr>
              <w:t>8.3.2</w:t>
            </w:r>
            <w:r w:rsidR="00D870BE">
              <w:rPr>
                <w:rFonts w:asciiTheme="minorHAnsi" w:eastAsiaTheme="minorEastAsia" w:hAnsiTheme="minorHAnsi" w:cstheme="minorBidi"/>
                <w:noProof/>
                <w:sz w:val="22"/>
                <w:szCs w:val="22"/>
              </w:rPr>
              <w:tab/>
            </w:r>
            <w:r w:rsidR="00D870BE" w:rsidRPr="00792F42">
              <w:rPr>
                <w:rStyle w:val="Hyperlink"/>
                <w:noProof/>
              </w:rPr>
              <w:t>Genre und Richtung</w:t>
            </w:r>
            <w:r w:rsidR="00D870BE">
              <w:rPr>
                <w:noProof/>
                <w:webHidden/>
              </w:rPr>
              <w:tab/>
            </w:r>
            <w:r>
              <w:rPr>
                <w:noProof/>
                <w:webHidden/>
              </w:rPr>
              <w:fldChar w:fldCharType="begin"/>
            </w:r>
            <w:r w:rsidR="00D870BE">
              <w:rPr>
                <w:noProof/>
                <w:webHidden/>
              </w:rPr>
              <w:instrText xml:space="preserve"> PAGEREF _Toc325456821 \h </w:instrText>
            </w:r>
            <w:r>
              <w:rPr>
                <w:noProof/>
                <w:webHidden/>
              </w:rPr>
            </w:r>
            <w:r>
              <w:rPr>
                <w:noProof/>
                <w:webHidden/>
              </w:rPr>
              <w:fldChar w:fldCharType="separate"/>
            </w:r>
            <w:r w:rsidR="001231D3">
              <w:rPr>
                <w:noProof/>
                <w:webHidden/>
              </w:rPr>
              <w:t>412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2" w:history="1">
            <w:r w:rsidR="00D870BE" w:rsidRPr="00792F42">
              <w:rPr>
                <w:rStyle w:val="Hyperlink"/>
                <w:noProof/>
              </w:rPr>
              <w:t>8.3.3</w:t>
            </w:r>
            <w:r w:rsidR="00D870BE">
              <w:rPr>
                <w:rFonts w:asciiTheme="minorHAnsi" w:eastAsiaTheme="minorEastAsia" w:hAnsiTheme="minorHAnsi" w:cstheme="minorBidi"/>
                <w:noProof/>
                <w:sz w:val="22"/>
                <w:szCs w:val="22"/>
              </w:rPr>
              <w:tab/>
            </w:r>
            <w:r w:rsidR="00D870BE" w:rsidRPr="00792F42">
              <w:rPr>
                <w:rStyle w:val="Hyperlink"/>
                <w:noProof/>
              </w:rPr>
              <w:t>Verhaltensstile und Verhaltensergebnisstile</w:t>
            </w:r>
            <w:r w:rsidR="00D870BE">
              <w:rPr>
                <w:noProof/>
                <w:webHidden/>
              </w:rPr>
              <w:tab/>
            </w:r>
            <w:r>
              <w:rPr>
                <w:noProof/>
                <w:webHidden/>
              </w:rPr>
              <w:fldChar w:fldCharType="begin"/>
            </w:r>
            <w:r w:rsidR="00D870BE">
              <w:rPr>
                <w:noProof/>
                <w:webHidden/>
              </w:rPr>
              <w:instrText xml:space="preserve"> PAGEREF _Toc325456822 \h </w:instrText>
            </w:r>
            <w:r>
              <w:rPr>
                <w:noProof/>
                <w:webHidden/>
              </w:rPr>
            </w:r>
            <w:r>
              <w:rPr>
                <w:noProof/>
                <w:webHidden/>
              </w:rPr>
              <w:fldChar w:fldCharType="separate"/>
            </w:r>
            <w:r w:rsidR="001231D3">
              <w:rPr>
                <w:noProof/>
                <w:webHidden/>
              </w:rPr>
              <w:t>413</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3" w:history="1">
            <w:r w:rsidR="00D870BE" w:rsidRPr="00792F42">
              <w:rPr>
                <w:rStyle w:val="Hyperlink"/>
                <w:noProof/>
              </w:rPr>
              <w:t>8.3.4</w:t>
            </w:r>
            <w:r w:rsidR="00D870BE">
              <w:rPr>
                <w:rFonts w:asciiTheme="minorHAnsi" w:eastAsiaTheme="minorEastAsia" w:hAnsiTheme="minorHAnsi" w:cstheme="minorBidi"/>
                <w:noProof/>
                <w:sz w:val="22"/>
                <w:szCs w:val="22"/>
              </w:rPr>
              <w:tab/>
            </w:r>
            <w:r w:rsidR="00D870BE" w:rsidRPr="00792F42">
              <w:rPr>
                <w:rStyle w:val="Hyperlink"/>
                <w:noProof/>
              </w:rPr>
              <w:t>Soziolekte, Fachsprachen, Sprachebenen, Sprachstufen und Epochenstile</w:t>
            </w:r>
            <w:r w:rsidR="00D870BE">
              <w:rPr>
                <w:noProof/>
                <w:webHidden/>
              </w:rPr>
              <w:tab/>
            </w:r>
            <w:r>
              <w:rPr>
                <w:noProof/>
                <w:webHidden/>
              </w:rPr>
              <w:fldChar w:fldCharType="begin"/>
            </w:r>
            <w:r w:rsidR="00D870BE">
              <w:rPr>
                <w:noProof/>
                <w:webHidden/>
              </w:rPr>
              <w:instrText xml:space="preserve"> PAGEREF _Toc325456823 \h </w:instrText>
            </w:r>
            <w:r>
              <w:rPr>
                <w:noProof/>
                <w:webHidden/>
              </w:rPr>
            </w:r>
            <w:r>
              <w:rPr>
                <w:noProof/>
                <w:webHidden/>
              </w:rPr>
              <w:fldChar w:fldCharType="separate"/>
            </w:r>
            <w:r w:rsidR="001231D3">
              <w:rPr>
                <w:noProof/>
                <w:webHidden/>
              </w:rPr>
              <w:t>415</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4" w:history="1">
            <w:r w:rsidR="00D870BE" w:rsidRPr="00792F42">
              <w:rPr>
                <w:rStyle w:val="Hyperlink"/>
                <w:noProof/>
              </w:rPr>
              <w:t>8.3.5</w:t>
            </w:r>
            <w:r w:rsidR="00D870BE">
              <w:rPr>
                <w:rFonts w:asciiTheme="minorHAnsi" w:eastAsiaTheme="minorEastAsia" w:hAnsiTheme="minorHAnsi" w:cstheme="minorBidi"/>
                <w:noProof/>
                <w:sz w:val="22"/>
                <w:szCs w:val="22"/>
              </w:rPr>
              <w:tab/>
            </w:r>
            <w:r w:rsidR="00D870BE" w:rsidRPr="00792F42">
              <w:rPr>
                <w:rStyle w:val="Hyperlink"/>
                <w:noProof/>
              </w:rPr>
              <w:t>Kodes, Techniken und Methoden</w:t>
            </w:r>
            <w:r w:rsidR="00D870BE">
              <w:rPr>
                <w:noProof/>
                <w:webHidden/>
              </w:rPr>
              <w:tab/>
            </w:r>
            <w:r>
              <w:rPr>
                <w:noProof/>
                <w:webHidden/>
              </w:rPr>
              <w:fldChar w:fldCharType="begin"/>
            </w:r>
            <w:r w:rsidR="00D870BE">
              <w:rPr>
                <w:noProof/>
                <w:webHidden/>
              </w:rPr>
              <w:instrText xml:space="preserve"> PAGEREF _Toc325456824 \h </w:instrText>
            </w:r>
            <w:r>
              <w:rPr>
                <w:noProof/>
                <w:webHidden/>
              </w:rPr>
            </w:r>
            <w:r>
              <w:rPr>
                <w:noProof/>
                <w:webHidden/>
              </w:rPr>
              <w:fldChar w:fldCharType="separate"/>
            </w:r>
            <w:r w:rsidR="001231D3">
              <w:rPr>
                <w:noProof/>
                <w:webHidden/>
              </w:rPr>
              <w:t>419</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5" w:history="1">
            <w:r w:rsidR="00D870BE" w:rsidRPr="00792F42">
              <w:rPr>
                <w:rStyle w:val="Hyperlink"/>
                <w:noProof/>
              </w:rPr>
              <w:t>8.3.6</w:t>
            </w:r>
            <w:r w:rsidR="00D870BE">
              <w:rPr>
                <w:rFonts w:asciiTheme="minorHAnsi" w:eastAsiaTheme="minorEastAsia" w:hAnsiTheme="minorHAnsi" w:cstheme="minorBidi"/>
                <w:noProof/>
                <w:sz w:val="22"/>
                <w:szCs w:val="22"/>
              </w:rPr>
              <w:tab/>
            </w:r>
            <w:r w:rsidR="00D870BE" w:rsidRPr="00792F42">
              <w:rPr>
                <w:rStyle w:val="Hyperlink"/>
                <w:noProof/>
              </w:rPr>
              <w:t>Rhetorische Figuren</w:t>
            </w:r>
            <w:r w:rsidR="00D870BE">
              <w:rPr>
                <w:noProof/>
                <w:webHidden/>
              </w:rPr>
              <w:tab/>
            </w:r>
            <w:r>
              <w:rPr>
                <w:noProof/>
                <w:webHidden/>
              </w:rPr>
              <w:fldChar w:fldCharType="begin"/>
            </w:r>
            <w:r w:rsidR="00D870BE">
              <w:rPr>
                <w:noProof/>
                <w:webHidden/>
              </w:rPr>
              <w:instrText xml:space="preserve"> PAGEREF _Toc325456825 \h </w:instrText>
            </w:r>
            <w:r>
              <w:rPr>
                <w:noProof/>
                <w:webHidden/>
              </w:rPr>
            </w:r>
            <w:r>
              <w:rPr>
                <w:noProof/>
                <w:webHidden/>
              </w:rPr>
              <w:fldChar w:fldCharType="separate"/>
            </w:r>
            <w:r w:rsidR="001231D3">
              <w:rPr>
                <w:noProof/>
                <w:webHidden/>
              </w:rPr>
              <w:t>421</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6" w:history="1">
            <w:r w:rsidR="00D870BE" w:rsidRPr="00792F42">
              <w:rPr>
                <w:rStyle w:val="Hyperlink"/>
                <w:noProof/>
              </w:rPr>
              <w:t>8.3.7</w:t>
            </w:r>
            <w:r w:rsidR="00D870BE">
              <w:rPr>
                <w:rFonts w:asciiTheme="minorHAnsi" w:eastAsiaTheme="minorEastAsia" w:hAnsiTheme="minorHAnsi" w:cstheme="minorBidi"/>
                <w:noProof/>
                <w:sz w:val="22"/>
                <w:szCs w:val="22"/>
              </w:rPr>
              <w:tab/>
            </w:r>
            <w:r w:rsidR="00D870BE" w:rsidRPr="00792F42">
              <w:rPr>
                <w:rStyle w:val="Hyperlink"/>
                <w:noProof/>
              </w:rPr>
              <w:t>Stil und ästhetische Phänomene</w:t>
            </w:r>
            <w:r w:rsidR="00D870BE">
              <w:rPr>
                <w:noProof/>
                <w:webHidden/>
              </w:rPr>
              <w:tab/>
            </w:r>
            <w:r>
              <w:rPr>
                <w:noProof/>
                <w:webHidden/>
              </w:rPr>
              <w:fldChar w:fldCharType="begin"/>
            </w:r>
            <w:r w:rsidR="00D870BE">
              <w:rPr>
                <w:noProof/>
                <w:webHidden/>
              </w:rPr>
              <w:instrText xml:space="preserve"> PAGEREF _Toc325456826 \h </w:instrText>
            </w:r>
            <w:r>
              <w:rPr>
                <w:noProof/>
                <w:webHidden/>
              </w:rPr>
            </w:r>
            <w:r>
              <w:rPr>
                <w:noProof/>
                <w:webHidden/>
              </w:rPr>
              <w:fldChar w:fldCharType="separate"/>
            </w:r>
            <w:r w:rsidR="001231D3">
              <w:rPr>
                <w:noProof/>
                <w:webHidden/>
              </w:rPr>
              <w:t>422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7" w:history="1">
            <w:r w:rsidR="00D870BE" w:rsidRPr="00792F42">
              <w:rPr>
                <w:rStyle w:val="Hyperlink"/>
                <w:noProof/>
              </w:rPr>
              <w:t>8.3.8</w:t>
            </w:r>
            <w:r w:rsidR="00D870BE">
              <w:rPr>
                <w:rFonts w:asciiTheme="minorHAnsi" w:eastAsiaTheme="minorEastAsia" w:hAnsiTheme="minorHAnsi" w:cstheme="minorBidi"/>
                <w:noProof/>
                <w:sz w:val="22"/>
                <w:szCs w:val="22"/>
              </w:rPr>
              <w:tab/>
            </w:r>
            <w:r w:rsidR="00D870BE" w:rsidRPr="00792F42">
              <w:rPr>
                <w:rStyle w:val="Hyperlink"/>
                <w:noProof/>
              </w:rPr>
              <w:t>Stile in der Natur?</w:t>
            </w:r>
            <w:r w:rsidR="00D870BE">
              <w:rPr>
                <w:noProof/>
                <w:webHidden/>
              </w:rPr>
              <w:tab/>
            </w:r>
            <w:r>
              <w:rPr>
                <w:noProof/>
                <w:webHidden/>
              </w:rPr>
              <w:fldChar w:fldCharType="begin"/>
            </w:r>
            <w:r w:rsidR="00D870BE">
              <w:rPr>
                <w:noProof/>
                <w:webHidden/>
              </w:rPr>
              <w:instrText xml:space="preserve"> PAGEREF _Toc325456827 \h </w:instrText>
            </w:r>
            <w:r>
              <w:rPr>
                <w:noProof/>
                <w:webHidden/>
              </w:rPr>
            </w:r>
            <w:r>
              <w:rPr>
                <w:noProof/>
                <w:webHidden/>
              </w:rPr>
              <w:fldChar w:fldCharType="separate"/>
            </w:r>
            <w:r w:rsidR="001231D3">
              <w:rPr>
                <w:noProof/>
                <w:webHidden/>
              </w:rPr>
              <w:t>424</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28" w:history="1">
            <w:r w:rsidR="00D870BE" w:rsidRPr="00792F42">
              <w:rPr>
                <w:rStyle w:val="Hyperlink"/>
                <w:noProof/>
              </w:rPr>
              <w:t>8.3.9</w:t>
            </w:r>
            <w:r w:rsidR="00D870BE">
              <w:rPr>
                <w:rFonts w:asciiTheme="minorHAnsi" w:eastAsiaTheme="minorEastAsia" w:hAnsiTheme="minorHAnsi" w:cstheme="minorBidi"/>
                <w:noProof/>
                <w:sz w:val="22"/>
                <w:szCs w:val="22"/>
              </w:rPr>
              <w:tab/>
            </w:r>
            <w:r w:rsidR="00D870BE" w:rsidRPr="00792F42">
              <w:rPr>
                <w:rStyle w:val="Hyperlink"/>
                <w:noProof/>
              </w:rPr>
              <w:t>Stil als normativer Begriff</w:t>
            </w:r>
            <w:r w:rsidR="00D870BE">
              <w:rPr>
                <w:noProof/>
                <w:webHidden/>
              </w:rPr>
              <w:tab/>
            </w:r>
            <w:r>
              <w:rPr>
                <w:noProof/>
                <w:webHidden/>
              </w:rPr>
              <w:fldChar w:fldCharType="begin"/>
            </w:r>
            <w:r w:rsidR="00D870BE">
              <w:rPr>
                <w:noProof/>
                <w:webHidden/>
              </w:rPr>
              <w:instrText xml:space="preserve"> PAGEREF _Toc325456828 \h </w:instrText>
            </w:r>
            <w:r>
              <w:rPr>
                <w:noProof/>
                <w:webHidden/>
              </w:rPr>
            </w:r>
            <w:r>
              <w:rPr>
                <w:noProof/>
                <w:webHidden/>
              </w:rPr>
              <w:fldChar w:fldCharType="separate"/>
            </w:r>
            <w:r w:rsidR="001231D3">
              <w:rPr>
                <w:noProof/>
                <w:webHidden/>
              </w:rPr>
              <w:t>425</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29" w:history="1">
            <w:r w:rsidR="00D870BE" w:rsidRPr="00792F42">
              <w:rPr>
                <w:rStyle w:val="Hyperlink"/>
                <w:noProof/>
              </w:rPr>
              <w:t>8.4</w:t>
            </w:r>
            <w:r w:rsidR="00D870BE">
              <w:rPr>
                <w:rFonts w:asciiTheme="minorHAnsi" w:eastAsiaTheme="minorEastAsia" w:hAnsiTheme="minorHAnsi" w:cstheme="minorBidi"/>
                <w:noProof/>
                <w:sz w:val="22"/>
                <w:szCs w:val="22"/>
              </w:rPr>
              <w:tab/>
            </w:r>
            <w:r w:rsidR="00D870BE" w:rsidRPr="00792F42">
              <w:rPr>
                <w:rStyle w:val="Hyperlink"/>
                <w:noProof/>
              </w:rPr>
              <w:t>Stil in der Gesellschaft</w:t>
            </w:r>
            <w:r w:rsidR="00D870BE">
              <w:rPr>
                <w:noProof/>
                <w:webHidden/>
              </w:rPr>
              <w:tab/>
            </w:r>
            <w:r>
              <w:rPr>
                <w:noProof/>
                <w:webHidden/>
              </w:rPr>
              <w:fldChar w:fldCharType="begin"/>
            </w:r>
            <w:r w:rsidR="00D870BE">
              <w:rPr>
                <w:noProof/>
                <w:webHidden/>
              </w:rPr>
              <w:instrText xml:space="preserve"> PAGEREF _Toc325456829 \h </w:instrText>
            </w:r>
            <w:r>
              <w:rPr>
                <w:noProof/>
                <w:webHidden/>
              </w:rPr>
            </w:r>
            <w:r>
              <w:rPr>
                <w:noProof/>
                <w:webHidden/>
              </w:rPr>
              <w:fldChar w:fldCharType="separate"/>
            </w:r>
            <w:r w:rsidR="001231D3">
              <w:rPr>
                <w:noProof/>
                <w:webHidden/>
              </w:rPr>
              <w:t>428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30" w:history="1">
            <w:r w:rsidR="00D870BE" w:rsidRPr="00792F42">
              <w:rPr>
                <w:rStyle w:val="Hyperlink"/>
                <w:noProof/>
              </w:rPr>
              <w:t>8.4.1</w:t>
            </w:r>
            <w:r w:rsidR="00D870BE">
              <w:rPr>
                <w:rFonts w:asciiTheme="minorHAnsi" w:eastAsiaTheme="minorEastAsia" w:hAnsiTheme="minorHAnsi" w:cstheme="minorBidi"/>
                <w:noProof/>
                <w:sz w:val="22"/>
                <w:szCs w:val="22"/>
              </w:rPr>
              <w:tab/>
            </w:r>
            <w:r w:rsidR="00D870BE" w:rsidRPr="00792F42">
              <w:rPr>
                <w:rStyle w:val="Hyperlink"/>
                <w:noProof/>
              </w:rPr>
              <w:t>Die Wichtigkeit von Stil in der Gesellschaft</w:t>
            </w:r>
            <w:r w:rsidR="00D870BE">
              <w:rPr>
                <w:noProof/>
                <w:webHidden/>
              </w:rPr>
              <w:tab/>
            </w:r>
            <w:r>
              <w:rPr>
                <w:noProof/>
                <w:webHidden/>
              </w:rPr>
              <w:fldChar w:fldCharType="begin"/>
            </w:r>
            <w:r w:rsidR="00D870BE">
              <w:rPr>
                <w:noProof/>
                <w:webHidden/>
              </w:rPr>
              <w:instrText xml:space="preserve"> PAGEREF _Toc325456830 \h </w:instrText>
            </w:r>
            <w:r>
              <w:rPr>
                <w:noProof/>
                <w:webHidden/>
              </w:rPr>
            </w:r>
            <w:r>
              <w:rPr>
                <w:noProof/>
                <w:webHidden/>
              </w:rPr>
              <w:fldChar w:fldCharType="separate"/>
            </w:r>
            <w:r w:rsidR="001231D3">
              <w:rPr>
                <w:noProof/>
                <w:webHidden/>
              </w:rPr>
              <w:t>428</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31" w:history="1">
            <w:r w:rsidR="00D870BE" w:rsidRPr="00792F42">
              <w:rPr>
                <w:rStyle w:val="Hyperlink"/>
                <w:noProof/>
              </w:rPr>
              <w:t>8.4.2</w:t>
            </w:r>
            <w:r w:rsidR="00D870BE">
              <w:rPr>
                <w:rFonts w:asciiTheme="minorHAnsi" w:eastAsiaTheme="minorEastAsia" w:hAnsiTheme="minorHAnsi" w:cstheme="minorBidi"/>
                <w:noProof/>
                <w:sz w:val="22"/>
                <w:szCs w:val="22"/>
              </w:rPr>
              <w:tab/>
            </w:r>
            <w:r w:rsidR="00D870BE" w:rsidRPr="00792F42">
              <w:rPr>
                <w:rStyle w:val="Hyperlink"/>
                <w:noProof/>
              </w:rPr>
              <w:t>Habitus und Identitätsbildung</w:t>
            </w:r>
            <w:r w:rsidR="00D870BE">
              <w:rPr>
                <w:noProof/>
                <w:webHidden/>
              </w:rPr>
              <w:tab/>
            </w:r>
            <w:r>
              <w:rPr>
                <w:noProof/>
                <w:webHidden/>
              </w:rPr>
              <w:fldChar w:fldCharType="begin"/>
            </w:r>
            <w:r w:rsidR="00D870BE">
              <w:rPr>
                <w:noProof/>
                <w:webHidden/>
              </w:rPr>
              <w:instrText xml:space="preserve"> PAGEREF _Toc325456831 \h </w:instrText>
            </w:r>
            <w:r>
              <w:rPr>
                <w:noProof/>
                <w:webHidden/>
              </w:rPr>
            </w:r>
            <w:r>
              <w:rPr>
                <w:noProof/>
                <w:webHidden/>
              </w:rPr>
              <w:fldChar w:fldCharType="separate"/>
            </w:r>
            <w:r w:rsidR="001231D3">
              <w:rPr>
                <w:noProof/>
                <w:webHidden/>
              </w:rPr>
              <w:t>432</w:t>
            </w:r>
            <w:r>
              <w:rPr>
                <w:noProof/>
                <w:webHidden/>
              </w:rPr>
              <w:fldChar w:fldCharType="end"/>
            </w:r>
          </w:hyperlink>
        </w:p>
        <w:p w:rsidR="00D870BE" w:rsidRDefault="005D7996">
          <w:pPr>
            <w:pStyle w:val="Verzeichnis3"/>
            <w:rPr>
              <w:rFonts w:asciiTheme="minorHAnsi" w:eastAsiaTheme="minorEastAsia" w:hAnsiTheme="minorHAnsi" w:cstheme="minorBidi"/>
              <w:noProof/>
              <w:sz w:val="22"/>
              <w:szCs w:val="22"/>
            </w:rPr>
          </w:pPr>
          <w:hyperlink w:anchor="_Toc325456832" w:history="1">
            <w:r w:rsidR="00D870BE" w:rsidRPr="00792F42">
              <w:rPr>
                <w:rStyle w:val="Hyperlink"/>
                <w:noProof/>
              </w:rPr>
              <w:t>8.4.3</w:t>
            </w:r>
            <w:r w:rsidR="00D870BE">
              <w:rPr>
                <w:rFonts w:asciiTheme="minorHAnsi" w:eastAsiaTheme="minorEastAsia" w:hAnsiTheme="minorHAnsi" w:cstheme="minorBidi"/>
                <w:noProof/>
                <w:sz w:val="22"/>
                <w:szCs w:val="22"/>
              </w:rPr>
              <w:tab/>
            </w:r>
            <w:r w:rsidR="00D870BE" w:rsidRPr="00792F42">
              <w:rPr>
                <w:rStyle w:val="Hyperlink"/>
                <w:noProof/>
              </w:rPr>
              <w:t>Stil und Kapitalismus</w:t>
            </w:r>
            <w:r w:rsidR="00D870BE">
              <w:rPr>
                <w:noProof/>
                <w:webHidden/>
              </w:rPr>
              <w:tab/>
            </w:r>
            <w:r>
              <w:rPr>
                <w:noProof/>
                <w:webHidden/>
              </w:rPr>
              <w:fldChar w:fldCharType="begin"/>
            </w:r>
            <w:r w:rsidR="00D870BE">
              <w:rPr>
                <w:noProof/>
                <w:webHidden/>
              </w:rPr>
              <w:instrText xml:space="preserve"> PAGEREF _Toc325456832 \h </w:instrText>
            </w:r>
            <w:r>
              <w:rPr>
                <w:noProof/>
                <w:webHidden/>
              </w:rPr>
            </w:r>
            <w:r>
              <w:rPr>
                <w:noProof/>
                <w:webHidden/>
              </w:rPr>
              <w:fldChar w:fldCharType="separate"/>
            </w:r>
            <w:r w:rsidR="001231D3">
              <w:rPr>
                <w:noProof/>
                <w:webHidden/>
              </w:rPr>
              <w:t>436</w:t>
            </w:r>
            <w:r>
              <w:rPr>
                <w:noProof/>
                <w:webHidden/>
              </w:rPr>
              <w:fldChar w:fldCharType="end"/>
            </w:r>
          </w:hyperlink>
        </w:p>
        <w:p w:rsidR="00D870BE" w:rsidRDefault="005D7996" w:rsidP="005654BF">
          <w:pPr>
            <w:pStyle w:val="Verzeichnis1"/>
            <w:keepNext/>
            <w:rPr>
              <w:rFonts w:asciiTheme="minorHAnsi" w:eastAsiaTheme="minorEastAsia" w:hAnsiTheme="minorHAnsi" w:cstheme="minorBidi"/>
              <w:noProof/>
              <w:szCs w:val="22"/>
            </w:rPr>
          </w:pPr>
          <w:hyperlink w:anchor="_Toc325456833" w:history="1">
            <w:r w:rsidR="00D870BE" w:rsidRPr="00792F42">
              <w:rPr>
                <w:rStyle w:val="Hyperlink"/>
                <w:noProof/>
              </w:rPr>
              <w:t>Kapitel 9: Wissenschaftstheoretische Überlegungen</w:t>
            </w:r>
            <w:r w:rsidR="00D870BE">
              <w:rPr>
                <w:noProof/>
                <w:webHidden/>
              </w:rPr>
              <w:tab/>
            </w:r>
            <w:r>
              <w:rPr>
                <w:noProof/>
                <w:webHidden/>
              </w:rPr>
              <w:fldChar w:fldCharType="begin"/>
            </w:r>
            <w:r w:rsidR="00D870BE">
              <w:rPr>
                <w:noProof/>
                <w:webHidden/>
              </w:rPr>
              <w:instrText xml:space="preserve"> PAGEREF _Toc325456833 \h </w:instrText>
            </w:r>
            <w:r>
              <w:rPr>
                <w:noProof/>
                <w:webHidden/>
              </w:rPr>
            </w:r>
            <w:r>
              <w:rPr>
                <w:noProof/>
                <w:webHidden/>
              </w:rPr>
              <w:fldChar w:fldCharType="separate"/>
            </w:r>
            <w:r w:rsidR="001231D3">
              <w:rPr>
                <w:noProof/>
                <w:webHidden/>
              </w:rPr>
              <w:t>439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34" w:history="1">
            <w:r w:rsidR="00D870BE" w:rsidRPr="00792F42">
              <w:rPr>
                <w:rStyle w:val="Hyperlink"/>
                <w:noProof/>
              </w:rPr>
              <w:t>9.1</w:t>
            </w:r>
            <w:r w:rsidR="00D870BE">
              <w:rPr>
                <w:rFonts w:asciiTheme="minorHAnsi" w:eastAsiaTheme="minorEastAsia" w:hAnsiTheme="minorHAnsi" w:cstheme="minorBidi"/>
                <w:noProof/>
                <w:sz w:val="22"/>
                <w:szCs w:val="22"/>
              </w:rPr>
              <w:tab/>
            </w:r>
            <w:r w:rsidR="00D870BE" w:rsidRPr="00792F42">
              <w:rPr>
                <w:rStyle w:val="Hyperlink"/>
                <w:noProof/>
              </w:rPr>
              <w:t>Begriff und Phänomen</w:t>
            </w:r>
            <w:r w:rsidR="00D870BE">
              <w:rPr>
                <w:noProof/>
                <w:webHidden/>
              </w:rPr>
              <w:tab/>
            </w:r>
            <w:r>
              <w:rPr>
                <w:noProof/>
                <w:webHidden/>
              </w:rPr>
              <w:fldChar w:fldCharType="begin"/>
            </w:r>
            <w:r w:rsidR="00D870BE">
              <w:rPr>
                <w:noProof/>
                <w:webHidden/>
              </w:rPr>
              <w:instrText xml:space="preserve"> PAGEREF _Toc325456834 \h </w:instrText>
            </w:r>
            <w:r>
              <w:rPr>
                <w:noProof/>
                <w:webHidden/>
              </w:rPr>
            </w:r>
            <w:r>
              <w:rPr>
                <w:noProof/>
                <w:webHidden/>
              </w:rPr>
              <w:fldChar w:fldCharType="separate"/>
            </w:r>
            <w:r w:rsidR="001231D3">
              <w:rPr>
                <w:noProof/>
                <w:webHidden/>
              </w:rPr>
              <w:t>439</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35" w:history="1">
            <w:r w:rsidR="00D870BE" w:rsidRPr="00792F42">
              <w:rPr>
                <w:rStyle w:val="Hyperlink"/>
                <w:noProof/>
              </w:rPr>
              <w:t>9.2</w:t>
            </w:r>
            <w:r w:rsidR="00D870BE">
              <w:rPr>
                <w:rFonts w:asciiTheme="minorHAnsi" w:eastAsiaTheme="minorEastAsia" w:hAnsiTheme="minorHAnsi" w:cstheme="minorBidi"/>
                <w:noProof/>
                <w:sz w:val="22"/>
                <w:szCs w:val="22"/>
              </w:rPr>
              <w:tab/>
            </w:r>
            <w:r w:rsidR="00D870BE" w:rsidRPr="00792F42">
              <w:rPr>
                <w:rStyle w:val="Hyperlink"/>
                <w:noProof/>
              </w:rPr>
              <w:t>Überlegungen zur mentalen Repräsentation</w:t>
            </w:r>
            <w:r w:rsidR="00D870BE">
              <w:rPr>
                <w:noProof/>
                <w:webHidden/>
              </w:rPr>
              <w:tab/>
            </w:r>
            <w:r>
              <w:rPr>
                <w:noProof/>
                <w:webHidden/>
              </w:rPr>
              <w:fldChar w:fldCharType="begin"/>
            </w:r>
            <w:r w:rsidR="00D870BE">
              <w:rPr>
                <w:noProof/>
                <w:webHidden/>
              </w:rPr>
              <w:instrText xml:space="preserve"> PAGEREF _Toc325456835 \h </w:instrText>
            </w:r>
            <w:r>
              <w:rPr>
                <w:noProof/>
                <w:webHidden/>
              </w:rPr>
            </w:r>
            <w:r>
              <w:rPr>
                <w:noProof/>
                <w:webHidden/>
              </w:rPr>
              <w:fldChar w:fldCharType="separate"/>
            </w:r>
            <w:r w:rsidR="001231D3">
              <w:rPr>
                <w:noProof/>
                <w:webHidden/>
              </w:rPr>
              <w:t>443</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36" w:history="1">
            <w:r w:rsidR="00D870BE" w:rsidRPr="00792F42">
              <w:rPr>
                <w:rStyle w:val="Hyperlink"/>
                <w:noProof/>
              </w:rPr>
              <w:t>9.3</w:t>
            </w:r>
            <w:r w:rsidR="00D870BE">
              <w:rPr>
                <w:rFonts w:asciiTheme="minorHAnsi" w:eastAsiaTheme="minorEastAsia" w:hAnsiTheme="minorHAnsi" w:cstheme="minorBidi"/>
                <w:noProof/>
                <w:sz w:val="22"/>
                <w:szCs w:val="22"/>
              </w:rPr>
              <w:tab/>
            </w:r>
            <w:r w:rsidR="00D870BE" w:rsidRPr="00792F42">
              <w:rPr>
                <w:rStyle w:val="Hyperlink"/>
                <w:noProof/>
              </w:rPr>
              <w:t>Sind genauere Stilanalysen möglich?</w:t>
            </w:r>
            <w:r w:rsidR="00D870BE">
              <w:rPr>
                <w:noProof/>
                <w:webHidden/>
              </w:rPr>
              <w:tab/>
            </w:r>
            <w:r>
              <w:rPr>
                <w:noProof/>
                <w:webHidden/>
              </w:rPr>
              <w:fldChar w:fldCharType="begin"/>
            </w:r>
            <w:r w:rsidR="00D870BE">
              <w:rPr>
                <w:noProof/>
                <w:webHidden/>
              </w:rPr>
              <w:instrText xml:space="preserve"> PAGEREF _Toc325456836 \h </w:instrText>
            </w:r>
            <w:r>
              <w:rPr>
                <w:noProof/>
                <w:webHidden/>
              </w:rPr>
            </w:r>
            <w:r>
              <w:rPr>
                <w:noProof/>
                <w:webHidden/>
              </w:rPr>
              <w:fldChar w:fldCharType="separate"/>
            </w:r>
            <w:r w:rsidR="001231D3">
              <w:rPr>
                <w:noProof/>
                <w:webHidden/>
              </w:rPr>
              <w:t>446</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37" w:history="1">
            <w:r w:rsidR="00D870BE" w:rsidRPr="00792F42">
              <w:rPr>
                <w:rStyle w:val="Hyperlink"/>
                <w:noProof/>
              </w:rPr>
              <w:t>9.4</w:t>
            </w:r>
            <w:r w:rsidR="00D870BE">
              <w:rPr>
                <w:rFonts w:asciiTheme="minorHAnsi" w:eastAsiaTheme="minorEastAsia" w:hAnsiTheme="minorHAnsi" w:cstheme="minorBidi"/>
                <w:noProof/>
                <w:sz w:val="22"/>
                <w:szCs w:val="22"/>
              </w:rPr>
              <w:tab/>
            </w:r>
            <w:r w:rsidR="00D870BE" w:rsidRPr="00792F42">
              <w:rPr>
                <w:rStyle w:val="Hyperlink"/>
                <w:noProof/>
              </w:rPr>
              <w:t>Vagheit und Präzision in den Geisteswissenschaften</w:t>
            </w:r>
            <w:r w:rsidR="00D870BE">
              <w:rPr>
                <w:noProof/>
                <w:webHidden/>
              </w:rPr>
              <w:tab/>
            </w:r>
            <w:r>
              <w:rPr>
                <w:noProof/>
                <w:webHidden/>
              </w:rPr>
              <w:fldChar w:fldCharType="begin"/>
            </w:r>
            <w:r w:rsidR="00D870BE">
              <w:rPr>
                <w:noProof/>
                <w:webHidden/>
              </w:rPr>
              <w:instrText xml:space="preserve"> PAGEREF _Toc325456837 \h </w:instrText>
            </w:r>
            <w:r>
              <w:rPr>
                <w:noProof/>
                <w:webHidden/>
              </w:rPr>
            </w:r>
            <w:r>
              <w:rPr>
                <w:noProof/>
                <w:webHidden/>
              </w:rPr>
              <w:fldChar w:fldCharType="separate"/>
            </w:r>
            <w:r w:rsidR="001231D3">
              <w:rPr>
                <w:noProof/>
                <w:webHidden/>
              </w:rPr>
              <w:t>450</w:t>
            </w:r>
            <w:r>
              <w:rPr>
                <w:noProof/>
                <w:webHidden/>
              </w:rPr>
              <w:fldChar w:fldCharType="end"/>
            </w:r>
          </w:hyperlink>
        </w:p>
        <w:p w:rsidR="00D870BE" w:rsidRDefault="005D7996">
          <w:pPr>
            <w:pStyle w:val="Verzeichnis2"/>
            <w:rPr>
              <w:rFonts w:asciiTheme="minorHAnsi" w:eastAsiaTheme="minorEastAsia" w:hAnsiTheme="minorHAnsi" w:cstheme="minorBidi"/>
              <w:noProof/>
              <w:sz w:val="22"/>
              <w:szCs w:val="22"/>
            </w:rPr>
          </w:pPr>
          <w:hyperlink w:anchor="_Toc325456838" w:history="1">
            <w:r w:rsidR="00D870BE" w:rsidRPr="00792F42">
              <w:rPr>
                <w:rStyle w:val="Hyperlink"/>
                <w:noProof/>
              </w:rPr>
              <w:t>9.5</w:t>
            </w:r>
            <w:r w:rsidR="00D870BE">
              <w:rPr>
                <w:rFonts w:asciiTheme="minorHAnsi" w:eastAsiaTheme="minorEastAsia" w:hAnsiTheme="minorHAnsi" w:cstheme="minorBidi"/>
                <w:noProof/>
                <w:sz w:val="22"/>
                <w:szCs w:val="22"/>
              </w:rPr>
              <w:tab/>
            </w:r>
            <w:r w:rsidR="00D870BE" w:rsidRPr="00792F42">
              <w:rPr>
                <w:rStyle w:val="Hyperlink"/>
                <w:noProof/>
              </w:rPr>
              <w:t>Vagheit und Präzision bei Stil</w:t>
            </w:r>
            <w:r w:rsidR="00D870BE">
              <w:rPr>
                <w:noProof/>
                <w:webHidden/>
              </w:rPr>
              <w:tab/>
            </w:r>
            <w:r>
              <w:rPr>
                <w:noProof/>
                <w:webHidden/>
              </w:rPr>
              <w:fldChar w:fldCharType="begin"/>
            </w:r>
            <w:r w:rsidR="00D870BE">
              <w:rPr>
                <w:noProof/>
                <w:webHidden/>
              </w:rPr>
              <w:instrText xml:space="preserve"> PAGEREF _Toc325456838 \h </w:instrText>
            </w:r>
            <w:r>
              <w:rPr>
                <w:noProof/>
                <w:webHidden/>
              </w:rPr>
            </w:r>
            <w:r>
              <w:rPr>
                <w:noProof/>
                <w:webHidden/>
              </w:rPr>
              <w:fldChar w:fldCharType="separate"/>
            </w:r>
            <w:r w:rsidR="001231D3">
              <w:rPr>
                <w:noProof/>
                <w:webHidden/>
              </w:rPr>
              <w:t>453</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39" w:history="1">
            <w:r w:rsidR="00D870BE" w:rsidRPr="00792F42">
              <w:rPr>
                <w:rStyle w:val="Hyperlink"/>
                <w:noProof/>
              </w:rPr>
              <w:t>Ausblick</w:t>
            </w:r>
            <w:r w:rsidR="00D870BE">
              <w:rPr>
                <w:noProof/>
                <w:webHidden/>
              </w:rPr>
              <w:tab/>
            </w:r>
            <w:r>
              <w:rPr>
                <w:noProof/>
                <w:webHidden/>
              </w:rPr>
              <w:fldChar w:fldCharType="begin"/>
            </w:r>
            <w:r w:rsidR="00D870BE">
              <w:rPr>
                <w:noProof/>
                <w:webHidden/>
              </w:rPr>
              <w:instrText xml:space="preserve"> PAGEREF _Toc325456839 \h </w:instrText>
            </w:r>
            <w:r>
              <w:rPr>
                <w:noProof/>
                <w:webHidden/>
              </w:rPr>
            </w:r>
            <w:r>
              <w:rPr>
                <w:noProof/>
                <w:webHidden/>
              </w:rPr>
              <w:fldChar w:fldCharType="separate"/>
            </w:r>
            <w:r w:rsidR="001231D3">
              <w:rPr>
                <w:noProof/>
                <w:webHidden/>
              </w:rPr>
              <w:t>458</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40" w:history="1">
            <w:r w:rsidR="00D870BE" w:rsidRPr="00792F42">
              <w:rPr>
                <w:rStyle w:val="Hyperlink"/>
                <w:noProof/>
              </w:rPr>
              <w:t>Abbildungen</w:t>
            </w:r>
            <w:r w:rsidR="00D870BE">
              <w:rPr>
                <w:noProof/>
                <w:webHidden/>
              </w:rPr>
              <w:tab/>
            </w:r>
            <w:r>
              <w:rPr>
                <w:noProof/>
                <w:webHidden/>
              </w:rPr>
              <w:fldChar w:fldCharType="begin"/>
            </w:r>
            <w:r w:rsidR="00D870BE">
              <w:rPr>
                <w:noProof/>
                <w:webHidden/>
              </w:rPr>
              <w:instrText xml:space="preserve"> PAGEREF _Toc325456840 \h </w:instrText>
            </w:r>
            <w:r>
              <w:rPr>
                <w:noProof/>
                <w:webHidden/>
              </w:rPr>
            </w:r>
            <w:r>
              <w:rPr>
                <w:noProof/>
                <w:webHidden/>
              </w:rPr>
              <w:fldChar w:fldCharType="separate"/>
            </w:r>
            <w:r w:rsidR="001231D3">
              <w:rPr>
                <w:noProof/>
                <w:webHidden/>
              </w:rPr>
              <w:t>461</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41" w:history="1">
            <w:r w:rsidR="00D870BE" w:rsidRPr="00792F42">
              <w:rPr>
                <w:rStyle w:val="Hyperlink"/>
                <w:noProof/>
              </w:rPr>
              <w:t>Bildnachweis</w:t>
            </w:r>
            <w:r w:rsidR="00D870BE">
              <w:rPr>
                <w:noProof/>
                <w:webHidden/>
              </w:rPr>
              <w:tab/>
            </w:r>
            <w:r>
              <w:rPr>
                <w:noProof/>
                <w:webHidden/>
              </w:rPr>
              <w:fldChar w:fldCharType="begin"/>
            </w:r>
            <w:r w:rsidR="00D870BE">
              <w:rPr>
                <w:noProof/>
                <w:webHidden/>
              </w:rPr>
              <w:instrText xml:space="preserve"> PAGEREF _Toc325456841 \h </w:instrText>
            </w:r>
            <w:r>
              <w:rPr>
                <w:noProof/>
                <w:webHidden/>
              </w:rPr>
            </w:r>
            <w:r>
              <w:rPr>
                <w:noProof/>
                <w:webHidden/>
              </w:rPr>
              <w:fldChar w:fldCharType="separate"/>
            </w:r>
            <w:r w:rsidR="001231D3">
              <w:rPr>
                <w:noProof/>
                <w:webHidden/>
              </w:rPr>
              <w:t>461</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42" w:history="1">
            <w:r w:rsidR="00D870BE" w:rsidRPr="00792F42">
              <w:rPr>
                <w:rStyle w:val="Hyperlink"/>
                <w:noProof/>
              </w:rPr>
              <w:t>Abkürzungen</w:t>
            </w:r>
            <w:r w:rsidR="00D870BE">
              <w:rPr>
                <w:noProof/>
                <w:webHidden/>
              </w:rPr>
              <w:tab/>
            </w:r>
            <w:r>
              <w:rPr>
                <w:noProof/>
                <w:webHidden/>
              </w:rPr>
              <w:fldChar w:fldCharType="begin"/>
            </w:r>
            <w:r w:rsidR="00D870BE">
              <w:rPr>
                <w:noProof/>
                <w:webHidden/>
              </w:rPr>
              <w:instrText xml:space="preserve"> PAGEREF _Toc325456842 \h </w:instrText>
            </w:r>
            <w:r>
              <w:rPr>
                <w:noProof/>
                <w:webHidden/>
              </w:rPr>
            </w:r>
            <w:r>
              <w:rPr>
                <w:noProof/>
                <w:webHidden/>
              </w:rPr>
              <w:fldChar w:fldCharType="separate"/>
            </w:r>
            <w:r w:rsidR="001231D3">
              <w:rPr>
                <w:noProof/>
                <w:webHidden/>
              </w:rPr>
              <w:t>462</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43" w:history="1">
            <w:r w:rsidR="00D870BE" w:rsidRPr="00792F42">
              <w:rPr>
                <w:rStyle w:val="Hyperlink"/>
                <w:noProof/>
              </w:rPr>
              <w:t>Literatur</w:t>
            </w:r>
            <w:r w:rsidR="00D870BE">
              <w:rPr>
                <w:noProof/>
                <w:webHidden/>
              </w:rPr>
              <w:tab/>
            </w:r>
            <w:r>
              <w:rPr>
                <w:noProof/>
                <w:webHidden/>
              </w:rPr>
              <w:fldChar w:fldCharType="begin"/>
            </w:r>
            <w:r w:rsidR="00D870BE">
              <w:rPr>
                <w:noProof/>
                <w:webHidden/>
              </w:rPr>
              <w:instrText xml:space="preserve"> PAGEREF _Toc325456843 \h </w:instrText>
            </w:r>
            <w:r>
              <w:rPr>
                <w:noProof/>
                <w:webHidden/>
              </w:rPr>
            </w:r>
            <w:r>
              <w:rPr>
                <w:noProof/>
                <w:webHidden/>
              </w:rPr>
              <w:fldChar w:fldCharType="separate"/>
            </w:r>
            <w:r w:rsidR="001231D3">
              <w:rPr>
                <w:noProof/>
                <w:webHidden/>
              </w:rPr>
              <w:t>463</w:t>
            </w:r>
            <w:r>
              <w:rPr>
                <w:noProof/>
                <w:webHidden/>
              </w:rPr>
              <w:fldChar w:fldCharType="end"/>
            </w:r>
          </w:hyperlink>
        </w:p>
        <w:p w:rsidR="00D870BE" w:rsidRDefault="005D7996">
          <w:pPr>
            <w:pStyle w:val="Verzeichnis1"/>
            <w:rPr>
              <w:rFonts w:asciiTheme="minorHAnsi" w:eastAsiaTheme="minorEastAsia" w:hAnsiTheme="minorHAnsi" w:cstheme="minorBidi"/>
              <w:noProof/>
              <w:szCs w:val="22"/>
            </w:rPr>
          </w:pPr>
          <w:hyperlink w:anchor="_Toc325456844" w:history="1">
            <w:r w:rsidR="00D870BE" w:rsidRPr="00792F42">
              <w:rPr>
                <w:rStyle w:val="Hyperlink"/>
                <w:noProof/>
                <w:lang w:val="en-US"/>
              </w:rPr>
              <w:t>Index</w:t>
            </w:r>
            <w:r w:rsidR="00D870BE">
              <w:rPr>
                <w:noProof/>
                <w:webHidden/>
              </w:rPr>
              <w:tab/>
            </w:r>
            <w:r>
              <w:rPr>
                <w:noProof/>
                <w:webHidden/>
              </w:rPr>
              <w:fldChar w:fldCharType="begin"/>
            </w:r>
            <w:r w:rsidR="00D870BE">
              <w:rPr>
                <w:noProof/>
                <w:webHidden/>
              </w:rPr>
              <w:instrText xml:space="preserve"> PAGEREF _Toc325456844 \h </w:instrText>
            </w:r>
            <w:r>
              <w:rPr>
                <w:noProof/>
                <w:webHidden/>
              </w:rPr>
            </w:r>
            <w:r>
              <w:rPr>
                <w:noProof/>
                <w:webHidden/>
              </w:rPr>
              <w:fldChar w:fldCharType="separate"/>
            </w:r>
            <w:r w:rsidR="001231D3">
              <w:rPr>
                <w:noProof/>
                <w:webHidden/>
              </w:rPr>
              <w:t>493</w:t>
            </w:r>
            <w:r>
              <w:rPr>
                <w:noProof/>
                <w:webHidden/>
              </w:rPr>
              <w:fldChar w:fldCharType="end"/>
            </w:r>
          </w:hyperlink>
        </w:p>
        <w:p w:rsidR="00100546" w:rsidRDefault="005D7996" w:rsidP="00100546">
          <w:pPr>
            <w:pStyle w:val="Verzeichnis1"/>
          </w:pPr>
          <w:r>
            <w:fldChar w:fldCharType="end"/>
          </w:r>
        </w:p>
      </w:sdtContent>
    </w:sdt>
    <w:p w:rsidR="003A01A3" w:rsidRDefault="00047A83">
      <w:pPr>
        <w:tabs>
          <w:tab w:val="clear" w:pos="567"/>
          <w:tab w:val="clear" w:pos="851"/>
          <w:tab w:val="clear" w:pos="1134"/>
          <w:tab w:val="clear" w:pos="1418"/>
        </w:tabs>
        <w:jc w:val="left"/>
        <w:sectPr w:rsidR="003A01A3" w:rsidSect="00E42F2F">
          <w:headerReference w:type="even" r:id="rId12"/>
          <w:headerReference w:type="default" r:id="rId13"/>
          <w:headerReference w:type="first" r:id="rId14"/>
          <w:type w:val="continuous"/>
          <w:pgSz w:w="8789" w:h="13325" w:code="9"/>
          <w:pgMar w:top="1134" w:right="851" w:bottom="1418" w:left="1134" w:header="567" w:footer="680" w:gutter="0"/>
          <w:cols w:space="720"/>
          <w:titlePg/>
          <w:docGrid w:linePitch="360"/>
        </w:sectPr>
      </w:pPr>
      <w:r>
        <w:br w:type="page"/>
      </w:r>
    </w:p>
    <w:p w:rsidR="00A96C9B" w:rsidRDefault="00A96C9B" w:rsidP="00A96C9B">
      <w:pPr>
        <w:pStyle w:val="TitelohneNummer"/>
      </w:pPr>
      <w:bookmarkStart w:id="5" w:name="_Toc325456688"/>
      <w:r>
        <w:lastRenderedPageBreak/>
        <w:t>Danksagung</w:t>
      </w:r>
      <w:bookmarkEnd w:id="5"/>
    </w:p>
    <w:p w:rsidR="00A96C9B" w:rsidRDefault="00A96C9B" w:rsidP="003063F8">
      <w:pPr>
        <w:pStyle w:val="Text"/>
        <w:ind w:firstLine="0"/>
      </w:pPr>
      <w:r>
        <w:t>Meinem Doktorvater Prof. Roland Posner danke ich für die Heranführung an die Semiotik und den Strukturalismus, für Förderung, Forderungen und Kritik, die mich weiterbrachten, für zahlreiche Anregungen und Korrekturen und nicht zuletzt für die Bereitschaft, ein schwieriges Promotionsprojekt bedingungslos zu unterstützen. Die Inspiration durch seine wissenschaftlichen Arbeiten, die tie</w:t>
      </w:r>
      <w:r>
        <w:t>f</w:t>
      </w:r>
      <w:r>
        <w:t>gehende analytische Durchdringung des Problems mit dem Anspruch empir</w:t>
      </w:r>
      <w:r>
        <w:t>i</w:t>
      </w:r>
      <w:r>
        <w:t>scher Genauigkeit verbinden, hat diese Arbeit erst möglich gemacht.</w:t>
      </w:r>
    </w:p>
    <w:p w:rsidR="00A96C9B" w:rsidRDefault="00A96C9B" w:rsidP="00A96C9B">
      <w:pPr>
        <w:pStyle w:val="Text"/>
      </w:pPr>
      <w:r>
        <w:t>Prof. Ernest W.B. Hess-Lüttich danke ich für die Bereitschaft, die Betre</w:t>
      </w:r>
      <w:r>
        <w:t>u</w:t>
      </w:r>
      <w:r>
        <w:t>ung als Zweitgutachter trotz der örtlichen Distanz zu übernehmen und sich der Belastung durch den großen Umfang der Arbeit und den gegen Ende sehr engen Zeitplan auszusetzen, sowie für Hilfe und Anregungen.</w:t>
      </w:r>
    </w:p>
    <w:p w:rsidR="00A96C9B" w:rsidRDefault="00A96C9B" w:rsidP="00A96C9B">
      <w:pPr>
        <w:pStyle w:val="Text"/>
      </w:pPr>
      <w:r>
        <w:t>Dirk Siefkes stand mir bei Aspekten der logischen Grundlegung zur Seite, Christian Siefkes bei der Überprüfung und Verbesserung der Algorithmen sowie vielen technischen und inhaltlichen Fragen, wovon insbesondere die Darstellung des Modells, die Beispielabschnitte und die Begrifflichkeit profitierten. Mit be</w:t>
      </w:r>
      <w:r>
        <w:t>i</w:t>
      </w:r>
      <w:r>
        <w:t>den führte ich lange Gespräche, die mich aus manchen Schwierigkeiten befreiten</w:t>
      </w:r>
      <w:r w:rsidR="001A6B7C">
        <w:rPr>
          <w:rStyle w:val="Funotenzeichen"/>
        </w:rPr>
        <w:footnoteReference w:id="1"/>
      </w:r>
      <w:r>
        <w:t xml:space="preserve"> und die den Fortgang der Arbeit katalysierten.</w:t>
      </w:r>
    </w:p>
    <w:p w:rsidR="003E7BF9" w:rsidRDefault="00A96C9B" w:rsidP="007A613D">
      <w:r>
        <w:t>Diese Arbeit wurde durch ein Promotionsstipendium der Studienstiftung des deutschen Volkes ermöglicht.</w:t>
      </w:r>
    </w:p>
    <w:p w:rsidR="003E7BF9" w:rsidRDefault="003E7BF9">
      <w:pPr>
        <w:tabs>
          <w:tab w:val="clear" w:pos="397"/>
          <w:tab w:val="clear" w:pos="567"/>
          <w:tab w:val="clear" w:pos="851"/>
          <w:tab w:val="clear" w:pos="1134"/>
          <w:tab w:val="clear" w:pos="1418"/>
        </w:tabs>
        <w:ind w:firstLine="0"/>
        <w:jc w:val="left"/>
      </w:pPr>
      <w:r>
        <w:br w:type="page"/>
      </w:r>
    </w:p>
    <w:p w:rsidR="00CE2500" w:rsidRDefault="00CE2500" w:rsidP="007A613D">
      <w:r>
        <w:lastRenderedPageBreak/>
        <w:br w:type="page"/>
      </w:r>
    </w:p>
    <w:p w:rsidR="00EC5531" w:rsidRDefault="00EC5531" w:rsidP="00A96C9B">
      <w:pPr>
        <w:sectPr w:rsidR="00EC5531" w:rsidSect="00CE2500">
          <w:headerReference w:type="even" r:id="rId15"/>
          <w:headerReference w:type="default" r:id="rId16"/>
          <w:headerReference w:type="first" r:id="rId17"/>
          <w:type w:val="continuous"/>
          <w:pgSz w:w="8789" w:h="13325" w:code="9"/>
          <w:pgMar w:top="1134" w:right="851" w:bottom="1418" w:left="1134" w:header="567" w:footer="680" w:gutter="0"/>
          <w:cols w:space="720"/>
          <w:titlePg/>
          <w:docGrid w:linePitch="360"/>
        </w:sectPr>
      </w:pPr>
    </w:p>
    <w:p w:rsidR="00D2554C" w:rsidRDefault="00D2554C" w:rsidP="00B255F7">
      <w:pPr>
        <w:pStyle w:val="TitelohneNummer"/>
      </w:pPr>
      <w:bookmarkStart w:id="6" w:name="_Toc325456689"/>
      <w:r w:rsidRPr="00B255F7">
        <w:lastRenderedPageBreak/>
        <w:t>Einleitung</w:t>
      </w:r>
      <w:bookmarkEnd w:id="6"/>
    </w:p>
    <w:p w:rsidR="003434B1" w:rsidRDefault="00C06F76" w:rsidP="00F34A13">
      <w:pPr>
        <w:pStyle w:val="Text"/>
        <w:ind w:firstLine="0"/>
      </w:pPr>
      <w:r>
        <w:t xml:space="preserve">Stil ist oft als ein Prozess </w:t>
      </w:r>
      <w:r w:rsidR="00407D99">
        <w:t>aufgefasst</w:t>
      </w:r>
      <w:r w:rsidR="00891999">
        <w:t xml:space="preserve"> </w:t>
      </w:r>
      <w:r>
        <w:t xml:space="preserve">worden, in dem Information </w:t>
      </w:r>
      <w:r w:rsidR="00561771">
        <w:t xml:space="preserve">übermittelt </w:t>
      </w:r>
      <w:r w:rsidR="00DB75CD">
        <w:t>wird:</w:t>
      </w:r>
      <w:r w:rsidR="00443224">
        <w:rPr>
          <w:rStyle w:val="Funotenzeichen"/>
        </w:rPr>
        <w:footnoteReference w:id="2"/>
      </w:r>
      <w:r w:rsidR="00DB75CD">
        <w:t xml:space="preserve"> </w:t>
      </w:r>
      <w:bookmarkStart w:id="7" w:name="_Ref260912397"/>
      <w:r w:rsidR="00DB75CD">
        <w:t xml:space="preserve">Wird </w:t>
      </w:r>
      <w:r w:rsidR="005B40EE">
        <w:t xml:space="preserve">ein Stil </w:t>
      </w:r>
      <w:r w:rsidR="00DB75CD">
        <w:t xml:space="preserve">von </w:t>
      </w:r>
      <w:r w:rsidR="00443224">
        <w:t xml:space="preserve">einer Person </w:t>
      </w:r>
      <w:r w:rsidR="00512B24">
        <w:t>angewendet</w:t>
      </w:r>
      <w:r w:rsidR="00CE42A8">
        <w:t xml:space="preserve"> </w:t>
      </w:r>
      <w:r w:rsidR="005B40EE">
        <w:t>und von einer anderen wahrg</w:t>
      </w:r>
      <w:r w:rsidR="005B40EE">
        <w:t>e</w:t>
      </w:r>
      <w:r w:rsidR="005B40EE">
        <w:t>nommen, so erfährt die zweite oft etwas</w:t>
      </w:r>
      <w:r w:rsidR="000A1132">
        <w:t>, das ihr die erste absichtlich oder una</w:t>
      </w:r>
      <w:r w:rsidR="000A1132">
        <w:t>b</w:t>
      </w:r>
      <w:r w:rsidR="000A1132">
        <w:t>sichtlich über sich selbst oder den Kontext der Anwendungssituation mitteilt.</w:t>
      </w:r>
      <w:bookmarkEnd w:id="7"/>
      <w:r w:rsidR="000A1132">
        <w:t xml:space="preserve"> </w:t>
      </w:r>
      <w:r>
        <w:t xml:space="preserve">In semiotischer Begrifflichkeit handelt es sich dabei um einen </w:t>
      </w:r>
      <w:r w:rsidRPr="00954018">
        <w:rPr>
          <w:i/>
        </w:rPr>
        <w:t>Zeichenprozess</w:t>
      </w:r>
      <w:r>
        <w:t>. Die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hat verschiedene Typen von Zeichen und Zei</w:t>
      </w:r>
      <w:r w:rsidR="00DB75CD">
        <w:t>chenprozessen beschri</w:t>
      </w:r>
      <w:r w:rsidR="00DB75CD">
        <w:t>e</w:t>
      </w:r>
      <w:r w:rsidR="00DB75CD">
        <w:t>ben.</w:t>
      </w:r>
      <w:r>
        <w:t xml:space="preserve"> Viele der für Men</w:t>
      </w:r>
      <w:r w:rsidR="003500DE">
        <w:t>schen wichtigen Zeichenprozesse</w:t>
      </w:r>
      <w:r>
        <w:t xml:space="preserve"> basieren auf Zeichensy</w:t>
      </w:r>
      <w:r>
        <w:t>s</w:t>
      </w:r>
      <w:r>
        <w:t>temen (die auch Kodes genannt werden)</w:t>
      </w:r>
      <w:bookmarkStart w:id="8" w:name="_Ref273132390"/>
      <w:r w:rsidR="00DB75CD">
        <w:t>,</w:t>
      </w:r>
      <w:bookmarkStart w:id="9" w:name="_Ref273622606"/>
      <w:r>
        <w:rPr>
          <w:rStyle w:val="Funotenzeichen"/>
        </w:rPr>
        <w:footnoteReference w:id="3"/>
      </w:r>
      <w:bookmarkEnd w:id="8"/>
      <w:bookmarkEnd w:id="9"/>
      <w:r>
        <w:t xml:space="preserve"> </w:t>
      </w:r>
      <w:r w:rsidR="00DB75CD">
        <w:t>a</w:t>
      </w:r>
      <w:r>
        <w:t>ber es gibt auch zahlreiche nicht-kodierte Arten von Zeichen und Zeichenprozessen.</w:t>
      </w:r>
      <w:r>
        <w:rPr>
          <w:rStyle w:val="Funotenzeichen"/>
        </w:rPr>
        <w:footnoteReference w:id="4"/>
      </w:r>
    </w:p>
    <w:p w:rsidR="00AB085C" w:rsidRDefault="003434B1">
      <w:pPr>
        <w:pStyle w:val="Text"/>
      </w:pPr>
      <w:r>
        <w:t>Gibt</w:t>
      </w:r>
      <w:r w:rsidR="00891999">
        <w:t xml:space="preserve"> es auch für Stil ein Zeichensystem</w:t>
      </w:r>
      <w:r w:rsidR="005D7996">
        <w:fldChar w:fldCharType="begin"/>
      </w:r>
      <w:r w:rsidR="009E4AC6">
        <w:instrText xml:space="preserve"> XE "</w:instrText>
      </w:r>
      <w:r w:rsidR="009E4AC6" w:rsidRPr="00D42FA3">
        <w:instrText>Zeichensystem</w:instrText>
      </w:r>
      <w:r w:rsidR="009E4AC6">
        <w:instrText xml:space="preserve">" </w:instrText>
      </w:r>
      <w:r w:rsidR="005D7996">
        <w:fldChar w:fldCharType="end"/>
      </w:r>
      <w:r w:rsidR="00891999">
        <w:t>, das ihn regelt?</w:t>
      </w:r>
      <w:r w:rsidR="004E1557">
        <w:t xml:space="preserve"> Manchmal kann es so erscheinen,</w:t>
      </w:r>
      <w:r>
        <w:t xml:space="preserve"> etwa wenn wir ein Gebäude sehen und dieses aufgrund bestim</w:t>
      </w:r>
      <w:r>
        <w:t>m</w:t>
      </w:r>
      <w:r>
        <w:t>ter Merkmale der Epoche</w:t>
      </w:r>
      <w:r w:rsidR="005D7996">
        <w:fldChar w:fldCharType="begin"/>
      </w:r>
      <w:r w:rsidR="009E4AC6">
        <w:instrText xml:space="preserve"> XE "</w:instrText>
      </w:r>
      <w:r w:rsidR="009E4AC6" w:rsidRPr="00D42FA3">
        <w:instrText>Epoche</w:instrText>
      </w:r>
      <w:r w:rsidR="009E4AC6">
        <w:instrText xml:space="preserve">" </w:instrText>
      </w:r>
      <w:r w:rsidR="005D7996">
        <w:fldChar w:fldCharType="end"/>
      </w:r>
      <w:r>
        <w:t xml:space="preserve"> „Klassizismus“ zuweisen. Die Zuordnungen der Merkmale zu Epochen können wir hier in einem Kunstführer</w:t>
      </w:r>
      <w:r w:rsidR="005D7996">
        <w:fldChar w:fldCharType="begin"/>
      </w:r>
      <w:r w:rsidR="009E4AC6">
        <w:instrText xml:space="preserve"> XE "</w:instrText>
      </w:r>
      <w:r w:rsidR="009E4AC6" w:rsidRPr="00D42FA3">
        <w:instrText>Kunstführer</w:instrText>
      </w:r>
      <w:r w:rsidR="009E4AC6">
        <w:instrText xml:space="preserve">" </w:instrText>
      </w:r>
      <w:r w:rsidR="005D7996">
        <w:fldChar w:fldCharType="end"/>
      </w:r>
      <w:r>
        <w:t xml:space="preserve"> nachschlagen. A</w:t>
      </w:r>
      <w:r>
        <w:t>l</w:t>
      </w:r>
      <w:r>
        <w:t xml:space="preserve">lerdings </w:t>
      </w:r>
      <w:r w:rsidR="008313C0">
        <w:t xml:space="preserve">enthalten </w:t>
      </w:r>
      <w:r>
        <w:t>Zeichensysteme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t xml:space="preserve"> </w:t>
      </w:r>
      <w:r w:rsidR="008313C0">
        <w:t xml:space="preserve">arbiträre Zuordnungen, die durch </w:t>
      </w:r>
      <w:r w:rsidR="00507BC0">
        <w:t xml:space="preserve">allmähliche </w:t>
      </w:r>
      <w:r w:rsidR="008313C0">
        <w:t>Konventionalisierung</w:t>
      </w:r>
      <w:r w:rsidR="005D7996">
        <w:fldChar w:fldCharType="begin"/>
      </w:r>
      <w:r w:rsidR="00062FBE">
        <w:instrText xml:space="preserve"> XE "</w:instrText>
      </w:r>
      <w:r w:rsidR="00062FBE" w:rsidRPr="000F416A">
        <w:instrText>Konventionalisierung</w:instrText>
      </w:r>
      <w:r w:rsidR="00062FBE">
        <w:instrText xml:space="preserve">" </w:instrText>
      </w:r>
      <w:r w:rsidR="005D7996">
        <w:fldChar w:fldCharType="end"/>
      </w:r>
      <w:r w:rsidR="008313C0">
        <w:t xml:space="preserve"> (bei natürlichen Sprachen), Einführung per Beschluss (beim Morsekode oder bei Verkehrszeichensystemen) oder durch die Evolution (beim genetischen Kode</w:t>
      </w:r>
      <w:r w:rsidR="005D7996">
        <w:fldChar w:fldCharType="begin"/>
      </w:r>
      <w:r w:rsidR="00B2444A">
        <w:instrText xml:space="preserve"> XE "</w:instrText>
      </w:r>
      <w:r w:rsidR="00B2444A" w:rsidRPr="00843AC3">
        <w:instrText>Kode</w:instrText>
      </w:r>
      <w:r w:rsidR="00B2444A">
        <w:instrText xml:space="preserve">" </w:instrText>
      </w:r>
      <w:r w:rsidR="005D7996">
        <w:fldChar w:fldCharType="end"/>
      </w:r>
      <w:r w:rsidR="008313C0">
        <w:t xml:space="preserve">) festgelegt </w:t>
      </w:r>
      <w:r w:rsidR="001A13AC">
        <w:t>sein können und für die Verwendung des Zeichensystems Voraussetzung sind.</w:t>
      </w:r>
      <w:r w:rsidR="008313C0">
        <w:t xml:space="preserve"> </w:t>
      </w:r>
      <w:r w:rsidR="001A13AC">
        <w:t>Mit Stilen kann man jedoch auch ohne Kenntnis solcher arbiträren Zuordnungen umgehen: D</w:t>
      </w:r>
      <w:r>
        <w:t>ie Merkmale am Gebäude verweisen nicht nur auf den konventionell durch die Kunstgeschichte</w:t>
      </w:r>
      <w:r w:rsidR="005D7996">
        <w:fldChar w:fldCharType="begin"/>
      </w:r>
      <w:r w:rsidR="00866F93">
        <w:instrText xml:space="preserve"> XE "</w:instrText>
      </w:r>
      <w:r w:rsidR="00866F93" w:rsidRPr="000853B0">
        <w:instrText>Kunstgeschichte</w:instrText>
      </w:r>
      <w:r w:rsidR="00866F93">
        <w:instrText xml:space="preserve">" </w:instrText>
      </w:r>
      <w:r w:rsidR="005D7996">
        <w:fldChar w:fldCharType="end"/>
      </w:r>
      <w:r>
        <w:t xml:space="preserve"> zugeor</w:t>
      </w:r>
      <w:r>
        <w:t>d</w:t>
      </w:r>
      <w:r>
        <w:t xml:space="preserve">neten Namen „Klassizismus“, sondern </w:t>
      </w:r>
      <w:r w:rsidR="00407D99">
        <w:t>enthalten</w:t>
      </w:r>
      <w:r w:rsidR="00775D2F">
        <w:t xml:space="preserve"> auch eine Reihe </w:t>
      </w:r>
      <w:r w:rsidR="00AB085C">
        <w:t>von</w:t>
      </w:r>
      <w:r w:rsidR="00407D99">
        <w:t xml:space="preserve"> Informat</w:t>
      </w:r>
      <w:r w:rsidR="00407D99">
        <w:t>i</w:t>
      </w:r>
      <w:r w:rsidR="00407D99">
        <w:t xml:space="preserve">onen </w:t>
      </w:r>
      <w:r w:rsidR="00775D2F">
        <w:t>über Entstehungszeit, mögliche Erbauer</w:t>
      </w:r>
      <w:r w:rsidR="00407D99">
        <w:t>, technische Mittel der Zeit, gesel</w:t>
      </w:r>
      <w:r w:rsidR="00407D99">
        <w:t>l</w:t>
      </w:r>
      <w:r w:rsidR="00407D99">
        <w:t>schaftliche A</w:t>
      </w:r>
      <w:r w:rsidR="004E1557">
        <w:t>nforderungen an die Architektur</w:t>
      </w:r>
      <w:r w:rsidR="00407D99">
        <w:t xml:space="preserve"> und vieles mehr</w:t>
      </w:r>
      <w:r w:rsidR="00775D2F">
        <w:t xml:space="preserve">. Dies wäre auch dann </w:t>
      </w:r>
      <w:r w:rsidR="003500DE">
        <w:t xml:space="preserve">der Fall, wenn die Kunstgeschichte nicht den Namen „Klassizismus“ </w:t>
      </w:r>
      <w:r w:rsidR="00775D2F">
        <w:t xml:space="preserve">für diesen Stil </w:t>
      </w:r>
      <w:r w:rsidR="003500DE">
        <w:t>vergeben hätte</w:t>
      </w:r>
      <w:r w:rsidR="00407D99">
        <w:t>, sondern einen anderen oder gar keinen Namen</w:t>
      </w:r>
      <w:r w:rsidR="003500DE">
        <w:t>.</w:t>
      </w:r>
    </w:p>
    <w:p w:rsidR="00891999" w:rsidRDefault="00AB085C">
      <w:pPr>
        <w:pStyle w:val="Text"/>
      </w:pPr>
      <w:r>
        <w:t xml:space="preserve">Der Name „Klassizismus“ ist hier also nicht das Entscheidende: </w:t>
      </w:r>
      <w:r w:rsidR="003500DE">
        <w:t xml:space="preserve">Auch ohne die konventionelle Benennung haben wir es mit einem </w:t>
      </w:r>
      <w:r w:rsidR="003434B1">
        <w:t xml:space="preserve">Zeichen </w:t>
      </w:r>
      <w:r w:rsidR="003500DE">
        <w:t>zu tun</w:t>
      </w:r>
      <w:r w:rsidR="006C154B">
        <w:t>,</w:t>
      </w:r>
      <w:r w:rsidR="003500DE">
        <w:t xml:space="preserve"> </w:t>
      </w:r>
      <w:r w:rsidR="0019420B">
        <w:t>d</w:t>
      </w:r>
      <w:r w:rsidR="003500DE">
        <w:t xml:space="preserve">er Name erleichtert nur den Zugriff auf </w:t>
      </w:r>
      <w:r w:rsidR="0019420B">
        <w:t xml:space="preserve">das Zeichen und die Informationen, die es enthält; </w:t>
      </w:r>
      <w:r w:rsidR="0019420B">
        <w:lastRenderedPageBreak/>
        <w:t xml:space="preserve">er </w:t>
      </w:r>
      <w:r w:rsidR="003500DE">
        <w:t>nimmt dafür Vereinfachungen in Kauf, durch die ein Teil des Informationsg</w:t>
      </w:r>
      <w:r w:rsidR="003500DE">
        <w:t>e</w:t>
      </w:r>
      <w:r w:rsidR="003500DE">
        <w:t>halts des Stils verloren geht.</w:t>
      </w:r>
    </w:p>
    <w:p w:rsidR="00FA62CA" w:rsidRDefault="003434B1">
      <w:pPr>
        <w:pStyle w:val="Text"/>
      </w:pPr>
      <w:r>
        <w:t>Stil</w:t>
      </w:r>
      <w:r w:rsidR="003500DE">
        <w:t>istische Zeichen</w:t>
      </w:r>
      <w:r>
        <w:t xml:space="preserve"> </w:t>
      </w:r>
      <w:r w:rsidR="003500DE">
        <w:t>beruhen also nicht auf einem Zeichensystem</w:t>
      </w:r>
      <w:r w:rsidR="0019420B">
        <w:t xml:space="preserve"> (Kode</w:t>
      </w:r>
      <w:r w:rsidR="005D7996">
        <w:fldChar w:fldCharType="begin"/>
      </w:r>
      <w:r w:rsidR="00B2444A">
        <w:instrText xml:space="preserve"> XE "</w:instrText>
      </w:r>
      <w:r w:rsidR="00B2444A" w:rsidRPr="00843AC3">
        <w:instrText>Kode</w:instrText>
      </w:r>
      <w:r w:rsidR="00B2444A">
        <w:instrText xml:space="preserve">" </w:instrText>
      </w:r>
      <w:r w:rsidR="005D7996">
        <w:fldChar w:fldCharType="end"/>
      </w:r>
      <w:r w:rsidR="0019420B">
        <w:t>)</w:t>
      </w:r>
      <w:r w:rsidR="00FA62CA">
        <w:t>.</w:t>
      </w:r>
      <w:r w:rsidR="00987347">
        <w:rPr>
          <w:rStyle w:val="Funotenzeichen"/>
        </w:rPr>
        <w:footnoteReference w:id="5"/>
      </w:r>
      <w:r w:rsidR="00FA62CA">
        <w:t xml:space="preserve"> Wenn wir</w:t>
      </w:r>
    </w:p>
    <w:p w:rsidR="000F49B5" w:rsidRDefault="000F49B5" w:rsidP="00F34A13">
      <w:pPr>
        <w:pStyle w:val="Text"/>
        <w:ind w:firstLine="0"/>
      </w:pPr>
      <w:r>
        <w:t>–</w:t>
      </w:r>
      <w:r>
        <w:tab/>
        <w:t>bei jemandem im Auto mitfahren und aus seinem riskanten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5D7996">
        <w:fldChar w:fldCharType="begin"/>
      </w:r>
      <w:r w:rsidR="005A77E4">
        <w:instrText xml:space="preserve"> XE "</w:instrText>
      </w:r>
      <w:r w:rsidR="005A77E4" w:rsidRPr="000B0118">
        <w:instrText>Fahrstil</w:instrText>
      </w:r>
      <w:r w:rsidR="005A77E4">
        <w:instrText xml:space="preserve">" </w:instrText>
      </w:r>
      <w:r w:rsidR="005D7996">
        <w:fldChar w:fldCharType="end"/>
      </w:r>
      <w:r>
        <w:t xml:space="preserve"> auf mangelnde Fahrerfahrung und/oder Egozentrik und ge</w:t>
      </w:r>
      <w:r w:rsidR="004E1557">
        <w:t>ringe Sozialkompetenz schließen,</w:t>
      </w:r>
    </w:p>
    <w:p w:rsidR="000F49B5" w:rsidRDefault="000F49B5" w:rsidP="00D461CD">
      <w:pPr>
        <w:pStyle w:val="Text"/>
        <w:ind w:firstLine="0"/>
      </w:pPr>
      <w:r>
        <w:t>–</w:t>
      </w:r>
      <w:r>
        <w:tab/>
        <w:t>jemanden gehen sehen und an seinem aufrechten und kontrollierten Gehstil</w:t>
      </w:r>
      <w:r w:rsidR="005D7996">
        <w:fldChar w:fldCharType="begin"/>
      </w:r>
      <w:r w:rsidR="005A77E4">
        <w:instrText xml:space="preserve"> XE "</w:instrText>
      </w:r>
      <w:r w:rsidR="005A77E4" w:rsidRPr="000B0118">
        <w:instrText>Gehstil</w:instrText>
      </w:r>
      <w:r w:rsidR="005A77E4">
        <w:instrText xml:space="preserve">" </w:instrText>
      </w:r>
      <w:r w:rsidR="005D7996">
        <w:fldChar w:fldCharType="end"/>
      </w:r>
      <w:r>
        <w:t xml:space="preserve"> erkennen, dass er/sie selbstbewusst ist und vermutlich durch Sport oder Tanz </w:t>
      </w:r>
      <w:r w:rsidR="004E1557">
        <w:t>das</w:t>
      </w:r>
      <w:r>
        <w:t xml:space="preserve"> Körperbewusstsein trainiert,</w:t>
      </w:r>
    </w:p>
    <w:p w:rsidR="00FA62CA" w:rsidRDefault="000F49B5" w:rsidP="00F34A13">
      <w:pPr>
        <w:pStyle w:val="Text"/>
        <w:ind w:firstLine="0"/>
      </w:pPr>
      <w:r>
        <w:t>–</w:t>
      </w:r>
      <w:r>
        <w:tab/>
        <w:t xml:space="preserve">einen Text lesen und feststellen, dass </w:t>
      </w:r>
      <w:r w:rsidR="004E1557">
        <w:t xml:space="preserve">die </w:t>
      </w:r>
      <w:r>
        <w:t>Autor</w:t>
      </w:r>
      <w:r w:rsidR="004E1557">
        <w:t>in</w:t>
      </w:r>
      <w:r>
        <w:t xml:space="preserve"> umständliche Formuli</w:t>
      </w:r>
      <w:r>
        <w:t>e</w:t>
      </w:r>
      <w:r>
        <w:t xml:space="preserve">rungen und altmodische </w:t>
      </w:r>
      <w:r w:rsidR="003C6747">
        <w:t xml:space="preserve">Wörter </w:t>
      </w:r>
      <w:r>
        <w:t xml:space="preserve">verwendet, und daraus auf </w:t>
      </w:r>
      <w:r w:rsidR="00C77382">
        <w:t>ihr Alter, ihre</w:t>
      </w:r>
      <w:r w:rsidR="004E1557">
        <w:t xml:space="preserve"> </w:t>
      </w:r>
      <w:r>
        <w:t xml:space="preserve">soziale Herkunft und/oder </w:t>
      </w:r>
      <w:r w:rsidR="004E1557">
        <w:t xml:space="preserve">ihre </w:t>
      </w:r>
      <w:r>
        <w:t>Persönlichkeit und Weltsicht schließen</w:t>
      </w:r>
      <w:r w:rsidR="004E1557">
        <w:t>,</w:t>
      </w:r>
    </w:p>
    <w:p w:rsidR="00761175" w:rsidRDefault="00C35D43">
      <w:pPr>
        <w:pStyle w:val="Text"/>
      </w:pPr>
      <w:r>
        <w:t>dann haben wir in all diesen Fällen die gewonnene Information nicht durch eine Zuordnung von Zeichenträger zu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t xml:space="preserve"> </w:t>
      </w:r>
      <w:r w:rsidR="00FA62CA">
        <w:t>(Signifikant</w:t>
      </w:r>
      <w:r w:rsidR="005D7996">
        <w:fldChar w:fldCharType="begin"/>
      </w:r>
      <w:r w:rsidR="00ED08E6">
        <w:instrText xml:space="preserve"> XE "</w:instrText>
      </w:r>
      <w:r w:rsidR="00ED08E6" w:rsidRPr="00085C14">
        <w:instrText>Signifikant</w:instrText>
      </w:r>
      <w:r w:rsidR="00ED08E6">
        <w:instrText xml:space="preserve">" </w:instrText>
      </w:r>
      <w:r w:rsidR="005D7996">
        <w:fldChar w:fldCharType="end"/>
      </w:r>
      <w:r w:rsidR="00FA62CA">
        <w:t xml:space="preserve"> zu Signifikat</w:t>
      </w:r>
      <w:r w:rsidR="005D7996">
        <w:fldChar w:fldCharType="begin"/>
      </w:r>
      <w:r w:rsidR="00ED08E6">
        <w:instrText xml:space="preserve"> XE "</w:instrText>
      </w:r>
      <w:r w:rsidR="00ED08E6" w:rsidRPr="00085C14">
        <w:instrText>Signifikat</w:instrText>
      </w:r>
      <w:r w:rsidR="00ED08E6">
        <w:instrText xml:space="preserve">" </w:instrText>
      </w:r>
      <w:r w:rsidR="005D7996">
        <w:fldChar w:fldCharType="end"/>
      </w:r>
      <w:r w:rsidR="00FA62CA">
        <w:t xml:space="preserve">) </w:t>
      </w:r>
      <w:r>
        <w:t xml:space="preserve">erlangt, wie sie </w:t>
      </w:r>
      <w:r w:rsidR="00761175">
        <w:t>bei kodierten Zeichen vorliegt.</w:t>
      </w:r>
    </w:p>
    <w:p w:rsidR="008C6BDA" w:rsidRDefault="00761175" w:rsidP="008C6BDA">
      <w:pPr>
        <w:pStyle w:val="Text"/>
      </w:pPr>
      <w:r>
        <w:t xml:space="preserve">Tatsächlich ist es alles andere als offensichtlich, woher die Information, die Stile enthalten, kommt. </w:t>
      </w:r>
      <w:r w:rsidR="00EB2DA2">
        <w:t xml:space="preserve">In den betrachteten Beispielen haben wir es </w:t>
      </w:r>
      <w:r>
        <w:t xml:space="preserve">mit einem Gebäude, </w:t>
      </w:r>
      <w:r w:rsidR="001F0B81">
        <w:t>einem</w:t>
      </w:r>
      <w:r w:rsidR="000F49B5">
        <w:t xml:space="preserve"> </w:t>
      </w:r>
      <w:r w:rsidR="001F0B81">
        <w:t>Gehen</w:t>
      </w:r>
      <w:r w:rsidR="000F49B5">
        <w:t>, einer Autofahrt und einem Text</w:t>
      </w:r>
      <w:r>
        <w:t xml:space="preserve"> zu tun; wo an ihnen befindet sich die von uns so mühelos extrahierte stilistische Information? </w:t>
      </w:r>
      <w:r w:rsidR="005A0115">
        <w:t xml:space="preserve">Wie kommt es überhaupt dazu, dass sich in solchen Einheiten Information befindet? Und wie bekommen wir sie </w:t>
      </w:r>
      <w:r w:rsidR="00EB2DA2">
        <w:t xml:space="preserve">aus ihnen </w:t>
      </w:r>
      <w:r w:rsidR="005A0115">
        <w:t xml:space="preserve">heraus? Dies sind die Fragen, denen sich die vorliegende Arbeit </w:t>
      </w:r>
      <w:r w:rsidR="00CC4482">
        <w:t>widmet</w:t>
      </w:r>
      <w:r w:rsidR="005A0115">
        <w:t>.</w:t>
      </w:r>
    </w:p>
    <w:p w:rsidR="00771391" w:rsidRDefault="007225D7" w:rsidP="008C6BDA">
      <w:pPr>
        <w:pStyle w:val="Text"/>
      </w:pPr>
      <w:r>
        <w:t>Bisherige Stiltheorien waren meist bereichsspezifisch</w:t>
      </w:r>
      <w:r w:rsidR="005D7996">
        <w:fldChar w:fldCharType="begin"/>
      </w:r>
      <w:r w:rsidR="00FE52CB">
        <w:instrText xml:space="preserve"> XE "</w:instrText>
      </w:r>
      <w:r w:rsidR="00FE52CB" w:rsidRPr="00163FBE">
        <w:instrText>bereichsspezifische Stiltheorien</w:instrText>
      </w:r>
      <w:r w:rsidR="00FE52CB">
        <w:instrText xml:space="preserve">" </w:instrText>
      </w:r>
      <w:r w:rsidR="005D7996">
        <w:fldChar w:fldCharType="end"/>
      </w:r>
      <w:r>
        <w:t>.</w:t>
      </w:r>
      <w:r>
        <w:rPr>
          <w:rStyle w:val="Funotenzeichen"/>
        </w:rPr>
        <w:footnoteReference w:id="6"/>
      </w:r>
      <w:r>
        <w:t xml:space="preserve"> </w:t>
      </w:r>
      <w:r w:rsidR="00771391">
        <w:t xml:space="preserve">Diese </w:t>
      </w:r>
      <w:r w:rsidR="00475BF2">
        <w:t xml:space="preserve">Arbeit </w:t>
      </w:r>
      <w:r w:rsidR="00771391">
        <w:t xml:space="preserve">wählt einen anderen Ansatz: Sie beschreibt </w:t>
      </w:r>
      <w:r>
        <w:t>Stil</w:t>
      </w:r>
      <w:r w:rsidR="005D7996">
        <w:fldChar w:fldCharType="begin"/>
      </w:r>
      <w:r w:rsidR="005A77E4">
        <w:instrText xml:space="preserve"> XE "</w:instrText>
      </w:r>
      <w:r w:rsidR="005A77E4" w:rsidRPr="002D4E66">
        <w:instrText>Stil:als Zeichenprozesstyp</w:instrText>
      </w:r>
      <w:r w:rsidR="005A77E4">
        <w:instrText xml:space="preserve">" </w:instrText>
      </w:r>
      <w:r w:rsidR="005D7996">
        <w:fldChar w:fldCharType="end"/>
      </w:r>
      <w:r>
        <w:t xml:space="preserve"> </w:t>
      </w:r>
      <w:r w:rsidR="00A47748">
        <w:t>auf einer grundlegenden Ebene, nä</w:t>
      </w:r>
      <w:r w:rsidR="00A47748">
        <w:t>m</w:t>
      </w:r>
      <w:r w:rsidR="00A47748">
        <w:t xml:space="preserve">lich </w:t>
      </w:r>
      <w:r w:rsidR="00475BF2">
        <w:t xml:space="preserve">als </w:t>
      </w:r>
      <w:r>
        <w:t>eine</w:t>
      </w:r>
      <w:r w:rsidR="00512E4D">
        <w:t>n</w:t>
      </w:r>
      <w:r>
        <w:t xml:space="preserve"> </w:t>
      </w:r>
      <w:r w:rsidR="00512E4D">
        <w:t xml:space="preserve">bestimmten </w:t>
      </w:r>
      <w:r>
        <w:t>Zeichen</w:t>
      </w:r>
      <w:r w:rsidR="00E54E10">
        <w:t>prozess</w:t>
      </w:r>
      <w:r w:rsidR="00512E4D">
        <w:t>typ</w:t>
      </w:r>
      <w:r w:rsidR="00F54761">
        <w:t>,</w:t>
      </w:r>
      <w:r w:rsidR="00216562">
        <w:t xml:space="preserve"> </w:t>
      </w:r>
      <w:r w:rsidR="00512E4D">
        <w:t xml:space="preserve">der </w:t>
      </w:r>
      <w:r w:rsidR="00216562">
        <w:t xml:space="preserve">als </w:t>
      </w:r>
      <w:r w:rsidR="00512E4D">
        <w:t>Prozess der Zeichenpr</w:t>
      </w:r>
      <w:r w:rsidR="00512E4D">
        <w:t>o</w:t>
      </w:r>
      <w:r w:rsidR="00512E4D">
        <w:t>duktion</w:t>
      </w:r>
      <w:r w:rsidR="005D7996">
        <w:fldChar w:fldCharType="begin"/>
      </w:r>
      <w:r w:rsidR="00616C82">
        <w:instrText xml:space="preserve"> XE "</w:instrText>
      </w:r>
      <w:r w:rsidR="00616C82" w:rsidRPr="00B3651B">
        <w:instrText>Zeichenproduktion</w:instrText>
      </w:r>
      <w:r w:rsidR="00616C82">
        <w:instrText xml:space="preserve">" </w:instrText>
      </w:r>
      <w:r w:rsidR="005D7996">
        <w:fldChar w:fldCharType="end"/>
      </w:r>
      <w:r w:rsidR="00512E4D">
        <w:t xml:space="preserve"> und der Zeichenrezeption</w:t>
      </w:r>
      <w:r w:rsidR="005D7996">
        <w:fldChar w:fldCharType="begin"/>
      </w:r>
      <w:r w:rsidR="00616C82">
        <w:instrText xml:space="preserve"> XE "</w:instrText>
      </w:r>
      <w:r w:rsidR="00616C82" w:rsidRPr="00B3651B">
        <w:instrText>Zeichenrezeption</w:instrText>
      </w:r>
      <w:r w:rsidR="00616C82">
        <w:instrText xml:space="preserve">" </w:instrText>
      </w:r>
      <w:r w:rsidR="005D7996">
        <w:fldChar w:fldCharType="end"/>
      </w:r>
      <w:r w:rsidR="00512E4D">
        <w:t xml:space="preserve"> ablaufen </w:t>
      </w:r>
      <w:r w:rsidR="00216562">
        <w:t xml:space="preserve">kann und </w:t>
      </w:r>
      <w:r w:rsidR="00512E4D">
        <w:t xml:space="preserve">der </w:t>
      </w:r>
      <w:r w:rsidR="00E54E10">
        <w:t xml:space="preserve">sich </w:t>
      </w:r>
      <w:r w:rsidR="00F54761">
        <w:t>von anderen Ze</w:t>
      </w:r>
      <w:r w:rsidR="00F54761">
        <w:t>i</w:t>
      </w:r>
      <w:r w:rsidR="00F54761">
        <w:t>chen</w:t>
      </w:r>
      <w:r w:rsidR="00512E4D">
        <w:t>prozesstypen</w:t>
      </w:r>
      <w:r w:rsidR="00F54761">
        <w:t xml:space="preserve"> </w:t>
      </w:r>
      <w:r w:rsidR="00E54E10">
        <w:t xml:space="preserve">in </w:t>
      </w:r>
      <w:r w:rsidR="00512E4D">
        <w:t xml:space="preserve">seiner </w:t>
      </w:r>
      <w:r w:rsidR="00F54761">
        <w:t xml:space="preserve">Funktionsweise </w:t>
      </w:r>
      <w:r w:rsidR="00E54E10">
        <w:t>unterscheidet</w:t>
      </w:r>
      <w:r w:rsidR="00771391">
        <w:t xml:space="preserve">. </w:t>
      </w:r>
      <w:r w:rsidR="00245866">
        <w:t xml:space="preserve">Daher kann eine </w:t>
      </w:r>
      <w:r w:rsidR="00771391">
        <w:t>al</w:t>
      </w:r>
      <w:r w:rsidR="00771391">
        <w:t>l</w:t>
      </w:r>
      <w:r w:rsidR="00771391">
        <w:t>gemeine Darstellung stilistische</w:t>
      </w:r>
      <w:r w:rsidR="003878D4">
        <w:t xml:space="preserve">r </w:t>
      </w:r>
      <w:r w:rsidR="00771391">
        <w:t>Zeichenprozesse dazu</w:t>
      </w:r>
      <w:r w:rsidR="00245866">
        <w:t xml:space="preserve"> verwendet werden</w:t>
      </w:r>
      <w:r w:rsidR="00771391">
        <w:t xml:space="preserve">, Stil </w:t>
      </w:r>
      <w:r w:rsidR="00F54761">
        <w:t xml:space="preserve">auf einer grundlegenden Ebene </w:t>
      </w:r>
      <w:r w:rsidR="00245866">
        <w:t>zu modellieren. Eine verbale Definition kann dann auf der Grundlage dieser Modellierung erfolgen</w:t>
      </w:r>
      <w:r w:rsidR="002322E1">
        <w:t>.</w:t>
      </w:r>
      <w:r w:rsidR="00757C71">
        <w:rPr>
          <w:rStyle w:val="Funotenzeichen"/>
        </w:rPr>
        <w:footnoteReference w:id="7"/>
      </w:r>
    </w:p>
    <w:p w:rsidR="007F77E7" w:rsidRDefault="00A47748" w:rsidP="00527F23">
      <w:pPr>
        <w:pStyle w:val="Text"/>
        <w:sectPr w:rsidR="007F77E7" w:rsidSect="00EC5531">
          <w:headerReference w:type="even" r:id="rId18"/>
          <w:headerReference w:type="default" r:id="rId19"/>
          <w:headerReference w:type="first" r:id="rId20"/>
          <w:type w:val="continuous"/>
          <w:pgSz w:w="8789" w:h="13325" w:code="9"/>
          <w:pgMar w:top="1134" w:right="851" w:bottom="1418" w:left="1134" w:header="567" w:footer="680" w:gutter="0"/>
          <w:cols w:space="720"/>
          <w:titlePg/>
          <w:docGrid w:linePitch="360"/>
        </w:sectPr>
      </w:pPr>
      <w:r>
        <w:lastRenderedPageBreak/>
        <w:t>Damit kann das hier vorgestellte Stilmodell, zusammen mit den dazu geg</w:t>
      </w:r>
      <w:r>
        <w:t>e</w:t>
      </w:r>
      <w:r>
        <w:t>benen Erläuterungen</w:t>
      </w:r>
      <w:r w:rsidR="00F54761">
        <w:t>,</w:t>
      </w:r>
      <w:r>
        <w:rPr>
          <w:rStyle w:val="Funotenzeichen"/>
        </w:rPr>
        <w:footnoteReference w:id="8"/>
      </w:r>
      <w:r w:rsidR="00F54761">
        <w:t xml:space="preserve"> als allgemeine Stiltheorie betrachtet werden.</w:t>
      </w:r>
      <w:r w:rsidR="00C92B64">
        <w:rPr>
          <w:rStyle w:val="Funotenzeichen"/>
        </w:rPr>
        <w:footnoteReference w:id="9"/>
      </w:r>
      <w:r w:rsidR="00F54761">
        <w:t xml:space="preserve"> Es ist alle</w:t>
      </w:r>
      <w:r w:rsidR="00F54761">
        <w:t>r</w:t>
      </w:r>
      <w:r w:rsidR="00F54761">
        <w:t>dings zu beachten, dass dadurch bereichsspezifische Stiltheorien</w:t>
      </w:r>
      <w:r w:rsidR="005D7996">
        <w:fldChar w:fldCharType="begin"/>
      </w:r>
      <w:r w:rsidR="00616C82">
        <w:instrText xml:space="preserve"> XE "</w:instrText>
      </w:r>
      <w:r w:rsidR="00616C82" w:rsidRPr="000E2EAC">
        <w:instrText>bereichsspezifische Stiltheorien</w:instrText>
      </w:r>
      <w:r w:rsidR="00616C82">
        <w:instrText xml:space="preserve">" </w:instrText>
      </w:r>
      <w:r w:rsidR="005D7996">
        <w:fldChar w:fldCharType="end"/>
      </w:r>
      <w:r w:rsidR="00F54761">
        <w:t xml:space="preserve"> nicht ersetzt werden, sondern nur eine allgemeine Grundlage geschaffen wird.</w:t>
      </w:r>
      <w:bookmarkStart w:id="10" w:name="_Ref267837366"/>
      <w:r w:rsidR="00B55E6A">
        <w:rPr>
          <w:rStyle w:val="Funotenzeichen"/>
        </w:rPr>
        <w:footnoteReference w:id="10"/>
      </w:r>
      <w:bookmarkEnd w:id="10"/>
      <w:r w:rsidR="00F54761">
        <w:t xml:space="preserve"> </w:t>
      </w:r>
      <w:r w:rsidR="00245866">
        <w:t>Das Modell dient dazu</w:t>
      </w:r>
      <w:r w:rsidR="00F54761">
        <w:t xml:space="preserve">, </w:t>
      </w:r>
      <w:r w:rsidR="00245866">
        <w:t>stilistische Zeichenprozess</w:t>
      </w:r>
      <w:r w:rsidR="00616C82">
        <w:t>e</w:t>
      </w:r>
      <w:r w:rsidR="00245866">
        <w:t xml:space="preserve"> allgemein zu beschreiben und dadurch auch </w:t>
      </w:r>
      <w:r w:rsidR="00F54761">
        <w:t xml:space="preserve">stilistische Phänomene von nicht-stilistischen abzugrenzen. </w:t>
      </w:r>
      <w:r w:rsidR="00544DA4">
        <w:t xml:space="preserve">Um eine </w:t>
      </w:r>
      <w:r w:rsidR="00FB2FF6">
        <w:t>koh</w:t>
      </w:r>
      <w:r w:rsidR="00FB2FF6">
        <w:t>ä</w:t>
      </w:r>
      <w:r w:rsidR="00FB2FF6">
        <w:t xml:space="preserve">rente </w:t>
      </w:r>
      <w:r w:rsidR="00544DA4">
        <w:t xml:space="preserve">Beschreibung </w:t>
      </w:r>
      <w:r w:rsidR="00503EBB">
        <w:t xml:space="preserve">der Funktionsweise </w:t>
      </w:r>
      <w:r w:rsidR="00544DA4">
        <w:t xml:space="preserve">von Stil </w:t>
      </w:r>
      <w:r w:rsidR="00503EBB">
        <w:t xml:space="preserve">in einem </w:t>
      </w:r>
      <w:r w:rsidR="002F2FF3">
        <w:t xml:space="preserve">bestimmten Bereich </w:t>
      </w:r>
      <w:r w:rsidR="00544DA4">
        <w:t xml:space="preserve">zu erhalten, müssen </w:t>
      </w:r>
      <w:r w:rsidR="00503EBB">
        <w:t xml:space="preserve">zusätzlich </w:t>
      </w:r>
      <w:r w:rsidR="00757C71">
        <w:t xml:space="preserve">eventuelle </w:t>
      </w:r>
      <w:r w:rsidR="00544DA4">
        <w:t>bereichsspezifische Phänomene und E</w:t>
      </w:r>
      <w:r w:rsidR="00544DA4">
        <w:t>r</w:t>
      </w:r>
      <w:r w:rsidR="00544DA4">
        <w:t>scheinungsformen</w:t>
      </w:r>
      <w:r w:rsidR="00D44052">
        <w:t xml:space="preserve"> von Stil berücksichtigt werden. </w:t>
      </w:r>
      <w:r w:rsidR="00544DA4">
        <w:t xml:space="preserve">Es wird also keineswegs der Anspruch erhoben, das vielfältige und komplexe Phänomen Stil vollständig zu klären; wohl aber derjenige, eine grundlegende Beschreibung zu liefern, die </w:t>
      </w:r>
      <w:r w:rsidR="00F91BE7">
        <w:t xml:space="preserve">für </w:t>
      </w:r>
      <w:r w:rsidR="001F0B81">
        <w:t xml:space="preserve">alle </w:t>
      </w:r>
      <w:r w:rsidR="00F91BE7">
        <w:t>Stilbereiche gültig ist</w:t>
      </w:r>
      <w:r w:rsidR="001F0B81">
        <w:t xml:space="preserve"> und mit der bereichsspezifische Stiltheorien kompat</w:t>
      </w:r>
      <w:r w:rsidR="001F0B81">
        <w:t>i</w:t>
      </w:r>
      <w:r w:rsidR="001F0B81">
        <w:t>bel sein müssen.</w:t>
      </w:r>
    </w:p>
    <w:p w:rsidR="00D2554C" w:rsidRDefault="000F18FC">
      <w:pPr>
        <w:pStyle w:val="Titel"/>
      </w:pPr>
      <w:bookmarkStart w:id="11" w:name="_Ref290408368"/>
      <w:bookmarkStart w:id="12" w:name="_Toc325456690"/>
      <w:r>
        <w:lastRenderedPageBreak/>
        <w:t xml:space="preserve">Zur </w:t>
      </w:r>
      <w:r w:rsidR="00BE4344">
        <w:t>Methode</w:t>
      </w:r>
      <w:bookmarkEnd w:id="11"/>
      <w:bookmarkEnd w:id="12"/>
    </w:p>
    <w:p w:rsidR="007326D7" w:rsidRDefault="00EE2C94" w:rsidP="0043404F">
      <w:pPr>
        <w:pStyle w:val="Titel2"/>
        <w:sectPr w:rsidR="007326D7" w:rsidSect="00EC5531">
          <w:headerReference w:type="first" r:id="rId21"/>
          <w:type w:val="continuous"/>
          <w:pgSz w:w="8789" w:h="13325" w:code="9"/>
          <w:pgMar w:top="1134" w:right="851" w:bottom="1418" w:left="1134" w:header="567" w:footer="680" w:gutter="0"/>
          <w:cols w:space="720"/>
          <w:titlePg/>
          <w:docGrid w:linePitch="360"/>
        </w:sectPr>
      </w:pPr>
      <w:bookmarkStart w:id="13" w:name="_Ref273572563"/>
      <w:bookmarkStart w:id="14" w:name="_Toc325456691"/>
      <w:r>
        <w:t xml:space="preserve">Aufbau der </w:t>
      </w:r>
      <w:r w:rsidRPr="0043404F">
        <w:t>Theorie</w:t>
      </w:r>
      <w:bookmarkEnd w:id="13"/>
      <w:bookmarkEnd w:id="14"/>
    </w:p>
    <w:p w:rsidR="005032F7" w:rsidRDefault="00D30AAB" w:rsidP="00A937B9">
      <w:pPr>
        <w:pStyle w:val="Text"/>
        <w:ind w:firstLine="0"/>
      </w:pPr>
      <w:r>
        <w:lastRenderedPageBreak/>
        <w:t>In dieser Arbeit wird eine allgemeine Theorie des Stils entwickelt</w:t>
      </w:r>
      <w:r w:rsidR="001929CA">
        <w:t>. Sie ist</w:t>
      </w:r>
      <w:r w:rsidR="005032F7">
        <w:t xml:space="preserve"> folge</w:t>
      </w:r>
      <w:r w:rsidR="005032F7">
        <w:t>n</w:t>
      </w:r>
      <w:r w:rsidR="005032F7">
        <w:t>derma</w:t>
      </w:r>
      <w:r w:rsidR="001929CA">
        <w:t>ßen aufgebaut</w:t>
      </w:r>
      <w:r w:rsidR="005032F7">
        <w:t>:</w:t>
      </w:r>
    </w:p>
    <w:p w:rsidR="00D30AAB" w:rsidRDefault="005032F7">
      <w:pPr>
        <w:pStyle w:val="Text"/>
      </w:pPr>
      <w:r>
        <w:t xml:space="preserve">Im Mittelpunkt der </w:t>
      </w:r>
      <w:r w:rsidR="00D30AAB">
        <w:t xml:space="preserve">Theorie </w:t>
      </w:r>
      <w:r>
        <w:t xml:space="preserve">steht </w:t>
      </w:r>
      <w:r w:rsidR="00D30AAB">
        <w:t xml:space="preserve">das Stilmodell, das </w:t>
      </w:r>
      <w:r w:rsidR="005E362E">
        <w:t xml:space="preserve">in </w:t>
      </w:r>
      <w:r w:rsidR="00D30AAB">
        <w:t>Kapitel 4 bis 7 da</w:t>
      </w:r>
      <w:r w:rsidR="00D30AAB">
        <w:t>r</w:t>
      </w:r>
      <w:r w:rsidR="00D30AAB">
        <w:t>geste</w:t>
      </w:r>
      <w:r w:rsidR="00A122F8">
        <w:t>llt wird. Die Kapitel 2</w:t>
      </w:r>
      <w:r w:rsidR="00D30AAB">
        <w:t xml:space="preserve"> </w:t>
      </w:r>
      <w:r w:rsidR="00A122F8">
        <w:t xml:space="preserve">und </w:t>
      </w:r>
      <w:r w:rsidR="00D30AAB">
        <w:t>3 leiten zu dem Modell hin, wobei in Kapitel 2 anhand von Beispielen die Grundlagen des Modells entwickelt werden</w:t>
      </w:r>
      <w:r w:rsidR="00B256A8">
        <w:t xml:space="preserve"> und in Kapitel 3 die Forschungsliteratur </w:t>
      </w:r>
      <w:r w:rsidR="00544F36">
        <w:t>hinzugezogen wird</w:t>
      </w:r>
      <w:r w:rsidR="00D30AAB">
        <w:t xml:space="preserve">. Kapitel 8 </w:t>
      </w:r>
      <w:r w:rsidR="00777AF2">
        <w:t xml:space="preserve">untersucht die </w:t>
      </w:r>
      <w:r>
        <w:t xml:space="preserve">Konsequenzen, die sich aus dem Modell für die Stiltheorie ergeben, indem </w:t>
      </w:r>
      <w:r w:rsidR="00777AF2">
        <w:t xml:space="preserve">die Relation zu </w:t>
      </w:r>
      <w:r w:rsidR="000A6D54">
        <w:t>bereichsspe</w:t>
      </w:r>
      <w:r w:rsidR="00777AF2">
        <w:t xml:space="preserve">zifischen Theorien erläutert wird (Abschnitt </w:t>
      </w:r>
      <w:r w:rsidR="005D7996">
        <w:fldChar w:fldCharType="begin"/>
      </w:r>
      <w:r w:rsidR="00777AF2">
        <w:instrText xml:space="preserve"> REF _Ref254783670 \r \h </w:instrText>
      </w:r>
      <w:r w:rsidR="005D7996">
        <w:fldChar w:fldCharType="separate"/>
      </w:r>
      <w:r w:rsidR="001231D3">
        <w:t>8.1</w:t>
      </w:r>
      <w:r w:rsidR="005D7996">
        <w:fldChar w:fldCharType="end"/>
      </w:r>
      <w:r w:rsidR="00777AF2">
        <w:t>), pra</w:t>
      </w:r>
      <w:r w:rsidR="00777AF2">
        <w:t>g</w:t>
      </w:r>
      <w:r w:rsidR="00777AF2">
        <w:t xml:space="preserve">matische Aspekte des Stilgebrauchs untersucht werden </w:t>
      </w:r>
      <w:r>
        <w:t>(</w:t>
      </w:r>
      <w:r w:rsidR="005D7996">
        <w:fldChar w:fldCharType="begin"/>
      </w:r>
      <w:r>
        <w:instrText xml:space="preserve"> REF _Ref266001212 \r \h </w:instrText>
      </w:r>
      <w:r w:rsidR="005D7996">
        <w:fldChar w:fldCharType="separate"/>
      </w:r>
      <w:r w:rsidR="001231D3">
        <w:t>8.2</w:t>
      </w:r>
      <w:r w:rsidR="005D7996">
        <w:fldChar w:fldCharType="end"/>
      </w:r>
      <w:r>
        <w:t xml:space="preserve">), Stil von anderen Begriffen </w:t>
      </w:r>
      <w:r w:rsidR="00034581">
        <w:t xml:space="preserve">und den dazugehörigen Phänomenen </w:t>
      </w:r>
      <w:r>
        <w:t>abgegrenzt wird (</w:t>
      </w:r>
      <w:r w:rsidR="005D7996">
        <w:fldChar w:fldCharType="begin"/>
      </w:r>
      <w:r>
        <w:instrText xml:space="preserve"> REF _Ref266001175 \r \h </w:instrText>
      </w:r>
      <w:r w:rsidR="005D7996">
        <w:fldChar w:fldCharType="separate"/>
      </w:r>
      <w:r w:rsidR="001231D3">
        <w:t>8.3</w:t>
      </w:r>
      <w:r w:rsidR="005D7996">
        <w:fldChar w:fldCharType="end"/>
      </w:r>
      <w:r>
        <w:t xml:space="preserve">) und </w:t>
      </w:r>
      <w:r w:rsidR="000C0D97">
        <w:t>A</w:t>
      </w:r>
      <w:r w:rsidR="000C0D97">
        <w:t>s</w:t>
      </w:r>
      <w:r w:rsidR="000C0D97">
        <w:t xml:space="preserve">pekte des Verhältnisses </w:t>
      </w:r>
      <w:r>
        <w:t>von Stil und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erläutert </w:t>
      </w:r>
      <w:r w:rsidR="000C0D97">
        <w:t xml:space="preserve">werden </w:t>
      </w:r>
      <w:r>
        <w:t>(</w:t>
      </w:r>
      <w:r w:rsidR="005D7996">
        <w:fldChar w:fldCharType="begin"/>
      </w:r>
      <w:r>
        <w:instrText xml:space="preserve"> REF _Ref266001272 \r \h </w:instrText>
      </w:r>
      <w:r w:rsidR="005D7996">
        <w:fldChar w:fldCharType="separate"/>
      </w:r>
      <w:r w:rsidR="001231D3">
        <w:t>8.4</w:t>
      </w:r>
      <w:r w:rsidR="005D7996">
        <w:fldChar w:fldCharType="end"/>
      </w:r>
      <w:r>
        <w:t>).</w:t>
      </w:r>
    </w:p>
    <w:p w:rsidR="00C64FE6" w:rsidRDefault="00C64FE6">
      <w:pPr>
        <w:pStyle w:val="Text"/>
      </w:pPr>
      <w:r>
        <w:t>In Abschnitt 2.14 wird auf der Grundlage der im 2. Kapitel herausgearbeit</w:t>
      </w:r>
      <w:r>
        <w:t>e</w:t>
      </w:r>
      <w:r>
        <w:t>ten theoretischen Entscheidungen eine Stildefinition</w:t>
      </w:r>
      <w:r w:rsidR="005D7996">
        <w:fldChar w:fldCharType="begin"/>
      </w:r>
      <w:r w:rsidR="00C6415A">
        <w:instrText xml:space="preserve"> XE "</w:instrText>
      </w:r>
      <w:r w:rsidR="00C6415A" w:rsidRPr="00F10689">
        <w:instrText>Stildefinition</w:instrText>
      </w:r>
      <w:r w:rsidR="00C6415A">
        <w:instrText xml:space="preserve">" </w:instrText>
      </w:r>
      <w:r w:rsidR="005D7996">
        <w:fldChar w:fldCharType="end"/>
      </w:r>
      <w:r>
        <w:t xml:space="preserve"> angegeben. Diese stellt gegenüber der in Kapitel 4 bis 7 vorgenommenen Modellierung des Phänomens Stil eine Vereinfachung dar, drückt aber die in dieser Arbeit entwickelte Auffa</w:t>
      </w:r>
      <w:r>
        <w:t>s</w:t>
      </w:r>
      <w:r>
        <w:t>sung von Stil bereits recht genau aus.</w:t>
      </w:r>
    </w:p>
    <w:p w:rsidR="005E362E" w:rsidRDefault="005E362E" w:rsidP="005E362E">
      <w:pPr>
        <w:pStyle w:val="Text"/>
      </w:pPr>
      <w:r>
        <w:t xml:space="preserve">Die Stiltheorie </w:t>
      </w:r>
      <w:r w:rsidR="00D16297">
        <w:t xml:space="preserve">kann in </w:t>
      </w:r>
      <w:r>
        <w:t>Form zweier konzentrischer Kreise</w:t>
      </w:r>
      <w:r w:rsidR="00D16297">
        <w:t xml:space="preserve"> visualisiert we</w:t>
      </w:r>
      <w:r w:rsidR="00D16297">
        <w:t>r</w:t>
      </w:r>
      <w:r w:rsidR="00D16297">
        <w:t>den</w:t>
      </w:r>
      <w:r>
        <w:t xml:space="preserve">: Das Stilmodell </w:t>
      </w:r>
      <w:r w:rsidR="0013220A">
        <w:t xml:space="preserve">als innerer Kreis (Kapitel 4 bis 7) </w:t>
      </w:r>
      <w:r>
        <w:t xml:space="preserve">stellt die Prozesse des </w:t>
      </w:r>
      <w:r w:rsidR="001500F6">
        <w:t xml:space="preserve">Anwendens </w:t>
      </w:r>
      <w:r>
        <w:t xml:space="preserve">und </w:t>
      </w:r>
      <w:r w:rsidR="001500F6">
        <w:t xml:space="preserve">Wahrnehmens </w:t>
      </w:r>
      <w:r>
        <w:t>von Stil als Programme dar</w:t>
      </w:r>
      <w:r w:rsidR="00E85F41">
        <w:t xml:space="preserve">, </w:t>
      </w:r>
      <w:r w:rsidR="00B64591">
        <w:t xml:space="preserve">die </w:t>
      </w:r>
      <w:r w:rsidR="00E85F41">
        <w:t>die Funktion</w:t>
      </w:r>
      <w:r w:rsidR="00E85F41">
        <w:t>s</w:t>
      </w:r>
      <w:r w:rsidR="00E85F41">
        <w:t xml:space="preserve">weise </w:t>
      </w:r>
      <w:r w:rsidR="005908E5">
        <w:t>stilistischer Zeichenprozesse</w:t>
      </w:r>
      <w:r w:rsidR="00E85F41">
        <w:t xml:space="preserve"> </w:t>
      </w:r>
      <w:r w:rsidR="00B64591">
        <w:t xml:space="preserve">modellieren </w:t>
      </w:r>
      <w:r w:rsidR="00E85F41">
        <w:t>(vgl. Abschnitt</w:t>
      </w:r>
      <w:r w:rsidR="008D5649">
        <w:t xml:space="preserve"> </w:t>
      </w:r>
      <w:r w:rsidR="005D7996">
        <w:fldChar w:fldCharType="begin"/>
      </w:r>
      <w:r w:rsidR="008D5649">
        <w:instrText xml:space="preserve"> REF _Ref268605138 \r \h </w:instrText>
      </w:r>
      <w:r w:rsidR="005D7996">
        <w:fldChar w:fldCharType="separate"/>
      </w:r>
      <w:r w:rsidR="001231D3">
        <w:t>1.3</w:t>
      </w:r>
      <w:r w:rsidR="005D7996">
        <w:fldChar w:fldCharType="end"/>
      </w:r>
      <w:r w:rsidR="00E85F41">
        <w:t xml:space="preserve">). </w:t>
      </w:r>
      <w:r w:rsidR="0013220A">
        <w:t xml:space="preserve">Die </w:t>
      </w:r>
      <w:r w:rsidR="00B64591">
        <w:t>Erläut</w:t>
      </w:r>
      <w:r w:rsidR="00B64591">
        <w:t>e</w:t>
      </w:r>
      <w:r w:rsidR="00B64591">
        <w:t>rungen in Kapitel 2, 3 und</w:t>
      </w:r>
      <w:r w:rsidR="0013220A">
        <w:t xml:space="preserve"> </w:t>
      </w:r>
      <w:r w:rsidR="00C4460D">
        <w:t>8</w:t>
      </w:r>
      <w:r w:rsidR="0013220A">
        <w:t xml:space="preserve"> </w:t>
      </w:r>
      <w:r w:rsidR="00B64591">
        <w:t xml:space="preserve">bilden den </w:t>
      </w:r>
      <w:r w:rsidR="0013220A">
        <w:t>äußere</w:t>
      </w:r>
      <w:r w:rsidR="00B64591">
        <w:t>n</w:t>
      </w:r>
      <w:r w:rsidR="0013220A">
        <w:t xml:space="preserve"> Kreis</w:t>
      </w:r>
      <w:r w:rsidR="00B64591">
        <w:t xml:space="preserve"> der Theorie, worin das Stilmodell </w:t>
      </w:r>
      <w:r w:rsidR="00B94129">
        <w:t xml:space="preserve">auf den </w:t>
      </w:r>
      <w:r w:rsidR="00BA7A93">
        <w:t>natürlichsprachlichen Begriff ‚</w:t>
      </w:r>
      <w:r w:rsidR="00B64591">
        <w:t>Stil</w:t>
      </w:r>
      <w:r w:rsidR="00BA7A93">
        <w:t>‘</w:t>
      </w:r>
      <w:r w:rsidR="00B64591">
        <w:t xml:space="preserve"> (Kapitel 2), </w:t>
      </w:r>
      <w:r w:rsidR="00B94129">
        <w:t>die bisherige</w:t>
      </w:r>
      <w:r w:rsidR="00B64591">
        <w:t xml:space="preserve"> Forschungsliteratur (Kapitel 3) und </w:t>
      </w:r>
      <w:r w:rsidR="00B94129">
        <w:t>verschiedene</w:t>
      </w:r>
      <w:r w:rsidR="006B0585">
        <w:t xml:space="preserve"> Aspekte von </w:t>
      </w:r>
      <w:r w:rsidR="008E7301">
        <w:t>Stilphänomene</w:t>
      </w:r>
      <w:r w:rsidR="006B0585">
        <w:t>n</w:t>
      </w:r>
      <w:r w:rsidR="008E7301">
        <w:t xml:space="preserve"> (</w:t>
      </w:r>
      <w:r w:rsidR="00B64591">
        <w:t xml:space="preserve">Kapitel 8) </w:t>
      </w:r>
      <w:r w:rsidR="00B94129">
        <w:t xml:space="preserve">bezogen </w:t>
      </w:r>
      <w:r w:rsidR="00B64591">
        <w:t xml:space="preserve">wird. </w:t>
      </w:r>
      <w:r>
        <w:t>Dieser Teil der Theorie ist nicht formalisiert, da die verschiedenen Bereiche, die hier mit den Aussagen des Stilmodells verknüpft werden (</w:t>
      </w:r>
      <w:r w:rsidR="006B1435">
        <w:t xml:space="preserve">beispielsweise </w:t>
      </w:r>
      <w:r>
        <w:t>andere geistes- und sozialwissenschaftliche Begriff</w:t>
      </w:r>
      <w:r w:rsidR="006B1435">
        <w:t xml:space="preserve">e wie </w:t>
      </w:r>
      <w:r w:rsidR="00C923FC">
        <w:t>‚</w:t>
      </w:r>
      <w:r w:rsidR="006B1435">
        <w:t>Gattung</w:t>
      </w:r>
      <w:r w:rsidR="005D7996">
        <w:fldChar w:fldCharType="begin"/>
      </w:r>
      <w:r w:rsidR="00AD1266">
        <w:instrText xml:space="preserve"> XE "</w:instrText>
      </w:r>
      <w:r w:rsidR="00AD1266" w:rsidRPr="000D5A50">
        <w:instrText>Gattung</w:instrText>
      </w:r>
      <w:r w:rsidR="00AD1266">
        <w:instrText xml:space="preserve">" </w:instrText>
      </w:r>
      <w:r w:rsidR="005D7996">
        <w:fldChar w:fldCharType="end"/>
      </w:r>
      <w:r w:rsidR="00C923FC">
        <w:t>‘</w:t>
      </w:r>
      <w:r w:rsidR="006B1435">
        <w:t xml:space="preserve"> oder </w:t>
      </w:r>
      <w:r w:rsidR="00C923FC">
        <w:t>‚</w:t>
      </w:r>
      <w:r w:rsidR="006B1435">
        <w:t>Habitus</w:t>
      </w:r>
      <w:r w:rsidR="00C923FC">
        <w:t>‘</w:t>
      </w:r>
      <w:r w:rsidR="006B1435">
        <w:t xml:space="preserve"> </w:t>
      </w:r>
      <w:r w:rsidR="00F86E7D">
        <w:t>oder handlungstheoretische</w:t>
      </w:r>
      <w:r w:rsidR="005D7996">
        <w:fldChar w:fldCharType="begin"/>
      </w:r>
      <w:r w:rsidR="009F46E4">
        <w:instrText xml:space="preserve"> XE "</w:instrText>
      </w:r>
      <w:r w:rsidR="009F46E4" w:rsidRPr="0052306D">
        <w:instrText>Handlungstheorie</w:instrText>
      </w:r>
      <w:r w:rsidR="009F46E4">
        <w:instrText xml:space="preserve">" </w:instrText>
      </w:r>
      <w:r w:rsidR="005D7996">
        <w:fldChar w:fldCharType="end"/>
      </w:r>
      <w:r w:rsidR="00F86E7D">
        <w:t xml:space="preserve"> Begriffe wie ‚Absichtlic</w:t>
      </w:r>
      <w:r w:rsidR="00F86E7D">
        <w:t>h</w:t>
      </w:r>
      <w:r w:rsidR="00F86E7D">
        <w:t>keit‘ und ‚Bewusstheit‘</w:t>
      </w:r>
      <w:r>
        <w:t>)</w:t>
      </w:r>
      <w:r w:rsidR="006B1435">
        <w:t>,</w:t>
      </w:r>
      <w:r>
        <w:t xml:space="preserve"> selbst nicht oder nicht einheitlich formalisiert sind. Hier erweist sich der Vorteil, dass aufgrund der semiotischen Grundlagen des Modells eine Terminologie zur Verfügung steht, die sich auf verschiedene G</w:t>
      </w:r>
      <w:r>
        <w:t>e</w:t>
      </w:r>
      <w:r>
        <w:t xml:space="preserve">genstandsbereiche anwenden lässt und eine </w:t>
      </w:r>
      <w:r w:rsidR="006B1435">
        <w:t xml:space="preserve">disziplinübergreifende </w:t>
      </w:r>
      <w:r>
        <w:t>Darstellung ermöglicht.</w:t>
      </w:r>
    </w:p>
    <w:p w:rsidR="0013220A" w:rsidRDefault="0013220A" w:rsidP="005E362E">
      <w:pPr>
        <w:pStyle w:val="Text"/>
      </w:pPr>
      <w:r>
        <w:t xml:space="preserve">In Kapitel 9 werden wissenschaftstheoretische </w:t>
      </w:r>
      <w:r w:rsidR="00B64591">
        <w:t xml:space="preserve">Überlegungen angestellt, die </w:t>
      </w:r>
      <w:r w:rsidR="00C77382">
        <w:t xml:space="preserve">sich aus der Stiltheorie ergeben, aber nicht mehr zu ihr </w:t>
      </w:r>
      <w:r w:rsidR="00B64591">
        <w:t>gehören</w:t>
      </w:r>
      <w:r w:rsidR="00C77382">
        <w:t>.</w:t>
      </w:r>
    </w:p>
    <w:p w:rsidR="00714C29" w:rsidRDefault="004F5694" w:rsidP="00F1290F">
      <w:pPr>
        <w:pStyle w:val="Text"/>
        <w:spacing w:before="240"/>
        <w:ind w:firstLine="0"/>
      </w:pPr>
      <w:r>
        <w:lastRenderedPageBreak/>
        <w:t xml:space="preserve">Methodische Grundlage der </w:t>
      </w:r>
      <w:r w:rsidR="006B1435">
        <w:t xml:space="preserve">Theoriebildung </w:t>
      </w:r>
      <w:r>
        <w:t>ist die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w:t>
      </w:r>
      <w:r w:rsidR="008B76CC">
        <w:t>Diese ist als Wi</w:t>
      </w:r>
      <w:r w:rsidR="008B76CC">
        <w:t>s</w:t>
      </w:r>
      <w:r w:rsidR="008B76CC">
        <w:t>senschaft von den Zeichen und Zeichenprozessen eine interdisziplinäre Grun</w:t>
      </w:r>
      <w:r w:rsidR="008B76CC">
        <w:t>d</w:t>
      </w:r>
      <w:r w:rsidR="008B76CC">
        <w:t>lagenwissenschaft</w:t>
      </w:r>
      <w:r w:rsidR="005D7996">
        <w:fldChar w:fldCharType="begin"/>
      </w:r>
      <w:r w:rsidR="00465FBB">
        <w:instrText xml:space="preserve"> XE "</w:instrText>
      </w:r>
      <w:r w:rsidR="00465FBB" w:rsidRPr="00A44E69">
        <w:instrText>Grundlagenwissenschaft</w:instrText>
      </w:r>
      <w:r w:rsidR="00465FBB">
        <w:instrText xml:space="preserve">" </w:instrText>
      </w:r>
      <w:r w:rsidR="005D7996">
        <w:fldChar w:fldCharType="end"/>
      </w:r>
      <w:r w:rsidR="008B76CC">
        <w:t>,</w:t>
      </w:r>
      <w:r w:rsidR="008B76CC">
        <w:rPr>
          <w:rStyle w:val="Funotenzeichen"/>
        </w:rPr>
        <w:footnoteReference w:id="11"/>
      </w:r>
      <w:r w:rsidR="008B76CC">
        <w:t xml:space="preserve"> die </w:t>
      </w:r>
      <w:r w:rsidR="00D1030C">
        <w:t xml:space="preserve">in verschiedenen Relationen zu den </w:t>
      </w:r>
      <w:r w:rsidR="008B76CC">
        <w:t>Einzel</w:t>
      </w:r>
      <w:r w:rsidR="00465FBB">
        <w:t>wissenscha</w:t>
      </w:r>
      <w:r w:rsidR="00465FBB">
        <w:t>f</w:t>
      </w:r>
      <w:r w:rsidR="00465FBB">
        <w:t>ten</w:t>
      </w:r>
      <w:r w:rsidR="005D7996">
        <w:fldChar w:fldCharType="begin"/>
      </w:r>
      <w:r w:rsidR="00465FBB">
        <w:instrText xml:space="preserve"> XE "</w:instrText>
      </w:r>
      <w:r w:rsidR="00465FBB" w:rsidRPr="00570161">
        <w:instrText>Einzelwissenschaft</w:instrText>
      </w:r>
      <w:r w:rsidR="00465FBB">
        <w:instrText xml:space="preserve">" </w:instrText>
      </w:r>
      <w:r w:rsidR="005D7996">
        <w:fldChar w:fldCharType="end"/>
      </w:r>
      <w:r w:rsidR="008B76CC">
        <w:t xml:space="preserve"> </w:t>
      </w:r>
      <w:r w:rsidR="00D1030C">
        <w:t>steht.</w:t>
      </w:r>
      <w:r w:rsidR="00D1030C">
        <w:rPr>
          <w:rStyle w:val="Funotenzeichen"/>
        </w:rPr>
        <w:footnoteReference w:id="12"/>
      </w:r>
      <w:r w:rsidR="00D1030C">
        <w:t xml:space="preserve"> </w:t>
      </w:r>
      <w:r w:rsidR="00714C29">
        <w:t xml:space="preserve">Eine „semiotische Theorie“ kann die hier entwickelte Stiltheorie </w:t>
      </w:r>
      <w:r w:rsidR="006B1435">
        <w:t>i</w:t>
      </w:r>
      <w:r w:rsidR="006B1435">
        <w:t>n</w:t>
      </w:r>
      <w:r w:rsidR="006B1435">
        <w:t xml:space="preserve">sofern genannt werden, als sie auf </w:t>
      </w:r>
      <w:r w:rsidR="00714C29">
        <w:t>semiotische</w:t>
      </w:r>
      <w:r w:rsidR="006B1435">
        <w:t xml:space="preserve">n </w:t>
      </w:r>
      <w:r w:rsidR="00EB12DB">
        <w:t>Beschreibungsansätzen</w:t>
      </w:r>
      <w:r w:rsidR="006B1435">
        <w:t xml:space="preserve"> </w:t>
      </w:r>
      <w:r w:rsidR="00EB12DB">
        <w:t>aufbaut</w:t>
      </w:r>
      <w:r w:rsidR="00A0753C">
        <w:t xml:space="preserve">. </w:t>
      </w:r>
      <w:r w:rsidR="00625D88">
        <w:t xml:space="preserve">Diese wurde bei der Theoriebildung allerdings </w:t>
      </w:r>
      <w:r w:rsidR="00A0753C">
        <w:t>mit Herangehensweisen</w:t>
      </w:r>
      <w:r w:rsidR="00625D88">
        <w:t xml:space="preserve"> komb</w:t>
      </w:r>
      <w:r w:rsidR="00625D88">
        <w:t>i</w:t>
      </w:r>
      <w:r w:rsidR="00625D88">
        <w:t>niert</w:t>
      </w:r>
      <w:r w:rsidR="00714C29">
        <w:t xml:space="preserve">, </w:t>
      </w:r>
      <w:r w:rsidR="00A0753C">
        <w:t xml:space="preserve">die nicht </w:t>
      </w:r>
      <w:r w:rsidR="00625D88">
        <w:t xml:space="preserve">nur in der Semiotik verwendet werden, nämlich </w:t>
      </w:r>
      <w:r w:rsidR="00714C29">
        <w:t xml:space="preserve">mit </w:t>
      </w:r>
      <w:r w:rsidR="00625D88">
        <w:t xml:space="preserve">einer </w:t>
      </w:r>
      <w:r w:rsidR="00714C29">
        <w:t>B</w:t>
      </w:r>
      <w:r w:rsidR="00714C29">
        <w:t>e</w:t>
      </w:r>
      <w:r w:rsidR="00714C29">
        <w:t>griffsexplikation</w:t>
      </w:r>
      <w:r w:rsidR="00625D88">
        <w:t xml:space="preserve"> und einer formalen Modellierung.</w:t>
      </w:r>
      <w:r w:rsidR="00714C29">
        <w:t xml:space="preserve"> </w:t>
      </w:r>
      <w:r w:rsidR="00625D88">
        <w:t>Die entwickelte Theorie b</w:t>
      </w:r>
      <w:r w:rsidR="00625D88">
        <w:t>e</w:t>
      </w:r>
      <w:r w:rsidR="00625D88">
        <w:t xml:space="preserve">nötigt zudem als Grundlage eine </w:t>
      </w:r>
      <w:r w:rsidR="00F42B30">
        <w:t>Schematheorie</w:t>
      </w:r>
      <w:r w:rsidR="005D7996">
        <w:fldChar w:fldCharType="begin"/>
      </w:r>
      <w:r w:rsidR="004775AE">
        <w:instrText xml:space="preserve"> XE "</w:instrText>
      </w:r>
      <w:r w:rsidR="004775AE" w:rsidRPr="006263C1">
        <w:instrText>Schematheorie</w:instrText>
      </w:r>
      <w:r w:rsidR="004775AE">
        <w:instrText xml:space="preserve">" </w:instrText>
      </w:r>
      <w:r w:rsidR="005D7996">
        <w:fldChar w:fldCharType="end"/>
      </w:r>
      <w:r w:rsidR="00F42B30">
        <w:t>, die hier allerdings nicht genauer definiert wird, sondern deren Ergebnis (eine allgemeine Schemagliederung</w:t>
      </w:r>
      <w:r w:rsidR="005D7996">
        <w:fldChar w:fldCharType="begin"/>
      </w:r>
      <w:r w:rsidR="00D77298">
        <w:instrText xml:space="preserve"> XE "</w:instrText>
      </w:r>
      <w:r w:rsidR="00D77298" w:rsidRPr="00311056">
        <w:instrText>Schemagliederung</w:instrText>
      </w:r>
      <w:r w:rsidR="00D77298">
        <w:instrText xml:space="preserve">" </w:instrText>
      </w:r>
      <w:r w:rsidR="005D7996">
        <w:fldChar w:fldCharType="end"/>
      </w:r>
      <w:r w:rsidR="00F42B30">
        <w:t xml:space="preserve"> für Verhalten, Artefakte und Texte) als gegeben vorausgesetzt wird (vgl. </w:t>
      </w:r>
      <w:r w:rsidR="005D7996">
        <w:fldChar w:fldCharType="begin"/>
      </w:r>
      <w:r w:rsidR="00F42B30">
        <w:instrText xml:space="preserve"> REF _Ref212130496 \r \h </w:instrText>
      </w:r>
      <w:r w:rsidR="005D7996">
        <w:fldChar w:fldCharType="separate"/>
      </w:r>
      <w:r w:rsidR="001231D3">
        <w:t>4.2</w:t>
      </w:r>
      <w:r w:rsidR="005D7996">
        <w:fldChar w:fldCharType="end"/>
      </w:r>
      <w:r w:rsidR="00F42B30">
        <w:t>).</w:t>
      </w:r>
    </w:p>
    <w:p w:rsidR="004005FA" w:rsidRDefault="00714C29">
      <w:pPr>
        <w:pStyle w:val="Text"/>
      </w:pPr>
      <w:r>
        <w:t xml:space="preserve">Die </w:t>
      </w:r>
      <w:r w:rsidR="00EB12DB">
        <w:t>vorgestellte Stilt</w:t>
      </w:r>
      <w:r>
        <w:t xml:space="preserve">heorie </w:t>
      </w:r>
      <w:r w:rsidR="00EB12DB">
        <w:t xml:space="preserve">baut auf </w:t>
      </w:r>
      <w:r w:rsidR="004A1847">
        <w:t>mehrere</w:t>
      </w:r>
      <w:r w:rsidR="00EB12DB">
        <w:t xml:space="preserve">n </w:t>
      </w:r>
      <w:r w:rsidR="00A62B9D">
        <w:t>semiotische</w:t>
      </w:r>
      <w:r w:rsidR="00EB12DB">
        <w:t>n</w:t>
      </w:r>
      <w:r w:rsidR="00A62B9D">
        <w:t xml:space="preserve"> </w:t>
      </w:r>
      <w:r>
        <w:t>Beschreibung</w:t>
      </w:r>
      <w:r>
        <w:t>s</w:t>
      </w:r>
      <w:r>
        <w:t>ansätze</w:t>
      </w:r>
      <w:r w:rsidR="00EB12DB">
        <w:t>n auf</w:t>
      </w:r>
      <w:r>
        <w:t>:</w:t>
      </w:r>
    </w:p>
    <w:p w:rsidR="004005FA" w:rsidRDefault="009F5438" w:rsidP="00A937B9">
      <w:pPr>
        <w:pStyle w:val="Text"/>
        <w:ind w:firstLine="0"/>
      </w:pPr>
      <w:r>
        <w:tab/>
      </w:r>
      <w:r w:rsidR="004005FA">
        <w:t>(</w:t>
      </w:r>
      <w:r w:rsidR="00714C29">
        <w:t>1</w:t>
      </w:r>
      <w:r w:rsidR="004005FA">
        <w:t>)</w:t>
      </w:r>
      <w:r w:rsidR="004005FA">
        <w:tab/>
        <w:t xml:space="preserve">Stil </w:t>
      </w:r>
      <w:r w:rsidR="00714C29">
        <w:t xml:space="preserve">wird </w:t>
      </w:r>
      <w:r w:rsidR="004005FA">
        <w:t>als Zeichenprozess</w:t>
      </w:r>
      <w:r w:rsidR="00750C10">
        <w:t xml:space="preserve"> </w:t>
      </w:r>
      <w:r w:rsidR="00714C29">
        <w:t xml:space="preserve">beschrieben; dabei werden </w:t>
      </w:r>
      <w:r w:rsidR="00C75387">
        <w:t xml:space="preserve">semiotische </w:t>
      </w:r>
      <w:r w:rsidR="00B836D6">
        <w:t xml:space="preserve">Termini </w:t>
      </w:r>
      <w:r w:rsidR="00714C29">
        <w:t xml:space="preserve">wie </w:t>
      </w:r>
      <w:r w:rsidR="00B836D6">
        <w:t>„</w:t>
      </w:r>
      <w:r w:rsidR="00C75387">
        <w:t>Zeichenträger</w:t>
      </w:r>
      <w:r w:rsidR="00B836D6">
        <w:t>“</w:t>
      </w:r>
      <w:r w:rsidR="00C923FC">
        <w:t xml:space="preserve">, </w:t>
      </w:r>
      <w:r w:rsidR="00B836D6">
        <w:t>„</w:t>
      </w:r>
      <w:r w:rsidR="00C75387">
        <w:t>Zeicheninhalt</w:t>
      </w:r>
      <w:r w:rsidR="00B836D6">
        <w:t>“</w:t>
      </w:r>
      <w:r w:rsidR="00C923FC">
        <w:t xml:space="preserve">, </w:t>
      </w:r>
      <w:r w:rsidR="00B836D6">
        <w:t>„</w:t>
      </w:r>
      <w:r w:rsidR="00C75387">
        <w:t>Anzeichen</w:t>
      </w:r>
      <w:r w:rsidR="005D7996">
        <w:fldChar w:fldCharType="begin"/>
      </w:r>
      <w:r w:rsidR="000B2A4F">
        <w:instrText xml:space="preserve"> XE "</w:instrText>
      </w:r>
      <w:r w:rsidR="000B2A4F" w:rsidRPr="00512EDC">
        <w:instrText>Anzeichen</w:instrText>
      </w:r>
      <w:r w:rsidR="000B2A4F">
        <w:instrText xml:space="preserve">" </w:instrText>
      </w:r>
      <w:r w:rsidR="005D7996">
        <w:fldChar w:fldCharType="end"/>
      </w:r>
      <w:r w:rsidR="00B836D6">
        <w:t>“</w:t>
      </w:r>
      <w:r w:rsidR="005D7996">
        <w:fldChar w:fldCharType="begin"/>
      </w:r>
      <w:r w:rsidR="00691A88">
        <w:instrText xml:space="preserve"> XE "</w:instrText>
      </w:r>
      <w:r w:rsidR="000B2A4F">
        <w:instrText>Index (Peirce)</w:instrText>
      </w:r>
      <w:r w:rsidR="00691A88">
        <w:instrText>" \</w:instrText>
      </w:r>
      <w:r w:rsidR="00691A88" w:rsidRPr="00691A88">
        <w:instrText>t "</w:instrText>
      </w:r>
      <w:r w:rsidR="00801C96">
        <w:rPr>
          <w:rFonts w:cstheme="minorHAnsi"/>
          <w:i/>
        </w:rPr>
        <w:instrText>s</w:instrText>
      </w:r>
      <w:r w:rsidR="00691A88" w:rsidRPr="00691A88">
        <w:rPr>
          <w:rFonts w:cstheme="minorHAnsi"/>
          <w:i/>
        </w:rPr>
        <w:instrText>iehe</w:instrText>
      </w:r>
      <w:r w:rsidR="00691A88" w:rsidRPr="00691A88">
        <w:rPr>
          <w:rFonts w:cstheme="minorHAnsi"/>
        </w:rPr>
        <w:instrText xml:space="preserve"> </w:instrText>
      </w:r>
      <w:r w:rsidR="000B2A4F">
        <w:rPr>
          <w:rFonts w:cstheme="minorHAnsi"/>
        </w:rPr>
        <w:instrText>Anzeichen</w:instrText>
      </w:r>
      <w:r w:rsidR="00691A88" w:rsidRPr="00691A88">
        <w:instrText>"</w:instrText>
      </w:r>
      <w:r w:rsidR="00691A88">
        <w:instrText xml:space="preserve"> </w:instrText>
      </w:r>
      <w:r w:rsidR="005D7996">
        <w:fldChar w:fldCharType="end"/>
      </w:r>
      <w:r w:rsidR="00714C29">
        <w:t xml:space="preserve"> usw. verwendet.</w:t>
      </w:r>
    </w:p>
    <w:p w:rsidR="00245374" w:rsidRDefault="009F5438" w:rsidP="00A937B9">
      <w:pPr>
        <w:pStyle w:val="Text"/>
        <w:ind w:firstLine="0"/>
      </w:pPr>
      <w:r>
        <w:tab/>
      </w:r>
      <w:r w:rsidR="00714C29">
        <w:t>(2)</w:t>
      </w:r>
      <w:r w:rsidR="00714C29">
        <w:tab/>
        <w:t xml:space="preserve">Der </w:t>
      </w:r>
      <w:r w:rsidR="00A5190A">
        <w:t xml:space="preserve">Merkmalsprozess baut auf der Saussureschen </w:t>
      </w:r>
      <w:r w:rsidR="004005FA">
        <w:t>D</w:t>
      </w:r>
      <w:r w:rsidR="001651C4">
        <w:t>ichotomie</w:t>
      </w:r>
      <w:r w:rsidR="005D7996">
        <w:fldChar w:fldCharType="begin"/>
      </w:r>
      <w:r w:rsidR="002D62C3">
        <w:instrText xml:space="preserve"> XE "</w:instrText>
      </w:r>
      <w:r w:rsidR="002D62C3" w:rsidRPr="00F64FE1">
        <w:instrText>Dichotomie (Saussure)</w:instrText>
      </w:r>
      <w:r w:rsidR="002D62C3">
        <w:instrText xml:space="preserve">" </w:instrText>
      </w:r>
      <w:r w:rsidR="005D7996">
        <w:fldChar w:fldCharType="end"/>
      </w:r>
      <w:r w:rsidR="001651C4">
        <w:t xml:space="preserve"> </w:t>
      </w:r>
      <w:r w:rsidR="005C42C0">
        <w:t>„</w:t>
      </w:r>
      <w:r w:rsidR="00CA33C3" w:rsidRPr="000E4305">
        <w:t>Par</w:t>
      </w:r>
      <w:r w:rsidR="00CA33C3" w:rsidRPr="000E4305">
        <w:t>a</w:t>
      </w:r>
      <w:r w:rsidR="00CA33C3" w:rsidRPr="000E4305">
        <w:t>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CA33C3">
        <w:t xml:space="preserve"> </w:t>
      </w:r>
      <w:r w:rsidR="00CA33C3" w:rsidRPr="000E4305">
        <w:t xml:space="preserve">– </w:t>
      </w:r>
      <w:r w:rsidR="00D2327C" w:rsidRPr="000E4305">
        <w:t>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5C42C0">
        <w:t>“</w:t>
      </w:r>
      <w:r w:rsidR="00750C10">
        <w:t xml:space="preserve"> auf, die </w:t>
      </w:r>
      <w:r w:rsidR="004A1847">
        <w:t xml:space="preserve">hier </w:t>
      </w:r>
      <w:r w:rsidR="00750C10">
        <w:t xml:space="preserve">über Zeichengebrauch hinaus </w:t>
      </w:r>
      <w:r w:rsidR="00A5190A">
        <w:t xml:space="preserve">erweitert wird. Daher wird </w:t>
      </w:r>
      <w:r w:rsidR="004A1847">
        <w:t xml:space="preserve">sie durch die erweiterte Unterscheidung </w:t>
      </w:r>
      <w:r w:rsidR="005C42C0">
        <w:t>„</w:t>
      </w:r>
      <w:r w:rsidR="00A5190A">
        <w:t>Alternativenkl</w:t>
      </w:r>
      <w:r w:rsidR="001651C4">
        <w:t>asse</w:t>
      </w:r>
      <w:r w:rsidR="00CA33C3">
        <w:t xml:space="preserve"> – Real</w:t>
      </w:r>
      <w:r w:rsidR="00CA33C3">
        <w:t>i</w:t>
      </w:r>
      <w:r w:rsidR="00CA33C3">
        <w:t>sierung</w:t>
      </w:r>
      <w:r w:rsidR="005C42C0">
        <w:t>“</w:t>
      </w:r>
      <w:r w:rsidR="004A1847">
        <w:t xml:space="preserve"> ersetzt (vgl. </w:t>
      </w:r>
      <w:r w:rsidR="005D7996">
        <w:fldChar w:fldCharType="begin"/>
      </w:r>
      <w:r w:rsidR="004A1847">
        <w:instrText xml:space="preserve"> REF _Ref267685078 \r \h </w:instrText>
      </w:r>
      <w:r w:rsidR="005D7996">
        <w:fldChar w:fldCharType="separate"/>
      </w:r>
      <w:r w:rsidR="001231D3">
        <w:t>2.4</w:t>
      </w:r>
      <w:r w:rsidR="005D7996">
        <w:fldChar w:fldCharType="end"/>
      </w:r>
      <w:r w:rsidR="004A1847">
        <w:t xml:space="preserve">). Die Relation beider Ordnungsprinzipien zueinander bleibt dabei jedoch bestehen. Die Theorie </w:t>
      </w:r>
      <w:r w:rsidR="00F42B30">
        <w:t xml:space="preserve">ist hierbei von der </w:t>
      </w:r>
      <w:r w:rsidR="004A1847">
        <w:t>strukturalistische</w:t>
      </w:r>
      <w:r w:rsidR="00F42B30">
        <w:t>n</w:t>
      </w:r>
      <w:r w:rsidR="004A1847">
        <w:t xml:space="preserve"> Textinterpretation </w:t>
      </w:r>
      <w:r w:rsidR="00F42B30">
        <w:t xml:space="preserve">inspiriert (vgl. </w:t>
      </w:r>
      <w:r w:rsidR="005D7996">
        <w:fldChar w:fldCharType="begin"/>
      </w:r>
      <w:r w:rsidR="00F42B30">
        <w:instrText xml:space="preserve"> REF _Ref267836372 \r \h </w:instrText>
      </w:r>
      <w:r w:rsidR="005D7996">
        <w:fldChar w:fldCharType="separate"/>
      </w:r>
      <w:r w:rsidR="001231D3">
        <w:t>3.6</w:t>
      </w:r>
      <w:r w:rsidR="005D7996">
        <w:fldChar w:fldCharType="end"/>
      </w:r>
      <w:r w:rsidR="00F42B30">
        <w:t>), deren Beschreibungsansatz für Gesta</w:t>
      </w:r>
      <w:r w:rsidR="00F42B30">
        <w:t>l</w:t>
      </w:r>
      <w:r w:rsidR="00F42B30">
        <w:t>tungsweisen von Syntagmen (bzw. Realisierungen) sie übernimmt.</w:t>
      </w:r>
    </w:p>
    <w:p w:rsidR="002D47DF" w:rsidRDefault="009F5438" w:rsidP="00204C5E">
      <w:pPr>
        <w:pStyle w:val="Text"/>
        <w:ind w:firstLine="0"/>
      </w:pPr>
      <w:r>
        <w:tab/>
      </w:r>
      <w:r w:rsidR="00714C29">
        <w:t>(3)</w:t>
      </w:r>
      <w:r w:rsidR="00714C29">
        <w:tab/>
        <w:t xml:space="preserve">Im Interpretationsprozess werden verschiedene Operationen definiert, mit deren Hilfe Ergebnisse erzeugt werden (vgl. </w:t>
      </w:r>
      <w:r w:rsidR="005D7996">
        <w:fldChar w:fldCharType="begin"/>
      </w:r>
      <w:r w:rsidR="00714C29">
        <w:instrText xml:space="preserve"> REF _Ref248036699 \r \h </w:instrText>
      </w:r>
      <w:r w:rsidR="005D7996">
        <w:fldChar w:fldCharType="separate"/>
      </w:r>
      <w:r w:rsidR="001231D3">
        <w:t>6.2.1</w:t>
      </w:r>
      <w:r w:rsidR="005D7996">
        <w:fldChar w:fldCharType="end"/>
      </w:r>
      <w:r w:rsidR="00714C29">
        <w:t>). Darunter befinden sich Deduktion, Induktion und Abdukti</w:t>
      </w:r>
      <w:r w:rsidR="00CD3322">
        <w:t xml:space="preserve">on als </w:t>
      </w:r>
      <w:r w:rsidR="00EB12DB">
        <w:t xml:space="preserve">verschiedene Arten logischer </w:t>
      </w:r>
      <w:r w:rsidR="00CD3322">
        <w:t>Operat</w:t>
      </w:r>
      <w:r w:rsidR="00CD3322">
        <w:t>i</w:t>
      </w:r>
      <w:r w:rsidR="00CD3322">
        <w:t xml:space="preserve">onen, die </w:t>
      </w:r>
      <w:r w:rsidR="004A1847">
        <w:t xml:space="preserve">in der hier verwendeten Form </w:t>
      </w:r>
      <w:r w:rsidR="00714C29">
        <w:t>unter anderem auf Charles S. Peirce</w:t>
      </w:r>
      <w:r w:rsidR="005D7996">
        <w:fldChar w:fldCharType="begin"/>
      </w:r>
      <w:r w:rsidR="002117F9">
        <w:instrText xml:space="preserve"> XE "</w:instrText>
      </w:r>
      <w:r w:rsidR="002117F9" w:rsidRPr="00426FA1">
        <w:instrText>Peirce, Charles S.</w:instrText>
      </w:r>
      <w:r w:rsidR="002117F9">
        <w:instrText xml:space="preserve">" </w:instrText>
      </w:r>
      <w:r w:rsidR="005D7996">
        <w:fldChar w:fldCharType="end"/>
      </w:r>
      <w:r w:rsidR="00714C29">
        <w:t xml:space="preserve">, der </w:t>
      </w:r>
      <w:r w:rsidR="00CD3322">
        <w:t>zusammen mit Ferdinand de Saussure</w:t>
      </w:r>
      <w:r w:rsidR="005D7996">
        <w:fldChar w:fldCharType="begin"/>
      </w:r>
      <w:r w:rsidR="00D77298">
        <w:instrText xml:space="preserve"> XE "</w:instrText>
      </w:r>
      <w:r w:rsidR="00D77298" w:rsidRPr="0007712B">
        <w:instrText>Saussure, Ferdinand de</w:instrText>
      </w:r>
      <w:r w:rsidR="00D77298">
        <w:instrText xml:space="preserve">" </w:instrText>
      </w:r>
      <w:r w:rsidR="005D7996">
        <w:fldChar w:fldCharType="end"/>
      </w:r>
      <w:r w:rsidR="00CD3322">
        <w:t xml:space="preserve"> als </w:t>
      </w:r>
      <w:r w:rsidR="00714C29">
        <w:t>Neubegründer der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rsidR="00714C29">
        <w:t xml:space="preserve"> </w:t>
      </w:r>
      <w:r w:rsidR="00CD3322">
        <w:t>zu Beginn des 20. Jahrhunderts gilt, zurückgeht.</w:t>
      </w:r>
    </w:p>
    <w:p w:rsidR="00F030D1" w:rsidRDefault="00F030D1" w:rsidP="002D47DF">
      <w:pPr>
        <w:pStyle w:val="Text"/>
      </w:pPr>
      <w:r>
        <w:t>In welcher Funktion wird die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hier verwendet? </w:t>
      </w:r>
      <w:r w:rsidR="00B037CF">
        <w:t xml:space="preserve">Auf den ersten Blick scheint es plausibel, </w:t>
      </w:r>
      <w:r w:rsidR="005F4139">
        <w:t xml:space="preserve">dass sie </w:t>
      </w:r>
      <w:r w:rsidR="00B037CF">
        <w:t xml:space="preserve">als </w:t>
      </w:r>
      <w:r>
        <w:t xml:space="preserve">angewandte </w:t>
      </w:r>
      <w:r w:rsidR="00B037CF">
        <w:t>Semiotik</w:t>
      </w:r>
      <w:r w:rsidR="00B037CF">
        <w:rPr>
          <w:rStyle w:val="Funotenzeichen"/>
        </w:rPr>
        <w:footnoteReference w:id="13"/>
      </w:r>
      <w:r w:rsidR="00B037CF">
        <w:t xml:space="preserve"> eingesetzt wird, und zwar innerhalb der Stilforschung</w:t>
      </w:r>
      <w:r w:rsidR="005D7996" w:rsidRPr="001116C7">
        <w:fldChar w:fldCharType="begin"/>
      </w:r>
      <w:r w:rsidR="00262183" w:rsidRPr="001116C7">
        <w:instrText xml:space="preserve"> XE "Stilforschung" </w:instrText>
      </w:r>
      <w:r w:rsidR="005D7996" w:rsidRPr="001116C7">
        <w:fldChar w:fldCharType="end"/>
      </w:r>
      <w:r w:rsidR="005D7996" w:rsidRPr="001116C7">
        <w:fldChar w:fldCharType="begin"/>
      </w:r>
      <w:r w:rsidR="001116C7" w:rsidRPr="001116C7">
        <w:instrText xml:space="preserve"> XE "Stilforschung" \t "</w:instrText>
      </w:r>
      <w:r w:rsidR="001116C7" w:rsidRPr="001116C7">
        <w:rPr>
          <w:rFonts w:cstheme="minorHAnsi"/>
          <w:i/>
        </w:rPr>
        <w:instrText>siehe auch</w:instrText>
      </w:r>
      <w:r w:rsidR="001116C7" w:rsidRPr="001116C7">
        <w:rPr>
          <w:rFonts w:cstheme="minorHAnsi"/>
        </w:rPr>
        <w:instrText xml:space="preserve"> Stilistik</w:instrText>
      </w:r>
      <w:r w:rsidR="001116C7" w:rsidRPr="001116C7">
        <w:instrText xml:space="preserve">" </w:instrText>
      </w:r>
      <w:r w:rsidR="005D7996" w:rsidRPr="001116C7">
        <w:fldChar w:fldCharType="end"/>
      </w:r>
      <w:r w:rsidR="00B037CF">
        <w:t xml:space="preserve"> oder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rsidR="005D7996" w:rsidRPr="001116C7">
        <w:fldChar w:fldCharType="begin"/>
      </w:r>
      <w:r w:rsidR="001116C7" w:rsidRPr="001116C7">
        <w:instrText xml:space="preserve"> XE "</w:instrText>
      </w:r>
      <w:r w:rsidR="001116C7" w:rsidRPr="001116C7">
        <w:rPr>
          <w:rFonts w:cstheme="minorHAnsi"/>
        </w:rPr>
        <w:instrText>Stilistik</w:instrText>
      </w:r>
      <w:r w:rsidR="001116C7" w:rsidRPr="001116C7">
        <w:instrText>" \t "</w:instrText>
      </w:r>
      <w:r w:rsidR="001116C7" w:rsidRPr="001116C7">
        <w:rPr>
          <w:rFonts w:cstheme="minorHAnsi"/>
          <w:i/>
        </w:rPr>
        <w:instrText>siehe auch</w:instrText>
      </w:r>
      <w:r w:rsidR="001116C7" w:rsidRPr="001116C7">
        <w:rPr>
          <w:rFonts w:cstheme="minorHAnsi"/>
        </w:rPr>
        <w:instrText xml:space="preserve"> </w:instrText>
      </w:r>
      <w:r w:rsidR="001116C7" w:rsidRPr="001116C7">
        <w:instrText xml:space="preserve">Stilforschung" </w:instrText>
      </w:r>
      <w:r w:rsidR="005D7996" w:rsidRPr="001116C7">
        <w:fldChar w:fldCharType="end"/>
      </w:r>
      <w:r w:rsidR="00B037CF">
        <w:t>.</w:t>
      </w:r>
      <w:r w:rsidR="00FA1F56">
        <w:rPr>
          <w:rStyle w:val="Funotenzeichen"/>
        </w:rPr>
        <w:footnoteReference w:id="14"/>
      </w:r>
      <w:r w:rsidR="00B037CF">
        <w:t xml:space="preserve"> Schließlich </w:t>
      </w:r>
      <w:r w:rsidR="008A5824">
        <w:t>wird mit</w:t>
      </w:r>
      <w:r w:rsidR="00B037CF">
        <w:t xml:space="preserve"> </w:t>
      </w:r>
      <w:r w:rsidR="008A5824">
        <w:t>Modellen</w:t>
      </w:r>
      <w:r w:rsidR="00BB6D9B">
        <w:t>,</w:t>
      </w:r>
      <w:r w:rsidR="008A5824" w:rsidRPr="008A5824">
        <w:rPr>
          <w:rStyle w:val="Funotenzeichen"/>
        </w:rPr>
        <w:footnoteReference w:id="15"/>
      </w:r>
      <w:r w:rsidR="008A5824">
        <w:t xml:space="preserve"> Methoden</w:t>
      </w:r>
      <w:r w:rsidR="008A5824" w:rsidRPr="008A5824">
        <w:rPr>
          <w:rStyle w:val="Funotenzeichen"/>
        </w:rPr>
        <w:footnoteReference w:id="16"/>
      </w:r>
      <w:r w:rsidR="008A5824">
        <w:t xml:space="preserve"> </w:t>
      </w:r>
      <w:r w:rsidR="00BB6D9B">
        <w:t xml:space="preserve">und Begrifflichkeit </w:t>
      </w:r>
      <w:r w:rsidR="000053D6">
        <w:t>der Semiotik gearbeitet, um Fragestellungen der Stilistik zu bearbeiten.</w:t>
      </w:r>
    </w:p>
    <w:p w:rsidR="00A63031" w:rsidRDefault="00A63031">
      <w:pPr>
        <w:pStyle w:val="Text"/>
      </w:pPr>
      <w:r>
        <w:t xml:space="preserve">Gegen eine solche Beschreibung sprechen </w:t>
      </w:r>
      <w:r w:rsidR="005F4139">
        <w:t xml:space="preserve">allerdings </w:t>
      </w:r>
      <w:r>
        <w:t>zwei Punkte:</w:t>
      </w:r>
    </w:p>
    <w:p w:rsidR="004E4959" w:rsidRDefault="009F5438" w:rsidP="00A937B9">
      <w:pPr>
        <w:pStyle w:val="Text"/>
        <w:ind w:firstLine="0"/>
      </w:pPr>
      <w:r>
        <w:lastRenderedPageBreak/>
        <w:tab/>
      </w:r>
      <w:r w:rsidR="00A63031">
        <w:t>(1)</w:t>
      </w:r>
      <w:r w:rsidR="00A63031">
        <w:tab/>
        <w:t>Es wird ein bestimmte</w:t>
      </w:r>
      <w:r w:rsidR="00DD36BC">
        <w:t>r</w:t>
      </w:r>
      <w:r w:rsidR="00A63031">
        <w:t xml:space="preserve"> Zeichenprozess</w:t>
      </w:r>
      <w:r w:rsidR="00DD36BC">
        <w:t>typ</w:t>
      </w:r>
      <w:r w:rsidR="00A63031">
        <w:t>, nämlich das Einschreiben und Auslesen von Information in Realisierungen auf der Basis von Schemata</w:t>
      </w:r>
      <w:r w:rsidR="004E4959">
        <w:t>, modelliert. Diese Modellierung wird nur auf einer allgemeinen Ebene (siehe (A)) mit semiotischer Begrifflichkeit vollzogen und mit Mitteln der Logik</w:t>
      </w:r>
      <w:r w:rsidR="005D7996">
        <w:fldChar w:fldCharType="begin"/>
      </w:r>
      <w:r w:rsidR="002117F9">
        <w:instrText xml:space="preserve"> XE "</w:instrText>
      </w:r>
      <w:r w:rsidR="002117F9" w:rsidRPr="003243E4">
        <w:instrText>Logik</w:instrText>
      </w:r>
      <w:r w:rsidR="002117F9">
        <w:instrText xml:space="preserve">" </w:instrText>
      </w:r>
      <w:r w:rsidR="005D7996">
        <w:fldChar w:fldCharType="end"/>
      </w:r>
      <w:r w:rsidR="005D7996">
        <w:fldChar w:fldCharType="begin"/>
      </w:r>
      <w:r w:rsidR="006C0F83">
        <w:instrText xml:space="preserve"> XE "</w:instrText>
      </w:r>
      <w:r w:rsidR="006C0F83" w:rsidRPr="003243E4">
        <w:instrText>Logik</w:instrText>
      </w:r>
      <w:r w:rsidR="006C0F83">
        <w:instrText>" \t "</w:instrText>
      </w:r>
      <w:r w:rsidR="0047114C" w:rsidRPr="0047114C">
        <w:rPr>
          <w:i/>
        </w:rPr>
        <w:instrText>s</w:instrText>
      </w:r>
      <w:r w:rsidR="006C0F83" w:rsidRPr="0047114C">
        <w:rPr>
          <w:i/>
        </w:rPr>
        <w:instrText>iehe auch</w:instrText>
      </w:r>
      <w:r w:rsidR="006C0F83">
        <w:instrText xml:space="preserve"> Schlussverfahren, logische" </w:instrText>
      </w:r>
      <w:r w:rsidR="005D7996">
        <w:fldChar w:fldCharType="end"/>
      </w:r>
      <w:r w:rsidR="004E4959">
        <w:t xml:space="preserve"> und I</w:t>
      </w:r>
      <w:r w:rsidR="004E4959">
        <w:t>n</w:t>
      </w:r>
      <w:r w:rsidR="004E4959">
        <w:t>formatik</w:t>
      </w:r>
      <w:r w:rsidR="005D7996">
        <w:fldChar w:fldCharType="begin"/>
      </w:r>
      <w:r w:rsidR="002117F9">
        <w:instrText xml:space="preserve"> XE "</w:instrText>
      </w:r>
      <w:r w:rsidR="002117F9" w:rsidRPr="008605A2">
        <w:instrText>Informatik</w:instrText>
      </w:r>
      <w:r w:rsidR="002117F9">
        <w:instrText xml:space="preserve">" </w:instrText>
      </w:r>
      <w:r w:rsidR="005D7996">
        <w:fldChar w:fldCharType="end"/>
      </w:r>
      <w:r w:rsidR="004E4959">
        <w:t xml:space="preserve"> dargestellt (vgl. Abschnitt</w:t>
      </w:r>
      <w:r w:rsidR="00186D8C">
        <w:t xml:space="preserve"> </w:t>
      </w:r>
      <w:r w:rsidR="005D7996">
        <w:fldChar w:fldCharType="begin"/>
      </w:r>
      <w:r w:rsidR="00186D8C">
        <w:instrText xml:space="preserve"> REF _Ref268605138 \r \h </w:instrText>
      </w:r>
      <w:r w:rsidR="005D7996">
        <w:fldChar w:fldCharType="separate"/>
      </w:r>
      <w:r w:rsidR="001231D3">
        <w:t>1.3</w:t>
      </w:r>
      <w:r w:rsidR="005D7996">
        <w:fldChar w:fldCharType="end"/>
      </w:r>
      <w:r w:rsidR="004E4959">
        <w:t>). Damit wird sowohl im beschriebenen Inhalt, der Darstellung eines auf besondere Weise funktionierenden Typus von Zeichenprozess, als auch methodisch, der Modellierung mit Hilfe von Mitteln der Informatik, Neuland betreten.</w:t>
      </w:r>
    </w:p>
    <w:p w:rsidR="0018485B" w:rsidRDefault="009F5438" w:rsidP="00A937B9">
      <w:pPr>
        <w:pStyle w:val="Text"/>
        <w:ind w:firstLine="0"/>
      </w:pPr>
      <w:r>
        <w:tab/>
      </w:r>
      <w:r w:rsidR="004E4959">
        <w:t>(2)</w:t>
      </w:r>
      <w:r w:rsidR="000053D6">
        <w:tab/>
        <w:t>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0053D6">
        <w:t xml:space="preserve"> oder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rsidR="000053D6">
        <w:t xml:space="preserve"> wu</w:t>
      </w:r>
      <w:r w:rsidR="004E4959">
        <w:t>rden bislang fast immer innerhalb ei</w:t>
      </w:r>
      <w:r w:rsidR="004E4959">
        <w:t>n</w:t>
      </w:r>
      <w:r w:rsidR="004E4959">
        <w:t>zelner Disziplinen mit einzelwissenschaftlicher Perspektive betrieben. Eine al</w:t>
      </w:r>
      <w:r w:rsidR="004E4959">
        <w:t>l</w:t>
      </w:r>
      <w:r w:rsidR="004E4959">
        <w:t>gemein orientierte Stilforschung muss, ebenso wie die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rsidR="004E4959">
        <w:t>, eine interdiszi</w:t>
      </w:r>
      <w:r w:rsidR="004E4959">
        <w:t>p</w:t>
      </w:r>
      <w:r w:rsidR="004E4959">
        <w:t xml:space="preserve">linäre Wissenschaft sein. Diese Stilforschung existiert </w:t>
      </w:r>
      <w:r w:rsidR="005F4139">
        <w:t>de facto</w:t>
      </w:r>
      <w:r w:rsidR="004E4959">
        <w:t xml:space="preserve"> noch nicht; es gab bislang kaum </w:t>
      </w:r>
      <w:r w:rsidR="0018485B">
        <w:t xml:space="preserve">bereichsübergreifende </w:t>
      </w:r>
      <w:r w:rsidR="004E4959">
        <w:t>Stildefini</w:t>
      </w:r>
      <w:r w:rsidR="0018485B">
        <w:t>tionen, geschweige denn weiterg</w:t>
      </w:r>
      <w:r w:rsidR="0018485B">
        <w:t>e</w:t>
      </w:r>
      <w:r w:rsidR="0018485B">
        <w:t>hende Forschung.</w:t>
      </w:r>
      <w:r w:rsidR="00F44653">
        <w:rPr>
          <w:rStyle w:val="Funotenzeichen"/>
        </w:rPr>
        <w:footnoteReference w:id="17"/>
      </w:r>
      <w:r w:rsidR="0018485B">
        <w:t xml:space="preserve"> Daher werden in der hier dargestellten Theorie auch </w:t>
      </w:r>
      <w:r w:rsidR="005F4139">
        <w:t>z</w:t>
      </w:r>
      <w:r w:rsidR="005F4139">
        <w:t>u</w:t>
      </w:r>
      <w:r w:rsidR="005F4139">
        <w:t xml:space="preserve">nächst keine </w:t>
      </w:r>
      <w:r w:rsidR="0018485B">
        <w:t>Konzepte aus der bisher</w:t>
      </w:r>
      <w:r w:rsidR="00C6161B">
        <w:t xml:space="preserve">igen Stilforschung aufgegriffen; </w:t>
      </w:r>
      <w:r w:rsidR="000F0C83">
        <w:t xml:space="preserve">vielmehr </w:t>
      </w:r>
      <w:r w:rsidR="00C6161B">
        <w:t xml:space="preserve">wird </w:t>
      </w:r>
      <w:r w:rsidR="0018485B">
        <w:t>durch eine Be</w:t>
      </w:r>
      <w:r w:rsidR="00C6161B">
        <w:t>griffsexplikation die Grundlage</w:t>
      </w:r>
      <w:r w:rsidR="0018485B">
        <w:t xml:space="preserve"> einer allgemeinen Stiltheorie gelegt (Kapitel 2), bevor ein Vergleich </w:t>
      </w:r>
      <w:r w:rsidR="005C42C0">
        <w:t xml:space="preserve">dieser Grundlage </w:t>
      </w:r>
      <w:r w:rsidR="0018485B">
        <w:t>mit bisherigen Positi</w:t>
      </w:r>
      <w:r w:rsidR="0018485B">
        <w:t>o</w:t>
      </w:r>
      <w:r w:rsidR="0018485B">
        <w:t>nen vorgenommen wird (Kapitel 3)</w:t>
      </w:r>
      <w:r w:rsidR="005C42C0">
        <w:t xml:space="preserve">. Danach wird </w:t>
      </w:r>
      <w:r w:rsidR="00F76710">
        <w:t xml:space="preserve">wiederum </w:t>
      </w:r>
      <w:r w:rsidR="000F0C83">
        <w:t xml:space="preserve">zunächst </w:t>
      </w:r>
      <w:r w:rsidR="005C42C0">
        <w:t xml:space="preserve">das Modell konstruiert, </w:t>
      </w:r>
      <w:r w:rsidR="000F0C83">
        <w:t>bevor mit dessen Hilfe einzelne</w:t>
      </w:r>
      <w:r w:rsidR="005F4139">
        <w:t xml:space="preserve"> </w:t>
      </w:r>
      <w:r w:rsidR="000F0C83">
        <w:t xml:space="preserve">Fragestellungen der Stilforschung genauer untersucht werden </w:t>
      </w:r>
      <w:r w:rsidR="005F4139">
        <w:t>(Kapitel 8).</w:t>
      </w:r>
    </w:p>
    <w:p w:rsidR="00C2659E" w:rsidRDefault="0018485B">
      <w:pPr>
        <w:pStyle w:val="Text"/>
      </w:pPr>
      <w:r>
        <w:t>Aufgrund von (1) macht es Sinn, von einer Arbeit in der theoretischen S</w:t>
      </w:r>
      <w:r>
        <w:t>e</w:t>
      </w:r>
      <w:r>
        <w:t>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zu sprechen</w:t>
      </w:r>
      <w:r w:rsidR="005F4139">
        <w:t xml:space="preserve">, die </w:t>
      </w:r>
      <w:r>
        <w:t>eine Unterkategorie aller Zeichenprozesse, nämlich di</w:t>
      </w:r>
      <w:r w:rsidR="005F4139">
        <w:t>e stilistischen Zeichenprozesse, analytis</w:t>
      </w:r>
      <w:r w:rsidR="00C2659E">
        <w:t>ch klärt und formal beschreibt.</w:t>
      </w:r>
    </w:p>
    <w:p w:rsidR="00C801C7" w:rsidRPr="005E362E" w:rsidRDefault="005F4139">
      <w:pPr>
        <w:pStyle w:val="Text"/>
      </w:pPr>
      <w:r>
        <w:t>Aufgrund von (2) kann von der Grundlegung einer allgemeinen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t xml:space="preserve"> g</w:t>
      </w:r>
      <w:r>
        <w:t>e</w:t>
      </w:r>
      <w:r>
        <w:t xml:space="preserve">sprochen werden, die </w:t>
      </w:r>
      <w:r w:rsidR="00B55E6A">
        <w:t xml:space="preserve">eine Beschreibung des Zeichenprozesses liefert, der </w:t>
      </w:r>
      <w:r w:rsidR="00C2659E">
        <w:t xml:space="preserve">allen </w:t>
      </w:r>
      <w:r w:rsidR="00B55E6A">
        <w:t>Stil</w:t>
      </w:r>
      <w:r w:rsidR="00C2659E">
        <w:t>en</w:t>
      </w:r>
      <w:r w:rsidR="00B55E6A">
        <w:t xml:space="preserve"> gemeinsam ist.</w:t>
      </w:r>
      <w:r w:rsidR="00B55E6A">
        <w:rPr>
          <w:rStyle w:val="Funotenzeichen"/>
        </w:rPr>
        <w:footnoteReference w:id="18"/>
      </w:r>
      <w:r w:rsidR="005E362E">
        <w:t xml:space="preserve"> Zusammen mit den bereichsspezifi</w:t>
      </w:r>
      <w:r w:rsidR="00C2659E">
        <w:t xml:space="preserve">schen Stiltheorien, </w:t>
      </w:r>
      <w:r w:rsidR="005E362E">
        <w:t xml:space="preserve">die für </w:t>
      </w:r>
      <w:r w:rsidR="00C2659E">
        <w:t xml:space="preserve">einige </w:t>
      </w:r>
      <w:r w:rsidR="005E362E">
        <w:t xml:space="preserve">Bereiche gut ausgearbeitet sind, während sie für andere </w:t>
      </w:r>
      <w:r w:rsidR="00C2659E">
        <w:t xml:space="preserve">bislang </w:t>
      </w:r>
      <w:r w:rsidR="005E362E">
        <w:t>noch weitgehend fehlen, bildet diese allgemeine Perspektive die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5E362E">
        <w:t xml:space="preserve"> oder Stilistik.</w:t>
      </w:r>
      <w:r w:rsidR="005E362E">
        <w:rPr>
          <w:rStyle w:val="Funotenzeichen"/>
        </w:rPr>
        <w:footnoteReference w:id="19"/>
      </w:r>
    </w:p>
    <w:p w:rsidR="00D2554C" w:rsidRDefault="00D2554C">
      <w:pPr>
        <w:pStyle w:val="Titel2"/>
      </w:pPr>
      <w:bookmarkStart w:id="15" w:name="_Ref225310107"/>
      <w:bookmarkStart w:id="16" w:name="_Ref267660778"/>
      <w:bookmarkStart w:id="17" w:name="_Toc325456692"/>
      <w:bookmarkStart w:id="18" w:name="Begriffsexplikation"/>
      <w:bookmarkStart w:id="19" w:name="Stilmodell"/>
      <w:r>
        <w:t>Begriffs</w:t>
      </w:r>
      <w:r w:rsidR="005413B7">
        <w:t>explikation</w:t>
      </w:r>
      <w:r>
        <w:t xml:space="preserve"> und Modell</w:t>
      </w:r>
      <w:bookmarkEnd w:id="15"/>
      <w:r w:rsidR="00A72A12">
        <w:t>ierung</w:t>
      </w:r>
      <w:bookmarkEnd w:id="16"/>
      <w:bookmarkEnd w:id="17"/>
    </w:p>
    <w:p w:rsidR="00331B28" w:rsidRDefault="005D7996" w:rsidP="00A937B9">
      <w:pPr>
        <w:pStyle w:val="Text"/>
        <w:ind w:firstLine="0"/>
      </w:pPr>
      <w:r>
        <w:fldChar w:fldCharType="begin"/>
      </w:r>
      <w:r w:rsidR="00D9781B">
        <w:instrText xml:space="preserve"> XE "</w:instrText>
      </w:r>
      <w:r w:rsidR="00D9781B" w:rsidRPr="006256A5">
        <w:instrText>Stil</w:instrText>
      </w:r>
      <w:r w:rsidR="00D9781B">
        <w:instrText xml:space="preserve">modell" \r "Stilmodell" </w:instrText>
      </w:r>
      <w:r>
        <w:fldChar w:fldCharType="end"/>
      </w:r>
      <w:r>
        <w:fldChar w:fldCharType="begin"/>
      </w:r>
      <w:r w:rsidR="004829A5">
        <w:instrText xml:space="preserve"> XE "Begriffsexplikation" \r "</w:instrText>
      </w:r>
      <w:r w:rsidR="00BB0677">
        <w:instrText>Begriffsexplikation</w:instrText>
      </w:r>
      <w:r w:rsidR="004829A5">
        <w:instrText xml:space="preserve">" </w:instrText>
      </w:r>
      <w:r>
        <w:fldChar w:fldCharType="end"/>
      </w:r>
      <w:r>
        <w:fldChar w:fldCharType="begin"/>
      </w:r>
      <w:r w:rsidR="004829A5">
        <w:instrText xml:space="preserve"> XE "Modellierung" \r "</w:instrText>
      </w:r>
      <w:r w:rsidR="00BB0677">
        <w:instrText>Begriffsexplikation</w:instrText>
      </w:r>
      <w:r w:rsidR="004829A5">
        <w:instrText xml:space="preserve">" </w:instrText>
      </w:r>
      <w:r>
        <w:fldChar w:fldCharType="end"/>
      </w:r>
      <w:r w:rsidR="00340DA6">
        <w:t xml:space="preserve">Die hier </w:t>
      </w:r>
      <w:r w:rsidR="00625D88">
        <w:t xml:space="preserve">vorgestellte Stiltheorie wurde mit Hilfe von zwei </w:t>
      </w:r>
      <w:r w:rsidR="00C2659E">
        <w:t>methodische</w:t>
      </w:r>
      <w:r w:rsidR="00625D88">
        <w:t>n</w:t>
      </w:r>
      <w:r w:rsidR="00A72A12">
        <w:t xml:space="preserve"> Ansä</w:t>
      </w:r>
      <w:r w:rsidR="00A72A12">
        <w:t>t</w:t>
      </w:r>
      <w:r w:rsidR="00A72A12">
        <w:t>ze</w:t>
      </w:r>
      <w:r w:rsidR="00625D88">
        <w:t>n entwickelt</w:t>
      </w:r>
      <w:r w:rsidR="00665B5B">
        <w:t>:</w:t>
      </w:r>
    </w:p>
    <w:p w:rsidR="00331B28" w:rsidRDefault="00331B28" w:rsidP="00717BD1">
      <w:pPr>
        <w:pStyle w:val="Formel"/>
        <w:ind w:hanging="397"/>
        <w:jc w:val="both"/>
      </w:pPr>
      <w:r>
        <w:t>(1)</w:t>
      </w:r>
      <w:r>
        <w:tab/>
      </w:r>
      <w:r w:rsidRPr="00331B28">
        <w:rPr>
          <w:i/>
        </w:rPr>
        <w:t>Begriffsexplikation</w:t>
      </w:r>
      <w:r w:rsidR="00665B5B">
        <w:rPr>
          <w:i/>
        </w:rPr>
        <w:t>:</w:t>
      </w:r>
      <w:r>
        <w:t xml:space="preserve"> </w:t>
      </w:r>
      <w:r w:rsidR="00665B5B">
        <w:t xml:space="preserve">Darunter wird der </w:t>
      </w:r>
      <w:r>
        <w:t>Anspruch</w:t>
      </w:r>
      <w:r w:rsidR="00665B5B">
        <w:t xml:space="preserve"> verstanden</w:t>
      </w:r>
      <w:r>
        <w:t>, den im alltägl</w:t>
      </w:r>
      <w:r>
        <w:t>i</w:t>
      </w:r>
      <w:r>
        <w:t xml:space="preserve">chen Sprechen ebenso wie in </w:t>
      </w:r>
      <w:r w:rsidR="00285424">
        <w:t xml:space="preserve">der wissenschaftlichen Fachliteratur </w:t>
      </w:r>
      <w:r>
        <w:t>gebräuc</w:t>
      </w:r>
      <w:r>
        <w:t>h</w:t>
      </w:r>
      <w:r>
        <w:t xml:space="preserve">lichen Begriff ‚Stil‘ </w:t>
      </w:r>
      <w:r w:rsidR="00AB3ACC">
        <w:t>zu untersuchen und durch eine Definition zu präzisi</w:t>
      </w:r>
      <w:r w:rsidR="00AB3ACC">
        <w:t>e</w:t>
      </w:r>
      <w:r w:rsidR="00AB3ACC">
        <w:t>ren, die die wesentlichen Aspekte umfasst.</w:t>
      </w:r>
    </w:p>
    <w:p w:rsidR="00331B28" w:rsidRDefault="00331B28" w:rsidP="00717BD1">
      <w:pPr>
        <w:pStyle w:val="Formel"/>
        <w:ind w:hanging="397"/>
        <w:jc w:val="both"/>
      </w:pPr>
      <w:r>
        <w:lastRenderedPageBreak/>
        <w:t>(2)</w:t>
      </w:r>
      <w:r>
        <w:tab/>
      </w:r>
      <w:r w:rsidRPr="00331B28">
        <w:rPr>
          <w:i/>
        </w:rPr>
        <w:t>Modellierung</w:t>
      </w:r>
      <w:r w:rsidR="00665B5B">
        <w:t xml:space="preserve">: Darunter wird der </w:t>
      </w:r>
      <w:r>
        <w:t>Anspruch</w:t>
      </w:r>
      <w:r w:rsidR="00665B5B">
        <w:t xml:space="preserve"> verstanden</w:t>
      </w:r>
      <w:r>
        <w:t xml:space="preserve">, </w:t>
      </w:r>
      <w:r w:rsidR="00665B5B">
        <w:t>ein Modell zu ko</w:t>
      </w:r>
      <w:r w:rsidR="00665B5B">
        <w:t>n</w:t>
      </w:r>
      <w:r w:rsidR="00665B5B">
        <w:t>struieren, das das Phänomen</w:t>
      </w:r>
      <w:r w:rsidR="0029424E">
        <w:rPr>
          <w:rStyle w:val="Funotenzeichen"/>
        </w:rPr>
        <w:footnoteReference w:id="20"/>
      </w:r>
      <w:r w:rsidR="00665B5B">
        <w:t xml:space="preserve"> Stil, bei dem es sich um eine</w:t>
      </w:r>
      <w:r w:rsidR="00DD36BC">
        <w:t>n</w:t>
      </w:r>
      <w:r w:rsidR="00665B5B">
        <w:t xml:space="preserve"> bestimmte</w:t>
      </w:r>
      <w:r w:rsidR="00DD36BC">
        <w:t>n</w:t>
      </w:r>
      <w:r w:rsidR="00665B5B">
        <w:t xml:space="preserve"> Zeichenprozess</w:t>
      </w:r>
      <w:r w:rsidR="00DD36BC">
        <w:t>typ</w:t>
      </w:r>
      <w:r w:rsidR="005D7996">
        <w:fldChar w:fldCharType="begin"/>
      </w:r>
      <w:r w:rsidR="00741F8C">
        <w:instrText xml:space="preserve"> XE "</w:instrText>
      </w:r>
      <w:r w:rsidR="00741F8C" w:rsidRPr="002D4E66">
        <w:instrText>Stil:als Zeichenprozesstyp</w:instrText>
      </w:r>
      <w:r w:rsidR="00741F8C">
        <w:instrText xml:space="preserve">" </w:instrText>
      </w:r>
      <w:r w:rsidR="005D7996">
        <w:fldChar w:fldCharType="end"/>
      </w:r>
      <w:r w:rsidR="00665B5B">
        <w:t xml:space="preserve"> handelt, in seiner Funktionsweise darstellt.</w:t>
      </w:r>
    </w:p>
    <w:p w:rsidR="00314978" w:rsidRDefault="00331B28" w:rsidP="00717BD1">
      <w:pPr>
        <w:pStyle w:val="Text"/>
        <w:ind w:firstLine="0"/>
      </w:pPr>
      <w:r>
        <w:t>Zu (1):</w:t>
      </w:r>
      <w:r>
        <w:tab/>
      </w:r>
      <w:r w:rsidR="00314978">
        <w:t xml:space="preserve">„Stil“ ist ein Wort der </w:t>
      </w:r>
      <w:r w:rsidR="00296AF7">
        <w:t xml:space="preserve">deutschen </w:t>
      </w:r>
      <w:r w:rsidR="00314978">
        <w:t>Sprache,</w:t>
      </w:r>
      <w:r w:rsidR="00296AF7">
        <w:t xml:space="preserve"> d</w:t>
      </w:r>
      <w:r w:rsidR="0098616A">
        <w:t>essen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98616A">
        <w:t xml:space="preserve"> als </w:t>
      </w:r>
      <w:r w:rsidR="00296AF7">
        <w:t>natür</w:t>
      </w:r>
      <w:r w:rsidR="00EF517E">
        <w:softHyphen/>
      </w:r>
      <w:r w:rsidR="00296AF7">
        <w:t>lich</w:t>
      </w:r>
      <w:r w:rsidR="00EF517E">
        <w:softHyphen/>
      </w:r>
      <w:r w:rsidR="00296AF7">
        <w:t>sprachliche</w:t>
      </w:r>
      <w:r w:rsidR="0098616A">
        <w:t>r</w:t>
      </w:r>
      <w:r w:rsidR="00296AF7">
        <w:t xml:space="preserve"> Begriff</w:t>
      </w:r>
      <w:r w:rsidR="005D7996">
        <w:fldChar w:fldCharType="begin"/>
      </w:r>
      <w:r w:rsidR="00D77298">
        <w:instrText xml:space="preserve"> XE "</w:instrText>
      </w:r>
      <w:r w:rsidR="00D77298" w:rsidRPr="00B0285A">
        <w:instrText>Begriff, natürlichsprachlicher</w:instrText>
      </w:r>
      <w:r w:rsidR="00D77298">
        <w:instrText xml:space="preserve">" </w:instrText>
      </w:r>
      <w:r w:rsidR="005D7996">
        <w:fldChar w:fldCharType="end"/>
      </w:r>
      <w:r w:rsidR="0039444F">
        <w:rPr>
          <w:rStyle w:val="Funotenzeichen"/>
        </w:rPr>
        <w:footnoteReference w:id="21"/>
      </w:r>
      <w:r w:rsidR="00296AF7">
        <w:t xml:space="preserve"> </w:t>
      </w:r>
      <w:r w:rsidR="0098616A">
        <w:t>aufgefasst werden kann</w:t>
      </w:r>
      <w:r w:rsidR="00296AF7">
        <w:t>,</w:t>
      </w:r>
      <w:r w:rsidR="00314978">
        <w:t xml:space="preserve"> </w:t>
      </w:r>
      <w:r w:rsidR="00296AF7">
        <w:t>für den es auch in vielen and</w:t>
      </w:r>
      <w:r w:rsidR="00296AF7">
        <w:t>e</w:t>
      </w:r>
      <w:r w:rsidR="00296AF7">
        <w:t xml:space="preserve">ren Sprachen </w:t>
      </w:r>
      <w:r w:rsidR="003C6747">
        <w:t xml:space="preserve">Wörter </w:t>
      </w:r>
      <w:r w:rsidR="00296AF7">
        <w:t>gibt (e</w:t>
      </w:r>
      <w:r w:rsidR="00B95836">
        <w:t xml:space="preserve">ngl. „style“, frz. „style“, </w:t>
      </w:r>
      <w:r w:rsidR="00296AF7">
        <w:t>ital. „stile“</w:t>
      </w:r>
      <w:r w:rsidR="00B95836">
        <w:t>,</w:t>
      </w:r>
      <w:r w:rsidR="00B95836" w:rsidRPr="00B95836">
        <w:t xml:space="preserve"> </w:t>
      </w:r>
      <w:r w:rsidR="00B95836">
        <w:t xml:space="preserve">span. „estilo“ </w:t>
      </w:r>
      <w:r w:rsidR="00296AF7">
        <w:t xml:space="preserve">usw.). </w:t>
      </w:r>
      <w:r w:rsidR="005236D1">
        <w:t xml:space="preserve">Der Begriff </w:t>
      </w:r>
      <w:r w:rsidR="005413B7">
        <w:t>‚</w:t>
      </w:r>
      <w:r w:rsidR="005236D1">
        <w:t>Stil</w:t>
      </w:r>
      <w:r w:rsidR="005413B7">
        <w:t>‘</w:t>
      </w:r>
      <w:r w:rsidR="00296AF7">
        <w:t xml:space="preserve"> </w:t>
      </w:r>
      <w:r w:rsidR="005236D1">
        <w:t xml:space="preserve">hat </w:t>
      </w:r>
      <w:r w:rsidR="00314978">
        <w:t xml:space="preserve">dabei </w:t>
      </w:r>
      <w:r w:rsidR="005236D1">
        <w:t>eine lange und wechselvolle Geschichte</w:t>
      </w:r>
      <w:r w:rsidR="00314978">
        <w:t>, inne</w:t>
      </w:r>
      <w:r w:rsidR="00314978">
        <w:t>r</w:t>
      </w:r>
      <w:r w:rsidR="00314978">
        <w:t xml:space="preserve">halb derer zahlreiche unterschiedliche </w:t>
      </w:r>
      <w:r w:rsidR="00284970">
        <w:t>D</w:t>
      </w:r>
      <w:r w:rsidR="00314978">
        <w:t>efinitionen gegeben wurden.</w:t>
      </w:r>
      <w:r w:rsidR="005236D1">
        <w:rPr>
          <w:rStyle w:val="Funotenzeichen"/>
        </w:rPr>
        <w:footnoteReference w:id="22"/>
      </w:r>
      <w:r w:rsidR="00314978">
        <w:t xml:space="preserve"> </w:t>
      </w:r>
      <w:r w:rsidR="00284970">
        <w:t xml:space="preserve">Es scheint also keineswegs klar zu sein, welche Bedeutung mit dem </w:t>
      </w:r>
      <w:r w:rsidR="00A72A12">
        <w:t xml:space="preserve">im Alltag verwendeten </w:t>
      </w:r>
      <w:r w:rsidR="00284970">
        <w:t xml:space="preserve">Wort „Stil“ </w:t>
      </w:r>
      <w:r w:rsidR="00AB3ACC">
        <w:t xml:space="preserve">genau </w:t>
      </w:r>
      <w:r w:rsidR="00284970">
        <w:t>zu verbinden ist; in Fachdiskursen scheint sogar noch eine größere Varianz der Bedeutungen vorzuliegen als in der natürlichen Sprache.</w:t>
      </w:r>
      <w:r w:rsidR="00581B27">
        <w:rPr>
          <w:rStyle w:val="Funotenzeichen"/>
        </w:rPr>
        <w:footnoteReference w:id="23"/>
      </w:r>
    </w:p>
    <w:p w:rsidR="00194920" w:rsidRDefault="00314978">
      <w:pPr>
        <w:pStyle w:val="Text"/>
      </w:pPr>
      <w:r>
        <w:t>Rudolf Carnap</w:t>
      </w:r>
      <w:r w:rsidR="005D7996">
        <w:fldChar w:fldCharType="begin"/>
      </w:r>
      <w:r w:rsidR="003D45C2">
        <w:instrText xml:space="preserve"> XE "</w:instrText>
      </w:r>
      <w:r w:rsidR="003D45C2" w:rsidRPr="00E41A8E">
        <w:instrText>Carnap, Rudolf</w:instrText>
      </w:r>
      <w:r w:rsidR="003D45C2">
        <w:instrText xml:space="preserve">" </w:instrText>
      </w:r>
      <w:r w:rsidR="005D7996">
        <w:fldChar w:fldCharType="end"/>
      </w:r>
      <w:r>
        <w:t xml:space="preserve"> sah es als eine der wichtigsten Aufgaben der Philosophie an, </w:t>
      </w:r>
      <w:r w:rsidR="00167D61">
        <w:t xml:space="preserve">nicht ausreichend geklärte </w:t>
      </w:r>
      <w:r>
        <w:t>Begriffe durch eine Nachkonstruktion zu präzisieren. Dies gilt vor allem für vage oder unscharfe Begriffe; und mit einem solchen scheint man es bei ‚Stil‘</w:t>
      </w:r>
      <w:r w:rsidR="00284970">
        <w:t xml:space="preserve"> zu tun zu haben</w:t>
      </w:r>
      <w:r w:rsidR="00167D61">
        <w:t>.</w:t>
      </w:r>
      <w:r w:rsidR="00A72A12">
        <w:rPr>
          <w:rStyle w:val="Funotenzeichen"/>
          <w:iCs/>
        </w:rPr>
        <w:footnoteReference w:id="24"/>
      </w:r>
    </w:p>
    <w:p w:rsidR="00314978" w:rsidRDefault="00314978" w:rsidP="00194920">
      <w:pPr>
        <w:pStyle w:val="Zitat"/>
      </w:pPr>
      <w:r w:rsidRPr="00314978">
        <w:t>Das Explikandum kann der Sprache des Alltags oder einem frühen Stadium der Wissenschaftssprache entnommen sein. Das Explikat muß durch explizite R</w:t>
      </w:r>
      <w:r w:rsidRPr="00314978">
        <w:t>e</w:t>
      </w:r>
      <w:r w:rsidRPr="00314978">
        <w:t>geln für seine Anwendung gegeben werden. Dies kann z.B durch eine Definit</w:t>
      </w:r>
      <w:r w:rsidRPr="00314978">
        <w:t>i</w:t>
      </w:r>
      <w:r w:rsidRPr="00314978">
        <w:t>on geschehen, welche diesen Begriff in ein bereits vorhandenes System</w:t>
      </w:r>
      <w:r w:rsidR="005D7996">
        <w:fldChar w:fldCharType="begin"/>
      </w:r>
      <w:r w:rsidR="006F0E69">
        <w:instrText xml:space="preserve"> XE "</w:instrText>
      </w:r>
      <w:r w:rsidR="006F0E69" w:rsidRPr="009C4EB7">
        <w:instrText>System</w:instrText>
      </w:r>
      <w:r w:rsidR="006F0E69">
        <w:instrText xml:space="preserve">" </w:instrText>
      </w:r>
      <w:r w:rsidR="005D7996">
        <w:fldChar w:fldCharType="end"/>
      </w:r>
      <w:r w:rsidRPr="00314978">
        <w:t xml:space="preserve"> von logischmathematischen oder empirischen Begriffen einordnet.</w:t>
      </w:r>
    </w:p>
    <w:p w:rsidR="00F21C62" w:rsidRDefault="00194920" w:rsidP="00D461CD">
      <w:pPr>
        <w:pStyle w:val="Text"/>
        <w:ind w:firstLine="0"/>
      </w:pPr>
      <w:r>
        <w:lastRenderedPageBreak/>
        <w:t>Die Explikation klärt also (im Gegensatz zur semantischen Analyse) nicht nur den Sprachgebrauch, sondern will den vorgefundenen Begriff, sei dies nun der Inhalt eines Worts der natürlichen Sprache oder ein Begriff früherer Fachdisku</w:t>
      </w:r>
      <w:r>
        <w:t>r</w:t>
      </w:r>
      <w:r>
        <w:t xml:space="preserve">se, </w:t>
      </w:r>
      <w:r w:rsidR="00F21C62">
        <w:t>präzisieren, indem</w:t>
      </w:r>
      <w:r w:rsidR="00A72A12">
        <w:t xml:space="preserve"> </w:t>
      </w:r>
      <w:r w:rsidR="000D0B66">
        <w:t xml:space="preserve">sie </w:t>
      </w:r>
      <w:r w:rsidR="00A72A12">
        <w:t>semantische Mehrdeutigkeit</w:t>
      </w:r>
      <w:r w:rsidR="00F21C62">
        <w:t xml:space="preserve"> und begriffliche Unschä</w:t>
      </w:r>
      <w:r w:rsidR="00F21C62">
        <w:t>r</w:t>
      </w:r>
      <w:r w:rsidR="00F21C62">
        <w:t xml:space="preserve">fe beseitigt. Da das Explikat verändernd in das Explikandum eingreift, ist es nicht richtig oder falsch; es kann aber nach verschiedenen Kriterien beurteilt werden (nämlich nach seiner Ähnlichkeit zum </w:t>
      </w:r>
      <w:r w:rsidR="00EF4CD9">
        <w:t>Explikandum</w:t>
      </w:r>
      <w:r w:rsidR="00F21C62">
        <w:t>, seiner Exaktheit, seiner wissenschaftlichen Nützlichkeit und seiner Einfachheit).</w:t>
      </w:r>
    </w:p>
    <w:p w:rsidR="00710F03" w:rsidRDefault="00F21C62">
      <w:pPr>
        <w:pStyle w:val="Text"/>
      </w:pPr>
      <w:r>
        <w:t>Will man einen Begriff explizieren, arbeitet man mit Beispielen und ve</w:t>
      </w:r>
      <w:r>
        <w:t>r</w:t>
      </w:r>
      <w:r>
        <w:t xml:space="preserve">sucht, aus diesen zu abstrahieren, was als </w:t>
      </w:r>
      <w:r w:rsidR="00167D61">
        <w:t>K</w:t>
      </w:r>
      <w:r>
        <w:t xml:space="preserve">ern </w:t>
      </w:r>
      <w:r w:rsidR="00710F03">
        <w:t xml:space="preserve">des Begriffs </w:t>
      </w:r>
      <w:r>
        <w:t>erscheint. Dabei kann man versuchen, mit Hilfe der Logik</w:t>
      </w:r>
      <w:r w:rsidR="005D7996">
        <w:fldChar w:fldCharType="begin"/>
      </w:r>
      <w:r w:rsidR="002117F9">
        <w:instrText xml:space="preserve"> XE "</w:instrText>
      </w:r>
      <w:r w:rsidR="002117F9" w:rsidRPr="003243E4">
        <w:instrText>Logik</w:instrText>
      </w:r>
      <w:r w:rsidR="002117F9">
        <w:instrText xml:space="preserve">" </w:instrText>
      </w:r>
      <w:r w:rsidR="005D7996">
        <w:fldChar w:fldCharType="end"/>
      </w:r>
      <w:r>
        <w:t xml:space="preserve"> oder mit einer Theorie eine Nachko</w:t>
      </w:r>
      <w:r>
        <w:t>n</w:t>
      </w:r>
      <w:r>
        <w:t xml:space="preserve">struktion </w:t>
      </w:r>
      <w:r w:rsidR="00167D61">
        <w:t xml:space="preserve">des Begriffs </w:t>
      </w:r>
      <w:r>
        <w:t>zu erzeugen, die von subjektiven Verwendungsunterschi</w:t>
      </w:r>
      <w:r>
        <w:t>e</w:t>
      </w:r>
      <w:r>
        <w:t xml:space="preserve">den, </w:t>
      </w:r>
      <w:r w:rsidR="00710F03">
        <w:t>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rsidR="00710F03">
        <w:t>, Präsuppositionen</w:t>
      </w:r>
      <w:r w:rsidR="005D7996">
        <w:fldChar w:fldCharType="begin"/>
      </w:r>
      <w:r w:rsidR="00795F2C">
        <w:instrText xml:space="preserve"> XE "</w:instrText>
      </w:r>
      <w:r w:rsidR="00795F2C" w:rsidRPr="009F6A7F">
        <w:instrText>Präsupposition</w:instrText>
      </w:r>
      <w:r w:rsidR="00795F2C">
        <w:instrText xml:space="preserve">" </w:instrText>
      </w:r>
      <w:r w:rsidR="005D7996">
        <w:fldChar w:fldCharType="end"/>
      </w:r>
      <w:r w:rsidR="00710F03">
        <w:t xml:space="preserve"> </w:t>
      </w:r>
      <w:r>
        <w:t xml:space="preserve">usw. frei ist. </w:t>
      </w:r>
      <w:r w:rsidR="00710F03">
        <w:t>Alternativ dazu kann man Beispiele konstruieren, die Gr</w:t>
      </w:r>
      <w:r w:rsidR="00A72A12">
        <w:t xml:space="preserve">enzfälle möglicher Bedeutungen </w:t>
      </w:r>
      <w:r w:rsidR="00710F03">
        <w:t>darstellen, und mit Hilfe der Erkenntnisse aus diesen Beispielen – die in eindeutigen Fällen durch das Sprachgefühl des Explizierenden, in unklaren Fällen durch empirische Studien gewonnen werden können – die notwendigen und hinreichenden Bedi</w:t>
      </w:r>
      <w:r w:rsidR="00710F03">
        <w:t>n</w:t>
      </w:r>
      <w:r w:rsidR="00710F03">
        <w:t xml:space="preserve">gungen festlegen, die die </w:t>
      </w:r>
      <w:r w:rsidR="001B1611">
        <w:t>I</w:t>
      </w:r>
      <w:r w:rsidR="00710F03">
        <w:t>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710F03">
        <w:t xml:space="preserve"> </w:t>
      </w:r>
      <w:r w:rsidR="001B1611">
        <w:t xml:space="preserve">des Begriffs </w:t>
      </w:r>
      <w:r w:rsidR="00710F03">
        <w:t>bilden.</w:t>
      </w:r>
    </w:p>
    <w:p w:rsidR="00331B28" w:rsidRDefault="00737B5A">
      <w:pPr>
        <w:pStyle w:val="Text"/>
      </w:pPr>
      <w:r>
        <w:t xml:space="preserve">Im vorliegenden Fall </w:t>
      </w:r>
      <w:r w:rsidR="00152ABE">
        <w:t>handelt es sich nur</w:t>
      </w:r>
      <w:r>
        <w:t xml:space="preserve"> im weiteren Sinn </w:t>
      </w:r>
      <w:r w:rsidR="00152ABE">
        <w:t>um eine Begriff</w:t>
      </w:r>
      <w:r w:rsidR="00152ABE">
        <w:t>s</w:t>
      </w:r>
      <w:r w:rsidR="00152ABE">
        <w:t>explikation</w:t>
      </w:r>
      <w:r>
        <w:t xml:space="preserve">. Es wird nicht versucht, der </w:t>
      </w:r>
      <w:r>
        <w:rPr>
          <w:i/>
        </w:rPr>
        <w:t>In</w:t>
      </w:r>
      <w:r w:rsidRPr="00E73C5F">
        <w:rPr>
          <w:i/>
        </w:rPr>
        <w:t>tension</w:t>
      </w:r>
      <w:r w:rsidR="005D7996">
        <w:rPr>
          <w:i/>
        </w:rPr>
        <w:fldChar w:fldCharType="begin"/>
      </w:r>
      <w:r w:rsidR="003D45C2">
        <w:instrText xml:space="preserve"> XE "</w:instrText>
      </w:r>
      <w:r w:rsidR="003D45C2" w:rsidRPr="0018783F">
        <w:instrText>Intension</w:instrText>
      </w:r>
      <w:r w:rsidR="003D45C2">
        <w:instrText xml:space="preserve">" </w:instrText>
      </w:r>
      <w:r w:rsidR="005D7996">
        <w:rPr>
          <w:i/>
        </w:rPr>
        <w:fldChar w:fldCharType="end"/>
      </w:r>
      <w:r>
        <w:t xml:space="preserve"> </w:t>
      </w:r>
      <w:r w:rsidR="001B1611">
        <w:t xml:space="preserve">des Begriffs (= Begriffsinhalt) </w:t>
      </w:r>
      <w:r>
        <w:t>in seiner natürlichsprachlichen Verwendung gerecht zu werden</w:t>
      </w:r>
      <w:r w:rsidR="00C86C1E">
        <w:t xml:space="preserve">; dies wäre auch schwierig, da die Intension des Begriffs nicht einfach mit den Vorstellungen der Menschen über Stil gleichgesetzt werden kann, und nur die letzteren lassen sich durch Befragung herausfinden. Vielmehr wird der </w:t>
      </w:r>
      <w:r>
        <w:t xml:space="preserve">Schwerpunkt auf die </w:t>
      </w:r>
      <w:r w:rsidRPr="00737B5A">
        <w:rPr>
          <w:i/>
        </w:rPr>
        <w:t>Extension</w:t>
      </w:r>
      <w:r w:rsidR="005D7996">
        <w:rPr>
          <w:i/>
        </w:rPr>
        <w:fldChar w:fldCharType="begin"/>
      </w:r>
      <w:r w:rsidR="003D45C2">
        <w:instrText xml:space="preserve"> XE "</w:instrText>
      </w:r>
      <w:r w:rsidR="003D45C2" w:rsidRPr="0018783F">
        <w:instrText>Extension</w:instrText>
      </w:r>
      <w:r w:rsidR="003D45C2">
        <w:instrText xml:space="preserve">" </w:instrText>
      </w:r>
      <w:r w:rsidR="005D7996">
        <w:rPr>
          <w:i/>
        </w:rPr>
        <w:fldChar w:fldCharType="end"/>
      </w:r>
      <w:r>
        <w:t xml:space="preserve"> </w:t>
      </w:r>
      <w:r w:rsidR="001B1611">
        <w:t xml:space="preserve">(= Begriffsumfang) </w:t>
      </w:r>
      <w:r>
        <w:t xml:space="preserve">gelegt: </w:t>
      </w:r>
      <w:r w:rsidR="00C86C1E">
        <w:t xml:space="preserve">Es werden theoretische </w:t>
      </w:r>
      <w:r>
        <w:t>Grundentscheidungen a</w:t>
      </w:r>
      <w:r>
        <w:t>n</w:t>
      </w:r>
      <w:r>
        <w:t xml:space="preserve">hand von Beispielen und Gedankenexperimenten so getroffen, dass </w:t>
      </w:r>
      <w:r w:rsidR="00C86C1E">
        <w:t xml:space="preserve">die </w:t>
      </w:r>
      <w:r w:rsidR="000D0B66">
        <w:t>Stilt</w:t>
      </w:r>
      <w:r w:rsidR="00C86C1E">
        <w:t>he</w:t>
      </w:r>
      <w:r w:rsidR="00C86C1E">
        <w:t>o</w:t>
      </w:r>
      <w:r w:rsidR="00C86C1E">
        <w:t xml:space="preserve">rie </w:t>
      </w:r>
      <w:r>
        <w:t>dieselben Phänomene erfasst wie der natürlichsprachliche Begriff</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t>.</w:t>
      </w:r>
    </w:p>
    <w:p w:rsidR="0028687F" w:rsidRDefault="00331B28" w:rsidP="00D461CD">
      <w:pPr>
        <w:pStyle w:val="Text"/>
        <w:spacing w:before="240"/>
        <w:ind w:firstLine="0"/>
      </w:pPr>
      <w:r>
        <w:t>Zu (2):</w:t>
      </w:r>
      <w:r>
        <w:tab/>
      </w:r>
      <w:r w:rsidR="00DD4097">
        <w:t xml:space="preserve">Die </w:t>
      </w:r>
      <w:r w:rsidR="009E2A0F">
        <w:t xml:space="preserve">Modellierung eines Phänomens bildet wesentliche </w:t>
      </w:r>
      <w:r w:rsidR="000A08E5">
        <w:t xml:space="preserve">Bestandteile </w:t>
      </w:r>
      <w:r w:rsidR="009E2A0F">
        <w:t xml:space="preserve">und </w:t>
      </w:r>
      <w:r w:rsidR="000B1534">
        <w:t>Relationen</w:t>
      </w:r>
      <w:r w:rsidR="009E2A0F">
        <w:t xml:space="preserve"> zwischen den </w:t>
      </w:r>
      <w:r w:rsidR="000A08E5">
        <w:t xml:space="preserve">Bestandteilen </w:t>
      </w:r>
      <w:r w:rsidR="009E2A0F">
        <w:t xml:space="preserve">nach mit dem Anspruch, bestimmte Eigenschaften des Phänomens </w:t>
      </w:r>
      <w:r w:rsidR="00D907BD">
        <w:t>abbilden</w:t>
      </w:r>
      <w:r w:rsidR="009E2A0F">
        <w:t xml:space="preserve"> zu können</w:t>
      </w:r>
      <w:r w:rsidR="0080374D">
        <w:t xml:space="preserve"> (</w:t>
      </w:r>
      <w:r w:rsidR="0080374D" w:rsidRPr="00A72A12">
        <w:rPr>
          <w:i/>
        </w:rPr>
        <w:t>Abbildungsmerkmal</w:t>
      </w:r>
      <w:r w:rsidR="0080374D">
        <w:t>)</w:t>
      </w:r>
      <w:r w:rsidR="009E2A0F">
        <w:t xml:space="preserve">. </w:t>
      </w:r>
      <w:r w:rsidR="0028687F">
        <w:t>And</w:t>
      </w:r>
      <w:r w:rsidR="0028687F">
        <w:t>e</w:t>
      </w:r>
      <w:r w:rsidR="0028687F">
        <w:t>re Eigenschaften werden gezielt weggelassen, um die Komplexität gegenüber dem Phänomen zu reduzieren oder um die Darstellung in einem bestimmten Medium (beispielsweise einer dreidimensionalen Visualisierung, der Sprache, einem Formalismus oder einem Computerprogramm</w:t>
      </w:r>
      <w:r w:rsidR="005D7996">
        <w:fldChar w:fldCharType="begin"/>
      </w:r>
      <w:r w:rsidR="00D25476">
        <w:instrText xml:space="preserve"> XE "</w:instrText>
      </w:r>
      <w:r w:rsidR="00D25476" w:rsidRPr="002209FF">
        <w:instrText>Computerprogramm</w:instrText>
      </w:r>
      <w:r w:rsidR="00D25476">
        <w:instrText xml:space="preserve">" </w:instrText>
      </w:r>
      <w:r w:rsidR="005D7996">
        <w:fldChar w:fldCharType="end"/>
      </w:r>
      <w:r w:rsidR="0028687F">
        <w:t>) überhaupt erst zu ermö</w:t>
      </w:r>
      <w:r w:rsidR="0028687F">
        <w:t>g</w:t>
      </w:r>
      <w:r w:rsidR="0028687F">
        <w:t>lichen</w:t>
      </w:r>
      <w:r w:rsidR="0080374D">
        <w:t xml:space="preserve"> (</w:t>
      </w:r>
      <w:r w:rsidR="0080374D" w:rsidRPr="00A72A12">
        <w:rPr>
          <w:i/>
        </w:rPr>
        <w:t>Verkürzungsmerkmal</w:t>
      </w:r>
      <w:r w:rsidR="0080374D">
        <w:t>)</w:t>
      </w:r>
      <w:r w:rsidR="0028687F">
        <w:t>.</w:t>
      </w:r>
      <w:r w:rsidR="0028687F">
        <w:rPr>
          <w:rStyle w:val="Funotenzeichen"/>
        </w:rPr>
        <w:footnoteReference w:id="25"/>
      </w:r>
    </w:p>
    <w:p w:rsidR="000B1534" w:rsidRDefault="009E2A0F">
      <w:pPr>
        <w:pStyle w:val="Text"/>
      </w:pPr>
      <w:r>
        <w:t xml:space="preserve">Welche Eigenschaften </w:t>
      </w:r>
      <w:r w:rsidR="00D907BD">
        <w:t>abgebildet</w:t>
      </w:r>
      <w:r w:rsidR="00C74A5F">
        <w:rPr>
          <w:rStyle w:val="Funotenzeichen"/>
        </w:rPr>
        <w:footnoteReference w:id="26"/>
      </w:r>
      <w:r>
        <w:t xml:space="preserve"> und auf welche verzichtet wird, </w:t>
      </w:r>
      <w:r w:rsidR="000B1534">
        <w:t>wird nach Möglichkeit angegeben; d</w:t>
      </w:r>
      <w:r>
        <w:t xml:space="preserve">er Wert eines Modells liegt </w:t>
      </w:r>
      <w:r w:rsidR="000B1534">
        <w:t xml:space="preserve">teilweise aber auch </w:t>
      </w:r>
      <w:r>
        <w:lastRenderedPageBreak/>
        <w:t xml:space="preserve">darin, </w:t>
      </w:r>
      <w:r w:rsidR="000B1534">
        <w:t>nach erfolgter Modellierung zu überprüfen, welche bekannten Eigenscha</w:t>
      </w:r>
      <w:r w:rsidR="000B1534">
        <w:t>f</w:t>
      </w:r>
      <w:r w:rsidR="000B1534">
        <w:t>ten des Phänomens modelliert wurden, und nachzuschauen, ob andere Eige</w:t>
      </w:r>
      <w:r w:rsidR="000B1534">
        <w:t>n</w:t>
      </w:r>
      <w:r w:rsidR="000B1534">
        <w:t>schaften des Modells möglicherweise auch am Phänomen auftreten. Ein Modell hat also nicht nur darstellende, sondern auch erkenntnisleitende Funktion.</w:t>
      </w:r>
    </w:p>
    <w:p w:rsidR="00CA1349" w:rsidRDefault="000B1534">
      <w:pPr>
        <w:pStyle w:val="Text"/>
      </w:pPr>
      <w:r>
        <w:t xml:space="preserve">Die Modellierung von Prozessen wird </w:t>
      </w:r>
      <w:r w:rsidR="004C5774">
        <w:t>also</w:t>
      </w:r>
      <w:r>
        <w:t xml:space="preserve"> versuchen, als wichtig erachtete Eigenschaften des Prozesses zu modellieren: Dies können quantitative Bezi</w:t>
      </w:r>
      <w:r>
        <w:t>e</w:t>
      </w:r>
      <w:r>
        <w:t>hungen</w:t>
      </w:r>
      <w:r w:rsidR="00E74A36">
        <w:t xml:space="preserve"> sein</w:t>
      </w:r>
      <w:r w:rsidR="004C5774">
        <w:t>, aber auch qualitative Unterscheidungen zwischen verschiedenen Verlaufsmöglichkeiten oder die Funktionsweise</w:t>
      </w:r>
      <w:r w:rsidR="009069E3">
        <w:t xml:space="preserve"> des Prozesses</w:t>
      </w:r>
      <w:r w:rsidR="00CA1349">
        <w:t>, wenn diese am Original nicht direkt wahrnehmbar oder sehr komplex ist.</w:t>
      </w:r>
    </w:p>
    <w:p w:rsidR="00CA1349" w:rsidRDefault="00CA1349">
      <w:pPr>
        <w:pStyle w:val="Text"/>
      </w:pPr>
      <w:r>
        <w:t>Bei der hier vorgenommenen Modellierung sollen vor allem zwei Eige</w:t>
      </w:r>
      <w:r>
        <w:t>n</w:t>
      </w:r>
      <w:r>
        <w:t>schaften des P</w:t>
      </w:r>
      <w:r w:rsidR="000618BE">
        <w:t>hänomens Stil modelliert werden, nämlich</w:t>
      </w:r>
    </w:p>
    <w:p w:rsidR="00CA1349" w:rsidRDefault="009F5438" w:rsidP="00EC5A83">
      <w:pPr>
        <w:pStyle w:val="Text"/>
        <w:ind w:firstLine="0"/>
      </w:pPr>
      <w:r>
        <w:tab/>
      </w:r>
      <w:r w:rsidR="00CA1349">
        <w:t>(a)</w:t>
      </w:r>
      <w:r w:rsidR="00CA1349">
        <w:tab/>
        <w:t xml:space="preserve">seine </w:t>
      </w:r>
      <w:r w:rsidR="00CA1349" w:rsidRPr="00CA1349">
        <w:rPr>
          <w:i/>
        </w:rPr>
        <w:t>Funktionsweise als Zeichenprozess</w:t>
      </w:r>
      <w:r w:rsidR="0019511E">
        <w:rPr>
          <w:i/>
        </w:rPr>
        <w:t>typ</w:t>
      </w:r>
      <w:r w:rsidR="00CA1349">
        <w:t>: Wie wird bei der Auswahl aus Möglichkeiten, die bei der Realisierung eines Schemas bestehen, Information in die Realisierung eingeschrieben, und wie wird diese Information wieder ausg</w:t>
      </w:r>
      <w:r w:rsidR="00CA1349">
        <w:t>e</w:t>
      </w:r>
      <w:r w:rsidR="00CA1349">
        <w:t>lesen (im Merkmalsprozess)? Wie werden aus dieser Information unter Hinz</w:t>
      </w:r>
      <w:r w:rsidR="00CA1349">
        <w:t>u</w:t>
      </w:r>
      <w:r w:rsidR="00CA1349">
        <w:t>ziehung von Hintergrundwissen weitergehende Informationen, Eindrücke usw. gewonnen (im Interpretationsprozess)?</w:t>
      </w:r>
    </w:p>
    <w:p w:rsidR="00CA1349" w:rsidRDefault="009F5438" w:rsidP="00EB7197">
      <w:pPr>
        <w:pStyle w:val="Text"/>
        <w:ind w:firstLine="0"/>
      </w:pPr>
      <w:r>
        <w:tab/>
      </w:r>
      <w:r w:rsidR="00CA1349">
        <w:t>(b)</w:t>
      </w:r>
      <w:r w:rsidR="00CA1349">
        <w:tab/>
        <w:t xml:space="preserve">seine </w:t>
      </w:r>
      <w:r w:rsidR="00CA1349" w:rsidRPr="00CA1349">
        <w:rPr>
          <w:i/>
        </w:rPr>
        <w:t>Extension</w:t>
      </w:r>
      <w:r w:rsidR="005D7996">
        <w:rPr>
          <w:i/>
        </w:rPr>
        <w:fldChar w:fldCharType="begin"/>
      </w:r>
      <w:r w:rsidR="003D45C2">
        <w:instrText xml:space="preserve"> XE "</w:instrText>
      </w:r>
      <w:r w:rsidR="003D45C2" w:rsidRPr="0018783F">
        <w:instrText>Extension</w:instrText>
      </w:r>
      <w:r w:rsidR="003D45C2">
        <w:instrText xml:space="preserve">" </w:instrText>
      </w:r>
      <w:r w:rsidR="005D7996">
        <w:rPr>
          <w:i/>
        </w:rPr>
        <w:fldChar w:fldCharType="end"/>
      </w:r>
      <w:r w:rsidR="000618BE">
        <w:t>:</w:t>
      </w:r>
      <w:r w:rsidR="00CA1349">
        <w:t xml:space="preserve"> Das Modell soll möglichst genau alle Phänomene und nur die Phänomene abbilden, die zum Phänomen Stil gehören. Dazu wird auf die Verwendung des alltagssprachlichen Worts „Stil“ zurückgegriffen.</w:t>
      </w:r>
    </w:p>
    <w:p w:rsidR="00516D85" w:rsidRPr="00516D85" w:rsidRDefault="00516D85" w:rsidP="00EB7197">
      <w:pPr>
        <w:pStyle w:val="Zwischenberschrift"/>
      </w:pPr>
      <w:r w:rsidRPr="00516D85">
        <w:t xml:space="preserve">Verbindung </w:t>
      </w:r>
      <w:r w:rsidR="00EB7197">
        <w:t xml:space="preserve">der beiden </w:t>
      </w:r>
      <w:r w:rsidR="00EB7197" w:rsidRPr="00EB7197">
        <w:t>methodischen</w:t>
      </w:r>
      <w:r w:rsidR="00EB7197">
        <w:t xml:space="preserve"> Ansätze</w:t>
      </w:r>
    </w:p>
    <w:p w:rsidR="006A16EE" w:rsidRDefault="006A16EE" w:rsidP="00E53738">
      <w:pPr>
        <w:pStyle w:val="Text"/>
        <w:ind w:firstLine="0"/>
      </w:pPr>
      <w:r>
        <w:t xml:space="preserve">Der Zusammenhang zwischen beiden methodischen Ansätzen ergibt sich aus </w:t>
      </w:r>
      <w:r w:rsidR="00C26291">
        <w:t xml:space="preserve">der folgenden </w:t>
      </w:r>
      <w:r>
        <w:t>Annahme:</w:t>
      </w:r>
    </w:p>
    <w:p w:rsidR="006A16EE" w:rsidRDefault="006A16EE" w:rsidP="005C4A63">
      <w:pPr>
        <w:pStyle w:val="Formel"/>
        <w:ind w:hanging="397"/>
        <w:jc w:val="both"/>
      </w:pPr>
      <w:r>
        <w:t>(</w:t>
      </w:r>
      <w:r w:rsidR="00C26291">
        <w:t>A</w:t>
      </w:r>
      <w:r w:rsidR="00992D14">
        <w:t>)</w:t>
      </w:r>
      <w:r w:rsidR="00992D14">
        <w:tab/>
        <w:t>Die verschiedenen Verwendungsweisen</w:t>
      </w:r>
      <w:r>
        <w:t xml:space="preserve"> des </w:t>
      </w:r>
      <w:r w:rsidR="00DE2BE3">
        <w:t>Wortes</w:t>
      </w:r>
      <w:r>
        <w:t xml:space="preserve"> </w:t>
      </w:r>
      <w:r w:rsidR="00DE2BE3">
        <w:t>„</w:t>
      </w:r>
      <w:r>
        <w:t>Stil</w:t>
      </w:r>
      <w:r w:rsidR="00DE2BE3">
        <w:t>“</w:t>
      </w:r>
      <w:r>
        <w:t>, sei es in der Al</w:t>
      </w:r>
      <w:r>
        <w:t>l</w:t>
      </w:r>
      <w:r>
        <w:t xml:space="preserve">tagssprache oder in </w:t>
      </w:r>
      <w:r w:rsidR="00CD4832">
        <w:t>d</w:t>
      </w:r>
      <w:r w:rsidR="00AB2783">
        <w:t xml:space="preserve">en wissenschaftlichen Fachdiskursen der </w:t>
      </w:r>
      <w:r w:rsidR="00DE2BE3">
        <w:t>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xml:space="preserve">, </w:t>
      </w:r>
      <w:r w:rsidR="00E03081">
        <w:t xml:space="preserve">referieren </w:t>
      </w:r>
      <w:r w:rsidR="00A72A12">
        <w:t xml:space="preserve">auf das Phänomen Stil. </w:t>
      </w:r>
      <w:r w:rsidR="000665E0">
        <w:t>Da keine plausible Definition für die B</w:t>
      </w:r>
      <w:r w:rsidR="000665E0">
        <w:t>e</w:t>
      </w:r>
      <w:r w:rsidR="000665E0">
        <w:t>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0665E0">
        <w:t xml:space="preserve"> von „Stil“ vorliegt, </w:t>
      </w:r>
      <w:r w:rsidR="002D732C">
        <w:t xml:space="preserve">wird </w:t>
      </w:r>
      <w:r w:rsidR="000665E0">
        <w:t xml:space="preserve">eine Verständigung </w:t>
      </w:r>
      <w:r w:rsidR="00F4635B">
        <w:t xml:space="preserve">überhaupt </w:t>
      </w:r>
      <w:r w:rsidR="002D732C">
        <w:t xml:space="preserve">erst </w:t>
      </w:r>
      <w:r w:rsidR="000665E0">
        <w:t xml:space="preserve">über die </w:t>
      </w:r>
      <w:r w:rsidR="00A72A12">
        <w:t xml:space="preserve">Bezugnahme auf das </w:t>
      </w:r>
      <w:r>
        <w:t>Phänomen Stil möglich.</w:t>
      </w:r>
      <w:r w:rsidR="009402F2">
        <w:t xml:space="preserve"> </w:t>
      </w:r>
      <w:r w:rsidR="00DE2BE3">
        <w:t xml:space="preserve">Das </w:t>
      </w:r>
      <w:r>
        <w:t>Wort „Stil“</w:t>
      </w:r>
      <w:r w:rsidR="00DE2BE3" w:rsidRPr="00DE2BE3">
        <w:t xml:space="preserve"> </w:t>
      </w:r>
      <w:r w:rsidR="00DE2BE3">
        <w:t>der Al</w:t>
      </w:r>
      <w:r w:rsidR="00DE2BE3">
        <w:t>l</w:t>
      </w:r>
      <w:r w:rsidR="00DE2BE3">
        <w:t>tagssprache</w:t>
      </w:r>
      <w:r w:rsidR="00906421">
        <w:t xml:space="preserve">, dessen </w:t>
      </w:r>
      <w:r w:rsidR="00A72A12">
        <w:t xml:space="preserve">Bedeutung </w:t>
      </w:r>
      <w:r w:rsidR="00DE2BE3">
        <w:t xml:space="preserve">der </w:t>
      </w:r>
      <w:r w:rsidR="00A72A12">
        <w:t>natürlichsprachliche Begriff</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rsidR="00A72A12">
        <w:t xml:space="preserve"> </w:t>
      </w:r>
      <w:r w:rsidR="00DE2BE3">
        <w:t>‚Stil‘ ist</w:t>
      </w:r>
      <w:r w:rsidR="00906421">
        <w:t xml:space="preserve">, </w:t>
      </w:r>
      <w:r w:rsidR="00DE2BE3">
        <w:t>r</w:t>
      </w:r>
      <w:r w:rsidR="00DE2BE3">
        <w:t>e</w:t>
      </w:r>
      <w:r w:rsidR="00DE2BE3">
        <w:t xml:space="preserve">feriert </w:t>
      </w:r>
      <w:r>
        <w:t xml:space="preserve">im gewöhnlichen Gebrauch </w:t>
      </w:r>
      <w:r w:rsidR="004B0545">
        <w:t xml:space="preserve">auf </w:t>
      </w:r>
      <w:r>
        <w:t>das Phänomen Stil.</w:t>
      </w:r>
      <w:r w:rsidR="005C4A63">
        <w:t xml:space="preserve"> </w:t>
      </w:r>
      <w:r w:rsidR="00DE2BE3">
        <w:t xml:space="preserve">Fachsprachliche </w:t>
      </w:r>
      <w:r w:rsidR="0051645E">
        <w:t>Definitionen des Begriffs ‚Stil‘</w:t>
      </w:r>
      <w:r w:rsidR="0039444F">
        <w:t xml:space="preserve"> </w:t>
      </w:r>
      <w:r w:rsidR="00DE2BE3">
        <w:t>in</w:t>
      </w:r>
      <w:r w:rsidR="0039444F">
        <w:t>nerhalb</w:t>
      </w:r>
      <w:r w:rsidR="00DE2BE3">
        <w:t xml:space="preserve"> der Stilforschung </w:t>
      </w:r>
      <w:r>
        <w:t>verfehlen zwar meist das Phänomen Stil</w:t>
      </w:r>
      <w:r w:rsidR="00C26291">
        <w:t xml:space="preserve"> (</w:t>
      </w:r>
      <w:r w:rsidR="0051645E">
        <w:t xml:space="preserve">die durch die Definition festgelegte </w:t>
      </w:r>
      <w:r w:rsidR="00C26291">
        <w:t>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C26291">
        <w:t xml:space="preserve"> führt zu einer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C26291">
        <w:t>, die nicht mit dem Phänomen Stil übereinstimmt, sondern beispielsweise zu weit oder zu eng ist)</w:t>
      </w:r>
      <w:r>
        <w:t xml:space="preserve">, </w:t>
      </w:r>
      <w:r w:rsidR="00870E64">
        <w:t xml:space="preserve">häufig </w:t>
      </w:r>
      <w:r w:rsidR="0051645E">
        <w:t xml:space="preserve">wird aber das Wort „Stil“ abweichend von den gegebenen </w:t>
      </w:r>
      <w:r>
        <w:t xml:space="preserve">Definitionen </w:t>
      </w:r>
      <w:r w:rsidR="00870E64">
        <w:t xml:space="preserve">so </w:t>
      </w:r>
      <w:r w:rsidR="0051645E">
        <w:t>verwendet</w:t>
      </w:r>
      <w:r w:rsidR="00870E64">
        <w:t xml:space="preserve">, dass </w:t>
      </w:r>
      <w:r w:rsidR="0051645E">
        <w:t xml:space="preserve">seine Extension das </w:t>
      </w:r>
      <w:r w:rsidR="00870E64">
        <w:t xml:space="preserve">Phänomen </w:t>
      </w:r>
      <w:r w:rsidR="0051645E">
        <w:t>Stil richtig umfasst</w:t>
      </w:r>
      <w:r w:rsidR="00870E64">
        <w:t xml:space="preserve">, </w:t>
      </w:r>
      <w:r>
        <w:t>was an den verwendeten Be</w:t>
      </w:r>
      <w:r>
        <w:t>i</w:t>
      </w:r>
      <w:r>
        <w:t>spielen erkennbar ist.</w:t>
      </w:r>
    </w:p>
    <w:p w:rsidR="00DF3C92" w:rsidRPr="00DF3C92" w:rsidRDefault="00EB7197" w:rsidP="00EB7197">
      <w:pPr>
        <w:pStyle w:val="Zwischenberschrift"/>
      </w:pPr>
      <w:r>
        <w:lastRenderedPageBreak/>
        <w:t>Begründung der Annahme (A)</w:t>
      </w:r>
    </w:p>
    <w:p w:rsidR="0084761F" w:rsidRPr="0084761F" w:rsidRDefault="00870E64" w:rsidP="00E53738">
      <w:pPr>
        <w:pStyle w:val="Text"/>
        <w:ind w:firstLine="0"/>
      </w:pPr>
      <w:r>
        <w:t>Annahme (A) stellt die Verbindung zwischen Begriffsexplikation und Modelli</w:t>
      </w:r>
      <w:r>
        <w:t>e</w:t>
      </w:r>
      <w:r>
        <w:t>rung her. In Kapitel 2 werden Grundentscheidungen für die Modellierung a</w:t>
      </w:r>
      <w:r>
        <w:t>n</w:t>
      </w:r>
      <w:r>
        <w:t xml:space="preserve">hand von Beispielen vorgenommen, die den Begriff </w:t>
      </w:r>
      <w:r w:rsidR="0084761F">
        <w:t>‚Stil‘</w:t>
      </w:r>
      <w:r w:rsidR="002713E0">
        <w:t xml:space="preserve"> in seiner heute üblichen Verwendung </w:t>
      </w:r>
      <w:r>
        <w:t>zugrunde legen</w:t>
      </w:r>
      <w:r w:rsidR="002713E0">
        <w:t xml:space="preserve">. Dem </w:t>
      </w:r>
      <w:r w:rsidR="00383809">
        <w:t xml:space="preserve">kann </w:t>
      </w:r>
      <w:r w:rsidR="002713E0">
        <w:t xml:space="preserve">entgegengehalten werden, </w:t>
      </w:r>
      <w:r w:rsidR="00383809">
        <w:t xml:space="preserve">dass </w:t>
      </w:r>
      <w:r w:rsidR="0084761F">
        <w:t>‚</w:t>
      </w:r>
      <w:r w:rsidR="002713E0">
        <w:t>Stil</w:t>
      </w:r>
      <w:r w:rsidR="0084761F">
        <w:t xml:space="preserve">‘ </w:t>
      </w:r>
      <w:r w:rsidR="002713E0">
        <w:t xml:space="preserve">gar keine feste </w:t>
      </w:r>
      <w:r w:rsidR="00D111D9">
        <w:t>Verwendungsweise</w:t>
      </w:r>
      <w:r w:rsidR="00383809">
        <w:t xml:space="preserve"> zu haben scheint</w:t>
      </w:r>
      <w:r w:rsidR="002713E0">
        <w:t xml:space="preserve">; </w:t>
      </w:r>
      <w:r w:rsidR="00383809">
        <w:t xml:space="preserve">der Begriff wurde </w:t>
      </w:r>
      <w:r w:rsidR="002713E0">
        <w:t>seit der A</w:t>
      </w:r>
      <w:r w:rsidR="002713E0">
        <w:t>n</w:t>
      </w:r>
      <w:r w:rsidR="002713E0">
        <w:t xml:space="preserve">tike </w:t>
      </w:r>
      <w:r w:rsidR="00484AF5">
        <w:t xml:space="preserve">immer wieder </w:t>
      </w:r>
      <w:r w:rsidR="00383809">
        <w:t xml:space="preserve">unterschiedlich </w:t>
      </w:r>
      <w:r w:rsidR="00152ABE">
        <w:t>definiert</w:t>
      </w:r>
      <w:r w:rsidR="00383809">
        <w:t xml:space="preserve">, wobei bestimmte </w:t>
      </w:r>
      <w:r w:rsidR="0084761F">
        <w:t>Verwendungswe</w:t>
      </w:r>
      <w:r w:rsidR="0084761F">
        <w:t>i</w:t>
      </w:r>
      <w:r w:rsidR="0084761F">
        <w:t xml:space="preserve">sen </w:t>
      </w:r>
      <w:r w:rsidR="00383809">
        <w:t>miteinander konkurrier</w:t>
      </w:r>
      <w:r w:rsidR="00484AF5">
        <w:t>t</w:t>
      </w:r>
      <w:r w:rsidR="00383809">
        <w:t>en</w:t>
      </w:r>
      <w:r w:rsidR="00C63476">
        <w:t>.</w:t>
      </w:r>
      <w:bookmarkStart w:id="20" w:name="_Ref271281021"/>
      <w:r w:rsidR="00383809">
        <w:rPr>
          <w:rStyle w:val="Funotenzeichen"/>
        </w:rPr>
        <w:footnoteReference w:id="27"/>
      </w:r>
      <w:bookmarkEnd w:id="20"/>
      <w:r w:rsidR="002713E0">
        <w:t xml:space="preserve"> </w:t>
      </w:r>
      <w:r w:rsidR="0084761F">
        <w:t>Stil kann dann als „Konstitutionskategorie“</w:t>
      </w:r>
      <w:r w:rsidR="0084761F" w:rsidRPr="0084761F">
        <w:rPr>
          <w:rStyle w:val="Funotenzeichen"/>
        </w:rPr>
        <w:footnoteReference w:id="28"/>
      </w:r>
      <w:r w:rsidR="0084761F">
        <w:t xml:space="preserve"> </w:t>
      </w:r>
      <w:r w:rsidR="008E3877">
        <w:t>erscheinen</w:t>
      </w:r>
      <w:r w:rsidR="008E3877" w:rsidRPr="0084761F">
        <w:t>,</w:t>
      </w:r>
      <w:r w:rsidR="008E3877">
        <w:t xml:space="preserve"> </w:t>
      </w:r>
      <w:r w:rsidR="0084761F">
        <w:t xml:space="preserve">als ein Begriff, </w:t>
      </w:r>
      <w:r w:rsidR="00484AF5">
        <w:t>der nicht auf ein unabhängig von ihm bestehendes Phänomen referiert, sondern das von ihm Bezeichnete erzeugt.</w:t>
      </w:r>
    </w:p>
    <w:p w:rsidR="00870E64" w:rsidRDefault="0084761F" w:rsidP="002713E0">
      <w:pPr>
        <w:pStyle w:val="Text"/>
      </w:pPr>
      <w:r>
        <w:t xml:space="preserve">Demgegenüber </w:t>
      </w:r>
      <w:r w:rsidR="00870E64">
        <w:t>wird in Annahme (A) davon ausgegangen</w:t>
      </w:r>
      <w:r>
        <w:t xml:space="preserve">, dass </w:t>
      </w:r>
      <w:r w:rsidR="00DE2BE3">
        <w:t xml:space="preserve">das </w:t>
      </w:r>
      <w:r w:rsidR="00484AF5">
        <w:t>Wort „</w:t>
      </w:r>
      <w:r w:rsidR="00906421">
        <w:t>Stil</w:t>
      </w:r>
      <w:r w:rsidR="00484AF5">
        <w:t>“</w:t>
      </w:r>
      <w:r w:rsidR="00906421">
        <w:t>, dessen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906421">
        <w:t xml:space="preserve"> dabei als </w:t>
      </w:r>
      <w:r w:rsidR="00DE2BE3">
        <w:t xml:space="preserve">der </w:t>
      </w:r>
      <w:r w:rsidR="00906421">
        <w:t xml:space="preserve">natürlichsprachliche </w:t>
      </w:r>
      <w:r w:rsidR="00484AF5">
        <w:t>(</w:t>
      </w:r>
      <w:r w:rsidR="00906421">
        <w:t>nicht-definierte</w:t>
      </w:r>
      <w:r w:rsidR="00484AF5">
        <w:t>)</w:t>
      </w:r>
      <w:r w:rsidR="00906421">
        <w:t xml:space="preserve"> Begriff </w:t>
      </w:r>
      <w:r w:rsidR="00DE2BE3">
        <w:t xml:space="preserve">‚Stil‘ </w:t>
      </w:r>
      <w:r w:rsidR="00906421">
        <w:t xml:space="preserve">aufgefasst wird, </w:t>
      </w:r>
      <w:r w:rsidR="00870E64">
        <w:t xml:space="preserve">im gewöhnlichen Gebrauch auf das Phänomen Stil referiert. </w:t>
      </w:r>
      <w:r w:rsidR="00870E64" w:rsidRPr="00870E64">
        <w:rPr>
          <w:i/>
        </w:rPr>
        <w:t xml:space="preserve">Die </w:t>
      </w:r>
      <w:r w:rsidR="00870E64">
        <w:rPr>
          <w:i/>
        </w:rPr>
        <w:t>Explikation</w:t>
      </w:r>
      <w:r w:rsidR="00870E64" w:rsidRPr="00870E64">
        <w:rPr>
          <w:i/>
        </w:rPr>
        <w:t xml:space="preserve"> des Begriffs ‚Stil‘ kann damit zum Ausgangspunkt der Modellierung des Phänomens Stil werden.</w:t>
      </w:r>
    </w:p>
    <w:p w:rsidR="00D83FC9" w:rsidRDefault="00870E64" w:rsidP="002713E0">
      <w:pPr>
        <w:pStyle w:val="Text"/>
      </w:pPr>
      <w:r>
        <w:t>Die Annahme</w:t>
      </w:r>
      <w:r w:rsidR="00D83FC9">
        <w:t xml:space="preserve"> rechtferti</w:t>
      </w:r>
      <w:r>
        <w:t>gt sich daraus</w:t>
      </w:r>
      <w:r w:rsidR="00D83FC9">
        <w:t>, dass wir täglich über Stil sprechen und uns dabei verstehen können. Dies gilt auch für Stiltheoretiker, die offen widersprüchliche Stildefnitionen verwenden und sich gegenseitig deshalb angre</w:t>
      </w:r>
      <w:r w:rsidR="00D83FC9">
        <w:t>i</w:t>
      </w:r>
      <w:r w:rsidR="00D83FC9">
        <w:t xml:space="preserve">fen, sich aber bei </w:t>
      </w:r>
      <w:r w:rsidR="00DF3C92">
        <w:t xml:space="preserve">der Nennung von Beispielen </w:t>
      </w:r>
      <w:r w:rsidR="00B139E8">
        <w:t>nicht in derselben Weise wide</w:t>
      </w:r>
      <w:r w:rsidR="00B139E8">
        <w:t>r</w:t>
      </w:r>
      <w:r w:rsidR="00B139E8">
        <w:t>sprechen.</w:t>
      </w:r>
      <w:r w:rsidR="00B139E8">
        <w:rPr>
          <w:rStyle w:val="Funotenzeichen"/>
        </w:rPr>
        <w:footnoteReference w:id="29"/>
      </w:r>
      <w:r w:rsidR="00B139E8">
        <w:t xml:space="preserve"> Dies kann nur damit erklärt werden, dass ein </w:t>
      </w:r>
      <w:r w:rsidR="00B139E8" w:rsidRPr="00B139E8">
        <w:t>intuitives Vorverstän</w:t>
      </w:r>
      <w:r w:rsidR="00B139E8" w:rsidRPr="00B139E8">
        <w:t>d</w:t>
      </w:r>
      <w:r w:rsidR="00B139E8" w:rsidRPr="00B139E8">
        <w:t>nis</w:t>
      </w:r>
      <w:r w:rsidR="00B139E8" w:rsidRPr="00B139E8">
        <w:rPr>
          <w:i/>
        </w:rPr>
        <w:t xml:space="preserve"> des Phänomens Stil</w:t>
      </w:r>
      <w:r w:rsidR="00B139E8">
        <w:t xml:space="preserve"> bereits vorhanden ist; wie sonst könnte man sich trotz unterschiedlichster Definitionen (</w:t>
      </w:r>
      <w:r w:rsidR="00924BAB">
        <w:t>und damit</w:t>
      </w:r>
      <w:r w:rsidR="00B139E8">
        <w:t xml:space="preserve"> Begriffsintensionen) über die E</w:t>
      </w:r>
      <w:r w:rsidR="00B139E8">
        <w:t>x</w:t>
      </w:r>
      <w:r w:rsidR="00B139E8">
        <w:t>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B139E8">
        <w:t xml:space="preserve"> mehr oder minder einig sein?</w:t>
      </w:r>
      <w:r w:rsidR="00B139E8">
        <w:rPr>
          <w:rStyle w:val="Funotenzeichen"/>
        </w:rPr>
        <w:footnoteReference w:id="30"/>
      </w:r>
    </w:p>
    <w:p w:rsidR="009F5438" w:rsidRDefault="00083648" w:rsidP="009F5438">
      <w:pPr>
        <w:pStyle w:val="Text"/>
      </w:pPr>
      <w:r>
        <w:t xml:space="preserve">Gegen die Vorstellung einer Konstitution des </w:t>
      </w:r>
      <w:r w:rsidR="00F34516">
        <w:t>als „Stil“ Bezeichneten</w:t>
      </w:r>
      <w:r>
        <w:t xml:space="preserve"> durch den Begriff spricht </w:t>
      </w:r>
      <w:r w:rsidR="006A3A2D">
        <w:t>auch</w:t>
      </w:r>
      <w:r>
        <w:t xml:space="preserve"> das Ergebnis der Begriffsexplikation in Kapitel 2. Diese ergibt, dass Stil bei der Realisierung von Schemata </w:t>
      </w:r>
      <w:r w:rsidR="006A3A2D">
        <w:t>auftritt</w:t>
      </w:r>
      <w:r>
        <w:t>, die den Bereich menschlichen Verhaltens, menschliche</w:t>
      </w:r>
      <w:r w:rsidR="00284428">
        <w:t xml:space="preserve">r Artefakte und Texte gliedern; da </w:t>
      </w:r>
      <w:r>
        <w:t>Sch</w:t>
      </w:r>
      <w:r>
        <w:t>e</w:t>
      </w:r>
      <w:r>
        <w:lastRenderedPageBreak/>
        <w:t xml:space="preserve">mata ihre </w:t>
      </w:r>
      <w:r w:rsidR="00284428">
        <w:t>Realisierungen unterdeterminieren, entstehen bei der Erzeugung von Realisierungen Ausw</w:t>
      </w:r>
      <w:r w:rsidR="00191B54">
        <w:t>ahlprozesse</w:t>
      </w:r>
      <w:r w:rsidR="00284428">
        <w:t>, die Information tragen können</w:t>
      </w:r>
      <w:r w:rsidR="006A3A2D">
        <w:t xml:space="preserve"> und</w:t>
      </w:r>
      <w:r w:rsidR="00191B54">
        <w:t xml:space="preserve">, wenn sie von jemandem wahrgenommen werden, oft </w:t>
      </w:r>
      <w:r w:rsidR="00656E27">
        <w:t>als „</w:t>
      </w:r>
      <w:r w:rsidR="006A3A2D">
        <w:t>Stil</w:t>
      </w:r>
      <w:r w:rsidR="00656E27">
        <w:t>“</w:t>
      </w:r>
      <w:r w:rsidR="006A3A2D">
        <w:t xml:space="preserve"> bezeichnet werden</w:t>
      </w:r>
      <w:r w:rsidR="00DF3C92">
        <w:t>. – Wie dieses Phänomen durch den Begriff ‚Stil‘</w:t>
      </w:r>
      <w:r w:rsidR="006A3A2D">
        <w:t xml:space="preserve"> </w:t>
      </w:r>
      <w:r w:rsidR="00DF3C92">
        <w:t xml:space="preserve">konstituiert werden sollte, ist völlig unklar; man müsste dazu annehmen, dass ein Vorgang der Begriffsbildung, der im menschlichen Sprachgebrauch stattfindet, grundlegend in die Konstitution der Welt eingreift und </w:t>
      </w:r>
      <w:r w:rsidR="006A3A2D">
        <w:t xml:space="preserve">beispielsweise eine </w:t>
      </w:r>
      <w:r w:rsidR="00DF3C92">
        <w:t>Schemagliederung</w:t>
      </w:r>
      <w:r w:rsidR="005D7996">
        <w:fldChar w:fldCharType="begin"/>
      </w:r>
      <w:r w:rsidR="00D77298">
        <w:instrText xml:space="preserve"> XE "</w:instrText>
      </w:r>
      <w:r w:rsidR="00D77298" w:rsidRPr="00311056">
        <w:instrText>Schemagliederung</w:instrText>
      </w:r>
      <w:r w:rsidR="00D77298">
        <w:instrText xml:space="preserve">" </w:instrText>
      </w:r>
      <w:r w:rsidR="005D7996">
        <w:fldChar w:fldCharType="end"/>
      </w:r>
      <w:r w:rsidR="00DF3C92">
        <w:t xml:space="preserve"> </w:t>
      </w:r>
      <w:r w:rsidR="006A3A2D">
        <w:t>erzeugt</w:t>
      </w:r>
      <w:r w:rsidR="00DF3C92">
        <w:t>, wo vorher noch keine war</w:t>
      </w:r>
      <w:r w:rsidR="006A3A2D">
        <w:t xml:space="preserve">, </w:t>
      </w:r>
      <w:r w:rsidR="00DF3C92">
        <w:t>dafür sorgt, dass Schemata ihre Realisierungen plötzlich unte</w:t>
      </w:r>
      <w:r w:rsidR="00DF3C92">
        <w:t>r</w:t>
      </w:r>
      <w:r w:rsidR="00DF3C92">
        <w:t>determinieren, w</w:t>
      </w:r>
      <w:r w:rsidR="006A3A2D">
        <w:t>ährend sie es zuvor nicht taten,</w:t>
      </w:r>
      <w:r w:rsidR="00DF3C92">
        <w:t xml:space="preserve"> oder </w:t>
      </w:r>
      <w:r w:rsidR="006A3A2D">
        <w:t>auf andere Art das Phän</w:t>
      </w:r>
      <w:r w:rsidR="006A3A2D">
        <w:t>o</w:t>
      </w:r>
      <w:r w:rsidR="006A3A2D">
        <w:t>men herstellt</w:t>
      </w:r>
      <w:r w:rsidR="00DF3C92">
        <w:t>. Dies ist schwer vorstellbar. Es erscheint umgekehrt plausibel, dass Stil als Phänomen, das auf die beschriebene Weise funktioniert, auch dann exi</w:t>
      </w:r>
      <w:r w:rsidR="00DF3C92">
        <w:t>s</w:t>
      </w:r>
      <w:r w:rsidR="00DF3C92">
        <w:t xml:space="preserve">tieren würde, wenn es keinen </w:t>
      </w:r>
      <w:r w:rsidR="006A3A2D">
        <w:t xml:space="preserve">eigenen </w:t>
      </w:r>
      <w:r w:rsidR="00DF3C92">
        <w:t xml:space="preserve">Begriff dafür gäbe, wobei es dann </w:t>
      </w:r>
      <w:r w:rsidR="006A3A2D">
        <w:t xml:space="preserve">aufgrund des erschwerten kognitiven Zugangs wohl </w:t>
      </w:r>
      <w:r w:rsidR="00DF3C92">
        <w:t>weniger Aufmerksamkeit erhalten würde.</w:t>
      </w:r>
    </w:p>
    <w:p w:rsidR="00924BAB" w:rsidRDefault="00924BAB" w:rsidP="009F5438">
      <w:pPr>
        <w:pStyle w:val="Text"/>
      </w:pPr>
      <w:r>
        <w:t>Die beiden methodischen Ansätze kommen in unterschiedlichen Teilen der Theorie zum Einsatz:</w:t>
      </w:r>
    </w:p>
    <w:p w:rsidR="00906421" w:rsidRDefault="00924BAB" w:rsidP="0091423E">
      <w:pPr>
        <w:pStyle w:val="Zwischenberschrift"/>
      </w:pPr>
      <w:r>
        <w:t>(1)</w:t>
      </w:r>
      <w:r>
        <w:tab/>
      </w:r>
      <w:r w:rsidR="00B4304B">
        <w:t>Begriffsexplikation</w:t>
      </w:r>
    </w:p>
    <w:p w:rsidR="009F5438" w:rsidRDefault="00906421" w:rsidP="002C3F3D">
      <w:pPr>
        <w:pStyle w:val="Text"/>
        <w:ind w:firstLine="0"/>
      </w:pPr>
      <w:r>
        <w:t xml:space="preserve">(a) </w:t>
      </w:r>
      <w:r w:rsidR="00D66EF6">
        <w:tab/>
      </w:r>
      <w:r w:rsidR="002A717A" w:rsidRPr="00906421">
        <w:rPr>
          <w:i/>
        </w:rPr>
        <w:t xml:space="preserve">Begriffsexplikation des </w:t>
      </w:r>
      <w:r w:rsidR="00DE31D6">
        <w:rPr>
          <w:i/>
        </w:rPr>
        <w:t>natürlich</w:t>
      </w:r>
      <w:r w:rsidR="002A717A" w:rsidRPr="00906421">
        <w:rPr>
          <w:i/>
        </w:rPr>
        <w:t>sprachlichen Begriffs ‚Stil‘:</w:t>
      </w:r>
    </w:p>
    <w:p w:rsidR="00185891" w:rsidRDefault="00924BAB" w:rsidP="002C3F3D">
      <w:pPr>
        <w:pStyle w:val="Text"/>
        <w:ind w:firstLine="0"/>
      </w:pPr>
      <w:r>
        <w:t xml:space="preserve">In Kapitel 2 werden </w:t>
      </w:r>
      <w:r w:rsidR="002713E0">
        <w:t xml:space="preserve">theoretische </w:t>
      </w:r>
      <w:r w:rsidR="00185891">
        <w:t>Vore</w:t>
      </w:r>
      <w:r w:rsidR="002713E0">
        <w:t xml:space="preserve">ntscheidungen getroffen, </w:t>
      </w:r>
      <w:r w:rsidR="00185891">
        <w:t>die zum Stilm</w:t>
      </w:r>
      <w:r w:rsidR="00185891">
        <w:t>o</w:t>
      </w:r>
      <w:r w:rsidR="00185891">
        <w:t xml:space="preserve">dell hinführen. Dabei wird wiederholt auf das Alltagsverständnis </w:t>
      </w:r>
      <w:r w:rsidR="00906421">
        <w:t>von ‚Stil‘</w:t>
      </w:r>
      <w:r w:rsidR="002713E0">
        <w:t xml:space="preserve"> </w:t>
      </w:r>
      <w:r w:rsidR="00185891">
        <w:t>z</w:t>
      </w:r>
      <w:r w:rsidR="00185891">
        <w:t>u</w:t>
      </w:r>
      <w:r w:rsidR="00185891">
        <w:t>rückgegriffen, um plausible Vorentscheidungen zu treffen.</w:t>
      </w:r>
      <w:r w:rsidR="002713E0">
        <w:rPr>
          <w:rStyle w:val="Funotenzeichen"/>
        </w:rPr>
        <w:footnoteReference w:id="31"/>
      </w:r>
      <w:r w:rsidR="002713E0">
        <w:t xml:space="preserve"> </w:t>
      </w:r>
      <w:r w:rsidR="00185891">
        <w:t>Dies geschieht in der Form von Beispielen (</w:t>
      </w:r>
      <w:r w:rsidR="00B364DB">
        <w:t xml:space="preserve">etwa in </w:t>
      </w:r>
      <w:r w:rsidR="005D7996">
        <w:fldChar w:fldCharType="begin"/>
      </w:r>
      <w:r w:rsidR="00185891">
        <w:instrText xml:space="preserve"> REF _Ref260056929 \r \h </w:instrText>
      </w:r>
      <w:r w:rsidR="005D7996">
        <w:fldChar w:fldCharType="separate"/>
      </w:r>
      <w:r w:rsidR="001231D3">
        <w:t>2.1</w:t>
      </w:r>
      <w:r w:rsidR="005D7996">
        <w:fldChar w:fldCharType="end"/>
      </w:r>
      <w:r w:rsidR="00185891">
        <w:t xml:space="preserve">, </w:t>
      </w:r>
      <w:r w:rsidR="005D7996">
        <w:fldChar w:fldCharType="begin"/>
      </w:r>
      <w:r w:rsidR="00185891">
        <w:instrText xml:space="preserve"> REF _Ref264378576 \r \h </w:instrText>
      </w:r>
      <w:r w:rsidR="005D7996">
        <w:fldChar w:fldCharType="separate"/>
      </w:r>
      <w:r w:rsidR="001231D3">
        <w:t>2.2</w:t>
      </w:r>
      <w:r w:rsidR="005D7996">
        <w:fldChar w:fldCharType="end"/>
      </w:r>
      <w:r w:rsidR="00B364DB">
        <w:t>,</w:t>
      </w:r>
      <w:r w:rsidR="00B774DE">
        <w:t xml:space="preserve"> </w:t>
      </w:r>
      <w:r w:rsidR="005D7996">
        <w:fldChar w:fldCharType="begin"/>
      </w:r>
      <w:r w:rsidR="00B774DE">
        <w:instrText xml:space="preserve"> REF _Ref324923358 \r \h </w:instrText>
      </w:r>
      <w:r w:rsidR="005D7996">
        <w:fldChar w:fldCharType="separate"/>
      </w:r>
      <w:r w:rsidR="001231D3">
        <w:t>2.5</w:t>
      </w:r>
      <w:r w:rsidR="005D7996">
        <w:fldChar w:fldCharType="end"/>
      </w:r>
      <w:r w:rsidR="00185891">
        <w:t>) oder Gedankenexperimenten (</w:t>
      </w:r>
      <w:r w:rsidR="00B364DB">
        <w:t xml:space="preserve">etwa in </w:t>
      </w:r>
      <w:r w:rsidR="005D7996">
        <w:fldChar w:fldCharType="begin"/>
      </w:r>
      <w:r w:rsidR="00185891">
        <w:instrText xml:space="preserve"> REF _Ref262119559 \r \h </w:instrText>
      </w:r>
      <w:r w:rsidR="005D7996">
        <w:fldChar w:fldCharType="separate"/>
      </w:r>
      <w:r w:rsidR="001231D3">
        <w:t>2.6</w:t>
      </w:r>
      <w:r w:rsidR="005D7996">
        <w:fldChar w:fldCharType="end"/>
      </w:r>
      <w:r w:rsidR="00B364DB">
        <w:t xml:space="preserve"> bis </w:t>
      </w:r>
      <w:r w:rsidR="005D7996">
        <w:fldChar w:fldCharType="begin"/>
      </w:r>
      <w:r w:rsidR="00B364DB">
        <w:instrText xml:space="preserve"> REF _Ref225339965 \r \h </w:instrText>
      </w:r>
      <w:r w:rsidR="005D7996">
        <w:fldChar w:fldCharType="separate"/>
      </w:r>
      <w:r w:rsidR="001231D3">
        <w:t>2.8</w:t>
      </w:r>
      <w:r w:rsidR="005D7996">
        <w:fldChar w:fldCharType="end"/>
      </w:r>
      <w:r w:rsidR="00185891">
        <w:t>)</w:t>
      </w:r>
      <w:r w:rsidR="002A717A">
        <w:t>, aus denen jeweils Schlüsse gezogen werden.</w:t>
      </w:r>
    </w:p>
    <w:p w:rsidR="009F5438" w:rsidRDefault="00906421" w:rsidP="009F5438">
      <w:pPr>
        <w:pStyle w:val="Text"/>
        <w:spacing w:before="120"/>
        <w:ind w:firstLine="0"/>
      </w:pPr>
      <w:r w:rsidRPr="00906421">
        <w:t>(b)</w:t>
      </w:r>
      <w:r w:rsidRPr="00906421">
        <w:tab/>
      </w:r>
      <w:r w:rsidR="003F4408">
        <w:rPr>
          <w:i/>
        </w:rPr>
        <w:t xml:space="preserve">Vergleich des Ergebnisses </w:t>
      </w:r>
      <w:r w:rsidR="0001440C">
        <w:rPr>
          <w:i/>
        </w:rPr>
        <w:t xml:space="preserve">mit Hilfe der </w:t>
      </w:r>
      <w:r w:rsidR="00285424">
        <w:rPr>
          <w:i/>
        </w:rPr>
        <w:t>Fachliteratur</w:t>
      </w:r>
      <w:r w:rsidRPr="00906421">
        <w:rPr>
          <w:i/>
        </w:rPr>
        <w:t>:</w:t>
      </w:r>
    </w:p>
    <w:p w:rsidR="005C7269" w:rsidRDefault="00906421" w:rsidP="0091423E">
      <w:pPr>
        <w:pStyle w:val="Text"/>
        <w:ind w:firstLine="0"/>
      </w:pPr>
      <w:r>
        <w:t>I</w:t>
      </w:r>
      <w:r w:rsidR="002A717A">
        <w:t>n Kapitel 3 wird die Fachliteratur zu Stil aus verschiedenen Disziplinen auf A</w:t>
      </w:r>
      <w:r w:rsidR="002A717A">
        <w:t>n</w:t>
      </w:r>
      <w:r w:rsidR="002A717A">
        <w:t>sätze gesichtet, die auf Grundlage der in Kapitel 2 getroffenen Vorentscheidu</w:t>
      </w:r>
      <w:r w:rsidR="002A717A">
        <w:t>n</w:t>
      </w:r>
      <w:r w:rsidR="002A717A">
        <w:t xml:space="preserve">gen relevant erscheinen. </w:t>
      </w:r>
      <w:r w:rsidR="0001440C">
        <w:t xml:space="preserve">Die hier vorgefundenen </w:t>
      </w:r>
      <w:r>
        <w:t>Verwendun</w:t>
      </w:r>
      <w:r w:rsidR="0001440C">
        <w:t xml:space="preserve">gsweisen </w:t>
      </w:r>
      <w:r w:rsidR="00656E27">
        <w:t>des B</w:t>
      </w:r>
      <w:r w:rsidR="00656E27">
        <w:t>e</w:t>
      </w:r>
      <w:r w:rsidR="00656E27">
        <w:t xml:space="preserve">griffs </w:t>
      </w:r>
      <w:r w:rsidR="0001440C">
        <w:t xml:space="preserve">‚Stil‘ </w:t>
      </w:r>
      <w:r w:rsidR="005C7269">
        <w:t>werden dabei nicht umfassend dargestellt; sondern nur einzelne A</w:t>
      </w:r>
      <w:r w:rsidR="005C7269">
        <w:t>s</w:t>
      </w:r>
      <w:r w:rsidR="005C7269">
        <w:t xml:space="preserve">pekte herausgegriffen, die geeignet erscheinen, </w:t>
      </w:r>
      <w:r w:rsidR="0001440C">
        <w:t xml:space="preserve">die in Kapitel 2 vorgenommene Explikation </w:t>
      </w:r>
      <w:r w:rsidR="003F4408">
        <w:t xml:space="preserve">auf Plausibilität </w:t>
      </w:r>
      <w:r w:rsidR="0001440C">
        <w:t>zu überprüfen und innerhalb der bisherigen Stilfo</w:t>
      </w:r>
      <w:r w:rsidR="0001440C">
        <w:t>r</w:t>
      </w:r>
      <w:r w:rsidR="0001440C">
        <w:t>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01440C">
        <w:t xml:space="preserve"> </w:t>
      </w:r>
      <w:r w:rsidR="00074592">
        <w:t xml:space="preserve">zu verorten. </w:t>
      </w:r>
      <w:r w:rsidR="003F4408">
        <w:t xml:space="preserve">Würde die Begriffsexplikation zu ganz anderen Ergebnissen kommen als die bisherige Stilforschung, </w:t>
      </w:r>
      <w:r w:rsidR="00351BF6">
        <w:t>wäre entweder die Explikation misslu</w:t>
      </w:r>
      <w:r w:rsidR="00351BF6">
        <w:t>n</w:t>
      </w:r>
      <w:r w:rsidR="00351BF6">
        <w:t xml:space="preserve">gen oder </w:t>
      </w:r>
      <w:r w:rsidR="003F4408">
        <w:t>Annah</w:t>
      </w:r>
      <w:r w:rsidR="008412ED">
        <w:t xml:space="preserve">me (A) </w:t>
      </w:r>
      <w:r w:rsidR="00351BF6">
        <w:t xml:space="preserve">müsste </w:t>
      </w:r>
      <w:r w:rsidR="008412ED">
        <w:t>in Frage gestellt werden</w:t>
      </w:r>
      <w:r w:rsidR="003F4408">
        <w:t xml:space="preserve">. </w:t>
      </w:r>
      <w:r w:rsidR="002A717A">
        <w:t xml:space="preserve">Es </w:t>
      </w:r>
      <w:r w:rsidR="003F4408">
        <w:t xml:space="preserve">stellt sich jedoch heraus, </w:t>
      </w:r>
      <w:r w:rsidR="00074592">
        <w:t xml:space="preserve">dass </w:t>
      </w:r>
      <w:r w:rsidR="00504E3E">
        <w:t xml:space="preserve">viele </w:t>
      </w:r>
      <w:r w:rsidR="00AE0A5B">
        <w:t xml:space="preserve">Ergebnisse </w:t>
      </w:r>
      <w:r w:rsidR="002A717A">
        <w:t>bisherige</w:t>
      </w:r>
      <w:r w:rsidR="00351BF6">
        <w:t>r</w:t>
      </w:r>
      <w:r w:rsidR="002A717A">
        <w:t xml:space="preserve"> Auffassun</w:t>
      </w:r>
      <w:r w:rsidR="003F4408">
        <w:t xml:space="preserve">gen </w:t>
      </w:r>
      <w:r w:rsidR="00AE0A5B">
        <w:t xml:space="preserve">mit der </w:t>
      </w:r>
      <w:r w:rsidR="00351BF6">
        <w:t xml:space="preserve">hier vertretenen </w:t>
      </w:r>
      <w:r w:rsidR="00504E3E">
        <w:t>Stilauffas</w:t>
      </w:r>
      <w:r w:rsidR="00AE0A5B">
        <w:t>sung kompatibel sind.</w:t>
      </w:r>
    </w:p>
    <w:p w:rsidR="00906421" w:rsidRDefault="002A717A" w:rsidP="0091423E">
      <w:pPr>
        <w:pStyle w:val="Zwischenberschrift"/>
      </w:pPr>
      <w:r>
        <w:t>(2)</w:t>
      </w:r>
      <w:r>
        <w:tab/>
      </w:r>
      <w:r w:rsidR="00B4304B">
        <w:t>Modellierung</w:t>
      </w:r>
    </w:p>
    <w:p w:rsidR="00074592" w:rsidRDefault="00074592" w:rsidP="00737053">
      <w:pPr>
        <w:pStyle w:val="Text"/>
        <w:keepNext/>
        <w:ind w:firstLine="0"/>
      </w:pPr>
      <w:r>
        <w:t xml:space="preserve">In Kapitel 4 bis 7 wird ein Modell des stilistischen Zeichenprozesses konstruiert. </w:t>
      </w:r>
      <w:r w:rsidR="009C17EF">
        <w:t xml:space="preserve">In der </w:t>
      </w:r>
      <w:r w:rsidR="00A72A12">
        <w:t xml:space="preserve">Modellierung </w:t>
      </w:r>
      <w:r w:rsidR="009C17EF">
        <w:t>steht das Phänomen Stil im Vordergrund, von dem au</w:t>
      </w:r>
      <w:r w:rsidR="009C17EF">
        <w:t>f</w:t>
      </w:r>
      <w:r w:rsidR="009C17EF">
        <w:lastRenderedPageBreak/>
        <w:t>grund von Annahme (A) angenommen wird, dass es durch den natürlich</w:t>
      </w:r>
      <w:r w:rsidR="00665776">
        <w:softHyphen/>
      </w:r>
      <w:r w:rsidR="009C17EF">
        <w:t>sprach</w:t>
      </w:r>
      <w:r w:rsidR="00665776">
        <w:softHyphen/>
      </w:r>
      <w:r w:rsidR="009C17EF">
        <w:t>lichen Begriff und (in geringerem Maße) durch den gemeinsamen Kern der D</w:t>
      </w:r>
      <w:r w:rsidR="009C17EF">
        <w:t>e</w:t>
      </w:r>
      <w:r w:rsidR="009C17EF">
        <w:t>finitionen in der Fachliteratur ungefähr erfasst wird. Daher können die Erge</w:t>
      </w:r>
      <w:r w:rsidR="009C17EF">
        <w:t>b</w:t>
      </w:r>
      <w:r w:rsidR="009C17EF">
        <w:t xml:space="preserve">nisse der Begriffsexplikation in Kapitel 2 nun zur Grundlage der </w:t>
      </w:r>
      <w:r w:rsidR="00A72A12">
        <w:t xml:space="preserve">Modellierung </w:t>
      </w:r>
      <w:r w:rsidR="009C17EF">
        <w:t>genommen werden. Ausgehend davon steht bei der Konstruktion die modelli</w:t>
      </w:r>
      <w:r w:rsidR="009C17EF">
        <w:t>e</w:t>
      </w:r>
      <w:r w:rsidR="009C17EF">
        <w:t>rungstechnische Machbarkeit, die Klarheit der Darstellung, die Widerspruch</w:t>
      </w:r>
      <w:r w:rsidR="009C17EF">
        <w:t>s</w:t>
      </w:r>
      <w:r w:rsidR="009C17EF">
        <w:t xml:space="preserve">freiheit, die Vollständigkeit und Schlüssigkeit der Details und </w:t>
      </w:r>
      <w:r w:rsidR="003226EB">
        <w:t xml:space="preserve">nicht zuletzt </w:t>
      </w:r>
      <w:r w:rsidR="009C17EF">
        <w:t>die Anwendbarkeit im Vordergrund.</w:t>
      </w:r>
      <w:r w:rsidR="003226EB">
        <w:t xml:space="preserve"> Das Modell wird durch die Angabe zahlreicher Beispiele überprüft.</w:t>
      </w:r>
      <w:r w:rsidR="003226EB">
        <w:rPr>
          <w:rStyle w:val="Funotenzeichen"/>
        </w:rPr>
        <w:footnoteReference w:id="32"/>
      </w:r>
    </w:p>
    <w:p w:rsidR="00B87351" w:rsidRDefault="00B87351" w:rsidP="009F5438">
      <w:pPr>
        <w:pStyle w:val="Text"/>
        <w:keepNext/>
        <w:spacing w:before="240"/>
        <w:ind w:firstLine="0"/>
      </w:pPr>
      <w:r>
        <w:t>Dabei greifen die beiden Methoden ineinander:</w:t>
      </w:r>
    </w:p>
    <w:p w:rsidR="00B87351" w:rsidRDefault="009F5438" w:rsidP="002C3F3D">
      <w:pPr>
        <w:pStyle w:val="Text"/>
        <w:keepNext/>
        <w:ind w:firstLine="0"/>
      </w:pPr>
      <w:r>
        <w:tab/>
      </w:r>
      <w:r w:rsidR="00B87351">
        <w:t>Die Begriffsklärung wird in Kapitel 2 nicht abgeschlossen, es werden nur theoretische Vorentscheidungen getroffen; erst die Modellierung des Phän</w:t>
      </w:r>
      <w:r w:rsidR="00B87351">
        <w:t>o</w:t>
      </w:r>
      <w:r w:rsidR="00B87351">
        <w:t>mens in Kapitel 4 bis 7 schließt die Begriffsklärung ab.</w:t>
      </w:r>
    </w:p>
    <w:p w:rsidR="00B87351" w:rsidRDefault="009F5438" w:rsidP="002C3F3D">
      <w:pPr>
        <w:pStyle w:val="Text"/>
        <w:keepNext/>
        <w:ind w:firstLine="0"/>
      </w:pPr>
      <w:r>
        <w:tab/>
      </w:r>
      <w:r w:rsidR="00B87351">
        <w:t>Die Modelllierung eines Phänomens stützt sich gewöhnlich auf empirische Erkenntnisse und deren Auswertungen (etwa Messwerte, Hypothesen über Ko</w:t>
      </w:r>
      <w:r w:rsidR="00B87351">
        <w:t>r</w:t>
      </w:r>
      <w:r w:rsidR="00B87351">
        <w:t xml:space="preserve">relationen, usw.). Bei einem Phänomen wie Stil ist dies insofern nicht möglich, </w:t>
      </w:r>
      <w:r w:rsidR="00C81274">
        <w:t xml:space="preserve">als </w:t>
      </w:r>
      <w:r w:rsidR="00B87351">
        <w:t>es vor der Modellierung nicht einmal präzise abgrenzbar war: Bei Unters</w:t>
      </w:r>
      <w:r w:rsidR="00B87351">
        <w:t>u</w:t>
      </w:r>
      <w:r w:rsidR="00B87351">
        <w:t>chungen von tatsächlichen Stilen oder Befragungen von Probanden hätte man daher nicht sicher sein können, wirklich Erkenntnisse über Stil zu gewinnen. Daher baut die Modellierung auf die Grundlagen und Abgrenzungen, die in K</w:t>
      </w:r>
      <w:r w:rsidR="00B87351">
        <w:t>a</w:t>
      </w:r>
      <w:r w:rsidR="00B87351">
        <w:t>pitel 2 orientiert am Begriff ‚Stil‘ Schritt für Schritt gewonnen werden, auf.</w:t>
      </w:r>
    </w:p>
    <w:p w:rsidR="00B87351" w:rsidRDefault="009F5438" w:rsidP="002C3F3D">
      <w:pPr>
        <w:pStyle w:val="Text"/>
        <w:ind w:firstLine="0"/>
      </w:pPr>
      <w:r>
        <w:tab/>
      </w:r>
      <w:r w:rsidR="00C5386A">
        <w:t xml:space="preserve">Bei Berücksichtigung der </w:t>
      </w:r>
      <w:r w:rsidR="00B87351">
        <w:t xml:space="preserve">anderen Teile der </w:t>
      </w:r>
      <w:r w:rsidR="00C5386A">
        <w:t xml:space="preserve">Arbeit </w:t>
      </w:r>
      <w:r w:rsidR="00B87351">
        <w:t xml:space="preserve">ergibt sich folgende </w:t>
      </w:r>
      <w:r w:rsidR="00C5386A">
        <w:t>Ei</w:t>
      </w:r>
      <w:r w:rsidR="00C5386A">
        <w:t>n</w:t>
      </w:r>
      <w:r w:rsidR="00C5386A">
        <w:t>teilung:</w:t>
      </w:r>
    </w:p>
    <w:p w:rsidR="00C220E7" w:rsidRDefault="00B87351" w:rsidP="0091423E">
      <w:pPr>
        <w:pStyle w:val="Zwischenberschrift"/>
      </w:pPr>
      <w:r>
        <w:t>(A)</w:t>
      </w:r>
      <w:r>
        <w:tab/>
      </w:r>
      <w:r w:rsidR="0091423E">
        <w:t>Theoriebildende Teile</w:t>
      </w:r>
    </w:p>
    <w:p w:rsidR="00C220E7" w:rsidRDefault="00B87351" w:rsidP="00737053">
      <w:pPr>
        <w:pStyle w:val="Text"/>
        <w:ind w:firstLine="0"/>
      </w:pPr>
      <w:r>
        <w:t>(1)</w:t>
      </w:r>
      <w:r>
        <w:tab/>
        <w:t>Kapitel 2 und 3</w:t>
      </w:r>
      <w:r w:rsidR="00C220E7">
        <w:t xml:space="preserve">: </w:t>
      </w:r>
      <w:r w:rsidR="00C220E7" w:rsidRPr="00B87351">
        <w:rPr>
          <w:i/>
        </w:rPr>
        <w:t>Herleitung des Stilmodells</w:t>
      </w:r>
      <w:r w:rsidRPr="00B87351">
        <w:rPr>
          <w:i/>
        </w:rPr>
        <w:t xml:space="preserve"> ausgehend von einer Begriffsexpl</w:t>
      </w:r>
      <w:r w:rsidRPr="00B87351">
        <w:rPr>
          <w:i/>
        </w:rPr>
        <w:t>i</w:t>
      </w:r>
      <w:r w:rsidRPr="00B87351">
        <w:rPr>
          <w:i/>
        </w:rPr>
        <w:t>kation</w:t>
      </w:r>
      <w:r w:rsidR="00C220E7" w:rsidRPr="00B87351">
        <w:rPr>
          <w:i/>
        </w:rPr>
        <w:t>.</w:t>
      </w:r>
      <w:r w:rsidR="00737053">
        <w:t xml:space="preserve"> H</w:t>
      </w:r>
      <w:r w:rsidR="00C220E7">
        <w:t>ier wird gezeigt, dass es sich beim Stilmodell um eine geeignete Mo</w:t>
      </w:r>
      <w:r w:rsidR="00D762AC">
        <w:t>de</w:t>
      </w:r>
      <w:r w:rsidR="00D762AC">
        <w:t>l</w:t>
      </w:r>
      <w:r w:rsidR="00D762AC">
        <w:t xml:space="preserve">lierung des </w:t>
      </w:r>
      <w:r w:rsidR="00656E27">
        <w:t>natürlichsprachlichen B</w:t>
      </w:r>
      <w:r w:rsidR="00D762AC">
        <w:t>egriffs ‚Stil‘</w:t>
      </w:r>
      <w:r w:rsidR="00C220E7">
        <w:t xml:space="preserve"> handelt. Dabei werden die dem Modell zugrundeliegenden Entscheidungen Schritt für Schritt gerechtfertigt, wobei mit Beispielen gearbeitet wird, die den normalsprachlichen Gebrauch von Stil simulieren sollen. Auf diesem ersten Teil beruht also der Anspruch der </w:t>
      </w:r>
      <w:r w:rsidR="00C81274">
        <w:t xml:space="preserve">hier vorgestellten </w:t>
      </w:r>
      <w:r w:rsidR="00C220E7">
        <w:t xml:space="preserve">Stiltheorie, </w:t>
      </w:r>
      <w:r w:rsidR="003F4408">
        <w:t xml:space="preserve">auch </w:t>
      </w:r>
      <w:r w:rsidR="00C220E7">
        <w:t>ein</w:t>
      </w:r>
      <w:r w:rsidR="003F4408">
        <w:t xml:space="preserve">e Begriffsdefinition zu liefern (vgl. Abschnitt </w:t>
      </w:r>
      <w:r w:rsidR="005D7996">
        <w:fldChar w:fldCharType="begin"/>
      </w:r>
      <w:r w:rsidR="003F4408">
        <w:instrText xml:space="preserve"> REF _Ref264295348 \r \h </w:instrText>
      </w:r>
      <w:r w:rsidR="005D7996">
        <w:fldChar w:fldCharType="separate"/>
      </w:r>
      <w:r w:rsidR="001231D3">
        <w:t>2.16</w:t>
      </w:r>
      <w:r w:rsidR="005D7996">
        <w:fldChar w:fldCharType="end"/>
      </w:r>
      <w:r w:rsidR="003F4408">
        <w:t>).</w:t>
      </w:r>
    </w:p>
    <w:p w:rsidR="00C220E7" w:rsidRDefault="00B87351" w:rsidP="009F5438">
      <w:pPr>
        <w:pStyle w:val="Text"/>
        <w:spacing w:before="120"/>
        <w:ind w:firstLine="0"/>
      </w:pPr>
      <w:r>
        <w:t>(2)</w:t>
      </w:r>
      <w:r>
        <w:tab/>
      </w:r>
      <w:r w:rsidR="003F4408">
        <w:t>Kapitel 4 bis 7</w:t>
      </w:r>
      <w:r w:rsidR="00C220E7">
        <w:t xml:space="preserve">: </w:t>
      </w:r>
      <w:r w:rsidRPr="00B87351">
        <w:rPr>
          <w:i/>
        </w:rPr>
        <w:t>Modellierung.</w:t>
      </w:r>
      <w:r w:rsidR="00737053">
        <w:t xml:space="preserve"> </w:t>
      </w:r>
      <w:r w:rsidR="00C220E7">
        <w:t>Dieser Teil liefert das Modell selbst. Nachdem in den Kapiteln 2 und 3 die wesentlichen Entscheidungen begründet wurden, kann hier nun der stilistische Zeichenprozess auf Grundlage dieser Entscheidu</w:t>
      </w:r>
      <w:r w:rsidR="00C220E7">
        <w:t>n</w:t>
      </w:r>
      <w:r w:rsidR="00C220E7">
        <w:t>gen ausgearbeitet werden. Für diesen Teil setzen wir somit weitgehend die Kl</w:t>
      </w:r>
      <w:r w:rsidR="00C220E7">
        <w:t>ä</w:t>
      </w:r>
      <w:r w:rsidR="00C220E7">
        <w:t>rung dessen, was Stil ist und was es nicht ist, voraus. Weitere Entscheidungen, Einführungen von Begriffen usw. ergeben sich nun in diesem Teil als Notwe</w:t>
      </w:r>
      <w:r w:rsidR="00C220E7">
        <w:t>n</w:t>
      </w:r>
      <w:r w:rsidR="00C220E7">
        <w:lastRenderedPageBreak/>
        <w:t xml:space="preserve">digkeiten der Darstellung und aus Gründen der Konsistenz. Das Modell enthält </w:t>
      </w:r>
      <w:r w:rsidR="005E5BF7">
        <w:t xml:space="preserve">somit </w:t>
      </w:r>
      <w:r w:rsidR="00C220E7">
        <w:t xml:space="preserve">in seiner endgültigen Form </w:t>
      </w:r>
      <w:r w:rsidR="00C81274">
        <w:t xml:space="preserve">einerseits </w:t>
      </w:r>
      <w:r w:rsidR="00C220E7">
        <w:t>die sich aus dem ersten Teil erg</w:t>
      </w:r>
      <w:r w:rsidR="00C220E7">
        <w:t>e</w:t>
      </w:r>
      <w:r w:rsidR="00C220E7">
        <w:t>benden begriffsdefinitorischen Abgrenzungseigenschaften</w:t>
      </w:r>
      <w:r w:rsidR="005E5BF7">
        <w:t xml:space="preserve"> (es sollte </w:t>
      </w:r>
      <w:r w:rsidR="00C220E7">
        <w:t>also in der Lage sein, zu zeig</w:t>
      </w:r>
      <w:r w:rsidR="005E5BF7">
        <w:t>en, was Stil ist und was nicht)</w:t>
      </w:r>
      <w:r w:rsidR="00C81274">
        <w:t>, andererseits</w:t>
      </w:r>
      <w:r w:rsidR="00C220E7">
        <w:t xml:space="preserve"> die sich aus dem zweiten Teil ergebend</w:t>
      </w:r>
      <w:r w:rsidR="005E5BF7">
        <w:t>en Modellierungseigenschaften (</w:t>
      </w:r>
      <w:r w:rsidR="00C220E7">
        <w:t xml:space="preserve">es </w:t>
      </w:r>
      <w:r w:rsidR="005E5BF7">
        <w:t xml:space="preserve">stellt </w:t>
      </w:r>
      <w:r w:rsidR="00C220E7">
        <w:t xml:space="preserve">den stilistischen Zeichenprozess in seiner grundlegenden Funktionsweise </w:t>
      </w:r>
      <w:r w:rsidR="005E5BF7">
        <w:t xml:space="preserve">dar, geht insofern also über eine bloße </w:t>
      </w:r>
      <w:r w:rsidR="00C220E7">
        <w:t xml:space="preserve">Definition </w:t>
      </w:r>
      <w:r w:rsidR="005E5BF7">
        <w:t>hinaus)</w:t>
      </w:r>
      <w:r w:rsidR="00C220E7">
        <w:t>.</w:t>
      </w:r>
    </w:p>
    <w:p w:rsidR="00B87351" w:rsidRDefault="00B87351" w:rsidP="0091423E">
      <w:pPr>
        <w:pStyle w:val="Zwischenberschrift"/>
      </w:pPr>
      <w:r>
        <w:t>(B)</w:t>
      </w:r>
      <w:r>
        <w:tab/>
      </w:r>
      <w:r w:rsidR="0091423E">
        <w:t>Nicht theoriebildende Teile</w:t>
      </w:r>
    </w:p>
    <w:p w:rsidR="008B1FB5" w:rsidRDefault="00B87351" w:rsidP="00737053">
      <w:pPr>
        <w:pStyle w:val="Text"/>
        <w:ind w:firstLine="0"/>
        <w:rPr>
          <w:rFonts w:cs="Times New Roman"/>
        </w:rPr>
      </w:pPr>
      <w:r>
        <w:t xml:space="preserve">Kapitel 1 erläutert die Methode, </w:t>
      </w:r>
      <w:r w:rsidR="00B66121">
        <w:t xml:space="preserve">Kapitel 8 </w:t>
      </w:r>
      <w:r>
        <w:t xml:space="preserve">bettet </w:t>
      </w:r>
      <w:r w:rsidR="00BA1D35">
        <w:t xml:space="preserve">das Stilmodell </w:t>
      </w:r>
      <w:r>
        <w:t>in verschiedene Zusammenhänge ein und zieht Konsequenzen daraus (gehört also auch zur Sti</w:t>
      </w:r>
      <w:r>
        <w:t>l</w:t>
      </w:r>
      <w:r>
        <w:t xml:space="preserve">theorie), während </w:t>
      </w:r>
      <w:r w:rsidR="00B66121">
        <w:t>Kapitel 9</w:t>
      </w:r>
      <w:r w:rsidR="00C220E7">
        <w:t xml:space="preserve"> nicht mehr zur Stiltheorie </w:t>
      </w:r>
      <w:r>
        <w:t>gehört</w:t>
      </w:r>
      <w:r w:rsidR="00C220E7">
        <w:t xml:space="preserve">, </w:t>
      </w:r>
      <w:r>
        <w:t>sondern ausg</w:t>
      </w:r>
      <w:r>
        <w:t>e</w:t>
      </w:r>
      <w:r>
        <w:t xml:space="preserve">hend von ihr </w:t>
      </w:r>
      <w:r w:rsidR="00C220E7">
        <w:t>Überlegungen zu wissenschaftstheoretischen Fragen an</w:t>
      </w:r>
      <w:r>
        <w:t>stellt</w:t>
      </w:r>
      <w:r w:rsidR="00C220E7">
        <w:t>.</w:t>
      </w:r>
      <w:bookmarkStart w:id="21" w:name="_Ref266024629"/>
    </w:p>
    <w:p w:rsidR="00A91B5A" w:rsidRDefault="00A91B5A" w:rsidP="00A91B5A">
      <w:pPr>
        <w:pStyle w:val="Titel2"/>
      </w:pPr>
      <w:bookmarkStart w:id="22" w:name="_Ref268605138"/>
      <w:bookmarkStart w:id="23" w:name="_Toc325456693"/>
      <w:bookmarkEnd w:id="18"/>
      <w:r>
        <w:t>Zur formalen Darstellung des Stilmodells</w:t>
      </w:r>
      <w:bookmarkEnd w:id="22"/>
      <w:bookmarkEnd w:id="23"/>
    </w:p>
    <w:bookmarkEnd w:id="21"/>
    <w:p w:rsidR="000C7C47" w:rsidRDefault="009C0DBB" w:rsidP="002C3F3D">
      <w:pPr>
        <w:pStyle w:val="Text"/>
        <w:ind w:firstLine="0"/>
      </w:pPr>
      <w:r>
        <w:t>Es wird keine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xml:space="preserve"> im strengen Sinn angestrebt, bei der eine Theorie in einer formalisierten Sprache dargestellt oder in letzter Konsequenz als Kalkül, ein System</w:t>
      </w:r>
      <w:r w:rsidR="005D7996">
        <w:fldChar w:fldCharType="begin"/>
      </w:r>
      <w:r w:rsidR="006F0E69">
        <w:instrText xml:space="preserve"> XE "</w:instrText>
      </w:r>
      <w:r w:rsidR="006F0E69" w:rsidRPr="009C4EB7">
        <w:instrText>System</w:instrText>
      </w:r>
      <w:r w:rsidR="006F0E69">
        <w:instrText xml:space="preserve">" </w:instrText>
      </w:r>
      <w:r w:rsidR="005D7996">
        <w:fldChar w:fldCharType="end"/>
      </w:r>
      <w:r>
        <w:t xml:space="preserve"> von Regeln, mit denen sich ausgehend von Axiomen weitere Auss</w:t>
      </w:r>
      <w:r>
        <w:t>a</w:t>
      </w:r>
      <w:r>
        <w:t>gen ableiten lassen, formuliert wird.</w:t>
      </w:r>
      <w:r>
        <w:rPr>
          <w:rStyle w:val="Funotenzeichen"/>
        </w:rPr>
        <w:footnoteReference w:id="33"/>
      </w:r>
      <w:r w:rsidR="000C7C47">
        <w:t xml:space="preserve"> Rolf Ziegler </w:t>
      </w:r>
      <w:r w:rsidR="00413F7D">
        <w:t>defin</w:t>
      </w:r>
      <w:r w:rsidR="00C86C1E">
        <w:t>i</w:t>
      </w:r>
      <w:r w:rsidR="00413F7D">
        <w:t>ert in einer Grundlage</w:t>
      </w:r>
      <w:r w:rsidR="00413F7D">
        <w:t>n</w:t>
      </w:r>
      <w:r w:rsidR="00413F7D">
        <w:t>studie zur Formalisierung in der Soziologie</w:t>
      </w:r>
      <w:r w:rsidR="005D7996">
        <w:fldChar w:fldCharType="begin"/>
      </w:r>
      <w:r w:rsidR="00866F93">
        <w:instrText xml:space="preserve"> XE "</w:instrText>
      </w:r>
      <w:r w:rsidR="00866F93" w:rsidRPr="005C0A63">
        <w:rPr>
          <w:szCs w:val="17"/>
        </w:rPr>
        <w:instrText>Soziologie</w:instrText>
      </w:r>
      <w:r w:rsidR="00866F93">
        <w:instrText xml:space="preserve">" </w:instrText>
      </w:r>
      <w:r w:rsidR="005D7996">
        <w:fldChar w:fldCharType="end"/>
      </w:r>
      <w:r w:rsidR="000C7C47">
        <w:t>:</w:t>
      </w:r>
      <w:r w:rsidR="000C7C47">
        <w:rPr>
          <w:rStyle w:val="Funotenzeichen"/>
        </w:rPr>
        <w:footnoteReference w:id="34"/>
      </w:r>
    </w:p>
    <w:p w:rsidR="000C7C47" w:rsidRDefault="000C7C47" w:rsidP="000C7C47">
      <w:pPr>
        <w:pStyle w:val="Zitat"/>
      </w:pPr>
      <w:r>
        <w:t>Die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xml:space="preserve"> einer Theorie, wie wir sie hier verstehen, bedeutet die exa</w:t>
      </w:r>
      <w:r>
        <w:t>k</w:t>
      </w:r>
      <w:r>
        <w:t>te, im Idealfall kalkülhafte Darstellung ihrer syntaktischen Struktur, d.</w:t>
      </w:r>
      <w:r w:rsidR="00AA0E71">
        <w:t> </w:t>
      </w:r>
      <w:r>
        <w:t>h. die explizite Angabe der Zeichen, der Formregeln für die Bildung von Ausdrücken und der Umformungsregeln für die Transformation von Ausdrücken.</w:t>
      </w:r>
    </w:p>
    <w:p w:rsidR="00EF1E60" w:rsidRDefault="009C0DBB" w:rsidP="002C3F3D">
      <w:pPr>
        <w:pStyle w:val="Text"/>
        <w:ind w:firstLine="0"/>
      </w:pPr>
      <w:r>
        <w:t xml:space="preserve">Dieses Verfahren hat beachtliche Leistungen in der präzisen Darstellung von Theorien </w:t>
      </w:r>
      <w:r w:rsidR="002F2C2C">
        <w:t xml:space="preserve">und Beschreibungsansätzen </w:t>
      </w:r>
      <w:r w:rsidR="00760BC8">
        <w:t>in den</w:t>
      </w:r>
      <w:r w:rsidR="002F2C2C">
        <w:t xml:space="preserve"> Geisteswissenschaft</w:t>
      </w:r>
      <w:r w:rsidR="00760BC8">
        <w: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rsidR="002F2C2C">
        <w:t xml:space="preserve"> ermöglicht. Besonders bewährt hat sie sich in der konstruktsprachlichen Beschreibung von natürlichen Sprachen;</w:t>
      </w:r>
      <w:r>
        <w:t xml:space="preserve"> als Beispiel sei die Montague-Grammatik genannt.</w:t>
      </w:r>
      <w:r>
        <w:rPr>
          <w:rStyle w:val="Funotenzeichen"/>
        </w:rPr>
        <w:footnoteReference w:id="35"/>
      </w:r>
      <w:r w:rsidR="007D0831">
        <w:t xml:space="preserve"> In den Sozialwissenschaften</w:t>
      </w:r>
      <w:r w:rsidR="005D7996">
        <w:fldChar w:fldCharType="begin"/>
      </w:r>
      <w:r w:rsidR="00946FEC">
        <w:instrText xml:space="preserve"> XE "</w:instrText>
      </w:r>
      <w:r w:rsidR="00946FEC" w:rsidRPr="00A42263">
        <w:instrText>Sozialwissenschaften</w:instrText>
      </w:r>
      <w:r w:rsidR="00946FEC">
        <w:instrText xml:space="preserve">" </w:instrText>
      </w:r>
      <w:r w:rsidR="005D7996">
        <w:fldChar w:fldCharType="end"/>
      </w:r>
      <w:r w:rsidR="007D0831">
        <w:t xml:space="preserve"> ist die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rsidR="007D0831">
        <w:t xml:space="preserve"> zu einer wichtigen Methode gewo</w:t>
      </w:r>
      <w:r w:rsidR="007D0831">
        <w:t>r</w:t>
      </w:r>
      <w:r w:rsidR="007D0831">
        <w:t>den.</w:t>
      </w:r>
    </w:p>
    <w:p w:rsidR="00EF1E60" w:rsidRDefault="009C0DBB" w:rsidP="009C0DBB">
      <w:pPr>
        <w:pStyle w:val="Text"/>
      </w:pPr>
      <w:r>
        <w:t>Eine solche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xml:space="preserve"> wurde hier nicht </w:t>
      </w:r>
      <w:r w:rsidR="00EF1E60">
        <w:t>vorgenommen</w:t>
      </w:r>
      <w:r>
        <w:t xml:space="preserve">. Sie erschien für das Vorhaben einer allgemeinen Stiltheorie als </w:t>
      </w:r>
      <w:r w:rsidR="00EF1E60">
        <w:t>zu unflexibel</w:t>
      </w:r>
      <w:r>
        <w:t xml:space="preserve">. </w:t>
      </w:r>
      <w:r w:rsidR="00EF1E60">
        <w:t>Der Grund ist</w:t>
      </w:r>
      <w:r>
        <w:t>, dass Prozesse mit Hilfe solcher Formalisierungen</w:t>
      </w:r>
      <w:r w:rsidR="005D7996">
        <w:fldChar w:fldCharType="begin"/>
      </w:r>
      <w:r w:rsidR="000D27D1">
        <w:instrText xml:space="preserve"> XE "</w:instrText>
      </w:r>
      <w:r w:rsidR="000D27D1" w:rsidRPr="003B0600">
        <w:instrText>Formalisierung</w:instrText>
      </w:r>
      <w:r w:rsidR="000D27D1">
        <w:instrText xml:space="preserve">" </w:instrText>
      </w:r>
      <w:r w:rsidR="005D7996">
        <w:fldChar w:fldCharType="end"/>
      </w:r>
      <w:r>
        <w:t xml:space="preserve"> zwar dargestellt werden</w:t>
      </w:r>
      <w:r w:rsidRPr="00C4340E">
        <w:t xml:space="preserve"> </w:t>
      </w:r>
      <w:r>
        <w:t xml:space="preserve">können, </w:t>
      </w:r>
      <w:r>
        <w:lastRenderedPageBreak/>
        <w:t xml:space="preserve">das Dargestellte dann aber als </w:t>
      </w:r>
      <w:r w:rsidR="00EF1E60">
        <w:t>Menge von Beziehungen erscheint, die (bei quant</w:t>
      </w:r>
      <w:r w:rsidR="00EF1E60">
        <w:t>i</w:t>
      </w:r>
      <w:r w:rsidR="00EF1E60">
        <w:t>tativen Beziehungen) in Gleichungen oder (bei qualitativen Beziehungen) in logischen Formeln angegeben werden.</w:t>
      </w:r>
      <w:r w:rsidR="00413F7D">
        <w:rPr>
          <w:rStyle w:val="Funotenzeichen"/>
        </w:rPr>
        <w:footnoteReference w:id="36"/>
      </w:r>
      <w:r w:rsidR="00EF1E60">
        <w:t xml:space="preserve"> </w:t>
      </w:r>
      <w:r>
        <w:t xml:space="preserve">Für </w:t>
      </w:r>
      <w:r w:rsidR="00551D6C">
        <w:t xml:space="preserve">das Verständnis von </w:t>
      </w:r>
      <w:r>
        <w:t xml:space="preserve">Stil ist </w:t>
      </w:r>
      <w:r w:rsidR="00EF1E60">
        <w:t xml:space="preserve">aber </w:t>
      </w:r>
      <w:r>
        <w:t xml:space="preserve">der Prozesscharakter </w:t>
      </w:r>
      <w:r w:rsidR="00551D6C">
        <w:t>des Phänomens entscheidend</w:t>
      </w:r>
      <w:r>
        <w:t>.</w:t>
      </w:r>
      <w:r w:rsidR="00CE1FAC">
        <w:rPr>
          <w:rStyle w:val="Funotenzeichen"/>
        </w:rPr>
        <w:footnoteReference w:id="37"/>
      </w:r>
    </w:p>
    <w:p w:rsidR="000C7C47" w:rsidRDefault="009C0DBB" w:rsidP="009C0DBB">
      <w:pPr>
        <w:pStyle w:val="Text"/>
      </w:pPr>
      <w:r>
        <w:t>Stil ist ein Zeichenprozess</w:t>
      </w:r>
      <w:r w:rsidR="0019511E">
        <w:t>typ</w:t>
      </w:r>
      <w:r>
        <w:t xml:space="preserve"> und </w:t>
      </w:r>
      <w:r w:rsidR="00EF1E60">
        <w:t>damit nicht quantitativer Natur; eine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rsidR="00EF1E60">
        <w:t xml:space="preserve"> mit Gleichungssystemen kommt </w:t>
      </w:r>
      <w:r w:rsidR="000C7C47">
        <w:t xml:space="preserve">nicht in Frage. Aber auch als </w:t>
      </w:r>
      <w:r>
        <w:t xml:space="preserve">Menge von logischen Beziehungen </w:t>
      </w:r>
      <w:r w:rsidR="000C7C47">
        <w:t xml:space="preserve">kann dieser Prozess nicht befriedigend </w:t>
      </w:r>
      <w:r>
        <w:t>fo</w:t>
      </w:r>
      <w:r>
        <w:t>r</w:t>
      </w:r>
      <w:r>
        <w:t>malisiert werden</w:t>
      </w:r>
      <w:r w:rsidR="000C7C47">
        <w:t>; theoretisch wäre es vielleicht möglich, die hier vorgestellte Theorie in logischen Formeln (in einer Temporallogik) darzustellen, diese wären aber sehr kompliziert und würden dem Prozesscharakter nicht gerecht werden.</w:t>
      </w:r>
    </w:p>
    <w:p w:rsidR="00A14631" w:rsidRDefault="009C0DBB" w:rsidP="009C0DBB">
      <w:pPr>
        <w:pStyle w:val="Text"/>
      </w:pPr>
      <w:r>
        <w:t>Es wird daher der Weg gewählt, den Prozess als Computerprogramm</w:t>
      </w:r>
      <w:r w:rsidR="005D7996">
        <w:fldChar w:fldCharType="begin"/>
      </w:r>
      <w:r w:rsidR="00D25476">
        <w:instrText xml:space="preserve"> XE "</w:instrText>
      </w:r>
      <w:r w:rsidR="00D25476" w:rsidRPr="002209FF">
        <w:instrText>Computerprogramm</w:instrText>
      </w:r>
      <w:r w:rsidR="00D25476">
        <w:instrText xml:space="preserve">" </w:instrText>
      </w:r>
      <w:r w:rsidR="005D7996">
        <w:fldChar w:fldCharType="end"/>
      </w:r>
      <w:r>
        <w:t xml:space="preserve"> darz</w:t>
      </w:r>
      <w:r>
        <w:t>u</w:t>
      </w:r>
      <w:r>
        <w:t>stellen. Im Interesse der Verständlichkeit wird dabei auf eine allzu formale Herangehensweise verzichtet; die Darstellung wird an einem tatsächlichen Pr</w:t>
      </w:r>
      <w:r>
        <w:t>o</w:t>
      </w:r>
      <w:r>
        <w:t>gramm in einer fiktiven Programmiersprache</w:t>
      </w:r>
      <w:r w:rsidR="005D7996">
        <w:fldChar w:fldCharType="begin"/>
      </w:r>
      <w:r w:rsidR="00D25476">
        <w:instrText xml:space="preserve"> XE "</w:instrText>
      </w:r>
      <w:r w:rsidR="00D25476" w:rsidRPr="00815262">
        <w:instrText>Programmiersprache</w:instrText>
      </w:r>
      <w:r w:rsidR="00D25476">
        <w:instrText xml:space="preserve">" </w:instrText>
      </w:r>
      <w:r w:rsidR="005D7996">
        <w:fldChar w:fldCharType="end"/>
      </w:r>
      <w:r>
        <w:t xml:space="preserve"> orientiert, die in der Regel als intu</w:t>
      </w:r>
      <w:r>
        <w:t>i</w:t>
      </w:r>
      <w:r>
        <w:t>tiv verständlich vorausgesetzt wird und sich, von einigen Darstellungskonvent</w:t>
      </w:r>
      <w:r>
        <w:t>i</w:t>
      </w:r>
      <w:r>
        <w:t>onen abgesehen, an der Funktionsweise tat</w:t>
      </w:r>
      <w:r w:rsidR="000C7C47">
        <w:t>s</w:t>
      </w:r>
      <w:r>
        <w:t>ächlicher Computersprachen orie</w:t>
      </w:r>
      <w:r>
        <w:t>n</w:t>
      </w:r>
      <w:r>
        <w:t>tiert. Daher kann auf einen umfangreichen formalen Apparat sowie auf Nachweise der formalen Korrektheit verzichtet werden, die nach Auffassung des Autors nichts zum Verständnis der dargestellten Prozesse beitragen würden. Dies erscheint umso mehr angeraten, als das hier vorgestellte Modell nicht als vollständige und genaue Darstellung des tatsächlichen stilistischen Zeichenpr</w:t>
      </w:r>
      <w:r>
        <w:t>o</w:t>
      </w:r>
      <w:r>
        <w:t xml:space="preserve">zesses beabsichtigt ist, sondern vielmehr eine vereinfachte Annäherung bieten soll, die für den Zweck einer genaueren Darstellung </w:t>
      </w:r>
      <w:r w:rsidR="008D5151">
        <w:t xml:space="preserve">bei Bedarf </w:t>
      </w:r>
      <w:r>
        <w:t>modifiziert we</w:t>
      </w:r>
      <w:r>
        <w:t>r</w:t>
      </w:r>
      <w:r>
        <w:t>den kann.</w:t>
      </w:r>
      <w:r>
        <w:rPr>
          <w:rStyle w:val="Funotenzeichen"/>
        </w:rPr>
        <w:footnoteReference w:id="38"/>
      </w:r>
    </w:p>
    <w:p w:rsidR="009C0DBB" w:rsidRDefault="009C0DBB" w:rsidP="009C0DBB">
      <w:pPr>
        <w:pStyle w:val="Text"/>
      </w:pPr>
      <w:r>
        <w:lastRenderedPageBreak/>
        <w:t>In einer strengen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xml:space="preserve"> </w:t>
      </w:r>
      <w:r w:rsidR="001C3E12">
        <w:t xml:space="preserve">müssten </w:t>
      </w:r>
      <w:r>
        <w:t>die hier vorgestellten Funktionen</w:t>
      </w:r>
      <w:r w:rsidR="00FA7A39">
        <w:t xml:space="preserve"> </w:t>
      </w:r>
      <w:r>
        <w:t xml:space="preserve">als </w:t>
      </w:r>
      <w:r w:rsidR="00781A80">
        <w:t xml:space="preserve">aufwendige </w:t>
      </w:r>
      <w:r>
        <w:t xml:space="preserve">logische Bedingungen </w:t>
      </w:r>
      <w:r w:rsidR="001C3E12">
        <w:t>formuliert werden</w:t>
      </w:r>
      <w:r w:rsidR="00FA7A39">
        <w:t>, etwa wenn verschied</w:t>
      </w:r>
      <w:r w:rsidR="00FA7A39">
        <w:t>e</w:t>
      </w:r>
      <w:r w:rsidR="00FA7A39">
        <w:t>ne if- und for-Schleifen rekursiv aufgerufen werden</w:t>
      </w:r>
      <w:r w:rsidR="001C3E12">
        <w:t>.</w:t>
      </w:r>
      <w:r>
        <w:t xml:space="preserve"> </w:t>
      </w:r>
      <w:r w:rsidR="001C3E12">
        <w:t xml:space="preserve">Diese </w:t>
      </w:r>
      <w:r w:rsidR="00FA7A39">
        <w:t xml:space="preserve">Darstellung würde jedoch </w:t>
      </w:r>
      <w:r>
        <w:t>als statisch erscheinen. Zudem ist unklar, ob sich alle hier dargestellten Vorgänge auch in den üblichen Formalisierungssystemen mit vertretbarem Da</w:t>
      </w:r>
      <w:r>
        <w:t>r</w:t>
      </w:r>
      <w:r>
        <w:t>stellungsaufwand wiedergeben lassen.</w:t>
      </w:r>
    </w:p>
    <w:p w:rsidR="009C0DBB" w:rsidRDefault="009C0DBB" w:rsidP="009C0DBB">
      <w:pPr>
        <w:pStyle w:val="Text"/>
      </w:pPr>
      <w:r>
        <w:t xml:space="preserve">Die Darstellung mit Hilfe von </w:t>
      </w:r>
      <w:r w:rsidR="00743A7E">
        <w:t xml:space="preserve">Programmen </w:t>
      </w:r>
      <w:r>
        <w:t>ist transparenter</w:t>
      </w:r>
      <w:r w:rsidR="00743A7E">
        <w:t>.</w:t>
      </w:r>
      <w:r w:rsidR="00EF7D9C">
        <w:rPr>
          <w:rStyle w:val="Funotenzeichen"/>
        </w:rPr>
        <w:footnoteReference w:id="39"/>
      </w:r>
      <w:r w:rsidR="00743A7E">
        <w:t xml:space="preserve"> Ein wicht</w:t>
      </w:r>
      <w:r w:rsidR="00743A7E">
        <w:t>i</w:t>
      </w:r>
      <w:r w:rsidR="00743A7E">
        <w:t xml:space="preserve">ger Vorteil ist, dass sie </w:t>
      </w:r>
      <w:r>
        <w:t xml:space="preserve">die Prozesse bei der Stilinterpretation auch als Prozesse, nämlich als </w:t>
      </w:r>
      <w:r w:rsidR="00743A7E">
        <w:t>Computerp</w:t>
      </w:r>
      <w:r>
        <w:t xml:space="preserve">rogramme, </w:t>
      </w:r>
      <w:r w:rsidR="00743A7E">
        <w:t>modelliert</w:t>
      </w:r>
      <w:r>
        <w:t>. Sie ist daher näher an der Realität des dargestellten Phänomens als eine statische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bei der die Pr</w:t>
      </w:r>
      <w:r>
        <w:t>o</w:t>
      </w:r>
      <w:r>
        <w:t xml:space="preserve">zesshaftigkeit des </w:t>
      </w:r>
      <w:r w:rsidR="001500F6">
        <w:t xml:space="preserve">Anwendens </w:t>
      </w:r>
      <w:r>
        <w:t xml:space="preserve">und </w:t>
      </w:r>
      <w:r w:rsidR="001500F6">
        <w:t xml:space="preserve">Wahrnehmens </w:t>
      </w:r>
      <w:r>
        <w:t>von Stil verloren gehen wü</w:t>
      </w:r>
      <w:r>
        <w:t>r</w:t>
      </w:r>
      <w:r>
        <w:t>de.</w:t>
      </w:r>
      <w:r>
        <w:rPr>
          <w:rStyle w:val="Funotenzeichen"/>
        </w:rPr>
        <w:footnoteReference w:id="40"/>
      </w:r>
    </w:p>
    <w:p w:rsidR="00F52BB0" w:rsidRDefault="00F52BB0" w:rsidP="009C0DBB">
      <w:pPr>
        <w:pStyle w:val="Text"/>
      </w:pPr>
      <w:r>
        <w:t xml:space="preserve">Programme, die Probleme </w:t>
      </w:r>
      <w:r w:rsidR="00903EEB">
        <w:t>modellieren</w:t>
      </w:r>
      <w:r>
        <w:t>, können als Theorien dieser Probl</w:t>
      </w:r>
      <w:r>
        <w:t>e</w:t>
      </w:r>
      <w:r>
        <w:t>me aufgefasst werden. Diese Sichtweise ist noch nicht vollständig durchdacht;</w:t>
      </w:r>
      <w:r>
        <w:rPr>
          <w:rStyle w:val="Funotenzeichen"/>
        </w:rPr>
        <w:footnoteReference w:id="41"/>
      </w:r>
      <w:r w:rsidR="00002D98">
        <w:t xml:space="preserve"> </w:t>
      </w:r>
      <w:r w:rsidR="00312BC9">
        <w:t xml:space="preserve">sicher ist jedoch, dass ebenso wie bei einem formalen Modell eine </w:t>
      </w:r>
      <w:r w:rsidR="00903EEB">
        <w:t xml:space="preserve">weitgehende theoretische </w:t>
      </w:r>
      <w:r w:rsidR="00312BC9">
        <w:t xml:space="preserve">Durchdringung </w:t>
      </w:r>
      <w:r w:rsidR="00903EEB">
        <w:t>eines Problems vorliegen muss, damit eine pr</w:t>
      </w:r>
      <w:r w:rsidR="00903EEB">
        <w:t>o</w:t>
      </w:r>
      <w:r w:rsidR="00903EEB">
        <w:t>grammiertechnische Lösung gefunden werden kann. Aus wissenschaftstheoret</w:t>
      </w:r>
      <w:r w:rsidR="00903EEB">
        <w:t>i</w:t>
      </w:r>
      <w:r w:rsidR="00903EEB">
        <w:t>scher Perspektive ist allerdings problematisch, dass bei tatsächlichen Compute</w:t>
      </w:r>
      <w:r w:rsidR="00903EEB">
        <w:t>r</w:t>
      </w:r>
      <w:r w:rsidR="00903EEB">
        <w:t>programmen meist Ziele („Lösungen“) hinzukommen, die mit dem modellierten Sachverhalt („Problem“) auf komplexe Art interagieren.</w:t>
      </w:r>
      <w:r w:rsidR="00903EEB">
        <w:rPr>
          <w:rStyle w:val="Funotenzeichen"/>
        </w:rPr>
        <w:footnoteReference w:id="42"/>
      </w:r>
      <w:r w:rsidR="00903EEB">
        <w:t xml:space="preserve"> Dabei vermischen sich deskriptive Komponenten (die implizit auch in solchen Programmen enthaltene Modellierung des betrachteten Phänomens) mit normativen </w:t>
      </w:r>
      <w:r w:rsidR="00D318DD">
        <w:t>Komponenten (b</w:t>
      </w:r>
      <w:r w:rsidR="00D318DD">
        <w:t>e</w:t>
      </w:r>
      <w:r w:rsidR="00D318DD">
        <w:t xml:space="preserve">stimmten Aufgaben, die an das Programm gestellt werden und in der Regel </w:t>
      </w:r>
      <w:r w:rsidR="00D318DD">
        <w:lastRenderedPageBreak/>
        <w:t xml:space="preserve">überhaupt erst der Grund für seine Existenz sind). </w:t>
      </w:r>
      <w:r w:rsidR="00903EEB">
        <w:t>Prinzipiell können Comp</w:t>
      </w:r>
      <w:r w:rsidR="00903EEB">
        <w:t>u</w:t>
      </w:r>
      <w:r w:rsidR="00903EEB">
        <w:t>terprogramme</w:t>
      </w:r>
      <w:r w:rsidR="005D7996">
        <w:fldChar w:fldCharType="begin"/>
      </w:r>
      <w:r w:rsidR="00D24142">
        <w:instrText xml:space="preserve"> XE "</w:instrText>
      </w:r>
      <w:r w:rsidR="00D24142" w:rsidRPr="00734483">
        <w:instrText>Computerprogramm</w:instrText>
      </w:r>
      <w:r w:rsidR="00D24142">
        <w:instrText xml:space="preserve">" </w:instrText>
      </w:r>
      <w:r w:rsidR="005D7996">
        <w:fldChar w:fldCharType="end"/>
      </w:r>
      <w:r w:rsidR="00D25476">
        <w:t xml:space="preserve"> </w:t>
      </w:r>
      <w:r w:rsidR="00903EEB">
        <w:t xml:space="preserve">jedoch auch </w:t>
      </w:r>
      <w:r w:rsidR="00D318DD">
        <w:t>rein deskriptiv verwendet werden, indem der Pr</w:t>
      </w:r>
      <w:r w:rsidR="00D318DD">
        <w:t>o</w:t>
      </w:r>
      <w:r w:rsidR="00D318DD">
        <w:t>grammcode den Ablauf bestimmter Prozesse modelliert. In diesem Fall en</w:t>
      </w:r>
      <w:r w:rsidR="00D318DD">
        <w:t>t</w:t>
      </w:r>
      <w:r w:rsidR="00D318DD">
        <w:t>spricht die Entwicklung des Programms dem Aufstellen einer Theorie darüber, wie der entsprechende Prozess funktioniert. Diese Verwendungsweise wurde in der vorliegenden Theorie für die Modellierung des stilistischen Zeichenprozesses gewählt.</w:t>
      </w:r>
    </w:p>
    <w:p w:rsidR="009C0DBB" w:rsidRDefault="00A14631" w:rsidP="00A14631">
      <w:pPr>
        <w:pStyle w:val="Text"/>
      </w:pPr>
      <w:r>
        <w:t>Die hier vorgestellte Theorie soll nicht nur für Logiker, Informatiker und formal orientierte Philosophen verständlich sein, von denen man vielleicht e</w:t>
      </w:r>
      <w:r>
        <w:t>r</w:t>
      </w:r>
      <w:r>
        <w:t>warten kann, dass sie ausreichend vertraut mit Logik</w:t>
      </w:r>
      <w:r w:rsidR="005D7996">
        <w:fldChar w:fldCharType="begin"/>
      </w:r>
      <w:r w:rsidR="002117F9">
        <w:instrText xml:space="preserve"> XE "</w:instrText>
      </w:r>
      <w:r w:rsidR="002117F9" w:rsidRPr="003243E4">
        <w:instrText>Logik</w:instrText>
      </w:r>
      <w:r w:rsidR="002117F9">
        <w:instrText xml:space="preserve">" </w:instrText>
      </w:r>
      <w:r w:rsidR="005D7996">
        <w:fldChar w:fldCharType="end"/>
      </w:r>
      <w:r>
        <w:t xml:space="preserve"> und Programmierung sind, um nachvollziehen zu können, was das Programm macht. Nur so kann erkannt werden, welche Eigenschaften dem modellierten Phänomen, also dem stilist</w:t>
      </w:r>
      <w:r>
        <w:t>i</w:t>
      </w:r>
      <w:r>
        <w:t>schen Zeichenprozess, durch die Modellierung zugeschrieben werden.</w:t>
      </w:r>
      <w:r w:rsidRPr="00A14631">
        <w:t xml:space="preserve"> Die hier vorgestellte Theorie muss jedoch auch für </w:t>
      </w:r>
      <w:r w:rsidR="009C0DBB" w:rsidRPr="00A14631">
        <w:t>Kunstwissenschaftler</w:t>
      </w:r>
      <w:r w:rsidR="005D7996">
        <w:fldChar w:fldCharType="begin"/>
      </w:r>
      <w:r w:rsidR="009D2C75">
        <w:instrText xml:space="preserve"> XE "</w:instrText>
      </w:r>
      <w:r w:rsidR="009D2C75" w:rsidRPr="005A76D6">
        <w:instrText>Kunstwissenschaft</w:instrText>
      </w:r>
      <w:r w:rsidR="009D2C75">
        <w:instrText xml:space="preserve">" </w:instrText>
      </w:r>
      <w:r w:rsidR="005D7996">
        <w:fldChar w:fldCharType="end"/>
      </w:r>
      <w:r w:rsidR="009C0DBB" w:rsidRPr="00A14631">
        <w:t>, Architektu</w:t>
      </w:r>
      <w:r w:rsidR="009C0DBB" w:rsidRPr="00A14631">
        <w:t>r</w:t>
      </w:r>
      <w:r w:rsidR="009C0DBB" w:rsidRPr="00A14631">
        <w:t>theoretiker</w:t>
      </w:r>
      <w:r w:rsidR="005D7996">
        <w:fldChar w:fldCharType="begin"/>
      </w:r>
      <w:r w:rsidR="009D2C75">
        <w:instrText xml:space="preserve"> XE "</w:instrText>
      </w:r>
      <w:r w:rsidR="009D2C75" w:rsidRPr="00195B9A">
        <w:instrText>Architekturtheorie</w:instrText>
      </w:r>
      <w:r w:rsidR="009D2C75">
        <w:instrText xml:space="preserve">" </w:instrText>
      </w:r>
      <w:r w:rsidR="005D7996">
        <w:fldChar w:fldCharType="end"/>
      </w:r>
      <w:r w:rsidR="009C0DBB" w:rsidRPr="00A14631">
        <w:t>, Literaturwissenschaftler</w:t>
      </w:r>
      <w:r w:rsidR="005D7996">
        <w:fldChar w:fldCharType="begin"/>
      </w:r>
      <w:r w:rsidR="009D2C75">
        <w:instrText xml:space="preserve"> XE "</w:instrText>
      </w:r>
      <w:r w:rsidR="009D2C75" w:rsidRPr="00E24952">
        <w:instrText>Literaturwissenschaft</w:instrText>
      </w:r>
      <w:r w:rsidR="009D2C75">
        <w:instrText xml:space="preserve">" </w:instrText>
      </w:r>
      <w:r w:rsidR="005D7996">
        <w:fldChar w:fldCharType="end"/>
      </w:r>
      <w:r w:rsidRPr="00A14631">
        <w:t xml:space="preserve">, </w:t>
      </w:r>
      <w:r w:rsidR="009C0DBB" w:rsidRPr="00A14631">
        <w:t>Verhaltensfor</w:t>
      </w:r>
      <w:r w:rsidRPr="00A14631">
        <w:t xml:space="preserve">scher und allgemein für alle, die sich auf wissenschaftlichem Niveau mit Stil auseinandersetzen, verständlich sein. </w:t>
      </w:r>
      <w:r w:rsidR="009C0DBB">
        <w:t xml:space="preserve">Um </w:t>
      </w:r>
      <w:r>
        <w:t xml:space="preserve">dies </w:t>
      </w:r>
      <w:r w:rsidR="009C0DBB">
        <w:t>zu gewährleisten, wird jede Funktion mit ausführlichen zeilenb</w:t>
      </w:r>
      <w:r w:rsidR="009C0DBB">
        <w:t>e</w:t>
      </w:r>
      <w:r w:rsidR="009C0DBB">
        <w:t>zogenen Erläuterungen versehen.</w:t>
      </w:r>
      <w:r>
        <w:t xml:space="preserve"> Außerdem werden die wesentlichen Elemente der formalen Darstellung ausführlich eingeführt. Gleichzeitig werden jedoch die Grundlagen der Programmierung, insbesondere die Funktionsweise der ang</w:t>
      </w:r>
      <w:r>
        <w:t>e</w:t>
      </w:r>
      <w:r>
        <w:t>nommenen Programmiersprache</w:t>
      </w:r>
      <w:r w:rsidR="005D7996">
        <w:fldChar w:fldCharType="begin"/>
      </w:r>
      <w:r w:rsidR="00D25476">
        <w:instrText xml:space="preserve"> XE "</w:instrText>
      </w:r>
      <w:r w:rsidR="00D25476" w:rsidRPr="00815262">
        <w:instrText>Programmiersprache</w:instrText>
      </w:r>
      <w:r w:rsidR="00D25476">
        <w:instrText xml:space="preserve">" </w:instrText>
      </w:r>
      <w:r w:rsidR="005D7996">
        <w:fldChar w:fldCharType="end"/>
      </w:r>
      <w:r>
        <w:t>, gar nicht behandelt; sie sollten aus den zeile</w:t>
      </w:r>
      <w:r>
        <w:t>n</w:t>
      </w:r>
      <w:r>
        <w:t xml:space="preserve">bezogenen Erläuterungen ausreichend klar werden. </w:t>
      </w:r>
      <w:r w:rsidR="00F52BB0">
        <w:t>Weitergehende formale E</w:t>
      </w:r>
      <w:r w:rsidR="00F52BB0">
        <w:t>r</w:t>
      </w:r>
      <w:r w:rsidR="00F52BB0">
        <w:t>läuterungen hätten nach Ansicht des Autors nur das Verständnis erschwert und den Blick auf das Wesentliche, den modellierten Prozess, verstellt.</w:t>
      </w:r>
    </w:p>
    <w:bookmarkStart w:id="24" w:name="Schemaausführung"/>
    <w:p w:rsidR="009C0DBB" w:rsidRDefault="005D7996" w:rsidP="00F031B6">
      <w:pPr>
        <w:pStyle w:val="Text"/>
        <w:spacing w:before="240"/>
        <w:ind w:firstLine="0"/>
      </w:pPr>
      <w:r>
        <w:fldChar w:fldCharType="begin"/>
      </w:r>
      <w:r w:rsidR="002B46B4">
        <w:instrText xml:space="preserve"> XE "Schemaausführung" \r "Schemaausführung" </w:instrText>
      </w:r>
      <w:r>
        <w:fldChar w:fldCharType="end"/>
      </w:r>
      <w:r>
        <w:fldChar w:fldCharType="begin"/>
      </w:r>
      <w:r w:rsidR="00993F11">
        <w:instrText xml:space="preserve"> XE "Schemaausführung" \t "</w:instrText>
      </w:r>
      <w:r w:rsidR="00993F11" w:rsidRPr="00993F11">
        <w:rPr>
          <w:i/>
        </w:rPr>
        <w:instrText>et passim</w:instrText>
      </w:r>
      <w:r w:rsidR="00993F11">
        <w:instrText xml:space="preserve">" </w:instrText>
      </w:r>
      <w:r>
        <w:fldChar w:fldCharType="end"/>
      </w:r>
      <w:r w:rsidR="009C0DBB">
        <w:t>Die dargestellten Funktionen rufen sich gegenseitig auf und bilden somit Pr</w:t>
      </w:r>
      <w:r w:rsidR="009C0DBB">
        <w:t>o</w:t>
      </w:r>
      <w:r w:rsidR="009C0DBB">
        <w:t>gramme. Es handelt sich um zwei Programme, die teilweise dieselben Funkti</w:t>
      </w:r>
      <w:r w:rsidR="009C0DBB">
        <w:t>o</w:t>
      </w:r>
      <w:r w:rsidR="009C0DBB">
        <w:t xml:space="preserve">nen aufrufen: Das Programm </w:t>
      </w:r>
      <w:r w:rsidR="009C0DBB" w:rsidRPr="00902E11">
        <w:rPr>
          <w:i/>
        </w:rPr>
        <w:t>Schemaausführung</w:t>
      </w:r>
      <w:r w:rsidR="009C0DBB">
        <w:t xml:space="preserve"> (vgl. Abschnitt </w:t>
      </w:r>
      <w:r>
        <w:fldChar w:fldCharType="begin"/>
      </w:r>
      <w:r w:rsidR="009C0DBB">
        <w:instrText xml:space="preserve"> REF _Ref212110965 \r \h </w:instrText>
      </w:r>
      <w:r>
        <w:fldChar w:fldCharType="separate"/>
      </w:r>
      <w:r w:rsidR="001231D3">
        <w:t>5.2.2</w:t>
      </w:r>
      <w:r>
        <w:fldChar w:fldCharType="end"/>
      </w:r>
      <w:r w:rsidR="009C0DBB">
        <w:t xml:space="preserve">) und das Programm </w:t>
      </w:r>
      <w:r w:rsidR="001500F6">
        <w:rPr>
          <w:i/>
        </w:rPr>
        <w:t>Stil_wahrnehmen</w:t>
      </w:r>
      <w:r w:rsidR="009C0DBB">
        <w:t xml:space="preserve"> (vgl. Abschnitt </w:t>
      </w:r>
      <w:r>
        <w:fldChar w:fldCharType="begin"/>
      </w:r>
      <w:r w:rsidR="009C0DBB">
        <w:instrText xml:space="preserve"> REF _Ref261443737 \r \h </w:instrText>
      </w:r>
      <w:r>
        <w:fldChar w:fldCharType="separate"/>
      </w:r>
      <w:r w:rsidR="001231D3">
        <w:t>7.3.2</w:t>
      </w:r>
      <w:r>
        <w:fldChar w:fldCharType="end"/>
      </w:r>
      <w:r w:rsidR="009C0DBB">
        <w:t>). Die beiden Programme di</w:t>
      </w:r>
      <w:r w:rsidR="009C0DBB">
        <w:t>e</w:t>
      </w:r>
      <w:r w:rsidR="009C0DBB">
        <w:t xml:space="preserve">nen dazu, die Prozesse des </w:t>
      </w:r>
      <w:r w:rsidR="001500F6">
        <w:t>Anwenden</w:t>
      </w:r>
      <w:r w:rsidR="009C0DBB">
        <w:t xml:space="preserve">s und </w:t>
      </w:r>
      <w:r w:rsidR="00561771">
        <w:t xml:space="preserve">Wahrnehmens </w:t>
      </w:r>
      <w:r w:rsidR="009C0DBB">
        <w:t>von Stil darzustellen.</w:t>
      </w:r>
    </w:p>
    <w:p w:rsidR="009C0DBB" w:rsidRDefault="00DA69BE" w:rsidP="00F031B6">
      <w:pPr>
        <w:pStyle w:val="Text"/>
        <w:ind w:firstLine="0"/>
      </w:pPr>
      <w:r>
        <w:tab/>
      </w:r>
      <w:r w:rsidR="009C0DBB">
        <w:t>(1)</w:t>
      </w:r>
      <w:r w:rsidR="009C0DBB">
        <w:tab/>
        <w:t xml:space="preserve">Das Programm </w:t>
      </w:r>
      <w:r w:rsidR="009C0DBB" w:rsidRPr="00902E11">
        <w:rPr>
          <w:i/>
        </w:rPr>
        <w:t>Schemaausführung</w:t>
      </w:r>
      <w:r w:rsidR="009C0DBB">
        <w:t xml:space="preserve"> beinhaltet das </w:t>
      </w:r>
      <w:r w:rsidR="001500F6">
        <w:t>Anwenden</w:t>
      </w:r>
      <w:r w:rsidR="009C0DBB">
        <w:t xml:space="preserve"> eines Stils, das mittels Einschreibung in eine Realisierung erfolgt. </w:t>
      </w:r>
      <w:r w:rsidR="00BF4BC1">
        <w:t xml:space="preserve">Es ruft die Funktion </w:t>
      </w:r>
      <w:r w:rsidR="00BF4BC1" w:rsidRPr="00BF4BC1">
        <w:rPr>
          <w:i/>
        </w:rPr>
        <w:t>Stil_anwenden</w:t>
      </w:r>
      <w:r w:rsidR="00BF4BC1">
        <w:t xml:space="preserve"> (</w:t>
      </w:r>
      <w:r w:rsidR="005D7996">
        <w:fldChar w:fldCharType="begin"/>
      </w:r>
      <w:r w:rsidR="00BF4BC1">
        <w:instrText xml:space="preserve"> REF _Ref261443581 \r \h </w:instrText>
      </w:r>
      <w:r w:rsidR="005D7996">
        <w:fldChar w:fldCharType="separate"/>
      </w:r>
      <w:r w:rsidR="001231D3">
        <w:t>7.3.1</w:t>
      </w:r>
      <w:r w:rsidR="005D7996">
        <w:fldChar w:fldCharType="end"/>
      </w:r>
      <w:r w:rsidR="00BF4BC1">
        <w:t xml:space="preserve">) auf, ist also bezogen auf diese Funktion </w:t>
      </w:r>
      <w:r w:rsidR="009C0DBB">
        <w:t>eine Stufe allg</w:t>
      </w:r>
      <w:r w:rsidR="009C0DBB">
        <w:t>e</w:t>
      </w:r>
      <w:r w:rsidR="009C0DBB">
        <w:t xml:space="preserve">meiner, weil </w:t>
      </w:r>
      <w:r w:rsidR="00E87A19">
        <w:t xml:space="preserve">die Anwendung eines Stils </w:t>
      </w:r>
      <w:r w:rsidR="009C0DBB">
        <w:t xml:space="preserve">eng mit anderen </w:t>
      </w:r>
      <w:r w:rsidR="00E87A19">
        <w:t xml:space="preserve">Auswahlvorgängen </w:t>
      </w:r>
      <w:r w:rsidR="009C0DBB">
        <w:t>ve</w:t>
      </w:r>
      <w:r w:rsidR="009C0DBB">
        <w:t>r</w:t>
      </w:r>
      <w:r w:rsidR="009C0DBB">
        <w:t xml:space="preserve">zahnt ist und auf diese Weise dargestellt werden kann, wie stilistische und nicht-stilistische </w:t>
      </w:r>
      <w:r w:rsidR="00E87A19">
        <w:t xml:space="preserve">Auswahl </w:t>
      </w:r>
      <w:r w:rsidR="009C0DBB">
        <w:t>bei der Schemaausführung zusammenwirken.</w:t>
      </w:r>
    </w:p>
    <w:p w:rsidR="009C0DBB" w:rsidRDefault="00DA69BE" w:rsidP="00F031B6">
      <w:pPr>
        <w:pStyle w:val="Text"/>
        <w:ind w:firstLine="0"/>
      </w:pPr>
      <w:r>
        <w:tab/>
      </w:r>
      <w:r w:rsidR="009C0DBB">
        <w:t>(2)</w:t>
      </w:r>
      <w:r w:rsidR="009C0DBB">
        <w:tab/>
        <w:t xml:space="preserve">Das Programm </w:t>
      </w:r>
      <w:r w:rsidR="001500F6">
        <w:rPr>
          <w:i/>
        </w:rPr>
        <w:t>Stil_wahrnehmen</w:t>
      </w:r>
      <w:r w:rsidR="00BF4BC1">
        <w:t xml:space="preserve"> setzt dagegen direkt beim Wahrne</w:t>
      </w:r>
      <w:r w:rsidR="00BF4BC1">
        <w:t>h</w:t>
      </w:r>
      <w:r w:rsidR="00BF4BC1">
        <w:t xml:space="preserve">men </w:t>
      </w:r>
      <w:r w:rsidR="009C0DBB">
        <w:t>eines Stils an.</w:t>
      </w:r>
    </w:p>
    <w:p w:rsidR="009C0DBB" w:rsidRDefault="009C0DBB" w:rsidP="009C0DBB">
      <w:pPr>
        <w:pStyle w:val="Text"/>
      </w:pPr>
      <w:r>
        <w:t>Beide Programme werden als Funktionen spezifiziert, da sie als von allg</w:t>
      </w:r>
      <w:r>
        <w:t>e</w:t>
      </w:r>
      <w:r>
        <w:t>meineren Verhaltensprogrammen aufrufbar verstanden werden. Um möglichst wenige Annahmen über diese allgemeineren Programme treffen zu müssen, wird die Anzahl der übergebenen Parameter so gering wie möglich gehalten.</w:t>
      </w:r>
    </w:p>
    <w:p w:rsidR="009C0DBB" w:rsidRDefault="009C0DBB" w:rsidP="009C0DBB">
      <w:pPr>
        <w:pStyle w:val="Text"/>
      </w:pPr>
      <w:r>
        <w:lastRenderedPageBreak/>
        <w:t xml:space="preserve">Die wichtigsten Funktionen des Programms </w:t>
      </w:r>
      <w:r w:rsidRPr="003F15BF">
        <w:rPr>
          <w:i/>
        </w:rPr>
        <w:t>Schemaausführung</w:t>
      </w:r>
      <w:r>
        <w:t xml:space="preserve"> sind wie folgt geschachtelt</w:t>
      </w:r>
      <w:r w:rsidR="0048036D">
        <w:t xml:space="preserve"> (in Klammer jeweils die Nummer des Abschnitts, in dem die Funktion dargestellt wird)</w:t>
      </w:r>
      <w:r>
        <w:t>:</w:t>
      </w:r>
    </w:p>
    <w:p w:rsidR="009C0DBB" w:rsidRDefault="009C0DBB" w:rsidP="009C0DBB">
      <w:pPr>
        <w:pStyle w:val="Text"/>
      </w:pPr>
    </w:p>
    <w:p w:rsidR="009C0DBB" w:rsidRPr="0048036D" w:rsidRDefault="009C0DBB" w:rsidP="00C3224A">
      <w:pPr>
        <w:pStyle w:val="Text"/>
        <w:ind w:firstLine="0"/>
        <w:rPr>
          <w:i/>
          <w:u w:val="single"/>
        </w:rPr>
      </w:pPr>
      <w:r w:rsidRPr="00902E11">
        <w:rPr>
          <w:i/>
        </w:rPr>
        <w:t>Schemaausführung</w:t>
      </w:r>
      <w:r w:rsidR="0048036D" w:rsidRPr="00F5567C">
        <w:rPr>
          <w:i/>
        </w:rPr>
        <w:t xml:space="preserve"> </w:t>
      </w:r>
      <w:r w:rsidR="0048036D" w:rsidRPr="00F5567C">
        <w:t>(</w:t>
      </w:r>
      <w:r w:rsidR="005D7996" w:rsidRPr="00F5567C">
        <w:fldChar w:fldCharType="begin"/>
      </w:r>
      <w:r w:rsidR="0048036D" w:rsidRPr="00F5567C">
        <w:instrText xml:space="preserve"> REF _Ref212110965 \r \h </w:instrText>
      </w:r>
      <w:r w:rsidR="005D7996" w:rsidRPr="00F5567C">
        <w:fldChar w:fldCharType="separate"/>
      </w:r>
      <w:r w:rsidR="001231D3">
        <w:t>5.2.2</w:t>
      </w:r>
      <w:r w:rsidR="005D7996" w:rsidRPr="00F5567C">
        <w:fldChar w:fldCharType="end"/>
      </w:r>
      <w:r w:rsidR="0048036D" w:rsidRPr="00F5567C">
        <w:t>)</w:t>
      </w:r>
    </w:p>
    <w:p w:rsidR="009C0DBB" w:rsidRPr="00902E11" w:rsidRDefault="009C0DBB" w:rsidP="00C3224A">
      <w:pPr>
        <w:pStyle w:val="Text"/>
        <w:ind w:firstLine="0"/>
        <w:rPr>
          <w:i/>
        </w:rPr>
      </w:pPr>
      <w:r w:rsidRPr="00902E11">
        <w:rPr>
          <w:i/>
        </w:rPr>
        <w:t xml:space="preserve">   Stil_bereitstellen</w:t>
      </w:r>
      <w:r w:rsidR="0048036D" w:rsidRPr="00F5567C">
        <w:t xml:space="preserve"> (</w:t>
      </w:r>
      <w:r w:rsidR="005D7996" w:rsidRPr="00F5567C">
        <w:fldChar w:fldCharType="begin"/>
      </w:r>
      <w:r w:rsidR="0048036D" w:rsidRPr="00F5567C">
        <w:instrText xml:space="preserve"> REF _Ref261443581 \r \h </w:instrText>
      </w:r>
      <w:r w:rsidR="005D7996" w:rsidRPr="00F5567C">
        <w:fldChar w:fldCharType="separate"/>
      </w:r>
      <w:r w:rsidR="001231D3">
        <w:t>7.3.1</w:t>
      </w:r>
      <w:r w:rsidR="005D7996" w:rsidRPr="00F5567C">
        <w:fldChar w:fldCharType="end"/>
      </w:r>
      <w:r w:rsidR="0048036D" w:rsidRPr="00F5567C">
        <w:t>)</w:t>
      </w:r>
    </w:p>
    <w:p w:rsidR="009C0DBB" w:rsidRDefault="009C0DBB" w:rsidP="00C3224A">
      <w:pPr>
        <w:pStyle w:val="Text"/>
        <w:ind w:firstLine="0"/>
      </w:pPr>
      <w:r w:rsidRPr="00902E11">
        <w:rPr>
          <w:i/>
        </w:rPr>
        <w:t xml:space="preserve">      Interpretation</w:t>
      </w:r>
      <w:r w:rsidR="0048036D" w:rsidRPr="00F5567C">
        <w:t xml:space="preserve"> (</w:t>
      </w:r>
      <w:r w:rsidR="005D7996" w:rsidRPr="00F5567C">
        <w:fldChar w:fldCharType="begin"/>
      </w:r>
      <w:r w:rsidR="0048036D" w:rsidRPr="00F5567C">
        <w:instrText xml:space="preserve"> REF _Ref255767436 \r \h </w:instrText>
      </w:r>
      <w:r w:rsidR="005D7996" w:rsidRPr="00F5567C">
        <w:fldChar w:fldCharType="separate"/>
      </w:r>
      <w:r w:rsidR="001231D3">
        <w:t>7.2.1</w:t>
      </w:r>
      <w:r w:rsidR="005D7996" w:rsidRPr="00F5567C">
        <w:fldChar w:fldCharType="end"/>
      </w:r>
      <w:r w:rsidR="0048036D" w:rsidRPr="00F5567C">
        <w:t>)</w:t>
      </w:r>
    </w:p>
    <w:p w:rsidR="0021347F" w:rsidRDefault="0021347F" w:rsidP="00C3224A">
      <w:pPr>
        <w:pStyle w:val="Text"/>
        <w:ind w:firstLine="0"/>
      </w:pPr>
      <w:r>
        <w:t xml:space="preserve">         </w:t>
      </w:r>
      <w:r w:rsidRPr="0021347F">
        <w:rPr>
          <w:i/>
        </w:rPr>
        <w:t>Relevantes_Hintergrundwissen</w:t>
      </w:r>
      <w:r>
        <w:t xml:space="preserve"> (</w:t>
      </w:r>
      <w:r w:rsidR="005D7996">
        <w:fldChar w:fldCharType="begin"/>
      </w:r>
      <w:r>
        <w:instrText xml:space="preserve"> REF _Ref255309936 \r \h </w:instrText>
      </w:r>
      <w:r w:rsidR="005D7996">
        <w:fldChar w:fldCharType="separate"/>
      </w:r>
      <w:r w:rsidR="001231D3">
        <w:t>7.2.2</w:t>
      </w:r>
      <w:r w:rsidR="005D7996">
        <w:fldChar w:fldCharType="end"/>
      </w:r>
      <w:r>
        <w:t>)</w:t>
      </w:r>
    </w:p>
    <w:p w:rsidR="009C0DBB" w:rsidRPr="00902E11" w:rsidRDefault="0021347F" w:rsidP="00C3224A">
      <w:pPr>
        <w:pStyle w:val="Text"/>
        <w:ind w:firstLine="0"/>
        <w:rPr>
          <w:i/>
        </w:rPr>
      </w:pPr>
      <w:r>
        <w:t xml:space="preserve">         </w:t>
      </w:r>
      <w:r w:rsidR="009C0DBB" w:rsidRPr="00902E11">
        <w:rPr>
          <w:i/>
        </w:rPr>
        <w:t>Ergebnisse</w:t>
      </w:r>
      <w:r w:rsidR="0048036D" w:rsidRPr="00F5567C">
        <w:t xml:space="preserve"> (</w:t>
      </w:r>
      <w:r w:rsidR="005D7996" w:rsidRPr="00F5567C">
        <w:fldChar w:fldCharType="begin"/>
      </w:r>
      <w:r w:rsidR="0048036D" w:rsidRPr="00F5567C">
        <w:instrText xml:space="preserve"> REF _Ref254694742 \r \h </w:instrText>
      </w:r>
      <w:r w:rsidR="005D7996" w:rsidRPr="00F5567C">
        <w:fldChar w:fldCharType="separate"/>
      </w:r>
      <w:r w:rsidR="001231D3">
        <w:t>7.2.3</w:t>
      </w:r>
      <w:r w:rsidR="005D7996" w:rsidRPr="00F5567C">
        <w:fldChar w:fldCharType="end"/>
      </w:r>
      <w:r w:rsidR="0048036D" w:rsidRPr="00F5567C">
        <w:t>)</w:t>
      </w:r>
    </w:p>
    <w:p w:rsidR="009C0DBB" w:rsidRPr="00902E11" w:rsidRDefault="009C0DBB" w:rsidP="00C3224A">
      <w:pPr>
        <w:pStyle w:val="Text"/>
        <w:ind w:firstLine="0"/>
        <w:rPr>
          <w:i/>
        </w:rPr>
      </w:pPr>
      <w:r w:rsidRPr="00902E11">
        <w:rPr>
          <w:i/>
        </w:rPr>
        <w:t xml:space="preserve">   Merkmalsregeln_einschreiben</w:t>
      </w:r>
      <w:r w:rsidR="0048036D" w:rsidRPr="00F5567C">
        <w:t xml:space="preserve"> (</w:t>
      </w:r>
      <w:r w:rsidR="005D7996">
        <w:fldChar w:fldCharType="begin"/>
      </w:r>
      <w:r w:rsidR="00613361">
        <w:instrText xml:space="preserve"> REF _Ref269156038 \r \h </w:instrText>
      </w:r>
      <w:r w:rsidR="005D7996">
        <w:fldChar w:fldCharType="separate"/>
      </w:r>
      <w:r w:rsidR="001231D3">
        <w:t>5.4.1</w:t>
      </w:r>
      <w:r w:rsidR="005D7996">
        <w:fldChar w:fldCharType="end"/>
      </w:r>
      <w:r w:rsidR="0048036D" w:rsidRPr="00F5567C">
        <w:t>)</w:t>
      </w:r>
    </w:p>
    <w:p w:rsidR="009C0DBB" w:rsidRPr="00902E11" w:rsidRDefault="009C0DBB" w:rsidP="00C3224A">
      <w:pPr>
        <w:pStyle w:val="Text"/>
        <w:ind w:firstLine="0"/>
        <w:rPr>
          <w:i/>
        </w:rPr>
      </w:pPr>
      <w:r w:rsidRPr="00902E11">
        <w:rPr>
          <w:i/>
        </w:rPr>
        <w:t xml:space="preserve">      Merkmalsregel_anwenden</w:t>
      </w:r>
      <w:r w:rsidR="0048036D" w:rsidRPr="00F5567C">
        <w:t xml:space="preserve"> (</w:t>
      </w:r>
      <w:r w:rsidR="005D7996" w:rsidRPr="00F5567C">
        <w:fldChar w:fldCharType="begin"/>
      </w:r>
      <w:r w:rsidR="0048036D" w:rsidRPr="00F5567C">
        <w:instrText xml:space="preserve"> REF _Ref212455608 \r \h </w:instrText>
      </w:r>
      <w:r w:rsidR="005D7996" w:rsidRPr="00F5567C">
        <w:fldChar w:fldCharType="separate"/>
      </w:r>
      <w:r w:rsidR="001231D3">
        <w:t>5.4.2</w:t>
      </w:r>
      <w:r w:rsidR="005D7996" w:rsidRPr="00F5567C">
        <w:fldChar w:fldCharType="end"/>
      </w:r>
      <w:r w:rsidR="0048036D" w:rsidRPr="00F5567C">
        <w:t>)</w:t>
      </w:r>
    </w:p>
    <w:p w:rsidR="009C0DBB" w:rsidRDefault="009C0DBB" w:rsidP="009C0DBB">
      <w:pPr>
        <w:pStyle w:val="Text"/>
      </w:pPr>
    </w:p>
    <w:p w:rsidR="009C0DBB" w:rsidRDefault="009C0DBB" w:rsidP="00F031B6">
      <w:pPr>
        <w:pStyle w:val="Text"/>
        <w:ind w:firstLine="0"/>
      </w:pPr>
      <w:r>
        <w:t xml:space="preserve">Die wichtigsten Funktionen des Programms </w:t>
      </w:r>
      <w:r w:rsidR="001500F6">
        <w:rPr>
          <w:i/>
        </w:rPr>
        <w:t>Stil_wahrnehmen</w:t>
      </w:r>
      <w:r>
        <w:t xml:space="preserve"> sind wie folgt geschachtelt:</w:t>
      </w:r>
    </w:p>
    <w:p w:rsidR="009C0DBB" w:rsidRDefault="009C0DBB" w:rsidP="009C0DBB">
      <w:pPr>
        <w:pStyle w:val="Text"/>
      </w:pPr>
    </w:p>
    <w:p w:rsidR="009C0DBB" w:rsidRDefault="001500F6" w:rsidP="00C3224A">
      <w:pPr>
        <w:pStyle w:val="Text"/>
        <w:ind w:firstLine="0"/>
      </w:pPr>
      <w:r>
        <w:rPr>
          <w:i/>
        </w:rPr>
        <w:t>Stil_wahrnehmen</w:t>
      </w:r>
      <w:r w:rsidR="0048036D" w:rsidRPr="00F5567C">
        <w:t xml:space="preserve"> (</w:t>
      </w:r>
      <w:r w:rsidR="005D7996" w:rsidRPr="00F5567C">
        <w:fldChar w:fldCharType="begin"/>
      </w:r>
      <w:r w:rsidR="0048036D" w:rsidRPr="00F5567C">
        <w:instrText xml:space="preserve"> REF _Ref261443737 \r \h </w:instrText>
      </w:r>
      <w:r w:rsidR="005D7996" w:rsidRPr="00F5567C">
        <w:fldChar w:fldCharType="separate"/>
      </w:r>
      <w:r w:rsidR="001231D3">
        <w:t>7.3.2</w:t>
      </w:r>
      <w:r w:rsidR="005D7996" w:rsidRPr="00F5567C">
        <w:fldChar w:fldCharType="end"/>
      </w:r>
      <w:r w:rsidR="0048036D" w:rsidRPr="00F5567C">
        <w:t>)</w:t>
      </w:r>
    </w:p>
    <w:p w:rsidR="0021347F" w:rsidRPr="00902E11" w:rsidRDefault="0021347F" w:rsidP="00C3224A">
      <w:pPr>
        <w:pStyle w:val="Text"/>
        <w:ind w:firstLine="0"/>
        <w:rPr>
          <w:i/>
        </w:rPr>
      </w:pPr>
      <w:r>
        <w:t xml:space="preserve">   </w:t>
      </w:r>
      <w:r w:rsidRPr="0021347F">
        <w:rPr>
          <w:i/>
        </w:rPr>
        <w:t>Schema</w:t>
      </w:r>
      <w:r>
        <w:t xml:space="preserve"> (</w:t>
      </w:r>
      <w:r w:rsidR="005D7996">
        <w:fldChar w:fldCharType="begin"/>
      </w:r>
      <w:r>
        <w:instrText xml:space="preserve"> REF _Ref269048814 \r \h </w:instrText>
      </w:r>
      <w:r w:rsidR="005D7996">
        <w:fldChar w:fldCharType="separate"/>
      </w:r>
      <w:r w:rsidR="001231D3">
        <w:t>7.3.3</w:t>
      </w:r>
      <w:r w:rsidR="005D7996">
        <w:fldChar w:fldCharType="end"/>
      </w:r>
      <w:r>
        <w:t>)</w:t>
      </w:r>
    </w:p>
    <w:p w:rsidR="009C0DBB" w:rsidRDefault="009C0DBB" w:rsidP="00C3224A">
      <w:pPr>
        <w:pStyle w:val="Text"/>
        <w:ind w:firstLine="0"/>
      </w:pPr>
      <w:r w:rsidRPr="00902E11">
        <w:rPr>
          <w:i/>
        </w:rPr>
        <w:t xml:space="preserve">   Merkmalsregeln_auslesen</w:t>
      </w:r>
      <w:r w:rsidR="0048036D" w:rsidRPr="00F5567C">
        <w:t xml:space="preserve"> (</w:t>
      </w:r>
      <w:r w:rsidR="005D7996" w:rsidRPr="00F5567C">
        <w:fldChar w:fldCharType="begin"/>
      </w:r>
      <w:r w:rsidR="0048036D" w:rsidRPr="00F5567C">
        <w:instrText xml:space="preserve"> REF _Ref254084330 \r \h </w:instrText>
      </w:r>
      <w:r w:rsidR="005D7996" w:rsidRPr="00F5567C">
        <w:fldChar w:fldCharType="separate"/>
      </w:r>
      <w:r w:rsidR="001231D3">
        <w:t>5.5.3</w:t>
      </w:r>
      <w:r w:rsidR="005D7996" w:rsidRPr="00F5567C">
        <w:fldChar w:fldCharType="end"/>
      </w:r>
      <w:r w:rsidR="0048036D" w:rsidRPr="00F5567C">
        <w:t>)</w:t>
      </w:r>
    </w:p>
    <w:p w:rsidR="0021347F" w:rsidRPr="0021347F" w:rsidRDefault="0021347F" w:rsidP="00C3224A">
      <w:pPr>
        <w:pStyle w:val="Text"/>
        <w:ind w:firstLine="0"/>
      </w:pPr>
      <w:r>
        <w:t xml:space="preserve">      </w:t>
      </w:r>
      <w:r w:rsidRPr="0021347F">
        <w:rPr>
          <w:i/>
        </w:rPr>
        <w:t>Disambiguierung</w:t>
      </w:r>
      <w:r w:rsidR="005D7996" w:rsidRPr="002B57EB">
        <w:fldChar w:fldCharType="begin"/>
      </w:r>
      <w:r w:rsidR="002B57EB" w:rsidRPr="002B57EB">
        <w:instrText xml:space="preserve"> XE "Disambiguierung" </w:instrText>
      </w:r>
      <w:r w:rsidR="005D7996" w:rsidRPr="002B57EB">
        <w:fldChar w:fldCharType="end"/>
      </w:r>
      <w:r>
        <w:t xml:space="preserve"> (</w:t>
      </w:r>
      <w:r w:rsidR="005D7996">
        <w:fldChar w:fldCharType="begin"/>
      </w:r>
      <w:r>
        <w:instrText xml:space="preserve"> REF _Ref213118759 \r \h </w:instrText>
      </w:r>
      <w:r w:rsidR="005D7996">
        <w:fldChar w:fldCharType="separate"/>
      </w:r>
      <w:r w:rsidR="001231D3">
        <w:t>5.5.4</w:t>
      </w:r>
      <w:r w:rsidR="005D7996">
        <w:fldChar w:fldCharType="end"/>
      </w:r>
      <w:r>
        <w:t>)</w:t>
      </w:r>
    </w:p>
    <w:p w:rsidR="009C0DBB" w:rsidRDefault="009C0DBB" w:rsidP="00C3224A">
      <w:pPr>
        <w:pStyle w:val="Text"/>
        <w:ind w:firstLine="0"/>
      </w:pPr>
      <w:r w:rsidRPr="00902E11">
        <w:rPr>
          <w:i/>
        </w:rPr>
        <w:t xml:space="preserve">   Interpretation</w:t>
      </w:r>
      <w:r w:rsidR="0048036D" w:rsidRPr="00F5567C">
        <w:t xml:space="preserve"> (</w:t>
      </w:r>
      <w:r w:rsidR="005D7996" w:rsidRPr="00F5567C">
        <w:fldChar w:fldCharType="begin"/>
      </w:r>
      <w:r w:rsidR="0048036D" w:rsidRPr="00F5567C">
        <w:instrText xml:space="preserve"> REF _Ref255767436 \r \h </w:instrText>
      </w:r>
      <w:r w:rsidR="005D7996" w:rsidRPr="00F5567C">
        <w:fldChar w:fldCharType="separate"/>
      </w:r>
      <w:r w:rsidR="001231D3">
        <w:t>7.2.1</w:t>
      </w:r>
      <w:r w:rsidR="005D7996" w:rsidRPr="00F5567C">
        <w:fldChar w:fldCharType="end"/>
      </w:r>
      <w:r w:rsidR="0048036D" w:rsidRPr="00F5567C">
        <w:t>)</w:t>
      </w:r>
    </w:p>
    <w:p w:rsidR="0021347F" w:rsidRPr="00902E11" w:rsidRDefault="0021347F" w:rsidP="00C3224A">
      <w:pPr>
        <w:pStyle w:val="Text"/>
        <w:ind w:firstLine="0"/>
        <w:rPr>
          <w:i/>
        </w:rPr>
      </w:pPr>
      <w:r>
        <w:t xml:space="preserve">      </w:t>
      </w:r>
      <w:r w:rsidRPr="0021347F">
        <w:rPr>
          <w:i/>
        </w:rPr>
        <w:t>Relevantes_Hintergrundwissen</w:t>
      </w:r>
      <w:r>
        <w:t xml:space="preserve"> (</w:t>
      </w:r>
      <w:r w:rsidR="005D7996">
        <w:fldChar w:fldCharType="begin"/>
      </w:r>
      <w:r>
        <w:instrText xml:space="preserve"> REF _Ref255309936 \r \h </w:instrText>
      </w:r>
      <w:r w:rsidR="005D7996">
        <w:fldChar w:fldCharType="separate"/>
      </w:r>
      <w:r w:rsidR="001231D3">
        <w:t>7.2.2</w:t>
      </w:r>
      <w:r w:rsidR="005D7996">
        <w:fldChar w:fldCharType="end"/>
      </w:r>
      <w:r>
        <w:t>)</w:t>
      </w:r>
    </w:p>
    <w:p w:rsidR="009C0DBB" w:rsidRPr="00902E11" w:rsidRDefault="009C0DBB" w:rsidP="00C3224A">
      <w:pPr>
        <w:pStyle w:val="Text"/>
        <w:ind w:firstLine="0"/>
        <w:rPr>
          <w:i/>
        </w:rPr>
      </w:pPr>
      <w:r w:rsidRPr="00902E11">
        <w:rPr>
          <w:i/>
        </w:rPr>
        <w:t xml:space="preserve">      Ergebnisse</w:t>
      </w:r>
      <w:r w:rsidR="0048036D" w:rsidRPr="00F5567C">
        <w:t xml:space="preserve"> (</w:t>
      </w:r>
      <w:r w:rsidR="005D7996" w:rsidRPr="00F5567C">
        <w:fldChar w:fldCharType="begin"/>
      </w:r>
      <w:r w:rsidR="0048036D" w:rsidRPr="00F5567C">
        <w:instrText xml:space="preserve"> REF _Ref254694742 \r \h </w:instrText>
      </w:r>
      <w:r w:rsidR="005D7996" w:rsidRPr="00F5567C">
        <w:fldChar w:fldCharType="separate"/>
      </w:r>
      <w:r w:rsidR="001231D3">
        <w:t>7.2.3</w:t>
      </w:r>
      <w:r w:rsidR="005D7996" w:rsidRPr="00F5567C">
        <w:fldChar w:fldCharType="end"/>
      </w:r>
      <w:r w:rsidR="0048036D" w:rsidRPr="00F5567C">
        <w:t>)</w:t>
      </w:r>
    </w:p>
    <w:p w:rsidR="009C0DBB" w:rsidRPr="00902E11" w:rsidRDefault="009C0DBB" w:rsidP="00C3224A">
      <w:pPr>
        <w:pStyle w:val="Text"/>
        <w:ind w:firstLine="0"/>
        <w:rPr>
          <w:i/>
        </w:rPr>
      </w:pPr>
      <w:r w:rsidRPr="00902E11">
        <w:rPr>
          <w:i/>
        </w:rPr>
        <w:t xml:space="preserve">         Interpretation</w:t>
      </w:r>
      <w:r>
        <w:rPr>
          <w:i/>
        </w:rPr>
        <w:t>sschritt</w:t>
      </w:r>
      <w:r w:rsidRPr="00902E11">
        <w:rPr>
          <w:i/>
        </w:rPr>
        <w:t>_schreiben</w:t>
      </w:r>
      <w:r w:rsidR="0048036D" w:rsidRPr="00F5567C">
        <w:t xml:space="preserve"> (</w:t>
      </w:r>
      <w:r w:rsidR="005D7996" w:rsidRPr="00F5567C">
        <w:fldChar w:fldCharType="begin"/>
      </w:r>
      <w:r w:rsidR="0048036D" w:rsidRPr="00F5567C">
        <w:instrText xml:space="preserve"> REF _Ref258410988 \r \h </w:instrText>
      </w:r>
      <w:r w:rsidR="005D7996" w:rsidRPr="00F5567C">
        <w:fldChar w:fldCharType="separate"/>
      </w:r>
      <w:r w:rsidR="001231D3">
        <w:t>7.2.4</w:t>
      </w:r>
      <w:r w:rsidR="005D7996" w:rsidRPr="00F5567C">
        <w:fldChar w:fldCharType="end"/>
      </w:r>
      <w:r w:rsidR="0048036D" w:rsidRPr="00F5567C">
        <w:t>)</w:t>
      </w:r>
    </w:p>
    <w:p w:rsidR="009C0DBB" w:rsidRPr="00C31861" w:rsidRDefault="009C0DBB" w:rsidP="009C0DBB">
      <w:pPr>
        <w:pStyle w:val="Text"/>
      </w:pPr>
    </w:p>
    <w:p w:rsidR="0048036D" w:rsidRDefault="0048036D" w:rsidP="00F031B6">
      <w:pPr>
        <w:pStyle w:val="Text"/>
        <w:ind w:firstLine="0"/>
      </w:pPr>
      <w:r>
        <w:t>Die Reihenfolge der Abschnitte, in denen die Funktionen aufgerufen werden, ergibt sich aus der Darstellung: In Kapitel 5 werden die Funktionen des Mer</w:t>
      </w:r>
      <w:r>
        <w:t>k</w:t>
      </w:r>
      <w:r>
        <w:t xml:space="preserve">malsprozesses (sowie die grundlegende Funktion </w:t>
      </w:r>
      <w:r w:rsidRPr="0048036D">
        <w:rPr>
          <w:i/>
        </w:rPr>
        <w:t>Schemaausführung</w:t>
      </w:r>
      <w:r>
        <w:t>, die für das Verständnis des Merkmalsprozesses nötig ist), in Kapitel 7 die des Interpretat</w:t>
      </w:r>
      <w:r>
        <w:t>i</w:t>
      </w:r>
      <w:r>
        <w:t xml:space="preserve">onsprozesses dargestellt. Das </w:t>
      </w:r>
      <w:r w:rsidR="001500F6">
        <w:t>Anwenden</w:t>
      </w:r>
      <w:r>
        <w:t xml:space="preserve"> und </w:t>
      </w:r>
      <w:r w:rsidR="00561771">
        <w:t xml:space="preserve">Wahrnehmen </w:t>
      </w:r>
      <w:r>
        <w:t xml:space="preserve">von Stilen wird in Abschnitt </w:t>
      </w:r>
      <w:r w:rsidR="005D7996">
        <w:fldChar w:fldCharType="begin"/>
      </w:r>
      <w:r>
        <w:instrText xml:space="preserve"> REF _Ref256411675 \r \h </w:instrText>
      </w:r>
      <w:r w:rsidR="005D7996">
        <w:fldChar w:fldCharType="separate"/>
      </w:r>
      <w:r w:rsidR="001231D3">
        <w:t>7.3</w:t>
      </w:r>
      <w:r w:rsidR="005D7996">
        <w:fldChar w:fldCharType="end"/>
      </w:r>
      <w:r>
        <w:t xml:space="preserve"> dargestellt; dabei werden Merkmalsprozess und Interpretation</w:t>
      </w:r>
      <w:r>
        <w:t>s</w:t>
      </w:r>
      <w:r>
        <w:t>prozess aufgerufen (in entgegengesetzter Reihenfolge).</w:t>
      </w:r>
    </w:p>
    <w:bookmarkEnd w:id="24"/>
    <w:p w:rsidR="009C0DBB" w:rsidRDefault="009E2A0F" w:rsidP="009C0DBB">
      <w:pPr>
        <w:pStyle w:val="Text"/>
      </w:pPr>
      <w:r>
        <w:t xml:space="preserve">Es wird eine </w:t>
      </w:r>
      <w:r w:rsidR="009C0DBB">
        <w:t>Darstellung in Pseudo</w:t>
      </w:r>
      <w:r w:rsidR="00713AB0">
        <w:t>c</w:t>
      </w:r>
      <w:r w:rsidR="009C0DBB">
        <w:t>ode</w:t>
      </w:r>
      <w:bookmarkStart w:id="25" w:name="_Ref212351601"/>
      <w:r w:rsidR="005D7996">
        <w:fldChar w:fldCharType="begin"/>
      </w:r>
      <w:r w:rsidR="00D25476">
        <w:instrText xml:space="preserve"> XE "</w:instrText>
      </w:r>
      <w:r w:rsidR="00D25476" w:rsidRPr="00A30335">
        <w:rPr>
          <w:szCs w:val="17"/>
        </w:rPr>
        <w:instrText>Pseudocode</w:instrText>
      </w:r>
      <w:r w:rsidR="00D25476">
        <w:instrText xml:space="preserve">" </w:instrText>
      </w:r>
      <w:r w:rsidR="005D7996">
        <w:fldChar w:fldCharType="end"/>
      </w:r>
      <w:r w:rsidR="00B52E2C">
        <w:rPr>
          <w:rStyle w:val="Funotenzeichen"/>
        </w:rPr>
        <w:footnoteReference w:id="43"/>
      </w:r>
      <w:bookmarkEnd w:id="25"/>
      <w:r w:rsidR="009C0DBB">
        <w:t xml:space="preserve"> gewählt, weil normale Progra</w:t>
      </w:r>
      <w:r w:rsidR="009C0DBB">
        <w:t>m</w:t>
      </w:r>
      <w:r w:rsidR="009C0DBB">
        <w:t xml:space="preserve">miersprachen (wie etwa C, Java oder Python) auf Effizienz </w:t>
      </w:r>
      <w:r w:rsidR="00AB51C2">
        <w:t>und einfache A</w:t>
      </w:r>
      <w:r w:rsidR="00AB51C2">
        <w:t>n</w:t>
      </w:r>
      <w:r w:rsidR="00AB51C2">
        <w:t xml:space="preserve">wendbarkeit </w:t>
      </w:r>
      <w:r w:rsidR="009C0DBB">
        <w:t xml:space="preserve">ausgerichtet sind. Daher sind ihre Befehle nicht immer unmittelbar </w:t>
      </w:r>
      <w:r w:rsidR="009C0DBB">
        <w:lastRenderedPageBreak/>
        <w:t>transparent.</w:t>
      </w:r>
      <w:r w:rsidR="009C0DBB">
        <w:rPr>
          <w:rStyle w:val="Funotenzeichen"/>
        </w:rPr>
        <w:footnoteReference w:id="44"/>
      </w:r>
      <w:r w:rsidR="009C0DBB">
        <w:t xml:space="preserve"> Hier geht es jedoch darum, das Dargestellte auch für Leser ohne Programmierkenntnisse ohne große Einarbeitungszeit darstellbar zu machen.</w:t>
      </w:r>
    </w:p>
    <w:p w:rsidR="003348C8" w:rsidRDefault="009C0DBB" w:rsidP="009C0DBB">
      <w:pPr>
        <w:pStyle w:val="Text"/>
      </w:pPr>
      <w:r>
        <w:t>Aus demselben Grund werden die mengentheor</w:t>
      </w:r>
      <w:r w:rsidR="000D0B66">
        <w:t>etischen und logischen Operatoren</w:t>
      </w:r>
      <w:r>
        <w:t xml:space="preserve"> </w:t>
      </w:r>
      <w:r w:rsidR="002A5EBA">
        <w:t xml:space="preserve">(z.B. </w:t>
      </w:r>
      <w:r w:rsidR="002A5EBA">
        <w:rPr>
          <w:rFonts w:ascii="Cambria Math" w:hAnsi="Cambria Math" w:cs="Cambria Math"/>
          <w:color w:val="000000" w:themeColor="text1"/>
        </w:rPr>
        <w:t>∧</w:t>
      </w:r>
      <w:r w:rsidR="002A5EBA">
        <w:t xml:space="preserve">, </w:t>
      </w:r>
      <w:r w:rsidR="002A5EBA">
        <w:rPr>
          <w:rFonts w:ascii="Cambria Math" w:hAnsi="Cambria Math" w:cs="Cambria Math"/>
          <w:color w:val="000000" w:themeColor="text1"/>
        </w:rPr>
        <w:t>∨</w:t>
      </w:r>
      <w:r w:rsidR="002A5EBA">
        <w:t xml:space="preserve">, </w:t>
      </w:r>
      <w:r w:rsidR="00182FB7" w:rsidRPr="00182FB7">
        <w:rPr>
          <w:rFonts w:ascii="Cambria Math" w:eastAsia="Arial Unicode MS" w:hAnsi="Cambria Math" w:cs="Arial Unicode MS"/>
        </w:rPr>
        <w:t>∩</w:t>
      </w:r>
      <w:r w:rsidR="002A5EBA">
        <w:t xml:space="preserve">) </w:t>
      </w:r>
      <w:r>
        <w:t xml:space="preserve">verwendet. Tatsächliche Programmiersprachen </w:t>
      </w:r>
      <w:r w:rsidR="00AB51C2">
        <w:t>ve</w:t>
      </w:r>
      <w:r w:rsidR="00AB51C2">
        <w:t>r</w:t>
      </w:r>
      <w:r w:rsidR="00AB51C2">
        <w:t xml:space="preserve">meiden Sonderzeichen, die auf der Tastatur nicht vorhanden sind, und </w:t>
      </w:r>
      <w:r>
        <w:t>verwe</w:t>
      </w:r>
      <w:r>
        <w:t>n</w:t>
      </w:r>
      <w:r>
        <w:t xml:space="preserve">den </w:t>
      </w:r>
      <w:r w:rsidR="00AB51C2">
        <w:t xml:space="preserve">stattdessen </w:t>
      </w:r>
      <w:r>
        <w:t>Befehle</w:t>
      </w:r>
      <w:r w:rsidR="00E40925">
        <w:t xml:space="preserve"> (z.B. „and“, „or“</w:t>
      </w:r>
      <w:r w:rsidR="002A5EBA">
        <w:t>, „intersect“</w:t>
      </w:r>
      <w:r w:rsidR="00E40925">
        <w:t>) und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t xml:space="preserve">, die je nach Sprache unterschiedlich </w:t>
      </w:r>
      <w:r w:rsidR="002A5EBA">
        <w:t>sein können</w:t>
      </w:r>
      <w:r>
        <w:t>.</w:t>
      </w:r>
    </w:p>
    <w:p w:rsidR="000E613C" w:rsidRDefault="003348C8" w:rsidP="00A51DAD">
      <w:pPr>
        <w:pStyle w:val="Text"/>
        <w:spacing w:before="240"/>
        <w:ind w:firstLine="0"/>
      </w:pPr>
      <w:r>
        <w:t>Es wurde bereits angemerkt, dass es sich nicht um eine Computersimulation handelt: In der vorliegenden Form i</w:t>
      </w:r>
      <w:r w:rsidR="00E40925">
        <w:t>st das Programm nicht lauffähig</w:t>
      </w:r>
      <w:r w:rsidR="002A5EBA">
        <w:t>, aus mehr</w:t>
      </w:r>
      <w:r w:rsidR="002A5EBA">
        <w:t>e</w:t>
      </w:r>
      <w:r w:rsidR="002A5EBA">
        <w:t>ren Gründen:</w:t>
      </w:r>
    </w:p>
    <w:p w:rsidR="002A5EBA" w:rsidRDefault="002A5EBA" w:rsidP="00A51DAD">
      <w:pPr>
        <w:pStyle w:val="Text"/>
        <w:ind w:firstLine="0"/>
      </w:pPr>
      <w:r>
        <w:t>–</w:t>
      </w:r>
      <w:r>
        <w:tab/>
        <w:t>Die Programmier</w:t>
      </w:r>
      <w:r w:rsidR="00FD3EDA">
        <w:t>sprache</w:t>
      </w:r>
      <w:r w:rsidR="005D7996">
        <w:fldChar w:fldCharType="begin"/>
      </w:r>
      <w:r w:rsidR="00D25476">
        <w:instrText xml:space="preserve"> XE "</w:instrText>
      </w:r>
      <w:r w:rsidR="00D25476" w:rsidRPr="00815262">
        <w:instrText>Programmiersprache</w:instrText>
      </w:r>
      <w:r w:rsidR="00D25476">
        <w:instrText xml:space="preserve">" </w:instrText>
      </w:r>
      <w:r w:rsidR="005D7996">
        <w:fldChar w:fldCharType="end"/>
      </w:r>
      <w:r w:rsidR="00FD3EDA">
        <w:t xml:space="preserve"> ist so nicht vorhanden; </w:t>
      </w:r>
      <w:r>
        <w:t xml:space="preserve">das Programm könnte </w:t>
      </w:r>
      <w:r w:rsidR="00FD3EDA">
        <w:t xml:space="preserve">aber </w:t>
      </w:r>
      <w:r>
        <w:t>in jede ausreichend leistungs</w:t>
      </w:r>
      <w:r w:rsidR="00FD3EDA">
        <w:t>starke Sprache übersetzt werden.</w:t>
      </w:r>
    </w:p>
    <w:p w:rsidR="000E613C" w:rsidRDefault="000E613C" w:rsidP="00A51DAD">
      <w:pPr>
        <w:pStyle w:val="Text"/>
        <w:ind w:firstLine="0"/>
      </w:pPr>
      <w:r>
        <w:t>–</w:t>
      </w:r>
      <w:r>
        <w:tab/>
        <w:t xml:space="preserve">Verschiedene Input-Bestandteile müssen richtig spezifiziert sein: </w:t>
      </w:r>
      <w:r w:rsidR="002442CF">
        <w:t>Der Mö</w:t>
      </w:r>
      <w:r w:rsidR="002442CF">
        <w:t>g</w:t>
      </w:r>
      <w:r w:rsidR="002442CF">
        <w:t>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rsidR="002442CF">
        <w:t xml:space="preserve"> für Alternativen,</w:t>
      </w:r>
      <w:r w:rsidR="002442CF">
        <w:rPr>
          <w:rStyle w:val="Funotenzeichen"/>
        </w:rPr>
        <w:footnoteReference w:id="45"/>
      </w:r>
      <w:r w:rsidR="002442CF">
        <w:t xml:space="preserve"> </w:t>
      </w:r>
      <w:r>
        <w:t>Schemata</w:t>
      </w:r>
      <w:r w:rsidR="002A5EBA">
        <w:t>,</w:t>
      </w:r>
      <w:r w:rsidR="002A5EBA">
        <w:rPr>
          <w:rStyle w:val="Funotenzeichen"/>
        </w:rPr>
        <w:footnoteReference w:id="46"/>
      </w:r>
      <w:r w:rsidR="002A5EBA">
        <w:t xml:space="preserve"> </w:t>
      </w:r>
      <w:r>
        <w:t>Merkmalsre</w:t>
      </w:r>
      <w:r w:rsidR="002A5EBA">
        <w:t>geln,</w:t>
      </w:r>
      <w:r w:rsidR="002A5EBA">
        <w:rPr>
          <w:rStyle w:val="Funotenzeichen"/>
        </w:rPr>
        <w:footnoteReference w:id="47"/>
      </w:r>
      <w:r>
        <w:t xml:space="preserve"> </w:t>
      </w:r>
      <w:r w:rsidR="002A5EBA">
        <w:t>Hintergrundwi</w:t>
      </w:r>
      <w:r w:rsidR="002A5EBA">
        <w:t>s</w:t>
      </w:r>
      <w:r w:rsidR="002A5EBA">
        <w:t>sen,</w:t>
      </w:r>
      <w:r w:rsidR="002A5EBA">
        <w:rPr>
          <w:rStyle w:val="Funotenzeichen"/>
        </w:rPr>
        <w:footnoteReference w:id="48"/>
      </w:r>
      <w:r w:rsidR="002A5EBA">
        <w:t xml:space="preserve"> </w:t>
      </w:r>
      <w:r w:rsidR="002442CF" w:rsidRPr="00AA025E">
        <w:rPr>
          <w:iCs/>
        </w:rPr>
        <w:t>Suchmethoden</w:t>
      </w:r>
      <w:r w:rsidR="002442CF">
        <w:rPr>
          <w:rStyle w:val="Funotenzeichen"/>
        </w:rPr>
        <w:footnoteReference w:id="49"/>
      </w:r>
      <w:r w:rsidR="002442CF">
        <w:rPr>
          <w:iCs/>
        </w:rPr>
        <w:t xml:space="preserve"> und die Realisierung</w:t>
      </w:r>
      <w:r w:rsidR="002442CF">
        <w:rPr>
          <w:rStyle w:val="Funotenzeichen"/>
        </w:rPr>
        <w:footnoteReference w:id="50"/>
      </w:r>
      <w:r w:rsidR="002442CF">
        <w:rPr>
          <w:iCs/>
        </w:rPr>
        <w:t xml:space="preserve"> </w:t>
      </w:r>
      <w:r w:rsidR="00FD3EDA">
        <w:rPr>
          <w:iCs/>
        </w:rPr>
        <w:t>müssen einerseits formal korrekt angegeben sein, andererseits natürlich oft inhaltliche Kriterien erfüllen, ohne die das Programm nicht zu sinnvollen Ergebnissen führen kann.</w:t>
      </w:r>
    </w:p>
    <w:p w:rsidR="00B01554" w:rsidRDefault="00B01554" w:rsidP="00A51DAD">
      <w:pPr>
        <w:pStyle w:val="Text"/>
        <w:ind w:firstLine="0"/>
      </w:pPr>
      <w:r>
        <w:t>–</w:t>
      </w:r>
      <w:r>
        <w:tab/>
      </w:r>
      <w:r w:rsidR="00FD3EDA">
        <w:t xml:space="preserve">Eine </w:t>
      </w:r>
      <w:r w:rsidR="006120E7">
        <w:t xml:space="preserve">erhebliche </w:t>
      </w:r>
      <w:r w:rsidR="00FD3EDA">
        <w:t xml:space="preserve">Schwierigkeit dürfte das </w:t>
      </w:r>
      <w:r>
        <w:t>Fehlen einer Ontologie</w:t>
      </w:r>
      <w:r w:rsidR="005D7996">
        <w:fldChar w:fldCharType="begin"/>
      </w:r>
      <w:r w:rsidR="00295552">
        <w:instrText xml:space="preserve"> XE "</w:instrText>
      </w:r>
      <w:r w:rsidR="00295552" w:rsidRPr="007E1A6B">
        <w:instrText>Ontologie</w:instrText>
      </w:r>
      <w:r w:rsidR="00295552">
        <w:instrText xml:space="preserve">" </w:instrText>
      </w:r>
      <w:r w:rsidR="005D7996">
        <w:fldChar w:fldCharType="end"/>
      </w:r>
      <w:r w:rsidR="00FD3EDA">
        <w:t xml:space="preserve"> darstellen</w:t>
      </w:r>
      <w:r>
        <w:t xml:space="preserve">, die jeden Schemaort </w:t>
      </w:r>
      <w:r w:rsidR="00FD3EDA">
        <w:t xml:space="preserve">intensional </w:t>
      </w:r>
      <w:r w:rsidR="00BE438F">
        <w:t xml:space="preserve">definierbar </w:t>
      </w:r>
      <w:r w:rsidR="00FD3EDA">
        <w:t>macht und die dafür möglichen Z</w:t>
      </w:r>
      <w:r w:rsidR="00FD3EDA">
        <w:t>u</w:t>
      </w:r>
      <w:r w:rsidR="00FD3EDA">
        <w:t xml:space="preserve">satzbedingungen </w:t>
      </w:r>
      <w:r w:rsidR="00EC33D5">
        <w:t>angibt.</w:t>
      </w:r>
      <w:r w:rsidR="00EC33D5">
        <w:rPr>
          <w:rStyle w:val="Funotenzeichen"/>
        </w:rPr>
        <w:footnoteReference w:id="51"/>
      </w:r>
      <w:r w:rsidR="00EC33D5">
        <w:t xml:space="preserve"> Eine solche Ontologie liegt nicht vor; allerdings kön</w:t>
      </w:r>
      <w:r w:rsidR="00EC33D5">
        <w:t>n</w:t>
      </w:r>
      <w:r w:rsidR="00EC33D5">
        <w:t>te sie für ein bestimmtes Schema zu Testzwecken sicherlich entwickelt werden.</w:t>
      </w:r>
    </w:p>
    <w:p w:rsidR="001A73F5" w:rsidRDefault="00EC33D5" w:rsidP="00A51DAD">
      <w:pPr>
        <w:pStyle w:val="Text"/>
        <w:ind w:firstLine="0"/>
      </w:pPr>
      <w:r>
        <w:t>–</w:t>
      </w:r>
      <w:r>
        <w:tab/>
        <w:t>E</w:t>
      </w:r>
      <w:r w:rsidR="003348C8">
        <w:t xml:space="preserve">ine Reihe der </w:t>
      </w:r>
      <w:r>
        <w:t xml:space="preserve">benötigten </w:t>
      </w:r>
      <w:r w:rsidR="003348C8">
        <w:t xml:space="preserve">Funktionen </w:t>
      </w:r>
      <w:r>
        <w:t xml:space="preserve">sind </w:t>
      </w:r>
      <w:r w:rsidR="003348C8">
        <w:t>nicht programmiert, sondern nur als Bedingungen natürlichsprachlich formuliert.</w:t>
      </w:r>
      <w:r w:rsidR="003348C8">
        <w:rPr>
          <w:rStyle w:val="Funotenzeichen"/>
        </w:rPr>
        <w:footnoteReference w:id="52"/>
      </w:r>
      <w:r w:rsidR="003348C8">
        <w:t xml:space="preserve"> Dies ist darin begründet, dass die Angabe einer programmierten Version hier nach Auffassung des Verfa</w:t>
      </w:r>
      <w:r w:rsidR="003348C8">
        <w:t>s</w:t>
      </w:r>
      <w:r w:rsidR="003348C8">
        <w:t xml:space="preserve">sers eine unzulässige Einschränkung der tatsächlichen Möglichkeiten, und damit eine </w:t>
      </w:r>
      <w:r>
        <w:t xml:space="preserve">bezogen auf </w:t>
      </w:r>
      <w:r w:rsidR="00D1543C">
        <w:t xml:space="preserve">die Bandbreite von </w:t>
      </w:r>
      <w:r>
        <w:t xml:space="preserve">Stil </w:t>
      </w:r>
      <w:r w:rsidR="003348C8">
        <w:t>zu enge Beschreibung, darstellen wü</w:t>
      </w:r>
      <w:r w:rsidR="003348C8">
        <w:t>r</w:t>
      </w:r>
      <w:r w:rsidR="003348C8">
        <w:lastRenderedPageBreak/>
        <w:t>de.</w:t>
      </w:r>
      <w:r w:rsidR="00B87D96">
        <w:rPr>
          <w:rStyle w:val="Funotenzeichen"/>
        </w:rPr>
        <w:footnoteReference w:id="53"/>
      </w:r>
      <w:r w:rsidR="003348C8">
        <w:t xml:space="preserve"> </w:t>
      </w:r>
      <w:r>
        <w:t>S</w:t>
      </w:r>
      <w:r w:rsidR="0011698D">
        <w:t xml:space="preserve">peziellere </w:t>
      </w:r>
      <w:r w:rsidR="003348C8">
        <w:t>programmierte Lösungen</w:t>
      </w:r>
      <w:r>
        <w:t xml:space="preserve"> sind denkbar, die für eine praktische Anwendung ausreichen würden</w:t>
      </w:r>
      <w:r w:rsidR="003348C8">
        <w:t>.</w:t>
      </w:r>
      <w:r w:rsidR="003348C8">
        <w:rPr>
          <w:rStyle w:val="Funotenzeichen"/>
        </w:rPr>
        <w:footnoteReference w:id="54"/>
      </w:r>
      <w:bookmarkStart w:id="26" w:name="_Ref264548596"/>
    </w:p>
    <w:p w:rsidR="007F77E7" w:rsidRDefault="001A73F5" w:rsidP="00A51DAD">
      <w:pPr>
        <w:pStyle w:val="Text"/>
        <w:ind w:firstLine="0"/>
        <w:sectPr w:rsidR="007F77E7" w:rsidSect="00AE48E3">
          <w:headerReference w:type="even" r:id="rId22"/>
          <w:headerReference w:type="default" r:id="rId23"/>
          <w:type w:val="continuous"/>
          <w:pgSz w:w="8789" w:h="13325" w:code="9"/>
          <w:pgMar w:top="1134" w:right="851" w:bottom="1418" w:left="1134" w:header="567" w:footer="680" w:gutter="0"/>
          <w:cols w:space="720"/>
          <w:titlePg/>
          <w:docGrid w:linePitch="360"/>
        </w:sectPr>
      </w:pPr>
      <w:r>
        <w:t>–</w:t>
      </w:r>
      <w:r>
        <w:tab/>
        <w:t>Ein besonderes Problem stellen die Operationsfunktionen dar.</w:t>
      </w:r>
      <w:r>
        <w:rPr>
          <w:rStyle w:val="Funotenzeichen"/>
        </w:rPr>
        <w:footnoteReference w:id="55"/>
      </w:r>
      <w:r w:rsidR="00F4153B">
        <w:t xml:space="preserve"> Wir sind (abgesehen von der Deduktion) sehr weit davon entfernt, diese grundlegenden Operationen des menschlichen Denkens und Empfindens formalisieren zu kö</w:t>
      </w:r>
      <w:r w:rsidR="00F4153B">
        <w:t>n</w:t>
      </w:r>
      <w:r w:rsidR="00F4153B">
        <w:t>nen. Hier könnte man sich mit vereinfachten Modellierungen behelfen, die dem derzeitigen Stand der künstlichen Intelligenz entsprechen (soweit diese die A</w:t>
      </w:r>
      <w:r w:rsidR="00F4153B">
        <w:t>n</w:t>
      </w:r>
      <w:r w:rsidR="00F4153B">
        <w:t>forderungen des Modells erfüllen, also insbesondere die entsprechenden Inpu</w:t>
      </w:r>
      <w:r w:rsidR="00F4153B">
        <w:t>t</w:t>
      </w:r>
      <w:r w:rsidR="00F4153B">
        <w:t>sorten verarbeiten können) und auf nicht-modellierbare Operationen verzichten, die entstehende Interpretation wäre derzeit aber wohl wenig überzeugend.</w:t>
      </w:r>
      <w:bookmarkEnd w:id="19"/>
    </w:p>
    <w:p w:rsidR="000F18FC" w:rsidRPr="00E76D25" w:rsidRDefault="000F18FC" w:rsidP="000F18FC">
      <w:pPr>
        <w:pStyle w:val="Titel"/>
        <w:rPr>
          <w:lang w:val="en-GB"/>
        </w:rPr>
      </w:pPr>
      <w:bookmarkStart w:id="27" w:name="_Toc325456694"/>
      <w:r>
        <w:lastRenderedPageBreak/>
        <w:t>Annäherung an das Stilmodell</w:t>
      </w:r>
      <w:bookmarkEnd w:id="26"/>
      <w:bookmarkEnd w:id="27"/>
    </w:p>
    <w:p w:rsidR="00AB5FD5" w:rsidRDefault="00DF7FE3" w:rsidP="00A51DAD">
      <w:pPr>
        <w:pStyle w:val="Text"/>
        <w:ind w:firstLine="0"/>
      </w:pPr>
      <w:r>
        <w:t>In Kapitel 4 bis 7 wird das Stilmodell dargestellt, das den Kern der hier vorg</w:t>
      </w:r>
      <w:r>
        <w:t>e</w:t>
      </w:r>
      <w:r>
        <w:t xml:space="preserve">stellten allgemeinen Stiltheorie bildet. </w:t>
      </w:r>
      <w:r w:rsidR="00AB5FD5">
        <w:t xml:space="preserve">Die Überlegungen </w:t>
      </w:r>
      <w:r w:rsidR="00670B74">
        <w:t xml:space="preserve">in diesem Kapitel </w:t>
      </w:r>
      <w:r w:rsidR="00212FC4">
        <w:t>fü</w:t>
      </w:r>
      <w:r w:rsidR="00212FC4">
        <w:t>h</w:t>
      </w:r>
      <w:r w:rsidR="00212FC4">
        <w:t>ren zu diesem Modell</w:t>
      </w:r>
      <w:r>
        <w:t xml:space="preserve"> hin. </w:t>
      </w:r>
      <w:r w:rsidR="003E14C8">
        <w:t xml:space="preserve">Ausgehend von allgemeinen Überlegungen und </w:t>
      </w:r>
      <w:r w:rsidR="00670B74">
        <w:t>a</w:t>
      </w:r>
      <w:r w:rsidR="00EA3998">
        <w:t>n</w:t>
      </w:r>
      <w:r w:rsidR="00EA3998">
        <w:t xml:space="preserve">hand von Beispielen </w:t>
      </w:r>
      <w:r w:rsidR="003E14C8">
        <w:t>werden einige En</w:t>
      </w:r>
      <w:r w:rsidR="00EA3998">
        <w:t xml:space="preserve">tscheidungen </w:t>
      </w:r>
      <w:r w:rsidR="00670B74">
        <w:t xml:space="preserve">für die Modellbildung </w:t>
      </w:r>
      <w:r w:rsidR="003E14C8">
        <w:t>g</w:t>
      </w:r>
      <w:r w:rsidR="003E14C8">
        <w:t>e</w:t>
      </w:r>
      <w:r w:rsidR="003E14C8">
        <w:t xml:space="preserve">troffen. Es wird beispielsweise begründet, warum </w:t>
      </w:r>
      <w:r w:rsidR="00EA3998">
        <w:t xml:space="preserve">Stil über Auswahl beschrieben </w:t>
      </w:r>
      <w:r w:rsidR="003E14C8">
        <w:t>werden muss, untersucht, aus welchen Möglichkeiten ausgewählt wird</w:t>
      </w:r>
      <w:r w:rsidR="00444B36">
        <w:t>,</w:t>
      </w:r>
      <w:r w:rsidR="003E14C8">
        <w:t xml:space="preserve"> und eine Darstellung entwickelt, die </w:t>
      </w:r>
      <w:r w:rsidR="00670B74">
        <w:t xml:space="preserve">das Verhältnis von </w:t>
      </w:r>
      <w:r w:rsidR="003E14C8">
        <w:t>Stil zu Ziel</w:t>
      </w:r>
      <w:r w:rsidR="00936B38">
        <w:t xml:space="preserve"> oder Zweck</w:t>
      </w:r>
      <w:r w:rsidR="003E14C8">
        <w:t>,</w:t>
      </w:r>
      <w:r w:rsidR="00936B38">
        <w:rPr>
          <w:rStyle w:val="Funotenzeichen"/>
        </w:rPr>
        <w:footnoteReference w:id="56"/>
      </w:r>
      <w:r w:rsidR="003E14C8">
        <w:t xml:space="preserve"> </w:t>
      </w:r>
      <w:r w:rsidR="00E17E62">
        <w:t>Funkt</w:t>
      </w:r>
      <w:r w:rsidR="00E17E62">
        <w:t>i</w:t>
      </w:r>
      <w:r w:rsidR="00E17E62">
        <w:t xml:space="preserve">on und </w:t>
      </w:r>
      <w:r w:rsidR="003E14C8">
        <w:t xml:space="preserve">Inhalt </w:t>
      </w:r>
      <w:r w:rsidR="00E17E62">
        <w:t>beschreibt</w:t>
      </w:r>
      <w:r w:rsidR="00670B74">
        <w:t xml:space="preserve">. Am Ende des Kapitels ist eine </w:t>
      </w:r>
      <w:r w:rsidR="003E14C8">
        <w:t>Grundlage</w:t>
      </w:r>
      <w:r w:rsidR="00670B74">
        <w:t xml:space="preserve"> für die Ei</w:t>
      </w:r>
      <w:r w:rsidR="00670B74">
        <w:t>n</w:t>
      </w:r>
      <w:r w:rsidR="00670B74">
        <w:t xml:space="preserve">führung des Stilmodells </w:t>
      </w:r>
      <w:r w:rsidR="003E14C8">
        <w:t xml:space="preserve">vorhanden. </w:t>
      </w:r>
      <w:r w:rsidR="0008330E">
        <w:t xml:space="preserve">Bevor wir damit beginnen, </w:t>
      </w:r>
      <w:r w:rsidR="00E17E62">
        <w:t xml:space="preserve">werfen wir aber </w:t>
      </w:r>
      <w:r w:rsidR="006477E6">
        <w:t xml:space="preserve">in Kapitel 3 </w:t>
      </w:r>
      <w:r w:rsidR="00E17E62">
        <w:t xml:space="preserve">noch einen Blick auf die </w:t>
      </w:r>
      <w:r w:rsidR="003E14C8">
        <w:t>Forschungsliteratur</w:t>
      </w:r>
      <w:r w:rsidR="00E17E62">
        <w:t>.</w:t>
      </w:r>
    </w:p>
    <w:p w:rsidR="00F9763A" w:rsidRDefault="00212FC4" w:rsidP="00386E22">
      <w:pPr>
        <w:pStyle w:val="Text"/>
        <w:spacing w:before="240"/>
        <w:ind w:firstLine="0"/>
      </w:pPr>
      <w:r>
        <w:t>Es gibt</w:t>
      </w:r>
      <w:r w:rsidR="0092414A">
        <w:t xml:space="preserve"> </w:t>
      </w:r>
      <w:r w:rsidR="00E71643">
        <w:t xml:space="preserve">verschiedene </w:t>
      </w:r>
      <w:r w:rsidR="0092414A">
        <w:t xml:space="preserve">Traditionen in </w:t>
      </w:r>
      <w:r>
        <w:t>der Stilforschung</w:t>
      </w:r>
      <w:r w:rsidR="00262183">
        <w:t xml:space="preserve"> (= Stilistik)</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die grundl</w:t>
      </w:r>
      <w:r>
        <w:t>e</w:t>
      </w:r>
      <w:r>
        <w:t xml:space="preserve">gend unterschiedliche </w:t>
      </w:r>
      <w:r w:rsidR="004D34C0">
        <w:t xml:space="preserve">Auffassungen haben: Sie betrachten Stil als Auswahl, als Zeichen, als Abweichung, als Muster, Regel oder Struktur – die Liste lässt sich fortsetzen. </w:t>
      </w:r>
      <w:r w:rsidR="00F9763A">
        <w:t>Für die Bildung des Stilmodells lieferte die strukturalistische Texti</w:t>
      </w:r>
      <w:r w:rsidR="00F9763A">
        <w:t>n</w:t>
      </w:r>
      <w:r w:rsidR="00F9763A">
        <w:t xml:space="preserve">terpretation </w:t>
      </w:r>
      <w:r w:rsidR="00DB3465">
        <w:t>die entscheidenden Ansätze, die hier unter „Stil als Struktur“ gefasst wird.</w:t>
      </w:r>
      <w:r w:rsidR="00DB3465">
        <w:rPr>
          <w:rStyle w:val="Funotenzeichen"/>
        </w:rPr>
        <w:footnoteReference w:id="57"/>
      </w:r>
      <w:r w:rsidR="00DB3465">
        <w:t xml:space="preserve"> </w:t>
      </w:r>
      <w:r w:rsidR="004D34C0">
        <w:t xml:space="preserve">In der </w:t>
      </w:r>
      <w:r w:rsidR="00F9763A">
        <w:t xml:space="preserve">Annäherung an das Stilmodell gehen wir </w:t>
      </w:r>
      <w:r w:rsidR="00DB3465">
        <w:t>jedoch davon aus, „</w:t>
      </w:r>
      <w:r w:rsidR="004D34C0">
        <w:t>Stil als Auswahl</w:t>
      </w:r>
      <w:r w:rsidR="00DB3465">
        <w:t>“</w:t>
      </w:r>
      <w:r w:rsidR="004D34C0">
        <w:t xml:space="preserve"> </w:t>
      </w:r>
      <w:r w:rsidR="00DB3465">
        <w:t>zu beschreiben</w:t>
      </w:r>
      <w:r w:rsidR="00F9763A">
        <w:t>.</w:t>
      </w:r>
      <w:r w:rsidR="00F9763A">
        <w:rPr>
          <w:rStyle w:val="Funotenzeichen"/>
        </w:rPr>
        <w:footnoteReference w:id="58"/>
      </w:r>
    </w:p>
    <w:p w:rsidR="002D3A04" w:rsidRDefault="00DB3465" w:rsidP="00081DA8">
      <w:pPr>
        <w:pStyle w:val="Text"/>
      </w:pPr>
      <w:r>
        <w:t xml:space="preserve">Dieser Ansatz muss gerechtfertigt werden. </w:t>
      </w:r>
      <w:r w:rsidR="00081DA8">
        <w:t xml:space="preserve">Warum </w:t>
      </w:r>
      <w:r>
        <w:t xml:space="preserve">sollte Stil </w:t>
      </w:r>
      <w:r w:rsidR="00081DA8">
        <w:t xml:space="preserve">über Auswahl </w:t>
      </w:r>
      <w:r>
        <w:t>definiert werden? Alle Ansätze, die nicht auf Auswahl beruhen, haben gemei</w:t>
      </w:r>
      <w:r>
        <w:t>n</w:t>
      </w:r>
      <w:r>
        <w:t xml:space="preserve">sam, dass sie Stil über </w:t>
      </w:r>
      <w:r w:rsidR="00461B7E">
        <w:t xml:space="preserve">Merkmale (Muster, Regelmäßigkeiten, </w:t>
      </w:r>
      <w:r w:rsidR="0092414A">
        <w:t xml:space="preserve">Eigenschaften </w:t>
      </w:r>
      <w:r w:rsidR="00461B7E">
        <w:t xml:space="preserve">…) beschreiben, die direkt an dem betrachteten Stilträger vorhanden sind. Gehen wir zunächst von Textstilen aus, so sagt uns die Intuition, dass </w:t>
      </w:r>
      <w:r w:rsidR="00081DA8">
        <w:t>wir dann eine Abgrenzung von inhaltlichen Merkmalen vornehmen müssten. Stil und Inhalt werden bereits in der Alltagssprache meist als Gegensatz gesehen.</w:t>
      </w:r>
      <w:bookmarkStart w:id="28" w:name="_Ref271312043"/>
      <w:r w:rsidR="00210D4F">
        <w:rPr>
          <w:rStyle w:val="Funotenzeichen"/>
        </w:rPr>
        <w:footnoteReference w:id="59"/>
      </w:r>
      <w:bookmarkEnd w:id="28"/>
      <w:r w:rsidR="00081DA8">
        <w:t xml:space="preserve"> Folgt man </w:t>
      </w:r>
      <w:r w:rsidR="00081DA8">
        <w:lastRenderedPageBreak/>
        <w:t xml:space="preserve">dieser Intuition, könnte man versuchen, Stil </w:t>
      </w:r>
      <w:r w:rsidR="00461B7E">
        <w:t xml:space="preserve">als </w:t>
      </w:r>
      <w:r w:rsidR="00081DA8">
        <w:t xml:space="preserve">Merkmale </w:t>
      </w:r>
      <w:r w:rsidR="00461B7E">
        <w:t>(Muster, Rege</w:t>
      </w:r>
      <w:r w:rsidR="00461B7E">
        <w:t>l</w:t>
      </w:r>
      <w:r w:rsidR="00461B7E">
        <w:t xml:space="preserve">mäßigkeiten, </w:t>
      </w:r>
      <w:r w:rsidR="0092414A">
        <w:t xml:space="preserve">Eigenschaften </w:t>
      </w:r>
      <w:r w:rsidR="00461B7E">
        <w:t xml:space="preserve">…) </w:t>
      </w:r>
      <w:r w:rsidR="00081DA8">
        <w:t>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rsidR="00081DA8">
        <w:t xml:space="preserve"> zu beschreiben.</w:t>
      </w:r>
      <w:r w:rsidR="0092414A">
        <w:rPr>
          <w:rStyle w:val="Funotenzeichen"/>
        </w:rPr>
        <w:footnoteReference w:id="60"/>
      </w:r>
      <w:r w:rsidR="00172A0C">
        <w:t xml:space="preserve"> In A</w:t>
      </w:r>
      <w:r w:rsidR="00172A0C">
        <w:t>b</w:t>
      </w:r>
      <w:r w:rsidR="00172A0C">
        <w:t xml:space="preserve">schnitt </w:t>
      </w:r>
      <w:r w:rsidR="005D7996">
        <w:fldChar w:fldCharType="begin"/>
      </w:r>
      <w:r w:rsidR="00172A0C">
        <w:instrText xml:space="preserve"> REF _Ref260056929 \r \h </w:instrText>
      </w:r>
      <w:r w:rsidR="005D7996">
        <w:fldChar w:fldCharType="separate"/>
      </w:r>
      <w:r w:rsidR="001231D3">
        <w:t>2.1</w:t>
      </w:r>
      <w:r w:rsidR="005D7996">
        <w:fldChar w:fldCharType="end"/>
      </w:r>
      <w:r w:rsidR="00172A0C">
        <w:t xml:space="preserve"> wird gezeigt, dass dieser Ansatz zu unhaltbaren Ergebnissen führt.</w:t>
      </w:r>
    </w:p>
    <w:p w:rsidR="00461B7E" w:rsidRDefault="005D7996" w:rsidP="00081DA8">
      <w:pPr>
        <w:pStyle w:val="Text"/>
      </w:pPr>
      <w:r>
        <w:rPr>
          <w:noProof/>
        </w:rPr>
        <w:pict>
          <v:shapetype id="_x0000_t202" coordsize="21600,21600" o:spt="202" path="m,l,21600r21600,l21600,xe">
            <v:stroke joinstyle="miter"/>
            <v:path gradientshapeok="t" o:connecttype="rect"/>
          </v:shapetype>
          <v:shape id="_x0000_s1576302" type="#_x0000_t202" style="position:absolute;left:0;text-align:left;margin-left:66.9pt;margin-top:-67.25pt;width:207.2pt;height:18.4pt;z-index:251849216" strokecolor="white [3212]">
            <v:textbox>
              <w:txbxContent>
                <w:p w:rsidR="00EA2426" w:rsidRDefault="00EA2426"/>
              </w:txbxContent>
            </v:textbox>
          </v:shape>
        </w:pict>
      </w:r>
      <w:r w:rsidR="00081DA8">
        <w:t>Bei anderen Stilen müsste man dann ent</w:t>
      </w:r>
      <w:r w:rsidR="004068E5">
        <w:t xml:space="preserve">sprechende Kriterien entwickeln. </w:t>
      </w:r>
      <w:r w:rsidR="00A056F1">
        <w:t>Wie wir später sehen werden</w:t>
      </w:r>
      <w:r w:rsidR="004068E5">
        <w:t xml:space="preserve">, </w:t>
      </w:r>
      <w:r w:rsidR="00A056F1">
        <w:t xml:space="preserve">gibt es </w:t>
      </w:r>
      <w:r w:rsidR="004068E5">
        <w:t>Stile bei Verhalten, Artefakten und Texten; nur bei letzteren kann man mit der Unterscheidung zwischen Ausdruck und</w:t>
      </w:r>
      <w:r w:rsidR="00081DA8">
        <w:t xml:space="preserve"> </w:t>
      </w:r>
      <w:r w:rsidR="004068E5">
        <w:t>Inhalt operieren. Für Verhalten und Artefakte scheinen sich jedoch ebenfalls Unterscheidungen abzuzeichnen, die für Stil relevant sind: S</w:t>
      </w:r>
      <w:r w:rsidR="00081DA8">
        <w:t xml:space="preserve">o </w:t>
      </w:r>
      <w:r w:rsidR="009815A2">
        <w:t xml:space="preserve">wird </w:t>
      </w:r>
      <w:r w:rsidR="00BE191B">
        <w:t>beispielswe</w:t>
      </w:r>
      <w:r w:rsidR="00BE191B">
        <w:t>i</w:t>
      </w:r>
      <w:r w:rsidR="00BE191B">
        <w:t xml:space="preserve">se </w:t>
      </w:r>
      <w:r w:rsidR="00081DA8">
        <w:t>bei einem Fahrstil</w:t>
      </w:r>
      <w:r>
        <w:fldChar w:fldCharType="begin"/>
      </w:r>
      <w:r w:rsidR="00062FBE">
        <w:instrText xml:space="preserve"> XE "</w:instrText>
      </w:r>
      <w:r w:rsidR="00062FBE" w:rsidRPr="00D16402">
        <w:instrText>Fahrstil</w:instrText>
      </w:r>
      <w:r w:rsidR="00062FBE">
        <w:instrText xml:space="preserve">" </w:instrText>
      </w:r>
      <w:r>
        <w:fldChar w:fldCharType="end"/>
      </w:r>
      <w:r w:rsidR="00081DA8">
        <w:t xml:space="preserve"> die </w:t>
      </w:r>
      <w:r w:rsidR="00524183">
        <w:t xml:space="preserve">zurückgelegte </w:t>
      </w:r>
      <w:r w:rsidR="00081DA8">
        <w:t xml:space="preserve">Fahrtstrecke </w:t>
      </w:r>
      <w:r w:rsidR="009815A2">
        <w:t>nicht als stilistischer Aspekt angesehen</w:t>
      </w:r>
      <w:r w:rsidR="00524183">
        <w:t xml:space="preserve">, </w:t>
      </w:r>
      <w:r w:rsidR="009815A2">
        <w:t xml:space="preserve">was offenbar daran liegt, dass </w:t>
      </w:r>
      <w:r w:rsidR="00524183">
        <w:t>sie die Handlung (im Normalfall) überhaupt erst bestimmt</w:t>
      </w:r>
      <w:r w:rsidR="009815A2">
        <w:t xml:space="preserve">. Verallgemeinert man dies, könnte man </w:t>
      </w:r>
      <w:r w:rsidR="00524183">
        <w:t>v</w:t>
      </w:r>
      <w:r w:rsidR="009815A2">
        <w:t>on „Ziel“ oder „Zweck“ als jenem</w:t>
      </w:r>
      <w:r w:rsidR="00524183">
        <w:t xml:space="preserve"> Bereich </w:t>
      </w:r>
      <w:r w:rsidR="009815A2">
        <w:t>sprechen</w:t>
      </w:r>
      <w:r w:rsidR="00CD485F">
        <w:t>, in dem Stil</w:t>
      </w:r>
      <w:r w:rsidR="009815A2">
        <w:t xml:space="preserve"> </w:t>
      </w:r>
      <w:r w:rsidR="00524183">
        <w:t xml:space="preserve">nicht auftreten kann. </w:t>
      </w:r>
      <w:r w:rsidR="009815A2">
        <w:t>Bei Art</w:t>
      </w:r>
      <w:r w:rsidR="009815A2">
        <w:t>e</w:t>
      </w:r>
      <w:r w:rsidR="009815A2">
        <w:t>fakten wiederum gibt es den Bereich der „Funktion“, den wir offenbar als nicht-stilistisch wahrnehmen; beispielsweise wird die Festlegung, ob ein Gebäude als Wohngebäude, Bürogebäude oder Fabrik dienen soll, einschließlich der sich d</w:t>
      </w:r>
      <w:r w:rsidR="009815A2">
        <w:t>a</w:t>
      </w:r>
      <w:r w:rsidR="009815A2">
        <w:t>raus ergebenden Planungsentscheidungen nicht dem Stil zugerechnet</w:t>
      </w:r>
      <w:r w:rsidR="00524183">
        <w:t>.</w:t>
      </w:r>
    </w:p>
    <w:p w:rsidR="00081DA8" w:rsidRDefault="00461B7E" w:rsidP="00081DA8">
      <w:pPr>
        <w:pStyle w:val="Text"/>
      </w:pPr>
      <w:r>
        <w:t xml:space="preserve">Außerhalb von </w:t>
      </w:r>
      <w:r w:rsidR="005B322E">
        <w:t>Zeichengebrauch</w:t>
      </w:r>
      <w:r>
        <w:t xml:space="preserve"> kann nicht von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w:t>
      </w:r>
      <w:r w:rsidR="002B7855">
        <w:rPr>
          <w:rStyle w:val="Funotenzeichen"/>
        </w:rPr>
        <w:footnoteReference w:id="61"/>
      </w:r>
      <w:r>
        <w:t xml:space="preserve"> g</w:t>
      </w:r>
      <w:r>
        <w:t>e</w:t>
      </w:r>
      <w:r>
        <w:t>sprochen werden; man könnte aber eine Verallgemeinerung durch „Ausfü</w:t>
      </w:r>
      <w:r>
        <w:t>h</w:t>
      </w:r>
      <w:r>
        <w:t xml:space="preserve">rungsweise“ versuchen: Stil wären dann Merkmale (Muster, Regelmäßigkeiten, </w:t>
      </w:r>
      <w:r w:rsidR="0092414A">
        <w:t xml:space="preserve">Eigenschaften </w:t>
      </w:r>
      <w:r>
        <w:t>…) der Ausführungsweise.</w:t>
      </w:r>
      <w:r w:rsidR="00172A0C">
        <w:t xml:space="preserve"> In Abschnitt </w:t>
      </w:r>
      <w:r w:rsidR="005D7996">
        <w:fldChar w:fldCharType="begin"/>
      </w:r>
      <w:r w:rsidR="00172A0C">
        <w:instrText xml:space="preserve"> REF _Ref264378576 \r \h </w:instrText>
      </w:r>
      <w:r w:rsidR="005D7996">
        <w:fldChar w:fldCharType="separate"/>
      </w:r>
      <w:r w:rsidR="001231D3">
        <w:t>2.2</w:t>
      </w:r>
      <w:r w:rsidR="005D7996">
        <w:fldChar w:fldCharType="end"/>
      </w:r>
      <w:r w:rsidR="00172A0C">
        <w:t xml:space="preserve"> wird gezeigt, dass </w:t>
      </w:r>
      <w:r w:rsidR="00185F19">
        <w:t xml:space="preserve">diese Vorgehensweise </w:t>
      </w:r>
      <w:r w:rsidR="00172A0C">
        <w:t>zu unhaltbaren Ergebnissen führt.</w:t>
      </w:r>
    </w:p>
    <w:p w:rsidR="00081DA8" w:rsidRDefault="00081DA8" w:rsidP="00081DA8">
      <w:pPr>
        <w:pStyle w:val="Titel2"/>
      </w:pPr>
      <w:bookmarkStart w:id="29" w:name="_Ref260056929"/>
      <w:bookmarkStart w:id="30" w:name="_Toc325456695"/>
      <w:bookmarkStart w:id="31" w:name="Stil_als_Auswahl"/>
      <w:r>
        <w:lastRenderedPageBreak/>
        <w:t xml:space="preserve">Warum muss Stil über Auswahl </w:t>
      </w:r>
      <w:r w:rsidR="00670B74">
        <w:t>beschrieben</w:t>
      </w:r>
      <w:r>
        <w:t xml:space="preserve"> werden?</w:t>
      </w:r>
      <w:bookmarkEnd w:id="29"/>
      <w:bookmarkEnd w:id="30"/>
    </w:p>
    <w:p w:rsidR="00081DA8" w:rsidRDefault="005D7996" w:rsidP="00FC7BB3">
      <w:pPr>
        <w:pStyle w:val="Text"/>
        <w:ind w:firstLine="0"/>
      </w:pPr>
      <w:r>
        <w:fldChar w:fldCharType="begin"/>
      </w:r>
      <w:r w:rsidR="002A5370">
        <w:instrText xml:space="preserve"> XE "</w:instrText>
      </w:r>
      <w:r w:rsidR="002A5370" w:rsidRPr="006256A5">
        <w:instrText>Stil:als Auswahl</w:instrText>
      </w:r>
      <w:r w:rsidR="002A5370">
        <w:instrText xml:space="preserve">" \r "Stil_als_Auswahl" </w:instrText>
      </w:r>
      <w:r>
        <w:fldChar w:fldCharType="end"/>
      </w:r>
      <w:r w:rsidR="00081DA8">
        <w:t xml:space="preserve">Ist es möglich, </w:t>
      </w:r>
      <w:r w:rsidR="00CD485F">
        <w:t>Stil</w:t>
      </w:r>
      <w:r w:rsidR="00081DA8">
        <w:t xml:space="preserve"> präzise zu untersuchen, ohne einen Auswahlvorgang zu po</w:t>
      </w:r>
      <w:r w:rsidR="00081DA8">
        <w:t>s</w:t>
      </w:r>
      <w:r w:rsidR="00081DA8">
        <w:t>tulieren? Immerhin scheint die Darstellung über Auswahl mit vielen Schwieri</w:t>
      </w:r>
      <w:r w:rsidR="00081DA8">
        <w:t>g</w:t>
      </w:r>
      <w:r w:rsidR="00081DA8">
        <w:t xml:space="preserve">keiten verbunden zu sein, beispielsweise mit </w:t>
      </w:r>
      <w:r w:rsidR="00732BF0">
        <w:t>den Fragen</w:t>
      </w:r>
      <w:r w:rsidR="00081DA8">
        <w:t>, wie man die nicht au</w:t>
      </w:r>
      <w:r w:rsidR="00081DA8">
        <w:t>s</w:t>
      </w:r>
      <w:r w:rsidR="00081DA8">
        <w:t xml:space="preserve">gewählten Möglichkeiten rekonstruieren und </w:t>
      </w:r>
      <w:r w:rsidR="00732BF0">
        <w:t xml:space="preserve">wie man stilistische Auswahl von </w:t>
      </w:r>
      <w:r w:rsidR="0089704D">
        <w:t xml:space="preserve">anderen Auswahlvorgängen </w:t>
      </w:r>
      <w:r w:rsidR="00732BF0">
        <w:t>trennen kann</w:t>
      </w:r>
      <w:r w:rsidR="00081DA8">
        <w:t xml:space="preserve">. Wieso hält man sich nicht einfach an </w:t>
      </w:r>
      <w:r w:rsidR="00152ABE">
        <w:t xml:space="preserve">die Tatsachen </w:t>
      </w:r>
      <w:r w:rsidR="00081DA8">
        <w:t>–</w:t>
      </w:r>
      <w:r w:rsidR="00152ABE">
        <w:t xml:space="preserve"> </w:t>
      </w:r>
      <w:r w:rsidR="00081DA8">
        <w:t xml:space="preserve">an </w:t>
      </w:r>
      <w:r w:rsidR="00152ABE">
        <w:t>direkt feststellbare Strukturen</w:t>
      </w:r>
      <w:r w:rsidR="00495746">
        <w:t xml:space="preserve"> oder</w:t>
      </w:r>
      <w:r w:rsidR="00152ABE">
        <w:t xml:space="preserve"> Regelmäßigkeiten </w:t>
      </w:r>
      <w:r w:rsidR="00081DA8">
        <w:t>im Stilträger (beispielsweise in einem Text)?</w:t>
      </w:r>
    </w:p>
    <w:p w:rsidR="00081DA8" w:rsidRDefault="00081DA8" w:rsidP="00081DA8">
      <w:pPr>
        <w:pStyle w:val="Text"/>
      </w:pPr>
      <w:r>
        <w:t xml:space="preserve">Stil über Strukturen und Regelmäßigkeiten des Stilträgers zu definieren, scheint </w:t>
      </w:r>
      <w:r w:rsidR="000932B0">
        <w:t xml:space="preserve">eine einfache und genaue Beschreibung zu ermöglichen und wurde daher </w:t>
      </w:r>
      <w:r>
        <w:t>immer wieder versucht</w:t>
      </w:r>
      <w:bookmarkStart w:id="32" w:name="_Ref266962168"/>
      <w:r w:rsidR="00B3415F">
        <w:t>.</w:t>
      </w:r>
      <w:r>
        <w:rPr>
          <w:rStyle w:val="Funotenzeichen"/>
        </w:rPr>
        <w:footnoteReference w:id="62"/>
      </w:r>
      <w:bookmarkEnd w:id="32"/>
      <w:r>
        <w:t xml:space="preserve"> Doch wenn man diese Methode zu einer präzisen Sti</w:t>
      </w:r>
      <w:r>
        <w:t>l</w:t>
      </w:r>
      <w:r>
        <w:t>theorie ausbauen will, ergeben sich verschiedene Probleme. Betrachten wir dazu zunächst den Bereich der sprachlichen Texte.</w:t>
      </w:r>
    </w:p>
    <w:p w:rsidR="00081DA8" w:rsidRDefault="00081DA8" w:rsidP="00081DA8">
      <w:pPr>
        <w:pStyle w:val="Text"/>
      </w:pPr>
      <w:r>
        <w:t>Nicht jede Struktur eines Textes ist stilistisch relevant. Eine allgemeine S</w:t>
      </w:r>
      <w:r>
        <w:t>u</w:t>
      </w:r>
      <w:r>
        <w:t>che nach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E71643">
        <w:rPr>
          <w:rStyle w:val="Funotenzeichen"/>
        </w:rPr>
        <w:footnoteReference w:id="63"/>
      </w:r>
      <w:r>
        <w:t xml:space="preserve"> und den sich daraus ergebenden Strukturen kann auch inhaltliche Regelmäßigkeiten erfassen. Geht es beispielsweise in einer Str</w:t>
      </w:r>
      <w:r>
        <w:t>o</w:t>
      </w:r>
      <w:r>
        <w:t xml:space="preserve">phe eines Gedichts um den häuslichen Bereich oder in einem Zeitungsartikel um Hausbau, so verwundert es nicht, wenn </w:t>
      </w:r>
      <w:r w:rsidR="00001795">
        <w:t xml:space="preserve">die </w:t>
      </w:r>
      <w:r>
        <w:t>Allomorph</w:t>
      </w:r>
      <w:r w:rsidR="000A0C27">
        <w:t>e</w:t>
      </w:r>
      <w:r w:rsidR="005D7996">
        <w:fldChar w:fldCharType="begin"/>
      </w:r>
      <w:r w:rsidR="000A0C27">
        <w:instrText xml:space="preserve"> XE "</w:instrText>
      </w:r>
      <w:r w:rsidR="000A0C27" w:rsidRPr="00FD753A">
        <w:instrText>Morphem:Allomorph</w:instrText>
      </w:r>
      <w:r w:rsidR="000A0C27">
        <w:instrText xml:space="preserve">" </w:instrText>
      </w:r>
      <w:r w:rsidR="005D7996">
        <w:fldChar w:fldCharType="end"/>
      </w:r>
      <w:r>
        <w:t xml:space="preserve"> /haus/–</w:t>
      </w:r>
      <w:r w:rsidR="002B7855">
        <w:t>‚</w:t>
      </w:r>
      <w:r>
        <w:t>haus</w:t>
      </w:r>
      <w:r w:rsidR="002B7855">
        <w:t>‘</w:t>
      </w:r>
      <w:r>
        <w:t>, /hois/–</w:t>
      </w:r>
      <w:r w:rsidR="002B7855">
        <w:t>‚</w:t>
      </w:r>
      <w:r>
        <w:t>haus</w:t>
      </w:r>
      <w:r w:rsidR="002B7855">
        <w:t>‘</w:t>
      </w:r>
      <w:r>
        <w:t>, /hauz/–</w:t>
      </w:r>
      <w:r w:rsidR="002B7855">
        <w:t>‚</w:t>
      </w:r>
      <w:r>
        <w:t>haus</w:t>
      </w:r>
      <w:r w:rsidR="002B7855">
        <w:t>‘</w:t>
      </w:r>
      <w:r>
        <w:t>, /hoiz/–</w:t>
      </w:r>
      <w:r w:rsidR="002B7855">
        <w:t>‚</w:t>
      </w:r>
      <w:r>
        <w:t>haus</w:t>
      </w:r>
      <w:r w:rsidR="002B7855">
        <w:t>‘</w:t>
      </w:r>
      <w:r>
        <w:t xml:space="preserve"> zahlreich auftreten. Es kommt also sowohl zu einer Häufung bestimmter Segmente auf 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die damit als Elemente klassifiziert werden können, als auch zu auffälligen phonologischen</w:t>
      </w:r>
      <w:r w:rsidR="005D7996">
        <w:fldChar w:fldCharType="begin"/>
      </w:r>
      <w:r w:rsidR="00DC6AC2">
        <w:instrText xml:space="preserve"> XE "</w:instrText>
      </w:r>
      <w:r w:rsidR="00DC6AC2" w:rsidRPr="00E93198">
        <w:instrText>Phonologie</w:instrText>
      </w:r>
      <w:r w:rsidR="00DC6AC2">
        <w:instrText xml:space="preserve">" </w:instrText>
      </w:r>
      <w:r w:rsidR="005D7996">
        <w:fldChar w:fldCharType="end"/>
      </w:r>
      <w:r>
        <w:t xml:space="preserve"> Äquivalenzen zwischen verschiedenen Elementen</w:t>
      </w:r>
      <w:r w:rsidR="00001795">
        <w:t xml:space="preserve">, </w:t>
      </w:r>
      <w:r>
        <w:t xml:space="preserve">in diesem Fall den Elementen /haus/, /hois/, /hauz/, /hoiz/. Beides sind Phänomene, die in einer Analyse nach Häufigkeit </w:t>
      </w:r>
      <w:r w:rsidR="00E71643">
        <w:t xml:space="preserve">oder </w:t>
      </w:r>
      <w:r>
        <w:t xml:space="preserve">nach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auffallen.</w:t>
      </w:r>
    </w:p>
    <w:p w:rsidR="00081DA8" w:rsidRDefault="00081DA8" w:rsidP="00081DA8">
      <w:pPr>
        <w:pStyle w:val="Text"/>
      </w:pPr>
      <w:r>
        <w:t xml:space="preserve">Aber macht es Sinn, hier von Stil zu sprechen? Will man die Häufung gleichartiger Elemente als stilistisch relevant </w:t>
      </w:r>
      <w:r w:rsidR="00E06A47">
        <w:t>auffassen</w:t>
      </w:r>
      <w:r>
        <w:t>, dann kommt man rasch zu dem Ergebnis, dass in fast jedem Text inhaltliche Faktoren in den Bereich einer Stiluntersuchung fallen würden. Es gibt wohl keinen Text, der nicht au</w:t>
      </w:r>
      <w:r>
        <w:t>f</w:t>
      </w:r>
      <w:r>
        <w:t>grund seines Inhalts auch auf 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erkennbare Regelmäßigkeiten aufweist, beispielsweise eben die häufige Verwendung etymologisch verwandter </w:t>
      </w:r>
      <w:r w:rsidR="003C6747">
        <w:t>Wörter</w:t>
      </w:r>
      <w:r>
        <w:t xml:space="preserve">. Solche </w:t>
      </w:r>
      <w:r w:rsidR="00AB075B">
        <w:t xml:space="preserve">Phänomene </w:t>
      </w:r>
      <w:r w:rsidR="00185F19">
        <w:t xml:space="preserve">können </w:t>
      </w:r>
      <w:r>
        <w:t>in einer Textanalyse</w:t>
      </w:r>
      <w:r w:rsidR="005D7996">
        <w:fldChar w:fldCharType="begin"/>
      </w:r>
      <w:r w:rsidR="00AC1C55">
        <w:instrText xml:space="preserve"> XE "</w:instrText>
      </w:r>
      <w:r w:rsidR="00AC1C55" w:rsidRPr="00436EAC">
        <w:instrText>Textanalyse</w:instrText>
      </w:r>
      <w:r w:rsidR="00AC1C55">
        <w:instrText xml:space="preserve">" </w:instrText>
      </w:r>
      <w:r w:rsidR="005D7996">
        <w:fldChar w:fldCharType="end"/>
      </w:r>
      <w:r>
        <w:t xml:space="preserve"> interessant</w:t>
      </w:r>
      <w:r w:rsidR="000E2C74">
        <w:t xml:space="preserve"> sein</w:t>
      </w:r>
      <w:r>
        <w:t xml:space="preserve">; in </w:t>
      </w:r>
      <w:r w:rsidR="000E2C74">
        <w:t xml:space="preserve">einer </w:t>
      </w:r>
      <w:r>
        <w:t>Stilanalyse</w:t>
      </w:r>
      <w:r w:rsidR="000E2C74">
        <w:t xml:space="preserve"> </w:t>
      </w:r>
      <w:r w:rsidR="00185F19">
        <w:t xml:space="preserve">dagegen </w:t>
      </w:r>
      <w:r w:rsidR="00AB075B">
        <w:t xml:space="preserve">erscheint ihre Berücksichtigung </w:t>
      </w:r>
      <w:r>
        <w:t>fehl am Platz.</w:t>
      </w:r>
      <w:r w:rsidR="00185F19">
        <w:rPr>
          <w:rStyle w:val="Funotenzeichen"/>
        </w:rPr>
        <w:footnoteReference w:id="64"/>
      </w:r>
    </w:p>
    <w:p w:rsidR="00081DA8" w:rsidRDefault="00081DA8" w:rsidP="00081DA8">
      <w:pPr>
        <w:pStyle w:val="Text"/>
      </w:pPr>
      <w:r>
        <w:lastRenderedPageBreak/>
        <w:t>Dies wird noch deutlicher, wenn man das obige Beispiel abändert und a</w:t>
      </w:r>
      <w:r>
        <w:t>n</w:t>
      </w:r>
      <w:r>
        <w:t>nimmt, dass wir den Stil einer Zeitschrift für Hausgestaltung untersuchen und mit einer Gartenzeitschrift vergleichen. Es wäre wenig plausibel, diese Stile schon aufgrund der jeweils auffällig häufigen Morpheme</w:t>
      </w:r>
      <w:r w:rsidR="005D7996">
        <w:fldChar w:fldCharType="begin"/>
      </w:r>
      <w:r w:rsidR="000A0C27">
        <w:instrText xml:space="preserve"> XE "</w:instrText>
      </w:r>
      <w:r w:rsidR="000A0C27" w:rsidRPr="000C7B26">
        <w:instrText>Morphem</w:instrText>
      </w:r>
      <w:r w:rsidR="000A0C27">
        <w:instrText xml:space="preserve">" </w:instrText>
      </w:r>
      <w:r w:rsidR="005D7996">
        <w:fldChar w:fldCharType="end"/>
      </w:r>
      <w:r>
        <w:t xml:space="preserve"> im Bereich der Wor</w:t>
      </w:r>
      <w:r>
        <w:t>t</w:t>
      </w:r>
      <w:r>
        <w:t>felder „Haus“ und „Garten“ als unterschiedlich anzusehen, auch wenn sie sich ansonsten in ihren Merkmalen (Stil</w:t>
      </w:r>
      <w:r w:rsidR="00613580">
        <w:t>ebene</w:t>
      </w:r>
      <w:r w:rsidR="005D7996">
        <w:fldChar w:fldCharType="begin"/>
      </w:r>
      <w:r w:rsidR="001A1E3B">
        <w:instrText xml:space="preserve"> XE "</w:instrText>
      </w:r>
      <w:r w:rsidR="00613580">
        <w:instrText>Stilebene</w:instrText>
      </w:r>
      <w:r w:rsidR="001A1E3B">
        <w:instrText xml:space="preserve">" </w:instrText>
      </w:r>
      <w:r w:rsidR="005D7996">
        <w:fldChar w:fldCharType="end"/>
      </w:r>
      <w:r w:rsidR="005D7996">
        <w:fldChar w:fldCharType="begin"/>
      </w:r>
      <w:r w:rsidR="00613580">
        <w:instrText xml:space="preserve"> XE "Stillage" \t "</w:instrText>
      </w:r>
      <w:r w:rsidR="00801C96">
        <w:rPr>
          <w:i/>
        </w:rPr>
        <w:instrText>s</w:instrText>
      </w:r>
      <w:r w:rsidR="00613580" w:rsidRPr="00613580">
        <w:rPr>
          <w:i/>
        </w:rPr>
        <w:instrText>iehe</w:instrText>
      </w:r>
      <w:r w:rsidR="00613580">
        <w:instrText xml:space="preserve"> Stilebene" </w:instrText>
      </w:r>
      <w:r w:rsidR="005D7996">
        <w:fldChar w:fldCharType="end"/>
      </w:r>
      <w:r>
        <w:t xml:space="preserve">, </w:t>
      </w:r>
      <w:r w:rsidR="00613580">
        <w:t xml:space="preserve">Satzbau, </w:t>
      </w:r>
      <w:r>
        <w:t>Manierismen usw.) gleichen. Mit einer solchen Stilbeschreibung ließe sich operativ wenig anfangen, da man bei einer Zeitung oder bei einer Schriftstellerin, die über ein anderes Thema schreiben, in jedem Fall einen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t xml:space="preserve"> konstatieren müsste. Man könnte einer Zeitung, die über viele Themen schreibt, keinen einheitlichen Stil zuordnen.</w:t>
      </w:r>
      <w:r>
        <w:rPr>
          <w:rStyle w:val="Funotenzeichen"/>
        </w:rPr>
        <w:footnoteReference w:id="65"/>
      </w:r>
      <w:r>
        <w:t xml:space="preserve"> Im alltäglichen Gebrauch von „Stil“ nehmen wir jedoch an, dass Stil über Inhaltsu</w:t>
      </w:r>
      <w:r>
        <w:t>n</w:t>
      </w:r>
      <w:r>
        <w:t>terschiede hinweg konstant bleiben kann, und untersuchen gerade die Frage, ob ein Schriftsteller oder eine Journalistin, die sich einem neuen Thema zuwenden, dabei auch ihren Stil wechseln oder nicht.</w:t>
      </w:r>
    </w:p>
    <w:p w:rsidR="00081DA8" w:rsidRDefault="00081DA8" w:rsidP="00081DA8">
      <w:pPr>
        <w:pStyle w:val="Text"/>
      </w:pPr>
      <w:r>
        <w:t>Ein zweites Beispiel soll verdeutlichen, dass Regelmäßigkeiten auf der Au</w:t>
      </w:r>
      <w:r>
        <w:t>s</w:t>
      </w:r>
      <w:r>
        <w:t>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nicht ohne Berücksichtigung von Überlegungen zur Auswahl als stilistisch relevant angesehen werden können: Nehmen wir an, ein dialektisch</w:t>
      </w:r>
      <w:r w:rsidR="005D7996">
        <w:fldChar w:fldCharType="begin"/>
      </w:r>
      <w:r w:rsidR="00342447">
        <w:instrText xml:space="preserve"> XE "</w:instrText>
      </w:r>
      <w:r w:rsidR="00342447" w:rsidRPr="00D9059E">
        <w:instrText>Dialektik</w:instrText>
      </w:r>
      <w:r w:rsidR="00342447">
        <w:instrText xml:space="preserve">" </w:instrText>
      </w:r>
      <w:r w:rsidR="005D7996">
        <w:fldChar w:fldCharType="end"/>
      </w:r>
      <w:r>
        <w:t xml:space="preserve"> gegliederter Schulaufsatz vergleicht zu einem strittigen Thema die alltägliche Auffassung (‚gesunder Menschenverstand‘) als These mit der juristischen Posit</w:t>
      </w:r>
      <w:r>
        <w:t>i</w:t>
      </w:r>
      <w:r>
        <w:t>on als Gegenthese. Nehmen wir außerdem an, der Aufsatz setzt These und Gegenthese jeweils direkt nebeneinander, bevor er abschließend zur Synthese kommt. Er wird somit nach der Einleitung die Struktur T</w:t>
      </w:r>
      <w:r>
        <w:rPr>
          <w:vertAlign w:val="subscript"/>
        </w:rPr>
        <w:t>1</w:t>
      </w:r>
      <w:r>
        <w:t xml:space="preserve"> / GT</w:t>
      </w:r>
      <w:r>
        <w:rPr>
          <w:vertAlign w:val="subscript"/>
        </w:rPr>
        <w:t>1</w:t>
      </w:r>
      <w:r>
        <w:t xml:space="preserve"> / T</w:t>
      </w:r>
      <w:r>
        <w:rPr>
          <w:vertAlign w:val="subscript"/>
        </w:rPr>
        <w:t>2</w:t>
      </w:r>
      <w:r>
        <w:t xml:space="preserve"> / GT</w:t>
      </w:r>
      <w:r>
        <w:rPr>
          <w:vertAlign w:val="subscript"/>
        </w:rPr>
        <w:t>2</w:t>
      </w:r>
      <w:r>
        <w:t xml:space="preserve"> … T</w:t>
      </w:r>
      <w:r w:rsidRPr="00DD7BD6">
        <w:rPr>
          <w:i/>
          <w:vertAlign w:val="subscript"/>
        </w:rPr>
        <w:t>n</w:t>
      </w:r>
      <w:r>
        <w:t xml:space="preserve"> / GT</w:t>
      </w:r>
      <w:r w:rsidRPr="00DD7BD6">
        <w:rPr>
          <w:i/>
          <w:vertAlign w:val="subscript"/>
        </w:rPr>
        <w:t>n</w:t>
      </w:r>
      <w:r>
        <w:t xml:space="preserve"> / S zeigen. In diesem Fall wird man sich nicht wundern, wenn man in den </w:t>
      </w:r>
      <w:r w:rsidR="00E533F1">
        <w:t xml:space="preserve">Gegenthese-Abschnitten </w:t>
      </w:r>
      <w:r>
        <w:t xml:space="preserve">des Texts mehr juristische Fachausdrücke findet als in den </w:t>
      </w:r>
      <w:r w:rsidR="00E533F1">
        <w:t>These-Abschnitten</w:t>
      </w:r>
      <w:r>
        <w:t>. Auf den ersten Blick könnte es daher erscheinen, als sei hier ein auffälliger, regelmäßiger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t xml:space="preserve"> vorhanden. Aber stimmt das?</w:t>
      </w:r>
    </w:p>
    <w:p w:rsidR="00081DA8" w:rsidRDefault="0059186B" w:rsidP="00081DA8">
      <w:pPr>
        <w:pStyle w:val="Text"/>
      </w:pPr>
      <w:r>
        <w:t xml:space="preserve">Vermutlich </w:t>
      </w:r>
      <w:r w:rsidR="00081DA8">
        <w:t>würde man – in der alltagssprachlichen Verwendung des B</w:t>
      </w:r>
      <w:r w:rsidR="00081DA8">
        <w:t>e</w:t>
      </w:r>
      <w:r w:rsidR="00081DA8">
        <w:t>griffs ‚Stil‘ –</w:t>
      </w:r>
      <w:r>
        <w:t xml:space="preserve"> </w:t>
      </w:r>
      <w:r w:rsidR="00081DA8">
        <w:t>von einem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rsidR="00081DA8">
        <w:t xml:space="preserve"> sprechen, wenn der Aufsatzschreiber </w:t>
      </w:r>
      <w:r w:rsidR="00EF3F6C">
        <w:t xml:space="preserve">bei den Gegenthese-Passagen </w:t>
      </w:r>
      <w:r w:rsidR="00261CD9">
        <w:t>wirklich</w:t>
      </w:r>
      <w:r w:rsidR="00081DA8">
        <w:t xml:space="preserve"> in juristische Sprachgewohnheiten verfallen </w:t>
      </w:r>
      <w:r w:rsidR="00EF3F6C">
        <w:t>wäre, so dass diese</w:t>
      </w:r>
      <w:r w:rsidR="00081DA8">
        <w:t xml:space="preserve"> einen hypotaktischen Sprachbau, </w:t>
      </w:r>
      <w:r w:rsidR="00B836D6">
        <w:t>„</w:t>
      </w:r>
      <w:r w:rsidR="00081DA8">
        <w:t>trockene</w:t>
      </w:r>
      <w:r w:rsidR="00B836D6">
        <w:t>“</w:t>
      </w:r>
      <w:r w:rsidR="00081DA8">
        <w:t xml:space="preserve"> </w:t>
      </w:r>
      <w:r w:rsidR="00B836D6">
        <w:t>Formulierungen</w:t>
      </w:r>
      <w:r w:rsidR="00081DA8">
        <w:t xml:space="preserve"> oder andere als kennzeichnend empfundene Merkmale zeigen:</w:t>
      </w:r>
    </w:p>
    <w:p w:rsidR="00081DA8" w:rsidRDefault="00081DA8" w:rsidP="00081DA8">
      <w:pPr>
        <w:pStyle w:val="ZitatAufzhlung"/>
      </w:pPr>
      <w:r>
        <w:t>(1)</w:t>
      </w:r>
      <w:r>
        <w:tab/>
        <w:t>Der Alkoholausschank an Minderjährige ist gesetzlich verboten; die Zuwide</w:t>
      </w:r>
      <w:r>
        <w:t>r</w:t>
      </w:r>
      <w:r>
        <w:t>handlung stellt einen Straftatbestand dar. Der Beklag</w:t>
      </w:r>
      <w:r w:rsidR="00EF3F6C">
        <w:t xml:space="preserve">te </w:t>
      </w:r>
      <w:r>
        <w:t xml:space="preserve">hielt die Tat für eine </w:t>
      </w:r>
      <w:r>
        <w:lastRenderedPageBreak/>
        <w:t>bloße Ord</w:t>
      </w:r>
      <w:r w:rsidR="00EF3F6C">
        <w:t xml:space="preserve">nungswidrigkeit und befand sich </w:t>
      </w:r>
      <w:r w:rsidR="00B53D3C">
        <w:t xml:space="preserve">somit </w:t>
      </w:r>
      <w:r w:rsidR="00EF3F6C">
        <w:t xml:space="preserve">im Verbotsirrtum, was vom </w:t>
      </w:r>
      <w:r>
        <w:t xml:space="preserve">Gericht </w:t>
      </w:r>
      <w:r w:rsidR="00EF3F6C">
        <w:t xml:space="preserve">jedoch </w:t>
      </w:r>
      <w:r>
        <w:t>nicht als strafmildernd gewertet</w:t>
      </w:r>
      <w:r w:rsidR="00EF3F6C">
        <w:t xml:space="preserve"> wurde</w:t>
      </w:r>
      <w:r>
        <w:t>.</w:t>
      </w:r>
    </w:p>
    <w:p w:rsidR="00081DA8" w:rsidRDefault="00081DA8" w:rsidP="006F7653">
      <w:pPr>
        <w:pStyle w:val="Text"/>
        <w:ind w:firstLine="0"/>
      </w:pPr>
      <w:r>
        <w:t xml:space="preserve">Doch es ist auch </w:t>
      </w:r>
      <w:r w:rsidR="00EF3F6C">
        <w:t xml:space="preserve">die </w:t>
      </w:r>
      <w:r>
        <w:t xml:space="preserve">folgende </w:t>
      </w:r>
      <w:r w:rsidR="00EF3F6C">
        <w:t xml:space="preserve">Passage </w:t>
      </w:r>
      <w:r>
        <w:t>denkbar:</w:t>
      </w:r>
    </w:p>
    <w:p w:rsidR="00081DA8" w:rsidRDefault="00081DA8" w:rsidP="00081DA8">
      <w:pPr>
        <w:pStyle w:val="ZitatAufzhlung"/>
      </w:pPr>
      <w:r>
        <w:t>(2)</w:t>
      </w:r>
      <w:r>
        <w:tab/>
        <w:t>Das Recht sieht jeden unter 18 als Minderjährigen an; wenn man Alkohol an Minderjährige ausgibt, ist das eine Straftat. Der Wirt dachte aber, es wäre nur eine Ordnungswidrigkeit (man nennt das Verbotsirrtum), er bekam trotzdem keine Strafmilderung und muss jetzt 90 Tagessätze zahlen.</w:t>
      </w:r>
    </w:p>
    <w:p w:rsidR="00081DA8" w:rsidRDefault="00081DA8" w:rsidP="006F7653">
      <w:pPr>
        <w:pStyle w:val="Text"/>
        <w:ind w:firstLine="0"/>
      </w:pPr>
      <w:r>
        <w:t>In beiden Fällen zeigt der Aufsatz</w:t>
      </w:r>
      <w:r w:rsidR="0051698B">
        <w:t>m</w:t>
      </w:r>
      <w:r>
        <w:t>ittelteil eine Struktur, in der im Wechsel mit unauffälligen Passagen solche mit stark erhöhter Frequenz juristischer Fachau</w:t>
      </w:r>
      <w:r>
        <w:t>s</w:t>
      </w:r>
      <w:r>
        <w:t xml:space="preserve">drücke auftreten. </w:t>
      </w:r>
      <w:r w:rsidR="000A1CB0">
        <w:t>Bei e</w:t>
      </w:r>
      <w:r>
        <w:t xml:space="preserve">iner Untersuchung </w:t>
      </w:r>
      <w:r w:rsidR="00A86A80">
        <w:t xml:space="preserve">mit </w:t>
      </w:r>
      <w:r w:rsidR="002D09AC">
        <w:t>Methoden</w:t>
      </w:r>
      <w:r w:rsidR="00A86A80">
        <w:t xml:space="preserve"> der quantitativen Stili</w:t>
      </w:r>
      <w:r w:rsidR="00A86A80">
        <w:t>s</w:t>
      </w:r>
      <w:r w:rsidR="00A86A80">
        <w:t>tik</w:t>
      </w:r>
      <w:r w:rsidR="005D7996">
        <w:fldChar w:fldCharType="begin"/>
      </w:r>
      <w:r w:rsidR="00B643B6">
        <w:instrText xml:space="preserve"> XE "</w:instrText>
      </w:r>
      <w:r w:rsidR="00B643B6" w:rsidRPr="002C39BD">
        <w:instrText>quantitative Stilistik</w:instrText>
      </w:r>
      <w:r w:rsidR="00B643B6">
        <w:instrText xml:space="preserve">" </w:instrText>
      </w:r>
      <w:r w:rsidR="005D7996">
        <w:fldChar w:fldCharType="end"/>
      </w:r>
      <w:r w:rsidR="00A86A80">
        <w:t xml:space="preserve"> </w:t>
      </w:r>
      <w:r>
        <w:t>würde dies auffallen. Ist es jedoch stilistisch relevant?</w:t>
      </w:r>
    </w:p>
    <w:p w:rsidR="00081DA8" w:rsidRDefault="00081DA8" w:rsidP="00081DA8">
      <w:pPr>
        <w:pStyle w:val="Text"/>
      </w:pPr>
      <w:r>
        <w:t xml:space="preserve">Dafür müssen wir wissen, ob </w:t>
      </w:r>
      <w:r w:rsidR="00E533F1">
        <w:t xml:space="preserve">die Gegenthese-Abschnitte </w:t>
      </w:r>
      <w:r>
        <w:t xml:space="preserve">eher wie (1) oder eher wie (2) formuliert </w:t>
      </w:r>
      <w:r w:rsidR="00B87A3C">
        <w:t>sind</w:t>
      </w:r>
      <w:r>
        <w:t>. Im ersten Fall würde man – wenn der Rest des Texts in gewöhnlichem Schülerdeutsch formuliert ist – einen eindeutigen Sti</w:t>
      </w:r>
      <w:r>
        <w:t>l</w:t>
      </w:r>
      <w:r>
        <w:t>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t xml:space="preserve"> erkennen. Es wäre nicht überraschend, wenn die Lehrerin diesen Au</w:t>
      </w:r>
      <w:r>
        <w:t>f</w:t>
      </w:r>
      <w:r>
        <w:t>satz mit den Worten kommentiert: „Du bist ja wirklich immer in den jurist</w:t>
      </w:r>
      <w:r>
        <w:t>i</w:t>
      </w:r>
      <w:r>
        <w:t>schen Stil verfallen, wenn du die Gegenthese geschrieben hast!“ Dagegen würde eine solche Reaktion bei Beispiel (2) unangemessen, ja falsch wirken. Plausibel wäre dagegen ein</w:t>
      </w:r>
      <w:r w:rsidR="004259F6">
        <w:t xml:space="preserve"> Kommentar wie</w:t>
      </w:r>
      <w:r>
        <w:t xml:space="preserve"> „Du hast die juristischen Fachausdrücke </w:t>
      </w:r>
      <w:r w:rsidR="0051698B">
        <w:t>ric</w:t>
      </w:r>
      <w:r w:rsidR="0051698B">
        <w:t>h</w:t>
      </w:r>
      <w:r w:rsidR="0051698B">
        <w:t xml:space="preserve">tig </w:t>
      </w:r>
      <w:r w:rsidR="00207A23">
        <w:t>angewandt</w:t>
      </w:r>
      <w:r w:rsidR="0051698B">
        <w:t xml:space="preserve"> und </w:t>
      </w:r>
      <w:r w:rsidR="00207A23">
        <w:t>erklärt</w:t>
      </w:r>
      <w:r>
        <w:t>.“</w:t>
      </w:r>
    </w:p>
    <w:p w:rsidR="00081DA8" w:rsidRDefault="00081DA8" w:rsidP="00081DA8">
      <w:pPr>
        <w:pStyle w:val="Text"/>
      </w:pPr>
      <w:r>
        <w:t xml:space="preserve">Solche Unterschiede werden häufig nicht beachtet; so schließen </w:t>
      </w:r>
      <w:r w:rsidR="00207A23">
        <w:t xml:space="preserve">Ansätze </w:t>
      </w:r>
      <w:r w:rsidR="00A86A80">
        <w:t xml:space="preserve">der quantitativen Stilistik </w:t>
      </w:r>
      <w:r>
        <w:t xml:space="preserve">einfach aus der Häufung von juristischen Fachausdrücken auf einen (zumindest teilweise, nämlich in der Wortwahl) „juristischen Stil“. Dass dies </w:t>
      </w:r>
      <w:r w:rsidR="004259F6">
        <w:t xml:space="preserve">im alltagssprachlichen Gebrauch von „Stil“ </w:t>
      </w:r>
      <w:r>
        <w:t>nicht der Fall ist, dürfte das Beispiel zeigen. Ein solcher Gebrauch des Wortes wäre auch schwer durchzuha</w:t>
      </w:r>
      <w:r>
        <w:t>l</w:t>
      </w:r>
      <w:r>
        <w:t>ten – wie sollte man dann etwa den Stil unseres Aufsatzes mit dem eines anderen Aufsatzes desselben Verfassers, oder eines anderen Verfassers, vergleichen, s</w:t>
      </w:r>
      <w:r>
        <w:t>o</w:t>
      </w:r>
      <w:r>
        <w:t xml:space="preserve">fern es dort nicht gerade um dieselbe Thematik geht? Texte </w:t>
      </w:r>
      <w:r w:rsidR="0051698B">
        <w:t xml:space="preserve">oder Textabschnitte </w:t>
      </w:r>
      <w:r>
        <w:t>mit Themen aus unterschiedlichen Bereichen, die sich daher in der Wahl des gebrauchten Wortschatzes deutlich unterscheiden, könnten nicht stilistisch mi</w:t>
      </w:r>
      <w:r>
        <w:t>t</w:t>
      </w:r>
      <w:r>
        <w:t>einander vergleichen werden. Genau dies tut jedoch die Lehrerin, wenn sie den Schüler darauf hinweist, dass sein Stil sich zwischen These und Gegenthese ä</w:t>
      </w:r>
      <w:r>
        <w:t>n</w:t>
      </w:r>
      <w:r>
        <w:t>dert.</w:t>
      </w:r>
    </w:p>
    <w:p w:rsidR="00081DA8" w:rsidRDefault="00081DA8" w:rsidP="00081DA8">
      <w:pPr>
        <w:pStyle w:val="Text"/>
      </w:pPr>
      <w:r>
        <w:t xml:space="preserve">Wie kann man den Unterschied zwischen den </w:t>
      </w:r>
      <w:r w:rsidR="0051698B">
        <w:t>B</w:t>
      </w:r>
      <w:r>
        <w:t xml:space="preserve">eispielen </w:t>
      </w:r>
      <w:r w:rsidR="0051698B">
        <w:t xml:space="preserve">(1) und (2) </w:t>
      </w:r>
      <w:r>
        <w:t>erfa</w:t>
      </w:r>
      <w:r>
        <w:t>s</w:t>
      </w:r>
      <w:r>
        <w:t>sen, der diese unterschiedliche Sichtweise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t xml:space="preserve"> vs. kein Stilwechsel g</w:t>
      </w:r>
      <w:r>
        <w:t>e</w:t>
      </w:r>
      <w:r>
        <w:t xml:space="preserve">genüber </w:t>
      </w:r>
      <w:r w:rsidR="0051698B">
        <w:t xml:space="preserve">der </w:t>
      </w:r>
      <w:r>
        <w:t>Normalsprache) rechtfertigt?</w:t>
      </w:r>
      <w:r>
        <w:rPr>
          <w:rStyle w:val="Funotenzeichen"/>
        </w:rPr>
        <w:footnoteReference w:id="66"/>
      </w:r>
      <w:r>
        <w:t xml:space="preserve"> Tatsächlich kann der Schreiber für </w:t>
      </w:r>
      <w:r>
        <w:lastRenderedPageBreak/>
        <w:t>die Fachausdrücke auf keine Alternativen zurückgreifen, sofern er über die juri</w:t>
      </w:r>
      <w:r>
        <w:t>s</w:t>
      </w:r>
      <w:r>
        <w:t xml:space="preserve">tische Sichtweise </w:t>
      </w:r>
      <w:r w:rsidR="006948FC">
        <w:t>präzise Aussagen machen will</w:t>
      </w:r>
      <w:r>
        <w:t>. Er kann nicht für „Minderjähr</w:t>
      </w:r>
      <w:r>
        <w:t>i</w:t>
      </w:r>
      <w:r>
        <w:t>ger“ „Jugendlicher“ einsetzen, für „Ordnungswidrigkeit“ „</w:t>
      </w:r>
      <w:r w:rsidR="006948FC">
        <w:t>kleiner Ausrutscher</w:t>
      </w:r>
      <w:r>
        <w:t xml:space="preserve">“ und für „Tagessätze“ „tägliche Zahlung“, ohne über etwas anderes zu reden. Dies ist das Entscheidende: </w:t>
      </w:r>
      <w:r w:rsidR="004E7FEE">
        <w:t>D</w:t>
      </w:r>
      <w:r>
        <w:t>ie Benutzung der juristischen Fachausdrücke ist hier keine Frage der Auswahl.</w:t>
      </w:r>
    </w:p>
    <w:p w:rsidR="00081DA8" w:rsidRDefault="00081DA8" w:rsidP="00081DA8">
      <w:pPr>
        <w:pStyle w:val="Text"/>
      </w:pPr>
      <w:r>
        <w:t xml:space="preserve">Betrachten wir zur Überprüfung dieser </w:t>
      </w:r>
      <w:r w:rsidR="00AD745C">
        <w:t>These</w:t>
      </w:r>
      <w:r w:rsidR="00413906">
        <w:t xml:space="preserve"> ein anderes Beispiel. Ang</w:t>
      </w:r>
      <w:r w:rsidR="00413906">
        <w:t>e</w:t>
      </w:r>
      <w:r w:rsidR="00413906">
        <w:t>nommen, die Nachbarin einer Familie lehnt sich über den Gartenzaun und schreit:</w:t>
      </w:r>
    </w:p>
    <w:p w:rsidR="00081DA8" w:rsidRDefault="00081DA8" w:rsidP="00081DA8">
      <w:pPr>
        <w:pStyle w:val="ZitatAufzhlung"/>
      </w:pPr>
      <w:r>
        <w:t>(3a)</w:t>
      </w:r>
      <w:r>
        <w:tab/>
        <w:t>„Ihr Minderjähriger hat eine Ordnungswidrigkeit auf meiner Liegenschaft begangen!“</w:t>
      </w:r>
    </w:p>
    <w:p w:rsidR="00081DA8" w:rsidRDefault="00081DA8" w:rsidP="00081DA8">
      <w:pPr>
        <w:pStyle w:val="ZitatAufzhlung"/>
      </w:pPr>
      <w:r>
        <w:t>(3b)</w:t>
      </w:r>
      <w:r>
        <w:tab/>
        <w:t>„Ihr Sohn hat in meinen Garten gepinkelt!“</w:t>
      </w:r>
    </w:p>
    <w:p w:rsidR="00081DA8" w:rsidRDefault="00081DA8" w:rsidP="006F7653">
      <w:pPr>
        <w:pStyle w:val="Text"/>
        <w:ind w:firstLine="0"/>
      </w:pPr>
      <w:r>
        <w:t>Tatsächlich ist die Verwendung der juristischen Fachausdrücke „Minderjähr</w:t>
      </w:r>
      <w:r>
        <w:t>i</w:t>
      </w:r>
      <w:r>
        <w:t>ger“, „Ordnungswidrigkeit“ und „Liegenschaft“ in (3a) ein eindeutiges Sti</w:t>
      </w:r>
      <w:r>
        <w:t>l</w:t>
      </w:r>
      <w:r>
        <w:t xml:space="preserve">merkmal. Dies liegt offensichtlich daran, dass die Nachbarin sie in diesem Fall ohne Weiteres durch andere </w:t>
      </w:r>
      <w:r w:rsidR="00117097">
        <w:t xml:space="preserve">Wörter </w:t>
      </w:r>
      <w:r>
        <w:t>ersetzen könnte, wie (3b) zeigt.</w:t>
      </w:r>
    </w:p>
    <w:p w:rsidR="00081DA8" w:rsidRDefault="00081DA8" w:rsidP="00081DA8">
      <w:pPr>
        <w:pStyle w:val="Text"/>
      </w:pPr>
      <w:r>
        <w:t>Diejenigen Stiltheorien, die Auswahl nicht explizit berücksichtigen, können mit diesen Unterscheidungen nicht umgehen. Oft wird daher die Untersche</w:t>
      </w:r>
      <w:r>
        <w:t>i</w:t>
      </w:r>
      <w:r>
        <w:t>dung zwischen stilistisch relevanten und nicht relevanten Strukturen, die auf 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eines Texts sichtbar sind, intuitiv getroffen: Die Beispiele we</w:t>
      </w:r>
      <w:r>
        <w:t>r</w:t>
      </w:r>
      <w:r>
        <w:t xml:space="preserve">den so gewählt, dass tatsächlich keine nur inhaltlich bedingten Strukturen der Ausdrucksebene berücksichtigt werden. Ebenso häufig wird jedoch – zumindest implizit – angenommen, </w:t>
      </w:r>
      <w:r>
        <w:rPr>
          <w:i/>
          <w:iCs/>
        </w:rPr>
        <w:t xml:space="preserve">alle </w:t>
      </w:r>
      <w:r>
        <w:t>Strukturen der Ausdrucksebene seien stilistisch relevant; auf den Einwand, dann könnten aber keine zwei (vom Inhalt her unte</w:t>
      </w:r>
      <w:r>
        <w:t>r</w:t>
      </w:r>
      <w:r>
        <w:t>schiedlichen) Texte denselben Stil haben, wird entgegnet, dies sei bei ausre</w:t>
      </w:r>
      <w:r>
        <w:t>i</w:t>
      </w:r>
      <w:r>
        <w:t>chend genauer Betrachtung auch nicht der Fall.</w:t>
      </w:r>
      <w:r w:rsidR="00164BDA">
        <w:rPr>
          <w:rStyle w:val="Funotenzeichen"/>
        </w:rPr>
        <w:footnoteReference w:id="67"/>
      </w:r>
    </w:p>
    <w:p w:rsidR="001A35C6" w:rsidRDefault="00081DA8" w:rsidP="00081DA8">
      <w:pPr>
        <w:pStyle w:val="Text"/>
      </w:pPr>
      <w:r>
        <w:lastRenderedPageBreak/>
        <w:t>Damit wird jedoch eine der interessantest</w:t>
      </w:r>
      <w:r w:rsidR="00CD485F">
        <w:t>en Eigenschaften des Phänomens Stil</w:t>
      </w:r>
      <w:r w:rsidR="00E035E3" w:rsidRPr="00E035E3">
        <w:t xml:space="preserve"> </w:t>
      </w:r>
      <w:r w:rsidR="00E035E3">
        <w:t>geleugnet</w:t>
      </w:r>
      <w:r>
        <w:t xml:space="preserve">, nämlich seine </w:t>
      </w:r>
      <w:r>
        <w:rPr>
          <w:i/>
        </w:rPr>
        <w:t xml:space="preserve">Wiedererkennungs- und Zuordnungsfunktion </w:t>
      </w:r>
      <w:r w:rsidR="00E035E3">
        <w:t xml:space="preserve">(vgl. die Abschnitte </w:t>
      </w:r>
      <w:r w:rsidR="00F714AB">
        <w:fldChar w:fldCharType="begin"/>
      </w:r>
      <w:r w:rsidR="00F714AB">
        <w:instrText xml:space="preserve"> REF _Ref265831830 \r \h </w:instrText>
      </w:r>
      <w:r w:rsidR="00F714AB">
        <w:fldChar w:fldCharType="separate"/>
      </w:r>
      <w:r w:rsidR="00F714AB">
        <w:t>3</w:t>
      </w:r>
      <w:r w:rsidR="00F714AB">
        <w:t>.</w:t>
      </w:r>
      <w:r w:rsidR="00F714AB">
        <w:t>3</w:t>
      </w:r>
      <w:r w:rsidR="00F714AB">
        <w:fldChar w:fldCharType="end"/>
      </w:r>
      <w:r w:rsidR="00F714AB">
        <w:t xml:space="preserve"> und </w:t>
      </w:r>
      <w:r w:rsidR="005D7996">
        <w:fldChar w:fldCharType="begin"/>
      </w:r>
      <w:r w:rsidR="00E035E3">
        <w:instrText xml:space="preserve"> REF _Ref266098594 \r \h </w:instrText>
      </w:r>
      <w:r w:rsidR="005D7996">
        <w:fldChar w:fldCharType="separate"/>
      </w:r>
      <w:r w:rsidR="001231D3">
        <w:t>3.</w:t>
      </w:r>
      <w:r w:rsidR="001231D3">
        <w:t>8</w:t>
      </w:r>
      <w:r w:rsidR="005D7996">
        <w:fldChar w:fldCharType="end"/>
      </w:r>
      <w:r w:rsidR="00E035E3">
        <w:t>). D</w:t>
      </w:r>
      <w:r>
        <w:t>iese wird deutlich, wenn ein Literaturkenner ein ihm unbekanntes Buch blind aus dem Regal zieht, irgendwo aufschlägt und schon nach wenigen Sätzen den Autor des Buches erraten kann.</w:t>
      </w:r>
      <w:r w:rsidR="006639F2">
        <w:rPr>
          <w:rStyle w:val="Funotenzeichen"/>
        </w:rPr>
        <w:footnoteReference w:id="68"/>
      </w:r>
      <w:r>
        <w:t xml:space="preserve"> Auf ähnliche Weise basi</w:t>
      </w:r>
      <w:r>
        <w:t>e</w:t>
      </w:r>
      <w:r>
        <w:t>ren Gutachten über ein Kunstwerk, dessen Zuordnung fraglich ist, nicht zuletzt auch auf Stiluntersuchungen, und zwar auch dann, wenn der Inhalt des Bildes (die dargestellte Szene) im bisher bekannten Werk des Künstlers noch nicht vorkommt. Die zahlreichen aus dem neuartigen Inhalt sich ergebenden Unterschiede in 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werden hier ignoriert. Vielmehr wird nach bestimmten Merkmalen Ausschau gehalten (Pinselstrich; Darstellung des Fa</w:t>
      </w:r>
      <w:r>
        <w:t>l</w:t>
      </w:r>
      <w:r>
        <w:t xml:space="preserve">tenwurfs; Komposition u.ä.), für die es verschiedene Ausführungsweisen gibt, von denen einzelne für bestimmte </w:t>
      </w:r>
      <w:r w:rsidR="001A35C6">
        <w:t>Künstler charakteristisch sind.</w:t>
      </w:r>
    </w:p>
    <w:p w:rsidR="00FB62C0" w:rsidRDefault="001A35C6" w:rsidP="00081DA8">
      <w:pPr>
        <w:pStyle w:val="Text"/>
      </w:pPr>
      <w:r>
        <w:t xml:space="preserve">Wir haben bislang nur über Stil bei Zeichengebrauch gesprochen; doch auch bei Verhalten oder bei Artefakten, bei denen kein Zeichengebrauch vorliegt, </w:t>
      </w:r>
      <w:r w:rsidR="00AD5357">
        <w:t xml:space="preserve">gibt es Aspekte, die nicht notwendig für die Realisierung des Verhaltens oder des Artefakts sind und die dennoch nicht zum Stil gehören. In allen drei Bereichen (Verhalten, Artefakte und Texte) gibt es </w:t>
      </w:r>
      <w:r w:rsidR="00AD5357" w:rsidRPr="005B77A2">
        <w:rPr>
          <w:i/>
        </w:rPr>
        <w:t>Kontextbedingungen</w:t>
      </w:r>
      <w:r w:rsidR="005D7996">
        <w:rPr>
          <w:i/>
        </w:rPr>
        <w:fldChar w:fldCharType="begin"/>
      </w:r>
      <w:r w:rsidR="00D92A29">
        <w:instrText xml:space="preserve"> XE "</w:instrText>
      </w:r>
      <w:r w:rsidR="00D92A29" w:rsidRPr="00280AB6">
        <w:instrText>Kontextbedingungen</w:instrText>
      </w:r>
      <w:r w:rsidR="00D92A29">
        <w:instrText xml:space="preserve">" </w:instrText>
      </w:r>
      <w:r w:rsidR="005D7996">
        <w:rPr>
          <w:i/>
        </w:rPr>
        <w:fldChar w:fldCharType="end"/>
      </w:r>
      <w:r w:rsidR="00AD5357">
        <w:t>, die Einfluss auf die konkrete Ausführung nehmen. Beispielsweise wird sich die Fahrweise der meisten Autofahrer bei Regen verändern; trotzdem würde man nicht von einem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rsidR="00AD5357">
        <w:t xml:space="preserve"> sprechen.</w:t>
      </w:r>
      <w:r w:rsidR="00491479">
        <w:t xml:space="preserve"> Vielmehr ergibt sich die Veränderung daraus, dass bei R</w:t>
      </w:r>
      <w:r w:rsidR="00491479">
        <w:t>e</w:t>
      </w:r>
      <w:r w:rsidR="00491479">
        <w:t>gen</w:t>
      </w:r>
      <w:r w:rsidR="00B31485">
        <w:t xml:space="preserve"> anders gefahren werden muss.</w:t>
      </w:r>
    </w:p>
    <w:p w:rsidR="00081DA8" w:rsidRDefault="00AD5357" w:rsidP="00081DA8">
      <w:pPr>
        <w:pStyle w:val="Text"/>
      </w:pPr>
      <w:r>
        <w:t xml:space="preserve">Bei Artefakten und Texten gibt es zusätzlich </w:t>
      </w:r>
      <w:r w:rsidRPr="005B77A2">
        <w:rPr>
          <w:i/>
        </w:rPr>
        <w:t>funktionale Bedingungen</w:t>
      </w:r>
      <w:r w:rsidR="005D7996">
        <w:rPr>
          <w:i/>
        </w:rPr>
        <w:fldChar w:fldCharType="begin"/>
      </w:r>
      <w:r w:rsidR="00D92A29">
        <w:instrText xml:space="preserve"> XE "</w:instrText>
      </w:r>
      <w:r w:rsidR="00D92A29" w:rsidRPr="00DB4D56">
        <w:instrText>funktionale Bedingungen</w:instrText>
      </w:r>
      <w:r w:rsidR="00D92A29">
        <w:instrText xml:space="preserve">" </w:instrText>
      </w:r>
      <w:r w:rsidR="005D7996">
        <w:rPr>
          <w:i/>
        </w:rPr>
        <w:fldChar w:fldCharType="end"/>
      </w:r>
      <w:r>
        <w:t>: So sieht ein Bürogebäude anders aus als ein Wohngebäude; bestimmte Veränderu</w:t>
      </w:r>
      <w:r>
        <w:t>n</w:t>
      </w:r>
      <w:r>
        <w:t>gen, die man an ansonsten ähnlichen Gebäuden feststellen wird – etwa das Fe</w:t>
      </w:r>
      <w:r>
        <w:t>h</w:t>
      </w:r>
      <w:r>
        <w:t>len von Balkonen am Bürogebäude –, sind hier auf die andere Funktion zurüc</w:t>
      </w:r>
      <w:r>
        <w:t>k</w:t>
      </w:r>
      <w:r>
        <w:t>zuführen, sie müssen beim stilistischen Vergleich zweier Gebäude mit unte</w:t>
      </w:r>
      <w:r>
        <w:t>r</w:t>
      </w:r>
      <w:r>
        <w:t xml:space="preserve">schiedlichen Funktionen herausgerechnet werden. </w:t>
      </w:r>
      <w:r w:rsidR="00081DA8">
        <w:t>So kann ein geschulter Archi</w:t>
      </w:r>
      <w:r w:rsidR="00C34BB7">
        <w:softHyphen/>
      </w:r>
      <w:r w:rsidR="00081DA8">
        <w:t>tektur</w:t>
      </w:r>
      <w:r w:rsidR="00C34BB7">
        <w:softHyphen/>
      </w:r>
      <w:r w:rsidR="00081DA8">
        <w:t>kenner an einem neuen Gebäude häufig erkennen, von wem es entworfen wurde, auch wenn das Haus einem anderen Typ angehört als die bisherigen di</w:t>
      </w:r>
      <w:r w:rsidR="00081DA8">
        <w:t>e</w:t>
      </w:r>
      <w:r w:rsidR="00081DA8">
        <w:t xml:space="preserve">ses Architekten (z.B. sein/ihr erstes </w:t>
      </w:r>
      <w:r>
        <w:t xml:space="preserve">Bürogebäude oder </w:t>
      </w:r>
      <w:r w:rsidR="00081DA8">
        <w:t xml:space="preserve">Museum ist). Auch hier werden </w:t>
      </w:r>
      <w:r>
        <w:t>jene Merkmale der Gestaltung</w:t>
      </w:r>
      <w:r w:rsidR="00081DA8">
        <w:t>, die sich in diesem Fall aus der Funktion des Gebäudes ergeben, ignoriert.</w:t>
      </w:r>
    </w:p>
    <w:p w:rsidR="00AD5357" w:rsidRDefault="00AD5357" w:rsidP="00081DA8">
      <w:pPr>
        <w:pStyle w:val="Text"/>
      </w:pPr>
      <w:r>
        <w:t>Auch bei Texten gibt es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t xml:space="preserve"> und funktionale Bedingu</w:t>
      </w:r>
      <w:r>
        <w:t>n</w:t>
      </w:r>
      <w:r>
        <w:t>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t xml:space="preserve">: So ist beispielsweise die Bedienungsanleitung für ein Automodell </w:t>
      </w:r>
      <w:r w:rsidR="005B77A2">
        <w:t>bereits</w:t>
      </w:r>
      <w:r>
        <w:t xml:space="preserve"> </w:t>
      </w:r>
      <w:r>
        <w:lastRenderedPageBreak/>
        <w:t xml:space="preserve">aufgrund ihrer Funktion </w:t>
      </w:r>
      <w:r w:rsidR="005B77A2">
        <w:t xml:space="preserve">notwendigerweise </w:t>
      </w:r>
      <w:r>
        <w:t xml:space="preserve">anders geschrieben als ein Report über dieses Automodell in einer Autozeitschrift. Hier </w:t>
      </w:r>
      <w:r w:rsidR="00AB40A3">
        <w:t xml:space="preserve">muss allerdings darauf geachtet werden, dass </w:t>
      </w:r>
      <w:r w:rsidR="005B77A2">
        <w:t>funktionale Bedingungen nur jene Eigenschaften besti</w:t>
      </w:r>
      <w:r w:rsidR="005B77A2">
        <w:t>m</w:t>
      </w:r>
      <w:r w:rsidR="005B77A2">
        <w:t xml:space="preserve">men, die </w:t>
      </w:r>
      <w:r w:rsidR="005B77A2" w:rsidRPr="00AB40A3">
        <w:rPr>
          <w:i/>
        </w:rPr>
        <w:t>unverzichtbar</w:t>
      </w:r>
      <w:r w:rsidR="005B77A2">
        <w:t xml:space="preserve"> für die Funktion sind: </w:t>
      </w:r>
      <w:r w:rsidR="00AB40A3">
        <w:t xml:space="preserve">Bei Bedienungsanleitungen ist dies etwa die </w:t>
      </w:r>
      <w:r w:rsidR="005B77A2">
        <w:t xml:space="preserve">Eigenschaft, die Bedienung genau zu beschreiben, aufgeteilt </w:t>
      </w:r>
      <w:r w:rsidR="00AB40A3">
        <w:t>nach ei</w:t>
      </w:r>
      <w:r w:rsidR="00AB40A3">
        <w:t>n</w:t>
      </w:r>
      <w:r w:rsidR="00AB40A3">
        <w:t>zelnen Funktionen</w:t>
      </w:r>
      <w:r w:rsidR="005B77A2">
        <w:t xml:space="preserve"> und ohne Bezug auf Fachliteratur oder fachliches Spezialwi</w:t>
      </w:r>
      <w:r w:rsidR="005B77A2">
        <w:t>s</w:t>
      </w:r>
      <w:r w:rsidR="005B77A2">
        <w:t>sen (wie es bei einer technischen Dokumentation der Fall wäre)</w:t>
      </w:r>
      <w:r w:rsidR="00AB40A3">
        <w:t xml:space="preserve">. </w:t>
      </w:r>
      <w:r>
        <w:t xml:space="preserve">Innerhalb </w:t>
      </w:r>
      <w:r w:rsidR="005B77A2">
        <w:t>di</w:t>
      </w:r>
      <w:r w:rsidR="005B77A2">
        <w:t>e</w:t>
      </w:r>
      <w:r w:rsidR="005B77A2">
        <w:t xml:space="preserve">ser durch </w:t>
      </w:r>
      <w:r>
        <w:t>funktional</w:t>
      </w:r>
      <w:r w:rsidR="005B77A2">
        <w:t>e Bedingungen</w:t>
      </w:r>
      <w:r>
        <w:t xml:space="preserve"> gesetzten Grenzen gibt es immer noch stili</w:t>
      </w:r>
      <w:r>
        <w:t>s</w:t>
      </w:r>
      <w:r>
        <w:t>tische Auswahlmöglichkeiten</w:t>
      </w:r>
      <w:r w:rsidR="005B77A2">
        <w:t>, die auch Auswirkungen auf die Funktion haben können</w:t>
      </w:r>
      <w:r>
        <w:t>: So sind heute viele Bedienungsanleitungen in Form von Schritt-für-Schritt-Anleitungen anstel</w:t>
      </w:r>
      <w:r w:rsidR="00AB40A3">
        <w:t>le von Fließtexten geschrieben, obwohl ihre Funktion beides zulassen würde</w:t>
      </w:r>
      <w:r w:rsidR="005B77A2">
        <w:t>.</w:t>
      </w:r>
      <w:r w:rsidR="00AB40A3">
        <w:rPr>
          <w:rStyle w:val="Funotenzeichen"/>
        </w:rPr>
        <w:footnoteReference w:id="69"/>
      </w:r>
    </w:p>
    <w:p w:rsidR="0096558D" w:rsidRDefault="0096558D" w:rsidP="00081DA8">
      <w:pPr>
        <w:pStyle w:val="Text"/>
      </w:pPr>
      <w:r>
        <w:t xml:space="preserve">Zusätzlich gibt es bei </w:t>
      </w:r>
      <w:r w:rsidR="00FB62C0">
        <w:t xml:space="preserve">Texten </w:t>
      </w:r>
      <w:r w:rsidRPr="0096558D">
        <w:rPr>
          <w:i/>
        </w:rPr>
        <w:t>inhaltliche Bedingungen</w:t>
      </w:r>
      <w:r w:rsidR="005D7996">
        <w:rPr>
          <w:i/>
        </w:rPr>
        <w:fldChar w:fldCharType="begin"/>
      </w:r>
      <w:r w:rsidR="00D92A29">
        <w:instrText xml:space="preserve"> XE "</w:instrText>
      </w:r>
      <w:r w:rsidR="00D92A29" w:rsidRPr="007605F5">
        <w:instrText>inhaltliche Bedingungen</w:instrText>
      </w:r>
      <w:r w:rsidR="00D92A29">
        <w:instrText xml:space="preserve">" </w:instrText>
      </w:r>
      <w:r w:rsidR="005D7996">
        <w:rPr>
          <w:i/>
        </w:rPr>
        <w:fldChar w:fldCharType="end"/>
      </w:r>
      <w:r>
        <w:t>, die sich daraus erg</w:t>
      </w:r>
      <w:r>
        <w:t>e</w:t>
      </w:r>
      <w:r>
        <w:t>ben, dass ein bestimmter Inhalt ausgedrückt werden soll.</w:t>
      </w:r>
      <w:r w:rsidR="00FB62C0">
        <w:t xml:space="preserve"> Inhaltliche Bedingu</w:t>
      </w:r>
      <w:r w:rsidR="00FB62C0">
        <w:t>n</w:t>
      </w:r>
      <w:r w:rsidR="00FB62C0">
        <w:t xml:space="preserve">gen </w:t>
      </w:r>
      <w:r w:rsidR="008D249D">
        <w:t xml:space="preserve">bestimmen den </w:t>
      </w:r>
      <w:r w:rsidR="00FB62C0">
        <w:t xml:space="preserve">Inhalt </w:t>
      </w:r>
      <w:r w:rsidR="008D249D">
        <w:t>eines</w:t>
      </w:r>
      <w:r w:rsidR="00FB62C0">
        <w:t xml:space="preserve"> Texts </w:t>
      </w:r>
      <w:r w:rsidR="008D249D">
        <w:t>nicht vollständig</w:t>
      </w:r>
      <w:r w:rsidR="00FB62C0">
        <w:t xml:space="preserve">, </w:t>
      </w:r>
      <w:r w:rsidR="008D249D">
        <w:t>sie beinhalten nur jene Festlegungen</w:t>
      </w:r>
      <w:r w:rsidR="00FB62C0">
        <w:t>, die vor der stilistischen Auswahl bestehen und diese einschränken.</w:t>
      </w:r>
      <w:r>
        <w:t xml:space="preserve"> </w:t>
      </w:r>
      <w:r w:rsidR="00FB62C0">
        <w:t>(Kontextbedingungen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FB62C0">
        <w:t>, funktionale und inhaltliche Bedingungen werden in A</w:t>
      </w:r>
      <w:r w:rsidR="00FB62C0">
        <w:t>b</w:t>
      </w:r>
      <w:r w:rsidR="00FB62C0">
        <w:t xml:space="preserve">schnitt </w:t>
      </w:r>
      <w:r w:rsidR="005D7996">
        <w:fldChar w:fldCharType="begin"/>
      </w:r>
      <w:r w:rsidR="00FB62C0">
        <w:instrText xml:space="preserve"> REF _Ref262119559 \r \h </w:instrText>
      </w:r>
      <w:r w:rsidR="005D7996">
        <w:fldChar w:fldCharType="separate"/>
      </w:r>
      <w:r w:rsidR="001231D3">
        <w:t>2.6</w:t>
      </w:r>
      <w:r w:rsidR="005D7996">
        <w:fldChar w:fldCharType="end"/>
      </w:r>
      <w:r w:rsidR="00FB62C0">
        <w:t xml:space="preserve"> genauer erläutert.)</w:t>
      </w:r>
    </w:p>
    <w:p w:rsidR="00081DA8" w:rsidRDefault="00D74B71" w:rsidP="00081DA8">
      <w:pPr>
        <w:pStyle w:val="Titel2"/>
      </w:pPr>
      <w:bookmarkStart w:id="33" w:name="_Ref261956675"/>
      <w:bookmarkStart w:id="34" w:name="_Ref261962976"/>
      <w:bookmarkStart w:id="35" w:name="_Ref264378576"/>
      <w:bookmarkStart w:id="36" w:name="_Toc325456696"/>
      <w:bookmarkStart w:id="37" w:name="Bildstil1"/>
      <w:r>
        <w:t>Verallgemeinerung</w:t>
      </w:r>
      <w:bookmarkEnd w:id="33"/>
      <w:bookmarkEnd w:id="34"/>
      <w:r w:rsidR="00C05D9D">
        <w:t xml:space="preserve"> auf Stil außerhalb von Zeichengebrauch</w:t>
      </w:r>
      <w:bookmarkEnd w:id="35"/>
      <w:bookmarkEnd w:id="36"/>
    </w:p>
    <w:p w:rsidR="00081DA8" w:rsidRDefault="005D7996" w:rsidP="000E2DEC">
      <w:pPr>
        <w:pStyle w:val="Text"/>
        <w:ind w:firstLine="0"/>
      </w:pPr>
      <w:r>
        <w:fldChar w:fldCharType="begin"/>
      </w:r>
      <w:r w:rsidR="00193047">
        <w:instrText xml:space="preserve"> XE "</w:instrText>
      </w:r>
      <w:r w:rsidR="00193047" w:rsidRPr="001D62C6">
        <w:instrText>Bildstil</w:instrText>
      </w:r>
      <w:r w:rsidR="00193047">
        <w:instrText xml:space="preserve">" \r "Bildstil1" </w:instrText>
      </w:r>
      <w:r>
        <w:fldChar w:fldCharType="end"/>
      </w:r>
      <w:r>
        <w:fldChar w:fldCharType="begin"/>
      </w:r>
      <w:r w:rsidR="00193047">
        <w:instrText xml:space="preserve"> XE "Baustil" \r "Bildstil1" </w:instrText>
      </w:r>
      <w:r>
        <w:fldChar w:fldCharType="end"/>
      </w:r>
      <w:r>
        <w:fldChar w:fldCharType="begin"/>
      </w:r>
      <w:r w:rsidR="00193047">
        <w:instrText xml:space="preserve"> XE "Fahrstil" \r "Bildstil1" </w:instrText>
      </w:r>
      <w:r>
        <w:fldChar w:fldCharType="end"/>
      </w:r>
      <w:r w:rsidR="00081DA8">
        <w:t xml:space="preserve">Betrachten wir noch zwei Beispiele aus anderen Stilbereichen, um zu zeigen, dass das </w:t>
      </w:r>
      <w:r w:rsidR="00F126D9">
        <w:t xml:space="preserve">im letzten Abschnitt für </w:t>
      </w:r>
      <w:r w:rsidR="00081DA8">
        <w:t>sprachliche Texte gezeigte allgemein gilt.</w:t>
      </w:r>
      <w:r w:rsidR="003143E5">
        <w:t xml:space="preserve"> Dabei können wir </w:t>
      </w:r>
      <w:r w:rsidR="00D054D0">
        <w:t>die Bezeichnung „</w:t>
      </w:r>
      <w:r w:rsidR="003143E5">
        <w:t>Ausdrucksebene</w:t>
      </w:r>
      <w:r>
        <w:fldChar w:fldCharType="begin"/>
      </w:r>
      <w:r w:rsidR="004E4C88">
        <w:instrText xml:space="preserve"> XE "</w:instrText>
      </w:r>
      <w:r w:rsidR="004E4C88" w:rsidRPr="00DA0E29">
        <w:instrText>Ausdrucksebene</w:instrText>
      </w:r>
      <w:r w:rsidR="004E4C88">
        <w:instrText xml:space="preserve">" </w:instrText>
      </w:r>
      <w:r>
        <w:fldChar w:fldCharType="end"/>
      </w:r>
      <w:r w:rsidR="00D054D0">
        <w:t>“</w:t>
      </w:r>
      <w:r w:rsidR="003143E5">
        <w:t xml:space="preserve">, </w:t>
      </w:r>
      <w:r w:rsidR="00D054D0">
        <w:t xml:space="preserve">die </w:t>
      </w:r>
      <w:r w:rsidR="003143E5">
        <w:t xml:space="preserve">uns in der bisherigen, auf Texte bezogenen Analyse gute Dienste geleistet hat, nicht mehr verwenden, da es nur bei </w:t>
      </w:r>
      <w:r w:rsidR="005B322E">
        <w:t>Zeichengebrauch</w:t>
      </w:r>
      <w:r w:rsidR="003143E5">
        <w:t xml:space="preserve"> eine „Ausdrucksebene“ gibt; wir ersetzen </w:t>
      </w:r>
      <w:r w:rsidR="00D054D0">
        <w:t xml:space="preserve">sie </w:t>
      </w:r>
      <w:r w:rsidR="003143E5">
        <w:t>daher durch „</w:t>
      </w:r>
      <w:r w:rsidR="009D1D25">
        <w:t>Ausführungsweise</w:t>
      </w:r>
      <w:r w:rsidR="003143E5">
        <w:t>“,</w:t>
      </w:r>
      <w:r w:rsidR="00F562D2">
        <w:rPr>
          <w:rStyle w:val="Funotenzeichen"/>
        </w:rPr>
        <w:footnoteReference w:id="70"/>
      </w:r>
      <w:r w:rsidR="003143E5">
        <w:t xml:space="preserve"> </w:t>
      </w:r>
      <w:r w:rsidR="009D1D25">
        <w:t>worunter bei Verhalten, Artefakten</w:t>
      </w:r>
      <w:r w:rsidR="003143E5">
        <w:t xml:space="preserve"> </w:t>
      </w:r>
      <w:r w:rsidR="009D1D25">
        <w:t xml:space="preserve">und Texten </w:t>
      </w:r>
      <w:r w:rsidR="009D1D25">
        <w:lastRenderedPageBreak/>
        <w:t xml:space="preserve">jene Aspekte verstanden werden sollen, die nicht „Ziel“, </w:t>
      </w:r>
      <w:r w:rsidR="00FF3868">
        <w:t>„</w:t>
      </w:r>
      <w:r w:rsidR="003143E5">
        <w:t>Inhalt“</w:t>
      </w:r>
      <w:r w:rsidR="009D1D25">
        <w:t xml:space="preserve"> oder </w:t>
      </w:r>
      <w:r w:rsidR="003143E5">
        <w:t>„Funkt</w:t>
      </w:r>
      <w:r w:rsidR="003143E5">
        <w:t>i</w:t>
      </w:r>
      <w:r w:rsidR="003143E5">
        <w:t xml:space="preserve">on“ </w:t>
      </w:r>
      <w:r w:rsidR="009D1D25">
        <w:t>sind.</w:t>
      </w:r>
      <w:r w:rsidR="009D1D25">
        <w:rPr>
          <w:rStyle w:val="Funotenzeichen"/>
        </w:rPr>
        <w:footnoteReference w:id="71"/>
      </w:r>
    </w:p>
    <w:p w:rsidR="00081DA8" w:rsidRDefault="00081DA8" w:rsidP="00081DA8">
      <w:pPr>
        <w:pStyle w:val="Text"/>
      </w:pPr>
      <w:r>
        <w:t>Beispiel 1: Wir gehen um das Theater einer bekannten Architektin herum. Hinter dem Bühnenturm bemerkt unser Begleiter: „Hier ändert sich der Stil! Es gibt plötzlich keine Fenster mehr, nur noch ein paar kleine ganz oben. Warum benutzt sie zwei verschiedene Stile an einem Gebäude?“ In diesem Fall würde es wohl niemandem (nicht einmal einem Stiltheoretiker) einfallen, dieser Einschä</w:t>
      </w:r>
      <w:r>
        <w:t>t</w:t>
      </w:r>
      <w:r>
        <w:t xml:space="preserve">zung zuzustimmen. Vermutlich würde die Reaktion einhellig darin bestehen, den Begleiter über die spezielle Aufgabe des Bühnenturms aufzuklären und den Mangel an Fenstern somit </w:t>
      </w:r>
      <w:r w:rsidRPr="00F126D9">
        <w:rPr>
          <w:i/>
        </w:rPr>
        <w:t>funktional</w:t>
      </w:r>
      <w:r>
        <w:t xml:space="preserve"> zu erklären.</w:t>
      </w:r>
    </w:p>
    <w:p w:rsidR="00EB7DB0" w:rsidRDefault="00EB7DB0" w:rsidP="00EB7DB0">
      <w:pPr>
        <w:pStyle w:val="Text"/>
      </w:pPr>
      <w:r>
        <w:t xml:space="preserve">Beispiel 2: </w:t>
      </w:r>
      <w:r w:rsidR="009833F4">
        <w:t xml:space="preserve">Auf dem Rückweg </w:t>
      </w:r>
      <w:r>
        <w:t>fahren wir bei jemandem im Auto</w:t>
      </w:r>
      <w:r w:rsidR="009833F4">
        <w:t xml:space="preserve"> mit</w:t>
      </w:r>
      <w:r>
        <w:t>, der uns in eine</w:t>
      </w:r>
      <w:r w:rsidR="00C43F14">
        <w:t>r engen Altstadt</w:t>
      </w:r>
      <w:r>
        <w:t xml:space="preserve"> auf dem </w:t>
      </w:r>
      <w:r w:rsidR="00A4698F">
        <w:t xml:space="preserve">direktesten </w:t>
      </w:r>
      <w:r>
        <w:t xml:space="preserve">Weg (der leider immer noch </w:t>
      </w:r>
      <w:r w:rsidR="00FB4983">
        <w:t>sehr kurvig ist</w:t>
      </w:r>
      <w:r>
        <w:t xml:space="preserve">) zum gewünschten </w:t>
      </w:r>
      <w:r w:rsidRPr="002F5CA7">
        <w:rPr>
          <w:i/>
        </w:rPr>
        <w:t>Ziel</w:t>
      </w:r>
      <w:r>
        <w:t xml:space="preserve"> bringt. Unser Begleiter, der wie wir die Ör</w:t>
      </w:r>
      <w:r>
        <w:t>t</w:t>
      </w:r>
      <w:r>
        <w:t xml:space="preserve">lichkeiten </w:t>
      </w:r>
      <w:r w:rsidR="002C5563">
        <w:t xml:space="preserve">durchaus </w:t>
      </w:r>
      <w:r>
        <w:t xml:space="preserve">kennt, flüstert uns ins Ohr: „Ich finde, unser Chauffeur fährt ziemlich oft um Kurven! Ein zweifelhafter Fahrstil …“ </w:t>
      </w:r>
      <w:r w:rsidR="002C5563">
        <w:t xml:space="preserve">Würden wir dem zustimmen? </w:t>
      </w:r>
      <w:r>
        <w:t xml:space="preserve">Vermutlich </w:t>
      </w:r>
      <w:r w:rsidR="002C5563">
        <w:t xml:space="preserve">würden wir </w:t>
      </w:r>
      <w:r w:rsidR="00215D6E">
        <w:t xml:space="preserve">eher </w:t>
      </w:r>
      <w:r>
        <w:t>an seinem Verstand zweifeln und ho</w:t>
      </w:r>
      <w:r>
        <w:t>f</w:t>
      </w:r>
      <w:r>
        <w:t xml:space="preserve">fen, dass er nicht bei der nächsten Kurve ins Lenkrad greift, um den </w:t>
      </w:r>
      <w:r w:rsidR="00495746">
        <w:t>„</w:t>
      </w:r>
      <w:r>
        <w:t>Fahrstil</w:t>
      </w:r>
      <w:r w:rsidR="00495746">
        <w:t>“</w:t>
      </w:r>
      <w:r>
        <w:t xml:space="preserve"> zu verbessern …</w:t>
      </w:r>
    </w:p>
    <w:p w:rsidR="00062239" w:rsidRDefault="00EB7DB0" w:rsidP="00081DA8">
      <w:pPr>
        <w:pStyle w:val="Text"/>
      </w:pPr>
      <w:r>
        <w:t>Beispiel 3</w:t>
      </w:r>
      <w:r w:rsidR="00081DA8">
        <w:t>: Wir befinden uns in einer Einzelausstellung eines Malers. Unser Begleiter – wir sind ihn immer noch nicht losgeworden – wendet sich einigen Bildern zu, deren Sujets Nachtszenen sind, und bemerkt: „Merkwürdig, hier hat der Künstler einen anderen Stil! Vorher verwendete er vorwiegend helle Farben; hier verwendet er vorwiegend dunkle Farben. Offensichtlich wollte er stilistisch mal was anderes ausprobieren!“ Würden wir unserem Begleiter erklären, dass man auf Bildern, die eine nächtliche Szene zeigen, dunkle Farben zu erwarten hat? Dass also die Wahl der dunkleren Farbtöne – die bei einem abstrakten Maler durchaus auf einen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rsidR="00081DA8">
        <w:t xml:space="preserve"> hinweisen könnte und auch bei Darstellung</w:t>
      </w:r>
      <w:r w:rsidR="00F126D9">
        <w:t>en</w:t>
      </w:r>
      <w:r w:rsidR="00081DA8">
        <w:t xml:space="preserve"> </w:t>
      </w:r>
      <w:r w:rsidR="00F126D9">
        <w:t xml:space="preserve">derselben Szene ein </w:t>
      </w:r>
      <w:r w:rsidR="00081DA8">
        <w:t>stilistisch relevant</w:t>
      </w:r>
      <w:r w:rsidR="00F126D9">
        <w:t>er Unterschied</w:t>
      </w:r>
      <w:r w:rsidR="00081DA8">
        <w:t xml:space="preserve"> wäre – hier eine </w:t>
      </w:r>
      <w:r w:rsidR="0079259F" w:rsidRPr="00F126D9">
        <w:rPr>
          <w:i/>
        </w:rPr>
        <w:t>inhaltlich</w:t>
      </w:r>
      <w:r w:rsidR="0079259F">
        <w:t xml:space="preserve"> </w:t>
      </w:r>
      <w:r w:rsidR="003143E5">
        <w:t>bedingte Regelmäßigkeit de</w:t>
      </w:r>
      <w:r w:rsidR="00F705D2">
        <w:t>r Ausführungsweise</w:t>
      </w:r>
      <w:r w:rsidR="003143E5">
        <w:t xml:space="preserve"> </w:t>
      </w:r>
      <w:r w:rsidR="00081DA8">
        <w:t>ist?</w:t>
      </w:r>
      <w:r w:rsidR="00E6426A">
        <w:rPr>
          <w:rStyle w:val="Funotenzeichen"/>
        </w:rPr>
        <w:footnoteReference w:id="72"/>
      </w:r>
      <w:r w:rsidR="00081DA8">
        <w:t xml:space="preserve"> </w:t>
      </w:r>
      <w:r w:rsidR="00A955B8">
        <w:t xml:space="preserve">Vermutlich würden wir </w:t>
      </w:r>
      <w:r w:rsidR="00A955B8">
        <w:lastRenderedPageBreak/>
        <w:t xml:space="preserve">darauf verzichten und </w:t>
      </w:r>
      <w:r w:rsidR="004C4E34">
        <w:t>das nächste Mal lieber mit jemand anderem ins Museum gehen!</w:t>
      </w:r>
    </w:p>
    <w:p w:rsidR="00081DA8" w:rsidRDefault="00081DA8" w:rsidP="000E2DEC">
      <w:pPr>
        <w:pStyle w:val="Text"/>
        <w:spacing w:before="240"/>
        <w:ind w:firstLine="0"/>
      </w:pPr>
      <w:r>
        <w:t xml:space="preserve">Die </w:t>
      </w:r>
      <w:r w:rsidR="00E14677">
        <w:t xml:space="preserve">drei </w:t>
      </w:r>
      <w:r>
        <w:t>Beispiele zeigen, mit welcher Selbstverständlichkeit wir den offenbar s</w:t>
      </w:r>
      <w:r w:rsidR="00CD485F">
        <w:t>chwer zu definierenden Begriff ‚Stil‘</w:t>
      </w:r>
      <w:r>
        <w:t xml:space="preserve"> vortheoretisch kohärent anwenden. Über Probleme, die in der stiltheoretischen Literatur </w:t>
      </w:r>
      <w:r w:rsidR="00E14677">
        <w:t>bis heute nicht geklärt wurden</w:t>
      </w:r>
      <w:r>
        <w:t>, streiten wir uns im Alltag überhaupt nicht, so offensichtlich ist für uns die L</w:t>
      </w:r>
      <w:r>
        <w:t>ö</w:t>
      </w:r>
      <w:r>
        <w:t>sung. Wie bereits gesagt, beziehen viele Stiltheorien alle e</w:t>
      </w:r>
      <w:r w:rsidR="003143E5">
        <w:t>rkennbaren Rege</w:t>
      </w:r>
      <w:r w:rsidR="003143E5">
        <w:t>l</w:t>
      </w:r>
      <w:r w:rsidR="003143E5">
        <w:t>mäßigkeiten de</w:t>
      </w:r>
      <w:r w:rsidR="00F705D2">
        <w:t>r</w:t>
      </w:r>
      <w:r w:rsidR="003143E5">
        <w:t xml:space="preserve"> </w:t>
      </w:r>
      <w:r w:rsidR="00F705D2">
        <w:t xml:space="preserve">Ausführungsweise </w:t>
      </w:r>
      <w:r>
        <w:t>(</w:t>
      </w:r>
      <w:r w:rsidR="00D16CC8">
        <w:t>oft wird sogar nur allgemein von „Rege</w:t>
      </w:r>
      <w:r w:rsidR="00D16CC8">
        <w:t>l</w:t>
      </w:r>
      <w:r w:rsidR="00D16CC8">
        <w:t>mäßigkeiten“, „Mustern“, „Charakteristika“ oder ähnlichem gesprochen</w:t>
      </w:r>
      <w:r>
        <w:t>; inhal</w:t>
      </w:r>
      <w:r>
        <w:t>t</w:t>
      </w:r>
      <w:r>
        <w:t>liche oder funktionale Regelmäßigkeiten werden jedoch niemals unter Stil gezählt</w:t>
      </w:r>
      <w:r w:rsidR="00D16CC8">
        <w:t xml:space="preserve">, so dass wir eine entsprechende </w:t>
      </w:r>
      <w:r w:rsidR="001F527D">
        <w:t xml:space="preserve">implizite </w:t>
      </w:r>
      <w:r w:rsidR="00D16CC8">
        <w:t>Einschränkung annehmen</w:t>
      </w:r>
      <w:r w:rsidR="002C7D60">
        <w:t xml:space="preserve">; vgl. Fußnote </w:t>
      </w:r>
      <w:r w:rsidR="005D7996">
        <w:fldChar w:fldCharType="begin"/>
      </w:r>
      <w:r w:rsidR="002C7D60">
        <w:instrText xml:space="preserve"> NOTEREF _Ref285441949 \h </w:instrText>
      </w:r>
      <w:r w:rsidR="005D7996">
        <w:fldChar w:fldCharType="separate"/>
      </w:r>
      <w:r w:rsidR="001231D3">
        <w:t>78</w:t>
      </w:r>
      <w:r w:rsidR="005D7996">
        <w:fldChar w:fldCharType="end"/>
      </w:r>
      <w:r>
        <w:t>) in ihre Definitionen ein, wählen ihre Beispiele aber so, dass sie d</w:t>
      </w:r>
      <w:r>
        <w:t>a</w:t>
      </w:r>
      <w:r>
        <w:t xml:space="preserve">bei </w:t>
      </w:r>
      <w:r w:rsidR="00936B38">
        <w:t>ziel</w:t>
      </w:r>
      <w:r w:rsidR="00F705D2">
        <w:t xml:space="preserve">bezogene, funktional oder </w:t>
      </w:r>
      <w:r>
        <w:t>inhaltlich bedingte Regel</w:t>
      </w:r>
      <w:r w:rsidR="003143E5">
        <w:t>mäßigkeiten de</w:t>
      </w:r>
      <w:r w:rsidR="00F705D2">
        <w:t>r</w:t>
      </w:r>
      <w:r w:rsidR="003143E5">
        <w:t xml:space="preserve"> </w:t>
      </w:r>
      <w:r w:rsidR="00F705D2">
        <w:t>Au</w:t>
      </w:r>
      <w:r w:rsidR="00F705D2">
        <w:t>s</w:t>
      </w:r>
      <w:r w:rsidR="00F705D2">
        <w:t xml:space="preserve">führungsweise </w:t>
      </w:r>
      <w:r>
        <w:t>nicht berücksichtigen.</w:t>
      </w:r>
      <w:r w:rsidR="00760163">
        <w:rPr>
          <w:rStyle w:val="Funotenzeichen"/>
        </w:rPr>
        <w:footnoteReference w:id="73"/>
      </w:r>
    </w:p>
    <w:p w:rsidR="00A470E7" w:rsidRDefault="00062239" w:rsidP="00081DA8">
      <w:pPr>
        <w:pStyle w:val="Text"/>
      </w:pPr>
      <w:r>
        <w:t>Intuitiv ist es für uns offensichtlich, dass die fehlenden Fenster des Bühne</w:t>
      </w:r>
      <w:r>
        <w:t>n</w:t>
      </w:r>
      <w:r>
        <w:t xml:space="preserve">turms durch die </w:t>
      </w:r>
      <w:r w:rsidRPr="00062239">
        <w:rPr>
          <w:i/>
        </w:rPr>
        <w:t>Funktion</w:t>
      </w:r>
      <w:r>
        <w:t xml:space="preserve"> des Theaters, die Kurven durch das </w:t>
      </w:r>
      <w:r w:rsidRPr="00062239">
        <w:rPr>
          <w:i/>
        </w:rPr>
        <w:t>Ziel</w:t>
      </w:r>
      <w:r>
        <w:t xml:space="preserve"> der Autofahrt und die dunklen Farben durch den dargestellten </w:t>
      </w:r>
      <w:r w:rsidRPr="00062239">
        <w:rPr>
          <w:i/>
        </w:rPr>
        <w:t>Inhalt</w:t>
      </w:r>
      <w:r>
        <w:t xml:space="preserve"> des Bilds bedingt sind. Auf den ersten Blick könnten </w:t>
      </w:r>
      <w:r w:rsidR="00801A82">
        <w:t>daher die obigen Beispiele als ‚Eulen nach Athen tragen‘</w:t>
      </w:r>
      <w:r>
        <w:t xml:space="preserve"> erscheinen – schließlich hat doch nie jemand behauptet, Funktion, Ziel</w:t>
      </w:r>
      <w:r w:rsidR="00A470E7">
        <w:t xml:space="preserve"> oder Inhalt gehörten zum Stil!</w:t>
      </w:r>
    </w:p>
    <w:p w:rsidR="00062239" w:rsidRDefault="00062239" w:rsidP="00081DA8">
      <w:pPr>
        <w:pStyle w:val="Text"/>
      </w:pPr>
      <w:r>
        <w:t xml:space="preserve">Dies ist richtig, aber die oben dargestellten Merkmale </w:t>
      </w:r>
      <w:r w:rsidR="00801A82">
        <w:t xml:space="preserve">(1) </w:t>
      </w:r>
      <w:r>
        <w:t xml:space="preserve">eines Artefakts, </w:t>
      </w:r>
      <w:r w:rsidR="00801A82">
        <w:t xml:space="preserve">(2) </w:t>
      </w:r>
      <w:r>
        <w:t xml:space="preserve">eines Verhaltens und </w:t>
      </w:r>
      <w:r w:rsidR="00801A82">
        <w:t xml:space="preserve">(3) </w:t>
      </w:r>
      <w:r>
        <w:t xml:space="preserve">eines Artefakts mit </w:t>
      </w:r>
      <w:r w:rsidR="005B322E">
        <w:t>Zeichengebrauch</w:t>
      </w:r>
      <w:r>
        <w:rPr>
          <w:rStyle w:val="Funotenzeichen"/>
        </w:rPr>
        <w:footnoteReference w:id="74"/>
      </w:r>
      <w:r w:rsidR="00801A82">
        <w:t xml:space="preserve"> sind nicht (1) die Funktion </w:t>
      </w:r>
      <w:r w:rsidR="009870C6">
        <w:t xml:space="preserve">(oder Teil der Funktion) </w:t>
      </w:r>
      <w:r w:rsidR="00A470E7">
        <w:t>des Artefakts</w:t>
      </w:r>
      <w:r w:rsidR="00801A82">
        <w:t xml:space="preserve">, (2) Ziel </w:t>
      </w:r>
      <w:r w:rsidR="009870C6">
        <w:t xml:space="preserve">(oder Teil des Ziels) </w:t>
      </w:r>
      <w:r w:rsidR="00A470E7">
        <w:t xml:space="preserve">des Verhaltens </w:t>
      </w:r>
      <w:r w:rsidR="009870C6">
        <w:t xml:space="preserve">und </w:t>
      </w:r>
      <w:r w:rsidR="00801A82">
        <w:t xml:space="preserve">(3) Inhalt </w:t>
      </w:r>
      <w:r w:rsidR="009870C6">
        <w:t xml:space="preserve">(oder Teil des Inhalts) </w:t>
      </w:r>
      <w:r w:rsidR="00A470E7">
        <w:t>des A</w:t>
      </w:r>
      <w:r w:rsidR="009870C6">
        <w:t xml:space="preserve">rtefakts mit </w:t>
      </w:r>
      <w:r w:rsidR="005B322E">
        <w:t>Zeichengebrauch</w:t>
      </w:r>
      <w:r w:rsidR="00801A82">
        <w:t xml:space="preserve">. Sie sind vielmehr </w:t>
      </w:r>
      <w:r w:rsidR="00801A82" w:rsidRPr="00A470E7">
        <w:rPr>
          <w:i/>
        </w:rPr>
        <w:t>Merkmale der Ausführungsweise, die durch Funktion, Ziel bzw. Inhalt bedingt sind.</w:t>
      </w:r>
      <w:r w:rsidR="00801A82">
        <w:t xml:space="preserve"> Alle drei betrachteten Merkmale (Fen</w:t>
      </w:r>
      <w:r w:rsidR="00801A82">
        <w:t>s</w:t>
      </w:r>
      <w:r w:rsidR="00801A82">
        <w:t>terlosigkeit einer Wand; Kurvenreichtum einer Autofahrt; dunkle Farbtöne eines Gemäldes) könnten ohne Weiteres stilistisch bedingt sein, sind es aber in den oben beschriebenen Beispielen nicht. Die</w:t>
      </w:r>
      <w:r w:rsidR="0034203A">
        <w:t>se</w:t>
      </w:r>
      <w:r w:rsidR="00801A82">
        <w:t xml:space="preserve"> Unterscheidung treffen wir offenbar automatisch und mit großer Sicherheit.</w:t>
      </w:r>
    </w:p>
    <w:p w:rsidR="009870C6" w:rsidRDefault="00801A82" w:rsidP="009870C6">
      <w:pPr>
        <w:pStyle w:val="Text"/>
      </w:pPr>
      <w:r>
        <w:lastRenderedPageBreak/>
        <w:t xml:space="preserve">In Definitionen, die Stil als </w:t>
      </w:r>
      <w:r w:rsidR="009870C6">
        <w:t>„Konstellation von Eigenschaften“,</w:t>
      </w:r>
      <w:bookmarkStart w:id="38" w:name="_Ref267425603"/>
      <w:r w:rsidR="009870C6">
        <w:rPr>
          <w:rStyle w:val="Funotenzeichen"/>
        </w:rPr>
        <w:footnoteReference w:id="75"/>
      </w:r>
      <w:bookmarkEnd w:id="38"/>
      <w:r w:rsidR="009870C6">
        <w:t xml:space="preserve"> als „Hä</w:t>
      </w:r>
      <w:r w:rsidR="009870C6">
        <w:t>u</w:t>
      </w:r>
      <w:r w:rsidR="009870C6">
        <w:t>figkeit linguistischer Merkmale“,</w:t>
      </w:r>
      <w:bookmarkStart w:id="39" w:name="_Ref267425605"/>
      <w:r w:rsidR="009870C6">
        <w:rPr>
          <w:rStyle w:val="Funotenzeichen"/>
        </w:rPr>
        <w:footnoteReference w:id="76"/>
      </w:r>
      <w:bookmarkEnd w:id="39"/>
      <w:r w:rsidR="009870C6">
        <w:t xml:space="preserve"> als „Regelmäßigkeiten“ oder als „wiederke</w:t>
      </w:r>
      <w:r w:rsidR="009870C6">
        <w:t>h</w:t>
      </w:r>
      <w:r w:rsidR="009870C6">
        <w:t>rende Muster“</w:t>
      </w:r>
      <w:bookmarkStart w:id="40" w:name="_Ref267425607"/>
      <w:r w:rsidR="009870C6">
        <w:rPr>
          <w:rStyle w:val="Funotenzeichen"/>
        </w:rPr>
        <w:footnoteReference w:id="77"/>
      </w:r>
      <w:bookmarkEnd w:id="40"/>
      <w:r w:rsidR="009870C6">
        <w:t xml:space="preserve"> beschreiben, würden die</w:t>
      </w:r>
      <w:r w:rsidR="00CD485F">
        <w:t xml:space="preserve"> drei genannten Merkmale unter </w:t>
      </w:r>
      <w:r w:rsidR="009870C6">
        <w:t>Stil fallen.</w:t>
      </w:r>
    </w:p>
    <w:p w:rsidR="005F3701" w:rsidRDefault="005F3701" w:rsidP="005F3701">
      <w:pPr>
        <w:pStyle w:val="Text"/>
      </w:pPr>
      <w:r>
        <w:t>Es ist also zwischen drei Fällen zu unterscheiden:</w:t>
      </w:r>
    </w:p>
    <w:p w:rsidR="005F3701" w:rsidRDefault="00DA69BE" w:rsidP="000E2DEC">
      <w:pPr>
        <w:pStyle w:val="Text"/>
        <w:ind w:firstLine="0"/>
      </w:pPr>
      <w:r>
        <w:tab/>
      </w:r>
      <w:r w:rsidR="006A2B61">
        <w:t>(1</w:t>
      </w:r>
      <w:r w:rsidR="005F3701">
        <w:t>)</w:t>
      </w:r>
      <w:r w:rsidR="005F3701">
        <w:tab/>
        <w:t>Regelmäßigkeiten, Strukturen oder Häufigkeiten innerhalb des I</w:t>
      </w:r>
      <w:r w:rsidR="005F3701">
        <w:t>n</w:t>
      </w:r>
      <w:r w:rsidR="005F3701">
        <w:t>halts, der Funktion oder des Ziels. (Beispiel: Zwei Häuser haben dieselbe Fun</w:t>
      </w:r>
      <w:r w:rsidR="005F3701">
        <w:t>k</w:t>
      </w:r>
      <w:r w:rsidR="005F3701">
        <w:t xml:space="preserve">tion.) Diese Regelmäßigkeiten werden nie unter Stil </w:t>
      </w:r>
      <w:r w:rsidR="00754B23">
        <w:t>gerechnet</w:t>
      </w:r>
      <w:r w:rsidR="005F3701">
        <w:t>.</w:t>
      </w:r>
      <w:bookmarkStart w:id="41" w:name="_Ref285441949"/>
      <w:r w:rsidR="002C7D60">
        <w:rPr>
          <w:rStyle w:val="Funotenzeichen"/>
        </w:rPr>
        <w:footnoteReference w:id="78"/>
      </w:r>
      <w:bookmarkEnd w:id="41"/>
    </w:p>
    <w:p w:rsidR="005F3701" w:rsidRDefault="00DA69BE" w:rsidP="000E2DEC">
      <w:pPr>
        <w:pStyle w:val="Text"/>
        <w:ind w:firstLine="0"/>
      </w:pPr>
      <w:r>
        <w:lastRenderedPageBreak/>
        <w:tab/>
      </w:r>
      <w:r w:rsidR="005F3701">
        <w:t>(</w:t>
      </w:r>
      <w:r w:rsidR="006A2B61">
        <w:t>2</w:t>
      </w:r>
      <w:r w:rsidR="005F3701">
        <w:t>)</w:t>
      </w:r>
      <w:r w:rsidR="005F3701">
        <w:tab/>
        <w:t>Regelmäßigkeiten, Strukturen oder Häufigkeiten, die durch Inhalt, Funktion oder Ziel bedingt sind. (Siehe Beispiel 1 bis Beispiel 3 oben.) Diese Regelmäßigkeiten werden häufig nicht aus Stil ausgeschlossen, was unserem alltäglichen Gebrauch von ‚Stil‘ widerspricht, wie oben gezeigt wurde.</w:t>
      </w:r>
    </w:p>
    <w:p w:rsidR="005F3701" w:rsidRDefault="00DA69BE" w:rsidP="000E2DEC">
      <w:pPr>
        <w:pStyle w:val="Text"/>
        <w:ind w:firstLine="0"/>
      </w:pPr>
      <w:r>
        <w:tab/>
      </w:r>
      <w:r w:rsidR="005F3701">
        <w:t>(</w:t>
      </w:r>
      <w:r w:rsidR="006A2B61">
        <w:t>3</w:t>
      </w:r>
      <w:r w:rsidR="005F3701">
        <w:t>)</w:t>
      </w:r>
      <w:r w:rsidR="005F3701">
        <w:tab/>
        <w:t xml:space="preserve">Regelmäßigkeiten, Strukturen oder Häufigkeiten, die </w:t>
      </w:r>
      <w:r w:rsidR="006A2B61">
        <w:t xml:space="preserve">nicht durch die Festlegung von Inhalt, Funktion und/oder </w:t>
      </w:r>
      <w:r w:rsidR="005F3701">
        <w:t xml:space="preserve">Ziel </w:t>
      </w:r>
      <w:r w:rsidR="006A2B61">
        <w:t xml:space="preserve">der Realisierung </w:t>
      </w:r>
      <w:r w:rsidR="005F3701">
        <w:t>bedingt sind und daher an einer Realisierung mit abweichendem Inhalt, Funktion oder Ziel wiedererkannt werden können. Dies ist der Bereich, der im alltäglichen G</w:t>
      </w:r>
      <w:r w:rsidR="005F3701">
        <w:t>e</w:t>
      </w:r>
      <w:r w:rsidR="005F3701">
        <w:t xml:space="preserve">brauch </w:t>
      </w:r>
      <w:r w:rsidR="00CF3C85">
        <w:t xml:space="preserve">von </w:t>
      </w:r>
      <w:r w:rsidR="005F3701">
        <w:t xml:space="preserve">‚Stil‘ </w:t>
      </w:r>
      <w:r w:rsidR="00CF3C85">
        <w:t>eingeschlossen ist</w:t>
      </w:r>
      <w:r w:rsidR="005F3701">
        <w:t>.</w:t>
      </w:r>
    </w:p>
    <w:p w:rsidR="00783D1F" w:rsidRDefault="006A2B61" w:rsidP="005F3701">
      <w:pPr>
        <w:pStyle w:val="Text"/>
      </w:pPr>
      <w:r>
        <w:t xml:space="preserve">Nun mag eingewandt werden, es gebe </w:t>
      </w:r>
      <w:r w:rsidR="00053E85">
        <w:t>ja auch</w:t>
      </w:r>
      <w:r>
        <w:t xml:space="preserve"> eine Funktionalstilistik</w:t>
      </w:r>
      <w:r w:rsidR="005D7996">
        <w:fldChar w:fldCharType="begin"/>
      </w:r>
      <w:r w:rsidR="003B6F55">
        <w:instrText xml:space="preserve"> XE "</w:instrText>
      </w:r>
      <w:r w:rsidR="003B6F55" w:rsidRPr="00DB2B1B">
        <w:rPr>
          <w:szCs w:val="17"/>
        </w:rPr>
        <w:instrText>Funktionalstilistik</w:instrText>
      </w:r>
      <w:r w:rsidR="003B6F55">
        <w:instrText xml:space="preserve">" </w:instrText>
      </w:r>
      <w:r w:rsidR="005D7996">
        <w:fldChar w:fldCharType="end"/>
      </w:r>
      <w:r>
        <w:t>,</w:t>
      </w:r>
      <w:r w:rsidR="000B59AE">
        <w:rPr>
          <w:rStyle w:val="Funotenzeichen"/>
        </w:rPr>
        <w:footnoteReference w:id="79"/>
      </w:r>
      <w:r>
        <w:t xml:space="preserve"> die Stil in Abhängigkeit von der Textfunktion untersuche. </w:t>
      </w:r>
      <w:r w:rsidR="00046B72">
        <w:t xml:space="preserve">Dies ist richtig; </w:t>
      </w:r>
      <w:r w:rsidR="00284EFD">
        <w:t>f</w:t>
      </w:r>
      <w:r>
        <w:t>unkti</w:t>
      </w:r>
      <w:r>
        <w:t>o</w:t>
      </w:r>
      <w:r>
        <w:t xml:space="preserve">nalstilistische Ansätze untersuchen jedoch </w:t>
      </w:r>
      <w:r w:rsidR="00053E85">
        <w:t xml:space="preserve">selten </w:t>
      </w:r>
      <w:r>
        <w:t xml:space="preserve">Regelmäßigkeiten, Strukturen oder Häufigkeiten, die unmittelbar durch die Funktion bedingt sind, sondern </w:t>
      </w:r>
      <w:r w:rsidR="00053E85">
        <w:t xml:space="preserve">vielmehr </w:t>
      </w:r>
      <w:r>
        <w:t>stilistische Merkmale, die mit der Funktion korrelieren. Beispielsweise würde die Funktionalstilistik</w:t>
      </w:r>
      <w:r w:rsidR="00046B72">
        <w:t xml:space="preserve">, </w:t>
      </w:r>
      <w:r>
        <w:t>die meist de facto eine Textsortenstilistik ist</w:t>
      </w:r>
      <w:r w:rsidR="00046B72">
        <w:t>,</w:t>
      </w:r>
      <w:r>
        <w:t xml:space="preserve"> </w:t>
      </w:r>
      <w:r w:rsidR="00E50D93">
        <w:t xml:space="preserve">in der Regel </w:t>
      </w:r>
      <w:r>
        <w:t xml:space="preserve">nicht </w:t>
      </w:r>
      <w:r w:rsidR="00E50D93">
        <w:t>dar</w:t>
      </w:r>
      <w:r>
        <w:t xml:space="preserve">auf hinweisen, dass in </w:t>
      </w:r>
      <w:r w:rsidR="00E50D93">
        <w:t>der Textsorte</w:t>
      </w:r>
      <w:r w:rsidR="005D7996" w:rsidRPr="00A82973">
        <w:fldChar w:fldCharType="begin"/>
      </w:r>
      <w:r w:rsidR="00A82973" w:rsidRPr="00A82973">
        <w:instrText xml:space="preserve"> XE "Textsorte" </w:instrText>
      </w:r>
      <w:r w:rsidR="005D7996" w:rsidRPr="00A82973">
        <w:fldChar w:fldCharType="end"/>
      </w:r>
      <w:r w:rsidR="005D7996" w:rsidRPr="00A82973">
        <w:fldChar w:fldCharType="begin"/>
      </w:r>
      <w:r w:rsidR="00A82973" w:rsidRPr="00A82973">
        <w:instrText xml:space="preserve"> XE "Textsorte" \t "</w:instrText>
      </w:r>
      <w:r w:rsidR="00A82973" w:rsidRPr="00A82973">
        <w:rPr>
          <w:rFonts w:cstheme="minorHAnsi"/>
          <w:i/>
        </w:rPr>
        <w:instrText>siehe auch</w:instrText>
      </w:r>
      <w:r w:rsidR="00A82973" w:rsidRPr="00A82973">
        <w:rPr>
          <w:rFonts w:cstheme="minorHAnsi"/>
        </w:rPr>
        <w:instrText xml:space="preserve"> Gattung</w:instrText>
      </w:r>
      <w:r w:rsidR="00A82973" w:rsidRPr="00A82973">
        <w:instrText xml:space="preserve">" </w:instrText>
      </w:r>
      <w:r w:rsidR="005D7996" w:rsidRPr="00A82973">
        <w:fldChar w:fldCharType="end"/>
      </w:r>
      <w:r w:rsidR="00E50D93">
        <w:t xml:space="preserve"> „Liebesroman</w:t>
      </w:r>
      <w:r w:rsidR="005D7996">
        <w:fldChar w:fldCharType="begin"/>
      </w:r>
      <w:r w:rsidR="00957332">
        <w:instrText xml:space="preserve"> XE "</w:instrText>
      </w:r>
      <w:r w:rsidR="00957332" w:rsidRPr="00D7548B">
        <w:instrText>Liebesroman (Textsorte)</w:instrText>
      </w:r>
      <w:r w:rsidR="00957332">
        <w:instrText xml:space="preserve">" </w:instrText>
      </w:r>
      <w:r w:rsidR="005D7996">
        <w:fldChar w:fldCharType="end"/>
      </w:r>
      <w:r w:rsidR="00E50D93">
        <w:t xml:space="preserve">“ häufig die </w:t>
      </w:r>
      <w:r w:rsidR="006077F8">
        <w:t>Wörter</w:t>
      </w:r>
      <w:r w:rsidR="00E50D93">
        <w:t xml:space="preserve"> „Frau“, „Mann“, „Liebe“, „Hochzeit“ usw. vorkommen</w:t>
      </w:r>
      <w:r w:rsidR="00046B72">
        <w:t>, oder in der Textsorte „Fahrplan</w:t>
      </w:r>
      <w:r w:rsidR="005D7996">
        <w:fldChar w:fldCharType="begin"/>
      </w:r>
      <w:r w:rsidR="00957332">
        <w:instrText xml:space="preserve"> XE "</w:instrText>
      </w:r>
      <w:r w:rsidR="00957332" w:rsidRPr="007309A6">
        <w:instrText>Fahrplan (Textsorte)</w:instrText>
      </w:r>
      <w:r w:rsidR="00957332">
        <w:instrText xml:space="preserve">" </w:instrText>
      </w:r>
      <w:r w:rsidR="005D7996">
        <w:fldChar w:fldCharType="end"/>
      </w:r>
      <w:r w:rsidR="00046B72">
        <w:t xml:space="preserve">“ häufig die </w:t>
      </w:r>
      <w:r w:rsidR="006077F8">
        <w:t xml:space="preserve">Wörter </w:t>
      </w:r>
      <w:r w:rsidR="00046B72">
        <w:t>„Abfahrt“ und „Ankunft“</w:t>
      </w:r>
      <w:r w:rsidR="00E50D93">
        <w:t xml:space="preserve"> – täte sie es doch, würde sie der natürlichsprachlichen Verwendung von „Stil“, wie sie hier expliziert wurde, widersprechen</w:t>
      </w:r>
      <w:r w:rsidR="00046B72">
        <w:t>. Meist werden in funktionalstilistischen Unte</w:t>
      </w:r>
      <w:r w:rsidR="00046B72">
        <w:t>r</w:t>
      </w:r>
      <w:r w:rsidR="00046B72">
        <w:t xml:space="preserve">suchungen eher syntaktische Komplexität, </w:t>
      </w:r>
      <w:r w:rsidR="00E50D93">
        <w:t xml:space="preserve">Satzlängen, Fremdwörterhäufigkeiten </w:t>
      </w:r>
      <w:r w:rsidR="00046B72">
        <w:t>usw. ge</w:t>
      </w:r>
      <w:r w:rsidR="005778A1">
        <w:t>prüf</w:t>
      </w:r>
      <w:r w:rsidR="00046B72">
        <w:t>t, also Faktoren, die nicht durch die Textfunktion festgelegt sind, aber mit ihr korrelieren können.</w:t>
      </w:r>
    </w:p>
    <w:p w:rsidR="00046B72" w:rsidRDefault="00783D1F" w:rsidP="005F3701">
      <w:pPr>
        <w:pStyle w:val="Text"/>
      </w:pPr>
      <w:r>
        <w:t>Zwischen funktional festgelegten Strukturen, die nicht zum Stil gehören, und mit der Funktion korrelierenden Stilmerkmalen ist also zu unterscheiden.</w:t>
      </w:r>
      <w:r w:rsidR="00046B72">
        <w:rPr>
          <w:rStyle w:val="Funotenzeichen"/>
        </w:rPr>
        <w:footnoteReference w:id="80"/>
      </w:r>
      <w:r w:rsidR="00046B72">
        <w:t xml:space="preserve"> </w:t>
      </w:r>
      <w:r w:rsidR="00AD793E">
        <w:lastRenderedPageBreak/>
        <w:t xml:space="preserve">Um dies zu </w:t>
      </w:r>
      <w:r>
        <w:t>verdeutlichen</w:t>
      </w:r>
      <w:r w:rsidR="00AD793E">
        <w:t xml:space="preserve">, </w:t>
      </w:r>
      <w:r w:rsidR="00046B72">
        <w:t xml:space="preserve">können wir innerhalb </w:t>
      </w:r>
      <w:r w:rsidR="00C80C31">
        <w:t xml:space="preserve">des stilistischen Bereichs </w:t>
      </w:r>
      <w:r w:rsidR="00046B72">
        <w:t>(3) eine Unterschei</w:t>
      </w:r>
      <w:r w:rsidR="00C80C31">
        <w:t>dung treffen zwischen</w:t>
      </w:r>
    </w:p>
    <w:p w:rsidR="006A2B61" w:rsidRDefault="00DA69BE" w:rsidP="000E2DEC">
      <w:pPr>
        <w:pStyle w:val="Text"/>
        <w:ind w:firstLine="0"/>
      </w:pPr>
      <w:r>
        <w:tab/>
      </w:r>
      <w:r w:rsidR="006A2B61">
        <w:t>(3a)</w:t>
      </w:r>
      <w:r w:rsidR="006A2B61">
        <w:tab/>
      </w:r>
      <w:r w:rsidR="005778A1">
        <w:t>Regelmäßigkeiten, Strukturen oder Häufigkeiten, die mit Funktion, Inhalt oder Ziel korre</w:t>
      </w:r>
      <w:r w:rsidR="00235D4C">
        <w:t xml:space="preserve">lieren, </w:t>
      </w:r>
      <w:r w:rsidR="00C80C31">
        <w:t xml:space="preserve">ohne durch diese festgelegt zu sein, </w:t>
      </w:r>
      <w:r w:rsidR="00235D4C">
        <w:t>und</w:t>
      </w:r>
    </w:p>
    <w:p w:rsidR="00046B72" w:rsidRDefault="00DA69BE" w:rsidP="000E2DEC">
      <w:pPr>
        <w:pStyle w:val="Text"/>
        <w:ind w:firstLine="0"/>
      </w:pPr>
      <w:r>
        <w:tab/>
      </w:r>
      <w:r w:rsidR="00046B72">
        <w:t>(3b)</w:t>
      </w:r>
      <w:r w:rsidR="00046B72">
        <w:tab/>
        <w:t>Regelmäßigkeiten, Strukturen oder Häufigkeiten, die mit Funktion, Inhalt od</w:t>
      </w:r>
      <w:r w:rsidR="00C80C31">
        <w:t>er Ziel nicht korrelieren.</w:t>
      </w:r>
    </w:p>
    <w:p w:rsidR="00ED0DFA" w:rsidRDefault="00046B72" w:rsidP="000E2DEC">
      <w:pPr>
        <w:pStyle w:val="Text"/>
        <w:spacing w:before="240"/>
        <w:ind w:firstLine="0"/>
      </w:pPr>
      <w:r>
        <w:t xml:space="preserve">Die Notwendigkeit, die Unterscheidung von (2) und (3) zu treffen, zeigt, dass </w:t>
      </w:r>
      <w:r w:rsidR="00C05D9D">
        <w:t>Stil komplizierter</w:t>
      </w:r>
      <w:r>
        <w:t xml:space="preserve"> ist</w:t>
      </w:r>
      <w:r w:rsidR="00C05D9D">
        <w:t xml:space="preserve">, als </w:t>
      </w:r>
      <w:r w:rsidR="00BC0362">
        <w:t xml:space="preserve">viele </w:t>
      </w:r>
      <w:r w:rsidR="004738C6">
        <w:t>Stiltheoretiker annehmen</w:t>
      </w:r>
      <w:r w:rsidR="00C05D9D">
        <w:t>; sie verwenden relativ einfache Definitionen, passen ihre Verwendung des Begriffs aber nicht an diese an.</w:t>
      </w:r>
      <w:r w:rsidR="009870C6">
        <w:rPr>
          <w:rStyle w:val="Funotenzeichen"/>
        </w:rPr>
        <w:footnoteReference w:id="81"/>
      </w:r>
      <w:r w:rsidR="00C05D9D">
        <w:t xml:space="preserve"> Dies spricht dafür, dass es sich bei Stil um ein </w:t>
      </w:r>
      <w:r w:rsidR="00ED0DFA">
        <w:t xml:space="preserve">objektiv existierendes </w:t>
      </w:r>
      <w:r w:rsidR="00ED0DFA" w:rsidRPr="00ED0DFA">
        <w:t>Ph</w:t>
      </w:r>
      <w:r w:rsidR="00ED0DFA" w:rsidRPr="00ED0DFA">
        <w:t>ä</w:t>
      </w:r>
      <w:r w:rsidR="00ED0DFA" w:rsidRPr="00ED0DFA">
        <w:t>nomen</w:t>
      </w:r>
      <w:r w:rsidR="00ED0DFA">
        <w:t xml:space="preserve"> handelt </w:t>
      </w:r>
      <w:r w:rsidR="00C05D9D">
        <w:t>(nämlich eine</w:t>
      </w:r>
      <w:r w:rsidR="00DD36BC">
        <w:t>n</w:t>
      </w:r>
      <w:r w:rsidR="00C05D9D">
        <w:t xml:space="preserve"> bestimmte</w:t>
      </w:r>
      <w:r w:rsidR="00DD36BC">
        <w:t>n</w:t>
      </w:r>
      <w:r w:rsidR="00C05D9D">
        <w:t xml:space="preserve"> Zeichenpro</w:t>
      </w:r>
      <w:r w:rsidR="00ED0DFA">
        <w:t>zess</w:t>
      </w:r>
      <w:r w:rsidR="00DD36BC">
        <w:t>typ</w:t>
      </w:r>
      <w:r w:rsidR="00872B69">
        <w:t xml:space="preserve">), auf </w:t>
      </w:r>
      <w:r w:rsidR="00ED0DFA">
        <w:t xml:space="preserve">das wir mit einem Begriff </w:t>
      </w:r>
      <w:r w:rsidR="00872B69">
        <w:t>zugreifen</w:t>
      </w:r>
      <w:r w:rsidR="00ED0DFA">
        <w:t>; auch wenn dieser nun unterschiedlich definiert wird, bildet das Phänomen den gemeinsamen Bezugspunkt</w:t>
      </w:r>
      <w:r w:rsidR="00BC0362">
        <w:t xml:space="preserve"> und verhindert allzu starke Abweichungen in der </w:t>
      </w:r>
      <w:r w:rsidR="00872B69">
        <w:t>Verwendung des Begriffs</w:t>
      </w:r>
      <w:r w:rsidR="00ED0DFA">
        <w:t>.</w:t>
      </w:r>
      <w:bookmarkStart w:id="42" w:name="_Ref271283526"/>
      <w:r w:rsidR="00B47275">
        <w:rPr>
          <w:rStyle w:val="Funotenzeichen"/>
        </w:rPr>
        <w:footnoteReference w:id="82"/>
      </w:r>
      <w:bookmarkEnd w:id="42"/>
    </w:p>
    <w:p w:rsidR="00DB5D4C" w:rsidRPr="00DB5D4C" w:rsidRDefault="009149B3" w:rsidP="00081DA8">
      <w:pPr>
        <w:pStyle w:val="Text"/>
      </w:pPr>
      <w:r>
        <w:t xml:space="preserve">In der vorliegenden Arbeit wird davon ausgegangen, dass </w:t>
      </w:r>
      <w:r w:rsidR="00500DDD">
        <w:t xml:space="preserve">dem Begriff </w:t>
      </w:r>
      <w:r w:rsidR="009705FA">
        <w:t>‚</w:t>
      </w:r>
      <w:r>
        <w:t>Stil</w:t>
      </w:r>
      <w:r w:rsidR="009705FA">
        <w:t>‘</w:t>
      </w:r>
      <w:r>
        <w:t xml:space="preserve"> ein Phänomen </w:t>
      </w:r>
      <w:r w:rsidR="00500DDD">
        <w:t>zugrunde liegt</w:t>
      </w:r>
      <w:r>
        <w:t>, nämlich ein bestimmte</w:t>
      </w:r>
      <w:r w:rsidR="00DD36BC">
        <w:t>r</w:t>
      </w:r>
      <w:r>
        <w:t xml:space="preserve"> Zeichenpro</w:t>
      </w:r>
      <w:r w:rsidR="00EA4796">
        <w:t>zess</w:t>
      </w:r>
      <w:r w:rsidR="00DD36BC">
        <w:t>typ</w:t>
      </w:r>
      <w:r w:rsidR="00EA4796">
        <w:t xml:space="preserve">; das Phänomen </w:t>
      </w:r>
      <w:r w:rsidR="00CD485F">
        <w:t>Stil</w:t>
      </w:r>
      <w:r>
        <w:t xml:space="preserve"> </w:t>
      </w:r>
      <w:r w:rsidR="00EA4796">
        <w:t xml:space="preserve">würde </w:t>
      </w:r>
      <w:r>
        <w:t xml:space="preserve">auch existieren, wenn wir </w:t>
      </w:r>
      <w:r w:rsidR="00046B72">
        <w:t>keinen</w:t>
      </w:r>
      <w:r w:rsidR="00410F45">
        <w:t xml:space="preserve"> </w:t>
      </w:r>
      <w:r>
        <w:t>Begriff dafür hätten.</w:t>
      </w:r>
      <w:r w:rsidR="00DB3643">
        <w:t xml:space="preserve"> </w:t>
      </w:r>
      <w:r w:rsidR="00DB5D4C" w:rsidRPr="00DB5D4C">
        <w:t>Di</w:t>
      </w:r>
      <w:r w:rsidR="00DB5D4C" w:rsidRPr="00DB5D4C">
        <w:t>e</w:t>
      </w:r>
      <w:r w:rsidR="00DB5D4C" w:rsidRPr="00DB5D4C">
        <w:t xml:space="preserve">se Überlegungen </w:t>
      </w:r>
      <w:r w:rsidR="00DB5D4C">
        <w:t xml:space="preserve">helfen uns </w:t>
      </w:r>
      <w:r>
        <w:t>hier nicht weiter;</w:t>
      </w:r>
      <w:r w:rsidR="00DB5D4C">
        <w:t xml:space="preserve"> sie werden </w:t>
      </w:r>
      <w:r w:rsidR="00046B72">
        <w:t xml:space="preserve">jedoch </w:t>
      </w:r>
      <w:r w:rsidR="00DB5D4C">
        <w:t xml:space="preserve">in </w:t>
      </w:r>
      <w:r w:rsidR="00DB5D4C" w:rsidRPr="00DB5D4C">
        <w:t xml:space="preserve">Abschnitt </w:t>
      </w:r>
      <w:r w:rsidR="005D7996">
        <w:fldChar w:fldCharType="begin"/>
      </w:r>
      <w:r w:rsidR="00DB5D4C" w:rsidRPr="00DB5D4C">
        <w:instrText xml:space="preserve"> REF _Ref262116772 \r \h </w:instrText>
      </w:r>
      <w:r w:rsidR="005D7996">
        <w:fldChar w:fldCharType="separate"/>
      </w:r>
      <w:r w:rsidR="001231D3">
        <w:t>9.2</w:t>
      </w:r>
      <w:r w:rsidR="005D7996">
        <w:fldChar w:fldCharType="end"/>
      </w:r>
      <w:r w:rsidR="00DB5D4C" w:rsidRPr="00DB5D4C">
        <w:t xml:space="preserve"> </w:t>
      </w:r>
      <w:r w:rsidR="00DB5D4C">
        <w:t>wieder aufgegriffen</w:t>
      </w:r>
      <w:r w:rsidR="00DB5D4C" w:rsidRPr="00DB5D4C">
        <w:t>.</w:t>
      </w:r>
    </w:p>
    <w:p w:rsidR="00081DA8" w:rsidRDefault="00081DA8" w:rsidP="00081DA8">
      <w:pPr>
        <w:pStyle w:val="Titel2"/>
      </w:pPr>
      <w:bookmarkStart w:id="43" w:name="_Ref261876190"/>
      <w:bookmarkStart w:id="44" w:name="_Toc325456697"/>
      <w:bookmarkEnd w:id="37"/>
      <w:r>
        <w:lastRenderedPageBreak/>
        <w:t xml:space="preserve">Nicht alle </w:t>
      </w:r>
      <w:r w:rsidR="00DA300E">
        <w:t xml:space="preserve">Auswahl ist </w:t>
      </w:r>
      <w:r>
        <w:t>stilistisch</w:t>
      </w:r>
      <w:r w:rsidR="00DA300E">
        <w:t>e Auswahl</w:t>
      </w:r>
      <w:bookmarkEnd w:id="43"/>
      <w:bookmarkEnd w:id="44"/>
    </w:p>
    <w:p w:rsidR="00081DA8" w:rsidRDefault="00081DA8" w:rsidP="00DA69BE">
      <w:pPr>
        <w:pStyle w:val="Text"/>
        <w:ind w:firstLine="0"/>
      </w:pPr>
      <w:r>
        <w:t xml:space="preserve">Wir haben gesehen, dass man </w:t>
      </w:r>
      <w:r w:rsidR="00F76D01">
        <w:t xml:space="preserve">an einer </w:t>
      </w:r>
      <w:r>
        <w:t xml:space="preserve">Beschreibung von Stil </w:t>
      </w:r>
      <w:r w:rsidR="00F76D01">
        <w:t xml:space="preserve">über </w:t>
      </w:r>
      <w:r>
        <w:t xml:space="preserve">Auswahl nicht vorbeikommt. </w:t>
      </w:r>
      <w:r w:rsidR="009838D9">
        <w:t>Wie kann man aber stilistische Auswahl von anderer Auswahl unterscheiden?</w:t>
      </w:r>
    </w:p>
    <w:p w:rsidR="00081DA8" w:rsidRDefault="00081DA8" w:rsidP="00081DA8">
      <w:pPr>
        <w:pStyle w:val="Text"/>
      </w:pPr>
      <w:r>
        <w:t>Dazu müssen zunächst Auswahlsituationen prinzipiell erfassbar werden. Dafür steht uns bereits ein probates Mittel zur Verfügung: das Verständnis so</w:t>
      </w:r>
      <w:r>
        <w:t>l</w:t>
      </w:r>
      <w:r>
        <w:t>cher Situationen als Paradigmen. Die strukturalistische Textanalyse</w:t>
      </w:r>
      <w:r w:rsidR="005D7996">
        <w:fldChar w:fldCharType="begin"/>
      </w:r>
      <w:r w:rsidR="00AC1C55">
        <w:instrText xml:space="preserve"> XE "</w:instrText>
      </w:r>
      <w:r w:rsidR="00AC1C55" w:rsidRPr="00436EAC">
        <w:instrText>Textanalyse</w:instrText>
      </w:r>
      <w:r w:rsidR="008137D5">
        <w:instrText>:strukturalistische</w:instrText>
      </w:r>
      <w:r w:rsidR="00AC1C55">
        <w:instrText xml:space="preserve">" </w:instrText>
      </w:r>
      <w:r w:rsidR="005D7996">
        <w:fldChar w:fldCharType="end"/>
      </w:r>
      <w:r>
        <w:t xml:space="preserve"> erfasste Strukturen im Text über die Bildung von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t>.</w:t>
      </w:r>
      <w:r w:rsidR="00B3415F">
        <w:rPr>
          <w:rStyle w:val="Funotenzeichen"/>
        </w:rPr>
        <w:footnoteReference w:id="83"/>
      </w:r>
      <w:r>
        <w:t xml:space="preserve"> </w:t>
      </w:r>
      <w:r w:rsidR="00A01BBB">
        <w:t>Dabei handelt es sich jedoch um eine allgemeine Textanalyse; für eine Stilanalyse ist dieser Ansatz zu allgemein</w:t>
      </w:r>
      <w:r>
        <w:t xml:space="preserve">, da er auch nicht stilistisch relevante Phänomene erfasst. Daraus ergibt sich die Frage, welche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in einer Stiltheorie zur Bildung der Paradigmen herangezogen werden müssen.</w:t>
      </w:r>
    </w:p>
    <w:p w:rsidR="00081DA8" w:rsidRDefault="00081DA8" w:rsidP="00081DA8">
      <w:pPr>
        <w:pStyle w:val="Text"/>
      </w:pPr>
      <w:r>
        <w:t>Zunächst ist wichtig, dass Auswahl nicht psychologisch interpretiert wird. Gemeint ist nicht der Vorgang des Abwägens und Entscheidens, der von einem Individuum durchgeführt wird, wenn es sich mit verschiedenen Handlungsmö</w:t>
      </w:r>
      <w:r>
        <w:t>g</w:t>
      </w:r>
      <w:r>
        <w:t xml:space="preserve">lichkeiten konfrontiert sieht. Solche Phänomene können in Stile einfließen, aber sie sind keineswegs notwendig. Wenn beispielsweise ein Beamter einen </w:t>
      </w:r>
      <w:r w:rsidR="00A714B9">
        <w:t>„</w:t>
      </w:r>
      <w:r>
        <w:t>bür</w:t>
      </w:r>
      <w:r>
        <w:t>o</w:t>
      </w:r>
      <w:r>
        <w:t>kratischen</w:t>
      </w:r>
      <w:r w:rsidR="00A714B9">
        <w:t>“</w:t>
      </w:r>
      <w:r>
        <w:t xml:space="preserve"> Stil schreibt, tut er das selten nach einem gezielten Auswahlvorgang; er hat sich einfach den Gepflogenheiten seiner Umgebung angepasst. Der Denk</w:t>
      </w:r>
      <w:r w:rsidR="005D7996">
        <w:fldChar w:fldCharType="begin"/>
      </w:r>
      <w:r w:rsidR="003822BC">
        <w:instrText xml:space="preserve"> XE "</w:instrText>
      </w:r>
      <w:r w:rsidR="003822BC" w:rsidRPr="006C5822">
        <w:instrText>Denkstil</w:instrText>
      </w:r>
      <w:r w:rsidR="003822BC">
        <w:instrText xml:space="preserve">" </w:instrText>
      </w:r>
      <w:r w:rsidR="005D7996">
        <w:fldChar w:fldCharType="end"/>
      </w:r>
      <w:r>
        <w:t>- und der Argumentationsstil</w:t>
      </w:r>
      <w:r w:rsidR="005D7996">
        <w:fldChar w:fldCharType="begin"/>
      </w:r>
      <w:r w:rsidR="00673F18">
        <w:instrText xml:space="preserve"> XE "</w:instrText>
      </w:r>
      <w:r w:rsidR="00673F18" w:rsidRPr="00EF39F7">
        <w:instrText>Argumentationsstil</w:instrText>
      </w:r>
      <w:r w:rsidR="00673F18">
        <w:instrText xml:space="preserve">" </w:instrText>
      </w:r>
      <w:r w:rsidR="005D7996">
        <w:fldChar w:fldCharType="end"/>
      </w:r>
      <w:r>
        <w:t xml:space="preserve"> eines Menschen </w:t>
      </w:r>
      <w:r w:rsidR="003822BC">
        <w:t xml:space="preserve">werden </w:t>
      </w:r>
      <w:r>
        <w:t>durch seine Sozialisat</w:t>
      </w:r>
      <w:r w:rsidR="000E4960">
        <w:t>ion bestimmt, der Laufstil</w:t>
      </w:r>
      <w:r w:rsidR="005D7996">
        <w:fldChar w:fldCharType="begin"/>
      </w:r>
      <w:r w:rsidR="00673F18">
        <w:instrText xml:space="preserve"> XE "</w:instrText>
      </w:r>
      <w:r w:rsidR="00673F18" w:rsidRPr="00DB1B99">
        <w:instrText>Laufstil</w:instrText>
      </w:r>
      <w:r w:rsidR="00673F18">
        <w:instrText xml:space="preserve">" </w:instrText>
      </w:r>
      <w:r w:rsidR="005D7996">
        <w:fldChar w:fldCharType="end"/>
      </w:r>
      <w:r w:rsidR="000E4960">
        <w:t xml:space="preserve"> einer Leichtathletin</w:t>
      </w:r>
      <w:r>
        <w:t xml:space="preserve"> möglicherweise durch </w:t>
      </w:r>
      <w:r w:rsidR="000E4960">
        <w:t xml:space="preserve">ihre </w:t>
      </w:r>
      <w:r>
        <w:t>Anatomie.</w:t>
      </w:r>
    </w:p>
    <w:p w:rsidR="00081DA8" w:rsidRDefault="00081DA8" w:rsidP="00081DA8">
      <w:pPr>
        <w:pStyle w:val="Text"/>
      </w:pPr>
      <w:r>
        <w:t xml:space="preserve">Auffällig ist auch, dass nicht jede Art von tatsächlicher Auswahl etwas mit Stil zu tun hat. Wenn ein Mensch aufsteht und sich entscheidet, wie er seinen Tag verbringen will, ist dies </w:t>
      </w:r>
      <w:r w:rsidR="009F1E8A">
        <w:t xml:space="preserve">gewöhnlich </w:t>
      </w:r>
      <w:r>
        <w:t>keine Frage des Stils.</w:t>
      </w:r>
      <w:r>
        <w:rPr>
          <w:rStyle w:val="Funotenzeichen"/>
        </w:rPr>
        <w:footnoteReference w:id="84"/>
      </w:r>
      <w:r>
        <w:t xml:space="preserve"> Offensichtlich sind auch nicht alle Entscheidungen, die ein Künstler im Verlauf der Herstellung eines Werks trifft, stilistisch relev</w:t>
      </w:r>
      <w:r w:rsidR="00877568">
        <w:t xml:space="preserve">ant. Durch die Erweiterung auf gewissermaßen </w:t>
      </w:r>
      <w:r>
        <w:t>virtuelle Auswahlsituationen,</w:t>
      </w:r>
      <w:r w:rsidR="00456824">
        <w:t xml:space="preserve"> </w:t>
      </w:r>
      <w:r>
        <w:t>d</w:t>
      </w:r>
      <w:r w:rsidR="00456824">
        <w:t>as heißt</w:t>
      </w:r>
      <w:r>
        <w:t xml:space="preserve"> auf solche, </w:t>
      </w:r>
      <w:r w:rsidR="00456824">
        <w:t xml:space="preserve">in denen </w:t>
      </w:r>
      <w:r>
        <w:t>theoretische Alte</w:t>
      </w:r>
      <w:r>
        <w:t>r</w:t>
      </w:r>
      <w:r>
        <w:t xml:space="preserve">nativen vorhanden wären, die jedoch in der konkreten Auswahlsituation – aus </w:t>
      </w:r>
      <w:r w:rsidR="00877568">
        <w:t xml:space="preserve">welchen Gründen </w:t>
      </w:r>
      <w:r>
        <w:t>auch immer – nicht zur Verfügung stehen, scheint die Menge an zu berücksichtigenden Fällen ins Unendliche aus</w:t>
      </w:r>
      <w:r w:rsidR="00456824">
        <w:t>zuweiten</w:t>
      </w:r>
      <w:r>
        <w:t>.</w:t>
      </w:r>
    </w:p>
    <w:p w:rsidR="00081DA8" w:rsidRDefault="00081DA8" w:rsidP="00081DA8">
      <w:pPr>
        <w:pStyle w:val="Text"/>
      </w:pPr>
      <w:r>
        <w:lastRenderedPageBreak/>
        <w:t>In diesem Dilemma hilft uns ein Blick auf unser anfängliches Verständnis von Stil weiter</w:t>
      </w:r>
      <w:r w:rsidR="00877568">
        <w:t xml:space="preserve"> (vgl. Einleitung)</w:t>
      </w:r>
      <w:r>
        <w:t xml:space="preserve">: Stil ist ein eigenes Zeichen – er entsteht nicht nur als Nebenprodukt eines Zeichengebrauchs, wie </w:t>
      </w:r>
      <w:r w:rsidR="000F1D52">
        <w:t>in vielen Theorien sprachl</w:t>
      </w:r>
      <w:r w:rsidR="000F1D52">
        <w:t>i</w:t>
      </w:r>
      <w:r w:rsidR="000F1D52">
        <w:t xml:space="preserve">chen Stils </w:t>
      </w:r>
      <w:r>
        <w:t xml:space="preserve">angenommen wurde. Dies hätte man leicht erkennen können, wenn man den Alltagssprachgebrauch ernst genommen und </w:t>
      </w:r>
      <w:r w:rsidR="007E0154">
        <w:t xml:space="preserve">sich die Zeit genommen hätte, einen Seitenblick beispielsweise auf </w:t>
      </w:r>
      <w:r>
        <w:t xml:space="preserve">Fahrstile </w:t>
      </w:r>
      <w:r w:rsidR="007E0154">
        <w:t>zu werfen</w:t>
      </w:r>
      <w:r>
        <w:t>: Dort liegt nä</w:t>
      </w:r>
      <w:r>
        <w:t>m</w:t>
      </w:r>
      <w:r>
        <w:t xml:space="preserve">lich kein </w:t>
      </w:r>
      <w:r w:rsidR="005B322E">
        <w:t>Zeichengebrauch</w:t>
      </w:r>
      <w:r>
        <w:t xml:space="preserve"> vor, sondern zunächst nur eine einfache Handlung (Auto fahren).</w:t>
      </w:r>
      <w:r>
        <w:rPr>
          <w:rStyle w:val="Funotenzeichen"/>
        </w:rPr>
        <w:footnoteReference w:id="85"/>
      </w:r>
      <w:r w:rsidR="007E0154">
        <w:t xml:space="preserve"> Dennoch entstehen hier zweifell</w:t>
      </w:r>
      <w:r w:rsidR="00194C25">
        <w:t>os Bedeutungen (beispielsweise ‚</w:t>
      </w:r>
      <w:r w:rsidR="007E0154">
        <w:t>Der Fahrer ist veran</w:t>
      </w:r>
      <w:r w:rsidR="00194C25">
        <w:t>twortungsvoll‘ oder ‚Der Fahrer überschätzt sich‘</w:t>
      </w:r>
      <w:r w:rsidR="007E0154">
        <w:t>). Kehrt man nun zu Stil bei Zeichengebrauch zurück, erkennt man, dass auch do</w:t>
      </w:r>
      <w:r w:rsidR="00AA4C86">
        <w:t>r</w:t>
      </w:r>
      <w:r w:rsidR="007E0154">
        <w:t>t keine Ableitung aus der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7E0154">
        <w:t xml:space="preserve"> der verwendeten Zeichen stattfindet: Beispielswe</w:t>
      </w:r>
      <w:r w:rsidR="007E0154">
        <w:t>i</w:t>
      </w:r>
      <w:r w:rsidR="007E0154">
        <w:t>se entst</w:t>
      </w:r>
      <w:r w:rsidR="00AE1D31">
        <w:t>eht die Bedeutung eines Stils, ‚</w:t>
      </w:r>
      <w:r w:rsidR="007E0154">
        <w:t>umst</w:t>
      </w:r>
      <w:r w:rsidR="00AE1D31">
        <w:t>ändlich‘</w:t>
      </w:r>
      <w:r w:rsidR="007E0154">
        <w:t xml:space="preserve"> zu sein, unabhängig davon, worüber gesprochen wird. Stil ist also ein Zeichenprozess, der nicht aus verwe</w:t>
      </w:r>
      <w:r w:rsidR="007E0154">
        <w:t>n</w:t>
      </w:r>
      <w:r w:rsidR="007E0154">
        <w:t xml:space="preserve">deten Zeichen resultiert, sondern </w:t>
      </w:r>
      <w:r w:rsidR="007E0154" w:rsidRPr="007E0154">
        <w:rPr>
          <w:i/>
        </w:rPr>
        <w:t>allein aus dem Prozess der Auswahl abgeleitet werden kann.</w:t>
      </w:r>
    </w:p>
    <w:p w:rsidR="00081DA8" w:rsidRDefault="00081DA8" w:rsidP="00081DA8">
      <w:pPr>
        <w:pStyle w:val="Text"/>
      </w:pPr>
      <w:r>
        <w:t xml:space="preserve">Damit ergeben sich jedoch auch Bedingungen für Auswahlsituationen, in denen Stil entstehen kann. Offensichtlich ist dies nur dann möglich, wenn aus dem Auswahlergebnis auf den Auswahlprozess rückgeschlossen werden kann, wofür eine gewisse Regelmäßigkeit nötig ist. Zudem muss der </w:t>
      </w:r>
      <w:r>
        <w:rPr>
          <w:i/>
          <w:iCs/>
        </w:rPr>
        <w:t>Möglichkeitsraum</w:t>
      </w:r>
      <w:r w:rsidR="005D7996">
        <w:rPr>
          <w:i/>
          <w:iCs/>
        </w:rPr>
        <w:fldChar w:fldCharType="begin"/>
      </w:r>
      <w:r w:rsidR="007A5993">
        <w:instrText xml:space="preserve"> XE "</w:instrText>
      </w:r>
      <w:r w:rsidR="007A5993" w:rsidRPr="007904ED">
        <w:instrText>Möglichkeitsraum</w:instrText>
      </w:r>
      <w:r w:rsidR="007A5993">
        <w:instrText xml:space="preserve">" </w:instrText>
      </w:r>
      <w:r w:rsidR="005D7996">
        <w:rPr>
          <w:i/>
          <w:iCs/>
        </w:rPr>
        <w:fldChar w:fldCharType="end"/>
      </w:r>
      <w:r>
        <w:t xml:space="preserve">, </w:t>
      </w:r>
      <w:r w:rsidR="00456824">
        <w:t xml:space="preserve">also </w:t>
      </w:r>
      <w:r>
        <w:t>die Menge an rele</w:t>
      </w:r>
      <w:r w:rsidR="00AE7833">
        <w:t>vanten Paradigmen, rekonstruierbar sein</w:t>
      </w:r>
      <w:r>
        <w:t>.</w:t>
      </w:r>
      <w:r w:rsidR="007E0154">
        <w:t xml:space="preserve"> Wenn man nicht weiß, woraus ausgewählt wurde, können die Prinzipien der Auswahl nicht e</w:t>
      </w:r>
      <w:r w:rsidR="007E0154">
        <w:t>r</w:t>
      </w:r>
      <w:r w:rsidR="007E0154">
        <w:t>kannt werden.</w:t>
      </w:r>
    </w:p>
    <w:p w:rsidR="00040BAA" w:rsidRDefault="007E0154" w:rsidP="00081DA8">
      <w:pPr>
        <w:pStyle w:val="Text"/>
      </w:pPr>
      <w:r>
        <w:t>Paradigmen</w:t>
      </w:r>
      <w:r w:rsidR="00081DA8">
        <w:t xml:space="preserve"> jedoch </w:t>
      </w:r>
      <w:r w:rsidR="00040BAA">
        <w:t>lassen</w:t>
      </w:r>
      <w:r>
        <w:t xml:space="preserve"> </w:t>
      </w:r>
      <w:r w:rsidR="00081DA8">
        <w:t xml:space="preserve">sich nur dann bilden, wenn es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rsidR="00081DA8">
        <w:t xml:space="preserve"> gibt. Im obigen Beispiel ist die Frage, was ein Mensch an einem </w:t>
      </w:r>
      <w:r>
        <w:t xml:space="preserve">bestimmten </w:t>
      </w:r>
      <w:r w:rsidR="00081DA8">
        <w:t xml:space="preserve">Tag tut, </w:t>
      </w:r>
      <w:r w:rsidR="00040BAA">
        <w:t>nicht</w:t>
      </w:r>
      <w:r w:rsidR="00081DA8">
        <w:t xml:space="preserve"> für die Erzeugung von Stil geeignet, </w:t>
      </w:r>
      <w:r w:rsidR="00291CFF">
        <w:t xml:space="preserve">solange </w:t>
      </w:r>
      <w:r w:rsidR="00040BAA">
        <w:t xml:space="preserve">wir kein </w:t>
      </w:r>
      <w:r w:rsidR="00730DC3">
        <w:t>Äqui</w:t>
      </w:r>
      <w:r w:rsidR="00730DC3">
        <w:softHyphen/>
        <w:t>valenz</w:t>
      </w:r>
      <w:r w:rsidR="00730DC3">
        <w:softHyphen/>
        <w:t>krit</w:t>
      </w:r>
      <w:r w:rsidR="00040BAA">
        <w:t xml:space="preserve">erium annehmen. </w:t>
      </w:r>
      <w:r w:rsidR="00754B23">
        <w:t xml:space="preserve">Solange </w:t>
      </w:r>
      <w:r w:rsidR="00E63557">
        <w:t>wir keine Hypothese dafür aufstellen, aus welchen Möglichkeiten das konkrete Verhalten ausgewählt wurde, können wir auch keine Regel aufstell</w:t>
      </w:r>
      <w:r w:rsidR="00754B23">
        <w:t>en, die es spezifiziert</w:t>
      </w:r>
      <w:r w:rsidR="00E63557">
        <w:t xml:space="preserve">. </w:t>
      </w:r>
      <w:r w:rsidR="001D5547">
        <w:t>Nehmen wir dagegen ‚</w:t>
      </w:r>
      <w:r w:rsidR="00040BAA">
        <w:t>einen durchschnittl</w:t>
      </w:r>
      <w:r w:rsidR="00040BAA">
        <w:t>i</w:t>
      </w:r>
      <w:r w:rsidR="00040BAA">
        <w:t xml:space="preserve">chen Tag </w:t>
      </w:r>
      <w:r w:rsidR="00E63557">
        <w:t>gestalten</w:t>
      </w:r>
      <w:r w:rsidR="001D5547">
        <w:t>‘</w:t>
      </w:r>
      <w:r w:rsidR="00040BAA">
        <w:t xml:space="preserve"> </w:t>
      </w:r>
      <w:r w:rsidR="00363A12">
        <w:t xml:space="preserve">als </w:t>
      </w:r>
      <w:r w:rsidR="00730DC3">
        <w:t>Äqui</w:t>
      </w:r>
      <w:r w:rsidR="00730DC3">
        <w:softHyphen/>
        <w:t>valenz</w:t>
      </w:r>
      <w:r w:rsidR="00730DC3">
        <w:softHyphen/>
        <w:t>krit</w:t>
      </w:r>
      <w:r w:rsidR="00363A12">
        <w:t xml:space="preserve">erium </w:t>
      </w:r>
      <w:r w:rsidR="00040BAA">
        <w:t xml:space="preserve">an, können wir Merkmale eines </w:t>
      </w:r>
      <w:r w:rsidR="00363A12">
        <w:t>‚</w:t>
      </w:r>
      <w:r w:rsidR="00040BAA">
        <w:t>L</w:t>
      </w:r>
      <w:r w:rsidR="00040BAA">
        <w:t>e</w:t>
      </w:r>
      <w:r w:rsidR="00040BAA">
        <w:t>bensstils</w:t>
      </w:r>
      <w:r w:rsidR="00363A12">
        <w:t>‘</w:t>
      </w:r>
      <w:r w:rsidR="005D7996">
        <w:fldChar w:fldCharType="begin"/>
      </w:r>
      <w:r w:rsidR="00673F18">
        <w:instrText xml:space="preserve"> XE "</w:instrText>
      </w:r>
      <w:r w:rsidR="00673F18" w:rsidRPr="00B41AC9">
        <w:instrText>Lebensstil</w:instrText>
      </w:r>
      <w:r w:rsidR="00673F18">
        <w:instrText xml:space="preserve">" </w:instrText>
      </w:r>
      <w:r w:rsidR="005D7996">
        <w:fldChar w:fldCharType="end"/>
      </w:r>
      <w:r w:rsidR="00040BAA">
        <w:t xml:space="preserve"> (oder auch eines</w:t>
      </w:r>
      <w:r w:rsidR="001D5547">
        <w:t xml:space="preserve"> ‚Zeitverwendungsstils‘ oder eines ‚</w:t>
      </w:r>
      <w:r w:rsidR="00040BAA">
        <w:t>Tagesplanung</w:t>
      </w:r>
      <w:r w:rsidR="00040BAA">
        <w:t>s</w:t>
      </w:r>
      <w:r w:rsidR="00040BAA">
        <w:t>stils</w:t>
      </w:r>
      <w:r w:rsidR="001D5547">
        <w:t>‘</w:t>
      </w:r>
      <w:r w:rsidR="00040BAA">
        <w:t>, kurz: jedes Stils, der für entsprechende Paradigmen eine Auswahl spezif</w:t>
      </w:r>
      <w:r w:rsidR="00040BAA">
        <w:t>i</w:t>
      </w:r>
      <w:r w:rsidR="00040BAA">
        <w:t xml:space="preserve">zieren könnte) </w:t>
      </w:r>
      <w:r w:rsidR="00557726">
        <w:t>gewinnen</w:t>
      </w:r>
      <w:r w:rsidR="00E63557">
        <w:t>.</w:t>
      </w:r>
    </w:p>
    <w:p w:rsidR="00040BAA" w:rsidRDefault="00E63557" w:rsidP="00081DA8">
      <w:pPr>
        <w:pStyle w:val="Text"/>
      </w:pPr>
      <w:r>
        <w:t xml:space="preserve">Will man einen Stil erkennen, kann man jedoch nicht blind irgendwelche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annehmen. Postuliert man </w:t>
      </w:r>
      <w:r w:rsidR="00A8216F">
        <w:t xml:space="preserve">bei Betrachtung eines </w:t>
      </w:r>
      <w:r w:rsidR="00B364DB">
        <w:t xml:space="preserve">Stuhls das </w:t>
      </w:r>
      <w:r w:rsidR="00730DC3">
        <w:t>Äqui</w:t>
      </w:r>
      <w:r w:rsidR="00730DC3">
        <w:softHyphen/>
        <w:t>valenz</w:t>
      </w:r>
      <w:r w:rsidR="00730DC3">
        <w:softHyphen/>
        <w:t>krit</w:t>
      </w:r>
      <w:r w:rsidR="00B364DB">
        <w:t>erium ‚ein Möbelstück herstellen‘</w:t>
      </w:r>
      <w:r>
        <w:t>, so erhält man zahlreiche E</w:t>
      </w:r>
      <w:r>
        <w:t>i</w:t>
      </w:r>
      <w:r>
        <w:lastRenderedPageBreak/>
        <w:t xml:space="preserve">genschaften als stilistische Eigenschaften, die tatsächlich Eigenschaften von Stühlen sind; man hat also einen völlig falschen Stil </w:t>
      </w:r>
      <w:r w:rsidR="006A1198">
        <w:t>wahrgenommen</w:t>
      </w:r>
      <w:r>
        <w:t xml:space="preserve">, weil man nicht erkannt hat, dass die </w:t>
      </w:r>
      <w:r w:rsidR="00730DC3">
        <w:t>Äqui</w:t>
      </w:r>
      <w:r w:rsidR="00730DC3">
        <w:softHyphen/>
        <w:t>valenz</w:t>
      </w:r>
      <w:r w:rsidR="00730DC3">
        <w:softHyphen/>
        <w:t>krit</w:t>
      </w:r>
      <w:r>
        <w:t>erien, die die Auswahl</w:t>
      </w:r>
      <w:r w:rsidR="00A8216F">
        <w:t>möglichkeiten</w:t>
      </w:r>
      <w:r>
        <w:t xml:space="preserve"> </w:t>
      </w:r>
      <w:r w:rsidR="00A8216F">
        <w:t>bestimmten</w:t>
      </w:r>
      <w:r w:rsidR="00B364DB">
        <w:t>, ‚einen Stuhl herstellen‘</w:t>
      </w:r>
      <w:r>
        <w:t xml:space="preserve"> waren.</w:t>
      </w:r>
    </w:p>
    <w:p w:rsidR="00081DA8" w:rsidRDefault="002A4D67" w:rsidP="00081DA8">
      <w:pPr>
        <w:pStyle w:val="Text"/>
      </w:pPr>
      <w:r>
        <w:t xml:space="preserve">Kennen wir die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nicht, kann </w:t>
      </w:r>
      <w:r w:rsidR="00081DA8">
        <w:t>kein Zeichen bei der Au</w:t>
      </w:r>
      <w:r w:rsidR="00081DA8">
        <w:t>s</w:t>
      </w:r>
      <w:r w:rsidR="00081DA8">
        <w:t xml:space="preserve">wahl </w:t>
      </w:r>
      <w:r>
        <w:t>und damit kein Stil wahrgenommen werden</w:t>
      </w:r>
      <w:r w:rsidR="00081DA8">
        <w:t xml:space="preserve">. </w:t>
      </w:r>
      <w:r>
        <w:t>Weiß ich nicht, was den ko</w:t>
      </w:r>
      <w:r>
        <w:t>n</w:t>
      </w:r>
      <w:r>
        <w:t>kreten Tagesablauf einer Person bestimmt hat, kann ich keinen Stil daraus abl</w:t>
      </w:r>
      <w:r>
        <w:t>e</w:t>
      </w:r>
      <w:r>
        <w:t xml:space="preserve">sen; wenn sie spät aufsteht, könnte dies ein Merkmal ihres </w:t>
      </w:r>
      <w:r w:rsidR="001D5547">
        <w:t>‚</w:t>
      </w:r>
      <w:r>
        <w:t>Tagesablaufsstils</w:t>
      </w:r>
      <w:r w:rsidR="001D5547">
        <w:t>‘ (oder allgemeiner: ihres ‚</w:t>
      </w:r>
      <w:r>
        <w:t>Lebensstils</w:t>
      </w:r>
      <w:r w:rsidR="005D7996">
        <w:fldChar w:fldCharType="begin"/>
      </w:r>
      <w:r w:rsidR="00673F18">
        <w:instrText xml:space="preserve"> XE "</w:instrText>
      </w:r>
      <w:r w:rsidR="00673F18" w:rsidRPr="00B41AC9">
        <w:instrText>Lebensstil</w:instrText>
      </w:r>
      <w:r w:rsidR="00673F18">
        <w:instrText xml:space="preserve">" </w:instrText>
      </w:r>
      <w:r w:rsidR="005D7996">
        <w:fldChar w:fldCharType="end"/>
      </w:r>
      <w:r w:rsidR="001D5547">
        <w:t>‘</w:t>
      </w:r>
      <w:r>
        <w:t>) sein, aber auch an einer Krankheit oder an der Notwendigkeit liegen, nach einer anstrengenden Spätschicht am Vorabend die nötige Erholung für einen anspruchsvollen Tag zu gewinnen.</w:t>
      </w:r>
      <w:r>
        <w:rPr>
          <w:rStyle w:val="Funotenzeichen"/>
        </w:rPr>
        <w:footnoteReference w:id="86"/>
      </w:r>
    </w:p>
    <w:p w:rsidR="00081DA8" w:rsidRDefault="003143E5" w:rsidP="00707895">
      <w:pPr>
        <w:pStyle w:val="Text"/>
      </w:pPr>
      <w:r>
        <w:t>A</w:t>
      </w:r>
      <w:r w:rsidR="00081DA8">
        <w:t xml:space="preserve">nders sieht es aus, wenn </w:t>
      </w:r>
      <w:r>
        <w:t xml:space="preserve">wir </w:t>
      </w:r>
      <w:r w:rsidR="002A4D67">
        <w:t xml:space="preserve">die </w:t>
      </w:r>
      <w:r w:rsidR="00730DC3">
        <w:t>Äqui</w:t>
      </w:r>
      <w:r w:rsidR="00730DC3">
        <w:softHyphen/>
        <w:t>valenz</w:t>
      </w:r>
      <w:r w:rsidR="00730DC3">
        <w:softHyphen/>
        <w:t>krit</w:t>
      </w:r>
      <w:r w:rsidR="00081DA8">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rsidR="002A4D67">
        <w:t xml:space="preserve"> kenne</w:t>
      </w:r>
      <w:r>
        <w:t>n</w:t>
      </w:r>
      <w:r w:rsidR="002A4D67">
        <w:t>: Diese schränken den Vorgang auf die für die stilistische Auswahl gegebenen Möglic</w:t>
      </w:r>
      <w:r w:rsidR="002A4D67">
        <w:t>h</w:t>
      </w:r>
      <w:r w:rsidR="002A4D67">
        <w:t>keiten ein</w:t>
      </w:r>
      <w:r w:rsidR="00081DA8">
        <w:t>. Zugleich darf auch keine vollständige Bestimm</w:t>
      </w:r>
      <w:r w:rsidR="002A4D67">
        <w:t>theit</w:t>
      </w:r>
      <w:r w:rsidR="00081DA8">
        <w:t xml:space="preserve"> vorliegen, da dann kein Auswahlprozess </w:t>
      </w:r>
      <w:r w:rsidR="002A4D67">
        <w:t xml:space="preserve">mehr </w:t>
      </w:r>
      <w:r w:rsidR="00081DA8">
        <w:t>stattfindet</w:t>
      </w:r>
      <w:r w:rsidR="002A4D67">
        <w:t xml:space="preserve"> und kein Stil </w:t>
      </w:r>
      <w:r w:rsidR="00AF0FDA">
        <w:t xml:space="preserve">auf erkennbare Weise </w:t>
      </w:r>
      <w:r w:rsidR="00512B24">
        <w:t xml:space="preserve">angewendet </w:t>
      </w:r>
      <w:r w:rsidR="002A4D67">
        <w:t>werden kann</w:t>
      </w:r>
      <w:r w:rsidR="00081DA8">
        <w:t xml:space="preserve">. </w:t>
      </w:r>
      <w:r w:rsidR="00572637">
        <w:t>Ein typisches Beispiel zeigt</w:t>
      </w:r>
      <w:r w:rsidR="00081DA8">
        <w:t>, warum beide Bedingu</w:t>
      </w:r>
      <w:r w:rsidR="00081DA8">
        <w:t>n</w:t>
      </w:r>
      <w:r w:rsidR="00081DA8">
        <w:t xml:space="preserve">gen gelten müssen: Wenn </w:t>
      </w:r>
      <w:r w:rsidR="0094044D">
        <w:t xml:space="preserve">heute </w:t>
      </w:r>
      <w:r w:rsidR="00081DA8">
        <w:t xml:space="preserve">ein Designer </w:t>
      </w:r>
      <w:r w:rsidR="0094044D">
        <w:t xml:space="preserve">(oder in früheren Zeiten der Handwerker selbst) </w:t>
      </w:r>
      <w:r w:rsidR="00081DA8">
        <w:t xml:space="preserve">einen Stuhl gestaltet, gibt es </w:t>
      </w:r>
      <w:r w:rsidR="00730DC3">
        <w:t>Äqui</w:t>
      </w:r>
      <w:r w:rsidR="00730DC3">
        <w:softHyphen/>
        <w:t>valenz</w:t>
      </w:r>
      <w:r w:rsidR="00730DC3">
        <w:softHyphen/>
        <w:t>krit</w:t>
      </w:r>
      <w:r w:rsidR="00081DA8">
        <w:t>erien, die in di</w:t>
      </w:r>
      <w:r w:rsidR="00081DA8">
        <w:t>e</w:t>
      </w:r>
      <w:r w:rsidR="00081DA8">
        <w:t xml:space="preserve">sem Fall vor allem das Endprodukt, dessen Funktion, ungefähre Größe usw. betreffen. Bei der Herstellung eines Stuhls kann Stil entstehen, weil wir </w:t>
      </w:r>
      <w:r w:rsidR="001F7815">
        <w:t>bei den meisten Dingen sagen können, ob sie ein Stuhl sind oder nicht, selbst wenn wir so einen Stuhl oder Nicht-Stuhl noch nie gesehen haben – also weil wir wissen, wie wir das Wort „Stuhl“ gebrauchen</w:t>
      </w:r>
      <w:r w:rsidR="00081DA8">
        <w:t xml:space="preserve">. </w:t>
      </w:r>
      <w:r w:rsidR="004E0006">
        <w:t xml:space="preserve">Mit anderen Worten: </w:t>
      </w:r>
      <w:r w:rsidR="001F7815">
        <w:t>„Stuhl“ bezeichnet ein</w:t>
      </w:r>
      <w:r w:rsidR="00707895">
        <w:t>e</w:t>
      </w:r>
      <w:r w:rsidR="001F7815">
        <w:t xml:space="preserve"> </w:t>
      </w:r>
      <w:r w:rsidR="00707895">
        <w:t xml:space="preserve">Kategorie, die genauer beschrieben werden kann, indem eine Menge von </w:t>
      </w:r>
      <w:r w:rsidR="0094044D">
        <w:t xml:space="preserve">Bestandteilen </w:t>
      </w:r>
      <w:r w:rsidR="00707895">
        <w:t>(wie Lehne</w:t>
      </w:r>
      <w:r w:rsidR="00572637">
        <w:t>,</w:t>
      </w:r>
      <w:r w:rsidR="00707895">
        <w:t xml:space="preserve"> Beine</w:t>
      </w:r>
      <w:r w:rsidR="00572637">
        <w:t>,</w:t>
      </w:r>
      <w:r w:rsidR="00707895">
        <w:t xml:space="preserve"> Sitzfläche), Relationen zwischen den </w:t>
      </w:r>
      <w:r w:rsidR="0094044D">
        <w:t>Bestan</w:t>
      </w:r>
      <w:r w:rsidR="0094044D">
        <w:t>d</w:t>
      </w:r>
      <w:r w:rsidR="0094044D">
        <w:t>teilen</w:t>
      </w:r>
      <w:r w:rsidR="00707895">
        <w:t xml:space="preserve"> (</w:t>
      </w:r>
      <w:r w:rsidR="00572637">
        <w:t xml:space="preserve">wie </w:t>
      </w:r>
      <w:r w:rsidR="00707895">
        <w:t>Anordnung und relative Maße zueinander) sowie weitere Eigenscha</w:t>
      </w:r>
      <w:r w:rsidR="00707895">
        <w:t>f</w:t>
      </w:r>
      <w:r w:rsidR="00707895">
        <w:t>ten (etwa Anforderungen an das Material, statische Eigenschaften usw.) spezif</w:t>
      </w:r>
      <w:r w:rsidR="00707895">
        <w:t>i</w:t>
      </w:r>
      <w:r w:rsidR="00707895">
        <w:t xml:space="preserve">ziert werden. Wir werden für solche Beschreibungen </w:t>
      </w:r>
      <w:r w:rsidR="00991217">
        <w:t>die Bezeichnung „</w:t>
      </w:r>
      <w:r w:rsidR="001F7815">
        <w:t>Schema</w:t>
      </w:r>
      <w:r w:rsidR="00991217">
        <w:t>“</w:t>
      </w:r>
      <w:r w:rsidR="001F7815">
        <w:t xml:space="preserve"> einführen (vgl. Abschnitt</w:t>
      </w:r>
      <w:r w:rsidR="009872C4">
        <w:t xml:space="preserve"> </w:t>
      </w:r>
      <w:r w:rsidR="005D7996">
        <w:fldChar w:fldCharType="begin"/>
      </w:r>
      <w:r w:rsidR="009872C4">
        <w:instrText xml:space="preserve"> REF _Ref324923435 \r \h </w:instrText>
      </w:r>
      <w:r w:rsidR="005D7996">
        <w:fldChar w:fldCharType="separate"/>
      </w:r>
      <w:r w:rsidR="001231D3">
        <w:t>2.5</w:t>
      </w:r>
      <w:r w:rsidR="005D7996">
        <w:fldChar w:fldCharType="end"/>
      </w:r>
      <w:r w:rsidR="001F7815">
        <w:t xml:space="preserve">). </w:t>
      </w:r>
      <w:r w:rsidR="00707895">
        <w:t xml:space="preserve">Nur </w:t>
      </w:r>
      <w:r w:rsidR="009508AD">
        <w:t xml:space="preserve">wenn wir Schemata </w:t>
      </w:r>
      <w:r w:rsidR="00707895">
        <w:t xml:space="preserve">zugrundelegen, </w:t>
      </w:r>
      <w:r w:rsidR="00081DA8">
        <w:t>können wir beurteilen, welche Entscheidungen der Handwerker oder Designer bei der Gestaltung getroffen hat: es gibt Kriterien, die ein Stuhl zu erfüllen hat, aber auch Freiheit in der konkreten Ausführung, die einen Auswahlprozess ermögl</w:t>
      </w:r>
      <w:r w:rsidR="00081DA8">
        <w:t>i</w:t>
      </w:r>
      <w:r w:rsidR="00081DA8">
        <w:t>chen. Bei diesem Auswahlprozess kann dann ein Stil entstehen.</w:t>
      </w:r>
    </w:p>
    <w:p w:rsidR="00081DA8" w:rsidRDefault="00081DA8" w:rsidP="00081DA8">
      <w:pPr>
        <w:pStyle w:val="Text"/>
      </w:pPr>
      <w:r>
        <w:t>Somit schließt sich der Kreis: Wir haben oben</w:t>
      </w:r>
      <w:r>
        <w:rPr>
          <w:rStyle w:val="Funotenzeichen"/>
        </w:rPr>
        <w:footnoteReference w:id="87"/>
      </w:r>
      <w:r>
        <w:t xml:space="preserve"> erkannt, dass nicht alle Äquivalenzen stilistisch relevant sind; nun erkennen wir, dass nicht alle Au</w:t>
      </w:r>
      <w:r>
        <w:t>s</w:t>
      </w:r>
      <w:r>
        <w:t xml:space="preserve">wahlsituationen stilistisch relevant sind. </w:t>
      </w:r>
      <w:r w:rsidR="00A8216F">
        <w:t>Stilistische Auswahl muss von Auswahl, die durch andere Umstände bedingt ist, unterschieden werden. (</w:t>
      </w:r>
      <w:r w:rsidR="00456172">
        <w:t xml:space="preserve">Zu diesem </w:t>
      </w:r>
      <w:r w:rsidR="00456172">
        <w:lastRenderedPageBreak/>
        <w:t xml:space="preserve">Zweck </w:t>
      </w:r>
      <w:r w:rsidR="0096558D">
        <w:t xml:space="preserve">nehmen </w:t>
      </w:r>
      <w:r w:rsidR="00456172">
        <w:t xml:space="preserve">wir </w:t>
      </w:r>
      <w:r w:rsidR="00A8216F">
        <w:t>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A8216F">
        <w:t>,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A8216F">
        <w:t xml:space="preserve"> und inhaltl</w:t>
      </w:r>
      <w:r w:rsidR="00A8216F">
        <w:t>i</w:t>
      </w:r>
      <w:r w:rsidR="00A8216F">
        <w:t>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A8216F">
        <w:t xml:space="preserve"> an</w:t>
      </w:r>
      <w:r w:rsidR="00456172">
        <w:t xml:space="preserve">; vgl. Abschnitt </w:t>
      </w:r>
      <w:r w:rsidR="005D7996">
        <w:fldChar w:fldCharType="begin"/>
      </w:r>
      <w:r w:rsidR="00456172">
        <w:instrText xml:space="preserve"> REF _Ref211841829 \r \h </w:instrText>
      </w:r>
      <w:r w:rsidR="005D7996">
        <w:fldChar w:fldCharType="separate"/>
      </w:r>
      <w:r w:rsidR="001231D3">
        <w:t>4.3.1</w:t>
      </w:r>
      <w:r w:rsidR="005D7996">
        <w:fldChar w:fldCharType="end"/>
      </w:r>
      <w:r w:rsidR="00456172">
        <w:t>, (2).</w:t>
      </w:r>
      <w:r w:rsidR="00A8216F">
        <w:t>)</w:t>
      </w:r>
    </w:p>
    <w:p w:rsidR="00CC30F8" w:rsidRDefault="00D84C34" w:rsidP="00CC30F8">
      <w:pPr>
        <w:pStyle w:val="Titel2"/>
      </w:pPr>
      <w:bookmarkStart w:id="45" w:name="_Ref267685078"/>
      <w:bookmarkStart w:id="46" w:name="_Toc325456698"/>
      <w:bookmarkStart w:id="47" w:name="Alternativenklasse"/>
      <w:bookmarkStart w:id="48" w:name="Realisierung"/>
      <w:bookmarkEnd w:id="31"/>
      <w:r>
        <w:t>Alternativenklasse und Realisierung</w:t>
      </w:r>
      <w:bookmarkEnd w:id="45"/>
      <w:bookmarkEnd w:id="46"/>
    </w:p>
    <w:p w:rsidR="00C90DD8" w:rsidRDefault="005D7996" w:rsidP="0073775B">
      <w:pPr>
        <w:pStyle w:val="Text"/>
        <w:ind w:firstLine="0"/>
      </w:pPr>
      <w:r>
        <w:fldChar w:fldCharType="begin"/>
      </w:r>
      <w:r w:rsidR="00F2781E">
        <w:instrText xml:space="preserve"> XE "Alternativenklasse" \r "Alternativenklasse" </w:instrText>
      </w:r>
      <w:r>
        <w:fldChar w:fldCharType="end"/>
      </w:r>
      <w:r w:rsidRPr="002A5370">
        <w:fldChar w:fldCharType="begin"/>
      </w:r>
      <w:r w:rsidR="00F2781E" w:rsidRPr="002A5370">
        <w:instrText xml:space="preserve"> XE "</w:instrText>
      </w:r>
      <w:r w:rsidR="00F2781E">
        <w:instrText>Alternativenklasse</w:instrText>
      </w:r>
      <w:r w:rsidR="00F2781E" w:rsidRPr="002A5370">
        <w:instrText>" \t "</w:instrText>
      </w:r>
      <w:r w:rsidR="00015942">
        <w:rPr>
          <w:rFonts w:cstheme="minorHAnsi"/>
          <w:i/>
        </w:rPr>
        <w:instrText>et passim</w:instrText>
      </w:r>
      <w:r w:rsidR="00F2781E" w:rsidRPr="002A5370">
        <w:instrText xml:space="preserve">" </w:instrText>
      </w:r>
      <w:r w:rsidRPr="002A5370">
        <w:fldChar w:fldCharType="end"/>
      </w:r>
      <w:r>
        <w:fldChar w:fldCharType="begin"/>
      </w:r>
      <w:r w:rsidR="00F2781E">
        <w:instrText xml:space="preserve"> XE "Realisierung" \r "Realisierung" </w:instrText>
      </w:r>
      <w:r>
        <w:fldChar w:fldCharType="end"/>
      </w:r>
      <w:r w:rsidRPr="002A5370">
        <w:fldChar w:fldCharType="begin"/>
      </w:r>
      <w:r w:rsidR="00F2781E" w:rsidRPr="002A5370">
        <w:instrText xml:space="preserve"> XE "</w:instrText>
      </w:r>
      <w:r w:rsidR="00F2781E">
        <w:instrText>Realisierung</w:instrText>
      </w:r>
      <w:r w:rsidR="00F2781E" w:rsidRPr="002A5370">
        <w:instrText>" \t "</w:instrText>
      </w:r>
      <w:r w:rsidR="00015942">
        <w:rPr>
          <w:rFonts w:cstheme="minorHAnsi"/>
          <w:i/>
        </w:rPr>
        <w:instrText>et passim</w:instrText>
      </w:r>
      <w:r w:rsidR="00F2781E" w:rsidRPr="002A5370">
        <w:instrText xml:space="preserve">" </w:instrText>
      </w:r>
      <w:r w:rsidRPr="002A5370">
        <w:fldChar w:fldCharType="end"/>
      </w:r>
      <w:r>
        <w:fldChar w:fldCharType="begin"/>
      </w:r>
      <w:r w:rsidR="005B0778">
        <w:instrText xml:space="preserve"> XE "Realisierungsstelle" \r "Realisierung" </w:instrText>
      </w:r>
      <w:r>
        <w:fldChar w:fldCharType="end"/>
      </w:r>
      <w:r>
        <w:fldChar w:fldCharType="begin"/>
      </w:r>
      <w:r w:rsidR="005B0778">
        <w:instrText xml:space="preserve"> XE "Realisierung</w:instrText>
      </w:r>
      <w:r w:rsidR="003D4DBC">
        <w:instrText>sstelle</w:instrText>
      </w:r>
      <w:r w:rsidR="005B0778">
        <w:instrText>" \t "</w:instrText>
      </w:r>
      <w:r w:rsidR="005B0778" w:rsidRPr="005B0778">
        <w:rPr>
          <w:i/>
        </w:rPr>
        <w:instrText>et passim</w:instrText>
      </w:r>
      <w:r w:rsidR="005B0778">
        <w:instrText xml:space="preserve">" </w:instrText>
      </w:r>
      <w:r>
        <w:fldChar w:fldCharType="end"/>
      </w:r>
      <w:r w:rsidR="0050012A">
        <w:t xml:space="preserve">Wir haben </w:t>
      </w:r>
      <w:r w:rsidR="00CC30F8">
        <w:t>gesehen, dass Stil als Zeichen analysiert werden muss, das bei Au</w:t>
      </w:r>
      <w:r w:rsidR="00CC30F8">
        <w:t>s</w:t>
      </w:r>
      <w:r w:rsidR="00CC30F8">
        <w:t>wahl entsteht. Um den Auswahlvorgang erfassen zu können, muss man eine Struktur beschreiben, aus der ausgewählt wird, und eine Struktur, die das Au</w:t>
      </w:r>
      <w:r w:rsidR="00CC30F8">
        <w:t>s</w:t>
      </w:r>
      <w:r w:rsidR="00CC30F8">
        <w:t>wahlergebnis enthält.</w:t>
      </w:r>
      <w:r w:rsidR="00292D1A">
        <w:t xml:space="preserve"> Es liegt nahe, hier auf die traditionsrei</w:t>
      </w:r>
      <w:r w:rsidR="00DB1A30">
        <w:t xml:space="preserve">chen </w:t>
      </w:r>
      <w:r w:rsidR="00DA336D">
        <w:t xml:space="preserve">Termini </w:t>
      </w:r>
      <w:r w:rsidR="00D666D7">
        <w:t>„</w:t>
      </w:r>
      <w:r w:rsidR="00DB1A30">
        <w:t>Par</w:t>
      </w:r>
      <w:r w:rsidR="00DB1A30">
        <w:t>a</w:t>
      </w:r>
      <w:r w:rsidR="00DB1A30">
        <w:t>digma</w:t>
      </w:r>
      <w:r>
        <w:fldChar w:fldCharType="begin"/>
      </w:r>
      <w:r w:rsidR="00D77298">
        <w:instrText xml:space="preserve"> XE "</w:instrText>
      </w:r>
      <w:r w:rsidR="00D77298" w:rsidRPr="006C2C00">
        <w:instrText>Paradigma</w:instrText>
      </w:r>
      <w:r w:rsidR="00D77298">
        <w:instrText xml:space="preserve">" </w:instrText>
      </w:r>
      <w:r>
        <w:fldChar w:fldCharType="end"/>
      </w:r>
      <w:r w:rsidR="00D666D7">
        <w:t>“</w:t>
      </w:r>
      <w:r w:rsidR="00DB1A30">
        <w:t xml:space="preserve"> und</w:t>
      </w:r>
      <w:r w:rsidR="00292D1A">
        <w:t xml:space="preserve"> </w:t>
      </w:r>
      <w:r w:rsidR="00D666D7">
        <w:t>„</w:t>
      </w:r>
      <w:r w:rsidR="00292D1A">
        <w:t>Syntagma</w:t>
      </w:r>
      <w:r>
        <w:fldChar w:fldCharType="begin"/>
      </w:r>
      <w:r w:rsidR="00D77298">
        <w:instrText xml:space="preserve"> XE "</w:instrText>
      </w:r>
      <w:r w:rsidR="00D77298" w:rsidRPr="006C2C00">
        <w:instrText>Syntagma</w:instrText>
      </w:r>
      <w:r w:rsidR="00D77298">
        <w:instrText xml:space="preserve">" </w:instrText>
      </w:r>
      <w:r>
        <w:fldChar w:fldCharType="end"/>
      </w:r>
      <w:r w:rsidR="00D666D7">
        <w:t>“</w:t>
      </w:r>
      <w:r w:rsidR="00292D1A">
        <w:t xml:space="preserve"> zurück</w:t>
      </w:r>
      <w:r w:rsidR="000E4305">
        <w:t>zugreifen</w:t>
      </w:r>
      <w:r w:rsidR="00292D1A">
        <w:t>.</w:t>
      </w:r>
    </w:p>
    <w:p w:rsidR="00CC30F8" w:rsidRDefault="00CC30F8" w:rsidP="00CC30F8">
      <w:pPr>
        <w:pStyle w:val="Text"/>
      </w:pPr>
      <w:r>
        <w:t>Eine der vier Saussureschen Dichotomien, die das Rückgrat des Struktur</w:t>
      </w:r>
      <w:r>
        <w:t>a</w:t>
      </w:r>
      <w:r>
        <w:t>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5D7996" w:rsidRPr="0089774D">
        <w:rPr>
          <w:rFonts w:eastAsia="Times New Roman" w:cs="Times New Roman"/>
        </w:rPr>
        <w:fldChar w:fldCharType="begin"/>
      </w:r>
      <w:r w:rsidR="0089774D" w:rsidRPr="0089774D">
        <w:instrText xml:space="preserve"> XE "Strukturalismus" \t "</w:instrText>
      </w:r>
      <w:r w:rsidR="004F383C">
        <w:rPr>
          <w:rFonts w:cstheme="minorHAnsi"/>
          <w:i/>
        </w:rPr>
        <w:instrText>s</w:instrText>
      </w:r>
      <w:r w:rsidR="0089774D" w:rsidRPr="0089774D">
        <w:rPr>
          <w:rFonts w:cstheme="minorHAnsi"/>
          <w:i/>
        </w:rPr>
        <w:instrText>iehe auch</w:instrText>
      </w:r>
      <w:r w:rsidR="0089774D" w:rsidRPr="0089774D">
        <w:rPr>
          <w:rFonts w:cstheme="minorHAnsi"/>
        </w:rPr>
        <w:instrText xml:space="preserve"> </w:instrText>
      </w:r>
      <w:r w:rsidR="0089774D" w:rsidRPr="0089774D">
        <w:instrText xml:space="preserve">Prager </w:instrText>
      </w:r>
      <w:r w:rsidR="0089774D" w:rsidRPr="0089774D">
        <w:rPr>
          <w:rFonts w:cstheme="minorHAnsi"/>
        </w:rPr>
        <w:instrText>Strukturalismus</w:instrText>
      </w:r>
      <w:r w:rsidR="0089774D" w:rsidRPr="0089774D">
        <w:instrText xml:space="preserve">" </w:instrText>
      </w:r>
      <w:r w:rsidR="005D7996" w:rsidRPr="0089774D">
        <w:rPr>
          <w:rFonts w:eastAsia="Times New Roman" w:cs="Times New Roman"/>
        </w:rPr>
        <w:fldChar w:fldCharType="end"/>
      </w:r>
      <w:r>
        <w:t xml:space="preserve"> bilden, ist die Dichotomie</w:t>
      </w:r>
      <w:r w:rsidR="005D7996">
        <w:fldChar w:fldCharType="begin"/>
      </w:r>
      <w:r w:rsidR="002D62C3">
        <w:instrText xml:space="preserve"> XE "</w:instrText>
      </w:r>
      <w:r w:rsidR="002D62C3" w:rsidRPr="00966889">
        <w:instrText>Dichotomie (Saussure)</w:instrText>
      </w:r>
      <w:r w:rsidR="002D62C3">
        <w:instrText xml:space="preserve">" </w:instrText>
      </w:r>
      <w:r w:rsidR="005D7996">
        <w:fldChar w:fldCharType="end"/>
      </w:r>
      <w:r>
        <w:t xml:space="preserve"> </w:t>
      </w:r>
      <w:r w:rsidR="00BA7A93">
        <w:t>„</w:t>
      </w:r>
      <w:r w:rsidR="00CA33C3" w:rsidRPr="000E4305">
        <w:t>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CA33C3">
        <w:t xml:space="preserve"> </w:t>
      </w:r>
      <w:r w:rsidR="00CA33C3" w:rsidRPr="000E4305">
        <w:t>–</w:t>
      </w:r>
      <w:r w:rsidR="00CA33C3">
        <w:t xml:space="preserve"> </w:t>
      </w:r>
      <w:r w:rsidRPr="000E4305">
        <w:t>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BA7A93">
        <w:t>“</w:t>
      </w:r>
      <w:r>
        <w:t>.</w:t>
      </w:r>
      <w:r>
        <w:rPr>
          <w:rStyle w:val="Funotenzeichen"/>
        </w:rPr>
        <w:footnoteReference w:id="88"/>
      </w:r>
      <w:r>
        <w:t xml:space="preserve"> Wie Jörn Albrecht anmerkt, handelt es sich bei den syntagmatischen Relationen um Relationen </w:t>
      </w:r>
      <w:r>
        <w:rPr>
          <w:i/>
        </w:rPr>
        <w:t>in praesentia</w:t>
      </w:r>
      <w:r>
        <w:t xml:space="preserve">, bei den paradigmatischen um Relationen </w:t>
      </w:r>
      <w:r>
        <w:rPr>
          <w:i/>
        </w:rPr>
        <w:t>in absentia</w:t>
      </w:r>
      <w:r>
        <w:t>. Die paradigmat</w:t>
      </w:r>
      <w:r>
        <w:t>i</w:t>
      </w:r>
      <w:r>
        <w:t>schen Relationen (</w:t>
      </w:r>
      <w:r w:rsidR="00602C3E">
        <w:t>die bei Saussure</w:t>
      </w:r>
      <w:r w:rsidR="005D7996">
        <w:fldChar w:fldCharType="begin"/>
      </w:r>
      <w:r w:rsidR="00D77298">
        <w:instrText xml:space="preserve"> XE "</w:instrText>
      </w:r>
      <w:r w:rsidR="00D77298" w:rsidRPr="0007712B">
        <w:instrText>Saussure, Ferdinand de</w:instrText>
      </w:r>
      <w:r w:rsidR="00D77298">
        <w:instrText xml:space="preserve">" </w:instrText>
      </w:r>
      <w:r w:rsidR="005D7996">
        <w:fldChar w:fldCharType="end"/>
      </w:r>
      <w:r w:rsidR="00602C3E">
        <w:t xml:space="preserve"> übrigens noch „</w:t>
      </w:r>
      <w:r>
        <w:t>assoziativ</w:t>
      </w:r>
      <w:r w:rsidR="00602C3E">
        <w:t>“</w:t>
      </w:r>
      <w:r>
        <w:t xml:space="preserve"> genannt werden; die Änderung stammt von Hjelmslev</w:t>
      </w:r>
      <w:r w:rsidR="005D7996">
        <w:fldChar w:fldCharType="begin"/>
      </w:r>
      <w:r w:rsidR="00D77298">
        <w:instrText xml:space="preserve"> XE "</w:instrText>
      </w:r>
      <w:r w:rsidR="00D77298" w:rsidRPr="0066089F">
        <w:instrText>Hjelmslev</w:instrText>
      </w:r>
      <w:r w:rsidR="00D77298">
        <w:instrText xml:space="preserve">" </w:instrText>
      </w:r>
      <w:r w:rsidR="005D7996">
        <w:fldChar w:fldCharType="end"/>
      </w:r>
      <w:r>
        <w:t>) sind von späteren Strukturalisten sehr unterschiedlich interpretiert worden.</w:t>
      </w:r>
      <w:r w:rsidR="00DC38CA">
        <w:t xml:space="preserve"> Albrecht widerspricht der (unter anderem </w:t>
      </w:r>
      <w:r>
        <w:t>von Chomsky</w:t>
      </w:r>
      <w:r w:rsidR="005D7996">
        <w:fldChar w:fldCharType="begin"/>
      </w:r>
      <w:r w:rsidR="00814884">
        <w:instrText xml:space="preserve"> XE "</w:instrText>
      </w:r>
      <w:r w:rsidR="00814884" w:rsidRPr="006C648C">
        <w:instrText>Chomsky, Noam</w:instrText>
      </w:r>
      <w:r w:rsidR="00814884">
        <w:instrText xml:space="preserve">" </w:instrText>
      </w:r>
      <w:r w:rsidR="005D7996">
        <w:fldChar w:fldCharType="end"/>
      </w:r>
      <w:r>
        <w:t xml:space="preserve"> und Lyons</w:t>
      </w:r>
      <w:r w:rsidR="005D7996">
        <w:fldChar w:fldCharType="begin"/>
      </w:r>
      <w:r w:rsidR="00814884">
        <w:instrText xml:space="preserve"> XE "</w:instrText>
      </w:r>
      <w:r w:rsidR="00814884" w:rsidRPr="00030CA9">
        <w:instrText>Lyons, John</w:instrText>
      </w:r>
      <w:r w:rsidR="00814884">
        <w:instrText xml:space="preserve">" </w:instrText>
      </w:r>
      <w:r w:rsidR="005D7996">
        <w:fldChar w:fldCharType="end"/>
      </w:r>
      <w:r>
        <w:t xml:space="preserve"> vertretenen) Auffassung, dass es sich bei den Paradi</w:t>
      </w:r>
      <w:r>
        <w:t>g</w:t>
      </w:r>
      <w:r>
        <w:t xml:space="preserve">men um Distributionsklassen handelt, </w:t>
      </w:r>
      <w:r w:rsidR="00DC38CA">
        <w:t xml:space="preserve">also </w:t>
      </w:r>
      <w:r>
        <w:t>um Klassen von Elementen, die in derselben Position eines Syntagmas erscheinen können:</w:t>
      </w:r>
      <w:r>
        <w:rPr>
          <w:rStyle w:val="Funotenzeichen"/>
        </w:rPr>
        <w:footnoteReference w:id="89"/>
      </w:r>
    </w:p>
    <w:p w:rsidR="00CC30F8" w:rsidRDefault="00CC30F8" w:rsidP="00CC30F8">
      <w:pPr>
        <w:pStyle w:val="Zitat"/>
      </w:pPr>
      <w:r>
        <w:t>Ein 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t xml:space="preserve"> ist vielmehr eine Klasse von Elementen der </w:t>
      </w:r>
      <w:r>
        <w:rPr>
          <w:i/>
        </w:rPr>
        <w:t>langue</w:t>
      </w:r>
      <w:r>
        <w:t>, aus denen hinsichtlich einer bestimmten Ausdrucksabsicht eine Wahl getroffen werden muß. Eine solche Wahl kann u.U. auch im Hinblick auf gewisse syntagmatische Erfordernisse wie Kongruenz oder Rektion zu treffen sein, und so gibt es P</w:t>
      </w:r>
      <w:r>
        <w:t>a</w:t>
      </w:r>
      <w:r>
        <w:t>radigmen, deren Elemente gerade nicht in derselben Position eines Syntagmas erscheinen können, z.B. die Kasus eines Nomens.</w:t>
      </w:r>
    </w:p>
    <w:p w:rsidR="00CC30F8" w:rsidRDefault="00CC30F8" w:rsidP="000C0088">
      <w:pPr>
        <w:pStyle w:val="Text"/>
        <w:ind w:firstLine="0"/>
      </w:pPr>
      <w:r>
        <w:t>Tatsächlich reicht die distributionalistische Auffassung von Paradigmen, die die Wohlgeformtheit</w:t>
      </w:r>
      <w:r w:rsidR="005D7996">
        <w:fldChar w:fldCharType="begin"/>
      </w:r>
      <w:r w:rsidR="00C51357">
        <w:instrText xml:space="preserve"> XE "</w:instrText>
      </w:r>
      <w:r w:rsidR="00C51357" w:rsidRPr="00141F00">
        <w:instrText>Wohlgeformtheit</w:instrText>
      </w:r>
      <w:r w:rsidR="00C51357">
        <w:instrText xml:space="preserve">" </w:instrText>
      </w:r>
      <w:r w:rsidR="005D7996">
        <w:fldChar w:fldCharType="end"/>
      </w:r>
      <w:r>
        <w:t xml:space="preserve"> des Syntagmas zum einzigen </w:t>
      </w:r>
      <w:r w:rsidR="00730DC3">
        <w:t>Äqui</w:t>
      </w:r>
      <w:r w:rsidR="00730DC3">
        <w:softHyphen/>
        <w:t>valenz</w:t>
      </w:r>
      <w:r w:rsidR="00730DC3">
        <w:softHyphen/>
        <w:t>krit</w:t>
      </w:r>
      <w:r>
        <w:t>erium macht, für unsere Zwecke nicht aus (vgl. Abschnitt</w:t>
      </w:r>
      <w:r w:rsidR="009872C4">
        <w:t xml:space="preserve"> </w:t>
      </w:r>
      <w:r w:rsidR="005D7996">
        <w:fldChar w:fldCharType="begin"/>
      </w:r>
      <w:r w:rsidR="009872C4">
        <w:instrText xml:space="preserve"> REF _Ref324923711 \r \h </w:instrText>
      </w:r>
      <w:r w:rsidR="005D7996">
        <w:fldChar w:fldCharType="separate"/>
      </w:r>
      <w:r w:rsidR="001231D3">
        <w:t>2.5</w:t>
      </w:r>
      <w:r w:rsidR="005D7996">
        <w:fldChar w:fldCharType="end"/>
      </w:r>
      <w:r w:rsidR="00DC230E">
        <w:t xml:space="preserve">). </w:t>
      </w:r>
      <w:r>
        <w:t>Die Albrechtsche Definition wi</w:t>
      </w:r>
      <w:r>
        <w:t>e</w:t>
      </w:r>
      <w:r>
        <w:t>derum ist zu weit, da sie auch Wortklassen einschließt, also Elemente, deren Auftreten gerade durch den syntagmatischen Kontext bestimmt wird und damit sicherlich keine Frage des Stils ist.</w:t>
      </w:r>
    </w:p>
    <w:p w:rsidR="00D84C34" w:rsidRDefault="000E4305" w:rsidP="00D84C34">
      <w:pPr>
        <w:pStyle w:val="Text"/>
      </w:pPr>
      <w:r>
        <w:t>D</w:t>
      </w:r>
      <w:r w:rsidR="00D84C34">
        <w:t xml:space="preserve">ie strukturalistischen </w:t>
      </w:r>
      <w:r w:rsidR="00CA33C3">
        <w:t>Termini „</w:t>
      </w:r>
      <w:r w:rsidR="00CA33C3" w:rsidRPr="000E4305">
        <w:t>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CA33C3">
        <w:t>“ und „</w:t>
      </w:r>
      <w:r w:rsidR="00CA33C3" w:rsidRPr="000E4305">
        <w:t>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CA33C3">
        <w:t xml:space="preserve">“ </w:t>
      </w:r>
      <w:r>
        <w:t>werden j</w:t>
      </w:r>
      <w:r>
        <w:t>e</w:t>
      </w:r>
      <w:r>
        <w:t xml:space="preserve">doch stets für Strukturen verwendet, die Zeichen enthalten. </w:t>
      </w:r>
      <w:r w:rsidR="00D84C34">
        <w:t xml:space="preserve">Stile kommen </w:t>
      </w:r>
      <w:r w:rsidR="00C72627">
        <w:t>j</w:t>
      </w:r>
      <w:r w:rsidR="00C72627">
        <w:t>e</w:t>
      </w:r>
      <w:r w:rsidR="00C72627">
        <w:t xml:space="preserve">doch </w:t>
      </w:r>
      <w:r w:rsidR="00D84C34">
        <w:t>nicht nur bei Zeichengebrauch vor (etwa bei Texten), sondern können auch bei einfachen Verhaltensweisen auftreten, wie das Beispiel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D84C34">
        <w:t xml:space="preserve"> zeigt. Obwohl die </w:t>
      </w:r>
      <w:r w:rsidR="00CA33C3">
        <w:t>Termini „</w:t>
      </w:r>
      <w:r w:rsidR="00CA33C3" w:rsidRPr="000E4305">
        <w:t>Paradigma</w:t>
      </w:r>
      <w:r w:rsidR="00CA33C3">
        <w:t>“ und „</w:t>
      </w:r>
      <w:r w:rsidR="00CA33C3" w:rsidRPr="000E4305">
        <w:t>Syntagma</w:t>
      </w:r>
      <w:r w:rsidR="00CA33C3">
        <w:t xml:space="preserve">“ </w:t>
      </w:r>
      <w:r w:rsidR="00D84C34">
        <w:t>vom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D84C34">
        <w:t xml:space="preserve"> über den Bereich sprachlicher Texte hinaus verallgemeinert wurden, verstand man sie </w:t>
      </w:r>
      <w:r w:rsidR="00D84C34">
        <w:lastRenderedPageBreak/>
        <w:t xml:space="preserve">doch </w:t>
      </w:r>
      <w:r w:rsidR="009508AD">
        <w:t xml:space="preserve">meist </w:t>
      </w:r>
      <w:r w:rsidR="00D84C34">
        <w:t>als Strukturen, die Zeichen enthalten (Paradigma) bzw. sich aus di</w:t>
      </w:r>
      <w:r w:rsidR="00D84C34">
        <w:t>e</w:t>
      </w:r>
      <w:r w:rsidR="00D84C34">
        <w:t>sen zusammensetzen (Syntagma).</w:t>
      </w:r>
    </w:p>
    <w:p w:rsidR="00D84C34" w:rsidRDefault="00D84C34" w:rsidP="00D84C34">
      <w:pPr>
        <w:pStyle w:val="Text"/>
      </w:pPr>
      <w:r>
        <w:t xml:space="preserve">Anstatt die traditionsreichen </w:t>
      </w:r>
      <w:r w:rsidR="00D666D7">
        <w:t xml:space="preserve">Termini </w:t>
      </w:r>
      <w:r w:rsidR="00C72627">
        <w:t>über Zeichengebrauch hinaus zu ve</w:t>
      </w:r>
      <w:r w:rsidR="00C72627">
        <w:t>r</w:t>
      </w:r>
      <w:r w:rsidR="00C72627">
        <w:t>allgemeinern</w:t>
      </w:r>
      <w:r>
        <w:t xml:space="preserve">, was leicht zu Missverständnissen führen könnte, wählen wir neue </w:t>
      </w:r>
      <w:r w:rsidR="00D666D7">
        <w:t>Bezeichnungen</w:t>
      </w:r>
      <w:r>
        <w:t>:</w:t>
      </w:r>
      <w:r w:rsidR="00CA33C3">
        <w:t xml:space="preserve"> </w:t>
      </w:r>
      <w:r w:rsidR="00D666D7">
        <w:t>„</w:t>
      </w:r>
      <w:r>
        <w:t>Alternativenklasse</w:t>
      </w:r>
      <w:r w:rsidR="00D666D7">
        <w:t>“</w:t>
      </w:r>
      <w:r>
        <w:t xml:space="preserve"> </w:t>
      </w:r>
      <w:r w:rsidR="00CA33C3">
        <w:t xml:space="preserve">soll </w:t>
      </w:r>
      <w:r>
        <w:t xml:space="preserve">als Verallgemeinerung für </w:t>
      </w:r>
      <w:r w:rsidR="00D666D7">
        <w:t>„</w:t>
      </w:r>
      <w:r>
        <w:t>Paradi</w:t>
      </w:r>
      <w:r>
        <w:t>g</w:t>
      </w:r>
      <w:r>
        <w:t>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D666D7">
        <w:t>“</w:t>
      </w:r>
      <w:r w:rsidR="00CA33C3">
        <w:t>, „Realisierung“ als Verallgemeinerung für „Syntagma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CA33C3">
        <w:t xml:space="preserve">“ </w:t>
      </w:r>
      <w:r>
        <w:t xml:space="preserve">verwendet werden. Um eine Verallgemeinerung handelt es sich </w:t>
      </w:r>
      <w:r w:rsidR="00C74D2C">
        <w:t>insofern</w:t>
      </w:r>
      <w:r>
        <w:t xml:space="preserve">, </w:t>
      </w:r>
      <w:r w:rsidR="00C74D2C">
        <w:t xml:space="preserve">als </w:t>
      </w:r>
      <w:r>
        <w:t>die charakteristische Relation zwischen Syntagma und Paradigma nicht nur bei Zeichengebrauch b</w:t>
      </w:r>
      <w:r>
        <w:t>e</w:t>
      </w:r>
      <w:r>
        <w:t>schrieben werden kann.</w:t>
      </w:r>
    </w:p>
    <w:p w:rsidR="0052634B" w:rsidRDefault="0052634B" w:rsidP="00D84C34">
      <w:pPr>
        <w:pStyle w:val="Text"/>
      </w:pPr>
      <w:r>
        <w:t xml:space="preserve">Eine </w:t>
      </w:r>
      <w:r w:rsidRPr="0052634B">
        <w:rPr>
          <w:i/>
        </w:rPr>
        <w:t>Realisierung</w:t>
      </w:r>
      <w:r>
        <w:t xml:space="preserve"> entsteht bei der Ausführung eines bestimmten Schemas; sie besteht aus verschiedenen </w:t>
      </w:r>
      <w:r w:rsidRPr="0052634B">
        <w:rPr>
          <w:i/>
        </w:rPr>
        <w:t>Realisierungsstellen</w:t>
      </w:r>
      <w:r>
        <w:t>, die jeweils einem bestimmten Schemaort zugeordnet werden können. (Schema und Schemaort werden in A</w:t>
      </w:r>
      <w:r>
        <w:t>b</w:t>
      </w:r>
      <w:r>
        <w:t xml:space="preserve">schnitt </w:t>
      </w:r>
      <w:r w:rsidR="005D7996">
        <w:fldChar w:fldCharType="begin"/>
      </w:r>
      <w:r>
        <w:instrText xml:space="preserve"> REF _Ref262119559 \r \h </w:instrText>
      </w:r>
      <w:r w:rsidR="005D7996">
        <w:fldChar w:fldCharType="separate"/>
      </w:r>
      <w:r w:rsidR="001231D3">
        <w:t>2.6</w:t>
      </w:r>
      <w:r w:rsidR="005D7996">
        <w:fldChar w:fldCharType="end"/>
      </w:r>
      <w:r>
        <w:t xml:space="preserve"> erläutert.)</w:t>
      </w:r>
    </w:p>
    <w:p w:rsidR="00CC4705" w:rsidRDefault="00CC4705" w:rsidP="00D84C34">
      <w:pPr>
        <w:pStyle w:val="Text"/>
      </w:pPr>
      <w:r w:rsidRPr="00CC4705">
        <w:rPr>
          <w:i/>
        </w:rPr>
        <w:t>Alternativenklassen</w:t>
      </w:r>
      <w:r>
        <w:t xml:space="preserve"> geben die Alternativen an, die es </w:t>
      </w:r>
      <w:r w:rsidR="00B826D5">
        <w:t>beim Erzeugungspr</w:t>
      </w:r>
      <w:r w:rsidR="00B826D5">
        <w:t>o</w:t>
      </w:r>
      <w:r w:rsidR="00B826D5">
        <w:t xml:space="preserve">zess einer Realisierung an </w:t>
      </w:r>
      <w:r w:rsidR="00F93CC1">
        <w:t xml:space="preserve">den </w:t>
      </w:r>
      <w:r w:rsidR="00B826D5">
        <w:t>Realisierungsstelle</w:t>
      </w:r>
      <w:r w:rsidR="00F93CC1">
        <w:t xml:space="preserve">n jeweils </w:t>
      </w:r>
      <w:r w:rsidR="00B826D5">
        <w:t xml:space="preserve">gibt. </w:t>
      </w:r>
      <w:r w:rsidR="00DA336D">
        <w:t xml:space="preserve">Die Bezeichnung </w:t>
      </w:r>
      <w:r w:rsidR="00B826D5">
        <w:t xml:space="preserve">bezieht sich darauf, dass beim </w:t>
      </w:r>
      <w:r w:rsidR="001500F6">
        <w:t>Anwenden</w:t>
      </w:r>
      <w:r w:rsidR="00B826D5">
        <w:t xml:space="preserve"> eines Stils die Elemente </w:t>
      </w:r>
      <w:r w:rsidR="00F93CC1">
        <w:t xml:space="preserve">dieser </w:t>
      </w:r>
      <w:r w:rsidR="00B826D5">
        <w:t>Klasse</w:t>
      </w:r>
      <w:r w:rsidR="00F93CC1">
        <w:t>n</w:t>
      </w:r>
      <w:r w:rsidR="00B826D5">
        <w:t xml:space="preserve"> Alternativen zueinander darstellen</w:t>
      </w:r>
      <w:r w:rsidR="004717C5">
        <w:t>.</w:t>
      </w:r>
      <w:r w:rsidR="00B826D5">
        <w:t xml:space="preserve"> Jedes Element </w:t>
      </w:r>
      <w:r w:rsidR="004717C5">
        <w:t xml:space="preserve">der Klasse </w:t>
      </w:r>
      <w:r w:rsidR="00B826D5">
        <w:t xml:space="preserve">erfüllt die an </w:t>
      </w:r>
      <w:r w:rsidR="00D53792">
        <w:t xml:space="preserve">einer bestimmten Realisierungsstelle gegebenen </w:t>
      </w:r>
      <w:r w:rsidR="0057155A">
        <w:t>B</w:t>
      </w:r>
      <w:r w:rsidR="00B826D5">
        <w:t>edingungen</w:t>
      </w:r>
      <w:r w:rsidR="004717C5">
        <w:t>, zur Erzeugung der Re</w:t>
      </w:r>
      <w:r w:rsidR="004717C5">
        <w:t>a</w:t>
      </w:r>
      <w:r w:rsidR="004717C5">
        <w:t xml:space="preserve">lisierung muss genau eines </w:t>
      </w:r>
      <w:r w:rsidR="00D53792">
        <w:t xml:space="preserve">aus </w:t>
      </w:r>
      <w:r w:rsidR="004717C5">
        <w:t>ihnen ausgewählt werden. In diesem Sinne sind sie alternativ zueinander.</w:t>
      </w:r>
      <w:r>
        <w:rPr>
          <w:rStyle w:val="Funotenzeichen"/>
        </w:rPr>
        <w:footnoteReference w:id="90"/>
      </w:r>
      <w:r w:rsidR="0052634B">
        <w:t xml:space="preserve"> </w:t>
      </w:r>
      <w:r>
        <w:t xml:space="preserve">Alle ausgewählten Elemente zusammen bilden die </w:t>
      </w:r>
      <w:r w:rsidRPr="0052634B">
        <w:t>Real</w:t>
      </w:r>
      <w:r w:rsidRPr="0052634B">
        <w:t>i</w:t>
      </w:r>
      <w:r w:rsidRPr="0052634B">
        <w:t>sierung.</w:t>
      </w:r>
    </w:p>
    <w:p w:rsidR="00D84C34" w:rsidRDefault="00D84C34" w:rsidP="00D84C34">
      <w:pPr>
        <w:pStyle w:val="Text"/>
      </w:pPr>
      <w:r>
        <w:t xml:space="preserve">Erhalten bleiben bei der Verallgemeinerung </w:t>
      </w:r>
      <w:r w:rsidR="008B68C9">
        <w:t xml:space="preserve">zu </w:t>
      </w:r>
      <w:r w:rsidR="001337AB">
        <w:t>„Alternativenklasse</w:t>
      </w:r>
      <w:r w:rsidR="00AA4D17">
        <w:t xml:space="preserve"> </w:t>
      </w:r>
      <w:r w:rsidR="00AA4D17" w:rsidRPr="000E4305">
        <w:t>–</w:t>
      </w:r>
      <w:r w:rsidR="00AA4D17">
        <w:t xml:space="preserve"> Real</w:t>
      </w:r>
      <w:r w:rsidR="00AA4D17">
        <w:t>i</w:t>
      </w:r>
      <w:r w:rsidR="00AA4D17">
        <w:t>sierung</w:t>
      </w:r>
      <w:r w:rsidR="001337AB">
        <w:t>“</w:t>
      </w:r>
      <w:r w:rsidR="008B68C9">
        <w:t xml:space="preserve"> </w:t>
      </w:r>
      <w:r>
        <w:t>folgende wichtige</w:t>
      </w:r>
      <w:r w:rsidR="00562B00">
        <w:t>n</w:t>
      </w:r>
      <w:r>
        <w:t xml:space="preserve"> </w:t>
      </w:r>
      <w:r w:rsidR="00562B00">
        <w:t>Eigenschaften</w:t>
      </w:r>
      <w:r>
        <w:t xml:space="preserve"> der Saussureschen Dichotomie</w:t>
      </w:r>
      <w:r w:rsidR="005D7996">
        <w:fldChar w:fldCharType="begin"/>
      </w:r>
      <w:r w:rsidR="002D62C3">
        <w:instrText xml:space="preserve"> XE "</w:instrText>
      </w:r>
      <w:r w:rsidR="002D62C3" w:rsidRPr="00077D56">
        <w:instrText>Dichotomie (Saussure)</w:instrText>
      </w:r>
      <w:r w:rsidR="002D62C3">
        <w:instrText xml:space="preserve">" </w:instrText>
      </w:r>
      <w:r w:rsidR="005D7996">
        <w:fldChar w:fldCharType="end"/>
      </w:r>
      <w:r>
        <w:t xml:space="preserve"> </w:t>
      </w:r>
      <w:r w:rsidR="00BA7A93">
        <w:t>„</w:t>
      </w:r>
      <w:r w:rsidR="00AA4D17" w:rsidRPr="000E4305">
        <w:t>P</w:t>
      </w:r>
      <w:r w:rsidR="00AA4D17" w:rsidRPr="000E4305">
        <w:t>a</w:t>
      </w:r>
      <w:r w:rsidR="00AA4D17" w:rsidRPr="000E4305">
        <w:t>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AA4D17">
        <w:t xml:space="preserve"> </w:t>
      </w:r>
      <w:r w:rsidR="00AA4D17" w:rsidRPr="000E4305">
        <w:t>–</w:t>
      </w:r>
      <w:r w:rsidR="00AA4D17">
        <w:t xml:space="preserve"> </w:t>
      </w:r>
      <w:r w:rsidR="00AA4D17" w:rsidRPr="000E4305">
        <w:t>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BA7A93">
        <w:t>“</w:t>
      </w:r>
      <w:r>
        <w:t>:</w:t>
      </w:r>
    </w:p>
    <w:p w:rsidR="00D84C34" w:rsidRDefault="005D3FCE" w:rsidP="000C0088">
      <w:pPr>
        <w:pStyle w:val="Text"/>
        <w:ind w:firstLine="0"/>
      </w:pPr>
      <w:r>
        <w:t>–</w:t>
      </w:r>
      <w:r>
        <w:tab/>
      </w:r>
      <w:r w:rsidR="008B68C9">
        <w:t>D</w:t>
      </w:r>
      <w:r w:rsidR="00D84C34">
        <w:t xml:space="preserve">ie Eigenschaft des Syntagmas, aus Relationen </w:t>
      </w:r>
      <w:r w:rsidR="00D84C34">
        <w:rPr>
          <w:i/>
        </w:rPr>
        <w:t xml:space="preserve">in praesentia </w:t>
      </w:r>
      <w:r w:rsidR="00D84C34">
        <w:t xml:space="preserve">zu bestehen, und des Paradigmas, aus Relationen </w:t>
      </w:r>
      <w:r w:rsidR="00D84C34">
        <w:rPr>
          <w:i/>
        </w:rPr>
        <w:t xml:space="preserve">in absentia </w:t>
      </w:r>
      <w:r w:rsidR="008B68C9">
        <w:t>zu bestehen;</w:t>
      </w:r>
    </w:p>
    <w:p w:rsidR="002C4FF3" w:rsidRDefault="002C4FF3" w:rsidP="000C0088">
      <w:pPr>
        <w:pStyle w:val="Text"/>
        <w:ind w:firstLine="0"/>
      </w:pPr>
      <w:r>
        <w:t>–</w:t>
      </w:r>
      <w:r>
        <w:tab/>
        <w:t xml:space="preserve">die Eigenschaft des Syntagmas, in Stellen </w:t>
      </w:r>
      <w:r w:rsidR="009508AD">
        <w:t xml:space="preserve">unterteilbar </w:t>
      </w:r>
      <w:r>
        <w:t>zu sein, für die Par</w:t>
      </w:r>
      <w:r>
        <w:t>a</w:t>
      </w:r>
      <w:r>
        <w:t>digmen von Möglichkeiten gebildet werden können, die unter bestimmten B</w:t>
      </w:r>
      <w:r>
        <w:t>e</w:t>
      </w:r>
      <w:r>
        <w:t xml:space="preserve">dingungen Alternativen zueinander </w:t>
      </w:r>
      <w:r w:rsidR="00585162">
        <w:t>darstellen</w:t>
      </w:r>
      <w:r>
        <w:t>;</w:t>
      </w:r>
    </w:p>
    <w:p w:rsidR="005D3FCE" w:rsidRDefault="005D3FCE" w:rsidP="000C0088">
      <w:pPr>
        <w:pStyle w:val="Text"/>
        <w:ind w:firstLine="0"/>
      </w:pPr>
      <w:r>
        <w:t>–</w:t>
      </w:r>
      <w:r>
        <w:tab/>
      </w:r>
      <w:r w:rsidR="00D84C34">
        <w:t>das charakteristische Verhältnis von 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D84C34">
        <w:t xml:space="preserve"> zu 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D84C34">
        <w:t>:</w:t>
      </w:r>
      <w:r w:rsidR="00585162">
        <w:t xml:space="preserve"> </w:t>
      </w:r>
      <w:r w:rsidR="002C4FF3">
        <w:t xml:space="preserve">Syntagmen können als Auswahl eines Elements aus </w:t>
      </w:r>
      <w:r w:rsidR="00585162">
        <w:t>jedem Paradigma gebildet werden.</w:t>
      </w:r>
    </w:p>
    <w:p w:rsidR="00D84C34" w:rsidRDefault="00D84C34" w:rsidP="00D84C34">
      <w:pPr>
        <w:pStyle w:val="Text"/>
      </w:pPr>
      <w:r>
        <w:t>Doch es gibt auch Veränderungen:</w:t>
      </w:r>
    </w:p>
    <w:p w:rsidR="00D84C34" w:rsidRDefault="005D3FCE" w:rsidP="000C0088">
      <w:pPr>
        <w:pStyle w:val="Text"/>
        <w:ind w:firstLine="0"/>
      </w:pPr>
      <w:r>
        <w:t>–</w:t>
      </w:r>
      <w:r>
        <w:tab/>
      </w:r>
      <w:r w:rsidR="00D84C34">
        <w:t xml:space="preserve">Weder die Relationen </w:t>
      </w:r>
      <w:r w:rsidR="00D84C34">
        <w:rPr>
          <w:i/>
        </w:rPr>
        <w:t xml:space="preserve">in praesentia </w:t>
      </w:r>
      <w:r w:rsidR="00D84C34">
        <w:t xml:space="preserve">noch die Relationen </w:t>
      </w:r>
      <w:r w:rsidR="00D84C34">
        <w:rPr>
          <w:i/>
        </w:rPr>
        <w:t xml:space="preserve">in absentia </w:t>
      </w:r>
      <w:r w:rsidR="009508AD">
        <w:t xml:space="preserve">müssen </w:t>
      </w:r>
      <w:r w:rsidR="006454E1">
        <w:t xml:space="preserve">durch ein </w:t>
      </w:r>
      <w:r w:rsidR="00D84C34">
        <w:t xml:space="preserve">Zeichensystem </w:t>
      </w:r>
      <w:r w:rsidR="006454E1">
        <w:t>festgelegt sein</w:t>
      </w:r>
      <w:r w:rsidR="00D84C34">
        <w:t xml:space="preserve">. Relationen </w:t>
      </w:r>
      <w:r w:rsidR="00D84C34">
        <w:rPr>
          <w:i/>
        </w:rPr>
        <w:t xml:space="preserve">in praesentia </w:t>
      </w:r>
      <w:r w:rsidR="00D84C34">
        <w:t>werden daher nicht mehr als nach den Regeln eines Zeichensystems</w:t>
      </w:r>
      <w:r w:rsidR="005D7996">
        <w:fldChar w:fldCharType="begin"/>
      </w:r>
      <w:r w:rsidR="00E65FFE">
        <w:instrText xml:space="preserve"> XE "</w:instrText>
      </w:r>
      <w:r w:rsidR="00E65FFE" w:rsidRPr="001A37CA">
        <w:instrText>Zeichensystem</w:instrText>
      </w:r>
      <w:r w:rsidR="00E65FFE">
        <w:instrText xml:space="preserve">" </w:instrText>
      </w:r>
      <w:r w:rsidR="005D7996">
        <w:fldChar w:fldCharType="end"/>
      </w:r>
      <w:r w:rsidR="00D84C34">
        <w:t xml:space="preserve"> </w:t>
      </w:r>
      <w:r w:rsidR="00876619">
        <w:t>(= Kodes</w:t>
      </w:r>
      <w:r w:rsidR="005D7996">
        <w:fldChar w:fldCharType="begin"/>
      </w:r>
      <w:r w:rsidR="00E65FFE">
        <w:instrText xml:space="preserve"> XE "</w:instrText>
      </w:r>
      <w:r w:rsidR="00E65FFE" w:rsidRPr="00927080">
        <w:instrText>Kode</w:instrText>
      </w:r>
      <w:r w:rsidR="00E65FFE">
        <w:instrText xml:space="preserve">" </w:instrText>
      </w:r>
      <w:r w:rsidR="005D7996">
        <w:fldChar w:fldCharType="end"/>
      </w:r>
      <w:r w:rsidR="00876619">
        <w:t xml:space="preserve">) </w:t>
      </w:r>
      <w:r w:rsidR="00D84C34">
        <w:t xml:space="preserve">gebildete </w:t>
      </w:r>
      <w:r w:rsidR="00876619">
        <w:t>A</w:t>
      </w:r>
      <w:r w:rsidR="00876619">
        <w:t>n</w:t>
      </w:r>
      <w:r w:rsidR="00876619">
        <w:t>ordnung von Zeichen (</w:t>
      </w:r>
      <w:r w:rsidR="003C43DB">
        <w:t>„</w:t>
      </w:r>
      <w:r w:rsidR="00876619">
        <w:t>Zeichenkomplex</w:t>
      </w:r>
      <w:r w:rsidR="005D7996">
        <w:fldChar w:fldCharType="begin"/>
      </w:r>
      <w:r w:rsidR="00E65FFE">
        <w:instrText xml:space="preserve"> XE "</w:instrText>
      </w:r>
      <w:r w:rsidR="00E65FFE" w:rsidRPr="00990885">
        <w:instrText>Zeichenkomplex</w:instrText>
      </w:r>
      <w:r w:rsidR="00E65FFE">
        <w:instrText xml:space="preserve">" </w:instrText>
      </w:r>
      <w:r w:rsidR="005D7996">
        <w:fldChar w:fldCharType="end"/>
      </w:r>
      <w:r w:rsidR="003C43DB">
        <w:t>“</w:t>
      </w:r>
      <w:r w:rsidR="00876619">
        <w:t>)</w:t>
      </w:r>
      <w:r w:rsidR="00D84C34">
        <w:t xml:space="preserve">, sondern als </w:t>
      </w:r>
      <w:r w:rsidR="00562B00">
        <w:t xml:space="preserve">eine </w:t>
      </w:r>
      <w:r w:rsidR="00D84C34">
        <w:t xml:space="preserve">Anordnung </w:t>
      </w:r>
      <w:r w:rsidR="005467DD">
        <w:t xml:space="preserve">von </w:t>
      </w:r>
      <w:r w:rsidR="005467DD">
        <w:lastRenderedPageBreak/>
        <w:t xml:space="preserve">jeweils einen Schemaort realisierenden Elementen beschrieben, </w:t>
      </w:r>
      <w:r w:rsidR="00A5620C">
        <w:t>die „Realisi</w:t>
      </w:r>
      <w:r w:rsidR="00A5620C">
        <w:t>e</w:t>
      </w:r>
      <w:r w:rsidR="00A5620C">
        <w:t xml:space="preserve">rung“ genannt </w:t>
      </w:r>
      <w:r w:rsidR="006454E1">
        <w:t>wird</w:t>
      </w:r>
      <w:r w:rsidR="00562B00">
        <w:t>.</w:t>
      </w:r>
    </w:p>
    <w:p w:rsidR="00D84C34" w:rsidRDefault="005D3FCE" w:rsidP="000C0088">
      <w:pPr>
        <w:pStyle w:val="Text"/>
        <w:ind w:firstLine="0"/>
      </w:pPr>
      <w:r>
        <w:t>–</w:t>
      </w:r>
      <w:r>
        <w:tab/>
      </w:r>
      <w:r w:rsidR="00D84C34">
        <w:t xml:space="preserve">Die Art, wie </w:t>
      </w:r>
      <w:r w:rsidR="00A5620C">
        <w:t xml:space="preserve">Alternativenklassen zu </w:t>
      </w:r>
      <w:r w:rsidR="00D84C34">
        <w:t xml:space="preserve">einzelnen </w:t>
      </w:r>
      <w:r w:rsidR="00A5620C">
        <w:t xml:space="preserve">Realisierungsstellen </w:t>
      </w:r>
      <w:r w:rsidR="00D84C34">
        <w:t>gebildet werden können, ändert sich</w:t>
      </w:r>
      <w:r w:rsidR="00A5620C">
        <w:t xml:space="preserve"> gegenüber Paradigmen und Syntagmen</w:t>
      </w:r>
      <w:r w:rsidR="00D84C34">
        <w:t xml:space="preserve">. Da man nicht mehr von einem zugrunde liegenden Zeichensystem ausgeht, </w:t>
      </w:r>
      <w:r w:rsidR="00585162">
        <w:t>das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rsidR="00585162">
        <w:t xml:space="preserve"> und Semantik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rsidR="00585162">
        <w:t xml:space="preserve"> beinhaltet </w:t>
      </w:r>
      <w:r w:rsidR="0056220E">
        <w:t xml:space="preserve">und damit </w:t>
      </w:r>
      <w:r w:rsidR="00730DC3">
        <w:t>Äqui</w:t>
      </w:r>
      <w:r w:rsidR="00730DC3">
        <w:softHyphen/>
        <w:t>valenz</w:t>
      </w:r>
      <w:r w:rsidR="00730DC3">
        <w:softHyphen/>
        <w:t>krit</w:t>
      </w:r>
      <w:r w:rsidR="0056220E">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rsidR="0056220E">
        <w:t xml:space="preserve"> bereitstell</w:t>
      </w:r>
      <w:r w:rsidR="00585162">
        <w:t>t</w:t>
      </w:r>
      <w:r w:rsidR="0056220E">
        <w:t xml:space="preserve"> </w:t>
      </w:r>
      <w:r w:rsidR="00D84C34">
        <w:t xml:space="preserve">(je </w:t>
      </w:r>
      <w:r w:rsidR="005467DD">
        <w:t>nach P</w:t>
      </w:r>
      <w:r w:rsidR="005467DD">
        <w:t>a</w:t>
      </w:r>
      <w:r w:rsidR="005467DD">
        <w:t>radigmendefinition Lexem</w:t>
      </w:r>
      <w:r w:rsidR="00D84C34">
        <w:t>zugehörigkeit</w:t>
      </w:r>
      <w:r w:rsidR="001A689F">
        <w:t>,</w:t>
      </w:r>
      <w:r w:rsidR="00D84C34">
        <w:t xml:space="preserve"> </w:t>
      </w:r>
      <w:r w:rsidR="001A689F">
        <w:t>Distribution</w:t>
      </w:r>
      <w:r w:rsidR="005D7996">
        <w:fldChar w:fldCharType="begin"/>
      </w:r>
      <w:r w:rsidR="00673F18">
        <w:instrText xml:space="preserve"> XE "</w:instrText>
      </w:r>
      <w:r w:rsidR="00673F18" w:rsidRPr="0094100E">
        <w:instrText>Distribution</w:instrText>
      </w:r>
      <w:r w:rsidR="00673F18">
        <w:instrText xml:space="preserve">" </w:instrText>
      </w:r>
      <w:r w:rsidR="005D7996">
        <w:fldChar w:fldCharType="end"/>
      </w:r>
      <w:r w:rsidR="001A689F">
        <w:t xml:space="preserve"> </w:t>
      </w:r>
      <w:r w:rsidR="00D84C34">
        <w:t xml:space="preserve">oder </w:t>
      </w:r>
      <w:r w:rsidR="001A689F">
        <w:t>Inhaltsgleichheit</w:t>
      </w:r>
      <w:r w:rsidR="00D84C34">
        <w:t>)</w:t>
      </w:r>
      <w:r w:rsidR="00785A2D">
        <w:t>,</w:t>
      </w:r>
      <w:r w:rsidR="00D84C34">
        <w:rPr>
          <w:rStyle w:val="Funotenzeichen"/>
        </w:rPr>
        <w:footnoteReference w:id="91"/>
      </w:r>
      <w:r w:rsidR="00D84C34">
        <w:t xml:space="preserve"> </w:t>
      </w:r>
      <w:r w:rsidR="00785A2D">
        <w:t>müssen andere Kriterien gefunden werden; diese werden als Alternativen</w:t>
      </w:r>
      <w:r w:rsidR="005725B3">
        <w:softHyphen/>
      </w:r>
      <w:r w:rsidR="00785A2D">
        <w:t>bedin</w:t>
      </w:r>
      <w:r w:rsidR="005725B3">
        <w:softHyphen/>
      </w:r>
      <w:r w:rsidR="00785A2D">
        <w:t>gungen bezeichnet (vgl. nächster Abschnitt).</w:t>
      </w:r>
    </w:p>
    <w:p w:rsidR="00D84C34" w:rsidRDefault="005D3FCE" w:rsidP="000C0088">
      <w:pPr>
        <w:pStyle w:val="Text"/>
        <w:ind w:firstLine="0"/>
      </w:pPr>
      <w:r>
        <w:t>–</w:t>
      </w:r>
      <w:r w:rsidR="00D84C34">
        <w:tab/>
        <w:t>Die Auswahl kann nicht als Vorgang bei der Verwendung eines Zeichensy</w:t>
      </w:r>
      <w:r w:rsidR="00D84C34">
        <w:t>s</w:t>
      </w:r>
      <w:r w:rsidR="00D84C34">
        <w:t>tems verstanden werden, sondern als Vorgang bei</w:t>
      </w:r>
      <w:r w:rsidR="00110343">
        <w:t xml:space="preserve"> der Realisierung eines Schemas (dies wird in Abschnitt </w:t>
      </w:r>
      <w:r w:rsidR="005D7996">
        <w:fldChar w:fldCharType="begin"/>
      </w:r>
      <w:r w:rsidR="00110343">
        <w:instrText xml:space="preserve"> REF _Ref262119559 \r \h </w:instrText>
      </w:r>
      <w:r w:rsidR="005D7996">
        <w:fldChar w:fldCharType="separate"/>
      </w:r>
      <w:r w:rsidR="001231D3">
        <w:t>2.6</w:t>
      </w:r>
      <w:r w:rsidR="005D7996">
        <w:fldChar w:fldCharType="end"/>
      </w:r>
      <w:r w:rsidR="00110343">
        <w:t xml:space="preserve"> genauer erläutert).</w:t>
      </w:r>
      <w:r w:rsidR="00D84C34">
        <w:t xml:space="preserve"> </w:t>
      </w:r>
      <w:r w:rsidR="00110343">
        <w:t>D</w:t>
      </w:r>
      <w:r w:rsidR="00D84C34">
        <w:t xml:space="preserve">ie Realisierung eines Schemas kann </w:t>
      </w:r>
      <w:r w:rsidR="00785A2D">
        <w:t xml:space="preserve">in der Regel </w:t>
      </w:r>
      <w:r w:rsidR="00110343">
        <w:t>auf verschied</w:t>
      </w:r>
      <w:r w:rsidR="00785A2D">
        <w:t>ene Arten erfolgen, weil die für die jeweilige</w:t>
      </w:r>
      <w:r w:rsidR="00110343">
        <w:t xml:space="preserve"> Re</w:t>
      </w:r>
      <w:r w:rsidR="00110343">
        <w:t>a</w:t>
      </w:r>
      <w:r w:rsidR="00110343">
        <w:t>lisierungsstel</w:t>
      </w:r>
      <w:r w:rsidR="00785A2D">
        <w:t xml:space="preserve">le </w:t>
      </w:r>
      <w:r w:rsidR="00110343">
        <w:t>spezifizier</w:t>
      </w:r>
      <w:r w:rsidR="00785A2D">
        <w:t>te Alternativenklasse meist mehrere Elemente enthält, aus denen eines ausgewählt wird</w:t>
      </w:r>
      <w:r w:rsidR="00D84C34">
        <w:t>.</w:t>
      </w:r>
      <w:r w:rsidR="00110343">
        <w:t xml:space="preserve"> Daher gibt es bei der Ausführung eines Sch</w:t>
      </w:r>
      <w:r w:rsidR="00110343">
        <w:t>e</w:t>
      </w:r>
      <w:r w:rsidR="00110343">
        <w:t>mas Auswahl.</w:t>
      </w:r>
    </w:p>
    <w:p w:rsidR="00562B00" w:rsidRDefault="00562B00" w:rsidP="000C0088">
      <w:pPr>
        <w:pStyle w:val="Text"/>
        <w:ind w:firstLine="0"/>
      </w:pPr>
      <w:r>
        <w:t>–</w:t>
      </w:r>
      <w:r>
        <w:tab/>
        <w:t xml:space="preserve">Syntagmen werden </w:t>
      </w:r>
      <w:r w:rsidR="00876619">
        <w:t xml:space="preserve">häufig </w:t>
      </w:r>
      <w:r>
        <w:t xml:space="preserve">als </w:t>
      </w:r>
      <w:r w:rsidR="009C2BCA">
        <w:t xml:space="preserve">eindimensionale </w:t>
      </w:r>
      <w:r w:rsidR="00EF51DC">
        <w:t xml:space="preserve">Anordnungen von Zeichen </w:t>
      </w:r>
      <w:r>
        <w:t>(</w:t>
      </w:r>
      <w:r w:rsidR="003C43DB">
        <w:t>„</w:t>
      </w:r>
      <w:r>
        <w:t>Zeichen</w:t>
      </w:r>
      <w:r w:rsidR="003C43DB">
        <w:t>kette</w:t>
      </w:r>
      <w:r w:rsidR="00E65FFE">
        <w:t>n</w:t>
      </w:r>
      <w:r w:rsidR="005D7996">
        <w:fldChar w:fldCharType="begin"/>
      </w:r>
      <w:r w:rsidR="00E65FFE">
        <w:instrText xml:space="preserve"> XE "</w:instrText>
      </w:r>
      <w:r w:rsidR="00E65FFE" w:rsidRPr="00A01F39">
        <w:instrText>Zeichenkette</w:instrText>
      </w:r>
      <w:r w:rsidR="00E65FFE">
        <w:instrText xml:space="preserve">" </w:instrText>
      </w:r>
      <w:r w:rsidR="005D7996">
        <w:fldChar w:fldCharType="end"/>
      </w:r>
      <w:r w:rsidR="003C43DB">
        <w:t>“</w:t>
      </w:r>
      <w:r>
        <w:t>) charakterisiert, wobei allerdings verschiedene Beschreibung</w:t>
      </w:r>
      <w:r>
        <w:t>s</w:t>
      </w:r>
      <w:r>
        <w:t>ebenen</w:t>
      </w:r>
      <w:r w:rsidR="005D7996">
        <w:fldChar w:fldCharType="begin"/>
      </w:r>
      <w:r w:rsidR="000623C8">
        <w:instrText xml:space="preserve"> XE "</w:instrText>
      </w:r>
      <w:r w:rsidR="000623C8" w:rsidRPr="0039734C">
        <w:instrText>Beschreibungsebene</w:instrText>
      </w:r>
      <w:r w:rsidR="000623C8">
        <w:instrText xml:space="preserve">" </w:instrText>
      </w:r>
      <w:r w:rsidR="005D7996">
        <w:fldChar w:fldCharType="end"/>
      </w:r>
      <w:r>
        <w:t xml:space="preserve"> angenommen werden; demgegenüber können Realisierungen auch </w:t>
      </w:r>
      <w:r w:rsidR="009C2BCA">
        <w:t>zwe</w:t>
      </w:r>
      <w:r w:rsidR="009C2BCA">
        <w:t>i</w:t>
      </w:r>
      <w:r w:rsidR="009C2BCA">
        <w:t>dimensional (etwa Bilder</w:t>
      </w:r>
      <w:r w:rsidR="005D7996">
        <w:fldChar w:fldCharType="begin"/>
      </w:r>
      <w:r w:rsidR="0062163E">
        <w:instrText xml:space="preserve"> XE "</w:instrText>
      </w:r>
      <w:r w:rsidR="0062163E" w:rsidRPr="00FA212B">
        <w:instrText>Bilder</w:instrText>
      </w:r>
      <w:r w:rsidR="0062163E">
        <w:instrText xml:space="preserve">" </w:instrText>
      </w:r>
      <w:r w:rsidR="005D7996">
        <w:fldChar w:fldCharType="end"/>
      </w:r>
      <w:r w:rsidR="009C2BCA">
        <w:t xml:space="preserve">, Grafiken oder Pläne), </w:t>
      </w:r>
      <w:r>
        <w:t>dreidimensional (</w:t>
      </w:r>
      <w:r w:rsidR="009C2BCA">
        <w:t xml:space="preserve">etwa </w:t>
      </w:r>
      <w:r>
        <w:t>Gebäude, Möbel oder Filme</w:t>
      </w:r>
      <w:r w:rsidR="005D7996">
        <w:fldChar w:fldCharType="begin"/>
      </w:r>
      <w:r w:rsidR="001A68FF">
        <w:instrText xml:space="preserve"> XE "</w:instrText>
      </w:r>
      <w:r w:rsidR="001A68FF" w:rsidRPr="00B67E0C">
        <w:instrText>Filme</w:instrText>
      </w:r>
      <w:r w:rsidR="001A68FF">
        <w:instrText xml:space="preserve">" </w:instrText>
      </w:r>
      <w:r w:rsidR="005D7996">
        <w:fldChar w:fldCharType="end"/>
      </w:r>
      <w:r>
        <w:t>) oder vierdimensional (</w:t>
      </w:r>
      <w:r w:rsidR="009C2BCA">
        <w:t xml:space="preserve">etwa </w:t>
      </w:r>
      <w:r>
        <w:t>Theateraufführungen, Feste oder Militäreinsätze) sein.</w:t>
      </w:r>
    </w:p>
    <w:p w:rsidR="00D84C34" w:rsidRDefault="00110343" w:rsidP="00CC30F8">
      <w:pPr>
        <w:pStyle w:val="Text"/>
      </w:pPr>
      <w:r>
        <w:t xml:space="preserve">Woher weiß man jedoch, aus welchen Alternativen ausgewählt </w:t>
      </w:r>
      <w:r w:rsidR="00785A2D">
        <w:t>wird</w:t>
      </w:r>
      <w:r>
        <w:t>? Dafür müssen wir uns anschauen, welche Bedingungen jeweils gelten, damit etwas als Alternative zum konkret ausgewählten Element gilt.</w:t>
      </w:r>
    </w:p>
    <w:p w:rsidR="00D65B9B" w:rsidRDefault="00F26B35" w:rsidP="00D65B9B">
      <w:pPr>
        <w:pStyle w:val="Titel2"/>
      </w:pPr>
      <w:bookmarkStart w:id="49" w:name="_Ref324923358"/>
      <w:bookmarkStart w:id="50" w:name="_Ref324923435"/>
      <w:bookmarkStart w:id="51" w:name="_Ref324923711"/>
      <w:bookmarkStart w:id="52" w:name="_Ref324923744"/>
      <w:bookmarkStart w:id="53" w:name="_Ref324923796"/>
      <w:bookmarkStart w:id="54" w:name="_Ref324924038"/>
      <w:bookmarkStart w:id="55" w:name="_Ref324924099"/>
      <w:bookmarkStart w:id="56" w:name="_Ref324924447"/>
      <w:bookmarkStart w:id="57" w:name="_Ref324924601"/>
      <w:bookmarkStart w:id="58" w:name="_Toc325456699"/>
      <w:bookmarkStart w:id="59" w:name="Alternativenbedingungen"/>
      <w:bookmarkEnd w:id="47"/>
      <w:bookmarkEnd w:id="48"/>
      <w:r>
        <w:t>Alternativen</w:t>
      </w:r>
      <w:r w:rsidR="00536731">
        <w:t>bedingungen</w:t>
      </w:r>
      <w:bookmarkEnd w:id="49"/>
      <w:bookmarkEnd w:id="50"/>
      <w:bookmarkEnd w:id="51"/>
      <w:bookmarkEnd w:id="52"/>
      <w:bookmarkEnd w:id="53"/>
      <w:bookmarkEnd w:id="54"/>
      <w:bookmarkEnd w:id="55"/>
      <w:bookmarkEnd w:id="56"/>
      <w:bookmarkEnd w:id="57"/>
      <w:bookmarkEnd w:id="58"/>
    </w:p>
    <w:p w:rsidR="00D65B9B" w:rsidRDefault="005D7996" w:rsidP="000C0088">
      <w:pPr>
        <w:pStyle w:val="Text"/>
        <w:ind w:firstLine="0"/>
      </w:pPr>
      <w:r>
        <w:fldChar w:fldCharType="begin"/>
      </w:r>
      <w:r w:rsidR="00B126C2">
        <w:instrText xml:space="preserve"> XE "Alternativenbedingungen" \r "Alternativenbedingungen" </w:instrText>
      </w:r>
      <w:r>
        <w:fldChar w:fldCharType="end"/>
      </w:r>
      <w:r w:rsidRPr="002A5370">
        <w:fldChar w:fldCharType="begin"/>
      </w:r>
      <w:r w:rsidR="00B126C2" w:rsidRPr="002A5370">
        <w:instrText xml:space="preserve"> XE "</w:instrText>
      </w:r>
      <w:r w:rsidR="00B126C2">
        <w:instrText>Alternativenbedingungen</w:instrText>
      </w:r>
      <w:r w:rsidR="00B126C2" w:rsidRPr="002A5370">
        <w:instrText>" \t "</w:instrText>
      </w:r>
      <w:r w:rsidR="00015942">
        <w:rPr>
          <w:rFonts w:cstheme="minorHAnsi"/>
          <w:i/>
        </w:rPr>
        <w:instrText>et passim</w:instrText>
      </w:r>
      <w:r w:rsidR="00B126C2" w:rsidRPr="002A5370">
        <w:instrText xml:space="preserve">" </w:instrText>
      </w:r>
      <w:r w:rsidRPr="002A5370">
        <w:fldChar w:fldCharType="end"/>
      </w:r>
      <w:r w:rsidR="00D65B9B">
        <w:t xml:space="preserve">Stil ist ein Phänomen, das nur bei Variation entsteht. Nur wenn es verschiedene Möglichkeiten gibt, eine bestimmte Sache zu tun, kann die jeweils realisierte Ausführung stilistische Relevanz erhalten, wie wir in Abschnitt </w:t>
      </w:r>
      <w:r>
        <w:fldChar w:fldCharType="begin"/>
      </w:r>
      <w:r w:rsidR="004B0E13">
        <w:instrText xml:space="preserve"> REF _Ref260056929 \r \h </w:instrText>
      </w:r>
      <w:r>
        <w:fldChar w:fldCharType="separate"/>
      </w:r>
      <w:r w:rsidR="001231D3">
        <w:t>2.1</w:t>
      </w:r>
      <w:r>
        <w:fldChar w:fldCharType="end"/>
      </w:r>
      <w:r w:rsidR="00D65B9B">
        <w:t xml:space="preserve"> gesehen ha</w:t>
      </w:r>
      <w:r w:rsidR="00D65B9B">
        <w:t>t</w:t>
      </w:r>
      <w:r w:rsidR="00D65B9B">
        <w:t>ten. Variation kann jedoch nur vor einem gemeinsamen Hintergrund zu einem Informationsträger werden, da sonst beliebige Ursachen für die Variation geg</w:t>
      </w:r>
      <w:r w:rsidR="00D65B9B">
        <w:t>e</w:t>
      </w:r>
      <w:r w:rsidR="00D65B9B">
        <w:t>ben sein können.</w:t>
      </w:r>
      <w:r w:rsidR="007C4886">
        <w:rPr>
          <w:rStyle w:val="Funotenzeichen"/>
        </w:rPr>
        <w:footnoteReference w:id="92"/>
      </w:r>
      <w:r w:rsidR="00D65B9B">
        <w:t xml:space="preserve"> Das Problem ist also, einen solchen gemeinsamen Hinte</w:t>
      </w:r>
      <w:r w:rsidR="00D65B9B">
        <w:t>r</w:t>
      </w:r>
      <w:r w:rsidR="00D65B9B">
        <w:t>grund festzulegen. Doch da wir über Stil in vielen verschiedenen Bereichen spr</w:t>
      </w:r>
      <w:r w:rsidR="00D65B9B">
        <w:t>e</w:t>
      </w:r>
      <w:r w:rsidR="00D65B9B">
        <w:t>chen, wollen wir keine Einzeldefinitionen dieses Hintergrunds geben. Tatsäc</w:t>
      </w:r>
      <w:r w:rsidR="00D65B9B">
        <w:t>h</w:t>
      </w:r>
      <w:r w:rsidR="00D65B9B">
        <w:t xml:space="preserve">lich </w:t>
      </w:r>
      <w:r w:rsidR="00CD485F">
        <w:t>verstehen Menschen den Begriff ‚Stil‘</w:t>
      </w:r>
      <w:r w:rsidR="00D65B9B">
        <w:t xml:space="preserve"> ohne lange Erklärungen auch dann, wenn er auf neue Gegenstandsbereiche angewandt wird (etwa wenn man von </w:t>
      </w:r>
      <w:r w:rsidR="00D65B9B">
        <w:lastRenderedPageBreak/>
        <w:t>einem „Flugstil</w:t>
      </w:r>
      <w:r>
        <w:fldChar w:fldCharType="begin"/>
      </w:r>
      <w:r w:rsidR="00673F18">
        <w:instrText xml:space="preserve"> XE "</w:instrText>
      </w:r>
      <w:r w:rsidR="00673F18" w:rsidRPr="00245009">
        <w:instrText>Flugstil</w:instrText>
      </w:r>
      <w:r w:rsidR="00673F18">
        <w:instrText xml:space="preserve">" </w:instrText>
      </w:r>
      <w:r>
        <w:fldChar w:fldCharType="end"/>
      </w:r>
      <w:r w:rsidR="00D65B9B">
        <w:t>“ bei Piloten sprechen würde); wir scheinen eine Gliederung der Welt im Kopf zu haben, die diesen gemeinsamen Hintergrund erzeugt.</w:t>
      </w:r>
    </w:p>
    <w:p w:rsidR="00D65B9B" w:rsidRDefault="00D65B9B" w:rsidP="00D65B9B">
      <w:pPr>
        <w:pStyle w:val="Text"/>
      </w:pPr>
      <w:r>
        <w:t xml:space="preserve">Aus der Perspektive unseres Modells betrachtet, nimmt dasselbe Problem eine andere Form an: Unsere Herangehensweise besteht darin, die Variation in </w:t>
      </w:r>
      <w:r w:rsidR="00A95690">
        <w:t>Alterna</w:t>
      </w:r>
      <w:r w:rsidR="00A3018E">
        <w:softHyphen/>
      </w:r>
      <w:r w:rsidR="00A95690">
        <w:t>tivenklassen</w:t>
      </w:r>
      <w:r>
        <w:t xml:space="preserve"> zu fassen, die </w:t>
      </w:r>
      <w:r w:rsidR="00A95690">
        <w:t xml:space="preserve">beim </w:t>
      </w:r>
      <w:r w:rsidR="001500F6">
        <w:t>Anwenden</w:t>
      </w:r>
      <w:r w:rsidR="00A95690">
        <w:t xml:space="preserve"> eines Stils vor der Erzeugung der Realisierung gebildet werden, und die bei</w:t>
      </w:r>
      <w:r w:rsidR="00400367">
        <w:t>m Wahrnehmen</w:t>
      </w:r>
      <w:r w:rsidR="00BE695D">
        <w:t xml:space="preserve"> </w:t>
      </w:r>
      <w:r w:rsidR="00A95690">
        <w:t xml:space="preserve">des Stils zu einer gegebenen Realisierung rekonstruiert werden. </w:t>
      </w:r>
      <w:r>
        <w:t>Aber was kommt in ein</w:t>
      </w:r>
      <w:r w:rsidR="00A95690">
        <w:t>e solche</w:t>
      </w:r>
      <w:r>
        <w:t xml:space="preserve"> </w:t>
      </w:r>
      <w:r w:rsidR="00A95690">
        <w:t>Alternativen</w:t>
      </w:r>
      <w:r w:rsidR="00A3018E">
        <w:softHyphen/>
      </w:r>
      <w:r w:rsidR="00A95690">
        <w:t xml:space="preserve">klasse </w:t>
      </w:r>
      <w:r>
        <w:t>hinein? Wo setzen wir die Grenze für die Auswahlmöglic</w:t>
      </w:r>
      <w:r>
        <w:t>h</w:t>
      </w:r>
      <w:r>
        <w:t xml:space="preserve">keiten, die </w:t>
      </w:r>
      <w:r w:rsidR="00A95690">
        <w:t>gelten und die Entstehung von Stil ermöglichen?</w:t>
      </w:r>
    </w:p>
    <w:p w:rsidR="00D65B9B" w:rsidRDefault="00D65B9B" w:rsidP="00D65B9B">
      <w:pPr>
        <w:pStyle w:val="Text"/>
      </w:pPr>
      <w:r>
        <w:t xml:space="preserve">Dafür brauchen wir eine allgemeine Beschreibung </w:t>
      </w:r>
      <w:r w:rsidR="00A95690">
        <w:t>der Bildung von Alter</w:t>
      </w:r>
      <w:r w:rsidR="00A3018E">
        <w:softHyphen/>
      </w:r>
      <w:r w:rsidR="00A95690">
        <w:t>nativenklassen</w:t>
      </w:r>
      <w:r>
        <w:t xml:space="preserve">. Wir </w:t>
      </w:r>
      <w:r w:rsidR="00EC05D1">
        <w:t>gehen dazu in zwei Schritten vor</w:t>
      </w:r>
      <w:r w:rsidR="00794CCC">
        <w:t xml:space="preserve">. </w:t>
      </w:r>
      <w:r>
        <w:t xml:space="preserve">Paradigmen </w:t>
      </w:r>
      <w:r w:rsidR="00794CCC">
        <w:t xml:space="preserve">werden mit </w:t>
      </w:r>
      <w:r>
        <w:t xml:space="preserve">Hilfe von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gebildet</w:t>
      </w:r>
      <w:r w:rsidR="00794CCC">
        <w:t>;</w:t>
      </w:r>
      <w:r>
        <w:rPr>
          <w:rStyle w:val="Funotenzeichen"/>
        </w:rPr>
        <w:footnoteReference w:id="93"/>
      </w:r>
      <w:r>
        <w:t xml:space="preserve"> </w:t>
      </w:r>
      <w:r w:rsidR="00794CCC">
        <w:t xml:space="preserve">also können wir uns fragen, welche </w:t>
      </w:r>
      <w:r w:rsidR="00730DC3">
        <w:t>Äqui</w:t>
      </w:r>
      <w:r w:rsidR="00730DC3">
        <w:softHyphen/>
        <w:t>valenz</w:t>
      </w:r>
      <w:r w:rsidR="00730DC3">
        <w:softHyphen/>
        <w:t>krit</w:t>
      </w:r>
      <w:r w:rsidR="00794CCC">
        <w:t>erien im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794CCC">
        <w:t xml:space="preserve"> </w:t>
      </w:r>
      <w:r w:rsidR="00EC05D1">
        <w:t xml:space="preserve">angenommen wurden und </w:t>
      </w:r>
      <w:r w:rsidR="00794CCC">
        <w:t>ob eine Def</w:t>
      </w:r>
      <w:r w:rsidR="00794CCC">
        <w:t>i</w:t>
      </w:r>
      <w:r w:rsidR="00794CCC">
        <w:t xml:space="preserve">nition </w:t>
      </w:r>
      <w:r w:rsidR="00EC05D1">
        <w:t xml:space="preserve">für uns verwendbar ist. </w:t>
      </w:r>
      <w:r w:rsidR="00794CCC">
        <w:t xml:space="preserve">Danach verallgemeinern wir unsere Erkenntnisse und gehen </w:t>
      </w:r>
      <w:r w:rsidR="00EC05D1">
        <w:t>von 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EC05D1">
        <w:t xml:space="preserve"> und 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EC05D1">
        <w:t xml:space="preserve"> wieder zu Alternativenklasse und Real</w:t>
      </w:r>
      <w:r w:rsidR="00EC05D1">
        <w:t>i</w:t>
      </w:r>
      <w:r w:rsidR="00EC05D1">
        <w:t>sierung über.</w:t>
      </w:r>
    </w:p>
    <w:p w:rsidR="00D65B9B" w:rsidRDefault="00616A0C" w:rsidP="00D65B9B">
      <w:pPr>
        <w:pStyle w:val="Text"/>
      </w:pPr>
      <w:r>
        <w:t xml:space="preserve">Mit welchen </w:t>
      </w:r>
      <w:r w:rsidR="00730DC3">
        <w:t>Äqui</w:t>
      </w:r>
      <w:r w:rsidR="00730DC3">
        <w:softHyphen/>
        <w:t>valenz</w:t>
      </w:r>
      <w:r w:rsidR="00730DC3">
        <w:softHyphen/>
        <w:t>krit</w:t>
      </w:r>
      <w:r>
        <w:t>er</w:t>
      </w:r>
      <w:r w:rsidR="006D6C88">
        <w:t>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rsidR="006D6C88">
        <w:t xml:space="preserve"> werden Paradigmen gebildet? </w:t>
      </w:r>
      <w:r w:rsidR="005A7D17">
        <w:t>Zwei Mö</w:t>
      </w:r>
      <w:r w:rsidR="005A7D17">
        <w:t>g</w:t>
      </w:r>
      <w:r w:rsidR="005A7D17">
        <w:t xml:space="preserve">lichkeiten </w:t>
      </w:r>
      <w:r w:rsidR="006D6C88">
        <w:t>spielten im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6D6C88">
        <w:t xml:space="preserve"> eine wichtige Rolle </w:t>
      </w:r>
      <w:r w:rsidR="00D65B9B">
        <w:t>und sollen daher hier kurz diskutiert werden: syntagmatische Wohlgeformtheit</w:t>
      </w:r>
      <w:r w:rsidR="005D7996">
        <w:fldChar w:fldCharType="begin"/>
      </w:r>
      <w:r w:rsidR="00C51357">
        <w:instrText xml:space="preserve"> XE "</w:instrText>
      </w:r>
      <w:r w:rsidR="00C51357" w:rsidRPr="00141F00">
        <w:instrText>Wohlgeformtheit</w:instrText>
      </w:r>
      <w:r w:rsidR="00C51357">
        <w:instrText xml:space="preserve">" </w:instrText>
      </w:r>
      <w:r w:rsidR="005D7996">
        <w:fldChar w:fldCharType="end"/>
      </w:r>
      <w:r w:rsidR="00D65B9B">
        <w:t xml:space="preserve"> und Inhaltsgleichheit.</w:t>
      </w:r>
    </w:p>
    <w:p w:rsidR="00D65B9B" w:rsidRDefault="00A42E67" w:rsidP="00D65B9B">
      <w:pPr>
        <w:pStyle w:val="Text"/>
      </w:pPr>
      <w:r>
        <w:t>Im amerikanischen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t xml:space="preserve"> wurden Paradigmen mit </w:t>
      </w:r>
      <w:r w:rsidRPr="001C09C1">
        <w:rPr>
          <w:i/>
        </w:rPr>
        <w:t>Distribution</w:t>
      </w:r>
      <w:r w:rsidRPr="001C09C1">
        <w:rPr>
          <w:i/>
        </w:rPr>
        <w:t>s</w:t>
      </w:r>
      <w:r w:rsidRPr="001C09C1">
        <w:rPr>
          <w:i/>
        </w:rPr>
        <w:t>klassen</w:t>
      </w:r>
      <w:r>
        <w:t xml:space="preserve"> gleichgesetzt.</w:t>
      </w:r>
      <w:r>
        <w:rPr>
          <w:rStyle w:val="Funotenzeichen"/>
        </w:rPr>
        <w:footnoteReference w:id="94"/>
      </w:r>
      <w:r>
        <w:t xml:space="preserve"> </w:t>
      </w:r>
      <w:r w:rsidR="00730DC3">
        <w:t>Äqui</w:t>
      </w:r>
      <w:r w:rsidR="00730DC3">
        <w:softHyphen/>
        <w:t>valenz</w:t>
      </w:r>
      <w:r w:rsidR="00730DC3">
        <w:softHyphen/>
        <w:t>krit</w:t>
      </w:r>
      <w:r>
        <w:t>erium ist dann einzig die syntagmatische Wohlgeformtheit</w:t>
      </w:r>
      <w:r w:rsidR="005D7996">
        <w:fldChar w:fldCharType="begin"/>
      </w:r>
      <w:r w:rsidR="00C51357">
        <w:instrText xml:space="preserve"> XE "</w:instrText>
      </w:r>
      <w:r w:rsidR="00C51357" w:rsidRPr="00141F00">
        <w:instrText>Wohlgeformtheit</w:instrText>
      </w:r>
      <w:r w:rsidR="00C51357">
        <w:instrText xml:space="preserve">" </w:instrText>
      </w:r>
      <w:r w:rsidR="005D7996">
        <w:fldChar w:fldCharType="end"/>
      </w:r>
      <w:r>
        <w:t>; an einer bestimmten Stelle eines Syntagmas besteht das Par</w:t>
      </w:r>
      <w:r>
        <w:t>a</w:t>
      </w:r>
      <w:r>
        <w:t>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t xml:space="preserve"> aus allen Elementen, die hier eingesetzt werden können, ohne die synta</w:t>
      </w:r>
      <w:r>
        <w:t>g</w:t>
      </w:r>
      <w:r>
        <w:t>matische Wohlgeformtheit zu beeinträchtigen. Die Äquivalenz aller Elemente bestünde hier nur in der Bedingung, im jeweiligen syntagmatischen Kontext einsetzbar zu sein. Zum Beispiel:</w:t>
      </w:r>
    </w:p>
    <w:p w:rsidR="00AA3125" w:rsidRDefault="005D7996" w:rsidP="008252C6">
      <w:pPr>
        <w:pStyle w:val="Text"/>
        <w:keepNext/>
        <w:spacing w:before="120"/>
        <w:ind w:firstLine="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36413" type="#_x0000_t88" style="position:absolute;left:0;text-align:left;margin-left:112.15pt;margin-top:8.65pt;width:5.1pt;height:31.2pt;z-index:251748864"/>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636412" type="#_x0000_t87" style="position:absolute;left:0;text-align:left;margin-left:60.8pt;margin-top:8.65pt;width:5.1pt;height:31.2pt;z-index:251747840"/>
        </w:pict>
      </w:r>
      <w:r w:rsidR="00AA3125">
        <w:tab/>
      </w:r>
      <w:r w:rsidR="00F17673">
        <w:tab/>
      </w:r>
      <w:r w:rsidR="00F17673">
        <w:tab/>
      </w:r>
      <w:r w:rsidR="00F17673">
        <w:tab/>
      </w:r>
      <w:r w:rsidR="00F17673">
        <w:tab/>
      </w:r>
      <w:r w:rsidR="00AA3125">
        <w:t>mir</w:t>
      </w:r>
    </w:p>
    <w:p w:rsidR="00AA3125" w:rsidRDefault="00353D87" w:rsidP="00F17673">
      <w:pPr>
        <w:pStyle w:val="Text"/>
        <w:keepNext/>
        <w:ind w:firstLine="0"/>
      </w:pPr>
      <w:r>
        <w:t>(1)</w:t>
      </w:r>
      <w:r w:rsidR="00AA3125">
        <w:tab/>
        <w:t>Sie gibt</w:t>
      </w:r>
      <w:r w:rsidR="00F17673">
        <w:tab/>
      </w:r>
      <w:r w:rsidR="00F17673">
        <w:tab/>
      </w:r>
      <w:r w:rsidR="0073325D">
        <w:t>lächelnd</w:t>
      </w:r>
      <w:r w:rsidR="00F17673">
        <w:t xml:space="preserve">       </w:t>
      </w:r>
      <w:r w:rsidR="009F186F">
        <w:t xml:space="preserve"> </w:t>
      </w:r>
      <w:r w:rsidR="0073325D">
        <w:t>die Hand</w:t>
      </w:r>
      <w:r w:rsidR="00AA3125">
        <w:t>.</w:t>
      </w:r>
    </w:p>
    <w:p w:rsidR="00AA3125" w:rsidRDefault="00AA3125" w:rsidP="008252C6">
      <w:pPr>
        <w:pStyle w:val="Text"/>
        <w:spacing w:after="120"/>
        <w:ind w:firstLine="0"/>
      </w:pPr>
      <w:r>
        <w:tab/>
      </w:r>
      <w:r w:rsidR="00F17673">
        <w:tab/>
      </w:r>
      <w:r w:rsidR="00F17673">
        <w:tab/>
      </w:r>
      <w:r w:rsidR="00F17673">
        <w:tab/>
      </w:r>
      <w:r w:rsidR="00F17673">
        <w:tab/>
        <w:t>n</w:t>
      </w:r>
      <w:r w:rsidR="0073325D">
        <w:t>ie</w:t>
      </w:r>
    </w:p>
    <w:p w:rsidR="00D65B9B" w:rsidRDefault="00D65B9B" w:rsidP="00F17673">
      <w:pPr>
        <w:pStyle w:val="Text"/>
        <w:ind w:firstLine="0"/>
      </w:pPr>
      <w:r>
        <w:t>Die Betrachtung der Distribution</w:t>
      </w:r>
      <w:r w:rsidR="005D7996">
        <w:fldChar w:fldCharType="begin"/>
      </w:r>
      <w:r w:rsidR="00673F18">
        <w:instrText xml:space="preserve"> XE "</w:instrText>
      </w:r>
      <w:r w:rsidR="00673F18" w:rsidRPr="0094100E">
        <w:instrText>Distribution</w:instrText>
      </w:r>
      <w:r w:rsidR="00673F18">
        <w:instrText xml:space="preserve">" </w:instrText>
      </w:r>
      <w:r w:rsidR="005D7996">
        <w:fldChar w:fldCharType="end"/>
      </w:r>
      <w:r>
        <w:t xml:space="preserve"> von Elementen hat sich in der strukturalist</w:t>
      </w:r>
      <w:r>
        <w:t>i</w:t>
      </w:r>
      <w:r>
        <w:t xml:space="preserve">schen </w:t>
      </w:r>
      <w:r w:rsidR="00F26B35">
        <w:t>A</w:t>
      </w:r>
      <w:r>
        <w:t>nalyse bewährt; man kann sie sowohl für die Segmentierung eines Sy</w:t>
      </w:r>
      <w:r>
        <w:t>n</w:t>
      </w:r>
      <w:r>
        <w:t>tagmas verwenden (indem man betrachtet, ob ein bestimmte</w:t>
      </w:r>
      <w:r w:rsidR="00DF51BF">
        <w:t xml:space="preserve">s Textstück </w:t>
      </w:r>
      <w:r>
        <w:t>auch in anderem Kontext vorkommt) als auch für die Klassifizierung (indem man prüft, welche Einheiten in einem bestimmten Kontext vorkommen können).</w:t>
      </w:r>
      <w:r w:rsidR="00FD1F70">
        <w:t xml:space="preserve"> Aber kann sie uns auch bei der Stilbeschreibung helfen?</w:t>
      </w:r>
    </w:p>
    <w:p w:rsidR="004A1B5D" w:rsidRDefault="00FD1F70" w:rsidP="00D65B9B">
      <w:pPr>
        <w:pStyle w:val="Text"/>
      </w:pPr>
      <w:r>
        <w:t xml:space="preserve">Der Distributionalismus </w:t>
      </w:r>
      <w:r w:rsidR="00E07740">
        <w:t>verwendet als Alternativenbedingungen nur die Tatsache, dass das Element an der jeweiligen Stel</w:t>
      </w:r>
      <w:r>
        <w:t xml:space="preserve">le des </w:t>
      </w:r>
      <w:r w:rsidR="008A7889">
        <w:t>Syntagmas</w:t>
      </w:r>
      <w:r w:rsidR="00991217">
        <w:t xml:space="preserve"> passen</w:t>
      </w:r>
      <w:r>
        <w:t xml:space="preserve"> muss, also die </w:t>
      </w:r>
      <w:r w:rsidR="00E07740" w:rsidRPr="00E07740">
        <w:rPr>
          <w:i/>
        </w:rPr>
        <w:t>syntaktische und semantische Wohlgeformtheit</w:t>
      </w:r>
      <w:r w:rsidR="005D7996">
        <w:rPr>
          <w:i/>
        </w:rPr>
        <w:fldChar w:fldCharType="begin"/>
      </w:r>
      <w:r w:rsidR="00C51357">
        <w:instrText xml:space="preserve"> XE "</w:instrText>
      </w:r>
      <w:r w:rsidR="00C51357" w:rsidRPr="00141F00">
        <w:instrText>Wohlgeformtheit</w:instrText>
      </w:r>
      <w:r w:rsidR="00C51357">
        <w:instrText xml:space="preserve">" </w:instrText>
      </w:r>
      <w:r w:rsidR="005D7996">
        <w:rPr>
          <w:i/>
        </w:rPr>
        <w:fldChar w:fldCharType="end"/>
      </w:r>
      <w:r w:rsidR="00E07740">
        <w:t xml:space="preserve"> des entstehenden Synta</w:t>
      </w:r>
      <w:r w:rsidR="00E07740">
        <w:t>g</w:t>
      </w:r>
      <w:r w:rsidR="00E07740">
        <w:t xml:space="preserve">mas. Damit sind jedoch inhaltliche, funktionale und zielbezogene </w:t>
      </w:r>
      <w:r w:rsidR="004A1B5D">
        <w:t xml:space="preserve">Gleichheit </w:t>
      </w:r>
      <w:r w:rsidR="00E07740">
        <w:lastRenderedPageBreak/>
        <w:t>noch gar nicht berücksicht</w:t>
      </w:r>
      <w:r>
        <w:t xml:space="preserve">igt; diese müsste man </w:t>
      </w:r>
      <w:r w:rsidR="00E07740">
        <w:t>als zusätzliche Kritierien</w:t>
      </w:r>
      <w:r>
        <w:t xml:space="preserve"> a</w:t>
      </w:r>
      <w:r>
        <w:t>n</w:t>
      </w:r>
      <w:r>
        <w:t>nehmen.</w:t>
      </w:r>
    </w:p>
    <w:p w:rsidR="004A1B5D" w:rsidRDefault="004A1B5D" w:rsidP="00D65B9B">
      <w:pPr>
        <w:pStyle w:val="Text"/>
      </w:pPr>
      <w:r>
        <w:t>Das Kriterium der syntaktischen und semantischen Wohlgeformheit gilt j</w:t>
      </w:r>
      <w:r>
        <w:t>e</w:t>
      </w:r>
      <w:r>
        <w:t>doch nur bei der Verwendung von Zeichensystemen, die eine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t xml:space="preserve"> und Sema</w:t>
      </w:r>
      <w:r>
        <w:t>n</w:t>
      </w:r>
      <w:r>
        <w:t>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t xml:space="preserve"> aufweisen und entsprechende Bedingungen für Syntagmen spezifizieren. Es wäre daher für Textstile verwendbar</w:t>
      </w:r>
      <w:r w:rsidR="00393794">
        <w:t>,</w:t>
      </w:r>
      <w:r>
        <w:rPr>
          <w:rStyle w:val="Funotenzeichen"/>
        </w:rPr>
        <w:footnoteReference w:id="95"/>
      </w:r>
      <w:r>
        <w:t xml:space="preserve"> lässt sich jedoch nicht ohne Weiteres auf andere Bereiche übertragen.</w:t>
      </w:r>
      <w:r>
        <w:rPr>
          <w:rStyle w:val="Funotenzeichen"/>
        </w:rPr>
        <w:footnoteReference w:id="96"/>
      </w:r>
    </w:p>
    <w:p w:rsidR="000C0088" w:rsidRDefault="00B469DB" w:rsidP="00D65B9B">
      <w:pPr>
        <w:pStyle w:val="Text"/>
      </w:pPr>
      <w:r>
        <w:t xml:space="preserve">Nehmen wir also an, wir könnten die Methode für Textstile verwenden und müssten nun nur noch das Kriterium der </w:t>
      </w:r>
      <w:r w:rsidRPr="001C09C1">
        <w:rPr>
          <w:i/>
        </w:rPr>
        <w:t>Inhaltsgleichheit</w:t>
      </w:r>
      <w:r>
        <w:t xml:space="preserve"> berücksichtigen</w:t>
      </w:r>
      <w:r w:rsidR="007C5132">
        <w:t xml:space="preserve">. </w:t>
      </w:r>
      <w:r>
        <w:t>Ta</w:t>
      </w:r>
      <w:r>
        <w:t>t</w:t>
      </w:r>
      <w:r>
        <w:t xml:space="preserve">sächlich wurde bei der Betrachtung von Textstilen häufig die Inhaltsgleichheit bei </w:t>
      </w:r>
      <w:r w:rsidR="006077F8">
        <w:t xml:space="preserve">Wörtern </w:t>
      </w:r>
      <w:r>
        <w:t>(Synonymie) oder bei Sätzen (Paraphrasen) zur Bildung der Par</w:t>
      </w:r>
      <w:r>
        <w:t>a</w:t>
      </w:r>
      <w:r>
        <w:t>digmen herangezogen.</w:t>
      </w:r>
      <w:r w:rsidR="007C5132">
        <w:rPr>
          <w:rStyle w:val="Funotenzeichen"/>
        </w:rPr>
        <w:footnoteReference w:id="97"/>
      </w:r>
      <w:r>
        <w:t xml:space="preserve"> Dabei wird jedoch oft nicht zwischen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und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t xml:space="preserve"> (oder Referenz</w:t>
      </w:r>
      <w:r w:rsidR="005D7996">
        <w:fldChar w:fldCharType="begin"/>
      </w:r>
      <w:r w:rsidR="00F0466D">
        <w:instrText xml:space="preserve"> XE "</w:instrText>
      </w:r>
      <w:r w:rsidR="00F0466D" w:rsidRPr="00BB5357">
        <w:instrText>Referenz</w:instrText>
      </w:r>
      <w:r w:rsidR="00F0466D">
        <w:instrText xml:space="preserve">" </w:instrText>
      </w:r>
      <w:r w:rsidR="005D7996">
        <w:fldChar w:fldCharType="end"/>
      </w:r>
      <w:r>
        <w:t>) unterschieden. Nehmen wir ein Beispiel:</w:t>
      </w:r>
    </w:p>
    <w:p w:rsidR="00D65B9B" w:rsidRDefault="005D7996" w:rsidP="008252C6">
      <w:pPr>
        <w:pStyle w:val="Text"/>
        <w:keepNext/>
        <w:spacing w:before="120"/>
        <w:ind w:firstLine="0"/>
      </w:pPr>
      <w:r>
        <w:rPr>
          <w:noProof/>
        </w:rPr>
        <w:pict>
          <v:shape id="_x0000_s1576168" type="#_x0000_t87" style="position:absolute;left:0;text-align:left;margin-left:121.55pt;margin-top:8.55pt;width:5.1pt;height:31.2pt;rotation:180;z-index:251832832"/>
        </w:pict>
      </w:r>
      <w:r>
        <w:rPr>
          <w:noProof/>
        </w:rPr>
        <w:pict>
          <v:shape id="_x0000_s1576160" type="#_x0000_t87" style="position:absolute;left:0;text-align:left;margin-left:45.35pt;margin-top:8.35pt;width:5.1pt;height:31.2pt;z-index:251831808"/>
        </w:pict>
      </w:r>
      <w:r w:rsidR="00F17673">
        <w:tab/>
      </w:r>
      <w:r w:rsidR="00F17673">
        <w:tab/>
      </w:r>
      <w:r w:rsidR="00F17673">
        <w:tab/>
      </w:r>
      <w:r w:rsidR="00F17673">
        <w:tab/>
      </w:r>
      <w:r w:rsidR="00443EE6">
        <w:t>Knabe</w:t>
      </w:r>
    </w:p>
    <w:p w:rsidR="00D65B9B" w:rsidRDefault="00353D87" w:rsidP="00F17673">
      <w:pPr>
        <w:pStyle w:val="Text"/>
        <w:keepNext/>
        <w:ind w:firstLine="0"/>
      </w:pPr>
      <w:r>
        <w:t>(2)</w:t>
      </w:r>
      <w:r w:rsidR="00F17673">
        <w:tab/>
        <w:t>Der</w:t>
      </w:r>
      <w:r w:rsidR="00F17673">
        <w:tab/>
      </w:r>
      <w:r w:rsidR="00F17673">
        <w:tab/>
      </w:r>
      <w:r w:rsidR="00443EE6">
        <w:t>Junge</w:t>
      </w:r>
      <w:r w:rsidR="00443EE6">
        <w:tab/>
      </w:r>
      <w:r w:rsidR="00D65B9B">
        <w:t xml:space="preserve"> </w:t>
      </w:r>
      <w:r w:rsidR="009F186F">
        <w:t xml:space="preserve">           </w:t>
      </w:r>
      <w:r w:rsidR="00D65B9B">
        <w:t>befand sich auf dem Weg nach Hause.</w:t>
      </w:r>
    </w:p>
    <w:p w:rsidR="00D65B9B" w:rsidRDefault="00F17673" w:rsidP="008252C6">
      <w:pPr>
        <w:pStyle w:val="Text"/>
        <w:spacing w:after="120"/>
        <w:ind w:firstLine="0"/>
      </w:pPr>
      <w:r>
        <w:tab/>
      </w:r>
      <w:r>
        <w:tab/>
      </w:r>
      <w:r>
        <w:tab/>
      </w:r>
      <w:r>
        <w:tab/>
      </w:r>
      <w:r w:rsidR="00D65B9B">
        <w:t>Minderjährige</w:t>
      </w:r>
    </w:p>
    <w:p w:rsidR="00D65B9B" w:rsidRDefault="00D65B9B" w:rsidP="00F17673">
      <w:pPr>
        <w:pStyle w:val="Text"/>
        <w:ind w:firstLine="0"/>
      </w:pPr>
      <w:r>
        <w:lastRenderedPageBreak/>
        <w:t>Die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ist hier eindeutig verschieden;</w:t>
      </w:r>
      <w:r w:rsidR="000D3E8D">
        <w:rPr>
          <w:rStyle w:val="Funotenzeichen"/>
        </w:rPr>
        <w:footnoteReference w:id="98"/>
      </w:r>
      <w:r>
        <w:t xml:space="preserve"> von Inhaltsgleichheit kann also nicht gesprochen werden. Auch die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t xml:space="preserve"> (oder Referenz) ist nicht genau gleich. Sie stimmt jedoch hinreichend überein, um die </w:t>
      </w:r>
      <w:r w:rsidR="00443EE6">
        <w:t>Ausdrücke – ohne B</w:t>
      </w:r>
      <w:r w:rsidR="00443EE6">
        <w:t>e</w:t>
      </w:r>
      <w:r w:rsidR="00443EE6">
        <w:t xml:space="preserve">rücksichtigung des Stils – </w:t>
      </w:r>
      <w:r>
        <w:t>in vielen Kontexten zu Alternativen füreinander zu machen.</w:t>
      </w:r>
    </w:p>
    <w:p w:rsidR="00D65B9B" w:rsidRDefault="00D65B9B" w:rsidP="00D65B9B">
      <w:pPr>
        <w:pStyle w:val="Text"/>
      </w:pPr>
      <w:r>
        <w:t>Doch müssen stilistisch relevante Paradigmen nicht immer inhaltsgleich sein.</w:t>
      </w:r>
      <w:r w:rsidR="000D3E8D">
        <w:rPr>
          <w:rStyle w:val="Funotenzeichen"/>
        </w:rPr>
        <w:footnoteReference w:id="99"/>
      </w:r>
      <w:r>
        <w:t xml:space="preserve"> Wenn </w:t>
      </w:r>
      <w:r w:rsidR="00EC7148">
        <w:t>beispielsweise</w:t>
      </w:r>
      <w:r>
        <w:t xml:space="preserve"> eine Schriftstellerin lange Beschreibungen der Me</w:t>
      </w:r>
      <w:r>
        <w:t>n</w:t>
      </w:r>
      <w:r>
        <w:t>schen, die zum ersten Mal auftreten, liefert, eine andere dagegen gar keine, dann ist der Inhalt des Gesagten eindeutig verschieden. Dennoch wird man diesen Unterschied oft als stilistisch relevant empfinden. Offenbar können wir b</w:t>
      </w:r>
      <w:r>
        <w:t>e</w:t>
      </w:r>
      <w:r>
        <w:t xml:space="preserve">stimmte Aufgaben bei der Erzeugung eines bestimmten Texts erkennen, die wir als </w:t>
      </w:r>
      <w:r w:rsidR="00730DC3">
        <w:t>Äqui</w:t>
      </w:r>
      <w:r w:rsidR="00730DC3">
        <w:softHyphen/>
        <w:t>valenz</w:t>
      </w:r>
      <w:r w:rsidR="00730DC3">
        <w:softHyphen/>
        <w:t>krit</w:t>
      </w:r>
      <w:r>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t xml:space="preserve"> heranziehen. </w:t>
      </w:r>
      <w:r w:rsidR="00374C37">
        <w:t>‚</w:t>
      </w:r>
      <w:r>
        <w:t>Einführen von neuen Figuren</w:t>
      </w:r>
      <w:r w:rsidR="00374C37">
        <w:t>‘</w:t>
      </w:r>
      <w:r>
        <w:t xml:space="preserve"> ist eine so</w:t>
      </w:r>
      <w:r>
        <w:t>l</w:t>
      </w:r>
      <w:r>
        <w:t>che Aufgabe. Auf der Wort- und Satzebene betrachtet, kann man oft den Au</w:t>
      </w:r>
      <w:r>
        <w:t>s</w:t>
      </w:r>
      <w:r>
        <w:t>druck des jeweiligen Inhalts (oder den Bezug auf die jeweilige Referenz</w:t>
      </w:r>
      <w:r w:rsidR="005D7996">
        <w:fldChar w:fldCharType="begin"/>
      </w:r>
      <w:r w:rsidR="00F0466D">
        <w:instrText xml:space="preserve"> XE "</w:instrText>
      </w:r>
      <w:r w:rsidR="00F0466D" w:rsidRPr="00E04D94">
        <w:instrText>Referenz</w:instrText>
      </w:r>
      <w:r w:rsidR="00F0466D">
        <w:instrText xml:space="preserve">" </w:instrText>
      </w:r>
      <w:r w:rsidR="005D7996">
        <w:fldChar w:fldCharType="end"/>
      </w:r>
      <w:r>
        <w:t>) als Au</w:t>
      </w:r>
      <w:r>
        <w:t>f</w:t>
      </w:r>
      <w:r>
        <w:t>gabe betrachten, so dass in vielen Fällen das Kriterium Inhaltsgleichheit (oder Referenzgleichheit) zu plausiblen Paradigmen führt, aber eben nicht in allen.</w:t>
      </w:r>
    </w:p>
    <w:p w:rsidR="00BD41C3" w:rsidRDefault="00D65B9B" w:rsidP="00BD41C3">
      <w:pPr>
        <w:pStyle w:val="Text"/>
      </w:pPr>
      <w:r>
        <w:t xml:space="preserve">Auch </w:t>
      </w:r>
      <w:r w:rsidR="00AF7903">
        <w:t>bei Verhaltens</w:t>
      </w:r>
      <w:r w:rsidR="00D233F3">
        <w:t>stilen</w:t>
      </w:r>
      <w:r w:rsidR="00AF7903">
        <w:t xml:space="preserve"> lässt </w:t>
      </w:r>
      <w:r w:rsidR="007F0698">
        <w:t>s</w:t>
      </w:r>
      <w:r w:rsidR="00AF7903">
        <w:t>ich nicht ohne Weiteres Zielgleich</w:t>
      </w:r>
      <w:r w:rsidR="00F53567">
        <w:t>h</w:t>
      </w:r>
      <w:r w:rsidR="00AF7903">
        <w:t>eit</w:t>
      </w:r>
      <w:r>
        <w:t xml:space="preserve"> </w:t>
      </w:r>
      <w:r w:rsidR="00D233F3">
        <w:t>als Kriterium für die Bildung von Alternativenklassen verwenden</w:t>
      </w:r>
      <w:r w:rsidR="00BD41C3">
        <w:t>. Wenn jemand auf eine bestimmte Art Ski fährt, kann dies durchaus mit dem Ziel seines Skifahrens zusammenhängen; beispielsweise könnte dieses Ziel darin bestehen, Sprünge auszuführen, und er fährt in einer Haltung, die dafür geeignet ist</w:t>
      </w:r>
      <w:r w:rsidR="00C50220">
        <w:t xml:space="preserve"> und zugleich </w:t>
      </w:r>
      <w:r w:rsidR="00BD41C3">
        <w:t xml:space="preserve">andere Ziele (etwa maximale Schnelligkeit) ausschließt. Trotzdem </w:t>
      </w:r>
      <w:r w:rsidR="00C50220">
        <w:t>könnte</w:t>
      </w:r>
      <w:r w:rsidR="00BD41C3">
        <w:t xml:space="preserve"> man </w:t>
      </w:r>
      <w:r w:rsidR="00C50220">
        <w:t xml:space="preserve">hier </w:t>
      </w:r>
      <w:r w:rsidR="00BD41C3">
        <w:t>von einem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BD41C3">
        <w:t xml:space="preserve"> sprechen.</w:t>
      </w:r>
      <w:r w:rsidR="00517CCF">
        <w:rPr>
          <w:rStyle w:val="Funotenzeichen"/>
        </w:rPr>
        <w:footnoteReference w:id="100"/>
      </w:r>
      <w:r w:rsidR="00BD41C3">
        <w:t xml:space="preserve"> </w:t>
      </w:r>
      <w:r w:rsidR="00517CCF">
        <w:t>Meldet man sich in einer Sitzung</w:t>
      </w:r>
      <w:r w:rsidR="00BD41C3">
        <w:t xml:space="preserve"> </w:t>
      </w:r>
      <w:r w:rsidR="00517CCF">
        <w:t xml:space="preserve">oder einem Seminar </w:t>
      </w:r>
      <w:r w:rsidR="00BD41C3">
        <w:t xml:space="preserve">mit einem Kommentar zu Wort, den man </w:t>
      </w:r>
      <w:r w:rsidR="00517CCF">
        <w:t xml:space="preserve">in </w:t>
      </w:r>
      <w:r w:rsidR="006D0063">
        <w:t>übertriebener Fachterm</w:t>
      </w:r>
      <w:r w:rsidR="006D0063">
        <w:t>i</w:t>
      </w:r>
      <w:r w:rsidR="006D0063">
        <w:t xml:space="preserve">nologie ausführlich und </w:t>
      </w:r>
      <w:r w:rsidR="000302CE">
        <w:t xml:space="preserve">mit vielen Hypotaxen </w:t>
      </w:r>
      <w:r w:rsidR="00BD41C3">
        <w:t>formuliert,</w:t>
      </w:r>
      <w:r w:rsidR="00517CCF">
        <w:t xml:space="preserve"> so kann man damit </w:t>
      </w:r>
      <w:r w:rsidR="00562B00">
        <w:t xml:space="preserve">vermutlich </w:t>
      </w:r>
      <w:r w:rsidR="00517CCF">
        <w:t>bestimmte Ziele nicht erreichen (zum Gespräch beizutragen), andere aber schon (sich bemerkbar zu machen, zu beeindrucken oder eine zielführende Diskussion zu verhindern).</w:t>
      </w:r>
      <w:r w:rsidR="00F53567">
        <w:t xml:space="preserve"> Stile </w:t>
      </w:r>
      <w:r w:rsidR="00BD41C3">
        <w:t>können also Auswirkungen auf die möglichen Ziele</w:t>
      </w:r>
      <w:r w:rsidR="00F777AF">
        <w:t xml:space="preserve"> </w:t>
      </w:r>
      <w:r w:rsidR="00BD41C3">
        <w:t>eine</w:t>
      </w:r>
      <w:r w:rsidR="00F53567">
        <w:t>s</w:t>
      </w:r>
      <w:r w:rsidR="00BD41C3">
        <w:t xml:space="preserve"> </w:t>
      </w:r>
      <w:r w:rsidR="00F53567">
        <w:t xml:space="preserve">Verhaltens </w:t>
      </w:r>
      <w:r w:rsidR="00BD41C3">
        <w:t>haben.</w:t>
      </w:r>
      <w:r w:rsidR="00F53567">
        <w:t xml:space="preserve"> Dazu kommt</w:t>
      </w:r>
      <w:r w:rsidR="00F777AF">
        <w:t xml:space="preserve"> das Problem</w:t>
      </w:r>
      <w:r w:rsidR="00F53567">
        <w:t xml:space="preserve">, dass </w:t>
      </w:r>
      <w:r w:rsidR="00CB0812">
        <w:t xml:space="preserve">Ziele </w:t>
      </w:r>
      <w:r w:rsidR="00F777AF">
        <w:t xml:space="preserve">bereits </w:t>
      </w:r>
      <w:r w:rsidR="00F53567">
        <w:t xml:space="preserve">bei intendiertem Verhalten, also </w:t>
      </w:r>
      <w:r w:rsidR="00CB0812">
        <w:t xml:space="preserve">bei </w:t>
      </w:r>
      <w:r w:rsidR="00F53567">
        <w:t>Handlungen,</w:t>
      </w:r>
      <w:r w:rsidR="009F6571">
        <w:t xml:space="preserve"> </w:t>
      </w:r>
      <w:r w:rsidR="00CB0812">
        <w:t>nicht immer klar angegeben we</w:t>
      </w:r>
      <w:r w:rsidR="00CB0812">
        <w:t>r</w:t>
      </w:r>
      <w:r w:rsidR="00CB0812">
        <w:lastRenderedPageBreak/>
        <w:t>den können</w:t>
      </w:r>
      <w:r w:rsidR="00F777AF">
        <w:t xml:space="preserve">, bei </w:t>
      </w:r>
      <w:r w:rsidR="00CB0812">
        <w:t xml:space="preserve">nicht-intendiertem Verhalten </w:t>
      </w:r>
      <w:r w:rsidR="00F777AF">
        <w:t xml:space="preserve">aber </w:t>
      </w:r>
      <w:r w:rsidR="00CB0812">
        <w:t xml:space="preserve">noch </w:t>
      </w:r>
      <w:r w:rsidR="00F777AF">
        <w:t>schwerer festzustellen sind</w:t>
      </w:r>
      <w:r w:rsidR="00CB0812">
        <w:t>.</w:t>
      </w:r>
      <w:bookmarkStart w:id="60" w:name="_Ref289363065"/>
      <w:r w:rsidR="008675C9">
        <w:rPr>
          <w:rStyle w:val="Funotenzeichen"/>
        </w:rPr>
        <w:footnoteReference w:id="101"/>
      </w:r>
      <w:bookmarkEnd w:id="60"/>
    </w:p>
    <w:p w:rsidR="009039F6" w:rsidRDefault="00D233F3" w:rsidP="00BD41C3">
      <w:pPr>
        <w:pStyle w:val="Text"/>
      </w:pPr>
      <w:r>
        <w:t xml:space="preserve">Ebensowenig ist Funktionsgleichheit bei Artefakten eine Voraussetzung für stilistische Auswahl. </w:t>
      </w:r>
      <w:r w:rsidR="00D65B9B">
        <w:t>Wenn etwa ein Architekt ein Haus baut und bei der Küche zwischen verschiedenen Fenstern wählt, dann kann er Fenster ganz verschied</w:t>
      </w:r>
      <w:r w:rsidR="00D65B9B">
        <w:t>e</w:t>
      </w:r>
      <w:r w:rsidR="00D65B9B">
        <w:t xml:space="preserve">ner Größe und Anzahl nehmen und diese unterschiedlich positionieren. Weder mit der Funktion </w:t>
      </w:r>
      <w:r w:rsidR="00374C37">
        <w:t>‚</w:t>
      </w:r>
      <w:r w:rsidR="00D65B9B">
        <w:t>Beleuchtung</w:t>
      </w:r>
      <w:r w:rsidR="00374C37">
        <w:t>‘</w:t>
      </w:r>
      <w:r w:rsidR="00D65B9B">
        <w:t xml:space="preserve"> noch mit der Funktion </w:t>
      </w:r>
      <w:r w:rsidR="00374C37">
        <w:t>‚</w:t>
      </w:r>
      <w:r w:rsidR="00D65B9B">
        <w:t>Belüftung</w:t>
      </w:r>
      <w:r w:rsidR="00374C37">
        <w:t>‘</w:t>
      </w:r>
      <w:r w:rsidR="00D65B9B">
        <w:t xml:space="preserve"> oder mit der Funktion </w:t>
      </w:r>
      <w:r w:rsidR="00374C37">
        <w:t>‚</w:t>
      </w:r>
      <w:r w:rsidR="00D65B9B">
        <w:t>Ästhetische Wirkung</w:t>
      </w:r>
      <w:r w:rsidR="00374C37">
        <w:t>‘</w:t>
      </w:r>
      <w:r w:rsidR="00D65B9B">
        <w:t xml:space="preserve"> l</w:t>
      </w:r>
      <w:r w:rsidR="005A5BC1">
        <w:t xml:space="preserve">ässt sich hier </w:t>
      </w:r>
      <w:r w:rsidR="004B40E0">
        <w:t>die</w:t>
      </w:r>
      <w:r w:rsidR="005A5BC1">
        <w:t xml:space="preserve"> vollständige</w:t>
      </w:r>
      <w:r>
        <w:t xml:space="preserve"> </w:t>
      </w:r>
      <w:r w:rsidR="004B40E0">
        <w:t>Alternativen</w:t>
      </w:r>
      <w:r w:rsidR="00AB3598">
        <w:softHyphen/>
      </w:r>
      <w:r w:rsidR="004B40E0">
        <w:t xml:space="preserve">klasse </w:t>
      </w:r>
      <w:r w:rsidR="00D65B9B">
        <w:t>bilden. Zudem kann er auch eine fensterlose Küche bauen und hat damit trotzdem die entsprechende Aufgabe auf eine bestimmte, unter Umständen st</w:t>
      </w:r>
      <w:r w:rsidR="00D65B9B">
        <w:t>i</w:t>
      </w:r>
      <w:r w:rsidR="00D65B9B">
        <w:t xml:space="preserve">listisch relevante Art gelöst. </w:t>
      </w:r>
      <w:r w:rsidR="00BD41C3">
        <w:t>Das Raumprogramm eines Hauses gehört zu dessen Funktion; beispielsweise wird ein Wohnhaus Wohnzimmer, Esszimmer, Schla</w:t>
      </w:r>
      <w:r w:rsidR="00BD41C3">
        <w:t>f</w:t>
      </w:r>
      <w:r w:rsidR="00BD41C3">
        <w:t xml:space="preserve">zimmer, Küche usw. haben. Die Entscheidung, auf </w:t>
      </w:r>
      <w:r>
        <w:t>Zwischenwände weitgehend zu verzichten</w:t>
      </w:r>
      <w:r w:rsidR="00BA4A94" w:rsidRPr="00BA4A94">
        <w:t xml:space="preserve"> </w:t>
      </w:r>
      <w:r w:rsidR="00BA4A94">
        <w:t xml:space="preserve">und alle Außenwände transparent zu machen, hat </w:t>
      </w:r>
      <w:r>
        <w:t>sicherlich Ei</w:t>
      </w:r>
      <w:r>
        <w:t>n</w:t>
      </w:r>
      <w:r>
        <w:t xml:space="preserve">fluss auf die Nutzungsmöglichkeiten des Hauses und ist </w:t>
      </w:r>
      <w:r w:rsidR="00BD41C3">
        <w:t>dennoch stilistisch rel</w:t>
      </w:r>
      <w:r w:rsidR="00BD41C3">
        <w:t>e</w:t>
      </w:r>
      <w:r w:rsidR="00BD41C3">
        <w:t>vant</w:t>
      </w:r>
      <w:r>
        <w:t>.</w:t>
      </w:r>
      <w:bookmarkStart w:id="61" w:name="_Ref263238426"/>
      <w:r>
        <w:rPr>
          <w:rStyle w:val="Funotenzeichen"/>
        </w:rPr>
        <w:footnoteReference w:id="102"/>
      </w:r>
      <w:bookmarkEnd w:id="61"/>
    </w:p>
    <w:p w:rsidR="00A514BC" w:rsidRDefault="00D65B9B" w:rsidP="009039F6">
      <w:pPr>
        <w:pStyle w:val="Text"/>
      </w:pPr>
      <w:r>
        <w:t xml:space="preserve">Vergleichbarkeit scheint also vonnöten zu sein; Inhaltsgleichheit oder Funktionsgleichheit dagegen nicht. Damit </w:t>
      </w:r>
      <w:r w:rsidR="006566E0">
        <w:t>ist die Idee, en</w:t>
      </w:r>
      <w:r w:rsidR="009671FC">
        <w:t>t</w:t>
      </w:r>
      <w:r w:rsidR="006566E0">
        <w:t>sprechend dem Distri</w:t>
      </w:r>
      <w:r w:rsidR="00C61ADD">
        <w:softHyphen/>
      </w:r>
      <w:r w:rsidR="006566E0">
        <w:t>butiona</w:t>
      </w:r>
      <w:r w:rsidR="00C61ADD">
        <w:softHyphen/>
      </w:r>
      <w:r w:rsidR="006566E0">
        <w:t xml:space="preserve">lismus </w:t>
      </w:r>
      <w:r w:rsidR="004B40E0">
        <w:t>das reine Vorkommen in einer</w:t>
      </w:r>
      <w:r w:rsidR="006566E0">
        <w:t xml:space="preserve"> </w:t>
      </w:r>
      <w:r w:rsidR="004B40E0">
        <w:t>Realisierung</w:t>
      </w:r>
      <w:r w:rsidR="006566E0">
        <w:t>, mit oder ohne z</w:t>
      </w:r>
      <w:r w:rsidR="006566E0">
        <w:t>u</w:t>
      </w:r>
      <w:r w:rsidR="006566E0">
        <w:t>sätzliche Spezifikationen, zur Abgrenzung der stilistisch relevanten Alternativen zu verwenden, vom Tisch.</w:t>
      </w:r>
      <w:r>
        <w:t xml:space="preserve"> Wir müssen, um </w:t>
      </w:r>
      <w:r w:rsidR="006566E0">
        <w:t xml:space="preserve">Alternativenbedingungen </w:t>
      </w:r>
      <w:r>
        <w:t>herzus</w:t>
      </w:r>
      <w:r w:rsidR="005A7D17">
        <w:t>te</w:t>
      </w:r>
      <w:r w:rsidR="005A7D17">
        <w:t>l</w:t>
      </w:r>
      <w:r w:rsidR="005A7D17">
        <w:t>len, über die Betrachtung der Realisierung</w:t>
      </w:r>
      <w:r>
        <w:t xml:space="preserve"> hinausgehen.</w:t>
      </w:r>
    </w:p>
    <w:p w:rsidR="00F75E97" w:rsidRDefault="00F75E97" w:rsidP="00CA7D72">
      <w:pPr>
        <w:pStyle w:val="Text"/>
        <w:spacing w:before="240"/>
        <w:ind w:firstLine="0"/>
      </w:pPr>
      <w:r>
        <w:t>Für die Bildung von Elementen in Alternativenklassen müssen bestimmte V</w:t>
      </w:r>
      <w:r>
        <w:t>o</w:t>
      </w:r>
      <w:r>
        <w:t>raussetzungen gemacht werden. Die w</w:t>
      </w:r>
      <w:r w:rsidR="00991217">
        <w:t xml:space="preserve">ichtigste davon könnte man als </w:t>
      </w:r>
      <w:r w:rsidR="00DC0A94">
        <w:t>‚</w:t>
      </w:r>
      <w:r>
        <w:t>Digital</w:t>
      </w:r>
      <w:r>
        <w:t>i</w:t>
      </w:r>
      <w:r>
        <w:t>sie</w:t>
      </w:r>
      <w:r w:rsidR="00991217">
        <w:t>rung</w:t>
      </w:r>
      <w:r w:rsidR="00DC0A94">
        <w:t>‘</w:t>
      </w:r>
      <w:r>
        <w:t xml:space="preserve"> von Alternativen beschreiben. Kontinuierliche Unterschiede müssen als abgestuft betrachtet werden, um auf eine endliche Menge von Elementen verteilt zu werden.</w:t>
      </w:r>
    </w:p>
    <w:p w:rsidR="00F75E97" w:rsidRDefault="00F75E97" w:rsidP="00F75E97">
      <w:pPr>
        <w:pStyle w:val="Text"/>
      </w:pPr>
      <w:r>
        <w:t>Diese Annahme mag auf den ersten Blick als problematisch erscheinen, da tatsächliche Realisierungsstellen natürlich über kontinuierlich auftretende Eige</w:t>
      </w:r>
      <w:r>
        <w:t>n</w:t>
      </w:r>
      <w:r>
        <w:t>schaften verfügen, beispielsweise die Dicke einer Linie bei einer Zeichnung oder das genaue Zahlenverhältnis bei den Proportionen eines Fensters. Neben der Tatsache, dass kontinuierliche Eigenschaften für unsere Zwecke schwer zu m</w:t>
      </w:r>
      <w:r>
        <w:t>o</w:t>
      </w:r>
      <w:r>
        <w:lastRenderedPageBreak/>
        <w:t>dellieren sind, spricht jedoch noch etwas anderes für die ‚Digitalisierung‘, die Aufteilung in verschiedene Elemente, nämlich die Begrenztheit der menschl</w:t>
      </w:r>
      <w:r>
        <w:t>i</w:t>
      </w:r>
      <w:r>
        <w:t>chen Sinnesorgane. Diese stoßen an einem bestimmten Punkt an die Grenze ihrer Unterscheidungsfähigkeit. So kann jemand, der Zeichnungen vergleicht, die Dicke zweier Linien nur bis zu einem gewissen Grad unterscheiden, bei g</w:t>
      </w:r>
      <w:r>
        <w:t>e</w:t>
      </w:r>
      <w:r>
        <w:t>ringeren Unterschieden müssen sie ihm als gleich dick erscheinen. Dasselbe gilt für die anderen Sinnesorgane und daher auch für alle anderen kontinuierlichen Eigenschaften.</w:t>
      </w:r>
    </w:p>
    <w:p w:rsidR="00F75E97" w:rsidRDefault="00F75E97" w:rsidP="00F75E97">
      <w:pPr>
        <w:pStyle w:val="Text"/>
      </w:pPr>
      <w:r>
        <w:t>Es mag eingewandt werden, dass man heutzutage mit Messinstrumenten und Computern die Unterscheidungen viel genauer treffen kann, als die Sinne</w:t>
      </w:r>
      <w:r>
        <w:t>s</w:t>
      </w:r>
      <w:r>
        <w:t xml:space="preserve">organe es vermögen, und auch solche Unterschiede stilistisch relevant werden könnten. Das ist richtig, wird allerdings nur in sehr speziellen Fällen auftreten. Während die Glasplatten für eine komplexe Glasdachkonstruktion heute oft schon per Computer zugeschnitten werden </w:t>
      </w:r>
      <w:r>
        <w:rPr>
          <w:rFonts w:cs="Times New Roman"/>
        </w:rPr>
        <w:t>–</w:t>
      </w:r>
      <w:r>
        <w:t xml:space="preserve"> etwa beim Dach des Berliner Hauptbahnhofs </w:t>
      </w:r>
      <w:r>
        <w:rPr>
          <w:rFonts w:cs="Times New Roman"/>
        </w:rPr>
        <w:t>–</w:t>
      </w:r>
      <w:r>
        <w:t xml:space="preserve"> und dabei auf Bruchteile von Millimetern präzise gearbeitet wird, ist es schwer vorstellbar, dass diese Bruchteile von Millimetern noch einen stilistischen Unterschied machen. Und selbst wenn, findet auch jede technol</w:t>
      </w:r>
      <w:r>
        <w:t>o</w:t>
      </w:r>
      <w:r>
        <w:t>gisch realisierbare Unterscheidung irgendwo ihre Grenze, und unterhalb dieser Grenze kann dann auch kein stilistischer Unterschied mehr entstehen.</w:t>
      </w:r>
    </w:p>
    <w:p w:rsidR="00F75E97" w:rsidRDefault="00F75E97" w:rsidP="009039F6">
      <w:pPr>
        <w:pStyle w:val="Text"/>
      </w:pPr>
      <w:r>
        <w:t>Für unsere Zwecke reicht eine solche prinzipielle Digitalisierbarkeit aus. Es ist nicht entscheidend, wieviele Elemente in einer Alternativenklassen sind; ta</w:t>
      </w:r>
      <w:r>
        <w:t>t</w:t>
      </w:r>
      <w:r>
        <w:t>sächlich könnten es ja aufgrund der potentiell unendlichen Menge von Eige</w:t>
      </w:r>
      <w:r>
        <w:t>n</w:t>
      </w:r>
      <w:r>
        <w:t>schaften</w:t>
      </w:r>
      <w:bookmarkStart w:id="62" w:name="_Ref273377362"/>
      <w:r w:rsidR="009671FC">
        <w:rPr>
          <w:rStyle w:val="Funotenzeichen"/>
        </w:rPr>
        <w:footnoteReference w:id="103"/>
      </w:r>
      <w:bookmarkEnd w:id="62"/>
      <w:r>
        <w:t xml:space="preserve"> auch potentiell unendlich viele sein. Egal wie klein die Unterschiede einer skalaren Eigenschaft sind, die noch stilistisch relevant werden können: Solange sie nicht </w:t>
      </w:r>
      <w:r w:rsidR="00562B00">
        <w:t xml:space="preserve">unendlich </w:t>
      </w:r>
      <w:r>
        <w:t>klein sein können, können die verschiedenen Alte</w:t>
      </w:r>
      <w:r>
        <w:t>r</w:t>
      </w:r>
      <w:r>
        <w:t>nativen als einzelne Elemente einer Klasse modelliert werden.</w:t>
      </w:r>
    </w:p>
    <w:p w:rsidR="00A8781E" w:rsidRDefault="00A8781E" w:rsidP="00A8781E">
      <w:pPr>
        <w:pStyle w:val="Titel2"/>
      </w:pPr>
      <w:bookmarkStart w:id="63" w:name="_Ref262119559"/>
      <w:bookmarkStart w:id="64" w:name="_Toc325456700"/>
      <w:bookmarkStart w:id="65" w:name="Schema"/>
      <w:bookmarkEnd w:id="59"/>
      <w:r>
        <w:t>Schemata als Grundlage von Stil</w:t>
      </w:r>
      <w:bookmarkEnd w:id="63"/>
      <w:bookmarkEnd w:id="64"/>
    </w:p>
    <w:p w:rsidR="00A8781E" w:rsidRDefault="005D7996" w:rsidP="001D549E">
      <w:pPr>
        <w:pStyle w:val="Text"/>
        <w:ind w:firstLine="0"/>
      </w:pPr>
      <w:r>
        <w:fldChar w:fldCharType="begin"/>
      </w:r>
      <w:r w:rsidR="00B126C2">
        <w:instrText xml:space="preserve"> XE "Schema" \r "Schema" </w:instrText>
      </w:r>
      <w:r>
        <w:fldChar w:fldCharType="end"/>
      </w:r>
      <w:r w:rsidRPr="002A5370">
        <w:fldChar w:fldCharType="begin"/>
      </w:r>
      <w:r w:rsidR="00B126C2" w:rsidRPr="002A5370">
        <w:instrText xml:space="preserve"> XE "</w:instrText>
      </w:r>
      <w:r w:rsidR="00B126C2">
        <w:instrText>Schema</w:instrText>
      </w:r>
      <w:r w:rsidR="00B126C2" w:rsidRPr="002A5370">
        <w:instrText>" \t "</w:instrText>
      </w:r>
      <w:r w:rsidR="00015942">
        <w:rPr>
          <w:rFonts w:cstheme="minorHAnsi"/>
          <w:i/>
        </w:rPr>
        <w:instrText>et passim</w:instrText>
      </w:r>
      <w:r w:rsidR="00B126C2" w:rsidRPr="002A5370">
        <w:instrText xml:space="preserve">" </w:instrText>
      </w:r>
      <w:r w:rsidRPr="002A5370">
        <w:fldChar w:fldCharType="end"/>
      </w:r>
      <w:r w:rsidR="00A8781E">
        <w:t>Wenn ich durch eine Straße gehe</w:t>
      </w:r>
      <w:r w:rsidR="00422E69">
        <w:t>, sehe</w:t>
      </w:r>
      <w:r w:rsidR="00A8781E">
        <w:t xml:space="preserve"> ich </w:t>
      </w:r>
      <w:r w:rsidR="00422E69">
        <w:t xml:space="preserve">zunächst gar nicht bewusst einzelne Bestandteile der </w:t>
      </w:r>
      <w:r w:rsidR="00A8781E">
        <w:t xml:space="preserve">Fassaden. Wenn dann jedoch etwas </w:t>
      </w:r>
      <w:r w:rsidR="00216B20">
        <w:t>Interessantes oder Auffäll</w:t>
      </w:r>
      <w:r w:rsidR="00216B20">
        <w:t>i</w:t>
      </w:r>
      <w:r w:rsidR="00216B20">
        <w:t xml:space="preserve">ges </w:t>
      </w:r>
      <w:r w:rsidR="00A8781E">
        <w:t xml:space="preserve">in mein Bewusstsein vordringt, richte ich </w:t>
      </w:r>
      <w:r w:rsidR="00B85552">
        <w:t>möglicherweise</w:t>
      </w:r>
      <w:r w:rsidR="00A8781E">
        <w:t xml:space="preserve"> meine Aufmer</w:t>
      </w:r>
      <w:r w:rsidR="00A8781E">
        <w:t>k</w:t>
      </w:r>
      <w:r w:rsidR="00A8781E">
        <w:t xml:space="preserve">samkeit auf eine </w:t>
      </w:r>
      <w:r w:rsidR="006C4542">
        <w:t xml:space="preserve">bestimmte </w:t>
      </w:r>
      <w:r w:rsidR="00EB4C26">
        <w:t>Fassade</w:t>
      </w:r>
      <w:r>
        <w:fldChar w:fldCharType="begin"/>
      </w:r>
      <w:r w:rsidR="005D5684">
        <w:instrText xml:space="preserve"> XE "</w:instrText>
      </w:r>
      <w:r w:rsidR="005D5684" w:rsidRPr="004C7E7F">
        <w:instrText>Fassade</w:instrText>
      </w:r>
      <w:r w:rsidR="005D5684">
        <w:instrText xml:space="preserve">" </w:instrText>
      </w:r>
      <w:r>
        <w:fldChar w:fldCharType="end"/>
      </w:r>
      <w:r w:rsidR="00EB4C26">
        <w:t xml:space="preserve">. In diesem </w:t>
      </w:r>
      <w:r w:rsidR="00A8781E">
        <w:t>Moment erkenne ich nun die Trennung der Stockwerke, die Gliederung der Fassade, die Unterscheidung zw</w:t>
      </w:r>
      <w:r w:rsidR="00A8781E">
        <w:t>i</w:t>
      </w:r>
      <w:r w:rsidR="00A8781E">
        <w:lastRenderedPageBreak/>
        <w:t xml:space="preserve">schen Türen, Fenstern, Balkons und Mauer, </w:t>
      </w:r>
      <w:r w:rsidR="00422E69">
        <w:t xml:space="preserve">die Dachtraufe </w:t>
      </w:r>
      <w:r w:rsidR="00A8781E">
        <w:t>usw. Dies gilt selbst dann, wenn das Haus einen mir unbekannten Stil hat, also tatsächlich anders gestaltet ist als alle, die ich bisher kenne.</w:t>
      </w:r>
    </w:p>
    <w:p w:rsidR="00A8781E" w:rsidRDefault="00A8781E" w:rsidP="0095347A">
      <w:pPr>
        <w:pStyle w:val="Text"/>
      </w:pPr>
      <w:r>
        <w:t>Obwohl ich solche Fenster oder solche Türen noch nie gesehen habe, bin ich in der Lage, diese mir unbekannten Dinge als Fenster oder Türen zu kateg</w:t>
      </w:r>
      <w:r>
        <w:t>o</w:t>
      </w:r>
      <w:r>
        <w:t>risieren, ein Vorgang, der in der Regel bereits in der Wahrnehmung stattfindet und keine bewusste Anstrengung verlangt. (Nur bei sehr experimentellen Hä</w:t>
      </w:r>
      <w:r>
        <w:t>u</w:t>
      </w:r>
      <w:r>
        <w:t xml:space="preserve">sern kann bezüglich dieser allgemeinen Kategorisierung ein Problem auftreten.) Damit habe ich bereits auf den </w:t>
      </w:r>
      <w:r w:rsidRPr="0095347A">
        <w:rPr>
          <w:i/>
        </w:rPr>
        <w:t>Möglichkeitsraum</w:t>
      </w:r>
      <w:r w:rsidR="005D7996">
        <w:rPr>
          <w:i/>
        </w:rPr>
        <w:fldChar w:fldCharType="begin"/>
      </w:r>
      <w:r w:rsidR="007A5993">
        <w:instrText xml:space="preserve"> XE "</w:instrText>
      </w:r>
      <w:r w:rsidR="007A5993" w:rsidRPr="007904ED">
        <w:instrText>Möglichkeitsraum</w:instrText>
      </w:r>
      <w:r w:rsidR="007A5993">
        <w:instrText xml:space="preserve">" </w:instrText>
      </w:r>
      <w:r w:rsidR="005D7996">
        <w:rPr>
          <w:i/>
        </w:rPr>
        <w:fldChar w:fldCharType="end"/>
      </w:r>
      <w:r>
        <w:t xml:space="preserve"> </w:t>
      </w:r>
      <w:r w:rsidR="0095347A">
        <w:t xml:space="preserve">für Alternativen </w:t>
      </w:r>
      <w:r>
        <w:t>Bezug g</w:t>
      </w:r>
      <w:r>
        <w:t>e</w:t>
      </w:r>
      <w:r>
        <w:t>nommen</w:t>
      </w:r>
      <w:r w:rsidR="0095347A">
        <w:t xml:space="preserve">: Obwohl ich zu diesem Zeitpunkt noch keine Alternativenklassen (Klassen </w:t>
      </w:r>
      <w:r>
        <w:t>aller anderen Fenster</w:t>
      </w:r>
      <w:r w:rsidR="0095347A">
        <w:t xml:space="preserve">- und Türausführungen, Fassadengestaltungen, Dachtypen usw.) gebildet habe, erkenne ich doch bereits, dass die beobachteten Elemente </w:t>
      </w:r>
      <w:r w:rsidR="00161CB0">
        <w:t xml:space="preserve">einem Typ angehören (z.B. </w:t>
      </w:r>
      <w:r w:rsidR="009400BA">
        <w:t>‚</w:t>
      </w:r>
      <w:r w:rsidR="00161CB0">
        <w:t>Fenster</w:t>
      </w:r>
      <w:r w:rsidR="009400BA">
        <w:t>‘</w:t>
      </w:r>
      <w:r w:rsidR="00161CB0">
        <w:t xml:space="preserve">), dessen Token variieren können und gleichzeitig bestimmte Grenzen der Variation nicht überschreiten dürfen. Implizit habe ich dabei die Alternativenklasse, die dafür gilt, dass etwas ein </w:t>
      </w:r>
      <w:r w:rsidR="00374C37">
        <w:t>‚</w:t>
      </w:r>
      <w:r w:rsidR="00161CB0">
        <w:t>Fenster</w:t>
      </w:r>
      <w:r w:rsidR="00374C37">
        <w:t>‘</w:t>
      </w:r>
      <w:r w:rsidR="00161CB0">
        <w:t xml:space="preserve"> ist, bereits berücksichtigt.</w:t>
      </w:r>
      <w:r w:rsidR="00161CB0">
        <w:rPr>
          <w:rStyle w:val="Funotenzeichen"/>
        </w:rPr>
        <w:footnoteReference w:id="104"/>
      </w:r>
    </w:p>
    <w:p w:rsidR="005C2E29" w:rsidRDefault="00A8781E" w:rsidP="00A8781E">
      <w:pPr>
        <w:pStyle w:val="Text"/>
      </w:pPr>
      <w:r>
        <w:t xml:space="preserve">Wenn man im nächsten Schritt auf den Stil eines Gebäudes achtet, </w:t>
      </w:r>
      <w:r w:rsidR="0095347A">
        <w:t xml:space="preserve">wird der </w:t>
      </w:r>
      <w:r>
        <w:t>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xml:space="preserve"> genauer </w:t>
      </w:r>
      <w:r w:rsidR="0095347A">
        <w:t xml:space="preserve">einbezogen, indem man </w:t>
      </w:r>
      <w:r>
        <w:t xml:space="preserve">anhand der </w:t>
      </w:r>
      <w:r w:rsidR="009400BA">
        <w:t>Bedingungen, die ‚Tür‘, ‚</w:t>
      </w:r>
      <w:r w:rsidR="0095347A">
        <w:t>Fenster</w:t>
      </w:r>
      <w:r w:rsidR="009400BA">
        <w:t>‘</w:t>
      </w:r>
      <w:r w:rsidR="0095347A">
        <w:t xml:space="preserve">, </w:t>
      </w:r>
      <w:r w:rsidR="009400BA">
        <w:t>‚</w:t>
      </w:r>
      <w:r w:rsidR="0095347A">
        <w:t>Dach</w:t>
      </w:r>
      <w:r w:rsidR="009400BA">
        <w:t>‘</w:t>
      </w:r>
      <w:r w:rsidR="0095347A">
        <w:t xml:space="preserve">, </w:t>
      </w:r>
      <w:r w:rsidR="009400BA">
        <w:t>‚</w:t>
      </w:r>
      <w:r w:rsidR="0095347A">
        <w:t>Fassadengestaltung</w:t>
      </w:r>
      <w:r w:rsidR="009400BA">
        <w:t>‘</w:t>
      </w:r>
      <w:r w:rsidR="0095347A">
        <w:t xml:space="preserve"> usw. festlegen, </w:t>
      </w:r>
      <w:r>
        <w:t xml:space="preserve">und </w:t>
      </w:r>
      <w:r w:rsidR="0095347A">
        <w:t xml:space="preserve">der </w:t>
      </w:r>
      <w:r>
        <w:t>spezifi</w:t>
      </w:r>
      <w:r w:rsidR="0095347A">
        <w:t>schen Ausprägung dieser Elemente an diesem</w:t>
      </w:r>
      <w:r>
        <w:t xml:space="preserve"> Gebäude </w:t>
      </w:r>
      <w:r w:rsidR="0095347A">
        <w:t>Eigenschaften der konkreten Gestaltung feststellt</w:t>
      </w:r>
      <w:r>
        <w:t xml:space="preserve">. </w:t>
      </w:r>
      <w:r w:rsidR="00BE0775">
        <w:t>Dies kann man dann mit abgespeichertem Wissen vergle</w:t>
      </w:r>
      <w:r w:rsidR="00BE0775">
        <w:t>i</w:t>
      </w:r>
      <w:r w:rsidR="00BE0775">
        <w:t>chen, das solche Gestaltungsweisen angibt. Jedes solche Wissenselement wird aus einer Angabe von spezifischen Eigenschaften (beispielsweise ‚quadratisch‘ und ‚groß‘), und von einem Schemaort, für den diese Eigenschaften gelten (be</w:t>
      </w:r>
      <w:r w:rsidR="00BE0775">
        <w:t>i</w:t>
      </w:r>
      <w:r w:rsidR="00BE0775">
        <w:t>spielsweise ‚Fenster‘) bestehen. Oft wird dieses Wissenselement anderen zug</w:t>
      </w:r>
      <w:r w:rsidR="00BE0775">
        <w:t>e</w:t>
      </w:r>
      <w:r w:rsidR="00BE0775">
        <w:t>ordnet sein</w:t>
      </w:r>
      <w:r w:rsidR="00DC0A94">
        <w:t xml:space="preserve">, die </w:t>
      </w:r>
      <w:r w:rsidR="00BE0775">
        <w:t>zusammen als ein b</w:t>
      </w:r>
      <w:r w:rsidR="00DC0A94">
        <w:t>estimmter Stil wahrgenommen werden</w:t>
      </w:r>
      <w:r w:rsidR="00CD5F38">
        <w:t>, der mit einer bestimmten Bezeichnung versehen ist (z.B. „Neugotik“, „Klassizi</w:t>
      </w:r>
      <w:r w:rsidR="00CD5F38">
        <w:t>s</w:t>
      </w:r>
      <w:r w:rsidR="00CD5F38">
        <w:t>mus“) oder der einer bestimmten Person zugeordnet wird (z.B. „der Stil von Richard Meier</w:t>
      </w:r>
      <w:r w:rsidR="005D7996">
        <w:fldChar w:fldCharType="begin"/>
      </w:r>
      <w:r w:rsidR="00E03D5C">
        <w:instrText xml:space="preserve"> XE "</w:instrText>
      </w:r>
      <w:r w:rsidR="00E03D5C" w:rsidRPr="00645E55">
        <w:instrText>Meier, Richard</w:instrText>
      </w:r>
      <w:r w:rsidR="00E03D5C">
        <w:instrText xml:space="preserve">" </w:instrText>
      </w:r>
      <w:r w:rsidR="005D7996">
        <w:fldChar w:fldCharType="end"/>
      </w:r>
      <w:r w:rsidR="00CD5F38">
        <w:t xml:space="preserve">“). </w:t>
      </w:r>
      <w:r w:rsidR="007370C2">
        <w:t>Solche Wissenselemente sollen „</w:t>
      </w:r>
      <w:r w:rsidR="005C2E29">
        <w:t>stilistische Merkmale</w:t>
      </w:r>
      <w:r w:rsidR="007370C2">
        <w:t>“</w:t>
      </w:r>
      <w:r w:rsidR="005C2E29">
        <w:t xml:space="preserve"> genannt werden.</w:t>
      </w:r>
    </w:p>
    <w:p w:rsidR="00BE0775" w:rsidRDefault="005C2E29" w:rsidP="00A8781E">
      <w:pPr>
        <w:pStyle w:val="Text"/>
      </w:pPr>
      <w:r>
        <w:t xml:space="preserve">Ein stilistisches Merkmal kann statt mit einer Bezeichnung oder </w:t>
      </w:r>
      <w:r w:rsidR="00417ECD">
        <w:t>einer Pe</w:t>
      </w:r>
      <w:r w:rsidR="00417ECD">
        <w:t>r</w:t>
      </w:r>
      <w:r w:rsidR="00417ECD">
        <w:t>sonenz</w:t>
      </w:r>
      <w:r>
        <w:t xml:space="preserve">uordnung auch </w:t>
      </w:r>
      <w:r w:rsidR="00BE0775">
        <w:t xml:space="preserve">mit der Erinnerung an ein oder mehrere Realisierungen </w:t>
      </w:r>
      <w:r>
        <w:t>(Gebäude) verbunden sein</w:t>
      </w:r>
      <w:r w:rsidR="00417ECD">
        <w:t>, die es besitzen</w:t>
      </w:r>
      <w:r>
        <w:t xml:space="preserve">. </w:t>
      </w:r>
      <w:r w:rsidR="00417ECD">
        <w:t xml:space="preserve">Ist eines davon der Fall, wird das </w:t>
      </w:r>
      <w:r w:rsidR="00A2670E">
        <w:t xml:space="preserve">am Gebäude wahrgenommene </w:t>
      </w:r>
      <w:r w:rsidR="00417ECD">
        <w:t xml:space="preserve">Merkmal in die </w:t>
      </w:r>
      <w:r w:rsidR="0049602F">
        <w:t xml:space="preserve">gefundene </w:t>
      </w:r>
      <w:r w:rsidR="00A2670E">
        <w:t>Merkmalsk</w:t>
      </w:r>
      <w:r w:rsidR="00417ECD">
        <w:t>ategorie einso</w:t>
      </w:r>
      <w:r w:rsidR="00417ECD">
        <w:t>r</w:t>
      </w:r>
      <w:r w:rsidR="00417ECD">
        <w:t>tiert</w:t>
      </w:r>
      <w:r w:rsidR="0049602F">
        <w:t xml:space="preserve">. </w:t>
      </w:r>
      <w:r w:rsidR="00417ECD">
        <w:t>Andernfalls wird es als noch unbekanntes stilistisches Merkmal erkannt und (je nach Auffälligkeit und Interesse des Betrachters) kürzer oder länger g</w:t>
      </w:r>
      <w:r w:rsidR="00417ECD">
        <w:t>e</w:t>
      </w:r>
      <w:r w:rsidR="00417ECD">
        <w:t>speichert, bevor es wieder vergessen wird.</w:t>
      </w:r>
    </w:p>
    <w:p w:rsidR="00A2670E" w:rsidRDefault="00A2670E" w:rsidP="00A8781E">
      <w:pPr>
        <w:pStyle w:val="Text"/>
      </w:pPr>
      <w:r>
        <w:lastRenderedPageBreak/>
        <w:t xml:space="preserve">Mit </w:t>
      </w:r>
      <w:r w:rsidR="00A72C65">
        <w:t xml:space="preserve">etwas Übung </w:t>
      </w:r>
      <w:r>
        <w:t>fällt es den meisten von uns leicht, stilistische Merkmale an Gebäuden zu erkennen. Wir sehen, dass etwas auf eine bestimmte Weise g</w:t>
      </w:r>
      <w:r>
        <w:t>e</w:t>
      </w:r>
      <w:r>
        <w:t xml:space="preserve">macht wurde, obwohl es (unter den durch den Kontext gegebenen Bedingungen) auch anders hätte gemacht werden können; das ist im Prinzip schon alles. Weil uns dies so leicht fällt, </w:t>
      </w:r>
      <w:r w:rsidR="00C701E9">
        <w:t>erscheint es manchmal so, als würden wir ‚einfach wah</w:t>
      </w:r>
      <w:r w:rsidR="00C701E9">
        <w:t>r</w:t>
      </w:r>
      <w:r w:rsidR="00C701E9">
        <w:t xml:space="preserve">nehmen‘, dass beispielsweise die ‚Fenster‘ ‚quadratisch‘ und ‚groß‘ </w:t>
      </w:r>
      <w:r w:rsidR="00C012B7">
        <w:t>sind</w:t>
      </w:r>
      <w:r w:rsidR="00C701E9">
        <w:t>. Durch einen simplen Abgleich der Eigenschaften könnten wir nun feststellen, ob das Merkmal einem Stil angehört, den wir schon kennen.</w:t>
      </w:r>
    </w:p>
    <w:p w:rsidR="00C701E9" w:rsidRDefault="00C701E9" w:rsidP="00A8781E">
      <w:pPr>
        <w:pStyle w:val="Text"/>
      </w:pPr>
      <w:r>
        <w:t>In Wirklichkeit ist es jedoch komplizierter. Zunächst müssen wir ja festste</w:t>
      </w:r>
      <w:r>
        <w:t>l</w:t>
      </w:r>
      <w:r>
        <w:t>len, was überhaupt quadratisch ist. Wir müssen wissen, was ‚Fenster‘ sind und was sie von den vielen anderen wahrnehmbaren Struk</w:t>
      </w:r>
      <w:r w:rsidR="00C012B7">
        <w:t>turen eines Hauses unte</w:t>
      </w:r>
      <w:r w:rsidR="00C012B7">
        <w:t>r</w:t>
      </w:r>
      <w:r w:rsidR="00C012B7">
        <w:t>scheidet</w:t>
      </w:r>
      <w:r>
        <w:t>. Zudem stellt es bereits eine Hypothese dar, die Eigenschaft allem z</w:t>
      </w:r>
      <w:r>
        <w:t>u</w:t>
      </w:r>
      <w:r>
        <w:t>zuordnen, was ein ‚Fenster‘ ist. Dafür müssen wir mehrere Fenster überprüft haben. Zudem müssen wir uns sicher sein, dass die Annahme auf dieser Ebene Sinn macht: Sind beispielsweise alle wahrnehmbaren Oberflächenstrukturen (Platten; Verkleidungen; Türe</w:t>
      </w:r>
      <w:r w:rsidR="004B3CA5">
        <w:t>n) quadratisch, könnte auch ein</w:t>
      </w:r>
      <w:r>
        <w:t xml:space="preserve"> allgemeinere</w:t>
      </w:r>
      <w:r w:rsidR="004B3CA5">
        <w:t>s</w:t>
      </w:r>
      <w:r>
        <w:t xml:space="preserve"> Merkmal angenommen werden. Es ist zwar gut möglich, dass wir dennoch ein separates Merkmal für die ‚quadratischen Fenster‘ formulieren; dies geschieht jedoch nur aufgrund des allgemeinen Wissens über das Schema ‚Gebäude‘, dass Fenster zu den wichtigsten Gestaltungsmerkmalen von Gebäuden gehören. Hä</w:t>
      </w:r>
      <w:r>
        <w:t>t</w:t>
      </w:r>
      <w:r>
        <w:t>ten beispielsweise die ‚Balkongeländer‘ die Eigenschaft ‚ist aus Stein‘, alle and</w:t>
      </w:r>
      <w:r>
        <w:t>e</w:t>
      </w:r>
      <w:r>
        <w:t>ren massiven Bauteile wären jedoch auch aus Stein, würde vermutlich kein spez</w:t>
      </w:r>
      <w:r>
        <w:t>i</w:t>
      </w:r>
      <w:r>
        <w:t>elles Merkmal nur für die Balkongeländer formuliert.</w:t>
      </w:r>
    </w:p>
    <w:p w:rsidR="0049261B" w:rsidRDefault="00C701E9" w:rsidP="00A8781E">
      <w:pPr>
        <w:pStyle w:val="Text"/>
      </w:pPr>
      <w:r>
        <w:t xml:space="preserve">Es </w:t>
      </w:r>
      <w:r w:rsidR="005E0DD3">
        <w:t>ist also nicht immer offensichtlich</w:t>
      </w:r>
      <w:r>
        <w:t>, wofür das Merkmal gelten soll. Da</w:t>
      </w:r>
      <w:r>
        <w:t>s</w:t>
      </w:r>
      <w:r>
        <w:t>selbe gilt jedoch in noch weit stärkerem Maß für die festgestellten Eigenscha</w:t>
      </w:r>
      <w:r>
        <w:t>f</w:t>
      </w:r>
      <w:r>
        <w:t xml:space="preserve">ten. </w:t>
      </w:r>
      <w:r w:rsidR="0049261B">
        <w:t xml:space="preserve">Woher wissen wir, dass ‚groß‘ und ‚quadratisch‘ stilistische Eigenschaften sind, ‚bildet eine Öffnung in einer Wand‘ oder ‚zum Hindurchschauen‘ aber nicht? </w:t>
      </w:r>
      <w:r w:rsidR="00A72C65">
        <w:t>Wir kommen gar nicht darauf, dies als mögliche stilistische Eigenschaften anzusehen, weil wir wissen, dass es sich um Eigenschaften handelt, die zu einem Fenster dazugehören.</w:t>
      </w:r>
    </w:p>
    <w:p w:rsidR="00A72C65" w:rsidRDefault="00A72C65" w:rsidP="00A8781E">
      <w:pPr>
        <w:pStyle w:val="Text"/>
      </w:pPr>
      <w:r>
        <w:t>Aus diesen Überlegungen ergibt sich zweierlei:</w:t>
      </w:r>
    </w:p>
    <w:p w:rsidR="00504CCA" w:rsidRDefault="00A72C65" w:rsidP="00A8781E">
      <w:pPr>
        <w:pStyle w:val="Text"/>
      </w:pPr>
      <w:r>
        <w:t>(1)</w:t>
      </w:r>
      <w:r>
        <w:tab/>
        <w:t xml:space="preserve">Ein stilistisches Merkmal </w:t>
      </w:r>
      <w:r w:rsidR="00504CCA">
        <w:t>kann offenbar durch zwei Angaben b</w:t>
      </w:r>
      <w:r w:rsidR="00504CCA">
        <w:t>e</w:t>
      </w:r>
      <w:r w:rsidR="00504CCA">
        <w:t xml:space="preserve">schrieben werden: Es werden </w:t>
      </w:r>
      <w:r>
        <w:t>(a) ein bestimmter Typ von Realisierungsstelle</w:t>
      </w:r>
      <w:r w:rsidR="005D7996">
        <w:fldChar w:fldCharType="begin"/>
      </w:r>
      <w:r w:rsidR="005B0778">
        <w:instrText xml:space="preserve"> XE "</w:instrText>
      </w:r>
      <w:r w:rsidR="005B0778" w:rsidRPr="00915ED4">
        <w:instrText>Realisierungsstelle</w:instrText>
      </w:r>
      <w:r w:rsidR="005B0778">
        <w:instrText xml:space="preserve">" </w:instrText>
      </w:r>
      <w:r w:rsidR="005D7996">
        <w:fldChar w:fldCharType="end"/>
      </w:r>
      <w:r>
        <w:t xml:space="preserve"> und (b) eine oder mehrere Eigenschaften, die nicht notwendig bei diesem Typ von Realisierungsstelle vorhanden sein müssen, die aber an einer oder mehreren Re</w:t>
      </w:r>
      <w:r>
        <w:t>a</w:t>
      </w:r>
      <w:r>
        <w:t>lisierungsstellen dieses Typs beobachtet werden</w:t>
      </w:r>
      <w:r w:rsidR="00504CCA">
        <w:t>, genannt</w:t>
      </w:r>
      <w:r>
        <w:t>.</w:t>
      </w:r>
    </w:p>
    <w:p w:rsidR="00397C4B" w:rsidRDefault="00504CCA" w:rsidP="00A8781E">
      <w:pPr>
        <w:pStyle w:val="Text"/>
      </w:pPr>
      <w:r>
        <w:t xml:space="preserve">Mit Hilfe dieser beiden Angaben lassen sich </w:t>
      </w:r>
      <w:r w:rsidR="003C1187">
        <w:t>daher</w:t>
      </w:r>
      <w:r>
        <w:t xml:space="preserve"> auch Regeln spezifizi</w:t>
      </w:r>
      <w:r>
        <w:t>e</w:t>
      </w:r>
      <w:r>
        <w:t>ren, die stilistische Merkmale erzeugen; wir werden solche Regeln</w:t>
      </w:r>
      <w:r w:rsidR="003C1187">
        <w:t xml:space="preserve"> </w:t>
      </w:r>
      <w:r w:rsidR="003C1187" w:rsidRPr="003C1187">
        <w:rPr>
          <w:i/>
        </w:rPr>
        <w:t>merkmalse</w:t>
      </w:r>
      <w:r w:rsidR="003C1187" w:rsidRPr="003C1187">
        <w:rPr>
          <w:i/>
        </w:rPr>
        <w:t>r</w:t>
      </w:r>
      <w:r w:rsidR="003C1187" w:rsidRPr="003C1187">
        <w:rPr>
          <w:i/>
        </w:rPr>
        <w:t>zeugende Regeln</w:t>
      </w:r>
      <w:r w:rsidR="003C1187">
        <w:t xml:space="preserve"> oder kurz </w:t>
      </w:r>
      <w:r w:rsidR="003C1187" w:rsidRPr="003C1187">
        <w:rPr>
          <w:i/>
        </w:rPr>
        <w:t>Merkmalsregeln</w:t>
      </w:r>
      <w:r w:rsidR="003C1187">
        <w:t xml:space="preserve"> nennen. Merkmalsregeln spielen in der hier vorgestellten Stiltheorie eine wichtige Rolle; sie werden in Abschnitt </w:t>
      </w:r>
      <w:r w:rsidR="005D7996">
        <w:fldChar w:fldCharType="begin"/>
      </w:r>
      <w:r w:rsidR="00220FF7">
        <w:instrText xml:space="preserve"> REF _Ref274036201 \r \h </w:instrText>
      </w:r>
      <w:r w:rsidR="005D7996">
        <w:fldChar w:fldCharType="separate"/>
      </w:r>
      <w:r w:rsidR="001231D3">
        <w:t>2.12</w:t>
      </w:r>
      <w:r w:rsidR="005D7996">
        <w:fldChar w:fldCharType="end"/>
      </w:r>
      <w:r w:rsidR="00220FF7">
        <w:t xml:space="preserve"> </w:t>
      </w:r>
      <w:r w:rsidR="003C1187">
        <w:t>genauer untersucht.</w:t>
      </w:r>
    </w:p>
    <w:p w:rsidR="00A72C65" w:rsidRDefault="00A72C65" w:rsidP="00A8781E">
      <w:pPr>
        <w:pStyle w:val="Text"/>
      </w:pPr>
      <w:r>
        <w:t>(2)</w:t>
      </w:r>
      <w:r>
        <w:tab/>
      </w:r>
      <w:r w:rsidR="003C1187">
        <w:t xml:space="preserve">Für die Beschreibung von stilistischen Merkmalen muss bekannt sein, </w:t>
      </w:r>
      <w:r>
        <w:t xml:space="preserve">welche Eigenschaften für </w:t>
      </w:r>
      <w:r w:rsidR="003C1187">
        <w:t xml:space="preserve">verschiedene </w:t>
      </w:r>
      <w:r>
        <w:t>Typ</w:t>
      </w:r>
      <w:r w:rsidR="003C1187">
        <w:t>en</w:t>
      </w:r>
      <w:r>
        <w:t xml:space="preserve"> von Realisierungsstelle </w:t>
      </w:r>
      <w:r w:rsidR="003C1187">
        <w:t>(wie ‚Fen</w:t>
      </w:r>
      <w:r w:rsidR="003C1187">
        <w:t>s</w:t>
      </w:r>
      <w:r w:rsidR="003C1187">
        <w:lastRenderedPageBreak/>
        <w:t xml:space="preserve">ter‘, ‚Tür‘, ‚Dach‘ bei einem Gebäude, aber ebenso ‚Anfahren‘, ‚Überholen‘, ‚Einparken‘ beim Autofahren) </w:t>
      </w:r>
      <w:r>
        <w:t>vorhanden sein müssen.</w:t>
      </w:r>
    </w:p>
    <w:p w:rsidR="0070095A" w:rsidRDefault="0070095A" w:rsidP="00504CCA">
      <w:pPr>
        <w:pStyle w:val="Text"/>
      </w:pPr>
      <w:r>
        <w:t xml:space="preserve">Realisierungen können </w:t>
      </w:r>
      <w:r w:rsidR="00397C4B">
        <w:t xml:space="preserve">allerdings </w:t>
      </w:r>
      <w:r>
        <w:t>unterschiedlichster Art sein. Um angeben zu können, welche Eigenschaften für eine beliebige Realisierungsstelle einer b</w:t>
      </w:r>
      <w:r>
        <w:t>e</w:t>
      </w:r>
      <w:r>
        <w:t xml:space="preserve">liebigen Realisierung erforderlich sind, benötigen wir daher eine </w:t>
      </w:r>
      <w:r w:rsidR="004C02C8">
        <w:t xml:space="preserve">vollständige </w:t>
      </w:r>
      <w:r>
        <w:t>Gliederung des Verhaltens, der Artefakte u</w:t>
      </w:r>
      <w:r w:rsidR="004C02C8">
        <w:t xml:space="preserve">nd der </w:t>
      </w:r>
      <w:r>
        <w:t xml:space="preserve">Texte </w:t>
      </w:r>
      <w:r w:rsidR="004C02C8">
        <w:t xml:space="preserve">einer oder mehrerer </w:t>
      </w:r>
      <w:r>
        <w:t>Kultur</w:t>
      </w:r>
      <w:r w:rsidR="00D54C80">
        <w:t>en, um deren Stile es geht. Im F</w:t>
      </w:r>
      <w:r>
        <w:t xml:space="preserve">olgenden wird eine einfache Gliederung </w:t>
      </w:r>
      <w:r w:rsidR="00E40176">
        <w:t>beschrieben</w:t>
      </w:r>
      <w:r>
        <w:t xml:space="preserve">, die als überindividuell gegeben </w:t>
      </w:r>
      <w:r w:rsidR="00E40176">
        <w:t xml:space="preserve">angenommen </w:t>
      </w:r>
      <w:r>
        <w:t xml:space="preserve">wird. </w:t>
      </w:r>
      <w:r w:rsidR="00C03FA9">
        <w:t xml:space="preserve">Dabei können die jeweiligen Schemata </w:t>
      </w:r>
      <w:r>
        <w:t xml:space="preserve">kulturspezifisch oder interkulturell </w:t>
      </w:r>
      <w:r w:rsidR="00C03FA9">
        <w:t>sein</w:t>
      </w:r>
      <w:r>
        <w:t>; tatsächlich sind interkulturelle Stilvergleiche in vielen Bereichen möglich, aber es gibt auch Stile, die auf kulturspezifische</w:t>
      </w:r>
      <w:r w:rsidR="00F07566">
        <w:t>n Schemata</w:t>
      </w:r>
      <w:r>
        <w:t xml:space="preserve"> aufbauen, </w:t>
      </w:r>
      <w:r w:rsidR="00F07566">
        <w:t xml:space="preserve">für die sich </w:t>
      </w:r>
      <w:r w:rsidR="003F1CD5">
        <w:t xml:space="preserve">auch </w:t>
      </w:r>
      <w:r w:rsidR="00C03FA9">
        <w:t xml:space="preserve">kein </w:t>
      </w:r>
      <w:r w:rsidR="00F07566">
        <w:t xml:space="preserve">ungefähres Äquivalent in </w:t>
      </w:r>
      <w:r w:rsidR="00C5269B">
        <w:t>anderen</w:t>
      </w:r>
      <w:r w:rsidR="00F07566">
        <w:t xml:space="preserve"> Kultur</w:t>
      </w:r>
      <w:r w:rsidR="00C5269B">
        <w:t>en</w:t>
      </w:r>
      <w:r w:rsidR="00F07566">
        <w:t xml:space="preserve"> finden lässt, </w:t>
      </w:r>
      <w:r w:rsidR="003F1CD5">
        <w:t xml:space="preserve">so </w:t>
      </w:r>
      <w:r>
        <w:t xml:space="preserve">dass ein Vergleich mit </w:t>
      </w:r>
      <w:r w:rsidR="006F16E5">
        <w:t xml:space="preserve">anderen Kulturen </w:t>
      </w:r>
      <w:r>
        <w:t>wenig bringt.</w:t>
      </w:r>
    </w:p>
    <w:p w:rsidR="0070095A" w:rsidRDefault="0070095A" w:rsidP="0070095A">
      <w:pPr>
        <w:pStyle w:val="Text"/>
      </w:pPr>
      <w:r>
        <w:t>Für die Gliederung werden nur zwei Ebenen angenommen: Der ganze B</w:t>
      </w:r>
      <w:r>
        <w:t>e</w:t>
      </w:r>
      <w:r>
        <w:t xml:space="preserve">reich menschlichen Verhaltens soll in </w:t>
      </w:r>
      <w:r w:rsidR="00D54C80">
        <w:t xml:space="preserve">Schemata </w:t>
      </w:r>
      <w:r>
        <w:t>aufgeteilt werden, die verschi</w:t>
      </w:r>
      <w:r>
        <w:t>e</w:t>
      </w:r>
      <w:r>
        <w:t xml:space="preserve">dene </w:t>
      </w:r>
      <w:r w:rsidR="00D54C80">
        <w:t xml:space="preserve">Schemaorte </w:t>
      </w:r>
      <w:r>
        <w:t>besitzen. Diese Gliederung soll als eine für die Anforderungen des Modells stark vereinfachte Gliederung des Objektbereichs verstanden we</w:t>
      </w:r>
      <w:r>
        <w:t>r</w:t>
      </w:r>
      <w:r>
        <w:t xml:space="preserve">den. Da die </w:t>
      </w:r>
      <w:r w:rsidR="00D54C80">
        <w:t>Schemagliederung</w:t>
      </w:r>
      <w:r w:rsidR="005D7996">
        <w:fldChar w:fldCharType="begin"/>
      </w:r>
      <w:r w:rsidR="00D77298">
        <w:instrText xml:space="preserve"> XE "</w:instrText>
      </w:r>
      <w:r w:rsidR="00D77298" w:rsidRPr="00311056">
        <w:instrText>Schemagliederung</w:instrText>
      </w:r>
      <w:r w:rsidR="00D77298">
        <w:instrText xml:space="preserve">" </w:instrText>
      </w:r>
      <w:r w:rsidR="005D7996">
        <w:fldChar w:fldCharType="end"/>
      </w:r>
      <w:r w:rsidR="00D54C80">
        <w:t xml:space="preserve"> nicht zentral </w:t>
      </w:r>
      <w:r>
        <w:t xml:space="preserve">für Stil ist, wird </w:t>
      </w:r>
      <w:r w:rsidR="00D54C80">
        <w:t>darauf verzichtet, eine Unterscheidung zwischen verschiedenen Typen von Schemata und eine genauere Binnengliederung von Schemata vorzunehmen</w:t>
      </w:r>
      <w:r>
        <w:t>; es wird davon ausg</w:t>
      </w:r>
      <w:r>
        <w:t>e</w:t>
      </w:r>
      <w:r>
        <w:t xml:space="preserve">gangen, dass eine </w:t>
      </w:r>
      <w:r w:rsidR="00D54C80">
        <w:t xml:space="preserve">feinere </w:t>
      </w:r>
      <w:r>
        <w:t>Untergliederung – die auch die unterschiedliche Ko</w:t>
      </w:r>
      <w:r>
        <w:t>m</w:t>
      </w:r>
      <w:r>
        <w:t xml:space="preserve">plexität verschiedener </w:t>
      </w:r>
      <w:r w:rsidR="00D54C80">
        <w:t xml:space="preserve">Schemata </w:t>
      </w:r>
      <w:r>
        <w:t xml:space="preserve">berücksichtigen </w:t>
      </w:r>
      <w:r w:rsidR="00D54C80">
        <w:t xml:space="preserve">würde </w:t>
      </w:r>
      <w:r>
        <w:t>– zwar praktische Ko</w:t>
      </w:r>
      <w:r>
        <w:t>m</w:t>
      </w:r>
      <w:r>
        <w:t xml:space="preserve">plexität, aber keine prinzipiellen zusätzlichen Probleme für die Theorie mit sich bringt. </w:t>
      </w:r>
      <w:r w:rsidR="00D54C80">
        <w:t>Beispielsweise könnten weitere Untergliederungsebenen unterhalb der Schemaorte angenommen werden.</w:t>
      </w:r>
      <w:r w:rsidR="00037B02">
        <w:t xml:space="preserve"> </w:t>
      </w:r>
      <w:r w:rsidR="00D54C80">
        <w:t xml:space="preserve">Voraussetzung </w:t>
      </w:r>
      <w:r>
        <w:t>für das hier vorgestellte Sti</w:t>
      </w:r>
      <w:r>
        <w:t>l</w:t>
      </w:r>
      <w:r>
        <w:t xml:space="preserve">modell ist </w:t>
      </w:r>
      <w:r w:rsidR="00037B02">
        <w:t xml:space="preserve">somit nur </w:t>
      </w:r>
      <w:r>
        <w:t xml:space="preserve">die </w:t>
      </w:r>
      <w:r w:rsidR="00D54C80">
        <w:t>A</w:t>
      </w:r>
      <w:r w:rsidR="00C63E13">
        <w:t xml:space="preserve">nnahme, dass </w:t>
      </w:r>
      <w:r w:rsidR="00C63E13" w:rsidRPr="002505B5">
        <w:t>eine</w:t>
      </w:r>
      <w:r w:rsidR="00C63E13">
        <w:t xml:space="preserve"> Gliederung mit Schemata für </w:t>
      </w:r>
      <w:r>
        <w:t>d</w:t>
      </w:r>
      <w:r w:rsidR="00D54C80">
        <w:t>as</w:t>
      </w:r>
      <w:r>
        <w:t xml:space="preserve"> </w:t>
      </w:r>
      <w:r w:rsidR="00D54C80">
        <w:t>Verhalten, die Artefakte und die Texte (kodierte Zeichentoken), die von Me</w:t>
      </w:r>
      <w:r w:rsidR="00D54C80">
        <w:t>n</w:t>
      </w:r>
      <w:r w:rsidR="00D54C80">
        <w:t xml:space="preserve">schen produziert werden, </w:t>
      </w:r>
      <w:r w:rsidR="00C63E13">
        <w:t>möglich ist. A</w:t>
      </w:r>
      <w:r>
        <w:t xml:space="preserve">ndernfalls könnten keine </w:t>
      </w:r>
      <w:r w:rsidR="00C63E13">
        <w:t>Alternativen</w:t>
      </w:r>
      <w:r w:rsidR="009E5689">
        <w:softHyphen/>
      </w:r>
      <w:r w:rsidR="00C63E13">
        <w:t>bedingungen festgelegt und Alternativenklassen gebildet werden.</w:t>
      </w:r>
    </w:p>
    <w:p w:rsidR="004A1A40" w:rsidRDefault="004A1A40" w:rsidP="0070095A">
      <w:pPr>
        <w:pStyle w:val="Text"/>
      </w:pPr>
      <w:r>
        <w:t>Die Alternativenbedingungen unterteilen sich wie folgt:</w:t>
      </w:r>
    </w:p>
    <w:p w:rsidR="006402AC" w:rsidRDefault="004A1A40" w:rsidP="0070095A">
      <w:pPr>
        <w:pStyle w:val="Text"/>
      </w:pPr>
      <w:r>
        <w:t>(1)</w:t>
      </w:r>
      <w:r>
        <w:tab/>
      </w:r>
      <w:r w:rsidR="00C63E13">
        <w:t>D</w:t>
      </w:r>
      <w:r w:rsidR="0070095A">
        <w:t xml:space="preserve">ie Angabe von Schema und Schemaort </w:t>
      </w:r>
      <w:r w:rsidR="00C63E13">
        <w:t xml:space="preserve">bilden </w:t>
      </w:r>
      <w:r w:rsidR="0070095A">
        <w:t xml:space="preserve">einen Teil der </w:t>
      </w:r>
      <w:r w:rsidR="00C63E13">
        <w:t>Alter</w:t>
      </w:r>
      <w:r w:rsidR="00304AD4">
        <w:softHyphen/>
      </w:r>
      <w:r w:rsidR="00C63E13">
        <w:t xml:space="preserve">nativenbedingungen: die </w:t>
      </w:r>
      <w:r w:rsidR="00C63E13" w:rsidRPr="00583816">
        <w:rPr>
          <w:i/>
        </w:rPr>
        <w:t>Schemaortbedingungen</w:t>
      </w:r>
      <w:r w:rsidR="00C63E13">
        <w:t xml:space="preserve"> (vgl. </w:t>
      </w:r>
      <w:r w:rsidR="00583816">
        <w:t xml:space="preserve">Abschnitt </w:t>
      </w:r>
      <w:r w:rsidR="005D7996">
        <w:fldChar w:fldCharType="begin"/>
      </w:r>
      <w:r w:rsidR="00583816">
        <w:instrText xml:space="preserve"> REF _Ref211841829 \r \h </w:instrText>
      </w:r>
      <w:r w:rsidR="005D7996">
        <w:fldChar w:fldCharType="separate"/>
      </w:r>
      <w:r w:rsidR="001231D3">
        <w:t>4.3.1</w:t>
      </w:r>
      <w:r w:rsidR="005D7996">
        <w:fldChar w:fldCharType="end"/>
      </w:r>
      <w:r w:rsidR="00FF1DFF">
        <w:t>, (1)</w:t>
      </w:r>
      <w:r w:rsidR="00583816">
        <w:t>).</w:t>
      </w:r>
    </w:p>
    <w:p w:rsidR="004A1A40" w:rsidRDefault="004A1A40" w:rsidP="0070095A">
      <w:pPr>
        <w:pStyle w:val="Text"/>
      </w:pPr>
      <w:r>
        <w:t>(2)</w:t>
      </w:r>
      <w:r>
        <w:tab/>
      </w:r>
      <w:r w:rsidR="0070095A">
        <w:t xml:space="preserve">Ein weiterer Teil der </w:t>
      </w:r>
      <w:r w:rsidR="00583816">
        <w:t xml:space="preserve">Alternativenbedingungen besteht </w:t>
      </w:r>
      <w:r w:rsidR="0070095A">
        <w:t xml:space="preserve">in </w:t>
      </w:r>
      <w:r w:rsidR="0070095A">
        <w:rPr>
          <w:i/>
        </w:rPr>
        <w:t>Zusatzbedi</w:t>
      </w:r>
      <w:r w:rsidR="0070095A">
        <w:rPr>
          <w:i/>
        </w:rPr>
        <w:t>n</w:t>
      </w:r>
      <w:r w:rsidR="0070095A">
        <w:rPr>
          <w:i/>
        </w:rPr>
        <w:t>gungen</w:t>
      </w:r>
      <w:r w:rsidR="00FF1DFF">
        <w:t xml:space="preserve"> (vgl. Abschnitt </w:t>
      </w:r>
      <w:r w:rsidR="005D7996">
        <w:fldChar w:fldCharType="begin"/>
      </w:r>
      <w:r w:rsidR="00FF1DFF">
        <w:instrText xml:space="preserve"> REF _Ref211841829 \r \h </w:instrText>
      </w:r>
      <w:r w:rsidR="005D7996">
        <w:fldChar w:fldCharType="separate"/>
      </w:r>
      <w:r w:rsidR="001231D3">
        <w:t>4.3.1</w:t>
      </w:r>
      <w:r w:rsidR="005D7996">
        <w:fldChar w:fldCharType="end"/>
      </w:r>
      <w:r w:rsidR="00FF1DFF">
        <w:t>, (2))</w:t>
      </w:r>
      <w:r w:rsidR="002505B5">
        <w:t xml:space="preserve">, die genauere Voraussetzungen spezifizieren, </w:t>
      </w:r>
      <w:r w:rsidR="006402AC">
        <w:t>die für Alternativen gelten müssen</w:t>
      </w:r>
      <w:r w:rsidR="002505B5">
        <w:t>.</w:t>
      </w:r>
    </w:p>
    <w:p w:rsidR="0070095A" w:rsidRDefault="004A1A40" w:rsidP="0070095A">
      <w:pPr>
        <w:pStyle w:val="Text"/>
      </w:pPr>
      <w:r>
        <w:t>(a)</w:t>
      </w:r>
      <w:r>
        <w:tab/>
      </w:r>
      <w:r w:rsidR="0070095A">
        <w:t>Nehmen wir das Verhaltens</w:t>
      </w:r>
      <w:r w:rsidR="000B5A30">
        <w:t>schema ‚Autofahren‘</w:t>
      </w:r>
      <w:r w:rsidR="0070095A">
        <w:t xml:space="preserve"> u</w:t>
      </w:r>
      <w:r w:rsidR="000B5A30">
        <w:t>nd den Schemaort ‚Überholen‘</w:t>
      </w:r>
      <w:r w:rsidR="002505B5">
        <w:t>.</w:t>
      </w:r>
      <w:r w:rsidR="0070095A">
        <w:t xml:space="preserve"> Hier müsste man Faktoren wie die Wetterbedingungen, die Sicht, die Lichtverhältnisse, die Motorleistung und Bereifung des eigenen Autos und den Verkehr auf der Gegenfahrbahn spezifizieren: Sie müssen zusätzlich angeg</w:t>
      </w:r>
      <w:r w:rsidR="0070095A">
        <w:t>e</w:t>
      </w:r>
      <w:r w:rsidR="0070095A">
        <w:t xml:space="preserve">ben sein, </w:t>
      </w:r>
      <w:r w:rsidR="006402AC">
        <w:t>um zu einer</w:t>
      </w:r>
      <w:r w:rsidR="0070095A">
        <w:t xml:space="preserve"> realistischen </w:t>
      </w:r>
      <w:r w:rsidR="006402AC">
        <w:t>Alternativenklasse zu gelangen, die die ta</w:t>
      </w:r>
      <w:r w:rsidR="006402AC">
        <w:t>t</w:t>
      </w:r>
      <w:r w:rsidR="006402AC">
        <w:t xml:space="preserve">sächlich gegebenen </w:t>
      </w:r>
      <w:r w:rsidR="0070095A">
        <w:t xml:space="preserve">Möglichkeiten in der </w:t>
      </w:r>
      <w:r w:rsidR="006402AC">
        <w:t xml:space="preserve">jeweiligen </w:t>
      </w:r>
      <w:r w:rsidR="0070095A">
        <w:t xml:space="preserve">Situation </w:t>
      </w:r>
      <w:r w:rsidR="006402AC">
        <w:t>beschreibt</w:t>
      </w:r>
      <w:r w:rsidR="0070095A">
        <w:t xml:space="preserve">. </w:t>
      </w:r>
      <w:r w:rsidR="00522A9B">
        <w:t>Zusat</w:t>
      </w:r>
      <w:r w:rsidR="00522A9B">
        <w:t>z</w:t>
      </w:r>
      <w:r w:rsidR="0070095A">
        <w:t xml:space="preserve">bedingungen dieser Art sollen </w:t>
      </w:r>
      <w:r w:rsidR="0070095A">
        <w:rPr>
          <w:i/>
        </w:rPr>
        <w:t>Kontextbedingungen</w:t>
      </w:r>
      <w:r w:rsidR="005D7996">
        <w:rPr>
          <w:i/>
        </w:rPr>
        <w:fldChar w:fldCharType="begin"/>
      </w:r>
      <w:r w:rsidR="00D92A29">
        <w:instrText xml:space="preserve"> XE "</w:instrText>
      </w:r>
      <w:r w:rsidR="00D92A29" w:rsidRPr="00280AB6">
        <w:instrText>Kontextbedingungen</w:instrText>
      </w:r>
      <w:r w:rsidR="00D92A29">
        <w:instrText xml:space="preserve">" </w:instrText>
      </w:r>
      <w:r w:rsidR="005D7996">
        <w:rPr>
          <w:i/>
        </w:rPr>
        <w:fldChar w:fldCharType="end"/>
      </w:r>
      <w:r w:rsidR="0070095A">
        <w:rPr>
          <w:i/>
        </w:rPr>
        <w:t xml:space="preserve"> </w:t>
      </w:r>
      <w:r w:rsidR="0070095A">
        <w:t>genannt werden: sie spezif</w:t>
      </w:r>
      <w:r w:rsidR="0070095A">
        <w:t>i</w:t>
      </w:r>
      <w:r w:rsidR="0070095A">
        <w:t xml:space="preserve">zieren genauer, welche Art von Kontext für den jeweiligen Schemaort gegeben </w:t>
      </w:r>
      <w:r w:rsidR="0070095A">
        <w:lastRenderedPageBreak/>
        <w:t>ist.</w:t>
      </w:r>
      <w:r w:rsidR="00636C79">
        <w:t xml:space="preserve"> </w:t>
      </w:r>
      <w:r w:rsidR="006E370B">
        <w:t>Auch Bedingungen, die sich aus Ziel bzw. Zweck einer Handlung ergeben, werden zu den Kontextbedingungen gezählt</w:t>
      </w:r>
      <w:r w:rsidR="00636C79">
        <w:t>.</w:t>
      </w:r>
    </w:p>
    <w:p w:rsidR="0070095A" w:rsidRDefault="004A1A40" w:rsidP="0070095A">
      <w:pPr>
        <w:pStyle w:val="Text"/>
      </w:pPr>
      <w:r>
        <w:t>(b)</w:t>
      </w:r>
      <w:r>
        <w:tab/>
      </w:r>
      <w:r w:rsidR="0070095A">
        <w:t xml:space="preserve">Bei Artefakten und Texten gibt es zusätzlich </w:t>
      </w:r>
      <w:r w:rsidR="0070095A" w:rsidRPr="00675916">
        <w:rPr>
          <w:i/>
        </w:rPr>
        <w:t>funktionale Bedingungen</w:t>
      </w:r>
      <w:r w:rsidR="005D7996">
        <w:rPr>
          <w:i/>
        </w:rPr>
        <w:fldChar w:fldCharType="begin"/>
      </w:r>
      <w:r w:rsidR="00D92A29">
        <w:instrText xml:space="preserve"> XE "</w:instrText>
      </w:r>
      <w:r w:rsidR="00D92A29" w:rsidRPr="00DB4D56">
        <w:instrText>funktionale Bedingungen</w:instrText>
      </w:r>
      <w:r w:rsidR="00D92A29">
        <w:instrText xml:space="preserve">" </w:instrText>
      </w:r>
      <w:r w:rsidR="005D7996">
        <w:rPr>
          <w:i/>
        </w:rPr>
        <w:fldChar w:fldCharType="end"/>
      </w:r>
      <w:r w:rsidR="0070095A">
        <w:t>, die sich aus der vorgesehenen Funktion ergeben.</w:t>
      </w:r>
      <w:r w:rsidR="0070095A">
        <w:rPr>
          <w:rStyle w:val="Funotenzeichen"/>
        </w:rPr>
        <w:footnoteReference w:id="105"/>
      </w:r>
    </w:p>
    <w:p w:rsidR="0070095A" w:rsidRDefault="004A1A40" w:rsidP="0070095A">
      <w:pPr>
        <w:pStyle w:val="Text"/>
      </w:pPr>
      <w:r>
        <w:t>(c)</w:t>
      </w:r>
      <w:r>
        <w:tab/>
      </w:r>
      <w:r w:rsidR="0070095A">
        <w:t xml:space="preserve">Eine dritte Art von Zusatzbedingungen sind die </w:t>
      </w:r>
      <w:r w:rsidR="0070095A" w:rsidRPr="00675916">
        <w:rPr>
          <w:i/>
        </w:rPr>
        <w:t>inhaltlichen Bedingu</w:t>
      </w:r>
      <w:r w:rsidR="0070095A" w:rsidRPr="00675916">
        <w:rPr>
          <w:i/>
        </w:rPr>
        <w:t>n</w:t>
      </w:r>
      <w:r w:rsidR="0070095A" w:rsidRPr="00675916">
        <w:rPr>
          <w:i/>
        </w:rPr>
        <w:t>gen</w:t>
      </w:r>
      <w:r w:rsidR="00D228FC">
        <w:t>, die insbesondere für Texte gelten, also für Realisierungen, die durch die Verwendung von Zeichensystemen erzeugt wurden. Sie kommen allerdings auch bei and</w:t>
      </w:r>
      <w:r w:rsidR="00353D87">
        <w:t>eren Realisierungen vor, an denen Zeichen beteiligt sind oder die eine Zeichenfunktion für den Betrachter erhalten sollen. Durch die Annahme von inhaltlichen Bedingun</w:t>
      </w:r>
      <w:r>
        <w:t>g</w:t>
      </w:r>
      <w:r w:rsidR="00353D87">
        <w:t xml:space="preserve">en wird die </w:t>
      </w:r>
      <w:r w:rsidR="0070095A">
        <w:t xml:space="preserve">Forderung nach genauer Inhaltsgleichheit unnötig, die – wie das Beispiel </w:t>
      </w:r>
      <w:r w:rsidR="00353D87">
        <w:t xml:space="preserve">(2) in Abschnitt </w:t>
      </w:r>
      <w:r w:rsidR="005D7996">
        <w:fldChar w:fldCharType="begin"/>
      </w:r>
      <w:r w:rsidR="009872C4">
        <w:instrText xml:space="preserve"> REF _Ref324923744 \r \h </w:instrText>
      </w:r>
      <w:r w:rsidR="005D7996">
        <w:fldChar w:fldCharType="separate"/>
      </w:r>
      <w:r w:rsidR="001231D3">
        <w:t>2.5</w:t>
      </w:r>
      <w:r w:rsidR="005D7996">
        <w:fldChar w:fldCharType="end"/>
      </w:r>
      <w:r w:rsidR="009872C4">
        <w:t xml:space="preserve"> </w:t>
      </w:r>
      <w:r w:rsidR="0070095A">
        <w:t xml:space="preserve">zeigt – selten vorhanden ist. Die </w:t>
      </w:r>
      <w:r w:rsidR="00172744">
        <w:t xml:space="preserve">in diesem Beispiel und auch sonst häufig zu beobachtende </w:t>
      </w:r>
      <w:r w:rsidR="0070095A">
        <w:t xml:space="preserve">Inhaltsähnlichkeit </w:t>
      </w:r>
      <w:r w:rsidR="00172744">
        <w:t xml:space="preserve">stilistischer Varianten </w:t>
      </w:r>
      <w:r w:rsidR="0070095A">
        <w:t>ergibt sich also nicht aus einer nicht genau beachteten Forderung nach Inhaltsgleichheit, sondern aus bestimmten inhaltlichen Bedi</w:t>
      </w:r>
      <w:r w:rsidR="0070095A">
        <w:t>n</w:t>
      </w:r>
      <w:r w:rsidR="0070095A">
        <w:t xml:space="preserve">gungen, die </w:t>
      </w:r>
      <w:r w:rsidR="00172744">
        <w:t>den Inhalt der Alternativen teilweise festlegen.</w:t>
      </w:r>
    </w:p>
    <w:p w:rsidR="0070095A" w:rsidRDefault="0070095A" w:rsidP="0070095A">
      <w:pPr>
        <w:pStyle w:val="Text"/>
      </w:pPr>
      <w:r>
        <w:t xml:space="preserve">Die Zusatzbedingungen werden verwendet, um </w:t>
      </w:r>
      <w:r w:rsidR="00172744">
        <w:t xml:space="preserve">Kontext, </w:t>
      </w:r>
      <w:r>
        <w:t xml:space="preserve">Inhalt </w:t>
      </w:r>
      <w:r w:rsidR="00172744">
        <w:t xml:space="preserve">und </w:t>
      </w:r>
      <w:r>
        <w:t>Fun</w:t>
      </w:r>
      <w:r>
        <w:t>k</w:t>
      </w:r>
      <w:r>
        <w:t>tion soweit wie nötig zu spezifizieren. Dies hat auch den Vorteil, dass die U</w:t>
      </w:r>
      <w:r>
        <w:t>n</w:t>
      </w:r>
      <w:r>
        <w:t>terordnung von Inhalt unter Stil, die gerade im ästhetischen Bereich oft anz</w:t>
      </w:r>
      <w:r>
        <w:t>u</w:t>
      </w:r>
      <w:r>
        <w:t xml:space="preserve">treffen ist, damit beschreibbar wird: Wenn etwa ein Architekt ein Haus baut, das kaum mehr bewohnbar ist, weil es nur aus Glasflächen besteht, so kann </w:t>
      </w:r>
      <w:r w:rsidR="00172744">
        <w:t xml:space="preserve">er </w:t>
      </w:r>
      <w:r>
        <w:t xml:space="preserve">dies </w:t>
      </w:r>
      <w:r w:rsidR="00172744">
        <w:t xml:space="preserve">nur, weil die Alternativenklassen, aus denen er auswählt, nicht </w:t>
      </w:r>
      <w:r>
        <w:t xml:space="preserve">durch </w:t>
      </w:r>
      <w:r w:rsidR="00172744">
        <w:t>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172744">
        <w:t xml:space="preserve"> spezifiziert wurden, die solche </w:t>
      </w:r>
      <w:r w:rsidR="00FD6033">
        <w:t>Lösungen ausschließen</w:t>
      </w:r>
      <w:r w:rsidR="00282E2C">
        <w:t>.</w:t>
      </w:r>
      <w:r w:rsidR="00282E2C">
        <w:rPr>
          <w:rStyle w:val="Funotenzeichen"/>
        </w:rPr>
        <w:footnoteReference w:id="106"/>
      </w:r>
    </w:p>
    <w:p w:rsidR="00DE52BF" w:rsidRDefault="00767483" w:rsidP="0070095A">
      <w:pPr>
        <w:pStyle w:val="Text"/>
      </w:pPr>
      <w:r>
        <w:t xml:space="preserve">Wir hatten oben erwähnt, dass </w:t>
      </w:r>
      <w:r w:rsidR="00504CCA">
        <w:t xml:space="preserve">stilistische Merkmale </w:t>
      </w:r>
      <w:r>
        <w:t>mit Hilfe von Regeln zu ihrer Erzeugung beschrieben werden können, die wir Merkmalsregeln ne</w:t>
      </w:r>
      <w:r>
        <w:t>n</w:t>
      </w:r>
      <w:r>
        <w:t xml:space="preserve">nen. Diese Regeln können nun ebenfalls </w:t>
      </w:r>
      <w:r w:rsidR="00556F6C">
        <w:t xml:space="preserve">auf </w:t>
      </w:r>
      <w:r w:rsidR="00CB099F">
        <w:t>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CB099F">
        <w:t>, funktionale und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CB099F">
        <w:t xml:space="preserve"> </w:t>
      </w:r>
      <w:r w:rsidR="00556F6C">
        <w:t xml:space="preserve">Bezug nehmen, wenn sie </w:t>
      </w:r>
      <w:r w:rsidR="0070095A">
        <w:t xml:space="preserve">spezifizieren, für welche Arten von Schemaorten sie gelten sollen. </w:t>
      </w:r>
      <w:r w:rsidR="00556F6C">
        <w:t>Fährt eine Autofahrer nur ‚</w:t>
      </w:r>
      <w:r w:rsidR="006E6A01">
        <w:t xml:space="preserve">bei </w:t>
      </w:r>
      <w:r w:rsidR="00556F6C">
        <w:t>Tr</w:t>
      </w:r>
      <w:r w:rsidR="00556F6C">
        <w:t>o</w:t>
      </w:r>
      <w:r w:rsidR="00556F6C">
        <w:lastRenderedPageBreak/>
        <w:t>ckenheit‘ und ‚</w:t>
      </w:r>
      <w:r w:rsidR="006E6A01">
        <w:t xml:space="preserve">bei </w:t>
      </w:r>
      <w:r w:rsidR="00556F6C">
        <w:t>geringem Verkehr‘ ‚sehr schnell‘</w:t>
      </w:r>
      <w:r w:rsidR="00DE52BF">
        <w:t>, hat er einen deutlich anderen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DE52BF">
        <w:t xml:space="preserve"> als jemand, der unabhängig von Kontextbedingungen stets ‚sehr schnell‘ fährt. Sind die Hütten eines Stammes stets ‚auf der Nordseite‘ durch eine Reihe von Stützen verstärkt, lassen sich andere Gründe für diese Verstärkung verm</w:t>
      </w:r>
      <w:r w:rsidR="00DE52BF">
        <w:t>u</w:t>
      </w:r>
      <w:r w:rsidR="00DE52BF">
        <w:t xml:space="preserve">ten, als wenn unabhängig vom Kontext eine Seite (etwa die der Eingangstür entgegenliegende) diese Stützen aufweisen würde. Und bei einem </w:t>
      </w:r>
      <w:r w:rsidR="00F978AD">
        <w:t>Erzählt</w:t>
      </w:r>
      <w:r w:rsidR="00DE52BF">
        <w:t xml:space="preserve">ext macht es einen Unterschied für den </w:t>
      </w:r>
      <w:r w:rsidR="00053D1F">
        <w:t xml:space="preserve">Stil, ob ein bestimmter </w:t>
      </w:r>
      <w:r w:rsidR="00DE52BF">
        <w:t>gleichgültiger To</w:t>
      </w:r>
      <w:r w:rsidR="00DE52BF">
        <w:t>n</w:t>
      </w:r>
      <w:r w:rsidR="00DE52BF">
        <w:t xml:space="preserve">fall </w:t>
      </w:r>
      <w:r w:rsidR="00F978AD">
        <w:t xml:space="preserve">nur </w:t>
      </w:r>
      <w:r w:rsidR="00053D1F">
        <w:t>‚</w:t>
      </w:r>
      <w:r w:rsidR="006362BC">
        <w:t xml:space="preserve">beim </w:t>
      </w:r>
      <w:r w:rsidR="00053D1F">
        <w:t xml:space="preserve">Inhalt </w:t>
      </w:r>
      <w:r w:rsidR="00053D1F">
        <w:rPr>
          <w:i/>
        </w:rPr>
        <w:t>y</w:t>
      </w:r>
      <w:r w:rsidR="00053D1F">
        <w:t xml:space="preserve">‘ </w:t>
      </w:r>
      <w:r w:rsidR="00F978AD">
        <w:t xml:space="preserve">oder </w:t>
      </w:r>
      <w:r w:rsidR="00C2779C">
        <w:t xml:space="preserve">unabhängig vom Inhalt </w:t>
      </w:r>
      <w:r w:rsidR="00287AEB">
        <w:t xml:space="preserve">verwendet </w:t>
      </w:r>
      <w:r w:rsidR="00DE52BF">
        <w:t>wird</w:t>
      </w:r>
      <w:r w:rsidR="00F978AD">
        <w:t>.</w:t>
      </w:r>
      <w:r w:rsidR="00F978AD">
        <w:rPr>
          <w:rStyle w:val="Funotenzeichen"/>
        </w:rPr>
        <w:footnoteReference w:id="107"/>
      </w:r>
    </w:p>
    <w:p w:rsidR="00EB46CF" w:rsidRDefault="00EB46CF" w:rsidP="0070095A">
      <w:pPr>
        <w:pStyle w:val="Text"/>
      </w:pPr>
      <w:r>
        <w:t>Umgekehrt gilt ebenso, dass Merkmalsregeln für das zu realisierende El</w:t>
      </w:r>
      <w:r>
        <w:t>e</w:t>
      </w:r>
      <w:r>
        <w:t xml:space="preserve">ment auch Eigenschaften verlangen können, die funktionale oder inhaltliche Implikationen haben oder die </w:t>
      </w:r>
      <w:r w:rsidR="00771D96">
        <w:t>den Kontext beeinflussen.</w:t>
      </w:r>
    </w:p>
    <w:p w:rsidR="0070095A" w:rsidRDefault="0070095A" w:rsidP="0070095A">
      <w:pPr>
        <w:pStyle w:val="Text"/>
      </w:pPr>
      <w:r>
        <w:t xml:space="preserve">Damit können wir </w:t>
      </w:r>
      <w:r w:rsidR="00136DDF">
        <w:t>den</w:t>
      </w:r>
      <w:r>
        <w:t xml:space="preserve"> </w:t>
      </w:r>
      <w:r w:rsidR="00136DDF">
        <w:t xml:space="preserve">altgedienten Gegensatz </w:t>
      </w:r>
      <w:r>
        <w:t xml:space="preserve">zwischen </w:t>
      </w:r>
      <w:r w:rsidR="006362BC">
        <w:t>„</w:t>
      </w:r>
      <w:r>
        <w:t>Inhalt</w:t>
      </w:r>
      <w:r w:rsidR="006362BC">
        <w:t>“</w:t>
      </w:r>
      <w:r>
        <w:t xml:space="preserve"> und </w:t>
      </w:r>
      <w:r w:rsidR="006362BC">
        <w:t>„</w:t>
      </w:r>
      <w:r>
        <w:t>Stil</w:t>
      </w:r>
      <w:r w:rsidR="00AD02F5">
        <w:t>“</w:t>
      </w:r>
      <w:r>
        <w:t xml:space="preserve"> </w:t>
      </w:r>
      <w:r w:rsidR="00136DDF">
        <w:t>hinter uns lassen</w:t>
      </w:r>
      <w:r>
        <w:t>. Wir hatten bereits gesehen, dass Stil nicht über die Unte</w:t>
      </w:r>
      <w:r>
        <w:t>r</w:t>
      </w:r>
      <w:r>
        <w:t xml:space="preserve">scheidung </w:t>
      </w:r>
      <w:r w:rsidR="00AD02F5">
        <w:t>von „</w:t>
      </w:r>
      <w:r>
        <w:t>Inhalt</w:t>
      </w:r>
      <w:r w:rsidR="00AD02F5">
        <w:t>“</w:t>
      </w:r>
      <w:r>
        <w:t xml:space="preserve"> </w:t>
      </w:r>
      <w:r w:rsidR="00AD02F5">
        <w:t>und „</w:t>
      </w:r>
      <w:r>
        <w:t>Ausdruck</w:t>
      </w:r>
      <w:r w:rsidR="00AD02F5">
        <w:t>“</w:t>
      </w:r>
      <w:r>
        <w:t xml:space="preserve"> definiert werden kann, indem </w:t>
      </w:r>
      <w:r w:rsidR="00AD02F5">
        <w:t xml:space="preserve">alle </w:t>
      </w:r>
      <w:r>
        <w:t>R</w:t>
      </w:r>
      <w:r>
        <w:t>e</w:t>
      </w:r>
      <w:r>
        <w:t>gelmäßigkeiten auf der Aus</w:t>
      </w:r>
      <w:r w:rsidR="000E27B5">
        <w:t>drucks</w:t>
      </w:r>
      <w:r>
        <w:t>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als stilistisch relevant betrachtet werden (vgl. </w:t>
      </w:r>
      <w:r w:rsidR="005D7996">
        <w:fldChar w:fldCharType="begin"/>
      </w:r>
      <w:r>
        <w:instrText xml:space="preserve"> REF _Ref260056929 \r \h </w:instrText>
      </w:r>
      <w:r w:rsidR="005D7996">
        <w:fldChar w:fldCharType="separate"/>
      </w:r>
      <w:r w:rsidR="001231D3">
        <w:t>2.1</w:t>
      </w:r>
      <w:r w:rsidR="005D7996">
        <w:fldChar w:fldCharType="end"/>
      </w:r>
      <w:r>
        <w:t xml:space="preserve"> und </w:t>
      </w:r>
      <w:r w:rsidR="005D7996">
        <w:fldChar w:fldCharType="begin"/>
      </w:r>
      <w:r>
        <w:instrText xml:space="preserve"> REF _Ref261962976 \r \h </w:instrText>
      </w:r>
      <w:r w:rsidR="005D7996">
        <w:fldChar w:fldCharType="separate"/>
      </w:r>
      <w:r w:rsidR="001231D3">
        <w:t>2.2</w:t>
      </w:r>
      <w:r w:rsidR="005D7996">
        <w:fldChar w:fldCharType="end"/>
      </w:r>
      <w:r>
        <w:t xml:space="preserve">). Aufgrund dieser Überlegungen hatten wir uns entschieden, Stil über Auswahl </w:t>
      </w:r>
      <w:r w:rsidR="00771D96">
        <w:t>zu beschreiben</w:t>
      </w:r>
      <w:r>
        <w:t xml:space="preserve">. Zu diesem Zeitpunkt konnte es erscheinen, als ob nur die Auswahl des Ausdrucks </w:t>
      </w:r>
      <w:r w:rsidR="00EB46CF">
        <w:t xml:space="preserve">für einen </w:t>
      </w:r>
      <w:r w:rsidR="00DF3E80">
        <w:t xml:space="preserve">gegebenen </w:t>
      </w:r>
      <w:r w:rsidR="00EB46CF">
        <w:t xml:space="preserve">Inhalt </w:t>
      </w:r>
      <w:r>
        <w:t xml:space="preserve">stilistisch relevant sei. Inzwischen haben wir gesehen, dass </w:t>
      </w:r>
      <w:r w:rsidR="00DF3E80">
        <w:t>die Vorstellung, d</w:t>
      </w:r>
      <w:r>
        <w:t xml:space="preserve">er </w:t>
      </w:r>
      <w:r w:rsidR="0013679A">
        <w:t xml:space="preserve">bereits feststehende </w:t>
      </w:r>
      <w:r>
        <w:t xml:space="preserve">Inhalt </w:t>
      </w:r>
      <w:r w:rsidR="00DF3E80">
        <w:t xml:space="preserve">gebe </w:t>
      </w:r>
      <w:r>
        <w:t xml:space="preserve">eine Reihe von Ausdrucksmöglichkeiten vor, aus denen </w:t>
      </w:r>
      <w:r w:rsidR="00DF3E80">
        <w:t xml:space="preserve">dann </w:t>
      </w:r>
      <w:r w:rsidR="0013679A">
        <w:t>durch den Stil ausgewählt werde</w:t>
      </w:r>
      <w:r w:rsidR="00EB46CF">
        <w:t xml:space="preserve">, </w:t>
      </w:r>
      <w:r w:rsidR="00DF3E80">
        <w:t xml:space="preserve">zu </w:t>
      </w:r>
      <w:r w:rsidR="00304340">
        <w:t xml:space="preserve">einfach </w:t>
      </w:r>
      <w:r w:rsidR="00DF3E80">
        <w:t xml:space="preserve">ist: Der Stil kann </w:t>
      </w:r>
      <w:r w:rsidR="00EB46CF">
        <w:t>durchaus auch Folgen für den Inhalt haben. Dasselbe gilt für das Ziel eines Verhaltens und die Funktion eines Gebäudes.</w:t>
      </w:r>
    </w:p>
    <w:p w:rsidR="0070095A" w:rsidRDefault="0070095A" w:rsidP="0070095A">
      <w:pPr>
        <w:pStyle w:val="Text"/>
      </w:pPr>
      <w:r>
        <w:t>Tatsächlich ist die Frage, ob und inwieweit Auswahlvorgänge, die sich auch auf den Inhalt auswirken, zum Stil gehören, und wo die Grenze zu ziehen ist, die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xml:space="preserve"> lange beschäftigt. Dadurch entstand manchmal erhebliche Verwi</w:t>
      </w:r>
      <w:r>
        <w:t>r</w:t>
      </w:r>
      <w:r>
        <w:t>rung, wie eine Passage von Dwight Bolinger illustriert, in der er Stil zu definieren versucht:</w:t>
      </w:r>
      <w:r>
        <w:rPr>
          <w:rStyle w:val="Funotenzeichen"/>
        </w:rPr>
        <w:footnoteReference w:id="108"/>
      </w:r>
    </w:p>
    <w:p w:rsidR="0070095A" w:rsidRPr="003801CB" w:rsidRDefault="0070095A" w:rsidP="0070095A">
      <w:pPr>
        <w:pStyle w:val="Zitat"/>
      </w:pPr>
      <w:r w:rsidRPr="003801CB">
        <w:rPr>
          <w:lang w:val="en-US"/>
        </w:rPr>
        <w:t>But first, what do we mean by style? […] Style involves a choice of form wit</w:t>
      </w:r>
      <w:r w:rsidRPr="003801CB">
        <w:rPr>
          <w:lang w:val="en-US"/>
        </w:rPr>
        <w:t>h</w:t>
      </w:r>
      <w:r w:rsidRPr="003801CB">
        <w:rPr>
          <w:lang w:val="en-US"/>
        </w:rPr>
        <w:t xml:space="preserve">out a change of message. </w:t>
      </w:r>
      <w:r>
        <w:rPr>
          <w:lang w:val="en-US"/>
        </w:rPr>
        <w:t>It involves that, but of course it is more than that. It includes the motives for the choice and its effects. Often these are impossible to distinguish from the content. […] If all differences in form are correlated with differences in meaning, then the style of a piece of writing is simply its meaning. [… T]he author may be exceptionally skilled in finding the right words for his meaning and we take pleasure in his art, but the wrong choices would have meant something less – they would not have conveyed the mea</w:t>
      </w:r>
      <w:r>
        <w:rPr>
          <w:lang w:val="en-US"/>
        </w:rPr>
        <w:t>n</w:t>
      </w:r>
      <w:r>
        <w:rPr>
          <w:lang w:val="en-US"/>
        </w:rPr>
        <w:t xml:space="preserve">ing. </w:t>
      </w:r>
      <w:r w:rsidRPr="003801CB">
        <w:t>Style and meaning are inseparable.</w:t>
      </w:r>
    </w:p>
    <w:p w:rsidR="0070095A" w:rsidRDefault="0070095A" w:rsidP="00E96CE5">
      <w:pPr>
        <w:pStyle w:val="Text"/>
        <w:ind w:firstLine="0"/>
      </w:pPr>
      <w:r>
        <w:t xml:space="preserve">Stil wird hier in einer kurzen Passage zunächst </w:t>
      </w:r>
      <w:r w:rsidRPr="003801CB">
        <w:t xml:space="preserve">als </w:t>
      </w:r>
      <w:r>
        <w:t xml:space="preserve">Wahl des Ausdrucks bei gleichbleibendem Inhalt beschrieben und am Ende als untrennbar vom Inhalt </w:t>
      </w:r>
      <w:r>
        <w:lastRenderedPageBreak/>
        <w:t>erklärt; zwischendurch erscheint er sogar als mit dem Inhalt identisch.</w:t>
      </w:r>
      <w:bookmarkStart w:id="66" w:name="_Ref324958234"/>
      <w:r w:rsidR="00AB512A">
        <w:rPr>
          <w:rStyle w:val="Funotenzeichen"/>
        </w:rPr>
        <w:footnoteReference w:id="109"/>
      </w:r>
      <w:bookmarkEnd w:id="66"/>
      <w:r>
        <w:t xml:space="preserve"> Dieses Durcheinander spiegelt das Hin und Her der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743EFC">
        <w:t xml:space="preserve"> der letzten Jahrhu</w:t>
      </w:r>
      <w:r w:rsidR="00743EFC">
        <w:t>n</w:t>
      </w:r>
      <w:r w:rsidR="00743EFC">
        <w:t>derte</w:t>
      </w:r>
      <w:r>
        <w:t xml:space="preserve">, in denen </w:t>
      </w:r>
      <w:r w:rsidR="00743EFC">
        <w:t xml:space="preserve">einmal </w:t>
      </w:r>
      <w:r>
        <w:t>die Ausdrucksbezogenheit des Stils betont („Style is the dress of thought</w:t>
      </w:r>
      <w:r w:rsidR="005D7996">
        <w:fldChar w:fldCharType="begin"/>
      </w:r>
      <w:r w:rsidR="00502433">
        <w:instrText xml:space="preserve"> XE "</w:instrText>
      </w:r>
      <w:r w:rsidR="00502433" w:rsidRPr="00AF136D">
        <w:instrText>dress of thought (Wesley)</w:instrText>
      </w:r>
      <w:r w:rsidR="00502433">
        <w:instrText xml:space="preserve">" </w:instrText>
      </w:r>
      <w:r w:rsidR="005D7996">
        <w:fldChar w:fldCharType="end"/>
      </w:r>
      <w:r>
        <w:t>“), dann wieder auf seinen Einfluss auf den Inhalt hingewiesen wurde.</w:t>
      </w:r>
      <w:r w:rsidR="001A01BE">
        <w:rPr>
          <w:rStyle w:val="Funotenzeichen"/>
        </w:rPr>
        <w:footnoteReference w:id="110"/>
      </w:r>
    </w:p>
    <w:p w:rsidR="0070095A" w:rsidRDefault="0070095A" w:rsidP="0070095A">
      <w:pPr>
        <w:pStyle w:val="Text"/>
      </w:pPr>
      <w:r>
        <w:t>In der hier vorgestellten Theorie verschwindet dieser scheinbare Gegensatz. Sie modelliert Stil als Auswahl aus Alternativenklassen, die durch Schemata def</w:t>
      </w:r>
      <w:r>
        <w:t>i</w:t>
      </w:r>
      <w:r>
        <w:t>niert sind, aber auch durch Zusatzbedingungen weiter spezifiziert werden kö</w:t>
      </w:r>
      <w:r>
        <w:t>n</w:t>
      </w:r>
      <w:r>
        <w:t>nen. Der Stil eines Texts kann also ohne jede inhaltliche Vorbedingung dessen Realisierung beeinflussen; in diesem Fall kann etwa eine stilistische Regel, die die Wahl von technischem Vokabular verlangt und oft angewandt wird, den Inhalt stark beeinflussen (indem sie verhindert, dass ein nicht-technischer Inhalt au</w:t>
      </w:r>
      <w:r>
        <w:t>s</w:t>
      </w:r>
      <w:r>
        <w:t xml:space="preserve">gedrückt wird). Meist werden die Alternativenklassen allerdings durch </w:t>
      </w:r>
      <w:r w:rsidR="001A01BE">
        <w:t>inhaltl</w:t>
      </w:r>
      <w:r w:rsidR="001A01BE">
        <w:t>i</w:t>
      </w:r>
      <w:r w:rsidR="001A01BE">
        <w:t>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1A01BE">
        <w:t xml:space="preserve"> </w:t>
      </w:r>
      <w:r>
        <w:t xml:space="preserve">eingeschränkt sein, bevor der Stil </w:t>
      </w:r>
      <w:r w:rsidR="00512B24">
        <w:t xml:space="preserve">angewendet </w:t>
      </w:r>
      <w:r>
        <w:t xml:space="preserve">wird. In diesem Fall wird die stilistische Auswahl zwar immer noch den Inhalt </w:t>
      </w:r>
      <w:r w:rsidR="001A01BE">
        <w:t xml:space="preserve">in gewissem Maß </w:t>
      </w:r>
      <w:r>
        <w:t>beeinflussen (da es fast nie völlig inhaltsgleiche Ausdrucksweisen gibt), aber nur innerhalb des durch die inhaltlichen Bedingungen gelassenen Rahmens.</w:t>
      </w:r>
    </w:p>
    <w:p w:rsidR="00564BFA" w:rsidRDefault="0079032A" w:rsidP="00564BFA">
      <w:pPr>
        <w:pStyle w:val="Titel2"/>
      </w:pPr>
      <w:bookmarkStart w:id="67" w:name="_Ref263947078"/>
      <w:bookmarkStart w:id="68" w:name="_Toc325456701"/>
      <w:bookmarkStart w:id="69" w:name="Betrachtungsweise"/>
      <w:r>
        <w:t>Anderes Schema – andere</w:t>
      </w:r>
      <w:r w:rsidR="005F475F">
        <w:t xml:space="preserve">r </w:t>
      </w:r>
      <w:r w:rsidR="00564BFA">
        <w:t>Stil</w:t>
      </w:r>
      <w:bookmarkEnd w:id="67"/>
      <w:bookmarkEnd w:id="68"/>
    </w:p>
    <w:p w:rsidR="00564BFA" w:rsidRDefault="005D7996" w:rsidP="00E96CE5">
      <w:pPr>
        <w:pStyle w:val="Text"/>
        <w:ind w:firstLine="0"/>
      </w:pPr>
      <w:r>
        <w:fldChar w:fldCharType="begin"/>
      </w:r>
      <w:r w:rsidR="003C2036">
        <w:instrText xml:space="preserve"> XE "Stil:als Betrachtungsweise" \r "Betrachtungsweise"</w:instrText>
      </w:r>
      <w:r>
        <w:fldChar w:fldCharType="end"/>
      </w:r>
      <w:r w:rsidR="00564BFA">
        <w:t xml:space="preserve">Wenn man </w:t>
      </w:r>
      <w:r w:rsidR="00FC338A">
        <w:t xml:space="preserve">einer Person </w:t>
      </w:r>
      <w:r w:rsidR="00564BFA">
        <w:t>Blumen schenkt, um ihr seine Liebe mitzuteilen, ist dies eine Frage des Stils? Ist es stilistisch relevant, ob man die Blumen persönlich überreicht oder ob man sie zuschickt, ob es Rosen sind oder andere Blumen?</w:t>
      </w:r>
    </w:p>
    <w:p w:rsidR="00564BFA" w:rsidRDefault="00564BFA" w:rsidP="00564BFA">
      <w:pPr>
        <w:pStyle w:val="Text"/>
      </w:pPr>
      <w:r>
        <w:t>Dies ist ein Beispiel dafür, dass man genau unterscheiden muss, welches Schema man einem Stil zugrunde legt, sonst kommt man zu keinem präzisen Ergebnis.</w:t>
      </w:r>
      <w:r>
        <w:rPr>
          <w:rStyle w:val="Funotenzeichen"/>
        </w:rPr>
        <w:footnoteReference w:id="111"/>
      </w:r>
      <w:r>
        <w:t xml:space="preserve"> Im vorliegenden Fall gibt es mehrere Möglichkeiten:</w:t>
      </w:r>
    </w:p>
    <w:p w:rsidR="00564BFA" w:rsidRDefault="00564BFA" w:rsidP="00564BFA">
      <w:pPr>
        <w:pStyle w:val="Text"/>
      </w:pPr>
      <w:r>
        <w:lastRenderedPageBreak/>
        <w:t>(1)</w:t>
      </w:r>
      <w:r>
        <w:tab/>
        <w:t xml:space="preserve">Es kann das Schema </w:t>
      </w:r>
      <w:r w:rsidR="00231CF8">
        <w:rPr>
          <w:rFonts w:cs="Times New Roman"/>
        </w:rPr>
        <w:t>‚</w:t>
      </w:r>
      <w:r>
        <w:t>Jemandem seine Liebe mitteilen</w:t>
      </w:r>
      <w:r w:rsidR="00231CF8">
        <w:rPr>
          <w:rFonts w:cs="Times New Roman"/>
        </w:rPr>
        <w:t>‘</w:t>
      </w:r>
      <w:r>
        <w:t xml:space="preserve"> zugrunde gelegt werden. Zu den zu betrachtenden Varianten gehört das Schenken von Blumen, die diese Funktion übernehmen können (deshalb sind hier nur bestimmte Bl</w:t>
      </w:r>
      <w:r>
        <w:t>u</w:t>
      </w:r>
      <w:r>
        <w:t xml:space="preserve">men möglich, die durch die traditionelle Kodierung bestimmt werden), aber auch das Schenken von etwas anderem (traditionell </w:t>
      </w:r>
      <w:r w:rsidR="007A7EE1">
        <w:t xml:space="preserve">etwa bei </w:t>
      </w:r>
      <w:r>
        <w:t>einer Frau von Diama</w:t>
      </w:r>
      <w:r>
        <w:t>n</w:t>
      </w:r>
      <w:r>
        <w:t>ten), das Schreiben eines Briefes oder die mündliche Mitteilung.</w:t>
      </w:r>
    </w:p>
    <w:p w:rsidR="00564BFA" w:rsidRDefault="00564BFA" w:rsidP="00564BFA">
      <w:pPr>
        <w:pStyle w:val="Text"/>
      </w:pPr>
      <w:r>
        <w:t>(2)</w:t>
      </w:r>
      <w:r>
        <w:tab/>
        <w:t xml:space="preserve">Es kann das Schema </w:t>
      </w:r>
      <w:r w:rsidR="00231CF8">
        <w:rPr>
          <w:rFonts w:cs="Times New Roman"/>
        </w:rPr>
        <w:t>‚</w:t>
      </w:r>
      <w:r>
        <w:t>Jemandem mit Blumen etwas mitteilen</w:t>
      </w:r>
      <w:r w:rsidR="00231CF8">
        <w:rPr>
          <w:rFonts w:cs="Times New Roman"/>
        </w:rPr>
        <w:t>‘</w:t>
      </w:r>
      <w:r>
        <w:t xml:space="preserve"> zugrunde gelegt werden. In diesem Fall ergeben sich logischerweise andere Auswahlmö</w:t>
      </w:r>
      <w:r>
        <w:t>g</w:t>
      </w:r>
      <w:r>
        <w:t xml:space="preserve">lichkeiten. Die Mitteilung selbst gehört hier zu den inhaltlichen Bedingungen, die als Teil der Zusatzbedingungen spezifiziert werden müssen (vgl. Abschnitt </w:t>
      </w:r>
      <w:r w:rsidR="005D7996">
        <w:fldChar w:fldCharType="begin"/>
      </w:r>
      <w:r>
        <w:instrText xml:space="preserve"> REF _Ref211841829 \r \h </w:instrText>
      </w:r>
      <w:r w:rsidR="005D7996">
        <w:fldChar w:fldCharType="separate"/>
      </w:r>
      <w:r w:rsidR="001231D3">
        <w:t>4.3.1</w:t>
      </w:r>
      <w:r w:rsidR="005D7996">
        <w:fldChar w:fldCharType="end"/>
      </w:r>
      <w:r>
        <w:t>, (2)). Der Stil bestünde hier darin, wie die Blumen gewählt werden (inne</w:t>
      </w:r>
      <w:r>
        <w:t>r</w:t>
      </w:r>
      <w:r>
        <w:t>halb der hier durch die traditionelle Kodierung der Blumen möglichen Grenzen), wieviele es sind, wie sie eingepackt sind, wie sie übermittelt werden, ob eine Ka</w:t>
      </w:r>
      <w:r>
        <w:t>r</w:t>
      </w:r>
      <w:r>
        <w:t>te hinzugefügt wird, usw.</w:t>
      </w:r>
    </w:p>
    <w:p w:rsidR="00564BFA" w:rsidRDefault="00564BFA" w:rsidP="00564BFA">
      <w:pPr>
        <w:pStyle w:val="Text"/>
      </w:pPr>
      <w:r>
        <w:t>(3)</w:t>
      </w:r>
      <w:r>
        <w:tab/>
        <w:t xml:space="preserve">Es kann das spezielle Schema </w:t>
      </w:r>
      <w:r w:rsidR="00231CF8">
        <w:rPr>
          <w:rFonts w:cs="Times New Roman"/>
        </w:rPr>
        <w:t>‚</w:t>
      </w:r>
      <w:r>
        <w:t>Jemandem seine Liebe mit Blumen mi</w:t>
      </w:r>
      <w:r>
        <w:t>t</w:t>
      </w:r>
      <w:r>
        <w:t>teilen</w:t>
      </w:r>
      <w:r w:rsidR="00231CF8">
        <w:rPr>
          <w:rFonts w:cs="Times New Roman"/>
        </w:rPr>
        <w:t>‘</w:t>
      </w:r>
      <w:r>
        <w:t xml:space="preserve"> betrachtet werden. Hier erscheinen die </w:t>
      </w:r>
      <w:r w:rsidR="00694F85">
        <w:t xml:space="preserve">zur Auswahl </w:t>
      </w:r>
      <w:r>
        <w:t>stehenden Varianten als wesentlich eingeschränkter. Tatsächlich sind jedoch die typischerweise b</w:t>
      </w:r>
      <w:r>
        <w:t>e</w:t>
      </w:r>
      <w:r>
        <w:t>trachteten Möglichkeiten abhängig vom Schema; je spezifischer das Schema, desto genauer fächern sie sich auf, so dass hier nun vermutlich der Stil genauer die genaue Blumensorte, die Details der Kombination und des Arrangements der Blumen, die Gestaltung des Buketts (Schnittblumen oder Blumentopf? Mit oder ohne Plastikhülle?) und die Überreichungsmodalitäten enthalten würde.</w:t>
      </w:r>
    </w:p>
    <w:p w:rsidR="00564BFA" w:rsidRDefault="00564BFA" w:rsidP="00564BFA">
      <w:r>
        <w:t xml:space="preserve">Welcher Stil liegt aber in einem konkreten Fall nun vor? Dies wird oft eine Frage der Betrachtungsweise sein (vgl. Abschnitt </w:t>
      </w:r>
      <w:r w:rsidR="005D7996">
        <w:fldChar w:fldCharType="begin"/>
      </w:r>
      <w:r>
        <w:instrText xml:space="preserve"> REF _Ref233636622 \r \h </w:instrText>
      </w:r>
      <w:r w:rsidR="005D7996">
        <w:fldChar w:fldCharType="separate"/>
      </w:r>
      <w:r w:rsidR="001231D3">
        <w:t>8.2.3</w:t>
      </w:r>
      <w:r w:rsidR="005D7996">
        <w:fldChar w:fldCharType="end"/>
      </w:r>
      <w:r>
        <w:t>); je nachdem, für welches Schema ich mich interessiere, werde ich v</w:t>
      </w:r>
      <w:r w:rsidR="00D3385E">
        <w:t xml:space="preserve">erschiedene Stile konstruieren. Dies geschieht in Abhängigkeit davon, welche </w:t>
      </w:r>
      <w:r>
        <w:t>zukünftige</w:t>
      </w:r>
      <w:r w:rsidR="00D3385E">
        <w:t>n</w:t>
      </w:r>
      <w:r>
        <w:t xml:space="preserve"> Realisierung</w:t>
      </w:r>
      <w:r w:rsidR="00D3385E">
        <w:t>en</w:t>
      </w:r>
      <w:r>
        <w:t xml:space="preserve"> </w:t>
      </w:r>
      <w:r w:rsidR="00D3385E">
        <w:t>ich erwarte – oder bereits vorliegen habe, falls die Konstruktion des Stils im Rückblick e</w:t>
      </w:r>
      <w:r w:rsidR="00D3385E">
        <w:t>r</w:t>
      </w:r>
      <w:r w:rsidR="00D3385E">
        <w:t>folgt, wenn ich mich an eine Realisierung erinnere, um sie mit einer vorliegenden Realisierung zu vergleichen</w:t>
      </w:r>
      <w:r>
        <w:t>. Oft wird aber die vorhandene Information auch nur auf bestimmte Schemata beziehbar sein, für andere wird sie zur Konstruktion eines Stils nicht ausreichen.</w:t>
      </w:r>
    </w:p>
    <w:p w:rsidR="00564BFA" w:rsidRDefault="00564BFA" w:rsidP="00564BFA">
      <w:r>
        <w:t xml:space="preserve">Schließlich ist noch zu erwähnen, dass es zwar einige Flexibilität bei der Konstruktion von Schemata gibt, es aber auch viele unsinnige oder unpassende Schemata gibt, </w:t>
      </w:r>
      <w:r w:rsidR="00AF0FDA">
        <w:t xml:space="preserve">auf deren Grundlage keine </w:t>
      </w:r>
      <w:r>
        <w:t xml:space="preserve">sinnvollen </w:t>
      </w:r>
      <w:r w:rsidR="00C2462F">
        <w:t xml:space="preserve">stilistischen Merkmale </w:t>
      </w:r>
      <w:r w:rsidR="00AF0FDA">
        <w:t>e</w:t>
      </w:r>
      <w:r w:rsidR="00AF0FDA">
        <w:t>r</w:t>
      </w:r>
      <w:r w:rsidR="00AF0FDA">
        <w:t xml:space="preserve">zeugt werden </w:t>
      </w:r>
      <w:r w:rsidR="00C2462F">
        <w:t>können</w:t>
      </w:r>
      <w:r>
        <w:t>. So könnte man beispielsweise einen Selbstmordstil</w:t>
      </w:r>
      <w:r w:rsidR="005D7996">
        <w:fldChar w:fldCharType="begin"/>
      </w:r>
      <w:r w:rsidR="00C51357">
        <w:instrText xml:space="preserve"> XE "</w:instrText>
      </w:r>
      <w:r w:rsidR="00C51357" w:rsidRPr="00C20DAA">
        <w:instrText>Selbstmordstil</w:instrText>
      </w:r>
      <w:r w:rsidR="00C51357">
        <w:instrText xml:space="preserve">" </w:instrText>
      </w:r>
      <w:r w:rsidR="005D7996">
        <w:fldChar w:fldCharType="end"/>
      </w:r>
      <w:r>
        <w:t xml:space="preserve"> ko</w:t>
      </w:r>
      <w:r>
        <w:t>n</w:t>
      </w:r>
      <w:r>
        <w:t xml:space="preserve">struieren, da Selbstmord etwas kulturell Verankertes ist und die Annahme eines solchen Schemas keine Probleme macht. Ein solcher Stil könnte spezifizieren, dass eine Person dazu neigt, von hochgelegenen Orten herunterzuspringen. Die </w:t>
      </w:r>
      <w:r w:rsidR="00374C37">
        <w:t xml:space="preserve">Betrachtung der Ausführungsweise </w:t>
      </w:r>
      <w:r>
        <w:t xml:space="preserve">wiederholter solcher Selbstmordversuche als </w:t>
      </w:r>
      <w:r w:rsidR="00F30A9F">
        <w:t>‚</w:t>
      </w:r>
      <w:r>
        <w:t>Selbstmordstil</w:t>
      </w:r>
      <w:r w:rsidR="00F30A9F">
        <w:t>‘</w:t>
      </w:r>
      <w:r>
        <w:t xml:space="preserve"> wäre zwar </w:t>
      </w:r>
      <w:r w:rsidR="00FC338A">
        <w:t>ungewöhnlich</w:t>
      </w:r>
      <w:r w:rsidR="00C2462F">
        <w:t>, aber nicht sinnlos</w:t>
      </w:r>
      <w:r>
        <w:t>.</w:t>
      </w:r>
    </w:p>
    <w:p w:rsidR="00BE3B0A" w:rsidRDefault="00564BFA" w:rsidP="00564BFA">
      <w:r>
        <w:t xml:space="preserve">Einen Stil aufgrund des Schemas </w:t>
      </w:r>
      <w:r w:rsidR="00BE3B0A">
        <w:rPr>
          <w:rFonts w:cs="Times New Roman"/>
        </w:rPr>
        <w:t>‚</w:t>
      </w:r>
      <w:r>
        <w:t>von etwas Herunterspringen</w:t>
      </w:r>
      <w:r w:rsidR="00BE3B0A">
        <w:rPr>
          <w:rFonts w:cs="Times New Roman"/>
        </w:rPr>
        <w:t>‘</w:t>
      </w:r>
      <w:r>
        <w:t xml:space="preserve"> zu konstr</w:t>
      </w:r>
      <w:r>
        <w:t>u</w:t>
      </w:r>
      <w:r>
        <w:t xml:space="preserve">ieren würde dagegen dazu führen, dass </w:t>
      </w:r>
      <w:r w:rsidR="00BE3B0A">
        <w:t>für die Schemaorte ‚Ort, von dem heru</w:t>
      </w:r>
      <w:r w:rsidR="00BE3B0A">
        <w:t>n</w:t>
      </w:r>
      <w:r w:rsidR="00BE3B0A">
        <w:t xml:space="preserve">tergesprungen wird‘ und ‚Anlass des Herunterspringens‘ in einem bestimmten </w:t>
      </w:r>
      <w:r w:rsidR="00BE3B0A">
        <w:lastRenderedPageBreak/>
        <w:t xml:space="preserve">Stil </w:t>
      </w:r>
      <w:r w:rsidR="00BE3B0A">
        <w:rPr>
          <w:rFonts w:cs="Times New Roman"/>
        </w:rPr>
        <w:t>‚</w:t>
      </w:r>
      <w:r w:rsidR="00A5199A">
        <w:t>Hochhaus</w:t>
      </w:r>
      <w:r w:rsidR="00BE3B0A">
        <w:rPr>
          <w:rFonts w:cs="Times New Roman"/>
        </w:rPr>
        <w:t>‘</w:t>
      </w:r>
      <w:r>
        <w:t xml:space="preserve"> </w:t>
      </w:r>
      <w:r w:rsidR="00BE3B0A">
        <w:t xml:space="preserve">und ‚Selbstmord‘, in einem anderen </w:t>
      </w:r>
      <w:r w:rsidR="00BE3B0A">
        <w:rPr>
          <w:rFonts w:cs="Times New Roman"/>
        </w:rPr>
        <w:t>‚Flugzeug‘ und ‚</w:t>
      </w:r>
      <w:r w:rsidR="00BE3B0A">
        <w:t>Fallschir</w:t>
      </w:r>
      <w:r w:rsidR="00BE3B0A">
        <w:t>m</w:t>
      </w:r>
      <w:r w:rsidR="00BE3B0A">
        <w:t>sprung‘, in einem dritten ‚Gartenmauer‘ und ‚Mutprobe</w:t>
      </w:r>
      <w:r w:rsidR="00A5199A">
        <w:t xml:space="preserve"> </w:t>
      </w:r>
      <w:r w:rsidR="00BE3B0A">
        <w:t>‘ spezifiziert würde</w:t>
      </w:r>
      <w:r>
        <w:t xml:space="preserve">. </w:t>
      </w:r>
      <w:r w:rsidR="005E3717">
        <w:t xml:space="preserve">Ein </w:t>
      </w:r>
      <w:r w:rsidR="00A5199A">
        <w:t xml:space="preserve">‚Herunterspringstil‘ würde also </w:t>
      </w:r>
      <w:r w:rsidR="005E3717">
        <w:t>beispielsweise darin bestehen</w:t>
      </w:r>
      <w:r w:rsidR="00A5199A">
        <w:t>, dass jemand mit einem Fallschirm aus einem Flugzeug und nicht mit Selbstmordabsicht von e</w:t>
      </w:r>
      <w:r w:rsidR="00A5199A">
        <w:t>i</w:t>
      </w:r>
      <w:r w:rsidR="00A5199A">
        <w:t xml:space="preserve">nem Hochhaus oder als Mutprobe von einer Gartenmauer springt. </w:t>
      </w:r>
      <w:r w:rsidR="00AE7227">
        <w:t xml:space="preserve">Die Annahme eines solchen Stils erscheint sinnlos, </w:t>
      </w:r>
      <w:r w:rsidR="005E3717">
        <w:t>es lassen sich keine relevanten Informati</w:t>
      </w:r>
      <w:r w:rsidR="005E3717">
        <w:t>o</w:t>
      </w:r>
      <w:r w:rsidR="005E3717">
        <w:t xml:space="preserve">nen aus </w:t>
      </w:r>
      <w:r w:rsidR="00AE7227">
        <w:t xml:space="preserve">ihm entnehmen. </w:t>
      </w:r>
      <w:r w:rsidR="00BE3B0A">
        <w:t>Wä</w:t>
      </w:r>
      <w:r w:rsidR="00F30A9F">
        <w:t>hrend also die Betrachtung von ‚</w:t>
      </w:r>
      <w:r w:rsidR="00BE3B0A">
        <w:t>Selbstmordstilen</w:t>
      </w:r>
      <w:r w:rsidR="00F30A9F">
        <w:t>‘</w:t>
      </w:r>
      <w:r w:rsidR="00BE3B0A">
        <w:t xml:space="preserve"> durchaus Sinn machen k</w:t>
      </w:r>
      <w:r w:rsidR="00F30A9F">
        <w:t>ann, führt die Betrachtung von ‚</w:t>
      </w:r>
      <w:r w:rsidR="00BE3B0A">
        <w:t>Herunterspringstilen</w:t>
      </w:r>
      <w:r w:rsidR="00F30A9F">
        <w:t>‘</w:t>
      </w:r>
      <w:r w:rsidR="00BE3B0A">
        <w:t xml:space="preserve"> zu keinem brauchbaren Ergebnis.</w:t>
      </w:r>
    </w:p>
    <w:p w:rsidR="00564BFA" w:rsidRDefault="00564BFA" w:rsidP="00564BFA">
      <w:r>
        <w:t xml:space="preserve">Dies liegt an der Wahl eines unplausiblen Schemas: </w:t>
      </w:r>
      <w:r>
        <w:rPr>
          <w:rFonts w:cs="Times New Roman"/>
        </w:rPr>
        <w:t>‚</w:t>
      </w:r>
      <w:r>
        <w:t>Von etwas Herunte</w:t>
      </w:r>
      <w:r>
        <w:t>r</w:t>
      </w:r>
      <w:r>
        <w:t>springen</w:t>
      </w:r>
      <w:r>
        <w:rPr>
          <w:rFonts w:cs="Times New Roman"/>
        </w:rPr>
        <w:t>‘</w:t>
      </w:r>
      <w:r>
        <w:t xml:space="preserve"> ist nicht zufällig kein Schema, </w:t>
      </w:r>
      <w:r w:rsidR="001507EE">
        <w:t xml:space="preserve">das üblicherweise für die Betrachtung von Realisierungen angewandt wird; </w:t>
      </w:r>
      <w:r>
        <w:t>es enthält zu unterschiedliche Möglichke</w:t>
      </w:r>
      <w:r>
        <w:t>i</w:t>
      </w:r>
      <w:r>
        <w:t>ten, die nicht als Varianten zueinander betrachtet werden können.</w:t>
      </w:r>
      <w:r w:rsidR="001507EE">
        <w:rPr>
          <w:rStyle w:val="Funotenzeichen"/>
        </w:rPr>
        <w:footnoteReference w:id="112"/>
      </w:r>
      <w:r>
        <w:t xml:space="preserve"> Dieses Schema schneidet quer durch ga</w:t>
      </w:r>
      <w:r w:rsidR="00BE3B0A">
        <w:t xml:space="preserve">nz unterschiedliche Tätigkeiten, wobei es </w:t>
      </w:r>
      <w:r>
        <w:t>zu keinen nützlichen Informationen über die Gemeinsamkeiten dieser Tätigkeiten</w:t>
      </w:r>
      <w:r w:rsidR="00BE3B0A">
        <w:t xml:space="preserve"> führt</w:t>
      </w:r>
      <w:r>
        <w:t xml:space="preserve">, wie es für relevante Schemata gilt (etwa wenn unterschiedliche Tätigkeiten wie </w:t>
      </w:r>
      <w:r w:rsidR="00BE3B0A">
        <w:rPr>
          <w:rFonts w:cs="Times New Roman"/>
        </w:rPr>
        <w:t>‚</w:t>
      </w:r>
      <w:r>
        <w:t>einen Rosenstock pflanzen</w:t>
      </w:r>
      <w:r w:rsidR="00BE3B0A">
        <w:rPr>
          <w:rFonts w:cs="Times New Roman"/>
        </w:rPr>
        <w:t>‘</w:t>
      </w:r>
      <w:r>
        <w:t xml:space="preserve"> und </w:t>
      </w:r>
      <w:r w:rsidR="00BE3B0A">
        <w:rPr>
          <w:rFonts w:cs="Times New Roman"/>
        </w:rPr>
        <w:t>‚Vögel verjagen‘</w:t>
      </w:r>
      <w:r>
        <w:rPr>
          <w:rFonts w:cs="Times New Roman"/>
        </w:rPr>
        <w:t xml:space="preserve"> durch die</w:t>
      </w:r>
      <w:r w:rsidR="00BE3B0A">
        <w:rPr>
          <w:rFonts w:cs="Times New Roman"/>
        </w:rPr>
        <w:t xml:space="preserve"> Zusammenfa</w:t>
      </w:r>
      <w:r w:rsidR="00BE3B0A">
        <w:rPr>
          <w:rFonts w:cs="Times New Roman"/>
        </w:rPr>
        <w:t>s</w:t>
      </w:r>
      <w:r w:rsidR="00BE3B0A">
        <w:rPr>
          <w:rFonts w:cs="Times New Roman"/>
        </w:rPr>
        <w:t>sung in das Schema ‚</w:t>
      </w:r>
      <w:r>
        <w:rPr>
          <w:rFonts w:cs="Times New Roman"/>
        </w:rPr>
        <w:t>Gartena</w:t>
      </w:r>
      <w:r w:rsidR="00BE3B0A">
        <w:rPr>
          <w:rFonts w:cs="Times New Roman"/>
        </w:rPr>
        <w:t>rbeit‘</w:t>
      </w:r>
      <w:r>
        <w:rPr>
          <w:rFonts w:cs="Times New Roman"/>
        </w:rPr>
        <w:t xml:space="preserve"> in ihrem Zusammenhang erkennbar werden). Auf </w:t>
      </w:r>
      <w:r>
        <w:t>der Grundlage dieses kulturell irrelevanten Schemas definierte Stile können daher auch keine relevante Information enthalten.</w:t>
      </w:r>
    </w:p>
    <w:p w:rsidR="00564BFA" w:rsidRDefault="00564BFA" w:rsidP="00564BFA">
      <w:pPr>
        <w:pStyle w:val="Text"/>
      </w:pPr>
      <w:r>
        <w:t>Damit können wir eine wichtige Frage beantworten. Manchmal wird gegen den Versuch einer präzisen Stildefinition</w:t>
      </w:r>
      <w:r w:rsidR="005D7996">
        <w:fldChar w:fldCharType="begin"/>
      </w:r>
      <w:r w:rsidR="00C6415A">
        <w:instrText xml:space="preserve"> XE "</w:instrText>
      </w:r>
      <w:r w:rsidR="00C6415A" w:rsidRPr="00F10689">
        <w:instrText>Stildefinition</w:instrText>
      </w:r>
      <w:r w:rsidR="00C6415A">
        <w:instrText xml:space="preserve">" </w:instrText>
      </w:r>
      <w:r w:rsidR="005D7996">
        <w:fldChar w:fldCharType="end"/>
      </w:r>
      <w:r>
        <w:t xml:space="preserve"> eingewendet, man könne doch gar nicht sagen, wo Stil anfange und aufhöre. Es heißt dann sinngemäß: „Ist be</w:t>
      </w:r>
      <w:r>
        <w:t>i</w:t>
      </w:r>
      <w:r>
        <w:t>spielsweise die Frage, welche Personen auf einem Bild dargestellt werden, eine des Stils oder des Inhalts? Kann sie nicht einmal das eine, einmal das andere sein, und ist damit nicht letztlich alles Stil – oder nichts? Wird es angesichts dieser Offenheit des Stilbegriffs nicht zu einem absurden Unterfangen, Stil eindeutig definieren zu wollen?“</w:t>
      </w:r>
    </w:p>
    <w:p w:rsidR="00274286" w:rsidRPr="00BC548F" w:rsidRDefault="000E6F4F" w:rsidP="00274286">
      <w:pPr>
        <w:pStyle w:val="Text"/>
        <w:rPr>
          <w:rFonts w:eastAsia="Times New Roman" w:cs="Times New Roman"/>
          <w:lang w:val="en-US"/>
        </w:rPr>
      </w:pPr>
      <w:r>
        <w:t>D</w:t>
      </w:r>
      <w:r w:rsidR="00274286">
        <w:t xml:space="preserve">ass Aspekte, die wir </w:t>
      </w:r>
      <w:r>
        <w:t xml:space="preserve">gewöhnlich </w:t>
      </w:r>
      <w:r w:rsidR="00274286">
        <w:t>zum Inhalt zählen</w:t>
      </w:r>
      <w:r>
        <w:t xml:space="preserve"> </w:t>
      </w:r>
      <w:r w:rsidR="00274286">
        <w:t xml:space="preserve">– beispielsweise was auf einem Bild dargestellt wird oder </w:t>
      </w:r>
      <w:r>
        <w:t xml:space="preserve">womit sich </w:t>
      </w:r>
      <w:r w:rsidR="00274286">
        <w:t xml:space="preserve">ein Dichter </w:t>
      </w:r>
      <w:r>
        <w:t>in seinen Werken beschäftigt –, zum Stil gehören können, hat viele Stiltheoretiker irritiert.</w:t>
      </w:r>
      <w:r w:rsidR="00274286">
        <w:t xml:space="preserve"> </w:t>
      </w:r>
      <w:r w:rsidR="00274286" w:rsidRPr="00BC548F">
        <w:rPr>
          <w:lang w:val="en-US"/>
        </w:rPr>
        <w:t>Nelson Goodman</w:t>
      </w:r>
      <w:r w:rsidR="005D7996">
        <w:rPr>
          <w:lang w:val="en-US"/>
        </w:rPr>
        <w:fldChar w:fldCharType="begin"/>
      </w:r>
      <w:r w:rsidR="000F5A6E" w:rsidRPr="00313835">
        <w:rPr>
          <w:lang w:val="en-US"/>
        </w:rPr>
        <w:instrText xml:space="preserve"> XE "</w:instrText>
      </w:r>
      <w:r w:rsidR="000F5A6E" w:rsidRPr="008970E6">
        <w:rPr>
          <w:lang w:val="en-US"/>
        </w:rPr>
        <w:instrText>Goodman, Nelson</w:instrText>
      </w:r>
      <w:r w:rsidR="000F5A6E" w:rsidRPr="00313835">
        <w:rPr>
          <w:lang w:val="en-US"/>
        </w:rPr>
        <w:instrText xml:space="preserve">" </w:instrText>
      </w:r>
      <w:r w:rsidR="005D7996">
        <w:rPr>
          <w:lang w:val="en-US"/>
        </w:rPr>
        <w:fldChar w:fldCharType="end"/>
      </w:r>
      <w:r w:rsidR="00274286" w:rsidRPr="00BC548F">
        <w:rPr>
          <w:lang w:val="en-US"/>
        </w:rPr>
        <w:t xml:space="preserve"> sieht sogar die Gefahr eines Paradoxes:</w:t>
      </w:r>
      <w:r w:rsidR="00274286">
        <w:rPr>
          <w:rStyle w:val="Funotenzeichen"/>
          <w:rFonts w:eastAsia="Times New Roman" w:cs="Times New Roman"/>
        </w:rPr>
        <w:footnoteReference w:id="113"/>
      </w:r>
    </w:p>
    <w:p w:rsidR="00274286" w:rsidRPr="00274286" w:rsidRDefault="00274286" w:rsidP="00274286">
      <w:pPr>
        <w:pStyle w:val="Zitat"/>
      </w:pPr>
      <w:r>
        <w:rPr>
          <w:lang w:val="en-US"/>
        </w:rPr>
        <w:t xml:space="preserve">sometimes style </w:t>
      </w:r>
      <w:r w:rsidRPr="00274286">
        <w:rPr>
          <w:i/>
          <w:lang w:val="en-US"/>
        </w:rPr>
        <w:t>is</w:t>
      </w:r>
      <w:r>
        <w:rPr>
          <w:lang w:val="en-US"/>
        </w:rPr>
        <w:t xml:space="preserve"> a matter of subject. […] </w:t>
      </w:r>
      <w:r w:rsidRPr="00817FD7">
        <w:rPr>
          <w:lang w:val="en-US"/>
        </w:rPr>
        <w:t>part of a poet’s style as well may consist of what he says – of whether he focuses on the fragile and transcendent or the powerful and enduring, upon sensory qualities or abstract ideas, and so on</w:t>
      </w:r>
      <w:r>
        <w:rPr>
          <w:lang w:val="en-US"/>
        </w:rPr>
        <w:t xml:space="preserve">. </w:t>
      </w:r>
      <w:r w:rsidRPr="00274286">
        <w:t>The prospect of paradox looms here</w:t>
      </w:r>
      <w:r>
        <w:t>.</w:t>
      </w:r>
    </w:p>
    <w:p w:rsidR="004574DB" w:rsidRDefault="00274286" w:rsidP="00316F98">
      <w:pPr>
        <w:pStyle w:val="Text"/>
        <w:ind w:firstLine="0"/>
      </w:pPr>
      <w:r>
        <w:t xml:space="preserve">Auf solche Einwände können wir nun </w:t>
      </w:r>
      <w:r w:rsidR="00564BFA">
        <w:t>eine Antwort geben: Tatsächlich können manche Aspekte einer Realisierung zum Stil gehören oder nicht – je nachdem, welches Schema man zugrunde legt.</w:t>
      </w:r>
      <w:r w:rsidR="004574DB">
        <w:t xml:space="preserve"> Es können jedoch nicht beliebige Schemata </w:t>
      </w:r>
      <w:r w:rsidR="004574DB">
        <w:lastRenderedPageBreak/>
        <w:t>sinnvoll angenommen werden; daher kann auch nicht alles zur Stilfrage werden. Zudem gilt, dass man es bei der Wahl verschiedener Schemata auch mit unte</w:t>
      </w:r>
      <w:r w:rsidR="004574DB">
        <w:t>r</w:t>
      </w:r>
      <w:r w:rsidR="004574DB">
        <w:t xml:space="preserve">schiedlichen Stilen zu tun hat; ein konkreter Stil ist also keineswegs beliebig. Für jeden </w:t>
      </w:r>
      <w:r w:rsidR="00466AB0">
        <w:t xml:space="preserve">konkreten </w:t>
      </w:r>
      <w:r w:rsidR="004574DB">
        <w:t>Stil</w:t>
      </w:r>
      <w:r w:rsidR="00466AB0">
        <w:t>,</w:t>
      </w:r>
      <w:r w:rsidR="004574DB">
        <w:t xml:space="preserve"> der auf einem </w:t>
      </w:r>
      <w:r w:rsidR="009123C2">
        <w:t xml:space="preserve">in bestimmter Weise definierten </w:t>
      </w:r>
      <w:r w:rsidR="004574DB">
        <w:t>Schema beruht</w:t>
      </w:r>
      <w:r w:rsidR="00466AB0">
        <w:t xml:space="preserve">, </w:t>
      </w:r>
      <w:r w:rsidR="004574DB">
        <w:t>ist die Frage, was Merkmal dieses Stils ist und was nicht, beantwortbar. Wechselt man das Schema, erhält man andere Merkmale eines anderen Stils.</w:t>
      </w:r>
    </w:p>
    <w:p w:rsidR="00564BFA" w:rsidRDefault="00564BFA" w:rsidP="00564BFA">
      <w:pPr>
        <w:pStyle w:val="Text"/>
      </w:pPr>
      <w:r>
        <w:t>Tatsächlich ist die Frage, welche Figuren auf einem Bild dargestellt werden, keine des Stils, wenn das Schema ‚</w:t>
      </w:r>
      <w:r w:rsidR="000C2544">
        <w:t>darstellendes Bild</w:t>
      </w:r>
      <w:r w:rsidR="005D7996">
        <w:fldChar w:fldCharType="begin"/>
      </w:r>
      <w:r w:rsidR="0025273E">
        <w:instrText xml:space="preserve"> XE "</w:instrText>
      </w:r>
      <w:r w:rsidR="0025273E" w:rsidRPr="00EF0C2F">
        <w:instrText>Bilder:darstellende</w:instrText>
      </w:r>
      <w:r w:rsidR="0025273E">
        <w:instrText xml:space="preserve">" </w:instrText>
      </w:r>
      <w:r w:rsidR="005D7996">
        <w:fldChar w:fldCharType="end"/>
      </w:r>
      <w:r w:rsidR="00E04A14">
        <w:t>‘</w:t>
      </w:r>
      <w:r>
        <w:t xml:space="preserve"> </w:t>
      </w:r>
      <w:r w:rsidR="004B67B8">
        <w:t>zugrunde gelegt wird</w:t>
      </w:r>
      <w:r>
        <w:t xml:space="preserve">. </w:t>
      </w:r>
      <w:r w:rsidR="003E6D10">
        <w:t>Da bei eine</w:t>
      </w:r>
      <w:r w:rsidR="004B67B8">
        <w:t>r</w:t>
      </w:r>
      <w:r w:rsidR="003E6D10">
        <w:t xml:space="preserve"> </w:t>
      </w:r>
      <w:r w:rsidR="004B67B8">
        <w:t xml:space="preserve">Ausführung </w:t>
      </w:r>
      <w:r w:rsidR="008B5FBA">
        <w:t xml:space="preserve">dieses </w:t>
      </w:r>
      <w:r w:rsidR="003E6D10">
        <w:t>Schema</w:t>
      </w:r>
      <w:r w:rsidR="004B67B8">
        <w:t>s</w:t>
      </w:r>
      <w:r w:rsidR="003E6D10">
        <w:t xml:space="preserve"> </w:t>
      </w:r>
      <w:r w:rsidR="00604A01">
        <w:t>typischerweise</w:t>
      </w:r>
      <w:r w:rsidR="003E6D10">
        <w:t xml:space="preserve">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3E6D10">
        <w:t xml:space="preserve"> </w:t>
      </w:r>
      <w:r w:rsidR="00A93CE0">
        <w:t xml:space="preserve">für </w:t>
      </w:r>
      <w:r w:rsidR="000C2544">
        <w:t>den Bildinhalt g</w:t>
      </w:r>
      <w:r w:rsidR="003E6D10">
        <w:t xml:space="preserve">elten, </w:t>
      </w:r>
      <w:r w:rsidR="00B1759C">
        <w:t xml:space="preserve">sind die dargestellten Figuren </w:t>
      </w:r>
      <w:r w:rsidR="00B01CD9">
        <w:t xml:space="preserve">meist </w:t>
      </w:r>
      <w:r w:rsidR="00B1759C">
        <w:t>auf diese zurückz</w:t>
      </w:r>
      <w:r w:rsidR="00B1759C">
        <w:t>u</w:t>
      </w:r>
      <w:r w:rsidR="00B1759C">
        <w:t xml:space="preserve">führen. Andernfalls </w:t>
      </w:r>
      <w:r w:rsidR="003E6D10">
        <w:t xml:space="preserve">könnte der Stil nicht </w:t>
      </w:r>
      <w:r w:rsidR="00B1759C">
        <w:t>auf eine andere Ausführung des Sch</w:t>
      </w:r>
      <w:r w:rsidR="00B1759C">
        <w:t>e</w:t>
      </w:r>
      <w:r w:rsidR="00B1759C">
        <w:t>m</w:t>
      </w:r>
      <w:r w:rsidR="00A93CE0">
        <w:t>a</w:t>
      </w:r>
      <w:r w:rsidR="00B1759C">
        <w:t>s, bei der andere inhaltliche Bedingungen gelten, angewandt werden. Ein Stil, der beispielsweise Maria Magdalena als eine der dargestellten Figuren festlegt, würde bei praktisch allen Ausführungen des Schemas mit den inhaltlichen B</w:t>
      </w:r>
      <w:r w:rsidR="00B1759C">
        <w:t>e</w:t>
      </w:r>
      <w:r w:rsidR="00B1759C">
        <w:t>dingungen kollidieren und somit zu dem Schema nicht passen.</w:t>
      </w:r>
    </w:p>
    <w:p w:rsidR="00564BFA" w:rsidRDefault="00564BFA" w:rsidP="00564BFA">
      <w:pPr>
        <w:pStyle w:val="Text"/>
      </w:pPr>
      <w:r>
        <w:t xml:space="preserve">Ist das Schema </w:t>
      </w:r>
      <w:r w:rsidR="00B01CD9">
        <w:t>dagegen</w:t>
      </w:r>
      <w:r>
        <w:t xml:space="preserve"> ‚</w:t>
      </w:r>
      <w:r w:rsidR="00207C57">
        <w:t xml:space="preserve">Darstellung des </w:t>
      </w:r>
      <w:r>
        <w:t>Bildmotivs</w:t>
      </w:r>
      <w:r w:rsidR="00D70DC0">
        <w:t xml:space="preserve"> </w:t>
      </w:r>
      <w:r w:rsidR="00BC6739">
        <w:t>„</w:t>
      </w:r>
      <w:r w:rsidR="00D70DC0">
        <w:t>Beweinung</w:t>
      </w:r>
      <w:r w:rsidR="00BC6739">
        <w:t>“</w:t>
      </w:r>
      <w:r>
        <w:t xml:space="preserve"> der christlich</w:t>
      </w:r>
      <w:r w:rsidR="00931DE7">
        <w:t>en Ikonographie</w:t>
      </w:r>
      <w:r w:rsidR="005D7996">
        <w:fldChar w:fldCharType="begin"/>
      </w:r>
      <w:r w:rsidR="00911EDE">
        <w:instrText xml:space="preserve"> XE "</w:instrText>
      </w:r>
      <w:r w:rsidR="00911EDE" w:rsidRPr="00F61217">
        <w:instrText>Ikonographie</w:instrText>
      </w:r>
      <w:r w:rsidR="00911EDE">
        <w:instrText xml:space="preserve">" </w:instrText>
      </w:r>
      <w:r w:rsidR="005D7996">
        <w:fldChar w:fldCharType="end"/>
      </w:r>
      <w:r w:rsidR="00931DE7">
        <w:t xml:space="preserve">‘, dann kann die genaue </w:t>
      </w:r>
      <w:r>
        <w:t>Figurenkonstellation</w:t>
      </w:r>
      <w:r w:rsidR="00931DE7">
        <w:t>, die</w:t>
      </w:r>
      <w:r>
        <w:t xml:space="preserve"> für den darzustellenden Inhalt gewählt wird, eine des Stils sein. Bei zahlreichen christlichen Motiven haben sich </w:t>
      </w:r>
      <w:r w:rsidR="003E6D10">
        <w:t>ikonographische</w:t>
      </w:r>
      <w:r>
        <w:t xml:space="preserve"> </w:t>
      </w:r>
      <w:r w:rsidR="003E6D10">
        <w:t>T</w:t>
      </w:r>
      <w:r>
        <w:t>raditionen entwickelt</w:t>
      </w:r>
      <w:r w:rsidR="003E6D10">
        <w:t xml:space="preserve">, die es rechtfertigen, </w:t>
      </w:r>
      <w:r w:rsidR="00207C57">
        <w:t xml:space="preserve">ihre Darstellung </w:t>
      </w:r>
      <w:r w:rsidR="003E6D10">
        <w:t>als Schema</w:t>
      </w:r>
      <w:r w:rsidR="00BC6739">
        <w:t>ta</w:t>
      </w:r>
      <w:r w:rsidR="003E6D10">
        <w:t xml:space="preserve"> anzusehen </w:t>
      </w:r>
      <w:r>
        <w:t>(</w:t>
      </w:r>
      <w:r w:rsidR="00BC6739">
        <w:t>„</w:t>
      </w:r>
      <w:r w:rsidR="00877568">
        <w:t>Verkündigung</w:t>
      </w:r>
      <w:r w:rsidR="00BC6739">
        <w:t>“</w:t>
      </w:r>
      <w:r w:rsidR="00877568">
        <w:t xml:space="preserve">, </w:t>
      </w:r>
      <w:r w:rsidR="00BC6739">
        <w:t>„</w:t>
      </w:r>
      <w:r w:rsidR="00877568">
        <w:t>A</w:t>
      </w:r>
      <w:r w:rsidR="00877568">
        <w:t>n</w:t>
      </w:r>
      <w:r w:rsidR="00877568">
        <w:t>betung</w:t>
      </w:r>
      <w:r w:rsidR="002B125C">
        <w:t xml:space="preserve"> der Könige</w:t>
      </w:r>
      <w:r w:rsidR="00BC6739">
        <w:t>“</w:t>
      </w:r>
      <w:r w:rsidR="00877568">
        <w:t xml:space="preserve">, </w:t>
      </w:r>
      <w:r w:rsidR="00BC6739">
        <w:t>„</w:t>
      </w:r>
      <w:r w:rsidR="002B125C">
        <w:t>Kreuzigung</w:t>
      </w:r>
      <w:r w:rsidR="00BC6739">
        <w:t>“</w:t>
      </w:r>
      <w:r w:rsidR="002B125C">
        <w:t xml:space="preserve">, </w:t>
      </w:r>
      <w:r w:rsidR="00BC6739">
        <w:t>„</w:t>
      </w:r>
      <w:r w:rsidR="00877568">
        <w:t>Kreuzabnahme</w:t>
      </w:r>
      <w:r w:rsidR="00BC6739">
        <w:t>“ und</w:t>
      </w:r>
      <w:r w:rsidR="00F30A9F">
        <w:t xml:space="preserve"> </w:t>
      </w:r>
      <w:r w:rsidR="00BC6739">
        <w:t>„</w:t>
      </w:r>
      <w:r w:rsidR="002B125C">
        <w:t>Grablegung</w:t>
      </w:r>
      <w:r w:rsidR="00BC6739">
        <w:t>“</w:t>
      </w:r>
      <w:r w:rsidR="00877568">
        <w:t xml:space="preserve"> sind </w:t>
      </w:r>
      <w:r w:rsidR="00BC6739">
        <w:t xml:space="preserve">weitere </w:t>
      </w:r>
      <w:r w:rsidR="00877568">
        <w:t>Beispiele</w:t>
      </w:r>
      <w:r>
        <w:t>).</w:t>
      </w:r>
      <w:r w:rsidR="0006790A">
        <w:rPr>
          <w:rStyle w:val="Funotenzeichen"/>
        </w:rPr>
        <w:footnoteReference w:id="114"/>
      </w:r>
      <w:r>
        <w:t xml:space="preserve"> </w:t>
      </w:r>
      <w:r w:rsidR="00B1759C">
        <w:t>Bei solchen spezielleren Schemata</w:t>
      </w:r>
      <w:r w:rsidR="00B1759C">
        <w:rPr>
          <w:rStyle w:val="Funotenzeichen"/>
        </w:rPr>
        <w:footnoteReference w:id="115"/>
      </w:r>
      <w:r w:rsidR="00B1759C">
        <w:t xml:space="preserve"> </w:t>
      </w:r>
      <w:r>
        <w:t>k</w:t>
      </w:r>
      <w:r w:rsidR="00213DDB">
        <w:t xml:space="preserve">ann es zur Stilfrage werden, welche Personen </w:t>
      </w:r>
      <w:r>
        <w:t xml:space="preserve">auf dem Bild dargestellt </w:t>
      </w:r>
      <w:r w:rsidR="00B1759C">
        <w:t>sind;</w:t>
      </w:r>
      <w:r w:rsidR="00CE7A3C">
        <w:t xml:space="preserve"> </w:t>
      </w:r>
      <w:r w:rsidR="00ED06F1">
        <w:t xml:space="preserve">so </w:t>
      </w:r>
      <w:r w:rsidR="00B01CD9">
        <w:t xml:space="preserve">ist bei </w:t>
      </w:r>
      <w:r w:rsidR="00207C57">
        <w:t xml:space="preserve">dem </w:t>
      </w:r>
      <w:r w:rsidR="00B01CD9">
        <w:t>Bildmotiv</w:t>
      </w:r>
      <w:r w:rsidR="00CE7A3C">
        <w:t xml:space="preserve"> </w:t>
      </w:r>
      <w:r w:rsidR="00207C57">
        <w:t>„</w:t>
      </w:r>
      <w:r w:rsidR="00CE7A3C">
        <w:t>Beweinung</w:t>
      </w:r>
      <w:r w:rsidR="00207C57">
        <w:t>“</w:t>
      </w:r>
      <w:r w:rsidR="00CE7A3C">
        <w:t xml:space="preserve"> die Anwesenheit der Gottesmutter Maria durch das Schema festg</w:t>
      </w:r>
      <w:r w:rsidR="00CE7A3C">
        <w:t>e</w:t>
      </w:r>
      <w:r w:rsidR="00CE7A3C">
        <w:t xml:space="preserve">legt, nicht </w:t>
      </w:r>
      <w:r w:rsidR="00B01CD9">
        <w:t xml:space="preserve">aber </w:t>
      </w:r>
      <w:r w:rsidR="00CE7A3C">
        <w:t>die Anwesenheit der Maria Magdalena, die somit zu einem stili</w:t>
      </w:r>
      <w:r w:rsidR="00CE7A3C">
        <w:t>s</w:t>
      </w:r>
      <w:r w:rsidR="00CE7A3C">
        <w:t>tischen Merkmal werden kann.</w:t>
      </w:r>
      <w:r w:rsidR="00CE7A3C">
        <w:rPr>
          <w:rStyle w:val="Funotenzeichen"/>
        </w:rPr>
        <w:footnoteReference w:id="116"/>
      </w:r>
      <w:r w:rsidR="00B01CD9">
        <w:t xml:space="preserve"> Tatsächlich bildeten sich in </w:t>
      </w:r>
      <w:r w:rsidR="00213DDB">
        <w:t xml:space="preserve">einzelnen </w:t>
      </w:r>
      <w:r w:rsidR="00BF505D">
        <w:t>künstl</w:t>
      </w:r>
      <w:r w:rsidR="00BF505D">
        <w:t>e</w:t>
      </w:r>
      <w:r w:rsidR="00BF505D">
        <w:t>rischen S</w:t>
      </w:r>
      <w:r w:rsidR="00213DDB">
        <w:t xml:space="preserve">chulen </w:t>
      </w:r>
      <w:r w:rsidR="00B1759C">
        <w:t>Traditionen heraus</w:t>
      </w:r>
      <w:r w:rsidR="00213DDB">
        <w:t>, die in der Bibel nicht explizit erwähnte Pe</w:t>
      </w:r>
      <w:r w:rsidR="00213DDB">
        <w:t>r</w:t>
      </w:r>
      <w:r w:rsidR="00213DDB">
        <w:t xml:space="preserve">sonen hinzufügten oder die Personen in einer bestimmten Konstellation zeigten; solche Traditionen können mit </w:t>
      </w:r>
      <w:r>
        <w:t>anderen stilistischen Merkmalen – etwa der Au</w:t>
      </w:r>
      <w:r>
        <w:t>s</w:t>
      </w:r>
      <w:r>
        <w:t xml:space="preserve">drucksstärke der Gesichter oder der Farbwahl – verbunden </w:t>
      </w:r>
      <w:r w:rsidR="00213DDB">
        <w:t>sein</w:t>
      </w:r>
      <w:r>
        <w:t>.</w:t>
      </w:r>
    </w:p>
    <w:p w:rsidR="00757BA9" w:rsidRDefault="00757BA9" w:rsidP="00564BFA">
      <w:pPr>
        <w:pStyle w:val="Text"/>
      </w:pPr>
      <w:r>
        <w:t xml:space="preserve">Nicht nur auf das Schema kommt es an. </w:t>
      </w:r>
      <w:r w:rsidR="00C75387">
        <w:t xml:space="preserve">Beim Wahrnehmen eines Stils </w:t>
      </w:r>
      <w:r>
        <w:t>mü</w:t>
      </w:r>
      <w:r>
        <w:t>s</w:t>
      </w:r>
      <w:r>
        <w:t xml:space="preserve">sen die Alternativenklassen rekonstruiert werden (vgl. Abschnitt </w:t>
      </w:r>
      <w:r w:rsidR="005D7996">
        <w:fldChar w:fldCharType="begin"/>
      </w:r>
      <w:r>
        <w:instrText xml:space="preserve"> REF _Ref254084330 \r \h </w:instrText>
      </w:r>
      <w:r w:rsidR="005D7996">
        <w:fldChar w:fldCharType="separate"/>
      </w:r>
      <w:r w:rsidR="001231D3">
        <w:t>5.5.3</w:t>
      </w:r>
      <w:r w:rsidR="005D7996">
        <w:fldChar w:fldCharType="end"/>
      </w:r>
      <w:r>
        <w:t>). Dafür sind aber nicht nur Schemaortbedingungen, sondern auch Zusatzbedingungen erforderlich, zu denen kontextuelle, inhaltliche und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6E6C69" w:rsidRPr="006E6C69">
        <w:t xml:space="preserve"> </w:t>
      </w:r>
      <w:r w:rsidR="006E6C69">
        <w:t>gehören</w:t>
      </w:r>
      <w:r>
        <w:t xml:space="preserve">. </w:t>
      </w:r>
      <w:r w:rsidR="00142112">
        <w:t xml:space="preserve">Um diese richtig zu vermuten, </w:t>
      </w:r>
      <w:r>
        <w:t xml:space="preserve">benötigt </w:t>
      </w:r>
      <w:r w:rsidR="00C75387">
        <w:t xml:space="preserve">man </w:t>
      </w:r>
      <w:r>
        <w:t xml:space="preserve">eine gewisse Erfahrung: </w:t>
      </w:r>
      <w:r w:rsidR="00EF1E0C">
        <w:lastRenderedPageBreak/>
        <w:t xml:space="preserve">Versucht </w:t>
      </w:r>
      <w:r w:rsidR="00C75387">
        <w:t xml:space="preserve">jemand </w:t>
      </w:r>
      <w:r>
        <w:t>bei einem Gedicht ein</w:t>
      </w:r>
      <w:r w:rsidR="00EF1E0C">
        <w:t xml:space="preserve"> stilistisches</w:t>
      </w:r>
      <w:r>
        <w:t xml:space="preserve"> Merkmal</w:t>
      </w:r>
      <w:r w:rsidR="00EF1E0C">
        <w:t xml:space="preserve"> dadurch zu b</w:t>
      </w:r>
      <w:r w:rsidR="00EF1E0C">
        <w:t>e</w:t>
      </w:r>
      <w:r w:rsidR="00EF1E0C">
        <w:t>schreiben</w:t>
      </w:r>
      <w:r>
        <w:t xml:space="preserve">, </w:t>
      </w:r>
      <w:r w:rsidR="00EF1E0C">
        <w:t xml:space="preserve">das </w:t>
      </w:r>
      <w:r w:rsidR="00885253">
        <w:t>für den Schemaort</w:t>
      </w:r>
      <w:r>
        <w:t xml:space="preserve"> ‚</w:t>
      </w:r>
      <w:r w:rsidR="00885253">
        <w:t xml:space="preserve">Wahl des </w:t>
      </w:r>
      <w:r>
        <w:t>Inhalt</w:t>
      </w:r>
      <w:r w:rsidR="00885253">
        <w:t>s</w:t>
      </w:r>
      <w:r>
        <w:t>‘</w:t>
      </w:r>
      <w:r w:rsidR="00EF1E0C">
        <w:t xml:space="preserve"> </w:t>
      </w:r>
      <w:r>
        <w:t>die ‚</w:t>
      </w:r>
      <w:r w:rsidR="00EF1E0C">
        <w:t xml:space="preserve">Darstellung </w:t>
      </w:r>
      <w:r>
        <w:t>eines B</w:t>
      </w:r>
      <w:r>
        <w:t>e</w:t>
      </w:r>
      <w:r>
        <w:t xml:space="preserve">suchs beim Fleischer an der Ecke‘ </w:t>
      </w:r>
      <w:r w:rsidR="00EF1E0C">
        <w:t>spezifiziert ist</w:t>
      </w:r>
      <w:r>
        <w:t>,</w:t>
      </w:r>
      <w:r w:rsidR="00EF1E0C">
        <w:t xml:space="preserve"> </w:t>
      </w:r>
      <w:r>
        <w:t>wird er den Stil vermutlich an keinem anderen Werk des Dichters wiedererkennen. Die</w:t>
      </w:r>
      <w:r w:rsidR="00142112">
        <w:t>se</w:t>
      </w:r>
      <w:r>
        <w:t xml:space="preserve"> Erfahrung </w:t>
      </w:r>
      <w:r w:rsidR="00142112">
        <w:t>wird ihn lehren</w:t>
      </w:r>
      <w:r>
        <w:t>, dass die</w:t>
      </w:r>
      <w:r w:rsidR="00EF1E0C">
        <w:t>se Angaben</w:t>
      </w:r>
      <w:r>
        <w:t xml:space="preserve"> </w:t>
      </w:r>
      <w:r w:rsidR="00017E2A">
        <w:t xml:space="preserve">vermutlich </w:t>
      </w:r>
      <w:r w:rsidR="00D73D2F">
        <w:t xml:space="preserve">zumindest teilweise </w:t>
      </w:r>
      <w:r>
        <w:t>in den inhaltlichen Bedingungen der Alternativenklassen spezifiziert war</w:t>
      </w:r>
      <w:r w:rsidR="00EF1E0C">
        <w:t>en</w:t>
      </w:r>
      <w:r>
        <w:t>, also keine Frage des Stils. Formuliert er dagegen versuchsweise allgemeiner für den Schemaort ‚Th</w:t>
      </w:r>
      <w:r>
        <w:t>e</w:t>
      </w:r>
      <w:r>
        <w:t xml:space="preserve">menwahl‘ </w:t>
      </w:r>
      <w:r w:rsidR="003D6D6C">
        <w:t xml:space="preserve">als erforderliche </w:t>
      </w:r>
      <w:r>
        <w:t xml:space="preserve">Eigenschaft </w:t>
      </w:r>
      <w:r w:rsidR="00142112">
        <w:t xml:space="preserve">‚lebensvolle Szenerie aus dem Alltag‘, dann könnte er genau richtig liegen, wenn die anderen Gedichte </w:t>
      </w:r>
      <w:r w:rsidR="00F3508A">
        <w:t xml:space="preserve">des Dichters </w:t>
      </w:r>
      <w:r w:rsidR="00142112">
        <w:t>sich mit Suppenküchen, Straßenverkäufern und U-Bahn-Erlebnissen beschäft</w:t>
      </w:r>
      <w:r w:rsidR="00142112">
        <w:t>i</w:t>
      </w:r>
      <w:r w:rsidR="00142112">
        <w:t>gen. Es gibt tatsächlich nicht wenige Dichter, bei denen allgemein formulierte inhaltbezogene Merkmalsregeln dieser Art Teil ihres Stils sind; darauf bezieht sich Goodman</w:t>
      </w:r>
      <w:r w:rsidR="005D7996">
        <w:fldChar w:fldCharType="begin"/>
      </w:r>
      <w:r w:rsidR="000F5A6E">
        <w:instrText xml:space="preserve"> XE "</w:instrText>
      </w:r>
      <w:r w:rsidR="000F5A6E" w:rsidRPr="00C933DB">
        <w:instrText>Goodman, Nelson</w:instrText>
      </w:r>
      <w:r w:rsidR="000F5A6E">
        <w:instrText xml:space="preserve">" </w:instrText>
      </w:r>
      <w:r w:rsidR="005D7996">
        <w:fldChar w:fldCharType="end"/>
      </w:r>
      <w:r w:rsidR="00142112">
        <w:t xml:space="preserve"> im oben angeführten Zitat.</w:t>
      </w:r>
    </w:p>
    <w:p w:rsidR="00564BFA" w:rsidRDefault="00564BFA" w:rsidP="00564BFA">
      <w:pPr>
        <w:pStyle w:val="Text"/>
      </w:pPr>
      <w:r>
        <w:t xml:space="preserve">Derselbe Aspekt einer Realisierung kann somit zum Stil gehören oder nicht zu ihm gehören, je nachdem, welches Schema </w:t>
      </w:r>
      <w:r w:rsidR="00300F03">
        <w:t>und welche kontextuellen, inhaltl</w:t>
      </w:r>
      <w:r w:rsidR="00300F03">
        <w:t>i</w:t>
      </w:r>
      <w:r w:rsidR="00300F03">
        <w:t xml:space="preserve">chen und funktionalen Bedingungen </w:t>
      </w:r>
      <w:r>
        <w:t xml:space="preserve">zugrunde gelegt </w:t>
      </w:r>
      <w:r w:rsidR="00EF6444">
        <w:t>werden</w:t>
      </w:r>
      <w:r>
        <w:t>. Es ist nicht immer die Wahl jedes Schemas gleichermaßen plausibel; sind mehrere Lösungen mö</w:t>
      </w:r>
      <w:r>
        <w:t>g</w:t>
      </w:r>
      <w:r>
        <w:t>lich, hat man es auf jeden Fall auch mit verschiedenen Stilen zu tun. Ein allg</w:t>
      </w:r>
      <w:r>
        <w:t>e</w:t>
      </w:r>
      <w:r>
        <w:t xml:space="preserve">meiner </w:t>
      </w:r>
      <w:r w:rsidR="000D11D9">
        <w:t>Bild</w:t>
      </w:r>
      <w:r>
        <w:t xml:space="preserve">stil ist nicht dasselbe wie der </w:t>
      </w:r>
      <w:r w:rsidR="000D11D9">
        <w:t xml:space="preserve">Darstellungsstil </w:t>
      </w:r>
      <w:r>
        <w:t>ikonographischer M</w:t>
      </w:r>
      <w:r>
        <w:t>o</w:t>
      </w:r>
      <w:r>
        <w:t>tive, ebenso wenig wie ein allgemeiner Stil des gesellschaftlichen Umgangs da</w:t>
      </w:r>
      <w:r>
        <w:t>s</w:t>
      </w:r>
      <w:r>
        <w:t>selbe ist wie der speziellere Stil eines Gastgebers. Immer wenn eine bestimmte Realisierung verschiedenen Schemata zugeordnet werden kann (die in der Regel verschiedene Allgemeinheitsgrade haben werden), können auch verschiedene Stile daran untersucht werden.</w:t>
      </w:r>
    </w:p>
    <w:p w:rsidR="000C4D96" w:rsidRDefault="000C4D96" w:rsidP="00564BFA">
      <w:pPr>
        <w:pStyle w:val="Text"/>
      </w:pPr>
      <w:r>
        <w:t>Ein denkbarer Einwand gegen die freie Wahl des Schemas, die hier prop</w:t>
      </w:r>
      <w:r>
        <w:t>a</w:t>
      </w:r>
      <w:r>
        <w:t>giert wird, könnte lauten, dass das Schema doch der betrachteten Realisierung angemessen sein müsse. Nehmen wir zum Beispiel die Hütten eines südamerik</w:t>
      </w:r>
      <w:r>
        <w:t>a</w:t>
      </w:r>
      <w:r>
        <w:t>nischen Indianerstamms. Können wir diese nach den Schemata betrachten, die für das Bauen in Europa gelten? Können wir also einfach davon ausgehen, dass sie Wände, Decken, Säulen, Dächer, Fenster und Türen haben?</w:t>
      </w:r>
    </w:p>
    <w:p w:rsidR="000C4D96" w:rsidRDefault="000C4D96" w:rsidP="00564BFA">
      <w:pPr>
        <w:pStyle w:val="Text"/>
      </w:pPr>
      <w:r>
        <w:t xml:space="preserve">Die Antwort ist ja – wir können eine solche </w:t>
      </w:r>
      <w:r w:rsidR="004E5CF5">
        <w:t>Perspektive einnehmen</w:t>
      </w:r>
      <w:r>
        <w:t>, und tatsächlich wurde sie zweifellos über die Jahrhunderte von manchen naiven Re</w:t>
      </w:r>
      <w:r>
        <w:t>i</w:t>
      </w:r>
      <w:r>
        <w:t xml:space="preserve">senden aus Europa </w:t>
      </w:r>
      <w:r w:rsidR="004E5CF5">
        <w:t>eingenommen</w:t>
      </w:r>
      <w:r>
        <w:t>, die sich den kulturellen Unterschied gar nicht bewusst machten und daher die Gebäude nach ihren eigenen kulturellen Schem</w:t>
      </w:r>
      <w:r>
        <w:t>a</w:t>
      </w:r>
      <w:r>
        <w:t xml:space="preserve">ta betrachteten (und dann möglicherweise schiefe </w:t>
      </w:r>
      <w:r w:rsidR="00643B5E">
        <w:t>Wände</w:t>
      </w:r>
      <w:r>
        <w:t xml:space="preserve"> oder fehlende Fenster kritisierten). Es gehört zu den grundsätzlichen Prinzipien des Kulturkontakts, dass Realisierungen, die nach den Schemata einer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xml:space="preserve"> erzeugt wurden, manchmal nach den Schemata einer anderen betrachtet werden.</w:t>
      </w:r>
    </w:p>
    <w:p w:rsidR="000C4D96" w:rsidRDefault="000C4D96" w:rsidP="00564BFA">
      <w:pPr>
        <w:pStyle w:val="Text"/>
      </w:pPr>
      <w:r>
        <w:t>Allerdings macht eine solche Betrachtung</w:t>
      </w:r>
      <w:r w:rsidR="009C52FD">
        <w:t>sweise</w:t>
      </w:r>
      <w:r>
        <w:t xml:space="preserve"> </w:t>
      </w:r>
      <w:r w:rsidR="004E5CF5">
        <w:t xml:space="preserve">meist nur wenig </w:t>
      </w:r>
      <w:r>
        <w:t>Sinn</w:t>
      </w:r>
      <w:r w:rsidR="004E5CF5">
        <w:t xml:space="preserve">: </w:t>
      </w:r>
      <w:r w:rsidR="00714EE0">
        <w:t xml:space="preserve">Auf ihrer Grundlage kann der </w:t>
      </w:r>
      <w:r w:rsidR="00233C31">
        <w:t xml:space="preserve">angewendete </w:t>
      </w:r>
      <w:r w:rsidR="00AF0FDA">
        <w:t xml:space="preserve">Stil </w:t>
      </w:r>
      <w:r w:rsidR="00714EE0">
        <w:t>nicht wahrgenommen werden</w:t>
      </w:r>
      <w:r w:rsidR="004E5CF5">
        <w:t xml:space="preserve">. Dazu muss das Schema verwendet werden, das realisiert wurde. Im genannten Fall ist dies das Schema, nach dem die Hütten gebaut wurden. Nur wenn man dieses Schema bei der Betrachtung der Realisierung zugrunde legt, ist es möglich, den </w:t>
      </w:r>
      <w:r w:rsidR="004E5CF5">
        <w:lastRenderedPageBreak/>
        <w:t xml:space="preserve">Stil, der bei der Realisierung (absichtlich oder unabsichtlich) </w:t>
      </w:r>
      <w:r w:rsidR="009F6925">
        <w:t>angewandt</w:t>
      </w:r>
      <w:r w:rsidR="004E5CF5">
        <w:t xml:space="preserve"> wurde, </w:t>
      </w:r>
      <w:r w:rsidR="009C52FD">
        <w:t>wahrzunehmen</w:t>
      </w:r>
      <w:r w:rsidR="004E5CF5">
        <w:t>. Wurde beispielsweise in einem Aspekt des Hüttenbaus eine unkonventionelle Lösung gewählt, kann dies darauf hindeuten, dass die Erbauer unerfahren waren, darauf, dass ein äußerer Umstand sie zur Abweichung zwang, oder darauf, dass sie den Mut hatten, eine andere Lösung zu probieren. Aus e</w:t>
      </w:r>
      <w:r w:rsidR="004E5CF5">
        <w:t>u</w:t>
      </w:r>
      <w:r w:rsidR="004E5CF5">
        <w:t xml:space="preserve">ropäischer Perspektive wäre dagegen die Abweichung von der Konvention nicht </w:t>
      </w:r>
      <w:r w:rsidR="005358B7">
        <w:t xml:space="preserve">zu </w:t>
      </w:r>
      <w:r w:rsidR="004E5CF5">
        <w:t>erkennen.</w:t>
      </w:r>
    </w:p>
    <w:p w:rsidR="004E5CF5" w:rsidRDefault="004E5CF5" w:rsidP="00564BFA">
      <w:pPr>
        <w:pStyle w:val="Text"/>
      </w:pPr>
      <w:r>
        <w:t xml:space="preserve">Allerdings ist die rein </w:t>
      </w:r>
      <w:r w:rsidR="00985CDD">
        <w:t>kulturinterne</w:t>
      </w:r>
      <w:r>
        <w:t xml:space="preserve"> Betrachtungsweise nicht die einzig sinnvolle. Ebenso gut kann die Hütte mit derjenigen anderer Indianerstämme verglichen werden, auch wenn keinerlei Kontakt mit diesen bekannt ist: Auf der Grundlage eines allgemeineren Schemas (zum Beispiel </w:t>
      </w:r>
      <w:r w:rsidR="005939C5">
        <w:t xml:space="preserve">das Artefaktschema </w:t>
      </w:r>
      <w:r>
        <w:t>‚Wohnhütten in Südamerika‘), das nun natürlich in seinem Repertoire an Sch</w:t>
      </w:r>
      <w:r>
        <w:t>e</w:t>
      </w:r>
      <w:r>
        <w:t>maorten so angepasst werden muss, dass es die Beschreibung aller entspreche</w:t>
      </w:r>
      <w:r>
        <w:t>n</w:t>
      </w:r>
      <w:r>
        <w:t>den Hütten ermöglicht, können beispielsweise Erkenntnisse über den Technol</w:t>
      </w:r>
      <w:r>
        <w:t>o</w:t>
      </w:r>
      <w:r>
        <w:t>giestand, die gesellschaftliche Position von Baumeistern, weltanschauliche und spirituelle Positionen, soziale Gruppierungen und Geschlechterverhältnisse oder den Umgang mit dem jeweiligen Ökosystem gewonnen werden.</w:t>
      </w:r>
    </w:p>
    <w:p w:rsidR="009E71C1" w:rsidRDefault="004E5CF5" w:rsidP="009E71C1">
      <w:pPr>
        <w:pStyle w:val="Text"/>
      </w:pPr>
      <w:r>
        <w:t>Und schließlich ist es ebenfalls möglich, ein allgemeines Schema ‚Wohnu</w:t>
      </w:r>
      <w:r>
        <w:t>n</w:t>
      </w:r>
      <w:r>
        <w:t xml:space="preserve">terkünfte‘ anzunehmen und darin </w:t>
      </w:r>
      <w:r w:rsidR="009E71C1">
        <w:t>europäische Wohngebäude mit den Indiane</w:t>
      </w:r>
      <w:r w:rsidR="009E71C1">
        <w:t>r</w:t>
      </w:r>
      <w:r w:rsidR="009E71C1">
        <w:t>hütten zu vergleichen. Damit erhält man Informationen über kulturspezifische Baustile</w:t>
      </w:r>
      <w:r w:rsidR="005D7996" w:rsidRPr="00F815B0">
        <w:fldChar w:fldCharType="begin"/>
      </w:r>
      <w:r w:rsidR="00CA2D60" w:rsidRPr="00F815B0">
        <w:instrText xml:space="preserve"> XE "Baustil" </w:instrText>
      </w:r>
      <w:r w:rsidR="005D7996" w:rsidRPr="00F815B0">
        <w:fldChar w:fldCharType="end"/>
      </w:r>
      <w:r w:rsidR="005D7996" w:rsidRPr="00F815B0">
        <w:fldChar w:fldCharType="begin"/>
      </w:r>
      <w:r w:rsidR="00F815B0" w:rsidRPr="00F815B0">
        <w:instrText xml:space="preserve"> XE "Baustil" \t "</w:instrText>
      </w:r>
      <w:r w:rsidR="00F815B0" w:rsidRPr="00F815B0">
        <w:rPr>
          <w:rFonts w:cstheme="minorHAnsi"/>
          <w:i/>
        </w:rPr>
        <w:instrText>siehe auch</w:instrText>
      </w:r>
      <w:r w:rsidR="00F815B0" w:rsidRPr="00F815B0">
        <w:rPr>
          <w:rFonts w:cstheme="minorHAnsi"/>
        </w:rPr>
        <w:instrText xml:space="preserve"> Architekturstil</w:instrText>
      </w:r>
      <w:r w:rsidR="00F815B0" w:rsidRPr="00F815B0">
        <w:instrText xml:space="preserve">" </w:instrText>
      </w:r>
      <w:r w:rsidR="005D7996" w:rsidRPr="00F815B0">
        <w:fldChar w:fldCharType="end"/>
      </w:r>
      <w:r w:rsidR="009E71C1">
        <w:t xml:space="preserve"> von Wohngebäuden. In einem solchen kulturübergreifenden Vergleich ergeben sich andere Merkmale, etwa wenn man die vorgesehene Dauer des G</w:t>
      </w:r>
      <w:r w:rsidR="009E71C1">
        <w:t>e</w:t>
      </w:r>
      <w:r w:rsidR="009E71C1">
        <w:t xml:space="preserve">bäudes vergleicht: So ist es zum Beispiel denkbar, dass der betrachtete Stamm die Hütten auf eine bestimmte </w:t>
      </w:r>
      <w:r w:rsidR="005939C5">
        <w:t xml:space="preserve">Nutzungsdauer </w:t>
      </w:r>
      <w:r w:rsidR="009E71C1">
        <w:t>auslegt, die soziale Gründe (Fam</w:t>
      </w:r>
      <w:r w:rsidR="009E71C1">
        <w:t>i</w:t>
      </w:r>
      <w:r w:rsidR="009E71C1">
        <w:t>lienverhältnisse, Migrationsverhalten o</w:t>
      </w:r>
      <w:r w:rsidR="005939C5">
        <w:t xml:space="preserve">der Besitzregulierung) hat. Ist dies im Schema ‚Wohnhütten‘ festgelegt, kann man es in einer kulturinternen Stilanalyse nicht erkennen, weil es keine Frage des Stils ist, sondern eine des Schemas. Nimmt man dagegen das kulturübergreifende Schema ‚Wohnunterkünfte‘, ist die vorgesehene Nutzungsdauer nicht mehr festgelegt und wird folglich </w:t>
      </w:r>
      <w:r w:rsidR="00490472">
        <w:t>zu einem stilistischen Merkmal, das bei einer Stilanalyse erkannt werden kann.</w:t>
      </w:r>
    </w:p>
    <w:p w:rsidR="005939C5" w:rsidRDefault="005939C5" w:rsidP="009E71C1">
      <w:pPr>
        <w:pStyle w:val="Text"/>
      </w:pPr>
      <w:r>
        <w:t xml:space="preserve">Kulturspezifische Verhaltensweisen können als Stile beschrieben werden, </w:t>
      </w:r>
      <w:r w:rsidR="00C64BF8">
        <w:t xml:space="preserve">wenn </w:t>
      </w:r>
      <w:r>
        <w:t xml:space="preserve">ein kulturübergreifendes Schema angegeben </w:t>
      </w:r>
      <w:r w:rsidR="00C64BF8">
        <w:t>wird</w:t>
      </w:r>
      <w:r w:rsidR="00816364">
        <w:t xml:space="preserve">, was </w:t>
      </w:r>
      <w:r w:rsidR="007B231B">
        <w:t xml:space="preserve">gerade </w:t>
      </w:r>
      <w:r w:rsidR="00C64BF8">
        <w:t xml:space="preserve">dann sinnvoll </w:t>
      </w:r>
      <w:r w:rsidR="00816364">
        <w:t xml:space="preserve">ist, </w:t>
      </w:r>
      <w:r w:rsidR="00F40C88">
        <w:t xml:space="preserve">wenn </w:t>
      </w:r>
      <w:r w:rsidR="00816364">
        <w:t>es sich um Grundbedürfnisse des Menschen handelt</w:t>
      </w:r>
      <w:r>
        <w:t xml:space="preserve">. </w:t>
      </w:r>
      <w:r w:rsidR="00816364">
        <w:t xml:space="preserve">So können </w:t>
      </w:r>
      <w:r>
        <w:t>ku</w:t>
      </w:r>
      <w:r>
        <w:t>l</w:t>
      </w:r>
      <w:r>
        <w:t>turübergreifende Schema</w:t>
      </w:r>
      <w:r w:rsidR="00816364">
        <w:t>ta</w:t>
      </w:r>
      <w:r>
        <w:t xml:space="preserve"> </w:t>
      </w:r>
      <w:r w:rsidR="00816364">
        <w:t>auch für ‚Ernährung‘, ‚Sexualität‘, ‚Familienverhäl</w:t>
      </w:r>
      <w:r w:rsidR="00816364">
        <w:t>t</w:t>
      </w:r>
      <w:r w:rsidR="00816364">
        <w:t>nisse‘, ‚Geburtspraktiken‘, ‚Sterbepraktiken‘ usw. definiert werden.</w:t>
      </w:r>
    </w:p>
    <w:p w:rsidR="000C4D7A" w:rsidRDefault="005939C5" w:rsidP="00AA7DDB">
      <w:pPr>
        <w:pStyle w:val="Text"/>
      </w:pPr>
      <w:r>
        <w:t xml:space="preserve">Abschließend muss betont werden: </w:t>
      </w:r>
      <w:r w:rsidR="000C4D7A">
        <w:t xml:space="preserve">Nicht alle Phänomene, die auf Variation basieren, gehören zum Stil. So sind zum Beispiel Varianten von Zeichensystemen keine Stile (vgl. Abschnitt </w:t>
      </w:r>
      <w:r w:rsidR="005D7996">
        <w:fldChar w:fldCharType="begin"/>
      </w:r>
      <w:r w:rsidR="000C4D7A">
        <w:instrText xml:space="preserve"> REF _Ref260076032 \r \h </w:instrText>
      </w:r>
      <w:r w:rsidR="005D7996">
        <w:fldChar w:fldCharType="separate"/>
      </w:r>
      <w:r w:rsidR="001231D3">
        <w:t>8.3.4</w:t>
      </w:r>
      <w:r w:rsidR="005D7996">
        <w:fldChar w:fldCharType="end"/>
      </w:r>
      <w:r w:rsidR="000C4D7A">
        <w:t xml:space="preserve">). Dasselbe gilt auch für Varianten von Schemata. </w:t>
      </w:r>
      <w:r w:rsidR="00AA7DDB">
        <w:t xml:space="preserve">Allerdings </w:t>
      </w:r>
      <w:r>
        <w:t xml:space="preserve">hängt </w:t>
      </w:r>
      <w:r w:rsidR="00AA7DDB">
        <w:t>die</w:t>
      </w:r>
      <w:r>
        <w:t>se</w:t>
      </w:r>
      <w:r w:rsidR="00AA7DDB">
        <w:t xml:space="preserve"> Grenze</w:t>
      </w:r>
      <w:r>
        <w:t>, wie wir gesehen haben, von der Definition des Schemas ab</w:t>
      </w:r>
      <w:r w:rsidR="00AA7DDB">
        <w:t xml:space="preserve">. So können die Unterschiede zwischen Kulturen </w:t>
      </w:r>
      <w:r>
        <w:t xml:space="preserve">oft </w:t>
      </w:r>
      <w:r w:rsidR="00AA7DDB">
        <w:t>als Unterschi</w:t>
      </w:r>
      <w:r w:rsidR="00AA7DDB">
        <w:t>e</w:t>
      </w:r>
      <w:r w:rsidR="00AA7DDB">
        <w:t>de der geltenden Schemata beschrieben werden</w:t>
      </w:r>
      <w:r>
        <w:t>; nimmt man dagegen ein übe</w:t>
      </w:r>
      <w:r>
        <w:t>r</w:t>
      </w:r>
      <w:r>
        <w:lastRenderedPageBreak/>
        <w:t>greifendes Schema an, dann könne</w:t>
      </w:r>
      <w:r w:rsidR="00847E94">
        <w:t xml:space="preserve">n, wie gezeigt wurde, </w:t>
      </w:r>
      <w:r w:rsidR="00D343C8">
        <w:t>U</w:t>
      </w:r>
      <w:r>
        <w:t xml:space="preserve">nterschiede </w:t>
      </w:r>
      <w:r w:rsidR="00D343C8">
        <w:t xml:space="preserve">zwischen Kulturen </w:t>
      </w:r>
      <w:r>
        <w:t>als Stile beschrieben werden.</w:t>
      </w:r>
      <w:r>
        <w:rPr>
          <w:rStyle w:val="Funotenzeichen"/>
        </w:rPr>
        <w:footnoteReference w:id="117"/>
      </w:r>
    </w:p>
    <w:p w:rsidR="00564BFA" w:rsidRDefault="00AA7DDB" w:rsidP="0070095A">
      <w:pPr>
        <w:pStyle w:val="Text"/>
      </w:pPr>
      <w:r>
        <w:t xml:space="preserve">(Vgl. zur Wahl des jeweils passenden Schemas auch Abschnitt </w:t>
      </w:r>
      <w:r w:rsidR="005D7996">
        <w:fldChar w:fldCharType="begin"/>
      </w:r>
      <w:r>
        <w:instrText xml:space="preserve"> REF _Ref233636622 \r \h </w:instrText>
      </w:r>
      <w:r w:rsidR="005D7996">
        <w:fldChar w:fldCharType="separate"/>
      </w:r>
      <w:r w:rsidR="001231D3">
        <w:t>8.2.3</w:t>
      </w:r>
      <w:r w:rsidR="005D7996">
        <w:fldChar w:fldCharType="end"/>
      </w:r>
      <w:r>
        <w:t>.)</w:t>
      </w:r>
    </w:p>
    <w:p w:rsidR="00E27AE3" w:rsidRDefault="00E27AE3" w:rsidP="00E27AE3">
      <w:pPr>
        <w:pStyle w:val="Titel2"/>
      </w:pPr>
      <w:bookmarkStart w:id="70" w:name="_Ref225339965"/>
      <w:bookmarkStart w:id="71" w:name="_Toc325456702"/>
      <w:bookmarkStart w:id="72" w:name="Information_in_Realisierungen"/>
      <w:bookmarkStart w:id="73" w:name="Information"/>
      <w:bookmarkEnd w:id="65"/>
      <w:bookmarkEnd w:id="69"/>
      <w:r>
        <w:t>Arten von Information in Realisierungen</w:t>
      </w:r>
      <w:bookmarkEnd w:id="70"/>
      <w:bookmarkEnd w:id="71"/>
    </w:p>
    <w:p w:rsidR="00E27AE3" w:rsidRDefault="005D7996" w:rsidP="002C6AB4">
      <w:pPr>
        <w:pStyle w:val="Text"/>
        <w:ind w:firstLine="0"/>
      </w:pPr>
      <w:r>
        <w:fldChar w:fldCharType="begin"/>
      </w:r>
      <w:r w:rsidR="00957205">
        <w:instrText xml:space="preserve"> XE "Information:in Realisierungen" \r "Information_in_Realisierungen" </w:instrText>
      </w:r>
      <w:r>
        <w:fldChar w:fldCharType="end"/>
      </w:r>
      <w:r>
        <w:fldChar w:fldCharType="begin"/>
      </w:r>
      <w:r w:rsidR="006A63A9">
        <w:instrText xml:space="preserve"> XE "Information" \r "Information" </w:instrText>
      </w:r>
      <w:r>
        <w:fldChar w:fldCharType="end"/>
      </w:r>
      <w:r>
        <w:fldChar w:fldCharType="begin"/>
      </w:r>
      <w:r w:rsidR="006A63A9">
        <w:instrText xml:space="preserve"> XE "Information" \t "</w:instrText>
      </w:r>
      <w:r w:rsidR="00015942">
        <w:rPr>
          <w:i/>
        </w:rPr>
        <w:instrText>et passim</w:instrText>
      </w:r>
      <w:r w:rsidR="006A63A9">
        <w:instrText xml:space="preserve">" </w:instrText>
      </w:r>
      <w:r>
        <w:fldChar w:fldCharType="end"/>
      </w:r>
      <w:r w:rsidR="00E27AE3">
        <w:t xml:space="preserve">Bevor Stil genauer untersucht wird, muss er von anderen Arten </w:t>
      </w:r>
      <w:r w:rsidR="00EB4D5D">
        <w:t xml:space="preserve">von </w:t>
      </w:r>
      <w:r w:rsidR="00E27AE3">
        <w:t>Informati</w:t>
      </w:r>
      <w:r w:rsidR="00E27AE3">
        <w:t>o</w:t>
      </w:r>
      <w:r w:rsidR="00E27AE3">
        <w:t xml:space="preserve">nen </w:t>
      </w:r>
      <w:r w:rsidR="00EB4D5D">
        <w:t>unterschieden werden, die in Realisierungen enthalten sind</w:t>
      </w:r>
      <w:r w:rsidR="00E27AE3">
        <w:t xml:space="preserve">. </w:t>
      </w:r>
      <w:r w:rsidR="00EB4D5D">
        <w:t xml:space="preserve">In </w:t>
      </w:r>
      <w:r w:rsidR="00E27AE3">
        <w:t>jeder Real</w:t>
      </w:r>
      <w:r w:rsidR="00E27AE3">
        <w:t>i</w:t>
      </w:r>
      <w:r w:rsidR="00E27AE3">
        <w:t xml:space="preserve">sierung </w:t>
      </w:r>
      <w:r w:rsidR="00EB4D5D">
        <w:t xml:space="preserve">können mehrere </w:t>
      </w:r>
      <w:r w:rsidR="00E27AE3">
        <w:t xml:space="preserve">Arten von Information </w:t>
      </w:r>
      <w:r w:rsidR="00EB4D5D">
        <w:t>festgestellt werden</w:t>
      </w:r>
      <w:r w:rsidR="00E27AE3">
        <w:t>.</w:t>
      </w:r>
      <w:bookmarkStart w:id="74" w:name="_Ref266573173"/>
      <w:r w:rsidR="00FA3D74">
        <w:rPr>
          <w:rStyle w:val="Funotenzeichen"/>
        </w:rPr>
        <w:footnoteReference w:id="118"/>
      </w:r>
      <w:bookmarkEnd w:id="74"/>
      <w:r w:rsidR="00E27AE3">
        <w:t xml:space="preserve"> Nehmen wir drei Beispiele (in Klammern die Schemaarten,</w:t>
      </w:r>
      <w:r w:rsidR="00E27AE3">
        <w:rPr>
          <w:rStyle w:val="Funotenzeichen"/>
        </w:rPr>
        <w:footnoteReference w:id="119"/>
      </w:r>
      <w:r w:rsidR="00E27AE3">
        <w:t xml:space="preserve"> denen sie angehören):</w:t>
      </w:r>
    </w:p>
    <w:p w:rsidR="00E27AE3" w:rsidRDefault="00E27AE3" w:rsidP="00064830">
      <w:pPr>
        <w:pStyle w:val="ZitatAufzhlung"/>
      </w:pPr>
      <w:r>
        <w:t>(a)</w:t>
      </w:r>
      <w:r>
        <w:tab/>
        <w:t>Ich sehe jemanden die Straße hinu</w:t>
      </w:r>
      <w:r w:rsidR="00FF55BC">
        <w:t>nterlaufen. (Verhalten</w:t>
      </w:r>
      <w:r>
        <w:t>)</w:t>
      </w:r>
    </w:p>
    <w:p w:rsidR="00E27AE3" w:rsidRDefault="00E27AE3" w:rsidP="00064830">
      <w:pPr>
        <w:pStyle w:val="ZitatAufzhlung"/>
      </w:pPr>
      <w:r>
        <w:t>(b)</w:t>
      </w:r>
      <w:r>
        <w:tab/>
        <w:t>Ich sehe ein Gebäude. (Artefakt)</w:t>
      </w:r>
    </w:p>
    <w:p w:rsidR="00E27AE3" w:rsidRDefault="00E27AE3" w:rsidP="00064830">
      <w:pPr>
        <w:pStyle w:val="ZitatAufzhlung"/>
      </w:pPr>
      <w:r>
        <w:t>(c)</w:t>
      </w:r>
      <w:r>
        <w:tab/>
        <w:t>Ich höre eine Äußerung einer natürlichen Sprache. (Text)</w:t>
      </w:r>
    </w:p>
    <w:p w:rsidR="00E27AE3" w:rsidRDefault="00E27AE3" w:rsidP="00064830">
      <w:pPr>
        <w:pStyle w:val="Text"/>
        <w:ind w:firstLine="0"/>
      </w:pPr>
      <w:r>
        <w:t>Aus diesen Wahrnehmungen können folgende Informationen abgeleitet werden:</w:t>
      </w:r>
    </w:p>
    <w:p w:rsidR="00E27AE3" w:rsidRDefault="00E27AE3" w:rsidP="00E27AE3">
      <w:pPr>
        <w:pStyle w:val="Text"/>
      </w:pPr>
      <w:r>
        <w:t>(1)</w:t>
      </w:r>
      <w:r>
        <w:tab/>
      </w:r>
      <w:r>
        <w:rPr>
          <w:i/>
        </w:rPr>
        <w:t>Schema und Schemaorte</w:t>
      </w:r>
      <w:r>
        <w:t xml:space="preserve">. Man erkennt, dass es sich um </w:t>
      </w:r>
      <w:r w:rsidR="00EE4855">
        <w:t xml:space="preserve">das Verhalten </w:t>
      </w:r>
      <w:r w:rsidR="008A1F23">
        <w:t>‚G</w:t>
      </w:r>
      <w:r>
        <w:t>ehen</w:t>
      </w:r>
      <w:r w:rsidR="008A1F23">
        <w:t>‘</w:t>
      </w:r>
      <w:r>
        <w:t xml:space="preserve">, um den Artefakttyp </w:t>
      </w:r>
      <w:r w:rsidR="008A1F23">
        <w:t>‚</w:t>
      </w:r>
      <w:r>
        <w:t>Gebäude</w:t>
      </w:r>
      <w:r w:rsidR="008A1F23">
        <w:t>‘</w:t>
      </w:r>
      <w:r>
        <w:t xml:space="preserve"> oder um </w:t>
      </w:r>
      <w:r w:rsidR="00EE4855">
        <w:t>die Verwendung eines b</w:t>
      </w:r>
      <w:r w:rsidR="00EE4855">
        <w:t>e</w:t>
      </w:r>
      <w:r w:rsidR="00EE4855">
        <w:t xml:space="preserve">stimmten Zeichensystems, nämlich einer bestimmten natürlichen Sprache, </w:t>
      </w:r>
      <w:r>
        <w:t>ha</w:t>
      </w:r>
      <w:r>
        <w:t>n</w:t>
      </w:r>
      <w:r>
        <w:t xml:space="preserve">delt. Einzelne Phasen oder Teile des Wahrgenommenen können nun den mir bekannten Teilen dieser Schemata zugeordnet werden: Beim </w:t>
      </w:r>
      <w:r w:rsidR="008A1F23">
        <w:t>‚</w:t>
      </w:r>
      <w:r>
        <w:t>Gehen</w:t>
      </w:r>
      <w:r w:rsidR="005D7996">
        <w:fldChar w:fldCharType="begin"/>
      </w:r>
      <w:r w:rsidR="005D557B">
        <w:instrText xml:space="preserve"> XE "</w:instrText>
      </w:r>
      <w:r w:rsidR="005D557B" w:rsidRPr="00141B08">
        <w:instrText>Gehstil</w:instrText>
      </w:r>
      <w:r w:rsidR="005D557B">
        <w:instrText xml:space="preserve">" </w:instrText>
      </w:r>
      <w:r w:rsidR="005D7996">
        <w:fldChar w:fldCharType="end"/>
      </w:r>
      <w:r w:rsidR="008A1F23">
        <w:t>‘</w:t>
      </w:r>
      <w:r>
        <w:t xml:space="preserve"> kann ich ebenso verschiedene Bestandteile und Aspekte erkennen (Heben des Fußes, Vorwärtsbewegung, Aufsetzen, Synchronität beider Füße) wie beim Gebäude (Türen,</w:t>
      </w:r>
      <w:r w:rsidR="00EE4855">
        <w:t xml:space="preserve"> Fenster, Balkon, Dach) und bei der Äußerung</w:t>
      </w:r>
      <w:r>
        <w:t xml:space="preserve"> (</w:t>
      </w:r>
      <w:r w:rsidR="00EE4855">
        <w:t xml:space="preserve">Satzeinteilung, </w:t>
      </w:r>
      <w:r w:rsidR="001F1304">
        <w:t>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rsidR="001F1304">
        <w:t xml:space="preserve">, </w:t>
      </w:r>
      <w:r>
        <w:lastRenderedPageBreak/>
        <w:t xml:space="preserve">Wörter, </w:t>
      </w:r>
      <w:r w:rsidR="001F1304">
        <w:t xml:space="preserve">Aussprache, </w:t>
      </w:r>
      <w:r>
        <w:t xml:space="preserve">Intonation). </w:t>
      </w:r>
      <w:r>
        <w:rPr>
          <w:rFonts w:cs="Times New Roman"/>
        </w:rPr>
        <w:t xml:space="preserve">– </w:t>
      </w:r>
      <w:r>
        <w:t>Um diese grundlegende Gliederung des Wahrnehmbaren zu erfassen, wird an geeigneter Stelle eine allgemeine Glied</w:t>
      </w:r>
      <w:r>
        <w:t>e</w:t>
      </w:r>
      <w:r>
        <w:t>rung von Verhaltensweisen, Artefakten und Texten in Schemata eingeführt we</w:t>
      </w:r>
      <w:r>
        <w:t>r</w:t>
      </w:r>
      <w:r>
        <w:t xml:space="preserve">den, die jeweils wieder über verschiedene Schemaorte verfügen (vgl. Abschnitt </w:t>
      </w:r>
      <w:r w:rsidR="005D7996">
        <w:fldChar w:fldCharType="begin"/>
      </w:r>
      <w:r>
        <w:instrText xml:space="preserve"> REF _Ref212130496 \r \h </w:instrText>
      </w:r>
      <w:r w:rsidR="005D7996">
        <w:fldChar w:fldCharType="separate"/>
      </w:r>
      <w:r w:rsidR="001231D3">
        <w:t>4.2</w:t>
      </w:r>
      <w:r w:rsidR="005D7996">
        <w:fldChar w:fldCharType="end"/>
      </w:r>
      <w:r>
        <w:t xml:space="preserve">). Vorläufig kann man sich dies als die Information vorstellen, </w:t>
      </w:r>
      <w:r w:rsidR="00FF55BC">
        <w:t xml:space="preserve">um welchen Typ von </w:t>
      </w:r>
      <w:r>
        <w:t>Verhalten</w:t>
      </w:r>
      <w:r w:rsidR="00FF55BC">
        <w:t xml:space="preserve">, </w:t>
      </w:r>
      <w:r>
        <w:t xml:space="preserve">von Artefakt oder </w:t>
      </w:r>
      <w:r w:rsidR="00FF55BC">
        <w:t xml:space="preserve">von </w:t>
      </w:r>
      <w:r>
        <w:t xml:space="preserve">Text es sich handelt, und </w:t>
      </w:r>
      <w:r w:rsidR="00FF55BC">
        <w:t>in welche Bestandteile, die es auch bei anderen Realisierungen desselben Typs gibt, sich die vorliegende Realisierung unterteilen lässt.</w:t>
      </w:r>
    </w:p>
    <w:p w:rsidR="00E27AE3" w:rsidRDefault="00E27AE3" w:rsidP="00E27AE3">
      <w:pPr>
        <w:pStyle w:val="Text"/>
      </w:pPr>
      <w:r>
        <w:t>(1a)</w:t>
      </w:r>
      <w:r>
        <w:tab/>
        <w:t xml:space="preserve">Unter </w:t>
      </w:r>
      <w:r>
        <w:rPr>
          <w:i/>
        </w:rPr>
        <w:t xml:space="preserve">Einbeziehung des Kontexts und Hintergrundwissens </w:t>
      </w:r>
      <w:r>
        <w:t>kann ich z</w:t>
      </w:r>
      <w:r>
        <w:t>u</w:t>
      </w:r>
      <w:r>
        <w:t>sätzliche Informationen gewinnen. Ich kann etwa (a) die Person erkennen, Ve</w:t>
      </w:r>
      <w:r>
        <w:t>r</w:t>
      </w:r>
      <w:r>
        <w:t xml:space="preserve">mutungen über Ziel </w:t>
      </w:r>
      <w:r w:rsidR="00F735FA">
        <w:t xml:space="preserve">oder </w:t>
      </w:r>
      <w:r w:rsidR="00936B38">
        <w:t xml:space="preserve">Zweck </w:t>
      </w:r>
      <w:r>
        <w:t>ihres Gehens anstellen und überlegen, warum sie nicht eine andere Fortbewegungsart gewählt hat; (b) feststellen, dass an di</w:t>
      </w:r>
      <w:r>
        <w:t>e</w:t>
      </w:r>
      <w:r>
        <w:t>ser Stelle gebaut wurde, überlegen, wann das Baugebiet ausgewiesen wurde, das Haus schön oder hässlich finden; (c) schließen, dass die Person sprechen kann, die entsprechende Sprache beherrscht, in der konkreten Situation etwas sagen will, sich an jemand Bestimmten wendet usw.</w:t>
      </w:r>
    </w:p>
    <w:p w:rsidR="00E27AE3" w:rsidRDefault="00E27AE3" w:rsidP="00E27AE3">
      <w:pPr>
        <w:pStyle w:val="Text"/>
      </w:pPr>
      <w:r>
        <w:t>(2)</w:t>
      </w:r>
      <w:r>
        <w:tab/>
      </w:r>
      <w:r>
        <w:rPr>
          <w:i/>
        </w:rPr>
        <w:t>Inhalte bei Zeichen</w:t>
      </w:r>
      <w:r w:rsidR="005B322E">
        <w:rPr>
          <w:i/>
        </w:rPr>
        <w:t>gebrauch</w:t>
      </w:r>
      <w:r>
        <w:t xml:space="preserve">. Werden Kodes oder andere Zeichen </w:t>
      </w:r>
      <w:r w:rsidR="005B322E">
        <w:t>g</w:t>
      </w:r>
      <w:r w:rsidR="005B322E">
        <w:t>e</w:t>
      </w:r>
      <w:r w:rsidR="005B322E">
        <w:t>braucht</w:t>
      </w:r>
      <w:r>
        <w:t>, kann ich diese verstehen und daraus Informationen gewinnen. Dies gilt in den gewählten Beispielen nur für (c). Ich kann die Äußerung (unter geeign</w:t>
      </w:r>
      <w:r>
        <w:t>e</w:t>
      </w:r>
      <w:r>
        <w:t>ten Bedingungen) verstehen.</w:t>
      </w:r>
    </w:p>
    <w:p w:rsidR="00E27AE3" w:rsidRDefault="00E27AE3" w:rsidP="00E27AE3">
      <w:pPr>
        <w:pStyle w:val="Text"/>
      </w:pPr>
      <w:r>
        <w:t>(2a)</w:t>
      </w:r>
      <w:r>
        <w:tab/>
        <w:t>Unter Einbeziehung des Kontexts können wiederum weitergehende Informationen gewonnen werden.</w:t>
      </w:r>
    </w:p>
    <w:p w:rsidR="00E27AE3" w:rsidRDefault="00E27AE3" w:rsidP="00E27AE3">
      <w:pPr>
        <w:pStyle w:val="Text"/>
      </w:pPr>
      <w:r>
        <w:t>(3)</w:t>
      </w:r>
      <w:r>
        <w:tab/>
      </w:r>
      <w:r w:rsidR="003B15E5">
        <w:rPr>
          <w:i/>
        </w:rPr>
        <w:t>Information</w:t>
      </w:r>
      <w:r>
        <w:rPr>
          <w:i/>
        </w:rPr>
        <w:t xml:space="preserve">, </w:t>
      </w:r>
      <w:r w:rsidR="003B15E5">
        <w:rPr>
          <w:i/>
        </w:rPr>
        <w:t xml:space="preserve">die </w:t>
      </w:r>
      <w:r>
        <w:rPr>
          <w:i/>
        </w:rPr>
        <w:t>sich aus bestimmten Eigenschaften der Realisierungen ergibt</w:t>
      </w:r>
      <w:r>
        <w:t>: Aus Eigenschaften der Realisierung, die nicht bereits durch Schema oder Schemaorte festgelegt sind, können zusätzliche Informationen gewonnen we</w:t>
      </w:r>
      <w:r>
        <w:t>r</w:t>
      </w:r>
      <w:r>
        <w:t>den. (a) Ich bemerke, dass die gehende Person mehrmals stolpert und schließe daraus, dass sie wahrscheinlich müde oder abgelenkt ist. (b) Ich sehe, dass das Haus zwei Eingangstüren auf der Frontseite hat, und schließe daraus, dass es ein Zweifamilienhaus ist; ich sehe, dass es ein vermutlich zu einem Atelier gehöre</w:t>
      </w:r>
      <w:r>
        <w:t>n</w:t>
      </w:r>
      <w:r>
        <w:t>des Fenster hat, und schließe darau</w:t>
      </w:r>
      <w:r w:rsidR="007A5D2C">
        <w:t xml:space="preserve">s, dass dort ein Künstler wohnt; eine </w:t>
      </w:r>
      <w:r w:rsidR="00E6261E" w:rsidRPr="00E6261E">
        <w:rPr>
          <w:vertAlign w:val="superscript"/>
        </w:rPr>
        <w:t>14</w:t>
      </w:r>
      <w:r w:rsidR="007A5D2C">
        <w:t>Co-</w:t>
      </w:r>
      <w:r w:rsidR="00E6261E">
        <w:t>Datierung</w:t>
      </w:r>
      <w:r w:rsidR="007A5D2C">
        <w:t xml:space="preserve"> des Materials ergibt das Alter einer Realisierung.</w:t>
      </w:r>
      <w:r>
        <w:t xml:space="preserve"> (c) Ich höre, dass die Äußerung laut ist, und schließe etwas über die akustischen Bedingungen oder über die Gesprächssituation und den Gefühlszsutand des Sprechers; ich nehme die konkrete Formulierungsweise wahr und schließe daraus vielleicht, dass der Sprecher aufgeregt oder verwirrt ist, usw.</w:t>
      </w:r>
    </w:p>
    <w:p w:rsidR="00E27AE3" w:rsidRDefault="00E27AE3" w:rsidP="00E27AE3">
      <w:pPr>
        <w:pStyle w:val="Text"/>
      </w:pPr>
      <w:r>
        <w:t>(3a)</w:t>
      </w:r>
      <w:r>
        <w:tab/>
        <w:t>Derselbe Ableitungsprozess kann wiederum, neben den direkten E</w:t>
      </w:r>
      <w:r>
        <w:t>i</w:t>
      </w:r>
      <w:r>
        <w:t>genschaften der Realisierung, den Kontext einbeziehen. Ich kann in (a) die B</w:t>
      </w:r>
      <w:r>
        <w:t>o</w:t>
      </w:r>
      <w:r>
        <w:t>denbeschaffenheit, in (b) die Lage des Hauses in einem Künstlerviertel und in (c) die Stellung der Hauswände an der gegebenen Stelle, die vermutlich den Schall von der Straße störend zurückwerfen, berücksichtigen.</w:t>
      </w:r>
    </w:p>
    <w:p w:rsidR="00E27AE3" w:rsidRDefault="00E27AE3" w:rsidP="00E27AE3">
      <w:pPr>
        <w:pStyle w:val="Text"/>
      </w:pPr>
      <w:r>
        <w:t>(4)</w:t>
      </w:r>
      <w:r>
        <w:tab/>
      </w:r>
      <w:r>
        <w:rPr>
          <w:i/>
        </w:rPr>
        <w:t>Stil</w:t>
      </w:r>
      <w:r>
        <w:t xml:space="preserve">. Stilistische Informationen ergeben sich aus dem Wissen oder der Vermutung, dass bestimmte Eigenschaften der Realisierung nicht nur einfach an dieser konkreten Realisierung vorhanden sind, sondern dass sie </w:t>
      </w:r>
      <w:r w:rsidR="00BF08B5">
        <w:t>sich aus b</w:t>
      </w:r>
      <w:r w:rsidR="00BF08B5">
        <w:t>e</w:t>
      </w:r>
      <w:r w:rsidR="00BF08B5">
        <w:lastRenderedPageBreak/>
        <w:t>stimmten Regelmäßigkeiten ergeben</w:t>
      </w:r>
      <w:r>
        <w:t>, die bei der Erzeugung der Realisie</w:t>
      </w:r>
      <w:r w:rsidR="00BF08B5">
        <w:t xml:space="preserve">rung gegolten haben. Aus diesen Regelmäßigkeiten </w:t>
      </w:r>
      <w:r w:rsidR="00734E44">
        <w:t>können dann in einer</w:t>
      </w:r>
      <w:r>
        <w:t xml:space="preserve"> Interpret</w:t>
      </w:r>
      <w:r>
        <w:t>a</w:t>
      </w:r>
      <w:r>
        <w:t>tion zusätzliche Informationen abgeleitet werden; vgl. Kapitel 6 und 7.</w:t>
      </w:r>
    </w:p>
    <w:p w:rsidR="00E27AE3" w:rsidRDefault="00E27AE3" w:rsidP="00E27AE3">
      <w:pPr>
        <w:pStyle w:val="Text"/>
      </w:pPr>
      <w:r>
        <w:t>Von den hier eingeführten Kategorien sind (1) und (2), sofern man die Ei</w:t>
      </w:r>
      <w:r>
        <w:t>n</w:t>
      </w:r>
      <w:r>
        <w:t>führung von Schemata akzeptiert, wohl unbestreitbar. Dagegen ist die Unte</w:t>
      </w:r>
      <w:r>
        <w:t>r</w:t>
      </w:r>
      <w:r>
        <w:t>scheidung von (3) und (4) erläuterungsbedürftig und zugleich entscheidend für das hier vorgeschlagene Verständnis von Stil. Daher werden wir ihr den Rest des Abschnitts widmen.</w:t>
      </w:r>
    </w:p>
    <w:p w:rsidR="00E27AE3" w:rsidRDefault="00E27AE3" w:rsidP="00E27AE3">
      <w:pPr>
        <w:pStyle w:val="Text"/>
      </w:pPr>
    </w:p>
    <w:p w:rsidR="00E27AE3" w:rsidRDefault="00E27AE3" w:rsidP="00064830">
      <w:pPr>
        <w:pStyle w:val="Text"/>
        <w:ind w:firstLine="0"/>
      </w:pPr>
      <w:r>
        <w:t>In (3) kann jede beliebige Eigenschaft der Realisierung, ohne Frage nach ihrer Ursache, zu Schlüssen Anlass geben. Tatsächlich ist jedoch die Anzahl von Schlüssen, die auf dieser Basis direkt gezogen werden können, recht begrenzt. Denn jede Realisierung, und auch jedes Teilelement und jeder Aspekt einer Re</w:t>
      </w:r>
      <w:r w:rsidR="00985CDD">
        <w:t>a</w:t>
      </w:r>
      <w:r w:rsidR="00985CDD">
        <w:t>lisierung (die wir später als „</w:t>
      </w:r>
      <w:r>
        <w:t>Realisierungsstellen</w:t>
      </w:r>
      <w:r w:rsidR="00985CDD">
        <w:t>“</w:t>
      </w:r>
      <w:r>
        <w:t xml:space="preserve"> beschreiben werden; vgl. A</w:t>
      </w:r>
      <w:r>
        <w:t>b</w:t>
      </w:r>
      <w:r>
        <w:t xml:space="preserve">schnitt </w:t>
      </w:r>
      <w:r w:rsidR="005D7996">
        <w:fldChar w:fldCharType="begin"/>
      </w:r>
      <w:r>
        <w:instrText xml:space="preserve"> REF _Ref212453073 \r \h </w:instrText>
      </w:r>
      <w:r w:rsidR="005D7996">
        <w:fldChar w:fldCharType="separate"/>
      </w:r>
      <w:r w:rsidR="001231D3">
        <w:t>4.5</w:t>
      </w:r>
      <w:r w:rsidR="005D7996">
        <w:fldChar w:fldCharType="end"/>
      </w:r>
      <w:r>
        <w:t>), hat potentiell unendlich viele Eigenschaften.</w:t>
      </w:r>
      <w:r w:rsidR="00CA35F0">
        <w:rPr>
          <w:rStyle w:val="Funotenzeichen"/>
        </w:rPr>
        <w:footnoteReference w:id="120"/>
      </w:r>
      <w:r>
        <w:t xml:space="preserve"> Die einzelnen Eige</w:t>
      </w:r>
      <w:r>
        <w:t>n</w:t>
      </w:r>
      <w:r>
        <w:t>schaften interagieren jedoch miteinander und bedingen sich in einem konkreten Fall häufig gegenseitig. Solange man nicht weiß, welche Eigenschaften als in g</w:t>
      </w:r>
      <w:r>
        <w:t>e</w:t>
      </w:r>
      <w:r>
        <w:t xml:space="preserve">wisser Weise </w:t>
      </w:r>
      <w:r>
        <w:rPr>
          <w:i/>
        </w:rPr>
        <w:t xml:space="preserve">unabhängig von der konkreten Realisierungsstelle (mit deren Kontext usw.) vorhanden </w:t>
      </w:r>
      <w:r>
        <w:t xml:space="preserve">betrachtet werden kann, lassen sich bestimmte Schlüsse nicht ziehen </w:t>
      </w:r>
      <w:r>
        <w:rPr>
          <w:rFonts w:cs="Times New Roman"/>
        </w:rPr>
        <w:t>–</w:t>
      </w:r>
      <w:r>
        <w:t xml:space="preserve"> und zwar gerade solche, die für uns interessant sind. Denn nur länge</w:t>
      </w:r>
      <w:r>
        <w:t>r</w:t>
      </w:r>
      <w:r>
        <w:t>fristige, konstante Eigenschaften bei realisierungserzeugendem Verhalten erla</w:t>
      </w:r>
      <w:r>
        <w:t>u</w:t>
      </w:r>
      <w:r>
        <w:t>ben Rückschlüsse auf die Vergangenheit und Vorhersagen für die Zukunft und sind damit besonders informativ.</w:t>
      </w:r>
    </w:p>
    <w:p w:rsidR="00E27AE3" w:rsidRDefault="00E27AE3" w:rsidP="00E27AE3">
      <w:pPr>
        <w:pStyle w:val="Text"/>
        <w:rPr>
          <w:rFonts w:cs="Times New Roman"/>
        </w:rPr>
      </w:pPr>
      <w:r>
        <w:t>Nehmen wir an, ich weiß über einen Bankräuber, dass er in einem konkr</w:t>
      </w:r>
      <w:r>
        <w:t>e</w:t>
      </w:r>
      <w:r>
        <w:t>ten Fall Geiseln genommen hat.</w:t>
      </w:r>
      <w:r>
        <w:rPr>
          <w:rStyle w:val="Funotenzeichen"/>
        </w:rPr>
        <w:footnoteReference w:id="121"/>
      </w:r>
      <w:r>
        <w:t xml:space="preserve"> Solange ich nicht weiß, ob sich dies nur au</w:t>
      </w:r>
      <w:r>
        <w:t>f</w:t>
      </w:r>
      <w:r>
        <w:t xml:space="preserve">grund bestimmter äußerer Umstände ergeben hat und ob mit diesen äußeren Umständen zu rechnen war oder nicht, kann ich daraus relativ wenig entnehmen: Ich weiß nur, dass der Bankräuber in dieser konkreten Situation so vorgegangen ist, weiter nichts. Über seinen Charakter kann ich daraus nur den Schluss ziehen, dass er </w:t>
      </w:r>
      <w:r>
        <w:rPr>
          <w:rFonts w:cs="Times New Roman"/>
        </w:rPr>
        <w:t>unter den gegebenen Umständen fähig und bereit war, Geiseln zu ne</w:t>
      </w:r>
      <w:r>
        <w:rPr>
          <w:rFonts w:cs="Times New Roman"/>
        </w:rPr>
        <w:t>h</w:t>
      </w:r>
      <w:r>
        <w:rPr>
          <w:rFonts w:cs="Times New Roman"/>
        </w:rPr>
        <w:t>men. Diese Information ist nicht nutzlos, aber sie ist zugleich recht banal. Aus der Existenz einer Sache oder dem Vorkommen einer Situation kann immer auf die Möglichkeit dieser Existenz oder dieses Vorkommens geschlossen werden.</w:t>
      </w:r>
    </w:p>
    <w:p w:rsidR="00E27AE3" w:rsidRDefault="00E27AE3" w:rsidP="00E27AE3">
      <w:pPr>
        <w:pStyle w:val="Text"/>
        <w:rPr>
          <w:rFonts w:cs="Times New Roman"/>
        </w:rPr>
      </w:pPr>
      <w:r>
        <w:rPr>
          <w:rFonts w:cs="Times New Roman"/>
        </w:rPr>
        <w:t>Etwas weitergehende Schlüsse lassen sich ziehen, indem man den Kontext einbezieht (vgl. (3a)). Weiß ich etwa, dass gerade eine Polizeistreife in der Nachbarschaft war und der Bankräuber erst die Geiseln genommen hat, als er von dieser überrascht wurde, könnte ich annehmen, dass die Geiselnahme eine spontane Reaktion auf diese uneingeplante Störung war. Allerdings ist es mö</w:t>
      </w:r>
      <w:r>
        <w:rPr>
          <w:rFonts w:cs="Times New Roman"/>
        </w:rPr>
        <w:t>g</w:t>
      </w:r>
      <w:r>
        <w:rPr>
          <w:rFonts w:cs="Times New Roman"/>
        </w:rPr>
        <w:t xml:space="preserve">lich, dass der Bankräuber, der von der Polizeistreife überrascht wurde, sowieso Geiseln genommen hätte. Habe ich keine Informationen über entsprechende </w:t>
      </w:r>
      <w:r>
        <w:rPr>
          <w:rFonts w:cs="Times New Roman"/>
        </w:rPr>
        <w:lastRenderedPageBreak/>
        <w:t>handlungsbestimmende Kontextfaktoren, auf mit denen ich die Geiselnahme in Zusammenhang bringen kann, bin ich nicht weitergekommen.</w:t>
      </w:r>
    </w:p>
    <w:p w:rsidR="00E27AE3" w:rsidRDefault="00E27AE3" w:rsidP="00E27AE3">
      <w:pPr>
        <w:pStyle w:val="Text"/>
        <w:rPr>
          <w:rFonts w:cs="Times New Roman"/>
        </w:rPr>
      </w:pPr>
      <w:r>
        <w:rPr>
          <w:rFonts w:cs="Times New Roman"/>
        </w:rPr>
        <w:t>Tatsächlich lassen sich auf diese Weise also bereits einige Schlüsse ziehen. Aber für den Menschen als</w:t>
      </w:r>
      <w:r w:rsidR="00985CDD">
        <w:rPr>
          <w:rFonts w:cs="Times New Roman"/>
        </w:rPr>
        <w:t xml:space="preserve"> ein gewissermaßen von Information lebendes Tier</w:t>
      </w:r>
      <w:r>
        <w:rPr>
          <w:rFonts w:cs="Times New Roman"/>
        </w:rPr>
        <w:t xml:space="preserve"> ist es äußerst wichtig, </w:t>
      </w:r>
      <w:r>
        <w:rPr>
          <w:rFonts w:cs="Times New Roman"/>
          <w:i/>
        </w:rPr>
        <w:t xml:space="preserve">alle </w:t>
      </w:r>
      <w:r>
        <w:rPr>
          <w:rFonts w:cs="Times New Roman"/>
        </w:rPr>
        <w:t>Information, die in Realisierungen steckt, ableiten zu können. Mit der allgemeinen schemabezogenen Information (1), den sich daraus unter Hinzuziehung des Kontexts ergebenden Informationen (1a), den Inhalten von verwendeten Zeichen (2) auch unter Einbeziehung des Kontexts (2a) sowie der sich aus konkreten Eigenschaften ergebenden Information (3) auch unter Einbeziehung des Kontexts (3a) ist jedoch noch nicht alle Information erfasst. Hinzu kommt (4) Information, die sich erst aus Regelmäßigkeiten der Auswahl ergibt.</w:t>
      </w:r>
    </w:p>
    <w:p w:rsidR="00E27AE3" w:rsidRDefault="00E27AE3" w:rsidP="00E27AE3">
      <w:pPr>
        <w:pStyle w:val="Text"/>
        <w:rPr>
          <w:rFonts w:cs="Times New Roman"/>
        </w:rPr>
      </w:pPr>
      <w:r>
        <w:rPr>
          <w:rFonts w:cs="Times New Roman"/>
        </w:rPr>
        <w:t>Worum handelt es sich hier? Macht es Sinn, sich von dem konkret B</w:t>
      </w:r>
      <w:r>
        <w:rPr>
          <w:rFonts w:cs="Times New Roman"/>
        </w:rPr>
        <w:t>e</w:t>
      </w:r>
      <w:r>
        <w:rPr>
          <w:rFonts w:cs="Times New Roman"/>
        </w:rPr>
        <w:t>obachtbaren – einer bestimmten Realisierung – ein Stück weit zu entfernen und von Regel</w:t>
      </w:r>
      <w:r w:rsidR="00FD60B2">
        <w:rPr>
          <w:rFonts w:cs="Times New Roman"/>
        </w:rPr>
        <w:t>mäßigkeiten</w:t>
      </w:r>
      <w:r>
        <w:rPr>
          <w:rFonts w:cs="Times New Roman"/>
        </w:rPr>
        <w:t xml:space="preserve"> auszugehen, die bei ihrer Erzeugung gegolten haben und die vermutlich weniger sicher abgeleitet werden können als die Information (3) und (3a), die sich aus Eigenschaften der Realisierung direkt ergibt? Und selbst wenn, warum sollte man diese Information getrennt von der in (3) und (3a) b</w:t>
      </w:r>
      <w:r>
        <w:rPr>
          <w:rFonts w:cs="Times New Roman"/>
        </w:rPr>
        <w:t>e</w:t>
      </w:r>
      <w:r>
        <w:rPr>
          <w:rFonts w:cs="Times New Roman"/>
        </w:rPr>
        <w:t>handeln?</w:t>
      </w:r>
    </w:p>
    <w:p w:rsidR="00E27AE3" w:rsidRDefault="00ED16B2" w:rsidP="00E27AE3">
      <w:pPr>
        <w:pStyle w:val="Text"/>
        <w:rPr>
          <w:rFonts w:cs="Times New Roman"/>
        </w:rPr>
      </w:pPr>
      <w:r>
        <w:rPr>
          <w:rFonts w:cs="Times New Roman"/>
        </w:rPr>
        <w:t xml:space="preserve">Als Antwort sei </w:t>
      </w:r>
      <w:r w:rsidR="00C25C6A">
        <w:rPr>
          <w:rFonts w:cs="Times New Roman"/>
        </w:rPr>
        <w:t xml:space="preserve">erneut </w:t>
      </w:r>
      <w:r>
        <w:rPr>
          <w:rFonts w:cs="Times New Roman"/>
        </w:rPr>
        <w:t>auf das große Informationspotential von Stilen ve</w:t>
      </w:r>
      <w:r>
        <w:rPr>
          <w:rFonts w:cs="Times New Roman"/>
        </w:rPr>
        <w:t>r</w:t>
      </w:r>
      <w:r>
        <w:rPr>
          <w:rFonts w:cs="Times New Roman"/>
        </w:rPr>
        <w:t>wiesen: Viele der aus Regelmäßigkeiten der Auswahl ableitbaren Informationen ergeben sich nicht aus den unmittelbar erkennbaren Eigenschaften der Realisi</w:t>
      </w:r>
      <w:r>
        <w:rPr>
          <w:rFonts w:cs="Times New Roman"/>
        </w:rPr>
        <w:t>e</w:t>
      </w:r>
      <w:r>
        <w:rPr>
          <w:rFonts w:cs="Times New Roman"/>
        </w:rPr>
        <w:t xml:space="preserve">rung. Dies zeigen zahlreiche Beispiele für die Stilinterpretation </w:t>
      </w:r>
      <w:r w:rsidR="00C25C6A">
        <w:rPr>
          <w:rFonts w:cs="Times New Roman"/>
        </w:rPr>
        <w:t xml:space="preserve">anhand der darin erzeugten </w:t>
      </w:r>
      <w:r>
        <w:rPr>
          <w:rFonts w:cs="Times New Roman"/>
        </w:rPr>
        <w:t>Ergebnisse</w:t>
      </w:r>
      <w:r w:rsidR="00C25C6A">
        <w:rPr>
          <w:rFonts w:cs="Times New Roman"/>
        </w:rPr>
        <w:t>, die allein aus Eigenschaften der Realisierung meist nicht erzeugbar wären und viele für den Stilwahrnehmenden relevante Informationen enthalten</w:t>
      </w:r>
      <w:r>
        <w:rPr>
          <w:rFonts w:cs="Times New Roman"/>
        </w:rPr>
        <w:t>.</w:t>
      </w:r>
      <w:r>
        <w:rPr>
          <w:rStyle w:val="Funotenzeichen"/>
          <w:rFonts w:cs="Times New Roman"/>
        </w:rPr>
        <w:footnoteReference w:id="122"/>
      </w:r>
      <w:r>
        <w:rPr>
          <w:rFonts w:cs="Times New Roman"/>
        </w:rPr>
        <w:t xml:space="preserve"> </w:t>
      </w:r>
      <w:r w:rsidR="00C25C6A">
        <w:rPr>
          <w:rFonts w:cs="Times New Roman"/>
        </w:rPr>
        <w:t>Überdies enthalten Stile nicht nur Informationen, sondern ermögl</w:t>
      </w:r>
      <w:r w:rsidR="00C25C6A">
        <w:rPr>
          <w:rFonts w:cs="Times New Roman"/>
        </w:rPr>
        <w:t>i</w:t>
      </w:r>
      <w:r w:rsidR="00C25C6A">
        <w:rPr>
          <w:rFonts w:cs="Times New Roman"/>
        </w:rPr>
        <w:t xml:space="preserve">chen Assoziationen und lassen Gefühle und Eindrücke entstehen, bieten also ein ganzes Repertoire an Reaktionsweisen auf Realisierungen. </w:t>
      </w:r>
      <w:r>
        <w:rPr>
          <w:rFonts w:cs="Times New Roman"/>
        </w:rPr>
        <w:t>Es macht offensich</w:t>
      </w:r>
      <w:r>
        <w:rPr>
          <w:rFonts w:cs="Times New Roman"/>
        </w:rPr>
        <w:t>t</w:t>
      </w:r>
      <w:r>
        <w:rPr>
          <w:rFonts w:cs="Times New Roman"/>
        </w:rPr>
        <w:t>lich Sinn, über die konkrete Realisierung hinauszudenken</w:t>
      </w:r>
      <w:r w:rsidR="00C25C6A">
        <w:rPr>
          <w:rFonts w:cs="Times New Roman"/>
        </w:rPr>
        <w:t>.</w:t>
      </w:r>
    </w:p>
    <w:p w:rsidR="00E27AE3" w:rsidRDefault="00C25C6A" w:rsidP="00E27AE3">
      <w:pPr>
        <w:pStyle w:val="Text"/>
        <w:rPr>
          <w:rFonts w:cs="Times New Roman"/>
        </w:rPr>
      </w:pPr>
      <w:r>
        <w:rPr>
          <w:rFonts w:cs="Times New Roman"/>
        </w:rPr>
        <w:t>Beispielsweise ermöglicht es beim Beispiel des Bankraubstils</w:t>
      </w:r>
      <w:r w:rsidR="005D7996">
        <w:rPr>
          <w:rFonts w:cs="Times New Roman"/>
        </w:rPr>
        <w:fldChar w:fldCharType="begin"/>
      </w:r>
      <w:r w:rsidR="005D557B">
        <w:instrText xml:space="preserve"> XE "</w:instrText>
      </w:r>
      <w:r w:rsidR="005D557B" w:rsidRPr="008054A4">
        <w:rPr>
          <w:rFonts w:cs="Times New Roman"/>
        </w:rPr>
        <w:instrText>Bankraubstil</w:instrText>
      </w:r>
      <w:r w:rsidR="005D557B">
        <w:instrText xml:space="preserve">" </w:instrText>
      </w:r>
      <w:r w:rsidR="005D7996">
        <w:rPr>
          <w:rFonts w:cs="Times New Roman"/>
        </w:rPr>
        <w:fldChar w:fldCharType="end"/>
      </w:r>
      <w:r w:rsidR="00E27AE3">
        <w:rPr>
          <w:rFonts w:cs="Times New Roman"/>
        </w:rPr>
        <w:t xml:space="preserve"> das Denken in Stilen, davon auszugehen, </w:t>
      </w:r>
      <w:r>
        <w:rPr>
          <w:rFonts w:cs="Times New Roman"/>
        </w:rPr>
        <w:t>welche Regelmäßigkeiten</w:t>
      </w:r>
      <w:r w:rsidR="00E27AE3">
        <w:rPr>
          <w:rFonts w:cs="Times New Roman"/>
        </w:rPr>
        <w:t xml:space="preserve"> </w:t>
      </w:r>
      <w:r>
        <w:rPr>
          <w:rFonts w:cs="Times New Roman"/>
        </w:rPr>
        <w:t xml:space="preserve">bei </w:t>
      </w:r>
      <w:r w:rsidR="00E27AE3">
        <w:rPr>
          <w:rFonts w:cs="Times New Roman"/>
        </w:rPr>
        <w:t>sein</w:t>
      </w:r>
      <w:r>
        <w:rPr>
          <w:rFonts w:cs="Times New Roman"/>
        </w:rPr>
        <w:t>em</w:t>
      </w:r>
      <w:r w:rsidR="00E27AE3">
        <w:rPr>
          <w:rFonts w:cs="Times New Roman"/>
        </w:rPr>
        <w:t xml:space="preserve"> Verhalten </w:t>
      </w:r>
      <w:r>
        <w:rPr>
          <w:rFonts w:cs="Times New Roman"/>
        </w:rPr>
        <w:t>auftr</w:t>
      </w:r>
      <w:r>
        <w:rPr>
          <w:rFonts w:cs="Times New Roman"/>
        </w:rPr>
        <w:t>a</w:t>
      </w:r>
      <w:r>
        <w:rPr>
          <w:rFonts w:cs="Times New Roman"/>
        </w:rPr>
        <w:t>ten</w:t>
      </w:r>
      <w:r w:rsidR="00E27AE3">
        <w:rPr>
          <w:rFonts w:cs="Times New Roman"/>
        </w:rPr>
        <w:t>. Dazu gehören bewusst angewandte Regeln, etwa die Strategie de</w:t>
      </w:r>
      <w:r>
        <w:rPr>
          <w:rFonts w:cs="Times New Roman"/>
        </w:rPr>
        <w:t>r Bankrä</w:t>
      </w:r>
      <w:r>
        <w:rPr>
          <w:rFonts w:cs="Times New Roman"/>
        </w:rPr>
        <w:t>u</w:t>
      </w:r>
      <w:r>
        <w:rPr>
          <w:rFonts w:cs="Times New Roman"/>
        </w:rPr>
        <w:t>ber, aber auch solche Regelmäßigkeiten</w:t>
      </w:r>
      <w:r w:rsidR="00E27AE3">
        <w:rPr>
          <w:rFonts w:cs="Times New Roman"/>
        </w:rPr>
        <w:t>, die durch seine Fähigkeiten, früheren Prägungen usw. bedingt sind; erst wenn die</w:t>
      </w:r>
      <w:r>
        <w:rPr>
          <w:rFonts w:cs="Times New Roman"/>
        </w:rPr>
        <w:t>se Regelmäßigkeiten</w:t>
      </w:r>
      <w:r w:rsidR="00E27AE3">
        <w:rPr>
          <w:rFonts w:cs="Times New Roman"/>
        </w:rPr>
        <w:t xml:space="preserve"> erkannt wurden, kann versucht werden, auf ihre jeweiligen Ursachen zu schließen.</w:t>
      </w:r>
    </w:p>
    <w:p w:rsidR="00E27AE3" w:rsidRDefault="00FD60B2" w:rsidP="00E27AE3">
      <w:pPr>
        <w:pStyle w:val="Text"/>
        <w:rPr>
          <w:rFonts w:cs="Times New Roman"/>
        </w:rPr>
      </w:pPr>
      <w:r>
        <w:rPr>
          <w:rFonts w:cs="Times New Roman"/>
        </w:rPr>
        <w:t>Die Suche nach Regelmäßigkeiten</w:t>
      </w:r>
      <w:r w:rsidR="00E27AE3">
        <w:rPr>
          <w:rFonts w:cs="Times New Roman"/>
        </w:rPr>
        <w:t xml:space="preserve">, die die Realisierungserzeugung bestimmt haben, wird wesentlich erleichtert, wenn es mehrere Vorkommnisse gibt, bei denen die </w:t>
      </w:r>
      <w:r w:rsidR="00DE698D">
        <w:rPr>
          <w:rFonts w:cs="Times New Roman"/>
        </w:rPr>
        <w:t xml:space="preserve">Regelmäßigkeiten </w:t>
      </w:r>
      <w:r w:rsidR="00E27AE3">
        <w:rPr>
          <w:rFonts w:cs="Times New Roman"/>
        </w:rPr>
        <w:t>angewandt wurden.</w:t>
      </w:r>
      <w:r w:rsidR="00E27AE3">
        <w:rPr>
          <w:rStyle w:val="Funotenzeichen"/>
          <w:rFonts w:cs="Times New Roman"/>
        </w:rPr>
        <w:footnoteReference w:id="123"/>
      </w:r>
      <w:r w:rsidR="00E27AE3">
        <w:rPr>
          <w:rFonts w:cs="Times New Roman"/>
        </w:rPr>
        <w:t xml:space="preserve"> Nimmt der Bankräuber bei einem zweiten Überfall unter anderen Umständen wieder Geiseln, so wird man eher dazu neigen, dies seinem Stil zuzuschreiben, bei weiteren Vorkommnissen </w:t>
      </w:r>
      <w:r w:rsidR="00E27AE3">
        <w:rPr>
          <w:rFonts w:cs="Times New Roman"/>
        </w:rPr>
        <w:lastRenderedPageBreak/>
        <w:t>wird das zunehmend zur Gewissheit. Ist nur ein Vorkommnis vorhanden, so ist die Annahme einer Regel</w:t>
      </w:r>
      <w:r w:rsidR="00725BAD">
        <w:rPr>
          <w:rFonts w:cs="Times New Roman"/>
        </w:rPr>
        <w:t>mäßigkeit</w:t>
      </w:r>
      <w:r w:rsidR="00E27AE3">
        <w:rPr>
          <w:rFonts w:cs="Times New Roman"/>
        </w:rPr>
        <w:t xml:space="preserve"> dennoch möglich; sie macht allerdings nur dann Sinn, wenn man davon ausgeht, dass keine anderen Umstände für die b</w:t>
      </w:r>
      <w:r w:rsidR="00E27AE3">
        <w:rPr>
          <w:rFonts w:cs="Times New Roman"/>
        </w:rPr>
        <w:t>e</w:t>
      </w:r>
      <w:r w:rsidR="00E27AE3">
        <w:rPr>
          <w:rFonts w:cs="Times New Roman"/>
        </w:rPr>
        <w:t xml:space="preserve">obachtbaren konkreten Eigenschaften verantwortlich oder diese nur zufällig aufgetreten sind. In diesem Fall können also besonders leicht Fehler entstehen, wenn die </w:t>
      </w:r>
      <w:r w:rsidR="00DC5B0B">
        <w:rPr>
          <w:rFonts w:cs="Times New Roman"/>
        </w:rPr>
        <w:t>Zusatz</w:t>
      </w:r>
      <w:r w:rsidR="00E27AE3">
        <w:rPr>
          <w:rFonts w:cs="Times New Roman"/>
        </w:rPr>
        <w:t>bedingungen bei der Rekonstruktion der Alternativenklassen nicht richtig angenommen werden.</w:t>
      </w:r>
    </w:p>
    <w:p w:rsidR="00E27AE3" w:rsidRDefault="00E27AE3" w:rsidP="00E27AE3">
      <w:pPr>
        <w:pStyle w:val="Text"/>
        <w:rPr>
          <w:rFonts w:cs="Times New Roman"/>
        </w:rPr>
      </w:pPr>
      <w:r>
        <w:rPr>
          <w:rFonts w:cs="Times New Roman"/>
        </w:rPr>
        <w:t>Nehmen wir als weiteres Beispiel, ich beobachte, dass jemand mit laut quie</w:t>
      </w:r>
      <w:r>
        <w:rPr>
          <w:rFonts w:cs="Times New Roman"/>
        </w:rPr>
        <w:t>t</w:t>
      </w:r>
      <w:r>
        <w:rPr>
          <w:rFonts w:cs="Times New Roman"/>
        </w:rPr>
        <w:t>schenden Reifen um die Kurve fährt. Daraus kann ich zahlreiche Informationen entnehmen, aber keineswegs alle sind stilistischer Art. Ich kann beispielsweise Aussagen über den Straßenbelag machen oder mir überlegen, dass nun – es ist 7 Uhr morgens – vermutlich einige Leute aufgewacht und vielleicht sauer auf den Fahrer sind. All diese Informationen können durchaus relevant sein: Wenn ich beispielsweise überlegt hatte, bei einem Freund zu klingeln, hilft mir die Überl</w:t>
      </w:r>
      <w:r>
        <w:rPr>
          <w:rFonts w:cs="Times New Roman"/>
        </w:rPr>
        <w:t>e</w:t>
      </w:r>
      <w:r>
        <w:rPr>
          <w:rFonts w:cs="Times New Roman"/>
        </w:rPr>
        <w:t>gung, dass ihn das Reifenquietschen nun sowieso geweckt haben müsste, falls er noch schlief, bei der Entscheidung zu klingeln. Außerdem könnte eine Anme</w:t>
      </w:r>
      <w:r>
        <w:rPr>
          <w:rFonts w:cs="Times New Roman"/>
        </w:rPr>
        <w:t>r</w:t>
      </w:r>
      <w:r>
        <w:rPr>
          <w:rFonts w:cs="Times New Roman"/>
        </w:rPr>
        <w:t>kung über das Reifenquietschen eine gute Gesprächseröffnung sein; usw. Diese Informationen fallen unter (3), aber nicht unter (4).</w:t>
      </w:r>
    </w:p>
    <w:p w:rsidR="00E27AE3" w:rsidRDefault="00E27AE3" w:rsidP="00E27AE3">
      <w:pPr>
        <w:pStyle w:val="Text"/>
        <w:rPr>
          <w:rFonts w:cs="Times New Roman"/>
        </w:rPr>
      </w:pPr>
      <w:r>
        <w:rPr>
          <w:rFonts w:cs="Times New Roman"/>
        </w:rPr>
        <w:t>Ich könnte jedoch weiter gehen und das Abbiegen mit quietschenden Re</w:t>
      </w:r>
      <w:r>
        <w:rPr>
          <w:rFonts w:cs="Times New Roman"/>
        </w:rPr>
        <w:t>i</w:t>
      </w:r>
      <w:r>
        <w:rPr>
          <w:rFonts w:cs="Times New Roman"/>
        </w:rPr>
        <w:t>fen als Merkmal des Fahrstils</w:t>
      </w:r>
      <w:r w:rsidR="005D7996">
        <w:rPr>
          <w:rFonts w:cs="Times New Roman"/>
        </w:rPr>
        <w:fldChar w:fldCharType="begin"/>
      </w:r>
      <w:r w:rsidR="00E30AE9">
        <w:instrText xml:space="preserve"> XE "</w:instrText>
      </w:r>
      <w:r w:rsidR="00E30AE9" w:rsidRPr="00656B1C">
        <w:rPr>
          <w:rFonts w:cs="Times New Roman"/>
        </w:rPr>
        <w:instrText>Fahrstil</w:instrText>
      </w:r>
      <w:r w:rsidR="00E30AE9">
        <w:instrText xml:space="preserve">" </w:instrText>
      </w:r>
      <w:r w:rsidR="005D7996">
        <w:rPr>
          <w:rFonts w:cs="Times New Roman"/>
        </w:rPr>
        <w:fldChar w:fldCharType="end"/>
      </w:r>
      <w:r>
        <w:rPr>
          <w:rFonts w:cs="Times New Roman"/>
        </w:rPr>
        <w:t xml:space="preserve"> der am Steuer sitzenden Person betrachten. Daraus ergeben sich nun viele zusätzliche Informationen, die ich vorher noch nicht ha</w:t>
      </w:r>
      <w:r>
        <w:rPr>
          <w:rFonts w:cs="Times New Roman"/>
        </w:rPr>
        <w:t>t</w:t>
      </w:r>
      <w:r>
        <w:rPr>
          <w:rFonts w:cs="Times New Roman"/>
        </w:rPr>
        <w:t>te, etwa über den Charakter der Person, über ihre Einschätzung der eigenen F</w:t>
      </w:r>
      <w:r>
        <w:rPr>
          <w:rFonts w:cs="Times New Roman"/>
        </w:rPr>
        <w:t>ä</w:t>
      </w:r>
      <w:r>
        <w:rPr>
          <w:rFonts w:cs="Times New Roman"/>
        </w:rPr>
        <w:t>higkeiten, ihre Einstellung zu anderen usw. Dies wird vor allem dann relevant, wenn ich die Person am Steuer erkannt habe oder annehme, dass mein Freund sie (aufgrund einer Beschreibung von Person und Auto) erkennen könnte. In diesem Fall handelt es sich um eine Information, die unter (4) fällt.</w:t>
      </w:r>
    </w:p>
    <w:p w:rsidR="00E27AE3" w:rsidRDefault="00E27AE3" w:rsidP="00E27AE3">
      <w:pPr>
        <w:pStyle w:val="Text"/>
        <w:rPr>
          <w:rFonts w:cs="Times New Roman"/>
        </w:rPr>
      </w:pPr>
      <w:r>
        <w:rPr>
          <w:rFonts w:cs="Times New Roman"/>
        </w:rPr>
        <w:t xml:space="preserve">Was tue ich aber, wenn ich Abbiegen mit quietschenden Reifen als Merkmal eines Fahrstils betrachte? In diesem </w:t>
      </w:r>
      <w:r w:rsidR="008A1F23">
        <w:rPr>
          <w:rFonts w:cs="Times New Roman"/>
        </w:rPr>
        <w:t xml:space="preserve">Fall habe ich (a) einen Typ von </w:t>
      </w:r>
      <w:r>
        <w:rPr>
          <w:rFonts w:cs="Times New Roman"/>
        </w:rPr>
        <w:t>Realisi</w:t>
      </w:r>
      <w:r>
        <w:rPr>
          <w:rFonts w:cs="Times New Roman"/>
        </w:rPr>
        <w:t>e</w:t>
      </w:r>
      <w:r>
        <w:rPr>
          <w:rFonts w:cs="Times New Roman"/>
        </w:rPr>
        <w:t>rungsstelle</w:t>
      </w:r>
      <w:r w:rsidR="008A1F23">
        <w:rPr>
          <w:rFonts w:cs="Times New Roman"/>
        </w:rPr>
        <w:t xml:space="preserve"> identifiziert, der durch die Zugehörigkeit zu einem Schemaort</w:t>
      </w:r>
      <w:r>
        <w:rPr>
          <w:rFonts w:cs="Times New Roman"/>
        </w:rPr>
        <w:t xml:space="preserve"> (</w:t>
      </w:r>
      <w:r w:rsidR="008A1F23">
        <w:rPr>
          <w:rFonts w:cs="Times New Roman"/>
        </w:rPr>
        <w:t>‚</w:t>
      </w:r>
      <w:r>
        <w:rPr>
          <w:rFonts w:cs="Times New Roman"/>
        </w:rPr>
        <w:t>A</w:t>
      </w:r>
      <w:r>
        <w:rPr>
          <w:rFonts w:cs="Times New Roman"/>
        </w:rPr>
        <w:t>b</w:t>
      </w:r>
      <w:r>
        <w:rPr>
          <w:rFonts w:cs="Times New Roman"/>
        </w:rPr>
        <w:t>biegen</w:t>
      </w:r>
      <w:r w:rsidR="008A1F23">
        <w:rPr>
          <w:rFonts w:cs="Times New Roman"/>
        </w:rPr>
        <w:t>‘</w:t>
      </w:r>
      <w:r>
        <w:rPr>
          <w:rFonts w:cs="Times New Roman"/>
        </w:rPr>
        <w:t xml:space="preserve">) </w:t>
      </w:r>
      <w:r w:rsidR="008A1F23">
        <w:rPr>
          <w:rFonts w:cs="Times New Roman"/>
        </w:rPr>
        <w:t>gekennzeichnet ist,</w:t>
      </w:r>
      <w:r w:rsidR="00005FDE">
        <w:rPr>
          <w:rFonts w:cs="Times New Roman"/>
        </w:rPr>
        <w:t xml:space="preserve"> </w:t>
      </w:r>
      <w:r w:rsidR="008A1F23">
        <w:rPr>
          <w:rFonts w:cs="Times New Roman"/>
        </w:rPr>
        <w:t xml:space="preserve">und </w:t>
      </w:r>
      <w:r>
        <w:rPr>
          <w:rFonts w:cs="Times New Roman"/>
        </w:rPr>
        <w:t>(b) eine Eigensc</w:t>
      </w:r>
      <w:r w:rsidR="008A1F23">
        <w:rPr>
          <w:rFonts w:cs="Times New Roman"/>
        </w:rPr>
        <w:t>haft der konkreten Ausführung (‚</w:t>
      </w:r>
      <w:r>
        <w:rPr>
          <w:rFonts w:cs="Times New Roman"/>
        </w:rPr>
        <w:t>mit quietschenden Reifen</w:t>
      </w:r>
      <w:r w:rsidR="008A1F23">
        <w:rPr>
          <w:rFonts w:cs="Times New Roman"/>
        </w:rPr>
        <w:t>‘</w:t>
      </w:r>
      <w:r>
        <w:rPr>
          <w:rFonts w:cs="Times New Roman"/>
        </w:rPr>
        <w:t>) ausgesondert</w:t>
      </w:r>
      <w:r w:rsidR="00005FDE">
        <w:rPr>
          <w:rFonts w:cs="Times New Roman"/>
        </w:rPr>
        <w:t>, von der ich annehme, dass sie dort wieder auftreten könnte</w:t>
      </w:r>
      <w:r>
        <w:rPr>
          <w:rFonts w:cs="Times New Roman"/>
        </w:rPr>
        <w:t>. Überlegen wir, was dies voraussetzt:</w:t>
      </w:r>
    </w:p>
    <w:p w:rsidR="00005FDE" w:rsidRDefault="00E27AE3" w:rsidP="00064830">
      <w:pPr>
        <w:pStyle w:val="Text"/>
        <w:ind w:firstLine="0"/>
        <w:rPr>
          <w:rFonts w:cs="Times New Roman"/>
        </w:rPr>
      </w:pPr>
      <w:r>
        <w:rPr>
          <w:rFonts w:cs="Times New Roman"/>
        </w:rPr>
        <w:t>–</w:t>
      </w:r>
      <w:r>
        <w:rPr>
          <w:rFonts w:cs="Times New Roman"/>
        </w:rPr>
        <w:tab/>
        <w:t xml:space="preserve">Wäre die konkrete Situation der Anlass gewesen, beispielsweise aufgrund eines unerwartet auf die Straße laufenden </w:t>
      </w:r>
      <w:r w:rsidR="00BA17EF">
        <w:rPr>
          <w:rFonts w:cs="Times New Roman"/>
        </w:rPr>
        <w:t>Fußgängers</w:t>
      </w:r>
      <w:r>
        <w:rPr>
          <w:rFonts w:cs="Times New Roman"/>
        </w:rPr>
        <w:t xml:space="preserve">, </w:t>
      </w:r>
      <w:r w:rsidR="00005FDE">
        <w:rPr>
          <w:rFonts w:cs="Times New Roman"/>
        </w:rPr>
        <w:t>würde der Typ von Real</w:t>
      </w:r>
      <w:r w:rsidR="00005FDE">
        <w:rPr>
          <w:rFonts w:cs="Times New Roman"/>
        </w:rPr>
        <w:t>i</w:t>
      </w:r>
      <w:r w:rsidR="00005FDE">
        <w:rPr>
          <w:rFonts w:cs="Times New Roman"/>
        </w:rPr>
        <w:t>sierungsstelle für das beobachtete Phänomen keine besondere Rolle spielen</w:t>
      </w:r>
      <w:r>
        <w:rPr>
          <w:rFonts w:cs="Times New Roman"/>
        </w:rPr>
        <w:t xml:space="preserve">: </w:t>
      </w:r>
      <w:r w:rsidR="00005FDE">
        <w:rPr>
          <w:rFonts w:cs="Times New Roman"/>
        </w:rPr>
        <w:t xml:space="preserve">Vermutlich </w:t>
      </w:r>
      <w:r>
        <w:rPr>
          <w:rFonts w:cs="Times New Roman"/>
        </w:rPr>
        <w:t xml:space="preserve">hätten die Reifen genauso gequietscht, wenn </w:t>
      </w:r>
      <w:r w:rsidR="00BA17EF">
        <w:rPr>
          <w:rFonts w:cs="Times New Roman"/>
        </w:rPr>
        <w:t xml:space="preserve">der Fußgänger </w:t>
      </w:r>
      <w:r>
        <w:rPr>
          <w:rFonts w:cs="Times New Roman"/>
        </w:rPr>
        <w:t>auf g</w:t>
      </w:r>
      <w:r>
        <w:rPr>
          <w:rFonts w:cs="Times New Roman"/>
        </w:rPr>
        <w:t>e</w:t>
      </w:r>
      <w:r>
        <w:rPr>
          <w:rFonts w:cs="Times New Roman"/>
        </w:rPr>
        <w:t>rader Strecke Anlass zu einem Ausweichmanöver gegeben hätte.</w:t>
      </w:r>
      <w:r w:rsidR="00005FDE">
        <w:rPr>
          <w:rFonts w:cs="Times New Roman"/>
        </w:rPr>
        <w:t xml:space="preserve"> </w:t>
      </w:r>
      <w:r w:rsidR="002B4F19">
        <w:rPr>
          <w:rFonts w:cs="Times New Roman"/>
        </w:rPr>
        <w:t>Es gäbe also keine Verbindung zwischen dem Typ von Realisierungsstelle un</w:t>
      </w:r>
      <w:r w:rsidR="00005FDE">
        <w:rPr>
          <w:rFonts w:cs="Times New Roman"/>
        </w:rPr>
        <w:t>d der auftrete</w:t>
      </w:r>
      <w:r w:rsidR="00005FDE">
        <w:rPr>
          <w:rFonts w:cs="Times New Roman"/>
        </w:rPr>
        <w:t>n</w:t>
      </w:r>
      <w:r w:rsidR="00005FDE">
        <w:rPr>
          <w:rFonts w:cs="Times New Roman"/>
        </w:rPr>
        <w:t>den Eigenschaft.</w:t>
      </w:r>
    </w:p>
    <w:p w:rsidR="002B4F19" w:rsidRDefault="00005FDE" w:rsidP="00064830">
      <w:pPr>
        <w:pStyle w:val="Text"/>
        <w:ind w:firstLine="0"/>
        <w:rPr>
          <w:rFonts w:cs="Times New Roman"/>
        </w:rPr>
      </w:pPr>
      <w:r>
        <w:rPr>
          <w:rFonts w:cs="Times New Roman"/>
        </w:rPr>
        <w:t>–</w:t>
      </w:r>
      <w:r>
        <w:rPr>
          <w:rFonts w:cs="Times New Roman"/>
        </w:rPr>
        <w:tab/>
        <w:t>Wäre die Situation der Anlass gewesen, gäbe es zudem keinen Grund, das Ereignis speziell mit de</w:t>
      </w:r>
      <w:r w:rsidR="00C633A1">
        <w:rPr>
          <w:rFonts w:cs="Times New Roman"/>
        </w:rPr>
        <w:t xml:space="preserve">m Fahrer </w:t>
      </w:r>
      <w:r>
        <w:rPr>
          <w:rFonts w:cs="Times New Roman"/>
        </w:rPr>
        <w:t>zu verbinden; man würde eher auf entspreche</w:t>
      </w:r>
      <w:r>
        <w:rPr>
          <w:rFonts w:cs="Times New Roman"/>
        </w:rPr>
        <w:t>n</w:t>
      </w:r>
      <w:r>
        <w:rPr>
          <w:rFonts w:cs="Times New Roman"/>
        </w:rPr>
        <w:t>de Sit</w:t>
      </w:r>
      <w:r w:rsidR="00BA17EF">
        <w:rPr>
          <w:rFonts w:cs="Times New Roman"/>
        </w:rPr>
        <w:t>uationen achten (beispielsweise schlecht gesicherte Fußgängerüberwege</w:t>
      </w:r>
      <w:r>
        <w:rPr>
          <w:rFonts w:cs="Times New Roman"/>
        </w:rPr>
        <w:t xml:space="preserve">) </w:t>
      </w:r>
      <w:r>
        <w:rPr>
          <w:rFonts w:cs="Times New Roman"/>
        </w:rPr>
        <w:lastRenderedPageBreak/>
        <w:t xml:space="preserve">und dort mit einer Wiederholung des Reifenquietschens rechnen, als bei </w:t>
      </w:r>
      <w:r w:rsidR="00C633A1">
        <w:rPr>
          <w:rFonts w:cs="Times New Roman"/>
        </w:rPr>
        <w:t>einer Autofahrt des Fahrers.</w:t>
      </w:r>
    </w:p>
    <w:p w:rsidR="00E27AE3" w:rsidRDefault="00E27AE3" w:rsidP="0047705E">
      <w:pPr>
        <w:pStyle w:val="Text"/>
        <w:ind w:firstLine="0"/>
        <w:rPr>
          <w:rFonts w:cs="Times New Roman"/>
        </w:rPr>
      </w:pPr>
      <w:r>
        <w:rPr>
          <w:rFonts w:cs="Times New Roman"/>
        </w:rPr>
        <w:t>–</w:t>
      </w:r>
      <w:r>
        <w:rPr>
          <w:rFonts w:cs="Times New Roman"/>
        </w:rPr>
        <w:tab/>
        <w:t>Die konkrete Ausführungsweise des Abbiegens hat potentiell unendlich viele Eigenschaften.</w:t>
      </w:r>
      <w:r w:rsidR="00982108">
        <w:rPr>
          <w:rStyle w:val="Funotenzeichen"/>
          <w:rFonts w:cs="Times New Roman"/>
        </w:rPr>
        <w:footnoteReference w:id="124"/>
      </w:r>
      <w:r>
        <w:rPr>
          <w:rFonts w:cs="Times New Roman"/>
        </w:rPr>
        <w:t xml:space="preserve"> Sie hat nicht nur einen bestimmten Radius, Geschwindi</w:t>
      </w:r>
      <w:r>
        <w:rPr>
          <w:rFonts w:cs="Times New Roman"/>
        </w:rPr>
        <w:t>g</w:t>
      </w:r>
      <w:r>
        <w:rPr>
          <w:rFonts w:cs="Times New Roman"/>
        </w:rPr>
        <w:t>keit, Zeitdauer und Form auf der Straße, sie findet auch zu einer bestimmten Uhrzeit statt, mit oder ohne Mitfahrer, in einem bestimmten Fahrzeug, das wi</w:t>
      </w:r>
      <w:r>
        <w:rPr>
          <w:rFonts w:cs="Times New Roman"/>
        </w:rPr>
        <w:t>e</w:t>
      </w:r>
      <w:r>
        <w:rPr>
          <w:rFonts w:cs="Times New Roman"/>
        </w:rPr>
        <w:t>derum ein bestimmtes Alter, technische Eig</w:t>
      </w:r>
      <w:r w:rsidR="00982108">
        <w:rPr>
          <w:rFonts w:cs="Times New Roman"/>
        </w:rPr>
        <w:t>enschaften und evt. Defekte hat</w:t>
      </w:r>
      <w:r>
        <w:rPr>
          <w:rFonts w:cs="Times New Roman"/>
        </w:rPr>
        <w:t xml:space="preserve">. Diese und viele weitere Eigenschaften der konkreten Ausführungsweise wurden </w:t>
      </w:r>
      <w:r w:rsidR="006F7438">
        <w:rPr>
          <w:rFonts w:cs="Times New Roman"/>
        </w:rPr>
        <w:t>beiseite gelassen</w:t>
      </w:r>
      <w:r>
        <w:rPr>
          <w:rFonts w:cs="Times New Roman"/>
        </w:rPr>
        <w:t xml:space="preserve">, </w:t>
      </w:r>
      <w:r w:rsidR="008C7AE1">
        <w:rPr>
          <w:rFonts w:cs="Times New Roman"/>
        </w:rPr>
        <w:t xml:space="preserve">wenn </w:t>
      </w:r>
      <w:r w:rsidR="002B4F19">
        <w:rPr>
          <w:rFonts w:cs="Times New Roman"/>
        </w:rPr>
        <w:t>die Eigenschaft ‚mit quietschenden Reifen‘</w:t>
      </w:r>
      <w:r w:rsidR="007B3341">
        <w:rPr>
          <w:rFonts w:cs="Times New Roman"/>
        </w:rPr>
        <w:t xml:space="preserve"> </w:t>
      </w:r>
      <w:r w:rsidR="002B4F19">
        <w:rPr>
          <w:rFonts w:cs="Times New Roman"/>
        </w:rPr>
        <w:t>zur Bildung des Merkmals verwendet</w:t>
      </w:r>
      <w:r w:rsidR="008C7AE1">
        <w:rPr>
          <w:rFonts w:cs="Times New Roman"/>
        </w:rPr>
        <w:t xml:space="preserve"> wird;</w:t>
      </w:r>
      <w:r>
        <w:rPr>
          <w:rFonts w:cs="Times New Roman"/>
        </w:rPr>
        <w:t xml:space="preserve"> </w:t>
      </w:r>
      <w:r w:rsidR="008C7AE1">
        <w:rPr>
          <w:rFonts w:cs="Times New Roman"/>
        </w:rPr>
        <w:t>i</w:t>
      </w:r>
      <w:r w:rsidR="006F7438">
        <w:rPr>
          <w:rFonts w:cs="Times New Roman"/>
        </w:rPr>
        <w:t xml:space="preserve">n </w:t>
      </w:r>
      <w:r>
        <w:rPr>
          <w:rFonts w:cs="Times New Roman"/>
        </w:rPr>
        <w:t>anderen Kontexten (etwa in einem Unfallb</w:t>
      </w:r>
      <w:r>
        <w:rPr>
          <w:rFonts w:cs="Times New Roman"/>
        </w:rPr>
        <w:t>e</w:t>
      </w:r>
      <w:r>
        <w:rPr>
          <w:rFonts w:cs="Times New Roman"/>
        </w:rPr>
        <w:t xml:space="preserve">richt) </w:t>
      </w:r>
      <w:r w:rsidR="002B4F19">
        <w:rPr>
          <w:rFonts w:cs="Times New Roman"/>
        </w:rPr>
        <w:t xml:space="preserve">könnten </w:t>
      </w:r>
      <w:r w:rsidR="008C7AE1">
        <w:rPr>
          <w:rFonts w:cs="Times New Roman"/>
        </w:rPr>
        <w:t xml:space="preserve">sie jedoch </w:t>
      </w:r>
      <w:r>
        <w:rPr>
          <w:rFonts w:cs="Times New Roman"/>
        </w:rPr>
        <w:t>durchaus relevant sein.</w:t>
      </w:r>
    </w:p>
    <w:p w:rsidR="00E27AE3" w:rsidRDefault="00E27AE3" w:rsidP="00E27AE3">
      <w:pPr>
        <w:pStyle w:val="Text"/>
        <w:rPr>
          <w:rFonts w:cs="Times New Roman"/>
        </w:rPr>
      </w:pPr>
      <w:r>
        <w:rPr>
          <w:rFonts w:cs="Times New Roman"/>
        </w:rPr>
        <w:t>Um ein stilistisches Merkmal zu bilden, haben wir also eine konkrete Eige</w:t>
      </w:r>
      <w:r>
        <w:rPr>
          <w:rFonts w:cs="Times New Roman"/>
        </w:rPr>
        <w:t>n</w:t>
      </w:r>
      <w:r>
        <w:rPr>
          <w:rFonts w:cs="Times New Roman"/>
        </w:rPr>
        <w:t>schaft als stilistisch relevant angenommen</w:t>
      </w:r>
      <w:r w:rsidR="002C7C52">
        <w:rPr>
          <w:rFonts w:cs="Times New Roman"/>
        </w:rPr>
        <w:t xml:space="preserve">, </w:t>
      </w:r>
      <w:r>
        <w:rPr>
          <w:rFonts w:cs="Times New Roman"/>
        </w:rPr>
        <w:t>festgelegt, auf welchen Typ von Re</w:t>
      </w:r>
      <w:r>
        <w:rPr>
          <w:rFonts w:cs="Times New Roman"/>
        </w:rPr>
        <w:t>a</w:t>
      </w:r>
      <w:r>
        <w:rPr>
          <w:rFonts w:cs="Times New Roman"/>
        </w:rPr>
        <w:t>lisierungsstelle wir diese beziehen wollen</w:t>
      </w:r>
      <w:r w:rsidR="002C7C52">
        <w:rPr>
          <w:rFonts w:cs="Times New Roman"/>
        </w:rPr>
        <w:t>, und Faktoren ausgeschlossen, die durch die konkrete Situation bedingt sind</w:t>
      </w:r>
      <w:r>
        <w:rPr>
          <w:rFonts w:cs="Times New Roman"/>
        </w:rPr>
        <w:t>. Um ein stilistisches Merkmal zu b</w:t>
      </w:r>
      <w:r>
        <w:rPr>
          <w:rFonts w:cs="Times New Roman"/>
        </w:rPr>
        <w:t>e</w:t>
      </w:r>
      <w:r>
        <w:rPr>
          <w:rFonts w:cs="Times New Roman"/>
        </w:rPr>
        <w:t xml:space="preserve">stimmen, haben wir eine </w:t>
      </w:r>
      <w:r>
        <w:rPr>
          <w:rFonts w:cs="Times New Roman"/>
          <w:i/>
        </w:rPr>
        <w:t>Regel</w:t>
      </w:r>
      <w:r w:rsidR="00725BAD">
        <w:rPr>
          <w:rFonts w:cs="Times New Roman"/>
          <w:i/>
        </w:rPr>
        <w:t>mäßigkeit</w:t>
      </w:r>
      <w:r w:rsidR="004927CF">
        <w:rPr>
          <w:rFonts w:cs="Times New Roman"/>
          <w:i/>
        </w:rPr>
        <w:t xml:space="preserve"> bei der Erzeugung der Realisierung</w:t>
      </w:r>
      <w:r>
        <w:rPr>
          <w:rFonts w:cs="Times New Roman"/>
          <w:i/>
        </w:rPr>
        <w:t xml:space="preserve"> </w:t>
      </w:r>
      <w:r w:rsidR="004927CF">
        <w:rPr>
          <w:rFonts w:cs="Times New Roman"/>
        </w:rPr>
        <w:t>ang</w:t>
      </w:r>
      <w:r w:rsidR="004927CF">
        <w:rPr>
          <w:rFonts w:cs="Times New Roman"/>
        </w:rPr>
        <w:t>e</w:t>
      </w:r>
      <w:r w:rsidR="004927CF">
        <w:rPr>
          <w:rFonts w:cs="Times New Roman"/>
        </w:rPr>
        <w:t>nommen</w:t>
      </w:r>
      <w:r w:rsidR="00DE582B">
        <w:rPr>
          <w:rFonts w:cs="Times New Roman"/>
        </w:rPr>
        <w:t>, die die beobachtete(n) Eigenschaft(en) verursacht hat.</w:t>
      </w:r>
    </w:p>
    <w:p w:rsidR="00E27AE3" w:rsidRDefault="00E27AE3" w:rsidP="00E27AE3">
      <w:pPr>
        <w:pStyle w:val="Text"/>
        <w:rPr>
          <w:rFonts w:cs="Times New Roman"/>
        </w:rPr>
      </w:pPr>
      <w:r>
        <w:rPr>
          <w:rFonts w:cs="Times New Roman"/>
        </w:rPr>
        <w:t>Wenn wir dies willkürlich tun, haben wir wenig gewonnen. Es müssen also Kriterien gefunden werden, nach denen man diese beiden Festlegungen auf eine Weise treffen kann, die nicht beliebig ist. Wie dies erfolgt, wird später erläutert (in Kapitel 4 und 5). Vorläufig reicht es, sich zweierlei klarzumachen:</w:t>
      </w:r>
    </w:p>
    <w:p w:rsidR="00E27AE3" w:rsidRDefault="00E27AE3" w:rsidP="00E27AE3">
      <w:pPr>
        <w:pStyle w:val="Text"/>
        <w:rPr>
          <w:rFonts w:cs="Times New Roman"/>
        </w:rPr>
      </w:pPr>
      <w:r>
        <w:rPr>
          <w:rFonts w:cs="Times New Roman"/>
        </w:rPr>
        <w:t>(1)</w:t>
      </w:r>
      <w:r>
        <w:rPr>
          <w:rFonts w:cs="Times New Roman"/>
        </w:rPr>
        <w:tab/>
        <w:t>D</w:t>
      </w:r>
      <w:r w:rsidR="00400367">
        <w:rPr>
          <w:rFonts w:cs="Times New Roman"/>
        </w:rPr>
        <w:t>as</w:t>
      </w:r>
      <w:r>
        <w:rPr>
          <w:rFonts w:cs="Times New Roman"/>
        </w:rPr>
        <w:t xml:space="preserve"> </w:t>
      </w:r>
      <w:r w:rsidR="00400367">
        <w:rPr>
          <w:rFonts w:cs="Times New Roman"/>
        </w:rPr>
        <w:t xml:space="preserve">Feststellen </w:t>
      </w:r>
      <w:r>
        <w:rPr>
          <w:rFonts w:cs="Times New Roman"/>
        </w:rPr>
        <w:t xml:space="preserve">eines stilistischen Merkmals setzt die </w:t>
      </w:r>
      <w:r w:rsidR="00DE582B">
        <w:rPr>
          <w:rFonts w:cs="Times New Roman"/>
        </w:rPr>
        <w:t xml:space="preserve">Wahrnehmung </w:t>
      </w:r>
      <w:r>
        <w:rPr>
          <w:rFonts w:cs="Times New Roman"/>
        </w:rPr>
        <w:t>einer Regel</w:t>
      </w:r>
      <w:r w:rsidR="00DE582B">
        <w:rPr>
          <w:rFonts w:cs="Times New Roman"/>
        </w:rPr>
        <w:t>mäßigkeit voraus, die die an bestimmten Realisierungsstellen festg</w:t>
      </w:r>
      <w:r w:rsidR="00DE582B">
        <w:rPr>
          <w:rFonts w:cs="Times New Roman"/>
        </w:rPr>
        <w:t>e</w:t>
      </w:r>
      <w:r w:rsidR="00DE582B">
        <w:rPr>
          <w:rFonts w:cs="Times New Roman"/>
        </w:rPr>
        <w:t>stellten Eigenschaften erzeugt hat.</w:t>
      </w:r>
    </w:p>
    <w:p w:rsidR="00E27AE3" w:rsidRDefault="00E27AE3" w:rsidP="00E27AE3">
      <w:pPr>
        <w:pStyle w:val="Text"/>
        <w:rPr>
          <w:rFonts w:cs="Times New Roman"/>
        </w:rPr>
      </w:pPr>
      <w:r>
        <w:rPr>
          <w:rFonts w:cs="Times New Roman"/>
        </w:rPr>
        <w:t>(2)</w:t>
      </w:r>
      <w:r>
        <w:rPr>
          <w:rFonts w:cs="Times New Roman"/>
        </w:rPr>
        <w:tab/>
        <w:t>Nur wenn diese Regel</w:t>
      </w:r>
      <w:r w:rsidR="00725BAD">
        <w:rPr>
          <w:rFonts w:cs="Times New Roman"/>
        </w:rPr>
        <w:t>mäßigkeit</w:t>
      </w:r>
      <w:r>
        <w:rPr>
          <w:rFonts w:cs="Times New Roman"/>
        </w:rPr>
        <w:t xml:space="preserve"> (mehr oder minder) richtig erkannt wird, können sinnvolle Schlüsse </w:t>
      </w:r>
      <w:r w:rsidR="00073649">
        <w:rPr>
          <w:rFonts w:cs="Times New Roman"/>
        </w:rPr>
        <w:t>(unter anderem auf zukünftige Verhaltenswe</w:t>
      </w:r>
      <w:r w:rsidR="00073649">
        <w:rPr>
          <w:rFonts w:cs="Times New Roman"/>
        </w:rPr>
        <w:t>i</w:t>
      </w:r>
      <w:r w:rsidR="00073649">
        <w:rPr>
          <w:rFonts w:cs="Times New Roman"/>
        </w:rPr>
        <w:t>sen des Stil</w:t>
      </w:r>
      <w:r w:rsidR="00C75387">
        <w:rPr>
          <w:rFonts w:cs="Times New Roman"/>
        </w:rPr>
        <w:t>anwender</w:t>
      </w:r>
      <w:r w:rsidR="00073649">
        <w:rPr>
          <w:rFonts w:cs="Times New Roman"/>
        </w:rPr>
        <w:t xml:space="preserve">s) </w:t>
      </w:r>
      <w:r>
        <w:rPr>
          <w:rFonts w:cs="Times New Roman"/>
        </w:rPr>
        <w:t>gezogen werden.</w:t>
      </w:r>
    </w:p>
    <w:p w:rsidR="00E27AE3" w:rsidRPr="001E6B4A" w:rsidRDefault="00E27AE3" w:rsidP="0070095A">
      <w:pPr>
        <w:pStyle w:val="Text"/>
        <w:rPr>
          <w:rFonts w:cs="Times New Roman"/>
        </w:rPr>
      </w:pPr>
      <w:r>
        <w:rPr>
          <w:rFonts w:cs="Times New Roman"/>
        </w:rPr>
        <w:t xml:space="preserve">Es handelt sich also bei den in (4) spezifizierten Informationen um solche, die sich erst aus </w:t>
      </w:r>
      <w:r w:rsidR="00725BAD" w:rsidRPr="00781C9F">
        <w:rPr>
          <w:rFonts w:cs="Times New Roman"/>
        </w:rPr>
        <w:t>Regelmäßigkeiten</w:t>
      </w:r>
      <w:r w:rsidR="004927CF" w:rsidRPr="00781C9F">
        <w:rPr>
          <w:rFonts w:cs="Times New Roman"/>
        </w:rPr>
        <w:t xml:space="preserve"> bei der </w:t>
      </w:r>
      <w:r w:rsidRPr="00781C9F">
        <w:rPr>
          <w:rFonts w:cs="Times New Roman"/>
        </w:rPr>
        <w:t>Erzeugung einer Realisierung</w:t>
      </w:r>
      <w:r>
        <w:rPr>
          <w:rFonts w:cs="Times New Roman"/>
        </w:rPr>
        <w:t xml:space="preserve"> erklären lassen.</w:t>
      </w:r>
      <w:r w:rsidR="00894711">
        <w:rPr>
          <w:rFonts w:cs="Times New Roman"/>
        </w:rPr>
        <w:t xml:space="preserve"> Wir kommen darauf in Abschnitt </w:t>
      </w:r>
      <w:r w:rsidR="005D7996">
        <w:rPr>
          <w:rFonts w:cs="Times New Roman"/>
        </w:rPr>
        <w:fldChar w:fldCharType="begin"/>
      </w:r>
      <w:r w:rsidR="00894711">
        <w:rPr>
          <w:rFonts w:cs="Times New Roman"/>
        </w:rPr>
        <w:instrText xml:space="preserve"> REF _Ref273598904 \r \h </w:instrText>
      </w:r>
      <w:r w:rsidR="005D7996">
        <w:rPr>
          <w:rFonts w:cs="Times New Roman"/>
        </w:rPr>
      </w:r>
      <w:r w:rsidR="005D7996">
        <w:rPr>
          <w:rFonts w:cs="Times New Roman"/>
        </w:rPr>
        <w:fldChar w:fldCharType="separate"/>
      </w:r>
      <w:r w:rsidR="001231D3">
        <w:rPr>
          <w:rFonts w:cs="Times New Roman"/>
        </w:rPr>
        <w:t>2.10</w:t>
      </w:r>
      <w:r w:rsidR="005D7996">
        <w:rPr>
          <w:rFonts w:cs="Times New Roman"/>
        </w:rPr>
        <w:fldChar w:fldCharType="end"/>
      </w:r>
      <w:r w:rsidR="00894711">
        <w:rPr>
          <w:rFonts w:cs="Times New Roman"/>
        </w:rPr>
        <w:t xml:space="preserve"> zurück.</w:t>
      </w:r>
    </w:p>
    <w:p w:rsidR="00204861" w:rsidRDefault="00DA77D5" w:rsidP="00204861">
      <w:pPr>
        <w:pStyle w:val="Titel2"/>
      </w:pPr>
      <w:bookmarkStart w:id="75" w:name="_Ref273631294"/>
      <w:bookmarkStart w:id="76" w:name="_Toc325456703"/>
      <w:bookmarkEnd w:id="72"/>
      <w:r>
        <w:t xml:space="preserve">Information als Verhältnis von </w:t>
      </w:r>
      <w:r w:rsidR="00451103">
        <w:t xml:space="preserve">Alternativenklassen </w:t>
      </w:r>
      <w:r>
        <w:t>und Realisierung</w:t>
      </w:r>
      <w:bookmarkEnd w:id="75"/>
      <w:bookmarkEnd w:id="76"/>
    </w:p>
    <w:p w:rsidR="00035CBA" w:rsidRDefault="000C7CE0" w:rsidP="00CD3E04">
      <w:pPr>
        <w:pStyle w:val="Text"/>
        <w:ind w:firstLine="0"/>
      </w:pPr>
      <w:r>
        <w:t xml:space="preserve">Man kann sich dem Problem </w:t>
      </w:r>
      <w:r w:rsidR="00EF405E">
        <w:t xml:space="preserve">der stilistischen Merkmale </w:t>
      </w:r>
      <w:r w:rsidR="00035CBA">
        <w:t>noch einmal</w:t>
      </w:r>
      <w:r>
        <w:t xml:space="preserve"> </w:t>
      </w:r>
      <w:r w:rsidR="00B162F8">
        <w:t>von einer anderen Seite</w:t>
      </w:r>
      <w:r>
        <w:t xml:space="preserve"> nähern</w:t>
      </w:r>
      <w:r w:rsidR="00B162F8">
        <w:t xml:space="preserve">, nämlich </w:t>
      </w:r>
      <w:r>
        <w:t xml:space="preserve">ausgehend von </w:t>
      </w:r>
      <w:r w:rsidR="00B162F8">
        <w:t>der Frage: Wie können Stile I</w:t>
      </w:r>
      <w:r w:rsidR="00B162F8">
        <w:t>n</w:t>
      </w:r>
      <w:r w:rsidR="00B162F8">
        <w:t>formationen von einem</w:t>
      </w:r>
      <w:r w:rsidR="002A2F5D">
        <w:t xml:space="preserve"> </w:t>
      </w:r>
      <w:r w:rsidR="0022253A">
        <w:t>Stila</w:t>
      </w:r>
      <w:r w:rsidR="002A2F5D">
        <w:t>nwender</w:t>
      </w:r>
      <w:r w:rsidR="00035CBA">
        <w:t xml:space="preserve"> </w:t>
      </w:r>
      <w:r w:rsidR="0022253A">
        <w:t>zu einem</w:t>
      </w:r>
      <w:r w:rsidR="00035CBA">
        <w:t xml:space="preserve"> </w:t>
      </w:r>
      <w:r w:rsidR="0022253A">
        <w:t>Stil</w:t>
      </w:r>
      <w:r w:rsidR="005D6366">
        <w:t>wahrnehmer</w:t>
      </w:r>
      <w:r w:rsidR="00035CBA">
        <w:t xml:space="preserve"> übertragen?</w:t>
      </w:r>
    </w:p>
    <w:p w:rsidR="00745FD8" w:rsidRDefault="00B162F8" w:rsidP="00204861">
      <w:pPr>
        <w:pStyle w:val="Text"/>
      </w:pPr>
      <w:r>
        <w:t xml:space="preserve">Stil kann </w:t>
      </w:r>
      <w:r w:rsidR="00C046DA">
        <w:t xml:space="preserve">zwar bei </w:t>
      </w:r>
      <w:r>
        <w:t>Zeichen</w:t>
      </w:r>
      <w:r w:rsidR="00F52681">
        <w:t>gebrauch</w:t>
      </w:r>
      <w:r>
        <w:t xml:space="preserve"> </w:t>
      </w:r>
      <w:r w:rsidR="00C046DA">
        <w:t xml:space="preserve">vorkommen </w:t>
      </w:r>
      <w:r>
        <w:t xml:space="preserve">(etwa </w:t>
      </w:r>
      <w:r w:rsidR="00C046DA">
        <w:t xml:space="preserve">im Fall von </w:t>
      </w:r>
      <w:r>
        <w:t>Textst</w:t>
      </w:r>
      <w:r>
        <w:t>i</w:t>
      </w:r>
      <w:r>
        <w:t xml:space="preserve">len), aber es war bereits festgestellt worden, dass die übermittelte Information </w:t>
      </w:r>
      <w:r w:rsidR="00D762AD">
        <w:lastRenderedPageBreak/>
        <w:t xml:space="preserve">dabei </w:t>
      </w:r>
      <w:r>
        <w:t xml:space="preserve">nicht </w:t>
      </w:r>
      <w:r w:rsidR="00FA4AB9">
        <w:t xml:space="preserve">aus den </w:t>
      </w:r>
      <w:r w:rsidR="00F52681">
        <w:t xml:space="preserve">gebrauchten </w:t>
      </w:r>
      <w:r>
        <w:t xml:space="preserve">Zeichen </w:t>
      </w:r>
      <w:r w:rsidR="00FA4AB9">
        <w:t>abgeleitet wird</w:t>
      </w:r>
      <w:r>
        <w:t>.</w:t>
      </w:r>
      <w:r>
        <w:rPr>
          <w:rStyle w:val="Funotenzeichen"/>
        </w:rPr>
        <w:footnoteReference w:id="125"/>
      </w:r>
      <w:r>
        <w:t xml:space="preserve"> Bei Realisierungen, die überhaupt keine Zeichen enthalten, ist das Problem noch offensichtlicher.</w:t>
      </w:r>
      <w:r w:rsidR="004B3CA5">
        <w:t xml:space="preserve"> </w:t>
      </w:r>
      <w:r>
        <w:t>Die Frage lautet</w:t>
      </w:r>
      <w:r w:rsidR="004B3CA5">
        <w:t xml:space="preserve"> somit</w:t>
      </w:r>
      <w:r>
        <w:t xml:space="preserve">: Wie kommt die Information in den Stil? Dieses Problem konnte von der bisherigen </w:t>
      </w:r>
      <w:r w:rsidR="00745FD8">
        <w:t xml:space="preserve">stiltheoretischen </w:t>
      </w:r>
      <w:r>
        <w:t xml:space="preserve">Literatur nicht befriedigend gelöst werden, ja es wurde </w:t>
      </w:r>
      <w:r w:rsidR="00C046DA">
        <w:t xml:space="preserve">meist </w:t>
      </w:r>
      <w:r w:rsidR="000131E3">
        <w:t>gar nicht erkannt.</w:t>
      </w:r>
    </w:p>
    <w:p w:rsidR="007D450C" w:rsidRDefault="007D450C" w:rsidP="00204861">
      <w:pPr>
        <w:pStyle w:val="Text"/>
      </w:pPr>
      <w:r>
        <w:t>Bei</w:t>
      </w:r>
      <w:r w:rsidR="00400367">
        <w:t>m</w:t>
      </w:r>
      <w:r>
        <w:t xml:space="preserve"> </w:t>
      </w:r>
      <w:r w:rsidR="00400367">
        <w:t>Wahrnehmen</w:t>
      </w:r>
      <w:r>
        <w:t xml:space="preserve"> eines Stils wird </w:t>
      </w:r>
      <w:r w:rsidR="00C046DA">
        <w:t xml:space="preserve">nur </w:t>
      </w:r>
      <w:r>
        <w:t>eine Realisierung betrachtet (z.B. eine Autofahrt, ein Gebäude oder ein Zeitungsartikel)</w:t>
      </w:r>
      <w:r w:rsidR="00842A54">
        <w:t xml:space="preserve">. Ausgehend davon wird nun </w:t>
      </w:r>
      <w:r>
        <w:t>beispielsweise der Urheber des Texts identifiziert, eine Aussage über dessen soziales Milieu</w:t>
      </w:r>
      <w:r w:rsidR="005D7996">
        <w:fldChar w:fldCharType="begin"/>
      </w:r>
      <w:r w:rsidR="002A70CA">
        <w:instrText xml:space="preserve"> XE "</w:instrText>
      </w:r>
      <w:r w:rsidR="002A70CA" w:rsidRPr="00B93568">
        <w:instrText>Milieu</w:instrText>
      </w:r>
      <w:r w:rsidR="002A70CA">
        <w:instrText xml:space="preserve">" </w:instrText>
      </w:r>
      <w:r w:rsidR="005D7996">
        <w:fldChar w:fldCharType="end"/>
      </w:r>
      <w:r>
        <w:t xml:space="preserve"> gemacht, über seine Haltung zu der Aufgabe, für die die Realisi</w:t>
      </w:r>
      <w:r>
        <w:t>e</w:t>
      </w:r>
      <w:r>
        <w:t xml:space="preserve">rung erzeugt wurde, spekuliert, </w:t>
      </w:r>
      <w:r w:rsidR="00842A54">
        <w:t>und vieles mehr</w:t>
      </w:r>
      <w:r>
        <w:t xml:space="preserve">. Wo </w:t>
      </w:r>
      <w:r w:rsidR="00C046DA">
        <w:t xml:space="preserve">an der Realisierung befindet sich </w:t>
      </w:r>
      <w:r>
        <w:t>diese Information?</w:t>
      </w:r>
    </w:p>
    <w:p w:rsidR="00B162F8" w:rsidRDefault="00C5177C" w:rsidP="00204861">
      <w:pPr>
        <w:pStyle w:val="Text"/>
      </w:pPr>
      <w:r>
        <w:t xml:space="preserve">Eine denkbare Antwort wäre </w:t>
      </w:r>
      <w:r w:rsidR="00842A54">
        <w:t>„</w:t>
      </w:r>
      <w:r w:rsidR="00451103">
        <w:t>i</w:t>
      </w:r>
      <w:r w:rsidR="00842A54">
        <w:t>n den Eigenschaften der Realisierung“</w:t>
      </w:r>
      <w:r>
        <w:t>.</w:t>
      </w:r>
      <w:r w:rsidR="00842A54">
        <w:t xml:space="preserve"> </w:t>
      </w:r>
      <w:r>
        <w:t>Ta</w:t>
      </w:r>
      <w:r>
        <w:t>t</w:t>
      </w:r>
      <w:r>
        <w:t xml:space="preserve">sächlich können </w:t>
      </w:r>
      <w:r w:rsidR="007D450C">
        <w:t xml:space="preserve">Eigenschaften </w:t>
      </w:r>
      <w:r w:rsidR="00842A54">
        <w:t xml:space="preserve">einer Realisierung </w:t>
      </w:r>
      <w:r w:rsidR="000131E3">
        <w:t xml:space="preserve">für sich genommen </w:t>
      </w:r>
      <w:r w:rsidR="00842A54">
        <w:t>zu Zeichen werden,</w:t>
      </w:r>
      <w:r w:rsidR="00E27AE3">
        <w:rPr>
          <w:rStyle w:val="Funotenzeichen"/>
        </w:rPr>
        <w:footnoteReference w:id="126"/>
      </w:r>
      <w:r w:rsidR="00842A54">
        <w:t xml:space="preserve"> aus ihnen können jedoch nur </w:t>
      </w:r>
      <w:r>
        <w:t xml:space="preserve">begrenzte </w:t>
      </w:r>
      <w:r w:rsidR="00574434">
        <w:t>Informationen gewonnen werden.</w:t>
      </w:r>
      <w:r w:rsidR="00842A54">
        <w:t xml:space="preserve"> So kann beispielsweise bei</w:t>
      </w:r>
      <w:r w:rsidR="00400367">
        <w:t>m Lesen</w:t>
      </w:r>
      <w:r w:rsidR="00842A54">
        <w:t xml:space="preserve"> eines Texts</w:t>
      </w:r>
      <w:r w:rsidR="00574434">
        <w:t xml:space="preserve">, </w:t>
      </w:r>
      <w:r>
        <w:t xml:space="preserve">der einen ‚komplizierten Satzbau‘ und einen ‚technischen </w:t>
      </w:r>
      <w:r w:rsidR="00574434">
        <w:t xml:space="preserve">Wortschatz‘ </w:t>
      </w:r>
      <w:r w:rsidR="00374BC3">
        <w:t>hat</w:t>
      </w:r>
      <w:r>
        <w:t>,</w:t>
      </w:r>
      <w:r w:rsidR="00574434">
        <w:t xml:space="preserve"> </w:t>
      </w:r>
      <w:r w:rsidR="00842A54">
        <w:t>nur ab</w:t>
      </w:r>
      <w:r w:rsidR="00574434">
        <w:t>geleitet werden</w:t>
      </w:r>
      <w:r w:rsidR="00842A54">
        <w:t>, dass der</w:t>
      </w:r>
      <w:r w:rsidR="00110C45">
        <w:t xml:space="preserve">jenige, der den Stil </w:t>
      </w:r>
      <w:r w:rsidR="00233C31">
        <w:t>angewendet</w:t>
      </w:r>
      <w:r w:rsidR="00110C45">
        <w:t xml:space="preserve"> hat, </w:t>
      </w:r>
      <w:r w:rsidR="00842A54">
        <w:t xml:space="preserve">in der Lage </w:t>
      </w:r>
      <w:r w:rsidR="00374BC3">
        <w:t>war</w:t>
      </w:r>
      <w:r w:rsidR="00842A54">
        <w:t>, die Realisierung mit di</w:t>
      </w:r>
      <w:r w:rsidR="00842A54">
        <w:t>e</w:t>
      </w:r>
      <w:r w:rsidR="00842A54">
        <w:t xml:space="preserve">sen Eigenschaften auszuführen. Um weitere Schlüsse ziehen zu können, muss die </w:t>
      </w:r>
      <w:r w:rsidR="00FA4AB9">
        <w:t>Ebene der Alternativenklassen mit einbezogen werden.</w:t>
      </w:r>
      <w:r w:rsidR="00842A54">
        <w:t xml:space="preserve"> Erst dann kann </w:t>
      </w:r>
      <w:r w:rsidR="00C5316D">
        <w:t xml:space="preserve">man </w:t>
      </w:r>
      <w:r w:rsidR="00842A54">
        <w:t xml:space="preserve">beurteilen, ob </w:t>
      </w:r>
      <w:r w:rsidR="00C5316D">
        <w:t xml:space="preserve">der Inhalt </w:t>
      </w:r>
      <w:r w:rsidR="00842A54">
        <w:t xml:space="preserve">auch einfacher </w:t>
      </w:r>
      <w:r w:rsidR="00C5316D">
        <w:t xml:space="preserve">ausgedrückt werden </w:t>
      </w:r>
      <w:r w:rsidR="00842A54">
        <w:t>könnte, und geg</w:t>
      </w:r>
      <w:r w:rsidR="00842A54">
        <w:t>e</w:t>
      </w:r>
      <w:r w:rsidR="00842A54">
        <w:t xml:space="preserve">benenfalls Schlüsse über </w:t>
      </w:r>
      <w:r w:rsidR="000131E3">
        <w:t xml:space="preserve">sprachliche Prägung und </w:t>
      </w:r>
      <w:r w:rsidR="00C5316D">
        <w:t xml:space="preserve">soziale </w:t>
      </w:r>
      <w:r w:rsidR="00842A54">
        <w:t xml:space="preserve">Herkunft des </w:t>
      </w:r>
      <w:r w:rsidR="00C75387">
        <w:t>Stila</w:t>
      </w:r>
      <w:r w:rsidR="00C75387">
        <w:t>n</w:t>
      </w:r>
      <w:r w:rsidR="00C75387">
        <w:t>wender</w:t>
      </w:r>
      <w:r w:rsidR="00842A54">
        <w:t>s ziehen.</w:t>
      </w:r>
    </w:p>
    <w:p w:rsidR="00451103" w:rsidRDefault="00451103" w:rsidP="00451103">
      <w:pPr>
        <w:pStyle w:val="Text"/>
      </w:pPr>
      <w:r>
        <w:t>Die Realisierung für sich genommen kann selbstverständlich Informationen enthalten (so enthält eine Autofahrt Informationen über die Fahrtroute, ein Haus Informationen über die Anzahl und Funktion seiner Räume, ein Text se</w:t>
      </w:r>
      <w:r>
        <w:t>i</w:t>
      </w:r>
      <w:r>
        <w:t>nen Inhalt als Information), doch diese sind direkt gegeben und haben mit den Alter</w:t>
      </w:r>
      <w:r w:rsidR="00AB3598">
        <w:softHyphen/>
      </w:r>
      <w:r>
        <w:t xml:space="preserve">nativenklassen nichts zu tun. Sie werden auch im alltagssprachlichen </w:t>
      </w:r>
      <w:r w:rsidR="00CD485F">
        <w:t>G</w:t>
      </w:r>
      <w:r w:rsidR="00CD485F">
        <w:t>e</w:t>
      </w:r>
      <w:r w:rsidR="00CD485F">
        <w:t>brauch des Begriffs nicht zu ‚Stil‘</w:t>
      </w:r>
      <w:r>
        <w:t xml:space="preserve"> gerechnet, sondern im Gegenteil meist </w:t>
      </w:r>
      <w:r w:rsidR="0097283A">
        <w:t>sorgfä</w:t>
      </w:r>
      <w:r w:rsidR="0097283A">
        <w:t>l</w:t>
      </w:r>
      <w:r w:rsidR="0097283A">
        <w:t>tig</w:t>
      </w:r>
      <w:r>
        <w:t xml:space="preserve"> davon unterschieden. Die Alternativenklassen können ebenfalls Informati</w:t>
      </w:r>
      <w:r>
        <w:t>o</w:t>
      </w:r>
      <w:r>
        <w:t>nen enthalten (etwa über die Vielfalt der Möglichkeiten in der jeweiligen Ku</w:t>
      </w:r>
      <w:r>
        <w:t>l</w:t>
      </w:r>
      <w:r>
        <w:t>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doch sie müssen bei</w:t>
      </w:r>
      <w:r w:rsidR="000923AE">
        <w:t xml:space="preserve"> der </w:t>
      </w:r>
      <w:r w:rsidR="00EF1E40">
        <w:t xml:space="preserve">Wahrnehmung </w:t>
      </w:r>
      <w:r w:rsidR="00675858">
        <w:t xml:space="preserve">des Stils </w:t>
      </w:r>
      <w:r>
        <w:t>rekonstruiert werden, werden also nicht übermittelt und können damit logischerweise auch keine I</w:t>
      </w:r>
      <w:r>
        <w:t>n</w:t>
      </w:r>
      <w:r>
        <w:t xml:space="preserve">formation übertragen. Soll mit </w:t>
      </w:r>
      <w:r w:rsidRPr="00781C9F">
        <w:t>Hilfe der Alternativenklassen Information übe</w:t>
      </w:r>
      <w:r w:rsidRPr="00781C9F">
        <w:t>r</w:t>
      </w:r>
      <w:r w:rsidRPr="00781C9F">
        <w:t>tragen werden, bleibt also nur das Verhältnis der Realisierung zu den Alter</w:t>
      </w:r>
      <w:r w:rsidR="00781C9F">
        <w:softHyphen/>
      </w:r>
      <w:r w:rsidRPr="00781C9F">
        <w:t>nativenklassen, die sich dazu bilden lassen, als Mittel der Zeichenerzeugung ü</w:t>
      </w:r>
      <w:r w:rsidRPr="00781C9F">
        <w:t>b</w:t>
      </w:r>
      <w:r w:rsidRPr="00781C9F">
        <w:t xml:space="preserve">rig. </w:t>
      </w:r>
      <w:r w:rsidR="00CC2AAA" w:rsidRPr="00781C9F">
        <w:t>In d</w:t>
      </w:r>
      <w:r w:rsidRPr="00781C9F">
        <w:t>iese</w:t>
      </w:r>
      <w:r w:rsidR="00CC2AAA" w:rsidRPr="00781C9F">
        <w:t>m</w:t>
      </w:r>
      <w:r w:rsidRPr="00781C9F">
        <w:t xml:space="preserve"> Verhältnis </w:t>
      </w:r>
      <w:r w:rsidR="00CC2AAA" w:rsidRPr="00781C9F">
        <w:t>wird</w:t>
      </w:r>
      <w:r w:rsidRPr="00781C9F">
        <w:t xml:space="preserve"> </w:t>
      </w:r>
      <w:r w:rsidR="00AE48CD" w:rsidRPr="00781C9F">
        <w:t>bei</w:t>
      </w:r>
      <w:r w:rsidR="00400367" w:rsidRPr="00781C9F">
        <w:t>m</w:t>
      </w:r>
      <w:r w:rsidR="00AE48CD" w:rsidRPr="00781C9F">
        <w:t xml:space="preserve"> </w:t>
      </w:r>
      <w:r w:rsidR="00400367" w:rsidRPr="00781C9F">
        <w:t xml:space="preserve">Anwenden </w:t>
      </w:r>
      <w:r w:rsidR="00AE48CD" w:rsidRPr="00781C9F">
        <w:t xml:space="preserve">eines Stils </w:t>
      </w:r>
      <w:r w:rsidR="00CC2AAA" w:rsidRPr="00781C9F">
        <w:t>Information erzeugt, die bei</w:t>
      </w:r>
      <w:r w:rsidR="00400367" w:rsidRPr="00781C9F">
        <w:t>m</w:t>
      </w:r>
      <w:r w:rsidR="00CC2AAA" w:rsidRPr="00781C9F">
        <w:t xml:space="preserve"> </w:t>
      </w:r>
      <w:r w:rsidR="00400367" w:rsidRPr="00781C9F">
        <w:t>Wahrnehmen</w:t>
      </w:r>
      <w:r w:rsidR="00AE48CD" w:rsidRPr="00781C9F">
        <w:t xml:space="preserve"> </w:t>
      </w:r>
      <w:r w:rsidR="00400367" w:rsidRPr="00781C9F">
        <w:t xml:space="preserve">des </w:t>
      </w:r>
      <w:r w:rsidR="00CC2AAA" w:rsidRPr="00781C9F">
        <w:t>Stils auch wieder daraus entnommen werden kann</w:t>
      </w:r>
      <w:r w:rsidR="000B5AAD" w:rsidRPr="00781C9F">
        <w:t>,</w:t>
      </w:r>
      <w:r w:rsidR="00CC2AAA" w:rsidRPr="00781C9F">
        <w:t xml:space="preserve"> </w:t>
      </w:r>
      <w:r w:rsidR="00187F09" w:rsidRPr="00781C9F">
        <w:t xml:space="preserve">sofern </w:t>
      </w:r>
      <w:r w:rsidR="00CC2AAA" w:rsidRPr="00781C9F">
        <w:t>die Alternativenklassen richtig rekonstruiert</w:t>
      </w:r>
      <w:r w:rsidR="00187F09" w:rsidRPr="00781C9F">
        <w:t xml:space="preserve"> w</w:t>
      </w:r>
      <w:r w:rsidR="000B5AAD" w:rsidRPr="00781C9F">
        <w:t>e</w:t>
      </w:r>
      <w:r w:rsidR="00187F09" w:rsidRPr="00781C9F">
        <w:t>rden</w:t>
      </w:r>
      <w:r w:rsidR="00CC2AAA" w:rsidRPr="00781C9F">
        <w:t>.</w:t>
      </w:r>
    </w:p>
    <w:p w:rsidR="00DE1DF4" w:rsidRDefault="004C00C5" w:rsidP="00DE1DF4">
      <w:pPr>
        <w:pStyle w:val="Text"/>
      </w:pPr>
      <w:r>
        <w:t>Die</w:t>
      </w:r>
      <w:r w:rsidR="00376053">
        <w:t xml:space="preserve"> in der Realisieru</w:t>
      </w:r>
      <w:r w:rsidR="00DE1DF4">
        <w:t xml:space="preserve">ng an </w:t>
      </w:r>
      <w:r>
        <w:t xml:space="preserve">jeder </w:t>
      </w:r>
      <w:r w:rsidR="00DE1DF4">
        <w:t>Stelle g</w:t>
      </w:r>
      <w:r w:rsidR="00376053">
        <w:t>egebene</w:t>
      </w:r>
      <w:r>
        <w:t>n</w:t>
      </w:r>
      <w:r w:rsidR="00376053">
        <w:t xml:space="preserve"> Element</w:t>
      </w:r>
      <w:r>
        <w:t>e</w:t>
      </w:r>
      <w:r w:rsidR="00376053">
        <w:t xml:space="preserve"> zusammen mit den</w:t>
      </w:r>
      <w:r w:rsidR="00DE1DF4">
        <w:t xml:space="preserve"> </w:t>
      </w:r>
      <w:r>
        <w:t xml:space="preserve">für jede </w:t>
      </w:r>
      <w:r w:rsidR="00DE1DF4">
        <w:t xml:space="preserve">Stelle </w:t>
      </w:r>
      <w:r w:rsidR="00DE1DF4">
        <w:rPr>
          <w:i/>
        </w:rPr>
        <w:t xml:space="preserve">in absentia </w:t>
      </w:r>
      <w:r w:rsidR="00DE1DF4">
        <w:t>gegebenen Alternativen (die sowohl bei</w:t>
      </w:r>
      <w:r w:rsidR="007A1773">
        <w:t xml:space="preserve">m </w:t>
      </w:r>
      <w:r w:rsidR="001500F6">
        <w:t>Anwe</w:t>
      </w:r>
      <w:r w:rsidR="001500F6">
        <w:t>n</w:t>
      </w:r>
      <w:r w:rsidR="001500F6">
        <w:t>den</w:t>
      </w:r>
      <w:r w:rsidR="007A1773">
        <w:t xml:space="preserve"> als auch bei</w:t>
      </w:r>
      <w:r w:rsidR="00BE695D">
        <w:t>m Wahrnehmen</w:t>
      </w:r>
      <w:r w:rsidR="007A1773">
        <w:t xml:space="preserve"> </w:t>
      </w:r>
      <w:r>
        <w:t xml:space="preserve">des </w:t>
      </w:r>
      <w:r w:rsidR="007A1773">
        <w:t xml:space="preserve">Stils dazu konstruiert </w:t>
      </w:r>
      <w:r w:rsidR="00DE1DF4">
        <w:t>werden) können I</w:t>
      </w:r>
      <w:r w:rsidR="00DE1DF4">
        <w:t>n</w:t>
      </w:r>
      <w:r w:rsidR="00DE1DF4">
        <w:lastRenderedPageBreak/>
        <w:t>formationen über die Prinzipien der Auswahl enthalten. Man kann sich dies als eine Alternativenklasse vorstellen, in de</w:t>
      </w:r>
      <w:r w:rsidR="00206437">
        <w:t>r</w:t>
      </w:r>
      <w:r w:rsidR="00DE1DF4">
        <w:t xml:space="preserve"> ein Element als </w:t>
      </w:r>
      <w:r w:rsidR="00DE1DF4" w:rsidRPr="007A1773">
        <w:t>ausgewählt</w:t>
      </w:r>
      <w:r w:rsidR="00DE1DF4">
        <w:rPr>
          <w:i/>
        </w:rPr>
        <w:t xml:space="preserve"> </w:t>
      </w:r>
      <w:r w:rsidR="00DE1DF4">
        <w:t>markiert ist.</w:t>
      </w:r>
      <w:r w:rsidR="00DE1DF4">
        <w:rPr>
          <w:rStyle w:val="Funotenzeichen"/>
        </w:rPr>
        <w:footnoteReference w:id="127"/>
      </w:r>
      <w:r w:rsidR="00DE1DF4">
        <w:t xml:space="preserve"> Oft muss ein Auswahlprinzip bei mehreren Alternativenklassen angewandt werden, um eine bestimmte Information über die Auswahlprinzipien zu übertr</w:t>
      </w:r>
      <w:r w:rsidR="00DE1DF4">
        <w:t>a</w:t>
      </w:r>
      <w:r w:rsidR="00DE1DF4">
        <w:t>gen. Diese spezifische Nutzung von Alternativenklasse und Realisierung g</w:t>
      </w:r>
      <w:r w:rsidR="00DE1DF4">
        <w:t>e</w:t>
      </w:r>
      <w:r w:rsidR="00DE1DF4">
        <w:t>meinsam zur Informationsübermittlung kann alle jene Fälle abbilden, in denen um</w:t>
      </w:r>
      <w:r w:rsidR="00206437">
        <w:t>g</w:t>
      </w:r>
      <w:r w:rsidR="00DE1DF4">
        <w:t xml:space="preserve">angssprachlich von „Stil“ gesprochen wird. Die Menge aller Elemente, die zu Elementen von Alternativenklassen werden können, soll </w:t>
      </w:r>
      <w:r w:rsidR="00DE1DF4">
        <w:rPr>
          <w:i/>
        </w:rPr>
        <w:t>Möglichkeitsraum</w:t>
      </w:r>
      <w:r w:rsidR="005D7996">
        <w:rPr>
          <w:i/>
        </w:rPr>
        <w:fldChar w:fldCharType="begin"/>
      </w:r>
      <w:r w:rsidR="007A5993">
        <w:instrText xml:space="preserve"> XE "</w:instrText>
      </w:r>
      <w:r w:rsidR="007A5993" w:rsidRPr="007904ED">
        <w:instrText>Möglichkeitsraum</w:instrText>
      </w:r>
      <w:r w:rsidR="007A5993">
        <w:instrText xml:space="preserve">" </w:instrText>
      </w:r>
      <w:r w:rsidR="005D7996">
        <w:rPr>
          <w:i/>
        </w:rPr>
        <w:fldChar w:fldCharType="end"/>
      </w:r>
      <w:r w:rsidR="00DE1DF4">
        <w:rPr>
          <w:i/>
        </w:rPr>
        <w:t xml:space="preserve"> </w:t>
      </w:r>
      <w:r w:rsidR="00DE1DF4">
        <w:t>g</w:t>
      </w:r>
      <w:r w:rsidR="00DE1DF4">
        <w:t>e</w:t>
      </w:r>
      <w:r w:rsidR="00DE1DF4">
        <w:t>nannt werden.</w:t>
      </w:r>
    </w:p>
    <w:p w:rsidR="0057329F" w:rsidRDefault="00F86861" w:rsidP="0057329F">
      <w:pPr>
        <w:pStyle w:val="Titel2"/>
      </w:pPr>
      <w:bookmarkStart w:id="77" w:name="_Ref273429241"/>
      <w:bookmarkStart w:id="78" w:name="_Ref273429928"/>
      <w:bookmarkStart w:id="79" w:name="_Ref273598904"/>
      <w:bookmarkStart w:id="80" w:name="_Ref273627678"/>
      <w:bookmarkStart w:id="81" w:name="_Ref273631801"/>
      <w:bookmarkStart w:id="82" w:name="_Toc325456704"/>
      <w:bookmarkEnd w:id="73"/>
      <w:r>
        <w:t xml:space="preserve">Regelmäßigkeiten </w:t>
      </w:r>
      <w:r w:rsidR="0057329F">
        <w:t>der Auswahl</w:t>
      </w:r>
      <w:bookmarkEnd w:id="77"/>
      <w:bookmarkEnd w:id="78"/>
      <w:bookmarkEnd w:id="79"/>
      <w:bookmarkEnd w:id="80"/>
      <w:bookmarkEnd w:id="81"/>
      <w:bookmarkEnd w:id="82"/>
    </w:p>
    <w:p w:rsidR="006229D4" w:rsidRDefault="006229D4" w:rsidP="00CD3E04">
      <w:pPr>
        <w:pStyle w:val="Text"/>
        <w:ind w:firstLine="0"/>
      </w:pPr>
      <w:r>
        <w:t>Fassen wir den Stand der bisherigen Überlegungen zusammen: Stilistische I</w:t>
      </w:r>
      <w:r>
        <w:t>n</w:t>
      </w:r>
      <w:r>
        <w:t>formation ergibt sich aus dem Verhältnis von Alternativenklassen und Realisi</w:t>
      </w:r>
      <w:r>
        <w:t>e</w:t>
      </w:r>
      <w:r>
        <w:t>rung. Dieses Verhältnis kann als Auswahl je eines Elements aus den Alterna</w:t>
      </w:r>
      <w:r w:rsidR="00DC58E1">
        <w:softHyphen/>
      </w:r>
      <w:r>
        <w:t>tivenklassen für die Rea</w:t>
      </w:r>
      <w:r w:rsidR="00B575FF">
        <w:t>lisierung beschrieben werden.</w:t>
      </w:r>
    </w:p>
    <w:p w:rsidR="006229D4" w:rsidRDefault="006229D4" w:rsidP="006229D4">
      <w:pPr>
        <w:pStyle w:val="Text"/>
      </w:pPr>
      <w:r>
        <w:t>Was für eine Art von Information ist hier überhaupt denkbar? Die Komb</w:t>
      </w:r>
      <w:r>
        <w:t>i</w:t>
      </w:r>
      <w:r>
        <w:t>nation einer Menge von Alternativenklassen mit der Angabe der jeweils ausg</w:t>
      </w:r>
      <w:r>
        <w:t>e</w:t>
      </w:r>
      <w:r>
        <w:t>wählten Elemente kann unmittelbar nur eine Information über Regelmäßig</w:t>
      </w:r>
      <w:r w:rsidR="00392FD8">
        <w:softHyphen/>
      </w:r>
      <w:r>
        <w:t>keiten enthalten, die bei der Auswahl der Elemente feststellbar sind. Weiterg</w:t>
      </w:r>
      <w:r>
        <w:t>e</w:t>
      </w:r>
      <w:r>
        <w:t xml:space="preserve">hende Informationen können vom </w:t>
      </w:r>
      <w:r w:rsidR="007067FD">
        <w:t>Stilwahrnehmer</w:t>
      </w:r>
      <w:r>
        <w:t xml:space="preserve"> nur mittelbar, nämlich aus diesen Regelmäßigkeiten der Auswahl, gewonnen werden.</w:t>
      </w:r>
    </w:p>
    <w:p w:rsidR="00C80B56" w:rsidRDefault="0057329F" w:rsidP="00204861">
      <w:pPr>
        <w:pStyle w:val="Text"/>
      </w:pPr>
      <w:r>
        <w:t xml:space="preserve">In der vorliegenden Arbeit werden bestimmte </w:t>
      </w:r>
      <w:r w:rsidR="00317978">
        <w:t xml:space="preserve">Regelmäßigkeiten </w:t>
      </w:r>
      <w:r>
        <w:t>der Au</w:t>
      </w:r>
      <w:r>
        <w:t>s</w:t>
      </w:r>
      <w:r>
        <w:t xml:space="preserve">wahl als Ursache stilistischer Merkmale betrachtet. </w:t>
      </w:r>
      <w:r w:rsidR="009D692B">
        <w:t xml:space="preserve">Ein bestimmter Stil wird dabei als eine Menge von stilistisch relevanten Regelmäßigkeiten der Auswahl beschrieben (vgl. Abschnitt </w:t>
      </w:r>
      <w:r w:rsidR="005D7996">
        <w:fldChar w:fldCharType="begin"/>
      </w:r>
      <w:r w:rsidR="009D692B">
        <w:instrText xml:space="preserve"> REF _Ref264295348 \r \h </w:instrText>
      </w:r>
      <w:r w:rsidR="005D7996">
        <w:fldChar w:fldCharType="separate"/>
      </w:r>
      <w:r w:rsidR="001231D3">
        <w:t>2.16</w:t>
      </w:r>
      <w:r w:rsidR="005D7996">
        <w:fldChar w:fldCharType="end"/>
      </w:r>
      <w:r w:rsidR="00F22529">
        <w:t>).</w:t>
      </w:r>
    </w:p>
    <w:p w:rsidR="007F3EFE" w:rsidRDefault="00C80B56" w:rsidP="00204861">
      <w:pPr>
        <w:pStyle w:val="Text"/>
      </w:pPr>
      <w:r>
        <w:t>Regelmäßigkeiten der Auswahl führen zu Regelmäßigkeiten in einer Real</w:t>
      </w:r>
      <w:r>
        <w:t>i</w:t>
      </w:r>
      <w:r>
        <w:t>sierung (oder einem Realisierungsstück oder mehreren Realisierungen), bei d</w:t>
      </w:r>
      <w:r>
        <w:t>e</w:t>
      </w:r>
      <w:r>
        <w:t xml:space="preserve">ren Erzeugung diese Regelmäßigkeiten der Auswahl galten. </w:t>
      </w:r>
      <w:r w:rsidR="007F3EFE">
        <w:t>Eine der grundl</w:t>
      </w:r>
      <w:r w:rsidR="007F3EFE">
        <w:t>e</w:t>
      </w:r>
      <w:r w:rsidR="007F3EFE">
        <w:t>genden theoretischen Neuerungen der hier vorgestellten Stiltheorie besteht nun darin, das Verhältnis zwischen Regelmäßigkeiten der Auswahl bei der Erzeugung einer Realisierung und Regelmäßigkeiten in der entstehenden Realisierung als einen Zeichenprozess aufzufassen. Vergleichen mit der bisherigen Forschung, wird in dieser Arbeit erstmals</w:t>
      </w:r>
    </w:p>
    <w:p w:rsidR="00C80B56" w:rsidRDefault="007F3EFE" w:rsidP="00204861">
      <w:pPr>
        <w:pStyle w:val="Text"/>
      </w:pPr>
      <w:r>
        <w:t>(a)</w:t>
      </w:r>
      <w:r>
        <w:tab/>
        <w:t>konsequent zwischen Regelmäßigkeiten der Realisierung und Rege</w:t>
      </w:r>
      <w:r>
        <w:t>l</w:t>
      </w:r>
      <w:r>
        <w:t>mäßigkeiten der Auswahl bei der Erzeugung einer Realisierung unterschieden,</w:t>
      </w:r>
    </w:p>
    <w:p w:rsidR="007F3EFE" w:rsidRDefault="007F3EFE" w:rsidP="00204861">
      <w:pPr>
        <w:pStyle w:val="Text"/>
      </w:pPr>
      <w:r>
        <w:t>(b)</w:t>
      </w:r>
      <w:r>
        <w:tab/>
        <w:t>der Prozess, in dem von Regelmäßígkeiten einer Realisierung auf R</w:t>
      </w:r>
      <w:r>
        <w:t>e</w:t>
      </w:r>
      <w:r>
        <w:t>gelmäßigkeiten der Auswahl bei der Erzeugung der Realisierung geschlossen wird, als Zeichenprozess beschrieben.</w:t>
      </w:r>
    </w:p>
    <w:p w:rsidR="00135E77" w:rsidRDefault="007F3EFE" w:rsidP="00204861">
      <w:pPr>
        <w:pStyle w:val="Text"/>
      </w:pPr>
      <w:r>
        <w:lastRenderedPageBreak/>
        <w:t>Auf den ersten Blick mag die in (a) vorgenommene Unterscheidung als spitzfindig erscheinen. Zweifellos führen Regelmäßigkeiten bei der Erzeugung einer Realisierung zu Regelmäßigkeiten der Realisierung; warum muss dann zw</w:t>
      </w:r>
      <w:r>
        <w:t>i</w:t>
      </w:r>
      <w:r>
        <w:t xml:space="preserve">schen beiden unterschieden werden? Sind sie nicht einfach </w:t>
      </w:r>
      <w:r w:rsidR="00985CDD">
        <w:t>zwei Seiten derselben Medaille</w:t>
      </w:r>
      <w:r w:rsidR="00135E77">
        <w:t>?</w:t>
      </w:r>
    </w:p>
    <w:p w:rsidR="00652538" w:rsidRDefault="00135E77" w:rsidP="00204861">
      <w:pPr>
        <w:pStyle w:val="Text"/>
      </w:pPr>
      <w:r>
        <w:t>Tatsächlich sind sie in der bisherigen Forschung als zwei Beschreibungswe</w:t>
      </w:r>
      <w:r>
        <w:t>i</w:t>
      </w:r>
      <w:r>
        <w:t>sen für dasselbe, nämlich für stilistische Merkmale, aufgefasst worden. Die Th</w:t>
      </w:r>
      <w:r>
        <w:t>e</w:t>
      </w:r>
      <w:r>
        <w:t xml:space="preserve">orien, die Stil als Auswahl beschrieben, </w:t>
      </w:r>
      <w:r w:rsidR="00652538">
        <w:t>betrachteten jene Auswahlprozesse, die bei der Erzeugung einer Realisierung stattfinden, und trennten dort die stili</w:t>
      </w:r>
      <w:r w:rsidR="00652538">
        <w:t>s</w:t>
      </w:r>
      <w:r w:rsidR="00652538">
        <w:t>tisch relevante Auswahl von anderen (beispielsweise inhaltlich bedingten) Au</w:t>
      </w:r>
      <w:r w:rsidR="00652538">
        <w:t>s</w:t>
      </w:r>
      <w:r w:rsidR="00652538">
        <w:t xml:space="preserve">wahlvorgängen (vgl. Abschnitt </w:t>
      </w:r>
      <w:r w:rsidR="005D7996">
        <w:fldChar w:fldCharType="begin"/>
      </w:r>
      <w:r w:rsidR="00652538">
        <w:instrText xml:space="preserve"> REF _Ref267684998 \r \h </w:instrText>
      </w:r>
      <w:r w:rsidR="005D7996">
        <w:fldChar w:fldCharType="separate"/>
      </w:r>
      <w:r w:rsidR="001231D3">
        <w:t>3.1</w:t>
      </w:r>
      <w:r w:rsidR="005D7996">
        <w:fldChar w:fldCharType="end"/>
      </w:r>
      <w:r w:rsidR="00F22529">
        <w:t xml:space="preserve">); sie </w:t>
      </w:r>
      <w:r w:rsidR="0064326E">
        <w:t xml:space="preserve">schlugen jedoch keine Lösung dafür vor, wie </w:t>
      </w:r>
      <w:r w:rsidR="007067FD">
        <w:t>dem Stilwahrnehmer</w:t>
      </w:r>
      <w:r w:rsidR="00F22529">
        <w:t xml:space="preserve">, der nur eine Realisierung vor sich hat, </w:t>
      </w:r>
      <w:r w:rsidR="0064326E">
        <w:t>die Auswahlvo</w:t>
      </w:r>
      <w:r w:rsidR="0064326E">
        <w:t>r</w:t>
      </w:r>
      <w:r w:rsidR="0064326E">
        <w:t>gänge überhaupt zugänglich werden</w:t>
      </w:r>
      <w:r w:rsidR="00F22529">
        <w:t xml:space="preserve">. </w:t>
      </w:r>
      <w:r w:rsidR="0064326E">
        <w:t xml:space="preserve">Die anderen </w:t>
      </w:r>
      <w:r w:rsidR="00652538">
        <w:t>Ansätze verzichteten auf die explizite Betrachtung des Auswahlvorgangs und untersuchten stattdessen die Realisierung selbst anhand von Häufigkeiten (</w:t>
      </w:r>
      <w:r w:rsidR="005D7996">
        <w:fldChar w:fldCharType="begin"/>
      </w:r>
      <w:r w:rsidR="00652538">
        <w:instrText xml:space="preserve"> REF _Ref273094460 \r \h </w:instrText>
      </w:r>
      <w:r w:rsidR="005D7996">
        <w:fldChar w:fldCharType="separate"/>
      </w:r>
      <w:r w:rsidR="001231D3">
        <w:t>3.4</w:t>
      </w:r>
      <w:r w:rsidR="005D7996">
        <w:fldChar w:fldCharType="end"/>
      </w:r>
      <w:r w:rsidR="00652538">
        <w:t>), Mustern (</w:t>
      </w:r>
      <w:r w:rsidR="005D7996">
        <w:fldChar w:fldCharType="begin"/>
      </w:r>
      <w:r w:rsidR="00652538">
        <w:instrText xml:space="preserve"> REF _Ref266098068 \r \h </w:instrText>
      </w:r>
      <w:r w:rsidR="005D7996">
        <w:fldChar w:fldCharType="separate"/>
      </w:r>
      <w:r w:rsidR="001231D3">
        <w:t>3.5</w:t>
      </w:r>
      <w:r w:rsidR="005D7996">
        <w:fldChar w:fldCharType="end"/>
      </w:r>
      <w:r w:rsidR="0064326E">
        <w:t xml:space="preserve">), </w:t>
      </w:r>
      <w:r w:rsidR="00652538">
        <w:t>Strukturen (</w:t>
      </w:r>
      <w:r w:rsidR="005D7996">
        <w:fldChar w:fldCharType="begin"/>
      </w:r>
      <w:r w:rsidR="00652538">
        <w:instrText xml:space="preserve"> REF _Ref267836372 \r \h </w:instrText>
      </w:r>
      <w:r w:rsidR="005D7996">
        <w:fldChar w:fldCharType="separate"/>
      </w:r>
      <w:r w:rsidR="001231D3">
        <w:t>3.6</w:t>
      </w:r>
      <w:r w:rsidR="005D7996">
        <w:fldChar w:fldCharType="end"/>
      </w:r>
      <w:r w:rsidR="0064326E">
        <w:t>) usw.</w:t>
      </w:r>
    </w:p>
    <w:p w:rsidR="00D251B5" w:rsidRDefault="00D251B5" w:rsidP="00204861">
      <w:pPr>
        <w:pStyle w:val="Text"/>
      </w:pPr>
      <w:r>
        <w:t>Die hier vorgestellte Theorie geht davon aus, dass beide Arten von Rege</w:t>
      </w:r>
      <w:r>
        <w:t>l</w:t>
      </w:r>
      <w:r>
        <w:t xml:space="preserve">mäßigkeiten zwar eng miteinander zusammenhängen, aber nicht gleichgesetzt werden können. Dies liegt insbesondere daran, dass es </w:t>
      </w:r>
      <w:r w:rsidR="0064326E">
        <w:t>nicht-stilistische Ei</w:t>
      </w:r>
      <w:r w:rsidR="0064326E">
        <w:t>n</w:t>
      </w:r>
      <w:r w:rsidR="0064326E">
        <w:t xml:space="preserve">schränkungen </w:t>
      </w:r>
      <w:r>
        <w:t>der Auswahl gibt, die ebenfalls zu Regelmäßigkeiten der Realisi</w:t>
      </w:r>
      <w:r>
        <w:t>e</w:t>
      </w:r>
      <w:r>
        <w:t>rung führen</w:t>
      </w:r>
      <w:r w:rsidR="0064326E">
        <w:t xml:space="preserve"> (beispielsweise wenn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64326E">
        <w:t xml:space="preserve"> bestimmte Lösungen erfordern)</w:t>
      </w:r>
      <w:r>
        <w:t xml:space="preserve">. </w:t>
      </w:r>
      <w:r w:rsidRPr="00344A99">
        <w:t>An einer Realisierung können deshalb nicht einfach direkt die stili</w:t>
      </w:r>
      <w:r w:rsidRPr="00344A99">
        <w:t>s</w:t>
      </w:r>
      <w:r w:rsidRPr="00344A99">
        <w:t>tisch relevanten Regelmäßigkeiten der Auswahl abgelesen werden.</w:t>
      </w:r>
      <w:r>
        <w:t xml:space="preserve"> Aus den R</w:t>
      </w:r>
      <w:r>
        <w:t>e</w:t>
      </w:r>
      <w:r>
        <w:t xml:space="preserve">gelmäßigkeiten, die sich an einer Realisierung feststellen lassen, muss zunächst </w:t>
      </w:r>
      <w:r w:rsidR="0064326E">
        <w:t xml:space="preserve">unter Berücksichtigung der Bedingungen, die für die Auswahl galten, </w:t>
      </w:r>
      <w:r>
        <w:t>auf die Regelmäßigkeiten der Auswahl geschlossen werden.</w:t>
      </w:r>
    </w:p>
    <w:p w:rsidR="00C80B56" w:rsidRDefault="00D251B5" w:rsidP="00204861">
      <w:pPr>
        <w:pStyle w:val="Text"/>
      </w:pPr>
      <w:r>
        <w:t>Dies ist nur möglich, indem bei</w:t>
      </w:r>
      <w:r w:rsidR="00BE695D">
        <w:t>m Wahrnehmen</w:t>
      </w:r>
      <w:r>
        <w:t xml:space="preserve"> eines Stils die Auswahlvo</w:t>
      </w:r>
      <w:r>
        <w:t>r</w:t>
      </w:r>
      <w:r>
        <w:t xml:space="preserve">gänge, die zu ihrer Entstehung geführt haben, </w:t>
      </w:r>
      <w:r w:rsidR="00653C51">
        <w:t xml:space="preserve">rekonstruiert werden, wobei </w:t>
      </w:r>
      <w:r w:rsidR="0064326E">
        <w:t xml:space="preserve">die </w:t>
      </w:r>
      <w:r w:rsidR="00653C51">
        <w:t xml:space="preserve">Bedingungen des Schemas, </w:t>
      </w:r>
      <w:r w:rsidR="0064326E">
        <w:t xml:space="preserve">des </w:t>
      </w:r>
      <w:r w:rsidR="00C80B56">
        <w:t>Kontext</w:t>
      </w:r>
      <w:r w:rsidR="0064326E">
        <w:t>s</w:t>
      </w:r>
      <w:r w:rsidR="00C80B56">
        <w:t xml:space="preserve">, </w:t>
      </w:r>
      <w:r w:rsidR="0064326E">
        <w:t xml:space="preserve">der </w:t>
      </w:r>
      <w:r w:rsidR="00C80B56">
        <w:t xml:space="preserve">Funktion oder </w:t>
      </w:r>
      <w:r w:rsidR="00653C51">
        <w:t>de</w:t>
      </w:r>
      <w:r w:rsidR="0064326E">
        <w:t>s</w:t>
      </w:r>
      <w:r w:rsidR="00653C51">
        <w:t xml:space="preserve"> Inhalt</w:t>
      </w:r>
      <w:r w:rsidR="0064326E">
        <w:t>s, die vermutlich gegolten haben, zur Bildung der Alternativenklassen verwendet we</w:t>
      </w:r>
      <w:r w:rsidR="0064326E">
        <w:t>r</w:t>
      </w:r>
      <w:r w:rsidR="0064326E">
        <w:t>den</w:t>
      </w:r>
      <w:r w:rsidR="00653C51">
        <w:t>.</w:t>
      </w:r>
      <w:r w:rsidR="00BF6458">
        <w:rPr>
          <w:rStyle w:val="Funotenzeichen"/>
        </w:rPr>
        <w:footnoteReference w:id="128"/>
      </w:r>
      <w:r w:rsidR="00653C51">
        <w:t xml:space="preserve"> </w:t>
      </w:r>
      <w:r w:rsidR="00653C51" w:rsidRPr="00344A99">
        <w:t xml:space="preserve">Nur die </w:t>
      </w:r>
      <w:r w:rsidR="0064326E" w:rsidRPr="00344A99">
        <w:t xml:space="preserve">bei der Auswahl aus diesen Alternativenklassen feststellbaren </w:t>
      </w:r>
      <w:r w:rsidR="00653C51" w:rsidRPr="00344A99">
        <w:t xml:space="preserve">Regelmäßigkeiten der Auswahl </w:t>
      </w:r>
      <w:r w:rsidR="0064326E" w:rsidRPr="00344A99">
        <w:t>können als stilistisch relevant angesehen werden und erzeugen stilistische Merkmale in der Realisierung</w:t>
      </w:r>
      <w:r w:rsidR="00653C51" w:rsidRPr="00344A99">
        <w:t>.</w:t>
      </w:r>
      <w:r w:rsidR="0064326E">
        <w:t xml:space="preserve"> Die Einschränkungen, die die Alternativenklassen durch die verschiedenen Bedingungen erfahren, fü</w:t>
      </w:r>
      <w:r w:rsidR="0064326E">
        <w:t>h</w:t>
      </w:r>
      <w:r w:rsidR="0064326E">
        <w:t xml:space="preserve">ren ebenfalls zu Regelmäßigkeiten in der Realisierung, die </w:t>
      </w:r>
      <w:r w:rsidR="00DA6FD2">
        <w:t xml:space="preserve">jedoch </w:t>
      </w:r>
      <w:r w:rsidR="0064326E">
        <w:t>keine stilist</w:t>
      </w:r>
      <w:r w:rsidR="0064326E">
        <w:t>i</w:t>
      </w:r>
      <w:r w:rsidR="0064326E">
        <w:t>schen Merkmale sind.</w:t>
      </w:r>
    </w:p>
    <w:p w:rsidR="00D41000" w:rsidRDefault="008F075E" w:rsidP="00204861">
      <w:pPr>
        <w:pStyle w:val="Text"/>
      </w:pPr>
      <w:r>
        <w:t>Auch bei der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t xml:space="preserve"> der Anwendung eines Stils bei der Erzeugung einer Realisierung sind die verschiedenen Faktoren zu berücksichtigen: Es kann nicht einfach davon ausgegangen werden, dass im Stil spezifizierte Rege</w:t>
      </w:r>
      <w:r>
        <w:t>l</w:t>
      </w:r>
      <w:r>
        <w:t>mäßigkeiten der Auswahl sich eins zu eins an</w:t>
      </w:r>
      <w:r w:rsidR="0064326E">
        <w:t xml:space="preserve"> je</w:t>
      </w:r>
      <w:r>
        <w:t>der Realisierung wiederfinden werden</w:t>
      </w:r>
      <w:r w:rsidR="0064326E">
        <w:t xml:space="preserve">, bei deren Erzeugung der Stil </w:t>
      </w:r>
      <w:r w:rsidR="00233C31">
        <w:t>angewendet</w:t>
      </w:r>
      <w:r w:rsidR="00CE42A8">
        <w:t xml:space="preserve"> </w:t>
      </w:r>
      <w:r w:rsidR="0064326E">
        <w:t>wird</w:t>
      </w:r>
      <w:r>
        <w:t xml:space="preserve">. Die Einschränkungen, </w:t>
      </w:r>
      <w:r>
        <w:lastRenderedPageBreak/>
        <w:t xml:space="preserve">die für die stilistische Auswahl durch </w:t>
      </w:r>
      <w:r w:rsidR="0057329F">
        <w:t xml:space="preserve">Bedingungen des ausgeführten Schemas, des Kontexts, der Funktion </w:t>
      </w:r>
      <w:r>
        <w:t xml:space="preserve">und </w:t>
      </w:r>
      <w:r w:rsidR="0057329F">
        <w:t>des Inhalts erzeugt sind</w:t>
      </w:r>
      <w:r>
        <w:t xml:space="preserve">, werden </w:t>
      </w:r>
      <w:r w:rsidR="00CE102F">
        <w:t>in der vorli</w:t>
      </w:r>
      <w:r w:rsidR="00CE102F">
        <w:t>e</w:t>
      </w:r>
      <w:r w:rsidR="00CE102F">
        <w:t xml:space="preserve">genden Arbeit </w:t>
      </w:r>
      <w:r>
        <w:t>bei der Erzeugung der Realisierung durch eine schrittweise M</w:t>
      </w:r>
      <w:r>
        <w:t>o</w:t>
      </w:r>
      <w:r>
        <w:t xml:space="preserve">dellierung der Auswahlvorgänge </w:t>
      </w:r>
      <w:r w:rsidR="00124FDD">
        <w:t>berücksichtigt</w:t>
      </w:r>
      <w:r w:rsidR="0064326E">
        <w:t>, bei der zunächst eine Anor</w:t>
      </w:r>
      <w:r w:rsidR="0064326E">
        <w:t>d</w:t>
      </w:r>
      <w:r w:rsidR="0064326E">
        <w:t>nung von Alternativenklassen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rsidR="0064326E">
        <w:t xml:space="preserve"> gebildet wird</w:t>
      </w:r>
      <w:r w:rsidR="009143B0">
        <w:t>.</w:t>
      </w:r>
      <w:r w:rsidR="009143B0">
        <w:rPr>
          <w:rStyle w:val="Funotenzeichen"/>
        </w:rPr>
        <w:footnoteReference w:id="129"/>
      </w:r>
    </w:p>
    <w:p w:rsidR="00D41000" w:rsidRDefault="00D41000" w:rsidP="00D41000">
      <w:pPr>
        <w:pStyle w:val="Titel2"/>
      </w:pPr>
      <w:bookmarkStart w:id="83" w:name="_Ref273429486"/>
      <w:bookmarkStart w:id="84" w:name="_Ref273466866"/>
      <w:bookmarkStart w:id="85" w:name="_Ref273467221"/>
      <w:bookmarkStart w:id="86" w:name="_Ref273518621"/>
      <w:bookmarkStart w:id="87" w:name="_Ref273631874"/>
      <w:bookmarkStart w:id="88" w:name="_Toc325456705"/>
      <w:bookmarkStart w:id="89" w:name="Merkmal"/>
      <w:r>
        <w:t>Stilistische Merkmale</w:t>
      </w:r>
      <w:bookmarkEnd w:id="83"/>
      <w:bookmarkEnd w:id="84"/>
      <w:bookmarkEnd w:id="85"/>
      <w:bookmarkEnd w:id="86"/>
      <w:bookmarkEnd w:id="87"/>
      <w:bookmarkEnd w:id="88"/>
    </w:p>
    <w:p w:rsidR="00A37C56" w:rsidRDefault="005D7996" w:rsidP="00CD3E04">
      <w:pPr>
        <w:pStyle w:val="Text"/>
        <w:ind w:firstLine="0"/>
      </w:pPr>
      <w:r>
        <w:fldChar w:fldCharType="begin"/>
      </w:r>
      <w:r w:rsidR="00BB11F9">
        <w:instrText xml:space="preserve"> XE "stilistische</w:instrText>
      </w:r>
      <w:r w:rsidR="00CE6010">
        <w:instrText>s</w:instrText>
      </w:r>
      <w:r w:rsidR="00BB11F9">
        <w:instrText xml:space="preserve"> Merkmal" \r "Merkmal" </w:instrText>
      </w:r>
      <w:r>
        <w:fldChar w:fldCharType="end"/>
      </w:r>
      <w:r>
        <w:fldChar w:fldCharType="begin"/>
      </w:r>
      <w:r w:rsidR="00BB11F9">
        <w:instrText xml:space="preserve"> XE "stilistische</w:instrText>
      </w:r>
      <w:r w:rsidR="00CE6010">
        <w:instrText>s</w:instrText>
      </w:r>
      <w:r w:rsidR="00BB11F9">
        <w:instrText xml:space="preserve"> Merkmal" \t "</w:instrText>
      </w:r>
      <w:r w:rsidR="00015942">
        <w:rPr>
          <w:i/>
        </w:rPr>
        <w:instrText>et passim</w:instrText>
      </w:r>
      <w:r w:rsidR="00BB11F9">
        <w:instrText xml:space="preserve">" </w:instrText>
      </w:r>
      <w:r>
        <w:fldChar w:fldCharType="end"/>
      </w:r>
      <w:r>
        <w:fldChar w:fldCharType="begin"/>
      </w:r>
      <w:r w:rsidR="00BB11F9">
        <w:instrText xml:space="preserve"> XE "Merkmal</w:instrText>
      </w:r>
      <w:r w:rsidR="001224A3">
        <w:instrText xml:space="preserve"> (bei Stil)</w:instrText>
      </w:r>
      <w:r w:rsidR="00BB11F9">
        <w:instrText>" \t "</w:instrText>
      </w:r>
      <w:r w:rsidR="00801C96">
        <w:rPr>
          <w:i/>
        </w:rPr>
        <w:instrText>s</w:instrText>
      </w:r>
      <w:r w:rsidR="00BB11F9" w:rsidRPr="00BB11F9">
        <w:rPr>
          <w:i/>
        </w:rPr>
        <w:instrText>iehe</w:instrText>
      </w:r>
      <w:r w:rsidR="00BB11F9">
        <w:instrText xml:space="preserve"> stilistische</w:instrText>
      </w:r>
      <w:r w:rsidR="00B433C0">
        <w:instrText>s</w:instrText>
      </w:r>
      <w:r w:rsidR="001224A3">
        <w:instrText xml:space="preserve"> </w:instrText>
      </w:r>
      <w:r w:rsidR="00BB11F9">
        <w:instrText xml:space="preserve">Merkmal" </w:instrText>
      </w:r>
      <w:r>
        <w:fldChar w:fldCharType="end"/>
      </w:r>
      <w:r w:rsidR="00CE0D3C">
        <w:t>Im letzten Abschnitt wurde erläutert, dass s</w:t>
      </w:r>
      <w:r w:rsidR="003F023C">
        <w:t>tilistische Merkmale durch Rege</w:t>
      </w:r>
      <w:r w:rsidR="003F023C">
        <w:t>l</w:t>
      </w:r>
      <w:r w:rsidR="003F023C">
        <w:t>mäßigkeiten der Auswahl erzeugt</w:t>
      </w:r>
      <w:r w:rsidR="00CE0D3C">
        <w:t xml:space="preserve"> werden, aber nicht alle </w:t>
      </w:r>
      <w:r w:rsidR="003F023C">
        <w:t xml:space="preserve">Regelmäßigkeiten </w:t>
      </w:r>
      <w:r w:rsidR="00DA6FD2">
        <w:t xml:space="preserve">einer Realisierung </w:t>
      </w:r>
      <w:r w:rsidR="00CE0D3C">
        <w:t xml:space="preserve">stilistische Merkmale </w:t>
      </w:r>
      <w:r w:rsidR="00DA6FD2">
        <w:t>sind</w:t>
      </w:r>
      <w:r w:rsidR="003F023C">
        <w:t xml:space="preserve">. </w:t>
      </w:r>
      <w:r w:rsidR="001D35FE">
        <w:t xml:space="preserve">Um stilistische Merkmale von anderen Regelmäßigkeiten einer Realisierung zu unterscheiden, müssen </w:t>
      </w:r>
      <w:r w:rsidR="00A37C56">
        <w:t>die Einschrä</w:t>
      </w:r>
      <w:r w:rsidR="00A37C56">
        <w:t>n</w:t>
      </w:r>
      <w:r w:rsidR="00A37C56">
        <w:t>kungen der Auswahlmöglichkeiten, die durch Bedingungen des Schemas, des Kontexts, der Funktion und des Inhalts entstehen, modelliert werden.</w:t>
      </w:r>
    </w:p>
    <w:p w:rsidR="001A5E99" w:rsidRDefault="001D35FE" w:rsidP="00A37C56">
      <w:pPr>
        <w:pStyle w:val="Text"/>
      </w:pPr>
      <w:r>
        <w:t xml:space="preserve">Es gibt also </w:t>
      </w:r>
      <w:r w:rsidR="00A37C56">
        <w:t xml:space="preserve">keine Eins-zu-eins-Zuordnung zwischen </w:t>
      </w:r>
      <w:r w:rsidR="009B75DA">
        <w:t xml:space="preserve">beiden Arten von </w:t>
      </w:r>
      <w:r w:rsidR="00A37C56">
        <w:t>R</w:t>
      </w:r>
      <w:r w:rsidR="00A37C56">
        <w:t>e</w:t>
      </w:r>
      <w:r w:rsidR="00A37C56">
        <w:t>gelmäßigkeiten</w:t>
      </w:r>
      <w:r w:rsidR="001A5E99">
        <w:t>. Dafür zwei Beispiele:</w:t>
      </w:r>
    </w:p>
    <w:p w:rsidR="00A37C56" w:rsidRDefault="001A5E99" w:rsidP="00A37C56">
      <w:pPr>
        <w:pStyle w:val="Text"/>
      </w:pPr>
      <w:r>
        <w:t>(a)</w:t>
      </w:r>
      <w:r>
        <w:tab/>
        <w:t>E</w:t>
      </w:r>
      <w:r w:rsidR="00A37C56">
        <w:t xml:space="preserve">ine bestimmte feststellbare Häufung von </w:t>
      </w:r>
      <w:r w:rsidR="00934449">
        <w:t xml:space="preserve">Wörtern </w:t>
      </w:r>
      <w:r w:rsidR="00A37C56">
        <w:t xml:space="preserve">in einem Text </w:t>
      </w:r>
      <w:r>
        <w:t xml:space="preserve">könnte </w:t>
      </w:r>
      <w:r w:rsidR="00A37C56">
        <w:t>auf den Inhalt, auf den Stil oder auf Einflüsse von beidem zurückzufü</w:t>
      </w:r>
      <w:r w:rsidR="00A37C56">
        <w:t>h</w:t>
      </w:r>
      <w:r w:rsidR="00A37C56">
        <w:t>ren sein. Was davon der Fall ist, kann nur durch eine genaue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A37C56">
        <w:t xml:space="preserve"> der jeweils unter den gegebenen inhaltlichen Bedingungen noch vorhandenen Au</w:t>
      </w:r>
      <w:r w:rsidR="00A37C56">
        <w:t>s</w:t>
      </w:r>
      <w:r w:rsidR="00A37C56">
        <w:t>wahlmöglichkeiten festgestellt werden.</w:t>
      </w:r>
    </w:p>
    <w:p w:rsidR="001A5E99" w:rsidRDefault="001A5E99" w:rsidP="001A5E99">
      <w:pPr>
        <w:pStyle w:val="Text"/>
      </w:pPr>
      <w:r>
        <w:t>(b)</w:t>
      </w:r>
      <w:r>
        <w:tab/>
        <w:t>Regelmäßigkeiten der Auswahl können interagieren</w:t>
      </w:r>
      <w:r w:rsidR="00CE0D3C">
        <w:t>:</w:t>
      </w:r>
      <w:r>
        <w:t xml:space="preserve"> Beispielsweise </w:t>
      </w:r>
      <w:r w:rsidR="00940EB3">
        <w:t>könnte ein</w:t>
      </w:r>
      <w:r w:rsidR="00337A51">
        <w:t>e</w:t>
      </w:r>
      <w:r w:rsidR="00940EB3">
        <w:t xml:space="preserve"> Autor</w:t>
      </w:r>
      <w:r w:rsidR="00337A51">
        <w:t>in</w:t>
      </w:r>
      <w:r w:rsidR="00940EB3">
        <w:t xml:space="preserve"> </w:t>
      </w:r>
      <w:r>
        <w:t xml:space="preserve">für einen Text </w:t>
      </w:r>
      <w:r w:rsidR="00337A51">
        <w:t xml:space="preserve">einerseits </w:t>
      </w:r>
      <w:r w:rsidR="00FC1899">
        <w:t xml:space="preserve">möglichst </w:t>
      </w:r>
      <w:r>
        <w:t>einfache Formulieru</w:t>
      </w:r>
      <w:r>
        <w:t>n</w:t>
      </w:r>
      <w:r>
        <w:t xml:space="preserve">gen, </w:t>
      </w:r>
      <w:r w:rsidR="00337A51">
        <w:t xml:space="preserve">andererseits </w:t>
      </w:r>
      <w:r>
        <w:t xml:space="preserve">eine wissenschaftlich präzise Ausdruckweise </w:t>
      </w:r>
      <w:r w:rsidR="00337A51">
        <w:t>anstreben</w:t>
      </w:r>
      <w:r w:rsidR="00FC1899">
        <w:t>; hat der Text nun in der ersten Hälfte relativ einfache, in der zweiten komplizierte Inha</w:t>
      </w:r>
      <w:r w:rsidR="00FC1899">
        <w:t>l</w:t>
      </w:r>
      <w:r w:rsidR="00FC1899">
        <w:t xml:space="preserve">te zu vermitteln, werden die Formulierungen in der ersten Hälfte einfach, in der zweiten aufgrund der </w:t>
      </w:r>
      <w:r w:rsidR="00CE0D3C">
        <w:t>Auswahl einer wissenschaftlich präzisen</w:t>
      </w:r>
      <w:r w:rsidR="00FC1899">
        <w:t xml:space="preserve"> Ausdrucksweise wesentlich komplizierter sein. Die Interaktion zweier Regelmäßigkeiten der Auswahl führt hier im Zusammenspiel mit eine</w:t>
      </w:r>
      <w:r w:rsidR="00CE0D3C">
        <w:t xml:space="preserve">r Veränderung einer Eigenschaft des Inhalts </w:t>
      </w:r>
      <w:r w:rsidR="00FC1899">
        <w:t>zu eine</w:t>
      </w:r>
      <w:r w:rsidR="00CE0D3C">
        <w:t>r</w:t>
      </w:r>
      <w:r w:rsidR="00FC1899">
        <w:t xml:space="preserve"> </w:t>
      </w:r>
      <w:r w:rsidR="00CE0D3C">
        <w:t>von ihnen deutlich unterschiedenen Regelmäßigkeit an der Realisierung (</w:t>
      </w:r>
      <w:r w:rsidR="001D35FE">
        <w:t xml:space="preserve">nämlich </w:t>
      </w:r>
      <w:r w:rsidR="00CE0D3C">
        <w:t>einem Bruch in der Komplexität der Formulierungen).</w:t>
      </w:r>
    </w:p>
    <w:p w:rsidR="001A5E99" w:rsidRDefault="001A5E99" w:rsidP="00A37C56">
      <w:pPr>
        <w:pStyle w:val="Text"/>
      </w:pPr>
      <w:r>
        <w:t>Diese und weitere denkbare Fälle zeigen, dass zwischen Regelmäßigkeiten der Auswahl und den durch sie verursachten Regelmäßigkeiten an einer Realisi</w:t>
      </w:r>
      <w:r>
        <w:t>e</w:t>
      </w:r>
      <w:r>
        <w:t xml:space="preserve">rung </w:t>
      </w:r>
      <w:r w:rsidR="00CE0D3C">
        <w:t xml:space="preserve">klar zu trennen </w:t>
      </w:r>
      <w:r>
        <w:t>ist.</w:t>
      </w:r>
    </w:p>
    <w:p w:rsidR="00A14B67" w:rsidRDefault="00A14B67" w:rsidP="00A37C56">
      <w:pPr>
        <w:pStyle w:val="Text"/>
      </w:pPr>
      <w:r>
        <w:t>Dabei ist, wie bereits im letzten Abschnitt betont wurde, die Wahrnehmung stilistischer Merkmale nicht vom Erkennen der Merkmalsregeln, die sie veru</w:t>
      </w:r>
      <w:r>
        <w:t>r</w:t>
      </w:r>
      <w:r>
        <w:t>sacht haben, zu trennen: Es gibt verschiedene Regelmäßigkeiten in Realisieru</w:t>
      </w:r>
      <w:r>
        <w:t>n</w:t>
      </w:r>
      <w:r>
        <w:t>gen; erst durch die Bildung von Alternativenklassen und die Beschreibung der verbleibenden Regelmäßigkeiten durch Merkmalsregeln ist es überhaupt mö</w:t>
      </w:r>
      <w:r>
        <w:t>g</w:t>
      </w:r>
      <w:r>
        <w:t xml:space="preserve">lich, die stilistisch relevanten Regelmäßigkeiten der Realisierung von solchen zu </w:t>
      </w:r>
      <w:r>
        <w:lastRenderedPageBreak/>
        <w:t>trennen, die sich aus den bei der Schemaausführung geltenden Bedingungen e</w:t>
      </w:r>
      <w:r>
        <w:t>r</w:t>
      </w:r>
      <w:r>
        <w:t xml:space="preserve">geben. Nur die </w:t>
      </w:r>
      <w:r w:rsidR="00147A6A">
        <w:t xml:space="preserve">ersteren </w:t>
      </w:r>
      <w:r>
        <w:t>sind stilistische Merkmale.</w:t>
      </w:r>
    </w:p>
    <w:p w:rsidR="00A5650F" w:rsidRDefault="00124256" w:rsidP="00A5650F">
      <w:pPr>
        <w:pStyle w:val="Text"/>
      </w:pPr>
      <w:r>
        <w:t xml:space="preserve">Wir fassen zusammen: </w:t>
      </w:r>
      <w:r w:rsidR="00EB42F7">
        <w:t xml:space="preserve">Als </w:t>
      </w:r>
      <w:r w:rsidR="00985CDD">
        <w:t>„</w:t>
      </w:r>
      <w:r w:rsidR="00EB42F7" w:rsidRPr="00985CDD">
        <w:t>stilistische Merkmale</w:t>
      </w:r>
      <w:r w:rsidR="00985CDD">
        <w:t>“</w:t>
      </w:r>
      <w:r w:rsidR="00EB42F7">
        <w:t xml:space="preserve"> (kurz: </w:t>
      </w:r>
      <w:r w:rsidR="00985CDD">
        <w:t>„</w:t>
      </w:r>
      <w:r w:rsidR="00EB42F7">
        <w:t>Merkmale</w:t>
      </w:r>
      <w:r w:rsidR="00985CDD">
        <w:t>“</w:t>
      </w:r>
      <w:r w:rsidR="00EB42F7">
        <w:t xml:space="preserve">) werden jene Regelmäßigkeiten einer Realisierung </w:t>
      </w:r>
      <w:r w:rsidR="00985CDD">
        <w:t>bezeichnet</w:t>
      </w:r>
      <w:r w:rsidR="00EB42F7">
        <w:t xml:space="preserve">, die durch </w:t>
      </w:r>
      <w:r w:rsidR="001D35FE">
        <w:t xml:space="preserve">jene </w:t>
      </w:r>
      <w:r w:rsidR="00EB42F7">
        <w:t>R</w:t>
      </w:r>
      <w:r w:rsidR="00EB42F7">
        <w:t>e</w:t>
      </w:r>
      <w:r w:rsidR="00EB42F7">
        <w:t xml:space="preserve">gelmäßigkeiten der Auswahl bedingt sind, </w:t>
      </w:r>
      <w:r w:rsidR="001D35FE">
        <w:t>die sich ergeben, wenn die Einschrä</w:t>
      </w:r>
      <w:r w:rsidR="001D35FE">
        <w:t>n</w:t>
      </w:r>
      <w:r w:rsidR="001D35FE">
        <w:t xml:space="preserve">kung der Auswahlmöglichkeiten durch </w:t>
      </w:r>
      <w:r w:rsidR="00EB42F7">
        <w:t xml:space="preserve">Bedingungen des Schemas, des Kontexts, der Funktion oder des Inhalts </w:t>
      </w:r>
      <w:r w:rsidR="001D35FE">
        <w:t>berücksichtigt wird</w:t>
      </w:r>
      <w:r w:rsidR="00EB42F7">
        <w:t>.</w:t>
      </w:r>
    </w:p>
    <w:p w:rsidR="00A5650F" w:rsidRDefault="002F62BA" w:rsidP="00A5650F">
      <w:pPr>
        <w:pStyle w:val="Text"/>
      </w:pPr>
      <w:r>
        <w:t xml:space="preserve">Die Definition </w:t>
      </w:r>
      <w:bookmarkStart w:id="90" w:name="_Ref290145926"/>
      <w:r w:rsidR="00985CDD">
        <w:t>des Terminus</w:t>
      </w:r>
      <w:bookmarkEnd w:id="90"/>
      <w:r w:rsidR="00985CDD">
        <w:t xml:space="preserve"> „</w:t>
      </w:r>
      <w:r w:rsidR="00A5650F">
        <w:t>stilistisches Merkmal</w:t>
      </w:r>
      <w:r w:rsidR="00985CDD">
        <w:t>“</w:t>
      </w:r>
      <w:r w:rsidR="00A5650F">
        <w:t xml:space="preserve"> wird aus Gründen der Übersichtlichkeit und terminologischen Konsistenz in Abschnitt </w:t>
      </w:r>
      <w:r w:rsidR="005D7996">
        <w:fldChar w:fldCharType="begin"/>
      </w:r>
      <w:r w:rsidR="004363E7">
        <w:instrText xml:space="preserve"> REF _Ref274036289 \r \h </w:instrText>
      </w:r>
      <w:r w:rsidR="005D7996">
        <w:fldChar w:fldCharType="separate"/>
      </w:r>
      <w:r w:rsidR="001231D3">
        <w:t>2.12</w:t>
      </w:r>
      <w:r w:rsidR="005D7996">
        <w:fldChar w:fldCharType="end"/>
      </w:r>
      <w:r w:rsidR="004363E7">
        <w:t xml:space="preserve"> </w:t>
      </w:r>
      <w:r w:rsidR="00A5650F">
        <w:t xml:space="preserve">gegeben, zusammen mit der Definition für </w:t>
      </w:r>
      <w:r w:rsidR="00985CDD">
        <w:t>„</w:t>
      </w:r>
      <w:r w:rsidR="00A5650F">
        <w:t>Merkmalsregel</w:t>
      </w:r>
      <w:r w:rsidR="00985CDD">
        <w:t>“</w:t>
      </w:r>
      <w:r w:rsidR="00A5650F">
        <w:t xml:space="preserve">. </w:t>
      </w:r>
      <w:r w:rsidR="00CD7123">
        <w:t xml:space="preserve">Um diese Definitionen </w:t>
      </w:r>
      <w:r w:rsidR="00A5650F">
        <w:t>sp</w:t>
      </w:r>
      <w:r w:rsidR="00A5650F">
        <w:t>ä</w:t>
      </w:r>
      <w:r w:rsidR="00A5650F">
        <w:t xml:space="preserve">ter nicht noch einmal ergänzen zu müssen, führen wir </w:t>
      </w:r>
      <w:r w:rsidR="00100E7D">
        <w:t xml:space="preserve">zunächst noch </w:t>
      </w:r>
      <w:r w:rsidR="00CD7123">
        <w:t>(</w:t>
      </w:r>
      <w:r w:rsidR="00A5650F">
        <w:t>in einem gewissen Vorgriff</w:t>
      </w:r>
      <w:r w:rsidR="00CD7123">
        <w:t>)</w:t>
      </w:r>
      <w:r w:rsidR="00C82DDC">
        <w:t xml:space="preserve"> den </w:t>
      </w:r>
      <w:r w:rsidR="00985CDD">
        <w:t>Terminus „</w:t>
      </w:r>
      <w:r w:rsidR="00A5650F" w:rsidRPr="00A5650F">
        <w:t>stilistisches Zeichen</w:t>
      </w:r>
      <w:r w:rsidR="005D7996">
        <w:fldChar w:fldCharType="begin"/>
      </w:r>
      <w:r w:rsidR="004106D2">
        <w:instrText xml:space="preserve"> XE "</w:instrText>
      </w:r>
      <w:r w:rsidR="004106D2" w:rsidRPr="00494BF1">
        <w:instrText>stilistisches Zeichen</w:instrText>
      </w:r>
      <w:r w:rsidR="004106D2">
        <w:instrText xml:space="preserve">" </w:instrText>
      </w:r>
      <w:r w:rsidR="005D7996">
        <w:fldChar w:fldCharType="end"/>
      </w:r>
      <w:r w:rsidR="00985CDD">
        <w:t>“ ein:</w:t>
      </w:r>
      <w:r w:rsidR="00A5650F">
        <w:t xml:space="preserve"> Ein </w:t>
      </w:r>
      <w:r w:rsidR="00A5650F" w:rsidRPr="00985CDD">
        <w:t>stilistisches Zeichen</w:t>
      </w:r>
      <w:r w:rsidR="00A5650F">
        <w:t xml:space="preserve"> besteht aus den stilistischen Merkmalen an einer Realisierung als Ze</w:t>
      </w:r>
      <w:r w:rsidR="00A5650F">
        <w:t>i</w:t>
      </w:r>
      <w:r w:rsidR="00A5650F">
        <w:t xml:space="preserve">chenträger und den Merkmalsregeln, die diese erzeugt haben, als Zeicheninhalt. Dies soll hier nur konstatiert werden; in Abschnitt </w:t>
      </w:r>
      <w:r w:rsidR="005D7996">
        <w:fldChar w:fldCharType="begin"/>
      </w:r>
      <w:r w:rsidR="00A5650F">
        <w:instrText xml:space="preserve"> REF _Ref272607625 \r \h </w:instrText>
      </w:r>
      <w:r w:rsidR="005D7996">
        <w:fldChar w:fldCharType="separate"/>
      </w:r>
      <w:r w:rsidR="001231D3">
        <w:t>2.13</w:t>
      </w:r>
      <w:r w:rsidR="005D7996">
        <w:fldChar w:fldCharType="end"/>
      </w:r>
      <w:r w:rsidR="00A5650F">
        <w:t xml:space="preserve"> werden die Produktion und Rezeption von stilistischen Zeichen genauer untersucht, in Abschnitt </w:t>
      </w:r>
      <w:r w:rsidR="005D7996">
        <w:fldChar w:fldCharType="begin"/>
      </w:r>
      <w:r w:rsidR="00A5650F">
        <w:instrText xml:space="preserve"> REF _Ref273517132 \r \h </w:instrText>
      </w:r>
      <w:r w:rsidR="005D7996">
        <w:fldChar w:fldCharType="separate"/>
      </w:r>
      <w:r w:rsidR="001231D3">
        <w:t>2.16</w:t>
      </w:r>
      <w:r w:rsidR="005D7996">
        <w:fldChar w:fldCharType="end"/>
      </w:r>
      <w:r w:rsidR="00A5650F">
        <w:t xml:space="preserve"> dann im Kontext der Stildefin</w:t>
      </w:r>
      <w:r w:rsidR="00C82DDC">
        <w:t>ition</w:t>
      </w:r>
      <w:r w:rsidR="005D7996">
        <w:fldChar w:fldCharType="begin"/>
      </w:r>
      <w:r w:rsidR="00C6415A">
        <w:instrText xml:space="preserve"> XE "</w:instrText>
      </w:r>
      <w:r w:rsidR="00C6415A" w:rsidRPr="00F10689">
        <w:instrText>Stildefinition</w:instrText>
      </w:r>
      <w:r w:rsidR="00C6415A">
        <w:instrText xml:space="preserve">" </w:instrText>
      </w:r>
      <w:r w:rsidR="005D7996">
        <w:fldChar w:fldCharType="end"/>
      </w:r>
      <w:r w:rsidR="00C82DDC">
        <w:t xml:space="preserve"> auch eine Definition für </w:t>
      </w:r>
      <w:r w:rsidR="00985CDD">
        <w:t>„</w:t>
      </w:r>
      <w:r w:rsidR="00A5650F">
        <w:t>stilistisches Ze</w:t>
      </w:r>
      <w:r w:rsidR="00A5650F">
        <w:t>i</w:t>
      </w:r>
      <w:r w:rsidR="00A5650F">
        <w:t>chen</w:t>
      </w:r>
      <w:r w:rsidR="00985CDD">
        <w:t>“</w:t>
      </w:r>
      <w:r w:rsidR="00A5650F">
        <w:t xml:space="preserve"> gegeben.</w:t>
      </w:r>
    </w:p>
    <w:p w:rsidR="00DE1DF4" w:rsidRDefault="00F86861" w:rsidP="00DE1DF4">
      <w:pPr>
        <w:pStyle w:val="Titel2"/>
      </w:pPr>
      <w:bookmarkStart w:id="91" w:name="_Ref274036201"/>
      <w:bookmarkStart w:id="92" w:name="_Ref274036203"/>
      <w:bookmarkStart w:id="93" w:name="_Ref274036205"/>
      <w:bookmarkStart w:id="94" w:name="_Ref274036258"/>
      <w:bookmarkStart w:id="95" w:name="_Ref274036289"/>
      <w:bookmarkStart w:id="96" w:name="_Ref274036713"/>
      <w:bookmarkStart w:id="97" w:name="_Ref274036745"/>
      <w:bookmarkStart w:id="98" w:name="_Ref274036773"/>
      <w:bookmarkStart w:id="99" w:name="_Ref274036966"/>
      <w:bookmarkStart w:id="100" w:name="_Toc325456706"/>
      <w:bookmarkStart w:id="101" w:name="Merkmalsregel"/>
      <w:r>
        <w:t>Merkmals</w:t>
      </w:r>
      <w:r w:rsidR="0019678E">
        <w:t>erzeugende Regeln (= </w:t>
      </w:r>
      <w:r w:rsidR="003F023C">
        <w:t>Merkmalsregeln)</w:t>
      </w:r>
      <w:bookmarkEnd w:id="91"/>
      <w:bookmarkEnd w:id="92"/>
      <w:bookmarkEnd w:id="93"/>
      <w:bookmarkEnd w:id="94"/>
      <w:bookmarkEnd w:id="95"/>
      <w:bookmarkEnd w:id="96"/>
      <w:bookmarkEnd w:id="97"/>
      <w:bookmarkEnd w:id="98"/>
      <w:bookmarkEnd w:id="99"/>
      <w:bookmarkEnd w:id="100"/>
    </w:p>
    <w:p w:rsidR="00A909F5" w:rsidRDefault="005D7996" w:rsidP="000E200E">
      <w:pPr>
        <w:pStyle w:val="Text"/>
        <w:ind w:firstLine="0"/>
      </w:pPr>
      <w:r>
        <w:fldChar w:fldCharType="begin"/>
      </w:r>
      <w:r w:rsidR="00520FF4">
        <w:instrText xml:space="preserve"> XE "Merkmalsregel" \r "Merkmalsregel</w:instrText>
      </w:r>
      <w:r w:rsidR="00283771">
        <w:instrText xml:space="preserve">" </w:instrText>
      </w:r>
      <w:r>
        <w:fldChar w:fldCharType="end"/>
      </w:r>
      <w:r>
        <w:fldChar w:fldCharType="begin"/>
      </w:r>
      <w:r w:rsidR="00283771">
        <w:instrText xml:space="preserve"> XE "Merkma</w:instrText>
      </w:r>
      <w:r w:rsidR="00F14FE2">
        <w:instrText>lsregel</w:instrText>
      </w:r>
      <w:r w:rsidR="00283771">
        <w:instrText>" \t "</w:instrText>
      </w:r>
      <w:r w:rsidR="00015942">
        <w:rPr>
          <w:i/>
        </w:rPr>
        <w:instrText>et passim</w:instrText>
      </w:r>
      <w:r w:rsidR="00283771">
        <w:instrText xml:space="preserve">" </w:instrText>
      </w:r>
      <w:r>
        <w:fldChar w:fldCharType="end"/>
      </w:r>
      <w:r w:rsidR="001D35FE">
        <w:t xml:space="preserve">Die </w:t>
      </w:r>
      <w:r w:rsidR="003F023C">
        <w:t xml:space="preserve">Regelmäßigkeiten der Auswahl, die </w:t>
      </w:r>
      <w:r w:rsidR="001D35FE">
        <w:t xml:space="preserve">sich bei Beachtung der verschiedenen geltenden Bedingungen ergeben, </w:t>
      </w:r>
      <w:r w:rsidR="00A909F5">
        <w:t xml:space="preserve">werden innerhalb des Modells als </w:t>
      </w:r>
      <w:r w:rsidR="00F41B74">
        <w:t>‚</w:t>
      </w:r>
      <w:r w:rsidR="00A909F5">
        <w:t>Merkmalsr</w:t>
      </w:r>
      <w:r w:rsidR="00A909F5">
        <w:t>e</w:t>
      </w:r>
      <w:r w:rsidR="00A909F5">
        <w:t>geln</w:t>
      </w:r>
      <w:r w:rsidR="00F41B74">
        <w:t>‘</w:t>
      </w:r>
      <w:r w:rsidR="00A909F5">
        <w:t xml:space="preserve"> modelliert. Zur Wahl </w:t>
      </w:r>
      <w:r w:rsidR="00985CDD">
        <w:t xml:space="preserve">des Terminus </w:t>
      </w:r>
      <w:r w:rsidR="00F41B74">
        <w:t xml:space="preserve">„Merkmalsregel“ </w:t>
      </w:r>
      <w:r w:rsidR="00A909F5">
        <w:t>ist zweierlei zu b</w:t>
      </w:r>
      <w:r w:rsidR="00A909F5">
        <w:t>e</w:t>
      </w:r>
      <w:r w:rsidR="00A909F5">
        <w:t>merken:</w:t>
      </w:r>
    </w:p>
    <w:p w:rsidR="00A909F5" w:rsidRDefault="00A909F5" w:rsidP="00A909F5">
      <w:pPr>
        <w:pStyle w:val="Text"/>
      </w:pPr>
      <w:r>
        <w:t>(1)</w:t>
      </w:r>
      <w:r>
        <w:tab/>
      </w:r>
      <w:r w:rsidRPr="00A909F5">
        <w:rPr>
          <w:i/>
        </w:rPr>
        <w:t>Merkmalsregeln modellieren nicht stilistische Merkmale, sondern Rege</w:t>
      </w:r>
      <w:r w:rsidRPr="00A909F5">
        <w:rPr>
          <w:i/>
        </w:rPr>
        <w:t>l</w:t>
      </w:r>
      <w:r w:rsidRPr="00A909F5">
        <w:rPr>
          <w:i/>
        </w:rPr>
        <w:t xml:space="preserve">mäßigkeiten der Auswahl, die </w:t>
      </w:r>
      <w:r w:rsidR="001D35FE">
        <w:rPr>
          <w:i/>
        </w:rPr>
        <w:t xml:space="preserve">bei der Anwendung auf eine Realisierung </w:t>
      </w:r>
      <w:r w:rsidR="006D280F">
        <w:rPr>
          <w:i/>
        </w:rPr>
        <w:t>stilistische Merkmale</w:t>
      </w:r>
      <w:r w:rsidRPr="00A909F5">
        <w:rPr>
          <w:i/>
        </w:rPr>
        <w:t xml:space="preserve"> </w:t>
      </w:r>
      <w:r w:rsidR="006D280F">
        <w:rPr>
          <w:i/>
        </w:rPr>
        <w:t>erzeugen</w:t>
      </w:r>
      <w:r w:rsidRPr="00A909F5">
        <w:rPr>
          <w:i/>
        </w:rPr>
        <w:t>.</w:t>
      </w:r>
      <w:r>
        <w:t xml:space="preserve"> </w:t>
      </w:r>
      <w:r w:rsidR="00985CDD">
        <w:t xml:space="preserve">Der Terminus </w:t>
      </w:r>
      <w:r w:rsidR="00F41B74">
        <w:t>„</w:t>
      </w:r>
      <w:r>
        <w:t>Merkmalsregel</w:t>
      </w:r>
      <w:r w:rsidR="00F41B74">
        <w:t xml:space="preserve">“ </w:t>
      </w:r>
      <w:r>
        <w:t xml:space="preserve">ist als Abkürzung für „merkmalserzeugende Regel“ zu verstehen. Da </w:t>
      </w:r>
      <w:r w:rsidR="00985CDD">
        <w:t xml:space="preserve">die Bezeichnung </w:t>
      </w:r>
      <w:r>
        <w:t xml:space="preserve">sehr häufig in der Arbeit verwendet wird, erscheint die Verwendung dieser </w:t>
      </w:r>
      <w:r w:rsidR="00985CDD">
        <w:t xml:space="preserve">Abkürzung </w:t>
      </w:r>
      <w:r w:rsidR="00B774CB">
        <w:t xml:space="preserve">als </w:t>
      </w:r>
      <w:r>
        <w:t>a</w:t>
      </w:r>
      <w:r>
        <w:t>k</w:t>
      </w:r>
      <w:r>
        <w:t>zeptabel.</w:t>
      </w:r>
    </w:p>
    <w:p w:rsidR="00A909F5" w:rsidRDefault="00B774CB" w:rsidP="00D67A96">
      <w:pPr>
        <w:pStyle w:val="Text"/>
      </w:pPr>
      <w:r>
        <w:t>(2)</w:t>
      </w:r>
      <w:r>
        <w:tab/>
      </w:r>
      <w:r w:rsidRPr="00B774CB">
        <w:rPr>
          <w:i/>
        </w:rPr>
        <w:t>Regeln werden innerhalb des Modells verwendet, um Regelmäßigkeiten innerhalb von Prozessen zu simulieren.</w:t>
      </w:r>
      <w:r>
        <w:t xml:space="preserve"> Ist in dieser Arbeit von „Merkmalsregel“ die Rede, dann wird damit nicht impliziert, dass es sich bei dem mit dieser Regel modellierten Phänomen auch um eine Regel handelt. Vielmehr kann es sich dabei um </w:t>
      </w:r>
      <w:r w:rsidR="009B4ABD">
        <w:t>verschiedene</w:t>
      </w:r>
      <w:r>
        <w:t xml:space="preserve"> Arten von</w:t>
      </w:r>
      <w:r w:rsidR="009B4ABD">
        <w:t xml:space="preserve"> Einflüssen, kulturspezifischen Normen</w:t>
      </w:r>
      <w:r w:rsidR="005D7996">
        <w:fldChar w:fldCharType="begin"/>
      </w:r>
      <w:r w:rsidR="001151DC">
        <w:instrText xml:space="preserve"> XE "</w:instrText>
      </w:r>
      <w:r w:rsidR="001151DC" w:rsidRPr="00674315">
        <w:instrText>Norm</w:instrText>
      </w:r>
      <w:r w:rsidR="001151DC">
        <w:instrText xml:space="preserve">" </w:instrText>
      </w:r>
      <w:r w:rsidR="005D7996">
        <w:fldChar w:fldCharType="end"/>
      </w:r>
      <w:r w:rsidR="009B4ABD">
        <w:t>, Begrenzu</w:t>
      </w:r>
      <w:r w:rsidR="009B4ABD">
        <w:t>n</w:t>
      </w:r>
      <w:r w:rsidR="009B4ABD">
        <w:t xml:space="preserve">gen des Wissens, Kodebefolgungen, spontanen Entscheidungen des </w:t>
      </w:r>
      <w:r w:rsidR="006C1B4A">
        <w:t>Stilanwe</w:t>
      </w:r>
      <w:r w:rsidR="006C1B4A">
        <w:t>n</w:t>
      </w:r>
      <w:r w:rsidR="006C1B4A">
        <w:t>ders</w:t>
      </w:r>
      <w:r w:rsidR="009B4ABD">
        <w:t xml:space="preserve">, aber auch um tatsächliche Regeln handeln, die sich der </w:t>
      </w:r>
      <w:r w:rsidR="006C1B4A">
        <w:t xml:space="preserve">Stilanwender </w:t>
      </w:r>
      <w:r w:rsidR="009B4ABD">
        <w:t>selbst oder die ihm sein soziales Milieu</w:t>
      </w:r>
      <w:r w:rsidR="005D7996">
        <w:fldChar w:fldCharType="begin"/>
      </w:r>
      <w:r w:rsidR="002A70CA">
        <w:instrText xml:space="preserve"> XE "</w:instrText>
      </w:r>
      <w:r w:rsidR="002A70CA" w:rsidRPr="00B93568">
        <w:instrText>Milieu</w:instrText>
      </w:r>
      <w:r w:rsidR="002A70CA">
        <w:instrText xml:space="preserve">" </w:instrText>
      </w:r>
      <w:r w:rsidR="005D7996">
        <w:fldChar w:fldCharType="end"/>
      </w:r>
      <w:r w:rsidR="009B4ABD">
        <w:t xml:space="preserve"> oder seine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9B4ABD">
        <w:t xml:space="preserve"> setzt. Für denjenigen, der einen Stil wahrnimmt, ist jedoch der genaue Grund für die erkennbare Regelm</w:t>
      </w:r>
      <w:r w:rsidR="009B4ABD">
        <w:t>ä</w:t>
      </w:r>
      <w:r w:rsidR="009B4ABD">
        <w:t>ßigkeit (wenn überhaupt) erst in einer Interpretation</w:t>
      </w:r>
      <w:r w:rsidR="006F0E23">
        <w:t xml:space="preserve"> des Stils zu erschließen. Daher wird im Modell auf ihre Unterscheidung verzichtet; </w:t>
      </w:r>
      <w:r w:rsidR="005917DA">
        <w:t xml:space="preserve">die Wirkung aller </w:t>
      </w:r>
      <w:r w:rsidR="005917DA">
        <w:lastRenderedPageBreak/>
        <w:t xml:space="preserve">dieser Faktoren, insoweit sie sich in Regelmäßigkeiten der Auswahl äußert, wird </w:t>
      </w:r>
      <w:r w:rsidR="006F0E23">
        <w:t xml:space="preserve">mit Hilfe von </w:t>
      </w:r>
      <w:r w:rsidR="005917DA">
        <w:t>Merkmalsr</w:t>
      </w:r>
      <w:r w:rsidR="006F0E23">
        <w:t>egeln simuliert.</w:t>
      </w:r>
    </w:p>
    <w:p w:rsidR="00EE5FEE" w:rsidRPr="00757510" w:rsidRDefault="00EE5FEE" w:rsidP="008628B0">
      <w:pPr>
        <w:pStyle w:val="Definition"/>
      </w:pPr>
      <w:r w:rsidRPr="00CC6E60">
        <w:t>Def.</w:t>
      </w:r>
      <w:r w:rsidR="008628B0">
        <w:tab/>
      </w:r>
      <w:r w:rsidR="005D7996">
        <w:fldChar w:fldCharType="begin"/>
      </w:r>
      <w:r w:rsidR="004F1CC6">
        <w:instrText xml:space="preserve"> XE "stilistisches Merkmal:</w:instrText>
      </w:r>
      <w:r w:rsidR="004F1CC6" w:rsidRPr="0073281C">
        <w:rPr>
          <w:i/>
        </w:rPr>
        <w:instrText>Definition</w:instrText>
      </w:r>
      <w:r w:rsidR="004F1CC6">
        <w:instrText xml:space="preserve">" </w:instrText>
      </w:r>
      <w:r w:rsidR="005D7996">
        <w:fldChar w:fldCharType="end"/>
      </w:r>
      <w:r w:rsidRPr="00C427B0">
        <w:rPr>
          <w:b/>
        </w:rPr>
        <w:t>Stilistisches Merkmal:</w:t>
      </w:r>
      <w:r>
        <w:t xml:space="preserve"> Stilistische Merkmale bilden den Zeichenträger</w:t>
      </w:r>
      <w:r w:rsidR="005D7996">
        <w:fldChar w:fldCharType="begin"/>
      </w:r>
      <w:r w:rsidR="00ED08E6">
        <w:instrText xml:space="preserve"> XE "</w:instrText>
      </w:r>
      <w:r w:rsidR="00ED08E6" w:rsidRPr="00085C14">
        <w:instrText>Zeichenträger</w:instrText>
      </w:r>
      <w:r w:rsidR="00ED08E6">
        <w:instrText xml:space="preserve">" </w:instrText>
      </w:r>
      <w:r w:rsidR="005D7996">
        <w:fldChar w:fldCharType="end"/>
      </w:r>
      <w:r>
        <w:t xml:space="preserve"> des stilistischen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t>. Sie entstehen als Spuren der Anwendung einer Menge von Merkmalsregeln bei der Erzeugung einer Realisierung. Bei stilistischen Merkmalen handelt es sich also (innerhalb des Modells) um Regelanwendungsspuren. – Stilistische Merkmale treten an Realisieru</w:t>
      </w:r>
      <w:r>
        <w:t>n</w:t>
      </w:r>
      <w:r>
        <w:t>gen auf.</w:t>
      </w:r>
    </w:p>
    <w:p w:rsidR="008577B6" w:rsidRPr="00757510" w:rsidRDefault="008577B6" w:rsidP="008628B0">
      <w:pPr>
        <w:pStyle w:val="Definition"/>
      </w:pPr>
      <w:r w:rsidRPr="00CC6E60">
        <w:t>Def</w:t>
      </w:r>
      <w:r w:rsidR="008628B0">
        <w:t>.</w:t>
      </w:r>
      <w:r w:rsidR="008628B0">
        <w:tab/>
      </w:r>
      <w:r w:rsidR="005D7996">
        <w:fldChar w:fldCharType="begin"/>
      </w:r>
      <w:r w:rsidR="004F1CC6">
        <w:instrText xml:space="preserve"> XE "Merkmalsregel:</w:instrText>
      </w:r>
      <w:r w:rsidR="004F1CC6" w:rsidRPr="0073281C">
        <w:rPr>
          <w:i/>
        </w:rPr>
        <w:instrText>Definition</w:instrText>
      </w:r>
      <w:r w:rsidR="004F1CC6">
        <w:instrText xml:space="preserve">" </w:instrText>
      </w:r>
      <w:r w:rsidR="005D7996">
        <w:fldChar w:fldCharType="end"/>
      </w:r>
      <w:r w:rsidRPr="00C427B0">
        <w:rPr>
          <w:b/>
        </w:rPr>
        <w:t>M</w:t>
      </w:r>
      <w:r>
        <w:rPr>
          <w:b/>
        </w:rPr>
        <w:t>erkmalsregel</w:t>
      </w:r>
      <w:r w:rsidRPr="00C427B0">
        <w:rPr>
          <w:b/>
        </w:rPr>
        <w:t>:</w:t>
      </w:r>
      <w:r>
        <w:t xml:space="preserve"> Merkmalsregeln bilden (innerhalb des Modells) den </w:t>
      </w:r>
      <w:r w:rsidR="00BE197C">
        <w:t>Zeicheni</w:t>
      </w:r>
      <w:r>
        <w:t>nhalt</w:t>
      </w:r>
      <w:r w:rsidR="005D7996">
        <w:fldChar w:fldCharType="begin"/>
      </w:r>
      <w:r w:rsidR="00205E1C">
        <w:instrText xml:space="preserve"> XE "</w:instrText>
      </w:r>
      <w:r w:rsidR="00205E1C" w:rsidRPr="006431A2">
        <w:instrText>Zeicheninhalt</w:instrText>
      </w:r>
      <w:r w:rsidR="00205E1C">
        <w:instrText xml:space="preserve">" </w:instrText>
      </w:r>
      <w:r w:rsidR="005D7996">
        <w:fldChar w:fldCharType="end"/>
      </w:r>
      <w:r>
        <w:t xml:space="preserve"> des stilistischen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t xml:space="preserve">. Sie modellieren diejenigen </w:t>
      </w:r>
      <w:r w:rsidR="00BD1EC7">
        <w:t xml:space="preserve">bei der Erzeugung einer Realisierung </w:t>
      </w:r>
      <w:r>
        <w:t>vorkommenden Regelmäßigkeiten</w:t>
      </w:r>
      <w:r w:rsidR="00BD1EC7">
        <w:t xml:space="preserve"> der Auswahl</w:t>
      </w:r>
      <w:r>
        <w:t xml:space="preserve">, die sich nicht aus Bedingungen des Schemas oder </w:t>
      </w:r>
      <w:r w:rsidR="00F11A70">
        <w:t xml:space="preserve">aus </w:t>
      </w:r>
      <w:r>
        <w:t>konte</w:t>
      </w:r>
      <w:r>
        <w:t>x</w:t>
      </w:r>
      <w:r>
        <w:t>tuelle</w:t>
      </w:r>
      <w:r w:rsidR="00F11A70">
        <w:t>n</w:t>
      </w:r>
      <w:r>
        <w:t>, funktionale</w:t>
      </w:r>
      <w:r w:rsidR="00F11A70">
        <w:t>n</w:t>
      </w:r>
      <w:r>
        <w:t xml:space="preserve"> oder inhaltliche</w:t>
      </w:r>
      <w:r w:rsidR="00F11A70">
        <w:t>n</w:t>
      </w:r>
      <w:r>
        <w:t xml:space="preserv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 xml:space="preserve"> ergeben. – Mer</w:t>
      </w:r>
      <w:r>
        <w:t>k</w:t>
      </w:r>
      <w:r>
        <w:t>malsregeln wirken bei der Erzeugung einer Realisierung, also bei der Schemaausführung.</w:t>
      </w:r>
      <w:r>
        <w:rPr>
          <w:rStyle w:val="Funotenzeichen"/>
        </w:rPr>
        <w:footnoteReference w:id="130"/>
      </w:r>
    </w:p>
    <w:p w:rsidR="00204861" w:rsidRDefault="00204861" w:rsidP="00BD1EC7">
      <w:pPr>
        <w:pStyle w:val="Text"/>
        <w:ind w:firstLine="0"/>
      </w:pPr>
      <w:r>
        <w:t xml:space="preserve">Wir benötigen </w:t>
      </w:r>
      <w:r w:rsidR="00C3491F">
        <w:t xml:space="preserve">also </w:t>
      </w:r>
      <w:r>
        <w:t xml:space="preserve">eine einheitliche Formulierung für </w:t>
      </w:r>
      <w:r w:rsidR="00C3491F">
        <w:t>Regelmäßigkeiten</w:t>
      </w:r>
      <w:r>
        <w:t xml:space="preserve"> der Auswahl. Dafür müssen wir zunächst eine Darstellung von Alternativenklassen finden, die für unsere Zwecke geeignet ist. Alternativenklassen bestehen aus einer Anzahl von Elementen, die an einer bestimmten Stelle einer Realisierung eingesetzt werden können; sie werden mit Hilfe von </w:t>
      </w:r>
      <w:r w:rsidRPr="00512E71">
        <w:rPr>
          <w:i/>
        </w:rPr>
        <w:t>Alternativenbedingungen</w:t>
      </w:r>
      <w:r>
        <w:t xml:space="preserve"> gebildet. Wir wissen also, dass die in den Alternativenbedingungen angegebenen Eigenschaften für </w:t>
      </w:r>
      <w:r w:rsidRPr="00BB7537">
        <w:rPr>
          <w:i/>
        </w:rPr>
        <w:t>alle</w:t>
      </w:r>
      <w:r>
        <w:t xml:space="preserve"> Elemente der Alternativenklasse gelten müssen; ein El</w:t>
      </w:r>
      <w:r>
        <w:t>e</w:t>
      </w:r>
      <w:r>
        <w:t xml:space="preserve">ment kann also nicht durch Bezugnahme auf diese Eigenschaften ausgewählt worden sein. Prinzipiell können alle anderen Eigenschaften, die nicht </w:t>
      </w:r>
      <w:r w:rsidRPr="00D915F4">
        <w:t>per defin</w:t>
      </w:r>
      <w:r w:rsidRPr="00D915F4">
        <w:t>i</w:t>
      </w:r>
      <w:r w:rsidRPr="00D915F4">
        <w:t>tionem</w:t>
      </w:r>
      <w:r>
        <w:t xml:space="preserve"> (nämlich als Bedingung der Zugehörigkeit zur Alternativenklasse) b</w:t>
      </w:r>
      <w:r>
        <w:t>e</w:t>
      </w:r>
      <w:r>
        <w:t>reits am Element vorhanden sein müssen, zur Auswahl verwendet werden.</w:t>
      </w:r>
    </w:p>
    <w:p w:rsidR="00204861" w:rsidRDefault="00204861" w:rsidP="00204861">
      <w:pPr>
        <w:pStyle w:val="Text"/>
      </w:pPr>
      <w:r>
        <w:t>Wir benötigen daher für jedes Element einer Alternativenklasse alle Eige</w:t>
      </w:r>
      <w:r>
        <w:t>n</w:t>
      </w:r>
      <w:r>
        <w:t>schaften, die ihm zukommen. Dabei werden die Eigenschaften, die in den Alter</w:t>
      </w:r>
      <w:r w:rsidR="00304AD4">
        <w:softHyphen/>
      </w:r>
      <w:r>
        <w:t>nativenbedingungen der Alternativenklasse für deren Elemente verlangt werden, noch einmal unterteilt</w:t>
      </w:r>
      <w:r w:rsidR="00FC5920">
        <w:t xml:space="preserve"> in (1) Eigenschaften, die Schema und Schemaort </w:t>
      </w:r>
      <w:r w:rsidR="001445BE">
        <w:t>festl</w:t>
      </w:r>
      <w:r w:rsidR="001445BE">
        <w:t>e</w:t>
      </w:r>
      <w:r w:rsidR="001445BE">
        <w:t xml:space="preserve">gen, und (2) </w:t>
      </w:r>
      <w:r w:rsidR="00EF799F">
        <w:t>Eigenschaften, die zusätzlich</w:t>
      </w:r>
      <w:r w:rsidR="001445BE">
        <w:t xml:space="preserve"> für die Alternativenklasse</w:t>
      </w:r>
      <w:r w:rsidR="00EF799F">
        <w:t xml:space="preserve"> spezifiziert werden</w:t>
      </w:r>
      <w:r w:rsidR="001445BE">
        <w:t>.</w:t>
      </w:r>
    </w:p>
    <w:p w:rsidR="00204861" w:rsidRDefault="00204861" w:rsidP="00204861">
      <w:pPr>
        <w:pStyle w:val="Text"/>
      </w:pPr>
      <w:r>
        <w:t xml:space="preserve">Daher sind </w:t>
      </w:r>
      <w:r w:rsidR="00137D44">
        <w:t xml:space="preserve">die folgenden </w:t>
      </w:r>
      <w:r>
        <w:t>Arten von Eigenschaften zu unterscheiden:</w:t>
      </w:r>
      <w:r>
        <w:rPr>
          <w:rStyle w:val="Funotenzeichen"/>
        </w:rPr>
        <w:footnoteReference w:id="131"/>
      </w:r>
    </w:p>
    <w:p w:rsidR="00204861" w:rsidRDefault="00204861" w:rsidP="00204861">
      <w:pPr>
        <w:pStyle w:val="Text"/>
      </w:pPr>
      <w:r>
        <w:t>(1)</w:t>
      </w:r>
      <w:r>
        <w:tab/>
        <w:t xml:space="preserve">Eigenschaften, die </w:t>
      </w:r>
      <w:r w:rsidR="00FC5920">
        <w:t>den Schemaort (eines bestimmten Schemas) festl</w:t>
      </w:r>
      <w:r w:rsidR="00FC5920">
        <w:t>e</w:t>
      </w:r>
      <w:r w:rsidR="00FC5920">
        <w:t>gen, der einer bestimmten Alternativenklasse zugrunde liegt, im Folgenden „</w:t>
      </w:r>
      <w:r w:rsidR="00AD2226">
        <w:t xml:space="preserve">Schemaort-definierende </w:t>
      </w:r>
      <w:r w:rsidR="00FC5920">
        <w:t>Eigenschaften</w:t>
      </w:r>
      <w:r w:rsidR="005D7996">
        <w:fldChar w:fldCharType="begin"/>
      </w:r>
      <w:r w:rsidR="00D6214C">
        <w:instrText xml:space="preserve"> XE "</w:instrText>
      </w:r>
      <w:r w:rsidR="00D6214C" w:rsidRPr="00424A9B">
        <w:instrText>Eigenschaften:Schemaort-definierende</w:instrText>
      </w:r>
      <w:r w:rsidR="00D6214C">
        <w:instrText xml:space="preserve">" </w:instrText>
      </w:r>
      <w:r w:rsidR="005D7996">
        <w:fldChar w:fldCharType="end"/>
      </w:r>
      <w:r w:rsidR="00FC5920">
        <w:t>“ genannt;</w:t>
      </w:r>
    </w:p>
    <w:p w:rsidR="00FC5920" w:rsidRDefault="00FC5920" w:rsidP="00204861">
      <w:pPr>
        <w:pStyle w:val="Text"/>
      </w:pPr>
      <w:r>
        <w:lastRenderedPageBreak/>
        <w:t>(2)</w:t>
      </w:r>
      <w:r>
        <w:tab/>
        <w:t xml:space="preserve">Eigenschaften, die die Alternativenklasse </w:t>
      </w:r>
      <w:r w:rsidR="0048690D">
        <w:t>zusätzlich einschränken</w:t>
      </w:r>
      <w:r>
        <w:t>, i</w:t>
      </w:r>
      <w:r>
        <w:t>n</w:t>
      </w:r>
      <w:r>
        <w:t>dem sie Kontext, Ziel, Funktion oder auszudrückenden Inhal</w:t>
      </w:r>
      <w:r w:rsidR="0048690D">
        <w:t>t einer Realisierung darstellen: im Folgenden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48690D">
        <w:t>“ genannt;</w:t>
      </w:r>
    </w:p>
    <w:p w:rsidR="00204861" w:rsidRDefault="00204861" w:rsidP="00204861">
      <w:pPr>
        <w:pStyle w:val="Text"/>
      </w:pPr>
      <w:r>
        <w:t>(3)</w:t>
      </w:r>
      <w:r>
        <w:tab/>
        <w:t>Eigenschaften, die den Elementen zukommen unabhängig von ihrer Einordnung in eine Alternativenklass</w:t>
      </w:r>
      <w:r w:rsidR="0048690D">
        <w:t>e einer bestimmten Realisierung:</w:t>
      </w:r>
      <w:r>
        <w:t xml:space="preserve"> im Fo</w:t>
      </w:r>
      <w:r>
        <w:t>l</w:t>
      </w:r>
      <w:r>
        <w:t>genden „intrinsische Eigenschaften</w:t>
      </w:r>
      <w:r w:rsidR="005D7996">
        <w:fldChar w:fldCharType="begin"/>
      </w:r>
      <w:r w:rsidR="00D6214C">
        <w:instrText xml:space="preserve"> XE "</w:instrText>
      </w:r>
      <w:r w:rsidR="00D6214C" w:rsidRPr="005F14BC">
        <w:instrText>Eigenschaften:intrinsische</w:instrText>
      </w:r>
      <w:r w:rsidR="00D6214C">
        <w:instrText xml:space="preserve">" </w:instrText>
      </w:r>
      <w:r w:rsidR="005D7996">
        <w:fldChar w:fldCharType="end"/>
      </w:r>
      <w:r>
        <w:t>“ genannt;</w:t>
      </w:r>
    </w:p>
    <w:p w:rsidR="00204861" w:rsidRDefault="00204861" w:rsidP="00204861">
      <w:pPr>
        <w:pStyle w:val="Text"/>
      </w:pPr>
      <w:r>
        <w:t>(4)</w:t>
      </w:r>
      <w:r>
        <w:tab/>
        <w:t>Eigenschaften, die sich aus den Relationen des jeweiligen Elements zu anderen Elementen der Alternativenklasse ergeben: im Folgenden „vertikal-rel</w:t>
      </w:r>
      <w:r w:rsidR="00E478D2">
        <w:t>ationale Eigenschaften</w:t>
      </w:r>
      <w:r w:rsidR="005D7996">
        <w:fldChar w:fldCharType="begin"/>
      </w:r>
      <w:r w:rsidR="00D6214C">
        <w:instrText xml:space="preserve"> XE "</w:instrText>
      </w:r>
      <w:r w:rsidR="00D6214C" w:rsidRPr="001B1795">
        <w:instrText>Eigenschaften:vertikal-relationale</w:instrText>
      </w:r>
      <w:r w:rsidR="00D6214C">
        <w:instrText xml:space="preserve">" </w:instrText>
      </w:r>
      <w:r w:rsidR="005D7996">
        <w:fldChar w:fldCharType="end"/>
      </w:r>
      <w:r w:rsidR="00E478D2">
        <w:t>“ genannt;</w:t>
      </w:r>
    </w:p>
    <w:p w:rsidR="00204861" w:rsidRDefault="00204861" w:rsidP="00204861">
      <w:pPr>
        <w:pStyle w:val="Text"/>
      </w:pPr>
      <w:r>
        <w:t>(5)</w:t>
      </w:r>
      <w:r>
        <w:tab/>
        <w:t>Eigenschaften, die sich aus den Relationen des jeweiligen Elements zu anderen Elementen der Realisierung ergeben: im Folgenden „horizontal-relationale Eigenschaften</w:t>
      </w:r>
      <w:r w:rsidR="005D7996">
        <w:fldChar w:fldCharType="begin"/>
      </w:r>
      <w:r w:rsidR="00D6214C">
        <w:instrText xml:space="preserve"> XE "</w:instrText>
      </w:r>
      <w:r w:rsidR="00D6214C" w:rsidRPr="00CC22B7">
        <w:instrText>Eigenschaften:horizontal-relationale</w:instrText>
      </w:r>
      <w:r w:rsidR="00D6214C">
        <w:instrText xml:space="preserve">" </w:instrText>
      </w:r>
      <w:r w:rsidR="005D7996">
        <w:fldChar w:fldCharType="end"/>
      </w:r>
      <w:r>
        <w:t>“ genannt</w:t>
      </w:r>
      <w:r w:rsidR="00E478D2">
        <w:t>.</w:t>
      </w:r>
    </w:p>
    <w:p w:rsidR="000E200E" w:rsidRDefault="00204861" w:rsidP="000E200E">
      <w:pPr>
        <w:pStyle w:val="Zwischenberschrift"/>
      </w:pPr>
      <w:r>
        <w:t>Beispiel</w:t>
      </w:r>
      <w:r w:rsidR="00170255">
        <w:t xml:space="preserve"> 1</w:t>
      </w:r>
    </w:p>
    <w:p w:rsidR="000E200E" w:rsidRDefault="00204861" w:rsidP="000E200E">
      <w:pPr>
        <w:pStyle w:val="Text"/>
        <w:ind w:firstLine="0"/>
      </w:pPr>
      <w:r>
        <w:t>Wir betrachten die Fenster eines Gebäudes, das uns stilistisch interessiert.</w:t>
      </w:r>
    </w:p>
    <w:p w:rsidR="00471A74" w:rsidRDefault="000E200E" w:rsidP="000E200E">
      <w:pPr>
        <w:pStyle w:val="Text"/>
        <w:ind w:firstLine="0"/>
      </w:pPr>
      <w:r>
        <w:tab/>
      </w:r>
      <w:r w:rsidR="00204861">
        <w:t>In diesem Fall sind (1) die Eigenschaften, die die Alternativenklasse defini</w:t>
      </w:r>
      <w:r w:rsidR="00204861">
        <w:t>e</w:t>
      </w:r>
      <w:r w:rsidR="00204861">
        <w:t xml:space="preserve">ren, die also alle Fenster charakterisieren. </w:t>
      </w:r>
      <w:r w:rsidR="001E7B49">
        <w:t>Dazu gehören Eigenschaften wie ‚</w:t>
      </w:r>
      <w:r w:rsidR="00204861">
        <w:t>g</w:t>
      </w:r>
      <w:r w:rsidR="00204861">
        <w:t>e</w:t>
      </w:r>
      <w:r w:rsidR="00204861">
        <w:t>hört zu einem Gebäude</w:t>
      </w:r>
      <w:r w:rsidR="001E7B49">
        <w:t>‘</w:t>
      </w:r>
      <w:r w:rsidR="00204861">
        <w:t xml:space="preserve">, </w:t>
      </w:r>
      <w:r w:rsidR="001E7B49">
        <w:t>‚</w:t>
      </w:r>
      <w:r w:rsidR="00204861">
        <w:t>verschließt eine Öffnung in einer Außenwand</w:t>
      </w:r>
      <w:r w:rsidR="001E7B49">
        <w:t>‘</w:t>
      </w:r>
      <w:r w:rsidR="00204861">
        <w:t xml:space="preserve">, </w:t>
      </w:r>
      <w:r w:rsidR="001E7B49">
        <w:t>‚</w:t>
      </w:r>
      <w:r w:rsidR="00204861">
        <w:t>lich</w:t>
      </w:r>
      <w:r w:rsidR="00204861">
        <w:t>t</w:t>
      </w:r>
      <w:r w:rsidR="00204861">
        <w:t>durchlässig</w:t>
      </w:r>
      <w:r w:rsidR="001E7B49">
        <w:t>‘</w:t>
      </w:r>
      <w:r w:rsidR="00471A74">
        <w:t xml:space="preserve"> usw.</w:t>
      </w:r>
    </w:p>
    <w:p w:rsidR="00204861" w:rsidRDefault="00204861" w:rsidP="00204861">
      <w:pPr>
        <w:pStyle w:val="Text"/>
      </w:pPr>
      <w:r>
        <w:t>Zu (2) gehören Eigenschaften, die sich aus Kontext und Funktion der Real</w:t>
      </w:r>
      <w:r>
        <w:t>i</w:t>
      </w:r>
      <w:r>
        <w:t>sierungsstelle (und eventuell aus einer ihr zugedachten Zeichenfunktion</w:t>
      </w:r>
      <w:r w:rsidR="001E7B49">
        <w:t>) erg</w:t>
      </w:r>
      <w:r w:rsidR="001E7B49">
        <w:t>e</w:t>
      </w:r>
      <w:r w:rsidR="001E7B49">
        <w:t>ben, also beispielsweise ‚</w:t>
      </w:r>
      <w:r>
        <w:t>ist für ein Dach geeignet</w:t>
      </w:r>
      <w:r w:rsidR="001E7B49">
        <w:t>‘</w:t>
      </w:r>
      <w:r>
        <w:t xml:space="preserve">, </w:t>
      </w:r>
      <w:r w:rsidR="001E7B49">
        <w:t>‚</w:t>
      </w:r>
      <w:r>
        <w:t>ist für ein Atelier geeignet</w:t>
      </w:r>
      <w:r w:rsidR="001E7B49">
        <w:t>‘</w:t>
      </w:r>
      <w:r>
        <w:t xml:space="preserve">, </w:t>
      </w:r>
      <w:r w:rsidR="001E7B49">
        <w:t>‚</w:t>
      </w:r>
      <w:r>
        <w:t>kann wasserdicht verschlossen werden</w:t>
      </w:r>
      <w:r w:rsidR="001E7B49">
        <w:t>‘</w:t>
      </w:r>
      <w:r>
        <w:t xml:space="preserve"> oder </w:t>
      </w:r>
      <w:r w:rsidR="001E7B49">
        <w:t>‚</w:t>
      </w:r>
      <w:r>
        <w:t>soll wie ein Auge wirken</w:t>
      </w:r>
      <w:r w:rsidR="001E7B49">
        <w:t>‘</w:t>
      </w:r>
      <w:r>
        <w:t>.</w:t>
      </w:r>
    </w:p>
    <w:p w:rsidR="00471A74" w:rsidRDefault="00204861" w:rsidP="00204861">
      <w:pPr>
        <w:pStyle w:val="Text"/>
      </w:pPr>
      <w:r>
        <w:t>Unter (3) fallen alle Eigenschaften, die das Fenster ohne Betrachtung seines Kontexts hat, also etwa seine Größe, seine Form, seine Proportionen, das Mat</w:t>
      </w:r>
      <w:r>
        <w:t>e</w:t>
      </w:r>
      <w:r>
        <w:t>rial des Rahmens und der Füllung, Unterteilungen, aber auch Bezüge auf Arch</w:t>
      </w:r>
      <w:r>
        <w:t>i</w:t>
      </w:r>
      <w:r>
        <w:t>tekten- oder Epochenstile, 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t xml:space="preserve">, Wertungen wie </w:t>
      </w:r>
      <w:r w:rsidR="001E7B49">
        <w:t>‚</w:t>
      </w:r>
      <w:r>
        <w:t>schön</w:t>
      </w:r>
      <w:r w:rsidR="001E7B49">
        <w:t>‘</w:t>
      </w:r>
      <w:r>
        <w:t xml:space="preserve"> oder </w:t>
      </w:r>
      <w:r w:rsidR="001E7B49">
        <w:t>‚</w:t>
      </w:r>
      <w:r>
        <w:t>häs</w:t>
      </w:r>
      <w:r>
        <w:t>s</w:t>
      </w:r>
      <w:r>
        <w:t>lich</w:t>
      </w:r>
      <w:r w:rsidR="001E7B49">
        <w:t>‘</w:t>
      </w:r>
      <w:r>
        <w:t xml:space="preserve"> in einer bestimmten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Herstellerfirma, Anbringungshöhe relativ zum Stockwerkboden und vi</w:t>
      </w:r>
      <w:r w:rsidR="00471A74">
        <w:t>ele weitere.</w:t>
      </w:r>
    </w:p>
    <w:p w:rsidR="00204861" w:rsidRDefault="00204861" w:rsidP="00204861">
      <w:pPr>
        <w:pStyle w:val="Text"/>
      </w:pPr>
      <w:r>
        <w:t>(4) sind Eigenschaften, die sich im Vergle</w:t>
      </w:r>
      <w:r w:rsidR="0048690D">
        <w:t>ich zu den anderen Elementen der Alter</w:t>
      </w:r>
      <w:r w:rsidR="007F4622">
        <w:softHyphen/>
      </w:r>
      <w:r w:rsidR="0048690D">
        <w:t>nativenklasse</w:t>
      </w:r>
      <w:r w:rsidR="001E7B49">
        <w:t xml:space="preserve"> ergeben, etwa ‚</w:t>
      </w:r>
      <w:r w:rsidR="0048690D">
        <w:t xml:space="preserve">wurde </w:t>
      </w:r>
      <w:r>
        <w:t xml:space="preserve">relativ zu anderen </w:t>
      </w:r>
      <w:r w:rsidR="0048690D">
        <w:t xml:space="preserve">Fensterlösungen </w:t>
      </w:r>
      <w:r>
        <w:t>erst kürzlich erfunden</w:t>
      </w:r>
      <w:r w:rsidR="001E7B49">
        <w:t>‘</w:t>
      </w:r>
      <w:r>
        <w:t xml:space="preserve">, </w:t>
      </w:r>
      <w:r w:rsidR="001E7B49">
        <w:t>‚</w:t>
      </w:r>
      <w:r w:rsidR="0048690D">
        <w:t xml:space="preserve">ist vergleichsweise </w:t>
      </w:r>
      <w:r>
        <w:t>teuer</w:t>
      </w:r>
      <w:r w:rsidR="001E7B49">
        <w:t>‘</w:t>
      </w:r>
      <w:r w:rsidR="006A4558">
        <w:t>,</w:t>
      </w:r>
      <w:r w:rsidR="006A4558" w:rsidRPr="006A4558">
        <w:t xml:space="preserve"> </w:t>
      </w:r>
      <w:r w:rsidR="001E7B49">
        <w:t>‚</w:t>
      </w:r>
      <w:r w:rsidR="006A4558">
        <w:t>ist (für Schemaorte dieses Typs) häufig anzutreffen</w:t>
      </w:r>
      <w:r w:rsidR="001E7B49">
        <w:t>‘</w:t>
      </w:r>
      <w:r w:rsidR="006A4558">
        <w:t xml:space="preserve">, </w:t>
      </w:r>
      <w:r w:rsidR="001E7B49">
        <w:t>‚</w:t>
      </w:r>
      <w:r w:rsidR="006A4558">
        <w:t>ist (für Schemaorte dieses Typs) überraschend</w:t>
      </w:r>
      <w:r w:rsidR="001E7B49">
        <w:t>‘</w:t>
      </w:r>
      <w:r>
        <w:t>.</w:t>
      </w:r>
      <w:r w:rsidR="006A4558">
        <w:t xml:space="preserve"> Häufigkeit und Kontrast fallen in diese Kategorie, wenn sie ohne Berücksichtigung der u</w:t>
      </w:r>
      <w:r w:rsidR="006A4558">
        <w:t>m</w:t>
      </w:r>
      <w:r w:rsidR="006A4558">
        <w:t>gebenden Realisierung beurteilt werden.</w:t>
      </w:r>
    </w:p>
    <w:p w:rsidR="0048690D" w:rsidRDefault="001E7B49" w:rsidP="00204861">
      <w:pPr>
        <w:pStyle w:val="Text"/>
      </w:pPr>
      <w:r>
        <w:t>(5) sind Eigenschaften wie ‚</w:t>
      </w:r>
      <w:r w:rsidR="006E23D2">
        <w:t xml:space="preserve">passt </w:t>
      </w:r>
      <w:r w:rsidR="0048690D">
        <w:t>zur Tür</w:t>
      </w:r>
      <w:r>
        <w:t>‘</w:t>
      </w:r>
      <w:r w:rsidR="0048690D">
        <w:t xml:space="preserve">, </w:t>
      </w:r>
      <w:r>
        <w:t>‚</w:t>
      </w:r>
      <w:r w:rsidR="006E23D2">
        <w:t xml:space="preserve">ist </w:t>
      </w:r>
      <w:r w:rsidR="0048690D">
        <w:t>nicht größer als die Dachgaubenfenster</w:t>
      </w:r>
      <w:r>
        <w:t>‘</w:t>
      </w:r>
      <w:r w:rsidR="006A4558">
        <w:t xml:space="preserve">, </w:t>
      </w:r>
      <w:r>
        <w:t>‚</w:t>
      </w:r>
      <w:r w:rsidR="006E23D2">
        <w:t xml:space="preserve">überrascht </w:t>
      </w:r>
      <w:r w:rsidR="006A4558">
        <w:t>im Kontext der umgebenden Fenster</w:t>
      </w:r>
      <w:r>
        <w:t>‘</w:t>
      </w:r>
      <w:r w:rsidR="00DA21F6">
        <w:t xml:space="preserve">, </w:t>
      </w:r>
      <w:r>
        <w:t>‚</w:t>
      </w:r>
      <w:r w:rsidR="006E23D2">
        <w:t xml:space="preserve">steht </w:t>
      </w:r>
      <w:r w:rsidR="00DA21F6">
        <w:t>im Kontrast zum umgebenden Mauermaterial</w:t>
      </w:r>
      <w:r>
        <w:t>‘</w:t>
      </w:r>
      <w:r w:rsidR="00DA21F6">
        <w:t xml:space="preserve">, </w:t>
      </w:r>
      <w:r>
        <w:t>‚</w:t>
      </w:r>
      <w:r w:rsidR="006E23D2">
        <w:t xml:space="preserve">kommt </w:t>
      </w:r>
      <w:r w:rsidR="00DA42EA">
        <w:t>auch an mehreren anderen Realisierungsstellen vor</w:t>
      </w:r>
      <w:r>
        <w:t>‘</w:t>
      </w:r>
      <w:r w:rsidR="0048690D">
        <w:t xml:space="preserve">, Eigenschaften also, die sich erst im Vergleich mit den </w:t>
      </w:r>
      <w:r w:rsidR="00FE34A9">
        <w:t>Elementen, die für andere Stellen der</w:t>
      </w:r>
      <w:r w:rsidR="0048690D">
        <w:t xml:space="preserve"> </w:t>
      </w:r>
      <w:r w:rsidR="00FE34A9">
        <w:t xml:space="preserve">Realisierung gewählt wurden, </w:t>
      </w:r>
      <w:r w:rsidR="0048690D">
        <w:t>ergeben.</w:t>
      </w:r>
      <w:r w:rsidR="00FE34A9">
        <w:rPr>
          <w:rStyle w:val="Funotenzeichen"/>
        </w:rPr>
        <w:footnoteReference w:id="132"/>
      </w:r>
    </w:p>
    <w:p w:rsidR="000E200E" w:rsidRDefault="00170255" w:rsidP="000E200E">
      <w:pPr>
        <w:pStyle w:val="Zwischenberschrift"/>
      </w:pPr>
      <w:r w:rsidRPr="00170255">
        <w:lastRenderedPageBreak/>
        <w:t>Beis</w:t>
      </w:r>
      <w:r w:rsidR="005F3E49">
        <w:t>piel 2</w:t>
      </w:r>
    </w:p>
    <w:p w:rsidR="00170255" w:rsidRDefault="00170255" w:rsidP="000E200E">
      <w:pPr>
        <w:pStyle w:val="Text"/>
        <w:ind w:firstLine="0"/>
      </w:pPr>
      <w:r>
        <w:rPr>
          <w:szCs w:val="16"/>
        </w:rPr>
        <w:t xml:space="preserve">Das Lenkrad eines </w:t>
      </w:r>
      <w:r w:rsidR="00A33B60">
        <w:rPr>
          <w:szCs w:val="16"/>
        </w:rPr>
        <w:t>Kraftfahrzeugs</w:t>
      </w:r>
      <w:r>
        <w:rPr>
          <w:szCs w:val="16"/>
        </w:rPr>
        <w:t xml:space="preserve"> wird betrachtet.</w:t>
      </w:r>
    </w:p>
    <w:p w:rsidR="00170255" w:rsidRDefault="00170255" w:rsidP="00170255">
      <w:pPr>
        <w:pStyle w:val="Text"/>
        <w:rPr>
          <w:szCs w:val="15"/>
        </w:rPr>
      </w:pPr>
      <w:r>
        <w:rPr>
          <w:szCs w:val="16"/>
        </w:rPr>
        <w:t>(1)</w:t>
      </w:r>
      <w:r>
        <w:t xml:space="preserve"> sind </w:t>
      </w:r>
      <w:r>
        <w:rPr>
          <w:szCs w:val="16"/>
        </w:rPr>
        <w:t>Eigenschaften, die es a</w:t>
      </w:r>
      <w:r w:rsidR="00A33B60">
        <w:rPr>
          <w:szCs w:val="16"/>
        </w:rPr>
        <w:t>ls Teil eines bestimmten Schemaorts</w:t>
      </w:r>
      <w:r>
        <w:rPr>
          <w:szCs w:val="16"/>
        </w:rPr>
        <w:t xml:space="preserve"> </w:t>
      </w:r>
      <w:r w:rsidR="00A33B60">
        <w:rPr>
          <w:szCs w:val="16"/>
        </w:rPr>
        <w:t xml:space="preserve">eines bstimmten Schemas </w:t>
      </w:r>
      <w:r>
        <w:rPr>
          <w:szCs w:val="16"/>
        </w:rPr>
        <w:t>kenn</w:t>
      </w:r>
      <w:r w:rsidR="00A33B60">
        <w:rPr>
          <w:szCs w:val="16"/>
        </w:rPr>
        <w:t>zeichnen (‚</w:t>
      </w:r>
      <w:r>
        <w:rPr>
          <w:szCs w:val="16"/>
        </w:rPr>
        <w:t>Bestandteil e</w:t>
      </w:r>
      <w:r w:rsidR="00A33B60">
        <w:rPr>
          <w:szCs w:val="16"/>
        </w:rPr>
        <w:t>ines Fortbewegungsmittels mit Rädern‘</w:t>
      </w:r>
      <w:r>
        <w:rPr>
          <w:szCs w:val="16"/>
        </w:rPr>
        <w:t>), sowie Eigenschaften, die den Sche</w:t>
      </w:r>
      <w:r w:rsidR="00A33B60">
        <w:rPr>
          <w:szCs w:val="16"/>
        </w:rPr>
        <w:t>maort kennzeichnen (‚zum Le</w:t>
      </w:r>
      <w:r w:rsidR="00A33B60">
        <w:rPr>
          <w:szCs w:val="16"/>
        </w:rPr>
        <w:t>n</w:t>
      </w:r>
      <w:r w:rsidR="00A33B60">
        <w:rPr>
          <w:szCs w:val="16"/>
        </w:rPr>
        <w:t>ken‘</w:t>
      </w:r>
      <w:r>
        <w:rPr>
          <w:szCs w:val="16"/>
        </w:rPr>
        <w:t>).</w:t>
      </w:r>
      <w:r w:rsidR="00A33B60">
        <w:rPr>
          <w:szCs w:val="16"/>
        </w:rPr>
        <w:t xml:space="preserve"> </w:t>
      </w:r>
      <w:r w:rsidR="00A33B60">
        <w:rPr>
          <w:szCs w:val="15"/>
        </w:rPr>
        <w:t>M</w:t>
      </w:r>
      <w:r>
        <w:rPr>
          <w:szCs w:val="15"/>
        </w:rPr>
        <w:t>an beachte, dass dasselbe Lenkrad auch an einem Schiff befestigt sein und dort stilistisch eine andere Wirkung haben könnte. Die Merkmalsregeln müssen daher (1) nennen.</w:t>
      </w:r>
    </w:p>
    <w:p w:rsidR="00170255" w:rsidRDefault="00170255" w:rsidP="00170255">
      <w:pPr>
        <w:pStyle w:val="Text"/>
        <w:rPr>
          <w:szCs w:val="15"/>
        </w:rPr>
      </w:pPr>
      <w:r>
        <w:rPr>
          <w:szCs w:val="16"/>
        </w:rPr>
        <w:t>(2)</w:t>
      </w:r>
      <w:r>
        <w:tab/>
      </w:r>
      <w:r>
        <w:rPr>
          <w:szCs w:val="16"/>
        </w:rPr>
        <w:t>Marke</w:t>
      </w:r>
      <w:r w:rsidR="005D7996">
        <w:rPr>
          <w:szCs w:val="16"/>
        </w:rPr>
        <w:fldChar w:fldCharType="begin"/>
      </w:r>
      <w:r w:rsidR="007E6B9E">
        <w:instrText xml:space="preserve"> XE "</w:instrText>
      </w:r>
      <w:r w:rsidR="007E6B9E" w:rsidRPr="00624394">
        <w:instrText>Marke</w:instrText>
      </w:r>
      <w:r w:rsidR="007E6B9E">
        <w:instrText xml:space="preserve">" </w:instrText>
      </w:r>
      <w:r w:rsidR="005D7996">
        <w:rPr>
          <w:szCs w:val="16"/>
        </w:rPr>
        <w:fldChar w:fldCharType="end"/>
      </w:r>
      <w:r>
        <w:rPr>
          <w:szCs w:val="16"/>
        </w:rPr>
        <w:t>, Typ, Ausstattung, Tuning, manuelle Veränderungen, Zustand des Autos</w:t>
      </w:r>
    </w:p>
    <w:p w:rsidR="00170255" w:rsidRDefault="00170255" w:rsidP="00170255">
      <w:pPr>
        <w:pStyle w:val="Text"/>
        <w:rPr>
          <w:szCs w:val="16"/>
        </w:rPr>
      </w:pPr>
      <w:r>
        <w:rPr>
          <w:szCs w:val="16"/>
        </w:rPr>
        <w:t>(3)</w:t>
      </w:r>
      <w:r>
        <w:rPr>
          <w:szCs w:val="16"/>
        </w:rPr>
        <w:tab/>
        <w:t>Größe, Form, Farbe, Material, Proportionen, Hersteller, Wertungen in einer Kultur</w:t>
      </w:r>
      <w:r w:rsidR="005D7996">
        <w:rPr>
          <w:szCs w:val="16"/>
        </w:rPr>
        <w:fldChar w:fldCharType="begin"/>
      </w:r>
      <w:r w:rsidR="00E03D5C">
        <w:instrText xml:space="preserve"> XE "</w:instrText>
      </w:r>
      <w:r w:rsidR="00E03D5C" w:rsidRPr="00C1049D">
        <w:instrText>Kultur</w:instrText>
      </w:r>
      <w:r w:rsidR="00E03D5C">
        <w:instrText xml:space="preserve">" </w:instrText>
      </w:r>
      <w:r w:rsidR="005D7996">
        <w:rPr>
          <w:szCs w:val="16"/>
        </w:rPr>
        <w:fldChar w:fldCharType="end"/>
      </w:r>
      <w:r>
        <w:rPr>
          <w:szCs w:val="16"/>
        </w:rPr>
        <w:t>, Verweis auf andere Stile, kulturelle Anspielungen, Preis</w:t>
      </w:r>
    </w:p>
    <w:p w:rsidR="00170255" w:rsidRDefault="00A33B60" w:rsidP="00170255">
      <w:pPr>
        <w:pStyle w:val="Text"/>
        <w:rPr>
          <w:szCs w:val="16"/>
        </w:rPr>
      </w:pPr>
      <w:r>
        <w:rPr>
          <w:szCs w:val="16"/>
        </w:rPr>
        <w:t>(4)</w:t>
      </w:r>
      <w:r>
        <w:rPr>
          <w:szCs w:val="16"/>
        </w:rPr>
        <w:tab/>
        <w:t xml:space="preserve">‚ist </w:t>
      </w:r>
      <w:r w:rsidR="00170255">
        <w:rPr>
          <w:szCs w:val="16"/>
        </w:rPr>
        <w:t>ähnlich den mei</w:t>
      </w:r>
      <w:r>
        <w:rPr>
          <w:szCs w:val="16"/>
        </w:rPr>
        <w:t>sten anderen Lösungen [= Elementen der Alter</w:t>
      </w:r>
      <w:r w:rsidR="007F4622">
        <w:rPr>
          <w:szCs w:val="16"/>
        </w:rPr>
        <w:softHyphen/>
      </w:r>
      <w:r>
        <w:rPr>
          <w:szCs w:val="16"/>
        </w:rPr>
        <w:t xml:space="preserve">nativenklasse]‘, </w:t>
      </w:r>
      <w:r w:rsidR="00DA42EA">
        <w:rPr>
          <w:szCs w:val="16"/>
        </w:rPr>
        <w:t xml:space="preserve">‚ungewöhnliche Ausführung‘, </w:t>
      </w:r>
      <w:r>
        <w:rPr>
          <w:szCs w:val="16"/>
        </w:rPr>
        <w:t xml:space="preserve">‚relativ zu anderen </w:t>
      </w:r>
      <w:r w:rsidR="00DA42EA">
        <w:rPr>
          <w:szCs w:val="16"/>
        </w:rPr>
        <w:t xml:space="preserve">Lösungen </w:t>
      </w:r>
      <w:r>
        <w:rPr>
          <w:szCs w:val="16"/>
        </w:rPr>
        <w:t>kürzlich erfunden‘</w:t>
      </w:r>
    </w:p>
    <w:p w:rsidR="00A33B60" w:rsidRDefault="00A33B60" w:rsidP="00A33B60">
      <w:pPr>
        <w:pStyle w:val="Text"/>
        <w:rPr>
          <w:szCs w:val="16"/>
        </w:rPr>
      </w:pPr>
      <w:r>
        <w:rPr>
          <w:szCs w:val="16"/>
        </w:rPr>
        <w:t>(5)</w:t>
      </w:r>
      <w:r>
        <w:rPr>
          <w:szCs w:val="16"/>
        </w:rPr>
        <w:tab/>
        <w:t>‚passt zum Armaturenbrett‘, ‚im Vergleich zum Innenraum edel‘</w:t>
      </w:r>
      <w:r w:rsidR="00DA42EA">
        <w:rPr>
          <w:szCs w:val="16"/>
        </w:rPr>
        <w:t>, ‚im Kontext der übrigen Innenausstattung vorhersehbar‘</w:t>
      </w:r>
    </w:p>
    <w:p w:rsidR="00204861" w:rsidRDefault="00204861" w:rsidP="005F3E49">
      <w:pPr>
        <w:pStyle w:val="Text"/>
        <w:spacing w:before="240"/>
        <w:ind w:firstLine="0"/>
      </w:pPr>
      <w:r>
        <w:t>Diese Aufteilung der Eigenschaften ist ausreichend genau für unsere Zwecke. Sie unterscheidet alle denkbaren Eig</w:t>
      </w:r>
      <w:r w:rsidR="001445BE">
        <w:t>enschaften eines Elements einer Alternativen</w:t>
      </w:r>
      <w:r w:rsidR="00F95919">
        <w:softHyphen/>
      </w:r>
      <w:r w:rsidR="001445BE">
        <w:t xml:space="preserve">klasse </w:t>
      </w:r>
      <w:r>
        <w:t>nach ihrer Funktion in dem zu konstruierenden Modell.</w:t>
      </w:r>
    </w:p>
    <w:p w:rsidR="00E3014B" w:rsidRDefault="0014259F" w:rsidP="00204861">
      <w:pPr>
        <w:pStyle w:val="Text"/>
      </w:pPr>
      <w:r>
        <w:t>Die Eigenschaften (1) und (2) werden in den Alternativenbedingungen von Alternativenklassen verwendet, um diese festzulegen</w:t>
      </w:r>
      <w:r w:rsidR="0068061F">
        <w:t>.</w:t>
      </w:r>
      <w:r w:rsidR="004801F1">
        <w:rPr>
          <w:rStyle w:val="Funotenzeichen"/>
        </w:rPr>
        <w:footnoteReference w:id="133"/>
      </w:r>
    </w:p>
    <w:p w:rsidR="0014259F" w:rsidRDefault="0068061F" w:rsidP="001445BE">
      <w:pPr>
        <w:pStyle w:val="Text"/>
      </w:pPr>
      <w:r>
        <w:t>In den Merkmalsregeln werden alle fünf Arten von Eigenschaften verwe</w:t>
      </w:r>
      <w:r>
        <w:t>n</w:t>
      </w:r>
      <w:r>
        <w:t>det:</w:t>
      </w:r>
      <w:r w:rsidR="00E3014B">
        <w:rPr>
          <w:rStyle w:val="Funotenzeichen"/>
        </w:rPr>
        <w:footnoteReference w:id="134"/>
      </w:r>
      <w:r w:rsidR="00E3014B">
        <w:t xml:space="preserve"> </w:t>
      </w:r>
      <w:r w:rsidR="0014259F">
        <w:t xml:space="preserve">In den </w:t>
      </w:r>
      <w:r w:rsidR="002B6D91">
        <w:rPr>
          <w:i/>
        </w:rPr>
        <w:t>Anwendungsbedingungen</w:t>
      </w:r>
      <w:r w:rsidR="0014259F">
        <w:t xml:space="preserve"> einer Merkmalsregel werden Bedingungen angegeben, die für eine Alternativenklasse gelten müssen, damit die Merkmalsr</w:t>
      </w:r>
      <w:r w:rsidR="0014259F">
        <w:t>e</w:t>
      </w:r>
      <w:r w:rsidR="0014259F">
        <w:t>gel auf sie angewandt wird. Dazu wird mit Hilfe der Eigenschaften (1) ein Sch</w:t>
      </w:r>
      <w:r w:rsidR="0014259F">
        <w:t>e</w:t>
      </w:r>
      <w:r w:rsidR="0014259F">
        <w:t>maort eines Schemas festgelegt; es können auch genauere Festlegungen mit Hilfe der Eigenschaften (2) erfolgen.</w:t>
      </w:r>
      <w:r w:rsidR="00E3014B">
        <w:t xml:space="preserve"> </w:t>
      </w:r>
      <w:r w:rsidR="0014259F">
        <w:t xml:space="preserve">In den </w:t>
      </w:r>
      <w:r w:rsidR="0014259F" w:rsidRPr="0014259F">
        <w:rPr>
          <w:i/>
        </w:rPr>
        <w:t>verlangten Eigenschaften</w:t>
      </w:r>
      <w:r w:rsidR="0014259F">
        <w:t xml:space="preserve"> wird nun festg</w:t>
      </w:r>
      <w:r w:rsidR="0014259F">
        <w:t>e</w:t>
      </w:r>
      <w:r w:rsidR="0014259F">
        <w:t xml:space="preserve">legt, welche Eigenschaften ein Element haben muss, um an der entsprechenden </w:t>
      </w:r>
      <w:r w:rsidR="003141E2">
        <w:t>Realisierungss</w:t>
      </w:r>
      <w:r w:rsidR="0014259F">
        <w:t xml:space="preserve">telle realisiert </w:t>
      </w:r>
      <w:r w:rsidR="003141E2">
        <w:t>zu werden. Dies können Eigenschaften aus (3)</w:t>
      </w:r>
      <w:r w:rsidR="00BB37AC">
        <w:t>,</w:t>
      </w:r>
      <w:r w:rsidR="003141E2">
        <w:t xml:space="preserve"> (4) und/oder (5) sein.</w:t>
      </w:r>
      <w:r w:rsidR="00E3014B">
        <w:rPr>
          <w:rStyle w:val="Funotenzeichen"/>
        </w:rPr>
        <w:footnoteReference w:id="135"/>
      </w:r>
    </w:p>
    <w:p w:rsidR="004801F1" w:rsidRDefault="00045377" w:rsidP="001445BE">
      <w:pPr>
        <w:pStyle w:val="Text"/>
      </w:pPr>
      <w:r>
        <w:lastRenderedPageBreak/>
        <w:t>Die Anwendung der Merkmalsregel besteht darin, dass die Alternativen</w:t>
      </w:r>
      <w:r w:rsidR="00F95919">
        <w:softHyphen/>
      </w:r>
      <w:r>
        <w:t xml:space="preserve">klasse reduziert wird: Sie wird definiert, </w:t>
      </w:r>
      <w:r w:rsidR="00DB3B95">
        <w:t xml:space="preserve">indem </w:t>
      </w:r>
      <w:r>
        <w:t>die Elemente der reduzierten Alter</w:t>
      </w:r>
      <w:r w:rsidR="005C5863">
        <w:softHyphen/>
      </w:r>
      <w:r>
        <w:t xml:space="preserve">nativenklasse zusätzlich die Eigenschaften </w:t>
      </w:r>
      <w:r w:rsidR="00DB3B95">
        <w:t xml:space="preserve">aus </w:t>
      </w:r>
      <w:r>
        <w:t>(3), (4) und (5) besitzen müssen</w:t>
      </w:r>
      <w:r w:rsidR="00DB3B95">
        <w:t>.</w:t>
      </w:r>
      <w:r>
        <w:t xml:space="preserve"> </w:t>
      </w:r>
      <w:r w:rsidR="00DB3B95">
        <w:t>Die reduzierte Alternativenklasse wird also durch eine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DB3B95">
        <w:t xml:space="preserve"> </w:t>
      </w:r>
      <w:r w:rsidR="0092340E">
        <w:t>gebi</w:t>
      </w:r>
      <w:r w:rsidR="0092340E">
        <w:t>l</w:t>
      </w:r>
      <w:r w:rsidR="0092340E">
        <w:t xml:space="preserve">det, die </w:t>
      </w:r>
      <w:r w:rsidR="00DB3B95">
        <w:t>die Eigenschaften aus den Anwendungsbedingungen ebenso wie die ve</w:t>
      </w:r>
      <w:r w:rsidR="00DB3B95">
        <w:t>r</w:t>
      </w:r>
      <w:r w:rsidR="00DB3B95">
        <w:t xml:space="preserve">langten Eigenschaften </w:t>
      </w:r>
      <w:r w:rsidR="0092340E">
        <w:t>umfasst</w:t>
      </w:r>
      <w:r w:rsidR="00DB3B95">
        <w:t>, also in den obigen Beispielen die Eigenschaften der Arten (1) bis (5).</w:t>
      </w:r>
    </w:p>
    <w:p w:rsidR="003141E2" w:rsidRDefault="001445BE" w:rsidP="006F15A6">
      <w:pPr>
        <w:pStyle w:val="Text"/>
        <w:spacing w:before="240"/>
        <w:ind w:firstLine="0"/>
      </w:pPr>
      <w:r>
        <w:t>Merkmalsregeln regeln das Zusammenspiel von Alternativenklassen und Real</w:t>
      </w:r>
      <w:r>
        <w:t>i</w:t>
      </w:r>
      <w:r>
        <w:t>sierung.</w:t>
      </w:r>
      <w:r w:rsidR="003141E2">
        <w:t xml:space="preserve"> Beim </w:t>
      </w:r>
      <w:r w:rsidR="00992D14">
        <w:t>An</w:t>
      </w:r>
      <w:r w:rsidR="000357EF">
        <w:t xml:space="preserve">wenden </w:t>
      </w:r>
      <w:r w:rsidR="003141E2">
        <w:t>eines Stils beeinflussen die Merkmalsregeln</w:t>
      </w:r>
      <w:r w:rsidR="00127AF1">
        <w:t xml:space="preserve"> die Erze</w:t>
      </w:r>
      <w:r w:rsidR="00127AF1">
        <w:t>u</w:t>
      </w:r>
      <w:r w:rsidR="00127AF1">
        <w:t xml:space="preserve">gung der </w:t>
      </w:r>
      <w:r w:rsidR="003141E2">
        <w:t xml:space="preserve">Realisierung. Beim </w:t>
      </w:r>
      <w:r w:rsidR="00BE695D">
        <w:t xml:space="preserve">Wahrnehmen </w:t>
      </w:r>
      <w:r w:rsidR="003141E2">
        <w:t>eines Stils kann daher aus der vorli</w:t>
      </w:r>
      <w:r w:rsidR="003141E2">
        <w:t>e</w:t>
      </w:r>
      <w:r w:rsidR="003141E2">
        <w:t xml:space="preserve">genden Realisierung Information </w:t>
      </w:r>
      <w:r w:rsidR="006A1198">
        <w:t>entnommen</w:t>
      </w:r>
      <w:r w:rsidR="003141E2">
        <w:t xml:space="preserve"> werden, indem (a) die Alterna</w:t>
      </w:r>
      <w:r w:rsidR="005C0149">
        <w:softHyphen/>
      </w:r>
      <w:r w:rsidR="003141E2">
        <w:t>tivenklassen rekonstruiert werden, die bei der Erzeugung der Realisierung vermutlich gegolten haben, und (b) aus dem Verhältnis zwischen den rekonstr</w:t>
      </w:r>
      <w:r w:rsidR="003141E2">
        <w:t>u</w:t>
      </w:r>
      <w:r w:rsidR="003141E2">
        <w:t>ierten Alternativenklassen – also den Möglichkeiten, die es jeweils für die Real</w:t>
      </w:r>
      <w:r w:rsidR="003141E2">
        <w:t>i</w:t>
      </w:r>
      <w:r w:rsidR="003141E2">
        <w:t>sierung gegeben hätte – und der konkret vorliegenden Realisierung die Mer</w:t>
      </w:r>
      <w:r w:rsidR="00AB5C68">
        <w:t>k</w:t>
      </w:r>
      <w:r w:rsidR="00AB5C68">
        <w:t>malsregeln erzeugt werden, die angewandt wurden.</w:t>
      </w:r>
    </w:p>
    <w:p w:rsidR="00AB5C68" w:rsidRDefault="00AB5C68" w:rsidP="00AB5C68">
      <w:pPr>
        <w:pStyle w:val="Text"/>
      </w:pPr>
      <w:r>
        <w:t xml:space="preserve">Merkmalsregeln sind </w:t>
      </w:r>
      <w:r w:rsidR="00DB3B95">
        <w:t xml:space="preserve">also </w:t>
      </w:r>
      <w:r w:rsidR="00BB37AC">
        <w:t>eine</w:t>
      </w:r>
      <w:r w:rsidR="00C25F2B">
        <w:t xml:space="preserve"> </w:t>
      </w:r>
      <w:r>
        <w:t>Art, wie Informationen mit Hilfe der Alter</w:t>
      </w:r>
      <w:r w:rsidR="00371A6A">
        <w:softHyphen/>
      </w:r>
      <w:r>
        <w:t>nativenklassen in eine</w:t>
      </w:r>
      <w:r w:rsidR="006A1198">
        <w:t>r</w:t>
      </w:r>
      <w:r>
        <w:t xml:space="preserve"> Realisierung </w:t>
      </w:r>
      <w:r w:rsidR="006A1198">
        <w:t>untergebracht</w:t>
      </w:r>
      <w:r>
        <w:t xml:space="preserve"> werden können. Information, die sich unmittelbar aus der Realisierung (ohne Betrachtung der Auswahl aus den Alternativenklassen) ergibt, wird nicht zum Stil gezählt, wie wir inzwischen an </w:t>
      </w:r>
      <w:r w:rsidR="006A1198">
        <w:t xml:space="preserve">verschiedenen </w:t>
      </w:r>
      <w:r>
        <w:t xml:space="preserve">Beispielen gesehen haben. Ein Stil besteht somit aus einer Menge von Merkmalsregeln. Im weiteren Sinn können </w:t>
      </w:r>
      <w:r w:rsidR="00371F8E">
        <w:t xml:space="preserve">auch </w:t>
      </w:r>
      <w:r>
        <w:t xml:space="preserve">Informationen, die sich aus </w:t>
      </w:r>
      <w:r w:rsidR="00371F8E">
        <w:t xml:space="preserve">einer </w:t>
      </w:r>
      <w:r>
        <w:t>Menge von Merkmalsregeln erzeugen lassen, zum entsprechenden Stil gezählt werden.</w:t>
      </w:r>
    </w:p>
    <w:p w:rsidR="00482A23" w:rsidRDefault="001235CB" w:rsidP="001445BE">
      <w:pPr>
        <w:pStyle w:val="Text"/>
      </w:pPr>
      <w:r>
        <w:t>Wird eine Menge von Merkmalsregeln bei der Erzeugung einer Realisierung angewandt, nennen wir dies „Einschreiben der Merkmalsregeln</w:t>
      </w:r>
      <w:r w:rsidR="003E1885">
        <w:t>“</w:t>
      </w:r>
      <w:r>
        <w:t xml:space="preserve"> in die Realisi</w:t>
      </w:r>
      <w:r>
        <w:t>e</w:t>
      </w:r>
      <w:r>
        <w:t xml:space="preserve">rung. </w:t>
      </w:r>
      <w:r w:rsidR="00482A23">
        <w:t>Der Vorgang, in dem die angewandten Merkmalsregeln rekonstruiert we</w:t>
      </w:r>
      <w:r w:rsidR="00482A23">
        <w:t>r</w:t>
      </w:r>
      <w:r w:rsidR="00482A23">
        <w:t>den, soll „Auslesen der Merkmalsregeln“ genannt werden</w:t>
      </w:r>
      <w:r w:rsidR="00C3491F">
        <w:t>. (Diese Vorgänge we</w:t>
      </w:r>
      <w:r w:rsidR="00C3491F">
        <w:t>r</w:t>
      </w:r>
      <w:r w:rsidR="00C3491F">
        <w:t>den im nächsten</w:t>
      </w:r>
      <w:r w:rsidR="000923AE">
        <w:t xml:space="preserve"> Abschnitt</w:t>
      </w:r>
      <w:r w:rsidR="00C3491F">
        <w:t xml:space="preserve"> genauer untersucht.</w:t>
      </w:r>
      <w:r w:rsidR="000923AE">
        <w:t>)</w:t>
      </w:r>
    </w:p>
    <w:p w:rsidR="001445BE" w:rsidRDefault="00E90AB6" w:rsidP="00204861">
      <w:pPr>
        <w:pStyle w:val="Text"/>
      </w:pPr>
      <w:r>
        <w:t>Damit e</w:t>
      </w:r>
      <w:r w:rsidR="000F0A59">
        <w:t>ine Merkmalsregel in eine Realisierung</w:t>
      </w:r>
      <w:r>
        <w:t xml:space="preserve"> eingeschrieben wird, müssen bestimmte Voraussetzungen gelten:</w:t>
      </w:r>
    </w:p>
    <w:p w:rsidR="00170255" w:rsidRDefault="00170255" w:rsidP="00170255">
      <w:pPr>
        <w:pStyle w:val="Text"/>
      </w:pPr>
      <w:r>
        <w:t>(</w:t>
      </w:r>
      <w:r w:rsidR="000F0A59">
        <w:t>a</w:t>
      </w:r>
      <w:r>
        <w:t>)</w:t>
      </w:r>
      <w:r>
        <w:tab/>
      </w:r>
      <w:r w:rsidR="000F0A59">
        <w:t xml:space="preserve">Sie </w:t>
      </w:r>
      <w:r>
        <w:t xml:space="preserve">muss </w:t>
      </w:r>
      <w:r w:rsidR="000F0A59">
        <w:t xml:space="preserve">auf erkennbare Weise </w:t>
      </w:r>
      <w:r>
        <w:t>angewandt werden, um aus dem A</w:t>
      </w:r>
      <w:r>
        <w:t>n</w:t>
      </w:r>
      <w:r>
        <w:t xml:space="preserve">wendungsergebnis ablesbar zu sein, wobei </w:t>
      </w:r>
      <w:r w:rsidR="00616E53">
        <w:t xml:space="preserve">die Erkennbarkeit </w:t>
      </w:r>
      <w:r>
        <w:t xml:space="preserve">von ihrer </w:t>
      </w:r>
      <w:r w:rsidR="000F0A59">
        <w:t>Auffälli</w:t>
      </w:r>
      <w:r w:rsidR="000F0A59">
        <w:t>g</w:t>
      </w:r>
      <w:r w:rsidR="000F0A59">
        <w:t>keit</w:t>
      </w:r>
      <w:r>
        <w:t xml:space="preserve">, </w:t>
      </w:r>
      <w:r w:rsidR="000F0A59">
        <w:t xml:space="preserve">der Häufigkeit der Anwendung, </w:t>
      </w:r>
      <w:r>
        <w:t>der Komplexität der Realisierung und den v</w:t>
      </w:r>
      <w:r w:rsidR="000F0A59">
        <w:t>orhandenen Kontextinformationen, die auf mögliche Merkmalsregeln hinwe</w:t>
      </w:r>
      <w:r w:rsidR="000F0A59">
        <w:t>i</w:t>
      </w:r>
      <w:r w:rsidR="000F0A59">
        <w:t>sen können</w:t>
      </w:r>
      <w:r>
        <w:t xml:space="preserve">, </w:t>
      </w:r>
      <w:r w:rsidR="000F0A59">
        <w:t>abhängt.</w:t>
      </w:r>
    </w:p>
    <w:p w:rsidR="00170255" w:rsidRDefault="00170255" w:rsidP="00170255">
      <w:pPr>
        <w:pStyle w:val="Text"/>
      </w:pPr>
      <w:r>
        <w:t>(</w:t>
      </w:r>
      <w:r w:rsidR="000F0A59">
        <w:t>b</w:t>
      </w:r>
      <w:r>
        <w:t>)</w:t>
      </w:r>
      <w:r>
        <w:tab/>
        <w:t>Die Regelanwen</w:t>
      </w:r>
      <w:r w:rsidR="00A3675A">
        <w:t xml:space="preserve">dungen müssen erkennbar bleiben; es muss gesichert sein, dass Regeln nicht parallel angewandt werden, sondern stets nacheinander, </w:t>
      </w:r>
      <w:r w:rsidR="00A3675A">
        <w:lastRenderedPageBreak/>
        <w:t>wobei die spätere Regel nur aus dem Auswahlergebnis der früher angewandten Regeln auswählt. (Dies würde wenig Sinn machen, wenn eine Regel bei ihrer Anwendung nur ein Element auswählen würde; das Auswahlergebnis einer Regel enthält jedoch alle Elemente, die die ver</w:t>
      </w:r>
      <w:r w:rsidR="00FC62C3">
        <w:t>langten Eigenschaften besitzen.)</w:t>
      </w:r>
    </w:p>
    <w:p w:rsidR="00DB3B95" w:rsidRPr="001E1B0F" w:rsidRDefault="001E1B0F" w:rsidP="006F15A6">
      <w:pPr>
        <w:pStyle w:val="Zwischenberschrift"/>
      </w:pPr>
      <w:r>
        <w:t>Zur Formulier</w:t>
      </w:r>
      <w:r w:rsidR="007C0C37">
        <w:t>ung von Regelmäßigkeiten</w:t>
      </w:r>
      <w:r>
        <w:t xml:space="preserve"> </w:t>
      </w:r>
      <w:r w:rsidR="0045374E">
        <w:t xml:space="preserve">der Auswahl </w:t>
      </w:r>
      <w:r w:rsidR="006F15A6">
        <w:t>als Regeln</w:t>
      </w:r>
    </w:p>
    <w:p w:rsidR="009A0CE0" w:rsidRDefault="009A0CE0" w:rsidP="006F15A6">
      <w:pPr>
        <w:pStyle w:val="Text"/>
        <w:ind w:firstLine="0"/>
      </w:pPr>
      <w:r w:rsidRPr="007D5E55">
        <w:t xml:space="preserve">Warum werden </w:t>
      </w:r>
      <w:r w:rsidR="007C0C37">
        <w:t xml:space="preserve">jene Regelmäßigkeiten der </w:t>
      </w:r>
      <w:r w:rsidR="00C8588A">
        <w:t>Auswahl bei der Erzeugung einer Realisierung</w:t>
      </w:r>
      <w:r w:rsidR="007C0C37">
        <w:t xml:space="preserve">, die </w:t>
      </w:r>
      <w:r w:rsidRPr="007D5E55">
        <w:t xml:space="preserve">stilistische Merkmale </w:t>
      </w:r>
      <w:r w:rsidR="007C0C37">
        <w:t xml:space="preserve">erzeugen, </w:t>
      </w:r>
      <w:r w:rsidRPr="007D5E55">
        <w:t xml:space="preserve">in der vorliegenden Theorie als Regeln </w:t>
      </w:r>
      <w:r w:rsidR="003C43D4">
        <w:t>dargestellt</w:t>
      </w:r>
      <w:r w:rsidRPr="007D5E55">
        <w:t xml:space="preserve">? Wäre </w:t>
      </w:r>
      <w:r w:rsidR="00127D55">
        <w:t xml:space="preserve">es </w:t>
      </w:r>
      <w:r w:rsidRPr="007D5E55">
        <w:t xml:space="preserve">nicht </w:t>
      </w:r>
      <w:r w:rsidR="00127D55">
        <w:t>ausreichend</w:t>
      </w:r>
      <w:r w:rsidRPr="007D5E55">
        <w:t xml:space="preserve">, den Typ von Realisierungsstelle, </w:t>
      </w:r>
      <w:r w:rsidR="00F13E1E">
        <w:t>an dem die Regelmäßigkeit vorliegt</w:t>
      </w:r>
      <w:r w:rsidRPr="007D5E55">
        <w:t>, und die dort stilistisch relevanten Eige</w:t>
      </w:r>
      <w:r w:rsidRPr="007D5E55">
        <w:t>n</w:t>
      </w:r>
      <w:r w:rsidRPr="007D5E55">
        <w:t xml:space="preserve">schaften </w:t>
      </w:r>
      <w:r w:rsidR="0098503D">
        <w:t>anzugeben</w:t>
      </w:r>
      <w:r w:rsidRPr="007D5E55">
        <w:t>?</w:t>
      </w:r>
      <w:r w:rsidR="00C131DA">
        <w:t xml:space="preserve"> Eine solche Definition</w:t>
      </w:r>
      <w:r w:rsidR="00FF320D">
        <w:t>,</w:t>
      </w:r>
      <w:r w:rsidR="00E62130">
        <w:t xml:space="preserve"> beispielswei</w:t>
      </w:r>
      <w:r w:rsidR="00656BCB">
        <w:t>se in Form eines natür</w:t>
      </w:r>
      <w:r w:rsidR="00F2350D">
        <w:softHyphen/>
      </w:r>
      <w:r w:rsidR="00656BCB">
        <w:t>lich</w:t>
      </w:r>
      <w:r w:rsidR="00F2350D">
        <w:softHyphen/>
      </w:r>
      <w:r w:rsidR="00656BCB">
        <w:t>sprachlichen Satzes</w:t>
      </w:r>
      <w:r w:rsidR="00FF320D">
        <w:t>,</w:t>
      </w:r>
      <w:r w:rsidR="00C131DA">
        <w:t xml:space="preserve"> </w:t>
      </w:r>
      <w:r w:rsidR="007745D7">
        <w:t xml:space="preserve">könnte </w:t>
      </w:r>
      <w:r w:rsidR="00C131DA">
        <w:t>als „</w:t>
      </w:r>
      <w:r w:rsidR="00F13E1E">
        <w:t>Auswahlbeschreibung</w:t>
      </w:r>
      <w:r w:rsidR="00D04EB7">
        <w:t xml:space="preserve">“ bezeichnet werden. Für den Stil </w:t>
      </w:r>
      <w:r w:rsidR="00D04EB7" w:rsidRPr="00D04EB7">
        <w:rPr>
          <w:i/>
        </w:rPr>
        <w:t>A</w:t>
      </w:r>
      <w:r w:rsidR="00D04EB7">
        <w:t xml:space="preserve"> eines Gebäudes </w:t>
      </w:r>
      <w:r w:rsidR="007745D7">
        <w:t>würde etwa gelten</w:t>
      </w:r>
      <w:r w:rsidR="00D04EB7">
        <w:t>:</w:t>
      </w:r>
    </w:p>
    <w:p w:rsidR="00D04EB7" w:rsidRDefault="00D04EB7" w:rsidP="002C46FC">
      <w:pPr>
        <w:pStyle w:val="Formel"/>
      </w:pPr>
      <w:r>
        <w:t>„Fenster</w:t>
      </w:r>
      <w:r w:rsidR="00BC68AD">
        <w:t xml:space="preserve"> werden</w:t>
      </w:r>
      <w:r>
        <w:t xml:space="preserve"> </w:t>
      </w:r>
      <w:r w:rsidR="00164F84">
        <w:t xml:space="preserve">immer/oft/manchmal </w:t>
      </w:r>
      <w:r>
        <w:t>quadratisch</w:t>
      </w:r>
      <w:r w:rsidR="007745D7">
        <w:t xml:space="preserve"> ausgeführt</w:t>
      </w:r>
      <w:r>
        <w:t>.“</w:t>
      </w:r>
    </w:p>
    <w:p w:rsidR="00D04EB7" w:rsidRDefault="00D04EB7" w:rsidP="002C46FC">
      <w:pPr>
        <w:pStyle w:val="Formel"/>
      </w:pPr>
      <w:r>
        <w:t>„Fassaden</w:t>
      </w:r>
      <w:r w:rsidR="005D7996">
        <w:fldChar w:fldCharType="begin"/>
      </w:r>
      <w:r w:rsidR="005D5684">
        <w:instrText xml:space="preserve"> XE "</w:instrText>
      </w:r>
      <w:r w:rsidR="005D5684" w:rsidRPr="00750EE0">
        <w:instrText>Fassade</w:instrText>
      </w:r>
      <w:r w:rsidR="005D5684">
        <w:instrText xml:space="preserve">" </w:instrText>
      </w:r>
      <w:r w:rsidR="005D7996">
        <w:fldChar w:fldCharType="end"/>
      </w:r>
      <w:r>
        <w:t xml:space="preserve"> </w:t>
      </w:r>
      <w:r w:rsidR="00BC68AD">
        <w:t>werden</w:t>
      </w:r>
      <w:r w:rsidR="007962ED">
        <w:t xml:space="preserve"> </w:t>
      </w:r>
      <w:r w:rsidR="00BC68AD">
        <w:t xml:space="preserve">immer/oft/manchmal in der Farbe </w:t>
      </w:r>
      <w:r>
        <w:t>weiß</w:t>
      </w:r>
      <w:r w:rsidR="007745D7">
        <w:t xml:space="preserve"> ausgeführt</w:t>
      </w:r>
      <w:r>
        <w:t>.“</w:t>
      </w:r>
    </w:p>
    <w:p w:rsidR="00D04EB7" w:rsidRDefault="00D04EB7" w:rsidP="00CD1C0D">
      <w:pPr>
        <w:pStyle w:val="Formel"/>
        <w:tabs>
          <w:tab w:val="left" w:pos="680"/>
          <w:tab w:val="left" w:pos="1134"/>
          <w:tab w:val="left" w:pos="1418"/>
        </w:tabs>
      </w:pPr>
      <w:r>
        <w:t xml:space="preserve">„Dächer </w:t>
      </w:r>
      <w:r w:rsidR="007745D7">
        <w:t>werden</w:t>
      </w:r>
      <w:r w:rsidR="007962ED">
        <w:t xml:space="preserve"> </w:t>
      </w:r>
      <w:r w:rsidR="00BC68AD">
        <w:t>immer/oft/manchmal</w:t>
      </w:r>
      <w:r w:rsidR="007745D7">
        <w:t xml:space="preserve"> als </w:t>
      </w:r>
      <w:r>
        <w:t>Flachdächer</w:t>
      </w:r>
      <w:r w:rsidR="007745D7">
        <w:t xml:space="preserve"> ausgeführt</w:t>
      </w:r>
      <w:r>
        <w:t>.“</w:t>
      </w:r>
    </w:p>
    <w:p w:rsidR="00D04EB7" w:rsidRDefault="00CD1C0D" w:rsidP="002C46FC">
      <w:pPr>
        <w:pStyle w:val="Formel"/>
      </w:pPr>
      <w:r>
        <w:tab/>
      </w:r>
      <w:r w:rsidR="00D04EB7">
        <w:t>…</w:t>
      </w:r>
    </w:p>
    <w:p w:rsidR="00E62130" w:rsidRDefault="00E62130" w:rsidP="006F15A6">
      <w:pPr>
        <w:pStyle w:val="Text"/>
        <w:ind w:firstLine="0"/>
      </w:pPr>
      <w:r>
        <w:t>Diese Beschreibung</w:t>
      </w:r>
      <w:r w:rsidR="00D04EB7">
        <w:t>en</w:t>
      </w:r>
      <w:r>
        <w:t xml:space="preserve"> </w:t>
      </w:r>
      <w:r w:rsidR="00D04EB7">
        <w:t xml:space="preserve">sagen </w:t>
      </w:r>
      <w:r>
        <w:t xml:space="preserve">im </w:t>
      </w:r>
      <w:r w:rsidR="00175C64">
        <w:t>W</w:t>
      </w:r>
      <w:r>
        <w:t>esentlichen dasselbe aus wie die hier vorg</w:t>
      </w:r>
      <w:r>
        <w:t>e</w:t>
      </w:r>
      <w:r>
        <w:t xml:space="preserve">schlagenen Merkmalsregeln: Sie </w:t>
      </w:r>
      <w:r w:rsidR="00D04EB7">
        <w:t xml:space="preserve">geben </w:t>
      </w:r>
      <w:r>
        <w:t xml:space="preserve">die Bereiche der Realisierung an, für die das Merkmal </w:t>
      </w:r>
      <w:r w:rsidR="007745D7">
        <w:t xml:space="preserve">erzeugt werden soll </w:t>
      </w:r>
      <w:r>
        <w:t>(„Fenster“, im Modell sind dies die Anwe</w:t>
      </w:r>
      <w:r>
        <w:t>n</w:t>
      </w:r>
      <w:r>
        <w:t>dungs</w:t>
      </w:r>
      <w:r w:rsidR="00AC1BD5">
        <w:t>bedingungen</w:t>
      </w:r>
      <w:r w:rsidR="007745D7">
        <w:t>) und spezifizieren</w:t>
      </w:r>
      <w:r>
        <w:t xml:space="preserve"> die Eigenschaften, die dort </w:t>
      </w:r>
      <w:r w:rsidR="007745D7">
        <w:t>verlangt we</w:t>
      </w:r>
      <w:r w:rsidR="007745D7">
        <w:t>r</w:t>
      </w:r>
      <w:r w:rsidR="007745D7">
        <w:t xml:space="preserve">den </w:t>
      </w:r>
      <w:r>
        <w:t>(„</w:t>
      </w:r>
      <w:r w:rsidR="007C45F5">
        <w:t>quadratisch</w:t>
      </w:r>
      <w:r>
        <w:t xml:space="preserve">“). Im Beispiel wird zudem noch die (ungefähre) </w:t>
      </w:r>
      <w:r w:rsidR="00D04EB7">
        <w:t>Wahrschei</w:t>
      </w:r>
      <w:r w:rsidR="00D04EB7">
        <w:t>n</w:t>
      </w:r>
      <w:r w:rsidR="00D04EB7">
        <w:t>lichkeit</w:t>
      </w:r>
      <w:r>
        <w:t xml:space="preserve"> angegeben: </w:t>
      </w:r>
      <w:r w:rsidR="008C5417">
        <w:t>„</w:t>
      </w:r>
      <w:r w:rsidR="0045374E">
        <w:t>Immer</w:t>
      </w:r>
      <w:r w:rsidR="008C5417">
        <w:t>“</w:t>
      </w:r>
      <w:r>
        <w:t xml:space="preserve">, </w:t>
      </w:r>
      <w:r w:rsidR="008C5417">
        <w:t>„</w:t>
      </w:r>
      <w:r w:rsidR="0045374E">
        <w:t>oft</w:t>
      </w:r>
      <w:r w:rsidR="008C5417">
        <w:t>“</w:t>
      </w:r>
      <w:r>
        <w:t xml:space="preserve"> oder </w:t>
      </w:r>
      <w:r w:rsidR="008C5417">
        <w:t>„</w:t>
      </w:r>
      <w:r w:rsidR="0045374E">
        <w:t>manchmal</w:t>
      </w:r>
      <w:r w:rsidR="008C5417">
        <w:t>“</w:t>
      </w:r>
      <w:r>
        <w:t xml:space="preserve"> </w:t>
      </w:r>
      <w:r w:rsidR="0045374E">
        <w:t>wird die spezifizierte Au</w:t>
      </w:r>
      <w:r w:rsidR="0045374E">
        <w:t>s</w:t>
      </w:r>
      <w:r w:rsidR="0045374E">
        <w:t>wahl getroffen.</w:t>
      </w:r>
    </w:p>
    <w:p w:rsidR="0008733D" w:rsidRDefault="0008733D" w:rsidP="009A0CE0">
      <w:pPr>
        <w:pStyle w:val="Text"/>
      </w:pPr>
      <w:r>
        <w:t xml:space="preserve">Eine weitere </w:t>
      </w:r>
      <w:r w:rsidR="005A24FA">
        <w:t xml:space="preserve">Möglichkeit </w:t>
      </w:r>
      <w:r>
        <w:t xml:space="preserve">ist die </w:t>
      </w:r>
      <w:r w:rsidR="00283DF6">
        <w:t xml:space="preserve">Formulierung </w:t>
      </w:r>
      <w:r w:rsidR="00007698">
        <w:t xml:space="preserve">von </w:t>
      </w:r>
      <w:r w:rsidR="007745D7">
        <w:t>Regelmäßigkeiten</w:t>
      </w:r>
      <w:r w:rsidR="004E6C31">
        <w:t xml:space="preserve"> </w:t>
      </w:r>
      <w:r w:rsidR="0045374E">
        <w:t xml:space="preserve">der Auswahl </w:t>
      </w:r>
      <w:r w:rsidR="004E6C31">
        <w:t>als logische Bedingungen</w:t>
      </w:r>
      <w:r w:rsidR="005D7996">
        <w:fldChar w:fldCharType="begin"/>
      </w:r>
      <w:r w:rsidR="0093743F">
        <w:instrText xml:space="preserve"> XE "</w:instrText>
      </w:r>
      <w:r w:rsidR="0093743F" w:rsidRPr="00585836">
        <w:instrText>Logik</w:instrText>
      </w:r>
      <w:r w:rsidR="0093743F">
        <w:instrText xml:space="preserve">" </w:instrText>
      </w:r>
      <w:r w:rsidR="005D7996">
        <w:fldChar w:fldCharType="end"/>
      </w:r>
      <w:r w:rsidR="00283DF6">
        <w:t xml:space="preserve">. </w:t>
      </w:r>
      <w:r w:rsidR="007745D7">
        <w:t xml:space="preserve">Der </w:t>
      </w:r>
      <w:r w:rsidR="00283DF6">
        <w:t xml:space="preserve">Stil </w:t>
      </w:r>
      <w:r w:rsidR="004E1B7F">
        <w:rPr>
          <w:i/>
        </w:rPr>
        <w:t>A</w:t>
      </w:r>
      <w:r w:rsidR="007745D7">
        <w:t xml:space="preserve"> wurde in eine Realisierung eing</w:t>
      </w:r>
      <w:r w:rsidR="007745D7">
        <w:t>e</w:t>
      </w:r>
      <w:r w:rsidR="007745D7">
        <w:t xml:space="preserve">schrieben, wenn </w:t>
      </w:r>
      <w:r w:rsidR="00283DF6">
        <w:t>sie die Bedingungen erfüllt</w:t>
      </w:r>
      <w:r w:rsidR="00ED4B6B">
        <w:t>:</w:t>
      </w:r>
    </w:p>
    <w:p w:rsidR="00283DF6" w:rsidRDefault="00283DF6" w:rsidP="002C46FC">
      <w:pPr>
        <w:pStyle w:val="Formel"/>
      </w:pPr>
      <w:r>
        <w:t>Bed</w:t>
      </w:r>
      <w:r w:rsidRPr="00283DF6">
        <w:rPr>
          <w:vertAlign w:val="subscript"/>
        </w:rPr>
        <w:t>1</w:t>
      </w:r>
      <w:r w:rsidR="004E1B7F">
        <w:t>(</w:t>
      </w:r>
      <w:r w:rsidR="004E1B7F" w:rsidRPr="004E6C31">
        <w:rPr>
          <w:i/>
        </w:rPr>
        <w:t>A</w:t>
      </w:r>
      <w:r w:rsidR="004E1B7F">
        <w:t>):</w:t>
      </w:r>
      <w:r w:rsidR="00CD1C0D">
        <w:tab/>
      </w:r>
      <w:r w:rsidR="004E1B7F" w:rsidRPr="00553BF4">
        <w:rPr>
          <w:rFonts w:ascii="Cambria Math" w:hAnsi="Cambria Math"/>
        </w:rPr>
        <w:t>∀</w:t>
      </w:r>
      <w:r w:rsidR="004E1B7F">
        <w:rPr>
          <w:i/>
        </w:rPr>
        <w:t>x</w:t>
      </w:r>
      <w:r w:rsidR="004E6C31">
        <w:rPr>
          <w:i/>
        </w:rPr>
        <w:t xml:space="preserve"> </w:t>
      </w:r>
      <w:r w:rsidR="004E1B7F">
        <w:t>(</w:t>
      </w:r>
      <w:r>
        <w:t>Fenster(</w:t>
      </w:r>
      <w:r w:rsidRPr="00283DF6">
        <w:rPr>
          <w:i/>
        </w:rPr>
        <w:t>x</w:t>
      </w:r>
      <w:r>
        <w:t>)</w:t>
      </w:r>
      <w:r w:rsidRPr="00283DF6">
        <w:t xml:space="preserve"> </w:t>
      </w:r>
      <w:r w:rsidR="004E1B7F" w:rsidRPr="008F0DBD">
        <w:rPr>
          <w:rFonts w:ascii="Times New Roman" w:eastAsia="Arial Unicode MS" w:hAnsi="Times New Roman" w:cs="Times New Roman"/>
          <w:color w:val="000000" w:themeColor="text1"/>
          <w:sz w:val="22"/>
          <w:szCs w:val="22"/>
        </w:rPr>
        <w:t>→</w:t>
      </w:r>
      <w:r>
        <w:t xml:space="preserve"> quadratisch(</w:t>
      </w:r>
      <w:r w:rsidRPr="00283DF6">
        <w:rPr>
          <w:i/>
        </w:rPr>
        <w:t>x</w:t>
      </w:r>
      <w:r>
        <w:t>)</w:t>
      </w:r>
      <w:r w:rsidR="004E1B7F">
        <w:t>)</w:t>
      </w:r>
    </w:p>
    <w:p w:rsidR="00ED4B6B" w:rsidRDefault="00ED4B6B" w:rsidP="00CD1C0D">
      <w:pPr>
        <w:pStyle w:val="Formel"/>
        <w:tabs>
          <w:tab w:val="clear" w:pos="1021"/>
          <w:tab w:val="left" w:pos="680"/>
          <w:tab w:val="left" w:pos="964"/>
          <w:tab w:val="left" w:pos="1418"/>
        </w:tabs>
      </w:pPr>
      <w:r>
        <w:t>Bed</w:t>
      </w:r>
      <w:r>
        <w:rPr>
          <w:vertAlign w:val="subscript"/>
        </w:rPr>
        <w:t>2</w:t>
      </w:r>
      <w:r>
        <w:t>(</w:t>
      </w:r>
      <w:r w:rsidRPr="004E6C31">
        <w:rPr>
          <w:i/>
        </w:rPr>
        <w:t>A</w:t>
      </w:r>
      <w:r>
        <w:t>):</w:t>
      </w:r>
      <w:r w:rsidR="00CD1C0D">
        <w:tab/>
      </w:r>
      <w:r w:rsidRPr="00553BF4">
        <w:rPr>
          <w:rFonts w:ascii="Cambria Math" w:hAnsi="Cambria Math"/>
        </w:rPr>
        <w:t>∀</w:t>
      </w:r>
      <w:r>
        <w:rPr>
          <w:i/>
        </w:rPr>
        <w:t xml:space="preserve">x </w:t>
      </w:r>
      <w:r>
        <w:t>(Farbe der Fassaden(</w:t>
      </w:r>
      <w:r w:rsidRPr="00283DF6">
        <w:rPr>
          <w:i/>
        </w:rPr>
        <w:t>x</w:t>
      </w:r>
      <w:r>
        <w:t>)</w:t>
      </w:r>
      <w:r w:rsidRPr="00283DF6">
        <w:t xml:space="preserve"> </w:t>
      </w:r>
      <w:r w:rsidRPr="008F0DBD">
        <w:rPr>
          <w:rFonts w:ascii="Times New Roman" w:eastAsia="Arial Unicode MS" w:hAnsi="Times New Roman" w:cs="Times New Roman"/>
          <w:color w:val="000000" w:themeColor="text1"/>
          <w:sz w:val="22"/>
          <w:szCs w:val="22"/>
        </w:rPr>
        <w:t>→</w:t>
      </w:r>
      <w:r>
        <w:t xml:space="preserve"> weiß(</w:t>
      </w:r>
      <w:r w:rsidRPr="00283DF6">
        <w:rPr>
          <w:i/>
        </w:rPr>
        <w:t>x</w:t>
      </w:r>
      <w:r>
        <w:t>))</w:t>
      </w:r>
    </w:p>
    <w:p w:rsidR="00ED4B6B" w:rsidRDefault="00ED4B6B" w:rsidP="002C46FC">
      <w:pPr>
        <w:pStyle w:val="Formel"/>
      </w:pPr>
      <w:r>
        <w:t>Bed</w:t>
      </w:r>
      <w:r>
        <w:rPr>
          <w:vertAlign w:val="subscript"/>
        </w:rPr>
        <w:t>3</w:t>
      </w:r>
      <w:r>
        <w:t>(</w:t>
      </w:r>
      <w:r w:rsidRPr="004E6C31">
        <w:rPr>
          <w:i/>
        </w:rPr>
        <w:t>A</w:t>
      </w:r>
      <w:r>
        <w:t>):</w:t>
      </w:r>
      <w:r w:rsidR="00CD1C0D">
        <w:tab/>
      </w:r>
      <w:r w:rsidRPr="00553BF4">
        <w:rPr>
          <w:rFonts w:ascii="Cambria Math" w:hAnsi="Cambria Math"/>
        </w:rPr>
        <w:t>∀</w:t>
      </w:r>
      <w:r>
        <w:rPr>
          <w:i/>
        </w:rPr>
        <w:t xml:space="preserve">x </w:t>
      </w:r>
      <w:r>
        <w:t>(Dach(</w:t>
      </w:r>
      <w:r w:rsidRPr="00283DF6">
        <w:rPr>
          <w:i/>
        </w:rPr>
        <w:t>x</w:t>
      </w:r>
      <w:r>
        <w:t>)</w:t>
      </w:r>
      <w:r w:rsidRPr="00283DF6">
        <w:t xml:space="preserve"> </w:t>
      </w:r>
      <w:r w:rsidRPr="008F0DBD">
        <w:rPr>
          <w:rFonts w:ascii="Times New Roman" w:eastAsia="Arial Unicode MS" w:hAnsi="Times New Roman" w:cs="Times New Roman"/>
          <w:color w:val="000000" w:themeColor="text1"/>
          <w:sz w:val="22"/>
          <w:szCs w:val="22"/>
        </w:rPr>
        <w:t>→</w:t>
      </w:r>
      <w:r>
        <w:t xml:space="preserve"> Flachdach(</w:t>
      </w:r>
      <w:r w:rsidRPr="00283DF6">
        <w:rPr>
          <w:i/>
        </w:rPr>
        <w:t>x</w:t>
      </w:r>
      <w:r>
        <w:t>))</w:t>
      </w:r>
    </w:p>
    <w:p w:rsidR="00ED4B6B" w:rsidRDefault="00ED4B6B" w:rsidP="002C46FC">
      <w:pPr>
        <w:pStyle w:val="Formel"/>
      </w:pPr>
      <w:r>
        <w:tab/>
        <w:t>…</w:t>
      </w:r>
    </w:p>
    <w:p w:rsidR="002C46FC" w:rsidRDefault="002C46FC" w:rsidP="002C46FC">
      <w:pPr>
        <w:pStyle w:val="Text"/>
        <w:ind w:firstLine="0"/>
      </w:pPr>
      <w:r>
        <w:t>In einer Wahrscheinlichkeitslogik könnten auch noch Wahrscheinlichkeiten hinzugefügt werden. – Bei beiden Formulierungen ergibt sich das Problem, dass die kontextuellen, funktionalen oder inhaltlichen Bedingungen, die die tatsächl</w:t>
      </w:r>
      <w:r>
        <w:t>i</w:t>
      </w:r>
      <w:r>
        <w:t>che Auswahl einschränken, nicht berücksichtigt werden. Die Formulierungen könnten allerdings entsprechend abgewandelt werden, beispielsweise zu</w:t>
      </w:r>
    </w:p>
    <w:p w:rsidR="00741684" w:rsidRDefault="00741684" w:rsidP="002C46FC">
      <w:pPr>
        <w:pStyle w:val="Formel"/>
      </w:pPr>
      <w:r>
        <w:lastRenderedPageBreak/>
        <w:t>„Fenster werden, wenn die kontextuellen, funktionalen und inhaltlichen Bedingungen dies zulassen, immer/oft/manchmal quadratisch ausgeführt.“</w:t>
      </w:r>
    </w:p>
    <w:p w:rsidR="00741684" w:rsidRDefault="00741684" w:rsidP="00741684">
      <w:pPr>
        <w:pStyle w:val="Text"/>
        <w:ind w:left="454" w:hanging="454"/>
      </w:pPr>
      <w:r>
        <w:t>beziehungsweise zu</w:t>
      </w:r>
    </w:p>
    <w:p w:rsidR="00741684" w:rsidRDefault="00CD1C0D" w:rsidP="00CD1C0D">
      <w:pPr>
        <w:pStyle w:val="Formel"/>
        <w:tabs>
          <w:tab w:val="left" w:pos="397"/>
          <w:tab w:val="left" w:pos="851"/>
        </w:tabs>
        <w:ind w:left="1304" w:hanging="1304"/>
      </w:pPr>
      <w:r>
        <w:tab/>
      </w:r>
      <w:r w:rsidR="00741684">
        <w:t>Bed</w:t>
      </w:r>
      <w:r w:rsidR="00741684" w:rsidRPr="00283DF6">
        <w:rPr>
          <w:vertAlign w:val="subscript"/>
        </w:rPr>
        <w:t>1</w:t>
      </w:r>
      <w:r w:rsidR="00741684">
        <w:t>(</w:t>
      </w:r>
      <w:r w:rsidR="00741684" w:rsidRPr="004E6C31">
        <w:rPr>
          <w:i/>
        </w:rPr>
        <w:t>A</w:t>
      </w:r>
      <w:r w:rsidR="00741684">
        <w:t>):</w:t>
      </w:r>
      <w:r>
        <w:tab/>
      </w:r>
      <w:r w:rsidR="00741684" w:rsidRPr="00553BF4">
        <w:rPr>
          <w:rFonts w:ascii="Cambria Math" w:hAnsi="Cambria Math"/>
        </w:rPr>
        <w:t>∀</w:t>
      </w:r>
      <w:r w:rsidR="00741684">
        <w:rPr>
          <w:i/>
        </w:rPr>
        <w:t xml:space="preserve">x </w:t>
      </w:r>
      <w:r w:rsidR="00741684">
        <w:t>(</w:t>
      </w:r>
      <w:r w:rsidR="004F4E3A">
        <w:t>(</w:t>
      </w:r>
      <w:r w:rsidR="00E06E68" w:rsidRPr="002165B1">
        <w:rPr>
          <w:rFonts w:ascii="Wingdings 2" w:eastAsia="Arial Unicode MS" w:hAnsi="Wingdings 2" w:cs="Arial Unicode MS"/>
        </w:rPr>
        <w:sym w:font="Wingdings 2" w:char="F0AF"/>
      </w:r>
      <w:r w:rsidR="00741684">
        <w:t>(Fenster(</w:t>
      </w:r>
      <w:r w:rsidR="00741684" w:rsidRPr="00283DF6">
        <w:rPr>
          <w:i/>
        </w:rPr>
        <w:t>x</w:t>
      </w:r>
      <w:r w:rsidR="00741684">
        <w:t xml:space="preserve">) </w:t>
      </w:r>
      <w:r w:rsidR="00741684">
        <w:rPr>
          <w:rFonts w:ascii="Cambria Math" w:hAnsi="Cambria Math" w:cs="Cambria Math"/>
          <w:color w:val="000000" w:themeColor="text1"/>
        </w:rPr>
        <w:t>∧</w:t>
      </w:r>
      <w:r w:rsidR="00741684" w:rsidRPr="00283DF6">
        <w:t xml:space="preserve"> </w:t>
      </w:r>
      <w:r w:rsidR="00741684">
        <w:t>quadratisch(</w:t>
      </w:r>
      <w:r w:rsidR="00741684" w:rsidRPr="00283DF6">
        <w:rPr>
          <w:i/>
        </w:rPr>
        <w:t>x</w:t>
      </w:r>
      <w:r w:rsidR="00741684">
        <w:t xml:space="preserve">) </w:t>
      </w:r>
      <w:r w:rsidR="00741684">
        <w:rPr>
          <w:rFonts w:ascii="Cambria Math" w:hAnsi="Cambria Math" w:cs="Cambria Math"/>
          <w:color w:val="000000" w:themeColor="text1"/>
        </w:rPr>
        <w:t>∧</w:t>
      </w:r>
      <w:r w:rsidR="00741684" w:rsidRPr="00283DF6">
        <w:t xml:space="preserve"> </w:t>
      </w:r>
      <w:r w:rsidR="00741684">
        <w:t>erfüllen(</w:t>
      </w:r>
      <w:r w:rsidR="00741684" w:rsidRPr="00741684">
        <w:rPr>
          <w:i/>
        </w:rPr>
        <w:t>x</w:t>
      </w:r>
      <w:r w:rsidR="00741684">
        <w:t xml:space="preserve">, </w:t>
      </w:r>
      <w:r w:rsidR="00741684" w:rsidRPr="00741684">
        <w:rPr>
          <w:i/>
        </w:rPr>
        <w:t>y</w:t>
      </w:r>
      <w:r w:rsidR="00741684">
        <w:t xml:space="preserve">) </w:t>
      </w:r>
      <w:r w:rsidR="00741684">
        <w:rPr>
          <w:rFonts w:ascii="Cambria Math" w:hAnsi="Cambria Math" w:cs="Cambria Math"/>
          <w:color w:val="000000" w:themeColor="text1"/>
        </w:rPr>
        <w:t>∧</w:t>
      </w:r>
      <w:r w:rsidR="00741684" w:rsidRPr="00283DF6">
        <w:t xml:space="preserve"> </w:t>
      </w:r>
      <w:r w:rsidR="00741684">
        <w:t>(konte</w:t>
      </w:r>
      <w:r w:rsidR="00741684">
        <w:t>x</w:t>
      </w:r>
      <w:r w:rsidR="00741684">
        <w:t>tuelle_</w:t>
      </w:r>
      <w:r w:rsidR="004F4E3A">
        <w:t>Bed</w:t>
      </w:r>
      <w:r w:rsidR="00741684">
        <w:t>(</w:t>
      </w:r>
      <w:r w:rsidR="00741684">
        <w:rPr>
          <w:i/>
        </w:rPr>
        <w:t>y</w:t>
      </w:r>
      <w:r w:rsidR="00741684">
        <w:t>)</w:t>
      </w:r>
      <w:r w:rsidR="00741684" w:rsidRPr="00741684">
        <w:t xml:space="preserve"> </w:t>
      </w:r>
      <w:r w:rsidR="00741684">
        <w:rPr>
          <w:rFonts w:ascii="Cambria Math" w:hAnsi="Cambria Math" w:cs="Cambria Math"/>
          <w:color w:val="000000" w:themeColor="text1"/>
        </w:rPr>
        <w:t>∨</w:t>
      </w:r>
      <w:r w:rsidR="00741684" w:rsidRPr="00283DF6">
        <w:t xml:space="preserve"> </w:t>
      </w:r>
      <w:r w:rsidR="004F4E3A">
        <w:t>funktionale</w:t>
      </w:r>
      <w:r w:rsidR="00741684">
        <w:t>_</w:t>
      </w:r>
      <w:r w:rsidR="004F4E3A">
        <w:t>Bed</w:t>
      </w:r>
      <w:r w:rsidR="00741684">
        <w:t>(</w:t>
      </w:r>
      <w:r w:rsidR="00741684">
        <w:rPr>
          <w:i/>
        </w:rPr>
        <w:t>y</w:t>
      </w:r>
      <w:r w:rsidR="00741684">
        <w:t>)</w:t>
      </w:r>
      <w:r w:rsidR="00741684" w:rsidRPr="00741684">
        <w:t xml:space="preserve"> </w:t>
      </w:r>
      <w:r w:rsidR="00741684">
        <w:rPr>
          <w:rFonts w:ascii="Cambria Math" w:hAnsi="Cambria Math" w:cs="Cambria Math"/>
          <w:color w:val="000000" w:themeColor="text1"/>
        </w:rPr>
        <w:t>∨</w:t>
      </w:r>
      <w:r w:rsidR="00741684" w:rsidRPr="00283DF6">
        <w:t xml:space="preserve"> </w:t>
      </w:r>
      <w:r w:rsidR="004F4E3A">
        <w:t>inhaltliche</w:t>
      </w:r>
      <w:r w:rsidR="00741684">
        <w:t>_</w:t>
      </w:r>
      <w:r w:rsidR="004F4E3A">
        <w:t>Bed</w:t>
      </w:r>
      <w:r w:rsidR="00741684">
        <w:t>(</w:t>
      </w:r>
      <w:r w:rsidR="00741684">
        <w:rPr>
          <w:i/>
        </w:rPr>
        <w:t>y</w:t>
      </w:r>
      <w:r w:rsidR="00741684">
        <w:t>))</w:t>
      </w:r>
      <w:r w:rsidR="004F4E3A">
        <w:t>))</w:t>
      </w:r>
      <w:r w:rsidR="00741684">
        <w:t xml:space="preserve"> </w:t>
      </w:r>
      <w:r w:rsidR="00741684" w:rsidRPr="008F0DBD">
        <w:rPr>
          <w:rFonts w:ascii="Times New Roman" w:eastAsia="Arial Unicode MS" w:hAnsi="Times New Roman" w:cs="Times New Roman"/>
          <w:color w:val="000000" w:themeColor="text1"/>
          <w:sz w:val="22"/>
          <w:szCs w:val="22"/>
        </w:rPr>
        <w:t>→</w:t>
      </w:r>
      <w:r w:rsidR="00741684">
        <w:t xml:space="preserve"> quadratisch(</w:t>
      </w:r>
      <w:r w:rsidR="00741684" w:rsidRPr="00283DF6">
        <w:rPr>
          <w:i/>
        </w:rPr>
        <w:t>x</w:t>
      </w:r>
      <w:r w:rsidR="00741684">
        <w:t>))</w:t>
      </w:r>
    </w:p>
    <w:p w:rsidR="006D6865" w:rsidRDefault="004F4E3A" w:rsidP="006F15A6">
      <w:pPr>
        <w:pStyle w:val="Text"/>
        <w:ind w:firstLine="0"/>
      </w:pPr>
      <w:r>
        <w:t>Es ergeben sich Formulierunge</w:t>
      </w:r>
      <w:r w:rsidR="005368B0">
        <w:t>n</w:t>
      </w:r>
      <w:r>
        <w:t>, die deutlich komplizierter als die Darstellung als Merkmalsregeln sind, weil sie die Anforderung</w:t>
      </w:r>
      <w:r w:rsidR="001B67C4">
        <w:t xml:space="preserve">, dass die verschiedenen </w:t>
      </w:r>
      <w:r>
        <w:t>B</w:t>
      </w:r>
      <w:r>
        <w:t>e</w:t>
      </w:r>
      <w:r>
        <w:t>d</w:t>
      </w:r>
      <w:r w:rsidR="001B67C4">
        <w:t>i</w:t>
      </w:r>
      <w:r>
        <w:t xml:space="preserve">ngungen </w:t>
      </w:r>
      <w:r w:rsidR="001B67C4">
        <w:t xml:space="preserve">erfüllt sein müssen, </w:t>
      </w:r>
      <w:r>
        <w:t xml:space="preserve">explizit repräsentieren. Dennoch könnten wir mit ihnen in der Praxis wenig anfangen: </w:t>
      </w:r>
      <w:r w:rsidR="003D7C48">
        <w:t xml:space="preserve">Kontextuelle, funktionale und inhaltliche </w:t>
      </w:r>
      <w:r w:rsidR="006D6865">
        <w:t>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6D6865">
        <w:t xml:space="preserve"> </w:t>
      </w:r>
      <w:r>
        <w:t xml:space="preserve">können </w:t>
      </w:r>
      <w:r w:rsidR="006D6865">
        <w:t xml:space="preserve">für jede Realisierungsstelle </w:t>
      </w:r>
      <w:r w:rsidR="005368B0">
        <w:t>in unterschiedlichen Kombin</w:t>
      </w:r>
      <w:r w:rsidR="005368B0">
        <w:t>a</w:t>
      </w:r>
      <w:r w:rsidR="005368B0">
        <w:t>tionen auftreten, es ist nicht vorhersagbar, wie sie sich auf die jeweils zur Verf</w:t>
      </w:r>
      <w:r w:rsidR="005368B0">
        <w:t>ü</w:t>
      </w:r>
      <w:r w:rsidR="005368B0">
        <w:t>gung stehenden Möglichkeiten auswirken</w:t>
      </w:r>
      <w:r>
        <w:t xml:space="preserve">. </w:t>
      </w:r>
      <w:r w:rsidR="005368B0">
        <w:t>Nur d</w:t>
      </w:r>
      <w:r>
        <w:t xml:space="preserve">urch Bildung von </w:t>
      </w:r>
      <w:r w:rsidR="00ED5BE9">
        <w:t>Alter</w:t>
      </w:r>
      <w:r w:rsidR="00ED5BE9">
        <w:softHyphen/>
        <w:t>nativen</w:t>
      </w:r>
      <w:r w:rsidR="00ED5BE9">
        <w:softHyphen/>
        <w:t>klasse</w:t>
      </w:r>
      <w:r>
        <w:t xml:space="preserve">n und Anwendung der Merkmalsregeln lässt sich überprüfen, an welchen Realisierungsstellen überhaupt Varianten zur Verfügung stehen, </w:t>
      </w:r>
      <w:r w:rsidR="005368B0">
        <w:t>die die Bedi</w:t>
      </w:r>
      <w:r w:rsidR="005368B0">
        <w:t>n</w:t>
      </w:r>
      <w:r w:rsidR="005368B0">
        <w:t>gungen erfüllen.</w:t>
      </w:r>
    </w:p>
    <w:p w:rsidR="007F580E" w:rsidRDefault="003321A6" w:rsidP="004A6AF7">
      <w:pPr>
        <w:pStyle w:val="Text"/>
      </w:pPr>
      <w:r>
        <w:t xml:space="preserve">Die beiden </w:t>
      </w:r>
      <w:r w:rsidR="005368B0">
        <w:t xml:space="preserve">untersuchten Darstellungsweisen </w:t>
      </w:r>
      <w:r>
        <w:t xml:space="preserve">enthalten </w:t>
      </w:r>
      <w:r w:rsidR="005368B0">
        <w:t>prinzipiell dieselben Informationen über Regelmäßigkeiten der Auswahl wie Merkmalsregeln</w:t>
      </w:r>
      <w:r>
        <w:t xml:space="preserve"> und sind daher als Darstellung dieser Regelmäßigkeiten </w:t>
      </w:r>
      <w:r w:rsidR="00B65556">
        <w:t>ebenfalls möglich</w:t>
      </w:r>
      <w:r>
        <w:t>.</w:t>
      </w:r>
      <w:r>
        <w:rPr>
          <w:rStyle w:val="Funotenzeichen"/>
        </w:rPr>
        <w:footnoteReference w:id="136"/>
      </w:r>
      <w:r>
        <w:t xml:space="preserve"> </w:t>
      </w:r>
      <w:r w:rsidR="00B65556">
        <w:t>Sie he</w:t>
      </w:r>
      <w:r w:rsidR="00B65556">
        <w:t>l</w:t>
      </w:r>
      <w:r w:rsidR="00B65556">
        <w:t>fen jedoch nicht, um von den Auswahlvorgängen zur Realisierung zu gelangen oder umgekehrt. Nu</w:t>
      </w:r>
      <w:r w:rsidR="005368B0">
        <w:t xml:space="preserve">r </w:t>
      </w:r>
      <w:r w:rsidR="00B65556">
        <w:t xml:space="preserve">mit Hilfe von </w:t>
      </w:r>
      <w:r w:rsidR="005368B0">
        <w:t>Regel</w:t>
      </w:r>
      <w:r w:rsidR="00B65556">
        <w:t>n</w:t>
      </w:r>
      <w:r w:rsidR="005368B0">
        <w:t xml:space="preserve">, die auf </w:t>
      </w:r>
      <w:r w:rsidR="00ED5BE9">
        <w:t>Alter</w:t>
      </w:r>
      <w:r w:rsidR="00ED5BE9">
        <w:softHyphen/>
        <w:t>nativen</w:t>
      </w:r>
      <w:r w:rsidR="00ED5BE9">
        <w:softHyphen/>
        <w:t>klasse</w:t>
      </w:r>
      <w:r w:rsidR="005368B0">
        <w:t>n ang</w:t>
      </w:r>
      <w:r w:rsidR="005368B0">
        <w:t>e</w:t>
      </w:r>
      <w:r w:rsidR="005368B0">
        <w:t xml:space="preserve">wandt </w:t>
      </w:r>
      <w:r w:rsidR="00B65556">
        <w:t>werden</w:t>
      </w:r>
      <w:r w:rsidR="005368B0">
        <w:t xml:space="preserve">, </w:t>
      </w:r>
      <w:r w:rsidR="00B65556">
        <w:t xml:space="preserve">kann </w:t>
      </w:r>
      <w:r w:rsidR="005368B0">
        <w:t>festgestellt werden, welchen Einfluss die Regelmäßigkeiten der Auswahl tatsächlich auf die Realisierung haben.</w:t>
      </w:r>
      <w:bookmarkEnd w:id="89"/>
    </w:p>
    <w:p w:rsidR="00355D05" w:rsidRDefault="00355D05" w:rsidP="00355D05">
      <w:pPr>
        <w:pStyle w:val="Titel2"/>
      </w:pPr>
      <w:bookmarkStart w:id="102" w:name="_Ref272607625"/>
      <w:bookmarkStart w:id="103" w:name="_Toc325456707"/>
      <w:bookmarkStart w:id="104" w:name="Einschreiben"/>
      <w:r>
        <w:t xml:space="preserve">Einschreiben und Auslesen </w:t>
      </w:r>
      <w:r w:rsidR="00A359F8">
        <w:t>von</w:t>
      </w:r>
      <w:r>
        <w:t xml:space="preserve"> Merkmal</w:t>
      </w:r>
      <w:r w:rsidR="00A359F8">
        <w:t>sregeln</w:t>
      </w:r>
      <w:bookmarkEnd w:id="102"/>
      <w:bookmarkEnd w:id="103"/>
    </w:p>
    <w:p w:rsidR="00483D5C" w:rsidRDefault="005D7996" w:rsidP="00A9501D">
      <w:pPr>
        <w:ind w:firstLine="0"/>
      </w:pPr>
      <w:r>
        <w:fldChar w:fldCharType="begin"/>
      </w:r>
      <w:r w:rsidR="00B85E43">
        <w:instrText xml:space="preserve"> XE "Einschreiben von Merkmalsregeln" \r "Einschreiben" </w:instrText>
      </w:r>
      <w:r>
        <w:fldChar w:fldCharType="end"/>
      </w:r>
      <w:r>
        <w:fldChar w:fldCharType="begin"/>
      </w:r>
      <w:r w:rsidR="00B85E43">
        <w:instrText xml:space="preserve"> XE "Einschreiben von Merkmalsregeln" \t "</w:instrText>
      </w:r>
      <w:r w:rsidR="00015942">
        <w:rPr>
          <w:i/>
        </w:rPr>
        <w:instrText>et passim</w:instrText>
      </w:r>
      <w:r w:rsidR="00B85E43">
        <w:instrText xml:space="preserve">" </w:instrText>
      </w:r>
      <w:r>
        <w:fldChar w:fldCharType="end"/>
      </w:r>
      <w:r>
        <w:fldChar w:fldCharType="begin"/>
      </w:r>
      <w:r w:rsidR="00B85E43">
        <w:instrText xml:space="preserve"> XE "Auslesen von Merkmalsregeln" \r "</w:instrText>
      </w:r>
      <w:r w:rsidR="00483413">
        <w:instrText>Einschreiben</w:instrText>
      </w:r>
      <w:r w:rsidR="00B85E43">
        <w:instrText xml:space="preserve">" </w:instrText>
      </w:r>
      <w:r>
        <w:fldChar w:fldCharType="end"/>
      </w:r>
      <w:r>
        <w:fldChar w:fldCharType="begin"/>
      </w:r>
      <w:r w:rsidR="00B85E43">
        <w:instrText xml:space="preserve"> XE "Auslesen von Merkmalsregeln" \t "</w:instrText>
      </w:r>
      <w:r w:rsidR="00015942">
        <w:rPr>
          <w:i/>
        </w:rPr>
        <w:instrText>et passim</w:instrText>
      </w:r>
      <w:r w:rsidR="00B85E43">
        <w:instrText xml:space="preserve">" </w:instrText>
      </w:r>
      <w:r>
        <w:fldChar w:fldCharType="end"/>
      </w:r>
      <w:r w:rsidR="00EC1E88">
        <w:t xml:space="preserve">Die Bezeichnungen </w:t>
      </w:r>
      <w:r w:rsidR="000A680B">
        <w:t>„</w:t>
      </w:r>
      <w:r w:rsidR="00355D05">
        <w:t>Einschreiben</w:t>
      </w:r>
      <w:r w:rsidR="000A680B">
        <w:t>“</w:t>
      </w:r>
      <w:r w:rsidR="00355D05">
        <w:t xml:space="preserve"> und </w:t>
      </w:r>
      <w:r w:rsidR="000A680B">
        <w:t>„</w:t>
      </w:r>
      <w:r w:rsidR="00355D05">
        <w:t>Auslesen</w:t>
      </w:r>
      <w:r w:rsidR="000A680B">
        <w:t>“</w:t>
      </w:r>
      <w:r w:rsidR="00355D05">
        <w:t xml:space="preserve"> </w:t>
      </w:r>
      <w:r w:rsidR="00F41B74">
        <w:t xml:space="preserve">sind </w:t>
      </w:r>
      <w:r w:rsidR="00355D05">
        <w:t xml:space="preserve">im Zusammenhang mit einem Zeichenprozess ungewöhnlich. </w:t>
      </w:r>
      <w:r w:rsidR="00757510">
        <w:t xml:space="preserve">Es </w:t>
      </w:r>
      <w:r w:rsidR="005B5C27">
        <w:t>muss daher definiert werden</w:t>
      </w:r>
      <w:r w:rsidR="00EC1E88">
        <w:t>, was d</w:t>
      </w:r>
      <w:r w:rsidR="00EC1E88">
        <w:t>a</w:t>
      </w:r>
      <w:r w:rsidR="00EC1E88">
        <w:t>runter verstanden werden soll.</w:t>
      </w:r>
    </w:p>
    <w:p w:rsidR="008A7B2D" w:rsidRDefault="008A7B2D" w:rsidP="0016128E">
      <w:r>
        <w:t xml:space="preserve">Rekapitulieren wir noch einmal die Ergebnisse der letzten Abschnitte: </w:t>
      </w:r>
      <w:r w:rsidR="0016128E">
        <w:t>Die Trennung zwischen Merkmal</w:t>
      </w:r>
      <w:r>
        <w:t>en</w:t>
      </w:r>
      <w:r w:rsidR="0016128E">
        <w:t xml:space="preserve"> und </w:t>
      </w:r>
      <w:r>
        <w:t xml:space="preserve">den </w:t>
      </w:r>
      <w:r w:rsidR="0016128E">
        <w:t>Merkmalsregel</w:t>
      </w:r>
      <w:r>
        <w:t>n</w:t>
      </w:r>
      <w:r w:rsidR="0016128E">
        <w:t xml:space="preserve">, </w:t>
      </w:r>
      <w:r>
        <w:t>die sie erzeugen</w:t>
      </w:r>
      <w:r w:rsidR="0016128E">
        <w:t xml:space="preserve">, könnte </w:t>
      </w:r>
      <w:r w:rsidR="00A14B67">
        <w:t>auf den ersten Blick unnötig erscheinen</w:t>
      </w:r>
      <w:r w:rsidR="0016128E">
        <w:t>. Sie ermöglicht es jedoch, die Vorhersagefähigkeit von Stil schlüssig zu beschreiben. Ein Merkmal kann damit als eine Regelmäßigkeit an einer konkreten Realisierung aufgefasst werden</w:t>
      </w:r>
      <w:r>
        <w:t>, wä</w:t>
      </w:r>
      <w:r>
        <w:t>h</w:t>
      </w:r>
      <w:r>
        <w:t>rend Merkmalsregeln abstrakte Auswahlregelmäßigkeiten modellieren</w:t>
      </w:r>
      <w:r w:rsidR="0016128E">
        <w:t>.</w:t>
      </w:r>
      <w:r w:rsidR="00100E7D">
        <w:t xml:space="preserve"> Dies hat auch den großen Vorteil, dass wir Merkmalsregeln als direkte Bestandteile eines </w:t>
      </w:r>
      <w:r w:rsidR="00100E7D">
        <w:lastRenderedPageBreak/>
        <w:t>Stils auffassen können, den wir als übertragbares Gestaltungsprinzip sehen möchten, während sich Merkmale an konkreten Realisierungen befinden.</w:t>
      </w:r>
    </w:p>
    <w:p w:rsidR="0016128E" w:rsidRDefault="008A7B2D" w:rsidP="0016128E">
      <w:r>
        <w:t xml:space="preserve">Dabei lassen sich bestimmte </w:t>
      </w:r>
      <w:r w:rsidR="0016128E">
        <w:t xml:space="preserve">Merkmale </w:t>
      </w:r>
      <w:r>
        <w:t>durchaus auf bestimmte Merkmal</w:t>
      </w:r>
      <w:r>
        <w:t>s</w:t>
      </w:r>
      <w:r>
        <w:t xml:space="preserve">regeln beziehen: </w:t>
      </w:r>
      <w:r w:rsidR="0016128E">
        <w:t xml:space="preserve">Eine Merkmalsregel modelliert </w:t>
      </w:r>
      <w:r>
        <w:t xml:space="preserve">eine bestimmte Regelmäßigkeit der </w:t>
      </w:r>
      <w:r w:rsidR="0016128E">
        <w:t xml:space="preserve">Auswahl, </w:t>
      </w:r>
      <w:r>
        <w:t>die in verschiedenen Realisierungen (je nach den geltenden Bedi</w:t>
      </w:r>
      <w:r>
        <w:t>n</w:t>
      </w:r>
      <w:r>
        <w:t xml:space="preserve">gungen) </w:t>
      </w:r>
      <w:r w:rsidR="0016128E">
        <w:t xml:space="preserve">unterschiedliche </w:t>
      </w:r>
      <w:r>
        <w:t xml:space="preserve">Merkmale </w:t>
      </w:r>
      <w:r w:rsidR="0016128E">
        <w:t>hervorbringt.</w:t>
      </w:r>
    </w:p>
    <w:p w:rsidR="0016128E" w:rsidRDefault="008A7B2D" w:rsidP="0016128E">
      <w:r>
        <w:t xml:space="preserve">Verwendet </w:t>
      </w:r>
      <w:r w:rsidR="0016128E">
        <w:t xml:space="preserve">beispielsweise ein Architekt </w:t>
      </w:r>
      <w:r>
        <w:t>für ‚Fenster‘ die Ausführung als ‚raumhohe Flächenverglasung‘</w:t>
      </w:r>
      <w:r w:rsidR="0016128E">
        <w:t xml:space="preserve">, kann dies bei einem Bürogebäude, an dem </w:t>
      </w:r>
      <w:r>
        <w:t xml:space="preserve">dies </w:t>
      </w:r>
      <w:r w:rsidR="0016128E">
        <w:t xml:space="preserve">überall möglich </w:t>
      </w:r>
      <w:r>
        <w:t>ist</w:t>
      </w:r>
      <w:r w:rsidR="0016128E">
        <w:t>, zu einer gleichmäßig gegliederten 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rsidR="0016128E">
        <w:t xml:space="preserve"> führen, während bei einem Wohngebäude </w:t>
      </w:r>
      <w:r>
        <w:t xml:space="preserve">bei </w:t>
      </w:r>
      <w:r w:rsidR="0016128E">
        <w:t>bestimmte</w:t>
      </w:r>
      <w:r>
        <w:t>n</w:t>
      </w:r>
      <w:r w:rsidR="0016128E">
        <w:t xml:space="preserve"> Fenster</w:t>
      </w:r>
      <w:r>
        <w:t>n</w:t>
      </w:r>
      <w:r w:rsidR="0016128E">
        <w:t xml:space="preserve"> (etwa der Toilette, des Bads, des Kellers oder einer Dunkelkammer) </w:t>
      </w:r>
      <w:r>
        <w:t xml:space="preserve">diese Lösung nicht infrage kommt; es entsteht in beiden Fällen eine durchaus unterschiedliche Fassade, die nicht als dasselbe stilistische Merkmal aufgefasst werden kann. Dennoch erhält man in beiden Fällen (bei richtiger Rekonstruktion der </w:t>
      </w:r>
      <w:r w:rsidR="00ED5BE9">
        <w:t>Alter</w:t>
      </w:r>
      <w:r w:rsidR="00ED5BE9">
        <w:softHyphen/>
        <w:t>nativen</w:t>
      </w:r>
      <w:r w:rsidR="00ED5BE9">
        <w:softHyphen/>
        <w:t>klasse</w:t>
      </w:r>
      <w:r>
        <w:t xml:space="preserve">n) dieselbe Merkmalsregel als Ursache des Merkmals und würde daher </w:t>
      </w:r>
      <w:r w:rsidR="0016128E">
        <w:t>für das nächste G</w:t>
      </w:r>
      <w:r w:rsidR="0016128E">
        <w:t>e</w:t>
      </w:r>
      <w:r w:rsidR="0016128E">
        <w:t>bäude in diesem Stil dieselbe Vorhersage machen.</w:t>
      </w:r>
    </w:p>
    <w:p w:rsidR="00C427B0" w:rsidRDefault="0023776A" w:rsidP="00355D05">
      <w:r>
        <w:t>Die bei Schemaausführungen vorkommenden Regularitäten</w:t>
      </w:r>
      <w:r w:rsidR="0016128E">
        <w:t>, die als Mer</w:t>
      </w:r>
      <w:r w:rsidR="0016128E">
        <w:t>k</w:t>
      </w:r>
      <w:r w:rsidR="0016128E">
        <w:t>malsregeln modelliert werden,</w:t>
      </w:r>
      <w:r>
        <w:t xml:space="preserve"> können dabei ganz unterschiedliche Ursachen haben: Sie können absichtlich erzeugt werden, durch derzeitige Umweltfaktoren und frühere Einflüsse auf den Stil</w:t>
      </w:r>
      <w:r w:rsidR="000C0EC9">
        <w:t>an</w:t>
      </w:r>
      <w:r w:rsidR="000357EF">
        <w:t>wender</w:t>
      </w:r>
      <w:r>
        <w:t xml:space="preserve"> verursacht, aber auch physiologisch bedingt sein (etwa bei Geh-</w:t>
      </w:r>
      <w:r w:rsidR="005D7996">
        <w:fldChar w:fldCharType="begin"/>
      </w:r>
      <w:r w:rsidR="00B641C9">
        <w:instrText xml:space="preserve"> XE "</w:instrText>
      </w:r>
      <w:r w:rsidR="00B641C9" w:rsidRPr="000E0ED0">
        <w:instrText>Gehstil</w:instrText>
      </w:r>
      <w:r w:rsidR="00B641C9">
        <w:instrText xml:space="preserve">" </w:instrText>
      </w:r>
      <w:r w:rsidR="005D7996">
        <w:fldChar w:fldCharType="end"/>
      </w:r>
      <w:r>
        <w:t xml:space="preserve"> und Laufstilen</w:t>
      </w:r>
      <w:r w:rsidR="005D7996">
        <w:fldChar w:fldCharType="begin"/>
      </w:r>
      <w:r w:rsidR="00B641C9">
        <w:instrText xml:space="preserve"> XE "</w:instrText>
      </w:r>
      <w:r w:rsidR="00B641C9" w:rsidRPr="006C3F48">
        <w:instrText>Laufstil</w:instrText>
      </w:r>
      <w:r w:rsidR="00B641C9">
        <w:instrText xml:space="preserve">" </w:instrText>
      </w:r>
      <w:r w:rsidR="005D7996">
        <w:fldChar w:fldCharType="end"/>
      </w:r>
      <w:r>
        <w:t xml:space="preserve">; vgl. Abschnitt </w:t>
      </w:r>
      <w:r w:rsidR="005D7996">
        <w:fldChar w:fldCharType="begin"/>
      </w:r>
      <w:r>
        <w:instrText xml:space="preserve"> REF _Ref261331554 \r \h </w:instrText>
      </w:r>
      <w:r w:rsidR="005D7996">
        <w:fldChar w:fldCharType="separate"/>
      </w:r>
      <w:r w:rsidR="001231D3">
        <w:t>7.1.6</w:t>
      </w:r>
      <w:r w:rsidR="005D7996">
        <w:fldChar w:fldCharType="end"/>
      </w:r>
      <w:r w:rsidR="00813A6B">
        <w:t>); oft wird eine Mischung dieser verschiedenen Faktoren vorliegen.</w:t>
      </w:r>
      <w:r>
        <w:t xml:space="preserve"> </w:t>
      </w:r>
      <w:r w:rsidR="00813A6B">
        <w:t>Merkmalsregeln sind eine einheitliche Formulierungsweise für die Regularitäten der Auswahl, die bei der Realisierung eines Schemas tatsächlich auftreten, egal wodurch diese bewirkt sind.</w:t>
      </w:r>
      <w:r w:rsidR="0087247A">
        <w:t xml:space="preserve"> Merkmale wiederum sind die Spuren, die durch diese Regularitäten des Auswahlvorgangs in der Realisierung erzeugt werden.</w:t>
      </w:r>
    </w:p>
    <w:p w:rsidR="00F54E2F" w:rsidRDefault="00226346" w:rsidP="00355D05">
      <w:r>
        <w:t>Merkmalsregeln und stilistische Merkmale sind Entitäten, die für sich g</w:t>
      </w:r>
      <w:r>
        <w:t>e</w:t>
      </w:r>
      <w:r>
        <w:t>nommen beschrieben werden können. Treten sie in den Zusammenhang eines Zeichenprozesses, dann entsteht ein stilistisches Zeichen</w:t>
      </w:r>
      <w:r w:rsidR="005D7996">
        <w:fldChar w:fldCharType="begin"/>
      </w:r>
      <w:r w:rsidR="004106D2">
        <w:instrText xml:space="preserve"> XE "</w:instrText>
      </w:r>
      <w:r w:rsidR="004106D2" w:rsidRPr="004F3E34">
        <w:instrText>stilistisches Zeichen</w:instrText>
      </w:r>
      <w:r w:rsidR="004106D2">
        <w:instrText xml:space="preserve">" </w:instrText>
      </w:r>
      <w:r w:rsidR="005D7996">
        <w:fldChar w:fldCharType="end"/>
      </w:r>
      <w:r>
        <w:t xml:space="preserve">. Dabei werden die Merkmalsregeln zum </w:t>
      </w:r>
      <w:r w:rsidRPr="00226346">
        <w:rPr>
          <w:i/>
        </w:rPr>
        <w:t>Zeicheninhalt</w:t>
      </w:r>
      <w:r>
        <w:t xml:space="preserve"> und die durch sie in einer Realisierung e</w:t>
      </w:r>
      <w:r>
        <w:t>r</w:t>
      </w:r>
      <w:r>
        <w:t xml:space="preserve">zeugten Merkmale zum </w:t>
      </w:r>
      <w:r w:rsidRPr="00226346">
        <w:rPr>
          <w:i/>
        </w:rPr>
        <w:t>Zeichenträger</w:t>
      </w:r>
      <w:r>
        <w:t>.</w:t>
      </w:r>
      <w:r w:rsidR="00E46DF8">
        <w:t xml:space="preserve"> Die Merkmale sind ein </w:t>
      </w:r>
      <w:r w:rsidR="00E46DF8" w:rsidRPr="00E46DF8">
        <w:rPr>
          <w:i/>
        </w:rPr>
        <w:t>Anzeichen</w:t>
      </w:r>
      <w:r w:rsidR="005D7996">
        <w:rPr>
          <w:i/>
        </w:rPr>
        <w:fldChar w:fldCharType="begin"/>
      </w:r>
      <w:r w:rsidR="000B2A4F">
        <w:instrText xml:space="preserve"> XE "</w:instrText>
      </w:r>
      <w:r w:rsidR="000B2A4F" w:rsidRPr="00512EDC">
        <w:instrText>Anzeichen</w:instrText>
      </w:r>
      <w:r w:rsidR="000B2A4F">
        <w:instrText xml:space="preserve">" </w:instrText>
      </w:r>
      <w:r w:rsidR="005D7996">
        <w:rPr>
          <w:i/>
        </w:rPr>
        <w:fldChar w:fldCharType="end"/>
      </w:r>
      <w:r w:rsidR="00E46DF8">
        <w:t xml:space="preserve"> </w:t>
      </w:r>
      <w:r w:rsidR="000B2A4F">
        <w:t>(</w:t>
      </w:r>
      <w:r w:rsidR="000B2A4F" w:rsidRPr="000B2A4F">
        <w:t xml:space="preserve">= </w:t>
      </w:r>
      <w:r w:rsidR="00E46DF8" w:rsidRPr="000B2A4F">
        <w:t>I</w:t>
      </w:r>
      <w:r w:rsidR="00E46DF8" w:rsidRPr="000B2A4F">
        <w:t>n</w:t>
      </w:r>
      <w:r w:rsidR="00E46DF8" w:rsidRPr="000B2A4F">
        <w:t>dex</w:t>
      </w:r>
      <w:r w:rsidR="000B2A4F">
        <w:t xml:space="preserve">) </w:t>
      </w:r>
      <w:r w:rsidR="00E46DF8">
        <w:t>für die angewandten Merkmalsregeln.</w:t>
      </w:r>
    </w:p>
    <w:p w:rsidR="00C427B0" w:rsidRDefault="00226346" w:rsidP="00355D05">
      <w:r>
        <w:t>Dabei handelt es sich um ein Zeichen mit bestimmten Besonderheiten, die es von anderen Zeichen unterscheiden: Sein Zeicheninhalt besteht in einer Me</w:t>
      </w:r>
      <w:r>
        <w:t>n</w:t>
      </w:r>
      <w:r>
        <w:t xml:space="preserve">ge von Regeln, sein Zeichenträger in den Spuren, die deren Anwendung in der Realisierung hinterlassen. </w:t>
      </w:r>
      <w:r w:rsidR="00E46DF8">
        <w:t xml:space="preserve">Für die </w:t>
      </w:r>
      <w:r>
        <w:t xml:space="preserve">Produktion </w:t>
      </w:r>
      <w:r w:rsidR="00E46DF8">
        <w:t xml:space="preserve">und Rezeption </w:t>
      </w:r>
      <w:r>
        <w:t xml:space="preserve">dieses Zeichens definieren wir zwei </w:t>
      </w:r>
      <w:r w:rsidR="00DA336D">
        <w:t>Bezeichnungen</w:t>
      </w:r>
      <w:r>
        <w:t xml:space="preserve">, die diese Besonderheiten </w:t>
      </w:r>
      <w:r w:rsidR="00E46DF8">
        <w:t>ausdrücken sollen</w:t>
      </w:r>
      <w:r w:rsidR="00C92A0D">
        <w:t>:</w:t>
      </w:r>
    </w:p>
    <w:p w:rsidR="000E1DA5" w:rsidRDefault="000E1DA5" w:rsidP="008628B0">
      <w:pPr>
        <w:pStyle w:val="Definition"/>
      </w:pPr>
      <w:r w:rsidRPr="00CC6E60">
        <w:t xml:space="preserve">Def. </w:t>
      </w:r>
      <w:r w:rsidRPr="00510D47">
        <w:rPr>
          <w:b/>
        </w:rPr>
        <w:tab/>
      </w:r>
      <w:r w:rsidR="005D7996">
        <w:fldChar w:fldCharType="begin"/>
      </w:r>
      <w:r w:rsidR="00910226">
        <w:instrText xml:space="preserve"> XE "Einschreiben von Merkmalsregeln:</w:instrText>
      </w:r>
      <w:r w:rsidR="00910226" w:rsidRPr="0073281C">
        <w:rPr>
          <w:i/>
        </w:rPr>
        <w:instrText>Definition</w:instrText>
      </w:r>
      <w:r w:rsidR="00910226">
        <w:instrText xml:space="preserve">" </w:instrText>
      </w:r>
      <w:r w:rsidR="005D7996">
        <w:fldChar w:fldCharType="end"/>
      </w:r>
      <w:r>
        <w:rPr>
          <w:b/>
        </w:rPr>
        <w:t>Einschreiben</w:t>
      </w:r>
      <w:r w:rsidRPr="00910226">
        <w:rPr>
          <w:b/>
        </w:rPr>
        <w:t xml:space="preserve"> </w:t>
      </w:r>
      <w:r w:rsidR="008577B6" w:rsidRPr="00910226">
        <w:rPr>
          <w:b/>
        </w:rPr>
        <w:t>von Merkmalsregeln</w:t>
      </w:r>
      <w:r w:rsidR="008577B6">
        <w:t xml:space="preserve"> </w:t>
      </w:r>
      <w:r w:rsidR="00AC0566">
        <w:t>in eine Realisierung</w:t>
      </w:r>
      <w:r>
        <w:t>: Als „Einschre</w:t>
      </w:r>
      <w:r>
        <w:t>i</w:t>
      </w:r>
      <w:r>
        <w:t xml:space="preserve">ben“ </w:t>
      </w:r>
      <w:r w:rsidR="008577B6">
        <w:t xml:space="preserve">von Merkmalsregeln </w:t>
      </w:r>
      <w:r>
        <w:t xml:space="preserve">soll jener Prozess bezeichnet werden, in dem Merkmalsregeln bei der Erzeugung einer Realisierung angewandt und dadurch </w:t>
      </w:r>
      <w:r w:rsidR="00271CBE">
        <w:t xml:space="preserve">stilistische </w:t>
      </w:r>
      <w:r>
        <w:t xml:space="preserve">Merkmale in </w:t>
      </w:r>
      <w:r w:rsidR="00AC70B8">
        <w:t>der Realisierung erzeugt werden.</w:t>
      </w:r>
    </w:p>
    <w:p w:rsidR="000E1DA5" w:rsidRPr="00757510" w:rsidRDefault="000E1DA5" w:rsidP="008628B0">
      <w:pPr>
        <w:pStyle w:val="Definition"/>
      </w:pPr>
      <w:r w:rsidRPr="00CC6E60">
        <w:lastRenderedPageBreak/>
        <w:t xml:space="preserve">Def. </w:t>
      </w:r>
      <w:r w:rsidRPr="00510D47">
        <w:rPr>
          <w:b/>
        </w:rPr>
        <w:tab/>
      </w:r>
      <w:r w:rsidR="005D7996">
        <w:fldChar w:fldCharType="begin"/>
      </w:r>
      <w:r w:rsidR="00910226">
        <w:instrText xml:space="preserve"> XE "Auslesen von Merkmalsregeln:</w:instrText>
      </w:r>
      <w:r w:rsidR="00910226" w:rsidRPr="0073281C">
        <w:rPr>
          <w:i/>
        </w:rPr>
        <w:instrText>Definition</w:instrText>
      </w:r>
      <w:r w:rsidR="00910226">
        <w:instrText xml:space="preserve">" </w:instrText>
      </w:r>
      <w:r w:rsidR="005D7996">
        <w:fldChar w:fldCharType="end"/>
      </w:r>
      <w:r>
        <w:rPr>
          <w:b/>
        </w:rPr>
        <w:t>Auslesen</w:t>
      </w:r>
      <w:r w:rsidRPr="00910226">
        <w:rPr>
          <w:b/>
        </w:rPr>
        <w:t xml:space="preserve"> </w:t>
      </w:r>
      <w:r w:rsidR="008577B6" w:rsidRPr="00910226">
        <w:rPr>
          <w:b/>
        </w:rPr>
        <w:t>von Merkmalsregeln</w:t>
      </w:r>
      <w:r w:rsidR="008577B6">
        <w:t xml:space="preserve"> </w:t>
      </w:r>
      <w:r w:rsidR="00AC0566">
        <w:t>aus einer Realisierung</w:t>
      </w:r>
      <w:r>
        <w:t xml:space="preserve">: Als „Auslesen“ </w:t>
      </w:r>
      <w:r w:rsidR="00E46DF8">
        <w:t>von</w:t>
      </w:r>
      <w:r>
        <w:t xml:space="preserve"> Merkmal</w:t>
      </w:r>
      <w:r w:rsidR="00AF6BB9">
        <w:t>sregeln</w:t>
      </w:r>
      <w:r>
        <w:t xml:space="preserve"> soll jener Prozess bezeichnet werden, in dem </w:t>
      </w:r>
      <w:r w:rsidR="00E46DF8">
        <w:t>stili</w:t>
      </w:r>
      <w:r w:rsidR="00E46DF8">
        <w:t>s</w:t>
      </w:r>
      <w:r w:rsidR="00E46DF8">
        <w:t xml:space="preserve">tische </w:t>
      </w:r>
      <w:r>
        <w:t xml:space="preserve">Merkmale an einer bestimmten Realisierung </w:t>
      </w:r>
      <w:r w:rsidR="00E46DF8">
        <w:t>zum Anzeichen</w:t>
      </w:r>
      <w:r w:rsidR="005D7996">
        <w:fldChar w:fldCharType="begin"/>
      </w:r>
      <w:r w:rsidR="000B2A4F">
        <w:instrText xml:space="preserve"> XE "</w:instrText>
      </w:r>
      <w:r w:rsidR="000B2A4F" w:rsidRPr="00512EDC">
        <w:instrText>Anzeichen</w:instrText>
      </w:r>
      <w:r w:rsidR="000B2A4F">
        <w:instrText xml:space="preserve">" </w:instrText>
      </w:r>
      <w:r w:rsidR="005D7996">
        <w:fldChar w:fldCharType="end"/>
      </w:r>
      <w:r w:rsidR="00E46DF8">
        <w:t xml:space="preserve"> für </w:t>
      </w:r>
      <w:r>
        <w:t>die Merkmalsregeln</w:t>
      </w:r>
      <w:r w:rsidR="00E46DF8" w:rsidRPr="00E46DF8">
        <w:t xml:space="preserve"> </w:t>
      </w:r>
      <w:r w:rsidR="00E46DF8">
        <w:t>werden</w:t>
      </w:r>
      <w:r>
        <w:t xml:space="preserve">, deren Anwendung </w:t>
      </w:r>
      <w:r w:rsidR="00E46DF8">
        <w:t>sie erzeugt hat</w:t>
      </w:r>
      <w:r>
        <w:t>.</w:t>
      </w:r>
    </w:p>
    <w:p w:rsidR="00355D05" w:rsidRDefault="00BF471B" w:rsidP="00A9501D">
      <w:pPr>
        <w:ind w:firstLine="0"/>
      </w:pPr>
      <w:r>
        <w:t xml:space="preserve">„Einschreiben“ und „Auslesen“ sind somit spezielle </w:t>
      </w:r>
      <w:r w:rsidR="00F779BA">
        <w:t>Bezeichnungen</w:t>
      </w:r>
      <w:r>
        <w:t xml:space="preserve">, die für </w:t>
      </w:r>
      <w:r w:rsidR="00F779BA">
        <w:t>die</w:t>
      </w:r>
      <w:r>
        <w:t xml:space="preserve"> Prozess</w:t>
      </w:r>
      <w:r w:rsidR="00F779BA">
        <w:t>e</w:t>
      </w:r>
      <w:r>
        <w:t xml:space="preserve"> der Produktion und der Rezeption des stilisti</w:t>
      </w:r>
      <w:r w:rsidR="00483D5C">
        <w:t>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rsidR="00483D5C">
        <w:t xml:space="preserve"> verwendet werden. Sie beschreiben die Besonderheit dieses Zeichenprozesses, die darauf beruht, dass Regelanwendungen zu Regelanwendungsspuren führen (Einschre</w:t>
      </w:r>
      <w:r w:rsidR="00483D5C">
        <w:t>i</w:t>
      </w:r>
      <w:r w:rsidR="00483D5C">
        <w:t>ben), aus denen die Regeln wiederum rekonstruiert werden können (Auslesen).</w:t>
      </w:r>
    </w:p>
    <w:p w:rsidR="00F75E97" w:rsidRDefault="00F75E97" w:rsidP="00F75E97">
      <w:pPr>
        <w:pStyle w:val="Titel2"/>
      </w:pPr>
      <w:bookmarkStart w:id="105" w:name="_Ref273651359"/>
      <w:bookmarkStart w:id="106" w:name="_Toc325456708"/>
      <w:bookmarkStart w:id="107" w:name="Merkmalsprozess"/>
      <w:bookmarkStart w:id="108" w:name="Interpretationsprozess"/>
      <w:bookmarkEnd w:id="101"/>
      <w:bookmarkEnd w:id="104"/>
      <w:r>
        <w:t>Zwei Prozesse</w:t>
      </w:r>
      <w:bookmarkEnd w:id="105"/>
      <w:bookmarkEnd w:id="106"/>
    </w:p>
    <w:p w:rsidR="00F75E97" w:rsidRDefault="005D7996" w:rsidP="00A9501D">
      <w:pPr>
        <w:pStyle w:val="Text"/>
        <w:ind w:firstLine="0"/>
      </w:pPr>
      <w:r>
        <w:fldChar w:fldCharType="begin"/>
      </w:r>
      <w:r w:rsidR="007051BD">
        <w:instrText xml:space="preserve"> XE "Merkmalsprozess" \r "Merkmalsprozess" </w:instrText>
      </w:r>
      <w:r>
        <w:fldChar w:fldCharType="end"/>
      </w:r>
      <w:r>
        <w:fldChar w:fldCharType="begin"/>
      </w:r>
      <w:r w:rsidR="007051BD">
        <w:instrText xml:space="preserve"> XE "Merkmalsprozess" \t "</w:instrText>
      </w:r>
      <w:r w:rsidR="00015942">
        <w:rPr>
          <w:i/>
        </w:rPr>
        <w:instrText>et passim</w:instrText>
      </w:r>
      <w:r w:rsidR="007051BD">
        <w:instrText xml:space="preserve">" </w:instrText>
      </w:r>
      <w:r>
        <w:fldChar w:fldCharType="end"/>
      </w:r>
      <w:r>
        <w:fldChar w:fldCharType="begin"/>
      </w:r>
      <w:r w:rsidR="007051BD">
        <w:instrText xml:space="preserve"> XE "Interpretationsprozess" \r "Interpretationsprozess" </w:instrText>
      </w:r>
      <w:r>
        <w:fldChar w:fldCharType="end"/>
      </w:r>
      <w:r>
        <w:fldChar w:fldCharType="begin"/>
      </w:r>
      <w:r w:rsidR="007051BD">
        <w:instrText xml:space="preserve"> XE "Interpretationsprozess" \t "</w:instrText>
      </w:r>
      <w:r w:rsidR="00015942">
        <w:rPr>
          <w:i/>
        </w:rPr>
        <w:instrText>et passim</w:instrText>
      </w:r>
      <w:r w:rsidR="007051BD">
        <w:instrText xml:space="preserve">" </w:instrText>
      </w:r>
      <w:r>
        <w:fldChar w:fldCharType="end"/>
      </w:r>
      <w:r w:rsidR="00F75E97">
        <w:t xml:space="preserve">Merkmalsregeln spezifizieren durch die Angabe von Eigenschaften des Typs (1), auf welche </w:t>
      </w:r>
      <w:r w:rsidR="00965600">
        <w:t xml:space="preserve">Realisierungen </w:t>
      </w:r>
      <w:r w:rsidR="00F75E97">
        <w:t>sie prinzipiell angewandt werden sollen. Dann spezif</w:t>
      </w:r>
      <w:r w:rsidR="00F75E97">
        <w:t>i</w:t>
      </w:r>
      <w:r w:rsidR="00F75E97">
        <w:t>zieren sie eine oder mehrere Eigenschaften des Typs (2) bis (4), die dem ausz</w:t>
      </w:r>
      <w:r w:rsidR="00F75E97">
        <w:t>u</w:t>
      </w:r>
      <w:r w:rsidR="00F75E97">
        <w:t xml:space="preserve">wählenden Element zukommen sollen. Wenn kein solches Element vorhanden ist, bleibt die Merkmalsregel </w:t>
      </w:r>
      <w:r w:rsidR="00965600">
        <w:t xml:space="preserve">bei </w:t>
      </w:r>
      <w:r w:rsidR="00F75E97">
        <w:t>diese</w:t>
      </w:r>
      <w:r w:rsidR="00965600">
        <w:t>r</w:t>
      </w:r>
      <w:r w:rsidR="00F75E97">
        <w:t xml:space="preserve"> </w:t>
      </w:r>
      <w:r w:rsidR="00ED5BE9">
        <w:t>Alter</w:t>
      </w:r>
      <w:r w:rsidR="00ED5BE9">
        <w:softHyphen/>
        <w:t>nativen</w:t>
      </w:r>
      <w:r w:rsidR="00ED5BE9">
        <w:softHyphen/>
        <w:t>klasse</w:t>
      </w:r>
      <w:r w:rsidR="00965600">
        <w:t xml:space="preserve"> </w:t>
      </w:r>
      <w:r w:rsidR="00F75E97">
        <w:t xml:space="preserve">wirkungslos. Wenn mehrere solche Elemente vorhanden sind, spezifiziert die Merkmalsregel diese Menge als reduzierte </w:t>
      </w:r>
      <w:r w:rsidR="00ED5BE9">
        <w:t>Alter</w:t>
      </w:r>
      <w:r w:rsidR="00ED5BE9">
        <w:softHyphen/>
        <w:t>nativen</w:t>
      </w:r>
      <w:r w:rsidR="00ED5BE9">
        <w:softHyphen/>
        <w:t>klasse</w:t>
      </w:r>
      <w:r w:rsidR="00F75E97">
        <w:t>. Daher liefert die Menge der Merkmal</w:t>
      </w:r>
      <w:r w:rsidR="00F75E97">
        <w:t>s</w:t>
      </w:r>
      <w:r w:rsidR="00F75E97">
        <w:t>regeln eines Stils auch als Output kein</w:t>
      </w:r>
      <w:r w:rsidR="0014755C">
        <w:t>e</w:t>
      </w:r>
      <w:r w:rsidR="00F75E97">
        <w:t xml:space="preserve"> fertige </w:t>
      </w:r>
      <w:r w:rsidR="0014755C">
        <w:t>Realisierung</w:t>
      </w:r>
      <w:r w:rsidR="00F75E97">
        <w:t>, sondern spezifiziert nur für einige Stellen de</w:t>
      </w:r>
      <w:r w:rsidR="00DE3FE2">
        <w:t>r</w:t>
      </w:r>
      <w:r w:rsidR="00F75E97">
        <w:t xml:space="preserve"> </w:t>
      </w:r>
      <w:r w:rsidR="00DE3FE2">
        <w:t xml:space="preserve">Realisierung </w:t>
      </w:r>
      <w:r w:rsidR="00F75E97">
        <w:t>Elemente und für andere Elementmengen, so dass in jedem Fall noch ein weiterer Schritt zur Erzeugung de</w:t>
      </w:r>
      <w:r w:rsidR="00DE3FE2">
        <w:t>r</w:t>
      </w:r>
      <w:r w:rsidR="00F75E97">
        <w:t xml:space="preserve"> </w:t>
      </w:r>
      <w:r w:rsidR="00DE3FE2">
        <w:t xml:space="preserve">Realisierung </w:t>
      </w:r>
      <w:r w:rsidR="00F75E97">
        <w:t>angenommen werden muss.</w:t>
      </w:r>
      <w:r w:rsidR="00E22A51">
        <w:rPr>
          <w:rStyle w:val="Funotenzeichen"/>
        </w:rPr>
        <w:footnoteReference w:id="137"/>
      </w:r>
      <w:r w:rsidR="00F75E97">
        <w:t xml:space="preserve"> Für die anderen Stellen de</w:t>
      </w:r>
      <w:r w:rsidR="00DE3FE2">
        <w:t>r</w:t>
      </w:r>
      <w:r w:rsidR="00F75E97">
        <w:t xml:space="preserve"> </w:t>
      </w:r>
      <w:r w:rsidR="00DE3FE2">
        <w:t xml:space="preserve">Realisierung </w:t>
      </w:r>
      <w:r w:rsidR="00F75E97">
        <w:t xml:space="preserve">und für die reduzierten </w:t>
      </w:r>
      <w:r w:rsidR="00ED5BE9">
        <w:t>Alter</w:t>
      </w:r>
      <w:r w:rsidR="00ED5BE9">
        <w:softHyphen/>
        <w:t>nativen</w:t>
      </w:r>
      <w:r w:rsidR="00ED5BE9">
        <w:softHyphen/>
        <w:t>klasse</w:t>
      </w:r>
      <w:r w:rsidR="00DE3FE2">
        <w:t xml:space="preserve">n </w:t>
      </w:r>
      <w:r w:rsidR="00F75E97">
        <w:t>wird angenommen, dass auf andere, nicht stilistisch relevante Art ausgewählt wird (z.B. durch Zufall oder auf eine andere Art, die zu keinen erkennbaren Regelmäßigkeiten führt).</w:t>
      </w:r>
      <w:r w:rsidR="00162763">
        <w:t xml:space="preserve"> Genau genommen sind die Merkmalsregeln daher Auswahl-Beeinflussungsregeln.</w:t>
      </w:r>
    </w:p>
    <w:p w:rsidR="00F75E97" w:rsidRDefault="00F75E97" w:rsidP="00F75E97">
      <w:pPr>
        <w:pStyle w:val="Text"/>
      </w:pPr>
      <w:r>
        <w:t xml:space="preserve">Die meisten Stile bestehen aus mehreren Merkmalsregeln. Merkmalsregeln gelten immer für den gesamten betrachteten </w:t>
      </w:r>
      <w:r w:rsidR="00DE3FE2">
        <w:t>Realisierungs</w:t>
      </w:r>
      <w:r>
        <w:t>abschnitt. Damit h</w:t>
      </w:r>
      <w:r>
        <w:t>a</w:t>
      </w:r>
      <w:r>
        <w:t xml:space="preserve">ben wir das Problem vermieden, Geltungsbereiche für Merkmalsregeln festlegen zu müssen. Ändert sich die Menge der Merkmalsregeln von einem </w:t>
      </w:r>
      <w:r w:rsidR="00965600">
        <w:t>Realisierung</w:t>
      </w:r>
      <w:r w:rsidR="00965600">
        <w:t>s</w:t>
      </w:r>
      <w:r>
        <w:t>abschnitt zum nächsten, ändert sich unserer Definition gemäß auch der Stil, wobei sich durch teilweise Übereinstimmung der Merkmalsregeln eine Ähnlic</w:t>
      </w:r>
      <w:r>
        <w:t>h</w:t>
      </w:r>
      <w:r>
        <w:t>keit des Stils ergibt.</w:t>
      </w:r>
      <w:r>
        <w:rPr>
          <w:rStyle w:val="Funotenzeichen"/>
        </w:rPr>
        <w:footnoteReference w:id="138"/>
      </w:r>
    </w:p>
    <w:p w:rsidR="00890A67" w:rsidRDefault="00E83F91" w:rsidP="00F75E97">
      <w:pPr>
        <w:pStyle w:val="Text"/>
      </w:pPr>
      <w:r>
        <w:t>Allerdings interessiert uns bei Stilen durchaus nicht nur, dass bestimmte Schemaorte auf eine bestimmte Weise realisiert sind (z.B. ‚Fenster‘ als ‚Fläche</w:t>
      </w:r>
      <w:r>
        <w:t>n</w:t>
      </w:r>
      <w:r>
        <w:t>verglasung‘, ‚Dach‘ als ‚Flachdach‘ usw.). Die Relationen zwischen diesen einze</w:t>
      </w:r>
      <w:r>
        <w:t>l</w:t>
      </w:r>
      <w:r>
        <w:lastRenderedPageBreak/>
        <w:t>nen Gestaltungsweisen</w:t>
      </w:r>
      <w:r w:rsidR="00890A67">
        <w:t xml:space="preserve">, die </w:t>
      </w:r>
      <w:r w:rsidR="005D7AA6">
        <w:t>Eindrücke</w:t>
      </w:r>
      <w:r w:rsidR="00890A67">
        <w:t>, die sich aus ihnen ergeben,</w:t>
      </w:r>
      <w:r>
        <w:t xml:space="preserve"> und die B</w:t>
      </w:r>
      <w:r>
        <w:t>e</w:t>
      </w:r>
      <w:r>
        <w:t>deutungen, die sich ihnen zuordnen lassen (hier beispielsweise der Bezug auf die Prinzipien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erscheinen uns bei der Beschäftigung mit Stilen als mindestens genauso relevant</w:t>
      </w:r>
      <w:r w:rsidR="00890A67">
        <w:t>.</w:t>
      </w:r>
    </w:p>
    <w:p w:rsidR="00E83F91" w:rsidRDefault="00890A67" w:rsidP="00F75E97">
      <w:pPr>
        <w:pStyle w:val="Text"/>
      </w:pPr>
      <w:r>
        <w:t>Im hier entwickelten Stilmodell werden alle Vorgänge, die über das Ei</w:t>
      </w:r>
      <w:r>
        <w:t>n</w:t>
      </w:r>
      <w:r>
        <w:t>schreiben und Auslesen der Merkmalsregeln (</w:t>
      </w:r>
      <w:r w:rsidR="003248DA">
        <w:t xml:space="preserve">vgl. Abschnitt </w:t>
      </w:r>
      <w:r w:rsidR="005D7996">
        <w:fldChar w:fldCharType="begin"/>
      </w:r>
      <w:r w:rsidR="003248DA">
        <w:instrText xml:space="preserve"> REF _Ref272607625 \r \h </w:instrText>
      </w:r>
      <w:r w:rsidR="005D7996">
        <w:fldChar w:fldCharType="separate"/>
      </w:r>
      <w:r w:rsidR="001231D3">
        <w:t>2.13</w:t>
      </w:r>
      <w:r w:rsidR="005D7996">
        <w:fldChar w:fldCharType="end"/>
      </w:r>
      <w:r>
        <w:t xml:space="preserve">) hinausgehen, in einen zweiten Teil des Modells verlegt, die Interpretation (vgl. </w:t>
      </w:r>
      <w:r w:rsidR="003248DA">
        <w:t xml:space="preserve">Abschnitt </w:t>
      </w:r>
      <w:r w:rsidR="005D7996">
        <w:fldChar w:fldCharType="begin"/>
      </w:r>
      <w:r w:rsidR="003248DA">
        <w:instrText xml:space="preserve"> REF _Ref263688314 \r \h </w:instrText>
      </w:r>
      <w:r w:rsidR="005D7996">
        <w:fldChar w:fldCharType="separate"/>
      </w:r>
      <w:r w:rsidR="001231D3">
        <w:t>2.15</w:t>
      </w:r>
      <w:r w:rsidR="005D7996">
        <w:fldChar w:fldCharType="end"/>
      </w:r>
      <w:r>
        <w:t xml:space="preserve">). Diese Trennung geschieht </w:t>
      </w:r>
      <w:r w:rsidR="002F72C6">
        <w:t xml:space="preserve">zunächst einmal </w:t>
      </w:r>
      <w:r>
        <w:t xml:space="preserve">aus Darstellungsgründen: In der Praxis hängt die Wahrnehmung der Merkmale oft eng mit der Wahrnehmung der Relationen, in denen sie zueinander stehen, und der Zeichenprozesse, die sie einzeln oder gemeinsam auslösen, zusammen. Die Trennung ermöglicht jedoch eine präzise Beschreibung: </w:t>
      </w:r>
      <w:r w:rsidR="002F72C6">
        <w:t xml:space="preserve">Für die </w:t>
      </w:r>
      <w:r>
        <w:t xml:space="preserve">Merkmalsregeln können wir </w:t>
      </w:r>
      <w:r w:rsidR="002F72C6">
        <w:t>präzise angeben</w:t>
      </w:r>
      <w:r>
        <w:t>,</w:t>
      </w:r>
      <w:r w:rsidR="002F72C6">
        <w:t xml:space="preserve"> </w:t>
      </w:r>
      <w:r>
        <w:t xml:space="preserve">wie </w:t>
      </w:r>
      <w:r w:rsidR="002F72C6">
        <w:t>sie die Realisierung bei ihrer Erzeugung beeinflussen und aus dieser wieder erschlossen werden können; alle darüber hinausgehenden Aspekte eines Stils können dann in der Interpretation ausgehend von den Merkmalen erzeugt we</w:t>
      </w:r>
      <w:r w:rsidR="002F72C6">
        <w:t>r</w:t>
      </w:r>
      <w:r w:rsidR="002F72C6">
        <w:t xml:space="preserve">den. (Da die Interpretation auch im Zusammenhang mit dem </w:t>
      </w:r>
      <w:r w:rsidR="00992D14">
        <w:t>An</w:t>
      </w:r>
      <w:r w:rsidR="000357EF">
        <w:t>wenden</w:t>
      </w:r>
      <w:r w:rsidR="002F72C6">
        <w:t xml:space="preserve"> eines Stils erfolgen kann, können diese Aspekte auch dort berücksichtigt werden.)</w:t>
      </w:r>
    </w:p>
    <w:p w:rsidR="00561EA5" w:rsidRDefault="002F72C6" w:rsidP="00F75E97">
      <w:pPr>
        <w:pStyle w:val="Text"/>
      </w:pPr>
      <w:r>
        <w:t>W</w:t>
      </w:r>
      <w:r w:rsidR="00F75E97">
        <w:t xml:space="preserve">enn sich eine nicht offensichtliche kategorielle Trennung als nützlich für die Darstellung erweist, findet man sie </w:t>
      </w:r>
      <w:r>
        <w:t xml:space="preserve">oft </w:t>
      </w:r>
      <w:r w:rsidR="00F75E97">
        <w:t>auf den zweiten Blick auch im Gege</w:t>
      </w:r>
      <w:r w:rsidR="00F75E97">
        <w:t>n</w:t>
      </w:r>
      <w:r w:rsidR="00F75E97">
        <w:t>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rsidR="00F75E97">
        <w:t xml:space="preserve"> wieder. Dies gilt auch hier:</w:t>
      </w:r>
      <w:r w:rsidR="00561EA5">
        <w:t xml:space="preserve"> Der Merkmalsprozess im Modell en</w:t>
      </w:r>
      <w:r w:rsidR="00561EA5">
        <w:t>t</w:t>
      </w:r>
      <w:r w:rsidR="00561EA5">
        <w:t>spricht ungefähr jenen Vorgängen, bei denen stilistische Merkmale erzeugt oder aus stilistischen Merkmalen auf die Auswahlregelmäßigkeiten, die sie erzeugt haben, geschlossen wird. Der Interpretationsprozess entspricht ungefähr jenen Vorgängen, in denen bei</w:t>
      </w:r>
      <w:r w:rsidR="00E64307">
        <w:t>m Wahrnehmen eines Stils eine Interpretation stattfi</w:t>
      </w:r>
      <w:r w:rsidR="00E64307">
        <w:t>n</w:t>
      </w:r>
      <w:r w:rsidR="00E64307">
        <w:t xml:space="preserve">det (wobei ausgehend von den Merkmalen eines Stils mögliche Gründen für diese gesucht, Beziehungen zwischen ihnen </w:t>
      </w:r>
      <w:r w:rsidR="00FC5EE7">
        <w:t>geprüft</w:t>
      </w:r>
      <w:r w:rsidR="00E64307">
        <w:t>, Schlussfolgerungen ang</w:t>
      </w:r>
      <w:r w:rsidR="00E64307">
        <w:t>e</w:t>
      </w:r>
      <w:r w:rsidR="00E64307">
        <w:t>stellt, Bedeutungen erkannt, Assoziationen entwickelt</w:t>
      </w:r>
      <w:r w:rsidR="00FC5EE7">
        <w:t xml:space="preserve">, </w:t>
      </w:r>
      <w:r w:rsidR="00E64307">
        <w:t>Spekulationen</w:t>
      </w:r>
      <w:r w:rsidR="00FC5EE7">
        <w:t xml:space="preserve"> angestellt sowie </w:t>
      </w:r>
      <w:r w:rsidR="00E64307">
        <w:t xml:space="preserve">Eindrücke und Gefühle </w:t>
      </w:r>
      <w:r w:rsidR="00FC5EE7">
        <w:t>empfunden werden</w:t>
      </w:r>
      <w:r w:rsidR="00E64307">
        <w:t>).</w:t>
      </w:r>
    </w:p>
    <w:p w:rsidR="00F75E97" w:rsidRDefault="00FD0625" w:rsidP="00F75E97">
      <w:pPr>
        <w:pStyle w:val="Text"/>
      </w:pPr>
      <w:r>
        <w:t>Der Merkmalsprozess beschreibt also die Entstehung stilistischer Merkm</w:t>
      </w:r>
      <w:r>
        <w:t>a</w:t>
      </w:r>
      <w:r>
        <w:t>le. Diese spielen auch beim alltäglichen Sprechen über Stil und in vielen Stilthe</w:t>
      </w:r>
      <w:r>
        <w:t>o</w:t>
      </w:r>
      <w:r>
        <w:t xml:space="preserve">rien eine wichtige Rolle. </w:t>
      </w:r>
      <w:r w:rsidR="00F75E97">
        <w:t>Wenn bezüglich einer bestimmten Stelle einer Realisi</w:t>
      </w:r>
      <w:r w:rsidR="00F75E97">
        <w:t>e</w:t>
      </w:r>
      <w:r w:rsidR="00F75E97">
        <w:t>rung vom Stil</w:t>
      </w:r>
      <w:r w:rsidR="007067FD">
        <w:t>wahrnehmer</w:t>
      </w:r>
      <w:r w:rsidR="00F75E97">
        <w:t xml:space="preserve"> eine Aussage darüber gemacht wird, nach welchen Kriterien das konkret vorgefundene Element hier ausgewählt wurde, dann wird </w:t>
      </w:r>
      <w:r>
        <w:t xml:space="preserve">oft </w:t>
      </w:r>
      <w:r w:rsidR="00F75E97">
        <w:t>von einem „stilistischen Merkmal“ gesprochen.</w:t>
      </w:r>
    </w:p>
    <w:p w:rsidR="00F75E97" w:rsidRDefault="00F75E97" w:rsidP="00F75E97">
      <w:pPr>
        <w:pStyle w:val="Text"/>
      </w:pPr>
      <w:r>
        <w:t>So sind die berühmt-berüchtigten stilistischen Merkmale, mit deren Hilfe zwischen einem romanischen und einem gotischen Baustil</w:t>
      </w:r>
      <w:r w:rsidR="005D7996">
        <w:fldChar w:fldCharType="begin"/>
      </w:r>
      <w:r w:rsidR="00CA2D60">
        <w:instrText xml:space="preserve"> XE "</w:instrText>
      </w:r>
      <w:r w:rsidR="00CA2D60" w:rsidRPr="0060585F">
        <w:instrText>Baustil</w:instrText>
      </w:r>
      <w:r w:rsidR="00CA2D60">
        <w:instrText xml:space="preserve">" </w:instrText>
      </w:r>
      <w:r w:rsidR="005D7996">
        <w:fldChar w:fldCharType="end"/>
      </w:r>
      <w:r>
        <w:t xml:space="preserve"> unterschieden werden kann, der Rundbogen und der Spitzbogen. Beim Autofahren könnte die riskante Durchführung eines Überhol</w:t>
      </w:r>
      <w:r w:rsidR="00915CD3">
        <w:t>manövers als Hinweis auf einen ‚</w:t>
      </w:r>
      <w:r>
        <w:t>riskanten</w:t>
      </w:r>
      <w:r w:rsidR="00915CD3">
        <w:t>‘</w:t>
      </w:r>
      <w:r>
        <w:t xml:space="preserve">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t xml:space="preserve"> betrachtet werden. In beiden Fällen geschieht jedoch bereits bei der traditione</w:t>
      </w:r>
      <w:r>
        <w:t>l</w:t>
      </w:r>
      <w:r>
        <w:t>len Analyse mehr, als es den Anschein hat: Es wird nicht einfach auf etwas direkt Sichtbares hingewiesen; vielmehr wird</w:t>
      </w:r>
    </w:p>
    <w:p w:rsidR="00F75E97" w:rsidRDefault="00F75E97" w:rsidP="00F75E97">
      <w:pPr>
        <w:pStyle w:val="Text"/>
      </w:pPr>
      <w:r>
        <w:t>(a)</w:t>
      </w:r>
      <w:r>
        <w:tab/>
        <w:t xml:space="preserve">eine bestimmte Stelle (oder mehrere derselben Art) einer konkreten Realisierung (eines Gebäudes; einer Autofahrt) ausgesucht, zum Beispiel der </w:t>
      </w:r>
      <w:r>
        <w:lastRenderedPageBreak/>
        <w:t>obere Abschluss der Fensteröffnungen bzw. Situationen, in denen Überholen möglich ist;</w:t>
      </w:r>
    </w:p>
    <w:p w:rsidR="00F75E97" w:rsidRDefault="00F75E97" w:rsidP="00F75E97">
      <w:pPr>
        <w:pStyle w:val="Text"/>
      </w:pPr>
      <w:r>
        <w:t>(b)</w:t>
      </w:r>
      <w:r>
        <w:tab/>
        <w:t xml:space="preserve">es werden Eigenschaften des jeweiligen Elements angegeben, die als stilistisch relevant betrachtet werden können (nämlich </w:t>
      </w:r>
      <w:r w:rsidR="00915CD3">
        <w:t>‚</w:t>
      </w:r>
      <w:r>
        <w:t>runde Boge</w:t>
      </w:r>
      <w:r>
        <w:t>n</w:t>
      </w:r>
      <w:r>
        <w:t>form</w:t>
      </w:r>
      <w:r w:rsidR="00915CD3">
        <w:t>‘</w:t>
      </w:r>
      <w:r>
        <w:t>/</w:t>
      </w:r>
      <w:r w:rsidR="00915CD3">
        <w:t>‚</w:t>
      </w:r>
      <w:r>
        <w:t>spitze Bogenform</w:t>
      </w:r>
      <w:r w:rsidR="00915CD3">
        <w:t>‘</w:t>
      </w:r>
      <w:r>
        <w:t xml:space="preserve"> bzw. </w:t>
      </w:r>
      <w:r w:rsidR="00915CD3">
        <w:t>‚</w:t>
      </w:r>
      <w:r>
        <w:t>riskant</w:t>
      </w:r>
      <w:r w:rsidR="00915CD3">
        <w:t>‘</w:t>
      </w:r>
      <w:r>
        <w:t>), wobei durch die Betrachtung als stili</w:t>
      </w:r>
      <w:r>
        <w:t>s</w:t>
      </w:r>
      <w:r>
        <w:t>tische Merkmale impliziert wird, dass es diese Merkmale waren, nach denen das entsprechende Element ausgesucht wurde (und nicht andere; dann wären die betrachteten Eigenschaften akzidentiell und stilistisch nicht relevant).</w:t>
      </w:r>
    </w:p>
    <w:p w:rsidR="00F75E97" w:rsidRDefault="00F75E97" w:rsidP="00F75E97">
      <w:pPr>
        <w:pStyle w:val="Text"/>
      </w:pPr>
      <w:r>
        <w:t>(c)</w:t>
      </w:r>
      <w:r>
        <w:tab/>
        <w:t>es wird impliziert, dass beim Vorhandensein des entsprechenden Stils mit einer gewissen Wahrscheinlichkeit an den in (a) beschriebenen Stellen ein Element mit den in (b) genannten Eigenschaften zu finden ist.</w:t>
      </w:r>
    </w:p>
    <w:p w:rsidR="00F75E97" w:rsidRDefault="00F75E97" w:rsidP="00F75E97">
      <w:pPr>
        <w:pStyle w:val="Text"/>
      </w:pPr>
      <w:r>
        <w:t xml:space="preserve">Dies macht es naheliegend, stilistische Merkmale als Ergebnisse </w:t>
      </w:r>
      <w:r w:rsidR="00F15DDF">
        <w:t>der A</w:t>
      </w:r>
      <w:r w:rsidR="00F15DDF">
        <w:t>n</w:t>
      </w:r>
      <w:r w:rsidR="00F15DDF">
        <w:t xml:space="preserve">wendung </w:t>
      </w:r>
      <w:r w:rsidR="00D40E7B">
        <w:t>von R</w:t>
      </w:r>
      <w:r>
        <w:t>egeln zu beschreiben. Dabei sind die in (a) genannten Realisi</w:t>
      </w:r>
      <w:r>
        <w:t>e</w:t>
      </w:r>
      <w:r>
        <w:t>rungsstellen jene, auf die die Merkmalsregel anzuwenden ist; die in (b) genan</w:t>
      </w:r>
      <w:r>
        <w:t>n</w:t>
      </w:r>
      <w:r>
        <w:t>ten Eigenschaften sind die von der Merkmalsregel verlangten Eigenschaften; und (c) rechtfertigt es, von einer Regel zu sprechen, die mit einer bestimmten Wah</w:t>
      </w:r>
      <w:r>
        <w:t>r</w:t>
      </w:r>
      <w:r>
        <w:t>scheinlichkeit angewandt wird.</w:t>
      </w:r>
    </w:p>
    <w:p w:rsidR="00F75E97" w:rsidRDefault="00F75E97" w:rsidP="00F75E97">
      <w:pPr>
        <w:pStyle w:val="Text"/>
      </w:pPr>
      <w:r>
        <w:t xml:space="preserve">Den Prozess, in dem </w:t>
      </w:r>
      <w:r w:rsidR="00D40E7B">
        <w:t xml:space="preserve">Merkmalsregeln angewandt und dadurch stilistische Merkmale </w:t>
      </w:r>
      <w:r>
        <w:t>in eine Realisierung eingeschrie</w:t>
      </w:r>
      <w:r w:rsidR="00D40E7B">
        <w:t xml:space="preserve">ben </w:t>
      </w:r>
      <w:r>
        <w:t xml:space="preserve">oder aus ihr ausgelesen werden, nennen wir „Merkmalsprozess“ (vgl. </w:t>
      </w:r>
      <w:r w:rsidR="00734E44">
        <w:t>Kap</w:t>
      </w:r>
      <w:r w:rsidR="00A106CF">
        <w:t>itel</w:t>
      </w:r>
      <w:r w:rsidR="00734E44">
        <w:t xml:space="preserve"> 4 und </w:t>
      </w:r>
      <w:r>
        <w:t>5). Den Prozess, in dem au</w:t>
      </w:r>
      <w:r>
        <w:t>s</w:t>
      </w:r>
      <w:r>
        <w:t xml:space="preserve">gehend von den Merkmalsregeln </w:t>
      </w:r>
      <w:r w:rsidR="005D7AA6">
        <w:t>Erkenntnisse</w:t>
      </w:r>
      <w:r>
        <w:t>, Eindrücke</w:t>
      </w:r>
      <w:r w:rsidR="005D7AA6">
        <w:t>, Gefühle</w:t>
      </w:r>
      <w:r>
        <w:t xml:space="preserve"> usw. erzeugt werden, nennen wir „Interpretati</w:t>
      </w:r>
      <w:r w:rsidR="00D40E7B">
        <w:t xml:space="preserve">onsprozess“ (vgl. </w:t>
      </w:r>
      <w:r w:rsidR="00734E44">
        <w:t>Kap</w:t>
      </w:r>
      <w:r w:rsidR="00A106CF">
        <w:t>itel</w:t>
      </w:r>
      <w:r w:rsidR="00734E44">
        <w:t xml:space="preserve"> 6 und </w:t>
      </w:r>
      <w:r>
        <w:t>7).</w:t>
      </w:r>
    </w:p>
    <w:p w:rsidR="00A94C56" w:rsidRDefault="00A94C56" w:rsidP="00C25FC8">
      <w:pPr>
        <w:pStyle w:val="Text"/>
      </w:pPr>
      <w:r>
        <w:t xml:space="preserve">Die mit Stilen verbundenen Zeichenprozesse </w:t>
      </w:r>
      <w:r w:rsidR="000458C6">
        <w:t>sind in Abb.</w:t>
      </w:r>
      <w:r w:rsidR="00C851CF">
        <w:t xml:space="preserve"> 1 </w:t>
      </w:r>
      <w:r>
        <w:t>dar</w:t>
      </w:r>
      <w:r w:rsidR="00C851CF">
        <w:t>gestellt.</w:t>
      </w:r>
      <w:r>
        <w:tab/>
      </w:r>
    </w:p>
    <w:p w:rsidR="00A94C56" w:rsidRDefault="005D7996" w:rsidP="0005029C">
      <w:pPr>
        <w:pStyle w:val="Text"/>
        <w:ind w:firstLine="0"/>
      </w:pPr>
      <w:r>
        <w:rPr>
          <w:noProof/>
        </w:rPr>
        <w:pict>
          <v:shape id="_x0000_s636564" type="#_x0000_t202" style="position:absolute;left:0;text-align:left;margin-left:.4pt;margin-top:134.2pt;width:481.9pt;height:23.1pt;z-index:251751936" stroked="f">
            <v:textbox style="mso-next-textbox:#_x0000_s636564;mso-fit-shape-to-text:t" inset="0,0,0,0">
              <w:txbxContent>
                <w:p w:rsidR="00CC3558" w:rsidRPr="0005029C" w:rsidRDefault="00CC3558" w:rsidP="004C3839">
                  <w:pPr>
                    <w:pStyle w:val="Beschriftung"/>
                  </w:pPr>
                  <w:bookmarkStart w:id="109" w:name="_Toc323036036"/>
                  <w:r w:rsidRPr="004C3839">
                    <w:rPr>
                      <w:b/>
                    </w:rPr>
                    <w:t xml:space="preserve">Abb. </w:t>
                  </w:r>
                  <w:r w:rsidR="005D7996" w:rsidRPr="004C3839">
                    <w:rPr>
                      <w:b/>
                    </w:rPr>
                    <w:fldChar w:fldCharType="begin"/>
                  </w:r>
                  <w:r w:rsidRPr="004C3839">
                    <w:rPr>
                      <w:b/>
                    </w:rPr>
                    <w:instrText xml:space="preserve"> SEQ Abb. \* ARABIC </w:instrText>
                  </w:r>
                  <w:r w:rsidR="005D7996" w:rsidRPr="004C3839">
                    <w:rPr>
                      <w:b/>
                    </w:rPr>
                    <w:fldChar w:fldCharType="separate"/>
                  </w:r>
                  <w:r w:rsidR="001231D3">
                    <w:rPr>
                      <w:b/>
                      <w:noProof/>
                    </w:rPr>
                    <w:t>1</w:t>
                  </w:r>
                  <w:r w:rsidR="005D7996" w:rsidRPr="004C3839">
                    <w:rPr>
                      <w:b/>
                    </w:rPr>
                    <w:fldChar w:fldCharType="end"/>
                  </w:r>
                  <w:r>
                    <w:tab/>
                  </w:r>
                  <w:r w:rsidRPr="00B73673">
                    <w:t>Zeichenprozesse</w:t>
                  </w:r>
                  <w:r w:rsidRPr="0005029C">
                    <w:t xml:space="preserve"> beim Anwenden</w:t>
                  </w:r>
                  <w:r w:rsidR="005D7996">
                    <w:fldChar w:fldCharType="begin"/>
                  </w:r>
                  <w:r>
                    <w:instrText xml:space="preserve"> XE "Anwenden eines Stils</w:instrText>
                  </w:r>
                  <w:r w:rsidRPr="00582DC7">
                    <w:instrText>:</w:instrText>
                  </w:r>
                  <w:r w:rsidRPr="000F46C0">
                    <w:rPr>
                      <w:i/>
                    </w:rPr>
                    <w:instrText>Abbildung</w:instrText>
                  </w:r>
                  <w:r>
                    <w:instrText xml:space="preserve">" </w:instrText>
                  </w:r>
                  <w:r w:rsidR="005D7996">
                    <w:fldChar w:fldCharType="end"/>
                  </w:r>
                  <w:r w:rsidR="005D7996">
                    <w:fldChar w:fldCharType="begin"/>
                  </w:r>
                  <w:r>
                    <w:instrText xml:space="preserve"> XE "Merkmalsprozess</w:instrText>
                  </w:r>
                  <w:r w:rsidRPr="00582DC7">
                    <w:instrText>:</w:instrText>
                  </w:r>
                  <w:r w:rsidRPr="000F46C0">
                    <w:rPr>
                      <w:i/>
                    </w:rPr>
                    <w:instrText>Abbildung</w:instrText>
                  </w:r>
                  <w:r>
                    <w:instrText xml:space="preserve">" </w:instrText>
                  </w:r>
                  <w:r w:rsidR="005D7996">
                    <w:fldChar w:fldCharType="end"/>
                  </w:r>
                  <w:r w:rsidRPr="0005029C">
                    <w:t xml:space="preserve"> und Wahrnehmen</w:t>
                  </w:r>
                  <w:r w:rsidR="005D7996">
                    <w:fldChar w:fldCharType="begin"/>
                  </w:r>
                  <w:r>
                    <w:instrText xml:space="preserve"> XE "Wahrnehmen eines Stils</w:instrText>
                  </w:r>
                  <w:r w:rsidRPr="00582DC7">
                    <w:instrText>:</w:instrText>
                  </w:r>
                  <w:r w:rsidRPr="000F46C0">
                    <w:rPr>
                      <w:i/>
                    </w:rPr>
                    <w:instrText>Abbildung</w:instrText>
                  </w:r>
                  <w:r>
                    <w:instrText xml:space="preserve">" </w:instrText>
                  </w:r>
                  <w:r w:rsidR="005D7996">
                    <w:fldChar w:fldCharType="end"/>
                  </w:r>
                  <w:r w:rsidR="005D7996">
                    <w:fldChar w:fldCharType="begin"/>
                  </w:r>
                  <w:r>
                    <w:instrText xml:space="preserve"> XE "Interpretationsprozess</w:instrText>
                  </w:r>
                  <w:r w:rsidRPr="00582DC7">
                    <w:instrText>:</w:instrText>
                  </w:r>
                  <w:r w:rsidRPr="000F46C0">
                    <w:rPr>
                      <w:i/>
                    </w:rPr>
                    <w:instrText>Abbildung</w:instrText>
                  </w:r>
                  <w:r>
                    <w:instrText xml:space="preserve">" </w:instrText>
                  </w:r>
                  <w:r w:rsidR="005D7996">
                    <w:fldChar w:fldCharType="end"/>
                  </w:r>
                  <w:r w:rsidRPr="0005029C">
                    <w:t xml:space="preserve"> von Stil</w:t>
                  </w:r>
                  <w:bookmarkEnd w:id="109"/>
                </w:p>
              </w:txbxContent>
            </v:textbox>
          </v:shape>
        </w:pict>
      </w:r>
      <w:r>
        <w:rPr>
          <w:noProof/>
        </w:rPr>
        <w:pict>
          <v:rect id="_x0000_s1576172" style="position:absolute;left:0;text-align:left;margin-left:1.75pt;margin-top:27.25pt;width:29.75pt;height:91.85pt;z-index:251836928;v-text-anchor:middle">
            <v:textbox style="layout-flow:vertical;mso-layout-flow-alt:bottom-to-top;mso-next-textbox:#_x0000_s1576172" inset=".5mm,1.5mm,.5mm,1.5mm">
              <w:txbxContent>
                <w:p w:rsidR="00CC3558" w:rsidRPr="0093743F" w:rsidRDefault="00CC3558" w:rsidP="00A55614">
                  <w:pPr>
                    <w:ind w:firstLine="0"/>
                    <w:jc w:val="center"/>
                    <w:rPr>
                      <w:sz w:val="17"/>
                      <w:szCs w:val="17"/>
                    </w:rPr>
                  </w:pPr>
                  <w:r w:rsidRPr="0093743F">
                    <w:rPr>
                      <w:sz w:val="17"/>
                      <w:szCs w:val="17"/>
                    </w:rPr>
                    <w:t xml:space="preserve">Realisierung </w:t>
                  </w:r>
                  <w:r w:rsidRPr="0093743F">
                    <w:rPr>
                      <w:i/>
                      <w:sz w:val="17"/>
                      <w:szCs w:val="17"/>
                    </w:rPr>
                    <w:t>R</w:t>
                  </w:r>
                  <w:r w:rsidRPr="0093743F">
                    <w:rPr>
                      <w:sz w:val="17"/>
                      <w:szCs w:val="17"/>
                    </w:rPr>
                    <w:br/>
                    <w:t>(enthält Merkmale)</w:t>
                  </w:r>
                </w:p>
              </w:txbxContent>
            </v:textbox>
          </v:rect>
        </w:pict>
      </w:r>
      <w:r>
        <w:rPr>
          <w:noProof/>
        </w:rPr>
        <w:pict>
          <v:oval id="_x0000_s1576169" style="position:absolute;left:0;text-align:left;margin-left:127.65pt;margin-top:32.9pt;width:86.95pt;height:86.9pt;z-index:251833856;v-text-anchor:middle">
            <v:textbox style="mso-next-textbox:#_x0000_s1576169" inset=".5mm,.5mm,.5mm,.5mm">
              <w:txbxContent>
                <w:p w:rsidR="00CC3558" w:rsidRPr="0093743F" w:rsidRDefault="00CC3558" w:rsidP="00A55614">
                  <w:pPr>
                    <w:ind w:firstLine="0"/>
                    <w:jc w:val="center"/>
                    <w:rPr>
                      <w:sz w:val="17"/>
                      <w:szCs w:val="17"/>
                    </w:rPr>
                  </w:pPr>
                  <w:r w:rsidRPr="0093743F">
                    <w:rPr>
                      <w:sz w:val="17"/>
                      <w:szCs w:val="17"/>
                    </w:rPr>
                    <w:t xml:space="preserve">Stil </w:t>
                  </w:r>
                  <w:r w:rsidRPr="0093743F">
                    <w:rPr>
                      <w:i/>
                      <w:sz w:val="17"/>
                      <w:szCs w:val="17"/>
                    </w:rPr>
                    <w:t>x</w:t>
                  </w:r>
                </w:p>
                <w:p w:rsidR="00CC3558" w:rsidRPr="0093743F" w:rsidRDefault="00CC3558" w:rsidP="00A55614">
                  <w:pPr>
                    <w:ind w:firstLine="0"/>
                    <w:jc w:val="center"/>
                    <w:rPr>
                      <w:sz w:val="17"/>
                      <w:szCs w:val="17"/>
                    </w:rPr>
                  </w:pPr>
                  <w:r w:rsidRPr="0093743F">
                    <w:rPr>
                      <w:sz w:val="17"/>
                      <w:szCs w:val="17"/>
                    </w:rPr>
                    <w:t>(besteht aus</w:t>
                  </w:r>
                </w:p>
                <w:p w:rsidR="00CC3558" w:rsidRPr="0093743F" w:rsidRDefault="00CC3558" w:rsidP="00A55614">
                  <w:pPr>
                    <w:ind w:firstLine="0"/>
                    <w:jc w:val="center"/>
                    <w:rPr>
                      <w:sz w:val="17"/>
                      <w:szCs w:val="17"/>
                    </w:rPr>
                  </w:pPr>
                  <w:r w:rsidRPr="0093743F">
                    <w:rPr>
                      <w:sz w:val="17"/>
                      <w:szCs w:val="17"/>
                    </w:rPr>
                    <w:t>einer Menge</w:t>
                  </w:r>
                </w:p>
                <w:p w:rsidR="00CC3558" w:rsidRPr="0093743F" w:rsidRDefault="00CC3558" w:rsidP="00A55614">
                  <w:pPr>
                    <w:ind w:firstLine="0"/>
                    <w:jc w:val="center"/>
                    <w:rPr>
                      <w:sz w:val="17"/>
                      <w:szCs w:val="17"/>
                    </w:rPr>
                  </w:pPr>
                  <w:r w:rsidRPr="0093743F">
                    <w:rPr>
                      <w:sz w:val="17"/>
                      <w:szCs w:val="17"/>
                    </w:rPr>
                    <w:t>von Merkmal</w:t>
                  </w:r>
                  <w:r w:rsidRPr="0093743F">
                    <w:rPr>
                      <w:sz w:val="17"/>
                      <w:szCs w:val="17"/>
                    </w:rPr>
                    <w:t>s</w:t>
                  </w:r>
                  <w:r w:rsidRPr="0093743F">
                    <w:rPr>
                      <w:sz w:val="17"/>
                      <w:szCs w:val="17"/>
                    </w:rPr>
                    <w:t xml:space="preserve">regeln </w:t>
                  </w:r>
                  <w:r w:rsidRPr="0093743F">
                    <w:rPr>
                      <w:i/>
                      <w:sz w:val="17"/>
                      <w:szCs w:val="17"/>
                    </w:rPr>
                    <w:t>B</w:t>
                  </w:r>
                  <w:r w:rsidRPr="0093743F">
                    <w:rPr>
                      <w:sz w:val="17"/>
                      <w:szCs w:val="17"/>
                    </w:rPr>
                    <w:t>)</w:t>
                  </w:r>
                </w:p>
              </w:txbxContent>
            </v:textbox>
          </v:oval>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76174" type="#_x0000_t13" style="position:absolute;left:0;text-align:left;margin-left:220.3pt;margin-top:49.5pt;width:85.45pt;height:50.45pt;z-index:251838976;v-text-anchor:middle">
            <v:textbox style="mso-next-textbox:#_x0000_s1576174" inset="2mm,,2mm">
              <w:txbxContent>
                <w:p w:rsidR="00CC3558" w:rsidRPr="0093743F" w:rsidRDefault="00CC3558" w:rsidP="002F09B9">
                  <w:pPr>
                    <w:ind w:firstLine="0"/>
                    <w:jc w:val="center"/>
                    <w:rPr>
                      <w:sz w:val="17"/>
                      <w:szCs w:val="17"/>
                    </w:rPr>
                  </w:pPr>
                  <w:r w:rsidRPr="0093743F">
                    <w:rPr>
                      <w:sz w:val="17"/>
                      <w:szCs w:val="17"/>
                    </w:rPr>
                    <w:t>Interpretation</w:t>
                  </w:r>
                </w:p>
                <w:p w:rsidR="00CC3558" w:rsidRPr="0093743F" w:rsidRDefault="00CC3558" w:rsidP="002F09B9">
                  <w:pPr>
                    <w:ind w:firstLine="0"/>
                    <w:jc w:val="center"/>
                    <w:rPr>
                      <w:sz w:val="17"/>
                      <w:szCs w:val="17"/>
                    </w:rPr>
                  </w:pPr>
                  <w:r w:rsidRPr="0093743F">
                    <w:rPr>
                      <w:sz w:val="17"/>
                      <w:szCs w:val="17"/>
                    </w:rPr>
                    <w:t xml:space="preserve">von </w:t>
                  </w:r>
                  <w:r w:rsidRPr="0093743F">
                    <w:rPr>
                      <w:i/>
                      <w:sz w:val="17"/>
                      <w:szCs w:val="17"/>
                    </w:rPr>
                    <w:t>B</w:t>
                  </w:r>
                  <w:r w:rsidRPr="0093743F">
                    <w:rPr>
                      <w:sz w:val="17"/>
                      <w:szCs w:val="17"/>
                    </w:rPr>
                    <w:t xml:space="preserve"> erzeugt </w:t>
                  </w:r>
                  <w:r w:rsidRPr="0093743F">
                    <w:rPr>
                      <w:i/>
                      <w:sz w:val="17"/>
                      <w:szCs w:val="17"/>
                    </w:rPr>
                    <w:t>Er</w:t>
                  </w:r>
                </w:p>
              </w:txbxContent>
            </v:textbox>
          </v:shape>
        </w:pict>
      </w:r>
      <w:r>
        <w:rPr>
          <w:noProof/>
        </w:rPr>
        <w:pict>
          <v:rect id="_x0000_s1576173" style="position:absolute;left:0;text-align:left;margin-left:309.75pt;margin-top:27.05pt;width:29.75pt;height:91.85pt;z-index:251837952;v-text-anchor:middle">
            <v:textbox style="layout-flow:vertical;mso-layout-flow-alt:bottom-to-top;mso-next-textbox:#_x0000_s1576173" inset=".5mm,1.5mm,.5mm,1.5mm">
              <w:txbxContent>
                <w:p w:rsidR="00CC3558" w:rsidRPr="0093743F" w:rsidRDefault="00CC3558" w:rsidP="00A55614">
                  <w:pPr>
                    <w:ind w:firstLine="0"/>
                    <w:jc w:val="center"/>
                    <w:rPr>
                      <w:sz w:val="17"/>
                      <w:szCs w:val="17"/>
                    </w:rPr>
                  </w:pPr>
                  <w:r w:rsidRPr="0093743F">
                    <w:rPr>
                      <w:sz w:val="17"/>
                      <w:szCs w:val="17"/>
                    </w:rPr>
                    <w:t xml:space="preserve">Menge der Ergebnisse </w:t>
                  </w:r>
                  <w:r w:rsidRPr="0093743F">
                    <w:rPr>
                      <w:i/>
                      <w:sz w:val="17"/>
                      <w:szCs w:val="17"/>
                    </w:rPr>
                    <w:t>Er</w:t>
                  </w:r>
                  <w:r w:rsidRPr="0093743F">
                    <w:rPr>
                      <w:sz w:val="17"/>
                      <w:szCs w:val="17"/>
                    </w:rPr>
                    <w:t xml:space="preserve"> der Interpretation</w:t>
                  </w:r>
                </w:p>
              </w:txbxContent>
            </v:textbox>
          </v:rect>
        </w:pict>
      </w:r>
      <w:r>
        <w:rPr>
          <w:noProof/>
        </w:rPr>
        <w:pict>
          <v:shape id="_x0000_s1576217" type="#_x0000_t13" style="position:absolute;left:0;text-align:left;margin-left:37.95pt;margin-top:69pt;width:85.45pt;height:50.45pt;rotation:180;z-index:251840000;v-text-anchor:middle">
            <v:textbox style="mso-next-textbox:#_x0000_s1576217" inset="2mm,,2mm">
              <w:txbxContent>
                <w:p w:rsidR="00CC3558" w:rsidRPr="0093743F" w:rsidRDefault="00CC3558" w:rsidP="002F09B9">
                  <w:pPr>
                    <w:ind w:firstLine="0"/>
                    <w:jc w:val="center"/>
                    <w:rPr>
                      <w:sz w:val="17"/>
                      <w:szCs w:val="17"/>
                    </w:rPr>
                  </w:pPr>
                  <w:r w:rsidRPr="0093743F">
                    <w:rPr>
                      <w:i/>
                      <w:sz w:val="17"/>
                      <w:szCs w:val="17"/>
                    </w:rPr>
                    <w:t>B</w:t>
                  </w:r>
                  <w:r w:rsidRPr="0093743F">
                    <w:rPr>
                      <w:sz w:val="17"/>
                      <w:szCs w:val="17"/>
                    </w:rPr>
                    <w:t xml:space="preserve"> wird eing</w:t>
                  </w:r>
                  <w:r w:rsidRPr="0093743F">
                    <w:rPr>
                      <w:sz w:val="17"/>
                      <w:szCs w:val="17"/>
                    </w:rPr>
                    <w:t>e</w:t>
                  </w:r>
                  <w:r w:rsidRPr="0093743F">
                    <w:rPr>
                      <w:sz w:val="17"/>
                      <w:szCs w:val="17"/>
                    </w:rPr>
                    <w:t xml:space="preserve">schrieben in </w:t>
                  </w:r>
                  <w:r w:rsidRPr="0093743F">
                    <w:rPr>
                      <w:i/>
                      <w:sz w:val="17"/>
                      <w:szCs w:val="17"/>
                    </w:rPr>
                    <w:t>R</w:t>
                  </w:r>
                </w:p>
                <w:p w:rsidR="00CC3558" w:rsidRPr="0093743F" w:rsidRDefault="00CC3558" w:rsidP="002F09B9">
                  <w:pPr>
                    <w:rPr>
                      <w:sz w:val="17"/>
                      <w:szCs w:val="17"/>
                    </w:rPr>
                  </w:pPr>
                </w:p>
              </w:txbxContent>
            </v:textbox>
          </v:shape>
        </w:pict>
      </w:r>
      <w:r>
        <w:rPr>
          <w:noProof/>
        </w:rPr>
        <w:pict>
          <v:shape id="_x0000_s1576218" type="#_x0000_t13" style="position:absolute;left:0;text-align:left;margin-left:43.15pt;margin-top:27.15pt;width:85.45pt;height:50.45pt;z-index:251841024;v-text-anchor:middle">
            <v:textbox style="mso-next-textbox:#_x0000_s1576218" inset="2mm,,2mm">
              <w:txbxContent>
                <w:p w:rsidR="00CC3558" w:rsidRPr="0093743F" w:rsidRDefault="00CC3558" w:rsidP="002F09B9">
                  <w:pPr>
                    <w:ind w:firstLine="0"/>
                    <w:jc w:val="center"/>
                    <w:rPr>
                      <w:sz w:val="17"/>
                      <w:szCs w:val="17"/>
                    </w:rPr>
                  </w:pPr>
                  <w:r w:rsidRPr="0093743F">
                    <w:rPr>
                      <w:i/>
                      <w:sz w:val="17"/>
                      <w:szCs w:val="17"/>
                    </w:rPr>
                    <w:t>B</w:t>
                  </w:r>
                  <w:r w:rsidRPr="0093743F">
                    <w:rPr>
                      <w:sz w:val="17"/>
                      <w:szCs w:val="17"/>
                    </w:rPr>
                    <w:t xml:space="preserve"> wird</w:t>
                  </w:r>
                </w:p>
                <w:p w:rsidR="00CC3558" w:rsidRPr="0093743F" w:rsidRDefault="00CC3558" w:rsidP="002F09B9">
                  <w:pPr>
                    <w:ind w:firstLine="0"/>
                    <w:jc w:val="center"/>
                    <w:rPr>
                      <w:sz w:val="17"/>
                      <w:szCs w:val="17"/>
                    </w:rPr>
                  </w:pPr>
                  <w:r w:rsidRPr="0093743F">
                    <w:rPr>
                      <w:sz w:val="17"/>
                      <w:szCs w:val="17"/>
                    </w:rPr>
                    <w:t xml:space="preserve">ausgelesen aus </w:t>
                  </w:r>
                  <w:r w:rsidRPr="0093743F">
                    <w:rPr>
                      <w:i/>
                      <w:sz w:val="17"/>
                      <w:szCs w:val="17"/>
                    </w:rPr>
                    <w:t>R</w:t>
                  </w:r>
                </w:p>
                <w:p w:rsidR="00CC3558" w:rsidRPr="0093743F" w:rsidRDefault="00CC3558" w:rsidP="002F09B9">
                  <w:pPr>
                    <w:rPr>
                      <w:sz w:val="17"/>
                      <w:szCs w:val="17"/>
                    </w:rPr>
                  </w:pPr>
                </w:p>
              </w:txbxContent>
            </v:textbox>
          </v:shape>
        </w:pict>
      </w:r>
      <w:r>
        <w:rPr>
          <w:noProof/>
        </w:rPr>
        <w:pict>
          <v:rect id="_x0000_s636664" style="position:absolute;left:0;text-align:left;margin-left:440.35pt;margin-top:9.3pt;width:42.5pt;height:131.2pt;z-index:251764224;v-text-anchor:middle">
            <v:textbox style="layout-flow:vertical;mso-layout-flow-alt:bottom-to-top;mso-next-textbox:#_x0000_s636664" inset="2mm,,2mm">
              <w:txbxContent>
                <w:p w:rsidR="00CC3558" w:rsidRPr="008616C5" w:rsidRDefault="00CC3558" w:rsidP="00344AD5">
                  <w:r>
                    <w:t xml:space="preserve">Menge der Ergebnisse </w:t>
                  </w:r>
                  <w:r>
                    <w:rPr>
                      <w:i/>
                    </w:rPr>
                    <w:t>Er</w:t>
                  </w:r>
                  <w:r>
                    <w:t xml:space="preserve"> der Interpretation</w:t>
                  </w:r>
                </w:p>
              </w:txbxContent>
            </v:textbox>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8pt;height:136.4pt">
            <v:imagedata croptop="-65520f" cropbottom="65520f"/>
          </v:shape>
        </w:pict>
      </w:r>
    </w:p>
    <w:p w:rsidR="00A94C56" w:rsidRDefault="00A94C56" w:rsidP="009A0CE0">
      <w:pPr>
        <w:pStyle w:val="Text"/>
      </w:pPr>
    </w:p>
    <w:p w:rsidR="00A94C56" w:rsidRDefault="00A94C56" w:rsidP="009A0CE0">
      <w:pPr>
        <w:pStyle w:val="Text"/>
      </w:pPr>
    </w:p>
    <w:p w:rsidR="00DE1DF4" w:rsidRDefault="00EE2CE9" w:rsidP="00DE1DF4">
      <w:pPr>
        <w:pStyle w:val="Titel2"/>
      </w:pPr>
      <w:bookmarkStart w:id="110" w:name="_Ref263688314"/>
      <w:bookmarkStart w:id="111" w:name="_Toc325456709"/>
      <w:bookmarkEnd w:id="107"/>
      <w:r>
        <w:t>Die Interpretation</w:t>
      </w:r>
      <w:bookmarkEnd w:id="110"/>
      <w:bookmarkEnd w:id="111"/>
    </w:p>
    <w:p w:rsidR="00EE2CE9" w:rsidRDefault="00EE2CE9" w:rsidP="00A9501D">
      <w:pPr>
        <w:ind w:firstLine="0"/>
      </w:pPr>
      <w:r>
        <w:t xml:space="preserve">Wir haben nun viel über stilistische Merkmale </w:t>
      </w:r>
      <w:r w:rsidR="00211EB4">
        <w:t xml:space="preserve">und ihr Entstehen </w:t>
      </w:r>
      <w:r w:rsidR="00400367">
        <w:t>nachgedacht. Das</w:t>
      </w:r>
      <w:r>
        <w:t xml:space="preserve"> </w:t>
      </w:r>
      <w:r w:rsidR="00400367">
        <w:t>Wahrnehmen</w:t>
      </w:r>
      <w:r>
        <w:t xml:space="preserve"> eines Stils geht aber tatsächlich </w:t>
      </w:r>
      <w:r w:rsidR="00FE1FC7">
        <w:t xml:space="preserve">weit </w:t>
      </w:r>
      <w:r>
        <w:t xml:space="preserve">über </w:t>
      </w:r>
      <w:r w:rsidR="00FE1FC7">
        <w:t xml:space="preserve">die Beobachtung von </w:t>
      </w:r>
      <w:r>
        <w:t>Merkmale</w:t>
      </w:r>
      <w:r w:rsidR="00FE1FC7">
        <w:t>n</w:t>
      </w:r>
      <w:r>
        <w:t xml:space="preserve"> hinaus</w:t>
      </w:r>
      <w:r w:rsidR="00FE1FC7">
        <w:t>:</w:t>
      </w:r>
    </w:p>
    <w:p w:rsidR="00FE1FC7" w:rsidRDefault="00FE1FC7" w:rsidP="00DE1DF4">
      <w:r>
        <w:lastRenderedPageBreak/>
        <w:t>(1)</w:t>
      </w:r>
      <w:r>
        <w:tab/>
        <w:t>Bei einer Autofahrt wird geschlossen, dass der Fahrer vorsichtig und rücksichtsvoll fährt, obwohl er in der Lage ist, schnell und effektiv zu fahren und kontrollierbare Risiken einzugehen (etwa bei Regen vorsichtig zu überholen). Es ergeben sich Rückschlüsse auf seine Persönlichkeit, die als rücksichts- und v</w:t>
      </w:r>
      <w:r>
        <w:t>e</w:t>
      </w:r>
      <w:r>
        <w:t>rantwortungsvoll, aber nicht ängstlich erscheint.</w:t>
      </w:r>
    </w:p>
    <w:p w:rsidR="00FE1FC7" w:rsidRDefault="00FE1FC7" w:rsidP="00DE1DF4">
      <w:r>
        <w:t>(2)</w:t>
      </w:r>
      <w:r>
        <w:tab/>
      </w:r>
      <w:r w:rsidR="00245A2A">
        <w:t>Bei einem Gebäude wird erkannt, dass bei seinem Bau mehr auf repr</w:t>
      </w:r>
      <w:r w:rsidR="00245A2A">
        <w:t>ä</w:t>
      </w:r>
      <w:r w:rsidR="00245A2A">
        <w:t>sentative Wirkung geacht</w:t>
      </w:r>
      <w:r w:rsidR="00696F2F">
        <w:t xml:space="preserve">et wurde als auf Bequemlichkeit, Funktionsgerechtheit </w:t>
      </w:r>
      <w:r w:rsidR="00245A2A">
        <w:t>und günstigen Preis.</w:t>
      </w:r>
      <w:r w:rsidR="00696F2F">
        <w:t xml:space="preserve"> Das Gebäude macht den Eindruck, seinen Nutzern gege</w:t>
      </w:r>
      <w:r w:rsidR="00696F2F">
        <w:t>n</w:t>
      </w:r>
      <w:r w:rsidR="00696F2F">
        <w:t>über gleichgültig zu sein.</w:t>
      </w:r>
    </w:p>
    <w:p w:rsidR="00245A2A" w:rsidRDefault="00696F2F" w:rsidP="00DE1DF4">
      <w:r>
        <w:t>(3)</w:t>
      </w:r>
      <w:r>
        <w:tab/>
        <w:t xml:space="preserve">Bei </w:t>
      </w:r>
      <w:r w:rsidR="00110972">
        <w:t xml:space="preserve">der Ausschilderung </w:t>
      </w:r>
      <w:r>
        <w:t xml:space="preserve">einer Straße wird festgestellt, dass sehr viele </w:t>
      </w:r>
      <w:r w:rsidR="00110972">
        <w:t>Verkehrszeichen aufgestellt sind, die in kurzen Abständen die Geschwindigkeit regulieren</w:t>
      </w:r>
      <w:r>
        <w:t>, auf mögliche Gefahren und sogar auf Sehenswürdigkeiten neben der Straße hinweisen. Dies wirkt so, dass ob die Aufmerksamkeit der Straßenbenu</w:t>
      </w:r>
      <w:r>
        <w:t>t</w:t>
      </w:r>
      <w:r>
        <w:t>zer genau gelenkt und ihnen jede Entscheidung (etwa über die angemessene G</w:t>
      </w:r>
      <w:r>
        <w:t>e</w:t>
      </w:r>
      <w:r>
        <w:t>schwindigkeit) abgenommen werden soll; dies löst Ärger aus.</w:t>
      </w:r>
    </w:p>
    <w:p w:rsidR="00EE2CE9" w:rsidRDefault="00DA5305" w:rsidP="00DE1DF4">
      <w:r>
        <w:t>Die Beispiele haben gemeinsam, dass Schlüsse gezogen oder Erklärungen gesucht werden, dass Überlegungen angestellt werden, Eindrücke entstehen und mit Gefühlen r</w:t>
      </w:r>
      <w:r w:rsidR="009D59CF">
        <w:t xml:space="preserve">eagiert wird, wobei der </w:t>
      </w:r>
      <w:r>
        <w:t xml:space="preserve">Ausgangspunkt für diese Vorgänge </w:t>
      </w:r>
      <w:r w:rsidR="009D59CF">
        <w:t xml:space="preserve">immer die </w:t>
      </w:r>
      <w:r w:rsidR="00E34ADA">
        <w:t>Merkmale</w:t>
      </w:r>
      <w:r w:rsidR="009D59CF">
        <w:t xml:space="preserve"> eines bestimmten </w:t>
      </w:r>
      <w:r w:rsidR="00E34ADA">
        <w:t>Stils</w:t>
      </w:r>
      <w:r w:rsidR="009D59CF">
        <w:t xml:space="preserve"> sind. Solche Vorgänge sollen, wenn sie b</w:t>
      </w:r>
      <w:r w:rsidR="009D59CF">
        <w:t>e</w:t>
      </w:r>
      <w:r w:rsidR="009D59CF">
        <w:t xml:space="preserve">zogen auf einen Stil durchgeführt werden, als </w:t>
      </w:r>
      <w:r w:rsidR="00782841">
        <w:t>„</w:t>
      </w:r>
      <w:r w:rsidR="009D59CF" w:rsidRPr="00782841">
        <w:t>Interpretation</w:t>
      </w:r>
      <w:r w:rsidR="00782841">
        <w:t xml:space="preserve">“ </w:t>
      </w:r>
      <w:r w:rsidR="009D59CF">
        <w:t>dieses Stils b</w:t>
      </w:r>
      <w:r w:rsidR="009D59CF">
        <w:t>e</w:t>
      </w:r>
      <w:r w:rsidR="009D59CF">
        <w:t>zeichnet werden.</w:t>
      </w:r>
    </w:p>
    <w:p w:rsidR="00AF0F9C" w:rsidRDefault="00CA7F26" w:rsidP="00DE1DF4">
      <w:r>
        <w:t xml:space="preserve">Zur Interpretation gehören dabei alle Vorgänge, die über die Wahrnehmung der stilistischen Merkmale hinausgehen. </w:t>
      </w:r>
      <w:r w:rsidR="00AF0F9C">
        <w:t>Dabei können verschiedene Vorg</w:t>
      </w:r>
      <w:r w:rsidR="00AF0F9C">
        <w:t>e</w:t>
      </w:r>
      <w:r w:rsidR="00AF0F9C">
        <w:t>hensweisen angewandt werden, von der logischen Schlussfolgerung über freies Assoziieren bis hin zu Gefühlsreaktionen. Es entstehen verschiedene Sorten von Ergebnissen, von sprachlich formulierten Aussagen über Eindrücke, die ohne klare Formulierung im Bewusstsein existieren, bis zu gefühlsmäßigen Reakti</w:t>
      </w:r>
      <w:r w:rsidR="00AF0F9C">
        <w:t>o</w:t>
      </w:r>
      <w:r w:rsidR="00AF0F9C">
        <w:t>nen.</w:t>
      </w:r>
    </w:p>
    <w:p w:rsidR="009D59CF" w:rsidRDefault="00CA7F26" w:rsidP="00DE1DF4">
      <w:r>
        <w:t xml:space="preserve">Viele dieser Vorgänge erfordern, dass </w:t>
      </w:r>
      <w:r w:rsidRPr="00CA7F26">
        <w:rPr>
          <w:i/>
        </w:rPr>
        <w:t>Hintergrundwissen</w:t>
      </w:r>
      <w:r>
        <w:t xml:space="preserve"> hinzugezogen wird – beispielsweise darüber, was für Persönlichkeit</w:t>
      </w:r>
      <w:r w:rsidR="00AF0F9C">
        <w:t>stypen es gibt und zu welchem Verhalten sie typischerweise führen; was unter Repräsentation zu verstehen ist und welche Reaktionen von Betrachtern repräsentative Architektur hervorrufen soll; oder dass Autofahrer auf einer gut einsehbaren Straße durchaus selbst en</w:t>
      </w:r>
      <w:r w:rsidR="00AF0F9C">
        <w:t>t</w:t>
      </w:r>
      <w:r w:rsidR="00AF0F9C">
        <w:t>scheiden können, wie schnell sie eine bestimmte Passage fahren können. Auch aus bereits gewonnenen Ergebnissen können, mit oder ohne Hintergrundwissen, weitere Ergebnisse gewonnen werden.</w:t>
      </w:r>
    </w:p>
    <w:p w:rsidR="00433E9D" w:rsidRDefault="005171A2" w:rsidP="00DE1DF4">
      <w:r>
        <w:t xml:space="preserve">Neben dem </w:t>
      </w:r>
      <w:r w:rsidRPr="005171A2">
        <w:rPr>
          <w:i/>
        </w:rPr>
        <w:t>Merkmalsprozess</w:t>
      </w:r>
      <w:r w:rsidR="00940E7A">
        <w:t>, in dem die Merkmalsregeln eines Stils in eine Realisie</w:t>
      </w:r>
      <w:r>
        <w:t>r</w:t>
      </w:r>
      <w:r w:rsidR="00940E7A">
        <w:t>u</w:t>
      </w:r>
      <w:r>
        <w:t>ng eingeschrieben oder aus ihr ausgelesen werden,</w:t>
      </w:r>
      <w:r w:rsidR="00C648C1">
        <w:t xml:space="preserve"> existiert somit der </w:t>
      </w:r>
      <w:r w:rsidR="00C648C1" w:rsidRPr="00C648C1">
        <w:rPr>
          <w:i/>
        </w:rPr>
        <w:t>Interpretationsprozess</w:t>
      </w:r>
      <w:r w:rsidR="00C648C1">
        <w:t xml:space="preserve">, in </w:t>
      </w:r>
      <w:r w:rsidR="00940E7A">
        <w:t>dem aus den Merkmalsregeln</w:t>
      </w:r>
      <w:r w:rsidR="00C648C1">
        <w:t xml:space="preserve"> Ergebnisse </w:t>
      </w:r>
      <w:r w:rsidR="00433E9D">
        <w:t>abgeleitet we</w:t>
      </w:r>
      <w:r w:rsidR="00433E9D">
        <w:t>r</w:t>
      </w:r>
      <w:r w:rsidR="00433E9D">
        <w:t>den.</w:t>
      </w:r>
    </w:p>
    <w:p w:rsidR="009D59CF" w:rsidRDefault="00C648C1" w:rsidP="00DE1DF4">
      <w:r>
        <w:t xml:space="preserve">Die beiden Prozesse </w:t>
      </w:r>
      <w:r w:rsidR="00433E9D">
        <w:t xml:space="preserve">werden beim </w:t>
      </w:r>
      <w:r w:rsidR="000C0EC9">
        <w:t>An</w:t>
      </w:r>
      <w:r w:rsidR="000357EF">
        <w:t>wenden</w:t>
      </w:r>
      <w:r w:rsidR="00433E9D">
        <w:t xml:space="preserve"> und beim </w:t>
      </w:r>
      <w:r w:rsidR="000357EF">
        <w:t>Wahrnehmen</w:t>
      </w:r>
      <w:r w:rsidR="00433E9D">
        <w:t xml:space="preserve"> von Stilen in unterschiedlicher Reihenfolge ausgeführt. Beim </w:t>
      </w:r>
      <w:r w:rsidR="000C0EC9">
        <w:t>An</w:t>
      </w:r>
      <w:r w:rsidR="000357EF">
        <w:t>wenden</w:t>
      </w:r>
      <w:r w:rsidR="00433E9D">
        <w:t xml:space="preserve"> eines Stils kann der Interpretationsp</w:t>
      </w:r>
      <w:r w:rsidR="00985CDD">
        <w:t>rozess gewissermaßen zur Probe</w:t>
      </w:r>
      <w:r w:rsidR="00433E9D">
        <w:t xml:space="preserve"> ausgeführt werden, </w:t>
      </w:r>
      <w:r w:rsidR="00433E9D">
        <w:lastRenderedPageBreak/>
        <w:t xml:space="preserve">wenn untersucht wird, welche Ergebnisse sich aus dem Stil ergeben. Eventuell werden Merkmalsregeln geändert, um die angestrebten </w:t>
      </w:r>
      <w:r w:rsidR="00F74A08">
        <w:t xml:space="preserve">Ergebnisse </w:t>
      </w:r>
      <w:r w:rsidR="00433E9D">
        <w:t>zu erreichen. Dann wird mit Hilfe des Merkmalsprozesses die sich ergebende Menge von Merkmalsregeln in eine Realisierung eingeschrieben. Diese wird damit zu einem Stilträger.</w:t>
      </w:r>
    </w:p>
    <w:p w:rsidR="00315BC2" w:rsidRDefault="00433E9D" w:rsidP="00D74804">
      <w:r>
        <w:t xml:space="preserve">Beim </w:t>
      </w:r>
      <w:r w:rsidR="000357EF">
        <w:t>Wahrnehmen</w:t>
      </w:r>
      <w:r>
        <w:t xml:space="preserve"> eines Stils wird umgekehrt zunächst der Merkmalspr</w:t>
      </w:r>
      <w:r>
        <w:t>o</w:t>
      </w:r>
      <w:r>
        <w:t>zess aufgerufen; aus der betrachteten Realisierung wird eine Menge von Mer</w:t>
      </w:r>
      <w:r>
        <w:t>k</w:t>
      </w:r>
      <w:r>
        <w:t>malsregeln ausgelesen. Aus dieser werden dann mit Hilfe des Interpretation</w:t>
      </w:r>
      <w:r>
        <w:t>s</w:t>
      </w:r>
      <w:r>
        <w:t>prozesses Ergebnisse erzeugt.</w:t>
      </w:r>
    </w:p>
    <w:p w:rsidR="00E56F24" w:rsidRDefault="00E56F24" w:rsidP="00E56F24">
      <w:pPr>
        <w:pStyle w:val="Titel2"/>
      </w:pPr>
      <w:bookmarkStart w:id="112" w:name="_Ref264295348"/>
      <w:bookmarkStart w:id="113" w:name="_Ref273517132"/>
      <w:bookmarkStart w:id="114" w:name="_Ref273615224"/>
      <w:bookmarkStart w:id="115" w:name="_Ref273616737"/>
      <w:bookmarkStart w:id="116" w:name="_Ref273628143"/>
      <w:bookmarkStart w:id="117" w:name="_Ref273633334"/>
      <w:bookmarkStart w:id="118" w:name="_Ref273637469"/>
      <w:bookmarkStart w:id="119" w:name="_Toc325456710"/>
      <w:bookmarkStart w:id="120" w:name="Stildefinition"/>
      <w:bookmarkEnd w:id="108"/>
      <w:r>
        <w:t>Definition</w:t>
      </w:r>
      <w:bookmarkEnd w:id="112"/>
      <w:r w:rsidR="00FA7238">
        <w:t xml:space="preserve"> von Stil</w:t>
      </w:r>
      <w:bookmarkEnd w:id="113"/>
      <w:bookmarkEnd w:id="114"/>
      <w:bookmarkEnd w:id="115"/>
      <w:bookmarkEnd w:id="116"/>
      <w:bookmarkEnd w:id="117"/>
      <w:bookmarkEnd w:id="118"/>
      <w:bookmarkEnd w:id="119"/>
    </w:p>
    <w:p w:rsidR="00C868C4" w:rsidRDefault="005D7996" w:rsidP="00A9501D">
      <w:pPr>
        <w:ind w:firstLine="0"/>
      </w:pPr>
      <w:r>
        <w:fldChar w:fldCharType="begin"/>
      </w:r>
      <w:r w:rsidR="009D0EC5">
        <w:instrText xml:space="preserve"> XE "Stil:</w:instrText>
      </w:r>
      <w:r w:rsidR="009D0EC5" w:rsidRPr="0073281C">
        <w:rPr>
          <w:i/>
        </w:rPr>
        <w:instrText>Definition</w:instrText>
      </w:r>
      <w:r w:rsidR="009D0EC5">
        <w:instrText xml:space="preserve">" \r "Stildefinition" </w:instrText>
      </w:r>
      <w:r>
        <w:fldChar w:fldCharType="end"/>
      </w:r>
      <w:r>
        <w:fldChar w:fldCharType="begin"/>
      </w:r>
      <w:r w:rsidR="004106D2">
        <w:instrText xml:space="preserve"> XE "stilistisches Zeichen" \r "Stildefinition" </w:instrText>
      </w:r>
      <w:r>
        <w:fldChar w:fldCharType="end"/>
      </w:r>
      <w:r>
        <w:fldChar w:fldCharType="begin"/>
      </w:r>
      <w:r w:rsidR="000137DF">
        <w:instrText xml:space="preserve"> XE "Zeichenträger" \r "Stildefinition" </w:instrText>
      </w:r>
      <w:r>
        <w:fldChar w:fldCharType="end"/>
      </w:r>
      <w:r>
        <w:fldChar w:fldCharType="begin"/>
      </w:r>
      <w:r w:rsidR="00A57CF3">
        <w:instrText xml:space="preserve"> XE "Zeicheninhalt" \r "Stildefinition" </w:instrText>
      </w:r>
      <w:r>
        <w:fldChar w:fldCharType="end"/>
      </w:r>
      <w:r>
        <w:fldChar w:fldCharType="begin"/>
      </w:r>
      <w:r w:rsidR="00DE5A21">
        <w:instrText xml:space="preserve"> XE "</w:instrText>
      </w:r>
      <w:r w:rsidR="00DE5A21" w:rsidRPr="002D4E66">
        <w:instrText>Stil:als Zeichenprozesstyp</w:instrText>
      </w:r>
      <w:r w:rsidR="00DE5A21">
        <w:instrText>" \r "Stildefinition"</w:instrText>
      </w:r>
      <w:r>
        <w:fldChar w:fldCharType="end"/>
      </w:r>
      <w:r w:rsidR="00D20A9E">
        <w:t>Der traditionellen Auffassung von Begriffen zufolge kann man diese definieren; oft herrscht allerdings über lange Zeit Streit darüber, wie ein Begriff zu defini</w:t>
      </w:r>
      <w:r w:rsidR="00D20A9E">
        <w:t>e</w:t>
      </w:r>
      <w:r w:rsidR="00D20A9E">
        <w:t>ren ist, und in vielen Fällen scheint eine hinreichende Definition bis heute nicht gelungen zu sein.</w:t>
      </w:r>
      <w:r w:rsidR="00D20A9E">
        <w:rPr>
          <w:rStyle w:val="Funotenzeichen"/>
        </w:rPr>
        <w:footnoteReference w:id="139"/>
      </w:r>
      <w:r w:rsidR="00D20A9E">
        <w:t xml:space="preserve"> Die hier vorgestellte Theorie fasst Stil </w:t>
      </w:r>
      <w:r w:rsidR="00260004">
        <w:t xml:space="preserve">in erster Linie </w:t>
      </w:r>
      <w:r w:rsidR="00D20A9E">
        <w:t>als ein Phänomen auf; der Begriff wird nur als eine Art Zugriffshilfe für dieses Phän</w:t>
      </w:r>
      <w:r w:rsidR="00D20A9E">
        <w:t>o</w:t>
      </w:r>
      <w:r w:rsidR="00D20A9E">
        <w:t xml:space="preserve">men </w:t>
      </w:r>
      <w:r w:rsidR="00C868C4">
        <w:t>angenommen</w:t>
      </w:r>
      <w:r w:rsidR="00D20A9E">
        <w:t>. Nach dieser Auffassung bleibt beim menschlichen Umgang mit Stil das Phänomen maßgeblich; der Begriff kann nicht das Primat beanspr</w:t>
      </w:r>
      <w:r w:rsidR="00D20A9E">
        <w:t>u</w:t>
      </w:r>
      <w:r w:rsidR="00D20A9E">
        <w:t>chen.</w:t>
      </w:r>
      <w:bookmarkStart w:id="121" w:name="_Ref273226923"/>
      <w:r w:rsidR="00D20A9E">
        <w:rPr>
          <w:rStyle w:val="Funotenzeichen"/>
        </w:rPr>
        <w:footnoteReference w:id="140"/>
      </w:r>
      <w:bookmarkEnd w:id="121"/>
    </w:p>
    <w:p w:rsidR="000354D3" w:rsidRDefault="000354D3" w:rsidP="00D20A9E">
      <w:r>
        <w:lastRenderedPageBreak/>
        <w:t>Es wird angenommen, dass 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t xml:space="preserve"> des Worts „Stil“ der Alltagsspr</w:t>
      </w:r>
      <w:r>
        <w:t>a</w:t>
      </w:r>
      <w:r>
        <w:t>che der natürlichsprachliche Begriff</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t xml:space="preserve"> ‚Stil‘ ist und dass dieser im gewöhnlichen Gebrauch auf das Phänomen Stil referiert.</w:t>
      </w:r>
      <w:r>
        <w:rPr>
          <w:rStyle w:val="Funotenzeichen"/>
        </w:rPr>
        <w:footnoteReference w:id="141"/>
      </w:r>
    </w:p>
    <w:p w:rsidR="00C868C4" w:rsidRDefault="00E91409" w:rsidP="00D20A9E">
      <w:r>
        <w:t xml:space="preserve">Es wird </w:t>
      </w:r>
      <w:r w:rsidR="00983B09">
        <w:t xml:space="preserve">daher </w:t>
      </w:r>
      <w:r>
        <w:t xml:space="preserve">im Folgenden von alltagssprachlichen Verwendungsweisen des Worts „Stil“ ausgegangen, </w:t>
      </w:r>
      <w:r w:rsidR="003A743C">
        <w:t xml:space="preserve">die mit Hilfe des Stilmodells, </w:t>
      </w:r>
      <w:r w:rsidR="0092651C">
        <w:t xml:space="preserve">dessen Grundzüge in diesem Kapitel skizziert wurden, </w:t>
      </w:r>
      <w:r w:rsidR="003A743C">
        <w:t xml:space="preserve">präzisiert werden. </w:t>
      </w:r>
      <w:r w:rsidR="000470BB">
        <w:t xml:space="preserve">Damit gelangen wir zu einer Definition, die </w:t>
      </w:r>
      <w:r w:rsidR="0026307F">
        <w:t xml:space="preserve">gleichzeitig </w:t>
      </w:r>
      <w:r w:rsidR="000470BB">
        <w:t>eine Begriffsexplikation</w:t>
      </w:r>
      <w:r w:rsidR="005D7996">
        <w:rPr>
          <w:szCs w:val="17"/>
        </w:rPr>
        <w:fldChar w:fldCharType="begin"/>
      </w:r>
      <w:r w:rsidR="001515DB">
        <w:instrText xml:space="preserve"> XE "</w:instrText>
      </w:r>
      <w:r w:rsidR="001515DB" w:rsidRPr="00A714E8">
        <w:instrText>Begriffsexplikation</w:instrText>
      </w:r>
      <w:r w:rsidR="001515DB">
        <w:instrText xml:space="preserve">" </w:instrText>
      </w:r>
      <w:r w:rsidR="005D7996">
        <w:rPr>
          <w:szCs w:val="17"/>
        </w:rPr>
        <w:fldChar w:fldCharType="end"/>
      </w:r>
      <w:r w:rsidR="000470BB">
        <w:t xml:space="preserve"> von ‚Stil‘ darstellt und mit der angestrebten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0470BB">
        <w:t xml:space="preserve"> des Phänomens Stil kompatibel ist.</w:t>
      </w:r>
      <w:r w:rsidR="000470BB">
        <w:rPr>
          <w:rStyle w:val="Funotenzeichen"/>
        </w:rPr>
        <w:footnoteReference w:id="142"/>
      </w:r>
    </w:p>
    <w:p w:rsidR="00991D97" w:rsidRDefault="00991D97" w:rsidP="00991D97">
      <w:r>
        <w:t xml:space="preserve">Zunächst sind zwei alltagssprachliche Verwendungsweisen des </w:t>
      </w:r>
      <w:r w:rsidR="000470BB">
        <w:t>Worts „Stil“</w:t>
      </w:r>
      <w:r>
        <w:t xml:space="preserve"> zu unterscheiden:</w:t>
      </w:r>
      <w:r>
        <w:rPr>
          <w:rStyle w:val="Funotenzeichen"/>
        </w:rPr>
        <w:footnoteReference w:id="143"/>
      </w:r>
      <w:r>
        <w:t xml:space="preserve"> In einem allgemeinen Sinn bezeichnet</w:t>
      </w:r>
      <w:r w:rsidR="000470BB">
        <w:t xml:space="preserve"> „</w:t>
      </w:r>
      <w:r>
        <w:t>Stil</w:t>
      </w:r>
      <w:r w:rsidR="000470BB">
        <w:t>“</w:t>
      </w:r>
      <w:r>
        <w:t xml:space="preserve"> eine</w:t>
      </w:r>
      <w:r w:rsidR="00DD36BC">
        <w:t>n</w:t>
      </w:r>
      <w:r>
        <w:t xml:space="preserve"> bestim</w:t>
      </w:r>
      <w:r>
        <w:t>m</w:t>
      </w:r>
      <w:r>
        <w:t>te</w:t>
      </w:r>
      <w:r w:rsidR="00DD36BC">
        <w:t>n</w:t>
      </w:r>
      <w:r>
        <w:t xml:space="preserve"> Zeichenprozess</w:t>
      </w:r>
      <w:r w:rsidR="00DD36BC">
        <w:t>typ</w:t>
      </w:r>
      <w:r>
        <w:t>; in einem speziellen Sinn eine bestimmte Menge von R</w:t>
      </w:r>
      <w:r>
        <w:t>e</w:t>
      </w:r>
      <w:r>
        <w:t>geln, die auf eine bestimmte Art angewandt werden kann:</w:t>
      </w:r>
    </w:p>
    <w:p w:rsidR="00991D97" w:rsidRDefault="00991D97" w:rsidP="00555152">
      <w:pPr>
        <w:pStyle w:val="Formel"/>
        <w:ind w:hanging="397"/>
        <w:jc w:val="both"/>
      </w:pPr>
      <w:r>
        <w:t>(</w:t>
      </w:r>
      <w:r w:rsidR="00661B9C">
        <w:t>a</w:t>
      </w:r>
      <w:r w:rsidR="008E3436">
        <w:t>)</w:t>
      </w:r>
      <w:r w:rsidR="008E3436">
        <w:tab/>
      </w:r>
      <w:r>
        <w:t>Stil</w:t>
      </w:r>
      <w:r w:rsidR="00661B9C">
        <w:rPr>
          <w:vertAlign w:val="subscript"/>
        </w:rPr>
        <w:t>a</w:t>
      </w:r>
      <w:r>
        <w:t xml:space="preserve">: </w:t>
      </w:r>
      <w:r w:rsidRPr="0055028A">
        <w:t xml:space="preserve">Stil als </w:t>
      </w:r>
      <w:r w:rsidR="000900DB" w:rsidRPr="0055028A">
        <w:t xml:space="preserve">Phänomen, nämlich als ein bestimmter </w:t>
      </w:r>
      <w:r w:rsidRPr="0055028A">
        <w:t>Zeichenprozess</w:t>
      </w:r>
      <w:r w:rsidR="000900DB" w:rsidRPr="0055028A">
        <w:t>typ</w:t>
      </w:r>
      <w:r w:rsidRPr="0055028A">
        <w:t>,</w:t>
      </w:r>
      <w:r>
        <w:t xml:space="preserve"> </w:t>
      </w:r>
      <w:r w:rsidR="00661B9C">
        <w:t>de</w:t>
      </w:r>
      <w:r w:rsidR="000900DB">
        <w:t>r</w:t>
      </w:r>
      <w:r w:rsidR="00661B9C">
        <w:t xml:space="preserve"> </w:t>
      </w:r>
      <w:r>
        <w:t>dadurch gekennzeichnet ist, dass stilistische Merkmale in eine Realisierung eingeschrieben oder aus ihr ausgelesen werden</w:t>
      </w:r>
      <w:r w:rsidR="00661B9C">
        <w:t>, wobei eine Interpretation ausgehend von diesen Merkmalen vorgenommen werden kann</w:t>
      </w:r>
      <w:r>
        <w:t>.</w:t>
      </w:r>
    </w:p>
    <w:p w:rsidR="00991D97" w:rsidRDefault="00991D97" w:rsidP="00A9501D">
      <w:pPr>
        <w:ind w:firstLine="0"/>
      </w:pPr>
      <w:r>
        <w:t>Diese Verwendungsweise findet sich in Sätzen wie „Stil ist ein sehr spannendes Phänomen“</w:t>
      </w:r>
      <w:r w:rsidR="00661B9C">
        <w:t xml:space="preserve"> oder</w:t>
      </w:r>
      <w:r>
        <w:t xml:space="preserve"> „Stil </w:t>
      </w:r>
      <w:r w:rsidR="0055028A">
        <w:t>wird in allen Lebensbereichen immer wichtiger</w:t>
      </w:r>
      <w:r w:rsidR="00661B9C">
        <w:t>“</w:t>
      </w:r>
      <w:r>
        <w:t>.</w:t>
      </w:r>
    </w:p>
    <w:p w:rsidR="00991D97" w:rsidRDefault="00991D97" w:rsidP="00555152">
      <w:pPr>
        <w:pStyle w:val="Formel"/>
        <w:ind w:hanging="397"/>
        <w:jc w:val="both"/>
      </w:pPr>
      <w:r>
        <w:t>(</w:t>
      </w:r>
      <w:r w:rsidR="00661B9C">
        <w:t>b</w:t>
      </w:r>
      <w:r w:rsidR="008E3436">
        <w:t>)</w:t>
      </w:r>
      <w:r w:rsidR="008E3436">
        <w:tab/>
      </w:r>
      <w:r>
        <w:t>Stil</w:t>
      </w:r>
      <w:r w:rsidRPr="0018074E">
        <w:rPr>
          <w:vertAlign w:val="subscript"/>
        </w:rPr>
        <w:t>b</w:t>
      </w:r>
      <w:r>
        <w:t xml:space="preserve">: Ein bestimmter Stil kann vortheoretisch als „eine bestimmte Art und Weise, ein bestimmtes Schema zu realisieren“ bezeichnet werden. </w:t>
      </w:r>
      <w:r w:rsidR="0055028A">
        <w:t>Es ha</w:t>
      </w:r>
      <w:r w:rsidR="0055028A">
        <w:t>n</w:t>
      </w:r>
      <w:r w:rsidR="0055028A">
        <w:lastRenderedPageBreak/>
        <w:t>delt sich um eine beschreibbare Menge von Regelmäßigkeiten der Auswahl, die bei der Ausführung eines bestimmten Schemas vorkommen können. E</w:t>
      </w:r>
      <w:r w:rsidR="0055028A">
        <w:t>i</w:t>
      </w:r>
      <w:r w:rsidR="0055028A">
        <w:t>ne Realisierung besitzt einen bestimmten Stil, wenn die entsprechenden R</w:t>
      </w:r>
      <w:r w:rsidR="0055028A">
        <w:t>e</w:t>
      </w:r>
      <w:r w:rsidR="0055028A">
        <w:t>gelmäßigkeiten der Auswahl bei ihrer Erzeugung gegeben waren. In diesem Fall führen die Regelmäßigkeiten der Auswahl zu Regelmäßigkeiten in der Realisierung, die als „stilistische Merkmale“ bezeichnet werden</w:t>
      </w:r>
      <w:r w:rsidR="00400367">
        <w:t>; diese we</w:t>
      </w:r>
      <w:r w:rsidR="00400367">
        <w:t>r</w:t>
      </w:r>
      <w:r w:rsidR="00400367">
        <w:t>den beim</w:t>
      </w:r>
      <w:r w:rsidR="00780FF6">
        <w:t xml:space="preserve"> </w:t>
      </w:r>
      <w:r w:rsidR="00400367">
        <w:t>Wahrnehmen</w:t>
      </w:r>
      <w:r w:rsidR="00780FF6">
        <w:t xml:space="preserve"> des Stils zum </w:t>
      </w:r>
      <w:r w:rsidR="0088779A">
        <w:t>Anz</w:t>
      </w:r>
      <w:r w:rsidR="00780FF6">
        <w:t>eichen</w:t>
      </w:r>
      <w:r w:rsidR="005D7996">
        <w:fldChar w:fldCharType="begin"/>
      </w:r>
      <w:r w:rsidR="000B2A4F">
        <w:instrText xml:space="preserve"> XE "</w:instrText>
      </w:r>
      <w:r w:rsidR="000B2A4F" w:rsidRPr="00512EDC">
        <w:instrText>Anzeichen</w:instrText>
      </w:r>
      <w:r w:rsidR="000B2A4F">
        <w:instrText xml:space="preserve">" </w:instrText>
      </w:r>
      <w:r w:rsidR="005D7996">
        <w:fldChar w:fldCharType="end"/>
      </w:r>
      <w:r w:rsidR="00780FF6">
        <w:t xml:space="preserve"> </w:t>
      </w:r>
      <w:r w:rsidR="0088779A">
        <w:t xml:space="preserve">(Index) </w:t>
      </w:r>
      <w:r w:rsidR="00780FF6">
        <w:t>für die Rege</w:t>
      </w:r>
      <w:r w:rsidR="00780FF6">
        <w:t>l</w:t>
      </w:r>
      <w:r w:rsidR="00780FF6">
        <w:t xml:space="preserve">mäßigkeiten der Auswahl bei der Erzeugung der Realisierung. </w:t>
      </w:r>
      <w:r w:rsidR="008473E1" w:rsidRPr="008473E1">
        <w:rPr>
          <w:i/>
        </w:rPr>
        <w:t>Ein bestim</w:t>
      </w:r>
      <w:r w:rsidR="008473E1" w:rsidRPr="008473E1">
        <w:rPr>
          <w:i/>
        </w:rPr>
        <w:t>m</w:t>
      </w:r>
      <w:r w:rsidR="008473E1" w:rsidRPr="008473E1">
        <w:rPr>
          <w:i/>
        </w:rPr>
        <w:t>ter Stil ist also der Zeicheninhalt des Zeichens, dessen Zeichenträger stilistische Merkmale sind.</w:t>
      </w:r>
      <w:r w:rsidR="008473E1">
        <w:t xml:space="preserve"> </w:t>
      </w:r>
      <w:r>
        <w:t>(Je nach Stilauffassung kann auch noch eine bestimmte I</w:t>
      </w:r>
      <w:r>
        <w:t>n</w:t>
      </w:r>
      <w:r>
        <w:t xml:space="preserve">terpretation oder ein Teil einer bestimmten Interpretation zum jeweiligen Stil gerechnet werden; vgl. hierzu Abschnitt </w:t>
      </w:r>
      <w:r w:rsidR="005D7996">
        <w:fldChar w:fldCharType="begin"/>
      </w:r>
      <w:r>
        <w:instrText xml:space="preserve"> REF _Ref261879934 \r \h </w:instrText>
      </w:r>
      <w:r w:rsidR="005D7996">
        <w:fldChar w:fldCharType="separate"/>
      </w:r>
      <w:r w:rsidR="001231D3">
        <w:t>7.3.5</w:t>
      </w:r>
      <w:r w:rsidR="005D7996">
        <w:fldChar w:fldCharType="end"/>
      </w:r>
      <w:r>
        <w:t>.)</w:t>
      </w:r>
    </w:p>
    <w:p w:rsidR="00C4004B" w:rsidRDefault="00C4004B" w:rsidP="00A9501D">
      <w:pPr>
        <w:pStyle w:val="Text"/>
        <w:ind w:firstLine="0"/>
      </w:pPr>
      <w:r>
        <w:t>Diese Verwendungsweise findet sich in Sätzen wie: „Ihren Stil würde ich jede</w:t>
      </w:r>
      <w:r>
        <w:t>r</w:t>
      </w:r>
      <w:r>
        <w:t>zeit wiedererkennen“ oder „Sein Stil verrät mehr über ihn, als er ahnt“.</w:t>
      </w:r>
    </w:p>
    <w:p w:rsidR="00C4004B" w:rsidRPr="008128DA" w:rsidRDefault="00427324" w:rsidP="00C4004B">
      <w:r>
        <w:t>D</w:t>
      </w:r>
      <w:r w:rsidR="002A6DA2">
        <w:t xml:space="preserve">ie erste Verwendungsweise </w:t>
      </w:r>
      <w:r w:rsidR="007E5DEF">
        <w:t xml:space="preserve">bezieht sich allgemein auf das </w:t>
      </w:r>
      <w:r>
        <w:t>Phänomen Stil</w:t>
      </w:r>
      <w:r w:rsidR="007E5DEF">
        <w:t>; die zweite Verwendungsweise bezeichnet einen bestimmten Stil. In beiden Ve</w:t>
      </w:r>
      <w:r w:rsidR="007E5DEF">
        <w:t>r</w:t>
      </w:r>
      <w:r w:rsidR="007E5DEF">
        <w:t>wendungsweisen ist Stil kein Zeichen</w:t>
      </w:r>
      <w:r w:rsidR="007E5DEF" w:rsidRPr="00F57B19">
        <w:t xml:space="preserve">: In der ersten Verwendungsweise </w:t>
      </w:r>
      <w:r w:rsidR="000470BB" w:rsidRPr="00F57B19">
        <w:t>bezeic</w:t>
      </w:r>
      <w:r w:rsidR="000470BB" w:rsidRPr="00F57B19">
        <w:t>h</w:t>
      </w:r>
      <w:r w:rsidR="000470BB" w:rsidRPr="00F57B19">
        <w:t xml:space="preserve">net </w:t>
      </w:r>
      <w:r w:rsidR="007E5DEF" w:rsidRPr="00F57B19">
        <w:t>„Stil“ einen bestimmten Zeichenprozesstyp, in der zweiten Verwendung</w:t>
      </w:r>
      <w:r w:rsidR="007E5DEF" w:rsidRPr="00F57B19">
        <w:t>s</w:t>
      </w:r>
      <w:r w:rsidR="007E5DEF" w:rsidRPr="00F57B19">
        <w:t>weise eine bestimmte (mit Hilfe von Regelmäßigkeiten der Auswahl beschrei</w:t>
      </w:r>
      <w:r w:rsidR="007E5DEF" w:rsidRPr="00F57B19">
        <w:t>b</w:t>
      </w:r>
      <w:r w:rsidR="007E5DEF" w:rsidRPr="00F57B19">
        <w:t xml:space="preserve">bare) Ausführungsweise eines Schemas, </w:t>
      </w:r>
      <w:r w:rsidR="007E5DEF" w:rsidRPr="008128DA">
        <w:t>die bei der Ausführung eines bestimm</w:t>
      </w:r>
      <w:r w:rsidR="00E650B0">
        <w:softHyphen/>
      </w:r>
      <w:r w:rsidR="007E5DEF" w:rsidRPr="008128DA">
        <w:t xml:space="preserve">ten Schemas </w:t>
      </w:r>
      <w:r w:rsidR="00233C31">
        <w:t>angewendet</w:t>
      </w:r>
      <w:r w:rsidR="00233C31" w:rsidRPr="008128DA">
        <w:t xml:space="preserve"> </w:t>
      </w:r>
      <w:r w:rsidR="007E5DEF" w:rsidRPr="008128DA">
        <w:t>werden kann.</w:t>
      </w:r>
    </w:p>
    <w:p w:rsidR="008473E1" w:rsidRDefault="00C4004B" w:rsidP="00C4004B">
      <w:r>
        <w:t>Bezüglich der zweiten Verwendungsweise</w:t>
      </w:r>
      <w:r w:rsidR="008473E1">
        <w:t xml:space="preserve"> könnte eingewandt werden, ein Stil beziehe auch die Merkmale an einer konkreten Realisierung mit ein. Tatsäc</w:t>
      </w:r>
      <w:r w:rsidR="008473E1">
        <w:t>h</w:t>
      </w:r>
      <w:r w:rsidR="008473E1">
        <w:t xml:space="preserve">lich ist </w:t>
      </w:r>
      <w:r w:rsidR="008128DA">
        <w:t xml:space="preserve">(dem Sprachgefühl des </w:t>
      </w:r>
      <w:r w:rsidR="0035660A">
        <w:t>Verfassers</w:t>
      </w:r>
      <w:r w:rsidR="008128DA">
        <w:t xml:space="preserve"> zufolge) </w:t>
      </w:r>
      <w:r w:rsidR="008473E1">
        <w:t>der natürlichsprachliche B</w:t>
      </w:r>
      <w:r w:rsidR="008473E1">
        <w:t>e</w:t>
      </w:r>
      <w:r w:rsidR="008473E1">
        <w:t>griff</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rsidR="008473E1">
        <w:t xml:space="preserve"> hier nicht ganz eindeutig. Die Auffassung, dass eine bestimmte Menge an Regelmäßigkeiten einer Realisierung (= stilistische Merkmale) zusammen mit den Regelmäßigkeiten der Auswahl, auf die sie verweisen, ein Stil sei, ist siche</w:t>
      </w:r>
      <w:r w:rsidR="008473E1">
        <w:t>r</w:t>
      </w:r>
      <w:r w:rsidR="008473E1">
        <w:t>lich möglich.</w:t>
      </w:r>
      <w:r w:rsidR="008473E1">
        <w:rPr>
          <w:rStyle w:val="Funotenzeichen"/>
        </w:rPr>
        <w:footnoteReference w:id="144"/>
      </w:r>
      <w:r w:rsidR="008128DA">
        <w:t xml:space="preserve"> Es gibt aber eine Reihe von Indizien, die dafür sprechen, dass nur der Inhalt dieses Zeichens – das als „stilistisches Zeichen“ bezeichnet werden soll – ein Stil ist:</w:t>
      </w:r>
    </w:p>
    <w:p w:rsidR="008128DA" w:rsidRDefault="008128DA" w:rsidP="008128DA">
      <w:r>
        <w:t>(1)</w:t>
      </w:r>
      <w:r>
        <w:tab/>
      </w:r>
      <w:r w:rsidR="00447700">
        <w:t>E</w:t>
      </w:r>
      <w:r>
        <w:t xml:space="preserve">in Stil </w:t>
      </w:r>
      <w:r w:rsidR="00447700">
        <w:t xml:space="preserve">ist etwas </w:t>
      </w:r>
      <w:r>
        <w:t xml:space="preserve">Abstraktes; man kann ihn sich auch überlegen, bevor man ihn bei der Erzeugung einer Realisierung anwendet. </w:t>
      </w:r>
      <w:r w:rsidRPr="00F57B19">
        <w:t xml:space="preserve">Es sind Stile möglich und auch beschreibbar, die bei der Erzeugung keiner Realisierung </w:t>
      </w:r>
      <w:r w:rsidR="00233C31" w:rsidRPr="00F57B19">
        <w:t xml:space="preserve">angewendet </w:t>
      </w:r>
      <w:r w:rsidRPr="00F57B19">
        <w:t>wurden, s</w:t>
      </w:r>
      <w:r w:rsidRPr="00447700">
        <w:t xml:space="preserve">o dass keine Realisierung diesen Stil besitzt. </w:t>
      </w:r>
      <w:r>
        <w:t>Dies spricht für die Au</w:t>
      </w:r>
      <w:r>
        <w:t>f</w:t>
      </w:r>
      <w:r>
        <w:t>fassung, dass ein Stil der Inhalt jenes Zeichenprozesses ist, der ausgehend von einer konkreten Realisierung stattfindet.</w:t>
      </w:r>
    </w:p>
    <w:p w:rsidR="008128DA" w:rsidRDefault="008128DA" w:rsidP="008128DA">
      <w:r>
        <w:t>(2)</w:t>
      </w:r>
      <w:r>
        <w:tab/>
        <w:t>Sätze wie „Genau denselben [nicht: einen gleichen] Stil hat auch &lt;</w:t>
      </w:r>
      <w:r w:rsidR="00FB7463">
        <w:t>P</w:t>
      </w:r>
      <w:r w:rsidR="00FB7463">
        <w:t>i</w:t>
      </w:r>
      <w:r w:rsidR="00FB7463">
        <w:t>anist</w:t>
      </w:r>
      <w:r>
        <w:t xml:space="preserve"> </w:t>
      </w:r>
      <w:r w:rsidRPr="008128DA">
        <w:rPr>
          <w:i/>
        </w:rPr>
        <w:t>x</w:t>
      </w:r>
      <w:r>
        <w:t>&gt;“</w:t>
      </w:r>
      <w:r w:rsidR="00FB7463">
        <w:t xml:space="preserve"> und</w:t>
      </w:r>
      <w:r>
        <w:t xml:space="preserve"> „Diesen Stil [nicht: einen gleichen] habe ich schon einmal ges</w:t>
      </w:r>
      <w:r>
        <w:t>e</w:t>
      </w:r>
      <w:r>
        <w:lastRenderedPageBreak/>
        <w:t>hen“</w:t>
      </w:r>
      <w:r w:rsidR="00FB7463">
        <w:t xml:space="preserve"> </w:t>
      </w:r>
      <w:r>
        <w:t>weisen darauf hin, dass ein Stil nur die abstrakte Ausführungsweise und nicht deren Anwendung bei einer Realisierung beinhaltet.</w:t>
      </w:r>
    </w:p>
    <w:p w:rsidR="008128DA" w:rsidRDefault="008128DA" w:rsidP="008128DA">
      <w:r>
        <w:t>(3)</w:t>
      </w:r>
      <w:r>
        <w:tab/>
      </w:r>
      <w:r w:rsidR="009452ED">
        <w:t xml:space="preserve">Wir scheinen zwischen einem bestimmten Stil und seiner Ausprägung an verschiedenen Realisierungen zu unterscheiden. Sagt beispielsweise jemand „Der Stil von &lt;Architekt </w:t>
      </w:r>
      <w:r w:rsidR="009452ED" w:rsidRPr="009452ED">
        <w:rPr>
          <w:i/>
        </w:rPr>
        <w:t>y</w:t>
      </w:r>
      <w:r w:rsidR="009452ED">
        <w:t>&gt; hat sich verändert; die sonst für ihn typischen fre</w:t>
      </w:r>
      <w:r w:rsidR="009452ED">
        <w:t>i</w:t>
      </w:r>
      <w:r w:rsidR="009452ED">
        <w:t xml:space="preserve">stehenden Schornsteine fehlen hier“, ist die Erwiderung denkbar: „Nein, das Baugebiet hat Fernwärme; er konnte daher keinen Schornstein bauen. Sein Stil </w:t>
      </w:r>
      <w:r w:rsidR="00C462A5">
        <w:t>hat sich nicht geändert</w:t>
      </w:r>
      <w:r w:rsidR="009452ED">
        <w:t xml:space="preserve">“. Damit ist gemeint, dass das Merkmal „freistehender Schornstein“ </w:t>
      </w:r>
      <w:r w:rsidR="00C462A5">
        <w:t>an diesem Gebäude nicht ausgeprägt werden konnte und dennoch keine Veränderung des Stils angenommen werden muss. Würde der Stil auch die Merkmalsmenge, die durch seine Anwendung an einer bestimmten Realisierung verursacht wird, beinhalten, hätte sich der Stil des Architekten zweifellos verä</w:t>
      </w:r>
      <w:r w:rsidR="00C462A5">
        <w:t>n</w:t>
      </w:r>
      <w:r w:rsidR="00C462A5">
        <w:t>dert. –</w:t>
      </w:r>
    </w:p>
    <w:p w:rsidR="00FA7238" w:rsidRDefault="00FA7238" w:rsidP="008128DA">
      <w:r>
        <w:t>Zunächst definieren wir „stilistisches Zeichen“:</w:t>
      </w:r>
    </w:p>
    <w:p w:rsidR="00FA7238" w:rsidRDefault="00FA7238" w:rsidP="008628B0">
      <w:pPr>
        <w:pStyle w:val="Definition"/>
      </w:pPr>
      <w:r w:rsidRPr="00CC6E60">
        <w:t xml:space="preserve">Def. </w:t>
      </w:r>
      <w:r w:rsidRPr="00510D47">
        <w:rPr>
          <w:b/>
        </w:rPr>
        <w:tab/>
      </w:r>
      <w:r w:rsidR="005D7996">
        <w:fldChar w:fldCharType="begin"/>
      </w:r>
      <w:r w:rsidR="004106D2">
        <w:instrText xml:space="preserve"> XE "stilistisches Zeichen</w:instrText>
      </w:r>
      <w:r w:rsidR="003A094D">
        <w:instrText>:</w:instrText>
      </w:r>
      <w:r w:rsidR="003A094D" w:rsidRPr="0073281C">
        <w:rPr>
          <w:i/>
        </w:rPr>
        <w:instrText>Definition</w:instrText>
      </w:r>
      <w:r w:rsidR="004106D2">
        <w:instrText xml:space="preserve">" </w:instrText>
      </w:r>
      <w:r w:rsidR="005D7996">
        <w:fldChar w:fldCharType="end"/>
      </w:r>
      <w:r w:rsidRPr="004C6F42">
        <w:rPr>
          <w:b/>
        </w:rPr>
        <w:t>Sti</w:t>
      </w:r>
      <w:r w:rsidR="00AD437B">
        <w:rPr>
          <w:b/>
        </w:rPr>
        <w:t>listisches Zeichen</w:t>
      </w:r>
      <w:r w:rsidRPr="00361A0F">
        <w:t>:</w:t>
      </w:r>
      <w:r>
        <w:t xml:space="preserve"> </w:t>
      </w:r>
      <w:r w:rsidR="00915CD3">
        <w:t>„</w:t>
      </w:r>
      <w:r w:rsidR="00014186">
        <w:t>S</w:t>
      </w:r>
      <w:r w:rsidR="00915CD3">
        <w:t>tilistisches Zeichen“</w:t>
      </w:r>
      <w:r w:rsidR="00915CD3">
        <w:rPr>
          <w:rStyle w:val="Funotenzeichen"/>
        </w:rPr>
        <w:footnoteReference w:id="145"/>
      </w:r>
      <w:r w:rsidR="00915CD3">
        <w:t xml:space="preserve"> </w:t>
      </w:r>
      <w:r w:rsidR="003D1F21">
        <w:t xml:space="preserve">soll </w:t>
      </w:r>
      <w:r w:rsidR="001B5968">
        <w:t>ein bestimmter</w:t>
      </w:r>
      <w:r>
        <w:t xml:space="preserve"> Ze</w:t>
      </w:r>
      <w:r>
        <w:t>i</w:t>
      </w:r>
      <w:r>
        <w:t>chen</w:t>
      </w:r>
      <w:r w:rsidR="001B5968">
        <w:t>typ</w:t>
      </w:r>
      <w:r>
        <w:t xml:space="preserve"> </w:t>
      </w:r>
      <w:r w:rsidR="00904CAA">
        <w:t>genannt</w:t>
      </w:r>
      <w:r w:rsidR="003D1F21">
        <w:t xml:space="preserve"> werden</w:t>
      </w:r>
      <w:r>
        <w:t>, dessen Zeicheninhalt ein</w:t>
      </w:r>
      <w:r w:rsidR="00655AF0">
        <w:t>e bestimmte Menge von Merkmalsregeln (die Regelmäßigkeiten der Auswahl bei der Erze</w:t>
      </w:r>
      <w:r w:rsidR="00655AF0">
        <w:t>u</w:t>
      </w:r>
      <w:r w:rsidR="00655AF0">
        <w:t>gung der Realisierung modellieren)</w:t>
      </w:r>
      <w:r>
        <w:t xml:space="preserve"> und dessen </w:t>
      </w:r>
      <w:r w:rsidR="00AD437B">
        <w:t>Zeichenträger</w:t>
      </w:r>
      <w:r w:rsidR="006B7DEC">
        <w:t xml:space="preserve"> eine Me</w:t>
      </w:r>
      <w:r w:rsidR="006B7DEC">
        <w:t>n</w:t>
      </w:r>
      <w:r w:rsidR="006B7DEC">
        <w:t>ge von stilistischen Merkmalen an einer (oder mehreren) Realisierungen ist</w:t>
      </w:r>
      <w:r w:rsidR="00241277">
        <w:t>: Die Merkmale werden zum Anzeichen</w:t>
      </w:r>
      <w:r w:rsidR="005D7996">
        <w:fldChar w:fldCharType="begin"/>
      </w:r>
      <w:r w:rsidR="000B2A4F">
        <w:instrText xml:space="preserve"> XE "</w:instrText>
      </w:r>
      <w:r w:rsidR="000B2A4F" w:rsidRPr="00512EDC">
        <w:instrText>Anzeichen</w:instrText>
      </w:r>
      <w:r w:rsidR="000B2A4F">
        <w:instrText xml:space="preserve">" </w:instrText>
      </w:r>
      <w:r w:rsidR="005D7996">
        <w:fldChar w:fldCharType="end"/>
      </w:r>
      <w:r w:rsidR="00241277">
        <w:t xml:space="preserve"> (Index) für die </w:t>
      </w:r>
      <w:r w:rsidR="0095043E">
        <w:t>Merkmalsr</w:t>
      </w:r>
      <w:r w:rsidR="0095043E">
        <w:t>e</w:t>
      </w:r>
      <w:r w:rsidR="00655AF0">
        <w:t>geln</w:t>
      </w:r>
      <w:r w:rsidR="00241277">
        <w:t xml:space="preserve">, die sie erzeugt haben. </w:t>
      </w:r>
      <w:r w:rsidR="00AD437B">
        <w:t>Der Prozess der Erzeugung eines stilist</w:t>
      </w:r>
      <w:r w:rsidR="00AD437B">
        <w:t>i</w:t>
      </w:r>
      <w:r w:rsidR="00AD437B">
        <w:t xml:space="preserve">schen Zeichens wird „Einschreiben </w:t>
      </w:r>
      <w:r w:rsidR="008254AB">
        <w:t>der Merkmalsregeln</w:t>
      </w:r>
      <w:r w:rsidR="00AD437B">
        <w:t>“</w:t>
      </w:r>
      <w:r w:rsidR="00271EC4">
        <w:t xml:space="preserve"> genannt</w:t>
      </w:r>
      <w:r w:rsidR="00AD437B">
        <w:t>, der Prozess de</w:t>
      </w:r>
      <w:r w:rsidR="00F43637">
        <w:t>s</w:t>
      </w:r>
      <w:r w:rsidR="00AD437B">
        <w:t xml:space="preserve"> Empfangs eines stilistischen Zeichens wird „Auslesen </w:t>
      </w:r>
      <w:r w:rsidR="008254AB">
        <w:t>der Merkmalsregeln</w:t>
      </w:r>
      <w:r w:rsidR="00AD437B">
        <w:t xml:space="preserve">“ genannt (vgl. Abschnitt </w:t>
      </w:r>
      <w:r w:rsidR="005D7996">
        <w:fldChar w:fldCharType="begin"/>
      </w:r>
      <w:r w:rsidR="00AD437B">
        <w:instrText xml:space="preserve"> REF _Ref272607625 \r \h </w:instrText>
      </w:r>
      <w:r w:rsidR="005D7996">
        <w:fldChar w:fldCharType="separate"/>
      </w:r>
      <w:r w:rsidR="001231D3">
        <w:t>2.13</w:t>
      </w:r>
      <w:r w:rsidR="005D7996">
        <w:fldChar w:fldCharType="end"/>
      </w:r>
      <w:r w:rsidR="00AD437B">
        <w:t>).</w:t>
      </w:r>
      <w:r w:rsidR="00271EC4">
        <w:t xml:space="preserve"> Die Prozesse des Ei</w:t>
      </w:r>
      <w:r w:rsidR="00271EC4">
        <w:t>n</w:t>
      </w:r>
      <w:r w:rsidR="00271EC4">
        <w:t>schreibens und Auslesens müssen nicht absichtlich erfolgen.</w:t>
      </w:r>
      <w:bookmarkStart w:id="122" w:name="_Ref273641993"/>
      <w:r w:rsidR="00271EC4">
        <w:rPr>
          <w:rStyle w:val="Funotenzeichen"/>
        </w:rPr>
        <w:footnoteReference w:id="146"/>
      </w:r>
      <w:bookmarkEnd w:id="122"/>
    </w:p>
    <w:p w:rsidR="007E5DEF" w:rsidRDefault="00C462A5" w:rsidP="0005029C">
      <w:pPr>
        <w:ind w:firstLine="0"/>
      </w:pPr>
      <w:r>
        <w:t xml:space="preserve">Unter </w:t>
      </w:r>
      <w:r w:rsidR="007E5DEF">
        <w:t>Berücksich</w:t>
      </w:r>
      <w:r>
        <w:t xml:space="preserve">tigung der beiden </w:t>
      </w:r>
      <w:r w:rsidR="006B7DEC">
        <w:t xml:space="preserve">oben </w:t>
      </w:r>
      <w:r>
        <w:t xml:space="preserve">herausgearbeiteten </w:t>
      </w:r>
      <w:r w:rsidR="006B7DEC">
        <w:t xml:space="preserve">alltagssprachlichen </w:t>
      </w:r>
      <w:r w:rsidR="007E5DEF">
        <w:t>Verwendungsweisen</w:t>
      </w:r>
      <w:r>
        <w:t xml:space="preserve"> von „Stil“ </w:t>
      </w:r>
      <w:r w:rsidR="007E5DEF">
        <w:t>ergibt sich die folgende Definition:</w:t>
      </w:r>
      <w:r w:rsidR="0035742B">
        <w:rPr>
          <w:rStyle w:val="Funotenzeichen"/>
        </w:rPr>
        <w:footnoteReference w:id="147"/>
      </w:r>
    </w:p>
    <w:p w:rsidR="00CE102F" w:rsidRDefault="00CE102F" w:rsidP="008628B0">
      <w:pPr>
        <w:pStyle w:val="Definition"/>
        <w:spacing w:after="120"/>
      </w:pPr>
      <w:r w:rsidRPr="00CC6E60">
        <w:lastRenderedPageBreak/>
        <w:t xml:space="preserve">Def. </w:t>
      </w:r>
      <w:r w:rsidRPr="00510D47">
        <w:rPr>
          <w:b/>
        </w:rPr>
        <w:tab/>
      </w:r>
      <w:r w:rsidRPr="004C6F42">
        <w:rPr>
          <w:b/>
        </w:rPr>
        <w:t>Stil</w:t>
      </w:r>
      <w:r w:rsidRPr="00361A0F">
        <w:t>:</w:t>
      </w:r>
      <w:r>
        <w:t xml:space="preserve"> „Stil“ bezeichnet </w:t>
      </w:r>
      <w:r w:rsidR="008A082F">
        <w:t>in einer allgemeinen Verwendungsweise (Stil</w:t>
      </w:r>
      <w:r w:rsidR="008A082F" w:rsidRPr="008A082F">
        <w:rPr>
          <w:vertAlign w:val="subscript"/>
        </w:rPr>
        <w:t>a</w:t>
      </w:r>
      <w:r w:rsidR="008A082F">
        <w:t xml:space="preserve">) </w:t>
      </w:r>
      <w:r w:rsidR="00F02D5B">
        <w:t>eine</w:t>
      </w:r>
      <w:r w:rsidR="00653DD3">
        <w:t>n</w:t>
      </w:r>
      <w:r w:rsidR="00F02D5B">
        <w:t xml:space="preserve"> bestimmte</w:t>
      </w:r>
      <w:r w:rsidR="00653DD3">
        <w:t>n Zeichen</w:t>
      </w:r>
      <w:r w:rsidR="007E5DEF">
        <w:t>prozesstyp</w:t>
      </w:r>
      <w:r w:rsidR="00653DD3">
        <w:t xml:space="preserve">, </w:t>
      </w:r>
      <w:r w:rsidR="007E5DEF">
        <w:t xml:space="preserve">bei dem stilistische Zeichen </w:t>
      </w:r>
      <w:r w:rsidR="006B7DEC">
        <w:t xml:space="preserve">(siehe obenstehende Definition) </w:t>
      </w:r>
      <w:r w:rsidR="009C67DF">
        <w:t xml:space="preserve">übermittelt wird. Der </w:t>
      </w:r>
      <w:r w:rsidR="00F02D5B">
        <w:t xml:space="preserve">Zeicheninhalt </w:t>
      </w:r>
      <w:r w:rsidR="009C67DF">
        <w:t>stilist</w:t>
      </w:r>
      <w:r w:rsidR="009C67DF">
        <w:t>i</w:t>
      </w:r>
      <w:r w:rsidR="009C67DF">
        <w:t xml:space="preserve">scher Zeichen besteht </w:t>
      </w:r>
      <w:r w:rsidR="00F02D5B">
        <w:t>in den Regelmäßigkeiten der Auswahl bei der E</w:t>
      </w:r>
      <w:r w:rsidR="00F02D5B">
        <w:t>r</w:t>
      </w:r>
      <w:r w:rsidR="00F02D5B">
        <w:t xml:space="preserve">zeugung </w:t>
      </w:r>
      <w:r w:rsidR="007E5DEF">
        <w:t xml:space="preserve">einer </w:t>
      </w:r>
      <w:r w:rsidR="00F02D5B">
        <w:t xml:space="preserve">Realisierung </w:t>
      </w:r>
      <w:r w:rsidR="00653DD3">
        <w:t xml:space="preserve">eines Schemas </w:t>
      </w:r>
      <w:r w:rsidR="00F02D5B">
        <w:t>(bezogen auf alle Möglichke</w:t>
      </w:r>
      <w:r w:rsidR="00F02D5B">
        <w:t>i</w:t>
      </w:r>
      <w:r w:rsidR="00F02D5B">
        <w:t>ten, die unter gegebenen Bedingungen des Schemas, des Kontexts, der Funktion und des Inhalts bestanden)</w:t>
      </w:r>
      <w:r w:rsidR="009C67DF">
        <w:t xml:space="preserve">, der </w:t>
      </w:r>
      <w:r w:rsidR="00F02D5B">
        <w:t xml:space="preserve">Zeichenträger </w:t>
      </w:r>
      <w:r w:rsidR="009C67DF">
        <w:t xml:space="preserve">besteht </w:t>
      </w:r>
      <w:r w:rsidR="00F02D5B">
        <w:t xml:space="preserve">in </w:t>
      </w:r>
      <w:r w:rsidR="00C4004B">
        <w:t>den</w:t>
      </w:r>
      <w:r w:rsidR="00F02D5B">
        <w:t xml:space="preserve"> Regelmäßigkeiten an einer Realisierung,</w:t>
      </w:r>
      <w:r w:rsidR="00653DD3">
        <w:t xml:space="preserve"> die durch diese Rege</w:t>
      </w:r>
      <w:r w:rsidR="00653DD3">
        <w:t>l</w:t>
      </w:r>
      <w:r w:rsidR="00653DD3">
        <w:t xml:space="preserve">mäßigkeiten der Auswahl entstehen. </w:t>
      </w:r>
      <w:r w:rsidR="002D0370">
        <w:t xml:space="preserve">Zusätzlich zur Übermittlung des stilistischen Zeichens </w:t>
      </w:r>
      <w:r w:rsidR="008454D2">
        <w:t>kann eine Interpretation stattfinden, bei der au</w:t>
      </w:r>
      <w:r w:rsidR="008454D2">
        <w:t>s</w:t>
      </w:r>
      <w:r w:rsidR="008454D2">
        <w:t>gehend vom Zeicheninhalt des stilistischen Zeichens</w:t>
      </w:r>
      <w:r w:rsidR="005727EA">
        <w:t xml:space="preserve"> </w:t>
      </w:r>
      <w:r w:rsidR="008E7F03">
        <w:t xml:space="preserve">weitere </w:t>
      </w:r>
      <w:r w:rsidR="008454D2">
        <w:t>Zeichen</w:t>
      </w:r>
      <w:r w:rsidR="008E7F03">
        <w:t xml:space="preserve"> e</w:t>
      </w:r>
      <w:r w:rsidR="008E7F03">
        <w:t>r</w:t>
      </w:r>
      <w:r w:rsidR="008E7F03">
        <w:t>zeugt</w:t>
      </w:r>
      <w:r w:rsidR="008454D2">
        <w:t xml:space="preserve"> </w:t>
      </w:r>
      <w:r w:rsidR="008E7F03">
        <w:t>werden</w:t>
      </w:r>
      <w:r w:rsidR="008454D2">
        <w:t>.</w:t>
      </w:r>
      <w:r w:rsidR="00653DD3">
        <w:t xml:space="preserve"> </w:t>
      </w:r>
      <w:r w:rsidR="00B252BA" w:rsidRPr="00B252BA">
        <w:rPr>
          <w:i/>
        </w:rPr>
        <w:t>Innerhalb des hier vorgestellten Stilmodells wird Stil in di</w:t>
      </w:r>
      <w:r w:rsidR="00B252BA" w:rsidRPr="00B252BA">
        <w:rPr>
          <w:i/>
        </w:rPr>
        <w:t>e</w:t>
      </w:r>
      <w:r w:rsidR="00B252BA" w:rsidRPr="00B252BA">
        <w:rPr>
          <w:i/>
        </w:rPr>
        <w:t xml:space="preserve">ser Verwendungsweise </w:t>
      </w:r>
      <w:r w:rsidR="00B252BA">
        <w:rPr>
          <w:i/>
        </w:rPr>
        <w:t>mit Hilfe des Stilmodells (Kapitel 4 bis 7)</w:t>
      </w:r>
      <w:r w:rsidR="00AF633F">
        <w:rPr>
          <w:i/>
        </w:rPr>
        <w:t xml:space="preserve"> </w:t>
      </w:r>
      <w:r w:rsidR="00B252BA">
        <w:rPr>
          <w:i/>
        </w:rPr>
        <w:t>mode</w:t>
      </w:r>
      <w:r w:rsidR="00B252BA">
        <w:rPr>
          <w:i/>
        </w:rPr>
        <w:t>l</w:t>
      </w:r>
      <w:r w:rsidR="00B252BA">
        <w:rPr>
          <w:i/>
        </w:rPr>
        <w:t>liert.</w:t>
      </w:r>
    </w:p>
    <w:p w:rsidR="00653DD3" w:rsidRPr="00653DD3" w:rsidRDefault="00653DD3" w:rsidP="008628B0">
      <w:pPr>
        <w:pStyle w:val="Definition"/>
        <w:spacing w:before="120"/>
      </w:pPr>
      <w:r w:rsidRPr="00653DD3">
        <w:tab/>
      </w:r>
      <w:r>
        <w:t xml:space="preserve">In einer spezielleren Verwendungsweise </w:t>
      </w:r>
      <w:r w:rsidR="008A082F">
        <w:t>(Stil</w:t>
      </w:r>
      <w:r w:rsidR="008A082F">
        <w:rPr>
          <w:vertAlign w:val="subscript"/>
        </w:rPr>
        <w:t>b</w:t>
      </w:r>
      <w:r w:rsidR="008A082F">
        <w:t xml:space="preserve">) </w:t>
      </w:r>
      <w:r>
        <w:t xml:space="preserve">wird </w:t>
      </w:r>
      <w:r w:rsidR="00C4004B">
        <w:t xml:space="preserve">der Zeicheninhalt des stilistischen Zeichens, also </w:t>
      </w:r>
      <w:r>
        <w:t xml:space="preserve">eine Menge von Regelmäßigkeiten der Auswahl, die bei der Erzeugung von Realisierungen eines bestimmten Schemas </w:t>
      </w:r>
      <w:r w:rsidR="00233C31">
        <w:t xml:space="preserve">auftreten können </w:t>
      </w:r>
      <w:r>
        <w:t>(wobei sie je nach gegebenen Bedingungen des Schemas, des Kontexts, der Funktion und des Inhalts unterschiedl</w:t>
      </w:r>
      <w:r>
        <w:t>i</w:t>
      </w:r>
      <w:r>
        <w:t xml:space="preserve">che stilistische Merkmale erzeugen), als </w:t>
      </w:r>
      <w:r w:rsidR="00C4004B">
        <w:t>„</w:t>
      </w:r>
      <w:r>
        <w:t>Stil“ bezeichnet.</w:t>
      </w:r>
      <w:r w:rsidR="00C4004B">
        <w:t xml:space="preserve"> Der Zeiche</w:t>
      </w:r>
      <w:r w:rsidR="00C4004B">
        <w:t>n</w:t>
      </w:r>
      <w:r w:rsidR="00C4004B">
        <w:t>inhalt eines bestimmten stilistischen Zeichens ist in dieser Verwe</w:t>
      </w:r>
      <w:r w:rsidR="00C4004B">
        <w:t>n</w:t>
      </w:r>
      <w:r w:rsidR="00C4004B">
        <w:t>dungsweise „ein (bestimmter) Stil“.</w:t>
      </w:r>
      <w:r w:rsidR="00B252BA">
        <w:t xml:space="preserve"> </w:t>
      </w:r>
      <w:r w:rsidR="002D0370">
        <w:t xml:space="preserve">Der Zeichenträger </w:t>
      </w:r>
      <w:r w:rsidR="00D3156E">
        <w:t xml:space="preserve">eines </w:t>
      </w:r>
      <w:r w:rsidR="002D0370">
        <w:t xml:space="preserve">stilistischen Zeichens </w:t>
      </w:r>
      <w:r w:rsidR="00D3156E">
        <w:t xml:space="preserve">sind die </w:t>
      </w:r>
      <w:r w:rsidR="002D0370">
        <w:t>„(stilistische</w:t>
      </w:r>
      <w:r w:rsidR="00D3156E">
        <w:t>n</w:t>
      </w:r>
      <w:r w:rsidR="002D0370">
        <w:t xml:space="preserve">) Merkmale“ </w:t>
      </w:r>
      <w:r w:rsidR="00D3156E">
        <w:t xml:space="preserve">des dazugehörigen </w:t>
      </w:r>
      <w:r w:rsidR="002D0370">
        <w:t xml:space="preserve">Stils. </w:t>
      </w:r>
      <w:r w:rsidR="00B252BA" w:rsidRPr="00B252BA">
        <w:rPr>
          <w:i/>
        </w:rPr>
        <w:t>Innerhalb des hier vorgestellten Stilmodells wird ein Stil in dieser Verwe</w:t>
      </w:r>
      <w:r w:rsidR="00B252BA" w:rsidRPr="00B252BA">
        <w:rPr>
          <w:i/>
        </w:rPr>
        <w:t>n</w:t>
      </w:r>
      <w:r w:rsidR="00B252BA" w:rsidRPr="00B252BA">
        <w:rPr>
          <w:i/>
        </w:rPr>
        <w:t>dungsweise als Menge von Merkmalsregeln B modelliert.</w:t>
      </w:r>
    </w:p>
    <w:p w:rsidR="00EB6072" w:rsidRDefault="00EB6072" w:rsidP="0005029C">
      <w:pPr>
        <w:ind w:firstLine="0"/>
      </w:pPr>
      <w:r>
        <w:t>Aus dieser Definition folgt, dass ein Stil an verschiedenen Realisierungen vo</w:t>
      </w:r>
      <w:r>
        <w:t>r</w:t>
      </w:r>
      <w:r>
        <w:t>kommen kann, an denen er jeweils durch stilistische Merkmale ausgeprägt ist, die (aufgrund von Unterschieden in Kontext, Funktion oder Inhalt) bis zu e</w:t>
      </w:r>
      <w:r>
        <w:t>i</w:t>
      </w:r>
      <w:r>
        <w:t xml:space="preserve">nem gewissen Grad voneinander abweichen können, insbesondere in der Stärke ihrer Ausprägung. </w:t>
      </w:r>
      <w:r w:rsidR="00FB7463">
        <w:t>D</w:t>
      </w:r>
      <w:r w:rsidR="003871A8">
        <w:t xml:space="preserve">er Stil einer konkreten Realisierung </w:t>
      </w:r>
      <w:r w:rsidR="00FB7463">
        <w:t xml:space="preserve">wird </w:t>
      </w:r>
      <w:r>
        <w:t xml:space="preserve">dementsprechend </w:t>
      </w:r>
      <w:r w:rsidR="00FB7463">
        <w:t>als „</w:t>
      </w:r>
      <w:r w:rsidR="003871A8">
        <w:t xml:space="preserve">Vorkommen </w:t>
      </w:r>
      <w:r w:rsidR="00543F7F">
        <w:t>des</w:t>
      </w:r>
      <w:r w:rsidR="003871A8">
        <w:t xml:space="preserve"> Stils</w:t>
      </w:r>
      <w:r w:rsidR="00543F7F">
        <w:t xml:space="preserve"> </w:t>
      </w:r>
      <w:r w:rsidR="00543F7F" w:rsidRPr="00543F7F">
        <w:rPr>
          <w:i/>
        </w:rPr>
        <w:t>x</w:t>
      </w:r>
      <w:r w:rsidR="00FB7463">
        <w:t>“</w:t>
      </w:r>
      <w:r w:rsidR="003871A8">
        <w:t xml:space="preserve"> </w:t>
      </w:r>
      <w:r w:rsidR="00FB7463">
        <w:t>bezeichnet</w:t>
      </w:r>
      <w:r w:rsidR="003871A8">
        <w:t>,</w:t>
      </w:r>
      <w:r>
        <w:t xml:space="preserve"> der Stil „findet sich an der Realisierung“ (oder „ist in ihr ausgeprägt“) und die Realisierung „hat/besitzt Stil</w:t>
      </w:r>
      <w:r w:rsidR="003871A8">
        <w:t xml:space="preserve"> </w:t>
      </w:r>
      <w:r w:rsidRPr="008E3436">
        <w:rPr>
          <w:i/>
        </w:rPr>
        <w:t>x</w:t>
      </w:r>
      <w:r w:rsidRPr="00EB6072">
        <w:t>“</w:t>
      </w:r>
      <w:r>
        <w:t>.</w:t>
      </w:r>
      <w:bookmarkEnd w:id="120"/>
    </w:p>
    <w:p w:rsidR="00D74804" w:rsidRDefault="00AB6843" w:rsidP="00D74804">
      <w:pPr>
        <w:pStyle w:val="Titel2"/>
      </w:pPr>
      <w:bookmarkStart w:id="123" w:name="_Ref273178329"/>
      <w:bookmarkStart w:id="124" w:name="_Toc325456711"/>
      <w:bookmarkStart w:id="125" w:name="Anwenden"/>
      <w:r>
        <w:t>An</w:t>
      </w:r>
      <w:r w:rsidR="006805AB">
        <w:t>wenden</w:t>
      </w:r>
      <w:r w:rsidR="00876FF5">
        <w:t xml:space="preserve"> </w:t>
      </w:r>
      <w:r w:rsidR="00DF0048">
        <w:t xml:space="preserve">und </w:t>
      </w:r>
      <w:r w:rsidR="006805AB">
        <w:t xml:space="preserve">Wahrnehmen </w:t>
      </w:r>
      <w:r w:rsidR="00D74804">
        <w:t>von Stilen</w:t>
      </w:r>
      <w:bookmarkEnd w:id="123"/>
      <w:bookmarkEnd w:id="124"/>
    </w:p>
    <w:p w:rsidR="006805AB" w:rsidRDefault="00933A10" w:rsidP="008628B0">
      <w:pPr>
        <w:pStyle w:val="Definition"/>
      </w:pPr>
      <w:r w:rsidRPr="00CC6E60">
        <w:t>Def.</w:t>
      </w:r>
      <w:r w:rsidRPr="00933A10">
        <w:rPr>
          <w:b/>
        </w:rPr>
        <w:tab/>
      </w:r>
      <w:r w:rsidR="005D7996">
        <w:fldChar w:fldCharType="begin"/>
      </w:r>
      <w:r w:rsidR="004F1CC6">
        <w:instrText xml:space="preserve"> XE "Anwenden eines Stils:</w:instrText>
      </w:r>
      <w:r w:rsidR="004F1CC6" w:rsidRPr="0073281C">
        <w:rPr>
          <w:i/>
        </w:rPr>
        <w:instrText>Definition</w:instrText>
      </w:r>
      <w:r w:rsidR="004F1CC6">
        <w:instrText xml:space="preserve">" </w:instrText>
      </w:r>
      <w:r w:rsidR="005D7996">
        <w:fldChar w:fldCharType="end"/>
      </w:r>
      <w:r w:rsidR="00AB6843">
        <w:rPr>
          <w:b/>
        </w:rPr>
        <w:t>Anw</w:t>
      </w:r>
      <w:r w:rsidRPr="00933A10">
        <w:rPr>
          <w:b/>
        </w:rPr>
        <w:t>enden eines Stils:</w:t>
      </w:r>
      <w:r>
        <w:t xml:space="preserve"> </w:t>
      </w:r>
      <w:r w:rsidR="00B12FB1">
        <w:t xml:space="preserve">Wenn jemand bei der </w:t>
      </w:r>
      <w:r w:rsidR="00876FF5">
        <w:t>Erzeugung einer Realisi</w:t>
      </w:r>
      <w:r w:rsidR="00876FF5">
        <w:t>e</w:t>
      </w:r>
      <w:r w:rsidR="00876FF5">
        <w:t xml:space="preserve">rung </w:t>
      </w:r>
      <w:r w:rsidR="00D7644D">
        <w:t>absichtlich</w:t>
      </w:r>
      <w:r w:rsidR="00B12FB1">
        <w:t xml:space="preserve"> oder </w:t>
      </w:r>
      <w:r w:rsidR="00D7644D">
        <w:t>unabsichtlich</w:t>
      </w:r>
      <w:r w:rsidR="00AB6843">
        <w:t xml:space="preserve"> einem Stil folgt</w:t>
      </w:r>
      <w:r w:rsidR="00B12FB1">
        <w:t xml:space="preserve">, dann </w:t>
      </w:r>
      <w:r w:rsidR="00D7644D">
        <w:t>soll d</w:t>
      </w:r>
      <w:r w:rsidR="00B12FB1">
        <w:t>ieser Prozess als „</w:t>
      </w:r>
      <w:r w:rsidR="00AB6843">
        <w:t>An</w:t>
      </w:r>
      <w:r w:rsidR="006805AB">
        <w:t>wenden</w:t>
      </w:r>
      <w:r w:rsidR="00876FF5">
        <w:t xml:space="preserve"> </w:t>
      </w:r>
      <w:r w:rsidR="00DF0048">
        <w:t xml:space="preserve">eines </w:t>
      </w:r>
      <w:r w:rsidR="00B12FB1">
        <w:t>Stils</w:t>
      </w:r>
      <w:r w:rsidR="00D7644D">
        <w:t>“</w:t>
      </w:r>
      <w:r w:rsidR="00DF0048">
        <w:t xml:space="preserve"> </w:t>
      </w:r>
      <w:r w:rsidR="00D7644D">
        <w:t xml:space="preserve">bei der Erzeugung einer Realisierung </w:t>
      </w:r>
      <w:r w:rsidR="00B12FB1">
        <w:t>bezeichnet werden.</w:t>
      </w:r>
      <w:r w:rsidR="00DF0048">
        <w:t xml:space="preserve"> Das </w:t>
      </w:r>
      <w:r w:rsidR="00AB6843">
        <w:t>An</w:t>
      </w:r>
      <w:r w:rsidR="00DF0048">
        <w:t xml:space="preserve">wenden eines Stils unterscheidet sich vom Einschreiben </w:t>
      </w:r>
      <w:r w:rsidR="00CF6C01">
        <w:t xml:space="preserve">der Merkmalsregeln </w:t>
      </w:r>
      <w:r w:rsidR="00DF0048">
        <w:t xml:space="preserve">dadurch, dass </w:t>
      </w:r>
      <w:r w:rsidR="006805AB">
        <w:t>eine angestrebte Inte</w:t>
      </w:r>
      <w:r w:rsidR="006805AB">
        <w:t>r</w:t>
      </w:r>
      <w:r w:rsidR="006805AB">
        <w:t xml:space="preserve">pretation berücksichtigt werden kann (indem die Merkmalsregeln so </w:t>
      </w:r>
      <w:r w:rsidR="006805AB">
        <w:lastRenderedPageBreak/>
        <w:t xml:space="preserve">verändert werden, dass diese Interpretation erzeugt wird); es können dadurch </w:t>
      </w:r>
      <w:r w:rsidR="00DF0048">
        <w:t>über die Merkmal</w:t>
      </w:r>
      <w:r w:rsidR="00876FF5">
        <w:t>s</w:t>
      </w:r>
      <w:r w:rsidR="00DF0048">
        <w:t>regeln hinausgehende Aspekte des Stils b</w:t>
      </w:r>
      <w:r w:rsidR="00DF0048">
        <w:t>e</w:t>
      </w:r>
      <w:r w:rsidR="00DF0048">
        <w:t>rücksichtigt werden</w:t>
      </w:r>
      <w:r w:rsidR="006805AB">
        <w:t>.</w:t>
      </w:r>
      <w:r w:rsidR="00A914A7">
        <w:t xml:space="preserve"> – Die Person(en), die einen Stil </w:t>
      </w:r>
      <w:r w:rsidR="00EF3C73">
        <w:t>an</w:t>
      </w:r>
      <w:r w:rsidR="00A914A7">
        <w:t>wenden, werden als „</w:t>
      </w:r>
      <w:r w:rsidR="00EF3C73">
        <w:t>Stilan</w:t>
      </w:r>
      <w:r w:rsidR="00A914A7">
        <w:t xml:space="preserve">wender“ </w:t>
      </w:r>
      <w:r w:rsidR="00C754A4">
        <w:t>(S</w:t>
      </w:r>
      <w:r w:rsidR="00817BEF">
        <w:t>A</w:t>
      </w:r>
      <w:r w:rsidR="00C754A4">
        <w:t xml:space="preserve">) </w:t>
      </w:r>
      <w:r w:rsidR="00A914A7">
        <w:t>bezeichnet.</w:t>
      </w:r>
    </w:p>
    <w:p w:rsidR="00D7644D" w:rsidRDefault="005D7996" w:rsidP="0005029C">
      <w:pPr>
        <w:pStyle w:val="Text"/>
        <w:ind w:firstLine="0"/>
      </w:pPr>
      <w:r>
        <w:fldChar w:fldCharType="begin"/>
      </w:r>
      <w:r w:rsidR="00932A14">
        <w:instrText xml:space="preserve"> XE "Anwenden eines Stils" \r "Anwenden" </w:instrText>
      </w:r>
      <w:r>
        <w:fldChar w:fldCharType="end"/>
      </w:r>
      <w:r>
        <w:fldChar w:fldCharType="begin"/>
      </w:r>
      <w:r w:rsidR="00932A14">
        <w:instrText xml:space="preserve"> XE "Anwenden eines Stils" \t "</w:instrText>
      </w:r>
      <w:r w:rsidR="00015942">
        <w:rPr>
          <w:i/>
        </w:rPr>
        <w:instrText>et passim</w:instrText>
      </w:r>
      <w:r w:rsidR="00932A14">
        <w:instrText xml:space="preserve">" </w:instrText>
      </w:r>
      <w:r>
        <w:fldChar w:fldCharType="end"/>
      </w:r>
      <w:r>
        <w:fldChar w:fldCharType="begin"/>
      </w:r>
      <w:r w:rsidR="00932A14">
        <w:instrText xml:space="preserve"> XE "Wahrnehmen eines Stils" \r "Anwenden" </w:instrText>
      </w:r>
      <w:r>
        <w:fldChar w:fldCharType="end"/>
      </w:r>
      <w:r>
        <w:fldChar w:fldCharType="begin"/>
      </w:r>
      <w:r w:rsidR="00932A14">
        <w:instrText xml:space="preserve"> XE "Wahrnehmen eines Stils" \t "</w:instrText>
      </w:r>
      <w:r w:rsidR="00015942">
        <w:rPr>
          <w:i/>
        </w:rPr>
        <w:instrText>et passim</w:instrText>
      </w:r>
      <w:r w:rsidR="00932A14">
        <w:instrText xml:space="preserve">" </w:instrText>
      </w:r>
      <w:r>
        <w:fldChar w:fldCharType="end"/>
      </w:r>
      <w:r w:rsidR="0035660A">
        <w:t xml:space="preserve">Aufgrund der Einbeziehung der Interpretation </w:t>
      </w:r>
      <w:r w:rsidR="006805AB">
        <w:t xml:space="preserve">sprechen </w:t>
      </w:r>
      <w:r w:rsidR="0035660A">
        <w:t xml:space="preserve">wir </w:t>
      </w:r>
      <w:r w:rsidR="00876FF5">
        <w:t>vom „</w:t>
      </w:r>
      <w:r w:rsidR="00EF3C73">
        <w:t>An</w:t>
      </w:r>
      <w:r w:rsidR="00876FF5">
        <w:t xml:space="preserve">wenden </w:t>
      </w:r>
      <w:r w:rsidR="0035660A">
        <w:t xml:space="preserve">des </w:t>
      </w:r>
      <w:r w:rsidR="00876FF5" w:rsidRPr="0035660A">
        <w:rPr>
          <w:i/>
        </w:rPr>
        <w:t>Stils</w:t>
      </w:r>
      <w:r w:rsidR="00876FF5">
        <w:t xml:space="preserve">“, aber vom „Einschreiben der </w:t>
      </w:r>
      <w:r w:rsidR="00876FF5" w:rsidRPr="0035660A">
        <w:rPr>
          <w:i/>
        </w:rPr>
        <w:t>Merkmalsregeln</w:t>
      </w:r>
      <w:r w:rsidR="00876FF5">
        <w:t xml:space="preserve">“ (vgl. Abschnitt </w:t>
      </w:r>
      <w:r>
        <w:fldChar w:fldCharType="begin"/>
      </w:r>
      <w:r w:rsidR="00876FF5">
        <w:instrText xml:space="preserve"> REF _Ref272607625 \r \h </w:instrText>
      </w:r>
      <w:r>
        <w:fldChar w:fldCharType="separate"/>
      </w:r>
      <w:r w:rsidR="001231D3">
        <w:t>2.13</w:t>
      </w:r>
      <w:r>
        <w:fldChar w:fldCharType="end"/>
      </w:r>
      <w:r w:rsidR="00876FF5">
        <w:t>)</w:t>
      </w:r>
      <w:r w:rsidR="00D7644D">
        <w:t xml:space="preserve">, wobei man beachten sollte, dass die Merkmalsregeln alle Information des Stils enthalten </w:t>
      </w:r>
      <w:r w:rsidR="0035660A">
        <w:t xml:space="preserve">und deshalb als kondensierte Darstellung des Stils betrachtet wird </w:t>
      </w:r>
      <w:r w:rsidR="00D7644D">
        <w:t xml:space="preserve">(vgl. Abschnitt </w:t>
      </w:r>
      <w:r>
        <w:fldChar w:fldCharType="begin"/>
      </w:r>
      <w:r w:rsidR="00D7644D">
        <w:instrText xml:space="preserve"> REF _Ref261879934 \r \h </w:instrText>
      </w:r>
      <w:r>
        <w:fldChar w:fldCharType="separate"/>
      </w:r>
      <w:r w:rsidR="001231D3">
        <w:t>7.3.5</w:t>
      </w:r>
      <w:r>
        <w:fldChar w:fldCharType="end"/>
      </w:r>
      <w:r w:rsidR="0035660A">
        <w:t>). E</w:t>
      </w:r>
      <w:r w:rsidR="00D7644D">
        <w:t xml:space="preserve">s wird </w:t>
      </w:r>
      <w:r w:rsidR="0035660A">
        <w:t xml:space="preserve">dennoch </w:t>
      </w:r>
      <w:r w:rsidR="00D7644D">
        <w:t>nicht vom „Einschreiben des Stils“ gespr</w:t>
      </w:r>
      <w:r w:rsidR="00D7644D">
        <w:t>o</w:t>
      </w:r>
      <w:r w:rsidR="00D7644D">
        <w:t xml:space="preserve">chen, weil es sich um einen rein technischen Prozess handelt, bei dem </w:t>
      </w:r>
      <w:r w:rsidR="0035660A">
        <w:t xml:space="preserve">alle </w:t>
      </w:r>
      <w:r w:rsidR="00D7644D">
        <w:t>A</w:t>
      </w:r>
      <w:r w:rsidR="00D7644D">
        <w:t>s</w:t>
      </w:r>
      <w:r w:rsidR="00D7644D">
        <w:t>pekte des Stils, die über die Merkmalsre</w:t>
      </w:r>
      <w:r w:rsidR="0035660A">
        <w:t>geln hinausgehen, keine</w:t>
      </w:r>
      <w:r w:rsidR="00D7644D">
        <w:t xml:space="preserve"> Rolle spielen.</w:t>
      </w:r>
    </w:p>
    <w:p w:rsidR="00876FF5" w:rsidRDefault="00876FF5" w:rsidP="00876FF5">
      <w:pPr>
        <w:pStyle w:val="Text"/>
      </w:pPr>
      <w:r>
        <w:t>„</w:t>
      </w:r>
      <w:r w:rsidR="00EF3C73">
        <w:t>An</w:t>
      </w:r>
      <w:r>
        <w:t xml:space="preserve">wenden </w:t>
      </w:r>
      <w:r w:rsidR="00933A10">
        <w:t xml:space="preserve">eines Stils“ </w:t>
      </w:r>
      <w:r>
        <w:t xml:space="preserve">wird </w:t>
      </w:r>
      <w:r w:rsidR="00D7644D">
        <w:t xml:space="preserve">somit </w:t>
      </w:r>
      <w:r w:rsidR="001B5968">
        <w:t xml:space="preserve">für einen übergeordneten Prozess </w:t>
      </w:r>
      <w:r w:rsidR="00EF3C73">
        <w:t>g</w:t>
      </w:r>
      <w:r w:rsidR="00EF3C73">
        <w:t>e</w:t>
      </w:r>
      <w:r w:rsidR="00EF3C73">
        <w:t>braucht</w:t>
      </w:r>
      <w:r>
        <w:t>, der eventuell die Berücksichtigung einer Interpretation sowie in jedem Fall das Einschreiben einer Menge von Merkmalsregeln in eine Realisierung b</w:t>
      </w:r>
      <w:r>
        <w:t>e</w:t>
      </w:r>
      <w:r>
        <w:t xml:space="preserve">inhaltet (vgl. </w:t>
      </w:r>
      <w:r w:rsidR="006805AB">
        <w:t xml:space="preserve">die formale Darstellung </w:t>
      </w:r>
      <w:r w:rsidR="001B5968">
        <w:t>dieses</w:t>
      </w:r>
      <w:r w:rsidR="006805AB">
        <w:t xml:space="preserve"> Prozesses in </w:t>
      </w:r>
      <w:r>
        <w:t xml:space="preserve">Abschnitt </w:t>
      </w:r>
      <w:r w:rsidR="005D7996">
        <w:fldChar w:fldCharType="begin"/>
      </w:r>
      <w:r>
        <w:instrText xml:space="preserve"> REF _Ref261443581 \r \h </w:instrText>
      </w:r>
      <w:r w:rsidR="005D7996">
        <w:fldChar w:fldCharType="separate"/>
      </w:r>
      <w:r w:rsidR="001231D3">
        <w:t>7.3.1</w:t>
      </w:r>
      <w:r w:rsidR="005D7996">
        <w:fldChar w:fldCharType="end"/>
      </w:r>
      <w:r>
        <w:t>).</w:t>
      </w:r>
      <w:r>
        <w:rPr>
          <w:rStyle w:val="Funotenzeichen"/>
        </w:rPr>
        <w:footnoteReference w:id="148"/>
      </w:r>
    </w:p>
    <w:p w:rsidR="00876FF5" w:rsidRDefault="00876FF5" w:rsidP="00876FF5">
      <w:pPr>
        <w:pStyle w:val="Text"/>
      </w:pPr>
      <w:r>
        <w:t>Das „</w:t>
      </w:r>
      <w:r w:rsidR="00EF3C73">
        <w:t>An</w:t>
      </w:r>
      <w:r>
        <w:t>wenden eines Stils“ ist vom „Anwenden einer Merkmalsregel“, e</w:t>
      </w:r>
      <w:r>
        <w:t>i</w:t>
      </w:r>
      <w:r>
        <w:t xml:space="preserve">nem wesentlich spezielleren Prozess, zu unterscheiden (vgl. Abschnitt </w:t>
      </w:r>
      <w:r w:rsidR="005D7996">
        <w:fldChar w:fldCharType="begin"/>
      </w:r>
      <w:r>
        <w:instrText xml:space="preserve"> REF _Ref212455608 \r \h </w:instrText>
      </w:r>
      <w:r w:rsidR="005D7996">
        <w:fldChar w:fldCharType="separate"/>
      </w:r>
      <w:r w:rsidR="001231D3">
        <w:t>5.4.2</w:t>
      </w:r>
      <w:r w:rsidR="005D7996">
        <w:fldChar w:fldCharType="end"/>
      </w:r>
      <w:r>
        <w:t>).</w:t>
      </w:r>
    </w:p>
    <w:p w:rsidR="006805AB" w:rsidRDefault="00933A10" w:rsidP="008628B0">
      <w:pPr>
        <w:pStyle w:val="Definition"/>
      </w:pPr>
      <w:r w:rsidRPr="00CC6E60">
        <w:t>Def.</w:t>
      </w:r>
      <w:r w:rsidRPr="00933A10">
        <w:rPr>
          <w:b/>
        </w:rPr>
        <w:tab/>
      </w:r>
      <w:r w:rsidR="005D7996">
        <w:fldChar w:fldCharType="begin"/>
      </w:r>
      <w:r w:rsidR="004F1CC6">
        <w:instrText xml:space="preserve"> XE "Wahrnehmen eines Stils:</w:instrText>
      </w:r>
      <w:r w:rsidR="004F1CC6" w:rsidRPr="0073281C">
        <w:rPr>
          <w:i/>
        </w:rPr>
        <w:instrText>Definition</w:instrText>
      </w:r>
      <w:r w:rsidR="004F1CC6">
        <w:instrText xml:space="preserve">" </w:instrText>
      </w:r>
      <w:r w:rsidR="005D7996">
        <w:fldChar w:fldCharType="end"/>
      </w:r>
      <w:r>
        <w:rPr>
          <w:b/>
        </w:rPr>
        <w:t>Wahrnehmen</w:t>
      </w:r>
      <w:r w:rsidRPr="00933A10">
        <w:rPr>
          <w:b/>
        </w:rPr>
        <w:t xml:space="preserve"> eines Stils:</w:t>
      </w:r>
      <w:r>
        <w:t xml:space="preserve"> </w:t>
      </w:r>
      <w:r w:rsidR="006805AB">
        <w:t xml:space="preserve">Wenn jemand einen Stil bei der Erzeugung einer Realisierung absichtlich oder unabsichtlich </w:t>
      </w:r>
      <w:r w:rsidR="006C7FD5">
        <w:t>zur Kenntnis nimmt</w:t>
      </w:r>
      <w:r w:rsidR="006805AB">
        <w:t>, dann soll dieser Prozess als „</w:t>
      </w:r>
      <w:r w:rsidR="006C7FD5">
        <w:t xml:space="preserve">Wahrnehmen </w:t>
      </w:r>
      <w:r w:rsidR="006805AB">
        <w:t xml:space="preserve">eines Stils“ </w:t>
      </w:r>
      <w:r>
        <w:t xml:space="preserve">an </w:t>
      </w:r>
      <w:r w:rsidR="006805AB">
        <w:t>einer Realisi</w:t>
      </w:r>
      <w:r w:rsidR="006805AB">
        <w:t>e</w:t>
      </w:r>
      <w:r w:rsidR="006805AB">
        <w:t xml:space="preserve">rung bezeichnet werden. Das </w:t>
      </w:r>
      <w:r>
        <w:t xml:space="preserve">Wahrnehmen </w:t>
      </w:r>
      <w:r w:rsidR="006805AB">
        <w:t xml:space="preserve">eines Stils unterscheidet sich vom </w:t>
      </w:r>
      <w:r>
        <w:t xml:space="preserve">Auslesen </w:t>
      </w:r>
      <w:r w:rsidR="00CF6C01">
        <w:t xml:space="preserve">der Merkmalsregeln </w:t>
      </w:r>
      <w:r w:rsidR="006805AB">
        <w:t xml:space="preserve">dadurch, dass eine Interpretation </w:t>
      </w:r>
      <w:r>
        <w:t>stattfindet</w:t>
      </w:r>
      <w:r w:rsidR="006805AB">
        <w:t xml:space="preserve">; es </w:t>
      </w:r>
      <w:r>
        <w:t xml:space="preserve">werden </w:t>
      </w:r>
      <w:r w:rsidR="006805AB">
        <w:t>dadurch über die Merkmalsregeln hinausgehende Aspekte des Stils berücksichtigt.</w:t>
      </w:r>
      <w:r w:rsidR="00A914A7">
        <w:t xml:space="preserve"> – Die Person(en), die einen Stil wah</w:t>
      </w:r>
      <w:r w:rsidR="00A914A7">
        <w:t>r</w:t>
      </w:r>
      <w:r w:rsidR="00A914A7">
        <w:t>nehme</w:t>
      </w:r>
      <w:r w:rsidR="007067FD">
        <w:t>n, werden als „Stilwahrnehmer</w:t>
      </w:r>
      <w:r w:rsidR="00A914A7">
        <w:t xml:space="preserve">“ </w:t>
      </w:r>
      <w:r w:rsidR="00C754A4">
        <w:t xml:space="preserve">(SW) </w:t>
      </w:r>
      <w:r w:rsidR="00A914A7">
        <w:t>bezeichnet.</w:t>
      </w:r>
    </w:p>
    <w:p w:rsidR="006805AB" w:rsidRDefault="0035660A" w:rsidP="0005029C">
      <w:pPr>
        <w:pStyle w:val="Text"/>
        <w:ind w:firstLine="0"/>
      </w:pPr>
      <w:r>
        <w:t xml:space="preserve">Aufgrund der Interpretation </w:t>
      </w:r>
      <w:r w:rsidR="006805AB">
        <w:t xml:space="preserve">sprechen </w:t>
      </w:r>
      <w:r>
        <w:t xml:space="preserve">wir </w:t>
      </w:r>
      <w:r w:rsidR="006805AB">
        <w:t>daher vom „</w:t>
      </w:r>
      <w:r w:rsidR="00933A10">
        <w:t xml:space="preserve">Wahrnehmen </w:t>
      </w:r>
      <w:r w:rsidR="004B0FEA">
        <w:t xml:space="preserve">des </w:t>
      </w:r>
      <w:r w:rsidR="006805AB" w:rsidRPr="004B0FEA">
        <w:rPr>
          <w:i/>
        </w:rPr>
        <w:t>Stils</w:t>
      </w:r>
      <w:r w:rsidR="006805AB">
        <w:t>“, aber vom „</w:t>
      </w:r>
      <w:r w:rsidR="00933A10">
        <w:t xml:space="preserve">Auslesen </w:t>
      </w:r>
      <w:r w:rsidR="006805AB">
        <w:t xml:space="preserve">der </w:t>
      </w:r>
      <w:r w:rsidR="006805AB" w:rsidRPr="004B0FEA">
        <w:rPr>
          <w:i/>
        </w:rPr>
        <w:t>Merkmalsregeln</w:t>
      </w:r>
      <w:r w:rsidR="006805AB">
        <w:t xml:space="preserve">“ (vgl. Abschnitt </w:t>
      </w:r>
      <w:r w:rsidR="005D7996">
        <w:fldChar w:fldCharType="begin"/>
      </w:r>
      <w:r w:rsidR="006805AB">
        <w:instrText xml:space="preserve"> REF _Ref272607625 \r \h </w:instrText>
      </w:r>
      <w:r w:rsidR="005D7996">
        <w:fldChar w:fldCharType="separate"/>
      </w:r>
      <w:r w:rsidR="001231D3">
        <w:t>2.13</w:t>
      </w:r>
      <w:r w:rsidR="005D7996">
        <w:fldChar w:fldCharType="end"/>
      </w:r>
      <w:r w:rsidR="006805AB">
        <w:t xml:space="preserve">); </w:t>
      </w:r>
      <w:r>
        <w:t xml:space="preserve">wiederum gilt, dass wir nicht </w:t>
      </w:r>
      <w:r w:rsidR="006805AB">
        <w:t>vom „</w:t>
      </w:r>
      <w:r w:rsidR="00933A10">
        <w:t>Auslesen</w:t>
      </w:r>
      <w:r w:rsidR="006805AB">
        <w:t xml:space="preserve"> des Stils“ </w:t>
      </w:r>
      <w:r>
        <w:t>sprechen</w:t>
      </w:r>
      <w:r w:rsidR="006805AB">
        <w:t xml:space="preserve">, weil es sich </w:t>
      </w:r>
      <w:r>
        <w:t xml:space="preserve">dabei </w:t>
      </w:r>
      <w:r w:rsidR="006805AB">
        <w:t xml:space="preserve">einen rein technischen Prozess handelt, bei dem </w:t>
      </w:r>
      <w:r>
        <w:t xml:space="preserve">alle </w:t>
      </w:r>
      <w:r w:rsidR="006805AB">
        <w:t>Aspekte des Stils, die über die Mer</w:t>
      </w:r>
      <w:r w:rsidR="006805AB">
        <w:t>k</w:t>
      </w:r>
      <w:r w:rsidR="006805AB">
        <w:t>malsregeln hinausgehen, keine Rolle spielen.</w:t>
      </w:r>
    </w:p>
    <w:p w:rsidR="007F77E7" w:rsidRDefault="006805AB" w:rsidP="00933A10">
      <w:pPr>
        <w:pStyle w:val="Text"/>
        <w:sectPr w:rsidR="007F77E7" w:rsidSect="00AE48E3">
          <w:type w:val="continuous"/>
          <w:pgSz w:w="8789" w:h="13325" w:code="9"/>
          <w:pgMar w:top="1134" w:right="851" w:bottom="1418" w:left="1134" w:header="567" w:footer="680" w:gutter="0"/>
          <w:cols w:space="720"/>
          <w:titlePg/>
          <w:docGrid w:linePitch="360"/>
        </w:sectPr>
      </w:pPr>
      <w:r>
        <w:t>„</w:t>
      </w:r>
      <w:r w:rsidR="00933A10">
        <w:t>Wahrnehmen eines Stils</w:t>
      </w:r>
      <w:r>
        <w:t xml:space="preserve">“ wird </w:t>
      </w:r>
      <w:r w:rsidR="001B5968">
        <w:t>somit für einen übergeordneten Prozess g</w:t>
      </w:r>
      <w:r w:rsidR="001B5968">
        <w:t>e</w:t>
      </w:r>
      <w:r w:rsidR="001B5968">
        <w:t>braucht</w:t>
      </w:r>
      <w:r>
        <w:t xml:space="preserve">, der das </w:t>
      </w:r>
      <w:r w:rsidR="006C7FD5">
        <w:t xml:space="preserve">Auslesen </w:t>
      </w:r>
      <w:r>
        <w:t xml:space="preserve">einer Menge von Merkmalsregeln </w:t>
      </w:r>
      <w:r w:rsidR="006C7FD5">
        <w:t xml:space="preserve">aus </w:t>
      </w:r>
      <w:r>
        <w:t>eine</w:t>
      </w:r>
      <w:r w:rsidR="006C7FD5">
        <w:t>r</w:t>
      </w:r>
      <w:r>
        <w:t xml:space="preserve"> Realisi</w:t>
      </w:r>
      <w:r>
        <w:t>e</w:t>
      </w:r>
      <w:r>
        <w:t xml:space="preserve">rung </w:t>
      </w:r>
      <w:r w:rsidR="006C7FD5">
        <w:t xml:space="preserve">sowie eine Interpretation ausgehend von diesen Merkmalsregeln </w:t>
      </w:r>
      <w:r>
        <w:t xml:space="preserve">beinhaltet (vgl. die formale Darstellung </w:t>
      </w:r>
      <w:r w:rsidR="001B5968">
        <w:t xml:space="preserve">dieses </w:t>
      </w:r>
      <w:r>
        <w:t>Prozesses in Abschnitt</w:t>
      </w:r>
      <w:r w:rsidR="006C7FD5">
        <w:t xml:space="preserve"> </w:t>
      </w:r>
      <w:r w:rsidR="005D7996">
        <w:fldChar w:fldCharType="begin"/>
      </w:r>
      <w:r w:rsidR="006C7FD5">
        <w:instrText xml:space="preserve"> REF _Ref261443737 \r \h </w:instrText>
      </w:r>
      <w:r w:rsidR="005D7996">
        <w:fldChar w:fldCharType="separate"/>
      </w:r>
      <w:r w:rsidR="001231D3">
        <w:t>7.3.2</w:t>
      </w:r>
      <w:r w:rsidR="005D7996">
        <w:fldChar w:fldCharType="end"/>
      </w:r>
      <w:r>
        <w:t>).</w:t>
      </w:r>
      <w:bookmarkEnd w:id="125"/>
    </w:p>
    <w:p w:rsidR="00255C44" w:rsidRPr="00E56F24" w:rsidRDefault="00255C44" w:rsidP="00255C44">
      <w:pPr>
        <w:pStyle w:val="Titel"/>
      </w:pPr>
      <w:bookmarkStart w:id="126" w:name="_Toc325456712"/>
      <w:r w:rsidRPr="004C47D0">
        <w:lastRenderedPageBreak/>
        <w:t>Ausgangspunkte</w:t>
      </w:r>
      <w:r>
        <w:t xml:space="preserve"> in der Forschung</w:t>
      </w:r>
      <w:bookmarkEnd w:id="126"/>
    </w:p>
    <w:p w:rsidR="00255C44" w:rsidRDefault="00255C44" w:rsidP="0005029C">
      <w:pPr>
        <w:pStyle w:val="Text"/>
        <w:ind w:firstLine="0"/>
      </w:pPr>
      <w:r w:rsidRPr="00EA1E0E">
        <w:t>Die Literatur zu Stil ist uferlos</w:t>
      </w:r>
      <w:r>
        <w:t>.</w:t>
      </w:r>
      <w:r w:rsidR="00F260F1">
        <w:rPr>
          <w:rStyle w:val="Funotenzeichen"/>
        </w:rPr>
        <w:footnoteReference w:id="149"/>
      </w:r>
      <w:r>
        <w:t xml:space="preserve"> </w:t>
      </w:r>
      <w:r w:rsidR="003312D3">
        <w:t>Gleichzeitig</w:t>
      </w:r>
      <w:r>
        <w:t xml:space="preserve"> gibt es kaum Werke, die eine al</w:t>
      </w:r>
      <w:r>
        <w:t>l</w:t>
      </w:r>
      <w:r>
        <w:t xml:space="preserve">gemeine Stiltheorie </w:t>
      </w:r>
      <w:r w:rsidR="00E645CF">
        <w:t xml:space="preserve">entwerfen </w:t>
      </w:r>
      <w:r>
        <w:t xml:space="preserve">oder </w:t>
      </w:r>
      <w:r w:rsidR="00E645CF">
        <w:t xml:space="preserve">auch nur </w:t>
      </w:r>
      <w:r>
        <w:t xml:space="preserve">das </w:t>
      </w:r>
      <w:r w:rsidR="00E645CF">
        <w:t xml:space="preserve">begriffliche </w:t>
      </w:r>
      <w:r>
        <w:t>Fundament für allgemeine Aussagen über Stil legen.</w:t>
      </w:r>
      <w:bookmarkStart w:id="127" w:name="_Ref274051977"/>
      <w:r w:rsidR="00E645CF">
        <w:rPr>
          <w:rStyle w:val="Funotenzeichen"/>
        </w:rPr>
        <w:footnoteReference w:id="150"/>
      </w:r>
      <w:bookmarkEnd w:id="127"/>
      <w:r>
        <w:t xml:space="preserve"> </w:t>
      </w:r>
      <w:r w:rsidR="00E645CF">
        <w:t xml:space="preserve">Zwar wurden immer wieder Stiltheorien entworfen, diese sind jedoch praktisch </w:t>
      </w:r>
      <w:r w:rsidR="001636FA">
        <w:t>immer</w:t>
      </w:r>
      <w:r w:rsidR="00E645CF">
        <w:t xml:space="preserve"> bereichsspezifisch. </w:t>
      </w:r>
      <w:r>
        <w:t xml:space="preserve">Daher </w:t>
      </w:r>
      <w:r w:rsidR="008412ED">
        <w:t>wird</w:t>
      </w:r>
      <w:r>
        <w:t xml:space="preserve"> hier darauf verzichtet, einen Überblick über die verschiedenen Forschungstrad</w:t>
      </w:r>
      <w:r>
        <w:t>i</w:t>
      </w:r>
      <w:r>
        <w:t>tionen zu geben, da dies für das Vorhaben wenig bringen würde.</w:t>
      </w:r>
      <w:r>
        <w:rPr>
          <w:rStyle w:val="Funotenzeichen"/>
        </w:rPr>
        <w:footnoteReference w:id="151"/>
      </w:r>
    </w:p>
    <w:p w:rsidR="00255C44" w:rsidRDefault="00255C44" w:rsidP="00255C44">
      <w:pPr>
        <w:pStyle w:val="Text"/>
      </w:pPr>
      <w:r>
        <w:t xml:space="preserve">Vielversprechender </w:t>
      </w:r>
      <w:r w:rsidR="002464FC">
        <w:t>ist</w:t>
      </w:r>
      <w:r>
        <w:t xml:space="preserve"> eine systematische Auswertung, für die allerdings b</w:t>
      </w:r>
      <w:r>
        <w:t>e</w:t>
      </w:r>
      <w:r>
        <w:t xml:space="preserve">reits einige Grundzüge des angestrebten Modells bekannt sein </w:t>
      </w:r>
      <w:r w:rsidR="003312D3">
        <w:t>mussten</w:t>
      </w:r>
      <w:r>
        <w:t>, um die relevanten Punkte in den Blick nehmen zu können. Daher wurde die Annäh</w:t>
      </w:r>
      <w:r>
        <w:t>e</w:t>
      </w:r>
      <w:r>
        <w:t>rung an das Stilmodell vorgezogen (</w:t>
      </w:r>
      <w:r w:rsidR="00CE2D53">
        <w:t>vgl. Kapitel</w:t>
      </w:r>
      <w:r w:rsidR="00D216F0">
        <w:t xml:space="preserve"> 2</w:t>
      </w:r>
      <w:r>
        <w:t xml:space="preserve">). </w:t>
      </w:r>
      <w:r w:rsidR="00D216F0">
        <w:t xml:space="preserve">Im Folgenden beschränken wir uns auf einige Aspekte der Forschungsliteratur, die für </w:t>
      </w:r>
      <w:r>
        <w:t xml:space="preserve">das in Kapitel 4 bis 7 vorgestellte Stilmodell relevant </w:t>
      </w:r>
      <w:r w:rsidR="00D216F0">
        <w:t>erscheinen</w:t>
      </w:r>
      <w:r>
        <w:t>.</w:t>
      </w:r>
      <w:r w:rsidR="00E645CF">
        <w:t xml:space="preserve"> Dabei wird auf die Darstellung bish</w:t>
      </w:r>
      <w:r w:rsidR="00E645CF">
        <w:t>e</w:t>
      </w:r>
      <w:r w:rsidR="00E645CF">
        <w:t>riger Ansätze weitgehend verzichtet, es werden meist nur einzelne Aspekte so</w:t>
      </w:r>
      <w:r w:rsidR="00E645CF">
        <w:t>l</w:t>
      </w:r>
      <w:r w:rsidR="00E645CF">
        <w:lastRenderedPageBreak/>
        <w:t>cher Ansätze herausgegriffen, die auf das Vorhaben dieser Arbeit bezogen we</w:t>
      </w:r>
      <w:r w:rsidR="00E645CF">
        <w:t>r</w:t>
      </w:r>
      <w:r w:rsidR="00E645CF">
        <w:t>den.</w:t>
      </w:r>
    </w:p>
    <w:p w:rsidR="00255C44" w:rsidRDefault="00DF174F" w:rsidP="00255C44">
      <w:pPr>
        <w:pStyle w:val="Titel2"/>
      </w:pPr>
      <w:bookmarkStart w:id="128" w:name="_Ref267684998"/>
      <w:bookmarkStart w:id="129" w:name="_Toc325456713"/>
      <w:bookmarkStart w:id="130" w:name="Stil_als_Auswahl2"/>
      <w:r>
        <w:t>Stil als Auswahl</w:t>
      </w:r>
      <w:bookmarkEnd w:id="128"/>
      <w:bookmarkEnd w:id="129"/>
    </w:p>
    <w:p w:rsidR="00DF174F" w:rsidRDefault="005D7996" w:rsidP="007A5D9E">
      <w:pPr>
        <w:ind w:firstLine="0"/>
        <w:rPr>
          <w:rFonts w:eastAsia="Times New Roman" w:cs="Times New Roman"/>
        </w:rPr>
      </w:pPr>
      <w:r>
        <w:fldChar w:fldCharType="begin"/>
      </w:r>
      <w:r w:rsidR="00C1485B">
        <w:instrText xml:space="preserve"> XE "</w:instrText>
      </w:r>
      <w:r w:rsidR="00C1485B" w:rsidRPr="006256A5">
        <w:instrText>Stil:als Auswahl</w:instrText>
      </w:r>
      <w:r w:rsidR="00C1485B">
        <w:instrText xml:space="preserve">" \r "Stil_als_Auswahl2" </w:instrText>
      </w:r>
      <w:r>
        <w:fldChar w:fldCharType="end"/>
      </w:r>
      <w:r w:rsidR="0092414A">
        <w:rPr>
          <w:rFonts w:eastAsia="Times New Roman" w:cs="Times New Roman"/>
        </w:rPr>
        <w:t>Stil ist von vielen Theoretikern über Auswahl definiert worden.</w:t>
      </w:r>
      <w:r w:rsidR="0092414A">
        <w:rPr>
          <w:rStyle w:val="Funotenzeichen"/>
          <w:rFonts w:eastAsia="Times New Roman" w:cs="Times New Roman"/>
        </w:rPr>
        <w:footnoteReference w:id="152"/>
      </w:r>
      <w:r w:rsidR="0092414A">
        <w:rPr>
          <w:rFonts w:eastAsia="Times New Roman" w:cs="Times New Roman"/>
        </w:rPr>
        <w:t xml:space="preserve"> </w:t>
      </w:r>
      <w:r w:rsidR="00DF174F">
        <w:rPr>
          <w:rFonts w:eastAsia="Times New Roman" w:cs="Times New Roman"/>
        </w:rPr>
        <w:t>Einer der en</w:t>
      </w:r>
      <w:r w:rsidR="00DF174F">
        <w:rPr>
          <w:rFonts w:eastAsia="Times New Roman" w:cs="Times New Roman"/>
        </w:rPr>
        <w:t>t</w:t>
      </w:r>
      <w:r w:rsidR="00DF174F">
        <w:rPr>
          <w:rFonts w:eastAsia="Times New Roman" w:cs="Times New Roman"/>
        </w:rPr>
        <w:t>schiedensten Ver</w:t>
      </w:r>
      <w:r w:rsidR="00FB6876">
        <w:rPr>
          <w:rFonts w:eastAsia="Times New Roman" w:cs="Times New Roman"/>
        </w:rPr>
        <w:t>fechter</w:t>
      </w:r>
      <w:r w:rsidR="001B5968">
        <w:rPr>
          <w:rFonts w:eastAsia="Times New Roman" w:cs="Times New Roman"/>
        </w:rPr>
        <w:t xml:space="preserve"> dieser Auffassung </w:t>
      </w:r>
      <w:r w:rsidR="00DF174F">
        <w:rPr>
          <w:rFonts w:eastAsia="Times New Roman" w:cs="Times New Roman"/>
        </w:rPr>
        <w:t>ist Bernd Spillner. Er definiert:</w:t>
      </w:r>
      <w:r w:rsidR="00DF174F">
        <w:rPr>
          <w:rStyle w:val="Funotenzeichen"/>
          <w:rFonts w:eastAsia="Times New Roman" w:cs="Times New Roman"/>
        </w:rPr>
        <w:footnoteReference w:id="153"/>
      </w:r>
    </w:p>
    <w:p w:rsidR="00DF174F" w:rsidRDefault="00DF174F" w:rsidP="005A5093">
      <w:pPr>
        <w:pStyle w:val="Zitat"/>
      </w:pPr>
      <w:r>
        <w:t xml:space="preserve">Stil wird daher aufgefasst als </w:t>
      </w:r>
      <w:r w:rsidRPr="009A4B77">
        <w:t>das Resultat der Auswahl des Autors aus den ko</w:t>
      </w:r>
      <w:r w:rsidRPr="009A4B77">
        <w:t>n</w:t>
      </w:r>
      <w:r w:rsidRPr="009A4B77">
        <w:t>kurrierenden Möglichkeiten des Sprachsystems</w:t>
      </w:r>
      <w:r w:rsidR="005D7996">
        <w:fldChar w:fldCharType="begin"/>
      </w:r>
      <w:r w:rsidR="000623C8">
        <w:instrText xml:space="preserve"> XE "</w:instrText>
      </w:r>
      <w:r w:rsidR="000623C8" w:rsidRPr="000E2D76">
        <w:rPr>
          <w:rFonts w:eastAsia="Times New Roman" w:cs="Times New Roman"/>
        </w:rPr>
        <w:instrText>Sprachsystem</w:instrText>
      </w:r>
      <w:r w:rsidR="000623C8">
        <w:instrText xml:space="preserve">" </w:instrText>
      </w:r>
      <w:r w:rsidR="005D7996">
        <w:fldChar w:fldCharType="end"/>
      </w:r>
      <w:r w:rsidRPr="009A4B77">
        <w:t xml:space="preserve"> und der Rekonstituierung durch den textrezipierenden Leser</w:t>
      </w:r>
      <w:r>
        <w:t xml:space="preserve"> […]. Somit ergeben sich Stileffekte erst durch das Wechselspiel zwischen den im Text kodierten Folgen der durch den Autor getroffenen Auswahl und der Reaktion durch den Leser. Stil ist daher keine statische, ein für allemal unveränderlich festgelegt</w:t>
      </w:r>
      <w:r w:rsidR="00B343C2">
        <w:t>e</w:t>
      </w:r>
      <w:r>
        <w:t xml:space="preserve"> Erscheinung an Te</w:t>
      </w:r>
      <w:r>
        <w:t>x</w:t>
      </w:r>
      <w:r>
        <w:t>ten, sondern eine virtuelle Qualität, die im Kommunikationsprozeß (d.</w:t>
      </w:r>
      <w:r w:rsidR="00AA0E71">
        <w:t> </w:t>
      </w:r>
      <w:r>
        <w:t>h. bei der Textrezeption) rekonstruiert werden muß.</w:t>
      </w:r>
    </w:p>
    <w:p w:rsidR="00DF174F" w:rsidRDefault="00DF174F" w:rsidP="007A5D9E">
      <w:pPr>
        <w:ind w:firstLine="0"/>
        <w:rPr>
          <w:rFonts w:eastAsia="Times New Roman" w:cs="Times New Roman"/>
        </w:rPr>
      </w:pPr>
      <w:r>
        <w:rPr>
          <w:rFonts w:eastAsia="Times New Roman" w:cs="Times New Roman"/>
        </w:rPr>
        <w:t>Hier wird Stil über Auswahl definiert und zudem als semiotisches Phänomen beschrieben (auch wenn man nicht von „Kommunikation</w:t>
      </w:r>
      <w:r w:rsidR="005D7996">
        <w:rPr>
          <w:rFonts w:eastAsia="Times New Roman" w:cs="Times New Roman"/>
        </w:rPr>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rPr>
          <w:rFonts w:eastAsia="Times New Roman" w:cs="Times New Roman"/>
        </w:rPr>
        <w:fldChar w:fldCharType="end"/>
      </w:r>
      <w:r>
        <w:rPr>
          <w:rFonts w:eastAsia="Times New Roman" w:cs="Times New Roman"/>
        </w:rPr>
        <w:t xml:space="preserve">“ sprechen sollte, da Stil unbeabsichtigt </w:t>
      </w:r>
      <w:r w:rsidR="009F2F8A">
        <w:rPr>
          <w:rFonts w:eastAsia="Times New Roman" w:cs="Times New Roman"/>
        </w:rPr>
        <w:t xml:space="preserve">angewendet </w:t>
      </w:r>
      <w:r>
        <w:rPr>
          <w:rFonts w:eastAsia="Times New Roman" w:cs="Times New Roman"/>
        </w:rPr>
        <w:t>werden kann; für Kommunikation gelten zudem über die bewusste Beteiligung von Sender und Empfänger hinaus weitere Bedi</w:t>
      </w:r>
      <w:r>
        <w:rPr>
          <w:rFonts w:eastAsia="Times New Roman" w:cs="Times New Roman"/>
        </w:rPr>
        <w:t>n</w:t>
      </w:r>
      <w:r>
        <w:rPr>
          <w:rFonts w:eastAsia="Times New Roman" w:cs="Times New Roman"/>
        </w:rPr>
        <w:t>gungen).</w:t>
      </w:r>
      <w:r>
        <w:rPr>
          <w:rStyle w:val="Funotenzeichen"/>
          <w:rFonts w:eastAsia="Times New Roman" w:cs="Times New Roman"/>
        </w:rPr>
        <w:footnoteReference w:id="154"/>
      </w:r>
      <w:r>
        <w:rPr>
          <w:rFonts w:eastAsia="Times New Roman" w:cs="Times New Roman"/>
        </w:rPr>
        <w:t xml:space="preserve"> Spillner betont zudem, dass die Autoren- und Rezipientenseite sep</w:t>
      </w:r>
      <w:r>
        <w:rPr>
          <w:rFonts w:eastAsia="Times New Roman" w:cs="Times New Roman"/>
        </w:rPr>
        <w:t>a</w:t>
      </w:r>
      <w:r>
        <w:rPr>
          <w:rFonts w:eastAsia="Times New Roman" w:cs="Times New Roman"/>
        </w:rPr>
        <w:t>rat untersucht werden müssen:</w:t>
      </w:r>
      <w:r>
        <w:rPr>
          <w:rStyle w:val="Funotenzeichen"/>
          <w:rFonts w:eastAsia="Times New Roman" w:cs="Times New Roman"/>
        </w:rPr>
        <w:footnoteReference w:id="155"/>
      </w:r>
    </w:p>
    <w:p w:rsidR="00DF174F" w:rsidRDefault="00DF174F" w:rsidP="005A5093">
      <w:pPr>
        <w:pStyle w:val="ZitatAbsto"/>
      </w:pPr>
      <w:r>
        <w:t>Für die Autorenseite bedeutet dies, systematisch oder auch nur exemplarisch diejenigen sprachlichen Alternativen zu ermitteln, die dem Autor – be</w:t>
      </w:r>
      <w:r w:rsidR="00FA6D49">
        <w:t>i nahezu gleichem semantischem</w:t>
      </w:r>
      <w:r>
        <w:t xml:space="preserve"> Informationsgehalt – zur Verfügung standen. […]</w:t>
      </w:r>
    </w:p>
    <w:p w:rsidR="00DF174F" w:rsidRDefault="00DF174F" w:rsidP="005A5093">
      <w:pPr>
        <w:pStyle w:val="ZitatMitte"/>
      </w:pPr>
      <w:r>
        <w:t>Eine Stilanalyse der Leserseite kann sich auf einen intendierten oder einen tatsächlichen Leser beziehen. […]</w:t>
      </w:r>
    </w:p>
    <w:p w:rsidR="00DF174F" w:rsidRDefault="00DF174F" w:rsidP="005A5093">
      <w:pPr>
        <w:pStyle w:val="ZitatAbstu"/>
      </w:pPr>
      <w:r>
        <w:t>Wenn der kommunikative Ansatz in der Stilanalyse ernst genommen we</w:t>
      </w:r>
      <w:r>
        <w:t>r</w:t>
      </w:r>
      <w:r>
        <w:t xml:space="preserve">den soll, muß </w:t>
      </w:r>
      <w:r w:rsidR="00940E7A">
        <w:t>d</w:t>
      </w:r>
      <w:r>
        <w:t>ie Leserdimension mit einbezogen werden. Daraus ergibt sich aber auch, daß der S</w:t>
      </w:r>
      <w:r w:rsidR="00940E7A">
        <w:t>til eines Textes je nach Leserg</w:t>
      </w:r>
      <w:r>
        <w:t>r</w:t>
      </w:r>
      <w:r w:rsidR="00940E7A">
        <w:t>u</w:t>
      </w:r>
      <w:r>
        <w:t>ppe prinzipiell unterschie</w:t>
      </w:r>
      <w:r>
        <w:t>d</w:t>
      </w:r>
      <w:r>
        <w:t>lich sein kann.</w:t>
      </w:r>
    </w:p>
    <w:p w:rsidR="00DF174F" w:rsidRDefault="00DF174F" w:rsidP="00B33A67">
      <w:pPr>
        <w:ind w:firstLine="0"/>
        <w:rPr>
          <w:rFonts w:eastAsia="Times New Roman" w:cs="Times New Roman"/>
        </w:rPr>
      </w:pPr>
      <w:r>
        <w:rPr>
          <w:rFonts w:eastAsia="Times New Roman" w:cs="Times New Roman"/>
        </w:rPr>
        <w:lastRenderedPageBreak/>
        <w:t xml:space="preserve">Hier wird die Notwendigkeit der Bildung von </w:t>
      </w:r>
      <w:r w:rsidR="00ED5BE9">
        <w:rPr>
          <w:rFonts w:eastAsia="Times New Roman" w:cs="Times New Roman"/>
        </w:rPr>
        <w:t>Alter</w:t>
      </w:r>
      <w:r w:rsidR="00ED5BE9">
        <w:rPr>
          <w:rFonts w:eastAsia="Times New Roman" w:cs="Times New Roman"/>
        </w:rPr>
        <w:softHyphen/>
        <w:t>nativen</w:t>
      </w:r>
      <w:r w:rsidR="00ED5BE9">
        <w:rPr>
          <w:rFonts w:eastAsia="Times New Roman" w:cs="Times New Roman"/>
        </w:rPr>
        <w:softHyphen/>
        <w:t>klasse</w:t>
      </w:r>
      <w:r>
        <w:rPr>
          <w:rFonts w:eastAsia="Times New Roman" w:cs="Times New Roman"/>
        </w:rPr>
        <w:t>n angedeutet (wobei als Alternativenbedingung die Inhaltsgleichheit vorgeschlagen wird, was sich nicht durchhalten lässt; vgl. Abschnitt</w:t>
      </w:r>
      <w:r w:rsidR="00FC5493">
        <w:rPr>
          <w:rFonts w:eastAsia="Times New Roman" w:cs="Times New Roman"/>
        </w:rPr>
        <w:t xml:space="preserve"> </w:t>
      </w:r>
      <w:r w:rsidR="005D7996">
        <w:rPr>
          <w:rFonts w:eastAsia="Times New Roman" w:cs="Times New Roman"/>
        </w:rPr>
        <w:fldChar w:fldCharType="begin"/>
      </w:r>
      <w:r w:rsidR="00FC5493">
        <w:rPr>
          <w:rFonts w:eastAsia="Times New Roman" w:cs="Times New Roman"/>
        </w:rPr>
        <w:instrText xml:space="preserve"> REF _Ref324923796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2.5</w:t>
      </w:r>
      <w:r w:rsidR="005D7996">
        <w:rPr>
          <w:rFonts w:eastAsia="Times New Roman" w:cs="Times New Roman"/>
        </w:rPr>
        <w:fldChar w:fldCharType="end"/>
      </w:r>
      <w:r>
        <w:rPr>
          <w:rFonts w:eastAsia="Times New Roman" w:cs="Times New Roman"/>
        </w:rPr>
        <w:t xml:space="preserve">). Richtig erkannt wird auch, dass mögliche </w:t>
      </w:r>
      <w:bookmarkStart w:id="131" w:name="_Ref272944652"/>
      <w:r w:rsidR="00FA6D49">
        <w:rPr>
          <w:rFonts w:eastAsia="Times New Roman" w:cs="Times New Roman"/>
        </w:rPr>
        <w:t>Interpretationsergebnisse</w:t>
      </w:r>
      <w:bookmarkEnd w:id="131"/>
      <w:r>
        <w:rPr>
          <w:rFonts w:eastAsia="Times New Roman" w:cs="Times New Roman"/>
        </w:rPr>
        <w:t xml:space="preserve"> auf den </w:t>
      </w:r>
      <w:r w:rsidR="00C75387">
        <w:rPr>
          <w:rFonts w:eastAsia="Times New Roman" w:cs="Times New Roman"/>
        </w:rPr>
        <w:t>Stilwahrnehmer</w:t>
      </w:r>
      <w:r>
        <w:rPr>
          <w:rFonts w:eastAsia="Times New Roman" w:cs="Times New Roman"/>
        </w:rPr>
        <w:t xml:space="preserve"> durch den </w:t>
      </w:r>
      <w:r w:rsidR="00C75387">
        <w:rPr>
          <w:rFonts w:eastAsia="Times New Roman" w:cs="Times New Roman"/>
        </w:rPr>
        <w:t>Stila</w:t>
      </w:r>
      <w:r w:rsidR="00C75387">
        <w:rPr>
          <w:rFonts w:eastAsia="Times New Roman" w:cs="Times New Roman"/>
        </w:rPr>
        <w:t>n</w:t>
      </w:r>
      <w:r w:rsidR="00C75387">
        <w:rPr>
          <w:rFonts w:eastAsia="Times New Roman" w:cs="Times New Roman"/>
        </w:rPr>
        <w:t>wender</w:t>
      </w:r>
      <w:r>
        <w:rPr>
          <w:rFonts w:eastAsia="Times New Roman" w:cs="Times New Roman"/>
        </w:rPr>
        <w:t xml:space="preserve"> bereits vorweggenommen und für die Bildung des Stils berücksichtigt werden können (vgl. </w:t>
      </w:r>
      <w:r w:rsidR="005D7996">
        <w:rPr>
          <w:rFonts w:eastAsia="Times New Roman" w:cs="Times New Roman"/>
        </w:rPr>
        <w:fldChar w:fldCharType="begin"/>
      </w:r>
      <w:r>
        <w:rPr>
          <w:rFonts w:eastAsia="Times New Roman" w:cs="Times New Roman"/>
        </w:rPr>
        <w:instrText xml:space="preserve"> REF _Ref261443581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7.3.1</w:t>
      </w:r>
      <w:r w:rsidR="005D7996">
        <w:rPr>
          <w:rFonts w:eastAsia="Times New Roman" w:cs="Times New Roman"/>
        </w:rPr>
        <w:fldChar w:fldCharType="end"/>
      </w:r>
      <w:r>
        <w:rPr>
          <w:rFonts w:eastAsia="Times New Roman" w:cs="Times New Roman"/>
        </w:rPr>
        <w:t xml:space="preserve">) und dass </w:t>
      </w:r>
      <w:r w:rsidR="00400B1A">
        <w:rPr>
          <w:rFonts w:eastAsia="Times New Roman" w:cs="Times New Roman"/>
        </w:rPr>
        <w:t xml:space="preserve">der wahrgenommene </w:t>
      </w:r>
      <w:r>
        <w:rPr>
          <w:rFonts w:eastAsia="Times New Roman" w:cs="Times New Roman"/>
        </w:rPr>
        <w:t>Stil von Leser zu L</w:t>
      </w:r>
      <w:r>
        <w:rPr>
          <w:rFonts w:eastAsia="Times New Roman" w:cs="Times New Roman"/>
        </w:rPr>
        <w:t>e</w:t>
      </w:r>
      <w:r>
        <w:rPr>
          <w:rFonts w:eastAsia="Times New Roman" w:cs="Times New Roman"/>
        </w:rPr>
        <w:t>ser variiert (vgl.</w:t>
      </w:r>
      <w:r w:rsidR="005D6366">
        <w:rPr>
          <w:rFonts w:eastAsia="Times New Roman" w:cs="Times New Roman"/>
        </w:rPr>
        <w:t xml:space="preserve"> </w:t>
      </w:r>
      <w:r w:rsidR="005D7996">
        <w:rPr>
          <w:rFonts w:eastAsia="Times New Roman" w:cs="Times New Roman"/>
        </w:rPr>
        <w:fldChar w:fldCharType="begin"/>
      </w:r>
      <w:r w:rsidR="005D6366">
        <w:rPr>
          <w:rFonts w:eastAsia="Times New Roman" w:cs="Times New Roman"/>
        </w:rPr>
        <w:instrText xml:space="preserve"> REF _Ref273617215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7.3.6</w:t>
      </w:r>
      <w:r w:rsidR="005D7996">
        <w:rPr>
          <w:rFonts w:eastAsia="Times New Roman" w:cs="Times New Roman"/>
        </w:rPr>
        <w:fldChar w:fldCharType="end"/>
      </w:r>
      <w:r>
        <w:rPr>
          <w:rFonts w:eastAsia="Times New Roman" w:cs="Times New Roman"/>
        </w:rPr>
        <w:t>).</w:t>
      </w:r>
    </w:p>
    <w:p w:rsidR="00DF174F" w:rsidRDefault="00DF174F" w:rsidP="005A5093">
      <w:pPr>
        <w:rPr>
          <w:rFonts w:eastAsia="Times New Roman" w:cs="Times New Roman"/>
        </w:rPr>
      </w:pPr>
      <w:r>
        <w:rPr>
          <w:rFonts w:eastAsia="Times New Roman" w:cs="Times New Roman"/>
        </w:rPr>
        <w:t>Spillner stellt die stilistische Auswahl in den Kontext anderer Auswahlvo</w:t>
      </w:r>
      <w:r>
        <w:rPr>
          <w:rFonts w:eastAsia="Times New Roman" w:cs="Times New Roman"/>
        </w:rPr>
        <w:t>r</w:t>
      </w:r>
      <w:r>
        <w:rPr>
          <w:rFonts w:eastAsia="Times New Roman" w:cs="Times New Roman"/>
        </w:rPr>
        <w:t xml:space="preserve">gänge. Er unterscheidet zwischen Wahl der Kommunikationsintention, Wahl des Redegegenstandes, Wahl des sprachlichen </w:t>
      </w:r>
      <w:r w:rsidR="00A60A28">
        <w:rPr>
          <w:rFonts w:eastAsia="Times New Roman" w:cs="Times New Roman"/>
        </w:rPr>
        <w:t>K</w:t>
      </w:r>
      <w:r>
        <w:rPr>
          <w:rFonts w:eastAsia="Times New Roman" w:cs="Times New Roman"/>
        </w:rPr>
        <w:t>odes, grammatischer Wahl und stili</w:t>
      </w:r>
      <w:r>
        <w:rPr>
          <w:rFonts w:eastAsia="Times New Roman" w:cs="Times New Roman"/>
        </w:rPr>
        <w:t>s</w:t>
      </w:r>
      <w:r>
        <w:rPr>
          <w:rFonts w:eastAsia="Times New Roman" w:cs="Times New Roman"/>
        </w:rPr>
        <w:t>tischer Wahl.</w:t>
      </w:r>
      <w:r>
        <w:rPr>
          <w:rStyle w:val="Funotenzeichen"/>
          <w:rFonts w:eastAsia="Times New Roman" w:cs="Times New Roman"/>
        </w:rPr>
        <w:footnoteReference w:id="156"/>
      </w:r>
      <w:r>
        <w:rPr>
          <w:rFonts w:eastAsia="Times New Roman" w:cs="Times New Roman"/>
        </w:rPr>
        <w:t xml:space="preserve"> Diese Einteilung ermöglicht es Spillner, die Begrenztheit stilist</w:t>
      </w:r>
      <w:r>
        <w:rPr>
          <w:rFonts w:eastAsia="Times New Roman" w:cs="Times New Roman"/>
        </w:rPr>
        <w:t>i</w:t>
      </w:r>
      <w:r>
        <w:rPr>
          <w:rFonts w:eastAsia="Times New Roman" w:cs="Times New Roman"/>
        </w:rPr>
        <w:t>scher Wahl durch andere Wahlvorgänge darzustellen, was jede auf Auswahl b</w:t>
      </w:r>
      <w:r>
        <w:rPr>
          <w:rFonts w:eastAsia="Times New Roman" w:cs="Times New Roman"/>
        </w:rPr>
        <w:t>a</w:t>
      </w:r>
      <w:r>
        <w:rPr>
          <w:rFonts w:eastAsia="Times New Roman" w:cs="Times New Roman"/>
        </w:rPr>
        <w:t>sierende Stiltheorie leisten muss.</w:t>
      </w:r>
      <w:r>
        <w:rPr>
          <w:rStyle w:val="Funotenzeichen"/>
          <w:rFonts w:eastAsia="Times New Roman" w:cs="Times New Roman"/>
        </w:rPr>
        <w:footnoteReference w:id="157"/>
      </w:r>
    </w:p>
    <w:p w:rsidR="00DF174F" w:rsidRDefault="00DF174F" w:rsidP="005A5093">
      <w:pPr>
        <w:rPr>
          <w:rFonts w:eastAsia="Times New Roman" w:cs="Times New Roman"/>
        </w:rPr>
      </w:pPr>
      <w:r>
        <w:rPr>
          <w:rFonts w:eastAsia="Times New Roman" w:cs="Times New Roman"/>
        </w:rPr>
        <w:t>Gerhard Tschauder kritisiert Spillners Forderung der Inhaltsgleichheit:</w:t>
      </w:r>
      <w:r w:rsidR="00AF13BC">
        <w:rPr>
          <w:rStyle w:val="Funotenzeichen"/>
          <w:rFonts w:eastAsia="Times New Roman" w:cs="Times New Roman"/>
        </w:rPr>
        <w:footnoteReference w:id="158"/>
      </w:r>
    </w:p>
    <w:p w:rsidR="00DF174F" w:rsidRDefault="00DF174F" w:rsidP="005A5093">
      <w:pPr>
        <w:pStyle w:val="Zitat"/>
      </w:pPr>
      <w:r>
        <w:t xml:space="preserve">Eine solche Stilauffassung, welche unter Stilkonstitution eine letzte Selektion zwischen sprachlichen Varianten versteht, die undifferenziert übrig bleiben, nachdem der Rezipient eine referenzbezogene und eine </w:t>
      </w:r>
      <w:r w:rsidR="000925B3">
        <w:rPr>
          <w:rStyle w:val="Zeilennummer"/>
        </w:rPr>
        <w:t xml:space="preserve">grammatische </w:t>
      </w:r>
      <w:r>
        <w:t>Wahl b</w:t>
      </w:r>
      <w:r>
        <w:t>e</w:t>
      </w:r>
      <w:r>
        <w:t>reits vollzogen hat, kann […] nicht akzeptiert werden, stehen doch alle drei Möglichkeiten […] in einem Relationsgefüge, dessen Relata sich gegenseitig bedingen.</w:t>
      </w:r>
    </w:p>
    <w:p w:rsidR="00DF174F" w:rsidRDefault="00DF174F" w:rsidP="00B33A67">
      <w:pPr>
        <w:ind w:firstLine="0"/>
        <w:rPr>
          <w:rFonts w:eastAsia="Times New Roman" w:cs="Times New Roman"/>
        </w:rPr>
      </w:pPr>
      <w:r>
        <w:rPr>
          <w:rFonts w:eastAsia="Times New Roman" w:cs="Times New Roman"/>
        </w:rPr>
        <w:t>Die verschiedenen Faktoren bedingen sich gegenseitig; wird zuerst inhaltlich ausgewählt, grenzt dies die stilistischen Wahlmöglichkeiten ein, und umg</w:t>
      </w:r>
      <w:r>
        <w:rPr>
          <w:rFonts w:eastAsia="Times New Roman" w:cs="Times New Roman"/>
        </w:rPr>
        <w:t>e</w:t>
      </w:r>
      <w:r>
        <w:rPr>
          <w:rFonts w:eastAsia="Times New Roman" w:cs="Times New Roman"/>
        </w:rPr>
        <w:t>kehrt.</w:t>
      </w:r>
      <w:r>
        <w:rPr>
          <w:rStyle w:val="Funotenzeichen"/>
          <w:rFonts w:eastAsia="Times New Roman" w:cs="Times New Roman"/>
        </w:rPr>
        <w:footnoteReference w:id="159"/>
      </w:r>
      <w:r>
        <w:rPr>
          <w:rFonts w:eastAsia="Times New Roman" w:cs="Times New Roman"/>
        </w:rPr>
        <w:t xml:space="preserve"> Im hier vorgestellten Modell wird dem durch die Annahme von inhaltl</w:t>
      </w:r>
      <w:r>
        <w:rPr>
          <w:rFonts w:eastAsia="Times New Roman" w:cs="Times New Roman"/>
        </w:rPr>
        <w:t>i</w:t>
      </w:r>
      <w:r>
        <w:rPr>
          <w:rFonts w:eastAsia="Times New Roman" w:cs="Times New Roman"/>
        </w:rPr>
        <w:t xml:space="preserve">chen Bedingungen Rechnung getragen, die bei der Bildung von </w:t>
      </w:r>
      <w:r w:rsidR="00ED5BE9">
        <w:rPr>
          <w:rFonts w:eastAsia="Times New Roman" w:cs="Times New Roman"/>
        </w:rPr>
        <w:t>Alter</w:t>
      </w:r>
      <w:r w:rsidR="00ED5BE9">
        <w:rPr>
          <w:rFonts w:eastAsia="Times New Roman" w:cs="Times New Roman"/>
        </w:rPr>
        <w:softHyphen/>
        <w:t>nativen</w:t>
      </w:r>
      <w:r w:rsidR="00ED5BE9">
        <w:rPr>
          <w:rFonts w:eastAsia="Times New Roman" w:cs="Times New Roman"/>
        </w:rPr>
        <w:softHyphen/>
        <w:t>klasse</w:t>
      </w:r>
      <w:r>
        <w:rPr>
          <w:rFonts w:eastAsia="Times New Roman" w:cs="Times New Roman"/>
        </w:rPr>
        <w:t>n gelten können; wurde die inhaltliche Auswahl vor der stilistischen g</w:t>
      </w:r>
      <w:r>
        <w:rPr>
          <w:rFonts w:eastAsia="Times New Roman" w:cs="Times New Roman"/>
        </w:rPr>
        <w:t>e</w:t>
      </w:r>
      <w:r>
        <w:rPr>
          <w:rFonts w:eastAsia="Times New Roman" w:cs="Times New Roman"/>
        </w:rPr>
        <w:t>troffen, wird die Festlegung durch inhaltliche Bedingungen</w:t>
      </w:r>
      <w:r w:rsidR="005D7996">
        <w:rPr>
          <w:rFonts w:eastAsia="Times New Roman" w:cs="Times New Roman"/>
        </w:rPr>
        <w:fldChar w:fldCharType="begin"/>
      </w:r>
      <w:r w:rsidR="00D92A29">
        <w:instrText xml:space="preserve"> XE "</w:instrText>
      </w:r>
      <w:r w:rsidR="00D92A29" w:rsidRPr="007605F5">
        <w:instrText>inhaltliche Bedingungen</w:instrText>
      </w:r>
      <w:r w:rsidR="00D92A29">
        <w:instrText xml:space="preserve">" </w:instrText>
      </w:r>
      <w:r w:rsidR="005D7996">
        <w:rPr>
          <w:rFonts w:eastAsia="Times New Roman" w:cs="Times New Roman"/>
        </w:rPr>
        <w:fldChar w:fldCharType="end"/>
      </w:r>
      <w:r>
        <w:rPr>
          <w:rFonts w:eastAsia="Times New Roman" w:cs="Times New Roman"/>
        </w:rPr>
        <w:t xml:space="preserve"> ausgedrückt. Aber auch nach der stilistischen Wahl verbleiben noch Wahlmöglichkeiten, die nach inhaltlichen (oder nach anderen) Gesichtspunkten getroffen werden können.</w:t>
      </w:r>
    </w:p>
    <w:p w:rsidR="00255C44" w:rsidRDefault="00DF174F" w:rsidP="005A5093">
      <w:pPr>
        <w:pStyle w:val="Text"/>
      </w:pPr>
      <w:r>
        <w:rPr>
          <w:rFonts w:eastAsia="Times New Roman" w:cs="Times New Roman"/>
        </w:rPr>
        <w:t>Auf dieselbe Weise werden Kontextrestriktionen und funktionale Anford</w:t>
      </w:r>
      <w:r>
        <w:rPr>
          <w:rFonts w:eastAsia="Times New Roman" w:cs="Times New Roman"/>
        </w:rPr>
        <w:t>e</w:t>
      </w:r>
      <w:r>
        <w:rPr>
          <w:rFonts w:eastAsia="Times New Roman" w:cs="Times New Roman"/>
        </w:rPr>
        <w:t>rungen durch Kontextbedingungen</w:t>
      </w:r>
      <w:r w:rsidR="005D7996">
        <w:rPr>
          <w:rFonts w:eastAsia="Times New Roman" w:cs="Times New Roman"/>
        </w:rPr>
        <w:fldChar w:fldCharType="begin"/>
      </w:r>
      <w:r w:rsidR="00D92A29">
        <w:instrText xml:space="preserve"> XE "</w:instrText>
      </w:r>
      <w:r w:rsidR="00D92A29" w:rsidRPr="00280AB6">
        <w:instrText>Kontextbedingungen</w:instrText>
      </w:r>
      <w:r w:rsidR="00D92A29">
        <w:instrText xml:space="preserve">" </w:instrText>
      </w:r>
      <w:r w:rsidR="005D7996">
        <w:rPr>
          <w:rFonts w:eastAsia="Times New Roman" w:cs="Times New Roman"/>
        </w:rPr>
        <w:fldChar w:fldCharType="end"/>
      </w:r>
      <w:r>
        <w:rPr>
          <w:rFonts w:eastAsia="Times New Roman" w:cs="Times New Roman"/>
        </w:rPr>
        <w:t xml:space="preserve"> und funktionale Bedingungen</w:t>
      </w:r>
      <w:r w:rsidR="005D7996">
        <w:rPr>
          <w:rFonts w:eastAsia="Times New Roman" w:cs="Times New Roman"/>
        </w:rPr>
        <w:fldChar w:fldCharType="begin"/>
      </w:r>
      <w:r w:rsidR="00D92A29">
        <w:instrText xml:space="preserve"> XE "</w:instrText>
      </w:r>
      <w:r w:rsidR="00D92A29" w:rsidRPr="00DB4D56">
        <w:instrText>funktionale Bedingungen</w:instrText>
      </w:r>
      <w:r w:rsidR="00D92A29">
        <w:instrText xml:space="preserve">" </w:instrText>
      </w:r>
      <w:r w:rsidR="005D7996">
        <w:rPr>
          <w:rFonts w:eastAsia="Times New Roman" w:cs="Times New Roman"/>
        </w:rPr>
        <w:fldChar w:fldCharType="end"/>
      </w:r>
      <w:r>
        <w:rPr>
          <w:rFonts w:eastAsia="Times New Roman" w:cs="Times New Roman"/>
        </w:rPr>
        <w:t xml:space="preserve"> dargestellt. Die stilistische Auswahl muss sich an ihnen orientieren; ist sie vollzogen, kö</w:t>
      </w:r>
      <w:r>
        <w:rPr>
          <w:rFonts w:eastAsia="Times New Roman" w:cs="Times New Roman"/>
        </w:rPr>
        <w:t>n</w:t>
      </w:r>
      <w:r>
        <w:rPr>
          <w:rFonts w:eastAsia="Times New Roman" w:cs="Times New Roman"/>
        </w:rPr>
        <w:lastRenderedPageBreak/>
        <w:t>nen wiederum Wahlmöglichkeiten verbleiben, die nun nach Kontext und Fun</w:t>
      </w:r>
      <w:r>
        <w:rPr>
          <w:rFonts w:eastAsia="Times New Roman" w:cs="Times New Roman"/>
        </w:rPr>
        <w:t>k</w:t>
      </w:r>
      <w:r>
        <w:rPr>
          <w:rFonts w:eastAsia="Times New Roman" w:cs="Times New Roman"/>
        </w:rPr>
        <w:t>tion (oder nach anderen Gesichtspunkten) getroffen werden können.</w:t>
      </w:r>
      <w:r>
        <w:rPr>
          <w:rStyle w:val="Funotenzeichen"/>
          <w:rFonts w:eastAsia="Times New Roman" w:cs="Times New Roman"/>
        </w:rPr>
        <w:footnoteReference w:id="160"/>
      </w:r>
    </w:p>
    <w:p w:rsidR="00255C44" w:rsidRDefault="00255C44" w:rsidP="005A5093">
      <w:pPr>
        <w:pStyle w:val="Text"/>
      </w:pPr>
      <w:r>
        <w:t xml:space="preserve">Auch der </w:t>
      </w:r>
      <w:r w:rsidR="006034D2">
        <w:t>Kunsthistoriker</w:t>
      </w:r>
      <w:r>
        <w:t xml:space="preserve"> Paul Frankl</w:t>
      </w:r>
      <w:r w:rsidR="005D7996">
        <w:fldChar w:fldCharType="begin"/>
      </w:r>
      <w:r w:rsidR="000E216C">
        <w:instrText xml:space="preserve"> XE "</w:instrText>
      </w:r>
      <w:r w:rsidR="000E216C" w:rsidRPr="00DB1FCA">
        <w:instrText>Frankl, Paul</w:instrText>
      </w:r>
      <w:r w:rsidR="000E216C">
        <w:instrText xml:space="preserve">" </w:instrText>
      </w:r>
      <w:r w:rsidR="005D7996">
        <w:fldChar w:fldCharType="end"/>
      </w:r>
      <w:r>
        <w:t xml:space="preserve"> </w:t>
      </w:r>
      <w:r w:rsidR="006034D2">
        <w:t>erkennt</w:t>
      </w:r>
      <w:r>
        <w:t xml:space="preserve"> die Rolle der Unter</w:t>
      </w:r>
      <w:r w:rsidR="0059760B">
        <w:t>spezifik</w:t>
      </w:r>
      <w:r w:rsidR="0059760B">
        <w:t>a</w:t>
      </w:r>
      <w:r w:rsidR="0059760B">
        <w:t>tion</w:t>
      </w:r>
      <w:r>
        <w:t xml:space="preserve"> durch den Zweck der hergestellten Gegenstände </w:t>
      </w:r>
      <w:r>
        <w:rPr>
          <w:rFonts w:cs="Times New Roman"/>
        </w:rPr>
        <w:t>–</w:t>
      </w:r>
      <w:r>
        <w:t xml:space="preserve"> dieser lasse Raum für ästhetische Entscheidungen. Frankl betont dabei auch, dass es diese grundsätzl</w:t>
      </w:r>
      <w:r>
        <w:t>i</w:t>
      </w:r>
      <w:r>
        <w:t>che Freiheit (und damit den Stil) bei allen Artefakten (= allem von Menschen Erzeugtem) gibt:</w:t>
      </w:r>
      <w:r>
        <w:rPr>
          <w:rStyle w:val="Funotenzeichen"/>
        </w:rPr>
        <w:footnoteReference w:id="161"/>
      </w:r>
    </w:p>
    <w:p w:rsidR="00255C44" w:rsidRDefault="00255C44" w:rsidP="005A5093">
      <w:pPr>
        <w:pStyle w:val="Zitat"/>
      </w:pPr>
      <w:r>
        <w:t>Seit den frühesten Zeiten der Vorgeschichte sind die Formen menschlicher Werke vor allem durch ihren Zweck bestimmt. Der geistige Entwurf geht stets allen Versuchen seiner Verwirklichung voraus. Aber die Zwecke können nie die Formen eindeutig ergeben. Auch wenn der Widerstand der Materialien, ök</w:t>
      </w:r>
      <w:r>
        <w:t>o</w:t>
      </w:r>
      <w:r>
        <w:t>nomische Einschränkungen, die jeweiligen Grade der Geschicklichkeit des A</w:t>
      </w:r>
      <w:r>
        <w:t>r</w:t>
      </w:r>
      <w:r>
        <w:t>beitenden hinzukommen, um die Form näher zu bestimmen, bleibt ein freier Rest für die genaue, zu wählende Größe und Gestalt, die Glättungsgrade, die Farbe und manches andere. Man konnte stets die Tilgung des freien Restes d</w:t>
      </w:r>
      <w:r>
        <w:t>a</w:t>
      </w:r>
      <w:r>
        <w:t>durch erreichen, daß man sich mit e</w:t>
      </w:r>
      <w:r w:rsidR="006712F1">
        <w:t>i</w:t>
      </w:r>
      <w:r>
        <w:t>nem genügend brauchbaren Zustand des Handkeils, der Lanzenspitze, der Schale, und aller anderen Gebrauchsgege</w:t>
      </w:r>
      <w:r>
        <w:t>n</w:t>
      </w:r>
      <w:r>
        <w:t>stände begnügte, (oder aber man trachtete, den freien Rest der Form durch ä</w:t>
      </w:r>
      <w:r>
        <w:t>s</w:t>
      </w:r>
      <w:r>
        <w:t>thetische Überlegunge</w:t>
      </w:r>
      <w:r w:rsidR="00F95258">
        <w:t>n einzuengen). Aber schon in seh</w:t>
      </w:r>
      <w:r>
        <w:t xml:space="preserve">r frühen Produkten der Vorzeit zeigt sich die Tendenz nach Regelmäßigkeit, Symmetrie, Glättung. Je </w:t>
      </w:r>
      <w:r w:rsidRPr="00E813CA">
        <w:rPr>
          <w:rStyle w:val="Zeilennummer"/>
        </w:rPr>
        <w:t>weiter</w:t>
      </w:r>
      <w:r w:rsidR="00F95258">
        <w:rPr>
          <w:rStyle w:val="Zeilennummer"/>
        </w:rPr>
        <w:t xml:space="preserve"> </w:t>
      </w:r>
      <w:r w:rsidRPr="00E813CA">
        <w:rPr>
          <w:rStyle w:val="Zeilennummer"/>
        </w:rPr>
        <w:t>die</w:t>
      </w:r>
      <w:r>
        <w:t xml:space="preserve"> Entwicklung sich fortsetzte, umso entschiedener und unerläßlicher wur</w:t>
      </w:r>
      <w:r w:rsidR="00F95258">
        <w:t>d</w:t>
      </w:r>
      <w:r>
        <w:t>e neben dem Zweck, sowie der Forderung nach Haltbarkeit und Wir</w:t>
      </w:r>
      <w:r>
        <w:t>t</w:t>
      </w:r>
      <w:r>
        <w:t>schaftlichkeit dieser Faktor des Ästhetischen. Im weiteren Verlaufe bezog er s</w:t>
      </w:r>
      <w:r w:rsidR="00F95258">
        <w:t>ich nicht nur auf Werke körperl</w:t>
      </w:r>
      <w:r>
        <w:t>icher Art, sondern auf gedankliche Schöpfu</w:t>
      </w:r>
      <w:r>
        <w:t>n</w:t>
      </w:r>
      <w:r>
        <w:t>gen des Mythos, der Poesie im weitesten Sinn, auf Kulttänze, kurz auf alles, was Menschen schufen.</w:t>
      </w:r>
    </w:p>
    <w:p w:rsidR="00255C44" w:rsidRDefault="00255C44" w:rsidP="00B33A67">
      <w:pPr>
        <w:pStyle w:val="Text"/>
        <w:ind w:firstLine="0"/>
      </w:pPr>
      <w:r>
        <w:t>Frankl betont auch, dass der freie Rest (die Variation) eine vorherige Festlegung voraussetzt: Er spricht ausgehend vom Zweck der menschlichen Werke (= Art</w:t>
      </w:r>
      <w:r>
        <w:t>e</w:t>
      </w:r>
      <w:r>
        <w:t xml:space="preserve">fakte) vom </w:t>
      </w:r>
      <w:r>
        <w:rPr>
          <w:rFonts w:cs="Times New Roman"/>
        </w:rPr>
        <w:t>„</w:t>
      </w:r>
      <w:r>
        <w:t>geistige[</w:t>
      </w:r>
      <w:r w:rsidR="000A2C05">
        <w:t>n</w:t>
      </w:r>
      <w:r>
        <w:t>] Entwurf</w:t>
      </w:r>
      <w:r>
        <w:rPr>
          <w:rFonts w:cs="Times New Roman"/>
        </w:rPr>
        <w:t>“</w:t>
      </w:r>
      <w:r>
        <w:t xml:space="preserve">, </w:t>
      </w:r>
      <w:r w:rsidR="000A2C05">
        <w:t xml:space="preserve">aus dem sich noch nicht </w:t>
      </w:r>
      <w:r>
        <w:t xml:space="preserve">die </w:t>
      </w:r>
      <w:r>
        <w:rPr>
          <w:rFonts w:cs="Times New Roman"/>
        </w:rPr>
        <w:t>„</w:t>
      </w:r>
      <w:r>
        <w:t>Formen einde</w:t>
      </w:r>
      <w:r>
        <w:t>u</w:t>
      </w:r>
      <w:r>
        <w:t>tig</w:t>
      </w:r>
      <w:r>
        <w:rPr>
          <w:rFonts w:cs="Times New Roman"/>
        </w:rPr>
        <w:t xml:space="preserve"> ergebe</w:t>
      </w:r>
      <w:r w:rsidR="000A2C05">
        <w:rPr>
          <w:rFonts w:cs="Times New Roman"/>
        </w:rPr>
        <w:t>n</w:t>
      </w:r>
      <w:r>
        <w:rPr>
          <w:rFonts w:cs="Times New Roman"/>
        </w:rPr>
        <w:t>“. Sicherlich war er sich darüber im Klaren, dass dieser Entwurf zu einem mehr oder minder großen Teil auf bereits vorhandenem gesellschaftlichem Wissen und Konventionen bezüglich Funktion, Herstellungsweise und Gesta</w:t>
      </w:r>
      <w:r>
        <w:rPr>
          <w:rFonts w:cs="Times New Roman"/>
        </w:rPr>
        <w:t>l</w:t>
      </w:r>
      <w:r>
        <w:rPr>
          <w:rFonts w:cs="Times New Roman"/>
        </w:rPr>
        <w:t xml:space="preserve">tungsmöglichkeiten der Artefakte basiert. Diesen Teil werden wir später als „Schema“ definieren (vgl. Abschnitt </w:t>
      </w:r>
      <w:r w:rsidR="005D7996">
        <w:rPr>
          <w:rFonts w:cs="Times New Roman"/>
        </w:rPr>
        <w:fldChar w:fldCharType="begin"/>
      </w:r>
      <w:r>
        <w:rPr>
          <w:rFonts w:cs="Times New Roman"/>
        </w:rPr>
        <w:instrText xml:space="preserve"> REF _Ref212082822 \r \h </w:instrText>
      </w:r>
      <w:r w:rsidR="005D7996">
        <w:rPr>
          <w:rFonts w:cs="Times New Roman"/>
        </w:rPr>
      </w:r>
      <w:r w:rsidR="005D7996">
        <w:rPr>
          <w:rFonts w:cs="Times New Roman"/>
        </w:rPr>
        <w:fldChar w:fldCharType="separate"/>
      </w:r>
      <w:r w:rsidR="001231D3">
        <w:rPr>
          <w:rFonts w:cs="Times New Roman"/>
        </w:rPr>
        <w:t>4.2.2</w:t>
      </w:r>
      <w:r w:rsidR="005D7996">
        <w:rPr>
          <w:rFonts w:cs="Times New Roman"/>
        </w:rPr>
        <w:fldChar w:fldCharType="end"/>
      </w:r>
      <w:r>
        <w:rPr>
          <w:rFonts w:cs="Times New Roman"/>
        </w:rPr>
        <w:t>). Hinzu kommt der Einfluss des j</w:t>
      </w:r>
      <w:r>
        <w:rPr>
          <w:rFonts w:cs="Times New Roman"/>
        </w:rPr>
        <w:t>e</w:t>
      </w:r>
      <w:r>
        <w:rPr>
          <w:rFonts w:cs="Times New Roman"/>
        </w:rPr>
        <w:t>weiligen Kontexts, der die Gestaltung des Artefakts weiter spezifiziert. Erst d</w:t>
      </w:r>
      <w:r>
        <w:rPr>
          <w:rFonts w:cs="Times New Roman"/>
        </w:rPr>
        <w:t>a</w:t>
      </w:r>
      <w:r>
        <w:rPr>
          <w:rFonts w:cs="Times New Roman"/>
        </w:rPr>
        <w:t>nach kann die stilistische Auswahl beginnen, die Frankl – da er sich hier auf künstlerische Artefakte bezieht – spezifisch als „Faktor des Ästhetischen“ b</w:t>
      </w:r>
      <w:r>
        <w:rPr>
          <w:rFonts w:cs="Times New Roman"/>
        </w:rPr>
        <w:t>e</w:t>
      </w:r>
      <w:r>
        <w:rPr>
          <w:rFonts w:cs="Times New Roman"/>
        </w:rPr>
        <w:t>zeichnet.</w:t>
      </w:r>
      <w:r>
        <w:rPr>
          <w:rStyle w:val="Funotenzeichen"/>
          <w:rFonts w:cs="Times New Roman"/>
        </w:rPr>
        <w:footnoteReference w:id="162"/>
      </w:r>
      <w:r>
        <w:rPr>
          <w:rFonts w:cs="Times New Roman"/>
        </w:rPr>
        <w:t xml:space="preserve"> Bei diesen Auswahlprozessen kann dann ein Stil gegeben sein; dieser besteht in Regelmäßigkeiten der Auswahl, aus denen </w:t>
      </w:r>
      <w:r w:rsidR="00AC4E1A">
        <w:rPr>
          <w:rFonts w:cs="Times New Roman"/>
        </w:rPr>
        <w:t xml:space="preserve">in einer Interpretation </w:t>
      </w:r>
      <w:r>
        <w:rPr>
          <w:rFonts w:cs="Times New Roman"/>
        </w:rPr>
        <w:t>we</w:t>
      </w:r>
      <w:r>
        <w:rPr>
          <w:rFonts w:cs="Times New Roman"/>
        </w:rPr>
        <w:t>i</w:t>
      </w:r>
      <w:r>
        <w:rPr>
          <w:rFonts w:cs="Times New Roman"/>
        </w:rPr>
        <w:lastRenderedPageBreak/>
        <w:t xml:space="preserve">tere </w:t>
      </w:r>
      <w:r w:rsidR="00AC4E1A">
        <w:rPr>
          <w:rFonts w:cs="Times New Roman"/>
        </w:rPr>
        <w:t>Schlüsse gezogen werden können</w:t>
      </w:r>
      <w:r>
        <w:rPr>
          <w:rFonts w:cs="Times New Roman"/>
        </w:rPr>
        <w:t xml:space="preserve">. </w:t>
      </w:r>
      <w:r>
        <w:t xml:space="preserve">Der </w:t>
      </w:r>
      <w:r>
        <w:rPr>
          <w:rFonts w:cs="Times New Roman"/>
        </w:rPr>
        <w:t>„</w:t>
      </w:r>
      <w:r>
        <w:t>freie Rest</w:t>
      </w:r>
      <w:r>
        <w:rPr>
          <w:rFonts w:cs="Times New Roman"/>
        </w:rPr>
        <w:t>“</w:t>
      </w:r>
      <w:r>
        <w:t xml:space="preserve"> Frankls lässt Raum für die Variation, ohne die es keinen Stil </w:t>
      </w:r>
      <w:r w:rsidR="0058155C">
        <w:t>gäbe</w:t>
      </w:r>
      <w:r>
        <w:t>.</w:t>
      </w:r>
    </w:p>
    <w:p w:rsidR="00255C44" w:rsidRPr="00CB4DB6" w:rsidRDefault="00255C44" w:rsidP="00255C44">
      <w:pPr>
        <w:pStyle w:val="Titel2"/>
        <w:rPr>
          <w:rFonts w:eastAsia="Times New Roman" w:cs="Times New Roman"/>
        </w:rPr>
      </w:pPr>
      <w:bookmarkStart w:id="132" w:name="_Ref272936981"/>
      <w:bookmarkStart w:id="133" w:name="_Toc325456714"/>
      <w:bookmarkStart w:id="134" w:name="Stil_als_Zeichen"/>
      <w:bookmarkEnd w:id="130"/>
      <w:r>
        <w:rPr>
          <w:rFonts w:eastAsia="Times New Roman" w:cs="Times New Roman"/>
        </w:rPr>
        <w:t xml:space="preserve">Stil als </w:t>
      </w:r>
      <w:r w:rsidRPr="00CB4DB6">
        <w:rPr>
          <w:rFonts w:eastAsia="Times New Roman" w:cs="Times New Roman"/>
        </w:rPr>
        <w:t>Zeichen</w:t>
      </w:r>
      <w:bookmarkEnd w:id="132"/>
      <w:bookmarkEnd w:id="133"/>
    </w:p>
    <w:p w:rsidR="000C3578" w:rsidRDefault="005D7996" w:rsidP="00F461D9">
      <w:pPr>
        <w:ind w:firstLine="0"/>
        <w:rPr>
          <w:rFonts w:eastAsia="Times New Roman" w:cs="Times New Roman"/>
        </w:rPr>
      </w:pPr>
      <w:r>
        <w:fldChar w:fldCharType="begin"/>
      </w:r>
      <w:r w:rsidR="008D1BE0">
        <w:instrText xml:space="preserve"> XE "</w:instrText>
      </w:r>
      <w:r w:rsidR="008D1BE0" w:rsidRPr="006256A5">
        <w:instrText xml:space="preserve">Stil:als </w:instrText>
      </w:r>
      <w:r w:rsidR="008D1BE0">
        <w:instrText xml:space="preserve">Zeichen" \r "Stil_als_Zeichen" </w:instrText>
      </w:r>
      <w:r>
        <w:fldChar w:fldCharType="end"/>
      </w:r>
      <w:r w:rsidR="000C3578">
        <w:rPr>
          <w:rFonts w:eastAsia="Times New Roman" w:cs="Times New Roman"/>
        </w:rPr>
        <w:t>Zu Beginn der 1970er Jahre, i</w:t>
      </w:r>
      <w:r w:rsidR="00F61ED2">
        <w:rPr>
          <w:rFonts w:eastAsia="Times New Roman" w:cs="Times New Roman"/>
        </w:rPr>
        <w:t>m Zuge der „pragmatischen Wende“</w:t>
      </w:r>
      <w:r w:rsidR="000C3578">
        <w:rPr>
          <w:rFonts w:eastAsia="Times New Roman" w:cs="Times New Roman"/>
        </w:rPr>
        <w:t xml:space="preserve"> und der Hi</w:t>
      </w:r>
      <w:r w:rsidR="000C3578">
        <w:rPr>
          <w:rFonts w:eastAsia="Times New Roman" w:cs="Times New Roman"/>
        </w:rPr>
        <w:t>n</w:t>
      </w:r>
      <w:r w:rsidR="000C3578">
        <w:rPr>
          <w:rFonts w:eastAsia="Times New Roman" w:cs="Times New Roman"/>
        </w:rPr>
        <w:t>wendung zur Kommunikationswissenschaft und Semiotik</w:t>
      </w:r>
      <w:r>
        <w:rPr>
          <w:rFonts w:eastAsia="Times New Roman" w:cs="Times New Roman"/>
        </w:rPr>
        <w:fldChar w:fldCharType="begin"/>
      </w:r>
      <w:r w:rsidR="00C6415A">
        <w:instrText xml:space="preserve"> XE "</w:instrText>
      </w:r>
      <w:r w:rsidR="00C6415A" w:rsidRPr="00A714E8">
        <w:instrText>Semiotik</w:instrText>
      </w:r>
      <w:r w:rsidR="00C6415A">
        <w:instrText xml:space="preserve">" </w:instrText>
      </w:r>
      <w:r>
        <w:rPr>
          <w:rFonts w:eastAsia="Times New Roman" w:cs="Times New Roman"/>
        </w:rPr>
        <w:fldChar w:fldCharType="end"/>
      </w:r>
      <w:r w:rsidR="000C3578">
        <w:rPr>
          <w:rFonts w:eastAsia="Times New Roman" w:cs="Times New Roman"/>
        </w:rPr>
        <w:t xml:space="preserve">, </w:t>
      </w:r>
      <w:r w:rsidR="00B03F26">
        <w:rPr>
          <w:rFonts w:eastAsia="Times New Roman" w:cs="Times New Roman"/>
        </w:rPr>
        <w:t>erkannte</w:t>
      </w:r>
      <w:r w:rsidR="00F60C11">
        <w:rPr>
          <w:rFonts w:eastAsia="Times New Roman" w:cs="Times New Roman"/>
        </w:rPr>
        <w:t>n auch viele Stiltheoretiker</w:t>
      </w:r>
      <w:r w:rsidR="00B03F26">
        <w:rPr>
          <w:rFonts w:eastAsia="Times New Roman" w:cs="Times New Roman"/>
        </w:rPr>
        <w:t>, „daß sich mit der fakultativen Verwendung sprachlicher Mittel stilis</w:t>
      </w:r>
      <w:r w:rsidR="0058155C">
        <w:rPr>
          <w:rFonts w:eastAsia="Times New Roman" w:cs="Times New Roman"/>
        </w:rPr>
        <w:t>t</w:t>
      </w:r>
      <w:r w:rsidR="00B03F26">
        <w:rPr>
          <w:rFonts w:eastAsia="Times New Roman" w:cs="Times New Roman"/>
        </w:rPr>
        <w:t>ische Bedeutungen verbinden“</w:t>
      </w:r>
      <w:r w:rsidR="00EF1774">
        <w:rPr>
          <w:rFonts w:eastAsia="Times New Roman" w:cs="Times New Roman"/>
        </w:rPr>
        <w:t>, wie Michael Hoffmann schreibt,</w:t>
      </w:r>
      <w:r w:rsidR="00EF1774">
        <w:rPr>
          <w:rStyle w:val="Funotenzeichen"/>
          <w:rFonts w:eastAsia="Times New Roman" w:cs="Times New Roman"/>
        </w:rPr>
        <w:footnoteReference w:id="163"/>
      </w:r>
      <w:r w:rsidR="00F60C11">
        <w:rPr>
          <w:rFonts w:eastAsia="Times New Roman" w:cs="Times New Roman"/>
        </w:rPr>
        <w:t xml:space="preserve"> </w:t>
      </w:r>
      <w:r w:rsidR="00EF1774">
        <w:rPr>
          <w:rFonts w:eastAsia="Times New Roman" w:cs="Times New Roman"/>
        </w:rPr>
        <w:t xml:space="preserve">der </w:t>
      </w:r>
      <w:r w:rsidR="002415E9">
        <w:rPr>
          <w:rFonts w:eastAsia="Times New Roman" w:cs="Times New Roman"/>
        </w:rPr>
        <w:t xml:space="preserve">mehrere </w:t>
      </w:r>
      <w:r w:rsidR="00EF1774">
        <w:rPr>
          <w:rFonts w:eastAsia="Times New Roman" w:cs="Times New Roman"/>
        </w:rPr>
        <w:t xml:space="preserve">semiotisch orientierte Ansätze </w:t>
      </w:r>
      <w:r w:rsidR="002415E9">
        <w:rPr>
          <w:rFonts w:eastAsia="Times New Roman" w:cs="Times New Roman"/>
        </w:rPr>
        <w:t>miteinander verglichen hat.</w:t>
      </w:r>
      <w:r w:rsidR="002415E9">
        <w:rPr>
          <w:rStyle w:val="Funotenzeichen"/>
          <w:rFonts w:eastAsia="Times New Roman" w:cs="Times New Roman"/>
        </w:rPr>
        <w:footnoteReference w:id="164"/>
      </w:r>
      <w:r w:rsidR="002415E9">
        <w:rPr>
          <w:rFonts w:eastAsia="Times New Roman" w:cs="Times New Roman"/>
        </w:rPr>
        <w:t xml:space="preserve"> </w:t>
      </w:r>
      <w:r w:rsidR="00640C3C">
        <w:rPr>
          <w:rFonts w:eastAsia="Times New Roman" w:cs="Times New Roman"/>
        </w:rPr>
        <w:t xml:space="preserve">Wirklich </w:t>
      </w:r>
      <w:r w:rsidR="002415E9">
        <w:rPr>
          <w:rFonts w:eastAsia="Times New Roman" w:cs="Times New Roman"/>
        </w:rPr>
        <w:t xml:space="preserve">geklärt </w:t>
      </w:r>
      <w:r w:rsidR="00640C3C">
        <w:rPr>
          <w:rFonts w:eastAsia="Times New Roman" w:cs="Times New Roman"/>
        </w:rPr>
        <w:t xml:space="preserve">erscheint ihm </w:t>
      </w:r>
      <w:r w:rsidR="002415E9">
        <w:rPr>
          <w:rFonts w:eastAsia="Times New Roman" w:cs="Times New Roman"/>
        </w:rPr>
        <w:t xml:space="preserve">das Problem nicht, </w:t>
      </w:r>
      <w:r w:rsidR="00640C3C">
        <w:rPr>
          <w:rFonts w:eastAsia="Times New Roman" w:cs="Times New Roman"/>
        </w:rPr>
        <w:t xml:space="preserve">er sieht aber </w:t>
      </w:r>
      <w:r w:rsidR="00D27676">
        <w:rPr>
          <w:rFonts w:eastAsia="Times New Roman" w:cs="Times New Roman"/>
        </w:rPr>
        <w:t>die „</w:t>
      </w:r>
      <w:r w:rsidR="002415E9">
        <w:rPr>
          <w:rFonts w:eastAsia="Times New Roman" w:cs="Times New Roman"/>
        </w:rPr>
        <w:t>Heterogenität</w:t>
      </w:r>
      <w:r w:rsidR="00D27676">
        <w:rPr>
          <w:rFonts w:eastAsia="Times New Roman" w:cs="Times New Roman"/>
        </w:rPr>
        <w:t>“ als Chance: „</w:t>
      </w:r>
      <w:r w:rsidR="002415E9">
        <w:rPr>
          <w:rFonts w:eastAsia="Times New Roman" w:cs="Times New Roman"/>
        </w:rPr>
        <w:t>Eine solche Zusammenführung der Kräfte kann der St</w:t>
      </w:r>
      <w:r w:rsidR="00143B59">
        <w:rPr>
          <w:rFonts w:eastAsia="Times New Roman" w:cs="Times New Roman"/>
        </w:rPr>
        <w:t>ilistik</w:t>
      </w:r>
      <w:r>
        <w:rPr>
          <w:rFonts w:eastAsia="Times New Roman" w:cs="Times New Roman"/>
        </w:rPr>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Pr>
          <w:rFonts w:eastAsia="Times New Roman" w:cs="Times New Roman"/>
        </w:rPr>
        <w:fldChar w:fldCharType="end"/>
      </w:r>
      <w:r w:rsidR="002415E9">
        <w:rPr>
          <w:rFonts w:eastAsia="Times New Roman" w:cs="Times New Roman"/>
        </w:rPr>
        <w:t xml:space="preserve"> angesichts der zu bewältigenden Probleme aber nur dienlich sein.“</w:t>
      </w:r>
      <w:r w:rsidR="0008289F">
        <w:rPr>
          <w:rStyle w:val="Funotenzeichen"/>
          <w:rFonts w:eastAsia="Times New Roman" w:cs="Times New Roman"/>
        </w:rPr>
        <w:footnoteReference w:id="165"/>
      </w:r>
      <w:r w:rsidR="00270ACD">
        <w:rPr>
          <w:rFonts w:eastAsia="Times New Roman" w:cs="Times New Roman"/>
        </w:rPr>
        <w:t xml:space="preserve"> Zu </w:t>
      </w:r>
      <w:r w:rsidR="002663D4">
        <w:rPr>
          <w:rFonts w:eastAsia="Times New Roman" w:cs="Times New Roman"/>
        </w:rPr>
        <w:t xml:space="preserve">der geforderten </w:t>
      </w:r>
      <w:r w:rsidR="00270ACD">
        <w:rPr>
          <w:rFonts w:eastAsia="Times New Roman" w:cs="Times New Roman"/>
        </w:rPr>
        <w:t xml:space="preserve">Zusammenführung ist es allerdings </w:t>
      </w:r>
      <w:r w:rsidR="002663D4">
        <w:rPr>
          <w:rFonts w:eastAsia="Times New Roman" w:cs="Times New Roman"/>
        </w:rPr>
        <w:t>bislang nicht gekommen.</w:t>
      </w:r>
    </w:p>
    <w:p w:rsidR="009641B8" w:rsidRDefault="009641B8" w:rsidP="009641B8">
      <w:r>
        <w:t>Hoffmann betont an anderer Stelle, dass die Inhalte</w:t>
      </w:r>
      <w:r w:rsidR="00E51C86">
        <w:t xml:space="preserve"> </w:t>
      </w:r>
      <w:r>
        <w:t xml:space="preserve">stilistischer Zeichen sich auf die Kommunikationssituation des </w:t>
      </w:r>
      <w:r w:rsidR="002A1B62">
        <w:t>Textproduzenten</w:t>
      </w:r>
      <w:r>
        <w:t xml:space="preserve"> beziehen:</w:t>
      </w:r>
      <w:r>
        <w:rPr>
          <w:rStyle w:val="Funotenzeichen"/>
        </w:rPr>
        <w:footnoteReference w:id="166"/>
      </w:r>
    </w:p>
    <w:p w:rsidR="009641B8" w:rsidRDefault="009641B8" w:rsidP="009641B8">
      <w:pPr>
        <w:pStyle w:val="Zitat"/>
      </w:pPr>
      <w:r>
        <w:t>Stil repräsentiert die Kommunikationssituation im Text. […] Stil gibt dieser Auffassung zufolge Informationen über die Situation an den Textrezipienten weiter, d.</w:t>
      </w:r>
      <w:r w:rsidR="00AA0E71">
        <w:t> </w:t>
      </w:r>
      <w:r>
        <w:t>h. insbesondere über das Situationsverständnis des Textproduzenten: dessen Einstellungen gegenüber dem Kommunikationspartner, dem Komm</w:t>
      </w:r>
      <w:r>
        <w:t>u</w:t>
      </w:r>
      <w:r>
        <w:t>nikationsgegenstand und auch gegenüber dem kommunikativen Kode</w:t>
      </w:r>
      <w:r w:rsidR="005D7996">
        <w:fldChar w:fldCharType="begin"/>
      </w:r>
      <w:r w:rsidR="00B2444A">
        <w:instrText xml:space="preserve"> XE "</w:instrText>
      </w:r>
      <w:r w:rsidR="00B2444A" w:rsidRPr="00843AC3">
        <w:instrText>Kode</w:instrText>
      </w:r>
      <w:r w:rsidR="00B2444A">
        <w:instrText xml:space="preserve">" </w:instrText>
      </w:r>
      <w:r w:rsidR="005D7996">
        <w:fldChar w:fldCharType="end"/>
      </w:r>
      <w:r>
        <w:t xml:space="preserve"> […].</w:t>
      </w:r>
    </w:p>
    <w:p w:rsidR="009641B8" w:rsidRDefault="009641B8" w:rsidP="00F461D9">
      <w:pPr>
        <w:ind w:firstLine="0"/>
        <w:rPr>
          <w:rFonts w:eastAsia="Times New Roman" w:cs="Times New Roman"/>
        </w:rPr>
      </w:pPr>
      <w:r>
        <w:rPr>
          <w:rFonts w:eastAsia="Times New Roman" w:cs="Times New Roman"/>
        </w:rPr>
        <w:t xml:space="preserve">Dies ist richtig, aber zu eng gefasst; Stil enthält Infomationen </w:t>
      </w:r>
      <w:r w:rsidR="00C2240F">
        <w:rPr>
          <w:rFonts w:eastAsia="Times New Roman" w:cs="Times New Roman"/>
        </w:rPr>
        <w:t xml:space="preserve">über den Kontext, aber auch </w:t>
      </w:r>
      <w:r>
        <w:rPr>
          <w:rFonts w:eastAsia="Times New Roman" w:cs="Times New Roman"/>
        </w:rPr>
        <w:t>über Persönlichkeit</w:t>
      </w:r>
      <w:r w:rsidR="00C2240F">
        <w:rPr>
          <w:rFonts w:eastAsia="Times New Roman" w:cs="Times New Roman"/>
        </w:rPr>
        <w:t>,</w:t>
      </w:r>
      <w:r>
        <w:rPr>
          <w:rFonts w:eastAsia="Times New Roman" w:cs="Times New Roman"/>
        </w:rPr>
        <w:t xml:space="preserve"> </w:t>
      </w:r>
      <w:r w:rsidR="00C2240F">
        <w:rPr>
          <w:rFonts w:eastAsia="Times New Roman" w:cs="Times New Roman"/>
        </w:rPr>
        <w:t xml:space="preserve">Erfahrungen und bewusste Entscheidungen des </w:t>
      </w:r>
      <w:r w:rsidR="00C75387">
        <w:rPr>
          <w:rFonts w:eastAsia="Times New Roman" w:cs="Times New Roman"/>
        </w:rPr>
        <w:t>Stilanwender</w:t>
      </w:r>
      <w:r>
        <w:rPr>
          <w:rFonts w:eastAsia="Times New Roman" w:cs="Times New Roman"/>
        </w:rPr>
        <w:t>s. Dennoch wird hier ein wichtiger Aspekt angesprochen: Als Ze</w:t>
      </w:r>
      <w:r>
        <w:rPr>
          <w:rFonts w:eastAsia="Times New Roman" w:cs="Times New Roman"/>
        </w:rPr>
        <w:t>i</w:t>
      </w:r>
      <w:r>
        <w:rPr>
          <w:rFonts w:eastAsia="Times New Roman" w:cs="Times New Roman"/>
        </w:rPr>
        <w:t xml:space="preserve">chen aufgefasst, unterliegen die Inhalte von Stil Beschränkungen, die sich aus der Funktionsweise des stilistischen Zeichenprozesses ergeben: Dieser kann </w:t>
      </w:r>
      <w:r w:rsidR="008D6D07">
        <w:rPr>
          <w:rFonts w:eastAsia="Times New Roman" w:cs="Times New Roman"/>
        </w:rPr>
        <w:t>Info</w:t>
      </w:r>
      <w:r w:rsidR="008D6D07">
        <w:rPr>
          <w:rFonts w:eastAsia="Times New Roman" w:cs="Times New Roman"/>
        </w:rPr>
        <w:t>r</w:t>
      </w:r>
      <w:r w:rsidR="008D6D07">
        <w:rPr>
          <w:rFonts w:eastAsia="Times New Roman" w:cs="Times New Roman"/>
        </w:rPr>
        <w:t xml:space="preserve">mationen </w:t>
      </w:r>
      <w:r>
        <w:rPr>
          <w:rFonts w:eastAsia="Times New Roman" w:cs="Times New Roman"/>
        </w:rPr>
        <w:t>nur über Auswahl aus in einer konkreten Situation vorhandenen Mö</w:t>
      </w:r>
      <w:r>
        <w:rPr>
          <w:rFonts w:eastAsia="Times New Roman" w:cs="Times New Roman"/>
        </w:rPr>
        <w:t>g</w:t>
      </w:r>
      <w:r>
        <w:rPr>
          <w:rFonts w:eastAsia="Times New Roman" w:cs="Times New Roman"/>
        </w:rPr>
        <w:t xml:space="preserve">lichkeiten übertragen. Die entstehenden </w:t>
      </w:r>
      <w:r w:rsidR="008D6D07">
        <w:rPr>
          <w:rFonts w:eastAsia="Times New Roman" w:cs="Times New Roman"/>
        </w:rPr>
        <w:t xml:space="preserve">Informationen </w:t>
      </w:r>
      <w:r>
        <w:rPr>
          <w:rFonts w:eastAsia="Times New Roman" w:cs="Times New Roman"/>
        </w:rPr>
        <w:t xml:space="preserve">beziehen sich daher meist unmittelbar auf die Situation (beispielsweise wenn ein Autofahrer zeigt, wie er in einer bestimmten Situation reagiert, oder eine Architektin, wie sie mit </w:t>
      </w:r>
      <w:r>
        <w:rPr>
          <w:rFonts w:eastAsia="Times New Roman" w:cs="Times New Roman"/>
        </w:rPr>
        <w:lastRenderedPageBreak/>
        <w:t xml:space="preserve">der Lage des Grundstücks und den funktionalen Anforderungen des Bauwerks umgeht). </w:t>
      </w:r>
      <w:r w:rsidR="006C1B4A">
        <w:rPr>
          <w:rFonts w:eastAsia="Times New Roman" w:cs="Times New Roman"/>
        </w:rPr>
        <w:t xml:space="preserve">Stilwahrnehmer </w:t>
      </w:r>
      <w:r>
        <w:rPr>
          <w:rFonts w:eastAsia="Times New Roman" w:cs="Times New Roman"/>
        </w:rPr>
        <w:t xml:space="preserve">sind jedoch oft in der Lage, daraus weitergehende </w:t>
      </w:r>
      <w:r w:rsidR="008D6D07">
        <w:rPr>
          <w:rFonts w:eastAsia="Times New Roman" w:cs="Times New Roman"/>
        </w:rPr>
        <w:t>I</w:t>
      </w:r>
      <w:r w:rsidR="008D6D07">
        <w:rPr>
          <w:rFonts w:eastAsia="Times New Roman" w:cs="Times New Roman"/>
        </w:rPr>
        <w:t>n</w:t>
      </w:r>
      <w:r w:rsidR="008D6D07">
        <w:rPr>
          <w:rFonts w:eastAsia="Times New Roman" w:cs="Times New Roman"/>
        </w:rPr>
        <w:t xml:space="preserve">formationen </w:t>
      </w:r>
      <w:r>
        <w:rPr>
          <w:rFonts w:eastAsia="Times New Roman" w:cs="Times New Roman"/>
        </w:rPr>
        <w:t xml:space="preserve">abzuleiten, etwa über </w:t>
      </w:r>
      <w:r w:rsidR="00FA49C7">
        <w:rPr>
          <w:rFonts w:eastAsia="Times New Roman" w:cs="Times New Roman"/>
        </w:rPr>
        <w:t xml:space="preserve">Persönlichkeit </w:t>
      </w:r>
      <w:r>
        <w:rPr>
          <w:rFonts w:eastAsia="Times New Roman" w:cs="Times New Roman"/>
        </w:rPr>
        <w:t>und Fähigkeiten des Autofa</w:t>
      </w:r>
      <w:r>
        <w:rPr>
          <w:rFonts w:eastAsia="Times New Roman" w:cs="Times New Roman"/>
        </w:rPr>
        <w:t>h</w:t>
      </w:r>
      <w:r>
        <w:rPr>
          <w:rFonts w:eastAsia="Times New Roman" w:cs="Times New Roman"/>
        </w:rPr>
        <w:t xml:space="preserve">rers oder über die architektonische Schule und die Einstellungen </w:t>
      </w:r>
      <w:r w:rsidR="008D6D07">
        <w:rPr>
          <w:rFonts w:eastAsia="Times New Roman" w:cs="Times New Roman"/>
        </w:rPr>
        <w:t xml:space="preserve">der Architektin </w:t>
      </w:r>
      <w:r>
        <w:rPr>
          <w:rFonts w:eastAsia="Times New Roman" w:cs="Times New Roman"/>
        </w:rPr>
        <w:t>zu menschlichen Bedürfnisse</w:t>
      </w:r>
      <w:r w:rsidR="008D6D07">
        <w:rPr>
          <w:rFonts w:eastAsia="Times New Roman" w:cs="Times New Roman"/>
        </w:rPr>
        <w:t>n</w:t>
      </w:r>
      <w:r>
        <w:rPr>
          <w:rFonts w:eastAsia="Times New Roman" w:cs="Times New Roman"/>
        </w:rPr>
        <w:t xml:space="preserve"> und technischen Einschränkungen. Situationsb</w:t>
      </w:r>
      <w:r>
        <w:rPr>
          <w:rFonts w:eastAsia="Times New Roman" w:cs="Times New Roman"/>
        </w:rPr>
        <w:t>e</w:t>
      </w:r>
      <w:r>
        <w:rPr>
          <w:rFonts w:eastAsia="Times New Roman" w:cs="Times New Roman"/>
        </w:rPr>
        <w:t xml:space="preserve">zogene Faktoren – die wir in dieser Theorie unter Ziel </w:t>
      </w:r>
      <w:r w:rsidR="00936B38">
        <w:rPr>
          <w:rFonts w:eastAsia="Times New Roman" w:cs="Times New Roman"/>
        </w:rPr>
        <w:t xml:space="preserve">(oder </w:t>
      </w:r>
      <w:r>
        <w:rPr>
          <w:rFonts w:eastAsia="Times New Roman" w:cs="Times New Roman"/>
        </w:rPr>
        <w:t>Zweck</w:t>
      </w:r>
      <w:r w:rsidR="00936B38">
        <w:rPr>
          <w:rFonts w:eastAsia="Times New Roman" w:cs="Times New Roman"/>
        </w:rPr>
        <w:t>)</w:t>
      </w:r>
      <w:r>
        <w:rPr>
          <w:rFonts w:eastAsia="Times New Roman" w:cs="Times New Roman"/>
        </w:rPr>
        <w:t xml:space="preserve">, Funktion und Inhalt zusammenfassen – werden also vom </w:t>
      </w:r>
      <w:r w:rsidR="00C75387">
        <w:rPr>
          <w:rFonts w:eastAsia="Times New Roman" w:cs="Times New Roman"/>
        </w:rPr>
        <w:t>Stilwahrnehmer</w:t>
      </w:r>
      <w:r>
        <w:rPr>
          <w:rFonts w:eastAsia="Times New Roman" w:cs="Times New Roman"/>
        </w:rPr>
        <w:t xml:space="preserve"> gerade herausgerechnet, um stilistische </w:t>
      </w:r>
      <w:r w:rsidR="009D4252">
        <w:rPr>
          <w:rFonts w:eastAsia="Times New Roman" w:cs="Times New Roman"/>
        </w:rPr>
        <w:t xml:space="preserve">Informationen </w:t>
      </w:r>
      <w:r>
        <w:rPr>
          <w:rFonts w:eastAsia="Times New Roman" w:cs="Times New Roman"/>
        </w:rPr>
        <w:t>zu erhalten, die direkt nicht ve</w:t>
      </w:r>
      <w:r>
        <w:rPr>
          <w:rFonts w:eastAsia="Times New Roman" w:cs="Times New Roman"/>
        </w:rPr>
        <w:t>r</w:t>
      </w:r>
      <w:r>
        <w:rPr>
          <w:rFonts w:eastAsia="Times New Roman" w:cs="Times New Roman"/>
        </w:rPr>
        <w:t xml:space="preserve">fügbar sind. Denn dies sind oft die interessanteren </w:t>
      </w:r>
      <w:r w:rsidR="009D4252">
        <w:rPr>
          <w:rFonts w:eastAsia="Times New Roman" w:cs="Times New Roman"/>
        </w:rPr>
        <w:t>Informationen</w:t>
      </w:r>
      <w:r>
        <w:rPr>
          <w:rFonts w:eastAsia="Times New Roman" w:cs="Times New Roman"/>
        </w:rPr>
        <w:t>. Würden die Inhalte stilistischer Zeichen so eng auf die Kommunikationssituation bezogen bleiben, wie Hoffmann dies annimmt, wäre Stil weniger interessant für uns.</w:t>
      </w:r>
    </w:p>
    <w:p w:rsidR="00580DBC" w:rsidRDefault="003D5884" w:rsidP="005A5093">
      <w:pPr>
        <w:rPr>
          <w:rFonts w:eastAsia="Times New Roman" w:cs="Times New Roman"/>
        </w:rPr>
      </w:pPr>
      <w:r>
        <w:rPr>
          <w:rFonts w:eastAsia="Times New Roman" w:cs="Times New Roman"/>
        </w:rPr>
        <w:t xml:space="preserve">Leider sind </w:t>
      </w:r>
      <w:r w:rsidR="00D520C4">
        <w:rPr>
          <w:rFonts w:eastAsia="Times New Roman" w:cs="Times New Roman"/>
        </w:rPr>
        <w:t xml:space="preserve">sogar </w:t>
      </w:r>
      <w:r>
        <w:rPr>
          <w:rFonts w:eastAsia="Times New Roman" w:cs="Times New Roman"/>
        </w:rPr>
        <w:t>semiotische Ansätze oft noch sprachzentrisch. So schreibt Bernd Spillner, einer der umtriebigsten und versiertesten deutschen Stiltheoret</w:t>
      </w:r>
      <w:r>
        <w:rPr>
          <w:rFonts w:eastAsia="Times New Roman" w:cs="Times New Roman"/>
        </w:rPr>
        <w:t>i</w:t>
      </w:r>
      <w:r>
        <w:rPr>
          <w:rFonts w:eastAsia="Times New Roman" w:cs="Times New Roman"/>
        </w:rPr>
        <w:t>ker (vgl. Abschnitt</w:t>
      </w:r>
      <w:r w:rsidR="009F26D8">
        <w:rPr>
          <w:rFonts w:eastAsia="Times New Roman" w:cs="Times New Roman"/>
        </w:rPr>
        <w:t xml:space="preserve"> </w:t>
      </w:r>
      <w:r w:rsidR="005D7996">
        <w:rPr>
          <w:rFonts w:eastAsia="Times New Roman" w:cs="Times New Roman"/>
        </w:rPr>
        <w:fldChar w:fldCharType="begin"/>
      </w:r>
      <w:r w:rsidR="009F26D8">
        <w:rPr>
          <w:rFonts w:eastAsia="Times New Roman" w:cs="Times New Roman"/>
        </w:rPr>
        <w:instrText xml:space="preserve"> REF _Ref267684998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3.1</w:t>
      </w:r>
      <w:r w:rsidR="005D7996">
        <w:rPr>
          <w:rFonts w:eastAsia="Times New Roman" w:cs="Times New Roman"/>
        </w:rPr>
        <w:fldChar w:fldCharType="end"/>
      </w:r>
      <w:r>
        <w:rPr>
          <w:rFonts w:eastAsia="Times New Roman" w:cs="Times New Roman"/>
        </w:rPr>
        <w:t xml:space="preserve">), in einem Aufsatz mit dem vielversprechenden </w:t>
      </w:r>
      <w:r w:rsidR="00D520C4">
        <w:rPr>
          <w:rFonts w:eastAsia="Times New Roman" w:cs="Times New Roman"/>
        </w:rPr>
        <w:t>Titel</w:t>
      </w:r>
      <w:r>
        <w:rPr>
          <w:rFonts w:eastAsia="Times New Roman" w:cs="Times New Roman"/>
        </w:rPr>
        <w:t xml:space="preserve"> „Stilsemiotik“:</w:t>
      </w:r>
      <w:r>
        <w:rPr>
          <w:rStyle w:val="Funotenzeichen"/>
          <w:rFonts w:eastAsia="Times New Roman" w:cs="Times New Roman"/>
        </w:rPr>
        <w:footnoteReference w:id="167"/>
      </w:r>
    </w:p>
    <w:p w:rsidR="003D5884" w:rsidRDefault="003D5884" w:rsidP="005A5093">
      <w:pPr>
        <w:pStyle w:val="ZitatAbsto"/>
      </w:pPr>
      <w:r>
        <w:t>Folglich wird eine Untersuchung der Beziehungen zwischen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und St</w:t>
      </w:r>
      <w:r>
        <w:t>i</w:t>
      </w:r>
      <w:r>
        <w:t>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t xml:space="preserve"> zwangsläufig aus zwei deutlich unterschiedlichen Teilen bestehen.</w:t>
      </w:r>
    </w:p>
    <w:p w:rsidR="003D5884" w:rsidRDefault="003D5884" w:rsidP="005A5093">
      <w:pPr>
        <w:pStyle w:val="ZitatMitte"/>
      </w:pPr>
      <w:r>
        <w:t>Im ersten geht es um Relevanz der Semiotik</w:t>
      </w:r>
      <w:r w:rsidR="005D7996">
        <w:fldChar w:fldCharType="begin"/>
      </w:r>
      <w:r w:rsidR="00C6415A">
        <w:instrText xml:space="preserve"> XE "</w:instrText>
      </w:r>
      <w:r w:rsidR="00C6415A" w:rsidRPr="00A714E8">
        <w:instrText>Semiotik</w:instrText>
      </w:r>
      <w:r w:rsidR="00C6415A">
        <w:instrText xml:space="preserve">" </w:instrText>
      </w:r>
      <w:r w:rsidR="005D7996">
        <w:fldChar w:fldCharType="end"/>
      </w:r>
      <w:r>
        <w:t xml:space="preserve"> für die Theorie und Praxis, für die Produktion, Rezeption und Analyse von Stil schlechthin, von Stil in sprac</w:t>
      </w:r>
      <w:r>
        <w:t>h</w:t>
      </w:r>
      <w:r>
        <w:t>lichen Texten.</w:t>
      </w:r>
    </w:p>
    <w:p w:rsidR="003D5884" w:rsidRDefault="003D5884" w:rsidP="005A5093">
      <w:pPr>
        <w:pStyle w:val="ZitatAbstu"/>
      </w:pPr>
      <w:r>
        <w:t>Im zweiten Teil geht es um die semiotische Analyse von multimedialen Texten, um Stilsemiotik von zeichentheoretisch komplexen Texten.</w:t>
      </w:r>
    </w:p>
    <w:p w:rsidR="003D5884" w:rsidRDefault="00D506A3" w:rsidP="00B33A67">
      <w:pPr>
        <w:ind w:firstLine="0"/>
        <w:rPr>
          <w:rFonts w:eastAsia="Times New Roman" w:cs="Times New Roman"/>
        </w:rPr>
      </w:pPr>
      <w:r>
        <w:rPr>
          <w:rFonts w:eastAsia="Times New Roman" w:cs="Times New Roman"/>
        </w:rPr>
        <w:t>Warum „Stil schlechthin“ gleich sprachlichem Stil sein soll, begründet Spillner nicht.</w:t>
      </w:r>
      <w:r w:rsidR="00080C47">
        <w:rPr>
          <w:rStyle w:val="Funotenzeichen"/>
          <w:rFonts w:eastAsia="Times New Roman" w:cs="Times New Roman"/>
        </w:rPr>
        <w:footnoteReference w:id="168"/>
      </w:r>
      <w:r>
        <w:rPr>
          <w:rFonts w:eastAsia="Times New Roman" w:cs="Times New Roman"/>
        </w:rPr>
        <w:t xml:space="preserve"> </w:t>
      </w:r>
      <w:r w:rsidR="00474DFC">
        <w:rPr>
          <w:rFonts w:eastAsia="Times New Roman" w:cs="Times New Roman"/>
        </w:rPr>
        <w:t>Z</w:t>
      </w:r>
      <w:r>
        <w:rPr>
          <w:rFonts w:eastAsia="Times New Roman" w:cs="Times New Roman"/>
        </w:rPr>
        <w:t>uvor hat er die Semiotik</w:t>
      </w:r>
      <w:r w:rsidR="005D7996">
        <w:rPr>
          <w:rFonts w:eastAsia="Times New Roman" w:cs="Times New Roman"/>
        </w:rPr>
        <w:fldChar w:fldCharType="begin"/>
      </w:r>
      <w:r w:rsidR="00C6415A">
        <w:instrText xml:space="preserve"> XE "</w:instrText>
      </w:r>
      <w:r w:rsidR="00C6415A" w:rsidRPr="00A714E8">
        <w:instrText>Semiotik</w:instrText>
      </w:r>
      <w:r w:rsidR="00C6415A">
        <w:instrText xml:space="preserve">" </w:instrText>
      </w:r>
      <w:r w:rsidR="005D7996">
        <w:rPr>
          <w:rFonts w:eastAsia="Times New Roman" w:cs="Times New Roman"/>
        </w:rPr>
        <w:fldChar w:fldCharType="end"/>
      </w:r>
      <w:r>
        <w:rPr>
          <w:rFonts w:eastAsia="Times New Roman" w:cs="Times New Roman"/>
        </w:rPr>
        <w:t xml:space="preserve"> als eine Art Hilfswissenschaft eingeführt, die dort verwendet wird, wo die Linguistik</w:t>
      </w:r>
      <w:r w:rsidR="005D7996">
        <w:rPr>
          <w:rFonts w:eastAsia="Times New Roman" w:cs="Times New Roman"/>
        </w:rPr>
        <w:fldChar w:fldCharType="begin"/>
      </w:r>
      <w:r w:rsidR="00437775">
        <w:instrText xml:space="preserve"> XE "</w:instrText>
      </w:r>
      <w:r w:rsidR="00437775" w:rsidRPr="00797C83">
        <w:rPr>
          <w:rFonts w:eastAsia="Times New Roman" w:cs="Times New Roman"/>
        </w:rPr>
        <w:instrText>Linguistik</w:instrText>
      </w:r>
      <w:r w:rsidR="00437775">
        <w:instrText xml:space="preserve">" </w:instrText>
      </w:r>
      <w:r w:rsidR="005D7996">
        <w:rPr>
          <w:rFonts w:eastAsia="Times New Roman" w:cs="Times New Roman"/>
        </w:rPr>
        <w:fldChar w:fldCharType="end"/>
      </w:r>
      <w:r w:rsidR="005D7996" w:rsidRPr="00437775">
        <w:rPr>
          <w:rFonts w:eastAsia="Times New Roman" w:cs="Times New Roman"/>
        </w:rPr>
        <w:fldChar w:fldCharType="begin"/>
      </w:r>
      <w:r w:rsidR="00437775" w:rsidRPr="00437775">
        <w:instrText xml:space="preserve"> XE "Sprachwissenschaft" \t "</w:instrText>
      </w:r>
      <w:r w:rsidR="00801C96">
        <w:rPr>
          <w:rFonts w:cstheme="minorHAnsi"/>
          <w:i/>
        </w:rPr>
        <w:instrText>s</w:instrText>
      </w:r>
      <w:r w:rsidR="00437775" w:rsidRPr="00437775">
        <w:rPr>
          <w:rFonts w:cstheme="minorHAnsi"/>
          <w:i/>
        </w:rPr>
        <w:instrText>iehe</w:instrText>
      </w:r>
      <w:r w:rsidR="00437775" w:rsidRPr="00437775">
        <w:rPr>
          <w:rFonts w:cstheme="minorHAnsi"/>
        </w:rPr>
        <w:instrText xml:space="preserve"> Linguistik</w:instrText>
      </w:r>
      <w:r w:rsidR="00437775" w:rsidRPr="00437775">
        <w:instrText xml:space="preserve">" </w:instrText>
      </w:r>
      <w:r w:rsidR="005D7996" w:rsidRPr="00437775">
        <w:rPr>
          <w:rFonts w:eastAsia="Times New Roman" w:cs="Times New Roman"/>
        </w:rPr>
        <w:fldChar w:fldCharType="end"/>
      </w:r>
      <w:r w:rsidRPr="00437775">
        <w:rPr>
          <w:rFonts w:eastAsia="Times New Roman" w:cs="Times New Roman"/>
        </w:rPr>
        <w:t xml:space="preserve"> </w:t>
      </w:r>
      <w:r>
        <w:rPr>
          <w:rFonts w:eastAsia="Times New Roman" w:cs="Times New Roman"/>
        </w:rPr>
        <w:t>nicht mehr hinkommt:</w:t>
      </w:r>
    </w:p>
    <w:p w:rsidR="00D506A3" w:rsidRDefault="00D506A3" w:rsidP="005A5093">
      <w:pPr>
        <w:pStyle w:val="Zitat"/>
      </w:pPr>
      <w:r>
        <w:t>Zum anderen gibt es multimediale Texte, z.B. kommunikative Einheiten, in d</w:t>
      </w:r>
      <w:r>
        <w:t>e</w:t>
      </w:r>
      <w:r>
        <w:t>nen Sprache und Bild aufeinander bezogen sind – Texte also, die mit linguist</w:t>
      </w:r>
      <w:r>
        <w:t>i</w:t>
      </w:r>
      <w:r>
        <w:t>schen Mitteln allein nicht zureichend beschrieben und nicht stilistisch anal</w:t>
      </w:r>
      <w:r>
        <w:t>y</w:t>
      </w:r>
      <w:r>
        <w:t>siert werden können.</w:t>
      </w:r>
    </w:p>
    <w:p w:rsidR="003D5884" w:rsidRDefault="00D506A3" w:rsidP="00B33A67">
      <w:pPr>
        <w:ind w:firstLine="0"/>
        <w:rPr>
          <w:rFonts w:eastAsia="Times New Roman" w:cs="Times New Roman"/>
        </w:rPr>
      </w:pPr>
      <w:r>
        <w:rPr>
          <w:rFonts w:eastAsia="Times New Roman" w:cs="Times New Roman"/>
        </w:rPr>
        <w:t xml:space="preserve">Spillner ist sich also der Tatsache bewusst, dass Stil auch außerhalb von Sprache existiert; er fragt sich jedoch nicht, ob Stil nicht ein Phänomen </w:t>
      </w:r>
      <w:r w:rsidR="00F60C11">
        <w:rPr>
          <w:rFonts w:eastAsia="Times New Roman" w:cs="Times New Roman"/>
        </w:rPr>
        <w:t>ist</w:t>
      </w:r>
      <w:r>
        <w:rPr>
          <w:rFonts w:eastAsia="Times New Roman" w:cs="Times New Roman"/>
        </w:rPr>
        <w:t>, das allgeme</w:t>
      </w:r>
      <w:r>
        <w:rPr>
          <w:rFonts w:eastAsia="Times New Roman" w:cs="Times New Roman"/>
        </w:rPr>
        <w:t>i</w:t>
      </w:r>
      <w:r>
        <w:rPr>
          <w:rFonts w:eastAsia="Times New Roman" w:cs="Times New Roman"/>
        </w:rPr>
        <w:t xml:space="preserve">ner ist als das mit linguistischen Mitteln Erfassbare, </w:t>
      </w:r>
      <w:r w:rsidR="00F60C11">
        <w:rPr>
          <w:rFonts w:eastAsia="Times New Roman" w:cs="Times New Roman"/>
        </w:rPr>
        <w:t xml:space="preserve">so </w:t>
      </w:r>
      <w:r>
        <w:rPr>
          <w:rFonts w:eastAsia="Times New Roman" w:cs="Times New Roman"/>
        </w:rPr>
        <w:t>dass linguistische Mittel auch für die grundlegende Beschreibung sprachlichen Stils ni</w:t>
      </w:r>
      <w:r w:rsidR="00886387">
        <w:rPr>
          <w:rFonts w:eastAsia="Times New Roman" w:cs="Times New Roman"/>
        </w:rPr>
        <w:t>cht ausreichen.</w:t>
      </w:r>
    </w:p>
    <w:p w:rsidR="00255C44" w:rsidRDefault="00255C44" w:rsidP="005A5093">
      <w:pPr>
        <w:rPr>
          <w:rFonts w:eastAsia="Times New Roman" w:cs="Times New Roman"/>
        </w:rPr>
      </w:pPr>
      <w:r>
        <w:rPr>
          <w:rFonts w:eastAsia="Times New Roman" w:cs="Times New Roman"/>
        </w:rPr>
        <w:t>Dass sprachlicher Stil nicht nur als Ausdrucksweise betrachtet werden kann, sondern auch Aspekte des Inhalts einbezieht, betont auch Seymour Chatman,</w:t>
      </w:r>
      <w:r>
        <w:rPr>
          <w:rStyle w:val="Funotenzeichen"/>
          <w:rFonts w:eastAsia="Times New Roman" w:cs="Times New Roman"/>
        </w:rPr>
        <w:footnoteReference w:id="169"/>
      </w:r>
      <w:r>
        <w:rPr>
          <w:rFonts w:eastAsia="Times New Roman" w:cs="Times New Roman"/>
        </w:rPr>
        <w:t xml:space="preserve"> geht aber nicht bis zu einer explizit semiotischen Definition des Stils als </w:t>
      </w:r>
      <w:r w:rsidR="00AB2C64">
        <w:rPr>
          <w:rFonts w:eastAsia="Times New Roman" w:cs="Times New Roman"/>
        </w:rPr>
        <w:t xml:space="preserve">eines </w:t>
      </w:r>
      <w:r>
        <w:rPr>
          <w:rFonts w:eastAsia="Times New Roman" w:cs="Times New Roman"/>
        </w:rPr>
        <w:t>nicht von der</w:t>
      </w:r>
      <w:r w:rsidR="00AB2C64">
        <w:rPr>
          <w:rFonts w:eastAsia="Times New Roman" w:cs="Times New Roman"/>
        </w:rPr>
        <w:t xml:space="preserve"> Semantik</w:t>
      </w:r>
      <w:r w:rsidR="005D7996">
        <w:rPr>
          <w:rFonts w:eastAsia="Times New Roman" w:cs="Times New Roman"/>
        </w:rPr>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rPr>
          <w:rFonts w:eastAsia="Times New Roman" w:cs="Times New Roman"/>
        </w:rPr>
        <w:fldChar w:fldCharType="end"/>
      </w:r>
      <w:r w:rsidR="00AB2C64">
        <w:rPr>
          <w:rFonts w:eastAsia="Times New Roman" w:cs="Times New Roman"/>
        </w:rPr>
        <w:t xml:space="preserve"> des Texts abgeleiteten</w:t>
      </w:r>
      <w:r>
        <w:rPr>
          <w:rFonts w:eastAsia="Times New Roman" w:cs="Times New Roman"/>
        </w:rPr>
        <w:t xml:space="preserve"> Zeichen</w:t>
      </w:r>
      <w:r w:rsidR="00AB2C64">
        <w:rPr>
          <w:rFonts w:eastAsia="Times New Roman" w:cs="Times New Roman"/>
        </w:rPr>
        <w:t>s</w:t>
      </w:r>
      <w:r>
        <w:rPr>
          <w:rFonts w:eastAsia="Times New Roman" w:cs="Times New Roman"/>
        </w:rPr>
        <w:t>.</w:t>
      </w:r>
    </w:p>
    <w:p w:rsidR="00342E80" w:rsidRDefault="00342E80" w:rsidP="00342E80">
      <w:pPr>
        <w:rPr>
          <w:rFonts w:eastAsia="Times New Roman" w:cs="Times New Roman"/>
        </w:rPr>
      </w:pPr>
      <w:r>
        <w:rPr>
          <w:rFonts w:eastAsia="Times New Roman" w:cs="Times New Roman"/>
        </w:rPr>
        <w:lastRenderedPageBreak/>
        <w:t>Der Tradition, Stil als Bedeutung</w:t>
      </w:r>
      <w:r w:rsidR="005D7996">
        <w:rPr>
          <w:rFonts w:eastAsia="Times New Roman" w:cs="Times New Roman"/>
        </w:rPr>
        <w:fldChar w:fldCharType="begin"/>
      </w:r>
      <w:r w:rsidR="00ED08E6">
        <w:instrText xml:space="preserve"> XE "</w:instrText>
      </w:r>
      <w:r w:rsidR="00ED08E6" w:rsidRPr="00085C14">
        <w:instrText>Bedeutung</w:instrText>
      </w:r>
      <w:r w:rsidR="00ED08E6">
        <w:instrText xml:space="preserve">" </w:instrText>
      </w:r>
      <w:r w:rsidR="005D7996">
        <w:rPr>
          <w:rFonts w:eastAsia="Times New Roman" w:cs="Times New Roman"/>
        </w:rPr>
        <w:fldChar w:fldCharType="end"/>
      </w:r>
      <w:r>
        <w:rPr>
          <w:rFonts w:eastAsia="Times New Roman" w:cs="Times New Roman"/>
        </w:rPr>
        <w:t xml:space="preserve"> anzusehen, wird im neuen HSK-Band „Rhetorik</w:t>
      </w:r>
      <w:r w:rsidR="005D7996">
        <w:rPr>
          <w:rFonts w:eastAsia="Times New Roman" w:cs="Times New Roman"/>
        </w:rPr>
        <w:fldChar w:fldCharType="begin"/>
      </w:r>
      <w:r w:rsidR="00262183">
        <w:instrText xml:space="preserve"> XE "</w:instrText>
      </w:r>
      <w:r w:rsidR="00262183" w:rsidRPr="00DF5667">
        <w:rPr>
          <w:rFonts w:eastAsia="Times New Roman" w:cs="Times New Roman"/>
        </w:rPr>
        <w:instrText>Rhetorik</w:instrText>
      </w:r>
      <w:r w:rsidR="00262183">
        <w:instrText xml:space="preserve">" </w:instrText>
      </w:r>
      <w:r w:rsidR="005D7996">
        <w:rPr>
          <w:rFonts w:eastAsia="Times New Roman" w:cs="Times New Roman"/>
        </w:rPr>
        <w:fldChar w:fldCharType="end"/>
      </w:r>
      <w:r>
        <w:rPr>
          <w:rFonts w:eastAsia="Times New Roman" w:cs="Times New Roman"/>
        </w:rPr>
        <w:t xml:space="preserve"> und Stilistik</w:t>
      </w:r>
      <w:r w:rsidR="005D7996">
        <w:rPr>
          <w:rFonts w:eastAsia="Times New Roman" w:cs="Times New Roman"/>
        </w:rPr>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rPr>
          <w:rFonts w:eastAsia="Times New Roman" w:cs="Times New Roman"/>
        </w:rPr>
        <w:fldChar w:fldCharType="end"/>
      </w:r>
      <w:r>
        <w:rPr>
          <w:rFonts w:eastAsia="Times New Roman" w:cs="Times New Roman"/>
        </w:rPr>
        <w:t>“</w:t>
      </w:r>
      <w:r>
        <w:rPr>
          <w:rStyle w:val="Funotenzeichen"/>
          <w:rFonts w:eastAsia="Times New Roman" w:cs="Times New Roman"/>
        </w:rPr>
        <w:footnoteReference w:id="170"/>
      </w:r>
      <w:r>
        <w:rPr>
          <w:rFonts w:eastAsia="Times New Roman" w:cs="Times New Roman"/>
        </w:rPr>
        <w:t xml:space="preserve"> nur ein kurzer Artikel gewidmet</w:t>
      </w:r>
      <w:r w:rsidR="00CE65DE">
        <w:rPr>
          <w:rFonts w:eastAsia="Times New Roman" w:cs="Times New Roman"/>
        </w:rPr>
        <w:t>,</w:t>
      </w:r>
      <w:r>
        <w:rPr>
          <w:rStyle w:val="Funotenzeichen"/>
          <w:rFonts w:eastAsia="Times New Roman" w:cs="Times New Roman"/>
        </w:rPr>
        <w:footnoteReference w:id="171"/>
      </w:r>
      <w:r>
        <w:rPr>
          <w:rFonts w:eastAsia="Times New Roman" w:cs="Times New Roman"/>
        </w:rPr>
        <w:t xml:space="preserve"> der methodisch über die Forderung einer „konstruktivistischen“ Bedeutungstheorie, mit der man die „reduktionistische“ Konzentration auf einzelne Wörter und Sätze hinter sich lassen will, und Metaphern wie die der „flächigen vs. punktuellen Bedeutungsbi</w:t>
      </w:r>
      <w:r>
        <w:rPr>
          <w:rFonts w:eastAsia="Times New Roman" w:cs="Times New Roman"/>
        </w:rPr>
        <w:t>l</w:t>
      </w:r>
      <w:r>
        <w:rPr>
          <w:rFonts w:eastAsia="Times New Roman" w:cs="Times New Roman"/>
        </w:rPr>
        <w:t>dung“ kaum hinausgeht.</w:t>
      </w:r>
      <w:r>
        <w:rPr>
          <w:rStyle w:val="Funotenzeichen"/>
          <w:rFonts w:eastAsia="Times New Roman" w:cs="Times New Roman"/>
        </w:rPr>
        <w:footnoteReference w:id="172"/>
      </w:r>
      <w:r>
        <w:rPr>
          <w:rFonts w:eastAsia="Times New Roman" w:cs="Times New Roman"/>
        </w:rPr>
        <w:t xml:space="preserve"> Der Artikel zu „Stil als Zeichen“ in demselben Band stellt semiotische Aspekte von Textstilen zusammen, liefert aber keinen B</w:t>
      </w:r>
      <w:r>
        <w:rPr>
          <w:rFonts w:eastAsia="Times New Roman" w:cs="Times New Roman"/>
        </w:rPr>
        <w:t>e</w:t>
      </w:r>
      <w:r>
        <w:rPr>
          <w:rFonts w:eastAsia="Times New Roman" w:cs="Times New Roman"/>
        </w:rPr>
        <w:t>schreibungsansatz für Stil als eigenständigen Zeichenprozess.</w:t>
      </w:r>
      <w:r>
        <w:rPr>
          <w:rStyle w:val="Funotenzeichen"/>
          <w:rFonts w:eastAsia="Times New Roman" w:cs="Times New Roman"/>
        </w:rPr>
        <w:footnoteReference w:id="173"/>
      </w:r>
    </w:p>
    <w:p w:rsidR="00C8644C" w:rsidRDefault="00C8644C" w:rsidP="00C8644C">
      <w:r>
        <w:rPr>
          <w:rFonts w:eastAsia="Times New Roman" w:cs="Times New Roman"/>
        </w:rPr>
        <w:t xml:space="preserve">Akzeptieren wir implizit semiotische Ansätze, so können wir auch die </w:t>
      </w:r>
      <w:r w:rsidR="001105F8">
        <w:rPr>
          <w:rFonts w:eastAsia="Times New Roman" w:cs="Times New Roman"/>
        </w:rPr>
        <w:t>trad</w:t>
      </w:r>
      <w:r w:rsidR="001105F8">
        <w:rPr>
          <w:rFonts w:eastAsia="Times New Roman" w:cs="Times New Roman"/>
        </w:rPr>
        <w:t>i</w:t>
      </w:r>
      <w:r w:rsidR="001105F8">
        <w:rPr>
          <w:rFonts w:eastAsia="Times New Roman" w:cs="Times New Roman"/>
        </w:rPr>
        <w:t xml:space="preserve">tionelle </w:t>
      </w:r>
      <w:r>
        <w:t>Dualismus</w:t>
      </w:r>
      <w:r w:rsidR="005D7996">
        <w:fldChar w:fldCharType="begin"/>
      </w:r>
      <w:r w:rsidR="00907321">
        <w:instrText xml:space="preserve"> XE "</w:instrText>
      </w:r>
      <w:r w:rsidR="00907321" w:rsidRPr="00386BF6">
        <w:instrText>Dualismus (Stilauffassung)</w:instrText>
      </w:r>
      <w:r w:rsidR="00907321">
        <w:instrText xml:space="preserve">" </w:instrText>
      </w:r>
      <w:r w:rsidR="005D7996">
        <w:fldChar w:fldCharType="end"/>
      </w:r>
      <w:r>
        <w:t>/Monismus</w:t>
      </w:r>
      <w:r w:rsidR="005D7996">
        <w:fldChar w:fldCharType="begin"/>
      </w:r>
      <w:r w:rsidR="00907321">
        <w:instrText xml:space="preserve"> XE "</w:instrText>
      </w:r>
      <w:r w:rsidR="00907321" w:rsidRPr="002F2593">
        <w:instrText>Monismus (Stilauffassung)</w:instrText>
      </w:r>
      <w:r w:rsidR="00907321">
        <w:instrText xml:space="preserve">" </w:instrText>
      </w:r>
      <w:r w:rsidR="005D7996">
        <w:fldChar w:fldCharType="end"/>
      </w:r>
      <w:r>
        <w:t>-</w:t>
      </w:r>
      <w:r w:rsidR="001105F8">
        <w:t>Unterscheidung</w:t>
      </w:r>
      <w:r>
        <w:rPr>
          <w:rStyle w:val="Funotenzeichen"/>
        </w:rPr>
        <w:footnoteReference w:id="174"/>
      </w:r>
      <w:r>
        <w:t xml:space="preserve"> in die Aufteilung dieses Kap</w:t>
      </w:r>
      <w:r>
        <w:t>i</w:t>
      </w:r>
      <w:r>
        <w:t>tels einordnen. Aus Sicht der vorgelegten Stiltheorie zeigt sich nämlich, dass beide Ansätze Recht hatten, allerdings den Schwerpunkt auf verschiedene A</w:t>
      </w:r>
      <w:r>
        <w:t>s</w:t>
      </w:r>
      <w:r>
        <w:t>pekte von Stil legten.</w:t>
      </w:r>
    </w:p>
    <w:p w:rsidR="00C8644C" w:rsidRDefault="00B33A67" w:rsidP="00C8644C">
      <w:pPr>
        <w:pStyle w:val="Text"/>
      </w:pPr>
      <w:r>
        <w:t>(</w:t>
      </w:r>
      <w:r w:rsidR="00C8644C">
        <w:t>1</w:t>
      </w:r>
      <w:r>
        <w:t>)</w:t>
      </w:r>
      <w:r w:rsidR="00C8644C">
        <w:tab/>
        <w:t>Der dualistische Ansatz führt direkt zu „Stil ist Auswahl“, denn wenn Stil „</w:t>
      </w:r>
      <w:r w:rsidR="00195DAB">
        <w:t xml:space="preserve">the </w:t>
      </w:r>
      <w:r w:rsidR="00986676">
        <w:t>d</w:t>
      </w:r>
      <w:r w:rsidR="00C8644C">
        <w:t>ress of thought</w:t>
      </w:r>
      <w:r w:rsidR="005D7996">
        <w:fldChar w:fldCharType="begin"/>
      </w:r>
      <w:r w:rsidR="00502433">
        <w:instrText xml:space="preserve"> XE "</w:instrText>
      </w:r>
      <w:r w:rsidR="00502433" w:rsidRPr="00AF136D">
        <w:instrText>dress of thought (Wesley)</w:instrText>
      </w:r>
      <w:r w:rsidR="00502433">
        <w:instrText xml:space="preserve">" </w:instrText>
      </w:r>
      <w:r w:rsidR="005D7996">
        <w:fldChar w:fldCharType="end"/>
      </w:r>
      <w:r w:rsidR="00C8644C">
        <w:t>“ ist, dann gibt es etwas Gegebenes (die auszudrücke</w:t>
      </w:r>
      <w:r w:rsidR="00C8644C">
        <w:t>n</w:t>
      </w:r>
      <w:r w:rsidR="00C8644C">
        <w:t>den Gedanken), für die ein Ausdruck gewählt wird. Beide lassen sich trennen, so wie man seine Kleidung ausziehen kann.</w:t>
      </w:r>
    </w:p>
    <w:p w:rsidR="00C8644C" w:rsidRDefault="00B33A67" w:rsidP="00C8644C">
      <w:pPr>
        <w:pStyle w:val="Text"/>
        <w:rPr>
          <w:rFonts w:eastAsia="Times New Roman" w:cs="Times New Roman"/>
        </w:rPr>
      </w:pPr>
      <w:r>
        <w:t>(</w:t>
      </w:r>
      <w:r w:rsidR="00C8644C">
        <w:t>2</w:t>
      </w:r>
      <w:r>
        <w:t>)</w:t>
      </w:r>
      <w:r w:rsidR="00C8644C">
        <w:tab/>
        <w:t>Der monistische Ansatz erkennt den Zeichencharakter von Stil. Die Metapher „</w:t>
      </w:r>
      <w:r w:rsidR="00986676">
        <w:t xml:space="preserve">le style est l’homme même“ (‚der Stil ist der Mensch selbst‘) </w:t>
      </w:r>
      <w:r w:rsidR="00C8644C">
        <w:t xml:space="preserve">lässt sich </w:t>
      </w:r>
      <w:r w:rsidR="00986676">
        <w:t>entmetaphorisiert</w:t>
      </w:r>
      <w:r w:rsidR="00C8644C">
        <w:t xml:space="preserve"> ausdrücken als „Stil hängt mit dem </w:t>
      </w:r>
      <w:r w:rsidR="00986676">
        <w:t>Menschen selbst zusa</w:t>
      </w:r>
      <w:r w:rsidR="00986676">
        <w:t>m</w:t>
      </w:r>
      <w:r w:rsidR="00986676">
        <w:t>men“ oder bereits semiotischer formuliert</w:t>
      </w:r>
      <w:r w:rsidR="00C8644C">
        <w:t xml:space="preserve"> „Stil bedeutet den Menschen selbst“, „Stil drückt den Menschen selbst aus“. Dieser Ansatz betont, dass Stil nichts dem Menschen Äußeres ist, sondern mit seiner Persönlichkeit, seinen Erfahru</w:t>
      </w:r>
      <w:r w:rsidR="00C8644C">
        <w:t>n</w:t>
      </w:r>
      <w:r w:rsidR="00C8644C">
        <w:t>gen und tatsächlich mit allem anderen, w</w:t>
      </w:r>
      <w:r w:rsidR="00986676">
        <w:t xml:space="preserve">as ihn ausmacht, zusammenhängt und </w:t>
      </w:r>
      <w:r w:rsidR="0000110E">
        <w:t xml:space="preserve">damit </w:t>
      </w:r>
      <w:r w:rsidR="00986676">
        <w:t xml:space="preserve">Rückschlüsse auf diese Bereiche ermöglicht. </w:t>
      </w:r>
      <w:r w:rsidR="00C8644C">
        <w:t xml:space="preserve">Dies ist der Zeichenaspekt </w:t>
      </w:r>
      <w:r w:rsidR="0000110E">
        <w:t>von Stil</w:t>
      </w:r>
      <w:r w:rsidR="00C8644C">
        <w:t>. Der monistische Ansatz betont, dass es nicht auf die Oberfläche a</w:t>
      </w:r>
      <w:r w:rsidR="00C8644C">
        <w:t>n</w:t>
      </w:r>
      <w:r w:rsidR="00C8644C">
        <w:t>kommt, also die konkret gewählten Varianten, und lenkt damit die Aufmer</w:t>
      </w:r>
      <w:r w:rsidR="00C8644C">
        <w:t>k</w:t>
      </w:r>
      <w:r w:rsidR="00C8644C">
        <w:t>samkeit vom Zeichenträger auf den Zeicheninhalt.</w:t>
      </w:r>
    </w:p>
    <w:p w:rsidR="00520DD3" w:rsidRDefault="00520DD3" w:rsidP="00520DD3">
      <w:pPr>
        <w:rPr>
          <w:rFonts w:eastAsia="Times New Roman" w:cs="Times New Roman"/>
        </w:rPr>
      </w:pPr>
      <w:r>
        <w:rPr>
          <w:rFonts w:eastAsia="Times New Roman" w:cs="Times New Roman"/>
        </w:rPr>
        <w:t>Häufig wird ohne semiotischen Hintergrund Stil als „Sprache“ charakter</w:t>
      </w:r>
      <w:r>
        <w:rPr>
          <w:rFonts w:eastAsia="Times New Roman" w:cs="Times New Roman"/>
        </w:rPr>
        <w:t>i</w:t>
      </w:r>
      <w:r>
        <w:rPr>
          <w:rFonts w:eastAsia="Times New Roman" w:cs="Times New Roman"/>
        </w:rPr>
        <w:t>siert.</w:t>
      </w:r>
      <w:r>
        <w:rPr>
          <w:rStyle w:val="Funotenzeichen"/>
          <w:rFonts w:eastAsia="Times New Roman" w:cs="Times New Roman"/>
        </w:rPr>
        <w:footnoteReference w:id="175"/>
      </w:r>
      <w:r>
        <w:rPr>
          <w:rFonts w:eastAsia="Times New Roman" w:cs="Times New Roman"/>
        </w:rPr>
        <w:t xml:space="preserve"> In solchen Ansätzen wird implizit ein semiotischer Ansatz verfolgt, i</w:t>
      </w:r>
      <w:r>
        <w:rPr>
          <w:rFonts w:eastAsia="Times New Roman" w:cs="Times New Roman"/>
        </w:rPr>
        <w:t>n</w:t>
      </w:r>
      <w:r>
        <w:rPr>
          <w:rFonts w:eastAsia="Times New Roman" w:cs="Times New Roman"/>
        </w:rPr>
        <w:t>dem Stil als Zeichen gedacht wird. Tatsächlich ist Sprache allerdings ein schlec</w:t>
      </w:r>
      <w:r>
        <w:rPr>
          <w:rFonts w:eastAsia="Times New Roman" w:cs="Times New Roman"/>
        </w:rPr>
        <w:t>h</w:t>
      </w:r>
      <w:r>
        <w:rPr>
          <w:rFonts w:eastAsia="Times New Roman" w:cs="Times New Roman"/>
        </w:rPr>
        <w:t>tes Modell für Stil, da sie ein Zeichensystem (= Kode</w:t>
      </w:r>
      <w:r w:rsidR="005D7996">
        <w:rPr>
          <w:rFonts w:eastAsia="Times New Roman" w:cs="Times New Roman"/>
        </w:rPr>
        <w:fldChar w:fldCharType="begin"/>
      </w:r>
      <w:r w:rsidR="00B2444A">
        <w:instrText xml:space="preserve"> XE "</w:instrText>
      </w:r>
      <w:r w:rsidR="00B2444A" w:rsidRPr="00843AC3">
        <w:instrText>Kode</w:instrText>
      </w:r>
      <w:r w:rsidR="00B2444A">
        <w:instrText xml:space="preserve">" </w:instrText>
      </w:r>
      <w:r w:rsidR="005D7996">
        <w:rPr>
          <w:rFonts w:eastAsia="Times New Roman" w:cs="Times New Roman"/>
        </w:rPr>
        <w:fldChar w:fldCharType="end"/>
      </w:r>
      <w:r>
        <w:rPr>
          <w:rFonts w:eastAsia="Times New Roman" w:cs="Times New Roman"/>
        </w:rPr>
        <w:t>), also eine Menge kodie</w:t>
      </w:r>
      <w:r>
        <w:rPr>
          <w:rFonts w:eastAsia="Times New Roman" w:cs="Times New Roman"/>
        </w:rPr>
        <w:t>r</w:t>
      </w:r>
      <w:r>
        <w:rPr>
          <w:rFonts w:eastAsia="Times New Roman" w:cs="Times New Roman"/>
        </w:rPr>
        <w:t>ter Zeichen mit Kombinationsregeln</w:t>
      </w:r>
      <w:r w:rsidR="005D7996">
        <w:rPr>
          <w:rFonts w:eastAsia="Times New Roman" w:cs="Times New Roman"/>
        </w:rPr>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rPr>
          <w:rFonts w:eastAsia="Times New Roman" w:cs="Times New Roman"/>
        </w:rPr>
        <w:fldChar w:fldCharType="end"/>
      </w:r>
      <w:r>
        <w:rPr>
          <w:rFonts w:eastAsia="Times New Roman" w:cs="Times New Roman"/>
        </w:rPr>
        <w:t xml:space="preserve">, ist, während Stil </w:t>
      </w:r>
      <w:r w:rsidR="00201A02">
        <w:rPr>
          <w:rFonts w:eastAsia="Times New Roman" w:cs="Times New Roman"/>
        </w:rPr>
        <w:t xml:space="preserve">in erster Linie </w:t>
      </w:r>
      <w:r>
        <w:rPr>
          <w:rFonts w:eastAsia="Times New Roman" w:cs="Times New Roman"/>
        </w:rPr>
        <w:t>ein nicht-kodierter</w:t>
      </w:r>
      <w:r w:rsidR="00201A02">
        <w:rPr>
          <w:rFonts w:eastAsia="Times New Roman" w:cs="Times New Roman"/>
        </w:rPr>
        <w:t xml:space="preserve">, nämlich indexikalischer </w:t>
      </w:r>
      <w:r>
        <w:rPr>
          <w:rFonts w:eastAsia="Times New Roman" w:cs="Times New Roman"/>
        </w:rPr>
        <w:t>Zeichenprozess ist, der auf Auswahl beruht</w:t>
      </w:r>
      <w:r w:rsidR="00201A02">
        <w:rPr>
          <w:rFonts w:eastAsia="Times New Roman" w:cs="Times New Roman"/>
        </w:rPr>
        <w:t xml:space="preserve"> (vgl. Abschnitt </w:t>
      </w:r>
      <w:r w:rsidR="005D7996">
        <w:rPr>
          <w:rFonts w:eastAsia="Times New Roman" w:cs="Times New Roman"/>
        </w:rPr>
        <w:fldChar w:fldCharType="begin"/>
      </w:r>
      <w:r w:rsidR="00201A02">
        <w:rPr>
          <w:rFonts w:eastAsia="Times New Roman" w:cs="Times New Roman"/>
        </w:rPr>
        <w:instrText xml:space="preserve"> REF _Ref271823807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5.6</w:t>
      </w:r>
      <w:r w:rsidR="005D7996">
        <w:rPr>
          <w:rFonts w:eastAsia="Times New Roman" w:cs="Times New Roman"/>
        </w:rPr>
        <w:fldChar w:fldCharType="end"/>
      </w:r>
      <w:r w:rsidR="00201A02">
        <w:rPr>
          <w:rFonts w:eastAsia="Times New Roman" w:cs="Times New Roman"/>
        </w:rPr>
        <w:t>)</w:t>
      </w:r>
      <w:r>
        <w:rPr>
          <w:rFonts w:eastAsia="Times New Roman" w:cs="Times New Roman"/>
        </w:rPr>
        <w:t>.</w:t>
      </w:r>
      <w:r w:rsidR="00E736F9">
        <w:rPr>
          <w:rStyle w:val="Funotenzeichen"/>
          <w:rFonts w:eastAsia="Times New Roman" w:cs="Times New Roman"/>
        </w:rPr>
        <w:footnoteReference w:id="176"/>
      </w:r>
      <w:r>
        <w:rPr>
          <w:rFonts w:eastAsia="Times New Roman" w:cs="Times New Roman"/>
        </w:rPr>
        <w:t xml:space="preserve"> Solche Ansätze bleiben daher meist in Aussagen über die </w:t>
      </w:r>
      <w:r>
        <w:rPr>
          <w:rFonts w:eastAsia="Times New Roman" w:cs="Times New Roman"/>
        </w:rPr>
        <w:lastRenderedPageBreak/>
        <w:t>Bedeutungshaltigkeit von Stil stecken und können nicht beschreiben, wie diese Bedeutungen</w:t>
      </w:r>
      <w:r w:rsidR="00106AD1">
        <w:rPr>
          <w:rFonts w:eastAsia="Times New Roman" w:cs="Times New Roman"/>
        </w:rPr>
        <w:t xml:space="preserve"> </w:t>
      </w:r>
      <w:r>
        <w:rPr>
          <w:rFonts w:eastAsia="Times New Roman" w:cs="Times New Roman"/>
        </w:rPr>
        <w:t>in Realisierungen (</w:t>
      </w:r>
      <w:r w:rsidR="000D7A80">
        <w:rPr>
          <w:rFonts w:eastAsia="Times New Roman" w:cs="Times New Roman"/>
        </w:rPr>
        <w:t>einen Text;</w:t>
      </w:r>
      <w:r>
        <w:rPr>
          <w:rFonts w:eastAsia="Times New Roman" w:cs="Times New Roman"/>
        </w:rPr>
        <w:t xml:space="preserve"> </w:t>
      </w:r>
      <w:r w:rsidR="000D7A80">
        <w:rPr>
          <w:rFonts w:eastAsia="Times New Roman" w:cs="Times New Roman"/>
        </w:rPr>
        <w:t xml:space="preserve">ein </w:t>
      </w:r>
      <w:r>
        <w:rPr>
          <w:rFonts w:eastAsia="Times New Roman" w:cs="Times New Roman"/>
        </w:rPr>
        <w:t>Gebäude) kommen und aus i</w:t>
      </w:r>
      <w:r>
        <w:rPr>
          <w:rFonts w:eastAsia="Times New Roman" w:cs="Times New Roman"/>
        </w:rPr>
        <w:t>h</w:t>
      </w:r>
      <w:r>
        <w:rPr>
          <w:rFonts w:eastAsia="Times New Roman" w:cs="Times New Roman"/>
        </w:rPr>
        <w:t xml:space="preserve">nen ausgelesen werden. Schließlich gibt es bei Stil keinen Kode, der </w:t>
      </w:r>
      <w:r w:rsidR="00912D21">
        <w:rPr>
          <w:rFonts w:eastAsia="Times New Roman" w:cs="Times New Roman"/>
        </w:rPr>
        <w:t>zwei Ko</w:t>
      </w:r>
      <w:r w:rsidR="00912D21">
        <w:rPr>
          <w:rFonts w:eastAsia="Times New Roman" w:cs="Times New Roman"/>
        </w:rPr>
        <w:t>m</w:t>
      </w:r>
      <w:r w:rsidR="00912D21">
        <w:rPr>
          <w:rFonts w:eastAsia="Times New Roman" w:cs="Times New Roman"/>
        </w:rPr>
        <w:t>munikationspartnern bekannt ist</w:t>
      </w:r>
      <w:r w:rsidR="00106AD1">
        <w:rPr>
          <w:rFonts w:eastAsia="Times New Roman" w:cs="Times New Roman"/>
        </w:rPr>
        <w:t xml:space="preserve"> und zwischen ihnen </w:t>
      </w:r>
      <w:r>
        <w:rPr>
          <w:rFonts w:eastAsia="Times New Roman" w:cs="Times New Roman"/>
        </w:rPr>
        <w:t xml:space="preserve">die </w:t>
      </w:r>
      <w:r w:rsidR="00912D21">
        <w:rPr>
          <w:rFonts w:eastAsia="Times New Roman" w:cs="Times New Roman"/>
        </w:rPr>
        <w:t>Übertragung einer Botschaft</w:t>
      </w:r>
      <w:r w:rsidR="005D7996">
        <w:rPr>
          <w:rFonts w:eastAsia="Times New Roman" w:cs="Times New Roman"/>
        </w:rPr>
        <w:fldChar w:fldCharType="begin"/>
      </w:r>
      <w:r w:rsidR="0025452C">
        <w:instrText xml:space="preserve"> XE "</w:instrText>
      </w:r>
      <w:r w:rsidR="0025452C" w:rsidRPr="005F1FEF">
        <w:rPr>
          <w:rFonts w:eastAsia="Times New Roman" w:cs="Times New Roman"/>
        </w:rPr>
        <w:instrText>Botschaft</w:instrText>
      </w:r>
      <w:r w:rsidR="0025452C">
        <w:instrText xml:space="preserve">" </w:instrText>
      </w:r>
      <w:r w:rsidR="005D7996">
        <w:rPr>
          <w:rFonts w:eastAsia="Times New Roman" w:cs="Times New Roman"/>
        </w:rPr>
        <w:fldChar w:fldCharType="end"/>
      </w:r>
      <w:r w:rsidR="00912D21">
        <w:rPr>
          <w:rFonts w:eastAsia="Times New Roman" w:cs="Times New Roman"/>
        </w:rPr>
        <w:t xml:space="preserve"> </w:t>
      </w:r>
      <w:r w:rsidR="000D7A80">
        <w:rPr>
          <w:rFonts w:eastAsia="Times New Roman" w:cs="Times New Roman"/>
        </w:rPr>
        <w:t>ermöglicht.</w:t>
      </w:r>
    </w:p>
    <w:p w:rsidR="00285B37" w:rsidRDefault="000D7A80" w:rsidP="005A5093">
      <w:pPr>
        <w:rPr>
          <w:rFonts w:eastAsia="Times New Roman" w:cs="Times New Roman"/>
        </w:rPr>
      </w:pPr>
      <w:r>
        <w:rPr>
          <w:rFonts w:eastAsia="Times New Roman" w:cs="Times New Roman"/>
        </w:rPr>
        <w:t xml:space="preserve">Doch auch </w:t>
      </w:r>
      <w:r w:rsidR="00C8644C">
        <w:rPr>
          <w:rFonts w:eastAsia="Times New Roman" w:cs="Times New Roman"/>
        </w:rPr>
        <w:t xml:space="preserve">explizit </w:t>
      </w:r>
      <w:r>
        <w:rPr>
          <w:rFonts w:eastAsia="Times New Roman" w:cs="Times New Roman"/>
        </w:rPr>
        <w:t>semiotische Ansätze konnten dieses Problem bislang nicht befriedigend lösen. So verweist zwar Max Bense</w:t>
      </w:r>
      <w:r w:rsidR="005D7996">
        <w:rPr>
          <w:rFonts w:eastAsia="Times New Roman" w:cs="Times New Roman"/>
        </w:rPr>
        <w:fldChar w:fldCharType="begin"/>
      </w:r>
      <w:r w:rsidR="00313835">
        <w:instrText xml:space="preserve"> XE "</w:instrText>
      </w:r>
      <w:r w:rsidR="00313835" w:rsidRPr="00FF6490">
        <w:rPr>
          <w:rFonts w:eastAsia="Times New Roman" w:cs="Times New Roman"/>
        </w:rPr>
        <w:instrText>Bense, Max</w:instrText>
      </w:r>
      <w:r w:rsidR="00313835">
        <w:instrText xml:space="preserve">" </w:instrText>
      </w:r>
      <w:r w:rsidR="005D7996">
        <w:rPr>
          <w:rFonts w:eastAsia="Times New Roman" w:cs="Times New Roman"/>
        </w:rPr>
        <w:fldChar w:fldCharType="end"/>
      </w:r>
      <w:r>
        <w:rPr>
          <w:rFonts w:eastAsia="Times New Roman" w:cs="Times New Roman"/>
        </w:rPr>
        <w:t xml:space="preserve">, wie </w:t>
      </w:r>
      <w:r w:rsidR="00285B37" w:rsidRPr="00474DFC">
        <w:rPr>
          <w:rFonts w:eastAsia="Times New Roman" w:cs="Times New Roman"/>
        </w:rPr>
        <w:t>Udo Bayer</w:t>
      </w:r>
      <w:r w:rsidR="00285B37" w:rsidRPr="008C5FE0">
        <w:rPr>
          <w:rFonts w:eastAsia="Times New Roman" w:cs="Times New Roman"/>
        </w:rPr>
        <w:t xml:space="preserve"> </w:t>
      </w:r>
      <w:r w:rsidR="00285B37">
        <w:rPr>
          <w:rFonts w:eastAsia="Times New Roman" w:cs="Times New Roman"/>
        </w:rPr>
        <w:t>erläutert, auf das Vorhandensein einer „generalisierten abstrakten Form“, die allen Kün</w:t>
      </w:r>
      <w:r w:rsidR="00285B37">
        <w:rPr>
          <w:rFonts w:eastAsia="Times New Roman" w:cs="Times New Roman"/>
        </w:rPr>
        <w:t>s</w:t>
      </w:r>
      <w:r w:rsidR="00285B37">
        <w:rPr>
          <w:rFonts w:eastAsia="Times New Roman" w:cs="Times New Roman"/>
        </w:rPr>
        <w:t xml:space="preserve">ten zugrunde liege; durch ihre Analyse </w:t>
      </w:r>
      <w:r w:rsidR="00D65AA2">
        <w:rPr>
          <w:rFonts w:eastAsia="Times New Roman" w:cs="Times New Roman"/>
        </w:rPr>
        <w:t>könne</w:t>
      </w:r>
      <w:r w:rsidR="00285B37">
        <w:rPr>
          <w:rFonts w:eastAsia="Times New Roman" w:cs="Times New Roman"/>
        </w:rPr>
        <w:t xml:space="preserve"> man sich einer bereichsübergre</w:t>
      </w:r>
      <w:r w:rsidR="00285B37">
        <w:rPr>
          <w:rFonts w:eastAsia="Times New Roman" w:cs="Times New Roman"/>
        </w:rPr>
        <w:t>i</w:t>
      </w:r>
      <w:r w:rsidR="00285B37">
        <w:rPr>
          <w:rFonts w:eastAsia="Times New Roman" w:cs="Times New Roman"/>
        </w:rPr>
        <w:t>fenden Stiltheorie nähern.</w:t>
      </w:r>
      <w:r w:rsidR="00285B37">
        <w:rPr>
          <w:rStyle w:val="Funotenzeichen"/>
          <w:rFonts w:eastAsia="Times New Roman" w:cs="Times New Roman"/>
        </w:rPr>
        <w:footnoteReference w:id="177"/>
      </w:r>
      <w:r w:rsidR="00285B37">
        <w:rPr>
          <w:rFonts w:eastAsia="Times New Roman" w:cs="Times New Roman"/>
        </w:rPr>
        <w:t xml:space="preserve"> </w:t>
      </w:r>
      <w:r w:rsidR="004E0376">
        <w:rPr>
          <w:rFonts w:eastAsia="Times New Roman" w:cs="Times New Roman"/>
        </w:rPr>
        <w:t>Bayer</w:t>
      </w:r>
      <w:r w:rsidR="00285B37">
        <w:rPr>
          <w:rFonts w:eastAsia="Times New Roman" w:cs="Times New Roman"/>
        </w:rPr>
        <w:t xml:space="preserve"> definiert </w:t>
      </w:r>
      <w:r w:rsidR="004E0376">
        <w:rPr>
          <w:rFonts w:eastAsia="Times New Roman" w:cs="Times New Roman"/>
        </w:rPr>
        <w:t xml:space="preserve">ausgehend von </w:t>
      </w:r>
      <w:r w:rsidR="00285B37">
        <w:rPr>
          <w:rFonts w:eastAsia="Times New Roman" w:cs="Times New Roman"/>
        </w:rPr>
        <w:t>Benses Theorie der ästhetischen Eigenrealität Stil einerseits als ästhetische Konstitutionskategorie (wobei dann die Bezüge auf andere Kunstwerke, Traditionen usw. untersucht werden) und andererseits als Repräsentationskategorie (wobei die Bezüge zur Welt untersucht werden); beide Bezugsarten lassen sich mit semiotischer Term</w:t>
      </w:r>
      <w:r w:rsidR="00285B37">
        <w:rPr>
          <w:rFonts w:eastAsia="Times New Roman" w:cs="Times New Roman"/>
        </w:rPr>
        <w:t>i</w:t>
      </w:r>
      <w:r w:rsidR="00285B37">
        <w:rPr>
          <w:rFonts w:eastAsia="Times New Roman" w:cs="Times New Roman"/>
        </w:rPr>
        <w:t>nologie beschreiben. Dieser Ansatz ist zwar bereichsübergreifend und semi</w:t>
      </w:r>
      <w:r w:rsidR="00285B37">
        <w:rPr>
          <w:rFonts w:eastAsia="Times New Roman" w:cs="Times New Roman"/>
        </w:rPr>
        <w:t>o</w:t>
      </w:r>
      <w:r w:rsidR="00285B37">
        <w:rPr>
          <w:rFonts w:eastAsia="Times New Roman" w:cs="Times New Roman"/>
        </w:rPr>
        <w:t>tisch, aber es bleibt unklar, was nun das Spezifische an Stil im Vergleich mit a</w:t>
      </w:r>
      <w:r w:rsidR="00285B37">
        <w:rPr>
          <w:rFonts w:eastAsia="Times New Roman" w:cs="Times New Roman"/>
        </w:rPr>
        <w:t>n</w:t>
      </w:r>
      <w:r w:rsidR="00285B37">
        <w:rPr>
          <w:rFonts w:eastAsia="Times New Roman" w:cs="Times New Roman"/>
        </w:rPr>
        <w:t>deren Formphänomenen ist, schließlich ist nicht jede Gestaltungsweise stili</w:t>
      </w:r>
      <w:r w:rsidR="00285B37">
        <w:rPr>
          <w:rFonts w:eastAsia="Times New Roman" w:cs="Times New Roman"/>
        </w:rPr>
        <w:t>s</w:t>
      </w:r>
      <w:r w:rsidR="00285B37">
        <w:rPr>
          <w:rFonts w:eastAsia="Times New Roman" w:cs="Times New Roman"/>
        </w:rPr>
        <w:t>tisch. Es wird nicht erkannt, dass Stil nur vorliegt, wenn schemabasierte Auswahl zum Zeichen wird; dadurch drohen jene Probleme, die bei nicht auswahlbasie</w:t>
      </w:r>
      <w:r w:rsidR="00285B37">
        <w:rPr>
          <w:rFonts w:eastAsia="Times New Roman" w:cs="Times New Roman"/>
        </w:rPr>
        <w:t>r</w:t>
      </w:r>
      <w:r w:rsidR="00285B37">
        <w:rPr>
          <w:rFonts w:eastAsia="Times New Roman" w:cs="Times New Roman"/>
        </w:rPr>
        <w:t xml:space="preserve">ten Ansätzen generell auftreten (vgl. Abschnitt </w:t>
      </w:r>
      <w:r w:rsidR="005D7996">
        <w:rPr>
          <w:rFonts w:eastAsia="Times New Roman" w:cs="Times New Roman"/>
        </w:rPr>
        <w:fldChar w:fldCharType="begin"/>
      </w:r>
      <w:r w:rsidR="00285B37">
        <w:rPr>
          <w:rFonts w:eastAsia="Times New Roman" w:cs="Times New Roman"/>
        </w:rPr>
        <w:instrText xml:space="preserve"> REF _Ref260056929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2.1</w:t>
      </w:r>
      <w:r w:rsidR="005D7996">
        <w:rPr>
          <w:rFonts w:eastAsia="Times New Roman" w:cs="Times New Roman"/>
        </w:rPr>
        <w:fldChar w:fldCharType="end"/>
      </w:r>
      <w:r w:rsidR="00285B37">
        <w:rPr>
          <w:rFonts w:eastAsia="Times New Roman" w:cs="Times New Roman"/>
        </w:rPr>
        <w:t>).</w:t>
      </w:r>
    </w:p>
    <w:p w:rsidR="002B635A" w:rsidRPr="00817FD7" w:rsidRDefault="002B635A" w:rsidP="002B635A">
      <w:pPr>
        <w:rPr>
          <w:rFonts w:eastAsia="Times New Roman" w:cs="Times New Roman"/>
        </w:rPr>
      </w:pPr>
      <w:r w:rsidRPr="00817FD7">
        <w:rPr>
          <w:rFonts w:eastAsia="Times New Roman" w:cs="Times New Roman"/>
        </w:rPr>
        <w:t>Nelson Goodman</w:t>
      </w:r>
      <w:r w:rsidR="005D7996">
        <w:rPr>
          <w:rFonts w:eastAsia="Times New Roman" w:cs="Times New Roman"/>
        </w:rPr>
        <w:fldChar w:fldCharType="begin"/>
      </w:r>
      <w:r w:rsidR="000F5A6E">
        <w:instrText xml:space="preserve"> XE "</w:instrText>
      </w:r>
      <w:r w:rsidR="000F5A6E" w:rsidRPr="00D71C2F">
        <w:rPr>
          <w:rFonts w:eastAsia="Times New Roman" w:cs="Times New Roman"/>
        </w:rPr>
        <w:instrText>Goodman, Nelson</w:instrText>
      </w:r>
      <w:r w:rsidR="000F5A6E">
        <w:instrText xml:space="preserve">" </w:instrText>
      </w:r>
      <w:r w:rsidR="005D7996">
        <w:rPr>
          <w:rFonts w:eastAsia="Times New Roman" w:cs="Times New Roman"/>
        </w:rPr>
        <w:fldChar w:fldCharType="end"/>
      </w:r>
      <w:r w:rsidRPr="00817FD7">
        <w:rPr>
          <w:rFonts w:eastAsia="Times New Roman" w:cs="Times New Roman"/>
        </w:rPr>
        <w:t xml:space="preserve"> </w:t>
      </w:r>
      <w:r w:rsidR="005B0851">
        <w:rPr>
          <w:rFonts w:eastAsia="Times New Roman" w:cs="Times New Roman"/>
        </w:rPr>
        <w:t xml:space="preserve">bezieht stilistische Merkmale auf die </w:t>
      </w:r>
      <w:r w:rsidR="00676CCE">
        <w:rPr>
          <w:rFonts w:eastAsia="Times New Roman" w:cs="Times New Roman"/>
        </w:rPr>
        <w:t>Zeichen</w:t>
      </w:r>
      <w:r w:rsidR="005B0851">
        <w:rPr>
          <w:rFonts w:eastAsia="Times New Roman" w:cs="Times New Roman"/>
        </w:rPr>
        <w:t>funktionen</w:t>
      </w:r>
      <w:r w:rsidR="00BC548F">
        <w:rPr>
          <w:rFonts w:eastAsia="Times New Roman" w:cs="Times New Roman"/>
        </w:rPr>
        <w:t xml:space="preserve"> Darstellung, Exemplifizierung und Ausdruck</w:t>
      </w:r>
      <w:r w:rsidR="00BA06FF">
        <w:rPr>
          <w:rFonts w:eastAsia="Times New Roman" w:cs="Times New Roman"/>
        </w:rPr>
        <w:t xml:space="preserve">, beschränkt dann aber </w:t>
      </w:r>
      <w:r w:rsidR="000978BF">
        <w:rPr>
          <w:rFonts w:eastAsia="Times New Roman" w:cs="Times New Roman"/>
        </w:rPr>
        <w:t>die Anwe</w:t>
      </w:r>
      <w:r w:rsidR="000978BF">
        <w:rPr>
          <w:rFonts w:eastAsia="Times New Roman" w:cs="Times New Roman"/>
        </w:rPr>
        <w:t>n</w:t>
      </w:r>
      <w:r w:rsidR="000978BF">
        <w:rPr>
          <w:rFonts w:eastAsia="Times New Roman" w:cs="Times New Roman"/>
        </w:rPr>
        <w:t xml:space="preserve">dung dieser Auffassung </w:t>
      </w:r>
      <w:r w:rsidR="00BA06FF">
        <w:rPr>
          <w:rFonts w:eastAsia="Times New Roman" w:cs="Times New Roman"/>
        </w:rPr>
        <w:t>darauf, bisherige Einteilungen</w:t>
      </w:r>
      <w:r w:rsidR="00BA06FF">
        <w:rPr>
          <w:rStyle w:val="Funotenzeichen"/>
          <w:rFonts w:eastAsia="Times New Roman" w:cs="Times New Roman"/>
        </w:rPr>
        <w:footnoteReference w:id="178"/>
      </w:r>
      <w:r w:rsidR="00BA06FF">
        <w:rPr>
          <w:rFonts w:eastAsia="Times New Roman" w:cs="Times New Roman"/>
        </w:rPr>
        <w:t xml:space="preserve"> zurückzuweisen:</w:t>
      </w:r>
      <w:r>
        <w:rPr>
          <w:rStyle w:val="Funotenzeichen"/>
          <w:rFonts w:eastAsia="Times New Roman" w:cs="Times New Roman"/>
        </w:rPr>
        <w:footnoteReference w:id="179"/>
      </w:r>
    </w:p>
    <w:p w:rsidR="002B635A" w:rsidRPr="00817FD7" w:rsidRDefault="00BA06FF" w:rsidP="002B635A">
      <w:pPr>
        <w:pStyle w:val="Zitat"/>
        <w:rPr>
          <w:lang w:val="en-US"/>
        </w:rPr>
      </w:pPr>
      <w:r>
        <w:rPr>
          <w:lang w:val="en-US"/>
        </w:rPr>
        <w:t>a feature of style may be a feature of what is said, of what is exemplified, or of what is expressed. Goya and El Greco characteristically differ in all three ways: in subject matter, drawing, and feeling. Features of any of these kinds may also be ways of performing one or more of the three functions. […] I am urging explicit recognition of aspects of style that, while often considered by critics, are shortchanged by traditional theory. This does not answer but only unde</w:t>
      </w:r>
      <w:r>
        <w:rPr>
          <w:lang w:val="en-US"/>
        </w:rPr>
        <w:t>r</w:t>
      </w:r>
      <w:r>
        <w:rPr>
          <w:lang w:val="en-US"/>
        </w:rPr>
        <w:t>lines the question what in general distinguishes stylistic features from others?</w:t>
      </w:r>
    </w:p>
    <w:p w:rsidR="00882A91" w:rsidRDefault="00BA06FF" w:rsidP="00AB73B6">
      <w:pPr>
        <w:ind w:firstLine="0"/>
        <w:rPr>
          <w:rFonts w:eastAsia="Times New Roman" w:cs="Times New Roman"/>
        </w:rPr>
      </w:pPr>
      <w:r>
        <w:rPr>
          <w:rFonts w:eastAsia="Times New Roman" w:cs="Times New Roman"/>
        </w:rPr>
        <w:t>Goodman versucht dann eine Definition über die Zuschreibungs</w:t>
      </w:r>
      <w:r w:rsidR="00F63410">
        <w:rPr>
          <w:rFonts w:eastAsia="Times New Roman" w:cs="Times New Roman"/>
        </w:rPr>
        <w:t>funktion von</w:t>
      </w:r>
      <w:r>
        <w:rPr>
          <w:rFonts w:eastAsia="Times New Roman" w:cs="Times New Roman"/>
        </w:rPr>
        <w:t xml:space="preserve"> Stil:</w:t>
      </w:r>
      <w:r w:rsidR="00283220">
        <w:rPr>
          <w:rFonts w:eastAsia="Times New Roman" w:cs="Times New Roman"/>
        </w:rPr>
        <w:t xml:space="preserve"> Stilistisch seien jene </w:t>
      </w:r>
      <w:r w:rsidR="008723D0">
        <w:rPr>
          <w:rFonts w:eastAsia="Times New Roman" w:cs="Times New Roman"/>
        </w:rPr>
        <w:t xml:space="preserve">Merkmale des Dargestellten, Exemplifizierten oder Ausgedrückten </w:t>
      </w:r>
      <w:r w:rsidR="00F52A51">
        <w:rPr>
          <w:rFonts w:eastAsia="Times New Roman" w:cs="Times New Roman"/>
        </w:rPr>
        <w:t>an einem bestimmten Werk</w:t>
      </w:r>
      <w:r w:rsidR="00283220">
        <w:rPr>
          <w:rFonts w:eastAsia="Times New Roman" w:cs="Times New Roman"/>
        </w:rPr>
        <w:t>, die einen Rückschluss auf den A</w:t>
      </w:r>
      <w:r w:rsidR="00283220">
        <w:rPr>
          <w:rFonts w:eastAsia="Times New Roman" w:cs="Times New Roman"/>
        </w:rPr>
        <w:t>u</w:t>
      </w:r>
      <w:r w:rsidR="00283220">
        <w:rPr>
          <w:rFonts w:eastAsia="Times New Roman" w:cs="Times New Roman"/>
        </w:rPr>
        <w:t>tor, die Entstehungszeit, Region oder Schule ermöglichen.</w:t>
      </w:r>
      <w:r w:rsidR="00283220">
        <w:rPr>
          <w:rStyle w:val="Funotenzeichen"/>
          <w:rFonts w:eastAsia="Times New Roman" w:cs="Times New Roman"/>
        </w:rPr>
        <w:footnoteReference w:id="180"/>
      </w:r>
      <w:r w:rsidR="00283220">
        <w:rPr>
          <w:rFonts w:eastAsia="Times New Roman" w:cs="Times New Roman"/>
        </w:rPr>
        <w:t xml:space="preserve"> </w:t>
      </w:r>
      <w:r w:rsidR="00857CB1">
        <w:rPr>
          <w:rFonts w:eastAsia="Times New Roman" w:cs="Times New Roman"/>
        </w:rPr>
        <w:t>Aber sind die u</w:t>
      </w:r>
      <w:r w:rsidR="00857CB1">
        <w:rPr>
          <w:rFonts w:eastAsia="Times New Roman" w:cs="Times New Roman"/>
        </w:rPr>
        <w:t>n</w:t>
      </w:r>
      <w:r w:rsidR="00857CB1">
        <w:rPr>
          <w:rFonts w:eastAsia="Times New Roman" w:cs="Times New Roman"/>
        </w:rPr>
        <w:t xml:space="preserve">heilschwangere Stimmung und die Anspielungen, die </w:t>
      </w:r>
      <w:r w:rsidR="00C377E0">
        <w:rPr>
          <w:rFonts w:eastAsia="Times New Roman" w:cs="Times New Roman"/>
        </w:rPr>
        <w:t xml:space="preserve">die Datierung eines </w:t>
      </w:r>
      <w:r w:rsidR="00857CB1">
        <w:rPr>
          <w:rFonts w:eastAsia="Times New Roman" w:cs="Times New Roman"/>
        </w:rPr>
        <w:t>G</w:t>
      </w:r>
      <w:r w:rsidR="00857CB1">
        <w:rPr>
          <w:rFonts w:eastAsia="Times New Roman" w:cs="Times New Roman"/>
        </w:rPr>
        <w:t>e</w:t>
      </w:r>
      <w:r w:rsidR="00857CB1">
        <w:rPr>
          <w:rFonts w:eastAsia="Times New Roman" w:cs="Times New Roman"/>
        </w:rPr>
        <w:t>dicht</w:t>
      </w:r>
      <w:r w:rsidR="00C377E0">
        <w:rPr>
          <w:rFonts w:eastAsia="Times New Roman" w:cs="Times New Roman"/>
        </w:rPr>
        <w:t>s</w:t>
      </w:r>
      <w:r w:rsidR="00857CB1">
        <w:rPr>
          <w:rFonts w:eastAsia="Times New Roman" w:cs="Times New Roman"/>
        </w:rPr>
        <w:t xml:space="preserve"> </w:t>
      </w:r>
      <w:r w:rsidR="00C377E0">
        <w:rPr>
          <w:rFonts w:eastAsia="Times New Roman" w:cs="Times New Roman"/>
        </w:rPr>
        <w:t xml:space="preserve">in einen bestimmten Krieg ermöglichen, Aspekte des Stils? Und kann nicht auch </w:t>
      </w:r>
      <w:r w:rsidR="00857CB1">
        <w:rPr>
          <w:rFonts w:eastAsia="Times New Roman" w:cs="Times New Roman"/>
        </w:rPr>
        <w:t>ein Inhalt (etwa eine bestimmte Seeschlacht, die nur bei den Zeitg</w:t>
      </w:r>
      <w:r w:rsidR="00857CB1">
        <w:rPr>
          <w:rFonts w:eastAsia="Times New Roman" w:cs="Times New Roman"/>
        </w:rPr>
        <w:t>e</w:t>
      </w:r>
      <w:r w:rsidR="00857CB1">
        <w:rPr>
          <w:rFonts w:eastAsia="Times New Roman" w:cs="Times New Roman"/>
        </w:rPr>
        <w:t xml:space="preserve">nossen Aufmerksamkeit fand; der Blick aus dem Atelierfenster eines Künstlers; </w:t>
      </w:r>
      <w:r w:rsidR="00857CB1">
        <w:rPr>
          <w:rFonts w:eastAsia="Times New Roman" w:cs="Times New Roman"/>
        </w:rPr>
        <w:lastRenderedPageBreak/>
        <w:t xml:space="preserve">der bekannte Garten bei Nolde) eine Zuschreibung </w:t>
      </w:r>
      <w:r w:rsidR="00C377E0">
        <w:rPr>
          <w:rFonts w:eastAsia="Times New Roman" w:cs="Times New Roman"/>
        </w:rPr>
        <w:t xml:space="preserve">zu einer Epoche oder einem Künstler </w:t>
      </w:r>
      <w:r w:rsidR="00857CB1">
        <w:rPr>
          <w:rFonts w:eastAsia="Times New Roman" w:cs="Times New Roman"/>
        </w:rPr>
        <w:t>ermöglichen? Würden wir deshalb sagen, dass der Garten bei Nolde Teil seines Stils sei</w:t>
      </w:r>
      <w:r w:rsidR="00C377E0">
        <w:rPr>
          <w:rFonts w:eastAsia="Times New Roman" w:cs="Times New Roman"/>
        </w:rPr>
        <w:t xml:space="preserve">? Jakob </w:t>
      </w:r>
      <w:r w:rsidR="00882A91">
        <w:rPr>
          <w:rFonts w:eastAsia="Times New Roman" w:cs="Times New Roman"/>
        </w:rPr>
        <w:t xml:space="preserve">Steinbrenner kritisiert </w:t>
      </w:r>
      <w:r w:rsidR="00C377E0">
        <w:rPr>
          <w:rFonts w:eastAsia="Times New Roman" w:cs="Times New Roman"/>
        </w:rPr>
        <w:t>daher auch diese Auffassung als zu kurzgreifend.</w:t>
      </w:r>
      <w:r w:rsidR="00C377E0">
        <w:rPr>
          <w:rStyle w:val="Funotenzeichen"/>
          <w:rFonts w:eastAsia="Times New Roman" w:cs="Times New Roman"/>
        </w:rPr>
        <w:footnoteReference w:id="181"/>
      </w:r>
    </w:p>
    <w:p w:rsidR="00CA3715" w:rsidRDefault="00202CE1" w:rsidP="005A5093">
      <w:pPr>
        <w:rPr>
          <w:rFonts w:eastAsia="Times New Roman" w:cs="Times New Roman"/>
        </w:rPr>
      </w:pPr>
      <w:r>
        <w:rPr>
          <w:rFonts w:eastAsia="Times New Roman" w:cs="Times New Roman"/>
        </w:rPr>
        <w:t>Im Russischen Formalismus</w:t>
      </w:r>
      <w:r w:rsidR="005D7996">
        <w:rPr>
          <w:rFonts w:eastAsia="Times New Roman" w:cs="Times New Roman"/>
        </w:rPr>
        <w:fldChar w:fldCharType="begin"/>
      </w:r>
      <w:r w:rsidR="003B6F55">
        <w:instrText xml:space="preserve"> XE "</w:instrText>
      </w:r>
      <w:r w:rsidR="003B6F55" w:rsidRPr="006F6301">
        <w:rPr>
          <w:rFonts w:eastAsia="Times New Roman" w:cs="Times New Roman"/>
        </w:rPr>
        <w:instrText>Russischer Formalismus</w:instrText>
      </w:r>
      <w:r w:rsidR="003B6F55">
        <w:instrText xml:space="preserve">" </w:instrText>
      </w:r>
      <w:r w:rsidR="005D7996">
        <w:rPr>
          <w:rFonts w:eastAsia="Times New Roman" w:cs="Times New Roman"/>
        </w:rPr>
        <w:fldChar w:fldCharType="end"/>
      </w:r>
      <w:r w:rsidR="005D7996">
        <w:rPr>
          <w:rFonts w:eastAsia="Times New Roman" w:cs="Times New Roman"/>
        </w:rPr>
        <w:fldChar w:fldCharType="begin"/>
      </w:r>
      <w:r w:rsidR="003B6F55">
        <w:instrText xml:space="preserve"> XE "</w:instrText>
      </w:r>
      <w:r w:rsidR="003B6F55" w:rsidRPr="00AF549B">
        <w:instrText>Formalismus (Ästhetik)</w:instrText>
      </w:r>
      <w:r w:rsidR="003B6F55">
        <w:instrText>" \</w:instrText>
      </w:r>
      <w:r w:rsidR="003B6F55" w:rsidRPr="003B6F55">
        <w:instrText>t "</w:instrText>
      </w:r>
      <w:r w:rsidR="00801C96">
        <w:rPr>
          <w:rFonts w:cstheme="minorHAnsi"/>
          <w:i/>
        </w:rPr>
        <w:instrText>s</w:instrText>
      </w:r>
      <w:r w:rsidR="003B6F55" w:rsidRPr="003B6F55">
        <w:rPr>
          <w:rFonts w:cstheme="minorHAnsi"/>
          <w:i/>
        </w:rPr>
        <w:instrText>iehe</w:instrText>
      </w:r>
      <w:r w:rsidR="003B6F55" w:rsidRPr="003B6F55">
        <w:rPr>
          <w:rFonts w:cstheme="minorHAnsi"/>
        </w:rPr>
        <w:instrText xml:space="preserve"> Russischer Formalismus</w:instrText>
      </w:r>
      <w:r w:rsidR="003B6F55" w:rsidRPr="003B6F55">
        <w:instrText xml:space="preserve">" </w:instrText>
      </w:r>
      <w:r w:rsidR="005D7996">
        <w:rPr>
          <w:rFonts w:eastAsia="Times New Roman" w:cs="Times New Roman"/>
        </w:rPr>
        <w:fldChar w:fldCharType="end"/>
      </w:r>
      <w:r>
        <w:rPr>
          <w:rFonts w:eastAsia="Times New Roman" w:cs="Times New Roman"/>
        </w:rPr>
        <w:t xml:space="preserve"> und später im Prager Strukturalismus</w:t>
      </w:r>
      <w:r w:rsidR="005D7996">
        <w:rPr>
          <w:rFonts w:eastAsia="Times New Roman" w:cs="Times New Roman"/>
        </w:rPr>
        <w:fldChar w:fldCharType="begin"/>
      </w:r>
      <w:r w:rsidR="000F5037">
        <w:instrText xml:space="preserve"> XE "</w:instrText>
      </w:r>
      <w:r w:rsidR="003B6F55">
        <w:instrText xml:space="preserve">Prager </w:instrText>
      </w:r>
      <w:r w:rsidR="000F5037" w:rsidRPr="008567DE">
        <w:instrText>Strukturalismus</w:instrText>
      </w:r>
      <w:r w:rsidR="000F5037">
        <w:instrText xml:space="preserve">" </w:instrText>
      </w:r>
      <w:r w:rsidR="005D7996">
        <w:rPr>
          <w:rFonts w:eastAsia="Times New Roman" w:cs="Times New Roman"/>
        </w:rPr>
        <w:fldChar w:fldCharType="end"/>
      </w:r>
      <w:r w:rsidR="005D7996" w:rsidRPr="0089774D">
        <w:rPr>
          <w:rFonts w:eastAsia="Times New Roman" w:cs="Times New Roman"/>
        </w:rPr>
        <w:fldChar w:fldCharType="begin"/>
      </w:r>
      <w:r w:rsidR="003B6F55" w:rsidRPr="0089774D">
        <w:instrText xml:space="preserve"> XE "Prager Strukturalismus" \t "</w:instrText>
      </w:r>
      <w:r w:rsidR="004F383C">
        <w:rPr>
          <w:rFonts w:cstheme="minorHAnsi"/>
          <w:i/>
        </w:rPr>
        <w:instrText>s</w:instrText>
      </w:r>
      <w:r w:rsidR="003B6F55" w:rsidRPr="0089774D">
        <w:rPr>
          <w:rFonts w:cstheme="minorHAnsi"/>
          <w:i/>
        </w:rPr>
        <w:instrText>iehe auch</w:instrText>
      </w:r>
      <w:r w:rsidR="003B6F55" w:rsidRPr="0089774D">
        <w:rPr>
          <w:rFonts w:cstheme="minorHAnsi"/>
        </w:rPr>
        <w:instrText xml:space="preserve"> Strukturalismus</w:instrText>
      </w:r>
      <w:r w:rsidR="003B6F55" w:rsidRPr="0089774D">
        <w:instrText xml:space="preserve">" </w:instrText>
      </w:r>
      <w:r w:rsidR="005D7996" w:rsidRPr="0089774D">
        <w:rPr>
          <w:rFonts w:eastAsia="Times New Roman" w:cs="Times New Roman"/>
        </w:rPr>
        <w:fldChar w:fldCharType="end"/>
      </w:r>
      <w:r>
        <w:rPr>
          <w:rFonts w:eastAsia="Times New Roman" w:cs="Times New Roman"/>
        </w:rPr>
        <w:t xml:space="preserve"> wurde eine ästhetische Theorie entwickelt, derzufolge das Besondere des künstlerischen Zeichengebrauchs darin besteht, dass </w:t>
      </w:r>
      <w:r w:rsidR="00283CF9">
        <w:rPr>
          <w:rFonts w:eastAsia="Times New Roman" w:cs="Times New Roman"/>
        </w:rPr>
        <w:t>das Zeichen selbst themati</w:t>
      </w:r>
      <w:r w:rsidR="009641B8">
        <w:rPr>
          <w:rFonts w:eastAsia="Times New Roman" w:cs="Times New Roman"/>
        </w:rPr>
        <w:t xml:space="preserve">siert wird; durch „Verfremdung“ </w:t>
      </w:r>
      <w:r w:rsidR="00283CF9">
        <w:rPr>
          <w:rFonts w:eastAsia="Times New Roman" w:cs="Times New Roman"/>
        </w:rPr>
        <w:t xml:space="preserve">wird der Zeichengebrauch </w:t>
      </w:r>
      <w:r w:rsidR="009641B8">
        <w:rPr>
          <w:rFonts w:eastAsia="Times New Roman" w:cs="Times New Roman"/>
        </w:rPr>
        <w:t>„</w:t>
      </w:r>
      <w:r w:rsidR="00283CF9">
        <w:rPr>
          <w:rFonts w:eastAsia="Times New Roman" w:cs="Times New Roman"/>
        </w:rPr>
        <w:t>entautomatisiert</w:t>
      </w:r>
      <w:r w:rsidR="009641B8">
        <w:rPr>
          <w:rFonts w:eastAsia="Times New Roman" w:cs="Times New Roman"/>
        </w:rPr>
        <w:t>“</w:t>
      </w:r>
      <w:r w:rsidR="00283CF9">
        <w:rPr>
          <w:rFonts w:eastAsia="Times New Roman" w:cs="Times New Roman"/>
        </w:rPr>
        <w:t>.</w:t>
      </w:r>
      <w:r w:rsidR="000E3090">
        <w:rPr>
          <w:rStyle w:val="Funotenzeichen"/>
          <w:rFonts w:eastAsia="Times New Roman" w:cs="Times New Roman"/>
        </w:rPr>
        <w:footnoteReference w:id="182"/>
      </w:r>
      <w:r w:rsidR="00283CF9">
        <w:rPr>
          <w:rFonts w:eastAsia="Times New Roman" w:cs="Times New Roman"/>
        </w:rPr>
        <w:t xml:space="preserve"> </w:t>
      </w:r>
      <w:r w:rsidR="00CA3715">
        <w:rPr>
          <w:rFonts w:eastAsia="Times New Roman" w:cs="Times New Roman"/>
        </w:rPr>
        <w:t>Herta Schmid erläutert:</w:t>
      </w:r>
      <w:r w:rsidR="00D90668">
        <w:rPr>
          <w:rStyle w:val="Funotenzeichen"/>
          <w:rFonts w:eastAsia="Times New Roman" w:cs="Times New Roman"/>
        </w:rPr>
        <w:footnoteReference w:id="183"/>
      </w:r>
    </w:p>
    <w:p w:rsidR="00CA3715" w:rsidRDefault="00CA3715" w:rsidP="005A5093">
      <w:pPr>
        <w:pStyle w:val="Zitat"/>
      </w:pPr>
      <w:r>
        <w:t>Durch die auffällige, absichtliche Organisation des Lautmaterials und den u</w:t>
      </w:r>
      <w:r>
        <w:t>n</w:t>
      </w:r>
      <w:r>
        <w:t>gewohnten Gebrauch der Bedeutungskomponenten entsteht ein neues Zeichen […]</w:t>
      </w:r>
      <w:r w:rsidR="000E3090">
        <w:t>.</w:t>
      </w:r>
      <w:r>
        <w:t xml:space="preserve"> Das Strukturganze zeichnet sich durch die Spannung […] aus […] zw</w:t>
      </w:r>
      <w:r>
        <w:t>i</w:t>
      </w:r>
      <w:r>
        <w:t>schen den nicht-aktualisierten, dem gewohnten Gebrauch folgenden Komp</w:t>
      </w:r>
      <w:r>
        <w:t>o</w:t>
      </w:r>
      <w:r>
        <w:t>nenten und den aktualisierten.</w:t>
      </w:r>
    </w:p>
    <w:p w:rsidR="00664463" w:rsidRDefault="00DA1A3E" w:rsidP="00AB73B6">
      <w:pPr>
        <w:ind w:firstLine="0"/>
        <w:rPr>
          <w:rFonts w:eastAsia="Times New Roman" w:cs="Times New Roman"/>
        </w:rPr>
      </w:pPr>
      <w:r>
        <w:rPr>
          <w:rFonts w:eastAsia="Times New Roman" w:cs="Times New Roman"/>
        </w:rPr>
        <w:t>Ä</w:t>
      </w:r>
      <w:r w:rsidR="000E3090">
        <w:rPr>
          <w:rFonts w:eastAsia="Times New Roman" w:cs="Times New Roman"/>
        </w:rPr>
        <w:t xml:space="preserve">sthetische Zeichen </w:t>
      </w:r>
      <w:r>
        <w:rPr>
          <w:rFonts w:eastAsia="Times New Roman" w:cs="Times New Roman"/>
        </w:rPr>
        <w:t>werden als neue</w:t>
      </w:r>
      <w:r w:rsidR="000E3090">
        <w:rPr>
          <w:rFonts w:eastAsia="Times New Roman" w:cs="Times New Roman"/>
        </w:rPr>
        <w:t xml:space="preserve"> Zeichen </w:t>
      </w:r>
      <w:r w:rsidR="00D8459E">
        <w:rPr>
          <w:rFonts w:eastAsia="Times New Roman" w:cs="Times New Roman"/>
        </w:rPr>
        <w:t>angesehen, d</w:t>
      </w:r>
      <w:r w:rsidR="00914611">
        <w:rPr>
          <w:rFonts w:eastAsia="Times New Roman" w:cs="Times New Roman"/>
        </w:rPr>
        <w:t xml:space="preserve">eren </w:t>
      </w:r>
      <w:r w:rsidR="006C3754">
        <w:rPr>
          <w:rFonts w:eastAsia="Times New Roman" w:cs="Times New Roman"/>
        </w:rPr>
        <w:t>Inhalte</w:t>
      </w:r>
      <w:r w:rsidR="00914611">
        <w:rPr>
          <w:rFonts w:eastAsia="Times New Roman" w:cs="Times New Roman"/>
        </w:rPr>
        <w:t xml:space="preserve"> </w:t>
      </w:r>
      <w:r w:rsidR="00D8459E">
        <w:rPr>
          <w:rFonts w:eastAsia="Times New Roman" w:cs="Times New Roman"/>
        </w:rPr>
        <w:t xml:space="preserve">sich aus der ungewöhnlichen </w:t>
      </w:r>
      <w:r w:rsidR="00664463">
        <w:rPr>
          <w:rFonts w:eastAsia="Times New Roman" w:cs="Times New Roman"/>
        </w:rPr>
        <w:t>Verwendungsweise sowohl auf der Ausdrucksebene</w:t>
      </w:r>
      <w:r w:rsidR="005D7996">
        <w:rPr>
          <w:rFonts w:eastAsia="Times New Roman" w:cs="Times New Roman"/>
        </w:rPr>
        <w:fldChar w:fldCharType="begin"/>
      </w:r>
      <w:r w:rsidR="004E4C88">
        <w:instrText xml:space="preserve"> XE "</w:instrText>
      </w:r>
      <w:r w:rsidR="004E4C88" w:rsidRPr="00DA0E29">
        <w:instrText>Ausdrucksebene</w:instrText>
      </w:r>
      <w:r w:rsidR="004E4C88">
        <w:instrText xml:space="preserve">" </w:instrText>
      </w:r>
      <w:r w:rsidR="005D7996">
        <w:rPr>
          <w:rFonts w:eastAsia="Times New Roman" w:cs="Times New Roman"/>
        </w:rPr>
        <w:fldChar w:fldCharType="end"/>
      </w:r>
      <w:r w:rsidR="00664463">
        <w:rPr>
          <w:rFonts w:eastAsia="Times New Roman" w:cs="Times New Roman"/>
        </w:rPr>
        <w:t xml:space="preserve"> („au</w:t>
      </w:r>
      <w:r w:rsidR="00664463">
        <w:rPr>
          <w:rFonts w:eastAsia="Times New Roman" w:cs="Times New Roman"/>
        </w:rPr>
        <w:t>f</w:t>
      </w:r>
      <w:r w:rsidR="00664463">
        <w:rPr>
          <w:rFonts w:eastAsia="Times New Roman" w:cs="Times New Roman"/>
        </w:rPr>
        <w:t>fällige, absichtliche Organisation des Lautmaterials“) als auch auf der Inhalt</w:t>
      </w:r>
      <w:r w:rsidR="00664463">
        <w:rPr>
          <w:rFonts w:eastAsia="Times New Roman" w:cs="Times New Roman"/>
        </w:rPr>
        <w:t>s</w:t>
      </w:r>
      <w:r w:rsidR="006C3754">
        <w:rPr>
          <w:rFonts w:eastAsia="Times New Roman" w:cs="Times New Roman"/>
        </w:rPr>
        <w:t>ebene</w:t>
      </w:r>
      <w:r w:rsidR="005D7996">
        <w:rPr>
          <w:rFonts w:eastAsia="Times New Roman" w:cs="Times New Roman"/>
        </w:rPr>
        <w:fldChar w:fldCharType="begin"/>
      </w:r>
      <w:r w:rsidR="004E4C88">
        <w:instrText xml:space="preserve"> XE "</w:instrText>
      </w:r>
      <w:r w:rsidR="004E4C88" w:rsidRPr="00E10D87">
        <w:rPr>
          <w:rFonts w:eastAsia="Times New Roman" w:cs="Times New Roman"/>
        </w:rPr>
        <w:instrText>Inhaltsebene</w:instrText>
      </w:r>
      <w:r w:rsidR="004E4C88">
        <w:instrText xml:space="preserve">" </w:instrText>
      </w:r>
      <w:r w:rsidR="005D7996">
        <w:rPr>
          <w:rFonts w:eastAsia="Times New Roman" w:cs="Times New Roman"/>
        </w:rPr>
        <w:fldChar w:fldCharType="end"/>
      </w:r>
      <w:r w:rsidR="00664463">
        <w:rPr>
          <w:rFonts w:eastAsia="Times New Roman" w:cs="Times New Roman"/>
        </w:rPr>
        <w:t xml:space="preserve"> („ungewohnten Gebrauch der Bedeutungskomponenten“)</w:t>
      </w:r>
      <w:r w:rsidR="00914611">
        <w:rPr>
          <w:rFonts w:eastAsia="Times New Roman" w:cs="Times New Roman"/>
        </w:rPr>
        <w:t xml:space="preserve"> </w:t>
      </w:r>
      <w:r w:rsidR="00D8459E">
        <w:rPr>
          <w:rFonts w:eastAsia="Times New Roman" w:cs="Times New Roman"/>
        </w:rPr>
        <w:t>ergeben</w:t>
      </w:r>
      <w:r w:rsidR="00664463">
        <w:rPr>
          <w:rFonts w:eastAsia="Times New Roman" w:cs="Times New Roman"/>
        </w:rPr>
        <w:t>. Diese</w:t>
      </w:r>
      <w:r>
        <w:rPr>
          <w:rFonts w:eastAsia="Times New Roman" w:cs="Times New Roman"/>
        </w:rPr>
        <w:t xml:space="preserve"> Zeichen entstehen</w:t>
      </w:r>
      <w:r w:rsidR="00664463">
        <w:rPr>
          <w:rFonts w:eastAsia="Times New Roman" w:cs="Times New Roman"/>
        </w:rPr>
        <w:t xml:space="preserve"> durch die </w:t>
      </w:r>
      <w:r w:rsidR="00D8459E">
        <w:rPr>
          <w:rFonts w:eastAsia="Times New Roman" w:cs="Times New Roman"/>
        </w:rPr>
        <w:t>„</w:t>
      </w:r>
      <w:r w:rsidR="00664463">
        <w:rPr>
          <w:rFonts w:eastAsia="Times New Roman" w:cs="Times New Roman"/>
        </w:rPr>
        <w:t>Spannung</w:t>
      </w:r>
      <w:r w:rsidR="00D8459E">
        <w:rPr>
          <w:rFonts w:eastAsia="Times New Roman" w:cs="Times New Roman"/>
        </w:rPr>
        <w:t>“</w:t>
      </w:r>
      <w:r w:rsidR="00664463">
        <w:rPr>
          <w:rFonts w:eastAsia="Times New Roman" w:cs="Times New Roman"/>
        </w:rPr>
        <w:t xml:space="preserve"> </w:t>
      </w:r>
      <w:r w:rsidR="00D8459E">
        <w:rPr>
          <w:rFonts w:eastAsia="Times New Roman" w:cs="Times New Roman"/>
        </w:rPr>
        <w:t>„</w:t>
      </w:r>
      <w:r w:rsidR="00664463">
        <w:rPr>
          <w:rFonts w:eastAsia="Times New Roman" w:cs="Times New Roman"/>
        </w:rPr>
        <w:t>zwischen den nicht-aktualisierten</w:t>
      </w:r>
      <w:r w:rsidR="00D8459E">
        <w:rPr>
          <w:rFonts w:eastAsia="Times New Roman" w:cs="Times New Roman"/>
        </w:rPr>
        <w:t>“</w:t>
      </w:r>
      <w:r w:rsidR="00664463">
        <w:rPr>
          <w:rFonts w:eastAsia="Times New Roman" w:cs="Times New Roman"/>
        </w:rPr>
        <w:t xml:space="preserve"> </w:t>
      </w:r>
      <w:r w:rsidR="00D8459E">
        <w:rPr>
          <w:rFonts w:eastAsia="Times New Roman" w:cs="Times New Roman"/>
        </w:rPr>
        <w:t>„</w:t>
      </w:r>
      <w:r w:rsidR="00664463">
        <w:rPr>
          <w:rFonts w:eastAsia="Times New Roman" w:cs="Times New Roman"/>
        </w:rPr>
        <w:t>und den aktualisierten</w:t>
      </w:r>
      <w:r w:rsidR="00D8459E">
        <w:rPr>
          <w:rFonts w:eastAsia="Times New Roman" w:cs="Times New Roman"/>
        </w:rPr>
        <w:t>“</w:t>
      </w:r>
      <w:r w:rsidR="00664463">
        <w:rPr>
          <w:rFonts w:eastAsia="Times New Roman" w:cs="Times New Roman"/>
        </w:rPr>
        <w:t xml:space="preserve"> </w:t>
      </w:r>
      <w:r w:rsidR="00D8459E">
        <w:rPr>
          <w:rFonts w:eastAsia="Times New Roman" w:cs="Times New Roman"/>
        </w:rPr>
        <w:t>„</w:t>
      </w:r>
      <w:r w:rsidR="00664463">
        <w:rPr>
          <w:rFonts w:eastAsia="Times New Roman" w:cs="Times New Roman"/>
        </w:rPr>
        <w:t>Komponenten</w:t>
      </w:r>
      <w:r w:rsidR="00D8459E">
        <w:rPr>
          <w:rFonts w:eastAsia="Times New Roman" w:cs="Times New Roman"/>
        </w:rPr>
        <w:t>“</w:t>
      </w:r>
      <w:r w:rsidR="00664463">
        <w:rPr>
          <w:rFonts w:eastAsia="Times New Roman" w:cs="Times New Roman"/>
        </w:rPr>
        <w:t xml:space="preserve">, also anders ausgedrückt durch die </w:t>
      </w:r>
      <w:r w:rsidR="00D8459E">
        <w:rPr>
          <w:rFonts w:eastAsia="Times New Roman" w:cs="Times New Roman"/>
        </w:rPr>
        <w:t>Prinzipien</w:t>
      </w:r>
      <w:r>
        <w:rPr>
          <w:rFonts w:eastAsia="Times New Roman" w:cs="Times New Roman"/>
        </w:rPr>
        <w:t xml:space="preserve"> </w:t>
      </w:r>
      <w:r w:rsidR="00664463">
        <w:rPr>
          <w:rFonts w:eastAsia="Times New Roman" w:cs="Times New Roman"/>
        </w:rPr>
        <w:t>der Aktualisierung.</w:t>
      </w:r>
      <w:r w:rsidR="009A3745">
        <w:rPr>
          <w:rFonts w:eastAsia="Times New Roman" w:cs="Times New Roman"/>
        </w:rPr>
        <w:t xml:space="preserve"> Diese Theorie kann als Variante der Abwe</w:t>
      </w:r>
      <w:r w:rsidR="009A3745">
        <w:rPr>
          <w:rFonts w:eastAsia="Times New Roman" w:cs="Times New Roman"/>
        </w:rPr>
        <w:t>i</w:t>
      </w:r>
      <w:r w:rsidR="009A3745">
        <w:rPr>
          <w:rFonts w:eastAsia="Times New Roman" w:cs="Times New Roman"/>
        </w:rPr>
        <w:t xml:space="preserve">chungstheorie betrachtet werden (vgl. Abschnitt </w:t>
      </w:r>
      <w:r w:rsidR="005D7996">
        <w:rPr>
          <w:rFonts w:eastAsia="Times New Roman" w:cs="Times New Roman"/>
        </w:rPr>
        <w:fldChar w:fldCharType="begin"/>
      </w:r>
      <w:r w:rsidR="009A3745">
        <w:rPr>
          <w:rFonts w:eastAsia="Times New Roman" w:cs="Times New Roman"/>
        </w:rPr>
        <w:instrText xml:space="preserve"> REF _Ref268690378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3.4</w:t>
      </w:r>
      <w:r w:rsidR="005D7996">
        <w:rPr>
          <w:rFonts w:eastAsia="Times New Roman" w:cs="Times New Roman"/>
        </w:rPr>
        <w:fldChar w:fldCharType="end"/>
      </w:r>
      <w:r w:rsidR="009A3745">
        <w:rPr>
          <w:rFonts w:eastAsia="Times New Roman" w:cs="Times New Roman"/>
        </w:rPr>
        <w:t>), die eine allgemeine A</w:t>
      </w:r>
      <w:r w:rsidR="009A3745">
        <w:rPr>
          <w:rFonts w:eastAsia="Times New Roman" w:cs="Times New Roman"/>
        </w:rPr>
        <w:t>b</w:t>
      </w:r>
      <w:r w:rsidR="009A3745">
        <w:rPr>
          <w:rFonts w:eastAsia="Times New Roman" w:cs="Times New Roman"/>
        </w:rPr>
        <w:t>weichung des ästhetischen Zeichenprozesses vom gewöhnlichen Zeichenprozess beschreibt: Während letztere auf den möglichst raschen und fehlerfreien Em</w:t>
      </w:r>
      <w:r w:rsidR="009A3745">
        <w:rPr>
          <w:rFonts w:eastAsia="Times New Roman" w:cs="Times New Roman"/>
        </w:rPr>
        <w:t>p</w:t>
      </w:r>
      <w:r w:rsidR="009A3745">
        <w:rPr>
          <w:rFonts w:eastAsia="Times New Roman" w:cs="Times New Roman"/>
        </w:rPr>
        <w:t>fang des Inhalts der Nachricht</w:t>
      </w:r>
      <w:r w:rsidR="005D7996">
        <w:rPr>
          <w:rFonts w:eastAsia="Times New Roman" w:cs="Times New Roman"/>
        </w:rPr>
        <w:fldChar w:fldCharType="begin"/>
      </w:r>
      <w:r w:rsidR="00AD3BBC">
        <w:instrText xml:space="preserve"> XE "</w:instrText>
      </w:r>
      <w:r w:rsidR="00AD3BBC" w:rsidRPr="002725C6">
        <w:rPr>
          <w:rFonts w:eastAsia="Times New Roman" w:cs="Times New Roman"/>
        </w:rPr>
        <w:instrText>Nachricht</w:instrText>
      </w:r>
      <w:r w:rsidR="00AD3BBC">
        <w:instrText xml:space="preserve">" </w:instrText>
      </w:r>
      <w:r w:rsidR="005D7996">
        <w:rPr>
          <w:rFonts w:eastAsia="Times New Roman" w:cs="Times New Roman"/>
        </w:rPr>
        <w:fldChar w:fldCharType="end"/>
      </w:r>
      <w:r w:rsidR="009A3745">
        <w:rPr>
          <w:rFonts w:eastAsia="Times New Roman" w:cs="Times New Roman"/>
        </w:rPr>
        <w:t xml:space="preserve"> (= der Botschaft</w:t>
      </w:r>
      <w:r w:rsidR="005D7996">
        <w:rPr>
          <w:rFonts w:eastAsia="Times New Roman" w:cs="Times New Roman"/>
        </w:rPr>
        <w:fldChar w:fldCharType="begin"/>
      </w:r>
      <w:r w:rsidR="0025452C">
        <w:instrText xml:space="preserve"> XE "</w:instrText>
      </w:r>
      <w:r w:rsidR="0025452C" w:rsidRPr="00B9228F">
        <w:rPr>
          <w:rFonts w:eastAsia="Times New Roman" w:cs="Times New Roman"/>
        </w:rPr>
        <w:instrText>Botschaft</w:instrText>
      </w:r>
      <w:r w:rsidR="0025452C">
        <w:instrText xml:space="preserve">" </w:instrText>
      </w:r>
      <w:r w:rsidR="005D7996">
        <w:rPr>
          <w:rFonts w:eastAsia="Times New Roman" w:cs="Times New Roman"/>
        </w:rPr>
        <w:fldChar w:fldCharType="end"/>
      </w:r>
      <w:r w:rsidR="009A3745">
        <w:rPr>
          <w:rFonts w:eastAsia="Times New Roman" w:cs="Times New Roman"/>
        </w:rPr>
        <w:t>) ausgerichtet ist, lenkt erstere die Aufmerksamkeit auf die Nachricht selbst, auf deren Ausdrucks- und Inhalt</w:t>
      </w:r>
      <w:r w:rsidR="009A3745">
        <w:rPr>
          <w:rFonts w:eastAsia="Times New Roman" w:cs="Times New Roman"/>
        </w:rPr>
        <w:t>s</w:t>
      </w:r>
      <w:r w:rsidR="009A3745">
        <w:rPr>
          <w:rFonts w:eastAsia="Times New Roman" w:cs="Times New Roman"/>
        </w:rPr>
        <w:t>seite sowie auf den stattfindenden Zeichenprozess insgesamt.</w:t>
      </w:r>
    </w:p>
    <w:p w:rsidR="00C3031B" w:rsidRDefault="00664463" w:rsidP="005A5093">
      <w:pPr>
        <w:rPr>
          <w:rFonts w:eastAsia="Times New Roman" w:cs="Times New Roman"/>
        </w:rPr>
      </w:pPr>
      <w:r>
        <w:rPr>
          <w:rFonts w:eastAsia="Times New Roman" w:cs="Times New Roman"/>
        </w:rPr>
        <w:t>Diese Auffassung des ästhetischen Zeichens ähnelt der hier vorgestellten Grundkonzeption</w:t>
      </w:r>
      <w:r w:rsidR="004F21CD">
        <w:rPr>
          <w:rFonts w:eastAsia="Times New Roman" w:cs="Times New Roman"/>
        </w:rPr>
        <w:t xml:space="preserve">, </w:t>
      </w:r>
      <w:r w:rsidR="008401AE">
        <w:rPr>
          <w:rFonts w:eastAsia="Times New Roman" w:cs="Times New Roman"/>
        </w:rPr>
        <w:t xml:space="preserve">derzufolge stilistische Zeichen nicht </w:t>
      </w:r>
      <w:r w:rsidR="00C3031B">
        <w:rPr>
          <w:rFonts w:eastAsia="Times New Roman" w:cs="Times New Roman"/>
        </w:rPr>
        <w:t xml:space="preserve">als Abwandlung der </w:t>
      </w:r>
      <w:r w:rsidR="008401AE">
        <w:rPr>
          <w:rFonts w:eastAsia="Times New Roman" w:cs="Times New Roman"/>
        </w:rPr>
        <w:t xml:space="preserve">in einem </w:t>
      </w:r>
      <w:r w:rsidR="004F21CD">
        <w:rPr>
          <w:rFonts w:eastAsia="Times New Roman" w:cs="Times New Roman"/>
        </w:rPr>
        <w:t xml:space="preserve">Text </w:t>
      </w:r>
      <w:r w:rsidR="00C3031B">
        <w:rPr>
          <w:rFonts w:eastAsia="Times New Roman" w:cs="Times New Roman"/>
        </w:rPr>
        <w:t xml:space="preserve">verwendeten Zeichen </w:t>
      </w:r>
      <w:r w:rsidR="004F21CD">
        <w:rPr>
          <w:rFonts w:eastAsia="Times New Roman" w:cs="Times New Roman"/>
        </w:rPr>
        <w:t>entstehen</w:t>
      </w:r>
      <w:r w:rsidR="00C3031B">
        <w:rPr>
          <w:rFonts w:eastAsia="Times New Roman" w:cs="Times New Roman"/>
        </w:rPr>
        <w:t xml:space="preserve">. </w:t>
      </w:r>
      <w:r w:rsidR="009641B8">
        <w:rPr>
          <w:rFonts w:eastAsia="Times New Roman" w:cs="Times New Roman"/>
        </w:rPr>
        <w:t xml:space="preserve">Es wird </w:t>
      </w:r>
      <w:r w:rsidR="008401AE">
        <w:rPr>
          <w:rFonts w:eastAsia="Times New Roman" w:cs="Times New Roman"/>
        </w:rPr>
        <w:t xml:space="preserve">vielmehr </w:t>
      </w:r>
      <w:r w:rsidR="00C3031B">
        <w:rPr>
          <w:rFonts w:eastAsia="Times New Roman" w:cs="Times New Roman"/>
        </w:rPr>
        <w:t>davon ausgega</w:t>
      </w:r>
      <w:r w:rsidR="00C3031B">
        <w:rPr>
          <w:rFonts w:eastAsia="Times New Roman" w:cs="Times New Roman"/>
        </w:rPr>
        <w:t>n</w:t>
      </w:r>
      <w:r w:rsidR="00C3031B">
        <w:rPr>
          <w:rFonts w:eastAsia="Times New Roman" w:cs="Times New Roman"/>
        </w:rPr>
        <w:t xml:space="preserve">gen, dass </w:t>
      </w:r>
      <w:r w:rsidR="009641B8">
        <w:rPr>
          <w:rFonts w:eastAsia="Times New Roman" w:cs="Times New Roman"/>
        </w:rPr>
        <w:t xml:space="preserve">der Inhalt </w:t>
      </w:r>
      <w:r w:rsidR="00C3031B">
        <w:rPr>
          <w:rFonts w:eastAsia="Times New Roman" w:cs="Times New Roman"/>
        </w:rPr>
        <w:t>des stilistischen Zeichens</w:t>
      </w:r>
      <w:r w:rsidR="005D7996">
        <w:rPr>
          <w:rFonts w:eastAsia="Times New Roman" w:cs="Times New Roman"/>
        </w:rPr>
        <w:fldChar w:fldCharType="begin"/>
      </w:r>
      <w:r w:rsidR="00534F7E">
        <w:instrText xml:space="preserve"> XE "</w:instrText>
      </w:r>
      <w:r w:rsidR="00534F7E" w:rsidRPr="005261FC">
        <w:rPr>
          <w:szCs w:val="17"/>
        </w:rPr>
        <w:instrText>stilistisches Zeichen</w:instrText>
      </w:r>
      <w:r w:rsidR="00534F7E">
        <w:instrText xml:space="preserve">" </w:instrText>
      </w:r>
      <w:r w:rsidR="005D7996">
        <w:rPr>
          <w:rFonts w:eastAsia="Times New Roman" w:cs="Times New Roman"/>
        </w:rPr>
        <w:fldChar w:fldCharType="end"/>
      </w:r>
      <w:r w:rsidR="00C3031B">
        <w:rPr>
          <w:rFonts w:eastAsia="Times New Roman" w:cs="Times New Roman"/>
        </w:rPr>
        <w:t xml:space="preserve"> in den Prinzipien der Auswahl (=</w:t>
      </w:r>
      <w:r w:rsidR="00823215">
        <w:rPr>
          <w:rFonts w:eastAsia="Times New Roman" w:cs="Times New Roman"/>
        </w:rPr>
        <w:t> </w:t>
      </w:r>
      <w:r w:rsidR="00C3031B">
        <w:rPr>
          <w:rFonts w:eastAsia="Times New Roman" w:cs="Times New Roman"/>
        </w:rPr>
        <w:t>Aktualisierung) besteht</w:t>
      </w:r>
      <w:r w:rsidR="009418B0">
        <w:rPr>
          <w:rFonts w:eastAsia="Times New Roman" w:cs="Times New Roman"/>
        </w:rPr>
        <w:t>,</w:t>
      </w:r>
      <w:r w:rsidR="00C3031B">
        <w:rPr>
          <w:rStyle w:val="Funotenzeichen"/>
          <w:rFonts w:eastAsia="Times New Roman" w:cs="Times New Roman"/>
        </w:rPr>
        <w:footnoteReference w:id="184"/>
      </w:r>
      <w:r w:rsidR="00C3031B">
        <w:rPr>
          <w:rFonts w:eastAsia="Times New Roman" w:cs="Times New Roman"/>
        </w:rPr>
        <w:t xml:space="preserve"> </w:t>
      </w:r>
      <w:r w:rsidR="009418B0">
        <w:rPr>
          <w:rFonts w:eastAsia="Times New Roman" w:cs="Times New Roman"/>
        </w:rPr>
        <w:t xml:space="preserve">aus denen sich wiederum </w:t>
      </w:r>
      <w:r w:rsidR="00304D9F">
        <w:rPr>
          <w:rFonts w:eastAsia="Times New Roman" w:cs="Times New Roman"/>
        </w:rPr>
        <w:t>weitergehende Inform</w:t>
      </w:r>
      <w:r w:rsidR="00304D9F">
        <w:rPr>
          <w:rFonts w:eastAsia="Times New Roman" w:cs="Times New Roman"/>
        </w:rPr>
        <w:t>a</w:t>
      </w:r>
      <w:r w:rsidR="00304D9F">
        <w:rPr>
          <w:rFonts w:eastAsia="Times New Roman" w:cs="Times New Roman"/>
        </w:rPr>
        <w:t>tionen</w:t>
      </w:r>
      <w:r w:rsidR="009418B0">
        <w:rPr>
          <w:rFonts w:eastAsia="Times New Roman" w:cs="Times New Roman"/>
        </w:rPr>
        <w:t xml:space="preserve"> </w:t>
      </w:r>
      <w:r w:rsidR="00C3031B">
        <w:rPr>
          <w:rFonts w:eastAsia="Times New Roman" w:cs="Times New Roman"/>
        </w:rPr>
        <w:t>ableiten lassen.</w:t>
      </w:r>
      <w:r w:rsidR="00C3031B">
        <w:rPr>
          <w:rStyle w:val="Funotenzeichen"/>
          <w:rFonts w:eastAsia="Times New Roman" w:cs="Times New Roman"/>
        </w:rPr>
        <w:footnoteReference w:id="185"/>
      </w:r>
      <w:r w:rsidR="00823215">
        <w:rPr>
          <w:rFonts w:eastAsia="Times New Roman" w:cs="Times New Roman"/>
        </w:rPr>
        <w:t xml:space="preserve"> </w:t>
      </w:r>
      <w:r w:rsidR="00E27BBA">
        <w:rPr>
          <w:rFonts w:eastAsia="Times New Roman" w:cs="Times New Roman"/>
        </w:rPr>
        <w:t>Ein Unterschied besteht</w:t>
      </w:r>
      <w:r w:rsidR="00823215">
        <w:rPr>
          <w:rFonts w:eastAsia="Times New Roman" w:cs="Times New Roman"/>
        </w:rPr>
        <w:t xml:space="preserve"> darin, dass nicht nur „auffäll</w:t>
      </w:r>
      <w:r w:rsidR="00823215">
        <w:rPr>
          <w:rFonts w:eastAsia="Times New Roman" w:cs="Times New Roman"/>
        </w:rPr>
        <w:t>i</w:t>
      </w:r>
      <w:r w:rsidR="00823215">
        <w:rPr>
          <w:rFonts w:eastAsia="Times New Roman" w:cs="Times New Roman"/>
        </w:rPr>
        <w:t xml:space="preserve">ge, abweichende Organisation“ </w:t>
      </w:r>
      <w:r w:rsidR="00ED066F">
        <w:rPr>
          <w:rFonts w:eastAsia="Times New Roman" w:cs="Times New Roman"/>
        </w:rPr>
        <w:t xml:space="preserve">und </w:t>
      </w:r>
      <w:r w:rsidR="00A32A62">
        <w:rPr>
          <w:rFonts w:eastAsia="Times New Roman" w:cs="Times New Roman"/>
        </w:rPr>
        <w:t>„ungewohnte[r]</w:t>
      </w:r>
      <w:r w:rsidR="00ED066F">
        <w:rPr>
          <w:rFonts w:eastAsia="Times New Roman" w:cs="Times New Roman"/>
        </w:rPr>
        <w:t xml:space="preserve"> Gebrauch“</w:t>
      </w:r>
      <w:r w:rsidR="00ED066F">
        <w:rPr>
          <w:rStyle w:val="Funotenzeichen"/>
          <w:rFonts w:eastAsia="Times New Roman" w:cs="Times New Roman"/>
        </w:rPr>
        <w:footnoteReference w:id="186"/>
      </w:r>
      <w:r w:rsidR="00ED066F">
        <w:rPr>
          <w:rFonts w:eastAsia="Times New Roman" w:cs="Times New Roman"/>
        </w:rPr>
        <w:t>,</w:t>
      </w:r>
      <w:r w:rsidR="009F6EE2">
        <w:rPr>
          <w:rFonts w:eastAsia="Times New Roman" w:cs="Times New Roman"/>
        </w:rPr>
        <w:t xml:space="preserve"> sondern auch normentsprechender und gewohnter Gebrauch Stil</w:t>
      </w:r>
      <w:r w:rsidR="00BB3BA2">
        <w:rPr>
          <w:rFonts w:eastAsia="Times New Roman" w:cs="Times New Roman"/>
        </w:rPr>
        <w:t>e erzeugt</w:t>
      </w:r>
      <w:r w:rsidR="00E27BBA">
        <w:rPr>
          <w:rFonts w:eastAsia="Times New Roman" w:cs="Times New Roman"/>
        </w:rPr>
        <w:t xml:space="preserve"> (sofern es übe</w:t>
      </w:r>
      <w:r w:rsidR="00E27BBA">
        <w:rPr>
          <w:rFonts w:eastAsia="Times New Roman" w:cs="Times New Roman"/>
        </w:rPr>
        <w:t>r</w:t>
      </w:r>
      <w:r w:rsidR="00E27BBA">
        <w:rPr>
          <w:rFonts w:eastAsia="Times New Roman" w:cs="Times New Roman"/>
        </w:rPr>
        <w:lastRenderedPageBreak/>
        <w:t>haupt eine Norm</w:t>
      </w:r>
      <w:r w:rsidR="005D7996">
        <w:rPr>
          <w:rFonts w:eastAsia="Times New Roman" w:cs="Times New Roman"/>
        </w:rPr>
        <w:fldChar w:fldCharType="begin"/>
      </w:r>
      <w:r w:rsidR="001151DC">
        <w:instrText xml:space="preserve"> XE "</w:instrText>
      </w:r>
      <w:r w:rsidR="001151DC" w:rsidRPr="00FA2C83">
        <w:rPr>
          <w:rFonts w:eastAsia="Times New Roman" w:cs="Times New Roman"/>
        </w:rPr>
        <w:instrText>Norm</w:instrText>
      </w:r>
      <w:r w:rsidR="001151DC">
        <w:instrText xml:space="preserve">" </w:instrText>
      </w:r>
      <w:r w:rsidR="005D7996">
        <w:rPr>
          <w:rFonts w:eastAsia="Times New Roman" w:cs="Times New Roman"/>
        </w:rPr>
        <w:fldChar w:fldCharType="end"/>
      </w:r>
      <w:r w:rsidR="00E27BBA">
        <w:rPr>
          <w:rFonts w:eastAsia="Times New Roman" w:cs="Times New Roman"/>
        </w:rPr>
        <w:t xml:space="preserve"> gibt)</w:t>
      </w:r>
      <w:r w:rsidR="00BB3BA2">
        <w:rPr>
          <w:rFonts w:eastAsia="Times New Roman" w:cs="Times New Roman"/>
        </w:rPr>
        <w:t>.</w:t>
      </w:r>
      <w:r w:rsidR="00E27BBA">
        <w:rPr>
          <w:rFonts w:eastAsia="Times New Roman" w:cs="Times New Roman"/>
        </w:rPr>
        <w:t xml:space="preserve"> </w:t>
      </w:r>
      <w:r w:rsidR="007659AE">
        <w:rPr>
          <w:rFonts w:eastAsia="Times New Roman" w:cs="Times New Roman"/>
        </w:rPr>
        <w:t>Ein weiterer wichtiger Unterschied ergibt sich aus dem unterschiedlichen Beschreibungsgegenstand: Die ästhetische Theorie des Russ</w:t>
      </w:r>
      <w:r w:rsidR="007659AE">
        <w:rPr>
          <w:rFonts w:eastAsia="Times New Roman" w:cs="Times New Roman"/>
        </w:rPr>
        <w:t>i</w:t>
      </w:r>
      <w:r w:rsidR="007659AE">
        <w:rPr>
          <w:rFonts w:eastAsia="Times New Roman" w:cs="Times New Roman"/>
        </w:rPr>
        <w:t>schen Formalismus</w:t>
      </w:r>
      <w:r w:rsidR="005D7996">
        <w:rPr>
          <w:rFonts w:eastAsia="Times New Roman" w:cs="Times New Roman"/>
        </w:rPr>
        <w:fldChar w:fldCharType="begin"/>
      </w:r>
      <w:r w:rsidR="003B6F55">
        <w:instrText xml:space="preserve"> XE "</w:instrText>
      </w:r>
      <w:r w:rsidR="003B6F55" w:rsidRPr="00D9016D">
        <w:rPr>
          <w:rFonts w:eastAsia="Times New Roman" w:cs="Times New Roman"/>
        </w:rPr>
        <w:instrText>Russischer Formalismus</w:instrText>
      </w:r>
      <w:r w:rsidR="003B6F55">
        <w:instrText xml:space="preserve">" </w:instrText>
      </w:r>
      <w:r w:rsidR="005D7996">
        <w:rPr>
          <w:rFonts w:eastAsia="Times New Roman" w:cs="Times New Roman"/>
        </w:rPr>
        <w:fldChar w:fldCharType="end"/>
      </w:r>
      <w:r w:rsidR="007659AE">
        <w:rPr>
          <w:rFonts w:eastAsia="Times New Roman" w:cs="Times New Roman"/>
        </w:rPr>
        <w:t xml:space="preserve"> und Prager Strukturalismus</w:t>
      </w:r>
      <w:r w:rsidR="005D7996">
        <w:rPr>
          <w:rFonts w:eastAsia="Times New Roman" w:cs="Times New Roman"/>
        </w:rPr>
        <w:fldChar w:fldCharType="begin"/>
      </w:r>
      <w:r w:rsidR="000F5037">
        <w:instrText xml:space="preserve"> XE "</w:instrText>
      </w:r>
      <w:r w:rsidR="003B6F55">
        <w:instrText xml:space="preserve">Prager </w:instrText>
      </w:r>
      <w:r w:rsidR="000F5037" w:rsidRPr="008567DE">
        <w:instrText>Strukturalismus</w:instrText>
      </w:r>
      <w:r w:rsidR="000F5037">
        <w:instrText xml:space="preserve">" </w:instrText>
      </w:r>
      <w:r w:rsidR="005D7996">
        <w:rPr>
          <w:rFonts w:eastAsia="Times New Roman" w:cs="Times New Roman"/>
        </w:rPr>
        <w:fldChar w:fldCharType="end"/>
      </w:r>
      <w:r w:rsidR="007659AE">
        <w:rPr>
          <w:rFonts w:eastAsia="Times New Roman" w:cs="Times New Roman"/>
        </w:rPr>
        <w:t xml:space="preserve"> bezieht auch </w:t>
      </w:r>
      <w:r w:rsidR="00C12A8E">
        <w:rPr>
          <w:rFonts w:eastAsia="Times New Roman" w:cs="Times New Roman"/>
        </w:rPr>
        <w:t xml:space="preserve">Strukturen der </w:t>
      </w:r>
      <w:r w:rsidR="007659AE">
        <w:rPr>
          <w:rFonts w:eastAsia="Times New Roman" w:cs="Times New Roman"/>
        </w:rPr>
        <w:t>Inhaltsebene</w:t>
      </w:r>
      <w:r w:rsidR="005D7996">
        <w:rPr>
          <w:rFonts w:eastAsia="Times New Roman" w:cs="Times New Roman"/>
        </w:rPr>
        <w:fldChar w:fldCharType="begin"/>
      </w:r>
      <w:r w:rsidR="004E4C88">
        <w:instrText xml:space="preserve"> XE "</w:instrText>
      </w:r>
      <w:r w:rsidR="004E4C88" w:rsidRPr="00E10D87">
        <w:rPr>
          <w:rFonts w:eastAsia="Times New Roman" w:cs="Times New Roman"/>
        </w:rPr>
        <w:instrText>Inhaltsebene</w:instrText>
      </w:r>
      <w:r w:rsidR="004E4C88">
        <w:instrText xml:space="preserve">" </w:instrText>
      </w:r>
      <w:r w:rsidR="005D7996">
        <w:rPr>
          <w:rFonts w:eastAsia="Times New Roman" w:cs="Times New Roman"/>
        </w:rPr>
        <w:fldChar w:fldCharType="end"/>
      </w:r>
      <w:r w:rsidR="007659AE">
        <w:rPr>
          <w:rFonts w:eastAsia="Times New Roman" w:cs="Times New Roman"/>
        </w:rPr>
        <w:t xml:space="preserve"> mit ein (vgl. den ersten Satz des Zitats), während bei der Stilunte</w:t>
      </w:r>
      <w:r w:rsidR="007659AE">
        <w:rPr>
          <w:rFonts w:eastAsia="Times New Roman" w:cs="Times New Roman"/>
        </w:rPr>
        <w:t>r</w:t>
      </w:r>
      <w:r w:rsidR="007659AE">
        <w:rPr>
          <w:rFonts w:eastAsia="Times New Roman" w:cs="Times New Roman"/>
        </w:rPr>
        <w:t xml:space="preserve">suchung </w:t>
      </w:r>
      <w:r w:rsidR="00C32261">
        <w:rPr>
          <w:rFonts w:eastAsia="Times New Roman" w:cs="Times New Roman"/>
        </w:rPr>
        <w:t xml:space="preserve">Inhalt (Funktion; Ziel) nur </w:t>
      </w:r>
      <w:r w:rsidR="008401AE">
        <w:rPr>
          <w:rFonts w:eastAsia="Times New Roman" w:cs="Times New Roman"/>
        </w:rPr>
        <w:t xml:space="preserve">in Form der </w:t>
      </w:r>
      <w:r w:rsidR="00C32261">
        <w:rPr>
          <w:rFonts w:eastAsia="Times New Roman" w:cs="Times New Roman"/>
        </w:rPr>
        <w:t xml:space="preserve">Bedingungen berücksichtigt </w:t>
      </w:r>
      <w:r w:rsidR="008401AE">
        <w:rPr>
          <w:rFonts w:eastAsia="Times New Roman" w:cs="Times New Roman"/>
        </w:rPr>
        <w:t>wird</w:t>
      </w:r>
      <w:r w:rsidR="00C32261">
        <w:rPr>
          <w:rFonts w:eastAsia="Times New Roman" w:cs="Times New Roman"/>
        </w:rPr>
        <w:t>, die die verfügbaren Alternativen einschränken.</w:t>
      </w:r>
      <w:r w:rsidR="00C32261">
        <w:rPr>
          <w:rStyle w:val="Funotenzeichen"/>
          <w:rFonts w:eastAsia="Times New Roman" w:cs="Times New Roman"/>
        </w:rPr>
        <w:footnoteReference w:id="187"/>
      </w:r>
    </w:p>
    <w:p w:rsidR="00AF518F" w:rsidRDefault="00C32261" w:rsidP="005A5093">
      <w:r>
        <w:rPr>
          <w:rFonts w:eastAsia="Times New Roman" w:cs="Times New Roman"/>
        </w:rPr>
        <w:t>Die</w:t>
      </w:r>
      <w:r w:rsidR="00C43C6B">
        <w:rPr>
          <w:rFonts w:eastAsia="Times New Roman" w:cs="Times New Roman"/>
        </w:rPr>
        <w:t xml:space="preserve"> Gemeinsamkeiten zeigen die Herkunft des hier </w:t>
      </w:r>
      <w:r w:rsidR="007659AE">
        <w:rPr>
          <w:rFonts w:eastAsia="Times New Roman" w:cs="Times New Roman"/>
        </w:rPr>
        <w:t xml:space="preserve">vorgestellten </w:t>
      </w:r>
      <w:r w:rsidR="00C43C6B">
        <w:rPr>
          <w:rFonts w:eastAsia="Times New Roman" w:cs="Times New Roman"/>
        </w:rPr>
        <w:t>Modells aus dem Strukturalismus</w:t>
      </w:r>
      <w:r w:rsidR="005D7996">
        <w:rPr>
          <w:rFonts w:eastAsia="Times New Roman" w:cs="Times New Roman"/>
        </w:rPr>
        <w:fldChar w:fldCharType="begin"/>
      </w:r>
      <w:r w:rsidR="000F5037">
        <w:instrText xml:space="preserve"> XE "</w:instrText>
      </w:r>
      <w:r w:rsidR="000F5037" w:rsidRPr="008567DE">
        <w:instrText>Strukturalismus</w:instrText>
      </w:r>
      <w:r w:rsidR="000F5037">
        <w:instrText xml:space="preserve">" </w:instrText>
      </w:r>
      <w:r w:rsidR="005D7996">
        <w:rPr>
          <w:rFonts w:eastAsia="Times New Roman" w:cs="Times New Roman"/>
        </w:rPr>
        <w:fldChar w:fldCharType="end"/>
      </w:r>
      <w:r w:rsidR="009612AC">
        <w:rPr>
          <w:rFonts w:eastAsia="Times New Roman" w:cs="Times New Roman"/>
        </w:rPr>
        <w:t>.</w:t>
      </w:r>
      <w:r w:rsidR="00C43C6B">
        <w:rPr>
          <w:rStyle w:val="Funotenzeichen"/>
          <w:rFonts w:eastAsia="Times New Roman" w:cs="Times New Roman"/>
        </w:rPr>
        <w:footnoteReference w:id="188"/>
      </w:r>
      <w:r w:rsidR="007659AE">
        <w:rPr>
          <w:rFonts w:eastAsia="Times New Roman" w:cs="Times New Roman"/>
        </w:rPr>
        <w:t xml:space="preserve"> </w:t>
      </w:r>
      <w:r>
        <w:rPr>
          <w:rFonts w:eastAsia="Times New Roman" w:cs="Times New Roman"/>
        </w:rPr>
        <w:t xml:space="preserve">Die </w:t>
      </w:r>
      <w:r w:rsidR="00401AE7">
        <w:rPr>
          <w:rFonts w:eastAsia="Times New Roman" w:cs="Times New Roman"/>
        </w:rPr>
        <w:t>Unterschiede</w:t>
      </w:r>
      <w:r>
        <w:rPr>
          <w:rFonts w:eastAsia="Times New Roman" w:cs="Times New Roman"/>
        </w:rPr>
        <w:t xml:space="preserve"> ergeben sich teils aus dem an</w:t>
      </w:r>
      <w:r w:rsidR="00CD485F">
        <w:rPr>
          <w:rFonts w:eastAsia="Times New Roman" w:cs="Times New Roman"/>
        </w:rPr>
        <w:t>deren Gegenstandsbereich</w:t>
      </w:r>
      <w:r w:rsidR="005D7996">
        <w:rPr>
          <w:rFonts w:eastAsia="Times New Roman" w:cs="Times New Roman"/>
        </w:rPr>
        <w:fldChar w:fldCharType="begin"/>
      </w:r>
      <w:r w:rsidR="007924FE">
        <w:instrText xml:space="preserve"> XE "</w:instrText>
      </w:r>
      <w:r w:rsidR="007924FE" w:rsidRPr="00144851">
        <w:instrText>Gegenstandsbereich</w:instrText>
      </w:r>
      <w:r w:rsidR="007924FE">
        <w:instrText xml:space="preserve">" </w:instrText>
      </w:r>
      <w:r w:rsidR="005D7996">
        <w:rPr>
          <w:rFonts w:eastAsia="Times New Roman" w:cs="Times New Roman"/>
        </w:rPr>
        <w:fldChar w:fldCharType="end"/>
      </w:r>
      <w:r w:rsidR="00CD485F">
        <w:rPr>
          <w:rFonts w:eastAsia="Times New Roman" w:cs="Times New Roman"/>
        </w:rPr>
        <w:t xml:space="preserve"> (Stil</w:t>
      </w:r>
      <w:r>
        <w:rPr>
          <w:rFonts w:eastAsia="Times New Roman" w:cs="Times New Roman"/>
        </w:rPr>
        <w:t xml:space="preserve"> </w:t>
      </w:r>
      <w:r w:rsidR="00401AE7">
        <w:rPr>
          <w:rFonts w:eastAsia="Times New Roman" w:cs="Times New Roman"/>
        </w:rPr>
        <w:t xml:space="preserve">vs. </w:t>
      </w:r>
      <w:r w:rsidR="00CD485F">
        <w:rPr>
          <w:rFonts w:eastAsia="Times New Roman" w:cs="Times New Roman"/>
        </w:rPr>
        <w:t>Ästhetik</w:t>
      </w:r>
      <w:r>
        <w:rPr>
          <w:rFonts w:eastAsia="Times New Roman" w:cs="Times New Roman"/>
        </w:rPr>
        <w:t>), teilweise aus unterschiedlichen Auffa</w:t>
      </w:r>
      <w:r>
        <w:rPr>
          <w:rFonts w:eastAsia="Times New Roman" w:cs="Times New Roman"/>
        </w:rPr>
        <w:t>s</w:t>
      </w:r>
      <w:r>
        <w:rPr>
          <w:rFonts w:eastAsia="Times New Roman" w:cs="Times New Roman"/>
        </w:rPr>
        <w:t>sungen. Tatsächlich erscheint es aus heutiger Sicht so, als ob die beschriebene formalistisch</w:t>
      </w:r>
      <w:r w:rsidR="00FB6876">
        <w:rPr>
          <w:rFonts w:eastAsia="Times New Roman" w:cs="Times New Roman"/>
        </w:rPr>
        <w:t>e</w:t>
      </w:r>
      <w:r>
        <w:rPr>
          <w:rFonts w:eastAsia="Times New Roman" w:cs="Times New Roman"/>
        </w:rPr>
        <w:t xml:space="preserve"> Ästhetik </w:t>
      </w:r>
      <w:r w:rsidR="009612AC">
        <w:rPr>
          <w:rFonts w:eastAsia="Times New Roman" w:cs="Times New Roman"/>
        </w:rPr>
        <w:t xml:space="preserve">zu speziell ist: </w:t>
      </w:r>
      <w:r>
        <w:rPr>
          <w:rFonts w:eastAsia="Times New Roman" w:cs="Times New Roman"/>
        </w:rPr>
        <w:t>Inhalt</w:t>
      </w:r>
      <w:r w:rsidR="00401AE7">
        <w:rPr>
          <w:rFonts w:eastAsia="Times New Roman" w:cs="Times New Roman"/>
        </w:rPr>
        <w:t>,</w:t>
      </w:r>
      <w:r>
        <w:rPr>
          <w:rFonts w:eastAsia="Times New Roman" w:cs="Times New Roman"/>
        </w:rPr>
        <w:t xml:space="preserve"> Funktion </w:t>
      </w:r>
      <w:r w:rsidR="00401AE7">
        <w:rPr>
          <w:rFonts w:eastAsia="Times New Roman" w:cs="Times New Roman"/>
        </w:rPr>
        <w:t xml:space="preserve">und gesellschaftliche Rolle </w:t>
      </w:r>
      <w:r>
        <w:rPr>
          <w:rFonts w:eastAsia="Times New Roman" w:cs="Times New Roman"/>
        </w:rPr>
        <w:t xml:space="preserve">von Kunstwerken </w:t>
      </w:r>
      <w:r w:rsidR="00401AE7">
        <w:rPr>
          <w:rFonts w:eastAsia="Times New Roman" w:cs="Times New Roman"/>
        </w:rPr>
        <w:t xml:space="preserve">werden </w:t>
      </w:r>
      <w:r w:rsidR="009612AC">
        <w:rPr>
          <w:rFonts w:eastAsia="Times New Roman" w:cs="Times New Roman"/>
        </w:rPr>
        <w:t>nicht ausreichend berücksichtigt</w:t>
      </w:r>
      <w:r>
        <w:rPr>
          <w:rFonts w:eastAsia="Times New Roman" w:cs="Times New Roman"/>
        </w:rPr>
        <w:t xml:space="preserve">. </w:t>
      </w:r>
      <w:r w:rsidR="00F72BAA">
        <w:t>D</w:t>
      </w:r>
      <w:r>
        <w:t>iese Auffa</w:t>
      </w:r>
      <w:r>
        <w:t>s</w:t>
      </w:r>
      <w:r>
        <w:t xml:space="preserve">sung von Ästhetik </w:t>
      </w:r>
      <w:r w:rsidR="00F72BAA">
        <w:t xml:space="preserve">dürfte </w:t>
      </w:r>
      <w:r w:rsidR="003F0825">
        <w:t>damit zusammenhängen</w:t>
      </w:r>
      <w:r>
        <w:t xml:space="preserve">, dass </w:t>
      </w:r>
      <w:r w:rsidR="003F0825">
        <w:t xml:space="preserve">Kunst und Literatur der </w:t>
      </w:r>
      <w:r>
        <w:t>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w:t>
      </w:r>
      <w:r w:rsidR="00F7300C">
        <w:t>das Experimentelle (die Abweichung vom gewöhnlichen Zeichensy</w:t>
      </w:r>
      <w:r w:rsidR="00F7300C">
        <w:t>s</w:t>
      </w:r>
      <w:r w:rsidR="00F7300C">
        <w:t xml:space="preserve">temgebrauch) sowie </w:t>
      </w:r>
      <w:r>
        <w:t>form</w:t>
      </w:r>
      <w:r w:rsidR="00F7300C">
        <w:t xml:space="preserve">ale Aspekte, Darstellungsweisen und </w:t>
      </w:r>
      <w:r>
        <w:t>Stile hoch bewe</w:t>
      </w:r>
      <w:r>
        <w:t>r</w:t>
      </w:r>
      <w:r>
        <w:t>tete</w:t>
      </w:r>
      <w:r w:rsidR="00BB543A">
        <w:t>n</w:t>
      </w:r>
      <w:r>
        <w:t xml:space="preserve"> und </w:t>
      </w:r>
      <w:r w:rsidR="00F7300C">
        <w:t xml:space="preserve">genuin </w:t>
      </w:r>
      <w:r>
        <w:t>inhaltliche Aspekte zurückstufte</w:t>
      </w:r>
      <w:r w:rsidR="00BB543A">
        <w:t>n</w:t>
      </w:r>
      <w:r>
        <w:t>.</w:t>
      </w:r>
      <w:r w:rsidR="008338BF">
        <w:t xml:space="preserve"> Dies drückte sich nicht nur in </w:t>
      </w:r>
      <w:r w:rsidR="002A0F5B">
        <w:t xml:space="preserve">jener </w:t>
      </w:r>
      <w:r w:rsidR="008338BF">
        <w:t>Experimentierfreude</w:t>
      </w:r>
      <w:r>
        <w:t xml:space="preserve"> </w:t>
      </w:r>
      <w:r w:rsidR="008338BF">
        <w:t xml:space="preserve">im formalen Bereich aus, die heute als </w:t>
      </w:r>
      <w:r w:rsidR="002A0F5B">
        <w:t>kennzeic</w:t>
      </w:r>
      <w:r w:rsidR="002A0F5B">
        <w:t>h</w:t>
      </w:r>
      <w:r w:rsidR="002A0F5B">
        <w:t xml:space="preserve">nend </w:t>
      </w:r>
      <w:r w:rsidR="008338BF">
        <w:t xml:space="preserve">für die Moderne gilt, sondern auch in Wertungen von Literaturgattungen: </w:t>
      </w:r>
      <w:r w:rsidR="002A0F5B">
        <w:t xml:space="preserve">So </w:t>
      </w:r>
      <w:r w:rsidR="003F0825">
        <w:t xml:space="preserve">galten </w:t>
      </w:r>
      <w:r>
        <w:t>Fantasy</w:t>
      </w:r>
      <w:r w:rsidR="005D7996">
        <w:fldChar w:fldCharType="begin"/>
      </w:r>
      <w:r w:rsidR="00C365DD">
        <w:instrText xml:space="preserve"> XE "</w:instrText>
      </w:r>
      <w:r w:rsidR="00C365DD" w:rsidRPr="00C61A4F">
        <w:instrText>Fantasy-Literatur</w:instrText>
      </w:r>
      <w:r w:rsidR="00C365DD">
        <w:instrText xml:space="preserve">" </w:instrText>
      </w:r>
      <w:r w:rsidR="005D7996">
        <w:fldChar w:fldCharType="end"/>
      </w:r>
      <w:r>
        <w:t>- und Science fiction-Literatur</w:t>
      </w:r>
      <w:r w:rsidR="005D7996">
        <w:fldChar w:fldCharType="begin"/>
      </w:r>
      <w:r w:rsidR="00C365DD">
        <w:instrText xml:space="preserve"> XE "</w:instrText>
      </w:r>
      <w:r w:rsidR="00C365DD" w:rsidRPr="00547050">
        <w:instrText>Science fiction-Literatur</w:instrText>
      </w:r>
      <w:r w:rsidR="00C365DD">
        <w:instrText xml:space="preserve">" </w:instrText>
      </w:r>
      <w:r w:rsidR="005D7996">
        <w:fldChar w:fldCharType="end"/>
      </w:r>
      <w:r>
        <w:t>, die in ihren vormodernen A</w:t>
      </w:r>
      <w:r>
        <w:t>n</w:t>
      </w:r>
      <w:r>
        <w:t>fängen (</w:t>
      </w:r>
      <w:r w:rsidR="008D4DCB">
        <w:t>Mary Shelley</w:t>
      </w:r>
      <w:r w:rsidR="005D7996">
        <w:fldChar w:fldCharType="begin"/>
      </w:r>
      <w:r w:rsidR="00C365DD">
        <w:instrText xml:space="preserve"> XE "</w:instrText>
      </w:r>
      <w:r w:rsidR="00C365DD" w:rsidRPr="006979F4">
        <w:instrText>Shelley, Mary</w:instrText>
      </w:r>
      <w:r w:rsidR="00C365DD">
        <w:instrText xml:space="preserve">" </w:instrText>
      </w:r>
      <w:r w:rsidR="005D7996">
        <w:fldChar w:fldCharType="end"/>
      </w:r>
      <w:r w:rsidR="008D4DCB">
        <w:t>,</w:t>
      </w:r>
      <w:r>
        <w:t xml:space="preserve"> </w:t>
      </w:r>
      <w:r w:rsidR="008D4DCB">
        <w:t>Jules Verne</w:t>
      </w:r>
      <w:r w:rsidR="005D7996">
        <w:fldChar w:fldCharType="begin"/>
      </w:r>
      <w:r w:rsidR="00C365DD">
        <w:instrText xml:space="preserve"> XE "</w:instrText>
      </w:r>
      <w:r w:rsidR="00C365DD" w:rsidRPr="006979F4">
        <w:instrText>Verne, Jules</w:instrText>
      </w:r>
      <w:r w:rsidR="00C365DD">
        <w:instrText xml:space="preserve">" </w:instrText>
      </w:r>
      <w:r w:rsidR="005D7996">
        <w:fldChar w:fldCharType="end"/>
      </w:r>
      <w:r w:rsidR="008D4DCB">
        <w:t>,</w:t>
      </w:r>
      <w:r>
        <w:t xml:space="preserve"> H.G. Wells</w:t>
      </w:r>
      <w:r w:rsidR="005D7996">
        <w:fldChar w:fldCharType="begin"/>
      </w:r>
      <w:r w:rsidR="00C365DD">
        <w:instrText xml:space="preserve"> XE "</w:instrText>
      </w:r>
      <w:r w:rsidR="00C365DD" w:rsidRPr="00060145">
        <w:instrText>Wells, H.G.</w:instrText>
      </w:r>
      <w:r w:rsidR="00C365DD">
        <w:instrText xml:space="preserve">" </w:instrText>
      </w:r>
      <w:r w:rsidR="005D7996">
        <w:fldChar w:fldCharType="end"/>
      </w:r>
      <w:r>
        <w:t>)</w:t>
      </w:r>
      <w:r w:rsidR="008D4DCB">
        <w:t xml:space="preserve"> </w:t>
      </w:r>
      <w:r w:rsidR="00026CCF">
        <w:t xml:space="preserve">durchaus respektiert worden </w:t>
      </w:r>
      <w:r w:rsidR="003F0825">
        <w:t xml:space="preserve">waren, </w:t>
      </w:r>
      <w:r w:rsidR="00026CCF">
        <w:t xml:space="preserve">während großer Teile des 20. Jahrhunderts </w:t>
      </w:r>
      <w:r w:rsidR="008D4DCB">
        <w:t xml:space="preserve">nicht als </w:t>
      </w:r>
      <w:r w:rsidR="002A0F5B">
        <w:t>ernstzunehmende Literatur</w:t>
      </w:r>
      <w:r w:rsidR="008D4DCB">
        <w:t>, da ihr</w:t>
      </w:r>
      <w:r w:rsidR="00E50A49">
        <w:t xml:space="preserve"> Ideenreichtum und ihre Relevanz </w:t>
      </w:r>
      <w:r w:rsidR="004535C4">
        <w:t xml:space="preserve">vor allem </w:t>
      </w:r>
      <w:r w:rsidR="008D4DCB">
        <w:t>auf inhaltlicher Eb</w:t>
      </w:r>
      <w:r w:rsidR="008D4DCB">
        <w:t>e</w:t>
      </w:r>
      <w:r w:rsidR="008D4DCB">
        <w:t xml:space="preserve">ne </w:t>
      </w:r>
      <w:r w:rsidR="00AF518F">
        <w:t>lagen</w:t>
      </w:r>
      <w:r w:rsidR="00E50A49">
        <w:t>.</w:t>
      </w:r>
      <w:r w:rsidR="00F72BAA">
        <w:rPr>
          <w:rStyle w:val="Funotenzeichen"/>
        </w:rPr>
        <w:footnoteReference w:id="189"/>
      </w:r>
    </w:p>
    <w:p w:rsidR="00BB3BA2" w:rsidRDefault="008D4DCB" w:rsidP="005A5093">
      <w:r>
        <w:t>Zusammenfassend lässt sich sagen, dass die ästhetische Theorie des Form</w:t>
      </w:r>
      <w:r>
        <w:t>a</w:t>
      </w:r>
      <w:r>
        <w:t>lismus</w:t>
      </w:r>
      <w:r w:rsidR="005D7996">
        <w:fldChar w:fldCharType="begin"/>
      </w:r>
      <w:r w:rsidR="003B6F55">
        <w:instrText xml:space="preserve"> XE "</w:instrText>
      </w:r>
      <w:r w:rsidR="003B6F55" w:rsidRPr="00E14773">
        <w:instrText>Russischer Formalismus</w:instrText>
      </w:r>
      <w:r w:rsidR="003B6F55">
        <w:instrText xml:space="preserve">" </w:instrText>
      </w:r>
      <w:r w:rsidR="005D7996">
        <w:fldChar w:fldCharType="end"/>
      </w:r>
      <w:r>
        <w:t xml:space="preserve"> und </w:t>
      </w:r>
      <w:r w:rsidR="009641B8">
        <w:t xml:space="preserve">frühen </w:t>
      </w:r>
      <w:r>
        <w:t>Struktur</w:t>
      </w:r>
      <w:r w:rsidR="007F3828">
        <w:t>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7F3828">
        <w:t xml:space="preserve"> auf dem besten Weg war</w:t>
      </w:r>
      <w:r>
        <w:t>, eine schlüssige Sti</w:t>
      </w:r>
      <w:r>
        <w:t>l</w:t>
      </w:r>
      <w:r>
        <w:t>theorie vorzulegen, aber nach Überzeugung des Autors durch d</w:t>
      </w:r>
      <w:r w:rsidR="00AC20DA">
        <w:t>ie Überbetonung der Abweichungen</w:t>
      </w:r>
      <w:r>
        <w:t xml:space="preserve"> und Verfremdungs</w:t>
      </w:r>
      <w:r w:rsidR="00AC20DA">
        <w:t>verfahren</w:t>
      </w:r>
      <w:r>
        <w:t xml:space="preserve"> sowie der Gliederungs-, Darste</w:t>
      </w:r>
      <w:r>
        <w:t>l</w:t>
      </w:r>
      <w:r>
        <w:t>lungs- und Ausdrucks</w:t>
      </w:r>
      <w:r w:rsidR="00AF518F">
        <w:t>aspekte</w:t>
      </w:r>
      <w:r>
        <w:t xml:space="preserve"> von Kunstwerken als ästhetische Theorie nur zei</w:t>
      </w:r>
      <w:r>
        <w:t>t</w:t>
      </w:r>
      <w:r>
        <w:t>gebunden (nämlich für die ästhetischen Prinzipien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w:t>
      </w:r>
      <w:r w:rsidR="0090410C">
        <w:t>gültige Auss</w:t>
      </w:r>
      <w:r w:rsidR="0090410C">
        <w:t>a</w:t>
      </w:r>
      <w:r w:rsidR="0090410C">
        <w:t>gen mach</w:t>
      </w:r>
      <w:r w:rsidR="00AC20DA">
        <w:t>te</w:t>
      </w:r>
      <w:r>
        <w:t>.</w:t>
      </w:r>
      <w:r w:rsidR="009641B8">
        <w:rPr>
          <w:rStyle w:val="Funotenzeichen"/>
        </w:rPr>
        <w:footnoteReference w:id="190"/>
      </w:r>
      <w:bookmarkEnd w:id="134"/>
    </w:p>
    <w:p w:rsidR="00255C44" w:rsidRPr="00CB4DB6" w:rsidRDefault="00B81768" w:rsidP="00255C44">
      <w:pPr>
        <w:pStyle w:val="Titel2"/>
        <w:rPr>
          <w:rFonts w:eastAsia="Times New Roman" w:cs="Times New Roman"/>
        </w:rPr>
      </w:pPr>
      <w:bookmarkStart w:id="135" w:name="_Ref265831830"/>
      <w:bookmarkStart w:id="136" w:name="_Toc325456715"/>
      <w:bookmarkStart w:id="137" w:name="Information2"/>
      <w:r>
        <w:rPr>
          <w:rFonts w:eastAsia="Times New Roman" w:cs="Times New Roman"/>
        </w:rPr>
        <w:lastRenderedPageBreak/>
        <w:t xml:space="preserve">Stil als </w:t>
      </w:r>
      <w:r w:rsidR="00255C44" w:rsidRPr="00CB4DB6">
        <w:rPr>
          <w:rFonts w:eastAsia="Times New Roman" w:cs="Times New Roman"/>
        </w:rPr>
        <w:t>Information</w:t>
      </w:r>
      <w:bookmarkEnd w:id="135"/>
      <w:bookmarkEnd w:id="136"/>
    </w:p>
    <w:p w:rsidR="00E83E10" w:rsidRDefault="005D7996" w:rsidP="00AB73B6">
      <w:pPr>
        <w:ind w:firstLine="0"/>
      </w:pPr>
      <w:r>
        <w:fldChar w:fldCharType="begin"/>
      </w:r>
      <w:r w:rsidR="006A63A9">
        <w:instrText xml:space="preserve"> XE "Information" \r "Information2" </w:instrText>
      </w:r>
      <w:r>
        <w:fldChar w:fldCharType="end"/>
      </w:r>
      <w:r>
        <w:fldChar w:fldCharType="begin"/>
      </w:r>
      <w:r w:rsidR="00A53903">
        <w:instrText xml:space="preserve"> XE "Stil:als Information" \r "Information2" </w:instrText>
      </w:r>
      <w:r>
        <w:fldChar w:fldCharType="end"/>
      </w:r>
      <w:r w:rsidR="00572808">
        <w:rPr>
          <w:rFonts w:eastAsia="Times New Roman" w:cs="Times New Roman"/>
        </w:rPr>
        <w:t>Bennison Gray hat eine großzügige Lösung des „Stilproblems“ vorgeschlagen:</w:t>
      </w:r>
      <w:r w:rsidR="00FB6876">
        <w:rPr>
          <w:rStyle w:val="Funotenzeichen"/>
          <w:rFonts w:eastAsia="Times New Roman" w:cs="Times New Roman"/>
        </w:rPr>
        <w:footnoteReference w:id="191"/>
      </w:r>
      <w:r w:rsidR="00572808">
        <w:rPr>
          <w:rFonts w:eastAsia="Times New Roman" w:cs="Times New Roman"/>
        </w:rPr>
        <w:t xml:space="preserve"> Er meint, Stil gebe es gar nicht, da der Begriff sowieso </w:t>
      </w:r>
      <w:r w:rsidR="009820DC">
        <w:rPr>
          <w:rFonts w:eastAsia="Times New Roman" w:cs="Times New Roman"/>
        </w:rPr>
        <w:t>immer unterschiedlich verstanden und definiert w</w:t>
      </w:r>
      <w:r w:rsidR="00D85ED0">
        <w:rPr>
          <w:rFonts w:eastAsia="Times New Roman" w:cs="Times New Roman"/>
        </w:rPr>
        <w:t>e</w:t>
      </w:r>
      <w:r w:rsidR="009820DC">
        <w:rPr>
          <w:rFonts w:eastAsia="Times New Roman" w:cs="Times New Roman"/>
        </w:rPr>
        <w:t>rde</w:t>
      </w:r>
      <w:r w:rsidR="00572808">
        <w:rPr>
          <w:rFonts w:eastAsia="Times New Roman" w:cs="Times New Roman"/>
        </w:rPr>
        <w:t>. Er übersah damit allerdings das Phänomen Stil</w:t>
      </w:r>
      <w:r w:rsidR="00BC14FE">
        <w:rPr>
          <w:rFonts w:eastAsia="Times New Roman" w:cs="Times New Roman"/>
        </w:rPr>
        <w:t>, das über die in Stilen enthaltene Information</w:t>
      </w:r>
      <w:r w:rsidR="00435E83">
        <w:rPr>
          <w:rStyle w:val="Funotenzeichen"/>
          <w:rFonts w:eastAsia="Times New Roman" w:cs="Times New Roman"/>
        </w:rPr>
        <w:footnoteReference w:id="192"/>
      </w:r>
      <w:r w:rsidR="00BC14FE">
        <w:rPr>
          <w:rFonts w:eastAsia="Times New Roman" w:cs="Times New Roman"/>
        </w:rPr>
        <w:t xml:space="preserve"> </w:t>
      </w:r>
      <w:r w:rsidR="00047D39">
        <w:rPr>
          <w:rFonts w:eastAsia="Times New Roman" w:cs="Times New Roman"/>
        </w:rPr>
        <w:t xml:space="preserve">erkennbar </w:t>
      </w:r>
      <w:r w:rsidR="00BC14FE">
        <w:rPr>
          <w:rFonts w:eastAsia="Times New Roman" w:cs="Times New Roman"/>
        </w:rPr>
        <w:t>wird</w:t>
      </w:r>
      <w:r w:rsidR="00572808">
        <w:rPr>
          <w:rFonts w:eastAsia="Times New Roman" w:cs="Times New Roman"/>
        </w:rPr>
        <w:t>: Wenn beispiel</w:t>
      </w:r>
      <w:r w:rsidR="00572808">
        <w:rPr>
          <w:rFonts w:eastAsia="Times New Roman" w:cs="Times New Roman"/>
        </w:rPr>
        <w:t>s</w:t>
      </w:r>
      <w:r w:rsidR="00572808">
        <w:rPr>
          <w:rFonts w:eastAsia="Times New Roman" w:cs="Times New Roman"/>
        </w:rPr>
        <w:t xml:space="preserve">weise ein Literaturkenner blindlings ein Buch aus einem Bücherregal greift und der Zufall es will, dass er </w:t>
      </w:r>
      <w:r w:rsidR="00C2240F">
        <w:rPr>
          <w:rFonts w:eastAsia="Times New Roman" w:cs="Times New Roman"/>
        </w:rPr>
        <w:t xml:space="preserve">zwar nicht </w:t>
      </w:r>
      <w:r w:rsidR="00572808">
        <w:rPr>
          <w:rFonts w:eastAsia="Times New Roman" w:cs="Times New Roman"/>
        </w:rPr>
        <w:t xml:space="preserve">dieses </w:t>
      </w:r>
      <w:r w:rsidR="00C2240F">
        <w:rPr>
          <w:rFonts w:eastAsia="Times New Roman" w:cs="Times New Roman"/>
        </w:rPr>
        <w:t xml:space="preserve">bestimmte </w:t>
      </w:r>
      <w:r w:rsidR="00572808">
        <w:rPr>
          <w:rFonts w:eastAsia="Times New Roman" w:cs="Times New Roman"/>
        </w:rPr>
        <w:t>Buch</w:t>
      </w:r>
      <w:r w:rsidR="00C2240F">
        <w:rPr>
          <w:rFonts w:eastAsia="Times New Roman" w:cs="Times New Roman"/>
        </w:rPr>
        <w:t>,</w:t>
      </w:r>
      <w:r w:rsidR="00572808">
        <w:rPr>
          <w:rFonts w:eastAsia="Times New Roman" w:cs="Times New Roman"/>
        </w:rPr>
        <w:t xml:space="preserve"> </w:t>
      </w:r>
      <w:r w:rsidR="00C2240F">
        <w:rPr>
          <w:rFonts w:eastAsia="Times New Roman" w:cs="Times New Roman"/>
        </w:rPr>
        <w:t xml:space="preserve">wohl aber </w:t>
      </w:r>
      <w:r w:rsidR="008171E4">
        <w:rPr>
          <w:rFonts w:eastAsia="Times New Roman" w:cs="Times New Roman"/>
        </w:rPr>
        <w:t xml:space="preserve">andere </w:t>
      </w:r>
      <w:r w:rsidR="00C2240F">
        <w:rPr>
          <w:rFonts w:eastAsia="Times New Roman" w:cs="Times New Roman"/>
        </w:rPr>
        <w:t>seine</w:t>
      </w:r>
      <w:r w:rsidR="008171E4">
        <w:rPr>
          <w:rFonts w:eastAsia="Times New Roman" w:cs="Times New Roman"/>
        </w:rPr>
        <w:t>r</w:t>
      </w:r>
      <w:r w:rsidR="00C2240F">
        <w:rPr>
          <w:rFonts w:eastAsia="Times New Roman" w:cs="Times New Roman"/>
        </w:rPr>
        <w:t xml:space="preserve"> </w:t>
      </w:r>
      <w:r w:rsidR="00572808">
        <w:rPr>
          <w:rFonts w:eastAsia="Times New Roman" w:cs="Times New Roman"/>
        </w:rPr>
        <w:t>Autor</w:t>
      </w:r>
      <w:r w:rsidR="00C2240F">
        <w:rPr>
          <w:rFonts w:eastAsia="Times New Roman" w:cs="Times New Roman"/>
        </w:rPr>
        <w:t>in</w:t>
      </w:r>
      <w:r w:rsidR="00F665B5">
        <w:rPr>
          <w:rFonts w:eastAsia="Times New Roman" w:cs="Times New Roman"/>
        </w:rPr>
        <w:t xml:space="preserve"> kennt, so wird ihm </w:t>
      </w:r>
      <w:r w:rsidR="008171E4">
        <w:rPr>
          <w:rFonts w:eastAsia="Times New Roman" w:cs="Times New Roman"/>
        </w:rPr>
        <w:t xml:space="preserve">in vielen Fällen die </w:t>
      </w:r>
      <w:r w:rsidR="00F665B5">
        <w:rPr>
          <w:rFonts w:eastAsia="Times New Roman" w:cs="Times New Roman"/>
        </w:rPr>
        <w:t xml:space="preserve">Zuordnung gelingen. </w:t>
      </w:r>
      <w:r w:rsidR="00572808">
        <w:rPr>
          <w:rFonts w:eastAsia="Times New Roman" w:cs="Times New Roman"/>
        </w:rPr>
        <w:t>Ebenso kann ein Architekturkenner ein ihm unbekanntes neues Gebäude einem Architekten zuordnen</w:t>
      </w:r>
      <w:r w:rsidR="005537AB">
        <w:rPr>
          <w:rFonts w:eastAsia="Times New Roman" w:cs="Times New Roman"/>
        </w:rPr>
        <w:t>.</w:t>
      </w:r>
      <w:r w:rsidR="00572808">
        <w:rPr>
          <w:rStyle w:val="Funotenzeichen"/>
          <w:rFonts w:eastAsia="Times New Roman" w:cs="Times New Roman"/>
        </w:rPr>
        <w:footnoteReference w:id="193"/>
      </w:r>
      <w:r w:rsidR="005537AB">
        <w:rPr>
          <w:rFonts w:eastAsia="Times New Roman" w:cs="Times New Roman"/>
        </w:rPr>
        <w:t xml:space="preserve"> In der Kunstgeschichte</w:t>
      </w:r>
      <w:r>
        <w:rPr>
          <w:rFonts w:eastAsia="Times New Roman" w:cs="Times New Roman"/>
        </w:rPr>
        <w:fldChar w:fldCharType="begin"/>
      </w:r>
      <w:r w:rsidR="00866F93">
        <w:instrText xml:space="preserve"> XE "</w:instrText>
      </w:r>
      <w:r w:rsidR="00866F93" w:rsidRPr="000853B0">
        <w:instrText>Kunstgeschichte</w:instrText>
      </w:r>
      <w:r w:rsidR="00866F93">
        <w:instrText xml:space="preserve">" </w:instrText>
      </w:r>
      <w:r>
        <w:rPr>
          <w:rFonts w:eastAsia="Times New Roman" w:cs="Times New Roman"/>
        </w:rPr>
        <w:fldChar w:fldCharType="end"/>
      </w:r>
      <w:r w:rsidR="005537AB">
        <w:rPr>
          <w:rFonts w:eastAsia="Times New Roman" w:cs="Times New Roman"/>
        </w:rPr>
        <w:t xml:space="preserve"> gehören Stilanalysen zum Standardrepertoire bei der Zuordnung von Werken zu Künstlern, </w:t>
      </w:r>
      <w:r w:rsidR="00540D48">
        <w:rPr>
          <w:rFonts w:eastAsia="Times New Roman" w:cs="Times New Roman"/>
        </w:rPr>
        <w:t>von Künstlern zu Schulen und</w:t>
      </w:r>
      <w:r w:rsidR="005537AB">
        <w:rPr>
          <w:rFonts w:eastAsia="Times New Roman" w:cs="Times New Roman"/>
        </w:rPr>
        <w:t xml:space="preserve"> zur </w:t>
      </w:r>
      <w:r w:rsidR="00540D48">
        <w:rPr>
          <w:rFonts w:eastAsia="Times New Roman" w:cs="Times New Roman"/>
        </w:rPr>
        <w:t xml:space="preserve">Postulierung von Kontakten </w:t>
      </w:r>
      <w:r w:rsidR="005537AB">
        <w:rPr>
          <w:rFonts w:eastAsia="Times New Roman" w:cs="Times New Roman"/>
        </w:rPr>
        <w:t>zwischen Schulen.</w:t>
      </w:r>
      <w:bookmarkStart w:id="138" w:name="_Ref268631694"/>
      <w:r w:rsidR="0034359C">
        <w:rPr>
          <w:rStyle w:val="Funotenzeichen"/>
          <w:rFonts w:eastAsia="Times New Roman" w:cs="Times New Roman"/>
        </w:rPr>
        <w:footnoteReference w:id="194"/>
      </w:r>
      <w:bookmarkEnd w:id="138"/>
      <w:r w:rsidR="005537AB">
        <w:rPr>
          <w:rFonts w:eastAsia="Times New Roman" w:cs="Times New Roman"/>
        </w:rPr>
        <w:t xml:space="preserve"> </w:t>
      </w:r>
      <w:r w:rsidR="0090346A">
        <w:rPr>
          <w:rFonts w:eastAsia="Times New Roman" w:cs="Times New Roman"/>
        </w:rPr>
        <w:t xml:space="preserve">Ebenso wird </w:t>
      </w:r>
      <w:r w:rsidR="0090346A">
        <w:t>in der Archäologie</w:t>
      </w:r>
      <w:r>
        <w:fldChar w:fldCharType="begin"/>
      </w:r>
      <w:r w:rsidR="00AD34BE">
        <w:instrText xml:space="preserve"> XE "</w:instrText>
      </w:r>
      <w:r w:rsidR="00AD34BE" w:rsidRPr="00E03B40">
        <w:rPr>
          <w:szCs w:val="17"/>
        </w:rPr>
        <w:instrText>Archäologie</w:instrText>
      </w:r>
      <w:r w:rsidR="00AD34BE">
        <w:instrText xml:space="preserve">" </w:instrText>
      </w:r>
      <w:r>
        <w:fldChar w:fldCharType="end"/>
      </w:r>
      <w:r w:rsidR="0090346A">
        <w:t xml:space="preserve"> häufig aufgrund einer Stilanalyse von Artefakten eine Vermutung über einen Kulturkontakt gemacht, der dann durch gezielte Nac</w:t>
      </w:r>
      <w:r w:rsidR="0090346A">
        <w:t>h</w:t>
      </w:r>
      <w:r w:rsidR="0090346A">
        <w:t xml:space="preserve">forschungen nachgewiesen wird; oder jemand schließt daraus, wie </w:t>
      </w:r>
      <w:r w:rsidR="00CE0A93">
        <w:t>jemand and</w:t>
      </w:r>
      <w:r w:rsidR="00CE0A93">
        <w:t>e</w:t>
      </w:r>
      <w:r w:rsidR="00CE0A93">
        <w:t xml:space="preserve">res </w:t>
      </w:r>
      <w:r w:rsidR="0090346A">
        <w:t xml:space="preserve">Auto fährt, auf </w:t>
      </w:r>
      <w:r w:rsidR="00CE0A93">
        <w:t xml:space="preserve">deren </w:t>
      </w:r>
      <w:r w:rsidR="0090346A">
        <w:t xml:space="preserve">Persönlichkeit und behält </w:t>
      </w:r>
      <w:r w:rsidR="00E83E10">
        <w:t>mit seinen Vermutungen recht.</w:t>
      </w:r>
    </w:p>
    <w:p w:rsidR="00572808" w:rsidRDefault="00D60BF1" w:rsidP="005A5093">
      <w:pPr>
        <w:rPr>
          <w:rFonts w:eastAsia="Times New Roman" w:cs="Times New Roman"/>
        </w:rPr>
      </w:pPr>
      <w:r>
        <w:rPr>
          <w:rFonts w:eastAsia="Times New Roman" w:cs="Times New Roman"/>
        </w:rPr>
        <w:t>Gray</w:t>
      </w:r>
      <w:r w:rsidR="005537AB">
        <w:rPr>
          <w:rFonts w:eastAsia="Times New Roman" w:cs="Times New Roman"/>
        </w:rPr>
        <w:t xml:space="preserve"> </w:t>
      </w:r>
      <w:r w:rsidR="005D2482">
        <w:rPr>
          <w:rFonts w:eastAsia="Times New Roman" w:cs="Times New Roman"/>
        </w:rPr>
        <w:t xml:space="preserve">ist dafür zu loben, explizit auszusprechen, was </w:t>
      </w:r>
      <w:r w:rsidR="005537AB">
        <w:rPr>
          <w:rFonts w:eastAsia="Times New Roman" w:cs="Times New Roman"/>
        </w:rPr>
        <w:t xml:space="preserve">eine ganze Tradition </w:t>
      </w:r>
      <w:r w:rsidR="000E3090">
        <w:rPr>
          <w:rFonts w:eastAsia="Times New Roman" w:cs="Times New Roman"/>
        </w:rPr>
        <w:t xml:space="preserve">der </w:t>
      </w:r>
      <w:r w:rsidR="005D2482">
        <w:rPr>
          <w:rFonts w:eastAsia="Times New Roman" w:cs="Times New Roman"/>
        </w:rPr>
        <w:t>Stilforsch</w:t>
      </w:r>
      <w:r w:rsidR="000E3090">
        <w:rPr>
          <w:rFonts w:eastAsia="Times New Roman" w:cs="Times New Roman"/>
        </w:rPr>
        <w:t>ung</w:t>
      </w:r>
      <w:r w:rsidR="005D7996">
        <w:rPr>
          <w:rFonts w:eastAsia="Times New Roman" w:cs="Times New Roman"/>
        </w:rPr>
        <w:fldChar w:fldCharType="begin"/>
      </w:r>
      <w:r w:rsidR="00262183">
        <w:instrText xml:space="preserve"> XE "</w:instrText>
      </w:r>
      <w:r w:rsidR="00262183" w:rsidRPr="0078486D">
        <w:instrText>Stilforschung</w:instrText>
      </w:r>
      <w:r w:rsidR="00262183">
        <w:instrText xml:space="preserve">" </w:instrText>
      </w:r>
      <w:r w:rsidR="005D7996">
        <w:rPr>
          <w:rFonts w:eastAsia="Times New Roman" w:cs="Times New Roman"/>
        </w:rPr>
        <w:fldChar w:fldCharType="end"/>
      </w:r>
      <w:r w:rsidR="005D2482">
        <w:rPr>
          <w:rFonts w:eastAsia="Times New Roman" w:cs="Times New Roman"/>
        </w:rPr>
        <w:t xml:space="preserve"> implizit voraussetzt</w:t>
      </w:r>
      <w:r w:rsidR="005537AB">
        <w:rPr>
          <w:rFonts w:eastAsia="Times New Roman" w:cs="Times New Roman"/>
        </w:rPr>
        <w:t>,</w:t>
      </w:r>
      <w:r w:rsidR="00B31A52">
        <w:rPr>
          <w:rStyle w:val="Funotenzeichen"/>
          <w:rFonts w:eastAsia="Times New Roman" w:cs="Times New Roman"/>
        </w:rPr>
        <w:footnoteReference w:id="195"/>
      </w:r>
      <w:r w:rsidR="005537AB">
        <w:rPr>
          <w:rFonts w:eastAsia="Times New Roman" w:cs="Times New Roman"/>
        </w:rPr>
        <w:t xml:space="preserve"> </w:t>
      </w:r>
      <w:r w:rsidR="005D2482">
        <w:rPr>
          <w:rFonts w:eastAsia="Times New Roman" w:cs="Times New Roman"/>
        </w:rPr>
        <w:t xml:space="preserve">nämlich dass es kein </w:t>
      </w:r>
      <w:r w:rsidR="005537AB">
        <w:rPr>
          <w:rFonts w:eastAsia="Times New Roman" w:cs="Times New Roman"/>
        </w:rPr>
        <w:t xml:space="preserve">Phänomen </w:t>
      </w:r>
      <w:r w:rsidR="00CD485F">
        <w:rPr>
          <w:rFonts w:eastAsia="Times New Roman" w:cs="Times New Roman"/>
        </w:rPr>
        <w:t>hinter dem Begriff ‚</w:t>
      </w:r>
      <w:r w:rsidR="005537AB">
        <w:rPr>
          <w:rFonts w:eastAsia="Times New Roman" w:cs="Times New Roman"/>
        </w:rPr>
        <w:t>Stil</w:t>
      </w:r>
      <w:r w:rsidR="00CD485F">
        <w:rPr>
          <w:rFonts w:eastAsia="Times New Roman" w:cs="Times New Roman"/>
        </w:rPr>
        <w:t>‘</w:t>
      </w:r>
      <w:r w:rsidR="005537AB">
        <w:rPr>
          <w:rFonts w:eastAsia="Times New Roman" w:cs="Times New Roman"/>
        </w:rPr>
        <w:t xml:space="preserve"> </w:t>
      </w:r>
      <w:r w:rsidR="00E83E10">
        <w:rPr>
          <w:rFonts w:eastAsia="Times New Roman" w:cs="Times New Roman"/>
        </w:rPr>
        <w:t>gibt</w:t>
      </w:r>
      <w:r w:rsidR="007F4084">
        <w:rPr>
          <w:rFonts w:eastAsia="Times New Roman" w:cs="Times New Roman"/>
        </w:rPr>
        <w:t xml:space="preserve">. </w:t>
      </w:r>
      <w:r w:rsidR="00251300">
        <w:rPr>
          <w:rFonts w:eastAsia="Times New Roman" w:cs="Times New Roman"/>
        </w:rPr>
        <w:t>In diesem Fall bliebe für die Stilforschung nur die Aufg</w:t>
      </w:r>
      <w:r w:rsidR="00251300">
        <w:rPr>
          <w:rFonts w:eastAsia="Times New Roman" w:cs="Times New Roman"/>
        </w:rPr>
        <w:t>a</w:t>
      </w:r>
      <w:r w:rsidR="00251300">
        <w:rPr>
          <w:rFonts w:eastAsia="Times New Roman" w:cs="Times New Roman"/>
        </w:rPr>
        <w:t xml:space="preserve">be, </w:t>
      </w:r>
      <w:r w:rsidR="00E83E10">
        <w:rPr>
          <w:rFonts w:eastAsia="Times New Roman" w:cs="Times New Roman"/>
        </w:rPr>
        <w:t xml:space="preserve">die Verwendung des Worts „Stil“ in verschiedenen Kontexten und Diskursen zu untersuchen und die </w:t>
      </w:r>
      <w:r>
        <w:rPr>
          <w:rFonts w:eastAsia="Times New Roman" w:cs="Times New Roman"/>
        </w:rPr>
        <w:t xml:space="preserve">jeweils </w:t>
      </w:r>
      <w:r w:rsidR="00E83E10">
        <w:rPr>
          <w:rFonts w:eastAsia="Times New Roman" w:cs="Times New Roman"/>
        </w:rPr>
        <w:t>zugrunde liegenden Stilbegriffe herauszuarbeiten</w:t>
      </w:r>
      <w:r w:rsidR="00DD779A">
        <w:rPr>
          <w:rFonts w:eastAsia="Times New Roman" w:cs="Times New Roman"/>
        </w:rPr>
        <w:t>.</w:t>
      </w:r>
      <w:r w:rsidR="009E22BC">
        <w:rPr>
          <w:rFonts w:eastAsia="Times New Roman" w:cs="Times New Roman"/>
        </w:rPr>
        <w:t xml:space="preserve"> </w:t>
      </w:r>
      <w:r w:rsidR="00B81097">
        <w:rPr>
          <w:rFonts w:eastAsia="Times New Roman" w:cs="Times New Roman"/>
        </w:rPr>
        <w:lastRenderedPageBreak/>
        <w:t xml:space="preserve">Solche </w:t>
      </w:r>
      <w:r w:rsidR="009E22BC">
        <w:rPr>
          <w:rFonts w:eastAsia="Times New Roman" w:cs="Times New Roman"/>
        </w:rPr>
        <w:t>Auffassung</w:t>
      </w:r>
      <w:r w:rsidR="00B81097">
        <w:rPr>
          <w:rFonts w:eastAsia="Times New Roman" w:cs="Times New Roman"/>
        </w:rPr>
        <w:t xml:space="preserve">en scheitern </w:t>
      </w:r>
      <w:r w:rsidR="009E22BC">
        <w:rPr>
          <w:rFonts w:eastAsia="Times New Roman" w:cs="Times New Roman"/>
        </w:rPr>
        <w:t>an der in</w:t>
      </w:r>
      <w:r w:rsidR="00BC14FE">
        <w:rPr>
          <w:rFonts w:eastAsia="Times New Roman" w:cs="Times New Roman"/>
        </w:rPr>
        <w:t xml:space="preserve"> Stilen enthaltenen Information, die sich nicht wegdiskutieren lässt.</w:t>
      </w:r>
      <w:r w:rsidR="00F53BEA">
        <w:rPr>
          <w:rStyle w:val="Funotenzeichen"/>
          <w:rFonts w:eastAsia="Times New Roman" w:cs="Times New Roman"/>
        </w:rPr>
        <w:footnoteReference w:id="196"/>
      </w:r>
    </w:p>
    <w:p w:rsidR="00255C44" w:rsidRDefault="00255C44" w:rsidP="005A5093">
      <w:pPr>
        <w:rPr>
          <w:rFonts w:eastAsia="Times New Roman" w:cs="Times New Roman"/>
        </w:rPr>
      </w:pPr>
      <w:r>
        <w:rPr>
          <w:rFonts w:eastAsia="Times New Roman" w:cs="Times New Roman"/>
        </w:rPr>
        <w:t>Gotthard Lerchner hat (sprachlichen) Stil als Information charakterisiert,</w:t>
      </w:r>
      <w:r>
        <w:rPr>
          <w:rStyle w:val="Funotenzeichen"/>
          <w:rFonts w:eastAsia="Times New Roman" w:cs="Times New Roman"/>
        </w:rPr>
        <w:footnoteReference w:id="197"/>
      </w:r>
      <w:r>
        <w:rPr>
          <w:rFonts w:eastAsia="Times New Roman" w:cs="Times New Roman"/>
        </w:rPr>
        <w:t xml:space="preserve"> wobei systemgebundene Variabilität beseitigt und pragmatische Informationen, also solche über den Kontext des Stilvorkommens, entstünden: „[D]as Stilist</w:t>
      </w:r>
      <w:r>
        <w:rPr>
          <w:rFonts w:eastAsia="Times New Roman" w:cs="Times New Roman"/>
        </w:rPr>
        <w:t>i</w:t>
      </w:r>
      <w:r>
        <w:rPr>
          <w:rFonts w:eastAsia="Times New Roman" w:cs="Times New Roman"/>
        </w:rPr>
        <w:t>sche ist nach den angestellten Erwägungen nicht sprachliche Variabilität, so</w:t>
      </w:r>
      <w:r>
        <w:rPr>
          <w:rFonts w:eastAsia="Times New Roman" w:cs="Times New Roman"/>
        </w:rPr>
        <w:t>n</w:t>
      </w:r>
      <w:r>
        <w:rPr>
          <w:rFonts w:eastAsia="Times New Roman" w:cs="Times New Roman"/>
        </w:rPr>
        <w:t xml:space="preserve">dern gerade </w:t>
      </w:r>
      <w:r w:rsidRPr="00FC04D5">
        <w:rPr>
          <w:rFonts w:eastAsia="Times New Roman" w:cs="Times New Roman"/>
        </w:rPr>
        <w:t>Beseitigung</w:t>
      </w:r>
      <w:r>
        <w:rPr>
          <w:rFonts w:eastAsia="Times New Roman" w:cs="Times New Roman"/>
        </w:rPr>
        <w:t xml:space="preserve"> potentieller (systemgebundener) Variabilität. Die Fakultativität sprachlicher Elemente und Mittel gehört nicht zu seinen Kennze</w:t>
      </w:r>
      <w:r>
        <w:rPr>
          <w:rFonts w:eastAsia="Times New Roman" w:cs="Times New Roman"/>
        </w:rPr>
        <w:t>i</w:t>
      </w:r>
      <w:r>
        <w:rPr>
          <w:rFonts w:eastAsia="Times New Roman" w:cs="Times New Roman"/>
        </w:rPr>
        <w:t xml:space="preserve">chen, sondern zu seinen </w:t>
      </w:r>
      <w:r w:rsidRPr="00FC04D5">
        <w:rPr>
          <w:rFonts w:eastAsia="Times New Roman" w:cs="Times New Roman"/>
        </w:rPr>
        <w:t>Voraussetzungen</w:t>
      </w:r>
      <w:r>
        <w:rPr>
          <w:rFonts w:eastAsia="Times New Roman" w:cs="Times New Roman"/>
        </w:rPr>
        <w:t>.“</w:t>
      </w:r>
      <w:r>
        <w:rPr>
          <w:rStyle w:val="Funotenzeichen"/>
          <w:rFonts w:eastAsia="Times New Roman" w:cs="Times New Roman"/>
        </w:rPr>
        <w:footnoteReference w:id="198"/>
      </w:r>
      <w:r>
        <w:rPr>
          <w:rFonts w:eastAsia="Times New Roman" w:cs="Times New Roman"/>
        </w:rPr>
        <w:t xml:space="preserve"> Stil trägt „Information […] über die konkreten Parameter eines kommunikativen Aktes“.</w:t>
      </w:r>
      <w:r>
        <w:rPr>
          <w:rStyle w:val="Funotenzeichen"/>
          <w:rFonts w:eastAsia="Times New Roman" w:cs="Times New Roman"/>
        </w:rPr>
        <w:footnoteReference w:id="199"/>
      </w:r>
    </w:p>
    <w:p w:rsidR="00255C44" w:rsidRDefault="00255C44" w:rsidP="005A5093">
      <w:pPr>
        <w:rPr>
          <w:rFonts w:eastAsia="Times New Roman" w:cs="Times New Roman"/>
        </w:rPr>
      </w:pPr>
      <w:r>
        <w:rPr>
          <w:rFonts w:eastAsia="Times New Roman" w:cs="Times New Roman"/>
        </w:rPr>
        <w:t>James S. Ackerman – der hier vertretend für viele Kunsthistoriker zitiert wird – betont die Wichtigkeit der in Stilen enthaltenen Information für die Kunstgeschichtsschreibung</w:t>
      </w:r>
      <w:r w:rsidR="005D7996">
        <w:rPr>
          <w:rFonts w:eastAsia="Times New Roman" w:cs="Times New Roman"/>
        </w:rPr>
        <w:fldChar w:fldCharType="begin"/>
      </w:r>
      <w:r w:rsidR="00866F93">
        <w:instrText xml:space="preserve"> XE "</w:instrText>
      </w:r>
      <w:r w:rsidR="00866F93" w:rsidRPr="00AB1BE0">
        <w:rPr>
          <w:rFonts w:eastAsia="Times New Roman" w:cs="Times New Roman"/>
        </w:rPr>
        <w:instrText>Kunstgeschichte</w:instrText>
      </w:r>
      <w:r w:rsidR="00866F93">
        <w:instrText xml:space="preserve">" </w:instrText>
      </w:r>
      <w:r w:rsidR="005D7996">
        <w:rPr>
          <w:rFonts w:eastAsia="Times New Roman" w:cs="Times New Roman"/>
        </w:rPr>
        <w:fldChar w:fldCharType="end"/>
      </w:r>
      <w:r>
        <w:rPr>
          <w:rFonts w:eastAsia="Times New Roman" w:cs="Times New Roman"/>
        </w:rPr>
        <w:t>:</w:t>
      </w:r>
      <w:r>
        <w:rPr>
          <w:rStyle w:val="Funotenzeichen"/>
          <w:rFonts w:eastAsia="Times New Roman" w:cs="Times New Roman"/>
        </w:rPr>
        <w:footnoteReference w:id="200"/>
      </w:r>
    </w:p>
    <w:p w:rsidR="00255C44" w:rsidRPr="00512AEA" w:rsidRDefault="00255C44" w:rsidP="005A5093">
      <w:pPr>
        <w:pStyle w:val="Zitat"/>
        <w:rPr>
          <w:lang w:val="en-US"/>
        </w:rPr>
      </w:pPr>
      <w:r w:rsidRPr="00512AEA">
        <w:rPr>
          <w:lang w:val="en-US"/>
        </w:rPr>
        <w:t xml:space="preserve">We use the concept of style, then, as a way of characterizing relationships among works of art that were made at the same time and/or place, or by the same person or group. </w:t>
      </w:r>
      <w:r>
        <w:rPr>
          <w:lang w:val="en-US"/>
        </w:rPr>
        <w:t>[…] Because works of art are preserved for reasons ot</w:t>
      </w:r>
      <w:r>
        <w:rPr>
          <w:lang w:val="en-US"/>
        </w:rPr>
        <w:t>h</w:t>
      </w:r>
      <w:r>
        <w:rPr>
          <w:lang w:val="en-US"/>
        </w:rPr>
        <w:t>er than their historical or biographical significance, they often lose all extrinsic evidence of their historical position, so that no record survives of the artist(s), era, or locale that produced them. […] But isolated fragments of evidence may be extended into a credible historic account by conclusions based on style […].</w:t>
      </w:r>
    </w:p>
    <w:p w:rsidR="00542D07" w:rsidRDefault="00255C44" w:rsidP="00A168AE">
      <w:pPr>
        <w:ind w:firstLine="0"/>
        <w:rPr>
          <w:rFonts w:eastAsia="Times New Roman" w:cs="Times New Roman"/>
        </w:rPr>
      </w:pPr>
      <w:r w:rsidRPr="00512AEA">
        <w:rPr>
          <w:rFonts w:eastAsia="Times New Roman" w:cs="Times New Roman"/>
        </w:rPr>
        <w:t>A</w:t>
      </w:r>
      <w:r>
        <w:rPr>
          <w:rFonts w:eastAsia="Times New Roman" w:cs="Times New Roman"/>
        </w:rPr>
        <w:t>ckerman beschreibt Stil hier als rein relationale Kategorie; Stile sind Marki</w:t>
      </w:r>
      <w:r>
        <w:rPr>
          <w:rFonts w:eastAsia="Times New Roman" w:cs="Times New Roman"/>
        </w:rPr>
        <w:t>e</w:t>
      </w:r>
      <w:r>
        <w:rPr>
          <w:rFonts w:eastAsia="Times New Roman" w:cs="Times New Roman"/>
        </w:rPr>
        <w:t>rungen, deren Gleichheit oder Ähnlichkeit Zuordnung zu Künstlern, Schulen, Epochen und Herstellungsorten ermöglicht. Dagegen übersieht er die Relevanz der in einem Stil enthaltenen Informationen, die auf einer Stilinterpretation b</w:t>
      </w:r>
      <w:r>
        <w:rPr>
          <w:rFonts w:eastAsia="Times New Roman" w:cs="Times New Roman"/>
        </w:rPr>
        <w:t>e</w:t>
      </w:r>
      <w:r>
        <w:rPr>
          <w:rFonts w:eastAsia="Times New Roman" w:cs="Times New Roman"/>
        </w:rPr>
        <w:t>ruht und deren Verwendung im 20. Jahrhundert zeitweilig als geradezu anrüchig galt. Frühere Generationen waren weniger schamhaft bei der Verwendung so</w:t>
      </w:r>
      <w:r>
        <w:rPr>
          <w:rFonts w:eastAsia="Times New Roman" w:cs="Times New Roman"/>
        </w:rPr>
        <w:t>l</w:t>
      </w:r>
      <w:r>
        <w:rPr>
          <w:rFonts w:eastAsia="Times New Roman" w:cs="Times New Roman"/>
        </w:rPr>
        <w:t xml:space="preserve">cher Informationen; viele Hinweise auf technische Fähigkeiten, Formauffassung, Einstellungen und Ziele des Künstlers, </w:t>
      </w:r>
      <w:r w:rsidR="00765F58">
        <w:rPr>
          <w:rFonts w:eastAsia="Times New Roman" w:cs="Times New Roman"/>
        </w:rPr>
        <w:t xml:space="preserve">Weltwahrnehmung und </w:t>
      </w:r>
      <w:r>
        <w:rPr>
          <w:rFonts w:eastAsia="Times New Roman" w:cs="Times New Roman"/>
        </w:rPr>
        <w:t>Wissen usw. wurden auf diese Weise gewonnen</w:t>
      </w:r>
      <w:r w:rsidR="00E17B42">
        <w:rPr>
          <w:rFonts w:eastAsia="Times New Roman" w:cs="Times New Roman"/>
        </w:rPr>
        <w:t>.</w:t>
      </w:r>
      <w:r w:rsidR="00542D07">
        <w:rPr>
          <w:rFonts w:eastAsia="Times New Roman" w:cs="Times New Roman"/>
        </w:rPr>
        <w:t xml:space="preserve"> </w:t>
      </w:r>
    </w:p>
    <w:p w:rsidR="00255C44" w:rsidRDefault="001D3F3F" w:rsidP="005A5093">
      <w:pPr>
        <w:rPr>
          <w:rFonts w:eastAsia="Times New Roman" w:cs="Times New Roman"/>
        </w:rPr>
      </w:pPr>
      <w:r>
        <w:rPr>
          <w:rFonts w:eastAsia="Times New Roman" w:cs="Times New Roman"/>
        </w:rPr>
        <w:t>Werner Thoma nimmt eine Aufteilung der Informationsebenen in Texten vor und ordnet diesen die verschiedenen Textwissenschaften zu.</w:t>
      </w:r>
      <w:r w:rsidR="004830A2">
        <w:rPr>
          <w:rStyle w:val="Funotenzeichen"/>
          <w:rFonts w:eastAsia="Times New Roman" w:cs="Times New Roman"/>
        </w:rPr>
        <w:footnoteReference w:id="201"/>
      </w:r>
      <w:r>
        <w:rPr>
          <w:rFonts w:eastAsia="Times New Roman" w:cs="Times New Roman"/>
        </w:rPr>
        <w:t xml:space="preserve"> Dabei b</w:t>
      </w:r>
      <w:r>
        <w:rPr>
          <w:rFonts w:eastAsia="Times New Roman" w:cs="Times New Roman"/>
        </w:rPr>
        <w:t>e</w:t>
      </w:r>
      <w:r>
        <w:rPr>
          <w:rFonts w:eastAsia="Times New Roman" w:cs="Times New Roman"/>
        </w:rPr>
        <w:t>kommt die Rhetorik</w:t>
      </w:r>
      <w:r w:rsidR="005D7996">
        <w:rPr>
          <w:rFonts w:eastAsia="Times New Roman" w:cs="Times New Roman"/>
        </w:rPr>
        <w:fldChar w:fldCharType="begin"/>
      </w:r>
      <w:r w:rsidR="00262183">
        <w:instrText xml:space="preserve"> XE "</w:instrText>
      </w:r>
      <w:r w:rsidR="00262183" w:rsidRPr="00DF5667">
        <w:rPr>
          <w:rFonts w:eastAsia="Times New Roman" w:cs="Times New Roman"/>
        </w:rPr>
        <w:instrText>Rhetorik</w:instrText>
      </w:r>
      <w:r w:rsidR="00262183">
        <w:instrText xml:space="preserve">" </w:instrText>
      </w:r>
      <w:r w:rsidR="005D7996">
        <w:rPr>
          <w:rFonts w:eastAsia="Times New Roman" w:cs="Times New Roman"/>
        </w:rPr>
        <w:fldChar w:fldCharType="end"/>
      </w:r>
      <w:r>
        <w:rPr>
          <w:rFonts w:eastAsia="Times New Roman" w:cs="Times New Roman"/>
        </w:rPr>
        <w:t xml:space="preserve"> die implizite intentionale Sekundärinformation</w:t>
      </w:r>
      <w:r w:rsidR="005D7996">
        <w:rPr>
          <w:rFonts w:eastAsia="Times New Roman" w:cs="Times New Roman"/>
        </w:rPr>
        <w:fldChar w:fldCharType="begin"/>
      </w:r>
      <w:r w:rsidR="00254C50">
        <w:instrText xml:space="preserve"> XE "</w:instrText>
      </w:r>
      <w:r w:rsidR="00254C50" w:rsidRPr="003F7A5E">
        <w:rPr>
          <w:rFonts w:eastAsia="Times New Roman" w:cs="Times New Roman"/>
        </w:rPr>
        <w:instrText>Sekundärinformation</w:instrText>
      </w:r>
      <w:r w:rsidR="00254C50">
        <w:instrText xml:space="preserve">" </w:instrText>
      </w:r>
      <w:r w:rsidR="005D7996">
        <w:rPr>
          <w:rFonts w:eastAsia="Times New Roman" w:cs="Times New Roman"/>
        </w:rPr>
        <w:fldChar w:fldCharType="end"/>
      </w:r>
      <w:r>
        <w:rPr>
          <w:rFonts w:eastAsia="Times New Roman" w:cs="Times New Roman"/>
        </w:rPr>
        <w:t xml:space="preserve"> und die </w:t>
      </w:r>
      <w:r>
        <w:rPr>
          <w:rFonts w:eastAsia="Times New Roman" w:cs="Times New Roman"/>
        </w:rPr>
        <w:lastRenderedPageBreak/>
        <w:t>Stilistik</w:t>
      </w:r>
      <w:r w:rsidR="005D7996">
        <w:rPr>
          <w:rFonts w:eastAsia="Times New Roman" w:cs="Times New Roman"/>
        </w:rPr>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rPr>
          <w:rFonts w:eastAsia="Times New Roman" w:cs="Times New Roman"/>
        </w:rPr>
        <w:fldChar w:fldCharType="end"/>
      </w:r>
      <w:r>
        <w:rPr>
          <w:rFonts w:eastAsia="Times New Roman" w:cs="Times New Roman"/>
        </w:rPr>
        <w:t xml:space="preserve"> die implizite nicht-intentionale Sekundärinformation.</w:t>
      </w:r>
      <w:r w:rsidR="00677AB0">
        <w:rPr>
          <w:rStyle w:val="Funotenzeichen"/>
          <w:rFonts w:eastAsia="Times New Roman" w:cs="Times New Roman"/>
        </w:rPr>
        <w:footnoteReference w:id="202"/>
      </w:r>
      <w:r>
        <w:rPr>
          <w:rFonts w:eastAsia="Times New Roman" w:cs="Times New Roman"/>
        </w:rPr>
        <w:t xml:space="preserve"> Diese Zuteilung </w:t>
      </w:r>
      <w:r w:rsidR="00270ACD">
        <w:rPr>
          <w:rFonts w:eastAsia="Times New Roman" w:cs="Times New Roman"/>
        </w:rPr>
        <w:t>ist jedoch falsch</w:t>
      </w:r>
      <w:r>
        <w:rPr>
          <w:rFonts w:eastAsia="Times New Roman" w:cs="Times New Roman"/>
        </w:rPr>
        <w:t>: Stile bei Zeichengebrauch können durchaus beabsichtigt sein (so kann man ganz gezielt in einem bürokratischen Stil schreiben, ohne dass eine bürokratische Rhetorik daraus wird),</w:t>
      </w:r>
      <w:r w:rsidR="00270ACD">
        <w:rPr>
          <w:rFonts w:eastAsia="Times New Roman" w:cs="Times New Roman"/>
        </w:rPr>
        <w:t xml:space="preserve"> </w:t>
      </w:r>
      <w:r>
        <w:rPr>
          <w:rFonts w:eastAsia="Times New Roman" w:cs="Times New Roman"/>
        </w:rPr>
        <w:t>und außerhalb von Zeichengebrauch fun</w:t>
      </w:r>
      <w:r>
        <w:rPr>
          <w:rFonts w:eastAsia="Times New Roman" w:cs="Times New Roman"/>
        </w:rPr>
        <w:t>k</w:t>
      </w:r>
      <w:r>
        <w:rPr>
          <w:rFonts w:eastAsia="Times New Roman" w:cs="Times New Roman"/>
        </w:rPr>
        <w:t>tioniert die Unterscheidung noch schlechter (auch ein offensichtlich beabsic</w:t>
      </w:r>
      <w:r>
        <w:rPr>
          <w:rFonts w:eastAsia="Times New Roman" w:cs="Times New Roman"/>
        </w:rPr>
        <w:t>h</w:t>
      </w:r>
      <w:r>
        <w:rPr>
          <w:rFonts w:eastAsia="Times New Roman" w:cs="Times New Roman"/>
        </w:rPr>
        <w:t>tigter, mit großer Geste auftretender Architekturstil</w:t>
      </w:r>
      <w:r w:rsidR="005D7996">
        <w:rPr>
          <w:rFonts w:eastAsia="Times New Roman" w:cs="Times New Roman"/>
        </w:rPr>
        <w:fldChar w:fldCharType="begin"/>
      </w:r>
      <w:r w:rsidR="00BC03BB">
        <w:instrText xml:space="preserve"> XE "</w:instrText>
      </w:r>
      <w:r w:rsidR="00BC03BB" w:rsidRPr="00956208">
        <w:rPr>
          <w:rFonts w:eastAsia="Times New Roman" w:cs="Times New Roman"/>
        </w:rPr>
        <w:instrText>Architekturstil</w:instrText>
      </w:r>
      <w:r w:rsidR="00BC03BB">
        <w:instrText xml:space="preserve">" </w:instrText>
      </w:r>
      <w:r w:rsidR="005D7996">
        <w:rPr>
          <w:rFonts w:eastAsia="Times New Roman" w:cs="Times New Roman"/>
        </w:rPr>
        <w:fldChar w:fldCharType="end"/>
      </w:r>
      <w:r w:rsidR="005D7996" w:rsidRPr="00F815B0">
        <w:fldChar w:fldCharType="begin"/>
      </w:r>
      <w:r w:rsidR="00E84B76" w:rsidRPr="00F815B0">
        <w:instrText xml:space="preserve"> XE "</w:instrText>
      </w:r>
      <w:r w:rsidR="00E84B76" w:rsidRPr="00F815B0">
        <w:rPr>
          <w:rFonts w:cstheme="minorHAnsi"/>
        </w:rPr>
        <w:instrText>Architekturstil</w:instrText>
      </w:r>
      <w:r w:rsidR="00E84B76" w:rsidRPr="00F815B0">
        <w:instrText>" \t "</w:instrText>
      </w:r>
      <w:r w:rsidR="00E84B76" w:rsidRPr="00F815B0">
        <w:rPr>
          <w:rFonts w:cstheme="minorHAnsi"/>
          <w:i/>
        </w:rPr>
        <w:instrText>siehe auch</w:instrText>
      </w:r>
      <w:r w:rsidR="00E84B76" w:rsidRPr="00F815B0">
        <w:rPr>
          <w:rFonts w:cstheme="minorHAnsi"/>
        </w:rPr>
        <w:instrText xml:space="preserve"> </w:instrText>
      </w:r>
      <w:r w:rsidR="00E84B76" w:rsidRPr="00F815B0">
        <w:instrText xml:space="preserve">Baustil" </w:instrText>
      </w:r>
      <w:r w:rsidR="005D7996" w:rsidRPr="00F815B0">
        <w:fldChar w:fldCharType="end"/>
      </w:r>
      <w:r>
        <w:rPr>
          <w:rFonts w:eastAsia="Times New Roman" w:cs="Times New Roman"/>
        </w:rPr>
        <w:t xml:space="preserve"> wird immer noch „Stil“ genannt). Es macht mehr Sinn, Rhetorik als </w:t>
      </w:r>
      <w:r w:rsidRPr="004830A2">
        <w:rPr>
          <w:rFonts w:eastAsia="Times New Roman" w:cs="Times New Roman"/>
          <w:i/>
        </w:rPr>
        <w:t>Menge spezieller Techniken für die wirkungsvolle Übermittlung einer Botschaft</w:t>
      </w:r>
      <w:r w:rsidR="005D7996">
        <w:rPr>
          <w:rFonts w:eastAsia="Times New Roman" w:cs="Times New Roman"/>
          <w:i/>
        </w:rPr>
        <w:fldChar w:fldCharType="begin"/>
      </w:r>
      <w:r w:rsidR="0025452C">
        <w:instrText xml:space="preserve"> XE "</w:instrText>
      </w:r>
      <w:r w:rsidR="0025452C" w:rsidRPr="0025452C">
        <w:rPr>
          <w:rFonts w:eastAsia="Times New Roman" w:cs="Times New Roman"/>
        </w:rPr>
        <w:instrText>Botschaft</w:instrText>
      </w:r>
      <w:r w:rsidR="0025452C">
        <w:instrText xml:space="preserve">" </w:instrText>
      </w:r>
      <w:r w:rsidR="005D7996">
        <w:rPr>
          <w:rFonts w:eastAsia="Times New Roman" w:cs="Times New Roman"/>
          <w:i/>
        </w:rPr>
        <w:fldChar w:fldCharType="end"/>
      </w:r>
      <w:r>
        <w:rPr>
          <w:rFonts w:eastAsia="Times New Roman" w:cs="Times New Roman"/>
        </w:rPr>
        <w:t xml:space="preserve"> zu betrachten. </w:t>
      </w:r>
      <w:r w:rsidR="004830A2">
        <w:rPr>
          <w:rFonts w:eastAsia="Times New Roman" w:cs="Times New Roman"/>
        </w:rPr>
        <w:t>Solche Techniken we</w:t>
      </w:r>
      <w:r w:rsidR="004830A2">
        <w:rPr>
          <w:rFonts w:eastAsia="Times New Roman" w:cs="Times New Roman"/>
        </w:rPr>
        <w:t>r</w:t>
      </w:r>
      <w:r w:rsidR="004830A2">
        <w:rPr>
          <w:rFonts w:eastAsia="Times New Roman" w:cs="Times New Roman"/>
        </w:rPr>
        <w:t>den meist absichtlich eingesetzt, aber nicht immer: Jemand kann auch ein großer Redner sein und alle rhetorischen Finten beherrschen, ohne sich dessen auch nur bewusst zu sein.</w:t>
      </w:r>
    </w:p>
    <w:p w:rsidR="00742F1E" w:rsidRDefault="00742F1E" w:rsidP="005A5093">
      <w:pPr>
        <w:rPr>
          <w:rFonts w:eastAsia="Times New Roman" w:cs="Times New Roman"/>
        </w:rPr>
      </w:pPr>
      <w:r>
        <w:rPr>
          <w:rFonts w:eastAsia="Times New Roman" w:cs="Times New Roman"/>
        </w:rPr>
        <w:t>Ulla Fix bestimmt (sprachlichen) Stil als „bestimmten Bestandteil der sprachlichen Kommunikation</w:t>
      </w:r>
      <w:r w:rsidR="005D7996">
        <w:rPr>
          <w:rFonts w:eastAsia="Times New Roman" w:cs="Times New Roman"/>
        </w:rPr>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rPr>
          <w:rFonts w:eastAsia="Times New Roman" w:cs="Times New Roman"/>
        </w:rPr>
        <w:fldChar w:fldCharType="end"/>
      </w:r>
      <w:r>
        <w:rPr>
          <w:rFonts w:eastAsia="Times New Roman" w:cs="Times New Roman"/>
        </w:rPr>
        <w:t>“ und fährt fort:</w:t>
      </w:r>
      <w:r w:rsidR="00AA36B3">
        <w:rPr>
          <w:rStyle w:val="Funotenzeichen"/>
          <w:rFonts w:eastAsia="Times New Roman" w:cs="Times New Roman"/>
        </w:rPr>
        <w:footnoteReference w:id="203"/>
      </w:r>
    </w:p>
    <w:p w:rsidR="00AA36B3" w:rsidRDefault="00742F1E" w:rsidP="005A5093">
      <w:pPr>
        <w:pStyle w:val="Zitat"/>
      </w:pPr>
      <w:r>
        <w:t>Diese Bestimmung impliziert drei Feststellungen: 1. Stil ist spezifische, auf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xml:space="preserve"> bezogene Information; 2. Stil ist spezifisches, empfängerb</w:t>
      </w:r>
      <w:r>
        <w:t>e</w:t>
      </w:r>
      <w:r>
        <w:t>zogenes und problemlösendes Handeln; 3. Stil ist unikale Gestaltetheit.</w:t>
      </w:r>
    </w:p>
    <w:p w:rsidR="004830A2" w:rsidRDefault="00AA36B3" w:rsidP="00A168AE">
      <w:pPr>
        <w:ind w:firstLine="0"/>
        <w:rPr>
          <w:rFonts w:eastAsia="Times New Roman" w:cs="Times New Roman"/>
        </w:rPr>
      </w:pPr>
      <w:r>
        <w:rPr>
          <w:rFonts w:eastAsia="Times New Roman" w:cs="Times New Roman"/>
        </w:rPr>
        <w:t xml:space="preserve">Die erste getroffene Unterscheidung </w:t>
      </w:r>
      <w:r w:rsidR="005B6B2D">
        <w:rPr>
          <w:rFonts w:eastAsia="Times New Roman" w:cs="Times New Roman"/>
        </w:rPr>
        <w:t>benennt</w:t>
      </w:r>
      <w:r>
        <w:rPr>
          <w:rFonts w:eastAsia="Times New Roman" w:cs="Times New Roman"/>
        </w:rPr>
        <w:t xml:space="preserve"> wichtige Aspekte von Stil, lässt aber ihre Bezüge zueinander offen: Weder wird </w:t>
      </w:r>
      <w:r w:rsidR="00DA1912">
        <w:rPr>
          <w:rFonts w:eastAsia="Times New Roman" w:cs="Times New Roman"/>
        </w:rPr>
        <w:t>überlegt</w:t>
      </w:r>
      <w:r>
        <w:rPr>
          <w:rFonts w:eastAsia="Times New Roman" w:cs="Times New Roman"/>
        </w:rPr>
        <w:t>, wie „unikale Gestaltet</w:t>
      </w:r>
      <w:r w:rsidR="00152BD8">
        <w:rPr>
          <w:rFonts w:eastAsia="Times New Roman" w:cs="Times New Roman"/>
        </w:rPr>
        <w:softHyphen/>
      </w:r>
      <w:r>
        <w:rPr>
          <w:rFonts w:eastAsia="Times New Roman" w:cs="Times New Roman"/>
        </w:rPr>
        <w:t>heit“ Information übertragen kann, noch wird dieser Vorgang als eine bestimmte Art des Handelns, nämlich Zeichenhandeln</w:t>
      </w:r>
      <w:r w:rsidR="00E3104B">
        <w:rPr>
          <w:rFonts w:eastAsia="Times New Roman" w:cs="Times New Roman"/>
        </w:rPr>
        <w:t xml:space="preserve">, </w:t>
      </w:r>
      <w:r>
        <w:rPr>
          <w:rFonts w:eastAsia="Times New Roman" w:cs="Times New Roman"/>
        </w:rPr>
        <w:t xml:space="preserve">bestimmt. </w:t>
      </w:r>
      <w:r w:rsidR="004B1305">
        <w:rPr>
          <w:rFonts w:eastAsia="Times New Roman" w:cs="Times New Roman"/>
        </w:rPr>
        <w:t xml:space="preserve">Überdies sollte besser von Verhalten (nämlich </w:t>
      </w:r>
      <w:r w:rsidR="00A203BE" w:rsidRPr="00A203BE">
        <w:rPr>
          <w:rFonts w:eastAsia="Times New Roman" w:cs="Times New Roman"/>
        </w:rPr>
        <w:t>Zeichenverhalten</w:t>
      </w:r>
      <w:r w:rsidR="004B1305">
        <w:rPr>
          <w:rFonts w:eastAsia="Times New Roman" w:cs="Times New Roman"/>
        </w:rPr>
        <w:t>) gesprochen werden</w:t>
      </w:r>
      <w:r w:rsidR="00716DB3">
        <w:rPr>
          <w:rFonts w:eastAsia="Times New Roman" w:cs="Times New Roman"/>
        </w:rPr>
        <w:t xml:space="preserve">; Stil </w:t>
      </w:r>
      <w:r w:rsidR="005B6B2D">
        <w:rPr>
          <w:rFonts w:eastAsia="Times New Roman" w:cs="Times New Roman"/>
        </w:rPr>
        <w:t xml:space="preserve">kann </w:t>
      </w:r>
      <w:r w:rsidR="004B1305">
        <w:rPr>
          <w:rFonts w:eastAsia="Times New Roman" w:cs="Times New Roman"/>
        </w:rPr>
        <w:t xml:space="preserve">ja </w:t>
      </w:r>
      <w:r w:rsidR="005B6B2D">
        <w:rPr>
          <w:rFonts w:eastAsia="Times New Roman" w:cs="Times New Roman"/>
        </w:rPr>
        <w:t>auch ein unabsichtlicher Zeichenprozess sein, etwa wenn eine Verwaltungsbeamtin sich nach vielen Dienstjahren bürokratisch ausdrückt</w:t>
      </w:r>
      <w:r w:rsidR="00F546B1">
        <w:rPr>
          <w:rFonts w:eastAsia="Times New Roman" w:cs="Times New Roman"/>
        </w:rPr>
        <w:t>, ohne dies zu merken</w:t>
      </w:r>
      <w:r w:rsidR="005B6B2D">
        <w:rPr>
          <w:rFonts w:eastAsia="Times New Roman" w:cs="Times New Roman"/>
        </w:rPr>
        <w:t>.</w:t>
      </w:r>
    </w:p>
    <w:p w:rsidR="00BC0CB9" w:rsidRDefault="00AB31A5" w:rsidP="005A5093">
      <w:pPr>
        <w:rPr>
          <w:rFonts w:eastAsia="Times New Roman" w:cs="Times New Roman"/>
        </w:rPr>
      </w:pPr>
      <w:r>
        <w:rPr>
          <w:rFonts w:eastAsia="Times New Roman" w:cs="Times New Roman"/>
        </w:rPr>
        <w:t>Ein interessanter Ansatz für die Beschreibung der Informationshaltigkeit von Stil wurde von Joshua B. Tenenbaum und Willliam T. Freeman entwickelt.</w:t>
      </w:r>
      <w:r w:rsidR="00BC0CB9">
        <w:rPr>
          <w:rStyle w:val="Funotenzeichen"/>
          <w:rFonts w:eastAsia="Times New Roman" w:cs="Times New Roman"/>
        </w:rPr>
        <w:footnoteReference w:id="204"/>
      </w:r>
      <w:r>
        <w:rPr>
          <w:rFonts w:eastAsia="Times New Roman" w:cs="Times New Roman"/>
        </w:rPr>
        <w:t xml:space="preserve"> Dabei werden mit Hilfe bilinearer M</w:t>
      </w:r>
      <w:r w:rsidR="000D6528">
        <w:rPr>
          <w:rFonts w:eastAsia="Times New Roman" w:cs="Times New Roman"/>
        </w:rPr>
        <w:t>odelle</w:t>
      </w:r>
      <w:r w:rsidR="005D7996">
        <w:rPr>
          <w:rFonts w:eastAsia="Times New Roman" w:cs="Times New Roman"/>
        </w:rPr>
        <w:fldChar w:fldCharType="begin"/>
      </w:r>
      <w:r w:rsidR="009953D5">
        <w:instrText xml:space="preserve"> XE "</w:instrText>
      </w:r>
      <w:r w:rsidR="009953D5" w:rsidRPr="002B5128">
        <w:rPr>
          <w:rFonts w:eastAsia="Times New Roman" w:cs="Times New Roman"/>
        </w:rPr>
        <w:instrText>bilineare Modelle</w:instrText>
      </w:r>
      <w:r w:rsidR="009953D5">
        <w:instrText xml:space="preserve">" </w:instrText>
      </w:r>
      <w:r w:rsidR="005D7996">
        <w:rPr>
          <w:rFonts w:eastAsia="Times New Roman" w:cs="Times New Roman"/>
        </w:rPr>
        <w:fldChar w:fldCharType="end"/>
      </w:r>
      <w:r w:rsidR="00F70EA5">
        <w:rPr>
          <w:rStyle w:val="Funotenzeichen"/>
          <w:rFonts w:eastAsia="Times New Roman" w:cs="Times New Roman"/>
        </w:rPr>
        <w:footnoteReference w:id="205"/>
      </w:r>
      <w:r w:rsidR="000D6528">
        <w:rPr>
          <w:rFonts w:eastAsia="Times New Roman" w:cs="Times New Roman"/>
        </w:rPr>
        <w:t xml:space="preserve"> zwei Faktoren separiert. </w:t>
      </w:r>
      <w:r>
        <w:rPr>
          <w:rFonts w:eastAsia="Times New Roman" w:cs="Times New Roman"/>
        </w:rPr>
        <w:t>So können beispielsweise Schriftarten</w:t>
      </w:r>
      <w:r w:rsidR="005D7996">
        <w:rPr>
          <w:rFonts w:eastAsia="Times New Roman" w:cs="Times New Roman"/>
        </w:rPr>
        <w:fldChar w:fldCharType="begin"/>
      </w:r>
      <w:r w:rsidR="009953D5">
        <w:instrText xml:space="preserve"> XE "</w:instrText>
      </w:r>
      <w:r w:rsidR="009953D5" w:rsidRPr="00146271">
        <w:rPr>
          <w:rFonts w:eastAsia="Times New Roman" w:cs="Times New Roman"/>
        </w:rPr>
        <w:instrText>Schriftart</w:instrText>
      </w:r>
      <w:r w:rsidR="009953D5">
        <w:instrText xml:space="preserve">" </w:instrText>
      </w:r>
      <w:r w:rsidR="005D7996">
        <w:rPr>
          <w:rFonts w:eastAsia="Times New Roman" w:cs="Times New Roman"/>
        </w:rPr>
        <w:fldChar w:fldCharType="end"/>
      </w:r>
      <w:r>
        <w:rPr>
          <w:rFonts w:eastAsia="Times New Roman" w:cs="Times New Roman"/>
        </w:rPr>
        <w:t xml:space="preserve"> (die als Stile auf der graphetischen Ebene</w:t>
      </w:r>
      <w:r w:rsidR="005D7996">
        <w:rPr>
          <w:rFonts w:eastAsia="Times New Roman" w:cs="Times New Roman"/>
        </w:rPr>
        <w:fldChar w:fldCharType="begin"/>
      </w:r>
      <w:r w:rsidR="00A30B3E">
        <w:instrText xml:space="preserve"> XE "</w:instrText>
      </w:r>
      <w:r w:rsidR="00A30B3E" w:rsidRPr="00FC7A1A">
        <w:rPr>
          <w:rFonts w:eastAsia="Times New Roman" w:cs="Times New Roman"/>
        </w:rPr>
        <w:instrText>Graphetik</w:instrText>
      </w:r>
      <w:r w:rsidR="00A30B3E">
        <w:instrText xml:space="preserve">" </w:instrText>
      </w:r>
      <w:r w:rsidR="005D7996">
        <w:rPr>
          <w:rFonts w:eastAsia="Times New Roman" w:cs="Times New Roman"/>
        </w:rPr>
        <w:fldChar w:fldCharType="end"/>
      </w:r>
      <w:r>
        <w:rPr>
          <w:rFonts w:eastAsia="Times New Roman" w:cs="Times New Roman"/>
        </w:rPr>
        <w:t xml:space="preserve"> aufgefasst werden können) auf Buchstaben</w:t>
      </w:r>
      <w:r w:rsidR="005D7996">
        <w:rPr>
          <w:rFonts w:eastAsia="Times New Roman" w:cs="Times New Roman"/>
        </w:rPr>
        <w:fldChar w:fldCharType="begin"/>
      </w:r>
      <w:r w:rsidR="009953D5">
        <w:instrText xml:space="preserve"> XE "</w:instrText>
      </w:r>
      <w:r w:rsidR="009953D5" w:rsidRPr="005155F0">
        <w:rPr>
          <w:rFonts w:eastAsia="Times New Roman" w:cs="Times New Roman"/>
        </w:rPr>
        <w:instrText>Buchstaben</w:instrText>
      </w:r>
      <w:r w:rsidR="009953D5">
        <w:instrText xml:space="preserve">" </w:instrText>
      </w:r>
      <w:r w:rsidR="005D7996">
        <w:rPr>
          <w:rFonts w:eastAsia="Times New Roman" w:cs="Times New Roman"/>
        </w:rPr>
        <w:fldChar w:fldCharType="end"/>
      </w:r>
      <w:r>
        <w:rPr>
          <w:rFonts w:eastAsia="Times New Roman" w:cs="Times New Roman"/>
        </w:rPr>
        <w:t xml:space="preserve"> extrapoliert werden, die zuvor nicht gesehen wurden. </w:t>
      </w:r>
      <w:r w:rsidR="00CD4015">
        <w:rPr>
          <w:rFonts w:eastAsia="Times New Roman" w:cs="Times New Roman"/>
        </w:rPr>
        <w:t xml:space="preserve">Gegeben </w:t>
      </w:r>
      <w:r>
        <w:rPr>
          <w:rFonts w:eastAsia="Times New Roman" w:cs="Times New Roman"/>
        </w:rPr>
        <w:t xml:space="preserve">ist eine </w:t>
      </w:r>
      <w:r w:rsidR="00C5179C">
        <w:rPr>
          <w:rFonts w:eastAsia="Times New Roman" w:cs="Times New Roman"/>
        </w:rPr>
        <w:t>mit Labeln versehene Trainingsm</w:t>
      </w:r>
      <w:r>
        <w:rPr>
          <w:rFonts w:eastAsia="Times New Roman" w:cs="Times New Roman"/>
        </w:rPr>
        <w:t>enge, beispielsweise die fünf Buchstaben</w:t>
      </w:r>
      <w:r w:rsidR="00CD4015">
        <w:rPr>
          <w:rFonts w:eastAsia="Times New Roman" w:cs="Times New Roman"/>
        </w:rPr>
        <w:t xml:space="preserve"> </w:t>
      </w:r>
      <w:r>
        <w:rPr>
          <w:rFonts w:eastAsia="Times New Roman" w:cs="Times New Roman"/>
        </w:rPr>
        <w:t>A bis E (Inhalt</w:t>
      </w:r>
      <w:r w:rsidR="00CD4015">
        <w:rPr>
          <w:rFonts w:eastAsia="Times New Roman" w:cs="Times New Roman"/>
        </w:rPr>
        <w:t>sklassen</w:t>
      </w:r>
      <w:r>
        <w:rPr>
          <w:rFonts w:eastAsia="Times New Roman" w:cs="Times New Roman"/>
        </w:rPr>
        <w:t>) in fünf verschiedenen Schriftarten (Stil</w:t>
      </w:r>
      <w:r w:rsidR="00CD4015">
        <w:rPr>
          <w:rFonts w:eastAsia="Times New Roman" w:cs="Times New Roman"/>
        </w:rPr>
        <w:t>en</w:t>
      </w:r>
      <w:r>
        <w:rPr>
          <w:rFonts w:eastAsia="Times New Roman" w:cs="Times New Roman"/>
        </w:rPr>
        <w:t xml:space="preserve">). </w:t>
      </w:r>
      <w:r w:rsidR="00CD4015">
        <w:rPr>
          <w:rFonts w:eastAsia="Times New Roman" w:cs="Times New Roman"/>
        </w:rPr>
        <w:t>Das Programm ist in der Lage, (1) Inhalt in einem neuen Stil zu klassif</w:t>
      </w:r>
      <w:r w:rsidR="00CD4015">
        <w:rPr>
          <w:rFonts w:eastAsia="Times New Roman" w:cs="Times New Roman"/>
        </w:rPr>
        <w:t>i</w:t>
      </w:r>
      <w:r w:rsidR="00CD4015">
        <w:rPr>
          <w:rFonts w:eastAsia="Times New Roman" w:cs="Times New Roman"/>
        </w:rPr>
        <w:t xml:space="preserve">zieren (also zu entscheiden, um welchen der bekannten fünf Buchstaben es sich </w:t>
      </w:r>
      <w:r w:rsidR="00CD4015">
        <w:rPr>
          <w:rFonts w:eastAsia="Times New Roman" w:cs="Times New Roman"/>
        </w:rPr>
        <w:lastRenderedPageBreak/>
        <w:t xml:space="preserve">handelt), (2) für einen neuen Stil </w:t>
      </w:r>
      <w:r w:rsidR="00C5179C">
        <w:rPr>
          <w:rFonts w:eastAsia="Times New Roman" w:cs="Times New Roman"/>
        </w:rPr>
        <w:t xml:space="preserve">unbekannte </w:t>
      </w:r>
      <w:r w:rsidR="00CD4015">
        <w:rPr>
          <w:rFonts w:eastAsia="Times New Roman" w:cs="Times New Roman"/>
        </w:rPr>
        <w:t xml:space="preserve">Inhaltsklassen zu extrapolieren (fehlende Buchstaben </w:t>
      </w:r>
      <w:r w:rsidR="00C5179C">
        <w:rPr>
          <w:rFonts w:eastAsia="Times New Roman" w:cs="Times New Roman"/>
        </w:rPr>
        <w:t>zu ergänzen</w:t>
      </w:r>
      <w:r w:rsidR="00CA6207">
        <w:rPr>
          <w:rFonts w:eastAsia="Times New Roman" w:cs="Times New Roman"/>
        </w:rPr>
        <w:t>)</w:t>
      </w:r>
      <w:r w:rsidR="00C5179C">
        <w:rPr>
          <w:rFonts w:eastAsia="Times New Roman" w:cs="Times New Roman"/>
        </w:rPr>
        <w:t>, (3) unbekannten Inhalt in einem unbekan</w:t>
      </w:r>
      <w:r w:rsidR="00C5179C">
        <w:rPr>
          <w:rFonts w:eastAsia="Times New Roman" w:cs="Times New Roman"/>
        </w:rPr>
        <w:t>n</w:t>
      </w:r>
      <w:r w:rsidR="00C5179C">
        <w:rPr>
          <w:rFonts w:eastAsia="Times New Roman" w:cs="Times New Roman"/>
        </w:rPr>
        <w:t xml:space="preserve">ten Stil in bekannte Inhalts- oder Stilklassen </w:t>
      </w:r>
      <w:r w:rsidR="005B0E32">
        <w:rPr>
          <w:rFonts w:eastAsia="Times New Roman" w:cs="Times New Roman"/>
        </w:rPr>
        <w:t xml:space="preserve">zu übersetzen. Ähnliche Aufgaben können für andere Bereiche von Realisierungen (Vokale als Inhaltsklassen und Sprecherakzent als Stil; Gesichter als Inhaltsklassen und </w:t>
      </w:r>
      <w:r w:rsidR="00835FD5">
        <w:rPr>
          <w:rFonts w:eastAsia="Times New Roman" w:cs="Times New Roman"/>
        </w:rPr>
        <w:t>Kopfhaltung</w:t>
      </w:r>
      <w:r w:rsidR="005B0E32">
        <w:rPr>
          <w:rFonts w:eastAsia="Times New Roman" w:cs="Times New Roman"/>
        </w:rPr>
        <w:t xml:space="preserve"> </w:t>
      </w:r>
      <w:r w:rsidR="00835FD5">
        <w:rPr>
          <w:rFonts w:eastAsia="Times New Roman" w:cs="Times New Roman"/>
        </w:rPr>
        <w:t xml:space="preserve">bzw. </w:t>
      </w:r>
      <w:r w:rsidR="00C00F65">
        <w:rPr>
          <w:rFonts w:eastAsia="Times New Roman" w:cs="Times New Roman"/>
        </w:rPr>
        <w:t xml:space="preserve">Blickwinkel </w:t>
      </w:r>
      <w:r w:rsidR="005B0E32">
        <w:rPr>
          <w:rFonts w:eastAsia="Times New Roman" w:cs="Times New Roman"/>
        </w:rPr>
        <w:t>als Stil) ausgeführt werden.</w:t>
      </w:r>
      <w:r w:rsidR="00835FD5">
        <w:rPr>
          <w:rStyle w:val="Funotenzeichen"/>
          <w:rFonts w:eastAsia="Times New Roman" w:cs="Times New Roman"/>
        </w:rPr>
        <w:footnoteReference w:id="206"/>
      </w:r>
    </w:p>
    <w:p w:rsidR="002F2723" w:rsidRDefault="00835FD5" w:rsidP="005A5093">
      <w:pPr>
        <w:rPr>
          <w:rFonts w:eastAsia="Times New Roman" w:cs="Times New Roman"/>
        </w:rPr>
      </w:pPr>
      <w:r>
        <w:rPr>
          <w:rFonts w:eastAsia="Times New Roman" w:cs="Times New Roman"/>
        </w:rPr>
        <w:t>Ebenfalls mit Hilfe bilinearer Modelle</w:t>
      </w:r>
      <w:r w:rsidR="005D7996">
        <w:rPr>
          <w:rFonts w:eastAsia="Times New Roman" w:cs="Times New Roman"/>
        </w:rPr>
        <w:fldChar w:fldCharType="begin"/>
      </w:r>
      <w:r w:rsidR="009953D5">
        <w:instrText xml:space="preserve"> XE "</w:instrText>
      </w:r>
      <w:r w:rsidR="009953D5" w:rsidRPr="00DC721E">
        <w:rPr>
          <w:rFonts w:eastAsia="Times New Roman" w:cs="Times New Roman"/>
        </w:rPr>
        <w:instrText>bilineare Modelle</w:instrText>
      </w:r>
      <w:r w:rsidR="009953D5">
        <w:instrText xml:space="preserve">" </w:instrText>
      </w:r>
      <w:r w:rsidR="005D7996">
        <w:rPr>
          <w:rFonts w:eastAsia="Times New Roman" w:cs="Times New Roman"/>
        </w:rPr>
        <w:fldChar w:fldCharType="end"/>
      </w:r>
      <w:r>
        <w:rPr>
          <w:rFonts w:eastAsia="Times New Roman" w:cs="Times New Roman"/>
        </w:rPr>
        <w:t xml:space="preserve"> können </w:t>
      </w:r>
      <w:r w:rsidR="002F2723">
        <w:rPr>
          <w:rFonts w:eastAsia="Times New Roman" w:cs="Times New Roman"/>
        </w:rPr>
        <w:t xml:space="preserve">beliebige </w:t>
      </w:r>
      <w:r>
        <w:rPr>
          <w:rFonts w:eastAsia="Times New Roman" w:cs="Times New Roman"/>
        </w:rPr>
        <w:t>aus einzelnen L</w:t>
      </w:r>
      <w:r>
        <w:rPr>
          <w:rFonts w:eastAsia="Times New Roman" w:cs="Times New Roman"/>
        </w:rPr>
        <w:t>i</w:t>
      </w:r>
      <w:r>
        <w:rPr>
          <w:rFonts w:eastAsia="Times New Roman" w:cs="Times New Roman"/>
        </w:rPr>
        <w:t xml:space="preserve">nien bestehende Zeichnungen </w:t>
      </w:r>
      <w:r w:rsidR="002F2723">
        <w:rPr>
          <w:rFonts w:eastAsia="Times New Roman" w:cs="Times New Roman"/>
        </w:rPr>
        <w:t>aus einem Stil 1 in einen Stil 2 übertragen we</w:t>
      </w:r>
      <w:r w:rsidR="002F2723">
        <w:rPr>
          <w:rFonts w:eastAsia="Times New Roman" w:cs="Times New Roman"/>
        </w:rPr>
        <w:t>r</w:t>
      </w:r>
      <w:r w:rsidR="002F2723">
        <w:rPr>
          <w:rFonts w:eastAsia="Times New Roman" w:cs="Times New Roman"/>
        </w:rPr>
        <w:t>den.</w:t>
      </w:r>
      <w:r w:rsidR="00BC0CB9">
        <w:rPr>
          <w:rStyle w:val="Funotenzeichen"/>
          <w:rFonts w:eastAsia="Times New Roman" w:cs="Times New Roman"/>
        </w:rPr>
        <w:footnoteReference w:id="207"/>
      </w:r>
      <w:r w:rsidR="002F2723">
        <w:rPr>
          <w:rFonts w:eastAsia="Times New Roman" w:cs="Times New Roman"/>
        </w:rPr>
        <w:t xml:space="preserve"> Voraussetzung ist, dass eine Menge von Linien in verschiedenen Stilen vorliegt. Zunächst muss eine Anpassung des Bildes an Stil 1 erfolgen. Dafür sind Modelle geeignet, die lineare Kombinationen geeigneter Inhaltselemente (L</w:t>
      </w:r>
      <w:r w:rsidR="002F2723">
        <w:rPr>
          <w:rFonts w:eastAsia="Times New Roman" w:cs="Times New Roman"/>
        </w:rPr>
        <w:t>i</w:t>
      </w:r>
      <w:r w:rsidR="002F2723">
        <w:rPr>
          <w:rFonts w:eastAsia="Times New Roman" w:cs="Times New Roman"/>
        </w:rPr>
        <w:t>nien) in Stil 1 nehmen. Diese werden dann mit den für die Kombination verwe</w:t>
      </w:r>
      <w:r w:rsidR="002F2723">
        <w:rPr>
          <w:rFonts w:eastAsia="Times New Roman" w:cs="Times New Roman"/>
        </w:rPr>
        <w:t>n</w:t>
      </w:r>
      <w:r w:rsidR="002F2723">
        <w:rPr>
          <w:rFonts w:eastAsia="Times New Roman" w:cs="Times New Roman"/>
        </w:rPr>
        <w:t>deten Koeffizienten in Stil 2 übertragen. Es stellt sich heraus, dass für die Anpa</w:t>
      </w:r>
      <w:r w:rsidR="002F2723">
        <w:rPr>
          <w:rFonts w:eastAsia="Times New Roman" w:cs="Times New Roman"/>
        </w:rPr>
        <w:t>s</w:t>
      </w:r>
      <w:r w:rsidR="002F2723">
        <w:rPr>
          <w:rFonts w:eastAsia="Times New Roman" w:cs="Times New Roman"/>
        </w:rPr>
        <w:t xml:space="preserve">sung an Stil 1 eine Linearkombination möglichst vieler </w:t>
      </w:r>
      <w:r w:rsidR="007A232C">
        <w:rPr>
          <w:rFonts w:eastAsia="Times New Roman" w:cs="Times New Roman"/>
        </w:rPr>
        <w:t xml:space="preserve">ähnlicher Linien </w:t>
      </w:r>
      <w:r w:rsidR="002F2723">
        <w:rPr>
          <w:rFonts w:eastAsia="Times New Roman" w:cs="Times New Roman"/>
        </w:rPr>
        <w:t>am be</w:t>
      </w:r>
      <w:r w:rsidR="002F2723">
        <w:rPr>
          <w:rFonts w:eastAsia="Times New Roman" w:cs="Times New Roman"/>
        </w:rPr>
        <w:t>s</w:t>
      </w:r>
      <w:r w:rsidR="002F2723">
        <w:rPr>
          <w:rFonts w:eastAsia="Times New Roman" w:cs="Times New Roman"/>
        </w:rPr>
        <w:t>t</w:t>
      </w:r>
      <w:r w:rsidR="00BC0CB9">
        <w:rPr>
          <w:rFonts w:eastAsia="Times New Roman" w:cs="Times New Roman"/>
        </w:rPr>
        <w:t>en ist, die Übertragung aber um</w:t>
      </w:r>
      <w:r w:rsidR="002F2723">
        <w:rPr>
          <w:rFonts w:eastAsia="Times New Roman" w:cs="Times New Roman"/>
        </w:rPr>
        <w:t>so schlechter wird, je mehr Linien kombiniert werden. Optimale Ergebnisse werden als Kompromiss zwischen den beiden A</w:t>
      </w:r>
      <w:r w:rsidR="002F2723">
        <w:rPr>
          <w:rFonts w:eastAsia="Times New Roman" w:cs="Times New Roman"/>
        </w:rPr>
        <w:t>n</w:t>
      </w:r>
      <w:r w:rsidR="002F2723">
        <w:rPr>
          <w:rFonts w:eastAsia="Times New Roman" w:cs="Times New Roman"/>
        </w:rPr>
        <w:t xml:space="preserve">forderungen </w:t>
      </w:r>
      <w:r w:rsidR="009C6E6C">
        <w:rPr>
          <w:rFonts w:eastAsia="Times New Roman" w:cs="Times New Roman"/>
        </w:rPr>
        <w:t xml:space="preserve">bei </w:t>
      </w:r>
      <w:r w:rsidR="007A232C">
        <w:rPr>
          <w:rFonts w:eastAsia="Times New Roman" w:cs="Times New Roman"/>
        </w:rPr>
        <w:t>Verwendung der se</w:t>
      </w:r>
      <w:r w:rsidR="009C6E6C">
        <w:rPr>
          <w:rFonts w:eastAsia="Times New Roman" w:cs="Times New Roman"/>
        </w:rPr>
        <w:t>chs ähnlichsten Linien</w:t>
      </w:r>
      <w:r w:rsidR="00B52AA8">
        <w:rPr>
          <w:rFonts w:eastAsia="Times New Roman" w:cs="Times New Roman"/>
        </w:rPr>
        <w:t xml:space="preserve"> erzielt.</w:t>
      </w:r>
    </w:p>
    <w:p w:rsidR="00AA36B3" w:rsidRPr="00AB31A5" w:rsidRDefault="000D2860" w:rsidP="0081537D">
      <w:r>
        <w:rPr>
          <w:rFonts w:eastAsia="Times New Roman" w:cs="Times New Roman"/>
        </w:rPr>
        <w:t xml:space="preserve">Solche </w:t>
      </w:r>
      <w:r w:rsidR="000D6528">
        <w:rPr>
          <w:rFonts w:eastAsia="Times New Roman" w:cs="Times New Roman"/>
        </w:rPr>
        <w:t xml:space="preserve">Computersimulationen </w:t>
      </w:r>
      <w:r w:rsidR="00B52AA8">
        <w:rPr>
          <w:rFonts w:eastAsia="Times New Roman" w:cs="Times New Roman"/>
        </w:rPr>
        <w:t>zeigen</w:t>
      </w:r>
      <w:r>
        <w:rPr>
          <w:rFonts w:eastAsia="Times New Roman" w:cs="Times New Roman"/>
        </w:rPr>
        <w:t xml:space="preserve">, </w:t>
      </w:r>
      <w:r w:rsidR="00242388">
        <w:rPr>
          <w:rFonts w:eastAsia="Times New Roman" w:cs="Times New Roman"/>
        </w:rPr>
        <w:t>dass Stil mehr ist als nur eine b</w:t>
      </w:r>
      <w:r w:rsidR="00242388">
        <w:rPr>
          <w:rFonts w:eastAsia="Times New Roman" w:cs="Times New Roman"/>
        </w:rPr>
        <w:t>e</w:t>
      </w:r>
      <w:r w:rsidR="00242388">
        <w:rPr>
          <w:rFonts w:eastAsia="Times New Roman" w:cs="Times New Roman"/>
        </w:rPr>
        <w:t>stimmte Art</w:t>
      </w:r>
      <w:r w:rsidR="00B52AA8">
        <w:rPr>
          <w:rFonts w:eastAsia="Times New Roman" w:cs="Times New Roman"/>
        </w:rPr>
        <w:t xml:space="preserve"> von Eigenschaften, die man an </w:t>
      </w:r>
      <w:r w:rsidR="00242388">
        <w:rPr>
          <w:rFonts w:eastAsia="Times New Roman" w:cs="Times New Roman"/>
        </w:rPr>
        <w:t>Realisierungen wahrnehmen</w:t>
      </w:r>
      <w:r w:rsidR="00B52AA8">
        <w:rPr>
          <w:rFonts w:eastAsia="Times New Roman" w:cs="Times New Roman"/>
        </w:rPr>
        <w:t xml:space="preserve"> kann. </w:t>
      </w:r>
      <w:r w:rsidR="00CA6207">
        <w:rPr>
          <w:rFonts w:eastAsia="Times New Roman" w:cs="Times New Roman"/>
        </w:rPr>
        <w:t>Die (1) Klassifizierung durch Stile, die beispielsweise in der Kunstgeschichte</w:t>
      </w:r>
      <w:r w:rsidR="005D7996">
        <w:rPr>
          <w:rFonts w:eastAsia="Times New Roman" w:cs="Times New Roman"/>
        </w:rPr>
        <w:fldChar w:fldCharType="begin"/>
      </w:r>
      <w:r w:rsidR="00866F93">
        <w:instrText xml:space="preserve"> XE "</w:instrText>
      </w:r>
      <w:r w:rsidR="00866F93" w:rsidRPr="000853B0">
        <w:instrText>Kunstgeschichte</w:instrText>
      </w:r>
      <w:r w:rsidR="00866F93">
        <w:instrText xml:space="preserve">" </w:instrText>
      </w:r>
      <w:r w:rsidR="005D7996">
        <w:rPr>
          <w:rFonts w:eastAsia="Times New Roman" w:cs="Times New Roman"/>
        </w:rPr>
        <w:fldChar w:fldCharType="end"/>
      </w:r>
      <w:r w:rsidR="00CA6207">
        <w:rPr>
          <w:rFonts w:eastAsia="Times New Roman" w:cs="Times New Roman"/>
        </w:rPr>
        <w:t xml:space="preserve"> und der Archäologie</w:t>
      </w:r>
      <w:r w:rsidR="005D7996">
        <w:rPr>
          <w:rFonts w:eastAsia="Times New Roman" w:cs="Times New Roman"/>
        </w:rPr>
        <w:fldChar w:fldCharType="begin"/>
      </w:r>
      <w:r w:rsidR="00AD34BE">
        <w:instrText xml:space="preserve"> XE "</w:instrText>
      </w:r>
      <w:r w:rsidR="00AD34BE" w:rsidRPr="00E03B40">
        <w:rPr>
          <w:szCs w:val="17"/>
        </w:rPr>
        <w:instrText>Archäologie</w:instrText>
      </w:r>
      <w:r w:rsidR="00AD34BE">
        <w:instrText xml:space="preserve">" </w:instrText>
      </w:r>
      <w:r w:rsidR="005D7996">
        <w:rPr>
          <w:rFonts w:eastAsia="Times New Roman" w:cs="Times New Roman"/>
        </w:rPr>
        <w:fldChar w:fldCharType="end"/>
      </w:r>
      <w:r w:rsidR="00CA6207">
        <w:rPr>
          <w:rFonts w:eastAsia="Times New Roman" w:cs="Times New Roman"/>
        </w:rPr>
        <w:t xml:space="preserve"> eine wichtige Rolle spielt,</w:t>
      </w:r>
      <w:r w:rsidR="00EF5FC1">
        <w:rPr>
          <w:rStyle w:val="Funotenzeichen"/>
          <w:rFonts w:eastAsia="Times New Roman" w:cs="Times New Roman"/>
        </w:rPr>
        <w:footnoteReference w:id="208"/>
      </w:r>
      <w:r w:rsidR="00CA6207">
        <w:rPr>
          <w:rFonts w:eastAsia="Times New Roman" w:cs="Times New Roman"/>
        </w:rPr>
        <w:t xml:space="preserve"> (2) Extrapolierung neuer Realisi</w:t>
      </w:r>
      <w:r w:rsidR="00CA6207">
        <w:rPr>
          <w:rFonts w:eastAsia="Times New Roman" w:cs="Times New Roman"/>
        </w:rPr>
        <w:t>e</w:t>
      </w:r>
      <w:r w:rsidR="00CA6207">
        <w:rPr>
          <w:rFonts w:eastAsia="Times New Roman" w:cs="Times New Roman"/>
        </w:rPr>
        <w:t>rungen in einem bekannten Stil, die beispielsweise ein Kunstfälscher nutzt,</w:t>
      </w:r>
      <w:r w:rsidR="00EF5FC1">
        <w:rPr>
          <w:rStyle w:val="Funotenzeichen"/>
          <w:rFonts w:eastAsia="Times New Roman" w:cs="Times New Roman"/>
        </w:rPr>
        <w:footnoteReference w:id="209"/>
      </w:r>
      <w:r w:rsidR="00CA6207">
        <w:rPr>
          <w:rFonts w:eastAsia="Times New Roman" w:cs="Times New Roman"/>
        </w:rPr>
        <w:t xml:space="preserve"> und (3) </w:t>
      </w:r>
      <w:r w:rsidR="00AF7206">
        <w:rPr>
          <w:rFonts w:eastAsia="Times New Roman" w:cs="Times New Roman"/>
        </w:rPr>
        <w:t xml:space="preserve">Unterscheidung von Stil und </w:t>
      </w:r>
      <w:r w:rsidR="009C6E6C">
        <w:rPr>
          <w:rFonts w:eastAsia="Times New Roman" w:cs="Times New Roman"/>
        </w:rPr>
        <w:t>anderen die Auswahl bestimmenden Fa</w:t>
      </w:r>
      <w:r w:rsidR="009C6E6C">
        <w:rPr>
          <w:rFonts w:eastAsia="Times New Roman" w:cs="Times New Roman"/>
        </w:rPr>
        <w:t>k</w:t>
      </w:r>
      <w:r w:rsidR="009C6E6C">
        <w:rPr>
          <w:rFonts w:eastAsia="Times New Roman" w:cs="Times New Roman"/>
        </w:rPr>
        <w:t xml:space="preserve">toren </w:t>
      </w:r>
      <w:r w:rsidR="00AF7206">
        <w:rPr>
          <w:rFonts w:eastAsia="Times New Roman" w:cs="Times New Roman"/>
        </w:rPr>
        <w:t xml:space="preserve">(Schema sowie </w:t>
      </w:r>
      <w:r w:rsidR="009C6E6C">
        <w:rPr>
          <w:rFonts w:eastAsia="Times New Roman" w:cs="Times New Roman"/>
        </w:rPr>
        <w:t>Kontekt, Funktion und Inhalt</w:t>
      </w:r>
      <w:r w:rsidR="00AF7206">
        <w:rPr>
          <w:rFonts w:eastAsia="Times New Roman" w:cs="Times New Roman"/>
        </w:rPr>
        <w:t>) an einer wahrgenommenen Realisierung (die beispiel</w:t>
      </w:r>
      <w:r w:rsidR="001565BE">
        <w:rPr>
          <w:rFonts w:eastAsia="Times New Roman" w:cs="Times New Roman"/>
        </w:rPr>
        <w:t>s</w:t>
      </w:r>
      <w:r w:rsidR="00AF7206">
        <w:rPr>
          <w:rFonts w:eastAsia="Times New Roman" w:cs="Times New Roman"/>
        </w:rPr>
        <w:t xml:space="preserve">weise erfolgt, wenn ein Gebäude wahrgenommen und erkannt wird, welche Eigenschaften </w:t>
      </w:r>
      <w:r w:rsidR="009C6E6C">
        <w:rPr>
          <w:rFonts w:eastAsia="Times New Roman" w:cs="Times New Roman"/>
        </w:rPr>
        <w:t xml:space="preserve">stilistisch und welche </w:t>
      </w:r>
      <w:r w:rsidR="001565BE">
        <w:rPr>
          <w:rFonts w:eastAsia="Times New Roman" w:cs="Times New Roman"/>
        </w:rPr>
        <w:t>durch Geb</w:t>
      </w:r>
      <w:r w:rsidR="009C6E6C">
        <w:rPr>
          <w:rFonts w:eastAsia="Times New Roman" w:cs="Times New Roman"/>
        </w:rPr>
        <w:t xml:space="preserve">äudetyp und vorgesehene Nutzung </w:t>
      </w:r>
      <w:r w:rsidR="00AF7206">
        <w:rPr>
          <w:rFonts w:eastAsia="Times New Roman" w:cs="Times New Roman"/>
        </w:rPr>
        <w:t xml:space="preserve">bedingt sind), sind </w:t>
      </w:r>
      <w:r w:rsidR="008D08FF">
        <w:rPr>
          <w:rFonts w:eastAsia="Times New Roman" w:cs="Times New Roman"/>
        </w:rPr>
        <w:t xml:space="preserve">wichtige </w:t>
      </w:r>
      <w:r w:rsidR="00AF7206">
        <w:rPr>
          <w:rFonts w:eastAsia="Times New Roman" w:cs="Times New Roman"/>
        </w:rPr>
        <w:t xml:space="preserve">Kennzeichen von Stil. </w:t>
      </w:r>
      <w:r w:rsidR="004F4AB7">
        <w:rPr>
          <w:rFonts w:eastAsia="Times New Roman" w:cs="Times New Roman"/>
        </w:rPr>
        <w:t>Die</w:t>
      </w:r>
      <w:r w:rsidR="001565BE">
        <w:rPr>
          <w:rFonts w:eastAsia="Times New Roman" w:cs="Times New Roman"/>
        </w:rPr>
        <w:t xml:space="preserve"> verschiedenen Arten, </w:t>
      </w:r>
      <w:r w:rsidR="004F4AB7">
        <w:rPr>
          <w:rFonts w:eastAsia="Times New Roman" w:cs="Times New Roman"/>
        </w:rPr>
        <w:t>aus Stil Information</w:t>
      </w:r>
      <w:r w:rsidR="001565BE">
        <w:rPr>
          <w:rFonts w:eastAsia="Times New Roman" w:cs="Times New Roman"/>
        </w:rPr>
        <w:t xml:space="preserve"> zu gewinnen</w:t>
      </w:r>
      <w:r w:rsidR="004F4AB7">
        <w:rPr>
          <w:rFonts w:eastAsia="Times New Roman" w:cs="Times New Roman"/>
        </w:rPr>
        <w:t xml:space="preserve"> und anzuwenden</w:t>
      </w:r>
      <w:r w:rsidR="001565BE">
        <w:rPr>
          <w:rFonts w:eastAsia="Times New Roman" w:cs="Times New Roman"/>
        </w:rPr>
        <w:t xml:space="preserve">, machen </w:t>
      </w:r>
      <w:r w:rsidR="004F4AB7">
        <w:rPr>
          <w:rFonts w:eastAsia="Times New Roman" w:cs="Times New Roman"/>
        </w:rPr>
        <w:t>das Phänomen individuell und gesellschaftlich wichtig</w:t>
      </w:r>
      <w:r w:rsidR="001565BE">
        <w:rPr>
          <w:rFonts w:eastAsia="Times New Roman" w:cs="Times New Roman"/>
        </w:rPr>
        <w:t>.</w:t>
      </w:r>
      <w:r w:rsidR="001565BE">
        <w:rPr>
          <w:rStyle w:val="Funotenzeichen"/>
          <w:rFonts w:eastAsia="Times New Roman" w:cs="Times New Roman"/>
        </w:rPr>
        <w:footnoteReference w:id="210"/>
      </w:r>
    </w:p>
    <w:p w:rsidR="00B3415F" w:rsidRDefault="00B3415F" w:rsidP="00B3415F">
      <w:pPr>
        <w:pStyle w:val="Titel2"/>
      </w:pPr>
      <w:bookmarkStart w:id="139" w:name="_Ref268690378"/>
      <w:bookmarkStart w:id="140" w:name="_Ref268693523"/>
      <w:bookmarkStart w:id="141" w:name="_Ref273094460"/>
      <w:bookmarkStart w:id="142" w:name="_Toc325456716"/>
      <w:bookmarkStart w:id="143" w:name="Stil_als_Abweichung"/>
      <w:bookmarkEnd w:id="137"/>
      <w:r>
        <w:rPr>
          <w:rFonts w:eastAsia="Times New Roman" w:cs="Times New Roman"/>
        </w:rPr>
        <w:t xml:space="preserve">Stil </w:t>
      </w:r>
      <w:r w:rsidR="000B3A5C">
        <w:rPr>
          <w:rFonts w:eastAsia="Times New Roman" w:cs="Times New Roman"/>
        </w:rPr>
        <w:t xml:space="preserve">als </w:t>
      </w:r>
      <w:r w:rsidR="006E4B09">
        <w:rPr>
          <w:rFonts w:eastAsia="Times New Roman" w:cs="Times New Roman"/>
        </w:rPr>
        <w:t>Abweichung</w:t>
      </w:r>
      <w:bookmarkEnd w:id="139"/>
      <w:bookmarkEnd w:id="140"/>
      <w:r w:rsidR="004C7AA4">
        <w:rPr>
          <w:rFonts w:eastAsia="Times New Roman" w:cs="Times New Roman"/>
        </w:rPr>
        <w:t xml:space="preserve"> oder Häufigkeit</w:t>
      </w:r>
      <w:bookmarkEnd w:id="141"/>
      <w:bookmarkEnd w:id="142"/>
    </w:p>
    <w:p w:rsidR="007422C9" w:rsidRDefault="005D7996" w:rsidP="00A168AE">
      <w:pPr>
        <w:ind w:firstLine="0"/>
        <w:rPr>
          <w:rFonts w:eastAsia="Times New Roman" w:cs="Times New Roman"/>
        </w:rPr>
      </w:pPr>
      <w:r>
        <w:fldChar w:fldCharType="begin"/>
      </w:r>
      <w:r w:rsidR="003F4F0A">
        <w:instrText xml:space="preserve"> XE "Stil:als Abweichung" \r "Stil_als_Abweichung" </w:instrText>
      </w:r>
      <w:r>
        <w:fldChar w:fldCharType="end"/>
      </w:r>
      <w:r>
        <w:fldChar w:fldCharType="begin"/>
      </w:r>
      <w:r w:rsidR="003F4F0A">
        <w:instrText xml:space="preserve"> XE "Stil:als Häufigkeit" \r "Stil_als_Abweichung" </w:instrText>
      </w:r>
      <w:r>
        <w:fldChar w:fldCharType="end"/>
      </w:r>
      <w:r>
        <w:fldChar w:fldCharType="begin"/>
      </w:r>
      <w:r w:rsidR="001151DC">
        <w:instrText xml:space="preserve"> XE "Norm" \r "Stil_als_Abweichung" </w:instrText>
      </w:r>
      <w:r>
        <w:fldChar w:fldCharType="end"/>
      </w:r>
      <w:r w:rsidR="00613241">
        <w:rPr>
          <w:rFonts w:eastAsia="Times New Roman" w:cs="Times New Roman"/>
        </w:rPr>
        <w:t>In der sprachlichen Stilistik</w:t>
      </w:r>
      <w:r>
        <w:rPr>
          <w:rFonts w:eastAsia="Times New Roman" w:cs="Times New Roman"/>
        </w:rPr>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Pr>
          <w:rFonts w:eastAsia="Times New Roman" w:cs="Times New Roman"/>
        </w:rPr>
        <w:fldChar w:fldCharType="end"/>
      </w:r>
      <w:r w:rsidR="00613241">
        <w:rPr>
          <w:rFonts w:eastAsia="Times New Roman" w:cs="Times New Roman"/>
        </w:rPr>
        <w:t xml:space="preserve"> ist Stil in verschiedenen Konzeptionen als Abwe</w:t>
      </w:r>
      <w:r w:rsidR="00613241">
        <w:rPr>
          <w:rFonts w:eastAsia="Times New Roman" w:cs="Times New Roman"/>
        </w:rPr>
        <w:t>i</w:t>
      </w:r>
      <w:r w:rsidR="00613241">
        <w:rPr>
          <w:rFonts w:eastAsia="Times New Roman" w:cs="Times New Roman"/>
        </w:rPr>
        <w:t>chung von einer texte</w:t>
      </w:r>
      <w:r w:rsidR="00B134F5">
        <w:rPr>
          <w:rFonts w:eastAsia="Times New Roman" w:cs="Times New Roman"/>
        </w:rPr>
        <w:t>xternen Norm aufgefasst worden.</w:t>
      </w:r>
      <w:r w:rsidR="000971F5">
        <w:rPr>
          <w:rStyle w:val="Funotenzeichen"/>
          <w:rFonts w:eastAsia="Times New Roman" w:cs="Times New Roman"/>
        </w:rPr>
        <w:footnoteReference w:id="211"/>
      </w:r>
      <w:r w:rsidR="00B134F5">
        <w:rPr>
          <w:rFonts w:eastAsia="Times New Roman" w:cs="Times New Roman"/>
        </w:rPr>
        <w:t xml:space="preserve"> </w:t>
      </w:r>
      <w:r w:rsidR="00613241">
        <w:rPr>
          <w:rFonts w:eastAsia="Times New Roman" w:cs="Times New Roman"/>
        </w:rPr>
        <w:t xml:space="preserve">Abweichungen </w:t>
      </w:r>
      <w:r w:rsidR="00556F3C">
        <w:rPr>
          <w:rFonts w:eastAsia="Times New Roman" w:cs="Times New Roman"/>
        </w:rPr>
        <w:t xml:space="preserve">treten </w:t>
      </w:r>
      <w:r w:rsidR="00613241">
        <w:rPr>
          <w:rFonts w:eastAsia="Times New Roman" w:cs="Times New Roman"/>
        </w:rPr>
        <w:lastRenderedPageBreak/>
        <w:t>auf den unterschiedlichen Beschreibungsebenen</w:t>
      </w:r>
      <w:r>
        <w:rPr>
          <w:rFonts w:eastAsia="Times New Roman" w:cs="Times New Roman"/>
        </w:rPr>
        <w:fldChar w:fldCharType="begin"/>
      </w:r>
      <w:r w:rsidR="000623C8">
        <w:instrText xml:space="preserve"> XE "</w:instrText>
      </w:r>
      <w:r w:rsidR="000623C8" w:rsidRPr="0039734C">
        <w:instrText>Beschreibungsebene</w:instrText>
      </w:r>
      <w:r w:rsidR="000623C8">
        <w:instrText xml:space="preserve">" </w:instrText>
      </w:r>
      <w:r>
        <w:rPr>
          <w:rFonts w:eastAsia="Times New Roman" w:cs="Times New Roman"/>
        </w:rPr>
        <w:fldChar w:fldCharType="end"/>
      </w:r>
      <w:r w:rsidR="00613241">
        <w:rPr>
          <w:rFonts w:eastAsia="Times New Roman" w:cs="Times New Roman"/>
        </w:rPr>
        <w:t xml:space="preserve"> (Syntax</w:t>
      </w:r>
      <w:r>
        <w:rPr>
          <w:rFonts w:eastAsia="Times New Roman" w:cs="Times New Roman"/>
        </w:rPr>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Pr>
          <w:rFonts w:eastAsia="Times New Roman" w:cs="Times New Roman"/>
        </w:rPr>
        <w:fldChar w:fldCharType="end"/>
      </w:r>
      <w:r w:rsidR="00613241">
        <w:rPr>
          <w:rFonts w:eastAsia="Times New Roman" w:cs="Times New Roman"/>
        </w:rPr>
        <w:t>, Semantik</w:t>
      </w:r>
      <w:r>
        <w:rPr>
          <w:rFonts w:eastAsia="Times New Roman" w:cs="Times New Roman"/>
        </w:rPr>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Pr>
          <w:rFonts w:eastAsia="Times New Roman" w:cs="Times New Roman"/>
        </w:rPr>
        <w:fldChar w:fldCharType="end"/>
      </w:r>
      <w:r w:rsidR="00613241">
        <w:rPr>
          <w:rFonts w:eastAsia="Times New Roman" w:cs="Times New Roman"/>
        </w:rPr>
        <w:t>, Phonetik</w:t>
      </w:r>
      <w:r>
        <w:rPr>
          <w:rFonts w:eastAsia="Times New Roman" w:cs="Times New Roman"/>
        </w:rPr>
        <w:fldChar w:fldCharType="begin"/>
      </w:r>
      <w:r w:rsidR="000A43C7">
        <w:instrText xml:space="preserve"> XE "</w:instrText>
      </w:r>
      <w:r w:rsidR="000A43C7" w:rsidRPr="00A97132">
        <w:rPr>
          <w:szCs w:val="17"/>
        </w:rPr>
        <w:instrText>Phonetik</w:instrText>
      </w:r>
      <w:r w:rsidR="000A43C7">
        <w:instrText xml:space="preserve">" </w:instrText>
      </w:r>
      <w:r>
        <w:rPr>
          <w:rFonts w:eastAsia="Times New Roman" w:cs="Times New Roman"/>
        </w:rPr>
        <w:fldChar w:fldCharType="end"/>
      </w:r>
      <w:r w:rsidR="00613241">
        <w:rPr>
          <w:rFonts w:eastAsia="Times New Roman" w:cs="Times New Roman"/>
        </w:rPr>
        <w:t xml:space="preserve"> usw.) </w:t>
      </w:r>
      <w:r w:rsidR="00556F3C">
        <w:rPr>
          <w:rFonts w:eastAsia="Times New Roman" w:cs="Times New Roman"/>
        </w:rPr>
        <w:t>auf und können im Hinblick auf die jeweils erzeugten Wirkungen unte</w:t>
      </w:r>
      <w:r w:rsidR="00556F3C">
        <w:rPr>
          <w:rFonts w:eastAsia="Times New Roman" w:cs="Times New Roman"/>
        </w:rPr>
        <w:t>r</w:t>
      </w:r>
      <w:r w:rsidR="00556F3C">
        <w:rPr>
          <w:rFonts w:eastAsia="Times New Roman" w:cs="Times New Roman"/>
        </w:rPr>
        <w:t>sucht werden.</w:t>
      </w:r>
      <w:r w:rsidR="00B134F5" w:rsidRPr="00B134F5">
        <w:rPr>
          <w:rFonts w:eastAsia="Times New Roman" w:cs="Times New Roman"/>
        </w:rPr>
        <w:t xml:space="preserve"> </w:t>
      </w:r>
      <w:r w:rsidR="00B134F5">
        <w:rPr>
          <w:rFonts w:eastAsia="Times New Roman" w:cs="Times New Roman"/>
        </w:rPr>
        <w:t xml:space="preserve">Dabei kann es sich jeweils um </w:t>
      </w:r>
      <w:r w:rsidR="007F342E">
        <w:rPr>
          <w:rFonts w:eastAsia="Times New Roman" w:cs="Times New Roman"/>
        </w:rPr>
        <w:t xml:space="preserve">Abweichungen von </w:t>
      </w:r>
      <w:r w:rsidR="00B134F5">
        <w:rPr>
          <w:rFonts w:eastAsia="Times New Roman" w:cs="Times New Roman"/>
        </w:rPr>
        <w:t>Regeln des Sprachsystems</w:t>
      </w:r>
      <w:r>
        <w:rPr>
          <w:rFonts w:eastAsia="Times New Roman" w:cs="Times New Roman"/>
        </w:rPr>
        <w:fldChar w:fldCharType="begin"/>
      </w:r>
      <w:r w:rsidR="000623C8">
        <w:instrText xml:space="preserve"> XE "</w:instrText>
      </w:r>
      <w:r w:rsidR="000623C8" w:rsidRPr="000E2D76">
        <w:rPr>
          <w:rFonts w:eastAsia="Times New Roman" w:cs="Times New Roman"/>
        </w:rPr>
        <w:instrText>Sprachsystem</w:instrText>
      </w:r>
      <w:r w:rsidR="000623C8">
        <w:instrText xml:space="preserve">" </w:instrText>
      </w:r>
      <w:r>
        <w:rPr>
          <w:rFonts w:eastAsia="Times New Roman" w:cs="Times New Roman"/>
        </w:rPr>
        <w:fldChar w:fldCharType="end"/>
      </w:r>
      <w:r w:rsidR="00B134F5">
        <w:rPr>
          <w:rFonts w:eastAsia="Times New Roman" w:cs="Times New Roman"/>
        </w:rPr>
        <w:t xml:space="preserve"> (etwa de</w:t>
      </w:r>
      <w:r w:rsidR="007F342E">
        <w:rPr>
          <w:rFonts w:eastAsia="Times New Roman" w:cs="Times New Roman"/>
        </w:rPr>
        <w:t>n</w:t>
      </w:r>
      <w:r w:rsidR="00B134F5">
        <w:rPr>
          <w:rFonts w:eastAsia="Times New Roman" w:cs="Times New Roman"/>
        </w:rPr>
        <w:t xml:space="preserve"> Kombinationsregeln</w:t>
      </w:r>
      <w:r>
        <w:rPr>
          <w:rFonts w:eastAsia="Times New Roman" w:cs="Times New Roman"/>
        </w:rPr>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Pr>
          <w:rFonts w:eastAsia="Times New Roman" w:cs="Times New Roman"/>
        </w:rPr>
        <w:fldChar w:fldCharType="end"/>
      </w:r>
      <w:r w:rsidR="00B134F5">
        <w:rPr>
          <w:rFonts w:eastAsia="Times New Roman" w:cs="Times New Roman"/>
        </w:rPr>
        <w:t xml:space="preserve"> der Syntax und </w:t>
      </w:r>
      <w:r w:rsidR="007F342E">
        <w:rPr>
          <w:rFonts w:eastAsia="Times New Roman" w:cs="Times New Roman"/>
        </w:rPr>
        <w:t xml:space="preserve">den </w:t>
      </w:r>
      <w:r w:rsidR="00B134F5">
        <w:rPr>
          <w:rFonts w:eastAsia="Times New Roman" w:cs="Times New Roman"/>
        </w:rPr>
        <w:t>Selektionsb</w:t>
      </w:r>
      <w:r w:rsidR="00B134F5">
        <w:rPr>
          <w:rFonts w:eastAsia="Times New Roman" w:cs="Times New Roman"/>
        </w:rPr>
        <w:t>e</w:t>
      </w:r>
      <w:r w:rsidR="00B134F5">
        <w:rPr>
          <w:rFonts w:eastAsia="Times New Roman" w:cs="Times New Roman"/>
        </w:rPr>
        <w:t>schränkungen</w:t>
      </w:r>
      <w:r>
        <w:rPr>
          <w:rFonts w:eastAsia="Times New Roman" w:cs="Times New Roman"/>
        </w:rPr>
        <w:fldChar w:fldCharType="begin"/>
      </w:r>
      <w:r w:rsidR="00F42282">
        <w:instrText xml:space="preserve"> XE "</w:instrText>
      </w:r>
      <w:r w:rsidR="00F42282" w:rsidRPr="00C77E9F">
        <w:rPr>
          <w:rFonts w:eastAsia="Times New Roman" w:cs="Times New Roman"/>
        </w:rPr>
        <w:instrText>Selektionsbeschränkungen</w:instrText>
      </w:r>
      <w:r w:rsidR="00F42282">
        <w:instrText xml:space="preserve">" </w:instrText>
      </w:r>
      <w:r>
        <w:rPr>
          <w:rFonts w:eastAsia="Times New Roman" w:cs="Times New Roman"/>
        </w:rPr>
        <w:fldChar w:fldCharType="end"/>
      </w:r>
      <w:r w:rsidR="00B134F5">
        <w:rPr>
          <w:rFonts w:eastAsia="Times New Roman" w:cs="Times New Roman"/>
        </w:rPr>
        <w:t xml:space="preserve"> der Semantik), um </w:t>
      </w:r>
      <w:r w:rsidR="000A30BD">
        <w:rPr>
          <w:rFonts w:eastAsia="Times New Roman" w:cs="Times New Roman"/>
        </w:rPr>
        <w:t>Abweichungen von Konventionen und schlie</w:t>
      </w:r>
      <w:r w:rsidR="000A30BD">
        <w:rPr>
          <w:rFonts w:eastAsia="Times New Roman" w:cs="Times New Roman"/>
        </w:rPr>
        <w:t>ß</w:t>
      </w:r>
      <w:r w:rsidR="000A30BD">
        <w:rPr>
          <w:rFonts w:eastAsia="Times New Roman" w:cs="Times New Roman"/>
        </w:rPr>
        <w:t xml:space="preserve">lich um </w:t>
      </w:r>
      <w:r w:rsidR="002F271E">
        <w:rPr>
          <w:rFonts w:eastAsia="Times New Roman" w:cs="Times New Roman"/>
        </w:rPr>
        <w:t xml:space="preserve">quantitative </w:t>
      </w:r>
      <w:r w:rsidR="000A30BD">
        <w:rPr>
          <w:rFonts w:eastAsia="Times New Roman" w:cs="Times New Roman"/>
        </w:rPr>
        <w:t xml:space="preserve">Abweichungen handeln. Im letzten Fall ergibt sich eine Variante der </w:t>
      </w:r>
      <w:r w:rsidR="003D19C3">
        <w:rPr>
          <w:rFonts w:eastAsia="Times New Roman" w:cs="Times New Roman"/>
        </w:rPr>
        <w:t xml:space="preserve">quantitativen </w:t>
      </w:r>
      <w:r w:rsidR="000A30BD">
        <w:rPr>
          <w:rFonts w:eastAsia="Times New Roman" w:cs="Times New Roman"/>
        </w:rPr>
        <w:t>Stilistik</w:t>
      </w:r>
      <w:r>
        <w:rPr>
          <w:rFonts w:eastAsia="Times New Roman" w:cs="Times New Roman"/>
        </w:rPr>
        <w:fldChar w:fldCharType="begin"/>
      </w:r>
      <w:r w:rsidR="003D19C3">
        <w:instrText xml:space="preserve"> XE "</w:instrText>
      </w:r>
      <w:r w:rsidR="003D19C3" w:rsidRPr="0035622A">
        <w:rPr>
          <w:rFonts w:eastAsia="Times New Roman" w:cs="Times New Roman"/>
        </w:rPr>
        <w:instrText>quantitative Stilistik</w:instrText>
      </w:r>
      <w:r w:rsidR="003D19C3">
        <w:instrText xml:space="preserve">" </w:instrText>
      </w:r>
      <w:r>
        <w:rPr>
          <w:rFonts w:eastAsia="Times New Roman" w:cs="Times New Roman"/>
        </w:rPr>
        <w:fldChar w:fldCharType="end"/>
      </w:r>
      <w:r w:rsidR="000A30BD">
        <w:rPr>
          <w:rFonts w:eastAsia="Times New Roman" w:cs="Times New Roman"/>
        </w:rPr>
        <w:t>, die Worthäufigkeiten, Satzlänge, syntakt</w:t>
      </w:r>
      <w:r w:rsidR="000A30BD">
        <w:rPr>
          <w:rFonts w:eastAsia="Times New Roman" w:cs="Times New Roman"/>
        </w:rPr>
        <w:t>i</w:t>
      </w:r>
      <w:r w:rsidR="000A30BD">
        <w:rPr>
          <w:rFonts w:eastAsia="Times New Roman" w:cs="Times New Roman"/>
        </w:rPr>
        <w:t xml:space="preserve">scher Komplexität usw. mit einer </w:t>
      </w:r>
      <w:r w:rsidR="00B348F6">
        <w:rPr>
          <w:rFonts w:eastAsia="Times New Roman" w:cs="Times New Roman"/>
        </w:rPr>
        <w:t>textexternen</w:t>
      </w:r>
      <w:r w:rsidR="000A30BD">
        <w:rPr>
          <w:rFonts w:eastAsia="Times New Roman" w:cs="Times New Roman"/>
        </w:rPr>
        <w:t xml:space="preserve"> Norm vergleicht, die beispiel</w:t>
      </w:r>
      <w:r w:rsidR="000A30BD">
        <w:rPr>
          <w:rFonts w:eastAsia="Times New Roman" w:cs="Times New Roman"/>
        </w:rPr>
        <w:t>s</w:t>
      </w:r>
      <w:r w:rsidR="000A30BD">
        <w:rPr>
          <w:rFonts w:eastAsia="Times New Roman" w:cs="Times New Roman"/>
        </w:rPr>
        <w:t>weise aus einem Vergleichskorpus gewonnen wird.</w:t>
      </w:r>
    </w:p>
    <w:p w:rsidR="002764BF" w:rsidRDefault="002764BF" w:rsidP="005A5093">
      <w:pPr>
        <w:rPr>
          <w:rFonts w:eastAsia="Times New Roman" w:cs="Times New Roman"/>
        </w:rPr>
      </w:pPr>
      <w:r>
        <w:rPr>
          <w:rFonts w:eastAsia="Times New Roman" w:cs="Times New Roman"/>
        </w:rPr>
        <w:t>Die Abweichungsstilistik</w:t>
      </w:r>
      <w:r w:rsidR="005D7996">
        <w:rPr>
          <w:rFonts w:eastAsia="Times New Roman" w:cs="Times New Roman"/>
        </w:rPr>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rPr>
          <w:rFonts w:eastAsia="Times New Roman" w:cs="Times New Roman"/>
        </w:rPr>
        <w:fldChar w:fldCharType="end"/>
      </w:r>
      <w:r>
        <w:rPr>
          <w:rFonts w:eastAsia="Times New Roman" w:cs="Times New Roman"/>
        </w:rPr>
        <w:t xml:space="preserve"> </w:t>
      </w:r>
      <w:r w:rsidR="006E4B09">
        <w:rPr>
          <w:rFonts w:eastAsia="Times New Roman" w:cs="Times New Roman"/>
        </w:rPr>
        <w:t>wurde viel gescholten, weil (</w:t>
      </w:r>
      <w:r w:rsidR="00BE7501">
        <w:rPr>
          <w:rFonts w:eastAsia="Times New Roman" w:cs="Times New Roman"/>
        </w:rPr>
        <w:t>1</w:t>
      </w:r>
      <w:r w:rsidR="006E4B09">
        <w:rPr>
          <w:rFonts w:eastAsia="Times New Roman" w:cs="Times New Roman"/>
        </w:rPr>
        <w:t>) normentspreche</w:t>
      </w:r>
      <w:r w:rsidR="006E4B09">
        <w:rPr>
          <w:rFonts w:eastAsia="Times New Roman" w:cs="Times New Roman"/>
        </w:rPr>
        <w:t>n</w:t>
      </w:r>
      <w:r w:rsidR="006E4B09">
        <w:rPr>
          <w:rFonts w:eastAsia="Times New Roman" w:cs="Times New Roman"/>
        </w:rPr>
        <w:t>de Stile nicht beschrieben werden können und (</w:t>
      </w:r>
      <w:r w:rsidR="00BE7501">
        <w:rPr>
          <w:rFonts w:eastAsia="Times New Roman" w:cs="Times New Roman"/>
        </w:rPr>
        <w:t>2</w:t>
      </w:r>
      <w:r w:rsidR="006E4B09">
        <w:rPr>
          <w:rFonts w:eastAsia="Times New Roman" w:cs="Times New Roman"/>
        </w:rPr>
        <w:t xml:space="preserve">) </w:t>
      </w:r>
      <w:r w:rsidR="00BC25B3">
        <w:rPr>
          <w:rFonts w:eastAsia="Times New Roman" w:cs="Times New Roman"/>
        </w:rPr>
        <w:t xml:space="preserve">oft keine eindeutige </w:t>
      </w:r>
      <w:r w:rsidR="006E4B09">
        <w:rPr>
          <w:rFonts w:eastAsia="Times New Roman" w:cs="Times New Roman"/>
        </w:rPr>
        <w:t xml:space="preserve">Norm zu existieren scheint. </w:t>
      </w:r>
      <w:r w:rsidR="00BC25B3">
        <w:rPr>
          <w:rFonts w:eastAsia="Times New Roman" w:cs="Times New Roman"/>
        </w:rPr>
        <w:t>Dennoch wurde sie immer wieder aufgegriffen, weil sie dort, wo Normen angebbar sind, Stilmerkmale präzise beschreibbar macht. Dies gilt vor allem für Abweichungen von syntaktischen und semantischen Regeln des Sprachsystems</w:t>
      </w:r>
      <w:r w:rsidR="005D7996">
        <w:rPr>
          <w:rFonts w:eastAsia="Times New Roman" w:cs="Times New Roman"/>
        </w:rPr>
        <w:fldChar w:fldCharType="begin"/>
      </w:r>
      <w:r w:rsidR="000623C8">
        <w:instrText xml:space="preserve"> XE "</w:instrText>
      </w:r>
      <w:r w:rsidR="000623C8" w:rsidRPr="000E2D76">
        <w:rPr>
          <w:rFonts w:eastAsia="Times New Roman" w:cs="Times New Roman"/>
        </w:rPr>
        <w:instrText>Sprachsystem</w:instrText>
      </w:r>
      <w:r w:rsidR="000623C8">
        <w:instrText xml:space="preserve">" </w:instrText>
      </w:r>
      <w:r w:rsidR="005D7996">
        <w:rPr>
          <w:rFonts w:eastAsia="Times New Roman" w:cs="Times New Roman"/>
        </w:rPr>
        <w:fldChar w:fldCharType="end"/>
      </w:r>
      <w:r w:rsidR="00BC25B3">
        <w:rPr>
          <w:rFonts w:eastAsia="Times New Roman" w:cs="Times New Roman"/>
        </w:rPr>
        <w:t xml:space="preserve">. So entstand bald nach der Einführung </w:t>
      </w:r>
      <w:r w:rsidR="006E4B09">
        <w:rPr>
          <w:rFonts w:eastAsia="Times New Roman" w:cs="Times New Roman"/>
        </w:rPr>
        <w:t>der Transformation</w:t>
      </w:r>
      <w:r w:rsidR="006E4B09">
        <w:rPr>
          <w:rFonts w:eastAsia="Times New Roman" w:cs="Times New Roman"/>
        </w:rPr>
        <w:t>s</w:t>
      </w:r>
      <w:r w:rsidR="006E4B09">
        <w:rPr>
          <w:rFonts w:eastAsia="Times New Roman" w:cs="Times New Roman"/>
        </w:rPr>
        <w:t xml:space="preserve">grammatik eine </w:t>
      </w:r>
      <w:r w:rsidR="00BC25B3">
        <w:rPr>
          <w:rFonts w:eastAsia="Times New Roman" w:cs="Times New Roman"/>
        </w:rPr>
        <w:t xml:space="preserve">entsprechende Schule </w:t>
      </w:r>
      <w:r w:rsidR="005F4E60">
        <w:rPr>
          <w:rFonts w:eastAsia="Times New Roman" w:cs="Times New Roman"/>
        </w:rPr>
        <w:t>der Abweichungsstilisti</w:t>
      </w:r>
      <w:r w:rsidR="006E4B09">
        <w:rPr>
          <w:rFonts w:eastAsia="Times New Roman" w:cs="Times New Roman"/>
        </w:rPr>
        <w:t>k, die Stil als A</w:t>
      </w:r>
      <w:r w:rsidR="006E4B09">
        <w:rPr>
          <w:rFonts w:eastAsia="Times New Roman" w:cs="Times New Roman"/>
        </w:rPr>
        <w:t>b</w:t>
      </w:r>
      <w:r w:rsidR="006E4B09">
        <w:rPr>
          <w:rFonts w:eastAsia="Times New Roman" w:cs="Times New Roman"/>
        </w:rPr>
        <w:t>weichung von den dort präzise angebbaren syntaktischen und semantischen R</w:t>
      </w:r>
      <w:r w:rsidR="006E4B09">
        <w:rPr>
          <w:rFonts w:eastAsia="Times New Roman" w:cs="Times New Roman"/>
        </w:rPr>
        <w:t>e</w:t>
      </w:r>
      <w:r w:rsidR="006E4B09">
        <w:rPr>
          <w:rFonts w:eastAsia="Times New Roman" w:cs="Times New Roman"/>
        </w:rPr>
        <w:t xml:space="preserve">geln </w:t>
      </w:r>
      <w:r w:rsidR="00BC25B3">
        <w:rPr>
          <w:rFonts w:eastAsia="Times New Roman" w:cs="Times New Roman"/>
        </w:rPr>
        <w:t>beschrieb</w:t>
      </w:r>
      <w:r w:rsidR="006E4B09">
        <w:rPr>
          <w:rFonts w:eastAsia="Times New Roman" w:cs="Times New Roman"/>
        </w:rPr>
        <w:t>.</w:t>
      </w:r>
      <w:bookmarkStart w:id="144" w:name="_Ref271302404"/>
      <w:r w:rsidR="00BC25B3">
        <w:rPr>
          <w:rStyle w:val="Funotenzeichen"/>
          <w:rFonts w:eastAsia="Times New Roman" w:cs="Times New Roman"/>
        </w:rPr>
        <w:footnoteReference w:id="212"/>
      </w:r>
      <w:bookmarkEnd w:id="144"/>
      <w:r w:rsidR="006E4B09">
        <w:rPr>
          <w:rFonts w:eastAsia="Times New Roman" w:cs="Times New Roman"/>
        </w:rPr>
        <w:t xml:space="preserve"> Damit </w:t>
      </w:r>
      <w:r w:rsidR="00226F3A">
        <w:rPr>
          <w:rFonts w:eastAsia="Times New Roman" w:cs="Times New Roman"/>
        </w:rPr>
        <w:t xml:space="preserve">bestand </w:t>
      </w:r>
      <w:r w:rsidR="006E4B09">
        <w:rPr>
          <w:rFonts w:eastAsia="Times New Roman" w:cs="Times New Roman"/>
        </w:rPr>
        <w:t>erstmals eine präzise Darstellungsmöglichkeit für die Norm</w:t>
      </w:r>
      <w:r w:rsidR="00226F3A">
        <w:rPr>
          <w:rFonts w:eastAsia="Times New Roman" w:cs="Times New Roman"/>
        </w:rPr>
        <w:t>,</w:t>
      </w:r>
      <w:r w:rsidR="006E4B09">
        <w:rPr>
          <w:rFonts w:eastAsia="Times New Roman" w:cs="Times New Roman"/>
        </w:rPr>
        <w:t xml:space="preserve"> und damit auch fü</w:t>
      </w:r>
      <w:r w:rsidR="00226F3A">
        <w:rPr>
          <w:rFonts w:eastAsia="Times New Roman" w:cs="Times New Roman"/>
        </w:rPr>
        <w:t>r die Abweichung, für die sogar Grade angeg</w:t>
      </w:r>
      <w:r w:rsidR="00226F3A">
        <w:rPr>
          <w:rFonts w:eastAsia="Times New Roman" w:cs="Times New Roman"/>
        </w:rPr>
        <w:t>e</w:t>
      </w:r>
      <w:r w:rsidR="00226F3A">
        <w:rPr>
          <w:rFonts w:eastAsia="Times New Roman" w:cs="Times New Roman"/>
        </w:rPr>
        <w:t>ben werden können.</w:t>
      </w:r>
      <w:r w:rsidR="00226F3A">
        <w:rPr>
          <w:rStyle w:val="Funotenzeichen"/>
          <w:rFonts w:eastAsia="Times New Roman" w:cs="Times New Roman"/>
        </w:rPr>
        <w:footnoteReference w:id="213"/>
      </w:r>
      <w:r w:rsidR="00226F3A">
        <w:rPr>
          <w:rFonts w:eastAsia="Times New Roman" w:cs="Times New Roman"/>
        </w:rPr>
        <w:t xml:space="preserve"> </w:t>
      </w:r>
      <w:r w:rsidR="006E4B09">
        <w:rPr>
          <w:rFonts w:eastAsia="Times New Roman" w:cs="Times New Roman"/>
        </w:rPr>
        <w:t xml:space="preserve">Diese </w:t>
      </w:r>
      <w:r w:rsidR="00226F3A">
        <w:rPr>
          <w:rFonts w:eastAsia="Times New Roman" w:cs="Times New Roman"/>
        </w:rPr>
        <w:t xml:space="preserve">transformationsgrammatischen </w:t>
      </w:r>
      <w:r w:rsidR="006E4B09">
        <w:rPr>
          <w:rFonts w:eastAsia="Times New Roman" w:cs="Times New Roman"/>
        </w:rPr>
        <w:t xml:space="preserve">Ansätze sind nach wie vor interessant, allerdings </w:t>
      </w:r>
      <w:r w:rsidR="00226F3A">
        <w:rPr>
          <w:rFonts w:eastAsia="Times New Roman" w:cs="Times New Roman"/>
        </w:rPr>
        <w:t xml:space="preserve">nur </w:t>
      </w:r>
      <w:r w:rsidR="006E4B09">
        <w:rPr>
          <w:rFonts w:eastAsia="Times New Roman" w:cs="Times New Roman"/>
        </w:rPr>
        <w:t>als Beschreibung spezieller Stilphäno</w:t>
      </w:r>
      <w:r w:rsidR="00226F3A">
        <w:rPr>
          <w:rFonts w:eastAsia="Times New Roman" w:cs="Times New Roman"/>
        </w:rPr>
        <w:t>mene; verallgemeinerbar sind diese abweichungsstilistischen Ansätze nicht.</w:t>
      </w:r>
    </w:p>
    <w:p w:rsidR="00A3287A" w:rsidRDefault="00E601CD" w:rsidP="005A5093">
      <w:pPr>
        <w:rPr>
          <w:rFonts w:eastAsia="Times New Roman" w:cs="Times New Roman"/>
        </w:rPr>
      </w:pPr>
      <w:r>
        <w:rPr>
          <w:rFonts w:eastAsia="Times New Roman" w:cs="Times New Roman"/>
        </w:rPr>
        <w:t xml:space="preserve">Der Ansatz von </w:t>
      </w:r>
      <w:r w:rsidR="00D50538">
        <w:rPr>
          <w:rFonts w:eastAsia="Times New Roman" w:cs="Times New Roman"/>
        </w:rPr>
        <w:t>Werner Abraham</w:t>
      </w:r>
      <w:r w:rsidR="00A3287A">
        <w:rPr>
          <w:rStyle w:val="Funotenzeichen"/>
          <w:rFonts w:eastAsia="Times New Roman" w:cs="Times New Roman"/>
        </w:rPr>
        <w:footnoteReference w:id="214"/>
      </w:r>
      <w:r>
        <w:rPr>
          <w:rFonts w:eastAsia="Times New Roman" w:cs="Times New Roman"/>
        </w:rPr>
        <w:t xml:space="preserve"> ist pragmatisch orientiert: </w:t>
      </w:r>
      <w:r w:rsidR="00A3287A">
        <w:rPr>
          <w:rFonts w:eastAsia="Times New Roman" w:cs="Times New Roman"/>
        </w:rPr>
        <w:t xml:space="preserve">Er </w:t>
      </w:r>
      <w:r>
        <w:rPr>
          <w:rFonts w:eastAsia="Times New Roman" w:cs="Times New Roman"/>
        </w:rPr>
        <w:t>unte</w:t>
      </w:r>
      <w:r>
        <w:rPr>
          <w:rFonts w:eastAsia="Times New Roman" w:cs="Times New Roman"/>
        </w:rPr>
        <w:t>r</w:t>
      </w:r>
      <w:r>
        <w:rPr>
          <w:rFonts w:eastAsia="Times New Roman" w:cs="Times New Roman"/>
        </w:rPr>
        <w:t>scheidet zwischen den Erwartungsnormen von</w:t>
      </w:r>
      <w:r w:rsidR="00106AD1">
        <w:rPr>
          <w:rFonts w:eastAsia="Times New Roman" w:cs="Times New Roman"/>
        </w:rPr>
        <w:t xml:space="preserve"> Stilanwender und Stilwahrne</w:t>
      </w:r>
      <w:r w:rsidR="00106AD1">
        <w:rPr>
          <w:rFonts w:eastAsia="Times New Roman" w:cs="Times New Roman"/>
        </w:rPr>
        <w:t>h</w:t>
      </w:r>
      <w:r w:rsidR="00106AD1">
        <w:rPr>
          <w:rFonts w:eastAsia="Times New Roman" w:cs="Times New Roman"/>
        </w:rPr>
        <w:t>mer</w:t>
      </w:r>
      <w:r>
        <w:rPr>
          <w:rFonts w:eastAsia="Times New Roman" w:cs="Times New Roman"/>
        </w:rPr>
        <w:t xml:space="preserve">, die wiederum in Bezug zu Rollenstilen </w:t>
      </w:r>
      <w:r w:rsidR="00A3287A">
        <w:rPr>
          <w:rFonts w:eastAsia="Times New Roman" w:cs="Times New Roman"/>
        </w:rPr>
        <w:t>stehen. Das klingt vielversprechend, scheint es doch den Weg von der allgemeinen Stilnorm hin zu flexiblen situat</w:t>
      </w:r>
      <w:r w:rsidR="00A3287A">
        <w:rPr>
          <w:rFonts w:eastAsia="Times New Roman" w:cs="Times New Roman"/>
        </w:rPr>
        <w:t>i</w:t>
      </w:r>
      <w:r w:rsidR="00A3287A">
        <w:rPr>
          <w:rFonts w:eastAsia="Times New Roman" w:cs="Times New Roman"/>
        </w:rPr>
        <w:t>onsbezogenen Beschreibungsansätzen zu eröffnen. Stattdessen beschränkt sich Abraham dann aber auf die Postulierung stilistischer Transformationsregeln</w:t>
      </w:r>
      <w:r w:rsidR="005D7996">
        <w:rPr>
          <w:rFonts w:eastAsia="Times New Roman" w:cs="Times New Roman"/>
        </w:rPr>
        <w:fldChar w:fldCharType="begin"/>
      </w:r>
      <w:r w:rsidR="009324EE">
        <w:instrText xml:space="preserve"> XE "</w:instrText>
      </w:r>
      <w:r w:rsidR="009324EE" w:rsidRPr="00447F5E">
        <w:instrText>Transformationsregel</w:instrText>
      </w:r>
      <w:r w:rsidR="009324EE">
        <w:instrText xml:space="preserve">" </w:instrText>
      </w:r>
      <w:r w:rsidR="005D7996">
        <w:rPr>
          <w:rFonts w:eastAsia="Times New Roman" w:cs="Times New Roman"/>
        </w:rPr>
        <w:fldChar w:fldCharType="end"/>
      </w:r>
      <w:r w:rsidR="00A3287A">
        <w:rPr>
          <w:rFonts w:eastAsia="Times New Roman" w:cs="Times New Roman"/>
        </w:rPr>
        <w:t xml:space="preserve"> im Rahmen der Transformationsgrammatik, mit denen dann beispielsweise Sätze wie „</w:t>
      </w:r>
      <w:r w:rsidR="00B57276">
        <w:rPr>
          <w:rFonts w:eastAsia="Times New Roman" w:cs="Times New Roman"/>
        </w:rPr>
        <w:t>Der Bursch das Mädchen küßt“ erzeugt werden.</w:t>
      </w:r>
      <w:r w:rsidR="009F26AA">
        <w:rPr>
          <w:rStyle w:val="Funotenzeichen"/>
          <w:rFonts w:eastAsia="Times New Roman" w:cs="Times New Roman"/>
        </w:rPr>
        <w:footnoteReference w:id="215"/>
      </w:r>
      <w:r w:rsidR="00B57276">
        <w:rPr>
          <w:rFonts w:eastAsia="Times New Roman" w:cs="Times New Roman"/>
        </w:rPr>
        <w:t xml:space="preserve"> Warum diese dann die „assoziative Bedeutung</w:t>
      </w:r>
      <w:r w:rsidR="005D7996">
        <w:rPr>
          <w:rFonts w:eastAsia="Times New Roman" w:cs="Times New Roman"/>
        </w:rPr>
        <w:fldChar w:fldCharType="begin"/>
      </w:r>
      <w:r w:rsidR="00ED08E6">
        <w:instrText xml:space="preserve"> XE "</w:instrText>
      </w:r>
      <w:r w:rsidR="00ED08E6" w:rsidRPr="00085C14">
        <w:instrText>Bedeutung</w:instrText>
      </w:r>
      <w:r w:rsidR="00ED08E6">
        <w:instrText xml:space="preserve">" </w:instrText>
      </w:r>
      <w:r w:rsidR="005D7996">
        <w:rPr>
          <w:rFonts w:eastAsia="Times New Roman" w:cs="Times New Roman"/>
        </w:rPr>
        <w:fldChar w:fldCharType="end"/>
      </w:r>
      <w:r w:rsidR="00B57276">
        <w:rPr>
          <w:rFonts w:eastAsia="Times New Roman" w:cs="Times New Roman"/>
        </w:rPr>
        <w:t xml:space="preserve"> […] poetisch oder Ausländerdeutsch“ wecken – so </w:t>
      </w:r>
      <w:r w:rsidR="009F26AA">
        <w:rPr>
          <w:rFonts w:eastAsia="Times New Roman" w:cs="Times New Roman"/>
        </w:rPr>
        <w:t>j</w:t>
      </w:r>
      <w:r w:rsidR="009F26AA">
        <w:rPr>
          <w:rFonts w:eastAsia="Times New Roman" w:cs="Times New Roman"/>
        </w:rPr>
        <w:t>e</w:t>
      </w:r>
      <w:r w:rsidR="009F26AA">
        <w:rPr>
          <w:rFonts w:eastAsia="Times New Roman" w:cs="Times New Roman"/>
        </w:rPr>
        <w:t>denfalls</w:t>
      </w:r>
      <w:r w:rsidR="00B57276">
        <w:rPr>
          <w:rFonts w:eastAsia="Times New Roman" w:cs="Times New Roman"/>
        </w:rPr>
        <w:t xml:space="preserve"> Abrahams intuitiv gewonnene </w:t>
      </w:r>
      <w:r w:rsidR="00106AD1">
        <w:rPr>
          <w:rFonts w:eastAsia="Times New Roman" w:cs="Times New Roman"/>
        </w:rPr>
        <w:t>E</w:t>
      </w:r>
      <w:r w:rsidR="00B57276">
        <w:rPr>
          <w:rFonts w:eastAsia="Times New Roman" w:cs="Times New Roman"/>
        </w:rPr>
        <w:t xml:space="preserve">inschätzung –, bleibt unklar. </w:t>
      </w:r>
      <w:r w:rsidR="008A652C">
        <w:rPr>
          <w:rFonts w:eastAsia="Times New Roman" w:cs="Times New Roman"/>
        </w:rPr>
        <w:t>A</w:t>
      </w:r>
      <w:r w:rsidR="00B57276">
        <w:rPr>
          <w:rFonts w:eastAsia="Times New Roman" w:cs="Times New Roman"/>
        </w:rPr>
        <w:t>bwe</w:t>
      </w:r>
      <w:r w:rsidR="00B57276">
        <w:rPr>
          <w:rFonts w:eastAsia="Times New Roman" w:cs="Times New Roman"/>
        </w:rPr>
        <w:t>i</w:t>
      </w:r>
      <w:r w:rsidR="00B57276">
        <w:rPr>
          <w:rFonts w:eastAsia="Times New Roman" w:cs="Times New Roman"/>
        </w:rPr>
        <w:t xml:space="preserve">chungsstilistische Ansätze </w:t>
      </w:r>
      <w:r w:rsidR="008A652C">
        <w:rPr>
          <w:rFonts w:eastAsia="Times New Roman" w:cs="Times New Roman"/>
        </w:rPr>
        <w:t xml:space="preserve">tun sich allgemein </w:t>
      </w:r>
      <w:r w:rsidR="00B57276">
        <w:rPr>
          <w:rFonts w:eastAsia="Times New Roman" w:cs="Times New Roman"/>
        </w:rPr>
        <w:t xml:space="preserve">schwer damit, stilistische </w:t>
      </w:r>
      <w:r w:rsidR="00FA6D49">
        <w:rPr>
          <w:rFonts w:eastAsia="Times New Roman" w:cs="Times New Roman"/>
        </w:rPr>
        <w:t>Bede</w:t>
      </w:r>
      <w:r w:rsidR="00FA6D49">
        <w:rPr>
          <w:rFonts w:eastAsia="Times New Roman" w:cs="Times New Roman"/>
        </w:rPr>
        <w:t>u</w:t>
      </w:r>
      <w:r w:rsidR="00FA6D49">
        <w:rPr>
          <w:rFonts w:eastAsia="Times New Roman" w:cs="Times New Roman"/>
        </w:rPr>
        <w:t xml:space="preserve">tungen </w:t>
      </w:r>
      <w:r w:rsidR="00B57276">
        <w:rPr>
          <w:rFonts w:eastAsia="Times New Roman" w:cs="Times New Roman"/>
        </w:rPr>
        <w:t xml:space="preserve">zu erklären, da im Grunde </w:t>
      </w:r>
      <w:r w:rsidR="008A652C">
        <w:rPr>
          <w:rFonts w:eastAsia="Times New Roman" w:cs="Times New Roman"/>
        </w:rPr>
        <w:t xml:space="preserve">meist </w:t>
      </w:r>
      <w:r w:rsidR="00B57276">
        <w:rPr>
          <w:rFonts w:eastAsia="Times New Roman" w:cs="Times New Roman"/>
        </w:rPr>
        <w:t xml:space="preserve">die </w:t>
      </w:r>
      <w:r w:rsidR="00FA6D49">
        <w:rPr>
          <w:rFonts w:eastAsia="Times New Roman" w:cs="Times New Roman"/>
        </w:rPr>
        <w:t xml:space="preserve">Bedeutung </w:t>
      </w:r>
      <w:r w:rsidR="00B57276">
        <w:rPr>
          <w:rFonts w:eastAsia="Times New Roman" w:cs="Times New Roman"/>
        </w:rPr>
        <w:t>‚inkorrekt‘ oder ‚ung</w:t>
      </w:r>
      <w:r w:rsidR="00B57276">
        <w:rPr>
          <w:rFonts w:eastAsia="Times New Roman" w:cs="Times New Roman"/>
        </w:rPr>
        <w:t>e</w:t>
      </w:r>
      <w:r w:rsidR="00B57276">
        <w:rPr>
          <w:rFonts w:eastAsia="Times New Roman" w:cs="Times New Roman"/>
        </w:rPr>
        <w:t xml:space="preserve">wöhnlich‘ </w:t>
      </w:r>
      <w:r w:rsidR="008A652C">
        <w:rPr>
          <w:rFonts w:eastAsia="Times New Roman" w:cs="Times New Roman"/>
        </w:rPr>
        <w:t>entstehen müsste</w:t>
      </w:r>
      <w:r w:rsidR="00B57276">
        <w:rPr>
          <w:rFonts w:eastAsia="Times New Roman" w:cs="Times New Roman"/>
        </w:rPr>
        <w:t>.</w:t>
      </w:r>
      <w:r w:rsidR="00D632F1">
        <w:rPr>
          <w:rStyle w:val="Funotenzeichen"/>
          <w:rFonts w:eastAsia="Times New Roman" w:cs="Times New Roman"/>
        </w:rPr>
        <w:footnoteReference w:id="216"/>
      </w:r>
      <w:r w:rsidR="00B57276">
        <w:rPr>
          <w:rFonts w:eastAsia="Times New Roman" w:cs="Times New Roman"/>
        </w:rPr>
        <w:t xml:space="preserve"> Es gelingt gerade noch, mit Hilfe des Konzepts der „dichterischen Freiheit“</w:t>
      </w:r>
      <w:r w:rsidR="00B57276">
        <w:rPr>
          <w:rStyle w:val="Funotenzeichen"/>
          <w:rFonts w:eastAsia="Times New Roman" w:cs="Times New Roman"/>
        </w:rPr>
        <w:footnoteReference w:id="217"/>
      </w:r>
      <w:r w:rsidR="00B57276">
        <w:rPr>
          <w:rFonts w:eastAsia="Times New Roman" w:cs="Times New Roman"/>
        </w:rPr>
        <w:t xml:space="preserve"> von ‚inkorrekt‘ zu ‚poetisch‘ zu gelangen.</w:t>
      </w:r>
    </w:p>
    <w:p w:rsidR="00B3415F" w:rsidRDefault="00AC511B" w:rsidP="005A5093">
      <w:pPr>
        <w:rPr>
          <w:rFonts w:eastAsia="Times New Roman" w:cs="Times New Roman"/>
        </w:rPr>
      </w:pPr>
      <w:r>
        <w:rPr>
          <w:rFonts w:eastAsia="Times New Roman" w:cs="Times New Roman"/>
        </w:rPr>
        <w:lastRenderedPageBreak/>
        <w:t>Einen Ansatz zwischen Auswahltheorie und Abweichungsstilistik</w:t>
      </w:r>
      <w:r w:rsidR="005D7996">
        <w:rPr>
          <w:rFonts w:eastAsia="Times New Roman" w:cs="Times New Roman"/>
        </w:rPr>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rPr>
          <w:rFonts w:eastAsia="Times New Roman" w:cs="Times New Roman"/>
        </w:rPr>
        <w:fldChar w:fldCharType="end"/>
      </w:r>
      <w:r>
        <w:rPr>
          <w:rFonts w:eastAsia="Times New Roman" w:cs="Times New Roman"/>
        </w:rPr>
        <w:t xml:space="preserve"> vertritt </w:t>
      </w:r>
      <w:r w:rsidR="00D86F51">
        <w:rPr>
          <w:rFonts w:eastAsia="Times New Roman" w:cs="Times New Roman"/>
        </w:rPr>
        <w:t xml:space="preserve">Nils </w:t>
      </w:r>
      <w:r>
        <w:rPr>
          <w:rFonts w:eastAsia="Times New Roman" w:cs="Times New Roman"/>
        </w:rPr>
        <w:t>Enkvist in seiner Stiltheorie.</w:t>
      </w:r>
      <w:r>
        <w:rPr>
          <w:rStyle w:val="Funotenzeichen"/>
          <w:rFonts w:eastAsia="Times New Roman" w:cs="Times New Roman"/>
        </w:rPr>
        <w:footnoteReference w:id="218"/>
      </w:r>
      <w:r>
        <w:rPr>
          <w:rFonts w:eastAsia="Times New Roman" w:cs="Times New Roman"/>
        </w:rPr>
        <w:t xml:space="preserve"> Er </w:t>
      </w:r>
      <w:r w:rsidR="00B3415F">
        <w:rPr>
          <w:rFonts w:eastAsia="Times New Roman" w:cs="Times New Roman"/>
        </w:rPr>
        <w:t xml:space="preserve">unterscheidet </w:t>
      </w:r>
      <w:r>
        <w:rPr>
          <w:rFonts w:eastAsia="Times New Roman" w:cs="Times New Roman"/>
        </w:rPr>
        <w:t xml:space="preserve">zunächst </w:t>
      </w:r>
      <w:r w:rsidR="00B3415F">
        <w:rPr>
          <w:rFonts w:eastAsia="Times New Roman" w:cs="Times New Roman"/>
        </w:rPr>
        <w:t>zwischen stilist</w:t>
      </w:r>
      <w:r w:rsidR="00B3415F">
        <w:rPr>
          <w:rFonts w:eastAsia="Times New Roman" w:cs="Times New Roman"/>
        </w:rPr>
        <w:t>i</w:t>
      </w:r>
      <w:r w:rsidR="00B3415F">
        <w:rPr>
          <w:rFonts w:eastAsia="Times New Roman" w:cs="Times New Roman"/>
        </w:rPr>
        <w:t>scher Wahl, grammatikalisch bedingter Wahl und pragmatisch bedingter Wahl.</w:t>
      </w:r>
      <w:r w:rsidR="00B3415F">
        <w:rPr>
          <w:rStyle w:val="Funotenzeichen"/>
          <w:rFonts w:eastAsia="Times New Roman" w:cs="Times New Roman"/>
        </w:rPr>
        <w:footnoteReference w:id="219"/>
      </w:r>
      <w:r w:rsidR="00B3415F">
        <w:rPr>
          <w:rFonts w:eastAsia="Times New Roman" w:cs="Times New Roman"/>
        </w:rPr>
        <w:t xml:space="preserve"> Allerdings konstruiert er in seiner Stiltheorie nicht ein vollständig auf Wahl b</w:t>
      </w:r>
      <w:r w:rsidR="00B3415F">
        <w:rPr>
          <w:rFonts w:eastAsia="Times New Roman" w:cs="Times New Roman"/>
        </w:rPr>
        <w:t>a</w:t>
      </w:r>
      <w:r w:rsidR="00B3415F">
        <w:rPr>
          <w:rFonts w:eastAsia="Times New Roman" w:cs="Times New Roman"/>
        </w:rPr>
        <w:t xml:space="preserve">sierendes Modell, sondern bringt das Konzept der Abweichung von einer Norm hinein, was die Erklärung stilistischer Merkmale als auffällige Abweichungen vom Üblichen ermöglicht. </w:t>
      </w:r>
      <w:r w:rsidR="00193680">
        <w:rPr>
          <w:rFonts w:eastAsia="Times New Roman" w:cs="Times New Roman"/>
        </w:rPr>
        <w:t>D</w:t>
      </w:r>
      <w:r w:rsidR="00B3415F">
        <w:rPr>
          <w:rFonts w:eastAsia="Times New Roman" w:cs="Times New Roman"/>
        </w:rPr>
        <w:t xml:space="preserve">afür </w:t>
      </w:r>
      <w:r w:rsidR="00193680">
        <w:rPr>
          <w:rFonts w:eastAsia="Times New Roman" w:cs="Times New Roman"/>
        </w:rPr>
        <w:t xml:space="preserve">zahlt er </w:t>
      </w:r>
      <w:r w:rsidR="00B3415F">
        <w:rPr>
          <w:rFonts w:eastAsia="Times New Roman" w:cs="Times New Roman"/>
        </w:rPr>
        <w:t>den Preis, normentsprechende stilist</w:t>
      </w:r>
      <w:r w:rsidR="00B3415F">
        <w:rPr>
          <w:rFonts w:eastAsia="Times New Roman" w:cs="Times New Roman"/>
        </w:rPr>
        <w:t>i</w:t>
      </w:r>
      <w:r w:rsidR="00B3415F">
        <w:rPr>
          <w:rFonts w:eastAsia="Times New Roman" w:cs="Times New Roman"/>
        </w:rPr>
        <w:t>sche Merkmale und ganze Stile unbeschreibbar zu machen, wie Sandig krit</w:t>
      </w:r>
      <w:r w:rsidR="00B3415F">
        <w:rPr>
          <w:rFonts w:eastAsia="Times New Roman" w:cs="Times New Roman"/>
        </w:rPr>
        <w:t>i</w:t>
      </w:r>
      <w:r w:rsidR="00B3415F">
        <w:rPr>
          <w:rFonts w:eastAsia="Times New Roman" w:cs="Times New Roman"/>
        </w:rPr>
        <w:t>siert.</w:t>
      </w:r>
      <w:r w:rsidR="00B3415F">
        <w:rPr>
          <w:rStyle w:val="Funotenzeichen"/>
          <w:rFonts w:eastAsia="Times New Roman" w:cs="Times New Roman"/>
        </w:rPr>
        <w:footnoteReference w:id="220"/>
      </w:r>
      <w:r w:rsidR="00B3415F">
        <w:rPr>
          <w:rFonts w:eastAsia="Times New Roman" w:cs="Times New Roman"/>
        </w:rPr>
        <w:t xml:space="preserve"> Dass dies untragbar ist, ergibt sich daraus, dass ein stilistisches Merkmal oder ein ganzer Stil automatisch verschwinden würden, wenn Merkmal oder Stil sich soweit verbreiten, dass sie zur neuen Norm werden; ein Stil ist nach seiner allgemeinen Verbreitung jedoch immer noch auch Stil, auch wenn er </w:t>
      </w:r>
      <w:r w:rsidR="00B3415F" w:rsidRPr="000F6C44">
        <w:rPr>
          <w:rFonts w:eastAsia="Times New Roman" w:cs="Times New Roman"/>
        </w:rPr>
        <w:t>ceteris paribus</w:t>
      </w:r>
      <w:r w:rsidR="00B3415F">
        <w:rPr>
          <w:rFonts w:eastAsia="Times New Roman" w:cs="Times New Roman"/>
        </w:rPr>
        <w:t xml:space="preserve"> sicherlich weniger auffallen wird als wenn nur wenige ihn benutzen. Sa</w:t>
      </w:r>
      <w:r w:rsidR="00B3415F">
        <w:rPr>
          <w:rFonts w:eastAsia="Times New Roman" w:cs="Times New Roman"/>
        </w:rPr>
        <w:t>n</w:t>
      </w:r>
      <w:r w:rsidR="00B3415F">
        <w:rPr>
          <w:rFonts w:eastAsia="Times New Roman" w:cs="Times New Roman"/>
        </w:rPr>
        <w:t xml:space="preserve">dig weist zudem an Enkvists Ansatz die Vermischung von Auswahltheorie (mit Betonung </w:t>
      </w:r>
      <w:r w:rsidR="002F271E">
        <w:rPr>
          <w:rFonts w:eastAsia="Times New Roman" w:cs="Times New Roman"/>
        </w:rPr>
        <w:t xml:space="preserve">quantitativer </w:t>
      </w:r>
      <w:r w:rsidR="00B3415F">
        <w:rPr>
          <w:rFonts w:eastAsia="Times New Roman" w:cs="Times New Roman"/>
        </w:rPr>
        <w:t>Methoden) und Abweichungstheorie, als deren weitere Zutaten sie Pragmatismus und Behaviorismus identifizieren zu können glaubt, als theoretischen Eklektizismus zurück.</w:t>
      </w:r>
      <w:r w:rsidR="00B3415F">
        <w:rPr>
          <w:rStyle w:val="Funotenzeichen"/>
          <w:rFonts w:eastAsia="Times New Roman" w:cs="Times New Roman"/>
        </w:rPr>
        <w:footnoteReference w:id="221"/>
      </w:r>
      <w:r w:rsidR="00B3415F">
        <w:rPr>
          <w:rFonts w:eastAsia="Times New Roman" w:cs="Times New Roman"/>
        </w:rPr>
        <w:t xml:space="preserve"> Dagegen ist allerdings einzuwenden, dass eine Abweichungsstilistik </w:t>
      </w:r>
      <w:r w:rsidR="00DB4B9E">
        <w:rPr>
          <w:rFonts w:eastAsia="Times New Roman" w:cs="Times New Roman"/>
        </w:rPr>
        <w:t xml:space="preserve">implizit stets </w:t>
      </w:r>
      <w:r w:rsidR="00B3415F">
        <w:rPr>
          <w:rFonts w:eastAsia="Times New Roman" w:cs="Times New Roman"/>
        </w:rPr>
        <w:t xml:space="preserve">auf einem Auswahlmodell basiert; dass dieses mit </w:t>
      </w:r>
      <w:r w:rsidR="00DB4B9E">
        <w:rPr>
          <w:rFonts w:eastAsia="Times New Roman" w:cs="Times New Roman"/>
        </w:rPr>
        <w:t xml:space="preserve">quantitativen </w:t>
      </w:r>
      <w:r w:rsidR="00B3415F">
        <w:rPr>
          <w:rFonts w:eastAsia="Times New Roman" w:cs="Times New Roman"/>
        </w:rPr>
        <w:t>Methoden expliziert wird, ist als eine Stärke von Enkvists Stiltheorie anzusehen.</w:t>
      </w:r>
    </w:p>
    <w:p w:rsidR="00B3415F" w:rsidRDefault="00B3415F" w:rsidP="005A5093">
      <w:pPr>
        <w:rPr>
          <w:rFonts w:eastAsia="Times New Roman" w:cs="Times New Roman"/>
        </w:rPr>
      </w:pPr>
      <w:r>
        <w:rPr>
          <w:rFonts w:eastAsia="Times New Roman" w:cs="Times New Roman"/>
        </w:rPr>
        <w:t>Ulrich Püschel verbindet die Abweichungsstilistik</w:t>
      </w:r>
      <w:r w:rsidR="005D7996">
        <w:rPr>
          <w:rFonts w:eastAsia="Times New Roman" w:cs="Times New Roman"/>
        </w:rPr>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rPr>
          <w:rFonts w:eastAsia="Times New Roman" w:cs="Times New Roman"/>
        </w:rPr>
        <w:fldChar w:fldCharType="end"/>
      </w:r>
      <w:r>
        <w:rPr>
          <w:rFonts w:eastAsia="Times New Roman" w:cs="Times New Roman"/>
        </w:rPr>
        <w:t xml:space="preserve"> mit de</w:t>
      </w:r>
      <w:r w:rsidR="000B7E8C">
        <w:rPr>
          <w:rFonts w:eastAsia="Times New Roman" w:cs="Times New Roman"/>
        </w:rPr>
        <w:t>r</w:t>
      </w:r>
      <w:r>
        <w:rPr>
          <w:rFonts w:eastAsia="Times New Roman" w:cs="Times New Roman"/>
        </w:rPr>
        <w:t xml:space="preserve"> sprachpragmat</w:t>
      </w:r>
      <w:r>
        <w:rPr>
          <w:rFonts w:eastAsia="Times New Roman" w:cs="Times New Roman"/>
        </w:rPr>
        <w:t>i</w:t>
      </w:r>
      <w:r>
        <w:rPr>
          <w:rFonts w:eastAsia="Times New Roman" w:cs="Times New Roman"/>
        </w:rPr>
        <w:t xml:space="preserve">schen </w:t>
      </w:r>
      <w:r w:rsidR="000B7E8C">
        <w:rPr>
          <w:rFonts w:eastAsia="Times New Roman" w:cs="Times New Roman"/>
        </w:rPr>
        <w:t>Stilistik</w:t>
      </w:r>
      <w:r w:rsidR="005D7996">
        <w:rPr>
          <w:rFonts w:eastAsia="Times New Roman" w:cs="Times New Roman"/>
        </w:rPr>
        <w:fldChar w:fldCharType="begin"/>
      </w:r>
      <w:r w:rsidR="000B7E8C">
        <w:instrText xml:space="preserve"> XE "</w:instrText>
      </w:r>
      <w:r w:rsidR="000B7E8C" w:rsidRPr="00C14991">
        <w:rPr>
          <w:rFonts w:eastAsia="Times New Roman" w:cs="Times New Roman"/>
        </w:rPr>
        <w:instrText>sprachpragmatische Stilistik</w:instrText>
      </w:r>
      <w:r w:rsidR="000B7E8C">
        <w:instrText xml:space="preserve">" </w:instrText>
      </w:r>
      <w:r w:rsidR="005D7996">
        <w:rPr>
          <w:rFonts w:eastAsia="Times New Roman" w:cs="Times New Roman"/>
        </w:rPr>
        <w:fldChar w:fldCharType="end"/>
      </w:r>
      <w:r w:rsidR="000B7E8C">
        <w:rPr>
          <w:rFonts w:eastAsia="Times New Roman" w:cs="Times New Roman"/>
        </w:rPr>
        <w:t xml:space="preserve"> </w:t>
      </w:r>
      <w:r>
        <w:rPr>
          <w:rFonts w:eastAsia="Times New Roman" w:cs="Times New Roman"/>
        </w:rPr>
        <w:t>Barbara Sandig</w:t>
      </w:r>
      <w:r w:rsidR="000B7E8C">
        <w:rPr>
          <w:rFonts w:eastAsia="Times New Roman" w:cs="Times New Roman"/>
        </w:rPr>
        <w:t>s</w:t>
      </w:r>
      <w:r>
        <w:rPr>
          <w:rFonts w:eastAsia="Times New Roman" w:cs="Times New Roman"/>
        </w:rPr>
        <w:t xml:space="preserve"> (vgl. Abschnitt</w:t>
      </w:r>
      <w:r>
        <w:t xml:space="preserve"> </w:t>
      </w:r>
      <w:r w:rsidR="005D7996">
        <w:fldChar w:fldCharType="begin"/>
      </w:r>
      <w:r>
        <w:instrText xml:space="preserve"> REF _Ref266098068 \r \h </w:instrText>
      </w:r>
      <w:r w:rsidR="005D7996">
        <w:fldChar w:fldCharType="separate"/>
      </w:r>
      <w:r w:rsidR="001231D3">
        <w:t>3.5</w:t>
      </w:r>
      <w:r w:rsidR="005D7996">
        <w:fldChar w:fldCharType="end"/>
      </w:r>
      <w:r>
        <w:t>)</w:t>
      </w:r>
      <w:r>
        <w:rPr>
          <w:rFonts w:eastAsia="Times New Roman" w:cs="Times New Roman"/>
        </w:rPr>
        <w:t>, indem er „Abweichen“ als ein stilerzeugendes Handlungsmuster bei der Textproduktion auffasst.</w:t>
      </w:r>
      <w:r>
        <w:rPr>
          <w:rStyle w:val="Funotenzeichen"/>
          <w:rFonts w:eastAsia="Times New Roman" w:cs="Times New Roman"/>
        </w:rPr>
        <w:footnoteReference w:id="222"/>
      </w:r>
      <w:r>
        <w:rPr>
          <w:rFonts w:eastAsia="Times New Roman" w:cs="Times New Roman"/>
        </w:rPr>
        <w:t xml:space="preserve"> D</w:t>
      </w:r>
      <w:r>
        <w:rPr>
          <w:rFonts w:eastAsia="Times New Roman" w:cs="Times New Roman"/>
        </w:rPr>
        <w:t>a</w:t>
      </w:r>
      <w:r>
        <w:rPr>
          <w:rFonts w:eastAsia="Times New Roman" w:cs="Times New Roman"/>
        </w:rPr>
        <w:t>durch vermeidet er nicht nur die Unbeschreibbarkeit normentsprechender Stile, da es auch andere „Stilmuster“ gibt, sondern auch die Annahme allgegenwärtiger Normen, indem er sich auf Abweichung von den Regeln des Sprachsystems</w:t>
      </w:r>
      <w:r w:rsidR="005D7996">
        <w:rPr>
          <w:rFonts w:eastAsia="Times New Roman" w:cs="Times New Roman"/>
        </w:rPr>
        <w:fldChar w:fldCharType="begin"/>
      </w:r>
      <w:r w:rsidR="000623C8">
        <w:instrText xml:space="preserve"> XE "</w:instrText>
      </w:r>
      <w:r w:rsidR="000623C8" w:rsidRPr="000E2D76">
        <w:rPr>
          <w:rFonts w:eastAsia="Times New Roman" w:cs="Times New Roman"/>
        </w:rPr>
        <w:instrText>Sprachsystem</w:instrText>
      </w:r>
      <w:r w:rsidR="000623C8">
        <w:instrText xml:space="preserve">" </w:instrText>
      </w:r>
      <w:r w:rsidR="005D7996">
        <w:rPr>
          <w:rFonts w:eastAsia="Times New Roman" w:cs="Times New Roman"/>
        </w:rPr>
        <w:fldChar w:fldCharType="end"/>
      </w:r>
      <w:r>
        <w:rPr>
          <w:rFonts w:eastAsia="Times New Roman" w:cs="Times New Roman"/>
        </w:rPr>
        <w:t xml:space="preserve"> und bestimmten Gattungskonventionen</w:t>
      </w:r>
      <w:r w:rsidR="005D7996">
        <w:rPr>
          <w:rFonts w:eastAsia="Times New Roman" w:cs="Times New Roman"/>
        </w:rPr>
        <w:fldChar w:fldCharType="begin"/>
      </w:r>
      <w:r w:rsidR="000623C8">
        <w:instrText xml:space="preserve"> XE "</w:instrText>
      </w:r>
      <w:r w:rsidR="000623C8" w:rsidRPr="0010253E">
        <w:rPr>
          <w:rFonts w:eastAsia="Times New Roman" w:cs="Times New Roman"/>
        </w:rPr>
        <w:instrText>Gattungskonventionen</w:instrText>
      </w:r>
      <w:r w:rsidR="000623C8">
        <w:instrText xml:space="preserve">" </w:instrText>
      </w:r>
      <w:r w:rsidR="005D7996">
        <w:rPr>
          <w:rFonts w:eastAsia="Times New Roman" w:cs="Times New Roman"/>
        </w:rPr>
        <w:fldChar w:fldCharType="end"/>
      </w:r>
      <w:r>
        <w:rPr>
          <w:rFonts w:eastAsia="Times New Roman" w:cs="Times New Roman"/>
        </w:rPr>
        <w:t xml:space="preserve"> konzentriert. Er kann dabei anhand eines Beispiels von Thomas Bernhard</w:t>
      </w:r>
      <w:r w:rsidR="005D7996">
        <w:rPr>
          <w:rFonts w:eastAsia="Times New Roman" w:cs="Times New Roman"/>
        </w:rPr>
        <w:fldChar w:fldCharType="begin"/>
      </w:r>
      <w:r w:rsidR="00886DDB">
        <w:instrText xml:space="preserve"> XE "</w:instrText>
      </w:r>
      <w:r w:rsidR="00886DDB" w:rsidRPr="00FB4215">
        <w:rPr>
          <w:rFonts w:eastAsia="Times New Roman" w:cs="Times New Roman"/>
        </w:rPr>
        <w:instrText>Bernhard, Thomas</w:instrText>
      </w:r>
      <w:r w:rsidR="00886DDB">
        <w:instrText xml:space="preserve">" </w:instrText>
      </w:r>
      <w:r w:rsidR="005D7996">
        <w:rPr>
          <w:rFonts w:eastAsia="Times New Roman" w:cs="Times New Roman"/>
        </w:rPr>
        <w:fldChar w:fldCharType="end"/>
      </w:r>
      <w:r>
        <w:rPr>
          <w:rFonts w:eastAsia="Times New Roman" w:cs="Times New Roman"/>
        </w:rPr>
        <w:t xml:space="preserve"> plausibel machen, dass solche Abweichungen – im Fall Bernhards von den inhaltlichen und sprachlichen Konventionen der im</w:t>
      </w:r>
      <w:r>
        <w:rPr>
          <w:rFonts w:eastAsia="Times New Roman" w:cs="Times New Roman"/>
        </w:rPr>
        <w:t>i</w:t>
      </w:r>
      <w:r>
        <w:rPr>
          <w:rFonts w:eastAsia="Times New Roman" w:cs="Times New Roman"/>
        </w:rPr>
        <w:t>tierten Textgattung „Zeitungsmeldung“ – tatsächlich stilistisch relevant sind.</w:t>
      </w:r>
    </w:p>
    <w:p w:rsidR="00B3415F" w:rsidRDefault="00D86F51" w:rsidP="005A5093">
      <w:pPr>
        <w:rPr>
          <w:rFonts w:eastAsia="Times New Roman" w:cs="Times New Roman"/>
        </w:rPr>
      </w:pPr>
      <w:r>
        <w:rPr>
          <w:rFonts w:eastAsia="Times New Roman" w:cs="Times New Roman"/>
        </w:rPr>
        <w:t xml:space="preserve">Werner </w:t>
      </w:r>
      <w:r w:rsidR="00B3415F">
        <w:rPr>
          <w:rFonts w:eastAsia="Times New Roman" w:cs="Times New Roman"/>
        </w:rPr>
        <w:t>Winter</w:t>
      </w:r>
      <w:r w:rsidR="00B3415F">
        <w:rPr>
          <w:rStyle w:val="Funotenzeichen"/>
          <w:rFonts w:eastAsia="Times New Roman" w:cs="Times New Roman"/>
        </w:rPr>
        <w:footnoteReference w:id="223"/>
      </w:r>
      <w:r w:rsidR="00B3415F">
        <w:rPr>
          <w:rFonts w:eastAsia="Times New Roman" w:cs="Times New Roman"/>
        </w:rPr>
        <w:t xml:space="preserve"> liefert ein Beispiel für die damals als vielversprechend g</w:t>
      </w:r>
      <w:r w:rsidR="00B3415F">
        <w:rPr>
          <w:rFonts w:eastAsia="Times New Roman" w:cs="Times New Roman"/>
        </w:rPr>
        <w:t>e</w:t>
      </w:r>
      <w:r w:rsidR="00B3415F">
        <w:rPr>
          <w:rFonts w:eastAsia="Times New Roman" w:cs="Times New Roman"/>
        </w:rPr>
        <w:t xml:space="preserve">handelte </w:t>
      </w:r>
      <w:r w:rsidR="00976241">
        <w:rPr>
          <w:rFonts w:eastAsia="Times New Roman" w:cs="Times New Roman"/>
        </w:rPr>
        <w:t xml:space="preserve">quantitative </w:t>
      </w:r>
      <w:r w:rsidR="00B3415F">
        <w:rPr>
          <w:rFonts w:eastAsia="Times New Roman" w:cs="Times New Roman"/>
        </w:rPr>
        <w:t>Stilistik</w:t>
      </w:r>
      <w:r w:rsidR="00B41650">
        <w:rPr>
          <w:rFonts w:eastAsia="Times New Roman" w:cs="Times New Roman"/>
        </w:rPr>
        <w:t xml:space="preserve"> (= statistische Stilistik</w:t>
      </w:r>
      <w:r w:rsidR="005D7996" w:rsidRPr="00B643B6">
        <w:rPr>
          <w:rFonts w:eastAsia="Times New Roman" w:cs="Times New Roman"/>
        </w:rPr>
        <w:fldChar w:fldCharType="begin"/>
      </w:r>
      <w:r w:rsidR="00B643B6" w:rsidRPr="00B643B6">
        <w:instrText xml:space="preserve"> XE "statistische Stilistik" \t "</w:instrText>
      </w:r>
      <w:r w:rsidR="00801C96">
        <w:rPr>
          <w:rFonts w:cstheme="minorHAnsi"/>
          <w:i/>
        </w:rPr>
        <w:instrText>s</w:instrText>
      </w:r>
      <w:r w:rsidR="00B643B6" w:rsidRPr="00B643B6">
        <w:rPr>
          <w:rFonts w:cstheme="minorHAnsi"/>
          <w:i/>
        </w:rPr>
        <w:instrText>iehe</w:instrText>
      </w:r>
      <w:r w:rsidR="00B643B6" w:rsidRPr="00B643B6">
        <w:rPr>
          <w:rFonts w:cstheme="minorHAnsi"/>
        </w:rPr>
        <w:instrText xml:space="preserve"> quantitative Stilistik</w:instrText>
      </w:r>
      <w:r w:rsidR="00B643B6" w:rsidRPr="00B643B6">
        <w:instrText xml:space="preserve">" </w:instrText>
      </w:r>
      <w:r w:rsidR="005D7996" w:rsidRPr="00B643B6">
        <w:rPr>
          <w:rFonts w:eastAsia="Times New Roman" w:cs="Times New Roman"/>
        </w:rPr>
        <w:fldChar w:fldCharType="end"/>
      </w:r>
      <w:r w:rsidR="00B41650">
        <w:rPr>
          <w:rFonts w:eastAsia="Times New Roman" w:cs="Times New Roman"/>
        </w:rPr>
        <w:t>)</w:t>
      </w:r>
      <w:r w:rsidR="005D7996">
        <w:rPr>
          <w:rFonts w:eastAsia="Times New Roman" w:cs="Times New Roman"/>
        </w:rPr>
        <w:fldChar w:fldCharType="begin"/>
      </w:r>
      <w:r w:rsidR="00262183">
        <w:instrText xml:space="preserve"> XE "</w:instrText>
      </w:r>
      <w:r w:rsidR="0014079B">
        <w:instrText xml:space="preserve">quantitative </w:instrText>
      </w:r>
      <w:r w:rsidR="00262183" w:rsidRPr="00FB15A5">
        <w:rPr>
          <w:rFonts w:eastAsia="Times New Roman" w:cs="Times New Roman"/>
        </w:rPr>
        <w:instrText>Stilistik</w:instrText>
      </w:r>
      <w:r w:rsidR="00262183">
        <w:instrText xml:space="preserve">" </w:instrText>
      </w:r>
      <w:r w:rsidR="005D7996">
        <w:rPr>
          <w:rFonts w:eastAsia="Times New Roman" w:cs="Times New Roman"/>
        </w:rPr>
        <w:fldChar w:fldCharType="end"/>
      </w:r>
      <w:r w:rsidR="00B3415F">
        <w:rPr>
          <w:rFonts w:eastAsia="Times New Roman" w:cs="Times New Roman"/>
        </w:rPr>
        <w:t>,</w:t>
      </w:r>
      <w:r w:rsidR="00B233D3">
        <w:rPr>
          <w:rStyle w:val="Funotenzeichen"/>
          <w:rFonts w:eastAsia="Times New Roman" w:cs="Times New Roman"/>
        </w:rPr>
        <w:footnoteReference w:id="224"/>
      </w:r>
      <w:r w:rsidR="00B3415F">
        <w:rPr>
          <w:rFonts w:eastAsia="Times New Roman" w:cs="Times New Roman"/>
        </w:rPr>
        <w:t xml:space="preserve"> wenn er Wort- und Satzlängen und grammatikalische Konstruktionen in Genres (wie Wisse</w:t>
      </w:r>
      <w:r w:rsidR="00B3415F">
        <w:rPr>
          <w:rFonts w:eastAsia="Times New Roman" w:cs="Times New Roman"/>
        </w:rPr>
        <w:t>n</w:t>
      </w:r>
      <w:r w:rsidR="00B3415F">
        <w:rPr>
          <w:rFonts w:eastAsia="Times New Roman" w:cs="Times New Roman"/>
        </w:rPr>
        <w:lastRenderedPageBreak/>
        <w:t>schaftsprosa, fiktionale Prosa und Bühnendialoge) vergleicht. Solche Unters</w:t>
      </w:r>
      <w:r w:rsidR="00B3415F">
        <w:rPr>
          <w:rFonts w:eastAsia="Times New Roman" w:cs="Times New Roman"/>
        </w:rPr>
        <w:t>u</w:t>
      </w:r>
      <w:r w:rsidR="00B3415F">
        <w:rPr>
          <w:rFonts w:eastAsia="Times New Roman" w:cs="Times New Roman"/>
        </w:rPr>
        <w:t>chungen mögen damals als Fortschritt gegenüber der noch dominierenden he</w:t>
      </w:r>
      <w:r w:rsidR="00B3415F">
        <w:rPr>
          <w:rFonts w:eastAsia="Times New Roman" w:cs="Times New Roman"/>
        </w:rPr>
        <w:t>r</w:t>
      </w:r>
      <w:r w:rsidR="00B3415F">
        <w:rPr>
          <w:rFonts w:eastAsia="Times New Roman" w:cs="Times New Roman"/>
        </w:rPr>
        <w:t>meneutischen</w:t>
      </w:r>
      <w:r w:rsidR="005D7996">
        <w:rPr>
          <w:rFonts w:eastAsia="Times New Roman" w:cs="Times New Roman"/>
        </w:rPr>
        <w:fldChar w:fldCharType="begin"/>
      </w:r>
      <w:r w:rsidR="00362558">
        <w:instrText xml:space="preserve"> XE "</w:instrText>
      </w:r>
      <w:r w:rsidR="00362558" w:rsidRPr="00C244BE">
        <w:rPr>
          <w:rFonts w:eastAsia="Times New Roman" w:cs="Times New Roman"/>
        </w:rPr>
        <w:instrText>Hermeneutik</w:instrText>
      </w:r>
      <w:r w:rsidR="00362558">
        <w:instrText xml:space="preserve">" </w:instrText>
      </w:r>
      <w:r w:rsidR="005D7996">
        <w:rPr>
          <w:rFonts w:eastAsia="Times New Roman" w:cs="Times New Roman"/>
        </w:rPr>
        <w:fldChar w:fldCharType="end"/>
      </w:r>
      <w:r w:rsidR="00B3415F">
        <w:rPr>
          <w:rFonts w:eastAsia="Times New Roman" w:cs="Times New Roman"/>
        </w:rPr>
        <w:t xml:space="preserve"> Methode gewirkt haben; aus heutiger Sicht sind sie wenig hil</w:t>
      </w:r>
      <w:r w:rsidR="00B3415F">
        <w:rPr>
          <w:rFonts w:eastAsia="Times New Roman" w:cs="Times New Roman"/>
        </w:rPr>
        <w:t>f</w:t>
      </w:r>
      <w:r w:rsidR="00B3415F">
        <w:rPr>
          <w:rFonts w:eastAsia="Times New Roman" w:cs="Times New Roman"/>
        </w:rPr>
        <w:t>reich, weil sie Häufigkeiten von Merkmalen der Ausdrucksebene</w:t>
      </w:r>
      <w:r w:rsidR="005D7996">
        <w:rPr>
          <w:rFonts w:eastAsia="Times New Roman" w:cs="Times New Roman"/>
        </w:rPr>
        <w:fldChar w:fldCharType="begin"/>
      </w:r>
      <w:r w:rsidR="004E4C88">
        <w:instrText xml:space="preserve"> XE "</w:instrText>
      </w:r>
      <w:r w:rsidR="004E4C88" w:rsidRPr="00DA0E29">
        <w:instrText>Ausdrucksebene</w:instrText>
      </w:r>
      <w:r w:rsidR="004E4C88">
        <w:instrText xml:space="preserve">" </w:instrText>
      </w:r>
      <w:r w:rsidR="005D7996">
        <w:rPr>
          <w:rFonts w:eastAsia="Times New Roman" w:cs="Times New Roman"/>
        </w:rPr>
        <w:fldChar w:fldCharType="end"/>
      </w:r>
      <w:r w:rsidR="00B3415F">
        <w:rPr>
          <w:rFonts w:eastAsia="Times New Roman" w:cs="Times New Roman"/>
        </w:rPr>
        <w:t xml:space="preserve"> für Stil halten (vgl. Abschnitt </w:t>
      </w:r>
      <w:r w:rsidR="005D7996">
        <w:rPr>
          <w:rFonts w:eastAsia="Times New Roman" w:cs="Times New Roman"/>
        </w:rPr>
        <w:fldChar w:fldCharType="begin"/>
      </w:r>
      <w:r w:rsidR="00B3415F">
        <w:rPr>
          <w:rFonts w:eastAsia="Times New Roman" w:cs="Times New Roman"/>
        </w:rPr>
        <w:instrText xml:space="preserve"> REF _Ref260056929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2.1</w:t>
      </w:r>
      <w:r w:rsidR="005D7996">
        <w:rPr>
          <w:rFonts w:eastAsia="Times New Roman" w:cs="Times New Roman"/>
        </w:rPr>
        <w:fldChar w:fldCharType="end"/>
      </w:r>
      <w:r w:rsidR="00B3415F">
        <w:rPr>
          <w:rFonts w:eastAsia="Times New Roman" w:cs="Times New Roman"/>
        </w:rPr>
        <w:t xml:space="preserve">). </w:t>
      </w:r>
      <w:r w:rsidR="00555AD4">
        <w:rPr>
          <w:rFonts w:eastAsia="Times New Roman" w:cs="Times New Roman"/>
        </w:rPr>
        <w:t xml:space="preserve">Nehmen wir beispielsweise an, </w:t>
      </w:r>
      <w:r w:rsidR="00B3415F">
        <w:rPr>
          <w:rFonts w:eastAsia="Times New Roman" w:cs="Times New Roman"/>
        </w:rPr>
        <w:t xml:space="preserve">die Satzlänge eines Texts, der einen einfachen Sachverhalt </w:t>
      </w:r>
      <w:r w:rsidR="00555AD4">
        <w:rPr>
          <w:rFonts w:eastAsia="Times New Roman" w:cs="Times New Roman"/>
        </w:rPr>
        <w:t>erklärt</w:t>
      </w:r>
      <w:r w:rsidR="00B3415F">
        <w:rPr>
          <w:rFonts w:eastAsia="Times New Roman" w:cs="Times New Roman"/>
        </w:rPr>
        <w:t xml:space="preserve">, also etwa der Bedienungsanleitung eines Haushaltsgeräts, </w:t>
      </w:r>
      <w:r w:rsidR="00555AD4">
        <w:rPr>
          <w:rFonts w:eastAsia="Times New Roman" w:cs="Times New Roman"/>
        </w:rPr>
        <w:t xml:space="preserve">ist </w:t>
      </w:r>
      <w:r w:rsidR="00B3415F">
        <w:rPr>
          <w:rFonts w:eastAsia="Times New Roman" w:cs="Times New Roman"/>
        </w:rPr>
        <w:t xml:space="preserve">kürzer als </w:t>
      </w:r>
      <w:r w:rsidR="00555AD4">
        <w:rPr>
          <w:rFonts w:eastAsia="Times New Roman" w:cs="Times New Roman"/>
        </w:rPr>
        <w:t xml:space="preserve">die </w:t>
      </w:r>
      <w:r w:rsidR="00B3415F">
        <w:rPr>
          <w:rFonts w:eastAsia="Times New Roman" w:cs="Times New Roman"/>
        </w:rPr>
        <w:t>eine</w:t>
      </w:r>
      <w:r w:rsidR="00555AD4">
        <w:rPr>
          <w:rFonts w:eastAsia="Times New Roman" w:cs="Times New Roman"/>
        </w:rPr>
        <w:t>s</w:t>
      </w:r>
      <w:r w:rsidR="00B3415F">
        <w:rPr>
          <w:rFonts w:eastAsia="Times New Roman" w:cs="Times New Roman"/>
        </w:rPr>
        <w:t xml:space="preserve"> </w:t>
      </w:r>
      <w:r w:rsidR="00555AD4">
        <w:rPr>
          <w:rFonts w:eastAsia="Times New Roman" w:cs="Times New Roman"/>
        </w:rPr>
        <w:t xml:space="preserve">anderen </w:t>
      </w:r>
      <w:r w:rsidR="00B3415F">
        <w:rPr>
          <w:rFonts w:eastAsia="Times New Roman" w:cs="Times New Roman"/>
        </w:rPr>
        <w:t>Text</w:t>
      </w:r>
      <w:r w:rsidR="00555AD4">
        <w:rPr>
          <w:rFonts w:eastAsia="Times New Roman" w:cs="Times New Roman"/>
        </w:rPr>
        <w:t>s</w:t>
      </w:r>
      <w:r w:rsidR="00B3415F">
        <w:rPr>
          <w:rFonts w:eastAsia="Times New Roman" w:cs="Times New Roman"/>
        </w:rPr>
        <w:t xml:space="preserve">, der einen sehr komplexen Sachverhalt </w:t>
      </w:r>
      <w:r w:rsidR="00555AD4">
        <w:rPr>
          <w:rFonts w:eastAsia="Times New Roman" w:cs="Times New Roman"/>
        </w:rPr>
        <w:t>erklärt</w:t>
      </w:r>
      <w:r w:rsidR="00B3415F">
        <w:rPr>
          <w:rFonts w:eastAsia="Times New Roman" w:cs="Times New Roman"/>
        </w:rPr>
        <w:t>, also etwa eine</w:t>
      </w:r>
      <w:r w:rsidR="00555AD4">
        <w:rPr>
          <w:rFonts w:eastAsia="Times New Roman" w:cs="Times New Roman"/>
        </w:rPr>
        <w:t>r</w:t>
      </w:r>
      <w:r w:rsidR="00B3415F">
        <w:rPr>
          <w:rFonts w:eastAsia="Times New Roman" w:cs="Times New Roman"/>
        </w:rPr>
        <w:t xml:space="preserve"> </w:t>
      </w:r>
      <w:r w:rsidR="00555AD4">
        <w:rPr>
          <w:rFonts w:eastAsia="Times New Roman" w:cs="Times New Roman"/>
        </w:rPr>
        <w:t xml:space="preserve">Einführung </w:t>
      </w:r>
      <w:r w:rsidR="00B3415F">
        <w:rPr>
          <w:rFonts w:eastAsia="Times New Roman" w:cs="Times New Roman"/>
        </w:rPr>
        <w:t xml:space="preserve">in die Quantenphysik. Dies </w:t>
      </w:r>
      <w:r w:rsidR="00555AD4">
        <w:rPr>
          <w:rFonts w:eastAsia="Times New Roman" w:cs="Times New Roman"/>
        </w:rPr>
        <w:t xml:space="preserve">könnte </w:t>
      </w:r>
      <w:r w:rsidR="00B3415F">
        <w:rPr>
          <w:rFonts w:eastAsia="Times New Roman" w:cs="Times New Roman"/>
        </w:rPr>
        <w:t>daran</w:t>
      </w:r>
      <w:r w:rsidR="00555AD4">
        <w:rPr>
          <w:rFonts w:eastAsia="Times New Roman" w:cs="Times New Roman"/>
        </w:rPr>
        <w:t xml:space="preserve"> liegen</w:t>
      </w:r>
      <w:r w:rsidR="00B3415F">
        <w:rPr>
          <w:rFonts w:eastAsia="Times New Roman" w:cs="Times New Roman"/>
        </w:rPr>
        <w:t>, dass im zweiten Fall aus inhaltlichen Gründen nicht so ei</w:t>
      </w:r>
      <w:r w:rsidR="00B3415F">
        <w:rPr>
          <w:rFonts w:eastAsia="Times New Roman" w:cs="Times New Roman"/>
        </w:rPr>
        <w:t>n</w:t>
      </w:r>
      <w:r w:rsidR="00B3415F">
        <w:rPr>
          <w:rFonts w:eastAsia="Times New Roman" w:cs="Times New Roman"/>
        </w:rPr>
        <w:t>fach formuliert werden kann wie im ersten</w:t>
      </w:r>
      <w:r w:rsidR="00555AD4">
        <w:rPr>
          <w:rFonts w:eastAsia="Times New Roman" w:cs="Times New Roman"/>
        </w:rPr>
        <w:t xml:space="preserve">; beide </w:t>
      </w:r>
      <w:r w:rsidR="00B3415F">
        <w:rPr>
          <w:rFonts w:eastAsia="Times New Roman" w:cs="Times New Roman"/>
        </w:rPr>
        <w:t xml:space="preserve">Texte könnten </w:t>
      </w:r>
      <w:r w:rsidR="00555AD4">
        <w:rPr>
          <w:rFonts w:eastAsia="Times New Roman" w:cs="Times New Roman"/>
        </w:rPr>
        <w:t xml:space="preserve">also durchaus </w:t>
      </w:r>
      <w:r w:rsidR="00D44BCF">
        <w:rPr>
          <w:rFonts w:eastAsia="Times New Roman" w:cs="Times New Roman"/>
        </w:rPr>
        <w:t xml:space="preserve">auf den </w:t>
      </w:r>
      <w:r w:rsidR="00555AD4">
        <w:rPr>
          <w:rFonts w:eastAsia="Times New Roman" w:cs="Times New Roman"/>
        </w:rPr>
        <w:t xml:space="preserve">gleichen </w:t>
      </w:r>
      <w:r w:rsidR="00D44BCF">
        <w:rPr>
          <w:rFonts w:eastAsia="Times New Roman" w:cs="Times New Roman"/>
        </w:rPr>
        <w:t>Merkmalsregeln beruhen</w:t>
      </w:r>
      <w:r w:rsidR="00555AD4">
        <w:rPr>
          <w:rFonts w:eastAsia="Times New Roman" w:cs="Times New Roman"/>
        </w:rPr>
        <w:t xml:space="preserve">, </w:t>
      </w:r>
      <w:r w:rsidR="00D44BCF">
        <w:rPr>
          <w:rFonts w:eastAsia="Times New Roman" w:cs="Times New Roman"/>
        </w:rPr>
        <w:t xml:space="preserve">die </w:t>
      </w:r>
      <w:r w:rsidR="00555AD4">
        <w:rPr>
          <w:rFonts w:eastAsia="Times New Roman" w:cs="Times New Roman"/>
        </w:rPr>
        <w:t xml:space="preserve">beispielsweise </w:t>
      </w:r>
      <w:r w:rsidR="00D44BCF">
        <w:rPr>
          <w:rFonts w:eastAsia="Times New Roman" w:cs="Times New Roman"/>
        </w:rPr>
        <w:t xml:space="preserve">für Formulierungen </w:t>
      </w:r>
      <w:r w:rsidR="00555AD4">
        <w:rPr>
          <w:rFonts w:eastAsia="Times New Roman" w:cs="Times New Roman"/>
        </w:rPr>
        <w:t>‚klar</w:t>
      </w:r>
      <w:r w:rsidR="00D44BCF">
        <w:rPr>
          <w:rFonts w:eastAsia="Times New Roman" w:cs="Times New Roman"/>
        </w:rPr>
        <w:t>; sachlich; präzise</w:t>
      </w:r>
      <w:r w:rsidR="00555AD4">
        <w:rPr>
          <w:rFonts w:eastAsia="Times New Roman" w:cs="Times New Roman"/>
        </w:rPr>
        <w:t>‘</w:t>
      </w:r>
      <w:r w:rsidR="00D44BCF">
        <w:rPr>
          <w:rFonts w:eastAsia="Times New Roman" w:cs="Times New Roman"/>
        </w:rPr>
        <w:t xml:space="preserve"> und für die Gliederung des Texts</w:t>
      </w:r>
      <w:r w:rsidR="00555AD4">
        <w:rPr>
          <w:rFonts w:eastAsia="Times New Roman" w:cs="Times New Roman"/>
        </w:rPr>
        <w:t xml:space="preserve"> ‚schrittweise erklärend‘</w:t>
      </w:r>
      <w:r w:rsidR="00D44BCF">
        <w:rPr>
          <w:rFonts w:eastAsia="Times New Roman" w:cs="Times New Roman"/>
        </w:rPr>
        <w:t xml:space="preserve"> festlegen</w:t>
      </w:r>
      <w:r w:rsidR="00B3415F">
        <w:rPr>
          <w:rFonts w:eastAsia="Times New Roman" w:cs="Times New Roman"/>
        </w:rPr>
        <w:t>. Dies wird noch deutlicher, wenn man innerhalb desselben Texts Pa</w:t>
      </w:r>
      <w:r w:rsidR="00B3415F">
        <w:rPr>
          <w:rFonts w:eastAsia="Times New Roman" w:cs="Times New Roman"/>
        </w:rPr>
        <w:t>s</w:t>
      </w:r>
      <w:r w:rsidR="00B3415F">
        <w:rPr>
          <w:rFonts w:eastAsia="Times New Roman" w:cs="Times New Roman"/>
        </w:rPr>
        <w:t>sagen vergleicht, die sich mit einfachen und komplexen Phänomenen beschäft</w:t>
      </w:r>
      <w:r w:rsidR="00B3415F">
        <w:rPr>
          <w:rFonts w:eastAsia="Times New Roman" w:cs="Times New Roman"/>
        </w:rPr>
        <w:t>i</w:t>
      </w:r>
      <w:r w:rsidR="00B3415F">
        <w:rPr>
          <w:rFonts w:eastAsia="Times New Roman" w:cs="Times New Roman"/>
        </w:rPr>
        <w:t>gen, beispielsweise mit den einfachen Grundlagen und den schwierigsten Pro</w:t>
      </w:r>
      <w:r w:rsidR="00B3415F">
        <w:rPr>
          <w:rFonts w:eastAsia="Times New Roman" w:cs="Times New Roman"/>
        </w:rPr>
        <w:t>b</w:t>
      </w:r>
      <w:r w:rsidR="00B3415F">
        <w:rPr>
          <w:rFonts w:eastAsia="Times New Roman" w:cs="Times New Roman"/>
        </w:rPr>
        <w:t xml:space="preserve">lemen einer </w:t>
      </w:r>
      <w:r w:rsidR="00F22A83">
        <w:rPr>
          <w:rFonts w:eastAsia="Times New Roman" w:cs="Times New Roman"/>
        </w:rPr>
        <w:t xml:space="preserve">bestimmten </w:t>
      </w:r>
      <w:r w:rsidR="00B3415F">
        <w:rPr>
          <w:rFonts w:eastAsia="Times New Roman" w:cs="Times New Roman"/>
        </w:rPr>
        <w:t xml:space="preserve">Wissenschaft: Würde dabei eine auf Klarheit und </w:t>
      </w:r>
      <w:r w:rsidR="00CE7FFE">
        <w:rPr>
          <w:rFonts w:eastAsia="Times New Roman" w:cs="Times New Roman"/>
        </w:rPr>
        <w:t xml:space="preserve">größtmögliche </w:t>
      </w:r>
      <w:r w:rsidR="00B3415F">
        <w:rPr>
          <w:rFonts w:eastAsia="Times New Roman" w:cs="Times New Roman"/>
        </w:rPr>
        <w:t>Vereinfachung angelegte Sprache durchgehalten, würde man wohl kaum daraus, dass sich Unterschiede in Veränderungen in Wort- und Sat</w:t>
      </w:r>
      <w:r w:rsidR="00B3415F">
        <w:rPr>
          <w:rFonts w:eastAsia="Times New Roman" w:cs="Times New Roman"/>
        </w:rPr>
        <w:t>z</w:t>
      </w:r>
      <w:r w:rsidR="00B3415F">
        <w:rPr>
          <w:rFonts w:eastAsia="Times New Roman" w:cs="Times New Roman"/>
        </w:rPr>
        <w:t>länge, in syntaktischer Komplexität, in Fremdworthäufigkeit, in Ungewöhnlic</w:t>
      </w:r>
      <w:r w:rsidR="00B3415F">
        <w:rPr>
          <w:rFonts w:eastAsia="Times New Roman" w:cs="Times New Roman"/>
        </w:rPr>
        <w:t>h</w:t>
      </w:r>
      <w:r w:rsidR="00B3415F">
        <w:rPr>
          <w:rFonts w:eastAsia="Times New Roman" w:cs="Times New Roman"/>
        </w:rPr>
        <w:t>keit des Wortschatzes usw. zeigen würden, auf eine Veränderung des Stils schließen.</w:t>
      </w:r>
    </w:p>
    <w:p w:rsidR="00255C44" w:rsidRDefault="00B3415F" w:rsidP="00FB6876">
      <w:pPr>
        <w:rPr>
          <w:rFonts w:eastAsia="Times New Roman" w:cs="Times New Roman"/>
        </w:rPr>
      </w:pPr>
      <w:r>
        <w:rPr>
          <w:rFonts w:eastAsia="Times New Roman" w:cs="Times New Roman"/>
        </w:rPr>
        <w:t xml:space="preserve">Jede Art von </w:t>
      </w:r>
      <w:r w:rsidR="0014079B">
        <w:rPr>
          <w:rFonts w:eastAsia="Times New Roman" w:cs="Times New Roman"/>
        </w:rPr>
        <w:t xml:space="preserve">quantitativer </w:t>
      </w:r>
      <w:r>
        <w:rPr>
          <w:rFonts w:eastAsia="Times New Roman" w:cs="Times New Roman"/>
        </w:rPr>
        <w:t>Stilistik</w:t>
      </w:r>
      <w:r w:rsidR="005D7996">
        <w:rPr>
          <w:rFonts w:eastAsia="Times New Roman" w:cs="Times New Roman"/>
        </w:rPr>
        <w:fldChar w:fldCharType="begin"/>
      </w:r>
      <w:r w:rsidR="00CB396C">
        <w:instrText xml:space="preserve"> XE "</w:instrText>
      </w:r>
      <w:r w:rsidR="0014079B">
        <w:rPr>
          <w:szCs w:val="17"/>
        </w:rPr>
        <w:instrText xml:space="preserve">quantitative </w:instrText>
      </w:r>
      <w:r w:rsidR="0014079B" w:rsidRPr="00156980">
        <w:rPr>
          <w:szCs w:val="17"/>
        </w:rPr>
        <w:instrText>Stilistik</w:instrText>
      </w:r>
      <w:r w:rsidR="00CB396C">
        <w:instrText xml:space="preserve">" </w:instrText>
      </w:r>
      <w:r w:rsidR="005D7996">
        <w:rPr>
          <w:rFonts w:eastAsia="Times New Roman" w:cs="Times New Roman"/>
        </w:rPr>
        <w:fldChar w:fldCharType="end"/>
      </w:r>
      <w:r w:rsidR="00CB396C">
        <w:rPr>
          <w:rFonts w:eastAsia="Times New Roman" w:cs="Times New Roman"/>
        </w:rPr>
        <w:t xml:space="preserve"> </w:t>
      </w:r>
      <w:r>
        <w:rPr>
          <w:rFonts w:eastAsia="Times New Roman" w:cs="Times New Roman"/>
        </w:rPr>
        <w:t>und Abweichungsstilistik</w:t>
      </w:r>
      <w:r w:rsidR="005D7996">
        <w:rPr>
          <w:rFonts w:eastAsia="Times New Roman" w:cs="Times New Roman"/>
        </w:rPr>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rPr>
          <w:rFonts w:eastAsia="Times New Roman" w:cs="Times New Roman"/>
        </w:rPr>
        <w:fldChar w:fldCharType="end"/>
      </w:r>
      <w:r>
        <w:rPr>
          <w:rFonts w:eastAsia="Times New Roman" w:cs="Times New Roman"/>
        </w:rPr>
        <w:t>, die sich auf bloße Zählung von Elementen beschränkt, scheitert an diesem Problem.</w:t>
      </w:r>
      <w:bookmarkEnd w:id="143"/>
    </w:p>
    <w:p w:rsidR="00A063AE" w:rsidRPr="00A6293D" w:rsidRDefault="00A063AE" w:rsidP="00A063AE">
      <w:pPr>
        <w:pStyle w:val="Titel2"/>
      </w:pPr>
      <w:bookmarkStart w:id="145" w:name="_Ref266098068"/>
      <w:bookmarkStart w:id="146" w:name="_Toc325456717"/>
      <w:bookmarkStart w:id="147" w:name="Stil_als_Regel"/>
      <w:r>
        <w:rPr>
          <w:rFonts w:eastAsia="Times New Roman" w:cs="Times New Roman"/>
        </w:rPr>
        <w:t>Stil</w:t>
      </w:r>
      <w:r w:rsidR="00057ABA">
        <w:rPr>
          <w:rFonts w:eastAsia="Times New Roman" w:cs="Times New Roman"/>
        </w:rPr>
        <w:t xml:space="preserve"> als </w:t>
      </w:r>
      <w:r w:rsidR="005B0BBA">
        <w:rPr>
          <w:rFonts w:eastAsia="Times New Roman" w:cs="Times New Roman"/>
        </w:rPr>
        <w:t>Regel</w:t>
      </w:r>
      <w:r w:rsidR="00AC2C29">
        <w:rPr>
          <w:rFonts w:eastAsia="Times New Roman" w:cs="Times New Roman"/>
        </w:rPr>
        <w:t xml:space="preserve"> oder</w:t>
      </w:r>
      <w:r w:rsidR="00252652">
        <w:rPr>
          <w:rFonts w:eastAsia="Times New Roman" w:cs="Times New Roman"/>
        </w:rPr>
        <w:t xml:space="preserve"> Muster</w:t>
      </w:r>
      <w:bookmarkEnd w:id="145"/>
      <w:bookmarkEnd w:id="146"/>
    </w:p>
    <w:p w:rsidR="00183725" w:rsidRDefault="005D7996" w:rsidP="00A168AE">
      <w:pPr>
        <w:ind w:firstLine="0"/>
        <w:rPr>
          <w:rFonts w:eastAsia="Times New Roman" w:cs="Times New Roman"/>
        </w:rPr>
      </w:pPr>
      <w:r>
        <w:fldChar w:fldCharType="begin"/>
      </w:r>
      <w:r w:rsidR="008E2633">
        <w:instrText xml:space="preserve"> XE "Stil:als Regel" \r "Stil_als_Regel" </w:instrText>
      </w:r>
      <w:r>
        <w:fldChar w:fldCharType="end"/>
      </w:r>
      <w:r>
        <w:fldChar w:fldCharType="begin"/>
      </w:r>
      <w:r w:rsidR="008E2633">
        <w:instrText xml:space="preserve"> XE "Stil:als Muster" \r "Stil_als_Regel" </w:instrText>
      </w:r>
      <w:r>
        <w:fldChar w:fldCharType="end"/>
      </w:r>
      <w:r w:rsidR="0068475C">
        <w:rPr>
          <w:rFonts w:eastAsia="Times New Roman" w:cs="Times New Roman"/>
        </w:rPr>
        <w:t>Stil ist häufig über Muster oder Regeln beschrieben worden, wobei allerdings meist der abweichungsstilistische Blickwinkel eingenommen wurde.</w:t>
      </w:r>
      <w:r w:rsidR="00F13D3E">
        <w:rPr>
          <w:rStyle w:val="Funotenzeichen"/>
          <w:rFonts w:eastAsia="Times New Roman" w:cs="Times New Roman"/>
        </w:rPr>
        <w:footnoteReference w:id="225"/>
      </w:r>
      <w:r w:rsidR="00362353">
        <w:rPr>
          <w:rFonts w:eastAsia="Times New Roman" w:cs="Times New Roman"/>
        </w:rPr>
        <w:t xml:space="preserve"> Muster wird dabei als „</w:t>
      </w:r>
      <w:r w:rsidR="0068475C">
        <w:rPr>
          <w:rFonts w:eastAsia="Times New Roman" w:cs="Times New Roman"/>
        </w:rPr>
        <w:t>eine bestimmte Art</w:t>
      </w:r>
      <w:r w:rsidR="002C443F">
        <w:rPr>
          <w:rFonts w:eastAsia="Times New Roman" w:cs="Times New Roman"/>
        </w:rPr>
        <w:t xml:space="preserve"> der Ausführung</w:t>
      </w:r>
      <w:r w:rsidR="00362353">
        <w:rPr>
          <w:rFonts w:eastAsia="Times New Roman" w:cs="Times New Roman"/>
        </w:rPr>
        <w:t>“</w:t>
      </w:r>
      <w:r w:rsidR="0068475C">
        <w:rPr>
          <w:rFonts w:eastAsia="Times New Roman" w:cs="Times New Roman"/>
        </w:rPr>
        <w:t xml:space="preserve"> verstanden, von der der Stil</w:t>
      </w:r>
      <w:r w:rsidR="0034103D">
        <w:rPr>
          <w:rFonts w:eastAsia="Times New Roman" w:cs="Times New Roman"/>
        </w:rPr>
        <w:t>an</w:t>
      </w:r>
      <w:r w:rsidR="0068475C">
        <w:rPr>
          <w:rFonts w:eastAsia="Times New Roman" w:cs="Times New Roman"/>
        </w:rPr>
        <w:t xml:space="preserve">wender (bewusst oder unbewusst) abweicht. Allerdings </w:t>
      </w:r>
      <w:r w:rsidR="00F13D3E">
        <w:rPr>
          <w:rFonts w:eastAsia="Times New Roman" w:cs="Times New Roman"/>
        </w:rPr>
        <w:t xml:space="preserve">bleibt </w:t>
      </w:r>
      <w:r w:rsidR="0068475C">
        <w:rPr>
          <w:rFonts w:eastAsia="Times New Roman" w:cs="Times New Roman"/>
        </w:rPr>
        <w:t xml:space="preserve">dabei </w:t>
      </w:r>
      <w:r w:rsidR="00F13D3E">
        <w:rPr>
          <w:rFonts w:eastAsia="Times New Roman" w:cs="Times New Roman"/>
        </w:rPr>
        <w:t>meist unklar, was dieses Muster denn genau ist und wieso nur Abweichungen davon Sti</w:t>
      </w:r>
      <w:r w:rsidR="00F61985">
        <w:rPr>
          <w:rFonts w:eastAsia="Times New Roman" w:cs="Times New Roman"/>
        </w:rPr>
        <w:t xml:space="preserve">le sein sollen, nicht aber die Befolgung des </w:t>
      </w:r>
      <w:r w:rsidR="00F13D3E">
        <w:rPr>
          <w:rFonts w:eastAsia="Times New Roman" w:cs="Times New Roman"/>
        </w:rPr>
        <w:t>Muster</w:t>
      </w:r>
      <w:r w:rsidR="00F61985">
        <w:rPr>
          <w:rFonts w:eastAsia="Times New Roman" w:cs="Times New Roman"/>
        </w:rPr>
        <w:t>s</w:t>
      </w:r>
      <w:r w:rsidR="00F13D3E">
        <w:rPr>
          <w:rFonts w:eastAsia="Times New Roman" w:cs="Times New Roman"/>
        </w:rPr>
        <w:t xml:space="preserve">. </w:t>
      </w:r>
      <w:r w:rsidR="00183725">
        <w:rPr>
          <w:rFonts w:eastAsia="Times New Roman" w:cs="Times New Roman"/>
        </w:rPr>
        <w:t>Neuere Ansätze betonen in Anpassung an kognitive Trends, dass Muster und Normen sich als Erwartu</w:t>
      </w:r>
      <w:r w:rsidR="00183725">
        <w:rPr>
          <w:rFonts w:eastAsia="Times New Roman" w:cs="Times New Roman"/>
        </w:rPr>
        <w:t>n</w:t>
      </w:r>
      <w:r w:rsidR="00183725">
        <w:rPr>
          <w:rFonts w:eastAsia="Times New Roman" w:cs="Times New Roman"/>
        </w:rPr>
        <w:t>gen im Kopf des Textrezipienten befinden.</w:t>
      </w:r>
      <w:r w:rsidR="00183725">
        <w:rPr>
          <w:rStyle w:val="Funotenzeichen"/>
          <w:rFonts w:eastAsia="Times New Roman" w:cs="Times New Roman"/>
        </w:rPr>
        <w:footnoteReference w:id="226"/>
      </w:r>
    </w:p>
    <w:p w:rsidR="00A063AE" w:rsidRDefault="00057ABA" w:rsidP="005A5093">
      <w:pPr>
        <w:rPr>
          <w:rFonts w:eastAsia="Times New Roman" w:cs="Times New Roman"/>
        </w:rPr>
      </w:pPr>
      <w:r>
        <w:rPr>
          <w:rFonts w:eastAsia="Times New Roman" w:cs="Times New Roman"/>
        </w:rPr>
        <w:t>Tzvetan Todorov</w:t>
      </w:r>
      <w:r w:rsidR="00BB010E">
        <w:rPr>
          <w:rStyle w:val="Funotenzeichen"/>
          <w:rFonts w:eastAsia="Times New Roman" w:cs="Times New Roman"/>
        </w:rPr>
        <w:footnoteReference w:id="227"/>
      </w:r>
      <w:r>
        <w:rPr>
          <w:rFonts w:eastAsia="Times New Roman" w:cs="Times New Roman"/>
        </w:rPr>
        <w:t xml:space="preserve"> weist die Auffassung von Stil als Kohärenzphänomen</w:t>
      </w:r>
      <w:r w:rsidR="005B0BBA">
        <w:rPr>
          <w:rFonts w:eastAsia="Times New Roman" w:cs="Times New Roman"/>
        </w:rPr>
        <w:t>,</w:t>
      </w:r>
      <w:r>
        <w:rPr>
          <w:rStyle w:val="Funotenzeichen"/>
          <w:rFonts w:eastAsia="Times New Roman" w:cs="Times New Roman"/>
        </w:rPr>
        <w:footnoteReference w:id="228"/>
      </w:r>
      <w:r>
        <w:rPr>
          <w:rFonts w:eastAsia="Times New Roman" w:cs="Times New Roman"/>
        </w:rPr>
        <w:t xml:space="preserve"> </w:t>
      </w:r>
      <w:r w:rsidR="005B0BBA">
        <w:rPr>
          <w:rFonts w:eastAsia="Times New Roman" w:cs="Times New Roman"/>
        </w:rPr>
        <w:t xml:space="preserve">als </w:t>
      </w:r>
      <w:r>
        <w:rPr>
          <w:rFonts w:eastAsia="Times New Roman" w:cs="Times New Roman"/>
        </w:rPr>
        <w:t xml:space="preserve">Abweichung </w:t>
      </w:r>
      <w:r w:rsidR="005B0BBA">
        <w:rPr>
          <w:rFonts w:eastAsia="Times New Roman" w:cs="Times New Roman"/>
        </w:rPr>
        <w:t>von einer Norm oder als Soziolekt</w:t>
      </w:r>
      <w:r w:rsidR="005D7996">
        <w:rPr>
          <w:rFonts w:eastAsia="Times New Roman" w:cs="Times New Roman"/>
        </w:rPr>
        <w:fldChar w:fldCharType="begin"/>
      </w:r>
      <w:r w:rsidR="00F547E6">
        <w:instrText xml:space="preserve"> XE "</w:instrText>
      </w:r>
      <w:r w:rsidR="00F547E6" w:rsidRPr="002839CF">
        <w:rPr>
          <w:rFonts w:eastAsia="Times New Roman" w:cs="Times New Roman"/>
        </w:rPr>
        <w:instrText>Soziolekt</w:instrText>
      </w:r>
      <w:r w:rsidR="00F547E6">
        <w:instrText xml:space="preserve">" </w:instrText>
      </w:r>
      <w:r w:rsidR="005D7996">
        <w:rPr>
          <w:rFonts w:eastAsia="Times New Roman" w:cs="Times New Roman"/>
        </w:rPr>
        <w:fldChar w:fldCharType="end"/>
      </w:r>
      <w:r w:rsidR="005B0BBA">
        <w:rPr>
          <w:rFonts w:eastAsia="Times New Roman" w:cs="Times New Roman"/>
        </w:rPr>
        <w:t xml:space="preserve"> zurück, um sich schließlich </w:t>
      </w:r>
      <w:r w:rsidR="005B0BBA">
        <w:rPr>
          <w:rFonts w:eastAsia="Times New Roman" w:cs="Times New Roman"/>
        </w:rPr>
        <w:lastRenderedPageBreak/>
        <w:t xml:space="preserve">zustimmend auf die ehrwürdige Unterscheidung zwischen hohem, mittlerem und niederem Stil zu beziehen, die zu das einzelne Texttoken übergreifenden </w:t>
      </w:r>
      <w:r w:rsidR="008F1E16">
        <w:rPr>
          <w:rFonts w:eastAsia="Times New Roman" w:cs="Times New Roman"/>
        </w:rPr>
        <w:t>Zusammenhängen führt:</w:t>
      </w:r>
      <w:r w:rsidR="005B0BBA">
        <w:rPr>
          <w:rFonts w:eastAsia="Times New Roman" w:cs="Times New Roman"/>
        </w:rPr>
        <w:t xml:space="preserve"> </w:t>
      </w:r>
      <w:r w:rsidR="008F1E16">
        <w:rPr>
          <w:rFonts w:eastAsia="Times New Roman" w:cs="Times New Roman"/>
        </w:rPr>
        <w:t>E</w:t>
      </w:r>
      <w:r w:rsidR="005B0BBA">
        <w:rPr>
          <w:rFonts w:eastAsia="Times New Roman" w:cs="Times New Roman"/>
        </w:rPr>
        <w:t xml:space="preserve">in Stil </w:t>
      </w:r>
      <w:r w:rsidR="00D56F2F">
        <w:rPr>
          <w:rFonts w:eastAsia="Times New Roman" w:cs="Times New Roman"/>
        </w:rPr>
        <w:t xml:space="preserve">sollte nicht als Abweichung von etwas </w:t>
      </w:r>
      <w:r w:rsidR="003E1FC0">
        <w:rPr>
          <w:rFonts w:eastAsia="Times New Roman" w:cs="Times New Roman"/>
        </w:rPr>
        <w:t>and</w:t>
      </w:r>
      <w:r w:rsidR="003E1FC0">
        <w:rPr>
          <w:rFonts w:eastAsia="Times New Roman" w:cs="Times New Roman"/>
        </w:rPr>
        <w:t>e</w:t>
      </w:r>
      <w:r w:rsidR="003E1FC0">
        <w:rPr>
          <w:rFonts w:eastAsia="Times New Roman" w:cs="Times New Roman"/>
        </w:rPr>
        <w:t>rem</w:t>
      </w:r>
      <w:r w:rsidR="00D56F2F">
        <w:rPr>
          <w:rFonts w:eastAsia="Times New Roman" w:cs="Times New Roman"/>
        </w:rPr>
        <w:t>, sondern in seiner eigenen Regelhaftigkeit untersucht werden.</w:t>
      </w:r>
    </w:p>
    <w:p w:rsidR="00252652" w:rsidRDefault="007B5A21" w:rsidP="005A5093">
      <w:pPr>
        <w:rPr>
          <w:rFonts w:eastAsia="Times New Roman" w:cs="Times New Roman"/>
        </w:rPr>
      </w:pPr>
      <w:r>
        <w:rPr>
          <w:rFonts w:eastAsia="Times New Roman" w:cs="Times New Roman"/>
        </w:rPr>
        <w:t>Alois Hahn versucht, die regelbasierte Auffassung zu explizieren, indem er von „Regeln zweiten Grades oder von Meta-Regeln“ spricht, die die Anwendung der Regeln (etwa eines Zeichensystems oder eines Spiels) regulieren. Diese Au</w:t>
      </w:r>
      <w:r>
        <w:rPr>
          <w:rFonts w:eastAsia="Times New Roman" w:cs="Times New Roman"/>
        </w:rPr>
        <w:t>f</w:t>
      </w:r>
      <w:r>
        <w:rPr>
          <w:rFonts w:eastAsia="Times New Roman" w:cs="Times New Roman"/>
        </w:rPr>
        <w:t xml:space="preserve">fassung </w:t>
      </w:r>
      <w:r w:rsidR="00872D74">
        <w:rPr>
          <w:rFonts w:eastAsia="Times New Roman" w:cs="Times New Roman"/>
        </w:rPr>
        <w:t xml:space="preserve">knüpft an </w:t>
      </w:r>
      <w:r>
        <w:rPr>
          <w:rFonts w:eastAsia="Times New Roman" w:cs="Times New Roman"/>
        </w:rPr>
        <w:t>Theoretiker wie Bourdieu</w:t>
      </w:r>
      <w:r w:rsidR="005D7996">
        <w:rPr>
          <w:rFonts w:eastAsia="Times New Roman" w:cs="Times New Roman"/>
        </w:rPr>
        <w:fldChar w:fldCharType="begin"/>
      </w:r>
      <w:r w:rsidR="00757970">
        <w:instrText xml:space="preserve"> XE "</w:instrText>
      </w:r>
      <w:r w:rsidR="00757970" w:rsidRPr="007E2E01">
        <w:rPr>
          <w:rFonts w:eastAsia="Times New Roman" w:cs="Times New Roman"/>
        </w:rPr>
        <w:instrText>Bourdieu, Pierre</w:instrText>
      </w:r>
      <w:r w:rsidR="00757970">
        <w:instrText xml:space="preserve">" </w:instrText>
      </w:r>
      <w:r w:rsidR="005D7996">
        <w:rPr>
          <w:rFonts w:eastAsia="Times New Roman" w:cs="Times New Roman"/>
        </w:rPr>
        <w:fldChar w:fldCharType="end"/>
      </w:r>
      <w:r>
        <w:rPr>
          <w:rFonts w:eastAsia="Times New Roman" w:cs="Times New Roman"/>
        </w:rPr>
        <w:t xml:space="preserve"> oder Lotman</w:t>
      </w:r>
      <w:r w:rsidR="005D7996">
        <w:rPr>
          <w:rFonts w:eastAsia="Times New Roman" w:cs="Times New Roman"/>
        </w:rPr>
        <w:fldChar w:fldCharType="begin"/>
      </w:r>
      <w:r w:rsidR="00757970">
        <w:instrText xml:space="preserve"> XE "</w:instrText>
      </w:r>
      <w:r w:rsidR="00757970" w:rsidRPr="00BC6A93">
        <w:rPr>
          <w:rFonts w:eastAsia="Times New Roman" w:cs="Times New Roman"/>
        </w:rPr>
        <w:instrText>Lotman, Juri Michailowitsch</w:instrText>
      </w:r>
      <w:r w:rsidR="00757970">
        <w:instrText xml:space="preserve">" </w:instrText>
      </w:r>
      <w:r w:rsidR="005D7996">
        <w:rPr>
          <w:rFonts w:eastAsia="Times New Roman" w:cs="Times New Roman"/>
        </w:rPr>
        <w:fldChar w:fldCharType="end"/>
      </w:r>
      <w:r>
        <w:rPr>
          <w:rFonts w:eastAsia="Times New Roman" w:cs="Times New Roman"/>
        </w:rPr>
        <w:t xml:space="preserve"> </w:t>
      </w:r>
      <w:r w:rsidR="00872D74">
        <w:rPr>
          <w:rFonts w:eastAsia="Times New Roman" w:cs="Times New Roman"/>
        </w:rPr>
        <w:t>an, die solche oft i</w:t>
      </w:r>
      <w:r w:rsidR="00872D74">
        <w:rPr>
          <w:rFonts w:eastAsia="Times New Roman" w:cs="Times New Roman"/>
        </w:rPr>
        <w:t>m</w:t>
      </w:r>
      <w:r w:rsidR="00872D74">
        <w:rPr>
          <w:rFonts w:eastAsia="Times New Roman" w:cs="Times New Roman"/>
        </w:rPr>
        <w:t>plizit bleibenden Regeln für den Umgang mit Zeichensystemen, Verhaltensno</w:t>
      </w:r>
      <w:r w:rsidR="00872D74">
        <w:rPr>
          <w:rFonts w:eastAsia="Times New Roman" w:cs="Times New Roman"/>
        </w:rPr>
        <w:t>r</w:t>
      </w:r>
      <w:r w:rsidR="00872D74">
        <w:rPr>
          <w:rFonts w:eastAsia="Times New Roman" w:cs="Times New Roman"/>
        </w:rPr>
        <w:t>men und künstlerischen Konventionen beschrieben haben</w:t>
      </w:r>
      <w:r>
        <w:rPr>
          <w:rFonts w:eastAsia="Times New Roman" w:cs="Times New Roman"/>
        </w:rPr>
        <w:t>.</w:t>
      </w:r>
      <w:r>
        <w:rPr>
          <w:rStyle w:val="Funotenzeichen"/>
          <w:rFonts w:eastAsia="Times New Roman" w:cs="Times New Roman"/>
        </w:rPr>
        <w:footnoteReference w:id="229"/>
      </w:r>
    </w:p>
    <w:p w:rsidR="00252652" w:rsidRDefault="00252652" w:rsidP="005A5093">
      <w:pPr>
        <w:rPr>
          <w:rFonts w:eastAsia="Times New Roman" w:cs="Times New Roman"/>
        </w:rPr>
      </w:pPr>
      <w:r>
        <w:rPr>
          <w:rFonts w:eastAsia="Times New Roman" w:cs="Times New Roman"/>
        </w:rPr>
        <w:t xml:space="preserve">Die sprachpragmatische </w:t>
      </w:r>
      <w:r w:rsidR="000B7E8C">
        <w:rPr>
          <w:rFonts w:eastAsia="Times New Roman" w:cs="Times New Roman"/>
        </w:rPr>
        <w:t>Stilistik</w:t>
      </w:r>
      <w:r w:rsidR="005D7996">
        <w:rPr>
          <w:rFonts w:eastAsia="Times New Roman" w:cs="Times New Roman"/>
        </w:rPr>
        <w:fldChar w:fldCharType="begin"/>
      </w:r>
      <w:r w:rsidR="000B7E8C">
        <w:instrText xml:space="preserve"> XE "</w:instrText>
      </w:r>
      <w:r w:rsidR="000B7E8C" w:rsidRPr="00C753F2">
        <w:rPr>
          <w:rFonts w:eastAsia="Times New Roman" w:cs="Times New Roman"/>
        </w:rPr>
        <w:instrText>sprachpragmatische Stilistik</w:instrText>
      </w:r>
      <w:r w:rsidR="000B7E8C">
        <w:instrText xml:space="preserve">" </w:instrText>
      </w:r>
      <w:r w:rsidR="005D7996">
        <w:rPr>
          <w:rFonts w:eastAsia="Times New Roman" w:cs="Times New Roman"/>
        </w:rPr>
        <w:fldChar w:fldCharType="end"/>
      </w:r>
      <w:r w:rsidR="000B7E8C">
        <w:rPr>
          <w:rFonts w:eastAsia="Times New Roman" w:cs="Times New Roman"/>
        </w:rPr>
        <w:t xml:space="preserve"> </w:t>
      </w:r>
      <w:r>
        <w:rPr>
          <w:rFonts w:eastAsia="Times New Roman" w:cs="Times New Roman"/>
        </w:rPr>
        <w:t>bildet eine Tradition der Stiluntersuchung, die Stil handlungstheoretisch</w:t>
      </w:r>
      <w:r w:rsidR="005D7996">
        <w:rPr>
          <w:rFonts w:eastAsia="Times New Roman" w:cs="Times New Roman"/>
        </w:rPr>
        <w:fldChar w:fldCharType="begin"/>
      </w:r>
      <w:r w:rsidR="009F46E4">
        <w:instrText xml:space="preserve"> XE "</w:instrText>
      </w:r>
      <w:r w:rsidR="009F46E4" w:rsidRPr="00EA789F">
        <w:rPr>
          <w:rFonts w:eastAsia="Times New Roman" w:cs="Times New Roman"/>
        </w:rPr>
        <w:instrText>Handlungstheorie</w:instrText>
      </w:r>
      <w:r w:rsidR="009F46E4">
        <w:instrText xml:space="preserve">" </w:instrText>
      </w:r>
      <w:r w:rsidR="005D7996">
        <w:rPr>
          <w:rFonts w:eastAsia="Times New Roman" w:cs="Times New Roman"/>
        </w:rPr>
        <w:fldChar w:fldCharType="end"/>
      </w:r>
      <w:r>
        <w:rPr>
          <w:rFonts w:eastAsia="Times New Roman" w:cs="Times New Roman"/>
        </w:rPr>
        <w:t xml:space="preserve"> untersucht und somit als Zeichenprozess in den Blick nimmt, auch wenn sie oft nicht explizit semiotische Terminologie dafür verwendet. </w:t>
      </w:r>
      <w:r w:rsidR="00885199">
        <w:rPr>
          <w:rFonts w:eastAsia="Times New Roman" w:cs="Times New Roman"/>
        </w:rPr>
        <w:t xml:space="preserve">Bahnbrechend waren </w:t>
      </w:r>
      <w:r>
        <w:rPr>
          <w:rFonts w:eastAsia="Times New Roman" w:cs="Times New Roman"/>
        </w:rPr>
        <w:t xml:space="preserve">die Arbeiten von </w:t>
      </w:r>
      <w:r w:rsidR="00885199">
        <w:rPr>
          <w:rFonts w:eastAsia="Times New Roman" w:cs="Times New Roman"/>
        </w:rPr>
        <w:t xml:space="preserve">Barbara </w:t>
      </w:r>
      <w:r w:rsidR="00F44D80">
        <w:rPr>
          <w:rFonts w:eastAsia="Times New Roman" w:cs="Times New Roman"/>
        </w:rPr>
        <w:t>Sandig</w:t>
      </w:r>
      <w:r>
        <w:rPr>
          <w:rFonts w:eastAsia="Times New Roman" w:cs="Times New Roman"/>
        </w:rPr>
        <w:t>;</w:t>
      </w:r>
      <w:r w:rsidR="00F44D80">
        <w:rPr>
          <w:rStyle w:val="Funotenzeichen"/>
          <w:rFonts w:eastAsia="Times New Roman" w:cs="Times New Roman"/>
        </w:rPr>
        <w:footnoteReference w:id="230"/>
      </w:r>
      <w:r>
        <w:rPr>
          <w:rFonts w:eastAsia="Times New Roman" w:cs="Times New Roman"/>
        </w:rPr>
        <w:t xml:space="preserve"> Sandig nimmt darin eine Beschreibung sprachlichen Handelns </w:t>
      </w:r>
      <w:r w:rsidR="00F044CD">
        <w:rPr>
          <w:rFonts w:eastAsia="Times New Roman" w:cs="Times New Roman"/>
        </w:rPr>
        <w:t xml:space="preserve">als </w:t>
      </w:r>
      <w:r>
        <w:rPr>
          <w:rFonts w:eastAsia="Times New Roman" w:cs="Times New Roman"/>
        </w:rPr>
        <w:t>Realisierung von Handlungsmustern vor</w:t>
      </w:r>
      <w:r w:rsidR="00F044CD">
        <w:rPr>
          <w:rFonts w:eastAsia="Times New Roman" w:cs="Times New Roman"/>
        </w:rPr>
        <w:t>, die sie auf der Sprechakttheorie</w:t>
      </w:r>
      <w:r w:rsidR="005D7996">
        <w:rPr>
          <w:rFonts w:eastAsia="Times New Roman" w:cs="Times New Roman"/>
        </w:rPr>
        <w:fldChar w:fldCharType="begin"/>
      </w:r>
      <w:r w:rsidR="00437775">
        <w:instrText xml:space="preserve"> XE "</w:instrText>
      </w:r>
      <w:r w:rsidR="00437775" w:rsidRPr="00D229F1">
        <w:rPr>
          <w:rFonts w:eastAsia="Times New Roman" w:cs="Times New Roman"/>
        </w:rPr>
        <w:instrText>Sprechakttheorie</w:instrText>
      </w:r>
      <w:r w:rsidR="00437775">
        <w:instrText xml:space="preserve">" </w:instrText>
      </w:r>
      <w:r w:rsidR="005D7996">
        <w:rPr>
          <w:rFonts w:eastAsia="Times New Roman" w:cs="Times New Roman"/>
        </w:rPr>
        <w:fldChar w:fldCharType="end"/>
      </w:r>
      <w:r w:rsidR="00F044CD">
        <w:rPr>
          <w:rFonts w:eastAsia="Times New Roman" w:cs="Times New Roman"/>
        </w:rPr>
        <w:t xml:space="preserve"> fundiert</w:t>
      </w:r>
      <w:r>
        <w:rPr>
          <w:rFonts w:eastAsia="Times New Roman" w:cs="Times New Roman"/>
        </w:rPr>
        <w:t>. In Sandig 1986 wird „Durchführen“ als allgemeines Handlungsmuster angenommen; eine allg</w:t>
      </w:r>
      <w:r>
        <w:rPr>
          <w:rFonts w:eastAsia="Times New Roman" w:cs="Times New Roman"/>
        </w:rPr>
        <w:t>e</w:t>
      </w:r>
      <w:r>
        <w:rPr>
          <w:rFonts w:eastAsia="Times New Roman" w:cs="Times New Roman"/>
        </w:rPr>
        <w:t>meine Beschreibungsweise, die sich zu der im Stilmodell angenommenen Fun</w:t>
      </w:r>
      <w:r>
        <w:rPr>
          <w:rFonts w:eastAsia="Times New Roman" w:cs="Times New Roman"/>
        </w:rPr>
        <w:t>k</w:t>
      </w:r>
      <w:r>
        <w:rPr>
          <w:rFonts w:eastAsia="Times New Roman" w:cs="Times New Roman"/>
        </w:rPr>
        <w:t xml:space="preserve">tion </w:t>
      </w:r>
      <w:r w:rsidRPr="005D23BF">
        <w:rPr>
          <w:rFonts w:eastAsia="Times New Roman" w:cs="Times New Roman"/>
          <w:i/>
        </w:rPr>
        <w:t>Schemaausführung</w:t>
      </w:r>
      <w:r>
        <w:rPr>
          <w:rFonts w:eastAsia="Times New Roman" w:cs="Times New Roman"/>
        </w:rPr>
        <w:t xml:space="preserve"> als Grundlage des </w:t>
      </w:r>
      <w:r w:rsidR="00BE695D">
        <w:rPr>
          <w:rFonts w:eastAsia="Times New Roman" w:cs="Times New Roman"/>
        </w:rPr>
        <w:t xml:space="preserve">Wahrnehmens </w:t>
      </w:r>
      <w:r>
        <w:rPr>
          <w:rFonts w:eastAsia="Times New Roman" w:cs="Times New Roman"/>
        </w:rPr>
        <w:t xml:space="preserve">von Stilen in Beziehung setzen lässt (vgl. Abschnitt </w:t>
      </w:r>
      <w:r w:rsidR="005D7996">
        <w:rPr>
          <w:rFonts w:eastAsia="Times New Roman" w:cs="Times New Roman"/>
        </w:rPr>
        <w:fldChar w:fldCharType="begin"/>
      </w:r>
      <w:r>
        <w:rPr>
          <w:rFonts w:eastAsia="Times New Roman" w:cs="Times New Roman"/>
        </w:rPr>
        <w:instrText xml:space="preserve"> REF _Ref212110965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5.2.2</w:t>
      </w:r>
      <w:r w:rsidR="005D7996">
        <w:rPr>
          <w:rFonts w:eastAsia="Times New Roman" w:cs="Times New Roman"/>
        </w:rPr>
        <w:fldChar w:fldCharType="end"/>
      </w:r>
      <w:r>
        <w:rPr>
          <w:rFonts w:eastAsia="Times New Roman" w:cs="Times New Roman"/>
        </w:rPr>
        <w:t>).</w:t>
      </w:r>
    </w:p>
    <w:p w:rsidR="00885199" w:rsidRDefault="00885199" w:rsidP="005A5093">
      <w:pPr>
        <w:rPr>
          <w:rFonts w:eastAsia="Times New Roman" w:cs="Times New Roman"/>
        </w:rPr>
      </w:pPr>
      <w:r>
        <w:rPr>
          <w:rFonts w:eastAsia="Times New Roman" w:cs="Times New Roman"/>
        </w:rPr>
        <w:t>Ähnlich wie das hier vorgestellte Modell nimmt Sandig stilistische Regeln an</w:t>
      </w:r>
      <w:r w:rsidR="00EC08FA">
        <w:rPr>
          <w:rFonts w:eastAsia="Times New Roman" w:cs="Times New Roman"/>
        </w:rPr>
        <w:t xml:space="preserve">; </w:t>
      </w:r>
      <w:r>
        <w:rPr>
          <w:rFonts w:eastAsia="Times New Roman" w:cs="Times New Roman"/>
        </w:rPr>
        <w:t xml:space="preserve">diese werden vom </w:t>
      </w:r>
      <w:r w:rsidR="00C75387">
        <w:rPr>
          <w:rFonts w:eastAsia="Times New Roman" w:cs="Times New Roman"/>
        </w:rPr>
        <w:t>Stilanwender</w:t>
      </w:r>
      <w:r>
        <w:rPr>
          <w:rFonts w:eastAsia="Times New Roman" w:cs="Times New Roman"/>
        </w:rPr>
        <w:t xml:space="preserve"> mit einer bestimmten Absicht angewandt und erzielen eine bestimmte Wirkung.</w:t>
      </w:r>
      <w:r w:rsidR="00EC08FA">
        <w:rPr>
          <w:rFonts w:eastAsia="Times New Roman" w:cs="Times New Roman"/>
        </w:rPr>
        <w:t xml:space="preserve"> In pragmatischer Sicht sind stilistische Regeln also Handlungsmuster, die ausgeführt werden, indem Äußerungen mit bestimmten Eigenschaften hervorgebracht werden. „</w:t>
      </w:r>
      <w:r>
        <w:rPr>
          <w:rFonts w:eastAsia="Times New Roman" w:cs="Times New Roman"/>
        </w:rPr>
        <w:t>Wiederholen</w:t>
      </w:r>
      <w:r w:rsidR="00EC08FA">
        <w:rPr>
          <w:rFonts w:eastAsia="Times New Roman" w:cs="Times New Roman"/>
        </w:rPr>
        <w:t>“</w:t>
      </w:r>
      <w:r>
        <w:rPr>
          <w:rFonts w:eastAsia="Times New Roman" w:cs="Times New Roman"/>
        </w:rPr>
        <w:t xml:space="preserve">, </w:t>
      </w:r>
      <w:r w:rsidR="00EC08FA">
        <w:rPr>
          <w:rFonts w:eastAsia="Times New Roman" w:cs="Times New Roman"/>
        </w:rPr>
        <w:t>„</w:t>
      </w:r>
      <w:r>
        <w:rPr>
          <w:rFonts w:eastAsia="Times New Roman" w:cs="Times New Roman"/>
        </w:rPr>
        <w:t>Variieren</w:t>
      </w:r>
      <w:r w:rsidR="00EC08FA">
        <w:rPr>
          <w:rFonts w:eastAsia="Times New Roman" w:cs="Times New Roman"/>
        </w:rPr>
        <w:t>“</w:t>
      </w:r>
      <w:r>
        <w:rPr>
          <w:rFonts w:eastAsia="Times New Roman" w:cs="Times New Roman"/>
        </w:rPr>
        <w:t xml:space="preserve"> und </w:t>
      </w:r>
      <w:r w:rsidR="00EC08FA">
        <w:rPr>
          <w:rFonts w:eastAsia="Times New Roman" w:cs="Times New Roman"/>
        </w:rPr>
        <w:t>„</w:t>
      </w:r>
      <w:r>
        <w:rPr>
          <w:rFonts w:eastAsia="Times New Roman" w:cs="Times New Roman"/>
        </w:rPr>
        <w:t>Fortführen</w:t>
      </w:r>
      <w:r w:rsidR="00EC08FA">
        <w:rPr>
          <w:rFonts w:eastAsia="Times New Roman" w:cs="Times New Roman"/>
        </w:rPr>
        <w:t>“</w:t>
      </w:r>
      <w:r>
        <w:rPr>
          <w:rFonts w:eastAsia="Times New Roman" w:cs="Times New Roman"/>
        </w:rPr>
        <w:t xml:space="preserve"> sind Beispiele für solche Regeln</w:t>
      </w:r>
      <w:r w:rsidR="00EC08FA">
        <w:rPr>
          <w:rFonts w:eastAsia="Times New Roman" w:cs="Times New Roman"/>
        </w:rPr>
        <w:t>.</w:t>
      </w:r>
      <w:r w:rsidR="00FC4E0B">
        <w:rPr>
          <w:rStyle w:val="Funotenzeichen"/>
          <w:rFonts w:eastAsia="Times New Roman" w:cs="Times New Roman"/>
        </w:rPr>
        <w:footnoteReference w:id="231"/>
      </w:r>
    </w:p>
    <w:p w:rsidR="00B157D7" w:rsidRDefault="00B157D7" w:rsidP="005A5093">
      <w:pPr>
        <w:rPr>
          <w:rFonts w:eastAsia="Times New Roman" w:cs="Times New Roman"/>
        </w:rPr>
      </w:pPr>
      <w:r>
        <w:rPr>
          <w:rFonts w:eastAsia="Times New Roman" w:cs="Times New Roman"/>
        </w:rPr>
        <w:t>Allerdings lassen sich viele stilistische Merkmale nicht mit solchen allg</w:t>
      </w:r>
      <w:r>
        <w:rPr>
          <w:rFonts w:eastAsia="Times New Roman" w:cs="Times New Roman"/>
        </w:rPr>
        <w:t>e</w:t>
      </w:r>
      <w:r>
        <w:rPr>
          <w:rFonts w:eastAsia="Times New Roman" w:cs="Times New Roman"/>
        </w:rPr>
        <w:t>meinen Regeln beschreiben; sie können nur unter Bezugnahme auf Schemaorte dargestellt werden. Bei sprachlichen Texten wurden lange Zeit bestimmte stilist</w:t>
      </w:r>
      <w:r>
        <w:rPr>
          <w:rFonts w:eastAsia="Times New Roman" w:cs="Times New Roman"/>
        </w:rPr>
        <w:t>i</w:t>
      </w:r>
      <w:r>
        <w:rPr>
          <w:rFonts w:eastAsia="Times New Roman" w:cs="Times New Roman"/>
        </w:rPr>
        <w:t>sche Merkmale, wie etwa Wiederholungen und Häufigkeiten, bevorzugt beha</w:t>
      </w:r>
      <w:r>
        <w:rPr>
          <w:rFonts w:eastAsia="Times New Roman" w:cs="Times New Roman"/>
        </w:rPr>
        <w:t>n</w:t>
      </w:r>
      <w:r>
        <w:rPr>
          <w:rFonts w:eastAsia="Times New Roman" w:cs="Times New Roman"/>
        </w:rPr>
        <w:t xml:space="preserve">delt, weil sie präzise beschrieben werden konnten. </w:t>
      </w:r>
      <w:r w:rsidR="005D50BA">
        <w:rPr>
          <w:rFonts w:eastAsia="Times New Roman" w:cs="Times New Roman"/>
        </w:rPr>
        <w:t>Durch Erweiterung der Han</w:t>
      </w:r>
      <w:r w:rsidR="005D50BA">
        <w:rPr>
          <w:rFonts w:eastAsia="Times New Roman" w:cs="Times New Roman"/>
        </w:rPr>
        <w:t>d</w:t>
      </w:r>
      <w:r w:rsidR="005D50BA">
        <w:rPr>
          <w:rFonts w:eastAsia="Times New Roman" w:cs="Times New Roman"/>
        </w:rPr>
        <w:t xml:space="preserve">lungsmuster ließe sich </w:t>
      </w:r>
      <w:r w:rsidR="004D5BB1">
        <w:rPr>
          <w:rFonts w:eastAsia="Times New Roman" w:cs="Times New Roman"/>
        </w:rPr>
        <w:t>Sandigs</w:t>
      </w:r>
      <w:r w:rsidR="005D50BA">
        <w:rPr>
          <w:rFonts w:eastAsia="Times New Roman" w:cs="Times New Roman"/>
        </w:rPr>
        <w:t xml:space="preserve"> Theorie </w:t>
      </w:r>
      <w:r w:rsidR="004D5BB1">
        <w:rPr>
          <w:rFonts w:eastAsia="Times New Roman" w:cs="Times New Roman"/>
        </w:rPr>
        <w:t xml:space="preserve">wohl </w:t>
      </w:r>
      <w:r w:rsidR="005D50BA">
        <w:rPr>
          <w:rFonts w:eastAsia="Times New Roman" w:cs="Times New Roman"/>
        </w:rPr>
        <w:t>zur Beschreibung konkreter Be</w:t>
      </w:r>
      <w:r w:rsidR="005D50BA">
        <w:rPr>
          <w:rFonts w:eastAsia="Times New Roman" w:cs="Times New Roman"/>
        </w:rPr>
        <w:t>i</w:t>
      </w:r>
      <w:r w:rsidR="005D50BA">
        <w:rPr>
          <w:rFonts w:eastAsia="Times New Roman" w:cs="Times New Roman"/>
        </w:rPr>
        <w:t>spiele verwenden, dafür müssten jedoch vermutlich immer wieder neue Hand</w:t>
      </w:r>
      <w:r w:rsidR="00CC4ADA">
        <w:rPr>
          <w:rFonts w:eastAsia="Times New Roman" w:cs="Times New Roman"/>
        </w:rPr>
        <w:softHyphen/>
      </w:r>
      <w:r w:rsidR="005D50BA">
        <w:rPr>
          <w:rFonts w:eastAsia="Times New Roman" w:cs="Times New Roman"/>
        </w:rPr>
        <w:t>lungs</w:t>
      </w:r>
      <w:r w:rsidR="003D2F4E">
        <w:rPr>
          <w:rFonts w:eastAsia="Times New Roman" w:cs="Times New Roman"/>
        </w:rPr>
        <w:softHyphen/>
      </w:r>
      <w:r w:rsidR="005D50BA">
        <w:rPr>
          <w:rFonts w:eastAsia="Times New Roman" w:cs="Times New Roman"/>
        </w:rPr>
        <w:t>muster eingeführt werden.</w:t>
      </w:r>
      <w:r w:rsidR="004D5BB1">
        <w:rPr>
          <w:rStyle w:val="Funotenzeichen"/>
          <w:rFonts w:eastAsia="Times New Roman" w:cs="Times New Roman"/>
        </w:rPr>
        <w:footnoteReference w:id="232"/>
      </w:r>
      <w:r w:rsidR="005D50BA">
        <w:rPr>
          <w:rFonts w:eastAsia="Times New Roman" w:cs="Times New Roman"/>
        </w:rPr>
        <w:t xml:space="preserve"> </w:t>
      </w:r>
      <w:r>
        <w:rPr>
          <w:rFonts w:eastAsia="Times New Roman" w:cs="Times New Roman"/>
        </w:rPr>
        <w:t xml:space="preserve">Das </w:t>
      </w:r>
      <w:r w:rsidR="005D50BA">
        <w:rPr>
          <w:rFonts w:eastAsia="Times New Roman" w:cs="Times New Roman"/>
        </w:rPr>
        <w:t xml:space="preserve">hängt damit zusammen, dass Schemata </w:t>
      </w:r>
      <w:r w:rsidR="005D50BA">
        <w:rPr>
          <w:rFonts w:eastAsia="Times New Roman" w:cs="Times New Roman"/>
        </w:rPr>
        <w:lastRenderedPageBreak/>
        <w:t>und Schemaorte nicht berücksichtigt werden. Dies führt auch dazu, d</w:t>
      </w:r>
      <w:r w:rsidR="004D5BB1">
        <w:rPr>
          <w:rFonts w:eastAsia="Times New Roman" w:cs="Times New Roman"/>
        </w:rPr>
        <w:t>ass Sandigs linguistische Stil</w:t>
      </w:r>
      <w:r w:rsidR="005D50BA">
        <w:rPr>
          <w:rFonts w:eastAsia="Times New Roman" w:cs="Times New Roman"/>
        </w:rPr>
        <w:t xml:space="preserve">theorie </w:t>
      </w:r>
      <w:r w:rsidR="004D5BB1">
        <w:rPr>
          <w:rFonts w:eastAsia="Times New Roman" w:cs="Times New Roman"/>
        </w:rPr>
        <w:t>trotz ihrer handlungstheoretischen</w:t>
      </w:r>
      <w:r w:rsidR="005D7996">
        <w:rPr>
          <w:rFonts w:eastAsia="Times New Roman" w:cs="Times New Roman"/>
        </w:rPr>
        <w:fldChar w:fldCharType="begin"/>
      </w:r>
      <w:r w:rsidR="009F46E4">
        <w:instrText xml:space="preserve"> XE "</w:instrText>
      </w:r>
      <w:r w:rsidR="009F46E4" w:rsidRPr="002C3838">
        <w:rPr>
          <w:rFonts w:eastAsia="Times New Roman" w:cs="Times New Roman"/>
        </w:rPr>
        <w:instrText>Handlungstheorie</w:instrText>
      </w:r>
      <w:r w:rsidR="009F46E4">
        <w:instrText xml:space="preserve">" </w:instrText>
      </w:r>
      <w:r w:rsidR="005D7996">
        <w:rPr>
          <w:rFonts w:eastAsia="Times New Roman" w:cs="Times New Roman"/>
        </w:rPr>
        <w:fldChar w:fldCharType="end"/>
      </w:r>
      <w:r w:rsidR="004D5BB1">
        <w:rPr>
          <w:rFonts w:eastAsia="Times New Roman" w:cs="Times New Roman"/>
        </w:rPr>
        <w:t xml:space="preserve"> Grundlegung </w:t>
      </w:r>
      <w:r w:rsidR="005D50BA">
        <w:rPr>
          <w:rFonts w:eastAsia="Times New Roman" w:cs="Times New Roman"/>
        </w:rPr>
        <w:t xml:space="preserve">schwer auf andere Stilbereiche übertragbar erscheint, in denen Handlungsmuster wie „Wiederholen“ und „Variieren“ noch weniger für eine genaue Stilbeschreibung ausreichen. </w:t>
      </w:r>
      <w:r>
        <w:rPr>
          <w:rFonts w:eastAsia="Times New Roman" w:cs="Times New Roman"/>
        </w:rPr>
        <w:t xml:space="preserve">Wie soll man beispielsweise mit Hilfe </w:t>
      </w:r>
      <w:r w:rsidR="005D50BA">
        <w:rPr>
          <w:rFonts w:eastAsia="Times New Roman" w:cs="Times New Roman"/>
        </w:rPr>
        <w:t xml:space="preserve">allgemeiner Handlungsmuster dieser Art </w:t>
      </w:r>
      <w:r>
        <w:rPr>
          <w:rFonts w:eastAsia="Times New Roman" w:cs="Times New Roman"/>
        </w:rPr>
        <w:t xml:space="preserve">beschreiben, dass eine Architektin ihre Gebäude stets aus mehreren miteinander in Form und Größe kontrastierenden Baukörpern zusammensetzt? Dafür ist es nötig, auf das Schema </w:t>
      </w:r>
      <w:r w:rsidR="00F61985">
        <w:rPr>
          <w:rFonts w:eastAsia="Times New Roman" w:cs="Times New Roman"/>
        </w:rPr>
        <w:t>‚</w:t>
      </w:r>
      <w:r>
        <w:rPr>
          <w:rFonts w:eastAsia="Times New Roman" w:cs="Times New Roman"/>
        </w:rPr>
        <w:t>Architektur</w:t>
      </w:r>
      <w:r w:rsidR="00F61985">
        <w:rPr>
          <w:rFonts w:eastAsia="Times New Roman" w:cs="Times New Roman"/>
        </w:rPr>
        <w:t>‘</w:t>
      </w:r>
      <w:r>
        <w:rPr>
          <w:rFonts w:eastAsia="Times New Roman" w:cs="Times New Roman"/>
        </w:rPr>
        <w:t xml:space="preserve"> und darin auf den Schemaort </w:t>
      </w:r>
      <w:r w:rsidR="00F61985">
        <w:rPr>
          <w:rFonts w:eastAsia="Times New Roman" w:cs="Times New Roman"/>
        </w:rPr>
        <w:t>‚</w:t>
      </w:r>
      <w:r>
        <w:rPr>
          <w:rFonts w:eastAsia="Times New Roman" w:cs="Times New Roman"/>
        </w:rPr>
        <w:t>Form des Gebäudes</w:t>
      </w:r>
      <w:r w:rsidR="00F61985">
        <w:rPr>
          <w:rFonts w:eastAsia="Times New Roman" w:cs="Times New Roman"/>
        </w:rPr>
        <w:t>‘</w:t>
      </w:r>
      <w:r>
        <w:rPr>
          <w:rFonts w:eastAsia="Times New Roman" w:cs="Times New Roman"/>
        </w:rPr>
        <w:t xml:space="preserve"> Bezug zu nehmen, für den nun bestimmte Eigenschaften spezifiziert werden. Der Ansatz von Sandig ist, da er seine Beschreibung auf allgemeine Handlungsmuster und nicht auf spezifische, schemabezogene Mer</w:t>
      </w:r>
      <w:r>
        <w:rPr>
          <w:rFonts w:eastAsia="Times New Roman" w:cs="Times New Roman"/>
        </w:rPr>
        <w:t>k</w:t>
      </w:r>
      <w:r>
        <w:rPr>
          <w:rFonts w:eastAsia="Times New Roman" w:cs="Times New Roman"/>
        </w:rPr>
        <w:t xml:space="preserve">male setzt, </w:t>
      </w:r>
      <w:r w:rsidR="005D50BA">
        <w:rPr>
          <w:rFonts w:eastAsia="Times New Roman" w:cs="Times New Roman"/>
        </w:rPr>
        <w:t xml:space="preserve">einfach nicht </w:t>
      </w:r>
      <w:r>
        <w:rPr>
          <w:rFonts w:eastAsia="Times New Roman" w:cs="Times New Roman"/>
        </w:rPr>
        <w:t>genau genug</w:t>
      </w:r>
      <w:r w:rsidR="00726361">
        <w:rPr>
          <w:rFonts w:eastAsia="Times New Roman" w:cs="Times New Roman"/>
        </w:rPr>
        <w:t xml:space="preserve"> für die meisten</w:t>
      </w:r>
      <w:r>
        <w:rPr>
          <w:rFonts w:eastAsia="Times New Roman" w:cs="Times New Roman"/>
        </w:rPr>
        <w:t xml:space="preserve"> Stile</w:t>
      </w:r>
      <w:r w:rsidR="00726361">
        <w:rPr>
          <w:rFonts w:eastAsia="Times New Roman" w:cs="Times New Roman"/>
        </w:rPr>
        <w:t>.</w:t>
      </w:r>
    </w:p>
    <w:p w:rsidR="00DF174F" w:rsidRDefault="00DF174F" w:rsidP="005A5093">
      <w:pPr>
        <w:rPr>
          <w:rFonts w:eastAsia="Times New Roman" w:cs="Times New Roman"/>
        </w:rPr>
      </w:pPr>
      <w:r>
        <w:rPr>
          <w:rFonts w:eastAsia="Times New Roman" w:cs="Times New Roman"/>
        </w:rPr>
        <w:t>Richard Ohmann setzt Stil beim Tennisspielen oder beim Klavierspielen mit der Auswahl aus allen Varianten gleich, die nicht in den Regeln des Spiels oder im zu befolgenden Notentext festgelegt sind, soweit diese Auswahl gewoh</w:t>
      </w:r>
      <w:r>
        <w:rPr>
          <w:rFonts w:eastAsia="Times New Roman" w:cs="Times New Roman"/>
        </w:rPr>
        <w:t>n</w:t>
      </w:r>
      <w:r>
        <w:rPr>
          <w:rFonts w:eastAsia="Times New Roman" w:cs="Times New Roman"/>
        </w:rPr>
        <w:t>heitsbedingt und wiederkehrend ist.</w:t>
      </w:r>
      <w:r>
        <w:rPr>
          <w:rStyle w:val="Funotenzeichen"/>
          <w:rFonts w:eastAsia="Times New Roman" w:cs="Times New Roman"/>
        </w:rPr>
        <w:footnoteReference w:id="233"/>
      </w:r>
      <w:r>
        <w:rPr>
          <w:rFonts w:eastAsia="Times New Roman" w:cs="Times New Roman"/>
        </w:rPr>
        <w:t xml:space="preserve"> Er nimmt also an, dass die konstitutiven Regeln</w:t>
      </w:r>
      <w:r w:rsidR="005D7996">
        <w:rPr>
          <w:rFonts w:eastAsia="Times New Roman" w:cs="Times New Roman"/>
        </w:rPr>
        <w:fldChar w:fldCharType="begin"/>
      </w:r>
      <w:r w:rsidR="008B1E57">
        <w:instrText xml:space="preserve"> XE "</w:instrText>
      </w:r>
      <w:r w:rsidR="008B1E57" w:rsidRPr="007D5776">
        <w:rPr>
          <w:rFonts w:eastAsia="Times New Roman" w:cs="Times New Roman"/>
        </w:rPr>
        <w:instrText>konstitutive Regeln</w:instrText>
      </w:r>
      <w:r w:rsidR="008B1E57">
        <w:instrText xml:space="preserve">" </w:instrText>
      </w:r>
      <w:r w:rsidR="005D7996">
        <w:rPr>
          <w:rFonts w:eastAsia="Times New Roman" w:cs="Times New Roman"/>
        </w:rPr>
        <w:fldChar w:fldCharType="end"/>
      </w:r>
      <w:r>
        <w:rPr>
          <w:rFonts w:eastAsia="Times New Roman" w:cs="Times New Roman"/>
        </w:rPr>
        <w:t xml:space="preserve"> eines Verhaltensbereichs (Spielregeln bzw. Ausführungsregeln durch den Notentext) den Rahmen angeben, und erkennt auch, dass die Auswahl aus den verbleibenden Möglichkeiten regelhaft sein muss, um Stil darzustellen. Barbara Sandig kritisiert dies mit dem Hinweis, dass auch Regelverstöße zu Stil gehören können, etwa wenn ein Tennisspieler in bestimmten Spielsituationen </w:t>
      </w:r>
      <w:r w:rsidR="0096294E">
        <w:rPr>
          <w:rFonts w:eastAsia="Times New Roman" w:cs="Times New Roman"/>
        </w:rPr>
        <w:t>häufig das Netz berührt, was im Tennis</w:t>
      </w:r>
      <w:r w:rsidR="005D7996">
        <w:rPr>
          <w:rFonts w:eastAsia="Times New Roman" w:cs="Times New Roman"/>
        </w:rPr>
        <w:fldChar w:fldCharType="begin"/>
      </w:r>
      <w:r w:rsidR="008B1E57">
        <w:instrText xml:space="preserve"> XE "</w:instrText>
      </w:r>
      <w:r w:rsidR="008B1E57" w:rsidRPr="00B67F84">
        <w:rPr>
          <w:rFonts w:eastAsia="Times New Roman" w:cs="Times New Roman"/>
        </w:rPr>
        <w:instrText>Tennis</w:instrText>
      </w:r>
      <w:r w:rsidR="008B1E57">
        <w:instrText xml:space="preserve">" </w:instrText>
      </w:r>
      <w:r w:rsidR="005D7996">
        <w:rPr>
          <w:rFonts w:eastAsia="Times New Roman" w:cs="Times New Roman"/>
        </w:rPr>
        <w:fldChar w:fldCharType="end"/>
      </w:r>
      <w:r w:rsidR="0096294E">
        <w:rPr>
          <w:rFonts w:eastAsia="Times New Roman" w:cs="Times New Roman"/>
        </w:rPr>
        <w:t xml:space="preserve"> nicht erlaubt ist</w:t>
      </w:r>
      <w:r>
        <w:rPr>
          <w:rFonts w:eastAsia="Times New Roman" w:cs="Times New Roman"/>
        </w:rPr>
        <w:t>; Stil kann also durchaus regelhafte Muster enthalten, die auf Verstößen gegen konstitutive Regeln basieren.</w:t>
      </w:r>
      <w:r>
        <w:rPr>
          <w:rStyle w:val="Funotenzeichen"/>
          <w:rFonts w:eastAsia="Times New Roman" w:cs="Times New Roman"/>
        </w:rPr>
        <w:footnoteReference w:id="234"/>
      </w:r>
    </w:p>
    <w:p w:rsidR="00252652" w:rsidRDefault="00DF174F" w:rsidP="005A5093">
      <w:pPr>
        <w:rPr>
          <w:rFonts w:eastAsia="Times New Roman" w:cs="Times New Roman"/>
        </w:rPr>
      </w:pPr>
      <w:r>
        <w:rPr>
          <w:rFonts w:eastAsia="Times New Roman" w:cs="Times New Roman"/>
        </w:rPr>
        <w:t>Zu ergänzen ist, dass auch nicht alle Auswahl innerhalb des durch konstit</w:t>
      </w:r>
      <w:r>
        <w:rPr>
          <w:rFonts w:eastAsia="Times New Roman" w:cs="Times New Roman"/>
        </w:rPr>
        <w:t>u</w:t>
      </w:r>
      <w:r>
        <w:rPr>
          <w:rFonts w:eastAsia="Times New Roman" w:cs="Times New Roman"/>
        </w:rPr>
        <w:t>tive Regeln festgelegten Bereichs stilistisch ist: Es gibt auch Auswahl aufgrund funktionaler Beschränkungen – etwa wenn ein Pianist zu einem traurigen Anlass entsprechende Stücke spielt – und aufgrund von Beschränkungen durch äußere Einflüsse (etwa wenn starker Regen die Tennisspieler zu bestimmten Anpassu</w:t>
      </w:r>
      <w:r>
        <w:rPr>
          <w:rFonts w:eastAsia="Times New Roman" w:cs="Times New Roman"/>
        </w:rPr>
        <w:t>n</w:t>
      </w:r>
      <w:r>
        <w:rPr>
          <w:rFonts w:eastAsia="Times New Roman" w:cs="Times New Roman"/>
        </w:rPr>
        <w:t>gen der Spieltechnik zwingt).</w:t>
      </w:r>
      <w:r>
        <w:rPr>
          <w:rStyle w:val="Funotenzeichen"/>
          <w:rFonts w:eastAsia="Times New Roman" w:cs="Times New Roman"/>
        </w:rPr>
        <w:footnoteReference w:id="235"/>
      </w:r>
      <w:r>
        <w:rPr>
          <w:rFonts w:eastAsia="Times New Roman" w:cs="Times New Roman"/>
        </w:rPr>
        <w:t xml:space="preserve"> Zudem können nicht nur die konstitutiven, so</w:t>
      </w:r>
      <w:r>
        <w:rPr>
          <w:rFonts w:eastAsia="Times New Roman" w:cs="Times New Roman"/>
        </w:rPr>
        <w:t>n</w:t>
      </w:r>
      <w:r>
        <w:rPr>
          <w:rFonts w:eastAsia="Times New Roman" w:cs="Times New Roman"/>
        </w:rPr>
        <w:t>dern auch die regulativen Regeln</w:t>
      </w:r>
      <w:r w:rsidR="005D7996">
        <w:rPr>
          <w:rFonts w:eastAsia="Times New Roman" w:cs="Times New Roman"/>
        </w:rPr>
        <w:fldChar w:fldCharType="begin"/>
      </w:r>
      <w:r w:rsidR="005947F0">
        <w:instrText xml:space="preserve"> XE "</w:instrText>
      </w:r>
      <w:r w:rsidR="005947F0" w:rsidRPr="004D4D70">
        <w:rPr>
          <w:rFonts w:eastAsia="Times New Roman" w:cs="Times New Roman"/>
        </w:rPr>
        <w:instrText>regulative Regeln</w:instrText>
      </w:r>
      <w:r w:rsidR="005947F0">
        <w:instrText xml:space="preserve">" </w:instrText>
      </w:r>
      <w:r w:rsidR="005D7996">
        <w:rPr>
          <w:rFonts w:eastAsia="Times New Roman" w:cs="Times New Roman"/>
        </w:rPr>
        <w:fldChar w:fldCharType="end"/>
      </w:r>
      <w:r>
        <w:rPr>
          <w:rFonts w:eastAsia="Times New Roman" w:cs="Times New Roman"/>
        </w:rPr>
        <w:t xml:space="preserve"> den Rahmen für stilistische Auswahl bilden; so gibt es bei Tennis</w:t>
      </w:r>
      <w:r w:rsidR="005D7996">
        <w:rPr>
          <w:rFonts w:eastAsia="Times New Roman" w:cs="Times New Roman"/>
        </w:rPr>
        <w:fldChar w:fldCharType="begin"/>
      </w:r>
      <w:r w:rsidR="008B1E57">
        <w:instrText xml:space="preserve"> XE "</w:instrText>
      </w:r>
      <w:r w:rsidR="008B1E57" w:rsidRPr="00B67F84">
        <w:rPr>
          <w:rFonts w:eastAsia="Times New Roman" w:cs="Times New Roman"/>
        </w:rPr>
        <w:instrText>Tennis</w:instrText>
      </w:r>
      <w:r w:rsidR="008B1E57">
        <w:instrText xml:space="preserve">" </w:instrText>
      </w:r>
      <w:r w:rsidR="005D7996">
        <w:rPr>
          <w:rFonts w:eastAsia="Times New Roman" w:cs="Times New Roman"/>
        </w:rPr>
        <w:fldChar w:fldCharType="end"/>
      </w:r>
      <w:r>
        <w:rPr>
          <w:rFonts w:eastAsia="Times New Roman" w:cs="Times New Roman"/>
        </w:rPr>
        <w:t xml:space="preserve"> verschiedene Schlag</w:t>
      </w:r>
      <w:r w:rsidR="00E22A51">
        <w:rPr>
          <w:rFonts w:eastAsia="Times New Roman" w:cs="Times New Roman"/>
        </w:rPr>
        <w:t>arten</w:t>
      </w:r>
      <w:r w:rsidR="005D7996">
        <w:rPr>
          <w:rFonts w:eastAsia="Times New Roman" w:cs="Times New Roman"/>
        </w:rPr>
        <w:fldChar w:fldCharType="begin"/>
      </w:r>
      <w:r w:rsidR="000B2108">
        <w:instrText xml:space="preserve"> XE "</w:instrText>
      </w:r>
      <w:r w:rsidR="000B2108" w:rsidRPr="00CE7D37">
        <w:rPr>
          <w:rFonts w:eastAsia="Times New Roman" w:cs="Times New Roman"/>
        </w:rPr>
        <w:instrText>Schlagart (Tennis, Badminton)</w:instrText>
      </w:r>
      <w:r w:rsidR="000B2108">
        <w:instrText xml:space="preserve">" </w:instrText>
      </w:r>
      <w:r w:rsidR="005D7996">
        <w:rPr>
          <w:rFonts w:eastAsia="Times New Roman" w:cs="Times New Roman"/>
        </w:rPr>
        <w:fldChar w:fldCharType="end"/>
      </w:r>
      <w:r w:rsidR="00E22A51">
        <w:rPr>
          <w:rFonts w:eastAsia="Times New Roman" w:cs="Times New Roman"/>
        </w:rPr>
        <w:t xml:space="preserve"> </w:t>
      </w:r>
      <w:r>
        <w:rPr>
          <w:rFonts w:eastAsia="Times New Roman" w:cs="Times New Roman"/>
        </w:rPr>
        <w:t>(Smash</w:t>
      </w:r>
      <w:r w:rsidR="00E22A51">
        <w:rPr>
          <w:rFonts w:eastAsia="Times New Roman" w:cs="Times New Roman"/>
        </w:rPr>
        <w:t>, Lob, Topspin</w:t>
      </w:r>
      <w:r>
        <w:rPr>
          <w:rFonts w:eastAsia="Times New Roman" w:cs="Times New Roman"/>
        </w:rPr>
        <w:t xml:space="preserve"> usw.), die in den Regeln nicht erwähnt werden, sich aber aus den Anforderungen des Spiels heraus etabliert haben; die Definition solcher </w:t>
      </w:r>
      <w:r w:rsidR="00097FF6">
        <w:rPr>
          <w:rFonts w:eastAsia="Times New Roman" w:cs="Times New Roman"/>
        </w:rPr>
        <w:t>Schlagarten</w:t>
      </w:r>
      <w:r>
        <w:rPr>
          <w:rFonts w:eastAsia="Times New Roman" w:cs="Times New Roman"/>
        </w:rPr>
        <w:t xml:space="preserve"> und ihre Anwe</w:t>
      </w:r>
      <w:r>
        <w:rPr>
          <w:rFonts w:eastAsia="Times New Roman" w:cs="Times New Roman"/>
        </w:rPr>
        <w:t>n</w:t>
      </w:r>
      <w:r>
        <w:rPr>
          <w:rFonts w:eastAsia="Times New Roman" w:cs="Times New Roman"/>
        </w:rPr>
        <w:t>dungsmöglichkeiten gehören zu den regulativen Regeln beim Tennis, ihre genaue Ausführungsweise gehört ebenfalls zum Stil. Und natürlich sind auch hier Ve</w:t>
      </w:r>
      <w:r>
        <w:rPr>
          <w:rFonts w:eastAsia="Times New Roman" w:cs="Times New Roman"/>
        </w:rPr>
        <w:t>r</w:t>
      </w:r>
      <w:r>
        <w:rPr>
          <w:rFonts w:eastAsia="Times New Roman" w:cs="Times New Roman"/>
        </w:rPr>
        <w:t xml:space="preserve">stöße gegen die regulativen Regeln (eine als inkorrekt geltende Ausführung oder </w:t>
      </w:r>
      <w:r>
        <w:rPr>
          <w:rFonts w:eastAsia="Times New Roman" w:cs="Times New Roman"/>
        </w:rPr>
        <w:lastRenderedPageBreak/>
        <w:t>situationsspezifische Anwendung) Teil des Stils, wie es Barbara Sandig für die konstitutiven Regeln betont hatte.</w:t>
      </w:r>
      <w:r>
        <w:rPr>
          <w:rStyle w:val="Funotenzeichen"/>
          <w:rFonts w:eastAsia="Times New Roman" w:cs="Times New Roman"/>
        </w:rPr>
        <w:footnoteReference w:id="236"/>
      </w:r>
    </w:p>
    <w:p w:rsidR="00AC2C29" w:rsidRPr="00AC2C29" w:rsidRDefault="00AC2C29" w:rsidP="005A5093">
      <w:r w:rsidRPr="00AC2C29">
        <w:t xml:space="preserve">Der </w:t>
      </w:r>
      <w:r w:rsidR="00E645CF">
        <w:t xml:space="preserve">Komponist und </w:t>
      </w:r>
      <w:r w:rsidRPr="00AC2C29">
        <w:t xml:space="preserve">Musikwissenschaftler Leonard B. Meyer </w:t>
      </w:r>
      <w:r w:rsidR="00EB54A9">
        <w:t xml:space="preserve">gibt eine der </w:t>
      </w:r>
      <w:r w:rsidR="00EE7735">
        <w:t>seltenen</w:t>
      </w:r>
      <w:r w:rsidR="00EB54A9">
        <w:t xml:space="preserve"> explizit </w:t>
      </w:r>
      <w:r w:rsidR="00EE7735">
        <w:t>bereichsübergreifenden</w:t>
      </w:r>
      <w:r w:rsidR="00EB54A9">
        <w:t xml:space="preserve"> Stild</w:t>
      </w:r>
      <w:r w:rsidRPr="00AC2C29">
        <w:t>efinition</w:t>
      </w:r>
      <w:r w:rsidR="00EB54A9">
        <w:t>en</w:t>
      </w:r>
      <w:r w:rsidRPr="00AC2C29">
        <w:t>:</w:t>
      </w:r>
      <w:r>
        <w:rPr>
          <w:rStyle w:val="Funotenzeichen"/>
        </w:rPr>
        <w:footnoteReference w:id="237"/>
      </w:r>
    </w:p>
    <w:p w:rsidR="00AC2C29" w:rsidRPr="003F1A6B" w:rsidRDefault="00AC2C29" w:rsidP="005A5093">
      <w:pPr>
        <w:pStyle w:val="Zitat"/>
        <w:rPr>
          <w:lang w:val="en-US"/>
        </w:rPr>
      </w:pPr>
      <w:r w:rsidRPr="00AC2C29">
        <w:rPr>
          <w:lang w:val="en-US"/>
        </w:rPr>
        <w:t>Style is a replication of patterning, whether in human behavior or in the art</w:t>
      </w:r>
      <w:r w:rsidRPr="00AC2C29">
        <w:rPr>
          <w:lang w:val="en-US"/>
        </w:rPr>
        <w:t>i</w:t>
      </w:r>
      <w:r w:rsidRPr="00AC2C29">
        <w:rPr>
          <w:lang w:val="en-US"/>
        </w:rPr>
        <w:t xml:space="preserve">facts produced by human behavior, that results from a series of choices made within some set of constraints. </w:t>
      </w:r>
      <w:r w:rsidR="003F1A6B" w:rsidRPr="003F3D48">
        <w:rPr>
          <w:lang w:val="en-US"/>
        </w:rPr>
        <w:t xml:space="preserve">An individual’s style of speaking or writing, for instance, results in large part from lexical, grammatical, and syntactic choices made within the constraints of the language </w:t>
      </w:r>
      <w:r w:rsidR="003F1A6B">
        <w:rPr>
          <w:lang w:val="en-US"/>
        </w:rPr>
        <w:t xml:space="preserve">and dialect he has learned […]. </w:t>
      </w:r>
      <w:r w:rsidRPr="003F3D48">
        <w:rPr>
          <w:lang w:val="en-US"/>
        </w:rPr>
        <w:t>And so it is in music, painting and the other arts.</w:t>
      </w:r>
      <w:r w:rsidR="003F1A6B">
        <w:rPr>
          <w:lang w:val="en-US"/>
        </w:rPr>
        <w:t xml:space="preserve"> [T]he constraints […]</w:t>
      </w:r>
      <w:r>
        <w:rPr>
          <w:lang w:val="en-US"/>
        </w:rPr>
        <w:t xml:space="preserve"> </w:t>
      </w:r>
      <w:r w:rsidR="003F1A6B">
        <w:rPr>
          <w:lang w:val="en-US"/>
        </w:rPr>
        <w:t>are learned and adopted as part of the historical/cultural circumstances of individ</w:t>
      </w:r>
      <w:r w:rsidR="003F1A6B">
        <w:rPr>
          <w:lang w:val="en-US"/>
        </w:rPr>
        <w:t>u</w:t>
      </w:r>
      <w:r w:rsidR="003F1A6B">
        <w:rPr>
          <w:lang w:val="en-US"/>
        </w:rPr>
        <w:t xml:space="preserve">als or groups. </w:t>
      </w:r>
      <w:r w:rsidR="00242FE9">
        <w:rPr>
          <w:lang w:val="en-US"/>
        </w:rPr>
        <w:t>S</w:t>
      </w:r>
      <w:r>
        <w:rPr>
          <w:lang w:val="en-US"/>
        </w:rPr>
        <w:t xml:space="preserve">ince constraints allow for a variety of realizations, patterns need not be alike in </w:t>
      </w:r>
      <w:r w:rsidRPr="001E359B">
        <w:rPr>
          <w:i/>
          <w:lang w:val="en-US"/>
        </w:rPr>
        <w:t>all</w:t>
      </w:r>
      <w:r>
        <w:rPr>
          <w:lang w:val="en-US"/>
        </w:rPr>
        <w:t xml:space="preserve"> respects in order to be shared replications, but only in those respects that define the pattern-relationships in question.</w:t>
      </w:r>
    </w:p>
    <w:p w:rsidR="0035527D" w:rsidRDefault="00AC2C29" w:rsidP="00A168AE">
      <w:pPr>
        <w:ind w:firstLine="0"/>
      </w:pPr>
      <w:r w:rsidRPr="009F0C10">
        <w:t xml:space="preserve">Meyers </w:t>
      </w:r>
      <w:r w:rsidR="00D55E5A">
        <w:t xml:space="preserve">Definition hat viele Ähnlichkeiten mit der </w:t>
      </w:r>
      <w:r w:rsidR="00EE7735">
        <w:t>hier vertretenen Auffassung von Stil</w:t>
      </w:r>
      <w:r w:rsidR="00D55E5A">
        <w:t xml:space="preserve">: Seine </w:t>
      </w:r>
      <w:r>
        <w:t>„</w:t>
      </w:r>
      <w:r w:rsidRPr="009F0C10">
        <w:t>Constraints</w:t>
      </w:r>
      <w:r>
        <w:t>“</w:t>
      </w:r>
      <w:r w:rsidRPr="009F0C10">
        <w:t xml:space="preserve"> </w:t>
      </w:r>
      <w:r>
        <w:t>entsprechen</w:t>
      </w:r>
      <w:r w:rsidRPr="009F0C10">
        <w:t xml:space="preserve"> </w:t>
      </w:r>
      <w:r w:rsidR="00D55E5A">
        <w:t xml:space="preserve">ungefähr unseren </w:t>
      </w:r>
      <w:r>
        <w:t>Schemaortbedi</w:t>
      </w:r>
      <w:r>
        <w:t>n</w:t>
      </w:r>
      <w:r>
        <w:t xml:space="preserve">gungen (vgl. </w:t>
      </w:r>
      <w:r w:rsidR="00A64EFE">
        <w:t xml:space="preserve">die Abschnitte </w:t>
      </w:r>
      <w:r w:rsidR="005D7996">
        <w:fldChar w:fldCharType="begin"/>
      </w:r>
      <w:r>
        <w:instrText xml:space="preserve"> REF _Ref262119559 \r \h </w:instrText>
      </w:r>
      <w:r w:rsidR="005D7996">
        <w:fldChar w:fldCharType="separate"/>
      </w:r>
      <w:r w:rsidR="001231D3">
        <w:t>2.6</w:t>
      </w:r>
      <w:r w:rsidR="005D7996">
        <w:fldChar w:fldCharType="end"/>
      </w:r>
      <w:r>
        <w:t xml:space="preserve"> sowie </w:t>
      </w:r>
      <w:r w:rsidR="005D7996">
        <w:fldChar w:fldCharType="begin"/>
      </w:r>
      <w:r>
        <w:instrText xml:space="preserve"> REF _Ref211841829 \r \h </w:instrText>
      </w:r>
      <w:r w:rsidR="005D7996">
        <w:fldChar w:fldCharType="separate"/>
      </w:r>
      <w:r w:rsidR="001231D3">
        <w:t>4.3.1</w:t>
      </w:r>
      <w:r w:rsidR="005D7996">
        <w:fldChar w:fldCharType="end"/>
      </w:r>
      <w:r>
        <w:t>, (1))</w:t>
      </w:r>
      <w:r w:rsidR="0035527D">
        <w:t>.</w:t>
      </w:r>
      <w:r w:rsidR="00675AF4">
        <w:t xml:space="preserve"> </w:t>
      </w:r>
      <w:r w:rsidR="0035527D">
        <w:t>D</w:t>
      </w:r>
      <w:r w:rsidR="00D55E5A">
        <w:t xml:space="preserve">ie Auffassung, dass </w:t>
      </w:r>
      <w:r w:rsidR="00675AF4">
        <w:t>Stile bei menschlichem Verhalten und Artefakten als Ergebnissen menschlichen Verha</w:t>
      </w:r>
      <w:r w:rsidR="00675AF4">
        <w:t>l</w:t>
      </w:r>
      <w:r w:rsidR="00675AF4">
        <w:t xml:space="preserve">tens auftreten, </w:t>
      </w:r>
      <w:r w:rsidR="0035527D">
        <w:t xml:space="preserve">und </w:t>
      </w:r>
      <w:r w:rsidR="00D55E5A">
        <w:t xml:space="preserve">die Verwendungsweise von </w:t>
      </w:r>
      <w:r>
        <w:t xml:space="preserve">„realizations“ (‚Realisierungen‘) </w:t>
      </w:r>
      <w:r w:rsidR="00D55E5A">
        <w:t xml:space="preserve">entsprechen </w:t>
      </w:r>
      <w:r w:rsidR="0035527D">
        <w:t xml:space="preserve">genau </w:t>
      </w:r>
      <w:r w:rsidR="00D55E5A">
        <w:t xml:space="preserve">der hier vorgestellten </w:t>
      </w:r>
      <w:r w:rsidR="0035527D">
        <w:t>Theorie. Auch d</w:t>
      </w:r>
      <w:r w:rsidR="00D55E5A">
        <w:t>ie Kenn</w:t>
      </w:r>
      <w:r w:rsidR="0035527D">
        <w:t xml:space="preserve">zeichnung eines Stils </w:t>
      </w:r>
      <w:r w:rsidR="00D55E5A">
        <w:t xml:space="preserve">als „replication of patterning“ (‚sich wiederholendes Muster‘) </w:t>
      </w:r>
      <w:r w:rsidR="00EE7735">
        <w:t>er</w:t>
      </w:r>
      <w:r w:rsidR="00C03FD6">
        <w:t xml:space="preserve">scheint </w:t>
      </w:r>
      <w:r w:rsidR="00D55E5A">
        <w:t xml:space="preserve">relativ nahe an der Beschreibung als Menge </w:t>
      </w:r>
      <w:r w:rsidR="0035527D">
        <w:t xml:space="preserve">von </w:t>
      </w:r>
      <w:r w:rsidR="00D55E5A">
        <w:t>Merkmalsregeln</w:t>
      </w:r>
      <w:r w:rsidR="00EE7735">
        <w:t>.</w:t>
      </w:r>
      <w:r w:rsidR="0035527D">
        <w:t xml:space="preserve"> Im letzten Satz der zitierten Passage </w:t>
      </w:r>
      <w:r w:rsidR="00713A3B">
        <w:t>erläutert</w:t>
      </w:r>
      <w:r w:rsidR="0035527D">
        <w:t xml:space="preserve"> Meyer zudem, </w:t>
      </w:r>
      <w:r w:rsidR="00592E8E">
        <w:t xml:space="preserve">dass Stile keine </w:t>
      </w:r>
      <w:r w:rsidR="00675AF4">
        <w:t>exakte</w:t>
      </w:r>
      <w:r w:rsidR="00D1536C">
        <w:t>n</w:t>
      </w:r>
      <w:r w:rsidR="00675AF4">
        <w:t xml:space="preserve"> Ausfü</w:t>
      </w:r>
      <w:r w:rsidR="00675AF4">
        <w:t>h</w:t>
      </w:r>
      <w:r w:rsidR="00675AF4">
        <w:t xml:space="preserve">rungsvarianten festlegen, </w:t>
      </w:r>
      <w:r w:rsidR="00592E8E">
        <w:t>sondern Klassen von Ausführungs</w:t>
      </w:r>
      <w:r w:rsidR="00675AF4">
        <w:t>varianten,</w:t>
      </w:r>
      <w:r w:rsidR="00592E8E">
        <w:t xml:space="preserve"> </w:t>
      </w:r>
      <w:r w:rsidR="00675AF4">
        <w:t>wodurch das Vorhandensein desselben Stils bei in der konkreten Ausführung unterschie</w:t>
      </w:r>
      <w:r w:rsidR="00675AF4">
        <w:t>d</w:t>
      </w:r>
      <w:r w:rsidR="00675AF4">
        <w:t>lichen Realisierungen möglich wird</w:t>
      </w:r>
      <w:r w:rsidR="0035527D">
        <w:t>.</w:t>
      </w:r>
      <w:r w:rsidR="0035527D">
        <w:rPr>
          <w:rStyle w:val="Funotenzeichen"/>
        </w:rPr>
        <w:footnoteReference w:id="238"/>
      </w:r>
    </w:p>
    <w:p w:rsidR="00255C44" w:rsidRDefault="00D44471" w:rsidP="005A5093">
      <w:pPr>
        <w:rPr>
          <w:rFonts w:eastAsia="Times New Roman" w:cs="Times New Roman"/>
        </w:rPr>
      </w:pPr>
      <w:r>
        <w:t>Unterschiede bestehen darin, d</w:t>
      </w:r>
      <w:r w:rsidR="00B967ED">
        <w:t>ass aus dem „replication of patterning“</w:t>
      </w:r>
      <w:r>
        <w:t xml:space="preserve"> </w:t>
      </w:r>
      <w:r w:rsidR="00B967ED">
        <w:t xml:space="preserve">nicht der Einfluss </w:t>
      </w:r>
      <w:r w:rsidR="00B0752F">
        <w:t xml:space="preserve">von Kontext, Funktion und Inhalt </w:t>
      </w:r>
      <w:r w:rsidR="00B967ED">
        <w:t>herausgerechnet wird</w:t>
      </w:r>
      <w:r>
        <w:t>,</w:t>
      </w:r>
      <w:r w:rsidR="00B967ED">
        <w:rPr>
          <w:rStyle w:val="Funotenzeichen"/>
        </w:rPr>
        <w:footnoteReference w:id="239"/>
      </w:r>
      <w:r>
        <w:t xml:space="preserve"> </w:t>
      </w:r>
      <w:r w:rsidR="00B0752F">
        <w:t xml:space="preserve">wobei die von Meyer gemeinten Muster </w:t>
      </w:r>
      <w:r w:rsidR="00C03FD6">
        <w:t xml:space="preserve">vielleicht so abstrakt </w:t>
      </w:r>
      <w:r w:rsidR="006A35BF">
        <w:t>zu verstehen sind</w:t>
      </w:r>
      <w:r w:rsidR="00C03FD6">
        <w:t>, dass sie dadurch wenig beeinflusst werden, indem die „foreground features“,</w:t>
      </w:r>
      <w:r w:rsidR="00C03FD6">
        <w:rPr>
          <w:rStyle w:val="Funotenzeichen"/>
        </w:rPr>
        <w:footnoteReference w:id="240"/>
      </w:r>
      <w:r w:rsidR="00C03FD6">
        <w:t xml:space="preserve"> die sie realisieren, die erforderlichen Anpassungen vornehmen.</w:t>
      </w:r>
    </w:p>
    <w:p w:rsidR="00B3415F" w:rsidRDefault="00B3415F" w:rsidP="00B3415F">
      <w:pPr>
        <w:pStyle w:val="Titel2"/>
      </w:pPr>
      <w:bookmarkStart w:id="148" w:name="_Ref267836372"/>
      <w:bookmarkStart w:id="149" w:name="_Ref268446897"/>
      <w:bookmarkStart w:id="150" w:name="_Toc325456718"/>
      <w:bookmarkEnd w:id="147"/>
      <w:r>
        <w:rPr>
          <w:rFonts w:eastAsia="Times New Roman" w:cs="Times New Roman"/>
        </w:rPr>
        <w:lastRenderedPageBreak/>
        <w:t>Stil als Struktur</w:t>
      </w:r>
      <w:bookmarkEnd w:id="148"/>
      <w:bookmarkEnd w:id="149"/>
      <w:bookmarkEnd w:id="150"/>
    </w:p>
    <w:p w:rsidR="00C21013" w:rsidRDefault="005D7996" w:rsidP="00A168AE">
      <w:pPr>
        <w:ind w:firstLine="0"/>
      </w:pPr>
      <w:r>
        <w:fldChar w:fldCharType="begin"/>
      </w:r>
      <w:r w:rsidR="006424B0">
        <w:instrText xml:space="preserve"> XE "Stil:als Struktur" \r "Stil_als_Struktur" </w:instrText>
      </w:r>
      <w:r>
        <w:fldChar w:fldCharType="end"/>
      </w:r>
      <w:bookmarkStart w:id="151" w:name="Stil_als_Struktur"/>
      <w:bookmarkEnd w:id="151"/>
      <w:r>
        <w:fldChar w:fldCharType="begin"/>
      </w:r>
      <w:r w:rsidR="008137D5">
        <w:instrText xml:space="preserve"> XE "</w:instrText>
      </w:r>
      <w:r w:rsidR="008137D5" w:rsidRPr="00436EAC">
        <w:instrText>Textanalyse</w:instrText>
      </w:r>
      <w:r w:rsidR="008137D5">
        <w:instrText xml:space="preserve">:strukturalistische" \r "Stil_als_Struktur" </w:instrText>
      </w:r>
      <w:r>
        <w:fldChar w:fldCharType="end"/>
      </w:r>
      <w:r w:rsidR="00DC230E">
        <w:t>In den 1960er und 1970er Jahren wurde innerhalb des Strukturalismus</w:t>
      </w:r>
      <w:r>
        <w:fldChar w:fldCharType="begin"/>
      </w:r>
      <w:r w:rsidR="000F5037">
        <w:instrText xml:space="preserve"> XE "</w:instrText>
      </w:r>
      <w:r w:rsidR="000F5037" w:rsidRPr="008567DE">
        <w:instrText>Strukturalismus</w:instrText>
      </w:r>
      <w:r w:rsidR="000F5037">
        <w:instrText xml:space="preserve">" </w:instrText>
      </w:r>
      <w:r>
        <w:fldChar w:fldCharType="end"/>
      </w:r>
      <w:r w:rsidR="00DC230E">
        <w:t xml:space="preserve"> eine M</w:t>
      </w:r>
      <w:r w:rsidR="00DC230E">
        <w:t>e</w:t>
      </w:r>
      <w:r w:rsidR="00DC230E">
        <w:t xml:space="preserve">thode der Textanalyse entwickelt, die für die Stilanalyse relevant ist. </w:t>
      </w:r>
      <w:r w:rsidR="00693BE9">
        <w:t>Die Meth</w:t>
      </w:r>
      <w:r w:rsidR="00693BE9">
        <w:t>o</w:t>
      </w:r>
      <w:r w:rsidR="00693BE9">
        <w:t>de wurde von Roman Jakobson</w:t>
      </w:r>
      <w:r>
        <w:fldChar w:fldCharType="begin"/>
      </w:r>
      <w:r w:rsidR="007B15C8">
        <w:instrText xml:space="preserve"> XE "</w:instrText>
      </w:r>
      <w:r w:rsidR="007B15C8" w:rsidRPr="00D1030F">
        <w:instrText>Jakobson, Roman</w:instrText>
      </w:r>
      <w:r w:rsidR="007B15C8">
        <w:instrText xml:space="preserve">" </w:instrText>
      </w:r>
      <w:r>
        <w:fldChar w:fldCharType="end"/>
      </w:r>
      <w:r w:rsidR="00693BE9">
        <w:t xml:space="preserve"> und Claude Lévi-Strauss</w:t>
      </w:r>
      <w:r>
        <w:fldChar w:fldCharType="begin"/>
      </w:r>
      <w:r w:rsidR="007B15C8">
        <w:instrText xml:space="preserve"> XE "</w:instrText>
      </w:r>
      <w:r w:rsidR="007B15C8" w:rsidRPr="000F32C4">
        <w:instrText>Lévi-Strauss, Claude</w:instrText>
      </w:r>
      <w:r w:rsidR="007B15C8">
        <w:instrText xml:space="preserve">" </w:instrText>
      </w:r>
      <w:r>
        <w:fldChar w:fldCharType="end"/>
      </w:r>
      <w:r w:rsidR="00693BE9">
        <w:t xml:space="preserve"> vorgeschlagen und von Michael Riffaterre</w:t>
      </w:r>
      <w:r>
        <w:fldChar w:fldCharType="begin"/>
      </w:r>
      <w:r w:rsidR="005A4B5B">
        <w:instrText xml:space="preserve"> XE "</w:instrText>
      </w:r>
      <w:r w:rsidR="005A4B5B" w:rsidRPr="00E45AFD">
        <w:instrText>Riffaterre, Michael</w:instrText>
      </w:r>
      <w:r w:rsidR="005A4B5B">
        <w:instrText xml:space="preserve">" </w:instrText>
      </w:r>
      <w:r>
        <w:fldChar w:fldCharType="end"/>
      </w:r>
      <w:r w:rsidR="00693BE9">
        <w:t xml:space="preserve"> </w:t>
      </w:r>
      <w:r w:rsidR="00BF3A05">
        <w:t>um eine rezeptionsanalytische</w:t>
      </w:r>
      <w:r>
        <w:fldChar w:fldCharType="begin"/>
      </w:r>
      <w:r w:rsidR="00A73446">
        <w:instrText xml:space="preserve"> XE "</w:instrText>
      </w:r>
      <w:r w:rsidR="00A73446" w:rsidRPr="000000DE">
        <w:instrText>Rezeptionsanalyse</w:instrText>
      </w:r>
      <w:r w:rsidR="00A73446">
        <w:instrText xml:space="preserve">" </w:instrText>
      </w:r>
      <w:r>
        <w:fldChar w:fldCharType="end"/>
      </w:r>
      <w:r w:rsidR="00BF3A05">
        <w:t xml:space="preserve"> Komponente erweitert</w:t>
      </w:r>
      <w:r w:rsidR="009E4E6C">
        <w:t>.</w:t>
      </w:r>
      <w:r w:rsidR="00693BE9">
        <w:rPr>
          <w:rStyle w:val="Funotenzeichen"/>
        </w:rPr>
        <w:footnoteReference w:id="241"/>
      </w:r>
      <w:r w:rsidR="00693BE9">
        <w:t xml:space="preserve"> R</w:t>
      </w:r>
      <w:r w:rsidR="00693BE9">
        <w:t>o</w:t>
      </w:r>
      <w:r w:rsidR="00693BE9">
        <w:t>land</w:t>
      </w:r>
      <w:r w:rsidR="009E4E6C">
        <w:t xml:space="preserve"> Posner entwickelte dar</w:t>
      </w:r>
      <w:r w:rsidR="00801C2E">
        <w:t>aus ein</w:t>
      </w:r>
      <w:r w:rsidR="00444A70">
        <w:t>e Herangehensweise</w:t>
      </w:r>
      <w:r w:rsidR="00801C2E">
        <w:t>, d</w:t>
      </w:r>
      <w:r w:rsidR="00961D36">
        <w:t xml:space="preserve">ie </w:t>
      </w:r>
      <w:r w:rsidR="009E4E6C">
        <w:t>zum Ausgangspunkt der hier dargestellten Beschreibung von Stil wurde.</w:t>
      </w:r>
      <w:r w:rsidR="009E4E6C">
        <w:rPr>
          <w:rStyle w:val="Funotenzeichen"/>
        </w:rPr>
        <w:footnoteReference w:id="242"/>
      </w:r>
    </w:p>
    <w:p w:rsidR="004434AB" w:rsidRDefault="00003DAF" w:rsidP="005A5093">
      <w:r>
        <w:t xml:space="preserve">Die strukturalistische Textanalyse </w:t>
      </w:r>
      <w:r w:rsidR="001D0C3C">
        <w:t xml:space="preserve">kann mit Hilfe </w:t>
      </w:r>
      <w:r>
        <w:t>einer der vier Saussure</w:t>
      </w:r>
      <w:r w:rsidR="003406AB">
        <w:softHyphen/>
      </w:r>
      <w:r>
        <w:t>schen Dichotomien</w:t>
      </w:r>
      <w:r w:rsidR="005D7996">
        <w:fldChar w:fldCharType="begin"/>
      </w:r>
      <w:r w:rsidR="002D62C3">
        <w:instrText xml:space="preserve"> XE "</w:instrText>
      </w:r>
      <w:r w:rsidR="002D62C3" w:rsidRPr="004B151C">
        <w:instrText>Dichotomie (Saussure)</w:instrText>
      </w:r>
      <w:r w:rsidR="002D62C3">
        <w:instrText xml:space="preserve">" </w:instrText>
      </w:r>
      <w:r w:rsidR="005D7996">
        <w:fldChar w:fldCharType="end"/>
      </w:r>
      <w:r w:rsidR="001D0C3C">
        <w:t xml:space="preserve"> beschrieben werden, nämlich</w:t>
      </w:r>
      <w:r>
        <w:t xml:space="preserve"> </w:t>
      </w:r>
      <w:r w:rsidR="00BA7A93">
        <w:t>„</w:t>
      </w:r>
      <w:r w:rsidR="00AE3555" w:rsidRPr="00AE3555">
        <w:t>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AE3555">
        <w:t xml:space="preserve"> </w:t>
      </w:r>
      <w:r w:rsidRPr="00AE3555">
        <w:t xml:space="preserve">– </w:t>
      </w:r>
      <w:r w:rsidR="00AE3555" w:rsidRPr="00AE3555">
        <w:t>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BA7A93">
        <w:t>“</w:t>
      </w:r>
      <w:r>
        <w:t xml:space="preserve">. </w:t>
      </w:r>
      <w:r w:rsidR="00FF799B">
        <w:t xml:space="preserve">Sie hat </w:t>
      </w:r>
      <w:r w:rsidR="001D0C3C">
        <w:t xml:space="preserve">jedoch Wurzeln in der russischen </w:t>
      </w:r>
      <w:r w:rsidR="00437775">
        <w:t>Linguistik</w:t>
      </w:r>
      <w:r w:rsidR="005D7996">
        <w:fldChar w:fldCharType="begin"/>
      </w:r>
      <w:r w:rsidR="00437775">
        <w:instrText xml:space="preserve"> XE "</w:instrText>
      </w:r>
      <w:r w:rsidR="00437775" w:rsidRPr="00797C83">
        <w:rPr>
          <w:rFonts w:eastAsia="Times New Roman" w:cs="Times New Roman"/>
        </w:rPr>
        <w:instrText>Linguistik</w:instrText>
      </w:r>
      <w:r w:rsidR="00437775">
        <w:instrText xml:space="preserve">" </w:instrText>
      </w:r>
      <w:r w:rsidR="005D7996">
        <w:fldChar w:fldCharType="end"/>
      </w:r>
      <w:r w:rsidR="001D0C3C">
        <w:t>, die vor Saussure</w:t>
      </w:r>
      <w:r w:rsidR="005D7996">
        <w:fldChar w:fldCharType="begin"/>
      </w:r>
      <w:r w:rsidR="00D77298">
        <w:instrText xml:space="preserve"> XE "</w:instrText>
      </w:r>
      <w:r w:rsidR="00D77298" w:rsidRPr="0007712B">
        <w:instrText>Saussure, Ferdinand de</w:instrText>
      </w:r>
      <w:r w:rsidR="00D77298">
        <w:instrText xml:space="preserve">" </w:instrText>
      </w:r>
      <w:r w:rsidR="005D7996">
        <w:fldChar w:fldCharType="end"/>
      </w:r>
      <w:r w:rsidR="001D0C3C">
        <w:t xml:space="preserve"> zurückre</w:t>
      </w:r>
      <w:r w:rsidR="001D0C3C">
        <w:t>i</w:t>
      </w:r>
      <w:r w:rsidR="001D0C3C">
        <w:t>chen.</w:t>
      </w:r>
      <w:r w:rsidR="001D0C3C">
        <w:rPr>
          <w:rStyle w:val="Funotenzeichen"/>
        </w:rPr>
        <w:footnoteReference w:id="243"/>
      </w:r>
      <w:r w:rsidR="001D0C3C">
        <w:t xml:space="preserve"> Roman Jakobson</w:t>
      </w:r>
      <w:r w:rsidR="005D7996">
        <w:fldChar w:fldCharType="begin"/>
      </w:r>
      <w:r w:rsidR="007B15C8">
        <w:instrText xml:space="preserve"> XE "</w:instrText>
      </w:r>
      <w:r w:rsidR="007B15C8" w:rsidRPr="00D1030F">
        <w:instrText>Jakobson, Roman</w:instrText>
      </w:r>
      <w:r w:rsidR="007B15C8">
        <w:instrText xml:space="preserve">" </w:instrText>
      </w:r>
      <w:r w:rsidR="005D7996">
        <w:fldChar w:fldCharType="end"/>
      </w:r>
      <w:r w:rsidR="001D0C3C">
        <w:t xml:space="preserve"> </w:t>
      </w:r>
      <w:r w:rsidR="00FF799B">
        <w:t>fasste die Vorstellungen über den Texterzeugungspr</w:t>
      </w:r>
      <w:r w:rsidR="00FF799B">
        <w:t>o</w:t>
      </w:r>
      <w:r w:rsidR="00FF799B">
        <w:t xml:space="preserve">zess, die sich in dieser Tradition langsam herausgebildet hatten, zusammen: Sie kann modelliert werden </w:t>
      </w:r>
      <w:r>
        <w:t>als Auswahl von Elementen aus Paradigmen, die zu e</w:t>
      </w:r>
      <w:r>
        <w:t>i</w:t>
      </w:r>
      <w:r>
        <w:t>nem Syntagma zusammengefügt werden.</w:t>
      </w:r>
      <w:r w:rsidR="001D0C3C">
        <w:t xml:space="preserve"> </w:t>
      </w:r>
      <w:r w:rsidR="00FF799B">
        <w:t xml:space="preserve">Dabei werden zwei </w:t>
      </w:r>
      <w:r w:rsidR="001D0C3C">
        <w:t xml:space="preserve">unterschiedliche </w:t>
      </w:r>
      <w:r w:rsidR="00FF799B">
        <w:t>Prinzipien angewandt: Das Prinzip der Selektion (Auswahl) einzelner Elemente aus den Paradigmen und das Prinzip der Kombination dieser Elemente zu einem Syntagma</w:t>
      </w:r>
      <w:r w:rsidR="004434AB">
        <w:t>.</w:t>
      </w:r>
      <w:r w:rsidR="00FF799B">
        <w:rPr>
          <w:rStyle w:val="Funotenzeichen"/>
        </w:rPr>
        <w:footnoteReference w:id="244"/>
      </w:r>
    </w:p>
    <w:p w:rsidR="00594F09" w:rsidRDefault="004434AB" w:rsidP="005A5093">
      <w:r>
        <w:t>Daher kann der Texterzeugungsprozess mit Hilfe eines zweidimensionalen Modells mit einer vertikalen „Achse der Selektion</w:t>
      </w:r>
      <w:r w:rsidR="005D7996">
        <w:fldChar w:fldCharType="begin"/>
      </w:r>
      <w:r w:rsidR="0045616D">
        <w:instrText xml:space="preserve"> XE "</w:instrText>
      </w:r>
      <w:r w:rsidR="0045616D" w:rsidRPr="00C3122A">
        <w:instrText>Achse der</w:instrText>
      </w:r>
      <w:r w:rsidR="00733EB6" w:rsidRPr="00733EB6">
        <w:instrText xml:space="preserve"> </w:instrText>
      </w:r>
      <w:r w:rsidR="00733EB6" w:rsidRPr="00C3122A">
        <w:instrText>Selektion</w:instrText>
      </w:r>
      <w:r w:rsidR="0045616D">
        <w:instrText xml:space="preserve">" </w:instrText>
      </w:r>
      <w:r w:rsidR="005D7996">
        <w:fldChar w:fldCharType="end"/>
      </w:r>
      <w:r>
        <w:t>“ und einer horizontalen „Ac</w:t>
      </w:r>
      <w:r>
        <w:t>h</w:t>
      </w:r>
      <w:r>
        <w:t>se der Kombination</w:t>
      </w:r>
      <w:r w:rsidR="005D7996">
        <w:fldChar w:fldCharType="begin"/>
      </w:r>
      <w:r w:rsidR="0045616D">
        <w:instrText xml:space="preserve"> XE "</w:instrText>
      </w:r>
      <w:r w:rsidR="0045616D" w:rsidRPr="00082540">
        <w:instrText>Achse der</w:instrText>
      </w:r>
      <w:r w:rsidR="00733EB6" w:rsidRPr="00733EB6">
        <w:instrText xml:space="preserve"> </w:instrText>
      </w:r>
      <w:r w:rsidR="00733EB6" w:rsidRPr="00082540">
        <w:instrText>Kombination</w:instrText>
      </w:r>
      <w:r w:rsidR="0045616D">
        <w:instrText xml:space="preserve">" </w:instrText>
      </w:r>
      <w:r w:rsidR="005D7996">
        <w:fldChar w:fldCharType="end"/>
      </w:r>
      <w:r>
        <w:t xml:space="preserve">“ visualisiert werden (vgl. Abschnitt </w:t>
      </w:r>
      <w:r w:rsidR="005D7996">
        <w:fldChar w:fldCharType="begin"/>
      </w:r>
      <w:r w:rsidR="00644BAA">
        <w:instrText xml:space="preserve"> REF _Ref263268288 \r \h </w:instrText>
      </w:r>
      <w:r w:rsidR="005D7996">
        <w:fldChar w:fldCharType="separate"/>
      </w:r>
      <w:r w:rsidR="001231D3">
        <w:t>5.1</w:t>
      </w:r>
      <w:r w:rsidR="005D7996">
        <w:fldChar w:fldCharType="end"/>
      </w:r>
      <w:r w:rsidR="000E50C3">
        <w:t>, Abb. 2</w:t>
      </w:r>
      <w:r w:rsidR="00594F09">
        <w:t>).</w:t>
      </w:r>
      <w:r w:rsidR="00594F09" w:rsidRPr="00594F09">
        <w:t xml:space="preserve"> </w:t>
      </w:r>
      <w:r w:rsidR="00594F09">
        <w:t xml:space="preserve">Dabei sind die Selektionsmöglichkeiten durch </w:t>
      </w:r>
      <w:r w:rsidR="00971F87">
        <w:t>das „Prinzip der Äquivalenz</w:t>
      </w:r>
      <w:r w:rsidR="005D7996">
        <w:fldChar w:fldCharType="begin"/>
      </w:r>
      <w:r w:rsidR="008342F3">
        <w:instrText xml:space="preserve"> XE "</w:instrText>
      </w:r>
      <w:r w:rsidR="008342F3" w:rsidRPr="00317B80">
        <w:instrText>Äquivalenz, Prinzip der</w:instrText>
      </w:r>
      <w:r w:rsidR="008342F3">
        <w:instrText xml:space="preserve">" </w:instrText>
      </w:r>
      <w:r w:rsidR="005D7996">
        <w:fldChar w:fldCharType="end"/>
      </w:r>
      <w:r w:rsidR="00971F87">
        <w:t xml:space="preserve">“ </w:t>
      </w:r>
      <w:r w:rsidR="00594F09">
        <w:t>und die Ko</w:t>
      </w:r>
      <w:r w:rsidR="00594F09">
        <w:t>m</w:t>
      </w:r>
      <w:r w:rsidR="00594F09">
        <w:t xml:space="preserve">binationsmöglichkeiten durch </w:t>
      </w:r>
      <w:r w:rsidR="00971F87">
        <w:t>das „Prinzip der Kontiguität</w:t>
      </w:r>
      <w:r w:rsidR="005D7996">
        <w:fldChar w:fldCharType="begin"/>
      </w:r>
      <w:r w:rsidR="008342F3">
        <w:instrText xml:space="preserve"> XE "</w:instrText>
      </w:r>
      <w:r w:rsidR="008342F3" w:rsidRPr="00046398">
        <w:instrText>Kontiguität, Prinzip der</w:instrText>
      </w:r>
      <w:r w:rsidR="008342F3">
        <w:instrText xml:space="preserve">" </w:instrText>
      </w:r>
      <w:r w:rsidR="005D7996">
        <w:fldChar w:fldCharType="end"/>
      </w:r>
      <w:r w:rsidR="00971F87">
        <w:t xml:space="preserve">“ </w:t>
      </w:r>
      <w:r w:rsidR="00594F09">
        <w:t>(syntaktische Ko</w:t>
      </w:r>
      <w:r w:rsidR="00594F09">
        <w:t>m</w:t>
      </w:r>
      <w:r w:rsidR="00594F09">
        <w:t>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rsidR="00594F09">
        <w:t xml:space="preserve"> und semantische </w:t>
      </w:r>
      <w:r w:rsidR="00941644">
        <w:t>Selektionsbeschränkungen</w:t>
      </w:r>
      <w:r w:rsidR="005D7996">
        <w:fldChar w:fldCharType="begin"/>
      </w:r>
      <w:r w:rsidR="0045616D">
        <w:instrText xml:space="preserve"> XE "</w:instrText>
      </w:r>
      <w:r w:rsidR="0045616D" w:rsidRPr="00DC2232">
        <w:instrText>Selektionsbeschränkungen</w:instrText>
      </w:r>
      <w:r w:rsidR="0045616D">
        <w:instrText xml:space="preserve">" </w:instrText>
      </w:r>
      <w:r w:rsidR="005D7996">
        <w:fldChar w:fldCharType="end"/>
      </w:r>
      <w:r w:rsidR="00594F09">
        <w:t>)</w:t>
      </w:r>
      <w:r w:rsidR="00594F09">
        <w:rPr>
          <w:rStyle w:val="Funotenzeichen"/>
        </w:rPr>
        <w:footnoteReference w:id="245"/>
      </w:r>
      <w:r w:rsidR="00594F09">
        <w:t xml:space="preserve"> beschränkt.</w:t>
      </w:r>
      <w:r w:rsidR="00E17D78">
        <w:t xml:space="preserve"> P</w:t>
      </w:r>
      <w:r w:rsidR="00E17D78">
        <w:t>a</w:t>
      </w:r>
      <w:r w:rsidR="00E17D78">
        <w:t>radigmen werden in diesem Modell als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E17D78">
        <w:t xml:space="preserve"> modelliert.</w:t>
      </w:r>
      <w:bookmarkStart w:id="152" w:name="_Ref268564792"/>
      <w:r w:rsidR="00E17D78">
        <w:rPr>
          <w:rStyle w:val="Funotenzeichen"/>
        </w:rPr>
        <w:footnoteReference w:id="246"/>
      </w:r>
      <w:bookmarkEnd w:id="152"/>
    </w:p>
    <w:p w:rsidR="00B81F2D" w:rsidRDefault="00594F09" w:rsidP="005A5093">
      <w:r w:rsidRPr="00D41B2D">
        <w:lastRenderedPageBreak/>
        <w:t xml:space="preserve">Von diesem Modell </w:t>
      </w:r>
      <w:r w:rsidR="00277D10" w:rsidRPr="00D41B2D">
        <w:t>ausgehend, formulierte Roman Jakobson</w:t>
      </w:r>
      <w:r w:rsidR="005D7996">
        <w:fldChar w:fldCharType="begin"/>
      </w:r>
      <w:r w:rsidR="007B15C8" w:rsidRPr="00D41B2D">
        <w:instrText xml:space="preserve"> XE "Jakobson, Roman" </w:instrText>
      </w:r>
      <w:r w:rsidR="005D7996">
        <w:fldChar w:fldCharType="end"/>
      </w:r>
      <w:r w:rsidR="00277D10" w:rsidRPr="00D41B2D">
        <w:t xml:space="preserve"> die „poetische Funktion</w:t>
      </w:r>
      <w:r w:rsidR="005D7996">
        <w:fldChar w:fldCharType="begin"/>
      </w:r>
      <w:r w:rsidR="00771960" w:rsidRPr="00D41B2D">
        <w:instrText xml:space="preserve"> XE "poetische Funktion (Jakobson)" </w:instrText>
      </w:r>
      <w:r w:rsidR="005D7996">
        <w:fldChar w:fldCharType="end"/>
      </w:r>
      <w:r w:rsidR="00277D10" w:rsidRPr="00D41B2D">
        <w:t>“</w:t>
      </w:r>
      <w:r w:rsidRPr="00D41B2D">
        <w:t xml:space="preserve"> sprachlicher Kommunikation</w:t>
      </w:r>
      <w:r w:rsidR="005D7996">
        <w:fldChar w:fldCharType="begin"/>
      </w:r>
      <w:r w:rsidR="00886335" w:rsidRPr="00D41B2D">
        <w:instrText xml:space="preserve"> XE "</w:instrText>
      </w:r>
      <w:r w:rsidR="00886335" w:rsidRPr="00D41B2D">
        <w:rPr>
          <w:rFonts w:eastAsia="Times New Roman" w:cs="Times New Roman"/>
        </w:rPr>
        <w:instrText>Kommunikation</w:instrText>
      </w:r>
      <w:r w:rsidR="00886335" w:rsidRPr="00D41B2D">
        <w:instrText xml:space="preserve">" </w:instrText>
      </w:r>
      <w:r w:rsidR="005D7996">
        <w:fldChar w:fldCharType="end"/>
      </w:r>
      <w:r w:rsidR="00277D10" w:rsidRPr="00D41B2D">
        <w:t xml:space="preserve">: „The poetic function projects the principle of equivalence from the axis of selection into the axis of combination.“ </w:t>
      </w:r>
      <w:r w:rsidR="00277D10">
        <w:t>Diese Definition ist zentral für die Literaturtheorie des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rsidR="00277D10">
        <w:t xml:space="preserve">, da sie </w:t>
      </w:r>
      <w:r w:rsidR="00AF7338">
        <w:t>charakterisiert</w:t>
      </w:r>
      <w:r w:rsidR="00277D10">
        <w:t>, was poetische Sprachverwendung von nicht-poetischer unte</w:t>
      </w:r>
      <w:r w:rsidR="00277D10">
        <w:t>r</w:t>
      </w:r>
      <w:r w:rsidR="00277D10">
        <w:t>scheidet.</w:t>
      </w:r>
      <w:r w:rsidR="00277D10">
        <w:rPr>
          <w:rStyle w:val="Funotenzeichen"/>
        </w:rPr>
        <w:footnoteReference w:id="247"/>
      </w:r>
      <w:r w:rsidR="00B81F2D">
        <w:t xml:space="preserve"> </w:t>
      </w:r>
      <w:r w:rsidR="00A46C26">
        <w:t>Normalerweise bestimmt das Prinzip der Äquivalenz</w:t>
      </w:r>
      <w:r w:rsidR="005D7996">
        <w:fldChar w:fldCharType="begin"/>
      </w:r>
      <w:r w:rsidR="008342F3">
        <w:instrText xml:space="preserve"> XE "</w:instrText>
      </w:r>
      <w:r w:rsidR="008342F3" w:rsidRPr="00317B80">
        <w:instrText>Äquivalenz, Prinzip der</w:instrText>
      </w:r>
      <w:r w:rsidR="008342F3">
        <w:instrText xml:space="preserve">" </w:instrText>
      </w:r>
      <w:r w:rsidR="005D7996">
        <w:fldChar w:fldCharType="end"/>
      </w:r>
      <w:r w:rsidR="00A46C26">
        <w:t xml:space="preserve"> nur die zur Verfügung stehenden Alternativen; bei der poetischen Sprachverwendung b</w:t>
      </w:r>
      <w:r w:rsidR="00A46C26">
        <w:t>e</w:t>
      </w:r>
      <w:r w:rsidR="00A46C26">
        <w:t xml:space="preserve">stimmt es auch die </w:t>
      </w:r>
      <w:r w:rsidR="009363BF">
        <w:t>Kriterien</w:t>
      </w:r>
      <w:r w:rsidR="00A46C26">
        <w:t xml:space="preserve"> der Auswahl. </w:t>
      </w:r>
      <w:r w:rsidR="00AF7338">
        <w:t xml:space="preserve">Damit wird die Analyse von Äquivalenzrelationen zu einer </w:t>
      </w:r>
      <w:r w:rsidR="00A46C26">
        <w:t>literaturwissenschaftlichen</w:t>
      </w:r>
      <w:r w:rsidR="005D7996">
        <w:fldChar w:fldCharType="begin"/>
      </w:r>
      <w:r w:rsidR="00504834">
        <w:instrText xml:space="preserve"> XE "</w:instrText>
      </w:r>
      <w:r w:rsidR="00504834" w:rsidRPr="0078694A">
        <w:instrText>Literaturwissenschaft</w:instrText>
      </w:r>
      <w:r w:rsidR="00504834">
        <w:instrText xml:space="preserve">" </w:instrText>
      </w:r>
      <w:r w:rsidR="005D7996">
        <w:fldChar w:fldCharType="end"/>
      </w:r>
      <w:r w:rsidR="00A46C26">
        <w:t xml:space="preserve"> Methode:</w:t>
      </w:r>
      <w:r w:rsidR="009363BF">
        <w:rPr>
          <w:rStyle w:val="Funotenzeichen"/>
        </w:rPr>
        <w:footnoteReference w:id="248"/>
      </w:r>
      <w:r w:rsidR="00A46C26">
        <w:t xml:space="preserve"> Zu den „vertikalen“ Äquivalenzen der Paradigmen kommen nun die „horizontalen“ Äquivalenzen, die durch die Projektion des Äquivalenzprinzips entstehen.</w:t>
      </w:r>
    </w:p>
    <w:p w:rsidR="0024062D" w:rsidRDefault="00B81F2D" w:rsidP="005A5093">
      <w:r>
        <w:t xml:space="preserve">Sind es Äquivalenzrelationen, die literarische </w:t>
      </w:r>
      <w:r w:rsidR="00973A4B">
        <w:t xml:space="preserve">Kunstwerke </w:t>
      </w:r>
      <w:r>
        <w:t xml:space="preserve">auszeichnen, kann man die literarischen Eigenschaften eines </w:t>
      </w:r>
      <w:r w:rsidR="00973A4B">
        <w:t xml:space="preserve">poetischen Texts </w:t>
      </w:r>
      <w:r>
        <w:t>durch die U</w:t>
      </w:r>
      <w:r>
        <w:t>n</w:t>
      </w:r>
      <w:r>
        <w:t xml:space="preserve">tersuchung der durch Äquivalenzrelationen erzeugten Strukturen </w:t>
      </w:r>
      <w:r w:rsidR="00973A4B">
        <w:t>erfassen</w:t>
      </w:r>
      <w:r>
        <w:t>.</w:t>
      </w:r>
      <w:r w:rsidR="00973A4B">
        <w:t xml:space="preserve"> </w:t>
      </w:r>
      <w:r>
        <w:t xml:space="preserve">Diese ergeben sich </w:t>
      </w:r>
      <w:r w:rsidR="00973A4B">
        <w:t xml:space="preserve">als </w:t>
      </w:r>
      <w:r>
        <w:t>Korrelationen von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t xml:space="preserve">. </w:t>
      </w:r>
      <w:r w:rsidR="0061161D">
        <w:t xml:space="preserve">Ein Sonderfall davon sind Oppositionen, die sich als Relation </w:t>
      </w:r>
      <w:r w:rsidR="0024062D">
        <w:t xml:space="preserve">zweier einander ausschließender </w:t>
      </w:r>
      <w:r w:rsidR="0061161D">
        <w:t>Äquivalenz</w:t>
      </w:r>
      <w:r w:rsidR="00A02E27">
        <w:softHyphen/>
      </w:r>
      <w:r w:rsidR="0061161D">
        <w:t>klasse</w:t>
      </w:r>
      <w:r w:rsidR="0024062D">
        <w:t>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24062D">
        <w:t>, die bezüglich einer dritten übergeordneten Klasse komplementär zue</w:t>
      </w:r>
      <w:r w:rsidR="0024062D">
        <w:t>i</w:t>
      </w:r>
      <w:r w:rsidR="0024062D">
        <w:t>nander sind</w:t>
      </w:r>
      <w:r w:rsidR="003D5F79">
        <w:t>, beschreiben lassen.</w:t>
      </w:r>
      <w:r w:rsidR="0024062D">
        <w:rPr>
          <w:rStyle w:val="Funotenzeichen"/>
        </w:rPr>
        <w:footnoteReference w:id="249"/>
      </w:r>
    </w:p>
    <w:p w:rsidR="006A0208" w:rsidRDefault="00A46C26" w:rsidP="005A5093">
      <w:r>
        <w:t>Jakobson und Lévi-Strauss</w:t>
      </w:r>
      <w:r w:rsidR="005D7996">
        <w:fldChar w:fldCharType="begin"/>
      </w:r>
      <w:r w:rsidR="007B15C8">
        <w:instrText xml:space="preserve"> XE "</w:instrText>
      </w:r>
      <w:r w:rsidR="007B15C8" w:rsidRPr="000F32C4">
        <w:instrText>Lévi-Strauss, Claude</w:instrText>
      </w:r>
      <w:r w:rsidR="007B15C8">
        <w:instrText xml:space="preserve">" </w:instrText>
      </w:r>
      <w:r w:rsidR="005D7996">
        <w:fldChar w:fldCharType="end"/>
      </w:r>
      <w:r>
        <w:t xml:space="preserve"> </w:t>
      </w:r>
      <w:r w:rsidR="00973A4B">
        <w:t xml:space="preserve">konzentrieren sich in ihrer Analyse von </w:t>
      </w:r>
      <w:r w:rsidR="000F7A55">
        <w:t>Baudelaires</w:t>
      </w:r>
      <w:r w:rsidR="005D7996">
        <w:fldChar w:fldCharType="begin"/>
      </w:r>
      <w:r w:rsidR="00750026">
        <w:instrText xml:space="preserve"> XE "</w:instrText>
      </w:r>
      <w:r w:rsidR="00750026" w:rsidRPr="004C6B7B">
        <w:instrText>Baudelaire, Charles</w:instrText>
      </w:r>
      <w:r w:rsidR="00750026">
        <w:instrText xml:space="preserve">" </w:instrText>
      </w:r>
      <w:r w:rsidR="005D7996">
        <w:fldChar w:fldCharType="end"/>
      </w:r>
      <w:r w:rsidR="000F7A55">
        <w:t xml:space="preserve"> Gedicht </w:t>
      </w:r>
      <w:r w:rsidR="00973A4B">
        <w:t xml:space="preserve">„Les Chats“ </w:t>
      </w:r>
      <w:r w:rsidR="00B81F2D">
        <w:t xml:space="preserve">vor allem </w:t>
      </w:r>
      <w:r w:rsidR="00973A4B">
        <w:t xml:space="preserve">auf </w:t>
      </w:r>
      <w:r w:rsidR="008D68DB">
        <w:t>Korrelationen zwischen Äquiva</w:t>
      </w:r>
      <w:r w:rsidR="00A02E27">
        <w:softHyphen/>
      </w:r>
      <w:r w:rsidR="008D68DB">
        <w:t>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973A4B">
        <w:t>, die häufig verschiedenen</w:t>
      </w:r>
      <w:r w:rsidR="008D68DB">
        <w:t xml:space="preserve"> Beschreibungsebenen</w:t>
      </w:r>
      <w:r w:rsidR="005D7996">
        <w:fldChar w:fldCharType="begin"/>
      </w:r>
      <w:r w:rsidR="000623C8">
        <w:instrText xml:space="preserve"> XE "</w:instrText>
      </w:r>
      <w:r w:rsidR="000623C8" w:rsidRPr="0039734C">
        <w:instrText>Beschreibungsebene</w:instrText>
      </w:r>
      <w:r w:rsidR="000623C8">
        <w:instrText xml:space="preserve">" </w:instrText>
      </w:r>
      <w:r w:rsidR="005D7996">
        <w:fldChar w:fldCharType="end"/>
      </w:r>
      <w:r w:rsidR="008D68DB">
        <w:t xml:space="preserve"> (etwa der syntakt</w:t>
      </w:r>
      <w:r w:rsidR="008D68DB">
        <w:t>i</w:t>
      </w:r>
      <w:r w:rsidR="008D68DB">
        <w:t>schen</w:t>
      </w:r>
      <w:r w:rsidR="005D7996">
        <w:fldChar w:fldCharType="begin"/>
      </w:r>
      <w:r w:rsidR="00DC6AC2">
        <w:instrText xml:space="preserve"> XE "</w:instrText>
      </w:r>
      <w:r w:rsidR="00DC6AC2" w:rsidRPr="005536E8">
        <w:instrText>Syntax</w:instrText>
      </w:r>
      <w:r w:rsidR="00DC6AC2">
        <w:instrText xml:space="preserve">" </w:instrText>
      </w:r>
      <w:r w:rsidR="005D7996">
        <w:fldChar w:fldCharType="end"/>
      </w:r>
      <w:r w:rsidR="008D68DB">
        <w:t>, semantischen</w:t>
      </w:r>
      <w:r w:rsidR="005D7996">
        <w:fldChar w:fldCharType="begin"/>
      </w:r>
      <w:r w:rsidR="00DC6AC2">
        <w:instrText xml:space="preserve"> XE "</w:instrText>
      </w:r>
      <w:r w:rsidR="00DC6AC2" w:rsidRPr="00B71406">
        <w:instrText>Semantik</w:instrText>
      </w:r>
      <w:r w:rsidR="00DC6AC2">
        <w:instrText xml:space="preserve">" </w:instrText>
      </w:r>
      <w:r w:rsidR="005D7996">
        <w:fldChar w:fldCharType="end"/>
      </w:r>
      <w:r w:rsidR="00D969FD">
        <w:t>,</w:t>
      </w:r>
      <w:r w:rsidR="008D68DB">
        <w:t xml:space="preserve"> </w:t>
      </w:r>
      <w:r w:rsidR="00D969FD">
        <w:t>phonologischen</w:t>
      </w:r>
      <w:r w:rsidR="005D7996">
        <w:fldChar w:fldCharType="begin"/>
      </w:r>
      <w:r w:rsidR="00DC6AC2">
        <w:instrText xml:space="preserve"> XE "</w:instrText>
      </w:r>
      <w:r w:rsidR="00DC6AC2" w:rsidRPr="001717AE">
        <w:instrText>Phonologie</w:instrText>
      </w:r>
      <w:r w:rsidR="00DC6AC2">
        <w:instrText xml:space="preserve">" </w:instrText>
      </w:r>
      <w:r w:rsidR="005D7996">
        <w:fldChar w:fldCharType="end"/>
      </w:r>
      <w:r w:rsidR="00D969FD">
        <w:t xml:space="preserve"> </w:t>
      </w:r>
      <w:r w:rsidR="008D68DB">
        <w:t>und prosodischen</w:t>
      </w:r>
      <w:r w:rsidR="005D7996">
        <w:fldChar w:fldCharType="begin"/>
      </w:r>
      <w:r w:rsidR="00DC6AC2">
        <w:instrText xml:space="preserve"> XE "</w:instrText>
      </w:r>
      <w:r w:rsidR="00DC6AC2" w:rsidRPr="00B71406">
        <w:instrText>Prosodie</w:instrText>
      </w:r>
      <w:r w:rsidR="00DC6AC2">
        <w:instrText xml:space="preserve">" </w:instrText>
      </w:r>
      <w:r w:rsidR="005D7996">
        <w:fldChar w:fldCharType="end"/>
      </w:r>
      <w:r w:rsidR="008D68DB">
        <w:t xml:space="preserve"> Ebene)</w:t>
      </w:r>
      <w:r w:rsidR="00973A4B">
        <w:t xml:space="preserve"> angehören</w:t>
      </w:r>
      <w:r w:rsidR="008D68DB">
        <w:t>: Ist beispielsweise eine Äquivalenzklasse der semantischen Ebene (z.B. „Unterwelt</w:t>
      </w:r>
      <w:r w:rsidR="00973A4B">
        <w:t>“</w:t>
      </w:r>
      <w:r w:rsidR="008D68DB">
        <w:t xml:space="preserve">) koextensional mit einer der </w:t>
      </w:r>
      <w:r w:rsidR="00D969FD">
        <w:t xml:space="preserve">phonologischen </w:t>
      </w:r>
      <w:r w:rsidR="008D68DB">
        <w:t xml:space="preserve">Ebene (z.B. „dunkle Vokale“), ergibt sich dadurch eine </w:t>
      </w:r>
      <w:r w:rsidR="00973A4B">
        <w:t xml:space="preserve">Gliederung, die durch die Koextensionalität mit </w:t>
      </w:r>
      <w:r w:rsidR="006A0208">
        <w:t>Äquiva</w:t>
      </w:r>
      <w:r w:rsidR="00A02E27">
        <w:softHyphen/>
      </w:r>
      <w:r w:rsidR="006A0208">
        <w:t>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6A0208">
        <w:t xml:space="preserve"> </w:t>
      </w:r>
      <w:r w:rsidR="006F63AA">
        <w:t>weitere</w:t>
      </w:r>
      <w:r w:rsidR="009C2E81">
        <w:t>r</w:t>
      </w:r>
      <w:r w:rsidR="006F63AA">
        <w:t xml:space="preserve"> </w:t>
      </w:r>
      <w:r w:rsidR="00973A4B">
        <w:t xml:space="preserve">Ebenen (z.B. </w:t>
      </w:r>
      <w:r w:rsidR="006A0208">
        <w:t xml:space="preserve">der prosodischen </w:t>
      </w:r>
      <w:r w:rsidR="002C6B1D">
        <w:t>oder metrischen</w:t>
      </w:r>
      <w:r w:rsidR="005D7996">
        <w:fldChar w:fldCharType="begin"/>
      </w:r>
      <w:r w:rsidR="00C04CCA">
        <w:instrText xml:space="preserve"> XE "</w:instrText>
      </w:r>
      <w:r w:rsidR="00C04CCA" w:rsidRPr="00FD3FBF">
        <w:instrText>Metrik</w:instrText>
      </w:r>
      <w:r w:rsidR="00C04CCA">
        <w:instrText xml:space="preserve">" </w:instrText>
      </w:r>
      <w:r w:rsidR="005D7996">
        <w:fldChar w:fldCharType="end"/>
      </w:r>
      <w:r w:rsidR="002C6B1D">
        <w:t xml:space="preserve"> </w:t>
      </w:r>
      <w:r w:rsidR="006A0208">
        <w:t>Ebene</w:t>
      </w:r>
      <w:r w:rsidR="00973A4B">
        <w:t xml:space="preserve">) </w:t>
      </w:r>
      <w:r w:rsidR="009C2E81">
        <w:t xml:space="preserve">zusätzlich </w:t>
      </w:r>
      <w:r w:rsidR="00973A4B">
        <w:t>gestärkt werden kann.</w:t>
      </w:r>
    </w:p>
    <w:p w:rsidR="000035B2" w:rsidRDefault="00973A4B" w:rsidP="005A5093">
      <w:r>
        <w:lastRenderedPageBreak/>
        <w:t>Roland Posner merkt zu Recht an, dass ebenso direkte vertikale Äquivale</w:t>
      </w:r>
      <w:r>
        <w:t>n</w:t>
      </w:r>
      <w:r>
        <w:t>zen zu berücksichtigen sind</w:t>
      </w:r>
      <w:r w:rsidR="000934FB">
        <w:t>.</w:t>
      </w:r>
      <w:r w:rsidR="000934FB">
        <w:rPr>
          <w:rStyle w:val="Funotenzeichen"/>
        </w:rPr>
        <w:footnoteReference w:id="250"/>
      </w:r>
      <w:r w:rsidR="000934FB">
        <w:t xml:space="preserve"> Zudem betont er, dass </w:t>
      </w:r>
      <w:r w:rsidR="00952D4D">
        <w:t>auf diese Weise stets viele Strukturen gebildet werden</w:t>
      </w:r>
      <w:r w:rsidR="002170CE">
        <w:t xml:space="preserve">, deren Wichtigkeit </w:t>
      </w:r>
      <w:r w:rsidR="006A0208">
        <w:t>nicht einfach aus der Anzahl der korrelierten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6A0208">
        <w:t xml:space="preserve"> erkannt werden kann, da viele wenig auffällige Äquivalenzen wenigen auffälligen gegenüberstehen könne</w:t>
      </w:r>
      <w:r w:rsidR="002170CE">
        <w:t>n</w:t>
      </w:r>
      <w:r w:rsidR="00952D4D">
        <w:t xml:space="preserve">; um </w:t>
      </w:r>
      <w:r w:rsidR="006A0208">
        <w:t>das Ergebnis der Analyse zu disambiguieren, müssen daher Bewertungskr</w:t>
      </w:r>
      <w:r w:rsidR="00565634">
        <w:t>iterien gefunden we</w:t>
      </w:r>
      <w:r w:rsidR="00565634">
        <w:t>r</w:t>
      </w:r>
      <w:r w:rsidR="00565634">
        <w:t xml:space="preserve">den. Dafür schlägt er die </w:t>
      </w:r>
      <w:r w:rsidR="006A0208">
        <w:t>von Riffaterre</w:t>
      </w:r>
      <w:r w:rsidR="005D7996">
        <w:fldChar w:fldCharType="begin"/>
      </w:r>
      <w:r w:rsidR="005A4B5B">
        <w:instrText xml:space="preserve"> XE "</w:instrText>
      </w:r>
      <w:r w:rsidR="005A4B5B" w:rsidRPr="00E45AFD">
        <w:instrText>Riffaterre, Michael</w:instrText>
      </w:r>
      <w:r w:rsidR="005A4B5B">
        <w:instrText xml:space="preserve">" </w:instrText>
      </w:r>
      <w:r w:rsidR="005D7996">
        <w:fldChar w:fldCharType="end"/>
      </w:r>
      <w:r w:rsidR="006A0208">
        <w:t xml:space="preserve"> </w:t>
      </w:r>
      <w:r w:rsidR="00565634">
        <w:t xml:space="preserve">entwickelte </w:t>
      </w:r>
      <w:r w:rsidR="006A0208">
        <w:t xml:space="preserve">Methode der </w:t>
      </w:r>
      <w:r w:rsidR="000035B2">
        <w:t>Rezeptionsan</w:t>
      </w:r>
      <w:r w:rsidR="000035B2">
        <w:t>a</w:t>
      </w:r>
      <w:r w:rsidR="000035B2">
        <w:t>lyse</w:t>
      </w:r>
      <w:r w:rsidR="005D7996">
        <w:fldChar w:fldCharType="begin"/>
      </w:r>
      <w:r w:rsidR="00A73446">
        <w:instrText xml:space="preserve"> XE "</w:instrText>
      </w:r>
      <w:r w:rsidR="00A73446" w:rsidRPr="009B52D3">
        <w:instrText>Rezeptionsanalyse</w:instrText>
      </w:r>
      <w:r w:rsidR="00A73446">
        <w:instrText xml:space="preserve">" </w:instrText>
      </w:r>
      <w:r w:rsidR="005D7996">
        <w:fldChar w:fldCharType="end"/>
      </w:r>
      <w:r w:rsidR="000035B2">
        <w:t xml:space="preserve"> </w:t>
      </w:r>
      <w:r w:rsidR="00565634">
        <w:t>vor</w:t>
      </w:r>
      <w:r w:rsidR="000035B2">
        <w:t xml:space="preserve">, mit Hilfe der </w:t>
      </w:r>
      <w:r w:rsidR="00082DBE">
        <w:t xml:space="preserve">Rezeption eines literarischen Texts </w:t>
      </w:r>
      <w:r w:rsidR="000035B2">
        <w:t>(</w:t>
      </w:r>
      <w:r w:rsidR="00082DBE">
        <w:t xml:space="preserve">die </w:t>
      </w:r>
      <w:r w:rsidR="00EC41ED">
        <w:t>teils</w:t>
      </w:r>
      <w:r w:rsidR="000035B2">
        <w:t xml:space="preserve"> anhand </w:t>
      </w:r>
      <w:r w:rsidR="00082DBE">
        <w:t xml:space="preserve">des „Archilesers“, </w:t>
      </w:r>
      <w:r w:rsidR="000035B2">
        <w:t xml:space="preserve">eines fiktiven </w:t>
      </w:r>
      <w:r w:rsidR="002170CE">
        <w:t>Durchschnittslesers</w:t>
      </w:r>
      <w:r w:rsidR="00082DBE">
        <w:t>,</w:t>
      </w:r>
      <w:r w:rsidR="002170CE">
        <w:t xml:space="preserve"> </w:t>
      </w:r>
      <w:r w:rsidR="000035B2">
        <w:t>nur konstruier</w:t>
      </w:r>
      <w:r w:rsidR="00082DBE">
        <w:t>t</w:t>
      </w:r>
      <w:r w:rsidR="000035B2">
        <w:t xml:space="preserve">, </w:t>
      </w:r>
      <w:r w:rsidR="00082DBE">
        <w:t>teils</w:t>
      </w:r>
      <w:r w:rsidR="000035B2">
        <w:t xml:space="preserve"> </w:t>
      </w:r>
      <w:r w:rsidR="00082DBE">
        <w:t>auch durch Fragebögen getestet wurde</w:t>
      </w:r>
      <w:r w:rsidR="000035B2">
        <w:t xml:space="preserve">) die Kontrasterlebnisse </w:t>
      </w:r>
      <w:r w:rsidR="00EC41ED">
        <w:t xml:space="preserve">des Lesers </w:t>
      </w:r>
      <w:r w:rsidR="000035B2">
        <w:t>feststellt</w:t>
      </w:r>
      <w:r w:rsidR="00EC41ED">
        <w:t>.</w:t>
      </w:r>
      <w:r w:rsidR="000035B2">
        <w:rPr>
          <w:rStyle w:val="Funotenzeichen"/>
        </w:rPr>
        <w:footnoteReference w:id="251"/>
      </w:r>
      <w:r w:rsidR="00EC41ED">
        <w:t xml:space="preserve"> Erwartungen und Korrekturerlebnisse steuern die Aufmerksamkeit und besti</w:t>
      </w:r>
      <w:r w:rsidR="00EC41ED">
        <w:t>m</w:t>
      </w:r>
      <w:r w:rsidR="00EC41ED">
        <w:t>men die Wahrnehmung des Gedichts; hier wird die Struktur des Gedichts festg</w:t>
      </w:r>
      <w:r w:rsidR="00EC41ED">
        <w:t>e</w:t>
      </w:r>
      <w:r w:rsidR="00EC41ED">
        <w:t>stellt, indem die Stellen, an denen Kontrasterlebnisse stattfinden, auf Besonde</w:t>
      </w:r>
      <w:r w:rsidR="00EC41ED">
        <w:t>r</w:t>
      </w:r>
      <w:r w:rsidR="00EC41ED">
        <w:t xml:space="preserve">heiten hin untersucht und wiederum nach </w:t>
      </w:r>
      <w:r w:rsidR="00730DC3">
        <w:t>Äqui</w:t>
      </w:r>
      <w:r w:rsidR="00730DC3">
        <w:softHyphen/>
        <w:t>valenz</w:t>
      </w:r>
      <w:r w:rsidR="00730DC3">
        <w:softHyphen/>
        <w:t>krit</w:t>
      </w:r>
      <w:r w:rsidR="00EC41ED">
        <w:t>erien</w:t>
      </w:r>
      <w:r w:rsidR="005D7996">
        <w:fldChar w:fldCharType="begin"/>
      </w:r>
      <w:r w:rsidR="00A37A14">
        <w:instrText xml:space="preserve"> XE "</w:instrText>
      </w:r>
      <w:r w:rsidR="00A37A14" w:rsidRPr="003D41BB">
        <w:instrText>Äquivalenzkriterien</w:instrText>
      </w:r>
      <w:r w:rsidR="00A37A14">
        <w:instrText xml:space="preserve">" </w:instrText>
      </w:r>
      <w:r w:rsidR="005D7996">
        <w:fldChar w:fldCharType="end"/>
      </w:r>
      <w:r w:rsidR="00EC41ED">
        <w:t xml:space="preserve"> klassifiziert we</w:t>
      </w:r>
      <w:r w:rsidR="00EC41ED">
        <w:t>r</w:t>
      </w:r>
      <w:r w:rsidR="00EC41ED">
        <w:t>den.</w:t>
      </w:r>
    </w:p>
    <w:p w:rsidR="00A46C26" w:rsidRDefault="00EC41ED" w:rsidP="005A5093">
      <w:r>
        <w:t>Was hat dieser Ansatz mit der hier vorgestellten Stiltheorie gemeinsam, und was unterscheidet ihn davon? Zunächst ist festzuhalten, dass es sich um eine Methode der Textanalyse handelt</w:t>
      </w:r>
      <w:r w:rsidR="00C9594B">
        <w:t xml:space="preserve">, während </w:t>
      </w:r>
      <w:r w:rsidR="00246D60">
        <w:t xml:space="preserve">es uns hier </w:t>
      </w:r>
      <w:r w:rsidR="00C9594B">
        <w:t>um den stilistischen Ze</w:t>
      </w:r>
      <w:r w:rsidR="00C9594B">
        <w:t>i</w:t>
      </w:r>
      <w:r w:rsidR="00C9594B">
        <w:t>chenprozess geht. Zunächst einmal scheinen die beiden Ansätze daher schon methodisch ganz verschieden: Geht es dort um eine Methode, Texte richtig zu verstehen, geht es hier um eine Theorie, das ein Phänomen (nämlich Stil) mode</w:t>
      </w:r>
      <w:r w:rsidR="00C9594B">
        <w:t>l</w:t>
      </w:r>
      <w:r w:rsidR="00C9594B">
        <w:t>liert. Allerdings ist der Unterschied weniger groß als gedacht: Die strukturalist</w:t>
      </w:r>
      <w:r w:rsidR="00C9594B">
        <w:t>i</w:t>
      </w:r>
      <w:r w:rsidR="00C9594B">
        <w:t xml:space="preserve">sche </w:t>
      </w:r>
      <w:r w:rsidR="008B7219">
        <w:t>Text</w:t>
      </w:r>
      <w:r w:rsidR="00C9594B">
        <w:t xml:space="preserve">analyse beschreibt Strukturen in Texten nicht um ihrer selbst willen, sondern sie will verstehen, wie Texte bestimmte </w:t>
      </w:r>
      <w:r w:rsidR="000D364B">
        <w:t>(über ihre kodierte Botschaft</w:t>
      </w:r>
      <w:r w:rsidR="005D7996">
        <w:fldChar w:fldCharType="begin"/>
      </w:r>
      <w:r w:rsidR="0025452C">
        <w:instrText xml:space="preserve"> XE "</w:instrText>
      </w:r>
      <w:r w:rsidR="0025452C" w:rsidRPr="00AF735F">
        <w:instrText>Botschaft</w:instrText>
      </w:r>
      <w:r w:rsidR="0025452C">
        <w:instrText xml:space="preserve">:kodierte" </w:instrText>
      </w:r>
      <w:r w:rsidR="005D7996">
        <w:fldChar w:fldCharType="end"/>
      </w:r>
      <w:r w:rsidR="000D364B">
        <w:t xml:space="preserve"> hinausgehende) Zeicheninhalte beim </w:t>
      </w:r>
      <w:r w:rsidR="00D44BCF">
        <w:t xml:space="preserve">Leser </w:t>
      </w:r>
      <w:r w:rsidR="000D364B">
        <w:t>erzeugen</w:t>
      </w:r>
      <w:r w:rsidR="00C9594B">
        <w:t>; der Ansatz Riffaterres, der den Text als Ausgangspunkt eines Zeichenprozesses (nämlich seiner Rezeption durch den Leser) auffasst, der durch geeignete Analysemethoden nachvollzogen wird, ist dabei eine Fortentwicklung des Ansatzes von Jakobson und Lévi-Strauss</w:t>
      </w:r>
      <w:r w:rsidR="005D7996">
        <w:fldChar w:fldCharType="begin"/>
      </w:r>
      <w:r w:rsidR="007B15C8">
        <w:instrText xml:space="preserve"> XE "</w:instrText>
      </w:r>
      <w:r w:rsidR="007B15C8" w:rsidRPr="000F32C4">
        <w:instrText>Lévi-Strauss, Claude</w:instrText>
      </w:r>
      <w:r w:rsidR="007B15C8">
        <w:instrText xml:space="preserve">" </w:instrText>
      </w:r>
      <w:r w:rsidR="005D7996">
        <w:fldChar w:fldCharType="end"/>
      </w:r>
      <w:r w:rsidR="00C9594B">
        <w:t xml:space="preserve">, der den Text noch als statisches Gebilde auffasst. Die hier entwickelte Stiltheorie ist ebenfalls die Darstellung eines Zeichenprozesses, nämlich dessen, der beim </w:t>
      </w:r>
      <w:r w:rsidR="001500F6">
        <w:t>Anwenden</w:t>
      </w:r>
      <w:r w:rsidR="00C9594B">
        <w:t xml:space="preserve"> und </w:t>
      </w:r>
      <w:r w:rsidR="00BE695D">
        <w:t xml:space="preserve">Wahrnehmen </w:t>
      </w:r>
      <w:r w:rsidR="00C9594B">
        <w:t>eines Stils stattfindet.</w:t>
      </w:r>
    </w:p>
    <w:p w:rsidR="00C96CCB" w:rsidRDefault="00C96CCB" w:rsidP="005A5093">
      <w:r>
        <w:t xml:space="preserve">Unterschiede </w:t>
      </w:r>
      <w:r w:rsidR="00A35384">
        <w:t>ergeben sich vor allem daraus</w:t>
      </w:r>
      <w:r>
        <w:t>, dass es (1) der strukturalist</w:t>
      </w:r>
      <w:r>
        <w:t>i</w:t>
      </w:r>
      <w:r>
        <w:t>schen Textanalyse um den Zeichenprozess bei der gesamten Rezeption sprachl</w:t>
      </w:r>
      <w:r>
        <w:t>i</w:t>
      </w:r>
      <w:r>
        <w:t xml:space="preserve">cher </w:t>
      </w:r>
      <w:r w:rsidR="009322EB">
        <w:t>(vorwiegend literarischer)</w:t>
      </w:r>
      <w:r w:rsidR="009322EB">
        <w:rPr>
          <w:rStyle w:val="Funotenzeichen"/>
        </w:rPr>
        <w:footnoteReference w:id="252"/>
      </w:r>
      <w:r w:rsidR="009322EB">
        <w:t xml:space="preserve"> </w:t>
      </w:r>
      <w:r>
        <w:t>Texte, hier dagegen um den Zeichenprozess bei</w:t>
      </w:r>
      <w:r w:rsidR="00400367">
        <w:t xml:space="preserve">m Wahrnehmen </w:t>
      </w:r>
      <w:r>
        <w:t>eines Stils geht</w:t>
      </w:r>
      <w:r w:rsidR="00A35384">
        <w:t>, und</w:t>
      </w:r>
      <w:r>
        <w:t xml:space="preserve"> (2) Stil hier nicht nur in sprachlichen Texten, sondern allgemein beschrieben</w:t>
      </w:r>
      <w:r w:rsidR="00A35384">
        <w:t xml:space="preserve"> wird</w:t>
      </w:r>
      <w:r>
        <w:t>.</w:t>
      </w:r>
      <w:r w:rsidR="00A35384">
        <w:t xml:space="preserve"> Es entstehen folgende Unterschi</w:t>
      </w:r>
      <w:r w:rsidR="00A35384">
        <w:t>e</w:t>
      </w:r>
      <w:r w:rsidR="00A35384">
        <w:t>de:</w:t>
      </w:r>
    </w:p>
    <w:p w:rsidR="00C96CCB" w:rsidRDefault="00C96CCB" w:rsidP="005A5093">
      <w:r>
        <w:t>(1)</w:t>
      </w:r>
      <w:r>
        <w:tab/>
        <w:t>Die Auswahl aus Paradigmen (die als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t xml:space="preserve"> beschrieben werden) wird in der strukturalistischen Textanalyse </w:t>
      </w:r>
      <w:r w:rsidR="0083311B">
        <w:t xml:space="preserve">nur insofern einbezogen, als </w:t>
      </w:r>
      <w:r w:rsidR="0079775F">
        <w:lastRenderedPageBreak/>
        <w:t xml:space="preserve">dadurch </w:t>
      </w:r>
      <w:r>
        <w:t xml:space="preserve">Äquivalenzen </w:t>
      </w:r>
      <w:r w:rsidR="003D5F79">
        <w:t xml:space="preserve">(oder </w:t>
      </w:r>
      <w:r w:rsidR="0013783A">
        <w:t>Oppositionen</w:t>
      </w:r>
      <w:r w:rsidR="003D5F79">
        <w:t>)</w:t>
      </w:r>
      <w:r w:rsidR="0013783A">
        <w:t xml:space="preserve"> </w:t>
      </w:r>
      <w:r>
        <w:t>in der syntagmatischen Ebene he</w:t>
      </w:r>
      <w:r>
        <w:t>r</w:t>
      </w:r>
      <w:r>
        <w:t>gestellt werden</w:t>
      </w:r>
      <w:r w:rsidR="0061161D">
        <w:t xml:space="preserve">. Diese werden als </w:t>
      </w:r>
      <w:r w:rsidR="0013783A">
        <w:t>strukturbildend für den Text</w:t>
      </w:r>
      <w:r w:rsidR="0061161D">
        <w:t xml:space="preserve"> aufgefasst</w:t>
      </w:r>
      <w:r w:rsidR="0013783A">
        <w:t xml:space="preserve">. </w:t>
      </w:r>
      <w:r w:rsidR="0083311B">
        <w:t>Die Untersuchung bezieht sich also tatsächlich ausschließlich auf das Syntagma</w:t>
      </w:r>
      <w:r w:rsidR="005D7996">
        <w:fldChar w:fldCharType="begin"/>
      </w:r>
      <w:r w:rsidR="00D77298">
        <w:instrText xml:space="preserve"> XE "</w:instrText>
      </w:r>
      <w:r w:rsidR="00D77298" w:rsidRPr="006C2C00">
        <w:instrText>Syntagma</w:instrText>
      </w:r>
      <w:r w:rsidR="00D77298">
        <w:instrText xml:space="preserve">" </w:instrText>
      </w:r>
      <w:r w:rsidR="005D7996">
        <w:fldChar w:fldCharType="end"/>
      </w:r>
      <w:r w:rsidR="0083311B">
        <w:t>, de</w:t>
      </w:r>
      <w:r w:rsidR="0083311B">
        <w:t>s</w:t>
      </w:r>
      <w:r w:rsidR="0083311B">
        <w:t>sen sich wiederholend</w:t>
      </w:r>
      <w:r w:rsidR="00A02E62">
        <w:t>e Eigenschaften als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83311B">
        <w:t xml:space="preserve"> beschrieben we</w:t>
      </w:r>
      <w:r w:rsidR="0083311B">
        <w:t>r</w:t>
      </w:r>
      <w:r w:rsidR="0083311B">
        <w:t xml:space="preserve">den. </w:t>
      </w:r>
      <w:r w:rsidR="0013783A">
        <w:t xml:space="preserve">– Dagegen nimmt die hier vorgestellte Stiltheorie den Auswahlvorgang selbst in den Blick, </w:t>
      </w:r>
      <w:r w:rsidR="0083311B">
        <w:t xml:space="preserve">dessen sich wiederholende Eigenschaften </w:t>
      </w:r>
      <w:r w:rsidR="0075775D">
        <w:t xml:space="preserve">durch </w:t>
      </w:r>
      <w:r w:rsidR="0083311B">
        <w:t>Merkmalsr</w:t>
      </w:r>
      <w:r w:rsidR="0083311B">
        <w:t>e</w:t>
      </w:r>
      <w:r w:rsidR="0083311B">
        <w:t>geln beschrieben werden.</w:t>
      </w:r>
    </w:p>
    <w:p w:rsidR="00C96CCB" w:rsidRDefault="00C96CCB" w:rsidP="005A5093">
      <w:r>
        <w:t>(2)</w:t>
      </w:r>
      <w:r>
        <w:tab/>
      </w:r>
      <w:r w:rsidR="00A02E62">
        <w:t xml:space="preserve">Die Erweiterung von literarischen Texten auf alle Bereiche, in denen Stil vorkommt, erfolgt durch die Erweiterung von </w:t>
      </w:r>
      <w:r w:rsidR="00A02E62" w:rsidRPr="00A02E62">
        <w:rPr>
          <w:i/>
        </w:rPr>
        <w:t>Paradigma</w:t>
      </w:r>
      <w:r w:rsidR="005D7996">
        <w:rPr>
          <w:i/>
        </w:rPr>
        <w:fldChar w:fldCharType="begin"/>
      </w:r>
      <w:r w:rsidR="00D77298">
        <w:instrText xml:space="preserve"> XE "</w:instrText>
      </w:r>
      <w:r w:rsidR="00D77298" w:rsidRPr="006C2C00">
        <w:instrText>Paradigma</w:instrText>
      </w:r>
      <w:r w:rsidR="00D77298">
        <w:instrText xml:space="preserve">" </w:instrText>
      </w:r>
      <w:r w:rsidR="005D7996">
        <w:rPr>
          <w:i/>
        </w:rPr>
        <w:fldChar w:fldCharType="end"/>
      </w:r>
      <w:r w:rsidR="00A02E62" w:rsidRPr="00A02E62">
        <w:rPr>
          <w:i/>
        </w:rPr>
        <w:t xml:space="preserve"> </w:t>
      </w:r>
      <w:r w:rsidR="00A02E62" w:rsidRPr="00A02E62">
        <w:t>und</w:t>
      </w:r>
      <w:r w:rsidR="00A02E62">
        <w:rPr>
          <w:i/>
        </w:rPr>
        <w:t xml:space="preserve"> </w:t>
      </w:r>
      <w:r w:rsidR="00A02E62" w:rsidRPr="00A02E62">
        <w:rPr>
          <w:i/>
        </w:rPr>
        <w:t>Syntagma</w:t>
      </w:r>
      <w:r w:rsidR="005D7996">
        <w:rPr>
          <w:i/>
        </w:rPr>
        <w:fldChar w:fldCharType="begin"/>
      </w:r>
      <w:r w:rsidR="00D77298">
        <w:instrText xml:space="preserve"> XE "</w:instrText>
      </w:r>
      <w:r w:rsidR="00D77298" w:rsidRPr="006C2C00">
        <w:instrText>Syntagma</w:instrText>
      </w:r>
      <w:r w:rsidR="00D77298">
        <w:instrText xml:space="preserve">" </w:instrText>
      </w:r>
      <w:r w:rsidR="005D7996">
        <w:rPr>
          <w:i/>
        </w:rPr>
        <w:fldChar w:fldCharType="end"/>
      </w:r>
      <w:r w:rsidR="00A02E62">
        <w:t xml:space="preserve"> als Gliederungsebenen, die bei der Anwendung von Zeichensystemen entstehen, zu </w:t>
      </w:r>
      <w:r w:rsidR="00ED5BE9">
        <w:rPr>
          <w:i/>
        </w:rPr>
        <w:t>Alter</w:t>
      </w:r>
      <w:r w:rsidR="00ED5BE9">
        <w:rPr>
          <w:i/>
        </w:rPr>
        <w:softHyphen/>
        <w:t>nativen</w:t>
      </w:r>
      <w:r w:rsidR="00ED5BE9">
        <w:rPr>
          <w:i/>
        </w:rPr>
        <w:softHyphen/>
        <w:t>klasse</w:t>
      </w:r>
      <w:r w:rsidR="00A02E62">
        <w:t xml:space="preserve"> und </w:t>
      </w:r>
      <w:r w:rsidR="00A02E62" w:rsidRPr="00A02E62">
        <w:rPr>
          <w:i/>
        </w:rPr>
        <w:t>Realisierung</w:t>
      </w:r>
      <w:r w:rsidR="00A02E62">
        <w:t xml:space="preserve"> als Gliederungsebenen, die bei der Ausfü</w:t>
      </w:r>
      <w:r w:rsidR="00A02E62">
        <w:t>h</w:t>
      </w:r>
      <w:r w:rsidR="00A02E62">
        <w:t xml:space="preserve">rung von Schemata entstehen. Die Relationen der Gliederungsebenen zueinander bleibt dabei im Wesentlichen gleich (vgl. Abschnitt </w:t>
      </w:r>
      <w:r w:rsidR="005D7996">
        <w:fldChar w:fldCharType="begin"/>
      </w:r>
      <w:r w:rsidR="00A02E62">
        <w:instrText xml:space="preserve"> REF _Ref267685078 \r \h </w:instrText>
      </w:r>
      <w:r w:rsidR="005D7996">
        <w:fldChar w:fldCharType="separate"/>
      </w:r>
      <w:r w:rsidR="001231D3">
        <w:t>2.4</w:t>
      </w:r>
      <w:r w:rsidR="005D7996">
        <w:fldChar w:fldCharType="end"/>
      </w:r>
      <w:r w:rsidR="00A02E62">
        <w:t>).</w:t>
      </w:r>
    </w:p>
    <w:p w:rsidR="00650093" w:rsidRDefault="00A35384" w:rsidP="00A168AE">
      <w:pPr>
        <w:spacing w:before="240"/>
        <w:ind w:firstLine="0"/>
      </w:pPr>
      <w:r>
        <w:t xml:space="preserve">Zu (1) kann dabei noch eine Überlegung ergänzt werden: Diese betrifft die </w:t>
      </w:r>
      <w:r w:rsidR="006E1D3F">
        <w:t>B</w:t>
      </w:r>
      <w:r w:rsidR="006E1D3F">
        <w:t>e</w:t>
      </w:r>
      <w:r w:rsidR="006E1D3F">
        <w:t>ziehung</w:t>
      </w:r>
      <w:r>
        <w:t xml:space="preserve"> von Merkmalsregeln zu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t>. Eine Merkmalsregel spezif</w:t>
      </w:r>
      <w:r>
        <w:t>i</w:t>
      </w:r>
      <w:r>
        <w:t>ziert durch ihre Anwendungs</w:t>
      </w:r>
      <w:r w:rsidR="00A17C8A">
        <w:t>bedingungen</w:t>
      </w:r>
      <w:r>
        <w:t xml:space="preserve"> eine </w:t>
      </w:r>
      <w:r w:rsidR="00ED5BE9">
        <w:t>Alter</w:t>
      </w:r>
      <w:r w:rsidR="00ED5BE9">
        <w:softHyphen/>
        <w:t>nativen</w:t>
      </w:r>
      <w:r w:rsidR="00ED5BE9">
        <w:softHyphen/>
        <w:t>klasse</w:t>
      </w:r>
      <w:r w:rsidR="00876AC0">
        <w:t xml:space="preserve">, auf die (und auf </w:t>
      </w:r>
      <w:r w:rsidR="00CE0F57">
        <w:t>spezieller definierte Klassen</w:t>
      </w:r>
      <w:r w:rsidR="00876AC0">
        <w:t>) die Regel anzuwenden ist, und d</w:t>
      </w:r>
      <w:r>
        <w:t>urch ihre ve</w:t>
      </w:r>
      <w:r>
        <w:t>r</w:t>
      </w:r>
      <w:r>
        <w:t xml:space="preserve">langten Eigenschaften eine </w:t>
      </w:r>
      <w:r w:rsidR="00876AC0">
        <w:t xml:space="preserve">reduzierte </w:t>
      </w:r>
      <w:r w:rsidR="00ED5BE9">
        <w:t>Alter</w:t>
      </w:r>
      <w:r w:rsidR="00ED5BE9">
        <w:softHyphen/>
        <w:t>nativen</w:t>
      </w:r>
      <w:r w:rsidR="00ED5BE9">
        <w:softHyphen/>
        <w:t>klasse</w:t>
      </w:r>
      <w:r w:rsidR="00876AC0">
        <w:t xml:space="preserve">, aus der ein Element für die Realisierung zu wählen ist. Dabei spezifiziert die zuerst genannte </w:t>
      </w:r>
      <w:r w:rsidR="00ED5BE9">
        <w:t>Alter</w:t>
      </w:r>
      <w:r w:rsidR="00ED5BE9">
        <w:softHyphen/>
        <w:t>nativen</w:t>
      </w:r>
      <w:r w:rsidR="00ED5BE9">
        <w:softHyphen/>
        <w:t>klasse</w:t>
      </w:r>
      <w:r w:rsidR="00876AC0">
        <w:t xml:space="preserve"> eine Äquivalenzrelation bezüglich des Schemaorts und </w:t>
      </w:r>
      <w:r w:rsidR="001F19A7">
        <w:t>gegebene</w:t>
      </w:r>
      <w:r w:rsidR="001F19A7">
        <w:t>n</w:t>
      </w:r>
      <w:r w:rsidR="001F19A7">
        <w:t xml:space="preserve">falls </w:t>
      </w:r>
      <w:r w:rsidR="00876AC0">
        <w:t xml:space="preserve">der Zusatzbedingungen, die zweite </w:t>
      </w:r>
      <w:r w:rsidR="00ED5BE9">
        <w:t>Alter</w:t>
      </w:r>
      <w:r w:rsidR="00ED5BE9">
        <w:softHyphen/>
        <w:t>nativen</w:t>
      </w:r>
      <w:r w:rsidR="00ED5BE9">
        <w:softHyphen/>
        <w:t>klasse</w:t>
      </w:r>
      <w:r w:rsidR="00876AC0">
        <w:t xml:space="preserve">, </w:t>
      </w:r>
      <w:r w:rsidR="00CE0F57">
        <w:t xml:space="preserve">die </w:t>
      </w:r>
      <w:r w:rsidR="00876AC0">
        <w:t>eine Unterklasse der ersten ist, eine Äquivalenz</w:t>
      </w:r>
      <w:r w:rsidR="00B1094C">
        <w:t>relation</w:t>
      </w:r>
      <w:r w:rsidR="00876AC0">
        <w:t xml:space="preserve"> bezüglich des Schemaorts, der Zusatzb</w:t>
      </w:r>
      <w:r w:rsidR="00876AC0">
        <w:t>e</w:t>
      </w:r>
      <w:r w:rsidR="00876AC0">
        <w:t xml:space="preserve">dingungen und der verlangten Eigenschaften. </w:t>
      </w:r>
      <w:r w:rsidR="00434333">
        <w:t xml:space="preserve">Im </w:t>
      </w:r>
      <w:r w:rsidR="00876AC0">
        <w:t>Vergleich zum Modell der strukturalistischen Textanalyse</w:t>
      </w:r>
      <w:r w:rsidR="005D7996">
        <w:fldChar w:fldCharType="begin"/>
      </w:r>
      <w:r w:rsidR="00AC1C55">
        <w:instrText xml:space="preserve"> XE "</w:instrText>
      </w:r>
      <w:r w:rsidR="00AC1C55" w:rsidRPr="00436EAC">
        <w:instrText>Textanalyse</w:instrText>
      </w:r>
      <w:r w:rsidR="008816FA">
        <w:instrText>:strukturalistische</w:instrText>
      </w:r>
      <w:r w:rsidR="00AC1C55">
        <w:instrText xml:space="preserve">" </w:instrText>
      </w:r>
      <w:r w:rsidR="005D7996">
        <w:fldChar w:fldCharType="end"/>
      </w:r>
      <w:r w:rsidR="00434333">
        <w:t>, bei der zwei (oder mehr)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434333">
        <w:t xml:space="preserve"> </w:t>
      </w:r>
      <w:r w:rsidR="00B1094C">
        <w:t xml:space="preserve">auf </w:t>
      </w:r>
      <w:r w:rsidR="00A0199D">
        <w:t xml:space="preserve">Korrelationen zueinander </w:t>
      </w:r>
      <w:r w:rsidR="00434333">
        <w:t xml:space="preserve">untersucht werden, sind die beiden </w:t>
      </w:r>
      <w:r w:rsidR="00ED5BE9">
        <w:t>Alter</w:t>
      </w:r>
      <w:r w:rsidR="00ED5BE9">
        <w:softHyphen/>
        <w:t>nativen</w:t>
      </w:r>
      <w:r w:rsidR="00ED5BE9">
        <w:softHyphen/>
        <w:t>klasse</w:t>
      </w:r>
      <w:r w:rsidR="00434333">
        <w:t>n</w:t>
      </w:r>
      <w:r w:rsidR="00650093">
        <w:t xml:space="preserve"> zunächst einmal vertikale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650093">
        <w:t>, die im Erzeugungsprozess der Realisierung eine Rolle spielen. Durch ihre Anwendung in einer Merkmal</w:t>
      </w:r>
      <w:r w:rsidR="00650093">
        <w:t>s</w:t>
      </w:r>
      <w:r w:rsidR="00650093">
        <w:t>regel erzeugen sie aber auch eine Korrelation zwischen zwei horizontalen Äqui</w:t>
      </w:r>
      <w:r w:rsidR="00A02E27">
        <w:softHyphen/>
      </w:r>
      <w:r w:rsidR="00650093">
        <w:t>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650093">
        <w:t>. Der Korrelationsgrad wird dabei durch die Anwendungswah</w:t>
      </w:r>
      <w:r w:rsidR="00650093">
        <w:t>r</w:t>
      </w:r>
      <w:r w:rsidR="00650093">
        <w:t xml:space="preserve">scheinlichkeit </w:t>
      </w:r>
      <w:r w:rsidR="00650093" w:rsidRPr="00434333">
        <w:rPr>
          <w:i/>
        </w:rPr>
        <w:t>w</w:t>
      </w:r>
      <w:r w:rsidR="00650093">
        <w:t xml:space="preserve"> bestimmt.</w:t>
      </w:r>
    </w:p>
    <w:p w:rsidR="000E080B" w:rsidRDefault="00650093" w:rsidP="005A5093">
      <w:r>
        <w:t>Beispielsweise wird durch eine Merkmalsregel, die für die Anwendungs</w:t>
      </w:r>
      <w:r w:rsidR="00A17C8A">
        <w:t>b</w:t>
      </w:r>
      <w:r w:rsidR="00A17C8A">
        <w:t>e</w:t>
      </w:r>
      <w:r w:rsidR="00A17C8A">
        <w:t>dingung</w:t>
      </w:r>
      <w:r>
        <w:t xml:space="preserve"> ‚Fenster‘ die verlangte Eigenschaft ‚quadratisch‘ spezifiziert, eine Korr</w:t>
      </w:r>
      <w:r>
        <w:t>e</w:t>
      </w:r>
      <w:r>
        <w:t>lation zwischen zwei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t xml:space="preserve"> </w:t>
      </w:r>
      <w:r w:rsidR="00D554B0">
        <w:t xml:space="preserve">in der Realisierung </w:t>
      </w:r>
      <w:r>
        <w:t>erzeugt: Derjenigen der Fenster und derjenigen der quadratischen Fenster (nicht: aller quadratischen Elemente der Realisierung).</w:t>
      </w:r>
      <w:r w:rsidR="00D554B0">
        <w:t xml:space="preserve"> </w:t>
      </w:r>
      <w:r w:rsidR="000E080B">
        <w:t>Es handelt sich also bei Merkmalsregeln um eine Beschreibungsweise</w:t>
      </w:r>
      <w:r w:rsidR="001F19A7">
        <w:t xml:space="preserve"> dafür</w:t>
      </w:r>
      <w:r w:rsidR="000E080B">
        <w:t>, wie in Realisierungen Korrelationen von Äquivalenz</w:t>
      </w:r>
      <w:r w:rsidR="00A02E27">
        <w:softHyphen/>
      </w:r>
      <w:r w:rsidR="000E080B">
        <w:t>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0E080B">
        <w:t xml:space="preserve"> hergestellt werden</w:t>
      </w:r>
      <w:r w:rsidR="005A5093">
        <w:t>. Für die entstehenden Korrelationen</w:t>
      </w:r>
      <w:r w:rsidR="000E080B">
        <w:t xml:space="preserve"> gelten allerdings </w:t>
      </w:r>
      <w:r w:rsidR="005A5093">
        <w:t xml:space="preserve">zwei </w:t>
      </w:r>
      <w:r w:rsidR="000E080B">
        <w:t>Besonderheiten:</w:t>
      </w:r>
    </w:p>
    <w:p w:rsidR="000E080B" w:rsidRDefault="000E080B" w:rsidP="005A5093">
      <w:r>
        <w:t>(a)</w:t>
      </w:r>
      <w:r>
        <w:tab/>
        <w:t>Eine der Äquivalenz</w:t>
      </w:r>
      <w:r w:rsidR="005A5093">
        <w:t>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5A5093">
        <w:t xml:space="preserve"> definiert einen Schemaort</w:t>
      </w:r>
      <w:r w:rsidR="001F19A7">
        <w:t xml:space="preserve"> </w:t>
      </w:r>
      <w:r>
        <w:t>und</w:t>
      </w:r>
      <w:r w:rsidR="001F19A7">
        <w:t xml:space="preserve"> gegeben</w:t>
      </w:r>
      <w:r w:rsidR="00A02E27">
        <w:softHyphen/>
      </w:r>
      <w:r w:rsidR="001F19A7">
        <w:t>falls Zusatzbedingungen</w:t>
      </w:r>
      <w:r>
        <w:t xml:space="preserve">, die andere eine zusätzliche Äquivalenz innerhalb des </w:t>
      </w:r>
      <w:r w:rsidR="005A5093">
        <w:t>noch gegebenen Spielraums</w:t>
      </w:r>
      <w:r w:rsidR="006020FD">
        <w:t>;</w:t>
      </w:r>
    </w:p>
    <w:p w:rsidR="005A5093" w:rsidRDefault="005A5093" w:rsidP="005A5093">
      <w:r>
        <w:lastRenderedPageBreak/>
        <w:t>(b)</w:t>
      </w:r>
      <w:r>
        <w:tab/>
      </w:r>
      <w:r w:rsidR="006020FD">
        <w:t>d</w:t>
      </w:r>
      <w:r>
        <w:t>ie eine Äquiva</w:t>
      </w:r>
      <w:r w:rsidR="00083AF6">
        <w:t>lenzklasse</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083AF6">
        <w:t xml:space="preserve"> ist eine Unterklasse </w:t>
      </w:r>
      <w:r>
        <w:t>der anderen.</w:t>
      </w:r>
      <w:r w:rsidR="006020FD">
        <w:rPr>
          <w:rStyle w:val="Funotenzeichen"/>
        </w:rPr>
        <w:footnoteReference w:id="253"/>
      </w:r>
    </w:p>
    <w:p w:rsidR="00AE470B" w:rsidRDefault="00AE470B" w:rsidP="005A5093">
      <w:r>
        <w:t>Diese beiden Besonderheiten ermöglichen es, die beschriebenen Fälle auf andere Realisierungen desselben Schemas zu übertragen. Dies ist die Besonde</w:t>
      </w:r>
      <w:r>
        <w:t>r</w:t>
      </w:r>
      <w:r>
        <w:t>heit von Stil im Vergleich mit beliebigen Strukturen innerhalb von Realisieru</w:t>
      </w:r>
      <w:r>
        <w:t>n</w:t>
      </w:r>
      <w:r>
        <w:t>gen: Es handelt sich um Regelmäßigkeiten der Auswahl, die auf andere Realisi</w:t>
      </w:r>
      <w:r>
        <w:t>e</w:t>
      </w:r>
      <w:r>
        <w:t>rungen übertragbar sind. Daraus ergeben sich die interessant</w:t>
      </w:r>
      <w:r w:rsidR="009E340E">
        <w:t>en Eigenschaften von Stil (Rück</w:t>
      </w:r>
      <w:r>
        <w:t xml:space="preserve">schlüsse auf </w:t>
      </w:r>
      <w:r w:rsidR="009E340E">
        <w:t>Ursachen für die Regelmäßigkeiten,</w:t>
      </w:r>
      <w:r>
        <w:t xml:space="preserve"> </w:t>
      </w:r>
      <w:r w:rsidR="009E340E">
        <w:t>Möglichkeit zu Aussagen über</w:t>
      </w:r>
      <w:r>
        <w:t xml:space="preserve"> noch unbekannte Realisierungen</w:t>
      </w:r>
      <w:r w:rsidR="006A2563">
        <w:t xml:space="preserve">, </w:t>
      </w:r>
      <w:r w:rsidR="009E340E">
        <w:t xml:space="preserve">Klassifikation </w:t>
      </w:r>
      <w:r>
        <w:t>von Realisieru</w:t>
      </w:r>
      <w:r>
        <w:t>n</w:t>
      </w:r>
      <w:r>
        <w:t>gen).</w:t>
      </w:r>
    </w:p>
    <w:p w:rsidR="00AE470B" w:rsidRPr="00A168AE" w:rsidRDefault="00AE470B" w:rsidP="00AE470B">
      <w:r w:rsidRPr="00A168AE">
        <w:t>Stilistische Merkmale können also als durch die Eigenschaften (a) und (b) definierte Unterklasse aller Korrelationen von Äquivalenzen aufgefasst werden. Merkmalsregeln sind eine Darstellungsweise für die Erzeugung dieser Unterkla</w:t>
      </w:r>
      <w:r w:rsidRPr="00A168AE">
        <w:t>s</w:t>
      </w:r>
      <w:r w:rsidRPr="00A168AE">
        <w:t>se von Korrelationen zwischen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Pr="00A168AE">
        <w:t>.</w:t>
      </w:r>
    </w:p>
    <w:p w:rsidR="00AE470B" w:rsidRDefault="00AE470B" w:rsidP="005A5093">
      <w:r>
        <w:t xml:space="preserve">Wozu dann die Merkmalsregeln? </w:t>
      </w:r>
      <w:r w:rsidR="000E080B">
        <w:t>Warum werden nicht einfach solche Ko</w:t>
      </w:r>
      <w:r w:rsidR="000E080B">
        <w:t>r</w:t>
      </w:r>
      <w:r w:rsidR="000E080B">
        <w:t>relationen von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0E080B">
        <w:t xml:space="preserve"> für die Realisierung als Bedingungen für die Existenz des jeweiligen Stils definiert?</w:t>
      </w:r>
    </w:p>
    <w:p w:rsidR="00217316" w:rsidRDefault="000E080B" w:rsidP="00602299">
      <w:r>
        <w:t xml:space="preserve">Dies ist eine ebenfalls denkbare Beschreibungsweise. Allerdings würde sie, führt man sie präzise durch, keine Vereinfachung bedeuten: Es müssen ebenfalls die verschiedenen Bedingungen für beide Klassen definiert werden, und es muss ein Korrelationsgrad </w:t>
      </w:r>
      <w:r w:rsidR="00AE470B">
        <w:t xml:space="preserve">angegeben </w:t>
      </w:r>
      <w:r>
        <w:t>werden. Gleichzeitig wäre unklar, wie die Korr</w:t>
      </w:r>
      <w:r>
        <w:t>e</w:t>
      </w:r>
      <w:r>
        <w:t>lationen in die Realisierung kommen und was beim Widerspruch der Anford</w:t>
      </w:r>
      <w:r>
        <w:t>e</w:t>
      </w:r>
      <w:r>
        <w:t xml:space="preserve">rungen mehrerer Korrelationsbedingungen geschieht. </w:t>
      </w:r>
      <w:r w:rsidR="00AE470B">
        <w:t>Solche und ähnliche Fr</w:t>
      </w:r>
      <w:r w:rsidR="00AE470B">
        <w:t>a</w:t>
      </w:r>
      <w:r w:rsidR="00AE470B">
        <w:t xml:space="preserve">gen können nur bei der </w:t>
      </w:r>
      <w:r w:rsidR="00090B19">
        <w:t>Darstellung von Stil als Prozess berücksichtigt werden, bei dem Information in eine Realisierung eingeschrieben und aus ihr ausgelesen wird.</w:t>
      </w:r>
      <w:r w:rsidR="002540BB">
        <w:rPr>
          <w:rStyle w:val="Funotenzeichen"/>
        </w:rPr>
        <w:footnoteReference w:id="254"/>
      </w:r>
      <w:r w:rsidR="00602299">
        <w:t xml:space="preserve"> Zudem gäbe es noch einen entscheidenden Unterschied zur hier vorg</w:t>
      </w:r>
      <w:r w:rsidR="00602299">
        <w:t>e</w:t>
      </w:r>
      <w:r w:rsidR="00602299">
        <w:t>nommenen Darstellung: Regelmäßigkeiten der Realisierung würden ohne B</w:t>
      </w:r>
      <w:r w:rsidR="00602299">
        <w:t>e</w:t>
      </w:r>
      <w:r w:rsidR="00602299">
        <w:t>rücksichtigung der jeweiligen Auswahlprozesse zur Beschreibung eines Stil ve</w:t>
      </w:r>
      <w:r w:rsidR="00602299">
        <w:t>r</w:t>
      </w:r>
      <w:r w:rsidR="00602299">
        <w:t>wendet; die Auswirkung kontextueller, funktionaler und inhaltlicher Bedingu</w:t>
      </w:r>
      <w:r w:rsidR="00602299">
        <w:t>n</w:t>
      </w:r>
      <w:r w:rsidR="00217316">
        <w:t>gen würde nicht berücksichtigt.</w:t>
      </w:r>
    </w:p>
    <w:p w:rsidR="00602299" w:rsidRDefault="00602299" w:rsidP="00602299">
      <w:r>
        <w:t>Würde beispielsweise an einem Gebäude eine hundertprozentige Korrelat</w:t>
      </w:r>
      <w:r>
        <w:t>i</w:t>
      </w:r>
      <w:r>
        <w:t>on zwischen dem Schemaort ‚Fenster‘ und der Ausführungsweise ‚Fensterband; auf mittlerer Höhe; mit Klarglas‘ festgestellt, würde an einem anderen Gebäude</w:t>
      </w:r>
      <w:r w:rsidR="001500F6" w:rsidRPr="001500F6">
        <w:t xml:space="preserve"> </w:t>
      </w:r>
      <w:r w:rsidR="001500F6">
        <w:t>ein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rsidR="001500F6">
        <w:t xml:space="preserve"> festgestellt</w:t>
      </w:r>
      <w:r>
        <w:t xml:space="preserve">, </w:t>
      </w:r>
      <w:r w:rsidR="001500F6">
        <w:t xml:space="preserve">wenn </w:t>
      </w:r>
      <w:r>
        <w:t xml:space="preserve">an einigen Stellen </w:t>
      </w:r>
      <w:r w:rsidR="001500F6">
        <w:t>aufgrund funktionaler B</w:t>
      </w:r>
      <w:r w:rsidR="001500F6">
        <w:t>e</w:t>
      </w:r>
      <w:r w:rsidR="001500F6">
        <w:t xml:space="preserve">dingungen </w:t>
      </w:r>
      <w:r>
        <w:t xml:space="preserve">keine solchen Fensterbänder möglich </w:t>
      </w:r>
      <w:r w:rsidR="001500F6">
        <w:t>sind</w:t>
      </w:r>
      <w:r>
        <w:t xml:space="preserve">, beispielsweise weil sich technische Räume mit lichtempfindlichen Apparaten hinter diesen Fenstern </w:t>
      </w:r>
      <w:r>
        <w:lastRenderedPageBreak/>
        <w:t>befinden oder weil sie zu Bädern und WCs im Erdgeschoss gehören und daher nur hochgelegene Klarglasfenster in Frage kommen</w:t>
      </w:r>
      <w:r w:rsidR="00217316">
        <w:t>. Dasselbe gälte, wenn ein Gebäude einen Schornstein bestimmter Proportionen hätte, ein anderes au</w:t>
      </w:r>
      <w:r w:rsidR="00217316">
        <w:t>f</w:t>
      </w:r>
      <w:r w:rsidR="00217316">
        <w:t xml:space="preserve">grund eines anderen Heizungstyps jedoch keinen Schornstein oder aufgrund </w:t>
      </w:r>
      <w:r w:rsidR="001500F6">
        <w:t xml:space="preserve">der </w:t>
      </w:r>
      <w:r w:rsidR="00217316">
        <w:t>Nutzung als Fabrik einen wesentlich größeren. Die Beschreibung mit Hilfe von Korrelationen von Äquivalenzklassen</w:t>
      </w:r>
      <w:r w:rsidR="005D7996">
        <w:fldChar w:fldCharType="begin"/>
      </w:r>
      <w:r w:rsidR="000A0C27">
        <w:instrText xml:space="preserve"> XE "</w:instrText>
      </w:r>
      <w:r w:rsidR="000A0C27" w:rsidRPr="005C61CE">
        <w:instrText>Äquivalenzklasse</w:instrText>
      </w:r>
      <w:r w:rsidR="000A0C27">
        <w:instrText xml:space="preserve">" </w:instrText>
      </w:r>
      <w:r w:rsidR="005D7996">
        <w:fldChar w:fldCharType="end"/>
      </w:r>
      <w:r w:rsidR="00217316">
        <w:t xml:space="preserve"> führt also zu einer Stilauffassung, die sich von der hier vorgestellten </w:t>
      </w:r>
      <w:r w:rsidR="001746B7">
        <w:t xml:space="preserve">grundsätzlich </w:t>
      </w:r>
      <w:r w:rsidR="00217316">
        <w:t>unterscheidet. Dies liegt daran, dass Auswahl nicht berücksichtigt, sondern Regelmäßigkeiten in Realisierungen b</w:t>
      </w:r>
      <w:r w:rsidR="00217316">
        <w:t>e</w:t>
      </w:r>
      <w:r w:rsidR="00217316">
        <w:t xml:space="preserve">trachtet werden. </w:t>
      </w:r>
      <w:r w:rsidR="00CA515E">
        <w:t>Bei der theoretischen Vorentscheidung für den einen oder den anderen Beschreibungsansatz sollte man sich über die</w:t>
      </w:r>
      <w:r w:rsidR="001746B7">
        <w:t>se</w:t>
      </w:r>
      <w:r w:rsidR="00CA515E">
        <w:t xml:space="preserve"> </w:t>
      </w:r>
      <w:r w:rsidR="001746B7">
        <w:t xml:space="preserve">Unterschiede </w:t>
      </w:r>
      <w:r w:rsidR="00CA515E">
        <w:t>im Klaren sein.</w:t>
      </w:r>
    </w:p>
    <w:p w:rsidR="00255C44" w:rsidRDefault="00255C44" w:rsidP="00255C44">
      <w:pPr>
        <w:pStyle w:val="Titel2"/>
        <w:rPr>
          <w:rFonts w:eastAsia="Times New Roman" w:cs="Times New Roman"/>
        </w:rPr>
      </w:pPr>
      <w:bookmarkStart w:id="153" w:name="_Toc325456719"/>
      <w:r>
        <w:rPr>
          <w:rFonts w:eastAsia="Times New Roman" w:cs="Times New Roman"/>
        </w:rPr>
        <w:t>Stilinterpretation als Zeichenprozess</w:t>
      </w:r>
      <w:bookmarkEnd w:id="153"/>
    </w:p>
    <w:p w:rsidR="000337FF" w:rsidRDefault="000337FF" w:rsidP="00663C65">
      <w:pPr>
        <w:ind w:firstLine="0"/>
      </w:pPr>
      <w:r>
        <w:t>Zur Stilinterpretation sind zahlreiche Werke erschienen. Heide Göttner unte</w:t>
      </w:r>
      <w:r>
        <w:t>r</w:t>
      </w:r>
      <w:r>
        <w:t>sucht die Methodik von literarischen Interpretationen und betont die Rolle der Deduktion und Induktion, wie sie auch in der Wissenschaft verwendet we</w:t>
      </w:r>
      <w:r>
        <w:t>r</w:t>
      </w:r>
      <w:r>
        <w:t>den</w:t>
      </w:r>
      <w:r w:rsidR="009E4E6C">
        <w:t>.</w:t>
      </w:r>
      <w:r w:rsidR="00144F66">
        <w:rPr>
          <w:rStyle w:val="Funotenzeichen"/>
        </w:rPr>
        <w:footnoteReference w:id="255"/>
      </w:r>
      <w:r>
        <w:t xml:space="preserve"> „Göttner rekonstruiert die Stilinterpretation als logisch-deduktive Hypothesensystematisierung, an die der induktive Prozess der Hypo</w:t>
      </w:r>
      <w:r w:rsidR="00EE3995">
        <w:t>thesen</w:t>
      </w:r>
      <w:r w:rsidR="00C31DD5">
        <w:softHyphen/>
      </w:r>
      <w:r w:rsidR="00EE3995">
        <w:t>überprüfung gekoppelt ist.</w:t>
      </w:r>
      <w:r>
        <w:t>“</w:t>
      </w:r>
      <w:r>
        <w:rPr>
          <w:rStyle w:val="Funotenzeichen"/>
        </w:rPr>
        <w:footnoteReference w:id="256"/>
      </w:r>
      <w:r w:rsidR="00E008DB">
        <w:t xml:space="preserve"> </w:t>
      </w:r>
      <w:r w:rsidR="00EE3995">
        <w:t>Werner Strube erläutert an einem Beispiel,</w:t>
      </w:r>
      <w:r w:rsidR="00E008DB">
        <w:t xml:space="preserve"> wie (implizit bleibendes) Hintergrundwissen </w:t>
      </w:r>
      <w:r w:rsidR="00EE3995">
        <w:t xml:space="preserve">in der Stilinterpretation </w:t>
      </w:r>
      <w:r w:rsidR="00E008DB">
        <w:t>verwendet wird, um Aussagen machen zu können</w:t>
      </w:r>
      <w:r w:rsidR="00EE3995">
        <w:t>,</w:t>
      </w:r>
      <w:r w:rsidR="00EE3995">
        <w:rPr>
          <w:rStyle w:val="Funotenzeichen"/>
        </w:rPr>
        <w:footnoteReference w:id="257"/>
      </w:r>
      <w:r w:rsidR="00E008DB">
        <w:t xml:space="preserve"> und wie subjektive stilistische Eindr</w:t>
      </w:r>
      <w:r w:rsidR="00E008DB">
        <w:t>ü</w:t>
      </w:r>
      <w:r w:rsidR="00E008DB">
        <w:t xml:space="preserve">cke (vgl. </w:t>
      </w:r>
      <w:r w:rsidR="005D7996">
        <w:fldChar w:fldCharType="begin"/>
      </w:r>
      <w:r w:rsidR="00E008DB">
        <w:instrText xml:space="preserve"> REF _Ref257706841 \r \h </w:instrText>
      </w:r>
      <w:r w:rsidR="005D7996">
        <w:fldChar w:fldCharType="separate"/>
      </w:r>
      <w:r w:rsidR="001231D3">
        <w:t>6.4.7</w:t>
      </w:r>
      <w:r w:rsidR="005D7996">
        <w:fldChar w:fldCharType="end"/>
      </w:r>
      <w:r w:rsidR="00E008DB">
        <w:t>) entstehen, die allerdings gern als objektiv behaupet werden.</w:t>
      </w:r>
      <w:r w:rsidR="00EE3995">
        <w:rPr>
          <w:rStyle w:val="Funotenzeichen"/>
        </w:rPr>
        <w:footnoteReference w:id="258"/>
      </w:r>
      <w:r w:rsidR="00E008DB">
        <w:t xml:space="preserve"> Schließlich schließt er aus nur einem Beispiel, die Stilinterpretation laufe stets auf Werturteile hinaus,</w:t>
      </w:r>
      <w:r w:rsidR="00EE3995">
        <w:rPr>
          <w:rStyle w:val="Funotenzeichen"/>
        </w:rPr>
        <w:footnoteReference w:id="259"/>
      </w:r>
      <w:r w:rsidR="00E008DB">
        <w:t xml:space="preserve"> was so allgemein </w:t>
      </w:r>
      <w:r w:rsidR="00144F66">
        <w:t>natürlich nicht stimmt; schließlich können auch logische Schlussverfahren</w:t>
      </w:r>
      <w:r w:rsidR="005D7996">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rsidR="005D7996">
        <w:fldChar w:fldCharType="end"/>
      </w:r>
      <w:r w:rsidR="00144F66">
        <w:t xml:space="preserve"> in der Interpretation verwendet werden.</w:t>
      </w:r>
    </w:p>
    <w:p w:rsidR="00FF2E7D" w:rsidRDefault="00144F66" w:rsidP="005A5093">
      <w:pPr>
        <w:rPr>
          <w:rFonts w:eastAsia="Times New Roman" w:cs="Times New Roman"/>
        </w:rPr>
      </w:pPr>
      <w:r>
        <w:rPr>
          <w:rFonts w:eastAsia="Times New Roman" w:cs="Times New Roman"/>
        </w:rPr>
        <w:t xml:space="preserve">Gotthard </w:t>
      </w:r>
      <w:r w:rsidR="0063029C">
        <w:rPr>
          <w:rFonts w:eastAsia="Times New Roman" w:cs="Times New Roman"/>
        </w:rPr>
        <w:t xml:space="preserve">Lerchner stellt die Frage, welche objektiven Kodierungen im Text mit welchen subjektiven </w:t>
      </w:r>
      <w:r w:rsidR="000D364B">
        <w:rPr>
          <w:rFonts w:eastAsia="Times New Roman" w:cs="Times New Roman"/>
        </w:rPr>
        <w:t xml:space="preserve">Reaktionen </w:t>
      </w:r>
      <w:r w:rsidR="0063029C">
        <w:rPr>
          <w:rFonts w:eastAsia="Times New Roman" w:cs="Times New Roman"/>
        </w:rPr>
        <w:t>beim Leser korrelieren;</w:t>
      </w:r>
      <w:r w:rsidR="0063029C">
        <w:rPr>
          <w:rStyle w:val="Funotenzeichen"/>
          <w:rFonts w:eastAsia="Times New Roman" w:cs="Times New Roman"/>
        </w:rPr>
        <w:footnoteReference w:id="260"/>
      </w:r>
      <w:r w:rsidR="0063029C">
        <w:rPr>
          <w:rFonts w:eastAsia="Times New Roman" w:cs="Times New Roman"/>
        </w:rPr>
        <w:t xml:space="preserve"> zu den relevanten </w:t>
      </w:r>
      <w:r w:rsidR="000D364B">
        <w:rPr>
          <w:rFonts w:eastAsia="Times New Roman" w:cs="Times New Roman"/>
        </w:rPr>
        <w:t xml:space="preserve">Ergebnissen einer Interpretation </w:t>
      </w:r>
      <w:r w:rsidR="0063029C">
        <w:rPr>
          <w:rFonts w:eastAsia="Times New Roman" w:cs="Times New Roman"/>
        </w:rPr>
        <w:t xml:space="preserve">rechnet er auch emotionale </w:t>
      </w:r>
      <w:r w:rsidR="000D364B">
        <w:rPr>
          <w:rFonts w:eastAsia="Times New Roman" w:cs="Times New Roman"/>
        </w:rPr>
        <w:t xml:space="preserve">Reaktionen </w:t>
      </w:r>
      <w:r w:rsidR="0063029C">
        <w:rPr>
          <w:rFonts w:eastAsia="Times New Roman" w:cs="Times New Roman"/>
        </w:rPr>
        <w:t xml:space="preserve">(vgl. Abschnitt </w:t>
      </w:r>
      <w:r w:rsidR="005D7996">
        <w:rPr>
          <w:rFonts w:eastAsia="Times New Roman" w:cs="Times New Roman"/>
        </w:rPr>
        <w:fldChar w:fldCharType="begin"/>
      </w:r>
      <w:r w:rsidR="0063029C">
        <w:rPr>
          <w:rFonts w:eastAsia="Times New Roman" w:cs="Times New Roman"/>
        </w:rPr>
        <w:instrText xml:space="preserve"> REF _Ref256417074 \r \h </w:instrText>
      </w:r>
      <w:r w:rsidR="005D7996">
        <w:rPr>
          <w:rFonts w:eastAsia="Times New Roman" w:cs="Times New Roman"/>
        </w:rPr>
      </w:r>
      <w:r w:rsidR="005D7996">
        <w:rPr>
          <w:rFonts w:eastAsia="Times New Roman" w:cs="Times New Roman"/>
        </w:rPr>
        <w:fldChar w:fldCharType="separate"/>
      </w:r>
      <w:r w:rsidR="001231D3">
        <w:rPr>
          <w:rFonts w:eastAsia="Times New Roman" w:cs="Times New Roman"/>
        </w:rPr>
        <w:t>6.4.6</w:t>
      </w:r>
      <w:r w:rsidR="005D7996">
        <w:rPr>
          <w:rFonts w:eastAsia="Times New Roman" w:cs="Times New Roman"/>
        </w:rPr>
        <w:fldChar w:fldCharType="end"/>
      </w:r>
      <w:r w:rsidR="0063029C">
        <w:rPr>
          <w:rFonts w:eastAsia="Times New Roman" w:cs="Times New Roman"/>
        </w:rPr>
        <w:t>).</w:t>
      </w:r>
    </w:p>
    <w:p w:rsidR="007F40B4" w:rsidRDefault="007F40B4" w:rsidP="00663C65">
      <w:pPr>
        <w:spacing w:before="240"/>
        <w:ind w:firstLine="0"/>
        <w:rPr>
          <w:rFonts w:eastAsia="Times New Roman" w:cs="Times New Roman"/>
        </w:rPr>
      </w:pPr>
      <w:r>
        <w:rPr>
          <w:rFonts w:eastAsia="Times New Roman" w:cs="Times New Roman"/>
        </w:rPr>
        <w:lastRenderedPageBreak/>
        <w:t>In der hier vorgelegten Stiltheorie gibt es verschiedene Arten von Informati</w:t>
      </w:r>
      <w:r>
        <w:rPr>
          <w:rFonts w:eastAsia="Times New Roman" w:cs="Times New Roman"/>
        </w:rPr>
        <w:t>o</w:t>
      </w:r>
      <w:r>
        <w:rPr>
          <w:rFonts w:eastAsia="Times New Roman" w:cs="Times New Roman"/>
        </w:rPr>
        <w:t>nen, die sich durch eine Interpretation aus einem S</w:t>
      </w:r>
      <w:r w:rsidR="00CD485F">
        <w:rPr>
          <w:rFonts w:eastAsia="Times New Roman" w:cs="Times New Roman"/>
        </w:rPr>
        <w:t>til ableiten lassen. Oft wurde Stil</w:t>
      </w:r>
      <w:r>
        <w:rPr>
          <w:rFonts w:eastAsia="Times New Roman" w:cs="Times New Roman"/>
        </w:rPr>
        <w:t xml:space="preserve"> mit einer bestimmten Art von Information gleichgesetzt und in Abrede g</w:t>
      </w:r>
      <w:r>
        <w:rPr>
          <w:rFonts w:eastAsia="Times New Roman" w:cs="Times New Roman"/>
        </w:rPr>
        <w:t>e</w:t>
      </w:r>
      <w:r>
        <w:rPr>
          <w:rFonts w:eastAsia="Times New Roman" w:cs="Times New Roman"/>
        </w:rPr>
        <w:t>stellt, dass die anderen existierten oder relevant seien. Einen solchen Streit gab es beispielsweise in der Kunstgeschichte</w:t>
      </w:r>
      <w:r w:rsidR="005D7996">
        <w:rPr>
          <w:rFonts w:eastAsia="Times New Roman" w:cs="Times New Roman"/>
        </w:rPr>
        <w:fldChar w:fldCharType="begin"/>
      </w:r>
      <w:r w:rsidR="00866F93">
        <w:instrText xml:space="preserve"> XE "</w:instrText>
      </w:r>
      <w:r w:rsidR="00866F93" w:rsidRPr="000853B0">
        <w:instrText>Kunstgeschichte</w:instrText>
      </w:r>
      <w:r w:rsidR="00866F93">
        <w:instrText xml:space="preserve">" </w:instrText>
      </w:r>
      <w:r w:rsidR="005D7996">
        <w:rPr>
          <w:rFonts w:eastAsia="Times New Roman" w:cs="Times New Roman"/>
        </w:rPr>
        <w:fldChar w:fldCharType="end"/>
      </w:r>
      <w:r>
        <w:rPr>
          <w:rFonts w:eastAsia="Times New Roman" w:cs="Times New Roman"/>
        </w:rPr>
        <w:t xml:space="preserve"> bezüglich der Frage, ob äußere Gegebe</w:t>
      </w:r>
      <w:r>
        <w:rPr>
          <w:rFonts w:eastAsia="Times New Roman" w:cs="Times New Roman"/>
        </w:rPr>
        <w:t>n</w:t>
      </w:r>
      <w:r>
        <w:rPr>
          <w:rFonts w:eastAsia="Times New Roman" w:cs="Times New Roman"/>
        </w:rPr>
        <w:t>heiten oder innere Form- und Entwicklungsprinzipien es seien, die Stile b</w:t>
      </w:r>
      <w:r>
        <w:rPr>
          <w:rFonts w:eastAsia="Times New Roman" w:cs="Times New Roman"/>
        </w:rPr>
        <w:t>e</w:t>
      </w:r>
      <w:r>
        <w:rPr>
          <w:rFonts w:eastAsia="Times New Roman" w:cs="Times New Roman"/>
        </w:rPr>
        <w:t>stimmten und daher bei der Beschäftigung mit Stilen im Vordergrund stehen müssten. Caecilie Weissert fasst diese Auseinandersetzung zusammen:</w:t>
      </w:r>
      <w:r w:rsidR="00AB1605">
        <w:rPr>
          <w:rStyle w:val="Funotenzeichen"/>
          <w:rFonts w:eastAsia="Times New Roman" w:cs="Times New Roman"/>
        </w:rPr>
        <w:footnoteReference w:id="261"/>
      </w:r>
    </w:p>
    <w:p w:rsidR="006B2FEA" w:rsidRDefault="00CA3202" w:rsidP="005A5093">
      <w:pPr>
        <w:pStyle w:val="ZitatAbsto"/>
      </w:pPr>
      <w:r>
        <w:t xml:space="preserve">Eine neue Deutung erfährt der Stilbegriff für Johann Joachim Winckelmann: […] </w:t>
      </w:r>
      <w:r w:rsidR="006B2FEA">
        <w:t>Es ist nun nicht mehr der Künstler, der perfekte Werke schafft, nun sind es die Werke selbst,</w:t>
      </w:r>
      <w:r w:rsidR="00253B50">
        <w:t xml:space="preserve"> </w:t>
      </w:r>
      <w:r w:rsidR="006B2FEA">
        <w:t>die Eigenschaften der Zeit, des Klimas, der religiösen oder politischen Verfasstheit eines Landes offenbaren, Eigenschaften, die in die Denkmäler – ohne bewusstes Zutun der Künstlers – eingeflossen sind. […]</w:t>
      </w:r>
    </w:p>
    <w:p w:rsidR="00853D9E" w:rsidRDefault="006B2FEA" w:rsidP="005A5093">
      <w:pPr>
        <w:pStyle w:val="ZitatAbstu"/>
      </w:pPr>
      <w:r>
        <w:t>Ende des 19. Jahrhundert [sic] unterzogen Heinrich Wölfflin</w:t>
      </w:r>
      <w:r w:rsidR="005D7996">
        <w:fldChar w:fldCharType="begin"/>
      </w:r>
      <w:r w:rsidR="00813093">
        <w:instrText xml:space="preserve"> XE "</w:instrText>
      </w:r>
      <w:r w:rsidR="00813093" w:rsidRPr="003C62D6">
        <w:rPr>
          <w:rFonts w:eastAsia="Times New Roman" w:cs="Times New Roman"/>
        </w:rPr>
        <w:instrText>Wölfflin, Heinrich</w:instrText>
      </w:r>
      <w:r w:rsidR="00813093">
        <w:instrText xml:space="preserve">" </w:instrText>
      </w:r>
      <w:r w:rsidR="005D7996">
        <w:fldChar w:fldCharType="end"/>
      </w:r>
      <w:r>
        <w:t xml:space="preserve"> oder Alois Riegl dieses Konzept einer grundlegenden Kritik. Beide wenden sich dagegen, die Veränderung der Form durch äußere Bedingungen zu erklären, </w:t>
      </w:r>
      <w:r w:rsidR="00CA3202">
        <w:t>u</w:t>
      </w:r>
      <w:r>
        <w:t>nd suchen stattdessen nach „inneren“ Gesetzen […]. Für Wölfflin</w:t>
      </w:r>
      <w:r w:rsidR="005D7996">
        <w:fldChar w:fldCharType="begin"/>
      </w:r>
      <w:r w:rsidR="00813093">
        <w:instrText xml:space="preserve"> XE "</w:instrText>
      </w:r>
      <w:r w:rsidR="00813093" w:rsidRPr="003C62D6">
        <w:rPr>
          <w:rFonts w:eastAsia="Times New Roman" w:cs="Times New Roman"/>
        </w:rPr>
        <w:instrText>Wölfflin, Heinrich</w:instrText>
      </w:r>
      <w:r w:rsidR="00813093">
        <w:instrText xml:space="preserve">" </w:instrText>
      </w:r>
      <w:r w:rsidR="005D7996">
        <w:fldChar w:fldCharType="end"/>
      </w:r>
      <w:r>
        <w:t xml:space="preserve"> liegen die Gesetzlic</w:t>
      </w:r>
      <w:r>
        <w:t>h</w:t>
      </w:r>
      <w:r>
        <w:t>keiten der Form in den Bedingungen des Sehens. […] Riegl spricht von einem Kunstwollen, das jedem Kunstwerk zugrun</w:t>
      </w:r>
      <w:r w:rsidR="00CA3202">
        <w:t>d</w:t>
      </w:r>
      <w:r>
        <w:t>e liegt und sich durch dieses o</w:t>
      </w:r>
      <w:r>
        <w:t>f</w:t>
      </w:r>
      <w:r>
        <w:t>fenbart. […]</w:t>
      </w:r>
      <w:r w:rsidR="00853D9E">
        <w:t xml:space="preserve"> Riegl führt die Stile auf Gestaltgesetze zurück, die den Werken zugrunde liegen und Strukturen schaffen.</w:t>
      </w:r>
    </w:p>
    <w:p w:rsidR="00E50A0A" w:rsidRDefault="00CA3202" w:rsidP="00663C65">
      <w:pPr>
        <w:ind w:firstLine="0"/>
        <w:rPr>
          <w:rFonts w:eastAsia="Times New Roman" w:cs="Times New Roman"/>
        </w:rPr>
      </w:pPr>
      <w:r>
        <w:rPr>
          <w:rFonts w:eastAsia="Times New Roman" w:cs="Times New Roman"/>
        </w:rPr>
        <w:t>Ob man nun wie Winckelmann</w:t>
      </w:r>
      <w:r w:rsidR="005D7996">
        <w:rPr>
          <w:rFonts w:eastAsia="Times New Roman" w:cs="Times New Roman"/>
        </w:rPr>
        <w:fldChar w:fldCharType="begin"/>
      </w:r>
      <w:r w:rsidR="00813093">
        <w:instrText xml:space="preserve"> XE "</w:instrText>
      </w:r>
      <w:r w:rsidR="00813093" w:rsidRPr="00FD196C">
        <w:rPr>
          <w:rFonts w:eastAsia="Times New Roman" w:cs="Times New Roman"/>
        </w:rPr>
        <w:instrText>Winckelmann, Johann Joachim</w:instrText>
      </w:r>
      <w:r w:rsidR="00813093">
        <w:instrText xml:space="preserve">" </w:instrText>
      </w:r>
      <w:r w:rsidR="005D7996">
        <w:rPr>
          <w:rFonts w:eastAsia="Times New Roman" w:cs="Times New Roman"/>
        </w:rPr>
        <w:fldChar w:fldCharType="end"/>
      </w:r>
      <w:r>
        <w:rPr>
          <w:rFonts w:eastAsia="Times New Roman" w:cs="Times New Roman"/>
        </w:rPr>
        <w:t xml:space="preserve"> in Stilen vor allem nach äußeren Einflüssen sucht,</w:t>
      </w:r>
      <w:r w:rsidR="002A2FD0">
        <w:rPr>
          <w:rStyle w:val="Funotenzeichen"/>
          <w:rFonts w:eastAsia="Times New Roman" w:cs="Times New Roman"/>
        </w:rPr>
        <w:footnoteReference w:id="262"/>
      </w:r>
      <w:r>
        <w:rPr>
          <w:rFonts w:eastAsia="Times New Roman" w:cs="Times New Roman"/>
        </w:rPr>
        <w:t xml:space="preserve"> ob man wie Wölfflin</w:t>
      </w:r>
      <w:r w:rsidR="005D7996">
        <w:rPr>
          <w:rFonts w:eastAsia="Times New Roman" w:cs="Times New Roman"/>
        </w:rPr>
        <w:fldChar w:fldCharType="begin"/>
      </w:r>
      <w:r w:rsidR="00813093">
        <w:instrText xml:space="preserve"> XE "</w:instrText>
      </w:r>
      <w:r w:rsidR="00813093" w:rsidRPr="003C62D6">
        <w:rPr>
          <w:rFonts w:eastAsia="Times New Roman" w:cs="Times New Roman"/>
        </w:rPr>
        <w:instrText>Wölfflin, Heinrich</w:instrText>
      </w:r>
      <w:r w:rsidR="00813093">
        <w:instrText xml:space="preserve">" </w:instrText>
      </w:r>
      <w:r w:rsidR="005D7996">
        <w:rPr>
          <w:rFonts w:eastAsia="Times New Roman" w:cs="Times New Roman"/>
        </w:rPr>
        <w:fldChar w:fldCharType="end"/>
      </w:r>
      <w:r>
        <w:rPr>
          <w:rFonts w:eastAsia="Times New Roman" w:cs="Times New Roman"/>
        </w:rPr>
        <w:t xml:space="preserve"> die „Bedingungen des Sehens“, die sich mit der Zeit verändern (was natürlich ebenfalls nur durch gesellschaftlich-kulturelle Ve</w:t>
      </w:r>
      <w:r>
        <w:rPr>
          <w:rFonts w:eastAsia="Times New Roman" w:cs="Times New Roman"/>
        </w:rPr>
        <w:t>r</w:t>
      </w:r>
      <w:r>
        <w:rPr>
          <w:rFonts w:eastAsia="Times New Roman" w:cs="Times New Roman"/>
        </w:rPr>
        <w:t>änderungen erklärbar ist, da der menschliche Sehsinn sich in den betrachteten Zeiträumen physisch nicht verändert hat), oder ob man wie Riegl</w:t>
      </w:r>
      <w:r w:rsidR="005D7996">
        <w:rPr>
          <w:rFonts w:eastAsia="Times New Roman" w:cs="Times New Roman"/>
        </w:rPr>
        <w:fldChar w:fldCharType="begin"/>
      </w:r>
      <w:r w:rsidR="00D321DB">
        <w:instrText xml:space="preserve"> XE "</w:instrText>
      </w:r>
      <w:r w:rsidR="00D321DB" w:rsidRPr="00062690">
        <w:rPr>
          <w:rFonts w:eastAsia="Times New Roman" w:cs="Times New Roman"/>
        </w:rPr>
        <w:instrText>Riegl, Alois</w:instrText>
      </w:r>
      <w:r w:rsidR="00D321DB">
        <w:instrText xml:space="preserve">" </w:instrText>
      </w:r>
      <w:r w:rsidR="005D7996">
        <w:rPr>
          <w:rFonts w:eastAsia="Times New Roman" w:cs="Times New Roman"/>
        </w:rPr>
        <w:fldChar w:fldCharType="end"/>
      </w:r>
      <w:r>
        <w:rPr>
          <w:rFonts w:eastAsia="Times New Roman" w:cs="Times New Roman"/>
        </w:rPr>
        <w:t xml:space="preserve"> „Gestaltgese</w:t>
      </w:r>
      <w:r>
        <w:rPr>
          <w:rFonts w:eastAsia="Times New Roman" w:cs="Times New Roman"/>
        </w:rPr>
        <w:t>t</w:t>
      </w:r>
      <w:r>
        <w:rPr>
          <w:rFonts w:eastAsia="Times New Roman" w:cs="Times New Roman"/>
        </w:rPr>
        <w:t>ze“ am Werk sieht: All dies sind Erklärungen für konkrete Stile, die aus den j</w:t>
      </w:r>
      <w:r>
        <w:rPr>
          <w:rFonts w:eastAsia="Times New Roman" w:cs="Times New Roman"/>
        </w:rPr>
        <w:t>e</w:t>
      </w:r>
      <w:r>
        <w:rPr>
          <w:rFonts w:eastAsia="Times New Roman" w:cs="Times New Roman"/>
        </w:rPr>
        <w:t xml:space="preserve">weiligen </w:t>
      </w:r>
      <w:r w:rsidR="002D7B79">
        <w:rPr>
          <w:rFonts w:eastAsia="Times New Roman" w:cs="Times New Roman"/>
        </w:rPr>
        <w:t xml:space="preserve">Stilen </w:t>
      </w:r>
      <w:r>
        <w:rPr>
          <w:rFonts w:eastAsia="Times New Roman" w:cs="Times New Roman"/>
        </w:rPr>
        <w:t xml:space="preserve">durch eine Interpretation </w:t>
      </w:r>
      <w:r w:rsidR="0032353A">
        <w:rPr>
          <w:rFonts w:eastAsia="Times New Roman" w:cs="Times New Roman"/>
        </w:rPr>
        <w:t xml:space="preserve">erzeugt werden können, </w:t>
      </w:r>
      <w:r w:rsidR="00B73921">
        <w:rPr>
          <w:rFonts w:eastAsia="Times New Roman" w:cs="Times New Roman"/>
        </w:rPr>
        <w:t xml:space="preserve">beispielsweise indem mit Hilfe einer Abduktion eine Regel postuliert wird, die den </w:t>
      </w:r>
      <w:r w:rsidR="002D7B79">
        <w:rPr>
          <w:rFonts w:eastAsia="Times New Roman" w:cs="Times New Roman"/>
        </w:rPr>
        <w:t xml:space="preserve">vermuteten </w:t>
      </w:r>
      <w:r w:rsidR="00B73921">
        <w:rPr>
          <w:rFonts w:eastAsia="Times New Roman" w:cs="Times New Roman"/>
        </w:rPr>
        <w:t xml:space="preserve">Zusammenhang </w:t>
      </w:r>
      <w:r w:rsidR="002D7B79">
        <w:rPr>
          <w:rFonts w:eastAsia="Times New Roman" w:cs="Times New Roman"/>
        </w:rPr>
        <w:t>(etwa den Einfluss der „Bedingungen des Sehens“ auf die „G</w:t>
      </w:r>
      <w:r w:rsidR="002D7B79">
        <w:rPr>
          <w:rFonts w:eastAsia="Times New Roman" w:cs="Times New Roman"/>
        </w:rPr>
        <w:t>e</w:t>
      </w:r>
      <w:r w:rsidR="002D7B79">
        <w:rPr>
          <w:rFonts w:eastAsia="Times New Roman" w:cs="Times New Roman"/>
        </w:rPr>
        <w:t xml:space="preserve">setzlichkeiten der Form“) </w:t>
      </w:r>
      <w:r w:rsidR="00B73921">
        <w:rPr>
          <w:rFonts w:eastAsia="Times New Roman" w:cs="Times New Roman"/>
        </w:rPr>
        <w:t>postuliert</w:t>
      </w:r>
      <w:r w:rsidR="002D7B79">
        <w:rPr>
          <w:rFonts w:eastAsia="Times New Roman" w:cs="Times New Roman"/>
        </w:rPr>
        <w:t>, und nun das Auftreten bestimmter Mer</w:t>
      </w:r>
      <w:r w:rsidR="002D7B79">
        <w:rPr>
          <w:rFonts w:eastAsia="Times New Roman" w:cs="Times New Roman"/>
        </w:rPr>
        <w:t>k</w:t>
      </w:r>
      <w:r w:rsidR="002D7B79">
        <w:rPr>
          <w:rFonts w:eastAsia="Times New Roman" w:cs="Times New Roman"/>
        </w:rPr>
        <w:t>male mit dieser Regel erklärt</w:t>
      </w:r>
      <w:r w:rsidR="00B73921">
        <w:rPr>
          <w:rFonts w:eastAsia="Times New Roman" w:cs="Times New Roman"/>
        </w:rPr>
        <w:t>.</w:t>
      </w:r>
      <w:r w:rsidR="002D7B79">
        <w:rPr>
          <w:rStyle w:val="Funotenzeichen"/>
          <w:rFonts w:eastAsia="Times New Roman" w:cs="Times New Roman"/>
        </w:rPr>
        <w:footnoteReference w:id="263"/>
      </w:r>
      <w:r w:rsidR="002D7B79">
        <w:rPr>
          <w:rFonts w:eastAsia="Times New Roman" w:cs="Times New Roman"/>
        </w:rPr>
        <w:t xml:space="preserve"> </w:t>
      </w:r>
      <w:r>
        <w:rPr>
          <w:rFonts w:eastAsia="Times New Roman" w:cs="Times New Roman"/>
        </w:rPr>
        <w:t xml:space="preserve">Für die hier vorgestellte Theorie ist es </w:t>
      </w:r>
      <w:r w:rsidR="002D7B79">
        <w:rPr>
          <w:rFonts w:eastAsia="Times New Roman" w:cs="Times New Roman"/>
        </w:rPr>
        <w:t xml:space="preserve">dabei </w:t>
      </w:r>
      <w:r>
        <w:rPr>
          <w:rFonts w:eastAsia="Times New Roman" w:cs="Times New Roman"/>
        </w:rPr>
        <w:t xml:space="preserve">nicht wichtig, welche Interpretation </w:t>
      </w:r>
      <w:r w:rsidR="0035119F">
        <w:rPr>
          <w:rFonts w:eastAsia="Times New Roman" w:cs="Times New Roman"/>
        </w:rPr>
        <w:t xml:space="preserve">plausibler </w:t>
      </w:r>
      <w:r>
        <w:rPr>
          <w:rFonts w:eastAsia="Times New Roman" w:cs="Times New Roman"/>
        </w:rPr>
        <w:t xml:space="preserve">ist (vermutlich </w:t>
      </w:r>
      <w:r w:rsidR="0035119F">
        <w:rPr>
          <w:rFonts w:eastAsia="Times New Roman" w:cs="Times New Roman"/>
        </w:rPr>
        <w:t xml:space="preserve">erfasst jede </w:t>
      </w:r>
      <w:r>
        <w:rPr>
          <w:rFonts w:eastAsia="Times New Roman" w:cs="Times New Roman"/>
        </w:rPr>
        <w:t>der vertretenen Positionen einen Teil der Bedingungen, die die Ausprägung konkr</w:t>
      </w:r>
      <w:r>
        <w:rPr>
          <w:rFonts w:eastAsia="Times New Roman" w:cs="Times New Roman"/>
        </w:rPr>
        <w:t>e</w:t>
      </w:r>
      <w:r>
        <w:rPr>
          <w:rFonts w:eastAsia="Times New Roman" w:cs="Times New Roman"/>
        </w:rPr>
        <w:t>ter Stile verursachen). Relevant ist, dass sich die Auffassung</w:t>
      </w:r>
      <w:r w:rsidR="00D43DFA">
        <w:rPr>
          <w:rFonts w:eastAsia="Times New Roman" w:cs="Times New Roman"/>
        </w:rPr>
        <w:t>en</w:t>
      </w:r>
      <w:r>
        <w:rPr>
          <w:rFonts w:eastAsia="Times New Roman" w:cs="Times New Roman"/>
        </w:rPr>
        <w:t>, nach welchen Informationen man in Stilen zu suchen habe, über die Zeit verändert haben.</w:t>
      </w:r>
    </w:p>
    <w:p w:rsidR="005438C1" w:rsidRDefault="005438C1" w:rsidP="005A5093">
      <w:pPr>
        <w:rPr>
          <w:rFonts w:eastAsia="Times New Roman" w:cs="Times New Roman"/>
        </w:rPr>
      </w:pPr>
      <w:r>
        <w:rPr>
          <w:rFonts w:eastAsia="Times New Roman" w:cs="Times New Roman"/>
        </w:rPr>
        <w:lastRenderedPageBreak/>
        <w:t>Robert Suckale formuliert denn auch, dass die Untersuchung eines Stils, wenn sie Anspruch auf eine gewisse Vollständigkeit erheben will, unterschie</w:t>
      </w:r>
      <w:r>
        <w:rPr>
          <w:rFonts w:eastAsia="Times New Roman" w:cs="Times New Roman"/>
        </w:rPr>
        <w:t>d</w:t>
      </w:r>
      <w:r>
        <w:rPr>
          <w:rFonts w:eastAsia="Times New Roman" w:cs="Times New Roman"/>
        </w:rPr>
        <w:t>lichste Aspekte berücksichtigen muss und auch mit Hintergrundwissen aus ve</w:t>
      </w:r>
      <w:r>
        <w:rPr>
          <w:rFonts w:eastAsia="Times New Roman" w:cs="Times New Roman"/>
        </w:rPr>
        <w:t>r</w:t>
      </w:r>
      <w:r>
        <w:rPr>
          <w:rFonts w:eastAsia="Times New Roman" w:cs="Times New Roman"/>
        </w:rPr>
        <w:t>schiedenen Bereichen interagiert:</w:t>
      </w:r>
      <w:r>
        <w:rPr>
          <w:rStyle w:val="Funotenzeichen"/>
          <w:rFonts w:eastAsia="Times New Roman" w:cs="Times New Roman"/>
        </w:rPr>
        <w:footnoteReference w:id="264"/>
      </w:r>
    </w:p>
    <w:p w:rsidR="00CB5838" w:rsidRPr="000337FF" w:rsidRDefault="005438C1" w:rsidP="00DC65B6">
      <w:pPr>
        <w:pStyle w:val="Zitat"/>
      </w:pPr>
      <w:r>
        <w:t>Den Stil eines Kunstwerks zu analysieren, heißt also, die künstlerischen Prinz</w:t>
      </w:r>
      <w:r>
        <w:t>i</w:t>
      </w:r>
      <w:r>
        <w:t>pien und Normen</w:t>
      </w:r>
      <w:r w:rsidR="005D7996">
        <w:fldChar w:fldCharType="begin"/>
      </w:r>
      <w:r w:rsidR="001151DC">
        <w:instrText xml:space="preserve"> XE "</w:instrText>
      </w:r>
      <w:r w:rsidR="001151DC" w:rsidRPr="008C6917">
        <w:instrText>Norm</w:instrText>
      </w:r>
      <w:r w:rsidR="001151DC">
        <w:instrText xml:space="preserve">" </w:instrText>
      </w:r>
      <w:r w:rsidR="005D7996">
        <w:fldChar w:fldCharType="end"/>
      </w:r>
      <w:r>
        <w:t xml:space="preserve"> des Verfertigers, aber auch die der ihn tragenden Gesel</w:t>
      </w:r>
      <w:r>
        <w:t>l</w:t>
      </w:r>
      <w:r>
        <w:t>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in seiner Zeit aufzuspüren, die Prägung durch das Thema, die Nutzung</w:t>
      </w:r>
      <w:r>
        <w:t>s</w:t>
      </w:r>
      <w:r>
        <w:t>absichten und deren Traditionen, durch die Materialien, aber auch durch die Gewohnheiten, mit ihnen umzugehen. Man käme so letztlich zu einer Stilg</w:t>
      </w:r>
      <w:r>
        <w:t>e</w:t>
      </w:r>
      <w:r>
        <w:t>schichte der allgemeinen und künstlerischen Ideale, ebenso zu einer der Wir</w:t>
      </w:r>
      <w:r>
        <w:t>k</w:t>
      </w:r>
      <w:r>
        <w:t>lichkeitsvorstellungen. Sie würde übergehen in eine konkrete Geschichte der Kunst und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xml:space="preserve"> sowie ihrer jeweiligen historischen Bedingungen.</w:t>
      </w:r>
    </w:p>
    <w:p w:rsidR="00255C44" w:rsidRDefault="00B5283A" w:rsidP="00255C44">
      <w:pPr>
        <w:pStyle w:val="Titel2"/>
      </w:pPr>
      <w:bookmarkStart w:id="154" w:name="_Ref266098594"/>
      <w:bookmarkStart w:id="155" w:name="_Toc325456720"/>
      <w:bookmarkStart w:id="156" w:name="Individualstil"/>
      <w:r>
        <w:rPr>
          <w:rFonts w:eastAsia="Times New Roman" w:cs="Times New Roman"/>
        </w:rPr>
        <w:t xml:space="preserve">Individualität und Allgemeinheit </w:t>
      </w:r>
      <w:r w:rsidR="009B3079">
        <w:rPr>
          <w:rFonts w:eastAsia="Times New Roman" w:cs="Times New Roman"/>
        </w:rPr>
        <w:t xml:space="preserve">von </w:t>
      </w:r>
      <w:r w:rsidR="002D7075">
        <w:rPr>
          <w:rFonts w:eastAsia="Times New Roman" w:cs="Times New Roman"/>
        </w:rPr>
        <w:t>Stilen</w:t>
      </w:r>
      <w:bookmarkEnd w:id="154"/>
      <w:bookmarkEnd w:id="155"/>
    </w:p>
    <w:p w:rsidR="0039420C" w:rsidRDefault="005D7996" w:rsidP="00663C65">
      <w:pPr>
        <w:ind w:firstLine="0"/>
      </w:pPr>
      <w:r>
        <w:fldChar w:fldCharType="begin"/>
      </w:r>
      <w:r w:rsidR="006424B0">
        <w:instrText xml:space="preserve"> XE "Individualstil" \r "Individualstil" </w:instrText>
      </w:r>
      <w:r>
        <w:fldChar w:fldCharType="end"/>
      </w:r>
      <w:r w:rsidR="00097FF6">
        <w:t xml:space="preserve">Gibt es überhaupt Individualstile? – </w:t>
      </w:r>
      <w:r w:rsidR="00765228">
        <w:t>Christian Grimm hat sich in seiner Dissert</w:t>
      </w:r>
      <w:r w:rsidR="00765228">
        <w:t>a</w:t>
      </w:r>
      <w:r w:rsidR="00765228">
        <w:t>tion am Beispiel Thomas Manns</w:t>
      </w:r>
      <w:r>
        <w:fldChar w:fldCharType="begin"/>
      </w:r>
      <w:r w:rsidR="00886335">
        <w:instrText xml:space="preserve"> XE "</w:instrText>
      </w:r>
      <w:r w:rsidR="00886335" w:rsidRPr="007517A7">
        <w:instrText>Mann, Thomas</w:instrText>
      </w:r>
      <w:r w:rsidR="00886335">
        <w:instrText xml:space="preserve">" </w:instrText>
      </w:r>
      <w:r>
        <w:fldChar w:fldCharType="end"/>
      </w:r>
      <w:r w:rsidR="00765228">
        <w:t xml:space="preserve"> der Frage der Existenz von Individualstilen gestellt und meint, diese </w:t>
      </w:r>
      <w:r w:rsidR="00397688">
        <w:t xml:space="preserve">zumindest in diesem Fall </w:t>
      </w:r>
      <w:r w:rsidR="00765228">
        <w:t>zurückweisen zu können</w:t>
      </w:r>
      <w:r w:rsidR="0039420C">
        <w:t>:</w:t>
      </w:r>
      <w:r w:rsidR="0039420C">
        <w:rPr>
          <w:rStyle w:val="Funotenzeichen"/>
        </w:rPr>
        <w:footnoteReference w:id="265"/>
      </w:r>
    </w:p>
    <w:p w:rsidR="0039420C" w:rsidRDefault="00765228" w:rsidP="005A5093">
      <w:pPr>
        <w:pStyle w:val="Zitat"/>
      </w:pPr>
      <w:r>
        <w:t>Sogar im gleichen Zeitraum entstandene Erzählungen können sich bei einer Vielzahl von stilistischen Mitteln in stärkerem Maße voneinander untersche</w:t>
      </w:r>
      <w:r>
        <w:t>i</w:t>
      </w:r>
      <w:r>
        <w:t>den, als dies beim Vergleich mit dem Text eines anderen Autors der Fall ist. […] Bei keinem einzigen Stilkriterium ist es möglich, alle Texte Thomas Manns</w:t>
      </w:r>
      <w:r w:rsidR="005D7996">
        <w:fldChar w:fldCharType="begin"/>
      </w:r>
      <w:r w:rsidR="00886335">
        <w:instrText xml:space="preserve"> XE "</w:instrText>
      </w:r>
      <w:r w:rsidR="00886335" w:rsidRPr="00130F18">
        <w:instrText>Mann, Thomas</w:instrText>
      </w:r>
      <w:r w:rsidR="00886335">
        <w:instrText xml:space="preserve">" </w:instrText>
      </w:r>
      <w:r w:rsidR="005D7996">
        <w:fldChar w:fldCharType="end"/>
      </w:r>
      <w:r>
        <w:t xml:space="preserve"> von denen der beiden Vergleichsautoren eindeutig abzugrenzen. Ebe</w:t>
      </w:r>
      <w:r>
        <w:t>n</w:t>
      </w:r>
      <w:r>
        <w:t>sowenig lassen sich autorentypische Konstellationen feststellen.</w:t>
      </w:r>
    </w:p>
    <w:p w:rsidR="0039420C" w:rsidRDefault="00765228" w:rsidP="00663C65">
      <w:pPr>
        <w:ind w:firstLine="0"/>
      </w:pPr>
      <w:r>
        <w:t>Es ist gut denkbar, dass Grimm bei den meisten Schriftstellern ähnliche Erge</w:t>
      </w:r>
      <w:r>
        <w:t>b</w:t>
      </w:r>
      <w:r>
        <w:t xml:space="preserve">nisse erhalten hätte. Eine Studie, die die Wiedererkennbarkeit von Stilen geprüft hätte, </w:t>
      </w:r>
      <w:r w:rsidR="0039420C">
        <w:t>würde jedoch wahrscheinlich zu dem Ergebnis kommen, dass Probanden überzufällig häufig Textausschnitte von Schriftstellern mit markanten Stilen (z.B. Heinrich Heine</w:t>
      </w:r>
      <w:r w:rsidR="005D7996">
        <w:fldChar w:fldCharType="begin"/>
      </w:r>
      <w:r w:rsidR="00CA2D60">
        <w:instrText xml:space="preserve"> XE "</w:instrText>
      </w:r>
      <w:r w:rsidR="00CA2D60" w:rsidRPr="00B26E96">
        <w:instrText>Heine, Heinrich</w:instrText>
      </w:r>
      <w:r w:rsidR="00CA2D60">
        <w:instrText xml:space="preserve">" </w:instrText>
      </w:r>
      <w:r w:rsidR="005D7996">
        <w:fldChar w:fldCharType="end"/>
      </w:r>
      <w:r w:rsidR="0039420C">
        <w:t>, Thomas Mann</w:t>
      </w:r>
      <w:r w:rsidR="005D7996">
        <w:fldChar w:fldCharType="begin"/>
      </w:r>
      <w:r w:rsidR="00886335">
        <w:instrText xml:space="preserve"> XE "</w:instrText>
      </w:r>
      <w:r w:rsidR="00886335" w:rsidRPr="00B022A7">
        <w:instrText>Mann, Thomas</w:instrText>
      </w:r>
      <w:r w:rsidR="00886335">
        <w:instrText xml:space="preserve">" </w:instrText>
      </w:r>
      <w:r w:rsidR="005D7996">
        <w:fldChar w:fldCharType="end"/>
      </w:r>
      <w:r w:rsidR="0039420C">
        <w:t>, Gertude Stein</w:t>
      </w:r>
      <w:r w:rsidR="005D7996">
        <w:fldChar w:fldCharType="begin"/>
      </w:r>
      <w:r w:rsidR="00CA2D60">
        <w:instrText xml:space="preserve"> XE "</w:instrText>
      </w:r>
      <w:r w:rsidR="00CA2D60" w:rsidRPr="00C62AD0">
        <w:instrText>Stein, Gertude</w:instrText>
      </w:r>
      <w:r w:rsidR="00CA2D60">
        <w:instrText xml:space="preserve">" </w:instrText>
      </w:r>
      <w:r w:rsidR="005D7996">
        <w:fldChar w:fldCharType="end"/>
      </w:r>
      <w:r w:rsidR="0039420C">
        <w:t>, Ernest Hemingway</w:t>
      </w:r>
      <w:r w:rsidR="005D7996">
        <w:fldChar w:fldCharType="begin"/>
      </w:r>
      <w:r w:rsidR="00CA2D60">
        <w:instrText xml:space="preserve"> XE "</w:instrText>
      </w:r>
      <w:r w:rsidR="00CA2D60" w:rsidRPr="002C3355">
        <w:instrText>Hemingway, Ernest</w:instrText>
      </w:r>
      <w:r w:rsidR="00CA2D60">
        <w:instrText xml:space="preserve">" </w:instrText>
      </w:r>
      <w:r w:rsidR="005D7996">
        <w:fldChar w:fldCharType="end"/>
      </w:r>
      <w:r w:rsidR="0039420C">
        <w:t xml:space="preserve"> und Thomas Bernhard</w:t>
      </w:r>
      <w:r w:rsidR="005D7996">
        <w:fldChar w:fldCharType="begin"/>
      </w:r>
      <w:r w:rsidR="00886DDB">
        <w:instrText xml:space="preserve"> XE "</w:instrText>
      </w:r>
      <w:r w:rsidR="00886DDB" w:rsidRPr="00FB4215">
        <w:rPr>
          <w:rFonts w:eastAsia="Times New Roman" w:cs="Times New Roman"/>
        </w:rPr>
        <w:instrText>Bernhard, Thomas</w:instrText>
      </w:r>
      <w:r w:rsidR="00886DDB">
        <w:instrText xml:space="preserve">" </w:instrText>
      </w:r>
      <w:r w:rsidR="005D7996">
        <w:fldChar w:fldCharType="end"/>
      </w:r>
      <w:r w:rsidR="0039420C">
        <w:t>) einander zuordnen können. Welchen Fehler hat Grimm g</w:t>
      </w:r>
      <w:r w:rsidR="0039420C">
        <w:t>e</w:t>
      </w:r>
      <w:r w:rsidR="0039420C">
        <w:t>macht?</w:t>
      </w:r>
    </w:p>
    <w:p w:rsidR="00255C44" w:rsidRDefault="0039420C" w:rsidP="005A5093">
      <w:r>
        <w:t xml:space="preserve">Zum einen betrachtet er nur </w:t>
      </w:r>
      <w:r w:rsidR="00765228">
        <w:t>70 Stilmerkmale, also einen Bruchteil der p</w:t>
      </w:r>
      <w:r w:rsidR="00765228">
        <w:t>o</w:t>
      </w:r>
      <w:r w:rsidR="00765228">
        <w:t>tentiell relevanten; er kann daher nicht wissen, ob es sich um die für den Stil Thomas Manns wichtigen Merkmale handelt</w:t>
      </w:r>
      <w:r>
        <w:t xml:space="preserve"> oder nicht</w:t>
      </w:r>
      <w:r w:rsidR="00765228">
        <w:t>. Zum anderen</w:t>
      </w:r>
      <w:r>
        <w:t xml:space="preserve"> ist es o</w:t>
      </w:r>
      <w:r>
        <w:t>f</w:t>
      </w:r>
      <w:r>
        <w:t>fensichtlich, dass nicht einzelne Merkmale die Abgrenzung liefern; „autorentyp</w:t>
      </w:r>
      <w:r>
        <w:t>i</w:t>
      </w:r>
      <w:r>
        <w:t>sche Konstellationen“ von Merkmalen liegen zweifellos vor, diese sind jedoch vermutlich subtil und nicht ohne Weiteres erkennbar.</w:t>
      </w:r>
      <w:r w:rsidR="00756BD0">
        <w:t xml:space="preserve"> Grimms Vorgehensweise entspricht der eines Forschers, der die </w:t>
      </w:r>
      <w:r w:rsidR="00397688">
        <w:t xml:space="preserve">Wiedererkennbarkeit </w:t>
      </w:r>
      <w:r w:rsidR="00756BD0">
        <w:t>einzelner Gesichter prüfen will</w:t>
      </w:r>
      <w:r w:rsidR="00397688">
        <w:t xml:space="preserve">, dafür bei einem bestimmten Gesicht verschiedene Aufnahmen aus </w:t>
      </w:r>
      <w:r w:rsidR="00397688">
        <w:lastRenderedPageBreak/>
        <w:t>verschiedenen Zeiten und bei verschiedenen Beleuchtungsverhältnissen herau</w:t>
      </w:r>
      <w:r w:rsidR="00397688">
        <w:t>s</w:t>
      </w:r>
      <w:r w:rsidR="00397688">
        <w:t>greift und nun 70 willkürlich ausgewählte Einzelmerkmale mit einigen anderen Gesichtern abgleicht, mit dem Ergebnis, dass keine Abgrenzung möglich sei. Relevanter wäre es zweifellos, zunächst zu überprüfen, ob Menschen diese A</w:t>
      </w:r>
      <w:r w:rsidR="00397688">
        <w:t>b</w:t>
      </w:r>
      <w:r w:rsidR="00397688">
        <w:t>grenzung leisten können – sie können! – und sich dann zu fragen, wie sie es m</w:t>
      </w:r>
      <w:r w:rsidR="00397688">
        <w:t>a</w:t>
      </w:r>
      <w:r w:rsidR="00397688">
        <w:t>chen.</w:t>
      </w:r>
      <w:r w:rsidR="003F010F">
        <w:rPr>
          <w:rStyle w:val="Funotenzeichen"/>
        </w:rPr>
        <w:footnoteReference w:id="266"/>
      </w:r>
    </w:p>
    <w:p w:rsidR="00397688" w:rsidRDefault="003F3A67" w:rsidP="005A5093">
      <w:r>
        <w:t>Grimm vergleicht</w:t>
      </w:r>
      <w:r w:rsidR="00397688">
        <w:t xml:space="preserve"> Texte Thomas Manns aus verschiedenen </w:t>
      </w:r>
      <w:r w:rsidR="00E24B39">
        <w:t>Textg</w:t>
      </w:r>
      <w:r w:rsidR="00397688">
        <w:t>attungen (Erzählung</w:t>
      </w:r>
      <w:r w:rsidR="00F41406">
        <w:t xml:space="preserve">, Essay und Brief) miteinander und </w:t>
      </w:r>
      <w:r>
        <w:t xml:space="preserve">stellt </w:t>
      </w:r>
      <w:r w:rsidR="00F41406">
        <w:t>erhebliche Variationen fest</w:t>
      </w:r>
      <w:r>
        <w:t>. Er schließt daraus, dass keine eindeutige Identifizierung von Individualstilen möglich ist</w:t>
      </w:r>
      <w:r w:rsidR="00F41406">
        <w:t>:</w:t>
      </w:r>
      <w:r w:rsidR="00F41406">
        <w:rPr>
          <w:rStyle w:val="Funotenzeichen"/>
        </w:rPr>
        <w:footnoteReference w:id="267"/>
      </w:r>
    </w:p>
    <w:p w:rsidR="00F41406" w:rsidRDefault="00F41406" w:rsidP="00F41406">
      <w:pPr>
        <w:pStyle w:val="Zitat"/>
      </w:pPr>
      <w:r>
        <w:t>Individualstil aus linguistischer Sicht ist eine Erscheinung, die […]</w:t>
      </w:r>
      <w:r w:rsidR="003F3A67">
        <w:t xml:space="preserve"> </w:t>
      </w:r>
      <w:r>
        <w:t>stärker als der literaturwissenschaftliche Begriff der Beeinflussung durch äußere Faktoren unterworfen ist. Dieser Einfluss besteht besonders aus den durch den jeweil</w:t>
      </w:r>
      <w:r>
        <w:t>i</w:t>
      </w:r>
      <w:r>
        <w:t>gen Funktional- oder Textsortenstil geschaffenen Rahmenbedingungen; aber auch innerhalb derselben Textgattung kann sich die Entscheidungshäufigkeit bei der Wahl bestimmter sprachlicher Mittel aus den verschiedensten Gründen von Text zu Text ändern.</w:t>
      </w:r>
    </w:p>
    <w:p w:rsidR="00F41406" w:rsidRDefault="00F41406" w:rsidP="00903DA6">
      <w:pPr>
        <w:ind w:firstLine="0"/>
      </w:pPr>
      <w:r>
        <w:t xml:space="preserve">Grimm </w:t>
      </w:r>
      <w:r w:rsidR="00E24B39">
        <w:t xml:space="preserve">verwendet </w:t>
      </w:r>
      <w:r w:rsidR="0066400D">
        <w:t xml:space="preserve">dabei </w:t>
      </w:r>
      <w:r w:rsidR="00E24B39">
        <w:t xml:space="preserve">die Methoden </w:t>
      </w:r>
      <w:r>
        <w:t xml:space="preserve">der </w:t>
      </w:r>
      <w:r w:rsidR="00FA5761">
        <w:t>quantitativen Stilistik</w:t>
      </w:r>
      <w:r w:rsidR="005D7996">
        <w:fldChar w:fldCharType="begin"/>
      </w:r>
      <w:r w:rsidR="00B802D8">
        <w:instrText xml:space="preserve"> XE "</w:instrText>
      </w:r>
      <w:r w:rsidR="00B802D8" w:rsidRPr="00524A59">
        <w:instrText>quantitative Stilistik</w:instrText>
      </w:r>
      <w:r w:rsidR="00B802D8">
        <w:instrText xml:space="preserve">" </w:instrText>
      </w:r>
      <w:r w:rsidR="005D7996">
        <w:fldChar w:fldCharType="end"/>
      </w:r>
      <w:r w:rsidR="00FA5761">
        <w:t xml:space="preserve"> </w:t>
      </w:r>
      <w:r>
        <w:t>und sieht Ä</w:t>
      </w:r>
      <w:r>
        <w:t>n</w:t>
      </w:r>
      <w:r>
        <w:t xml:space="preserve">derungen der Häufigkeiten von Stilmerkmalen (wie Häufigkeiten bestimmter syntaktischer Konstruktionen, Satzlängen usw.) als Änderungen des Stils an. Es wurde hier gezeigt, dass diese Auffassung, wenn sie konsequent durchgehalten wird, zu </w:t>
      </w:r>
      <w:r w:rsidR="00E24B39">
        <w:t>einem hochgradig kontraintuitiven Stilbegriff führt.</w:t>
      </w:r>
      <w:r>
        <w:rPr>
          <w:rStyle w:val="Funotenzeichen"/>
        </w:rPr>
        <w:footnoteReference w:id="268"/>
      </w:r>
      <w:r w:rsidR="00E24B39">
        <w:t xml:space="preserve"> Grimm findet insofern eigentlich nur heraus, dass </w:t>
      </w:r>
      <w:r w:rsidR="00437EC3">
        <w:t>quantitative Stilistik</w:t>
      </w:r>
      <w:r w:rsidR="00E24B39">
        <w:t>, also das reine Zählen von Merkmalen auf der Ausdrucksebene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rsidR="00E24B39">
        <w:t xml:space="preserve"> des Texts, nicht funktioniert, weil sie die textgattungsspezifischen Bedingungen (die zu den funktionalen Bedingu</w:t>
      </w:r>
      <w:r w:rsidR="00E24B39">
        <w:t>n</w:t>
      </w:r>
      <w:r w:rsidR="00E24B39">
        <w:t xml:space="preserve">gen gehören) und die </w:t>
      </w:r>
      <w:r w:rsidR="007A4031">
        <w:t>inhaltlichen Bedingungen nicht berücksichtigt. Die Frage, ob Thomas Mann</w:t>
      </w:r>
      <w:r w:rsidR="005D7996">
        <w:fldChar w:fldCharType="begin"/>
      </w:r>
      <w:r w:rsidR="00886335">
        <w:instrText xml:space="preserve"> XE "</w:instrText>
      </w:r>
      <w:r w:rsidR="00886335" w:rsidRPr="007E3E3C">
        <w:instrText>Mann, Thomas</w:instrText>
      </w:r>
      <w:r w:rsidR="00886335">
        <w:instrText xml:space="preserve">" </w:instrText>
      </w:r>
      <w:r w:rsidR="005D7996">
        <w:fldChar w:fldCharType="end"/>
      </w:r>
      <w:r w:rsidR="007A4031">
        <w:t xml:space="preserve"> in seinen Essays und Briefen denselben oder einen ähnlichen Stil wie in seinen Erzählungen schreibt, kann auf dieser Grundlage gar nicht </w:t>
      </w:r>
      <w:r w:rsidR="00253B50">
        <w:t>u</w:t>
      </w:r>
      <w:r w:rsidR="00253B50">
        <w:t>n</w:t>
      </w:r>
      <w:r w:rsidR="00253B50">
        <w:t>tersucht</w:t>
      </w:r>
      <w:r w:rsidR="007A4031">
        <w:t xml:space="preserve"> werden.</w:t>
      </w:r>
    </w:p>
    <w:p w:rsidR="00751282" w:rsidRDefault="00751282" w:rsidP="0039420C">
      <w:r>
        <w:t xml:space="preserve">Grimm ist </w:t>
      </w:r>
      <w:r w:rsidR="00437EC3">
        <w:t>sicherlich</w:t>
      </w:r>
      <w:r>
        <w:t xml:space="preserve"> im Recht, wenn er den Versuch, mi</w:t>
      </w:r>
      <w:r w:rsidR="00362353">
        <w:t>t „forensischen Textvergleichen</w:t>
      </w:r>
      <w:r w:rsidR="005D7996">
        <w:fldChar w:fldCharType="begin"/>
      </w:r>
      <w:r w:rsidR="00B62B9B">
        <w:instrText xml:space="preserve"> XE "</w:instrText>
      </w:r>
      <w:r w:rsidR="00B62B9B" w:rsidRPr="002450ED">
        <w:instrText>forensische Linguistik</w:instrText>
      </w:r>
      <w:r w:rsidR="00B62B9B">
        <w:instrText xml:space="preserve">" </w:instrText>
      </w:r>
      <w:r w:rsidR="005D7996">
        <w:fldChar w:fldCharType="end"/>
      </w:r>
      <w:r w:rsidR="00362353">
        <w:t>“</w:t>
      </w:r>
      <w:r>
        <w:t xml:space="preserve"> den Urheber eines Texts zu identifizieren und dies mögliche</w:t>
      </w:r>
      <w:r>
        <w:t>r</w:t>
      </w:r>
      <w:r>
        <w:t>weise sogar für gerichtsverwertbar zu halten, zurück</w:t>
      </w:r>
      <w:r w:rsidR="00DA5E87">
        <w:t>weist</w:t>
      </w:r>
      <w:r w:rsidR="00A527DC">
        <w:t>.</w:t>
      </w:r>
      <w:r w:rsidR="005A6BDD">
        <w:t xml:space="preserve"> Grimms Arbeit ist somit bezogen auf seine eigene Problemstellung durchaus erfolgreich;</w:t>
      </w:r>
      <w:r w:rsidR="00A527DC">
        <w:rPr>
          <w:rStyle w:val="Funotenzeichen"/>
        </w:rPr>
        <w:footnoteReference w:id="269"/>
      </w:r>
      <w:r w:rsidR="005A6BDD">
        <w:t xml:space="preserve"> leider </w:t>
      </w:r>
      <w:r w:rsidR="005A6BDD">
        <w:lastRenderedPageBreak/>
        <w:t>erkennt er nicht, dass sein Ergebnis auf ein tieferliegendes Problem mit der g</w:t>
      </w:r>
      <w:r w:rsidR="005A6BDD">
        <w:t>e</w:t>
      </w:r>
      <w:r w:rsidR="005A6BDD">
        <w:t xml:space="preserve">wählten Analysemethode, der </w:t>
      </w:r>
      <w:r w:rsidR="00437EC3">
        <w:t>quantitativen Stilistik</w:t>
      </w:r>
      <w:r w:rsidR="005D7996">
        <w:fldChar w:fldCharType="begin"/>
      </w:r>
      <w:r w:rsidR="00900103">
        <w:instrText xml:space="preserve"> XE "</w:instrText>
      </w:r>
      <w:r w:rsidR="00B802D8" w:rsidRPr="00132320">
        <w:instrText xml:space="preserve">quantitative </w:instrText>
      </w:r>
      <w:r w:rsidR="00900103" w:rsidRPr="00132320">
        <w:instrText>Stilistik</w:instrText>
      </w:r>
      <w:r w:rsidR="00900103">
        <w:instrText xml:space="preserve">" </w:instrText>
      </w:r>
      <w:r w:rsidR="005D7996">
        <w:fldChar w:fldCharType="end"/>
      </w:r>
      <w:r w:rsidR="005A6BDD">
        <w:t>, hinweist und dass Stile durchaus über Grenzen der Gattung</w:t>
      </w:r>
      <w:r w:rsidR="005D7996">
        <w:fldChar w:fldCharType="begin"/>
      </w:r>
      <w:r w:rsidR="00AD1266">
        <w:instrText xml:space="preserve"> XE "</w:instrText>
      </w:r>
      <w:r w:rsidR="00AD1266" w:rsidRPr="000D5A50">
        <w:instrText>Gattung</w:instrText>
      </w:r>
      <w:r w:rsidR="00AD1266">
        <w:instrText xml:space="preserve">" </w:instrText>
      </w:r>
      <w:r w:rsidR="005D7996">
        <w:fldChar w:fldCharType="end"/>
      </w:r>
      <w:r w:rsidR="005A6BDD">
        <w:t xml:space="preserve"> und des behandelten Inhalts hinweg wiedererkannt werden können – </w:t>
      </w:r>
      <w:r w:rsidR="00362353">
        <w:t>offenbar werden diese Faktoren bei der Wah</w:t>
      </w:r>
      <w:r w:rsidR="00362353">
        <w:t>r</w:t>
      </w:r>
      <w:r w:rsidR="00362353">
        <w:t>nehmung des Stils gewissermaßen herausgerechnet, so dass ein Stil</w:t>
      </w:r>
      <w:r w:rsidR="005A6BDD">
        <w:t xml:space="preserve"> über </w:t>
      </w:r>
      <w:r w:rsidR="00362353">
        <w:t xml:space="preserve">bloßes </w:t>
      </w:r>
      <w:r w:rsidR="005A6BDD">
        <w:t>Merkmalszählen nicht zu erfassen ist.</w:t>
      </w:r>
    </w:p>
    <w:p w:rsidR="00097FF6" w:rsidRDefault="00D172E7" w:rsidP="00097FF6">
      <w:pPr>
        <w:rPr>
          <w:rFonts w:eastAsia="Times New Roman" w:cs="Times New Roman"/>
        </w:rPr>
      </w:pPr>
      <w:r>
        <w:rPr>
          <w:rFonts w:eastAsia="Times New Roman" w:cs="Times New Roman"/>
        </w:rPr>
        <w:t>In der Regel wird angenommen, dass es sowohl übergreifend gültige Stile (die als Funktionalstile, Textsortenstile, milieuspezifische</w:t>
      </w:r>
      <w:r w:rsidR="005D7996">
        <w:rPr>
          <w:rFonts w:eastAsia="Times New Roman" w:cs="Times New Roman"/>
        </w:rPr>
        <w:fldChar w:fldCharType="begin"/>
      </w:r>
      <w:r w:rsidR="002A70CA">
        <w:instrText xml:space="preserve"> XE "</w:instrText>
      </w:r>
      <w:r w:rsidR="002A70CA" w:rsidRPr="00185BF5">
        <w:rPr>
          <w:rFonts w:eastAsia="Times New Roman" w:cs="Times New Roman"/>
        </w:rPr>
        <w:instrText>Milieu</w:instrText>
      </w:r>
      <w:r w:rsidR="002A70CA">
        <w:instrText xml:space="preserve">" </w:instrText>
      </w:r>
      <w:r w:rsidR="005D7996">
        <w:rPr>
          <w:rFonts w:eastAsia="Times New Roman" w:cs="Times New Roman"/>
        </w:rPr>
        <w:fldChar w:fldCharType="end"/>
      </w:r>
      <w:r>
        <w:rPr>
          <w:rFonts w:eastAsia="Times New Roman" w:cs="Times New Roman"/>
        </w:rPr>
        <w:t xml:space="preserve"> Stile usw. beschrieben werden) als auch Individualstile gibt, wobei oft eine Hierarchie gesehen wird. </w:t>
      </w:r>
      <w:r w:rsidR="00097FF6">
        <w:rPr>
          <w:rFonts w:eastAsia="Times New Roman" w:cs="Times New Roman"/>
        </w:rPr>
        <w:t xml:space="preserve">Elise Riesel </w:t>
      </w:r>
      <w:r>
        <w:rPr>
          <w:rFonts w:eastAsia="Times New Roman" w:cs="Times New Roman"/>
        </w:rPr>
        <w:t xml:space="preserve">beispielsweise </w:t>
      </w:r>
      <w:r w:rsidR="00097FF6">
        <w:rPr>
          <w:rFonts w:eastAsia="Times New Roman" w:cs="Times New Roman"/>
        </w:rPr>
        <w:t>unterscheidet für die Sprache zwischen Funktionalst</w:t>
      </w:r>
      <w:r w:rsidR="00097FF6">
        <w:rPr>
          <w:rFonts w:eastAsia="Times New Roman" w:cs="Times New Roman"/>
        </w:rPr>
        <w:t>i</w:t>
      </w:r>
      <w:r w:rsidR="00097FF6">
        <w:rPr>
          <w:rFonts w:eastAsia="Times New Roman" w:cs="Times New Roman"/>
        </w:rPr>
        <w:t>len und Individualstilen und betrachtet die letzteren als den ersteren unterg</w:t>
      </w:r>
      <w:r w:rsidR="00097FF6">
        <w:rPr>
          <w:rFonts w:eastAsia="Times New Roman" w:cs="Times New Roman"/>
        </w:rPr>
        <w:t>e</w:t>
      </w:r>
      <w:r w:rsidR="00097FF6">
        <w:rPr>
          <w:rFonts w:eastAsia="Times New Roman" w:cs="Times New Roman"/>
        </w:rPr>
        <w:t>ordnet; je nach dem vom Funktionalstil gelassenen Spielraum verbleibt mehr oder weniger Platz für die Eigenheit der Sprache des Individuums.</w:t>
      </w:r>
      <w:r w:rsidR="00097FF6">
        <w:rPr>
          <w:rStyle w:val="Funotenzeichen"/>
          <w:rFonts w:eastAsia="Times New Roman" w:cs="Times New Roman"/>
        </w:rPr>
        <w:footnoteReference w:id="270"/>
      </w:r>
    </w:p>
    <w:p w:rsidR="00B5283A" w:rsidRDefault="00B5283A" w:rsidP="005A5093">
      <w:r>
        <w:t xml:space="preserve">Der Individualität wurde Stil </w:t>
      </w:r>
      <w:r w:rsidR="00097FF6">
        <w:t xml:space="preserve">seit Buffons Diktum „Le style est l’homme même“, das Stil als untrennbar vom Individuum erklärt, immer wieder </w:t>
      </w:r>
      <w:r>
        <w:t>zugeor</w:t>
      </w:r>
      <w:r>
        <w:t>d</w:t>
      </w:r>
      <w:r>
        <w:t>net.</w:t>
      </w:r>
      <w:r w:rsidR="00D172E7">
        <w:rPr>
          <w:rStyle w:val="Funotenzeichen"/>
        </w:rPr>
        <w:footnoteReference w:id="271"/>
      </w:r>
      <w:r>
        <w:t xml:space="preserve"> </w:t>
      </w:r>
      <w:r w:rsidR="007A7140">
        <w:t xml:space="preserve">Die </w:t>
      </w:r>
      <w:r>
        <w:t xml:space="preserve">Gegenposition </w:t>
      </w:r>
      <w:r w:rsidR="007A7140">
        <w:t xml:space="preserve">wird von </w:t>
      </w:r>
      <w:r>
        <w:t>Georg Simmel</w:t>
      </w:r>
      <w:r w:rsidR="005D7996">
        <w:fldChar w:fldCharType="begin"/>
      </w:r>
      <w:r w:rsidR="006B1FB1">
        <w:instrText xml:space="preserve"> XE "</w:instrText>
      </w:r>
      <w:r w:rsidR="006B1FB1" w:rsidRPr="00C60387">
        <w:instrText>Simmel, Georg</w:instrText>
      </w:r>
      <w:r w:rsidR="006B1FB1">
        <w:instrText xml:space="preserve">" </w:instrText>
      </w:r>
      <w:r w:rsidR="005D7996">
        <w:fldChar w:fldCharType="end"/>
      </w:r>
      <w:r w:rsidR="007A7140">
        <w:t xml:space="preserve"> formuliert:</w:t>
      </w:r>
      <w:r>
        <w:t xml:space="preserve"> „vermöge des Stiles wird die Besonderheit des einzelnen Werkes einem allgemeinen Formg</w:t>
      </w:r>
      <w:r>
        <w:t>e</w:t>
      </w:r>
      <w:r>
        <w:t>setz untertan, das auch für andere gilt, es wird sozusagen seiner absoluten Selbstverantwortlichkeit enthoben, weil es die Art oder einen Teil seiner Gesta</w:t>
      </w:r>
      <w:r>
        <w:t>l</w:t>
      </w:r>
      <w:r>
        <w:t xml:space="preserve">tung mit anderen </w:t>
      </w:r>
      <w:r w:rsidR="007A7140">
        <w:t>teilt“.</w:t>
      </w:r>
      <w:r w:rsidR="0000217A">
        <w:rPr>
          <w:rStyle w:val="Funotenzeichen"/>
        </w:rPr>
        <w:footnoteReference w:id="272"/>
      </w:r>
      <w:r w:rsidR="007A7140">
        <w:t xml:space="preserve"> </w:t>
      </w:r>
      <w:r w:rsidR="00931791">
        <w:t xml:space="preserve">Stil stellt also den Einfluss des Allgemeinen dar und scheint im Gegensatz </w:t>
      </w:r>
      <w:r w:rsidR="00BB3A5E">
        <w:t xml:space="preserve">zu </w:t>
      </w:r>
      <w:r w:rsidR="00931791">
        <w:t xml:space="preserve">künstlerischer </w:t>
      </w:r>
      <w:r w:rsidR="00BB3A5E">
        <w:t>Persönlichkeit und individuellem Au</w:t>
      </w:r>
      <w:r w:rsidR="00BB3A5E">
        <w:t>s</w:t>
      </w:r>
      <w:r w:rsidR="00BB3A5E">
        <w:t xml:space="preserve">druck zu stehen. Simmel </w:t>
      </w:r>
      <w:r w:rsidR="00931791">
        <w:t xml:space="preserve">korrigiert jedoch wenig später diese Zuordnung und </w:t>
      </w:r>
      <w:r w:rsidR="001A5038">
        <w:t>konzediert die Existenz von Individualstilen</w:t>
      </w:r>
      <w:r>
        <w:t>:</w:t>
      </w:r>
      <w:r>
        <w:rPr>
          <w:rStyle w:val="Funotenzeichen"/>
        </w:rPr>
        <w:footnoteReference w:id="273"/>
      </w:r>
    </w:p>
    <w:p w:rsidR="00B5283A" w:rsidRDefault="003C19E4" w:rsidP="00B5283A">
      <w:pPr>
        <w:pStyle w:val="ZitatAbsto"/>
      </w:pPr>
      <w:r>
        <w:t xml:space="preserve">Hier aber scheint ein Einwurf unvermeidlich. </w:t>
      </w:r>
      <w:r w:rsidR="00B5283A">
        <w:t xml:space="preserve">Wir sprechen doch auch von dem Stil </w:t>
      </w:r>
      <w:r w:rsidR="00B5283A" w:rsidRPr="00561D4E">
        <w:rPr>
          <w:i/>
        </w:rPr>
        <w:t>Botticellis</w:t>
      </w:r>
      <w:r w:rsidR="00B5283A">
        <w:t xml:space="preserve"> oder </w:t>
      </w:r>
      <w:r w:rsidR="00B5283A" w:rsidRPr="00561D4E">
        <w:rPr>
          <w:i/>
        </w:rPr>
        <w:t>Michelangelos</w:t>
      </w:r>
      <w:r w:rsidR="00B5283A">
        <w:t xml:space="preserve">, </w:t>
      </w:r>
      <w:r w:rsidR="00B5283A" w:rsidRPr="00561D4E">
        <w:rPr>
          <w:i/>
        </w:rPr>
        <w:t>Goethes</w:t>
      </w:r>
      <w:r w:rsidR="00B5283A">
        <w:t xml:space="preserve"> oder </w:t>
      </w:r>
      <w:r w:rsidR="00B5283A" w:rsidRPr="00561D4E">
        <w:rPr>
          <w:i/>
        </w:rPr>
        <w:t>Beethovens</w:t>
      </w:r>
      <w:r w:rsidR="00B5283A">
        <w:t xml:space="preserve">. Das Recht dazu ist dies, dass diese Großen sich eine, aus ihrem ganz individuellen Genie quellende Ausdrucksweise geschaffen haben, die wir nun als das </w:t>
      </w:r>
      <w:r w:rsidR="00B5283A" w:rsidRPr="003E13C0">
        <w:rPr>
          <w:i/>
        </w:rPr>
        <w:t>Allgemeine in all ihren einzelnen Werken</w:t>
      </w:r>
      <w:r w:rsidR="00B5283A">
        <w:t xml:space="preserve"> empfin</w:t>
      </w:r>
      <w:r w:rsidR="009E47BD">
        <w:t>den. […]</w:t>
      </w:r>
    </w:p>
    <w:p w:rsidR="00B5283A" w:rsidRDefault="00B5283A" w:rsidP="00B5283A">
      <w:pPr>
        <w:pStyle w:val="ZitatAbstu"/>
      </w:pPr>
      <w:r>
        <w:t>In diesem Falle hat der Satz, dass der Stil der Mensch ist, seinen guten Sinn, freilich deutlicher so, dass der Mensch der Stil ist – während er in den Fällen des von außen kommenden Stiles, des mit andern und der Zeit geteilten, höch</w:t>
      </w:r>
      <w:r>
        <w:t>s</w:t>
      </w:r>
      <w:r>
        <w:t>tens 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t xml:space="preserve"> hat, dass dieser zeigt, wo die Originalitätsgrenze des Ind</w:t>
      </w:r>
      <w:r>
        <w:t>i</w:t>
      </w:r>
      <w:r>
        <w:t>viduums liegt.</w:t>
      </w:r>
    </w:p>
    <w:p w:rsidR="00B5283A" w:rsidRDefault="005676F7" w:rsidP="009C51A2">
      <w:pPr>
        <w:pStyle w:val="Text"/>
        <w:ind w:firstLine="0"/>
      </w:pPr>
      <w:r>
        <w:t xml:space="preserve">In dieser Passage </w:t>
      </w:r>
      <w:r w:rsidR="001A5038">
        <w:t xml:space="preserve">betont </w:t>
      </w:r>
      <w:r w:rsidR="00B5283A">
        <w:t xml:space="preserve">Simmel, dass Stil durchaus </w:t>
      </w:r>
      <w:r w:rsidR="00BA0AFF">
        <w:t>einer individuellen Persö</w:t>
      </w:r>
      <w:r w:rsidR="00BA0AFF">
        <w:t>n</w:t>
      </w:r>
      <w:r w:rsidR="00BA0AFF">
        <w:t xml:space="preserve">lichkeit </w:t>
      </w:r>
      <w:r w:rsidR="002A3876">
        <w:t xml:space="preserve">zukommen </w:t>
      </w:r>
      <w:r w:rsidR="00B5283A">
        <w:t>kann</w:t>
      </w:r>
      <w:r w:rsidR="009D4858">
        <w:t xml:space="preserve">; dabei bezeichnet </w:t>
      </w:r>
      <w:r w:rsidR="00054D24">
        <w:t xml:space="preserve">er </w:t>
      </w:r>
      <w:r w:rsidR="00302703">
        <w:t>die Ausdrucksweise</w:t>
      </w:r>
      <w:r w:rsidR="00054D24">
        <w:t xml:space="preserve">, </w:t>
      </w:r>
      <w:r w:rsidR="00302703">
        <w:t xml:space="preserve">die </w:t>
      </w:r>
      <w:r w:rsidR="00B5283A">
        <w:t>verschi</w:t>
      </w:r>
      <w:r w:rsidR="00B5283A">
        <w:t>e</w:t>
      </w:r>
      <w:r w:rsidR="00B5283A">
        <w:t xml:space="preserve">dene Werke </w:t>
      </w:r>
      <w:r w:rsidR="00054D24">
        <w:t xml:space="preserve">eines </w:t>
      </w:r>
      <w:r w:rsidR="00B5283A">
        <w:t>Künstler</w:t>
      </w:r>
      <w:r w:rsidR="00054D24">
        <w:t>s</w:t>
      </w:r>
      <w:r w:rsidR="00B5283A">
        <w:t xml:space="preserve"> </w:t>
      </w:r>
      <w:r w:rsidR="00302703">
        <w:t>verbindet</w:t>
      </w:r>
      <w:r w:rsidR="00B5283A">
        <w:t xml:space="preserve">. Beide Fälle haben gemeinsam, dass einem einzelnen Kunstwerk kein Stil zugesprochen wird. Dagegen </w:t>
      </w:r>
      <w:r w:rsidR="009E47BD">
        <w:t>sind</w:t>
      </w:r>
      <w:r w:rsidR="00B5283A">
        <w:t xml:space="preserve"> wir in der hier </w:t>
      </w:r>
      <w:r w:rsidR="00B5283A">
        <w:lastRenderedPageBreak/>
        <w:t>vorgestellten Theorie davon ausgegangen, dass auch einzelne Realisi</w:t>
      </w:r>
      <w:r w:rsidR="00A31D21">
        <w:t xml:space="preserve">erungen einen Stil haben können. Dafür </w:t>
      </w:r>
      <w:r w:rsidR="00A354A1">
        <w:t xml:space="preserve">sprechen verschiedene Beobachtungen: </w:t>
      </w:r>
      <w:r w:rsidR="00B5283A">
        <w:t>Ein R</w:t>
      </w:r>
      <w:r w:rsidR="00B5283A">
        <w:t>o</w:t>
      </w:r>
      <w:r w:rsidR="00B5283A">
        <w:t>man, ja schon eine Kurzgeschichte eines Autors kann ausreichen, um se</w:t>
      </w:r>
      <w:r w:rsidR="00B5283A">
        <w:t>i</w:t>
      </w:r>
      <w:r w:rsidR="00B5283A">
        <w:t xml:space="preserve">nen/ihren individuellen Stil zu erfassen; der Stil des „Bamberger Reiters“ lässt Rückschlüsse auf die Darstellungsabsichten, psychologische Genauigkeit und gestalterische Fähigkeit des Künstlers zu, ohne dass wir dazu weitere Werke dessselben Künstlers bräuchten; und eine einzige Gehweise oder Autofahrt kann einen so auffälligen Stil tragen, dass wir den </w:t>
      </w:r>
      <w:r w:rsidR="00C75387">
        <w:t>Stilanwender</w:t>
      </w:r>
      <w:r w:rsidR="00B5283A">
        <w:t xml:space="preserve"> noch nach Jahren d</w:t>
      </w:r>
      <w:r w:rsidR="00B5283A">
        <w:t>a</w:t>
      </w:r>
      <w:r w:rsidR="00B5283A">
        <w:t>ran wiedererkennen können. Eine einzelne Realisierung reicht also in vielen Fä</w:t>
      </w:r>
      <w:r w:rsidR="00B5283A">
        <w:t>l</w:t>
      </w:r>
      <w:r w:rsidR="00B5283A">
        <w:t>len völlig aus, um einen Stil auszulesen.</w:t>
      </w:r>
    </w:p>
    <w:p w:rsidR="00B5283A" w:rsidRDefault="00B5283A" w:rsidP="00B5283A">
      <w:pPr>
        <w:pStyle w:val="Text"/>
      </w:pPr>
      <w:r>
        <w:t>Richtig an den Überlegungen Simmels ist, dass eine individuelle Gesta</w:t>
      </w:r>
      <w:r>
        <w:t>l</w:t>
      </w:r>
      <w:r>
        <w:t>tungs- oder Ausführungs</w:t>
      </w:r>
      <w:r w:rsidR="00EA55B2">
        <w:t>weise</w:t>
      </w:r>
      <w:r>
        <w:t xml:space="preserve"> uns zunächst oft gar nicht als Stil erscheint, wä</w:t>
      </w:r>
      <w:r>
        <w:t>h</w:t>
      </w:r>
      <w:r>
        <w:t xml:space="preserve">rend sie, wenn wir viele weitere Realisierungen (desselben oder eines anderen </w:t>
      </w:r>
      <w:r w:rsidR="00C75387">
        <w:t>Stilanwender</w:t>
      </w:r>
      <w:r>
        <w:t>s) wahrgenommen haben, eindeutig als Stil erkennbar wird. Nach der hier vertretenen Auffassung ist sie jedoch immer dann ein Stil, wenn sie als Menge von Merkmalsregeln aus der Realisierung ausgelesen werden kann. D</w:t>
      </w:r>
      <w:r>
        <w:t>a</w:t>
      </w:r>
      <w:r>
        <w:t>raus ergibt sich die Bedingung:</w:t>
      </w:r>
    </w:p>
    <w:p w:rsidR="00B5283A" w:rsidRDefault="00B5283A" w:rsidP="00B5283A">
      <w:pPr>
        <w:pStyle w:val="Text"/>
      </w:pPr>
      <w:r>
        <w:t>(1)</w:t>
      </w:r>
      <w:r>
        <w:tab/>
        <w:t>Es muss postuliert werden, welche Auswahl auf kontextuelle, funkti</w:t>
      </w:r>
      <w:r>
        <w:t>o</w:t>
      </w:r>
      <w:r>
        <w:t>nale oder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 xml:space="preserve"> zurückgeht.</w:t>
      </w:r>
    </w:p>
    <w:p w:rsidR="00B5283A" w:rsidRDefault="00D73672" w:rsidP="00B5283A">
      <w:pPr>
        <w:pStyle w:val="Text"/>
      </w:pPr>
      <w:r>
        <w:t>W</w:t>
      </w:r>
      <w:r w:rsidR="00B5283A">
        <w:t xml:space="preserve">eitere Bedingungen für </w:t>
      </w:r>
      <w:r w:rsidR="00DB1A41">
        <w:t xml:space="preserve">die Wahrnehmung </w:t>
      </w:r>
      <w:r w:rsidR="00B5283A">
        <w:t xml:space="preserve">eines Stils </w:t>
      </w:r>
      <w:r>
        <w:t>sind</w:t>
      </w:r>
      <w:r w:rsidR="00B5283A">
        <w:t>:</w:t>
      </w:r>
    </w:p>
    <w:p w:rsidR="00B5283A" w:rsidRDefault="00B5283A" w:rsidP="00B5283A">
      <w:pPr>
        <w:pStyle w:val="Text"/>
      </w:pPr>
      <w:r>
        <w:t>(2)</w:t>
      </w:r>
      <w:r>
        <w:tab/>
        <w:t>Es muss eine ausreichende Größe der Realisierung (das heißt, ausre</w:t>
      </w:r>
      <w:r>
        <w:t>i</w:t>
      </w:r>
      <w:r>
        <w:t>chend viele Realisierungsstellen) vorliegen.</w:t>
      </w:r>
    </w:p>
    <w:p w:rsidR="00B5283A" w:rsidRDefault="00B5283A" w:rsidP="00B5283A">
      <w:pPr>
        <w:pStyle w:val="Text"/>
      </w:pPr>
      <w:r>
        <w:t>(3)</w:t>
      </w:r>
      <w:r>
        <w:tab/>
        <w:t>Der Stil</w:t>
      </w:r>
      <w:r w:rsidR="007067FD">
        <w:t>wahrnehmer</w:t>
      </w:r>
      <w:r>
        <w:t xml:space="preserve"> muss </w:t>
      </w:r>
      <w:r w:rsidR="0086355C">
        <w:t xml:space="preserve">bereit und in der Lage zu einer stilistischen Betrachtungsweise der </w:t>
      </w:r>
      <w:r>
        <w:t xml:space="preserve">Realisierung </w:t>
      </w:r>
      <w:r w:rsidR="0086355C">
        <w:t>sein</w:t>
      </w:r>
      <w:r>
        <w:t>.</w:t>
      </w:r>
    </w:p>
    <w:p w:rsidR="00B5283A" w:rsidRDefault="00B5283A" w:rsidP="00B5283A">
      <w:pPr>
        <w:pStyle w:val="Text"/>
      </w:pPr>
      <w:r>
        <w:t>Bei einzelnen Realisierungen ist (1) oft sehr schwierig, während viele Real</w:t>
      </w:r>
      <w:r>
        <w:t>i</w:t>
      </w:r>
      <w:r>
        <w:t>sierungen (beispielsweise die Werke vieler Künstler oder viele Werke eines Künstlers) meist eine ausreichend große Streuung dieser Bedingungen aufwe</w:t>
      </w:r>
      <w:r>
        <w:t>i</w:t>
      </w:r>
      <w:r>
        <w:t>sen, so dass nur nach Gemeinsamkeiten über alle diese Kunstwerke hinweg g</w:t>
      </w:r>
      <w:r>
        <w:t>e</w:t>
      </w:r>
      <w:r>
        <w:t>sucht werden kann, um den Stil zu erhalten.</w:t>
      </w:r>
    </w:p>
    <w:p w:rsidR="00B5283A" w:rsidRDefault="00B5283A" w:rsidP="00B5283A">
      <w:pPr>
        <w:pStyle w:val="Text"/>
      </w:pPr>
      <w:r>
        <w:t>Aber auch (2) wird einfacher, wenn mehrere Realisierungen betrachtet we</w:t>
      </w:r>
      <w:r>
        <w:t>r</w:t>
      </w:r>
      <w:r>
        <w:t>den, da sich automatisch mehr Realisierungsstellen ergeben und somit die Merkmalsregeln leichter zu erkennen sind.</w:t>
      </w:r>
    </w:p>
    <w:p w:rsidR="00B5283A" w:rsidRDefault="00B5283A" w:rsidP="00B5283A">
      <w:pPr>
        <w:pStyle w:val="Text"/>
      </w:pPr>
      <w:r>
        <w:t xml:space="preserve">Und schließlich ist (3) bei einer einzelnen Realisierung nicht </w:t>
      </w:r>
      <w:r w:rsidR="000E2FF3">
        <w:t xml:space="preserve">immer </w:t>
      </w:r>
      <w:r>
        <w:t>geg</w:t>
      </w:r>
      <w:r>
        <w:t>e</w:t>
      </w:r>
      <w:r>
        <w:t>ben: Beispielsweise betrachtet man ein einzelnes Kunstwerk vielleicht mit der Absicht, seine Eigenschaften zu erkennen, ohne dabei stilistische Merkmale von anderen Eigenschaften trennen zu wollen. Wenn man dagegen mehrere Kuns</w:t>
      </w:r>
      <w:r>
        <w:t>t</w:t>
      </w:r>
      <w:r>
        <w:t xml:space="preserve">werke betrachtet, bieten sich – neben Zusammenhängen des Inhalts – stilistische Gemeinsamkeiten und Unterschiede als Möglichkeit an, sie in Beziehung zu setzen. Dasselbe gilt bei </w:t>
      </w:r>
      <w:r w:rsidR="006E4454">
        <w:t xml:space="preserve">allen anderen </w:t>
      </w:r>
      <w:r>
        <w:t>Realisierungen.</w:t>
      </w:r>
      <w:r>
        <w:rPr>
          <w:rStyle w:val="Funotenzeichen"/>
        </w:rPr>
        <w:footnoteReference w:id="274"/>
      </w:r>
      <w:r w:rsidR="000E2FF3">
        <w:t xml:space="preserve"> Die Stilwahrnehmung setzt grundsätzlich die Rekonstruktion der </w:t>
      </w:r>
      <w:r w:rsidR="00ED5BE9">
        <w:t>Alter</w:t>
      </w:r>
      <w:r w:rsidR="00ED5BE9">
        <w:softHyphen/>
        <w:t>nativen</w:t>
      </w:r>
      <w:r w:rsidR="00ED5BE9">
        <w:softHyphen/>
        <w:t>klasse</w:t>
      </w:r>
      <w:r w:rsidR="000E2FF3">
        <w:t xml:space="preserve">n voraus; daher </w:t>
      </w:r>
      <w:r w:rsidR="000E2FF3">
        <w:lastRenderedPageBreak/>
        <w:t xml:space="preserve">wird jemand, der sich auf die Realisierung </w:t>
      </w:r>
      <w:r w:rsidR="009C483D">
        <w:t>konzentriert</w:t>
      </w:r>
      <w:r w:rsidR="000E2FF3">
        <w:t xml:space="preserve"> und </w:t>
      </w:r>
      <w:r w:rsidR="009C483D">
        <w:t xml:space="preserve">wenig Wissen über andere Realisierungen dieses Schemas hat, häufig keinen Stil wahrnehmen. </w:t>
      </w:r>
      <w:r w:rsidR="000E2FF3">
        <w:t>Alle</w:t>
      </w:r>
      <w:r w:rsidR="000E2FF3">
        <w:t>r</w:t>
      </w:r>
      <w:r w:rsidR="000E2FF3">
        <w:t xml:space="preserve">dings kann man die Wahrnehmung von Stilen nicht bewusst blockieren und </w:t>
      </w:r>
      <w:r w:rsidR="00632403">
        <w:t xml:space="preserve">selbst bei der Konzentration auf eine Realisierung kann </w:t>
      </w:r>
      <w:r w:rsidR="000E2FF3">
        <w:t>sich dem Wahrnehme</w:t>
      </w:r>
      <w:r w:rsidR="000E2FF3">
        <w:t>n</w:t>
      </w:r>
      <w:r w:rsidR="000E2FF3">
        <w:t xml:space="preserve">den </w:t>
      </w:r>
      <w:r w:rsidR="00E621E1">
        <w:t xml:space="preserve">ein Stil </w:t>
      </w:r>
      <w:r w:rsidR="000E2FF3">
        <w:t>auf</w:t>
      </w:r>
      <w:r w:rsidR="00632403">
        <w:t>drängen</w:t>
      </w:r>
      <w:r w:rsidR="000E2FF3">
        <w:t>, auch wenn es ihm eigentlich um andere Aspekte der Realisierung ging.</w:t>
      </w:r>
    </w:p>
    <w:p w:rsidR="00134B55" w:rsidRDefault="00B5283A" w:rsidP="00134B55">
      <w:pPr>
        <w:pStyle w:val="Text"/>
      </w:pPr>
      <w:r>
        <w:t>Es gibt also keine absolute Zuordnung von Stil zum Allgemeinen und Inhalt zum Individuellen. Simmel</w:t>
      </w:r>
      <w:r w:rsidR="005D7996">
        <w:fldChar w:fldCharType="begin"/>
      </w:r>
      <w:r w:rsidR="006B1FB1">
        <w:instrText xml:space="preserve"> XE "</w:instrText>
      </w:r>
      <w:r w:rsidR="006B1FB1" w:rsidRPr="00DF61F5">
        <w:instrText>Simmel, Georg</w:instrText>
      </w:r>
      <w:r w:rsidR="006B1FB1">
        <w:instrText xml:space="preserve">" </w:instrText>
      </w:r>
      <w:r w:rsidR="005D7996">
        <w:fldChar w:fldCharType="end"/>
      </w:r>
      <w:r>
        <w:t xml:space="preserve"> hat jedoch insofern recht, als uns Stil meist als Bi</w:t>
      </w:r>
      <w:r>
        <w:t>n</w:t>
      </w:r>
      <w:r>
        <w:t xml:space="preserve">deglied zwischen verschiedenen Realisierungen eines </w:t>
      </w:r>
      <w:r w:rsidR="00C75387">
        <w:t>Stilanwender</w:t>
      </w:r>
      <w:r>
        <w:t>s oder zw</w:t>
      </w:r>
      <w:r>
        <w:t>i</w:t>
      </w:r>
      <w:r>
        <w:t xml:space="preserve">schen Realisierungen verschiedener </w:t>
      </w:r>
      <w:r w:rsidR="00C75387">
        <w:t>Stilanwender</w:t>
      </w:r>
      <w:r>
        <w:t xml:space="preserve"> interessiert. Gründe dafür dürften in den Bedingungen (1) bis (3) liegen.</w:t>
      </w:r>
      <w:bookmarkEnd w:id="156"/>
      <w:r w:rsidR="00134B55">
        <w:br w:type="page"/>
      </w:r>
    </w:p>
    <w:p w:rsidR="00747F91" w:rsidRDefault="00747F91" w:rsidP="00B57D01">
      <w:pPr>
        <w:pStyle w:val="Text"/>
        <w:sectPr w:rsidR="00747F91" w:rsidSect="00AE48E3">
          <w:type w:val="continuous"/>
          <w:pgSz w:w="8789" w:h="13325" w:code="9"/>
          <w:pgMar w:top="1134" w:right="851" w:bottom="1418" w:left="1134" w:header="567" w:footer="680" w:gutter="0"/>
          <w:cols w:space="720"/>
          <w:titlePg/>
          <w:docGrid w:linePitch="360"/>
        </w:sectPr>
      </w:pPr>
    </w:p>
    <w:p w:rsidR="00D2554C" w:rsidRDefault="00647F41">
      <w:pPr>
        <w:pStyle w:val="Titel"/>
      </w:pPr>
      <w:bookmarkStart w:id="157" w:name="_Toc325456721"/>
      <w:bookmarkStart w:id="158" w:name="Stilmodell2"/>
      <w:r>
        <w:lastRenderedPageBreak/>
        <w:t xml:space="preserve">Schemata und </w:t>
      </w:r>
      <w:r w:rsidR="003C7A60">
        <w:t>Alternativenklasse</w:t>
      </w:r>
      <w:r>
        <w:t>n</w:t>
      </w:r>
      <w:bookmarkEnd w:id="157"/>
    </w:p>
    <w:p w:rsidR="00D2554C" w:rsidRDefault="00D2554C">
      <w:pPr>
        <w:pStyle w:val="Titel2"/>
      </w:pPr>
      <w:bookmarkStart w:id="159" w:name="_Toc325456722"/>
      <w:bookmarkStart w:id="160" w:name="Stilmodell3"/>
      <w:r>
        <w:t>Übersicht über das Stilmodell</w:t>
      </w:r>
      <w:bookmarkEnd w:id="159"/>
    </w:p>
    <w:p w:rsidR="00D2554C" w:rsidRDefault="005D7996" w:rsidP="009C51A2">
      <w:pPr>
        <w:pStyle w:val="Text"/>
        <w:ind w:firstLine="0"/>
      </w:pPr>
      <w:r>
        <w:fldChar w:fldCharType="begin"/>
      </w:r>
      <w:r w:rsidR="00F4603F">
        <w:instrText xml:space="preserve"> XE "</w:instrText>
      </w:r>
      <w:r w:rsidR="00F4603F" w:rsidRPr="006256A5">
        <w:instrText>Stil</w:instrText>
      </w:r>
      <w:r w:rsidR="00F4603F">
        <w:instrText xml:space="preserve">modell" \r "Stilmodell2" </w:instrText>
      </w:r>
      <w:r>
        <w:fldChar w:fldCharType="end"/>
      </w:r>
      <w:r>
        <w:fldChar w:fldCharType="begin"/>
      </w:r>
      <w:r w:rsidR="00F45263">
        <w:instrText xml:space="preserve"> XE "Stilmodell:Übersicht" \r "Stilmodell</w:instrText>
      </w:r>
      <w:r w:rsidR="00F4603F">
        <w:instrText>3</w:instrText>
      </w:r>
      <w:r w:rsidR="00F45263">
        <w:instrText xml:space="preserve">" </w:instrText>
      </w:r>
      <w:r>
        <w:fldChar w:fldCharType="end"/>
      </w:r>
      <w:r w:rsidR="00D2554C">
        <w:t xml:space="preserve">In diesem Übersichtsabschnitt </w:t>
      </w:r>
      <w:r w:rsidR="004D5A5D">
        <w:t xml:space="preserve">wird </w:t>
      </w:r>
      <w:r w:rsidR="00D2554C">
        <w:t xml:space="preserve">eine kurze </w:t>
      </w:r>
      <w:r w:rsidR="00D269AA">
        <w:t xml:space="preserve">Übersicht </w:t>
      </w:r>
      <w:r w:rsidR="00C045F2">
        <w:t>über das</w:t>
      </w:r>
      <w:r w:rsidR="00D269AA">
        <w:t xml:space="preserve"> </w:t>
      </w:r>
      <w:r w:rsidR="004D5A5D">
        <w:t xml:space="preserve">Stilmodell gegeben, das in den Kapiteln 4 bis 7 </w:t>
      </w:r>
      <w:r w:rsidR="003E6175">
        <w:t xml:space="preserve">schrittweise </w:t>
      </w:r>
      <w:r w:rsidR="00656B3E">
        <w:t xml:space="preserve">eingeführt </w:t>
      </w:r>
      <w:r w:rsidR="004D5A5D">
        <w:t>wird.</w:t>
      </w:r>
    </w:p>
    <w:p w:rsidR="00D2554C" w:rsidRDefault="00D2554C">
      <w:pPr>
        <w:pStyle w:val="Text"/>
      </w:pPr>
      <w:r>
        <w:t xml:space="preserve">Wie </w:t>
      </w:r>
      <w:r w:rsidR="00085320">
        <w:t xml:space="preserve">bereits </w:t>
      </w:r>
      <w:r w:rsidR="003E6175">
        <w:t>in Kapitel 2 herausgearbeitet wurde</w:t>
      </w:r>
      <w:r>
        <w:t>, entsteht Stil, wenn Variat</w:t>
      </w:r>
      <w:r>
        <w:t>i</w:t>
      </w:r>
      <w:r>
        <w:t>onsmöglichkeiten zur Erzeugung von Zeichen gebraucht werden. Wir wollen drei Gegenstandsbereiche unterscheiden, in denen dieser Vorgang auftreten kann: die Verhaltensweisen, die Artefakte und die Texte.</w:t>
      </w:r>
    </w:p>
    <w:p w:rsidR="00D2554C" w:rsidRDefault="00D2554C">
      <w:pPr>
        <w:pStyle w:val="Text"/>
      </w:pPr>
      <w:r>
        <w:t xml:space="preserve">Variation entsteht nur dort, wo auch etwas </w:t>
      </w:r>
      <w:r w:rsidR="00B301AA">
        <w:t>konstant bleibt</w:t>
      </w:r>
      <w:r>
        <w:t>: Bestimmte B</w:t>
      </w:r>
      <w:r>
        <w:t>e</w:t>
      </w:r>
      <w:r>
        <w:t>dingungen gelten und schränken die theoretische denkbare Gesamtmenge der Möglichkeiten auf ein übersichtliches Maß ein. Wenn es keine Bedingungen e</w:t>
      </w:r>
      <w:r w:rsidR="005A1B1A">
        <w:t>twa dafür gäbe, dass etwas als ‚</w:t>
      </w:r>
      <w:r>
        <w:t>Auto</w:t>
      </w:r>
      <w:r w:rsidR="007E3D6D">
        <w:t>fahren</w:t>
      </w:r>
      <w:r w:rsidR="005A1B1A">
        <w:t>‘</w:t>
      </w:r>
      <w:r w:rsidR="007E3D6D">
        <w:t xml:space="preserve"> oder, spezieller, als ‚</w:t>
      </w:r>
      <w:r>
        <w:t>Überholen</w:t>
      </w:r>
      <w:r w:rsidR="007E3D6D">
        <w:t>‘</w:t>
      </w:r>
      <w:r>
        <w:t xml:space="preserve"> gilt, könnten wir immer nur ein</w:t>
      </w:r>
      <w:r w:rsidR="00B301AA">
        <w:t xml:space="preserve"> vollständig bestimmtes Verhalten </w:t>
      </w:r>
      <w:r>
        <w:t>so bezeichnen: Es wäre dann auch nicht möglich, Variation festzustellen.</w:t>
      </w:r>
    </w:p>
    <w:p w:rsidR="00D2554C" w:rsidRDefault="00D2554C">
      <w:pPr>
        <w:pStyle w:val="Text"/>
      </w:pPr>
      <w:r>
        <w:t>Denn die Bedingungen bestimmen die konkrete Ausführung nicht vollstä</w:t>
      </w:r>
      <w:r>
        <w:t>n</w:t>
      </w:r>
      <w:r>
        <w:t>dig: Es bleibt noch eine Wahl zwischen verschiedenen Varianten erhalten. Nur weil Verhaltensweisen, Artefakte und Texte durch Bedingungen unterdeterm</w:t>
      </w:r>
      <w:r>
        <w:t>i</w:t>
      </w:r>
      <w:r>
        <w:t xml:space="preserve">niert </w:t>
      </w:r>
      <w:r w:rsidR="00B301AA">
        <w:t>festgelegt sind</w:t>
      </w:r>
      <w:r>
        <w:t>, können wir verschiedene Ausführungsweisen vergleichen.</w:t>
      </w:r>
      <w:r>
        <w:rPr>
          <w:rStyle w:val="Funotenzeichen"/>
        </w:rPr>
        <w:footnoteReference w:id="275"/>
      </w:r>
    </w:p>
    <w:p w:rsidR="00D2554C" w:rsidRDefault="00D2554C">
      <w:pPr>
        <w:pStyle w:val="Text"/>
      </w:pPr>
      <w:r>
        <w:t xml:space="preserve">Ob wir nun </w:t>
      </w:r>
      <w:r w:rsidR="005A1B1A">
        <w:t xml:space="preserve">mit dem </w:t>
      </w:r>
      <w:r>
        <w:t>Auto fahren oder jemanden grüßen, einen Text schre</w:t>
      </w:r>
      <w:r>
        <w:t>i</w:t>
      </w:r>
      <w:r>
        <w:t>ben oder ein Haus bauen, ein Bild malen oder eine Party geben, reiten oder g</w:t>
      </w:r>
      <w:r>
        <w:t>e</w:t>
      </w:r>
      <w:r>
        <w:t>hen: Bei all diesen und vielen weiteren Verhaltensweisen gibt es verschiedene Möglichkeiten, sie durchzuführen – selbst wenn man den jeweiligen Kontext mit einbezieht, der manche Möglichkeiten bereits ausschließt. Doch natürlich gibt es auch immer Möglichkeiten, die nicht in die jeweilige Kategorie fallen: Ich kann auf unterschiedliche Art Auto fahren, aber wenn ich stattdessen das Auto aus</w:t>
      </w:r>
      <w:r w:rsidR="00C11CC1">
        <w:softHyphen/>
      </w:r>
      <w:r>
        <w:lastRenderedPageBreak/>
        <w:t>einander</w:t>
      </w:r>
      <w:r w:rsidR="00CB6E3C">
        <w:softHyphen/>
      </w:r>
      <w:r>
        <w:t>nehme oder verkaufe, dann tue ich eben etwas anderes, das heißt, ich führe ein anderes Verhalten aus (konkret handelt es sich hierbei um Handlu</w:t>
      </w:r>
      <w:r>
        <w:t>n</w:t>
      </w:r>
      <w:r>
        <w:t>gen, die als Spezialfall von Verhalten, nämlich beabsichtigtes Verhalten, betrac</w:t>
      </w:r>
      <w:r>
        <w:t>h</w:t>
      </w:r>
      <w:r>
        <w:t>tet werden sollen).</w:t>
      </w:r>
    </w:p>
    <w:p w:rsidR="00D2554C" w:rsidRDefault="00D2554C">
      <w:pPr>
        <w:pStyle w:val="Text"/>
      </w:pPr>
      <w:r>
        <w:t xml:space="preserve">Die im letzten Absatz erwähnte Gesamtmenge der Möglichkeiten soll als </w:t>
      </w:r>
      <w:r w:rsidRPr="00DA1C09">
        <w:rPr>
          <w:bCs/>
          <w:i/>
        </w:rPr>
        <w:t>Möglichkeitsraum</w:t>
      </w:r>
      <w:r>
        <w:t xml:space="preserve"> bezeichnet werden (vgl. Abschnitt </w:t>
      </w:r>
      <w:r w:rsidR="005D7996">
        <w:fldChar w:fldCharType="begin"/>
      </w:r>
      <w:r>
        <w:instrText xml:space="preserve"> REF _Ref212452912 \r \h </w:instrText>
      </w:r>
      <w:r w:rsidR="005D7996">
        <w:fldChar w:fldCharType="separate"/>
      </w:r>
      <w:r w:rsidR="001231D3">
        <w:t>4.2.1</w:t>
      </w:r>
      <w:r w:rsidR="005D7996">
        <w:fldChar w:fldCharType="end"/>
      </w:r>
      <w:r>
        <w:t>). Um die Bedingu</w:t>
      </w:r>
      <w:r>
        <w:t>n</w:t>
      </w:r>
      <w:r>
        <w:t>gen, die für einzelne Verhaltensweisen, Artefakte oder Texte gelten, einz</w:t>
      </w:r>
      <w:r>
        <w:t>u</w:t>
      </w:r>
      <w:r>
        <w:t>schränken, werden Verhaltensschemata, Artefaktschemata und Textschemata angenommen.</w:t>
      </w:r>
    </w:p>
    <w:p w:rsidR="00D2554C" w:rsidRDefault="00D2554C">
      <w:pPr>
        <w:pStyle w:val="Text"/>
      </w:pPr>
      <w:r>
        <w:t xml:space="preserve">Allgemein werden wir von </w:t>
      </w:r>
      <w:r w:rsidRPr="00DA1C09">
        <w:rPr>
          <w:bCs/>
          <w:i/>
        </w:rPr>
        <w:t xml:space="preserve">Schemata </w:t>
      </w:r>
      <w:r>
        <w:t>(</w:t>
      </w:r>
      <w:r w:rsidR="005D7996">
        <w:fldChar w:fldCharType="begin"/>
      </w:r>
      <w:r>
        <w:instrText xml:space="preserve"> REF _Ref212082822 \r \h </w:instrText>
      </w:r>
      <w:r w:rsidR="005D7996">
        <w:fldChar w:fldCharType="separate"/>
      </w:r>
      <w:r w:rsidR="001231D3">
        <w:t>4.2.2</w:t>
      </w:r>
      <w:r w:rsidR="005D7996">
        <w:fldChar w:fldCharType="end"/>
      </w:r>
      <w:r>
        <w:t>) sprechen (die je nach Bedarf in Unterschemata (</w:t>
      </w:r>
      <w:r w:rsidR="005D7996">
        <w:fldChar w:fldCharType="begin"/>
      </w:r>
      <w:r w:rsidR="006C3B57">
        <w:instrText xml:space="preserve"> REF _Ref324923850 \r \h </w:instrText>
      </w:r>
      <w:r w:rsidR="005D7996">
        <w:fldChar w:fldCharType="separate"/>
      </w:r>
      <w:r w:rsidR="001231D3">
        <w:t>4.2.4</w:t>
      </w:r>
      <w:r w:rsidR="005D7996">
        <w:fldChar w:fldCharType="end"/>
      </w:r>
      <w:r>
        <w:t xml:space="preserve">) unterteilt werden können). Schemata spezifizieren eine Reihe von </w:t>
      </w:r>
      <w:r w:rsidRPr="00DA1C09">
        <w:rPr>
          <w:bCs/>
          <w:i/>
        </w:rPr>
        <w:t xml:space="preserve">Schemaorten </w:t>
      </w:r>
      <w:r>
        <w:t>(</w:t>
      </w:r>
      <w:r w:rsidR="005D7996">
        <w:fldChar w:fldCharType="begin"/>
      </w:r>
      <w:r>
        <w:instrText xml:space="preserve"> REF _Ref212111029 \r \h </w:instrText>
      </w:r>
      <w:r w:rsidR="005D7996">
        <w:fldChar w:fldCharType="separate"/>
      </w:r>
      <w:r w:rsidR="001231D3">
        <w:t>4.2.3</w:t>
      </w:r>
      <w:r w:rsidR="005D7996">
        <w:fldChar w:fldCharType="end"/>
      </w:r>
      <w:r>
        <w:t>). So kann man Reiten in eine Anzahl von unte</w:t>
      </w:r>
      <w:r>
        <w:t>r</w:t>
      </w:r>
      <w:r>
        <w:t>schiedlichen Handlungen unterteilen (in den Sattel steigen, losreiten, Schritt reiten, traben, galoppieren, das Pferd wenden, die Sporen geben, die Zügel anzi</w:t>
      </w:r>
      <w:r>
        <w:t>e</w:t>
      </w:r>
      <w:r>
        <w:t>hen usw.). Ebenso kann man Gebäude in unterschiedliche, immer wieder auftr</w:t>
      </w:r>
      <w:r>
        <w:t>e</w:t>
      </w:r>
      <w:r>
        <w:t>tende Bestandteile unterteilen (Wände, Dächer, Fenster, Türen, Erker usw.). Auch ein Musikstück einer bestimmten Gattung</w:t>
      </w:r>
      <w:r w:rsidR="005D7996">
        <w:fldChar w:fldCharType="begin"/>
      </w:r>
      <w:r w:rsidR="00AD1266">
        <w:instrText xml:space="preserve"> XE "</w:instrText>
      </w:r>
      <w:r w:rsidR="00AD1266" w:rsidRPr="000D5A50">
        <w:instrText>Gattung</w:instrText>
      </w:r>
      <w:r w:rsidR="00AD1266">
        <w:instrText xml:space="preserve">" </w:instrText>
      </w:r>
      <w:r w:rsidR="005D7996">
        <w:fldChar w:fldCharType="end"/>
      </w:r>
      <w:r>
        <w:t xml:space="preserve"> kann in verschiedene Teile u</w:t>
      </w:r>
      <w:r>
        <w:t>n</w:t>
      </w:r>
      <w:r>
        <w:t>terteilt werden (etwa, wenn es in der Sonatensatzform steht, in Einleitung, Hauptsatz, Seitensatz, Durchführung, Reprise, Coda, die wiederum feiner unte</w:t>
      </w:r>
      <w:r>
        <w:t>r</w:t>
      </w:r>
      <w:r>
        <w:t>teilt werden können). Solche durch ein Schema spezifizierten konventionellen Bestandteile werden innerhalb des Stilmodells als Schemaorte beschrieben.</w:t>
      </w:r>
    </w:p>
    <w:p w:rsidR="00D2554C" w:rsidRDefault="00D2554C">
      <w:pPr>
        <w:pStyle w:val="Text"/>
      </w:pPr>
      <w:r>
        <w:t xml:space="preserve">Schemaorte von Schemata werden durch </w:t>
      </w:r>
      <w:r w:rsidRPr="00DA1C09">
        <w:rPr>
          <w:bCs/>
          <w:i/>
        </w:rPr>
        <w:t xml:space="preserve">Schemaortbedingungen </w:t>
      </w:r>
      <w:r>
        <w:t>intensional definiert. Diese bestehen aus bestimmten Eigenschaften, die einem Eleme</w:t>
      </w:r>
      <w:r w:rsidR="00F514C4">
        <w:t>nt z</w:t>
      </w:r>
      <w:r w:rsidR="00F514C4">
        <w:t>u</w:t>
      </w:r>
      <w:r w:rsidR="00F514C4">
        <w:t xml:space="preserve">kommen müssen, damit es dem </w:t>
      </w:r>
      <w:r>
        <w:t xml:space="preserve">jeweiligen Schemaort </w:t>
      </w:r>
      <w:r w:rsidR="00F514C4">
        <w:t xml:space="preserve">zugeordnet wird </w:t>
      </w:r>
      <w:r>
        <w:t>(</w:t>
      </w:r>
      <w:r w:rsidR="005D7996">
        <w:fldChar w:fldCharType="begin"/>
      </w:r>
      <w:r>
        <w:instrText xml:space="preserve"> REF _Ref211841829 \r \h </w:instrText>
      </w:r>
      <w:r w:rsidR="005D7996">
        <w:fldChar w:fldCharType="separate"/>
      </w:r>
      <w:r w:rsidR="001231D3">
        <w:t>4.3.1</w:t>
      </w:r>
      <w:r w:rsidR="005D7996">
        <w:fldChar w:fldCharType="end"/>
      </w:r>
      <w:r>
        <w:t>). Neben Schemaortbedingungen können auch noch Zusatzbedingungen gelten, die sich aus dem Kontext der Situation ergeben.</w:t>
      </w:r>
    </w:p>
    <w:p w:rsidR="00D2554C" w:rsidRDefault="00D2554C">
      <w:pPr>
        <w:pStyle w:val="Text"/>
      </w:pPr>
      <w:r>
        <w:t>Nachdem wir auf diese Art die Festlegungen beschrieben haben, können wir uns nun der Variation zuwenden. Die verschiedenen Möglichkeiten</w:t>
      </w:r>
      <w:r w:rsidR="006A2563">
        <w:t>,</w:t>
      </w:r>
      <w:r>
        <w:t xml:space="preserve"> </w:t>
      </w:r>
      <w:r w:rsidR="006A2563">
        <w:t xml:space="preserve">die </w:t>
      </w:r>
      <w:r>
        <w:t>bei g</w:t>
      </w:r>
      <w:r>
        <w:t>e</w:t>
      </w:r>
      <w:r>
        <w:t>gebenen Schemaort- und Zusatzbedingun</w:t>
      </w:r>
      <w:r w:rsidR="006A2563">
        <w:t>gen</w:t>
      </w:r>
      <w:r>
        <w:t xml:space="preserve"> </w:t>
      </w:r>
      <w:r w:rsidR="006A2563">
        <w:t xml:space="preserve">bestehen, </w:t>
      </w:r>
      <w:r w:rsidR="00674B4C">
        <w:t xml:space="preserve">bilden </w:t>
      </w:r>
      <w:r>
        <w:t>Alternativen</w:t>
      </w:r>
      <w:r w:rsidR="006A2563">
        <w:t xml:space="preserve"> </w:t>
      </w:r>
      <w:r w:rsidR="00674B4C">
        <w:t>für die stilistische Auswahl</w:t>
      </w:r>
      <w:r w:rsidR="00876900">
        <w:t>; d</w:t>
      </w:r>
      <w:r>
        <w:t xml:space="preserve">ie </w:t>
      </w:r>
      <w:r w:rsidR="00674B4C">
        <w:t xml:space="preserve">jeweils vorhandenen </w:t>
      </w:r>
      <w:r>
        <w:t xml:space="preserve">Alternativen werden durch </w:t>
      </w:r>
      <w:r w:rsidR="00ED5BE9">
        <w:rPr>
          <w:bCs/>
          <w:i/>
        </w:rPr>
        <w:t>Alter</w:t>
      </w:r>
      <w:r w:rsidR="00ED5BE9">
        <w:rPr>
          <w:bCs/>
          <w:i/>
        </w:rPr>
        <w:softHyphen/>
        <w:t>nativen</w:t>
      </w:r>
      <w:r w:rsidR="00ED5BE9">
        <w:rPr>
          <w:bCs/>
          <w:i/>
        </w:rPr>
        <w:softHyphen/>
        <w:t>klasse</w:t>
      </w:r>
      <w:r w:rsidRPr="00DA1C09">
        <w:rPr>
          <w:bCs/>
          <w:i/>
        </w:rPr>
        <w:t xml:space="preserve">n </w:t>
      </w:r>
      <w:r>
        <w:t>festgelegt (</w:t>
      </w:r>
      <w:r w:rsidR="005D7996">
        <w:fldChar w:fldCharType="begin"/>
      </w:r>
      <w:r>
        <w:instrText xml:space="preserve"> REF _Ref212029118 \r \h </w:instrText>
      </w:r>
      <w:r w:rsidR="005D7996">
        <w:fldChar w:fldCharType="separate"/>
      </w:r>
      <w:r w:rsidR="001231D3">
        <w:t>4.4</w:t>
      </w:r>
      <w:r w:rsidR="005D7996">
        <w:fldChar w:fldCharType="end"/>
      </w:r>
      <w:r>
        <w:t xml:space="preserve">). Das Ergebnis </w:t>
      </w:r>
      <w:r w:rsidR="0056759B">
        <w:t xml:space="preserve">des Auswahlvorgangs </w:t>
      </w:r>
      <w:r>
        <w:t xml:space="preserve">ist eine </w:t>
      </w:r>
      <w:r w:rsidRPr="00DA1C09">
        <w:rPr>
          <w:bCs/>
          <w:i/>
        </w:rPr>
        <w:t xml:space="preserve">Realisierung </w:t>
      </w:r>
      <w:r>
        <w:t>(</w:t>
      </w:r>
      <w:r w:rsidR="005D7996">
        <w:fldChar w:fldCharType="begin"/>
      </w:r>
      <w:r>
        <w:instrText xml:space="preserve"> REF _Ref212453073 \r \h </w:instrText>
      </w:r>
      <w:r w:rsidR="005D7996">
        <w:fldChar w:fldCharType="separate"/>
      </w:r>
      <w:r w:rsidR="001231D3">
        <w:t>4.5</w:t>
      </w:r>
      <w:r w:rsidR="005D7996">
        <w:fldChar w:fldCharType="end"/>
      </w:r>
      <w:r>
        <w:t xml:space="preserve">). Der Übergang von den </w:t>
      </w:r>
      <w:r w:rsidR="00ED5BE9">
        <w:t>Alter</w:t>
      </w:r>
      <w:r w:rsidR="00ED5BE9">
        <w:softHyphen/>
        <w:t>nativen</w:t>
      </w:r>
      <w:r w:rsidR="00ED5BE9">
        <w:softHyphen/>
        <w:t>klasse</w:t>
      </w:r>
      <w:r>
        <w:t xml:space="preserve">n zur Realisierung wird im Prozess der </w:t>
      </w:r>
      <w:r w:rsidR="00B7173B" w:rsidRPr="00DA1C09">
        <w:rPr>
          <w:bCs/>
          <w:i/>
        </w:rPr>
        <w:t>Schemaausführung</w:t>
      </w:r>
      <w:r w:rsidRPr="00DA1C09">
        <w:rPr>
          <w:bCs/>
          <w:i/>
        </w:rPr>
        <w:t xml:space="preserve"> </w:t>
      </w:r>
      <w:r>
        <w:t>(</w:t>
      </w:r>
      <w:r w:rsidR="005D7996">
        <w:fldChar w:fldCharType="begin"/>
      </w:r>
      <w:r>
        <w:instrText xml:space="preserve"> REF _Ref212110965 \r \h </w:instrText>
      </w:r>
      <w:r w:rsidR="005D7996">
        <w:fldChar w:fldCharType="separate"/>
      </w:r>
      <w:r w:rsidR="001231D3">
        <w:t>5.2.2</w:t>
      </w:r>
      <w:r w:rsidR="005D7996">
        <w:fldChar w:fldCharType="end"/>
      </w:r>
      <w:r>
        <w:t>) beschrieben.</w:t>
      </w:r>
    </w:p>
    <w:p w:rsidR="00D2554C" w:rsidRDefault="00302105">
      <w:pPr>
        <w:pStyle w:val="Text"/>
      </w:pPr>
      <w:r>
        <w:t>Nur ein Teil der Schemaausführung besteht in den stilistisch wirksamen Auswahlprozessen. Wenn jemand einen Stil anwendet, dann bedeutet dies, dass bei der von ihm durchgeführten Auswahl aus den Alternativen bestimmte R</w:t>
      </w:r>
      <w:r>
        <w:t>e</w:t>
      </w:r>
      <w:r>
        <w:t xml:space="preserve">gelmäßigkeiten wirksam werden. Solche Regelmäßigkeiten des Auswahlvorgangs hinterlassen Spuren im Auswahlergebnis, also der Realisierung. Die Person, die die Realisierung erzeugt hat, wird damit zum </w:t>
      </w:r>
      <w:r w:rsidR="00C75387" w:rsidRPr="00DA1C09">
        <w:rPr>
          <w:i/>
        </w:rPr>
        <w:t>Stilanwender</w:t>
      </w:r>
      <w:r>
        <w:t>. Wenn jemand aus diesen Spuren die Prinzipien erkennt, nach denen die Auswahl stattgefunden hat, dann wird er</w:t>
      </w:r>
      <w:r w:rsidR="00A804C5">
        <w:t xml:space="preserve">/sie </w:t>
      </w:r>
      <w:r>
        <w:t xml:space="preserve">zum </w:t>
      </w:r>
      <w:r w:rsidR="00C75387" w:rsidRPr="00DA1C09">
        <w:rPr>
          <w:i/>
        </w:rPr>
        <w:t>Stilwahrnehmer</w:t>
      </w:r>
      <w:r>
        <w:t>.</w:t>
      </w:r>
    </w:p>
    <w:p w:rsidR="003C7938" w:rsidRDefault="00D2554C">
      <w:pPr>
        <w:pStyle w:val="Text"/>
      </w:pPr>
      <w:r>
        <w:t>Die Regelmäßigkeiten der Auswahl werden in dieser Stiltheorie auf einhei</w:t>
      </w:r>
      <w:r>
        <w:t>t</w:t>
      </w:r>
      <w:r>
        <w:t xml:space="preserve">liche Weise beschrieben, um eine allgemeine Formulierung des </w:t>
      </w:r>
      <w:r w:rsidR="001500F6">
        <w:t xml:space="preserve">Anwendens und </w:t>
      </w:r>
      <w:r w:rsidR="001500F6">
        <w:lastRenderedPageBreak/>
        <w:t xml:space="preserve">Wahrnehmens </w:t>
      </w:r>
      <w:r w:rsidR="0056759B">
        <w:t xml:space="preserve">von Stilen </w:t>
      </w:r>
      <w:r>
        <w:t xml:space="preserve">vornehmen zu können. </w:t>
      </w:r>
      <w:r w:rsidR="0082078A">
        <w:t xml:space="preserve">Diese Beschreibung erfolgt im </w:t>
      </w:r>
      <w:r w:rsidR="0082078A" w:rsidRPr="00DA1C09">
        <w:rPr>
          <w:i/>
        </w:rPr>
        <w:t>Merkmalsprozess</w:t>
      </w:r>
      <w:r w:rsidR="00786381">
        <w:t xml:space="preserve">, dessen Funktionen in </w:t>
      </w:r>
      <w:r w:rsidR="0082078A">
        <w:t>Kapitel 5</w:t>
      </w:r>
      <w:r w:rsidR="00786381">
        <w:t xml:space="preserve"> dargestellt werden (Kapitel 4 liefert die Grundlegung dafür)</w:t>
      </w:r>
      <w:r w:rsidR="0082078A">
        <w:t xml:space="preserve">. Die </w:t>
      </w:r>
      <w:r w:rsidR="0082078A" w:rsidRPr="00DA1C09">
        <w:rPr>
          <w:i/>
        </w:rPr>
        <w:t>Merkmalsregel</w:t>
      </w:r>
      <w:r w:rsidR="0082078A">
        <w:t xml:space="preserve"> (</w:t>
      </w:r>
      <w:r w:rsidR="005D7996">
        <w:fldChar w:fldCharType="begin"/>
      </w:r>
      <w:r w:rsidR="0082078A">
        <w:instrText xml:space="preserve"> REF _Ref212124499 \r \h </w:instrText>
      </w:r>
      <w:r w:rsidR="005D7996">
        <w:fldChar w:fldCharType="separate"/>
      </w:r>
      <w:r w:rsidR="001231D3">
        <w:t>5.3</w:t>
      </w:r>
      <w:r w:rsidR="005D7996">
        <w:fldChar w:fldCharType="end"/>
      </w:r>
      <w:r w:rsidR="0082078A">
        <w:t>) wird g</w:t>
      </w:r>
      <w:r w:rsidR="006A2563">
        <w:t xml:space="preserve">ewissermaßen als </w:t>
      </w:r>
      <w:r>
        <w:t xml:space="preserve">kleinste </w:t>
      </w:r>
      <w:r w:rsidR="0082078A">
        <w:t xml:space="preserve">gemeinsame </w:t>
      </w:r>
      <w:r w:rsidR="006A2563">
        <w:t>Einheit</w:t>
      </w:r>
      <w:r>
        <w:t xml:space="preserve"> der Regelmäßigkeiten </w:t>
      </w:r>
      <w:r w:rsidR="0082078A">
        <w:t xml:space="preserve">betrachtet, sie ermöglicht eine allgemeine Beschreibung: </w:t>
      </w:r>
      <w:r w:rsidR="003C7938">
        <w:t xml:space="preserve">Der Prozess, in dem eine Realisierung einen Stil erhält, wird als </w:t>
      </w:r>
      <w:r w:rsidR="003C7938" w:rsidRPr="00DA1C09">
        <w:rPr>
          <w:i/>
        </w:rPr>
        <w:t>Einschreiben der Merkmalsregeln</w:t>
      </w:r>
      <w:r w:rsidR="003C7938">
        <w:t xml:space="preserve"> (</w:t>
      </w:r>
      <w:r w:rsidR="005D7996">
        <w:fldChar w:fldCharType="begin"/>
      </w:r>
      <w:r w:rsidR="003C7938">
        <w:instrText xml:space="preserve"> REF _Ref212110888 \r \h </w:instrText>
      </w:r>
      <w:r w:rsidR="005D7996">
        <w:fldChar w:fldCharType="separate"/>
      </w:r>
      <w:r w:rsidR="001231D3">
        <w:t>5.4</w:t>
      </w:r>
      <w:r w:rsidR="005D7996">
        <w:fldChar w:fldCharType="end"/>
      </w:r>
      <w:r w:rsidR="003C7938">
        <w:t>), der Prozess de</w:t>
      </w:r>
      <w:r w:rsidR="00400367">
        <w:t>s</w:t>
      </w:r>
      <w:r w:rsidR="003C7938">
        <w:t xml:space="preserve"> </w:t>
      </w:r>
      <w:r w:rsidR="00400367">
        <w:t>Wah</w:t>
      </w:r>
      <w:r w:rsidR="00400367">
        <w:t>r</w:t>
      </w:r>
      <w:r w:rsidR="00400367">
        <w:t>nehmens</w:t>
      </w:r>
      <w:r w:rsidR="003C7938">
        <w:t xml:space="preserve"> eines Stils an einer Realisierung als </w:t>
      </w:r>
      <w:r w:rsidR="003C7938" w:rsidRPr="00DA1C09">
        <w:rPr>
          <w:i/>
        </w:rPr>
        <w:t>Auslesen der Merkmalsregeln</w:t>
      </w:r>
      <w:r w:rsidR="003C7938">
        <w:t xml:space="preserve"> (</w:t>
      </w:r>
      <w:r w:rsidR="005D7996">
        <w:fldChar w:fldCharType="begin"/>
      </w:r>
      <w:r w:rsidR="003C7938">
        <w:instrText xml:space="preserve"> REF _Ref212453118 \r \h </w:instrText>
      </w:r>
      <w:r w:rsidR="005D7996">
        <w:fldChar w:fldCharType="separate"/>
      </w:r>
      <w:r w:rsidR="001231D3">
        <w:t>5.5</w:t>
      </w:r>
      <w:r w:rsidR="005D7996">
        <w:fldChar w:fldCharType="end"/>
      </w:r>
      <w:r w:rsidR="003C7938">
        <w:t>) beschrieben.</w:t>
      </w:r>
    </w:p>
    <w:p w:rsidR="00D2554C" w:rsidRDefault="003C7938">
      <w:pPr>
        <w:pStyle w:val="Text"/>
      </w:pPr>
      <w:r>
        <w:t>Merkmalsregeln sind jedoch nur der Ausgangspunkt für die Beschäftigung mit Stilen. Die interessanteren Informationen ergeben sich erst in der Auseina</w:t>
      </w:r>
      <w:r>
        <w:t>n</w:t>
      </w:r>
      <w:r>
        <w:t>dersetzung</w:t>
      </w:r>
      <w:r w:rsidR="009624FE">
        <w:t xml:space="preserve"> mit Merkmalsregeln</w:t>
      </w:r>
      <w:r>
        <w:t>, wobei mit Hilfe von Hintergrundwissen (</w:t>
      </w:r>
      <w:r w:rsidR="005D7996">
        <w:fldChar w:fldCharType="begin"/>
      </w:r>
      <w:r>
        <w:instrText xml:space="preserve"> REF _Ref269151460 \r \h </w:instrText>
      </w:r>
      <w:r w:rsidR="005D7996">
        <w:fldChar w:fldCharType="separate"/>
      </w:r>
      <w:r w:rsidR="001231D3">
        <w:t>6.2.3</w:t>
      </w:r>
      <w:r w:rsidR="005D7996">
        <w:fldChar w:fldCharType="end"/>
      </w:r>
      <w:r>
        <w:t xml:space="preserve">) </w:t>
      </w:r>
      <w:r w:rsidR="00466729">
        <w:t xml:space="preserve">und </w:t>
      </w:r>
      <w:r>
        <w:t>verschiedener Operationen (</w:t>
      </w:r>
      <w:r w:rsidR="005D7996">
        <w:fldChar w:fldCharType="begin"/>
      </w:r>
      <w:r>
        <w:instrText xml:space="preserve"> REF _Ref248036699 \r \h </w:instrText>
      </w:r>
      <w:r w:rsidR="005D7996">
        <w:fldChar w:fldCharType="separate"/>
      </w:r>
      <w:r w:rsidR="001231D3">
        <w:t>6.2.1</w:t>
      </w:r>
      <w:r w:rsidR="005D7996">
        <w:fldChar w:fldCharType="end"/>
      </w:r>
      <w:r>
        <w:t>) Ergebnisse erzeugt werden, be</w:t>
      </w:r>
      <w:r w:rsidR="006C6B80">
        <w:t>i denen es sich um Propositionsannahmen</w:t>
      </w:r>
      <w:r>
        <w:t>, aber auch um Gefühle und Eindrücke handeln kann (</w:t>
      </w:r>
      <w:r w:rsidR="005D7996">
        <w:fldChar w:fldCharType="begin"/>
      </w:r>
      <w:r>
        <w:instrText xml:space="preserve"> REF _Ref253668018 \r \h </w:instrText>
      </w:r>
      <w:r w:rsidR="005D7996">
        <w:fldChar w:fldCharType="separate"/>
      </w:r>
      <w:r w:rsidR="001231D3">
        <w:t>6.2.2</w:t>
      </w:r>
      <w:r w:rsidR="005D7996">
        <w:fldChar w:fldCharType="end"/>
      </w:r>
      <w:r>
        <w:t xml:space="preserve">). In diesem </w:t>
      </w:r>
      <w:r w:rsidRPr="00DA1C09">
        <w:rPr>
          <w:i/>
        </w:rPr>
        <w:t>Interpretationsprozess</w:t>
      </w:r>
      <w:r>
        <w:t xml:space="preserve"> </w:t>
      </w:r>
      <w:r w:rsidR="00C058CE">
        <w:t xml:space="preserve">(Kapitel 6 und 7) </w:t>
      </w:r>
      <w:r>
        <w:t>können intere</w:t>
      </w:r>
      <w:r>
        <w:t>s</w:t>
      </w:r>
      <w:r>
        <w:t>sante Informationen aus Stilen entnommen werden, die für das Individuum (</w:t>
      </w:r>
      <w:r w:rsidR="005D7996">
        <w:fldChar w:fldCharType="begin"/>
      </w:r>
      <w:r>
        <w:instrText xml:space="preserve"> REF _Ref253664986 \r \h </w:instrText>
      </w:r>
      <w:r w:rsidR="005D7996">
        <w:fldChar w:fldCharType="separate"/>
      </w:r>
      <w:r w:rsidR="001231D3">
        <w:t>8.2.4</w:t>
      </w:r>
      <w:r w:rsidR="005D7996">
        <w:fldChar w:fldCharType="end"/>
      </w:r>
      <w:r>
        <w:t>) und die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w:t>
      </w:r>
      <w:r w:rsidR="005D7996">
        <w:fldChar w:fldCharType="begin"/>
      </w:r>
      <w:r>
        <w:instrText xml:space="preserve"> REF _Ref264885213 \r \h </w:instrText>
      </w:r>
      <w:r w:rsidR="005D7996">
        <w:fldChar w:fldCharType="separate"/>
      </w:r>
      <w:r w:rsidR="001231D3">
        <w:t>8.4.1</w:t>
      </w:r>
      <w:r w:rsidR="005D7996">
        <w:fldChar w:fldCharType="end"/>
      </w:r>
      <w:r>
        <w:t xml:space="preserve">) </w:t>
      </w:r>
      <w:r w:rsidR="00C058CE">
        <w:t xml:space="preserve">einige Relevanz haben. Es kann jedoch auch ganz frei ausgehend von den Merkmalsregeln assoziiert und empfunden werden; allgemein ist das Element der Subjektivität beim </w:t>
      </w:r>
      <w:r w:rsidR="00BE695D">
        <w:t xml:space="preserve">Wahrnehmen </w:t>
      </w:r>
      <w:r w:rsidR="00C058CE">
        <w:t>von Stilen nicht wegzudenken (</w:t>
      </w:r>
      <w:r w:rsidR="005D7996">
        <w:fldChar w:fldCharType="begin"/>
      </w:r>
      <w:r w:rsidR="00C058CE">
        <w:instrText xml:space="preserve"> REF _Ref269151730 \r \h </w:instrText>
      </w:r>
      <w:r w:rsidR="005D7996">
        <w:fldChar w:fldCharType="separate"/>
      </w:r>
      <w:r w:rsidR="001231D3">
        <w:t>7.3.6</w:t>
      </w:r>
      <w:r w:rsidR="005D7996">
        <w:fldChar w:fldCharType="end"/>
      </w:r>
      <w:r w:rsidR="00C058CE">
        <w:t>).</w:t>
      </w:r>
    </w:p>
    <w:p w:rsidR="00D2554C" w:rsidRDefault="00C058CE">
      <w:pPr>
        <w:pStyle w:val="Text"/>
      </w:pPr>
      <w:r>
        <w:t xml:space="preserve">Eine </w:t>
      </w:r>
      <w:r w:rsidR="00741F12">
        <w:t xml:space="preserve">genauere </w:t>
      </w:r>
      <w:r>
        <w:t xml:space="preserve">Übersicht </w:t>
      </w:r>
      <w:r w:rsidR="00741F12">
        <w:t xml:space="preserve">zum </w:t>
      </w:r>
      <w:r>
        <w:t xml:space="preserve">Interpretationsprozess wird in </w:t>
      </w:r>
      <w:r w:rsidR="0082078A">
        <w:t xml:space="preserve">Abschnitt </w:t>
      </w:r>
      <w:r w:rsidR="005D7996">
        <w:fldChar w:fldCharType="begin"/>
      </w:r>
      <w:r w:rsidR="0082078A">
        <w:instrText xml:space="preserve"> REF _Ref254352326 \r \h </w:instrText>
      </w:r>
      <w:r w:rsidR="005D7996">
        <w:fldChar w:fldCharType="separate"/>
      </w:r>
      <w:r w:rsidR="001231D3">
        <w:t>6.1</w:t>
      </w:r>
      <w:r w:rsidR="005D7996">
        <w:fldChar w:fldCharType="end"/>
      </w:r>
      <w:r>
        <w:t xml:space="preserve"> gegeben</w:t>
      </w:r>
      <w:r w:rsidR="004838EC">
        <w:t>.</w:t>
      </w:r>
    </w:p>
    <w:p w:rsidR="00D2554C" w:rsidRDefault="00D2554C">
      <w:pPr>
        <w:pStyle w:val="Titel2"/>
      </w:pPr>
      <w:bookmarkStart w:id="161" w:name="_Ref212130496"/>
      <w:bookmarkStart w:id="162" w:name="_Toc325456723"/>
      <w:bookmarkEnd w:id="160"/>
      <w:r>
        <w:t>Schema und Schemaort</w:t>
      </w:r>
      <w:bookmarkEnd w:id="161"/>
      <w:bookmarkEnd w:id="162"/>
    </w:p>
    <w:p w:rsidR="00D2554C" w:rsidRDefault="00D2554C" w:rsidP="00BE0E5A">
      <w:pPr>
        <w:pStyle w:val="Titel3"/>
        <w:spacing w:before="240"/>
      </w:pPr>
      <w:bookmarkStart w:id="163" w:name="_Ref212452912"/>
      <w:bookmarkStart w:id="164" w:name="_Ref259906651"/>
      <w:bookmarkStart w:id="165" w:name="_Ref269134562"/>
      <w:bookmarkStart w:id="166" w:name="_Ref269135074"/>
      <w:bookmarkStart w:id="167" w:name="_Ref271622591"/>
      <w:bookmarkStart w:id="168" w:name="_Ref271634388"/>
      <w:bookmarkStart w:id="169" w:name="_Toc325456724"/>
      <w:bookmarkStart w:id="170" w:name="Möglichkeitsraum"/>
      <w:r>
        <w:t>Der Möglichkeitsraum</w:t>
      </w:r>
      <w:bookmarkEnd w:id="163"/>
      <w:bookmarkEnd w:id="164"/>
      <w:bookmarkEnd w:id="165"/>
      <w:bookmarkEnd w:id="166"/>
      <w:r w:rsidR="00DA7E46">
        <w:t xml:space="preserve"> für Alternativen</w:t>
      </w:r>
      <w:bookmarkEnd w:id="167"/>
      <w:bookmarkEnd w:id="168"/>
      <w:bookmarkEnd w:id="169"/>
    </w:p>
    <w:p w:rsidR="00D2554C" w:rsidRDefault="005D7996" w:rsidP="00FC7BB3">
      <w:pPr>
        <w:pStyle w:val="Text"/>
        <w:ind w:firstLine="0"/>
      </w:pPr>
      <w:r>
        <w:fldChar w:fldCharType="begin"/>
      </w:r>
      <w:r w:rsidR="00DE33C6">
        <w:instrText xml:space="preserve"> XE "Möglichkeitsraum" \r "Möglichkeitsraum" </w:instrText>
      </w:r>
      <w:r>
        <w:fldChar w:fldCharType="end"/>
      </w:r>
      <w:r w:rsidR="00D2554C">
        <w:t>Stile entstehen, wenn Auswahl zum Zeichen wird. Dafür muss es aber verschi</w:t>
      </w:r>
      <w:r w:rsidR="00D2554C">
        <w:t>e</w:t>
      </w:r>
      <w:r w:rsidR="00D2554C">
        <w:t xml:space="preserve">dene Möglichkeiten geben, aus denen ausgewählt wird. </w:t>
      </w:r>
      <w:r w:rsidR="00DA7E46">
        <w:t xml:space="preserve">Die Gesamtheit dieser Möglichkeiten soll als „Möglichkeitsraum“ bezeichnet werden. </w:t>
      </w:r>
      <w:r w:rsidR="00D2554C">
        <w:t>Möglichkeiten sind dadurch beschreibbar, dass sie nicht realisiert sein müssen, aber prinzipiell realisierbar sind. Bislang wissen wir aber noch nicht, um welche Klasse von O</w:t>
      </w:r>
      <w:r w:rsidR="00D2554C">
        <w:t>b</w:t>
      </w:r>
      <w:r w:rsidR="00D2554C">
        <w:t>jekten es sich bei Möglichkeiten handelt.</w:t>
      </w:r>
    </w:p>
    <w:p w:rsidR="00D2554C" w:rsidRDefault="00D2554C">
      <w:pPr>
        <w:pStyle w:val="Text"/>
      </w:pPr>
      <w:r>
        <w:t>Wenn in einem bestimmten Kontext eine Möglichkeit realisiert werden soll und zu diesem Zweck eine Klasse von geeigneten Möglichkeiten gebildet wird, wollen wir die darin enthaltenen Elemente als „Alternativen“ und die Klasse als „</w:t>
      </w:r>
      <w:r w:rsidR="00ED5BE9">
        <w:t>Alter</w:t>
      </w:r>
      <w:r w:rsidR="00ED5BE9">
        <w:softHyphen/>
        <w:t>nativen</w:t>
      </w:r>
      <w:r w:rsidR="00ED5BE9">
        <w:softHyphen/>
        <w:t>klasse</w:t>
      </w:r>
      <w:r>
        <w:t>“ bezeichnen. Alternativen unterscheiden sich von Möglic</w:t>
      </w:r>
      <w:r>
        <w:t>h</w:t>
      </w:r>
      <w:r>
        <w:t>keiten darin, dass sie unter bestimmten Bedingungen füreinander eintreten kö</w:t>
      </w:r>
      <w:r>
        <w:t>n</w:t>
      </w:r>
      <w:r>
        <w:t>nen.</w:t>
      </w:r>
    </w:p>
    <w:p w:rsidR="00D2554C" w:rsidRDefault="00D2554C">
      <w:pPr>
        <w:pStyle w:val="Text"/>
      </w:pPr>
      <w:r>
        <w:t xml:space="preserve">Um Stile beschreiben zu können, müssen wir den Möglichkeitsraum in </w:t>
      </w:r>
      <w:r w:rsidR="00ED5BE9">
        <w:t>Alter</w:t>
      </w:r>
      <w:r w:rsidR="00ED5BE9">
        <w:softHyphen/>
        <w:t>nativen</w:t>
      </w:r>
      <w:r w:rsidR="00ED5BE9">
        <w:softHyphen/>
        <w:t>klasse</w:t>
      </w:r>
      <w:r>
        <w:t xml:space="preserve">n einteilen. </w:t>
      </w:r>
      <w:r w:rsidR="00FE33D4">
        <w:t>Dafür müssen wir Bedingungen angeben, mit d</w:t>
      </w:r>
      <w:r w:rsidR="00FE33D4">
        <w:t>e</w:t>
      </w:r>
      <w:r w:rsidR="00FE33D4">
        <w:t xml:space="preserve">nen </w:t>
      </w:r>
      <w:r w:rsidR="00ED5BE9">
        <w:t>Alter</w:t>
      </w:r>
      <w:r w:rsidR="00ED5BE9">
        <w:softHyphen/>
        <w:t>nativen</w:t>
      </w:r>
      <w:r w:rsidR="00ED5BE9">
        <w:softHyphen/>
        <w:t>klasse</w:t>
      </w:r>
      <w:r w:rsidR="00FE33D4">
        <w:t xml:space="preserve">n gebildet werden. </w:t>
      </w:r>
      <w:r>
        <w:t>Diese Bedingungen wollen wir „Alter</w:t>
      </w:r>
      <w:r w:rsidR="00304AD4">
        <w:softHyphen/>
      </w:r>
      <w:r>
        <w:t>nativenbedingungen“ nennen. Um</w:t>
      </w:r>
      <w:r w:rsidR="00542ACB">
        <w:t xml:space="preserve"> Alternativenbedingungen </w:t>
      </w:r>
      <w:r>
        <w:t>darstellen zu kö</w:t>
      </w:r>
      <w:r>
        <w:t>n</w:t>
      </w:r>
      <w:r>
        <w:lastRenderedPageBreak/>
        <w:t>nen, benötigen wir zunächst eine Einteilung des Möglichkeitsraums in Schemata und Schemaorte.</w:t>
      </w:r>
    </w:p>
    <w:p w:rsidR="00DA7E46" w:rsidRDefault="00E14126" w:rsidP="00373141">
      <w:pPr>
        <w:pStyle w:val="Text"/>
      </w:pPr>
      <w:r>
        <w:t xml:space="preserve">Der Möglichkeitsraum </w:t>
      </w:r>
      <w:r w:rsidR="00373141">
        <w:t>ist grundlegend für die Darstellung der Schemata. Er kann mit Hilfe von Schemata und Schemaorten gegliedert werden (vgl. nächster Abschnitt)</w:t>
      </w:r>
      <w:r w:rsidR="00DA7E46">
        <w:t>,</w:t>
      </w:r>
      <w:r w:rsidR="00373141">
        <w:t xml:space="preserve"> </w:t>
      </w:r>
      <w:r w:rsidR="00DA7E46">
        <w:t>d</w:t>
      </w:r>
      <w:r w:rsidR="00373141">
        <w:t>iese Gliederung ist jedoch kein Teil des Möglichkeitsraums selbst.</w:t>
      </w:r>
    </w:p>
    <w:p w:rsidR="00D2554C" w:rsidRDefault="00373141" w:rsidP="00373141">
      <w:pPr>
        <w:pStyle w:val="Text"/>
      </w:pPr>
      <w:r>
        <w:t>Er kann grundlegend definiert werden wie folgt:</w:t>
      </w:r>
      <w:r w:rsidR="00073CD8">
        <w:rPr>
          <w:rStyle w:val="Funotenzeichen"/>
        </w:rPr>
        <w:footnoteReference w:id="276"/>
      </w:r>
    </w:p>
    <w:p w:rsidR="00704A79" w:rsidRDefault="00704A79" w:rsidP="008628B0">
      <w:pPr>
        <w:pStyle w:val="Definition"/>
      </w:pPr>
      <w:r w:rsidRPr="00CC6E60">
        <w:rPr>
          <w:bCs/>
        </w:rPr>
        <w:t>Def.</w:t>
      </w:r>
      <w:r>
        <w:rPr>
          <w:b/>
          <w:bCs/>
        </w:rPr>
        <w:tab/>
      </w:r>
      <w:r w:rsidR="005D7996">
        <w:fldChar w:fldCharType="begin"/>
      </w:r>
      <w:r w:rsidR="00D944A1">
        <w:instrText xml:space="preserve"> XE "Möglichkeitsraum:</w:instrText>
      </w:r>
      <w:r w:rsidR="00D944A1" w:rsidRPr="0073281C">
        <w:rPr>
          <w:i/>
        </w:rPr>
        <w:instrText>Definition</w:instrText>
      </w:r>
      <w:r w:rsidR="00D944A1">
        <w:instrText xml:space="preserve">" </w:instrText>
      </w:r>
      <w:r w:rsidR="005D7996">
        <w:fldChar w:fldCharType="end"/>
      </w:r>
      <w:r>
        <w:rPr>
          <w:b/>
          <w:bCs/>
        </w:rPr>
        <w:t xml:space="preserve">Möglichkeitsraum für </w:t>
      </w:r>
      <w:r w:rsidR="003C7A60" w:rsidRPr="003C7A60">
        <w:rPr>
          <w:b/>
        </w:rPr>
        <w:t>Alternativen</w:t>
      </w:r>
      <w:r>
        <w:rPr>
          <w:b/>
          <w:bCs/>
        </w:rPr>
        <w:t xml:space="preserve">: </w:t>
      </w:r>
      <w:r w:rsidR="00373141">
        <w:t xml:space="preserve">Die Menge </w:t>
      </w:r>
      <w:r>
        <w:t xml:space="preserve">aller </w:t>
      </w:r>
      <w:r w:rsidR="00E14126">
        <w:t>Aspekte von Ve</w:t>
      </w:r>
      <w:r w:rsidR="00E14126">
        <w:t>r</w:t>
      </w:r>
      <w:r w:rsidR="00E14126">
        <w:t>halten, Artefakten und Texte</w:t>
      </w:r>
      <w:r w:rsidR="00067EE0">
        <w:t>n</w:t>
      </w:r>
      <w:r w:rsidR="00E14126">
        <w:t xml:space="preserve">, die </w:t>
      </w:r>
      <w:r w:rsidR="006014AB">
        <w:t xml:space="preserve">durch Angabe von Eigenschaften </w:t>
      </w:r>
      <w:r w:rsidR="001865A8">
        <w:t xml:space="preserve">(als notwendige und </w:t>
      </w:r>
      <w:r w:rsidR="00067EE0">
        <w:t>zusammen</w:t>
      </w:r>
      <w:r w:rsidR="001865A8">
        <w:t xml:space="preserve"> hinreichende Bedingungen </w:t>
      </w:r>
      <w:r w:rsidR="00901F8D">
        <w:t>da</w:t>
      </w:r>
      <w:r w:rsidR="001865A8">
        <w:t>für</w:t>
      </w:r>
      <w:r w:rsidR="00901F8D">
        <w:t xml:space="preserve">, dass es sich um die </w:t>
      </w:r>
      <w:r w:rsidR="001865A8">
        <w:t xml:space="preserve">definierte Möglichkeit handelt) </w:t>
      </w:r>
      <w:r w:rsidR="00401300">
        <w:t xml:space="preserve">intensional </w:t>
      </w:r>
      <w:r w:rsidR="001865A8">
        <w:t xml:space="preserve">definierbar </w:t>
      </w:r>
      <w:r w:rsidR="00E14126">
        <w:t xml:space="preserve">sind, soll </w:t>
      </w:r>
      <w:r w:rsidR="00B3687C">
        <w:t>„</w:t>
      </w:r>
      <w:r w:rsidRPr="00B3687C">
        <w:t xml:space="preserve">Möglichkeitsraum </w:t>
      </w:r>
      <w:r w:rsidR="004A007D" w:rsidRPr="00B3687C">
        <w:t>für Alternativen</w:t>
      </w:r>
      <w:r w:rsidR="00B3687C">
        <w:t xml:space="preserve">“ </w:t>
      </w:r>
      <w:r>
        <w:t>genannt werden.</w:t>
      </w:r>
    </w:p>
    <w:p w:rsidR="004A007D" w:rsidRDefault="00DA7E46" w:rsidP="008628B0">
      <w:pPr>
        <w:pStyle w:val="Text"/>
        <w:ind w:firstLine="0"/>
      </w:pPr>
      <w:r>
        <w:t>Innerhalb des Modells wird der Möglichkeitsraum für Alternativen bei der Bi</w:t>
      </w:r>
      <w:r>
        <w:t>l</w:t>
      </w:r>
      <w:r>
        <w:t xml:space="preserve">dung von </w:t>
      </w:r>
      <w:r w:rsidR="00ED5BE9">
        <w:t>Alter</w:t>
      </w:r>
      <w:r w:rsidR="00ED5BE9">
        <w:softHyphen/>
        <w:t>nativen</w:t>
      </w:r>
      <w:r w:rsidR="00ED5BE9">
        <w:softHyphen/>
        <w:t>klasse</w:t>
      </w:r>
      <w:r>
        <w:t>n</w:t>
      </w:r>
      <w:r>
        <w:rPr>
          <w:rStyle w:val="Funotenzeichen"/>
        </w:rPr>
        <w:footnoteReference w:id="277"/>
      </w:r>
      <w:r>
        <w:t xml:space="preserve"> benötigt. </w:t>
      </w:r>
      <w:r w:rsidR="004A007D">
        <w:t xml:space="preserve">Dort wird er mit Hilfe der Funktion </w:t>
      </w:r>
      <w:r w:rsidR="004A007D" w:rsidRPr="004A007D">
        <w:rPr>
          <w:i/>
        </w:rPr>
        <w:t>Möglichkeitsraum_zusammenstellen</w:t>
      </w:r>
      <w:r w:rsidR="004A007D">
        <w:t xml:space="preserve"> erzeugt, die wir nicht genauer spezifizieren. Es ist nicht wichtig, wie der Möglichkeitsraum gebildet ist, solange wir davon ausgehen können, dass durch abgrenzbare Aspekte von Verhalten, Artefakten und Texten eine ausreichend genaue Beschreibung dieser Entitäten </w:t>
      </w:r>
      <w:r w:rsidR="00E1152A">
        <w:t>erfolgt</w:t>
      </w:r>
      <w:r w:rsidR="004A007D">
        <w:t>.</w:t>
      </w:r>
    </w:p>
    <w:p w:rsidR="00373141" w:rsidRDefault="00DA7E46" w:rsidP="00373141">
      <w:pPr>
        <w:pStyle w:val="Text"/>
      </w:pPr>
      <w:r>
        <w:t xml:space="preserve">Ist eine logische Spezifikation erwünscht, </w:t>
      </w:r>
      <w:r w:rsidR="00E1152A">
        <w:t xml:space="preserve">kann </w:t>
      </w:r>
      <w:r w:rsidR="00373141">
        <w:t>de</w:t>
      </w:r>
      <w:r w:rsidR="00E1152A">
        <w:t>r</w:t>
      </w:r>
      <w:r w:rsidR="00373141">
        <w:t xml:space="preserve"> </w:t>
      </w:r>
      <w:r w:rsidR="00373141" w:rsidRPr="00704A79">
        <w:t xml:space="preserve">Möglichkeitsraum für </w:t>
      </w:r>
      <w:r w:rsidR="00373141">
        <w:t xml:space="preserve">Alternativen </w:t>
      </w:r>
      <w:r w:rsidR="00373141" w:rsidRPr="001D6C49">
        <w:rPr>
          <w:i/>
        </w:rPr>
        <w:t>M</w:t>
      </w:r>
      <w:r w:rsidR="00373141">
        <w:rPr>
          <w:i/>
          <w:vertAlign w:val="subscript"/>
        </w:rPr>
        <w:t>Alt</w:t>
      </w:r>
      <w:r w:rsidR="00373141">
        <w:t xml:space="preserve"> definier</w:t>
      </w:r>
      <w:r w:rsidR="00E1152A">
        <w:t>t werden</w:t>
      </w:r>
      <w:r w:rsidR="00373141">
        <w:t xml:space="preserve">, </w:t>
      </w:r>
      <w:r w:rsidR="00E1152A">
        <w:t xml:space="preserve">indem </w:t>
      </w:r>
      <w:r w:rsidR="00373141">
        <w:t>für ‚</w:t>
      </w:r>
      <w:r w:rsidR="00373141" w:rsidRPr="005042FF">
        <w:rPr>
          <w:i/>
        </w:rPr>
        <w:t>x</w:t>
      </w:r>
      <w:r w:rsidR="00373141">
        <w:t xml:space="preserve"> ist ein durch Eigenschaften intensional definierbarer Aspekt von </w:t>
      </w:r>
      <w:r w:rsidR="00373141" w:rsidRPr="005042FF">
        <w:rPr>
          <w:i/>
        </w:rPr>
        <w:t>y</w:t>
      </w:r>
      <w:r w:rsidR="00373141">
        <w:t xml:space="preserve">‘ das </w:t>
      </w:r>
      <w:r w:rsidR="00182DC0">
        <w:t xml:space="preserve">zweistellige </w:t>
      </w:r>
      <w:r w:rsidR="00373141">
        <w:t>Prädikat</w:t>
      </w:r>
      <w:r w:rsidR="005D7996">
        <w:fldChar w:fldCharType="begin"/>
      </w:r>
      <w:r w:rsidR="00F43694">
        <w:instrText xml:space="preserve"> XE "</w:instrText>
      </w:r>
      <w:r w:rsidR="00F43694" w:rsidRPr="00F66B8C">
        <w:instrText>Prädikat</w:instrText>
      </w:r>
      <w:r w:rsidR="00F43694">
        <w:instrText xml:space="preserve">" </w:instrText>
      </w:r>
      <w:r w:rsidR="005D7996">
        <w:fldChar w:fldCharType="end"/>
      </w:r>
      <w:r w:rsidR="00373141">
        <w:t xml:space="preserve"> „IDA(</w:t>
      </w:r>
      <w:r w:rsidR="00373141" w:rsidRPr="005042FF">
        <w:rPr>
          <w:i/>
        </w:rPr>
        <w:t>x</w:t>
      </w:r>
      <w:r w:rsidR="00373141">
        <w:t xml:space="preserve">, </w:t>
      </w:r>
      <w:r w:rsidR="00373141" w:rsidRPr="005042FF">
        <w:rPr>
          <w:i/>
        </w:rPr>
        <w:t>y</w:t>
      </w:r>
      <w:r w:rsidR="00373141">
        <w:t>)</w:t>
      </w:r>
      <w:r w:rsidR="00E1152A">
        <w:t>“ eingeführt wird</w:t>
      </w:r>
      <w:r w:rsidR="00182DC0">
        <w:t xml:space="preserve"> (</w:t>
      </w:r>
      <w:r w:rsidR="006303EF">
        <w:rPr>
          <w:i/>
        </w:rPr>
        <w:t>U</w:t>
      </w:r>
      <w:r w:rsidR="00182DC0">
        <w:t xml:space="preserve"> = Diskursuniversum</w:t>
      </w:r>
      <w:r w:rsidR="005D7996">
        <w:fldChar w:fldCharType="begin"/>
      </w:r>
      <w:r w:rsidR="00E10BC4">
        <w:instrText xml:space="preserve"> XE "</w:instrText>
      </w:r>
      <w:r w:rsidR="00E10BC4" w:rsidRPr="00AC2162">
        <w:instrText>Diskursuniversum</w:instrText>
      </w:r>
      <w:r w:rsidR="00E10BC4">
        <w:instrText xml:space="preserve">" </w:instrText>
      </w:r>
      <w:r w:rsidR="005D7996">
        <w:fldChar w:fldCharType="end"/>
      </w:r>
      <w:r w:rsidR="00182DC0">
        <w:t>):</w:t>
      </w:r>
    </w:p>
    <w:p w:rsidR="008346A5" w:rsidRDefault="00373141" w:rsidP="00DF2599">
      <w:pPr>
        <w:pStyle w:val="Formel"/>
        <w:spacing w:before="240" w:after="240"/>
      </w:pPr>
      <w:r w:rsidRPr="001D6C49">
        <w:rPr>
          <w:i/>
        </w:rPr>
        <w:t>M</w:t>
      </w:r>
      <w:r>
        <w:rPr>
          <w:i/>
          <w:vertAlign w:val="subscript"/>
        </w:rPr>
        <w:t>Alt</w:t>
      </w:r>
      <w:r w:rsidRPr="001D6C49">
        <w:t xml:space="preserve"> := {</w:t>
      </w:r>
      <w:r w:rsidRPr="001D6C49">
        <w:rPr>
          <w:i/>
        </w:rPr>
        <w:t>x</w:t>
      </w:r>
      <w:r w:rsidRPr="001D6C49">
        <w:t xml:space="preserve"> </w:t>
      </w:r>
      <w:r w:rsidR="00E235A0" w:rsidRPr="00E235A0">
        <w:rPr>
          <w:rFonts w:ascii="Cambria Math" w:eastAsia="Arial Unicode MS" w:hAnsi="Cambria Math" w:cs="Arial Unicode MS"/>
        </w:rPr>
        <w:t>∊</w:t>
      </w:r>
      <w:r w:rsidR="00182DC0">
        <w:t xml:space="preserve"> </w:t>
      </w:r>
      <w:r w:rsidR="006303EF">
        <w:rPr>
          <w:i/>
        </w:rPr>
        <w:t>U</w:t>
      </w:r>
      <w:r w:rsidR="008346A5">
        <w:t xml:space="preserve"> </w:t>
      </w:r>
      <w:r w:rsidRPr="001D6C49">
        <w:t xml:space="preserve">| </w:t>
      </w:r>
      <w:r>
        <w:rPr>
          <w:rFonts w:ascii="Cambria Math" w:hAnsi="Cambria Math"/>
        </w:rPr>
        <w:t>∃</w:t>
      </w:r>
      <w:r>
        <w:rPr>
          <w:i/>
        </w:rPr>
        <w:t>y</w:t>
      </w:r>
      <w:r>
        <w:t xml:space="preserve"> (IDA(</w:t>
      </w:r>
      <w:r w:rsidRPr="005042FF">
        <w:rPr>
          <w:i/>
        </w:rPr>
        <w:t>x</w:t>
      </w:r>
      <w:r>
        <w:t xml:space="preserve">, </w:t>
      </w:r>
      <w:r w:rsidRPr="005042FF">
        <w:rPr>
          <w:i/>
        </w:rPr>
        <w:t>y</w:t>
      </w:r>
      <w:r>
        <w:t xml:space="preserve">) </w:t>
      </w:r>
      <w:r>
        <w:rPr>
          <w:rFonts w:ascii="Cambria Math" w:hAnsi="Cambria Math" w:cs="Cambria Math"/>
        </w:rPr>
        <w:t>∧</w:t>
      </w:r>
      <w:r>
        <w:t xml:space="preserve"> (Verhalten(</w:t>
      </w:r>
      <w:r w:rsidRPr="005042FF">
        <w:rPr>
          <w:i/>
        </w:rPr>
        <w:t>y</w:t>
      </w:r>
      <w:r>
        <w:t xml:space="preserve">) </w:t>
      </w:r>
      <w:r>
        <w:rPr>
          <w:rFonts w:ascii="Cambria Math" w:hAnsi="Cambria Math" w:cs="Cambria Math"/>
        </w:rPr>
        <w:t>∨</w:t>
      </w:r>
      <w:r>
        <w:t xml:space="preserve"> Artefakt(</w:t>
      </w:r>
      <w:r w:rsidRPr="005042FF">
        <w:rPr>
          <w:i/>
        </w:rPr>
        <w:t>y</w:t>
      </w:r>
      <w:r>
        <w:t xml:space="preserve">) </w:t>
      </w:r>
      <w:r>
        <w:rPr>
          <w:rFonts w:ascii="Cambria Math" w:hAnsi="Cambria Math" w:cs="Cambria Math"/>
        </w:rPr>
        <w:t>∨</w:t>
      </w:r>
      <w:r>
        <w:t xml:space="preserve"> Text(</w:t>
      </w:r>
      <w:r w:rsidRPr="005042FF">
        <w:rPr>
          <w:i/>
        </w:rPr>
        <w:t>y</w:t>
      </w:r>
      <w:r>
        <w:t>)))</w:t>
      </w:r>
      <w:r w:rsidRPr="001D6C49">
        <w:t>}</w:t>
      </w:r>
    </w:p>
    <w:p w:rsidR="00D2554C" w:rsidRDefault="00D2554C">
      <w:pPr>
        <w:pStyle w:val="Titel3"/>
      </w:pPr>
      <w:bookmarkStart w:id="171" w:name="_Ref212082822"/>
      <w:bookmarkStart w:id="172" w:name="_Toc325456725"/>
      <w:bookmarkStart w:id="173" w:name="Schema2"/>
      <w:bookmarkEnd w:id="170"/>
      <w:r>
        <w:t>Schemata</w:t>
      </w:r>
      <w:bookmarkEnd w:id="171"/>
      <w:bookmarkEnd w:id="172"/>
    </w:p>
    <w:p w:rsidR="00D2554C" w:rsidRDefault="005D7996" w:rsidP="008628B0">
      <w:pPr>
        <w:pStyle w:val="Text"/>
        <w:ind w:firstLine="0"/>
      </w:pPr>
      <w:r>
        <w:fldChar w:fldCharType="begin"/>
      </w:r>
      <w:r w:rsidR="00107580">
        <w:instrText xml:space="preserve"> XE "Schema" \r "Schema2" </w:instrText>
      </w:r>
      <w:r>
        <w:fldChar w:fldCharType="end"/>
      </w:r>
      <w:r>
        <w:fldChar w:fldCharType="begin"/>
      </w:r>
      <w:r w:rsidR="00CC0517">
        <w:instrText xml:space="preserve"> XE "Verhaltensschema" \r "Schema2" </w:instrText>
      </w:r>
      <w:r>
        <w:fldChar w:fldCharType="end"/>
      </w:r>
      <w:r>
        <w:fldChar w:fldCharType="begin"/>
      </w:r>
      <w:r w:rsidR="00A9676D">
        <w:instrText xml:space="preserve"> XE "Verhaltensschema" \t "</w:instrText>
      </w:r>
      <w:r w:rsidR="00A9676D" w:rsidRPr="00A9676D">
        <w:rPr>
          <w:i/>
        </w:rPr>
        <w:instrText>et passim</w:instrText>
      </w:r>
      <w:r w:rsidR="00A9676D">
        <w:instrText xml:space="preserve">" </w:instrText>
      </w:r>
      <w:r>
        <w:fldChar w:fldCharType="end"/>
      </w:r>
      <w:r>
        <w:fldChar w:fldCharType="begin"/>
      </w:r>
      <w:r w:rsidR="00CC0517">
        <w:instrText xml:space="preserve"> XE "Artefaktschema" \r "Schema2" </w:instrText>
      </w:r>
      <w:r>
        <w:fldChar w:fldCharType="end"/>
      </w:r>
      <w:r>
        <w:fldChar w:fldCharType="begin"/>
      </w:r>
      <w:r w:rsidR="00A9676D">
        <w:instrText xml:space="preserve"> XE "Artefaktschema" \t "</w:instrText>
      </w:r>
      <w:r w:rsidR="00A9676D" w:rsidRPr="00A9676D">
        <w:rPr>
          <w:i/>
        </w:rPr>
        <w:instrText>et passim</w:instrText>
      </w:r>
      <w:r w:rsidR="00A9676D">
        <w:instrText xml:space="preserve">" </w:instrText>
      </w:r>
      <w:r>
        <w:fldChar w:fldCharType="end"/>
      </w:r>
      <w:r>
        <w:fldChar w:fldCharType="begin"/>
      </w:r>
      <w:r w:rsidR="00CC0517">
        <w:instrText xml:space="preserve"> XE "Textschema" \r "Schema2" </w:instrText>
      </w:r>
      <w:r>
        <w:fldChar w:fldCharType="end"/>
      </w:r>
      <w:r>
        <w:fldChar w:fldCharType="begin"/>
      </w:r>
      <w:r w:rsidR="00A9676D">
        <w:instrText xml:space="preserve"> XE "Textschema" \t "</w:instrText>
      </w:r>
      <w:r w:rsidR="00A9676D" w:rsidRPr="00A9676D">
        <w:rPr>
          <w:i/>
        </w:rPr>
        <w:instrText>et passim</w:instrText>
      </w:r>
      <w:r w:rsidR="00A9676D">
        <w:instrText xml:space="preserve">" </w:instrText>
      </w:r>
      <w:r>
        <w:fldChar w:fldCharType="end"/>
      </w:r>
      <w:r w:rsidR="00D2554C">
        <w:t xml:space="preserve">Schemata haben im Modell die Funktion, eine Einteilung des Möglichkeitsraums zu liefern, auf deren Grundlage dann </w:t>
      </w:r>
      <w:r w:rsidR="00ED5BE9">
        <w:t>Alter</w:t>
      </w:r>
      <w:r w:rsidR="00ED5BE9">
        <w:softHyphen/>
        <w:t>nativen</w:t>
      </w:r>
      <w:r w:rsidR="00ED5BE9">
        <w:softHyphen/>
        <w:t>klasse</w:t>
      </w:r>
      <w:r w:rsidR="00D2554C">
        <w:t>n gebildet werden kö</w:t>
      </w:r>
      <w:r w:rsidR="00D2554C">
        <w:t>n</w:t>
      </w:r>
      <w:r w:rsidR="00D2554C">
        <w:t>nen. Dafür werden zwei Gliederungsebenen angenommen: Schema und Schem</w:t>
      </w:r>
      <w:r w:rsidR="00D2554C">
        <w:t>a</w:t>
      </w:r>
      <w:r w:rsidR="00D2554C">
        <w:t>ort. Jedes Schema teilt sich in verschiedene Schemaorte ein.</w:t>
      </w:r>
      <w:r w:rsidR="0090292A">
        <w:rPr>
          <w:rStyle w:val="Funotenzeichen"/>
        </w:rPr>
        <w:footnoteReference w:id="278"/>
      </w:r>
    </w:p>
    <w:p w:rsidR="006676A8" w:rsidRDefault="00D2554C">
      <w:pPr>
        <w:pStyle w:val="Definition"/>
      </w:pPr>
      <w:r w:rsidRPr="00CC6E60">
        <w:rPr>
          <w:bCs/>
        </w:rPr>
        <w:t>Def.</w:t>
      </w:r>
      <w:r>
        <w:rPr>
          <w:b/>
          <w:bCs/>
        </w:rPr>
        <w:tab/>
      </w:r>
      <w:r w:rsidR="005D7996">
        <w:fldChar w:fldCharType="begin"/>
      </w:r>
      <w:r w:rsidR="00D944A1">
        <w:instrText xml:space="preserve"> XE "Schema:</w:instrText>
      </w:r>
      <w:r w:rsidR="00D944A1" w:rsidRPr="0073281C">
        <w:rPr>
          <w:i/>
        </w:rPr>
        <w:instrText>Definition</w:instrText>
      </w:r>
      <w:r w:rsidR="00D944A1">
        <w:instrText xml:space="preserve">" </w:instrText>
      </w:r>
      <w:r w:rsidR="005D7996">
        <w:fldChar w:fldCharType="end"/>
      </w:r>
      <w:r>
        <w:rPr>
          <w:b/>
          <w:bCs/>
        </w:rPr>
        <w:t xml:space="preserve">Schema: </w:t>
      </w:r>
      <w:r>
        <w:t xml:space="preserve">Schemata gliedern </w:t>
      </w:r>
      <w:r w:rsidR="008346A5">
        <w:t xml:space="preserve">den </w:t>
      </w:r>
      <w:r>
        <w:t>Möglichkeitsraum</w:t>
      </w:r>
      <w:r w:rsidR="008346A5">
        <w:t xml:space="preserve"> in Klassen</w:t>
      </w:r>
      <w:r>
        <w:t xml:space="preserve"> </w:t>
      </w:r>
      <w:r w:rsidR="008346A5">
        <w:t>von Ve</w:t>
      </w:r>
      <w:r w:rsidR="008346A5">
        <w:t>r</w:t>
      </w:r>
      <w:r w:rsidR="008346A5">
        <w:t xml:space="preserve">halten, Artefakten und Texten, die </w:t>
      </w:r>
      <w:r w:rsidR="00737CC4">
        <w:t>verhaltensbiologisch und/oder kult</w:t>
      </w:r>
      <w:r w:rsidR="00737CC4">
        <w:t>u</w:t>
      </w:r>
      <w:r w:rsidR="00737CC4">
        <w:t>rell fundiert sind, kognitiv als grundlegende Gliederung dieser Weltb</w:t>
      </w:r>
      <w:r w:rsidR="00737CC4">
        <w:t>e</w:t>
      </w:r>
      <w:r w:rsidR="00737CC4">
        <w:lastRenderedPageBreak/>
        <w:t xml:space="preserve">reiche dienen und </w:t>
      </w:r>
      <w:r w:rsidR="006E7CA1">
        <w:t xml:space="preserve">in der Sprache und anderen Zeichensystemen </w:t>
      </w:r>
      <w:r w:rsidR="006A48F3">
        <w:t xml:space="preserve">meist </w:t>
      </w:r>
      <w:r w:rsidR="006E7CA1">
        <w:t>durch eigene Bezeichnungen (für das Schema und Bestandteile davon) gekennzeichnet sind.</w:t>
      </w:r>
      <w:r w:rsidR="006E7CA1" w:rsidRPr="006E7CA1">
        <w:t xml:space="preserve"> </w:t>
      </w:r>
      <w:r w:rsidR="006A48F3">
        <w:t xml:space="preserve">Schemata </w:t>
      </w:r>
      <w:r w:rsidR="001865A8">
        <w:t xml:space="preserve">liefern </w:t>
      </w:r>
      <w:r w:rsidR="006A48F3">
        <w:t>eine auf das kognitiv und/oder kulturell Wesentliche beschränkte Kategorisierung von Verhalten, Art</w:t>
      </w:r>
      <w:r w:rsidR="006A48F3">
        <w:t>e</w:t>
      </w:r>
      <w:r w:rsidR="006A48F3">
        <w:t xml:space="preserve">fakten und Texten. </w:t>
      </w:r>
      <w:r w:rsidR="006E7CA1">
        <w:t>Sie können in Bestandteile (Schemaorte) untergli</w:t>
      </w:r>
      <w:r w:rsidR="006E7CA1">
        <w:t>e</w:t>
      </w:r>
      <w:r w:rsidR="006E7CA1">
        <w:t xml:space="preserve">dert werden, die durch </w:t>
      </w:r>
      <w:r w:rsidR="001865A8">
        <w:t xml:space="preserve">die Angabe von </w:t>
      </w:r>
      <w:r w:rsidR="006E7CA1">
        <w:t>Eigenschaften abgrenzbar sind.</w:t>
      </w:r>
    </w:p>
    <w:p w:rsidR="006E7CA1" w:rsidRDefault="006E7CA1" w:rsidP="008628B0">
      <w:pPr>
        <w:pStyle w:val="Text"/>
        <w:ind w:firstLine="0"/>
      </w:pPr>
      <w:r>
        <w:t>Ein Schema unterdeterminiert seine Realisierungen, stellt also nur eine allgeme</w:t>
      </w:r>
      <w:r>
        <w:t>i</w:t>
      </w:r>
      <w:r>
        <w:t>ne Beschreibung zur Verfügung, die sich in der Welt in Form vollständig b</w:t>
      </w:r>
      <w:r>
        <w:t>e</w:t>
      </w:r>
      <w:r>
        <w:t>stimmter Verhalten, Artefakte oder Texte ausdrückt und kognitiv die Einteilung des Wahrgenommenen bestimmt.</w:t>
      </w:r>
    </w:p>
    <w:p w:rsidR="00D2554C" w:rsidRDefault="006E7CA1">
      <w:pPr>
        <w:pStyle w:val="Text"/>
      </w:pPr>
      <w:r>
        <w:t xml:space="preserve">Die </w:t>
      </w:r>
      <w:r w:rsidR="00D2554C">
        <w:t xml:space="preserve">Aufgabe </w:t>
      </w:r>
      <w:r>
        <w:t xml:space="preserve">von Schemata </w:t>
      </w:r>
      <w:r w:rsidR="00D2554C">
        <w:t>innerhalb der Theorie besteht darin, die Welt auf eine Art zu gliedern, die über den wiederholbaren Zugriff auf eine abstrakte Gliederungsebene eine Vergleichbarkeit verschiedener konkreter Aspekte e</w:t>
      </w:r>
      <w:r w:rsidR="00D2554C">
        <w:t>r</w:t>
      </w:r>
      <w:r w:rsidR="00D2554C">
        <w:t xml:space="preserve">möglicht. Daher können viele Details (etwa die </w:t>
      </w:r>
      <w:r w:rsidR="003E496B">
        <w:t xml:space="preserve">Relation zu anderen </w:t>
      </w:r>
      <w:r w:rsidR="00D2554C">
        <w:t xml:space="preserve">Schemata </w:t>
      </w:r>
      <w:r w:rsidR="003E496B">
        <w:t xml:space="preserve">in einem bestimmten Weltbereich, </w:t>
      </w:r>
      <w:r w:rsidR="00D2554C">
        <w:t xml:space="preserve">die Frage nach der Existenz </w:t>
      </w:r>
      <w:r w:rsidR="001E1FC0">
        <w:t xml:space="preserve">zusätzlicher </w:t>
      </w:r>
      <w:r w:rsidR="00D2554C">
        <w:t>Glied</w:t>
      </w:r>
      <w:r w:rsidR="00D2554C">
        <w:t>e</w:t>
      </w:r>
      <w:r w:rsidR="00D2554C">
        <w:t>rungsebenen</w:t>
      </w:r>
      <w:r w:rsidR="003E496B">
        <w:t xml:space="preserve">, </w:t>
      </w:r>
      <w:r w:rsidR="001E1FC0">
        <w:t xml:space="preserve">also </w:t>
      </w:r>
      <w:r w:rsidR="003E496B">
        <w:t xml:space="preserve">von </w:t>
      </w:r>
      <w:r w:rsidR="00D2554C">
        <w:t>Unterschemata</w:t>
      </w:r>
      <w:r w:rsidR="005D7996">
        <w:fldChar w:fldCharType="begin"/>
      </w:r>
      <w:r w:rsidR="00F67AF9">
        <w:instrText xml:space="preserve"> XE "</w:instrText>
      </w:r>
      <w:r w:rsidR="00F67AF9" w:rsidRPr="006C4B66">
        <w:instrText>Unterschema</w:instrText>
      </w:r>
      <w:r w:rsidR="00F67AF9">
        <w:instrText xml:space="preserve">" </w:instrText>
      </w:r>
      <w:r w:rsidR="005D7996">
        <w:fldChar w:fldCharType="end"/>
      </w:r>
      <w:r w:rsidR="00D2554C">
        <w:t xml:space="preserve">; usw.) offen gelassen werden. Solange klar ist, dass eine Gliederung des fraglichen </w:t>
      </w:r>
      <w:r w:rsidR="008346A5">
        <w:t>B</w:t>
      </w:r>
      <w:r w:rsidR="00D2554C">
        <w:t xml:space="preserve">ereichs in Schemata und </w:t>
      </w:r>
      <w:r w:rsidR="00991EFC">
        <w:t>ihre Bestan</w:t>
      </w:r>
      <w:r w:rsidR="00991EFC">
        <w:t>d</w:t>
      </w:r>
      <w:r w:rsidR="00991EFC">
        <w:t>teile (</w:t>
      </w:r>
      <w:r w:rsidR="00D2554C">
        <w:t>Schemaorte</w:t>
      </w:r>
      <w:r w:rsidR="00991EFC">
        <w:t>)</w:t>
      </w:r>
      <w:r w:rsidR="00D2554C">
        <w:t xml:space="preserve"> möglich ist, reicht dies auf theoretischer Ebene aus. </w:t>
      </w:r>
      <w:r w:rsidR="003101A8">
        <w:t xml:space="preserve">In der Praxis führen unterschiedliche Vorstellungen über die Gliederung eines Schemas </w:t>
      </w:r>
      <w:r w:rsidR="00D2554C">
        <w:t xml:space="preserve">bei </w:t>
      </w:r>
      <w:r w:rsidR="00C75387">
        <w:t>Stilanwender</w:t>
      </w:r>
      <w:r w:rsidR="00D2554C">
        <w:t xml:space="preserve"> und </w:t>
      </w:r>
      <w:r w:rsidR="00C75387">
        <w:t>Stilwahrnehmer</w:t>
      </w:r>
      <w:r w:rsidR="00D2554C">
        <w:t xml:space="preserve"> </w:t>
      </w:r>
      <w:r w:rsidR="003101A8">
        <w:t xml:space="preserve">allerdings zu einer ungenauen </w:t>
      </w:r>
      <w:r w:rsidR="00D2554C">
        <w:t>Übermit</w:t>
      </w:r>
      <w:r w:rsidR="00D2554C">
        <w:t>t</w:t>
      </w:r>
      <w:r w:rsidR="00D2554C">
        <w:t xml:space="preserve">lung </w:t>
      </w:r>
      <w:r w:rsidR="003101A8">
        <w:t>des Stils, einige oder alle Merkmalsregeln werden dann falsch oder gar nicht mehr ausgelesen.</w:t>
      </w:r>
    </w:p>
    <w:p w:rsidR="00614506" w:rsidRDefault="00D2554C">
      <w:pPr>
        <w:pStyle w:val="Text"/>
      </w:pPr>
      <w:r>
        <w:t>Es sollen drei Arten von Schemata angenommen werden: (1) Verhalten</w:t>
      </w:r>
      <w:r>
        <w:t>s</w:t>
      </w:r>
      <w:r>
        <w:t>schemata,</w:t>
      </w:r>
      <w:bookmarkStart w:id="174" w:name="_Ref262467300"/>
      <w:r>
        <w:rPr>
          <w:rStyle w:val="Funotenzeichen"/>
        </w:rPr>
        <w:footnoteReference w:id="279"/>
      </w:r>
      <w:bookmarkEnd w:id="174"/>
      <w:r>
        <w:t xml:space="preserve"> (2) Artefaktschemata und (3) Textschemata. Es handelt sich um logisch nicht gleichgeordnete Kategorien</w:t>
      </w:r>
      <w:r w:rsidR="00D64C46">
        <w:t xml:space="preserve">. </w:t>
      </w:r>
      <w:r w:rsidR="00614506">
        <w:t>Bei Verhalten kann generell zwischen Ausführung und Ergebnis unterschieden werden. Wir sprechen allerdings statt von Verhaltensausführung einfach von Verhalten; die Verhaltensschemata (1) sind also Verhaltensausführungsschemata. Zu manchen Verhaltensweisen gibt es auch Verhaltensergebnisschemata:</w:t>
      </w:r>
      <w:r w:rsidR="00F50A98">
        <w:rPr>
          <w:rStyle w:val="Funotenzeichen"/>
        </w:rPr>
        <w:footnoteReference w:id="280"/>
      </w:r>
      <w:r w:rsidR="00614506">
        <w:t xml:space="preserve"> Zu diesen gehören (2) Artefaktschemata und (3) Textschemata. </w:t>
      </w:r>
      <w:r w:rsidR="00D64C46">
        <w:t>Texte sind eine Unterkategorie von Artefakten, daher sind auch die Textschemata (3) eine Unterkategorie der Artefaktschemata (2).</w:t>
      </w:r>
    </w:p>
    <w:p w:rsidR="00D2554C" w:rsidRDefault="00D2554C">
      <w:pPr>
        <w:pStyle w:val="Text"/>
      </w:pPr>
      <w:r>
        <w:t>Schemata werden hier nicht als ausschließlich konventionelle kulturelle Verhaltensfestlegungen verstanden, wie dies häufig der Fall ist. Tatsächlich ist die hier vorgenommene Beschrei</w:t>
      </w:r>
      <w:r w:rsidR="009F6888">
        <w:t>bung grundlegender. So wird etwa</w:t>
      </w:r>
      <w:r>
        <w:t xml:space="preserve"> das Autofa</w:t>
      </w:r>
      <w:r>
        <w:t>h</w:t>
      </w:r>
      <w:r>
        <w:t xml:space="preserve">ren von uns als Schema beschrieben, dessen Schemaorte </w:t>
      </w:r>
      <w:r w:rsidR="007E3D6D">
        <w:t>‚</w:t>
      </w:r>
      <w:r>
        <w:t>Anfahren</w:t>
      </w:r>
      <w:r w:rsidR="007E3D6D">
        <w:t>‘</w:t>
      </w:r>
      <w:r>
        <w:t xml:space="preserve">, </w:t>
      </w:r>
      <w:r w:rsidR="007E3D6D">
        <w:t>‚</w:t>
      </w:r>
      <w:r>
        <w:t>Beschleun</w:t>
      </w:r>
      <w:r>
        <w:t>i</w:t>
      </w:r>
      <w:r>
        <w:t>gen</w:t>
      </w:r>
      <w:r w:rsidR="007E3D6D">
        <w:t>‘</w:t>
      </w:r>
      <w:r>
        <w:t xml:space="preserve">, </w:t>
      </w:r>
      <w:r w:rsidR="007E3D6D">
        <w:t>‚eine Straße entlangfahren‘</w:t>
      </w:r>
      <w:r>
        <w:t xml:space="preserve">, </w:t>
      </w:r>
      <w:r w:rsidR="007E3D6D">
        <w:t>‚</w:t>
      </w:r>
      <w:r>
        <w:t>Bremsen</w:t>
      </w:r>
      <w:r w:rsidR="007E3D6D">
        <w:t>‘</w:t>
      </w:r>
      <w:r>
        <w:t xml:space="preserve">, </w:t>
      </w:r>
      <w:r w:rsidR="007E3D6D">
        <w:t>‚</w:t>
      </w:r>
      <w:r>
        <w:t>(links/rechts) Abbiegen</w:t>
      </w:r>
      <w:r w:rsidR="007E3D6D">
        <w:t>‘</w:t>
      </w:r>
      <w:r>
        <w:t xml:space="preserve">, </w:t>
      </w:r>
      <w:r w:rsidR="007E3D6D">
        <w:t>‚</w:t>
      </w:r>
      <w:r>
        <w:t>Überh</w:t>
      </w:r>
      <w:r>
        <w:t>o</w:t>
      </w:r>
      <w:r>
        <w:t>len</w:t>
      </w:r>
      <w:r w:rsidR="007E3D6D">
        <w:t>‘</w:t>
      </w:r>
      <w:r>
        <w:t xml:space="preserve">, </w:t>
      </w:r>
      <w:r w:rsidR="007E3D6D">
        <w:t>‚</w:t>
      </w:r>
      <w:r>
        <w:t>Anhalten</w:t>
      </w:r>
      <w:r w:rsidR="007E3D6D">
        <w:t>‘</w:t>
      </w:r>
      <w:r>
        <w:t xml:space="preserve">, </w:t>
      </w:r>
      <w:r w:rsidR="007E3D6D">
        <w:t>‚</w:t>
      </w:r>
      <w:r>
        <w:t>Einparken</w:t>
      </w:r>
      <w:r w:rsidR="007E3D6D">
        <w:t>‘</w:t>
      </w:r>
      <w:r>
        <w:t xml:space="preserve"> usw. sind (die Schemaorte können je nach notwe</w:t>
      </w:r>
      <w:r>
        <w:t>n</w:t>
      </w:r>
      <w:r>
        <w:lastRenderedPageBreak/>
        <w:t xml:space="preserve">diger Beschreibungsgenauigkeit auch weiter spezifiziert werden, etwa </w:t>
      </w:r>
      <w:r w:rsidR="007E3D6D">
        <w:t>‚eine A</w:t>
      </w:r>
      <w:r w:rsidR="007E3D6D">
        <w:t>u</w:t>
      </w:r>
      <w:r w:rsidR="007E3D6D">
        <w:t>tobahn/Landstraße/Straße im Ort entlangfahren‘</w:t>
      </w:r>
      <w:r>
        <w:t xml:space="preserve">). </w:t>
      </w:r>
      <w:r w:rsidR="00DC6A93">
        <w:t>Durch Vergleiche mit For</w:t>
      </w:r>
      <w:r w:rsidR="00DC6A93">
        <w:t>t</w:t>
      </w:r>
      <w:r w:rsidR="00DC6A93">
        <w:t xml:space="preserve">bewegungsweisen in anderen Kulturen und Zeiten wird sichtbar, dass dieses Schema viel </w:t>
      </w:r>
      <w:r>
        <w:t xml:space="preserve">Konventionalität </w:t>
      </w:r>
      <w:r w:rsidR="00DC6A93">
        <w:t>enthält</w:t>
      </w:r>
      <w:r>
        <w:t xml:space="preserve">, doch </w:t>
      </w:r>
      <w:r w:rsidR="00DC6A93">
        <w:t xml:space="preserve">zeigt sich bei genauerer Überlegung, </w:t>
      </w:r>
      <w:r>
        <w:t xml:space="preserve">dass auch logische Bedingungen in das Schema und seine Unterteilung eingehen, die mit den spezifischen Eigenschaften dieses Verhaltens (etwa </w:t>
      </w:r>
      <w:r w:rsidR="007E3D6D">
        <w:t>‚</w:t>
      </w:r>
      <w:r>
        <w:t>Anfahren</w:t>
      </w:r>
      <w:r w:rsidR="007E3D6D">
        <w:t>‘</w:t>
      </w:r>
      <w:r>
        <w:t xml:space="preserve"> und </w:t>
      </w:r>
      <w:r w:rsidR="007E3D6D">
        <w:t>‚</w:t>
      </w:r>
      <w:r>
        <w:t>Anhalten</w:t>
      </w:r>
      <w:r w:rsidR="007E3D6D">
        <w:t>‘</w:t>
      </w:r>
      <w:r>
        <w:t xml:space="preserve"> als mit einem Fahrzeug ausgeführte Varianten der notwendigen A</w:t>
      </w:r>
      <w:r>
        <w:t>n</w:t>
      </w:r>
      <w:r>
        <w:t xml:space="preserve">fangs- und Endpunkte einer Ortsveränderung) zu tun haben; anders sieht es bei </w:t>
      </w:r>
      <w:r w:rsidR="007E3D6D">
        <w:t>‚</w:t>
      </w:r>
      <w:r>
        <w:t>Einparken</w:t>
      </w:r>
      <w:r w:rsidR="007E3D6D">
        <w:t>‘</w:t>
      </w:r>
      <w:r>
        <w:t xml:space="preserve"> aus, das mit den konventionellen Regeln über das Abstellen von Fahrzeugen zu tun hat (ohne Unterscheidung zwischen Park- und Fahrbere</w:t>
      </w:r>
      <w:r>
        <w:t>i</w:t>
      </w:r>
      <w:r>
        <w:t xml:space="preserve">chen auf Straßen gäbe es kein </w:t>
      </w:r>
      <w:r w:rsidR="007E3D6D">
        <w:t>‚</w:t>
      </w:r>
      <w:r>
        <w:t>Einparken</w:t>
      </w:r>
      <w:r w:rsidR="007E3D6D">
        <w:t>‘</w:t>
      </w:r>
      <w:r>
        <w:t>).</w:t>
      </w:r>
    </w:p>
    <w:p w:rsidR="003802EA" w:rsidRDefault="00D2554C">
      <w:pPr>
        <w:pStyle w:val="Text"/>
      </w:pPr>
      <w:r>
        <w:t xml:space="preserve">Bei Verhaltensschemata wie </w:t>
      </w:r>
      <w:r w:rsidR="007E3D6D">
        <w:t>‚</w:t>
      </w:r>
      <w:r>
        <w:t>Gehen</w:t>
      </w:r>
      <w:r w:rsidR="007E3D6D">
        <w:t>‘</w:t>
      </w:r>
      <w:r>
        <w:t xml:space="preserve">, </w:t>
      </w:r>
      <w:r w:rsidR="007E3D6D">
        <w:t>‚</w:t>
      </w:r>
      <w:r>
        <w:t>Laufen</w:t>
      </w:r>
      <w:r w:rsidR="007E3D6D">
        <w:t>‘</w:t>
      </w:r>
      <w:r>
        <w:t xml:space="preserve"> oder </w:t>
      </w:r>
      <w:r w:rsidR="007E3D6D">
        <w:t>‚</w:t>
      </w:r>
      <w:r>
        <w:t>Werfen</w:t>
      </w:r>
      <w:r w:rsidR="007E3D6D">
        <w:t>‘</w:t>
      </w:r>
      <w:r>
        <w:t xml:space="preserve"> dagegen geht weniger Konventionalität in das Schema ein. So ist </w:t>
      </w:r>
      <w:r w:rsidR="007E3D6D">
        <w:t>beispielsweise ‚</w:t>
      </w:r>
      <w:r>
        <w:t>Werfen</w:t>
      </w:r>
      <w:r w:rsidR="007E3D6D">
        <w:t>‘</w:t>
      </w:r>
      <w:r>
        <w:t xml:space="preserve"> ein Vorgang, der durch bestimmte Bedingungen (ein Gegenstand wird mit einer oder beiden Händen gefasst, in Bewegung versetzt und </w:t>
      </w:r>
      <w:r w:rsidR="003802EA">
        <w:t xml:space="preserve">auf eine Art </w:t>
      </w:r>
      <w:r>
        <w:t>losgelassen</w:t>
      </w:r>
      <w:r w:rsidR="003802EA">
        <w:t>, die ihn ein Stück weit durch die Luft bewegt</w:t>
      </w:r>
      <w:r>
        <w:t xml:space="preserve">) gekennzeichnet ist, während alle Konventionen, die es dafür gibt, bereits als </w:t>
      </w:r>
      <w:r w:rsidR="003C7A60">
        <w:t>Alternativen</w:t>
      </w:r>
      <w:r w:rsidR="00A91C6E">
        <w:t xml:space="preserve"> </w:t>
      </w:r>
      <w:r>
        <w:t xml:space="preserve">bei der Realisierung des Schemas gelten können. </w:t>
      </w:r>
      <w:r w:rsidR="003802EA">
        <w:t xml:space="preserve">Wie auch immer man wirft, man hat immer das Schema </w:t>
      </w:r>
      <w:r w:rsidR="007348DC">
        <w:t>‚</w:t>
      </w:r>
      <w:r w:rsidR="003802EA">
        <w:t>Werfen</w:t>
      </w:r>
      <w:r w:rsidR="007348DC">
        <w:t>‘</w:t>
      </w:r>
      <w:r w:rsidR="003802EA">
        <w:t xml:space="preserve"> realisiert.</w:t>
      </w:r>
    </w:p>
    <w:p w:rsidR="00D2554C" w:rsidRDefault="00D2554C">
      <w:pPr>
        <w:pStyle w:val="Text"/>
      </w:pPr>
      <w:r>
        <w:t>Das genaue Verhältnis von Konventionalität und logischer Notwendigkeit in den Schemata kann hier nicht allgemein geklärt werden</w:t>
      </w:r>
      <w:r w:rsidR="003802EA">
        <w:t xml:space="preserve">, es muss für einzelne Schemabereiche untersucht werden. </w:t>
      </w:r>
      <w:r>
        <w:t xml:space="preserve">Wichtig ist, dass es sich bei Schemata im hier verwendeten Sinn um eine </w:t>
      </w:r>
      <w:r>
        <w:rPr>
          <w:i/>
        </w:rPr>
        <w:t>grundlegende Beschreibung der im Bereich des menschlichen (und manchmal auch tierischen)</w:t>
      </w:r>
      <w:r>
        <w:rPr>
          <w:rStyle w:val="Funotenzeichen"/>
          <w:i/>
        </w:rPr>
        <w:footnoteReference w:id="281"/>
      </w:r>
      <w:r>
        <w:rPr>
          <w:i/>
        </w:rPr>
        <w:t xml:space="preserve"> Verhaltens stattfindenden Prozesse</w:t>
      </w:r>
      <w:r>
        <w:t xml:space="preserve"> handelt, also nicht nur um eine Beschreibung von Konventionen; ja dass diese sogar nur dann eingehen, wenn sie für die grundsätzliche Beschreibung des en</w:t>
      </w:r>
      <w:r>
        <w:t>t</w:t>
      </w:r>
      <w:r>
        <w:t xml:space="preserve">sprechenden Vorgangs notwendig sind, während spezifische Konventionen meist schon in den Bereich der </w:t>
      </w:r>
      <w:r w:rsidR="00F90728">
        <w:t>Alternativen bei der Realisierung</w:t>
      </w:r>
      <w:r>
        <w:t xml:space="preserve"> fa</w:t>
      </w:r>
      <w:r w:rsidR="00CD485F">
        <w:t>llen (in dem auch das Phänomen Stil</w:t>
      </w:r>
      <w:r>
        <w:t xml:space="preserve"> auftritt).</w:t>
      </w:r>
    </w:p>
    <w:p w:rsidR="00D2554C" w:rsidRDefault="00D2554C">
      <w:pPr>
        <w:pStyle w:val="Text"/>
      </w:pPr>
      <w:r>
        <w:t>Artefakte sind Verhaltensergebnisse in einer bestimmten Kategorie des Verhaltens, nämlich absichtlichem Verhalten,</w:t>
      </w:r>
      <w:bookmarkStart w:id="175" w:name="_Ref213645518"/>
      <w:r>
        <w:rPr>
          <w:rStyle w:val="Funotenzeichen"/>
        </w:rPr>
        <w:footnoteReference w:id="282"/>
      </w:r>
      <w:bookmarkEnd w:id="175"/>
      <w:r>
        <w:t xml:space="preserve"> und Texte sind eine bestimmte Kategorie von Artefakten. Doch diese beiden Bereiche haben eine solche Wic</w:t>
      </w:r>
      <w:r>
        <w:t>h</w:t>
      </w:r>
      <w:r>
        <w:t xml:space="preserve">tigkeit im menschlichen Verhalten eingenommen, dass sie ihre eigenen Regeln </w:t>
      </w:r>
      <w:r>
        <w:lastRenderedPageBreak/>
        <w:t xml:space="preserve">und Konventionen entwickelt haben und für </w:t>
      </w:r>
      <w:r w:rsidR="003B295A">
        <w:t xml:space="preserve">ihre </w:t>
      </w:r>
      <w:r>
        <w:t>Schemata besondere Bedi</w:t>
      </w:r>
      <w:r>
        <w:t>n</w:t>
      </w:r>
      <w:r>
        <w:t>gungen gelten.</w:t>
      </w:r>
    </w:p>
    <w:p w:rsidR="00D2554C" w:rsidRDefault="00D2554C">
      <w:pPr>
        <w:pStyle w:val="Text"/>
      </w:pPr>
      <w:r>
        <w:t>Zu (2), Artefaktschemata: Artefakte werden meist nach Schemata betrac</w:t>
      </w:r>
      <w:r>
        <w:t>h</w:t>
      </w:r>
      <w:r>
        <w:t xml:space="preserve">tet, die </w:t>
      </w:r>
      <w:r>
        <w:rPr>
          <w:i/>
        </w:rPr>
        <w:t>unabhängig vom Verhalten sind, dessen Ergebnis diese Artefakte sind:</w:t>
      </w:r>
      <w:r>
        <w:t xml:space="preserve"> Ein Haus wird beispielsweise unabhängig von dem genauen Bauvorgang betrachtet, dessen Ergebnis es ist. Allerdings können natürlich auch bei anderen Verha</w:t>
      </w:r>
      <w:r>
        <w:t>l</w:t>
      </w:r>
      <w:r>
        <w:t>tensweisen (z.B. Gehen) Verhaltensergebnisse betrachtet werden (z.B. Fußsta</w:t>
      </w:r>
      <w:r>
        <w:t>p</w:t>
      </w:r>
      <w:r>
        <w:t>fen), die wiederum Rückschlüsse auf das Gehen erlauben (z.B. Schrittlänge; G</w:t>
      </w:r>
      <w:r>
        <w:t>e</w:t>
      </w:r>
      <w:r>
        <w:t>wicht), während andere Eigenschaften der Verhaltensweise sich nicht im Erge</w:t>
      </w:r>
      <w:r>
        <w:t>b</w:t>
      </w:r>
      <w:r>
        <w:t>nis abbilden (z.B. die genaue Bewegung des Beins, während es nicht den Boden berührt). Doch die gewöhnlich vorgenommene Schematisierung ist hier die des Verhaltens selbst (des Gehens).</w:t>
      </w:r>
    </w:p>
    <w:p w:rsidR="00D2554C" w:rsidRDefault="00D2554C">
      <w:pPr>
        <w:pStyle w:val="Text"/>
      </w:pPr>
      <w:r>
        <w:t xml:space="preserve">Dagegen ist beim Hausbau die gewöhnlich vorgenommene Schematisierung die des Verhaltensergebnisses, wobei also bestimmte Teile des Verhaltens selbst bereits verloren gegangen sind (z.B. das Tempo </w:t>
      </w:r>
      <w:r w:rsidR="003802EA">
        <w:t xml:space="preserve">und die Reihenfolge </w:t>
      </w:r>
      <w:r>
        <w:t>der Bauau</w:t>
      </w:r>
      <w:r>
        <w:t>s</w:t>
      </w:r>
      <w:r>
        <w:t>führung, besondere Vorkommnisse auf der Baustelle, Abweichungen zwischen Plan und Ausführung, verwendete Instrumente usw. – all dies natürlich nur, insoweit es nicht das Verhaltensergebnis beeinflusst und damit aus diesem able</w:t>
      </w:r>
      <w:r>
        <w:t>s</w:t>
      </w:r>
      <w:r>
        <w:t>bar ist). Zwar kann man auch das Verhalten schematisieren, doch ist dies weniger üblich</w:t>
      </w:r>
      <w:r w:rsidR="003802EA">
        <w:t xml:space="preserve">: Mit </w:t>
      </w:r>
      <w:r w:rsidR="009D74A6">
        <w:t xml:space="preserve">den dabei auftretenden </w:t>
      </w:r>
      <w:r w:rsidR="00444CC7">
        <w:t>Stilen, die man „</w:t>
      </w:r>
      <w:r>
        <w:t>Bauausführung</w:t>
      </w:r>
      <w:r w:rsidR="00444CC7">
        <w:t>sstile“</w:t>
      </w:r>
      <w:r>
        <w:t xml:space="preserve"> oder </w:t>
      </w:r>
      <w:r w:rsidR="00444CC7">
        <w:t>„</w:t>
      </w:r>
      <w:r>
        <w:t>Baustellenstile</w:t>
      </w:r>
      <w:r w:rsidR="00444CC7">
        <w:t>“</w:t>
      </w:r>
      <w:r>
        <w:t xml:space="preserve"> </w:t>
      </w:r>
      <w:r w:rsidR="00444CC7">
        <w:t xml:space="preserve">nennen könnte, beschäftigen </w:t>
      </w:r>
      <w:r w:rsidR="003802EA">
        <w:t xml:space="preserve">wir uns </w:t>
      </w:r>
      <w:r>
        <w:t xml:space="preserve">weit seltener als </w:t>
      </w:r>
      <w:r w:rsidR="003802EA">
        <w:t xml:space="preserve">mit </w:t>
      </w:r>
      <w:r w:rsidR="00444CC7">
        <w:t>„</w:t>
      </w:r>
      <w:r>
        <w:t>Ba</w:t>
      </w:r>
      <w:r>
        <w:t>u</w:t>
      </w:r>
      <w:r>
        <w:t>stile</w:t>
      </w:r>
      <w:r w:rsidR="003802EA">
        <w:t>n</w:t>
      </w:r>
      <w:r w:rsidR="00444CC7">
        <w:t>“</w:t>
      </w:r>
      <w:r w:rsidR="009D74A6">
        <w:t xml:space="preserve">, worunter wir Stile verstehen, die an einem </w:t>
      </w:r>
      <w:r>
        <w:t xml:space="preserve">Ergebnis des Verhaltens </w:t>
      </w:r>
      <w:r w:rsidR="007348DC">
        <w:t>‚</w:t>
      </w:r>
      <w:r>
        <w:t>Ba</w:t>
      </w:r>
      <w:r>
        <w:t>u</w:t>
      </w:r>
      <w:r>
        <w:t>en</w:t>
      </w:r>
      <w:r w:rsidR="007348DC">
        <w:t>‘</w:t>
      </w:r>
      <w:r w:rsidR="009D74A6">
        <w:t xml:space="preserve"> feststellbar sind.</w:t>
      </w:r>
      <w:r>
        <w:t xml:space="preserve"> Schon </w:t>
      </w:r>
      <w:r w:rsidR="009D74A6">
        <w:t>die Bezeichnung „Baustil</w:t>
      </w:r>
      <w:r w:rsidR="005D7996">
        <w:fldChar w:fldCharType="begin"/>
      </w:r>
      <w:r w:rsidR="00CA2D60">
        <w:instrText xml:space="preserve"> XE "</w:instrText>
      </w:r>
      <w:r w:rsidR="00CA2D60" w:rsidRPr="0060585F">
        <w:instrText>Baustil</w:instrText>
      </w:r>
      <w:r w:rsidR="00CA2D60">
        <w:instrText xml:space="preserve">" </w:instrText>
      </w:r>
      <w:r w:rsidR="005D7996">
        <w:fldChar w:fldCharType="end"/>
      </w:r>
      <w:r w:rsidR="009D74A6">
        <w:t xml:space="preserve">“ </w:t>
      </w:r>
      <w:r>
        <w:t xml:space="preserve">deutet </w:t>
      </w:r>
      <w:r w:rsidR="009D74A6">
        <w:t xml:space="preserve">dabei </w:t>
      </w:r>
      <w:r>
        <w:t>an, dass wir das Verhaltensergebnis gegenüber dem Verhalten privilegieren, schließlic</w:t>
      </w:r>
      <w:r w:rsidR="007348DC">
        <w:t>h kön</w:t>
      </w:r>
      <w:r w:rsidR="007348DC">
        <w:t>n</w:t>
      </w:r>
      <w:r w:rsidR="007348DC">
        <w:t>te man auch präziser von „</w:t>
      </w:r>
      <w:r>
        <w:t xml:space="preserve">Gebäudestil“ sprechen und </w:t>
      </w:r>
      <w:r w:rsidR="009D74A6">
        <w:t xml:space="preserve">Stile beim </w:t>
      </w:r>
      <w:r>
        <w:t>Verhalten selbst als „Baustil“ bezeichnen.</w:t>
      </w:r>
      <w:r w:rsidR="00427983">
        <w:rPr>
          <w:rStyle w:val="Funotenzeichen"/>
        </w:rPr>
        <w:footnoteReference w:id="283"/>
      </w:r>
    </w:p>
    <w:p w:rsidR="00D2554C" w:rsidRDefault="00D2554C">
      <w:pPr>
        <w:pStyle w:val="Text"/>
      </w:pPr>
      <w:r>
        <w:t xml:space="preserve">Wir entschließen uns daher dazu, eine zweite Sorte von </w:t>
      </w:r>
      <w:r w:rsidR="008346A5">
        <w:t xml:space="preserve">Elementen </w:t>
      </w:r>
      <w:r>
        <w:t>für den stilistisch relevanten 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xml:space="preserve"> einzuführen. Es handelt sich um Art</w:t>
      </w:r>
      <w:r>
        <w:t>e</w:t>
      </w:r>
      <w:r>
        <w:t>fakte – genauer gesagt, um alle Aspekte von Artefakten, die durch Angabe von Eigenschaften intensional definiert werden können (z.B. Teile, Gestaltung, M</w:t>
      </w:r>
      <w:r>
        <w:t>a</w:t>
      </w:r>
      <w:r>
        <w:t>terialien, Ausführungsweisen und Formen von Artefakten).</w:t>
      </w:r>
    </w:p>
    <w:p w:rsidR="00D2554C" w:rsidRDefault="00D2554C">
      <w:pPr>
        <w:pStyle w:val="Text"/>
      </w:pPr>
      <w:r>
        <w:t xml:space="preserve">Zu (3), Textschemata: Texte sollen als </w:t>
      </w:r>
      <w:r w:rsidR="004A1B5D">
        <w:t xml:space="preserve">Ergebnisse von </w:t>
      </w:r>
      <w:r>
        <w:t>Zeichen</w:t>
      </w:r>
      <w:r w:rsidR="00F52681">
        <w:t>gebrauch</w:t>
      </w:r>
      <w:r>
        <w:t xml:space="preserve"> auf Basis von Zeichensystemen</w:t>
      </w:r>
      <w:r>
        <w:rPr>
          <w:rStyle w:val="Funotenzeichen"/>
        </w:rPr>
        <w:footnoteReference w:id="284"/>
      </w:r>
      <w:r>
        <w:t xml:space="preserve"> definiert werden. Dabei handelt es sich um eine </w:t>
      </w:r>
      <w:r>
        <w:lastRenderedPageBreak/>
        <w:t>Kategorie des Verhaltens, das außerordentliche Wichtigkeit für unser Zusa</w:t>
      </w:r>
      <w:r>
        <w:t>m</w:t>
      </w:r>
      <w:r>
        <w:t>menleben erlangt hat. Auch hier wird das Ergebnis häufig als wichtiger anges</w:t>
      </w:r>
      <w:r>
        <w:t>e</w:t>
      </w:r>
      <w:r>
        <w:t xml:space="preserve">hen als der Vorgang selbst. Die Ergebnisse </w:t>
      </w:r>
      <w:r w:rsidR="004A1B5D">
        <w:t>solche</w:t>
      </w:r>
      <w:r w:rsidR="00F52681">
        <w:t>n</w:t>
      </w:r>
      <w:r w:rsidR="004A1B5D">
        <w:t xml:space="preserve"> </w:t>
      </w:r>
      <w:r>
        <w:t>Zeichen</w:t>
      </w:r>
      <w:r w:rsidR="00F52681">
        <w:t xml:space="preserve">gebrauchs </w:t>
      </w:r>
      <w:r>
        <w:t xml:space="preserve">sollen hier </w:t>
      </w:r>
      <w:r w:rsidR="00F52681">
        <w:t>„</w:t>
      </w:r>
      <w:r>
        <w:t>Texte</w:t>
      </w:r>
      <w:r w:rsidR="00F52681">
        <w:t>“</w:t>
      </w:r>
      <w:r>
        <w:t xml:space="preserve"> genannt werden, wobei zu beachten ist, dass diese </w:t>
      </w:r>
      <w:r w:rsidR="00F52681">
        <w:t xml:space="preserve">Verwendungsweise </w:t>
      </w:r>
      <w:r>
        <w:t xml:space="preserve">wesentlich weiter als </w:t>
      </w:r>
      <w:r w:rsidR="001F36F6">
        <w:t xml:space="preserve">die </w:t>
      </w:r>
      <w:r>
        <w:t xml:space="preserve">übliche ist, da </w:t>
      </w:r>
      <w:r w:rsidR="001F36F6">
        <w:t xml:space="preserve">sie </w:t>
      </w:r>
      <w:r>
        <w:t>nicht nur nicht-schriftliche sprachl</w:t>
      </w:r>
      <w:r>
        <w:t>i</w:t>
      </w:r>
      <w:r>
        <w:t xml:space="preserve">che </w:t>
      </w:r>
      <w:r w:rsidR="001F36F6">
        <w:t>Äußerungen</w:t>
      </w:r>
      <w:r>
        <w:t xml:space="preserve">, sondern auch alle anderen Arten von </w:t>
      </w:r>
      <w:r w:rsidR="00F52681">
        <w:t>Zeichengebrauch</w:t>
      </w:r>
      <w:r>
        <w:t xml:space="preserve"> auf der Basis von Zeichensystemen einschließt. Texte werden in der Kulturtheorie von Roland Posner zu den Artefakten gerechnet.</w:t>
      </w:r>
      <w:r w:rsidR="00BB68DE">
        <w:rPr>
          <w:rStyle w:val="Funotenzeichen"/>
        </w:rPr>
        <w:footnoteReference w:id="285"/>
      </w:r>
      <w:r>
        <w:t xml:space="preserve"> Es läge daher nahe, Texte unter (2) zu fassen. Dennoch werden sie hier als 3. Kategorie von Schemata betrachtet.</w:t>
      </w:r>
    </w:p>
    <w:p w:rsidR="00D2554C" w:rsidRDefault="00D2554C">
      <w:pPr>
        <w:pStyle w:val="Text"/>
      </w:pPr>
      <w:r>
        <w:t>Dies hängt damit zusammen, dass bei Texten einige Besonderheiten gelten. Hier werden beispielsweise die Zusatzbedingungen dazu verwendet, die wichtige Bedingung der Inhaltsgleichheit auszudrücken: Der unabhängig von der konkr</w:t>
      </w:r>
      <w:r>
        <w:t>e</w:t>
      </w:r>
      <w:r>
        <w:t xml:space="preserve">ten Formulierung ausgedrückte Inhalt kommt jedem Satz als Eigenschaft zu; es lässt sich also mit Hilfe von inhaltlichen </w:t>
      </w:r>
      <w:r w:rsidR="00E668C5">
        <w:t>B</w:t>
      </w:r>
      <w:r>
        <w:t xml:space="preserve">edingungen ein bestimmter Inhalt spezifizieren, so dass in der </w:t>
      </w:r>
      <w:r w:rsidR="00ED5BE9">
        <w:t>Alter</w:t>
      </w:r>
      <w:r w:rsidR="00ED5BE9">
        <w:softHyphen/>
        <w:t>nativen</w:t>
      </w:r>
      <w:r w:rsidR="00ED5BE9">
        <w:softHyphen/>
        <w:t>klasse</w:t>
      </w:r>
      <w:r>
        <w:t xml:space="preserve"> die (unter den Bedingungen von S</w:t>
      </w:r>
      <w:r w:rsidR="00672CB0">
        <w:t>chema und Schemaort) gegebenen</w:t>
      </w:r>
      <w:r>
        <w:t xml:space="preserve"> Alternativen für den Ausdruck dieses Inhalts zu finden sind. Eine andere Besonderheit von Texten besteht darin, dass Ze</w:t>
      </w:r>
      <w:r>
        <w:t>i</w:t>
      </w:r>
      <w:r>
        <w:t>chensysteme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t xml:space="preserve"> Bildungsregeln (sogenannte „syntaktische Regeln“) enthalten, die ebenfalls zumeist in die Bildung der </w:t>
      </w:r>
      <w:r w:rsidR="00ED5BE9">
        <w:t>Alter</w:t>
      </w:r>
      <w:r w:rsidR="00ED5BE9">
        <w:softHyphen/>
        <w:t>nativen</w:t>
      </w:r>
      <w:r w:rsidR="00ED5BE9">
        <w:softHyphen/>
        <w:t>klasse</w:t>
      </w:r>
      <w:r>
        <w:t>n eingehen. Hier bietet es sich jedoch an, sie bereits in den Schemaorten zu spezifizieren. Wenn wir etwa eine bestimmte Textgattung als Schema annehmen, kann ganz allgemein die Bi</w:t>
      </w:r>
      <w:r>
        <w:t>l</w:t>
      </w:r>
      <w:r>
        <w:t>dung syntaktisch korrekter Sätze als ein Schemaort angenommen werden, wobei die inhaltlichen Bedingungen für jeden einzelnen zu bildenden Satz den en</w:t>
      </w:r>
      <w:r>
        <w:t>t</w:t>
      </w:r>
      <w:r>
        <w:t xml:space="preserve">scheidenden Unterschied bei der Bildung der </w:t>
      </w:r>
      <w:r w:rsidR="00ED5BE9">
        <w:t>Alter</w:t>
      </w:r>
      <w:r w:rsidR="00ED5BE9">
        <w:softHyphen/>
        <w:t>nativen</w:t>
      </w:r>
      <w:r w:rsidR="00ED5BE9">
        <w:softHyphen/>
        <w:t>klasse</w:t>
      </w:r>
      <w:r>
        <w:t xml:space="preserve"> machen. (Als weitere Schemaorte wären auf einer</w:t>
      </w:r>
      <w:r w:rsidR="00751D48">
        <w:t xml:space="preserve"> übergeordn</w:t>
      </w:r>
      <w:r>
        <w:t>eten Beschreibungsebene</w:t>
      </w:r>
      <w:r w:rsidR="005D7996">
        <w:fldChar w:fldCharType="begin"/>
      </w:r>
      <w:r w:rsidR="000623C8">
        <w:instrText xml:space="preserve"> XE "</w:instrText>
      </w:r>
      <w:r w:rsidR="000623C8" w:rsidRPr="00D31CD7">
        <w:rPr>
          <w:szCs w:val="17"/>
        </w:rPr>
        <w:instrText>Beschreibungsebene</w:instrText>
      </w:r>
      <w:r w:rsidR="000623C8">
        <w:instrText xml:space="preserve">" </w:instrText>
      </w:r>
      <w:r w:rsidR="005D7996">
        <w:fldChar w:fldCharType="end"/>
      </w:r>
      <w:r>
        <w:t xml:space="preserve"> sin</w:t>
      </w:r>
      <w:r>
        <w:t>n</w:t>
      </w:r>
      <w:r>
        <w:t xml:space="preserve">vollerweise die Inhaltsauswahl – die dann die inhaltlichen Bedingungen für die satzbezogenen </w:t>
      </w:r>
      <w:r w:rsidR="00ED5BE9">
        <w:t>Alter</w:t>
      </w:r>
      <w:r w:rsidR="00ED5BE9">
        <w:softHyphen/>
        <w:t>nativen</w:t>
      </w:r>
      <w:r w:rsidR="00ED5BE9">
        <w:softHyphen/>
        <w:t>klasse</w:t>
      </w:r>
      <w:r>
        <w:t>n spezifiziert – sowie die Gesamtgliederung des Textes, Absätze und andere textlinguistische Auswahlmöglichkeiten anz</w:t>
      </w:r>
      <w:r>
        <w:t>u</w:t>
      </w:r>
      <w:r>
        <w:t>nehmen; auf einer untergeordneten Beschreibungsebene die Paradigmen b</w:t>
      </w:r>
      <w:r>
        <w:t>e</w:t>
      </w:r>
      <w:r>
        <w:t>stimmter Wort- oder Morphemklassen.)</w:t>
      </w:r>
      <w:r>
        <w:rPr>
          <w:rStyle w:val="Funotenzeichen"/>
        </w:rPr>
        <w:footnoteReference w:id="286"/>
      </w:r>
    </w:p>
    <w:bookmarkStart w:id="176" w:name="Verhaltensergebnis"/>
    <w:p w:rsidR="00D2554C" w:rsidRDefault="005D7996">
      <w:pPr>
        <w:pStyle w:val="Text"/>
      </w:pPr>
      <w:r>
        <w:lastRenderedPageBreak/>
        <w:fldChar w:fldCharType="begin"/>
      </w:r>
      <w:r w:rsidR="00E6448E">
        <w:instrText xml:space="preserve"> XE "Verhaltensergebnisschema" \r "Verhaltensergebnis" </w:instrText>
      </w:r>
      <w:r>
        <w:fldChar w:fldCharType="end"/>
      </w:r>
      <w:r w:rsidR="00D2554C">
        <w:t>Wie bereits oben betont wurde, handelt es sich bei der getroffenen Unte</w:t>
      </w:r>
      <w:r w:rsidR="00D2554C">
        <w:t>r</w:t>
      </w:r>
      <w:r w:rsidR="00D2554C">
        <w:t xml:space="preserve">scheidung zwischen verschiedenen Schemata nicht um logisch gleichgeordnete Kategorien. Die Artefaktschemata (2) </w:t>
      </w:r>
      <w:r w:rsidR="00974D27">
        <w:t xml:space="preserve">und die Textschemata (3) gehören zu den Verhaltensergebnissschemata. Verhaltensergebnisschemata </w:t>
      </w:r>
      <w:r w:rsidR="00E55325">
        <w:t xml:space="preserve">werden </w:t>
      </w:r>
      <w:r w:rsidR="00974D27">
        <w:t>jedoch nicht in die Verhaltensschemata aufgenommen</w:t>
      </w:r>
      <w:r w:rsidR="00E55325">
        <w:t>.</w:t>
      </w:r>
      <w:r w:rsidR="00974D27">
        <w:rPr>
          <w:rStyle w:val="Funotenzeichen"/>
        </w:rPr>
        <w:footnoteReference w:id="287"/>
      </w:r>
      <w:r w:rsidR="00974D27">
        <w:t xml:space="preserve"> </w:t>
      </w:r>
      <w:r w:rsidR="00E55325">
        <w:t xml:space="preserve">Zu jedem Artefakt- und Textschema gibt es jedoch entsprechende Verhaltensschema, die die Erzeugung des Artefakts oder Texts beschreiben und zu (1) gehören. </w:t>
      </w:r>
      <w:r w:rsidR="009C2E36">
        <w:t>Für</w:t>
      </w:r>
      <w:r w:rsidR="00E55325">
        <w:t xml:space="preserve"> </w:t>
      </w:r>
      <w:r w:rsidR="009C2E36">
        <w:t xml:space="preserve">Artefakt- und Textschemata </w:t>
      </w:r>
      <w:r w:rsidR="00E55325">
        <w:t xml:space="preserve">gibt es </w:t>
      </w:r>
      <w:r w:rsidR="00F72E32">
        <w:t xml:space="preserve">zudem </w:t>
      </w:r>
      <w:r w:rsidR="009C2E36">
        <w:t>spezifische</w:t>
      </w:r>
      <w:r w:rsidR="00F72E32">
        <w:t xml:space="preserve"> Art</w:t>
      </w:r>
      <w:r w:rsidR="009C2E36">
        <w:t>en</w:t>
      </w:r>
      <w:r w:rsidR="00F72E32">
        <w:t xml:space="preserve"> von Zusatzbedingungen: Während Kontextb</w:t>
      </w:r>
      <w:r w:rsidR="00F72E32">
        <w:t>e</w:t>
      </w:r>
      <w:r w:rsidR="00F72E32">
        <w:t>dingungen</w:t>
      </w:r>
      <w:bookmarkStart w:id="177" w:name="_Ref289356832"/>
      <w:r>
        <w:fldChar w:fldCharType="begin"/>
      </w:r>
      <w:r w:rsidR="00D92A29">
        <w:instrText xml:space="preserve"> XE "</w:instrText>
      </w:r>
      <w:r w:rsidR="00D92A29" w:rsidRPr="00280AB6">
        <w:instrText>Kontextbedingungen</w:instrText>
      </w:r>
      <w:r w:rsidR="00D92A29">
        <w:instrText xml:space="preserve">" </w:instrText>
      </w:r>
      <w:r>
        <w:fldChar w:fldCharType="end"/>
      </w:r>
      <w:r w:rsidR="00F72E32">
        <w:rPr>
          <w:rStyle w:val="Funotenzeichen"/>
        </w:rPr>
        <w:footnoteReference w:id="288"/>
      </w:r>
      <w:bookmarkEnd w:id="177"/>
      <w:r w:rsidR="00F72E32">
        <w:t xml:space="preserve"> bei allen Schemata auftreten, gibt es bei (2) und (3) auch </w:t>
      </w:r>
      <w:r w:rsidR="00D2554C">
        <w:t>funktion</w:t>
      </w:r>
      <w:r w:rsidR="00D2554C">
        <w:t>a</w:t>
      </w:r>
      <w:r w:rsidR="00D2554C">
        <w:t>le Bedingungen</w:t>
      </w:r>
      <w:bookmarkStart w:id="178" w:name="_Ref260912415"/>
      <w:r>
        <w:fldChar w:fldCharType="begin"/>
      </w:r>
      <w:r w:rsidR="00D92A29">
        <w:instrText xml:space="preserve"> XE "</w:instrText>
      </w:r>
      <w:r w:rsidR="00D92A29" w:rsidRPr="00DB4D56">
        <w:instrText>funktionale Bedingungen</w:instrText>
      </w:r>
      <w:r w:rsidR="00D92A29">
        <w:instrText xml:space="preserve">" </w:instrText>
      </w:r>
      <w:r>
        <w:fldChar w:fldCharType="end"/>
      </w:r>
      <w:r w:rsidR="00F72E32">
        <w:t>.</w:t>
      </w:r>
      <w:bookmarkStart w:id="179" w:name="_Ref289356930"/>
      <w:r w:rsidR="000C0A52">
        <w:rPr>
          <w:rStyle w:val="Funotenzeichen"/>
        </w:rPr>
        <w:footnoteReference w:id="289"/>
      </w:r>
      <w:bookmarkEnd w:id="178"/>
      <w:bookmarkEnd w:id="179"/>
      <w:r w:rsidR="00F72E32">
        <w:t xml:space="preserve"> </w:t>
      </w:r>
      <w:r w:rsidR="00D2554C">
        <w:t xml:space="preserve">Die Textschemata (3) </w:t>
      </w:r>
      <w:r w:rsidR="00E55325">
        <w:t xml:space="preserve">sind </w:t>
      </w:r>
      <w:r w:rsidR="00D2554C">
        <w:t xml:space="preserve">eine Unterkategorie von (2), bei </w:t>
      </w:r>
      <w:r w:rsidR="00D2554C">
        <w:lastRenderedPageBreak/>
        <w:t xml:space="preserve">der </w:t>
      </w:r>
      <w:r w:rsidR="00E92C34">
        <w:t xml:space="preserve">wiederum </w:t>
      </w:r>
      <w:r w:rsidR="00D2554C">
        <w:t xml:space="preserve">eine </w:t>
      </w:r>
      <w:r w:rsidR="004321FD">
        <w:t xml:space="preserve">weitere </w:t>
      </w:r>
      <w:r w:rsidR="00D2554C">
        <w:t>Art von Zusatzbedingungen auftritt, nämlich inhaltl</w:t>
      </w:r>
      <w:r w:rsidR="00D2554C">
        <w:t>i</w:t>
      </w:r>
      <w:r w:rsidR="00D2554C">
        <w:t>che Bedingungen</w:t>
      </w:r>
      <w:r>
        <w:fldChar w:fldCharType="begin"/>
      </w:r>
      <w:r w:rsidR="00D92A29">
        <w:instrText xml:space="preserve"> XE "</w:instrText>
      </w:r>
      <w:r w:rsidR="00D92A29" w:rsidRPr="007605F5">
        <w:instrText>inhaltliche Bedingungen</w:instrText>
      </w:r>
      <w:r w:rsidR="00D92A29">
        <w:instrText xml:space="preserve">" </w:instrText>
      </w:r>
      <w:r>
        <w:fldChar w:fldCharType="end"/>
      </w:r>
      <w:r w:rsidR="00D2554C">
        <w:t>.</w:t>
      </w:r>
      <w:bookmarkStart w:id="180" w:name="_Ref261706886"/>
      <w:r w:rsidR="004321FD">
        <w:rPr>
          <w:rStyle w:val="Funotenzeichen"/>
        </w:rPr>
        <w:footnoteReference w:id="290"/>
      </w:r>
      <w:bookmarkEnd w:id="180"/>
    </w:p>
    <w:p w:rsidR="00D2554C" w:rsidRDefault="00D2554C">
      <w:pPr>
        <w:pStyle w:val="Text"/>
      </w:pPr>
      <w:r>
        <w:t>Somit ist die hier vorgenommene Unterscheidung zwischen (1) Verhalten</w:t>
      </w:r>
      <w:r>
        <w:t>s</w:t>
      </w:r>
      <w:r>
        <w:t xml:space="preserve">schemata, (2) Artefaktschemata und (3) Textschemata nicht </w:t>
      </w:r>
      <w:r w:rsidR="00524904">
        <w:t xml:space="preserve">absolut </w:t>
      </w:r>
      <w:r>
        <w:t>notwendig</w:t>
      </w:r>
      <w:r w:rsidR="00524904">
        <w:t>. Letztere gehören zu den Artefaktschemata, wir bräuchten also keine eigene K</w:t>
      </w:r>
      <w:r w:rsidR="00524904">
        <w:t>a</w:t>
      </w:r>
      <w:r w:rsidR="00524904">
        <w:t>tegorie für sie einzuführen. Beide könnten zudem zu den Verhaltensschemata gerechnet werden, wenn man diese so weit fassen würde, dass Verhaltens</w:t>
      </w:r>
      <w:r w:rsidR="00CE29A9">
        <w:t>erge</w:t>
      </w:r>
      <w:r w:rsidR="00CE29A9">
        <w:t>b</w:t>
      </w:r>
      <w:r w:rsidR="00CE29A9">
        <w:t>nis</w:t>
      </w:r>
      <w:r w:rsidR="00524904">
        <w:t xml:space="preserve">schemata dazu gehören. Die Einteilung </w:t>
      </w:r>
      <w:r>
        <w:t xml:space="preserve">bildet </w:t>
      </w:r>
      <w:r w:rsidR="00524904">
        <w:t xml:space="preserve">jedoch </w:t>
      </w:r>
      <w:r>
        <w:t xml:space="preserve">Unterscheidungen ab, die sich in unserem alltäglichen Sprechen und Denken über </w:t>
      </w:r>
      <w:r w:rsidR="003F62F1">
        <w:t>S</w:t>
      </w:r>
      <w:r>
        <w:t>chemata spiegelt</w:t>
      </w:r>
      <w:r w:rsidR="005D6F9D">
        <w:t xml:space="preserve">. </w:t>
      </w:r>
      <w:r w:rsidR="00C904BA">
        <w:t xml:space="preserve">Obwohl es logisch richtig ist, sind wir nicht daran gewöhnt, </w:t>
      </w:r>
      <w:r w:rsidR="003C7B86">
        <w:t xml:space="preserve">alle Schemata als Verhaltensschemata </w:t>
      </w:r>
      <w:r w:rsidR="00C904BA">
        <w:t>zu beschreiben</w:t>
      </w:r>
      <w:r w:rsidR="003C7B86">
        <w:t xml:space="preserve">, </w:t>
      </w:r>
      <w:r w:rsidR="00C904BA">
        <w:t xml:space="preserve">wobei </w:t>
      </w:r>
      <w:r w:rsidR="003C7B86">
        <w:t xml:space="preserve">dann </w:t>
      </w:r>
      <w:r w:rsidR="003F339C">
        <w:t xml:space="preserve">beispielsweise </w:t>
      </w:r>
      <w:r>
        <w:t>Architektu</w:t>
      </w:r>
      <w:r>
        <w:t>r</w:t>
      </w:r>
      <w:r>
        <w:t>s</w:t>
      </w:r>
      <w:r w:rsidR="005E4D2B">
        <w:t>chemata</w:t>
      </w:r>
      <w:r>
        <w:t xml:space="preserve"> als „Verhaltensergebnisschemata bei gebäudeerzeugendem Verhal</w:t>
      </w:r>
      <w:r w:rsidR="005E4D2B">
        <w:t xml:space="preserve">ten“ oder </w:t>
      </w:r>
      <w:r w:rsidR="003C7B86">
        <w:t>Literatur</w:t>
      </w:r>
      <w:r w:rsidR="005E4D2B">
        <w:t>schemata</w:t>
      </w:r>
      <w:r>
        <w:t xml:space="preserve"> als „Verhaltensergebnisschemata bei </w:t>
      </w:r>
      <w:r w:rsidR="003C7B86">
        <w:t>literatur</w:t>
      </w:r>
      <w:r>
        <w:t>erzeuge</w:t>
      </w:r>
      <w:r>
        <w:t>n</w:t>
      </w:r>
      <w:r>
        <w:t xml:space="preserve">dem Verhalten“ </w:t>
      </w:r>
      <w:r w:rsidR="00C904BA">
        <w:t>klassifiziert werden</w:t>
      </w:r>
      <w:r w:rsidR="00944D03">
        <w:t xml:space="preserve"> müssen</w:t>
      </w:r>
      <w:r>
        <w:t xml:space="preserve">. Wir verzichten </w:t>
      </w:r>
      <w:r w:rsidR="003C7B86">
        <w:t xml:space="preserve">daher </w:t>
      </w:r>
      <w:r>
        <w:t>darauf, die Rückführung auf allgemeine Verhaltensschemata bei jedem Schema in Namen</w:t>
      </w:r>
      <w:r>
        <w:t>s</w:t>
      </w:r>
      <w:r>
        <w:t xml:space="preserve">gebung und Beschreibung einzubeziehen, sondern </w:t>
      </w:r>
      <w:r w:rsidR="003C7B86">
        <w:t>definieren lieber die zusätzl</w:t>
      </w:r>
      <w:r w:rsidR="003C7B86">
        <w:t>i</w:t>
      </w:r>
      <w:r w:rsidR="003C7B86">
        <w:t xml:space="preserve">chen Kategorien Artefaktschemata und Textschemata. </w:t>
      </w:r>
      <w:r>
        <w:t>Damit nähern wir uns der kognitiven Realität der Schemaverwendung an.</w:t>
      </w:r>
      <w:r w:rsidR="00C904BA">
        <w:rPr>
          <w:rStyle w:val="Funotenzeichen"/>
        </w:rPr>
        <w:footnoteReference w:id="291"/>
      </w:r>
      <w:r>
        <w:t xml:space="preserve"> Parallel dazu können wir nun die Zusatzbedingungen in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61371E">
        <w:t xml:space="preserve"> (</w:t>
      </w:r>
      <w:r w:rsidR="006676A8">
        <w:t>neben si</w:t>
      </w:r>
      <w:r w:rsidR="000F6EF8">
        <w:t xml:space="preserve">tuationsspezifischen Umständen gehört dazu auch das </w:t>
      </w:r>
      <w:r w:rsidR="0061371E">
        <w:t>Ziel des Verhaltens)</w:t>
      </w:r>
      <w:r>
        <w:t>,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t xml:space="preserve"> sowie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 xml:space="preserve"> unterteilen, wobei funktionale Bedingungen nur bei (2) und inhaltliche Bedingungen </w:t>
      </w:r>
      <w:r w:rsidR="00A02F86">
        <w:t xml:space="preserve">vorwiegend </w:t>
      </w:r>
      <w:r>
        <w:t>bei (3) vorkommen. Diese U</w:t>
      </w:r>
      <w:r>
        <w:t>n</w:t>
      </w:r>
      <w:r>
        <w:t>terscheidung ist plausibel, da die Rolle der Funktion bei (vielen) Artefakten und die Rolle des Inhalts bei (vielen) Texten nicht nur spezifisch beschreibbar ist, sondern auch bei diesen Schemata eine besondere Relevanz hat.</w:t>
      </w:r>
      <w:r>
        <w:rPr>
          <w:rStyle w:val="Funotenzeichen"/>
        </w:rPr>
        <w:footnoteReference w:id="292"/>
      </w:r>
    </w:p>
    <w:p w:rsidR="00D2554C" w:rsidRDefault="00D2554C">
      <w:pPr>
        <w:pStyle w:val="Titel3"/>
      </w:pPr>
      <w:bookmarkStart w:id="181" w:name="_Ref212111029"/>
      <w:bookmarkStart w:id="182" w:name="_Toc325456726"/>
      <w:bookmarkStart w:id="183" w:name="Schemaort"/>
      <w:bookmarkEnd w:id="173"/>
      <w:bookmarkEnd w:id="176"/>
      <w:r>
        <w:lastRenderedPageBreak/>
        <w:t>Schemaorte</w:t>
      </w:r>
      <w:bookmarkEnd w:id="181"/>
      <w:bookmarkEnd w:id="182"/>
    </w:p>
    <w:p w:rsidR="00D2554C" w:rsidRDefault="004F5D0D">
      <w:pPr>
        <w:pStyle w:val="Definition"/>
      </w:pPr>
      <w:r w:rsidRPr="00CC6E60">
        <w:rPr>
          <w:bCs/>
        </w:rPr>
        <w:t>Def.</w:t>
      </w:r>
      <w:r w:rsidR="00D2554C">
        <w:rPr>
          <w:b/>
          <w:bCs/>
        </w:rPr>
        <w:tab/>
      </w:r>
      <w:r w:rsidR="005D7996">
        <w:fldChar w:fldCharType="begin"/>
      </w:r>
      <w:r w:rsidR="00D944A1">
        <w:instrText xml:space="preserve"> XE "Schemaort:</w:instrText>
      </w:r>
      <w:r w:rsidR="00D944A1" w:rsidRPr="0073281C">
        <w:rPr>
          <w:i/>
        </w:rPr>
        <w:instrText>Definition</w:instrText>
      </w:r>
      <w:r w:rsidR="00D944A1">
        <w:instrText xml:space="preserve">" </w:instrText>
      </w:r>
      <w:r w:rsidR="005D7996">
        <w:fldChar w:fldCharType="end"/>
      </w:r>
      <w:r w:rsidR="00D2554C">
        <w:rPr>
          <w:b/>
          <w:bCs/>
        </w:rPr>
        <w:t xml:space="preserve">Schemaort: </w:t>
      </w:r>
      <w:r w:rsidR="00D2554C">
        <w:t xml:space="preserve">Ein Schema gliedert sich in Schemaorte. </w:t>
      </w:r>
      <w:r w:rsidR="008020DF">
        <w:t xml:space="preserve">Schemaorte sind einzelne, </w:t>
      </w:r>
      <w:r w:rsidR="00D2554C">
        <w:t xml:space="preserve">durch spezifische Eigenschaften </w:t>
      </w:r>
      <w:r w:rsidR="0008264D">
        <w:t xml:space="preserve">abgrenzbare </w:t>
      </w:r>
      <w:r w:rsidR="00D2554C">
        <w:t>Aspekte von Verhaltensweisen, Artefakten oder Texten</w:t>
      </w:r>
      <w:r w:rsidR="0008264D">
        <w:t xml:space="preserve"> des jeweiligen Schemas</w:t>
      </w:r>
      <w:r w:rsidR="00D2554C">
        <w:t>. Diese Eigenschaften</w:t>
      </w:r>
      <w:r w:rsidR="002B6746">
        <w:t xml:space="preserve"> bilden notwendige und </w:t>
      </w:r>
      <w:r w:rsidR="00067EE0">
        <w:t>zusammen</w:t>
      </w:r>
      <w:r w:rsidR="002B6746">
        <w:t xml:space="preserve"> hinreichende Bedi</w:t>
      </w:r>
      <w:r w:rsidR="002B6746">
        <w:t>n</w:t>
      </w:r>
      <w:r w:rsidR="002B6746">
        <w:t xml:space="preserve">gungen dafür, dass es sich bei einem Element des Möglichkeitsraums um den definierten Schemaort handelt; sie werden als </w:t>
      </w:r>
      <w:r w:rsidR="00A56335">
        <w:t>„</w:t>
      </w:r>
      <w:r w:rsidR="00AD2226">
        <w:t>Schemaort-d</w:t>
      </w:r>
      <w:r w:rsidR="00A56335">
        <w:t>efinierende Eigenschaften</w:t>
      </w:r>
      <w:r w:rsidR="005D7996">
        <w:fldChar w:fldCharType="begin"/>
      </w:r>
      <w:r w:rsidR="00D6214C">
        <w:instrText xml:space="preserve"> XE "</w:instrText>
      </w:r>
      <w:r w:rsidR="00D6214C" w:rsidRPr="00424A9B">
        <w:instrText>Eigenschaften:Schemaort-definierende</w:instrText>
      </w:r>
      <w:r w:rsidR="00D6214C">
        <w:instrText xml:space="preserve">" </w:instrText>
      </w:r>
      <w:r w:rsidR="005D7996">
        <w:fldChar w:fldCharType="end"/>
      </w:r>
      <w:r w:rsidR="00A56335">
        <w:t>“</w:t>
      </w:r>
      <w:r w:rsidR="002B6746">
        <w:t xml:space="preserve"> bezeichnet</w:t>
      </w:r>
      <w:r w:rsidR="00A56335">
        <w:t>.</w:t>
      </w:r>
    </w:p>
    <w:p w:rsidR="000749D0" w:rsidRDefault="005D7996" w:rsidP="00D45524">
      <w:pPr>
        <w:pStyle w:val="Text"/>
        <w:ind w:firstLine="0"/>
      </w:pPr>
      <w:r>
        <w:fldChar w:fldCharType="begin"/>
      </w:r>
      <w:r w:rsidR="00107580">
        <w:instrText xml:space="preserve"> XE "Schemaort" \r "Schemaort" </w:instrText>
      </w:r>
      <w:r>
        <w:fldChar w:fldCharType="end"/>
      </w:r>
      <w:r>
        <w:fldChar w:fldCharType="begin"/>
      </w:r>
      <w:r w:rsidR="00F67AF9">
        <w:instrText xml:space="preserve"> XE "Schemaort" \t "</w:instrText>
      </w:r>
      <w:r w:rsidR="00015942">
        <w:rPr>
          <w:i/>
        </w:rPr>
        <w:instrText>et passim</w:instrText>
      </w:r>
      <w:r w:rsidR="00F67AF9">
        <w:instrText xml:space="preserve">" </w:instrText>
      </w:r>
      <w:r>
        <w:fldChar w:fldCharType="end"/>
      </w:r>
      <w:r w:rsidR="00F7731A">
        <w:t>Schemaorte können als Abstraktion gemeinsamer Aspekte aus den Realisieru</w:t>
      </w:r>
      <w:r w:rsidR="00F7731A">
        <w:t>n</w:t>
      </w:r>
      <w:r w:rsidR="00F7731A">
        <w:t xml:space="preserve">gen, die einem bestimmten Schema zugeordnet werden, </w:t>
      </w:r>
      <w:r w:rsidR="00473AA2">
        <w:t xml:space="preserve">gebildet </w:t>
      </w:r>
      <w:r w:rsidR="00F7731A">
        <w:t>werden.</w:t>
      </w:r>
      <w:r w:rsidR="000749D0">
        <w:t xml:space="preserve"> Zu einem erheblichen Teil </w:t>
      </w:r>
      <w:r w:rsidR="00473AA2">
        <w:t xml:space="preserve">sind </w:t>
      </w:r>
      <w:r w:rsidR="000749D0">
        <w:t>solche Abstraktionen jedoch bereits konven</w:t>
      </w:r>
      <w:r w:rsidR="00717CE0">
        <w:softHyphen/>
      </w:r>
      <w:r w:rsidR="000749D0">
        <w:t>tionali</w:t>
      </w:r>
      <w:r w:rsidR="00717CE0">
        <w:softHyphen/>
      </w:r>
      <w:r w:rsidR="000749D0">
        <w:t xml:space="preserve">siert und müssen </w:t>
      </w:r>
      <w:r w:rsidR="00473AA2">
        <w:t xml:space="preserve">daher </w:t>
      </w:r>
      <w:r w:rsidR="000749D0">
        <w:t>nicht bei jeder Realisierung eines Schemas oder Betrac</w:t>
      </w:r>
      <w:r w:rsidR="000749D0">
        <w:t>h</w:t>
      </w:r>
      <w:r w:rsidR="000749D0">
        <w:t xml:space="preserve">tung einer Realisierung neu </w:t>
      </w:r>
      <w:r w:rsidR="00473AA2">
        <w:t>vorgenommen werden</w:t>
      </w:r>
      <w:r w:rsidR="000749D0">
        <w:t xml:space="preserve">. </w:t>
      </w:r>
      <w:r w:rsidR="00473AA2">
        <w:t xml:space="preserve">Oft </w:t>
      </w:r>
      <w:r w:rsidR="000749D0">
        <w:t xml:space="preserve">gibt es auch feste </w:t>
      </w:r>
      <w:r w:rsidR="002676EE">
        <w:t>B</w:t>
      </w:r>
      <w:r w:rsidR="002676EE">
        <w:t>e</w:t>
      </w:r>
      <w:r w:rsidR="002676EE">
        <w:t xml:space="preserve">zeichnungen </w:t>
      </w:r>
      <w:r w:rsidR="000749D0">
        <w:t>für solche konventionalisierten Schemaorte</w:t>
      </w:r>
      <w:r w:rsidR="00473AA2">
        <w:t>, dies ist aber nicht i</w:t>
      </w:r>
      <w:r w:rsidR="00473AA2">
        <w:t>m</w:t>
      </w:r>
      <w:r w:rsidR="00473AA2">
        <w:t>mer der Fall.</w:t>
      </w:r>
      <w:bookmarkStart w:id="184" w:name="_Ref290460805"/>
      <w:r w:rsidR="00473AA2">
        <w:rPr>
          <w:rStyle w:val="Funotenzeichen"/>
        </w:rPr>
        <w:footnoteReference w:id="293"/>
      </w:r>
      <w:bookmarkEnd w:id="184"/>
    </w:p>
    <w:p w:rsidR="000749D0" w:rsidRDefault="00F7731A">
      <w:pPr>
        <w:pStyle w:val="Text"/>
      </w:pPr>
      <w:r>
        <w:t xml:space="preserve">Für die formale Darstellung werden </w:t>
      </w:r>
      <w:r w:rsidR="00DF1942">
        <w:t xml:space="preserve">Schemaorte </w:t>
      </w:r>
      <w:r>
        <w:t xml:space="preserve">als Bestandteile eines Schemas </w:t>
      </w:r>
      <w:r w:rsidR="004502A0">
        <w:t>aufgefasst</w:t>
      </w:r>
      <w:r w:rsidR="00450DF2">
        <w:t>.</w:t>
      </w:r>
      <w:r w:rsidR="00736307">
        <w:t xml:space="preserve"> </w:t>
      </w:r>
      <w:r w:rsidR="008916E8">
        <w:t>Ein Schema besteht dabei aus einer Menge von Sc</w:t>
      </w:r>
      <w:r w:rsidR="00C72BA5">
        <w:t>hemao</w:t>
      </w:r>
      <w:r w:rsidR="00C72BA5">
        <w:t>r</w:t>
      </w:r>
      <w:r w:rsidR="00C72BA5">
        <w:t>ten, die durch Schemaortb</w:t>
      </w:r>
      <w:r w:rsidR="008916E8">
        <w:t xml:space="preserve">edingungen definiert sind (vgl. Abschnitt </w:t>
      </w:r>
      <w:r w:rsidR="005D7996">
        <w:fldChar w:fldCharType="begin"/>
      </w:r>
      <w:r w:rsidR="008916E8">
        <w:instrText xml:space="preserve"> REF _Ref212125573 \r \h </w:instrText>
      </w:r>
      <w:r w:rsidR="005D7996">
        <w:fldChar w:fldCharType="separate"/>
      </w:r>
      <w:r w:rsidR="001231D3">
        <w:t>4.2.6</w:t>
      </w:r>
      <w:r w:rsidR="005D7996">
        <w:fldChar w:fldCharType="end"/>
      </w:r>
      <w:r w:rsidR="008916E8">
        <w:t xml:space="preserve">). </w:t>
      </w:r>
      <w:r w:rsidR="003314A9">
        <w:t>Die Schemaorte übernehmen dabei zugleich die Funktion der Definition und B</w:t>
      </w:r>
      <w:r w:rsidR="003314A9">
        <w:t>e</w:t>
      </w:r>
      <w:r w:rsidR="003314A9">
        <w:t>schreibung des Schemas, das ansonsten nur einen Namen und eine Sortenb</w:t>
      </w:r>
      <w:r w:rsidR="003314A9">
        <w:t>e</w:t>
      </w:r>
      <w:r w:rsidR="003314A9">
        <w:t>zeichnung e</w:t>
      </w:r>
      <w:r w:rsidR="00833326">
        <w:t>r</w:t>
      </w:r>
      <w:r w:rsidR="003314A9">
        <w:t>hält.</w:t>
      </w:r>
      <w:r w:rsidR="001B5C8A">
        <w:rPr>
          <w:rStyle w:val="Funotenzeichen"/>
        </w:rPr>
        <w:footnoteReference w:id="294"/>
      </w:r>
    </w:p>
    <w:p w:rsidR="00D2554C" w:rsidRPr="00DD0752" w:rsidRDefault="00D2554C">
      <w:pPr>
        <w:pStyle w:val="Text"/>
        <w:rPr>
          <w:bCs/>
        </w:rPr>
      </w:pPr>
      <w:r>
        <w:t xml:space="preserve">Schemaorte können nach Kategorien unterschieden werden. </w:t>
      </w:r>
      <w:r w:rsidR="00C13439">
        <w:t xml:space="preserve">Beispielsweise </w:t>
      </w:r>
      <w:r w:rsidR="0008264D">
        <w:t xml:space="preserve">werden </w:t>
      </w:r>
      <w:r>
        <w:t>im Fall eines sprachlichen Syntagmas die verschiedenen Beschreibung</w:t>
      </w:r>
      <w:r>
        <w:t>s</w:t>
      </w:r>
      <w:r>
        <w:t>ebenen</w:t>
      </w:r>
      <w:r w:rsidR="005D7996">
        <w:fldChar w:fldCharType="begin"/>
      </w:r>
      <w:r w:rsidR="000623C8">
        <w:instrText xml:space="preserve"> XE "</w:instrText>
      </w:r>
      <w:r w:rsidR="000623C8" w:rsidRPr="0039734C">
        <w:instrText>Beschreibungsebene</w:instrText>
      </w:r>
      <w:r w:rsidR="000623C8">
        <w:instrText xml:space="preserve">" </w:instrText>
      </w:r>
      <w:r w:rsidR="005D7996">
        <w:fldChar w:fldCharType="end"/>
      </w:r>
      <w:r>
        <w:t>, im Fall eines Gebäudes Bestandteile, Materialien, Formgebung, Farbg</w:t>
      </w:r>
      <w:r>
        <w:t>e</w:t>
      </w:r>
      <w:r>
        <w:t xml:space="preserve">bung usw. unterschieden. </w:t>
      </w:r>
      <w:r w:rsidR="0008264D">
        <w:t xml:space="preserve">Solche Kategorien </w:t>
      </w:r>
      <w:r w:rsidR="001E1FC0">
        <w:t xml:space="preserve">von Schemaorten </w:t>
      </w:r>
      <w:r w:rsidR="0008264D">
        <w:t xml:space="preserve">stehen zudem oft </w:t>
      </w:r>
      <w:r>
        <w:t xml:space="preserve">in bestimmten Relationen zu anderen </w:t>
      </w:r>
      <w:r w:rsidR="001E1FC0">
        <w:t>K</w:t>
      </w:r>
      <w:r w:rsidR="0008264D">
        <w:t>ategorien</w:t>
      </w:r>
      <w:r>
        <w:t>.</w:t>
      </w:r>
      <w:r w:rsidR="00465070">
        <w:t xml:space="preserve"> In manchen Fällen gibt es </w:t>
      </w:r>
      <w:r w:rsidR="0008264D">
        <w:t xml:space="preserve">sogar noch </w:t>
      </w:r>
      <w:r w:rsidR="001E1FC0">
        <w:t xml:space="preserve">kompliziertere </w:t>
      </w:r>
      <w:r w:rsidR="0008264D">
        <w:t>Gliederungsstrukturen innerhalb der Schemata.</w:t>
      </w:r>
      <w:r w:rsidR="001E1FC0">
        <w:rPr>
          <w:rStyle w:val="Funotenzeichen"/>
        </w:rPr>
        <w:footnoteReference w:id="295"/>
      </w:r>
    </w:p>
    <w:p w:rsidR="007B2F7D" w:rsidRDefault="00D2554C">
      <w:pPr>
        <w:pStyle w:val="Text"/>
      </w:pPr>
      <w:r>
        <w:lastRenderedPageBreak/>
        <w:t>Ein Schemaort ist ein Teil eines Schemas, der in der durch das Schema e</w:t>
      </w:r>
      <w:r>
        <w:t>r</w:t>
      </w:r>
      <w:r>
        <w:t>zeugten Realisierung (also einem Verhalten, einem Artefakt oder einem Ze</w:t>
      </w:r>
      <w:r>
        <w:t>i</w:t>
      </w:r>
      <w:r>
        <w:t>chengebrauch) grun</w:t>
      </w:r>
      <w:r w:rsidR="008020DF">
        <w:t>dsätzlich abgrenzbar sein muss: Alle</w:t>
      </w:r>
      <w:r w:rsidR="00465070">
        <w:t>n</w:t>
      </w:r>
      <w:r w:rsidR="008020DF">
        <w:t xml:space="preserve"> einen </w:t>
      </w:r>
      <w:r w:rsidR="00465070">
        <w:t xml:space="preserve">bestimmten </w:t>
      </w:r>
      <w:r w:rsidR="008020DF">
        <w:t xml:space="preserve">Schemaort realisierenden Aspekten </w:t>
      </w:r>
      <w:r w:rsidR="00465070">
        <w:t xml:space="preserve">verschiedener Realisierungen </w:t>
      </w:r>
      <w:r w:rsidR="008020DF">
        <w:t>kommen g</w:t>
      </w:r>
      <w:r w:rsidR="008020DF">
        <w:t>e</w:t>
      </w:r>
      <w:r w:rsidR="008020DF">
        <w:t xml:space="preserve">meinsame Eigenschaften zu, die </w:t>
      </w:r>
      <w:r w:rsidR="007B2F7D">
        <w:t xml:space="preserve">notwendig und </w:t>
      </w:r>
      <w:r w:rsidR="002B6746">
        <w:t xml:space="preserve">zusammen </w:t>
      </w:r>
      <w:r w:rsidR="007B2F7D">
        <w:t xml:space="preserve">hinreichend dafür sind, dass der Aspekt diesen Schemaort realisiert. Nicht notwendig ist dagegen, dass </w:t>
      </w:r>
      <w:r w:rsidR="00473AA2">
        <w:t xml:space="preserve">der </w:t>
      </w:r>
      <w:r w:rsidR="007B2F7D">
        <w:t xml:space="preserve">Schemaort </w:t>
      </w:r>
      <w:r w:rsidR="00E23ED3">
        <w:t>explizit bei der Erzeugung der Realisierung berücksichtigt wird</w:t>
      </w:r>
      <w:r w:rsidR="007B2F7D">
        <w:t>.</w:t>
      </w:r>
    </w:p>
    <w:p w:rsidR="00B67ED0" w:rsidRDefault="00052B4D">
      <w:pPr>
        <w:pStyle w:val="Text"/>
      </w:pPr>
      <w:r>
        <w:t xml:space="preserve">Ein </w:t>
      </w:r>
      <w:r w:rsidR="00D2554C">
        <w:t xml:space="preserve">Beispiel: Die Form des Baukörpers eines Hauses kann ein Schemaort sein, obwohl sie beim Entwurf und der Ausführung eines Hauses </w:t>
      </w:r>
      <w:r w:rsidR="00583132">
        <w:t xml:space="preserve">oft </w:t>
      </w:r>
      <w:r w:rsidR="00D2554C">
        <w:t xml:space="preserve">nicht </w:t>
      </w:r>
      <w:r w:rsidR="00583132">
        <w:t>expl</w:t>
      </w:r>
      <w:r w:rsidR="00583132">
        <w:t>i</w:t>
      </w:r>
      <w:r w:rsidR="00583132">
        <w:t xml:space="preserve">zit berücksichtigt </w:t>
      </w:r>
      <w:r w:rsidR="00D2554C">
        <w:t xml:space="preserve">wird (sie ergibt sich aus dem Zusammenspiel der Grundrisse und Höhen verschiedener Stockwerke, der Dachform, den Anbauten usw.). Sie ist abgrenzbar, da ihr spezifische Eigenschaften zugeordnet werden können. Dagegen </w:t>
      </w:r>
      <w:r w:rsidR="00044663">
        <w:t xml:space="preserve">ist </w:t>
      </w:r>
      <w:r w:rsidR="00D2554C">
        <w:t>ein</w:t>
      </w:r>
      <w:r w:rsidR="004414C9">
        <w:t>e beliebige</w:t>
      </w:r>
      <w:r w:rsidR="00D2554C">
        <w:t xml:space="preserve"> </w:t>
      </w:r>
      <w:r w:rsidR="00044663">
        <w:t>Wand</w:t>
      </w:r>
      <w:r w:rsidR="004414C9">
        <w:t>fläche</w:t>
      </w:r>
      <w:r w:rsidR="00D2554C">
        <w:t xml:space="preserve"> </w:t>
      </w:r>
      <w:r w:rsidR="008901EC">
        <w:t xml:space="preserve">in der Regel </w:t>
      </w:r>
      <w:r w:rsidR="00D2554C">
        <w:t>kein Schemaort</w:t>
      </w:r>
      <w:r w:rsidR="001026CB">
        <w:t>.</w:t>
      </w:r>
      <w:bookmarkStart w:id="185" w:name="_Ref270502481"/>
      <w:r w:rsidR="008E5BCA">
        <w:rPr>
          <w:rStyle w:val="Funotenzeichen"/>
        </w:rPr>
        <w:footnoteReference w:id="296"/>
      </w:r>
      <w:bookmarkEnd w:id="185"/>
      <w:r w:rsidR="001026CB">
        <w:t xml:space="preserve"> Soll eine </w:t>
      </w:r>
      <w:r w:rsidR="00ED5BE9">
        <w:t>Alter</w:t>
      </w:r>
      <w:r w:rsidR="00ED5BE9">
        <w:softHyphen/>
        <w:t>nativen</w:t>
      </w:r>
      <w:r w:rsidR="00ED5BE9">
        <w:softHyphen/>
        <w:t>klasse</w:t>
      </w:r>
      <w:r w:rsidR="001026CB">
        <w:t xml:space="preserve"> dafür gebildet werden, ist dies möglich,</w:t>
      </w:r>
      <w:r w:rsidR="00044663">
        <w:t xml:space="preserve"> </w:t>
      </w:r>
      <w:r w:rsidR="001026CB">
        <w:t>indem der Schemaort</w:t>
      </w:r>
      <w:r w:rsidR="00044663">
        <w:t xml:space="preserve"> ‚Wand</w:t>
      </w:r>
      <w:r w:rsidR="004414C9">
        <w:t>fläche</w:t>
      </w:r>
      <w:r w:rsidR="00044663">
        <w:t>‘</w:t>
      </w:r>
      <w:r w:rsidR="004414C9">
        <w:t xml:space="preserve"> </w:t>
      </w:r>
      <w:r w:rsidR="001026CB">
        <w:t xml:space="preserve">gewählt und die Position </w:t>
      </w:r>
      <w:r w:rsidR="00CB2EBB">
        <w:t xml:space="preserve">mit Zusatzbedingungen spezifiziert wird, </w:t>
      </w:r>
      <w:r w:rsidR="00044663">
        <w:t>beispielsweise ‚</w:t>
      </w:r>
      <w:r w:rsidR="00CB2EBB">
        <w:t>Wandfläche (</w:t>
      </w:r>
      <w:r w:rsidR="004414C9">
        <w:t>der Außenwand</w:t>
      </w:r>
      <w:r w:rsidR="003E17E1">
        <w:t xml:space="preserve"> der Nordseite des Gebäudes</w:t>
      </w:r>
      <w:r w:rsidR="004414C9">
        <w:t>, links der Tür</w:t>
      </w:r>
      <w:r w:rsidR="00CB2EBB">
        <w:t>)‘</w:t>
      </w:r>
      <w:r w:rsidR="003E17E1">
        <w:t>.</w:t>
      </w:r>
    </w:p>
    <w:p w:rsidR="00B83BA2" w:rsidRDefault="00B83BA2" w:rsidP="00B83BA2">
      <w:pPr>
        <w:pStyle w:val="Text"/>
      </w:pPr>
      <w:r>
        <w:t>Schemata haben auch eine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t xml:space="preserve"> (eine Menge von Kombinationsregeln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t>): Zum Beispiel können beim Schema ‚Gebäude‘ die Schemaorte ‚Fenster‘, ‚Tür‘, ‚Wand‘, ‚Giebel‘, ‚Dach‘, ‚Schornstein‘, ‚Balkon‘ usw. nach bestimmten Komb</w:t>
      </w:r>
      <w:r>
        <w:t>i</w:t>
      </w:r>
      <w:r>
        <w:t>nationsregeln zu einer wohlgeformten Realisierung kombiniert werden. Der Einfachheit halber führen wir für diese Kombinationsregeln keine eigene Kat</w:t>
      </w:r>
      <w:r>
        <w:t>e</w:t>
      </w:r>
      <w:r>
        <w:t>gorie von Bestandteilen von Schemata ein: Soweit Kombinationsregeln sich nicht (a) aus den Schemaortbedingungen der verschiedenen Schemaorte ergeben, we</w:t>
      </w:r>
      <w:r>
        <w:t>r</w:t>
      </w:r>
      <w:r>
        <w:t>den sie (b) als Schemaorte definiert.</w:t>
      </w:r>
    </w:p>
    <w:p w:rsidR="00B83BA2" w:rsidRDefault="00B83BA2" w:rsidP="00B83BA2">
      <w:pPr>
        <w:pStyle w:val="Text"/>
      </w:pPr>
      <w:r>
        <w:t>(a)</w:t>
      </w:r>
      <w:r>
        <w:tab/>
        <w:t>Beispielsweise ist bei ‚Wand‘ die Vertikalität und bei ‚Geschossdecke‘ die Horizontalität und der seitliche Anschluss an Wände in den Schemaortb</w:t>
      </w:r>
      <w:r>
        <w:t>e</w:t>
      </w:r>
      <w:r>
        <w:t>dingungen festgelegt, eine Glasscheibe, die vor eine Mauer statt in eine Mauer- oder Dachöffnung montiert ist, ist kein ‚Fenster‘, ein 80 cm hoher Zwische</w:t>
      </w:r>
      <w:r>
        <w:t>n</w:t>
      </w:r>
      <w:r>
        <w:t xml:space="preserve">raum zwischen zwei Geschossdecken bildet kein ‚Geschoss‘ und eine Menge von Holzbalken und Ziegeln, die auf einer Wiese verstreut sind, kein ‚Dach‘. Bei einer Autofahrt bestimmen die Schemaortbedingungen von ‚Abbiegen‘, dass das </w:t>
      </w:r>
      <w:r>
        <w:lastRenderedPageBreak/>
        <w:t>Fahrzeug auf ein befahrbares Bodenstück gelenkt wird (man kann nicht in eine Mauer ‚abbiegen‘), und die Schemaortbedingungen von ‚Anfahren‘ bzw. ‚B</w:t>
      </w:r>
      <w:r>
        <w:t>e</w:t>
      </w:r>
      <w:r>
        <w:t>schleunigen‘, dass das Fahrzeug zuvor stehen bzw. fahren muss.</w:t>
      </w:r>
      <w:r w:rsidRPr="00B10A06">
        <w:t xml:space="preserve"> </w:t>
      </w:r>
      <w:r>
        <w:t>Beim Badmi</w:t>
      </w:r>
      <w:r>
        <w:t>n</w:t>
      </w:r>
      <w:r>
        <w:t>ton</w:t>
      </w:r>
      <w:r w:rsidR="005D7996">
        <w:fldChar w:fldCharType="begin"/>
      </w:r>
      <w:r w:rsidR="002510B5">
        <w:instrText xml:space="preserve"> XE "</w:instrText>
      </w:r>
      <w:r w:rsidR="002510B5" w:rsidRPr="00960000">
        <w:instrText>Badminton</w:instrText>
      </w:r>
      <w:r w:rsidR="002510B5">
        <w:instrText xml:space="preserve">" </w:instrText>
      </w:r>
      <w:r w:rsidR="005D7996">
        <w:fldChar w:fldCharType="end"/>
      </w:r>
      <w:r>
        <w:t xml:space="preserve"> kann ich einen ‚Smash‘ nur ausführen, wenn sich der Ball oberhalb der Netzhöhe befindet; haue ich den Ball aus einem Meter Höhe auf den Boden, ist dies kein ‚Smash‘. Ziehe ich beim Schach</w:t>
      </w:r>
      <w:r w:rsidR="005D7996">
        <w:fldChar w:fldCharType="begin"/>
      </w:r>
      <w:r w:rsidR="008B1E57">
        <w:instrText xml:space="preserve"> XE "</w:instrText>
      </w:r>
      <w:r w:rsidR="008B1E57" w:rsidRPr="001A402B">
        <w:rPr>
          <w:szCs w:val="17"/>
        </w:rPr>
        <w:instrText>Schach</w:instrText>
      </w:r>
      <w:r w:rsidR="008B1E57">
        <w:instrText xml:space="preserve">" </w:instrText>
      </w:r>
      <w:r w:rsidR="005D7996">
        <w:fldChar w:fldCharType="end"/>
      </w:r>
      <w:r>
        <w:t xml:space="preserve"> zweimal hintereinander, stellt die zwe</w:t>
      </w:r>
      <w:r>
        <w:t>i</w:t>
      </w:r>
      <w:r>
        <w:t>te Berührung einer Figur keinen ‚Zug‘ dar. – Definiert man die Schemaorte pr</w:t>
      </w:r>
      <w:r>
        <w:t>ä</w:t>
      </w:r>
      <w:r>
        <w:t xml:space="preserve">zise, sind viele Kombinationsbeschränkungen </w:t>
      </w:r>
      <w:r w:rsidR="00BE13D4">
        <w:t xml:space="preserve">also </w:t>
      </w:r>
      <w:r>
        <w:t>schon berücksichtigt.</w:t>
      </w:r>
    </w:p>
    <w:p w:rsidR="00B83BA2" w:rsidRDefault="00B83BA2" w:rsidP="00B83BA2">
      <w:pPr>
        <w:pStyle w:val="Text"/>
      </w:pPr>
      <w:r>
        <w:t>(b)</w:t>
      </w:r>
      <w:r>
        <w:tab/>
        <w:t>Wo dies erforderlich ist, werden Kombinationsregeln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t xml:space="preserve"> als Schemaorte definiert: Bei einem Gebäude können Schemaorte wie ‚Grundriss‘, </w:t>
      </w:r>
      <w:r w:rsidR="002805D7">
        <w:t>‚</w:t>
      </w:r>
      <w:r>
        <w:t>Fassadeng</w:t>
      </w:r>
      <w:r>
        <w:t>e</w:t>
      </w:r>
      <w:r>
        <w:t>staltung‘, ‚Raumprogramm‘ und ‚Gebäudeform‘, bei einem Kleidungsstück der Schemaort ‚Schnitt‘, bei einem technischen Artefakt Schemaorte wie ‚Konstru</w:t>
      </w:r>
      <w:r>
        <w:t>k</w:t>
      </w:r>
      <w:r>
        <w:t>tionsprinzip‘ angenommen werden. Bei einem Text können der Schemaort ‚sy</w:t>
      </w:r>
      <w:r>
        <w:t>n</w:t>
      </w:r>
      <w:r>
        <w:t>taktische Konstruktion‘, dessen Schemaortbedingungen syntaktische Wohlg</w:t>
      </w:r>
      <w:r>
        <w:t>e</w:t>
      </w:r>
      <w:r>
        <w:t>formtheit</w:t>
      </w:r>
      <w:r w:rsidR="005D7996">
        <w:fldChar w:fldCharType="begin"/>
      </w:r>
      <w:r w:rsidR="00C51357">
        <w:instrText xml:space="preserve"> XE "</w:instrText>
      </w:r>
      <w:r w:rsidR="00C51357" w:rsidRPr="00141F00">
        <w:instrText>Wohlgeformtheit</w:instrText>
      </w:r>
      <w:r w:rsidR="00C51357">
        <w:instrText xml:space="preserve">" </w:instrText>
      </w:r>
      <w:r w:rsidR="005D7996">
        <w:fldChar w:fldCharType="end"/>
      </w:r>
      <w:r>
        <w:t xml:space="preserve"> definieren, und der Schemaort ‚Ausdruck eines Inhalts‘, dessen Sch</w:t>
      </w:r>
      <w:r>
        <w:t>e</w:t>
      </w:r>
      <w:r>
        <w:t>maortbedingungen semantische Wohlgeformtheit definieren, für jeden Satz angewandt werden. (Es kann natürlich auf ihre Anwendung verzichtet oder b</w:t>
      </w:r>
      <w:r>
        <w:t>e</w:t>
      </w:r>
      <w:r>
        <w:t>wusst gegen ihre Prinzipien verstoßen werden; kommt dies häufiger vor, können eigene Schemaorte dafür gebildet werden, beispielsweise ‚Verstoß gegen synta</w:t>
      </w:r>
      <w:r>
        <w:t>k</w:t>
      </w:r>
      <w:r>
        <w:t>tische/semantische Wohlgeformtheit.‘)</w:t>
      </w:r>
    </w:p>
    <w:p w:rsidR="00B83BA2" w:rsidRDefault="00B83BA2" w:rsidP="00B83BA2">
      <w:pPr>
        <w:pStyle w:val="Text"/>
      </w:pPr>
      <w:r>
        <w:t>Eine Beschreibung von Schemata als geordnetes Paar aus einer Menge von Schemaorten und einer Menge von Kombinationsregeln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t xml:space="preserve"> wäre natürlich möglich; für eine ausgearbeitete Schematheorie</w:t>
      </w:r>
      <w:r w:rsidR="005D7996">
        <w:fldChar w:fldCharType="begin"/>
      </w:r>
      <w:r w:rsidR="004775AE">
        <w:instrText xml:space="preserve"> XE "</w:instrText>
      </w:r>
      <w:r w:rsidR="004775AE" w:rsidRPr="006263C1">
        <w:instrText>Schematheorie</w:instrText>
      </w:r>
      <w:r w:rsidR="004775AE">
        <w:instrText xml:space="preserve">" </w:instrText>
      </w:r>
      <w:r w:rsidR="005D7996">
        <w:fldChar w:fldCharType="end"/>
      </w:r>
      <w:r>
        <w:t xml:space="preserve"> wäre </w:t>
      </w:r>
      <w:r w:rsidR="001A5412">
        <w:t xml:space="preserve">diese </w:t>
      </w:r>
      <w:r>
        <w:t>genauere Beschreibung vermu</w:t>
      </w:r>
      <w:r>
        <w:t>t</w:t>
      </w:r>
      <w:r>
        <w:t>lich vorzuziehen. Für das vorliegende Modell reicht eine auf Schemaorte b</w:t>
      </w:r>
      <w:r>
        <w:t>e</w:t>
      </w:r>
      <w:r>
        <w:t xml:space="preserve">schränkte Beschreibung aus; diese Beschränkung vereinfacht die Anwendung der Schemata in der Bildung einer Anordnung von </w:t>
      </w:r>
      <w:r w:rsidR="00ED5BE9">
        <w:t>Alter</w:t>
      </w:r>
      <w:r w:rsidR="00ED5BE9">
        <w:softHyphen/>
        <w:t>nativen</w:t>
      </w:r>
      <w:r w:rsidR="00ED5BE9">
        <w:softHyphen/>
        <w:t>klasse</w:t>
      </w:r>
      <w:r>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t>, aus denen später die Realisierung erzeugt wird.</w:t>
      </w:r>
      <w:r>
        <w:rPr>
          <w:rStyle w:val="Funotenzeichen"/>
        </w:rPr>
        <w:footnoteReference w:id="297"/>
      </w:r>
    </w:p>
    <w:p w:rsidR="00962056" w:rsidRDefault="009C045D">
      <w:pPr>
        <w:pStyle w:val="Text"/>
      </w:pPr>
      <w:r>
        <w:t xml:space="preserve">Die Wahl von Schemaorten für ein Schema ist oft eine Abwägungsfrage. Allgemein gilt jedoch, dass Schemaorte an vielen Realisierungen des Schemas erscheinen und bezüglich der Gestaltung im Normalfall nicht von anderen Schemaorten definiert werden sollten; dagegen ist es nicht nötig, dass sie vom </w:t>
      </w:r>
      <w:r w:rsidR="00DD45B2">
        <w:t>Stilwahrnehmer</w:t>
      </w:r>
      <w:r>
        <w:t xml:space="preserve"> </w:t>
      </w:r>
      <w:r w:rsidR="00962056">
        <w:t xml:space="preserve">allein erzeugt </w:t>
      </w:r>
      <w:r>
        <w:t>werden</w:t>
      </w:r>
      <w:r w:rsidR="00962056">
        <w:t>, sie können durchaus auf äußere Beei</w:t>
      </w:r>
      <w:r w:rsidR="00962056">
        <w:t>n</w:t>
      </w:r>
      <w:r w:rsidR="00962056">
        <w:t>flussungen zurückzuführen sein</w:t>
      </w:r>
      <w:r>
        <w:t>. Beispielsweise können beim Verhaltensschema ‚ein kompetitives Spiel spielen‘ die allgemeinen Spiellagen eines Spielers ‚im Vo</w:t>
      </w:r>
      <w:r>
        <w:t>r</w:t>
      </w:r>
      <w:r>
        <w:t xml:space="preserve">teil‘ und ‚im Nachteil‘ durchaus als Schemaorte betrachtet werden, obwohl sie nur begrenzt </w:t>
      </w:r>
      <w:r w:rsidR="00962056">
        <w:t>beeinflusst werden können</w:t>
      </w:r>
      <w:r>
        <w:t>; sie kommen praktisch in jedem Spiel vor und sie haben nicht selten unterschiedliche Verhaltensweisen des Spielers zur Folge.</w:t>
      </w:r>
      <w:r w:rsidR="00A8041F">
        <w:rPr>
          <w:rStyle w:val="Funotenzeichen"/>
        </w:rPr>
        <w:footnoteReference w:id="298"/>
      </w:r>
      <w:r>
        <w:t xml:space="preserve"> </w:t>
      </w:r>
      <w:r w:rsidR="00962056">
        <w:t>D</w:t>
      </w:r>
      <w:r w:rsidR="0064726A">
        <w:t>agegen sollten spezielle Situationen</w:t>
      </w:r>
      <w:r w:rsidR="009A444B">
        <w:t>, die nicht bei vielen Realisieru</w:t>
      </w:r>
      <w:r w:rsidR="009A444B">
        <w:t>n</w:t>
      </w:r>
      <w:r w:rsidR="009A444B">
        <w:t>gen des Schemas auftreten und, selbst wenn sie auftreten, in der Regel nicht e</w:t>
      </w:r>
      <w:r w:rsidR="009A444B">
        <w:t>i</w:t>
      </w:r>
      <w:r w:rsidR="009A444B">
        <w:t>genständig gestaltet sein werden,</w:t>
      </w:r>
      <w:r w:rsidR="0064726A">
        <w:t xml:space="preserve"> mit </w:t>
      </w:r>
      <w:r w:rsidR="009A444B">
        <w:t xml:space="preserve">Hilfe </w:t>
      </w:r>
      <w:r w:rsidR="0064726A">
        <w:t>von Zusatzbedingungen</w:t>
      </w:r>
      <w:r w:rsidR="0064726A">
        <w:rPr>
          <w:rStyle w:val="Funotenzeichen"/>
        </w:rPr>
        <w:footnoteReference w:id="299"/>
      </w:r>
      <w:r w:rsidR="0064726A">
        <w:t xml:space="preserve"> </w:t>
      </w:r>
      <w:r w:rsidR="009A444B">
        <w:t xml:space="preserve">formuliert </w:t>
      </w:r>
      <w:r w:rsidR="0064726A">
        <w:lastRenderedPageBreak/>
        <w:t>werden</w:t>
      </w:r>
      <w:r w:rsidR="009A444B">
        <w:t>, die in Klammern angegeben werden, beispielsweise: ‚im Vorteil (Gegner spielt unausgeglichen und unberechenbar)‘.</w:t>
      </w:r>
    </w:p>
    <w:p w:rsidR="00D2554C" w:rsidRDefault="00D2554C">
      <w:pPr>
        <w:pStyle w:val="Titel3"/>
      </w:pPr>
      <w:bookmarkStart w:id="186" w:name="_Ref324923850"/>
      <w:bookmarkStart w:id="187" w:name="_Ref324923927"/>
      <w:bookmarkStart w:id="188" w:name="_Ref324924543"/>
      <w:bookmarkStart w:id="189" w:name="_Toc325456727"/>
      <w:bookmarkStart w:id="190" w:name="Unterschema"/>
      <w:bookmarkEnd w:id="183"/>
      <w:r>
        <w:t>Unterschemata</w:t>
      </w:r>
      <w:bookmarkEnd w:id="186"/>
      <w:bookmarkEnd w:id="187"/>
      <w:bookmarkEnd w:id="188"/>
      <w:bookmarkEnd w:id="189"/>
    </w:p>
    <w:p w:rsidR="00D2554C" w:rsidRDefault="004F5D0D">
      <w:pPr>
        <w:pStyle w:val="Definition"/>
      </w:pPr>
      <w:r w:rsidRPr="00CC6E60">
        <w:rPr>
          <w:bCs/>
        </w:rPr>
        <w:t>Def.</w:t>
      </w:r>
      <w:r w:rsidR="00D2554C">
        <w:rPr>
          <w:b/>
          <w:bCs/>
        </w:rPr>
        <w:tab/>
      </w:r>
      <w:r w:rsidR="005D7996">
        <w:fldChar w:fldCharType="begin"/>
      </w:r>
      <w:r w:rsidR="00D944A1">
        <w:instrText xml:space="preserve"> XE "Unterschema:</w:instrText>
      </w:r>
      <w:r w:rsidR="00D944A1" w:rsidRPr="0073281C">
        <w:rPr>
          <w:i/>
        </w:rPr>
        <w:instrText>Definition</w:instrText>
      </w:r>
      <w:r w:rsidR="00D944A1">
        <w:instrText xml:space="preserve">" </w:instrText>
      </w:r>
      <w:r w:rsidR="005D7996">
        <w:fldChar w:fldCharType="end"/>
      </w:r>
      <w:r w:rsidR="00D2554C">
        <w:rPr>
          <w:b/>
          <w:bCs/>
        </w:rPr>
        <w:t xml:space="preserve">Unterschemata: </w:t>
      </w:r>
      <w:r w:rsidR="00D2554C">
        <w:t xml:space="preserve">Wenn man ein Schema </w:t>
      </w:r>
      <w:r w:rsidR="005E4ECA">
        <w:t xml:space="preserve">in verschiedene, </w:t>
      </w:r>
      <w:r w:rsidR="00D2554C">
        <w:t>durch zusätzl</w:t>
      </w:r>
      <w:r w:rsidR="00D2554C">
        <w:t>i</w:t>
      </w:r>
      <w:r w:rsidR="00D2554C">
        <w:t xml:space="preserve">che Eigenschaften </w:t>
      </w:r>
      <w:r w:rsidR="00CD59B2">
        <w:t xml:space="preserve">genauer definierte </w:t>
      </w:r>
      <w:r w:rsidR="003F088F">
        <w:t>Unterkategorien</w:t>
      </w:r>
      <w:r w:rsidR="005E4ECA">
        <w:t xml:space="preserve"> </w:t>
      </w:r>
      <w:r w:rsidR="00D2554C">
        <w:t xml:space="preserve">aufteilen kann, sollen diese als </w:t>
      </w:r>
      <w:r w:rsidR="002719C6">
        <w:t>„</w:t>
      </w:r>
      <w:r w:rsidR="00D2554C">
        <w:t>Unterschemata</w:t>
      </w:r>
      <w:r w:rsidR="002719C6">
        <w:t>“</w:t>
      </w:r>
      <w:r w:rsidR="00D2554C">
        <w:t xml:space="preserve"> des Schemas bezeichnet werden.</w:t>
      </w:r>
    </w:p>
    <w:p w:rsidR="00D2554C" w:rsidRDefault="005D7996" w:rsidP="00E61296">
      <w:pPr>
        <w:pStyle w:val="Text"/>
        <w:ind w:firstLine="0"/>
      </w:pPr>
      <w:r>
        <w:fldChar w:fldCharType="begin"/>
      </w:r>
      <w:r w:rsidR="00107580">
        <w:instrText xml:space="preserve"> XE "Unterschema" \r "Unterschema" </w:instrText>
      </w:r>
      <w:r>
        <w:fldChar w:fldCharType="end"/>
      </w:r>
      <w:r w:rsidR="00D2554C">
        <w:t xml:space="preserve">Bei der Aufteilung der Welt in Schemata hat man die Wahl, wie grob oder fein man diese Aufteilung vornehmen will. So </w:t>
      </w:r>
      <w:r w:rsidR="003F088F">
        <w:t xml:space="preserve">kann man </w:t>
      </w:r>
      <w:r w:rsidR="00483CBF">
        <w:t>‚</w:t>
      </w:r>
      <w:r w:rsidR="003F088F">
        <w:t xml:space="preserve">Verfassen </w:t>
      </w:r>
      <w:r w:rsidR="00D90418">
        <w:t>eines Text</w:t>
      </w:r>
      <w:r w:rsidR="00D2554C">
        <w:t>s</w:t>
      </w:r>
      <w:r w:rsidR="00483CBF">
        <w:t>‘</w:t>
      </w:r>
      <w:r w:rsidR="00D2554C">
        <w:t xml:space="preserve"> als </w:t>
      </w:r>
      <w:r w:rsidR="003F088F">
        <w:t xml:space="preserve">allgemeines </w:t>
      </w:r>
      <w:r w:rsidR="00D2554C">
        <w:t xml:space="preserve">Schema annehmen und von diesem </w:t>
      </w:r>
      <w:r w:rsidR="00483CBF">
        <w:t xml:space="preserve">das </w:t>
      </w:r>
      <w:r w:rsidR="003F088F">
        <w:t xml:space="preserve">etwas </w:t>
      </w:r>
      <w:r w:rsidR="00483CBF">
        <w:t>spezifischere Schema ‚</w:t>
      </w:r>
      <w:r w:rsidR="003F088F">
        <w:t xml:space="preserve">Verfassen </w:t>
      </w:r>
      <w:r w:rsidR="00D90418">
        <w:t>eines Text</w:t>
      </w:r>
      <w:r w:rsidR="00D2554C">
        <w:t>s (mit einem bereits feststehenden Inhalt)</w:t>
      </w:r>
      <w:r w:rsidR="00483CBF">
        <w:t>‘</w:t>
      </w:r>
      <w:r w:rsidR="00D2554C">
        <w:t xml:space="preserve"> ableiten. </w:t>
      </w:r>
      <w:r w:rsidR="003F088F">
        <w:t xml:space="preserve">Oft </w:t>
      </w:r>
      <w:r w:rsidR="00D2554C">
        <w:t xml:space="preserve">wird man die Aufteilung in verschiedene Gattungen einbeziehen, da meist bei </w:t>
      </w:r>
      <w:r w:rsidR="00A71E32">
        <w:t xml:space="preserve">der Stilwahrnehmung </w:t>
      </w:r>
      <w:r w:rsidR="00D2554C">
        <w:t>mehr als nur die allgemeine Mitteilung eines bestimmten Texts bekannt ist (z.B. auch, dass es sich um einen Zeitungs</w:t>
      </w:r>
      <w:r w:rsidR="00A71E32">
        <w:t>bericht</w:t>
      </w:r>
      <w:r w:rsidR="00D2554C">
        <w:t xml:space="preserve"> handelt), was man daran sehen kann, dass ironische Brechungen durch Verwendung anderer Gattungen auftreten können (z.B. wenn ein Schüler seinen Aufsatz „mein schönstes Ferienerlebnis“ wie einen Zeitungsbericht schreibt).</w:t>
      </w:r>
      <w:r w:rsidR="003F088F">
        <w:t xml:space="preserve"> Die Aufteilungen kann man als Unterschemata spezifiziert werden, beispielsweise ‚Verfassen eines Aufsatzes‘ oder ‚Verfassen eines Zeitungs</w:t>
      </w:r>
      <w:r w:rsidR="00A71E32">
        <w:t>berichts</w:t>
      </w:r>
      <w:r w:rsidR="003F088F">
        <w:t>‘.</w:t>
      </w:r>
    </w:p>
    <w:p w:rsidR="00D2554C" w:rsidRPr="00DD0752" w:rsidRDefault="00D2554C">
      <w:pPr>
        <w:pStyle w:val="Text"/>
        <w:rPr>
          <w:bCs/>
        </w:rPr>
      </w:pPr>
      <w:r>
        <w:t>In der formalen Darstellung verzichten wir aus Gründen der Einfachheit auf die Unterscheidung von Schemata und Unterschemata. Für die Gliederung des Möglichkeitsraums dürfte es ein Vorteil sein, mehrere Gliederungsebenen zur Verfügung zu haben. Dies lässt sich je nach Bedarf aber leicht in die Darstellung einfügen, so können Gliederungsebenen von Unterschemata über Benennung oder Indizierung der Schemata dargestellt werden. Für die Besprechung des Stilmodells reicht es jedenfalls aus, von einer gegebenen Menge von Schemata auszugehen.</w:t>
      </w:r>
    </w:p>
    <w:p w:rsidR="00D2554C" w:rsidRDefault="00D2554C">
      <w:pPr>
        <w:pStyle w:val="Titel3"/>
      </w:pPr>
      <w:bookmarkStart w:id="191" w:name="_Toc325456728"/>
      <w:bookmarkEnd w:id="190"/>
      <w:r>
        <w:t>Zusammenfassende Überlegungen</w:t>
      </w:r>
      <w:bookmarkEnd w:id="191"/>
    </w:p>
    <w:p w:rsidR="00D2554C" w:rsidRDefault="00D2554C" w:rsidP="00E61296">
      <w:pPr>
        <w:pStyle w:val="Text"/>
        <w:ind w:firstLine="0"/>
      </w:pPr>
      <w:r>
        <w:t>Ein Schema wird hier verstanden als etwas, das als Grundlage einer Reihe von Oberflächenphänomenen gelten kann. Diese Phänomene können dann als Real</w:t>
      </w:r>
      <w:r>
        <w:t>i</w:t>
      </w:r>
      <w:r>
        <w:t>sierungen des Schemas betrachtet werden. Das Schema spezifiziert eine Reihe von Eigenschaften, die ein Oberflächenphänomen besitzen muss, um als Real</w:t>
      </w:r>
      <w:r>
        <w:t>i</w:t>
      </w:r>
      <w:r>
        <w:t xml:space="preserve">sierung des Schemas zu gelten. Das </w:t>
      </w:r>
      <w:r w:rsidR="00F2524C">
        <w:t>Artefakts</w:t>
      </w:r>
      <w:r>
        <w:t xml:space="preserve">chema </w:t>
      </w:r>
      <w:r w:rsidR="00483CBF">
        <w:t>‚</w:t>
      </w:r>
      <w:r>
        <w:t>Einfamilienhaus</w:t>
      </w:r>
      <w:r w:rsidR="00483CBF">
        <w:t>‘</w:t>
      </w:r>
      <w:r>
        <w:t xml:space="preserve"> beispiel</w:t>
      </w:r>
      <w:r>
        <w:t>s</w:t>
      </w:r>
      <w:r>
        <w:t xml:space="preserve">weise spezifiziert eine Reihe von Eigenschaften, die </w:t>
      </w:r>
      <w:r w:rsidR="00F2524C">
        <w:t xml:space="preserve">ein Artefakt </w:t>
      </w:r>
      <w:r>
        <w:t xml:space="preserve">haben müssen, um als </w:t>
      </w:r>
      <w:r w:rsidR="00F2524C">
        <w:t xml:space="preserve">Einfamilienhaus zu </w:t>
      </w:r>
      <w:r>
        <w:t>gelten. Entscheidend für die Bezeichnung als Schema ist, dass eine Unterdeterminierung der Oberflächenphänomene gegeben ist. Bei einer vollständigen Determinierung spricht man von einer Type-token-</w:t>
      </w:r>
      <w:r>
        <w:lastRenderedPageBreak/>
        <w:t>Beziehung oder einer An- bzw. Verwendung einer abstrakten Einheit (z.B. eines Zeichens</w:t>
      </w:r>
      <w:r w:rsidR="00CE6B60">
        <w:t xml:space="preserve"> oder eines Konzepts</w:t>
      </w:r>
      <w:r>
        <w:t>).</w:t>
      </w:r>
    </w:p>
    <w:p w:rsidR="00D2554C" w:rsidRDefault="00D2554C">
      <w:pPr>
        <w:pStyle w:val="Text"/>
      </w:pPr>
      <w:r>
        <w:t xml:space="preserve">Prinzipiell kann alles, was diesen </w:t>
      </w:r>
      <w:r w:rsidR="002F691F">
        <w:t>Vorgaben</w:t>
      </w:r>
      <w:r>
        <w:t xml:space="preserve"> genügt, als Schema angeno</w:t>
      </w:r>
      <w:r>
        <w:t>m</w:t>
      </w:r>
      <w:r>
        <w:t>men werden. Konkret werden wir von drei Arten von Schemata ausgehen: Ve</w:t>
      </w:r>
      <w:r>
        <w:t>r</w:t>
      </w:r>
      <w:r>
        <w:t xml:space="preserve">haltens-, Artefakt- und Textschemata. Die Beschreibung über Textschemata berücksichtigt </w:t>
      </w:r>
      <w:r w:rsidR="00360F27">
        <w:t>nicht nur die verwendeten Zeichen und Zeichensysteme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rsidR="00360F27">
        <w:t xml:space="preserve">, sondern auch </w:t>
      </w:r>
      <w:r>
        <w:t xml:space="preserve">gesellschaftlich schematisierte </w:t>
      </w:r>
      <w:r w:rsidR="0045097D">
        <w:t xml:space="preserve">Textsorten </w:t>
      </w:r>
      <w:r w:rsidR="00491593">
        <w:t xml:space="preserve">und </w:t>
      </w:r>
      <w:r>
        <w:t>konventionelle Verwe</w:t>
      </w:r>
      <w:r>
        <w:t>n</w:t>
      </w:r>
      <w:r>
        <w:t>dungs</w:t>
      </w:r>
      <w:r w:rsidR="00491593">
        <w:t xml:space="preserve">regeln; dazu kommen bei jeder Realisierung des Schemas </w:t>
      </w:r>
      <w:r>
        <w:t>Kontextbedi</w:t>
      </w:r>
      <w:r>
        <w:t>n</w:t>
      </w:r>
      <w:r>
        <w:t>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t xml:space="preserve"> </w:t>
      </w:r>
      <w:r w:rsidR="00491593">
        <w:t xml:space="preserve">(die sich aus der Situation und dem Ziel der Textproduktion ergeben), funktionale und </w:t>
      </w:r>
      <w:r>
        <w:t>inhaltliche Bedingun</w:t>
      </w:r>
      <w:r w:rsidR="00491593">
        <w:t>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491593">
        <w:t>.</w:t>
      </w:r>
    </w:p>
    <w:p w:rsidR="00D46993" w:rsidRDefault="00D2554C">
      <w:pPr>
        <w:pStyle w:val="Text"/>
      </w:pPr>
      <w:r>
        <w:t>Eine spezielle Art von Verhalten ist das, welches zur Entstehung von Art</w:t>
      </w:r>
      <w:r>
        <w:t>e</w:t>
      </w:r>
      <w:r>
        <w:t>fakten führt. Hier gibt es eine Besonderheit: Artefakte werden nicht typische</w:t>
      </w:r>
      <w:r>
        <w:t>r</w:t>
      </w:r>
      <w:r>
        <w:t>weise über Verhaltensschemata beschrieben. Die Beschreibung von Artefakten scheint über Schemata zu funktionieren, die von dem Verhalten, das zur Entst</w:t>
      </w:r>
      <w:r>
        <w:t>e</w:t>
      </w:r>
      <w:r>
        <w:t xml:space="preserve">hung der Artefakte </w:t>
      </w:r>
      <w:r w:rsidR="00A87C08">
        <w:t>führt, abstrahiert. So kann beispielsweise</w:t>
      </w:r>
      <w:r>
        <w:t xml:space="preserve"> die Aufteilung der Menge der Gebäude in Gebäudearten gut als verschiedene Gebäudesch</w:t>
      </w:r>
      <w:r w:rsidR="00483CBF">
        <w:t>emata beschrieben werden (z.B. ‚</w:t>
      </w:r>
      <w:r>
        <w:t>Wohnhaus</w:t>
      </w:r>
      <w:r w:rsidR="00483CBF">
        <w:t>‘, ‚</w:t>
      </w:r>
      <w:r>
        <w:t>Fabrik</w:t>
      </w:r>
      <w:r w:rsidR="00483CBF">
        <w:t>‘, ‚</w:t>
      </w:r>
      <w:r>
        <w:t>Theater</w:t>
      </w:r>
      <w:r w:rsidR="00483CBF">
        <w:t>‘</w:t>
      </w:r>
      <w:r>
        <w:t>), und die Aufteilung eines Gebäudes in einzelne Bau</w:t>
      </w:r>
      <w:r w:rsidR="00483CBF">
        <w:t>teile gut als Schemaorte (z.B. ‚</w:t>
      </w:r>
      <w:r>
        <w:t>Fenster</w:t>
      </w:r>
      <w:r w:rsidR="00483CBF">
        <w:t>‘, ‚</w:t>
      </w:r>
      <w:r>
        <w:t>Türen</w:t>
      </w:r>
      <w:r w:rsidR="00483CBF">
        <w:t>‘, ‚</w:t>
      </w:r>
      <w:r>
        <w:t>Giebel</w:t>
      </w:r>
      <w:r w:rsidR="00483CBF">
        <w:t>‘, ‚</w:t>
      </w:r>
      <w:r>
        <w:t>Dach</w:t>
      </w:r>
      <w:r w:rsidR="00483CBF">
        <w:t>‘, ‚</w:t>
      </w:r>
      <w:r>
        <w:t>Schornstein</w:t>
      </w:r>
      <w:r w:rsidR="00483CBF">
        <w:t>‘, ‚</w:t>
      </w:r>
      <w:r>
        <w:t>Bühnenturm</w:t>
      </w:r>
      <w:r w:rsidR="00483CBF">
        <w:t>‘</w:t>
      </w:r>
      <w:r w:rsidR="00D46993">
        <w:t>).</w:t>
      </w:r>
    </w:p>
    <w:p w:rsidR="00D2554C" w:rsidRDefault="00D2554C">
      <w:pPr>
        <w:pStyle w:val="Text"/>
      </w:pPr>
      <w:r>
        <w:t>Dabei wird von dem Verhalten, das zur Entstehung dieser Gebäude führt, vom Planungs- und Bauvorgang also, abstrahiert.</w:t>
      </w:r>
      <w:r w:rsidR="00D46993">
        <w:t xml:space="preserve"> </w:t>
      </w:r>
      <w:r>
        <w:t xml:space="preserve">Dies </w:t>
      </w:r>
      <w:r w:rsidR="00EF22A8">
        <w:t>lässt sich damit rechtfe</w:t>
      </w:r>
      <w:r w:rsidR="00EF22A8">
        <w:t>r</w:t>
      </w:r>
      <w:r w:rsidR="00EF22A8">
        <w:t xml:space="preserve">tigen, dass das Verhalten bei artefakterzeugenden Schemata stark am </w:t>
      </w:r>
      <w:r>
        <w:t>Verhalten</w:t>
      </w:r>
      <w:r>
        <w:t>s</w:t>
      </w:r>
      <w:r>
        <w:t>ergebnis aus</w:t>
      </w:r>
      <w:r w:rsidR="00EF22A8">
        <w:t>gerichtet ist</w:t>
      </w:r>
      <w:r>
        <w:t xml:space="preserve">. Dabei lässt es sich von den </w:t>
      </w:r>
      <w:r w:rsidR="00EF22A8">
        <w:t xml:space="preserve">Verhaltensergebnisschemata </w:t>
      </w:r>
      <w:r>
        <w:t>leiten</w:t>
      </w:r>
      <w:r w:rsidR="00A32B7C">
        <w:t xml:space="preserve"> (beispielsweise wird die Baustellenorganisation der vorgesehenen Gesta</w:t>
      </w:r>
      <w:r w:rsidR="00A32B7C">
        <w:t>l</w:t>
      </w:r>
      <w:r w:rsidR="00A32B7C">
        <w:t>tung des Gebäudes untergeordnet)</w:t>
      </w:r>
      <w:r>
        <w:t xml:space="preserve">, die somit zutreffend unter Abstraktion vom eigentlichen Verhalten beschrieben werden können. Davon lassen sich andere Aspekte des Verhaltens trennen, etwa die spezifische Organisation, das Tempo oder die angewandten Methoden </w:t>
      </w:r>
      <w:r w:rsidR="00A32B7C">
        <w:t xml:space="preserve">des </w:t>
      </w:r>
      <w:r>
        <w:t>Bauvorgangs. Sofern die genannten Aspe</w:t>
      </w:r>
      <w:r>
        <w:t>k</w:t>
      </w:r>
      <w:r>
        <w:t>te nicht das Verhaltensergebnis bestimmen,</w:t>
      </w:r>
      <w:r>
        <w:rPr>
          <w:rStyle w:val="Funotenzeichen"/>
        </w:rPr>
        <w:footnoteReference w:id="300"/>
      </w:r>
      <w:r>
        <w:t xml:space="preserve"> ändern sie nichts an der Ausric</w:t>
      </w:r>
      <w:r>
        <w:t>h</w:t>
      </w:r>
      <w:r>
        <w:t>tung auf die oben beschriebenen Schemata: Welche Baustellenorganisation beim Bau eines postmodernen</w:t>
      </w:r>
      <w:r w:rsidR="005D7996">
        <w:fldChar w:fldCharType="begin"/>
      </w:r>
      <w:r w:rsidR="00C365DD">
        <w:instrText xml:space="preserve"> XE "</w:instrText>
      </w:r>
      <w:r w:rsidR="00C365DD" w:rsidRPr="00EA0B64">
        <w:instrText>Postmoderne</w:instrText>
      </w:r>
      <w:r w:rsidR="00C365DD">
        <w:instrText xml:space="preserve">" </w:instrText>
      </w:r>
      <w:r w:rsidR="005D7996">
        <w:fldChar w:fldCharType="end"/>
      </w:r>
      <w:r>
        <w:t xml:space="preserve"> Fabrikgebäudes angewandt wird, hat auf Stil (</w:t>
      </w:r>
      <w:r w:rsidR="00B119D5">
        <w:t>‚</w:t>
      </w:r>
      <w:r>
        <w:t>postm</w:t>
      </w:r>
      <w:r>
        <w:t>o</w:t>
      </w:r>
      <w:r>
        <w:t>dern</w:t>
      </w:r>
      <w:r w:rsidR="00B119D5">
        <w:t>‘</w:t>
      </w:r>
      <w:r>
        <w:t xml:space="preserve">) und Funktion </w:t>
      </w:r>
      <w:r w:rsidR="00B119D5">
        <w:t>(‚</w:t>
      </w:r>
      <w:r>
        <w:t>Fabrikgebäude</w:t>
      </w:r>
      <w:r w:rsidR="00B119D5">
        <w:t>‘</w:t>
      </w:r>
      <w:r>
        <w:t xml:space="preserve">) keinen Einfluss. Damit lassen sich die Artefaktschemata (2), bei denen vom artefakterzeugenden Verhalten abstrahiert wird, von anderen Verhaltensschemata </w:t>
      </w:r>
      <w:r w:rsidR="00B119D5">
        <w:t>trennen</w:t>
      </w:r>
      <w:r>
        <w:t>, die es beim artefakterzeugenden Verhalten noch gibt (z.B. Bauausführungsschemata). Dasselbe gilt für die U</w:t>
      </w:r>
      <w:r>
        <w:t>n</w:t>
      </w:r>
      <w:r>
        <w:t>terkategorie (3) „Textschemata“.</w:t>
      </w:r>
    </w:p>
    <w:p w:rsidR="001960A3" w:rsidRDefault="00D2554C">
      <w:pPr>
        <w:pStyle w:val="Text"/>
      </w:pPr>
      <w:r>
        <w:t xml:space="preserve">Es könnte reizvoll erscheinen, hier eine Reduktion zu versuchen und </w:t>
      </w:r>
      <w:r>
        <w:rPr>
          <w:i/>
        </w:rPr>
        <w:t xml:space="preserve">alle </w:t>
      </w:r>
      <w:r>
        <w:t>Schemata als Verhaltensschemata anzusehen. Artefakte würden dann als Verha</w:t>
      </w:r>
      <w:r>
        <w:t>l</w:t>
      </w:r>
      <w:r>
        <w:t>tensergebnisse angesehen werden: Beispielsweise wäre ein Einfamilienhaus das Verhaltens</w:t>
      </w:r>
      <w:r w:rsidR="00483CBF">
        <w:t>ergebnis des Verhaltensschemas ‚</w:t>
      </w:r>
      <w:r>
        <w:t>Einfamilienhaus bauen</w:t>
      </w:r>
      <w:r w:rsidR="00483CBF">
        <w:t>‘</w:t>
      </w:r>
      <w:r>
        <w:t>.</w:t>
      </w:r>
      <w:r w:rsidR="00B119D5">
        <w:t xml:space="preserve"> </w:t>
      </w:r>
      <w:r>
        <w:t>Was diese Beschreibungsweise durch ihre Reduktion auf nur eine Art von Schema an El</w:t>
      </w:r>
      <w:r>
        <w:t>e</w:t>
      </w:r>
      <w:r>
        <w:lastRenderedPageBreak/>
        <w:t>ganz gewinnt, verliert sie jedoch wieder durch die umständliche und konstruiert wirkende Beschreibung im Bereich der Arte</w:t>
      </w:r>
      <w:r w:rsidR="00483CBF">
        <w:t xml:space="preserve">fakte: Schon die </w:t>
      </w:r>
      <w:r w:rsidR="001960A3">
        <w:t xml:space="preserve">Bezeichnung </w:t>
      </w:r>
      <w:r w:rsidR="008F5DA0">
        <w:t>„</w:t>
      </w:r>
      <w:r w:rsidR="00483CBF">
        <w:t>Ei</w:t>
      </w:r>
      <w:r w:rsidR="00483CBF">
        <w:t>n</w:t>
      </w:r>
      <w:r w:rsidR="00483CBF">
        <w:t>familienhaus bauen</w:t>
      </w:r>
      <w:r w:rsidR="008F5DA0">
        <w:t>“</w:t>
      </w:r>
      <w:r>
        <w:t xml:space="preserve"> zeigt, dass wir </w:t>
      </w:r>
      <w:r w:rsidR="008F5DA0">
        <w:t xml:space="preserve">artefakterzeugendes Verhalten </w:t>
      </w:r>
      <w:r w:rsidR="001960A3">
        <w:t xml:space="preserve">gewöhnlich </w:t>
      </w:r>
      <w:r w:rsidR="008F5DA0">
        <w:t>unter Bezug auf das erzeugte Artefakt beschreiben</w:t>
      </w:r>
      <w:r>
        <w:t xml:space="preserve">; eine Beschreibung der im Bereich der Artefakte geltenden Schemata über das jeweilige artefakterzeugende Verhalten zäumt daher das Pferd von hinten auf. </w:t>
      </w:r>
      <w:r w:rsidR="001960A3">
        <w:t xml:space="preserve">Aufgrund unseres Interesses am Verhaltensergebnis wirkt eine </w:t>
      </w:r>
      <w:r>
        <w:t xml:space="preserve">solche Beschreibung unbefriedigend: So kann das besagte Einfamilienhaus aus verschiedenen Arten von Verhalten hervorgehen (etwa einem planmäßigen oder einem </w:t>
      </w:r>
      <w:r w:rsidR="008F5DA0">
        <w:t xml:space="preserve">improvisierten </w:t>
      </w:r>
      <w:r>
        <w:t>Bauablauf)</w:t>
      </w:r>
      <w:r w:rsidR="001960A3">
        <w:t xml:space="preserve">, was uns aber bei der Betrachtung seines </w:t>
      </w:r>
      <w:r w:rsidR="002B6746">
        <w:t>S</w:t>
      </w:r>
      <w:r w:rsidR="001960A3">
        <w:t>tils nicht interessiert: Wir sagen gewöhnlich, dass zwei in der Fertigstellung gleiche Häuser denselben Stil haben, auch wenn sie auf unterschiedliche Weise gebaut wurden.</w:t>
      </w:r>
    </w:p>
    <w:p w:rsidR="00D2554C" w:rsidRDefault="00D2554C">
      <w:pPr>
        <w:pStyle w:val="Text"/>
      </w:pPr>
      <w:r>
        <w:t>Als ein weiteres Argument gegen diese Zusammenziehung verschiedener Arten von Schemata lässt sich vorbringen, dass Produktionsprozesse zwar im Hinblick auf die herzustellenden Artefakte betrachtet werden können, aber d</w:t>
      </w:r>
      <w:r>
        <w:t>e</w:t>
      </w:r>
      <w:r>
        <w:t>ren Eigenschaften nur sehr verzerrt abbilden: Große Unterschiede in den Art</w:t>
      </w:r>
      <w:r>
        <w:t>e</w:t>
      </w:r>
      <w:r>
        <w:t>fakten sind oft nur an kleinen Unterschieden der Produktionsprozesse erken</w:t>
      </w:r>
      <w:r>
        <w:t>n</w:t>
      </w:r>
      <w:r>
        <w:t>bar (</w:t>
      </w:r>
      <w:r w:rsidR="00AB06BA">
        <w:t xml:space="preserve">beispielsweise kann </w:t>
      </w:r>
      <w:r w:rsidR="00900FD7">
        <w:t>bei eine</w:t>
      </w:r>
      <w:r w:rsidR="007F4AF4">
        <w:t>r</w:t>
      </w:r>
      <w:r w:rsidR="00900FD7">
        <w:t xml:space="preserve"> </w:t>
      </w:r>
      <w:r>
        <w:t>chemische</w:t>
      </w:r>
      <w:r w:rsidR="00900FD7">
        <w:t xml:space="preserve">n </w:t>
      </w:r>
      <w:r w:rsidR="007F4AF4">
        <w:t xml:space="preserve">Reaktion </w:t>
      </w:r>
      <w:r w:rsidR="00900FD7">
        <w:t xml:space="preserve">eine kleine Änderung der Temperatur </w:t>
      </w:r>
      <w:r w:rsidR="00AB06BA">
        <w:t xml:space="preserve">dazu </w:t>
      </w:r>
      <w:r w:rsidR="00900FD7">
        <w:t>führen</w:t>
      </w:r>
      <w:r w:rsidR="00AB06BA">
        <w:t>, dass andere Reaktionsprodukte entstehen</w:t>
      </w:r>
      <w:r>
        <w:t>); nur wenn man die herzustellenden Artefakte kennt, kann man die</w:t>
      </w:r>
      <w:r w:rsidR="007F4AF4">
        <w:t xml:space="preserve"> Relevanz dieser</w:t>
      </w:r>
      <w:r>
        <w:t xml:space="preserve"> kleinen Unterschiede </w:t>
      </w:r>
      <w:r w:rsidR="007F4AF4">
        <w:t>während des Herstellungsvorgangs erkennen</w:t>
      </w:r>
      <w:r>
        <w:t xml:space="preserve">, während umgekehrt auffällige Unterschiede des Herstellungsprozesses (z.B. die </w:t>
      </w:r>
      <w:r w:rsidR="00F13D9A">
        <w:t>Dauer eines Bauvorgangs</w:t>
      </w:r>
      <w:r>
        <w:t>) oft nur kleine oder gar keine Spuren im Artefakt hinterla</w:t>
      </w:r>
      <w:r>
        <w:t>s</w:t>
      </w:r>
      <w:r>
        <w:t>sen. Die genannten Punkte machen eine generelle Beschreibung von Artefakten als Verhaltensergebnis eines bestimmten Verhaltens gerade für eine Stiltheorie kompliziert und unbefriedigend – etwa in Anbetracht der Tatsache, dass sich wichtige stilistische Unterschiede der Artefakte oft kaum im Herstellungspr</w:t>
      </w:r>
      <w:r>
        <w:t>o</w:t>
      </w:r>
      <w:r>
        <w:t>zess abbilden werden.</w:t>
      </w:r>
    </w:p>
    <w:p w:rsidR="00D2554C" w:rsidRDefault="00D2554C">
      <w:pPr>
        <w:pStyle w:val="Titel3"/>
      </w:pPr>
      <w:bookmarkStart w:id="192" w:name="_Ref212125573"/>
      <w:bookmarkStart w:id="193" w:name="_Toc325456729"/>
      <w:bookmarkStart w:id="194" w:name="Schemaort2"/>
      <w:bookmarkStart w:id="195" w:name="Schema3"/>
      <w:r>
        <w:t>Definition von Schema und Schemaort durch Eigenschaften</w:t>
      </w:r>
      <w:bookmarkEnd w:id="192"/>
      <w:bookmarkEnd w:id="193"/>
    </w:p>
    <w:p w:rsidR="00D2554C" w:rsidRDefault="005D7996" w:rsidP="00E61296">
      <w:pPr>
        <w:pStyle w:val="Text"/>
        <w:ind w:firstLine="0"/>
      </w:pPr>
      <w:r>
        <w:fldChar w:fldCharType="begin"/>
      </w:r>
      <w:r w:rsidR="00B00E46">
        <w:instrText xml:space="preserve"> XE "Schema" \r "Schema3" </w:instrText>
      </w:r>
      <w:r>
        <w:fldChar w:fldCharType="end"/>
      </w:r>
      <w:r>
        <w:fldChar w:fldCharType="begin"/>
      </w:r>
      <w:r w:rsidR="00B00E46">
        <w:instrText xml:space="preserve"> XE "</w:instrText>
      </w:r>
      <w:r w:rsidR="00F67AF9">
        <w:instrText>Schemaort</w:instrText>
      </w:r>
      <w:r w:rsidR="00B00E46">
        <w:instrText>" \r "</w:instrText>
      </w:r>
      <w:r w:rsidR="00F67AF9">
        <w:instrText>Schemaort2</w:instrText>
      </w:r>
      <w:r w:rsidR="00B00E46">
        <w:instrText xml:space="preserve">" </w:instrText>
      </w:r>
      <w:r>
        <w:fldChar w:fldCharType="end"/>
      </w:r>
      <w:r w:rsidR="00D2554C">
        <w:t>Schemata und Schemaorte sind abstrakte Entitäten, die als Anleitung für die Erzeugung einer Realisierung verstanden werden können. Ein Schema spezif</w:t>
      </w:r>
      <w:r w:rsidR="00D2554C">
        <w:t>i</w:t>
      </w:r>
      <w:r w:rsidR="00D2554C">
        <w:t>ziert verschiedene Schemaorte. Diese grenzen jeweils eine</w:t>
      </w:r>
      <w:r w:rsidR="00F514C4">
        <w:t xml:space="preserve"> Menge von Elementen ab, die dem</w:t>
      </w:r>
      <w:r w:rsidR="00D2554C">
        <w:t xml:space="preserve"> jeweiligen Schemaort des Schemas </w:t>
      </w:r>
      <w:r w:rsidR="00F514C4">
        <w:t>zugeordnet werden</w:t>
      </w:r>
      <w:r w:rsidR="00D2554C">
        <w:t>. Hier soll davon ausgegangen werden, dass diese Abgrenzung auch als Menge von Eige</w:t>
      </w:r>
      <w:r w:rsidR="00D2554C">
        <w:t>n</w:t>
      </w:r>
      <w:r w:rsidR="00D2554C">
        <w:t>schaften angegeben werden kann, die jeder Realisierung des jeweiligen Schem</w:t>
      </w:r>
      <w:r w:rsidR="00D2554C">
        <w:t>a</w:t>
      </w:r>
      <w:r w:rsidR="00D2554C">
        <w:t xml:space="preserve">orts eines Schemas zukommt. Diese Eigenschaften können als notwendige und </w:t>
      </w:r>
      <w:r w:rsidR="00067EE0">
        <w:t xml:space="preserve">zusammen </w:t>
      </w:r>
      <w:r w:rsidR="00D2554C">
        <w:t>hinreichende Bedingungen dafür betrachtet werden, dass einem b</w:t>
      </w:r>
      <w:r w:rsidR="00D2554C">
        <w:t>e</w:t>
      </w:r>
      <w:r w:rsidR="00D2554C">
        <w:t>stimmten Element ein bestimmter Schemaort eines bestimmten Schema</w:t>
      </w:r>
      <w:r w:rsidR="009C2D25">
        <w:t>s</w:t>
      </w:r>
      <w:r w:rsidR="00D2554C">
        <w:t xml:space="preserve"> zug</w:t>
      </w:r>
      <w:r w:rsidR="00D2554C">
        <w:t>e</w:t>
      </w:r>
      <w:r w:rsidR="00D2554C">
        <w:t xml:space="preserve">ordnet werden kann. Schemaorte </w:t>
      </w:r>
      <w:r w:rsidR="00946B39">
        <w:t xml:space="preserve">bilden </w:t>
      </w:r>
      <w:r w:rsidR="00D2554C">
        <w:t>also Klassen von (1) Aspekten von Ve</w:t>
      </w:r>
      <w:r w:rsidR="00D2554C">
        <w:t>r</w:t>
      </w:r>
      <w:r w:rsidR="00D2554C">
        <w:lastRenderedPageBreak/>
        <w:t xml:space="preserve">haltensweisen, (2) Aspekten von Artefakten und (3) Aspekten von Zeichen. Unter „Klasse“ wird hier eine intensional </w:t>
      </w:r>
      <w:r w:rsidR="00EC7148">
        <w:t xml:space="preserve">durch die Angabe </w:t>
      </w:r>
      <w:r w:rsidR="009E798E">
        <w:t>notwendige</w:t>
      </w:r>
      <w:r w:rsidR="00EC7148">
        <w:t>r</w:t>
      </w:r>
      <w:r w:rsidR="009E798E">
        <w:t xml:space="preserve"> und hinreichende</w:t>
      </w:r>
      <w:r w:rsidR="00EC7148">
        <w:t>r</w:t>
      </w:r>
      <w:r w:rsidR="009E798E">
        <w:t xml:space="preserve"> </w:t>
      </w:r>
      <w:r w:rsidR="00D2554C">
        <w:t xml:space="preserve">Eigenschaften </w:t>
      </w:r>
      <w:r w:rsidR="009E798E">
        <w:t xml:space="preserve">für die Elementrelation </w:t>
      </w:r>
      <w:r w:rsidR="0092389D">
        <w:t>beschriebene</w:t>
      </w:r>
      <w:r w:rsidR="00EC7148">
        <w:t xml:space="preserve"> </w:t>
      </w:r>
      <w:r w:rsidR="00D2554C">
        <w:t>Menge ve</w:t>
      </w:r>
      <w:r w:rsidR="00D2554C">
        <w:t>r</w:t>
      </w:r>
      <w:r w:rsidR="00D2554C">
        <w:t>standen.</w:t>
      </w:r>
      <w:r w:rsidR="00D2554C">
        <w:rPr>
          <w:rStyle w:val="Funotenzeichen"/>
        </w:rPr>
        <w:footnoteReference w:id="301"/>
      </w:r>
    </w:p>
    <w:p w:rsidR="00FB6496" w:rsidRDefault="00D2554C">
      <w:pPr>
        <w:pStyle w:val="Text"/>
      </w:pPr>
      <w:r>
        <w:t xml:space="preserve">Jedes Schema umfasst eine </w:t>
      </w:r>
      <w:r w:rsidR="00946B39">
        <w:t xml:space="preserve">geordnete </w:t>
      </w:r>
      <w:r>
        <w:t>Menge</w:t>
      </w:r>
      <w:r w:rsidR="005D7996">
        <w:fldChar w:fldCharType="begin"/>
      </w:r>
      <w:r w:rsidR="00C2705E">
        <w:instrText xml:space="preserve"> XE "</w:instrText>
      </w:r>
      <w:r w:rsidR="00C2705E" w:rsidRPr="00E332F0">
        <w:instrText>Menge, geordnete</w:instrText>
      </w:r>
      <w:r w:rsidR="00C2705E">
        <w:instrText xml:space="preserve">" </w:instrText>
      </w:r>
      <w:r w:rsidR="005D7996">
        <w:fldChar w:fldCharType="end"/>
      </w:r>
      <w:r>
        <w:t xml:space="preserve"> </w:t>
      </w:r>
      <w:r w:rsidR="00483CBF">
        <w:t>von Schemaorten</w:t>
      </w:r>
      <w:r w:rsidR="001F2E4B">
        <w:t>.</w:t>
      </w:r>
      <w:r w:rsidR="00137A28">
        <w:rPr>
          <w:rStyle w:val="Funotenzeichen"/>
        </w:rPr>
        <w:footnoteReference w:id="302"/>
      </w:r>
      <w:r w:rsidR="00483CBF">
        <w:t xml:space="preserve"> </w:t>
      </w:r>
      <w:r w:rsidR="003E3335">
        <w:t xml:space="preserve">Auf den </w:t>
      </w:r>
      <w:r w:rsidR="001A5412" w:rsidRPr="001A5412">
        <w:rPr>
          <w:i/>
        </w:rPr>
        <w:t>j</w:t>
      </w:r>
      <w:r w:rsidR="001A5412">
        <w:t>te</w:t>
      </w:r>
      <w:r w:rsidR="003E3335">
        <w:t>n</w:t>
      </w:r>
      <w:r w:rsidR="001A5412">
        <w:t xml:space="preserve"> </w:t>
      </w:r>
      <w:r w:rsidR="00483CBF">
        <w:t xml:space="preserve">Schemaort des </w:t>
      </w:r>
      <w:r w:rsidR="001A5412" w:rsidRPr="001A5412">
        <w:rPr>
          <w:i/>
        </w:rPr>
        <w:t>i</w:t>
      </w:r>
      <w:r w:rsidR="001A5412">
        <w:t xml:space="preserve">ten </w:t>
      </w:r>
      <w:r w:rsidR="00483CBF">
        <w:t xml:space="preserve">Schemas </w:t>
      </w:r>
      <w:r>
        <w:t xml:space="preserve">wird </w:t>
      </w:r>
      <w:r w:rsidR="003E3335">
        <w:t xml:space="preserve">zugegriffen </w:t>
      </w:r>
      <w:r w:rsidR="001F2E4B">
        <w:t xml:space="preserve">als </w:t>
      </w:r>
      <w:r w:rsidR="001F2E4B">
        <w:rPr>
          <w:i/>
        </w:rPr>
        <w:t>O</w:t>
      </w:r>
      <w:r w:rsidR="001F2E4B">
        <w:rPr>
          <w:i/>
          <w:vertAlign w:val="subscript"/>
        </w:rPr>
        <w:t>j</w:t>
      </w:r>
      <w:r w:rsidR="001F2E4B">
        <w:t>(</w:t>
      </w:r>
      <w:r w:rsidR="001F2E4B">
        <w:rPr>
          <w:i/>
        </w:rPr>
        <w:t>S</w:t>
      </w:r>
      <w:r w:rsidR="001F2E4B">
        <w:rPr>
          <w:i/>
          <w:vertAlign w:val="subscript"/>
        </w:rPr>
        <w:t>i</w:t>
      </w:r>
      <w:r w:rsidR="001F2E4B">
        <w:t xml:space="preserve">). Er wird </w:t>
      </w:r>
      <w:r>
        <w:t xml:space="preserve">intensional definiert durch </w:t>
      </w:r>
      <w:r w:rsidR="0065360F">
        <w:t xml:space="preserve">eine Menge von </w:t>
      </w:r>
      <w:r w:rsidR="00AD2226">
        <w:rPr>
          <w:bCs/>
          <w:i/>
        </w:rPr>
        <w:t>Schemaort-d</w:t>
      </w:r>
      <w:r w:rsidRPr="004502A0">
        <w:rPr>
          <w:bCs/>
          <w:i/>
        </w:rPr>
        <w:t>efinierenden Eigenschaften</w:t>
      </w:r>
      <w:r w:rsidR="001A5412">
        <w:t>,</w:t>
      </w:r>
      <w:r w:rsidR="00277ED1">
        <w:t xml:space="preserve"> </w:t>
      </w:r>
      <w:r w:rsidR="0065360F">
        <w:t>die z</w:t>
      </w:r>
      <w:r w:rsidR="0065360F">
        <w:t>u</w:t>
      </w:r>
      <w:r w:rsidR="0065360F">
        <w:t xml:space="preserve">sammen als </w:t>
      </w:r>
      <w:r w:rsidR="0065360F" w:rsidRPr="0065360F">
        <w:rPr>
          <w:i/>
        </w:rPr>
        <w:t>Schemaortbedingungen</w:t>
      </w:r>
      <w:r w:rsidR="001F2E4B">
        <w:rPr>
          <w:i/>
        </w:rPr>
        <w:t xml:space="preserve"> Ob</w:t>
      </w:r>
      <w:r w:rsidR="0065360F">
        <w:t xml:space="preserve"> dieses Schemaorts bezeichnet werden.</w:t>
      </w:r>
      <w:r w:rsidR="00E56817">
        <w:t xml:space="preserve"> Auf sie wird als </w:t>
      </w:r>
      <w:r w:rsidR="001F2E4B">
        <w:rPr>
          <w:i/>
        </w:rPr>
        <w:t>Ob</w:t>
      </w:r>
      <w:r w:rsidR="001F2E4B">
        <w:t>(</w:t>
      </w:r>
      <w:r w:rsidR="00E56817">
        <w:rPr>
          <w:i/>
        </w:rPr>
        <w:t>O</w:t>
      </w:r>
      <w:r w:rsidR="00E56817">
        <w:rPr>
          <w:i/>
          <w:vertAlign w:val="subscript"/>
        </w:rPr>
        <w:t>j</w:t>
      </w:r>
      <w:r w:rsidR="00E56817">
        <w:t>(</w:t>
      </w:r>
      <w:r w:rsidR="00E56817">
        <w:rPr>
          <w:i/>
        </w:rPr>
        <w:t>S</w:t>
      </w:r>
      <w:r w:rsidR="00E56817">
        <w:rPr>
          <w:i/>
          <w:vertAlign w:val="subscript"/>
        </w:rPr>
        <w:t>i</w:t>
      </w:r>
      <w:r w:rsidR="00E56817">
        <w:t>)</w:t>
      </w:r>
      <w:r w:rsidR="001F2E4B">
        <w:t>)</w:t>
      </w:r>
      <w:r w:rsidR="00E56817">
        <w:t xml:space="preserve"> zugegriffen.</w:t>
      </w:r>
    </w:p>
    <w:p w:rsidR="00D2554C" w:rsidRDefault="00D2554C">
      <w:pPr>
        <w:pStyle w:val="Text"/>
      </w:pPr>
      <w:r>
        <w:t xml:space="preserve">Zu </w:t>
      </w:r>
      <w:r w:rsidR="001F2E4B">
        <w:t xml:space="preserve">jedem </w:t>
      </w:r>
      <w:r>
        <w:t xml:space="preserve">Schemaort gibt es </w:t>
      </w:r>
      <w:r w:rsidRPr="0065360F">
        <w:rPr>
          <w:bCs/>
          <w:i/>
        </w:rPr>
        <w:t>Zusatzeigenschaften</w:t>
      </w:r>
      <w:r w:rsidR="005D7996">
        <w:rPr>
          <w:bCs/>
          <w:i/>
        </w:rPr>
        <w:fldChar w:fldCharType="begin"/>
      </w:r>
      <w:r w:rsidR="00D6214C">
        <w:instrText xml:space="preserve"> XE "</w:instrText>
      </w:r>
      <w:r w:rsidR="00D6214C" w:rsidRPr="0034482F">
        <w:instrText>Eigenschaften:Zusatzeigenschaften</w:instrText>
      </w:r>
      <w:r w:rsidR="00D6214C">
        <w:instrText xml:space="preserve">" </w:instrText>
      </w:r>
      <w:r w:rsidR="005D7996">
        <w:rPr>
          <w:bCs/>
          <w:i/>
        </w:rPr>
        <w:fldChar w:fldCharType="end"/>
      </w:r>
      <w:r w:rsidR="001F2E4B">
        <w:rPr>
          <w:bCs/>
        </w:rPr>
        <w:t xml:space="preserve"> (</w:t>
      </w:r>
      <w:r w:rsidR="001F2E4B" w:rsidRPr="001F2E4B">
        <w:rPr>
          <w:bCs/>
        </w:rPr>
        <w:t>oder</w:t>
      </w:r>
      <w:r w:rsidR="001F2E4B">
        <w:rPr>
          <w:bCs/>
        </w:rPr>
        <w:t xml:space="preserve"> </w:t>
      </w:r>
      <w:r w:rsidR="001F2E4B" w:rsidRPr="001F2E4B">
        <w:rPr>
          <w:bCs/>
          <w:i/>
        </w:rPr>
        <w:t>mö</w:t>
      </w:r>
      <w:r w:rsidR="00CE514D">
        <w:rPr>
          <w:bCs/>
          <w:i/>
        </w:rPr>
        <w:t>gliche</w:t>
      </w:r>
      <w:r w:rsidR="001F2E4B" w:rsidRPr="001F2E4B">
        <w:rPr>
          <w:bCs/>
          <w:i/>
        </w:rPr>
        <w:t xml:space="preserve"> Zusatzbedi</w:t>
      </w:r>
      <w:r w:rsidR="001F2E4B" w:rsidRPr="001F2E4B">
        <w:rPr>
          <w:bCs/>
          <w:i/>
        </w:rPr>
        <w:t>n</w:t>
      </w:r>
      <w:r w:rsidR="001F2E4B" w:rsidRPr="001F2E4B">
        <w:rPr>
          <w:bCs/>
          <w:i/>
        </w:rPr>
        <w:t>gungen</w:t>
      </w:r>
      <w:r w:rsidR="001F2E4B">
        <w:rPr>
          <w:bCs/>
        </w:rPr>
        <w:t>)</w:t>
      </w:r>
      <w:r w:rsidR="001F2E4B" w:rsidRPr="001F2E4B">
        <w:rPr>
          <w:bCs/>
        </w:rPr>
        <w:t xml:space="preserve"> </w:t>
      </w:r>
      <w:r w:rsidR="00277ED1">
        <w:rPr>
          <w:i/>
        </w:rPr>
        <w:t>Z</w:t>
      </w:r>
      <w:r w:rsidR="00277ED1">
        <w:rPr>
          <w:i/>
          <w:vertAlign w:val="subscript"/>
        </w:rPr>
        <w:t>j</w:t>
      </w:r>
      <w:r>
        <w:t xml:space="preserve">, die auf </w:t>
      </w:r>
      <w:r w:rsidR="00561761">
        <w:rPr>
          <w:i/>
        </w:rPr>
        <w:t>O</w:t>
      </w:r>
      <w:r w:rsidR="00561761">
        <w:rPr>
          <w:i/>
          <w:vertAlign w:val="subscript"/>
        </w:rPr>
        <w:t>j</w:t>
      </w:r>
      <w:r w:rsidR="00561761">
        <w:t xml:space="preserve"> </w:t>
      </w:r>
      <w:r>
        <w:t xml:space="preserve">angewandt werden können, wobei sie den durch ihn </w:t>
      </w:r>
      <w:r w:rsidR="00137A28">
        <w:t>festg</w:t>
      </w:r>
      <w:r w:rsidR="00137A28">
        <w:t>e</w:t>
      </w:r>
      <w:r w:rsidR="00137A28">
        <w:t xml:space="preserve">legten </w:t>
      </w:r>
      <w:r>
        <w:t xml:space="preserve">Sachverhalt weiter spezifizieren. </w:t>
      </w:r>
      <w:r w:rsidR="00E56817">
        <w:t xml:space="preserve">Auf sie wird als </w:t>
      </w:r>
      <w:r w:rsidR="001F2E4B">
        <w:rPr>
          <w:i/>
        </w:rPr>
        <w:t>Zb</w:t>
      </w:r>
      <w:r w:rsidR="001F2E4B">
        <w:t>(</w:t>
      </w:r>
      <w:r w:rsidR="001F2E4B">
        <w:rPr>
          <w:i/>
        </w:rPr>
        <w:t>O</w:t>
      </w:r>
      <w:r w:rsidR="001F2E4B">
        <w:rPr>
          <w:i/>
          <w:vertAlign w:val="subscript"/>
        </w:rPr>
        <w:t>j</w:t>
      </w:r>
      <w:r w:rsidR="001F2E4B">
        <w:t>(</w:t>
      </w:r>
      <w:r w:rsidR="001F2E4B">
        <w:rPr>
          <w:i/>
        </w:rPr>
        <w:t>S</w:t>
      </w:r>
      <w:r w:rsidR="001F2E4B">
        <w:rPr>
          <w:i/>
          <w:vertAlign w:val="subscript"/>
        </w:rPr>
        <w:t>i</w:t>
      </w:r>
      <w:r w:rsidR="001F2E4B">
        <w:t>))</w:t>
      </w:r>
      <w:r w:rsidR="00E56817">
        <w:t xml:space="preserve"> zugegriffen. </w:t>
      </w:r>
      <w:r w:rsidR="0065360F">
        <w:t xml:space="preserve">Die für eine </w:t>
      </w:r>
      <w:r w:rsidR="001F2E4B">
        <w:t xml:space="preserve">bestimmte </w:t>
      </w:r>
      <w:r w:rsidR="00ED5BE9">
        <w:t>Alter</w:t>
      </w:r>
      <w:r w:rsidR="00ED5BE9">
        <w:softHyphen/>
        <w:t>nativen</w:t>
      </w:r>
      <w:r w:rsidR="00ED5BE9">
        <w:softHyphen/>
        <w:t>klasse</w:t>
      </w:r>
      <w:r w:rsidR="0065360F">
        <w:t xml:space="preserve"> spezifizierten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65360F">
        <w:t xml:space="preserve"> werden als </w:t>
      </w:r>
      <w:r w:rsidR="0065360F" w:rsidRPr="0065360F">
        <w:rPr>
          <w:i/>
        </w:rPr>
        <w:t>Zusatzbedingungen</w:t>
      </w:r>
      <w:r w:rsidR="0065360F">
        <w:t xml:space="preserve"> bezeichnet. </w:t>
      </w:r>
      <w:r>
        <w:t xml:space="preserve">Die Funktion </w:t>
      </w:r>
      <w:r w:rsidR="0065360F">
        <w:t>von Zusatzbedingungen</w:t>
      </w:r>
      <w:r>
        <w:t xml:space="preserve"> wird später deutlich werden; vorerst reicht es, sich klarzumachen, dass die Me</w:t>
      </w:r>
      <w:r>
        <w:t>n</w:t>
      </w:r>
      <w:r>
        <w:t xml:space="preserve">ge der möglichen </w:t>
      </w:r>
      <w:r w:rsidRPr="00E56817">
        <w:t>Zusatz</w:t>
      </w:r>
      <w:r w:rsidR="00A7248F">
        <w:t>bedingungen</w:t>
      </w:r>
      <w:r>
        <w:t xml:space="preserve"> </w:t>
      </w:r>
      <w:r w:rsidR="00E56817">
        <w:t xml:space="preserve">für jeden Schemaort </w:t>
      </w:r>
      <w:r>
        <w:t>unterschiedlich sein kann und daher in der Schemadefinition gespeichert werden muss.</w:t>
      </w:r>
      <w:r w:rsidR="009452A6">
        <w:rPr>
          <w:rStyle w:val="Funotenzeichen"/>
        </w:rPr>
        <w:footnoteReference w:id="303"/>
      </w:r>
    </w:p>
    <w:p w:rsidR="001F2E4B" w:rsidRDefault="001F2E4B">
      <w:pPr>
        <w:pStyle w:val="Text"/>
      </w:pPr>
      <w:r>
        <w:t xml:space="preserve">Die Schemata sind in der Menge </w:t>
      </w:r>
      <w:r w:rsidRPr="001F2E4B">
        <w:rPr>
          <w:i/>
        </w:rPr>
        <w:t>S</w:t>
      </w:r>
      <w:r>
        <w:t xml:space="preserve"> gespeichert. Jedes Schema ist ein 3-Tupel &lt;</w:t>
      </w:r>
      <w:r w:rsidRPr="0065440B">
        <w:rPr>
          <w:i/>
          <w:lang w:val="it-IT"/>
        </w:rPr>
        <w:t>N</w:t>
      </w:r>
      <w:r>
        <w:rPr>
          <w:lang w:val="it-IT"/>
        </w:rPr>
        <w:t xml:space="preserve">, </w:t>
      </w:r>
      <w:r>
        <w:rPr>
          <w:i/>
          <w:lang w:val="it-IT"/>
        </w:rPr>
        <w:t>So</w:t>
      </w:r>
      <w:r>
        <w:rPr>
          <w:lang w:val="it-IT"/>
        </w:rPr>
        <w:t xml:space="preserve">, </w:t>
      </w:r>
      <w:r>
        <w:rPr>
          <w:i/>
          <w:lang w:val="it-IT"/>
        </w:rPr>
        <w:t>O</w:t>
      </w:r>
      <w:r>
        <w:t xml:space="preserve">&gt;, wobei </w:t>
      </w:r>
      <w:r w:rsidRPr="002F7ACD">
        <w:rPr>
          <w:i/>
        </w:rPr>
        <w:t>N</w:t>
      </w:r>
      <w:r>
        <w:t xml:space="preserve"> den Namen, </w:t>
      </w:r>
      <w:r>
        <w:rPr>
          <w:i/>
          <w:lang w:val="it-IT"/>
        </w:rPr>
        <w:t>So</w:t>
      </w:r>
      <w:r>
        <w:rPr>
          <w:lang w:val="it-IT"/>
        </w:rPr>
        <w:t xml:space="preserve"> die Sortenbezeichnung </w:t>
      </w:r>
      <w:r>
        <w:t>(Verhaltenssch</w:t>
      </w:r>
      <w:r>
        <w:t>e</w:t>
      </w:r>
      <w:r>
        <w:t xml:space="preserve">ma, Artefaktschema oder Textschema) und </w:t>
      </w:r>
      <w:r w:rsidRPr="001F2E4B">
        <w:rPr>
          <w:i/>
        </w:rPr>
        <w:t>O</w:t>
      </w:r>
      <w:r>
        <w:t xml:space="preserve"> die </w:t>
      </w:r>
      <w:r w:rsidR="008A6C21">
        <w:t xml:space="preserve">Menge der </w:t>
      </w:r>
      <w:r>
        <w:t xml:space="preserve">Schemaorte des Schemas enthält. </w:t>
      </w:r>
      <w:r w:rsidR="008A6C21">
        <w:t xml:space="preserve">Jeder Schemaort ist ein </w:t>
      </w:r>
      <w:r>
        <w:t xml:space="preserve">2-Tupel </w:t>
      </w:r>
      <w:r w:rsidR="008A6C21">
        <w:t>&lt;</w:t>
      </w:r>
      <w:r w:rsidR="008A6C21">
        <w:rPr>
          <w:i/>
        </w:rPr>
        <w:t>Ob</w:t>
      </w:r>
      <w:r w:rsidR="008A6C21">
        <w:t xml:space="preserve">, </w:t>
      </w:r>
      <w:r w:rsidR="008A6C21">
        <w:rPr>
          <w:i/>
        </w:rPr>
        <w:t>Zb</w:t>
      </w:r>
      <w:r w:rsidR="008A6C21">
        <w:t>&gt;</w:t>
      </w:r>
      <w:r>
        <w:t xml:space="preserve">, </w:t>
      </w:r>
      <w:r w:rsidR="008A6C21">
        <w:t xml:space="preserve">wobei </w:t>
      </w:r>
      <w:r>
        <w:rPr>
          <w:i/>
        </w:rPr>
        <w:t>Ob</w:t>
      </w:r>
      <w:r>
        <w:t xml:space="preserve"> </w:t>
      </w:r>
      <w:r w:rsidR="008A6C21">
        <w:t xml:space="preserve">die Schemaortbedingungen und </w:t>
      </w:r>
      <w:r w:rsidRPr="00E46C53">
        <w:rPr>
          <w:i/>
        </w:rPr>
        <w:t>Zb</w:t>
      </w:r>
      <w:r>
        <w:t xml:space="preserve"> </w:t>
      </w:r>
      <w:r w:rsidR="008A6C21">
        <w:t>die Zusatzbedingungen des Schemaorts enthält.</w:t>
      </w:r>
    </w:p>
    <w:p w:rsidR="00FD0991" w:rsidRDefault="00E56817" w:rsidP="00FD0991">
      <w:pPr>
        <w:pStyle w:val="Text"/>
        <w:rPr>
          <w:rFonts w:cs="Times New Roman"/>
        </w:rPr>
      </w:pPr>
      <w:r>
        <w:rPr>
          <w:rFonts w:cs="Times New Roman"/>
        </w:rPr>
        <w:t>Damit die Definition der Schemaorte</w:t>
      </w:r>
      <w:r w:rsidR="00FD0991">
        <w:rPr>
          <w:rFonts w:cs="Times New Roman"/>
        </w:rPr>
        <w:t xml:space="preserve"> </w:t>
      </w:r>
      <w:r w:rsidR="008A6C21">
        <w:rPr>
          <w:rFonts w:cs="Times New Roman"/>
        </w:rPr>
        <w:t xml:space="preserve">der Schemata </w:t>
      </w:r>
      <w:r w:rsidR="00FD0991">
        <w:rPr>
          <w:rFonts w:cs="Times New Roman"/>
        </w:rPr>
        <w:t xml:space="preserve">möglich </w:t>
      </w:r>
      <w:r>
        <w:rPr>
          <w:rFonts w:cs="Times New Roman"/>
        </w:rPr>
        <w:t>ist</w:t>
      </w:r>
      <w:r w:rsidR="00FD0991">
        <w:rPr>
          <w:rFonts w:cs="Times New Roman"/>
        </w:rPr>
        <w:t>, ist eine O</w:t>
      </w:r>
      <w:r w:rsidR="00FD0991">
        <w:rPr>
          <w:rFonts w:cs="Times New Roman"/>
        </w:rPr>
        <w:t>n</w:t>
      </w:r>
      <w:r w:rsidR="00FD0991">
        <w:rPr>
          <w:rFonts w:cs="Times New Roman"/>
        </w:rPr>
        <w:t>tologie</w:t>
      </w:r>
      <w:r w:rsidR="005D7996">
        <w:rPr>
          <w:rFonts w:cs="Times New Roman"/>
        </w:rPr>
        <w:fldChar w:fldCharType="begin"/>
      </w:r>
      <w:r w:rsidR="00295552">
        <w:instrText xml:space="preserve"> XE "</w:instrText>
      </w:r>
      <w:r w:rsidR="00295552" w:rsidRPr="007E1A6B">
        <w:instrText>Ontologie</w:instrText>
      </w:r>
      <w:r w:rsidR="00295552">
        <w:instrText xml:space="preserve">" </w:instrText>
      </w:r>
      <w:r w:rsidR="005D7996">
        <w:rPr>
          <w:rFonts w:cs="Times New Roman"/>
        </w:rPr>
        <w:fldChar w:fldCharType="end"/>
      </w:r>
      <w:r w:rsidR="00FD0991">
        <w:rPr>
          <w:rFonts w:cs="Times New Roman"/>
        </w:rPr>
        <w:t xml:space="preserve"> </w:t>
      </w:r>
      <w:r w:rsidR="002B6746">
        <w:rPr>
          <w:rFonts w:cs="Times New Roman"/>
        </w:rPr>
        <w:t>erforderlich</w:t>
      </w:r>
      <w:r w:rsidR="00FD0991">
        <w:rPr>
          <w:rFonts w:cs="Times New Roman"/>
        </w:rPr>
        <w:t>, die für jeden Schemaort die Eigenschaften, die ihn intensional definieren, sowie die möglichen Zusatz</w:t>
      </w:r>
      <w:r w:rsidR="00A7248F">
        <w:rPr>
          <w:rFonts w:cs="Times New Roman"/>
        </w:rPr>
        <w:t>bedingungen</w:t>
      </w:r>
      <w:r>
        <w:rPr>
          <w:rFonts w:cs="Times New Roman"/>
        </w:rPr>
        <w:t xml:space="preserve"> angibt.</w:t>
      </w:r>
      <w:r>
        <w:rPr>
          <w:rStyle w:val="Funotenzeichen"/>
          <w:rFonts w:cs="Times New Roman"/>
        </w:rPr>
        <w:footnoteReference w:id="304"/>
      </w:r>
    </w:p>
    <w:p w:rsidR="004C24B1" w:rsidRPr="001001BD" w:rsidRDefault="00FD0991" w:rsidP="006E29B0">
      <w:pPr>
        <w:pStyle w:val="Text"/>
        <w:rPr>
          <w:rFonts w:cs="Times New Roman"/>
        </w:rPr>
      </w:pPr>
      <w:r>
        <w:rPr>
          <w:rFonts w:cs="Times New Roman"/>
        </w:rPr>
        <w:t xml:space="preserve">Innerhalb des Modells erfolgt die </w:t>
      </w:r>
      <w:r w:rsidR="00E56817">
        <w:rPr>
          <w:rFonts w:cs="Times New Roman"/>
        </w:rPr>
        <w:t xml:space="preserve">Festlegung </w:t>
      </w:r>
      <w:r>
        <w:rPr>
          <w:rFonts w:cs="Times New Roman"/>
        </w:rPr>
        <w:t xml:space="preserve">der </w:t>
      </w:r>
      <w:r w:rsidR="001F2E4B">
        <w:rPr>
          <w:rFonts w:cs="Times New Roman"/>
        </w:rPr>
        <w:t xml:space="preserve">Menge der </w:t>
      </w:r>
      <w:r>
        <w:rPr>
          <w:rFonts w:cs="Times New Roman"/>
        </w:rPr>
        <w:t xml:space="preserve">Schemata </w:t>
      </w:r>
      <w:r w:rsidR="001F2E4B" w:rsidRPr="001F2E4B">
        <w:rPr>
          <w:rFonts w:cs="Times New Roman"/>
          <w:i/>
        </w:rPr>
        <w:t>S</w:t>
      </w:r>
      <w:r w:rsidR="001F2E4B">
        <w:rPr>
          <w:rFonts w:cs="Times New Roman"/>
        </w:rPr>
        <w:t xml:space="preserve"> </w:t>
      </w:r>
      <w:r>
        <w:rPr>
          <w:rFonts w:cs="Times New Roman"/>
        </w:rPr>
        <w:t xml:space="preserve">durch die Funktion </w:t>
      </w:r>
      <w:r w:rsidRPr="0025073F">
        <w:rPr>
          <w:rFonts w:cs="Times New Roman"/>
          <w:i/>
        </w:rPr>
        <w:t>Schemata_zusammenstellen</w:t>
      </w:r>
      <w:r w:rsidR="00DE6FEA">
        <w:rPr>
          <w:rFonts w:cs="Times New Roman"/>
        </w:rPr>
        <w:t>;</w:t>
      </w:r>
      <w:r w:rsidR="001001BD">
        <w:rPr>
          <w:rFonts w:cs="Times New Roman"/>
        </w:rPr>
        <w:t xml:space="preserve"> </w:t>
      </w:r>
      <w:r w:rsidR="00DE6FEA">
        <w:rPr>
          <w:rFonts w:cs="Times New Roman"/>
        </w:rPr>
        <w:t>i</w:t>
      </w:r>
      <w:r w:rsidR="001001BD">
        <w:rPr>
          <w:rFonts w:cs="Times New Roman"/>
        </w:rPr>
        <w:t xml:space="preserve">n der Beschreibung dieser Funktion wird die formale Spezifikation der Schemata </w:t>
      </w:r>
      <w:r w:rsidR="00DE6FEA">
        <w:rPr>
          <w:rFonts w:cs="Times New Roman"/>
        </w:rPr>
        <w:t>gegeben</w:t>
      </w:r>
      <w:r w:rsidR="001001BD">
        <w:rPr>
          <w:rFonts w:cs="Times New Roman"/>
        </w:rPr>
        <w:t>.</w:t>
      </w:r>
      <w:r w:rsidR="00DE6FEA">
        <w:rPr>
          <w:rStyle w:val="Funotenzeichen"/>
          <w:rFonts w:cs="Times New Roman"/>
        </w:rPr>
        <w:footnoteReference w:id="305"/>
      </w:r>
      <w:r>
        <w:rPr>
          <w:rFonts w:cs="Times New Roman"/>
        </w:rPr>
        <w:t xml:space="preserve"> </w:t>
      </w:r>
      <w:r w:rsidR="00DE6FEA">
        <w:rPr>
          <w:rFonts w:cs="Times New Roman"/>
        </w:rPr>
        <w:t xml:space="preserve">Sie wird </w:t>
      </w:r>
      <w:r w:rsidR="001001BD">
        <w:rPr>
          <w:rFonts w:cs="Times New Roman"/>
        </w:rPr>
        <w:t xml:space="preserve">bei </w:t>
      </w:r>
      <w:r w:rsidR="001001BD">
        <w:rPr>
          <w:rFonts w:cs="Times New Roman"/>
        </w:rPr>
        <w:lastRenderedPageBreak/>
        <w:t xml:space="preserve">der </w:t>
      </w:r>
      <w:r w:rsidR="00F92D9F">
        <w:rPr>
          <w:rFonts w:cs="Times New Roman"/>
        </w:rPr>
        <w:t>Schema</w:t>
      </w:r>
      <w:r w:rsidR="001001BD">
        <w:rPr>
          <w:rFonts w:cs="Times New Roman"/>
        </w:rPr>
        <w:t>ausführung aufgerufen</w:t>
      </w:r>
      <w:r w:rsidR="00DE6FEA">
        <w:rPr>
          <w:rFonts w:cs="Times New Roman"/>
        </w:rPr>
        <w:t xml:space="preserve"> und </w:t>
      </w:r>
      <w:r w:rsidR="001001BD">
        <w:rPr>
          <w:rFonts w:cs="Times New Roman"/>
        </w:rPr>
        <w:t xml:space="preserve">liefert die Menge der Schemata, aus </w:t>
      </w:r>
      <w:r w:rsidR="00DE6FEA">
        <w:rPr>
          <w:rFonts w:cs="Times New Roman"/>
        </w:rPr>
        <w:t xml:space="preserve">denen </w:t>
      </w:r>
      <w:r w:rsidR="001001BD">
        <w:rPr>
          <w:rFonts w:cs="Times New Roman"/>
        </w:rPr>
        <w:t xml:space="preserve">der </w:t>
      </w:r>
      <w:r w:rsidR="00C75387">
        <w:rPr>
          <w:rFonts w:cs="Times New Roman"/>
        </w:rPr>
        <w:t>Stilanwender</w:t>
      </w:r>
      <w:r w:rsidR="001001BD">
        <w:rPr>
          <w:rFonts w:cs="Times New Roman"/>
        </w:rPr>
        <w:t xml:space="preserve"> auswählen kann. Sie wird auch beim </w:t>
      </w:r>
      <w:r w:rsidR="00BE695D">
        <w:t>Wahrnehmen</w:t>
      </w:r>
      <w:r w:rsidR="001001BD">
        <w:rPr>
          <w:rFonts w:cs="Times New Roman"/>
        </w:rPr>
        <w:t xml:space="preserve"> eines Stils aufgerufen, wenn der </w:t>
      </w:r>
      <w:r w:rsidR="00C75387">
        <w:rPr>
          <w:rFonts w:cs="Times New Roman"/>
        </w:rPr>
        <w:t>Stilwahrnehmer</w:t>
      </w:r>
      <w:r w:rsidR="001001BD">
        <w:rPr>
          <w:rFonts w:cs="Times New Roman"/>
        </w:rPr>
        <w:t xml:space="preserve"> die Realisierung einem der ihm bekannten Schemata zuordnet</w:t>
      </w:r>
      <w:r w:rsidR="00DE6FEA">
        <w:rPr>
          <w:rFonts w:cs="Times New Roman"/>
        </w:rPr>
        <w:t>.</w:t>
      </w:r>
      <w:r w:rsidR="00DE6FEA">
        <w:rPr>
          <w:rStyle w:val="Funotenzeichen"/>
          <w:rFonts w:cs="Times New Roman"/>
        </w:rPr>
        <w:footnoteReference w:id="306"/>
      </w:r>
    </w:p>
    <w:p w:rsidR="00D2554C" w:rsidRDefault="002473DE">
      <w:pPr>
        <w:pStyle w:val="Titel3"/>
      </w:pPr>
      <w:bookmarkStart w:id="196" w:name="_Ref269160105"/>
      <w:bookmarkStart w:id="197" w:name="_Toc325456730"/>
      <w:bookmarkStart w:id="198" w:name="Kreativität"/>
      <w:bookmarkEnd w:id="194"/>
      <w:r>
        <w:t>Kreativer Umgang mit Schemata</w:t>
      </w:r>
      <w:bookmarkEnd w:id="196"/>
      <w:bookmarkEnd w:id="197"/>
    </w:p>
    <w:p w:rsidR="00D2554C" w:rsidRDefault="005D7996" w:rsidP="00E61296">
      <w:pPr>
        <w:pStyle w:val="Text"/>
        <w:ind w:firstLine="0"/>
      </w:pPr>
      <w:r>
        <w:fldChar w:fldCharType="begin"/>
      </w:r>
      <w:r w:rsidR="00134E70">
        <w:instrText xml:space="preserve"> XE "</w:instrText>
      </w:r>
      <w:r w:rsidR="00134E70" w:rsidRPr="00BD6060">
        <w:instrText>Kreativität</w:instrText>
      </w:r>
      <w:r w:rsidR="00134E70">
        <w:instrText xml:space="preserve">" \r "Kreativität" </w:instrText>
      </w:r>
      <w:r>
        <w:fldChar w:fldCharType="end"/>
      </w:r>
      <w:r w:rsidR="00D2554C">
        <w:t>Es ist bereits betont worden,</w:t>
      </w:r>
      <w:r w:rsidR="00B34829">
        <w:rPr>
          <w:rStyle w:val="Funotenzeichen"/>
        </w:rPr>
        <w:footnoteReference w:id="307"/>
      </w:r>
      <w:r w:rsidR="00D2554C">
        <w:t xml:space="preserve"> dass die obige Darstellung </w:t>
      </w:r>
      <w:r w:rsidR="00E14126">
        <w:t xml:space="preserve">von Schemata </w:t>
      </w:r>
      <w:r w:rsidR="00D2554C">
        <w:t>verei</w:t>
      </w:r>
      <w:r w:rsidR="00D2554C">
        <w:t>n</w:t>
      </w:r>
      <w:r w:rsidR="00D2554C">
        <w:t>fachend ist; dies ist auch legitim, da es ja um die Grundlagen für ein anderes Phänomen (Stil) geht und diese Grundlagen so einfach wie möglich gehalten werden müssen. Ein wichtiger Einwand lässt sich trotzdem gegen dieses Vorg</w:t>
      </w:r>
      <w:r w:rsidR="00D2554C">
        <w:t>e</w:t>
      </w:r>
      <w:r w:rsidR="00D2554C">
        <w:t>hen erheben, nämlich derjenige, dass diese Darstellung keinen Raum mehr für kreative und neuartige Verhalten</w:t>
      </w:r>
      <w:r w:rsidR="002473DE">
        <w:t xml:space="preserve">, Artefakte </w:t>
      </w:r>
      <w:r w:rsidR="004863C0">
        <w:t>und</w:t>
      </w:r>
      <w:r w:rsidR="002473DE">
        <w:t xml:space="preserve"> Texte</w:t>
      </w:r>
      <w:r w:rsidR="00D2554C">
        <w:t xml:space="preserve"> lasse</w:t>
      </w:r>
      <w:r w:rsidR="004863C0">
        <w:t xml:space="preserve">; wenn diese </w:t>
      </w:r>
      <w:r w:rsidR="002473DE">
        <w:t xml:space="preserve">stets auf der </w:t>
      </w:r>
      <w:r w:rsidR="00D2554C">
        <w:t xml:space="preserve">Auswahl eines Schemas </w:t>
      </w:r>
      <w:r w:rsidR="002473DE">
        <w:t>beruhen</w:t>
      </w:r>
      <w:r w:rsidR="00D2554C">
        <w:t>,</w:t>
      </w:r>
      <w:r w:rsidR="00EE3452">
        <w:rPr>
          <w:rStyle w:val="Funotenzeichen"/>
        </w:rPr>
        <w:footnoteReference w:id="308"/>
      </w:r>
      <w:r w:rsidR="00D2554C">
        <w:t xml:space="preserve"> dann scheint </w:t>
      </w:r>
      <w:r w:rsidR="002473DE">
        <w:t xml:space="preserve">Neues </w:t>
      </w:r>
      <w:r w:rsidR="00D2554C">
        <w:t>gar nicht möglich zu sein.</w:t>
      </w:r>
    </w:p>
    <w:p w:rsidR="00D2554C" w:rsidRDefault="00D2554C">
      <w:pPr>
        <w:pStyle w:val="Text"/>
      </w:pPr>
      <w:r>
        <w:t xml:space="preserve">Auf den Einwand lässt sich zweierlei erwidern: Zum ersten ist </w:t>
      </w:r>
      <w:r w:rsidR="007E56E8">
        <w:t>Neues mö</w:t>
      </w:r>
      <w:r w:rsidR="007E56E8">
        <w:t>g</w:t>
      </w:r>
      <w:r w:rsidR="007E56E8">
        <w:t xml:space="preserve">lich, indem Schemata </w:t>
      </w:r>
      <w:r>
        <w:t xml:space="preserve">verändert werden. Zum anderen können Menschen neue </w:t>
      </w:r>
      <w:r w:rsidR="007E56E8">
        <w:t>S</w:t>
      </w:r>
      <w:r>
        <w:t>chemata entwickeln, wie es etwa geschieht, wenn neue soziale Prozesse (z.B. Wahlen) oder neue Maschinen (z.B. Flugzeuge) erzeugt werden, die bestimmte Verhaltensweisen (eine Wahl ausrichten, Wählen gehen; ein Flugzeug bauen, ein Flugzeug fliegen, als Passagier mit dem Flugzeug fliegen) mit sich bringen. Ta</w:t>
      </w:r>
      <w:r>
        <w:t>t</w:t>
      </w:r>
      <w:r>
        <w:t xml:space="preserve">sächlich sind </w:t>
      </w:r>
      <w:r w:rsidR="007E56E8">
        <w:t>S</w:t>
      </w:r>
      <w:r>
        <w:t xml:space="preserve">chemata grundlegende Muster; diese können verändert werden, indem sie in der konkreten Anwendung abweichend gebraucht werden, zudem können neuartige </w:t>
      </w:r>
      <w:r w:rsidR="00236B23">
        <w:t>M</w:t>
      </w:r>
      <w:r>
        <w:t xml:space="preserve">öglichkeiten </w:t>
      </w:r>
      <w:r w:rsidR="00236B23">
        <w:t xml:space="preserve">für Verhalten, Artefakte oder Texte </w:t>
      </w:r>
      <w:r>
        <w:t xml:space="preserve">entwickelt werden, diese </w:t>
      </w:r>
      <w:r w:rsidR="006C5FFE">
        <w:t xml:space="preserve">verfestigen sich nach und nach zu neuen </w:t>
      </w:r>
      <w:r>
        <w:t>Schemata, auf die in Z</w:t>
      </w:r>
      <w:r>
        <w:t>u</w:t>
      </w:r>
      <w:r>
        <w:t>kunft zurückgegriffen werden kann. Dass wir diese komplexen Prozess</w:t>
      </w:r>
      <w:r w:rsidR="006C5FFE">
        <w:t>e</w:t>
      </w:r>
      <w:r>
        <w:t xml:space="preserve"> </w:t>
      </w:r>
      <w:r w:rsidR="006C5FFE">
        <w:t xml:space="preserve">hier </w:t>
      </w:r>
      <w:r>
        <w:t xml:space="preserve">nicht </w:t>
      </w:r>
      <w:r w:rsidR="006C5FFE">
        <w:t>explizit einbeziehen</w:t>
      </w:r>
      <w:r>
        <w:t>, möge uns nachgesehen werden. Entscheidend ist, dass die Schemata nicht als abgeschlossene, sondern als prinzipiell immer erweiterb</w:t>
      </w:r>
      <w:r>
        <w:t>a</w:t>
      </w:r>
      <w:r>
        <w:t>re Menge gedacht werden.</w:t>
      </w:r>
    </w:p>
    <w:p w:rsidR="00D2554C" w:rsidRDefault="00D2554C">
      <w:pPr>
        <w:pStyle w:val="Text"/>
      </w:pPr>
      <w:r>
        <w:t>Abgesehen von den Veränderungen und Erweiterungen der in einer Gesel</w:t>
      </w:r>
      <w:r>
        <w:t>l</w:t>
      </w:r>
      <w:r>
        <w:t>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mehr oder minder verbreiteten Schemata können auch Schemata existi</w:t>
      </w:r>
      <w:r>
        <w:t>e</w:t>
      </w:r>
      <w:r>
        <w:t>ren, die das Individuum für sich selbst entwickelt hat und die den anderen (noch) ni</w:t>
      </w:r>
      <w:r w:rsidR="00997E31">
        <w:t xml:space="preserve">cht bekannt oder möglich sind: </w:t>
      </w:r>
      <w:r>
        <w:t xml:space="preserve">Man denke </w:t>
      </w:r>
      <w:r w:rsidR="00997E31">
        <w:t xml:space="preserve">für Verhaltensschemata </w:t>
      </w:r>
      <w:r>
        <w:t>etwa an das Können von Instrumentalvirtuosen, die Tricks von Zauberern, die Experimente von Wissenschaftlern oder das praktische Wissen von Forschung</w:t>
      </w:r>
      <w:r>
        <w:t>s</w:t>
      </w:r>
      <w:r>
        <w:t>reisenden</w:t>
      </w:r>
      <w:r w:rsidR="00997E31">
        <w:t>; für Artefaktschemata an neue Erfindungen; für Textschemata an I</w:t>
      </w:r>
      <w:r w:rsidR="00997E31">
        <w:t>n</w:t>
      </w:r>
      <w:r w:rsidR="00997E31">
        <w:t>novationen in Zeichensystemen, Gattungen und Gebrauchsweisen.</w:t>
      </w:r>
      <w:r>
        <w:t xml:space="preserve"> Solche </w:t>
      </w:r>
      <w:r w:rsidR="00997E31">
        <w:t>S</w:t>
      </w:r>
      <w:r>
        <w:t>chemata stehen den Individuen</w:t>
      </w:r>
      <w:r w:rsidR="00997E31">
        <w:t>, die über sie verfügen,</w:t>
      </w:r>
      <w:r>
        <w:t xml:space="preserve"> </w:t>
      </w:r>
      <w:r w:rsidR="00997E31">
        <w:t xml:space="preserve">zusammen mit den </w:t>
      </w:r>
      <w:r>
        <w:t>al</w:t>
      </w:r>
      <w:r>
        <w:t>l</w:t>
      </w:r>
      <w:r>
        <w:t xml:space="preserve">gemein verbreiteten </w:t>
      </w:r>
      <w:r w:rsidR="00997E31">
        <w:t>S</w:t>
      </w:r>
      <w:r>
        <w:t xml:space="preserve">chemata zu Verfügung, wobei bei letzteren ebenfalls zu </w:t>
      </w:r>
      <w:r>
        <w:lastRenderedPageBreak/>
        <w:t xml:space="preserve">beachten ist, dass manche nur über Vorübungen erlernbar sind und somit nicht für jeden praktisch ausführbar sind. Daher nehmen wir in der </w:t>
      </w:r>
      <w:r w:rsidR="00B7173B">
        <w:t>Schemaausführung</w:t>
      </w:r>
      <w:r>
        <w:t xml:space="preserve"> eine Menge </w:t>
      </w:r>
      <w:r>
        <w:rPr>
          <w:i/>
          <w:iCs/>
        </w:rPr>
        <w:t>S</w:t>
      </w:r>
      <w:r>
        <w:t xml:space="preserve"> der individuell zur Verfügung stehenden Schemata an, die von Person zu Person variiert (vgl. Abschnitt 5.2.2).</w:t>
      </w:r>
    </w:p>
    <w:p w:rsidR="00D2554C" w:rsidRDefault="00D2554C">
      <w:pPr>
        <w:pStyle w:val="Titel2"/>
      </w:pPr>
      <w:bookmarkStart w:id="199" w:name="_Ref268557585"/>
      <w:bookmarkStart w:id="200" w:name="_Toc325456731"/>
      <w:bookmarkEnd w:id="195"/>
      <w:bookmarkEnd w:id="198"/>
      <w:r>
        <w:t>Eigenschaften von Elementen</w:t>
      </w:r>
      <w:bookmarkEnd w:id="199"/>
      <w:bookmarkEnd w:id="200"/>
    </w:p>
    <w:p w:rsidR="00D2554C" w:rsidRDefault="00D2554C" w:rsidP="00E61296">
      <w:pPr>
        <w:pStyle w:val="Text"/>
        <w:ind w:firstLine="0"/>
      </w:pPr>
      <w:r>
        <w:t xml:space="preserve">Wie wir in Abschnitt </w:t>
      </w:r>
      <w:r w:rsidR="005D7996">
        <w:fldChar w:fldCharType="begin"/>
      </w:r>
      <w:r w:rsidR="004363E7">
        <w:instrText xml:space="preserve"> REF _Ref274036203 \r \h </w:instrText>
      </w:r>
      <w:r w:rsidR="005D7996">
        <w:fldChar w:fldCharType="separate"/>
      </w:r>
      <w:r w:rsidR="001231D3">
        <w:t>2.12</w:t>
      </w:r>
      <w:r w:rsidR="005D7996">
        <w:fldChar w:fldCharType="end"/>
      </w:r>
      <w:r w:rsidR="004363E7">
        <w:t xml:space="preserve"> </w:t>
      </w:r>
      <w:r>
        <w:t>gesehen haben, müssen wir zwischen verschiedenen Arten von Eigenschaften unterscheiden, die Elementen zukommen.</w:t>
      </w:r>
    </w:p>
    <w:p w:rsidR="00B64F1A" w:rsidRDefault="00B64F1A" w:rsidP="00B64F1A">
      <w:pPr>
        <w:pStyle w:val="Text"/>
      </w:pPr>
      <w:r>
        <w:t>Die im Folgenden spezifizierten Eigenschaften sind formal einstellige Pr</w:t>
      </w:r>
      <w:r>
        <w:t>ä</w:t>
      </w:r>
      <w:r>
        <w:t>dikate</w:t>
      </w:r>
      <w:r w:rsidR="005D7996">
        <w:fldChar w:fldCharType="begin"/>
      </w:r>
      <w:r w:rsidR="00F43694">
        <w:instrText xml:space="preserve"> XE "</w:instrText>
      </w:r>
      <w:r w:rsidR="00F43694" w:rsidRPr="00F16E47">
        <w:instrText>Prädikat</w:instrText>
      </w:r>
      <w:r w:rsidR="00F43694">
        <w:instrText xml:space="preserve">" </w:instrText>
      </w:r>
      <w:r w:rsidR="005D7996">
        <w:fldChar w:fldCharType="end"/>
      </w:r>
      <w:r>
        <w:t xml:space="preserve">; </w:t>
      </w:r>
      <w:r w:rsidR="00845DC0">
        <w:t xml:space="preserve">technisch </w:t>
      </w:r>
      <w:r w:rsidR="000D5D25">
        <w:t xml:space="preserve">sind </w:t>
      </w:r>
      <w:r w:rsidR="00845DC0">
        <w:t>sie als Funktionen implementiert</w:t>
      </w:r>
      <w:r w:rsidR="00735617">
        <w:t>, die einen Individuen</w:t>
      </w:r>
      <w:r w:rsidR="00955BAD">
        <w:softHyphen/>
      </w:r>
      <w:r w:rsidR="00735617">
        <w:t>term erhalten und einen Wahrheitswert zurückliefern</w:t>
      </w:r>
      <w:r w:rsidR="00845DC0">
        <w:t xml:space="preserve"> </w:t>
      </w:r>
      <w:r w:rsidR="00735617">
        <w:t xml:space="preserve">(vgl. auch </w:t>
      </w:r>
      <w:r w:rsidR="00735617" w:rsidRPr="00735617">
        <w:t xml:space="preserve">Abschnitt </w:t>
      </w:r>
      <w:fldSimple w:instr=" REF _Ref212029118 \r \h  \* MERGEFORMAT ">
        <w:r w:rsidR="001231D3">
          <w:t>4.4</w:t>
        </w:r>
      </w:fldSimple>
      <w:r w:rsidR="00735617">
        <w:t xml:space="preserve">). </w:t>
      </w:r>
      <w:r>
        <w:t xml:space="preserve">Dies ist die Voraussetzung für die Bildung der </w:t>
      </w:r>
      <w:r w:rsidR="00ED5BE9">
        <w:t>Alter</w:t>
      </w:r>
      <w:r w:rsidR="00ED5BE9">
        <w:softHyphen/>
        <w:t>nativen</w:t>
      </w:r>
      <w:r w:rsidR="00ED5BE9">
        <w:softHyphen/>
        <w:t>klasse</w:t>
      </w:r>
      <w:r>
        <w:t>n</w:t>
      </w:r>
      <w:r w:rsidR="00A81849">
        <w:t xml:space="preserve"> mittels Alternativenbedingungen</w:t>
      </w:r>
      <w:r w:rsidR="00844786">
        <w:t xml:space="preserve"> bei der Schemaausführung</w:t>
      </w:r>
      <w:r>
        <w:rPr>
          <w:rStyle w:val="Funotenzeichen"/>
        </w:rPr>
        <w:footnoteReference w:id="309"/>
      </w:r>
      <w:r>
        <w:t xml:space="preserve"> </w:t>
      </w:r>
      <w:r w:rsidR="00844786">
        <w:t>und beim Auslesen der Merkmalsregeln</w:t>
      </w:r>
      <w:r w:rsidR="00844786">
        <w:rPr>
          <w:rStyle w:val="Funotenzeichen"/>
        </w:rPr>
        <w:footnoteReference w:id="310"/>
      </w:r>
      <w:r w:rsidR="00844786">
        <w:t xml:space="preserve"> </w:t>
      </w:r>
      <w:r>
        <w:t xml:space="preserve">und für die </w:t>
      </w:r>
      <w:r w:rsidR="004C24B1">
        <w:t>Anwendung der Merkmalsregeln beim Einschre</w:t>
      </w:r>
      <w:r w:rsidR="004C24B1">
        <w:t>i</w:t>
      </w:r>
      <w:r w:rsidR="004C24B1">
        <w:t>ben</w:t>
      </w:r>
      <w:r w:rsidR="004C24B1">
        <w:rPr>
          <w:rStyle w:val="Funotenzeichen"/>
        </w:rPr>
        <w:footnoteReference w:id="311"/>
      </w:r>
      <w:r w:rsidR="004C24B1">
        <w:t xml:space="preserve"> und Auslesen.</w:t>
      </w:r>
      <w:r w:rsidR="004C24B1">
        <w:rPr>
          <w:rStyle w:val="Funotenzeichen"/>
        </w:rPr>
        <w:footnoteReference w:id="312"/>
      </w:r>
      <w:r w:rsidR="00B7229E" w:rsidRPr="00B7229E">
        <w:t xml:space="preserve"> </w:t>
      </w:r>
      <w:r w:rsidR="00B7229E">
        <w:t>Es wird daher festgelegt, dass die Eigenschaften in dieser Form durch die Funktionen</w:t>
      </w:r>
      <w:r w:rsidR="003F0CDE" w:rsidRPr="003F0CDE">
        <w:t xml:space="preserve"> </w:t>
      </w:r>
      <w:r w:rsidR="003F0CDE">
        <w:t>spezifiziert werden</w:t>
      </w:r>
      <w:r w:rsidR="00B7229E">
        <w:t xml:space="preserve">, die </w:t>
      </w:r>
      <w:r w:rsidR="00073099">
        <w:t>innerhalb des Modells E</w:t>
      </w:r>
      <w:r w:rsidR="00073099">
        <w:t>i</w:t>
      </w:r>
      <w:r w:rsidR="00073099">
        <w:t>genschaften einführen</w:t>
      </w:r>
      <w:r w:rsidR="003F0CDE">
        <w:t>.</w:t>
      </w:r>
      <w:r w:rsidR="00073099">
        <w:rPr>
          <w:rStyle w:val="Funotenzeichen"/>
        </w:rPr>
        <w:footnoteReference w:id="313"/>
      </w:r>
    </w:p>
    <w:p w:rsidR="00D2554C" w:rsidRDefault="00D2554C">
      <w:pPr>
        <w:pStyle w:val="Text"/>
      </w:pPr>
      <w:r>
        <w:t xml:space="preserve">Zunächst (in Abschnitt </w:t>
      </w:r>
      <w:r w:rsidR="005D7996">
        <w:fldChar w:fldCharType="begin"/>
      </w:r>
      <w:r>
        <w:instrText xml:space="preserve"> REF _Ref211841829 \r \h </w:instrText>
      </w:r>
      <w:r w:rsidR="005D7996">
        <w:fldChar w:fldCharType="separate"/>
      </w:r>
      <w:r w:rsidR="001231D3">
        <w:t>4.3.1</w:t>
      </w:r>
      <w:r w:rsidR="005D7996">
        <w:fldChar w:fldCharType="end"/>
      </w:r>
      <w:r>
        <w:t xml:space="preserve">) werden wir die Eigenschaften untersuchen, die Alternativenbedingungen bilden können, mit deren Hilfe also die </w:t>
      </w:r>
      <w:r w:rsidR="00ED5BE9">
        <w:t>Alter</w:t>
      </w:r>
      <w:r w:rsidR="00ED5BE9">
        <w:softHyphen/>
        <w:t>nativen</w:t>
      </w:r>
      <w:r w:rsidR="00ED5BE9">
        <w:softHyphen/>
        <w:t>klasse</w:t>
      </w:r>
      <w:r>
        <w:t xml:space="preserve">n gebildet werden. Danach (in Abschnitt </w:t>
      </w:r>
      <w:r w:rsidR="005D7996">
        <w:fldChar w:fldCharType="begin"/>
      </w:r>
      <w:r>
        <w:instrText xml:space="preserve"> REF _Ref211841916 \r \h </w:instrText>
      </w:r>
      <w:r w:rsidR="005D7996">
        <w:fldChar w:fldCharType="separate"/>
      </w:r>
      <w:r w:rsidR="001231D3">
        <w:t>4.3.2</w:t>
      </w:r>
      <w:r w:rsidR="005D7996">
        <w:fldChar w:fldCharType="end"/>
      </w:r>
      <w:r>
        <w:t xml:space="preserve">) werden wir uns die Eigenschaften anschauen, die durch </w:t>
      </w:r>
      <w:r w:rsidR="00765E66">
        <w:t>Merkmalsregel</w:t>
      </w:r>
      <w:r>
        <w:t xml:space="preserve">n verlangt werden können. Diese Reihenfolge ist insofern nachteilig, als die zweite Unterscheidung – (3) bis (5) – </w:t>
      </w:r>
      <w:r>
        <w:rPr>
          <w:i/>
          <w:iCs/>
        </w:rPr>
        <w:t xml:space="preserve">alle </w:t>
      </w:r>
      <w:r>
        <w:t>Eigenschaften von Elementen umfasst, während in der ersten Unte</w:t>
      </w:r>
      <w:r>
        <w:t>r</w:t>
      </w:r>
      <w:r>
        <w:t>scheidung – (1) und (2) –</w:t>
      </w:r>
      <w:r w:rsidR="002234C5">
        <w:t xml:space="preserve"> </w:t>
      </w:r>
      <w:r>
        <w:t>Unterklassen der intrinsischen Eigenschaften – (3) – betrachtet werden.</w:t>
      </w:r>
    </w:p>
    <w:p w:rsidR="00D2554C" w:rsidRDefault="00D2554C">
      <w:pPr>
        <w:pStyle w:val="Text"/>
      </w:pPr>
      <w:r>
        <w:t>Wir beginnen dennoch mit den Eigenschaften aus Alternativenbedingun</w:t>
      </w:r>
      <w:r w:rsidR="000E16FF">
        <w:softHyphen/>
      </w:r>
      <w:r>
        <w:t xml:space="preserve">gen; zum einen, weil sich die Erläuterung dieser Einteilung aus dem bisher über Schema und Schemaorte </w:t>
      </w:r>
      <w:r w:rsidR="002230C8">
        <w:t>G</w:t>
      </w:r>
      <w:r>
        <w:t xml:space="preserve">esagten direkt ableiten lässt, zum anderen, weil die Erläuterung der Rolle der verlangten Eigenschaften die Bildung der </w:t>
      </w:r>
      <w:r w:rsidR="00ED5BE9">
        <w:t>Alter</w:t>
      </w:r>
      <w:r w:rsidR="00ED5BE9">
        <w:softHyphen/>
        <w:t>nativen</w:t>
      </w:r>
      <w:r w:rsidR="00ED5BE9">
        <w:softHyphen/>
        <w:t>klasse</w:t>
      </w:r>
      <w:r>
        <w:t xml:space="preserve">n – die mit den Eigenschaftsarten (1) </w:t>
      </w:r>
      <w:r w:rsidR="00923749">
        <w:t xml:space="preserve">und </w:t>
      </w:r>
      <w:r>
        <w:t xml:space="preserve">(2) vorgenommen wird – voraussetzt. Man sollte beim Folgenden im Kopf behalten, dass die Reihenfolge, </w:t>
      </w:r>
      <w:r>
        <w:lastRenderedPageBreak/>
        <w:t xml:space="preserve">in der die Eigenschaftsarten eingeführt werden, der Darstellung geschuldet ist und dass es sich bei (1) </w:t>
      </w:r>
      <w:r w:rsidR="00923749">
        <w:t xml:space="preserve">und </w:t>
      </w:r>
      <w:r>
        <w:t xml:space="preserve">(2) um </w:t>
      </w:r>
      <w:r w:rsidR="002234C5">
        <w:t xml:space="preserve">Unterklassen </w:t>
      </w:r>
      <w:r>
        <w:t>von (3) handelt.</w:t>
      </w:r>
    </w:p>
    <w:p w:rsidR="00D2554C" w:rsidRDefault="00D2554C">
      <w:pPr>
        <w:pStyle w:val="Titel3"/>
      </w:pPr>
      <w:bookmarkStart w:id="201" w:name="_Ref211841829"/>
      <w:bookmarkStart w:id="202" w:name="_Toc325456732"/>
      <w:bookmarkStart w:id="203" w:name="Alternativenbedingungen2"/>
      <w:r>
        <w:t>Eigenschaften aus Alternativenbedingungen</w:t>
      </w:r>
      <w:bookmarkEnd w:id="201"/>
      <w:bookmarkEnd w:id="202"/>
    </w:p>
    <w:p w:rsidR="00D2554C" w:rsidRDefault="005D7996" w:rsidP="00D45524">
      <w:pPr>
        <w:pStyle w:val="Text"/>
        <w:ind w:firstLine="0"/>
      </w:pPr>
      <w:r>
        <w:fldChar w:fldCharType="begin"/>
      </w:r>
      <w:r w:rsidR="00907600">
        <w:instrText xml:space="preserve"> XE "Alternativenbedingungen" \r "Alternativenbedingungen2" </w:instrText>
      </w:r>
      <w:r>
        <w:fldChar w:fldCharType="end"/>
      </w:r>
      <w:r w:rsidR="00D2554C">
        <w:t xml:space="preserve">Alternativenklassen werden gebildet mit Hilfe von Alternativenbedingungen (vgl. Abschnitt </w:t>
      </w:r>
      <w:r>
        <w:fldChar w:fldCharType="begin"/>
      </w:r>
      <w:r w:rsidR="00D2554C">
        <w:instrText xml:space="preserve"> REF _Ref212029118 \r \h </w:instrText>
      </w:r>
      <w:r>
        <w:fldChar w:fldCharType="separate"/>
      </w:r>
      <w:r w:rsidR="001231D3">
        <w:t>4.4</w:t>
      </w:r>
      <w:r>
        <w:fldChar w:fldCharType="end"/>
      </w:r>
      <w:r w:rsidR="00D2554C">
        <w:t xml:space="preserve">). Diese enthalten zwei Arten von Eigenschaften: </w:t>
      </w:r>
      <w:r w:rsidR="00AD2226">
        <w:t>Schemaort-d</w:t>
      </w:r>
      <w:r w:rsidR="00D2554C">
        <w:t>efinierende Eigenschaften</w:t>
      </w:r>
      <w:r>
        <w:fldChar w:fldCharType="begin"/>
      </w:r>
      <w:r w:rsidR="00D6214C">
        <w:instrText xml:space="preserve"> XE "</w:instrText>
      </w:r>
      <w:r w:rsidR="00D6214C" w:rsidRPr="00424A9B">
        <w:instrText>Eigenschaften:Schemaort-definierende</w:instrText>
      </w:r>
      <w:r w:rsidR="00D6214C">
        <w:instrText xml:space="preserve">" </w:instrText>
      </w:r>
      <w:r>
        <w:fldChar w:fldCharType="end"/>
      </w:r>
      <w:r w:rsidR="00D2554C">
        <w:t xml:space="preserve"> und Zusatzeigenschaften</w:t>
      </w:r>
      <w:r>
        <w:fldChar w:fldCharType="begin"/>
      </w:r>
      <w:r w:rsidR="00D6214C">
        <w:instrText xml:space="preserve"> XE "</w:instrText>
      </w:r>
      <w:r w:rsidR="00D6214C" w:rsidRPr="0034482F">
        <w:instrText>Eigenschaften:Zusatzeigenschaften</w:instrText>
      </w:r>
      <w:r w:rsidR="00D6214C">
        <w:instrText xml:space="preserve">" </w:instrText>
      </w:r>
      <w:r>
        <w:fldChar w:fldCharType="end"/>
      </w:r>
      <w:r w:rsidR="00D2554C">
        <w:t>.</w:t>
      </w:r>
      <w:r w:rsidR="00D2554C">
        <w:rPr>
          <w:rStyle w:val="Funotenzeichen"/>
        </w:rPr>
        <w:footnoteReference w:id="314"/>
      </w:r>
      <w:r w:rsidR="00D2554C">
        <w:t xml:space="preserve"> Wir haben diese Eige</w:t>
      </w:r>
      <w:r w:rsidR="00D2554C">
        <w:t>n</w:t>
      </w:r>
      <w:r w:rsidR="00D2554C">
        <w:t xml:space="preserve">schaften bereits in Abschnitt </w:t>
      </w:r>
      <w:r>
        <w:fldChar w:fldCharType="begin"/>
      </w:r>
      <w:r w:rsidR="00D2554C">
        <w:instrText xml:space="preserve"> REF _Ref212125573 \r \h </w:instrText>
      </w:r>
      <w:r>
        <w:fldChar w:fldCharType="separate"/>
      </w:r>
      <w:r w:rsidR="001231D3">
        <w:t>4.2.6</w:t>
      </w:r>
      <w:r>
        <w:fldChar w:fldCharType="end"/>
      </w:r>
      <w:r w:rsidR="00D2554C">
        <w:t xml:space="preserve"> kennengelernt; sie müssen aber noch definiert werden:</w:t>
      </w:r>
    </w:p>
    <w:p w:rsidR="00D2554C" w:rsidRDefault="00D2554C" w:rsidP="00D45524">
      <w:pPr>
        <w:pStyle w:val="Definition"/>
        <w:tabs>
          <w:tab w:val="clear" w:pos="851"/>
          <w:tab w:val="left" w:pos="397"/>
          <w:tab w:val="left" w:pos="1021"/>
        </w:tabs>
        <w:ind w:left="1021" w:hanging="1021"/>
      </w:pPr>
      <w:r>
        <w:t>(1)</w:t>
      </w:r>
      <w:r>
        <w:tab/>
      </w:r>
      <w:r w:rsidR="004F5D0D" w:rsidRPr="00CC6E60">
        <w:rPr>
          <w:bCs/>
        </w:rPr>
        <w:t>Def.</w:t>
      </w:r>
      <w:r w:rsidR="00D45524">
        <w:rPr>
          <w:bCs/>
        </w:rPr>
        <w:tab/>
      </w:r>
      <w:r w:rsidR="005D7996">
        <w:rPr>
          <w:b/>
          <w:bCs/>
        </w:rPr>
        <w:fldChar w:fldCharType="begin"/>
      </w:r>
      <w:r w:rsidR="00D944A1">
        <w:instrText xml:space="preserve"> XE "</w:instrText>
      </w:r>
      <w:r w:rsidR="00D944A1" w:rsidRPr="00424A9B">
        <w:instrText>Eigenschaften:Schemaort-definierende</w:instrText>
      </w:r>
      <w:r w:rsidR="00D944A1">
        <w:instrText>:</w:instrText>
      </w:r>
      <w:r w:rsidR="00D944A1" w:rsidRPr="0073281C">
        <w:rPr>
          <w:i/>
        </w:rPr>
        <w:instrText>Definition</w:instrText>
      </w:r>
      <w:r w:rsidR="00D944A1">
        <w:instrText xml:space="preserve">" </w:instrText>
      </w:r>
      <w:r w:rsidR="005D7996">
        <w:rPr>
          <w:b/>
          <w:bCs/>
        </w:rPr>
        <w:fldChar w:fldCharType="end"/>
      </w:r>
      <w:r w:rsidR="00AD2226">
        <w:rPr>
          <w:b/>
          <w:bCs/>
        </w:rPr>
        <w:t>Schemaort-d</w:t>
      </w:r>
      <w:r>
        <w:rPr>
          <w:b/>
          <w:bCs/>
        </w:rPr>
        <w:t xml:space="preserve">efinierende Eigenschaften </w:t>
      </w:r>
      <w:r>
        <w:t xml:space="preserve">eines Schemaorts eines Schemas sind die Eigenschaften, die notwendig und </w:t>
      </w:r>
      <w:r w:rsidR="009452A6">
        <w:t xml:space="preserve">zusammen </w:t>
      </w:r>
      <w:r>
        <w:t>hi</w:t>
      </w:r>
      <w:r>
        <w:t>n</w:t>
      </w:r>
      <w:r>
        <w:t xml:space="preserve">reichend </w:t>
      </w:r>
      <w:r w:rsidR="009452A6">
        <w:t xml:space="preserve">dafür </w:t>
      </w:r>
      <w:r w:rsidR="00067EE0">
        <w:t>sind, dass ein Element diesem</w:t>
      </w:r>
      <w:r>
        <w:t xml:space="preserve"> Schemaort dieses Schemas </w:t>
      </w:r>
      <w:r w:rsidR="00067EE0">
        <w:t xml:space="preserve">zugeordnet </w:t>
      </w:r>
      <w:r w:rsidR="00F514C4">
        <w:t>wird</w:t>
      </w:r>
      <w:r>
        <w:t>.</w:t>
      </w:r>
    </w:p>
    <w:p w:rsidR="00D2554C" w:rsidRDefault="00AD2226" w:rsidP="00D45524">
      <w:pPr>
        <w:pStyle w:val="Text"/>
        <w:ind w:firstLine="0"/>
      </w:pPr>
      <w:r>
        <w:t>Schemaort-d</w:t>
      </w:r>
      <w:r w:rsidR="00D2554C">
        <w:t>efinierende Eigenschaften</w:t>
      </w:r>
      <w:r w:rsidR="005D7996">
        <w:fldChar w:fldCharType="begin"/>
      </w:r>
      <w:r w:rsidR="00D6214C">
        <w:instrText xml:space="preserve"> XE "</w:instrText>
      </w:r>
      <w:r w:rsidR="00D6214C" w:rsidRPr="00424A9B">
        <w:instrText>Eigenschaften:Schemaort-definierende</w:instrText>
      </w:r>
      <w:r w:rsidR="00D6214C">
        <w:instrText xml:space="preserve">" </w:instrText>
      </w:r>
      <w:r w:rsidR="005D7996">
        <w:fldChar w:fldCharType="end"/>
      </w:r>
      <w:r w:rsidR="00D2554C">
        <w:t xml:space="preserve"> müssen den Schemabenutzern bekannt sein. Die </w:t>
      </w:r>
      <w:r>
        <w:t>Schemaort-d</w:t>
      </w:r>
      <w:r w:rsidR="00D2554C">
        <w:t xml:space="preserve">efinierenden Eigenschaften </w:t>
      </w:r>
      <w:r w:rsidR="00292A20">
        <w:t xml:space="preserve">von </w:t>
      </w:r>
      <w:r w:rsidR="00292A20" w:rsidRPr="009E4F8F">
        <w:rPr>
          <w:i/>
        </w:rPr>
        <w:t>O</w:t>
      </w:r>
      <w:r w:rsidR="00292A20" w:rsidRPr="009E4F8F">
        <w:rPr>
          <w:i/>
          <w:vertAlign w:val="subscript"/>
        </w:rPr>
        <w:t>j</w:t>
      </w:r>
      <w:r w:rsidR="00292A20">
        <w:t>(</w:t>
      </w:r>
      <w:r w:rsidR="00292A20" w:rsidRPr="009E4F8F">
        <w:rPr>
          <w:i/>
        </w:rPr>
        <w:t>S</w:t>
      </w:r>
      <w:r w:rsidR="00292A20" w:rsidRPr="009E4F8F">
        <w:rPr>
          <w:i/>
          <w:vertAlign w:val="subscript"/>
        </w:rPr>
        <w:t>i</w:t>
      </w:r>
      <w:r w:rsidR="00292A20">
        <w:t xml:space="preserve">), dem </w:t>
      </w:r>
      <w:r w:rsidR="009E4F8F" w:rsidRPr="009E4F8F">
        <w:rPr>
          <w:i/>
        </w:rPr>
        <w:t>j</w:t>
      </w:r>
      <w:r w:rsidR="009E4F8F">
        <w:t xml:space="preserve">ten </w:t>
      </w:r>
      <w:r w:rsidR="00D2554C">
        <w:t>Schem</w:t>
      </w:r>
      <w:r w:rsidR="00D2554C">
        <w:t>a</w:t>
      </w:r>
      <w:r w:rsidR="00D2554C">
        <w:t xml:space="preserve">ort </w:t>
      </w:r>
      <w:r w:rsidR="009E4F8F">
        <w:t xml:space="preserve">des </w:t>
      </w:r>
      <w:r w:rsidR="009E4F8F" w:rsidRPr="009E4F8F">
        <w:rPr>
          <w:i/>
        </w:rPr>
        <w:t>i</w:t>
      </w:r>
      <w:r w:rsidR="009E4F8F">
        <w:t>ten Schemas</w:t>
      </w:r>
      <w:r w:rsidR="00292A20">
        <w:t xml:space="preserve">, </w:t>
      </w:r>
      <w:r w:rsidR="00D2554C">
        <w:t>seien daher gegeben als</w:t>
      </w:r>
      <w:r w:rsidR="00D2554C" w:rsidRPr="0089079B">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C96451" w:rsidRPr="0089079B">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m</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D2554C" w:rsidRPr="0089079B">
        <w:t>.</w:t>
      </w:r>
      <w:r w:rsidR="00A17B96">
        <w:t xml:space="preserve"> </w:t>
      </w:r>
      <w:r w:rsidR="00D2554C">
        <w:t>Wir fassen sie z</w:t>
      </w:r>
      <w:r w:rsidR="00D2554C">
        <w:t>u</w:t>
      </w:r>
      <w:r w:rsidR="00D2554C">
        <w:t xml:space="preserve">sammen zur Menge </w:t>
      </w:r>
      <w:r w:rsidR="00292A20">
        <w:rPr>
          <w:i/>
        </w:rPr>
        <w:t>Ob</w:t>
      </w:r>
      <w:r w:rsidR="009E4F8F">
        <w:t xml:space="preserve"> </w:t>
      </w:r>
      <w:r w:rsidR="00D2554C">
        <w:t>der Schemaortbedingungen</w:t>
      </w:r>
      <w:r w:rsidR="00292A20">
        <w:t>.</w:t>
      </w:r>
    </w:p>
    <w:p w:rsidR="00D2554C" w:rsidRDefault="00D2554C" w:rsidP="00D45524">
      <w:pPr>
        <w:pStyle w:val="Definition"/>
        <w:tabs>
          <w:tab w:val="clear" w:pos="851"/>
          <w:tab w:val="left" w:pos="397"/>
        </w:tabs>
        <w:ind w:left="1021" w:hanging="1021"/>
      </w:pPr>
      <w:r>
        <w:t>(2)</w:t>
      </w:r>
      <w:r>
        <w:tab/>
      </w:r>
      <w:r w:rsidR="004F5D0D" w:rsidRPr="00CC6E60">
        <w:rPr>
          <w:bCs/>
        </w:rPr>
        <w:t>Def.</w:t>
      </w:r>
      <w:r w:rsidR="00DD0752">
        <w:rPr>
          <w:bCs/>
        </w:rPr>
        <w:tab/>
      </w:r>
      <w:r w:rsidR="005D7996">
        <w:rPr>
          <w:b/>
          <w:bCs/>
        </w:rPr>
        <w:fldChar w:fldCharType="begin"/>
      </w:r>
      <w:r w:rsidR="00D944A1">
        <w:instrText xml:space="preserve"> XE "</w:instrText>
      </w:r>
      <w:r w:rsidR="00D944A1" w:rsidRPr="0034482F">
        <w:instrText>Eigenschaften:Zusatzeigenschaften</w:instrText>
      </w:r>
      <w:r w:rsidR="00D944A1">
        <w:instrText>:</w:instrText>
      </w:r>
      <w:r w:rsidR="00D944A1" w:rsidRPr="0073281C">
        <w:rPr>
          <w:i/>
        </w:rPr>
        <w:instrText>Definition</w:instrText>
      </w:r>
      <w:r w:rsidR="00D944A1">
        <w:instrText xml:space="preserve">" </w:instrText>
      </w:r>
      <w:r w:rsidR="005D7996">
        <w:rPr>
          <w:b/>
          <w:bCs/>
        </w:rPr>
        <w:fldChar w:fldCharType="end"/>
      </w:r>
      <w:r>
        <w:rPr>
          <w:b/>
          <w:bCs/>
        </w:rPr>
        <w:t xml:space="preserve">Zusatzeigenschaften </w:t>
      </w:r>
      <w:r>
        <w:t xml:space="preserve">sind Eigenschaften, die zusätzlich zu </w:t>
      </w:r>
      <w:r w:rsidR="00AD2226">
        <w:t>Schem</w:t>
      </w:r>
      <w:r w:rsidR="00AD2226">
        <w:t>a</w:t>
      </w:r>
      <w:r w:rsidR="00AD2226">
        <w:t>ort-d</w:t>
      </w:r>
      <w:r>
        <w:t xml:space="preserve">efinierenden Eigenschaften zur Abgrenzung einer </w:t>
      </w:r>
      <w:r w:rsidR="00ED5BE9">
        <w:t>Alter</w:t>
      </w:r>
      <w:r w:rsidR="00ED5BE9">
        <w:softHyphen/>
        <w:t>nati</w:t>
      </w:r>
      <w:r w:rsidR="009E1DC1">
        <w:softHyphen/>
      </w:r>
      <w:r w:rsidR="00ED5BE9">
        <w:t>ven</w:t>
      </w:r>
      <w:r w:rsidR="00ED5BE9">
        <w:softHyphen/>
        <w:t>klasse</w:t>
      </w:r>
      <w:r>
        <w:t xml:space="preserve"> verwendet werden können. Dazu gehören (a) Kontextb</w:t>
      </w:r>
      <w:r>
        <w:t>e</w:t>
      </w:r>
      <w:r>
        <w:t>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96558D">
        <w:rPr>
          <w:rStyle w:val="Funotenzeichen"/>
        </w:rPr>
        <w:footnoteReference w:id="315"/>
      </w:r>
      <w:r w:rsidR="00A56335">
        <w:t xml:space="preserve"> (</w:t>
      </w:r>
      <w:r w:rsidR="00936B38">
        <w:t>situative Umstände sowie Ziel der Handlung)</w:t>
      </w:r>
      <w:r>
        <w:t>, bei A</w:t>
      </w:r>
      <w:r>
        <w:t>r</w:t>
      </w:r>
      <w:r>
        <w:t>tefakten zusätzlich (b)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t>,</w:t>
      </w:r>
      <w:r w:rsidR="0096558D">
        <w:rPr>
          <w:rStyle w:val="Funotenzeichen"/>
        </w:rPr>
        <w:footnoteReference w:id="316"/>
      </w:r>
      <w:r>
        <w:t xml:space="preserve"> bei Texten </w:t>
      </w:r>
      <w:r w:rsidR="006D7D11">
        <w:t>(</w:t>
      </w:r>
      <w:r w:rsidR="00904586">
        <w:t xml:space="preserve">sowie </w:t>
      </w:r>
      <w:r w:rsidR="00334857">
        <w:t xml:space="preserve">bei </w:t>
      </w:r>
      <w:r w:rsidR="006D7D11">
        <w:t xml:space="preserve">Verhalten, die </w:t>
      </w:r>
      <w:r w:rsidR="00343597">
        <w:t>Zeichen</w:t>
      </w:r>
      <w:r w:rsidR="00904586">
        <w:t xml:space="preserve">gebrauch </w:t>
      </w:r>
      <w:r w:rsidR="006D7D11">
        <w:t>beinhalten</w:t>
      </w:r>
      <w:r w:rsidR="00904586">
        <w:t>, und Artefa</w:t>
      </w:r>
      <w:r w:rsidR="00904586">
        <w:t>k</w:t>
      </w:r>
      <w:r w:rsidR="00904586">
        <w:t>ten, die Zeichen beinhalten</w:t>
      </w:r>
      <w:r w:rsidR="006D7D11">
        <w:t xml:space="preserve">) </w:t>
      </w:r>
      <w:r>
        <w:t>zusätzlich (c) inhaltliche Bedingu</w:t>
      </w:r>
      <w:r>
        <w:t>n</w:t>
      </w:r>
      <w:r>
        <w:t>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w:t>
      </w:r>
      <w:r w:rsidR="00EC7DD0">
        <w:rPr>
          <w:rStyle w:val="Funotenzeichen"/>
        </w:rPr>
        <w:footnoteReference w:id="317"/>
      </w:r>
    </w:p>
    <w:p w:rsidR="00D2554C" w:rsidRDefault="00D2554C" w:rsidP="00D45524">
      <w:pPr>
        <w:pStyle w:val="Text"/>
        <w:ind w:firstLine="0"/>
      </w:pPr>
      <w:r>
        <w:t>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t xml:space="preserve"> sind aus dem jeweiligen Schemaort erschließbar oder kö</w:t>
      </w:r>
      <w:r>
        <w:t>n</w:t>
      </w:r>
      <w:r>
        <w:t>nen aus dem Hintergrundwissen von Schemabenutzern (Weltwissen) ergänzt werden.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t xml:space="preserve">, </w:t>
      </w:r>
      <w:r w:rsidR="009E4F8F">
        <w:t xml:space="preserve">die </w:t>
      </w:r>
      <w:r w:rsidR="00292A20">
        <w:t xml:space="preserve">bei </w:t>
      </w:r>
      <w:r w:rsidR="00292A20" w:rsidRPr="009E4F8F">
        <w:rPr>
          <w:i/>
        </w:rPr>
        <w:t>O</w:t>
      </w:r>
      <w:r w:rsidR="00292A20" w:rsidRPr="009E4F8F">
        <w:rPr>
          <w:i/>
          <w:vertAlign w:val="subscript"/>
        </w:rPr>
        <w:t>j</w:t>
      </w:r>
      <w:r w:rsidR="00292A20">
        <w:t>(</w:t>
      </w:r>
      <w:r w:rsidR="00292A20" w:rsidRPr="009E4F8F">
        <w:rPr>
          <w:i/>
        </w:rPr>
        <w:t>S</w:t>
      </w:r>
      <w:r w:rsidR="00292A20" w:rsidRPr="009E4F8F">
        <w:rPr>
          <w:i/>
          <w:vertAlign w:val="subscript"/>
        </w:rPr>
        <w:t>i</w:t>
      </w:r>
      <w:r w:rsidR="00292A20">
        <w:t xml:space="preserve">), dem </w:t>
      </w:r>
      <w:r w:rsidR="00292A20" w:rsidRPr="009E4F8F">
        <w:rPr>
          <w:i/>
        </w:rPr>
        <w:t>j</w:t>
      </w:r>
      <w:r w:rsidR="00292A20">
        <w:t xml:space="preserve">ten Schemaort des </w:t>
      </w:r>
      <w:r w:rsidR="00292A20" w:rsidRPr="009E4F8F">
        <w:rPr>
          <w:i/>
        </w:rPr>
        <w:t>i</w:t>
      </w:r>
      <w:r w:rsidR="00292A20">
        <w:t>ten Sch</w:t>
      </w:r>
      <w:r w:rsidR="00292A20">
        <w:t>e</w:t>
      </w:r>
      <w:r w:rsidR="00292A20">
        <w:t xml:space="preserve">mas, </w:t>
      </w:r>
      <w:r>
        <w:t>auftreten können, seien daher gegeben als</w:t>
      </w:r>
      <w:r w:rsidRPr="0089079B">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C96451" w:rsidRPr="0089079B">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n</m:t>
            </m:r>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4C23C0">
        <w:t>.</w:t>
      </w:r>
      <w:r>
        <w:t xml:space="preserve"> </w:t>
      </w:r>
      <w:r w:rsidR="009E4F8F">
        <w:t>Wir fassen sie z</w:t>
      </w:r>
      <w:r w:rsidR="009E4F8F">
        <w:t>u</w:t>
      </w:r>
      <w:r w:rsidR="009E4F8F">
        <w:t xml:space="preserve">sammen zur Menge </w:t>
      </w:r>
      <w:r w:rsidR="00292A20">
        <w:rPr>
          <w:i/>
        </w:rPr>
        <w:t>Zb</w:t>
      </w:r>
      <w:r w:rsidR="009E4F8F">
        <w:t xml:space="preserve"> der möglichen Zusatzbedingungen </w:t>
      </w:r>
      <w:r w:rsidR="00292A20">
        <w:t xml:space="preserve">von </w:t>
      </w:r>
      <w:r w:rsidR="00292A20" w:rsidRPr="009E4F8F">
        <w:rPr>
          <w:i/>
        </w:rPr>
        <w:t>O</w:t>
      </w:r>
      <w:r w:rsidR="00292A20" w:rsidRPr="009E4F8F">
        <w:rPr>
          <w:i/>
          <w:vertAlign w:val="subscript"/>
        </w:rPr>
        <w:t>j</w:t>
      </w:r>
      <w:r w:rsidR="00292A20">
        <w:t>(</w:t>
      </w:r>
      <w:r w:rsidR="00292A20" w:rsidRPr="009E4F8F">
        <w:rPr>
          <w:i/>
        </w:rPr>
        <w:t>S</w:t>
      </w:r>
      <w:r w:rsidR="00292A20" w:rsidRPr="009E4F8F">
        <w:rPr>
          <w:i/>
          <w:vertAlign w:val="subscript"/>
        </w:rPr>
        <w:t>i</w:t>
      </w:r>
      <w:r w:rsidR="00292A20">
        <w:t>).</w:t>
      </w:r>
    </w:p>
    <w:p w:rsidR="00D2554C" w:rsidRDefault="00D2554C">
      <w:pPr>
        <w:pStyle w:val="Text"/>
      </w:pPr>
      <w:r>
        <w:lastRenderedPageBreak/>
        <w:t>Zusatzbedingungen spezifizieren die</w:t>
      </w:r>
      <w:r w:rsidR="00F514C4">
        <w:t xml:space="preserve"> </w:t>
      </w:r>
      <w:r w:rsidR="00EC5B16">
        <w:t>durch Schemaortbedingungen gebild</w:t>
      </w:r>
      <w:r w:rsidR="00EC5B16">
        <w:t>e</w:t>
      </w:r>
      <w:r w:rsidR="00EC5B16">
        <w:t xml:space="preserve">te </w:t>
      </w:r>
      <w:r w:rsidR="00F514C4">
        <w:t>Klasse von Elementen</w:t>
      </w:r>
      <w:r w:rsidR="00EC5B16">
        <w:t xml:space="preserve"> </w:t>
      </w:r>
      <w:r>
        <w:t xml:space="preserve">weiter. Sie ermöglichen es damit, dass das Element für eine Realisierungsstelle aus einer </w:t>
      </w:r>
      <w:r w:rsidR="00ED5BE9">
        <w:t>Alter</w:t>
      </w:r>
      <w:r w:rsidR="00ED5BE9">
        <w:softHyphen/>
        <w:t>nativen</w:t>
      </w:r>
      <w:r w:rsidR="00ED5BE9">
        <w:softHyphen/>
        <w:t>klasse</w:t>
      </w:r>
      <w:r>
        <w:t xml:space="preserve"> ausgewählt wird, die eine Unterklasse </w:t>
      </w:r>
      <w:r w:rsidR="00D03A09">
        <w:t xml:space="preserve">der Klasse jener Elemente darstellt, die </w:t>
      </w:r>
      <w:r w:rsidR="00811CBD">
        <w:t>einem</w:t>
      </w:r>
      <w:r w:rsidR="00D03A09">
        <w:t xml:space="preserve"> </w:t>
      </w:r>
      <w:r>
        <w:t>bestimmten Schem</w:t>
      </w:r>
      <w:r>
        <w:t>a</w:t>
      </w:r>
      <w:r>
        <w:t xml:space="preserve">ort eines bestimmten Schemas </w:t>
      </w:r>
      <w:r w:rsidR="00EC5B16">
        <w:t>zugeordnet werden</w:t>
      </w:r>
      <w:r>
        <w:t>.</w:t>
      </w:r>
      <w:r>
        <w:rPr>
          <w:rStyle w:val="Funotenzeichen"/>
        </w:rPr>
        <w:footnoteReference w:id="318"/>
      </w:r>
    </w:p>
    <w:p w:rsidR="00D2554C" w:rsidRDefault="00D2554C">
      <w:pPr>
        <w:pStyle w:val="Text"/>
      </w:pPr>
      <w:r>
        <w:t>Diese zwei Mengen von Eigenschaften überschneiden sich in jedem konkr</w:t>
      </w:r>
      <w:r>
        <w:t>e</w:t>
      </w:r>
      <w:r>
        <w:t xml:space="preserve">ten Fall nicht, da Eigenschaften aus den Zusatzbedingungen Unterklassen von Elementklassen bilden, die mit </w:t>
      </w:r>
      <w:r w:rsidR="00AD2226">
        <w:t>Schemaort-d</w:t>
      </w:r>
      <w:r>
        <w:t>efinierenden Eigenschaften gebildet wurden. Unterklassen können natürlich nur mit Eigenschaften gebildet werden, die nicht allen Elementen der Klasse zukommen.</w:t>
      </w:r>
      <w:r>
        <w:rPr>
          <w:rStyle w:val="Funotenzeichen"/>
        </w:rPr>
        <w:footnoteReference w:id="319"/>
      </w:r>
      <w:r>
        <w:t xml:space="preserve"> Zugleich umfassen diese zwei Mengen nicht alle Eigenschaften, die einem Element zukommen.</w:t>
      </w:r>
    </w:p>
    <w:p w:rsidR="00D2554C" w:rsidRDefault="00D2554C">
      <w:pPr>
        <w:pStyle w:val="Titel3"/>
      </w:pPr>
      <w:bookmarkStart w:id="204" w:name="_Ref211841916"/>
      <w:bookmarkStart w:id="205" w:name="_Toc325456733"/>
      <w:bookmarkEnd w:id="203"/>
      <w:r>
        <w:t>Verlangte Eigenschaften</w:t>
      </w:r>
      <w:bookmarkEnd w:id="204"/>
      <w:bookmarkEnd w:id="205"/>
    </w:p>
    <w:p w:rsidR="00D2554C" w:rsidRDefault="00D2554C" w:rsidP="00D45524">
      <w:pPr>
        <w:pStyle w:val="Text"/>
        <w:ind w:firstLine="0"/>
      </w:pPr>
      <w:r>
        <w:t>Als „verlangte Eigenschaften“ sollen diejenigen Eigenschaften bezeichnet we</w:t>
      </w:r>
      <w:r>
        <w:t>r</w:t>
      </w:r>
      <w:r>
        <w:t xml:space="preserve">den, die durch eine </w:t>
      </w:r>
      <w:r w:rsidR="00765E66">
        <w:t>Merkmalsregel</w:t>
      </w:r>
      <w:r>
        <w:t xml:space="preserve"> als Voraussetzung für die Auswahl spezif</w:t>
      </w:r>
      <w:r>
        <w:t>i</w:t>
      </w:r>
      <w:r>
        <w:t xml:space="preserve">ziert werden können (vgl. Abschnitt </w:t>
      </w:r>
      <w:r w:rsidR="005D7996">
        <w:fldChar w:fldCharType="begin"/>
      </w:r>
      <w:r>
        <w:instrText xml:space="preserve"> REF _Ref211937722 \r \h </w:instrText>
      </w:r>
      <w:r w:rsidR="005D7996">
        <w:fldChar w:fldCharType="separate"/>
      </w:r>
      <w:r w:rsidR="001231D3">
        <w:t>5.3.1</w:t>
      </w:r>
      <w:r w:rsidR="005D7996">
        <w:fldChar w:fldCharType="end"/>
      </w:r>
      <w:r>
        <w:t>, 2.). Verlangte Eigenschaften sollen in intrinisische, vertikal-relationale und horizontal-relationale Eigenschaften unte</w:t>
      </w:r>
      <w:r>
        <w:t>r</w:t>
      </w:r>
      <w:r>
        <w:t>teilt werden.</w:t>
      </w:r>
    </w:p>
    <w:p w:rsidR="00D2554C" w:rsidRDefault="00D2554C">
      <w:pPr>
        <w:pStyle w:val="Text"/>
      </w:pPr>
      <w:r>
        <w:t>Im Gegensatz zu den im letzten Abschnitt behandelten sind die hier beha</w:t>
      </w:r>
      <w:r>
        <w:t>n</w:t>
      </w:r>
      <w:r>
        <w:t xml:space="preserve">delten Eigenschaften nicht im Schema gegeben, daraus erschließbar oder aus dem Hintergrundwissen ergänzbar. Es handelt sich um eine Unterteilung </w:t>
      </w:r>
      <w:r>
        <w:rPr>
          <w:i/>
        </w:rPr>
        <w:t>aller</w:t>
      </w:r>
      <w:r>
        <w:t xml:space="preserve"> Eige</w:t>
      </w:r>
      <w:r>
        <w:t>n</w:t>
      </w:r>
      <w:r>
        <w:lastRenderedPageBreak/>
        <w:t xml:space="preserve">schaften eines in eine Realisierung und in eine </w:t>
      </w:r>
      <w:r w:rsidR="00ED5BE9">
        <w:t>Alter</w:t>
      </w:r>
      <w:r w:rsidR="00ED5BE9">
        <w:softHyphen/>
        <w:t>nativen</w:t>
      </w:r>
      <w:r w:rsidR="00ED5BE9">
        <w:softHyphen/>
        <w:t>klasse</w:t>
      </w:r>
      <w:r>
        <w:t xml:space="preserve"> eingeordneten Elements.</w:t>
      </w:r>
    </w:p>
    <w:p w:rsidR="00D2554C" w:rsidRDefault="00D2554C" w:rsidP="00D45524">
      <w:pPr>
        <w:pStyle w:val="Definition"/>
        <w:tabs>
          <w:tab w:val="clear" w:pos="851"/>
          <w:tab w:val="left" w:pos="397"/>
        </w:tabs>
        <w:ind w:left="1021" w:hanging="1021"/>
      </w:pPr>
      <w:bookmarkStart w:id="206" w:name="intrinsisch"/>
      <w:r>
        <w:t>(3)</w:t>
      </w:r>
      <w:r>
        <w:tab/>
      </w:r>
      <w:r w:rsidR="004F5D0D" w:rsidRPr="00CC6E60">
        <w:rPr>
          <w:bCs/>
        </w:rPr>
        <w:t>Def.</w:t>
      </w:r>
      <w:r w:rsidR="00DD0752">
        <w:rPr>
          <w:b/>
          <w:bCs/>
        </w:rPr>
        <w:tab/>
      </w:r>
      <w:r w:rsidR="005D7996">
        <w:rPr>
          <w:b/>
          <w:bCs/>
        </w:rPr>
        <w:fldChar w:fldCharType="begin"/>
      </w:r>
      <w:r w:rsidR="00D944A1">
        <w:instrText xml:space="preserve"> XE "</w:instrText>
      </w:r>
      <w:r w:rsidR="00D944A1" w:rsidRPr="0034482F">
        <w:instrText>Eigenschaften:</w:instrText>
      </w:r>
      <w:r w:rsidR="00D944A1">
        <w:instrText>intrinsische:</w:instrText>
      </w:r>
      <w:r w:rsidR="00D944A1" w:rsidRPr="0073281C">
        <w:rPr>
          <w:i/>
        </w:rPr>
        <w:instrText>Definition</w:instrText>
      </w:r>
      <w:r w:rsidR="00D944A1">
        <w:instrText xml:space="preserve">" </w:instrText>
      </w:r>
      <w:r w:rsidR="005D7996">
        <w:rPr>
          <w:b/>
          <w:bCs/>
        </w:rPr>
        <w:fldChar w:fldCharType="end"/>
      </w:r>
      <w:r>
        <w:rPr>
          <w:b/>
          <w:bCs/>
        </w:rPr>
        <w:t xml:space="preserve">Intrinsische Eigenschaften </w:t>
      </w:r>
      <w:r>
        <w:t xml:space="preserve">kommen einem Element zu unabhängig von dessen Vorkommen in einer bestimmten </w:t>
      </w:r>
      <w:r w:rsidR="00ED5BE9">
        <w:t>Alter</w:t>
      </w:r>
      <w:r w:rsidR="00ED5BE9">
        <w:softHyphen/>
        <w:t>nativen</w:t>
      </w:r>
      <w:r w:rsidR="00ED5BE9">
        <w:softHyphen/>
        <w:t>klasse</w:t>
      </w:r>
      <w:r>
        <w:t xml:space="preserve"> oder in einer bestimmten Realisierung.</w:t>
      </w:r>
    </w:p>
    <w:p w:rsidR="00B858F7" w:rsidRDefault="005D7996" w:rsidP="00D45524">
      <w:pPr>
        <w:pStyle w:val="Text"/>
        <w:ind w:firstLine="0"/>
      </w:pPr>
      <w:r>
        <w:fldChar w:fldCharType="begin"/>
      </w:r>
      <w:r w:rsidR="00C15A6C">
        <w:instrText xml:space="preserve"> XE "</w:instrText>
      </w:r>
      <w:r w:rsidR="00C15A6C" w:rsidRPr="001B1795">
        <w:instrText>Eigenschaften:</w:instrText>
      </w:r>
      <w:r w:rsidR="00C15A6C">
        <w:instrText xml:space="preserve">intrinsische" \r "intrinsisch" </w:instrText>
      </w:r>
      <w:r>
        <w:fldChar w:fldCharType="end"/>
      </w:r>
      <w:r w:rsidR="00B858F7">
        <w:t xml:space="preserve">Intrinsische Eigenschaften </w:t>
      </w:r>
      <w:r w:rsidR="00685A22">
        <w:t xml:space="preserve">werden mit dem Superskript </w:t>
      </w:r>
      <w:r w:rsidR="00685A22" w:rsidRPr="00E0342B">
        <w:rPr>
          <w:i/>
        </w:rPr>
        <w:t>I</w:t>
      </w:r>
      <w:r w:rsidR="00685A22">
        <w:t xml:space="preserve"> gekennzeichnet. I</w:t>
      </w:r>
      <w:r w:rsidR="00685A22">
        <w:t>n</w:t>
      </w:r>
      <w:r w:rsidR="00685A22">
        <w:t>nerhalb der verlangten Eigensc</w:t>
      </w:r>
      <w:r w:rsidR="008C6E45">
        <w:t xml:space="preserve">haften einer Merkmalsregel sind die </w:t>
      </w:r>
      <w:r w:rsidR="00685A22">
        <w:t>intrinsische</w:t>
      </w:r>
      <w:r w:rsidR="008C6E45">
        <w:t>n</w:t>
      </w:r>
      <w:r w:rsidR="00685A22">
        <w:t xml:space="preserve"> Eigenschaften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I</m:t>
            </m:r>
          </m:sup>
        </m:sSubSup>
      </m:oMath>
      <w:r w:rsidR="00685A22" w:rsidRPr="00C24189">
        <w:rPr>
          <w:rFonts w:cs="Times New Roman"/>
        </w:rPr>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p</m:t>
            </m:r>
          </m:sub>
          <m:sup>
            <m:r>
              <m:rPr>
                <m:nor/>
              </m:rPr>
              <w:rPr>
                <w:rFonts w:cs="Times New Roman"/>
                <w:i/>
              </w:rPr>
              <m:t>I</m:t>
            </m:r>
          </m:sup>
        </m:sSubSup>
      </m:oMath>
      <w:r w:rsidR="00685A22">
        <w:rPr>
          <w:rFonts w:cs="Times New Roman"/>
        </w:rPr>
        <w:t xml:space="preserve"> spezifiziert (</w:t>
      </w:r>
      <w:r w:rsidR="00685A22" w:rsidRPr="008C6E45">
        <w:rPr>
          <w:rFonts w:cs="Times New Roman"/>
          <w:i/>
        </w:rPr>
        <w:t>p</w:t>
      </w:r>
      <w:r w:rsidR="008C6E45">
        <w:rPr>
          <w:rFonts w:cs="Times New Roman"/>
        </w:rPr>
        <w:t> </w:t>
      </w:r>
      <w:r w:rsidR="008C6E45">
        <w:rPr>
          <w:rFonts w:cs="Times New Roman"/>
          <w:iCs/>
        </w:rPr>
        <w:t>≥</w:t>
      </w:r>
      <w:r w:rsidR="008C6E45">
        <w:rPr>
          <w:rFonts w:cs="Times New Roman"/>
        </w:rPr>
        <w:t> 0).</w:t>
      </w:r>
      <w:r w:rsidR="008C6E45">
        <w:rPr>
          <w:rStyle w:val="Funotenzeichen"/>
          <w:rFonts w:cs="Times New Roman"/>
        </w:rPr>
        <w:footnoteReference w:id="320"/>
      </w:r>
      <w:r w:rsidR="008C6E45">
        <w:rPr>
          <w:rFonts w:cs="Times New Roman"/>
        </w:rPr>
        <w:t xml:space="preserve"> Intrinsische Eigenschaften sind daher entweder in einem vorhandenen oder neu erzeugten Stil Teil der verlan</w:t>
      </w:r>
      <w:r w:rsidR="008C6E45">
        <w:rPr>
          <w:rFonts w:cs="Times New Roman"/>
        </w:rPr>
        <w:t>g</w:t>
      </w:r>
      <w:r w:rsidR="008C6E45">
        <w:rPr>
          <w:rFonts w:cs="Times New Roman"/>
        </w:rPr>
        <w:t>ten Eigenschaften</w:t>
      </w:r>
      <w:r w:rsidR="00B858F7">
        <w:rPr>
          <w:rStyle w:val="Funotenzeichen"/>
        </w:rPr>
        <w:footnoteReference w:id="321"/>
      </w:r>
      <w:r w:rsidR="00B858F7">
        <w:t xml:space="preserve"> oder</w:t>
      </w:r>
      <w:r w:rsidR="00E0342B">
        <w:t xml:space="preserve"> werden von einem Stilwahrnehmer an einem Element einer Realisierung festgestellt</w:t>
      </w:r>
      <w:r w:rsidR="008C6E45">
        <w:t xml:space="preserve"> und zur Bildung de</w:t>
      </w:r>
      <w:r w:rsidR="008753D6">
        <w:t>r verlangten Eigenschaften</w:t>
      </w:r>
      <w:r w:rsidR="008C6E45">
        <w:t xml:space="preserve"> von Merkmalsregeln verwendet.</w:t>
      </w:r>
      <w:r w:rsidR="008753D6">
        <w:rPr>
          <w:rStyle w:val="Funotenzeichen"/>
        </w:rPr>
        <w:footnoteReference w:id="322"/>
      </w:r>
    </w:p>
    <w:p w:rsidR="00D2554C" w:rsidRDefault="00D2554C" w:rsidP="00D45524">
      <w:pPr>
        <w:pStyle w:val="Definition"/>
        <w:tabs>
          <w:tab w:val="clear" w:pos="851"/>
          <w:tab w:val="left" w:pos="397"/>
        </w:tabs>
        <w:ind w:left="1021" w:hanging="1021"/>
      </w:pPr>
      <w:bookmarkStart w:id="207" w:name="vertikal"/>
      <w:bookmarkEnd w:id="206"/>
      <w:r>
        <w:t>(4)</w:t>
      </w:r>
      <w:r>
        <w:tab/>
      </w:r>
      <w:r w:rsidR="004F5D0D" w:rsidRPr="00CC6E60">
        <w:rPr>
          <w:bCs/>
        </w:rPr>
        <w:t>Def.</w:t>
      </w:r>
      <w:r w:rsidR="00DD0752">
        <w:rPr>
          <w:bCs/>
        </w:rPr>
        <w:tab/>
      </w:r>
      <w:r w:rsidR="005D7996">
        <w:rPr>
          <w:b/>
          <w:bCs/>
        </w:rPr>
        <w:fldChar w:fldCharType="begin"/>
      </w:r>
      <w:r w:rsidR="00D944A1">
        <w:instrText xml:space="preserve"> XE "</w:instrText>
      </w:r>
      <w:r w:rsidR="00D944A1" w:rsidRPr="0034482F">
        <w:instrText>Eigenschaften:</w:instrText>
      </w:r>
      <w:r w:rsidR="00D944A1">
        <w:instrText>vertikal-relationale:</w:instrText>
      </w:r>
      <w:r w:rsidR="00D944A1" w:rsidRPr="0073281C">
        <w:rPr>
          <w:i/>
        </w:rPr>
        <w:instrText>Definition</w:instrText>
      </w:r>
      <w:r w:rsidR="00D944A1">
        <w:instrText xml:space="preserve">" </w:instrText>
      </w:r>
      <w:r w:rsidR="005D7996">
        <w:rPr>
          <w:b/>
          <w:bCs/>
        </w:rPr>
        <w:fldChar w:fldCharType="end"/>
      </w:r>
      <w:r>
        <w:rPr>
          <w:b/>
          <w:bCs/>
        </w:rPr>
        <w:t xml:space="preserve">Vertikal-relationale Eigenschaften </w:t>
      </w:r>
      <w:r>
        <w:t xml:space="preserve">ergeben sich aus den Relationen eines Elements, das in einer </w:t>
      </w:r>
      <w:r w:rsidR="00ED5BE9">
        <w:t>Alter</w:t>
      </w:r>
      <w:r w:rsidR="00ED5BE9">
        <w:softHyphen/>
        <w:t>nativen</w:t>
      </w:r>
      <w:r w:rsidR="00ED5BE9">
        <w:softHyphen/>
        <w:t>klasse</w:t>
      </w:r>
      <w:r>
        <w:t xml:space="preserve"> vorkommt, zu den anderen El</w:t>
      </w:r>
      <w:r w:rsidR="005E6FAC">
        <w:t xml:space="preserve">ementen der </w:t>
      </w:r>
      <w:r w:rsidR="00ED5BE9">
        <w:t>Alter</w:t>
      </w:r>
      <w:r w:rsidR="00ED5BE9">
        <w:softHyphen/>
        <w:t>nativen</w:t>
      </w:r>
      <w:r w:rsidR="00ED5BE9">
        <w:softHyphen/>
        <w:t>klasse</w:t>
      </w:r>
      <w:r w:rsidR="005E6FAC">
        <w:t>.</w:t>
      </w:r>
    </w:p>
    <w:p w:rsidR="003625FB" w:rsidRDefault="005D7996" w:rsidP="00D45524">
      <w:pPr>
        <w:pStyle w:val="Text"/>
        <w:ind w:firstLine="0"/>
      </w:pPr>
      <w:r>
        <w:fldChar w:fldCharType="begin"/>
      </w:r>
      <w:r w:rsidR="00C15A6C">
        <w:instrText xml:space="preserve"> XE "</w:instrText>
      </w:r>
      <w:r w:rsidR="00C15A6C" w:rsidRPr="001B1795">
        <w:instrText>Eigenschaften:vertikal-relationale</w:instrText>
      </w:r>
      <w:r w:rsidR="00C15A6C">
        <w:instrText xml:space="preserve">" \r "vertikal" </w:instrText>
      </w:r>
      <w:r>
        <w:fldChar w:fldCharType="end"/>
      </w:r>
      <w:r w:rsidR="003625FB">
        <w:t xml:space="preserve">Vertikal-relationale Eigenschaften werden mit dem Superskript </w:t>
      </w:r>
      <w:r w:rsidR="003625FB">
        <w:rPr>
          <w:i/>
        </w:rPr>
        <w:t>V</w:t>
      </w:r>
      <w:r w:rsidR="003625FB">
        <w:t xml:space="preserve"> gekennzeic</w:t>
      </w:r>
      <w:r w:rsidR="003625FB">
        <w:t>h</w:t>
      </w:r>
      <w:r w:rsidR="003625FB">
        <w:t>net. Innerhalb der verlangten Eigenschaften einer Merkmalsregel sind die vert</w:t>
      </w:r>
      <w:r w:rsidR="003625FB">
        <w:t>i</w:t>
      </w:r>
      <w:r w:rsidR="003625FB">
        <w:t xml:space="preserve">kal-relationalen Eigenschaften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V</m:t>
            </m:r>
          </m:sup>
        </m:sSubSup>
      </m:oMath>
      <w:r w:rsidR="003625FB" w:rsidRPr="00C24189">
        <w:rPr>
          <w:rFonts w:cs="Times New Roman"/>
        </w:rPr>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q</m:t>
            </m:r>
          </m:sub>
          <m:sup>
            <m:r>
              <m:rPr>
                <m:nor/>
              </m:rPr>
              <w:rPr>
                <w:rFonts w:cs="Times New Roman"/>
                <w:i/>
              </w:rPr>
              <m:t>V</m:t>
            </m:r>
          </m:sup>
        </m:sSubSup>
      </m:oMath>
      <w:r w:rsidR="003625FB">
        <w:rPr>
          <w:rFonts w:cs="Times New Roman"/>
        </w:rPr>
        <w:t xml:space="preserve"> spezifiziert (</w:t>
      </w:r>
      <w:r w:rsidR="003625FB">
        <w:rPr>
          <w:rFonts w:cs="Times New Roman"/>
          <w:i/>
        </w:rPr>
        <w:t>q</w:t>
      </w:r>
      <w:r w:rsidR="003625FB">
        <w:rPr>
          <w:rFonts w:cs="Times New Roman"/>
        </w:rPr>
        <w:t> </w:t>
      </w:r>
      <w:r w:rsidR="003625FB">
        <w:rPr>
          <w:rFonts w:cs="Times New Roman"/>
          <w:iCs/>
        </w:rPr>
        <w:t>≥</w:t>
      </w:r>
      <w:r w:rsidR="003625FB">
        <w:rPr>
          <w:rFonts w:cs="Times New Roman"/>
        </w:rPr>
        <w:t> 0).</w:t>
      </w:r>
    </w:p>
    <w:p w:rsidR="00D2554C" w:rsidRDefault="00372E94" w:rsidP="00D45524">
      <w:pPr>
        <w:pStyle w:val="Text"/>
        <w:ind w:firstLine="0"/>
      </w:pPr>
      <w:r>
        <w:tab/>
      </w:r>
      <w:r w:rsidR="00D2554C">
        <w:t xml:space="preserve">Vertikal-relationale Eigenschaften sind </w:t>
      </w:r>
      <w:r>
        <w:t>jene Eigenschaften</w:t>
      </w:r>
      <w:r w:rsidR="00D2554C">
        <w:t>, die Elemente</w:t>
      </w:r>
      <w:r w:rsidR="00E00651">
        <w:t>n</w:t>
      </w:r>
      <w:r w:rsidR="00D2554C">
        <w:t xml:space="preserve"> </w:t>
      </w:r>
      <w:r w:rsidR="009A1076">
        <w:t xml:space="preserve">durch ihr Vorkommen </w:t>
      </w:r>
      <w:r w:rsidR="00D2554C">
        <w:t xml:space="preserve">innerhalb </w:t>
      </w:r>
      <w:r w:rsidR="00E00651">
        <w:t xml:space="preserve">einer </w:t>
      </w:r>
      <w:r w:rsidR="00D2554C">
        <w:t xml:space="preserve">bestimmten </w:t>
      </w:r>
      <w:r w:rsidR="00ED5BE9">
        <w:t>Alter</w:t>
      </w:r>
      <w:r w:rsidR="00ED5BE9">
        <w:softHyphen/>
        <w:t>nativen</w:t>
      </w:r>
      <w:r w:rsidR="00ED5BE9">
        <w:softHyphen/>
        <w:t>klasse</w:t>
      </w:r>
      <w:r w:rsidR="00D2554C">
        <w:t xml:space="preserve"> </w:t>
      </w:r>
      <w:r w:rsidR="00E00651">
        <w:t>zuko</w:t>
      </w:r>
      <w:r w:rsidR="00E00651">
        <w:t>m</w:t>
      </w:r>
      <w:r w:rsidR="00E00651">
        <w:t>men</w:t>
      </w:r>
      <w:r w:rsidR="00D2554C">
        <w:t xml:space="preserve">. Die Tatsache, dass wir solche Eigenschaften annehmen, kann als Hinweis darauf verstanden werden, dass wir die Phänomene, die wir mit </w:t>
      </w:r>
      <w:r w:rsidR="00ED5BE9">
        <w:t>Alter</w:t>
      </w:r>
      <w:r w:rsidR="00ED5BE9">
        <w:softHyphen/>
        <w:t>nativen</w:t>
      </w:r>
      <w:r w:rsidR="00ED5BE9">
        <w:softHyphen/>
        <w:t>klasse</w:t>
      </w:r>
      <w:r w:rsidR="00D2554C">
        <w:t xml:space="preserve">n beschreiben, mit der bloßen Einteilung in </w:t>
      </w:r>
      <w:r w:rsidR="00ED5BE9">
        <w:t>Alter</w:t>
      </w:r>
      <w:r w:rsidR="00ED5BE9">
        <w:softHyphen/>
        <w:t>nativen</w:t>
      </w:r>
      <w:r w:rsidR="00ED5BE9">
        <w:softHyphen/>
        <w:t>klasse</w:t>
      </w:r>
      <w:r w:rsidR="00D2554C">
        <w:t>n nicht vol</w:t>
      </w:r>
      <w:r w:rsidR="00D2554C">
        <w:t>l</w:t>
      </w:r>
      <w:r w:rsidR="00D2554C">
        <w:t>ständig spezifizieren.</w:t>
      </w:r>
    </w:p>
    <w:p w:rsidR="00D2554C" w:rsidRDefault="00D2554C">
      <w:pPr>
        <w:pStyle w:val="Text"/>
      </w:pPr>
      <w:r>
        <w:t xml:space="preserve">Tatsächlich wäre es möglich, Strukturen innerhalb von </w:t>
      </w:r>
      <w:r w:rsidR="00ED5BE9">
        <w:t>Alter</w:t>
      </w:r>
      <w:r w:rsidR="00ED5BE9">
        <w:softHyphen/>
        <w:t>nativen</w:t>
      </w:r>
      <w:r w:rsidR="00ED5BE9">
        <w:softHyphen/>
        <w:t>klasse</w:t>
      </w:r>
      <w:r>
        <w:t>n zu postulieren, etwa solche</w:t>
      </w:r>
    </w:p>
    <w:p w:rsidR="00D2554C" w:rsidRDefault="00367391">
      <w:pPr>
        <w:pStyle w:val="Text"/>
      </w:pPr>
      <w:r>
        <w:t>(a)</w:t>
      </w:r>
      <w:r>
        <w:tab/>
        <w:t>die</w:t>
      </w:r>
      <w:r w:rsidR="00D2554C">
        <w:t xml:space="preserve"> </w:t>
      </w:r>
      <w:r w:rsidR="008F151A">
        <w:t xml:space="preserve">auf Häufigkeiten </w:t>
      </w:r>
      <w:r w:rsidR="00C42926">
        <w:t xml:space="preserve">(an Realisierungen dieses Schemas) </w:t>
      </w:r>
      <w:r w:rsidR="008F151A">
        <w:t>der verschi</w:t>
      </w:r>
      <w:r w:rsidR="008F151A">
        <w:t>e</w:t>
      </w:r>
      <w:r w:rsidR="008F151A">
        <w:t xml:space="preserve">denen Elemente </w:t>
      </w:r>
      <w:r w:rsidR="00C42926">
        <w:t xml:space="preserve">der </w:t>
      </w:r>
      <w:r w:rsidR="00ED5BE9">
        <w:t>Alter</w:t>
      </w:r>
      <w:r w:rsidR="00ED5BE9">
        <w:softHyphen/>
        <w:t>nativen</w:t>
      </w:r>
      <w:r w:rsidR="00ED5BE9">
        <w:softHyphen/>
        <w:t>klasse</w:t>
      </w:r>
      <w:r w:rsidR="00C42926">
        <w:t xml:space="preserve">n Bezug nehmen </w:t>
      </w:r>
      <w:r w:rsidR="008F151A">
        <w:t xml:space="preserve">oder </w:t>
      </w:r>
      <w:r w:rsidR="00D2554C">
        <w:t>mit Normen</w:t>
      </w:r>
      <w:r w:rsidR="005D7996">
        <w:fldChar w:fldCharType="begin"/>
      </w:r>
      <w:r w:rsidR="001151DC">
        <w:instrText xml:space="preserve"> XE "</w:instrText>
      </w:r>
      <w:r w:rsidR="001151DC" w:rsidRPr="00F4715E">
        <w:instrText>Norm</w:instrText>
      </w:r>
      <w:r w:rsidR="001151DC">
        <w:instrText xml:space="preserve">" </w:instrText>
      </w:r>
      <w:r w:rsidR="005D7996">
        <w:fldChar w:fldCharType="end"/>
      </w:r>
      <w:r w:rsidR="00D2554C">
        <w:t xml:space="preserve"> </w:t>
      </w:r>
      <w:r>
        <w:t>und deren Erfüllung oder Bruch zu tun haben</w:t>
      </w:r>
      <w:r w:rsidR="00D2554C">
        <w:t>;</w:t>
      </w:r>
    </w:p>
    <w:p w:rsidR="00D2554C" w:rsidRDefault="00D2554C">
      <w:pPr>
        <w:pStyle w:val="Text"/>
      </w:pPr>
      <w:r>
        <w:t>(b)</w:t>
      </w:r>
      <w:r>
        <w:tab/>
        <w:t>die auf dem Abweichungsgrad von prototypischen Elementen basi</w:t>
      </w:r>
      <w:r>
        <w:t>e</w:t>
      </w:r>
      <w:r>
        <w:t>ren;</w:t>
      </w:r>
    </w:p>
    <w:p w:rsidR="00D2554C" w:rsidRDefault="00D2554C">
      <w:pPr>
        <w:pStyle w:val="Text"/>
      </w:pPr>
      <w:r>
        <w:lastRenderedPageBreak/>
        <w:t>(c)</w:t>
      </w:r>
      <w:r>
        <w:tab/>
        <w:t xml:space="preserve">die die Elemente in der </w:t>
      </w:r>
      <w:r w:rsidR="00ED5BE9">
        <w:t>Alter</w:t>
      </w:r>
      <w:r w:rsidR="00ED5BE9">
        <w:softHyphen/>
        <w:t>nativen</w:t>
      </w:r>
      <w:r w:rsidR="00ED5BE9">
        <w:softHyphen/>
        <w:t>klasse</w:t>
      </w:r>
      <w:r>
        <w:t xml:space="preserve"> entlang einer bestimmten Skala ordnen;</w:t>
      </w:r>
    </w:p>
    <w:p w:rsidR="00D2554C" w:rsidRDefault="00D2554C">
      <w:pPr>
        <w:pStyle w:val="Text"/>
      </w:pPr>
      <w:r>
        <w:t>(d)</w:t>
      </w:r>
      <w:r>
        <w:tab/>
        <w:t>die die Elemente in einem ‚Ähnlichkeitsraum‘ anordnen.</w:t>
      </w:r>
    </w:p>
    <w:p w:rsidR="005207B3" w:rsidRDefault="00D2554C">
      <w:pPr>
        <w:pStyle w:val="Text"/>
      </w:pPr>
      <w:r>
        <w:t>Zu (a):</w:t>
      </w:r>
      <w:r>
        <w:tab/>
      </w:r>
      <w:r w:rsidR="005207B3">
        <w:t>Stile können auf Häufigkeiten auf verschiedene Weise Bezug ne</w:t>
      </w:r>
      <w:r w:rsidR="005207B3">
        <w:t>h</w:t>
      </w:r>
      <w:r w:rsidR="005207B3">
        <w:t xml:space="preserve">men. </w:t>
      </w:r>
      <w:r w:rsidR="005B335E">
        <w:t xml:space="preserve">Wird die Häufigkeit der Elemente in den </w:t>
      </w:r>
      <w:r w:rsidR="00ED5BE9">
        <w:t>Alter</w:t>
      </w:r>
      <w:r w:rsidR="00ED5BE9">
        <w:softHyphen/>
        <w:t>nativen</w:t>
      </w:r>
      <w:r w:rsidR="00ED5BE9">
        <w:softHyphen/>
        <w:t>klasse</w:t>
      </w:r>
      <w:r w:rsidR="005B335E">
        <w:t>n (bezogen auf Realisierungen des entsprechenden Schemas) genannt (beispielsweise ‚die hä</w:t>
      </w:r>
      <w:r w:rsidR="005B335E">
        <w:t>u</w:t>
      </w:r>
      <w:r w:rsidR="005B335E">
        <w:t xml:space="preserve">figste Lösung‘, ‚eine durchschnittlich häufige Lösung‘, ‚die seltenste Lösung‘, wobei ‚Lösung‘ jeweils für die Elemente der </w:t>
      </w:r>
      <w:r w:rsidR="00ED5BE9">
        <w:t>Alter</w:t>
      </w:r>
      <w:r w:rsidR="00ED5BE9">
        <w:softHyphen/>
        <w:t>nativen</w:t>
      </w:r>
      <w:r w:rsidR="00ED5BE9">
        <w:softHyphen/>
        <w:t>klasse</w:t>
      </w:r>
      <w:r w:rsidR="005B335E">
        <w:t xml:space="preserve"> steht), handelt es sich um eine vertikal-relationale Eigenschaft. </w:t>
      </w:r>
      <w:r w:rsidR="005207B3">
        <w:t xml:space="preserve">Es kann </w:t>
      </w:r>
      <w:r w:rsidR="005B335E">
        <w:t xml:space="preserve">auch ohne Bezug auf die </w:t>
      </w:r>
      <w:r w:rsidR="00ED5BE9">
        <w:t>Alter</w:t>
      </w:r>
      <w:r w:rsidR="00ED5BE9">
        <w:softHyphen/>
        <w:t>nativen</w:t>
      </w:r>
      <w:r w:rsidR="00ED5BE9">
        <w:softHyphen/>
        <w:t>klasse</w:t>
      </w:r>
      <w:r w:rsidR="005B335E">
        <w:t xml:space="preserve"> </w:t>
      </w:r>
      <w:r w:rsidR="005207B3">
        <w:t xml:space="preserve">die Häufigkeit </w:t>
      </w:r>
      <w:r w:rsidR="005B335E">
        <w:t xml:space="preserve">des </w:t>
      </w:r>
      <w:r w:rsidR="005207B3">
        <w:t xml:space="preserve">Elements </w:t>
      </w:r>
      <w:r w:rsidR="005B335E">
        <w:t xml:space="preserve">bestimmt </w:t>
      </w:r>
      <w:r w:rsidR="005207B3">
        <w:t>werden (</w:t>
      </w:r>
      <w:r w:rsidR="0032460F">
        <w:t>beispielsweise ‚Lösung kommt i</w:t>
      </w:r>
      <w:r w:rsidR="005B335E">
        <w:t>n maximal 5 % der R</w:t>
      </w:r>
      <w:r w:rsidR="007333DD">
        <w:t xml:space="preserve">ealisierungen des Schemas vor‘, eine </w:t>
      </w:r>
      <w:r w:rsidR="005207B3">
        <w:t>i</w:t>
      </w:r>
      <w:r w:rsidR="005207B3">
        <w:t>n</w:t>
      </w:r>
      <w:r w:rsidR="005207B3">
        <w:t>trinsische Eigenschaft)</w:t>
      </w:r>
      <w:r w:rsidR="005B335E">
        <w:t xml:space="preserve"> oder </w:t>
      </w:r>
      <w:r w:rsidR="005207B3">
        <w:t xml:space="preserve">die Häufigkeit innerhalb der Realisierung </w:t>
      </w:r>
      <w:r w:rsidR="005B335E">
        <w:t xml:space="preserve">bestimmt werden </w:t>
      </w:r>
      <w:r w:rsidR="005207B3">
        <w:t>(</w:t>
      </w:r>
      <w:r w:rsidR="007333DD">
        <w:t>‚</w:t>
      </w:r>
      <w:r w:rsidR="0032460F">
        <w:t xml:space="preserve">Lösung </w:t>
      </w:r>
      <w:r w:rsidR="007333DD">
        <w:t xml:space="preserve">kommt zweimal </w:t>
      </w:r>
      <w:r w:rsidR="0032460F">
        <w:t>in</w:t>
      </w:r>
      <w:r w:rsidR="00444CD5">
        <w:t xml:space="preserve"> der Realisierung </w:t>
      </w:r>
      <w:r w:rsidR="007333DD">
        <w:t>vor‘, eine</w:t>
      </w:r>
      <w:r w:rsidR="005B335E">
        <w:t xml:space="preserve"> </w:t>
      </w:r>
      <w:r w:rsidR="005207B3">
        <w:t>horizontal-relationale Eigenschaft).</w:t>
      </w:r>
      <w:r w:rsidR="005207B3">
        <w:rPr>
          <w:rStyle w:val="Funotenzeichen"/>
        </w:rPr>
        <w:footnoteReference w:id="323"/>
      </w:r>
    </w:p>
    <w:p w:rsidR="00D2554C" w:rsidRDefault="00D2554C">
      <w:pPr>
        <w:pStyle w:val="Text"/>
      </w:pPr>
      <w:r>
        <w:t>Die Abweichungsstilistik</w:t>
      </w:r>
      <w:bookmarkStart w:id="208" w:name="_Ref218343922"/>
      <w:r w:rsidR="005D7996">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fldChar w:fldCharType="end"/>
      </w:r>
      <w:r>
        <w:rPr>
          <w:rStyle w:val="Funotenzeichen"/>
          <w:szCs w:val="20"/>
        </w:rPr>
        <w:footnoteReference w:id="324"/>
      </w:r>
      <w:bookmarkEnd w:id="208"/>
      <w:r>
        <w:t xml:space="preserve"> postulierte, dass stilistische </w:t>
      </w:r>
      <w:r w:rsidR="007333DD">
        <w:t xml:space="preserve">Merkmale </w:t>
      </w:r>
      <w:r w:rsidR="00E46192">
        <w:t xml:space="preserve">durch </w:t>
      </w:r>
      <w:r>
        <w:t xml:space="preserve">Abweichung von Normen </w:t>
      </w:r>
      <w:r w:rsidR="00E46192">
        <w:t>entstehen</w:t>
      </w:r>
      <w:r>
        <w:t>. Da sich selten nicht-systemische Normen</w:t>
      </w:r>
      <w:r w:rsidR="005D7996">
        <w:fldChar w:fldCharType="begin"/>
      </w:r>
      <w:r w:rsidR="001151DC">
        <w:instrText xml:space="preserve"> XE "</w:instrText>
      </w:r>
      <w:r w:rsidR="001151DC" w:rsidRPr="003B5E7D">
        <w:instrText>Norm</w:instrText>
      </w:r>
      <w:r w:rsidR="001151DC">
        <w:instrText xml:space="preserve">" </w:instrText>
      </w:r>
      <w:r w:rsidR="005D7996">
        <w:fldChar w:fldCharType="end"/>
      </w:r>
      <w:r>
        <w:t xml:space="preserve"> feststellen lassen, die definitiv eine bestimmte Lösung vorschreiben – und das Durchbrechen systemischer Normen keinen Stil erzeugt, sondern eine nicht wohlgeformte Realisierung –, sah man die Normen meist im Bereich der Hä</w:t>
      </w:r>
      <w:r>
        <w:t>u</w:t>
      </w:r>
      <w:r>
        <w:t xml:space="preserve">figkeit, was die Abweichungsstilistik in die Nähe der </w:t>
      </w:r>
      <w:r w:rsidR="00437EC3">
        <w:t>quantitativen S</w:t>
      </w:r>
      <w:r>
        <w:t>tilistik</w:t>
      </w:r>
      <w:r w:rsidR="005D7996">
        <w:fldChar w:fldCharType="begin"/>
      </w:r>
      <w:r w:rsidR="000D27D1">
        <w:instrText xml:space="preserve"> XE "</w:instrText>
      </w:r>
      <w:r w:rsidR="000D27D1" w:rsidRPr="00380979">
        <w:instrText>quantitative Stilistik</w:instrText>
      </w:r>
      <w:r w:rsidR="000D27D1">
        <w:instrText xml:space="preserve">" </w:instrText>
      </w:r>
      <w:r w:rsidR="005D7996">
        <w:fldChar w:fldCharType="end"/>
      </w:r>
      <w:r w:rsidR="00D8125A">
        <w:t xml:space="preserve"> </w:t>
      </w:r>
      <w:r w:rsidR="00B348F6">
        <w:t>rüc</w:t>
      </w:r>
      <w:r w:rsidR="00B348F6">
        <w:t>k</w:t>
      </w:r>
      <w:r w:rsidR="00B348F6">
        <w:t xml:space="preserve">te. </w:t>
      </w:r>
      <w:r>
        <w:t xml:space="preserve">Wir können Normen simulieren, indem wir </w:t>
      </w:r>
      <w:r w:rsidR="00017886">
        <w:t xml:space="preserve">innerhalb jeder </w:t>
      </w:r>
      <w:r w:rsidR="00ED5BE9">
        <w:t>Alter</w:t>
      </w:r>
      <w:r w:rsidR="00ED5BE9">
        <w:softHyphen/>
        <w:t>nativen</w:t>
      </w:r>
      <w:r w:rsidR="00ED5BE9">
        <w:softHyphen/>
        <w:t>klasse</w:t>
      </w:r>
      <w:r w:rsidR="00017886">
        <w:t xml:space="preserve"> einem oder mehreren Elemente die (intrinsische) Eigenschaft ‚der Norm</w:t>
      </w:r>
      <w:r w:rsidR="005D7996">
        <w:fldChar w:fldCharType="begin"/>
      </w:r>
      <w:r w:rsidR="001151DC">
        <w:instrText xml:space="preserve"> XE "</w:instrText>
      </w:r>
      <w:r w:rsidR="001151DC" w:rsidRPr="00C6477A">
        <w:instrText>Norm</w:instrText>
      </w:r>
      <w:r w:rsidR="001151DC">
        <w:instrText xml:space="preserve">" </w:instrText>
      </w:r>
      <w:r w:rsidR="005D7996">
        <w:fldChar w:fldCharType="end"/>
      </w:r>
      <w:r w:rsidR="00017886">
        <w:t xml:space="preserve"> entsprechend‘ zuordnen; der Grad der Abweichung von der Norm ergibt sich durch Vergleich mit diesen Elementen, ist also eine </w:t>
      </w:r>
      <w:r>
        <w:t>vertikal-relationale Eige</w:t>
      </w:r>
      <w:r>
        <w:t>n</w:t>
      </w:r>
      <w:r>
        <w:t>schaft.</w:t>
      </w:r>
    </w:p>
    <w:p w:rsidR="00D2554C" w:rsidRDefault="00D2554C">
      <w:pPr>
        <w:pStyle w:val="Text"/>
      </w:pPr>
      <w:r>
        <w:t>Zu (b):</w:t>
      </w:r>
      <w:r>
        <w:tab/>
        <w:t>Die Prototypentheorie</w:t>
      </w:r>
      <w:bookmarkStart w:id="209" w:name="_Ref269248653"/>
      <w:r w:rsidR="005D7996">
        <w:fldChar w:fldCharType="begin"/>
      </w:r>
      <w:r w:rsidR="0011527D">
        <w:instrText xml:space="preserve"> XE "</w:instrText>
      </w:r>
      <w:r w:rsidR="0011527D" w:rsidRPr="0072400D">
        <w:instrText>Prototypentheorie</w:instrText>
      </w:r>
      <w:r w:rsidR="0011527D">
        <w:instrText xml:space="preserve">" </w:instrText>
      </w:r>
      <w:r w:rsidR="005D7996">
        <w:fldChar w:fldCharType="end"/>
      </w:r>
      <w:r>
        <w:rPr>
          <w:rStyle w:val="Funotenzeichen"/>
        </w:rPr>
        <w:footnoteReference w:id="325"/>
      </w:r>
      <w:bookmarkEnd w:id="209"/>
      <w:r>
        <w:t xml:space="preserve"> postuliert einen unterschiedlichen Grad an ‚Typik‘ für eine Kategorie, was auch als Grad der Zugehörigkeit zur Kategorie aufgefasst werden kann. Es ist plausibel, dies mit einer Erwartbarkeit für die Kategorie zu verbinden, und tatsächlich haben sich die Untersuchungen zur Prototypentheorie meist auf dieses Kriterium konzentriert (etwa, wenn sie die Häufigkeit von genannten Beispielen für Kategorien maßen oder die Zeitdauer, bis ein bestimmtes Element der Kategorie zugeordnet wurde</w:t>
      </w:r>
      <w:r w:rsidR="00122560">
        <w:t>)</w:t>
      </w:r>
      <w:r>
        <w:t>. Die Struktur (b) kann also mit der Kontraststilistik</w:t>
      </w:r>
      <w:r w:rsidR="005D7996">
        <w:fldChar w:fldCharType="begin"/>
      </w:r>
      <w:r w:rsidR="00E267DF">
        <w:instrText xml:space="preserve"> XE "</w:instrText>
      </w:r>
      <w:r w:rsidR="00E267DF" w:rsidRPr="00315466">
        <w:instrText>Kontraststilistik</w:instrText>
      </w:r>
      <w:r w:rsidR="00E267DF">
        <w:instrText xml:space="preserve">" </w:instrText>
      </w:r>
      <w:r w:rsidR="005D7996">
        <w:fldChar w:fldCharType="end"/>
      </w:r>
      <w:r>
        <w:rPr>
          <w:rStyle w:val="Funotenzeichen"/>
        </w:rPr>
        <w:footnoteReference w:id="326"/>
      </w:r>
      <w:r>
        <w:t xml:space="preserve"> in Verbindung gebracht werden.</w:t>
      </w:r>
    </w:p>
    <w:p w:rsidR="00D2554C" w:rsidRDefault="00D2554C">
      <w:pPr>
        <w:pStyle w:val="Text"/>
      </w:pPr>
      <w:r>
        <w:t>Aber das Vorhandensein einer Prototypenstruktur ist mehr als nur die bl</w:t>
      </w:r>
      <w:r>
        <w:t>o</w:t>
      </w:r>
      <w:r>
        <w:t>ße Erwartbarkeit; es besagt auch, dass die Ähnlichkeit zum prototypischen El</w:t>
      </w:r>
      <w:r>
        <w:t>e</w:t>
      </w:r>
      <w:r>
        <w:t>ment die Katego</w:t>
      </w:r>
      <w:r w:rsidR="00EA3899">
        <w:t>rie</w:t>
      </w:r>
      <w:r>
        <w:t>zugehörigkeit ausmacht. Für die Simulation einer Protot</w:t>
      </w:r>
      <w:r>
        <w:t>y</w:t>
      </w:r>
      <w:r>
        <w:t xml:space="preserve">penstruktur reicht es also nicht, jedem Element als Eigenschaft einen Wert der „Distanz zum Prototyp“ zuzuordnen (wobei dem prototypischen Element der </w:t>
      </w:r>
      <w:r>
        <w:lastRenderedPageBreak/>
        <w:t>Wert 0 zugeordnet wird). Zusätzlich muss dieser Wert auch als Grad der Zug</w:t>
      </w:r>
      <w:r>
        <w:t>e</w:t>
      </w:r>
      <w:r>
        <w:t xml:space="preserve">hörigkeit zur </w:t>
      </w:r>
      <w:r w:rsidR="00ED5BE9">
        <w:t>Alter</w:t>
      </w:r>
      <w:r w:rsidR="00ED5BE9">
        <w:softHyphen/>
        <w:t>nativen</w:t>
      </w:r>
      <w:r w:rsidR="00ED5BE9">
        <w:softHyphen/>
        <w:t>klasse</w:t>
      </w:r>
      <w:r>
        <w:t xml:space="preserve"> verstanden we</w:t>
      </w:r>
      <w:r w:rsidR="00790574">
        <w:t xml:space="preserve">rden. </w:t>
      </w:r>
      <w:r w:rsidR="003A0428">
        <w:t xml:space="preserve">Eine </w:t>
      </w:r>
      <w:r w:rsidR="00790574">
        <w:t xml:space="preserve">Prototypenstruktur </w:t>
      </w:r>
      <w:r w:rsidR="003A0428">
        <w:t>liegt vor</w:t>
      </w:r>
      <w:r w:rsidR="00790574">
        <w:t xml:space="preserve">, wenn Alternativen mit </w:t>
      </w:r>
      <w:r w:rsidR="00A141B9">
        <w:t xml:space="preserve">großer Distanz zum Prototyp </w:t>
      </w:r>
      <w:r w:rsidR="003A0428">
        <w:t xml:space="preserve">weniger eindeutig </w:t>
      </w:r>
      <w:r w:rsidR="00790574">
        <w:t xml:space="preserve">zur </w:t>
      </w:r>
      <w:r w:rsidR="00ED5BE9">
        <w:t>Alter</w:t>
      </w:r>
      <w:r w:rsidR="00ED5BE9">
        <w:softHyphen/>
        <w:t>nativen</w:t>
      </w:r>
      <w:r w:rsidR="00ED5BE9">
        <w:softHyphen/>
        <w:t>klasse</w:t>
      </w:r>
      <w:r w:rsidR="003A0428">
        <w:t xml:space="preserve"> gehören</w:t>
      </w:r>
      <w:r w:rsidR="00790574">
        <w:t xml:space="preserve"> (also eine legitime Lösung an der entsprechenden </w:t>
      </w:r>
      <w:r>
        <w:t>Realisierung</w:t>
      </w:r>
      <w:r w:rsidR="00790574">
        <w:t xml:space="preserve">sstelle </w:t>
      </w:r>
      <w:r>
        <w:t>dar</w:t>
      </w:r>
      <w:r w:rsidR="003A0428">
        <w:t>stellen</w:t>
      </w:r>
      <w:r w:rsidR="005D7510">
        <w:t>)</w:t>
      </w:r>
      <w:r w:rsidR="00A141B9" w:rsidRPr="00A141B9">
        <w:t xml:space="preserve"> </w:t>
      </w:r>
      <w:r w:rsidR="00A141B9">
        <w:t>als solche mit kleiner Distanz</w:t>
      </w:r>
      <w:r>
        <w:t>.</w:t>
      </w:r>
      <w:r w:rsidR="003A0428">
        <w:t xml:space="preserve"> </w:t>
      </w:r>
      <w:r w:rsidR="00A141B9">
        <w:t>Prototypenstrukt</w:t>
      </w:r>
      <w:r w:rsidR="00A141B9">
        <w:t>u</w:t>
      </w:r>
      <w:r w:rsidR="00A141B9">
        <w:t xml:space="preserve">ren in </w:t>
      </w:r>
      <w:r w:rsidR="00ED5BE9">
        <w:t>Alter</w:t>
      </w:r>
      <w:r w:rsidR="00ED5BE9">
        <w:softHyphen/>
        <w:t>nativen</w:t>
      </w:r>
      <w:r w:rsidR="00ED5BE9">
        <w:softHyphen/>
        <w:t>klasse</w:t>
      </w:r>
      <w:r w:rsidR="00A141B9">
        <w:t>n können simuliert werden, indem den Elementen d</w:t>
      </w:r>
      <w:r>
        <w:t>ie</w:t>
      </w:r>
      <w:r w:rsidR="00A141B9">
        <w:t xml:space="preserve"> Eigenschaften ‚Distanz zum Prototyp‘ und ‚Eindeutigkeit der Zugehörigkeit zur </w:t>
      </w:r>
      <w:r w:rsidR="00ED5BE9">
        <w:t>Alter</w:t>
      </w:r>
      <w:r w:rsidR="00ED5BE9">
        <w:softHyphen/>
        <w:t>nativen</w:t>
      </w:r>
      <w:r w:rsidR="00ED5BE9">
        <w:softHyphen/>
        <w:t>klasse</w:t>
      </w:r>
      <w:r w:rsidR="00A141B9">
        <w:t>‘ miteinander korreliert zugeordnet werden. Prototypenstru</w:t>
      </w:r>
      <w:r w:rsidR="00A141B9">
        <w:t>k</w:t>
      </w:r>
      <w:r w:rsidR="00A141B9">
        <w:t xml:space="preserve">turen </w:t>
      </w:r>
      <w:r w:rsidR="00600A27">
        <w:t>sind nichts Ungewöhnliches</w:t>
      </w:r>
      <w:r w:rsidR="00A141B9">
        <w:t>;</w:t>
      </w:r>
      <w:r>
        <w:t xml:space="preserve"> viele </w:t>
      </w:r>
      <w:r w:rsidR="00ED5BE9">
        <w:t>Alter</w:t>
      </w:r>
      <w:r w:rsidR="00ED5BE9">
        <w:softHyphen/>
        <w:t>nativen</w:t>
      </w:r>
      <w:r w:rsidR="00ED5BE9">
        <w:softHyphen/>
        <w:t>klasse</w:t>
      </w:r>
      <w:r>
        <w:t xml:space="preserve">n </w:t>
      </w:r>
      <w:r w:rsidR="00A141B9">
        <w:t xml:space="preserve">sind </w:t>
      </w:r>
      <w:r>
        <w:t xml:space="preserve">ungefähr koextensional mit </w:t>
      </w:r>
      <w:r w:rsidR="005C5425">
        <w:t>natürlichsprachlichen Bezeichnungen für Aspekte von Sch</w:t>
      </w:r>
      <w:r w:rsidR="005C5425">
        <w:t>e</w:t>
      </w:r>
      <w:r w:rsidR="005C5425">
        <w:t xml:space="preserve">maorten </w:t>
      </w:r>
      <w:r>
        <w:t xml:space="preserve">(z.B. </w:t>
      </w:r>
      <w:r w:rsidR="00F836D7">
        <w:t>bilden</w:t>
      </w:r>
      <w:r>
        <w:t xml:space="preserve"> „Fenster“ oder „Tür“ typische </w:t>
      </w:r>
      <w:r w:rsidR="00ED5BE9">
        <w:t>Alter</w:t>
      </w:r>
      <w:r w:rsidR="00ED5BE9">
        <w:softHyphen/>
        <w:t>nativen</w:t>
      </w:r>
      <w:r w:rsidR="00ED5BE9">
        <w:softHyphen/>
        <w:t>klasse</w:t>
      </w:r>
      <w:r w:rsidR="00F836D7">
        <w:t>n</w:t>
      </w:r>
      <w:r>
        <w:t xml:space="preserve"> für G</w:t>
      </w:r>
      <w:r>
        <w:t>e</w:t>
      </w:r>
      <w:r>
        <w:t>bäude),</w:t>
      </w:r>
      <w:r w:rsidR="005C5425">
        <w:rPr>
          <w:rStyle w:val="Funotenzeichen"/>
        </w:rPr>
        <w:footnoteReference w:id="327"/>
      </w:r>
      <w:r>
        <w:t xml:space="preserve"> </w:t>
      </w:r>
      <w:r w:rsidR="00F836D7">
        <w:t xml:space="preserve">deren </w:t>
      </w:r>
      <w:r w:rsidR="00534889">
        <w:t xml:space="preserve">Verwendung </w:t>
      </w:r>
      <w:r w:rsidR="00F836D7">
        <w:t xml:space="preserve">sich </w:t>
      </w:r>
      <w:r w:rsidR="00A141B9">
        <w:t>oft</w:t>
      </w:r>
      <w:r w:rsidR="00534889">
        <w:t xml:space="preserve"> mit Hilfe von Prototypenstrukturen </w:t>
      </w:r>
      <w:r w:rsidR="00F836D7">
        <w:t>b</w:t>
      </w:r>
      <w:r w:rsidR="00F836D7">
        <w:t>e</w:t>
      </w:r>
      <w:r w:rsidR="00F836D7">
        <w:t>schreiben lässt</w:t>
      </w:r>
      <w:r>
        <w:t>.</w:t>
      </w:r>
    </w:p>
    <w:p w:rsidR="00F54044" w:rsidRDefault="00D2554C">
      <w:pPr>
        <w:pStyle w:val="Text"/>
      </w:pPr>
      <w:r>
        <w:t>Zu (c):</w:t>
      </w:r>
      <w:r>
        <w:tab/>
      </w:r>
      <w:r w:rsidR="00F54044">
        <w:t xml:space="preserve">Skalare Eigenschaften </w:t>
      </w:r>
      <w:r w:rsidR="004868B5">
        <w:t>beziehen sich, soweit nicht anders spezif</w:t>
      </w:r>
      <w:r w:rsidR="004868B5">
        <w:t>i</w:t>
      </w:r>
      <w:r w:rsidR="004868B5">
        <w:t xml:space="preserve">ziert, </w:t>
      </w:r>
      <w:r w:rsidR="00F54044">
        <w:t xml:space="preserve">auf </w:t>
      </w:r>
      <w:r w:rsidR="004868B5">
        <w:t>alle an der entsprechenden Realisierungsstelle gegebenen Möglichke</w:t>
      </w:r>
      <w:r w:rsidR="004868B5">
        <w:t>i</w:t>
      </w:r>
      <w:r w:rsidR="004868B5">
        <w:t xml:space="preserve">ten, also auf die </w:t>
      </w:r>
      <w:r w:rsidR="00ED5BE9">
        <w:t>Alter</w:t>
      </w:r>
      <w:r w:rsidR="00ED5BE9">
        <w:softHyphen/>
        <w:t>nativen</w:t>
      </w:r>
      <w:r w:rsidR="00ED5BE9">
        <w:softHyphen/>
        <w:t>klasse</w:t>
      </w:r>
      <w:r w:rsidR="004868B5">
        <w:t>. Beispielsweise kann ‚</w:t>
      </w:r>
      <w:r w:rsidR="00F54044">
        <w:t xml:space="preserve">die billigste </w:t>
      </w:r>
      <w:r w:rsidR="004868B5">
        <w:t>Möglic</w:t>
      </w:r>
      <w:r w:rsidR="004868B5">
        <w:t>h</w:t>
      </w:r>
      <w:r w:rsidR="004868B5">
        <w:t>keit</w:t>
      </w:r>
      <w:r w:rsidR="00F54044">
        <w:t xml:space="preserve">‘ </w:t>
      </w:r>
      <w:r w:rsidR="004868B5">
        <w:t>(oder: ‚die billigste Lösung‘) ausgewählt werden (‚Möglichkeit‘ oder ‚</w:t>
      </w:r>
      <w:r w:rsidR="00F54044">
        <w:t>L</w:t>
      </w:r>
      <w:r w:rsidR="00F54044">
        <w:t>ö</w:t>
      </w:r>
      <w:r w:rsidR="00F54044">
        <w:t>sung‘</w:t>
      </w:r>
      <w:r w:rsidR="004868B5">
        <w:t xml:space="preserve"> drückt hier </w:t>
      </w:r>
      <w:r w:rsidR="00F54044">
        <w:t xml:space="preserve">den Bezug auf die </w:t>
      </w:r>
      <w:r w:rsidR="00ED5BE9">
        <w:t>Alter</w:t>
      </w:r>
      <w:r w:rsidR="00ED5BE9">
        <w:softHyphen/>
        <w:t>nativen</w:t>
      </w:r>
      <w:r w:rsidR="00ED5BE9">
        <w:softHyphen/>
        <w:t>klasse</w:t>
      </w:r>
      <w:r w:rsidR="004868B5">
        <w:t xml:space="preserve"> aus)</w:t>
      </w:r>
      <w:r w:rsidR="00FB7FD0">
        <w:t>. Wird dagegen ‚das billigste in Deutschland auf dem Markt befindliche Produkt‘ gewählt, ist dies eine intrinsische Eigenschaft; unter Umständen wird sich dann das entspreche</w:t>
      </w:r>
      <w:r w:rsidR="00FB7FD0">
        <w:t>n</w:t>
      </w:r>
      <w:r w:rsidR="00FB7FD0">
        <w:t xml:space="preserve">de Gerät nicht in der </w:t>
      </w:r>
      <w:r w:rsidR="00ED5BE9">
        <w:t>Alter</w:t>
      </w:r>
      <w:r w:rsidR="00ED5BE9">
        <w:softHyphen/>
        <w:t>nativen</w:t>
      </w:r>
      <w:r w:rsidR="00ED5BE9">
        <w:softHyphen/>
        <w:t>klasse</w:t>
      </w:r>
      <w:r w:rsidR="00FB7FD0">
        <w:t xml:space="preserve"> befinden, weil es funktionalen Bedi</w:t>
      </w:r>
      <w:r w:rsidR="00FB7FD0">
        <w:t>n</w:t>
      </w:r>
      <w:r w:rsidR="00FB7FD0">
        <w:t>gungen der entsprechenden Realisierungsstelle nicht entspricht.</w:t>
      </w:r>
    </w:p>
    <w:p w:rsidR="00D2554C" w:rsidRDefault="00D2554C">
      <w:pPr>
        <w:pStyle w:val="Text"/>
      </w:pPr>
      <w:r>
        <w:t>Zu (d):</w:t>
      </w:r>
      <w:r>
        <w:tab/>
        <w:t xml:space="preserve">Ein ‚Ähnlichkeitsraum‘ kann innerhalb einer </w:t>
      </w:r>
      <w:r w:rsidR="00ED5BE9">
        <w:t>Alter</w:t>
      </w:r>
      <w:r w:rsidR="00ED5BE9">
        <w:softHyphen/>
        <w:t>nativen</w:t>
      </w:r>
      <w:r w:rsidR="00ED5BE9">
        <w:softHyphen/>
        <w:t>klasse</w:t>
      </w:r>
      <w:r>
        <w:t xml:space="preserve"> gebildet werden durch Anordnung der Elemente nach der Anzahl übereinsti</w:t>
      </w:r>
      <w:r>
        <w:t>m</w:t>
      </w:r>
      <w:r>
        <w:t xml:space="preserve">mender Eigenschaften. Dabei werden also Gruppen von ähnlichen Elementen gebildet und die unterschiedlichen Distanzen abgebildet. </w:t>
      </w:r>
      <w:r w:rsidR="001B65DE">
        <w:t>V</w:t>
      </w:r>
      <w:r>
        <w:t>ertikal-relationale Eigenschaft</w:t>
      </w:r>
      <w:r w:rsidR="001B65DE">
        <w:t>en sind</w:t>
      </w:r>
      <w:r>
        <w:t xml:space="preserve"> nun </w:t>
      </w:r>
      <w:r w:rsidR="00425F25">
        <w:t xml:space="preserve">zum Beispiel </w:t>
      </w:r>
      <w:r>
        <w:t>(</w:t>
      </w:r>
      <w:r w:rsidR="002B23F6">
        <w:t>I</w:t>
      </w:r>
      <w:r>
        <w:t>) die Größe des Abstands zu dem nächs</w:t>
      </w:r>
      <w:r>
        <w:t>t</w:t>
      </w:r>
      <w:r>
        <w:t>gelegenen Element, (</w:t>
      </w:r>
      <w:r w:rsidR="002B23F6">
        <w:t>II</w:t>
      </w:r>
      <w:r>
        <w:t>) ob das Element Bestandteil einer Gruppe ist (also viele ungefähr gleich weit entfernte Nachbarn hat) oder nicht, (</w:t>
      </w:r>
      <w:r w:rsidR="002B23F6">
        <w:t>III</w:t>
      </w:r>
      <w:r>
        <w:t>) der Gesamta</w:t>
      </w:r>
      <w:r>
        <w:t>b</w:t>
      </w:r>
      <w:r>
        <w:t>stand (die Summe des Abstands zu allen anderen Elementen). Das Element mit dem größten Gesamtabstand etwa würde vielleicht als ‚unkonventionelle‘, ‚e</w:t>
      </w:r>
      <w:r>
        <w:t>i</w:t>
      </w:r>
      <w:r>
        <w:t>genwillige‘ Lösung empfunden werden, da es eine Alternative bildet, die von allen anderen Alternativen größeren Ähnlichkeitsabstand hat als diese untere</w:t>
      </w:r>
      <w:r>
        <w:t>i</w:t>
      </w:r>
      <w:r>
        <w:t>nander. Weitere vertikal-relationale Eigenschaften sind hier konstruierbar, die durchaus stilistisch relevant sein können.</w:t>
      </w:r>
    </w:p>
    <w:p w:rsidR="00757E0E" w:rsidRDefault="00757E0E" w:rsidP="00D45524">
      <w:pPr>
        <w:pStyle w:val="Text"/>
        <w:spacing w:before="240"/>
        <w:ind w:firstLine="0"/>
      </w:pPr>
      <w:r>
        <w:t xml:space="preserve">Es könnte versucht werden, die stilistische Auswahl aus </w:t>
      </w:r>
      <w:r w:rsidR="00ED5BE9">
        <w:t>Alter</w:t>
      </w:r>
      <w:r w:rsidR="00ED5BE9">
        <w:softHyphen/>
        <w:t>nativen</w:t>
      </w:r>
      <w:r w:rsidR="00ED5BE9">
        <w:softHyphen/>
        <w:t>klasse</w:t>
      </w:r>
      <w:r>
        <w:t>n mit Hilfe solcher Strukturen zu beschreiben</w:t>
      </w:r>
      <w:r w:rsidR="006256CA">
        <w:t xml:space="preserve">, </w:t>
      </w:r>
      <w:r w:rsidR="001D679C">
        <w:t xml:space="preserve">auf die </w:t>
      </w:r>
      <w:r w:rsidR="006256CA">
        <w:t>durch Merkmalsregeln zugegri</w:t>
      </w:r>
      <w:r w:rsidR="006256CA">
        <w:t>f</w:t>
      </w:r>
      <w:r w:rsidR="006256CA">
        <w:t>fen wird</w:t>
      </w:r>
      <w:r>
        <w:t xml:space="preserve">. Doch es gibt keine allgemeingültige Lösung für solche Strukturen. </w:t>
      </w:r>
      <w:r w:rsidR="008174AC">
        <w:t xml:space="preserve">Verschiedene </w:t>
      </w:r>
      <w:r w:rsidR="00ED5BE9">
        <w:t>Alter</w:t>
      </w:r>
      <w:r w:rsidR="00ED5BE9">
        <w:softHyphen/>
        <w:t>nativen</w:t>
      </w:r>
      <w:r w:rsidR="00ED5BE9">
        <w:softHyphen/>
        <w:t>klasse</w:t>
      </w:r>
      <w:r>
        <w:t xml:space="preserve">n können unterschiedliche </w:t>
      </w:r>
      <w:r w:rsidR="005B6F18">
        <w:t xml:space="preserve">Arten von </w:t>
      </w:r>
      <w:r>
        <w:t>Strukt</w:t>
      </w:r>
      <w:r>
        <w:t>u</w:t>
      </w:r>
      <w:r>
        <w:t xml:space="preserve">ren </w:t>
      </w:r>
      <w:r w:rsidR="00C350A3">
        <w:t>aufweisen, die unterschiedlich ausgeprägt sein können</w:t>
      </w:r>
      <w:r>
        <w:t xml:space="preserve">. Es kann keine Regel </w:t>
      </w:r>
      <w:r>
        <w:lastRenderedPageBreak/>
        <w:t xml:space="preserve">angegeben werden, nach der bei der Bildung einer solchen strukturierten </w:t>
      </w:r>
      <w:r w:rsidR="00ED5BE9">
        <w:t>Alter</w:t>
      </w:r>
      <w:r w:rsidR="00ED5BE9">
        <w:softHyphen/>
        <w:t>nativen</w:t>
      </w:r>
      <w:r w:rsidR="00ED5BE9">
        <w:softHyphen/>
        <w:t>klasse</w:t>
      </w:r>
      <w:r>
        <w:t xml:space="preserve"> allgemein zu verfahren wäre. Eine allgemeine Stiltheorie wäre u</w:t>
      </w:r>
      <w:r>
        <w:t>n</w:t>
      </w:r>
      <w:r>
        <w:t>möglich oder müsste sich mit groben Verallgemeinerungen behelfen.</w:t>
      </w:r>
    </w:p>
    <w:p w:rsidR="00757E0E" w:rsidRDefault="00757E0E" w:rsidP="00757E0E">
      <w:pPr>
        <w:pStyle w:val="Text"/>
      </w:pPr>
      <w:r>
        <w:t xml:space="preserve">Die Bildung von </w:t>
      </w:r>
      <w:r w:rsidR="00ED5BE9">
        <w:t>Alter</w:t>
      </w:r>
      <w:r w:rsidR="00ED5BE9">
        <w:softHyphen/>
        <w:t>nativen</w:t>
      </w:r>
      <w:r w:rsidR="00ED5BE9">
        <w:softHyphen/>
        <w:t>klasse</w:t>
      </w:r>
      <w:r>
        <w:t xml:space="preserve">n dagegen ist ein präzise beschreibbarer Vorgang (vgl. Abschnitt </w:t>
      </w:r>
      <w:r w:rsidR="005D7996">
        <w:fldChar w:fldCharType="begin"/>
      </w:r>
      <w:r>
        <w:instrText xml:space="preserve"> REF _Ref212029118 \r \h </w:instrText>
      </w:r>
      <w:r w:rsidR="005D7996">
        <w:fldChar w:fldCharType="separate"/>
      </w:r>
      <w:r w:rsidR="001231D3">
        <w:t>4.4</w:t>
      </w:r>
      <w:r w:rsidR="005D7996">
        <w:fldChar w:fldCharType="end"/>
      </w:r>
      <w:r>
        <w:t xml:space="preserve">), der allgemein für alle Verhaltensbereiche gilt. Um die genannten Strukturen (und alle anderen, die innerhalb von </w:t>
      </w:r>
      <w:r w:rsidR="00ED5BE9">
        <w:t>Alter</w:t>
      </w:r>
      <w:r w:rsidR="00ED5BE9">
        <w:softHyphen/>
        <w:t>nativen</w:t>
      </w:r>
      <w:r w:rsidR="00ED5BE9">
        <w:softHyphen/>
        <w:t>klasse</w:t>
      </w:r>
      <w:r>
        <w:t xml:space="preserve">n denkbar sind) zu beschreiben, führen wir daher die vertikal-relationalen Eigenschaften ein. Tatsächlich können grundsätzlich alle Strukturen der </w:t>
      </w:r>
      <w:r w:rsidR="00ED5BE9">
        <w:t>Alter</w:t>
      </w:r>
      <w:r w:rsidR="00ED5BE9">
        <w:softHyphen/>
        <w:t>nativen</w:t>
      </w:r>
      <w:r w:rsidR="00ED5BE9">
        <w:softHyphen/>
        <w:t>klasse</w:t>
      </w:r>
      <w:r>
        <w:t xml:space="preserve"> mit Eigenschaften der Elemente gewissermaßen ‚simuliert‘ werden; selbst wenn dies nicht durch eine einfache Bezugsgröße (etwa die Entfernung vom prototypischen Element) möglich ist, kann (im schlimmsten denkbaren Fall) die allgemeine Form der Struktur der </w:t>
      </w:r>
      <w:r w:rsidR="00ED5BE9">
        <w:t>Alter</w:t>
      </w:r>
      <w:r w:rsidR="00ED5BE9">
        <w:softHyphen/>
        <w:t>nativen</w:t>
      </w:r>
      <w:r w:rsidR="00ED5BE9">
        <w:softHyphen/>
        <w:t>klasse</w:t>
      </w:r>
      <w:r>
        <w:t xml:space="preserve"> und die Position des Elements innerhalb dieser Struktur jedem Element als vertikal-relationale Eigenschaft zugeordnet werden. Selbst in diesem ungünstigen Fall bleibt der Vorteil erhalten, dass sich </w:t>
      </w:r>
      <w:r w:rsidR="00ED5BE9">
        <w:t>Alter</w:t>
      </w:r>
      <w:r w:rsidR="00ED5BE9">
        <w:softHyphen/>
        <w:t>nativen</w:t>
      </w:r>
      <w:r w:rsidR="00ED5BE9">
        <w:softHyphen/>
        <w:t>klasse</w:t>
      </w:r>
      <w:r>
        <w:t xml:space="preserve">n und die auf sie bezugnehmenden Merkmalsregeln (vgl. Abschnitt </w:t>
      </w:r>
      <w:r w:rsidR="005D7996">
        <w:fldChar w:fldCharType="begin"/>
      </w:r>
      <w:r>
        <w:instrText xml:space="preserve"> REF _Ref212124499 \r \h </w:instrText>
      </w:r>
      <w:r w:rsidR="005D7996">
        <w:fldChar w:fldCharType="separate"/>
      </w:r>
      <w:r w:rsidR="001231D3">
        <w:t>5.3</w:t>
      </w:r>
      <w:r w:rsidR="005D7996">
        <w:fldChar w:fldCharType="end"/>
      </w:r>
      <w:r>
        <w:t>) nun allgemeingültig betrachten lassen, da die Komplexität in die spezifischen Elementeigenschaften verschoben wurde. Um eine korrekte Beschreibung zu erhalten, ist es nur nötig, dass für den Einze</w:t>
      </w:r>
      <w:r>
        <w:t>l</w:t>
      </w:r>
      <w:r>
        <w:t xml:space="preserve">fall die vorgefundenen Strukturen innerhalb der </w:t>
      </w:r>
      <w:r w:rsidR="00ED5BE9">
        <w:t>Alter</w:t>
      </w:r>
      <w:r w:rsidR="00ED5BE9">
        <w:softHyphen/>
        <w:t>nativen</w:t>
      </w:r>
      <w:r w:rsidR="00ED5BE9">
        <w:softHyphen/>
        <w:t>klasse</w:t>
      </w:r>
      <w:r>
        <w:t xml:space="preserve"> durch vert</w:t>
      </w:r>
      <w:r>
        <w:t>i</w:t>
      </w:r>
      <w:r>
        <w:t>kal-relationale Eigenschaften vollständig beschrieben werden.</w:t>
      </w:r>
    </w:p>
    <w:p w:rsidR="00757E0E" w:rsidRDefault="00757E0E" w:rsidP="00757E0E">
      <w:pPr>
        <w:pStyle w:val="Text"/>
      </w:pPr>
      <w:r>
        <w:t xml:space="preserve">Diese ergeben sich in jedem Einzelfall aus der </w:t>
      </w:r>
      <w:r w:rsidR="00ED5BE9">
        <w:t>Alter</w:t>
      </w:r>
      <w:r w:rsidR="00ED5BE9">
        <w:softHyphen/>
        <w:t>nativen</w:t>
      </w:r>
      <w:r w:rsidR="00ED5BE9">
        <w:softHyphen/>
        <w:t>klasse</w:t>
      </w:r>
      <w:r>
        <w:t xml:space="preserve"> sowie aus ihrem Kontext in der Realisierung; der gewünschten Beschreibungsgenauigkeit sind keine Grenzen gesetzt. Es macht nichts, dass dieser Beschreibungsvorgang möglicherweise nicht allgemein darstellbar ist. Ganz im Gegenteil: Auf diese Art kann man bereits an dieser grundlegenden Stelle der Theorie der Kreativität</w:t>
      </w:r>
      <w:r w:rsidR="005D7996">
        <w:fldChar w:fldCharType="begin"/>
      </w:r>
      <w:r w:rsidR="00134E70">
        <w:instrText xml:space="preserve"> XE "</w:instrText>
      </w:r>
      <w:r w:rsidR="00134E70" w:rsidRPr="00A85F7A">
        <w:instrText>Kreativität</w:instrText>
      </w:r>
      <w:r w:rsidR="00134E70">
        <w:instrText xml:space="preserve">" </w:instrText>
      </w:r>
      <w:r w:rsidR="005D7996">
        <w:fldChar w:fldCharType="end"/>
      </w:r>
      <w:r>
        <w:t xml:space="preserve"> des Stils</w:t>
      </w:r>
      <w:r>
        <w:rPr>
          <w:rStyle w:val="Funotenzeichen"/>
        </w:rPr>
        <w:footnoteReference w:id="328"/>
      </w:r>
      <w:r>
        <w:t xml:space="preserve"> gerecht werden, da es prinzipiell möglich ist, neue Strukturen für </w:t>
      </w:r>
      <w:r w:rsidR="00ED5BE9">
        <w:t>Alter</w:t>
      </w:r>
      <w:r w:rsidR="00ED5BE9">
        <w:softHyphen/>
        <w:t>nativen</w:t>
      </w:r>
      <w:r w:rsidR="00ED5BE9">
        <w:softHyphen/>
        <w:t>klasse</w:t>
      </w:r>
      <w:r>
        <w:t>n zu finden (indem man neue vertikal-relationale Eigenschaften findet) und in einem Stil auf diese Bezug zu nehmen. Somit liegt hier einer jener offenen Bereiche der Theorie, die die beobachtete Vagheit des Gegenstandsb</w:t>
      </w:r>
      <w:r>
        <w:t>e</w:t>
      </w:r>
      <w:r>
        <w:t xml:space="preserve">reichs abbilden (vgl. Abschnitt </w:t>
      </w:r>
      <w:r w:rsidR="005D7996">
        <w:fldChar w:fldCharType="begin"/>
      </w:r>
      <w:r>
        <w:instrText xml:space="preserve"> REF _Ref223865720 \r \h </w:instrText>
      </w:r>
      <w:r w:rsidR="005D7996">
        <w:fldChar w:fldCharType="separate"/>
      </w:r>
      <w:r w:rsidR="001231D3">
        <w:t>9.5</w:t>
      </w:r>
      <w:r w:rsidR="005D7996">
        <w:fldChar w:fldCharType="end"/>
      </w:r>
      <w:r>
        <w:t>).</w:t>
      </w:r>
    </w:p>
    <w:p w:rsidR="00D2554C" w:rsidRDefault="00D2554C" w:rsidP="00246B0E">
      <w:pPr>
        <w:pStyle w:val="Definition"/>
        <w:tabs>
          <w:tab w:val="clear" w:pos="851"/>
          <w:tab w:val="left" w:pos="397"/>
        </w:tabs>
        <w:ind w:left="1021" w:hanging="1021"/>
      </w:pPr>
      <w:bookmarkStart w:id="210" w:name="horizontal"/>
      <w:bookmarkEnd w:id="207"/>
      <w:r>
        <w:t>(5)</w:t>
      </w:r>
      <w:r>
        <w:tab/>
      </w:r>
      <w:r w:rsidR="004F5D0D" w:rsidRPr="00CC6E60">
        <w:rPr>
          <w:bCs/>
        </w:rPr>
        <w:t>Def.</w:t>
      </w:r>
      <w:r w:rsidR="00DD0752">
        <w:rPr>
          <w:b/>
          <w:bCs/>
        </w:rPr>
        <w:tab/>
      </w:r>
      <w:r w:rsidR="005D7996">
        <w:rPr>
          <w:b/>
          <w:bCs/>
        </w:rPr>
        <w:fldChar w:fldCharType="begin"/>
      </w:r>
      <w:r w:rsidR="00D944A1">
        <w:instrText xml:space="preserve"> XE "</w:instrText>
      </w:r>
      <w:r w:rsidR="00D944A1" w:rsidRPr="0034482F">
        <w:instrText>Eigenschaften:</w:instrText>
      </w:r>
      <w:r w:rsidR="00D944A1">
        <w:instrText>horizontal-relationale:</w:instrText>
      </w:r>
      <w:r w:rsidR="00D944A1" w:rsidRPr="0073281C">
        <w:rPr>
          <w:i/>
        </w:rPr>
        <w:instrText>Definition</w:instrText>
      </w:r>
      <w:r w:rsidR="00D944A1">
        <w:instrText xml:space="preserve">" </w:instrText>
      </w:r>
      <w:r w:rsidR="005D7996">
        <w:rPr>
          <w:b/>
          <w:bCs/>
        </w:rPr>
        <w:fldChar w:fldCharType="end"/>
      </w:r>
      <w:r>
        <w:rPr>
          <w:b/>
          <w:bCs/>
        </w:rPr>
        <w:t xml:space="preserve">Horizontal-relationale Eigenschaften </w:t>
      </w:r>
      <w:r>
        <w:t>ergeben sich aus den Relat</w:t>
      </w:r>
      <w:r>
        <w:t>i</w:t>
      </w:r>
      <w:r>
        <w:t>onen eines Elements, das in einer Realisierung vorkommt, zu and</w:t>
      </w:r>
      <w:r>
        <w:t>e</w:t>
      </w:r>
      <w:r>
        <w:t>ren Elementen der Realisierung.</w:t>
      </w:r>
    </w:p>
    <w:p w:rsidR="003625FB" w:rsidRDefault="005D7996" w:rsidP="00D45524">
      <w:pPr>
        <w:pStyle w:val="Text"/>
        <w:ind w:firstLine="0"/>
      </w:pPr>
      <w:r>
        <w:fldChar w:fldCharType="begin"/>
      </w:r>
      <w:r w:rsidR="00C15A6C">
        <w:instrText xml:space="preserve"> XE "</w:instrText>
      </w:r>
      <w:r w:rsidR="00C15A6C" w:rsidRPr="001B1795">
        <w:instrText>Eigenschaften:</w:instrText>
      </w:r>
      <w:r w:rsidR="00C15A6C">
        <w:instrText>horizontal</w:instrText>
      </w:r>
      <w:r w:rsidR="00C15A6C" w:rsidRPr="001B1795">
        <w:instrText>-relationale</w:instrText>
      </w:r>
      <w:r w:rsidR="00C15A6C">
        <w:instrText xml:space="preserve">" \r "horizontal" </w:instrText>
      </w:r>
      <w:r>
        <w:fldChar w:fldCharType="end"/>
      </w:r>
      <w:r w:rsidR="003625FB">
        <w:t xml:space="preserve">Horizontal-relationale Eigenschaften werden mit dem Superskript </w:t>
      </w:r>
      <w:r w:rsidR="003625FB">
        <w:rPr>
          <w:i/>
        </w:rPr>
        <w:t>H</w:t>
      </w:r>
      <w:r w:rsidR="003625FB">
        <w:t xml:space="preserve"> geken</w:t>
      </w:r>
      <w:r w:rsidR="003625FB">
        <w:t>n</w:t>
      </w:r>
      <w:r w:rsidR="003625FB">
        <w:t xml:space="preserve">zeichnet. Innerhalb der verlangten Eigenschaften einer Merkmalsregel sind die horizontal-relationalen Eigenschaften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H</m:t>
            </m:r>
          </m:sup>
        </m:sSubSup>
      </m:oMath>
      <w:r w:rsidR="003625FB" w:rsidRPr="00C24189">
        <w:rPr>
          <w:rFonts w:cs="Times New Roman"/>
        </w:rPr>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r</m:t>
            </m:r>
          </m:sub>
          <m:sup>
            <m:r>
              <m:rPr>
                <m:nor/>
              </m:rPr>
              <w:rPr>
                <w:rFonts w:cs="Times New Roman"/>
                <w:i/>
              </w:rPr>
              <m:t>H</m:t>
            </m:r>
          </m:sup>
        </m:sSubSup>
      </m:oMath>
      <w:r w:rsidR="003625FB">
        <w:rPr>
          <w:rFonts w:cs="Times New Roman"/>
        </w:rPr>
        <w:t xml:space="preserve"> spezifiziert (</w:t>
      </w:r>
      <w:r w:rsidR="003625FB">
        <w:rPr>
          <w:rFonts w:cs="Times New Roman"/>
          <w:i/>
        </w:rPr>
        <w:t>r</w:t>
      </w:r>
      <w:r w:rsidR="003625FB">
        <w:rPr>
          <w:rFonts w:cs="Times New Roman"/>
        </w:rPr>
        <w:t> </w:t>
      </w:r>
      <w:r w:rsidR="003625FB">
        <w:rPr>
          <w:rFonts w:cs="Times New Roman"/>
          <w:iCs/>
        </w:rPr>
        <w:t>≥</w:t>
      </w:r>
      <w:r w:rsidR="003625FB">
        <w:rPr>
          <w:rFonts w:cs="Times New Roman"/>
        </w:rPr>
        <w:t> 0).</w:t>
      </w:r>
    </w:p>
    <w:p w:rsidR="00D2554C" w:rsidRDefault="00246B0E" w:rsidP="00D45524">
      <w:pPr>
        <w:pStyle w:val="Text"/>
        <w:ind w:firstLine="0"/>
      </w:pPr>
      <w:r>
        <w:tab/>
      </w:r>
      <w:r w:rsidR="009A1076">
        <w:t>Horizontal-relationale Eigenschaften sind jene Eigenschaften, die Eleme</w:t>
      </w:r>
      <w:r w:rsidR="009A1076">
        <w:t>n</w:t>
      </w:r>
      <w:r w:rsidR="009A1076">
        <w:t xml:space="preserve">ten durch ihr Vorkommen innerhalb einer bestimmten Realisierung zukommen. </w:t>
      </w:r>
      <w:r w:rsidR="009A1076">
        <w:lastRenderedPageBreak/>
        <w:t>S</w:t>
      </w:r>
      <w:r w:rsidR="00E00651">
        <w:t xml:space="preserve">ie </w:t>
      </w:r>
      <w:r w:rsidR="00D2554C">
        <w:t xml:space="preserve">ergeben sich </w:t>
      </w:r>
      <w:r w:rsidR="00E00651">
        <w:t xml:space="preserve">aus </w:t>
      </w:r>
      <w:r w:rsidR="00D2554C">
        <w:t>den Relationen zu anderen Elementen der Realisierung. Hierzu gehören beispielsweise</w:t>
      </w:r>
    </w:p>
    <w:p w:rsidR="00D2554C" w:rsidRDefault="00D2554C">
      <w:pPr>
        <w:pStyle w:val="Text"/>
      </w:pPr>
      <w:r>
        <w:t>(a)</w:t>
      </w:r>
      <w:r>
        <w:tab/>
        <w:t>Bezüge zu Elementen in der Nähe: Wiederholungen, Oppositionen (z.B. graphemische</w:t>
      </w:r>
      <w:r w:rsidR="005D7996">
        <w:fldChar w:fldCharType="begin"/>
      </w:r>
      <w:r w:rsidR="00DC6AC2">
        <w:instrText xml:space="preserve"> XE "</w:instrText>
      </w:r>
      <w:r w:rsidR="00DC6AC2" w:rsidRPr="00806CC3">
        <w:instrText>Graphemik</w:instrText>
      </w:r>
      <w:r w:rsidR="00DC6AC2">
        <w:instrText xml:space="preserve">" </w:instrText>
      </w:r>
      <w:r w:rsidR="005D7996">
        <w:fldChar w:fldCharType="end"/>
      </w:r>
      <w:r>
        <w:t>, phonologische</w:t>
      </w:r>
      <w:r w:rsidR="005D7996">
        <w:fldChar w:fldCharType="begin"/>
      </w:r>
      <w:r w:rsidR="00DC6AC2">
        <w:instrText xml:space="preserve"> XE "</w:instrText>
      </w:r>
      <w:r w:rsidR="00DC6AC2" w:rsidRPr="00806CC3">
        <w:instrText>Phonologie</w:instrText>
      </w:r>
      <w:r w:rsidR="00DC6AC2">
        <w:instrText xml:space="preserve">" </w:instrText>
      </w:r>
      <w:r w:rsidR="005D7996">
        <w:fldChar w:fldCharType="end"/>
      </w:r>
      <w:r>
        <w:t>, semantische</w:t>
      </w:r>
      <w:r w:rsidR="005D7996">
        <w:fldChar w:fldCharType="begin"/>
      </w:r>
      <w:r w:rsidR="00DC6AC2">
        <w:instrText xml:space="preserve"> XE "</w:instrText>
      </w:r>
      <w:r w:rsidR="00DC6AC2" w:rsidRPr="00806CC3">
        <w:instrText>Semantik</w:instrText>
      </w:r>
      <w:r w:rsidR="00DC6AC2">
        <w:instrText xml:space="preserve">" </w:instrText>
      </w:r>
      <w:r w:rsidR="005D7996">
        <w:fldChar w:fldCharType="end"/>
      </w:r>
      <w:r>
        <w:t>) oder anderes;</w:t>
      </w:r>
    </w:p>
    <w:p w:rsidR="00D2554C" w:rsidRDefault="00D2554C">
      <w:pPr>
        <w:pStyle w:val="Text"/>
      </w:pPr>
      <w:r>
        <w:t>(b)</w:t>
      </w:r>
      <w:r>
        <w:tab/>
        <w:t>die Eigenschaft, Teil einer größeren (und evt. komplexen) Anordnung von Elementen zu sein, die Eigenschaften gemeinsam haben, in oppositionellen Relationen zueinander stehen oder anderes;</w:t>
      </w:r>
    </w:p>
    <w:p w:rsidR="00D2554C" w:rsidRDefault="00D2554C">
      <w:pPr>
        <w:pStyle w:val="Text"/>
      </w:pPr>
      <w:r>
        <w:t>(c)</w:t>
      </w:r>
      <w:r>
        <w:tab/>
        <w:t>die Häufigkeit des Vorkom</w:t>
      </w:r>
      <w:r w:rsidR="002C5FAA">
        <w:t>mens in einer Realisierung</w:t>
      </w:r>
      <w:r w:rsidR="00CD671D">
        <w:t>;</w:t>
      </w:r>
    </w:p>
    <w:p w:rsidR="00D2554C" w:rsidRDefault="00D2554C">
      <w:pPr>
        <w:pStyle w:val="Text"/>
      </w:pPr>
      <w:r>
        <w:t>(d)</w:t>
      </w:r>
      <w:r>
        <w:tab/>
        <w:t>der Grad der Erwartbarkeit im Kontext.</w:t>
      </w:r>
    </w:p>
    <w:p w:rsidR="00D2554C" w:rsidRDefault="00D2554C">
      <w:pPr>
        <w:pStyle w:val="Text"/>
      </w:pPr>
      <w:r>
        <w:t>Zu (a):</w:t>
      </w:r>
      <w:r>
        <w:tab/>
        <w:t>Elemente gehen mit unmittelbar benachbarten Elementen einer Realisierung Beziehungen ein. Auch bei weiter entfernten Elementen können Beziehungen entstehen, beispielsweise wenn dies durch Bildungsregeln eines Zeichensystems (grammatikalische Regeln) begünstigt wird; wenn der Abstand deutlich geringer ist als der statistisch erwartbare; wenn bestimmte Korrespo</w:t>
      </w:r>
      <w:r>
        <w:t>n</w:t>
      </w:r>
      <w:r>
        <w:t>denzen (z.B. geometrische Bezüge bei einem Bild oder Gebäude) bestehen; oder aus anderen Gründen.</w:t>
      </w:r>
    </w:p>
    <w:p w:rsidR="00D2554C" w:rsidRDefault="00D2554C">
      <w:pPr>
        <w:pStyle w:val="Text"/>
      </w:pPr>
      <w:r>
        <w:t>Zu (b):</w:t>
      </w:r>
      <w:r>
        <w:tab/>
        <w:t>Die in (a) beschriebenen Beziehungen können auch Teil einer gr</w:t>
      </w:r>
      <w:r>
        <w:t>ö</w:t>
      </w:r>
      <w:r>
        <w:t>ßeren Anordnung von Elementen sein, sei dies nun im einfachsten Fall eine au</w:t>
      </w:r>
      <w:r>
        <w:t>f</w:t>
      </w:r>
      <w:r>
        <w:t>fällige Häufung von Elementen einer bestimmten Art, oder eine komplexere Anordnung (z.B. die Abwechslung von Elementen mit einer bestimmten Eige</w:t>
      </w:r>
      <w:r>
        <w:t>n</w:t>
      </w:r>
      <w:r>
        <w:t>schaft mit Elementen einer anderen, vielleicht gegensätzlichen, Eigenschaft). Dieser Fall lässt sich nicht durch die Bezugnahme auf die genannten Eigenscha</w:t>
      </w:r>
      <w:r>
        <w:t>f</w:t>
      </w:r>
      <w:r>
        <w:t>ten beschreiben; vielmehr muss die gesamte Anordnung und der Platz in dieser als Eigenschaft einem Element zugeordnet werden. (Damit wird die Anordnung gewissermaßen simuliert.) Dies ist zwar umständlich, hat aber den Vorteil, dass es eine allgemeine Beschreibung möglich macht (vgl. die Erläuterung zu den vertikal-relationalen Eigenschaften unter (</w:t>
      </w:r>
      <w:r w:rsidR="002B23F6">
        <w:t>4</w:t>
      </w:r>
      <w:r>
        <w:t>)).</w:t>
      </w:r>
    </w:p>
    <w:p w:rsidR="00967FF9" w:rsidRDefault="00D2554C">
      <w:pPr>
        <w:pStyle w:val="Text"/>
      </w:pPr>
      <w:r>
        <w:t>Zu (c):</w:t>
      </w:r>
      <w:r>
        <w:tab/>
      </w:r>
      <w:r w:rsidR="006F0D03">
        <w:t xml:space="preserve">Häufigkeiten werden von der </w:t>
      </w:r>
      <w:r w:rsidR="00CB396C">
        <w:t xml:space="preserve">quantitativen </w:t>
      </w:r>
      <w:r w:rsidR="006F0D03">
        <w:t>Stilistik</w:t>
      </w:r>
      <w:r w:rsidR="005D7996">
        <w:fldChar w:fldCharType="begin"/>
      </w:r>
      <w:r w:rsidR="00262183">
        <w:instrText xml:space="preserve"> XE "</w:instrText>
      </w:r>
      <w:r w:rsidR="00B643B6">
        <w:instrText xml:space="preserve">quantitative </w:instrText>
      </w:r>
      <w:r w:rsidR="00262183" w:rsidRPr="00FB15A5">
        <w:rPr>
          <w:rFonts w:eastAsia="Times New Roman" w:cs="Times New Roman"/>
        </w:rPr>
        <w:instrText>Stilistik</w:instrText>
      </w:r>
      <w:r w:rsidR="00262183">
        <w:instrText xml:space="preserve">" </w:instrText>
      </w:r>
      <w:r w:rsidR="005D7996">
        <w:fldChar w:fldCharType="end"/>
      </w:r>
      <w:bookmarkStart w:id="211" w:name="_Ref262306236"/>
      <w:r>
        <w:rPr>
          <w:rStyle w:val="Funotenzeichen"/>
          <w:szCs w:val="20"/>
        </w:rPr>
        <w:footnoteReference w:id="329"/>
      </w:r>
      <w:bookmarkEnd w:id="211"/>
      <w:r>
        <w:t xml:space="preserve"> </w:t>
      </w:r>
      <w:r w:rsidR="006F0D03">
        <w:t>untersucht</w:t>
      </w:r>
      <w:r w:rsidR="00967FF9">
        <w:t>. Es ist zu beachten, dass Häufigkeiten keineswegs nur in Bezug auf die jeweilige Realisierung, sondern auch im Vergleich zu anderen möglichen Lösungen oder ohne Bezug auf das eine oder andere untersucht werden können.</w:t>
      </w:r>
      <w:r w:rsidR="00D936A6">
        <w:t xml:space="preserve"> Aus Gründen der Übersichtlichkeit werden alle drei Fälle hier vergleichend abgehandelt.</w:t>
      </w:r>
    </w:p>
    <w:p w:rsidR="00A9697A" w:rsidRDefault="00D2554C">
      <w:pPr>
        <w:pStyle w:val="Text"/>
      </w:pPr>
      <w:r>
        <w:t xml:space="preserve">Häufigkeiten </w:t>
      </w:r>
      <w:r w:rsidR="00967FF9">
        <w:t xml:space="preserve">können </w:t>
      </w:r>
      <w:r w:rsidR="002473DE">
        <w:t>den Eigenschaftsarten (3), (4) oder (5) angehören. Sie können zu den intrinsischen Eigenschaften</w:t>
      </w:r>
      <w:r w:rsidR="005D7996">
        <w:fldChar w:fldCharType="begin"/>
      </w:r>
      <w:r w:rsidR="00DF4A82">
        <w:instrText xml:space="preserve"> XE "</w:instrText>
      </w:r>
      <w:r w:rsidR="00DF4A82" w:rsidRPr="00FB518D">
        <w:instrText>Eigenschaften:intrinsische</w:instrText>
      </w:r>
      <w:r w:rsidR="00DF4A82">
        <w:instrText xml:space="preserve">" </w:instrText>
      </w:r>
      <w:r w:rsidR="005D7996">
        <w:fldChar w:fldCharType="end"/>
      </w:r>
      <w:r w:rsidR="002473DE">
        <w:t xml:space="preserve"> gehören, etwa wenn </w:t>
      </w:r>
      <w:r w:rsidR="00696EA5">
        <w:t xml:space="preserve">ein Wort </w:t>
      </w:r>
      <w:r w:rsidR="003B090F">
        <w:t>‚</w:t>
      </w:r>
      <w:r>
        <w:t>alltä</w:t>
      </w:r>
      <w:r>
        <w:t>g</w:t>
      </w:r>
      <w:r>
        <w:t>lich</w:t>
      </w:r>
      <w:r w:rsidR="003B090F">
        <w:t>‘</w:t>
      </w:r>
      <w:r>
        <w:t xml:space="preserve"> </w:t>
      </w:r>
      <w:r w:rsidR="002473DE">
        <w:t xml:space="preserve">oder </w:t>
      </w:r>
      <w:r w:rsidR="003B090F">
        <w:t>‚</w:t>
      </w:r>
      <w:r>
        <w:t>ausgefallen</w:t>
      </w:r>
      <w:r w:rsidR="003B090F">
        <w:t>‘</w:t>
      </w:r>
      <w:r>
        <w:t xml:space="preserve"> </w:t>
      </w:r>
      <w:r w:rsidR="00696EA5">
        <w:t xml:space="preserve">ist </w:t>
      </w:r>
      <w:r w:rsidR="00967FF9">
        <w:t xml:space="preserve">oder wenn </w:t>
      </w:r>
      <w:r w:rsidR="00A9697A">
        <w:t>beim Einrichten einer Bibliothek eine ‚</w:t>
      </w:r>
      <w:r w:rsidR="00967FF9">
        <w:t>in 10 % aller Bibliotheken verwendet</w:t>
      </w:r>
      <w:r w:rsidR="00ED2536">
        <w:t>e</w:t>
      </w:r>
      <w:r w:rsidR="00967FF9">
        <w:t xml:space="preserve"> </w:t>
      </w:r>
      <w:r w:rsidR="00ED2536">
        <w:t>Klassifikation</w:t>
      </w:r>
      <w:r w:rsidR="00967FF9">
        <w:t>‘</w:t>
      </w:r>
      <w:r w:rsidR="00ED2536">
        <w:t xml:space="preserve"> gewählt wird</w:t>
      </w:r>
      <w:r w:rsidR="00967FF9">
        <w:t xml:space="preserve">; </w:t>
      </w:r>
      <w:r w:rsidR="002473DE">
        <w:t xml:space="preserve">hier </w:t>
      </w:r>
      <w:r w:rsidR="00EF15D1">
        <w:t xml:space="preserve">besteht </w:t>
      </w:r>
      <w:r w:rsidR="002473DE">
        <w:t xml:space="preserve">kein </w:t>
      </w:r>
      <w:r w:rsidR="002473DE">
        <w:lastRenderedPageBreak/>
        <w:t xml:space="preserve">Bezug </w:t>
      </w:r>
      <w:r w:rsidR="00EF15D1">
        <w:t>zu</w:t>
      </w:r>
      <w:r w:rsidR="00BD0EBB">
        <w:t xml:space="preserve"> anderen Elementen der </w:t>
      </w:r>
      <w:r w:rsidR="00ED5BE9">
        <w:t>Alter</w:t>
      </w:r>
      <w:r w:rsidR="00ED5BE9">
        <w:softHyphen/>
        <w:t>nativen</w:t>
      </w:r>
      <w:r w:rsidR="00ED5BE9">
        <w:softHyphen/>
        <w:t>klasse</w:t>
      </w:r>
      <w:r w:rsidR="002473DE">
        <w:t xml:space="preserve"> </w:t>
      </w:r>
      <w:r w:rsidR="00967FF9">
        <w:t>(</w:t>
      </w:r>
      <w:r w:rsidR="00A9697A">
        <w:t>es wird nicht auf die Hä</w:t>
      </w:r>
      <w:r w:rsidR="00A9697A">
        <w:t>u</w:t>
      </w:r>
      <w:r w:rsidR="00A9697A">
        <w:t>figkeiten der anderen Klassifikationen Bezug genommen, die in Frage geko</w:t>
      </w:r>
      <w:r w:rsidR="00A9697A">
        <w:t>m</w:t>
      </w:r>
      <w:r w:rsidR="00A9697A">
        <w:t xml:space="preserve">men wären) oder </w:t>
      </w:r>
      <w:r w:rsidR="00561207">
        <w:t xml:space="preserve">der </w:t>
      </w:r>
      <w:r w:rsidR="00A9697A">
        <w:t xml:space="preserve">Realisierung (es wird nicht auf andere Häufigkeiten der Bibliothek Bezug genommen, etwa der Häufigkeit </w:t>
      </w:r>
      <w:r w:rsidR="00F6212C">
        <w:t xml:space="preserve">des </w:t>
      </w:r>
      <w:r w:rsidR="00561207">
        <w:t>Verstellen</w:t>
      </w:r>
      <w:r w:rsidR="00F6212C">
        <w:t>s</w:t>
      </w:r>
      <w:r w:rsidR="00561207">
        <w:t xml:space="preserve"> von Büchern</w:t>
      </w:r>
      <w:r w:rsidR="00967FF9">
        <w:t>)</w:t>
      </w:r>
      <w:r w:rsidR="002473DE">
        <w:t>.</w:t>
      </w:r>
    </w:p>
    <w:p w:rsidR="00A9697A" w:rsidRDefault="002473DE">
      <w:pPr>
        <w:pStyle w:val="Text"/>
      </w:pPr>
      <w:r>
        <w:t xml:space="preserve">Häufigkeiten können </w:t>
      </w:r>
      <w:r w:rsidR="00555C3B">
        <w:t xml:space="preserve">auch </w:t>
      </w:r>
      <w:r>
        <w:t>in Relation zu anderen jeweils möglichen Lösu</w:t>
      </w:r>
      <w:r>
        <w:t>n</w:t>
      </w:r>
      <w:r>
        <w:t>gen betrachtet werden</w:t>
      </w:r>
      <w:r w:rsidR="00555C3B">
        <w:t>,</w:t>
      </w:r>
      <w:r>
        <w:t xml:space="preserve"> in diesem Fall handelt es sich um vertikal-relationale E</w:t>
      </w:r>
      <w:r>
        <w:t>i</w:t>
      </w:r>
      <w:r>
        <w:t>genschaften</w:t>
      </w:r>
      <w:r w:rsidR="005D7996">
        <w:fldChar w:fldCharType="begin"/>
      </w:r>
      <w:r w:rsidR="00D6214C">
        <w:instrText xml:space="preserve"> XE "</w:instrText>
      </w:r>
      <w:r w:rsidR="00D6214C" w:rsidRPr="001B1795">
        <w:instrText>Eigenschaften:vertikal-relationale</w:instrText>
      </w:r>
      <w:r w:rsidR="00D6214C">
        <w:instrText xml:space="preserve">" </w:instrText>
      </w:r>
      <w:r w:rsidR="005D7996">
        <w:fldChar w:fldCharType="end"/>
      </w:r>
      <w:r w:rsidR="00555C3B">
        <w:t>:</w:t>
      </w:r>
      <w:r>
        <w:rPr>
          <w:rStyle w:val="Funotenzeichen"/>
        </w:rPr>
        <w:footnoteReference w:id="330"/>
      </w:r>
      <w:r>
        <w:t xml:space="preserve"> </w:t>
      </w:r>
      <w:r w:rsidR="00A9697A">
        <w:t xml:space="preserve">Für die Bibliothek könnte die (bezogen auf alle Bibliotheken) häufigste Klassifikation spezifiziert werden; </w:t>
      </w:r>
      <w:r w:rsidR="00555C3B">
        <w:t>für das ‚Muster‘ beim Schema ‚Pa</w:t>
      </w:r>
      <w:r w:rsidR="00555C3B">
        <w:t>r</w:t>
      </w:r>
      <w:r w:rsidR="00555C3B">
        <w:t xml:space="preserve">kett‘ </w:t>
      </w:r>
      <w:r w:rsidR="00A9697A">
        <w:t xml:space="preserve">kann verlangt werden, dass es </w:t>
      </w:r>
      <w:r w:rsidR="00555C3B">
        <w:t>‚</w:t>
      </w:r>
      <w:r w:rsidR="00A9697A">
        <w:t>nicht zu den fünf häufigsten Mustern g</w:t>
      </w:r>
      <w:r w:rsidR="00A9697A">
        <w:t>e</w:t>
      </w:r>
      <w:r w:rsidR="00A9697A">
        <w:t>hört‘. In solchen Fällen bezieht sich die Eigenschaft</w:t>
      </w:r>
      <w:r w:rsidR="00555C3B">
        <w:t xml:space="preserve"> </w:t>
      </w:r>
      <w:r w:rsidR="00A9697A">
        <w:t xml:space="preserve">auf die </w:t>
      </w:r>
      <w:r w:rsidR="00555C3B">
        <w:t xml:space="preserve">Häufigkeiten aller Elemente der </w:t>
      </w:r>
      <w:r w:rsidR="00ED5BE9">
        <w:t>Alter</w:t>
      </w:r>
      <w:r w:rsidR="00ED5BE9">
        <w:softHyphen/>
        <w:t>nativen</w:t>
      </w:r>
      <w:r w:rsidR="00ED5BE9">
        <w:softHyphen/>
        <w:t>klasse</w:t>
      </w:r>
      <w:r w:rsidR="00555C3B">
        <w:t>n.</w:t>
      </w:r>
    </w:p>
    <w:p w:rsidR="00555C3B" w:rsidRDefault="00555C3B">
      <w:pPr>
        <w:pStyle w:val="Text"/>
      </w:pPr>
      <w:r>
        <w:t>Schließlich ist noch möglich, dass Häufigkeiten in Relation zu anderen Elementen der Realisierung</w:t>
      </w:r>
      <w:r w:rsidR="005B5414">
        <w:t xml:space="preserve"> </w:t>
      </w:r>
      <w:r w:rsidR="00E306AB">
        <w:t xml:space="preserve">bestimmt </w:t>
      </w:r>
      <w:r>
        <w:t xml:space="preserve">werden: </w:t>
      </w:r>
      <w:r w:rsidR="00622CF8">
        <w:t>Ein Musikstück kann gleich mit der am häufigsten verwendeten Kadenz eröffnen (womit nichts über die Häufi</w:t>
      </w:r>
      <w:r w:rsidR="00622CF8">
        <w:t>g</w:t>
      </w:r>
      <w:r w:rsidR="00622CF8">
        <w:t>keit in anderen Stücken ausgesagt ist); d</w:t>
      </w:r>
      <w:r w:rsidR="00E306AB">
        <w:t>er erste Satz eines Texts kann eine für diesen Text ungewöhnliche syntaktische Konstruktion oder Länge aufweisen; ein Museum</w:t>
      </w:r>
      <w:r w:rsidR="00622CF8">
        <w:t xml:space="preserve"> für Landschaftsbilder</w:t>
      </w:r>
      <w:r w:rsidR="005D7996">
        <w:fldChar w:fldCharType="begin"/>
      </w:r>
      <w:r w:rsidR="0062163E">
        <w:instrText xml:space="preserve"> XE "</w:instrText>
      </w:r>
      <w:r w:rsidR="0062163E" w:rsidRPr="00AF7391">
        <w:instrText>Bilder</w:instrText>
      </w:r>
      <w:r w:rsidR="0062163E">
        <w:instrText xml:space="preserve">" </w:instrText>
      </w:r>
      <w:r w:rsidR="005D7996">
        <w:fldChar w:fldCharType="end"/>
      </w:r>
      <w:r w:rsidR="00E306AB">
        <w:t xml:space="preserve">, das </w:t>
      </w:r>
      <w:r w:rsidR="00622CF8">
        <w:t xml:space="preserve">auch </w:t>
      </w:r>
      <w:r w:rsidR="00E306AB">
        <w:t xml:space="preserve">zwei </w:t>
      </w:r>
      <w:r w:rsidR="00622CF8">
        <w:t xml:space="preserve">Stilleben </w:t>
      </w:r>
      <w:r w:rsidR="00E306AB">
        <w:t xml:space="preserve">besitzt, kann diese direkt gegenüber dem Eingang </w:t>
      </w:r>
      <w:r w:rsidR="00622CF8">
        <w:t>oder in die hinterste Ecke hängen (was dann nichts mit der Häufigkeit dieses Bildtypus insgesamt zu tun hat). In all diesen Fällen sind die Elemente der jeweiligen Realisierungsstellen unter Rückgriff auf Häufigkeiten innerhalb der Realisierung</w:t>
      </w:r>
      <w:r w:rsidR="005B5414">
        <w:t>, also auf horizontal-relationale Eige</w:t>
      </w:r>
      <w:r w:rsidR="005B5414">
        <w:t>n</w:t>
      </w:r>
      <w:r w:rsidR="005B5414">
        <w:t xml:space="preserve">schaften, </w:t>
      </w:r>
      <w:r w:rsidR="00622CF8">
        <w:t>ausgewählt worden.</w:t>
      </w:r>
    </w:p>
    <w:p w:rsidR="00D2554C" w:rsidRDefault="00622CF8">
      <w:pPr>
        <w:pStyle w:val="Text"/>
      </w:pPr>
      <w:r>
        <w:t>Häufigkeiten können also nicht einem bestimmten Eigenschaftstypus zug</w:t>
      </w:r>
      <w:r>
        <w:t>e</w:t>
      </w:r>
      <w:r>
        <w:t xml:space="preserve">ordnet werden. Sie kommen im Stilmodell zudem noch in anderer Weise vor, nämlich als Ergebnis der </w:t>
      </w:r>
      <w:r w:rsidR="00D2554C">
        <w:t xml:space="preserve">Anwendungswahrscheinlichkeit </w:t>
      </w:r>
      <w:r w:rsidR="00EC3E9D">
        <w:rPr>
          <w:i/>
          <w:iCs/>
        </w:rPr>
        <w:t>w</w:t>
      </w:r>
      <w:r w:rsidR="00EC3E9D">
        <w:t xml:space="preserve"> der Merkmalsregeln </w:t>
      </w:r>
      <w:r w:rsidR="00D2554C">
        <w:t xml:space="preserve">(vgl. Abschnitt </w:t>
      </w:r>
      <w:r w:rsidR="005D7996">
        <w:fldChar w:fldCharType="begin"/>
      </w:r>
      <w:r w:rsidR="00D2554C">
        <w:instrText xml:space="preserve"> REF _Ref211937722 \r \h </w:instrText>
      </w:r>
      <w:r w:rsidR="005D7996">
        <w:fldChar w:fldCharType="separate"/>
      </w:r>
      <w:r w:rsidR="001231D3">
        <w:t>5.3.1</w:t>
      </w:r>
      <w:r w:rsidR="005D7996">
        <w:fldChar w:fldCharType="end"/>
      </w:r>
      <w:r>
        <w:t>, 3.</w:t>
      </w:r>
      <w:r w:rsidR="00D2554C">
        <w:t xml:space="preserve">). Verschiedene Stile unterscheiden sich darin, dass sie unterschiedliche </w:t>
      </w:r>
      <w:r w:rsidR="002C5FAA">
        <w:t xml:space="preserve">Anwendungswahrscheinlichkeiten </w:t>
      </w:r>
      <w:r w:rsidR="00D2554C">
        <w:rPr>
          <w:i/>
          <w:iCs/>
        </w:rPr>
        <w:t>w</w:t>
      </w:r>
      <w:r w:rsidR="00D2554C">
        <w:t xml:space="preserve"> für bestimmte </w:t>
      </w:r>
      <w:r w:rsidR="00765E66">
        <w:t>Merkmal</w:t>
      </w:r>
      <w:r w:rsidR="00765E66">
        <w:t>s</w:t>
      </w:r>
      <w:r w:rsidR="00765E66">
        <w:t>regel</w:t>
      </w:r>
      <w:r w:rsidR="00D2554C">
        <w:t xml:space="preserve">n enthalten, woraus sich eine unterschiedliche Häufigkeit der von diesen </w:t>
      </w:r>
      <w:r w:rsidR="00765E66">
        <w:t>Merkmalsregel</w:t>
      </w:r>
      <w:r w:rsidR="00D2554C">
        <w:t xml:space="preserve">n beeinflussten Elemente </w:t>
      </w:r>
      <w:r w:rsidR="009D4E23">
        <w:t xml:space="preserve">in der Realisierung </w:t>
      </w:r>
      <w:r w:rsidR="00D2554C">
        <w:t>ergibt.</w:t>
      </w:r>
      <w:r>
        <w:t xml:space="preserve"> </w:t>
      </w:r>
      <w:r w:rsidR="009D4E23">
        <w:t>Es muss u</w:t>
      </w:r>
      <w:r w:rsidR="009D4E23">
        <w:t>n</w:t>
      </w:r>
      <w:r w:rsidR="009D4E23">
        <w:t xml:space="preserve">terschieden werden zwischen dem Phänomen, dass </w:t>
      </w:r>
      <w:r>
        <w:t>Merkmalsregeln</w:t>
      </w:r>
      <w:r w:rsidR="009D4E23">
        <w:t xml:space="preserve"> in den ve</w:t>
      </w:r>
      <w:r w:rsidR="009D4E23">
        <w:t>r</w:t>
      </w:r>
      <w:r w:rsidR="009D4E23">
        <w:t xml:space="preserve">langten Eigenschaften auf die (intrinsische, vertikal-relationale oder horizontal-relationale) Häufigkeit eines Elements </w:t>
      </w:r>
      <w:r>
        <w:t xml:space="preserve">Bezug nehmen, </w:t>
      </w:r>
      <w:r w:rsidR="009D4E23">
        <w:t xml:space="preserve">und Häufigkeiten, die durch das </w:t>
      </w:r>
      <w:r w:rsidR="009D4E23" w:rsidRPr="009D4E23">
        <w:rPr>
          <w:i/>
        </w:rPr>
        <w:t>w</w:t>
      </w:r>
      <w:r w:rsidR="009D4E23">
        <w:t xml:space="preserve"> einer Merkmalsregel erzeugt werden.</w:t>
      </w:r>
      <w:r w:rsidR="009D4E23">
        <w:rPr>
          <w:rStyle w:val="Funotenzeichen"/>
        </w:rPr>
        <w:footnoteReference w:id="331"/>
      </w:r>
      <w:r w:rsidR="00CD671D">
        <w:t xml:space="preserve"> Häufigkeiten, die von denen anderer Realisierungen abweichen, drücken sich in (im Vergleich mit der ve</w:t>
      </w:r>
      <w:r w:rsidR="00CD671D">
        <w:t>r</w:t>
      </w:r>
      <w:r w:rsidR="00CD671D">
        <w:t xml:space="preserve">gleichbaren Merkmalsregel ähnlicher Stile) ungewöhnlich hohen oder tiefen </w:t>
      </w:r>
      <w:r w:rsidR="00CD671D" w:rsidRPr="00CD671D">
        <w:rPr>
          <w:i/>
        </w:rPr>
        <w:t>w</w:t>
      </w:r>
      <w:r w:rsidR="00CD671D">
        <w:t xml:space="preserve"> aus.</w:t>
      </w:r>
    </w:p>
    <w:p w:rsidR="00D2554C" w:rsidRDefault="00D2554C">
      <w:pPr>
        <w:pStyle w:val="Text"/>
      </w:pPr>
      <w:r>
        <w:lastRenderedPageBreak/>
        <w:t>Zu (d):</w:t>
      </w:r>
      <w:r>
        <w:tab/>
        <w:t>Die Kontraststilistik</w:t>
      </w:r>
      <w:r w:rsidR="005D7996">
        <w:fldChar w:fldCharType="begin"/>
      </w:r>
      <w:r w:rsidR="00E267DF">
        <w:instrText xml:space="preserve"> XE "</w:instrText>
      </w:r>
      <w:r w:rsidR="00E267DF" w:rsidRPr="00315466">
        <w:instrText>Kontraststilistik</w:instrText>
      </w:r>
      <w:r w:rsidR="00E267DF">
        <w:instrText xml:space="preserve">" </w:instrText>
      </w:r>
      <w:r w:rsidR="005D7996">
        <w:fldChar w:fldCharType="end"/>
      </w:r>
      <w:r>
        <w:t xml:space="preserve"> (Riffaterre</w:t>
      </w:r>
      <w:r w:rsidR="005D7996">
        <w:fldChar w:fldCharType="begin"/>
      </w:r>
      <w:r w:rsidR="005A4B5B">
        <w:instrText xml:space="preserve"> XE "</w:instrText>
      </w:r>
      <w:r w:rsidR="005A4B5B" w:rsidRPr="00E45AFD">
        <w:instrText>Riffaterre, Michael</w:instrText>
      </w:r>
      <w:r w:rsidR="005A4B5B">
        <w:instrText xml:space="preserve">" </w:instrText>
      </w:r>
      <w:r w:rsidR="005D7996">
        <w:fldChar w:fldCharType="end"/>
      </w:r>
      <w:r>
        <w:t>)</w:t>
      </w:r>
      <w:bookmarkStart w:id="212" w:name="_Ref262306158"/>
      <w:r>
        <w:rPr>
          <w:rStyle w:val="Funotenzeichen"/>
        </w:rPr>
        <w:footnoteReference w:id="332"/>
      </w:r>
      <w:bookmarkEnd w:id="212"/>
      <w:r>
        <w:t xml:space="preserve"> stützt sich auf das Kriterium der Erwartbarkeit im Kontext, </w:t>
      </w:r>
      <w:r w:rsidR="00DC38CA">
        <w:t xml:space="preserve">also </w:t>
      </w:r>
      <w:r>
        <w:t xml:space="preserve">für eine </w:t>
      </w:r>
      <w:r w:rsidR="00ED5BE9">
        <w:t>Alter</w:t>
      </w:r>
      <w:r w:rsidR="00ED5BE9">
        <w:softHyphen/>
        <w:t>nativen</w:t>
      </w:r>
      <w:r w:rsidR="00ED5BE9">
        <w:softHyphen/>
        <w:t>klasse</w:t>
      </w:r>
      <w:r>
        <w:t xml:space="preserve"> bezogen auf die angrenzenden Realisierungsstellen. Sie </w:t>
      </w:r>
      <w:r w:rsidR="00505F35">
        <w:t>nimmt an, dass die Reaktionen eines L</w:t>
      </w:r>
      <w:r w:rsidR="00505F35">
        <w:t>e</w:t>
      </w:r>
      <w:r w:rsidR="00505F35">
        <w:t xml:space="preserve">sers auf einen Stil durch </w:t>
      </w:r>
      <w:r>
        <w:t>Überraschungseffekte</w:t>
      </w:r>
      <w:r w:rsidR="00505F35">
        <w:t xml:space="preserve"> erzeugt werden</w:t>
      </w:r>
      <w:r>
        <w:t xml:space="preserve">, </w:t>
      </w:r>
      <w:r w:rsidR="00505F35">
        <w:t xml:space="preserve">die </w:t>
      </w:r>
      <w:r>
        <w:t xml:space="preserve">durch die Verwendung von Elementen mit niedriger Erwartbarkeit entstehen. </w:t>
      </w:r>
      <w:r w:rsidR="007F4E16">
        <w:t>I</w:t>
      </w:r>
      <w:r>
        <w:t xml:space="preserve">n </w:t>
      </w:r>
      <w:r w:rsidR="00505F35">
        <w:t>Mer</w:t>
      </w:r>
      <w:r w:rsidR="00505F35">
        <w:t>k</w:t>
      </w:r>
      <w:r w:rsidR="00505F35">
        <w:t>malsr</w:t>
      </w:r>
      <w:r>
        <w:t>egeln</w:t>
      </w:r>
      <w:r w:rsidR="00505F35">
        <w:t xml:space="preserve">, wie wir sie hier </w:t>
      </w:r>
      <w:r w:rsidR="007F4E16">
        <w:t>annehmen</w:t>
      </w:r>
      <w:r w:rsidR="00505F35">
        <w:t>,</w:t>
      </w:r>
      <w:r>
        <w:t xml:space="preserve"> </w:t>
      </w:r>
      <w:r w:rsidR="00B202FC">
        <w:t xml:space="preserve">können unterschiedliche Grade der Erwartbarkeit (von niedrig bis hoch) </w:t>
      </w:r>
      <w:r>
        <w:t>spezifiziert sein.</w:t>
      </w:r>
      <w:r>
        <w:rPr>
          <w:rStyle w:val="Funotenzeichen"/>
        </w:rPr>
        <w:footnoteReference w:id="333"/>
      </w:r>
    </w:p>
    <w:p w:rsidR="00D2554C" w:rsidRDefault="00D2554C">
      <w:pPr>
        <w:pStyle w:val="Text"/>
      </w:pPr>
      <w:r>
        <w:t>Es könnte eingewandt werden, dass auch die Kontraststilistik</w:t>
      </w:r>
      <w:r w:rsidR="005D7996">
        <w:fldChar w:fldCharType="begin"/>
      </w:r>
      <w:r w:rsidR="00E267DF">
        <w:instrText xml:space="preserve"> XE "</w:instrText>
      </w:r>
      <w:r w:rsidR="00E267DF" w:rsidRPr="00315466">
        <w:instrText>Kontraststilistik</w:instrText>
      </w:r>
      <w:r w:rsidR="00E267DF">
        <w:instrText xml:space="preserve">" </w:instrText>
      </w:r>
      <w:r w:rsidR="005D7996">
        <w:fldChar w:fldCharType="end"/>
      </w:r>
      <w:r>
        <w:t xml:space="preserve"> die Häufigkeit der Elemente untersucht; schließlich hängen Erwartbarkeit und Häufigkeit eng zusammen. Dies ist richtig</w:t>
      </w:r>
      <w:r w:rsidR="00E8485E">
        <w:t>; doch die Kontraststilistik bezieht kontextbezogene Faktoren mit ein, beispielsweise Kollokationen</w:t>
      </w:r>
      <w:r w:rsidR="005D7996">
        <w:fldChar w:fldCharType="begin"/>
      </w:r>
      <w:r w:rsidR="008342F3">
        <w:instrText xml:space="preserve"> XE "</w:instrText>
      </w:r>
      <w:r w:rsidR="008342F3" w:rsidRPr="000D2A6C">
        <w:rPr>
          <w:szCs w:val="17"/>
        </w:rPr>
        <w:instrText>Kollokation</w:instrText>
      </w:r>
      <w:r w:rsidR="008342F3">
        <w:instrText xml:space="preserve">" </w:instrText>
      </w:r>
      <w:r w:rsidR="005D7996">
        <w:fldChar w:fldCharType="end"/>
      </w:r>
      <w:r w:rsidR="00E8485E">
        <w:t>. Ein Element, das in der betrac</w:t>
      </w:r>
      <w:r w:rsidR="00E8485E">
        <w:t>h</w:t>
      </w:r>
      <w:r w:rsidR="00E8485E">
        <w:t>teten Realisierung und auch in Realisierungen des Schemas insgesamt selten ist, kann aufgrund des Kontexts dennoch erwartbar sein, umgekehrt kann ein häuf</w:t>
      </w:r>
      <w:r w:rsidR="00E8485E">
        <w:t>i</w:t>
      </w:r>
      <w:r w:rsidR="00E8485E">
        <w:t>ges Element in einem untypischen Kontext überraschend wirken.</w:t>
      </w:r>
    </w:p>
    <w:p w:rsidR="00D2554C" w:rsidRDefault="00D2554C" w:rsidP="00D45524">
      <w:pPr>
        <w:pStyle w:val="Text"/>
        <w:spacing w:before="240"/>
        <w:ind w:firstLine="0"/>
      </w:pPr>
      <w:r>
        <w:t xml:space="preserve">Zu beachten ist, dass horizontal-relationale Eigenschaften sich auf die Position der Realisierungsstelle an der konkreten Realisierung und nicht auf die Position in unserer Darstellung dieser Realisierung (die mittels einer eindimensionalen Anordnung von Realisierungsstellen erfolgt; vgl. </w:t>
      </w:r>
      <w:r w:rsidR="005D7996">
        <w:fldChar w:fldCharType="begin"/>
      </w:r>
      <w:r>
        <w:instrText xml:space="preserve"> REF _Ref212112234 \r \h </w:instrText>
      </w:r>
      <w:r w:rsidR="005D7996">
        <w:fldChar w:fldCharType="separate"/>
      </w:r>
      <w:r w:rsidR="001231D3">
        <w:t>4.5.1</w:t>
      </w:r>
      <w:r w:rsidR="005D7996">
        <w:fldChar w:fldCharType="end"/>
      </w:r>
      <w:r>
        <w:t>) bezieht. Andernfalls k</w:t>
      </w:r>
      <w:r>
        <w:t>ä</w:t>
      </w:r>
      <w:r>
        <w:t>me es zur Beschreibung von Bezügen mit Hilfe von horizontal-relationalen E</w:t>
      </w:r>
      <w:r>
        <w:t>i</w:t>
      </w:r>
      <w:r>
        <w:t>genschaften, die nur der Darstellung geschuldet sind, sich an der konkreten Re</w:t>
      </w:r>
      <w:r>
        <w:t>a</w:t>
      </w:r>
      <w:r>
        <w:t xml:space="preserve">lisierung aber nicht finden (vgl. dazu auch Fußnote </w:t>
      </w:r>
      <w:r w:rsidR="005D7996">
        <w:fldChar w:fldCharType="begin"/>
      </w:r>
      <w:r>
        <w:instrText xml:space="preserve"> NOTEREF _Ref212112299 \h </w:instrText>
      </w:r>
      <w:r w:rsidR="005D7996">
        <w:fldChar w:fldCharType="separate"/>
      </w:r>
      <w:r w:rsidR="001231D3">
        <w:t>337</w:t>
      </w:r>
      <w:r w:rsidR="005D7996">
        <w:fldChar w:fldCharType="end"/>
      </w:r>
      <w:r>
        <w:t>).</w:t>
      </w:r>
    </w:p>
    <w:p w:rsidR="00D2554C" w:rsidRDefault="00B0221D">
      <w:pPr>
        <w:pStyle w:val="Text"/>
      </w:pPr>
      <w:r>
        <w:t xml:space="preserve">Horizontal-relationale Eigenschaften unterscheiden sich von intrinsischen und vertikal-relationalen Eigenschaften darin, dass </w:t>
      </w:r>
      <w:r w:rsidR="003C2476">
        <w:t>sie von den für die anderen Realisierungsstellen gewählten Elementen abhängen. Horizontal-relationale E</w:t>
      </w:r>
      <w:r w:rsidR="003C2476">
        <w:t>i</w:t>
      </w:r>
      <w:r w:rsidR="003C2476">
        <w:t xml:space="preserve">genschaften können daher immer nur in Abhängigkeit von den für die anderen Realisierungsstellen getroffenen Auswahlprozessen gewählt werden. Dies kann im hier vorgestellten Modell nicht vollständig </w:t>
      </w:r>
      <w:r w:rsidR="00025611">
        <w:t>umgesetzt werden</w:t>
      </w:r>
      <w:r w:rsidR="003C2476">
        <w:t xml:space="preserve">, weil darin die </w:t>
      </w:r>
      <w:r w:rsidR="00ED5BE9">
        <w:t>Alter</w:t>
      </w:r>
      <w:r w:rsidR="00ED5BE9">
        <w:softHyphen/>
        <w:t>nativen</w:t>
      </w:r>
      <w:r w:rsidR="00ED5BE9">
        <w:softHyphen/>
        <w:t>klasse</w:t>
      </w:r>
      <w:r w:rsidR="003C2476">
        <w:t>n in einer bestimmten Reihenfolge abgearbeitet und die g</w:t>
      </w:r>
      <w:r w:rsidR="003C2476">
        <w:t>e</w:t>
      </w:r>
      <w:r w:rsidR="003C2476">
        <w:t xml:space="preserve">troffene Auswahl danach nicht mehr verändert wird (vgl. Abschnitt </w:t>
      </w:r>
      <w:r w:rsidR="005D7996">
        <w:fldChar w:fldCharType="begin"/>
      </w:r>
      <w:r w:rsidR="00613361">
        <w:instrText xml:space="preserve"> REF _Ref269156038 \r \h </w:instrText>
      </w:r>
      <w:r w:rsidR="005D7996">
        <w:fldChar w:fldCharType="separate"/>
      </w:r>
      <w:r w:rsidR="001231D3">
        <w:t>5.4.1</w:t>
      </w:r>
      <w:r w:rsidR="005D7996">
        <w:fldChar w:fldCharType="end"/>
      </w:r>
      <w:r w:rsidR="00704776">
        <w:t>, Fun</w:t>
      </w:r>
      <w:r w:rsidR="00704776">
        <w:t>k</w:t>
      </w:r>
      <w:r w:rsidR="00704776">
        <w:t xml:space="preserve">tion </w:t>
      </w:r>
      <w:r w:rsidR="00704776" w:rsidRPr="003F15BF">
        <w:rPr>
          <w:i/>
        </w:rPr>
        <w:t>Merkmalsregeln_einschreiben</w:t>
      </w:r>
      <w:r w:rsidR="003C2476">
        <w:t>)</w:t>
      </w:r>
      <w:r w:rsidR="00704776">
        <w:t xml:space="preserve">. </w:t>
      </w:r>
      <w:r w:rsidR="0030298E">
        <w:t>Wenn daher Merkmalsregeln horizontal-relationale Eigenschaften verlangen, kann es sein, dass diese nicht korrekt eing</w:t>
      </w:r>
      <w:r w:rsidR="0030298E">
        <w:t>e</w:t>
      </w:r>
      <w:r w:rsidR="0030298E">
        <w:t xml:space="preserve">schrieben werden, weil es zu nachträglichen Veränderungen durch die für andere </w:t>
      </w:r>
      <w:r w:rsidR="0030298E">
        <w:lastRenderedPageBreak/>
        <w:t>Realisierungsstellen getroffene Auswahl kommt. Denkbar sind auch Korrektu</w:t>
      </w:r>
      <w:r w:rsidR="0030298E">
        <w:t>r</w:t>
      </w:r>
      <w:r w:rsidR="0030298E">
        <w:t>vorgänge zur Verhinderung solcher nachträglichen Veränderungen.</w:t>
      </w:r>
      <w:r w:rsidR="0030298E">
        <w:rPr>
          <w:rStyle w:val="Funotenzeichen"/>
        </w:rPr>
        <w:footnoteReference w:id="334"/>
      </w:r>
    </w:p>
    <w:p w:rsidR="00D2554C" w:rsidRDefault="00D2554C">
      <w:pPr>
        <w:pStyle w:val="Titel2"/>
      </w:pPr>
      <w:bookmarkStart w:id="213" w:name="_Ref212029118"/>
      <w:bookmarkStart w:id="214" w:name="_Toc325456734"/>
      <w:bookmarkStart w:id="215" w:name="Alternativenklasse2"/>
      <w:bookmarkEnd w:id="210"/>
      <w:r>
        <w:t>Bildung von Alternativenklassen</w:t>
      </w:r>
      <w:bookmarkEnd w:id="213"/>
      <w:bookmarkEnd w:id="214"/>
    </w:p>
    <w:p w:rsidR="00D2554C" w:rsidRDefault="005D7996" w:rsidP="00E61296">
      <w:pPr>
        <w:pStyle w:val="Text"/>
        <w:ind w:firstLine="0"/>
      </w:pPr>
      <w:r>
        <w:fldChar w:fldCharType="begin"/>
      </w:r>
      <w:r w:rsidR="000040F5">
        <w:instrText xml:space="preserve"> XE "Alternativenklasse" \r "Alternativenklasse2" </w:instrText>
      </w:r>
      <w:r>
        <w:fldChar w:fldCharType="end"/>
      </w:r>
      <w:r w:rsidR="00D2554C">
        <w:t xml:space="preserve">Um den Auswahlprozess beschreiben zu können, müssen wir zunächst </w:t>
      </w:r>
      <w:r w:rsidR="00721558">
        <w:t>Alter</w:t>
      </w:r>
      <w:r w:rsidR="00721558">
        <w:softHyphen/>
        <w:t>nativen</w:t>
      </w:r>
      <w:r w:rsidR="00721558">
        <w:softHyphen/>
        <w:t>klasse</w:t>
      </w:r>
      <w:r w:rsidR="00D2554C">
        <w:t xml:space="preserve">n bilden. Innerhalb der </w:t>
      </w:r>
      <w:r w:rsidR="00B7173B">
        <w:t>Schemaausführung</w:t>
      </w:r>
      <w:r w:rsidR="00D2554C">
        <w:t xml:space="preserve"> kommt dieser Vorgang nach der Auswahl eines Schemas und vor dem </w:t>
      </w:r>
      <w:r w:rsidR="0056759B">
        <w:t xml:space="preserve">Prozess des Einschreibens der Merkmalsregeln </w:t>
      </w:r>
      <w:r w:rsidR="00D2554C">
        <w:t xml:space="preserve">(vgl. Abschnitt </w:t>
      </w:r>
      <w:r>
        <w:fldChar w:fldCharType="begin"/>
      </w:r>
      <w:r w:rsidR="00D2554C">
        <w:instrText xml:space="preserve"> REF _Ref212110965 \r \h </w:instrText>
      </w:r>
      <w:r>
        <w:fldChar w:fldCharType="separate"/>
      </w:r>
      <w:r w:rsidR="001231D3">
        <w:t>5.2.2</w:t>
      </w:r>
      <w:r>
        <w:fldChar w:fldCharType="end"/>
      </w:r>
      <w:r w:rsidR="00D2554C">
        <w:t>, Schritt 2).</w:t>
      </w:r>
    </w:p>
    <w:p w:rsidR="00D2554C" w:rsidRDefault="00D2554C">
      <w:pPr>
        <w:pStyle w:val="Definition"/>
      </w:pPr>
      <w:r w:rsidRPr="00786D5C">
        <w:rPr>
          <w:bCs/>
        </w:rPr>
        <w:t>Def.</w:t>
      </w:r>
      <w:r w:rsidR="00DD0752" w:rsidRPr="00DD0752">
        <w:rPr>
          <w:bCs/>
        </w:rPr>
        <w:tab/>
      </w:r>
      <w:r w:rsidR="005D7996">
        <w:fldChar w:fldCharType="begin"/>
      </w:r>
      <w:r w:rsidR="007612F4">
        <w:instrText xml:space="preserve"> XE "Alternativenklasse:</w:instrText>
      </w:r>
      <w:r w:rsidR="007612F4" w:rsidRPr="0073281C">
        <w:rPr>
          <w:i/>
        </w:rPr>
        <w:instrText>Definition</w:instrText>
      </w:r>
      <w:r w:rsidR="007612F4">
        <w:instrText xml:space="preserve">" </w:instrText>
      </w:r>
      <w:r w:rsidR="005D7996">
        <w:fldChar w:fldCharType="end"/>
      </w:r>
      <w:r w:rsidR="00721558">
        <w:rPr>
          <w:b/>
          <w:bCs/>
        </w:rPr>
        <w:t>Alter</w:t>
      </w:r>
      <w:r w:rsidR="00721558">
        <w:rPr>
          <w:b/>
          <w:bCs/>
        </w:rPr>
        <w:softHyphen/>
        <w:t>nativen</w:t>
      </w:r>
      <w:r w:rsidR="00721558">
        <w:rPr>
          <w:b/>
          <w:bCs/>
        </w:rPr>
        <w:softHyphen/>
        <w:t>klasse</w:t>
      </w:r>
      <w:r>
        <w:rPr>
          <w:b/>
          <w:bCs/>
        </w:rPr>
        <w:t xml:space="preserve">: </w:t>
      </w:r>
      <w:r>
        <w:t xml:space="preserve">Klasse von Elementen, die an einer bestimmten Stelle einer Realisierung möglich sind, einschließlich des realisierten Elements. Nicht-realisierte Elemente – vor oder nach der Realisierung eines bestimmten Elements – sollen </w:t>
      </w:r>
      <w:r w:rsidR="007701EB">
        <w:t>„</w:t>
      </w:r>
      <w:r w:rsidRPr="007701EB">
        <w:t>Alternativen</w:t>
      </w:r>
      <w:r w:rsidR="007701EB">
        <w:t>“ g</w:t>
      </w:r>
      <w:r>
        <w:t xml:space="preserve">enannt werden. Es ist nicht notwendig, dass es sich bei den Elementen um Zeichen oder Zeichenkombinationen handelt; dies unterscheidet </w:t>
      </w:r>
      <w:r w:rsidR="00742AD8">
        <w:t>„</w:t>
      </w:r>
      <w:r w:rsidR="00721558">
        <w:t>Alter</w:t>
      </w:r>
      <w:r w:rsidR="00721558">
        <w:softHyphen/>
        <w:t>nativen</w:t>
      </w:r>
      <w:r w:rsidR="00721558">
        <w:softHyphen/>
        <w:t>klasse</w:t>
      </w:r>
      <w:r w:rsidR="00742AD8">
        <w:t>“</w:t>
      </w:r>
      <w:r>
        <w:t xml:space="preserve"> vom strukturalistischen </w:t>
      </w:r>
      <w:r w:rsidR="00742AD8">
        <w:t>Terminus „</w:t>
      </w:r>
      <w:r>
        <w:t>Paradigma</w:t>
      </w:r>
      <w:r w:rsidR="005D7996">
        <w:fldChar w:fldCharType="begin"/>
      </w:r>
      <w:r w:rsidR="00D77298">
        <w:instrText xml:space="preserve"> XE "</w:instrText>
      </w:r>
      <w:r w:rsidR="00D77298" w:rsidRPr="006C2C00">
        <w:instrText>Paradigma</w:instrText>
      </w:r>
      <w:r w:rsidR="00D77298">
        <w:instrText xml:space="preserve">" </w:instrText>
      </w:r>
      <w:r w:rsidR="005D7996">
        <w:fldChar w:fldCharType="end"/>
      </w:r>
      <w:r w:rsidR="00742AD8">
        <w:t>“</w:t>
      </w:r>
      <w:r>
        <w:t xml:space="preserve">. Ein Paradigma ist also eine </w:t>
      </w:r>
      <w:r w:rsidR="00721558">
        <w:t>Alter</w:t>
      </w:r>
      <w:r w:rsidR="00721558">
        <w:softHyphen/>
        <w:t>nativen</w:t>
      </w:r>
      <w:r w:rsidR="00721558">
        <w:softHyphen/>
        <w:t>klasse</w:t>
      </w:r>
      <w:r>
        <w:t>, deren Alternativen Zeichen oder Zeichenko</w:t>
      </w:r>
      <w:r>
        <w:t>m</w:t>
      </w:r>
      <w:r>
        <w:t>binationen sind.</w:t>
      </w:r>
    </w:p>
    <w:p w:rsidR="00D2554C" w:rsidRDefault="00D2554C" w:rsidP="008C497B">
      <w:pPr>
        <w:pStyle w:val="Text"/>
        <w:ind w:firstLine="0"/>
      </w:pPr>
      <w:r>
        <w:t>Klassen unterscheiden sich von Mengen dadurch, dass sie nicht notwendigerwe</w:t>
      </w:r>
      <w:r>
        <w:t>i</w:t>
      </w:r>
      <w:r>
        <w:t xml:space="preserve">se die Axiome der Mengenlehre erfüllen müssen. Daher kann man Klassen durch eine beliebige logisch korrekt gebildete Aussage </w:t>
      </w:r>
      <w:r w:rsidR="005A3872">
        <w:rPr>
          <w:i/>
        </w:rPr>
        <w:t>P</w:t>
      </w:r>
      <w:r>
        <w:t>(</w:t>
      </w:r>
      <w:r>
        <w:rPr>
          <w:i/>
        </w:rPr>
        <w:t>x</w:t>
      </w:r>
      <w:r>
        <w:t xml:space="preserve">) mit der Variablen </w:t>
      </w:r>
      <w:r>
        <w:rPr>
          <w:i/>
        </w:rPr>
        <w:t>x</w:t>
      </w:r>
      <w:r>
        <w:t xml:space="preserve"> defini</w:t>
      </w:r>
      <w:r>
        <w:t>e</w:t>
      </w:r>
      <w:r>
        <w:t xml:space="preserve">ren: Mit Hilfe des </w:t>
      </w:r>
      <w:r w:rsidR="00F15EEC">
        <w:t xml:space="preserve">Klassenbildungsoperators (= Klassenbausteins) </w:t>
      </w:r>
      <w:r w:rsidR="00F15EEC" w:rsidRPr="005539EF">
        <w:t>{</w:t>
      </w:r>
      <w:r w:rsidR="001555A4">
        <w:t> </w:t>
      </w:r>
      <w:r w:rsidR="00F15EEC" w:rsidRPr="005539EF">
        <w:t>|</w:t>
      </w:r>
      <w:r w:rsidR="001555A4">
        <w:t> </w:t>
      </w:r>
      <w:r w:rsidR="00F15EEC" w:rsidRPr="005539EF">
        <w:t>}</w:t>
      </w:r>
      <w:r w:rsidR="00F15EEC">
        <w:t xml:space="preserve"> </w:t>
      </w:r>
      <w:r w:rsidRPr="005539EF">
        <w:t>lä</w:t>
      </w:r>
      <w:r>
        <w:t xml:space="preserve">sst sich die Klasse aller Objekte </w:t>
      </w:r>
      <w:r>
        <w:rPr>
          <w:i/>
        </w:rPr>
        <w:t>x</w:t>
      </w:r>
      <w:r>
        <w:t xml:space="preserve">, die die Aussage </w:t>
      </w:r>
      <w:r w:rsidR="005A3872">
        <w:rPr>
          <w:i/>
        </w:rPr>
        <w:t>P</w:t>
      </w:r>
      <w:r>
        <w:t>(</w:t>
      </w:r>
      <w:r>
        <w:rPr>
          <w:i/>
        </w:rPr>
        <w:t>x</w:t>
      </w:r>
      <w:r w:rsidR="00F15EEC">
        <w:t xml:space="preserve">) erfüllen, notieren als </w:t>
      </w:r>
      <w:r w:rsidR="00F15EEC" w:rsidRPr="005539EF">
        <w:t>{</w:t>
      </w:r>
      <w:r w:rsidR="00F15EEC" w:rsidRPr="005539EF">
        <w:rPr>
          <w:i/>
        </w:rPr>
        <w:t>x</w:t>
      </w:r>
      <w:r w:rsidR="00F15EEC">
        <w:rPr>
          <w:i/>
        </w:rPr>
        <w:t> </w:t>
      </w:r>
      <w:r w:rsidR="00F15EEC" w:rsidRPr="005539EF">
        <w:t>|</w:t>
      </w:r>
      <w:r w:rsidR="00F15EEC">
        <w:t> </w:t>
      </w:r>
      <w:r w:rsidR="00F15EEC">
        <w:rPr>
          <w:i/>
        </w:rPr>
        <w:t>P</w:t>
      </w:r>
      <w:r w:rsidR="00F15EEC" w:rsidRPr="005539EF">
        <w:t>(</w:t>
      </w:r>
      <w:r w:rsidR="00F15EEC" w:rsidRPr="005539EF">
        <w:rPr>
          <w:i/>
        </w:rPr>
        <w:t>x</w:t>
      </w:r>
      <w:r w:rsidR="00F15EEC" w:rsidRPr="005539EF">
        <w:t>)}</w:t>
      </w:r>
      <w:r w:rsidR="00F15EEC">
        <w:t xml:space="preserve">. </w:t>
      </w:r>
      <w:r>
        <w:t>Die einfache Darstellungsmöglichkeit ist der Hauptgrund dafür, dass für das Stilmodell Klassen verwendet werden.</w:t>
      </w:r>
      <w:r>
        <w:rPr>
          <w:rStyle w:val="Funotenzeichen"/>
        </w:rPr>
        <w:footnoteReference w:id="335"/>
      </w:r>
      <w:r>
        <w:t xml:space="preserve"> Klassen müssen im Gegensatz zu Mengen mit einer gewissen Vorsicht verwendet werden, um nicht in die W</w:t>
      </w:r>
      <w:r>
        <w:t>i</w:t>
      </w:r>
      <w:r>
        <w:t>dersprüche der naiven Mengenlehre zu verfallen, was durch die eingeschränkte Verwendungsweise im Stilmodell aber garantiert ist.</w:t>
      </w:r>
    </w:p>
    <w:p w:rsidR="00D2554C" w:rsidRDefault="00D2554C">
      <w:pPr>
        <w:pStyle w:val="Text"/>
      </w:pPr>
      <w:r>
        <w:lastRenderedPageBreak/>
        <w:t xml:space="preserve">Wir setzen voraus (vgl. Abschnitt </w:t>
      </w:r>
      <w:r w:rsidR="005D7996">
        <w:fldChar w:fldCharType="begin"/>
      </w:r>
      <w:r>
        <w:instrText xml:space="preserve"> REF _Ref211841829 \r \h </w:instrText>
      </w:r>
      <w:r w:rsidR="005D7996">
        <w:fldChar w:fldCharType="separate"/>
      </w:r>
      <w:r w:rsidR="001231D3">
        <w:t>4.3.1</w:t>
      </w:r>
      <w:r w:rsidR="005D7996">
        <w:fldChar w:fldCharType="end"/>
      </w:r>
      <w:r>
        <w:t>), dass es zwei Arten von Eige</w:t>
      </w:r>
      <w:r>
        <w:t>n</w:t>
      </w:r>
      <w:r>
        <w:t xml:space="preserve">schaften gibt, die </w:t>
      </w:r>
      <w:r w:rsidR="00721558">
        <w:t>Alter</w:t>
      </w:r>
      <w:r w:rsidR="00721558">
        <w:softHyphen/>
        <w:t>nativen</w:t>
      </w:r>
      <w:r w:rsidR="00721558">
        <w:softHyphen/>
        <w:t>klasse</w:t>
      </w:r>
      <w:r>
        <w:t xml:space="preserve">n festlegen: </w:t>
      </w:r>
      <w:r w:rsidR="00AD2226">
        <w:t>Schemaort-d</w:t>
      </w:r>
      <w:r>
        <w:t>efinierende Eige</w:t>
      </w:r>
      <w:r>
        <w:t>n</w:t>
      </w:r>
      <w:r>
        <w:t>schaften</w:t>
      </w:r>
      <w:r w:rsidR="005D7996">
        <w:fldChar w:fldCharType="begin"/>
      </w:r>
      <w:r w:rsidR="00D6214C">
        <w:instrText xml:space="preserve"> XE "</w:instrText>
      </w:r>
      <w:r w:rsidR="00D6214C" w:rsidRPr="00424A9B">
        <w:instrText>Eigenschaften:Schemaort-definierende</w:instrText>
      </w:r>
      <w:r w:rsidR="00D6214C">
        <w:instrText xml:space="preserve">" </w:instrText>
      </w:r>
      <w:r w:rsidR="005D7996">
        <w:fldChar w:fldCharType="end"/>
      </w:r>
      <w:r>
        <w:t xml:space="preserve"> und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t xml:space="preserve">. Diese Eigenschaften bilden zwei Arten von Bedingungen, die eine Realisierung erfüllen muss, um der entsprechenden </w:t>
      </w:r>
      <w:r w:rsidR="00721558">
        <w:t>Alter</w:t>
      </w:r>
      <w:r w:rsidR="00721558">
        <w:softHyphen/>
        <w:t>nativen</w:t>
      </w:r>
      <w:r w:rsidR="00721558">
        <w:softHyphen/>
        <w:t>klasse</w:t>
      </w:r>
      <w:r>
        <w:t xml:space="preserve"> anzugehören: Schemaortbedingungen und Zusatzbedingungen.</w:t>
      </w:r>
    </w:p>
    <w:p w:rsidR="00D2554C" w:rsidRDefault="00D2554C">
      <w:pPr>
        <w:pStyle w:val="Definition"/>
      </w:pPr>
      <w:r w:rsidRPr="00786D5C">
        <w:rPr>
          <w:bCs/>
        </w:rPr>
        <w:t>Def.</w:t>
      </w:r>
      <w:r>
        <w:rPr>
          <w:b/>
          <w:bCs/>
        </w:rPr>
        <w:tab/>
      </w:r>
      <w:r w:rsidR="005D7996">
        <w:fldChar w:fldCharType="begin"/>
      </w:r>
      <w:r w:rsidR="007612F4">
        <w:instrText xml:space="preserve"> XE "Alternativenbedingungen:</w:instrText>
      </w:r>
      <w:r w:rsidR="007612F4" w:rsidRPr="0073281C">
        <w:rPr>
          <w:i/>
        </w:rPr>
        <w:instrText>Definition</w:instrText>
      </w:r>
      <w:r w:rsidR="007612F4">
        <w:instrText xml:space="preserve">" </w:instrText>
      </w:r>
      <w:r w:rsidR="005D7996">
        <w:fldChar w:fldCharType="end"/>
      </w:r>
      <w:r>
        <w:rPr>
          <w:b/>
          <w:bCs/>
        </w:rPr>
        <w:t xml:space="preserve">Alternativenbedingungen: </w:t>
      </w:r>
      <w:r>
        <w:t xml:space="preserve">Für die Bildung einer </w:t>
      </w:r>
      <w:r w:rsidR="00721558">
        <w:t>Alter</w:t>
      </w:r>
      <w:r w:rsidR="00721558">
        <w:softHyphen/>
        <w:t>nativen</w:t>
      </w:r>
      <w:r w:rsidR="00721558">
        <w:softHyphen/>
        <w:t>klasse</w:t>
      </w:r>
      <w:r>
        <w:t xml:space="preserve"> sind die Angabe von Schema, Schemaort und </w:t>
      </w:r>
      <w:r w:rsidR="00CF25BF">
        <w:t>eventuell Zusatzbedingu</w:t>
      </w:r>
      <w:r w:rsidR="00CF25BF">
        <w:t>n</w:t>
      </w:r>
      <w:r w:rsidR="00CF25BF">
        <w:t xml:space="preserve">gen </w:t>
      </w:r>
      <w:r>
        <w:t xml:space="preserve">nötig. Diese wird geleistet, indem die Schemaortbedingungen eines Schemaorts und </w:t>
      </w:r>
      <w:r w:rsidR="00CF25BF">
        <w:t>eventuell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CF25BF">
        <w:t xml:space="preserve"> </w:t>
      </w:r>
      <w:r>
        <w:t>angegeben werden</w:t>
      </w:r>
      <w:r w:rsidR="00CF25BF">
        <w:t>, die für diesen Schemaort möglich sind</w:t>
      </w:r>
      <w:r>
        <w:t>. (Das Schema wird indirekt angeg</w:t>
      </w:r>
      <w:r>
        <w:t>e</w:t>
      </w:r>
      <w:r>
        <w:t>ben, da jeder Schemaort nur einem Schema ange</w:t>
      </w:r>
      <w:r w:rsidR="00CF25BF">
        <w:t>hört.)</w:t>
      </w:r>
      <w:r>
        <w:t xml:space="preserve"> Zusammeng</w:t>
      </w:r>
      <w:r>
        <w:t>e</w:t>
      </w:r>
      <w:r>
        <w:t xml:space="preserve">nommen werden diese als </w:t>
      </w:r>
      <w:r w:rsidR="002719C6">
        <w:t>„</w:t>
      </w:r>
      <w:r>
        <w:t>Alternativenbedingungen</w:t>
      </w:r>
      <w:r w:rsidR="002719C6">
        <w:t>“</w:t>
      </w:r>
      <w:r>
        <w:t xml:space="preserve"> bezeichnet; sie werden </w:t>
      </w:r>
      <w:r w:rsidR="00351B3C">
        <w:t xml:space="preserve">bei der Bildung der </w:t>
      </w:r>
      <w:r w:rsidR="00721558">
        <w:t>Alter</w:t>
      </w:r>
      <w:r w:rsidR="00721558">
        <w:softHyphen/>
        <w:t>nativen</w:t>
      </w:r>
      <w:r w:rsidR="00721558">
        <w:softHyphen/>
        <w:t>klasse</w:t>
      </w:r>
      <w:r w:rsidR="00351B3C">
        <w:t xml:space="preserve"> </w:t>
      </w:r>
      <w:r>
        <w:t>hinter dem vertikalen Strich im Klassenbaustein angegeben. Zu den Zusatzbedingungen kö</w:t>
      </w:r>
      <w:r>
        <w:t>n</w:t>
      </w:r>
      <w:r>
        <w:t>nen gehören: (a)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t>, bei Artefakten zusätzlich (b)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t>, bei Texten zusätzlich (c) inhaltliche Bedi</w:t>
      </w:r>
      <w:r>
        <w:t>n</w:t>
      </w:r>
      <w:r>
        <w:t>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w:t>
      </w:r>
    </w:p>
    <w:p w:rsidR="00D2554C" w:rsidRDefault="00FA2CCD" w:rsidP="008C497B">
      <w:pPr>
        <w:pStyle w:val="Text"/>
        <w:ind w:firstLine="0"/>
      </w:pPr>
      <w:r>
        <w:t xml:space="preserve">Die </w:t>
      </w:r>
      <w:r w:rsidR="00CF25BF">
        <w:t xml:space="preserve">Menge der </w:t>
      </w:r>
      <w:r w:rsidR="00AD2226">
        <w:t>Schemaort-d</w:t>
      </w:r>
      <w:r w:rsidR="00CF25BF">
        <w:t xml:space="preserve">efinierenden Eigenschaften </w:t>
      </w:r>
      <w:r w:rsidRPr="00DC495B">
        <w:rPr>
          <w:i/>
        </w:rPr>
        <w:t>Ob</w:t>
      </w:r>
      <w:r>
        <w:t xml:space="preserve"> </w:t>
      </w:r>
      <w:r w:rsidR="00D2554C">
        <w:t xml:space="preserve">eines Schemaorts </w:t>
      </w:r>
      <w:r>
        <w:rPr>
          <w:i/>
          <w:iCs/>
        </w:rPr>
        <w:t>O</w:t>
      </w:r>
      <w:r>
        <w:rPr>
          <w:i/>
          <w:vertAlign w:val="subscript"/>
        </w:rPr>
        <w:t>j</w:t>
      </w:r>
      <w:r>
        <w:t>(</w:t>
      </w:r>
      <w:r>
        <w:rPr>
          <w:i/>
          <w:iCs/>
        </w:rPr>
        <w:t>S</w:t>
      </w:r>
      <w:r>
        <w:rPr>
          <w:i/>
          <w:vertAlign w:val="subscript"/>
        </w:rPr>
        <w:t>i</w:t>
      </w:r>
      <w:r>
        <w:t xml:space="preserve">) ist in der Schemadefinition gespeichert als </w:t>
      </w:r>
      <w:r w:rsidRPr="00FA2CCD">
        <w:rPr>
          <w:i/>
        </w:rPr>
        <w:t>Ob</w:t>
      </w:r>
      <w:r>
        <w:t>(</w:t>
      </w:r>
      <w:r w:rsidR="007E4D87">
        <w:rPr>
          <w:i/>
          <w:iCs/>
        </w:rPr>
        <w:t>O</w:t>
      </w:r>
      <w:r w:rsidR="007E4D87">
        <w:rPr>
          <w:i/>
          <w:vertAlign w:val="subscript"/>
        </w:rPr>
        <w:t>j</w:t>
      </w:r>
      <w:r w:rsidR="007E4D87">
        <w:t>(</w:t>
      </w:r>
      <w:r w:rsidR="007E4D87">
        <w:rPr>
          <w:i/>
          <w:iCs/>
        </w:rPr>
        <w:t>S</w:t>
      </w:r>
      <w:r w:rsidR="007E4D87">
        <w:rPr>
          <w:i/>
          <w:vertAlign w:val="subscript"/>
        </w:rPr>
        <w:t>i</w:t>
      </w:r>
      <w:r w:rsidR="007E4D87">
        <w:t>)</w:t>
      </w:r>
      <w:r>
        <w:t>)</w:t>
      </w:r>
      <w:r w:rsidR="00D2554C">
        <w:t>:</w:t>
      </w:r>
      <w:r w:rsidR="00D2554C" w:rsidRPr="00A05ADD">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095274" w:rsidRPr="0089079B">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m</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D2554C" w:rsidRPr="00A05ADD">
        <w:t>}</w:t>
      </w:r>
      <w:r w:rsidR="00D2554C">
        <w:t xml:space="preserve">. </w:t>
      </w:r>
      <w:r>
        <w:t xml:space="preserve">Für jeden Schemaort ist </w:t>
      </w:r>
      <w:r w:rsidR="00D2554C">
        <w:t xml:space="preserve">zudem eine Menge von möglichen Zusatzbedingungen </w:t>
      </w:r>
      <w:r w:rsidR="00DC495B">
        <w:rPr>
          <w:i/>
        </w:rPr>
        <w:t>Z</w:t>
      </w:r>
      <w:r w:rsidR="00DC495B" w:rsidRPr="00DC495B">
        <w:rPr>
          <w:i/>
        </w:rPr>
        <w:t>b</w:t>
      </w:r>
      <w:r>
        <w:t xml:space="preserve"> gegeben als </w:t>
      </w:r>
      <w:r>
        <w:rPr>
          <w:i/>
          <w:iCs/>
        </w:rPr>
        <w:t>Zb</w:t>
      </w:r>
      <w:r>
        <w:t>(</w:t>
      </w:r>
      <w:r w:rsidR="00DC495B">
        <w:rPr>
          <w:i/>
          <w:iCs/>
        </w:rPr>
        <w:t>O</w:t>
      </w:r>
      <w:r w:rsidR="00DC495B">
        <w:rPr>
          <w:i/>
          <w:vertAlign w:val="subscript"/>
        </w:rPr>
        <w:t>j</w:t>
      </w:r>
      <w:r w:rsidR="00DC495B">
        <w:t>(</w:t>
      </w:r>
      <w:r w:rsidR="00DC495B">
        <w:rPr>
          <w:i/>
          <w:iCs/>
        </w:rPr>
        <w:t>S</w:t>
      </w:r>
      <w:r w:rsidR="00DC495B">
        <w:rPr>
          <w:i/>
          <w:vertAlign w:val="subscript"/>
        </w:rPr>
        <w:t>i</w:t>
      </w:r>
      <w:r w:rsidR="00DC495B">
        <w:t>)</w:t>
      </w:r>
      <w:r>
        <w:t>)</w:t>
      </w:r>
      <w:r w:rsidR="00DC495B">
        <w:t>:</w:t>
      </w:r>
      <w:r w:rsidR="00DC495B" w:rsidRPr="00A05ADD">
        <w:t xml:space="preserve"> </w:t>
      </w:r>
      <w:r w:rsidR="00D2554C" w:rsidRPr="00A05ADD">
        <w:t>{</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095274" w:rsidRPr="0089079B">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n</m:t>
            </m:r>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D2554C" w:rsidRPr="00A05ADD">
        <w:t xml:space="preserve">}. </w:t>
      </w:r>
      <w:r w:rsidR="00D2554C">
        <w:t xml:space="preserve">Aus dieser Menge können fakultativ beliebige Eigenschaften </w:t>
      </w:r>
      <w:r w:rsidR="00D2554C">
        <w:rPr>
          <w:rFonts w:cs="Times New Roman"/>
          <w:i/>
        </w:rPr>
        <w:t>Z</w:t>
      </w:r>
      <w:r w:rsidR="00D2554C">
        <w:rPr>
          <w:rFonts w:cs="Times New Roman"/>
          <w:i/>
          <w:vertAlign w:val="subscript"/>
        </w:rPr>
        <w:t>W</w:t>
      </w:r>
      <w:r w:rsidR="00D2554C">
        <w:t>:</w:t>
      </w:r>
      <w:r w:rsidR="00D2554C" w:rsidRPr="00A05ADD">
        <w:t xml:space="preserve">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rPr>
                  <m:t>1</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D2554C" w:rsidRPr="00A05ADD">
        <w:t xml:space="preserve">, …,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i/>
                  </w:rPr>
                  <m:t>s</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D2554C" w:rsidRPr="00A05ADD">
        <w:t xml:space="preserve">} </w:t>
      </w:r>
      <w:r w:rsidR="00D2554C">
        <w:t xml:space="preserve">für die weitere </w:t>
      </w:r>
      <w:r w:rsidR="0059760B">
        <w:t>Spezifikation</w:t>
      </w:r>
      <w:r w:rsidR="00D2554C">
        <w:t xml:space="preserve"> der </w:t>
      </w:r>
      <w:r w:rsidR="00721558">
        <w:t>Alter</w:t>
      </w:r>
      <w:r w:rsidR="00721558">
        <w:softHyphen/>
        <w:t>nativen</w:t>
      </w:r>
      <w:r w:rsidR="00721558">
        <w:softHyphen/>
        <w:t>klasse</w:t>
      </w:r>
      <w:r w:rsidR="00D2554C">
        <w:t xml:space="preserve"> ausgewählt werden.</w:t>
      </w:r>
    </w:p>
    <w:p w:rsidR="00DC7089" w:rsidRDefault="00DC7089" w:rsidP="00DC7089">
      <w:pPr>
        <w:pStyle w:val="Text"/>
      </w:pPr>
      <w:r>
        <w:t>Die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mit der die </w:t>
      </w:r>
      <w:r w:rsidR="00721558">
        <w:t>Alter</w:t>
      </w:r>
      <w:r w:rsidR="00721558">
        <w:softHyphen/>
        <w:t>nativen</w:t>
      </w:r>
      <w:r w:rsidR="00721558">
        <w:softHyphen/>
        <w:t>klasse</w:t>
      </w:r>
      <w:r>
        <w:t xml:space="preserve"> </w:t>
      </w:r>
      <w:r>
        <w:rPr>
          <w:rFonts w:cs="Times New Roman"/>
          <w:i/>
        </w:rPr>
        <w:t>A</w:t>
      </w:r>
      <w:r w:rsidR="005A3872">
        <w:rPr>
          <w:rFonts w:cs="Times New Roman"/>
          <w:i/>
          <w:vertAlign w:val="subscript"/>
        </w:rPr>
        <w:t>h</w:t>
      </w:r>
      <w:r>
        <w:t xml:space="preserve"> gebildet wird, bezeichnen wir als Alternativenbedingung</w:t>
      </w:r>
      <w:r w:rsidRPr="00351B3C">
        <w:t>en</w:t>
      </w:r>
      <w:r>
        <w:t xml:space="preserve"> </w:t>
      </w:r>
      <w:r>
        <w:rPr>
          <w:i/>
          <w:iCs/>
        </w:rPr>
        <w:t>Ab</w:t>
      </w:r>
      <w:r w:rsidR="005A3872">
        <w:rPr>
          <w:rFonts w:cs="Times New Roman"/>
          <w:i/>
          <w:vertAlign w:val="subscript"/>
        </w:rPr>
        <w:t>h</w:t>
      </w:r>
      <w:r>
        <w:t>:</w:t>
      </w:r>
    </w:p>
    <w:p w:rsidR="00E61296" w:rsidRDefault="00E61296" w:rsidP="00DF2599">
      <w:pPr>
        <w:pStyle w:val="Formel"/>
        <w:spacing w:before="240" w:after="240"/>
      </w:pPr>
      <w:r>
        <w:rPr>
          <w:i/>
          <w:iCs/>
          <w:lang w:val="it-IT"/>
        </w:rPr>
        <w:t>Ab</w:t>
      </w:r>
      <w:r>
        <w:rPr>
          <w:rFonts w:cs="Times New Roman"/>
          <w:i/>
          <w:vertAlign w:val="subscript"/>
        </w:rPr>
        <w:t>h</w:t>
      </w:r>
      <w:r w:rsidR="00555152">
        <w:rPr>
          <w:rFonts w:cs="Times New Roman"/>
          <w:i/>
          <w:vertAlign w:val="subscript"/>
        </w:rPr>
        <w:tab/>
      </w:r>
      <w:r>
        <w:rPr>
          <w:lang w:val="it-IT"/>
        </w:rPr>
        <w:t xml:space="preserve">= </w:t>
      </w:r>
      <w:r w:rsidRPr="00FA2CCD">
        <w:rPr>
          <w:i/>
        </w:rPr>
        <w:t>Ob</w:t>
      </w:r>
      <w:r>
        <w:t>(</w:t>
      </w:r>
      <w:r>
        <w:rPr>
          <w:i/>
          <w:iCs/>
        </w:rPr>
        <w:t>O</w:t>
      </w:r>
      <w:r>
        <w:rPr>
          <w:i/>
          <w:vertAlign w:val="subscript"/>
        </w:rPr>
        <w:t>j</w:t>
      </w:r>
      <w:r>
        <w:t>(</w:t>
      </w:r>
      <w:r>
        <w:rPr>
          <w:i/>
          <w:iCs/>
        </w:rPr>
        <w:t>S</w:t>
      </w:r>
      <w:r>
        <w:rPr>
          <w:i/>
          <w:vertAlign w:val="subscript"/>
        </w:rPr>
        <w:t>i</w:t>
      </w:r>
      <w:r>
        <w:t>))</w:t>
      </w:r>
      <w:r>
        <w:rPr>
          <w:rFonts w:cs="Times New Roman"/>
        </w:rPr>
        <w:t xml:space="preserve"> </w:t>
      </w:r>
      <w:r w:rsidRPr="00E235A0">
        <w:rPr>
          <w:rFonts w:ascii="Cambria Math" w:eastAsia="Arial Unicode MS" w:hAnsi="Cambria Math" w:cs="Arial Unicode MS"/>
          <w:color w:val="000000" w:themeColor="text1"/>
        </w:rPr>
        <w:t>∪</w:t>
      </w:r>
      <w:r>
        <w:rPr>
          <w:rFonts w:eastAsia="Arial Unicode MS" w:cs="Times New Roman"/>
        </w:rPr>
        <w:t xml:space="preserve"> (</w:t>
      </w:r>
      <w:r>
        <w:rPr>
          <w:rFonts w:cs="Times New Roman"/>
          <w:i/>
        </w:rPr>
        <w:t>Z</w:t>
      </w:r>
      <w:r>
        <w:rPr>
          <w:rFonts w:cs="Times New Roman"/>
          <w:i/>
          <w:vertAlign w:val="subscript"/>
        </w:rPr>
        <w:t>W</w:t>
      </w:r>
      <w:r w:rsidRPr="00951A95">
        <w:rPr>
          <w:i/>
          <w:color w:val="000000" w:themeColor="text1"/>
        </w:rPr>
        <w:t xml:space="preserve"> </w:t>
      </w:r>
      <w:r w:rsidRPr="00E535E0">
        <w:rPr>
          <w:rFonts w:ascii="Cambria Math" w:eastAsia="Arial Unicode MS" w:hAnsi="Cambria Math" w:cs="Times New Roman"/>
        </w:rPr>
        <w:t>⊆</w:t>
      </w:r>
      <w:r>
        <w:rPr>
          <w:rFonts w:eastAsia="Arial Unicode MS" w:cs="Times New Roman"/>
        </w:rPr>
        <w:t xml:space="preserve"> </w:t>
      </w:r>
      <w:r>
        <w:rPr>
          <w:i/>
        </w:rPr>
        <w:t>Z</w:t>
      </w:r>
      <w:r w:rsidRPr="00FA2CCD">
        <w:rPr>
          <w:i/>
        </w:rPr>
        <w:t>b</w:t>
      </w:r>
      <w:r>
        <w:t>(</w:t>
      </w:r>
      <w:r>
        <w:rPr>
          <w:i/>
          <w:iCs/>
        </w:rPr>
        <w:t>O</w:t>
      </w:r>
      <w:r>
        <w:rPr>
          <w:i/>
          <w:vertAlign w:val="subscript"/>
        </w:rPr>
        <w:t>j</w:t>
      </w:r>
      <w:r>
        <w:t>(</w:t>
      </w:r>
      <w:r>
        <w:rPr>
          <w:i/>
          <w:iCs/>
        </w:rPr>
        <w:t>S</w:t>
      </w:r>
      <w:r>
        <w:rPr>
          <w:i/>
          <w:vertAlign w:val="subscript"/>
        </w:rPr>
        <w:t>i</w:t>
      </w:r>
      <w:r>
        <w:t>)))</w:t>
      </w:r>
      <w:r>
        <w:tab/>
      </w:r>
    </w:p>
    <w:p w:rsidR="00D2554C" w:rsidRDefault="00D2554C" w:rsidP="00E61296">
      <w:pPr>
        <w:pStyle w:val="Text"/>
        <w:ind w:firstLine="0"/>
      </w:pPr>
      <w:r>
        <w:t xml:space="preserve">Es ergibt sich für eine </w:t>
      </w:r>
      <w:r w:rsidR="00721558">
        <w:t>Alter</w:t>
      </w:r>
      <w:r w:rsidR="00721558">
        <w:softHyphen/>
        <w:t>nativen</w:t>
      </w:r>
      <w:r w:rsidR="00721558">
        <w:softHyphen/>
        <w:t>klasse</w:t>
      </w:r>
      <w:r>
        <w:t xml:space="preserve"> </w:t>
      </w:r>
      <w:r>
        <w:rPr>
          <w:i/>
        </w:rPr>
        <w:t>A</w:t>
      </w:r>
      <w:r w:rsidR="005A3872">
        <w:rPr>
          <w:rFonts w:cs="Times New Roman"/>
          <w:i/>
          <w:vertAlign w:val="subscript"/>
        </w:rPr>
        <w:t>h</w:t>
      </w:r>
      <w:r>
        <w:t xml:space="preserve">, die auf dem </w:t>
      </w:r>
      <w:r w:rsidR="00DC495B">
        <w:t xml:space="preserve">Schemaort </w:t>
      </w:r>
      <w:r w:rsidR="00DC495B">
        <w:rPr>
          <w:i/>
          <w:iCs/>
        </w:rPr>
        <w:t>O</w:t>
      </w:r>
      <w:r w:rsidR="00DC495B">
        <w:rPr>
          <w:i/>
          <w:vertAlign w:val="subscript"/>
        </w:rPr>
        <w:t>j</w:t>
      </w:r>
      <w:r w:rsidR="00DC495B">
        <w:t>(</w:t>
      </w:r>
      <w:r w:rsidR="00DC495B">
        <w:rPr>
          <w:i/>
          <w:iCs/>
        </w:rPr>
        <w:t>S</w:t>
      </w:r>
      <w:r w:rsidR="00DC495B">
        <w:rPr>
          <w:i/>
          <w:vertAlign w:val="subscript"/>
        </w:rPr>
        <w:t>i</w:t>
      </w:r>
      <w:r w:rsidR="00DC495B">
        <w:t xml:space="preserve">) </w:t>
      </w:r>
      <w:r>
        <w:t>b</w:t>
      </w:r>
      <w:r>
        <w:t>a</w:t>
      </w:r>
      <w:r>
        <w:t>siert:</w:t>
      </w:r>
    </w:p>
    <w:p w:rsidR="00D2554C" w:rsidRPr="00A05ADD" w:rsidRDefault="00A15BD5" w:rsidP="00DF2599">
      <w:pPr>
        <w:pStyle w:val="Formel"/>
        <w:spacing w:before="240" w:after="240"/>
      </w:pPr>
      <w:r>
        <w:rPr>
          <w:rFonts w:cs="Times New Roman"/>
          <w:i/>
        </w:rPr>
        <w:t>A</w:t>
      </w:r>
      <w:r>
        <w:rPr>
          <w:rFonts w:cs="Times New Roman"/>
          <w:i/>
          <w:vertAlign w:val="subscript"/>
        </w:rPr>
        <w:t>h</w:t>
      </w:r>
      <w:r w:rsidR="00D2554C">
        <w:rPr>
          <w:rFonts w:cs="Times New Roman"/>
        </w:rPr>
        <w:tab/>
        <w:t>= {</w:t>
      </w:r>
      <w:r w:rsidR="000B6357" w:rsidRPr="000B6357">
        <w:rPr>
          <w:i/>
          <w:color w:val="000000" w:themeColor="text1"/>
        </w:rPr>
        <w:t>x</w:t>
      </w:r>
      <w:r w:rsidR="000B6357" w:rsidRPr="000B6357">
        <w:rPr>
          <w:color w:val="000000" w:themeColor="text1"/>
        </w:rPr>
        <w:t xml:space="preserve"> </w:t>
      </w:r>
      <w:r w:rsidR="00E235A0" w:rsidRPr="00E235A0">
        <w:rPr>
          <w:rFonts w:ascii="Cambria Math" w:eastAsia="Arial Unicode MS" w:hAnsi="Cambria Math" w:cs="Arial Unicode MS"/>
          <w:color w:val="000000" w:themeColor="text1"/>
        </w:rPr>
        <w:t>∊</w:t>
      </w:r>
      <w:r w:rsidR="000B6357">
        <w:rPr>
          <w:rFonts w:cs="Times New Roman"/>
        </w:rPr>
        <w:t xml:space="preserve"> </w:t>
      </w:r>
      <w:r w:rsidR="000B6357" w:rsidRPr="000B6357">
        <w:rPr>
          <w:i/>
        </w:rPr>
        <w:t>M</w:t>
      </w:r>
      <w:r w:rsidR="003C7A60">
        <w:rPr>
          <w:i/>
          <w:vertAlign w:val="subscript"/>
        </w:rPr>
        <w:t>Alt</w:t>
      </w:r>
      <w:r w:rsidR="000B6357" w:rsidRPr="000B6357">
        <w:rPr>
          <w:color w:val="000000" w:themeColor="text1"/>
        </w:rPr>
        <w:t xml:space="preserve"> </w:t>
      </w:r>
      <w:r w:rsidR="00D2554C">
        <w:rPr>
          <w:rFonts w:cs="Times New Roman"/>
        </w:rPr>
        <w:t xml:space="preserve">| </w:t>
      </w:r>
      <w:r w:rsidR="00A356A1">
        <w:rPr>
          <w:rFonts w:cs="Times New Roman"/>
        </w:rPr>
        <w:t>(</w:t>
      </w:r>
      <w:r w:rsidR="00FA2CCD" w:rsidRPr="00FA2CCD">
        <w:rPr>
          <w:i/>
        </w:rPr>
        <w:t>Ob</w:t>
      </w:r>
      <w:r w:rsidR="00FA2CCD">
        <w:t>(</w:t>
      </w:r>
      <w:r w:rsidR="00FA2CCD">
        <w:rPr>
          <w:i/>
          <w:iCs/>
        </w:rPr>
        <w:t>O</w:t>
      </w:r>
      <w:r w:rsidR="00FA2CCD">
        <w:rPr>
          <w:i/>
          <w:vertAlign w:val="subscript"/>
        </w:rPr>
        <w:t>j</w:t>
      </w:r>
      <w:r w:rsidR="00FA2CCD">
        <w:t>(</w:t>
      </w:r>
      <w:r w:rsidR="00FA2CCD">
        <w:rPr>
          <w:i/>
          <w:iCs/>
        </w:rPr>
        <w:t>S</w:t>
      </w:r>
      <w:r w:rsidR="00FA2CCD">
        <w:rPr>
          <w:i/>
          <w:vertAlign w:val="subscript"/>
        </w:rPr>
        <w:t>i</w:t>
      </w:r>
      <w:r w:rsidR="00FA2CCD">
        <w:t>))</w:t>
      </w:r>
      <w:r w:rsidR="005539EF">
        <w:rPr>
          <w:rFonts w:cs="Times New Roman"/>
        </w:rPr>
        <w:t xml:space="preserve"> </w:t>
      </w:r>
      <w:r w:rsidR="00D2554C" w:rsidRPr="00E535E0">
        <w:rPr>
          <w:rFonts w:ascii="Cambria Math" w:eastAsia="Arial Unicode MS" w:hAnsi="Cambria Math" w:cs="Times New Roman"/>
        </w:rPr>
        <w:t>∪</w:t>
      </w:r>
      <w:r w:rsidR="00D2554C">
        <w:rPr>
          <w:rFonts w:eastAsia="Arial Unicode MS" w:cs="Times New Roman"/>
        </w:rPr>
        <w:t xml:space="preserve"> (</w:t>
      </w:r>
      <w:r w:rsidR="00D2554C">
        <w:rPr>
          <w:rFonts w:cs="Times New Roman"/>
          <w:i/>
        </w:rPr>
        <w:t>Z</w:t>
      </w:r>
      <w:r w:rsidR="00D2554C">
        <w:rPr>
          <w:rFonts w:cs="Times New Roman"/>
          <w:i/>
          <w:vertAlign w:val="subscript"/>
        </w:rPr>
        <w:t>W</w:t>
      </w:r>
      <w:r w:rsidR="00951A95" w:rsidRPr="00951A95">
        <w:rPr>
          <w:i/>
          <w:color w:val="000000" w:themeColor="text1"/>
        </w:rPr>
        <w:t xml:space="preserve"> </w:t>
      </w:r>
      <w:r w:rsidR="00D2554C" w:rsidRPr="00E535E0">
        <w:rPr>
          <w:rFonts w:ascii="Cambria Math" w:eastAsia="Arial Unicode MS" w:hAnsi="Cambria Math" w:cs="Times New Roman"/>
        </w:rPr>
        <w:t>⊆</w:t>
      </w:r>
      <w:r w:rsidR="006B2984">
        <w:rPr>
          <w:rFonts w:eastAsia="Arial Unicode MS" w:cs="Times New Roman"/>
        </w:rPr>
        <w:t xml:space="preserve"> </w:t>
      </w:r>
      <w:r w:rsidR="00FA2CCD">
        <w:rPr>
          <w:i/>
        </w:rPr>
        <w:t>Z</w:t>
      </w:r>
      <w:r w:rsidR="00FA2CCD" w:rsidRPr="00FA2CCD">
        <w:rPr>
          <w:i/>
        </w:rPr>
        <w:t>b</w:t>
      </w:r>
      <w:r w:rsidR="00FA2CCD">
        <w:t>(</w:t>
      </w:r>
      <w:r w:rsidR="00FA2CCD">
        <w:rPr>
          <w:i/>
          <w:iCs/>
        </w:rPr>
        <w:t>O</w:t>
      </w:r>
      <w:r w:rsidR="00FA2CCD">
        <w:rPr>
          <w:i/>
          <w:vertAlign w:val="subscript"/>
        </w:rPr>
        <w:t>j</w:t>
      </w:r>
      <w:r w:rsidR="00FA2CCD">
        <w:t>(</w:t>
      </w:r>
      <w:r w:rsidR="00FA2CCD">
        <w:rPr>
          <w:i/>
          <w:iCs/>
        </w:rPr>
        <w:t>S</w:t>
      </w:r>
      <w:r w:rsidR="00FA2CCD">
        <w:rPr>
          <w:i/>
          <w:vertAlign w:val="subscript"/>
        </w:rPr>
        <w:t>i</w:t>
      </w:r>
      <w:r w:rsidR="00FA2CCD">
        <w:t>))</w:t>
      </w:r>
      <w:r w:rsidR="00DC7089">
        <w:t>)</w:t>
      </w:r>
      <w:r w:rsidR="00A356A1">
        <w:t>)</w:t>
      </w:r>
      <w:r w:rsidR="00730C79">
        <w:t>(</w:t>
      </w:r>
      <w:r w:rsidR="00730C79" w:rsidRPr="00730C79">
        <w:rPr>
          <w:i/>
        </w:rPr>
        <w:t>x</w:t>
      </w:r>
      <w:r w:rsidR="00730C79">
        <w:t>)</w:t>
      </w:r>
      <w:r w:rsidR="00D2554C">
        <w:rPr>
          <w:rFonts w:cs="Times New Roman"/>
        </w:rPr>
        <w:t>}</w:t>
      </w:r>
      <w:r w:rsidR="00E61296">
        <w:rPr>
          <w:rFonts w:cs="Times New Roman"/>
        </w:rPr>
        <w:br/>
      </w:r>
      <w:r w:rsidR="00E61296">
        <w:rPr>
          <w:rFonts w:cs="Times New Roman"/>
        </w:rPr>
        <w:tab/>
      </w:r>
      <w:r w:rsidR="00D2554C" w:rsidRPr="00A05ADD">
        <w:t>= {</w:t>
      </w:r>
      <w:r w:rsidR="00D2554C" w:rsidRPr="00A05ADD">
        <w:rPr>
          <w:i/>
        </w:rPr>
        <w:t>x</w:t>
      </w:r>
      <w:r w:rsidR="000B6357" w:rsidRPr="00A05ADD">
        <w:rPr>
          <w:color w:val="000000" w:themeColor="text1"/>
        </w:rPr>
        <w:t xml:space="preserve"> </w:t>
      </w:r>
      <w:r w:rsidR="00E235A0" w:rsidRPr="00E235A0">
        <w:rPr>
          <w:rFonts w:ascii="Cambria Math" w:eastAsia="Arial Unicode MS" w:hAnsi="Cambria Math" w:cs="Arial Unicode MS"/>
          <w:color w:val="000000" w:themeColor="text1"/>
        </w:rPr>
        <w:t>∊</w:t>
      </w:r>
      <w:r w:rsidR="000B6357" w:rsidRPr="00A05ADD">
        <w:rPr>
          <w:rFonts w:cs="Times New Roman"/>
        </w:rPr>
        <w:t xml:space="preserve"> </w:t>
      </w:r>
      <w:r w:rsidR="000B6357" w:rsidRPr="00A05ADD">
        <w:rPr>
          <w:i/>
        </w:rPr>
        <w:t>M</w:t>
      </w:r>
      <w:r w:rsidR="003C7A60" w:rsidRPr="00A05ADD">
        <w:rPr>
          <w:i/>
          <w:vertAlign w:val="subscript"/>
        </w:rPr>
        <w:t>Al</w:t>
      </w:r>
      <w:r w:rsidR="00CD42E4" w:rsidRPr="00A05ADD">
        <w:rPr>
          <w:i/>
          <w:vertAlign w:val="subscript"/>
        </w:rPr>
        <w:t>t</w:t>
      </w:r>
      <w:r w:rsidR="00D2554C" w:rsidRPr="00A05ADD">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5539EF" w:rsidRPr="00A05ADD">
        <w:rPr>
          <w:rFonts w:cs="Times New Roman"/>
        </w:rPr>
        <w:t>(</w:t>
      </w:r>
      <w:r w:rsidR="005539EF" w:rsidRPr="00A05ADD">
        <w:rPr>
          <w:i/>
          <w:color w:val="000000" w:themeColor="text1"/>
        </w:rPr>
        <w:t>x</w:t>
      </w:r>
      <w:r w:rsidR="005539EF" w:rsidRPr="00A05ADD">
        <w:rPr>
          <w:rFonts w:cs="Times New Roman"/>
        </w:rPr>
        <w:t>)</w:t>
      </w:r>
      <w:r w:rsidR="00D2554C" w:rsidRPr="00A05ADD">
        <w:t xml:space="preserve"> </w:t>
      </w:r>
      <w:r w:rsidR="005539EF" w:rsidRPr="00A05ADD">
        <w:rPr>
          <w:rFonts w:ascii="Cambria Math" w:hAnsi="Cambria Math" w:cs="Cambria Math"/>
          <w:color w:val="000000" w:themeColor="text1"/>
        </w:rPr>
        <w:t>∧</w:t>
      </w:r>
      <w:r w:rsidR="005539EF" w:rsidRPr="00A05ADD">
        <w:rPr>
          <w:position w:val="-4"/>
        </w:rPr>
        <w:t xml:space="preserve"> </w:t>
      </w:r>
      <w:r w:rsidR="00D2554C" w:rsidRPr="00A05ADD">
        <w:t xml:space="preserve">… </w:t>
      </w:r>
      <w:r w:rsidR="005539EF" w:rsidRPr="00A05ADD">
        <w:rPr>
          <w:rFonts w:ascii="Cambria Math" w:hAnsi="Cambria Math" w:cs="Cambria Math"/>
          <w:color w:val="000000" w:themeColor="text1"/>
        </w:rPr>
        <w:t>∧</w:t>
      </w:r>
      <w:r w:rsidR="00D2554C" w:rsidRPr="00A05ADD">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i/>
              </w:rPr>
              <m:t>m</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005539EF" w:rsidRPr="00A05ADD">
        <w:rPr>
          <w:rFonts w:cs="Times New Roman"/>
        </w:rPr>
        <w:t>(</w:t>
      </w:r>
      <w:r w:rsidR="005539EF" w:rsidRPr="00A05ADD">
        <w:rPr>
          <w:i/>
          <w:color w:val="000000" w:themeColor="text1"/>
        </w:rPr>
        <w:t>x</w:t>
      </w:r>
      <w:r w:rsidR="005539EF" w:rsidRPr="00A05ADD">
        <w:rPr>
          <w:rFonts w:cs="Times New Roman"/>
        </w:rPr>
        <w:t>)</w:t>
      </w:r>
      <w:r w:rsidR="00D2554C" w:rsidRPr="00A05ADD">
        <w:t xml:space="preserve"> </w:t>
      </w:r>
      <w:r w:rsidR="005539EF" w:rsidRPr="00A05ADD">
        <w:rPr>
          <w:rFonts w:ascii="Cambria Math" w:hAnsi="Cambria Math" w:cs="Cambria Math"/>
          <w:color w:val="000000" w:themeColor="text1"/>
        </w:rPr>
        <w:t>∧</w:t>
      </w:r>
      <w:r w:rsidR="00D2554C" w:rsidRPr="00A05ADD">
        <w:t xml:space="preserve">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rPr>
                  <m:t>1</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5539EF" w:rsidRPr="00A05ADD">
        <w:rPr>
          <w:rFonts w:cs="Times New Roman"/>
        </w:rPr>
        <w:t>(</w:t>
      </w:r>
      <w:r w:rsidR="005539EF" w:rsidRPr="00A05ADD">
        <w:rPr>
          <w:i/>
          <w:color w:val="000000" w:themeColor="text1"/>
        </w:rPr>
        <w:t>x</w:t>
      </w:r>
      <w:r w:rsidR="005539EF" w:rsidRPr="00A05ADD">
        <w:rPr>
          <w:rFonts w:cs="Times New Roman"/>
        </w:rPr>
        <w:t>)</w:t>
      </w:r>
      <w:r w:rsidR="00D2554C" w:rsidRPr="00A05ADD">
        <w:t xml:space="preserve"> </w:t>
      </w:r>
      <w:r w:rsidR="005539EF" w:rsidRPr="00A05ADD">
        <w:rPr>
          <w:rFonts w:ascii="Cambria Math" w:hAnsi="Cambria Math" w:cs="Cambria Math"/>
          <w:color w:val="000000" w:themeColor="text1"/>
        </w:rPr>
        <w:t>∧</w:t>
      </w:r>
      <w:r w:rsidR="00D2554C" w:rsidRPr="00A05ADD">
        <w:t xml:space="preserve"> … </w:t>
      </w:r>
      <w:r w:rsidR="005539EF" w:rsidRPr="00A05ADD">
        <w:rPr>
          <w:rFonts w:ascii="Cambria Math" w:hAnsi="Cambria Math" w:cs="Cambria Math"/>
          <w:color w:val="000000" w:themeColor="text1"/>
        </w:rPr>
        <w:t>∧</w:t>
      </w:r>
      <w:r w:rsidR="00D2554C" w:rsidRPr="00A05ADD">
        <w:t xml:space="preserve">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i/>
                  </w:rPr>
                  <m:t>s</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005539EF" w:rsidRPr="00A05ADD">
        <w:rPr>
          <w:rFonts w:cs="Times New Roman"/>
        </w:rPr>
        <w:t>(</w:t>
      </w:r>
      <w:r w:rsidR="005539EF" w:rsidRPr="00A05ADD">
        <w:rPr>
          <w:i/>
          <w:color w:val="000000" w:themeColor="text1"/>
        </w:rPr>
        <w:t>x</w:t>
      </w:r>
      <w:r w:rsidR="005539EF" w:rsidRPr="00A05ADD">
        <w:rPr>
          <w:rFonts w:cs="Times New Roman"/>
        </w:rPr>
        <w:t>)</w:t>
      </w:r>
      <w:r w:rsidR="00D2554C" w:rsidRPr="00A05ADD">
        <w:t>}</w:t>
      </w:r>
    </w:p>
    <w:p w:rsidR="00CF25BF" w:rsidRDefault="001D52D7" w:rsidP="00E61296">
      <w:pPr>
        <w:pStyle w:val="Text"/>
        <w:ind w:firstLine="0"/>
      </w:pPr>
      <w:r>
        <w:t>Eigenschaften sind als einstellige Prädikate</w:t>
      </w:r>
      <w:r w:rsidR="005D7996">
        <w:fldChar w:fldCharType="begin"/>
      </w:r>
      <w:r w:rsidR="00F43694">
        <w:instrText xml:space="preserve"> XE "</w:instrText>
      </w:r>
      <w:r w:rsidR="00F43694" w:rsidRPr="00F16E47">
        <w:instrText>Prädikat</w:instrText>
      </w:r>
      <w:r w:rsidR="00F43694">
        <w:instrText xml:space="preserve">" </w:instrText>
      </w:r>
      <w:r w:rsidR="005D7996">
        <w:fldChar w:fldCharType="end"/>
      </w:r>
      <w:r>
        <w:t xml:space="preserve"> definiert; </w:t>
      </w:r>
      <w:r w:rsidR="00845DC0">
        <w:t xml:space="preserve">der Wert der </w:t>
      </w:r>
      <w:r>
        <w:t>in Klammern geschriebene</w:t>
      </w:r>
      <w:r w:rsidR="00845DC0">
        <w:t>n</w:t>
      </w:r>
      <w:r>
        <w:t xml:space="preserve"> Variable</w:t>
      </w:r>
      <w:r w:rsidR="00845DC0">
        <w:t>n</w:t>
      </w:r>
      <w:r>
        <w:t xml:space="preserve"> wird somit jeweils in die Argumentstelle des Prädikats eingesetzt.</w:t>
      </w:r>
    </w:p>
    <w:p w:rsidR="001D52D7" w:rsidRDefault="00781EAB">
      <w:pPr>
        <w:pStyle w:val="Text"/>
      </w:pPr>
      <w:r>
        <w:t xml:space="preserve">Technisch können die </w:t>
      </w:r>
      <w:r w:rsidR="001D52D7">
        <w:t>Prädikate</w:t>
      </w:r>
      <w:r w:rsidR="005D7996">
        <w:fldChar w:fldCharType="begin"/>
      </w:r>
      <w:r w:rsidR="00F43694">
        <w:instrText xml:space="preserve"> XE "</w:instrText>
      </w:r>
      <w:r w:rsidR="00F43694" w:rsidRPr="00F16E47">
        <w:instrText>Prädikat</w:instrText>
      </w:r>
      <w:r w:rsidR="00F43694">
        <w:instrText xml:space="preserve">" </w:instrText>
      </w:r>
      <w:r w:rsidR="005D7996">
        <w:fldChar w:fldCharType="end"/>
      </w:r>
      <w:r w:rsidR="001D52D7">
        <w:t xml:space="preserve"> als </w:t>
      </w:r>
      <w:r>
        <w:t>F</w:t>
      </w:r>
      <w:r w:rsidR="001D52D7">
        <w:t xml:space="preserve">unktionen </w:t>
      </w:r>
      <w:r>
        <w:t>implementiert werden</w:t>
      </w:r>
      <w:r w:rsidR="001D52D7">
        <w:t xml:space="preserve">, die die Variable als Parameter erhalten und einen Wahrheitswert zurückliefern. Die </w:t>
      </w:r>
      <w:r w:rsidR="001D52D7">
        <w:lastRenderedPageBreak/>
        <w:t xml:space="preserve">Klasse wird gebildet, indem für alle </w:t>
      </w:r>
      <w:r w:rsidRPr="00781EAB">
        <w:rPr>
          <w:i/>
        </w:rPr>
        <w:t>x</w:t>
      </w:r>
      <w:r w:rsidRPr="00781EAB">
        <w:rPr>
          <w:color w:val="000000" w:themeColor="text1"/>
        </w:rPr>
        <w:t xml:space="preserve"> </w:t>
      </w:r>
      <w:r w:rsidR="00E235A0" w:rsidRPr="00E235A0">
        <w:rPr>
          <w:rFonts w:ascii="Cambria Math" w:eastAsia="Arial Unicode MS" w:hAnsi="Cambria Math" w:cs="Arial Unicode MS"/>
          <w:color w:val="000000" w:themeColor="text1"/>
        </w:rPr>
        <w:t>∊</w:t>
      </w:r>
      <w:r w:rsidRPr="00781EAB">
        <w:rPr>
          <w:rFonts w:cs="Times New Roman"/>
        </w:rPr>
        <w:t xml:space="preserve"> </w:t>
      </w:r>
      <w:r w:rsidRPr="00781EAB">
        <w:rPr>
          <w:i/>
        </w:rPr>
        <w:t>M</w:t>
      </w:r>
      <w:r w:rsidRPr="00781EAB">
        <w:rPr>
          <w:i/>
          <w:vertAlign w:val="subscript"/>
        </w:rPr>
        <w:t>Alt</w:t>
      </w:r>
      <w:r w:rsidR="001D52D7">
        <w:t xml:space="preserve"> geprüft wird, ob die </w:t>
      </w:r>
      <w:r w:rsidR="00DC7089">
        <w:t xml:space="preserve">Bedingung im Klassenbaustein </w:t>
      </w:r>
      <w:r>
        <w:t>erfüllt ist</w:t>
      </w:r>
      <w:r w:rsidR="00735617">
        <w:t>.</w:t>
      </w:r>
    </w:p>
    <w:p w:rsidR="00D2554C" w:rsidRDefault="00D2554C">
      <w:pPr>
        <w:pStyle w:val="Titel2"/>
      </w:pPr>
      <w:bookmarkStart w:id="216" w:name="_Ref212453073"/>
      <w:bookmarkStart w:id="217" w:name="_Toc325456735"/>
      <w:bookmarkStart w:id="218" w:name="Realisierung2"/>
      <w:bookmarkEnd w:id="215"/>
      <w:r>
        <w:t>Die Realisierung</w:t>
      </w:r>
      <w:bookmarkEnd w:id="216"/>
      <w:bookmarkEnd w:id="217"/>
    </w:p>
    <w:p w:rsidR="00D2554C" w:rsidRDefault="005D7996" w:rsidP="00E61296">
      <w:pPr>
        <w:pStyle w:val="Text"/>
        <w:ind w:firstLine="0"/>
      </w:pPr>
      <w:r>
        <w:fldChar w:fldCharType="begin"/>
      </w:r>
      <w:r w:rsidR="000040F5">
        <w:instrText xml:space="preserve"> XE "</w:instrText>
      </w:r>
      <w:r w:rsidR="000040F5" w:rsidRPr="003C642B">
        <w:instrText>Realisierung</w:instrText>
      </w:r>
      <w:r w:rsidR="000040F5">
        <w:instrText xml:space="preserve">" \r "Realisierung2" </w:instrText>
      </w:r>
      <w:r>
        <w:fldChar w:fldCharType="end"/>
      </w:r>
      <w:r>
        <w:fldChar w:fldCharType="begin"/>
      </w:r>
      <w:r w:rsidR="005B0778">
        <w:instrText xml:space="preserve"> XE "</w:instrText>
      </w:r>
      <w:r w:rsidR="005B0778" w:rsidRPr="003C642B">
        <w:instrText>Realisierung</w:instrText>
      </w:r>
      <w:r w:rsidR="005B0778">
        <w:instrText xml:space="preserve">sstelle" \r "Realisierung2" </w:instrText>
      </w:r>
      <w:r>
        <w:fldChar w:fldCharType="end"/>
      </w:r>
      <w:r w:rsidR="00D2554C">
        <w:t>Jede</w:t>
      </w:r>
      <w:r w:rsidR="00AB075B">
        <w:t>s</w:t>
      </w:r>
      <w:r w:rsidR="00D2554C">
        <w:t xml:space="preserve"> konkrete </w:t>
      </w:r>
      <w:r w:rsidR="00AB075B">
        <w:t>Phänomen</w:t>
      </w:r>
      <w:r w:rsidR="00D2554C">
        <w:t xml:space="preserve">, </w:t>
      </w:r>
      <w:r w:rsidR="00AB075B">
        <w:t xml:space="preserve">das </w:t>
      </w:r>
      <w:r w:rsidR="00D2554C">
        <w:t xml:space="preserve">auf Schemata (vgl. Abschnitt </w:t>
      </w:r>
      <w:r>
        <w:fldChar w:fldCharType="begin"/>
      </w:r>
      <w:r w:rsidR="00D2554C">
        <w:instrText xml:space="preserve"> REF _Ref212082822 \r \h </w:instrText>
      </w:r>
      <w:r>
        <w:fldChar w:fldCharType="separate"/>
      </w:r>
      <w:r w:rsidR="001231D3">
        <w:t>4.2.2</w:t>
      </w:r>
      <w:r>
        <w:fldChar w:fldCharType="end"/>
      </w:r>
      <w:r w:rsidR="00D2554C">
        <w:t>) basiert, soll „Realisierung“ genannt werden. Für die Analyse ist die Annahme notwendig, dass Realisierungen aus verschiedenen Realisierungsstellen</w:t>
      </w:r>
      <w:r w:rsidR="00DD0752">
        <w:t xml:space="preserve"> </w:t>
      </w:r>
      <w:r w:rsidR="00D2554C">
        <w:t>bestehen, für die sich jeweils genau ein Schemaort eines Schemas angeben lässt. Die entsprechende Realisierungsstelle muss also die Schemaortbedingungen erfüllen, die den en</w:t>
      </w:r>
      <w:r w:rsidR="00D2554C">
        <w:t>t</w:t>
      </w:r>
      <w:r w:rsidR="00D2554C">
        <w:t xml:space="preserve">sprechenden Schemaort und das Schema, zu dem er gehört, kennzeichnen. Jede Realisierung lässt sich somit als Menge von Realisierungsstellen beschreiben, die </w:t>
      </w:r>
      <w:r w:rsidR="00534889">
        <w:t xml:space="preserve">jeweils </w:t>
      </w:r>
      <w:r w:rsidR="00D2554C">
        <w:t>einen Schemaort realisieren: Eine konkrete Autofahrt etwa lässt sich u</w:t>
      </w:r>
      <w:r w:rsidR="00D2554C">
        <w:t>n</w:t>
      </w:r>
      <w:r w:rsidR="005E24CB">
        <w:t>terteilen in Vorgänge der Typen</w:t>
      </w:r>
      <w:r w:rsidR="00D2554C">
        <w:t xml:space="preserve"> </w:t>
      </w:r>
      <w:r w:rsidR="0037331C">
        <w:t>‚</w:t>
      </w:r>
      <w:r w:rsidR="00D2554C">
        <w:t>Anfahren</w:t>
      </w:r>
      <w:r w:rsidR="0037331C">
        <w:t>‘</w:t>
      </w:r>
      <w:r w:rsidR="00D2554C">
        <w:t xml:space="preserve">, </w:t>
      </w:r>
      <w:r w:rsidR="0037331C">
        <w:t>‚</w:t>
      </w:r>
      <w:r w:rsidR="00D2554C">
        <w:t>Ausparken</w:t>
      </w:r>
      <w:r w:rsidR="0037331C">
        <w:t>‘</w:t>
      </w:r>
      <w:r w:rsidR="00D2554C">
        <w:t xml:space="preserve">, </w:t>
      </w:r>
      <w:r w:rsidR="0037331C">
        <w:t>‚</w:t>
      </w:r>
      <w:r w:rsidR="00D2554C">
        <w:t>Beschleunigen</w:t>
      </w:r>
      <w:r w:rsidR="0037331C">
        <w:t>‘</w:t>
      </w:r>
      <w:r w:rsidR="00D2554C">
        <w:t xml:space="preserve">, </w:t>
      </w:r>
      <w:r w:rsidR="0037331C">
        <w:t>‚</w:t>
      </w:r>
      <w:r w:rsidR="00D2554C">
        <w:t>G</w:t>
      </w:r>
      <w:r w:rsidR="00D2554C">
        <w:t>e</w:t>
      </w:r>
      <w:r w:rsidR="00D2554C">
        <w:t xml:space="preserve">radeausfahren mit Geschwindigkeit </w:t>
      </w:r>
      <w:r w:rsidR="00D2554C">
        <w:rPr>
          <w:i/>
          <w:iCs/>
        </w:rPr>
        <w:t>x</w:t>
      </w:r>
      <w:r w:rsidR="0037331C">
        <w:t>‘</w:t>
      </w:r>
      <w:r w:rsidR="00D2554C">
        <w:t xml:space="preserve">, </w:t>
      </w:r>
      <w:r w:rsidR="0037331C">
        <w:t>‚</w:t>
      </w:r>
      <w:r w:rsidR="00D2554C">
        <w:t>Bremsen</w:t>
      </w:r>
      <w:r w:rsidR="0037331C">
        <w:t>‘</w:t>
      </w:r>
      <w:r w:rsidR="00D2554C">
        <w:t xml:space="preserve">, </w:t>
      </w:r>
      <w:r w:rsidR="0037331C">
        <w:t>‚</w:t>
      </w:r>
      <w:r w:rsidR="00D2554C">
        <w:t>Überholen</w:t>
      </w:r>
      <w:r w:rsidR="0037331C">
        <w:t>‘</w:t>
      </w:r>
      <w:r w:rsidR="00D2554C">
        <w:t xml:space="preserve">, </w:t>
      </w:r>
      <w:r w:rsidR="0037331C">
        <w:t>‚r</w:t>
      </w:r>
      <w:r w:rsidR="00D2554C">
        <w:t>echts abbiegen</w:t>
      </w:r>
      <w:r w:rsidR="0037331C">
        <w:t>‘, ‚links abbiegen‘</w:t>
      </w:r>
      <w:r w:rsidR="00D2554C">
        <w:t xml:space="preserve"> usw.</w:t>
      </w:r>
    </w:p>
    <w:p w:rsidR="00D2554C" w:rsidRDefault="00D2554C">
      <w:pPr>
        <w:pStyle w:val="Definition"/>
      </w:pPr>
      <w:r w:rsidRPr="00786D5C">
        <w:rPr>
          <w:bCs/>
        </w:rPr>
        <w:t>Def.</w:t>
      </w:r>
      <w:r>
        <w:rPr>
          <w:b/>
          <w:bCs/>
        </w:rPr>
        <w:tab/>
      </w:r>
      <w:r w:rsidR="005D7996">
        <w:fldChar w:fldCharType="begin"/>
      </w:r>
      <w:r w:rsidR="007612F4">
        <w:instrText xml:space="preserve"> XE "Realisierung:</w:instrText>
      </w:r>
      <w:r w:rsidR="007612F4" w:rsidRPr="0073281C">
        <w:rPr>
          <w:i/>
        </w:rPr>
        <w:instrText>Definition</w:instrText>
      </w:r>
      <w:r w:rsidR="007612F4">
        <w:instrText xml:space="preserve">" </w:instrText>
      </w:r>
      <w:r w:rsidR="005D7996">
        <w:fldChar w:fldCharType="end"/>
      </w:r>
      <w:r>
        <w:rPr>
          <w:b/>
          <w:bCs/>
        </w:rPr>
        <w:t xml:space="preserve">Realisierung: </w:t>
      </w:r>
      <w:r w:rsidR="00534889">
        <w:t xml:space="preserve">Bei jeder </w:t>
      </w:r>
      <w:r w:rsidR="00E83014">
        <w:t>Schemaausführung</w:t>
      </w:r>
      <w:r w:rsidR="00E83014">
        <w:rPr>
          <w:rStyle w:val="Funotenzeichen"/>
        </w:rPr>
        <w:footnoteReference w:id="336"/>
      </w:r>
      <w:r w:rsidR="00534889">
        <w:t xml:space="preserve"> entsteht eine Realisierung </w:t>
      </w:r>
      <w:r w:rsidR="00E83014">
        <w:t xml:space="preserve">dieses </w:t>
      </w:r>
      <w:r w:rsidR="00534889">
        <w:t xml:space="preserve">Schemas. Sie wird formal als eine </w:t>
      </w:r>
      <w:r>
        <w:t xml:space="preserve">Anordnung </w:t>
      </w:r>
      <w:r w:rsidR="00534889">
        <w:t>von Realisierung</w:t>
      </w:r>
      <w:r w:rsidR="00534889">
        <w:t>s</w:t>
      </w:r>
      <w:r w:rsidR="00534889">
        <w:t>stellen (Definition s. unten) beschrieben</w:t>
      </w:r>
      <w:r w:rsidR="00CD7FBF">
        <w:t>,</w:t>
      </w:r>
      <w:r w:rsidR="00534889">
        <w:t xml:space="preserve"> </w:t>
      </w:r>
      <w:r w:rsidR="00E83014">
        <w:t xml:space="preserve">die </w:t>
      </w:r>
      <w:r>
        <w:t>eindimensional (</w:t>
      </w:r>
      <w:r w:rsidR="00E83014">
        <w:t>Verke</w:t>
      </w:r>
      <w:r w:rsidR="00E83014">
        <w:t>t</w:t>
      </w:r>
      <w:r w:rsidR="00E83014">
        <w:t>tung</w:t>
      </w:r>
      <w:r>
        <w:t>) oder mehrdimensional sein</w:t>
      </w:r>
      <w:r w:rsidR="00E83014">
        <w:t xml:space="preserve"> kann</w:t>
      </w:r>
      <w:r>
        <w:t xml:space="preserve">; zudem können Elemente auf verschiedenen Beschreibungs- oder Abstraktionsebenen angenommen werden </w:t>
      </w:r>
      <w:r w:rsidR="001F0500">
        <w:t>(etwa bei einem Gebäude: Materialien, einzelne Bauelemente, Gestaltung größerer Einheiten wie Grundriss oder Fassaden</w:t>
      </w:r>
      <w:r w:rsidR="005D7996">
        <w:fldChar w:fldCharType="begin"/>
      </w:r>
      <w:r w:rsidR="001F0500">
        <w:instrText xml:space="preserve"> XE "</w:instrText>
      </w:r>
      <w:r w:rsidR="001F0500" w:rsidRPr="008869AB">
        <w:instrText>Fassade</w:instrText>
      </w:r>
      <w:r w:rsidR="001F0500">
        <w:instrText xml:space="preserve">" </w:instrText>
      </w:r>
      <w:r w:rsidR="005D7996">
        <w:fldChar w:fldCharType="end"/>
      </w:r>
      <w:r w:rsidR="001F0500">
        <w:t>, Gesam</w:t>
      </w:r>
      <w:r w:rsidR="001F0500">
        <w:t>t</w:t>
      </w:r>
      <w:r w:rsidR="001F0500">
        <w:t>form). – Eine Realisierung, die auf einem Textschema beruht, wird en</w:t>
      </w:r>
      <w:r w:rsidR="001F0500">
        <w:t>t</w:t>
      </w:r>
      <w:r w:rsidR="001F0500">
        <w:t>sprechend der strukturalistischen Terminologie „</w:t>
      </w:r>
      <w:r w:rsidR="001F0500" w:rsidRPr="002719C6">
        <w:rPr>
          <w:bCs/>
        </w:rPr>
        <w:t>Syntagma</w:t>
      </w:r>
      <w:r w:rsidR="005D7996">
        <w:rPr>
          <w:bCs/>
        </w:rPr>
        <w:fldChar w:fldCharType="begin"/>
      </w:r>
      <w:r w:rsidR="001F0500">
        <w:instrText xml:space="preserve"> XE "</w:instrText>
      </w:r>
      <w:r w:rsidR="001F0500" w:rsidRPr="006C2C00">
        <w:instrText>Syntagma</w:instrText>
      </w:r>
      <w:r w:rsidR="001F0500">
        <w:instrText xml:space="preserve">" </w:instrText>
      </w:r>
      <w:r w:rsidR="005D7996">
        <w:rPr>
          <w:bCs/>
        </w:rPr>
        <w:fldChar w:fldCharType="end"/>
      </w:r>
      <w:r w:rsidR="001F0500">
        <w:rPr>
          <w:bCs/>
        </w:rPr>
        <w:t>“</w:t>
      </w:r>
      <w:r w:rsidR="001F0500">
        <w:rPr>
          <w:b/>
          <w:bCs/>
        </w:rPr>
        <w:t xml:space="preserve"> </w:t>
      </w:r>
      <w:r w:rsidR="001F0500">
        <w:t>genannt.</w:t>
      </w:r>
    </w:p>
    <w:p w:rsidR="00D2554C" w:rsidRDefault="00D2554C">
      <w:pPr>
        <w:pStyle w:val="Definition"/>
      </w:pPr>
      <w:r w:rsidRPr="00786D5C">
        <w:rPr>
          <w:bCs/>
        </w:rPr>
        <w:t>Def.</w:t>
      </w:r>
      <w:r>
        <w:rPr>
          <w:b/>
          <w:bCs/>
        </w:rPr>
        <w:tab/>
      </w:r>
      <w:r w:rsidR="005D7996">
        <w:fldChar w:fldCharType="begin"/>
      </w:r>
      <w:r w:rsidR="007612F4">
        <w:instrText xml:space="preserve"> XE "Realisierungsstelle:</w:instrText>
      </w:r>
      <w:r w:rsidR="007612F4" w:rsidRPr="0073281C">
        <w:rPr>
          <w:i/>
        </w:rPr>
        <w:instrText>Definition</w:instrText>
      </w:r>
      <w:r w:rsidR="007612F4">
        <w:instrText xml:space="preserve">" </w:instrText>
      </w:r>
      <w:r w:rsidR="005D7996">
        <w:fldChar w:fldCharType="end"/>
      </w:r>
      <w:r>
        <w:rPr>
          <w:b/>
          <w:bCs/>
        </w:rPr>
        <w:t xml:space="preserve">Realisierungsstelle: </w:t>
      </w:r>
      <w:r>
        <w:t>Realisierungen gliedern sich in Realisierungsstellen, die folgenden Bedingungen genügen müssen: (1) Sie müssen präzise a</w:t>
      </w:r>
      <w:r>
        <w:t>b</w:t>
      </w:r>
      <w:r>
        <w:t>grenzbar sein; (2) es muss die Angabe eines Schemas und eines Schem</w:t>
      </w:r>
      <w:r>
        <w:t>a</w:t>
      </w:r>
      <w:r w:rsidR="00992FD1">
        <w:t>ort</w:t>
      </w:r>
      <w:r>
        <w:t>s möglich sein, d</w:t>
      </w:r>
      <w:r w:rsidR="00F358C5">
        <w:t>as heißt, die Stelleneinteilung</w:t>
      </w:r>
      <w:r>
        <w:t xml:space="preserve"> einer Realisierung </w:t>
      </w:r>
      <w:r w:rsidR="00F358C5">
        <w:t xml:space="preserve">muss in Übereinstimmung mit dem Schema und den darin verfügbaren Schemaorten </w:t>
      </w:r>
      <w:r>
        <w:t>stehen.</w:t>
      </w:r>
    </w:p>
    <w:p w:rsidR="00D2554C" w:rsidRDefault="00D2554C" w:rsidP="008C497B">
      <w:pPr>
        <w:pStyle w:val="Text"/>
        <w:ind w:firstLine="0"/>
      </w:pPr>
      <w:r>
        <w:t xml:space="preserve">Schema und Schemaort liefern keine vollständige </w:t>
      </w:r>
      <w:r w:rsidR="0059760B">
        <w:t>Spezifikation</w:t>
      </w:r>
      <w:r>
        <w:t xml:space="preserve"> von Verhalten</w:t>
      </w:r>
      <w:r w:rsidR="00560A70">
        <w:t xml:space="preserve"> oder Verhaltensergebnissen</w:t>
      </w:r>
      <w:r>
        <w:t xml:space="preserve">. Daher </w:t>
      </w:r>
      <w:r w:rsidR="00DF2A13">
        <w:t xml:space="preserve">lassen sich mit ihnen auch keine </w:t>
      </w:r>
      <w:r>
        <w:t>Realisieru</w:t>
      </w:r>
      <w:r>
        <w:t>n</w:t>
      </w:r>
      <w:r>
        <w:t xml:space="preserve">gen, sondern </w:t>
      </w:r>
      <w:r w:rsidR="00DF2A13">
        <w:t xml:space="preserve">nur </w:t>
      </w:r>
      <w:r w:rsidR="00721558">
        <w:t>Alter</w:t>
      </w:r>
      <w:r w:rsidR="00721558">
        <w:softHyphen/>
        <w:t>nativen</w:t>
      </w:r>
      <w:r w:rsidR="00721558">
        <w:softHyphen/>
        <w:t>klasse</w:t>
      </w:r>
      <w:r>
        <w:t>n</w:t>
      </w:r>
      <w:r w:rsidR="00DF2A13">
        <w:t xml:space="preserve"> bilden</w:t>
      </w:r>
      <w:r>
        <w:t>. Realisierung</w:t>
      </w:r>
      <w:r w:rsidR="00BD14FF">
        <w:t>sstellen</w:t>
      </w:r>
      <w:r>
        <w:t xml:space="preserve"> basieren daher immer auf </w:t>
      </w:r>
      <w:r w:rsidR="00721558">
        <w:t>Alter</w:t>
      </w:r>
      <w:r w:rsidR="00721558">
        <w:softHyphen/>
        <w:t>nativen</w:t>
      </w:r>
      <w:r w:rsidR="00721558">
        <w:softHyphen/>
        <w:t>klasse</w:t>
      </w:r>
      <w:r>
        <w:t xml:space="preserve">n; sie enthalten ein (nach welchen Kriterien auch immer ausgewähltes) Element einer </w:t>
      </w:r>
      <w:r w:rsidR="00721558">
        <w:t>Alter</w:t>
      </w:r>
      <w:r w:rsidR="00721558">
        <w:softHyphen/>
        <w:t>nativen</w:t>
      </w:r>
      <w:r w:rsidR="00721558">
        <w:softHyphen/>
        <w:t>klasse</w:t>
      </w:r>
      <w:r>
        <w:t>. Daher sind auch die B</w:t>
      </w:r>
      <w:r>
        <w:t>e</w:t>
      </w:r>
      <w:r>
        <w:t xml:space="preserve">dingungen, mit deren Hilfe Realisierungsstellen abgegrenzt werden, identisch </w:t>
      </w:r>
      <w:r>
        <w:lastRenderedPageBreak/>
        <w:t xml:space="preserve">mit </w:t>
      </w:r>
      <w:r w:rsidR="006F0FB9">
        <w:t>denen</w:t>
      </w:r>
      <w:r>
        <w:t xml:space="preserve">, die </w:t>
      </w:r>
      <w:r w:rsidR="00721558">
        <w:t>Alter</w:t>
      </w:r>
      <w:r w:rsidR="00721558">
        <w:softHyphen/>
        <w:t>nativen</w:t>
      </w:r>
      <w:r w:rsidR="00721558">
        <w:softHyphen/>
        <w:t>klasse</w:t>
      </w:r>
      <w:r>
        <w:t xml:space="preserve">n </w:t>
      </w:r>
      <w:r w:rsidR="006F0FB9">
        <w:t>bilden</w:t>
      </w:r>
      <w:r>
        <w:t>: Schemaortbedingungen und Zusat</w:t>
      </w:r>
      <w:r>
        <w:t>z</w:t>
      </w:r>
      <w:r>
        <w:t xml:space="preserve">bedingungen. </w:t>
      </w:r>
      <w:r w:rsidR="00BD14FF">
        <w:t xml:space="preserve">Dabei </w:t>
      </w:r>
      <w:r>
        <w:t xml:space="preserve">spezifizieren diese </w:t>
      </w:r>
      <w:r w:rsidR="00371171">
        <w:t xml:space="preserve">Bedingungen </w:t>
      </w:r>
      <w:r>
        <w:t xml:space="preserve">noch </w:t>
      </w:r>
      <w:r w:rsidR="00371171">
        <w:t xml:space="preserve">nicht das konkrete Element, das die </w:t>
      </w:r>
      <w:r>
        <w:t xml:space="preserve">Realisierungsstelle </w:t>
      </w:r>
      <w:r w:rsidR="00371171">
        <w:t xml:space="preserve">füllt </w:t>
      </w:r>
      <w:r>
        <w:t>(</w:t>
      </w:r>
      <w:r>
        <w:rPr>
          <w:i/>
        </w:rPr>
        <w:t>unvollständige Spezifikation</w:t>
      </w:r>
      <w:r>
        <w:t xml:space="preserve">). Hierzu </w:t>
      </w:r>
      <w:r w:rsidR="00BD14FF">
        <w:t xml:space="preserve">sind weitere </w:t>
      </w:r>
      <w:r>
        <w:t>Auswahlprozess</w:t>
      </w:r>
      <w:r w:rsidR="00BD14FF">
        <w:t>e erforderlich</w:t>
      </w:r>
      <w:r>
        <w:t>.</w:t>
      </w:r>
    </w:p>
    <w:p w:rsidR="00D2554C" w:rsidRDefault="00D2554C">
      <w:pPr>
        <w:pStyle w:val="Text"/>
      </w:pPr>
      <w:r>
        <w:t xml:space="preserve">Die Realisierung </w:t>
      </w:r>
      <w:r w:rsidR="007E4D87">
        <w:t>‚</w:t>
      </w:r>
      <w:r>
        <w:t>Autofahrt</w:t>
      </w:r>
      <w:r w:rsidR="007E4D87">
        <w:t>‘</w:t>
      </w:r>
      <w:r>
        <w:t xml:space="preserve"> scheint in eine lineare Abfolge von Realisi</w:t>
      </w:r>
      <w:r>
        <w:t>e</w:t>
      </w:r>
      <w:r>
        <w:t xml:space="preserve">rungsstellen einteilbar zu sein. Auf den zweiten Blick erkennt man jedoch, dass bereits bei einer so einfachen Realisierung </w:t>
      </w:r>
      <w:r w:rsidR="0037331C">
        <w:t xml:space="preserve">die </w:t>
      </w:r>
      <w:r>
        <w:t xml:space="preserve">Verhältnisse </w:t>
      </w:r>
      <w:r w:rsidR="0037331C">
        <w:t>komplexer sind: N</w:t>
      </w:r>
      <w:r w:rsidR="0037331C">
        <w:t>e</w:t>
      </w:r>
      <w:r w:rsidR="0037331C">
        <w:t xml:space="preserve">ben Realisierungsstellen wie </w:t>
      </w:r>
      <w:r w:rsidR="007E4D87">
        <w:t>‚</w:t>
      </w:r>
      <w:r>
        <w:t>Anfahren</w:t>
      </w:r>
      <w:r w:rsidR="0037331C">
        <w:t>‘, ‚links abbiegen‘ und ‚parken‘ gibt es auch solche wie ‚Routenplanung‘,</w:t>
      </w:r>
      <w:r w:rsidR="00040AB8">
        <w:t xml:space="preserve"> ‚Umgang mit dem Fahrzeug‘, ‚Pausenrhyt</w:t>
      </w:r>
      <w:r w:rsidR="00040AB8">
        <w:t>h</w:t>
      </w:r>
      <w:r w:rsidR="00040AB8">
        <w:t>mus‘ und</w:t>
      </w:r>
      <w:r w:rsidR="0037331C">
        <w:t xml:space="preserve"> </w:t>
      </w:r>
      <w:r w:rsidR="00040AB8">
        <w:t>‚Konzentrationskurve während der Fahrt‘</w:t>
      </w:r>
      <w:r w:rsidR="00837DE7">
        <w:t>, die nicht zu dieser Abfolge gehören.</w:t>
      </w:r>
    </w:p>
    <w:p w:rsidR="00D2554C" w:rsidRDefault="00181D1F">
      <w:pPr>
        <w:pStyle w:val="Text"/>
      </w:pPr>
      <w:r>
        <w:t>V</w:t>
      </w:r>
      <w:r w:rsidR="00D2554C">
        <w:t>iel auffälliger ist dies bei einem Gebäude. Bei diesem ist offensichtlich, dass die dreidimensionale Gestalt des Artefakts in eine eindimensionale Anor</w:t>
      </w:r>
      <w:r w:rsidR="00D2554C">
        <w:t>d</w:t>
      </w:r>
      <w:r w:rsidR="00D2554C">
        <w:t>nung von Realisierungsstellen überführt werden muss; zusätzlich jedoch können hier (ähnlich wie bei einem Text) auch verschiedene Beschreibungsebenen</w:t>
      </w:r>
      <w:r w:rsidR="005D7996">
        <w:fldChar w:fldCharType="begin"/>
      </w:r>
      <w:r w:rsidR="000623C8">
        <w:instrText xml:space="preserve"> XE "</w:instrText>
      </w:r>
      <w:r w:rsidR="000623C8" w:rsidRPr="0039734C">
        <w:instrText>Beschreibungsebene</w:instrText>
      </w:r>
      <w:r w:rsidR="000623C8">
        <w:instrText xml:space="preserve">" </w:instrText>
      </w:r>
      <w:r w:rsidR="005D7996">
        <w:fldChar w:fldCharType="end"/>
      </w:r>
      <w:r w:rsidR="00D2554C">
        <w:t xml:space="preserve"> unte</w:t>
      </w:r>
      <w:r w:rsidR="00D2554C">
        <w:t>r</w:t>
      </w:r>
      <w:r w:rsidR="00D2554C">
        <w:t>schieden werden, die sich etwa auf Bauelemente (wie Fenster und Türen), auf Materialien, auf Formen, auf Farben usw. beziehen. Diese verschiedenen Aspe</w:t>
      </w:r>
      <w:r w:rsidR="00D2554C">
        <w:t>k</w:t>
      </w:r>
      <w:r w:rsidR="00D2554C">
        <w:t xml:space="preserve">te eines Gebäudes können alle, je nach Wahl der Schemaorte, zu Elementen von </w:t>
      </w:r>
      <w:r w:rsidR="00721558">
        <w:t>Alter</w:t>
      </w:r>
      <w:r w:rsidR="00721558">
        <w:softHyphen/>
        <w:t>nativen</w:t>
      </w:r>
      <w:r w:rsidR="00721558">
        <w:softHyphen/>
        <w:t>klasse</w:t>
      </w:r>
      <w:r w:rsidR="00D2554C">
        <w:t>n werden. Es ist klar, dass hier verschiedene Arten der Übe</w:t>
      </w:r>
      <w:r w:rsidR="00D2554C">
        <w:t>r</w:t>
      </w:r>
      <w:r w:rsidR="00D2554C">
        <w:t>führung in eine Anordnung von Realisierungsstellen möglich sin</w:t>
      </w:r>
      <w:r w:rsidR="00040AB8">
        <w:t>d</w:t>
      </w:r>
      <w:r w:rsidR="00D2554C">
        <w:t>.</w:t>
      </w:r>
    </w:p>
    <w:p w:rsidR="00D2554C" w:rsidRDefault="00D2554C">
      <w:pPr>
        <w:pStyle w:val="Text"/>
      </w:pPr>
      <w:r>
        <w:t>Bei jeder Realisierung muss also eine Anordnung von Realisierungsstellen gefunden werden, die sie hinreichend genau beschreibt. Dabei sind die unte</w:t>
      </w:r>
      <w:r>
        <w:t>r</w:t>
      </w:r>
      <w:r>
        <w:t>schiedlichen Realisierungsstellen keineswegs alle von gleicher Art, sondern u</w:t>
      </w:r>
      <w:r>
        <w:t>n</w:t>
      </w:r>
      <w:r>
        <w:t xml:space="preserve">terscheiden sich kategoriell (oft befinden sie sich auf verschiedenen Ebenen; vgl. Abschnitt </w:t>
      </w:r>
      <w:r w:rsidR="005D7996">
        <w:fldChar w:fldCharType="begin"/>
      </w:r>
      <w:r>
        <w:instrText xml:space="preserve"> REF _Ref212111029 \r \h </w:instrText>
      </w:r>
      <w:r w:rsidR="005D7996">
        <w:fldChar w:fldCharType="separate"/>
      </w:r>
      <w:r w:rsidR="001231D3">
        <w:t>4.2.3</w:t>
      </w:r>
      <w:r w:rsidR="005D7996">
        <w:fldChar w:fldCharType="end"/>
      </w:r>
      <w:r>
        <w:t>) und stehen auch darüber hinaus in unterschiedlichen Beziehu</w:t>
      </w:r>
      <w:r>
        <w:t>n</w:t>
      </w:r>
      <w:r>
        <w:t>gen zueinander – so wie etwa die Farben in komplexen Verhältnissen zu den Materialien stehen, die sie teilweise determinieren; dabei kann nach unterschie</w:t>
      </w:r>
      <w:r>
        <w:t>d</w:t>
      </w:r>
      <w:r>
        <w:t>lichen Beschreibungsebenen</w:t>
      </w:r>
      <w:r w:rsidR="005D7996">
        <w:fldChar w:fldCharType="begin"/>
      </w:r>
      <w:r w:rsidR="000623C8">
        <w:instrText xml:space="preserve"> XE "</w:instrText>
      </w:r>
      <w:r w:rsidR="000623C8" w:rsidRPr="0039734C">
        <w:instrText>Beschreibungsebene</w:instrText>
      </w:r>
      <w:r w:rsidR="000623C8">
        <w:instrText xml:space="preserve">" </w:instrText>
      </w:r>
      <w:r w:rsidR="005D7996">
        <w:fldChar w:fldCharType="end"/>
      </w:r>
      <w:r>
        <w:t>, Abstraktionsgraden usw. unterschieden werden. Wie die Realisierungsstellen in eine Anordnung überführt</w:t>
      </w:r>
      <w:r w:rsidR="00E4760F">
        <w:t xml:space="preserve"> werden, ist nicht en</w:t>
      </w:r>
      <w:r w:rsidR="00E4760F">
        <w:t>t</w:t>
      </w:r>
      <w:r w:rsidR="00E4760F">
        <w:t>scheidend</w:t>
      </w:r>
      <w:r w:rsidR="00BD502A">
        <w:t xml:space="preserve"> und </w:t>
      </w:r>
      <w:r>
        <w:t>kann bereichsspezifischen Stiltheorien</w:t>
      </w:r>
      <w:r w:rsidR="005D7996">
        <w:fldChar w:fldCharType="begin"/>
      </w:r>
      <w:r w:rsidR="00FB6293">
        <w:instrText xml:space="preserve"> XE "</w:instrText>
      </w:r>
      <w:r w:rsidR="00FB6293" w:rsidRPr="00E10FCF">
        <w:instrText>bereichsspezifische Stiltheorie</w:instrText>
      </w:r>
      <w:r w:rsidR="00FB6293">
        <w:instrText xml:space="preserve">n" </w:instrText>
      </w:r>
      <w:r w:rsidR="005D7996">
        <w:fldChar w:fldCharType="end"/>
      </w:r>
      <w:r>
        <w:t xml:space="preserve"> vorbehalten bleiben. Eine solche Stiltheorie kann einen 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t xml:space="preserve"> oder eine Anleitung aufstellen, womit für den fraglichen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eine Funktion von der Menge aller den</w:t>
      </w:r>
      <w:r>
        <w:t>k</w:t>
      </w:r>
      <w:r>
        <w:t xml:space="preserve">baren Realisierungen in die Menge der Anordnungen von Realisierungsstellen spezifiziert wird. Dies hätte den Vorteil, dass </w:t>
      </w:r>
      <w:r w:rsidR="0022253A">
        <w:t>bei Beschreibungen von Schem</w:t>
      </w:r>
      <w:r w:rsidR="0022253A">
        <w:t>a</w:t>
      </w:r>
      <w:r w:rsidR="0022253A">
        <w:t xml:space="preserve">ausführungen die Bildung einer Anordnung von </w:t>
      </w:r>
      <w:r w:rsidR="00721558">
        <w:t>Alter</w:t>
      </w:r>
      <w:r w:rsidR="00721558">
        <w:softHyphen/>
        <w:t>nativen</w:t>
      </w:r>
      <w:r w:rsidR="00721558">
        <w:softHyphen/>
        <w:t>klasse</w:t>
      </w:r>
      <w:r w:rsidR="0022253A">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rsidR="0022253A">
        <w:t xml:space="preserve"> immer auf dieselbe </w:t>
      </w:r>
      <w:r>
        <w:t>Weise behandel</w:t>
      </w:r>
      <w:r w:rsidR="0022253A">
        <w:t>t</w:t>
      </w:r>
      <w:r>
        <w:t xml:space="preserve"> würde</w:t>
      </w:r>
      <w:r w:rsidR="00817459">
        <w:t>.</w:t>
      </w:r>
    </w:p>
    <w:p w:rsidR="00D2554C" w:rsidRDefault="00D2554C">
      <w:pPr>
        <w:pStyle w:val="Text"/>
      </w:pPr>
      <w:r>
        <w:t xml:space="preserve">Man sollte allerdings im Kopf behalten, dass es sich dabei um ein reines Darstellungsproblem handelt. In der Wirklichkeit der Stilwahrnehmung müssen wir die betrachteten Realisierungen nicht in eine </w:t>
      </w:r>
      <w:r w:rsidR="0058676E">
        <w:t>ein</w:t>
      </w:r>
      <w:r>
        <w:t xml:space="preserve">dimensionale Anordnung überführen; wir können mit komplexeren Verhältnissen umgehen und haben ja auch die konkrete Realisierung vor uns, die uns als Hilfe für die Zuordnung von Realisierungsstellen dient. Auch in unserem Modell ist es nicht nötig für die Anwendung der Theorie, dass verschiedene Anwender dieselbe Anordnung von </w:t>
      </w:r>
      <w:r>
        <w:lastRenderedPageBreak/>
        <w:t xml:space="preserve">Realisierungsstellen verwenden, denn die Einwirkung der </w:t>
      </w:r>
      <w:r w:rsidR="00765E66">
        <w:t>Merkmalsregel</w:t>
      </w:r>
      <w:r>
        <w:t xml:space="preserve">n auf die </w:t>
      </w:r>
      <w:r w:rsidR="00721558">
        <w:t>Alter</w:t>
      </w:r>
      <w:r w:rsidR="00721558">
        <w:softHyphen/>
        <w:t>nativen</w:t>
      </w:r>
      <w:r w:rsidR="00721558">
        <w:softHyphen/>
        <w:t>klasse</w:t>
      </w:r>
      <w:r>
        <w:t xml:space="preserve">n ist von der Reihenfolge, in der diese </w:t>
      </w:r>
      <w:r w:rsidR="003E3335">
        <w:t xml:space="preserve">durchgegangen </w:t>
      </w:r>
      <w:r>
        <w:t>we</w:t>
      </w:r>
      <w:r>
        <w:t>r</w:t>
      </w:r>
      <w:r>
        <w:t>den, unabhängig.</w:t>
      </w:r>
      <w:bookmarkStart w:id="219" w:name="_Ref212112299"/>
      <w:r>
        <w:rPr>
          <w:rStyle w:val="Funotenzeichen"/>
        </w:rPr>
        <w:footnoteReference w:id="337"/>
      </w:r>
      <w:bookmarkEnd w:id="219"/>
      <w:r>
        <w:t xml:space="preserve"> Während die Reihenfolge der Anwendung der </w:t>
      </w:r>
      <w:r w:rsidR="00765E66">
        <w:t>Merkmalsr</w:t>
      </w:r>
      <w:r w:rsidR="00765E66">
        <w:t>e</w:t>
      </w:r>
      <w:r w:rsidR="00765E66">
        <w:t>gel</w:t>
      </w:r>
      <w:r>
        <w:t xml:space="preserve">n von größter Wichtigkeit ist, weil sie zu ganz unterschiedlichen Ergebnissen führt, ist die Reihenfolge der </w:t>
      </w:r>
      <w:r w:rsidR="00721558">
        <w:t>Alter</w:t>
      </w:r>
      <w:r w:rsidR="00721558">
        <w:softHyphen/>
        <w:t>nativen</w:t>
      </w:r>
      <w:r w:rsidR="00721558">
        <w:softHyphen/>
        <w:t>klasse</w:t>
      </w:r>
      <w:r w:rsidR="00D56200">
        <w:t>n</w:t>
      </w:r>
      <w:r>
        <w:t xml:space="preserve"> innerhalb von </w:t>
      </w:r>
      <w:r>
        <w:rPr>
          <w:i/>
          <w:iCs/>
        </w:rPr>
        <w:t>A</w:t>
      </w:r>
      <w:r>
        <w:t xml:space="preserve"> (und damit auch die Reihenfolge der Realisierungsstellen der entstehenden Realisierung </w:t>
      </w:r>
      <w:r>
        <w:rPr>
          <w:i/>
          <w:iCs/>
        </w:rPr>
        <w:t>R</w:t>
      </w:r>
      <w:r>
        <w:t>) für die Einwirkung nicht relevant.</w:t>
      </w:r>
      <w:r w:rsidR="00D56200">
        <w:rPr>
          <w:rStyle w:val="Funotenzeichen"/>
        </w:rPr>
        <w:footnoteReference w:id="338"/>
      </w:r>
    </w:p>
    <w:p w:rsidR="00E4760F" w:rsidRDefault="00D2554C">
      <w:pPr>
        <w:pStyle w:val="Text"/>
      </w:pPr>
      <w:r>
        <w:t>Wie aber entstehen Realisierungen? In der vorliegenden Theorie wird davon ausgegangen, dass hierzu ein mehrstufiger Auswahlprozess stattfindet, der als „</w:t>
      </w:r>
      <w:r w:rsidR="00B7173B">
        <w:t>Schemaausführung</w:t>
      </w:r>
      <w:r>
        <w:t>“ bezeichnet werden soll. In diesem Prozess wird zunächst ein Schema gewählt; dann wird eine Anordnung von Realisierungsstellen festg</w:t>
      </w:r>
      <w:r>
        <w:t>e</w:t>
      </w:r>
      <w:r>
        <w:t>legt, für die jeweils ein bestimmter Schemaort gilt; daraufhin wird für jede dieser Realisierungsstellen (</w:t>
      </w:r>
      <w:r w:rsidR="00382FCA">
        <w:t xml:space="preserve">eventuell </w:t>
      </w:r>
      <w:r>
        <w:t xml:space="preserve">unter </w:t>
      </w:r>
      <w:r w:rsidR="00382FCA">
        <w:t xml:space="preserve">Annahme </w:t>
      </w:r>
      <w:r>
        <w:t xml:space="preserve">von Zusatzbedingungen) eine </w:t>
      </w:r>
      <w:r w:rsidR="00721558">
        <w:t>Alter</w:t>
      </w:r>
      <w:r w:rsidR="00721558">
        <w:softHyphen/>
        <w:t>nativen</w:t>
      </w:r>
      <w:r w:rsidR="00721558">
        <w:softHyphen/>
        <w:t>klasse</w:t>
      </w:r>
      <w:r>
        <w:t xml:space="preserve"> gebildet; aus dieser wird schließlich ein Element ausgewählt, wobei auch die stilistischen Regeln </w:t>
      </w:r>
      <w:r w:rsidR="00674A1C">
        <w:t xml:space="preserve">eingeschrieben </w:t>
      </w:r>
      <w:r>
        <w:t>werden. Auf diese Art en</w:t>
      </w:r>
      <w:r>
        <w:t>t</w:t>
      </w:r>
      <w:r>
        <w:t xml:space="preserve">steht eine Anordnung von Realisierungsstellen, die jeweils von einem Element gefüllt sind – eine Realisierung. Der Prozess wird in Abschnitt </w:t>
      </w:r>
      <w:r w:rsidR="005D7996">
        <w:fldChar w:fldCharType="begin"/>
      </w:r>
      <w:r>
        <w:instrText xml:space="preserve"> REF _Ref212110965 \r \h </w:instrText>
      </w:r>
      <w:r w:rsidR="005D7996">
        <w:fldChar w:fldCharType="separate"/>
      </w:r>
      <w:r w:rsidR="001231D3">
        <w:t>5.2.2</w:t>
      </w:r>
      <w:r w:rsidR="005D7996">
        <w:fldChar w:fldCharType="end"/>
      </w:r>
      <w:r>
        <w:t xml:space="preserve"> sehr viel genauer beschrieben werden; für den Moment reicht es, im Kopf zu behalten, dass eine Realisierung immer einem bestimmten Schema angehört, das für jede Realisierungsstelle gilt, und dass zudem für jede Realisierungsstelle ein bestim</w:t>
      </w:r>
      <w:r>
        <w:t>m</w:t>
      </w:r>
      <w:r>
        <w:t>ter Schemaort dieses Schemas gewählt wird.</w:t>
      </w:r>
    </w:p>
    <w:p w:rsidR="0043614B" w:rsidRDefault="0043614B">
      <w:pPr>
        <w:pStyle w:val="Text"/>
      </w:pPr>
      <w:r>
        <w:lastRenderedPageBreak/>
        <w:t xml:space="preserve">Zu beachten ist, dass die Variable </w:t>
      </w:r>
      <w:r w:rsidRPr="00C00413">
        <w:rPr>
          <w:i/>
        </w:rPr>
        <w:t>R</w:t>
      </w:r>
      <w:r>
        <w:t xml:space="preserve"> beim </w:t>
      </w:r>
      <w:r w:rsidR="00BE695D">
        <w:t>Wahrnehmen</w:t>
      </w:r>
      <w:r>
        <w:t xml:space="preserve"> eines Stils</w:t>
      </w:r>
      <w:r w:rsidR="00522FD8">
        <w:rPr>
          <w:rStyle w:val="Funotenzeichen"/>
        </w:rPr>
        <w:footnoteReference w:id="339"/>
      </w:r>
      <w:r>
        <w:t xml:space="preserve"> mehr</w:t>
      </w:r>
      <w:r>
        <w:t>e</w:t>
      </w:r>
      <w:r>
        <w:t xml:space="preserve">re Realisierungen </w:t>
      </w:r>
      <w:r w:rsidR="00D02BDB">
        <w:t xml:space="preserve">desselben Schemas </w:t>
      </w:r>
      <w:r>
        <w:t xml:space="preserve">enthalten kann. Werden mehrere </w:t>
      </w:r>
      <w:r w:rsidR="00985976">
        <w:t>Realisi</w:t>
      </w:r>
      <w:r w:rsidR="00985976">
        <w:t>e</w:t>
      </w:r>
      <w:r w:rsidR="00985976">
        <w:t xml:space="preserve">rungen </w:t>
      </w:r>
      <w:r>
        <w:t xml:space="preserve">gleichzeitig untersucht, nehmen wir einfach an, dass </w:t>
      </w:r>
      <w:r w:rsidR="00985976">
        <w:t xml:space="preserve">sie </w:t>
      </w:r>
      <w:r>
        <w:t xml:space="preserve">in eine Variable </w:t>
      </w:r>
      <w:r w:rsidRPr="0043614B">
        <w:rPr>
          <w:i/>
        </w:rPr>
        <w:t>R</w:t>
      </w:r>
      <w:r>
        <w:t xml:space="preserve"> zusammengefügt werden. Dies ist etwa der Fall, wenn mehrere Gebäude eines Architekten,</w:t>
      </w:r>
      <w:r>
        <w:rPr>
          <w:rStyle w:val="Funotenzeichen"/>
        </w:rPr>
        <w:footnoteReference w:id="340"/>
      </w:r>
      <w:r>
        <w:t xml:space="preserve"> mehrere Texte eines Schriftstellers</w:t>
      </w:r>
      <w:r>
        <w:rPr>
          <w:rStyle w:val="Funotenzeichen"/>
        </w:rPr>
        <w:footnoteReference w:id="341"/>
      </w:r>
      <w:r>
        <w:t xml:space="preserve"> oder mehrere Musikstücke einer Stilrichtung</w:t>
      </w:r>
      <w:r>
        <w:rPr>
          <w:rStyle w:val="Funotenzeichen"/>
        </w:rPr>
        <w:footnoteReference w:id="342"/>
      </w:r>
      <w:r>
        <w:t xml:space="preserve"> zusammen untersucht werden. </w:t>
      </w:r>
      <w:r w:rsidR="00E621A5">
        <w:t xml:space="preserve">(Alternativ kann </w:t>
      </w:r>
      <w:r w:rsidR="00DC0502">
        <w:t xml:space="preserve">in solchen Fällen </w:t>
      </w:r>
      <w:r w:rsidR="00E621A5">
        <w:t xml:space="preserve">der Stil </w:t>
      </w:r>
      <w:r w:rsidR="00DC0502">
        <w:t xml:space="preserve">jeder </w:t>
      </w:r>
      <w:r w:rsidR="00E621A5">
        <w:t xml:space="preserve">Realisierung einzeln untersucht und </w:t>
      </w:r>
      <w:r w:rsidR="00DC0502">
        <w:t xml:space="preserve">dann </w:t>
      </w:r>
      <w:r w:rsidR="00E621A5">
        <w:t xml:space="preserve">nach bestimmten Kriterien Einzel- oder Gruppenstile gebildet werden; vgl. Abschnitt </w:t>
      </w:r>
      <w:r w:rsidR="005D7996">
        <w:fldChar w:fldCharType="begin"/>
      </w:r>
      <w:r w:rsidR="00E621A5">
        <w:instrText xml:space="preserve"> REF _Ref268163246 \r \h </w:instrText>
      </w:r>
      <w:r w:rsidR="005D7996">
        <w:fldChar w:fldCharType="separate"/>
      </w:r>
      <w:r w:rsidR="001231D3">
        <w:t>8.3.1</w:t>
      </w:r>
      <w:r w:rsidR="005D7996">
        <w:fldChar w:fldCharType="end"/>
      </w:r>
      <w:r w:rsidR="00DC0502">
        <w:t>.</w:t>
      </w:r>
      <w:r w:rsidR="00E621A5">
        <w:t xml:space="preserve">) </w:t>
      </w:r>
      <w:r>
        <w:t xml:space="preserve">Das </w:t>
      </w:r>
      <w:r w:rsidR="002473EA">
        <w:t>Anwenden</w:t>
      </w:r>
      <w:r>
        <w:t xml:space="preserve"> eines Stils erfolgt dagegen stets separat für jede Realisierung.</w:t>
      </w:r>
      <w:r>
        <w:rPr>
          <w:rStyle w:val="Funotenzeichen"/>
        </w:rPr>
        <w:footnoteReference w:id="343"/>
      </w:r>
    </w:p>
    <w:p w:rsidR="00D2554C" w:rsidRDefault="00D2554C">
      <w:pPr>
        <w:pStyle w:val="Titel3"/>
      </w:pPr>
      <w:bookmarkStart w:id="220" w:name="_Ref212112234"/>
      <w:bookmarkStart w:id="221" w:name="_Toc325456736"/>
      <w:r>
        <w:t>Darstellung</w:t>
      </w:r>
      <w:bookmarkEnd w:id="220"/>
      <w:bookmarkEnd w:id="221"/>
    </w:p>
    <w:p w:rsidR="00D2554C" w:rsidRDefault="00D2554C" w:rsidP="00F03E25">
      <w:pPr>
        <w:pStyle w:val="Text"/>
        <w:ind w:firstLine="0"/>
      </w:pPr>
      <w:r>
        <w:t xml:space="preserve">Eine Realisierung wird also als Anordnung von Realisierungsstellen beschrieben. Jede Realisierungsstelle wird von einem konkreten Element </w:t>
      </w:r>
      <w:r>
        <w:rPr>
          <w:i/>
          <w:iCs/>
        </w:rPr>
        <w:t>x</w:t>
      </w:r>
      <w:r>
        <w:t xml:space="preserve"> gefüllt. Die Real</w:t>
      </w:r>
      <w:r>
        <w:t>i</w:t>
      </w:r>
      <w:r>
        <w:t xml:space="preserve">sierungsstellen einer Realisierung </w:t>
      </w:r>
      <w:r>
        <w:rPr>
          <w:i/>
        </w:rPr>
        <w:t>R</w:t>
      </w:r>
      <w:r>
        <w:t xml:space="preserve"> gehören alle demselben Schema </w:t>
      </w:r>
      <w:r>
        <w:rPr>
          <w:i/>
        </w:rPr>
        <w:t>S</w:t>
      </w:r>
      <w:r>
        <w:rPr>
          <w:i/>
          <w:vertAlign w:val="subscript"/>
        </w:rPr>
        <w:t>i</w:t>
      </w:r>
      <w:r w:rsidR="00E959C7">
        <w:t xml:space="preserve"> an,</w:t>
      </w:r>
      <w:r>
        <w:t xml:space="preserve"> um dies zu sichern, müssen Schemata geeignet gewählt werden: S</w:t>
      </w:r>
      <w:r w:rsidR="004F65A7">
        <w:t>ie müssen die Schemaorte bereit</w:t>
      </w:r>
      <w:r>
        <w:t xml:space="preserve">stellen, die nötig sind, um </w:t>
      </w:r>
      <w:r w:rsidR="00E959C7">
        <w:t xml:space="preserve">die </w:t>
      </w:r>
      <w:r>
        <w:t>Realisierung</w:t>
      </w:r>
      <w:r w:rsidR="00E959C7">
        <w:t>en</w:t>
      </w:r>
      <w:r>
        <w:t xml:space="preserve"> </w:t>
      </w:r>
      <w:r w:rsidR="00E959C7">
        <w:t xml:space="preserve">des Schemas </w:t>
      </w:r>
      <w:r>
        <w:t>vol</w:t>
      </w:r>
      <w:r>
        <w:t>l</w:t>
      </w:r>
      <w:r>
        <w:t>ständig beschreiben zu können.</w:t>
      </w:r>
    </w:p>
    <w:p w:rsidR="00D2554C" w:rsidRDefault="00D2554C">
      <w:pPr>
        <w:pStyle w:val="Text"/>
      </w:pPr>
      <w:r>
        <w:t>Für eine Realisierung könnten verschiedene Darstellungsweisen gewählt werden. Wir erinnern uns, dass wir bereits eine Anordnung von Realisierung</w:t>
      </w:r>
      <w:r>
        <w:t>s</w:t>
      </w:r>
      <w:r>
        <w:t xml:space="preserve">stellen erzeugt haben. Es erscheint bequem, einfach jedes Element </w:t>
      </w:r>
      <w:r>
        <w:rPr>
          <w:i/>
          <w:iCs/>
        </w:rPr>
        <w:t>x</w:t>
      </w:r>
      <w:r>
        <w:t xml:space="preserve"> mit einem Index zu versehen, der der Position der von ihm gefüllten Realisierungsstelle innerhalb der Anordnung entspricht. Nun fassen wir alle Elemente </w:t>
      </w:r>
      <w:r>
        <w:rPr>
          <w:i/>
          <w:iCs/>
        </w:rPr>
        <w:t>x</w:t>
      </w:r>
      <w:r>
        <w:t xml:space="preserve"> zur </w:t>
      </w:r>
      <w:r w:rsidR="00495753">
        <w:t>geor</w:t>
      </w:r>
      <w:r w:rsidR="00495753">
        <w:t>d</w:t>
      </w:r>
      <w:r w:rsidR="00495753">
        <w:t xml:space="preserve">neten </w:t>
      </w:r>
      <w:r>
        <w:t xml:space="preserve">Menge </w:t>
      </w:r>
      <w:r>
        <w:rPr>
          <w:i/>
          <w:iCs/>
        </w:rPr>
        <w:t>R</w:t>
      </w:r>
      <w:r w:rsidR="00495753">
        <w:t xml:space="preserve"> zusammen: </w:t>
      </w:r>
      <w:r w:rsidR="00495753">
        <w:rPr>
          <w:i/>
        </w:rPr>
        <w:t>R</w:t>
      </w:r>
      <w:r w:rsidR="00495753">
        <w:t xml:space="preserve"> = {</w:t>
      </w:r>
      <w:r w:rsidR="00495753">
        <w:rPr>
          <w:i/>
        </w:rPr>
        <w:t>x</w:t>
      </w:r>
      <w:r w:rsidR="00495753">
        <w:rPr>
          <w:vertAlign w:val="subscript"/>
        </w:rPr>
        <w:t>1</w:t>
      </w:r>
      <w:r w:rsidR="00495753">
        <w:t xml:space="preserve">, </w:t>
      </w:r>
      <w:r w:rsidR="00495753">
        <w:rPr>
          <w:i/>
        </w:rPr>
        <w:t>x</w:t>
      </w:r>
      <w:r w:rsidR="00495753">
        <w:rPr>
          <w:vertAlign w:val="subscript"/>
        </w:rPr>
        <w:t>2</w:t>
      </w:r>
      <w:r w:rsidR="00495753">
        <w:t xml:space="preserve">,… </w:t>
      </w:r>
      <w:r w:rsidR="00495753">
        <w:rPr>
          <w:i/>
        </w:rPr>
        <w:t>x</w:t>
      </w:r>
      <w:r w:rsidR="00495753">
        <w:rPr>
          <w:i/>
          <w:vertAlign w:val="subscript"/>
        </w:rPr>
        <w:t>n</w:t>
      </w:r>
      <w:r w:rsidR="00495753">
        <w:t>}.</w:t>
      </w:r>
    </w:p>
    <w:p w:rsidR="00495753" w:rsidRDefault="00495753">
      <w:pPr>
        <w:pStyle w:val="Text"/>
      </w:pPr>
      <w:r>
        <w:t xml:space="preserve">Durch die Bildungsweise entspricht die Ordnung von </w:t>
      </w:r>
      <w:r>
        <w:rPr>
          <w:i/>
          <w:iCs/>
        </w:rPr>
        <w:t>R</w:t>
      </w:r>
      <w:r>
        <w:t xml:space="preserve"> den Indizes der d</w:t>
      </w:r>
      <w:r>
        <w:t>a</w:t>
      </w:r>
      <w:r>
        <w:t xml:space="preserve">rin gespeicherten Elemente. Nach der Bildung der Realisierung wird </w:t>
      </w:r>
      <w:r w:rsidRPr="004259F6">
        <w:rPr>
          <w:i/>
        </w:rPr>
        <w:t>x</w:t>
      </w:r>
      <w:r w:rsidRPr="004259F6">
        <w:rPr>
          <w:i/>
          <w:vertAlign w:val="subscript"/>
        </w:rPr>
        <w:t>k</w:t>
      </w:r>
      <w:r>
        <w:t xml:space="preserve"> daher als </w:t>
      </w:r>
      <w:r>
        <w:rPr>
          <w:i/>
        </w:rPr>
        <w:t>R</w:t>
      </w:r>
      <w:r w:rsidRPr="004259F6">
        <w:rPr>
          <w:i/>
          <w:vertAlign w:val="subscript"/>
        </w:rPr>
        <w:t>k</w:t>
      </w:r>
      <w:r>
        <w:t xml:space="preserve">, das </w:t>
      </w:r>
      <w:r w:rsidRPr="00495753">
        <w:rPr>
          <w:i/>
        </w:rPr>
        <w:t>k</w:t>
      </w:r>
      <w:r>
        <w:t xml:space="preserve">te Element von </w:t>
      </w:r>
      <w:r w:rsidRPr="00495753">
        <w:rPr>
          <w:i/>
        </w:rPr>
        <w:t>R</w:t>
      </w:r>
      <w:r>
        <w:t>, aufgerufen.</w:t>
      </w:r>
    </w:p>
    <w:p w:rsidR="00B90827" w:rsidRDefault="00495753">
      <w:pPr>
        <w:pStyle w:val="Text"/>
      </w:pPr>
      <w:r>
        <w:rPr>
          <w:i/>
          <w:iCs/>
        </w:rPr>
        <w:t>R</w:t>
      </w:r>
      <w:r>
        <w:t xml:space="preserve"> stellt also eine </w:t>
      </w:r>
      <w:r w:rsidR="00D2554C">
        <w:t xml:space="preserve">Anordnung </w:t>
      </w:r>
      <w:r>
        <w:t xml:space="preserve">von </w:t>
      </w:r>
      <w:r w:rsidR="00D2554C">
        <w:t>Realisierungsstellen</w:t>
      </w:r>
      <w:r>
        <w:t xml:space="preserve"> dar</w:t>
      </w:r>
      <w:r w:rsidR="00D2554C">
        <w:t xml:space="preserve">. Jedes Element </w:t>
      </w:r>
      <w:r>
        <w:rPr>
          <w:i/>
        </w:rPr>
        <w:t>R</w:t>
      </w:r>
      <w:r w:rsidR="00D2554C">
        <w:rPr>
          <w:i/>
          <w:vertAlign w:val="subscript"/>
        </w:rPr>
        <w:t>k</w:t>
      </w:r>
      <w:r w:rsidR="00D2554C">
        <w:t xml:space="preserve"> muss einem bestimmten Schemaort eines bestimmten Schemas zugeordnet we</w:t>
      </w:r>
      <w:r w:rsidR="00D2554C">
        <w:t>r</w:t>
      </w:r>
      <w:r w:rsidR="00D2554C">
        <w:t>den können. Um welche es sich dabei handelt, ergibt sich aus der Auswahl des Schemas und der Schemaorte für die einzelnen Realisierungsstellen. Wenn be</w:t>
      </w:r>
      <w:r w:rsidR="00D2554C">
        <w:t>i</w:t>
      </w:r>
      <w:r w:rsidR="00D2554C">
        <w:t xml:space="preserve">spielsweise für die Realisierung das Schema </w:t>
      </w:r>
      <w:r w:rsidR="007E4D87">
        <w:rPr>
          <w:i/>
          <w:iCs/>
        </w:rPr>
        <w:t>S</w:t>
      </w:r>
      <w:r w:rsidR="007E4D87">
        <w:rPr>
          <w:i/>
          <w:vertAlign w:val="subscript"/>
        </w:rPr>
        <w:t>i</w:t>
      </w:r>
      <w:r w:rsidR="00D2554C">
        <w:t xml:space="preserve"> und für die </w:t>
      </w:r>
      <w:r w:rsidR="00D2554C">
        <w:rPr>
          <w:i/>
          <w:iCs/>
        </w:rPr>
        <w:t>k</w:t>
      </w:r>
      <w:r w:rsidR="00D2554C">
        <w:t xml:space="preserve">te Realisierungsstelle </w:t>
      </w:r>
      <w:r w:rsidR="00D2554C">
        <w:lastRenderedPageBreak/>
        <w:t xml:space="preserve">der Schemaort </w:t>
      </w:r>
      <w:r w:rsidR="007E4D87">
        <w:rPr>
          <w:i/>
          <w:iCs/>
        </w:rPr>
        <w:t>O</w:t>
      </w:r>
      <w:r w:rsidR="007E4D87">
        <w:rPr>
          <w:i/>
          <w:vertAlign w:val="subscript"/>
        </w:rPr>
        <w:t>j</w:t>
      </w:r>
      <w:r w:rsidR="00B90827">
        <w:t xml:space="preserve"> festgelegt </w:t>
      </w:r>
      <w:r w:rsidR="007E4D87">
        <w:t xml:space="preserve">und die Zusatzbedingungen </w:t>
      </w:r>
      <w:r w:rsidR="007E4D87">
        <w:rPr>
          <w:rFonts w:cs="Times New Roman"/>
          <w:i/>
        </w:rPr>
        <w:t>Z</w:t>
      </w:r>
      <w:r w:rsidR="007E4D87">
        <w:rPr>
          <w:rFonts w:cs="Times New Roman"/>
          <w:i/>
          <w:vertAlign w:val="subscript"/>
        </w:rPr>
        <w:t>W</w:t>
      </w:r>
      <w:r w:rsidR="007E4D87">
        <w:t xml:space="preserve"> ausgewählt wurden</w:t>
      </w:r>
      <w:r w:rsidR="00B90827">
        <w:t>, dann gilt:</w:t>
      </w:r>
    </w:p>
    <w:p w:rsidR="007E4D87" w:rsidRPr="004259F6" w:rsidRDefault="00495753" w:rsidP="00DF2599">
      <w:pPr>
        <w:pStyle w:val="Formel"/>
        <w:spacing w:before="240" w:after="240"/>
      </w:pPr>
      <w:r>
        <w:rPr>
          <w:i/>
        </w:rPr>
        <w:t>R</w:t>
      </w:r>
      <w:r w:rsidR="007E4D87" w:rsidRPr="004259F6">
        <w:rPr>
          <w:i/>
          <w:vertAlign w:val="subscript"/>
        </w:rPr>
        <w:t>k</w:t>
      </w:r>
      <w:r w:rsidR="007E4D87" w:rsidRPr="004259F6">
        <w:t xml:space="preserve"> </w:t>
      </w:r>
      <w:r w:rsidR="00E235A0" w:rsidRPr="00E235A0">
        <w:rPr>
          <w:rFonts w:ascii="Cambria Math" w:eastAsia="Arial Unicode MS" w:hAnsi="Cambria Math" w:cs="Arial Unicode MS"/>
          <w:color w:val="000000" w:themeColor="text1"/>
        </w:rPr>
        <w:t>∊</w:t>
      </w:r>
      <w:r w:rsidR="007E4D87" w:rsidRPr="004259F6">
        <w:t xml:space="preserve"> {</w:t>
      </w:r>
      <w:r w:rsidR="007E4D87" w:rsidRPr="004259F6">
        <w:rPr>
          <w:i/>
        </w:rPr>
        <w:t>x</w:t>
      </w:r>
      <w:r w:rsidR="007E4D87" w:rsidRPr="004259F6">
        <w:rPr>
          <w:color w:val="000000" w:themeColor="text1"/>
        </w:rPr>
        <w:t xml:space="preserve"> </w:t>
      </w:r>
      <w:r w:rsidR="00E235A0" w:rsidRPr="00E235A0">
        <w:rPr>
          <w:rFonts w:ascii="Cambria Math" w:eastAsia="Arial Unicode MS" w:hAnsi="Cambria Math" w:cs="Arial Unicode MS"/>
          <w:color w:val="000000" w:themeColor="text1"/>
        </w:rPr>
        <w:t>∊</w:t>
      </w:r>
      <w:r w:rsidR="007E4D87" w:rsidRPr="004259F6">
        <w:rPr>
          <w:rFonts w:cs="Times New Roman"/>
        </w:rPr>
        <w:t xml:space="preserve"> </w:t>
      </w:r>
      <w:r w:rsidR="007E4D87" w:rsidRPr="004259F6">
        <w:rPr>
          <w:i/>
        </w:rPr>
        <w:t>M</w:t>
      </w:r>
      <w:r w:rsidR="007E4D87">
        <w:rPr>
          <w:i/>
          <w:vertAlign w:val="subscript"/>
        </w:rPr>
        <w:t>Al</w:t>
      </w:r>
      <w:r w:rsidR="007E4D87" w:rsidRPr="004259F6">
        <w:rPr>
          <w:i/>
          <w:vertAlign w:val="subscript"/>
        </w:rPr>
        <w:t>t</w:t>
      </w:r>
      <w:r w:rsidR="007E4D87" w:rsidRPr="004259F6">
        <w:t xml:space="preserve"> | </w:t>
      </w:r>
      <w:r w:rsidR="00A356A1">
        <w:t>(</w:t>
      </w:r>
      <w:r w:rsidR="004C2DEA">
        <w:rPr>
          <w:i/>
          <w:iCs/>
        </w:rPr>
        <w:t>Ob</w:t>
      </w:r>
      <w:r w:rsidR="004C2DEA">
        <w:t>(</w:t>
      </w:r>
      <w:r w:rsidR="007E4D87">
        <w:rPr>
          <w:i/>
          <w:iCs/>
        </w:rPr>
        <w:t>O</w:t>
      </w:r>
      <w:r w:rsidR="007E4D87">
        <w:rPr>
          <w:i/>
          <w:vertAlign w:val="subscript"/>
        </w:rPr>
        <w:t>j</w:t>
      </w:r>
      <w:r w:rsidR="007E4D87">
        <w:t>(</w:t>
      </w:r>
      <w:r w:rsidR="007E4D87">
        <w:rPr>
          <w:i/>
          <w:iCs/>
        </w:rPr>
        <w:t>S</w:t>
      </w:r>
      <w:r w:rsidR="007E4D87">
        <w:rPr>
          <w:i/>
          <w:vertAlign w:val="subscript"/>
        </w:rPr>
        <w:t>i</w:t>
      </w:r>
      <w:r w:rsidR="007E4D87">
        <w:t>)</w:t>
      </w:r>
      <w:r w:rsidR="004C2DEA">
        <w:t>)</w:t>
      </w:r>
      <w:r w:rsidR="007E4D87">
        <w:rPr>
          <w:rFonts w:cs="Times New Roman"/>
        </w:rPr>
        <w:t xml:space="preserve"> </w:t>
      </w:r>
      <w:r w:rsidR="00E535E0" w:rsidRPr="00E535E0">
        <w:rPr>
          <w:rFonts w:ascii="Cambria Math" w:eastAsia="Arial Unicode MS" w:hAnsi="Cambria Math" w:cs="Arial Unicode MS"/>
          <w:color w:val="000000" w:themeColor="text1"/>
        </w:rPr>
        <w:t>∪</w:t>
      </w:r>
      <w:r w:rsidR="007E4D87">
        <w:rPr>
          <w:rFonts w:eastAsia="Arial Unicode MS" w:cs="Times New Roman"/>
        </w:rPr>
        <w:t xml:space="preserve"> (</w:t>
      </w:r>
      <w:r w:rsidR="007E4D87">
        <w:rPr>
          <w:rFonts w:cs="Times New Roman"/>
          <w:i/>
        </w:rPr>
        <w:t>Z</w:t>
      </w:r>
      <w:r w:rsidR="007E4D87">
        <w:rPr>
          <w:rFonts w:cs="Times New Roman"/>
          <w:i/>
          <w:vertAlign w:val="subscript"/>
        </w:rPr>
        <w:t>W</w:t>
      </w:r>
      <w:r w:rsidR="007E4D87" w:rsidRPr="00951A95">
        <w:rPr>
          <w:i/>
          <w:color w:val="000000" w:themeColor="text1"/>
        </w:rPr>
        <w:t xml:space="preserve"> </w:t>
      </w:r>
      <w:r w:rsidR="007E4D87" w:rsidRPr="00E535E0">
        <w:rPr>
          <w:rFonts w:ascii="Cambria Math" w:eastAsia="Arial Unicode MS" w:hAnsi="Cambria Math" w:cs="Times New Roman"/>
        </w:rPr>
        <w:t>⊆</w:t>
      </w:r>
      <w:r w:rsidR="004C2DEA">
        <w:rPr>
          <w:rFonts w:eastAsia="Arial Unicode MS" w:cs="Times New Roman"/>
        </w:rPr>
        <w:t xml:space="preserve"> </w:t>
      </w:r>
      <w:r w:rsidR="004C2DEA">
        <w:rPr>
          <w:i/>
          <w:iCs/>
        </w:rPr>
        <w:t>Zb</w:t>
      </w:r>
      <w:r w:rsidR="004C2DEA">
        <w:t>(</w:t>
      </w:r>
      <w:r w:rsidR="004C2DEA">
        <w:rPr>
          <w:i/>
          <w:iCs/>
        </w:rPr>
        <w:t>O</w:t>
      </w:r>
      <w:r w:rsidR="007E4D87">
        <w:rPr>
          <w:i/>
          <w:vertAlign w:val="subscript"/>
        </w:rPr>
        <w:t>j</w:t>
      </w:r>
      <w:r w:rsidR="007E4D87">
        <w:t>(</w:t>
      </w:r>
      <w:r w:rsidR="007E4D87">
        <w:rPr>
          <w:i/>
          <w:iCs/>
        </w:rPr>
        <w:t>S</w:t>
      </w:r>
      <w:r w:rsidR="007E4D87">
        <w:rPr>
          <w:i/>
          <w:vertAlign w:val="subscript"/>
        </w:rPr>
        <w:t>i</w:t>
      </w:r>
      <w:r w:rsidR="007E4D87">
        <w:t>)</w:t>
      </w:r>
      <w:r w:rsidR="004C2DEA">
        <w:t>)</w:t>
      </w:r>
      <w:r w:rsidR="007E4D87">
        <w:rPr>
          <w:rFonts w:cs="Times New Roman"/>
        </w:rPr>
        <w:t>)</w:t>
      </w:r>
      <w:r w:rsidR="00A356A1">
        <w:rPr>
          <w:rFonts w:cs="Times New Roman"/>
        </w:rPr>
        <w:t>)</w:t>
      </w:r>
      <w:r w:rsidR="00730C79">
        <w:t>(</w:t>
      </w:r>
      <w:r w:rsidR="00730C79" w:rsidRPr="00730C79">
        <w:rPr>
          <w:i/>
        </w:rPr>
        <w:t>x</w:t>
      </w:r>
      <w:r w:rsidR="00730C79">
        <w:t>)</w:t>
      </w:r>
      <w:r w:rsidR="007E4D87" w:rsidRPr="004259F6">
        <w:t>}</w:t>
      </w:r>
    </w:p>
    <w:p w:rsidR="00747F91" w:rsidRDefault="00D2554C" w:rsidP="00F03E25">
      <w:pPr>
        <w:pStyle w:val="Text"/>
        <w:ind w:firstLine="0"/>
        <w:sectPr w:rsidR="00747F91" w:rsidSect="00AE48E3">
          <w:type w:val="continuous"/>
          <w:pgSz w:w="8789" w:h="13325" w:code="9"/>
          <w:pgMar w:top="1134" w:right="851" w:bottom="1418" w:left="1134" w:header="567" w:footer="680" w:gutter="0"/>
          <w:cols w:space="720"/>
          <w:titlePg/>
          <w:docGrid w:linePitch="360"/>
        </w:sectPr>
      </w:pPr>
      <w:r>
        <w:t>Bei der Wahrnehmung einer Realisierung erfolgt die Zerlegung in Realisierung</w:t>
      </w:r>
      <w:r>
        <w:t>s</w:t>
      </w:r>
      <w:r>
        <w:t>stellen, wobei die Aufteilung wiederum mit Hilfe von Schemata und Schemao</w:t>
      </w:r>
      <w:r>
        <w:t>r</w:t>
      </w:r>
      <w:r>
        <w:t>ten erfolgt. Wir sagen, jemand hat das Verhalten</w:t>
      </w:r>
      <w:r w:rsidR="007171A3">
        <w:t>, das Artefakt oder den Text</w:t>
      </w:r>
      <w:r>
        <w:t xml:space="preserve"> „verstanden</w:t>
      </w:r>
      <w:r w:rsidR="005D7996">
        <w:fldChar w:fldCharType="begin"/>
      </w:r>
      <w:r w:rsidR="00353707">
        <w:instrText xml:space="preserve"> XE "</w:instrText>
      </w:r>
      <w:r w:rsidR="00353707" w:rsidRPr="001C64D8">
        <w:instrText>Verstehen (einer Realisierung)</w:instrText>
      </w:r>
      <w:r w:rsidR="00353707">
        <w:instrText xml:space="preserve">" </w:instrText>
      </w:r>
      <w:r w:rsidR="005D7996">
        <w:fldChar w:fldCharType="end"/>
      </w:r>
      <w:r>
        <w:t xml:space="preserve">“. Für alle weitergehenden Prozesse (wie etwa </w:t>
      </w:r>
      <w:r w:rsidR="00400367">
        <w:t>das Wahrnehmen des Stils</w:t>
      </w:r>
      <w:r>
        <w:t>) ist dies die Voraussetzung. Gelingt die Zuordnung einer Realisierung zu einem Schema und die Zerlegung in Realisierungsstellen</w:t>
      </w:r>
      <w:r w:rsidR="007171A3">
        <w:t xml:space="preserve"> </w:t>
      </w:r>
      <w:r>
        <w:t>nicht, kann kein Stil wahrgenommen werden.</w:t>
      </w:r>
      <w:bookmarkStart w:id="222" w:name="_Ref271024515"/>
      <w:r w:rsidR="00853764">
        <w:rPr>
          <w:rStyle w:val="Funotenzeichen"/>
        </w:rPr>
        <w:footnoteReference w:id="344"/>
      </w:r>
      <w:bookmarkEnd w:id="218"/>
      <w:bookmarkEnd w:id="222"/>
    </w:p>
    <w:p w:rsidR="00D2554C" w:rsidRDefault="00647F41">
      <w:pPr>
        <w:pStyle w:val="Titel"/>
      </w:pPr>
      <w:bookmarkStart w:id="223" w:name="_Toc325456737"/>
      <w:bookmarkStart w:id="224" w:name="Merkmalsprozess2"/>
      <w:r>
        <w:lastRenderedPageBreak/>
        <w:t>Der Merkmalsprozess</w:t>
      </w:r>
      <w:bookmarkEnd w:id="223"/>
    </w:p>
    <w:p w:rsidR="00D2554C" w:rsidRDefault="005D2F76">
      <w:pPr>
        <w:pStyle w:val="Titel2"/>
      </w:pPr>
      <w:bookmarkStart w:id="225" w:name="_Ref263268288"/>
      <w:bookmarkStart w:id="226" w:name="_Toc325456738"/>
      <w:bookmarkStart w:id="227" w:name="Merkmalsprozess_Allg"/>
      <w:r>
        <w:t>Allgemeines</w:t>
      </w:r>
      <w:bookmarkEnd w:id="225"/>
      <w:bookmarkEnd w:id="226"/>
    </w:p>
    <w:p w:rsidR="00C715C7" w:rsidRDefault="005D7996" w:rsidP="00F03E25">
      <w:pPr>
        <w:pStyle w:val="Text"/>
        <w:ind w:firstLine="0"/>
      </w:pPr>
      <w:r>
        <w:fldChar w:fldCharType="begin"/>
      </w:r>
      <w:r w:rsidR="007116BA">
        <w:instrText xml:space="preserve"> XE "Merkmalsprozess" \r "Merkmalsprozess2" </w:instrText>
      </w:r>
      <w:r>
        <w:fldChar w:fldCharType="end"/>
      </w:r>
      <w:r>
        <w:fldChar w:fldCharType="begin"/>
      </w:r>
      <w:r w:rsidR="000137DF">
        <w:instrText xml:space="preserve"> XE "Zeichenträger" \r "Merkmalsprozess_Allg" </w:instrText>
      </w:r>
      <w:r>
        <w:fldChar w:fldCharType="end"/>
      </w:r>
      <w:r>
        <w:fldChar w:fldCharType="begin"/>
      </w:r>
      <w:r w:rsidR="00205E1C">
        <w:instrText xml:space="preserve"> XE "Zeicheninhalt" \r "Merkmalsprozess_Allg" </w:instrText>
      </w:r>
      <w:r>
        <w:fldChar w:fldCharType="end"/>
      </w:r>
      <w:r w:rsidR="00D2554C">
        <w:t xml:space="preserve">Um </w:t>
      </w:r>
      <w:r w:rsidR="0056759B">
        <w:t xml:space="preserve">das </w:t>
      </w:r>
      <w:r w:rsidR="002473EA">
        <w:t>Anwenden</w:t>
      </w:r>
      <w:r w:rsidR="0056759B">
        <w:t xml:space="preserve"> und </w:t>
      </w:r>
      <w:r w:rsidR="00BE695D">
        <w:t xml:space="preserve">Wahrnehmen </w:t>
      </w:r>
      <w:r w:rsidR="0056759B">
        <w:t xml:space="preserve">von Stilen </w:t>
      </w:r>
      <w:r w:rsidR="00D2554C">
        <w:t xml:space="preserve">genau analysieren zu können, unterscheiden wir zwischen zwei </w:t>
      </w:r>
      <w:r w:rsidR="000D1FE7">
        <w:t>P</w:t>
      </w:r>
      <w:r w:rsidR="00C53373">
        <w:t>rozessen: Merkmalsprozess und Interpretat</w:t>
      </w:r>
      <w:r w:rsidR="00C53373">
        <w:t>i</w:t>
      </w:r>
      <w:r w:rsidR="00C53373">
        <w:t>onsprozess.</w:t>
      </w:r>
      <w:r w:rsidR="00D2554C">
        <w:t xml:space="preserve"> Der </w:t>
      </w:r>
      <w:r w:rsidR="00DA3326">
        <w:t xml:space="preserve">Merkmalsprozess </w:t>
      </w:r>
      <w:r w:rsidR="00D2554C">
        <w:t xml:space="preserve">ist der Vorgang, in dem die </w:t>
      </w:r>
      <w:r w:rsidR="00765E66">
        <w:t>Merkmalsregel</w:t>
      </w:r>
      <w:r w:rsidR="00D2554C">
        <w:t xml:space="preserve">n </w:t>
      </w:r>
      <w:r w:rsidR="00674A1C">
        <w:t xml:space="preserve">eingeschrieben </w:t>
      </w:r>
      <w:r w:rsidR="00D2554C">
        <w:t xml:space="preserve">bzw. </w:t>
      </w:r>
      <w:r w:rsidR="00674A1C">
        <w:t xml:space="preserve">ausgelesen </w:t>
      </w:r>
      <w:r w:rsidR="00C53373">
        <w:t xml:space="preserve">werden; er kann als Zeichenprozess analysiert werden. Der </w:t>
      </w:r>
      <w:r w:rsidR="00DA3326">
        <w:t xml:space="preserve">Interpretationsprozess </w:t>
      </w:r>
      <w:r w:rsidR="00D2554C">
        <w:t>besteht</w:t>
      </w:r>
      <w:r w:rsidR="00DA3326" w:rsidRPr="00DA3326">
        <w:t xml:space="preserve"> </w:t>
      </w:r>
      <w:r w:rsidR="00DA3326">
        <w:t>darin</w:t>
      </w:r>
      <w:r w:rsidR="00D2554C">
        <w:t xml:space="preserve">, dass </w:t>
      </w:r>
      <w:r w:rsidR="00B7469A">
        <w:t>aus den Merkmalsregeln Interpretationsergebnisse (Gedanken, Gefühle, Eindrücke) erzeugt werden</w:t>
      </w:r>
      <w:r w:rsidR="00D2554C">
        <w:t xml:space="preserve">. </w:t>
      </w:r>
      <w:r w:rsidR="00C715C7">
        <w:t>Er setzt sich aus einer Reihe von Prozessen zusammen, in denen verschiedene Op</w:t>
      </w:r>
      <w:r w:rsidR="00C715C7">
        <w:t>e</w:t>
      </w:r>
      <w:r w:rsidR="00C715C7">
        <w:t xml:space="preserve">rationen angewandt werden (vgl. Abschnitt </w:t>
      </w:r>
      <w:r>
        <w:fldChar w:fldCharType="begin"/>
      </w:r>
      <w:r w:rsidR="00C715C7">
        <w:instrText xml:space="preserve"> REF _Ref248036699 \r \h </w:instrText>
      </w:r>
      <w:r>
        <w:fldChar w:fldCharType="separate"/>
      </w:r>
      <w:r w:rsidR="001231D3">
        <w:t>6.2.1</w:t>
      </w:r>
      <w:r>
        <w:fldChar w:fldCharType="end"/>
      </w:r>
      <w:r w:rsidR="00C715C7">
        <w:t>).</w:t>
      </w:r>
    </w:p>
    <w:p w:rsidR="00D2554C" w:rsidRDefault="00D2554C">
      <w:pPr>
        <w:pStyle w:val="Text"/>
      </w:pPr>
      <w:r>
        <w:t>Wie bereits oben angemerkt wurde, handelt es sich primär um eine analyt</w:t>
      </w:r>
      <w:r>
        <w:t>i</w:t>
      </w:r>
      <w:r>
        <w:t>sche Trennung, die der Darstellung dient. In der Realität kann man davon ausg</w:t>
      </w:r>
      <w:r>
        <w:t>e</w:t>
      </w:r>
      <w:r>
        <w:t xml:space="preserve">hen, dass die beiden Prozesse </w:t>
      </w:r>
      <w:r w:rsidR="000B4347">
        <w:t xml:space="preserve">mehr oder minder </w:t>
      </w:r>
      <w:r>
        <w:t>zusammen stattfinden und mi</w:t>
      </w:r>
      <w:r>
        <w:t>t</w:t>
      </w:r>
      <w:r>
        <w:t xml:space="preserve">einander interagieren, etwa dergestalt, dass die einzelnen </w:t>
      </w:r>
      <w:r w:rsidR="00765E66">
        <w:t>Merkmalsregel</w:t>
      </w:r>
      <w:r>
        <w:t xml:space="preserve">n nur dann </w:t>
      </w:r>
      <w:r w:rsidR="00824DC3">
        <w:t xml:space="preserve">ausgelesen </w:t>
      </w:r>
      <w:r>
        <w:t xml:space="preserve">werden, wenn sie auch in der </w:t>
      </w:r>
      <w:r w:rsidR="00B7469A">
        <w:t>Interpretation</w:t>
      </w:r>
      <w:r>
        <w:t xml:space="preserve"> eine Rolle spielen</w:t>
      </w:r>
      <w:r w:rsidR="000B4347">
        <w:t xml:space="preserve"> (vgl. Abschnitt </w:t>
      </w:r>
      <w:r w:rsidR="005D7996">
        <w:fldChar w:fldCharType="begin"/>
      </w:r>
      <w:r w:rsidR="000B4347">
        <w:instrText xml:space="preserve"> REF _Ref259267296 \r \h </w:instrText>
      </w:r>
      <w:r w:rsidR="005D7996">
        <w:fldChar w:fldCharType="separate"/>
      </w:r>
      <w:r w:rsidR="001231D3">
        <w:t>7.3.4</w:t>
      </w:r>
      <w:r w:rsidR="005D7996">
        <w:fldChar w:fldCharType="end"/>
      </w:r>
      <w:r w:rsidR="000B4347">
        <w:t>)</w:t>
      </w:r>
      <w:r>
        <w:t>.</w:t>
      </w:r>
    </w:p>
    <w:p w:rsidR="00D21166" w:rsidRDefault="00D2554C">
      <w:pPr>
        <w:pStyle w:val="Text"/>
      </w:pPr>
      <w:r>
        <w:t xml:space="preserve">Doch der </w:t>
      </w:r>
      <w:r w:rsidR="00B7469A">
        <w:t xml:space="preserve">Merkmalsprozess </w:t>
      </w:r>
      <w:r>
        <w:t xml:space="preserve">kann auch in der Realität getrennt stattfinden, wenn stilistische Merkmale </w:t>
      </w:r>
      <w:r w:rsidR="009624FE">
        <w:t xml:space="preserve">an einer Realisierung </w:t>
      </w:r>
      <w:r>
        <w:t xml:space="preserve">analysiert </w:t>
      </w:r>
      <w:r w:rsidR="009624FE">
        <w:t>und daraus Rege</w:t>
      </w:r>
      <w:r w:rsidR="009624FE">
        <w:t>l</w:t>
      </w:r>
      <w:r w:rsidR="009624FE">
        <w:t xml:space="preserve">mäßigkeiten der Auswahl erkannt </w:t>
      </w:r>
      <w:r>
        <w:t xml:space="preserve">werden, ohne dass weitergehende </w:t>
      </w:r>
      <w:r w:rsidR="00C84848">
        <w:t>Interpret</w:t>
      </w:r>
      <w:r w:rsidR="00C84848">
        <w:t>a</w:t>
      </w:r>
      <w:r w:rsidR="00C84848">
        <w:t>tionsergebnisse</w:t>
      </w:r>
      <w:r>
        <w:t xml:space="preserve"> aus ihnen </w:t>
      </w:r>
      <w:r w:rsidR="00C84848">
        <w:t xml:space="preserve">erzeugt </w:t>
      </w:r>
      <w:r>
        <w:t>werden.</w:t>
      </w:r>
    </w:p>
    <w:p w:rsidR="00D2554C" w:rsidRDefault="00D2554C" w:rsidP="00F03E25">
      <w:pPr>
        <w:pStyle w:val="Text"/>
        <w:spacing w:before="240"/>
        <w:ind w:firstLine="0"/>
      </w:pPr>
      <w:r>
        <w:t xml:space="preserve">Es ist einfach zu erkennen, dass beim </w:t>
      </w:r>
      <w:r w:rsidR="00ED6213">
        <w:t xml:space="preserve">Merkmalsprozess </w:t>
      </w:r>
      <w:r>
        <w:t xml:space="preserve">die </w:t>
      </w:r>
      <w:r w:rsidR="00765E66">
        <w:t>Merkmalsregel</w:t>
      </w:r>
      <w:r>
        <w:t xml:space="preserve">n den Inhalt des Zeichens </w:t>
      </w:r>
      <w:r w:rsidR="00C84848">
        <w:t>bilden</w:t>
      </w:r>
      <w:r>
        <w:t xml:space="preserve">, sind sie es doch, die </w:t>
      </w:r>
      <w:r w:rsidR="00674A1C">
        <w:t xml:space="preserve">eingeschrieben </w:t>
      </w:r>
      <w:r>
        <w:t xml:space="preserve">und </w:t>
      </w:r>
      <w:r w:rsidR="00674A1C">
        <w:t xml:space="preserve">ausgelesen </w:t>
      </w:r>
      <w:r>
        <w:t>und somit vom</w:t>
      </w:r>
      <w:r w:rsidR="00106AD1">
        <w:t xml:space="preserve"> Anwender</w:t>
      </w:r>
      <w:r>
        <w:t xml:space="preserve"> zum </w:t>
      </w:r>
      <w:r w:rsidR="00400B1A">
        <w:t xml:space="preserve">Wahrnehmer </w:t>
      </w:r>
      <w:r w:rsidR="00106AD1">
        <w:t xml:space="preserve">des Stils </w:t>
      </w:r>
      <w:r>
        <w:t xml:space="preserve">übermittelt werden. Doch was ist der Zeichenträger? Dies ist nicht so einfach zu sagen, denn sowohl die Realisierung als auch die </w:t>
      </w:r>
      <w:r w:rsidR="00721558">
        <w:t>Alter</w:t>
      </w:r>
      <w:r w:rsidR="00721558">
        <w:softHyphen/>
        <w:t>nativen</w:t>
      </w:r>
      <w:r w:rsidR="00721558">
        <w:softHyphen/>
        <w:t>klasse</w:t>
      </w:r>
      <w:r>
        <w:t xml:space="preserve">n werden für </w:t>
      </w:r>
      <w:r w:rsidR="007B77D1">
        <w:t xml:space="preserve">Einschreiben </w:t>
      </w:r>
      <w:r>
        <w:t xml:space="preserve">und </w:t>
      </w:r>
      <w:r w:rsidR="007B77D1">
        <w:t>Au</w:t>
      </w:r>
      <w:r w:rsidR="007B77D1">
        <w:t>s</w:t>
      </w:r>
      <w:r w:rsidR="007B77D1">
        <w:t xml:space="preserve">lesen </w:t>
      </w:r>
      <w:r>
        <w:t xml:space="preserve">der </w:t>
      </w:r>
      <w:r w:rsidR="00765E66">
        <w:t>Merkmalsregel</w:t>
      </w:r>
      <w:r>
        <w:t xml:space="preserve">n benötigt. Daraus ergeben sich </w:t>
      </w:r>
      <w:r w:rsidR="0030638B">
        <w:t xml:space="preserve">mehrere </w:t>
      </w:r>
      <w:r>
        <w:t>Fragen:</w:t>
      </w:r>
    </w:p>
    <w:p w:rsidR="00D2554C" w:rsidRDefault="00D2554C">
      <w:pPr>
        <w:pStyle w:val="Text"/>
      </w:pPr>
      <w:r>
        <w:t>(1)</w:t>
      </w:r>
      <w:r>
        <w:tab/>
      </w:r>
      <w:r w:rsidR="0030638B">
        <w:t>Wo befindet sich der Zeichenträger</w:t>
      </w:r>
      <w:r>
        <w:t>?</w:t>
      </w:r>
    </w:p>
    <w:p w:rsidR="0030638B" w:rsidRDefault="0030638B">
      <w:pPr>
        <w:pStyle w:val="Text"/>
      </w:pPr>
      <w:r>
        <w:t>(2)</w:t>
      </w:r>
      <w:r>
        <w:tab/>
        <w:t>Was ist der Zeichenträger?</w:t>
      </w:r>
    </w:p>
    <w:p w:rsidR="00D2554C" w:rsidRDefault="00D2554C">
      <w:pPr>
        <w:pStyle w:val="Text"/>
      </w:pPr>
      <w:r>
        <w:t>(</w:t>
      </w:r>
      <w:r w:rsidR="0030638B">
        <w:t>3</w:t>
      </w:r>
      <w:r>
        <w:t>)</w:t>
      </w:r>
      <w:r>
        <w:tab/>
        <w:t xml:space="preserve">Welche Rolle spielen die </w:t>
      </w:r>
      <w:r w:rsidR="00721558">
        <w:t>Alter</w:t>
      </w:r>
      <w:r w:rsidR="00721558">
        <w:softHyphen/>
        <w:t>nativen</w:t>
      </w:r>
      <w:r w:rsidR="00721558">
        <w:softHyphen/>
        <w:t>klasse</w:t>
      </w:r>
      <w:r>
        <w:t>n, die ja gar nicht vom</w:t>
      </w:r>
      <w:r w:rsidR="00106AD1">
        <w:t xml:space="preserve"> Sti</w:t>
      </w:r>
      <w:r w:rsidR="00106AD1">
        <w:t>l</w:t>
      </w:r>
      <w:r w:rsidR="00106AD1">
        <w:t>anwender</w:t>
      </w:r>
      <w:r>
        <w:t xml:space="preserve"> zum </w:t>
      </w:r>
      <w:r w:rsidR="00400B1A">
        <w:t>Stilwahrnehmer</w:t>
      </w:r>
      <w:r>
        <w:t xml:space="preserve"> übermittelt werden?</w:t>
      </w:r>
    </w:p>
    <w:p w:rsidR="00D2554C" w:rsidRDefault="00D2554C">
      <w:pPr>
        <w:pStyle w:val="Text"/>
      </w:pPr>
      <w:r>
        <w:t>Zu (1):</w:t>
      </w:r>
      <w:r>
        <w:tab/>
        <w:t xml:space="preserve">Tatsächlich enthalten Realisierung und </w:t>
      </w:r>
      <w:r w:rsidR="00721558">
        <w:t>Alter</w:t>
      </w:r>
      <w:r w:rsidR="00721558">
        <w:softHyphen/>
        <w:t>nativen</w:t>
      </w:r>
      <w:r w:rsidR="00721558">
        <w:softHyphen/>
        <w:t>klasse</w:t>
      </w:r>
      <w:r>
        <w:t>n z</w:t>
      </w:r>
      <w:r>
        <w:t>u</w:t>
      </w:r>
      <w:r>
        <w:t xml:space="preserve">sammen den Zeichenträger; welcher Teil von ihnen Zeichenträger ist, ist nicht ohne weiteres erkennbar. Unter Umständen </w:t>
      </w:r>
      <w:r w:rsidR="00C524B2">
        <w:t xml:space="preserve">enthalten </w:t>
      </w:r>
      <w:r>
        <w:t>ein längerer Teil der Re</w:t>
      </w:r>
      <w:r>
        <w:t>a</w:t>
      </w:r>
      <w:r>
        <w:t xml:space="preserve">lisierung und die dazugehörigen </w:t>
      </w:r>
      <w:r w:rsidR="00721558">
        <w:t>Alter</w:t>
      </w:r>
      <w:r w:rsidR="00721558">
        <w:softHyphen/>
        <w:t>nativen</w:t>
      </w:r>
      <w:r w:rsidR="00721558">
        <w:softHyphen/>
        <w:t>klasse</w:t>
      </w:r>
      <w:r>
        <w:t xml:space="preserve">n keine </w:t>
      </w:r>
      <w:r w:rsidR="00765E66">
        <w:t>Merkmalsregel</w:t>
      </w:r>
      <w:r w:rsidR="00C524B2">
        <w:t>n</w:t>
      </w:r>
      <w:r>
        <w:t xml:space="preserve">. Dies ist jedoch nicht sofort zu erkennen – wie es etwa bei einem Blatt Papier der Fall </w:t>
      </w:r>
      <w:r>
        <w:lastRenderedPageBreak/>
        <w:t xml:space="preserve">ist, dessen untere Hälfte leer gelassen wurde –, vielmehr muss auch dieses Stück Realisierung inklusive </w:t>
      </w:r>
      <w:r w:rsidR="00721558">
        <w:t>Alter</w:t>
      </w:r>
      <w:r w:rsidR="00721558">
        <w:softHyphen/>
        <w:t>nativen</w:t>
      </w:r>
      <w:r w:rsidR="00721558">
        <w:softHyphen/>
        <w:t>klasse</w:t>
      </w:r>
      <w:r>
        <w:t xml:space="preserve">n auf </w:t>
      </w:r>
      <w:r w:rsidR="00674A1C">
        <w:t xml:space="preserve">eingeschriebene </w:t>
      </w:r>
      <w:r w:rsidR="00765E66">
        <w:t>Merkmalsregel</w:t>
      </w:r>
      <w:r>
        <w:t>n durchmustert werden. Trotz dieser Notwendigkeit können jedoch nicht beide einfach als „Zeichenträger“ bezeichnet werden.</w:t>
      </w:r>
    </w:p>
    <w:p w:rsidR="00A03195" w:rsidRDefault="00316E05">
      <w:pPr>
        <w:pStyle w:val="Text"/>
      </w:pPr>
      <w:r>
        <w:t xml:space="preserve">Die Realisierung enthält den Stil und stellt somit die </w:t>
      </w:r>
      <w:r w:rsidRPr="00A03195">
        <w:rPr>
          <w:i/>
        </w:rPr>
        <w:t>Zeichenmaterie</w:t>
      </w:r>
      <w:r w:rsidR="005D7996">
        <w:rPr>
          <w:i/>
        </w:rPr>
        <w:fldChar w:fldCharType="begin"/>
      </w:r>
      <w:r w:rsidR="00F56899">
        <w:instrText xml:space="preserve"> XE "</w:instrText>
      </w:r>
      <w:r w:rsidR="00F56899" w:rsidRPr="00A32394">
        <w:rPr>
          <w:bCs/>
        </w:rPr>
        <w:instrText>Zeichenmaterie</w:instrText>
      </w:r>
      <w:r w:rsidR="00F56899">
        <w:instrText xml:space="preserve">" </w:instrText>
      </w:r>
      <w:r w:rsidR="005D7996">
        <w:rPr>
          <w:i/>
        </w:rPr>
        <w:fldChar w:fldCharType="end"/>
      </w:r>
      <w:r w:rsidRPr="00A03195">
        <w:rPr>
          <w:i/>
        </w:rPr>
        <w:t xml:space="preserve"> </w:t>
      </w:r>
      <w:r>
        <w:t>dar. Wie von Roland Posner betont wurde, ist die Zeichenmaterie derjenige Teil des Zeichens, der physikalisch für</w:t>
      </w:r>
      <w:r w:rsidR="00106AD1">
        <w:t xml:space="preserve"> Stilanwender</w:t>
      </w:r>
      <w:r>
        <w:t xml:space="preserve"> und </w:t>
      </w:r>
      <w:r w:rsidR="00400B1A">
        <w:t>Stilwahrnehmer</w:t>
      </w:r>
      <w:r>
        <w:t xml:space="preserve"> gegeben ist.</w:t>
      </w:r>
      <w:r w:rsidR="00BE74AE">
        <w:rPr>
          <w:rStyle w:val="Funotenzeichen"/>
        </w:rPr>
        <w:footnoteReference w:id="345"/>
      </w:r>
      <w:r w:rsidR="00BE74AE">
        <w:t xml:space="preserve"> </w:t>
      </w:r>
      <w:r w:rsidR="00774988">
        <w:t xml:space="preserve">Dies gilt auch für die Realisierung, die vom Stilanwender erzeugt und an der vom Stilwahrnehmer ein Stil erkannt wird. Innerhalb des Modells bildet die </w:t>
      </w:r>
      <w:r w:rsidR="00ED2507">
        <w:t>Realisi</w:t>
      </w:r>
      <w:r w:rsidR="00ED2507">
        <w:t>e</w:t>
      </w:r>
      <w:r w:rsidR="00ED2507">
        <w:t xml:space="preserve">rung </w:t>
      </w:r>
      <w:r w:rsidR="00774988">
        <w:t xml:space="preserve">daher </w:t>
      </w:r>
      <w:r w:rsidR="00092395">
        <w:t xml:space="preserve">den </w:t>
      </w:r>
      <w:r w:rsidR="00BE74AE">
        <w:t>Output de</w:t>
      </w:r>
      <w:r w:rsidR="00774988">
        <w:t xml:space="preserve">r Funktion </w:t>
      </w:r>
      <w:r w:rsidR="00400B1A" w:rsidRPr="00774988">
        <w:rPr>
          <w:i/>
        </w:rPr>
        <w:t>Schemaausführung</w:t>
      </w:r>
      <w:r w:rsidR="00BE74AE">
        <w:rPr>
          <w:rStyle w:val="Funotenzeichen"/>
        </w:rPr>
        <w:footnoteReference w:id="346"/>
      </w:r>
      <w:r w:rsidR="00BE74AE">
        <w:t xml:space="preserve"> und </w:t>
      </w:r>
      <w:r w:rsidR="00092395">
        <w:t xml:space="preserve">den </w:t>
      </w:r>
      <w:r w:rsidR="00BE74AE">
        <w:t>Input de</w:t>
      </w:r>
      <w:r w:rsidR="00774988">
        <w:t>r</w:t>
      </w:r>
      <w:r w:rsidR="00BE74AE">
        <w:t xml:space="preserve"> </w:t>
      </w:r>
      <w:r w:rsidR="00774988">
        <w:t xml:space="preserve">Funktion </w:t>
      </w:r>
      <w:r w:rsidR="00774988" w:rsidRPr="00774988">
        <w:rPr>
          <w:i/>
        </w:rPr>
        <w:t>Stil_w</w:t>
      </w:r>
      <w:r w:rsidR="00400B1A" w:rsidRPr="00774988">
        <w:rPr>
          <w:i/>
        </w:rPr>
        <w:t>ahrneh</w:t>
      </w:r>
      <w:r w:rsidR="00774988" w:rsidRPr="00774988">
        <w:rPr>
          <w:i/>
        </w:rPr>
        <w:t>men</w:t>
      </w:r>
      <w:r w:rsidR="00BE74AE">
        <w:t>.</w:t>
      </w:r>
      <w:r w:rsidR="00BE74AE">
        <w:rPr>
          <w:rStyle w:val="Funotenzeichen"/>
        </w:rPr>
        <w:footnoteReference w:id="347"/>
      </w:r>
    </w:p>
    <w:p w:rsidR="00DF6565" w:rsidRDefault="00D21166">
      <w:pPr>
        <w:pStyle w:val="Text"/>
        <w:rPr>
          <w:bCs/>
        </w:rPr>
      </w:pPr>
      <w:r>
        <w:rPr>
          <w:bCs/>
        </w:rPr>
        <w:t xml:space="preserve">Der </w:t>
      </w:r>
      <w:r w:rsidRPr="00D21166">
        <w:rPr>
          <w:bCs/>
          <w:i/>
        </w:rPr>
        <w:t>Zeichenträger</w:t>
      </w:r>
      <w:r>
        <w:rPr>
          <w:bCs/>
        </w:rPr>
        <w:t xml:space="preserve"> kann bei den meisten Zeichenprozessen </w:t>
      </w:r>
      <w:r w:rsidR="00BE74AE">
        <w:rPr>
          <w:bCs/>
        </w:rPr>
        <w:t>direkt aus der Zeichenmaterie</w:t>
      </w:r>
      <w:r w:rsidR="005D7996">
        <w:rPr>
          <w:bCs/>
        </w:rPr>
        <w:fldChar w:fldCharType="begin"/>
      </w:r>
      <w:r w:rsidR="00F56899">
        <w:instrText xml:space="preserve"> XE "</w:instrText>
      </w:r>
      <w:r w:rsidR="00F56899" w:rsidRPr="00A32394">
        <w:rPr>
          <w:bCs/>
        </w:rPr>
        <w:instrText>Zeichenmaterie</w:instrText>
      </w:r>
      <w:r w:rsidR="00F56899">
        <w:instrText xml:space="preserve">" </w:instrText>
      </w:r>
      <w:r w:rsidR="005D7996">
        <w:rPr>
          <w:bCs/>
        </w:rPr>
        <w:fldChar w:fldCharType="end"/>
      </w:r>
      <w:r w:rsidR="00BE74AE">
        <w:rPr>
          <w:bCs/>
        </w:rPr>
        <w:t xml:space="preserve"> entnommen werden, indem deren nicht zum Zeichen beitrage</w:t>
      </w:r>
      <w:r w:rsidR="00BE74AE">
        <w:rPr>
          <w:bCs/>
        </w:rPr>
        <w:t>n</w:t>
      </w:r>
      <w:r w:rsidR="00BE74AE">
        <w:rPr>
          <w:bCs/>
        </w:rPr>
        <w:t>de Teile weggelassen werden.</w:t>
      </w:r>
      <w:r w:rsidR="00BE74AE">
        <w:rPr>
          <w:rStyle w:val="Funotenzeichen"/>
        </w:rPr>
        <w:footnoteReference w:id="348"/>
      </w:r>
      <w:r w:rsidR="00BE74AE">
        <w:rPr>
          <w:bCs/>
        </w:rPr>
        <w:t xml:space="preserve"> </w:t>
      </w:r>
      <w:r w:rsidR="00AA640A">
        <w:rPr>
          <w:bCs/>
        </w:rPr>
        <w:t>Hier gibt es e</w:t>
      </w:r>
      <w:r w:rsidR="00BE74AE">
        <w:rPr>
          <w:bCs/>
        </w:rPr>
        <w:t xml:space="preserve">ine Besonderheit </w:t>
      </w:r>
      <w:r w:rsidR="00DF6565">
        <w:rPr>
          <w:bCs/>
        </w:rPr>
        <w:t>des</w:t>
      </w:r>
      <w:r w:rsidR="00AA640A">
        <w:rPr>
          <w:bCs/>
        </w:rPr>
        <w:t xml:space="preserve"> stilistischen Zeichenprozesses: Der </w:t>
      </w:r>
      <w:r w:rsidR="00DF6565">
        <w:rPr>
          <w:bCs/>
        </w:rPr>
        <w:t xml:space="preserve">Zeichenträger </w:t>
      </w:r>
      <w:r w:rsidR="00AA640A">
        <w:rPr>
          <w:bCs/>
        </w:rPr>
        <w:t xml:space="preserve">kann hier </w:t>
      </w:r>
      <w:r w:rsidR="00DF6565">
        <w:rPr>
          <w:bCs/>
        </w:rPr>
        <w:t xml:space="preserve">erst </w:t>
      </w:r>
      <w:r w:rsidR="00AA640A">
        <w:rPr>
          <w:bCs/>
        </w:rPr>
        <w:t>gewonnen werden</w:t>
      </w:r>
      <w:r w:rsidR="00DF6565">
        <w:rPr>
          <w:bCs/>
        </w:rPr>
        <w:t xml:space="preserve">, wenn zur </w:t>
      </w:r>
      <w:r w:rsidR="00AA640A">
        <w:rPr>
          <w:bCs/>
        </w:rPr>
        <w:t>Realisierung</w:t>
      </w:r>
      <w:r w:rsidR="00DF6565">
        <w:rPr>
          <w:bCs/>
        </w:rPr>
        <w:t xml:space="preserve"> </w:t>
      </w:r>
      <w:r w:rsidR="00721558">
        <w:rPr>
          <w:bCs/>
        </w:rPr>
        <w:t>Alter</w:t>
      </w:r>
      <w:r w:rsidR="00721558">
        <w:rPr>
          <w:bCs/>
        </w:rPr>
        <w:softHyphen/>
        <w:t>nativen</w:t>
      </w:r>
      <w:r w:rsidR="00721558">
        <w:rPr>
          <w:bCs/>
        </w:rPr>
        <w:softHyphen/>
        <w:t>klasse</w:t>
      </w:r>
      <w:r w:rsidR="00DF6565">
        <w:rPr>
          <w:bCs/>
        </w:rPr>
        <w:t>n gebildet</w:t>
      </w:r>
      <w:r w:rsidR="00C70EEE">
        <w:rPr>
          <w:bCs/>
        </w:rPr>
        <w:t xml:space="preserve"> wurden. </w:t>
      </w:r>
      <w:r w:rsidR="00AA640A">
        <w:rPr>
          <w:bCs/>
        </w:rPr>
        <w:t xml:space="preserve">Die Zeichenmaterie muss also </w:t>
      </w:r>
      <w:r w:rsidR="00C70EEE">
        <w:rPr>
          <w:bCs/>
        </w:rPr>
        <w:t xml:space="preserve">durch abstrakte Einheiten, nämlich die Klassen der bei ihrer Bildung jeweils möglichen Alternativen, ergänzt werden. </w:t>
      </w:r>
      <w:r w:rsidR="00DF6565">
        <w:rPr>
          <w:bCs/>
        </w:rPr>
        <w:t>Diese sind selbst nicht Teil der Ze</w:t>
      </w:r>
      <w:r w:rsidR="00DF6565">
        <w:rPr>
          <w:bCs/>
        </w:rPr>
        <w:t>i</w:t>
      </w:r>
      <w:r w:rsidR="00DF6565">
        <w:rPr>
          <w:bCs/>
        </w:rPr>
        <w:t>chenmaterie, sie sind nicht materiell gegeben und werden nicht vom</w:t>
      </w:r>
      <w:r w:rsidR="00106AD1">
        <w:rPr>
          <w:bCs/>
        </w:rPr>
        <w:t xml:space="preserve"> Anwender</w:t>
      </w:r>
      <w:r w:rsidR="00DF6565">
        <w:rPr>
          <w:bCs/>
        </w:rPr>
        <w:t xml:space="preserve"> zum </w:t>
      </w:r>
      <w:r w:rsidR="00106AD1">
        <w:rPr>
          <w:bCs/>
        </w:rPr>
        <w:t xml:space="preserve">Wahrnehmer des Stils </w:t>
      </w:r>
      <w:r w:rsidR="00DF6565">
        <w:rPr>
          <w:bCs/>
        </w:rPr>
        <w:t>übermittelt. Es ist daher Voraussetzung für die Übermittlung des Zeichens, dass sie in ausreichend ähnlicher Form von</w:t>
      </w:r>
      <w:r w:rsidR="00106AD1">
        <w:rPr>
          <w:bCs/>
        </w:rPr>
        <w:t xml:space="preserve"> Stila</w:t>
      </w:r>
      <w:r w:rsidR="00106AD1">
        <w:rPr>
          <w:bCs/>
        </w:rPr>
        <w:t>n</w:t>
      </w:r>
      <w:r w:rsidR="00106AD1">
        <w:rPr>
          <w:bCs/>
        </w:rPr>
        <w:t xml:space="preserve">wender und Stilwahrnehmer </w:t>
      </w:r>
      <w:r w:rsidR="00DF6565">
        <w:rPr>
          <w:bCs/>
        </w:rPr>
        <w:t>erzeugt werden.</w:t>
      </w:r>
    </w:p>
    <w:p w:rsidR="00DF6565" w:rsidRDefault="003B1DCE">
      <w:pPr>
        <w:pStyle w:val="Text"/>
        <w:rPr>
          <w:bCs/>
        </w:rPr>
      </w:pPr>
      <w:r>
        <w:rPr>
          <w:bCs/>
        </w:rPr>
        <w:t>B</w:t>
      </w:r>
      <w:r w:rsidR="008415FD">
        <w:rPr>
          <w:bCs/>
        </w:rPr>
        <w:t xml:space="preserve">eim </w:t>
      </w:r>
      <w:r w:rsidR="00CC7A3C">
        <w:rPr>
          <w:bCs/>
        </w:rPr>
        <w:t xml:space="preserve">Wahrnehmen </w:t>
      </w:r>
      <w:r w:rsidR="008415FD">
        <w:rPr>
          <w:bCs/>
        </w:rPr>
        <w:t xml:space="preserve">eines Stils </w:t>
      </w:r>
      <w:r>
        <w:rPr>
          <w:bCs/>
        </w:rPr>
        <w:t xml:space="preserve">muss </w:t>
      </w:r>
      <w:r w:rsidR="008415FD">
        <w:rPr>
          <w:bCs/>
        </w:rPr>
        <w:t xml:space="preserve">die </w:t>
      </w:r>
      <w:r>
        <w:rPr>
          <w:bCs/>
        </w:rPr>
        <w:t>Zeichenmaterie</w:t>
      </w:r>
      <w:r w:rsidR="005D7996">
        <w:rPr>
          <w:bCs/>
        </w:rPr>
        <w:fldChar w:fldCharType="begin"/>
      </w:r>
      <w:r w:rsidR="00F56899">
        <w:instrText xml:space="preserve"> XE "</w:instrText>
      </w:r>
      <w:r w:rsidR="00F56899" w:rsidRPr="00A32394">
        <w:rPr>
          <w:bCs/>
        </w:rPr>
        <w:instrText>Zeichenmaterie</w:instrText>
      </w:r>
      <w:r w:rsidR="00F56899">
        <w:instrText xml:space="preserve">" </w:instrText>
      </w:r>
      <w:r w:rsidR="005D7996">
        <w:rPr>
          <w:bCs/>
        </w:rPr>
        <w:fldChar w:fldCharType="end"/>
      </w:r>
      <w:r>
        <w:rPr>
          <w:bCs/>
        </w:rPr>
        <w:t xml:space="preserve">, die </w:t>
      </w:r>
      <w:r w:rsidR="008415FD">
        <w:rPr>
          <w:bCs/>
        </w:rPr>
        <w:t>Realisierung</w:t>
      </w:r>
      <w:r>
        <w:rPr>
          <w:bCs/>
        </w:rPr>
        <w:t>,</w:t>
      </w:r>
      <w:r w:rsidR="008415FD">
        <w:rPr>
          <w:bCs/>
        </w:rPr>
        <w:t xml:space="preserve"> nicht materiell vorliegen; </w:t>
      </w:r>
      <w:r>
        <w:rPr>
          <w:bCs/>
        </w:rPr>
        <w:t xml:space="preserve">es reicht, </w:t>
      </w:r>
      <w:r w:rsidR="008415FD">
        <w:rPr>
          <w:bCs/>
        </w:rPr>
        <w:t>wenn sie in ausreichend erkennbarer Weise durch einen weiteren Zeichenprozess zugänglich gemacht wird, etwa durch Fi</w:t>
      </w:r>
      <w:r w:rsidR="008415FD">
        <w:rPr>
          <w:bCs/>
        </w:rPr>
        <w:t>l</w:t>
      </w:r>
      <w:r w:rsidR="008415FD">
        <w:rPr>
          <w:bCs/>
        </w:rPr>
        <w:t>me</w:t>
      </w:r>
      <w:r w:rsidR="005D7996">
        <w:rPr>
          <w:bCs/>
        </w:rPr>
        <w:fldChar w:fldCharType="begin"/>
      </w:r>
      <w:r w:rsidR="001A68FF">
        <w:instrText xml:space="preserve"> XE "</w:instrText>
      </w:r>
      <w:r w:rsidR="001A68FF" w:rsidRPr="001E062A">
        <w:rPr>
          <w:bCs/>
        </w:rPr>
        <w:instrText>Filme</w:instrText>
      </w:r>
      <w:r w:rsidR="001A68FF">
        <w:instrText xml:space="preserve">" </w:instrText>
      </w:r>
      <w:r w:rsidR="005D7996">
        <w:rPr>
          <w:bCs/>
        </w:rPr>
        <w:fldChar w:fldCharType="end"/>
      </w:r>
      <w:r w:rsidR="008415FD">
        <w:rPr>
          <w:bCs/>
        </w:rPr>
        <w:t>, Bilder</w:t>
      </w:r>
      <w:r w:rsidR="005D7996">
        <w:rPr>
          <w:bCs/>
        </w:rPr>
        <w:fldChar w:fldCharType="begin"/>
      </w:r>
      <w:r w:rsidR="0062163E">
        <w:instrText xml:space="preserve"> XE "</w:instrText>
      </w:r>
      <w:r w:rsidR="0062163E" w:rsidRPr="00B0475D">
        <w:rPr>
          <w:bCs/>
        </w:rPr>
        <w:instrText>Bilder</w:instrText>
      </w:r>
      <w:r w:rsidR="0062163E">
        <w:instrText xml:space="preserve">" </w:instrText>
      </w:r>
      <w:r w:rsidR="005D7996">
        <w:rPr>
          <w:bCs/>
        </w:rPr>
        <w:fldChar w:fldCharType="end"/>
      </w:r>
      <w:r w:rsidR="008415FD">
        <w:rPr>
          <w:bCs/>
        </w:rPr>
        <w:t xml:space="preserve"> oder </w:t>
      </w:r>
      <w:r w:rsidR="00FB5112">
        <w:rPr>
          <w:bCs/>
        </w:rPr>
        <w:t xml:space="preserve">eine </w:t>
      </w:r>
      <w:r w:rsidR="00CB0CB4">
        <w:rPr>
          <w:bCs/>
        </w:rPr>
        <w:t xml:space="preserve">sprachliche </w:t>
      </w:r>
      <w:r w:rsidR="00FB5112">
        <w:rPr>
          <w:bCs/>
        </w:rPr>
        <w:t>Beschreibung</w:t>
      </w:r>
      <w:r>
        <w:rPr>
          <w:bCs/>
        </w:rPr>
        <w:t xml:space="preserve">. </w:t>
      </w:r>
      <w:r w:rsidR="00FB5112">
        <w:rPr>
          <w:bCs/>
        </w:rPr>
        <w:t>In diesem Fall ist zwischen</w:t>
      </w:r>
      <w:r w:rsidR="00106AD1">
        <w:rPr>
          <w:bCs/>
        </w:rPr>
        <w:t xml:space="preserve"> </w:t>
      </w:r>
      <w:r w:rsidR="00CC7A3C">
        <w:rPr>
          <w:bCs/>
        </w:rPr>
        <w:t>Sti</w:t>
      </w:r>
      <w:r w:rsidR="00CC7A3C">
        <w:rPr>
          <w:bCs/>
        </w:rPr>
        <w:t>l</w:t>
      </w:r>
      <w:r w:rsidR="00CC7A3C">
        <w:rPr>
          <w:bCs/>
        </w:rPr>
        <w:t>a</w:t>
      </w:r>
      <w:r w:rsidR="00106AD1">
        <w:rPr>
          <w:bCs/>
        </w:rPr>
        <w:t>nwender</w:t>
      </w:r>
      <w:r w:rsidR="00FB5112">
        <w:rPr>
          <w:bCs/>
        </w:rPr>
        <w:t xml:space="preserve"> und </w:t>
      </w:r>
      <w:r w:rsidR="00CC7A3C">
        <w:rPr>
          <w:bCs/>
        </w:rPr>
        <w:t xml:space="preserve">Stilwahrnehmer </w:t>
      </w:r>
      <w:r w:rsidR="00FB5112">
        <w:rPr>
          <w:bCs/>
        </w:rPr>
        <w:t>ein technologisches Medium</w:t>
      </w:r>
      <w:r w:rsidR="00FB5112">
        <w:rPr>
          <w:rStyle w:val="Funotenzeichen"/>
          <w:bCs/>
        </w:rPr>
        <w:footnoteReference w:id="349"/>
      </w:r>
      <w:r w:rsidR="00FB5112">
        <w:rPr>
          <w:bCs/>
        </w:rPr>
        <w:t xml:space="preserve"> eingeschaltet und man spricht von einer „indirekten Semiose“.</w:t>
      </w:r>
      <w:r w:rsidR="00FB5112">
        <w:rPr>
          <w:rStyle w:val="Funotenzeichen"/>
          <w:bCs/>
        </w:rPr>
        <w:footnoteReference w:id="350"/>
      </w:r>
      <w:r w:rsidR="00FB5112">
        <w:rPr>
          <w:bCs/>
        </w:rPr>
        <w:t xml:space="preserve"> </w:t>
      </w:r>
      <w:r>
        <w:rPr>
          <w:bCs/>
        </w:rPr>
        <w:t xml:space="preserve">Die </w:t>
      </w:r>
      <w:r w:rsidR="00CB0CB4">
        <w:rPr>
          <w:bCs/>
        </w:rPr>
        <w:t>Q</w:t>
      </w:r>
      <w:r>
        <w:rPr>
          <w:bCs/>
        </w:rPr>
        <w:t xml:space="preserve">ualität </w:t>
      </w:r>
      <w:r w:rsidR="00CB0CB4">
        <w:rPr>
          <w:bCs/>
        </w:rPr>
        <w:t>der Stilwahrne</w:t>
      </w:r>
      <w:r w:rsidR="00CB0CB4">
        <w:rPr>
          <w:bCs/>
        </w:rPr>
        <w:t>h</w:t>
      </w:r>
      <w:r w:rsidR="00CB0CB4">
        <w:rPr>
          <w:bCs/>
        </w:rPr>
        <w:lastRenderedPageBreak/>
        <w:t xml:space="preserve">mung </w:t>
      </w:r>
      <w:r>
        <w:rPr>
          <w:bCs/>
        </w:rPr>
        <w:t xml:space="preserve">ist hier zusätzlich von der Korrektheit und Genauigkeit der Darstellung der Realisierung </w:t>
      </w:r>
      <w:r w:rsidR="00E84936">
        <w:rPr>
          <w:bCs/>
        </w:rPr>
        <w:t xml:space="preserve">durch das technologische Medium </w:t>
      </w:r>
      <w:r>
        <w:rPr>
          <w:bCs/>
        </w:rPr>
        <w:t>abhängig.</w:t>
      </w:r>
    </w:p>
    <w:p w:rsidR="00D2554C" w:rsidRDefault="00D2554C">
      <w:pPr>
        <w:pStyle w:val="Text"/>
      </w:pPr>
      <w:r>
        <w:t xml:space="preserve">Beim </w:t>
      </w:r>
      <w:r w:rsidR="0084424D">
        <w:t xml:space="preserve">stilistischen Zeichenprozess </w:t>
      </w:r>
      <w:r>
        <w:t xml:space="preserve">enthalten Realisierung und </w:t>
      </w:r>
      <w:r w:rsidR="00721558">
        <w:t>Alter</w:t>
      </w:r>
      <w:r w:rsidR="00721558">
        <w:softHyphen/>
        <w:t>nativen</w:t>
      </w:r>
      <w:r w:rsidR="00721558">
        <w:softHyphen/>
        <w:t>klasse</w:t>
      </w:r>
      <w:r>
        <w:t xml:space="preserve">n </w:t>
      </w:r>
      <w:r w:rsidR="006F6545">
        <w:t>den Zeichenträger gemeinsam</w:t>
      </w:r>
      <w:r>
        <w:t>.</w:t>
      </w:r>
      <w:r w:rsidR="006F6545">
        <w:t xml:space="preserve"> </w:t>
      </w:r>
      <w:r w:rsidR="0084424D">
        <w:t xml:space="preserve">Beim </w:t>
      </w:r>
      <w:r w:rsidR="002473EA">
        <w:t>Anwenden</w:t>
      </w:r>
      <w:r w:rsidR="0084424D">
        <w:t xml:space="preserve"> </w:t>
      </w:r>
      <w:r w:rsidR="00BE695D">
        <w:t xml:space="preserve">eines Stils </w:t>
      </w:r>
      <w:r w:rsidR="0084424D">
        <w:t>werden R</w:t>
      </w:r>
      <w:r w:rsidR="0084424D">
        <w:t>e</w:t>
      </w:r>
      <w:r w:rsidR="0084424D">
        <w:t xml:space="preserve">gelmäßigkeiten der Auswahl in die Realisierung eingeschrieben. Beim </w:t>
      </w:r>
      <w:r w:rsidR="00BE695D">
        <w:t>Wahrne</w:t>
      </w:r>
      <w:r w:rsidR="00BE695D">
        <w:t>h</w:t>
      </w:r>
      <w:r w:rsidR="00BE695D">
        <w:t>men</w:t>
      </w:r>
      <w:r w:rsidR="0084424D">
        <w:t xml:space="preserve"> </w:t>
      </w:r>
      <w:r w:rsidR="00BE695D">
        <w:t xml:space="preserve">eines Stils </w:t>
      </w:r>
      <w:r w:rsidR="0084424D">
        <w:t xml:space="preserve">werden </w:t>
      </w:r>
      <w:r w:rsidR="006F6545">
        <w:t xml:space="preserve">Realisierung und </w:t>
      </w:r>
      <w:r w:rsidR="00721558">
        <w:t>Alter</w:t>
      </w:r>
      <w:r w:rsidR="00721558">
        <w:softHyphen/>
        <w:t>nativen</w:t>
      </w:r>
      <w:r w:rsidR="00721558">
        <w:softHyphen/>
        <w:t>klasse</w:t>
      </w:r>
      <w:r w:rsidR="006F6545">
        <w:t xml:space="preserve">n </w:t>
      </w:r>
      <w:r w:rsidR="0084424D">
        <w:t xml:space="preserve">auf solche </w:t>
      </w:r>
      <w:r w:rsidR="006F6545">
        <w:t>Rege</w:t>
      </w:r>
      <w:r w:rsidR="006F6545">
        <w:t>l</w:t>
      </w:r>
      <w:r w:rsidR="006F6545">
        <w:t xml:space="preserve">mäßigkeiten der Auswahl </w:t>
      </w:r>
      <w:r w:rsidR="0084424D">
        <w:t>untersucht</w:t>
      </w:r>
      <w:r w:rsidR="006F6545">
        <w:t xml:space="preserve">. </w:t>
      </w:r>
      <w:r w:rsidR="0084424D">
        <w:t xml:space="preserve">Die </w:t>
      </w:r>
      <w:r w:rsidR="006F6545">
        <w:t xml:space="preserve">Regelmäßigkeiten </w:t>
      </w:r>
      <w:r w:rsidR="0084424D">
        <w:t xml:space="preserve">der Auswahl </w:t>
      </w:r>
      <w:r w:rsidR="006F6545">
        <w:t>werden in der hier vorgestellten Theorie</w:t>
      </w:r>
      <w:r w:rsidR="0030638B">
        <w:t xml:space="preserve"> als Merkmalsregeln beschrieben.</w:t>
      </w:r>
    </w:p>
    <w:p w:rsidR="0030638B" w:rsidRDefault="0030638B">
      <w:pPr>
        <w:pStyle w:val="Text"/>
      </w:pPr>
      <w:r>
        <w:t>Zu (2):</w:t>
      </w:r>
      <w:r>
        <w:tab/>
        <w:t>Zeichenträger im Merkmalsprozess sind alle Spuren, die die A</w:t>
      </w:r>
      <w:r>
        <w:t>n</w:t>
      </w:r>
      <w:r>
        <w:t>wendung der Merkmalsregeln in der Realisierung hinterlassen. Sie verweisen als</w:t>
      </w:r>
      <w:r w:rsidR="000B2A4F">
        <w:t xml:space="preserve"> Anzeichen</w:t>
      </w:r>
      <w:r w:rsidR="005D7996">
        <w:fldChar w:fldCharType="begin"/>
      </w:r>
      <w:r w:rsidR="000B2A4F">
        <w:instrText xml:space="preserve"> XE "</w:instrText>
      </w:r>
      <w:r w:rsidR="000B2A4F" w:rsidRPr="00512EDC">
        <w:instrText>Anzeichen</w:instrText>
      </w:r>
      <w:r w:rsidR="000B2A4F">
        <w:instrText xml:space="preserve">" </w:instrText>
      </w:r>
      <w:r w:rsidR="005D7996">
        <w:fldChar w:fldCharType="end"/>
      </w:r>
      <w:r w:rsidR="000B2A4F">
        <w:t xml:space="preserve"> (=Indizes)</w:t>
      </w:r>
      <w:r>
        <w:rPr>
          <w:rStyle w:val="Funotenzeichen"/>
        </w:rPr>
        <w:footnoteReference w:id="351"/>
      </w:r>
      <w:r>
        <w:t xml:space="preserve"> auf die Merkmalsregeln, die sie verursacht haben.</w:t>
      </w:r>
    </w:p>
    <w:p w:rsidR="0030638B" w:rsidRDefault="0030638B">
      <w:pPr>
        <w:pStyle w:val="Text"/>
      </w:pPr>
      <w:r>
        <w:t xml:space="preserve">Diese Beschreibung mag auf den ersten Blick als spitzfindig erscheinen. Ist es tatsächlich nötig, hier von einem Zeichenprozess zu sprechen? </w:t>
      </w:r>
      <w:r w:rsidR="00DD715C">
        <w:t xml:space="preserve">– </w:t>
      </w:r>
      <w:r>
        <w:t>Andere B</w:t>
      </w:r>
      <w:r>
        <w:t>e</w:t>
      </w:r>
      <w:r>
        <w:t xml:space="preserve">schreibungsweisen sind sicherlich möglich; es ist jedoch </w:t>
      </w:r>
      <w:r w:rsidR="00323F7D">
        <w:t>plausibel</w:t>
      </w:r>
      <w:r>
        <w:t>, Merkmalsr</w:t>
      </w:r>
      <w:r>
        <w:t>e</w:t>
      </w:r>
      <w:r>
        <w:t xml:space="preserve">geln und das Ergebnis ihrer Anwendung, die durch diese erzeugten Spuren in der Realisierung, als Zeicheninhalt und Zeichenträger zu betrachten. Genauso kann jedes Prinzip, jede Vorstellung und jede Technik, die </w:t>
      </w:r>
      <w:r w:rsidR="004C6F42">
        <w:t>W</w:t>
      </w:r>
      <w:r>
        <w:t xml:space="preserve">irkungen in der Welt erzeugt, aus diesen </w:t>
      </w:r>
      <w:r w:rsidR="002A2541">
        <w:t>W</w:t>
      </w:r>
      <w:r>
        <w:t>irkungen erkannt werden</w:t>
      </w:r>
      <w:r w:rsidR="004C6F42">
        <w:t>: I</w:t>
      </w:r>
      <w:r>
        <w:t xml:space="preserve">ndem es/sie </w:t>
      </w:r>
      <w:r w:rsidR="004C6F42">
        <w:t>die Ursache bildet für die jeweilige Wirkung, wird der Rückschluss von der Wirkung auf die Urs</w:t>
      </w:r>
      <w:r w:rsidR="004C6F42">
        <w:t>a</w:t>
      </w:r>
      <w:r w:rsidR="004C6F42">
        <w:t>che möglich. Dieser erfolgt auch bei Stil: Spuren der Anwendung von Merkmal</w:t>
      </w:r>
      <w:r w:rsidR="004C6F42">
        <w:t>s</w:t>
      </w:r>
      <w:r w:rsidR="004C6F42">
        <w:t>regeln ermöglichen den Rückschluss auf die Merkmalsregeln selbst.</w:t>
      </w:r>
    </w:p>
    <w:p w:rsidR="004C6F42" w:rsidRDefault="004C6F42" w:rsidP="008577B6">
      <w:pPr>
        <w:pStyle w:val="Text"/>
      </w:pPr>
      <w:r>
        <w:t xml:space="preserve">In der hier vorgestellten Theorie wird also vorgeschlagen, </w:t>
      </w:r>
      <w:r w:rsidRPr="004C6F42">
        <w:rPr>
          <w:i/>
        </w:rPr>
        <w:t>stilistische Mer</w:t>
      </w:r>
      <w:r w:rsidRPr="004C6F42">
        <w:rPr>
          <w:i/>
        </w:rPr>
        <w:t>k</w:t>
      </w:r>
      <w:r w:rsidRPr="004C6F42">
        <w:rPr>
          <w:i/>
        </w:rPr>
        <w:t>mal</w:t>
      </w:r>
      <w:r w:rsidR="00530276">
        <w:rPr>
          <w:i/>
        </w:rPr>
        <w:t>e</w:t>
      </w:r>
      <w:r w:rsidRPr="004C6F42">
        <w:rPr>
          <w:i/>
        </w:rPr>
        <w:t xml:space="preserve"> als </w:t>
      </w:r>
      <w:r w:rsidR="00530276">
        <w:rPr>
          <w:i/>
        </w:rPr>
        <w:t xml:space="preserve">Zeichenträger eines </w:t>
      </w:r>
      <w:r w:rsidR="006E0CD3">
        <w:rPr>
          <w:i/>
        </w:rPr>
        <w:t xml:space="preserve">Anzeichens (Index) </w:t>
      </w:r>
      <w:r w:rsidRPr="004C6F42">
        <w:rPr>
          <w:i/>
        </w:rPr>
        <w:t>aufzufassen</w:t>
      </w:r>
      <w:r>
        <w:t>,</w:t>
      </w:r>
      <w:r w:rsidR="008577B6">
        <w:rPr>
          <w:rStyle w:val="Funotenzeichen"/>
        </w:rPr>
        <w:footnoteReference w:id="352"/>
      </w:r>
      <w:r>
        <w:t xml:space="preserve"> </w:t>
      </w:r>
      <w:r w:rsidR="00530276">
        <w:t xml:space="preserve">bei dem </w:t>
      </w:r>
      <w:r>
        <w:t xml:space="preserve">aus </w:t>
      </w:r>
      <w:r w:rsidR="00530276">
        <w:t>R</w:t>
      </w:r>
      <w:r w:rsidR="00530276">
        <w:t>e</w:t>
      </w:r>
      <w:r w:rsidR="00530276">
        <w:t xml:space="preserve">gelmäßigkeiten einer Realisierung </w:t>
      </w:r>
      <w:r>
        <w:t xml:space="preserve">auf die Anwendung </w:t>
      </w:r>
      <w:r w:rsidR="00530276">
        <w:t xml:space="preserve">von </w:t>
      </w:r>
      <w:r>
        <w:t>Regel</w:t>
      </w:r>
      <w:r w:rsidR="00530276">
        <w:t>n</w:t>
      </w:r>
      <w:r>
        <w:t xml:space="preserve"> geschlossen wird</w:t>
      </w:r>
      <w:r w:rsidR="00530276">
        <w:t>, die diese Regelmäßigkeiten erzeugt haben</w:t>
      </w:r>
      <w:r>
        <w:t>. Ein Merkmal ‚ist nicht einfach da‘, es ist nicht einfach an einer Realisierung gegeben als eine Eigenschaft dieser Realisierung, schließlich können dieselben Eigenschaften Ergebnis der Anwe</w:t>
      </w:r>
      <w:r>
        <w:t>n</w:t>
      </w:r>
      <w:r>
        <w:t>dung einer Merkmalsregel sein oder nicht.</w:t>
      </w:r>
    </w:p>
    <w:p w:rsidR="003E21B0" w:rsidRDefault="003E21B0">
      <w:pPr>
        <w:pStyle w:val="Text"/>
      </w:pPr>
      <w:r>
        <w:t>Dass diese Beschreibung nicht immer intuitiv ist, soll nicht geleugnet we</w:t>
      </w:r>
      <w:r>
        <w:t>r</w:t>
      </w:r>
      <w:r>
        <w:t xml:space="preserve">den. Manchmal scheinen stilistische Merkmale </w:t>
      </w:r>
      <w:r w:rsidR="00C505D9">
        <w:t xml:space="preserve">unmittelbar </w:t>
      </w:r>
      <w:r>
        <w:t>an einer Realisierung</w:t>
      </w:r>
      <w:r w:rsidR="00C505D9">
        <w:t xml:space="preserve"> vorhanden zu sein</w:t>
      </w:r>
      <w:r>
        <w:t>: Hat beispielsweise ein Gebäude ‚Fensterbänder mit 1 Meter Höhe‘ in allen Räumen, scheint das Merkmal einfach als Eigenschaft des Gebä</w:t>
      </w:r>
      <w:r>
        <w:t>u</w:t>
      </w:r>
      <w:r>
        <w:t>des beschreibbar zu sein. Nehmen wir nun aber an, dass funktionale Bedingu</w:t>
      </w:r>
      <w:r>
        <w:t>n</w:t>
      </w:r>
      <w:r>
        <w:t>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t xml:space="preserve"> b</w:t>
      </w:r>
      <w:r w:rsidR="007303A6">
        <w:t xml:space="preserve">ei Bad, Toilette, Dunkelkammer und </w:t>
      </w:r>
      <w:r>
        <w:t xml:space="preserve">südlich gelegenen Schlafräumen (die sich unter den klimatischen Bedingungen der Region zu stark erhitzen würden) solche Fenster verhindern, während sie </w:t>
      </w:r>
      <w:r w:rsidR="00631516">
        <w:t xml:space="preserve">beim </w:t>
      </w:r>
      <w:r>
        <w:t>Keller durch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t xml:space="preserve"> (</w:t>
      </w:r>
      <w:r w:rsidR="00631516">
        <w:t xml:space="preserve">dort steht weniger als </w:t>
      </w:r>
      <w:r w:rsidR="007303A6">
        <w:t xml:space="preserve">1 m </w:t>
      </w:r>
      <w:r w:rsidR="00631516">
        <w:t xml:space="preserve">Höhe </w:t>
      </w:r>
      <w:r w:rsidR="007303A6">
        <w:t>zur Verfügung) und im großen Saal aus stat</w:t>
      </w:r>
      <w:r w:rsidR="007303A6">
        <w:t>i</w:t>
      </w:r>
      <w:r w:rsidR="007303A6">
        <w:t>schen Gründen unmöglich sind. Daher sind nur wenige Fenster des Gebäudes tatsächlich in der spezifizierten Weise ausgeführt; dennoch ergibt sich eine Merkmalsregel mit einer Anwendungswahrscheinlichkeit von 1. Ist das nächste Gebäude des Architekten ein Bürogebäude, das die entsprechenden Einschrä</w:t>
      </w:r>
      <w:r w:rsidR="007303A6">
        <w:t>n</w:t>
      </w:r>
      <w:r w:rsidR="007303A6">
        <w:lastRenderedPageBreak/>
        <w:t>kungen nicht aufweist, ist (ohne Stilveränderung) zu erwarten, dass alle Fenster entsprechend ausgeführt sind. Dies ist tatsächlich nur durch einen Zeichenpr</w:t>
      </w:r>
      <w:r w:rsidR="007303A6">
        <w:t>o</w:t>
      </w:r>
      <w:r w:rsidR="007303A6">
        <w:t xml:space="preserve">zess erkennbar, bei dem zunächst die </w:t>
      </w:r>
      <w:r w:rsidR="00721558">
        <w:t>Alter</w:t>
      </w:r>
      <w:r w:rsidR="00721558">
        <w:softHyphen/>
        <w:t>nativen</w:t>
      </w:r>
      <w:r w:rsidR="00721558">
        <w:softHyphen/>
        <w:t>klasse</w:t>
      </w:r>
      <w:r w:rsidR="007303A6">
        <w:t>n rekonstruiert und dann die angewandten Merkmalsregeln ausgelesen werden.</w:t>
      </w:r>
    </w:p>
    <w:p w:rsidR="00D2554C" w:rsidRDefault="00D2554C">
      <w:pPr>
        <w:pStyle w:val="Text"/>
      </w:pPr>
      <w:r>
        <w:t>Zu (</w:t>
      </w:r>
      <w:r w:rsidR="0030638B">
        <w:t>3</w:t>
      </w:r>
      <w:r>
        <w:t>):</w:t>
      </w:r>
      <w:r>
        <w:tab/>
        <w:t xml:space="preserve">Die </w:t>
      </w:r>
      <w:r w:rsidR="00721558">
        <w:t>Alter</w:t>
      </w:r>
      <w:r w:rsidR="00721558">
        <w:softHyphen/>
        <w:t>nativen</w:t>
      </w:r>
      <w:r w:rsidR="00721558">
        <w:softHyphen/>
        <w:t>klasse</w:t>
      </w:r>
      <w:r>
        <w:t xml:space="preserve">n sind nötig, um das Zeichen </w:t>
      </w:r>
      <w:r w:rsidR="00BE695D">
        <w:t xml:space="preserve">wahrnehmen </w:t>
      </w:r>
      <w:r>
        <w:t>zu können. Sie selbst werden jedoch nicht übermittelt. Daher ist es nötig, dass sie</w:t>
      </w:r>
      <w:r w:rsidR="00106AD1">
        <w:t xml:space="preserve"> Stilanwender und Stilwahrnehmer </w:t>
      </w:r>
      <w:r>
        <w:t xml:space="preserve">in ähnlicher Form zur Verfügung stehen. Dies wird durch eine Ähnlichkeit der </w:t>
      </w:r>
      <w:r w:rsidR="00090EA0">
        <w:t>S</w:t>
      </w:r>
      <w:r>
        <w:t>chemata und des 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den diese gliedern, möglich. Eine hundertprozentige Ähnlichkeit ist jedoch – au</w:t>
      </w:r>
      <w:r>
        <w:t>f</w:t>
      </w:r>
      <w:r>
        <w:t>grund des unterschiedlichen Wissens und der unterschiedlichen Erfahrungen von</w:t>
      </w:r>
      <w:r w:rsidR="00106AD1">
        <w:t xml:space="preserve"> Stilanwender</w:t>
      </w:r>
      <w:r>
        <w:t xml:space="preserve"> und </w:t>
      </w:r>
      <w:r w:rsidR="00106AD1">
        <w:t xml:space="preserve">Stilwahrnehmer </w:t>
      </w:r>
      <w:r>
        <w:t xml:space="preserve">– nicht möglich. Je größer diese Ähnlichkeit, desto genauer können die </w:t>
      </w:r>
      <w:r w:rsidR="00765E66">
        <w:t>Merkmalsregel</w:t>
      </w:r>
      <w:r>
        <w:t>n übermittelt werden.</w:t>
      </w:r>
    </w:p>
    <w:p w:rsidR="00D2554C" w:rsidRDefault="00D2554C">
      <w:pPr>
        <w:pStyle w:val="Text"/>
      </w:pPr>
      <w:r>
        <w:t>Schon eine weitgehende Ähnlichkeit der (aus dem Wissen über Möglic</w:t>
      </w:r>
      <w:r>
        <w:t>h</w:t>
      </w:r>
      <w:r>
        <w:t>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xml:space="preserve"> und Schemata) von</w:t>
      </w:r>
      <w:r w:rsidR="00106AD1">
        <w:t xml:space="preserve"> Stilanwender und Stilwahrnehmer</w:t>
      </w:r>
      <w:r>
        <w:t xml:space="preserve"> konstruierten </w:t>
      </w:r>
      <w:r w:rsidR="00721558">
        <w:t>Alter</w:t>
      </w:r>
      <w:r w:rsidR="00721558">
        <w:softHyphen/>
        <w:t>nativen</w:t>
      </w:r>
      <w:r w:rsidR="00721558">
        <w:softHyphen/>
        <w:t>klasse</w:t>
      </w:r>
      <w:r>
        <w:t xml:space="preserve">n kann ausreichen, um die </w:t>
      </w:r>
      <w:r w:rsidR="00765E66">
        <w:t>Merkmalsregel</w:t>
      </w:r>
      <w:r>
        <w:t>n ohne Abweichu</w:t>
      </w:r>
      <w:r>
        <w:t>n</w:t>
      </w:r>
      <w:r>
        <w:t>gen zu übermitteln. Wird die Ähnlichkeit geringer, kommt es zu einer unpräz</w:t>
      </w:r>
      <w:r>
        <w:t>i</w:t>
      </w:r>
      <w:r>
        <w:t xml:space="preserve">sen Übermittlung der </w:t>
      </w:r>
      <w:r w:rsidR="00765E66">
        <w:t>Merkmalsregel</w:t>
      </w:r>
      <w:r>
        <w:t xml:space="preserve">n: Es </w:t>
      </w:r>
      <w:r w:rsidR="009F2F8A">
        <w:t xml:space="preserve">werden </w:t>
      </w:r>
      <w:r w:rsidR="00765E66">
        <w:t>Merkmalsregel</w:t>
      </w:r>
      <w:r>
        <w:t xml:space="preserve">n </w:t>
      </w:r>
      <w:r w:rsidR="009F2F8A">
        <w:t xml:space="preserve">vom </w:t>
      </w:r>
      <w:r w:rsidR="00AD73D0">
        <w:t>Sti</w:t>
      </w:r>
      <w:r w:rsidR="00AD73D0">
        <w:t>l</w:t>
      </w:r>
      <w:r w:rsidR="00AD73D0">
        <w:t xml:space="preserve">wahrnehmer </w:t>
      </w:r>
      <w:r w:rsidR="009F2F8A">
        <w:t>ausgelesen</w:t>
      </w:r>
      <w:r>
        <w:t xml:space="preserve">, die sich zunehmend von den </w:t>
      </w:r>
      <w:r w:rsidR="009F2F8A">
        <w:t xml:space="preserve">eingeschriebenen </w:t>
      </w:r>
      <w:r>
        <w:t>unte</w:t>
      </w:r>
      <w:r>
        <w:t>r</w:t>
      </w:r>
      <w:r>
        <w:t xml:space="preserve">scheiden. Bei noch geringerer Ähnlichkeit der konstruierten </w:t>
      </w:r>
      <w:r w:rsidR="00721558">
        <w:t>Alter</w:t>
      </w:r>
      <w:r w:rsidR="00721558">
        <w:softHyphen/>
        <w:t>nativen</w:t>
      </w:r>
      <w:r w:rsidR="00721558">
        <w:softHyphen/>
        <w:t>klasse</w:t>
      </w:r>
      <w:r>
        <w:t xml:space="preserve">n wird schließlich nur noch ein Teil der </w:t>
      </w:r>
      <w:r w:rsidR="00765E66">
        <w:t>Merkmalsregel</w:t>
      </w:r>
      <w:r>
        <w:t>n übermittelt, bevor schließlich der Stilprozess ganz zusammenbricht. Der letztere Fall kommt j</w:t>
      </w:r>
      <w:r>
        <w:t>e</w:t>
      </w:r>
      <w:r>
        <w:t>doch in der Praxis nicht so häufig vo</w:t>
      </w:r>
      <w:r w:rsidR="00A16482">
        <w:t>r, wie es gelegentlich angenomm</w:t>
      </w:r>
      <w:r>
        <w:t xml:space="preserve">en wird: Verschiedene Kulturen mögen sich zunächst noch so fremd sein, sobald man sich ein </w:t>
      </w:r>
      <w:r w:rsidR="00090EA0">
        <w:t xml:space="preserve">ausreichendes </w:t>
      </w:r>
      <w:r>
        <w:t xml:space="preserve">Wissen über </w:t>
      </w:r>
      <w:r w:rsidR="00090EA0">
        <w:t>das verwendete Schema und den Möglic</w:t>
      </w:r>
      <w:r w:rsidR="00090EA0">
        <w:t>h</w:t>
      </w:r>
      <w:r w:rsidR="00090EA0">
        <w:t xml:space="preserve">keitsraum </w:t>
      </w:r>
      <w:r>
        <w:t>aneignet</w:t>
      </w:r>
      <w:r w:rsidR="00090EA0">
        <w:t xml:space="preserve">, </w:t>
      </w:r>
      <w:r>
        <w:t xml:space="preserve">ist es auch möglich, </w:t>
      </w:r>
      <w:r w:rsidR="00090EA0">
        <w:t xml:space="preserve">die Merkmalsregeln </w:t>
      </w:r>
      <w:r>
        <w:t xml:space="preserve">zumindest ähnlich </w:t>
      </w:r>
      <w:r w:rsidR="00AD73D0">
        <w:t>auszulesen</w:t>
      </w:r>
      <w:r>
        <w:t xml:space="preserve">, wie sie </w:t>
      </w:r>
      <w:r w:rsidR="00AD73D0">
        <w:t>eingeschrieben wurden</w:t>
      </w:r>
      <w:r>
        <w:t>.</w:t>
      </w:r>
      <w:r w:rsidR="00090EA0">
        <w:rPr>
          <w:rStyle w:val="Funotenzeichen"/>
        </w:rPr>
        <w:footnoteReference w:id="353"/>
      </w:r>
      <w:r w:rsidR="00090EA0">
        <w:t xml:space="preserve"> </w:t>
      </w:r>
      <w:r>
        <w:t xml:space="preserve">Hilfreich kann es auch sein, wenn der </w:t>
      </w:r>
      <w:r w:rsidR="00C75387">
        <w:t>Stilanwender</w:t>
      </w:r>
      <w:r>
        <w:t xml:space="preserve"> das vermutete Wissen des </w:t>
      </w:r>
      <w:r w:rsidR="00AD73D0">
        <w:t>Stilwahrnehmer</w:t>
      </w:r>
      <w:r>
        <w:t xml:space="preserve">s </w:t>
      </w:r>
      <w:r w:rsidR="00CF26FE">
        <w:t xml:space="preserve">beim </w:t>
      </w:r>
      <w:r w:rsidR="00AD73D0">
        <w:t xml:space="preserve">Einschreiben </w:t>
      </w:r>
      <w:r>
        <w:t>berücksichtigt.</w:t>
      </w:r>
    </w:p>
    <w:p w:rsidR="00C06568" w:rsidRDefault="000458C6" w:rsidP="002E4AB8">
      <w:pPr>
        <w:pStyle w:val="Text"/>
        <w:spacing w:before="240" w:after="240"/>
        <w:ind w:firstLine="0"/>
      </w:pPr>
      <w:r>
        <w:t>Abb.</w:t>
      </w:r>
      <w:r w:rsidR="000E50C3">
        <w:t xml:space="preserve"> 2</w:t>
      </w:r>
      <w:r w:rsidR="00D2554C">
        <w:t xml:space="preserve"> gibt den </w:t>
      </w:r>
      <w:r w:rsidR="00381829">
        <w:t xml:space="preserve">Merkmalsprozess </w:t>
      </w:r>
      <w:r w:rsidR="00D2554C">
        <w:t xml:space="preserve">schematisch wieder. </w:t>
      </w:r>
      <w:r w:rsidR="00446FC9">
        <w:t>– Man</w:t>
      </w:r>
      <w:r w:rsidR="00A16482">
        <w:t xml:space="preserve"> beachte, dass die Realisierung in der Realität bis zu </w:t>
      </w:r>
      <w:r w:rsidR="003E101E">
        <w:t xml:space="preserve">vierdimensional ist </w:t>
      </w:r>
      <w:r w:rsidR="00A16482">
        <w:t xml:space="preserve">(etwa ein Fest oder eine Theateraufführung). </w:t>
      </w:r>
      <w:r w:rsidR="00446FC9">
        <w:t>Für die formale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446FC9">
        <w:t xml:space="preserve"> wird sie </w:t>
      </w:r>
      <w:r w:rsidR="003E101E">
        <w:t xml:space="preserve">jedoch </w:t>
      </w:r>
      <w:r w:rsidR="00446FC9">
        <w:t>in eine A</w:t>
      </w:r>
      <w:r w:rsidR="00446FC9">
        <w:t>n</w:t>
      </w:r>
      <w:r w:rsidR="00446FC9">
        <w:t>ordnung von</w:t>
      </w:r>
      <w:r w:rsidR="00B32D57">
        <w:t xml:space="preserve"> </w:t>
      </w:r>
      <w:r w:rsidR="00721558">
        <w:t>Alter</w:t>
      </w:r>
      <w:r w:rsidR="00721558">
        <w:softHyphen/>
        <w:t>nativen</w:t>
      </w:r>
      <w:r w:rsidR="00721558">
        <w:softHyphen/>
        <w:t>klasse</w:t>
      </w:r>
      <w:r w:rsidR="00B32D57">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rsidR="00B32D57">
        <w:t xml:space="preserve"> überführt (</w:t>
      </w:r>
      <w:r w:rsidR="00446FC9">
        <w:t xml:space="preserve">vgl. Abschnitt </w:t>
      </w:r>
      <w:r w:rsidR="005D7996">
        <w:fldChar w:fldCharType="begin"/>
      </w:r>
      <w:r w:rsidR="00446FC9">
        <w:instrText xml:space="preserve"> REF _Ref212453073 \r \h </w:instrText>
      </w:r>
      <w:r w:rsidR="005D7996">
        <w:fldChar w:fldCharType="separate"/>
      </w:r>
      <w:r w:rsidR="001231D3">
        <w:t>4.5</w:t>
      </w:r>
      <w:r w:rsidR="005D7996">
        <w:fldChar w:fldCharType="end"/>
      </w:r>
      <w:r w:rsidR="00B32D57">
        <w:t>),</w:t>
      </w:r>
      <w:r w:rsidR="00A16482">
        <w:t xml:space="preserve"> aus denen j</w:t>
      </w:r>
      <w:r w:rsidR="00A16482">
        <w:t>e</w:t>
      </w:r>
      <w:r w:rsidR="00A16482">
        <w:t xml:space="preserve">weils ein Element ausgewählt wird, so dass sie in Form einer Anordnung von Elementen vorliegt; </w:t>
      </w:r>
      <w:r w:rsidR="001819D0">
        <w:t>in dieser Form wird sie hier visualisiert.</w:t>
      </w:r>
    </w:p>
    <w:p w:rsidR="002E4AB8" w:rsidRDefault="009C3208" w:rsidP="00AA0C35">
      <w:pPr>
        <w:pStyle w:val="Text"/>
        <w:ind w:firstLine="0"/>
      </w:pPr>
      <w:r>
        <w:rPr>
          <w:noProof/>
        </w:rPr>
        <w:lastRenderedPageBreak/>
        <w:drawing>
          <wp:inline distT="0" distB="0" distL="0" distR="0">
            <wp:extent cx="4320540" cy="2872446"/>
            <wp:effectExtent l="19050" t="0" r="3810" b="0"/>
            <wp:docPr id="1" name="Abbildung 2.jpg" descr="C:\Users\Martin\Docs\Uni\Diss\Abbildungen und weitere Materialien\Abbild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2.jpg"/>
                    <pic:cNvPicPr/>
                  </pic:nvPicPr>
                  <pic:blipFill>
                    <a:blip r:embed="rId24" cstate="print"/>
                    <a:stretch>
                      <a:fillRect/>
                    </a:stretch>
                  </pic:blipFill>
                  <pic:spPr>
                    <a:xfrm>
                      <a:off x="0" y="0"/>
                      <a:ext cx="4320540" cy="2872446"/>
                    </a:xfrm>
                    <a:prstGeom prst="rect">
                      <a:avLst/>
                    </a:prstGeom>
                  </pic:spPr>
                </pic:pic>
              </a:graphicData>
            </a:graphic>
          </wp:inline>
        </w:drawing>
      </w:r>
    </w:p>
    <w:p w:rsidR="00827C01" w:rsidRDefault="00DC222C" w:rsidP="00B73673">
      <w:pPr>
        <w:pStyle w:val="Beschriftung"/>
      </w:pPr>
      <w:bookmarkStart w:id="230" w:name="_Toc323036037"/>
      <w:r w:rsidRPr="004C3839">
        <w:rPr>
          <w:b/>
        </w:rPr>
        <w:t xml:space="preserve">Abb. </w:t>
      </w:r>
      <w:r w:rsidR="004C3839" w:rsidRPr="004C3839">
        <w:rPr>
          <w:b/>
        </w:rPr>
        <w:t>2</w:t>
      </w:r>
      <w:r w:rsidR="004C3839">
        <w:tab/>
      </w:r>
      <w:r w:rsidRPr="00B73673">
        <w:t>Der Merkmalsprozess</w:t>
      </w:r>
      <w:bookmarkEnd w:id="230"/>
      <w:r w:rsidR="005D7996">
        <w:fldChar w:fldCharType="begin"/>
      </w:r>
      <w:r w:rsidR="000F46C0">
        <w:instrText xml:space="preserve"> XE "</w:instrText>
      </w:r>
      <w:r w:rsidR="000F46C0" w:rsidRPr="00582DC7">
        <w:instrText>Merkmalsprozess:</w:instrText>
      </w:r>
      <w:r w:rsidR="000F46C0" w:rsidRPr="000F46C0">
        <w:rPr>
          <w:i/>
        </w:rPr>
        <w:instrText>Abbildung</w:instrText>
      </w:r>
      <w:r w:rsidR="000F46C0">
        <w:instrText xml:space="preserve">" </w:instrText>
      </w:r>
      <w:r w:rsidR="005D7996">
        <w:fldChar w:fldCharType="end"/>
      </w:r>
    </w:p>
    <w:p w:rsidR="00D2554C" w:rsidRDefault="00D2554C" w:rsidP="006254FC">
      <w:pPr>
        <w:pStyle w:val="Zwischenberschrift"/>
        <w:spacing w:before="360"/>
      </w:pPr>
      <w:r>
        <w:t>Erläuterung der Abbildung</w:t>
      </w:r>
    </w:p>
    <w:p w:rsidR="00D2554C" w:rsidRDefault="00D2554C" w:rsidP="00B73673">
      <w:pPr>
        <w:pStyle w:val="Text"/>
        <w:ind w:firstLine="0"/>
      </w:pPr>
      <w:r>
        <w:t xml:space="preserve">In der Grafik sind die </w:t>
      </w:r>
      <w:r w:rsidR="00721558">
        <w:t>Alter</w:t>
      </w:r>
      <w:r w:rsidR="00721558">
        <w:softHyphen/>
        <w:t>nativen</w:t>
      </w:r>
      <w:r w:rsidR="00721558">
        <w:softHyphen/>
        <w:t>klasse</w:t>
      </w:r>
      <w:r>
        <w:t>n durch geschweifte Klammern darg</w:t>
      </w:r>
      <w:r>
        <w:t>e</w:t>
      </w:r>
      <w:r>
        <w:t>stellt, die jeweils eine Reihe von Elementen enthalten, die durch Rechtecke da</w:t>
      </w:r>
      <w:r>
        <w:t>r</w:t>
      </w:r>
      <w:r>
        <w:t xml:space="preserve">gestellt sind. Die Realisierung wird als horizontale </w:t>
      </w:r>
      <w:r w:rsidR="00312C6D">
        <w:t xml:space="preserve">fette </w:t>
      </w:r>
      <w:r>
        <w:t>gestrichelte Linie darg</w:t>
      </w:r>
      <w:r>
        <w:t>e</w:t>
      </w:r>
      <w:r>
        <w:t xml:space="preserve">stellt. Das Element der </w:t>
      </w:r>
      <w:r w:rsidR="00721558">
        <w:t>Alter</w:t>
      </w:r>
      <w:r w:rsidR="00721558">
        <w:softHyphen/>
        <w:t>nativen</w:t>
      </w:r>
      <w:r w:rsidR="00721558">
        <w:softHyphen/>
        <w:t>klasse</w:t>
      </w:r>
      <w:r>
        <w:t>, das sich an der entsprechenden Real</w:t>
      </w:r>
      <w:r>
        <w:t>i</w:t>
      </w:r>
      <w:r>
        <w:t>sierungsstelle findet, ist durch Einfügung der Diagonalen ‚angekreuzt‘. Die Darstellung befindet sich in einem Koordinatensystem, dessen beide Achsen die Hauptprinzipien bei der Herstellung eines komplexen Verhaltens bezeichnen: Auswahl (aus einer Reihe von Möglichkeiten für eine bestimmte Realisierung</w:t>
      </w:r>
      <w:r>
        <w:t>s</w:t>
      </w:r>
      <w:r>
        <w:t>stelle) und Kombination (der ausgewählten Elemente aus verschiedenen Einze</w:t>
      </w:r>
      <w:r>
        <w:t>l</w:t>
      </w:r>
      <w:r>
        <w:t>elementen zu einer Realisierung).</w:t>
      </w:r>
    </w:p>
    <w:p w:rsidR="00D2554C" w:rsidRDefault="00D2554C">
      <w:pPr>
        <w:pStyle w:val="Text"/>
      </w:pPr>
      <w:r>
        <w:t xml:space="preserve">Die Darstellung entspricht damit im </w:t>
      </w:r>
      <w:r w:rsidR="00B7173B">
        <w:t>W</w:t>
      </w:r>
      <w:r>
        <w:t>esentlichen der im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t xml:space="preserve"> üblichen Darstellung von Texterzeugungsprozessen</w:t>
      </w:r>
      <w:r w:rsidR="00576F93">
        <w:t>, bei denen von einer „Achse der Selektion</w:t>
      </w:r>
      <w:r w:rsidR="005D7996">
        <w:fldChar w:fldCharType="begin"/>
      </w:r>
      <w:r w:rsidR="00733EB6">
        <w:instrText xml:space="preserve"> XE "</w:instrText>
      </w:r>
      <w:r w:rsidR="00733EB6" w:rsidRPr="00B36D63">
        <w:instrText>Achse der</w:instrText>
      </w:r>
      <w:r w:rsidR="00724A7D" w:rsidRPr="00724A7D">
        <w:instrText xml:space="preserve"> </w:instrText>
      </w:r>
      <w:r w:rsidR="00724A7D" w:rsidRPr="00B36D63">
        <w:instrText>Selektion</w:instrText>
      </w:r>
      <w:r w:rsidR="00733EB6">
        <w:instrText xml:space="preserve">" </w:instrText>
      </w:r>
      <w:r w:rsidR="005D7996">
        <w:fldChar w:fldCharType="end"/>
      </w:r>
      <w:r w:rsidR="00576F93">
        <w:t>“ und einer „Achse der Kombination</w:t>
      </w:r>
      <w:r w:rsidR="005D7996">
        <w:fldChar w:fldCharType="begin"/>
      </w:r>
      <w:r w:rsidR="00733EB6">
        <w:instrText xml:space="preserve"> XE "</w:instrText>
      </w:r>
      <w:r w:rsidR="00733EB6" w:rsidRPr="00492F65">
        <w:instrText>Achse der</w:instrText>
      </w:r>
      <w:r w:rsidR="00724A7D" w:rsidRPr="00724A7D">
        <w:instrText xml:space="preserve"> </w:instrText>
      </w:r>
      <w:r w:rsidR="00724A7D" w:rsidRPr="00492F65">
        <w:instrText>Kombination</w:instrText>
      </w:r>
      <w:r w:rsidR="00733EB6">
        <w:instrText xml:space="preserve">" </w:instrText>
      </w:r>
      <w:r w:rsidR="005D7996">
        <w:fldChar w:fldCharType="end"/>
      </w:r>
      <w:r w:rsidR="00576F93">
        <w:t>“ gesprochen wird</w:t>
      </w:r>
      <w:r>
        <w:t>.</w:t>
      </w:r>
      <w:r>
        <w:rPr>
          <w:rStyle w:val="Funotenzeichen"/>
        </w:rPr>
        <w:footnoteReference w:id="354"/>
      </w:r>
      <w:r>
        <w:t xml:space="preserve"> Dort werden als Elemente allerdings Zeichen angenommen, während hier die Eleme</w:t>
      </w:r>
      <w:r>
        <w:t>n</w:t>
      </w:r>
      <w:r>
        <w:t xml:space="preserve">te </w:t>
      </w:r>
      <w:r w:rsidR="00B7173B">
        <w:t xml:space="preserve">Aspekte von Verhalten, Artefakten oder Texten </w:t>
      </w:r>
      <w:r>
        <w:t>sind.</w:t>
      </w:r>
      <w:r w:rsidR="00B7173B">
        <w:rPr>
          <w:rStyle w:val="Funotenzeichen"/>
        </w:rPr>
        <w:footnoteReference w:id="355"/>
      </w:r>
      <w:r>
        <w:t xml:space="preserve"> Da unter bestimmten Umständen auch Zeichen auftreten können,</w:t>
      </w:r>
      <w:r>
        <w:rPr>
          <w:rStyle w:val="Funotenzeichen"/>
        </w:rPr>
        <w:footnoteReference w:id="356"/>
      </w:r>
      <w:r>
        <w:t xml:space="preserve"> kann man von einer Verallgeme</w:t>
      </w:r>
      <w:r>
        <w:t>i</w:t>
      </w:r>
      <w:r>
        <w:lastRenderedPageBreak/>
        <w:t>nerung gegenüber der strukturalistischen Darstellung sprechen. Um keine Ve</w:t>
      </w:r>
      <w:r>
        <w:t>r</w:t>
      </w:r>
      <w:r>
        <w:t xml:space="preserve">wirrung aufkommen zu lassen und nicht den Eindruck zu erzeugen, es handele sich bei den Elementen immer um Zeichen, wurden für die vorliegende Theorie die </w:t>
      </w:r>
      <w:r w:rsidR="002D1D21">
        <w:t>Bezeichnungen „</w:t>
      </w:r>
      <w:r w:rsidR="00721558">
        <w:t>Alter</w:t>
      </w:r>
      <w:r w:rsidR="00721558">
        <w:softHyphen/>
        <w:t>nativen</w:t>
      </w:r>
      <w:r w:rsidR="00721558">
        <w:softHyphen/>
        <w:t>klasse</w:t>
      </w:r>
      <w:r w:rsidR="002D1D21">
        <w:t>“</w:t>
      </w:r>
      <w:r>
        <w:t xml:space="preserve"> und </w:t>
      </w:r>
      <w:r w:rsidR="002D1D21">
        <w:t>„</w:t>
      </w:r>
      <w:r>
        <w:t>Realisierung</w:t>
      </w:r>
      <w:r w:rsidR="002D1D21">
        <w:t>“</w:t>
      </w:r>
      <w:r>
        <w:t xml:space="preserve"> verwendet (vgl. A</w:t>
      </w:r>
      <w:r>
        <w:t>b</w:t>
      </w:r>
      <w:r>
        <w:t>schnitt</w:t>
      </w:r>
      <w:r w:rsidR="009F26D8">
        <w:t xml:space="preserve"> </w:t>
      </w:r>
      <w:r w:rsidR="005D7996">
        <w:fldChar w:fldCharType="begin"/>
      </w:r>
      <w:r w:rsidR="009F26D8">
        <w:instrText xml:space="preserve"> REF _Ref267685078 \r \h </w:instrText>
      </w:r>
      <w:r w:rsidR="005D7996">
        <w:fldChar w:fldCharType="separate"/>
      </w:r>
      <w:r w:rsidR="001231D3">
        <w:t>2.4</w:t>
      </w:r>
      <w:r w:rsidR="005D7996">
        <w:fldChar w:fldCharType="end"/>
      </w:r>
      <w:r>
        <w:t>).</w:t>
      </w:r>
    </w:p>
    <w:p w:rsidR="008B2A7C" w:rsidRDefault="00D2554C">
      <w:pPr>
        <w:pStyle w:val="Text"/>
      </w:pPr>
      <w:r>
        <w:t>Verwendet wird ein zweiteiliges Zeichenmodell in der Tradition Saussures und des Strukturalismus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t>, da dies zur Beschreibung des Stilprozesses ausreicht. Die beiden Teile des Zeichens, Zeichenträger und Zeicheninhalt, sind durch g</w:t>
      </w:r>
      <w:r>
        <w:t>e</w:t>
      </w:r>
      <w:r>
        <w:t xml:space="preserve">strichelte </w:t>
      </w:r>
      <w:r w:rsidR="008B2A7C">
        <w:t>Rahmen abgegrenzt.</w:t>
      </w:r>
    </w:p>
    <w:p w:rsidR="002E18B6" w:rsidRDefault="008B2A7C">
      <w:pPr>
        <w:pStyle w:val="Text"/>
      </w:pPr>
      <w:r>
        <w:t>Die Zeichenmaterie</w:t>
      </w:r>
      <w:r w:rsidR="005D7996">
        <w:fldChar w:fldCharType="begin"/>
      </w:r>
      <w:r w:rsidR="00F56899">
        <w:instrText xml:space="preserve"> XE "</w:instrText>
      </w:r>
      <w:r w:rsidR="00F56899" w:rsidRPr="00A32394">
        <w:rPr>
          <w:bCs/>
        </w:rPr>
        <w:instrText>Zeichenmaterie</w:instrText>
      </w:r>
      <w:r w:rsidR="00F56899">
        <w:instrText xml:space="preserve">" </w:instrText>
      </w:r>
      <w:r w:rsidR="005D7996">
        <w:fldChar w:fldCharType="end"/>
      </w:r>
      <w:r>
        <w:t xml:space="preserve"> ist eine Realisierung oder </w:t>
      </w:r>
      <w:r w:rsidR="00EB4631">
        <w:t>ein</w:t>
      </w:r>
      <w:r w:rsidR="00ED4D35">
        <w:t xml:space="preserve"> Teilstück einer </w:t>
      </w:r>
      <w:r>
        <w:t>Realisi</w:t>
      </w:r>
      <w:r>
        <w:t>e</w:t>
      </w:r>
      <w:r>
        <w:t xml:space="preserve">rung. </w:t>
      </w:r>
      <w:r w:rsidR="002E18B6">
        <w:t>D</w:t>
      </w:r>
      <w:r w:rsidR="00A263FD">
        <w:t>er Zeichenträger besteht aus den stilistischen Merkmalen (also den durch</w:t>
      </w:r>
      <w:r w:rsidR="002E18B6">
        <w:t xml:space="preserve"> </w:t>
      </w:r>
      <w:r w:rsidR="00A263FD">
        <w:t xml:space="preserve">Anwendung von Merkmalsregeln erzeugten Regelmäßigkeiten; vgl. Abschnitt </w:t>
      </w:r>
      <w:r w:rsidR="005D7996">
        <w:fldChar w:fldCharType="begin"/>
      </w:r>
      <w:r w:rsidR="00A263FD">
        <w:instrText xml:space="preserve"> REF _Ref273429486 \r \h </w:instrText>
      </w:r>
      <w:r w:rsidR="005D7996">
        <w:fldChar w:fldCharType="separate"/>
      </w:r>
      <w:r w:rsidR="001231D3">
        <w:t>2.11</w:t>
      </w:r>
      <w:r w:rsidR="005D7996">
        <w:fldChar w:fldCharType="end"/>
      </w:r>
      <w:r w:rsidR="00A263FD">
        <w:t xml:space="preserve">), die in </w:t>
      </w:r>
      <w:r w:rsidR="00312C6D">
        <w:t xml:space="preserve">der </w:t>
      </w:r>
      <w:r w:rsidR="002E18B6">
        <w:t xml:space="preserve">Realisierung </w:t>
      </w:r>
      <w:r w:rsidR="00ED4D35">
        <w:t xml:space="preserve">oder dem Realisierungsstück </w:t>
      </w:r>
      <w:r w:rsidR="00312C6D">
        <w:t>unter Berücksicht</w:t>
      </w:r>
      <w:r w:rsidR="00312C6D">
        <w:t>i</w:t>
      </w:r>
      <w:r w:rsidR="00312C6D">
        <w:t xml:space="preserve">gung der </w:t>
      </w:r>
      <w:r w:rsidR="00721558">
        <w:t>Alter</w:t>
      </w:r>
      <w:r w:rsidR="00721558">
        <w:softHyphen/>
        <w:t>nativen</w:t>
      </w:r>
      <w:r w:rsidR="00721558">
        <w:softHyphen/>
        <w:t>klasse</w:t>
      </w:r>
      <w:r w:rsidR="00312C6D">
        <w:t xml:space="preserve">n </w:t>
      </w:r>
      <w:r w:rsidR="00A263FD">
        <w:t>feststellbar sind.</w:t>
      </w:r>
      <w:r w:rsidR="00312C6D">
        <w:t xml:space="preserve"> Da die </w:t>
      </w:r>
      <w:r w:rsidR="00721558">
        <w:t>Alter</w:t>
      </w:r>
      <w:r w:rsidR="00721558">
        <w:softHyphen/>
        <w:t>nativen</w:t>
      </w:r>
      <w:r w:rsidR="00721558">
        <w:softHyphen/>
        <w:t>klasse</w:t>
      </w:r>
      <w:r w:rsidR="00312C6D">
        <w:t>n b</w:t>
      </w:r>
      <w:r w:rsidR="00312C6D">
        <w:t>e</w:t>
      </w:r>
      <w:r w:rsidR="00312C6D">
        <w:t xml:space="preserve">rücksichtigt werden müssen, sind sie in den </w:t>
      </w:r>
      <w:r w:rsidR="00836D46">
        <w:t>Rahmen eingeschlossen.</w:t>
      </w:r>
    </w:p>
    <w:p w:rsidR="00D2554C" w:rsidRDefault="00D2554C">
      <w:pPr>
        <w:pStyle w:val="Text"/>
      </w:pPr>
      <w:r>
        <w:t xml:space="preserve">Der Zeicheninhalt besteht aus einer Reihe von </w:t>
      </w:r>
      <w:r w:rsidR="00765E66">
        <w:t>Merkmalsregel</w:t>
      </w:r>
      <w:r w:rsidR="00EB4631">
        <w:t xml:space="preserve">n, die im Merkmalsprozess in das entsprechende </w:t>
      </w:r>
      <w:r>
        <w:t xml:space="preserve">Realisierungsstück </w:t>
      </w:r>
      <w:r w:rsidR="00EB4631">
        <w:t xml:space="preserve">eingeschrieben oder aus ihm ausgelesen werden (vgl. Abschnitt </w:t>
      </w:r>
      <w:r w:rsidR="005D7996">
        <w:fldChar w:fldCharType="begin"/>
      </w:r>
      <w:r w:rsidR="00EB4631">
        <w:instrText xml:space="preserve"> REF _Ref272607625 \r \h </w:instrText>
      </w:r>
      <w:r w:rsidR="005D7996">
        <w:fldChar w:fldCharType="separate"/>
      </w:r>
      <w:r w:rsidR="001231D3">
        <w:t>2.13</w:t>
      </w:r>
      <w:r w:rsidR="005D7996">
        <w:fldChar w:fldCharType="end"/>
      </w:r>
      <w:r w:rsidR="00EB4631">
        <w:t>)</w:t>
      </w:r>
      <w:r w:rsidR="00824DC3">
        <w:t xml:space="preserve">. Im Interpretationsprozess wird dann versucht, </w:t>
      </w:r>
      <w:r w:rsidR="00ED4D35">
        <w:t xml:space="preserve">weitere Informationen daraus zu gewinnen (vgl. Kapitel </w:t>
      </w:r>
      <w:r>
        <w:t>6</w:t>
      </w:r>
      <w:r w:rsidR="007E2844">
        <w:t xml:space="preserve"> und 7</w:t>
      </w:r>
      <w:r w:rsidR="00ED4D35">
        <w:t>).</w:t>
      </w:r>
    </w:p>
    <w:p w:rsidR="00D2554C" w:rsidRDefault="00D2554C">
      <w:pPr>
        <w:pStyle w:val="Text"/>
      </w:pPr>
      <w:r>
        <w:t xml:space="preserve">Für einen Zeichenprozess, wie er oben dargestellt ist, kann ein beliebiges Realisierungsstück ausgewählt werden. Dabei ist klar, dass die Genauigkeit </w:t>
      </w:r>
      <w:r w:rsidR="00ED4D35">
        <w:t xml:space="preserve">des Auslesens </w:t>
      </w:r>
      <w:r>
        <w:t xml:space="preserve">der </w:t>
      </w:r>
      <w:r w:rsidR="00765E66">
        <w:t>Merkmalsregel</w:t>
      </w:r>
      <w:r>
        <w:t xml:space="preserve">n steigt, wenn das </w:t>
      </w:r>
      <w:r w:rsidR="00D61585">
        <w:t xml:space="preserve">Realisierungsstück </w:t>
      </w:r>
      <w:r>
        <w:t>länger wird. Dies gilt allerdings nur, wenn es keine Veränderungen innerhalb der bei</w:t>
      </w:r>
      <w:r w:rsidR="00CF26FE">
        <w:t>m Ei</w:t>
      </w:r>
      <w:r w:rsidR="00CF26FE">
        <w:t>n</w:t>
      </w:r>
      <w:r w:rsidR="00CF26FE">
        <w:t>schreiben</w:t>
      </w:r>
      <w:r>
        <w:t xml:space="preserve"> angewandten Menge der </w:t>
      </w:r>
      <w:r w:rsidR="00765E66">
        <w:t>Merkmalsregel</w:t>
      </w:r>
      <w:r>
        <w:t xml:space="preserve">n gibt. Solche Wechsel wollen wir als </w:t>
      </w:r>
      <w:r w:rsidRPr="00ED4D35">
        <w:rPr>
          <w:bCs/>
          <w:i/>
        </w:rPr>
        <w:t>Stilwechsel</w:t>
      </w:r>
      <w:r w:rsidR="005D7996">
        <w:rPr>
          <w:bCs/>
          <w:i/>
        </w:rPr>
        <w:fldChar w:fldCharType="begin"/>
      </w:r>
      <w:r w:rsidR="00A37A14">
        <w:instrText xml:space="preserve"> XE "</w:instrText>
      </w:r>
      <w:r w:rsidR="00A37A14" w:rsidRPr="00EF5E2C">
        <w:instrText>Stilwechsel</w:instrText>
      </w:r>
      <w:r w:rsidR="00A37A14">
        <w:instrText xml:space="preserve">" </w:instrText>
      </w:r>
      <w:r w:rsidR="005D7996">
        <w:rPr>
          <w:bCs/>
          <w:i/>
        </w:rPr>
        <w:fldChar w:fldCharType="end"/>
      </w:r>
      <w:r w:rsidRPr="00DD0752">
        <w:rPr>
          <w:bCs/>
        </w:rPr>
        <w:t xml:space="preserve"> </w:t>
      </w:r>
      <w:r>
        <w:t xml:space="preserve">bezeichnen. Wird ein Realisierungsstück für die Untersuchung des Stils gewählt, in dem ein Stilwechsel stattfindet, wird ein anderer Stil (eine Mischung aus den beiden </w:t>
      </w:r>
      <w:r w:rsidR="00233C31">
        <w:t xml:space="preserve">angewendeten </w:t>
      </w:r>
      <w:r>
        <w:t>Stilen) herausgefunden, als wenn die Stücke zu beiden Seiten des Stilwechsels betrachtet werden. Dass es sich um einen Stilwechsel handelt, kann nur durch Ausprobieren herausgefunden werden, indem verschiedene Realisierungsstücke überprüft und die sich ergebenden Ze</w:t>
      </w:r>
      <w:r>
        <w:t>i</w:t>
      </w:r>
      <w:r>
        <w:t>cheninhalte verglichen werden.</w:t>
      </w:r>
    </w:p>
    <w:p w:rsidR="00D2554C" w:rsidRDefault="00D2554C">
      <w:pPr>
        <w:pStyle w:val="Text"/>
      </w:pPr>
      <w:r>
        <w:t>Dass es keine festen Grenzen für die Betrachtung gibt, ist ein wichtiger Vorteil der hier vorgelegten Theorie. Tatsächlich entspricht dies unserem U</w:t>
      </w:r>
      <w:r>
        <w:t>m</w:t>
      </w:r>
      <w:r>
        <w:t>gang mit Stilen, da man etwa beim ‚Hineinlesen‘ in ein Buch an beliebiger Stelle oft rasch einen stilistischen Eindruck erhält. Ebenso können Stile innerhalb eines Buches wechseln, oft gibt es leichte Stilveränderungen in einem Fließtext. Dies alles kann mit Hilfe dieser Theorie präzise abgebildet werden: Die leichten Sti</w:t>
      </w:r>
      <w:r>
        <w:t>l</w:t>
      </w:r>
      <w:r>
        <w:t>veränderungen werden häufig aus einer Veränderung der Anwendungswah</w:t>
      </w:r>
      <w:r>
        <w:t>r</w:t>
      </w:r>
      <w:r>
        <w:t xml:space="preserve">scheinlichkeit </w:t>
      </w:r>
      <w:r>
        <w:rPr>
          <w:i/>
          <w:iCs/>
        </w:rPr>
        <w:t>w</w:t>
      </w:r>
      <w:r>
        <w:t xml:space="preserve"> einer oder mehrerer </w:t>
      </w:r>
      <w:r w:rsidR="00765E66">
        <w:t>Merkmalsregel</w:t>
      </w:r>
      <w:r>
        <w:t xml:space="preserve">n (vgl. Abschnitt </w:t>
      </w:r>
      <w:r w:rsidR="005D7996">
        <w:fldChar w:fldCharType="begin"/>
      </w:r>
      <w:r>
        <w:instrText xml:space="preserve"> REF _Ref211937722 \r \h </w:instrText>
      </w:r>
      <w:r w:rsidR="005D7996">
        <w:fldChar w:fldCharType="separate"/>
      </w:r>
      <w:r w:rsidR="001231D3">
        <w:t>5.3.1</w:t>
      </w:r>
      <w:r w:rsidR="005D7996">
        <w:fldChar w:fldCharType="end"/>
      </w:r>
      <w:r>
        <w:t>) oder aus einer Veränderung ihrer Priorisierung</w:t>
      </w:r>
      <w:r w:rsidR="005D7996">
        <w:fldChar w:fldCharType="begin"/>
      </w:r>
      <w:r w:rsidR="007B15C8">
        <w:instrText xml:space="preserve"> XE "</w:instrText>
      </w:r>
      <w:r w:rsidR="007B15C8" w:rsidRPr="005F58EF">
        <w:instrText>Priorisierung</w:instrText>
      </w:r>
      <w:r w:rsidR="007B15C8">
        <w:instrText xml:space="preserve">" </w:instrText>
      </w:r>
      <w:r w:rsidR="005D7996">
        <w:fldChar w:fldCharType="end"/>
      </w:r>
      <w:r>
        <w:t xml:space="preserve"> bestehen (Abschnitt </w:t>
      </w:r>
      <w:r w:rsidR="005D7996">
        <w:fldChar w:fldCharType="begin"/>
      </w:r>
      <w:r>
        <w:instrText xml:space="preserve"> REF _Ref212123094 \n \h </w:instrText>
      </w:r>
      <w:r w:rsidR="005D7996">
        <w:fldChar w:fldCharType="separate"/>
      </w:r>
      <w:r w:rsidR="001231D3">
        <w:t>5.3.2</w:t>
      </w:r>
      <w:r w:rsidR="005D7996">
        <w:fldChar w:fldCharType="end"/>
      </w:r>
      <w:r>
        <w:t xml:space="preserve">), vielleicht auch aus dem Austausch einer oder mehrerer selten angewandter oder wenig </w:t>
      </w:r>
      <w:r>
        <w:lastRenderedPageBreak/>
        <w:t xml:space="preserve">auffälliger </w:t>
      </w:r>
      <w:r w:rsidR="00765E66">
        <w:t>Merkmalsregel</w:t>
      </w:r>
      <w:r>
        <w:t>n. Solche Stilwechsel</w:t>
      </w:r>
      <w:r w:rsidR="005D7996">
        <w:fldChar w:fldCharType="begin"/>
      </w:r>
      <w:r w:rsidR="00A37A14">
        <w:instrText xml:space="preserve"> XE "</w:instrText>
      </w:r>
      <w:r w:rsidR="00A37A14" w:rsidRPr="00EF5E2C">
        <w:instrText>Stilwechsel</w:instrText>
      </w:r>
      <w:r w:rsidR="00A37A14">
        <w:instrText xml:space="preserve">" </w:instrText>
      </w:r>
      <w:r w:rsidR="005D7996">
        <w:fldChar w:fldCharType="end"/>
      </w:r>
      <w:r>
        <w:t xml:space="preserve"> in einem betrachteten Realisi</w:t>
      </w:r>
      <w:r>
        <w:t>e</w:t>
      </w:r>
      <w:r>
        <w:t xml:space="preserve">rungsstück </w:t>
      </w:r>
      <w:r w:rsidR="00CF26FE">
        <w:t>führen notwendigerweise zu einem</w:t>
      </w:r>
      <w:r>
        <w:t xml:space="preserve"> geringfügig abweichenden </w:t>
      </w:r>
      <w:r w:rsidR="00CF26FE">
        <w:t>eing</w:t>
      </w:r>
      <w:r w:rsidR="00CF26FE">
        <w:t>e</w:t>
      </w:r>
      <w:r w:rsidR="00CF26FE">
        <w:t>schriebenen Stil</w:t>
      </w:r>
      <w:r>
        <w:t xml:space="preserve">: </w:t>
      </w:r>
      <w:r w:rsidR="00CF26FE">
        <w:t>D</w:t>
      </w:r>
      <w:r>
        <w:t>iese</w:t>
      </w:r>
      <w:r w:rsidR="00CF26FE">
        <w:t>r</w:t>
      </w:r>
      <w:r>
        <w:t xml:space="preserve"> ergibt eine Mischung aus den zwei oder mehr im Real</w:t>
      </w:r>
      <w:r>
        <w:t>i</w:t>
      </w:r>
      <w:r>
        <w:t xml:space="preserve">sierungsstück angewandten Stilen, entsprechend deren </w:t>
      </w:r>
      <w:r w:rsidR="00531AF8">
        <w:t>An</w:t>
      </w:r>
      <w:r>
        <w:t>wendungsanteil. Durch entsprechend genauere Untersuchungen (Verschiebung bzw. Verklein</w:t>
      </w:r>
      <w:r>
        <w:t>e</w:t>
      </w:r>
      <w:r>
        <w:t xml:space="preserve">rung des betrachteten Realisierungsstücks) kann ein zunehmend genaueres Bild der tatsächlich </w:t>
      </w:r>
      <w:r w:rsidR="003F589E">
        <w:t xml:space="preserve">angewandten </w:t>
      </w:r>
      <w:r>
        <w:t>Stile erhalten werden, bis zu</w:t>
      </w:r>
      <w:r w:rsidR="003F589E">
        <w:t>r</w:t>
      </w:r>
      <w:r>
        <w:t xml:space="preserve"> Grenze der </w:t>
      </w:r>
      <w:r w:rsidR="00CF26FE">
        <w:t>Ausles</w:t>
      </w:r>
      <w:r w:rsidR="00CF26FE">
        <w:t>e</w:t>
      </w:r>
      <w:r>
        <w:t>möglichkeit: Wenn die verwendeten Stile bei</w:t>
      </w:r>
      <w:r w:rsidR="000D1FE7">
        <w:t xml:space="preserve">m Einschreiben </w:t>
      </w:r>
      <w:r>
        <w:t>sehr rasch wec</w:t>
      </w:r>
      <w:r>
        <w:t>h</w:t>
      </w:r>
      <w:r>
        <w:t xml:space="preserve">seln, können die Realisierungsstücke mit gleichem Stil zu kurz </w:t>
      </w:r>
      <w:r w:rsidR="00A54C6D">
        <w:t>sein</w:t>
      </w:r>
      <w:r>
        <w:t xml:space="preserve">, um die </w:t>
      </w:r>
      <w:r w:rsidR="00765E66">
        <w:t>Merkmalsregel</w:t>
      </w:r>
      <w:r>
        <w:t xml:space="preserve">n präzise </w:t>
      </w:r>
      <w:r w:rsidR="00ED4D35">
        <w:t>auszulesen</w:t>
      </w:r>
      <w:r>
        <w:t xml:space="preserve">; zudem sind die Grenzen der Stilwechsel nicht mehr präzise feststellbar, da die dazwischenliegenden Stücke zu </w:t>
      </w:r>
      <w:r w:rsidR="00A54C6D">
        <w:t>wenige Realisierungsstellen enthalten</w:t>
      </w:r>
      <w:r>
        <w:t xml:space="preserve">, um </w:t>
      </w:r>
      <w:r w:rsidR="00A54C6D">
        <w:t xml:space="preserve">das Gleichbleiben des Stils </w:t>
      </w:r>
      <w:r>
        <w:t>feststellen zu kö</w:t>
      </w:r>
      <w:r>
        <w:t>n</w:t>
      </w:r>
      <w:r>
        <w:t xml:space="preserve">nen, so dass nur noch verschiedene Mischungen </w:t>
      </w:r>
      <w:r w:rsidR="001D5547">
        <w:t xml:space="preserve">ausgelesen </w:t>
      </w:r>
      <w:r>
        <w:t>werden können.</w:t>
      </w:r>
    </w:p>
    <w:p w:rsidR="00D2554C" w:rsidRDefault="00D2554C">
      <w:pPr>
        <w:pStyle w:val="Titel2"/>
      </w:pPr>
      <w:bookmarkStart w:id="231" w:name="_Ref255458444"/>
      <w:bookmarkStart w:id="232" w:name="_Toc325456739"/>
      <w:bookmarkEnd w:id="227"/>
      <w:r>
        <w:t>Vom Schema zur Realisierung</w:t>
      </w:r>
      <w:r w:rsidR="00F03AAC">
        <w:t>:</w:t>
      </w:r>
      <w:r>
        <w:t xml:space="preserve"> Der Ort der Stilentstehung</w:t>
      </w:r>
      <w:bookmarkEnd w:id="231"/>
      <w:bookmarkEnd w:id="232"/>
    </w:p>
    <w:p w:rsidR="00D2554C" w:rsidRDefault="00D2554C" w:rsidP="00132C83">
      <w:pPr>
        <w:pStyle w:val="Titel3"/>
        <w:spacing w:before="240"/>
      </w:pPr>
      <w:bookmarkStart w:id="233" w:name="_Toc325456740"/>
      <w:r>
        <w:t>Voraussetzungen</w:t>
      </w:r>
      <w:bookmarkEnd w:id="233"/>
    </w:p>
    <w:p w:rsidR="00D2554C" w:rsidRDefault="00D2554C" w:rsidP="00BE0E5A">
      <w:pPr>
        <w:pStyle w:val="Text"/>
        <w:ind w:firstLine="0"/>
      </w:pPr>
      <w:r>
        <w:t>Wie im vorigen Kapitel dargestellt wurde, sind Verhaltens</w:t>
      </w:r>
      <w:r w:rsidR="000C74BF">
        <w:t>-, Artefakt- und Tex</w:t>
      </w:r>
      <w:r w:rsidR="000C74BF">
        <w:t>t</w:t>
      </w:r>
      <w:r>
        <w:t>schemata die Grundlage vieler unserer Verhaltensweisen. Der als „Stil“ bezeic</w:t>
      </w:r>
      <w:r>
        <w:t>h</w:t>
      </w:r>
      <w:r>
        <w:t>nete Zeichenprozess ergibt sich bei der Erzeugung von konkreten Verhalten</w:t>
      </w:r>
      <w:r>
        <w:t>s</w:t>
      </w:r>
      <w:r>
        <w:t xml:space="preserve">weisen auf Grundlage von </w:t>
      </w:r>
      <w:r w:rsidR="000C74BF">
        <w:t>S</w:t>
      </w:r>
      <w:r>
        <w:t xml:space="preserve">chemata. Die am häufigsten beschriebenen Stile </w:t>
      </w:r>
      <w:r w:rsidR="000C74BF">
        <w:t>(z.B. Textstile, Architekturstile und</w:t>
      </w:r>
      <w:r>
        <w:t xml:space="preserve"> Kunststile) sind dabei nur Spezialfälle solcher </w:t>
      </w:r>
      <w:r w:rsidR="000C74BF">
        <w:t>Schemata</w:t>
      </w:r>
      <w:r>
        <w:t>, bei denen Stil offenbar besonders interessant und relevant für uns ist. Stil kann jedoch grundsätzlich bei allen Arten von Verhalten</w:t>
      </w:r>
      <w:r w:rsidR="000C74BF">
        <w:t xml:space="preserve"> und Verhaltense</w:t>
      </w:r>
      <w:r w:rsidR="000C74BF">
        <w:t>r</w:t>
      </w:r>
      <w:r w:rsidR="000C74BF">
        <w:t>gebnissen (Artefakten und Texten)</w:t>
      </w:r>
      <w:r>
        <w:t xml:space="preserve"> auftreten.</w:t>
      </w:r>
    </w:p>
    <w:p w:rsidR="00D2554C" w:rsidRDefault="00D2554C">
      <w:pPr>
        <w:pStyle w:val="Text"/>
      </w:pPr>
      <w:r>
        <w:t xml:space="preserve">Im vorliegenden Kontext soll eine </w:t>
      </w:r>
      <w:r w:rsidR="00356794">
        <w:t>stark</w:t>
      </w:r>
      <w:r>
        <w:t xml:space="preserve"> vereinfachte Beschreibung </w:t>
      </w:r>
      <w:r w:rsidR="000C74BF">
        <w:t xml:space="preserve">von Verhalten und Verhaltensergebnissen </w:t>
      </w:r>
      <w:r>
        <w:t xml:space="preserve">zugrunde gelegt werden, die auf </w:t>
      </w:r>
      <w:r w:rsidR="000C74BF">
        <w:t>die oben entwickelte Schemadarstellung</w:t>
      </w:r>
      <w:r>
        <w:t xml:space="preserve"> reduziert ist. Sie soll nur den Rahmen liefern für die Beschreibung des spezifischen </w:t>
      </w:r>
      <w:r w:rsidR="00710E0F">
        <w:t>Zeichen</w:t>
      </w:r>
      <w:r w:rsidR="009705FA">
        <w:t>prozess</w:t>
      </w:r>
      <w:r w:rsidR="00710E0F">
        <w:t>typs</w:t>
      </w:r>
      <w:r>
        <w:t xml:space="preserve">, </w:t>
      </w:r>
      <w:r w:rsidR="00710E0F">
        <w:t xml:space="preserve">den </w:t>
      </w:r>
      <w:r>
        <w:t>wir „Stil“ nennen.</w:t>
      </w:r>
    </w:p>
    <w:p w:rsidR="00D2554C" w:rsidRDefault="00D2554C">
      <w:pPr>
        <w:pStyle w:val="Text"/>
      </w:pPr>
      <w:r>
        <w:t>Stil kann nur dadurch entstehen, dass die Verhaltens</w:t>
      </w:r>
      <w:r w:rsidR="000C74BF">
        <w:t>-, Artefakt- und Tex</w:t>
      </w:r>
      <w:r w:rsidR="000C74BF">
        <w:t>t</w:t>
      </w:r>
      <w:r>
        <w:t xml:space="preserve">schemata die </w:t>
      </w:r>
      <w:r w:rsidR="000C74BF">
        <w:t>Schemaausführung</w:t>
      </w:r>
      <w:r>
        <w:t xml:space="preserve"> unterdeterminieren. Voraussetzungen für Stil bei einem konkreten Verhalten sind also</w:t>
      </w:r>
    </w:p>
    <w:p w:rsidR="00D2554C" w:rsidRDefault="00D2554C">
      <w:pPr>
        <w:pStyle w:val="Text"/>
      </w:pPr>
      <w:r>
        <w:t>(a)</w:t>
      </w:r>
      <w:r>
        <w:tab/>
      </w:r>
      <w:r>
        <w:rPr>
          <w:i/>
        </w:rPr>
        <w:t>Vergleichbarkeit</w:t>
      </w:r>
      <w:r>
        <w:t xml:space="preserve">: Es muss ein </w:t>
      </w:r>
      <w:r w:rsidR="000C74BF">
        <w:t>S</w:t>
      </w:r>
      <w:r>
        <w:t>chema vorhanden und erkennbar sein, das es möglich macht, das konkrete Verhalten</w:t>
      </w:r>
      <w:r w:rsidR="000C74BF">
        <w:t xml:space="preserve"> oder Verhaltensergebnis</w:t>
      </w:r>
      <w:r>
        <w:t xml:space="preserve"> in seiner spe</w:t>
      </w:r>
      <w:r w:rsidR="00834C46">
        <w:t>zifischen Ausführungsweise des Schemas mit anderen Verhalten oder Verha</w:t>
      </w:r>
      <w:r w:rsidR="00834C46">
        <w:t>l</w:t>
      </w:r>
      <w:r w:rsidR="00834C46">
        <w:t>tensergebnissen</w:t>
      </w:r>
      <w:r>
        <w:t xml:space="preserve">, </w:t>
      </w:r>
      <w:r w:rsidR="00834C46">
        <w:t>die auf demselben Schema basieren</w:t>
      </w:r>
      <w:r>
        <w:t>, zu vergleichen;</w:t>
      </w:r>
    </w:p>
    <w:p w:rsidR="00D2554C" w:rsidRDefault="00D2554C">
      <w:pPr>
        <w:pStyle w:val="Text"/>
      </w:pPr>
      <w:r>
        <w:t>(b)</w:t>
      </w:r>
      <w:r>
        <w:tab/>
      </w:r>
      <w:r>
        <w:rPr>
          <w:i/>
        </w:rPr>
        <w:t>Variation</w:t>
      </w:r>
      <w:r>
        <w:t>: Es müssen verschiedene Möglichkeiten zur Verfügung st</w:t>
      </w:r>
      <w:r>
        <w:t>e</w:t>
      </w:r>
      <w:r>
        <w:t xml:space="preserve">hen, das Verhalten </w:t>
      </w:r>
      <w:r w:rsidR="00834C46">
        <w:t xml:space="preserve">(oder Verhaltensergebnis) </w:t>
      </w:r>
      <w:r>
        <w:t>auf Grundlage des Schemas ausz</w:t>
      </w:r>
      <w:r>
        <w:t>u</w:t>
      </w:r>
      <w:r>
        <w:lastRenderedPageBreak/>
        <w:t xml:space="preserve">führen, aus denen eine ausgewählt wird (das Verhalten </w:t>
      </w:r>
      <w:r w:rsidR="00834C46">
        <w:t xml:space="preserve">oder Verhaltensergebnis </w:t>
      </w:r>
      <w:r>
        <w:t>wird durch das Schema unterdeterminiert);</w:t>
      </w:r>
    </w:p>
    <w:p w:rsidR="00D2554C" w:rsidRDefault="00D2554C">
      <w:pPr>
        <w:pStyle w:val="Text"/>
      </w:pPr>
      <w:r>
        <w:t>(c)</w:t>
      </w:r>
      <w:r>
        <w:tab/>
      </w:r>
      <w:r>
        <w:rPr>
          <w:i/>
        </w:rPr>
        <w:t>Möglichkeit zur Zeichenentstehung</w:t>
      </w:r>
      <w:r>
        <w:t>: Die Variation muss präzise genug erfassbar sein, um auf ihrer Grundlage Zeichen erzeugen zu können. (In der vorliegenden Theorie nimmt diese Voraussetzung die Form an, dass den ve</w:t>
      </w:r>
      <w:r>
        <w:t>r</w:t>
      </w:r>
      <w:r>
        <w:t xml:space="preserve">schiedenen Elementen Eigenschaften zugeordnet werden können, auf die dann in den </w:t>
      </w:r>
      <w:r w:rsidR="00765E66">
        <w:t>Merkmalsregel</w:t>
      </w:r>
      <w:r>
        <w:t>n, die den Zeicheninhalt bilden, Bezug genommen wird.)</w:t>
      </w:r>
    </w:p>
    <w:p w:rsidR="00D2554C" w:rsidRDefault="00D2554C">
      <w:pPr>
        <w:pStyle w:val="Titel3"/>
      </w:pPr>
      <w:bookmarkStart w:id="234" w:name="_Ref212110965"/>
      <w:bookmarkStart w:id="235" w:name="_Toc325456741"/>
      <w:bookmarkStart w:id="236" w:name="Schemaausführung2"/>
      <w:r>
        <w:t xml:space="preserve">Die </w:t>
      </w:r>
      <w:r w:rsidR="00FE275B">
        <w:t>Schema</w:t>
      </w:r>
      <w:r>
        <w:t>ausführung</w:t>
      </w:r>
      <w:bookmarkEnd w:id="234"/>
      <w:bookmarkEnd w:id="235"/>
    </w:p>
    <w:p w:rsidR="00D2554C" w:rsidRDefault="005D7996" w:rsidP="000956CF">
      <w:pPr>
        <w:pStyle w:val="Text"/>
        <w:ind w:firstLine="0"/>
      </w:pPr>
      <w:r>
        <w:fldChar w:fldCharType="begin"/>
      </w:r>
      <w:r w:rsidR="00520FF4">
        <w:instrText xml:space="preserve"> XE "Schemaausführung</w:instrText>
      </w:r>
      <w:r w:rsidR="00B70065">
        <w:instrText>:</w:instrText>
      </w:r>
      <w:r w:rsidR="00B70065" w:rsidRPr="00B70065">
        <w:rPr>
          <w:i/>
        </w:rPr>
        <w:instrText>Funktion</w:instrText>
      </w:r>
      <w:r w:rsidR="00520FF4">
        <w:instrText>" \r "Schemaausführung</w:instrText>
      </w:r>
      <w:r w:rsidR="002B46B4">
        <w:instrText>2</w:instrText>
      </w:r>
      <w:r w:rsidR="00520FF4">
        <w:instrText xml:space="preserve">" </w:instrText>
      </w:r>
      <w:r>
        <w:fldChar w:fldCharType="end"/>
      </w:r>
      <w:r w:rsidR="00D2554C">
        <w:t xml:space="preserve">Im </w:t>
      </w:r>
      <w:r w:rsidR="002D7C18">
        <w:t>F</w:t>
      </w:r>
      <w:r w:rsidR="00D2554C">
        <w:t xml:space="preserve">olgenden soll eine Abfolge der </w:t>
      </w:r>
      <w:r w:rsidR="00834C46">
        <w:t>Schemaausführung</w:t>
      </w:r>
      <w:r w:rsidR="00D2554C">
        <w:t xml:space="preserve"> gegeben werden, die deutlich macht, an welcher Stelle Stil entsteht. Es wird eine schematische Da</w:t>
      </w:r>
      <w:r w:rsidR="00D2554C">
        <w:t>r</w:t>
      </w:r>
      <w:r w:rsidR="00D2554C">
        <w:t>stellung gewählt, die sich ganz auf jene Aspekte konzentriert, die für das Stilm</w:t>
      </w:r>
      <w:r w:rsidR="00D2554C">
        <w:t>o</w:t>
      </w:r>
      <w:r w:rsidR="00D2554C">
        <w:t xml:space="preserve">dell relevant sind. Dieses Modell der Abfolge mehrerer Vorgänge bei der </w:t>
      </w:r>
      <w:r w:rsidR="00834C46">
        <w:t>Sch</w:t>
      </w:r>
      <w:r w:rsidR="00834C46">
        <w:t>e</w:t>
      </w:r>
      <w:r w:rsidR="00834C46">
        <w:t>maausführung</w:t>
      </w:r>
      <w:r w:rsidR="00D2554C">
        <w:t xml:space="preserve"> ist also nicht nur stark vereinfacht, es verzerrt auch den tatsächl</w:t>
      </w:r>
      <w:r w:rsidR="00D2554C">
        <w:t>i</w:t>
      </w:r>
      <w:r w:rsidR="00D2554C">
        <w:t xml:space="preserve">chen Vorgang dahingehend, dass es nur die für die Stilentstehung relevanten Aspekte von </w:t>
      </w:r>
      <w:r w:rsidR="00834C46">
        <w:t>Schemaausführungen</w:t>
      </w:r>
      <w:r w:rsidR="00D2554C">
        <w:t xml:space="preserve"> behandelt. Mit einer Beschreibung des ta</w:t>
      </w:r>
      <w:r w:rsidR="00D2554C">
        <w:t>t</w:t>
      </w:r>
      <w:r w:rsidR="00D2554C">
        <w:t xml:space="preserve">sächlichen Vorgangs einer </w:t>
      </w:r>
      <w:r w:rsidR="00834C46">
        <w:t>Schemaausführung</w:t>
      </w:r>
      <w:r w:rsidR="00D2554C">
        <w:t xml:space="preserve"> darf </w:t>
      </w:r>
      <w:r w:rsidR="002F3DCC">
        <w:t xml:space="preserve">es </w:t>
      </w:r>
      <w:r w:rsidR="00D2554C">
        <w:t>daher nicht verwechselt werden.</w:t>
      </w:r>
    </w:p>
    <w:p w:rsidR="00D2554C" w:rsidRDefault="00D2554C">
      <w:pPr>
        <w:pStyle w:val="Text"/>
      </w:pPr>
      <w:r>
        <w:t>Die Legitimation einer solchen Beschreibung, die der Komplexität des ta</w:t>
      </w:r>
      <w:r>
        <w:t>t</w:t>
      </w:r>
      <w:r>
        <w:t xml:space="preserve">sächlichen Vorgangs bei der </w:t>
      </w:r>
      <w:r w:rsidR="00834C46">
        <w:t>Schemaausführung</w:t>
      </w:r>
      <w:r>
        <w:t xml:space="preserve"> nicht gerecht wird, liegt darin, dass </w:t>
      </w:r>
      <w:r w:rsidR="0011236C">
        <w:t xml:space="preserve">mit ihrer Hilfe die stilistische Auswahl </w:t>
      </w:r>
      <w:r>
        <w:t xml:space="preserve">innerhalb der </w:t>
      </w:r>
      <w:r w:rsidR="00834C46">
        <w:t>Schemaausführung</w:t>
      </w:r>
      <w:r>
        <w:t xml:space="preserve"> situi</w:t>
      </w:r>
      <w:r w:rsidR="00710E0F">
        <w:t>ert werden kann und von anderen</w:t>
      </w:r>
      <w:r>
        <w:t xml:space="preserve"> eng damit verbundenen Auswahlvorgä</w:t>
      </w:r>
      <w:r>
        <w:t>n</w:t>
      </w:r>
      <w:r>
        <w:t>gen getrennt werden kann. Es handelt sich um eine analytische Trennung, die die verschiedenen Auswahlvorgänge, die bei der Erzeugung einer Realisierung stat</w:t>
      </w:r>
      <w:r>
        <w:t>t</w:t>
      </w:r>
      <w:r>
        <w:t xml:space="preserve">finden, voneinander trennt. Die einzelnen Schritte der </w:t>
      </w:r>
      <w:r w:rsidR="00834C46">
        <w:t>Schemaausführung</w:t>
      </w:r>
      <w:r>
        <w:t xml:space="preserve"> dürfen dabei nicht als zeitlicher Ablauf verstanden werden. Es handelt sich vielmehr um eine analytische Trennung von Schritten, die in der Realität vermutlich gemei</w:t>
      </w:r>
      <w:r>
        <w:t>n</w:t>
      </w:r>
      <w:r>
        <w:t>sam oder zumindest in Interaktion miteinander – mit häufigen Vor- und Rüc</w:t>
      </w:r>
      <w:r>
        <w:t>k</w:t>
      </w:r>
      <w:r>
        <w:t>griffen innerhalb des hier beschriebenen Ablaufs – geschehen. Sie als aufeinander folgende Schritte zu betrachten, ist deshalb gerechtfertigt, weil dabei die proz</w:t>
      </w:r>
      <w:r>
        <w:t>e</w:t>
      </w:r>
      <w:r>
        <w:t xml:space="preserve">duralen Abhängigkeiten der einzelnen Vorgänge deutlich werden: Damit eine Anordnung von </w:t>
      </w:r>
      <w:r w:rsidR="00721558">
        <w:t>Alter</w:t>
      </w:r>
      <w:r w:rsidR="00721558">
        <w:softHyphen/>
        <w:t>nativen</w:t>
      </w:r>
      <w:r w:rsidR="00721558">
        <w:softHyphen/>
        <w:t>klasse</w:t>
      </w:r>
      <w:r>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t xml:space="preserve"> gebildet werden kann (Schritt 2), muss ein Schema ausgewählt worden sein (Schritt 1); usw.</w:t>
      </w:r>
    </w:p>
    <w:p w:rsidR="00D2554C" w:rsidRDefault="00D2554C" w:rsidP="00976469">
      <w:pPr>
        <w:pStyle w:val="Text"/>
        <w:spacing w:before="240"/>
        <w:ind w:firstLine="0"/>
      </w:pPr>
      <w:r>
        <w:t xml:space="preserve">Das Modell unterscheidet vier Schritte der </w:t>
      </w:r>
      <w:r w:rsidR="00834C46">
        <w:t>Schemaausführung</w:t>
      </w:r>
      <w:r>
        <w:t>:</w:t>
      </w:r>
    </w:p>
    <w:p w:rsidR="00D2554C" w:rsidRDefault="00D2554C" w:rsidP="00976469">
      <w:pPr>
        <w:pStyle w:val="Zwischenberschrift"/>
      </w:pPr>
      <w:r>
        <w:t>Schritt 1: Auswahl eines Schemas</w:t>
      </w:r>
    </w:p>
    <w:p w:rsidR="000433CA" w:rsidRDefault="00D2554C" w:rsidP="00976469">
      <w:pPr>
        <w:pStyle w:val="Text"/>
        <w:ind w:firstLine="0"/>
      </w:pPr>
      <w:r>
        <w:t xml:space="preserve">In der hier vorgelegten Theorie </w:t>
      </w:r>
      <w:r w:rsidR="00EB0593">
        <w:t>wird davon ausgegangen</w:t>
      </w:r>
      <w:r>
        <w:t>, dass Verhalten</w:t>
      </w:r>
      <w:r w:rsidR="00834C46">
        <w:t>, Art</w:t>
      </w:r>
      <w:r w:rsidR="00834C46">
        <w:t>e</w:t>
      </w:r>
      <w:r w:rsidR="00834C46">
        <w:t xml:space="preserve">fakte und Texte </w:t>
      </w:r>
      <w:r>
        <w:t>im Normalfall auf einem be</w:t>
      </w:r>
      <w:r w:rsidR="00834C46">
        <w:t>reits vorhandenen Schema basieren. Das zu realisierende</w:t>
      </w:r>
      <w:r>
        <w:t xml:space="preserve"> </w:t>
      </w:r>
      <w:r w:rsidR="00834C46">
        <w:t xml:space="preserve">Schema </w:t>
      </w:r>
      <w:r>
        <w:t xml:space="preserve">wird aus der Menge </w:t>
      </w:r>
      <w:r>
        <w:rPr>
          <w:i/>
          <w:iCs/>
        </w:rPr>
        <w:t>S</w:t>
      </w:r>
      <w:r>
        <w:t xml:space="preserve"> der Schemata, die dem jewe</w:t>
      </w:r>
      <w:r>
        <w:t>i</w:t>
      </w:r>
      <w:r>
        <w:t>ligen Individuum zur Verfügung stehen, ausgewählt. Die meisten dieser Schem</w:t>
      </w:r>
      <w:r>
        <w:t>a</w:t>
      </w:r>
      <w:r>
        <w:lastRenderedPageBreak/>
        <w:t>ta dürften kulturell gegeben sein (in dem Sinne, dass die ganze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oder eine Gruppe sie besitzt). Manche Schemata können vom Individuum </w:t>
      </w:r>
      <w:r w:rsidR="000433CA">
        <w:t xml:space="preserve">früher </w:t>
      </w:r>
      <w:r>
        <w:t xml:space="preserve">selbst </w:t>
      </w:r>
      <w:r w:rsidR="000433CA">
        <w:t xml:space="preserve">modifiziert oder </w:t>
      </w:r>
      <w:r>
        <w:t>entwickelt worden sein</w:t>
      </w:r>
      <w:r w:rsidR="00DE499B">
        <w:t xml:space="preserve"> (vgl. Abschnitt </w:t>
      </w:r>
      <w:r w:rsidR="005D7996">
        <w:fldChar w:fldCharType="begin"/>
      </w:r>
      <w:r w:rsidR="00DE499B">
        <w:instrText xml:space="preserve"> REF _Ref269160105 \r \h </w:instrText>
      </w:r>
      <w:r w:rsidR="005D7996">
        <w:fldChar w:fldCharType="separate"/>
      </w:r>
      <w:r w:rsidR="001231D3">
        <w:t>4.2.7</w:t>
      </w:r>
      <w:r w:rsidR="005D7996">
        <w:fldChar w:fldCharType="end"/>
      </w:r>
      <w:r w:rsidR="00DE499B">
        <w:t>)</w:t>
      </w:r>
      <w:r w:rsidR="00E64691">
        <w:t>; i</w:t>
      </w:r>
      <w:r>
        <w:t xml:space="preserve">n </w:t>
      </w:r>
      <w:r w:rsidR="00E64691">
        <w:t xml:space="preserve">seltenen Fällen kann auch </w:t>
      </w:r>
      <w:r>
        <w:t xml:space="preserve">während </w:t>
      </w:r>
      <w:r w:rsidR="000433CA">
        <w:t>der</w:t>
      </w:r>
      <w:r>
        <w:t xml:space="preserve"> </w:t>
      </w:r>
      <w:r w:rsidR="00834C46">
        <w:t>Schemaausführung</w:t>
      </w:r>
      <w:r>
        <w:t xml:space="preserve"> </w:t>
      </w:r>
      <w:r w:rsidR="000152C1">
        <w:t>das Schema</w:t>
      </w:r>
      <w:r>
        <w:t xml:space="preserve"> </w:t>
      </w:r>
      <w:r w:rsidR="00E64691">
        <w:t xml:space="preserve">bei </w:t>
      </w:r>
      <w:r>
        <w:t xml:space="preserve">der </w:t>
      </w:r>
      <w:r w:rsidR="00E64691">
        <w:t>Ausfü</w:t>
      </w:r>
      <w:r w:rsidR="00E64691">
        <w:t>h</w:t>
      </w:r>
      <w:r w:rsidR="00E64691">
        <w:t xml:space="preserve">rung </w:t>
      </w:r>
      <w:r>
        <w:t xml:space="preserve">grundlegend verändert oder </w:t>
      </w:r>
      <w:r w:rsidR="00E64691">
        <w:t xml:space="preserve">ganz </w:t>
      </w:r>
      <w:r>
        <w:t xml:space="preserve">neu geschaffen </w:t>
      </w:r>
      <w:r w:rsidR="00E64691">
        <w:t>werden.</w:t>
      </w:r>
    </w:p>
    <w:p w:rsidR="00D2554C" w:rsidRDefault="00E64691">
      <w:pPr>
        <w:pStyle w:val="Text"/>
      </w:pPr>
      <w:r>
        <w:t>Doch a</w:t>
      </w:r>
      <w:r w:rsidR="000152C1">
        <w:t xml:space="preserve">uch wenn die </w:t>
      </w:r>
      <w:r w:rsidR="00D2554C">
        <w:t xml:space="preserve">Modifizierung oder Erzeugung </w:t>
      </w:r>
      <w:r w:rsidR="000152C1">
        <w:t xml:space="preserve">eines Schemas </w:t>
      </w:r>
      <w:r w:rsidR="00D2554C">
        <w:t xml:space="preserve">während der </w:t>
      </w:r>
      <w:r w:rsidR="00834C46">
        <w:t>Schemaausführung</w:t>
      </w:r>
      <w:r w:rsidR="000152C1">
        <w:t xml:space="preserve"> selbst stattfindet, </w:t>
      </w:r>
      <w:r w:rsidR="00D2554C">
        <w:t xml:space="preserve">fällt </w:t>
      </w:r>
      <w:r w:rsidR="000152C1">
        <w:t xml:space="preserve">dies </w:t>
      </w:r>
      <w:r w:rsidR="00D2554C">
        <w:t xml:space="preserve">unter die allgemeinere Regel, dass Vor- und Rückgriffe </w:t>
      </w:r>
      <w:r>
        <w:t xml:space="preserve">zwischen den </w:t>
      </w:r>
      <w:r w:rsidR="00D2554C">
        <w:t>verschiedenen Stufen möglich sind, w</w:t>
      </w:r>
      <w:r w:rsidR="00D2554C">
        <w:t>o</w:t>
      </w:r>
      <w:r w:rsidR="00D2554C">
        <w:t>bei in diesem Fall vor die erste Stufe zurückgegriffen und die Menge der Schem</w:t>
      </w:r>
      <w:r w:rsidR="00D2554C">
        <w:t>a</w:t>
      </w:r>
      <w:r w:rsidR="00D2554C">
        <w:t xml:space="preserve">ta </w:t>
      </w:r>
      <w:r w:rsidR="00D2554C">
        <w:rPr>
          <w:i/>
          <w:iCs/>
        </w:rPr>
        <w:t>S</w:t>
      </w:r>
      <w:r w:rsidR="00D2554C">
        <w:t xml:space="preserve"> verändert wird. Im logischen Sinn ist ein Schema erforderlich, auf dem das Verhalten</w:t>
      </w:r>
      <w:r w:rsidR="00834C46">
        <w:t xml:space="preserve"> oder Verhaltensergebnis</w:t>
      </w:r>
      <w:r w:rsidR="00D2554C">
        <w:t xml:space="preserve"> aufbaut, mag dieses auch in </w:t>
      </w:r>
      <w:r w:rsidR="001A7DC4">
        <w:t>Echtzeit</w:t>
      </w:r>
      <w:r w:rsidR="00D2554C">
        <w:t xml:space="preserve"> während des Verhaltens erzeugt werden. Wir beschränken uns hier daher darauf, von einer Auswahl aus der (gegebenenfalls gerade modifizierten) Menge </w:t>
      </w:r>
      <w:r w:rsidR="00D2554C">
        <w:rPr>
          <w:i/>
          <w:iCs/>
        </w:rPr>
        <w:t>S</w:t>
      </w:r>
      <w:r w:rsidR="00D2554C">
        <w:t xml:space="preserve"> der dem Indiv</w:t>
      </w:r>
      <w:r w:rsidR="00D2554C">
        <w:t>i</w:t>
      </w:r>
      <w:r w:rsidR="00D2554C">
        <w:t>duum zur Verfügung stehenden Schemata als erstem Schritt auszugehen.</w:t>
      </w:r>
    </w:p>
    <w:p w:rsidR="00D2554C" w:rsidRDefault="00D2554C" w:rsidP="00976469">
      <w:pPr>
        <w:pStyle w:val="Zwischenberschrift"/>
      </w:pPr>
      <w:r>
        <w:t xml:space="preserve">Schritt 2: Festlegung einer Anordnung von </w:t>
      </w:r>
      <w:r w:rsidR="00721558">
        <w:t>Alter</w:t>
      </w:r>
      <w:r w:rsidR="00721558">
        <w:softHyphen/>
        <w:t>nativen</w:t>
      </w:r>
      <w:r w:rsidR="00721558">
        <w:softHyphen/>
        <w:t>klasse</w:t>
      </w:r>
      <w:r>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p>
    <w:p w:rsidR="00D2554C" w:rsidRDefault="00D2554C" w:rsidP="00976469">
      <w:pPr>
        <w:pStyle w:val="Text"/>
        <w:ind w:firstLine="0"/>
      </w:pPr>
      <w:r>
        <w:t xml:space="preserve">Um eine Realisierung erzeugen zu können, muss </w:t>
      </w:r>
      <w:r w:rsidR="004F5EFB">
        <w:t>zunächst die Anzahl an Real</w:t>
      </w:r>
      <w:r w:rsidR="004F5EFB">
        <w:t>i</w:t>
      </w:r>
      <w:r w:rsidR="004F5EFB">
        <w:t xml:space="preserve">sierungsstellen der Realisierung festgelegt und </w:t>
      </w:r>
      <w:r>
        <w:t xml:space="preserve">für jede Realisierungsstelle ein Schemaort </w:t>
      </w:r>
      <w:r w:rsidR="004F5EFB">
        <w:t xml:space="preserve">gewählt </w:t>
      </w:r>
      <w:r>
        <w:t>werden, auf dem diese aufbaut</w:t>
      </w:r>
      <w:r w:rsidR="00CB41BC">
        <w:t xml:space="preserve">. </w:t>
      </w:r>
      <w:r w:rsidR="004C6794">
        <w:t xml:space="preserve">Für jede Realisierungsstelle </w:t>
      </w:r>
      <w:r w:rsidR="00CB41BC">
        <w:t xml:space="preserve">wird </w:t>
      </w:r>
      <w:r w:rsidR="004C6794">
        <w:t xml:space="preserve">außerdem </w:t>
      </w:r>
      <w:r w:rsidR="00CB41BC">
        <w:t xml:space="preserve">über die Zusatzbedingungen </w:t>
      </w:r>
      <w:r w:rsidR="00215965">
        <w:t>(</w:t>
      </w:r>
      <w:r w:rsidR="00877347">
        <w:t xml:space="preserve">also </w:t>
      </w:r>
      <w:r w:rsidR="00215965">
        <w:t>kontextuelle, funktionale und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rsidR="00215965">
        <w:t xml:space="preserve">) </w:t>
      </w:r>
      <w:r w:rsidR="00CB41BC">
        <w:t>entschieden,</w:t>
      </w:r>
      <w:r w:rsidR="00741939">
        <w:rPr>
          <w:rStyle w:val="Funotenzeichen"/>
        </w:rPr>
        <w:footnoteReference w:id="357"/>
      </w:r>
      <w:r w:rsidR="00CB41BC">
        <w:t xml:space="preserve"> soweit diese sich nicht </w:t>
      </w:r>
      <w:r w:rsidR="00877347">
        <w:t xml:space="preserve">bereits </w:t>
      </w:r>
      <w:r w:rsidR="00CB41BC">
        <w:t>aus dem Kontext der Schemaausführung oder der vorgesehenen Funktion der Realisi</w:t>
      </w:r>
      <w:r w:rsidR="00CB41BC">
        <w:t>e</w:t>
      </w:r>
      <w:r w:rsidR="00CB41BC">
        <w:t>rung ergeben.</w:t>
      </w:r>
      <w:bookmarkStart w:id="237" w:name="_Ref289353236"/>
      <w:r w:rsidR="00382DD1">
        <w:rPr>
          <w:rStyle w:val="Funotenzeichen"/>
        </w:rPr>
        <w:footnoteReference w:id="358"/>
      </w:r>
      <w:bookmarkEnd w:id="237"/>
      <w:r w:rsidR="00CB41BC">
        <w:t xml:space="preserve"> </w:t>
      </w:r>
      <w:r>
        <w:t>(Beispiel: Bei einer Autofahrt wird entschieden, welche Route gefahren wird; während der Autofahrt selbst werden dann weitere Entscheidu</w:t>
      </w:r>
      <w:r>
        <w:t>n</w:t>
      </w:r>
      <w:r>
        <w:t xml:space="preserve">gen getroffen, etwa wenn überholt wird, so dass sich am Ende eine Anordnung von Schemaorten – </w:t>
      </w:r>
      <w:r w:rsidR="002F7254">
        <w:t>‚A</w:t>
      </w:r>
      <w:r>
        <w:t>nfahren</w:t>
      </w:r>
      <w:r w:rsidR="002F7254">
        <w:t>‘,</w:t>
      </w:r>
      <w:r>
        <w:t xml:space="preserve"> </w:t>
      </w:r>
      <w:r w:rsidR="002F7254">
        <w:t xml:space="preserve">‚eine </w:t>
      </w:r>
      <w:r>
        <w:t>Straße entlang fahren</w:t>
      </w:r>
      <w:r w:rsidR="002F7254">
        <w:t>‘,</w:t>
      </w:r>
      <w:r>
        <w:t xml:space="preserve"> </w:t>
      </w:r>
      <w:r w:rsidR="002F7254">
        <w:t>‚Ü</w:t>
      </w:r>
      <w:r>
        <w:t>berholen</w:t>
      </w:r>
      <w:r w:rsidR="002F7254">
        <w:t>‘,</w:t>
      </w:r>
      <w:r>
        <w:t xml:space="preserve"> </w:t>
      </w:r>
      <w:r w:rsidR="002F7254">
        <w:t xml:space="preserve">‚vor einer </w:t>
      </w:r>
      <w:r>
        <w:t>Ampel anhalten</w:t>
      </w:r>
      <w:r w:rsidR="002F7254">
        <w:t>‘</w:t>
      </w:r>
      <w:r>
        <w:t xml:space="preserve"> usw. – ergibt</w:t>
      </w:r>
      <w:r w:rsidR="007465D4">
        <w:t xml:space="preserve">, für die </w:t>
      </w:r>
      <w:r w:rsidR="00261564">
        <w:t xml:space="preserve">gegebenenfalls </w:t>
      </w:r>
      <w:r w:rsidR="007465D4">
        <w:t>Zusatzbedingungen festgelegt sind</w:t>
      </w:r>
      <w:r>
        <w:t>.)</w:t>
      </w:r>
    </w:p>
    <w:p w:rsidR="00D2554C" w:rsidRDefault="00D2554C">
      <w:pPr>
        <w:pStyle w:val="Text"/>
      </w:pPr>
      <w:r>
        <w:t xml:space="preserve">Auch hier gilt, dass diese Entscheidungen in der tatsächlichen </w:t>
      </w:r>
      <w:r w:rsidR="00834C46">
        <w:t>Schemaau</w:t>
      </w:r>
      <w:r w:rsidR="00834C46">
        <w:t>s</w:t>
      </w:r>
      <w:r w:rsidR="00834C46">
        <w:t>führung</w:t>
      </w:r>
      <w:r>
        <w:t xml:space="preserve"> nicht vollständig vor dem Beginn der Schritte 3 und 4 getroffen werden. (Teilweise können sie dies gar nicht, etwa bei Schemaorten wie </w:t>
      </w:r>
      <w:r w:rsidR="001A7DC4">
        <w:t>‚</w:t>
      </w:r>
      <w:r>
        <w:t>Überholen</w:t>
      </w:r>
      <w:r w:rsidR="001A7DC4">
        <w:t>‘</w:t>
      </w:r>
      <w:r>
        <w:t xml:space="preserve">, die in Abhängigkeit vom Kontext – hier: der Verkehrslage – während der </w:t>
      </w:r>
      <w:r w:rsidR="00834C46">
        <w:t>Schem</w:t>
      </w:r>
      <w:r w:rsidR="00834C46">
        <w:t>a</w:t>
      </w:r>
      <w:r w:rsidR="00834C46">
        <w:t>ausführung</w:t>
      </w:r>
      <w:r>
        <w:t xml:space="preserve"> getroffen werden.) Für die analytische Untersuchung ist es jedoch </w:t>
      </w:r>
      <w:r>
        <w:lastRenderedPageBreak/>
        <w:t xml:space="preserve">vorteilhaft, diesen Schritt zu trennen. So kann eine Menge von </w:t>
      </w:r>
      <w:r w:rsidR="00721558">
        <w:t>Alter</w:t>
      </w:r>
      <w:r w:rsidR="00721558">
        <w:softHyphen/>
        <w:t>nativen</w:t>
      </w:r>
      <w:r w:rsidR="00721558">
        <w:softHyphen/>
        <w:t>klasse</w:t>
      </w:r>
      <w:r>
        <w:t xml:space="preserve">n </w:t>
      </w:r>
      <w:r>
        <w:rPr>
          <w:i/>
          <w:iCs/>
        </w:rPr>
        <w:t>A</w:t>
      </w:r>
      <w:r>
        <w:t xml:space="preserve"> gegeben werden, auf die dann im Schritt 3 die stilistischen Regeln a</w:t>
      </w:r>
      <w:r>
        <w:t>n</w:t>
      </w:r>
      <w:r>
        <w:t>gewandt werden.</w:t>
      </w:r>
    </w:p>
    <w:p w:rsidR="00D2554C" w:rsidRDefault="00D2554C" w:rsidP="00976469">
      <w:pPr>
        <w:pStyle w:val="Zwischenberschrift"/>
      </w:pPr>
      <w:r>
        <w:t xml:space="preserve">Schritt 3: </w:t>
      </w:r>
      <w:r w:rsidR="000D1FE7">
        <w:t xml:space="preserve">Einschreiben </w:t>
      </w:r>
      <w:r>
        <w:t xml:space="preserve">der </w:t>
      </w:r>
      <w:r w:rsidR="00765E66">
        <w:t>Merkmalsregel</w:t>
      </w:r>
      <w:r>
        <w:t>n</w:t>
      </w:r>
    </w:p>
    <w:p w:rsidR="00D2554C" w:rsidRDefault="000D1FE7" w:rsidP="00976469">
      <w:pPr>
        <w:pStyle w:val="Text"/>
        <w:ind w:firstLine="0"/>
      </w:pPr>
      <w:r>
        <w:t>Das</w:t>
      </w:r>
      <w:r w:rsidR="00D2554C">
        <w:t xml:space="preserve"> </w:t>
      </w:r>
      <w:r>
        <w:t xml:space="preserve">Einschreiben </w:t>
      </w:r>
      <w:r w:rsidR="0002678D">
        <w:t>der Merkmalsregeln</w:t>
      </w:r>
      <w:r w:rsidR="00D2554C">
        <w:t xml:space="preserve"> erfolgt, indem die verschiedenen </w:t>
      </w:r>
      <w:r w:rsidR="00765E66">
        <w:t>Mer</w:t>
      </w:r>
      <w:r w:rsidR="00765E66">
        <w:t>k</w:t>
      </w:r>
      <w:r w:rsidR="00765E66">
        <w:t>malsregel</w:t>
      </w:r>
      <w:r w:rsidR="00D2554C">
        <w:t xml:space="preserve">n auf die Menge der </w:t>
      </w:r>
      <w:r w:rsidR="00721558">
        <w:t>Alter</w:t>
      </w:r>
      <w:r w:rsidR="00721558">
        <w:softHyphen/>
        <w:t>nativen</w:t>
      </w:r>
      <w:r w:rsidR="00721558">
        <w:softHyphen/>
        <w:t>klasse</w:t>
      </w:r>
      <w:r w:rsidR="00D2554C">
        <w:t xml:space="preserve">n angewandt werden, wobei eine Menge von reduzierten </w:t>
      </w:r>
      <w:r w:rsidR="00721558">
        <w:t>Alter</w:t>
      </w:r>
      <w:r w:rsidR="00721558">
        <w:softHyphen/>
        <w:t>nativen</w:t>
      </w:r>
      <w:r w:rsidR="00721558">
        <w:softHyphen/>
        <w:t>klasse</w:t>
      </w:r>
      <w:r w:rsidR="00D2554C">
        <w:t xml:space="preserve">n entsteht. (Dieser Prozess wird in Abschnitt </w:t>
      </w:r>
      <w:r w:rsidR="005D7996">
        <w:fldChar w:fldCharType="begin"/>
      </w:r>
      <w:r w:rsidR="001D2456">
        <w:instrText xml:space="preserve"> REF _Ref212110888 \r \h </w:instrText>
      </w:r>
      <w:r w:rsidR="005D7996">
        <w:fldChar w:fldCharType="separate"/>
      </w:r>
      <w:r w:rsidR="001231D3">
        <w:t>5.4</w:t>
      </w:r>
      <w:r w:rsidR="005D7996">
        <w:fldChar w:fldCharType="end"/>
      </w:r>
      <w:r w:rsidR="00D2554C">
        <w:t xml:space="preserve"> </w:t>
      </w:r>
      <w:r w:rsidR="00D56200">
        <w:t>dargestellt</w:t>
      </w:r>
      <w:r w:rsidR="00D2554C">
        <w:t>.)</w:t>
      </w:r>
    </w:p>
    <w:p w:rsidR="00D2554C" w:rsidRDefault="00D2554C" w:rsidP="00976469">
      <w:pPr>
        <w:pStyle w:val="Zwischenberschrift"/>
      </w:pPr>
      <w:r>
        <w:t>Schritt 4: Erzeugung der Realisierung</w:t>
      </w:r>
    </w:p>
    <w:p w:rsidR="00D2554C" w:rsidRDefault="000D1FE7" w:rsidP="00976469">
      <w:pPr>
        <w:pStyle w:val="Text"/>
        <w:ind w:firstLine="0"/>
      </w:pPr>
      <w:r>
        <w:t xml:space="preserve">Nach dem Einschreiben </w:t>
      </w:r>
      <w:r w:rsidR="00D2554C">
        <w:t xml:space="preserve">der </w:t>
      </w:r>
      <w:r w:rsidR="00765E66">
        <w:t>Merkmalsregel</w:t>
      </w:r>
      <w:r w:rsidR="00D2554C">
        <w:t xml:space="preserve">n bleibt aus stilistischer Sicht nur noch die Fertigstellung der Auswahl. Aus den reduzierten </w:t>
      </w:r>
      <w:r w:rsidR="00721558">
        <w:t>Alter</w:t>
      </w:r>
      <w:r w:rsidR="00721558">
        <w:softHyphen/>
        <w:t>nativen</w:t>
      </w:r>
      <w:r w:rsidR="00721558">
        <w:softHyphen/>
        <w:t>klasse</w:t>
      </w:r>
      <w:r w:rsidR="00D2554C">
        <w:t>n wird nun für jede Realisierungsstelle ein Element ausgewählt, und diese Eleme</w:t>
      </w:r>
      <w:r w:rsidR="00D2554C">
        <w:t>n</w:t>
      </w:r>
      <w:r w:rsidR="00D2554C">
        <w:t>te werden zur Realisierung zusammengefasst.</w:t>
      </w:r>
      <w:r w:rsidR="002A1B89">
        <w:t xml:space="preserve"> Diese Auswahl kann durch Zufall oder nach funktionalen, inhaltlichen oder anderen Kriterien erfolgen.</w:t>
      </w:r>
    </w:p>
    <w:p w:rsidR="00D2554C" w:rsidRDefault="00D2554C" w:rsidP="00976469">
      <w:pPr>
        <w:pStyle w:val="Text"/>
        <w:spacing w:before="240"/>
        <w:ind w:firstLine="0"/>
      </w:pPr>
      <w:r>
        <w:t>Kommen wir zur formalen Darstellung. Bei</w:t>
      </w:r>
      <w:r w:rsidR="000D1FE7">
        <w:t>m Einschreiben und Auslesen</w:t>
      </w:r>
      <w:r>
        <w:t xml:space="preserve"> </w:t>
      </w:r>
      <w:r w:rsidR="000D1FE7">
        <w:t xml:space="preserve">von </w:t>
      </w:r>
      <w:r w:rsidR="00CD1846">
        <w:t xml:space="preserve">Merkmalsregeln </w:t>
      </w:r>
      <w:r>
        <w:t>handelt es sich um Prozesse, die recht komplex sind; die ei</w:t>
      </w:r>
      <w:r>
        <w:t>n</w:t>
      </w:r>
      <w:r>
        <w:t>fachste Möglichkeit zu ihrer Darstellung besteht darin, sie als Algorithmen</w:t>
      </w:r>
      <w:r w:rsidR="005D7996">
        <w:fldChar w:fldCharType="begin"/>
      </w:r>
      <w:r w:rsidR="00CE3787">
        <w:instrText xml:space="preserve"> XE "</w:instrText>
      </w:r>
      <w:r w:rsidR="00CE3787" w:rsidRPr="008000A4">
        <w:instrText>Algorithmus</w:instrText>
      </w:r>
      <w:r w:rsidR="00CE3787">
        <w:instrText xml:space="preserve">" </w:instrText>
      </w:r>
      <w:r w:rsidR="005D7996">
        <w:fldChar w:fldCharType="end"/>
      </w:r>
      <w:r>
        <w:t xml:space="preserve"> zu formulieren. Diese sind als vereinfachte und schematisierte Darstellungen des tatsächlichen Ablaufs zu verstehen.</w:t>
      </w:r>
      <w:r>
        <w:rPr>
          <w:rStyle w:val="Funotenzeichen"/>
        </w:rPr>
        <w:footnoteReference w:id="359"/>
      </w:r>
    </w:p>
    <w:p w:rsidR="00D2554C" w:rsidRDefault="00D2554C">
      <w:pPr>
        <w:pStyle w:val="Text"/>
      </w:pPr>
      <w:r>
        <w:t xml:space="preserve">In den vier dargestellten Schritten werden verschiedene Auswahlvorgänge vorgenommen. Nur im Falle der stilistisch relevanten Auswahl interessiert uns, wie diese Auswahl genau </w:t>
      </w:r>
      <w:r w:rsidR="002108CB">
        <w:t>erfolgt</w:t>
      </w:r>
      <w:r>
        <w:t xml:space="preserve">. Dies wird als </w:t>
      </w:r>
      <w:r w:rsidR="00346425">
        <w:t xml:space="preserve">Einschreiben </w:t>
      </w:r>
      <w:r>
        <w:t xml:space="preserve">der </w:t>
      </w:r>
      <w:r w:rsidR="00765E66">
        <w:t>Merkmalsregel</w:t>
      </w:r>
      <w:r>
        <w:t>n (Abschnitt</w:t>
      </w:r>
      <w:r w:rsidR="00346425">
        <w:t xml:space="preserve"> </w:t>
      </w:r>
      <w:r w:rsidR="005D7996">
        <w:fldChar w:fldCharType="begin"/>
      </w:r>
      <w:r w:rsidR="00346425">
        <w:instrText xml:space="preserve"> REF _Ref269156038 \r \h </w:instrText>
      </w:r>
      <w:r w:rsidR="005D7996">
        <w:fldChar w:fldCharType="separate"/>
      </w:r>
      <w:r w:rsidR="001231D3">
        <w:t>5.4.1</w:t>
      </w:r>
      <w:r w:rsidR="005D7996">
        <w:fldChar w:fldCharType="end"/>
      </w:r>
      <w:r>
        <w:t xml:space="preserve">) genauer betrachtet; </w:t>
      </w:r>
      <w:r w:rsidR="0038326D">
        <w:t xml:space="preserve">die </w:t>
      </w:r>
      <w:r>
        <w:t xml:space="preserve">dort dargestellte </w:t>
      </w:r>
      <w:r w:rsidR="0038326D">
        <w:t xml:space="preserve">Funktion </w:t>
      </w:r>
      <w:r w:rsidR="002D42C9">
        <w:rPr>
          <w:i/>
        </w:rPr>
        <w:t>Merkmalsr</w:t>
      </w:r>
      <w:r w:rsidR="002D42C9">
        <w:rPr>
          <w:i/>
        </w:rPr>
        <w:t>e</w:t>
      </w:r>
      <w:r w:rsidR="002D42C9">
        <w:rPr>
          <w:i/>
        </w:rPr>
        <w:t>geln_einschreiben</w:t>
      </w:r>
      <w:r w:rsidR="002D42C9">
        <w:t xml:space="preserve"> </w:t>
      </w:r>
      <w:r>
        <w:t xml:space="preserve">wird hier </w:t>
      </w:r>
      <w:r w:rsidR="002D42C9">
        <w:t xml:space="preserve">in Zeile 18 </w:t>
      </w:r>
      <w:r>
        <w:t xml:space="preserve">aufgerufen. </w:t>
      </w:r>
      <w:r w:rsidR="009B205F">
        <w:t xml:space="preserve">Bei den </w:t>
      </w:r>
      <w:r>
        <w:t>anderen Auswahl</w:t>
      </w:r>
      <w:r w:rsidR="009B205F">
        <w:t>vo</w:t>
      </w:r>
      <w:r w:rsidR="009B205F">
        <w:t>r</w:t>
      </w:r>
      <w:r w:rsidR="009B205F">
        <w:t>gängen interessiert uns nicht</w:t>
      </w:r>
      <w:r>
        <w:t xml:space="preserve">, nach welchen Kriterien die Auswahl </w:t>
      </w:r>
      <w:r w:rsidR="009B205F">
        <w:t>erfolgt</w:t>
      </w:r>
      <w:r>
        <w:t xml:space="preserve">. </w:t>
      </w:r>
      <w:r w:rsidR="003F15BF">
        <w:t xml:space="preserve">Daher führen wir eine Funktion </w:t>
      </w:r>
      <w:r w:rsidR="0038326D">
        <w:rPr>
          <w:i/>
        </w:rPr>
        <w:t>Auswahl</w:t>
      </w:r>
      <w:r>
        <w:t xml:space="preserve"> ein, die diese Auswahlvorgänge simuliert.</w:t>
      </w:r>
    </w:p>
    <w:p w:rsidR="00D2554C" w:rsidRDefault="003F15BF">
      <w:pPr>
        <w:pStyle w:val="Text"/>
      </w:pPr>
      <w:r>
        <w:t xml:space="preserve">Die Funktion </w:t>
      </w:r>
      <w:r w:rsidR="0038326D">
        <w:rPr>
          <w:i/>
        </w:rPr>
        <w:t>Auswahl</w:t>
      </w:r>
      <w:r w:rsidR="0038326D">
        <w:t xml:space="preserve"> </w:t>
      </w:r>
      <w:r w:rsidR="0034590D">
        <w:t xml:space="preserve">wählt aus einer </w:t>
      </w:r>
      <w:r w:rsidR="00D2554C">
        <w:t>Menge</w:t>
      </w:r>
      <w:r w:rsidR="0034590D">
        <w:t>, die sie als Parameter erhält,</w:t>
      </w:r>
      <w:r w:rsidR="00D2554C">
        <w:t xml:space="preserve"> ein Element aus. Die Kriterien, nach denen die Auswahl getroffen wird, intere</w:t>
      </w:r>
      <w:r w:rsidR="00D2554C">
        <w:t>s</w:t>
      </w:r>
      <w:r w:rsidR="00D2554C">
        <w:t xml:space="preserve">sieren uns hier nicht, da sie für </w:t>
      </w:r>
      <w:r w:rsidR="0011236C">
        <w:t xml:space="preserve">das Einschreiben der Merkmalsregeln </w:t>
      </w:r>
      <w:r w:rsidR="00D2554C">
        <w:t>nicht rel</w:t>
      </w:r>
      <w:r w:rsidR="00D2554C">
        <w:t>e</w:t>
      </w:r>
      <w:r w:rsidR="00D2554C">
        <w:t xml:space="preserve">vant sind. Es ist davon auszugehen, dass diese im </w:t>
      </w:r>
      <w:r w:rsidR="004A7F8B">
        <w:t>E</w:t>
      </w:r>
      <w:r w:rsidR="00D2554C">
        <w:t xml:space="preserve">inzelnen unterschiedlich sind, weshalb der Funktion </w:t>
      </w:r>
      <w:r w:rsidR="0038326D">
        <w:rPr>
          <w:i/>
        </w:rPr>
        <w:t>Auswahl</w:t>
      </w:r>
      <w:r w:rsidR="0038326D">
        <w:t xml:space="preserve"> </w:t>
      </w:r>
      <w:r w:rsidR="00D2554C">
        <w:t>kein festgelegter (und nur unbekannter) Au</w:t>
      </w:r>
      <w:r w:rsidR="00D2554C">
        <w:t>s</w:t>
      </w:r>
      <w:r w:rsidR="00D2554C">
        <w:t xml:space="preserve">wahlprozess unterstellt werden darf. Vielmehr steht sie nur allgemein für eine </w:t>
      </w:r>
      <w:r w:rsidR="00D2554C">
        <w:lastRenderedPageBreak/>
        <w:t xml:space="preserve">Auswahl, die vom </w:t>
      </w:r>
      <w:r w:rsidR="00816BD4">
        <w:t>Schema</w:t>
      </w:r>
      <w:r w:rsidR="00D2554C">
        <w:t>ausführenden getroffen wird, wobei von Absichten über Konventionen bis zum Zufall alle möglichen Prinzipien denkbar sind. Es handelt sich also streng genommen um eine Menge von Funktionen, die jedoch nicht angegeben werden müssen; es ist fraglich, ob sie überhaupt formalisiert werden könnten. Wichtig ist jedoch, dass die dort stattfindende Auswahl nicht mit stilistischer Auswahl verwechselt wird; dazu dient die hier vorgenommene Abgrenzung der verschiedenen Auswahlvorgänge.</w:t>
      </w:r>
    </w:p>
    <w:p w:rsidR="00D2554C" w:rsidRDefault="00D2554C">
      <w:pPr>
        <w:pStyle w:val="Text"/>
      </w:pPr>
      <w:r>
        <w:t>Der 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t xml:space="preserve"> wird in </w:t>
      </w:r>
      <w:r w:rsidR="00713AB0">
        <w:t>Pseudocode</w:t>
      </w:r>
      <w:r w:rsidR="005D7996">
        <w:fldChar w:fldCharType="begin"/>
      </w:r>
      <w:r w:rsidR="00D25476">
        <w:instrText xml:space="preserve"> XE "</w:instrText>
      </w:r>
      <w:r w:rsidR="00D25476" w:rsidRPr="00A30335">
        <w:rPr>
          <w:szCs w:val="17"/>
        </w:rPr>
        <w:instrText>Pseudocode</w:instrText>
      </w:r>
      <w:r w:rsidR="00D25476">
        <w:instrText xml:space="preserve">" </w:instrText>
      </w:r>
      <w:r w:rsidR="005D7996">
        <w:fldChar w:fldCharType="end"/>
      </w:r>
      <w:r>
        <w:t xml:space="preserve"> angegeben. Eine detaillierte zeilenb</w:t>
      </w:r>
      <w:r>
        <w:t>e</w:t>
      </w:r>
      <w:r>
        <w:t>zogene Erläuterung erfolgt nach dem Algorithmus.</w:t>
      </w:r>
    </w:p>
    <w:p w:rsidR="00D2554C" w:rsidRPr="00DD0752" w:rsidRDefault="00D2554C" w:rsidP="00D4686A">
      <w:pPr>
        <w:pStyle w:val="Text"/>
        <w:keepNext/>
        <w:spacing w:before="360"/>
        <w:ind w:firstLine="0"/>
        <w:jc w:val="left"/>
      </w:pPr>
      <w:r>
        <w:t xml:space="preserve">function </w:t>
      </w:r>
      <w:r w:rsidR="008A22E7">
        <w:t>Schema</w:t>
      </w:r>
      <w:r>
        <w:t>ausführung</w:t>
      </w:r>
      <w:r w:rsidR="0011719D">
        <w:t xml:space="preserve"> ()</w:t>
      </w:r>
    </w:p>
    <w:p w:rsidR="00FC18B3" w:rsidRDefault="00FC18B3" w:rsidP="002C7C0E">
      <w:pPr>
        <w:pStyle w:val="Text"/>
        <w:ind w:firstLine="0"/>
        <w:jc w:val="left"/>
        <w:rPr>
          <w:lang w:val="it-IT"/>
        </w:rPr>
      </w:pPr>
      <w:r>
        <w:rPr>
          <w:lang w:val="it-IT"/>
        </w:rPr>
        <w:t xml:space="preserve">   </w:t>
      </w:r>
      <w:r w:rsidRPr="00AB2377">
        <w:rPr>
          <w:i/>
        </w:rPr>
        <w:t>M</w:t>
      </w:r>
      <w:r>
        <w:rPr>
          <w:i/>
          <w:vertAlign w:val="subscript"/>
        </w:rPr>
        <w:t>Al</w:t>
      </w:r>
      <w:r w:rsidRPr="00AB2377">
        <w:rPr>
          <w:i/>
          <w:vertAlign w:val="subscript"/>
        </w:rPr>
        <w:t>t</w:t>
      </w:r>
      <w:r>
        <w:rPr>
          <w:lang w:val="it-IT"/>
        </w:rPr>
        <w:t xml:space="preserve"> := </w:t>
      </w:r>
      <w:r w:rsidR="00B7173B">
        <w:rPr>
          <w:lang w:val="it-IT"/>
        </w:rPr>
        <w:t>Möglichkeitsraum</w:t>
      </w:r>
      <w:r w:rsidR="005D7996">
        <w:rPr>
          <w:lang w:val="it-IT"/>
        </w:rPr>
        <w:fldChar w:fldCharType="begin"/>
      </w:r>
      <w:r w:rsidR="007A5993">
        <w:instrText xml:space="preserve"> XE "</w:instrText>
      </w:r>
      <w:r w:rsidR="007A5993" w:rsidRPr="007904ED">
        <w:instrText>Möglichkeitsraum</w:instrText>
      </w:r>
      <w:r w:rsidR="007A5993">
        <w:instrText xml:space="preserve">" </w:instrText>
      </w:r>
      <w:r w:rsidR="005D7996">
        <w:rPr>
          <w:lang w:val="it-IT"/>
        </w:rPr>
        <w:fldChar w:fldCharType="end"/>
      </w:r>
      <w:r w:rsidR="00B7173B">
        <w:rPr>
          <w:lang w:val="it-IT"/>
        </w:rPr>
        <w:t>_</w:t>
      </w:r>
      <w:r>
        <w:rPr>
          <w:lang w:val="it-IT"/>
        </w:rPr>
        <w:t>zusammenstellen</w:t>
      </w:r>
      <w:r w:rsidR="00B7173B">
        <w:rPr>
          <w:lang w:val="it-IT"/>
        </w:rPr>
        <w:t xml:space="preserve"> ()</w:t>
      </w:r>
    </w:p>
    <w:p w:rsidR="00865AE1" w:rsidRDefault="00D85A75" w:rsidP="00976469">
      <w:pPr>
        <w:pStyle w:val="Text"/>
        <w:tabs>
          <w:tab w:val="right" w:pos="6804"/>
        </w:tabs>
        <w:ind w:left="567" w:hanging="567"/>
        <w:jc w:val="left"/>
      </w:pPr>
      <w:r>
        <w:rPr>
          <w:lang w:val="it-IT"/>
        </w:rPr>
        <w:t xml:space="preserve">   </w:t>
      </w:r>
      <w:r w:rsidRPr="00D85A75">
        <w:rPr>
          <w:i/>
        </w:rPr>
        <w:t>S</w:t>
      </w:r>
      <w:r>
        <w:rPr>
          <w:lang w:val="it-IT"/>
        </w:rPr>
        <w:t xml:space="preserve"> </w:t>
      </w:r>
      <w:r w:rsidR="00865AE1">
        <w:rPr>
          <w:lang w:val="it-IT"/>
        </w:rPr>
        <w:t xml:space="preserve">= </w:t>
      </w:r>
      <w:r w:rsidR="00C378BB">
        <w:t>{</w:t>
      </w:r>
      <w:r w:rsidR="00C378BB">
        <w:rPr>
          <w:lang w:val="it-IT"/>
        </w:rPr>
        <w:t>&lt;</w:t>
      </w:r>
      <w:r w:rsidR="00C378BB" w:rsidRPr="0065440B">
        <w:rPr>
          <w:i/>
          <w:lang w:val="it-IT"/>
        </w:rPr>
        <w:t>N</w:t>
      </w:r>
      <w:r w:rsidR="00C378BB">
        <w:rPr>
          <w:lang w:val="it-IT"/>
        </w:rPr>
        <w:t xml:space="preserve">, </w:t>
      </w:r>
      <w:r w:rsidR="00C378BB">
        <w:rPr>
          <w:i/>
          <w:lang w:val="it-IT"/>
        </w:rPr>
        <w:t>So</w:t>
      </w:r>
      <w:r w:rsidR="00C378BB">
        <w:rPr>
          <w:lang w:val="it-IT"/>
        </w:rPr>
        <w:t xml:space="preserve">, </w:t>
      </w:r>
      <w:r w:rsidR="00C378BB">
        <w:rPr>
          <w:i/>
          <w:lang w:val="it-IT"/>
        </w:rPr>
        <w:t>O</w:t>
      </w:r>
      <w:r w:rsidR="00C378BB">
        <w:rPr>
          <w:lang w:val="it-IT"/>
        </w:rPr>
        <w:t xml:space="preserve">&gt;} = </w:t>
      </w:r>
      <w:r w:rsidR="00865AE1">
        <w:t>{</w:t>
      </w:r>
      <w:r w:rsidR="00865AE1">
        <w:rPr>
          <w:lang w:val="it-IT"/>
        </w:rPr>
        <w:t>&lt;</w:t>
      </w:r>
      <w:r w:rsidR="0065440B" w:rsidRPr="0065440B">
        <w:rPr>
          <w:i/>
          <w:lang w:val="it-IT"/>
        </w:rPr>
        <w:t>N</w:t>
      </w:r>
      <w:r w:rsidR="0065440B">
        <w:rPr>
          <w:lang w:val="it-IT"/>
        </w:rPr>
        <w:t>,</w:t>
      </w:r>
      <w:r w:rsidR="00E367BB">
        <w:rPr>
          <w:lang w:val="it-IT"/>
        </w:rPr>
        <w:t xml:space="preserve"> </w:t>
      </w:r>
      <w:r w:rsidR="0065440B">
        <w:rPr>
          <w:i/>
          <w:lang w:val="it-IT"/>
        </w:rPr>
        <w:t>So</w:t>
      </w:r>
      <w:r w:rsidR="00E367BB">
        <w:rPr>
          <w:lang w:val="it-IT"/>
        </w:rPr>
        <w:t xml:space="preserve">, </w:t>
      </w:r>
      <w:r w:rsidR="00C378BB">
        <w:rPr>
          <w:lang w:val="it-IT"/>
        </w:rPr>
        <w:t>{&lt;</w:t>
      </w:r>
      <w:r w:rsidR="00865AE1">
        <w:rPr>
          <w:i/>
          <w:lang w:val="it-IT"/>
        </w:rPr>
        <w:t>O</w:t>
      </w:r>
      <w:r w:rsidR="00C378BB">
        <w:rPr>
          <w:i/>
          <w:lang w:val="it-IT"/>
        </w:rPr>
        <w:t>b</w:t>
      </w:r>
      <w:r w:rsidR="00865AE1">
        <w:rPr>
          <w:lang w:val="it-IT"/>
        </w:rPr>
        <w:t xml:space="preserve">, </w:t>
      </w:r>
      <w:r w:rsidR="00865AE1">
        <w:rPr>
          <w:i/>
          <w:lang w:val="it-IT"/>
        </w:rPr>
        <w:t>Z</w:t>
      </w:r>
      <w:r w:rsidR="00C378BB">
        <w:rPr>
          <w:i/>
          <w:lang w:val="it-IT"/>
        </w:rPr>
        <w:t>b</w:t>
      </w:r>
      <w:r w:rsidR="00865AE1">
        <w:rPr>
          <w:lang w:val="it-IT"/>
        </w:rPr>
        <w:t>&gt;</w:t>
      </w:r>
      <w:r w:rsidR="00C378BB">
        <w:rPr>
          <w:lang w:val="it-IT"/>
        </w:rPr>
        <w:t>}&gt;</w:t>
      </w:r>
      <w:r w:rsidR="00865AE1">
        <w:rPr>
          <w:lang w:val="it-IT"/>
        </w:rPr>
        <w:t xml:space="preserve">} := </w:t>
      </w:r>
      <w:r w:rsidR="00865AE1" w:rsidRPr="009610B4">
        <w:t>Schem</w:t>
      </w:r>
      <w:r w:rsidR="00865AE1" w:rsidRPr="009610B4">
        <w:t>a</w:t>
      </w:r>
      <w:r w:rsidR="00865AE1" w:rsidRPr="009610B4">
        <w:t>ta_zusammenstellen ()</w:t>
      </w:r>
      <w:r w:rsidR="00976469">
        <w:tab/>
      </w:r>
      <w:r w:rsidR="00B0773E" w:rsidRPr="0038326D">
        <w:t>[Schritt 1]</w:t>
      </w:r>
    </w:p>
    <w:p w:rsidR="00D2554C" w:rsidRDefault="00D2554C" w:rsidP="002C7C0E">
      <w:pPr>
        <w:pStyle w:val="Text"/>
        <w:ind w:firstLine="0"/>
        <w:jc w:val="left"/>
      </w:pPr>
      <w:r w:rsidRPr="00A269E1">
        <w:t xml:space="preserve">   </w:t>
      </w:r>
      <w:r w:rsidR="006008E9">
        <w:rPr>
          <w:i/>
        </w:rPr>
        <w:t>S*</w:t>
      </w:r>
      <w:r w:rsidRPr="0038326D">
        <w:t xml:space="preserve"> := </w:t>
      </w:r>
      <w:r w:rsidR="0038326D" w:rsidRPr="0038326D">
        <w:t>Auswahl</w:t>
      </w:r>
      <w:r w:rsidRPr="0038326D">
        <w:t xml:space="preserve"> (</w:t>
      </w:r>
      <w:r w:rsidRPr="0038326D">
        <w:rPr>
          <w:i/>
        </w:rPr>
        <w:t>S</w:t>
      </w:r>
      <w:r w:rsidR="00B0773E">
        <w:rPr>
          <w:rFonts w:eastAsia="Arial Unicode MS" w:cs="Times New Roman"/>
        </w:rPr>
        <w:t>)</w:t>
      </w:r>
    </w:p>
    <w:p w:rsidR="00D2554C" w:rsidRPr="009A21A9" w:rsidRDefault="0011265F" w:rsidP="00EC6AA9">
      <w:pPr>
        <w:pStyle w:val="Text"/>
        <w:tabs>
          <w:tab w:val="right" w:pos="6804"/>
        </w:tabs>
        <w:ind w:hanging="369"/>
        <w:jc w:val="left"/>
        <w:rPr>
          <w:lang w:val="fr-FR"/>
        </w:rPr>
      </w:pPr>
      <w:r w:rsidRPr="002C7C0E">
        <w:rPr>
          <w:sz w:val="16"/>
          <w:szCs w:val="16"/>
          <w:lang w:val="fr-FR"/>
        </w:rPr>
        <w:t xml:space="preserve"> </w:t>
      </w:r>
      <w:r w:rsidR="00D2554C" w:rsidRPr="002C7C0E">
        <w:rPr>
          <w:sz w:val="16"/>
          <w:szCs w:val="16"/>
          <w:lang w:val="fr-FR"/>
        </w:rPr>
        <w:t>5</w:t>
      </w:r>
      <w:r w:rsidR="00D2554C">
        <w:rPr>
          <w:lang w:val="fr-FR"/>
        </w:rPr>
        <w:tab/>
      </w:r>
      <w:r w:rsidR="00B0773E" w:rsidRPr="009A21A9">
        <w:rPr>
          <w:lang w:val="fr-FR"/>
        </w:rPr>
        <w:t xml:space="preserve">   </w:t>
      </w:r>
      <w:r w:rsidR="00B0773E" w:rsidRPr="009A21A9">
        <w:rPr>
          <w:i/>
          <w:lang w:val="fr-FR"/>
        </w:rPr>
        <w:t>n</w:t>
      </w:r>
      <w:r w:rsidR="00B0773E" w:rsidRPr="009A21A9">
        <w:rPr>
          <w:lang w:val="fr-FR"/>
        </w:rPr>
        <w:t xml:space="preserve"> := Auswahl</w:t>
      </w:r>
      <w:r w:rsidR="00B0773E" w:rsidRPr="009A21A9">
        <w:rPr>
          <w:iCs/>
          <w:lang w:val="fr-FR"/>
        </w:rPr>
        <w:t xml:space="preserve"> (</w:t>
      </w:r>
      <w:r w:rsidR="00B0773E" w:rsidRPr="001E0AE6">
        <w:rPr>
          <w:rFonts w:ascii="Cambria Math" w:eastAsia="Arial Unicode MS" w:hAnsi="Cambria Math" w:cs="Arial Unicode MS"/>
          <w:lang w:val="fr-FR"/>
        </w:rPr>
        <w:t>ℕ</w:t>
      </w:r>
      <w:r w:rsidR="00976469">
        <w:rPr>
          <w:iCs/>
          <w:lang w:val="fr-FR"/>
        </w:rPr>
        <w:t>)</w:t>
      </w:r>
      <w:r w:rsidR="00976469">
        <w:rPr>
          <w:iCs/>
          <w:lang w:val="fr-FR"/>
        </w:rPr>
        <w:tab/>
      </w:r>
      <w:r w:rsidR="00B0773E" w:rsidRPr="009A21A9">
        <w:rPr>
          <w:iCs/>
          <w:lang w:val="fr-FR"/>
        </w:rPr>
        <w:t>[Schritt 2]</w:t>
      </w:r>
    </w:p>
    <w:p w:rsidR="00B0773E" w:rsidRPr="009A21A9" w:rsidRDefault="00B0773E" w:rsidP="002C7C0E">
      <w:pPr>
        <w:pStyle w:val="Text"/>
        <w:ind w:firstLine="0"/>
        <w:jc w:val="left"/>
        <w:rPr>
          <w:iCs/>
          <w:lang w:val="fr-FR"/>
        </w:rPr>
      </w:pPr>
      <w:r w:rsidRPr="009A21A9">
        <w:rPr>
          <w:lang w:val="fr-FR"/>
        </w:rPr>
        <w:t xml:space="preserve">   for</w:t>
      </w:r>
      <w:r w:rsidRPr="009A21A9">
        <w:rPr>
          <w:i/>
          <w:lang w:val="fr-FR"/>
        </w:rPr>
        <w:t xml:space="preserve"> i </w:t>
      </w:r>
      <w:r w:rsidRPr="009A21A9">
        <w:rPr>
          <w:lang w:val="fr-FR"/>
        </w:rPr>
        <w:t xml:space="preserve">:= 1 to </w:t>
      </w:r>
      <w:r w:rsidRPr="009A21A9">
        <w:rPr>
          <w:i/>
          <w:lang w:val="fr-FR"/>
        </w:rPr>
        <w:t>n</w:t>
      </w:r>
    </w:p>
    <w:p w:rsidR="0011265F" w:rsidRPr="009A21A9" w:rsidRDefault="0011265F" w:rsidP="002C7C0E">
      <w:pPr>
        <w:pStyle w:val="Text"/>
        <w:ind w:firstLine="0"/>
        <w:jc w:val="left"/>
        <w:rPr>
          <w:iCs/>
          <w:lang w:val="fr-FR"/>
        </w:rPr>
      </w:pPr>
      <w:r w:rsidRPr="009A21A9">
        <w:rPr>
          <w:iCs/>
          <w:lang w:val="fr-FR"/>
        </w:rPr>
        <w:t xml:space="preserve">      </w:t>
      </w:r>
      <w:r w:rsidRPr="009A21A9">
        <w:rPr>
          <w:rFonts w:eastAsia="Arial Unicode MS" w:cs="Times New Roman"/>
          <w:i/>
          <w:lang w:val="fr-FR"/>
        </w:rPr>
        <w:t>O</w:t>
      </w:r>
      <w:r w:rsidR="009643A6" w:rsidRPr="009A21A9">
        <w:rPr>
          <w:rFonts w:cs="Times New Roman"/>
          <w:i/>
          <w:vertAlign w:val="subscript"/>
          <w:lang w:val="fr-FR"/>
        </w:rPr>
        <w:t>W</w:t>
      </w:r>
      <w:r w:rsidRPr="009A21A9">
        <w:rPr>
          <w:lang w:val="fr-FR"/>
        </w:rPr>
        <w:t xml:space="preserve"> := Auswahl (</w:t>
      </w:r>
      <w:r w:rsidR="00C378BB" w:rsidRPr="009A21A9">
        <w:rPr>
          <w:i/>
          <w:lang w:val="fr-FR"/>
        </w:rPr>
        <w:t>O</w:t>
      </w:r>
      <w:r w:rsidR="00C378BB" w:rsidRPr="009A21A9">
        <w:rPr>
          <w:lang w:val="fr-FR"/>
        </w:rPr>
        <w:t>(</w:t>
      </w:r>
      <w:r w:rsidR="006008E9" w:rsidRPr="009A21A9">
        <w:rPr>
          <w:i/>
          <w:lang w:val="fr-FR"/>
        </w:rPr>
        <w:t>S*</w:t>
      </w:r>
      <w:r w:rsidRPr="009A21A9">
        <w:rPr>
          <w:rFonts w:eastAsia="Arial Unicode MS" w:cs="Times New Roman"/>
          <w:lang w:val="fr-FR"/>
        </w:rPr>
        <w:t>))</w:t>
      </w:r>
    </w:p>
    <w:p w:rsidR="00D2554C" w:rsidRPr="009A21A9" w:rsidRDefault="00D2554C" w:rsidP="002C7C0E">
      <w:pPr>
        <w:pStyle w:val="Text"/>
        <w:ind w:firstLine="0"/>
        <w:jc w:val="left"/>
        <w:rPr>
          <w:position w:val="-6"/>
          <w:lang w:val="fr-FR"/>
        </w:rPr>
      </w:pPr>
      <w:r w:rsidRPr="009A21A9">
        <w:rPr>
          <w:lang w:val="fr-FR"/>
        </w:rPr>
        <w:t xml:space="preserve">      </w:t>
      </w:r>
      <w:r w:rsidRPr="009A21A9">
        <w:rPr>
          <w:rFonts w:cs="Times New Roman"/>
          <w:i/>
          <w:lang w:val="fr-FR"/>
        </w:rPr>
        <w:t>Z</w:t>
      </w:r>
      <w:r w:rsidR="00C378BB" w:rsidRPr="009A21A9">
        <w:rPr>
          <w:rFonts w:cs="Times New Roman"/>
          <w:i/>
          <w:lang w:val="fr-FR"/>
        </w:rPr>
        <w:t>b</w:t>
      </w:r>
      <w:r w:rsidRPr="009A21A9">
        <w:rPr>
          <w:rFonts w:cs="Times New Roman"/>
          <w:i/>
          <w:vertAlign w:val="subscript"/>
          <w:lang w:val="fr-FR"/>
        </w:rPr>
        <w:t>W</w:t>
      </w:r>
      <w:r w:rsidRPr="009A21A9">
        <w:rPr>
          <w:lang w:val="fr-FR"/>
        </w:rPr>
        <w:t xml:space="preserve"> := </w:t>
      </w:r>
      <w:r w:rsidRPr="007F4805">
        <w:rPr>
          <w:position w:val="-6"/>
        </w:rPr>
        <w:object w:dxaOrig="260" w:dyaOrig="279">
          <v:shape id="_x0000_i1026" type="#_x0000_t75" style="width:14pt;height:13.6pt" o:ole="">
            <v:imagedata r:id="rId25" o:title=""/>
          </v:shape>
          <o:OLEObject Type="Embed" ProgID="Equation.3" ShapeID="_x0000_i1026" DrawAspect="Content" ObjectID="_1460983867" r:id="rId26"/>
        </w:object>
      </w:r>
    </w:p>
    <w:p w:rsidR="002D67C1" w:rsidRPr="009A21A9" w:rsidRDefault="002D67C1" w:rsidP="002C7C0E">
      <w:pPr>
        <w:pStyle w:val="Text"/>
        <w:ind w:firstLine="0"/>
        <w:jc w:val="left"/>
        <w:rPr>
          <w:lang w:val="fr-FR"/>
        </w:rPr>
      </w:pPr>
      <w:r w:rsidRPr="009A21A9">
        <w:rPr>
          <w:lang w:val="fr-FR"/>
        </w:rPr>
        <w:t xml:space="preserve">      for </w:t>
      </w:r>
      <w:r w:rsidRPr="009A21A9">
        <w:rPr>
          <w:i/>
          <w:iCs/>
          <w:lang w:val="fr-FR"/>
        </w:rPr>
        <w:t>k</w:t>
      </w:r>
      <w:r w:rsidRPr="009A21A9">
        <w:rPr>
          <w:lang w:val="fr-FR"/>
        </w:rPr>
        <w:t xml:space="preserve"> := 1 to Auswahl ({0, …, |</w:t>
      </w:r>
      <w:r w:rsidRPr="009A21A9">
        <w:rPr>
          <w:rFonts w:eastAsia="Arial Unicode MS" w:cs="Times New Roman"/>
          <w:i/>
          <w:lang w:val="fr-FR"/>
        </w:rPr>
        <w:t>Z</w:t>
      </w:r>
      <w:r w:rsidR="00C378BB" w:rsidRPr="009A21A9">
        <w:rPr>
          <w:rFonts w:eastAsia="Arial Unicode MS" w:cs="Times New Roman"/>
          <w:i/>
          <w:lang w:val="fr-FR"/>
        </w:rPr>
        <w:t>b</w:t>
      </w:r>
      <w:r w:rsidR="00C378BB" w:rsidRPr="009A21A9">
        <w:rPr>
          <w:lang w:val="fr-FR"/>
        </w:rPr>
        <w:t>(</w:t>
      </w:r>
      <w:r w:rsidR="00C378BB" w:rsidRPr="009A21A9">
        <w:rPr>
          <w:rFonts w:eastAsia="Arial Unicode MS" w:cs="Times New Roman"/>
          <w:i/>
          <w:lang w:val="fr-FR"/>
        </w:rPr>
        <w:t>O</w:t>
      </w:r>
      <w:r w:rsidR="009643A6" w:rsidRPr="009A21A9">
        <w:rPr>
          <w:rFonts w:cs="Times New Roman"/>
          <w:i/>
          <w:vertAlign w:val="subscript"/>
          <w:lang w:val="fr-FR"/>
        </w:rPr>
        <w:t>W</w:t>
      </w:r>
      <w:r w:rsidR="00C378BB" w:rsidRPr="009A21A9">
        <w:rPr>
          <w:lang w:val="fr-FR"/>
        </w:rPr>
        <w:t>)</w:t>
      </w:r>
      <w:r w:rsidRPr="009A21A9">
        <w:rPr>
          <w:lang w:val="fr-FR"/>
        </w:rPr>
        <w:t>|})</w:t>
      </w:r>
    </w:p>
    <w:p w:rsidR="00D2554C" w:rsidRPr="00223BFA" w:rsidRDefault="00D2554C" w:rsidP="00EC6AA9">
      <w:pPr>
        <w:pStyle w:val="Text"/>
        <w:ind w:hanging="369"/>
        <w:jc w:val="left"/>
        <w:rPr>
          <w:lang w:val="fr-FR"/>
        </w:rPr>
      </w:pPr>
      <w:r w:rsidRPr="002C7C0E">
        <w:rPr>
          <w:sz w:val="16"/>
          <w:szCs w:val="16"/>
          <w:lang w:val="fr-FR"/>
        </w:rPr>
        <w:t>10</w:t>
      </w:r>
      <w:r w:rsidRPr="00223BFA">
        <w:rPr>
          <w:lang w:val="fr-FR"/>
        </w:rPr>
        <w:tab/>
      </w:r>
      <w:r w:rsidR="002D67C1" w:rsidRPr="00223BFA">
        <w:rPr>
          <w:lang w:val="fr-FR"/>
        </w:rPr>
        <w:t xml:space="preserve">         </w:t>
      </w:r>
      <w:r w:rsidR="002D67C1" w:rsidRPr="00223BFA">
        <w:rPr>
          <w:rFonts w:cs="Times New Roman"/>
          <w:i/>
          <w:lang w:val="fr-FR"/>
        </w:rPr>
        <w:t>Z</w:t>
      </w:r>
      <w:r w:rsidR="00C378BB" w:rsidRPr="00223BFA">
        <w:rPr>
          <w:rFonts w:cs="Times New Roman"/>
          <w:i/>
          <w:lang w:val="fr-FR"/>
        </w:rPr>
        <w:t>b</w:t>
      </w:r>
      <w:r w:rsidR="002D67C1" w:rsidRPr="00223BFA">
        <w:rPr>
          <w:rFonts w:cs="Times New Roman"/>
          <w:i/>
          <w:vertAlign w:val="subscript"/>
          <w:lang w:val="fr-FR"/>
        </w:rPr>
        <w:t>W</w:t>
      </w:r>
      <w:r w:rsidR="002D67C1" w:rsidRPr="00223BFA">
        <w:rPr>
          <w:lang w:val="fr-FR"/>
        </w:rPr>
        <w:t xml:space="preserve"> := </w:t>
      </w:r>
      <w:r w:rsidR="002D67C1" w:rsidRPr="00223BFA">
        <w:rPr>
          <w:rFonts w:cs="Times New Roman"/>
          <w:i/>
          <w:lang w:val="fr-FR"/>
        </w:rPr>
        <w:t>Z</w:t>
      </w:r>
      <w:r w:rsidR="00C378BB" w:rsidRPr="00223BFA">
        <w:rPr>
          <w:rFonts w:cs="Times New Roman"/>
          <w:i/>
          <w:lang w:val="fr-FR"/>
        </w:rPr>
        <w:t>b</w:t>
      </w:r>
      <w:r w:rsidR="002D67C1" w:rsidRPr="00223BFA">
        <w:rPr>
          <w:rFonts w:cs="Times New Roman"/>
          <w:i/>
          <w:vertAlign w:val="subscript"/>
          <w:lang w:val="fr-FR"/>
        </w:rPr>
        <w:t>W</w:t>
      </w:r>
      <w:r w:rsidR="002D67C1" w:rsidRPr="00223BFA">
        <w:rPr>
          <w:lang w:val="fr-FR"/>
        </w:rPr>
        <w:t xml:space="preserve"> </w:t>
      </w:r>
      <w:r w:rsidR="00E535E0" w:rsidRPr="00223BFA">
        <w:rPr>
          <w:rFonts w:ascii="Cambria Math" w:eastAsia="Arial Unicode MS" w:hAnsi="Cambria Math" w:cs="Arial Unicode MS"/>
          <w:color w:val="000000" w:themeColor="text1"/>
          <w:lang w:val="fr-FR"/>
        </w:rPr>
        <w:t>∪</w:t>
      </w:r>
      <w:r w:rsidR="002D67C1" w:rsidRPr="00223BFA">
        <w:rPr>
          <w:iCs/>
          <w:lang w:val="fr-FR"/>
        </w:rPr>
        <w:t xml:space="preserve"> </w:t>
      </w:r>
      <w:r w:rsidR="00223BFA" w:rsidRPr="00223BFA">
        <w:rPr>
          <w:iCs/>
          <w:lang w:val="fr-FR"/>
        </w:rPr>
        <w:t>{</w:t>
      </w:r>
      <w:r w:rsidR="002D67C1" w:rsidRPr="00223BFA">
        <w:rPr>
          <w:lang w:val="fr-FR"/>
        </w:rPr>
        <w:t>Auswahl (</w:t>
      </w:r>
      <w:r w:rsidR="002D67C1" w:rsidRPr="00223BFA">
        <w:rPr>
          <w:rFonts w:eastAsia="Arial Unicode MS" w:cs="Times New Roman"/>
          <w:i/>
          <w:lang w:val="fr-FR"/>
        </w:rPr>
        <w:t>Z</w:t>
      </w:r>
      <w:r w:rsidR="00C378BB" w:rsidRPr="00223BFA">
        <w:rPr>
          <w:rFonts w:eastAsia="Arial Unicode MS" w:cs="Times New Roman"/>
          <w:i/>
          <w:lang w:val="fr-FR"/>
        </w:rPr>
        <w:t>b</w:t>
      </w:r>
      <w:r w:rsidR="00C378BB" w:rsidRPr="00223BFA">
        <w:rPr>
          <w:lang w:val="fr-FR"/>
        </w:rPr>
        <w:t>(</w:t>
      </w:r>
      <w:r w:rsidR="00C378BB" w:rsidRPr="00223BFA">
        <w:rPr>
          <w:i/>
          <w:lang w:val="fr-FR"/>
        </w:rPr>
        <w:t>O</w:t>
      </w:r>
      <w:r w:rsidR="009643A6" w:rsidRPr="009A21A9">
        <w:rPr>
          <w:rFonts w:cs="Times New Roman"/>
          <w:i/>
          <w:vertAlign w:val="subscript"/>
          <w:lang w:val="fr-FR"/>
        </w:rPr>
        <w:t>W</w:t>
      </w:r>
      <w:r w:rsidR="002D67C1">
        <w:rPr>
          <w:lang w:val="it-IT"/>
        </w:rPr>
        <w:t>)</w:t>
      </w:r>
      <w:r w:rsidR="009A21A9">
        <w:rPr>
          <w:lang w:val="it-IT"/>
        </w:rPr>
        <w:t>)</w:t>
      </w:r>
      <w:r w:rsidR="00223BFA">
        <w:rPr>
          <w:lang w:val="it-IT"/>
        </w:rPr>
        <w:t>}</w:t>
      </w:r>
    </w:p>
    <w:p w:rsidR="00D2554C" w:rsidRPr="00006A5A" w:rsidRDefault="00D2554C" w:rsidP="002C7C0E">
      <w:pPr>
        <w:pStyle w:val="Text"/>
        <w:ind w:firstLine="0"/>
        <w:jc w:val="left"/>
        <w:rPr>
          <w:lang w:val="fr-FR"/>
        </w:rPr>
      </w:pPr>
      <w:r w:rsidRPr="00223BFA">
        <w:rPr>
          <w:lang w:val="fr-FR"/>
        </w:rPr>
        <w:t xml:space="preserve">      </w:t>
      </w:r>
      <w:r w:rsidRPr="00006A5A">
        <w:rPr>
          <w:lang w:val="fr-FR"/>
        </w:rPr>
        <w:t>end</w:t>
      </w:r>
    </w:p>
    <w:p w:rsidR="00FE0B58" w:rsidRPr="00006A5A" w:rsidRDefault="00507AD0" w:rsidP="002C7C0E">
      <w:pPr>
        <w:pStyle w:val="Text"/>
        <w:ind w:firstLine="0"/>
        <w:jc w:val="left"/>
        <w:rPr>
          <w:lang w:val="fr-FR"/>
        </w:rPr>
      </w:pPr>
      <w:r w:rsidRPr="00006A5A">
        <w:rPr>
          <w:lang w:val="fr-FR"/>
        </w:rPr>
        <w:t xml:space="preserve">      </w:t>
      </w:r>
      <w:r w:rsidR="00547822" w:rsidRPr="00006A5A">
        <w:rPr>
          <w:i/>
          <w:lang w:val="fr-FR"/>
        </w:rPr>
        <w:t>Ab</w:t>
      </w:r>
      <w:r w:rsidR="00922638" w:rsidRPr="00006A5A">
        <w:rPr>
          <w:i/>
          <w:vertAlign w:val="subscript"/>
          <w:lang w:val="fr-FR"/>
        </w:rPr>
        <w:t>i</w:t>
      </w:r>
      <w:r w:rsidR="00FE0B58" w:rsidRPr="00006A5A">
        <w:rPr>
          <w:lang w:val="fr-FR"/>
        </w:rPr>
        <w:t xml:space="preserve"> := </w:t>
      </w:r>
      <w:r w:rsidR="00C378BB" w:rsidRPr="00006A5A">
        <w:rPr>
          <w:rFonts w:eastAsia="Arial Unicode MS" w:cs="Times New Roman"/>
          <w:i/>
          <w:lang w:val="fr-FR"/>
        </w:rPr>
        <w:t>Ob</w:t>
      </w:r>
      <w:r w:rsidR="00C378BB" w:rsidRPr="00006A5A">
        <w:rPr>
          <w:lang w:val="fr-FR"/>
        </w:rPr>
        <w:t>(</w:t>
      </w:r>
      <w:r w:rsidR="00C378BB" w:rsidRPr="00006A5A">
        <w:rPr>
          <w:rFonts w:eastAsia="Arial Unicode MS" w:cs="Times New Roman"/>
          <w:i/>
          <w:lang w:val="fr-FR"/>
        </w:rPr>
        <w:t>O</w:t>
      </w:r>
      <w:r w:rsidR="009643A6" w:rsidRPr="009A21A9">
        <w:rPr>
          <w:rFonts w:cs="Times New Roman"/>
          <w:i/>
          <w:vertAlign w:val="subscript"/>
          <w:lang w:val="fr-FR"/>
        </w:rPr>
        <w:t>W</w:t>
      </w:r>
      <w:r w:rsidR="00C378BB" w:rsidRPr="00006A5A">
        <w:rPr>
          <w:lang w:val="fr-FR"/>
        </w:rPr>
        <w:t>)</w:t>
      </w:r>
      <w:r w:rsidR="00FE0B58" w:rsidRPr="00006A5A">
        <w:rPr>
          <w:lang w:val="fr-FR"/>
        </w:rPr>
        <w:t xml:space="preserve"> </w:t>
      </w:r>
      <w:r w:rsidR="00E535E0" w:rsidRPr="00006A5A">
        <w:rPr>
          <w:rFonts w:ascii="Cambria Math" w:eastAsia="Arial Unicode MS" w:hAnsi="Cambria Math" w:cs="Arial Unicode MS"/>
          <w:color w:val="000000" w:themeColor="text1"/>
          <w:lang w:val="fr-FR"/>
        </w:rPr>
        <w:t>∪</w:t>
      </w:r>
      <w:r w:rsidR="00FE0B58" w:rsidRPr="00006A5A">
        <w:rPr>
          <w:lang w:val="fr-FR"/>
        </w:rPr>
        <w:t xml:space="preserve"> </w:t>
      </w:r>
      <w:r w:rsidR="00FE0B58" w:rsidRPr="00006A5A">
        <w:rPr>
          <w:rFonts w:cs="Times New Roman"/>
          <w:i/>
          <w:lang w:val="fr-FR"/>
        </w:rPr>
        <w:t>Z</w:t>
      </w:r>
      <w:r w:rsidR="00C378BB" w:rsidRPr="00006A5A">
        <w:rPr>
          <w:rFonts w:cs="Times New Roman"/>
          <w:i/>
          <w:lang w:val="fr-FR"/>
        </w:rPr>
        <w:t>b</w:t>
      </w:r>
      <w:r w:rsidR="00FE0B58" w:rsidRPr="00006A5A">
        <w:rPr>
          <w:rFonts w:cs="Times New Roman"/>
          <w:i/>
          <w:vertAlign w:val="subscript"/>
          <w:lang w:val="fr-FR"/>
        </w:rPr>
        <w:t>W</w:t>
      </w:r>
    </w:p>
    <w:p w:rsidR="00FE0B58" w:rsidRPr="00006A5A" w:rsidRDefault="00FE0B58" w:rsidP="002C7C0E">
      <w:pPr>
        <w:pStyle w:val="Text"/>
        <w:ind w:firstLine="0"/>
        <w:jc w:val="left"/>
        <w:rPr>
          <w:lang w:val="fr-FR"/>
        </w:rPr>
      </w:pPr>
      <w:r w:rsidRPr="00006A5A">
        <w:rPr>
          <w:lang w:val="fr-FR"/>
        </w:rPr>
        <w:t xml:space="preserve">      </w:t>
      </w:r>
      <w:r w:rsidRPr="00006A5A">
        <w:rPr>
          <w:i/>
          <w:iCs/>
          <w:lang w:val="fr-FR"/>
        </w:rPr>
        <w:t>A</w:t>
      </w:r>
      <w:r w:rsidR="00922638" w:rsidRPr="00006A5A">
        <w:rPr>
          <w:i/>
          <w:vertAlign w:val="subscript"/>
          <w:lang w:val="fr-FR"/>
        </w:rPr>
        <w:t>i</w:t>
      </w:r>
      <w:r w:rsidRPr="00006A5A">
        <w:rPr>
          <w:lang w:val="fr-FR"/>
        </w:rPr>
        <w:t xml:space="preserve"> := {</w:t>
      </w:r>
      <w:r w:rsidRPr="00006A5A">
        <w:rPr>
          <w:i/>
          <w:lang w:val="fr-FR"/>
        </w:rPr>
        <w:t>x</w:t>
      </w:r>
      <w:r w:rsidRPr="00006A5A">
        <w:rPr>
          <w:color w:val="000000" w:themeColor="text1"/>
          <w:lang w:val="fr-FR"/>
        </w:rPr>
        <w:t xml:space="preserve"> </w:t>
      </w:r>
      <w:r w:rsidR="00E235A0" w:rsidRPr="00006A5A">
        <w:rPr>
          <w:rFonts w:ascii="Cambria Math" w:eastAsia="Arial Unicode MS" w:hAnsi="Cambria Math" w:cs="Arial Unicode MS"/>
          <w:color w:val="000000" w:themeColor="text1"/>
          <w:lang w:val="fr-FR"/>
        </w:rPr>
        <w:t>∊</w:t>
      </w:r>
      <w:r w:rsidRPr="00006A5A">
        <w:rPr>
          <w:rFonts w:cs="Times New Roman"/>
          <w:lang w:val="fr-FR"/>
        </w:rPr>
        <w:t xml:space="preserve"> </w:t>
      </w:r>
      <w:r w:rsidRPr="00006A5A">
        <w:rPr>
          <w:i/>
          <w:lang w:val="fr-FR"/>
        </w:rPr>
        <w:t>M</w:t>
      </w:r>
      <w:r w:rsidR="003C7A60" w:rsidRPr="00006A5A">
        <w:rPr>
          <w:i/>
          <w:vertAlign w:val="subscript"/>
          <w:lang w:val="fr-FR"/>
        </w:rPr>
        <w:t>Al</w:t>
      </w:r>
      <w:r w:rsidRPr="00006A5A">
        <w:rPr>
          <w:i/>
          <w:vertAlign w:val="subscript"/>
          <w:lang w:val="fr-FR"/>
        </w:rPr>
        <w:t>t</w:t>
      </w:r>
      <w:r w:rsidRPr="00006A5A">
        <w:rPr>
          <w:lang w:val="fr-FR"/>
        </w:rPr>
        <w:t xml:space="preserve"> | </w:t>
      </w:r>
      <m:oMath>
        <m:sSub>
          <m:sSubPr>
            <m:ctrlPr>
              <w:rPr>
                <w:rFonts w:ascii="Cambria Math" w:hAnsi="Cambria Math" w:cs="Times New Roman"/>
                <w:i/>
              </w:rPr>
            </m:ctrlPr>
          </m:sSubPr>
          <m:e>
            <m:r>
              <m:rPr>
                <m:nor/>
              </m:rPr>
              <w:rPr>
                <w:rFonts w:cs="Times New Roman"/>
                <w:i/>
                <w:lang w:val="fr-FR"/>
              </w:rPr>
              <m:t>Ab</m:t>
            </m:r>
          </m:e>
          <m:sub>
            <m:sSub>
              <m:sSubPr>
                <m:ctrlPr>
                  <w:rPr>
                    <w:rFonts w:ascii="Cambria Math" w:hAnsi="Cambria Math" w:cs="Times New Roman"/>
                    <w:i/>
                  </w:rPr>
                </m:ctrlPr>
              </m:sSubPr>
              <m:e>
                <m:r>
                  <m:rPr>
                    <m:nor/>
                  </m:rPr>
                  <w:rPr>
                    <w:rFonts w:cs="Times New Roman"/>
                    <w:i/>
                    <w:lang w:val="fr-FR"/>
                  </w:rPr>
                  <m:t>i</m:t>
                </m:r>
              </m:e>
              <m:sub>
                <m:r>
                  <m:rPr>
                    <m:nor/>
                  </m:rPr>
                  <w:rPr>
                    <w:rFonts w:cs="Times New Roman"/>
                    <w:lang w:val="fr-FR"/>
                  </w:rPr>
                  <m:t>1</m:t>
                </m:r>
              </m:sub>
            </m:sSub>
          </m:sub>
        </m:sSub>
      </m:oMath>
      <w:r w:rsidR="00AB2377" w:rsidRPr="00006A5A">
        <w:rPr>
          <w:lang w:val="fr-FR"/>
        </w:rPr>
        <w:t xml:space="preserve"> (</w:t>
      </w:r>
      <w:r w:rsidR="00AB2377" w:rsidRPr="00006A5A">
        <w:rPr>
          <w:i/>
          <w:lang w:val="fr-FR"/>
        </w:rPr>
        <w:t>x</w:t>
      </w:r>
      <w:r w:rsidR="00AB2377" w:rsidRPr="00006A5A">
        <w:rPr>
          <w:lang w:val="fr-FR"/>
        </w:rPr>
        <w:t>)</w:t>
      </w:r>
      <w:r w:rsidR="00AB2377" w:rsidRPr="00006A5A">
        <w:rPr>
          <w:rFonts w:ascii="Cambria Math" w:hAnsi="Cambria Math" w:cs="Cambria Math"/>
          <w:color w:val="000000" w:themeColor="text1"/>
          <w:lang w:val="fr-FR"/>
        </w:rPr>
        <w:t xml:space="preserve"> ∧</w:t>
      </w:r>
      <w:r w:rsidR="00AB2377" w:rsidRPr="00006A5A">
        <w:rPr>
          <w:lang w:val="fr-FR"/>
        </w:rPr>
        <w:t xml:space="preserve"> </w:t>
      </w:r>
      <m:oMath>
        <m:sSub>
          <m:sSubPr>
            <m:ctrlPr>
              <w:rPr>
                <w:rFonts w:ascii="Cambria Math" w:hAnsi="Cambria Math" w:cs="Times New Roman"/>
                <w:i/>
              </w:rPr>
            </m:ctrlPr>
          </m:sSubPr>
          <m:e>
            <m:r>
              <m:rPr>
                <m:nor/>
              </m:rPr>
              <w:rPr>
                <w:rFonts w:cs="Times New Roman"/>
                <w:i/>
                <w:lang w:val="fr-FR"/>
              </w:rPr>
              <m:t>Ab</m:t>
            </m:r>
          </m:e>
          <m:sub>
            <m:sSub>
              <m:sSubPr>
                <m:ctrlPr>
                  <w:rPr>
                    <w:rFonts w:ascii="Cambria Math" w:hAnsi="Cambria Math" w:cs="Times New Roman"/>
                    <w:i/>
                  </w:rPr>
                </m:ctrlPr>
              </m:sSubPr>
              <m:e>
                <m:r>
                  <m:rPr>
                    <m:nor/>
                  </m:rPr>
                  <w:rPr>
                    <w:rFonts w:cs="Times New Roman"/>
                    <w:i/>
                    <w:lang w:val="fr-FR"/>
                  </w:rPr>
                  <m:t>i</m:t>
                </m:r>
              </m:e>
              <m:sub>
                <m:r>
                  <m:rPr>
                    <m:nor/>
                  </m:rPr>
                  <w:rPr>
                    <w:rFonts w:cs="Times New Roman"/>
                    <w:lang w:val="fr-FR"/>
                  </w:rPr>
                  <m:t>2</m:t>
                </m:r>
              </m:sub>
            </m:sSub>
          </m:sub>
        </m:sSub>
      </m:oMath>
      <w:r w:rsidR="00AB2377" w:rsidRPr="00006A5A">
        <w:rPr>
          <w:lang w:val="fr-FR"/>
        </w:rPr>
        <w:t xml:space="preserve"> (</w:t>
      </w:r>
      <w:r w:rsidR="00AB2377" w:rsidRPr="00006A5A">
        <w:rPr>
          <w:i/>
          <w:lang w:val="fr-FR"/>
        </w:rPr>
        <w:t>x</w:t>
      </w:r>
      <w:r w:rsidR="00AB2377" w:rsidRPr="00006A5A">
        <w:rPr>
          <w:lang w:val="fr-FR"/>
        </w:rPr>
        <w:t xml:space="preserve">) </w:t>
      </w:r>
      <w:r w:rsidR="00AB2377" w:rsidRPr="00006A5A">
        <w:rPr>
          <w:rFonts w:ascii="Cambria Math" w:hAnsi="Cambria Math" w:cs="Cambria Math"/>
          <w:color w:val="000000" w:themeColor="text1"/>
          <w:lang w:val="fr-FR"/>
        </w:rPr>
        <w:t>∧</w:t>
      </w:r>
      <w:r w:rsidR="00AB2377" w:rsidRPr="00006A5A">
        <w:rPr>
          <w:lang w:val="fr-FR"/>
        </w:rPr>
        <w:t xml:space="preserve"> </w:t>
      </w:r>
      <m:oMath>
        <m:sSub>
          <m:sSubPr>
            <m:ctrlPr>
              <w:rPr>
                <w:rFonts w:ascii="Cambria Math" w:hAnsi="Cambria Math" w:cs="Times New Roman"/>
                <w:i/>
              </w:rPr>
            </m:ctrlPr>
          </m:sSubPr>
          <m:e>
            <m:r>
              <m:rPr>
                <m:nor/>
              </m:rPr>
              <w:rPr>
                <w:rFonts w:cs="Times New Roman"/>
                <w:i/>
                <w:lang w:val="fr-FR"/>
              </w:rPr>
              <m:t>Ab</m:t>
            </m:r>
          </m:e>
          <m:sub>
            <m:sSub>
              <m:sSubPr>
                <m:ctrlPr>
                  <w:rPr>
                    <w:rFonts w:ascii="Cambria Math" w:hAnsi="Cambria Math" w:cs="Times New Roman"/>
                    <w:i/>
                  </w:rPr>
                </m:ctrlPr>
              </m:sSubPr>
              <m:e>
                <m:r>
                  <m:rPr>
                    <m:nor/>
                  </m:rPr>
                  <w:rPr>
                    <w:rFonts w:cs="Times New Roman"/>
                    <w:i/>
                    <w:lang w:val="fr-FR"/>
                  </w:rPr>
                  <m:t>i</m:t>
                </m:r>
              </m:e>
              <m:sub>
                <m:r>
                  <m:rPr>
                    <m:nor/>
                  </m:rPr>
                  <w:rPr>
                    <w:rFonts w:cs="Times New Roman"/>
                    <w:lang w:val="fr-FR"/>
                  </w:rPr>
                  <m:t>|</m:t>
                </m:r>
                <m:sSub>
                  <m:sSubPr>
                    <m:ctrlPr>
                      <w:rPr>
                        <w:rFonts w:ascii="Cambria Math" w:hAnsi="Cambria Math" w:cs="Times New Roman"/>
                        <w:i/>
                      </w:rPr>
                    </m:ctrlPr>
                  </m:sSubPr>
                  <m:e>
                    <m:r>
                      <m:rPr>
                        <m:nor/>
                      </m:rPr>
                      <w:rPr>
                        <w:rFonts w:cs="Times New Roman"/>
                        <w:i/>
                        <w:lang w:val="fr-FR"/>
                      </w:rPr>
                      <m:t>Ab</m:t>
                    </m:r>
                  </m:e>
                  <m:sub>
                    <m:r>
                      <m:rPr>
                        <m:nor/>
                      </m:rPr>
                      <w:rPr>
                        <w:rFonts w:cs="Times New Roman"/>
                        <w:i/>
                        <w:szCs w:val="20"/>
                        <w:lang w:val="fr-FR"/>
                      </w:rPr>
                      <m:t>i</m:t>
                    </m:r>
                  </m:sub>
                </m:sSub>
                <m:r>
                  <m:rPr>
                    <m:nor/>
                  </m:rPr>
                  <w:rPr>
                    <w:rFonts w:cs="Times New Roman"/>
                    <w:lang w:val="fr-FR"/>
                  </w:rPr>
                  <m:t>|</m:t>
                </m:r>
              </m:sub>
            </m:sSub>
          </m:sub>
        </m:sSub>
      </m:oMath>
      <w:r w:rsidR="00AB2377" w:rsidRPr="00006A5A">
        <w:rPr>
          <w:lang w:val="fr-FR"/>
        </w:rPr>
        <w:t>(</w:t>
      </w:r>
      <w:r w:rsidR="00AB2377" w:rsidRPr="00006A5A">
        <w:rPr>
          <w:i/>
          <w:lang w:val="fr-FR"/>
        </w:rPr>
        <w:t>x</w:t>
      </w:r>
      <w:r w:rsidR="00AB2377" w:rsidRPr="00006A5A">
        <w:rPr>
          <w:lang w:val="fr-FR"/>
        </w:rPr>
        <w:t>)</w:t>
      </w:r>
      <w:r w:rsidRPr="00006A5A">
        <w:rPr>
          <w:lang w:val="fr-FR"/>
        </w:rPr>
        <w:t>}</w:t>
      </w:r>
    </w:p>
    <w:p w:rsidR="002D67C1" w:rsidRPr="00C234FD" w:rsidRDefault="002D67C1" w:rsidP="002C7C0E">
      <w:pPr>
        <w:pStyle w:val="Text"/>
        <w:ind w:firstLine="0"/>
        <w:jc w:val="left"/>
        <w:rPr>
          <w:i/>
          <w:lang w:val="en-US"/>
        </w:rPr>
      </w:pPr>
      <w:r w:rsidRPr="00006A5A">
        <w:rPr>
          <w:lang w:val="fr-FR"/>
        </w:rPr>
        <w:t xml:space="preserve">   </w:t>
      </w:r>
      <w:r w:rsidRPr="00C234FD">
        <w:rPr>
          <w:lang w:val="en-US"/>
        </w:rPr>
        <w:t>end</w:t>
      </w:r>
    </w:p>
    <w:p w:rsidR="00D2554C" w:rsidRPr="00C234FD" w:rsidRDefault="00D2554C" w:rsidP="00EC6AA9">
      <w:pPr>
        <w:pStyle w:val="TextmitZeilennummer"/>
        <w:ind w:hanging="369"/>
        <w:jc w:val="left"/>
        <w:rPr>
          <w:lang w:val="en-US"/>
        </w:rPr>
      </w:pPr>
      <w:r w:rsidRPr="002C7C0E">
        <w:rPr>
          <w:sz w:val="16"/>
          <w:szCs w:val="16"/>
          <w:lang w:val="en-US"/>
        </w:rPr>
        <w:t>15</w:t>
      </w:r>
      <w:r w:rsidRPr="00C234FD">
        <w:rPr>
          <w:lang w:val="en-US"/>
        </w:rPr>
        <w:tab/>
      </w:r>
      <w:r w:rsidR="002D67C1" w:rsidRPr="00C234FD">
        <w:rPr>
          <w:lang w:val="en-US"/>
        </w:rPr>
        <w:t xml:space="preserve">   </w:t>
      </w:r>
      <w:r w:rsidR="002D67C1" w:rsidRPr="00C234FD">
        <w:rPr>
          <w:i/>
          <w:iCs/>
          <w:lang w:val="en-US"/>
        </w:rPr>
        <w:t>A</w:t>
      </w:r>
      <w:r w:rsidR="002D67C1" w:rsidRPr="00C234FD">
        <w:rPr>
          <w:lang w:val="en-US"/>
        </w:rPr>
        <w:t xml:space="preserve"> := {</w:t>
      </w:r>
      <w:r w:rsidR="002D67C1" w:rsidRPr="00C234FD">
        <w:rPr>
          <w:i/>
          <w:lang w:val="en-US"/>
        </w:rPr>
        <w:t>A</w:t>
      </w:r>
      <w:r w:rsidR="002D67C1" w:rsidRPr="00C234FD">
        <w:rPr>
          <w:iCs/>
          <w:vertAlign w:val="subscript"/>
          <w:lang w:val="en-US"/>
        </w:rPr>
        <w:t>1</w:t>
      </w:r>
      <w:r w:rsidR="002D67C1" w:rsidRPr="00C234FD">
        <w:rPr>
          <w:lang w:val="en-US"/>
        </w:rPr>
        <w:t xml:space="preserve">, …, </w:t>
      </w:r>
      <w:r w:rsidR="002D67C1" w:rsidRPr="00C234FD">
        <w:rPr>
          <w:i/>
          <w:lang w:val="en-US"/>
        </w:rPr>
        <w:t>A</w:t>
      </w:r>
      <w:r w:rsidR="002D67C1" w:rsidRPr="00C234FD">
        <w:rPr>
          <w:i/>
          <w:vertAlign w:val="subscript"/>
          <w:lang w:val="en-US"/>
        </w:rPr>
        <w:t>n</w:t>
      </w:r>
      <w:r w:rsidR="002D67C1" w:rsidRPr="00C234FD">
        <w:rPr>
          <w:lang w:val="en-US"/>
        </w:rPr>
        <w:t>}</w:t>
      </w:r>
    </w:p>
    <w:p w:rsidR="00B23A79" w:rsidRPr="00C234FD" w:rsidRDefault="00B23A79" w:rsidP="002C7C0E">
      <w:pPr>
        <w:pStyle w:val="Text"/>
        <w:ind w:firstLine="0"/>
        <w:jc w:val="left"/>
        <w:rPr>
          <w:lang w:val="en-US"/>
        </w:rPr>
      </w:pPr>
      <w:r w:rsidRPr="00C234FD">
        <w:rPr>
          <w:lang w:val="en-US"/>
        </w:rPr>
        <w:t xml:space="preserve">   </w:t>
      </w:r>
      <w:r w:rsidR="00547822" w:rsidRPr="00C234FD">
        <w:rPr>
          <w:i/>
          <w:iCs/>
          <w:lang w:val="en-US"/>
        </w:rPr>
        <w:t>Ab</w:t>
      </w:r>
      <w:r w:rsidR="006008E9" w:rsidRPr="00C234FD">
        <w:rPr>
          <w:lang w:val="en-US"/>
        </w:rPr>
        <w:t xml:space="preserve"> := {</w:t>
      </w:r>
      <w:r w:rsidR="00547822" w:rsidRPr="00C234FD">
        <w:rPr>
          <w:i/>
          <w:iCs/>
          <w:lang w:val="en-US"/>
        </w:rPr>
        <w:t>Ab</w:t>
      </w:r>
      <w:r w:rsidRPr="00C234FD">
        <w:rPr>
          <w:iCs/>
          <w:vertAlign w:val="subscript"/>
          <w:lang w:val="en-US"/>
        </w:rPr>
        <w:t>1</w:t>
      </w:r>
      <w:r w:rsidRPr="00C234FD">
        <w:rPr>
          <w:lang w:val="en-US"/>
        </w:rPr>
        <w:t xml:space="preserve">, …, </w:t>
      </w:r>
      <w:r w:rsidR="00547822" w:rsidRPr="00C234FD">
        <w:rPr>
          <w:i/>
          <w:iCs/>
          <w:lang w:val="en-US"/>
        </w:rPr>
        <w:t>Ab</w:t>
      </w:r>
      <w:r w:rsidRPr="00C234FD">
        <w:rPr>
          <w:i/>
          <w:vertAlign w:val="subscript"/>
          <w:lang w:val="en-US"/>
        </w:rPr>
        <w:t>n</w:t>
      </w:r>
      <w:r w:rsidR="006008E9" w:rsidRPr="00C234FD">
        <w:rPr>
          <w:lang w:val="en-US"/>
        </w:rPr>
        <w:t>}</w:t>
      </w:r>
    </w:p>
    <w:p w:rsidR="00C2548A" w:rsidRDefault="00C2548A" w:rsidP="00976469">
      <w:pPr>
        <w:pStyle w:val="Text"/>
        <w:tabs>
          <w:tab w:val="right" w:pos="6804"/>
        </w:tabs>
        <w:ind w:firstLine="0"/>
        <w:jc w:val="left"/>
      </w:pPr>
      <w:r w:rsidRPr="000B6153">
        <w:rPr>
          <w:lang w:val="en-US"/>
        </w:rPr>
        <w:t xml:space="preserve">   </w:t>
      </w:r>
      <w:r w:rsidRPr="00C2548A">
        <w:rPr>
          <w:i/>
        </w:rPr>
        <w:t>B</w:t>
      </w:r>
      <w:r>
        <w:t xml:space="preserve"> := Stil_</w:t>
      </w:r>
      <w:r w:rsidR="009F5C0B">
        <w:t>bereitstellen</w:t>
      </w:r>
      <w:r w:rsidR="003B4B8C">
        <w:t xml:space="preserve"> (</w:t>
      </w:r>
      <w:r w:rsidR="006008E9">
        <w:rPr>
          <w:i/>
        </w:rPr>
        <w:t>S*</w:t>
      </w:r>
      <w:r w:rsidR="003B4B8C">
        <w:t>)</w:t>
      </w:r>
      <w:r w:rsidR="00976469">
        <w:tab/>
      </w:r>
      <w:r w:rsidR="0047218D">
        <w:t>[Schritt 3]</w:t>
      </w:r>
    </w:p>
    <w:p w:rsidR="00D2554C" w:rsidRDefault="00D2554C" w:rsidP="002C7C0E">
      <w:pPr>
        <w:pStyle w:val="Text"/>
        <w:ind w:firstLine="0"/>
        <w:jc w:val="left"/>
      </w:pPr>
      <w:r w:rsidRPr="00E4443F">
        <w:t xml:space="preserve">   </w:t>
      </w:r>
      <w:r>
        <w:rPr>
          <w:i/>
          <w:iCs/>
        </w:rPr>
        <w:t>A'</w:t>
      </w:r>
      <w:r>
        <w:t xml:space="preserve"> := </w:t>
      </w:r>
      <w:r w:rsidR="00B96C8A">
        <w:t>Merkmalsregeln</w:t>
      </w:r>
      <w:r w:rsidR="00EB6978">
        <w:t>_einschreiben</w:t>
      </w:r>
      <w:r>
        <w:t xml:space="preserve"> (</w:t>
      </w:r>
      <w:r>
        <w:rPr>
          <w:i/>
        </w:rPr>
        <w:t>A</w:t>
      </w:r>
      <w:r>
        <w:t xml:space="preserve">, </w:t>
      </w:r>
      <w:r w:rsidR="00547822">
        <w:rPr>
          <w:i/>
          <w:iCs/>
        </w:rPr>
        <w:t>Ab</w:t>
      </w:r>
      <w:r w:rsidR="00B23A79">
        <w:t xml:space="preserve">, </w:t>
      </w:r>
      <w:r>
        <w:rPr>
          <w:i/>
        </w:rPr>
        <w:t>B</w:t>
      </w:r>
      <w:r w:rsidR="00C2548A">
        <w:t>)</w:t>
      </w:r>
    </w:p>
    <w:p w:rsidR="00D2554C" w:rsidRPr="003E391D" w:rsidRDefault="00D2554C" w:rsidP="00976469">
      <w:pPr>
        <w:pStyle w:val="Text"/>
        <w:tabs>
          <w:tab w:val="right" w:pos="6804"/>
        </w:tabs>
        <w:ind w:firstLine="0"/>
        <w:jc w:val="left"/>
        <w:rPr>
          <w:lang w:val="en-US"/>
        </w:rPr>
      </w:pPr>
      <w:r w:rsidRPr="005D3FCE">
        <w:t xml:space="preserve">   </w:t>
      </w:r>
      <w:r w:rsidRPr="003E391D">
        <w:rPr>
          <w:lang w:val="en-US"/>
        </w:rPr>
        <w:t xml:space="preserve">for </w:t>
      </w:r>
      <w:r w:rsidR="0011236C">
        <w:rPr>
          <w:i/>
          <w:iCs/>
          <w:lang w:val="en-US"/>
        </w:rPr>
        <w:t>i</w:t>
      </w:r>
      <w:r w:rsidRPr="003E391D">
        <w:rPr>
          <w:lang w:val="en-US"/>
        </w:rPr>
        <w:t xml:space="preserve"> := 1 to </w:t>
      </w:r>
      <w:r w:rsidRPr="003E391D">
        <w:rPr>
          <w:i/>
          <w:iCs/>
          <w:lang w:val="en-US"/>
        </w:rPr>
        <w:t>n</w:t>
      </w:r>
      <w:r w:rsidRPr="003E391D">
        <w:rPr>
          <w:lang w:val="en-US"/>
        </w:rPr>
        <w:tab/>
      </w:r>
      <w:r w:rsidR="004E0380">
        <w:rPr>
          <w:lang w:val="en-US"/>
        </w:rPr>
        <w:tab/>
      </w:r>
      <w:r w:rsidRPr="003E391D">
        <w:rPr>
          <w:lang w:val="en-US"/>
        </w:rPr>
        <w:t>[Schritt 4]</w:t>
      </w:r>
    </w:p>
    <w:p w:rsidR="00D2554C" w:rsidRPr="00A64A9C" w:rsidRDefault="00D2554C" w:rsidP="00EC6AA9">
      <w:pPr>
        <w:pStyle w:val="TextmitZeilennummer"/>
        <w:ind w:hanging="369"/>
        <w:jc w:val="left"/>
      </w:pPr>
      <w:r w:rsidRPr="00A64A9C">
        <w:rPr>
          <w:sz w:val="16"/>
          <w:szCs w:val="16"/>
        </w:rPr>
        <w:t>20</w:t>
      </w:r>
      <w:r w:rsidRPr="00A64A9C">
        <w:tab/>
      </w:r>
      <w:r w:rsidR="0011719D" w:rsidRPr="00A64A9C">
        <w:t xml:space="preserve">      </w:t>
      </w:r>
      <w:r w:rsidR="0011719D" w:rsidRPr="00A64A9C">
        <w:rPr>
          <w:i/>
        </w:rPr>
        <w:t>x</w:t>
      </w:r>
      <w:r w:rsidR="0011236C" w:rsidRPr="00A64A9C">
        <w:rPr>
          <w:i/>
          <w:vertAlign w:val="subscript"/>
        </w:rPr>
        <w:t>i</w:t>
      </w:r>
      <w:r w:rsidR="0011719D" w:rsidRPr="00A64A9C">
        <w:t xml:space="preserve"> := Auswahl (</w:t>
      </w:r>
      <w:r w:rsidR="0011719D" w:rsidRPr="00A64A9C">
        <w:rPr>
          <w:i/>
        </w:rPr>
        <w:t>A'</w:t>
      </w:r>
      <w:r w:rsidR="0011236C" w:rsidRPr="00A64A9C">
        <w:rPr>
          <w:i/>
          <w:vertAlign w:val="subscript"/>
        </w:rPr>
        <w:t>i</w:t>
      </w:r>
      <w:r w:rsidR="0011719D" w:rsidRPr="00A64A9C">
        <w:t>)</w:t>
      </w:r>
    </w:p>
    <w:p w:rsidR="0011719D" w:rsidRPr="00A64A9C" w:rsidRDefault="0011719D" w:rsidP="002C7C0E">
      <w:pPr>
        <w:pStyle w:val="Text"/>
        <w:ind w:firstLine="0"/>
        <w:jc w:val="left"/>
      </w:pPr>
      <w:r w:rsidRPr="00A64A9C">
        <w:t xml:space="preserve">   end</w:t>
      </w:r>
    </w:p>
    <w:p w:rsidR="00C2548A" w:rsidRPr="00A64A9C" w:rsidRDefault="0011719D" w:rsidP="002C7C0E">
      <w:pPr>
        <w:pStyle w:val="Text"/>
        <w:ind w:firstLine="0"/>
        <w:jc w:val="left"/>
      </w:pPr>
      <w:r w:rsidRPr="00A64A9C">
        <w:t xml:space="preserve">   </w:t>
      </w:r>
      <w:r w:rsidR="00C2548A" w:rsidRPr="00A64A9C">
        <w:rPr>
          <w:i/>
        </w:rPr>
        <w:t>R</w:t>
      </w:r>
      <w:r w:rsidRPr="00A64A9C">
        <w:t xml:space="preserve"> := {</w:t>
      </w:r>
      <w:r w:rsidR="00C2548A" w:rsidRPr="00A64A9C">
        <w:rPr>
          <w:i/>
        </w:rPr>
        <w:t>x</w:t>
      </w:r>
      <w:r w:rsidR="00C2548A" w:rsidRPr="00A64A9C">
        <w:rPr>
          <w:vertAlign w:val="subscript"/>
        </w:rPr>
        <w:t>1</w:t>
      </w:r>
      <w:r w:rsidR="00C2548A" w:rsidRPr="00A64A9C">
        <w:t xml:space="preserve">, …, </w:t>
      </w:r>
      <w:r w:rsidR="00C2548A" w:rsidRPr="00A64A9C">
        <w:rPr>
          <w:i/>
        </w:rPr>
        <w:t>x</w:t>
      </w:r>
      <w:r w:rsidR="00C2548A" w:rsidRPr="00A64A9C">
        <w:rPr>
          <w:i/>
          <w:vertAlign w:val="subscript"/>
        </w:rPr>
        <w:t>n</w:t>
      </w:r>
      <w:r w:rsidRPr="00A64A9C">
        <w:t>}</w:t>
      </w:r>
    </w:p>
    <w:p w:rsidR="00D2554C" w:rsidRPr="00A64A9C" w:rsidRDefault="00D2554C" w:rsidP="002C7C0E">
      <w:pPr>
        <w:pStyle w:val="Text"/>
        <w:ind w:firstLine="0"/>
        <w:jc w:val="left"/>
      </w:pPr>
      <w:r w:rsidRPr="00A64A9C">
        <w:t xml:space="preserve">   return </w:t>
      </w:r>
      <w:r w:rsidRPr="00A64A9C">
        <w:rPr>
          <w:i/>
          <w:iCs/>
        </w:rPr>
        <w:t>R</w:t>
      </w:r>
    </w:p>
    <w:p w:rsidR="00D2554C" w:rsidRPr="00F4161F" w:rsidRDefault="00D2554C" w:rsidP="002C7C0E">
      <w:pPr>
        <w:pStyle w:val="Text"/>
        <w:ind w:firstLine="0"/>
        <w:jc w:val="left"/>
      </w:pPr>
      <w:r w:rsidRPr="00F4161F">
        <w:t>end function</w:t>
      </w:r>
    </w:p>
    <w:p w:rsidR="00D2554C" w:rsidRPr="00093341" w:rsidRDefault="00D2554C" w:rsidP="00D4686A">
      <w:pPr>
        <w:pStyle w:val="Zwischenberschrift"/>
        <w:spacing w:before="360"/>
        <w:rPr>
          <w:sz w:val="22"/>
        </w:rPr>
      </w:pPr>
      <w:r w:rsidRPr="00093341">
        <w:t>Erläuterung</w:t>
      </w:r>
    </w:p>
    <w:p w:rsidR="00D2554C" w:rsidRDefault="00D2554C" w:rsidP="00D4686A">
      <w:pPr>
        <w:pStyle w:val="Text"/>
        <w:ind w:firstLine="0"/>
      </w:pPr>
      <w:r>
        <w:t xml:space="preserve">Zeile </w:t>
      </w:r>
      <w:r w:rsidR="0011719D">
        <w:t>1 gibt den Namen der Funktion an.</w:t>
      </w:r>
    </w:p>
    <w:p w:rsidR="0011719D" w:rsidRDefault="0011719D">
      <w:pPr>
        <w:pStyle w:val="Text"/>
      </w:pPr>
      <w:r>
        <w:t xml:space="preserve">In Zeile 2 wird die Funktion </w:t>
      </w:r>
      <w:r w:rsidRPr="0011719D">
        <w:rPr>
          <w:i/>
          <w:lang w:val="it-IT"/>
        </w:rPr>
        <w:t>Möglichkeitsraum</w:t>
      </w:r>
      <w:r w:rsidR="005D7996">
        <w:rPr>
          <w:i/>
          <w:lang w:val="it-IT"/>
        </w:rPr>
        <w:fldChar w:fldCharType="begin"/>
      </w:r>
      <w:r w:rsidR="007A5993">
        <w:instrText xml:space="preserve"> XE "</w:instrText>
      </w:r>
      <w:r w:rsidR="007A5993" w:rsidRPr="007904ED">
        <w:instrText>Möglichkeitsraum</w:instrText>
      </w:r>
      <w:r w:rsidR="007A5993">
        <w:instrText xml:space="preserve">" </w:instrText>
      </w:r>
      <w:r w:rsidR="005D7996">
        <w:rPr>
          <w:i/>
          <w:lang w:val="it-IT"/>
        </w:rPr>
        <w:fldChar w:fldCharType="end"/>
      </w:r>
      <w:r w:rsidRPr="0011719D">
        <w:rPr>
          <w:i/>
          <w:lang w:val="it-IT"/>
        </w:rPr>
        <w:t>_zusammenstellen</w:t>
      </w:r>
      <w:r>
        <w:t xml:space="preserve"> aufgerufen (Erläuterung s. unten)</w:t>
      </w:r>
      <w:r w:rsidR="001D2456">
        <w:t xml:space="preserve"> und ihr Rückgabewert in die Variable </w:t>
      </w:r>
      <w:r w:rsidR="001D2456" w:rsidRPr="00AB2377">
        <w:rPr>
          <w:i/>
        </w:rPr>
        <w:t>M</w:t>
      </w:r>
      <w:r w:rsidR="001D2456">
        <w:rPr>
          <w:i/>
          <w:vertAlign w:val="subscript"/>
        </w:rPr>
        <w:t>Al</w:t>
      </w:r>
      <w:r w:rsidR="001D2456" w:rsidRPr="00AB2377">
        <w:rPr>
          <w:i/>
          <w:vertAlign w:val="subscript"/>
        </w:rPr>
        <w:t>t</w:t>
      </w:r>
      <w:r w:rsidR="001D2456">
        <w:t xml:space="preserve"> gespeichert</w:t>
      </w:r>
      <w:r>
        <w:t>.</w:t>
      </w:r>
    </w:p>
    <w:p w:rsidR="00D53B48" w:rsidRPr="00D4686A" w:rsidRDefault="00160034" w:rsidP="00D53B48">
      <w:pPr>
        <w:pStyle w:val="Text"/>
        <w:keepNext/>
        <w:rPr>
          <w:i/>
          <w:iCs/>
        </w:rPr>
      </w:pPr>
      <w:r>
        <w:rPr>
          <w:i/>
          <w:iCs/>
        </w:rPr>
        <w:lastRenderedPageBreak/>
        <w:t xml:space="preserve">Es folgt Schritt 1, die </w:t>
      </w:r>
      <w:r w:rsidR="00D53B48" w:rsidRPr="00D4686A">
        <w:rPr>
          <w:i/>
          <w:iCs/>
        </w:rPr>
        <w:t>Auswahl eines Schemas, auf dessen Grundlage eine Real</w:t>
      </w:r>
      <w:r w:rsidR="00D53B48" w:rsidRPr="00D4686A">
        <w:rPr>
          <w:i/>
          <w:iCs/>
        </w:rPr>
        <w:t>i</w:t>
      </w:r>
      <w:r w:rsidR="00D53B48" w:rsidRPr="00D4686A">
        <w:rPr>
          <w:i/>
          <w:iCs/>
        </w:rPr>
        <w:t>sierung erstellt wird</w:t>
      </w:r>
      <w:r w:rsidR="00D4686A">
        <w:rPr>
          <w:i/>
          <w:iCs/>
        </w:rPr>
        <w:t>.</w:t>
      </w:r>
    </w:p>
    <w:p w:rsidR="0011719D" w:rsidRDefault="0011719D" w:rsidP="0011719D">
      <w:pPr>
        <w:pStyle w:val="Text"/>
      </w:pPr>
      <w:r>
        <w:t xml:space="preserve">In Zeile 3 wird die Funktion </w:t>
      </w:r>
      <w:r>
        <w:rPr>
          <w:i/>
          <w:lang w:val="it-IT"/>
        </w:rPr>
        <w:t>Schemata</w:t>
      </w:r>
      <w:r w:rsidRPr="0011719D">
        <w:rPr>
          <w:i/>
          <w:lang w:val="it-IT"/>
        </w:rPr>
        <w:t>_zusammenstellen</w:t>
      </w:r>
      <w:r>
        <w:t xml:space="preserve"> au</w:t>
      </w:r>
      <w:r w:rsidR="001D2456">
        <w:t>fgerufen (Erlä</w:t>
      </w:r>
      <w:r w:rsidR="001D2456">
        <w:t>u</w:t>
      </w:r>
      <w:r w:rsidR="001D2456">
        <w:t xml:space="preserve">terung s. unten) und ihr Rückgabewert in die Variable </w:t>
      </w:r>
      <w:r w:rsidR="001D2456" w:rsidRPr="00D85A75">
        <w:rPr>
          <w:i/>
        </w:rPr>
        <w:t>S</w:t>
      </w:r>
      <w:r w:rsidR="001D2456">
        <w:rPr>
          <w:lang w:val="it-IT"/>
        </w:rPr>
        <w:t xml:space="preserve"> gespeichert, die synt</w:t>
      </w:r>
      <w:r w:rsidR="001D2456">
        <w:rPr>
          <w:lang w:val="it-IT"/>
        </w:rPr>
        <w:t>a</w:t>
      </w:r>
      <w:r w:rsidR="001D2456">
        <w:rPr>
          <w:lang w:val="it-IT"/>
        </w:rPr>
        <w:t xml:space="preserve">ktisch als Menge von </w:t>
      </w:r>
      <w:r w:rsidR="003723F2">
        <w:rPr>
          <w:lang w:val="it-IT"/>
        </w:rPr>
        <w:t>3</w:t>
      </w:r>
      <w:r w:rsidR="001D2456">
        <w:rPr>
          <w:lang w:val="it-IT"/>
        </w:rPr>
        <w:t>-Tupel-Variablen</w:t>
      </w:r>
      <w:r w:rsidR="005D7996">
        <w:rPr>
          <w:lang w:val="it-IT"/>
        </w:rPr>
        <w:fldChar w:fldCharType="begin"/>
      </w:r>
      <w:r w:rsidR="001F13E4">
        <w:instrText xml:space="preserve"> XE "</w:instrText>
      </w:r>
      <w:r w:rsidR="001F13E4" w:rsidRPr="00090C0B">
        <w:rPr>
          <w:lang w:val="it-IT"/>
        </w:rPr>
        <w:instrText>Tupel-Variable</w:instrText>
      </w:r>
      <w:r w:rsidR="001F13E4">
        <w:instrText xml:space="preserve">" </w:instrText>
      </w:r>
      <w:r w:rsidR="005D7996">
        <w:rPr>
          <w:lang w:val="it-IT"/>
        </w:rPr>
        <w:fldChar w:fldCharType="end"/>
      </w:r>
      <w:r w:rsidR="001D2456">
        <w:rPr>
          <w:lang w:val="it-IT"/>
        </w:rPr>
        <w:t xml:space="preserve"> mit den </w:t>
      </w:r>
      <w:r w:rsidR="00E46C53">
        <w:rPr>
          <w:lang w:val="it-IT"/>
        </w:rPr>
        <w:t>Komponenten</w:t>
      </w:r>
      <w:r w:rsidR="001D2456">
        <w:rPr>
          <w:lang w:val="it-IT"/>
        </w:rPr>
        <w:t>namen</w:t>
      </w:r>
      <w:r w:rsidR="005D7996">
        <w:rPr>
          <w:lang w:val="it-IT"/>
        </w:rPr>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rPr>
          <w:lang w:val="it-IT"/>
        </w:rPr>
        <w:fldChar w:fldCharType="end"/>
      </w:r>
      <w:r w:rsidR="001D2456">
        <w:rPr>
          <w:lang w:val="it-IT"/>
        </w:rPr>
        <w:t xml:space="preserve"> </w:t>
      </w:r>
      <w:r w:rsidR="001D2456" w:rsidRPr="0065440B">
        <w:rPr>
          <w:i/>
          <w:lang w:val="it-IT"/>
        </w:rPr>
        <w:t>N</w:t>
      </w:r>
      <w:r w:rsidR="001D2456">
        <w:rPr>
          <w:lang w:val="it-IT"/>
        </w:rPr>
        <w:t xml:space="preserve">, </w:t>
      </w:r>
      <w:r w:rsidR="001D2456">
        <w:rPr>
          <w:i/>
          <w:lang w:val="it-IT"/>
        </w:rPr>
        <w:t>So</w:t>
      </w:r>
      <w:r w:rsidR="001D2456">
        <w:rPr>
          <w:lang w:val="it-IT"/>
        </w:rPr>
        <w:t xml:space="preserve">, </w:t>
      </w:r>
      <w:r w:rsidR="001D2456">
        <w:rPr>
          <w:i/>
          <w:lang w:val="it-IT"/>
        </w:rPr>
        <w:t>O</w:t>
      </w:r>
      <w:r w:rsidR="001D2456">
        <w:rPr>
          <w:lang w:val="it-IT"/>
        </w:rPr>
        <w:t xml:space="preserve"> definiert </w:t>
      </w:r>
      <w:r w:rsidR="00E46C53">
        <w:rPr>
          <w:lang w:val="it-IT"/>
        </w:rPr>
        <w:t xml:space="preserve">ist, wobei </w:t>
      </w:r>
      <w:r w:rsidR="00E46C53" w:rsidRPr="00E46C53">
        <w:rPr>
          <w:i/>
          <w:lang w:val="it-IT"/>
        </w:rPr>
        <w:t>O</w:t>
      </w:r>
      <w:r w:rsidR="00E46C53">
        <w:rPr>
          <w:lang w:val="it-IT"/>
        </w:rPr>
        <w:t xml:space="preserve"> wiederum als Menge von Paarvariablen</w:t>
      </w:r>
      <w:r w:rsidR="005D7996">
        <w:rPr>
          <w:lang w:val="it-IT"/>
        </w:rPr>
        <w:fldChar w:fldCharType="begin"/>
      </w:r>
      <w:r w:rsidR="00D84336">
        <w:instrText xml:space="preserve"> XE "</w:instrText>
      </w:r>
      <w:r w:rsidR="00D84336" w:rsidRPr="00E56E2D">
        <w:rPr>
          <w:lang w:val="it-IT"/>
        </w:rPr>
        <w:instrText>Paarvariable</w:instrText>
      </w:r>
      <w:r w:rsidR="00D84336">
        <w:instrText xml:space="preserve">" </w:instrText>
      </w:r>
      <w:r w:rsidR="005D7996">
        <w:rPr>
          <w:lang w:val="it-IT"/>
        </w:rPr>
        <w:fldChar w:fldCharType="end"/>
      </w:r>
      <w:r w:rsidR="00E46C53">
        <w:rPr>
          <w:lang w:val="it-IT"/>
        </w:rPr>
        <w:t xml:space="preserve"> </w:t>
      </w:r>
      <w:r w:rsidR="00134E7D">
        <w:rPr>
          <w:lang w:val="it-IT"/>
        </w:rPr>
        <w:t xml:space="preserve">(= 2-Tupel-Variablen) </w:t>
      </w:r>
      <w:r w:rsidR="00E46C53">
        <w:rPr>
          <w:lang w:val="it-IT"/>
        </w:rPr>
        <w:t xml:space="preserve">mit den Komponentennamen </w:t>
      </w:r>
      <w:r w:rsidR="00E46C53" w:rsidRPr="00E46C53">
        <w:rPr>
          <w:i/>
          <w:lang w:val="it-IT"/>
        </w:rPr>
        <w:t>O</w:t>
      </w:r>
      <w:r w:rsidR="00E46C53">
        <w:rPr>
          <w:i/>
          <w:lang w:val="it-IT"/>
        </w:rPr>
        <w:t>b</w:t>
      </w:r>
      <w:r w:rsidR="00E46C53">
        <w:rPr>
          <w:lang w:val="it-IT"/>
        </w:rPr>
        <w:t xml:space="preserve"> und </w:t>
      </w:r>
      <w:r w:rsidR="00E46C53" w:rsidRPr="00E46C53">
        <w:rPr>
          <w:i/>
          <w:lang w:val="it-IT"/>
        </w:rPr>
        <w:t>Z</w:t>
      </w:r>
      <w:r w:rsidR="00E46C53">
        <w:rPr>
          <w:i/>
          <w:lang w:val="it-IT"/>
        </w:rPr>
        <w:t>b</w:t>
      </w:r>
      <w:r w:rsidR="00E46C53">
        <w:rPr>
          <w:lang w:val="it-IT"/>
        </w:rPr>
        <w:t xml:space="preserve"> definiert ist</w:t>
      </w:r>
      <w:r w:rsidR="001D2456">
        <w:rPr>
          <w:lang w:val="it-IT"/>
        </w:rPr>
        <w:t>.</w:t>
      </w:r>
    </w:p>
    <w:p w:rsidR="0011719D" w:rsidRDefault="00D2554C">
      <w:pPr>
        <w:pStyle w:val="Text"/>
      </w:pPr>
      <w:r>
        <w:t xml:space="preserve">In Zeile </w:t>
      </w:r>
      <w:r w:rsidR="00D53B48">
        <w:t>4</w:t>
      </w:r>
      <w:r w:rsidR="0011719D">
        <w:t xml:space="preserve"> </w:t>
      </w:r>
      <w:r>
        <w:t xml:space="preserve">wird </w:t>
      </w:r>
      <w:r w:rsidR="0011719D">
        <w:t xml:space="preserve">mit Hilfe der Funktion </w:t>
      </w:r>
      <w:r w:rsidR="0011719D" w:rsidRPr="0011719D">
        <w:rPr>
          <w:i/>
        </w:rPr>
        <w:t>Auswahl</w:t>
      </w:r>
      <w:r w:rsidR="0011719D">
        <w:t xml:space="preserve"> (</w:t>
      </w:r>
      <w:r w:rsidR="00D53B48">
        <w:t xml:space="preserve">Erläuterung </w:t>
      </w:r>
      <w:r w:rsidR="0011719D">
        <w:t xml:space="preserve">s. unten) </w:t>
      </w:r>
      <w:r>
        <w:t xml:space="preserve">ein Schema </w:t>
      </w:r>
      <w:r w:rsidR="0011719D">
        <w:t xml:space="preserve">aus </w:t>
      </w:r>
      <w:r w:rsidR="0011719D" w:rsidRPr="0011719D">
        <w:rPr>
          <w:i/>
        </w:rPr>
        <w:t>S</w:t>
      </w:r>
      <w:r w:rsidR="0011719D">
        <w:t xml:space="preserve"> </w:t>
      </w:r>
      <w:r>
        <w:t>ausgewählt</w:t>
      </w:r>
      <w:r w:rsidR="0011719D">
        <w:t xml:space="preserve"> und in die Variable </w:t>
      </w:r>
      <w:r w:rsidR="0011719D" w:rsidRPr="0011719D">
        <w:rPr>
          <w:i/>
        </w:rPr>
        <w:t>S*</w:t>
      </w:r>
      <w:r w:rsidR="0011719D">
        <w:t xml:space="preserve"> gespeichert</w:t>
      </w:r>
      <w:r>
        <w:t xml:space="preserve">. </w:t>
      </w:r>
      <w:r w:rsidR="0011719D">
        <w:t>(</w:t>
      </w:r>
      <w:r w:rsidR="00575F8C">
        <w:t xml:space="preserve">Man </w:t>
      </w:r>
      <w:r w:rsidR="00691F83">
        <w:t xml:space="preserve">beachte, dass </w:t>
      </w:r>
      <w:r w:rsidR="00691F83" w:rsidRPr="009610B4">
        <w:rPr>
          <w:i/>
          <w:color w:val="000000" w:themeColor="text1"/>
        </w:rPr>
        <w:t>S</w:t>
      </w:r>
      <w:r w:rsidR="00691F83">
        <w:t xml:space="preserve"> eine Mengenvariable ist, die 3-Tupel enthält, während </w:t>
      </w:r>
      <w:r w:rsidR="00691F83">
        <w:rPr>
          <w:i/>
        </w:rPr>
        <w:t>S</w:t>
      </w:r>
      <w:r w:rsidR="00691F83" w:rsidRPr="00570A4D">
        <w:rPr>
          <w:i/>
        </w:rPr>
        <w:t>*</w:t>
      </w:r>
      <w:r w:rsidR="00691F83">
        <w:t xml:space="preserve"> eine 3-Tupel-Variable</w:t>
      </w:r>
      <w:r w:rsidR="005D7996">
        <w:fldChar w:fldCharType="begin"/>
      </w:r>
      <w:r w:rsidR="001F13E4">
        <w:instrText xml:space="preserve"> XE "</w:instrText>
      </w:r>
      <w:r w:rsidR="001F13E4" w:rsidRPr="009A0312">
        <w:rPr>
          <w:color w:val="000000" w:themeColor="text1"/>
        </w:rPr>
        <w:instrText>Tupel-Variable</w:instrText>
      </w:r>
      <w:r w:rsidR="001F13E4">
        <w:instrText xml:space="preserve">" </w:instrText>
      </w:r>
      <w:r w:rsidR="005D7996">
        <w:fldChar w:fldCharType="end"/>
      </w:r>
      <w:r w:rsidR="00691F83">
        <w:t xml:space="preserve"> ist.</w:t>
      </w:r>
      <w:r w:rsidR="0011719D">
        <w:t>)</w:t>
      </w:r>
    </w:p>
    <w:p w:rsidR="00D2554C" w:rsidRPr="00D4686A" w:rsidRDefault="00160034">
      <w:pPr>
        <w:pStyle w:val="Text"/>
        <w:keepNext/>
        <w:rPr>
          <w:i/>
          <w:iCs/>
        </w:rPr>
      </w:pPr>
      <w:r>
        <w:rPr>
          <w:i/>
          <w:iCs/>
        </w:rPr>
        <w:t xml:space="preserve">Es folgt </w:t>
      </w:r>
      <w:r w:rsidR="00D2554C" w:rsidRPr="00D4686A">
        <w:rPr>
          <w:i/>
          <w:iCs/>
        </w:rPr>
        <w:t>Schritt 2</w:t>
      </w:r>
      <w:r>
        <w:rPr>
          <w:i/>
          <w:iCs/>
        </w:rPr>
        <w:t xml:space="preserve">, die </w:t>
      </w:r>
      <w:r w:rsidR="00D2554C" w:rsidRPr="00D4686A">
        <w:rPr>
          <w:i/>
          <w:iCs/>
        </w:rPr>
        <w:t xml:space="preserve">Festlegung einer Anordnung von </w:t>
      </w:r>
      <w:r w:rsidR="00721558">
        <w:rPr>
          <w:i/>
          <w:iCs/>
        </w:rPr>
        <w:t>Alter</w:t>
      </w:r>
      <w:r w:rsidR="00721558">
        <w:rPr>
          <w:i/>
          <w:iCs/>
        </w:rPr>
        <w:softHyphen/>
        <w:t>nativen</w:t>
      </w:r>
      <w:r w:rsidR="00721558">
        <w:rPr>
          <w:i/>
          <w:iCs/>
        </w:rPr>
        <w:softHyphen/>
        <w:t>klasse</w:t>
      </w:r>
      <w:r w:rsidR="00D2554C" w:rsidRPr="00D4686A">
        <w:rPr>
          <w:i/>
          <w:iCs/>
        </w:rPr>
        <w:t>n</w:t>
      </w:r>
      <w:r w:rsidR="005D7996">
        <w:rPr>
          <w:i/>
          <w:iCs/>
        </w:rPr>
        <w:fldChar w:fldCharType="begin"/>
      </w:r>
      <w:r w:rsidR="007B3BCE">
        <w:instrText xml:space="preserve"> XE "</w:instrText>
      </w:r>
      <w:r w:rsidR="007B3BCE" w:rsidRPr="00A4614E">
        <w:instrText>Anordnung von Alternativenklassen</w:instrText>
      </w:r>
      <w:r w:rsidR="007B3BCE">
        <w:instrText xml:space="preserve">" </w:instrText>
      </w:r>
      <w:r w:rsidR="005D7996">
        <w:rPr>
          <w:i/>
          <w:iCs/>
        </w:rPr>
        <w:fldChar w:fldCharType="end"/>
      </w:r>
      <w:r w:rsidR="00D4686A" w:rsidRPr="00D4686A">
        <w:rPr>
          <w:i/>
          <w:iCs/>
        </w:rPr>
        <w:t>.</w:t>
      </w:r>
    </w:p>
    <w:p w:rsidR="00D2554C" w:rsidRDefault="00D53B48">
      <w:pPr>
        <w:pStyle w:val="Text"/>
      </w:pPr>
      <w:r>
        <w:t xml:space="preserve">In </w:t>
      </w:r>
      <w:r w:rsidR="00D2554C">
        <w:t xml:space="preserve">Zeile </w:t>
      </w:r>
      <w:r>
        <w:t xml:space="preserve">5 </w:t>
      </w:r>
      <w:r w:rsidR="00D2554C">
        <w:t xml:space="preserve">wird die </w:t>
      </w:r>
      <w:r w:rsidR="00964728">
        <w:t xml:space="preserve">Anzahl </w:t>
      </w:r>
      <w:r w:rsidR="00D2554C">
        <w:rPr>
          <w:i/>
          <w:iCs/>
        </w:rPr>
        <w:t>n</w:t>
      </w:r>
      <w:r w:rsidR="00D2554C">
        <w:t xml:space="preserve"> </w:t>
      </w:r>
      <w:r w:rsidR="00964728">
        <w:t xml:space="preserve">der </w:t>
      </w:r>
      <w:r w:rsidR="00D2554C">
        <w:t xml:space="preserve">Realisierungsstellen </w:t>
      </w:r>
      <w:r w:rsidR="00964728">
        <w:t xml:space="preserve">der zu erzeugenden Realisierung </w:t>
      </w:r>
      <w:r w:rsidR="00D2554C">
        <w:t>ausgewählt.</w:t>
      </w:r>
    </w:p>
    <w:p w:rsidR="00563193" w:rsidRDefault="00D53B48" w:rsidP="00563193">
      <w:pPr>
        <w:pStyle w:val="Text"/>
      </w:pPr>
      <w:r>
        <w:t xml:space="preserve">Zeile 6 </w:t>
      </w:r>
      <w:r w:rsidR="00563193" w:rsidRPr="00DB0613">
        <w:t xml:space="preserve">gibt an, dass die eingerückt folgende Schleife für die Variable </w:t>
      </w:r>
      <w:r>
        <w:rPr>
          <w:i/>
          <w:iCs/>
        </w:rPr>
        <w:t>i</w:t>
      </w:r>
      <w:r w:rsidR="00563193" w:rsidRPr="00DB0613">
        <w:t xml:space="preserve"> von 1 bis </w:t>
      </w:r>
      <w:r w:rsidR="00563193">
        <w:rPr>
          <w:i/>
          <w:iCs/>
        </w:rPr>
        <w:t>n</w:t>
      </w:r>
      <w:r w:rsidR="00563193" w:rsidRPr="00DB0613">
        <w:t xml:space="preserve"> ausgeführt wird.</w:t>
      </w:r>
    </w:p>
    <w:p w:rsidR="00D2554C" w:rsidRDefault="00D2554C">
      <w:pPr>
        <w:pStyle w:val="Text"/>
      </w:pPr>
      <w:r>
        <w:t xml:space="preserve">In Zeile </w:t>
      </w:r>
      <w:r w:rsidR="00D53B48">
        <w:t xml:space="preserve">7 </w:t>
      </w:r>
      <w:r>
        <w:t xml:space="preserve">wird für die </w:t>
      </w:r>
      <w:r w:rsidR="00253F5E" w:rsidRPr="00253F5E">
        <w:rPr>
          <w:i/>
        </w:rPr>
        <w:t>i</w:t>
      </w:r>
      <w:r w:rsidR="00253F5E">
        <w:t xml:space="preserve">te </w:t>
      </w:r>
      <w:r>
        <w:t xml:space="preserve">Realisierungsstelle </w:t>
      </w:r>
      <w:r w:rsidR="00D53B48">
        <w:t>m</w:t>
      </w:r>
      <w:r>
        <w:t xml:space="preserve">it Hilfe der Funktion </w:t>
      </w:r>
      <w:r w:rsidR="0038326D" w:rsidRPr="0038326D">
        <w:rPr>
          <w:i/>
        </w:rPr>
        <w:t>Au</w:t>
      </w:r>
      <w:r w:rsidR="0038326D" w:rsidRPr="0038326D">
        <w:rPr>
          <w:i/>
        </w:rPr>
        <w:t>s</w:t>
      </w:r>
      <w:r w:rsidR="0038326D" w:rsidRPr="0038326D">
        <w:rPr>
          <w:i/>
        </w:rPr>
        <w:t>wahl</w:t>
      </w:r>
      <w:r>
        <w:t xml:space="preserve"> ein Schemaort </w:t>
      </w:r>
      <w:r w:rsidR="00D53B48">
        <w:t xml:space="preserve">des Schemas </w:t>
      </w:r>
      <w:r w:rsidR="00D53B48">
        <w:rPr>
          <w:i/>
        </w:rPr>
        <w:t>S*</w:t>
      </w:r>
      <w:r w:rsidR="00D53B48">
        <w:t xml:space="preserve"> </w:t>
      </w:r>
      <w:r>
        <w:t>ausgewählt</w:t>
      </w:r>
      <w:r w:rsidR="00B251DA">
        <w:t xml:space="preserve"> und in die Variable </w:t>
      </w:r>
      <w:r w:rsidR="00B251DA" w:rsidRPr="00B251DA">
        <w:rPr>
          <w:i/>
        </w:rPr>
        <w:t>O</w:t>
      </w:r>
      <w:r w:rsidR="00B251DA">
        <w:rPr>
          <w:i/>
          <w:vertAlign w:val="subscript"/>
        </w:rPr>
        <w:t>W</w:t>
      </w:r>
      <w:r w:rsidR="00B251DA">
        <w:t xml:space="preserve"> gespe</w:t>
      </w:r>
      <w:r w:rsidR="00B251DA">
        <w:t>i</w:t>
      </w:r>
      <w:r w:rsidR="00B251DA">
        <w:t>chert</w:t>
      </w:r>
      <w:r>
        <w:t>.</w:t>
      </w:r>
    </w:p>
    <w:p w:rsidR="002D67C1" w:rsidRDefault="00D2554C">
      <w:pPr>
        <w:pStyle w:val="Text"/>
      </w:pPr>
      <w:r>
        <w:t xml:space="preserve">In Zeile </w:t>
      </w:r>
      <w:r w:rsidR="002D67C1">
        <w:t xml:space="preserve">8 wird </w:t>
      </w:r>
      <w:r w:rsidR="002D67C1">
        <w:rPr>
          <w:i/>
        </w:rPr>
        <w:t>Z</w:t>
      </w:r>
      <w:r w:rsidR="00FB26BC">
        <w:rPr>
          <w:i/>
        </w:rPr>
        <w:t>b</w:t>
      </w:r>
      <w:r w:rsidR="002D67C1">
        <w:rPr>
          <w:i/>
          <w:vertAlign w:val="subscript"/>
        </w:rPr>
        <w:t>W</w:t>
      </w:r>
      <w:r w:rsidR="002D67C1">
        <w:t>, die Variable für die ausgewählten Zusatzbedingungen, als leere Menge definiert.</w:t>
      </w:r>
    </w:p>
    <w:p w:rsidR="00563193" w:rsidRDefault="00563193" w:rsidP="00563193">
      <w:pPr>
        <w:pStyle w:val="Text"/>
      </w:pPr>
      <w:r>
        <w:t xml:space="preserve">Zeile </w:t>
      </w:r>
      <w:r w:rsidR="002D67C1">
        <w:t xml:space="preserve">9 </w:t>
      </w:r>
      <w:r>
        <w:t xml:space="preserve">gibt an, dass die eingerückt folgende Schleife für die Variable </w:t>
      </w:r>
      <w:r w:rsidR="002D67C1">
        <w:rPr>
          <w:i/>
          <w:iCs/>
        </w:rPr>
        <w:t>k</w:t>
      </w:r>
      <w:r>
        <w:t xml:space="preserve"> von 1 bis zu einer Zahl ausgeführt wird, die durch die Funktion </w:t>
      </w:r>
      <w:r w:rsidR="0038326D" w:rsidRPr="0038326D">
        <w:rPr>
          <w:i/>
        </w:rPr>
        <w:t>Auswahl</w:t>
      </w:r>
      <w:r>
        <w:t xml:space="preserve"> bestimmt wird,</w:t>
      </w:r>
      <w:r w:rsidR="00306962">
        <w:t xml:space="preserve"> </w:t>
      </w:r>
      <w:r>
        <w:t xml:space="preserve">wobei der Wert zwischen 0 und der Anzahl der </w:t>
      </w:r>
      <w:r w:rsidR="00F90358">
        <w:t xml:space="preserve">Elemente von </w:t>
      </w:r>
      <w:r w:rsidR="00B251DA" w:rsidRPr="009A21A9">
        <w:rPr>
          <w:rFonts w:eastAsia="Arial Unicode MS" w:cs="Times New Roman"/>
          <w:i/>
          <w:lang w:val="fr-FR"/>
        </w:rPr>
        <w:t>Zb</w:t>
      </w:r>
      <w:r w:rsidR="00B251DA" w:rsidRPr="009A21A9">
        <w:rPr>
          <w:lang w:val="fr-FR"/>
        </w:rPr>
        <w:t>(</w:t>
      </w:r>
      <w:r w:rsidR="00B251DA" w:rsidRPr="009A21A9">
        <w:rPr>
          <w:rFonts w:eastAsia="Arial Unicode MS" w:cs="Times New Roman"/>
          <w:i/>
          <w:lang w:val="fr-FR"/>
        </w:rPr>
        <w:t>O</w:t>
      </w:r>
      <w:r w:rsidR="00B251DA" w:rsidRPr="009A21A9">
        <w:rPr>
          <w:rFonts w:cs="Times New Roman"/>
          <w:i/>
          <w:vertAlign w:val="subscript"/>
          <w:lang w:val="fr-FR"/>
        </w:rPr>
        <w:t>W</w:t>
      </w:r>
      <w:r w:rsidR="00B251DA" w:rsidRPr="009A21A9">
        <w:rPr>
          <w:lang w:val="fr-FR"/>
        </w:rPr>
        <w:t>)</w:t>
      </w:r>
      <w:r w:rsidR="00F90358">
        <w:t xml:space="preserve">, also der </w:t>
      </w:r>
      <w:r w:rsidR="00382FCA">
        <w:t xml:space="preserve">Menge der </w:t>
      </w:r>
      <w:r w:rsidR="00B251DA">
        <w:t xml:space="preserve">möglichen Zusatzbedingungen zum gewählten Schemaort </w:t>
      </w:r>
      <w:r w:rsidR="00B251DA" w:rsidRPr="009A21A9">
        <w:rPr>
          <w:rFonts w:eastAsia="Arial Unicode MS" w:cs="Times New Roman"/>
          <w:i/>
          <w:lang w:val="fr-FR"/>
        </w:rPr>
        <w:t>O</w:t>
      </w:r>
      <w:r w:rsidR="00B251DA" w:rsidRPr="009A21A9">
        <w:rPr>
          <w:rFonts w:cs="Times New Roman"/>
          <w:i/>
          <w:vertAlign w:val="subscript"/>
          <w:lang w:val="fr-FR"/>
        </w:rPr>
        <w:t>W</w:t>
      </w:r>
      <w:r w:rsidR="00F90358">
        <w:t>,</w:t>
      </w:r>
      <w:r w:rsidR="00382FCA">
        <w:t xml:space="preserve"> </w:t>
      </w:r>
      <w:r>
        <w:t xml:space="preserve">liegen </w:t>
      </w:r>
      <w:r w:rsidR="002D67C1">
        <w:t>muss</w:t>
      </w:r>
      <w:r>
        <w:t>.</w:t>
      </w:r>
    </w:p>
    <w:p w:rsidR="00D2554C" w:rsidRDefault="002D67C1" w:rsidP="002D67C1">
      <w:pPr>
        <w:pStyle w:val="Text"/>
      </w:pPr>
      <w:r>
        <w:t xml:space="preserve">In Zeile 10 wird </w:t>
      </w:r>
      <w:r w:rsidR="00D2554C">
        <w:t xml:space="preserve">mit Hilfe der Funktion </w:t>
      </w:r>
      <w:r w:rsidR="0038326D" w:rsidRPr="0038326D">
        <w:rPr>
          <w:i/>
        </w:rPr>
        <w:t>Auswahl</w:t>
      </w:r>
      <w:r w:rsidR="003F15BF">
        <w:t xml:space="preserve"> </w:t>
      </w:r>
      <w:r w:rsidR="00D2554C">
        <w:t>eine Zusatz</w:t>
      </w:r>
      <w:r w:rsidR="007B0F19">
        <w:t>bedingung</w:t>
      </w:r>
      <w:r w:rsidR="00D2554C">
        <w:t xml:space="preserve"> aus </w:t>
      </w:r>
      <w:r w:rsidR="00B251DA" w:rsidRPr="009A21A9">
        <w:rPr>
          <w:rFonts w:eastAsia="Arial Unicode MS" w:cs="Times New Roman"/>
          <w:i/>
          <w:lang w:val="fr-FR"/>
        </w:rPr>
        <w:t>Zb</w:t>
      </w:r>
      <w:r w:rsidR="00B251DA" w:rsidRPr="009A21A9">
        <w:rPr>
          <w:lang w:val="fr-FR"/>
        </w:rPr>
        <w:t>(</w:t>
      </w:r>
      <w:r w:rsidR="00B251DA" w:rsidRPr="009A21A9">
        <w:rPr>
          <w:rFonts w:eastAsia="Arial Unicode MS" w:cs="Times New Roman"/>
          <w:i/>
          <w:lang w:val="fr-FR"/>
        </w:rPr>
        <w:t>O</w:t>
      </w:r>
      <w:r w:rsidR="00B251DA" w:rsidRPr="009A21A9">
        <w:rPr>
          <w:rFonts w:cs="Times New Roman"/>
          <w:i/>
          <w:vertAlign w:val="subscript"/>
          <w:lang w:val="fr-FR"/>
        </w:rPr>
        <w:t>W</w:t>
      </w:r>
      <w:r w:rsidR="00B251DA" w:rsidRPr="009A21A9">
        <w:rPr>
          <w:lang w:val="fr-FR"/>
        </w:rPr>
        <w:t>)</w:t>
      </w:r>
      <w:r w:rsidR="00B251DA">
        <w:t xml:space="preserve"> </w:t>
      </w:r>
      <w:r w:rsidR="00D2554C">
        <w:t xml:space="preserve">ausgewählt und </w:t>
      </w:r>
      <w:r>
        <w:t xml:space="preserve">zu </w:t>
      </w:r>
      <w:r>
        <w:rPr>
          <w:i/>
        </w:rPr>
        <w:t>Z</w:t>
      </w:r>
      <w:r>
        <w:rPr>
          <w:i/>
          <w:vertAlign w:val="subscript"/>
        </w:rPr>
        <w:t>W</w:t>
      </w:r>
      <w:r>
        <w:t xml:space="preserve"> hinzugefügt.</w:t>
      </w:r>
      <w:bookmarkStart w:id="238" w:name="_Ref271665973"/>
      <w:r w:rsidR="0034590D">
        <w:rPr>
          <w:rStyle w:val="Funotenzeichen"/>
        </w:rPr>
        <w:footnoteReference w:id="360"/>
      </w:r>
      <w:bookmarkEnd w:id="238"/>
    </w:p>
    <w:p w:rsidR="002D67C1" w:rsidRDefault="002D67C1" w:rsidP="002D67C1">
      <w:pPr>
        <w:pStyle w:val="Text"/>
      </w:pPr>
      <w:r>
        <w:t>In Zeile 11 wird die for-Schleife aus Zeile 9 beendet.</w:t>
      </w:r>
    </w:p>
    <w:p w:rsidR="002D67C1" w:rsidRDefault="00253F5E" w:rsidP="002D67C1">
      <w:pPr>
        <w:pStyle w:val="Text"/>
      </w:pPr>
      <w:r>
        <w:t xml:space="preserve">Zeile 12 definiert </w:t>
      </w:r>
      <w:r w:rsidRPr="00785FF8">
        <w:rPr>
          <w:i/>
        </w:rPr>
        <w:t>Ab</w:t>
      </w:r>
      <w:r>
        <w:rPr>
          <w:i/>
          <w:vertAlign w:val="subscript"/>
        </w:rPr>
        <w:t>i</w:t>
      </w:r>
      <w:r>
        <w:t xml:space="preserve">, die Alternativenbedingungen für die </w:t>
      </w:r>
      <w:r w:rsidR="00721558">
        <w:t>Alter</w:t>
      </w:r>
      <w:r w:rsidR="00721558">
        <w:softHyphen/>
        <w:t>nativen</w:t>
      </w:r>
      <w:r w:rsidR="00721558">
        <w:softHyphen/>
        <w:t>klasse</w:t>
      </w:r>
      <w:r>
        <w:t xml:space="preserve">n an der </w:t>
      </w:r>
      <w:r w:rsidRPr="00253F5E">
        <w:rPr>
          <w:i/>
        </w:rPr>
        <w:t>i</w:t>
      </w:r>
      <w:r>
        <w:t xml:space="preserve">ten Realisierungsstelle, als Vereinigungsmenge aus </w:t>
      </w:r>
      <w:r w:rsidR="00B251DA">
        <w:rPr>
          <w:rFonts w:eastAsia="Arial Unicode MS" w:cs="Times New Roman"/>
          <w:i/>
          <w:lang w:val="fr-FR"/>
        </w:rPr>
        <w:t>Ob</w:t>
      </w:r>
      <w:r w:rsidR="00B251DA" w:rsidRPr="009A21A9">
        <w:rPr>
          <w:lang w:val="fr-FR"/>
        </w:rPr>
        <w:t>(</w:t>
      </w:r>
      <w:r w:rsidR="00B251DA" w:rsidRPr="009A21A9">
        <w:rPr>
          <w:rFonts w:eastAsia="Arial Unicode MS" w:cs="Times New Roman"/>
          <w:i/>
          <w:lang w:val="fr-FR"/>
        </w:rPr>
        <w:t>O</w:t>
      </w:r>
      <w:r w:rsidR="00B251DA" w:rsidRPr="009A21A9">
        <w:rPr>
          <w:rFonts w:cs="Times New Roman"/>
          <w:i/>
          <w:vertAlign w:val="subscript"/>
          <w:lang w:val="fr-FR"/>
        </w:rPr>
        <w:t>W</w:t>
      </w:r>
      <w:r w:rsidR="00B251DA" w:rsidRPr="009A21A9">
        <w:rPr>
          <w:lang w:val="fr-FR"/>
        </w:rPr>
        <w:t>)</w:t>
      </w:r>
      <w:r>
        <w:t xml:space="preserve"> und </w:t>
      </w:r>
      <w:r>
        <w:rPr>
          <w:i/>
        </w:rPr>
        <w:t>Z</w:t>
      </w:r>
      <w:r w:rsidR="00B251DA">
        <w:rPr>
          <w:i/>
        </w:rPr>
        <w:t>b</w:t>
      </w:r>
      <w:r>
        <w:rPr>
          <w:i/>
          <w:vertAlign w:val="subscript"/>
        </w:rPr>
        <w:t>W</w:t>
      </w:r>
      <w:r>
        <w:t>.</w:t>
      </w:r>
    </w:p>
    <w:p w:rsidR="00881E8E" w:rsidRDefault="00881E8E" w:rsidP="00881E8E">
      <w:pPr>
        <w:pStyle w:val="Text"/>
      </w:pPr>
      <w:r>
        <w:t xml:space="preserve">In Zeile 13 wird </w:t>
      </w:r>
      <w:r w:rsidRPr="00D330E5">
        <w:rPr>
          <w:i/>
          <w:iCs/>
        </w:rPr>
        <w:t>A</w:t>
      </w:r>
      <w:r>
        <w:rPr>
          <w:i/>
          <w:vertAlign w:val="subscript"/>
        </w:rPr>
        <w:t>i</w:t>
      </w:r>
      <w:r>
        <w:t xml:space="preserve">, die </w:t>
      </w:r>
      <w:r w:rsidR="00721558">
        <w:t>Alter</w:t>
      </w:r>
      <w:r w:rsidR="00721558">
        <w:softHyphen/>
        <w:t>nativen</w:t>
      </w:r>
      <w:r w:rsidR="00721558">
        <w:softHyphen/>
        <w:t>klasse</w:t>
      </w:r>
      <w:r>
        <w:t xml:space="preserve"> an der </w:t>
      </w:r>
      <w:r w:rsidRPr="009543E9">
        <w:rPr>
          <w:i/>
        </w:rPr>
        <w:t>k</w:t>
      </w:r>
      <w:r>
        <w:t xml:space="preserve">ten Realisierungsstelle, gebildet. Sie besteht aus den Elementen des Möglichkeitsraums </w:t>
      </w:r>
      <w:r w:rsidRPr="00D330E5">
        <w:rPr>
          <w:i/>
        </w:rPr>
        <w:t>M</w:t>
      </w:r>
      <w:r w:rsidRPr="00D330E5">
        <w:rPr>
          <w:i/>
          <w:vertAlign w:val="subscript"/>
        </w:rPr>
        <w:t>Alt</w:t>
      </w:r>
      <w:r>
        <w:t xml:space="preserve">, die </w:t>
      </w:r>
      <w:r w:rsidR="002D57A3">
        <w:t xml:space="preserve">die </w:t>
      </w:r>
      <w:r>
        <w:t xml:space="preserve">in </w:t>
      </w:r>
      <w:r w:rsidRPr="009543E9">
        <w:rPr>
          <w:rFonts w:cs="Times New Roman"/>
          <w:i/>
        </w:rPr>
        <w:t>Ab</w:t>
      </w:r>
      <w:r>
        <w:rPr>
          <w:rFonts w:cs="Times New Roman"/>
          <w:i/>
          <w:vertAlign w:val="subscript"/>
        </w:rPr>
        <w:t>i</w:t>
      </w:r>
      <w:r>
        <w:t xml:space="preserve"> enthaltenen Eigenschaften besitzen, also die Alternativenbedingungen erfü</w:t>
      </w:r>
      <w:r>
        <w:t>l</w:t>
      </w:r>
      <w:r>
        <w:t xml:space="preserve">len (vgl. Abschnitt </w:t>
      </w:r>
      <w:r w:rsidR="005D7996">
        <w:fldChar w:fldCharType="begin"/>
      </w:r>
      <w:r>
        <w:instrText xml:space="preserve"> REF _Ref212029118 \r \h </w:instrText>
      </w:r>
      <w:r w:rsidR="005D7996">
        <w:fldChar w:fldCharType="separate"/>
      </w:r>
      <w:r w:rsidR="001231D3">
        <w:t>4.4</w:t>
      </w:r>
      <w:r w:rsidR="005D7996">
        <w:fldChar w:fldCharType="end"/>
      </w:r>
      <w:r>
        <w:t>).</w:t>
      </w:r>
    </w:p>
    <w:p w:rsidR="00D2554C" w:rsidRDefault="00D2554C">
      <w:pPr>
        <w:pStyle w:val="Text"/>
      </w:pPr>
      <w:r>
        <w:t xml:space="preserve">In Zeile 14 wird die for-Schleife aus Zeile </w:t>
      </w:r>
      <w:r w:rsidR="00253F5E">
        <w:t xml:space="preserve">6 </w:t>
      </w:r>
      <w:r>
        <w:t>beendet.</w:t>
      </w:r>
    </w:p>
    <w:p w:rsidR="00D2554C" w:rsidRDefault="00D2554C">
      <w:pPr>
        <w:pStyle w:val="Text"/>
      </w:pPr>
      <w:r>
        <w:t xml:space="preserve">In Zeile 15 werden die </w:t>
      </w:r>
      <w:r w:rsidR="00721558">
        <w:t>Alter</w:t>
      </w:r>
      <w:r w:rsidR="00721558">
        <w:softHyphen/>
        <w:t>nativen</w:t>
      </w:r>
      <w:r w:rsidR="00721558">
        <w:softHyphen/>
        <w:t>klasse</w:t>
      </w:r>
      <w:r>
        <w:t xml:space="preserve">n </w:t>
      </w:r>
      <w:r>
        <w:rPr>
          <w:i/>
        </w:rPr>
        <w:t>A</w:t>
      </w:r>
      <w:r>
        <w:rPr>
          <w:iCs/>
          <w:vertAlign w:val="subscript"/>
        </w:rPr>
        <w:t>1</w:t>
      </w:r>
      <w:r>
        <w:t xml:space="preserve">, …, </w:t>
      </w:r>
      <w:r>
        <w:rPr>
          <w:i/>
        </w:rPr>
        <w:t>A</w:t>
      </w:r>
      <w:r>
        <w:rPr>
          <w:i/>
          <w:vertAlign w:val="subscript"/>
        </w:rPr>
        <w:t>n</w:t>
      </w:r>
      <w:r>
        <w:t xml:space="preserve"> zur Menge </w:t>
      </w:r>
      <w:r>
        <w:rPr>
          <w:i/>
          <w:iCs/>
        </w:rPr>
        <w:t>A</w:t>
      </w:r>
      <w:r>
        <w:t xml:space="preserve"> zusa</w:t>
      </w:r>
      <w:r>
        <w:t>m</w:t>
      </w:r>
      <w:r>
        <w:t>mengefasst.</w:t>
      </w:r>
    </w:p>
    <w:p w:rsidR="00AE08FC" w:rsidRDefault="00AE08FC" w:rsidP="00AE08FC">
      <w:pPr>
        <w:pStyle w:val="Text"/>
      </w:pPr>
      <w:r>
        <w:lastRenderedPageBreak/>
        <w:t xml:space="preserve">In Zeile 16 werden die Alternativenbedingungen </w:t>
      </w:r>
      <w:r w:rsidRPr="00AE08FC">
        <w:rPr>
          <w:i/>
          <w:iCs/>
        </w:rPr>
        <w:t>Ab</w:t>
      </w:r>
      <w:r w:rsidRPr="00AE08FC">
        <w:rPr>
          <w:iCs/>
          <w:vertAlign w:val="subscript"/>
        </w:rPr>
        <w:t>1</w:t>
      </w:r>
      <w:r w:rsidRPr="00AE08FC">
        <w:t xml:space="preserve">, …, </w:t>
      </w:r>
      <w:r w:rsidRPr="00AE08FC">
        <w:rPr>
          <w:i/>
          <w:iCs/>
        </w:rPr>
        <w:t>Ab</w:t>
      </w:r>
      <w:r w:rsidRPr="00AE08FC">
        <w:rPr>
          <w:i/>
          <w:vertAlign w:val="subscript"/>
        </w:rPr>
        <w:t>n</w:t>
      </w:r>
      <w:r>
        <w:t xml:space="preserve"> zur Menge </w:t>
      </w:r>
      <w:r>
        <w:rPr>
          <w:i/>
          <w:iCs/>
        </w:rPr>
        <w:t>Ab</w:t>
      </w:r>
      <w:r>
        <w:t xml:space="preserve"> zusammengefasst.</w:t>
      </w:r>
    </w:p>
    <w:p w:rsidR="0047218D" w:rsidRDefault="00160034" w:rsidP="0047218D">
      <w:pPr>
        <w:pStyle w:val="Text"/>
        <w:keepNext/>
      </w:pPr>
      <w:r>
        <w:rPr>
          <w:i/>
          <w:iCs/>
        </w:rPr>
        <w:t xml:space="preserve">Es folgt </w:t>
      </w:r>
      <w:r w:rsidR="00E8415C">
        <w:rPr>
          <w:i/>
          <w:iCs/>
        </w:rPr>
        <w:t>Schritt 3, das</w:t>
      </w:r>
      <w:r w:rsidR="0047218D">
        <w:rPr>
          <w:i/>
          <w:iCs/>
        </w:rPr>
        <w:t xml:space="preserve"> Einschreiben der Merkmalsregeln</w:t>
      </w:r>
      <w:r w:rsidR="00D4686A">
        <w:rPr>
          <w:i/>
          <w:iCs/>
        </w:rPr>
        <w:t>.</w:t>
      </w:r>
    </w:p>
    <w:p w:rsidR="009469B0" w:rsidRDefault="00D2554C">
      <w:pPr>
        <w:pStyle w:val="Text"/>
      </w:pPr>
      <w:r>
        <w:t>In Zeile 1</w:t>
      </w:r>
      <w:r w:rsidR="00AE08FC">
        <w:t>7</w:t>
      </w:r>
      <w:r>
        <w:t xml:space="preserve"> </w:t>
      </w:r>
      <w:r w:rsidR="009469B0">
        <w:t xml:space="preserve">wird die Funktion </w:t>
      </w:r>
      <w:r w:rsidR="009469B0" w:rsidRPr="003F15BF">
        <w:rPr>
          <w:i/>
        </w:rPr>
        <w:t>Stil_bereitstellen</w:t>
      </w:r>
      <w:r w:rsidR="009469B0">
        <w:t xml:space="preserve"> aufgerufen</w:t>
      </w:r>
      <w:r w:rsidR="00533DC5">
        <w:t xml:space="preserve"> (Erläuterung s. unten)</w:t>
      </w:r>
      <w:r w:rsidR="00D56200">
        <w:t xml:space="preserve"> und ihr Rückgabewert in die Variable </w:t>
      </w:r>
      <w:r w:rsidR="00D56200" w:rsidRPr="00D56200">
        <w:rPr>
          <w:i/>
        </w:rPr>
        <w:t>B</w:t>
      </w:r>
      <w:r w:rsidR="00D56200">
        <w:t xml:space="preserve"> gespeichert.</w:t>
      </w:r>
    </w:p>
    <w:p w:rsidR="0034590D" w:rsidRDefault="009469B0">
      <w:pPr>
        <w:pStyle w:val="Text"/>
      </w:pPr>
      <w:r>
        <w:t>In Zeile 1</w:t>
      </w:r>
      <w:r w:rsidR="0034590D">
        <w:t>8</w:t>
      </w:r>
      <w:r>
        <w:t xml:space="preserve"> </w:t>
      </w:r>
      <w:r w:rsidR="00D2554C">
        <w:t xml:space="preserve">wird die Funktion </w:t>
      </w:r>
      <w:r w:rsidR="004A7F8B">
        <w:rPr>
          <w:i/>
        </w:rPr>
        <w:t>Merkmalsregeln_</w:t>
      </w:r>
      <w:r w:rsidR="00DB7C65">
        <w:rPr>
          <w:i/>
        </w:rPr>
        <w:t>einschreiben</w:t>
      </w:r>
      <w:r w:rsidR="004A7F8B">
        <w:rPr>
          <w:i/>
        </w:rPr>
        <w:t xml:space="preserve"> </w:t>
      </w:r>
      <w:r w:rsidR="00D2554C">
        <w:t>aufgerufen (</w:t>
      </w:r>
      <w:r w:rsidR="00D56200">
        <w:t>vgl</w:t>
      </w:r>
      <w:r w:rsidR="00D2554C">
        <w:t>. Abschnitt</w:t>
      </w:r>
      <w:r w:rsidR="00D56200">
        <w:t xml:space="preserve"> </w:t>
      </w:r>
      <w:r w:rsidR="005D7996">
        <w:fldChar w:fldCharType="begin"/>
      </w:r>
      <w:r w:rsidR="00D56200">
        <w:instrText xml:space="preserve"> REF _Ref269156038 \r \h </w:instrText>
      </w:r>
      <w:r w:rsidR="005D7996">
        <w:fldChar w:fldCharType="separate"/>
      </w:r>
      <w:r w:rsidR="001231D3">
        <w:t>5.4.1</w:t>
      </w:r>
      <w:r w:rsidR="005D7996">
        <w:fldChar w:fldCharType="end"/>
      </w:r>
      <w:r w:rsidR="00D2554C">
        <w:t xml:space="preserve">), </w:t>
      </w:r>
      <w:r w:rsidR="008F7DB4">
        <w:t xml:space="preserve">die </w:t>
      </w:r>
      <w:r w:rsidR="00D2554C">
        <w:t xml:space="preserve">als Parameter </w:t>
      </w:r>
      <w:r w:rsidR="0034590D">
        <w:t xml:space="preserve">die </w:t>
      </w:r>
      <w:r w:rsidR="00D2554C">
        <w:t xml:space="preserve">Menge </w:t>
      </w:r>
      <w:r w:rsidR="0034590D">
        <w:t xml:space="preserve">der </w:t>
      </w:r>
      <w:r w:rsidR="00721558">
        <w:t>Alter</w:t>
      </w:r>
      <w:r w:rsidR="00721558">
        <w:softHyphen/>
        <w:t>nativen</w:t>
      </w:r>
      <w:r w:rsidR="00721558">
        <w:softHyphen/>
        <w:t>klasse</w:t>
      </w:r>
      <w:r w:rsidR="00D2554C">
        <w:t xml:space="preserve">n </w:t>
      </w:r>
      <w:r w:rsidR="00D2554C">
        <w:rPr>
          <w:i/>
          <w:iCs/>
        </w:rPr>
        <w:t>A</w:t>
      </w:r>
      <w:r w:rsidR="0034590D">
        <w:t xml:space="preserve">, die </w:t>
      </w:r>
      <w:r w:rsidR="00D2554C">
        <w:t xml:space="preserve">Menge </w:t>
      </w:r>
      <w:r w:rsidR="0034590D">
        <w:t xml:space="preserve">der Alternativenbedingungen </w:t>
      </w:r>
      <w:r w:rsidR="0034590D" w:rsidRPr="0034590D">
        <w:rPr>
          <w:i/>
        </w:rPr>
        <w:t>Ab</w:t>
      </w:r>
      <w:r w:rsidR="0034590D">
        <w:t xml:space="preserve"> und die Menge der </w:t>
      </w:r>
      <w:r w:rsidR="00765E66">
        <w:t>Merkmalsregel</w:t>
      </w:r>
      <w:r w:rsidR="00D2554C">
        <w:t xml:space="preserve">n </w:t>
      </w:r>
      <w:r w:rsidR="00D2554C">
        <w:rPr>
          <w:i/>
          <w:iCs/>
        </w:rPr>
        <w:t>B</w:t>
      </w:r>
      <w:r w:rsidR="00D2554C">
        <w:t xml:space="preserve"> </w:t>
      </w:r>
      <w:r w:rsidR="0034590D">
        <w:t>erhält</w:t>
      </w:r>
      <w:r w:rsidR="00D2554C">
        <w:t xml:space="preserve">. </w:t>
      </w:r>
      <w:r w:rsidR="0034590D">
        <w:t xml:space="preserve">Die Funktion gibt die Menge der durch Anwendung der Merkmalsregeln reduzierten </w:t>
      </w:r>
      <w:r w:rsidR="00721558">
        <w:t>Alter</w:t>
      </w:r>
      <w:r w:rsidR="00721558">
        <w:softHyphen/>
        <w:t>nativen</w:t>
      </w:r>
      <w:r w:rsidR="00721558">
        <w:softHyphen/>
        <w:t>klasse</w:t>
      </w:r>
      <w:r w:rsidR="0034590D">
        <w:t xml:space="preserve">n zurück, die in die Variable </w:t>
      </w:r>
      <w:r w:rsidR="0034590D" w:rsidRPr="0034590D">
        <w:rPr>
          <w:i/>
        </w:rPr>
        <w:t>A'</w:t>
      </w:r>
      <w:r w:rsidR="0034590D">
        <w:t xml:space="preserve"> gespeichert wird.</w:t>
      </w:r>
    </w:p>
    <w:p w:rsidR="00D2554C" w:rsidRDefault="00160034">
      <w:pPr>
        <w:pStyle w:val="Text"/>
        <w:keepNext/>
      </w:pPr>
      <w:r>
        <w:rPr>
          <w:i/>
          <w:iCs/>
        </w:rPr>
        <w:t xml:space="preserve">Es folgt </w:t>
      </w:r>
      <w:r w:rsidR="00E8415C">
        <w:rPr>
          <w:i/>
          <w:iCs/>
        </w:rPr>
        <w:t>Schritt 4, die</w:t>
      </w:r>
      <w:r w:rsidR="00D2554C">
        <w:rPr>
          <w:i/>
          <w:iCs/>
        </w:rPr>
        <w:t xml:space="preserve"> </w:t>
      </w:r>
      <w:r w:rsidR="0011236C">
        <w:rPr>
          <w:i/>
          <w:iCs/>
        </w:rPr>
        <w:t xml:space="preserve">Erzeugung </w:t>
      </w:r>
      <w:r w:rsidR="00D2554C">
        <w:rPr>
          <w:i/>
          <w:iCs/>
        </w:rPr>
        <w:t>der Realisierung</w:t>
      </w:r>
      <w:r w:rsidR="00D4686A">
        <w:rPr>
          <w:i/>
          <w:iCs/>
        </w:rPr>
        <w:t>.</w:t>
      </w:r>
    </w:p>
    <w:p w:rsidR="0011236C" w:rsidRDefault="0011236C" w:rsidP="0011236C">
      <w:pPr>
        <w:pStyle w:val="Text"/>
      </w:pPr>
      <w:r>
        <w:t xml:space="preserve">Zeile 19 </w:t>
      </w:r>
      <w:r w:rsidRPr="00DB0613">
        <w:t xml:space="preserve">gibt an, dass die eingerückt folgende Schleife für die Variable </w:t>
      </w:r>
      <w:r>
        <w:rPr>
          <w:i/>
          <w:iCs/>
        </w:rPr>
        <w:t>i</w:t>
      </w:r>
      <w:r w:rsidRPr="00DB0613">
        <w:t xml:space="preserve"> von 1 bis </w:t>
      </w:r>
      <w:r>
        <w:rPr>
          <w:i/>
          <w:iCs/>
        </w:rPr>
        <w:t>n</w:t>
      </w:r>
      <w:r w:rsidRPr="00DB0613">
        <w:t xml:space="preserve"> ausgeführt wird.</w:t>
      </w:r>
    </w:p>
    <w:p w:rsidR="00D2554C" w:rsidRDefault="009469B0">
      <w:pPr>
        <w:pStyle w:val="Text"/>
      </w:pPr>
      <w:r>
        <w:t xml:space="preserve">In Zeile </w:t>
      </w:r>
      <w:r w:rsidR="0011236C">
        <w:t>20</w:t>
      </w:r>
      <w:r w:rsidR="00D2554C">
        <w:t xml:space="preserve"> wird für die </w:t>
      </w:r>
      <w:r w:rsidR="0011236C">
        <w:rPr>
          <w:i/>
        </w:rPr>
        <w:t>i</w:t>
      </w:r>
      <w:r w:rsidR="0011236C">
        <w:t xml:space="preserve">te </w:t>
      </w:r>
      <w:r w:rsidR="00D2554C">
        <w:t xml:space="preserve">Realisierungsstelle </w:t>
      </w:r>
      <w:r w:rsidR="0011236C">
        <w:rPr>
          <w:i/>
          <w:iCs/>
        </w:rPr>
        <w:t>R</w:t>
      </w:r>
      <w:r w:rsidR="0011236C">
        <w:rPr>
          <w:i/>
          <w:iCs/>
          <w:vertAlign w:val="subscript"/>
        </w:rPr>
        <w:t>i</w:t>
      </w:r>
      <w:r w:rsidR="00D2554C">
        <w:t xml:space="preserve"> </w:t>
      </w:r>
      <w:r w:rsidR="0011236C">
        <w:t xml:space="preserve">mit Hilfe der Funktion </w:t>
      </w:r>
      <w:r w:rsidR="0011236C" w:rsidRPr="0038326D">
        <w:rPr>
          <w:i/>
        </w:rPr>
        <w:t>Auswahl</w:t>
      </w:r>
      <w:r w:rsidR="0011236C">
        <w:t xml:space="preserve"> </w:t>
      </w:r>
      <w:r w:rsidR="00D2554C">
        <w:t xml:space="preserve">aus der dazugehörigen reduzierten </w:t>
      </w:r>
      <w:r w:rsidR="00721558">
        <w:t>Alter</w:t>
      </w:r>
      <w:r w:rsidR="00721558">
        <w:softHyphen/>
        <w:t>nativen</w:t>
      </w:r>
      <w:r w:rsidR="00721558">
        <w:softHyphen/>
        <w:t>klasse</w:t>
      </w:r>
      <w:r w:rsidR="00D2554C">
        <w:t xml:space="preserve"> </w:t>
      </w:r>
      <w:r w:rsidR="00D2554C">
        <w:rPr>
          <w:i/>
        </w:rPr>
        <w:t>A'</w:t>
      </w:r>
      <w:r w:rsidR="0011236C">
        <w:rPr>
          <w:i/>
          <w:vertAlign w:val="subscript"/>
        </w:rPr>
        <w:t>i</w:t>
      </w:r>
      <w:r w:rsidR="00D2554C">
        <w:t xml:space="preserve"> ein Element </w:t>
      </w:r>
      <w:r w:rsidR="00D2554C">
        <w:rPr>
          <w:i/>
        </w:rPr>
        <w:t>x</w:t>
      </w:r>
      <w:r w:rsidR="0011236C">
        <w:rPr>
          <w:i/>
          <w:vertAlign w:val="subscript"/>
        </w:rPr>
        <w:t>i</w:t>
      </w:r>
      <w:r w:rsidR="00D2554C">
        <w:t xml:space="preserve"> ausgewählt.</w:t>
      </w:r>
    </w:p>
    <w:p w:rsidR="0011236C" w:rsidRDefault="0011236C" w:rsidP="0011236C">
      <w:pPr>
        <w:pStyle w:val="Text"/>
      </w:pPr>
      <w:r>
        <w:t>In Zeile 21 wird die for-Schleife aus Zeile 19 beendet.</w:t>
      </w:r>
    </w:p>
    <w:p w:rsidR="00D2554C" w:rsidRDefault="009469B0">
      <w:pPr>
        <w:pStyle w:val="Text"/>
      </w:pPr>
      <w:r>
        <w:t>In Zeile 2</w:t>
      </w:r>
      <w:r w:rsidR="0011236C">
        <w:t>2</w:t>
      </w:r>
      <w:r w:rsidR="00D2554C">
        <w:t xml:space="preserve"> </w:t>
      </w:r>
      <w:r w:rsidR="0020108A">
        <w:t xml:space="preserve">werden die für die Realisierungsstellen ausgewählten </w:t>
      </w:r>
      <w:r w:rsidR="00D2554C">
        <w:t xml:space="preserve">Elemente </w:t>
      </w:r>
      <w:r w:rsidR="00D2554C">
        <w:rPr>
          <w:i/>
        </w:rPr>
        <w:t>x</w:t>
      </w:r>
      <w:r w:rsidR="00D2554C">
        <w:rPr>
          <w:i/>
          <w:vertAlign w:val="subscript"/>
        </w:rPr>
        <w:t>1</w:t>
      </w:r>
      <w:r w:rsidR="00D2554C">
        <w:t>, …,</w:t>
      </w:r>
      <w:r w:rsidR="00D2554C">
        <w:rPr>
          <w:i/>
        </w:rPr>
        <w:t xml:space="preserve"> x</w:t>
      </w:r>
      <w:r w:rsidR="00D2554C">
        <w:rPr>
          <w:i/>
          <w:vertAlign w:val="subscript"/>
        </w:rPr>
        <w:t>n</w:t>
      </w:r>
      <w:r w:rsidR="00D2554C">
        <w:t xml:space="preserve"> </w:t>
      </w:r>
      <w:r w:rsidR="0020108A">
        <w:t xml:space="preserve">zur Realisierung </w:t>
      </w:r>
      <w:r w:rsidR="0020108A" w:rsidRPr="0020108A">
        <w:rPr>
          <w:i/>
        </w:rPr>
        <w:t>R</w:t>
      </w:r>
      <w:r w:rsidR="0020108A">
        <w:t xml:space="preserve"> zusammengefasst</w:t>
      </w:r>
      <w:r w:rsidR="00D2554C">
        <w:t>.</w:t>
      </w:r>
    </w:p>
    <w:p w:rsidR="00D2554C" w:rsidRDefault="009469B0">
      <w:pPr>
        <w:pStyle w:val="Text"/>
      </w:pPr>
      <w:r>
        <w:t>In Zeile 22</w:t>
      </w:r>
      <w:r w:rsidR="00D2554C">
        <w:t xml:space="preserve"> wird </w:t>
      </w:r>
      <w:r w:rsidR="00D2554C">
        <w:rPr>
          <w:i/>
          <w:iCs/>
        </w:rPr>
        <w:t>R</w:t>
      </w:r>
      <w:r w:rsidR="00D2554C">
        <w:t xml:space="preserve"> </w:t>
      </w:r>
      <w:r w:rsidR="0011236C">
        <w:t>zurückgegeben</w:t>
      </w:r>
      <w:r w:rsidR="00D2554C">
        <w:t>.</w:t>
      </w:r>
    </w:p>
    <w:p w:rsidR="00E0760C" w:rsidRDefault="009469B0">
      <w:pPr>
        <w:pStyle w:val="Text"/>
      </w:pPr>
      <w:r>
        <w:t>In Zeile 23</w:t>
      </w:r>
      <w:r w:rsidR="00D2554C">
        <w:t xml:space="preserve"> wird die Funktion beendet.</w:t>
      </w:r>
    </w:p>
    <w:p w:rsidR="00B0734F" w:rsidRPr="00B0734F" w:rsidRDefault="00B0734F" w:rsidP="00DB18F1">
      <w:pPr>
        <w:pStyle w:val="Zwischenberschrift"/>
        <w:spacing w:before="360"/>
      </w:pPr>
      <w:r w:rsidRPr="00B0734F">
        <w:t>Anmerkung zur S</w:t>
      </w:r>
      <w:r w:rsidR="008A42D2">
        <w:t>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rsidR="008A42D2">
        <w:t xml:space="preserve"> (1)</w:t>
      </w:r>
    </w:p>
    <w:p w:rsidR="00B0734F" w:rsidRDefault="00B0734F" w:rsidP="00247020">
      <w:pPr>
        <w:pStyle w:val="Text"/>
        <w:ind w:firstLine="0"/>
        <w:rPr>
          <w:color w:val="000000" w:themeColor="text1"/>
        </w:rPr>
      </w:pPr>
      <w:r>
        <w:rPr>
          <w:color w:val="000000" w:themeColor="text1"/>
        </w:rPr>
        <w:t xml:space="preserve">Bei der Variablendefinition können für die Komponenten von </w:t>
      </w:r>
      <w:r w:rsidRPr="008939C3">
        <w:rPr>
          <w:i/>
          <w:color w:val="000000" w:themeColor="text1"/>
        </w:rPr>
        <w:t>n</w:t>
      </w:r>
      <w:r>
        <w:rPr>
          <w:color w:val="000000" w:themeColor="text1"/>
        </w:rPr>
        <w:t xml:space="preserve">-Tupeln Namen definiert werden, die mit der Variable zusammen übergeben werden. Dazu wird links des Zuweisungsoperators </w:t>
      </w:r>
      <w:r w:rsidR="001B609A">
        <w:rPr>
          <w:color w:val="000000" w:themeColor="text1"/>
        </w:rPr>
        <w:t xml:space="preserve">:= </w:t>
      </w:r>
      <w:r>
        <w:rPr>
          <w:color w:val="000000" w:themeColor="text1"/>
        </w:rPr>
        <w:t xml:space="preserve">ein </w:t>
      </w:r>
      <w:r w:rsidRPr="008939C3">
        <w:rPr>
          <w:i/>
          <w:color w:val="000000" w:themeColor="text1"/>
        </w:rPr>
        <w:t>n</w:t>
      </w:r>
      <w:r>
        <w:rPr>
          <w:color w:val="000000" w:themeColor="text1"/>
        </w:rPr>
        <w:t>-Tupel mit den Komponentennamen</w:t>
      </w:r>
      <w:r w:rsidR="005D7996">
        <w:rPr>
          <w:color w:val="000000" w:themeColor="text1"/>
        </w:rPr>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rPr>
          <w:color w:val="000000" w:themeColor="text1"/>
        </w:rPr>
        <w:fldChar w:fldCharType="end"/>
      </w:r>
      <w:r>
        <w:rPr>
          <w:color w:val="000000" w:themeColor="text1"/>
        </w:rPr>
        <w:t xml:space="preserve"> geschrieben und durch </w:t>
      </w:r>
      <w:r w:rsidR="00EE3C80">
        <w:rPr>
          <w:color w:val="000000" w:themeColor="text1"/>
        </w:rPr>
        <w:t xml:space="preserve">ein Gleichheitszeichen </w:t>
      </w:r>
      <w:r>
        <w:rPr>
          <w:color w:val="000000" w:themeColor="text1"/>
        </w:rPr>
        <w:t>mit dem Variablennamen verbu</w:t>
      </w:r>
      <w:r>
        <w:rPr>
          <w:color w:val="000000" w:themeColor="text1"/>
        </w:rPr>
        <w:t>n</w:t>
      </w:r>
      <w:r>
        <w:rPr>
          <w:color w:val="000000" w:themeColor="text1"/>
        </w:rPr>
        <w:t xml:space="preserve">den; die Variable wird damit als </w:t>
      </w:r>
      <w:r w:rsidRPr="008939C3">
        <w:rPr>
          <w:i/>
          <w:color w:val="000000" w:themeColor="text1"/>
        </w:rPr>
        <w:t>n</w:t>
      </w:r>
      <w:r>
        <w:rPr>
          <w:color w:val="000000" w:themeColor="text1"/>
        </w:rPr>
        <w:t>-Tupel mit den entsprechenden Komponente</w:t>
      </w:r>
      <w:r>
        <w:rPr>
          <w:color w:val="000000" w:themeColor="text1"/>
        </w:rPr>
        <w:t>n</w:t>
      </w:r>
      <w:r>
        <w:rPr>
          <w:color w:val="000000" w:themeColor="text1"/>
        </w:rPr>
        <w:t xml:space="preserve">namen definiert. Ausdrücke der Form </w:t>
      </w:r>
      <w:r>
        <w:rPr>
          <w:i/>
          <w:color w:val="000000" w:themeColor="text1"/>
        </w:rPr>
        <w:t>x</w:t>
      </w:r>
      <w:r w:rsidRPr="00B04312">
        <w:rPr>
          <w:color w:val="000000" w:themeColor="text1"/>
        </w:rPr>
        <w:t>(</w:t>
      </w:r>
      <w:r>
        <w:rPr>
          <w:i/>
          <w:color w:val="000000" w:themeColor="text1"/>
        </w:rPr>
        <w:t>A</w:t>
      </w:r>
      <w:r w:rsidRPr="00B04312">
        <w:rPr>
          <w:color w:val="000000" w:themeColor="text1"/>
        </w:rPr>
        <w:t>)</w:t>
      </w:r>
      <w:r>
        <w:rPr>
          <w:color w:val="000000" w:themeColor="text1"/>
        </w:rPr>
        <w:t xml:space="preserve"> werden als Namensdefinition</w:t>
      </w:r>
      <w:r w:rsidR="005D7996">
        <w:rPr>
          <w:color w:val="000000" w:themeColor="text1"/>
        </w:rPr>
        <w:fldChar w:fldCharType="begin"/>
      </w:r>
      <w:r w:rsidR="001F13E4">
        <w:instrText xml:space="preserve"> XE "</w:instrText>
      </w:r>
      <w:r w:rsidR="001F13E4" w:rsidRPr="003C22AD">
        <w:rPr>
          <w:color w:val="000000" w:themeColor="text1"/>
        </w:rPr>
        <w:instrText>Namensdefinition</w:instrText>
      </w:r>
      <w:r w:rsidR="001F13E4">
        <w:instrText xml:space="preserve">" </w:instrText>
      </w:r>
      <w:r w:rsidR="005D7996">
        <w:rPr>
          <w:color w:val="000000" w:themeColor="text1"/>
        </w:rPr>
        <w:fldChar w:fldCharType="end"/>
      </w:r>
      <w:r>
        <w:rPr>
          <w:color w:val="000000" w:themeColor="text1"/>
        </w:rPr>
        <w:t xml:space="preserve"> der Tupel-Variable</w:t>
      </w:r>
      <w:r w:rsidR="005D7996">
        <w:rPr>
          <w:color w:val="000000" w:themeColor="text1"/>
        </w:rPr>
        <w:fldChar w:fldCharType="begin"/>
      </w:r>
      <w:r w:rsidR="001F13E4">
        <w:instrText xml:space="preserve"> XE "</w:instrText>
      </w:r>
      <w:r w:rsidR="001F13E4" w:rsidRPr="009A0312">
        <w:rPr>
          <w:color w:val="000000" w:themeColor="text1"/>
        </w:rPr>
        <w:instrText>Tupel-Variable</w:instrText>
      </w:r>
      <w:r w:rsidR="001F13E4">
        <w:instrText xml:space="preserve">" </w:instrText>
      </w:r>
      <w:r w:rsidR="005D7996">
        <w:rPr>
          <w:color w:val="000000" w:themeColor="text1"/>
        </w:rPr>
        <w:fldChar w:fldCharType="end"/>
      </w:r>
      <w:r>
        <w:rPr>
          <w:color w:val="000000" w:themeColor="text1"/>
        </w:rPr>
        <w:t xml:space="preserve"> </w:t>
      </w:r>
      <w:r w:rsidRPr="0001740D">
        <w:rPr>
          <w:i/>
          <w:color w:val="000000" w:themeColor="text1"/>
        </w:rPr>
        <w:t>A</w:t>
      </w:r>
      <w:r>
        <w:rPr>
          <w:color w:val="000000" w:themeColor="text1"/>
        </w:rPr>
        <w:t xml:space="preserve"> behandelt, es wird in </w:t>
      </w:r>
      <w:r>
        <w:rPr>
          <w:i/>
          <w:color w:val="000000" w:themeColor="text1"/>
        </w:rPr>
        <w:t>A</w:t>
      </w:r>
      <w:r>
        <w:rPr>
          <w:color w:val="000000" w:themeColor="text1"/>
        </w:rPr>
        <w:t xml:space="preserve"> nachgeschaut und die Komponente mit dem Namen </w:t>
      </w:r>
      <w:r>
        <w:rPr>
          <w:i/>
          <w:color w:val="000000" w:themeColor="text1"/>
        </w:rPr>
        <w:t>x</w:t>
      </w:r>
      <w:r w:rsidR="00E12694">
        <w:rPr>
          <w:color w:val="000000" w:themeColor="text1"/>
        </w:rPr>
        <w:t xml:space="preserve"> ausgelesen</w:t>
      </w:r>
      <w:r>
        <w:rPr>
          <w:color w:val="000000" w:themeColor="text1"/>
        </w:rPr>
        <w:t xml:space="preserve"> (</w:t>
      </w:r>
      <w:r w:rsidR="00E12694">
        <w:rPr>
          <w:color w:val="000000" w:themeColor="text1"/>
        </w:rPr>
        <w:t>v</w:t>
      </w:r>
      <w:r>
        <w:rPr>
          <w:color w:val="000000" w:themeColor="text1"/>
        </w:rPr>
        <w:t xml:space="preserve">gl. Zeile </w:t>
      </w:r>
      <w:r w:rsidR="00E12694">
        <w:rPr>
          <w:color w:val="000000" w:themeColor="text1"/>
        </w:rPr>
        <w:t>7</w:t>
      </w:r>
      <w:r w:rsidR="00B234F9">
        <w:rPr>
          <w:color w:val="000000" w:themeColor="text1"/>
        </w:rPr>
        <w:t>).</w:t>
      </w:r>
    </w:p>
    <w:p w:rsidR="00B0734F" w:rsidRDefault="00B0734F" w:rsidP="00B0734F">
      <w:pPr>
        <w:pStyle w:val="Text"/>
        <w:rPr>
          <w:color w:val="000000" w:themeColor="text1"/>
        </w:rPr>
      </w:pPr>
      <w:r>
        <w:rPr>
          <w:color w:val="000000" w:themeColor="text1"/>
        </w:rPr>
        <w:t>Es kann auch eine Menge von Tupeln definiert werden</w:t>
      </w:r>
      <w:r w:rsidR="00BA3F12">
        <w:rPr>
          <w:color w:val="000000" w:themeColor="text1"/>
        </w:rPr>
        <w:t xml:space="preserve"> (vgl. Zeile </w:t>
      </w:r>
      <w:r w:rsidR="00A026E3">
        <w:rPr>
          <w:color w:val="000000" w:themeColor="text1"/>
        </w:rPr>
        <w:t>3</w:t>
      </w:r>
      <w:r w:rsidR="00BA3F12">
        <w:rPr>
          <w:color w:val="000000" w:themeColor="text1"/>
        </w:rPr>
        <w:t xml:space="preserve">). Dabei wird </w:t>
      </w:r>
      <w:r>
        <w:rPr>
          <w:color w:val="000000" w:themeColor="text1"/>
        </w:rPr>
        <w:t xml:space="preserve">wie üblich mit dem Index </w:t>
      </w:r>
      <w:r>
        <w:rPr>
          <w:i/>
          <w:color w:val="000000" w:themeColor="text1"/>
        </w:rPr>
        <w:t>i</w:t>
      </w:r>
      <w:r>
        <w:rPr>
          <w:color w:val="000000" w:themeColor="text1"/>
        </w:rPr>
        <w:t xml:space="preserve"> auf das </w:t>
      </w:r>
      <w:r w:rsidRPr="00567B3F">
        <w:rPr>
          <w:i/>
          <w:color w:val="000000" w:themeColor="text1"/>
        </w:rPr>
        <w:t>i</w:t>
      </w:r>
      <w:r>
        <w:rPr>
          <w:color w:val="000000" w:themeColor="text1"/>
        </w:rPr>
        <w:t>te Element der Menge zugegriffen</w:t>
      </w:r>
      <w:r w:rsidR="00BA3F12">
        <w:rPr>
          <w:color w:val="000000" w:themeColor="text1"/>
        </w:rPr>
        <w:t>; a</w:t>
      </w:r>
      <w:r>
        <w:rPr>
          <w:lang w:val="it-IT"/>
        </w:rPr>
        <w:t xml:space="preserve">uf die Komponenten des </w:t>
      </w:r>
      <w:r w:rsidRPr="001F472A">
        <w:rPr>
          <w:i/>
          <w:lang w:val="it-IT"/>
        </w:rPr>
        <w:t>i</w:t>
      </w:r>
      <w:r>
        <w:rPr>
          <w:lang w:val="it-IT"/>
        </w:rPr>
        <w:t xml:space="preserve">ten Elements in </w:t>
      </w:r>
      <w:r w:rsidR="00BA3F12">
        <w:rPr>
          <w:i/>
          <w:lang w:val="it-IT"/>
        </w:rPr>
        <w:t>S</w:t>
      </w:r>
      <w:r>
        <w:rPr>
          <w:lang w:val="it-IT"/>
        </w:rPr>
        <w:t xml:space="preserve"> wird also zugegriffen </w:t>
      </w:r>
      <w:r w:rsidR="00BA3F12">
        <w:rPr>
          <w:lang w:val="it-IT"/>
        </w:rPr>
        <w:t xml:space="preserve">als </w:t>
      </w:r>
      <w:r w:rsidR="00BA3F12">
        <w:rPr>
          <w:i/>
          <w:lang w:val="it-IT"/>
        </w:rPr>
        <w:t>N</w:t>
      </w:r>
      <w:r w:rsidRPr="007765B7">
        <w:t>(</w:t>
      </w:r>
      <w:r w:rsidR="00BA3F12">
        <w:rPr>
          <w:i/>
        </w:rPr>
        <w:t>S</w:t>
      </w:r>
      <w:r>
        <w:rPr>
          <w:i/>
          <w:vertAlign w:val="subscript"/>
          <w:lang w:val="it-IT"/>
        </w:rPr>
        <w:t>i</w:t>
      </w:r>
      <w:r w:rsidRPr="007765B7">
        <w:t>)</w:t>
      </w:r>
      <w:r>
        <w:rPr>
          <w:lang w:val="it-IT"/>
        </w:rPr>
        <w:t>,</w:t>
      </w:r>
      <w:r w:rsidRPr="001F472A">
        <w:rPr>
          <w:i/>
          <w:lang w:val="it-IT"/>
        </w:rPr>
        <w:t xml:space="preserve"> </w:t>
      </w:r>
      <w:r w:rsidR="00BA3F12">
        <w:rPr>
          <w:i/>
          <w:lang w:val="it-IT"/>
        </w:rPr>
        <w:t>So</w:t>
      </w:r>
      <w:r w:rsidRPr="007765B7">
        <w:t>(</w:t>
      </w:r>
      <w:r w:rsidR="00BA3F12">
        <w:rPr>
          <w:i/>
        </w:rPr>
        <w:t>S</w:t>
      </w:r>
      <w:r>
        <w:rPr>
          <w:i/>
          <w:vertAlign w:val="subscript"/>
          <w:lang w:val="it-IT"/>
        </w:rPr>
        <w:t>i</w:t>
      </w:r>
      <w:r w:rsidRPr="007765B7">
        <w:t>)</w:t>
      </w:r>
      <w:r>
        <w:t xml:space="preserve">, </w:t>
      </w:r>
      <w:r w:rsidR="00BA3F12">
        <w:rPr>
          <w:i/>
          <w:lang w:val="it-IT"/>
        </w:rPr>
        <w:t>O</w:t>
      </w:r>
      <w:r w:rsidRPr="007765B7">
        <w:t>(</w:t>
      </w:r>
      <w:r w:rsidR="00902C6A">
        <w:rPr>
          <w:i/>
        </w:rPr>
        <w:t>S</w:t>
      </w:r>
      <w:r>
        <w:rPr>
          <w:i/>
          <w:vertAlign w:val="subscript"/>
          <w:lang w:val="it-IT"/>
        </w:rPr>
        <w:t>i</w:t>
      </w:r>
      <w:r w:rsidRPr="007765B7">
        <w:t>)</w:t>
      </w:r>
      <w:r w:rsidR="00BA3F12">
        <w:t>.</w:t>
      </w:r>
      <w:r w:rsidR="00BA3F12">
        <w:rPr>
          <w:rStyle w:val="Funotenzeichen"/>
        </w:rPr>
        <w:footnoteReference w:id="361"/>
      </w:r>
      <w:r>
        <w:t xml:space="preserve"> Die Komponentennamen bleiben erhalten, wenn Elemente aus der Menge entfernt </w:t>
      </w:r>
      <w:r w:rsidR="00A30A86">
        <w:t xml:space="preserve">werden </w:t>
      </w:r>
      <w:r>
        <w:t>oder wenn diese mit einer anderen Menge geschnitten oder vereinigt wird.</w:t>
      </w:r>
    </w:p>
    <w:p w:rsidR="00B0734F" w:rsidRDefault="00B0734F" w:rsidP="00B0734F">
      <w:pPr>
        <w:pStyle w:val="Text"/>
      </w:pPr>
      <w:r w:rsidRPr="00096F14">
        <w:t xml:space="preserve">Es sind </w:t>
      </w:r>
      <w:r>
        <w:t xml:space="preserve">somit erweiterte </w:t>
      </w:r>
      <w:r w:rsidRPr="00096F14">
        <w:t>Var</w:t>
      </w:r>
      <w:r>
        <w:t>iablendefinitionen möglich,</w:t>
      </w:r>
      <w:r>
        <w:rPr>
          <w:rStyle w:val="Funotenzeichen"/>
        </w:rPr>
        <w:footnoteReference w:id="362"/>
      </w:r>
      <w:r>
        <w:t xml:space="preserve"> die zusätzlich zum Namen einer Tupelvariablen Namen für ihre Komponenten definieren, </w:t>
      </w:r>
      <w:r>
        <w:lastRenderedPageBreak/>
        <w:t xml:space="preserve">wobei auch für eine Mengenvariable eine </w:t>
      </w:r>
      <w:r w:rsidRPr="005333AF">
        <w:rPr>
          <w:i/>
        </w:rPr>
        <w:t>n</w:t>
      </w:r>
      <w:r>
        <w:t>-Tupelvariable mit Komponentenn</w:t>
      </w:r>
      <w:r>
        <w:t>a</w:t>
      </w:r>
      <w:r>
        <w:t>men</w:t>
      </w:r>
      <w:r w:rsidR="005D7996">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fldChar w:fldCharType="end"/>
      </w:r>
      <w:r>
        <w:t xml:space="preserve"> definierbar ist; auf später in die Mengenvariable gespeicherte </w:t>
      </w:r>
      <w:r w:rsidRPr="005333AF">
        <w:rPr>
          <w:i/>
        </w:rPr>
        <w:t>n</w:t>
      </w:r>
      <w:r>
        <w:t>-Tupelvariablen wird dann mit den definierten Namen zugegriffen.</w:t>
      </w:r>
    </w:p>
    <w:p w:rsidR="00B0734F" w:rsidRDefault="00B0734F" w:rsidP="00B0734F">
      <w:pPr>
        <w:pStyle w:val="Text"/>
      </w:pPr>
      <w:r>
        <w:t>Komponentennamen werden mit der Variablen übergeben.</w:t>
      </w:r>
    </w:p>
    <w:p w:rsidR="008A42D2" w:rsidRDefault="008A42D2" w:rsidP="00247020">
      <w:pPr>
        <w:pStyle w:val="Zwischenberschrift"/>
      </w:pPr>
      <w:r>
        <w:t>Anmerkung zur Verwendung geordneter Mengen</w:t>
      </w:r>
    </w:p>
    <w:p w:rsidR="008A42D2" w:rsidRDefault="008A42D2" w:rsidP="00247020">
      <w:pPr>
        <w:pStyle w:val="Text"/>
        <w:ind w:firstLine="0"/>
      </w:pPr>
      <w:r>
        <w:t>Alle verwendeten Mengen im Stilmodell sind geordnete Mengen</w:t>
      </w:r>
      <w:r w:rsidR="005D7996">
        <w:fldChar w:fldCharType="begin"/>
      </w:r>
      <w:r w:rsidR="00C2705E">
        <w:instrText xml:space="preserve"> XE "</w:instrText>
      </w:r>
      <w:r w:rsidR="00C2705E" w:rsidRPr="00417490">
        <w:instrText>Menge, geordnete</w:instrText>
      </w:r>
      <w:r w:rsidR="00C2705E">
        <w:instrText xml:space="preserve">" </w:instrText>
      </w:r>
      <w:r w:rsidR="005D7996">
        <w:fldChar w:fldCharType="end"/>
      </w:r>
      <w:r>
        <w:t>. Die Mengen behalten auch bei der Übergabe oder Rückgabe durch eine Funktion die Or</w:t>
      </w:r>
      <w:r>
        <w:t>d</w:t>
      </w:r>
      <w:r>
        <w:t>nung bei, in der sie gebildet wurden</w:t>
      </w:r>
      <w:r w:rsidR="00E45E05">
        <w:t>.</w:t>
      </w:r>
      <w:r w:rsidR="00E45E05">
        <w:rPr>
          <w:rStyle w:val="Funotenzeichen"/>
        </w:rPr>
        <w:footnoteReference w:id="363"/>
      </w:r>
      <w:r>
        <w:t xml:space="preserve"> Auch Mengen, die nicht mit einer ang</w:t>
      </w:r>
      <w:r>
        <w:t>e</w:t>
      </w:r>
      <w:r>
        <w:t>gebenen Ordnung gebildet werden (beispielsweise durch Klassenbildung), we</w:t>
      </w:r>
      <w:r>
        <w:t>r</w:t>
      </w:r>
      <w:r>
        <w:t xml:space="preserve">den als geordnet betrachtet. Daher kann auf die Elemente beispielsweise der Menge </w:t>
      </w:r>
      <w:r>
        <w:rPr>
          <w:i/>
        </w:rPr>
        <w:t>A</w:t>
      </w:r>
      <w:r>
        <w:t xml:space="preserve"> vollständig und ohne Wiederholungen zugegriffen werden als </w:t>
      </w:r>
      <w:r>
        <w:rPr>
          <w:i/>
          <w:color w:val="000000" w:themeColor="text1"/>
        </w:rPr>
        <w:t>A</w:t>
      </w:r>
      <w:r w:rsidRPr="009C3BB0">
        <w:rPr>
          <w:color w:val="000000" w:themeColor="text1"/>
          <w:vertAlign w:val="subscript"/>
        </w:rPr>
        <w:t>1</w:t>
      </w:r>
      <w:r>
        <w:t xml:space="preserve"> bis </w:t>
      </w:r>
      <w:r>
        <w:rPr>
          <w:i/>
          <w:color w:val="000000" w:themeColor="text1"/>
        </w:rPr>
        <w:t>A</w:t>
      </w:r>
      <w:r w:rsidRPr="009C3BB0">
        <w:rPr>
          <w:i/>
          <w:color w:val="000000" w:themeColor="text1"/>
          <w:vertAlign w:val="subscript"/>
        </w:rPr>
        <w:t>|</w:t>
      </w:r>
      <w:r>
        <w:rPr>
          <w:i/>
          <w:color w:val="000000" w:themeColor="text1"/>
          <w:vertAlign w:val="subscript"/>
        </w:rPr>
        <w:t>A</w:t>
      </w:r>
      <w:r w:rsidRPr="009C3BB0">
        <w:rPr>
          <w:i/>
          <w:color w:val="000000" w:themeColor="text1"/>
          <w:vertAlign w:val="subscript"/>
        </w:rPr>
        <w:t>|</w:t>
      </w:r>
      <w:r>
        <w:t>.</w:t>
      </w:r>
    </w:p>
    <w:p w:rsidR="008A42D2" w:rsidRDefault="008A42D2" w:rsidP="008A42D2">
      <w:pPr>
        <w:pStyle w:val="Text"/>
      </w:pPr>
      <w:r>
        <w:t>Werden Elemente aus den Mengen entfernt, bleibt die Ordnung der ve</w:t>
      </w:r>
      <w:r>
        <w:t>r</w:t>
      </w:r>
      <w:r>
        <w:t>bleibenden Elemente erhalten. Für Vereinigung und Schnittmenge müssen wir diesbezüglich keine Regel festlegen.</w:t>
      </w:r>
    </w:p>
    <w:p w:rsidR="008A42D2" w:rsidRDefault="008A42D2" w:rsidP="008A42D2">
      <w:pPr>
        <w:pStyle w:val="Text"/>
      </w:pPr>
      <w:r>
        <w:t>Geordnete Mengen treten im Modell anstelle von Strukturen wie Listen und Arrays, die gewöhnlich in der Programmierung verwendet werden. Diese müssen oft auf kontraintuitive Weise verarbeitet werden, es können nicht einfach me</w:t>
      </w:r>
      <w:r>
        <w:t>n</w:t>
      </w:r>
      <w:r>
        <w:t>gentheoretische Operationen angewandt werden.</w:t>
      </w:r>
    </w:p>
    <w:p w:rsidR="000C74BF" w:rsidRDefault="000C74BF" w:rsidP="00247020">
      <w:pPr>
        <w:pStyle w:val="Zwischenberschrift"/>
      </w:pPr>
      <w:r w:rsidRPr="00E60286">
        <w:t xml:space="preserve">Die Funktion </w:t>
      </w:r>
      <w:r>
        <w:t>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rsidRPr="00E60286">
        <w:t>_zusammenstellen</w:t>
      </w:r>
    </w:p>
    <w:p w:rsidR="000C74BF" w:rsidRPr="005D27E6" w:rsidRDefault="005D27E6" w:rsidP="00247020">
      <w:pPr>
        <w:pStyle w:val="Text"/>
        <w:ind w:firstLine="0"/>
        <w:rPr>
          <w:iCs/>
        </w:rPr>
      </w:pPr>
      <w:r>
        <w:t>Diese Funktion stellt alle durch Eigenschaften definierbaren Aspekte von Ve</w:t>
      </w:r>
      <w:r>
        <w:t>r</w:t>
      </w:r>
      <w:r>
        <w:t>halten, Artefakten und Texten zusammen; diese bilden den 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xml:space="preserve"> für Alternativen (vgl. Abschnitt </w:t>
      </w:r>
      <w:r w:rsidR="005D7996">
        <w:fldChar w:fldCharType="begin"/>
      </w:r>
      <w:r>
        <w:instrText xml:space="preserve"> REF _Ref269135074 \r \h </w:instrText>
      </w:r>
      <w:r w:rsidR="005D7996">
        <w:fldChar w:fldCharType="separate"/>
      </w:r>
      <w:r w:rsidR="001231D3">
        <w:t>4.2.1</w:t>
      </w:r>
      <w:r w:rsidR="005D7996">
        <w:fldChar w:fldCharType="end"/>
      </w:r>
      <w:r>
        <w:t>).</w:t>
      </w:r>
    </w:p>
    <w:p w:rsidR="000C74BF" w:rsidRDefault="000C74BF" w:rsidP="00DB18F1">
      <w:pPr>
        <w:pStyle w:val="Zwischenberschrift"/>
      </w:pPr>
      <w:r w:rsidRPr="00E60286">
        <w:t>Die Funktion Schemata_zusammenstellen</w:t>
      </w:r>
    </w:p>
    <w:p w:rsidR="00BC6524" w:rsidRDefault="000C74BF" w:rsidP="00DB18F1">
      <w:pPr>
        <w:pStyle w:val="Text"/>
        <w:ind w:firstLine="0"/>
      </w:pPr>
      <w:r>
        <w:t xml:space="preserve">Diese Funktion stellt die </w:t>
      </w:r>
      <w:r w:rsidR="008E30F4">
        <w:t xml:space="preserve">dem Individuum </w:t>
      </w:r>
      <w:r>
        <w:t>verfügbaren Schemata zusammen</w:t>
      </w:r>
      <w:r w:rsidR="000C3736">
        <w:t xml:space="preserve">, ihr Rückgabewert wird in die Variable </w:t>
      </w:r>
      <w:r w:rsidR="000C3736" w:rsidRPr="00BC6524">
        <w:rPr>
          <w:i/>
        </w:rPr>
        <w:t>S</w:t>
      </w:r>
      <w:r w:rsidR="000C3736">
        <w:t xml:space="preserve"> gespeichert.</w:t>
      </w:r>
    </w:p>
    <w:p w:rsidR="00BC6524" w:rsidRDefault="000C3736" w:rsidP="00BC6524">
      <w:pPr>
        <w:pStyle w:val="Text"/>
      </w:pPr>
      <w:r>
        <w:t xml:space="preserve">Die </w:t>
      </w:r>
      <w:r w:rsidR="00BC6524">
        <w:t xml:space="preserve">Menge </w:t>
      </w:r>
      <w:r w:rsidRPr="00BC6524">
        <w:rPr>
          <w:i/>
        </w:rPr>
        <w:t>S</w:t>
      </w:r>
      <w:r>
        <w:t xml:space="preserve"> der Schemata ist wie folgt gegliedert: Jedes Schema</w:t>
      </w:r>
      <w:r w:rsidR="007B207A">
        <w:t xml:space="preserve"> </w:t>
      </w:r>
      <w:r w:rsidR="00BC6524">
        <w:t xml:space="preserve">ist ein </w:t>
      </w:r>
      <w:r w:rsidR="00E46C53">
        <w:t>3</w:t>
      </w:r>
      <w:r w:rsidR="00BC6524">
        <w:t xml:space="preserve">-Tupel, dessen erste Komponente den Namen </w:t>
      </w:r>
      <w:r w:rsidR="00BC6524" w:rsidRPr="002F7ACD">
        <w:rPr>
          <w:i/>
        </w:rPr>
        <w:t>N</w:t>
      </w:r>
      <w:r w:rsidR="00BC6524">
        <w:t xml:space="preserve"> des Schemas, dessen zweite Komponente die Sorte </w:t>
      </w:r>
      <w:r w:rsidR="008C2DA0" w:rsidRPr="008C2DA0">
        <w:rPr>
          <w:i/>
        </w:rPr>
        <w:t>So</w:t>
      </w:r>
      <w:r w:rsidR="008C2DA0">
        <w:t xml:space="preserve"> </w:t>
      </w:r>
      <w:r w:rsidR="00BC6524">
        <w:t xml:space="preserve">des Schemas </w:t>
      </w:r>
      <w:r w:rsidR="00E46C53">
        <w:t>und</w:t>
      </w:r>
      <w:r w:rsidR="00BC6524">
        <w:t xml:space="preserve"> dessen dritte Komponente eine Menge </w:t>
      </w:r>
      <w:r w:rsidR="008C2DA0" w:rsidRPr="008C2DA0">
        <w:rPr>
          <w:i/>
        </w:rPr>
        <w:t>O</w:t>
      </w:r>
      <w:r w:rsidR="008C2DA0">
        <w:t xml:space="preserve"> </w:t>
      </w:r>
      <w:r w:rsidR="00F16BAC">
        <w:t>von 2-Tupeln enthält, d</w:t>
      </w:r>
      <w:r w:rsidR="00E46C53">
        <w:t xml:space="preserve">eren Komponenten </w:t>
      </w:r>
      <w:r w:rsidR="00BC6524">
        <w:rPr>
          <w:i/>
        </w:rPr>
        <w:t>O</w:t>
      </w:r>
      <w:r w:rsidR="00E46C53">
        <w:rPr>
          <w:i/>
        </w:rPr>
        <w:t>b</w:t>
      </w:r>
      <w:r w:rsidR="00BC6524">
        <w:t xml:space="preserve"> </w:t>
      </w:r>
      <w:r w:rsidR="00E46C53">
        <w:t xml:space="preserve">und </w:t>
      </w:r>
      <w:r w:rsidR="00E46C53" w:rsidRPr="00E46C53">
        <w:rPr>
          <w:i/>
        </w:rPr>
        <w:t>Zb</w:t>
      </w:r>
      <w:r w:rsidR="00E46C53">
        <w:t xml:space="preserve"> Mengen von </w:t>
      </w:r>
      <w:r w:rsidR="006A7912">
        <w:t xml:space="preserve">Eigenschaften </w:t>
      </w:r>
      <w:r w:rsidR="00F16BAC">
        <w:t>sind:</w:t>
      </w:r>
    </w:p>
    <w:p w:rsidR="007B207A" w:rsidRDefault="007B207A" w:rsidP="00DF2599">
      <w:pPr>
        <w:pStyle w:val="Formel"/>
        <w:spacing w:before="240" w:after="240"/>
      </w:pPr>
      <w:r>
        <w:rPr>
          <w:i/>
          <w:lang w:val="it-IT"/>
        </w:rPr>
        <w:t>S</w:t>
      </w:r>
      <w:r w:rsidRPr="002F7ACD">
        <w:rPr>
          <w:i/>
          <w:vertAlign w:val="subscript"/>
          <w:lang w:val="it-IT"/>
        </w:rPr>
        <w:t>i</w:t>
      </w:r>
      <w:r>
        <w:rPr>
          <w:lang w:val="it-IT"/>
        </w:rPr>
        <w:t xml:space="preserve"> = </w:t>
      </w:r>
      <w:r>
        <w:t>{</w:t>
      </w:r>
      <w:r>
        <w:rPr>
          <w:lang w:val="it-IT"/>
        </w:rPr>
        <w:t>&lt;</w:t>
      </w:r>
      <w:r w:rsidRPr="0065440B">
        <w:rPr>
          <w:i/>
          <w:lang w:val="it-IT"/>
        </w:rPr>
        <w:t>N</w:t>
      </w:r>
      <w:r>
        <w:rPr>
          <w:lang w:val="it-IT"/>
        </w:rPr>
        <w:t xml:space="preserve">, </w:t>
      </w:r>
      <w:r>
        <w:rPr>
          <w:i/>
          <w:lang w:val="it-IT"/>
        </w:rPr>
        <w:t>So</w:t>
      </w:r>
      <w:r>
        <w:rPr>
          <w:lang w:val="it-IT"/>
        </w:rPr>
        <w:t>, {&lt;</w:t>
      </w:r>
      <w:r>
        <w:rPr>
          <w:i/>
          <w:lang w:val="it-IT"/>
        </w:rPr>
        <w:t>Ob</w:t>
      </w:r>
      <w:r>
        <w:rPr>
          <w:lang w:val="it-IT"/>
        </w:rPr>
        <w:t xml:space="preserve">, </w:t>
      </w:r>
      <w:r>
        <w:rPr>
          <w:i/>
          <w:lang w:val="it-IT"/>
        </w:rPr>
        <w:t>Zb</w:t>
      </w:r>
      <w:r>
        <w:rPr>
          <w:lang w:val="it-IT"/>
        </w:rPr>
        <w:t>&gt;}&gt;}</w:t>
      </w:r>
    </w:p>
    <w:p w:rsidR="00BC6524" w:rsidRDefault="00BC6524" w:rsidP="00DB18F1">
      <w:pPr>
        <w:pStyle w:val="Text"/>
        <w:ind w:firstLine="0"/>
        <w:rPr>
          <w:lang w:val="it-IT"/>
        </w:rPr>
      </w:pPr>
      <w:r>
        <w:rPr>
          <w:lang w:val="it-IT"/>
        </w:rPr>
        <w:lastRenderedPageBreak/>
        <w:t xml:space="preserve">Es wird definiert, dass </w:t>
      </w:r>
      <w:r w:rsidR="003E3335">
        <w:rPr>
          <w:lang w:val="it-IT"/>
        </w:rPr>
        <w:t xml:space="preserve">auf die </w:t>
      </w:r>
      <w:r w:rsidR="007B207A">
        <w:rPr>
          <w:lang w:val="it-IT"/>
        </w:rPr>
        <w:t xml:space="preserve">Komponenten </w:t>
      </w:r>
      <w:r>
        <w:rPr>
          <w:lang w:val="it-IT"/>
        </w:rPr>
        <w:t xml:space="preserve">von </w:t>
      </w:r>
      <w:r>
        <w:rPr>
          <w:i/>
          <w:lang w:val="it-IT"/>
        </w:rPr>
        <w:t>S</w:t>
      </w:r>
      <w:r w:rsidRPr="002F7ACD">
        <w:rPr>
          <w:i/>
          <w:vertAlign w:val="subscript"/>
          <w:lang w:val="it-IT"/>
        </w:rPr>
        <w:t>i</w:t>
      </w:r>
      <w:r>
        <w:rPr>
          <w:lang w:val="it-IT"/>
        </w:rPr>
        <w:t xml:space="preserve"> als </w:t>
      </w:r>
      <w:r w:rsidRPr="0065440B">
        <w:rPr>
          <w:i/>
          <w:lang w:val="it-IT"/>
        </w:rPr>
        <w:t>N</w:t>
      </w:r>
      <w:r>
        <w:rPr>
          <w:lang w:val="it-IT"/>
        </w:rPr>
        <w:t>(</w:t>
      </w:r>
      <w:r>
        <w:rPr>
          <w:i/>
          <w:lang w:val="it-IT"/>
        </w:rPr>
        <w:t>S</w:t>
      </w:r>
      <w:r w:rsidRPr="002F7ACD">
        <w:rPr>
          <w:i/>
          <w:vertAlign w:val="subscript"/>
          <w:lang w:val="it-IT"/>
        </w:rPr>
        <w:t>i</w:t>
      </w:r>
      <w:r>
        <w:rPr>
          <w:lang w:val="it-IT"/>
        </w:rPr>
        <w:t xml:space="preserve">), </w:t>
      </w:r>
      <w:r>
        <w:rPr>
          <w:i/>
          <w:lang w:val="it-IT"/>
        </w:rPr>
        <w:t>So</w:t>
      </w:r>
      <w:r>
        <w:rPr>
          <w:lang w:val="it-IT"/>
        </w:rPr>
        <w:t>(</w:t>
      </w:r>
      <w:r>
        <w:rPr>
          <w:i/>
          <w:lang w:val="it-IT"/>
        </w:rPr>
        <w:t>S</w:t>
      </w:r>
      <w:r w:rsidRPr="002F7ACD">
        <w:rPr>
          <w:i/>
          <w:vertAlign w:val="subscript"/>
          <w:lang w:val="it-IT"/>
        </w:rPr>
        <w:t>i</w:t>
      </w:r>
      <w:r>
        <w:rPr>
          <w:lang w:val="it-IT"/>
        </w:rPr>
        <w:t xml:space="preserve">), </w:t>
      </w:r>
      <w:r w:rsidR="007B207A">
        <w:rPr>
          <w:i/>
          <w:lang w:val="it-IT"/>
        </w:rPr>
        <w:t>O</w:t>
      </w:r>
      <w:r w:rsidR="007B207A">
        <w:rPr>
          <w:lang w:val="it-IT"/>
        </w:rPr>
        <w:t>(</w:t>
      </w:r>
      <w:r w:rsidR="007B207A">
        <w:rPr>
          <w:i/>
          <w:lang w:val="it-IT"/>
        </w:rPr>
        <w:t>S</w:t>
      </w:r>
      <w:r w:rsidR="007B207A" w:rsidRPr="002F7ACD">
        <w:rPr>
          <w:i/>
          <w:vertAlign w:val="subscript"/>
          <w:lang w:val="it-IT"/>
        </w:rPr>
        <w:t>i</w:t>
      </w:r>
      <w:r w:rsidR="007B207A">
        <w:rPr>
          <w:lang w:val="it-IT"/>
        </w:rPr>
        <w:t xml:space="preserve">) und die Komponenten von </w:t>
      </w:r>
      <w:r w:rsidR="007B207A">
        <w:rPr>
          <w:i/>
          <w:lang w:val="it-IT"/>
        </w:rPr>
        <w:t>O</w:t>
      </w:r>
      <w:r w:rsidR="007B207A">
        <w:rPr>
          <w:lang w:val="it-IT"/>
        </w:rPr>
        <w:t>(</w:t>
      </w:r>
      <w:r w:rsidR="007B207A">
        <w:rPr>
          <w:i/>
          <w:lang w:val="it-IT"/>
        </w:rPr>
        <w:t>S</w:t>
      </w:r>
      <w:r w:rsidR="007B207A" w:rsidRPr="002F7ACD">
        <w:rPr>
          <w:i/>
          <w:vertAlign w:val="subscript"/>
          <w:lang w:val="it-IT"/>
        </w:rPr>
        <w:t>i</w:t>
      </w:r>
      <w:r w:rsidR="007B207A">
        <w:rPr>
          <w:lang w:val="it-IT"/>
        </w:rPr>
        <w:t xml:space="preserve">) als </w:t>
      </w:r>
      <w:r>
        <w:rPr>
          <w:i/>
          <w:lang w:val="it-IT"/>
        </w:rPr>
        <w:t>O</w:t>
      </w:r>
      <w:r w:rsidR="00E46C53">
        <w:rPr>
          <w:i/>
          <w:lang w:val="it-IT"/>
        </w:rPr>
        <w:t>b</w:t>
      </w:r>
      <w:r w:rsidR="00E46C53">
        <w:rPr>
          <w:lang w:val="it-IT"/>
        </w:rPr>
        <w:t>(</w:t>
      </w:r>
      <w:r w:rsidR="00E46C53">
        <w:rPr>
          <w:i/>
          <w:lang w:val="it-IT"/>
        </w:rPr>
        <w:t>O</w:t>
      </w:r>
      <w:r w:rsidR="00E46C53">
        <w:rPr>
          <w:i/>
          <w:vertAlign w:val="subscript"/>
          <w:lang w:val="it-IT"/>
        </w:rPr>
        <w:t>j</w:t>
      </w:r>
      <w:r>
        <w:rPr>
          <w:lang w:val="it-IT"/>
        </w:rPr>
        <w:t>(</w:t>
      </w:r>
      <w:r>
        <w:rPr>
          <w:i/>
          <w:lang w:val="it-IT"/>
        </w:rPr>
        <w:t>S</w:t>
      </w:r>
      <w:r w:rsidRPr="002F7ACD">
        <w:rPr>
          <w:i/>
          <w:vertAlign w:val="subscript"/>
          <w:lang w:val="it-IT"/>
        </w:rPr>
        <w:t>i</w:t>
      </w:r>
      <w:r>
        <w:rPr>
          <w:lang w:val="it-IT"/>
        </w:rPr>
        <w:t>)</w:t>
      </w:r>
      <w:r w:rsidR="00E46C53">
        <w:rPr>
          <w:lang w:val="it-IT"/>
        </w:rPr>
        <w:t>)</w:t>
      </w:r>
      <w:r>
        <w:rPr>
          <w:lang w:val="it-IT"/>
        </w:rPr>
        <w:t>,</w:t>
      </w:r>
      <w:r w:rsidRPr="00032FD3">
        <w:rPr>
          <w:i/>
          <w:lang w:val="it-IT"/>
        </w:rPr>
        <w:t xml:space="preserve"> </w:t>
      </w:r>
      <w:r>
        <w:rPr>
          <w:i/>
          <w:lang w:val="it-IT"/>
        </w:rPr>
        <w:t>Z</w:t>
      </w:r>
      <w:r w:rsidR="00E46C53">
        <w:rPr>
          <w:i/>
          <w:lang w:val="it-IT"/>
        </w:rPr>
        <w:t>b</w:t>
      </w:r>
      <w:r w:rsidR="00E46C53">
        <w:rPr>
          <w:lang w:val="it-IT"/>
        </w:rPr>
        <w:t>(</w:t>
      </w:r>
      <w:r w:rsidR="00E46C53">
        <w:rPr>
          <w:i/>
          <w:lang w:val="it-IT"/>
        </w:rPr>
        <w:t>O</w:t>
      </w:r>
      <w:r w:rsidR="00E46C53">
        <w:rPr>
          <w:i/>
          <w:vertAlign w:val="subscript"/>
          <w:lang w:val="it-IT"/>
        </w:rPr>
        <w:t>j</w:t>
      </w:r>
      <w:r>
        <w:rPr>
          <w:lang w:val="it-IT"/>
        </w:rPr>
        <w:t>(</w:t>
      </w:r>
      <w:r>
        <w:rPr>
          <w:i/>
          <w:lang w:val="it-IT"/>
        </w:rPr>
        <w:t>S</w:t>
      </w:r>
      <w:r w:rsidRPr="002F7ACD">
        <w:rPr>
          <w:i/>
          <w:vertAlign w:val="subscript"/>
          <w:lang w:val="it-IT"/>
        </w:rPr>
        <w:t>i</w:t>
      </w:r>
      <w:r>
        <w:rPr>
          <w:lang w:val="it-IT"/>
        </w:rPr>
        <w:t>)</w:t>
      </w:r>
      <w:r w:rsidR="00E46C53">
        <w:rPr>
          <w:lang w:val="it-IT"/>
        </w:rPr>
        <w:t>)</w:t>
      </w:r>
      <w:r w:rsidR="003E3335" w:rsidRPr="003E3335">
        <w:rPr>
          <w:lang w:val="it-IT"/>
        </w:rPr>
        <w:t xml:space="preserve"> </w:t>
      </w:r>
      <w:r w:rsidR="003E3335">
        <w:rPr>
          <w:lang w:val="it-IT"/>
        </w:rPr>
        <w:t>zugegriffen werden kann</w:t>
      </w:r>
      <w:r>
        <w:rPr>
          <w:lang w:val="it-IT"/>
        </w:rPr>
        <w:t>.</w:t>
      </w:r>
    </w:p>
    <w:p w:rsidR="00BC6524" w:rsidRDefault="00BC6524" w:rsidP="00BC6524">
      <w:pPr>
        <w:pStyle w:val="Text"/>
        <w:rPr>
          <w:lang w:val="it-IT"/>
        </w:rPr>
      </w:pPr>
      <w:r>
        <w:rPr>
          <w:lang w:val="it-IT"/>
        </w:rPr>
        <w:t xml:space="preserve">Diese </w:t>
      </w:r>
      <w:r w:rsidR="0098260E">
        <w:rPr>
          <w:lang w:val="it-IT"/>
        </w:rPr>
        <w:t>Zugriffs</w:t>
      </w:r>
      <w:r>
        <w:rPr>
          <w:lang w:val="it-IT"/>
        </w:rPr>
        <w:t xml:space="preserve">möglichkeit wird technisch durch eine </w:t>
      </w:r>
      <w:r w:rsidR="00ED25AD">
        <w:rPr>
          <w:lang w:val="it-IT"/>
        </w:rPr>
        <w:t>Komponenten</w:t>
      </w:r>
      <w:r>
        <w:rPr>
          <w:lang w:val="it-IT"/>
        </w:rPr>
        <w:t>beze</w:t>
      </w:r>
      <w:r>
        <w:rPr>
          <w:lang w:val="it-IT"/>
        </w:rPr>
        <w:t>i</w:t>
      </w:r>
      <w:r>
        <w:rPr>
          <w:lang w:val="it-IT"/>
        </w:rPr>
        <w:t>chnung des Tupels erreicht, die in der Variablendefinition festgelegt wird:</w:t>
      </w:r>
    </w:p>
    <w:p w:rsidR="00E46C53" w:rsidRDefault="00E46C53" w:rsidP="00DF2599">
      <w:pPr>
        <w:pStyle w:val="Formel"/>
        <w:spacing w:before="240" w:after="240"/>
        <w:rPr>
          <w:lang w:val="it-IT"/>
        </w:rPr>
      </w:pPr>
      <w:r w:rsidRPr="00D85A75">
        <w:rPr>
          <w:i/>
        </w:rPr>
        <w:t>S</w:t>
      </w:r>
      <w:r>
        <w:rPr>
          <w:lang w:val="it-IT"/>
        </w:rPr>
        <w:t xml:space="preserve"> = </w:t>
      </w:r>
      <w:r>
        <w:t>{</w:t>
      </w:r>
      <w:r>
        <w:rPr>
          <w:lang w:val="it-IT"/>
        </w:rPr>
        <w:t>&lt;</w:t>
      </w:r>
      <w:r w:rsidRPr="0065440B">
        <w:rPr>
          <w:i/>
          <w:lang w:val="it-IT"/>
        </w:rPr>
        <w:t>N</w:t>
      </w:r>
      <w:r>
        <w:rPr>
          <w:lang w:val="it-IT"/>
        </w:rPr>
        <w:t xml:space="preserve">, </w:t>
      </w:r>
      <w:r>
        <w:rPr>
          <w:i/>
          <w:lang w:val="it-IT"/>
        </w:rPr>
        <w:t>So</w:t>
      </w:r>
      <w:r>
        <w:rPr>
          <w:lang w:val="it-IT"/>
        </w:rPr>
        <w:t xml:space="preserve">, </w:t>
      </w:r>
      <w:r>
        <w:rPr>
          <w:i/>
          <w:lang w:val="it-IT"/>
        </w:rPr>
        <w:t>O</w:t>
      </w:r>
      <w:r>
        <w:rPr>
          <w:lang w:val="it-IT"/>
        </w:rPr>
        <w:t xml:space="preserve">&gt;} = </w:t>
      </w:r>
      <w:r>
        <w:t>{</w:t>
      </w:r>
      <w:r>
        <w:rPr>
          <w:lang w:val="it-IT"/>
        </w:rPr>
        <w:t>&lt;</w:t>
      </w:r>
      <w:r w:rsidRPr="0065440B">
        <w:rPr>
          <w:i/>
          <w:lang w:val="it-IT"/>
        </w:rPr>
        <w:t>N</w:t>
      </w:r>
      <w:r>
        <w:rPr>
          <w:lang w:val="it-IT"/>
        </w:rPr>
        <w:t xml:space="preserve">, </w:t>
      </w:r>
      <w:r>
        <w:rPr>
          <w:i/>
          <w:lang w:val="it-IT"/>
        </w:rPr>
        <w:t>So</w:t>
      </w:r>
      <w:r>
        <w:rPr>
          <w:lang w:val="it-IT"/>
        </w:rPr>
        <w:t>, {&lt;</w:t>
      </w:r>
      <w:r>
        <w:rPr>
          <w:i/>
          <w:lang w:val="it-IT"/>
        </w:rPr>
        <w:t>Ob</w:t>
      </w:r>
      <w:r>
        <w:rPr>
          <w:lang w:val="it-IT"/>
        </w:rPr>
        <w:t xml:space="preserve">, </w:t>
      </w:r>
      <w:r>
        <w:rPr>
          <w:i/>
          <w:lang w:val="it-IT"/>
        </w:rPr>
        <w:t>Zb</w:t>
      </w:r>
      <w:r>
        <w:rPr>
          <w:lang w:val="it-IT"/>
        </w:rPr>
        <w:t>&gt;}&gt;</w:t>
      </w:r>
      <w:r w:rsidR="007B207A">
        <w:rPr>
          <w:lang w:val="it-IT"/>
        </w:rPr>
        <w:t>} := …</w:t>
      </w:r>
    </w:p>
    <w:p w:rsidR="00BC6524" w:rsidRDefault="00BC6524" w:rsidP="00DB18F1">
      <w:pPr>
        <w:pStyle w:val="Text"/>
        <w:ind w:firstLine="0"/>
        <w:rPr>
          <w:lang w:val="it-IT"/>
        </w:rPr>
      </w:pPr>
      <w:r w:rsidRPr="00032FD3">
        <w:rPr>
          <w:i/>
          <w:lang w:val="it-IT"/>
        </w:rPr>
        <w:t>N</w:t>
      </w:r>
      <w:r>
        <w:rPr>
          <w:lang w:val="it-IT"/>
        </w:rPr>
        <w:t xml:space="preserve"> und </w:t>
      </w:r>
      <w:r w:rsidRPr="00032FD3">
        <w:rPr>
          <w:i/>
          <w:lang w:val="it-IT"/>
        </w:rPr>
        <w:t>So</w:t>
      </w:r>
      <w:r>
        <w:rPr>
          <w:lang w:val="it-IT"/>
        </w:rPr>
        <w:t xml:space="preserve"> sind S</w:t>
      </w:r>
      <w:r w:rsidR="007B207A">
        <w:rPr>
          <w:lang w:val="it-IT"/>
        </w:rPr>
        <w:t>tring-Variablen, beispielsweise:</w:t>
      </w:r>
    </w:p>
    <w:p w:rsidR="00BC6524" w:rsidRDefault="00BC6524" w:rsidP="00DF2599">
      <w:pPr>
        <w:pStyle w:val="Formel"/>
        <w:spacing w:before="240"/>
        <w:rPr>
          <w:lang w:val="it-IT"/>
        </w:rPr>
      </w:pPr>
      <w:r w:rsidRPr="0065440B">
        <w:rPr>
          <w:i/>
          <w:lang w:val="it-IT"/>
        </w:rPr>
        <w:t>N</w:t>
      </w:r>
      <w:r>
        <w:rPr>
          <w:lang w:val="it-IT"/>
        </w:rPr>
        <w:t>(</w:t>
      </w:r>
      <w:r>
        <w:rPr>
          <w:i/>
          <w:lang w:val="it-IT"/>
        </w:rPr>
        <w:t>S</w:t>
      </w:r>
      <w:r w:rsidRPr="002F7ACD">
        <w:rPr>
          <w:i/>
          <w:vertAlign w:val="subscript"/>
          <w:lang w:val="it-IT"/>
        </w:rPr>
        <w:t>i</w:t>
      </w:r>
      <w:r>
        <w:rPr>
          <w:lang w:val="it-IT"/>
        </w:rPr>
        <w:t xml:space="preserve">) = </w:t>
      </w:r>
      <w:r w:rsidR="00FC6429" w:rsidRPr="0021789B">
        <w:rPr>
          <w:color w:val="000000" w:themeColor="text1"/>
        </w:rPr>
        <w:t>“</w:t>
      </w:r>
      <w:r>
        <w:rPr>
          <w:lang w:val="it-IT"/>
        </w:rPr>
        <w:t>Autofahren</w:t>
      </w:r>
      <w:r w:rsidR="00FC6429" w:rsidRPr="00C06F76">
        <w:rPr>
          <w:color w:val="000000" w:themeColor="text1"/>
        </w:rPr>
        <w:t>”</w:t>
      </w:r>
    </w:p>
    <w:p w:rsidR="00BC6524" w:rsidRDefault="00BC6524" w:rsidP="00DF2599">
      <w:pPr>
        <w:pStyle w:val="Formel"/>
        <w:spacing w:after="240"/>
        <w:rPr>
          <w:lang w:val="it-IT"/>
        </w:rPr>
      </w:pPr>
      <w:r>
        <w:rPr>
          <w:i/>
          <w:lang w:val="it-IT"/>
        </w:rPr>
        <w:t>So</w:t>
      </w:r>
      <w:r>
        <w:rPr>
          <w:lang w:val="it-IT"/>
        </w:rPr>
        <w:t>(</w:t>
      </w:r>
      <w:r>
        <w:rPr>
          <w:i/>
          <w:lang w:val="it-IT"/>
        </w:rPr>
        <w:t>S</w:t>
      </w:r>
      <w:r w:rsidRPr="002F7ACD">
        <w:rPr>
          <w:i/>
          <w:vertAlign w:val="subscript"/>
          <w:lang w:val="it-IT"/>
        </w:rPr>
        <w:t>i</w:t>
      </w:r>
      <w:r>
        <w:rPr>
          <w:lang w:val="it-IT"/>
        </w:rPr>
        <w:t xml:space="preserve">) = </w:t>
      </w:r>
      <w:r w:rsidR="00FC6429" w:rsidRPr="0021789B">
        <w:rPr>
          <w:color w:val="000000" w:themeColor="text1"/>
        </w:rPr>
        <w:t>“</w:t>
      </w:r>
      <w:r>
        <w:rPr>
          <w:lang w:val="it-IT"/>
        </w:rPr>
        <w:t>Verhaltensschema</w:t>
      </w:r>
      <w:r w:rsidR="00FC6429" w:rsidRPr="00C06F76">
        <w:rPr>
          <w:color w:val="000000" w:themeColor="text1"/>
        </w:rPr>
        <w:t>”</w:t>
      </w:r>
    </w:p>
    <w:p w:rsidR="00BC6524" w:rsidRDefault="00BC6524" w:rsidP="00DB18F1">
      <w:pPr>
        <w:pStyle w:val="Text"/>
        <w:ind w:firstLine="0"/>
        <w:rPr>
          <w:lang w:val="it-IT"/>
        </w:rPr>
      </w:pPr>
      <w:r>
        <w:rPr>
          <w:i/>
          <w:lang w:val="it-IT"/>
        </w:rPr>
        <w:t>O</w:t>
      </w:r>
      <w:r>
        <w:rPr>
          <w:lang w:val="it-IT"/>
        </w:rPr>
        <w:t xml:space="preserve"> </w:t>
      </w:r>
      <w:r w:rsidR="007B207A">
        <w:rPr>
          <w:lang w:val="it-IT"/>
        </w:rPr>
        <w:t xml:space="preserve">ist eine Menge von 2-Tupeln, deren Komponenten Mengen von </w:t>
      </w:r>
      <w:r w:rsidR="00AF2AF2">
        <w:rPr>
          <w:lang w:val="it-IT"/>
        </w:rPr>
        <w:t>einstelligen Prädikat</w:t>
      </w:r>
      <w:r>
        <w:rPr>
          <w:lang w:val="it-IT"/>
        </w:rPr>
        <w:t>en</w:t>
      </w:r>
      <w:r w:rsidR="007B207A">
        <w:rPr>
          <w:lang w:val="it-IT"/>
        </w:rPr>
        <w:t xml:space="preserve"> </w:t>
      </w:r>
      <w:r w:rsidR="004C603F">
        <w:rPr>
          <w:lang w:val="it-IT"/>
        </w:rPr>
        <w:t xml:space="preserve">(= Eigenschaften) </w:t>
      </w:r>
      <w:r w:rsidR="007B207A">
        <w:rPr>
          <w:lang w:val="it-IT"/>
        </w:rPr>
        <w:t>enthalten</w:t>
      </w:r>
      <w:r>
        <w:rPr>
          <w:lang w:val="it-IT"/>
        </w:rPr>
        <w:t>:</w:t>
      </w:r>
    </w:p>
    <w:p w:rsidR="00DB18F1" w:rsidRDefault="007B207A" w:rsidP="00DF2599">
      <w:pPr>
        <w:pStyle w:val="Formel"/>
        <w:spacing w:before="240" w:after="0"/>
        <w:rPr>
          <w:lang w:val="it-IT"/>
        </w:rPr>
      </w:pPr>
      <w:r>
        <w:rPr>
          <w:i/>
          <w:lang w:val="it-IT"/>
        </w:rPr>
        <w:t>O</w:t>
      </w:r>
      <w:r>
        <w:rPr>
          <w:lang w:val="it-IT"/>
        </w:rPr>
        <w:t>(</w:t>
      </w:r>
      <w:r>
        <w:rPr>
          <w:i/>
          <w:lang w:val="it-IT"/>
        </w:rPr>
        <w:t>S</w:t>
      </w:r>
      <w:r w:rsidRPr="002F7ACD">
        <w:rPr>
          <w:i/>
          <w:vertAlign w:val="subscript"/>
          <w:lang w:val="it-IT"/>
        </w:rPr>
        <w:t>i</w:t>
      </w:r>
      <w:r>
        <w:rPr>
          <w:lang w:val="it-IT"/>
        </w:rPr>
        <w:t>))</w:t>
      </w:r>
      <w:r w:rsidR="00857BBC">
        <w:rPr>
          <w:lang w:val="it-IT"/>
        </w:rPr>
        <w:tab/>
      </w:r>
      <w:r w:rsidR="00BC6524">
        <w:rPr>
          <w:lang w:val="it-IT"/>
        </w:rPr>
        <w:t>= {</w:t>
      </w:r>
      <w:r w:rsidRPr="00526D4C">
        <w:rPr>
          <w:sz w:val="19"/>
          <w:szCs w:val="19"/>
          <w:lang w:val="it-IT"/>
        </w:rPr>
        <w:t>&lt;</w:t>
      </w:r>
      <w:r>
        <w:rPr>
          <w:i/>
          <w:lang w:val="it-IT"/>
        </w:rPr>
        <w:t>Ob</w:t>
      </w:r>
      <w:r>
        <w:rPr>
          <w:lang w:val="it-IT"/>
        </w:rPr>
        <w:t xml:space="preserve">, </w:t>
      </w:r>
      <w:r>
        <w:rPr>
          <w:i/>
          <w:lang w:val="it-IT"/>
        </w:rPr>
        <w:t>Zb</w:t>
      </w:r>
      <w:r w:rsidRPr="00526D4C">
        <w:rPr>
          <w:sz w:val="19"/>
          <w:szCs w:val="19"/>
          <w:lang w:val="it-IT"/>
        </w:rPr>
        <w:t>&gt;</w:t>
      </w:r>
      <w:r>
        <w:rPr>
          <w:lang w:val="it-IT"/>
        </w:rPr>
        <w:t>}</w:t>
      </w:r>
    </w:p>
    <w:p w:rsidR="00BC6524" w:rsidRDefault="00DB18F1" w:rsidP="00DF2599">
      <w:pPr>
        <w:pStyle w:val="Formel"/>
        <w:spacing w:before="0" w:after="240"/>
        <w:ind w:left="1248" w:hanging="851"/>
        <w:rPr>
          <w:lang w:val="it-IT"/>
        </w:rPr>
      </w:pPr>
      <w:r>
        <w:rPr>
          <w:lang w:val="it-IT"/>
        </w:rPr>
        <w:tab/>
      </w:r>
      <w:r>
        <w:rPr>
          <w:lang w:val="it-IT"/>
        </w:rPr>
        <w:tab/>
      </w:r>
      <w:r w:rsidR="00BC6BA3">
        <w:rPr>
          <w:lang w:val="it-IT"/>
        </w:rPr>
        <w:t>= {</w:t>
      </w:r>
      <w:r w:rsidR="00526D4C" w:rsidRPr="00526D4C">
        <w:rPr>
          <w:sz w:val="19"/>
          <w:szCs w:val="19"/>
          <w:lang w:val="it-IT"/>
        </w:rPr>
        <w:t>&lt;</w:t>
      </w:r>
      <w:r w:rsidR="00BC6BA3">
        <w:rPr>
          <w:lang w:val="it-IT"/>
        </w:rPr>
        <w:t>{</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rFonts w:cs="Times New Roman"/>
                    <w:lang w:val="it-IT"/>
                  </w:rPr>
                  <m:t>,1</m:t>
                </m:r>
              </m:sub>
            </m:sSub>
          </m:sup>
        </m:sSubSup>
      </m:oMath>
      <w:r w:rsidR="00BC6BA3"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m</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rFonts w:cs="Times New Roman"/>
                    <w:lang w:val="it-IT"/>
                  </w:rPr>
                  <m:t>,1</m:t>
                </m:r>
              </m:sub>
            </m:sSub>
          </m:sup>
        </m:sSubSup>
      </m:oMath>
      <w:r w:rsidR="00BC6BA3" w:rsidRPr="00084EE0">
        <w:rPr>
          <w:lang w:val="it-IT"/>
        </w:rPr>
        <w:t>}</w:t>
      </w:r>
      <w:r w:rsidR="00BC6BA3">
        <w:rPr>
          <w:lang w:val="it-IT"/>
        </w:rPr>
        <w:t>,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rFonts w:cs="Times New Roman"/>
                    <w:lang w:val="it-IT"/>
                  </w:rPr>
                  <m:t>,1</m:t>
                </m:r>
              </m:sub>
            </m:sSub>
          </m:sup>
        </m:sSubSup>
      </m:oMath>
      <w:r w:rsidR="00BC6BA3"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n</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rFonts w:cs="Times New Roman"/>
                    <w:lang w:val="it-IT"/>
                  </w:rPr>
                  <m:t>,1</m:t>
                </m:r>
              </m:sub>
            </m:sSub>
          </m:sup>
        </m:sSubSup>
      </m:oMath>
      <w:r w:rsidR="00BC6BA3">
        <w:rPr>
          <w:lang w:val="it-IT"/>
        </w:rPr>
        <w:t>}</w:t>
      </w:r>
      <w:r w:rsidR="00526D4C" w:rsidRPr="00526D4C">
        <w:rPr>
          <w:sz w:val="19"/>
          <w:szCs w:val="19"/>
          <w:lang w:val="it-IT"/>
        </w:rPr>
        <w:t>&gt;</w:t>
      </w:r>
      <w:r w:rsidR="00BC6BA3">
        <w:rPr>
          <w:lang w:val="it-IT"/>
        </w:rPr>
        <w:t xml:space="preserve">, …, </w:t>
      </w:r>
      <w:r w:rsidR="00526D4C" w:rsidRPr="00526D4C">
        <w:rPr>
          <w:sz w:val="19"/>
          <w:szCs w:val="19"/>
          <w:lang w:val="it-IT"/>
        </w:rPr>
        <w:t>&lt;</w:t>
      </w:r>
      <w:r w:rsidR="00BC6BA3">
        <w:rPr>
          <w:lang w:val="it-IT"/>
        </w:rPr>
        <w:t>{</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BC6BA3"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o</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BC6BA3" w:rsidRPr="00084EE0">
        <w:rPr>
          <w:lang w:val="it-IT"/>
        </w:rPr>
        <w:t>}</w:t>
      </w:r>
      <w:r w:rsidR="00BC6BA3">
        <w:rPr>
          <w:lang w:val="it-IT"/>
        </w:rPr>
        <w:t>,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BC6BA3"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p</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BC6BA3">
        <w:rPr>
          <w:lang w:val="it-IT"/>
        </w:rPr>
        <w:t>}</w:t>
      </w:r>
      <w:r w:rsidR="00526D4C" w:rsidRPr="00526D4C">
        <w:rPr>
          <w:sz w:val="19"/>
          <w:szCs w:val="19"/>
          <w:lang w:val="it-IT"/>
        </w:rPr>
        <w:t>&gt;</w:t>
      </w:r>
      <w:r w:rsidR="00BC6BA3">
        <w:rPr>
          <w:lang w:val="it-IT"/>
        </w:rPr>
        <w:t>}</w:t>
      </w:r>
    </w:p>
    <w:p w:rsidR="00BC6524" w:rsidRDefault="005755B9" w:rsidP="00DB18F1">
      <w:pPr>
        <w:pStyle w:val="Text"/>
        <w:ind w:firstLine="0"/>
        <w:rPr>
          <w:lang w:val="it-IT"/>
        </w:rPr>
      </w:pPr>
      <w:r>
        <w:rPr>
          <w:lang w:val="it-IT"/>
        </w:rPr>
        <w:t xml:space="preserve">Die </w:t>
      </w:r>
      <w:r w:rsidR="00AD2226">
        <w:rPr>
          <w:lang w:val="it-IT"/>
        </w:rPr>
        <w:t>Schemaort-d</w:t>
      </w:r>
      <w:r w:rsidR="001A0263">
        <w:rPr>
          <w:lang w:val="it-IT"/>
        </w:rPr>
        <w:t xml:space="preserve">efinierenden </w:t>
      </w:r>
      <w:r>
        <w:rPr>
          <w:lang w:val="it-IT"/>
        </w:rPr>
        <w:t xml:space="preserve">Eigenschaften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rFonts w:cs="Times New Roman"/>
                    <w:lang w:val="it-IT"/>
                  </w:rPr>
                  <m:t>,1</m:t>
                </m:r>
              </m:sub>
            </m:sSub>
          </m:sup>
        </m:sSubSup>
      </m:oMath>
      <w:r w:rsidR="00BE05CD"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m</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rFonts w:cs="Times New Roman"/>
                    <w:lang w:val="it-IT"/>
                  </w:rPr>
                  <m:t>,1</m:t>
                </m:r>
              </m:sub>
            </m:sSub>
          </m:sup>
        </m:sSubSup>
      </m:oMath>
      <w:r>
        <w:rPr>
          <w:lang w:val="it-IT"/>
        </w:rPr>
        <w:t xml:space="preserve"> </w:t>
      </w:r>
      <w:r w:rsidR="001A0263">
        <w:rPr>
          <w:lang w:val="it-IT"/>
        </w:rPr>
        <w:t xml:space="preserve">bilden zusammen die Schemaortbedingungen des </w:t>
      </w:r>
      <w:r w:rsidR="00D946C6">
        <w:rPr>
          <w:lang w:val="it-IT"/>
        </w:rPr>
        <w:t xml:space="preserve">ersten </w:t>
      </w:r>
      <w:r w:rsidR="001A0263">
        <w:rPr>
          <w:lang w:val="it-IT"/>
        </w:rPr>
        <w:t xml:space="preserve">Schemaorts </w:t>
      </w:r>
      <w:r w:rsidR="00BE05CD">
        <w:rPr>
          <w:i/>
          <w:lang w:val="it-IT"/>
        </w:rPr>
        <w:t>O</w:t>
      </w:r>
      <w:r w:rsidR="00BE05CD" w:rsidRPr="00BE05CD">
        <w:rPr>
          <w:vertAlign w:val="subscript"/>
          <w:lang w:val="it-IT"/>
        </w:rPr>
        <w:t>1</w:t>
      </w:r>
      <w:r w:rsidR="00BE05CD">
        <w:rPr>
          <w:lang w:val="it-IT"/>
        </w:rPr>
        <w:t xml:space="preserve"> des Schemas </w:t>
      </w:r>
      <w:r w:rsidR="001A0263">
        <w:rPr>
          <w:i/>
          <w:lang w:val="it-IT"/>
        </w:rPr>
        <w:t>S</w:t>
      </w:r>
      <w:r w:rsidR="001A0263" w:rsidRPr="002F7ACD">
        <w:rPr>
          <w:i/>
          <w:vertAlign w:val="subscript"/>
          <w:lang w:val="it-IT"/>
        </w:rPr>
        <w:t>i</w:t>
      </w:r>
      <w:r w:rsidR="001A0263">
        <w:rPr>
          <w:lang w:val="it-IT"/>
        </w:rPr>
        <w:t>,</w:t>
      </w:r>
      <w:r w:rsidR="005A74E4">
        <w:rPr>
          <w:rStyle w:val="Funotenzeichen"/>
          <w:lang w:val="it-IT"/>
        </w:rPr>
        <w:footnoteReference w:id="364"/>
      </w:r>
      <w:r w:rsidR="00CD70A1">
        <w:rPr>
          <w:lang w:val="it-IT"/>
        </w:rPr>
        <w:t xml:space="preserve">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310039"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o</m:t>
            </m:r>
          </m:sub>
          <m:sup>
            <m:sSub>
              <m:sSubPr>
                <m:ctrlPr>
                  <w:rPr>
                    <w:rFonts w:ascii="Cambria Math" w:hAnsi="Cambria Math" w:cs="Times New Roman"/>
                    <w:i/>
                  </w:rPr>
                </m:ctrlPr>
              </m:sSubPr>
              <m:e>
                <m:r>
                  <m:rPr>
                    <m:nor/>
                  </m:rPr>
                  <w:rPr>
                    <w:rFonts w:cs="Times New Roman"/>
                    <w:i/>
                    <w:lang w:val="it-IT"/>
                  </w:rPr>
                  <m:t>O</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Pr>
          <w:lang w:val="it-IT"/>
        </w:rPr>
        <w:t xml:space="preserve"> </w:t>
      </w:r>
      <w:r w:rsidR="00A40733">
        <w:rPr>
          <w:lang w:val="it-IT"/>
        </w:rPr>
        <w:t xml:space="preserve">die Schemaortbedingungen </w:t>
      </w:r>
      <w:r w:rsidR="001A0263">
        <w:rPr>
          <w:lang w:val="it-IT"/>
        </w:rPr>
        <w:t xml:space="preserve">des </w:t>
      </w:r>
      <w:r w:rsidR="00D946C6">
        <w:rPr>
          <w:lang w:val="it-IT"/>
        </w:rPr>
        <w:t xml:space="preserve">letzten </w:t>
      </w:r>
      <w:r w:rsidR="00BE05CD">
        <w:rPr>
          <w:lang w:val="it-IT"/>
        </w:rPr>
        <w:t xml:space="preserve">Schemaorts </w:t>
      </w:r>
      <w:r w:rsidR="00BE05CD">
        <w:rPr>
          <w:i/>
          <w:lang w:val="it-IT"/>
        </w:rPr>
        <w:t>O</w:t>
      </w:r>
      <w:r w:rsidR="00D946C6" w:rsidRPr="00D946C6">
        <w:rPr>
          <w:vertAlign w:val="subscript"/>
          <w:lang w:val="it-IT"/>
        </w:rPr>
        <w:t>|</w:t>
      </w:r>
      <w:r w:rsidR="00D946C6">
        <w:rPr>
          <w:i/>
          <w:vertAlign w:val="subscript"/>
          <w:lang w:val="it-IT"/>
        </w:rPr>
        <w:t>O</w:t>
      </w:r>
      <w:r w:rsidR="00D946C6" w:rsidRPr="00D946C6">
        <w:rPr>
          <w:vertAlign w:val="subscript"/>
          <w:lang w:val="it-IT"/>
        </w:rPr>
        <w:t>|</w:t>
      </w:r>
      <w:r w:rsidR="00BE05CD">
        <w:rPr>
          <w:lang w:val="it-IT"/>
        </w:rPr>
        <w:t xml:space="preserve"> des Schemas </w:t>
      </w:r>
      <w:r w:rsidR="001A0263">
        <w:rPr>
          <w:i/>
          <w:lang w:val="it-IT"/>
        </w:rPr>
        <w:t>S</w:t>
      </w:r>
      <w:r w:rsidR="001A0263" w:rsidRPr="002F7ACD">
        <w:rPr>
          <w:i/>
          <w:vertAlign w:val="subscript"/>
          <w:lang w:val="it-IT"/>
        </w:rPr>
        <w:t>i</w:t>
      </w:r>
      <w:r w:rsidR="00D946C6">
        <w:rPr>
          <w:lang w:val="it-IT"/>
        </w:rPr>
        <w:t>.</w:t>
      </w:r>
      <w:r>
        <w:rPr>
          <w:lang w:val="it-IT"/>
        </w:rPr>
        <w:t xml:space="preserve"> </w:t>
      </w:r>
      <w:r w:rsidR="00207ECC">
        <w:rPr>
          <w:lang w:val="it-IT"/>
        </w:rPr>
        <w:t>Auf d</w:t>
      </w:r>
      <w:r w:rsidR="00BC6524">
        <w:rPr>
          <w:lang w:val="it-IT"/>
        </w:rPr>
        <w:t xml:space="preserve">ie Menge der </w:t>
      </w:r>
      <w:r w:rsidR="00A40733">
        <w:rPr>
          <w:lang w:val="it-IT"/>
        </w:rPr>
        <w:t xml:space="preserve">Schemaortbedingungen </w:t>
      </w:r>
      <w:r w:rsidR="00BC6524">
        <w:rPr>
          <w:lang w:val="it-IT"/>
        </w:rPr>
        <w:t xml:space="preserve">des Schemaorts </w:t>
      </w:r>
      <w:r w:rsidR="00BC6524">
        <w:rPr>
          <w:i/>
          <w:lang w:val="it-IT"/>
        </w:rPr>
        <w:t>O</w:t>
      </w:r>
      <w:r w:rsidR="00BC6524">
        <w:rPr>
          <w:i/>
          <w:vertAlign w:val="subscript"/>
          <w:lang w:val="it-IT"/>
        </w:rPr>
        <w:t>j</w:t>
      </w:r>
      <w:r w:rsidR="00BC6524">
        <w:rPr>
          <w:lang w:val="it-IT"/>
        </w:rPr>
        <w:t xml:space="preserve"> des Schemas </w:t>
      </w:r>
      <w:r w:rsidR="00BC6524">
        <w:rPr>
          <w:i/>
          <w:lang w:val="it-IT"/>
        </w:rPr>
        <w:t>S</w:t>
      </w:r>
      <w:r w:rsidR="00BC6524" w:rsidRPr="002F7ACD">
        <w:rPr>
          <w:i/>
          <w:vertAlign w:val="subscript"/>
          <w:lang w:val="it-IT"/>
        </w:rPr>
        <w:t>i</w:t>
      </w:r>
      <w:r w:rsidR="00BC6524">
        <w:rPr>
          <w:lang w:val="it-IT"/>
        </w:rPr>
        <w:t xml:space="preserve"> wird </w:t>
      </w:r>
      <w:r w:rsidR="00207ECC">
        <w:rPr>
          <w:lang w:val="it-IT"/>
        </w:rPr>
        <w:t>zugegriffen</w:t>
      </w:r>
      <w:r w:rsidR="00BC6524">
        <w:rPr>
          <w:lang w:val="it-IT"/>
        </w:rPr>
        <w:t xml:space="preserve"> als </w:t>
      </w:r>
      <w:r w:rsidR="00CD5EC2" w:rsidRPr="00CD5EC2">
        <w:rPr>
          <w:i/>
          <w:lang w:val="it-IT"/>
        </w:rPr>
        <w:t>Ob</w:t>
      </w:r>
      <w:r w:rsidR="00CD5EC2">
        <w:rPr>
          <w:lang w:val="it-IT"/>
        </w:rPr>
        <w:t>(</w:t>
      </w:r>
      <w:r w:rsidR="00BC6524">
        <w:rPr>
          <w:i/>
          <w:lang w:val="it-IT"/>
        </w:rPr>
        <w:t>O</w:t>
      </w:r>
      <w:r w:rsidR="00BC6524">
        <w:rPr>
          <w:i/>
          <w:vertAlign w:val="subscript"/>
          <w:lang w:val="it-IT"/>
        </w:rPr>
        <w:t>j</w:t>
      </w:r>
      <w:r w:rsidR="00BC6524">
        <w:rPr>
          <w:lang w:val="it-IT"/>
        </w:rPr>
        <w:t>(</w:t>
      </w:r>
      <w:r w:rsidR="00BC6524">
        <w:rPr>
          <w:i/>
          <w:lang w:val="it-IT"/>
        </w:rPr>
        <w:t>S</w:t>
      </w:r>
      <w:r w:rsidR="00BC6524" w:rsidRPr="002F7ACD">
        <w:rPr>
          <w:i/>
          <w:vertAlign w:val="subscript"/>
          <w:lang w:val="it-IT"/>
        </w:rPr>
        <w:t>i</w:t>
      </w:r>
      <w:r w:rsidR="00BC6524">
        <w:rPr>
          <w:lang w:val="it-IT"/>
        </w:rPr>
        <w:t>)</w:t>
      </w:r>
      <w:r w:rsidR="00CD5EC2">
        <w:rPr>
          <w:lang w:val="it-IT"/>
        </w:rPr>
        <w:t>)</w:t>
      </w:r>
      <w:r w:rsidR="00BC6524">
        <w:rPr>
          <w:lang w:val="it-IT"/>
        </w:rPr>
        <w:t>.</w:t>
      </w:r>
    </w:p>
    <w:p w:rsidR="00BC6524" w:rsidRDefault="005755B9" w:rsidP="00BC6524">
      <w:pPr>
        <w:pStyle w:val="Text"/>
      </w:pPr>
      <w:r>
        <w:rPr>
          <w:lang w:val="it-IT"/>
        </w:rPr>
        <w:t xml:space="preserve">Die </w:t>
      </w:r>
      <w:r w:rsidR="005A74E4">
        <w:rPr>
          <w:lang w:val="it-IT"/>
        </w:rPr>
        <w:t>Zusatze</w:t>
      </w:r>
      <w:r>
        <w:rPr>
          <w:lang w:val="it-IT"/>
        </w:rPr>
        <w:t>igenschaften</w:t>
      </w:r>
      <w:r w:rsidR="005D7996">
        <w:rPr>
          <w:lang w:val="it-IT"/>
        </w:rPr>
        <w:fldChar w:fldCharType="begin"/>
      </w:r>
      <w:r w:rsidR="00D6214C">
        <w:instrText xml:space="preserve"> XE "</w:instrText>
      </w:r>
      <w:r w:rsidR="00D6214C" w:rsidRPr="0034482F">
        <w:instrText>Eigenschaften:Zusatzeigenschaften</w:instrText>
      </w:r>
      <w:r w:rsidR="00D6214C">
        <w:instrText xml:space="preserve">" </w:instrText>
      </w:r>
      <w:r w:rsidR="005D7996">
        <w:rPr>
          <w:lang w:val="it-IT"/>
        </w:rPr>
        <w:fldChar w:fldCharType="end"/>
      </w:r>
      <w:r>
        <w:rPr>
          <w:lang w:val="it-IT"/>
        </w:rPr>
        <w:t xml:space="preserve">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rFonts w:cs="Times New Roman"/>
                    <w:lang w:val="it-IT"/>
                  </w:rPr>
                  <m:t>,1</m:t>
                </m:r>
              </m:sub>
            </m:sSub>
          </m:sup>
        </m:sSubSup>
      </m:oMath>
      <w:r w:rsidR="00BE05CD"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n</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rFonts w:cs="Times New Roman"/>
                    <w:lang w:val="it-IT"/>
                  </w:rPr>
                  <m:t>,1</m:t>
                </m:r>
              </m:sub>
            </m:sSub>
          </m:sup>
        </m:sSubSup>
      </m:oMath>
      <w:r>
        <w:rPr>
          <w:lang w:val="it-IT"/>
        </w:rPr>
        <w:t xml:space="preserve"> </w:t>
      </w:r>
      <w:r w:rsidR="00CD70A1">
        <w:rPr>
          <w:lang w:val="it-IT"/>
        </w:rPr>
        <w:t>bilden die Menge der möglichen Z</w:t>
      </w:r>
      <w:r w:rsidR="00CD70A1">
        <w:rPr>
          <w:lang w:val="it-IT"/>
        </w:rPr>
        <w:t>u</w:t>
      </w:r>
      <w:r w:rsidR="00CD70A1">
        <w:rPr>
          <w:lang w:val="it-IT"/>
        </w:rPr>
        <w:t>satzbedingungen</w:t>
      </w:r>
      <w:r>
        <w:rPr>
          <w:lang w:val="it-IT"/>
        </w:rPr>
        <w:t xml:space="preserve"> </w:t>
      </w:r>
      <w:r w:rsidR="00A538AE">
        <w:rPr>
          <w:lang w:val="it-IT"/>
        </w:rPr>
        <w:t xml:space="preserve">des </w:t>
      </w:r>
      <w:r w:rsidR="00E273E5">
        <w:rPr>
          <w:lang w:val="it-IT"/>
        </w:rPr>
        <w:t xml:space="preserve">ersten </w:t>
      </w:r>
      <w:r w:rsidR="00BE05CD">
        <w:rPr>
          <w:lang w:val="it-IT"/>
        </w:rPr>
        <w:t>Schemaort</w:t>
      </w:r>
      <w:r w:rsidR="00A538AE">
        <w:rPr>
          <w:lang w:val="it-IT"/>
        </w:rPr>
        <w:t>s</w:t>
      </w:r>
      <w:r w:rsidR="00BE05CD">
        <w:rPr>
          <w:lang w:val="it-IT"/>
        </w:rPr>
        <w:t xml:space="preserve"> </w:t>
      </w:r>
      <w:r w:rsidR="00BE05CD">
        <w:rPr>
          <w:i/>
          <w:lang w:val="it-IT"/>
        </w:rPr>
        <w:t>O</w:t>
      </w:r>
      <w:r w:rsidR="00BE05CD" w:rsidRPr="00BE05CD">
        <w:rPr>
          <w:vertAlign w:val="subscript"/>
          <w:lang w:val="it-IT"/>
        </w:rPr>
        <w:t>1</w:t>
      </w:r>
      <w:r w:rsidR="00BE05CD">
        <w:rPr>
          <w:lang w:val="it-IT"/>
        </w:rPr>
        <w:t xml:space="preserve"> des Schemas </w:t>
      </w:r>
      <w:r w:rsidR="00BE05CD">
        <w:rPr>
          <w:i/>
          <w:lang w:val="it-IT"/>
        </w:rPr>
        <w:t>S</w:t>
      </w:r>
      <w:r w:rsidR="00BE05CD" w:rsidRPr="002F7ACD">
        <w:rPr>
          <w:i/>
          <w:vertAlign w:val="subscript"/>
          <w:lang w:val="it-IT"/>
        </w:rPr>
        <w:t>i</w:t>
      </w:r>
      <w:r>
        <w:rPr>
          <w:lang w:val="it-IT"/>
        </w:rPr>
        <w:t>,</w:t>
      </w:r>
      <w:r w:rsidR="005A74E4">
        <w:rPr>
          <w:rStyle w:val="Funotenzeichen"/>
          <w:lang w:val="it-IT"/>
        </w:rPr>
        <w:footnoteReference w:id="365"/>
      </w:r>
      <w:r>
        <w:rPr>
          <w:lang w:val="it-IT"/>
        </w:rPr>
        <w:t xml:space="preserve">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lang w:val="it-IT"/>
              </w:rPr>
              <m:t>1</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sidR="00310039" w:rsidRPr="007B207A">
        <w:rPr>
          <w:lang w:val="it-IT"/>
        </w:rPr>
        <w:t xml:space="preserve">, …, </w:t>
      </w:r>
      <m:oMath>
        <m:sSubSup>
          <m:sSubSupPr>
            <m:ctrlPr>
              <w:rPr>
                <w:rFonts w:ascii="Cambria Math" w:hAnsi="Cambria Math" w:cs="Times New Roman"/>
                <w:i/>
              </w:rPr>
            </m:ctrlPr>
          </m:sSubSupPr>
          <m:e>
            <m:r>
              <m:rPr>
                <m:nor/>
              </m:rPr>
              <w:rPr>
                <w:rFonts w:cs="Times New Roman"/>
                <w:i/>
                <w:lang w:val="it-IT"/>
              </w:rPr>
              <m:t>E</m:t>
            </m:r>
          </m:e>
          <m:sub>
            <m:r>
              <m:rPr>
                <m:nor/>
              </m:rPr>
              <w:rPr>
                <w:rFonts w:cs="Times New Roman"/>
                <w:i/>
                <w:lang w:val="it-IT"/>
              </w:rPr>
              <m:t>p</m:t>
            </m:r>
          </m:sub>
          <m:sup>
            <m:sSub>
              <m:sSubPr>
                <m:ctrlPr>
                  <w:rPr>
                    <w:rFonts w:ascii="Cambria Math" w:hAnsi="Cambria Math" w:cs="Times New Roman"/>
                    <w:i/>
                  </w:rPr>
                </m:ctrlPr>
              </m:sSubPr>
              <m:e>
                <m:r>
                  <m:rPr>
                    <m:nor/>
                  </m:rPr>
                  <w:rPr>
                    <w:rFonts w:cs="Times New Roman"/>
                    <w:i/>
                    <w:lang w:val="it-IT"/>
                  </w:rPr>
                  <m:t>Z</m:t>
                </m:r>
              </m:e>
              <m:sub>
                <m:r>
                  <m:rPr>
                    <m:nor/>
                  </m:rPr>
                  <w:rPr>
                    <w:rFonts w:cs="Times New Roman"/>
                    <w:i/>
                    <w:lang w:val="it-IT"/>
                  </w:rPr>
                  <m:t>i,</m:t>
                </m:r>
                <m:r>
                  <m:rPr>
                    <m:nor/>
                  </m:rPr>
                  <w:rPr>
                    <w:lang w:val="it-IT"/>
                  </w:rPr>
                  <m:t>|</m:t>
                </m:r>
                <m:r>
                  <m:rPr>
                    <m:nor/>
                  </m:rPr>
                  <w:rPr>
                    <w:i/>
                    <w:lang w:val="it-IT"/>
                  </w:rPr>
                  <m:t>O</m:t>
                </m:r>
                <m:r>
                  <m:rPr>
                    <m:nor/>
                  </m:rPr>
                  <w:rPr>
                    <w:lang w:val="it-IT"/>
                  </w:rPr>
                  <m:t>|</m:t>
                </m:r>
              </m:sub>
            </m:sSub>
          </m:sup>
        </m:sSubSup>
      </m:oMath>
      <w:r>
        <w:rPr>
          <w:lang w:val="it-IT"/>
        </w:rPr>
        <w:t xml:space="preserve"> </w:t>
      </w:r>
      <w:r w:rsidR="001A0263">
        <w:rPr>
          <w:lang w:val="it-IT"/>
        </w:rPr>
        <w:t xml:space="preserve">die Menge </w:t>
      </w:r>
      <w:r w:rsidR="005A74E4">
        <w:rPr>
          <w:lang w:val="it-IT"/>
        </w:rPr>
        <w:t xml:space="preserve">der möglichen </w:t>
      </w:r>
      <w:r w:rsidR="00F2522C">
        <w:rPr>
          <w:lang w:val="it-IT"/>
        </w:rPr>
        <w:t>Zusatz</w:t>
      </w:r>
      <w:r w:rsidR="005A74E4">
        <w:rPr>
          <w:lang w:val="it-IT"/>
        </w:rPr>
        <w:t>bedingungen</w:t>
      </w:r>
      <w:r w:rsidR="00CD5EC2">
        <w:rPr>
          <w:lang w:val="it-IT"/>
        </w:rPr>
        <w:t xml:space="preserve"> </w:t>
      </w:r>
      <w:r w:rsidR="00A538AE">
        <w:rPr>
          <w:lang w:val="it-IT"/>
        </w:rPr>
        <w:t xml:space="preserve">des </w:t>
      </w:r>
      <w:r w:rsidR="00310039">
        <w:rPr>
          <w:lang w:val="it-IT"/>
        </w:rPr>
        <w:t xml:space="preserve">letzten Schemaorts </w:t>
      </w:r>
      <w:r w:rsidR="00310039">
        <w:rPr>
          <w:i/>
          <w:lang w:val="it-IT"/>
        </w:rPr>
        <w:t>O</w:t>
      </w:r>
      <w:r w:rsidR="00310039" w:rsidRPr="00D946C6">
        <w:rPr>
          <w:vertAlign w:val="subscript"/>
          <w:lang w:val="it-IT"/>
        </w:rPr>
        <w:t>|</w:t>
      </w:r>
      <w:r w:rsidR="00310039">
        <w:rPr>
          <w:i/>
          <w:vertAlign w:val="subscript"/>
          <w:lang w:val="it-IT"/>
        </w:rPr>
        <w:t>O</w:t>
      </w:r>
      <w:r w:rsidR="00310039" w:rsidRPr="00D946C6">
        <w:rPr>
          <w:vertAlign w:val="subscript"/>
          <w:lang w:val="it-IT"/>
        </w:rPr>
        <w:t>|</w:t>
      </w:r>
      <w:r w:rsidR="00310039">
        <w:rPr>
          <w:lang w:val="it-IT"/>
        </w:rPr>
        <w:t xml:space="preserve"> </w:t>
      </w:r>
      <w:r w:rsidR="00BE05CD">
        <w:rPr>
          <w:lang w:val="it-IT"/>
        </w:rPr>
        <w:t xml:space="preserve">des Schemas </w:t>
      </w:r>
      <w:r w:rsidR="00BE05CD">
        <w:rPr>
          <w:i/>
          <w:lang w:val="it-IT"/>
        </w:rPr>
        <w:t>S</w:t>
      </w:r>
      <w:r w:rsidR="00BE05CD" w:rsidRPr="002F7ACD">
        <w:rPr>
          <w:i/>
          <w:vertAlign w:val="subscript"/>
          <w:lang w:val="it-IT"/>
        </w:rPr>
        <w:t>i</w:t>
      </w:r>
      <w:r>
        <w:rPr>
          <w:lang w:val="it-IT"/>
        </w:rPr>
        <w:t xml:space="preserve">. </w:t>
      </w:r>
      <w:r w:rsidR="00207ECC">
        <w:rPr>
          <w:lang w:val="it-IT"/>
        </w:rPr>
        <w:t>Auf d</w:t>
      </w:r>
      <w:r w:rsidR="00BC6524">
        <w:rPr>
          <w:lang w:val="it-IT"/>
        </w:rPr>
        <w:t xml:space="preserve">ie Menge der </w:t>
      </w:r>
      <w:r w:rsidR="005A74E4">
        <w:rPr>
          <w:lang w:val="it-IT"/>
        </w:rPr>
        <w:t>möglichen Zusatzbedingungen</w:t>
      </w:r>
      <w:r w:rsidR="005A74E4">
        <w:rPr>
          <w:i/>
          <w:lang w:val="it-IT"/>
        </w:rPr>
        <w:t xml:space="preserve"> </w:t>
      </w:r>
      <w:r w:rsidR="00A538AE">
        <w:rPr>
          <w:lang w:val="it-IT"/>
        </w:rPr>
        <w:t xml:space="preserve">des </w:t>
      </w:r>
      <w:r w:rsidR="00BC6524">
        <w:rPr>
          <w:lang w:val="it-IT"/>
        </w:rPr>
        <w:t>Schemaort</w:t>
      </w:r>
      <w:r w:rsidR="00A538AE">
        <w:rPr>
          <w:lang w:val="it-IT"/>
        </w:rPr>
        <w:t>s</w:t>
      </w:r>
      <w:r w:rsidR="00BC6524">
        <w:rPr>
          <w:lang w:val="it-IT"/>
        </w:rPr>
        <w:t xml:space="preserve"> </w:t>
      </w:r>
      <w:r w:rsidR="00BC6524">
        <w:rPr>
          <w:i/>
          <w:lang w:val="it-IT"/>
        </w:rPr>
        <w:t>O</w:t>
      </w:r>
      <w:r w:rsidR="00BC6524">
        <w:rPr>
          <w:i/>
          <w:vertAlign w:val="subscript"/>
          <w:lang w:val="it-IT"/>
        </w:rPr>
        <w:t>j</w:t>
      </w:r>
      <w:r w:rsidR="00BC6524">
        <w:rPr>
          <w:lang w:val="it-IT"/>
        </w:rPr>
        <w:t xml:space="preserve"> des Schemas </w:t>
      </w:r>
      <w:r w:rsidR="00BC6524">
        <w:rPr>
          <w:i/>
          <w:lang w:val="it-IT"/>
        </w:rPr>
        <w:t>S</w:t>
      </w:r>
      <w:r w:rsidR="00BC6524" w:rsidRPr="002F7ACD">
        <w:rPr>
          <w:i/>
          <w:vertAlign w:val="subscript"/>
          <w:lang w:val="it-IT"/>
        </w:rPr>
        <w:t>i</w:t>
      </w:r>
      <w:r w:rsidR="00BC6524">
        <w:rPr>
          <w:lang w:val="it-IT"/>
        </w:rPr>
        <w:t xml:space="preserve"> wird </w:t>
      </w:r>
      <w:r w:rsidR="00207ECC">
        <w:rPr>
          <w:lang w:val="it-IT"/>
        </w:rPr>
        <w:t xml:space="preserve">zugegriffen </w:t>
      </w:r>
      <w:r w:rsidR="00BC6524">
        <w:rPr>
          <w:lang w:val="it-IT"/>
        </w:rPr>
        <w:t xml:space="preserve">als </w:t>
      </w:r>
      <w:r w:rsidR="00CD5EC2">
        <w:rPr>
          <w:i/>
          <w:lang w:val="it-IT"/>
        </w:rPr>
        <w:t>Z</w:t>
      </w:r>
      <w:r w:rsidR="00CD5EC2" w:rsidRPr="00CD5EC2">
        <w:rPr>
          <w:i/>
          <w:lang w:val="it-IT"/>
        </w:rPr>
        <w:t>b</w:t>
      </w:r>
      <w:r w:rsidR="00CD5EC2">
        <w:rPr>
          <w:lang w:val="it-IT"/>
        </w:rPr>
        <w:t>(</w:t>
      </w:r>
      <w:r w:rsidR="00CD5EC2">
        <w:rPr>
          <w:i/>
          <w:lang w:val="it-IT"/>
        </w:rPr>
        <w:t>O</w:t>
      </w:r>
      <w:r w:rsidR="00CD5EC2">
        <w:rPr>
          <w:i/>
          <w:vertAlign w:val="subscript"/>
          <w:lang w:val="it-IT"/>
        </w:rPr>
        <w:t>j</w:t>
      </w:r>
      <w:r w:rsidR="00CD5EC2">
        <w:rPr>
          <w:lang w:val="it-IT"/>
        </w:rPr>
        <w:t>(</w:t>
      </w:r>
      <w:r w:rsidR="00CD5EC2">
        <w:rPr>
          <w:i/>
          <w:lang w:val="it-IT"/>
        </w:rPr>
        <w:t>S</w:t>
      </w:r>
      <w:r w:rsidR="00CD5EC2" w:rsidRPr="002F7ACD">
        <w:rPr>
          <w:i/>
          <w:vertAlign w:val="subscript"/>
          <w:lang w:val="it-IT"/>
        </w:rPr>
        <w:t>i</w:t>
      </w:r>
      <w:r w:rsidR="00CD5EC2">
        <w:rPr>
          <w:lang w:val="it-IT"/>
        </w:rPr>
        <w:t>))</w:t>
      </w:r>
      <w:r w:rsidR="00BC6524">
        <w:rPr>
          <w:lang w:val="it-IT"/>
        </w:rPr>
        <w:t>.</w:t>
      </w:r>
    </w:p>
    <w:p w:rsidR="00B23A79" w:rsidRPr="004C6E22" w:rsidRDefault="00B23A79" w:rsidP="009B205F">
      <w:pPr>
        <w:pStyle w:val="Zwischenberschrift"/>
      </w:pPr>
      <w:r w:rsidRPr="004C6E22">
        <w:t>Die Funktion Auswahl</w:t>
      </w:r>
    </w:p>
    <w:p w:rsidR="00B23A79" w:rsidRDefault="00B23A79" w:rsidP="009B205F">
      <w:pPr>
        <w:pStyle w:val="Text"/>
        <w:ind w:firstLine="0"/>
      </w:pPr>
      <w:r>
        <w:t xml:space="preserve">Die Funktion </w:t>
      </w:r>
      <w:r w:rsidRPr="003F15BF">
        <w:rPr>
          <w:i/>
        </w:rPr>
        <w:t>Auswahl</w:t>
      </w:r>
      <w:r>
        <w:t xml:space="preserve"> wählt aus einer Menge von Elementen, die ihr als Param</w:t>
      </w:r>
      <w:r>
        <w:t>e</w:t>
      </w:r>
      <w:r>
        <w:t>ter übergeben wird, ein Element aus.</w:t>
      </w:r>
    </w:p>
    <w:p w:rsidR="00E0760C" w:rsidRPr="00E0760C" w:rsidRDefault="007D5477" w:rsidP="009B205F">
      <w:pPr>
        <w:pStyle w:val="Zwischenberschrift"/>
      </w:pPr>
      <w:r>
        <w:lastRenderedPageBreak/>
        <w:t>Die Funktion Stil_bereitstellen</w:t>
      </w:r>
    </w:p>
    <w:p w:rsidR="00E0760C" w:rsidRDefault="001A73F5" w:rsidP="009B205F">
      <w:pPr>
        <w:pStyle w:val="Text"/>
        <w:ind w:firstLine="0"/>
      </w:pPr>
      <w:r>
        <w:t xml:space="preserve">Siehe Abschnitt </w:t>
      </w:r>
      <w:r w:rsidR="005D7996">
        <w:fldChar w:fldCharType="begin"/>
      </w:r>
      <w:r>
        <w:instrText xml:space="preserve"> REF _Ref261443581 \r \h </w:instrText>
      </w:r>
      <w:r w:rsidR="005D7996">
        <w:fldChar w:fldCharType="separate"/>
      </w:r>
      <w:r w:rsidR="001231D3">
        <w:t>7.3.1</w:t>
      </w:r>
      <w:r w:rsidR="005D7996">
        <w:fldChar w:fldCharType="end"/>
      </w:r>
      <w:r>
        <w:t xml:space="preserve">. – </w:t>
      </w:r>
      <w:r w:rsidR="00E0760C">
        <w:t xml:space="preserve">Diese Funktion liefert die Menge von Merkmalsregeln </w:t>
      </w:r>
      <w:r w:rsidR="00E0760C" w:rsidRPr="00E0760C">
        <w:rPr>
          <w:i/>
        </w:rPr>
        <w:t>B</w:t>
      </w:r>
      <w:r w:rsidR="00E0760C">
        <w:t>, die in die Realisierung eingeschrieben werden. Da sie den Interpretationspr</w:t>
      </w:r>
      <w:r w:rsidR="00E0760C">
        <w:t>o</w:t>
      </w:r>
      <w:r w:rsidR="00E0760C">
        <w:t xml:space="preserve">zess aufrufen kann, stellt sie auf der </w:t>
      </w:r>
      <w:r w:rsidR="00817459">
        <w:t xml:space="preserve">Anwenderseite </w:t>
      </w:r>
      <w:r w:rsidR="00E0760C">
        <w:t xml:space="preserve">die Verbindung zwischen Merkmals- und Interpretationsprozess her. </w:t>
      </w:r>
      <w:r w:rsidR="00217F7D">
        <w:t xml:space="preserve">Wir verschieben ihre Darstellung daher in den Abschnitt zum </w:t>
      </w:r>
      <w:r w:rsidR="002473EA">
        <w:t>Anwenden</w:t>
      </w:r>
      <w:r w:rsidR="00217F7D">
        <w:t xml:space="preserve"> und </w:t>
      </w:r>
      <w:r w:rsidR="00BE695D">
        <w:t xml:space="preserve">Wahrnehmen </w:t>
      </w:r>
      <w:r w:rsidR="00217F7D">
        <w:t xml:space="preserve">von Stilen, der </w:t>
      </w:r>
      <w:r>
        <w:t xml:space="preserve">den gemeinsamen Rahmen für </w:t>
      </w:r>
      <w:r w:rsidR="00217F7D">
        <w:t xml:space="preserve">Merkmalsprozess und Interpretationsprozess </w:t>
      </w:r>
      <w:r>
        <w:t>da</w:t>
      </w:r>
      <w:r>
        <w:t>r</w:t>
      </w:r>
      <w:r>
        <w:t>stellt.</w:t>
      </w:r>
    </w:p>
    <w:p w:rsidR="00086125" w:rsidRDefault="007B0A29" w:rsidP="009B205F">
      <w:pPr>
        <w:pStyle w:val="Text"/>
        <w:spacing w:before="240"/>
        <w:ind w:firstLine="0"/>
      </w:pPr>
      <w:r>
        <w:t>Es könnte eingewandt werden, dass hier die stilistische Auswahl auf die Auswahl des Schemas und der Schemaorte folgt, sie in der Realität aber auch selbst au</w:t>
      </w:r>
      <w:r>
        <w:t>s</w:t>
      </w:r>
      <w:r>
        <w:t>schlaggebend sein könne, etwa wenn eine berühmte Architektin die Aufträge aussucht, bei denen ihre stilistischen Merkmale umgesetzt werden können, be</w:t>
      </w:r>
      <w:r>
        <w:t>i</w:t>
      </w:r>
      <w:r>
        <w:t>spielsweise gezielt Fabrikgebäude baut, weil diese die Ausbildung der Merkmale aus funktionalen Gründen zulassen, Einfamilienhäuser aber ablehnt, bei denen die Funktion die Ausprägung der Merkmale nicht zulässt.</w:t>
      </w:r>
    </w:p>
    <w:p w:rsidR="003B2734" w:rsidRDefault="007B0A29">
      <w:pPr>
        <w:pStyle w:val="Text"/>
      </w:pPr>
      <w:r>
        <w:t xml:space="preserve">Ein solches ‚Primat des Stils‘ ließe sich, wäre es sehr stark ausgeprägt, durch eine Umkehrung der Schritte der Schemaausführung ausdrücken. Es könnte zunächst ein Stil gewählt werden, wodurch schon feststehen würde, welches Schema auszuführen ist (es müsste dann nur noch eine geeignete Gelegenheit gefunden werden, wie etwa ein Auftrag </w:t>
      </w:r>
      <w:r w:rsidR="00086125">
        <w:t>für eine Fabrik für die erwähnte Arch</w:t>
      </w:r>
      <w:r w:rsidR="00086125">
        <w:t>i</w:t>
      </w:r>
      <w:r w:rsidR="00086125">
        <w:t xml:space="preserve">tektin). Auch der Schritt (2) könnte nach der stilistischen Auswahl erfolgen; nun würden </w:t>
      </w:r>
      <w:r w:rsidR="00721558">
        <w:t>Alter</w:t>
      </w:r>
      <w:r w:rsidR="00721558">
        <w:softHyphen/>
        <w:t>nativen</w:t>
      </w:r>
      <w:r w:rsidR="00721558">
        <w:softHyphen/>
        <w:t>klasse</w:t>
      </w:r>
      <w:r w:rsidR="00086125">
        <w:t xml:space="preserve">n mit Hilfe der stilistischen Auswahl gebildet, aus denen dann nach funktionalen </w:t>
      </w:r>
      <w:r w:rsidR="003B2734">
        <w:t xml:space="preserve">Kriterien </w:t>
      </w:r>
      <w:r w:rsidR="00086125">
        <w:t xml:space="preserve">ausgewählt werden könnte, </w:t>
      </w:r>
      <w:r w:rsidR="003B2734">
        <w:t xml:space="preserve">so dass die Anforderungen des Stils in jedem Fall erfüllt werden, wähend die funktionalen Bedingungen nur </w:t>
      </w:r>
      <w:r w:rsidR="00F601BB">
        <w:t>in den dadurch gesetzten Grenzen erfüllt werden könnten</w:t>
      </w:r>
      <w:r w:rsidR="003B2734">
        <w:t>.</w:t>
      </w:r>
    </w:p>
    <w:p w:rsidR="00086125" w:rsidRDefault="00086125">
      <w:pPr>
        <w:pStyle w:val="Text"/>
      </w:pPr>
      <w:r>
        <w:t>Eine solche Darstellung ist möglich; hier wird sie nicht gewählt, weil sie nicht den Regelfall darstellt und weil auch mit der obenstehenden Reihenfolge der Schritte eine Berücksichtigung der Einschre</w:t>
      </w:r>
      <w:r w:rsidR="00B81405">
        <w:t>ibbarkeit des Stils möglich ist.</w:t>
      </w:r>
      <w:r>
        <w:t xml:space="preserve"> </w:t>
      </w:r>
      <w:r w:rsidR="00985F0A">
        <w:t xml:space="preserve">Dazu kann </w:t>
      </w:r>
      <w:r>
        <w:t xml:space="preserve">angenommen werden, dass die Schemaausführung soweit simuliert oder </w:t>
      </w:r>
      <w:r w:rsidR="00985F0A">
        <w:t xml:space="preserve">probeweise durchgeführt </w:t>
      </w:r>
      <w:r>
        <w:t xml:space="preserve">wird, wie es erforderlich ist, um festzustellen, ob eine für den </w:t>
      </w:r>
      <w:r w:rsidR="0085753F">
        <w:t>Stilanwender</w:t>
      </w:r>
      <w:r>
        <w:t xml:space="preserve"> zufriedenstellende Einschreibung des Stils möglich ist. Ist sie es nicht, </w:t>
      </w:r>
      <w:r w:rsidR="00985F0A">
        <w:t xml:space="preserve">wird </w:t>
      </w:r>
      <w:r>
        <w:t xml:space="preserve">ein anderes Schema gewählt. Von vornherein würden bei der Wahl des Schemas (Schritt 1) und der Festlegung der Anordnung von </w:t>
      </w:r>
      <w:r w:rsidR="00721558">
        <w:t>Alter</w:t>
      </w:r>
      <w:r w:rsidR="00721558">
        <w:softHyphen/>
        <w:t>nativen</w:t>
      </w:r>
      <w:r w:rsidR="00721558">
        <w:softHyphen/>
        <w:t>klasse</w:t>
      </w:r>
      <w:r>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t xml:space="preserve"> (Schritt 2) Erfahrungen bezüglich der Einschreibbarkeit des a</w:t>
      </w:r>
      <w:r>
        <w:t>n</w:t>
      </w:r>
      <w:r>
        <w:t>gestrebten Stils berücksichtigt. Diese Lösung ermöglicht es, ein einheitliches Modell für den Ablauf der Schemaausführung anzunehmen.</w:t>
      </w:r>
      <w:bookmarkEnd w:id="236"/>
    </w:p>
    <w:p w:rsidR="00D2554C" w:rsidRDefault="00765E66">
      <w:pPr>
        <w:pStyle w:val="Titel2"/>
      </w:pPr>
      <w:bookmarkStart w:id="239" w:name="_Ref212124499"/>
      <w:bookmarkStart w:id="240" w:name="_Toc325456742"/>
      <w:bookmarkStart w:id="241" w:name="Merkmalsregel2"/>
      <w:r>
        <w:t>Merkmalsregel</w:t>
      </w:r>
      <w:r w:rsidR="00D2554C">
        <w:t>n</w:t>
      </w:r>
      <w:bookmarkEnd w:id="239"/>
      <w:bookmarkEnd w:id="240"/>
    </w:p>
    <w:p w:rsidR="00D2554C" w:rsidRDefault="005D7996" w:rsidP="00FB00F1">
      <w:pPr>
        <w:pStyle w:val="Text"/>
        <w:ind w:firstLine="0"/>
      </w:pPr>
      <w:r>
        <w:fldChar w:fldCharType="begin"/>
      </w:r>
      <w:r w:rsidR="00520FF4">
        <w:instrText xml:space="preserve"> XE "</w:instrText>
      </w:r>
      <w:r w:rsidR="00520FF4" w:rsidRPr="00D35BFB">
        <w:instrText>Merkmalsregel</w:instrText>
      </w:r>
      <w:r w:rsidR="00520FF4">
        <w:instrText xml:space="preserve">" \r "Merkmalsregel2" </w:instrText>
      </w:r>
      <w:r>
        <w:fldChar w:fldCharType="end"/>
      </w:r>
      <w:r w:rsidR="00765E66">
        <w:t>Merkmalsregel</w:t>
      </w:r>
      <w:r w:rsidR="00D2554C">
        <w:t>n bilden gewissermaßen das Herzstück der hier vorgestellten Theorie. Ein Stil, so die Grundannahme, besteht aus bestimmten Regelmäßig</w:t>
      </w:r>
      <w:r w:rsidR="00836ABA">
        <w:softHyphen/>
      </w:r>
      <w:r w:rsidR="00D2554C">
        <w:lastRenderedPageBreak/>
        <w:t xml:space="preserve">keiten der bei der </w:t>
      </w:r>
      <w:r w:rsidR="00834C46">
        <w:t>Schemaausführung</w:t>
      </w:r>
      <w:r w:rsidR="00D2554C">
        <w:t xml:space="preserve"> </w:t>
      </w:r>
      <w:r w:rsidR="00A727B5">
        <w:t xml:space="preserve">stattfindenden </w:t>
      </w:r>
      <w:r w:rsidR="00D2554C">
        <w:t>Auswahl, die aus dem Au</w:t>
      </w:r>
      <w:r w:rsidR="00D2554C">
        <w:t>s</w:t>
      </w:r>
      <w:r w:rsidR="00D2554C">
        <w:t>wahlergebnis (der Realisierung) ganz oder teilweise erschließbar sind. Diese R</w:t>
      </w:r>
      <w:r w:rsidR="00D2554C">
        <w:t>e</w:t>
      </w:r>
      <w:r w:rsidR="00D2554C">
        <w:t xml:space="preserve">gelmäßigkeiten bilden also den </w:t>
      </w:r>
      <w:r w:rsidR="00205E1C">
        <w:t>Zeicheni</w:t>
      </w:r>
      <w:r w:rsidR="00D2554C">
        <w:t>nhalt des stilistischen Zeichens</w:t>
      </w:r>
      <w:r>
        <w:fldChar w:fldCharType="begin"/>
      </w:r>
      <w:r w:rsidR="00534F7E">
        <w:instrText xml:space="preserve"> XE "</w:instrText>
      </w:r>
      <w:r w:rsidR="00534F7E" w:rsidRPr="005261FC">
        <w:rPr>
          <w:szCs w:val="17"/>
        </w:rPr>
        <w:instrText>stilistisches Zeichen</w:instrText>
      </w:r>
      <w:r w:rsidR="00534F7E">
        <w:instrText xml:space="preserve">" </w:instrText>
      </w:r>
      <w:r>
        <w:fldChar w:fldCharType="end"/>
      </w:r>
      <w:r w:rsidR="00D2554C">
        <w:t>, während die in der Realisierung durch sie erzeugten Wirkungen – die Spuren ihrer A</w:t>
      </w:r>
      <w:r w:rsidR="00D2554C">
        <w:t>n</w:t>
      </w:r>
      <w:r w:rsidR="00D2554C">
        <w:t>wendung – der Zeichenträger des stilistischen Zeichens sind. Diese Regelmäßig</w:t>
      </w:r>
      <w:r w:rsidR="00675444">
        <w:softHyphen/>
      </w:r>
      <w:r w:rsidR="00D2554C">
        <w:t xml:space="preserve">keiten werden in der vorgestellten Theorie </w:t>
      </w:r>
      <w:r w:rsidR="0067240C">
        <w:t>als „</w:t>
      </w:r>
      <w:r w:rsidR="00765E66">
        <w:t>Merkmalsregel</w:t>
      </w:r>
      <w:r w:rsidR="0067240C">
        <w:t xml:space="preserve">n“ </w:t>
      </w:r>
      <w:r w:rsidR="00990052">
        <w:t xml:space="preserve">und </w:t>
      </w:r>
      <w:r w:rsidR="0067240C">
        <w:t xml:space="preserve">die Spuren ihrer Anwendung in der Realisierung </w:t>
      </w:r>
      <w:r w:rsidR="00990052">
        <w:t xml:space="preserve">als </w:t>
      </w:r>
      <w:r w:rsidR="0067240C">
        <w:t xml:space="preserve">„stilistische Merkmale“ </w:t>
      </w:r>
      <w:r w:rsidR="00990052">
        <w:t xml:space="preserve">beschrieben </w:t>
      </w:r>
      <w:r w:rsidR="0067240C">
        <w:t xml:space="preserve">(vgl. Abschnitt </w:t>
      </w:r>
      <w:r>
        <w:fldChar w:fldCharType="begin"/>
      </w:r>
      <w:r w:rsidR="0067240C">
        <w:instrText xml:space="preserve"> REF _Ref274036201 \r \h </w:instrText>
      </w:r>
      <w:r>
        <w:fldChar w:fldCharType="separate"/>
      </w:r>
      <w:r w:rsidR="001231D3">
        <w:t>2.12</w:t>
      </w:r>
      <w:r>
        <w:fldChar w:fldCharType="end"/>
      </w:r>
      <w:r w:rsidR="0067240C">
        <w:t>).</w:t>
      </w:r>
    </w:p>
    <w:p w:rsidR="00D2554C" w:rsidRDefault="00D2554C">
      <w:pPr>
        <w:pStyle w:val="Text"/>
      </w:pPr>
      <w:r>
        <w:t xml:space="preserve">Warum werden die Regelmäßigkeiten gerade als </w:t>
      </w:r>
      <w:r w:rsidR="00765E66">
        <w:t>Merkmalsregel</w:t>
      </w:r>
      <w:r w:rsidR="00990052">
        <w:t>n form</w:t>
      </w:r>
      <w:r w:rsidR="00990052">
        <w:t>u</w:t>
      </w:r>
      <w:r w:rsidR="00990052">
        <w:t xml:space="preserve">liert? </w:t>
      </w:r>
      <w:r>
        <w:t xml:space="preserve">Die </w:t>
      </w:r>
      <w:r w:rsidR="00765E66">
        <w:t>Merkmalsregel</w:t>
      </w:r>
      <w:r>
        <w:t xml:space="preserve">n sind eine allgemeine Formulierung für die aus dem Zeichenträger ablesbaren Regelmäßigkeiten. Sie lassen sich in allgemeiner Form darstellen. Damit können dann </w:t>
      </w:r>
      <w:r w:rsidR="00A81787">
        <w:t>der Einschreibungs</w:t>
      </w:r>
      <w:r>
        <w:t xml:space="preserve">- und </w:t>
      </w:r>
      <w:r w:rsidR="00A81787">
        <w:t>der Auslese</w:t>
      </w:r>
      <w:r>
        <w:t xml:space="preserve">prozess präzise beschrieben werden. Die Annahme von </w:t>
      </w:r>
      <w:r w:rsidR="00765E66">
        <w:t>Merkmalsregel</w:t>
      </w:r>
      <w:r>
        <w:t>n</w:t>
      </w:r>
      <w:r w:rsidR="00582DD9">
        <w:t>, die gewisse</w:t>
      </w:r>
      <w:r w:rsidR="00582DD9">
        <w:t>r</w:t>
      </w:r>
      <w:r w:rsidR="00582DD9">
        <w:t>maßen</w:t>
      </w:r>
      <w:r>
        <w:t xml:space="preserve"> </w:t>
      </w:r>
      <w:r w:rsidR="00582DD9">
        <w:t xml:space="preserve">eine </w:t>
      </w:r>
      <w:r>
        <w:t xml:space="preserve">gemeinsame </w:t>
      </w:r>
      <w:r w:rsidR="00582DD9">
        <w:t>‚</w:t>
      </w:r>
      <w:r>
        <w:t>Zwischenebene</w:t>
      </w:r>
      <w:r w:rsidR="00582DD9">
        <w:t>‘ bilden</w:t>
      </w:r>
      <w:r>
        <w:t xml:space="preserve">, bevor sich </w:t>
      </w:r>
      <w:r w:rsidR="00990052">
        <w:t xml:space="preserve">die weitergehenden </w:t>
      </w:r>
      <w:r>
        <w:t xml:space="preserve">stilistischen </w:t>
      </w:r>
      <w:r w:rsidR="001F76C6">
        <w:t>Zeichenprozesse</w:t>
      </w:r>
      <w:r w:rsidR="00990052">
        <w:t xml:space="preserve"> </w:t>
      </w:r>
      <w:r>
        <w:t>in vielfältige Formen und Zusammenhänge auff</w:t>
      </w:r>
      <w:r>
        <w:t>ä</w:t>
      </w:r>
      <w:r>
        <w:t xml:space="preserve">chern (was hier </w:t>
      </w:r>
      <w:r w:rsidR="007E2844">
        <w:t xml:space="preserve">im Interpretationsprozess dargestellt </w:t>
      </w:r>
      <w:r>
        <w:t>wird</w:t>
      </w:r>
      <w:r w:rsidR="007E2844">
        <w:t>; vgl. Kapitel 6 und 7</w:t>
      </w:r>
      <w:r>
        <w:t xml:space="preserve">), ermöglicht somit die allgemeine Beschreibung des Stilprozesses. Da sich alle Stile in ihren wesentlichen Eigenschaften auf diese Art modellieren lassen, gibt es keinen Grund, den analytischen Vorteil der Annahme von </w:t>
      </w:r>
      <w:r w:rsidR="00765E66">
        <w:t>Merkmalsregel</w:t>
      </w:r>
      <w:r>
        <w:t>n nicht zu nutzen.</w:t>
      </w:r>
    </w:p>
    <w:p w:rsidR="00D2554C" w:rsidRDefault="00D2554C">
      <w:pPr>
        <w:pStyle w:val="Titel3"/>
      </w:pPr>
      <w:bookmarkStart w:id="242" w:name="_Ref211937722"/>
      <w:bookmarkStart w:id="243" w:name="_Toc325456743"/>
      <w:bookmarkStart w:id="244" w:name="Variablen"/>
      <w:bookmarkStart w:id="245" w:name="Priorisierung"/>
      <w:r>
        <w:t xml:space="preserve">Die Variablen der </w:t>
      </w:r>
      <w:r w:rsidR="00765E66">
        <w:t>Merkmalsregel</w:t>
      </w:r>
      <w:bookmarkEnd w:id="242"/>
      <w:bookmarkEnd w:id="243"/>
    </w:p>
    <w:p w:rsidR="00D2554C" w:rsidRDefault="00765E66" w:rsidP="00FB00F1">
      <w:pPr>
        <w:pStyle w:val="Text"/>
        <w:ind w:firstLine="0"/>
      </w:pPr>
      <w:r>
        <w:t>Merkmalsregel</w:t>
      </w:r>
      <w:r w:rsidR="00D2554C">
        <w:t>n werden dargestellt als eine Liste von Tripeln. Die erste und zweite Komponente des Tripels fordern Mengen, die dritte fordert eine Zahl zwischen 0 und 1.</w:t>
      </w:r>
    </w:p>
    <w:p w:rsidR="00D2554C" w:rsidRDefault="00D2554C">
      <w:pPr>
        <w:pStyle w:val="Text"/>
      </w:pPr>
      <w:r>
        <w:t xml:space="preserve">Jede </w:t>
      </w:r>
      <w:r w:rsidR="00765E66">
        <w:t>Merkmalsregel</w:t>
      </w:r>
      <w:r>
        <w:t xml:space="preserve"> enthält die folgenden Variablen:</w:t>
      </w:r>
    </w:p>
    <w:p w:rsidR="00D2554C" w:rsidRDefault="00D2554C" w:rsidP="00FB00F1">
      <w:pPr>
        <w:pStyle w:val="Formel"/>
        <w:ind w:hanging="397"/>
      </w:pPr>
      <w:r>
        <w:t>1.</w:t>
      </w:r>
      <w:r>
        <w:tab/>
        <w:t xml:space="preserve">Die </w:t>
      </w:r>
      <w:r w:rsidR="005F647E">
        <w:t>Anwendungsbedingung</w:t>
      </w:r>
      <w:r>
        <w:t xml:space="preserve">en </w:t>
      </w:r>
      <w:r>
        <w:rPr>
          <w:i/>
          <w:iCs/>
        </w:rPr>
        <w:t>U</w:t>
      </w:r>
      <w:bookmarkStart w:id="246" w:name="_Ref212129911"/>
      <w:r>
        <w:t>;</w:t>
      </w:r>
    </w:p>
    <w:p w:rsidR="00D2554C" w:rsidRDefault="00D2554C" w:rsidP="00FB00F1">
      <w:pPr>
        <w:pStyle w:val="Formel"/>
        <w:ind w:hanging="397"/>
      </w:pPr>
      <w:r>
        <w:t>2.</w:t>
      </w:r>
      <w:r>
        <w:tab/>
        <w:t xml:space="preserve">die verlangten Eigenschaften </w:t>
      </w:r>
      <w:r>
        <w:rPr>
          <w:i/>
          <w:iCs/>
        </w:rPr>
        <w:t>V</w:t>
      </w:r>
      <w:r>
        <w:t>;</w:t>
      </w:r>
    </w:p>
    <w:p w:rsidR="00D2554C" w:rsidRDefault="00D2554C" w:rsidP="00FB00F1">
      <w:pPr>
        <w:pStyle w:val="Formel"/>
        <w:ind w:hanging="397"/>
      </w:pPr>
      <w:r>
        <w:t>3.</w:t>
      </w:r>
      <w:r>
        <w:tab/>
        <w:t xml:space="preserve">die </w:t>
      </w:r>
      <w:r w:rsidRPr="00FB00F1">
        <w:t>Anwendungswahrscheinlichkeit</w:t>
      </w:r>
      <w:r>
        <w:t xml:space="preserve"> </w:t>
      </w:r>
      <w:r w:rsidR="00EB6B55">
        <w:rPr>
          <w:i/>
          <w:iCs/>
        </w:rPr>
        <w:t>w</w:t>
      </w:r>
      <w:r>
        <w:t>.</w:t>
      </w:r>
    </w:p>
    <w:p w:rsidR="00D2554C" w:rsidRDefault="00D2554C" w:rsidP="00FB00F1">
      <w:pPr>
        <w:pStyle w:val="Text"/>
        <w:ind w:firstLine="0"/>
      </w:pPr>
      <w:r>
        <w:t xml:space="preserve">Die gewählte Darstellung der </w:t>
      </w:r>
      <w:r w:rsidR="00765E66">
        <w:t>Merkmalsregel</w:t>
      </w:r>
      <w:r>
        <w:t>n liefert uns jedoch noch eine vierte Variable. Diese ist nicht in der Tripel-Variable enthalten, sondern wird über ihre Benennung geliefert:</w:t>
      </w:r>
    </w:p>
    <w:p w:rsidR="00D2554C" w:rsidRDefault="00D2554C" w:rsidP="00FB00F1">
      <w:pPr>
        <w:pStyle w:val="Formel"/>
        <w:ind w:hanging="397"/>
      </w:pPr>
      <w:r>
        <w:t>4.</w:t>
      </w:r>
      <w:r>
        <w:tab/>
        <w:t xml:space="preserve">Die Priorisierung der </w:t>
      </w:r>
      <w:r w:rsidR="00765E66">
        <w:t>Merkmalsregel</w:t>
      </w:r>
      <w:r>
        <w:t>n</w:t>
      </w:r>
      <w:r w:rsidR="00EB6B55">
        <w:t xml:space="preserve"> </w:t>
      </w:r>
      <w:r w:rsidR="00EB6B55" w:rsidRPr="00EB6B55">
        <w:rPr>
          <w:i/>
        </w:rPr>
        <w:t>p</w:t>
      </w:r>
      <w:r>
        <w:t>.</w:t>
      </w:r>
      <w:bookmarkEnd w:id="246"/>
    </w:p>
    <w:p w:rsidR="00D2554C" w:rsidRDefault="00D2554C" w:rsidP="00FB00F1">
      <w:pPr>
        <w:pStyle w:val="Text"/>
        <w:ind w:firstLine="0"/>
      </w:pPr>
      <w:r>
        <w:t xml:space="preserve">Die allgemeine Form der </w:t>
      </w:r>
      <w:r w:rsidR="00765E66">
        <w:t>Merkmalsregel</w:t>
      </w:r>
      <w:r>
        <w:t xml:space="preserve"> lautet:</w:t>
      </w:r>
    </w:p>
    <w:p w:rsidR="00D2554C" w:rsidRDefault="005D7996" w:rsidP="00FB00F1">
      <w:pPr>
        <w:pStyle w:val="Formel"/>
        <w:tabs>
          <w:tab w:val="right" w:pos="6804"/>
        </w:tabs>
      </w:pP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rsidR="00FB00F1">
        <w:tab/>
      </w:r>
      <w:r w:rsidR="00D2554C">
        <w:t xml:space="preserve">= </w:t>
      </w:r>
      <w:r w:rsidR="00207F6E">
        <w:t>&lt;</w:t>
      </w:r>
      <w:r w:rsidR="00D2554C">
        <w:rPr>
          <w:i/>
          <w:iCs/>
        </w:rPr>
        <w:t>U</w:t>
      </w:r>
      <w:r w:rsidR="004C0DA0">
        <w:t xml:space="preserve">, </w:t>
      </w:r>
      <w:r w:rsidR="004C0DA0" w:rsidRPr="004C0DA0">
        <w:rPr>
          <w:i/>
        </w:rPr>
        <w:t>V</w:t>
      </w:r>
      <w:r w:rsidR="004C0DA0">
        <w:t>,</w:t>
      </w:r>
      <w:r w:rsidR="00D2554C">
        <w:t xml:space="preserve"> </w:t>
      </w:r>
      <w:r w:rsidR="00D2554C">
        <w:rPr>
          <w:i/>
          <w:iCs/>
        </w:rPr>
        <w:t>w</w:t>
      </w:r>
      <w:r w:rsidR="00D2554C">
        <w:t>&gt;</w:t>
      </w:r>
      <w:r w:rsidR="00FB00F1">
        <w:tab/>
      </w:r>
      <w:r w:rsidR="00D2554C">
        <w:t xml:space="preserve">mit </w:t>
      </w:r>
      <w:r w:rsidR="00D2554C">
        <w:rPr>
          <w:i/>
          <w:iCs/>
        </w:rPr>
        <w:t>U</w:t>
      </w:r>
      <w:r w:rsidR="00D2554C">
        <w:t xml:space="preserve"> </w:t>
      </w:r>
      <w:r w:rsidR="00182FB7" w:rsidRPr="00182FB7">
        <w:rPr>
          <w:rFonts w:ascii="Cambria Math" w:eastAsia="Arial Unicode MS" w:hAnsi="Cambria Math" w:cs="Arial Unicode MS"/>
        </w:rPr>
        <w:t>∩</w:t>
      </w:r>
      <w:r w:rsidR="00D2554C">
        <w:t xml:space="preserve"> </w:t>
      </w:r>
      <w:r w:rsidR="00D2554C">
        <w:rPr>
          <w:i/>
          <w:iCs/>
        </w:rPr>
        <w:t>V</w:t>
      </w:r>
      <w:r w:rsidR="00D2554C">
        <w:t xml:space="preserve"> </w:t>
      </w:r>
      <w:r w:rsidR="00D2554C">
        <w:rPr>
          <w:rFonts w:cs="Times New Roman"/>
        </w:rPr>
        <w:t>=</w:t>
      </w:r>
      <w:r w:rsidR="00D2554C">
        <w:t xml:space="preserve"> </w:t>
      </w:r>
      <w:r w:rsidR="00D2554C" w:rsidRPr="007F4805">
        <w:rPr>
          <w:position w:val="-6"/>
        </w:rPr>
        <w:object w:dxaOrig="260" w:dyaOrig="279">
          <v:shape id="_x0000_i1027" type="#_x0000_t75" style="width:14pt;height:13.6pt" o:ole="">
            <v:imagedata r:id="rId27" o:title=""/>
          </v:shape>
          <o:OLEObject Type="Embed" ProgID="Equation.3" ShapeID="_x0000_i1027" DrawAspect="Content" ObjectID="_1460983868" r:id="rId28"/>
        </w:object>
      </w:r>
      <w:r w:rsidR="00D2554C">
        <w:t xml:space="preserve">, </w:t>
      </w:r>
      <w:r w:rsidR="00D2554C">
        <w:rPr>
          <w:i/>
          <w:iCs/>
        </w:rPr>
        <w:t>V</w:t>
      </w:r>
      <w:r w:rsidR="00D2554C">
        <w:t xml:space="preserve"> </w:t>
      </w:r>
      <w:r w:rsidR="00D2554C">
        <w:rPr>
          <w:rFonts w:cs="Times New Roman"/>
        </w:rPr>
        <w:t>≠</w:t>
      </w:r>
      <w:r w:rsidR="00D2554C">
        <w:t xml:space="preserve"> </w:t>
      </w:r>
      <w:r w:rsidR="00D2554C" w:rsidRPr="007F4805">
        <w:rPr>
          <w:position w:val="-6"/>
        </w:rPr>
        <w:object w:dxaOrig="260" w:dyaOrig="279">
          <v:shape id="_x0000_i1028" type="#_x0000_t75" style="width:14pt;height:13.6pt" o:ole="">
            <v:imagedata r:id="rId27" o:title=""/>
          </v:shape>
          <o:OLEObject Type="Embed" ProgID="Equation.3" ShapeID="_x0000_i1028" DrawAspect="Content" ObjectID="_1460983869" r:id="rId29"/>
        </w:object>
      </w:r>
      <w:r w:rsidR="00C5078A">
        <w:t>,</w:t>
      </w:r>
      <w:r w:rsidR="00C5078A" w:rsidRPr="00C5078A">
        <w:rPr>
          <w:rFonts w:cs="Times New Roman"/>
          <w:i/>
        </w:rPr>
        <w:t xml:space="preserve"> </w:t>
      </w:r>
      <w:r w:rsidR="00C5078A">
        <w:rPr>
          <w:rFonts w:cs="Times New Roman"/>
          <w:i/>
        </w:rPr>
        <w:t>x</w:t>
      </w:r>
      <w:r w:rsidR="00C5078A">
        <w:rPr>
          <w:rFonts w:cs="Times New Roman"/>
        </w:rPr>
        <w:t> </w:t>
      </w:r>
      <w:r w:rsidR="00FB6F6E">
        <w:rPr>
          <w:rFonts w:cs="Times New Roman"/>
          <w:iCs/>
        </w:rPr>
        <w:t>&gt;</w:t>
      </w:r>
      <w:r w:rsidR="00C5078A">
        <w:rPr>
          <w:rFonts w:cs="Times New Roman"/>
        </w:rPr>
        <w:t> </w:t>
      </w:r>
      <w:r w:rsidR="00FB6F6E">
        <w:rPr>
          <w:rFonts w:cs="Times New Roman"/>
        </w:rPr>
        <w:t>0</w:t>
      </w:r>
      <w:r w:rsidR="00C5078A">
        <w:t>,</w:t>
      </w:r>
      <w:r w:rsidR="00C5078A" w:rsidRPr="00C5078A">
        <w:rPr>
          <w:rFonts w:cs="Times New Roman"/>
          <w:i/>
        </w:rPr>
        <w:t xml:space="preserve"> </w:t>
      </w:r>
      <w:r w:rsidR="00C5078A">
        <w:rPr>
          <w:rFonts w:cs="Times New Roman"/>
          <w:i/>
        </w:rPr>
        <w:t>y</w:t>
      </w:r>
      <w:r w:rsidR="00C5078A">
        <w:rPr>
          <w:rFonts w:cs="Times New Roman"/>
        </w:rPr>
        <w:t> </w:t>
      </w:r>
      <w:r w:rsidR="00FB6F6E">
        <w:rPr>
          <w:rFonts w:cs="Times New Roman"/>
          <w:iCs/>
        </w:rPr>
        <w:t>&gt;</w:t>
      </w:r>
      <w:r w:rsidR="00C5078A">
        <w:rPr>
          <w:rFonts w:cs="Times New Roman"/>
        </w:rPr>
        <w:t> </w:t>
      </w:r>
      <w:r w:rsidR="00FB6F6E">
        <w:rPr>
          <w:rFonts w:cs="Times New Roman"/>
        </w:rPr>
        <w:t>0</w:t>
      </w:r>
    </w:p>
    <w:p w:rsidR="00D2554C" w:rsidRDefault="00D2554C" w:rsidP="00FB00F1">
      <w:pPr>
        <w:pStyle w:val="Zwischenberschrift"/>
        <w:spacing w:before="360"/>
      </w:pPr>
      <w:r>
        <w:lastRenderedPageBreak/>
        <w:t>Definitio</w:t>
      </w:r>
      <w:r w:rsidR="00A00A83">
        <w:t>n und Erläuterung der Variablen</w:t>
      </w:r>
    </w:p>
    <w:p w:rsidR="00FB00F1" w:rsidRDefault="00FB00F1" w:rsidP="00FB00F1">
      <w:pPr>
        <w:pStyle w:val="Formel"/>
        <w:ind w:hanging="397"/>
      </w:pPr>
      <w:r>
        <w:t>1.</w:t>
      </w:r>
      <w:r>
        <w:tab/>
        <w:t>Anwendungsbedingungen</w:t>
      </w:r>
      <w:r w:rsidR="005D7996">
        <w:fldChar w:fldCharType="begin"/>
      </w:r>
      <w:r w:rsidR="00DD75B7">
        <w:instrText xml:space="preserve"> XE "</w:instrText>
      </w:r>
      <w:r w:rsidR="00DD75B7" w:rsidRPr="00643009">
        <w:instrText>Anwendungsbedingungen</w:instrText>
      </w:r>
      <w:r w:rsidR="00DD75B7">
        <w:instrText xml:space="preserve">" \r "Variablen" </w:instrText>
      </w:r>
      <w:r w:rsidR="005D7996">
        <w:fldChar w:fldCharType="end"/>
      </w:r>
      <w:r>
        <w:t xml:space="preserve"> </w:t>
      </w:r>
      <w:r>
        <w:rPr>
          <w:i/>
          <w:iCs/>
        </w:rPr>
        <w:t>U</w:t>
      </w:r>
      <w:r>
        <w:t>:</w:t>
      </w:r>
    </w:p>
    <w:p w:rsidR="004B611F" w:rsidRPr="002470E6" w:rsidRDefault="00CB5EE7" w:rsidP="00FB00F1">
      <w:pPr>
        <w:pStyle w:val="Formel"/>
        <w:tabs>
          <w:tab w:val="right" w:pos="6804"/>
        </w:tabs>
        <w:rPr>
          <w:position w:val="-6"/>
        </w:rPr>
      </w:pPr>
      <w:r w:rsidRPr="002470E6">
        <w:rPr>
          <w:i/>
          <w:iCs/>
        </w:rPr>
        <w:t>U</w:t>
      </w:r>
      <w:r w:rsidRPr="002470E6">
        <w:t xml:space="preserve"> := </w:t>
      </w:r>
      <w:r>
        <w:rPr>
          <w:i/>
          <w:iCs/>
        </w:rPr>
        <w:t>Ob</w:t>
      </w:r>
      <w:r>
        <w:t>(</w:t>
      </w:r>
      <w:r>
        <w:rPr>
          <w:i/>
          <w:iCs/>
        </w:rPr>
        <w:t>O</w:t>
      </w:r>
      <w:r>
        <w:rPr>
          <w:i/>
          <w:vertAlign w:val="subscript"/>
        </w:rPr>
        <w:t>j</w:t>
      </w:r>
      <w:r>
        <w:t>(</w:t>
      </w:r>
      <w:r>
        <w:rPr>
          <w:i/>
          <w:iCs/>
        </w:rPr>
        <w:t>S</w:t>
      </w:r>
      <w:r>
        <w:rPr>
          <w:i/>
          <w:vertAlign w:val="subscript"/>
        </w:rPr>
        <w:t>i</w:t>
      </w:r>
      <w:r>
        <w:t>))</w:t>
      </w:r>
      <w:r>
        <w:rPr>
          <w:rFonts w:cs="Times New Roman"/>
        </w:rPr>
        <w:t xml:space="preserve"> </w:t>
      </w:r>
      <w:r w:rsidRPr="00E535E0">
        <w:rPr>
          <w:rFonts w:ascii="Cambria Math" w:eastAsia="Arial Unicode MS" w:hAnsi="Cambria Math" w:cs="Arial Unicode MS"/>
          <w:color w:val="000000" w:themeColor="text1"/>
        </w:rPr>
        <w:t>∪</w:t>
      </w:r>
      <w:r>
        <w:rPr>
          <w:rFonts w:eastAsia="Arial Unicode MS" w:cs="Times New Roman"/>
        </w:rPr>
        <w:t xml:space="preserve"> (</w:t>
      </w:r>
      <w:r>
        <w:rPr>
          <w:rFonts w:cs="Times New Roman"/>
          <w:i/>
        </w:rPr>
        <w:t>Z</w:t>
      </w:r>
      <w:r>
        <w:rPr>
          <w:rFonts w:cs="Times New Roman"/>
          <w:i/>
          <w:vertAlign w:val="subscript"/>
        </w:rPr>
        <w:t>W</w:t>
      </w:r>
      <w:r w:rsidRPr="00951A95">
        <w:rPr>
          <w:i/>
          <w:color w:val="000000" w:themeColor="text1"/>
        </w:rPr>
        <w:t xml:space="preserve"> </w:t>
      </w:r>
      <w:r w:rsidRPr="00E535E0">
        <w:rPr>
          <w:rFonts w:ascii="Cambria Math" w:eastAsia="Arial Unicode MS" w:hAnsi="Cambria Math" w:cs="Times New Roman"/>
        </w:rPr>
        <w:t>⊆</w:t>
      </w:r>
      <w:r>
        <w:rPr>
          <w:rFonts w:eastAsia="Arial Unicode MS" w:cs="Times New Roman"/>
        </w:rPr>
        <w:t xml:space="preserve"> </w:t>
      </w:r>
      <w:r>
        <w:rPr>
          <w:i/>
          <w:iCs/>
        </w:rPr>
        <w:t>Zb</w:t>
      </w:r>
      <w:r>
        <w:t>(</w:t>
      </w:r>
      <w:r>
        <w:rPr>
          <w:i/>
          <w:iCs/>
        </w:rPr>
        <w:t>Z</w:t>
      </w:r>
      <w:r>
        <w:rPr>
          <w:i/>
          <w:vertAlign w:val="subscript"/>
        </w:rPr>
        <w:t>j</w:t>
      </w:r>
      <w:r>
        <w:t>(</w:t>
      </w:r>
      <w:r>
        <w:rPr>
          <w:i/>
          <w:iCs/>
        </w:rPr>
        <w:t>S</w:t>
      </w:r>
      <w:r>
        <w:rPr>
          <w:i/>
          <w:vertAlign w:val="subscript"/>
        </w:rPr>
        <w:t>i</w:t>
      </w:r>
      <w:r>
        <w:t>)</w:t>
      </w:r>
      <w:r>
        <w:rPr>
          <w:rFonts w:cs="Times New Roman"/>
        </w:rPr>
        <w:t>))</w:t>
      </w:r>
      <w:r w:rsidR="00FB00F1">
        <w:br/>
      </w:r>
      <w:r w:rsidR="00FB00F1">
        <w:rPr>
          <w:position w:val="-6"/>
        </w:rPr>
        <w:tab/>
      </w:r>
      <w:r w:rsidRPr="0099086D">
        <w:rPr>
          <w:rFonts w:cs="Times New Roman"/>
        </w:rPr>
        <w:t>=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Pr="0089079B">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i/>
              </w:rPr>
              <m:t>m</m:t>
            </m:r>
          </m:sub>
          <m:sup>
            <m:sSub>
              <m:sSubPr>
                <m:ctrlPr>
                  <w:rPr>
                    <w:rFonts w:ascii="Cambria Math" w:hAnsi="Cambria Math" w:cs="Times New Roman"/>
                    <w:i/>
                  </w:rPr>
                </m:ctrlPr>
              </m:sSubPr>
              <m:e>
                <m:r>
                  <m:rPr>
                    <m:nor/>
                  </m:rPr>
                  <w:rPr>
                    <w:rFonts w:cs="Times New Roman"/>
                    <w:i/>
                  </w:rPr>
                  <m:t>O</m:t>
                </m:r>
              </m:e>
              <m:sub>
                <m:r>
                  <m:rPr>
                    <m:nor/>
                  </m:rPr>
                  <w:rPr>
                    <w:rFonts w:cs="Times New Roman"/>
                    <w:i/>
                  </w:rPr>
                  <m:t>i,j</m:t>
                </m:r>
              </m:sub>
            </m:sSub>
          </m:sup>
        </m:sSubSup>
      </m:oMath>
      <w:r w:rsidRPr="0099086D">
        <w:rPr>
          <w:rFonts w:cs="Times New Roman"/>
        </w:rPr>
        <w:t xml:space="preserve">,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rPr>
                  <m:t>1</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Pr="0099086D">
        <w:t xml:space="preserve">, …, </w:t>
      </w:r>
      <m:oMath>
        <m:sSubSup>
          <m:sSubSupPr>
            <m:ctrlPr>
              <w:rPr>
                <w:rFonts w:ascii="Cambria Math" w:hAnsi="Cambria Math" w:cs="Times New Roman"/>
                <w:i/>
              </w:rPr>
            </m:ctrlPr>
          </m:sSubSupPr>
          <m:e>
            <m:r>
              <m:rPr>
                <m:nor/>
              </m:rPr>
              <w:rPr>
                <w:rFonts w:cs="Times New Roman"/>
                <w:i/>
              </w:rPr>
              <m:t>E</m:t>
            </m:r>
          </m:e>
          <m:sub>
            <m:sSub>
              <m:sSubPr>
                <m:ctrlPr>
                  <w:rPr>
                    <w:rFonts w:ascii="Cambria Math" w:hAnsi="Cambria Math" w:cs="Times New Roman"/>
                  </w:rPr>
                </m:ctrlPr>
              </m:sSubPr>
              <m:e>
                <m:r>
                  <m:rPr>
                    <m:nor/>
                  </m:rPr>
                  <w:rPr>
                    <w:rFonts w:cs="Times New Roman"/>
                    <w:i/>
                  </w:rPr>
                  <m:t>k</m:t>
                </m:r>
              </m:e>
              <m:sub>
                <m:r>
                  <m:rPr>
                    <m:nor/>
                  </m:rPr>
                  <w:rPr>
                    <w:rFonts w:cs="Times New Roman"/>
                    <w:i/>
                  </w:rPr>
                  <m:t>s</m:t>
                </m:r>
              </m:sub>
            </m:sSub>
          </m:sub>
          <m:sup>
            <m:sSub>
              <m:sSubPr>
                <m:ctrlPr>
                  <w:rPr>
                    <w:rFonts w:ascii="Cambria Math" w:hAnsi="Cambria Math" w:cs="Times New Roman"/>
                    <w:i/>
                  </w:rPr>
                </m:ctrlPr>
              </m:sSubPr>
              <m:e>
                <m:r>
                  <m:rPr>
                    <m:nor/>
                  </m:rPr>
                  <w:rPr>
                    <w:rFonts w:cs="Times New Roman"/>
                    <w:i/>
                  </w:rPr>
                  <m:t>Z</m:t>
                </m:r>
              </m:e>
              <m:sub>
                <m:r>
                  <m:rPr>
                    <m:nor/>
                  </m:rPr>
                  <w:rPr>
                    <w:rFonts w:cs="Times New Roman"/>
                    <w:i/>
                  </w:rPr>
                  <m:t>i,j</m:t>
                </m:r>
              </m:sub>
            </m:sSub>
          </m:sup>
        </m:sSubSup>
      </m:oMath>
      <w:r w:rsidRPr="0099086D">
        <w:rPr>
          <w:rFonts w:cs="Times New Roman"/>
        </w:rPr>
        <w:t>}</w:t>
      </w:r>
      <w:r w:rsidR="00FB00F1">
        <w:tab/>
      </w:r>
      <w:r>
        <w:rPr>
          <w:rFonts w:cs="Times New Roman"/>
        </w:rPr>
        <w:t xml:space="preserve">mit </w:t>
      </w:r>
      <w:r>
        <w:rPr>
          <w:rFonts w:cs="Times New Roman"/>
          <w:i/>
        </w:rPr>
        <w:t>m</w:t>
      </w:r>
      <w:r>
        <w:rPr>
          <w:rFonts w:cs="Times New Roman"/>
        </w:rPr>
        <w:t> </w:t>
      </w:r>
      <w:r>
        <w:rPr>
          <w:rFonts w:cs="Times New Roman"/>
          <w:iCs/>
        </w:rPr>
        <w:t>&gt;</w:t>
      </w:r>
      <w:r>
        <w:rPr>
          <w:rFonts w:cs="Times New Roman"/>
        </w:rPr>
        <w:t> 0</w:t>
      </w:r>
      <w:r>
        <w:t>,</w:t>
      </w:r>
      <w:r w:rsidRPr="00C5078A">
        <w:rPr>
          <w:rFonts w:cs="Times New Roman"/>
          <w:i/>
        </w:rPr>
        <w:t xml:space="preserve"> </w:t>
      </w:r>
      <w:r>
        <w:rPr>
          <w:rFonts w:cs="Times New Roman"/>
          <w:i/>
        </w:rPr>
        <w:t>s</w:t>
      </w:r>
      <w:r>
        <w:rPr>
          <w:rFonts w:cs="Times New Roman"/>
        </w:rPr>
        <w:t> </w:t>
      </w:r>
      <w:r>
        <w:rPr>
          <w:rFonts w:cs="Times New Roman"/>
          <w:iCs/>
        </w:rPr>
        <w:t>≥</w:t>
      </w:r>
      <w:r>
        <w:rPr>
          <w:rFonts w:cs="Times New Roman"/>
        </w:rPr>
        <w:t> 0</w:t>
      </w:r>
    </w:p>
    <w:p w:rsidR="00D2554C" w:rsidRDefault="00D2554C" w:rsidP="00FB00F1">
      <w:pPr>
        <w:pStyle w:val="Text"/>
        <w:ind w:firstLine="0"/>
      </w:pPr>
      <w:r>
        <w:t xml:space="preserve">Die </w:t>
      </w:r>
      <w:r w:rsidR="005F647E">
        <w:t>Anwendungsbedingung</w:t>
      </w:r>
      <w:r>
        <w:t xml:space="preserve">en bestehen aus den </w:t>
      </w:r>
      <w:r w:rsidR="00AD2226">
        <w:t>Schemaort-d</w:t>
      </w:r>
      <w:r w:rsidR="00093896">
        <w:t>efinierenden Eige</w:t>
      </w:r>
      <w:r w:rsidR="00093896">
        <w:t>n</w:t>
      </w:r>
      <w:r w:rsidR="00093896">
        <w:t xml:space="preserve">schaften </w:t>
      </w:r>
      <w:r w:rsidR="004F2C8E">
        <w:t>des</w:t>
      </w:r>
      <w:r>
        <w:t xml:space="preserve"> Schemaorts </w:t>
      </w:r>
      <w:r w:rsidR="008A14C6">
        <w:rPr>
          <w:i/>
          <w:iCs/>
        </w:rPr>
        <w:t>O</w:t>
      </w:r>
      <w:r w:rsidR="008A14C6">
        <w:rPr>
          <w:i/>
          <w:vertAlign w:val="subscript"/>
        </w:rPr>
        <w:t>j</w:t>
      </w:r>
      <w:r>
        <w:t xml:space="preserve"> des Schemas </w:t>
      </w:r>
      <w:r>
        <w:rPr>
          <w:i/>
          <w:iCs/>
        </w:rPr>
        <w:t>S</w:t>
      </w:r>
      <w:r>
        <w:rPr>
          <w:i/>
          <w:vertAlign w:val="subscript"/>
        </w:rPr>
        <w:t>i</w:t>
      </w:r>
      <w:r>
        <w:t xml:space="preserve"> und einer Menge </w:t>
      </w:r>
      <w:r w:rsidR="004B611F">
        <w:rPr>
          <w:i/>
          <w:iCs/>
        </w:rPr>
        <w:t>Z</w:t>
      </w:r>
      <w:r w:rsidR="00BA06C3">
        <w:rPr>
          <w:i/>
          <w:vertAlign w:val="subscript"/>
        </w:rPr>
        <w:t>W</w:t>
      </w:r>
      <w:r w:rsidR="004B611F">
        <w:t xml:space="preserve"> </w:t>
      </w:r>
      <w:r>
        <w:t>von Zusatzb</w:t>
      </w:r>
      <w:r>
        <w:t>e</w:t>
      </w:r>
      <w:r>
        <w:t>dingungen</w:t>
      </w:r>
      <w:r w:rsidR="00093896">
        <w:t>,</w:t>
      </w:r>
      <w:r>
        <w:t xml:space="preserve"> die eine Teilmenge der für diesen Schemaort möglichen Zusatzb</w:t>
      </w:r>
      <w:r>
        <w:t>e</w:t>
      </w:r>
      <w:r>
        <w:t xml:space="preserve">dingungen </w:t>
      </w:r>
      <w:r w:rsidR="008A14C6">
        <w:rPr>
          <w:i/>
          <w:iCs/>
        </w:rPr>
        <w:t>Z</w:t>
      </w:r>
      <w:r w:rsidR="008A14C6">
        <w:rPr>
          <w:i/>
          <w:vertAlign w:val="subscript"/>
        </w:rPr>
        <w:t>j</w:t>
      </w:r>
      <w:r>
        <w:t xml:space="preserve"> bildet. Natürlich ist auch die leere Menge eine solche Teilmenge – es müssen keine Zusatzbedingungen spezifiziert werden</w:t>
      </w:r>
      <w:r w:rsidR="00093896">
        <w:t xml:space="preserve"> (</w:t>
      </w:r>
      <w:r w:rsidR="00093896" w:rsidRPr="00093896">
        <w:rPr>
          <w:i/>
        </w:rPr>
        <w:t>s</w:t>
      </w:r>
      <w:r w:rsidR="00093896">
        <w:t xml:space="preserve"> = 0). Es können </w:t>
      </w:r>
      <w:r>
        <w:t>auch alle für diesen Schemaort möglichen Zu</w:t>
      </w:r>
      <w:r w:rsidR="002A539B">
        <w:t xml:space="preserve">satzbedingungen verlangt werden; dann gilt </w:t>
      </w:r>
      <w:r>
        <w:rPr>
          <w:i/>
          <w:iCs/>
        </w:rPr>
        <w:t>Z</w:t>
      </w:r>
      <w:r w:rsidR="00BA06C3">
        <w:rPr>
          <w:i/>
          <w:vertAlign w:val="subscript"/>
        </w:rPr>
        <w:t>W</w:t>
      </w:r>
      <w:r>
        <w:t xml:space="preserve"> =</w:t>
      </w:r>
      <w:r w:rsidR="000F0191">
        <w:t xml:space="preserve"> </w:t>
      </w:r>
      <w:r w:rsidR="002A539B">
        <w:rPr>
          <w:i/>
          <w:iCs/>
        </w:rPr>
        <w:t>Zb</w:t>
      </w:r>
      <w:r w:rsidR="002A539B">
        <w:t>(</w:t>
      </w:r>
      <w:r w:rsidR="002A539B">
        <w:rPr>
          <w:i/>
          <w:iCs/>
        </w:rPr>
        <w:t>Z</w:t>
      </w:r>
      <w:r w:rsidR="002A539B">
        <w:rPr>
          <w:i/>
          <w:vertAlign w:val="subscript"/>
        </w:rPr>
        <w:t>j</w:t>
      </w:r>
      <w:r w:rsidR="002A539B">
        <w:t>(</w:t>
      </w:r>
      <w:r w:rsidR="002A539B">
        <w:rPr>
          <w:i/>
          <w:iCs/>
        </w:rPr>
        <w:t>S</w:t>
      </w:r>
      <w:r w:rsidR="002A539B">
        <w:rPr>
          <w:i/>
          <w:vertAlign w:val="subscript"/>
        </w:rPr>
        <w:t>i</w:t>
      </w:r>
      <w:r w:rsidR="002A539B">
        <w:t>)</w:t>
      </w:r>
      <w:r w:rsidR="002A539B">
        <w:rPr>
          <w:rFonts w:cs="Times New Roman"/>
        </w:rPr>
        <w:t>))</w:t>
      </w:r>
      <w:r w:rsidR="00093896">
        <w:t>.</w:t>
      </w:r>
    </w:p>
    <w:p w:rsidR="00D2554C" w:rsidRDefault="00D2554C">
      <w:pPr>
        <w:pStyle w:val="Text"/>
      </w:pPr>
      <w:r>
        <w:t xml:space="preserve">Die Übereinstimmung der Definition der </w:t>
      </w:r>
      <w:r w:rsidR="005F647E">
        <w:t>Anwendungsbedingung</w:t>
      </w:r>
      <w:r>
        <w:t xml:space="preserve">en mit der Definition der Alternativenbedingungen, die zur Bildung von </w:t>
      </w:r>
      <w:r w:rsidR="00721558">
        <w:t>Alter</w:t>
      </w:r>
      <w:r w:rsidR="00721558">
        <w:softHyphen/>
        <w:t>nativen</w:t>
      </w:r>
      <w:r w:rsidR="00721558">
        <w:softHyphen/>
        <w:t>klasse</w:t>
      </w:r>
      <w:r>
        <w:t xml:space="preserve">n verwendet werden (vgl. Abschnitt </w:t>
      </w:r>
      <w:r w:rsidR="005D7996">
        <w:fldChar w:fldCharType="begin"/>
      </w:r>
      <w:r>
        <w:instrText xml:space="preserve"> REF _Ref212029118 \r \h </w:instrText>
      </w:r>
      <w:r w:rsidR="005D7996">
        <w:fldChar w:fldCharType="separate"/>
      </w:r>
      <w:r w:rsidR="001231D3">
        <w:t>4.4</w:t>
      </w:r>
      <w:r w:rsidR="005D7996">
        <w:fldChar w:fldCharType="end"/>
      </w:r>
      <w:r>
        <w:t xml:space="preserve">), ist offensichtlich. Sie ergibt sich aus der Funktion der </w:t>
      </w:r>
      <w:r w:rsidR="005F647E">
        <w:t>Anwendungsbedingung</w:t>
      </w:r>
      <w:r>
        <w:t xml:space="preserve">en: Nicht jede </w:t>
      </w:r>
      <w:r w:rsidR="00765E66">
        <w:t>Merkmalsregel</w:t>
      </w:r>
      <w:r>
        <w:t xml:space="preserve"> soll auf jede </w:t>
      </w:r>
      <w:r w:rsidR="00721558">
        <w:t>Alter</w:t>
      </w:r>
      <w:r w:rsidR="00721558">
        <w:softHyphen/>
        <w:t>nativen</w:t>
      </w:r>
      <w:r w:rsidR="00721558">
        <w:softHyphen/>
        <w:t>klasse</w:t>
      </w:r>
      <w:r>
        <w:t xml:space="preserve"> angewandt werden. Die </w:t>
      </w:r>
      <w:r w:rsidR="005F647E">
        <w:t>Anwendungsbedingung</w:t>
      </w:r>
      <w:r>
        <w:t>en können so verstanden werden, dass sie Alternativenbedingungen für eine allg</w:t>
      </w:r>
      <w:r>
        <w:t>e</w:t>
      </w:r>
      <w:r>
        <w:t xml:space="preserve">meine </w:t>
      </w:r>
      <w:r w:rsidR="00721558">
        <w:t>Alter</w:t>
      </w:r>
      <w:r w:rsidR="00721558">
        <w:softHyphen/>
        <w:t>nativen</w:t>
      </w:r>
      <w:r w:rsidR="00721558">
        <w:softHyphen/>
        <w:t>klasse</w:t>
      </w:r>
      <w:r w:rsidR="00B8568C">
        <w:t xml:space="preserve"> formulieren; auf diese (</w:t>
      </w:r>
      <w:r>
        <w:t xml:space="preserve">sowie auf </w:t>
      </w:r>
      <w:r w:rsidR="00B8568C">
        <w:t>spezieller definierte Klassen)</w:t>
      </w:r>
      <w:r w:rsidR="00B8568C">
        <w:rPr>
          <w:rStyle w:val="Funotenzeichen"/>
        </w:rPr>
        <w:footnoteReference w:id="366"/>
      </w:r>
      <w:r w:rsidR="00B8568C">
        <w:t xml:space="preserve"> </w:t>
      </w:r>
      <w:r>
        <w:t xml:space="preserve">wird dann die </w:t>
      </w:r>
      <w:r w:rsidR="00765E66">
        <w:t>Merkmalsregel</w:t>
      </w:r>
      <w:r>
        <w:t xml:space="preserve"> angewandt.</w:t>
      </w:r>
      <w:r>
        <w:rPr>
          <w:rStyle w:val="Funotenzeichen"/>
        </w:rPr>
        <w:footnoteReference w:id="367"/>
      </w:r>
    </w:p>
    <w:p w:rsidR="00D2554C" w:rsidRDefault="00D2554C">
      <w:pPr>
        <w:pStyle w:val="Text"/>
      </w:pPr>
      <w:r>
        <w:t xml:space="preserve">Beispiel: Eine </w:t>
      </w:r>
      <w:r w:rsidR="00765E66">
        <w:t>Merkmalsregel</w:t>
      </w:r>
      <w:r>
        <w:t xml:space="preserve"> für einen </w:t>
      </w:r>
      <w:r w:rsidR="008D5A95">
        <w:t xml:space="preserve">Gebäudestil </w:t>
      </w:r>
      <w:r>
        <w:t xml:space="preserve">spezifiziert, dass </w:t>
      </w:r>
      <w:r w:rsidR="00291EB9">
        <w:t>Fass</w:t>
      </w:r>
      <w:r w:rsidR="00291EB9">
        <w:t>a</w:t>
      </w:r>
      <w:r w:rsidR="00291EB9">
        <w:t xml:space="preserve">den, die sich an einer Straße befinden, auf eine bestimmte Weise auszuführen sind (beispielsweise mit vergitterten Fenstern). </w:t>
      </w:r>
      <w:r>
        <w:t>In diesem Fall werde</w:t>
      </w:r>
      <w:r w:rsidR="00B711CC">
        <w:t>n die Sch</w:t>
      </w:r>
      <w:r w:rsidR="00B711CC">
        <w:t>e</w:t>
      </w:r>
      <w:r w:rsidR="00B711CC">
        <w:t xml:space="preserve">maortbedingungen </w:t>
      </w:r>
      <w:r w:rsidR="009F2C06">
        <w:t xml:space="preserve">des Schemaorts </w:t>
      </w:r>
      <w:r w:rsidR="00B711CC">
        <w:t>‚</w:t>
      </w:r>
      <w:r w:rsidR="009F2C06">
        <w:t>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rsidR="00B711CC">
        <w:t>‘</w:t>
      </w:r>
      <w:r>
        <w:t xml:space="preserve"> </w:t>
      </w:r>
      <w:r w:rsidR="00B711CC">
        <w:t>und die Zusatzbedingung ‚</w:t>
      </w:r>
      <w:r w:rsidR="009F2C06">
        <w:t>an einer Straße</w:t>
      </w:r>
      <w:r w:rsidR="00B711CC">
        <w:t>‘</w:t>
      </w:r>
      <w:r w:rsidR="00D34F0A">
        <w:t xml:space="preserve"> </w:t>
      </w:r>
      <w:r>
        <w:t xml:space="preserve">in den </w:t>
      </w:r>
      <w:r w:rsidR="005F647E">
        <w:t>Anwendungsbedingung</w:t>
      </w:r>
      <w:r>
        <w:t xml:space="preserve">en spezifiziert. </w:t>
      </w:r>
      <w:r w:rsidR="008D5A95">
        <w:t xml:space="preserve">Auf alle </w:t>
      </w:r>
      <w:r w:rsidR="00721558">
        <w:t>Alter</w:t>
      </w:r>
      <w:r w:rsidR="00721558">
        <w:softHyphen/>
        <w:t>nativen</w:t>
      </w:r>
      <w:r w:rsidR="00721558">
        <w:softHyphen/>
        <w:t>klasse</w:t>
      </w:r>
      <w:r w:rsidR="008D5A95">
        <w:t>n</w:t>
      </w:r>
      <w:r w:rsidR="009F2C06">
        <w:t xml:space="preserve"> innerhalb der in Schritt 2 der Schemaausführung gebildeten Anordnung von </w:t>
      </w:r>
      <w:r w:rsidR="00721558">
        <w:t>Alter</w:t>
      </w:r>
      <w:r w:rsidR="00721558">
        <w:softHyphen/>
        <w:t>nativen</w:t>
      </w:r>
      <w:r w:rsidR="00721558">
        <w:softHyphen/>
        <w:t>klasse</w:t>
      </w:r>
      <w:r w:rsidR="009F2C06">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rsidR="009F2C06">
        <w:t xml:space="preserve"> (vgl. Abschnitt </w:t>
      </w:r>
      <w:r w:rsidR="005D7996">
        <w:fldChar w:fldCharType="begin"/>
      </w:r>
      <w:r w:rsidR="009F2C06">
        <w:instrText xml:space="preserve"> REF _Ref212110965 \r \h </w:instrText>
      </w:r>
      <w:r w:rsidR="005D7996">
        <w:fldChar w:fldCharType="separate"/>
      </w:r>
      <w:r w:rsidR="001231D3">
        <w:t>5.2.2</w:t>
      </w:r>
      <w:r w:rsidR="005D7996">
        <w:fldChar w:fldCharType="end"/>
      </w:r>
      <w:r w:rsidR="009F2C06">
        <w:t xml:space="preserve">), deren Anwendungsbedingungen die Schemaortbedingungen des Schemaorts ‚Fassade‘ und die Zusatzbedingung ‚an einer Straße‘ enthalten, wird die Merkmalsregel angewandt. </w:t>
      </w:r>
      <w:r w:rsidR="00CD59B2">
        <w:t>Spezieller def</w:t>
      </w:r>
      <w:r w:rsidR="00CD59B2">
        <w:t>i</w:t>
      </w:r>
      <w:r w:rsidR="00CD59B2">
        <w:t xml:space="preserve">nierte </w:t>
      </w:r>
      <w:r w:rsidR="00721558">
        <w:t>Alter</w:t>
      </w:r>
      <w:r w:rsidR="00721558">
        <w:softHyphen/>
        <w:t>nativen</w:t>
      </w:r>
      <w:r w:rsidR="00721558">
        <w:softHyphen/>
        <w:t>klasse</w:t>
      </w:r>
      <w:r>
        <w:t xml:space="preserve">n – </w:t>
      </w:r>
      <w:r w:rsidR="001A473B">
        <w:t>etwa</w:t>
      </w:r>
      <w:r>
        <w:t xml:space="preserve"> solche, bei denen zusätzlich noch </w:t>
      </w:r>
      <w:r w:rsidR="009F2C06">
        <w:t xml:space="preserve">‚mit </w:t>
      </w:r>
      <w:r w:rsidR="000E2B70">
        <w:t>Ei</w:t>
      </w:r>
      <w:r w:rsidR="000E2B70">
        <w:t>n</w:t>
      </w:r>
      <w:r w:rsidR="000E2B70">
        <w:t>gangstür</w:t>
      </w:r>
      <w:r w:rsidR="009F2C06">
        <w:t xml:space="preserve">‘ als Zusatzbedingung spezifiziert ist </w:t>
      </w:r>
      <w:r>
        <w:t xml:space="preserve">– sind Unterklassen dieser </w:t>
      </w:r>
      <w:r w:rsidR="00721558">
        <w:t>Alter</w:t>
      </w:r>
      <w:r w:rsidR="00721558">
        <w:softHyphen/>
        <w:t>nativen</w:t>
      </w:r>
      <w:r w:rsidR="00721558">
        <w:softHyphen/>
        <w:t>klasse</w:t>
      </w:r>
      <w:r>
        <w:t xml:space="preserve">. Auf sie ist die </w:t>
      </w:r>
      <w:r w:rsidR="00765E66">
        <w:t>Merkmalsregel</w:t>
      </w:r>
      <w:r>
        <w:t xml:space="preserve"> ebenso anzuwenden.</w:t>
      </w:r>
    </w:p>
    <w:p w:rsidR="00FB00F1" w:rsidRDefault="00FB00F1" w:rsidP="00FB00F1">
      <w:pPr>
        <w:pStyle w:val="Formel"/>
        <w:ind w:hanging="397"/>
      </w:pPr>
      <w:r>
        <w:lastRenderedPageBreak/>
        <w:t>2.</w:t>
      </w:r>
      <w:r>
        <w:tab/>
        <w:t>Verlangte Eigenschaften</w:t>
      </w:r>
      <w:r w:rsidR="005D7996">
        <w:fldChar w:fldCharType="begin"/>
      </w:r>
      <w:r w:rsidR="00DD75B7">
        <w:instrText xml:space="preserve"> XE "</w:instrText>
      </w:r>
      <w:r w:rsidR="00DD75B7" w:rsidRPr="000070AF">
        <w:instrText>Verlangte Eigenschaften</w:instrText>
      </w:r>
      <w:r w:rsidR="00DD75B7">
        <w:instrText xml:space="preserve">" \r "Variablen" </w:instrText>
      </w:r>
      <w:r w:rsidR="005D7996">
        <w:fldChar w:fldCharType="end"/>
      </w:r>
      <w:r>
        <w:t xml:space="preserve"> </w:t>
      </w:r>
      <w:r>
        <w:rPr>
          <w:i/>
          <w:iCs/>
        </w:rPr>
        <w:t>V</w:t>
      </w:r>
      <w:r>
        <w:t>:</w:t>
      </w:r>
    </w:p>
    <w:p w:rsidR="00D2554C" w:rsidRDefault="00D2554C" w:rsidP="00FB00F1">
      <w:pPr>
        <w:pStyle w:val="Formel"/>
        <w:tabs>
          <w:tab w:val="right" w:pos="6804"/>
        </w:tabs>
        <w:ind w:left="709" w:hanging="312"/>
        <w:rPr>
          <w:position w:val="-6"/>
        </w:rPr>
      </w:pPr>
      <w:r>
        <w:rPr>
          <w:i/>
          <w:iCs/>
        </w:rPr>
        <w:t>V</w:t>
      </w:r>
      <w:r>
        <w:t xml:space="preserve"> </w:t>
      </w:r>
      <w:r w:rsidR="00C24189">
        <w:tab/>
      </w:r>
      <w:r>
        <w:t xml:space="preserve">:= </w:t>
      </w:r>
      <w:r w:rsidR="00982803">
        <w:t>{</w:t>
      </w:r>
      <m:oMath>
        <m:sSubSup>
          <m:sSubSupPr>
            <m:ctrlPr>
              <w:rPr>
                <w:rFonts w:ascii="Cambria Math" w:hAnsi="Cambria Math"/>
                <w:i/>
              </w:rPr>
            </m:ctrlPr>
          </m:sSubSupPr>
          <m:e>
            <m:r>
              <m:rPr>
                <m:nor/>
              </m:rPr>
              <w:rPr>
                <w:i/>
              </w:rPr>
              <m:t>E</m:t>
            </m:r>
          </m:e>
          <m:sub>
            <m:r>
              <m:rPr>
                <m:nor/>
              </m:rPr>
              <m:t>1</m:t>
            </m:r>
          </m:sub>
          <m:sup>
            <m:r>
              <m:rPr>
                <m:nor/>
              </m:rPr>
              <w:rPr>
                <w:i/>
              </w:rPr>
              <m:t>I</m:t>
            </m:r>
          </m:sup>
        </m:sSubSup>
      </m:oMath>
      <w:r w:rsidR="00982803" w:rsidRPr="00C24189">
        <w:t xml:space="preserve">, …, </w:t>
      </w:r>
      <m:oMath>
        <m:sSubSup>
          <m:sSubSupPr>
            <m:ctrlPr>
              <w:rPr>
                <w:rFonts w:ascii="Cambria Math" w:hAnsi="Cambria Math"/>
                <w:i/>
              </w:rPr>
            </m:ctrlPr>
          </m:sSubSupPr>
          <m:e>
            <m:r>
              <m:rPr>
                <m:nor/>
              </m:rPr>
              <w:rPr>
                <w:i/>
              </w:rPr>
              <m:t>E</m:t>
            </m:r>
          </m:e>
          <m:sub>
            <m:r>
              <m:rPr>
                <m:nor/>
              </m:rPr>
              <w:rPr>
                <w:i/>
              </w:rPr>
              <m:t>p</m:t>
            </m:r>
          </m:sub>
          <m:sup>
            <m:r>
              <m:rPr>
                <m:nor/>
              </m:rPr>
              <w:rPr>
                <w:i/>
              </w:rPr>
              <m:t>I</m:t>
            </m:r>
          </m:sup>
        </m:sSubSup>
      </m:oMath>
      <w:r w:rsidR="00982803">
        <w:t xml:space="preserve">, </w:t>
      </w:r>
      <m:oMath>
        <m:sSubSup>
          <m:sSubSupPr>
            <m:ctrlPr>
              <w:rPr>
                <w:rFonts w:ascii="Cambria Math" w:hAnsi="Cambria Math"/>
                <w:i/>
              </w:rPr>
            </m:ctrlPr>
          </m:sSubSupPr>
          <m:e>
            <m:r>
              <m:rPr>
                <m:nor/>
              </m:rPr>
              <w:rPr>
                <w:i/>
              </w:rPr>
              <m:t>E</m:t>
            </m:r>
          </m:e>
          <m:sub>
            <m:r>
              <m:rPr>
                <m:nor/>
              </m:rPr>
              <m:t>1</m:t>
            </m:r>
          </m:sub>
          <m:sup>
            <m:r>
              <m:rPr>
                <m:nor/>
              </m:rPr>
              <w:rPr>
                <w:i/>
              </w:rPr>
              <m:t>V</m:t>
            </m:r>
          </m:sup>
        </m:sSubSup>
      </m:oMath>
      <w:r w:rsidR="00982803" w:rsidRPr="00C24189">
        <w:t xml:space="preserve">, …, </w:t>
      </w:r>
      <m:oMath>
        <m:sSubSup>
          <m:sSubSupPr>
            <m:ctrlPr>
              <w:rPr>
                <w:rFonts w:ascii="Cambria Math" w:hAnsi="Cambria Math"/>
                <w:i/>
              </w:rPr>
            </m:ctrlPr>
          </m:sSubSupPr>
          <m:e>
            <m:r>
              <m:rPr>
                <m:nor/>
              </m:rPr>
              <w:rPr>
                <w:i/>
              </w:rPr>
              <m:t>E</m:t>
            </m:r>
          </m:e>
          <m:sub>
            <m:r>
              <m:rPr>
                <m:nor/>
              </m:rPr>
              <w:rPr>
                <w:i/>
              </w:rPr>
              <m:t>q</m:t>
            </m:r>
          </m:sub>
          <m:sup>
            <m:r>
              <m:rPr>
                <m:nor/>
              </m:rPr>
              <w:rPr>
                <w:i/>
              </w:rPr>
              <m:t>V</m:t>
            </m:r>
          </m:sup>
        </m:sSubSup>
      </m:oMath>
      <w:r w:rsidR="00982803">
        <w:t>,</w:t>
      </w:r>
      <m:oMath>
        <m:r>
          <w:rPr>
            <w:rFonts w:ascii="Cambria Math"/>
          </w:rPr>
          <m:t xml:space="preserve"> </m:t>
        </m:r>
        <m:sSubSup>
          <m:sSubSupPr>
            <m:ctrlPr>
              <w:rPr>
                <w:rFonts w:ascii="Cambria Math" w:hAnsi="Cambria Math"/>
                <w:i/>
              </w:rPr>
            </m:ctrlPr>
          </m:sSubSupPr>
          <m:e>
            <m:r>
              <m:rPr>
                <m:nor/>
              </m:rPr>
              <w:rPr>
                <w:i/>
              </w:rPr>
              <m:t>E</m:t>
            </m:r>
          </m:e>
          <m:sub>
            <m:r>
              <m:rPr>
                <m:nor/>
              </m:rPr>
              <m:t>1</m:t>
            </m:r>
          </m:sub>
          <m:sup>
            <m:r>
              <m:rPr>
                <m:nor/>
              </m:rPr>
              <w:rPr>
                <w:i/>
              </w:rPr>
              <m:t>H</m:t>
            </m:r>
          </m:sup>
        </m:sSubSup>
      </m:oMath>
      <w:r w:rsidR="00982803" w:rsidRPr="00C24189">
        <w:t xml:space="preserve">, …, </w:t>
      </w:r>
      <m:oMath>
        <m:sSubSup>
          <m:sSubSupPr>
            <m:ctrlPr>
              <w:rPr>
                <w:rFonts w:ascii="Cambria Math" w:hAnsi="Cambria Math"/>
                <w:i/>
              </w:rPr>
            </m:ctrlPr>
          </m:sSubSupPr>
          <m:e>
            <m:r>
              <m:rPr>
                <m:nor/>
              </m:rPr>
              <w:rPr>
                <w:i/>
              </w:rPr>
              <m:t>E</m:t>
            </m:r>
          </m:e>
          <m:sub>
            <m:r>
              <m:rPr>
                <m:nor/>
              </m:rPr>
              <w:rPr>
                <w:i/>
              </w:rPr>
              <m:t>r</m:t>
            </m:r>
          </m:sub>
          <m:sup>
            <m:r>
              <m:rPr>
                <m:nor/>
              </m:rPr>
              <w:rPr>
                <w:i/>
              </w:rPr>
              <m:t>H</m:t>
            </m:r>
          </m:sup>
        </m:sSubSup>
      </m:oMath>
      <w:r w:rsidR="00982803">
        <w:t>}</w:t>
      </w:r>
      <w:r>
        <w:tab/>
        <w:t xml:space="preserve">mit </w:t>
      </w:r>
      <w:r>
        <w:rPr>
          <w:i/>
          <w:iCs/>
        </w:rPr>
        <w:t>U</w:t>
      </w:r>
      <w:r>
        <w:t xml:space="preserve"> </w:t>
      </w:r>
      <w:r w:rsidR="00182FB7" w:rsidRPr="00182FB7">
        <w:rPr>
          <w:rFonts w:ascii="Cambria Math" w:eastAsia="Arial Unicode MS" w:hAnsi="Cambria Math" w:cs="Arial Unicode MS"/>
        </w:rPr>
        <w:t>∩</w:t>
      </w:r>
      <w:r>
        <w:t xml:space="preserve"> </w:t>
      </w:r>
      <w:r>
        <w:rPr>
          <w:i/>
          <w:iCs/>
        </w:rPr>
        <w:t>V</w:t>
      </w:r>
      <w:r>
        <w:t xml:space="preserve"> = </w:t>
      </w:r>
      <w:r w:rsidRPr="007F4805">
        <w:rPr>
          <w:position w:val="-6"/>
        </w:rPr>
        <w:object w:dxaOrig="260" w:dyaOrig="279">
          <v:shape id="_x0000_i1029" type="#_x0000_t75" style="width:14pt;height:13.6pt" o:ole="">
            <v:imagedata r:id="rId27" o:title=""/>
          </v:shape>
          <o:OLEObject Type="Embed" ProgID="Equation.3" ShapeID="_x0000_i1029" DrawAspect="Content" ObjectID="_1460983870" r:id="rId30"/>
        </w:object>
      </w:r>
      <w:r>
        <w:t xml:space="preserve">, </w:t>
      </w:r>
      <w:r>
        <w:rPr>
          <w:i/>
          <w:iCs/>
        </w:rPr>
        <w:t>V</w:t>
      </w:r>
      <w:r>
        <w:t xml:space="preserve"> ≠ </w:t>
      </w:r>
      <w:r w:rsidRPr="007F4805">
        <w:rPr>
          <w:position w:val="-6"/>
        </w:rPr>
        <w:object w:dxaOrig="260" w:dyaOrig="279">
          <v:shape id="_x0000_i1030" type="#_x0000_t75" style="width:14pt;height:13.6pt" o:ole="">
            <v:imagedata r:id="rId27" o:title=""/>
          </v:shape>
          <o:OLEObject Type="Embed" ProgID="Equation.3" ShapeID="_x0000_i1030" DrawAspect="Content" ObjectID="_1460983871" r:id="rId31"/>
        </w:object>
      </w:r>
      <w:r w:rsidR="00C5078A">
        <w:t>,</w:t>
      </w:r>
      <w:r w:rsidR="00FB00F1">
        <w:br/>
      </w:r>
      <w:r w:rsidR="00FB00F1">
        <w:rPr>
          <w:i/>
        </w:rPr>
        <w:t xml:space="preserve"> </w:t>
      </w:r>
      <w:r w:rsidR="00FB00F1">
        <w:rPr>
          <w:i/>
        </w:rPr>
        <w:tab/>
      </w:r>
      <w:r w:rsidR="00FB00F1">
        <w:rPr>
          <w:i/>
        </w:rPr>
        <w:tab/>
      </w:r>
      <w:r w:rsidR="00FB00F1">
        <w:rPr>
          <w:i/>
        </w:rPr>
        <w:tab/>
      </w:r>
      <w:r w:rsidR="00C5078A" w:rsidRPr="00C5078A">
        <w:rPr>
          <w:i/>
        </w:rPr>
        <w:t xml:space="preserve"> </w:t>
      </w:r>
      <w:r w:rsidR="00C5078A">
        <w:rPr>
          <w:i/>
        </w:rPr>
        <w:t>p</w:t>
      </w:r>
      <w:r w:rsidR="00C5078A">
        <w:t> </w:t>
      </w:r>
      <w:r w:rsidR="00C5078A">
        <w:rPr>
          <w:iCs/>
        </w:rPr>
        <w:t>≥</w:t>
      </w:r>
      <w:r w:rsidR="00C5078A">
        <w:t> 0,</w:t>
      </w:r>
      <w:r w:rsidR="00C5078A" w:rsidRPr="00C5078A">
        <w:rPr>
          <w:i/>
        </w:rPr>
        <w:t xml:space="preserve"> </w:t>
      </w:r>
      <w:r w:rsidR="00C5078A">
        <w:rPr>
          <w:i/>
        </w:rPr>
        <w:t>q</w:t>
      </w:r>
      <w:r w:rsidR="00C5078A">
        <w:t> </w:t>
      </w:r>
      <w:r w:rsidR="00C5078A">
        <w:rPr>
          <w:iCs/>
        </w:rPr>
        <w:t>≥</w:t>
      </w:r>
      <w:r w:rsidR="00C5078A">
        <w:t> 0,</w:t>
      </w:r>
      <w:r w:rsidR="00C5078A" w:rsidRPr="00C5078A">
        <w:rPr>
          <w:i/>
        </w:rPr>
        <w:t xml:space="preserve"> </w:t>
      </w:r>
      <w:r w:rsidR="00C5078A">
        <w:rPr>
          <w:i/>
        </w:rPr>
        <w:t>r</w:t>
      </w:r>
      <w:r w:rsidR="00C5078A">
        <w:t> </w:t>
      </w:r>
      <w:r w:rsidR="00C5078A">
        <w:rPr>
          <w:iCs/>
        </w:rPr>
        <w:t>≥</w:t>
      </w:r>
      <w:r w:rsidR="00C5078A">
        <w:t> 0</w:t>
      </w:r>
    </w:p>
    <w:p w:rsidR="00D2554C" w:rsidRDefault="00D2554C" w:rsidP="00FB00F1">
      <w:pPr>
        <w:pStyle w:val="Text"/>
        <w:ind w:firstLine="0"/>
      </w:pPr>
      <w:r>
        <w:t>Die verlangten Eigenschaften können intrinsische, vertikal-relationale und hor</w:t>
      </w:r>
      <w:r>
        <w:t>i</w:t>
      </w:r>
      <w:r>
        <w:t>zontal-relationale Eigenschaften</w:t>
      </w:r>
      <w:r w:rsidR="005D7996">
        <w:fldChar w:fldCharType="begin"/>
      </w:r>
      <w:r w:rsidR="00D6214C">
        <w:instrText xml:space="preserve"> XE "</w:instrText>
      </w:r>
      <w:r w:rsidR="00D6214C" w:rsidRPr="00CC22B7">
        <w:instrText>Eigenschaften:horizontal-relationale</w:instrText>
      </w:r>
      <w:r w:rsidR="00D6214C">
        <w:instrText xml:space="preserve">" </w:instrText>
      </w:r>
      <w:r w:rsidR="005D7996">
        <w:fldChar w:fldCharType="end"/>
      </w:r>
      <w:r>
        <w:t xml:space="preserve"> umfassen (vgl. Abschnitt </w:t>
      </w:r>
      <w:r w:rsidR="005D7996">
        <w:fldChar w:fldCharType="begin"/>
      </w:r>
      <w:r>
        <w:instrText xml:space="preserve"> REF _Ref211841916 \r \h </w:instrText>
      </w:r>
      <w:r w:rsidR="005D7996">
        <w:fldChar w:fldCharType="separate"/>
      </w:r>
      <w:r w:rsidR="001231D3">
        <w:t>4.3.2</w:t>
      </w:r>
      <w:r w:rsidR="005D7996">
        <w:fldChar w:fldCharType="end"/>
      </w:r>
      <w:r>
        <w:t>). Es kann sich um eine beliebige Kombination</w:t>
      </w:r>
      <w:r w:rsidR="00982803">
        <w:t xml:space="preserve">en dieser Eigenschaften </w:t>
      </w:r>
      <w:r>
        <w:t>handeln</w:t>
      </w:r>
      <w:r w:rsidR="00982803">
        <w:t xml:space="preserve">. </w:t>
      </w:r>
      <w:r w:rsidR="00093896">
        <w:t>Überschne</w:t>
      </w:r>
      <w:r w:rsidR="00093896">
        <w:t>i</w:t>
      </w:r>
      <w:r w:rsidR="00093896">
        <w:t>dungen mit den Anwendungs</w:t>
      </w:r>
      <w:r w:rsidR="00EF4B72">
        <w:t>bedingungen</w:t>
      </w:r>
      <w:r w:rsidR="00093896">
        <w:t xml:space="preserve"> werden ausgeschlossen, da entspr</w:t>
      </w:r>
      <w:r w:rsidR="00093896">
        <w:t>e</w:t>
      </w:r>
      <w:r w:rsidR="00093896">
        <w:t>chende verlangte Eigenschaften wirkungslos bleiben würden und daher auch nicht eingeschrieben oder ausgelesen werden können.</w:t>
      </w:r>
      <w:r w:rsidR="00093896">
        <w:rPr>
          <w:rStyle w:val="Funotenzeichen"/>
        </w:rPr>
        <w:footnoteReference w:id="368"/>
      </w:r>
      <w:r w:rsidR="000D5C29">
        <w:t xml:space="preserve"> </w:t>
      </w:r>
      <w:r w:rsidR="000D5C29">
        <w:rPr>
          <w:i/>
          <w:iCs/>
        </w:rPr>
        <w:t>V</w:t>
      </w:r>
      <w:r w:rsidR="000D5C29">
        <w:t xml:space="preserve"> darf nicht leer sein.</w:t>
      </w:r>
    </w:p>
    <w:p w:rsidR="009E441C" w:rsidRDefault="009E441C">
      <w:pPr>
        <w:pStyle w:val="Text"/>
      </w:pPr>
      <w:r>
        <w:t xml:space="preserve">Die verlangten Eigenschaften müssen mit dem Schemaort </w:t>
      </w:r>
      <w:r w:rsidR="00B00352">
        <w:rPr>
          <w:i/>
          <w:iCs/>
        </w:rPr>
        <w:t>O</w:t>
      </w:r>
      <w:r w:rsidR="00B00352">
        <w:rPr>
          <w:i/>
          <w:vertAlign w:val="subscript"/>
        </w:rPr>
        <w:t>j</w:t>
      </w:r>
      <w:r w:rsidR="00B00352">
        <w:t>(</w:t>
      </w:r>
      <w:r w:rsidR="00B00352">
        <w:rPr>
          <w:i/>
          <w:iCs/>
        </w:rPr>
        <w:t>S</w:t>
      </w:r>
      <w:r w:rsidR="00B00352">
        <w:rPr>
          <w:i/>
          <w:vertAlign w:val="subscript"/>
        </w:rPr>
        <w:t>i</w:t>
      </w:r>
      <w:r w:rsidR="00B00352">
        <w:t>)</w:t>
      </w:r>
      <w:r>
        <w:t xml:space="preserve">, der </w:t>
      </w:r>
      <w:r w:rsidR="00D330E5">
        <w:t xml:space="preserve">in den Anwendungsbedingungen </w:t>
      </w:r>
      <w:r w:rsidRPr="009E441C">
        <w:rPr>
          <w:i/>
        </w:rPr>
        <w:t>U</w:t>
      </w:r>
      <w:r>
        <w:t xml:space="preserve"> der Merkmalsregel spezifiziert ist, kompatibel sein</w:t>
      </w:r>
      <w:r w:rsidR="00C918F1">
        <w:t xml:space="preserve">, damit die </w:t>
      </w:r>
      <w:r w:rsidR="00F00770">
        <w:t>Merkmalsregel</w:t>
      </w:r>
      <w:r w:rsidR="00C918F1">
        <w:t xml:space="preserve"> </w:t>
      </w:r>
      <w:r w:rsidR="00F00770">
        <w:t>angewandt werden</w:t>
      </w:r>
      <w:r w:rsidR="00C918F1">
        <w:t xml:space="preserve"> kann</w:t>
      </w:r>
      <w:r w:rsidR="00F00770">
        <w:t>.</w:t>
      </w:r>
      <w:r>
        <w:rPr>
          <w:rStyle w:val="Funotenzeichen"/>
        </w:rPr>
        <w:footnoteReference w:id="369"/>
      </w:r>
    </w:p>
    <w:p w:rsidR="00D2554C" w:rsidRDefault="00D2554C">
      <w:pPr>
        <w:pStyle w:val="Text"/>
      </w:pPr>
      <w:r>
        <w:t xml:space="preserve">Beispiel: Eine </w:t>
      </w:r>
      <w:r w:rsidR="00765E66">
        <w:t>Merkmalsregel</w:t>
      </w:r>
      <w:r>
        <w:t xml:space="preserve"> könnte für ein Fenster verlangen, dass es ein großflächiges quadratisches Fenster ist und dass es in Kontrast zu den anderen Fenstern des Gebäudes steht. (Eine solche </w:t>
      </w:r>
      <w:r w:rsidR="00765E66">
        <w:t>Merkmalsregel</w:t>
      </w:r>
      <w:r>
        <w:t xml:space="preserve"> würde natürlich zu schlüssigeren Ergebnissen führen, wenn sie für Fenster an exponierter Position gelten würde, etwa in Erkern oder über der Eingangstür. Dies kann in den </w:t>
      </w:r>
      <w:r w:rsidR="005F647E">
        <w:t>A</w:t>
      </w:r>
      <w:r w:rsidR="005F647E">
        <w:t>n</w:t>
      </w:r>
      <w:r w:rsidR="005F647E">
        <w:t>wendungsbedingung</w:t>
      </w:r>
      <w:r>
        <w:t>en spezifiziert werden.) In diesem Fall würde für das Fen</w:t>
      </w:r>
      <w:r>
        <w:t>s</w:t>
      </w:r>
      <w:r>
        <w:t>ter verlangt, dass es großflächig und quadratisch ist (zwei intrinsische Eige</w:t>
      </w:r>
      <w:r>
        <w:t>n</w:t>
      </w:r>
      <w:r>
        <w:t>schaften</w:t>
      </w:r>
      <w:r w:rsidR="005D7996">
        <w:fldChar w:fldCharType="begin"/>
      </w:r>
      <w:r w:rsidR="00D6214C">
        <w:instrText xml:space="preserve"> XE "</w:instrText>
      </w:r>
      <w:r w:rsidR="00D6214C" w:rsidRPr="005F14BC">
        <w:instrText>Eigenschaften:intrinsische</w:instrText>
      </w:r>
      <w:r w:rsidR="00D6214C">
        <w:instrText xml:space="preserve">" </w:instrText>
      </w:r>
      <w:r w:rsidR="005D7996">
        <w:fldChar w:fldCharType="end"/>
      </w:r>
      <w:r>
        <w:t xml:space="preserve">), und dass es in Kontrast zu den anderen Fenstern des Gebäudes steht (eine horizontal-relationale Eigenschaft). In diesem Fall gilt also: </w:t>
      </w:r>
      <w:r>
        <w:rPr>
          <w:i/>
          <w:iCs/>
        </w:rPr>
        <w:t>V</w:t>
      </w:r>
      <w:r>
        <w:t xml:space="preserve"> =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I</m:t>
            </m:r>
          </m:sup>
        </m:sSubSup>
      </m:oMath>
      <w:r>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2</m:t>
            </m:r>
          </m:sub>
          <m:sup>
            <m:r>
              <m:rPr>
                <m:nor/>
              </m:rPr>
              <w:rPr>
                <w:rFonts w:cs="Times New Roman"/>
                <w:i/>
              </w:rPr>
              <m:t>I</m:t>
            </m:r>
          </m:sup>
        </m:sSubSup>
      </m:oMath>
      <w:r>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H</m:t>
            </m:r>
          </m:sup>
        </m:sSubSup>
      </m:oMath>
      <w:r w:rsidR="00556732">
        <w:t>}</w:t>
      </w:r>
      <w:r>
        <w:t xml:space="preserve"> mit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I</m:t>
            </m:r>
          </m:sup>
        </m:sSubSup>
      </m:oMath>
      <w:r w:rsidR="004B30CB">
        <w:t xml:space="preserve"> = ‚</w:t>
      </w:r>
      <w:r>
        <w:t>großflächig</w:t>
      </w:r>
      <w:r w:rsidR="004B30CB">
        <w:t>‘</w:t>
      </w:r>
      <w:r>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2</m:t>
            </m:r>
          </m:sub>
          <m:sup>
            <m:r>
              <m:rPr>
                <m:nor/>
              </m:rPr>
              <w:rPr>
                <w:rFonts w:cs="Times New Roman"/>
                <w:i/>
              </w:rPr>
              <m:t>I</m:t>
            </m:r>
          </m:sup>
        </m:sSubSup>
      </m:oMath>
      <w:r w:rsidR="004B30CB">
        <w:t xml:space="preserve"> = ‚</w:t>
      </w:r>
      <w:r>
        <w:t>quadratisch</w:t>
      </w:r>
      <w:r w:rsidR="004B30CB">
        <w:t>‘</w:t>
      </w:r>
      <w:r>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H</m:t>
            </m:r>
          </m:sup>
        </m:sSubSup>
      </m:oMath>
      <w:r w:rsidR="004B30CB">
        <w:t xml:space="preserve"> = ‚</w:t>
      </w:r>
      <w:r>
        <w:t>Kontrast zu anderen Fenstern</w:t>
      </w:r>
      <w:r w:rsidR="004B30CB">
        <w:t>‘</w:t>
      </w:r>
      <w:r>
        <w:t>.</w:t>
      </w:r>
      <w:r w:rsidR="009E4A84">
        <w:rPr>
          <w:rStyle w:val="Funotenzeichen"/>
        </w:rPr>
        <w:footnoteReference w:id="370"/>
      </w:r>
    </w:p>
    <w:p w:rsidR="00FB00F1" w:rsidRDefault="00FB00F1" w:rsidP="00FB00F1">
      <w:pPr>
        <w:pStyle w:val="Formel"/>
        <w:ind w:hanging="397"/>
      </w:pPr>
      <w:r>
        <w:t>3.</w:t>
      </w:r>
      <w:r>
        <w:tab/>
      </w:r>
      <w:r w:rsidRPr="00FB00F1">
        <w:t>Anwendungswahrscheinlichkeit</w:t>
      </w:r>
      <w:r w:rsidR="005D7996">
        <w:fldChar w:fldCharType="begin"/>
      </w:r>
      <w:r w:rsidR="00DD75B7">
        <w:instrText xml:space="preserve"> XE "</w:instrText>
      </w:r>
      <w:r w:rsidR="00DD75B7" w:rsidRPr="004530E4">
        <w:instrText>Anwendungswahrscheinlichkeit</w:instrText>
      </w:r>
      <w:r w:rsidR="00DD75B7">
        <w:instrText xml:space="preserve">" \r "Variablen" </w:instrText>
      </w:r>
      <w:r w:rsidR="005D7996">
        <w:fldChar w:fldCharType="end"/>
      </w:r>
      <w:r>
        <w:t xml:space="preserve"> </w:t>
      </w:r>
      <w:r>
        <w:rPr>
          <w:i/>
          <w:iCs/>
        </w:rPr>
        <w:t>w</w:t>
      </w:r>
      <w:r w:rsidR="006C7F06">
        <w:t>:</w:t>
      </w:r>
    </w:p>
    <w:p w:rsidR="00D2554C" w:rsidRDefault="00D2554C" w:rsidP="006C7F06">
      <w:pPr>
        <w:pStyle w:val="Formel"/>
        <w:tabs>
          <w:tab w:val="right" w:pos="6804"/>
        </w:tabs>
      </w:pPr>
      <w:r>
        <w:rPr>
          <w:i/>
          <w:iCs/>
        </w:rPr>
        <w:t>w</w:t>
      </w:r>
      <w:r>
        <w:t xml:space="preserve"> := </w:t>
      </w:r>
      <w:r>
        <w:rPr>
          <w:i/>
          <w:iCs/>
        </w:rPr>
        <w:t>x</w:t>
      </w:r>
      <w:r>
        <w:t xml:space="preserve"> </w:t>
      </w:r>
      <w:r>
        <w:tab/>
      </w:r>
      <w:r>
        <w:tab/>
      </w:r>
      <w:r w:rsidR="00A42706">
        <w:tab/>
      </w:r>
      <w:r>
        <w:t xml:space="preserve">mit </w:t>
      </w:r>
      <w:r>
        <w:rPr>
          <w:i/>
          <w:iCs/>
        </w:rPr>
        <w:t>x</w:t>
      </w:r>
      <w:r w:rsidR="00765B91">
        <w:rPr>
          <w:rFonts w:ascii="Cambria Math" w:eastAsia="Arial Unicode MS" w:hAnsi="Cambria Math" w:cs="Arial Unicode MS"/>
          <w:color w:val="000000" w:themeColor="text1"/>
        </w:rPr>
        <w:t xml:space="preserve"> </w:t>
      </w:r>
      <w:r w:rsidR="00E235A0" w:rsidRPr="00E235A0">
        <w:rPr>
          <w:rFonts w:ascii="Cambria Math" w:eastAsia="Arial Unicode MS" w:hAnsi="Cambria Math" w:cs="Arial Unicode MS"/>
          <w:color w:val="000000" w:themeColor="text1"/>
        </w:rPr>
        <w:t>∊</w:t>
      </w:r>
      <w:r w:rsidR="00765B91">
        <w:t xml:space="preserve"> </w:t>
      </w:r>
      <w:r w:rsidR="00F26E07" w:rsidRPr="001E0AE6">
        <w:rPr>
          <w:rFonts w:ascii="Cambria Math" w:eastAsia="Arial Unicode MS" w:hAnsi="Cambria Math" w:cs="Arial Unicode MS"/>
        </w:rPr>
        <w:t>ℝ</w:t>
      </w:r>
      <w:r w:rsidRPr="00765B91">
        <w:rPr>
          <w:rFonts w:eastAsia="Arial Unicode MS" w:cs="Times New Roman"/>
        </w:rPr>
        <w:t>,</w:t>
      </w:r>
      <w:r>
        <w:t xml:space="preserve"> 0 </w:t>
      </w:r>
      <w:r w:rsidR="00A42706">
        <w:rPr>
          <w:rFonts w:cs="Times New Roman"/>
        </w:rPr>
        <w:t>&lt;</w:t>
      </w:r>
      <w:r>
        <w:rPr>
          <w:rFonts w:cs="Times New Roman"/>
        </w:rPr>
        <w:t xml:space="preserve"> </w:t>
      </w:r>
      <w:r>
        <w:rPr>
          <w:rFonts w:cs="Times New Roman"/>
          <w:i/>
          <w:iCs/>
        </w:rPr>
        <w:t>x</w:t>
      </w:r>
      <w:r>
        <w:rPr>
          <w:rFonts w:cs="Times New Roman"/>
        </w:rPr>
        <w:t xml:space="preserve"> ≤ </w:t>
      </w:r>
      <w:r>
        <w:t>1</w:t>
      </w:r>
    </w:p>
    <w:p w:rsidR="00D2554C" w:rsidRDefault="00D2554C" w:rsidP="00FB00F1">
      <w:pPr>
        <w:pStyle w:val="Text"/>
        <w:ind w:firstLine="0"/>
      </w:pPr>
      <w:r>
        <w:lastRenderedPageBreak/>
        <w:t xml:space="preserve">Die Anwendungswahrscheinlichkeit </w:t>
      </w:r>
      <w:r>
        <w:rPr>
          <w:i/>
          <w:iCs/>
        </w:rPr>
        <w:t>w</w:t>
      </w:r>
      <w:r>
        <w:t xml:space="preserve"> ist ein Zahlenwert </w:t>
      </w:r>
      <w:r w:rsidR="000E2B70">
        <w:t xml:space="preserve">im Bereich von </w:t>
      </w:r>
      <w:r>
        <w:t xml:space="preserve">0 </w:t>
      </w:r>
      <w:r w:rsidR="00A42706">
        <w:t>bis</w:t>
      </w:r>
      <w:r>
        <w:t xml:space="preserve"> 1</w:t>
      </w:r>
      <w:r w:rsidR="000E2B70">
        <w:t>, wobei 0 ausgeschlossen ist</w:t>
      </w:r>
      <w:r>
        <w:t>.</w:t>
      </w:r>
      <w:r w:rsidR="00A42706">
        <w:t xml:space="preserve"> Bei </w:t>
      </w:r>
      <w:r w:rsidR="00A42706">
        <w:rPr>
          <w:i/>
          <w:iCs/>
        </w:rPr>
        <w:t>w</w:t>
      </w:r>
      <w:r w:rsidR="00A42706">
        <w:t> = 1 wird die Merkmalsregel immer angewandt, wenn die Anwendungsbedingungen erfüllt sind.</w:t>
      </w:r>
    </w:p>
    <w:p w:rsidR="006C7F06" w:rsidRDefault="006C7F06" w:rsidP="006C7F06">
      <w:pPr>
        <w:pStyle w:val="Formel"/>
        <w:ind w:hanging="397"/>
      </w:pPr>
      <w:r>
        <w:t>4.</w:t>
      </w:r>
      <w:r>
        <w:tab/>
        <w:t>Priorisierung der Merkmalsregeln:</w:t>
      </w:r>
    </w:p>
    <w:p w:rsidR="00D2554C" w:rsidRDefault="00D2554C" w:rsidP="006C7F06">
      <w:pPr>
        <w:pStyle w:val="Text"/>
        <w:ind w:firstLine="0"/>
      </w:pPr>
      <w:r>
        <w:t xml:space="preserve">Die Priorisierung wird über die Benennung der Variablen für die </w:t>
      </w:r>
      <w:r w:rsidR="00765E66">
        <w:t>Merkmalsregel</w:t>
      </w:r>
      <w:r>
        <w:t>n (</w:t>
      </w:r>
      <w:r>
        <w:rPr>
          <w:i/>
          <w:iCs/>
        </w:rPr>
        <w:t>B</w:t>
      </w:r>
      <w:r>
        <w:t xml:space="preserve"> mit doppeltem Index) dargestellt. Der erste Index stellt die Priorität in a</w:t>
      </w:r>
      <w:r>
        <w:t>b</w:t>
      </w:r>
      <w:r>
        <w:t>steigender Reihenfolge dar. Der zweite Index nummeriert die Regeln mit gle</w:t>
      </w:r>
      <w:r>
        <w:t>i</w:t>
      </w:r>
      <w:r>
        <w:t xml:space="preserve">cher Priorität. Die </w:t>
      </w:r>
      <w:r w:rsidR="00765E66">
        <w:t>Merkmalsregel</w:t>
      </w:r>
      <w:r>
        <w:t xml:space="preserve">n mit gleicher Priorität werden jeweils zu einer Menge zusammengefasst, bei den Prioritäten 1, …, </w:t>
      </w:r>
      <w:r>
        <w:rPr>
          <w:i/>
          <w:iCs/>
        </w:rPr>
        <w:t>x</w:t>
      </w:r>
      <w:r>
        <w:t xml:space="preserve"> mit </w:t>
      </w:r>
      <w:r>
        <w:rPr>
          <w:i/>
          <w:iCs/>
        </w:rPr>
        <w:t>u</w:t>
      </w:r>
      <w:r>
        <w:t xml:space="preserve">, </w:t>
      </w:r>
      <w:r>
        <w:rPr>
          <w:i/>
          <w:iCs/>
        </w:rPr>
        <w:t>v</w:t>
      </w:r>
      <w:r>
        <w:t xml:space="preserve">, …, </w:t>
      </w:r>
      <w:r>
        <w:rPr>
          <w:i/>
          <w:iCs/>
        </w:rPr>
        <w:t>y</w:t>
      </w:r>
      <w:r>
        <w:t xml:space="preserve"> </w:t>
      </w:r>
      <w:r w:rsidR="00765E66">
        <w:t>Merkmalsr</w:t>
      </w:r>
      <w:r w:rsidR="00765E66">
        <w:t>e</w:t>
      </w:r>
      <w:r w:rsidR="00765E66">
        <w:t>gel</w:t>
      </w:r>
      <w:r>
        <w:t>n also:</w:t>
      </w:r>
    </w:p>
    <w:p w:rsidR="006C7F06" w:rsidRDefault="005D7996" w:rsidP="006C7F06">
      <w:pPr>
        <w:pStyle w:val="Formel"/>
      </w:pP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ascii="Cambria Math" w:cs="Times New Roman"/>
                  </w:rPr>
                  <m:t>1</m:t>
                </m:r>
              </m:e>
              <m:sub>
                <m:r>
                  <m:rPr>
                    <m:nor/>
                  </m:rPr>
                  <w:rPr>
                    <w:rFonts w:cs="Times New Roman"/>
                  </w:rPr>
                  <m:t>1</m:t>
                </m:r>
              </m:sub>
            </m:sSub>
          </m:sub>
        </m:sSub>
      </m:oMath>
      <w:r w:rsidR="006C7F06" w:rsidRPr="00CB0CFC">
        <w:t>,</w:t>
      </w:r>
      <w:r w:rsidR="006C7F06">
        <w:t xml:space="preserve"> </w:t>
      </w:r>
      <w:r w:rsidR="006C7F06" w:rsidRPr="00CB0CFC">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rPr>
                  <m:t>1</m:t>
                </m:r>
              </m:e>
              <m:sub>
                <m:r>
                  <m:rPr>
                    <m:nor/>
                  </m:rPr>
                  <w:rPr>
                    <w:rFonts w:cs="Times New Roman"/>
                    <w:i/>
                  </w:rPr>
                  <m:t>u</m:t>
                </m:r>
              </m:sub>
            </m:sSub>
          </m:sub>
        </m:sSub>
      </m:oMath>
      <w:r w:rsidR="006C7F06" w:rsidRPr="00CB0CFC">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rPr>
                  <m:t>2</m:t>
                </m:r>
              </m:e>
              <m:sub>
                <m:r>
                  <m:rPr>
                    <m:nor/>
                  </m:rPr>
                  <w:rPr>
                    <w:rFonts w:cs="Times New Roman"/>
                  </w:rPr>
                  <m:t>1</m:t>
                </m:r>
              </m:sub>
            </m:sSub>
          </m:sub>
        </m:sSub>
      </m:oMath>
      <w:r w:rsidR="006C7F06" w:rsidRPr="00CB0CFC">
        <w:t xml:space="preserve">, …,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rPr>
                  <m:t>2</m:t>
                </m:r>
              </m:e>
              <m:sub>
                <m:r>
                  <m:rPr>
                    <m:nor/>
                  </m:rPr>
                  <w:rPr>
                    <w:rFonts w:cs="Times New Roman"/>
                    <w:i/>
                  </w:rPr>
                  <m:t>v</m:t>
                </m:r>
              </m:sub>
            </m:sSub>
          </m:sub>
        </m:sSub>
      </m:oMath>
      <w:r w:rsidR="006C7F06" w:rsidRPr="00CB0CFC">
        <w:t xml:space="preserve">, …,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rPr>
                  <m:t>1</m:t>
                </m:r>
              </m:sub>
            </m:sSub>
          </m:sub>
        </m:sSub>
      </m:oMath>
      <w:r w:rsidR="006C7F06" w:rsidRPr="00CB0CFC">
        <w:t xml:space="preserve">, …,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p>
    <w:p w:rsidR="00D2554C" w:rsidRPr="00BE0F64" w:rsidRDefault="0098260E" w:rsidP="006C7F06">
      <w:pPr>
        <w:pStyle w:val="Zwischenberschrift"/>
        <w:spacing w:before="360"/>
      </w:pPr>
      <w:r>
        <w:t xml:space="preserve">Zugriff auf die </w:t>
      </w:r>
      <w:r w:rsidR="00D2554C">
        <w:t>Variablen</w:t>
      </w:r>
    </w:p>
    <w:p w:rsidR="00D2554C" w:rsidRDefault="00D2554C" w:rsidP="006C7F06">
      <w:pPr>
        <w:pStyle w:val="Formel"/>
        <w:ind w:hanging="397"/>
      </w:pPr>
      <w:r>
        <w:t>1.</w:t>
      </w:r>
      <w:r>
        <w:tab/>
      </w:r>
      <w:r w:rsidR="00207ECC">
        <w:t>Auf d</w:t>
      </w:r>
      <w:r>
        <w:t xml:space="preserve">ie Variable </w:t>
      </w:r>
      <w:r>
        <w:rPr>
          <w:i/>
          <w:iCs/>
        </w:rPr>
        <w:t>U</w:t>
      </w:r>
      <w:r>
        <w:t xml:space="preserve"> der </w:t>
      </w:r>
      <w:r w:rsidR="00765E66">
        <w:t>Merkmalsregel</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 xml:space="preserve"> wird </w:t>
      </w:r>
      <w:r w:rsidR="00207ECC">
        <w:t>zugegriffen</w:t>
      </w:r>
      <w:r>
        <w:t xml:space="preserve"> als </w:t>
      </w:r>
      <w:r>
        <w:rPr>
          <w:i/>
          <w:iCs/>
        </w:rPr>
        <w:t>U</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w:t>
      </w:r>
    </w:p>
    <w:p w:rsidR="00D2554C" w:rsidRDefault="00D2554C" w:rsidP="006C7F06">
      <w:pPr>
        <w:pStyle w:val="Formel"/>
        <w:ind w:hanging="397"/>
      </w:pPr>
      <w:r>
        <w:t>2.</w:t>
      </w:r>
      <w:r>
        <w:tab/>
      </w:r>
      <w:r w:rsidR="00207ECC">
        <w:t xml:space="preserve">Auf die </w:t>
      </w:r>
      <w:r>
        <w:t xml:space="preserve">Variable </w:t>
      </w:r>
      <w:r>
        <w:rPr>
          <w:i/>
          <w:iCs/>
        </w:rPr>
        <w:t>V</w:t>
      </w:r>
      <w:r>
        <w:t xml:space="preserve"> der </w:t>
      </w:r>
      <w:r w:rsidR="00765E66">
        <w:t>Merkmalsregel</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 xml:space="preserve"> wird </w:t>
      </w:r>
      <w:r w:rsidR="00207ECC">
        <w:t xml:space="preserve">zugegriffen </w:t>
      </w:r>
      <w:r>
        <w:t xml:space="preserve">als </w:t>
      </w:r>
      <w:r>
        <w:rPr>
          <w:i/>
          <w:iCs/>
        </w:rPr>
        <w:t>V</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w:t>
      </w:r>
    </w:p>
    <w:p w:rsidR="00D2554C" w:rsidRDefault="00D2554C" w:rsidP="006C7F06">
      <w:pPr>
        <w:pStyle w:val="Formel"/>
        <w:ind w:hanging="397"/>
      </w:pPr>
      <w:r>
        <w:t>3.</w:t>
      </w:r>
      <w:r>
        <w:tab/>
      </w:r>
      <w:r w:rsidR="00207ECC">
        <w:t xml:space="preserve">Auf die </w:t>
      </w:r>
      <w:r>
        <w:t xml:space="preserve">Variable </w:t>
      </w:r>
      <w:r>
        <w:rPr>
          <w:i/>
          <w:iCs/>
        </w:rPr>
        <w:t>w</w:t>
      </w:r>
      <w:r>
        <w:t xml:space="preserve"> der </w:t>
      </w:r>
      <w:r w:rsidR="00765E66">
        <w:t>Merkmalsregel</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 xml:space="preserve"> wird </w:t>
      </w:r>
      <w:r w:rsidR="00207ECC">
        <w:t xml:space="preserve">zugegriffen </w:t>
      </w:r>
      <w:r>
        <w:t xml:space="preserve">als </w:t>
      </w:r>
      <w:r>
        <w:rPr>
          <w:i/>
          <w:iCs/>
        </w:rPr>
        <w:t>w</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w:t>
      </w:r>
    </w:p>
    <w:p w:rsidR="00D2554C" w:rsidRDefault="00D2554C" w:rsidP="006C7F06">
      <w:pPr>
        <w:pStyle w:val="Formel"/>
        <w:ind w:hanging="397"/>
      </w:pPr>
      <w:r>
        <w:t>4.</w:t>
      </w:r>
      <w:r>
        <w:tab/>
      </w:r>
      <w:r w:rsidR="00207ECC">
        <w:t xml:space="preserve">Auf die </w:t>
      </w:r>
      <w:r w:rsidR="009E2A5B">
        <w:t xml:space="preserve">Priorität </w:t>
      </w:r>
      <w:r w:rsidR="002B16C3" w:rsidRPr="002B16C3">
        <w:rPr>
          <w:i/>
        </w:rPr>
        <w:t>p</w:t>
      </w:r>
      <w:r w:rsidR="002B16C3">
        <w:t xml:space="preserve"> </w:t>
      </w:r>
      <w:r>
        <w:t xml:space="preserve">der </w:t>
      </w:r>
      <w:r w:rsidR="00765E66">
        <w:t>Merkmalsregel</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t xml:space="preserve"> </w:t>
      </w:r>
      <w:r w:rsidR="00110A80">
        <w:t xml:space="preserve">wird durch ihre Position in der geordneten Menge </w:t>
      </w:r>
      <w:r w:rsidR="00110A80" w:rsidRPr="00110A80">
        <w:rPr>
          <w:i/>
        </w:rPr>
        <w:t>B</w:t>
      </w:r>
      <w:r w:rsidR="00110A80">
        <w:t xml:space="preserve"> zugegriffen. E</w:t>
      </w:r>
      <w:r w:rsidR="00740F58">
        <w:t xml:space="preserve">s gilt: </w:t>
      </w:r>
      <w:r w:rsidR="00740F58">
        <w:rPr>
          <w:i/>
          <w:iCs/>
        </w:rPr>
        <w:t>p</w:t>
      </w:r>
      <w:r w:rsidR="00740F58">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rsidR="00740F58">
        <w:t xml:space="preserve">) = </w:t>
      </w:r>
      <w:r>
        <w:rPr>
          <w:i/>
          <w:iCs/>
        </w:rPr>
        <w:t>x</w:t>
      </w:r>
      <w:r>
        <w:t>.</w:t>
      </w:r>
    </w:p>
    <w:p w:rsidR="00D2554C" w:rsidRDefault="00D2554C" w:rsidP="00F26892">
      <w:pPr>
        <w:pStyle w:val="Zwischenberschrift"/>
        <w:spacing w:before="360"/>
      </w:pPr>
      <w:r>
        <w:t xml:space="preserve">Ein Beispiel für eine </w:t>
      </w:r>
      <w:r w:rsidR="00765E66">
        <w:t>Merkmalsregel</w:t>
      </w:r>
    </w:p>
    <w:p w:rsidR="00D2554C" w:rsidRDefault="005D7996" w:rsidP="00F26892">
      <w:pPr>
        <w:pStyle w:val="Formel"/>
        <w:tabs>
          <w:tab w:val="right" w:pos="6804"/>
        </w:tabs>
        <w:ind w:left="1021" w:hanging="624"/>
      </w:pP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rPr>
                  <m:t>3</m:t>
                </m:r>
              </m:e>
              <m:sub>
                <m:r>
                  <m:rPr>
                    <m:nor/>
                  </m:rPr>
                  <w:rPr>
                    <w:rFonts w:cs="Times New Roman"/>
                  </w:rPr>
                  <m:t>2</m:t>
                </m:r>
              </m:sub>
            </m:sSub>
          </m:sub>
        </m:sSub>
      </m:oMath>
      <w:r w:rsidR="00D2554C" w:rsidRPr="006C7F06">
        <w:t xml:space="preserve"> =</w:t>
      </w:r>
      <w:r w:rsidR="006C7F06" w:rsidRPr="006C7F06">
        <w:tab/>
      </w:r>
      <w:r w:rsidR="00D2554C" w:rsidRPr="006C7F06">
        <w:t>&lt;</w:t>
      </w:r>
      <w:r w:rsidR="00F17BE0" w:rsidRPr="00F17BE0">
        <w:rPr>
          <w:i/>
          <w:lang w:val="it-IT"/>
        </w:rPr>
        <w:t>Ob</w:t>
      </w:r>
      <w:r w:rsidR="00F17BE0" w:rsidRPr="006C7F06">
        <w:t>(</w:t>
      </w:r>
      <w:r w:rsidR="008A14C6" w:rsidRPr="006C7F06">
        <w:rPr>
          <w:i/>
          <w:iCs/>
        </w:rPr>
        <w:t>O</w:t>
      </w:r>
      <w:r w:rsidR="008A14C6" w:rsidRPr="006C7F06">
        <w:rPr>
          <w:iCs/>
          <w:vertAlign w:val="subscript"/>
        </w:rPr>
        <w:t>17</w:t>
      </w:r>
      <w:r w:rsidR="008A14C6" w:rsidRPr="006C7F06">
        <w:t>(</w:t>
      </w:r>
      <w:r w:rsidR="008A14C6" w:rsidRPr="006C7F06">
        <w:rPr>
          <w:i/>
          <w:iCs/>
        </w:rPr>
        <w:t>S</w:t>
      </w:r>
      <w:r w:rsidR="008A14C6" w:rsidRPr="006C7F06">
        <w:rPr>
          <w:iCs/>
          <w:vertAlign w:val="subscript"/>
        </w:rPr>
        <w:t>8</w:t>
      </w:r>
      <w:r w:rsidR="008A14C6" w:rsidRPr="006C7F06">
        <w:t>)</w:t>
      </w:r>
      <w:r w:rsidR="00F17BE0" w:rsidRPr="006C7F06">
        <w:t>)</w:t>
      </w:r>
      <w:r w:rsidR="0082009A" w:rsidRPr="006C7F06">
        <w:t xml:space="preserve"> </w:t>
      </w:r>
      <w:r w:rsidR="0082009A" w:rsidRPr="00006A5A">
        <w:rPr>
          <w:rFonts w:ascii="Cambria Math" w:eastAsia="Arial Unicode MS" w:hAnsi="Cambria Math" w:cs="Arial Unicode MS"/>
          <w:color w:val="000000" w:themeColor="text1"/>
          <w:lang w:val="fr-FR"/>
        </w:rPr>
        <w:t>∪</w:t>
      </w:r>
      <w:r w:rsidR="00D2554C" w:rsidRPr="006C7F06">
        <w:t xml:space="preserve"> </w:t>
      </w:r>
      <w:r w:rsidR="0082009A">
        <w:rPr>
          <w:lang w:val="it-IT"/>
        </w:rPr>
        <w:t>{</w:t>
      </w:r>
      <w:r w:rsidR="00F17BE0" w:rsidRPr="006C7F06">
        <w:rPr>
          <w:i/>
          <w:iCs/>
        </w:rPr>
        <w:t>Zb</w:t>
      </w:r>
      <w:r w:rsidR="00F17BE0" w:rsidRPr="006C7F06">
        <w:rPr>
          <w:iCs/>
          <w:vertAlign w:val="subscript"/>
        </w:rPr>
        <w:t>2</w:t>
      </w:r>
      <w:r w:rsidR="00F17BE0" w:rsidRPr="006C7F06">
        <w:rPr>
          <w:iCs/>
        </w:rPr>
        <w:t>(</w:t>
      </w:r>
      <w:r w:rsidR="00F17BE0" w:rsidRPr="006C7F06">
        <w:rPr>
          <w:i/>
          <w:iCs/>
        </w:rPr>
        <w:t>O</w:t>
      </w:r>
      <w:r w:rsidR="008A14C6" w:rsidRPr="006C7F06">
        <w:rPr>
          <w:iCs/>
          <w:vertAlign w:val="subscript"/>
        </w:rPr>
        <w:t>17</w:t>
      </w:r>
      <w:r w:rsidR="008A14C6" w:rsidRPr="006C7F06">
        <w:t>(</w:t>
      </w:r>
      <w:r w:rsidR="008A14C6" w:rsidRPr="006C7F06">
        <w:rPr>
          <w:i/>
          <w:iCs/>
        </w:rPr>
        <w:t>S</w:t>
      </w:r>
      <w:r w:rsidR="008A14C6" w:rsidRPr="006C7F06">
        <w:rPr>
          <w:iCs/>
          <w:vertAlign w:val="subscript"/>
        </w:rPr>
        <w:t>8</w:t>
      </w:r>
      <w:r w:rsidR="008A14C6" w:rsidRPr="006C7F06">
        <w:t>))</w:t>
      </w:r>
      <w:r w:rsidR="00D2554C" w:rsidRPr="006C7F06">
        <w:t xml:space="preserve">, </w:t>
      </w:r>
      <w:r w:rsidR="00F17BE0" w:rsidRPr="006C7F06">
        <w:rPr>
          <w:i/>
          <w:iCs/>
        </w:rPr>
        <w:t>Zb</w:t>
      </w:r>
      <w:r w:rsidR="008A14C6" w:rsidRPr="006C7F06">
        <w:rPr>
          <w:iCs/>
          <w:vertAlign w:val="subscript"/>
        </w:rPr>
        <w:t>7</w:t>
      </w:r>
      <w:r w:rsidR="008A14C6" w:rsidRPr="006C7F06">
        <w:rPr>
          <w:iCs/>
        </w:rPr>
        <w:t>(</w:t>
      </w:r>
      <w:r w:rsidR="00F17BE0" w:rsidRPr="006C7F06">
        <w:rPr>
          <w:i/>
          <w:iCs/>
        </w:rPr>
        <w:t>O</w:t>
      </w:r>
      <w:r w:rsidR="008A14C6" w:rsidRPr="006C7F06">
        <w:rPr>
          <w:iCs/>
          <w:vertAlign w:val="subscript"/>
        </w:rPr>
        <w:t>17</w:t>
      </w:r>
      <w:r w:rsidR="008A14C6" w:rsidRPr="006C7F06">
        <w:t>(</w:t>
      </w:r>
      <w:r w:rsidR="008A14C6" w:rsidRPr="006C7F06">
        <w:rPr>
          <w:i/>
          <w:iCs/>
        </w:rPr>
        <w:t>S</w:t>
      </w:r>
      <w:r w:rsidR="008A14C6" w:rsidRPr="006C7F06">
        <w:rPr>
          <w:iCs/>
          <w:vertAlign w:val="subscript"/>
        </w:rPr>
        <w:t>8</w:t>
      </w:r>
      <w:r w:rsidR="008A14C6" w:rsidRPr="006C7F06">
        <w:t>))</w:t>
      </w:r>
      <w:r w:rsidR="00D2554C" w:rsidRPr="006C7F06">
        <w:t>},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I</m:t>
            </m:r>
          </m:sup>
        </m:sSubSup>
      </m:oMath>
      <w:r w:rsidR="004D5D4D" w:rsidRPr="006C7F06">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2</m:t>
            </m:r>
          </m:sub>
          <m:sup>
            <m:r>
              <m:rPr>
                <m:nor/>
              </m:rPr>
              <w:rPr>
                <w:rFonts w:cs="Times New Roman"/>
                <w:i/>
              </w:rPr>
              <m:t>I</m:t>
            </m:r>
          </m:sup>
        </m:sSubSup>
      </m:oMath>
      <w:r w:rsidR="004D5D4D" w:rsidRPr="006C7F06">
        <w:t xml:space="preserve">, </w:t>
      </w:r>
      <m:oMath>
        <m:sSubSup>
          <m:sSubSupPr>
            <m:ctrlPr>
              <w:rPr>
                <w:rFonts w:ascii="Cambria Math" w:hAnsi="Cambria Math" w:cs="Times New Roman"/>
                <w:i/>
              </w:rPr>
            </m:ctrlPr>
          </m:sSubSupPr>
          <m:e>
            <m:r>
              <m:rPr>
                <m:nor/>
              </m:rPr>
              <w:rPr>
                <w:rFonts w:cs="Times New Roman"/>
                <w:i/>
              </w:rPr>
              <m:t>E</m:t>
            </m:r>
          </m:e>
          <m:sub>
            <m:r>
              <m:rPr>
                <m:nor/>
              </m:rPr>
              <w:rPr>
                <w:rFonts w:cs="Times New Roman"/>
              </w:rPr>
              <m:t>1</m:t>
            </m:r>
          </m:sub>
          <m:sup>
            <m:r>
              <m:rPr>
                <m:nor/>
              </m:rPr>
              <w:rPr>
                <w:rFonts w:cs="Times New Roman"/>
                <w:i/>
              </w:rPr>
              <m:t>H</m:t>
            </m:r>
          </m:sup>
        </m:sSubSup>
      </m:oMath>
      <w:r w:rsidR="00D2554C" w:rsidRPr="006C7F06">
        <w:t>}, 0,8&gt;</w:t>
      </w:r>
      <w:r w:rsidR="006C7F06" w:rsidRPr="006C7F06">
        <w:br/>
      </w:r>
      <w:r w:rsidR="00F26892">
        <w:t xml:space="preserve"> </w:t>
      </w:r>
      <w:r w:rsidR="00F26892">
        <w:tab/>
      </w:r>
      <w:r w:rsidR="00F26892">
        <w:tab/>
      </w:r>
      <w:r w:rsidR="00D2554C">
        <w:t xml:space="preserve">mit </w:t>
      </w:r>
      <w:r w:rsidR="00D2554C">
        <w:rPr>
          <w:i/>
          <w:iCs/>
        </w:rPr>
        <w:t>E</w:t>
      </w:r>
      <w:r w:rsidR="00D2554C">
        <w:rPr>
          <w:iCs/>
          <w:vertAlign w:val="subscript"/>
        </w:rPr>
        <w:t xml:space="preserve">1 </w:t>
      </w:r>
      <w:r w:rsidR="00D2554C" w:rsidRPr="00CB0CFC">
        <w:rPr>
          <w:rFonts w:eastAsia="Arial Unicode MS" w:cs="Times New Roman"/>
        </w:rPr>
        <w:t>≠</w:t>
      </w:r>
      <w:r w:rsidR="00D2554C">
        <w:t xml:space="preserve"> </w:t>
      </w:r>
      <w:r w:rsidR="00D2554C">
        <w:rPr>
          <w:i/>
          <w:iCs/>
        </w:rPr>
        <w:t>E</w:t>
      </w:r>
      <w:r w:rsidR="00D2554C">
        <w:rPr>
          <w:iCs/>
          <w:vertAlign w:val="subscript"/>
        </w:rPr>
        <w:t>2</w:t>
      </w:r>
    </w:p>
    <w:p w:rsidR="00D2554C" w:rsidRDefault="000A7D06" w:rsidP="00F26892">
      <w:pPr>
        <w:pStyle w:val="Zwischenberschrift"/>
        <w:spacing w:before="360"/>
      </w:pPr>
      <w:r>
        <w:t>Erläuterung des Beispiels</w:t>
      </w:r>
    </w:p>
    <w:p w:rsidR="00D2554C" w:rsidRDefault="00D2554C" w:rsidP="00F26892">
      <w:pPr>
        <w:pStyle w:val="Formel"/>
        <w:ind w:hanging="397"/>
      </w:pPr>
      <w:r>
        <w:t>1.</w:t>
      </w:r>
      <w:r w:rsidR="00F26892">
        <w:tab/>
      </w:r>
      <w:r>
        <w:t xml:space="preserve">Die </w:t>
      </w:r>
      <w:r w:rsidR="005F647E">
        <w:t>Anwendungsbedingung</w:t>
      </w:r>
      <w:r>
        <w:t xml:space="preserve">en </w:t>
      </w:r>
      <w:r>
        <w:rPr>
          <w:i/>
          <w:iCs/>
        </w:rPr>
        <w:t>U</w:t>
      </w:r>
      <w:r>
        <w:t xml:space="preserve"> </w:t>
      </w:r>
      <w:r w:rsidR="00E8259E">
        <w:t xml:space="preserve">enthalten </w:t>
      </w:r>
      <w:r>
        <w:t xml:space="preserve">die </w:t>
      </w:r>
      <w:r w:rsidR="00C96451">
        <w:t xml:space="preserve">Schemaortbedingungen </w:t>
      </w:r>
      <w:r w:rsidR="00C96451" w:rsidRPr="00C96451">
        <w:rPr>
          <w:i/>
        </w:rPr>
        <w:t>Ob</w:t>
      </w:r>
      <w:r w:rsidR="00C96451">
        <w:t xml:space="preserve"> </w:t>
      </w:r>
      <w:r>
        <w:t xml:space="preserve">des Schemaorts </w:t>
      </w:r>
      <w:r w:rsidR="008A14C6" w:rsidRPr="008A14C6">
        <w:rPr>
          <w:i/>
          <w:iCs/>
        </w:rPr>
        <w:t>O</w:t>
      </w:r>
      <w:r w:rsidR="008A14C6" w:rsidRPr="008A14C6">
        <w:rPr>
          <w:iCs/>
          <w:vertAlign w:val="subscript"/>
        </w:rPr>
        <w:t>17</w:t>
      </w:r>
      <w:r w:rsidR="00D9748A">
        <w:t xml:space="preserve"> d</w:t>
      </w:r>
      <w:r>
        <w:t xml:space="preserve">es Schemas </w:t>
      </w:r>
      <w:r>
        <w:rPr>
          <w:i/>
          <w:iCs/>
        </w:rPr>
        <w:t>S</w:t>
      </w:r>
      <w:r>
        <w:rPr>
          <w:iCs/>
          <w:vertAlign w:val="subscript"/>
        </w:rPr>
        <w:t>8</w:t>
      </w:r>
      <w:r>
        <w:t xml:space="preserve">. </w:t>
      </w:r>
      <w:r w:rsidR="00C96451">
        <w:t xml:space="preserve">Die Schemaortbedingungen müssen immer </w:t>
      </w:r>
      <w:r>
        <w:t xml:space="preserve">vollständig angegeben sein. Anders sieht es mit der Menge </w:t>
      </w:r>
      <w:r w:rsidR="00C96451" w:rsidRPr="00C96451">
        <w:rPr>
          <w:i/>
        </w:rPr>
        <w:t>Zb</w:t>
      </w:r>
      <w:r w:rsidR="00C96451">
        <w:t xml:space="preserve"> </w:t>
      </w:r>
      <w:r>
        <w:t xml:space="preserve">von </w:t>
      </w:r>
      <w:r w:rsidR="008114D0">
        <w:t>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C96451">
        <w:t xml:space="preserve"> aus</w:t>
      </w:r>
      <w:r w:rsidR="008114D0">
        <w:t xml:space="preserve">, </w:t>
      </w:r>
      <w:r>
        <w:t xml:space="preserve">von denen einzelne (aber auch gar keine oder alle) </w:t>
      </w:r>
      <w:r w:rsidR="008114D0">
        <w:t xml:space="preserve">als Zusatzbedingungen </w:t>
      </w:r>
      <w:r>
        <w:t xml:space="preserve">spezifiziert sein können; in diesem Fall sind es die </w:t>
      </w:r>
      <w:r w:rsidR="00C96451">
        <w:t xml:space="preserve">zweite und die siebte Eigenschaft aus </w:t>
      </w:r>
      <w:r w:rsidR="00C96451" w:rsidRPr="00C96451">
        <w:rPr>
          <w:i/>
        </w:rPr>
        <w:t>Zb</w:t>
      </w:r>
      <w:r w:rsidR="00C96451">
        <w:t>.</w:t>
      </w:r>
      <w:r w:rsidR="00C96451">
        <w:rPr>
          <w:rStyle w:val="Funotenzeichen"/>
        </w:rPr>
        <w:footnoteReference w:id="371"/>
      </w:r>
    </w:p>
    <w:p w:rsidR="00D2554C" w:rsidRDefault="00D2554C" w:rsidP="00F26892">
      <w:pPr>
        <w:pStyle w:val="Formel"/>
        <w:ind w:hanging="397"/>
      </w:pPr>
      <w:r>
        <w:lastRenderedPageBreak/>
        <w:t>2.</w:t>
      </w:r>
      <w:r>
        <w:tab/>
      </w:r>
      <w:r w:rsidR="00734779">
        <w:t xml:space="preserve">Die </w:t>
      </w:r>
      <w:r w:rsidR="00D3509E">
        <w:t>verlangten Eigenschaften</w:t>
      </w:r>
      <w:r w:rsidR="00734779">
        <w:t xml:space="preserve"> </w:t>
      </w:r>
      <w:r w:rsidR="00734779">
        <w:rPr>
          <w:i/>
          <w:iCs/>
        </w:rPr>
        <w:t>V</w:t>
      </w:r>
      <w:r w:rsidR="00734779">
        <w:t xml:space="preserve"> enthalt</w:t>
      </w:r>
      <w:r w:rsidR="004D5D4D">
        <w:t xml:space="preserve">en drei Eigenschaften, zwei </w:t>
      </w:r>
      <w:r w:rsidR="006F0F67">
        <w:t>intrins</w:t>
      </w:r>
      <w:r w:rsidR="006F0F67">
        <w:t>i</w:t>
      </w:r>
      <w:r w:rsidR="006F0F67">
        <w:t>sche</w:t>
      </w:r>
      <w:r w:rsidR="004D5D4D">
        <w:t xml:space="preserve"> Eigenschaften</w:t>
      </w:r>
      <w:r w:rsidR="005D7996">
        <w:fldChar w:fldCharType="begin"/>
      </w:r>
      <w:r w:rsidR="00D6214C">
        <w:instrText xml:space="preserve"> XE "</w:instrText>
      </w:r>
      <w:r w:rsidR="00D6214C" w:rsidRPr="005F14BC">
        <w:instrText>Eigenschaften:intrinsische</w:instrText>
      </w:r>
      <w:r w:rsidR="00D6214C">
        <w:instrText xml:space="preserve">" </w:instrText>
      </w:r>
      <w:r w:rsidR="005D7996">
        <w:fldChar w:fldCharType="end"/>
      </w:r>
      <w:r w:rsidR="004D5D4D">
        <w:t xml:space="preserve"> und eine horizontal-relationale Eigenschaft.</w:t>
      </w:r>
    </w:p>
    <w:p w:rsidR="00D2554C" w:rsidRDefault="00B12D5E" w:rsidP="00F26892">
      <w:pPr>
        <w:pStyle w:val="Formel"/>
        <w:ind w:hanging="397"/>
      </w:pPr>
      <w:r>
        <w:t>3.</w:t>
      </w:r>
      <w:r>
        <w:tab/>
        <w:t>Die</w:t>
      </w:r>
      <w:r w:rsidR="00D2554C">
        <w:t xml:space="preserve"> Anwendungswahrscheinlichkeit </w:t>
      </w:r>
      <w:r w:rsidRPr="00B12D5E">
        <w:rPr>
          <w:i/>
        </w:rPr>
        <w:t>w</w:t>
      </w:r>
      <w:r>
        <w:t xml:space="preserve"> = </w:t>
      </w:r>
      <w:r w:rsidR="00D2554C">
        <w:t>0,8.</w:t>
      </w:r>
    </w:p>
    <w:p w:rsidR="00D2554C" w:rsidRDefault="00D2554C" w:rsidP="00F26892">
      <w:pPr>
        <w:pStyle w:val="Formel"/>
        <w:ind w:hanging="397"/>
      </w:pPr>
      <w:r>
        <w:t>4.</w:t>
      </w:r>
      <w:r>
        <w:tab/>
        <w:t xml:space="preserve">Die Priorität </w:t>
      </w:r>
      <w:r w:rsidR="00B12D5E" w:rsidRPr="00B12D5E">
        <w:rPr>
          <w:i/>
        </w:rPr>
        <w:t>p</w:t>
      </w:r>
      <w:r w:rsidR="00B12D5E">
        <w:t xml:space="preserve"> = </w:t>
      </w:r>
      <w:r>
        <w:t xml:space="preserve">3, es ist die 2. </w:t>
      </w:r>
      <w:r w:rsidR="00765E66">
        <w:t>Merkmalsregel</w:t>
      </w:r>
      <w:r>
        <w:t xml:space="preserve"> mit dieser Priorität.</w:t>
      </w:r>
    </w:p>
    <w:p w:rsidR="00D2554C" w:rsidRDefault="00D2554C">
      <w:pPr>
        <w:pStyle w:val="Titel3"/>
      </w:pPr>
      <w:bookmarkStart w:id="247" w:name="_Ref212123094"/>
      <w:bookmarkStart w:id="248" w:name="_Toc325456744"/>
      <w:bookmarkEnd w:id="244"/>
      <w:r>
        <w:t xml:space="preserve">Priorisierung von </w:t>
      </w:r>
      <w:r w:rsidR="00765E66">
        <w:t>Merkmalsregel</w:t>
      </w:r>
      <w:r>
        <w:t>n</w:t>
      </w:r>
      <w:bookmarkEnd w:id="247"/>
      <w:bookmarkEnd w:id="248"/>
    </w:p>
    <w:p w:rsidR="00D2554C" w:rsidRDefault="005D7996" w:rsidP="00920ED0">
      <w:pPr>
        <w:pStyle w:val="Text"/>
        <w:ind w:firstLine="0"/>
      </w:pPr>
      <w:r>
        <w:fldChar w:fldCharType="begin"/>
      </w:r>
      <w:r w:rsidR="001603F4">
        <w:instrText xml:space="preserve"> XE "</w:instrText>
      </w:r>
      <w:r w:rsidR="001603F4" w:rsidRPr="005F58EF">
        <w:instrText>Priorisierung</w:instrText>
      </w:r>
      <w:r w:rsidR="001603F4">
        <w:instrText>" \r "Priorisierung"</w:instrText>
      </w:r>
      <w:r w:rsidR="00362FC7">
        <w:instrText xml:space="preserve"> </w:instrText>
      </w:r>
      <w:r>
        <w:fldChar w:fldCharType="end"/>
      </w:r>
      <w:r w:rsidR="00D2554C">
        <w:t>Die Priorisierung wird im doppelten Subskript angegeben. Das erste Subskript bezeichnet die Priorität, während das zweite Subskript die Regeln mit gleicher Priorität durch</w:t>
      </w:r>
      <w:r w:rsidR="00D65C3F">
        <w:t>nummer</w:t>
      </w:r>
      <w:r w:rsidR="00D2554C">
        <w:t xml:space="preserve">iert. Die Regeln werden in der Reihenfolge ihrer Priorität abgearbeitet. Regeln mit der gleichen Priorität werden durch Zufall nacheinander </w:t>
      </w:r>
      <w:r w:rsidR="00D3409C">
        <w:t>angewandt</w:t>
      </w:r>
      <w:r w:rsidR="00D2554C">
        <w:t>. Der Spezialfall, dass es keine Priorisierung zwischen den verschied</w:t>
      </w:r>
      <w:r w:rsidR="00D2554C">
        <w:t>e</w:t>
      </w:r>
      <w:r w:rsidR="00D2554C">
        <w:t xml:space="preserve">nen </w:t>
      </w:r>
      <w:r w:rsidR="00765E66">
        <w:t>Merkmalsregel</w:t>
      </w:r>
      <w:r w:rsidR="00D2554C">
        <w:t>n gibt, kann ausgedrückt werden, indem alle dasselbe Su</w:t>
      </w:r>
      <w:r w:rsidR="00D2554C">
        <w:t>b</w:t>
      </w:r>
      <w:r w:rsidR="00D2554C">
        <w:t xml:space="preserve">skript erhalten, in diesem Fall wird die Reihenfolge der </w:t>
      </w:r>
      <w:r w:rsidR="00765E66">
        <w:t>Merkmalsregel</w:t>
      </w:r>
      <w:r w:rsidR="00D2554C">
        <w:t>n nur durch den Zufall bestimmt.</w:t>
      </w:r>
    </w:p>
    <w:p w:rsidR="00D2554C" w:rsidRDefault="00D2554C">
      <w:pPr>
        <w:pStyle w:val="Text"/>
      </w:pPr>
      <w:r>
        <w:t xml:space="preserve">Die Priorisierung dient dazu, Konflikte zwischen verschiedenen Regeln zu vermeiden. Manche Regeln kommen sich bei der </w:t>
      </w:r>
      <w:r w:rsidR="00D3409C">
        <w:t xml:space="preserve">Anwendung </w:t>
      </w:r>
      <w:r>
        <w:t xml:space="preserve">nicht in die Quere; viele tun es jedoch, </w:t>
      </w:r>
      <w:r w:rsidR="00DB4BCA">
        <w:t xml:space="preserve">da </w:t>
      </w:r>
      <w:r>
        <w:t xml:space="preserve">Regeln nicht parallel </w:t>
      </w:r>
      <w:r w:rsidR="00D3409C">
        <w:t xml:space="preserve">angewandt </w:t>
      </w:r>
      <w:r>
        <w:t>werden können. Der Output einer Regel wird zum Input der nächsten, wobei in vielen Fällen bei e</w:t>
      </w:r>
      <w:r>
        <w:t>i</w:t>
      </w:r>
      <w:r>
        <w:t xml:space="preserve">ner </w:t>
      </w:r>
      <w:r w:rsidR="00D3409C">
        <w:t xml:space="preserve">Anwendung </w:t>
      </w:r>
      <w:r>
        <w:t>in umgekehrter Reihenfolge andere Ergebnisse entstehen wü</w:t>
      </w:r>
      <w:r>
        <w:t>r</w:t>
      </w:r>
      <w:r>
        <w:t>den.</w:t>
      </w:r>
    </w:p>
    <w:p w:rsidR="00690100" w:rsidRDefault="00D2554C">
      <w:pPr>
        <w:pStyle w:val="Text"/>
      </w:pPr>
      <w:r>
        <w:t xml:space="preserve">Entspricht dieser Vorgang der kognitiven Realität? Nehmen wir </w:t>
      </w:r>
      <w:r w:rsidR="008A1AAF">
        <w:t>als Beispiel an, d</w:t>
      </w:r>
      <w:r>
        <w:t>er Schreibstil</w:t>
      </w:r>
      <w:r w:rsidR="005D7996">
        <w:fldChar w:fldCharType="begin"/>
      </w:r>
      <w:r w:rsidR="00673F18">
        <w:instrText xml:space="preserve"> XE "</w:instrText>
      </w:r>
      <w:r w:rsidR="00673F18" w:rsidRPr="008B7C1D">
        <w:instrText>Schreibstil</w:instrText>
      </w:r>
      <w:r w:rsidR="00673F18">
        <w:instrText xml:space="preserve">" </w:instrText>
      </w:r>
      <w:r w:rsidR="005D7996">
        <w:fldChar w:fldCharType="end"/>
      </w:r>
      <w:r>
        <w:t xml:space="preserve"> einer Wissenschaftlerin enthält </w:t>
      </w:r>
      <w:r w:rsidR="00690100">
        <w:t xml:space="preserve">die folgenden </w:t>
      </w:r>
      <w:r w:rsidR="00765E66">
        <w:t>Merkmalsregel</w:t>
      </w:r>
      <w:r>
        <w:t>n</w:t>
      </w:r>
      <w:r w:rsidR="00690100">
        <w:t>:</w:t>
      </w:r>
    </w:p>
    <w:p w:rsidR="00D2554C" w:rsidRDefault="00690100" w:rsidP="00920ED0">
      <w:pPr>
        <w:pStyle w:val="Interpretation"/>
      </w:pPr>
      <w:r w:rsidRPr="00E044F6">
        <w:rPr>
          <w:i/>
        </w:rPr>
        <w:t>U</w:t>
      </w:r>
      <w:r w:rsidRPr="00E044F6">
        <w:t>(</w:t>
      </w:r>
      <w:r w:rsidRPr="00E044F6">
        <w:rPr>
          <w:i/>
        </w:rPr>
        <w:t>B</w:t>
      </w:r>
      <w:r w:rsidRPr="00690100">
        <w:rPr>
          <w:vertAlign w:val="subscript"/>
        </w:rPr>
        <w:t>1</w:t>
      </w:r>
      <w:r w:rsidRPr="00E044F6">
        <w:t>): ‚</w:t>
      </w:r>
      <w:r>
        <w:t>Formulierun</w:t>
      </w:r>
      <w:r w:rsidR="00153205">
        <w:t>gen</w:t>
      </w:r>
      <w:r>
        <w:t xml:space="preserve">‘, </w:t>
      </w:r>
      <w:r>
        <w:rPr>
          <w:i/>
        </w:rPr>
        <w:t>V</w:t>
      </w:r>
      <w:r w:rsidRPr="00E044F6">
        <w:t>(</w:t>
      </w:r>
      <w:r w:rsidRPr="00E044F6">
        <w:rPr>
          <w:i/>
        </w:rPr>
        <w:t>B</w:t>
      </w:r>
      <w:r w:rsidRPr="00690100">
        <w:rPr>
          <w:vertAlign w:val="subscript"/>
        </w:rPr>
        <w:t>1</w:t>
      </w:r>
      <w:r w:rsidRPr="00E044F6">
        <w:t xml:space="preserve">): </w:t>
      </w:r>
      <w:r>
        <w:t>‚</w:t>
      </w:r>
      <w:r w:rsidR="00D2554C">
        <w:t>einfach</w:t>
      </w:r>
      <w:r w:rsidR="006408E1">
        <w:t>;</w:t>
      </w:r>
      <w:r w:rsidR="00D2554C">
        <w:t xml:space="preserve"> allgemeinverständlich</w:t>
      </w:r>
      <w:r>
        <w:t>‘</w:t>
      </w:r>
    </w:p>
    <w:p w:rsidR="00D2554C" w:rsidRDefault="00690100" w:rsidP="00920ED0">
      <w:pPr>
        <w:pStyle w:val="Interpretation"/>
      </w:pPr>
      <w:r w:rsidRPr="00E044F6">
        <w:rPr>
          <w:i/>
        </w:rPr>
        <w:t>U</w:t>
      </w:r>
      <w:r w:rsidRPr="00E044F6">
        <w:t>(</w:t>
      </w:r>
      <w:r w:rsidRPr="00E044F6">
        <w:rPr>
          <w:i/>
        </w:rPr>
        <w:t>B</w:t>
      </w:r>
      <w:r>
        <w:rPr>
          <w:vertAlign w:val="subscript"/>
        </w:rPr>
        <w:t>2</w:t>
      </w:r>
      <w:r w:rsidRPr="00E044F6">
        <w:t>): ‚</w:t>
      </w:r>
      <w:r w:rsidR="00153205">
        <w:t>Ausdrucksweise</w:t>
      </w:r>
      <w:r>
        <w:t xml:space="preserve">‘, </w:t>
      </w:r>
      <w:r>
        <w:rPr>
          <w:i/>
        </w:rPr>
        <w:t>V</w:t>
      </w:r>
      <w:r w:rsidRPr="00E044F6">
        <w:t>(</w:t>
      </w:r>
      <w:r w:rsidRPr="00E044F6">
        <w:rPr>
          <w:i/>
        </w:rPr>
        <w:t>B</w:t>
      </w:r>
      <w:r w:rsidR="002D3D5B">
        <w:rPr>
          <w:vertAlign w:val="subscript"/>
        </w:rPr>
        <w:t>2</w:t>
      </w:r>
      <w:r w:rsidRPr="00E044F6">
        <w:t xml:space="preserve">): </w:t>
      </w:r>
      <w:r>
        <w:t>‚</w:t>
      </w:r>
      <w:r w:rsidR="006408E1">
        <w:t>wissenschaftlich</w:t>
      </w:r>
      <w:r w:rsidR="007D799B">
        <w:t xml:space="preserve"> </w:t>
      </w:r>
      <w:r w:rsidR="00B04038">
        <w:t>p</w:t>
      </w:r>
      <w:r w:rsidR="007D799B">
        <w:t>räzis</w:t>
      </w:r>
      <w:r w:rsidR="00B04038">
        <w:t>e</w:t>
      </w:r>
      <w:r>
        <w:t>‘</w:t>
      </w:r>
    </w:p>
    <w:p w:rsidR="00D2554C" w:rsidRDefault="00D2554C" w:rsidP="00920ED0">
      <w:pPr>
        <w:pStyle w:val="Text"/>
        <w:tabs>
          <w:tab w:val="left" w:pos="9356"/>
        </w:tabs>
        <w:ind w:firstLine="0"/>
      </w:pPr>
      <w:r>
        <w:t xml:space="preserve">Beide </w:t>
      </w:r>
      <w:r w:rsidR="00765E66">
        <w:t>Merkmalsregel</w:t>
      </w:r>
      <w:r>
        <w:t>n kommen häufig miteinander in Konflikt, da wissenschaf</w:t>
      </w:r>
      <w:r>
        <w:t>t</w:t>
      </w:r>
      <w:r>
        <w:t>lich präzise Ausdrucksmöglichkeiten oft nicht die einfachsten sind. Der Stil ist jedoch nicht widersprüchlich; die Wissenschaftlerin muss sich entscheiden (hä</w:t>
      </w:r>
      <w:r>
        <w:t>u</w:t>
      </w:r>
      <w:r>
        <w:t>fig wird sie dies unbewusst tun), in welcher Reihenfolge sie priorisiert.</w:t>
      </w:r>
    </w:p>
    <w:p w:rsidR="00D2554C" w:rsidRDefault="00D2554C">
      <w:pPr>
        <w:pStyle w:val="Text"/>
        <w:tabs>
          <w:tab w:val="left" w:pos="9356"/>
        </w:tabs>
      </w:pPr>
      <w:r>
        <w:t xml:space="preserve">Wird </w:t>
      </w:r>
      <w:r w:rsidR="008A1AAF" w:rsidRPr="00E044F6">
        <w:rPr>
          <w:i/>
          <w:iCs/>
        </w:rPr>
        <w:t>B</w:t>
      </w:r>
      <w:r w:rsidR="008A1AAF" w:rsidRPr="00690100">
        <w:rPr>
          <w:iCs/>
          <w:vertAlign w:val="subscript"/>
        </w:rPr>
        <w:t>1</w:t>
      </w:r>
      <w:r w:rsidR="008A1AAF">
        <w:t xml:space="preserve"> </w:t>
      </w:r>
      <w:r>
        <w:t xml:space="preserve">über </w:t>
      </w:r>
      <w:r w:rsidR="008A1AAF" w:rsidRPr="00E044F6">
        <w:rPr>
          <w:i/>
          <w:iCs/>
        </w:rPr>
        <w:t>B</w:t>
      </w:r>
      <w:r w:rsidR="008A1AAF">
        <w:rPr>
          <w:iCs/>
          <w:vertAlign w:val="subscript"/>
        </w:rPr>
        <w:t>2</w:t>
      </w:r>
      <w:r>
        <w:t xml:space="preserve"> priorisiert, kann es durchaus passieren, dass der Stil stark an Präzision verliert, insbesondere dann, wenn die erste eine hohe Anwe</w:t>
      </w:r>
      <w:r>
        <w:t>n</w:t>
      </w:r>
      <w:r>
        <w:t xml:space="preserve">dungswahrscheinlichkeit </w:t>
      </w:r>
      <w:r>
        <w:rPr>
          <w:i/>
        </w:rPr>
        <w:t>w</w:t>
      </w:r>
      <w:r>
        <w:t xml:space="preserve"> enthält, da es fast immer einfache Ausdrucksmö</w:t>
      </w:r>
      <w:r>
        <w:t>g</w:t>
      </w:r>
      <w:r>
        <w:t xml:space="preserve">lichkeiten gibt. Die Regel </w:t>
      </w:r>
      <w:r w:rsidR="008A1AAF" w:rsidRPr="00E044F6">
        <w:rPr>
          <w:i/>
          <w:iCs/>
        </w:rPr>
        <w:t>B</w:t>
      </w:r>
      <w:r w:rsidR="008A1AAF">
        <w:rPr>
          <w:iCs/>
          <w:vertAlign w:val="subscript"/>
        </w:rPr>
        <w:t>2</w:t>
      </w:r>
      <w:r>
        <w:t xml:space="preserve"> kann dann nur noch auf die durch </w:t>
      </w:r>
      <w:r w:rsidR="008A1AAF" w:rsidRPr="00E044F6">
        <w:rPr>
          <w:i/>
          <w:iCs/>
        </w:rPr>
        <w:t>B</w:t>
      </w:r>
      <w:r w:rsidR="008A1AAF">
        <w:rPr>
          <w:iCs/>
          <w:vertAlign w:val="subscript"/>
        </w:rPr>
        <w:t>1</w:t>
      </w:r>
      <w:r>
        <w:t xml:space="preserve"> reduzierten </w:t>
      </w:r>
      <w:r w:rsidR="00721558">
        <w:t>Alter</w:t>
      </w:r>
      <w:r w:rsidR="00721558">
        <w:softHyphen/>
        <w:t>nativen</w:t>
      </w:r>
      <w:r w:rsidR="00721558">
        <w:softHyphen/>
        <w:t>klasse</w:t>
      </w:r>
      <w:r>
        <w:t>n zugreifen und wird häufig die präzisesten Möglichkeiten nicht mehr erhalten. Sie kann nur innerhalb ausreichend einfacher Formuli</w:t>
      </w:r>
      <w:r>
        <w:t>e</w:t>
      </w:r>
      <w:r>
        <w:t>rungsmöglichkeiten wählen.</w:t>
      </w:r>
    </w:p>
    <w:p w:rsidR="00D2554C" w:rsidRDefault="00D2554C">
      <w:pPr>
        <w:pStyle w:val="Text"/>
        <w:tabs>
          <w:tab w:val="left" w:pos="9356"/>
        </w:tabs>
      </w:pPr>
      <w:r>
        <w:t xml:space="preserve">Wird </w:t>
      </w:r>
      <w:r w:rsidR="00765E66">
        <w:t>Merkmalsregel</w:t>
      </w:r>
      <w:r>
        <w:t xml:space="preserve"> </w:t>
      </w:r>
      <w:r w:rsidR="008A1AAF" w:rsidRPr="00E044F6">
        <w:rPr>
          <w:i/>
          <w:iCs/>
        </w:rPr>
        <w:t>B</w:t>
      </w:r>
      <w:r w:rsidR="008A1AAF">
        <w:rPr>
          <w:iCs/>
          <w:vertAlign w:val="subscript"/>
        </w:rPr>
        <w:t>2</w:t>
      </w:r>
      <w:r>
        <w:t xml:space="preserve"> über </w:t>
      </w:r>
      <w:r w:rsidR="008A1AAF" w:rsidRPr="00E044F6">
        <w:rPr>
          <w:i/>
          <w:iCs/>
        </w:rPr>
        <w:t>B</w:t>
      </w:r>
      <w:r w:rsidR="008A1AAF">
        <w:rPr>
          <w:iCs/>
          <w:vertAlign w:val="subscript"/>
        </w:rPr>
        <w:t>1</w:t>
      </w:r>
      <w:r>
        <w:t xml:space="preserve"> priorisiert, werden durch </w:t>
      </w:r>
      <w:r w:rsidR="008A1AAF" w:rsidRPr="00E044F6">
        <w:rPr>
          <w:i/>
          <w:iCs/>
        </w:rPr>
        <w:t>B</w:t>
      </w:r>
      <w:r w:rsidR="008A1AAF">
        <w:rPr>
          <w:iCs/>
          <w:vertAlign w:val="subscript"/>
        </w:rPr>
        <w:t>2</w:t>
      </w:r>
      <w:r>
        <w:t xml:space="preserve"> reduzierte </w:t>
      </w:r>
      <w:r w:rsidR="00721558">
        <w:t>Alter</w:t>
      </w:r>
      <w:r w:rsidR="00721558">
        <w:softHyphen/>
        <w:t>nativen</w:t>
      </w:r>
      <w:r w:rsidR="00721558">
        <w:softHyphen/>
        <w:t>klasse</w:t>
      </w:r>
      <w:r>
        <w:t xml:space="preserve">n gebildet, die nur wissenschaftlich präzise Möglichkeiten enthalten. Diese werden dann von </w:t>
      </w:r>
      <w:r w:rsidR="008A1AAF" w:rsidRPr="00E044F6">
        <w:rPr>
          <w:i/>
          <w:iCs/>
        </w:rPr>
        <w:t>B</w:t>
      </w:r>
      <w:r w:rsidR="008A1AAF">
        <w:rPr>
          <w:iCs/>
          <w:vertAlign w:val="subscript"/>
        </w:rPr>
        <w:t>1</w:t>
      </w:r>
      <w:r>
        <w:t xml:space="preserve"> weiter reduziert, wobei komplexe Mö</w:t>
      </w:r>
      <w:r>
        <w:t>g</w:t>
      </w:r>
      <w:r>
        <w:t xml:space="preserve">lichkeiten ausscheiden. In manchen Fällen wird die </w:t>
      </w:r>
      <w:r w:rsidR="00765E66">
        <w:t>Merkmalsregel</w:t>
      </w:r>
      <w:r>
        <w:t xml:space="preserve"> keine ausre</w:t>
      </w:r>
      <w:r>
        <w:t>i</w:t>
      </w:r>
      <w:r>
        <w:lastRenderedPageBreak/>
        <w:t xml:space="preserve">chend einfachen Möglichkeiten mehr finden, das Ergebnis ihrer Anwendung wäre die leere </w:t>
      </w:r>
      <w:r w:rsidR="00721558">
        <w:t>Alter</w:t>
      </w:r>
      <w:r w:rsidR="00721558">
        <w:softHyphen/>
        <w:t>nativen</w:t>
      </w:r>
      <w:r w:rsidR="00721558">
        <w:softHyphen/>
        <w:t>klasse</w:t>
      </w:r>
      <w:r>
        <w:t xml:space="preserve">, so dass die vorige, unreduzierte </w:t>
      </w:r>
      <w:r w:rsidR="00721558">
        <w:t>Alter</w:t>
      </w:r>
      <w:r w:rsidR="00721558">
        <w:softHyphen/>
        <w:t>nativen</w:t>
      </w:r>
      <w:r w:rsidR="00721558">
        <w:softHyphen/>
        <w:t>klasse</w:t>
      </w:r>
      <w:r>
        <w:t xml:space="preserve"> Output bleibt.</w:t>
      </w:r>
    </w:p>
    <w:p w:rsidR="00D2554C" w:rsidRDefault="00D2554C">
      <w:pPr>
        <w:pStyle w:val="Text"/>
        <w:tabs>
          <w:tab w:val="left" w:pos="9356"/>
        </w:tabs>
      </w:pPr>
      <w:r>
        <w:t>Die Frage der Priorisierung kann auf die Entscheidung hinauslaufen, was e</w:t>
      </w:r>
      <w:r>
        <w:t>i</w:t>
      </w:r>
      <w:r>
        <w:t xml:space="preserve">nem wichtiger ist. Doch auch andere Kriterien spielen eine Rolle. Im obigen Fall erscheint es plausibel, dass die Wissenschaftlerin </w:t>
      </w:r>
      <w:r w:rsidR="008A1AAF" w:rsidRPr="00E044F6">
        <w:rPr>
          <w:i/>
          <w:iCs/>
        </w:rPr>
        <w:t>B</w:t>
      </w:r>
      <w:r w:rsidR="008A1AAF">
        <w:rPr>
          <w:iCs/>
          <w:vertAlign w:val="subscript"/>
        </w:rPr>
        <w:t>2</w:t>
      </w:r>
      <w:r>
        <w:t xml:space="preserve"> über </w:t>
      </w:r>
      <w:r w:rsidR="008A1AAF" w:rsidRPr="00E044F6">
        <w:rPr>
          <w:i/>
          <w:iCs/>
        </w:rPr>
        <w:t>B</w:t>
      </w:r>
      <w:r w:rsidR="008A1AAF">
        <w:rPr>
          <w:iCs/>
          <w:vertAlign w:val="subscript"/>
        </w:rPr>
        <w:t>1</w:t>
      </w:r>
      <w:r>
        <w:t xml:space="preserve"> priorisiert, da </w:t>
      </w:r>
      <w:r w:rsidR="008A1AAF" w:rsidRPr="00E044F6">
        <w:rPr>
          <w:i/>
          <w:iCs/>
        </w:rPr>
        <w:t>B</w:t>
      </w:r>
      <w:r w:rsidR="008A1AAF">
        <w:rPr>
          <w:iCs/>
          <w:vertAlign w:val="subscript"/>
        </w:rPr>
        <w:t>2</w:t>
      </w:r>
      <w:r>
        <w:t xml:space="preserve"> spezieller ist und somit eine größere Chance besteht, beide Regeln </w:t>
      </w:r>
      <w:r w:rsidR="00067EE0">
        <w:t>anwenden zu können</w:t>
      </w:r>
      <w:r>
        <w:t>. Selbst wenn die Anforderungen wissenschaftlicher Präzision erfüllt sind, kann sie noch in den meisten Fällen (relativ) einfach und allgemeinve</w:t>
      </w:r>
      <w:r>
        <w:t>r</w:t>
      </w:r>
      <w:r>
        <w:t xml:space="preserve">ständlich formulieren, allerdings muss sie dann in Kauf nehmen, dass es </w:t>
      </w:r>
      <w:r w:rsidR="00B04038">
        <w:t xml:space="preserve">ab und zu </w:t>
      </w:r>
      <w:r>
        <w:t>komplexe und schwierige Formulierungen gibt.</w:t>
      </w:r>
    </w:p>
    <w:p w:rsidR="00D2554C" w:rsidRDefault="00D2554C">
      <w:pPr>
        <w:pStyle w:val="Text"/>
        <w:tabs>
          <w:tab w:val="left" w:pos="9356"/>
        </w:tabs>
      </w:pPr>
      <w:r>
        <w:t xml:space="preserve">Allgemein ist es sinnvoll, </w:t>
      </w:r>
      <w:r w:rsidR="00765E66">
        <w:t>Merkmalsregel</w:t>
      </w:r>
      <w:r>
        <w:t xml:space="preserve">n, die ein niedriges </w:t>
      </w:r>
      <w:r>
        <w:rPr>
          <w:i/>
        </w:rPr>
        <w:t>w</w:t>
      </w:r>
      <w:r>
        <w:t xml:space="preserve"> haben und/oder schon von den </w:t>
      </w:r>
      <w:r w:rsidR="005F647E">
        <w:t>Anwendungsbedingung</w:t>
      </w:r>
      <w:r>
        <w:t>en her nur auf wenige Möglic</w:t>
      </w:r>
      <w:r>
        <w:t>h</w:t>
      </w:r>
      <w:r>
        <w:t>keiten zutreffen, an den Anfang zu setzen, da hier die größte Wahrscheinlichkeit besteht, dass die wenigen für sie passenden Elemente noch nicht durch ‚Rasen</w:t>
      </w:r>
      <w:r w:rsidR="00521B22">
        <w:softHyphen/>
      </w:r>
      <w:r>
        <w:t xml:space="preserve">mäherregeln‘ – wie im obigen Fall </w:t>
      </w:r>
      <w:r w:rsidR="008A1AAF" w:rsidRPr="00E044F6">
        <w:rPr>
          <w:i/>
          <w:iCs/>
        </w:rPr>
        <w:t>B</w:t>
      </w:r>
      <w:r w:rsidR="008A1AAF">
        <w:rPr>
          <w:iCs/>
          <w:vertAlign w:val="subscript"/>
        </w:rPr>
        <w:t>1</w:t>
      </w:r>
      <w:r>
        <w:t xml:space="preserve"> – aussortiert wurden.</w:t>
      </w:r>
    </w:p>
    <w:p w:rsidR="00D2554C" w:rsidRDefault="00D2554C">
      <w:pPr>
        <w:pStyle w:val="Text"/>
        <w:tabs>
          <w:tab w:val="left" w:pos="9356"/>
        </w:tabs>
      </w:pPr>
      <w:r>
        <w:t xml:space="preserve">Tatsächlich macht es nur wenig Sinn, wenn etwa eine </w:t>
      </w:r>
      <w:r w:rsidR="00765E66">
        <w:t>Merkmalsregel</w:t>
      </w:r>
      <w:r>
        <w:t xml:space="preserve"> </w:t>
      </w:r>
      <w:r w:rsidR="008A1AAF" w:rsidRPr="00E044F6">
        <w:rPr>
          <w:i/>
          <w:iCs/>
        </w:rPr>
        <w:t>B</w:t>
      </w:r>
      <w:r w:rsidR="008A1AAF">
        <w:rPr>
          <w:iCs/>
          <w:vertAlign w:val="subscript"/>
        </w:rPr>
        <w:t>3</w:t>
      </w:r>
      <w:r>
        <w:t xml:space="preserve"> die Anwendung einer nur in seltenen Fällen </w:t>
      </w:r>
      <w:r w:rsidR="001132A6">
        <w:t>sinnvoll anwendbaren</w:t>
      </w:r>
      <w:r>
        <w:t xml:space="preserve"> rhetorischen F</w:t>
      </w:r>
      <w:r>
        <w:t>i</w:t>
      </w:r>
      <w:r>
        <w:t>gur fordert, diese weit nach unten zu priorisieren, da dann die wenigen passe</w:t>
      </w:r>
      <w:r>
        <w:t>n</w:t>
      </w:r>
      <w:r>
        <w:t xml:space="preserve">den Möglichkeiten häufig nicht mehr im Input zu finden sein werden. Für die anderen </w:t>
      </w:r>
      <w:r w:rsidR="00765E66">
        <w:t>Merkmalsregel</w:t>
      </w:r>
      <w:r>
        <w:t xml:space="preserve">n spielt die </w:t>
      </w:r>
      <w:r w:rsidR="00FF0146">
        <w:t xml:space="preserve">Priorität </w:t>
      </w:r>
      <w:r>
        <w:t xml:space="preserve">dieser </w:t>
      </w:r>
      <w:r w:rsidR="00765E66">
        <w:t>Merkmalsregel</w:t>
      </w:r>
      <w:r>
        <w:t xml:space="preserve"> keine große Rolle, weil sie nur an wenigen Realisierungsstellen ein</w:t>
      </w:r>
      <w:r w:rsidR="000D2D04">
        <w:t>e</w:t>
      </w:r>
      <w:r>
        <w:t xml:space="preserve"> (allerdings stark) red</w:t>
      </w:r>
      <w:r>
        <w:t>u</w:t>
      </w:r>
      <w:r>
        <w:t xml:space="preserve">zierte </w:t>
      </w:r>
      <w:r w:rsidR="00721558">
        <w:t>Alter</w:t>
      </w:r>
      <w:r w:rsidR="00721558">
        <w:softHyphen/>
        <w:t>nativen</w:t>
      </w:r>
      <w:r w:rsidR="00721558">
        <w:softHyphen/>
        <w:t>klasse</w:t>
      </w:r>
      <w:r w:rsidR="000D2D04">
        <w:t xml:space="preserve"> spezifizieren </w:t>
      </w:r>
      <w:r>
        <w:t xml:space="preserve">wird. Allgemeine </w:t>
      </w:r>
      <w:r w:rsidR="00765E66">
        <w:t>Merkmalsregel</w:t>
      </w:r>
      <w:r>
        <w:t xml:space="preserve">n wie </w:t>
      </w:r>
      <w:r w:rsidR="008A1AAF" w:rsidRPr="00E044F6">
        <w:rPr>
          <w:i/>
          <w:iCs/>
        </w:rPr>
        <w:t>B</w:t>
      </w:r>
      <w:r w:rsidR="008A1AAF">
        <w:rPr>
          <w:iCs/>
          <w:vertAlign w:val="subscript"/>
        </w:rPr>
        <w:t>1</w:t>
      </w:r>
      <w:r>
        <w:t xml:space="preserve"> werden also in der Regel nach unten priorisiert werden, da sie auch dann noch eine deutlich erkennbare Wirkung erzielen, spezielle wie </w:t>
      </w:r>
      <w:r w:rsidR="008A1AAF" w:rsidRPr="00E044F6">
        <w:rPr>
          <w:i/>
          <w:iCs/>
        </w:rPr>
        <w:t>B</w:t>
      </w:r>
      <w:r w:rsidR="008A1AAF">
        <w:rPr>
          <w:iCs/>
          <w:vertAlign w:val="subscript"/>
        </w:rPr>
        <w:t>3</w:t>
      </w:r>
      <w:r>
        <w:t>, bei der dies nicht gesichert wäre, dagegen nach oben.</w:t>
      </w:r>
    </w:p>
    <w:p w:rsidR="001E2A14" w:rsidRDefault="00D2554C">
      <w:pPr>
        <w:pStyle w:val="Text"/>
        <w:tabs>
          <w:tab w:val="left" w:pos="9356"/>
        </w:tabs>
      </w:pPr>
      <w:r>
        <w:t xml:space="preserve">Priorisierungen in Stilen werden häufig nicht explizit thematisiert, selbst wenn über </w:t>
      </w:r>
      <w:r w:rsidR="00A426C7">
        <w:t xml:space="preserve">ihre Auswirkungen </w:t>
      </w:r>
      <w:r>
        <w:t>gesprochen wird. So könnte ein Kunstwisse</w:t>
      </w:r>
      <w:r>
        <w:t>n</w:t>
      </w:r>
      <w:r>
        <w:t>schaftler</w:t>
      </w:r>
      <w:r w:rsidR="005D7996">
        <w:fldChar w:fldCharType="begin"/>
      </w:r>
      <w:r w:rsidR="009D2C75">
        <w:instrText xml:space="preserve"> XE "</w:instrText>
      </w:r>
      <w:r w:rsidR="009D2C75" w:rsidRPr="005A76D6">
        <w:instrText>Kunstwissenschaft</w:instrText>
      </w:r>
      <w:r w:rsidR="009D2C75">
        <w:instrText xml:space="preserve">" </w:instrText>
      </w:r>
      <w:r w:rsidR="005D7996">
        <w:fldChar w:fldCharType="end"/>
      </w:r>
      <w:r>
        <w:t xml:space="preserve"> </w:t>
      </w:r>
      <w:r w:rsidR="00525E1D">
        <w:t>feststellen</w:t>
      </w:r>
      <w:r>
        <w:t xml:space="preserve">, dass </w:t>
      </w:r>
      <w:r w:rsidR="00526CAC">
        <w:t xml:space="preserve">die </w:t>
      </w:r>
      <w:r w:rsidR="001132A6">
        <w:t xml:space="preserve">Vertreter </w:t>
      </w:r>
      <w:r>
        <w:t>eine</w:t>
      </w:r>
      <w:r w:rsidR="001132A6">
        <w:t>r</w:t>
      </w:r>
      <w:r>
        <w:t xml:space="preserve"> </w:t>
      </w:r>
      <w:r w:rsidR="001132A6">
        <w:t xml:space="preserve">bestimmten </w:t>
      </w:r>
      <w:r>
        <w:t xml:space="preserve">Malereischule Nacht- </w:t>
      </w:r>
      <w:r w:rsidR="002D3FB6">
        <w:t xml:space="preserve">und </w:t>
      </w:r>
      <w:r>
        <w:t>Inne</w:t>
      </w:r>
      <w:r w:rsidR="00526CAC">
        <w:t>nraumszenen aufgehellt darstellen</w:t>
      </w:r>
      <w:r>
        <w:t xml:space="preserve">, obwohl sie sonst auf Realismus </w:t>
      </w:r>
      <w:r w:rsidR="00F53079">
        <w:t xml:space="preserve">in allen Bereichen der Darstellung (also auch in der Beleuchtung) </w:t>
      </w:r>
      <w:r w:rsidR="001132A6">
        <w:t>achten</w:t>
      </w:r>
      <w:r w:rsidR="005B50C2">
        <w:t xml:space="preserve">, und </w:t>
      </w:r>
      <w:r w:rsidR="00192EC8">
        <w:t>als Erklärung annehmen</w:t>
      </w:r>
      <w:r>
        <w:t xml:space="preserve">, dass </w:t>
      </w:r>
      <w:r w:rsidR="001132A6">
        <w:t xml:space="preserve">diese Malereischule </w:t>
      </w:r>
      <w:r>
        <w:t>die Erkennbarkeit des Dargestel</w:t>
      </w:r>
      <w:r>
        <w:t>l</w:t>
      </w:r>
      <w:r>
        <w:t xml:space="preserve">ten fordert. </w:t>
      </w:r>
      <w:r w:rsidR="005B50C2">
        <w:t xml:space="preserve">Dies lässt sich </w:t>
      </w:r>
      <w:r w:rsidR="00DD3806">
        <w:t>durch zwei</w:t>
      </w:r>
      <w:r w:rsidR="005B50C2">
        <w:t xml:space="preserve"> Merkmalsregeln </w:t>
      </w:r>
      <w:r w:rsidR="00DD3806">
        <w:t>ausdrücken, deren relat</w:t>
      </w:r>
      <w:r w:rsidR="00DD3806">
        <w:t>i</w:t>
      </w:r>
      <w:r w:rsidR="00DD3806">
        <w:t xml:space="preserve">ve </w:t>
      </w:r>
      <w:r w:rsidR="00FF0146">
        <w:t xml:space="preserve">Priorität </w:t>
      </w:r>
      <w:r w:rsidR="00DD3806">
        <w:t>angegeben ist</w:t>
      </w:r>
      <w:r w:rsidR="005B50C2">
        <w:t>:</w:t>
      </w:r>
    </w:p>
    <w:p w:rsidR="001E2A14" w:rsidRDefault="001E2A14" w:rsidP="00FC7CF9">
      <w:pPr>
        <w:pStyle w:val="Interpretation"/>
      </w:pPr>
      <w:r w:rsidRPr="00E044F6">
        <w:rPr>
          <w:i/>
        </w:rPr>
        <w:t>U</w:t>
      </w:r>
      <w:r w:rsidRPr="00E044F6">
        <w:t>(</w:t>
      </w:r>
      <w:r w:rsidRPr="00E044F6">
        <w:rPr>
          <w:i/>
        </w:rPr>
        <w:t>B</w:t>
      </w:r>
      <w:r w:rsidRPr="00690100">
        <w:rPr>
          <w:vertAlign w:val="subscript"/>
        </w:rPr>
        <w:t>1</w:t>
      </w:r>
      <w:r w:rsidRPr="00E044F6">
        <w:t>): ‚</w:t>
      </w:r>
      <w:r w:rsidR="00F53079">
        <w:t>Darstellung</w:t>
      </w:r>
      <w:r>
        <w:t xml:space="preserve">‘, </w:t>
      </w:r>
      <w:r>
        <w:rPr>
          <w:i/>
        </w:rPr>
        <w:t>V</w:t>
      </w:r>
      <w:r w:rsidRPr="00E044F6">
        <w:t>(</w:t>
      </w:r>
      <w:r w:rsidRPr="00E044F6">
        <w:rPr>
          <w:i/>
        </w:rPr>
        <w:t>B</w:t>
      </w:r>
      <w:r w:rsidRPr="00690100">
        <w:rPr>
          <w:vertAlign w:val="subscript"/>
        </w:rPr>
        <w:t>1</w:t>
      </w:r>
      <w:r w:rsidRPr="00E044F6">
        <w:t xml:space="preserve">): </w:t>
      </w:r>
      <w:r>
        <w:t>‚</w:t>
      </w:r>
      <w:r w:rsidR="00F53079">
        <w:t>realistisch</w:t>
      </w:r>
      <w:r>
        <w:t>‘</w:t>
      </w:r>
      <w:r w:rsidR="00F53079">
        <w:t xml:space="preserve">, </w:t>
      </w:r>
      <w:r w:rsidR="00F53079">
        <w:rPr>
          <w:i/>
        </w:rPr>
        <w:t>p</w:t>
      </w:r>
      <w:r w:rsidR="00F53079" w:rsidRPr="00E044F6">
        <w:t>(</w:t>
      </w:r>
      <w:r w:rsidR="00F53079" w:rsidRPr="00E044F6">
        <w:rPr>
          <w:i/>
        </w:rPr>
        <w:t>B</w:t>
      </w:r>
      <w:r w:rsidR="00F53079" w:rsidRPr="00690100">
        <w:rPr>
          <w:vertAlign w:val="subscript"/>
        </w:rPr>
        <w:t>1</w:t>
      </w:r>
      <w:r w:rsidR="00F53079" w:rsidRPr="00E044F6">
        <w:t>):</w:t>
      </w:r>
      <w:r w:rsidR="00F53079">
        <w:t xml:space="preserve"> </w:t>
      </w:r>
      <w:r w:rsidR="00F53079" w:rsidRPr="00F53079">
        <w:rPr>
          <w:i/>
        </w:rPr>
        <w:t>x</w:t>
      </w:r>
    </w:p>
    <w:p w:rsidR="001E2A14" w:rsidRPr="00F53079" w:rsidRDefault="001E2A14" w:rsidP="00FC7CF9">
      <w:pPr>
        <w:pStyle w:val="Interpretation"/>
        <w:tabs>
          <w:tab w:val="right" w:pos="6804"/>
        </w:tabs>
      </w:pPr>
      <w:r w:rsidRPr="00E044F6">
        <w:rPr>
          <w:i/>
        </w:rPr>
        <w:t>U</w:t>
      </w:r>
      <w:r w:rsidRPr="00E044F6">
        <w:t>(</w:t>
      </w:r>
      <w:r w:rsidRPr="00E044F6">
        <w:rPr>
          <w:i/>
        </w:rPr>
        <w:t>B</w:t>
      </w:r>
      <w:r>
        <w:rPr>
          <w:vertAlign w:val="subscript"/>
        </w:rPr>
        <w:t>2</w:t>
      </w:r>
      <w:r w:rsidRPr="00E044F6">
        <w:t>): ‚</w:t>
      </w:r>
      <w:r w:rsidR="00F53079">
        <w:t>Darstellung</w:t>
      </w:r>
      <w:r>
        <w:t xml:space="preserve">‘, </w:t>
      </w:r>
      <w:r>
        <w:rPr>
          <w:i/>
        </w:rPr>
        <w:t>V</w:t>
      </w:r>
      <w:r w:rsidRPr="00E044F6">
        <w:t>(</w:t>
      </w:r>
      <w:r w:rsidRPr="00E044F6">
        <w:rPr>
          <w:i/>
        </w:rPr>
        <w:t>B</w:t>
      </w:r>
      <w:r w:rsidR="00F53079">
        <w:rPr>
          <w:vertAlign w:val="subscript"/>
        </w:rPr>
        <w:t>2</w:t>
      </w:r>
      <w:r w:rsidRPr="00E044F6">
        <w:t xml:space="preserve">): </w:t>
      </w:r>
      <w:r>
        <w:t>‚</w:t>
      </w:r>
      <w:r w:rsidR="00F53079">
        <w:t xml:space="preserve">Dargestelltes ist </w:t>
      </w:r>
      <w:r>
        <w:t>klar erkennbar‘</w:t>
      </w:r>
      <w:r w:rsidR="00F53079">
        <w:t xml:space="preserve">, </w:t>
      </w:r>
      <w:r w:rsidR="00F53079">
        <w:rPr>
          <w:i/>
        </w:rPr>
        <w:t>p</w:t>
      </w:r>
      <w:r w:rsidR="00F53079" w:rsidRPr="00E044F6">
        <w:t>(</w:t>
      </w:r>
      <w:r w:rsidR="00F53079" w:rsidRPr="00E044F6">
        <w:rPr>
          <w:i/>
        </w:rPr>
        <w:t>B</w:t>
      </w:r>
      <w:r w:rsidR="00F53079">
        <w:rPr>
          <w:vertAlign w:val="subscript"/>
        </w:rPr>
        <w:t>2</w:t>
      </w:r>
      <w:r w:rsidR="00F53079" w:rsidRPr="00E044F6">
        <w:t>):</w:t>
      </w:r>
      <w:r w:rsidR="00F53079">
        <w:t xml:space="preserve"> </w:t>
      </w:r>
      <w:r w:rsidR="00F53079">
        <w:rPr>
          <w:i/>
        </w:rPr>
        <w:t>y</w:t>
      </w:r>
      <w:r w:rsidR="00FC7CF9">
        <w:br/>
      </w:r>
      <w:r w:rsidR="00FC7CF9">
        <w:tab/>
      </w:r>
      <w:r w:rsidR="00FC7CF9">
        <w:tab/>
      </w:r>
      <w:r w:rsidR="00FC7CF9">
        <w:tab/>
      </w:r>
      <w:r w:rsidR="00FC7CF9">
        <w:tab/>
      </w:r>
      <w:r w:rsidR="00F53079">
        <w:tab/>
      </w:r>
      <w:r w:rsidR="00FC7CF9">
        <w:tab/>
      </w:r>
      <w:r w:rsidR="00F53079">
        <w:t xml:space="preserve">mit </w:t>
      </w:r>
      <w:r w:rsidR="00F53079" w:rsidRPr="00F53079">
        <w:rPr>
          <w:i/>
        </w:rPr>
        <w:t>y</w:t>
      </w:r>
      <w:r w:rsidR="00F53079">
        <w:t xml:space="preserve"> &lt; </w:t>
      </w:r>
      <w:r w:rsidR="00F53079" w:rsidRPr="00F53079">
        <w:rPr>
          <w:i/>
        </w:rPr>
        <w:t>x</w:t>
      </w:r>
    </w:p>
    <w:p w:rsidR="00D2554C" w:rsidRDefault="00D2554C" w:rsidP="00FC7CF9">
      <w:pPr>
        <w:pStyle w:val="Text"/>
        <w:tabs>
          <w:tab w:val="left" w:pos="9356"/>
        </w:tabs>
        <w:ind w:firstLine="0"/>
      </w:pPr>
      <w:r>
        <w:t>Überlegungen dieser Art werden häufig angestellt, wenn überlegt wird, ob eine Regel in allgemeine</w:t>
      </w:r>
      <w:r w:rsidR="009E10FA">
        <w:t>r</w:t>
      </w:r>
      <w:r>
        <w:t xml:space="preserve"> Form anzunehmen ist (</w:t>
      </w:r>
      <w:r w:rsidR="009E10FA">
        <w:t xml:space="preserve">hier: </w:t>
      </w:r>
      <w:r>
        <w:t>allgemeine Realismusfor</w:t>
      </w:r>
      <w:r w:rsidR="00521B22">
        <w:softHyphen/>
      </w:r>
      <w:r>
        <w:t xml:space="preserve">derung) oder durch </w:t>
      </w:r>
      <w:r w:rsidR="009E10FA">
        <w:t>speziellere</w:t>
      </w:r>
      <w:r>
        <w:t xml:space="preserve"> </w:t>
      </w:r>
      <w:r w:rsidR="005F647E">
        <w:t>Anwendungsbedingung</w:t>
      </w:r>
      <w:r>
        <w:t xml:space="preserve">en </w:t>
      </w:r>
      <w:r w:rsidR="009E10FA">
        <w:t xml:space="preserve">eingeschränkt werden </w:t>
      </w:r>
      <w:r>
        <w:t>muss (</w:t>
      </w:r>
      <w:r w:rsidR="009E10FA">
        <w:t xml:space="preserve">hier: </w:t>
      </w:r>
      <w:r>
        <w:t>Realismusforderung nur für bestimmte Sujets – z.B. nicht für Nach</w:t>
      </w:r>
      <w:r>
        <w:t>t</w:t>
      </w:r>
      <w:r>
        <w:t xml:space="preserve">szenen – oder nur für bestimmte Aspekte der Darstellung – z.B. nicht für die </w:t>
      </w:r>
      <w:r>
        <w:lastRenderedPageBreak/>
        <w:t xml:space="preserve">Beleuchtung). </w:t>
      </w:r>
      <w:r w:rsidR="001E2A14">
        <w:t>Es wird d</w:t>
      </w:r>
      <w:r>
        <w:t>ann danach gesucht, ob Forderungen einer anderen</w:t>
      </w:r>
      <w:r w:rsidR="004831C8">
        <w:t xml:space="preserve"> </w:t>
      </w:r>
      <w:r w:rsidR="00765E66">
        <w:t>Merkmalsregel</w:t>
      </w:r>
      <w:r>
        <w:t xml:space="preserve"> </w:t>
      </w:r>
      <w:r w:rsidR="004831C8">
        <w:t xml:space="preserve">mit höherer Priorität </w:t>
      </w:r>
      <w:r>
        <w:t xml:space="preserve">die scheinbare </w:t>
      </w:r>
      <w:r w:rsidR="001E2A14">
        <w:t>Einschränkung ergeben h</w:t>
      </w:r>
      <w:r w:rsidR="001E2A14">
        <w:t>a</w:t>
      </w:r>
      <w:r w:rsidR="001E2A14">
        <w:t>ben könnten; ist eine solche Regel plausibel, kann die erste in allgemeiner Form angenommen werden.</w:t>
      </w:r>
    </w:p>
    <w:p w:rsidR="003930D3" w:rsidRDefault="003930D3" w:rsidP="003930D3">
      <w:pPr>
        <w:pStyle w:val="Titel2"/>
      </w:pPr>
      <w:bookmarkStart w:id="249" w:name="_Ref212110888"/>
      <w:bookmarkStart w:id="250" w:name="_Ref255649029"/>
      <w:bookmarkStart w:id="251" w:name="_Toc325456745"/>
      <w:r>
        <w:t>Einschreiben von Merkmalsregeln</w:t>
      </w:r>
      <w:bookmarkEnd w:id="249"/>
      <w:bookmarkEnd w:id="250"/>
      <w:bookmarkEnd w:id="251"/>
    </w:p>
    <w:p w:rsidR="003930D3" w:rsidRDefault="003930D3" w:rsidP="00226A91">
      <w:pPr>
        <w:pStyle w:val="Titel3"/>
        <w:spacing w:before="240"/>
      </w:pPr>
      <w:bookmarkStart w:id="252" w:name="_Ref269156038"/>
      <w:bookmarkStart w:id="253" w:name="_Toc325456746"/>
      <w:bookmarkStart w:id="254" w:name="Einschreiben2"/>
      <w:r>
        <w:t>Die Funktion Merkmalsregeln_einschreiben</w:t>
      </w:r>
      <w:bookmarkEnd w:id="252"/>
      <w:bookmarkEnd w:id="253"/>
    </w:p>
    <w:p w:rsidR="003930D3" w:rsidRDefault="005D7996" w:rsidP="00FC7CF9">
      <w:pPr>
        <w:pStyle w:val="Text"/>
        <w:ind w:firstLine="0"/>
      </w:pPr>
      <w:r>
        <w:fldChar w:fldCharType="begin"/>
      </w:r>
      <w:r w:rsidR="00261CD0">
        <w:instrText xml:space="preserve"> XE "Einschreiben von Merkmalsregeln</w:instrText>
      </w:r>
      <w:r w:rsidR="00DB644C">
        <w:instrText>:</w:instrText>
      </w:r>
      <w:r w:rsidR="00DB644C" w:rsidRPr="00DB644C">
        <w:rPr>
          <w:i/>
        </w:rPr>
        <w:instrText>Funktion</w:instrText>
      </w:r>
      <w:r w:rsidR="00261CD0">
        <w:instrText xml:space="preserve">" \r "Einschreiben2" </w:instrText>
      </w:r>
      <w:r>
        <w:fldChar w:fldCharType="end"/>
      </w:r>
      <w:r w:rsidR="003930D3">
        <w:t xml:space="preserve">Ein bestimmter Stil bestehe aus den Merkmalsregeln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rPr>
                  <m:t>1</m:t>
                </m:r>
              </m:e>
              <m:sub>
                <m:r>
                  <m:rPr>
                    <m:nor/>
                  </m:rPr>
                  <w:rPr>
                    <w:rFonts w:cs="Times New Roman"/>
                  </w:rPr>
                  <m:t>1</m:t>
                </m:r>
              </m:sub>
            </m:sSub>
          </m:sub>
        </m:sSub>
      </m:oMath>
      <w:r w:rsidR="003930D3">
        <w:t xml:space="preserve">, …,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x</m:t>
                </m:r>
              </m:e>
              <m:sub>
                <m:r>
                  <m:rPr>
                    <m:nor/>
                  </m:rPr>
                  <w:rPr>
                    <w:rFonts w:cs="Times New Roman"/>
                    <w:i/>
                  </w:rPr>
                  <m:t>y</m:t>
                </m:r>
              </m:sub>
            </m:sSub>
          </m:sub>
        </m:sSub>
      </m:oMath>
      <w:r w:rsidR="003930D3">
        <w:t>, die für die Re</w:t>
      </w:r>
      <w:r w:rsidR="003930D3">
        <w:t>a</w:t>
      </w:r>
      <w:r w:rsidR="003930D3">
        <w:t xml:space="preserve">lisierung mit den Realisierungsstellen </w:t>
      </w:r>
      <w:r w:rsidR="003930D3">
        <w:rPr>
          <w:i/>
        </w:rPr>
        <w:t>R</w:t>
      </w:r>
      <w:r w:rsidR="003930D3">
        <w:rPr>
          <w:vertAlign w:val="subscript"/>
        </w:rPr>
        <w:t>1</w:t>
      </w:r>
      <w:r w:rsidR="003930D3">
        <w:t xml:space="preserve">, …, </w:t>
      </w:r>
      <w:r w:rsidR="003930D3">
        <w:rPr>
          <w:i/>
        </w:rPr>
        <w:t>R</w:t>
      </w:r>
      <w:r w:rsidR="003930D3">
        <w:rPr>
          <w:i/>
          <w:vertAlign w:val="subscript"/>
        </w:rPr>
        <w:t>n</w:t>
      </w:r>
      <w:r w:rsidR="003930D3">
        <w:t xml:space="preserve"> gelten sollen.</w:t>
      </w:r>
    </w:p>
    <w:p w:rsidR="003930D3" w:rsidRDefault="003930D3" w:rsidP="003930D3">
      <w:pPr>
        <w:pStyle w:val="Text"/>
      </w:pPr>
      <w:r>
        <w:t>Die Funktion geht nun die Realisierungsstellen nacheinander durch und ruft dabei jeweils die Merkmalsregeln in der Reihenfolge ihrer Priorität auf. Wenn mehrere Merkmalsregeln die gleiche Priorität haben, wird die Reihenfolge ihre</w:t>
      </w:r>
      <w:r w:rsidR="0098260E">
        <w:t>r</w:t>
      </w:r>
      <w:r>
        <w:t xml:space="preserve"> </w:t>
      </w:r>
      <w:r w:rsidR="0098260E">
        <w:t xml:space="preserve">Anwendung </w:t>
      </w:r>
      <w:r>
        <w:t>durch Zufall bestimmt.</w:t>
      </w:r>
    </w:p>
    <w:p w:rsidR="003930D3" w:rsidRDefault="003930D3" w:rsidP="003930D3">
      <w:pPr>
        <w:pStyle w:val="Text"/>
      </w:pPr>
      <w:r>
        <w:t xml:space="preserve">Bei </w:t>
      </w:r>
      <w:r>
        <w:rPr>
          <w:i/>
          <w:iCs/>
        </w:rPr>
        <w:t>B</w:t>
      </w:r>
      <w:r>
        <w:t xml:space="preserve"> handelt es sich um eine Menge von Mengen von Merkmalsregeln. E</w:t>
      </w:r>
      <w:r>
        <w:t>i</w:t>
      </w:r>
      <w:r>
        <w:t xml:space="preserve">ne Menge von Merkmalsregeln wird durch einen Index bezeichnet: </w:t>
      </w:r>
      <w:r>
        <w:rPr>
          <w:i/>
        </w:rPr>
        <w:t>B</w:t>
      </w:r>
      <w:r>
        <w:rPr>
          <w:i/>
          <w:vertAlign w:val="subscript"/>
        </w:rPr>
        <w:t>j</w:t>
      </w:r>
      <w:r>
        <w:t>. Eine ei</w:t>
      </w:r>
      <w:r>
        <w:t>n</w:t>
      </w:r>
      <w:r>
        <w:t xml:space="preserve">zelne Merkmalsregel wird durch einen doppelten Index bezeichnet: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Der erste Index nummeriert Regelmengen mit unterschiedlicher Priorität durch (von der höchsten zur niedrigsten), der zweite nummeriert die Regeln innerhalb einer Regelmenge, die die gleiche Priorität haben. Diese Darstellungsweise numm</w:t>
      </w:r>
      <w:r>
        <w:t>e</w:t>
      </w:r>
      <w:r>
        <w:t>riert die Regeln eindeutig und gibt zugleich die Priorisierung</w:t>
      </w:r>
      <w:r w:rsidR="004551F3">
        <w:rPr>
          <w:rStyle w:val="Funotenzeichen"/>
        </w:rPr>
        <w:footnoteReference w:id="372"/>
      </w:r>
      <w:r>
        <w:t xml:space="preserve"> wieder: Für die Mengen von Merkmalsregeln </w:t>
      </w:r>
      <w:r>
        <w:rPr>
          <w:i/>
        </w:rPr>
        <w:t>B</w:t>
      </w:r>
      <w:r>
        <w:rPr>
          <w:vertAlign w:val="subscript"/>
        </w:rPr>
        <w:t>1</w:t>
      </w:r>
      <w:r>
        <w:t xml:space="preserve"> bis </w:t>
      </w:r>
      <w:r>
        <w:rPr>
          <w:i/>
        </w:rPr>
        <w:t>B</w:t>
      </w:r>
      <w:r w:rsidR="0008520E">
        <w:rPr>
          <w:i/>
          <w:vertAlign w:val="subscript"/>
        </w:rPr>
        <w:t>x</w:t>
      </w:r>
      <w:r>
        <w:t xml:space="preserve"> mit </w:t>
      </w:r>
      <w:r w:rsidR="0008520E">
        <w:rPr>
          <w:i/>
        </w:rPr>
        <w:t>x</w:t>
      </w:r>
      <w:r>
        <w:t xml:space="preserve"> = |</w:t>
      </w:r>
      <w:r>
        <w:rPr>
          <w:i/>
        </w:rPr>
        <w:t>B</w:t>
      </w:r>
      <w:r>
        <w:t xml:space="preserve">| geben die Indizes 1 bis </w:t>
      </w:r>
      <w:r w:rsidR="0008520E">
        <w:rPr>
          <w:i/>
        </w:rPr>
        <w:t>x</w:t>
      </w:r>
      <w:r>
        <w:t xml:space="preserve"> die Priorität an. Innerhalb jeder solchen Menge von Merkmalsregeln </w:t>
      </w:r>
      <w:r>
        <w:rPr>
          <w:i/>
        </w:rPr>
        <w:t>B</w:t>
      </w:r>
      <w:r>
        <w:rPr>
          <w:i/>
          <w:vertAlign w:val="subscript"/>
        </w:rPr>
        <w:t>j</w:t>
      </w:r>
      <w:r>
        <w:t xml:space="preserve"> haben die einzelnen Merkmalsregeln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rPr>
                  <m:t>1</m:t>
                </m:r>
              </m:sub>
            </m:sSub>
          </m:sub>
        </m:sSub>
      </m:oMath>
      <w:r>
        <w:t xml:space="preserve"> bis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z</m:t>
                </m:r>
              </m:sub>
            </m:sSub>
          </m:sub>
        </m:sSub>
      </m:oMath>
      <w:r>
        <w:t xml:space="preserve"> mit </w:t>
      </w:r>
      <w:r w:rsidR="0008520E">
        <w:rPr>
          <w:i/>
        </w:rPr>
        <w:t>z</w:t>
      </w:r>
      <w:r>
        <w:t xml:space="preserve"> = |</w:t>
      </w:r>
      <w:r>
        <w:rPr>
          <w:i/>
        </w:rPr>
        <w:t>B</w:t>
      </w:r>
      <w:r>
        <w:rPr>
          <w:i/>
          <w:vertAlign w:val="subscript"/>
        </w:rPr>
        <w:t>j</w:t>
      </w:r>
      <w:r>
        <w:t>| die gleiche Priorität.</w:t>
      </w:r>
    </w:p>
    <w:bookmarkEnd w:id="245"/>
    <w:p w:rsidR="003930D3" w:rsidRDefault="003930D3" w:rsidP="003930D3">
      <w:pPr>
        <w:pStyle w:val="Text"/>
      </w:pPr>
      <w:r>
        <w:t xml:space="preserve">Was macht die Funktion </w:t>
      </w:r>
      <w:r>
        <w:rPr>
          <w:i/>
        </w:rPr>
        <w:t xml:space="preserve">Merkmalsregeln_einschreiben </w:t>
      </w:r>
      <w:r w:rsidR="00207ECC">
        <w:t xml:space="preserve">genau? – Sie wird in der </w:t>
      </w:r>
      <w:r>
        <w:t xml:space="preserve">übergeordneten </w:t>
      </w:r>
      <w:r w:rsidR="00207ECC">
        <w:t xml:space="preserve">Funktion </w:t>
      </w:r>
      <w:r w:rsidRPr="00207ECC">
        <w:rPr>
          <w:i/>
        </w:rPr>
        <w:t>Schemaausführung</w:t>
      </w:r>
      <w:r>
        <w:t xml:space="preserve"> (vgl. Abschnitt </w:t>
      </w:r>
      <w:r w:rsidR="005D7996">
        <w:fldChar w:fldCharType="begin"/>
      </w:r>
      <w:r>
        <w:instrText xml:space="preserve"> REF _Ref212110965 \r \h </w:instrText>
      </w:r>
      <w:r w:rsidR="005D7996">
        <w:fldChar w:fldCharType="separate"/>
      </w:r>
      <w:r w:rsidR="001231D3">
        <w:t>5.2.2</w:t>
      </w:r>
      <w:r w:rsidR="005D7996">
        <w:fldChar w:fldCharType="end"/>
      </w:r>
      <w:r>
        <w:t>) aufger</w:t>
      </w:r>
      <w:r>
        <w:t>u</w:t>
      </w:r>
      <w:r>
        <w:t xml:space="preserve">fen. Sie selbst geht nacheinander alle </w:t>
      </w:r>
      <w:r w:rsidR="00721558">
        <w:t>Alter</w:t>
      </w:r>
      <w:r w:rsidR="00721558">
        <w:softHyphen/>
        <w:t>nativen</w:t>
      </w:r>
      <w:r w:rsidR="00721558">
        <w:softHyphen/>
        <w:t>klasse</w:t>
      </w:r>
      <w:r>
        <w:t xml:space="preserve">n durch und ruft für jede von ihnen alle Merkmalsregeln einmal in der Reihenfolge ihrer </w:t>
      </w:r>
      <w:r w:rsidR="00FC42C6">
        <w:t xml:space="preserve">Priorität </w:t>
      </w:r>
      <w:r>
        <w:t>auf.</w:t>
      </w:r>
    </w:p>
    <w:p w:rsidR="003930D3" w:rsidRDefault="003930D3" w:rsidP="003930D3">
      <w:pPr>
        <w:pStyle w:val="Text"/>
      </w:pPr>
      <w:r>
        <w:t xml:space="preserve">In Schritt 2 der </w:t>
      </w:r>
      <w:r w:rsidR="00207ECC">
        <w:t xml:space="preserve">Funktion </w:t>
      </w:r>
      <w:r w:rsidRPr="00207ECC">
        <w:rPr>
          <w:i/>
        </w:rPr>
        <w:t>Schemaausführung</w:t>
      </w:r>
      <w:r>
        <w:t xml:space="preserve"> wurde ja bereits eine Anor</w:t>
      </w:r>
      <w:r>
        <w:t>d</w:t>
      </w:r>
      <w:r>
        <w:t xml:space="preserve">nung von </w:t>
      </w:r>
      <w:r w:rsidR="00721558">
        <w:t>Alter</w:t>
      </w:r>
      <w:r w:rsidR="00721558">
        <w:softHyphen/>
        <w:t>nativen</w:t>
      </w:r>
      <w:r w:rsidR="00721558">
        <w:softHyphen/>
        <w:t>klasse</w:t>
      </w:r>
      <w:r>
        <w:t>n</w:t>
      </w:r>
      <w:r w:rsidR="005D7996">
        <w:fldChar w:fldCharType="begin"/>
      </w:r>
      <w:r w:rsidR="007B3BCE">
        <w:instrText xml:space="preserve"> XE "</w:instrText>
      </w:r>
      <w:r w:rsidR="007B3BCE" w:rsidRPr="00A4614E">
        <w:instrText>Anordnung von Alternativenklassen</w:instrText>
      </w:r>
      <w:r w:rsidR="007B3BCE">
        <w:instrText xml:space="preserve">" </w:instrText>
      </w:r>
      <w:r w:rsidR="005D7996">
        <w:fldChar w:fldCharType="end"/>
      </w:r>
      <w:r>
        <w:t xml:space="preserve"> gebildet. Nun werden also für jede dieser </w:t>
      </w:r>
      <w:r w:rsidR="00721558">
        <w:t>Alter</w:t>
      </w:r>
      <w:r w:rsidR="00721558">
        <w:softHyphen/>
        <w:t>nativen</w:t>
      </w:r>
      <w:r w:rsidR="00721558">
        <w:softHyphen/>
        <w:t>klasse</w:t>
      </w:r>
      <w:r>
        <w:t xml:space="preserve">n die Merkmalsregeln je einmal in der Reihenfolge ihrer Priorität (gleich priorisierte dem Zufall nach) aufgerufen. Die eigentliche Anwendung der Merkmalsregeln, die selbst wieder eine gewisse Komplexität aufweist, ist jedoch in eine Funktion </w:t>
      </w:r>
      <w:r w:rsidRPr="003F15BF">
        <w:rPr>
          <w:i/>
        </w:rPr>
        <w:t>Merkmalsregel_anwenden</w:t>
      </w:r>
      <w:r>
        <w:t xml:space="preserve"> verlagert. Diese wird also jeweils au</w:t>
      </w:r>
      <w:r>
        <w:t>f</w:t>
      </w:r>
      <w:r>
        <w:t xml:space="preserve">gerufen, wobei ihr als Parameter die jeweils betrachtete </w:t>
      </w:r>
      <w:r w:rsidR="00721558">
        <w:t>Alter</w:t>
      </w:r>
      <w:r w:rsidR="00721558">
        <w:softHyphen/>
        <w:t>nativen</w:t>
      </w:r>
      <w:r w:rsidR="00721558">
        <w:softHyphen/>
        <w:t>klasse</w:t>
      </w:r>
      <w:r>
        <w:t xml:space="preserve"> </w:t>
      </w:r>
      <w:r>
        <w:rPr>
          <w:i/>
        </w:rPr>
        <w:t>A</w:t>
      </w:r>
      <w:r>
        <w:rPr>
          <w:i/>
          <w:vertAlign w:val="subscript"/>
        </w:rPr>
        <w:t>i</w:t>
      </w:r>
      <w:r>
        <w:t xml:space="preserve">, die jeweils anzuwendende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sowie die bereits durch frühere A</w:t>
      </w:r>
      <w:r>
        <w:t>n</w:t>
      </w:r>
      <w:r>
        <w:t xml:space="preserve">wendungen reduzierte </w:t>
      </w:r>
      <w:r w:rsidR="00721558">
        <w:t>Alter</w:t>
      </w:r>
      <w:r w:rsidR="00721558">
        <w:softHyphen/>
        <w:t>nativen</w:t>
      </w:r>
      <w:r w:rsidR="00721558">
        <w:softHyphen/>
        <w:t>klasse</w:t>
      </w:r>
      <w:r>
        <w:t xml:space="preserve"> </w:t>
      </w:r>
      <w:r>
        <w:rPr>
          <w:i/>
        </w:rPr>
        <w:t>A'</w:t>
      </w:r>
      <w:r>
        <w:rPr>
          <w:i/>
          <w:vertAlign w:val="subscript"/>
        </w:rPr>
        <w:t>i</w:t>
      </w:r>
      <w:r>
        <w:t xml:space="preserve"> übergeben werden.</w:t>
      </w:r>
    </w:p>
    <w:p w:rsidR="003930D3" w:rsidRPr="004B7C6C" w:rsidRDefault="003930D3" w:rsidP="00FC7CF9">
      <w:pPr>
        <w:pStyle w:val="Text"/>
        <w:keepNext/>
        <w:spacing w:before="360"/>
        <w:ind w:firstLine="0"/>
        <w:jc w:val="left"/>
      </w:pPr>
      <w:r w:rsidRPr="004B7C6C">
        <w:lastRenderedPageBreak/>
        <w:t xml:space="preserve">function </w:t>
      </w:r>
      <w:r>
        <w:t>Merkmalsregeln_e</w:t>
      </w:r>
      <w:r w:rsidRPr="004B7C6C">
        <w:t>inschreiben (</w:t>
      </w:r>
      <w:r w:rsidRPr="004B7C6C">
        <w:rPr>
          <w:i/>
        </w:rPr>
        <w:t>A</w:t>
      </w:r>
      <w:r w:rsidRPr="004B7C6C">
        <w:t xml:space="preserve">, </w:t>
      </w:r>
      <w:r>
        <w:rPr>
          <w:i/>
          <w:iCs/>
        </w:rPr>
        <w:t>Ab</w:t>
      </w:r>
      <w:r>
        <w:t xml:space="preserve">, </w:t>
      </w:r>
      <w:r>
        <w:rPr>
          <w:i/>
        </w:rPr>
        <w:t>B</w:t>
      </w:r>
      <w:r w:rsidRPr="004B7C6C">
        <w:t>)</w:t>
      </w:r>
    </w:p>
    <w:p w:rsidR="003930D3" w:rsidRPr="00831D41" w:rsidRDefault="003930D3" w:rsidP="002C7C0E">
      <w:pPr>
        <w:pStyle w:val="Text"/>
        <w:ind w:firstLine="0"/>
        <w:jc w:val="left"/>
        <w:rPr>
          <w:lang w:val="en-US"/>
        </w:rPr>
      </w:pPr>
      <w:r w:rsidRPr="004B7C6C">
        <w:t xml:space="preserve">   </w:t>
      </w:r>
      <w:r w:rsidRPr="00831D41">
        <w:rPr>
          <w:lang w:val="en-US"/>
        </w:rPr>
        <w:t xml:space="preserve">for </w:t>
      </w:r>
      <w:r w:rsidRPr="00831D41">
        <w:rPr>
          <w:i/>
          <w:lang w:val="en-US"/>
        </w:rPr>
        <w:t>i</w:t>
      </w:r>
      <w:r w:rsidRPr="00831D41">
        <w:rPr>
          <w:lang w:val="en-US"/>
        </w:rPr>
        <w:t xml:space="preserve"> := 1 to |</w:t>
      </w:r>
      <w:r w:rsidRPr="00831D41">
        <w:rPr>
          <w:i/>
          <w:lang w:val="en-US"/>
        </w:rPr>
        <w:t>A</w:t>
      </w:r>
      <w:r w:rsidRPr="00831D41">
        <w:rPr>
          <w:lang w:val="en-US"/>
        </w:rPr>
        <w:t>|</w:t>
      </w:r>
    </w:p>
    <w:p w:rsidR="003930D3" w:rsidRPr="00831D41" w:rsidRDefault="003930D3" w:rsidP="002C7C0E">
      <w:pPr>
        <w:pStyle w:val="Text"/>
        <w:ind w:firstLine="0"/>
        <w:jc w:val="left"/>
        <w:rPr>
          <w:i/>
          <w:lang w:val="en-US"/>
        </w:rPr>
      </w:pPr>
      <w:r w:rsidRPr="00831D41">
        <w:rPr>
          <w:lang w:val="en-US"/>
        </w:rPr>
        <w:t xml:space="preserve">      </w:t>
      </w:r>
      <w:r w:rsidRPr="00831D41">
        <w:rPr>
          <w:i/>
          <w:lang w:val="en-US"/>
        </w:rPr>
        <w:t>A'</w:t>
      </w:r>
      <w:r w:rsidRPr="00831D41">
        <w:rPr>
          <w:i/>
          <w:vertAlign w:val="subscript"/>
          <w:lang w:val="en-US"/>
        </w:rPr>
        <w:t>i</w:t>
      </w:r>
      <w:r w:rsidRPr="00831D41">
        <w:rPr>
          <w:lang w:val="en-US"/>
        </w:rPr>
        <w:t xml:space="preserve"> := </w:t>
      </w:r>
      <w:r w:rsidRPr="00831D41">
        <w:rPr>
          <w:i/>
          <w:lang w:val="en-US"/>
        </w:rPr>
        <w:t>A</w:t>
      </w:r>
      <w:r w:rsidRPr="00831D41">
        <w:rPr>
          <w:i/>
          <w:vertAlign w:val="subscript"/>
          <w:lang w:val="en-US"/>
        </w:rPr>
        <w:t>i</w:t>
      </w:r>
      <w:r w:rsidRPr="00831D41">
        <w:rPr>
          <w:i/>
          <w:vertAlign w:val="subscript"/>
          <w:lang w:val="en-US"/>
        </w:rPr>
        <w:tab/>
      </w:r>
    </w:p>
    <w:p w:rsidR="005646FB" w:rsidRPr="001C3A64" w:rsidRDefault="003930D3" w:rsidP="002C7C0E">
      <w:pPr>
        <w:pStyle w:val="Text"/>
        <w:ind w:firstLine="0"/>
        <w:jc w:val="left"/>
        <w:rPr>
          <w:lang w:val="en-US"/>
        </w:rPr>
      </w:pPr>
      <w:r>
        <w:rPr>
          <w:lang w:val="en-US"/>
        </w:rPr>
        <w:t xml:space="preserve">      </w:t>
      </w:r>
      <w:r w:rsidR="00584F86" w:rsidRPr="001C3A64">
        <w:rPr>
          <w:i/>
          <w:lang w:val="en-US"/>
        </w:rPr>
        <w:t>B'</w:t>
      </w:r>
      <w:r w:rsidRPr="001C3A64">
        <w:rPr>
          <w:lang w:val="en-US"/>
        </w:rPr>
        <w:t xml:space="preserve"> := </w:t>
      </w:r>
      <w:r w:rsidRPr="001C3A64">
        <w:rPr>
          <w:i/>
          <w:lang w:val="en-US"/>
        </w:rPr>
        <w:t>B</w:t>
      </w:r>
    </w:p>
    <w:p w:rsidR="003930D3" w:rsidRPr="001C3A64" w:rsidRDefault="003930D3" w:rsidP="002F7234">
      <w:pPr>
        <w:pStyle w:val="Text"/>
        <w:ind w:hanging="369"/>
        <w:jc w:val="left"/>
        <w:rPr>
          <w:lang w:val="en-US"/>
        </w:rPr>
      </w:pPr>
      <w:r w:rsidRPr="002C7C0E">
        <w:rPr>
          <w:sz w:val="16"/>
          <w:szCs w:val="16"/>
          <w:lang w:val="en-US"/>
        </w:rPr>
        <w:t xml:space="preserve"> 5</w:t>
      </w:r>
      <w:r w:rsidRPr="001C3A64">
        <w:rPr>
          <w:lang w:val="en-US"/>
        </w:rPr>
        <w:tab/>
      </w:r>
      <w:r w:rsidR="005646FB" w:rsidRPr="001C3A64">
        <w:rPr>
          <w:lang w:val="en-US"/>
        </w:rPr>
        <w:t xml:space="preserve">      for </w:t>
      </w:r>
      <w:r w:rsidR="005646FB" w:rsidRPr="001C3A64">
        <w:rPr>
          <w:i/>
          <w:lang w:val="en-US"/>
        </w:rPr>
        <w:t>j</w:t>
      </w:r>
      <w:r w:rsidR="005646FB" w:rsidRPr="001C3A64">
        <w:rPr>
          <w:lang w:val="en-US"/>
        </w:rPr>
        <w:t xml:space="preserve"> := 1 to |</w:t>
      </w:r>
      <w:r w:rsidR="005646FB" w:rsidRPr="001C3A64">
        <w:rPr>
          <w:i/>
          <w:lang w:val="en-US"/>
        </w:rPr>
        <w:t>B</w:t>
      </w:r>
      <w:r w:rsidR="005646FB" w:rsidRPr="001C3A64">
        <w:rPr>
          <w:lang w:val="en-US"/>
        </w:rPr>
        <w:t>|</w:t>
      </w:r>
    </w:p>
    <w:p w:rsidR="005646FB" w:rsidRPr="001C3A64" w:rsidRDefault="005646FB" w:rsidP="002C7C0E">
      <w:pPr>
        <w:pStyle w:val="Text"/>
        <w:ind w:firstLine="0"/>
        <w:jc w:val="left"/>
        <w:rPr>
          <w:lang w:val="en-US"/>
        </w:rPr>
      </w:pPr>
      <w:r w:rsidRPr="001C3A64">
        <w:rPr>
          <w:lang w:val="en-US"/>
        </w:rPr>
        <w:t xml:space="preserve">         while |</w:t>
      </w:r>
      <w:r w:rsidRPr="001C3A64">
        <w:rPr>
          <w:i/>
          <w:lang w:val="en-US"/>
        </w:rPr>
        <w:t>B'</w:t>
      </w:r>
      <w:r w:rsidRPr="001C3A64">
        <w:rPr>
          <w:i/>
          <w:vertAlign w:val="subscript"/>
          <w:lang w:val="en-US"/>
        </w:rPr>
        <w:t>j</w:t>
      </w:r>
      <w:r w:rsidRPr="001C3A64">
        <w:rPr>
          <w:lang w:val="en-US"/>
        </w:rPr>
        <w:t>| &gt; 0</w:t>
      </w:r>
    </w:p>
    <w:p w:rsidR="003930D3" w:rsidRPr="008801FB" w:rsidRDefault="003930D3" w:rsidP="002C7C0E">
      <w:pPr>
        <w:pStyle w:val="Text"/>
        <w:ind w:firstLine="0"/>
        <w:jc w:val="left"/>
        <w:rPr>
          <w:lang w:val="en-US"/>
        </w:rPr>
      </w:pPr>
      <w:r w:rsidRPr="001C3A64">
        <w:rPr>
          <w:lang w:val="en-US"/>
        </w:rPr>
        <w:t xml:space="preserve">            </w:t>
      </w:r>
      <w:r w:rsidRPr="008801FB">
        <w:rPr>
          <w:i/>
          <w:lang w:val="en-US"/>
        </w:rPr>
        <w:t xml:space="preserve">k </w:t>
      </w:r>
      <w:r w:rsidRPr="008801FB">
        <w:rPr>
          <w:lang w:val="en-US"/>
        </w:rPr>
        <w:t>:= random</w:t>
      </w:r>
      <w:r w:rsidR="0075081B" w:rsidRPr="008801FB">
        <w:rPr>
          <w:lang w:val="en-US"/>
        </w:rPr>
        <w:t>N</w:t>
      </w:r>
      <w:r w:rsidRPr="008801FB">
        <w:rPr>
          <w:lang w:val="en-US"/>
        </w:rPr>
        <w:t xml:space="preserve"> (1, |</w:t>
      </w:r>
      <w:r w:rsidR="00584F86" w:rsidRPr="008801FB">
        <w:rPr>
          <w:i/>
          <w:lang w:val="en-US"/>
        </w:rPr>
        <w:t>B'</w:t>
      </w:r>
      <w:r w:rsidRPr="008801FB">
        <w:rPr>
          <w:i/>
          <w:vertAlign w:val="subscript"/>
          <w:lang w:val="en-US"/>
        </w:rPr>
        <w:t>j</w:t>
      </w:r>
      <w:r w:rsidRPr="008801FB">
        <w:rPr>
          <w:lang w:val="en-US"/>
        </w:rPr>
        <w:t>|)</w:t>
      </w:r>
    </w:p>
    <w:p w:rsidR="003930D3" w:rsidRPr="002F5378" w:rsidRDefault="003930D3" w:rsidP="002C7C0E">
      <w:pPr>
        <w:pStyle w:val="Text"/>
        <w:ind w:firstLine="0"/>
        <w:jc w:val="left"/>
      </w:pPr>
      <w:r w:rsidRPr="008801FB">
        <w:rPr>
          <w:lang w:val="en-US"/>
        </w:rPr>
        <w:t xml:space="preserve">            </w:t>
      </w:r>
      <w:r w:rsidRPr="002F5378">
        <w:rPr>
          <w:i/>
        </w:rPr>
        <w:t>A'</w:t>
      </w:r>
      <w:r w:rsidRPr="002F5378">
        <w:rPr>
          <w:i/>
          <w:vertAlign w:val="subscript"/>
        </w:rPr>
        <w:t>i</w:t>
      </w:r>
      <w:r w:rsidRPr="002F5378">
        <w:t xml:space="preserve"> := Merkmalsregel_anwenden (</w:t>
      </w:r>
      <w:r w:rsidRPr="002F5378">
        <w:rPr>
          <w:i/>
        </w:rPr>
        <w:t>A</w:t>
      </w:r>
      <w:r w:rsidRPr="002F5378">
        <w:rPr>
          <w:i/>
          <w:vertAlign w:val="subscript"/>
        </w:rPr>
        <w:t>i</w:t>
      </w:r>
      <w:r w:rsidRPr="002F5378">
        <w:t xml:space="preserve">, </w:t>
      </w:r>
      <w:r w:rsidRPr="002F5378">
        <w:rPr>
          <w:i/>
        </w:rPr>
        <w:t>A'</w:t>
      </w:r>
      <w:r w:rsidRPr="002F5378">
        <w:rPr>
          <w:i/>
          <w:vertAlign w:val="subscript"/>
        </w:rPr>
        <w:t>i</w:t>
      </w:r>
      <w:r w:rsidRPr="002F5378">
        <w:t xml:space="preserve">, </w:t>
      </w:r>
      <w:r w:rsidRPr="002F5378">
        <w:rPr>
          <w:i/>
          <w:iCs/>
        </w:rPr>
        <w:t>Ab</w:t>
      </w:r>
      <w:r w:rsidRPr="002F5378">
        <w:rPr>
          <w:i/>
          <w:vertAlign w:val="subscript"/>
        </w:rPr>
        <w:t>i</w:t>
      </w:r>
      <w:r w:rsidRPr="002F5378">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2F5378">
        <w:t>)</w:t>
      </w:r>
    </w:p>
    <w:p w:rsidR="003930D3" w:rsidRPr="00584F86" w:rsidRDefault="003930D3" w:rsidP="002C7C0E">
      <w:pPr>
        <w:pStyle w:val="Text"/>
        <w:ind w:firstLine="0"/>
        <w:jc w:val="left"/>
        <w:rPr>
          <w:sz w:val="32"/>
        </w:rPr>
      </w:pPr>
      <w:r w:rsidRPr="002F5378">
        <w:t xml:space="preserve">            </w:t>
      </w:r>
      <w:r w:rsidR="00584F86" w:rsidRPr="002F5378">
        <w:rPr>
          <w:i/>
        </w:rPr>
        <w:t>B</w:t>
      </w:r>
      <w:r w:rsidR="00584F86">
        <w:rPr>
          <w:i/>
        </w:rPr>
        <w:t>'</w:t>
      </w:r>
      <w:r w:rsidRPr="00584F86">
        <w:rPr>
          <w:i/>
          <w:vertAlign w:val="subscript"/>
        </w:rPr>
        <w:t>j</w:t>
      </w:r>
      <w:r w:rsidRPr="00584F86">
        <w:t xml:space="preserve"> := </w:t>
      </w:r>
      <w:r w:rsidR="00584F86" w:rsidRPr="002F5378">
        <w:rPr>
          <w:i/>
        </w:rPr>
        <w:t>B</w:t>
      </w:r>
      <w:r w:rsidR="00584F86">
        <w:rPr>
          <w:i/>
        </w:rPr>
        <w:t>'</w:t>
      </w:r>
      <w:r w:rsidRPr="00584F86">
        <w:rPr>
          <w:i/>
          <w:vertAlign w:val="subscript"/>
        </w:rPr>
        <w:t>j</w:t>
      </w:r>
      <w:r w:rsidRPr="00584F86">
        <w:t xml:space="preserve"> \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584F86">
        <w:t>}</w:t>
      </w:r>
    </w:p>
    <w:p w:rsidR="003930D3" w:rsidRPr="001C3A64" w:rsidRDefault="003930D3" w:rsidP="002F7234">
      <w:pPr>
        <w:pStyle w:val="Text"/>
        <w:ind w:hanging="369"/>
        <w:jc w:val="left"/>
      </w:pPr>
      <w:r w:rsidRPr="002C7C0E">
        <w:rPr>
          <w:sz w:val="16"/>
          <w:szCs w:val="16"/>
        </w:rPr>
        <w:t>10</w:t>
      </w:r>
      <w:r w:rsidRPr="001C3A64">
        <w:tab/>
      </w:r>
      <w:r w:rsidR="00EC35C3" w:rsidRPr="001C3A64">
        <w:t xml:space="preserve">   </w:t>
      </w:r>
      <w:r w:rsidRPr="001C3A64">
        <w:t xml:space="preserve">      end</w:t>
      </w:r>
    </w:p>
    <w:p w:rsidR="00EC35C3" w:rsidRDefault="00EC35C3" w:rsidP="002C7C0E">
      <w:pPr>
        <w:pStyle w:val="Text"/>
        <w:ind w:firstLine="0"/>
        <w:jc w:val="left"/>
        <w:rPr>
          <w:lang w:val="en-US"/>
        </w:rPr>
      </w:pPr>
      <w:r w:rsidRPr="001C3A64">
        <w:t xml:space="preserve">      </w:t>
      </w:r>
      <w:r>
        <w:rPr>
          <w:lang w:val="en-US"/>
        </w:rPr>
        <w:t>end</w:t>
      </w:r>
    </w:p>
    <w:p w:rsidR="003930D3" w:rsidRPr="00706A0F" w:rsidRDefault="003930D3" w:rsidP="002C7C0E">
      <w:pPr>
        <w:pStyle w:val="Text"/>
        <w:ind w:firstLine="0"/>
        <w:jc w:val="left"/>
        <w:rPr>
          <w:lang w:val="en-US"/>
        </w:rPr>
      </w:pPr>
      <w:r w:rsidRPr="00706A0F">
        <w:rPr>
          <w:lang w:val="en-US"/>
        </w:rPr>
        <w:t xml:space="preserve">   end</w:t>
      </w:r>
    </w:p>
    <w:p w:rsidR="003930D3" w:rsidRDefault="003930D3" w:rsidP="002C7C0E">
      <w:pPr>
        <w:pStyle w:val="Text"/>
        <w:ind w:firstLine="0"/>
        <w:jc w:val="left"/>
        <w:rPr>
          <w:lang w:val="en-GB"/>
        </w:rPr>
      </w:pPr>
      <w:r>
        <w:rPr>
          <w:i/>
          <w:iCs/>
          <w:lang w:val="en-GB"/>
        </w:rPr>
        <w:t xml:space="preserve">   A</w:t>
      </w:r>
      <w:r w:rsidRPr="00706A0F">
        <w:rPr>
          <w:i/>
          <w:lang w:val="en-US"/>
        </w:rPr>
        <w:t>'</w:t>
      </w:r>
      <w:r>
        <w:rPr>
          <w:lang w:val="en-GB"/>
        </w:rPr>
        <w:t xml:space="preserve"> := {</w:t>
      </w:r>
      <w:r>
        <w:rPr>
          <w:i/>
          <w:lang w:val="en-GB"/>
        </w:rPr>
        <w:t>A'</w:t>
      </w:r>
      <w:r>
        <w:rPr>
          <w:iCs/>
          <w:vertAlign w:val="subscript"/>
          <w:lang w:val="en-GB"/>
        </w:rPr>
        <w:t>1</w:t>
      </w:r>
      <w:r>
        <w:rPr>
          <w:lang w:val="en-GB"/>
        </w:rPr>
        <w:t xml:space="preserve">, …, </w:t>
      </w:r>
      <w:r>
        <w:rPr>
          <w:i/>
          <w:lang w:val="en-GB"/>
        </w:rPr>
        <w:t>A'</w:t>
      </w:r>
      <w:r>
        <w:rPr>
          <w:i/>
          <w:vertAlign w:val="subscript"/>
          <w:lang w:val="en-GB"/>
        </w:rPr>
        <w:t>|A|</w:t>
      </w:r>
      <w:r>
        <w:rPr>
          <w:lang w:val="en-GB"/>
        </w:rPr>
        <w:t>}</w:t>
      </w:r>
    </w:p>
    <w:p w:rsidR="003930D3" w:rsidRPr="00F4161F" w:rsidRDefault="003930D3" w:rsidP="002C7C0E">
      <w:pPr>
        <w:pStyle w:val="Text"/>
        <w:ind w:firstLine="0"/>
        <w:jc w:val="left"/>
        <w:rPr>
          <w:sz w:val="32"/>
        </w:rPr>
      </w:pPr>
      <w:r w:rsidRPr="00706A0F">
        <w:rPr>
          <w:lang w:val="en-US"/>
        </w:rPr>
        <w:t xml:space="preserve">   </w:t>
      </w:r>
      <w:r w:rsidRPr="00F4161F">
        <w:t xml:space="preserve">return </w:t>
      </w:r>
      <w:r w:rsidRPr="00F4161F">
        <w:rPr>
          <w:i/>
        </w:rPr>
        <w:t>A'</w:t>
      </w:r>
    </w:p>
    <w:p w:rsidR="00EC35C3" w:rsidRPr="00F4161F" w:rsidRDefault="00EC35C3" w:rsidP="002F7234">
      <w:pPr>
        <w:pStyle w:val="Text"/>
        <w:ind w:hanging="369"/>
        <w:jc w:val="left"/>
      </w:pPr>
      <w:r w:rsidRPr="00F4161F">
        <w:rPr>
          <w:sz w:val="16"/>
          <w:szCs w:val="16"/>
        </w:rPr>
        <w:t>15</w:t>
      </w:r>
      <w:r w:rsidRPr="00F4161F">
        <w:tab/>
        <w:t>end function</w:t>
      </w:r>
    </w:p>
    <w:p w:rsidR="003930D3" w:rsidRPr="00093341" w:rsidRDefault="00093341" w:rsidP="00FC7CF9">
      <w:pPr>
        <w:pStyle w:val="Zwischenberschrift"/>
        <w:spacing w:before="360"/>
      </w:pPr>
      <w:r>
        <w:t>Erläuterung</w:t>
      </w:r>
    </w:p>
    <w:p w:rsidR="003930D3" w:rsidRDefault="003930D3" w:rsidP="00FC7CF9">
      <w:pPr>
        <w:pStyle w:val="Text"/>
        <w:ind w:firstLine="0"/>
      </w:pPr>
      <w:r>
        <w:t xml:space="preserve">Zeile </w:t>
      </w:r>
      <w:r w:rsidR="00EC35C3">
        <w:t xml:space="preserve">1 </w:t>
      </w:r>
      <w:r>
        <w:t xml:space="preserve">gibt den Namen der Funktion an, die als Parameter </w:t>
      </w:r>
      <w:r>
        <w:rPr>
          <w:i/>
          <w:iCs/>
        </w:rPr>
        <w:t>A</w:t>
      </w:r>
      <w:r>
        <w:t xml:space="preserve">, die Menge der </w:t>
      </w:r>
      <w:r w:rsidR="00721558">
        <w:t>Alter</w:t>
      </w:r>
      <w:r w:rsidR="00721558">
        <w:softHyphen/>
        <w:t>nativen</w:t>
      </w:r>
      <w:r w:rsidR="00721558">
        <w:softHyphen/>
        <w:t>klasse</w:t>
      </w:r>
      <w:r>
        <w:t xml:space="preserve">n, </w:t>
      </w:r>
      <w:r w:rsidRPr="00547822">
        <w:rPr>
          <w:i/>
        </w:rPr>
        <w:t>Ab</w:t>
      </w:r>
      <w:r>
        <w:t xml:space="preserve">, die Menge der Alternativenbedingungen, und </w:t>
      </w:r>
      <w:r>
        <w:rPr>
          <w:i/>
          <w:iCs/>
        </w:rPr>
        <w:t>B</w:t>
      </w:r>
      <w:r>
        <w:t xml:space="preserve"> (die Menge der Merkmalsregeln)</w:t>
      </w:r>
      <w:r w:rsidR="005646FB">
        <w:t xml:space="preserve"> erhält</w:t>
      </w:r>
      <w:r>
        <w:t>.</w:t>
      </w:r>
    </w:p>
    <w:p w:rsidR="003930D3" w:rsidRDefault="003930D3" w:rsidP="003930D3">
      <w:pPr>
        <w:pStyle w:val="Text"/>
      </w:pPr>
      <w:r>
        <w:t xml:space="preserve">Zeile </w:t>
      </w:r>
      <w:r w:rsidR="00EC35C3">
        <w:t xml:space="preserve">2 </w:t>
      </w:r>
      <w:r>
        <w:t xml:space="preserve">gibt an, dass die eingerückt folgende Schleife für die Variable </w:t>
      </w:r>
      <w:r>
        <w:rPr>
          <w:i/>
          <w:iCs/>
        </w:rPr>
        <w:t>i</w:t>
      </w:r>
      <w:r>
        <w:t xml:space="preserve"> (die in der nächsten Zeile Index von </w:t>
      </w:r>
      <w:r>
        <w:rPr>
          <w:i/>
          <w:iCs/>
        </w:rPr>
        <w:t>A</w:t>
      </w:r>
      <w:r>
        <w:t xml:space="preserve"> ist) von 1 bis zur Anzahl der Elemente von </w:t>
      </w:r>
      <w:r>
        <w:rPr>
          <w:i/>
          <w:iCs/>
        </w:rPr>
        <w:t>A</w:t>
      </w:r>
      <w:r>
        <w:t xml:space="preserve"> ausgeführt wird</w:t>
      </w:r>
      <w:r w:rsidR="00A54C11">
        <w:t xml:space="preserve">, also für jedes Element von </w:t>
      </w:r>
      <w:r w:rsidR="00A54C11">
        <w:rPr>
          <w:i/>
          <w:iCs/>
        </w:rPr>
        <w:t>A</w:t>
      </w:r>
      <w:r>
        <w:t>.</w:t>
      </w:r>
    </w:p>
    <w:p w:rsidR="003930D3" w:rsidRDefault="003930D3" w:rsidP="003930D3">
      <w:pPr>
        <w:pStyle w:val="Text"/>
      </w:pPr>
      <w:r>
        <w:t xml:space="preserve">In Zeile </w:t>
      </w:r>
      <w:r w:rsidR="00EC35C3">
        <w:t xml:space="preserve">3 </w:t>
      </w:r>
      <w:r>
        <w:t xml:space="preserve">wird </w:t>
      </w:r>
      <w:r>
        <w:rPr>
          <w:i/>
        </w:rPr>
        <w:t>A'</w:t>
      </w:r>
      <w:r>
        <w:rPr>
          <w:i/>
          <w:vertAlign w:val="subscript"/>
        </w:rPr>
        <w:t>i</w:t>
      </w:r>
      <w:r>
        <w:t xml:space="preserve">, die </w:t>
      </w:r>
      <w:r w:rsidR="003E7510">
        <w:t xml:space="preserve">Variable für die </w:t>
      </w:r>
      <w:r>
        <w:t xml:space="preserve">reduzierte </w:t>
      </w:r>
      <w:r w:rsidR="00721558">
        <w:t>Alter</w:t>
      </w:r>
      <w:r w:rsidR="00721558">
        <w:softHyphen/>
        <w:t>nativen</w:t>
      </w:r>
      <w:r w:rsidR="00721558">
        <w:softHyphen/>
        <w:t>klasse</w:t>
      </w:r>
      <w:r>
        <w:t xml:space="preserve"> an der Stelle </w:t>
      </w:r>
      <w:r>
        <w:rPr>
          <w:i/>
          <w:iCs/>
        </w:rPr>
        <w:t>i</w:t>
      </w:r>
      <w:r>
        <w:t xml:space="preserve">, gleich </w:t>
      </w:r>
      <w:r>
        <w:rPr>
          <w:i/>
        </w:rPr>
        <w:t>A</w:t>
      </w:r>
      <w:r>
        <w:rPr>
          <w:i/>
          <w:vertAlign w:val="subscript"/>
        </w:rPr>
        <w:t>i</w:t>
      </w:r>
      <w:r>
        <w:t xml:space="preserve"> gesetzt.</w:t>
      </w:r>
    </w:p>
    <w:p w:rsidR="00EC35C3" w:rsidRDefault="00EC35C3" w:rsidP="003930D3">
      <w:pPr>
        <w:pStyle w:val="Text"/>
      </w:pPr>
      <w:r>
        <w:t xml:space="preserve">In Zeile 4 wird </w:t>
      </w:r>
      <w:r>
        <w:rPr>
          <w:i/>
        </w:rPr>
        <w:t>B'</w:t>
      </w:r>
      <w:r>
        <w:t xml:space="preserve">, die Menge der noch nicht </w:t>
      </w:r>
      <w:r w:rsidR="00450937">
        <w:t xml:space="preserve">angewandten </w:t>
      </w:r>
      <w:r>
        <w:t xml:space="preserve">Merkmalsregeln, gleich </w:t>
      </w:r>
      <w:r>
        <w:rPr>
          <w:i/>
        </w:rPr>
        <w:t>B</w:t>
      </w:r>
      <w:r>
        <w:t xml:space="preserve"> gesetzt.</w:t>
      </w:r>
    </w:p>
    <w:p w:rsidR="003930D3" w:rsidRDefault="003930D3" w:rsidP="003930D3">
      <w:pPr>
        <w:pStyle w:val="Text"/>
      </w:pPr>
      <w:r>
        <w:t xml:space="preserve">Zeile </w:t>
      </w:r>
      <w:r w:rsidR="00EC35C3">
        <w:t xml:space="preserve">5 </w:t>
      </w:r>
      <w:r>
        <w:t xml:space="preserve">gibt an, dass die eingerückt folgende Schleife für die Variable </w:t>
      </w:r>
      <w:r>
        <w:rPr>
          <w:i/>
          <w:iCs/>
        </w:rPr>
        <w:t>j</w:t>
      </w:r>
      <w:r>
        <w:t xml:space="preserve"> (die in der nächsten Zeile Index von </w:t>
      </w:r>
      <w:r>
        <w:rPr>
          <w:i/>
          <w:iCs/>
        </w:rPr>
        <w:t>B</w:t>
      </w:r>
      <w:r>
        <w:t xml:space="preserve"> ist) von 1 bis zur Anzahl der Elemente von </w:t>
      </w:r>
      <w:r>
        <w:rPr>
          <w:i/>
          <w:iCs/>
        </w:rPr>
        <w:t>B</w:t>
      </w:r>
      <w:r>
        <w:t xml:space="preserve"> ausgeführt wird.</w:t>
      </w:r>
    </w:p>
    <w:p w:rsidR="003930D3" w:rsidRDefault="003930D3" w:rsidP="003930D3">
      <w:pPr>
        <w:pStyle w:val="Text"/>
      </w:pPr>
      <w:r>
        <w:t xml:space="preserve">Zeile </w:t>
      </w:r>
      <w:r w:rsidR="00EC35C3">
        <w:t xml:space="preserve">6 </w:t>
      </w:r>
      <w:r>
        <w:t>gibt an, dass die eingerückt folgende Schleife wiederholt wird, sola</w:t>
      </w:r>
      <w:r>
        <w:t>n</w:t>
      </w:r>
      <w:r>
        <w:t xml:space="preserve">ge die Anzahl der Elemente von </w:t>
      </w:r>
      <w:r>
        <w:rPr>
          <w:i/>
        </w:rPr>
        <w:t>B</w:t>
      </w:r>
      <w:r>
        <w:rPr>
          <w:i/>
          <w:vertAlign w:val="subscript"/>
        </w:rPr>
        <w:t>j</w:t>
      </w:r>
      <w:r w:rsidR="00EC35C3" w:rsidRPr="00EC35C3">
        <w:rPr>
          <w:i/>
        </w:rPr>
        <w:t>'</w:t>
      </w:r>
      <w:r w:rsidR="00EC35C3">
        <w:t xml:space="preserve"> </w:t>
      </w:r>
      <w:r>
        <w:t xml:space="preserve">(der Menge der </w:t>
      </w:r>
      <w:r w:rsidR="00EC35C3">
        <w:t xml:space="preserve">noch nicht </w:t>
      </w:r>
      <w:r w:rsidR="00450937">
        <w:t xml:space="preserve">angewandten </w:t>
      </w:r>
      <w:r>
        <w:t xml:space="preserve">Merkmalsregeln mit der Priorität </w:t>
      </w:r>
      <w:r>
        <w:rPr>
          <w:i/>
          <w:iCs/>
        </w:rPr>
        <w:t>j</w:t>
      </w:r>
      <w:r>
        <w:t>) größer 0 ist.</w:t>
      </w:r>
    </w:p>
    <w:p w:rsidR="003930D3" w:rsidRDefault="003930D3" w:rsidP="003930D3">
      <w:pPr>
        <w:pStyle w:val="Text"/>
      </w:pPr>
      <w:r>
        <w:t xml:space="preserve">In Zeile </w:t>
      </w:r>
      <w:r w:rsidR="00EC35C3">
        <w:t xml:space="preserve">7 </w:t>
      </w:r>
      <w:r>
        <w:t xml:space="preserve">wird die Systemfunktion </w:t>
      </w:r>
      <w:r w:rsidRPr="003F15BF">
        <w:rPr>
          <w:i/>
        </w:rPr>
        <w:t>random</w:t>
      </w:r>
      <w:r w:rsidR="0075081B">
        <w:rPr>
          <w:i/>
        </w:rPr>
        <w:t>N</w:t>
      </w:r>
      <w:r>
        <w:t xml:space="preserve"> aufgerufen</w:t>
      </w:r>
      <w:r w:rsidR="0075081B">
        <w:t xml:space="preserve"> (Erläuterung s. u</w:t>
      </w:r>
      <w:r w:rsidR="0075081B">
        <w:t>n</w:t>
      </w:r>
      <w:r w:rsidR="0075081B">
        <w:t>ten),</w:t>
      </w:r>
      <w:r>
        <w:t xml:space="preserve"> die eine Zufallszahl </w:t>
      </w:r>
      <w:r w:rsidR="0075081B">
        <w:t xml:space="preserve">im Bereich von </w:t>
      </w:r>
      <w:r>
        <w:t xml:space="preserve">1 </w:t>
      </w:r>
      <w:r w:rsidR="0075081B">
        <w:t xml:space="preserve">bis zur </w:t>
      </w:r>
      <w:r>
        <w:t xml:space="preserve">Anzahl der Elemente von </w:t>
      </w:r>
      <w:r w:rsidR="00EC35C3">
        <w:rPr>
          <w:i/>
        </w:rPr>
        <w:t>B</w:t>
      </w:r>
      <w:r w:rsidR="00EC35C3">
        <w:rPr>
          <w:i/>
          <w:vertAlign w:val="subscript"/>
        </w:rPr>
        <w:t>j</w:t>
      </w:r>
      <w:r w:rsidR="00EC35C3" w:rsidRPr="00EC35C3">
        <w:rPr>
          <w:i/>
        </w:rPr>
        <w:t>'</w:t>
      </w:r>
      <w:r w:rsidR="0075081B">
        <w:t xml:space="preserve"> erzeugt.</w:t>
      </w:r>
      <w:r>
        <w:t xml:space="preserve"> Die Variable </w:t>
      </w:r>
      <w:r>
        <w:rPr>
          <w:i/>
          <w:iCs/>
        </w:rPr>
        <w:t>k</w:t>
      </w:r>
      <w:r>
        <w:t xml:space="preserve"> wird gleich dem Rückgabewert der Funktion gesetzt.</w:t>
      </w:r>
    </w:p>
    <w:p w:rsidR="003930D3" w:rsidRDefault="003930D3" w:rsidP="003930D3">
      <w:pPr>
        <w:pStyle w:val="Text"/>
      </w:pPr>
      <w:r>
        <w:t xml:space="preserve">In Zeile </w:t>
      </w:r>
      <w:r w:rsidR="00EC35C3">
        <w:t xml:space="preserve">8 </w:t>
      </w:r>
      <w:r>
        <w:t xml:space="preserve">wird die Funktion </w:t>
      </w:r>
      <w:r w:rsidRPr="003F15BF">
        <w:rPr>
          <w:i/>
        </w:rPr>
        <w:t>Merkmalsregel_anwenden</w:t>
      </w:r>
      <w:r>
        <w:t xml:space="preserve"> aufgerufen</w:t>
      </w:r>
      <w:r w:rsidR="00F84E90">
        <w:t xml:space="preserve"> (vgl. A</w:t>
      </w:r>
      <w:r w:rsidR="00F84E90">
        <w:t>b</w:t>
      </w:r>
      <w:r w:rsidR="00F84E90">
        <w:t xml:space="preserve">schnitt </w:t>
      </w:r>
      <w:r w:rsidR="005D7996">
        <w:fldChar w:fldCharType="begin"/>
      </w:r>
      <w:r w:rsidR="00F84E90">
        <w:instrText xml:space="preserve"> REF _Ref212455608 \r \h </w:instrText>
      </w:r>
      <w:r w:rsidR="005D7996">
        <w:fldChar w:fldCharType="separate"/>
      </w:r>
      <w:r w:rsidR="001231D3">
        <w:t>5.4.2</w:t>
      </w:r>
      <w:r w:rsidR="005D7996">
        <w:fldChar w:fldCharType="end"/>
      </w:r>
      <w:r w:rsidR="00F84E90">
        <w:t>)</w:t>
      </w:r>
      <w:r>
        <w:t xml:space="preserve">, der die unreduzierte </w:t>
      </w:r>
      <w:r w:rsidR="00721558">
        <w:t>Alter</w:t>
      </w:r>
      <w:r w:rsidR="00721558">
        <w:softHyphen/>
        <w:t>nativen</w:t>
      </w:r>
      <w:r w:rsidR="00721558">
        <w:softHyphen/>
        <w:t>klasse</w:t>
      </w:r>
      <w:r>
        <w:t xml:space="preserve"> </w:t>
      </w:r>
      <w:r>
        <w:rPr>
          <w:i/>
        </w:rPr>
        <w:t>A</w:t>
      </w:r>
      <w:r>
        <w:rPr>
          <w:i/>
          <w:vertAlign w:val="subscript"/>
        </w:rPr>
        <w:t>i</w:t>
      </w:r>
      <w:r>
        <w:t xml:space="preserve">, die reduzierte </w:t>
      </w:r>
      <w:r w:rsidR="00721558">
        <w:t>Alter</w:t>
      </w:r>
      <w:r w:rsidR="00721558">
        <w:softHyphen/>
        <w:t>nativen</w:t>
      </w:r>
      <w:r w:rsidR="00721558">
        <w:softHyphen/>
        <w:t>klasse</w:t>
      </w:r>
      <w:r>
        <w:t xml:space="preserve"> </w:t>
      </w:r>
      <w:r>
        <w:rPr>
          <w:i/>
        </w:rPr>
        <w:t>A'</w:t>
      </w:r>
      <w:r>
        <w:rPr>
          <w:i/>
          <w:vertAlign w:val="subscript"/>
        </w:rPr>
        <w:t>i</w:t>
      </w:r>
      <w:r>
        <w:t xml:space="preserve">, die Alternativenbedingungen </w:t>
      </w:r>
      <w:r>
        <w:rPr>
          <w:i/>
        </w:rPr>
        <w:t>Ab</w:t>
      </w:r>
      <w:r>
        <w:rPr>
          <w:i/>
          <w:vertAlign w:val="subscript"/>
        </w:rPr>
        <w:t>i</w:t>
      </w:r>
      <w:r>
        <w:t xml:space="preserve"> und die anzuwendende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als Parameter übergeben werden. </w:t>
      </w:r>
      <w:r>
        <w:rPr>
          <w:i/>
        </w:rPr>
        <w:t>A'</w:t>
      </w:r>
      <w:r>
        <w:rPr>
          <w:i/>
          <w:vertAlign w:val="subscript"/>
        </w:rPr>
        <w:t>i</w:t>
      </w:r>
      <w:r>
        <w:t xml:space="preserve"> wird gleich dem Rückg</w:t>
      </w:r>
      <w:r>
        <w:t>a</w:t>
      </w:r>
      <w:r>
        <w:t>bewert dieser Funktion gesetzt.</w:t>
      </w:r>
    </w:p>
    <w:p w:rsidR="003930D3" w:rsidRDefault="003930D3" w:rsidP="003930D3">
      <w:pPr>
        <w:pStyle w:val="Text"/>
      </w:pPr>
      <w:r>
        <w:lastRenderedPageBreak/>
        <w:t xml:space="preserve">In Zeile </w:t>
      </w:r>
      <w:r w:rsidR="00EC35C3">
        <w:t xml:space="preserve">9 </w:t>
      </w:r>
      <w:r>
        <w:t xml:space="preserve">wird die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aus der Menge gleich priorisierter Merkmalsregeln </w:t>
      </w:r>
      <w:r w:rsidR="00EC35C3">
        <w:rPr>
          <w:i/>
        </w:rPr>
        <w:t>B</w:t>
      </w:r>
      <w:r w:rsidR="00EC35C3">
        <w:rPr>
          <w:i/>
          <w:vertAlign w:val="subscript"/>
        </w:rPr>
        <w:t>j</w:t>
      </w:r>
      <w:r w:rsidR="00EC35C3" w:rsidRPr="00EC35C3">
        <w:rPr>
          <w:i/>
        </w:rPr>
        <w:t>'</w:t>
      </w:r>
      <w:r>
        <w:t xml:space="preserve"> entfernt.</w:t>
      </w:r>
    </w:p>
    <w:p w:rsidR="003930D3" w:rsidRDefault="003930D3" w:rsidP="003930D3">
      <w:pPr>
        <w:pStyle w:val="Text"/>
      </w:pPr>
      <w:r>
        <w:t xml:space="preserve">In Zeile </w:t>
      </w:r>
      <w:r w:rsidR="00EC35C3">
        <w:t xml:space="preserve">10 </w:t>
      </w:r>
      <w:r>
        <w:t>wird die while-Schleife aus Zeile 5 beendet.</w:t>
      </w:r>
    </w:p>
    <w:p w:rsidR="003930D3" w:rsidRDefault="003930D3" w:rsidP="003930D3">
      <w:pPr>
        <w:pStyle w:val="Text"/>
      </w:pPr>
      <w:r>
        <w:t xml:space="preserve">In Zeile </w:t>
      </w:r>
      <w:r w:rsidR="00EC35C3">
        <w:t xml:space="preserve">11 </w:t>
      </w:r>
      <w:r>
        <w:t>wird die for-Schleife aus Zeile 4 beendet.</w:t>
      </w:r>
    </w:p>
    <w:p w:rsidR="003930D3" w:rsidRDefault="003930D3" w:rsidP="003930D3">
      <w:pPr>
        <w:pStyle w:val="Text"/>
      </w:pPr>
      <w:r>
        <w:t xml:space="preserve">In Zeile </w:t>
      </w:r>
      <w:r w:rsidR="00EC35C3">
        <w:t xml:space="preserve">12 </w:t>
      </w:r>
      <w:r>
        <w:t>wird die for-Schleife aus Zeile 2 beendet.</w:t>
      </w:r>
    </w:p>
    <w:p w:rsidR="003930D3" w:rsidRDefault="003930D3" w:rsidP="003930D3">
      <w:pPr>
        <w:pStyle w:val="Text"/>
      </w:pPr>
      <w:r>
        <w:t xml:space="preserve">In Zeile </w:t>
      </w:r>
      <w:r w:rsidR="00EC35C3">
        <w:t xml:space="preserve">13 </w:t>
      </w:r>
      <w:r>
        <w:t xml:space="preserve">werden die gebildeten reduzierten </w:t>
      </w:r>
      <w:r w:rsidR="00721558">
        <w:t>Alter</w:t>
      </w:r>
      <w:r w:rsidR="00721558">
        <w:softHyphen/>
        <w:t>nativen</w:t>
      </w:r>
      <w:r w:rsidR="00721558">
        <w:softHyphen/>
        <w:t>klasse</w:t>
      </w:r>
      <w:r>
        <w:t>n zur Me</w:t>
      </w:r>
      <w:r>
        <w:t>n</w:t>
      </w:r>
      <w:r>
        <w:t xml:space="preserve">ge der reduzierten </w:t>
      </w:r>
      <w:r w:rsidR="00721558">
        <w:t>Alter</w:t>
      </w:r>
      <w:r w:rsidR="00721558">
        <w:softHyphen/>
        <w:t>nativen</w:t>
      </w:r>
      <w:r w:rsidR="00721558">
        <w:softHyphen/>
        <w:t>klasse</w:t>
      </w:r>
      <w:r>
        <w:t xml:space="preserve">n </w:t>
      </w:r>
      <w:r>
        <w:rPr>
          <w:i/>
        </w:rPr>
        <w:t>A'</w:t>
      </w:r>
      <w:r>
        <w:t xml:space="preserve"> zusammengefasst. (</w:t>
      </w:r>
      <w:r>
        <w:rPr>
          <w:i/>
        </w:rPr>
        <w:t>A'</w:t>
      </w:r>
      <w:r>
        <w:rPr>
          <w:i/>
          <w:vertAlign w:val="subscript"/>
        </w:rPr>
        <w:t>|A|</w:t>
      </w:r>
      <w:r>
        <w:t xml:space="preserve"> ist die red</w:t>
      </w:r>
      <w:r>
        <w:t>u</w:t>
      </w:r>
      <w:r>
        <w:t xml:space="preserve">zierte </w:t>
      </w:r>
      <w:r w:rsidR="00721558">
        <w:t>Alter</w:t>
      </w:r>
      <w:r w:rsidR="00721558">
        <w:softHyphen/>
        <w:t>nativen</w:t>
      </w:r>
      <w:r w:rsidR="00721558">
        <w:softHyphen/>
        <w:t>klasse</w:t>
      </w:r>
      <w:r>
        <w:t xml:space="preserve"> zum letzten Element von </w:t>
      </w:r>
      <w:r>
        <w:rPr>
          <w:i/>
          <w:iCs/>
        </w:rPr>
        <w:t>A</w:t>
      </w:r>
      <w:r>
        <w:t>.)</w:t>
      </w:r>
    </w:p>
    <w:p w:rsidR="003930D3" w:rsidRDefault="003930D3" w:rsidP="003930D3">
      <w:pPr>
        <w:pStyle w:val="Text"/>
      </w:pPr>
      <w:r>
        <w:t>In Zeile 1</w:t>
      </w:r>
      <w:r w:rsidR="00EC35C3">
        <w:t>4</w:t>
      </w:r>
      <w:r>
        <w:t xml:space="preserve"> wird </w:t>
      </w:r>
      <w:r>
        <w:rPr>
          <w:i/>
        </w:rPr>
        <w:t>A'</w:t>
      </w:r>
      <w:r>
        <w:t xml:space="preserve"> </w:t>
      </w:r>
      <w:r w:rsidR="00B21A8D">
        <w:t>zurückgegeben</w:t>
      </w:r>
      <w:r>
        <w:t>.</w:t>
      </w:r>
    </w:p>
    <w:p w:rsidR="003930D3" w:rsidRDefault="003930D3" w:rsidP="003930D3">
      <w:pPr>
        <w:pStyle w:val="Text"/>
      </w:pPr>
      <w:r>
        <w:t>In Zeile 1</w:t>
      </w:r>
      <w:r w:rsidR="00EC35C3">
        <w:t>5</w:t>
      </w:r>
      <w:r>
        <w:t xml:space="preserve"> wird die Funktion beendet.</w:t>
      </w:r>
    </w:p>
    <w:p w:rsidR="0075081B" w:rsidRPr="00565BCE" w:rsidRDefault="0075081B" w:rsidP="00FC7CF9">
      <w:pPr>
        <w:pStyle w:val="Zwischenberschrift"/>
      </w:pPr>
      <w:r w:rsidRPr="00565BCE">
        <w:t>Die Funktion random</w:t>
      </w:r>
      <w:r>
        <w:t>N</w:t>
      </w:r>
    </w:p>
    <w:p w:rsidR="0075081B" w:rsidRDefault="0075081B" w:rsidP="00FC7CF9">
      <w:pPr>
        <w:pStyle w:val="Text"/>
        <w:ind w:firstLine="0"/>
      </w:pPr>
      <w:r>
        <w:t xml:space="preserve">Die Funktion </w:t>
      </w:r>
      <w:r w:rsidRPr="00565BCE">
        <w:rPr>
          <w:i/>
        </w:rPr>
        <w:t>random</w:t>
      </w:r>
      <w:r>
        <w:rPr>
          <w:i/>
        </w:rPr>
        <w:t>N</w:t>
      </w:r>
      <w:r>
        <w:t xml:space="preserve"> erzeugt eine Zufallszahl aus dem Teilbereich der natürl</w:t>
      </w:r>
      <w:r>
        <w:t>i</w:t>
      </w:r>
      <w:r>
        <w:t xml:space="preserve">chen Zahlen </w:t>
      </w:r>
      <w:r>
        <w:rPr>
          <w:rFonts w:ascii="Cambria Math" w:eastAsia="Arial Unicode MS" w:hAnsi="Cambria Math" w:cs="Arial Unicode MS"/>
        </w:rPr>
        <w:t>ℕ</w:t>
      </w:r>
      <w:r>
        <w:t xml:space="preserve"> mit den beiden ihr übergebenen Parametern </w:t>
      </w:r>
      <w:r>
        <w:rPr>
          <w:i/>
          <w:iCs/>
        </w:rPr>
        <w:t>a</w:t>
      </w:r>
      <w:r>
        <w:t xml:space="preserve">, </w:t>
      </w:r>
      <w:r>
        <w:rPr>
          <w:i/>
          <w:iCs/>
        </w:rPr>
        <w:t>b</w:t>
      </w:r>
      <w:r>
        <w:t xml:space="preserve"> als Grenzwerten, es gilt also: </w:t>
      </w:r>
      <w:r>
        <w:rPr>
          <w:i/>
          <w:iCs/>
        </w:rPr>
        <w:t>a</w:t>
      </w:r>
      <w:r>
        <w:t> </w:t>
      </w:r>
      <w:r>
        <w:rPr>
          <w:rFonts w:cs="Times New Roman"/>
        </w:rPr>
        <w:t xml:space="preserve">≤ [Zufallszahl aus </w:t>
      </w:r>
      <w:r>
        <w:rPr>
          <w:rFonts w:ascii="Cambria Math" w:eastAsia="Arial Unicode MS" w:hAnsi="Cambria Math" w:cs="Arial Unicode MS"/>
        </w:rPr>
        <w:t>ℕ</w:t>
      </w:r>
      <w:r>
        <w:rPr>
          <w:rFonts w:cs="Times New Roman"/>
        </w:rPr>
        <w:t>] ≤ </w:t>
      </w:r>
      <w:r>
        <w:rPr>
          <w:rFonts w:cs="Times New Roman"/>
          <w:i/>
          <w:iCs/>
        </w:rPr>
        <w:t>b</w:t>
      </w:r>
      <w:r>
        <w:rPr>
          <w:rFonts w:cs="Times New Roman"/>
        </w:rPr>
        <w:t>.</w:t>
      </w:r>
    </w:p>
    <w:p w:rsidR="003930D3" w:rsidRDefault="003930D3" w:rsidP="003930D3">
      <w:pPr>
        <w:pStyle w:val="Titel3"/>
      </w:pPr>
      <w:bookmarkStart w:id="255" w:name="_Ref212455608"/>
      <w:bookmarkStart w:id="256" w:name="_Toc325456747"/>
      <w:bookmarkEnd w:id="254"/>
      <w:r>
        <w:t>Die Funktion Merkmalsregel_anwenden</w:t>
      </w:r>
      <w:bookmarkEnd w:id="255"/>
      <w:bookmarkEnd w:id="256"/>
    </w:p>
    <w:p w:rsidR="003930D3" w:rsidRDefault="003930D3" w:rsidP="00FC7CF9">
      <w:pPr>
        <w:pStyle w:val="Text"/>
        <w:ind w:firstLine="0"/>
      </w:pPr>
      <w:r>
        <w:t xml:space="preserve">Merkmalsregeln werden mit Hilfe </w:t>
      </w:r>
      <w:r w:rsidR="00214DF6">
        <w:t xml:space="preserve">von vier Variablen dargestellt (vgl. Abschnitt </w:t>
      </w:r>
      <w:r w:rsidR="005D7996">
        <w:fldChar w:fldCharType="begin"/>
      </w:r>
      <w:r w:rsidR="00214DF6">
        <w:instrText xml:space="preserve"> REF _Ref211937722 \r \h </w:instrText>
      </w:r>
      <w:r w:rsidR="005D7996">
        <w:fldChar w:fldCharType="separate"/>
      </w:r>
      <w:r w:rsidR="001231D3">
        <w:t>5.3.1</w:t>
      </w:r>
      <w:r w:rsidR="005D7996">
        <w:fldChar w:fldCharType="end"/>
      </w:r>
      <w:r w:rsidR="00214DF6">
        <w:t xml:space="preserve">). </w:t>
      </w:r>
      <w:r>
        <w:t xml:space="preserve">Wesentlich ist </w:t>
      </w:r>
      <w:r w:rsidR="001341B8">
        <w:t xml:space="preserve">dabei </w:t>
      </w:r>
      <w:r>
        <w:t xml:space="preserve">die Art der Anwendung </w:t>
      </w:r>
      <w:r w:rsidR="001341B8">
        <w:t>der Variablen.</w:t>
      </w:r>
      <w:r>
        <w:t xml:space="preserve"> Die Funktion </w:t>
      </w:r>
      <w:r w:rsidRPr="003F15BF">
        <w:rPr>
          <w:i/>
        </w:rPr>
        <w:t>Merkmalsregel_anwenden</w:t>
      </w:r>
      <w:r>
        <w:t xml:space="preserve">, die diese Anwendung </w:t>
      </w:r>
      <w:r w:rsidR="001341B8">
        <w:t>beim Einschreiben der Mer</w:t>
      </w:r>
      <w:r w:rsidR="001341B8">
        <w:t>k</w:t>
      </w:r>
      <w:r w:rsidR="001341B8">
        <w:t xml:space="preserve">malsregeln </w:t>
      </w:r>
      <w:r>
        <w:t>vornimmt, ist daher entscheidend für die richtige Funktionsweise der Merkmalsregeln. Man könnte auch sagen, dass sie jene Aspekte der Merkmalsr</w:t>
      </w:r>
      <w:r>
        <w:t>e</w:t>
      </w:r>
      <w:r>
        <w:t>geln enthält, die invariabel sind und daher nicht im Zeicheninhalt des stilist</w:t>
      </w:r>
      <w:r>
        <w:t>i</w:t>
      </w:r>
      <w:r>
        <w:t>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t xml:space="preserve"> gespeichert werden müssen. Die Angabe der </w:t>
      </w:r>
      <w:r w:rsidR="001341B8">
        <w:t xml:space="preserve">Variablen </w:t>
      </w:r>
      <w:r>
        <w:t xml:space="preserve">reicht zur Angabe einer Merkmalsregel aus, </w:t>
      </w:r>
      <w:r w:rsidR="007807B1">
        <w:t xml:space="preserve">weil </w:t>
      </w:r>
      <w:r w:rsidR="004C0724">
        <w:t xml:space="preserve">durch die Funktion </w:t>
      </w:r>
      <w:r w:rsidR="004C0724" w:rsidRPr="003F15BF">
        <w:rPr>
          <w:i/>
        </w:rPr>
        <w:t>Merkmalsregel_an</w:t>
      </w:r>
      <w:r w:rsidR="008D59C3">
        <w:rPr>
          <w:i/>
        </w:rPr>
        <w:softHyphen/>
      </w:r>
      <w:r w:rsidR="004C0724" w:rsidRPr="003F15BF">
        <w:rPr>
          <w:i/>
        </w:rPr>
        <w:t>wenden</w:t>
      </w:r>
      <w:r w:rsidR="004C0724">
        <w:t xml:space="preserve"> </w:t>
      </w:r>
      <w:r w:rsidR="007807B1">
        <w:t>ihre</w:t>
      </w:r>
      <w:r w:rsidR="004C0724">
        <w:t xml:space="preserve"> richtige Anwendung gesichert ist</w:t>
      </w:r>
      <w:r>
        <w:t>.</w:t>
      </w:r>
    </w:p>
    <w:p w:rsidR="003930D3" w:rsidRDefault="003930D3" w:rsidP="003930D3">
      <w:pPr>
        <w:pStyle w:val="Text"/>
      </w:pPr>
      <w:r>
        <w:t xml:space="preserve">Situieren wir zunächst </w:t>
      </w:r>
      <w:r w:rsidR="00EA28AB">
        <w:t>die Funktion</w:t>
      </w:r>
      <w:r>
        <w:t xml:space="preserve">. – In der Schemaausführung (Abschnitt </w:t>
      </w:r>
      <w:r w:rsidR="005D7996">
        <w:fldChar w:fldCharType="begin"/>
      </w:r>
      <w:r>
        <w:instrText xml:space="preserve"> REF _Ref212110965 \r \h </w:instrText>
      </w:r>
      <w:r w:rsidR="005D7996">
        <w:fldChar w:fldCharType="separate"/>
      </w:r>
      <w:r w:rsidR="001231D3">
        <w:t>5.2.2</w:t>
      </w:r>
      <w:r w:rsidR="005D7996">
        <w:fldChar w:fldCharType="end"/>
      </w:r>
      <w:r>
        <w:t xml:space="preserve">) wurde bereits eine Menge von </w:t>
      </w:r>
      <w:r w:rsidR="00721558">
        <w:t>Alter</w:t>
      </w:r>
      <w:r w:rsidR="00721558">
        <w:softHyphen/>
        <w:t>nativen</w:t>
      </w:r>
      <w:r w:rsidR="00721558">
        <w:softHyphen/>
        <w:t>klasse</w:t>
      </w:r>
      <w:r>
        <w:t xml:space="preserve">n </w:t>
      </w:r>
      <w:r>
        <w:rPr>
          <w:i/>
          <w:iCs/>
        </w:rPr>
        <w:t>A</w:t>
      </w:r>
      <w:r>
        <w:t xml:space="preserve"> erstellt, </w:t>
      </w:r>
      <w:r w:rsidR="008731C6">
        <w:t>bevor</w:t>
      </w:r>
      <w:r>
        <w:t xml:space="preserve"> die Funktion </w:t>
      </w:r>
      <w:r w:rsidRPr="00A81787">
        <w:rPr>
          <w:i/>
        </w:rPr>
        <w:t>Merkmalsregeln_einschreiben</w:t>
      </w:r>
      <w:r>
        <w:t xml:space="preserve"> (Abschnitt </w:t>
      </w:r>
      <w:r w:rsidR="005D7996">
        <w:fldChar w:fldCharType="begin"/>
      </w:r>
      <w:r w:rsidR="00613361">
        <w:instrText xml:space="preserve"> REF _Ref269156038 \r \h </w:instrText>
      </w:r>
      <w:r w:rsidR="005D7996">
        <w:fldChar w:fldCharType="separate"/>
      </w:r>
      <w:r w:rsidR="001231D3">
        <w:t>5.4.1</w:t>
      </w:r>
      <w:r w:rsidR="005D7996">
        <w:fldChar w:fldCharType="end"/>
      </w:r>
      <w:r w:rsidR="00EA28AB">
        <w:t>) aufgerufen wird. Diese</w:t>
      </w:r>
      <w:r>
        <w:t xml:space="preserve"> wiederum ruft die Funktion </w:t>
      </w:r>
      <w:r w:rsidRPr="003F15BF">
        <w:rPr>
          <w:i/>
        </w:rPr>
        <w:t>Merkmalsregel_anwenden</w:t>
      </w:r>
      <w:r>
        <w:t xml:space="preserve"> auf, und zwar für jede </w:t>
      </w:r>
      <w:r w:rsidR="00721558">
        <w:t>Alter</w:t>
      </w:r>
      <w:r w:rsidR="00721558">
        <w:softHyphen/>
        <w:t>nativen</w:t>
      </w:r>
      <w:r w:rsidR="00721558">
        <w:softHyphen/>
        <w:t>klasse</w:t>
      </w:r>
      <w:r>
        <w:t xml:space="preserve"> </w:t>
      </w:r>
      <w:r>
        <w:rPr>
          <w:i/>
        </w:rPr>
        <w:t>A</w:t>
      </w:r>
      <w:r>
        <w:rPr>
          <w:i/>
          <w:vertAlign w:val="subscript"/>
        </w:rPr>
        <w:t>i</w:t>
      </w:r>
      <w:r>
        <w:t xml:space="preserve"> und für jede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008731C6">
        <w:t xml:space="preserve"> einmal, die dabei jeweils als </w:t>
      </w:r>
      <w:r>
        <w:t>Parameter übergeben</w:t>
      </w:r>
      <w:r w:rsidR="008731C6">
        <w:t xml:space="preserve"> werden</w:t>
      </w:r>
      <w:r>
        <w:t xml:space="preserve">. Zudem </w:t>
      </w:r>
      <w:r w:rsidR="008731C6">
        <w:t xml:space="preserve">wird </w:t>
      </w:r>
      <w:r>
        <w:t xml:space="preserve">noch </w:t>
      </w:r>
      <w:r>
        <w:rPr>
          <w:i/>
        </w:rPr>
        <w:t>A'</w:t>
      </w:r>
      <w:r>
        <w:rPr>
          <w:i/>
          <w:vertAlign w:val="subscript"/>
        </w:rPr>
        <w:t>i</w:t>
      </w:r>
      <w:r w:rsidR="008731C6">
        <w:t xml:space="preserve"> übergeben,</w:t>
      </w:r>
      <w:r>
        <w:t xml:space="preserve"> die durch bish</w:t>
      </w:r>
      <w:r>
        <w:t>e</w:t>
      </w:r>
      <w:r>
        <w:t xml:space="preserve">rige Regelanwendungen reduzierte </w:t>
      </w:r>
      <w:r w:rsidR="00721558">
        <w:t>Alter</w:t>
      </w:r>
      <w:r w:rsidR="00721558">
        <w:softHyphen/>
        <w:t>nativen</w:t>
      </w:r>
      <w:r w:rsidR="00721558">
        <w:softHyphen/>
        <w:t>klasse</w:t>
      </w:r>
      <w:r>
        <w:t>.</w:t>
      </w:r>
    </w:p>
    <w:p w:rsidR="003930D3" w:rsidRDefault="003930D3" w:rsidP="003930D3">
      <w:pPr>
        <w:pStyle w:val="Text"/>
      </w:pPr>
      <w:r>
        <w:t xml:space="preserve">Was macht </w:t>
      </w:r>
      <w:r w:rsidR="00EA28AB">
        <w:t>die Funktion</w:t>
      </w:r>
      <w:r>
        <w:t xml:space="preserve">? – Zunächst überprüft </w:t>
      </w:r>
      <w:r w:rsidR="00EA28AB">
        <w:t>sie</w:t>
      </w:r>
      <w:r>
        <w:t>, ob die Anwendungsb</w:t>
      </w:r>
      <w:r>
        <w:t>e</w:t>
      </w:r>
      <w:r>
        <w:t xml:space="preserve">dingungen gegeben sind. Falls ja, </w:t>
      </w:r>
      <w:r w:rsidR="00780BD1">
        <w:t xml:space="preserve">wird </w:t>
      </w:r>
      <w:r>
        <w:t xml:space="preserve">für die jeweils gegebene reduzierte </w:t>
      </w:r>
      <w:r w:rsidR="00721558">
        <w:t>Alter</w:t>
      </w:r>
      <w:r w:rsidR="00721558">
        <w:softHyphen/>
        <w:t>nativen</w:t>
      </w:r>
      <w:r w:rsidR="00721558">
        <w:softHyphen/>
        <w:t>klasse</w:t>
      </w:r>
      <w:r>
        <w:t xml:space="preserve"> </w:t>
      </w:r>
      <w:r>
        <w:rPr>
          <w:i/>
        </w:rPr>
        <w:t>A'</w:t>
      </w:r>
      <w:r>
        <w:rPr>
          <w:i/>
          <w:vertAlign w:val="subscript"/>
        </w:rPr>
        <w:t>i</w:t>
      </w:r>
      <w:r w:rsidR="00780BD1">
        <w:t xml:space="preserve"> überprüft,</w:t>
      </w:r>
      <w:r>
        <w:t xml:space="preserve"> ob </w:t>
      </w:r>
      <w:r w:rsidR="00EA28AB">
        <w:t>diese</w:t>
      </w:r>
      <w:r>
        <w:t xml:space="preserve"> Elemente </w:t>
      </w:r>
      <w:r w:rsidR="003B4AC0">
        <w:t>enthält</w:t>
      </w:r>
      <w:r>
        <w:t>, die die verlangten Eige</w:t>
      </w:r>
      <w:r>
        <w:t>n</w:t>
      </w:r>
      <w:r>
        <w:t xml:space="preserve">schaften besitzen. </w:t>
      </w:r>
      <w:r w:rsidR="003E0C75">
        <w:t xml:space="preserve">Dazu wird eine </w:t>
      </w:r>
      <w:r>
        <w:t xml:space="preserve">weiter reduzierte </w:t>
      </w:r>
      <w:r w:rsidR="00721558">
        <w:t>Alter</w:t>
      </w:r>
      <w:r w:rsidR="00721558">
        <w:softHyphen/>
        <w:t>nativen</w:t>
      </w:r>
      <w:r w:rsidR="00721558">
        <w:softHyphen/>
        <w:t>klasse</w:t>
      </w:r>
      <w:r>
        <w:t xml:space="preserve"> </w:t>
      </w:r>
      <w:r>
        <w:rPr>
          <w:i/>
        </w:rPr>
        <w:t>A''</w:t>
      </w:r>
      <w:r>
        <w:rPr>
          <w:i/>
          <w:vertAlign w:val="subscript"/>
        </w:rPr>
        <w:t>i</w:t>
      </w:r>
      <w:r>
        <w:t xml:space="preserve"> </w:t>
      </w:r>
      <w:r w:rsidR="003E0C75">
        <w:t>ge</w:t>
      </w:r>
      <w:r>
        <w:t>bi</w:t>
      </w:r>
      <w:r>
        <w:t>l</w:t>
      </w:r>
      <w:r>
        <w:t xml:space="preserve">det, die die Elemente aus </w:t>
      </w:r>
      <w:r>
        <w:rPr>
          <w:i/>
        </w:rPr>
        <w:t>A'</w:t>
      </w:r>
      <w:r>
        <w:rPr>
          <w:i/>
          <w:vertAlign w:val="subscript"/>
        </w:rPr>
        <w:t>i</w:t>
      </w:r>
      <w:r>
        <w:t xml:space="preserve"> enthält, sofern diese die Bedingung </w:t>
      </w:r>
      <w:r>
        <w:rPr>
          <w:i/>
          <w:iCs/>
        </w:rPr>
        <w:t>V</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 die verlangten Eigenschaften der Merkmalsregel – erfüllen. Ist </w:t>
      </w:r>
      <w:r>
        <w:rPr>
          <w:i/>
        </w:rPr>
        <w:t>A''</w:t>
      </w:r>
      <w:r>
        <w:rPr>
          <w:i/>
          <w:vertAlign w:val="subscript"/>
        </w:rPr>
        <w:t>i</w:t>
      </w:r>
      <w:r>
        <w:t xml:space="preserve"> nicht leer, wird sie </w:t>
      </w:r>
      <w:r>
        <w:lastRenderedPageBreak/>
        <w:t>zur neuen reduzierten</w:t>
      </w:r>
      <w:r w:rsidR="00F67DDA">
        <w:t xml:space="preserve"> </w:t>
      </w:r>
      <w:r w:rsidR="00721558">
        <w:t>Alter</w:t>
      </w:r>
      <w:r w:rsidR="00721558">
        <w:softHyphen/>
        <w:t>nativen</w:t>
      </w:r>
      <w:r w:rsidR="00721558">
        <w:softHyphen/>
        <w:t>klasse</w:t>
      </w:r>
      <w:r>
        <w:t xml:space="preserve"> </w:t>
      </w:r>
      <w:r>
        <w:rPr>
          <w:i/>
        </w:rPr>
        <w:t>A'</w:t>
      </w:r>
      <w:r>
        <w:rPr>
          <w:i/>
          <w:vertAlign w:val="subscript"/>
        </w:rPr>
        <w:t>i</w:t>
      </w:r>
      <w:r>
        <w:t>. Die Merkmalsregel ist auf die en</w:t>
      </w:r>
      <w:r>
        <w:t>t</w:t>
      </w:r>
      <w:r>
        <w:t xml:space="preserve">sprechende </w:t>
      </w:r>
      <w:r w:rsidR="00721558">
        <w:t>Alter</w:t>
      </w:r>
      <w:r w:rsidR="00721558">
        <w:softHyphen/>
        <w:t>nativen</w:t>
      </w:r>
      <w:r w:rsidR="00721558">
        <w:softHyphen/>
        <w:t>klasse</w:t>
      </w:r>
      <w:r>
        <w:t xml:space="preserve"> erfolgreich angewandt worden.</w:t>
      </w:r>
    </w:p>
    <w:p w:rsidR="003930D3" w:rsidRDefault="003930D3" w:rsidP="00FC7CF9">
      <w:pPr>
        <w:pStyle w:val="Text"/>
        <w:keepNext/>
        <w:spacing w:before="360"/>
        <w:ind w:firstLine="0"/>
        <w:jc w:val="left"/>
      </w:pPr>
      <w:r>
        <w:t>function Merkmalsregel_anwenden (</w:t>
      </w:r>
      <w:r>
        <w:rPr>
          <w:i/>
        </w:rPr>
        <w:t>A</w:t>
      </w:r>
      <w:r>
        <w:rPr>
          <w:i/>
          <w:vertAlign w:val="subscript"/>
        </w:rPr>
        <w:t xml:space="preserve"> i</w:t>
      </w:r>
      <w:r>
        <w:t xml:space="preserve">, </w:t>
      </w:r>
      <w:r>
        <w:rPr>
          <w:i/>
        </w:rPr>
        <w:t>A'</w:t>
      </w:r>
      <w:r>
        <w:rPr>
          <w:i/>
          <w:vertAlign w:val="subscript"/>
        </w:rPr>
        <w:t>i</w:t>
      </w:r>
      <w:r>
        <w:t xml:space="preserve">, </w:t>
      </w:r>
      <w:r>
        <w:rPr>
          <w:i/>
          <w:iCs/>
        </w:rPr>
        <w:t>Ab</w:t>
      </w:r>
      <w:r>
        <w:rPr>
          <w:i/>
          <w:vertAlign w:val="subscript"/>
        </w:rPr>
        <w:t>i</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w:t>
      </w:r>
    </w:p>
    <w:p w:rsidR="003930D3" w:rsidRDefault="003930D3" w:rsidP="00E71CAA">
      <w:pPr>
        <w:pStyle w:val="Text"/>
        <w:ind w:firstLine="0"/>
        <w:jc w:val="left"/>
      </w:pPr>
      <w:r w:rsidRPr="00C367F0">
        <w:t xml:space="preserve">   </w:t>
      </w:r>
      <w:r w:rsidRPr="008D4114">
        <w:t>if (</w:t>
      </w:r>
      <w:r w:rsidRPr="008D4114">
        <w:rPr>
          <w:i/>
          <w:iCs/>
        </w:rPr>
        <w:t>U</w:t>
      </w:r>
      <w:r w:rsidRPr="008D4114">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8D4114">
        <w:t xml:space="preserve">) </w:t>
      </w:r>
      <w:r w:rsidRPr="007A3BCE">
        <w:rPr>
          <w:rFonts w:ascii="Cambria Math" w:eastAsia="Arial Unicode MS" w:hAnsi="Cambria Math" w:cs="Arial Unicode MS"/>
        </w:rPr>
        <w:t>⊆</w:t>
      </w:r>
      <w:r w:rsidRPr="008D4114">
        <w:t xml:space="preserve"> </w:t>
      </w:r>
      <w:r>
        <w:rPr>
          <w:i/>
          <w:iCs/>
        </w:rPr>
        <w:t>Ab</w:t>
      </w:r>
      <w:r w:rsidRPr="008D4114">
        <w:rPr>
          <w:i/>
          <w:vertAlign w:val="subscript"/>
        </w:rPr>
        <w:t>i</w:t>
      </w:r>
      <w:r w:rsidRPr="008D4114">
        <w:t xml:space="preserve">) </w:t>
      </w:r>
      <w:r w:rsidRPr="008D4114">
        <w:rPr>
          <w:rFonts w:ascii="Cambria Math" w:hAnsi="Cambria Math" w:cs="Cambria Math"/>
          <w:color w:val="000000" w:themeColor="text1"/>
        </w:rPr>
        <w:t>∧</w:t>
      </w:r>
      <w:r w:rsidRPr="008D4114">
        <w:t xml:space="preserve"> (</w:t>
      </w:r>
      <w:r w:rsidRPr="008D4114">
        <w:rPr>
          <w:i/>
          <w:iCs/>
        </w:rPr>
        <w:t>V</w:t>
      </w:r>
      <w:r w:rsidRPr="008D4114">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8D4114">
        <w:t xml:space="preserve">) </w:t>
      </w:r>
      <w:r w:rsidRPr="007A3BCE">
        <w:rPr>
          <w:rFonts w:ascii="Cambria Math" w:eastAsia="Arial Unicode MS" w:hAnsi="Cambria Math" w:cs="Arial Unicode MS"/>
        </w:rPr>
        <w:t>⊈</w:t>
      </w:r>
      <w:r w:rsidRPr="008D4114">
        <w:t xml:space="preserve"> </w:t>
      </w:r>
      <w:r>
        <w:rPr>
          <w:i/>
          <w:iCs/>
        </w:rPr>
        <w:t>Ab</w:t>
      </w:r>
      <w:r w:rsidRPr="008D4114">
        <w:rPr>
          <w:i/>
          <w:vertAlign w:val="subscript"/>
        </w:rPr>
        <w:t>i</w:t>
      </w:r>
      <w:r w:rsidRPr="008D4114">
        <w:t>)</w:t>
      </w:r>
    </w:p>
    <w:p w:rsidR="003930D3" w:rsidRPr="00731F25" w:rsidRDefault="003930D3" w:rsidP="00E71CAA">
      <w:pPr>
        <w:pStyle w:val="Text"/>
        <w:ind w:firstLine="0"/>
        <w:jc w:val="left"/>
      </w:pPr>
      <w:r w:rsidRPr="002F2743">
        <w:t xml:space="preserve">      </w:t>
      </w:r>
      <w:r w:rsidRPr="00731F25">
        <w:rPr>
          <w:i/>
        </w:rPr>
        <w:t>A''</w:t>
      </w:r>
      <w:r w:rsidRPr="00731F25">
        <w:rPr>
          <w:i/>
          <w:vertAlign w:val="subscript"/>
        </w:rPr>
        <w:t>i</w:t>
      </w:r>
      <w:r w:rsidRPr="00731F25">
        <w:t xml:space="preserve"> := {</w:t>
      </w:r>
      <w:r w:rsidRPr="00731F25">
        <w:rPr>
          <w:i/>
        </w:rPr>
        <w:t>x</w:t>
      </w:r>
      <w:r w:rsidRPr="00731F25">
        <w:t xml:space="preserve"> </w:t>
      </w:r>
      <w:r w:rsidR="00E235A0" w:rsidRPr="00E235A0">
        <w:rPr>
          <w:rFonts w:ascii="Cambria Math" w:eastAsia="Arial Unicode MS" w:hAnsi="Cambria Math" w:cs="Arial Unicode MS"/>
          <w:color w:val="000000" w:themeColor="text1"/>
        </w:rPr>
        <w:t>∊</w:t>
      </w:r>
      <w:r w:rsidRPr="00731F25">
        <w:t xml:space="preserve"> </w:t>
      </w:r>
      <w:r w:rsidRPr="00731F25">
        <w:rPr>
          <w:i/>
        </w:rPr>
        <w:t>A'</w:t>
      </w:r>
      <w:r w:rsidRPr="00731F25">
        <w:rPr>
          <w:i/>
          <w:vertAlign w:val="subscript"/>
        </w:rPr>
        <w:t>i</w:t>
      </w:r>
      <w:r w:rsidRPr="00731F25">
        <w:t xml:space="preserve"> | </w:t>
      </w:r>
      <w:r w:rsidRPr="00731F25">
        <w:rPr>
          <w:i/>
          <w:iCs/>
        </w:rPr>
        <w:t>V</w:t>
      </w:r>
      <w:r w:rsidRPr="00951F7F">
        <w:rPr>
          <w:iCs/>
          <w:vertAlign w:val="subscript"/>
        </w:rPr>
        <w:t>1</w:t>
      </w:r>
      <w:r w:rsidRPr="00731F25">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731F25">
        <w:t>)</w:t>
      </w:r>
      <w:r>
        <w:t>(</w:t>
      </w:r>
      <w:r w:rsidRPr="000C5EA5">
        <w:rPr>
          <w:i/>
        </w:rPr>
        <w:t>x</w:t>
      </w:r>
      <w:r w:rsidRPr="00951F7F">
        <w:t>)</w:t>
      </w:r>
      <w:r>
        <w:t xml:space="preserve"> </w:t>
      </w:r>
      <w:r>
        <w:rPr>
          <w:rFonts w:ascii="Cambria Math" w:hAnsi="Cambria Math" w:cs="Cambria Math"/>
          <w:color w:val="000000" w:themeColor="text1"/>
        </w:rPr>
        <w:t>∧</w:t>
      </w:r>
      <w:r>
        <w:t xml:space="preserve"> </w:t>
      </w:r>
      <w:r w:rsidRPr="00731F25">
        <w:rPr>
          <w:i/>
          <w:iCs/>
        </w:rPr>
        <w:t>V</w:t>
      </w:r>
      <w:r>
        <w:rPr>
          <w:iCs/>
          <w:vertAlign w:val="subscript"/>
        </w:rPr>
        <w:t>2</w:t>
      </w:r>
      <w:r w:rsidRPr="00731F25">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731F25">
        <w:t>)</w:t>
      </w:r>
      <w:r>
        <w:t>(</w:t>
      </w:r>
      <w:r w:rsidRPr="000C5EA5">
        <w:rPr>
          <w:i/>
        </w:rPr>
        <w:t>x</w:t>
      </w:r>
      <w:r w:rsidRPr="00951F7F">
        <w:t>)</w:t>
      </w:r>
      <w:r>
        <w:t xml:space="preserve"> </w:t>
      </w:r>
      <w:r>
        <w:rPr>
          <w:rFonts w:ascii="Cambria Math" w:hAnsi="Cambria Math" w:cs="Cambria Math"/>
          <w:color w:val="000000" w:themeColor="text1"/>
        </w:rPr>
        <w:t>∧</w:t>
      </w:r>
      <w:r>
        <w:t xml:space="preserve"> … </w:t>
      </w:r>
      <w:r>
        <w:rPr>
          <w:rFonts w:ascii="Cambria Math" w:hAnsi="Cambria Math" w:cs="Cambria Math"/>
          <w:color w:val="000000" w:themeColor="text1"/>
        </w:rPr>
        <w:t>∧</w:t>
      </w:r>
      <w:r>
        <w:t xml:space="preserve"> </w:t>
      </w:r>
      <m:oMath>
        <m:sSub>
          <m:sSubPr>
            <m:ctrlPr>
              <w:rPr>
                <w:rFonts w:ascii="Cambria Math" w:hAnsi="Cambria Math" w:cs="Times New Roman"/>
                <w:i/>
              </w:rPr>
            </m:ctrlPr>
          </m:sSubPr>
          <m:e>
            <m:r>
              <m:rPr>
                <m:nor/>
              </m:rPr>
              <w:rPr>
                <w:rFonts w:cs="Times New Roman"/>
                <w:i/>
              </w:rPr>
              <m:t>V</m:t>
            </m:r>
          </m:e>
          <m:sub>
            <m:sSub>
              <m:sSubPr>
                <m:ctrlPr>
                  <w:rPr>
                    <w:rFonts w:ascii="Cambria Math" w:hAnsi="Cambria Math" w:cs="Times New Roman"/>
                    <w:i/>
                  </w:rPr>
                </m:ctrlPr>
              </m:sSubPr>
              <m:e>
                <m:r>
                  <m:rPr>
                    <m:nor/>
                  </m:rPr>
                  <w:rPr>
                    <w:rFonts w:cs="Times New Roman"/>
                    <w:i/>
                  </w:rPr>
                  <m:t>|V</m:t>
                </m:r>
                <m:r>
                  <m:rPr>
                    <m:nor/>
                  </m:rPr>
                  <w:rPr>
                    <w:rFonts w:cs="Times New Roman"/>
                  </w:rPr>
                  <m:t>(</m:t>
                </m:r>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szCs w:val="20"/>
                      </w:rPr>
                      <m:t>k</m:t>
                    </m:r>
                  </m:sub>
                </m:sSub>
              </m:sub>
            </m:sSub>
            <m:r>
              <m:rPr>
                <m:nor/>
              </m:rPr>
              <w:rPr>
                <w:rFonts w:cs="Times New Roman"/>
              </w:rPr>
              <m:t>)</m:t>
            </m:r>
            <m:r>
              <m:rPr>
                <m:nor/>
              </m:rPr>
              <w:rPr>
                <w:rFonts w:cs="Times New Roman"/>
                <w:i/>
              </w:rPr>
              <m:t>|</m:t>
            </m:r>
          </m:sub>
        </m:sSub>
      </m:oMath>
      <w:r w:rsidRPr="00731F25">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731F25">
        <w:t>)</w:t>
      </w:r>
      <w:r>
        <w:t>(</w:t>
      </w:r>
      <w:r w:rsidRPr="000C5EA5">
        <w:rPr>
          <w:i/>
        </w:rPr>
        <w:t>x</w:t>
      </w:r>
      <w:r w:rsidRPr="00951F7F">
        <w:t>)</w:t>
      </w:r>
      <w:r w:rsidRPr="00731F25">
        <w:t>}</w:t>
      </w:r>
    </w:p>
    <w:p w:rsidR="003930D3" w:rsidRPr="00A756F6" w:rsidRDefault="003930D3" w:rsidP="00E71CAA">
      <w:pPr>
        <w:pStyle w:val="Text"/>
        <w:ind w:firstLine="0"/>
        <w:jc w:val="left"/>
      </w:pPr>
      <w:r w:rsidRPr="00EC7148">
        <w:t xml:space="preserve">      </w:t>
      </w:r>
      <w:r w:rsidRPr="00A756F6">
        <w:t xml:space="preserve">if </w:t>
      </w:r>
      <w:r w:rsidRPr="00A756F6">
        <w:rPr>
          <w:i/>
        </w:rPr>
        <w:t>A''</w:t>
      </w:r>
      <w:r w:rsidRPr="00A756F6">
        <w:rPr>
          <w:i/>
          <w:vertAlign w:val="subscript"/>
        </w:rPr>
        <w:t>i</w:t>
      </w:r>
      <w:r w:rsidRPr="00A756F6">
        <w:t xml:space="preserve"> </w:t>
      </w:r>
      <w:r w:rsidRPr="00A756F6">
        <w:rPr>
          <w:rFonts w:eastAsia="Arial Unicode MS" w:cs="Times New Roman"/>
        </w:rPr>
        <w:t>≠</w:t>
      </w:r>
      <w:r w:rsidRPr="00A756F6">
        <w:t xml:space="preserve"> </w:t>
      </w:r>
      <w:r w:rsidR="00635DE8" w:rsidRPr="007F4805">
        <w:rPr>
          <w:position w:val="-6"/>
        </w:rPr>
        <w:object w:dxaOrig="260" w:dyaOrig="279">
          <v:shape id="_x0000_i1031" type="#_x0000_t75" style="width:14pt;height:13.6pt" o:ole="">
            <v:imagedata r:id="rId32" o:title=""/>
          </v:shape>
          <o:OLEObject Type="Embed" ProgID="Equation.3" ShapeID="_x0000_i1031" DrawAspect="Content" ObjectID="_1460983872" r:id="rId33"/>
        </w:object>
      </w:r>
    </w:p>
    <w:p w:rsidR="003930D3" w:rsidRPr="00A756F6" w:rsidRDefault="003930D3" w:rsidP="00567103">
      <w:pPr>
        <w:pStyle w:val="Text"/>
        <w:ind w:hanging="369"/>
        <w:jc w:val="left"/>
        <w:rPr>
          <w:rFonts w:eastAsia="Arial Unicode MS" w:cs="Times New Roman"/>
        </w:rPr>
      </w:pPr>
      <w:r w:rsidRPr="00A756F6">
        <w:rPr>
          <w:sz w:val="16"/>
          <w:szCs w:val="16"/>
        </w:rPr>
        <w:t xml:space="preserve"> 5</w:t>
      </w:r>
      <w:r w:rsidRPr="00A756F6">
        <w:tab/>
        <w:t xml:space="preserve">         if random</w:t>
      </w:r>
      <w:r w:rsidR="00A42706" w:rsidRPr="00A756F6">
        <w:t>R</w:t>
      </w:r>
      <w:r w:rsidRPr="00A756F6">
        <w:t xml:space="preserve"> (0, 1) </w:t>
      </w:r>
      <w:r w:rsidRPr="00A756F6">
        <w:rPr>
          <w:rFonts w:cs="Times New Roman"/>
        </w:rPr>
        <w:t>≤</w:t>
      </w:r>
      <w:r w:rsidRPr="00A756F6">
        <w:t xml:space="preserve"> </w:t>
      </w:r>
      <w:r w:rsidRPr="00A756F6">
        <w:rPr>
          <w:i/>
          <w:iCs/>
        </w:rPr>
        <w:t>w</w:t>
      </w:r>
      <w:r w:rsidRPr="00A756F6">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Pr="00A756F6">
        <w:rPr>
          <w:rFonts w:cs="Times New Roman"/>
        </w:rPr>
        <w:t>)</w:t>
      </w:r>
    </w:p>
    <w:p w:rsidR="003930D3" w:rsidRPr="00706A0F" w:rsidRDefault="003930D3" w:rsidP="00E71CAA">
      <w:pPr>
        <w:pStyle w:val="Text"/>
        <w:ind w:firstLine="0"/>
        <w:jc w:val="left"/>
        <w:rPr>
          <w:lang w:val="en-US"/>
        </w:rPr>
      </w:pPr>
      <w:r w:rsidRPr="00A756F6">
        <w:rPr>
          <w:rFonts w:cs="Times New Roman"/>
        </w:rPr>
        <w:t xml:space="preserve"> </w:t>
      </w:r>
      <w:r w:rsidRPr="00A756F6">
        <w:t xml:space="preserve">           </w:t>
      </w:r>
      <w:r w:rsidRPr="00706A0F">
        <w:rPr>
          <w:i/>
          <w:lang w:val="en-US"/>
        </w:rPr>
        <w:t>A'</w:t>
      </w:r>
      <w:r w:rsidRPr="00706A0F">
        <w:rPr>
          <w:i/>
          <w:vertAlign w:val="subscript"/>
          <w:lang w:val="en-US"/>
        </w:rPr>
        <w:t>i</w:t>
      </w:r>
      <w:r w:rsidRPr="00706A0F">
        <w:rPr>
          <w:lang w:val="en-US"/>
        </w:rPr>
        <w:t xml:space="preserve"> := </w:t>
      </w:r>
      <w:r w:rsidRPr="00706A0F">
        <w:rPr>
          <w:i/>
          <w:lang w:val="en-US"/>
        </w:rPr>
        <w:t>A''</w:t>
      </w:r>
      <w:r w:rsidRPr="00706A0F">
        <w:rPr>
          <w:i/>
          <w:vertAlign w:val="subscript"/>
          <w:lang w:val="en-US"/>
        </w:rPr>
        <w:t>i</w:t>
      </w:r>
    </w:p>
    <w:p w:rsidR="003930D3" w:rsidRPr="00706A0F" w:rsidRDefault="003930D3" w:rsidP="00E71CAA">
      <w:pPr>
        <w:pStyle w:val="Text"/>
        <w:ind w:firstLine="0"/>
        <w:jc w:val="left"/>
        <w:rPr>
          <w:lang w:val="en-US"/>
        </w:rPr>
      </w:pPr>
      <w:r w:rsidRPr="00706A0F">
        <w:rPr>
          <w:lang w:val="en-US"/>
        </w:rPr>
        <w:t xml:space="preserve">         end</w:t>
      </w:r>
    </w:p>
    <w:p w:rsidR="003930D3" w:rsidRPr="00706A0F" w:rsidRDefault="003930D3" w:rsidP="00E71CAA">
      <w:pPr>
        <w:pStyle w:val="Text"/>
        <w:ind w:firstLine="0"/>
        <w:jc w:val="left"/>
        <w:rPr>
          <w:lang w:val="en-US"/>
        </w:rPr>
      </w:pPr>
      <w:r w:rsidRPr="00706A0F">
        <w:rPr>
          <w:lang w:val="en-US"/>
        </w:rPr>
        <w:t xml:space="preserve">      end</w:t>
      </w:r>
    </w:p>
    <w:p w:rsidR="003930D3" w:rsidRPr="00706A0F" w:rsidRDefault="003930D3" w:rsidP="00E71CAA">
      <w:pPr>
        <w:pStyle w:val="Text"/>
        <w:ind w:firstLine="0"/>
        <w:jc w:val="left"/>
        <w:rPr>
          <w:lang w:val="en-US"/>
        </w:rPr>
      </w:pPr>
      <w:r w:rsidRPr="00706A0F">
        <w:rPr>
          <w:lang w:val="en-US"/>
        </w:rPr>
        <w:t xml:space="preserve">   end</w:t>
      </w:r>
    </w:p>
    <w:p w:rsidR="003930D3" w:rsidRPr="00706A0F" w:rsidRDefault="003930D3" w:rsidP="00567103">
      <w:pPr>
        <w:pStyle w:val="Text"/>
        <w:ind w:hanging="369"/>
        <w:jc w:val="left"/>
        <w:rPr>
          <w:lang w:val="en-US"/>
        </w:rPr>
      </w:pPr>
      <w:r w:rsidRPr="00E71CAA">
        <w:rPr>
          <w:sz w:val="16"/>
          <w:szCs w:val="16"/>
          <w:lang w:val="en-US"/>
        </w:rPr>
        <w:t>10</w:t>
      </w:r>
      <w:r w:rsidRPr="00706A0F">
        <w:rPr>
          <w:lang w:val="en-US"/>
        </w:rPr>
        <w:tab/>
        <w:t xml:space="preserve">   return </w:t>
      </w:r>
      <w:r w:rsidRPr="00706A0F">
        <w:rPr>
          <w:i/>
          <w:lang w:val="en-US"/>
        </w:rPr>
        <w:t>A'</w:t>
      </w:r>
      <w:r w:rsidRPr="00706A0F">
        <w:rPr>
          <w:i/>
          <w:vertAlign w:val="subscript"/>
          <w:lang w:val="en-US"/>
        </w:rPr>
        <w:t>i</w:t>
      </w:r>
    </w:p>
    <w:p w:rsidR="003930D3" w:rsidRPr="008801FB" w:rsidRDefault="003930D3" w:rsidP="00E71CAA">
      <w:pPr>
        <w:pStyle w:val="Text"/>
        <w:ind w:firstLine="0"/>
        <w:jc w:val="left"/>
      </w:pPr>
      <w:r w:rsidRPr="008801FB">
        <w:t>end function</w:t>
      </w:r>
    </w:p>
    <w:p w:rsidR="003930D3" w:rsidRDefault="00093341" w:rsidP="008B789C">
      <w:pPr>
        <w:pStyle w:val="Zwischenberschrift"/>
        <w:spacing w:before="360"/>
      </w:pPr>
      <w:r>
        <w:t>Erläuterung</w:t>
      </w:r>
    </w:p>
    <w:p w:rsidR="003930D3" w:rsidRDefault="003930D3" w:rsidP="00FC7CF9">
      <w:pPr>
        <w:pStyle w:val="Text"/>
        <w:widowControl w:val="0"/>
        <w:ind w:firstLine="0"/>
      </w:pPr>
      <w:r>
        <w:t xml:space="preserve">In Zeile </w:t>
      </w:r>
      <w:r w:rsidR="00F10117">
        <w:t xml:space="preserve">1 </w:t>
      </w:r>
      <w:r>
        <w:t xml:space="preserve">wird der Name der Funktion angegeben, die als Parameter die </w:t>
      </w:r>
      <w:r w:rsidR="00721558">
        <w:t>Alter</w:t>
      </w:r>
      <w:r w:rsidR="00721558">
        <w:softHyphen/>
        <w:t>nativen</w:t>
      </w:r>
      <w:r w:rsidR="00721558">
        <w:softHyphen/>
        <w:t>klasse</w:t>
      </w:r>
      <w:r>
        <w:t xml:space="preserve"> </w:t>
      </w:r>
      <w:r>
        <w:rPr>
          <w:i/>
        </w:rPr>
        <w:t>A</w:t>
      </w:r>
      <w:r>
        <w:rPr>
          <w:i/>
          <w:vertAlign w:val="subscript"/>
        </w:rPr>
        <w:t>i</w:t>
      </w:r>
      <w:r>
        <w:t xml:space="preserve">, die durch bisherige Regelanwendungen reduzierte </w:t>
      </w:r>
      <w:r w:rsidR="00721558">
        <w:t>Alter</w:t>
      </w:r>
      <w:r w:rsidR="00721558">
        <w:softHyphen/>
        <w:t>nativen</w:t>
      </w:r>
      <w:r w:rsidR="00721558">
        <w:softHyphen/>
        <w:t>klasse</w:t>
      </w:r>
      <w:r w:rsidRPr="00DB08AA">
        <w:rPr>
          <w:i/>
        </w:rPr>
        <w:t xml:space="preserve"> </w:t>
      </w:r>
      <w:r>
        <w:rPr>
          <w:i/>
        </w:rPr>
        <w:t>A'</w:t>
      </w:r>
      <w:r>
        <w:rPr>
          <w:i/>
          <w:vertAlign w:val="subscript"/>
        </w:rPr>
        <w:t>i</w:t>
      </w:r>
      <w:r>
        <w:t xml:space="preserve">, die Alternativenbedingungen </w:t>
      </w:r>
      <w:r>
        <w:rPr>
          <w:i/>
        </w:rPr>
        <w:t>Ab</w:t>
      </w:r>
      <w:r>
        <w:rPr>
          <w:i/>
          <w:vertAlign w:val="subscript"/>
        </w:rPr>
        <w:t>i</w:t>
      </w:r>
      <w:r>
        <w:t xml:space="preserve"> sowie die anzuwendende Merkmal</w:t>
      </w:r>
      <w:r>
        <w:t>s</w:t>
      </w:r>
      <w:r>
        <w:t xml:space="preserve">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erhält.</w:t>
      </w:r>
    </w:p>
    <w:p w:rsidR="003930D3" w:rsidRDefault="003930D3" w:rsidP="003930D3">
      <w:pPr>
        <w:pStyle w:val="Text"/>
      </w:pPr>
      <w:r>
        <w:t xml:space="preserve">Zeile </w:t>
      </w:r>
      <w:r w:rsidR="00F10117">
        <w:t xml:space="preserve">2 </w:t>
      </w:r>
      <w:r>
        <w:t>gibt an, dass die eingerückt folgende</w:t>
      </w:r>
      <w:r w:rsidR="00DB7C6A">
        <w:t>n</w:t>
      </w:r>
      <w:r>
        <w:t xml:space="preserve"> Anweisung</w:t>
      </w:r>
      <w:r w:rsidR="00DB7C6A">
        <w:t>en</w:t>
      </w:r>
      <w:r>
        <w:t xml:space="preserve"> ausgeführt </w:t>
      </w:r>
      <w:r w:rsidR="00DB7C6A">
        <w:t>we</w:t>
      </w:r>
      <w:r w:rsidR="00DB7C6A">
        <w:t>r</w:t>
      </w:r>
      <w:r w:rsidR="00DB7C6A">
        <w:t>den</w:t>
      </w:r>
      <w:r>
        <w:t>, wenn zwei Bedingungen erfüllt sind: (1) Die an der betrachteten Realisi</w:t>
      </w:r>
      <w:r>
        <w:t>e</w:t>
      </w:r>
      <w:r>
        <w:t xml:space="preserve">rungsstelle gegebene </w:t>
      </w:r>
      <w:r w:rsidR="00721558">
        <w:t>Alter</w:t>
      </w:r>
      <w:r w:rsidR="00721558">
        <w:softHyphen/>
        <w:t>nativen</w:t>
      </w:r>
      <w:r w:rsidR="00721558">
        <w:softHyphen/>
        <w:t>klasse</w:t>
      </w:r>
      <w:r>
        <w:t xml:space="preserve"> </w:t>
      </w:r>
      <w:r>
        <w:rPr>
          <w:i/>
        </w:rPr>
        <w:t>A</w:t>
      </w:r>
      <w:r>
        <w:rPr>
          <w:i/>
          <w:vertAlign w:val="subscript"/>
        </w:rPr>
        <w:t>i</w:t>
      </w:r>
      <w:r>
        <w:t xml:space="preserve"> erfüllt die Anwendungsbedingungen </w:t>
      </w:r>
      <w:r>
        <w:rPr>
          <w:i/>
          <w:iCs/>
        </w:rPr>
        <w:t>U</w:t>
      </w:r>
      <w:r>
        <w:t xml:space="preserve"> der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Dies ist der Fall, wenn </w:t>
      </w:r>
      <w:r>
        <w:rPr>
          <w:i/>
          <w:iCs/>
        </w:rPr>
        <w:t>U</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gleich oder eine Tei</w:t>
      </w:r>
      <w:r>
        <w:t>l</w:t>
      </w:r>
      <w:r>
        <w:t xml:space="preserve">menge der Alternativenbedingungen </w:t>
      </w:r>
      <w:r>
        <w:rPr>
          <w:i/>
        </w:rPr>
        <w:t>Ab</w:t>
      </w:r>
      <w:r>
        <w:rPr>
          <w:i/>
          <w:vertAlign w:val="subscript"/>
        </w:rPr>
        <w:t>i</w:t>
      </w:r>
      <w:r>
        <w:t xml:space="preserve"> ist. (</w:t>
      </w:r>
      <w:r>
        <w:rPr>
          <w:i/>
        </w:rPr>
        <w:t>Ab</w:t>
      </w:r>
      <w:r>
        <w:rPr>
          <w:i/>
          <w:vertAlign w:val="subscript"/>
        </w:rPr>
        <w:t>i</w:t>
      </w:r>
      <w:r>
        <w:t xml:space="preserve"> definiert intensional die </w:t>
      </w:r>
      <w:r w:rsidR="00721558">
        <w:t>Alter</w:t>
      </w:r>
      <w:r w:rsidR="00721558">
        <w:softHyphen/>
        <w:t>nativen</w:t>
      </w:r>
      <w:r w:rsidR="00721558">
        <w:softHyphen/>
        <w:t>klasse</w:t>
      </w:r>
      <w:r>
        <w:t xml:space="preserve"> </w:t>
      </w:r>
      <w:r>
        <w:rPr>
          <w:i/>
        </w:rPr>
        <w:t>A</w:t>
      </w:r>
      <w:r>
        <w:rPr>
          <w:i/>
          <w:vertAlign w:val="subscript"/>
        </w:rPr>
        <w:t>i</w:t>
      </w:r>
      <w:r>
        <w:t xml:space="preserve">, </w:t>
      </w:r>
      <w:r>
        <w:rPr>
          <w:i/>
          <w:iCs/>
        </w:rPr>
        <w:t>U</w:t>
      </w:r>
      <w:r>
        <w:t>(</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definiert intensional eine virtuelle allgemeine </w:t>
      </w:r>
      <w:r w:rsidR="00721558">
        <w:t>Alter</w:t>
      </w:r>
      <w:r w:rsidR="00721558">
        <w:softHyphen/>
        <w:t>nativen</w:t>
      </w:r>
      <w:r w:rsidR="00721558">
        <w:softHyphen/>
        <w:t>klasse</w:t>
      </w:r>
      <w:r>
        <w:t xml:space="preserve">, auf die einschließlich </w:t>
      </w:r>
      <w:r w:rsidR="00062D6E">
        <w:t>spezieller</w:t>
      </w:r>
      <w:r w:rsidR="005D64F3">
        <w:t xml:space="preserve"> definierter</w:t>
      </w:r>
      <w:r w:rsidR="00062D6E">
        <w:t xml:space="preserve"> Klassen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anzuwe</w:t>
      </w:r>
      <w:r>
        <w:t>n</w:t>
      </w:r>
      <w:r>
        <w:t>den ist. Die kleinere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t xml:space="preserve"> wird durch die größere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beschrieben, daher erfüllt die </w:t>
      </w:r>
      <w:r w:rsidR="00721558">
        <w:t>Alter</w:t>
      </w:r>
      <w:r w:rsidR="00721558">
        <w:softHyphen/>
        <w:t>nativen</w:t>
      </w:r>
      <w:r w:rsidR="00721558">
        <w:softHyphen/>
        <w:t>klasse</w:t>
      </w:r>
      <w:r>
        <w:t xml:space="preserve"> </w:t>
      </w:r>
      <w:r>
        <w:rPr>
          <w:i/>
        </w:rPr>
        <w:t>A</w:t>
      </w:r>
      <w:r>
        <w:rPr>
          <w:i/>
          <w:vertAlign w:val="subscript"/>
        </w:rPr>
        <w:t>i</w:t>
      </w:r>
      <w:r>
        <w:t xml:space="preserve"> die Anwendungsbedingungen </w:t>
      </w:r>
      <w:r>
        <w:rPr>
          <w:i/>
          <w:iCs/>
        </w:rPr>
        <w:t>U</w:t>
      </w:r>
      <w:r>
        <w:t xml:space="preserve">, wenn </w:t>
      </w:r>
      <w:r>
        <w:rPr>
          <w:i/>
          <w:iCs/>
        </w:rPr>
        <w:t>U</w:t>
      </w:r>
      <w:r>
        <w:t xml:space="preserve"> eine Teilmenge von </w:t>
      </w:r>
      <w:r>
        <w:rPr>
          <w:i/>
        </w:rPr>
        <w:t>Ab</w:t>
      </w:r>
      <w:r>
        <w:rPr>
          <w:i/>
          <w:vertAlign w:val="subscript"/>
        </w:rPr>
        <w:t>i</w:t>
      </w:r>
      <w:r>
        <w:t xml:space="preserve"> ist.) (2) Die verlangten Eigenschaften </w:t>
      </w:r>
      <w:r>
        <w:rPr>
          <w:i/>
          <w:iCs/>
        </w:rPr>
        <w:t>V</w:t>
      </w:r>
      <w:r>
        <w:t xml:space="preserve"> von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sind keine Teilmenge der Alternativenbedingungen </w:t>
      </w:r>
      <w:r>
        <w:rPr>
          <w:i/>
          <w:iCs/>
        </w:rPr>
        <w:t>Ab</w:t>
      </w:r>
      <w:r>
        <w:rPr>
          <w:i/>
          <w:vertAlign w:val="subscript"/>
        </w:rPr>
        <w:t>i</w:t>
      </w:r>
      <w:r>
        <w:t xml:space="preserve"> von </w:t>
      </w:r>
      <w:r>
        <w:rPr>
          <w:i/>
        </w:rPr>
        <w:t>A</w:t>
      </w:r>
      <w:r>
        <w:rPr>
          <w:i/>
          <w:vertAlign w:val="subscript"/>
        </w:rPr>
        <w:t>i</w:t>
      </w:r>
      <w:r>
        <w:t>. (</w:t>
      </w:r>
      <w:r w:rsidR="00C96BA4">
        <w:t xml:space="preserve">Sind sie </w:t>
      </w:r>
      <w:r>
        <w:t>eine Tei</w:t>
      </w:r>
      <w:r>
        <w:t>l</w:t>
      </w:r>
      <w:r>
        <w:t xml:space="preserve">menge, kann die Merkmalsregel keine Reduzierung dieser </w:t>
      </w:r>
      <w:r w:rsidR="00721558">
        <w:t>Alter</w:t>
      </w:r>
      <w:r w:rsidR="00721558">
        <w:softHyphen/>
        <w:t>nativen</w:t>
      </w:r>
      <w:r w:rsidR="00721558">
        <w:softHyphen/>
        <w:t>klasse</w:t>
      </w:r>
      <w:r>
        <w:t xml:space="preserve"> bewirken, da alle Elemente bereits die verlangten Eigenschaften besitzen.</w:t>
      </w:r>
      <w:bookmarkStart w:id="257" w:name="_Ref271713013"/>
      <w:r w:rsidR="001C6A75">
        <w:rPr>
          <w:rStyle w:val="Funotenzeichen"/>
        </w:rPr>
        <w:footnoteReference w:id="373"/>
      </w:r>
      <w:bookmarkEnd w:id="257"/>
      <w:r>
        <w:t xml:space="preserve"> In diesem Fall ist die Anwendung sinnlos.)</w:t>
      </w:r>
    </w:p>
    <w:p w:rsidR="003930D3" w:rsidRDefault="003930D3" w:rsidP="003930D3">
      <w:pPr>
        <w:pStyle w:val="Text"/>
      </w:pPr>
      <w:r>
        <w:lastRenderedPageBreak/>
        <w:t xml:space="preserve">In Zeile </w:t>
      </w:r>
      <w:r w:rsidR="00F10117">
        <w:t xml:space="preserve">3 </w:t>
      </w:r>
      <w:r>
        <w:t xml:space="preserve">wird eine Klasse </w:t>
      </w:r>
      <w:r>
        <w:rPr>
          <w:i/>
        </w:rPr>
        <w:t>A''</w:t>
      </w:r>
      <w:r>
        <w:rPr>
          <w:i/>
          <w:vertAlign w:val="subscript"/>
        </w:rPr>
        <w:t>i</w:t>
      </w:r>
      <w:r>
        <w:t xml:space="preserve"> mit den Elementen der reduzierten </w:t>
      </w:r>
      <w:r w:rsidR="00721558">
        <w:t>Alter</w:t>
      </w:r>
      <w:r w:rsidR="00721558">
        <w:softHyphen/>
        <w:t>nativen</w:t>
      </w:r>
      <w:r w:rsidR="00721558">
        <w:softHyphen/>
        <w:t>klasse</w:t>
      </w:r>
      <w:r>
        <w:t xml:space="preserve"> </w:t>
      </w:r>
      <w:r>
        <w:rPr>
          <w:i/>
        </w:rPr>
        <w:t>A'</w:t>
      </w:r>
      <w:r>
        <w:rPr>
          <w:i/>
          <w:vertAlign w:val="subscript"/>
        </w:rPr>
        <w:t>i</w:t>
      </w:r>
      <w:r>
        <w:t xml:space="preserve"> gebildet, die die </w:t>
      </w:r>
      <w:r w:rsidR="002D3D5B">
        <w:t xml:space="preserve">verlangten Eigenschaften </w:t>
      </w:r>
      <w:r w:rsidRPr="00731F25">
        <w:rPr>
          <w:i/>
          <w:iCs/>
        </w:rPr>
        <w:t>V</w:t>
      </w:r>
      <w:r w:rsidR="002D3D5B">
        <w:t xml:space="preserve"> der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002D3D5B">
        <w:t xml:space="preserve"> besitzen.</w:t>
      </w:r>
    </w:p>
    <w:p w:rsidR="003930D3" w:rsidRDefault="003930D3" w:rsidP="003930D3">
      <w:pPr>
        <w:pStyle w:val="Text"/>
      </w:pPr>
      <w:r>
        <w:t xml:space="preserve">Zeile </w:t>
      </w:r>
      <w:r w:rsidR="00F10117">
        <w:t xml:space="preserve">4 </w:t>
      </w:r>
      <w:r w:rsidR="00B04455">
        <w:t>gibt an, dass die eingerückt folgende</w:t>
      </w:r>
      <w:r w:rsidR="00DB7C6A">
        <w:t>n</w:t>
      </w:r>
      <w:r w:rsidR="00B04455">
        <w:t xml:space="preserve"> Anweisung</w:t>
      </w:r>
      <w:r w:rsidR="00DB7C6A">
        <w:t>en</w:t>
      </w:r>
      <w:r w:rsidR="00B04455">
        <w:t xml:space="preserve"> ausgeführt </w:t>
      </w:r>
      <w:r w:rsidR="00DB7C6A">
        <w:t>we</w:t>
      </w:r>
      <w:r w:rsidR="00DB7C6A">
        <w:t>r</w:t>
      </w:r>
      <w:r w:rsidR="00DB7C6A">
        <w:t>den</w:t>
      </w:r>
      <w:r w:rsidR="00B04455">
        <w:t xml:space="preserve">, wenn </w:t>
      </w:r>
      <w:r>
        <w:rPr>
          <w:i/>
        </w:rPr>
        <w:t>A''</w:t>
      </w:r>
      <w:r>
        <w:rPr>
          <w:i/>
          <w:vertAlign w:val="subscript"/>
        </w:rPr>
        <w:t>i</w:t>
      </w:r>
      <w:r>
        <w:t xml:space="preserve"> nicht leer ist.</w:t>
      </w:r>
    </w:p>
    <w:p w:rsidR="003930D3" w:rsidRDefault="003930D3" w:rsidP="003930D3">
      <w:pPr>
        <w:pStyle w:val="Text"/>
      </w:pPr>
      <w:r>
        <w:t xml:space="preserve">In Zeile </w:t>
      </w:r>
      <w:r w:rsidR="00F10117">
        <w:t xml:space="preserve">5 </w:t>
      </w:r>
      <w:r>
        <w:t xml:space="preserve">wird die </w:t>
      </w:r>
      <w:r w:rsidR="0075081B">
        <w:t>Systemf</w:t>
      </w:r>
      <w:r>
        <w:t xml:space="preserve">unktion </w:t>
      </w:r>
      <w:r w:rsidRPr="00565BCE">
        <w:rPr>
          <w:i/>
        </w:rPr>
        <w:t>random</w:t>
      </w:r>
      <w:r w:rsidR="00A42706">
        <w:rPr>
          <w:i/>
        </w:rPr>
        <w:t>R</w:t>
      </w:r>
      <w:r>
        <w:t xml:space="preserve"> aufgerufen (</w:t>
      </w:r>
      <w:r w:rsidR="0011302D">
        <w:t xml:space="preserve">Erläuterung </w:t>
      </w:r>
      <w:r>
        <w:t>s. u</w:t>
      </w:r>
      <w:r>
        <w:t>n</w:t>
      </w:r>
      <w:r>
        <w:t>ten)</w:t>
      </w:r>
      <w:r w:rsidR="000C2F8F">
        <w:t>; wenn</w:t>
      </w:r>
      <w:r>
        <w:t xml:space="preserve"> </w:t>
      </w:r>
      <w:r w:rsidR="000C2F8F">
        <w:t xml:space="preserve">ihr Rückgabewert </w:t>
      </w:r>
      <w:r>
        <w:t>kleiner oder gleich der Anwendungswahrschei</w:t>
      </w:r>
      <w:r>
        <w:t>n</w:t>
      </w:r>
      <w:r>
        <w:t xml:space="preserve">lichkeit </w:t>
      </w:r>
      <w:r>
        <w:rPr>
          <w:i/>
          <w:iCs/>
        </w:rPr>
        <w:t>w</w:t>
      </w:r>
      <w:r>
        <w:t xml:space="preserve"> der Merkmalsregel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rsidR="000C2F8F">
        <w:t xml:space="preserve"> ist, wird die eingerückt folgende Anweisung ausgeführt.</w:t>
      </w:r>
    </w:p>
    <w:p w:rsidR="003930D3" w:rsidRDefault="003930D3" w:rsidP="003930D3">
      <w:pPr>
        <w:pStyle w:val="Text"/>
      </w:pPr>
      <w:r>
        <w:t xml:space="preserve">In Zeile </w:t>
      </w:r>
      <w:r w:rsidR="00F10117">
        <w:t xml:space="preserve">6 </w:t>
      </w:r>
      <w:r>
        <w:t xml:space="preserve">wird </w:t>
      </w:r>
      <w:r>
        <w:rPr>
          <w:i/>
        </w:rPr>
        <w:t>A'</w:t>
      </w:r>
      <w:r>
        <w:rPr>
          <w:i/>
          <w:vertAlign w:val="subscript"/>
        </w:rPr>
        <w:t>i</w:t>
      </w:r>
      <w:r>
        <w:t xml:space="preserve">, die Variable für die reduzierte </w:t>
      </w:r>
      <w:r w:rsidR="00721558">
        <w:t>Alter</w:t>
      </w:r>
      <w:r w:rsidR="00721558">
        <w:softHyphen/>
        <w:t>nativen</w:t>
      </w:r>
      <w:r w:rsidR="00721558">
        <w:softHyphen/>
        <w:t>klasse</w:t>
      </w:r>
      <w:r>
        <w:t xml:space="preserve">, gleich </w:t>
      </w:r>
      <w:r>
        <w:rPr>
          <w:i/>
        </w:rPr>
        <w:t>A''</w:t>
      </w:r>
      <w:r>
        <w:rPr>
          <w:i/>
          <w:vertAlign w:val="subscript"/>
        </w:rPr>
        <w:t>i</w:t>
      </w:r>
      <w:r w:rsidR="00DA701F">
        <w:t xml:space="preserve"> gesetzt. </w:t>
      </w:r>
      <w:r>
        <w:t>Man beachte, dass dies nur geschieht, wenn die Anwendungsbedi</w:t>
      </w:r>
      <w:r>
        <w:t>n</w:t>
      </w:r>
      <w:r>
        <w:t xml:space="preserve">gungen erfüllt sind (Zeile 2) und die reduzierte </w:t>
      </w:r>
      <w:r w:rsidR="00721558">
        <w:t>Alter</w:t>
      </w:r>
      <w:r w:rsidR="00721558">
        <w:softHyphen/>
        <w:t>nativen</w:t>
      </w:r>
      <w:r w:rsidR="00721558">
        <w:softHyphen/>
        <w:t>klasse</w:t>
      </w:r>
      <w:r>
        <w:t xml:space="preserve"> nicht leer ist (Zeile 4), und auch dann nur mit der Anwendungswahrscheinlichkeit </w:t>
      </w:r>
      <w:r>
        <w:rPr>
          <w:i/>
          <w:iCs/>
        </w:rPr>
        <w:t>w</w:t>
      </w:r>
      <w:r>
        <w:t xml:space="preserve"> (Zeile 5). In allen anderen Fällen bleibt die zuvor gegebene reduzierte </w:t>
      </w:r>
      <w:r w:rsidR="00721558">
        <w:t>Alter</w:t>
      </w:r>
      <w:r w:rsidR="00721558">
        <w:softHyphen/>
        <w:t>nativen</w:t>
      </w:r>
      <w:r w:rsidR="00721558">
        <w:softHyphen/>
        <w:t>klasse</w:t>
      </w:r>
      <w:r>
        <w:t xml:space="preserve"> </w:t>
      </w:r>
      <w:r>
        <w:rPr>
          <w:i/>
        </w:rPr>
        <w:t>A'</w:t>
      </w:r>
      <w:r>
        <w:rPr>
          <w:i/>
          <w:vertAlign w:val="subscript"/>
        </w:rPr>
        <w:t>i</w:t>
      </w:r>
      <w:r w:rsidR="00DA701F">
        <w:t xml:space="preserve"> unverändert.</w:t>
      </w:r>
    </w:p>
    <w:p w:rsidR="003930D3" w:rsidRDefault="003930D3" w:rsidP="003930D3">
      <w:pPr>
        <w:pStyle w:val="Text"/>
      </w:pPr>
      <w:r>
        <w:t xml:space="preserve">In Zeile </w:t>
      </w:r>
      <w:r w:rsidR="00B04455">
        <w:t xml:space="preserve">7 </w:t>
      </w:r>
      <w:r>
        <w:t xml:space="preserve">wird die if-Anweisung aus Zeile </w:t>
      </w:r>
      <w:r w:rsidR="00B04455">
        <w:t>5</w:t>
      </w:r>
      <w:r>
        <w:t xml:space="preserve"> beendet.</w:t>
      </w:r>
    </w:p>
    <w:p w:rsidR="003930D3" w:rsidRDefault="003930D3" w:rsidP="003930D3">
      <w:pPr>
        <w:pStyle w:val="Text"/>
      </w:pPr>
      <w:r>
        <w:t xml:space="preserve">In Zeile </w:t>
      </w:r>
      <w:r w:rsidR="00B04455">
        <w:t xml:space="preserve">8 </w:t>
      </w:r>
      <w:r>
        <w:t xml:space="preserve">wird die if-Anweisung aus Zeile </w:t>
      </w:r>
      <w:r w:rsidR="00B04455">
        <w:t>4</w:t>
      </w:r>
      <w:r>
        <w:t xml:space="preserve"> beendet.</w:t>
      </w:r>
    </w:p>
    <w:p w:rsidR="003930D3" w:rsidRDefault="003930D3" w:rsidP="003930D3">
      <w:pPr>
        <w:pStyle w:val="Text"/>
      </w:pPr>
      <w:r>
        <w:t xml:space="preserve">In Zeile </w:t>
      </w:r>
      <w:r w:rsidR="00B04455">
        <w:t xml:space="preserve">9 </w:t>
      </w:r>
      <w:r>
        <w:t xml:space="preserve">wird die if-Anweisung aus Zeile </w:t>
      </w:r>
      <w:r w:rsidR="00B04455">
        <w:t>2</w:t>
      </w:r>
      <w:r>
        <w:t xml:space="preserve"> beendet.</w:t>
      </w:r>
    </w:p>
    <w:p w:rsidR="003930D3" w:rsidRDefault="003930D3" w:rsidP="003930D3">
      <w:pPr>
        <w:pStyle w:val="Text"/>
      </w:pPr>
      <w:r>
        <w:t xml:space="preserve">In Zeile </w:t>
      </w:r>
      <w:r w:rsidR="00B04455">
        <w:t xml:space="preserve">10 </w:t>
      </w:r>
      <w:r>
        <w:t xml:space="preserve">wird </w:t>
      </w:r>
      <w:r>
        <w:rPr>
          <w:i/>
        </w:rPr>
        <w:t>A'</w:t>
      </w:r>
      <w:r>
        <w:rPr>
          <w:i/>
          <w:vertAlign w:val="subscript"/>
        </w:rPr>
        <w:t>i</w:t>
      </w:r>
      <w:r>
        <w:t xml:space="preserve"> </w:t>
      </w:r>
      <w:r w:rsidR="00B21A8D">
        <w:t>zurückgegeben</w:t>
      </w:r>
      <w:r>
        <w:t>.</w:t>
      </w:r>
    </w:p>
    <w:p w:rsidR="003930D3" w:rsidRDefault="003930D3" w:rsidP="003930D3">
      <w:pPr>
        <w:pStyle w:val="Text"/>
      </w:pPr>
      <w:r>
        <w:t xml:space="preserve">In Zeile </w:t>
      </w:r>
      <w:r w:rsidR="00B04455">
        <w:t xml:space="preserve">11 </w:t>
      </w:r>
      <w:r>
        <w:t>wird die Funktion beendet.</w:t>
      </w:r>
    </w:p>
    <w:p w:rsidR="003930D3" w:rsidRPr="00565BCE" w:rsidRDefault="003930D3" w:rsidP="00FC7CF9">
      <w:pPr>
        <w:pStyle w:val="Zwischenberschrift"/>
      </w:pPr>
      <w:r w:rsidRPr="00565BCE">
        <w:t>Die Funktion random</w:t>
      </w:r>
      <w:r w:rsidR="00A42706">
        <w:t>R</w:t>
      </w:r>
    </w:p>
    <w:p w:rsidR="003930D3" w:rsidRDefault="003930D3" w:rsidP="00FC7CF9">
      <w:pPr>
        <w:pStyle w:val="Text"/>
        <w:ind w:firstLine="0"/>
        <w:rPr>
          <w:rFonts w:cs="Times New Roman"/>
        </w:rPr>
      </w:pPr>
      <w:r>
        <w:t xml:space="preserve">Die Funktion </w:t>
      </w:r>
      <w:r w:rsidRPr="00565BCE">
        <w:rPr>
          <w:i/>
        </w:rPr>
        <w:t>random</w:t>
      </w:r>
      <w:r w:rsidR="00A42706">
        <w:rPr>
          <w:i/>
        </w:rPr>
        <w:t>R</w:t>
      </w:r>
      <w:r>
        <w:t xml:space="preserve"> </w:t>
      </w:r>
      <w:r w:rsidR="0075081B">
        <w:t>erzeugt eine Zufallszahl aus dem Teilbereich der ration</w:t>
      </w:r>
      <w:r w:rsidR="0075081B">
        <w:t>a</w:t>
      </w:r>
      <w:r w:rsidR="0075081B">
        <w:t xml:space="preserve">len Zahlen </w:t>
      </w:r>
      <w:r w:rsidR="0075081B" w:rsidRPr="0011302D">
        <w:rPr>
          <w:rFonts w:ascii="Cambria Math" w:eastAsia="Arial Unicode MS" w:hAnsi="Cambria Math" w:cs="Arial Unicode MS"/>
        </w:rPr>
        <w:t>ℝ</w:t>
      </w:r>
      <w:r w:rsidR="0075081B">
        <w:t xml:space="preserve"> mit den beiden ihr übergebenen Parametern </w:t>
      </w:r>
      <w:r w:rsidR="0075081B">
        <w:rPr>
          <w:i/>
          <w:iCs/>
        </w:rPr>
        <w:t>a</w:t>
      </w:r>
      <w:r w:rsidR="0075081B">
        <w:t xml:space="preserve">, </w:t>
      </w:r>
      <w:r w:rsidR="0075081B">
        <w:rPr>
          <w:i/>
          <w:iCs/>
        </w:rPr>
        <w:t>b</w:t>
      </w:r>
      <w:r w:rsidR="0075081B">
        <w:t xml:space="preserve"> als Grenzwerten, es gilt also</w:t>
      </w:r>
      <w:r w:rsidR="00922602">
        <w:t>:</w:t>
      </w:r>
      <w:r>
        <w:t xml:space="preserve"> </w:t>
      </w:r>
      <w:r>
        <w:rPr>
          <w:i/>
          <w:iCs/>
        </w:rPr>
        <w:t>a</w:t>
      </w:r>
      <w:r w:rsidR="0075081B">
        <w:t> </w:t>
      </w:r>
      <w:r>
        <w:rPr>
          <w:rFonts w:cs="Times New Roman"/>
        </w:rPr>
        <w:t xml:space="preserve">≤ </w:t>
      </w:r>
      <w:r w:rsidR="00922602">
        <w:rPr>
          <w:rFonts w:cs="Times New Roman"/>
        </w:rPr>
        <w:t>[Zufallszahl</w:t>
      </w:r>
      <w:r w:rsidR="00A42706">
        <w:rPr>
          <w:rFonts w:cs="Times New Roman"/>
        </w:rPr>
        <w:t xml:space="preserve"> aus </w:t>
      </w:r>
      <w:r w:rsidR="00A42706" w:rsidRPr="0011302D">
        <w:rPr>
          <w:rFonts w:ascii="Cambria Math" w:eastAsia="Arial Unicode MS" w:hAnsi="Cambria Math" w:cs="Arial Unicode MS"/>
        </w:rPr>
        <w:t>ℝ</w:t>
      </w:r>
      <w:r w:rsidR="00922602">
        <w:rPr>
          <w:rFonts w:cs="Times New Roman"/>
        </w:rPr>
        <w:t>]</w:t>
      </w:r>
      <w:r w:rsidR="0075081B">
        <w:rPr>
          <w:rFonts w:cs="Times New Roman"/>
        </w:rPr>
        <w:t xml:space="preserve"> ≤ </w:t>
      </w:r>
      <w:r>
        <w:rPr>
          <w:rFonts w:cs="Times New Roman"/>
          <w:i/>
          <w:iCs/>
        </w:rPr>
        <w:t>b</w:t>
      </w:r>
      <w:r>
        <w:rPr>
          <w:rFonts w:cs="Times New Roman"/>
        </w:rPr>
        <w:t>.</w:t>
      </w:r>
    </w:p>
    <w:p w:rsidR="003930D3" w:rsidRPr="0030298E" w:rsidRDefault="00FC7CF9" w:rsidP="00FC7CF9">
      <w:pPr>
        <w:pStyle w:val="Zwischenberschrift"/>
      </w:pPr>
      <w:r>
        <w:t>Anmerkung</w:t>
      </w:r>
    </w:p>
    <w:p w:rsidR="003930D3" w:rsidRDefault="003930D3" w:rsidP="00FC7CF9">
      <w:pPr>
        <w:pStyle w:val="Text"/>
        <w:ind w:firstLine="0"/>
      </w:pPr>
      <w:r>
        <w:t>Gehören zu den verlangten Eigenschaften horizontal-relationale Eigenschaften</w:t>
      </w:r>
      <w:r w:rsidR="005D7996">
        <w:fldChar w:fldCharType="begin"/>
      </w:r>
      <w:r w:rsidR="00D6214C">
        <w:instrText xml:space="preserve"> XE "</w:instrText>
      </w:r>
      <w:r w:rsidR="00D6214C" w:rsidRPr="00CC22B7">
        <w:instrText>Eigenschaften:horizontal-relationale</w:instrText>
      </w:r>
      <w:r w:rsidR="00D6214C">
        <w:instrText xml:space="preserve">" </w:instrText>
      </w:r>
      <w:r w:rsidR="005D7996">
        <w:fldChar w:fldCharType="end"/>
      </w:r>
      <w:r>
        <w:t>, können diese nur in Bezug auf die bereits festgelegten Realisierungsstellen au</w:t>
      </w:r>
      <w:r>
        <w:t>s</w:t>
      </w:r>
      <w:r>
        <w:t>gewählt werden. Dadurch gehen einerseits Auswahlmöglichkeiten verloren; a</w:t>
      </w:r>
      <w:r>
        <w:t>n</w:t>
      </w:r>
      <w:r>
        <w:t>dererseits können durch die später ausgewählten Elemente die horizontal-relationalen Eigenschaften eines Elements auch wieder verändert werden, so dass der angestrebte Effekt verlorengeht. Dies kann insofern als realitätsnah anges</w:t>
      </w:r>
      <w:r>
        <w:t>e</w:t>
      </w:r>
      <w:r>
        <w:t>hen werden, als bei jeder Erzeugung einer Realisierung in einer bestimmten Re</w:t>
      </w:r>
      <w:r>
        <w:t>i</w:t>
      </w:r>
      <w:r>
        <w:t>henfolge vorgegangen werden muss und einmal getroffene Festlegungen nicht immer wieder umgeworfen werden können, so dass immer bei den meisten Re</w:t>
      </w:r>
      <w:r>
        <w:t>a</w:t>
      </w:r>
      <w:r>
        <w:t>lisierungsstellen nur die Relationen zu einem Teil der anderen Realisierungsste</w:t>
      </w:r>
      <w:r>
        <w:t>l</w:t>
      </w:r>
      <w:r>
        <w:lastRenderedPageBreak/>
        <w:t>len berücksichtigt werden können. Andererseits kann aber auch angenommen werden, dass nachträgliche Änderungen bereits vorgenommener Auswahlvo</w:t>
      </w:r>
      <w:r>
        <w:t>r</w:t>
      </w:r>
      <w:r>
        <w:t>gänge noch möglich sind, so dass Korrekturen vorgenommen werden können, wenn horizontal-relationale Eigenschaften</w:t>
      </w:r>
      <w:r w:rsidR="005D7996">
        <w:fldChar w:fldCharType="begin"/>
      </w:r>
      <w:r w:rsidR="00D6214C">
        <w:instrText xml:space="preserve"> XE "</w:instrText>
      </w:r>
      <w:r w:rsidR="00D6214C" w:rsidRPr="00CC22B7">
        <w:instrText>Eigenschaften:horizontal-relationale</w:instrText>
      </w:r>
      <w:r w:rsidR="00D6214C">
        <w:instrText xml:space="preserve">" </w:instrText>
      </w:r>
      <w:r w:rsidR="005D7996">
        <w:fldChar w:fldCharType="end"/>
      </w:r>
      <w:r>
        <w:t xml:space="preserve"> verändert werden. Das hängt alle</w:t>
      </w:r>
      <w:r>
        <w:t>r</w:t>
      </w:r>
      <w:r>
        <w:t xml:space="preserve">dings auch von der Gründlichkeit und dem Aufwand beim Einschreiben </w:t>
      </w:r>
      <w:r w:rsidR="00627106">
        <w:t xml:space="preserve">der Merkmalsregeln </w:t>
      </w:r>
      <w:r>
        <w:t>ab, so dass solche Veränderungen vom Einzelfall abhängen. Hier werden sie daher nicht berücksichtigt.</w:t>
      </w:r>
    </w:p>
    <w:p w:rsidR="00D2554C" w:rsidRDefault="00561EF7">
      <w:pPr>
        <w:pStyle w:val="Titel2"/>
      </w:pPr>
      <w:bookmarkStart w:id="258" w:name="_Ref212453118"/>
      <w:bookmarkStart w:id="259" w:name="_Toc325456748"/>
      <w:r>
        <w:t>Auslesen von</w:t>
      </w:r>
      <w:r w:rsidR="00D2554C">
        <w:t xml:space="preserve"> </w:t>
      </w:r>
      <w:r w:rsidR="00765E66">
        <w:t>Merkmalsregel</w:t>
      </w:r>
      <w:r w:rsidR="00D2554C">
        <w:t>n</w:t>
      </w:r>
      <w:bookmarkEnd w:id="258"/>
      <w:bookmarkEnd w:id="259"/>
    </w:p>
    <w:p w:rsidR="00D2554C" w:rsidRDefault="00D2554C" w:rsidP="00226A91">
      <w:pPr>
        <w:pStyle w:val="Titel3"/>
        <w:spacing w:before="240"/>
      </w:pPr>
      <w:bookmarkStart w:id="260" w:name="_Toc325456749"/>
      <w:r>
        <w:t>Allgemeines</w:t>
      </w:r>
      <w:bookmarkEnd w:id="260"/>
    </w:p>
    <w:p w:rsidR="00D958A5" w:rsidRDefault="00D958A5" w:rsidP="00FC7CF9">
      <w:pPr>
        <w:pStyle w:val="Text"/>
        <w:ind w:firstLine="0"/>
      </w:pPr>
      <w:r>
        <w:t xml:space="preserve">Das Auslesen von Merkmalsregeln setzt voraus, dass eine Realisierung vorliegt (vgl. Abschnitt </w:t>
      </w:r>
      <w:r w:rsidR="005D7996">
        <w:fldChar w:fldCharType="begin"/>
      </w:r>
      <w:r>
        <w:instrText xml:space="preserve"> REF _Ref261443737 \r \h </w:instrText>
      </w:r>
      <w:r w:rsidR="005D7996">
        <w:fldChar w:fldCharType="separate"/>
      </w:r>
      <w:r w:rsidR="001231D3">
        <w:t>7.3.2</w:t>
      </w:r>
      <w:r w:rsidR="005D7996">
        <w:fldChar w:fldCharType="end"/>
      </w:r>
      <w:r>
        <w:t xml:space="preserve">). An dieser kann absichtlich oder unabsichtlich ein Stil wahrgenommen werden. Menschen besitzen eine erstaunliche Stilkompetenz (vgl. Abschnitt </w:t>
      </w:r>
      <w:r w:rsidR="005D7996">
        <w:fldChar w:fldCharType="begin"/>
      </w:r>
      <w:r>
        <w:instrText xml:space="preserve"> REF _Ref253664986 \r \h </w:instrText>
      </w:r>
      <w:r w:rsidR="005D7996">
        <w:fldChar w:fldCharType="separate"/>
      </w:r>
      <w:r w:rsidR="001231D3">
        <w:t>8.2.4</w:t>
      </w:r>
      <w:r w:rsidR="005D7996">
        <w:fldChar w:fldCharType="end"/>
      </w:r>
      <w:r>
        <w:t>), die in der Regel schon in der Kindheit erworben wird, sich allerdings je nach Interesse und Beschäftigungen unterschiedlich in verschied</w:t>
      </w:r>
      <w:r>
        <w:t>e</w:t>
      </w:r>
      <w:r>
        <w:t>nen Gebieten ausprägt. In vielen Fällen erhalten wir einen ersten Eindruck von einem Stil, sobald wir die Aufmerksamkeit auf eine bestimmte Realisierung ric</w:t>
      </w:r>
      <w:r>
        <w:t>h</w:t>
      </w:r>
      <w:r>
        <w:t>ten.</w:t>
      </w:r>
    </w:p>
    <w:p w:rsidR="00D958A5" w:rsidRDefault="00D958A5">
      <w:pPr>
        <w:pStyle w:val="Text"/>
      </w:pPr>
      <w:r>
        <w:t>Tragen alle Realisierungen einen Stil? – Da auch schon eine einzige Anwe</w:t>
      </w:r>
      <w:r>
        <w:t>n</w:t>
      </w:r>
      <w:r>
        <w:t xml:space="preserve">dung einer Merkmalsregel </w:t>
      </w:r>
      <w:r w:rsidR="00642258">
        <w:t xml:space="preserve">dafür ausreicht, dass sie angenommen wird, gibt es prinzipiell keine Realisierung, für die das Auslesen </w:t>
      </w:r>
      <w:r w:rsidR="00D73672">
        <w:t xml:space="preserve">von Merkmalsregeln </w:t>
      </w:r>
      <w:r w:rsidR="00642258">
        <w:t>unmö</w:t>
      </w:r>
      <w:r w:rsidR="00642258">
        <w:t>g</w:t>
      </w:r>
      <w:r w:rsidR="00642258">
        <w:t>lich wäre.</w:t>
      </w:r>
      <w:r w:rsidR="002275EF">
        <w:rPr>
          <w:rStyle w:val="Funotenzeichen"/>
        </w:rPr>
        <w:footnoteReference w:id="374"/>
      </w:r>
      <w:r w:rsidR="002275EF">
        <w:t xml:space="preserve"> Allerdings gibt es sicherlich Realisierungen, bei denen tatsächlich keine Merkmalsregeln angewandt wurden, sondern nur per Zufall aus den unreduzierten </w:t>
      </w:r>
      <w:r w:rsidR="00721558">
        <w:t>Alter</w:t>
      </w:r>
      <w:r w:rsidR="00721558">
        <w:softHyphen/>
        <w:t>nativen</w:t>
      </w:r>
      <w:r w:rsidR="00721558">
        <w:softHyphen/>
        <w:t>klasse</w:t>
      </w:r>
      <w:r w:rsidR="002275EF">
        <w:t xml:space="preserve">n ausgewählt wurde: In solche Realisierungen wurde kein Stil eingeschrieben, es ist aber dennoch nicht unmöglich, dass einer ausgelesen wird, </w:t>
      </w:r>
      <w:r w:rsidR="006373BD">
        <w:t>wenn sich per Zufall Regelmäßigkeiten gebildet haben, die als salient erscheinen.</w:t>
      </w:r>
      <w:r w:rsidR="006373BD">
        <w:rPr>
          <w:rStyle w:val="Funotenzeichen"/>
        </w:rPr>
        <w:footnoteReference w:id="375"/>
      </w:r>
    </w:p>
    <w:p w:rsidR="00D2554C" w:rsidRDefault="00D2554C">
      <w:pPr>
        <w:pStyle w:val="Text"/>
      </w:pPr>
      <w:r>
        <w:lastRenderedPageBreak/>
        <w:t xml:space="preserve">Findet der </w:t>
      </w:r>
      <w:r w:rsidR="00007F63">
        <w:t xml:space="preserve">Ausleseprozess </w:t>
      </w:r>
      <w:r>
        <w:t>immer wieder neu statt? Dies ist schwer zu b</w:t>
      </w:r>
      <w:r>
        <w:t>e</w:t>
      </w:r>
      <w:r>
        <w:t xml:space="preserve">antworten; sehr wahrscheinlich werden bestimmte </w:t>
      </w:r>
      <w:r w:rsidR="0006308C">
        <w:t xml:space="preserve">Merkmalsregeln </w:t>
      </w:r>
      <w:r w:rsidR="00D84E99">
        <w:t>im Gedäch</w:t>
      </w:r>
      <w:r w:rsidR="00D84E99">
        <w:t>t</w:t>
      </w:r>
      <w:r w:rsidR="00D84E99">
        <w:t xml:space="preserve">nis gespeichert </w:t>
      </w:r>
      <w:r>
        <w:t>und können dann direkt wieder abgerufen werden, sobald ein</w:t>
      </w:r>
      <w:r w:rsidR="00816BD4">
        <w:t>e</w:t>
      </w:r>
      <w:r>
        <w:t xml:space="preserve"> </w:t>
      </w:r>
      <w:r w:rsidR="00816BD4">
        <w:t xml:space="preserve">ähnliche Realisierung </w:t>
      </w:r>
      <w:r>
        <w:t xml:space="preserve">wahrgenommen wird. Allerdings sollte man </w:t>
      </w:r>
      <w:r w:rsidR="00816BD4">
        <w:t xml:space="preserve">die Stärke unserer Assoziationsfähigkeit </w:t>
      </w:r>
      <w:r>
        <w:t xml:space="preserve">nicht unterschätzen: Wenn wir etwa </w:t>
      </w:r>
      <w:r w:rsidR="00816BD4">
        <w:t>die 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rsidR="00816BD4">
        <w:t xml:space="preserve"> eines Hauses </w:t>
      </w:r>
      <w:r>
        <w:t xml:space="preserve">als </w:t>
      </w:r>
      <w:r w:rsidR="00816BD4">
        <w:t>‚</w:t>
      </w:r>
      <w:r w:rsidR="0006308C">
        <w:t>aufwendig geschmückt</w:t>
      </w:r>
      <w:r w:rsidR="00816BD4">
        <w:t>‘</w:t>
      </w:r>
      <w:r>
        <w:t xml:space="preserve"> </w:t>
      </w:r>
      <w:r w:rsidR="0006308C">
        <w:t>wahrnehmen</w:t>
      </w:r>
      <w:r>
        <w:t xml:space="preserve">, kann es sein, dass </w:t>
      </w:r>
      <w:r w:rsidR="0006308C">
        <w:t xml:space="preserve">dieses Haus </w:t>
      </w:r>
      <w:r>
        <w:t xml:space="preserve">tatsächlich anders aussieht, als </w:t>
      </w:r>
      <w:r w:rsidR="00816BD4">
        <w:t xml:space="preserve">alle uns bekannten </w:t>
      </w:r>
      <w:r>
        <w:t xml:space="preserve">Beispiele für diese </w:t>
      </w:r>
      <w:r w:rsidR="00816BD4">
        <w:t>Merkmalsregel</w:t>
      </w:r>
      <w:r>
        <w:t>, aber uns durch die vielen anderen Häuser, die wir wahrgeno</w:t>
      </w:r>
      <w:r>
        <w:t>m</w:t>
      </w:r>
      <w:r>
        <w:t>men haben (also durch die Alternativen)</w:t>
      </w:r>
      <w:r w:rsidR="0006308C">
        <w:t>,</w:t>
      </w:r>
      <w:r>
        <w:t xml:space="preserve"> </w:t>
      </w:r>
      <w:r w:rsidR="0006308C">
        <w:t xml:space="preserve">dennoch </w:t>
      </w:r>
      <w:r>
        <w:t xml:space="preserve">sofort als </w:t>
      </w:r>
      <w:r w:rsidR="0006308C">
        <w:t>‚aufwendig g</w:t>
      </w:r>
      <w:r w:rsidR="0006308C">
        <w:t>e</w:t>
      </w:r>
      <w:r w:rsidR="0006308C">
        <w:t>schmückt‘ erscheint</w:t>
      </w:r>
      <w:r>
        <w:t xml:space="preserve">. Eine direkte Ähnlichkeit, die die Bildung von </w:t>
      </w:r>
      <w:r w:rsidR="00721558">
        <w:t>Alter</w:t>
      </w:r>
      <w:r w:rsidR="00721558">
        <w:softHyphen/>
        <w:t>nativen</w:t>
      </w:r>
      <w:r w:rsidR="00721558">
        <w:softHyphen/>
        <w:t>klasse</w:t>
      </w:r>
      <w:r>
        <w:t xml:space="preserve">n und </w:t>
      </w:r>
      <w:r w:rsidR="004451F8">
        <w:t xml:space="preserve">das Auslesen </w:t>
      </w:r>
      <w:r>
        <w:t xml:space="preserve">von </w:t>
      </w:r>
      <w:r w:rsidR="00765E66">
        <w:t>Merkmalsregel</w:t>
      </w:r>
      <w:r>
        <w:t xml:space="preserve">n unnötig macht und einfach nur zum </w:t>
      </w:r>
      <w:r w:rsidR="00AE01E4">
        <w:t xml:space="preserve">Abruf </w:t>
      </w:r>
      <w:r>
        <w:t xml:space="preserve">der gespeicherten Information über den Stil führt, dürfte </w:t>
      </w:r>
      <w:r w:rsidR="006A7536">
        <w:t xml:space="preserve">also </w:t>
      </w:r>
      <w:r>
        <w:t xml:space="preserve">eher die Ausnahme sein. Mischungen von abgerufenen, gespeicherten Informationen und neu </w:t>
      </w:r>
      <w:r w:rsidR="004451F8">
        <w:t xml:space="preserve">ausgelesenen </w:t>
      </w:r>
      <w:r w:rsidR="00765E66">
        <w:t>Merkmalsregel</w:t>
      </w:r>
      <w:r>
        <w:t>n dürften häufig vorkommen.</w:t>
      </w:r>
    </w:p>
    <w:p w:rsidR="00D2554C" w:rsidRDefault="00D2554C">
      <w:pPr>
        <w:pStyle w:val="Text"/>
      </w:pPr>
      <w:r>
        <w:t xml:space="preserve">Ausgangspunkt für </w:t>
      </w:r>
      <w:r w:rsidR="00400367">
        <w:t xml:space="preserve">das Wahrnehmen eines Stils </w:t>
      </w:r>
      <w:r>
        <w:t>ist also eine konkrete Real</w:t>
      </w:r>
      <w:r>
        <w:t>i</w:t>
      </w:r>
      <w:r>
        <w:t>sierung bzw. ein beliebiges Stück von einer Realisierung, das auf einen Stil hin untersucht wird:</w:t>
      </w:r>
    </w:p>
    <w:p w:rsidR="00D2554C" w:rsidRDefault="00D2554C" w:rsidP="00BD4943">
      <w:pPr>
        <w:pStyle w:val="Formel"/>
        <w:tabs>
          <w:tab w:val="clear" w:pos="737"/>
          <w:tab w:val="left" w:pos="680"/>
        </w:tabs>
        <w:spacing w:before="240" w:after="240"/>
      </w:pPr>
      <w:r>
        <w:rPr>
          <w:i/>
        </w:rPr>
        <w:t>R</w:t>
      </w:r>
      <w:r>
        <w:t xml:space="preserve"> </w:t>
      </w:r>
      <w:r w:rsidR="00BD4943">
        <w:tab/>
      </w:r>
      <w:r>
        <w:t>= {</w:t>
      </w:r>
      <w:r>
        <w:rPr>
          <w:i/>
        </w:rPr>
        <w:t>x</w:t>
      </w:r>
      <w:r>
        <w:rPr>
          <w:vertAlign w:val="subscript"/>
        </w:rPr>
        <w:t>1</w:t>
      </w:r>
      <w:r>
        <w:t xml:space="preserve">, </w:t>
      </w:r>
      <w:r>
        <w:rPr>
          <w:i/>
        </w:rPr>
        <w:t>x</w:t>
      </w:r>
      <w:r>
        <w:rPr>
          <w:vertAlign w:val="subscript"/>
        </w:rPr>
        <w:t>2</w:t>
      </w:r>
      <w:r>
        <w:t xml:space="preserve">, …, </w:t>
      </w:r>
      <w:r>
        <w:rPr>
          <w:i/>
        </w:rPr>
        <w:t>x</w:t>
      </w:r>
      <w:r>
        <w:rPr>
          <w:i/>
          <w:vertAlign w:val="subscript"/>
        </w:rPr>
        <w:t>n</w:t>
      </w:r>
      <w:r>
        <w:t>}</w:t>
      </w:r>
    </w:p>
    <w:p w:rsidR="00D2554C" w:rsidRDefault="00D2554C" w:rsidP="00024183">
      <w:pPr>
        <w:pStyle w:val="Text"/>
        <w:ind w:firstLine="0"/>
      </w:pPr>
      <w:r>
        <w:t xml:space="preserve">Um </w:t>
      </w:r>
      <w:r w:rsidR="00765E66">
        <w:t>Merkmalsregel</w:t>
      </w:r>
      <w:r>
        <w:t xml:space="preserve">n </w:t>
      </w:r>
      <w:r w:rsidR="00D84E99">
        <w:t xml:space="preserve">auslesen </w:t>
      </w:r>
      <w:r>
        <w:t xml:space="preserve">zu können, muss der </w:t>
      </w:r>
      <w:r w:rsidR="00C75387">
        <w:t>Stilwahrnehmer</w:t>
      </w:r>
      <w:r>
        <w:t xml:space="preserve"> zunächst zu jeder Realisierungsstelle die Alternativenmenge bilden, die es bei der Entstehung der Realisierung vermutlich gegeben hat. Hierzu ist natürlich Hintergrundwissen über die vorhandenen Möglichkeiten erforderlich. Im Allgemeinen wird es au</w:t>
      </w:r>
      <w:r>
        <w:t>s</w:t>
      </w:r>
      <w:r>
        <w:t>reichen, in derselben oder einer ausreichend ähnlichen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zu leben und Zugang zum gemeinsamen Wissen der Gesellschaft (ihrer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xml:space="preserve">) zu haben, um </w:t>
      </w:r>
      <w:r w:rsidR="00721558">
        <w:t>Alter</w:t>
      </w:r>
      <w:r w:rsidR="00721558">
        <w:softHyphen/>
        <w:t>nativen</w:t>
      </w:r>
      <w:r w:rsidR="00721558">
        <w:softHyphen/>
        <w:t>klasse</w:t>
      </w:r>
      <w:r>
        <w:t>n zu bilden, die ausreichend ähnlich sind, um einen Stil ung</w:t>
      </w:r>
      <w:r>
        <w:t>e</w:t>
      </w:r>
      <w:r>
        <w:t>fähr erkennen zu können. Es ist jedoch auch offensichtlich, dass es nahezu u</w:t>
      </w:r>
      <w:r>
        <w:t>n</w:t>
      </w:r>
      <w:r>
        <w:t xml:space="preserve">möglich ist, bei dieser Rekonstruktion die vollständige Menge der </w:t>
      </w:r>
      <w:r w:rsidR="00721558">
        <w:t>Alter</w:t>
      </w:r>
      <w:r w:rsidR="00721558">
        <w:softHyphen/>
        <w:t>nativen</w:t>
      </w:r>
      <w:r w:rsidR="00721558">
        <w:softHyphen/>
        <w:t>klasse</w:t>
      </w:r>
      <w:r>
        <w:t xml:space="preserve">n </w:t>
      </w:r>
      <w:r>
        <w:rPr>
          <w:i/>
          <w:iCs/>
        </w:rPr>
        <w:t>A</w:t>
      </w:r>
      <w:r>
        <w:t xml:space="preserve"> </w:t>
      </w:r>
      <w:r w:rsidR="00007F63">
        <w:t xml:space="preserve">identisch mit der beim Einschreiben </w:t>
      </w:r>
      <w:r>
        <w:t xml:space="preserve">verwendeten zu erhalten. Dies liegt daran, dass die </w:t>
      </w:r>
      <w:r w:rsidR="00721558">
        <w:t>Alter</w:t>
      </w:r>
      <w:r w:rsidR="00721558">
        <w:softHyphen/>
        <w:t>nativen</w:t>
      </w:r>
      <w:r w:rsidR="00721558">
        <w:softHyphen/>
        <w:t>klasse</w:t>
      </w:r>
      <w:r>
        <w:t xml:space="preserve">n ja </w:t>
      </w:r>
      <w:r w:rsidR="00007F63">
        <w:t xml:space="preserve">nicht </w:t>
      </w:r>
      <w:r w:rsidR="001E04A2">
        <w:t xml:space="preserve">direkt </w:t>
      </w:r>
      <w:r>
        <w:t>zugänglich sind; gegeben ist nur der Stilträger, die Realisierung. Je größer die Differenzen in Gesellschaft und Kultur gegenüber der Erzeugungssituation des Stils sind – sei es durch räumliche und kulturelle, sei es durch zeitliche Entfernung –, desto stärker wird sich die bei</w:t>
      </w:r>
      <w:r w:rsidR="001E04A2">
        <w:t>m Auslesen</w:t>
      </w:r>
      <w:r>
        <w:t xml:space="preserve"> verwendete Menge der </w:t>
      </w:r>
      <w:r w:rsidR="00721558">
        <w:t>Alter</w:t>
      </w:r>
      <w:r w:rsidR="00721558">
        <w:softHyphen/>
        <w:t>nativen</w:t>
      </w:r>
      <w:r w:rsidR="00721558">
        <w:softHyphen/>
        <w:t>klasse</w:t>
      </w:r>
      <w:r>
        <w:t xml:space="preserve">n </w:t>
      </w:r>
      <w:r>
        <w:rPr>
          <w:i/>
          <w:iCs/>
        </w:rPr>
        <w:t>A</w:t>
      </w:r>
      <w:r>
        <w:t xml:space="preserve"> von der bei</w:t>
      </w:r>
      <w:r w:rsidR="001E04A2">
        <w:t xml:space="preserve">m Einschreiben </w:t>
      </w:r>
      <w:r>
        <w:t>verwendeten unterscheiden. Natürlich spielen auch die b</w:t>
      </w:r>
      <w:r>
        <w:t>e</w:t>
      </w:r>
      <w:r>
        <w:t xml:space="preserve">reichsbezogenen Vorkenntnisse des </w:t>
      </w:r>
      <w:r w:rsidR="00C75387">
        <w:t>Stilwahrnehmer</w:t>
      </w:r>
      <w:r>
        <w:t>s, die Anstrengung, die er in</w:t>
      </w:r>
      <w:r w:rsidR="00C32A30">
        <w:t xml:space="preserve"> den Ausleseprozess </w:t>
      </w:r>
      <w:r>
        <w:t xml:space="preserve">steckt, und gegebenenfalls die Recherchen (z.B. über die historischen sowie kulturspezifischen Umstände der Stilentstehung), die er </w:t>
      </w:r>
      <w:r w:rsidR="00C32A30">
        <w:t xml:space="preserve">dafür </w:t>
      </w:r>
      <w:r>
        <w:t>betreibt, eine Rolle.</w:t>
      </w:r>
      <w:r w:rsidR="000F7334">
        <w:rPr>
          <w:rStyle w:val="Funotenzeichen"/>
        </w:rPr>
        <w:footnoteReference w:id="376"/>
      </w:r>
    </w:p>
    <w:p w:rsidR="00D2554C" w:rsidRDefault="00D2554C">
      <w:pPr>
        <w:pStyle w:val="Text"/>
      </w:pPr>
      <w:r>
        <w:lastRenderedPageBreak/>
        <w:t xml:space="preserve">Den Prozess der Rekonstruktion </w:t>
      </w:r>
      <w:r w:rsidR="006A7536">
        <w:t xml:space="preserve">der </w:t>
      </w:r>
      <w:r w:rsidR="00721558">
        <w:t>Alter</w:t>
      </w:r>
      <w:r w:rsidR="00721558">
        <w:softHyphen/>
        <w:t>nativen</w:t>
      </w:r>
      <w:r w:rsidR="00721558">
        <w:softHyphen/>
        <w:t>klasse</w:t>
      </w:r>
      <w:r w:rsidR="006A7536">
        <w:t xml:space="preserve">n </w:t>
      </w:r>
      <w:r w:rsidR="00C32A30">
        <w:t>kann also sehr u</w:t>
      </w:r>
      <w:r w:rsidR="00C32A30">
        <w:t>n</w:t>
      </w:r>
      <w:r w:rsidR="00C32A30">
        <w:t xml:space="preserve">terschiedlich aussehen. </w:t>
      </w:r>
      <w:r>
        <w:t xml:space="preserve">Wie </w:t>
      </w:r>
      <w:r w:rsidR="00C32A30">
        <w:t xml:space="preserve">plausibel das Ergebnis auch </w:t>
      </w:r>
      <w:r>
        <w:t xml:space="preserve">immer ist, </w:t>
      </w:r>
      <w:r w:rsidR="00C32A30">
        <w:t xml:space="preserve">in </w:t>
      </w:r>
      <w:r>
        <w:t xml:space="preserve">jedem Fall erhalten wir für jede Realisierungsstelle eine </w:t>
      </w:r>
      <w:r w:rsidR="00721558">
        <w:t>Alter</w:t>
      </w:r>
      <w:r w:rsidR="00721558">
        <w:softHyphen/>
        <w:t>nativen</w:t>
      </w:r>
      <w:r w:rsidR="00721558">
        <w:softHyphen/>
        <w:t>klasse</w:t>
      </w:r>
      <w:r>
        <w:t>:</w:t>
      </w:r>
    </w:p>
    <w:p w:rsidR="00D2554C" w:rsidRDefault="00D2554C" w:rsidP="00BD4943">
      <w:pPr>
        <w:pStyle w:val="Formel"/>
        <w:tabs>
          <w:tab w:val="clear" w:pos="737"/>
          <w:tab w:val="left" w:pos="680"/>
        </w:tabs>
        <w:spacing w:before="240" w:after="240"/>
      </w:pPr>
      <w:r>
        <w:rPr>
          <w:i/>
        </w:rPr>
        <w:t>A</w:t>
      </w:r>
      <w:r w:rsidR="000A64D2" w:rsidRPr="000A64D2">
        <w:tab/>
      </w:r>
      <w:r w:rsidRPr="000A64D2">
        <w:t xml:space="preserve">= </w:t>
      </w:r>
      <w:r>
        <w:t>{</w:t>
      </w:r>
      <w:r>
        <w:rPr>
          <w:i/>
        </w:rPr>
        <w:t>A</w:t>
      </w:r>
      <w:r>
        <w:rPr>
          <w:vertAlign w:val="subscript"/>
        </w:rPr>
        <w:t>1</w:t>
      </w:r>
      <w:r>
        <w:t xml:space="preserve">, </w:t>
      </w:r>
      <w:r>
        <w:rPr>
          <w:i/>
        </w:rPr>
        <w:t>A</w:t>
      </w:r>
      <w:r>
        <w:rPr>
          <w:vertAlign w:val="subscript"/>
        </w:rPr>
        <w:t>2</w:t>
      </w:r>
      <w:r>
        <w:t xml:space="preserve">, …, </w:t>
      </w:r>
      <w:r>
        <w:rPr>
          <w:i/>
        </w:rPr>
        <w:t>A</w:t>
      </w:r>
      <w:r>
        <w:rPr>
          <w:i/>
          <w:vertAlign w:val="subscript"/>
        </w:rPr>
        <w:t>n</w:t>
      </w:r>
      <w:r>
        <w:t>}</w:t>
      </w:r>
    </w:p>
    <w:p w:rsidR="00D2554C" w:rsidRDefault="00D2554C" w:rsidP="00E66453">
      <w:pPr>
        <w:pStyle w:val="Text"/>
        <w:ind w:firstLine="0"/>
      </w:pPr>
      <w:r>
        <w:t xml:space="preserve">Für jede dieser </w:t>
      </w:r>
      <w:r w:rsidR="00721558">
        <w:t>Alter</w:t>
      </w:r>
      <w:r w:rsidR="00721558">
        <w:softHyphen/>
        <w:t>nativen</w:t>
      </w:r>
      <w:r w:rsidR="00721558">
        <w:softHyphen/>
        <w:t>klasse</w:t>
      </w:r>
      <w:r>
        <w:t>n ist eine Definition der folgenden Art geg</w:t>
      </w:r>
      <w:r>
        <w:t>e</w:t>
      </w:r>
      <w:r>
        <w:t xml:space="preserve">ben (vgl. Abschnitt </w:t>
      </w:r>
      <w:r w:rsidR="005D7996">
        <w:fldChar w:fldCharType="begin"/>
      </w:r>
      <w:r>
        <w:instrText xml:space="preserve"> REF _Ref212029118 \r \h </w:instrText>
      </w:r>
      <w:r w:rsidR="005D7996">
        <w:fldChar w:fldCharType="separate"/>
      </w:r>
      <w:r w:rsidR="001231D3">
        <w:t>4.4</w:t>
      </w:r>
      <w:r w:rsidR="005D7996">
        <w:fldChar w:fldCharType="end"/>
      </w:r>
      <w:r>
        <w:t>):</w:t>
      </w:r>
    </w:p>
    <w:p w:rsidR="00D2554C" w:rsidRDefault="00FC7CF9" w:rsidP="00BD4943">
      <w:pPr>
        <w:pStyle w:val="Formel"/>
        <w:tabs>
          <w:tab w:val="clear" w:pos="737"/>
          <w:tab w:val="left" w:pos="680"/>
        </w:tabs>
        <w:spacing w:before="240" w:after="240"/>
      </w:pPr>
      <w:r>
        <w:rPr>
          <w:i/>
        </w:rPr>
        <w:t>A</w:t>
      </w:r>
      <w:r>
        <w:rPr>
          <w:i/>
          <w:vertAlign w:val="subscript"/>
        </w:rPr>
        <w:t>h</w:t>
      </w:r>
      <w:r>
        <w:tab/>
        <w:t>= {</w:t>
      </w:r>
      <w:r>
        <w:rPr>
          <w:i/>
        </w:rPr>
        <w:t>x</w:t>
      </w:r>
      <w:r w:rsidRPr="000B6357">
        <w:rPr>
          <w:color w:val="000000" w:themeColor="text1"/>
        </w:rPr>
        <w:t xml:space="preserve"> </w:t>
      </w:r>
      <w:r w:rsidRPr="00E235A0">
        <w:rPr>
          <w:rFonts w:ascii="Cambria Math" w:eastAsia="Arial Unicode MS" w:hAnsi="Cambria Math" w:cs="Arial Unicode MS"/>
          <w:color w:val="000000" w:themeColor="text1"/>
        </w:rPr>
        <w:t>∊</w:t>
      </w:r>
      <w:r>
        <w:t xml:space="preserve"> </w:t>
      </w:r>
      <w:r w:rsidRPr="000B6357">
        <w:rPr>
          <w:i/>
        </w:rPr>
        <w:t>M</w:t>
      </w:r>
      <w:r>
        <w:rPr>
          <w:i/>
          <w:vertAlign w:val="subscript"/>
        </w:rPr>
        <w:t>Alt</w:t>
      </w:r>
      <w:r>
        <w:t xml:space="preserve"> | </w:t>
      </w:r>
      <m:oMath>
        <m:sSubSup>
          <m:sSubSupPr>
            <m:ctrlPr>
              <w:rPr>
                <w:rFonts w:ascii="Cambria Math" w:hAnsi="Cambria Math"/>
                <w:i/>
              </w:rPr>
            </m:ctrlPr>
          </m:sSubSupPr>
          <m:e>
            <m:r>
              <m:rPr>
                <m:nor/>
              </m:rPr>
              <w:rPr>
                <w:i/>
              </w:rPr>
              <m:t>E</m:t>
            </m:r>
          </m:e>
          <m:sub>
            <m:r>
              <m:rPr>
                <m:nor/>
              </m:rPr>
              <m:t>1</m:t>
            </m:r>
          </m:sub>
          <m:sup>
            <m:sSub>
              <m:sSubPr>
                <m:ctrlPr>
                  <w:rPr>
                    <w:rFonts w:ascii="Cambria Math" w:hAnsi="Cambria Math"/>
                    <w:i/>
                  </w:rPr>
                </m:ctrlPr>
              </m:sSubPr>
              <m:e>
                <m:r>
                  <m:rPr>
                    <m:nor/>
                  </m:rPr>
                  <w:rPr>
                    <w:i/>
                  </w:rPr>
                  <m:t>O</m:t>
                </m:r>
              </m:e>
              <m:sub>
                <m:r>
                  <m:rPr>
                    <m:nor/>
                  </m:rPr>
                  <w:rPr>
                    <w:i/>
                  </w:rPr>
                  <m:t>i,j</m:t>
                </m:r>
              </m:sub>
            </m:sSub>
          </m:sup>
        </m:sSubSup>
      </m:oMath>
      <w:r w:rsidRPr="00A05ADD">
        <w:t>(</w:t>
      </w:r>
      <w:r w:rsidRPr="00A05ADD">
        <w:rPr>
          <w:i/>
          <w:color w:val="000000" w:themeColor="text1"/>
        </w:rPr>
        <w:t>x</w:t>
      </w:r>
      <w:r w:rsidRPr="00A05ADD">
        <w:t xml:space="preserve">) </w:t>
      </w:r>
      <w:r w:rsidRPr="00A05ADD">
        <w:rPr>
          <w:rFonts w:ascii="Cambria Math" w:hAnsi="Cambria Math" w:cs="Cambria Math"/>
          <w:color w:val="000000" w:themeColor="text1"/>
        </w:rPr>
        <w:t>∧</w:t>
      </w:r>
      <w:r w:rsidRPr="00A05ADD">
        <w:rPr>
          <w:position w:val="-4"/>
        </w:rPr>
        <w:t xml:space="preserve"> </w:t>
      </w:r>
      <w:r w:rsidRPr="00A05ADD">
        <w:t xml:space="preserve">… </w:t>
      </w:r>
      <w:r w:rsidRPr="00A05ADD">
        <w:rPr>
          <w:rFonts w:ascii="Cambria Math" w:hAnsi="Cambria Math" w:cs="Cambria Math"/>
          <w:color w:val="000000" w:themeColor="text1"/>
        </w:rPr>
        <w:t>∧</w:t>
      </w:r>
      <w:r w:rsidRPr="00A05ADD">
        <w:t xml:space="preserve"> </w:t>
      </w:r>
      <m:oMath>
        <m:sSubSup>
          <m:sSubSupPr>
            <m:ctrlPr>
              <w:rPr>
                <w:rFonts w:ascii="Cambria Math" w:hAnsi="Cambria Math"/>
                <w:i/>
              </w:rPr>
            </m:ctrlPr>
          </m:sSubSupPr>
          <m:e>
            <m:r>
              <m:rPr>
                <m:nor/>
              </m:rPr>
              <w:rPr>
                <w:i/>
              </w:rPr>
              <m:t>E</m:t>
            </m:r>
          </m:e>
          <m:sub>
            <m:r>
              <m:rPr>
                <m:nor/>
              </m:rPr>
              <w:rPr>
                <w:i/>
              </w:rPr>
              <m:t>m</m:t>
            </m:r>
          </m:sub>
          <m:sup>
            <m:sSub>
              <m:sSubPr>
                <m:ctrlPr>
                  <w:rPr>
                    <w:rFonts w:ascii="Cambria Math" w:hAnsi="Cambria Math"/>
                    <w:i/>
                  </w:rPr>
                </m:ctrlPr>
              </m:sSubPr>
              <m:e>
                <m:r>
                  <m:rPr>
                    <m:nor/>
                  </m:rPr>
                  <w:rPr>
                    <w:i/>
                  </w:rPr>
                  <m:t>O</m:t>
                </m:r>
              </m:e>
              <m:sub>
                <m:r>
                  <m:rPr>
                    <m:nor/>
                  </m:rPr>
                  <w:rPr>
                    <w:i/>
                  </w:rPr>
                  <m:t>i,j</m:t>
                </m:r>
              </m:sub>
            </m:sSub>
          </m:sup>
        </m:sSubSup>
      </m:oMath>
      <w:r w:rsidRPr="00A05ADD">
        <w:t>(</w:t>
      </w:r>
      <w:r w:rsidRPr="00A05ADD">
        <w:rPr>
          <w:i/>
          <w:color w:val="000000" w:themeColor="text1"/>
        </w:rPr>
        <w:t>x</w:t>
      </w:r>
      <w:r w:rsidRPr="00A05ADD">
        <w:t xml:space="preserve">) </w:t>
      </w:r>
      <w:r w:rsidRPr="00A05ADD">
        <w:rPr>
          <w:rFonts w:ascii="Cambria Math" w:hAnsi="Cambria Math" w:cs="Cambria Math"/>
          <w:color w:val="000000" w:themeColor="text1"/>
        </w:rPr>
        <w:t>∧</w:t>
      </w:r>
      <w:r w:rsidRPr="00A05ADD">
        <w:t xml:space="preserve"> </w:t>
      </w:r>
      <m:oMath>
        <m:sSubSup>
          <m:sSubSupPr>
            <m:ctrlPr>
              <w:rPr>
                <w:rFonts w:ascii="Cambria Math" w:hAnsi="Cambria Math"/>
                <w:i/>
              </w:rPr>
            </m:ctrlPr>
          </m:sSubSupPr>
          <m:e>
            <m:r>
              <m:rPr>
                <m:nor/>
              </m:rPr>
              <w:rPr>
                <w:i/>
              </w:rPr>
              <m:t>E</m:t>
            </m:r>
          </m:e>
          <m:sub>
            <m:sSub>
              <m:sSubPr>
                <m:ctrlPr>
                  <w:rPr>
                    <w:rFonts w:ascii="Cambria Math" w:hAnsi="Cambria Math"/>
                  </w:rPr>
                </m:ctrlPr>
              </m:sSubPr>
              <m:e>
                <m:r>
                  <m:rPr>
                    <m:nor/>
                  </m:rPr>
                  <w:rPr>
                    <w:i/>
                  </w:rPr>
                  <m:t>k</m:t>
                </m:r>
              </m:e>
              <m:sub>
                <m:r>
                  <m:rPr>
                    <m:nor/>
                  </m:rPr>
                  <m:t>1</m:t>
                </m:r>
              </m:sub>
            </m:sSub>
          </m:sub>
          <m:sup>
            <m:sSub>
              <m:sSubPr>
                <m:ctrlPr>
                  <w:rPr>
                    <w:rFonts w:ascii="Cambria Math" w:hAnsi="Cambria Math"/>
                    <w:i/>
                  </w:rPr>
                </m:ctrlPr>
              </m:sSubPr>
              <m:e>
                <m:r>
                  <m:rPr>
                    <m:nor/>
                  </m:rPr>
                  <w:rPr>
                    <w:i/>
                  </w:rPr>
                  <m:t>Z</m:t>
                </m:r>
              </m:e>
              <m:sub>
                <m:r>
                  <m:rPr>
                    <m:nor/>
                  </m:rPr>
                  <w:rPr>
                    <w:i/>
                  </w:rPr>
                  <m:t>i,j</m:t>
                </m:r>
              </m:sub>
            </m:sSub>
          </m:sup>
        </m:sSubSup>
      </m:oMath>
      <w:r w:rsidRPr="00A05ADD">
        <w:t>(</w:t>
      </w:r>
      <w:r w:rsidRPr="00A05ADD">
        <w:rPr>
          <w:i/>
          <w:color w:val="000000" w:themeColor="text1"/>
        </w:rPr>
        <w:t>x</w:t>
      </w:r>
      <w:r w:rsidRPr="00A05ADD">
        <w:t xml:space="preserve">) </w:t>
      </w:r>
      <w:r w:rsidRPr="00A05ADD">
        <w:rPr>
          <w:rFonts w:ascii="Cambria Math" w:hAnsi="Cambria Math" w:cs="Cambria Math"/>
          <w:color w:val="000000" w:themeColor="text1"/>
        </w:rPr>
        <w:t>∧</w:t>
      </w:r>
      <w:r w:rsidRPr="00A05ADD">
        <w:t xml:space="preserve"> … </w:t>
      </w:r>
      <w:r w:rsidRPr="00A05ADD">
        <w:rPr>
          <w:rFonts w:ascii="Cambria Math" w:hAnsi="Cambria Math" w:cs="Cambria Math"/>
          <w:color w:val="000000" w:themeColor="text1"/>
        </w:rPr>
        <w:t>∧</w:t>
      </w:r>
      <w:r w:rsidRPr="00A05ADD">
        <w:t xml:space="preserve"> </w:t>
      </w:r>
      <m:oMath>
        <m:sSubSup>
          <m:sSubSupPr>
            <m:ctrlPr>
              <w:rPr>
                <w:rFonts w:ascii="Cambria Math" w:hAnsi="Cambria Math"/>
                <w:i/>
              </w:rPr>
            </m:ctrlPr>
          </m:sSubSupPr>
          <m:e>
            <m:r>
              <m:rPr>
                <m:nor/>
              </m:rPr>
              <w:rPr>
                <w:i/>
              </w:rPr>
              <m:t>E</m:t>
            </m:r>
          </m:e>
          <m:sub>
            <m:sSub>
              <m:sSubPr>
                <m:ctrlPr>
                  <w:rPr>
                    <w:rFonts w:ascii="Cambria Math" w:hAnsi="Cambria Math"/>
                  </w:rPr>
                </m:ctrlPr>
              </m:sSubPr>
              <m:e>
                <m:r>
                  <m:rPr>
                    <m:nor/>
                  </m:rPr>
                  <w:rPr>
                    <w:i/>
                  </w:rPr>
                  <m:t>k</m:t>
                </m:r>
              </m:e>
              <m:sub>
                <m:r>
                  <m:rPr>
                    <m:nor/>
                  </m:rPr>
                  <w:rPr>
                    <w:i/>
                  </w:rPr>
                  <m:t>s</m:t>
                </m:r>
              </m:sub>
            </m:sSub>
          </m:sub>
          <m:sup>
            <m:sSub>
              <m:sSubPr>
                <m:ctrlPr>
                  <w:rPr>
                    <w:rFonts w:ascii="Cambria Math" w:hAnsi="Cambria Math"/>
                    <w:i/>
                  </w:rPr>
                </m:ctrlPr>
              </m:sSubPr>
              <m:e>
                <m:r>
                  <m:rPr>
                    <m:nor/>
                  </m:rPr>
                  <w:rPr>
                    <w:i/>
                  </w:rPr>
                  <m:t>Z</m:t>
                </m:r>
              </m:e>
              <m:sub>
                <m:r>
                  <m:rPr>
                    <m:nor/>
                  </m:rPr>
                  <w:rPr>
                    <w:i/>
                  </w:rPr>
                  <m:t>i,j</m:t>
                </m:r>
              </m:sub>
            </m:sSub>
          </m:sup>
        </m:sSubSup>
      </m:oMath>
      <w:r w:rsidRPr="00A05ADD">
        <w:t>(</w:t>
      </w:r>
      <w:r w:rsidRPr="00A05ADD">
        <w:rPr>
          <w:i/>
          <w:color w:val="000000" w:themeColor="text1"/>
        </w:rPr>
        <w:t>x</w:t>
      </w:r>
      <w:r w:rsidRPr="00A05ADD">
        <w:t>)</w:t>
      </w:r>
      <w:r>
        <w:t>}</w:t>
      </w:r>
    </w:p>
    <w:p w:rsidR="00D2554C" w:rsidRDefault="00D2554C" w:rsidP="00131AE8">
      <w:pPr>
        <w:pStyle w:val="Text"/>
        <w:ind w:firstLine="0"/>
      </w:pPr>
      <w:r>
        <w:t xml:space="preserve">Wir haben also eine Realisierung und eine dazu (re-)konstruierte Menge von </w:t>
      </w:r>
      <w:r w:rsidR="00721558">
        <w:t>Alter</w:t>
      </w:r>
      <w:r w:rsidR="00721558">
        <w:softHyphen/>
        <w:t>nativen</w:t>
      </w:r>
      <w:r w:rsidR="00721558">
        <w:softHyphen/>
        <w:t>klasse</w:t>
      </w:r>
      <w:r>
        <w:t xml:space="preserve">n. Aus der Relation zwischen Realisierung und </w:t>
      </w:r>
      <w:r w:rsidR="00721558">
        <w:t>Alter</w:t>
      </w:r>
      <w:r w:rsidR="00721558">
        <w:softHyphen/>
        <w:t>nativen</w:t>
      </w:r>
      <w:r w:rsidR="00721558">
        <w:softHyphen/>
        <w:t>klasse</w:t>
      </w:r>
      <w:r>
        <w:t xml:space="preserve">n können wir </w:t>
      </w:r>
      <w:r w:rsidR="00765E66">
        <w:t>Merkmalsregel</w:t>
      </w:r>
      <w:r w:rsidR="0004162E">
        <w:t>n</w:t>
      </w:r>
      <w:r>
        <w:t xml:space="preserve"> </w:t>
      </w:r>
      <w:r w:rsidR="004451F8">
        <w:t>bilden</w:t>
      </w:r>
      <w:r>
        <w:t>.</w:t>
      </w:r>
    </w:p>
    <w:p w:rsidR="00D2554C" w:rsidRDefault="00765E66">
      <w:pPr>
        <w:pStyle w:val="Text"/>
      </w:pPr>
      <w:r>
        <w:t>Merkmalsregel</w:t>
      </w:r>
      <w:r w:rsidR="00D2554C">
        <w:t xml:space="preserve">n enthalten vier Variablen: Die </w:t>
      </w:r>
      <w:r w:rsidR="005F647E">
        <w:t>Anwendungsbedingung</w:t>
      </w:r>
      <w:r w:rsidR="00D2554C">
        <w:t xml:space="preserve">en </w:t>
      </w:r>
      <w:r w:rsidR="00D2554C">
        <w:rPr>
          <w:i/>
          <w:iCs/>
        </w:rPr>
        <w:t>U</w:t>
      </w:r>
      <w:r w:rsidR="00D2554C">
        <w:t xml:space="preserve">, die verlangten Eigenschaften </w:t>
      </w:r>
      <w:r w:rsidR="00D2554C">
        <w:rPr>
          <w:i/>
          <w:iCs/>
        </w:rPr>
        <w:t>V</w:t>
      </w:r>
      <w:r w:rsidR="00D2554C">
        <w:t xml:space="preserve">, die Anwendungswahrscheinlichkeit </w:t>
      </w:r>
      <w:r w:rsidR="00D2554C">
        <w:rPr>
          <w:i/>
          <w:iCs/>
        </w:rPr>
        <w:t>w</w:t>
      </w:r>
      <w:r w:rsidR="00D2554C">
        <w:t xml:space="preserve"> und die Priorisierung</w:t>
      </w:r>
      <w:r w:rsidR="005D7996">
        <w:fldChar w:fldCharType="begin"/>
      </w:r>
      <w:r w:rsidR="007B15C8">
        <w:instrText xml:space="preserve"> XE "</w:instrText>
      </w:r>
      <w:r w:rsidR="007B15C8" w:rsidRPr="005F58EF">
        <w:instrText>Priorisierung</w:instrText>
      </w:r>
      <w:r w:rsidR="007B15C8">
        <w:instrText xml:space="preserve">" </w:instrText>
      </w:r>
      <w:r w:rsidR="005D7996">
        <w:fldChar w:fldCharType="end"/>
      </w:r>
      <w:r w:rsidR="00D2554C">
        <w:t xml:space="preserve"> (vgl. Abschnitt </w:t>
      </w:r>
      <w:r w:rsidR="005D7996">
        <w:fldChar w:fldCharType="begin"/>
      </w:r>
      <w:r w:rsidR="00D2554C">
        <w:instrText xml:space="preserve"> REF _Ref211937722 \r \h </w:instrText>
      </w:r>
      <w:r w:rsidR="005D7996">
        <w:fldChar w:fldCharType="separate"/>
      </w:r>
      <w:r w:rsidR="001231D3">
        <w:t>5.3.1</w:t>
      </w:r>
      <w:r w:rsidR="005D7996">
        <w:fldChar w:fldCharType="end"/>
      </w:r>
      <w:r w:rsidR="00D2554C">
        <w:t>).</w:t>
      </w:r>
    </w:p>
    <w:p w:rsidR="00D2554C" w:rsidRDefault="00D2554C">
      <w:pPr>
        <w:pStyle w:val="Text"/>
      </w:pPr>
      <w:r>
        <w:t xml:space="preserve">Zunächst einmal müssen wir für verschiedene Paare von </w:t>
      </w:r>
      <w:r>
        <w:rPr>
          <w:i/>
          <w:iCs/>
        </w:rPr>
        <w:t>U</w:t>
      </w:r>
      <w:r>
        <w:t xml:space="preserve"> und </w:t>
      </w:r>
      <w:r>
        <w:rPr>
          <w:i/>
          <w:iCs/>
        </w:rPr>
        <w:t>V</w:t>
      </w:r>
      <w:r>
        <w:t xml:space="preserve"> herausz</w:t>
      </w:r>
      <w:r>
        <w:t>u</w:t>
      </w:r>
      <w:r>
        <w:t xml:space="preserve">finden, ob sie als </w:t>
      </w:r>
      <w:r w:rsidR="00765E66">
        <w:t>Merkmalsregel</w:t>
      </w:r>
      <w:r>
        <w:t>n in Frage kommen.</w:t>
      </w:r>
    </w:p>
    <w:p w:rsidR="00862F17" w:rsidRDefault="00D2554C">
      <w:pPr>
        <w:pStyle w:val="Text"/>
      </w:pPr>
      <w:r>
        <w:t xml:space="preserve">In dem hier vorgestellten </w:t>
      </w:r>
      <w:r w:rsidR="00862F17">
        <w:t>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rsidR="00862F17">
        <w:t xml:space="preserve"> </w:t>
      </w:r>
      <w:r>
        <w:t>wird ein ‚brute force‘-Ansatz für di</w:t>
      </w:r>
      <w:r>
        <w:t>e</w:t>
      </w:r>
      <w:r>
        <w:t xml:space="preserve">ses Problem gewählt. Es </w:t>
      </w:r>
      <w:r w:rsidR="00A60416">
        <w:t xml:space="preserve">wird </w:t>
      </w:r>
      <w:r w:rsidR="00862F17">
        <w:t xml:space="preserve">für </w:t>
      </w:r>
      <w:r>
        <w:rPr>
          <w:i/>
          <w:iCs/>
        </w:rPr>
        <w:t xml:space="preserve">alle denkbaren </w:t>
      </w:r>
      <w:r>
        <w:t xml:space="preserve">Paare von </w:t>
      </w:r>
      <w:r>
        <w:rPr>
          <w:i/>
          <w:iCs/>
        </w:rPr>
        <w:t>U</w:t>
      </w:r>
      <w:r>
        <w:t xml:space="preserve"> und </w:t>
      </w:r>
      <w:r>
        <w:rPr>
          <w:i/>
          <w:iCs/>
        </w:rPr>
        <w:t>V</w:t>
      </w:r>
      <w:r>
        <w:t xml:space="preserve"> überprüft</w:t>
      </w:r>
      <w:r w:rsidR="00862F17">
        <w:t xml:space="preserve">, ob sie als angewandt gelten können. Ist dies der Fall, wird mit Hilfe einer der Funktion </w:t>
      </w:r>
      <w:r w:rsidR="00862F17" w:rsidRPr="00862F17">
        <w:rPr>
          <w:i/>
        </w:rPr>
        <w:t>Salienz</w:t>
      </w:r>
      <w:r w:rsidR="00862F17">
        <w:t xml:space="preserve"> überprüft, ob sie dem </w:t>
      </w:r>
      <w:r w:rsidR="00C75387">
        <w:t>Stilanwender</w:t>
      </w:r>
      <w:r w:rsidR="00862F17">
        <w:t xml:space="preserve"> auffallen. </w:t>
      </w:r>
      <w:r>
        <w:t>Dar</w:t>
      </w:r>
      <w:r w:rsidR="00EC3E7E">
        <w:t xml:space="preserve">aufhin </w:t>
      </w:r>
      <w:r w:rsidR="00862F17">
        <w:t xml:space="preserve">wird </w:t>
      </w:r>
      <w:r w:rsidR="00EC3E7E">
        <w:t xml:space="preserve">mit Hilfe </w:t>
      </w:r>
      <w:r w:rsidR="00862F17">
        <w:t xml:space="preserve">der Funktion </w:t>
      </w:r>
      <w:r w:rsidR="00EC3E7E" w:rsidRPr="00862F17">
        <w:rPr>
          <w:i/>
        </w:rPr>
        <w:t>Di</w:t>
      </w:r>
      <w:r w:rsidRPr="00862F17">
        <w:rPr>
          <w:i/>
        </w:rPr>
        <w:t>sambiguierung</w:t>
      </w:r>
      <w:r w:rsidR="005D7996">
        <w:rPr>
          <w:i/>
        </w:rPr>
        <w:fldChar w:fldCharType="begin"/>
      </w:r>
      <w:r w:rsidR="002B57EB">
        <w:instrText xml:space="preserve"> XE "</w:instrText>
      </w:r>
      <w:r w:rsidR="002B57EB" w:rsidRPr="002B57EB">
        <w:instrText>Disambiguierung</w:instrText>
      </w:r>
      <w:r w:rsidR="002B57EB">
        <w:instrText xml:space="preserve">" </w:instrText>
      </w:r>
      <w:r w:rsidR="005D7996">
        <w:rPr>
          <w:i/>
        </w:rPr>
        <w:fldChar w:fldCharType="end"/>
      </w:r>
      <w:r>
        <w:t xml:space="preserve"> (vgl. Abschnitt </w:t>
      </w:r>
      <w:r w:rsidR="005D7996">
        <w:fldChar w:fldCharType="begin"/>
      </w:r>
      <w:r>
        <w:instrText xml:space="preserve"> REF _Ref213118759 \r \h </w:instrText>
      </w:r>
      <w:r w:rsidR="005D7996">
        <w:fldChar w:fldCharType="separate"/>
      </w:r>
      <w:r w:rsidR="001231D3">
        <w:t>5.5.4</w:t>
      </w:r>
      <w:r w:rsidR="005D7996">
        <w:fldChar w:fldCharType="end"/>
      </w:r>
      <w:r>
        <w:t xml:space="preserve">) </w:t>
      </w:r>
      <w:r w:rsidR="00862F17">
        <w:t>überprüft, dass keine zu ähnlichen Merkmalsregeln angenommen werden.</w:t>
      </w:r>
    </w:p>
    <w:p w:rsidR="00D2554C" w:rsidRDefault="00D2554C">
      <w:pPr>
        <w:pStyle w:val="Text"/>
      </w:pPr>
      <w:r>
        <w:t xml:space="preserve">Für jede Kombination von </w:t>
      </w:r>
      <w:r>
        <w:rPr>
          <w:i/>
          <w:iCs/>
        </w:rPr>
        <w:t>U</w:t>
      </w:r>
      <w:r>
        <w:t xml:space="preserve"> und </w:t>
      </w:r>
      <w:r>
        <w:rPr>
          <w:i/>
          <w:iCs/>
        </w:rPr>
        <w:t>V</w:t>
      </w:r>
      <w:r>
        <w:t xml:space="preserve"> können wir nun die Anwendungswah</w:t>
      </w:r>
      <w:r>
        <w:t>r</w:t>
      </w:r>
      <w:r>
        <w:t xml:space="preserve">scheinlichkeit </w:t>
      </w:r>
      <w:r>
        <w:rPr>
          <w:i/>
          <w:iCs/>
        </w:rPr>
        <w:t>w</w:t>
      </w:r>
      <w:r>
        <w:t xml:space="preserve"> errechnen (vgl. nächsten Abschnitt), indem wir den Quotient bilden aus der Anzahl </w:t>
      </w:r>
      <w:r>
        <w:rPr>
          <w:i/>
          <w:iCs/>
        </w:rPr>
        <w:t>m</w:t>
      </w:r>
      <w:r>
        <w:t xml:space="preserve"> der Fälle, in denen das tatsächlich ausgewählte Element (z.B. zur </w:t>
      </w:r>
      <w:r w:rsidR="00721558">
        <w:t>Alter</w:t>
      </w:r>
      <w:r w:rsidR="00721558">
        <w:softHyphen/>
        <w:t>nativen</w:t>
      </w:r>
      <w:r w:rsidR="00721558">
        <w:softHyphen/>
        <w:t>klasse</w:t>
      </w:r>
      <w:r>
        <w:t xml:space="preserve"> </w:t>
      </w:r>
      <w:r>
        <w:rPr>
          <w:rFonts w:cs="Times New Roman"/>
          <w:i/>
        </w:rPr>
        <w:t>A</w:t>
      </w:r>
      <w:r>
        <w:rPr>
          <w:rFonts w:cs="Times New Roman"/>
          <w:i/>
          <w:vertAlign w:val="subscript"/>
        </w:rPr>
        <w:t>k</w:t>
      </w:r>
      <w:r>
        <w:t xml:space="preserve"> das Element </w:t>
      </w:r>
      <w:r>
        <w:rPr>
          <w:rFonts w:cs="Times New Roman"/>
          <w:i/>
        </w:rPr>
        <w:t>x</w:t>
      </w:r>
      <w:r>
        <w:rPr>
          <w:rFonts w:cs="Times New Roman"/>
          <w:i/>
          <w:vertAlign w:val="subscript"/>
        </w:rPr>
        <w:t>k</w:t>
      </w:r>
      <w:r>
        <w:t xml:space="preserve"> der Realisierung) die verlangten Eigenschaften besitzt, und der Anzahl </w:t>
      </w:r>
      <w:r>
        <w:rPr>
          <w:i/>
          <w:iCs/>
        </w:rPr>
        <w:t>n</w:t>
      </w:r>
      <w:r>
        <w:t xml:space="preserve"> der Fälle, in denen es ein Element in der </w:t>
      </w:r>
      <w:r w:rsidR="00721558">
        <w:t>Alter</w:t>
      </w:r>
      <w:r w:rsidR="00721558">
        <w:softHyphen/>
        <w:t>nativen</w:t>
      </w:r>
      <w:r w:rsidR="00721558">
        <w:softHyphen/>
        <w:t>klasse</w:t>
      </w:r>
      <w:r>
        <w:t xml:space="preserve"> gibt, das sie besitzt.</w:t>
      </w:r>
    </w:p>
    <w:p w:rsidR="00D2554C" w:rsidRDefault="00D2554C">
      <w:pPr>
        <w:pStyle w:val="Text"/>
      </w:pPr>
      <w:r>
        <w:t>Die Priorisierung</w:t>
      </w:r>
      <w:r w:rsidR="005D7996">
        <w:fldChar w:fldCharType="begin"/>
      </w:r>
      <w:r w:rsidR="007B15C8">
        <w:instrText xml:space="preserve"> XE "</w:instrText>
      </w:r>
      <w:r w:rsidR="007B15C8" w:rsidRPr="005F58EF">
        <w:instrText>Priorisierung</w:instrText>
      </w:r>
      <w:r w:rsidR="007B15C8">
        <w:instrText xml:space="preserve">" </w:instrText>
      </w:r>
      <w:r w:rsidR="005D7996">
        <w:fldChar w:fldCharType="end"/>
      </w:r>
      <w:r>
        <w:t xml:space="preserve"> </w:t>
      </w:r>
      <w:r w:rsidR="00B53AFD">
        <w:t xml:space="preserve">wird nicht ausgelesen </w:t>
      </w:r>
      <w:r>
        <w:t xml:space="preserve">(vgl. Abschnitt </w:t>
      </w:r>
      <w:r w:rsidR="005D7996">
        <w:fldChar w:fldCharType="begin"/>
      </w:r>
      <w:r>
        <w:instrText xml:space="preserve"> REF _Ref212462946 \r \h </w:instrText>
      </w:r>
      <w:r w:rsidR="005D7996">
        <w:fldChar w:fldCharType="separate"/>
      </w:r>
      <w:r w:rsidR="001231D3">
        <w:t>5.5.5</w:t>
      </w:r>
      <w:r w:rsidR="005D7996">
        <w:fldChar w:fldCharType="end"/>
      </w:r>
      <w:r>
        <w:t>).</w:t>
      </w:r>
    </w:p>
    <w:p w:rsidR="00D2554C" w:rsidRDefault="00D2554C">
      <w:pPr>
        <w:pStyle w:val="Titel3"/>
      </w:pPr>
      <w:bookmarkStart w:id="261" w:name="_Ref213128730"/>
      <w:bookmarkStart w:id="262" w:name="_Toc325456750"/>
      <w:bookmarkStart w:id="263" w:name="zufällige_Wahrscheinlichkeit"/>
      <w:r>
        <w:t>Berücksichtigung der zufälligen Wahrscheinlichkeit</w:t>
      </w:r>
      <w:bookmarkEnd w:id="261"/>
      <w:bookmarkEnd w:id="262"/>
    </w:p>
    <w:p w:rsidR="00D2554C" w:rsidRDefault="005D7996" w:rsidP="00E66453">
      <w:pPr>
        <w:pStyle w:val="Text"/>
        <w:ind w:firstLine="0"/>
      </w:pPr>
      <w:r>
        <w:fldChar w:fldCharType="begin"/>
      </w:r>
      <w:r w:rsidR="003A4A3F">
        <w:instrText xml:space="preserve"> XE "</w:instrText>
      </w:r>
      <w:r w:rsidR="003A4A3F" w:rsidRPr="003F1245">
        <w:instrText>Statistik</w:instrText>
      </w:r>
      <w:r w:rsidR="003A4A3F">
        <w:instrText xml:space="preserve">" \r "zufällige_Wahrscheinlichkeit" </w:instrText>
      </w:r>
      <w:r>
        <w:fldChar w:fldCharType="end"/>
      </w:r>
      <w:r>
        <w:fldChar w:fldCharType="begin"/>
      </w:r>
      <w:r w:rsidR="003A4A3F">
        <w:instrText xml:space="preserve"> XE "</w:instrText>
      </w:r>
      <w:r w:rsidR="003A4A3F" w:rsidRPr="000D7644">
        <w:instrText>zufällige Wahrscheinlichkeit</w:instrText>
      </w:r>
      <w:r w:rsidR="003A4A3F">
        <w:instrText xml:space="preserve">" \r "zufällige_Wahrscheinlichkeit" </w:instrText>
      </w:r>
      <w:r>
        <w:fldChar w:fldCharType="end"/>
      </w:r>
      <w:r w:rsidR="00D2554C">
        <w:t xml:space="preserve">Um die Anwendungswahrscheinlichkeit </w:t>
      </w:r>
      <w:r w:rsidR="00D2554C">
        <w:rPr>
          <w:i/>
          <w:iCs/>
        </w:rPr>
        <w:t>w</w:t>
      </w:r>
      <w:r w:rsidR="00D2554C">
        <w:t xml:space="preserve"> zu berechnen, bilden wir zunächst den Quotient</w:t>
      </w:r>
      <w:r w:rsidR="002F7AA6">
        <w:t>en</w:t>
      </w:r>
      <w:r w:rsidR="00D2554C">
        <w:t xml:space="preserve"> aus der Anzahl </w:t>
      </w:r>
      <w:r w:rsidR="00D2554C">
        <w:rPr>
          <w:i/>
          <w:iCs/>
        </w:rPr>
        <w:t>m</w:t>
      </w:r>
      <w:r w:rsidR="002F7AA6">
        <w:rPr>
          <w:rFonts w:cs="Times New Roman"/>
          <w:i/>
          <w:vertAlign w:val="subscript"/>
        </w:rPr>
        <w:t>s</w:t>
      </w:r>
      <w:r w:rsidR="00D2554C">
        <w:t xml:space="preserve"> der Fälle, in denen </w:t>
      </w:r>
      <w:r w:rsidR="002F7AA6">
        <w:t>bei erfüllten Anwe</w:t>
      </w:r>
      <w:r w:rsidR="002F7AA6">
        <w:t>n</w:t>
      </w:r>
      <w:r w:rsidR="002F7AA6">
        <w:t xml:space="preserve">dungsbedingungen </w:t>
      </w:r>
      <w:r w:rsidR="00D2554C">
        <w:t xml:space="preserve">das tatsächlich ausgewählte Element (z.B. zur </w:t>
      </w:r>
      <w:r w:rsidR="00721558">
        <w:t>Alter</w:t>
      </w:r>
      <w:r w:rsidR="00721558">
        <w:softHyphen/>
        <w:t>nativen</w:t>
      </w:r>
      <w:r w:rsidR="00721558">
        <w:softHyphen/>
        <w:t>klasse</w:t>
      </w:r>
      <w:r w:rsidR="00D2554C">
        <w:t xml:space="preserve"> </w:t>
      </w:r>
      <w:r w:rsidR="00D2554C">
        <w:rPr>
          <w:rFonts w:cs="Times New Roman"/>
          <w:i/>
        </w:rPr>
        <w:t>A</w:t>
      </w:r>
      <w:r w:rsidR="00D2554C">
        <w:rPr>
          <w:rFonts w:cs="Times New Roman"/>
          <w:i/>
          <w:vertAlign w:val="subscript"/>
        </w:rPr>
        <w:t>k</w:t>
      </w:r>
      <w:r w:rsidR="00D2554C">
        <w:t xml:space="preserve"> das Element </w:t>
      </w:r>
      <w:r w:rsidR="002F7AA6">
        <w:rPr>
          <w:rFonts w:cs="Times New Roman"/>
          <w:i/>
        </w:rPr>
        <w:t>x</w:t>
      </w:r>
      <w:r w:rsidR="00D2554C">
        <w:rPr>
          <w:rFonts w:cs="Times New Roman"/>
          <w:i/>
          <w:vertAlign w:val="subscript"/>
        </w:rPr>
        <w:t>k</w:t>
      </w:r>
      <w:r w:rsidR="00D2554C">
        <w:t xml:space="preserve"> </w:t>
      </w:r>
      <w:r w:rsidR="002F7AA6">
        <w:t xml:space="preserve">in der </w:t>
      </w:r>
      <w:r w:rsidR="00D2554C">
        <w:t>Realisierung</w:t>
      </w:r>
      <w:r w:rsidR="002F7AA6">
        <w:t xml:space="preserve">sstelle </w:t>
      </w:r>
      <w:r w:rsidR="002F7AA6">
        <w:rPr>
          <w:rFonts w:cs="Times New Roman"/>
          <w:i/>
        </w:rPr>
        <w:t>R</w:t>
      </w:r>
      <w:r w:rsidR="002F7AA6">
        <w:rPr>
          <w:rFonts w:cs="Times New Roman"/>
          <w:i/>
          <w:vertAlign w:val="subscript"/>
        </w:rPr>
        <w:t>k</w:t>
      </w:r>
      <w:r w:rsidR="00D2554C">
        <w:t>) die verlangten Eigenscha</w:t>
      </w:r>
      <w:r w:rsidR="00D2554C">
        <w:t>f</w:t>
      </w:r>
      <w:r w:rsidR="00D2554C">
        <w:t xml:space="preserve">ten besitzt, und der Anzahl </w:t>
      </w:r>
      <w:r w:rsidR="00D2554C">
        <w:rPr>
          <w:i/>
          <w:iCs/>
        </w:rPr>
        <w:t>n</w:t>
      </w:r>
      <w:r w:rsidR="00D2554C">
        <w:t xml:space="preserve"> der Fälle, in denen es ein Element in der </w:t>
      </w:r>
      <w:r w:rsidR="00721558">
        <w:t>Alter</w:t>
      </w:r>
      <w:r w:rsidR="00721558">
        <w:softHyphen/>
        <w:t>nativen</w:t>
      </w:r>
      <w:r w:rsidR="00721558">
        <w:softHyphen/>
        <w:t>klasse</w:t>
      </w:r>
      <w:r w:rsidR="00D2554C">
        <w:t xml:space="preserve"> gibt, das sie besitzt (also eine Anwendung möglich gewesen wäre). Wir nennen dies die beobachtbare Wahrscheinlichkeit </w:t>
      </w:r>
      <w:r w:rsidR="00D2554C">
        <w:rPr>
          <w:i/>
          <w:iCs/>
        </w:rPr>
        <w:t>w</w:t>
      </w:r>
      <w:r w:rsidR="00D2554C">
        <w:rPr>
          <w:i/>
          <w:iCs/>
          <w:vertAlign w:val="subscript"/>
        </w:rPr>
        <w:t>b</w:t>
      </w:r>
      <w:r w:rsidR="00D2554C">
        <w:t>:</w:t>
      </w:r>
    </w:p>
    <w:p w:rsidR="00D2554C" w:rsidRDefault="00D2554C" w:rsidP="007A3996">
      <w:pPr>
        <w:pStyle w:val="Formel"/>
        <w:tabs>
          <w:tab w:val="clear" w:pos="737"/>
          <w:tab w:val="left" w:pos="680"/>
        </w:tabs>
      </w:pPr>
      <w:r w:rsidRPr="000B6153">
        <w:rPr>
          <w:i/>
          <w:iCs/>
        </w:rPr>
        <w:lastRenderedPageBreak/>
        <w:t>w</w:t>
      </w:r>
      <w:r w:rsidRPr="000B6153">
        <w:rPr>
          <w:i/>
          <w:iCs/>
          <w:vertAlign w:val="subscript"/>
        </w:rPr>
        <w:t>b</w:t>
      </w:r>
      <w:r>
        <w:t xml:space="preserve"> </w:t>
      </w:r>
      <w:r w:rsidR="007A3996">
        <w:tab/>
      </w:r>
      <w:r>
        <w:t>=</w:t>
      </w:r>
      <w:r w:rsidR="000B6153">
        <w:t xml:space="preserve"> </w:t>
      </w:r>
      <w:r w:rsidR="00421925" w:rsidRPr="00C121D1">
        <w:rPr>
          <w:iCs/>
          <w:position w:val="-20"/>
        </w:rPr>
        <w:object w:dxaOrig="340" w:dyaOrig="520">
          <v:shape id="_x0000_i1032" type="#_x0000_t75" style="width:18.4pt;height:25.6pt" o:ole="">
            <v:imagedata r:id="rId34" o:title=""/>
          </v:shape>
          <o:OLEObject Type="Embed" ProgID="Equation.3" ShapeID="_x0000_i1032" DrawAspect="Content" ObjectID="_1460983873" r:id="rId35"/>
        </w:object>
      </w:r>
    </w:p>
    <w:p w:rsidR="00D2554C" w:rsidRDefault="00D2554C" w:rsidP="00E66453">
      <w:pPr>
        <w:pStyle w:val="Text"/>
        <w:ind w:firstLine="0"/>
      </w:pPr>
      <w:r>
        <w:t xml:space="preserve">Allerdings ist dies noch nicht die Anwendungswahrscheinlichkeit der </w:t>
      </w:r>
      <w:r w:rsidR="00765E66">
        <w:t>Merkmal</w:t>
      </w:r>
      <w:r w:rsidR="00765E66">
        <w:t>s</w:t>
      </w:r>
      <w:r w:rsidR="00765E66">
        <w:t>regel</w:t>
      </w:r>
      <w:r>
        <w:t xml:space="preserve">. Um diese zu erhalten, müssen wir die Möglichkeit berücksichtigen, dass aufgrund anderer Kriterien oder zufällig </w:t>
      </w:r>
      <w:r w:rsidR="002F7AA6">
        <w:t xml:space="preserve">Elemente </w:t>
      </w:r>
      <w:r>
        <w:t>ausgewählt wurden, die die verlangten Eigenschaften besitzen. Da wir die anderen Kriterien der Auswahl nicht kennen, müssen wir uns darauf beschränken, hier einen Zufallsprozess zu simulieren.</w:t>
      </w:r>
      <w:r w:rsidR="00931B3F">
        <w:t xml:space="preserve"> </w:t>
      </w:r>
      <w:r>
        <w:t>Es sei</w:t>
      </w:r>
      <w:r w:rsidR="00933D87">
        <w:t>en</w:t>
      </w:r>
    </w:p>
    <w:p w:rsidR="00D2554C" w:rsidRDefault="00D2554C" w:rsidP="000B6153">
      <w:pPr>
        <w:pStyle w:val="Formel"/>
        <w:ind w:hanging="397"/>
      </w:pPr>
      <w:r>
        <w:rPr>
          <w:i/>
          <w:iCs/>
        </w:rPr>
        <w:t>n</w:t>
      </w:r>
      <w:r>
        <w:t xml:space="preserve"> </w:t>
      </w:r>
      <w:r>
        <w:tab/>
      </w:r>
      <w:r w:rsidR="00933D87">
        <w:t xml:space="preserve">die </w:t>
      </w:r>
      <w:r w:rsidR="00933D87" w:rsidRPr="00933D87">
        <w:rPr>
          <w:i/>
        </w:rPr>
        <w:t>Anwendungsmöglichkeiten</w:t>
      </w:r>
      <w:r w:rsidR="00933D87">
        <w:t>: D</w:t>
      </w:r>
      <w:r>
        <w:t xml:space="preserve">ie Anzahl der </w:t>
      </w:r>
      <w:r w:rsidR="00721558">
        <w:t>Alter</w:t>
      </w:r>
      <w:r w:rsidR="00721558">
        <w:softHyphen/>
        <w:t>nativen</w:t>
      </w:r>
      <w:r w:rsidR="00721558">
        <w:softHyphen/>
        <w:t>klasse</w:t>
      </w:r>
      <w:r>
        <w:t xml:space="preserve">n </w:t>
      </w:r>
      <w:r>
        <w:rPr>
          <w:i/>
          <w:iCs/>
        </w:rPr>
        <w:t>A</w:t>
      </w:r>
      <w:r>
        <w:rPr>
          <w:i/>
          <w:iCs/>
          <w:vertAlign w:val="subscript"/>
        </w:rPr>
        <w:t>k</w:t>
      </w:r>
      <w:r>
        <w:t xml:space="preserve">, die die </w:t>
      </w:r>
      <w:r w:rsidR="005F647E">
        <w:t>Anwendungsbedingung</w:t>
      </w:r>
      <w:r>
        <w:t xml:space="preserve">en </w:t>
      </w:r>
      <w:r>
        <w:rPr>
          <w:i/>
          <w:iCs/>
        </w:rPr>
        <w:t>U</w:t>
      </w:r>
      <w:r>
        <w:t xml:space="preserve"> erfüllen und ein Element enthalten, das die verlangten Eigenschaften </w:t>
      </w:r>
      <w:r>
        <w:rPr>
          <w:i/>
          <w:iCs/>
        </w:rPr>
        <w:t>V</w:t>
      </w:r>
      <w:r>
        <w:t xml:space="preserve"> besitzt;</w:t>
      </w:r>
    </w:p>
    <w:p w:rsidR="00D2554C" w:rsidRDefault="00D2554C" w:rsidP="000B6153">
      <w:pPr>
        <w:pStyle w:val="Formel"/>
        <w:ind w:hanging="397"/>
      </w:pPr>
      <w:r>
        <w:rPr>
          <w:i/>
          <w:iCs/>
        </w:rPr>
        <w:t>m</w:t>
      </w:r>
      <w:r w:rsidR="00933D87" w:rsidRPr="00933D87">
        <w:rPr>
          <w:i/>
          <w:iCs/>
          <w:vertAlign w:val="subscript"/>
        </w:rPr>
        <w:t>s</w:t>
      </w:r>
      <w:r w:rsidR="00933D87">
        <w:tab/>
        <w:t xml:space="preserve">die </w:t>
      </w:r>
      <w:r w:rsidR="00933D87" w:rsidRPr="00933D87">
        <w:rPr>
          <w:i/>
        </w:rPr>
        <w:t>scheinbaren Anwendungen</w:t>
      </w:r>
      <w:r w:rsidR="00933D87">
        <w:t xml:space="preserve">: Die </w:t>
      </w:r>
      <w:r>
        <w:t xml:space="preserve">Anzahl der </w:t>
      </w:r>
      <w:r w:rsidR="00721558">
        <w:t>Alter</w:t>
      </w:r>
      <w:r w:rsidR="00721558">
        <w:softHyphen/>
        <w:t>nativen</w:t>
      </w:r>
      <w:r w:rsidR="00721558">
        <w:softHyphen/>
        <w:t>klasse</w:t>
      </w:r>
      <w:r>
        <w:t xml:space="preserve">n </w:t>
      </w:r>
      <w:r>
        <w:rPr>
          <w:i/>
          <w:iCs/>
        </w:rPr>
        <w:t>A</w:t>
      </w:r>
      <w:r>
        <w:rPr>
          <w:i/>
          <w:iCs/>
          <w:vertAlign w:val="subscript"/>
        </w:rPr>
        <w:t>k</w:t>
      </w:r>
      <w:r>
        <w:t xml:space="preserve">, die die </w:t>
      </w:r>
      <w:r w:rsidR="005F647E">
        <w:t>Anwendungsbedingung</w:t>
      </w:r>
      <w:r>
        <w:t xml:space="preserve">en </w:t>
      </w:r>
      <w:r>
        <w:rPr>
          <w:i/>
          <w:iCs/>
        </w:rPr>
        <w:t>U</w:t>
      </w:r>
      <w:r>
        <w:t xml:space="preserve"> erfüllen</w:t>
      </w:r>
      <w:r w:rsidR="00DB23E9">
        <w:t>,</w:t>
      </w:r>
      <w:r>
        <w:t xml:space="preserve"> bei denen das zugehörige Element </w:t>
      </w:r>
      <w:r w:rsidR="00324654">
        <w:rPr>
          <w:i/>
          <w:iCs/>
        </w:rPr>
        <w:t>R</w:t>
      </w:r>
      <w:r w:rsidR="00324654">
        <w:rPr>
          <w:i/>
          <w:iCs/>
          <w:vertAlign w:val="subscript"/>
        </w:rPr>
        <w:t>k</w:t>
      </w:r>
      <w:r w:rsidR="00324654">
        <w:t xml:space="preserve"> der </w:t>
      </w:r>
      <w:r>
        <w:t xml:space="preserve">Realisierung die verlangten Eigenschaften </w:t>
      </w:r>
      <w:r>
        <w:rPr>
          <w:i/>
          <w:iCs/>
        </w:rPr>
        <w:t>V</w:t>
      </w:r>
      <w:r>
        <w:t xml:space="preserve"> besitzt;</w:t>
      </w:r>
    </w:p>
    <w:p w:rsidR="00D2554C" w:rsidRDefault="00D2554C" w:rsidP="000B6153">
      <w:pPr>
        <w:pStyle w:val="Formel"/>
        <w:ind w:hanging="397"/>
      </w:pPr>
      <w:r>
        <w:rPr>
          <w:i/>
          <w:iCs/>
        </w:rPr>
        <w:t>g</w:t>
      </w:r>
      <w:r>
        <w:tab/>
        <w:t xml:space="preserve">die Gesamtzahl aller Elemente der </w:t>
      </w:r>
      <w:r w:rsidR="00721558">
        <w:t>Alter</w:t>
      </w:r>
      <w:r w:rsidR="00721558">
        <w:softHyphen/>
        <w:t>nativen</w:t>
      </w:r>
      <w:r w:rsidR="00721558">
        <w:softHyphen/>
        <w:t>klasse</w:t>
      </w:r>
      <w:r>
        <w:t xml:space="preserve">n, die </w:t>
      </w:r>
      <w:r>
        <w:rPr>
          <w:i/>
          <w:iCs/>
        </w:rPr>
        <w:t>U</w:t>
      </w:r>
      <w:r>
        <w:t xml:space="preserve"> erfüllen und ein Element enthalten, das die verlangten Eigenschaften </w:t>
      </w:r>
      <w:r>
        <w:rPr>
          <w:i/>
          <w:iCs/>
        </w:rPr>
        <w:t>V</w:t>
      </w:r>
      <w:r>
        <w:t xml:space="preserve"> besitzt;</w:t>
      </w:r>
    </w:p>
    <w:p w:rsidR="00D2554C" w:rsidRDefault="00D2554C" w:rsidP="000B6153">
      <w:pPr>
        <w:pStyle w:val="Formel"/>
        <w:ind w:hanging="397"/>
      </w:pPr>
      <w:r>
        <w:rPr>
          <w:i/>
          <w:iCs/>
        </w:rPr>
        <w:t>g</w:t>
      </w:r>
      <w:r>
        <w:rPr>
          <w:i/>
          <w:iCs/>
          <w:vertAlign w:val="subscript"/>
        </w:rPr>
        <w:t>x</w:t>
      </w:r>
      <w:r>
        <w:tab/>
        <w:t xml:space="preserve">die Gesamtzahl aller Elemente, die die verlangten Eigenschaften </w:t>
      </w:r>
      <w:r>
        <w:rPr>
          <w:i/>
          <w:iCs/>
        </w:rPr>
        <w:t>V</w:t>
      </w:r>
      <w:r>
        <w:t xml:space="preserve"> besitzen, aus den </w:t>
      </w:r>
      <w:r w:rsidR="00721558">
        <w:t>Alter</w:t>
      </w:r>
      <w:r w:rsidR="00721558">
        <w:softHyphen/>
        <w:t>nativen</w:t>
      </w:r>
      <w:r w:rsidR="00721558">
        <w:softHyphen/>
        <w:t>klasse</w:t>
      </w:r>
      <w:r>
        <w:t xml:space="preserve">n, die </w:t>
      </w:r>
      <w:r>
        <w:rPr>
          <w:i/>
          <w:iCs/>
        </w:rPr>
        <w:t>U</w:t>
      </w:r>
      <w:r>
        <w:t xml:space="preserve"> erfüllen.</w:t>
      </w:r>
    </w:p>
    <w:p w:rsidR="00D2554C" w:rsidRDefault="00D2554C" w:rsidP="000B6153">
      <w:pPr>
        <w:pStyle w:val="Text"/>
        <w:ind w:firstLine="0"/>
      </w:pPr>
      <w:r>
        <w:t xml:space="preserve">Wir gehen davon aus, dass jedes Element die gleiche Wahrscheinlichkeit hat, im Zufallsprozess ausgewählt zu werden. Die Wahrscheinlichkeit </w:t>
      </w:r>
      <w:r>
        <w:rPr>
          <w:i/>
          <w:iCs/>
        </w:rPr>
        <w:t>w</w:t>
      </w:r>
      <w:r>
        <w:rPr>
          <w:i/>
          <w:iCs/>
          <w:vertAlign w:val="subscript"/>
        </w:rPr>
        <w:t>z</w:t>
      </w:r>
      <w:r>
        <w:t xml:space="preserve"> dafür, dass aus einer </w:t>
      </w:r>
      <w:r w:rsidR="00721558">
        <w:t>Alter</w:t>
      </w:r>
      <w:r w:rsidR="00721558">
        <w:softHyphen/>
        <w:t>nativen</w:t>
      </w:r>
      <w:r w:rsidR="00721558">
        <w:softHyphen/>
        <w:t>klasse</w:t>
      </w:r>
      <w:r>
        <w:t xml:space="preserve">, die die </w:t>
      </w:r>
      <w:r w:rsidR="005F647E">
        <w:t>Anwendungsbedingung</w:t>
      </w:r>
      <w:r>
        <w:t xml:space="preserve">en </w:t>
      </w:r>
      <w:r>
        <w:rPr>
          <w:i/>
          <w:iCs/>
        </w:rPr>
        <w:t>U</w:t>
      </w:r>
      <w:r>
        <w:t xml:space="preserve"> erfüllt, ein El</w:t>
      </w:r>
      <w:r>
        <w:t>e</w:t>
      </w:r>
      <w:r>
        <w:t xml:space="preserve">ment mit den verlangten Eigenschaften </w:t>
      </w:r>
      <w:r>
        <w:rPr>
          <w:i/>
          <w:iCs/>
        </w:rPr>
        <w:t>V</w:t>
      </w:r>
      <w:r>
        <w:t xml:space="preserve"> zufällig (</w:t>
      </w:r>
      <w:r w:rsidR="00DC38CA">
        <w:t xml:space="preserve">also </w:t>
      </w:r>
      <w:r>
        <w:t>ohne Berücksichtigung dieser verlangten Eigenschaften) ausgewählt wird, ergibt sich dann als:</w:t>
      </w:r>
    </w:p>
    <w:p w:rsidR="000B6153" w:rsidRDefault="000B6153" w:rsidP="0011421D">
      <w:pPr>
        <w:pStyle w:val="Formel"/>
        <w:tabs>
          <w:tab w:val="clear" w:pos="737"/>
          <w:tab w:val="left" w:pos="680"/>
        </w:tabs>
      </w:pPr>
      <w:r w:rsidRPr="000B6153">
        <w:rPr>
          <w:i/>
          <w:iCs/>
        </w:rPr>
        <w:t>w</w:t>
      </w:r>
      <w:r>
        <w:rPr>
          <w:i/>
          <w:iCs/>
          <w:vertAlign w:val="subscript"/>
        </w:rPr>
        <w:t>z</w:t>
      </w:r>
      <w:r>
        <w:t xml:space="preserve"> </w:t>
      </w:r>
      <w:r w:rsidR="0011421D">
        <w:tab/>
      </w:r>
      <w:r>
        <w:t xml:space="preserve">= </w:t>
      </w:r>
      <w:r w:rsidR="00421925" w:rsidRPr="00BC711E">
        <w:rPr>
          <w:position w:val="-26"/>
        </w:rPr>
        <w:object w:dxaOrig="340" w:dyaOrig="580">
          <v:shape id="_x0000_i1033" type="#_x0000_t75" style="width:17.6pt;height:29.6pt" o:ole="">
            <v:imagedata r:id="rId36" o:title=""/>
          </v:shape>
          <o:OLEObject Type="Embed" ProgID="Equation.3" ShapeID="_x0000_i1033" DrawAspect="Content" ObjectID="_1460983874" r:id="rId37"/>
        </w:object>
      </w:r>
    </w:p>
    <w:p w:rsidR="000B6153" w:rsidRPr="00C121D1" w:rsidRDefault="00D2554C" w:rsidP="000B6153">
      <w:pPr>
        <w:pStyle w:val="Text"/>
        <w:ind w:firstLine="0"/>
      </w:pPr>
      <w:r>
        <w:t xml:space="preserve">Nun ergibt sich die Anwendungswahrscheinlichkeit </w:t>
      </w:r>
      <w:r>
        <w:rPr>
          <w:i/>
          <w:iCs/>
        </w:rPr>
        <w:t>w</w:t>
      </w:r>
      <w:r>
        <w:t xml:space="preserve"> der </w:t>
      </w:r>
      <w:r w:rsidR="00765E66">
        <w:t>Merkmalsregel</w:t>
      </w:r>
      <w:r>
        <w:t xml:space="preserve"> als:</w:t>
      </w:r>
    </w:p>
    <w:p w:rsidR="00D2554C" w:rsidRPr="00C121D1" w:rsidRDefault="00D2554C" w:rsidP="00C121D1">
      <w:pPr>
        <w:pStyle w:val="Formel"/>
      </w:pPr>
      <w:r w:rsidRPr="00C121D1">
        <w:rPr>
          <w:i/>
        </w:rPr>
        <w:t>w</w:t>
      </w:r>
      <w:r w:rsidRPr="00C121D1">
        <w:t>(</w:t>
      </w:r>
      <w:r w:rsidRPr="00C121D1">
        <w:rPr>
          <w:i/>
        </w:rPr>
        <w:t>B</w:t>
      </w:r>
      <w:r w:rsidRPr="00C121D1">
        <w:rPr>
          <w:i/>
          <w:vertAlign w:val="subscript"/>
        </w:rPr>
        <w:t>p</w:t>
      </w:r>
      <w:r w:rsidRPr="00C121D1">
        <w:t xml:space="preserve">) =  1 </w:t>
      </w:r>
      <w:r w:rsidR="004F3E8C" w:rsidRPr="00C121D1">
        <w:rPr>
          <w:rFonts w:cs="Times New Roman"/>
        </w:rPr>
        <w:t>−</w:t>
      </w:r>
      <w:r w:rsidRPr="00C121D1">
        <w:t xml:space="preserve"> </w:t>
      </w:r>
      <w:r w:rsidR="00BC711E" w:rsidRPr="00BC711E">
        <w:rPr>
          <w:position w:val="-50"/>
        </w:rPr>
        <w:object w:dxaOrig="639" w:dyaOrig="1060">
          <v:shape id="_x0000_i1034" type="#_x0000_t75" style="width:33.2pt;height:50.8pt" o:ole="">
            <v:imagedata r:id="rId38" o:title=""/>
          </v:shape>
          <o:OLEObject Type="Embed" ProgID="Equation.3" ShapeID="_x0000_i1034" DrawAspect="Content" ObjectID="_1460983875" r:id="rId39"/>
        </w:object>
      </w:r>
    </w:p>
    <w:p w:rsidR="00D2554C" w:rsidRPr="004F3E8C" w:rsidRDefault="00D2554C" w:rsidP="00C121D1">
      <w:pPr>
        <w:pStyle w:val="Text"/>
        <w:ind w:firstLine="0"/>
      </w:pPr>
      <w:r>
        <w:rPr>
          <w:iCs/>
        </w:rPr>
        <w:t xml:space="preserve">In dieser Formel ist </w:t>
      </w:r>
      <w:r w:rsidR="004F3E8C">
        <w:rPr>
          <w:i/>
          <w:iCs/>
        </w:rPr>
        <w:t>w</w:t>
      </w:r>
      <w:r w:rsidR="004F3E8C">
        <w:rPr>
          <w:i/>
          <w:iCs/>
          <w:vertAlign w:val="subscript"/>
        </w:rPr>
        <w:t>b</w:t>
      </w:r>
      <w:r w:rsidR="004F3E8C">
        <w:t xml:space="preserve"> = </w:t>
      </w:r>
      <w:r w:rsidR="00B3469C" w:rsidRPr="00C121D1">
        <w:rPr>
          <w:iCs/>
          <w:position w:val="-20"/>
        </w:rPr>
        <w:object w:dxaOrig="340" w:dyaOrig="499">
          <v:shape id="_x0000_i1035" type="#_x0000_t75" style="width:18.4pt;height:25.2pt" o:ole="">
            <v:imagedata r:id="rId40" o:title=""/>
          </v:shape>
          <o:OLEObject Type="Embed" ProgID="Equation.3" ShapeID="_x0000_i1035" DrawAspect="Content" ObjectID="_1460983876" r:id="rId41"/>
        </w:object>
      </w:r>
      <w:r>
        <w:rPr>
          <w:iCs/>
        </w:rPr>
        <w:t xml:space="preserve"> die beobachtbare Wahrscheinlichkeit, aus der wir den Anteil herausrechnen wollen, der auf die zufällige Wahrscheinlichkeit </w:t>
      </w:r>
      <w:r w:rsidR="004F3E8C">
        <w:rPr>
          <w:i/>
        </w:rPr>
        <w:t>w</w:t>
      </w:r>
      <w:r w:rsidR="004F3E8C">
        <w:rPr>
          <w:i/>
          <w:vertAlign w:val="subscript"/>
        </w:rPr>
        <w:t>z</w:t>
      </w:r>
      <w:r w:rsidR="004F3E8C">
        <w:rPr>
          <w:iCs/>
        </w:rPr>
        <w:t xml:space="preserve"> = </w:t>
      </w:r>
      <w:r w:rsidR="00B3469C" w:rsidRPr="00B3469C">
        <w:rPr>
          <w:position w:val="-24"/>
        </w:rPr>
        <w:object w:dxaOrig="320" w:dyaOrig="540">
          <v:shape id="_x0000_i1036" type="#_x0000_t75" style="width:15.2pt;height:28pt" o:ole="">
            <v:imagedata r:id="rId42" o:title=""/>
          </v:shape>
          <o:OLEObject Type="Embed" ProgID="Equation.3" ShapeID="_x0000_i1036" DrawAspect="Content" ObjectID="_1460983877" r:id="rId43"/>
        </w:object>
      </w:r>
      <w:r>
        <w:rPr>
          <w:iCs/>
        </w:rPr>
        <w:t xml:space="preserve"> für das Auftauchen eines Elements mit den verlangten Eigenschaften z</w:t>
      </w:r>
      <w:r>
        <w:rPr>
          <w:iCs/>
        </w:rPr>
        <w:t>u</w:t>
      </w:r>
      <w:r>
        <w:rPr>
          <w:iCs/>
        </w:rPr>
        <w:t xml:space="preserve">rückzuführen ist, um auf diese Weise </w:t>
      </w:r>
      <w:r>
        <w:rPr>
          <w:i/>
        </w:rPr>
        <w:t>w</w:t>
      </w:r>
      <w:r>
        <w:rPr>
          <w:iCs/>
        </w:rPr>
        <w:t>(</w:t>
      </w:r>
      <w:r>
        <w:rPr>
          <w:i/>
        </w:rPr>
        <w:t>B</w:t>
      </w:r>
      <w:r>
        <w:rPr>
          <w:i/>
          <w:vertAlign w:val="subscript"/>
        </w:rPr>
        <w:t>p</w:t>
      </w:r>
      <w:r>
        <w:rPr>
          <w:iCs/>
        </w:rPr>
        <w:t xml:space="preserve">) zu erhalten, den durch die </w:t>
      </w:r>
      <w:r w:rsidR="00765E66">
        <w:rPr>
          <w:iCs/>
        </w:rPr>
        <w:t>Mer</w:t>
      </w:r>
      <w:r w:rsidR="00765E66">
        <w:rPr>
          <w:iCs/>
        </w:rPr>
        <w:t>k</w:t>
      </w:r>
      <w:r w:rsidR="00765E66">
        <w:rPr>
          <w:iCs/>
        </w:rPr>
        <w:t>malsregel</w:t>
      </w:r>
      <w:r>
        <w:rPr>
          <w:iCs/>
        </w:rPr>
        <w:t xml:space="preserve"> erzeugten Anteil.</w:t>
      </w:r>
    </w:p>
    <w:p w:rsidR="005D1098" w:rsidRDefault="005D1098" w:rsidP="005D1098">
      <w:pPr>
        <w:pStyle w:val="Text"/>
      </w:pPr>
      <w:r>
        <w:lastRenderedPageBreak/>
        <w:t xml:space="preserve">Wir benötigen nun noch </w:t>
      </w:r>
      <w:r w:rsidRPr="00933D87">
        <w:rPr>
          <w:i/>
        </w:rPr>
        <w:t>m</w:t>
      </w:r>
      <w:r>
        <w:t>, die Anzahl der tatsächlichen Anwendungen der Merkmalsregel. Diese ergibt sich als</w:t>
      </w:r>
      <w:r w:rsidR="004F3E8C">
        <w:t>:</w:t>
      </w:r>
    </w:p>
    <w:p w:rsidR="005D1098" w:rsidRDefault="005D1098" w:rsidP="0011421D">
      <w:pPr>
        <w:pStyle w:val="Formel"/>
        <w:tabs>
          <w:tab w:val="clear" w:pos="737"/>
          <w:tab w:val="left" w:pos="680"/>
        </w:tabs>
      </w:pPr>
      <w:r>
        <w:rPr>
          <w:i/>
        </w:rPr>
        <w:t>m</w:t>
      </w:r>
      <w:r>
        <w:t xml:space="preserve"> </w:t>
      </w:r>
      <w:r w:rsidR="0011421D">
        <w:tab/>
      </w:r>
      <w:r>
        <w:t xml:space="preserve">= </w:t>
      </w:r>
      <w:r>
        <w:rPr>
          <w:i/>
        </w:rPr>
        <w:t>w</w:t>
      </w:r>
      <w:r>
        <w:t>(</w:t>
      </w:r>
      <w:r>
        <w:rPr>
          <w:i/>
        </w:rPr>
        <w:t>B</w:t>
      </w:r>
      <w:r>
        <w:rPr>
          <w:i/>
          <w:vertAlign w:val="subscript"/>
        </w:rPr>
        <w:t>p</w:t>
      </w:r>
      <w:r>
        <w:t xml:space="preserve">) </w:t>
      </w:r>
      <w:r>
        <w:rPr>
          <w:rFonts w:cs="Times New Roman"/>
        </w:rPr>
        <w:t>∙</w:t>
      </w:r>
      <w:r>
        <w:t xml:space="preserve"> </w:t>
      </w:r>
      <w:r w:rsidRPr="005D1098">
        <w:rPr>
          <w:i/>
        </w:rPr>
        <w:t>n</w:t>
      </w:r>
    </w:p>
    <w:p w:rsidR="00837218" w:rsidRDefault="00837218" w:rsidP="00473BEC">
      <w:pPr>
        <w:pStyle w:val="Text"/>
        <w:spacing w:before="240"/>
        <w:ind w:firstLine="0"/>
      </w:pPr>
      <w:r>
        <w:t xml:space="preserve">Beispiel 1: </w:t>
      </w:r>
      <w:r w:rsidR="00B94BE7">
        <w:rPr>
          <w:i/>
        </w:rPr>
        <w:t>m</w:t>
      </w:r>
      <w:r w:rsidR="00B94BE7">
        <w:rPr>
          <w:i/>
          <w:vertAlign w:val="subscript"/>
        </w:rPr>
        <w:t>s</w:t>
      </w:r>
      <w:r w:rsidR="0093651A">
        <w:t xml:space="preserve"> = 4</w:t>
      </w:r>
      <w:r>
        <w:t xml:space="preserve">0, </w:t>
      </w:r>
      <w:r>
        <w:rPr>
          <w:i/>
          <w:iCs/>
        </w:rPr>
        <w:t>n</w:t>
      </w:r>
      <w:r>
        <w:t xml:space="preserve"> = 100, </w:t>
      </w:r>
      <w:r w:rsidR="00F36D1F">
        <w:rPr>
          <w:i/>
          <w:iCs/>
        </w:rPr>
        <w:t>g</w:t>
      </w:r>
      <w:r w:rsidR="00F36D1F">
        <w:rPr>
          <w:i/>
          <w:iCs/>
          <w:vertAlign w:val="subscript"/>
        </w:rPr>
        <w:t>x</w:t>
      </w:r>
      <w:r w:rsidR="00F36D1F">
        <w:t xml:space="preserve"> = </w:t>
      </w:r>
      <w:r w:rsidR="00C3654C">
        <w:t>2</w:t>
      </w:r>
      <w:r w:rsidR="00F36D1F">
        <w:t xml:space="preserve">00, </w:t>
      </w:r>
      <w:r>
        <w:rPr>
          <w:i/>
          <w:iCs/>
        </w:rPr>
        <w:t>g</w:t>
      </w:r>
      <w:r w:rsidR="00F36D1F">
        <w:t xml:space="preserve"> = </w:t>
      </w:r>
      <w:r w:rsidR="00C3654C">
        <w:t>10</w:t>
      </w:r>
      <w:r w:rsidR="00F36D1F">
        <w:t>00</w:t>
      </w:r>
      <w:r>
        <w:t>.</w:t>
      </w:r>
    </w:p>
    <w:p w:rsidR="00837218" w:rsidRDefault="00837218" w:rsidP="00C121D1">
      <w:pPr>
        <w:pStyle w:val="Formel"/>
      </w:pPr>
      <w:r>
        <w:rPr>
          <w:i/>
        </w:rPr>
        <w:t>w</w:t>
      </w:r>
      <w:r>
        <w:t>(</w:t>
      </w:r>
      <w:r>
        <w:rPr>
          <w:i/>
        </w:rPr>
        <w:t>B</w:t>
      </w:r>
      <w:r>
        <w:rPr>
          <w:i/>
          <w:vertAlign w:val="subscript"/>
        </w:rPr>
        <w:t>p</w:t>
      </w:r>
      <w:r>
        <w:t xml:space="preserve">) =  1 </w:t>
      </w:r>
      <w:r w:rsidR="004F3E8C">
        <w:rPr>
          <w:rFonts w:cs="Times New Roman"/>
        </w:rPr>
        <w:t>−</w:t>
      </w:r>
      <w:r>
        <w:t xml:space="preserve"> </w:t>
      </w:r>
      <w:r w:rsidR="00473BEC" w:rsidRPr="00C121D1">
        <w:rPr>
          <w:position w:val="-42"/>
        </w:rPr>
        <w:object w:dxaOrig="720" w:dyaOrig="920">
          <v:shape id="_x0000_i1037" type="#_x0000_t75" style="width:36.8pt;height:46pt" o:ole="">
            <v:imagedata r:id="rId44" o:title=""/>
          </v:shape>
          <o:OLEObject Type="Embed" ProgID="Equation.3" ShapeID="_x0000_i1037" DrawAspect="Content" ObjectID="_1460983878" r:id="rId45"/>
        </w:object>
      </w:r>
      <w:r>
        <w:t xml:space="preserve"> = 1 </w:t>
      </w:r>
      <w:r w:rsidR="004F3E8C">
        <w:rPr>
          <w:rFonts w:cs="Times New Roman"/>
        </w:rPr>
        <w:t>−</w:t>
      </w:r>
      <w:r>
        <w:t xml:space="preserve"> </w:t>
      </w:r>
      <w:r w:rsidR="00473BEC" w:rsidRPr="00C121D1">
        <w:rPr>
          <w:position w:val="-22"/>
        </w:rPr>
        <w:object w:dxaOrig="320" w:dyaOrig="520">
          <v:shape id="_x0000_i1038" type="#_x0000_t75" style="width:16.8pt;height:25.6pt" o:ole="">
            <v:imagedata r:id="rId46" o:title=""/>
          </v:shape>
          <o:OLEObject Type="Embed" ProgID="Equation.3" ShapeID="_x0000_i1038" DrawAspect="Content" ObjectID="_1460983879" r:id="rId47"/>
        </w:object>
      </w:r>
      <w:r>
        <w:t xml:space="preserve"> = 0,</w:t>
      </w:r>
      <w:r w:rsidR="002F6A9E">
        <w:t>25</w:t>
      </w:r>
    </w:p>
    <w:p w:rsidR="00837218" w:rsidRDefault="00837218" w:rsidP="00473BEC">
      <w:pPr>
        <w:pStyle w:val="Text"/>
        <w:ind w:firstLine="0"/>
        <w:rPr>
          <w:iCs/>
        </w:rPr>
      </w:pPr>
      <w:r>
        <w:rPr>
          <w:iCs/>
        </w:rPr>
        <w:t xml:space="preserve">Ferner </w:t>
      </w:r>
      <w:r w:rsidR="00993929">
        <w:rPr>
          <w:iCs/>
        </w:rPr>
        <w:t xml:space="preserve">sind: </w:t>
      </w:r>
      <w:r w:rsidR="00993929">
        <w:rPr>
          <w:i/>
          <w:iCs/>
        </w:rPr>
        <w:t>w</w:t>
      </w:r>
      <w:r w:rsidR="00993929">
        <w:rPr>
          <w:i/>
          <w:iCs/>
          <w:vertAlign w:val="subscript"/>
        </w:rPr>
        <w:t>b</w:t>
      </w:r>
      <w:r w:rsidR="00993929">
        <w:rPr>
          <w:iCs/>
        </w:rPr>
        <w:t xml:space="preserve"> =</w:t>
      </w:r>
      <w:r>
        <w:rPr>
          <w:iCs/>
        </w:rPr>
        <w:t xml:space="preserve"> </w:t>
      </w:r>
      <w:r w:rsidR="00993929">
        <w:rPr>
          <w:iCs/>
        </w:rPr>
        <w:t>0,</w:t>
      </w:r>
      <w:r w:rsidR="00E8110D">
        <w:rPr>
          <w:iCs/>
        </w:rPr>
        <w:t>4</w:t>
      </w:r>
      <w:r>
        <w:rPr>
          <w:iCs/>
        </w:rPr>
        <w:t xml:space="preserve">, </w:t>
      </w:r>
      <w:r>
        <w:rPr>
          <w:rFonts w:cs="Times New Roman"/>
          <w:i/>
        </w:rPr>
        <w:t>w</w:t>
      </w:r>
      <w:r>
        <w:rPr>
          <w:rFonts w:cs="Times New Roman"/>
          <w:i/>
          <w:vertAlign w:val="subscript"/>
        </w:rPr>
        <w:t>z</w:t>
      </w:r>
      <w:r>
        <w:rPr>
          <w:iCs/>
        </w:rPr>
        <w:t xml:space="preserve"> =</w:t>
      </w:r>
      <w:r w:rsidR="00993929">
        <w:t xml:space="preserve"> </w:t>
      </w:r>
      <w:r w:rsidR="00993929">
        <w:rPr>
          <w:iCs/>
        </w:rPr>
        <w:t>0,2</w:t>
      </w:r>
      <w:r w:rsidR="005D1098">
        <w:rPr>
          <w:iCs/>
        </w:rPr>
        <w:t xml:space="preserve">, </w:t>
      </w:r>
      <w:r w:rsidR="005D1098" w:rsidRPr="005D1098">
        <w:rPr>
          <w:i/>
          <w:iCs/>
        </w:rPr>
        <w:t>m</w:t>
      </w:r>
      <w:r w:rsidR="005D1098">
        <w:rPr>
          <w:iCs/>
        </w:rPr>
        <w:t xml:space="preserve"> = 25.</w:t>
      </w:r>
    </w:p>
    <w:p w:rsidR="00837218" w:rsidRDefault="00C76F2D" w:rsidP="00837218">
      <w:pPr>
        <w:pStyle w:val="Text"/>
      </w:pPr>
      <w:r>
        <w:t xml:space="preserve">Hier wurden </w:t>
      </w:r>
      <w:r w:rsidR="00A0248F">
        <w:t>4</w:t>
      </w:r>
      <w:r>
        <w:t xml:space="preserve">0 </w:t>
      </w:r>
      <w:r w:rsidR="006E1945">
        <w:t>Fälle beobachtet, in denen aus einer die Anwendungsbedi</w:t>
      </w:r>
      <w:r w:rsidR="006E1945">
        <w:t>n</w:t>
      </w:r>
      <w:r w:rsidR="006E1945">
        <w:t xml:space="preserve">gungen erfüllenden </w:t>
      </w:r>
      <w:r w:rsidR="00721558">
        <w:t>Alter</w:t>
      </w:r>
      <w:r w:rsidR="00721558">
        <w:softHyphen/>
        <w:t>nativen</w:t>
      </w:r>
      <w:r w:rsidR="00721558">
        <w:softHyphen/>
        <w:t>klasse</w:t>
      </w:r>
      <w:r w:rsidR="006E1945">
        <w:t xml:space="preserve"> ein Element mit den verlangten Eige</w:t>
      </w:r>
      <w:r w:rsidR="006E1945">
        <w:t>n</w:t>
      </w:r>
      <w:r w:rsidR="006E1945">
        <w:t xml:space="preserve">schaften ausgewählt wurde. Allerdings besaßen sowieso 1/5 aller Elemente dieser </w:t>
      </w:r>
      <w:r w:rsidR="00721558">
        <w:t>Alter</w:t>
      </w:r>
      <w:r w:rsidR="00721558">
        <w:softHyphen/>
        <w:t>nativen</w:t>
      </w:r>
      <w:r w:rsidR="00721558">
        <w:softHyphen/>
        <w:t>klasse</w:t>
      </w:r>
      <w:r w:rsidR="006E1945">
        <w:t>n die verlangten Eigenschaften</w:t>
      </w:r>
      <w:r w:rsidR="002F6A9E">
        <w:t>,</w:t>
      </w:r>
      <w:r w:rsidR="006E1945">
        <w:t xml:space="preserve"> </w:t>
      </w:r>
      <w:r w:rsidR="00A0248F">
        <w:t>2</w:t>
      </w:r>
      <w:r w:rsidR="002F6A9E">
        <w:t>0 ‚Anwendungen‘ sind schon durch die zufällige Wahrscheinlichkeit zu erwarten. Die errechnete Anwe</w:t>
      </w:r>
      <w:r w:rsidR="002F6A9E">
        <w:t>n</w:t>
      </w:r>
      <w:r w:rsidR="002F6A9E">
        <w:t xml:space="preserve">dungswahrscheinlichkeit ist 0,25, </w:t>
      </w:r>
      <w:r w:rsidR="00A0248F">
        <w:t xml:space="preserve">also </w:t>
      </w:r>
      <w:r w:rsidR="002F6A9E">
        <w:t>25 Anwendungen</w:t>
      </w:r>
      <w:r w:rsidR="00A0248F">
        <w:t xml:space="preserve"> für das betrachtete Re</w:t>
      </w:r>
      <w:r w:rsidR="00A0248F">
        <w:t>a</w:t>
      </w:r>
      <w:r w:rsidR="00A0248F">
        <w:t>lisierungsstück. Von diesen fällt 1/5 auf Elemente, die auch zufällig gewählt worden wären; es ergeben sich die 40 beobachteten ‚Anwendungen‘.</w:t>
      </w:r>
    </w:p>
    <w:p w:rsidR="00D2554C" w:rsidRDefault="00837218" w:rsidP="00C121D1">
      <w:pPr>
        <w:pStyle w:val="Text"/>
        <w:spacing w:before="240"/>
        <w:ind w:firstLine="0"/>
      </w:pPr>
      <w:r>
        <w:t>Beispiel 2</w:t>
      </w:r>
      <w:r w:rsidR="00D2554C">
        <w:t xml:space="preserve">: </w:t>
      </w:r>
      <w:r w:rsidR="00B94BE7">
        <w:rPr>
          <w:i/>
        </w:rPr>
        <w:t>m</w:t>
      </w:r>
      <w:r w:rsidR="00B94BE7">
        <w:rPr>
          <w:i/>
          <w:vertAlign w:val="subscript"/>
        </w:rPr>
        <w:t>s</w:t>
      </w:r>
      <w:r w:rsidR="00D2554C">
        <w:t xml:space="preserve"> = 19, </w:t>
      </w:r>
      <w:r w:rsidR="00D2554C">
        <w:rPr>
          <w:i/>
          <w:iCs/>
        </w:rPr>
        <w:t>n</w:t>
      </w:r>
      <w:r w:rsidR="00D2554C">
        <w:t xml:space="preserve"> = 100, </w:t>
      </w:r>
      <w:r w:rsidR="00F36D1F">
        <w:rPr>
          <w:i/>
          <w:iCs/>
        </w:rPr>
        <w:t>g</w:t>
      </w:r>
      <w:r w:rsidR="00F36D1F">
        <w:rPr>
          <w:i/>
          <w:iCs/>
          <w:vertAlign w:val="subscript"/>
        </w:rPr>
        <w:t>x</w:t>
      </w:r>
      <w:r w:rsidR="00F36D1F">
        <w:t xml:space="preserve"> = </w:t>
      </w:r>
      <w:r w:rsidR="00C3654C">
        <w:t>20</w:t>
      </w:r>
      <w:r w:rsidR="00F36D1F">
        <w:t xml:space="preserve">0, </w:t>
      </w:r>
      <w:r w:rsidR="00D2554C">
        <w:rPr>
          <w:i/>
          <w:iCs/>
        </w:rPr>
        <w:t>g</w:t>
      </w:r>
      <w:r w:rsidR="00F36D1F">
        <w:t xml:space="preserve"> = </w:t>
      </w:r>
      <w:r w:rsidR="00C3654C">
        <w:t>20</w:t>
      </w:r>
      <w:r w:rsidR="00F36D1F">
        <w:t>00</w:t>
      </w:r>
      <w:r w:rsidR="00D2554C">
        <w:t>.</w:t>
      </w:r>
    </w:p>
    <w:p w:rsidR="00D2554C" w:rsidRDefault="00D2554C" w:rsidP="00C121D1">
      <w:pPr>
        <w:pStyle w:val="Formel"/>
      </w:pPr>
      <w:r>
        <w:rPr>
          <w:i/>
        </w:rPr>
        <w:t>w</w:t>
      </w:r>
      <w:r>
        <w:t>(</w:t>
      </w:r>
      <w:r>
        <w:rPr>
          <w:i/>
        </w:rPr>
        <w:t>B</w:t>
      </w:r>
      <w:r>
        <w:rPr>
          <w:i/>
          <w:vertAlign w:val="subscript"/>
        </w:rPr>
        <w:t>p</w:t>
      </w:r>
      <w:r>
        <w:t xml:space="preserve">) =  1 </w:t>
      </w:r>
      <w:r w:rsidR="004F3E8C">
        <w:rPr>
          <w:rFonts w:cs="Times New Roman"/>
        </w:rPr>
        <w:t>−</w:t>
      </w:r>
      <w:r>
        <w:t xml:space="preserve"> </w:t>
      </w:r>
      <w:r w:rsidR="00473BEC" w:rsidRPr="00C121D1">
        <w:rPr>
          <w:position w:val="-42"/>
        </w:rPr>
        <w:object w:dxaOrig="740" w:dyaOrig="920">
          <v:shape id="_x0000_i1039" type="#_x0000_t75" style="width:38.8pt;height:46pt" o:ole="">
            <v:imagedata r:id="rId48" o:title=""/>
          </v:shape>
          <o:OLEObject Type="Embed" ProgID="Equation.3" ShapeID="_x0000_i1039" DrawAspect="Content" ObjectID="_1460983880" r:id="rId49"/>
        </w:object>
      </w:r>
      <w:r>
        <w:t xml:space="preserve"> = 1 </w:t>
      </w:r>
      <w:r w:rsidR="004F3E8C">
        <w:rPr>
          <w:rFonts w:cs="Times New Roman"/>
        </w:rPr>
        <w:t>−</w:t>
      </w:r>
      <w:r>
        <w:t xml:space="preserve"> </w:t>
      </w:r>
      <w:r w:rsidR="00473BEC" w:rsidRPr="00C121D1">
        <w:rPr>
          <w:position w:val="-22"/>
        </w:rPr>
        <w:object w:dxaOrig="400" w:dyaOrig="520">
          <v:shape id="_x0000_i1040" type="#_x0000_t75" style="width:20pt;height:25.6pt" o:ole="">
            <v:imagedata r:id="rId50" o:title=""/>
          </v:shape>
          <o:OLEObject Type="Embed" ProgID="Equation.3" ShapeID="_x0000_i1040" DrawAspect="Content" ObjectID="_1460983881" r:id="rId51"/>
        </w:object>
      </w:r>
      <w:r>
        <w:t xml:space="preserve"> = 0,1</w:t>
      </w:r>
    </w:p>
    <w:p w:rsidR="00D2554C" w:rsidRDefault="00D2554C" w:rsidP="00C121D1">
      <w:pPr>
        <w:pStyle w:val="Text"/>
        <w:ind w:firstLine="0"/>
        <w:rPr>
          <w:iCs/>
        </w:rPr>
      </w:pPr>
      <w:r>
        <w:rPr>
          <w:iCs/>
        </w:rPr>
        <w:t xml:space="preserve">Ferner </w:t>
      </w:r>
      <w:r w:rsidR="00993929">
        <w:rPr>
          <w:iCs/>
        </w:rPr>
        <w:t>sind:</w:t>
      </w:r>
      <w:r>
        <w:rPr>
          <w:iCs/>
        </w:rPr>
        <w:t xml:space="preserve"> </w:t>
      </w:r>
      <w:r w:rsidR="00993929">
        <w:rPr>
          <w:i/>
          <w:iCs/>
        </w:rPr>
        <w:t>w</w:t>
      </w:r>
      <w:r w:rsidR="00993929">
        <w:rPr>
          <w:i/>
          <w:iCs/>
          <w:vertAlign w:val="subscript"/>
        </w:rPr>
        <w:t>b</w:t>
      </w:r>
      <w:r w:rsidR="00993929">
        <w:rPr>
          <w:iCs/>
        </w:rPr>
        <w:t xml:space="preserve"> = 0,19, </w:t>
      </w:r>
      <w:r w:rsidR="00993929">
        <w:rPr>
          <w:rFonts w:cs="Times New Roman"/>
          <w:i/>
        </w:rPr>
        <w:t>w</w:t>
      </w:r>
      <w:r w:rsidR="00993929">
        <w:rPr>
          <w:rFonts w:cs="Times New Roman"/>
          <w:i/>
          <w:vertAlign w:val="subscript"/>
        </w:rPr>
        <w:t>z</w:t>
      </w:r>
      <w:r w:rsidR="00993929">
        <w:rPr>
          <w:iCs/>
        </w:rPr>
        <w:t xml:space="preserve"> = </w:t>
      </w:r>
      <w:r w:rsidR="005D1098">
        <w:rPr>
          <w:iCs/>
        </w:rPr>
        <w:t xml:space="preserve">0,1, </w:t>
      </w:r>
      <w:r w:rsidR="005D1098" w:rsidRPr="005D1098">
        <w:rPr>
          <w:i/>
          <w:iCs/>
        </w:rPr>
        <w:t>m</w:t>
      </w:r>
      <w:r w:rsidR="005D1098">
        <w:rPr>
          <w:iCs/>
        </w:rPr>
        <w:t xml:space="preserve"> = 10.</w:t>
      </w:r>
    </w:p>
    <w:p w:rsidR="00D2554C" w:rsidRDefault="00D2554C">
      <w:pPr>
        <w:pStyle w:val="Text"/>
      </w:pPr>
      <w:r>
        <w:t xml:space="preserve">In diesem Beispiel haben die zufällige Wahrscheinlichkeit </w:t>
      </w:r>
      <w:r>
        <w:rPr>
          <w:rFonts w:cs="Times New Roman"/>
          <w:i/>
        </w:rPr>
        <w:t>w</w:t>
      </w:r>
      <w:r>
        <w:rPr>
          <w:rFonts w:cs="Times New Roman"/>
          <w:i/>
          <w:vertAlign w:val="subscript"/>
        </w:rPr>
        <w:t>z</w:t>
      </w:r>
      <w:r>
        <w:t xml:space="preserve"> und die A</w:t>
      </w:r>
      <w:r>
        <w:t>n</w:t>
      </w:r>
      <w:r>
        <w:t xml:space="preserve">wendungswahrscheinlichkeit der </w:t>
      </w:r>
      <w:r w:rsidR="00765E66">
        <w:t>Merkmalsregel</w:t>
      </w:r>
      <w:r>
        <w:t xml:space="preserve"> </w:t>
      </w:r>
      <w:r>
        <w:rPr>
          <w:i/>
        </w:rPr>
        <w:t>w</w:t>
      </w:r>
      <w:r>
        <w:rPr>
          <w:iCs/>
        </w:rPr>
        <w:t>(</w:t>
      </w:r>
      <w:r>
        <w:rPr>
          <w:i/>
        </w:rPr>
        <w:t>B</w:t>
      </w:r>
      <w:r>
        <w:rPr>
          <w:i/>
          <w:vertAlign w:val="subscript"/>
        </w:rPr>
        <w:t>p</w:t>
      </w:r>
      <w:r>
        <w:rPr>
          <w:iCs/>
        </w:rPr>
        <w:t xml:space="preserve">) </w:t>
      </w:r>
      <w:r>
        <w:t>zu gleichen Teilen zur beobachtbaren Wahrscheinlichkeit beigetragen.</w:t>
      </w:r>
    </w:p>
    <w:p w:rsidR="00D2554C" w:rsidRDefault="00837218" w:rsidP="00C121D1">
      <w:pPr>
        <w:pStyle w:val="Text"/>
        <w:spacing w:before="240"/>
        <w:ind w:firstLine="0"/>
      </w:pPr>
      <w:r>
        <w:t>Beispiel 3</w:t>
      </w:r>
      <w:r w:rsidR="00D2554C">
        <w:t xml:space="preserve">: </w:t>
      </w:r>
      <w:r w:rsidR="00B94BE7">
        <w:rPr>
          <w:i/>
        </w:rPr>
        <w:t>m</w:t>
      </w:r>
      <w:r w:rsidR="00B94BE7">
        <w:rPr>
          <w:i/>
          <w:vertAlign w:val="subscript"/>
        </w:rPr>
        <w:t>s</w:t>
      </w:r>
      <w:r w:rsidR="00523864">
        <w:t xml:space="preserve"> = 12</w:t>
      </w:r>
      <w:r w:rsidR="00D2554C">
        <w:t xml:space="preserve">, </w:t>
      </w:r>
      <w:r w:rsidR="00D2554C">
        <w:rPr>
          <w:i/>
          <w:iCs/>
        </w:rPr>
        <w:t>n</w:t>
      </w:r>
      <w:r w:rsidR="00D2554C">
        <w:t xml:space="preserve"> = 100, </w:t>
      </w:r>
      <w:r w:rsidR="00F36D1F">
        <w:rPr>
          <w:i/>
          <w:iCs/>
        </w:rPr>
        <w:t>g</w:t>
      </w:r>
      <w:r w:rsidR="00F36D1F">
        <w:rPr>
          <w:i/>
          <w:iCs/>
          <w:vertAlign w:val="subscript"/>
        </w:rPr>
        <w:t>x</w:t>
      </w:r>
      <w:r w:rsidR="00F36D1F">
        <w:t xml:space="preserve"> = </w:t>
      </w:r>
      <w:r w:rsidR="00C3654C">
        <w:t>2</w:t>
      </w:r>
      <w:r w:rsidR="00F36D1F">
        <w:t xml:space="preserve">00, </w:t>
      </w:r>
      <w:r w:rsidR="00D2554C">
        <w:rPr>
          <w:i/>
          <w:iCs/>
        </w:rPr>
        <w:t>g</w:t>
      </w:r>
      <w:r w:rsidR="00F36D1F">
        <w:t xml:space="preserve"> = </w:t>
      </w:r>
      <w:r w:rsidR="00C3654C">
        <w:t>10</w:t>
      </w:r>
      <w:r w:rsidR="00F36D1F">
        <w:t>00</w:t>
      </w:r>
      <w:r w:rsidR="00D2554C">
        <w:t>.</w:t>
      </w:r>
    </w:p>
    <w:p w:rsidR="00D2554C" w:rsidRDefault="00D2554C" w:rsidP="00C121D1">
      <w:pPr>
        <w:pStyle w:val="Formel"/>
      </w:pPr>
      <w:r>
        <w:rPr>
          <w:i/>
        </w:rPr>
        <w:t>w</w:t>
      </w:r>
      <w:r>
        <w:t>(</w:t>
      </w:r>
      <w:r>
        <w:rPr>
          <w:i/>
        </w:rPr>
        <w:t>B</w:t>
      </w:r>
      <w:r>
        <w:rPr>
          <w:i/>
          <w:vertAlign w:val="subscript"/>
        </w:rPr>
        <w:t>p</w:t>
      </w:r>
      <w:r>
        <w:t xml:space="preserve">) =  1 </w:t>
      </w:r>
      <w:r w:rsidR="004F3E8C">
        <w:rPr>
          <w:rFonts w:cs="Times New Roman"/>
        </w:rPr>
        <w:t>−</w:t>
      </w:r>
      <w:r>
        <w:t xml:space="preserve"> </w:t>
      </w:r>
      <w:r w:rsidR="00092164" w:rsidRPr="00C121D1">
        <w:rPr>
          <w:position w:val="-42"/>
        </w:rPr>
        <w:object w:dxaOrig="720" w:dyaOrig="920">
          <v:shape id="_x0000_i1041" type="#_x0000_t75" style="width:36.8pt;height:46pt" o:ole="">
            <v:imagedata r:id="rId52" o:title=""/>
          </v:shape>
          <o:OLEObject Type="Embed" ProgID="Equation.3" ShapeID="_x0000_i1041" DrawAspect="Content" ObjectID="_1460983882" r:id="rId53"/>
        </w:object>
      </w:r>
      <w:r>
        <w:t xml:space="preserve"> = 1 </w:t>
      </w:r>
      <w:r w:rsidR="004F3E8C">
        <w:rPr>
          <w:rFonts w:cs="Times New Roman"/>
        </w:rPr>
        <w:t>−</w:t>
      </w:r>
      <w:r>
        <w:t xml:space="preserve"> </w:t>
      </w:r>
      <w:r w:rsidR="00092164" w:rsidRPr="00C121D1">
        <w:rPr>
          <w:position w:val="-22"/>
        </w:rPr>
        <w:object w:dxaOrig="420" w:dyaOrig="520">
          <v:shape id="_x0000_i1042" type="#_x0000_t75" style="width:20pt;height:25.6pt" o:ole="">
            <v:imagedata r:id="rId54" o:title=""/>
          </v:shape>
          <o:OLEObject Type="Embed" ProgID="Equation.3" ShapeID="_x0000_i1042" DrawAspect="Content" ObjectID="_1460983883" r:id="rId55"/>
        </w:object>
      </w:r>
      <w:r>
        <w:t xml:space="preserve"> = </w:t>
      </w:r>
      <w:r w:rsidR="00890398">
        <w:rPr>
          <w:rFonts w:cs="Times New Roman"/>
        </w:rPr>
        <w:t>−</w:t>
      </w:r>
      <w:r>
        <w:t xml:space="preserve"> 0,1</w:t>
      </w:r>
    </w:p>
    <w:p w:rsidR="002553D5" w:rsidRDefault="002553D5" w:rsidP="00C121D1">
      <w:pPr>
        <w:pStyle w:val="Text"/>
        <w:ind w:firstLine="0"/>
        <w:rPr>
          <w:iCs/>
        </w:rPr>
      </w:pPr>
      <w:r>
        <w:rPr>
          <w:iCs/>
        </w:rPr>
        <w:t xml:space="preserve">Ferner sind: </w:t>
      </w:r>
      <w:r>
        <w:rPr>
          <w:i/>
          <w:iCs/>
        </w:rPr>
        <w:t>w</w:t>
      </w:r>
      <w:r>
        <w:rPr>
          <w:i/>
          <w:iCs/>
          <w:vertAlign w:val="subscript"/>
        </w:rPr>
        <w:t>b</w:t>
      </w:r>
      <w:r>
        <w:rPr>
          <w:iCs/>
        </w:rPr>
        <w:t xml:space="preserve"> = 0,12, </w:t>
      </w:r>
      <w:r>
        <w:rPr>
          <w:rFonts w:cs="Times New Roman"/>
          <w:i/>
        </w:rPr>
        <w:t>w</w:t>
      </w:r>
      <w:r>
        <w:rPr>
          <w:rFonts w:cs="Times New Roman"/>
          <w:i/>
          <w:vertAlign w:val="subscript"/>
        </w:rPr>
        <w:t>z</w:t>
      </w:r>
      <w:r>
        <w:rPr>
          <w:iCs/>
        </w:rPr>
        <w:t xml:space="preserve"> =</w:t>
      </w:r>
      <w:r>
        <w:t xml:space="preserve"> </w:t>
      </w:r>
      <w:r w:rsidR="005D1098">
        <w:rPr>
          <w:iCs/>
        </w:rPr>
        <w:t xml:space="preserve">0,2, </w:t>
      </w:r>
      <w:r w:rsidR="005D1098" w:rsidRPr="005D1098">
        <w:rPr>
          <w:i/>
          <w:iCs/>
        </w:rPr>
        <w:t>m</w:t>
      </w:r>
      <w:r w:rsidR="005D1098">
        <w:rPr>
          <w:iCs/>
        </w:rPr>
        <w:t xml:space="preserve"> = </w:t>
      </w:r>
      <w:r w:rsidR="00890398">
        <w:rPr>
          <w:rFonts w:cs="Times New Roman"/>
          <w:iCs/>
        </w:rPr>
        <w:t>−</w:t>
      </w:r>
      <w:r w:rsidR="005D1098">
        <w:rPr>
          <w:iCs/>
        </w:rPr>
        <w:t xml:space="preserve"> 10.</w:t>
      </w:r>
    </w:p>
    <w:p w:rsidR="00D2554C" w:rsidRDefault="00D2554C">
      <w:pPr>
        <w:pStyle w:val="Text"/>
      </w:pPr>
      <w:r>
        <w:t xml:space="preserve">In diesem Beispiel ergibt sich ein negativer Wert für </w:t>
      </w:r>
      <w:r>
        <w:rPr>
          <w:i/>
        </w:rPr>
        <w:t>w</w:t>
      </w:r>
      <w:r>
        <w:rPr>
          <w:iCs/>
        </w:rPr>
        <w:t>(</w:t>
      </w:r>
      <w:r>
        <w:rPr>
          <w:i/>
        </w:rPr>
        <w:t>B</w:t>
      </w:r>
      <w:r>
        <w:rPr>
          <w:i/>
          <w:vertAlign w:val="subscript"/>
        </w:rPr>
        <w:t>p</w:t>
      </w:r>
      <w:r>
        <w:rPr>
          <w:iCs/>
        </w:rPr>
        <w:t>)</w:t>
      </w:r>
      <w:r w:rsidR="005D1098">
        <w:rPr>
          <w:iCs/>
        </w:rPr>
        <w:t xml:space="preserve"> und damit auch für </w:t>
      </w:r>
      <w:r w:rsidR="005D1098" w:rsidRPr="005D1098">
        <w:rPr>
          <w:i/>
          <w:iCs/>
        </w:rPr>
        <w:t>m</w:t>
      </w:r>
      <w:r>
        <w:rPr>
          <w:iCs/>
        </w:rPr>
        <w:t xml:space="preserve">. Das heißt, die </w:t>
      </w:r>
      <w:r>
        <w:t xml:space="preserve">zufällige Wahrscheinlichkeit </w:t>
      </w:r>
      <w:r>
        <w:rPr>
          <w:rFonts w:cs="Times New Roman"/>
          <w:i/>
        </w:rPr>
        <w:t>w</w:t>
      </w:r>
      <w:r>
        <w:rPr>
          <w:rFonts w:cs="Times New Roman"/>
          <w:i/>
          <w:vertAlign w:val="subscript"/>
        </w:rPr>
        <w:t>z</w:t>
      </w:r>
      <w:r>
        <w:t xml:space="preserve"> erklärt die beobachtbare Wahrscheinlichkeit; der negative Wert entsteht offensichtlich dur</w:t>
      </w:r>
      <w:r w:rsidR="005D1098">
        <w:t>ch eine statist</w:t>
      </w:r>
      <w:r w:rsidR="005D1098">
        <w:t>i</w:t>
      </w:r>
      <w:r w:rsidR="005D1098">
        <w:t xml:space="preserve">sche Abweichung: Es werden weniger scheinbare Anwendungen beobachtet als statistisch zu erwarten, was aufgrund der (hier ansonsten nicht berücksichtigten) </w:t>
      </w:r>
      <w:r w:rsidR="005D1098">
        <w:lastRenderedPageBreak/>
        <w:t xml:space="preserve">Streuung durchaus möglich ist. </w:t>
      </w:r>
      <w:r>
        <w:t xml:space="preserve">Die </w:t>
      </w:r>
      <w:r w:rsidR="00765E66">
        <w:t>Merkmalsregel</w:t>
      </w:r>
      <w:r>
        <w:t xml:space="preserve"> kann somit nicht angeno</w:t>
      </w:r>
      <w:r>
        <w:t>m</w:t>
      </w:r>
      <w:r>
        <w:t>men werden.</w:t>
      </w:r>
      <w:r w:rsidR="00523864">
        <w:rPr>
          <w:rStyle w:val="Funotenzeichen"/>
        </w:rPr>
        <w:footnoteReference w:id="377"/>
      </w:r>
    </w:p>
    <w:p w:rsidR="00D2554C" w:rsidRDefault="00D2554C" w:rsidP="00C121D1">
      <w:pPr>
        <w:pStyle w:val="Text"/>
        <w:spacing w:before="240"/>
        <w:ind w:firstLine="0"/>
      </w:pPr>
      <w:r>
        <w:t>Die hier vorgestellte Methode zur Berücksichtigung der zufälligen Wahrschei</w:t>
      </w:r>
      <w:r>
        <w:t>n</w:t>
      </w:r>
      <w:r>
        <w:t xml:space="preserve">lichkeit vereinfacht den tatsächlich stattfindenden Prozess in </w:t>
      </w:r>
      <w:r w:rsidR="002F6A9E">
        <w:t>mehrerer</w:t>
      </w:r>
      <w:r>
        <w:t xml:space="preserve"> Hinsicht:</w:t>
      </w:r>
    </w:p>
    <w:p w:rsidR="00D2554C" w:rsidRDefault="00F22959">
      <w:pPr>
        <w:pStyle w:val="Text"/>
      </w:pPr>
      <w:r>
        <w:t>(</w:t>
      </w:r>
      <w:r w:rsidR="00D2554C">
        <w:t>1</w:t>
      </w:r>
      <w:r>
        <w:t>)</w:t>
      </w:r>
      <w:r w:rsidR="00D2554C">
        <w:tab/>
        <w:t>Sie geht davon aus, dass die Auswahl – von der stilistischen Auswahl abgesehen – nach zufälligen Kriterien erfolgt</w:t>
      </w:r>
      <w:r w:rsidR="002B2192">
        <w:t xml:space="preserve">, genauer gesagt: </w:t>
      </w:r>
      <w:r w:rsidR="00D2554C">
        <w:t xml:space="preserve">nach Faktoren, die unabhängig sind vom Auftreten der verlangten Eigenschaften </w:t>
      </w:r>
      <w:r w:rsidR="00D2554C">
        <w:rPr>
          <w:i/>
          <w:iCs/>
        </w:rPr>
        <w:t>V</w:t>
      </w:r>
      <w:r w:rsidR="00D2554C">
        <w:t xml:space="preserve"> an einem El</w:t>
      </w:r>
      <w:r w:rsidR="00D2554C">
        <w:t>e</w:t>
      </w:r>
      <w:r w:rsidR="00D2554C">
        <w:t>ment, so dass sie relativ zu diesen zufällig erscheinen.</w:t>
      </w:r>
      <w:r w:rsidR="00526517">
        <w:rPr>
          <w:rStyle w:val="Funotenzeichen"/>
        </w:rPr>
        <w:footnoteReference w:id="378"/>
      </w:r>
      <w:r w:rsidR="00D2554C">
        <w:t xml:space="preserve"> Je nach </w:t>
      </w:r>
      <w:r w:rsidR="00765E66">
        <w:t>Merkmalsregel</w:t>
      </w:r>
      <w:r w:rsidR="00D2554C">
        <w:t xml:space="preserve"> ist dies aber mehr oder weniger plausibel. </w:t>
      </w:r>
      <w:r w:rsidR="002B2192">
        <w:t xml:space="preserve">So gibt es beispielsweise </w:t>
      </w:r>
      <w:r w:rsidR="00765E66">
        <w:t>Merkmalsr</w:t>
      </w:r>
      <w:r w:rsidR="00765E66">
        <w:t>e</w:t>
      </w:r>
      <w:r w:rsidR="00765E66">
        <w:t>gel</w:t>
      </w:r>
      <w:r w:rsidR="00D2554C">
        <w:t xml:space="preserve">n, die absichtlich funktionale oder </w:t>
      </w:r>
      <w:r w:rsidR="00EB1D25">
        <w:t>nicht</w:t>
      </w:r>
      <w:r w:rsidR="00D2554C">
        <w:t xml:space="preserve">funktionale Lösungen auswählen. Sofern wir davon ausgehen, dass die Auswahl in Schritt 4 der </w:t>
      </w:r>
      <w:r w:rsidR="00834C46">
        <w:t>Schemaausführung</w:t>
      </w:r>
      <w:r w:rsidR="00D2554C">
        <w:t xml:space="preserve"> teilweise oder ganz nach funktionalen </w:t>
      </w:r>
      <w:r w:rsidR="00E47E97">
        <w:t xml:space="preserve">Kriterien </w:t>
      </w:r>
      <w:r w:rsidR="00D2554C">
        <w:t>geschieht, ist die Unabhängi</w:t>
      </w:r>
      <w:r w:rsidR="00D2554C">
        <w:t>g</w:t>
      </w:r>
      <w:r w:rsidR="00D2554C">
        <w:t>keit nicht gegeben. Um dies einzubeziehen, müsste einerseits eine genauere M</w:t>
      </w:r>
      <w:r w:rsidR="00D2554C">
        <w:t>o</w:t>
      </w:r>
      <w:r w:rsidR="00D2554C">
        <w:t>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D2554C">
        <w:t xml:space="preserve"> der nicht-stilistischen Auswahlprozesse stattfinden und andererseits die jeweiligen </w:t>
      </w:r>
      <w:r w:rsidR="00765E66">
        <w:t>Merkmalsregel</w:t>
      </w:r>
      <w:r w:rsidR="00D2554C">
        <w:t>n auch semantisch betrachtet werden. Beides ist jedoch auf der hier vorgenommenen Abstraktionsebene unmöglich und könnte höchstens in bereichsspezifischen Stiltheorien (vgl. Abschnitt</w:t>
      </w:r>
      <w:r w:rsidR="00CF5613">
        <w:t xml:space="preserve"> </w:t>
      </w:r>
      <w:r w:rsidR="005D7996">
        <w:fldChar w:fldCharType="begin"/>
      </w:r>
      <w:r w:rsidR="00CF5613">
        <w:instrText xml:space="preserve"> REF _Ref254783670 \r \h </w:instrText>
      </w:r>
      <w:r w:rsidR="005D7996">
        <w:fldChar w:fldCharType="separate"/>
      </w:r>
      <w:r w:rsidR="001231D3">
        <w:t>8.1</w:t>
      </w:r>
      <w:r w:rsidR="005D7996">
        <w:fldChar w:fldCharType="end"/>
      </w:r>
      <w:r w:rsidR="00D2554C">
        <w:t>) und auch dort vermutlich nur von Fall zu Fall erfolgen.</w:t>
      </w:r>
    </w:p>
    <w:p w:rsidR="00E47E97" w:rsidRDefault="00F22959">
      <w:pPr>
        <w:pStyle w:val="Text"/>
      </w:pPr>
      <w:r>
        <w:t>(</w:t>
      </w:r>
      <w:r w:rsidR="00435EC0">
        <w:t>2</w:t>
      </w:r>
      <w:r>
        <w:t>)</w:t>
      </w:r>
      <w:r w:rsidR="00C14FEA">
        <w:tab/>
        <w:t xml:space="preserve">Die zufällige Wahrscheinlichkeit wird über alle in Frage kommenden </w:t>
      </w:r>
      <w:r w:rsidR="00721558">
        <w:t>Alter</w:t>
      </w:r>
      <w:r w:rsidR="00721558">
        <w:softHyphen/>
        <w:t>nativen</w:t>
      </w:r>
      <w:r w:rsidR="00721558">
        <w:softHyphen/>
        <w:t>klasse</w:t>
      </w:r>
      <w:r w:rsidR="00C14FEA">
        <w:t xml:space="preserve">n gemittelt, anstatt sie für jede einzeln auszurechnen. </w:t>
      </w:r>
      <w:r w:rsidR="00E47E97">
        <w:t xml:space="preserve">Da die Wahrscheinlichkeit für die zufällige Auswahl eines Elements von der Größe der </w:t>
      </w:r>
      <w:r w:rsidR="00721558">
        <w:t>Alter</w:t>
      </w:r>
      <w:r w:rsidR="00721558">
        <w:softHyphen/>
        <w:t>nativen</w:t>
      </w:r>
      <w:r w:rsidR="00721558">
        <w:softHyphen/>
        <w:t>klasse</w:t>
      </w:r>
      <w:r w:rsidR="00E47E97">
        <w:t xml:space="preserve"> abhängt, ist </w:t>
      </w:r>
      <w:r w:rsidR="00E64090">
        <w:t xml:space="preserve">(A) </w:t>
      </w:r>
      <w:r w:rsidR="00E47E97">
        <w:t xml:space="preserve">das </w:t>
      </w:r>
      <w:r w:rsidR="00E64090">
        <w:t xml:space="preserve">tatsächliche </w:t>
      </w:r>
      <w:r w:rsidR="00E47E97">
        <w:rPr>
          <w:rFonts w:cs="Times New Roman"/>
          <w:i/>
        </w:rPr>
        <w:t>w</w:t>
      </w:r>
      <w:r w:rsidR="00E47E97">
        <w:rPr>
          <w:rFonts w:cs="Times New Roman"/>
          <w:i/>
          <w:vertAlign w:val="subscript"/>
        </w:rPr>
        <w:t>z</w:t>
      </w:r>
      <w:r w:rsidR="00E47E97">
        <w:t xml:space="preserve"> </w:t>
      </w:r>
      <w:r w:rsidR="00E64090">
        <w:t xml:space="preserve">niedriger als das mit der Formel errechnete, </w:t>
      </w:r>
      <w:r w:rsidR="00E47E97">
        <w:t xml:space="preserve">wenn sich </w:t>
      </w:r>
      <w:r w:rsidR="006657AB">
        <w:t xml:space="preserve">die </w:t>
      </w:r>
      <w:r w:rsidR="00E47E97">
        <w:t xml:space="preserve">Elemente mit den verlangten Eigenschaften </w:t>
      </w:r>
      <w:r w:rsidR="001160E6">
        <w:t xml:space="preserve">überdurchschnittlich häufig </w:t>
      </w:r>
      <w:r w:rsidR="000046E7">
        <w:t xml:space="preserve">in großen </w:t>
      </w:r>
      <w:r w:rsidR="00721558">
        <w:t>Alter</w:t>
      </w:r>
      <w:r w:rsidR="00721558">
        <w:softHyphen/>
        <w:t>nativen</w:t>
      </w:r>
      <w:r w:rsidR="00721558">
        <w:softHyphen/>
        <w:t>klasse</w:t>
      </w:r>
      <w:r w:rsidR="00E47E97">
        <w:t xml:space="preserve">n </w:t>
      </w:r>
      <w:r w:rsidR="000046E7">
        <w:t>befinden</w:t>
      </w:r>
      <w:r w:rsidR="00E47E97">
        <w:t xml:space="preserve">, und </w:t>
      </w:r>
      <w:r w:rsidR="00707850">
        <w:t xml:space="preserve">(B) </w:t>
      </w:r>
      <w:r w:rsidR="00923908">
        <w:t xml:space="preserve">das tatsächliche </w:t>
      </w:r>
      <w:r w:rsidR="00923908">
        <w:rPr>
          <w:rFonts w:cs="Times New Roman"/>
          <w:i/>
        </w:rPr>
        <w:t>w</w:t>
      </w:r>
      <w:r w:rsidR="00923908">
        <w:rPr>
          <w:rFonts w:cs="Times New Roman"/>
          <w:i/>
          <w:vertAlign w:val="subscript"/>
        </w:rPr>
        <w:t>z</w:t>
      </w:r>
      <w:r w:rsidR="00923908">
        <w:t xml:space="preserve"> höher </w:t>
      </w:r>
      <w:r w:rsidR="00E64090">
        <w:t>als das mit der Formel errechnete</w:t>
      </w:r>
      <w:r w:rsidR="000046E7">
        <w:t xml:space="preserve">, wenn </w:t>
      </w:r>
      <w:r w:rsidR="00E64090">
        <w:t xml:space="preserve">sich die Elemente mit den verlangten Eigenschaften </w:t>
      </w:r>
      <w:r w:rsidR="001160E6">
        <w:t xml:space="preserve">überdurchschnittlich häufig </w:t>
      </w:r>
      <w:r w:rsidR="000046E7">
        <w:t xml:space="preserve">in kleinen </w:t>
      </w:r>
      <w:r w:rsidR="00721558">
        <w:t>Alter</w:t>
      </w:r>
      <w:r w:rsidR="00721558">
        <w:softHyphen/>
        <w:t>nativen</w:t>
      </w:r>
      <w:r w:rsidR="00721558">
        <w:softHyphen/>
        <w:t>klasse</w:t>
      </w:r>
      <w:r w:rsidR="000046E7">
        <w:t>n befinden.</w:t>
      </w:r>
      <w:r w:rsidR="009F4F83">
        <w:rPr>
          <w:rStyle w:val="Funotenzeichen"/>
        </w:rPr>
        <w:footnoteReference w:id="379"/>
      </w:r>
      <w:r w:rsidR="000046E7">
        <w:t xml:space="preserve"> Nur wenn </w:t>
      </w:r>
      <w:r w:rsidR="007E700A">
        <w:t xml:space="preserve">die Größe der </w:t>
      </w:r>
      <w:r w:rsidR="00721558">
        <w:t>Alter</w:t>
      </w:r>
      <w:r w:rsidR="00721558">
        <w:softHyphen/>
        <w:t>nativen</w:t>
      </w:r>
      <w:r w:rsidR="00721558">
        <w:softHyphen/>
        <w:t>klasse</w:t>
      </w:r>
      <w:r w:rsidR="007E700A">
        <w:t xml:space="preserve">n, und </w:t>
      </w:r>
      <w:r w:rsidR="007E700A">
        <w:lastRenderedPageBreak/>
        <w:t>damit die zufällige Wahrscheinlichkeit, für die Elemente mit den verlangten E</w:t>
      </w:r>
      <w:r w:rsidR="007E700A">
        <w:t>i</w:t>
      </w:r>
      <w:r w:rsidR="007E700A">
        <w:t xml:space="preserve">genschaften </w:t>
      </w:r>
      <w:r w:rsidR="00C3654C">
        <w:t xml:space="preserve">dem Durchschnitt </w:t>
      </w:r>
      <w:r w:rsidR="007E700A">
        <w:t>alle</w:t>
      </w:r>
      <w:r w:rsidR="00B07663">
        <w:t>r</w:t>
      </w:r>
      <w:r w:rsidR="007E700A">
        <w:t xml:space="preserve"> Elemente </w:t>
      </w:r>
      <w:r w:rsidR="00B07663">
        <w:t xml:space="preserve">der in Frage kommenden </w:t>
      </w:r>
      <w:r w:rsidR="00721558">
        <w:t>Alter</w:t>
      </w:r>
      <w:r w:rsidR="00721558">
        <w:softHyphen/>
        <w:t>nativen</w:t>
      </w:r>
      <w:r w:rsidR="00721558">
        <w:softHyphen/>
        <w:t>klasse</w:t>
      </w:r>
      <w:r w:rsidR="007E700A">
        <w:t>n</w:t>
      </w:r>
      <w:r w:rsidR="00B07663">
        <w:t xml:space="preserve"> entspricht</w:t>
      </w:r>
      <w:r w:rsidR="007E700A">
        <w:t xml:space="preserve">, </w:t>
      </w:r>
      <w:r w:rsidR="000046E7">
        <w:t>ist d</w:t>
      </w:r>
      <w:r w:rsidR="001160E6">
        <w:t>as</w:t>
      </w:r>
      <w:r w:rsidR="000046E7">
        <w:t xml:space="preserve"> </w:t>
      </w:r>
      <w:r w:rsidR="001160E6">
        <w:t xml:space="preserve">mit der Formel </w:t>
      </w:r>
      <w:r w:rsidR="000046E7">
        <w:t xml:space="preserve">errechnete </w:t>
      </w:r>
      <w:r w:rsidR="001160E6">
        <w:rPr>
          <w:rFonts w:cs="Times New Roman"/>
          <w:i/>
        </w:rPr>
        <w:t>w</w:t>
      </w:r>
      <w:r w:rsidR="001160E6">
        <w:rPr>
          <w:rFonts w:cs="Times New Roman"/>
          <w:i/>
          <w:vertAlign w:val="subscript"/>
        </w:rPr>
        <w:t>z</w:t>
      </w:r>
      <w:r w:rsidR="001160E6">
        <w:t xml:space="preserve"> </w:t>
      </w:r>
      <w:r w:rsidR="000046E7">
        <w:t>korrekt.</w:t>
      </w:r>
      <w:bookmarkEnd w:id="263"/>
    </w:p>
    <w:p w:rsidR="00D2554C" w:rsidRDefault="00D2554C">
      <w:pPr>
        <w:pStyle w:val="Titel3"/>
      </w:pPr>
      <w:bookmarkStart w:id="264" w:name="_Ref225319033"/>
      <w:bookmarkStart w:id="265" w:name="_Ref254084330"/>
      <w:bookmarkStart w:id="266" w:name="_Toc325456751"/>
      <w:bookmarkStart w:id="267" w:name="Auslesen"/>
      <w:r>
        <w:t xml:space="preserve">Die Funktion </w:t>
      </w:r>
      <w:bookmarkEnd w:id="264"/>
      <w:r w:rsidR="00752282">
        <w:t>Merkmalsregeln</w:t>
      </w:r>
      <w:r w:rsidR="00EB6978">
        <w:t>_auslesen</w:t>
      </w:r>
      <w:bookmarkEnd w:id="265"/>
      <w:bookmarkEnd w:id="266"/>
    </w:p>
    <w:p w:rsidR="00D2554C" w:rsidRDefault="005D7996" w:rsidP="003359E6">
      <w:pPr>
        <w:pStyle w:val="Text"/>
        <w:ind w:firstLine="0"/>
      </w:pPr>
      <w:r>
        <w:fldChar w:fldCharType="begin"/>
      </w:r>
      <w:r w:rsidR="00DB644C">
        <w:instrText xml:space="preserve"> XE "Auslesen von Merkmalsregeln:</w:instrText>
      </w:r>
      <w:r w:rsidR="00DB644C" w:rsidRPr="00DB644C">
        <w:rPr>
          <w:i/>
        </w:rPr>
        <w:instrText>Funktion</w:instrText>
      </w:r>
      <w:r w:rsidR="00DB644C">
        <w:instrText xml:space="preserve">" \r "Auslesen" </w:instrText>
      </w:r>
      <w:r>
        <w:fldChar w:fldCharType="end"/>
      </w:r>
      <w:r w:rsidR="00D2554C">
        <w:t xml:space="preserve">Die Funktion </w:t>
      </w:r>
      <w:r w:rsidR="00B53AFD">
        <w:rPr>
          <w:i/>
        </w:rPr>
        <w:t>Merkmalsregeln_auslesen</w:t>
      </w:r>
      <w:r w:rsidR="00D2554C">
        <w:t xml:space="preserve"> wird durch </w:t>
      </w:r>
      <w:r w:rsidR="00B53AFD">
        <w:t xml:space="preserve">die Funktion </w:t>
      </w:r>
      <w:r w:rsidR="001500F6">
        <w:rPr>
          <w:i/>
        </w:rPr>
        <w:t>Stil_wahr</w:t>
      </w:r>
      <w:r w:rsidR="001068E5">
        <w:rPr>
          <w:i/>
        </w:rPr>
        <w:softHyphen/>
      </w:r>
      <w:r w:rsidR="001500F6">
        <w:rPr>
          <w:i/>
        </w:rPr>
        <w:t>nehmen</w:t>
      </w:r>
      <w:r w:rsidR="00B53AFD">
        <w:t xml:space="preserve"> aufgerufen (vgl. Abschnitt </w:t>
      </w:r>
      <w:r>
        <w:fldChar w:fldCharType="begin"/>
      </w:r>
      <w:r w:rsidR="00B53AFD">
        <w:instrText xml:space="preserve"> REF _Ref261443737 \r \h </w:instrText>
      </w:r>
      <w:r>
        <w:fldChar w:fldCharType="separate"/>
      </w:r>
      <w:r w:rsidR="001231D3">
        <w:t>7.3.2</w:t>
      </w:r>
      <w:r>
        <w:fldChar w:fldCharType="end"/>
      </w:r>
      <w:r w:rsidR="00B53AFD">
        <w:t xml:space="preserve">). </w:t>
      </w:r>
      <w:r w:rsidR="00D2554C">
        <w:t xml:space="preserve">Die Funktion erhält als </w:t>
      </w:r>
      <w:r w:rsidR="00641F54">
        <w:t>Parameter</w:t>
      </w:r>
      <w:r w:rsidR="00D2554C">
        <w:t xml:space="preserve"> nur eine konkrete Realisierung </w:t>
      </w:r>
      <w:r w:rsidR="00D2554C">
        <w:rPr>
          <w:i/>
          <w:iCs/>
        </w:rPr>
        <w:t>R</w:t>
      </w:r>
      <w:r w:rsidR="00D2554C">
        <w:t xml:space="preserve"> (einen vermuteten Stilträger)</w:t>
      </w:r>
      <w:r w:rsidR="00641F54">
        <w:t xml:space="preserve"> sowie das Schema </w:t>
      </w:r>
      <w:r w:rsidR="00641F54">
        <w:rPr>
          <w:i/>
          <w:iCs/>
        </w:rPr>
        <w:t>S*</w:t>
      </w:r>
      <w:r w:rsidR="00641F54">
        <w:t>, das für diese Realisierung festgestellt wurde.</w:t>
      </w:r>
      <w:r w:rsidR="00D2554C">
        <w:t xml:space="preserve"> Als Rückgabewert liefert sie eine Menge </w:t>
      </w:r>
      <w:r w:rsidR="00D2554C">
        <w:rPr>
          <w:i/>
          <w:iCs/>
        </w:rPr>
        <w:t>B</w:t>
      </w:r>
      <w:r w:rsidR="00D2554C">
        <w:t xml:space="preserve"> von </w:t>
      </w:r>
      <w:r w:rsidR="00765E66">
        <w:t>Merkmalsregel</w:t>
      </w:r>
      <w:r w:rsidR="00D2554C">
        <w:t>n.</w:t>
      </w:r>
    </w:p>
    <w:p w:rsidR="00D2554C" w:rsidRDefault="0076532C">
      <w:pPr>
        <w:pStyle w:val="Text"/>
      </w:pPr>
      <w:r>
        <w:t xml:space="preserve">Die Funktion </w:t>
      </w:r>
      <w:r w:rsidR="00B04164">
        <w:t xml:space="preserve">rekonstruiert </w:t>
      </w:r>
      <w:r w:rsidR="00D2554C">
        <w:t xml:space="preserve">zunächst für jede Realisierungsstelle </w:t>
      </w:r>
      <w:r w:rsidR="00B04164">
        <w:t>die Alter</w:t>
      </w:r>
      <w:r w:rsidR="00A3018E">
        <w:softHyphen/>
      </w:r>
      <w:r w:rsidR="00B04164">
        <w:t xml:space="preserve">nativenbedingungen, die dort vermutlich gegolten haben, und bildet mit ihrer Hilfe eine </w:t>
      </w:r>
      <w:r w:rsidR="00721558">
        <w:t>Alter</w:t>
      </w:r>
      <w:r w:rsidR="00721558">
        <w:softHyphen/>
        <w:t>nativen</w:t>
      </w:r>
      <w:r w:rsidR="00721558">
        <w:softHyphen/>
        <w:t>klasse</w:t>
      </w:r>
      <w:r w:rsidR="00B04164">
        <w:t>.</w:t>
      </w:r>
      <w:r w:rsidR="00D2554C">
        <w:t xml:space="preserve"> </w:t>
      </w:r>
      <w:r w:rsidR="00B04164">
        <w:t>Sie bildet zugleich für jede Realisierungsstelle</w:t>
      </w:r>
      <w:r w:rsidR="003A4A7A">
        <w:t xml:space="preserve">, ausgehend von den </w:t>
      </w:r>
      <w:r w:rsidR="00B04164">
        <w:t>angenommenen Alternativenbedingungen</w:t>
      </w:r>
      <w:r w:rsidR="003A4A7A">
        <w:t>,</w:t>
      </w:r>
      <w:r w:rsidR="00B04164">
        <w:t xml:space="preserve"> alle möglichen Kombinationen aus </w:t>
      </w:r>
      <w:r w:rsidR="003A4A7A">
        <w:t xml:space="preserve">den </w:t>
      </w:r>
      <w:r w:rsidR="00B04164">
        <w:t xml:space="preserve">Schemaort-Bedingungen und </w:t>
      </w:r>
      <w:r w:rsidR="003A4A7A">
        <w:t>einem Element der P</w:t>
      </w:r>
      <w:r w:rsidR="003A4A7A">
        <w:t>o</w:t>
      </w:r>
      <w:r w:rsidR="003A4A7A">
        <w:t>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rsidR="003A4A7A">
        <w:t xml:space="preserve"> der </w:t>
      </w:r>
      <w:r w:rsidR="00B04164">
        <w:t xml:space="preserve">Zusatzbedingungen und speichert diese in die </w:t>
      </w:r>
      <w:r w:rsidR="00D2554C">
        <w:t xml:space="preserve">Menge </w:t>
      </w:r>
      <w:r w:rsidR="00D2554C">
        <w:rPr>
          <w:i/>
          <w:iCs/>
        </w:rPr>
        <w:t>P</w:t>
      </w:r>
      <w:r w:rsidR="00D2554C">
        <w:t xml:space="preserve">. Ebenso wird die Potenzmenge der Eigenschaftsmengen jedes Elements der Realisierung gebildet und diese Mengen werden miteinander vereinigt zur Menge </w:t>
      </w:r>
      <w:r w:rsidR="00D2554C">
        <w:rPr>
          <w:i/>
          <w:iCs/>
        </w:rPr>
        <w:t>Q</w:t>
      </w:r>
      <w:r w:rsidR="00D2554C">
        <w:t xml:space="preserve">. </w:t>
      </w:r>
      <w:r w:rsidR="003A4A7A">
        <w:rPr>
          <w:i/>
          <w:iCs/>
        </w:rPr>
        <w:t>P</w:t>
      </w:r>
      <w:r w:rsidR="003A4A7A">
        <w:t xml:space="preserve"> enthält somit alle an Elementen von </w:t>
      </w:r>
      <w:r w:rsidR="003A4A7A" w:rsidRPr="003A4A7A">
        <w:rPr>
          <w:i/>
        </w:rPr>
        <w:t>R</w:t>
      </w:r>
      <w:r w:rsidR="003A4A7A">
        <w:t xml:space="preserve"> vorkommenden Schemaort-Bedingungen (jeweils mit und ohne Zusatzbedingungen), </w:t>
      </w:r>
      <w:r w:rsidR="003A4A7A">
        <w:rPr>
          <w:i/>
          <w:iCs/>
        </w:rPr>
        <w:t>Q</w:t>
      </w:r>
      <w:r w:rsidR="003A4A7A">
        <w:t xml:space="preserve"> enthält alle an Elementen von </w:t>
      </w:r>
      <w:r w:rsidR="003A4A7A" w:rsidRPr="003A4A7A">
        <w:rPr>
          <w:i/>
        </w:rPr>
        <w:t>R</w:t>
      </w:r>
      <w:r w:rsidR="003A4A7A">
        <w:t xml:space="preserve"> vorko</w:t>
      </w:r>
      <w:r w:rsidR="003A4A7A">
        <w:t>m</w:t>
      </w:r>
      <w:r w:rsidR="003A4A7A">
        <w:t xml:space="preserve">menden Eigenschaftskombinationen. </w:t>
      </w:r>
      <w:r w:rsidR="00D2554C">
        <w:t xml:space="preserve">Jedes Element von </w:t>
      </w:r>
      <w:r w:rsidR="00D2554C">
        <w:rPr>
          <w:i/>
          <w:iCs/>
        </w:rPr>
        <w:t>P</w:t>
      </w:r>
      <w:r w:rsidR="00D2554C">
        <w:t xml:space="preserve"> kommt als </w:t>
      </w:r>
      <w:r w:rsidR="005F647E">
        <w:t>Anwe</w:t>
      </w:r>
      <w:r w:rsidR="005F647E">
        <w:t>n</w:t>
      </w:r>
      <w:r w:rsidR="005F647E">
        <w:t>dungsbedingung</w:t>
      </w:r>
      <w:r w:rsidR="00D2554C">
        <w:t xml:space="preserve">en </w:t>
      </w:r>
      <w:r w:rsidR="00D2554C">
        <w:rPr>
          <w:i/>
          <w:iCs/>
        </w:rPr>
        <w:t>U</w:t>
      </w:r>
      <w:r w:rsidR="00D2554C">
        <w:t xml:space="preserve">, jedes Element von </w:t>
      </w:r>
      <w:r w:rsidR="00D2554C">
        <w:rPr>
          <w:i/>
          <w:iCs/>
        </w:rPr>
        <w:t>Q</w:t>
      </w:r>
      <w:r w:rsidR="00D2554C">
        <w:t xml:space="preserve"> als verlangte Eigenschaften </w:t>
      </w:r>
      <w:r w:rsidR="00D2554C">
        <w:rPr>
          <w:i/>
          <w:iCs/>
        </w:rPr>
        <w:t>V</w:t>
      </w:r>
      <w:r w:rsidR="00D2554C">
        <w:t xml:space="preserve"> einer </w:t>
      </w:r>
      <w:r w:rsidR="00765E66">
        <w:t>Merkmalsregel</w:t>
      </w:r>
      <w:r w:rsidR="00D2554C">
        <w:t xml:space="preserve"> in Frage. Dementsprechend werden nun alle Kombinationen von Elementen aus </w:t>
      </w:r>
      <w:r w:rsidR="00D2554C">
        <w:rPr>
          <w:i/>
          <w:iCs/>
        </w:rPr>
        <w:t>P</w:t>
      </w:r>
      <w:r w:rsidR="00D2554C">
        <w:t xml:space="preserve"> und </w:t>
      </w:r>
      <w:r w:rsidR="00D2554C">
        <w:rPr>
          <w:i/>
          <w:iCs/>
        </w:rPr>
        <w:t>Q</w:t>
      </w:r>
      <w:r w:rsidR="00D2554C">
        <w:t xml:space="preserve"> durchgegangen.</w:t>
      </w:r>
    </w:p>
    <w:p w:rsidR="00D2554C" w:rsidRDefault="00D2554C">
      <w:pPr>
        <w:pStyle w:val="Text"/>
      </w:pPr>
      <w:r>
        <w:t xml:space="preserve">Für jede dieser Elementkombinationen werden nun alle Realisierungsstellen durchgegangen. Sind die </w:t>
      </w:r>
      <w:r w:rsidR="005F647E">
        <w:t>Anwendungsbedingung</w:t>
      </w:r>
      <w:r>
        <w:t xml:space="preserve">en </w:t>
      </w:r>
      <w:r>
        <w:rPr>
          <w:i/>
          <w:iCs/>
        </w:rPr>
        <w:t>U</w:t>
      </w:r>
      <w:r>
        <w:t xml:space="preserve"> erfüllt, wird geprüft, ob das zur entsprechenden </w:t>
      </w:r>
      <w:r w:rsidR="00721558">
        <w:t>Alter</w:t>
      </w:r>
      <w:r w:rsidR="00721558">
        <w:softHyphen/>
        <w:t>nativen</w:t>
      </w:r>
      <w:r w:rsidR="00721558">
        <w:softHyphen/>
        <w:t>klasse</w:t>
      </w:r>
      <w:r>
        <w:t xml:space="preserve"> </w:t>
      </w:r>
      <w:r>
        <w:rPr>
          <w:rFonts w:cs="Times New Roman"/>
          <w:i/>
        </w:rPr>
        <w:t>A</w:t>
      </w:r>
      <w:r>
        <w:rPr>
          <w:rFonts w:cs="Times New Roman"/>
          <w:i/>
          <w:vertAlign w:val="subscript"/>
        </w:rPr>
        <w:t>k</w:t>
      </w:r>
      <w:r>
        <w:t xml:space="preserve"> gehörige Element </w:t>
      </w:r>
      <w:r w:rsidR="0076532C">
        <w:rPr>
          <w:rFonts w:cs="Times New Roman"/>
          <w:i/>
        </w:rPr>
        <w:t>R</w:t>
      </w:r>
      <w:r>
        <w:rPr>
          <w:rFonts w:cs="Times New Roman"/>
          <w:i/>
          <w:vertAlign w:val="subscript"/>
        </w:rPr>
        <w:t>k</w:t>
      </w:r>
      <w:r>
        <w:t xml:space="preserve"> </w:t>
      </w:r>
      <w:r w:rsidR="0076532C">
        <w:t>der Realisi</w:t>
      </w:r>
      <w:r w:rsidR="0076532C">
        <w:t>e</w:t>
      </w:r>
      <w:r w:rsidR="0076532C">
        <w:t xml:space="preserve">rung </w:t>
      </w:r>
      <w:r>
        <w:t xml:space="preserve">die verlangten Eigenschaften besitzt. Ist dies der Fall, </w:t>
      </w:r>
      <w:r w:rsidR="00D17813">
        <w:t>gilt die Regel als a</w:t>
      </w:r>
      <w:r w:rsidR="00D17813">
        <w:t>n</w:t>
      </w:r>
      <w:r w:rsidR="00D17813">
        <w:t xml:space="preserve">gewandt (es wird allerdings noch die zufällige Wahrscheinlichkeit berücksichtigt, vgl. Abschnitt </w:t>
      </w:r>
      <w:r w:rsidR="005D7996">
        <w:fldChar w:fldCharType="begin"/>
      </w:r>
      <w:r w:rsidR="00D17813">
        <w:instrText xml:space="preserve"> REF _Ref213128730 \r \h </w:instrText>
      </w:r>
      <w:r w:rsidR="005D7996">
        <w:fldChar w:fldCharType="separate"/>
      </w:r>
      <w:r w:rsidR="001231D3">
        <w:t>5.5.2</w:t>
      </w:r>
      <w:r w:rsidR="005D7996">
        <w:fldChar w:fldCharType="end"/>
      </w:r>
      <w:r w:rsidR="00D17813">
        <w:t>; daher wird zunächst nur ein Zähler für die scheinbaren A</w:t>
      </w:r>
      <w:r w:rsidR="00D17813">
        <w:t>n</w:t>
      </w:r>
      <w:r w:rsidR="00D17813">
        <w:t xml:space="preserve">wendungen </w:t>
      </w:r>
      <w:r w:rsidR="00D17813">
        <w:rPr>
          <w:rFonts w:cs="Times New Roman"/>
          <w:i/>
        </w:rPr>
        <w:t>m</w:t>
      </w:r>
      <w:r w:rsidR="00D17813">
        <w:rPr>
          <w:rFonts w:cs="Times New Roman"/>
          <w:i/>
          <w:vertAlign w:val="subscript"/>
        </w:rPr>
        <w:t>s</w:t>
      </w:r>
      <w:r w:rsidR="00D17813">
        <w:t xml:space="preserve"> um eins erhöht). Treffer Anwendungen vorgenommen, so dass wird der Zähler für die scheinbaren </w:t>
      </w:r>
      <w:r>
        <w:t xml:space="preserve">gilt die Regel als </w:t>
      </w:r>
      <w:r w:rsidR="00D30558">
        <w:t>angewandt</w:t>
      </w:r>
      <w:r>
        <w:t xml:space="preserve">. Danach wird </w:t>
      </w:r>
      <w:r>
        <w:lastRenderedPageBreak/>
        <w:t xml:space="preserve">geprüft, ob ein Element der </w:t>
      </w:r>
      <w:r w:rsidR="00721558">
        <w:t>Alter</w:t>
      </w:r>
      <w:r w:rsidR="00721558">
        <w:softHyphen/>
        <w:t>nativen</w:t>
      </w:r>
      <w:r w:rsidR="00721558">
        <w:softHyphen/>
        <w:t>klasse</w:t>
      </w:r>
      <w:r>
        <w:t xml:space="preserve"> die </w:t>
      </w:r>
      <w:r w:rsidR="005F647E">
        <w:t>Anwendungsbedingung</w:t>
      </w:r>
      <w:r>
        <w:t xml:space="preserve">en </w:t>
      </w:r>
      <w:r>
        <w:rPr>
          <w:i/>
          <w:iCs/>
        </w:rPr>
        <w:t>U</w:t>
      </w:r>
      <w:r>
        <w:t xml:space="preserve"> erfüllt. Ist dies der Fall, konnte die Regel angewandt werden: der Zähler </w:t>
      </w:r>
      <w:r>
        <w:rPr>
          <w:i/>
          <w:iCs/>
        </w:rPr>
        <w:t>n</w:t>
      </w:r>
      <w:r>
        <w:t xml:space="preserve"> </w:t>
      </w:r>
      <w:r w:rsidR="00D17813">
        <w:t xml:space="preserve">für die Anwendungsmöglichkeiten </w:t>
      </w:r>
      <w:r>
        <w:t>wird um eins erhöht.</w:t>
      </w:r>
    </w:p>
    <w:p w:rsidR="00D2554C" w:rsidRDefault="00D2554C">
      <w:pPr>
        <w:pStyle w:val="Text"/>
        <w:rPr>
          <w:iCs/>
        </w:rPr>
      </w:pPr>
      <w:r>
        <w:t xml:space="preserve">Sofern die </w:t>
      </w:r>
      <w:r w:rsidR="00D17813">
        <w:t xml:space="preserve">errechnete Anwendungswahscheinlichkeit </w:t>
      </w:r>
      <w:r w:rsidR="00D17813" w:rsidRPr="00D17813">
        <w:rPr>
          <w:i/>
        </w:rPr>
        <w:t>w</w:t>
      </w:r>
      <w:r w:rsidR="00D17813">
        <w:t xml:space="preserve"> &gt; 0</w:t>
      </w:r>
      <w:r>
        <w:t xml:space="preserve"> </w:t>
      </w:r>
      <w:r w:rsidR="00D17813">
        <w:t>ist</w:t>
      </w:r>
      <w:r>
        <w:t xml:space="preserve">, wird die </w:t>
      </w:r>
      <w:r w:rsidR="00765E66">
        <w:t>Merkmalsregel</w:t>
      </w:r>
      <w:r>
        <w:t xml:space="preserve"> angenommen: </w:t>
      </w:r>
      <w:r>
        <w:rPr>
          <w:i/>
          <w:iCs/>
        </w:rPr>
        <w:t>U</w:t>
      </w:r>
      <w:r>
        <w:t xml:space="preserve">, </w:t>
      </w:r>
      <w:r>
        <w:rPr>
          <w:i/>
          <w:iCs/>
        </w:rPr>
        <w:t>V</w:t>
      </w:r>
      <w:r>
        <w:t xml:space="preserve"> und </w:t>
      </w:r>
      <w:r>
        <w:rPr>
          <w:i/>
          <w:iCs/>
        </w:rPr>
        <w:t>w</w:t>
      </w:r>
      <w:r>
        <w:t xml:space="preserve"> </w:t>
      </w:r>
      <w:r>
        <w:rPr>
          <w:iCs/>
        </w:rPr>
        <w:t>werden als Variablen der entspreche</w:t>
      </w:r>
      <w:r>
        <w:rPr>
          <w:iCs/>
        </w:rPr>
        <w:t>n</w:t>
      </w:r>
      <w:r>
        <w:rPr>
          <w:iCs/>
        </w:rPr>
        <w:t xml:space="preserve">den </w:t>
      </w:r>
      <w:r w:rsidR="00765E66">
        <w:rPr>
          <w:iCs/>
        </w:rPr>
        <w:t>Merkmalsregel</w:t>
      </w:r>
      <w:r>
        <w:rPr>
          <w:iCs/>
        </w:rPr>
        <w:t xml:space="preserve"> gespeichert, die mit Hilfe des Zählers </w:t>
      </w:r>
      <w:r>
        <w:rPr>
          <w:i/>
        </w:rPr>
        <w:t>p</w:t>
      </w:r>
      <w:r>
        <w:rPr>
          <w:iCs/>
        </w:rPr>
        <w:t xml:space="preserve"> einen Index enthält.</w:t>
      </w:r>
    </w:p>
    <w:p w:rsidR="00D2554C" w:rsidRDefault="00D2554C">
      <w:pPr>
        <w:pStyle w:val="Text"/>
      </w:pPr>
      <w:r>
        <w:rPr>
          <w:iCs/>
        </w:rPr>
        <w:t xml:space="preserve">Nachdem dies für alle </w:t>
      </w:r>
      <w:r>
        <w:t xml:space="preserve">Kombinationen von Elementen aus </w:t>
      </w:r>
      <w:r>
        <w:rPr>
          <w:i/>
          <w:iCs/>
        </w:rPr>
        <w:t>P</w:t>
      </w:r>
      <w:r>
        <w:t xml:space="preserve"> und </w:t>
      </w:r>
      <w:r>
        <w:rPr>
          <w:i/>
          <w:iCs/>
        </w:rPr>
        <w:t>Q</w:t>
      </w:r>
      <w:r>
        <w:t xml:space="preserve"> durc</w:t>
      </w:r>
      <w:r>
        <w:t>h</w:t>
      </w:r>
      <w:r>
        <w:t xml:space="preserve">geführt wurde, wird die Funktion </w:t>
      </w:r>
      <w:r w:rsidR="00EC3E7E" w:rsidRPr="00565BCE">
        <w:rPr>
          <w:i/>
        </w:rPr>
        <w:t>Di</w:t>
      </w:r>
      <w:r w:rsidR="0000393A" w:rsidRPr="00565BCE">
        <w:rPr>
          <w:i/>
        </w:rPr>
        <w:t>sambiguierung</w:t>
      </w:r>
      <w:r w:rsidR="005D7996" w:rsidRPr="002B57EB">
        <w:fldChar w:fldCharType="begin"/>
      </w:r>
      <w:r w:rsidR="002B57EB" w:rsidRPr="002B57EB">
        <w:instrText xml:space="preserve"> XE "Disambiguierung" </w:instrText>
      </w:r>
      <w:r w:rsidR="005D7996" w:rsidRPr="002B57EB">
        <w:fldChar w:fldCharType="end"/>
      </w:r>
      <w:r w:rsidRPr="002B57EB">
        <w:t xml:space="preserve"> a</w:t>
      </w:r>
      <w:r>
        <w:t>ufgerufen</w:t>
      </w:r>
      <w:r w:rsidR="0036218B">
        <w:t xml:space="preserve"> (vgl. Abschnitt </w:t>
      </w:r>
      <w:r w:rsidR="005D7996">
        <w:fldChar w:fldCharType="begin"/>
      </w:r>
      <w:r w:rsidR="0036218B">
        <w:instrText xml:space="preserve"> REF _Ref213118759 \r \h </w:instrText>
      </w:r>
      <w:r w:rsidR="005D7996">
        <w:fldChar w:fldCharType="separate"/>
      </w:r>
      <w:r w:rsidR="001231D3">
        <w:t>5.5.4</w:t>
      </w:r>
      <w:r w:rsidR="005D7996">
        <w:fldChar w:fldCharType="end"/>
      </w:r>
      <w:r w:rsidR="0036218B">
        <w:t>)</w:t>
      </w:r>
      <w:r>
        <w:t xml:space="preserve">, die die Aufgabe hat, die bislang noch zu große Menge an </w:t>
      </w:r>
      <w:r w:rsidR="00765E66">
        <w:t>Merkmalsregel</w:t>
      </w:r>
      <w:r>
        <w:t xml:space="preserve">n zu reduzieren, indem von spezielleren und allgemeineren </w:t>
      </w:r>
      <w:r w:rsidR="00765E66">
        <w:t>Merkmalsregel</w:t>
      </w:r>
      <w:r>
        <w:t>n ähnl</w:t>
      </w:r>
      <w:r>
        <w:t>i</w:t>
      </w:r>
      <w:r>
        <w:t xml:space="preserve">cher Wirkung jeweils nur eine genommen wird. </w:t>
      </w:r>
      <w:r w:rsidR="00D17813">
        <w:t xml:space="preserve">Die disambiguierte Menge </w:t>
      </w:r>
      <w:r>
        <w:rPr>
          <w:i/>
          <w:iCs/>
        </w:rPr>
        <w:t>B</w:t>
      </w:r>
      <w:r>
        <w:t xml:space="preserve"> wird zurückgegeben.</w:t>
      </w:r>
    </w:p>
    <w:p w:rsidR="00D2554C" w:rsidRDefault="00D2554C" w:rsidP="003359E6">
      <w:pPr>
        <w:pStyle w:val="Text"/>
        <w:keepNext/>
        <w:spacing w:before="360"/>
        <w:ind w:firstLine="0"/>
        <w:jc w:val="left"/>
      </w:pPr>
      <w:r>
        <w:t xml:space="preserve">function </w:t>
      </w:r>
      <w:r w:rsidR="00752282">
        <w:t>Merkmalsregeln</w:t>
      </w:r>
      <w:r w:rsidR="00EB6978">
        <w:t>_a</w:t>
      </w:r>
      <w:r w:rsidR="004B7C6C">
        <w:t xml:space="preserve">uslesen </w:t>
      </w:r>
      <w:r>
        <w:t>(</w:t>
      </w:r>
      <w:r>
        <w:rPr>
          <w:i/>
        </w:rPr>
        <w:t>R</w:t>
      </w:r>
      <w:r w:rsidR="00210430">
        <w:t xml:space="preserve">, </w:t>
      </w:r>
      <w:r w:rsidR="00210430">
        <w:rPr>
          <w:i/>
        </w:rPr>
        <w:t>S*</w:t>
      </w:r>
      <w:r w:rsidR="00210430">
        <w:t>)</w:t>
      </w:r>
    </w:p>
    <w:p w:rsidR="004A007D" w:rsidRDefault="004A007D" w:rsidP="008508ED">
      <w:pPr>
        <w:pStyle w:val="Text"/>
        <w:ind w:firstLine="0"/>
        <w:jc w:val="left"/>
        <w:rPr>
          <w:lang w:val="it-IT"/>
        </w:rPr>
      </w:pPr>
      <w:r>
        <w:rPr>
          <w:lang w:val="it-IT"/>
        </w:rPr>
        <w:t xml:space="preserve">   </w:t>
      </w:r>
      <w:r w:rsidRPr="00AB2377">
        <w:rPr>
          <w:i/>
        </w:rPr>
        <w:t>M</w:t>
      </w:r>
      <w:r>
        <w:rPr>
          <w:i/>
          <w:vertAlign w:val="subscript"/>
        </w:rPr>
        <w:t>Al</w:t>
      </w:r>
      <w:r w:rsidRPr="00AB2377">
        <w:rPr>
          <w:i/>
          <w:vertAlign w:val="subscript"/>
        </w:rPr>
        <w:t>t</w:t>
      </w:r>
      <w:r>
        <w:rPr>
          <w:lang w:val="it-IT"/>
        </w:rPr>
        <w:t xml:space="preserve"> := Möglichkeitsraum</w:t>
      </w:r>
      <w:r w:rsidR="005D7996">
        <w:rPr>
          <w:lang w:val="it-IT"/>
        </w:rPr>
        <w:fldChar w:fldCharType="begin"/>
      </w:r>
      <w:r w:rsidR="007A5993">
        <w:instrText xml:space="preserve"> XE "</w:instrText>
      </w:r>
      <w:r w:rsidR="007A5993" w:rsidRPr="007904ED">
        <w:instrText>Möglichkeitsraum</w:instrText>
      </w:r>
      <w:r w:rsidR="007A5993">
        <w:instrText xml:space="preserve">" </w:instrText>
      </w:r>
      <w:r w:rsidR="005D7996">
        <w:rPr>
          <w:lang w:val="it-IT"/>
        </w:rPr>
        <w:fldChar w:fldCharType="end"/>
      </w:r>
      <w:r>
        <w:rPr>
          <w:lang w:val="it-IT"/>
        </w:rPr>
        <w:t>_zusammenstellen ()</w:t>
      </w:r>
    </w:p>
    <w:p w:rsidR="00745719" w:rsidRPr="004D63E7" w:rsidRDefault="00D2554C" w:rsidP="008508ED">
      <w:pPr>
        <w:pStyle w:val="Text"/>
        <w:ind w:firstLine="0"/>
        <w:jc w:val="left"/>
      </w:pPr>
      <w:r>
        <w:t xml:space="preserve">   </w:t>
      </w:r>
      <w:r w:rsidRPr="004D63E7">
        <w:rPr>
          <w:i/>
          <w:iCs/>
        </w:rPr>
        <w:t>p</w:t>
      </w:r>
      <w:r w:rsidR="00881E8F" w:rsidRPr="004D63E7">
        <w:t xml:space="preserve"> := 0</w:t>
      </w:r>
    </w:p>
    <w:p w:rsidR="00745719" w:rsidRPr="006340B1" w:rsidRDefault="00530077" w:rsidP="008508ED">
      <w:pPr>
        <w:pStyle w:val="Text"/>
        <w:ind w:firstLine="0"/>
        <w:jc w:val="left"/>
        <w:rPr>
          <w:i/>
        </w:rPr>
      </w:pPr>
      <w:r w:rsidRPr="004D63E7">
        <w:t xml:space="preserve">   for </w:t>
      </w:r>
      <w:r w:rsidRPr="004D63E7">
        <w:rPr>
          <w:i/>
        </w:rPr>
        <w:t>k</w:t>
      </w:r>
      <w:r w:rsidRPr="004D63E7">
        <w:t xml:space="preserve"> := 1 to |</w:t>
      </w:r>
      <w:r w:rsidRPr="004D63E7">
        <w:rPr>
          <w:i/>
        </w:rPr>
        <w:t>R</w:t>
      </w:r>
      <w:r w:rsidRPr="004D63E7">
        <w:t>|</w:t>
      </w:r>
    </w:p>
    <w:p w:rsidR="00DA7E46" w:rsidRPr="004714AB" w:rsidRDefault="00DA7E46" w:rsidP="00A3549D">
      <w:pPr>
        <w:pStyle w:val="Text"/>
        <w:ind w:hanging="369"/>
        <w:jc w:val="left"/>
        <w:rPr>
          <w:lang w:val="en-US"/>
        </w:rPr>
      </w:pPr>
      <w:r w:rsidRPr="004932E6">
        <w:rPr>
          <w:sz w:val="16"/>
          <w:szCs w:val="16"/>
        </w:rPr>
        <w:t xml:space="preserve"> </w:t>
      </w:r>
      <w:r w:rsidRPr="004714AB">
        <w:rPr>
          <w:sz w:val="16"/>
          <w:szCs w:val="16"/>
          <w:lang w:val="en-US"/>
        </w:rPr>
        <w:t>5</w:t>
      </w:r>
      <w:r w:rsidRPr="004714AB">
        <w:rPr>
          <w:lang w:val="en-US"/>
        </w:rPr>
        <w:tab/>
      </w:r>
      <w:r w:rsidR="007D7D84" w:rsidRPr="004714AB">
        <w:rPr>
          <w:lang w:val="en-US"/>
        </w:rPr>
        <w:t xml:space="preserve">      </w:t>
      </w:r>
      <w:r w:rsidR="007D7D84" w:rsidRPr="004714AB">
        <w:rPr>
          <w:i/>
          <w:lang w:val="en-US"/>
        </w:rPr>
        <w:t>E</w:t>
      </w:r>
      <w:r w:rsidR="007D7D84" w:rsidRPr="004714AB">
        <w:rPr>
          <w:i/>
          <w:iCs/>
          <w:vertAlign w:val="subscript"/>
          <w:lang w:val="en-US"/>
        </w:rPr>
        <w:t>k</w:t>
      </w:r>
      <w:r w:rsidR="007D7D84" w:rsidRPr="004714AB">
        <w:rPr>
          <w:lang w:val="en-US"/>
        </w:rPr>
        <w:t xml:space="preserve"> := Eigenschaften </w:t>
      </w:r>
      <w:r w:rsidR="007D7D84" w:rsidRPr="004714AB">
        <w:rPr>
          <w:iCs/>
          <w:lang w:val="en-US"/>
        </w:rPr>
        <w:t>(</w:t>
      </w:r>
      <w:r w:rsidR="007D7D84" w:rsidRPr="004714AB">
        <w:rPr>
          <w:i/>
          <w:iCs/>
          <w:lang w:val="en-US"/>
        </w:rPr>
        <w:t>R</w:t>
      </w:r>
      <w:r w:rsidR="007D7D84" w:rsidRPr="004714AB">
        <w:rPr>
          <w:i/>
          <w:iCs/>
          <w:vertAlign w:val="subscript"/>
          <w:lang w:val="en-US"/>
        </w:rPr>
        <w:t>k</w:t>
      </w:r>
      <w:r w:rsidR="007D7D84" w:rsidRPr="004714AB">
        <w:rPr>
          <w:iCs/>
          <w:lang w:val="en-US"/>
        </w:rPr>
        <w:t>)</w:t>
      </w:r>
    </w:p>
    <w:p w:rsidR="007D7D84" w:rsidRPr="00623220" w:rsidRDefault="007D7D84" w:rsidP="008508ED">
      <w:pPr>
        <w:pStyle w:val="Text"/>
        <w:ind w:firstLine="0"/>
        <w:jc w:val="left"/>
        <w:rPr>
          <w:lang w:val="en-US"/>
        </w:rPr>
      </w:pPr>
      <w:r w:rsidRPr="004714AB">
        <w:rPr>
          <w:lang w:val="en-US"/>
        </w:rPr>
        <w:t xml:space="preserve">      </w:t>
      </w:r>
      <w:r w:rsidRPr="00623220">
        <w:rPr>
          <w:lang w:val="en-US"/>
        </w:rPr>
        <w:t xml:space="preserve">for </w:t>
      </w:r>
      <w:r w:rsidRPr="00623220">
        <w:rPr>
          <w:i/>
          <w:lang w:val="en-US"/>
        </w:rPr>
        <w:t>j</w:t>
      </w:r>
      <w:r w:rsidRPr="00623220">
        <w:rPr>
          <w:lang w:val="en-US"/>
        </w:rPr>
        <w:t xml:space="preserve"> := 1 to |</w:t>
      </w:r>
      <w:r w:rsidRPr="00623220">
        <w:rPr>
          <w:i/>
          <w:lang w:val="en-US"/>
        </w:rPr>
        <w:t>O</w:t>
      </w:r>
      <w:r w:rsidRPr="00623220">
        <w:rPr>
          <w:lang w:val="en-US"/>
        </w:rPr>
        <w:t>(</w:t>
      </w:r>
      <w:r w:rsidRPr="00623220">
        <w:rPr>
          <w:i/>
          <w:lang w:val="en-US"/>
        </w:rPr>
        <w:t>S*</w:t>
      </w:r>
      <w:r w:rsidRPr="00623220">
        <w:rPr>
          <w:lang w:val="en-US"/>
        </w:rPr>
        <w:t>)|</w:t>
      </w:r>
    </w:p>
    <w:p w:rsidR="006D7577" w:rsidRDefault="006D7577" w:rsidP="008508ED">
      <w:pPr>
        <w:pStyle w:val="Text"/>
        <w:ind w:firstLine="0"/>
        <w:jc w:val="left"/>
        <w:rPr>
          <w:i/>
          <w:iCs/>
          <w:vertAlign w:val="subscript"/>
          <w:lang w:val="en-US"/>
        </w:rPr>
      </w:pPr>
      <w:r w:rsidRPr="00623220">
        <w:rPr>
          <w:lang w:val="en-US"/>
        </w:rPr>
        <w:t xml:space="preserve">         </w:t>
      </w:r>
      <w:r w:rsidRPr="00785FF8">
        <w:rPr>
          <w:lang w:val="en-US"/>
        </w:rPr>
        <w:t xml:space="preserve">if </w:t>
      </w:r>
      <w:r w:rsidR="008D7F6D">
        <w:rPr>
          <w:i/>
          <w:lang w:val="en-US"/>
        </w:rPr>
        <w:t>Ob</w:t>
      </w:r>
      <w:r w:rsidR="008D7F6D" w:rsidRPr="00785FF8">
        <w:rPr>
          <w:lang w:val="en-US"/>
        </w:rPr>
        <w:t>(</w:t>
      </w:r>
      <w:r w:rsidRPr="00785FF8">
        <w:rPr>
          <w:i/>
          <w:lang w:val="en-US"/>
        </w:rPr>
        <w:t>O</w:t>
      </w:r>
      <w:r w:rsidR="00745719">
        <w:rPr>
          <w:i/>
          <w:iCs/>
          <w:vertAlign w:val="subscript"/>
          <w:lang w:val="en-US"/>
        </w:rPr>
        <w:t>j</w:t>
      </w:r>
      <w:r w:rsidRPr="00785FF8">
        <w:rPr>
          <w:lang w:val="en-US"/>
        </w:rPr>
        <w:t>(</w:t>
      </w:r>
      <w:r w:rsidRPr="00785FF8">
        <w:rPr>
          <w:i/>
          <w:lang w:val="en-US"/>
        </w:rPr>
        <w:t>S*</w:t>
      </w:r>
      <w:r w:rsidRPr="00785FF8">
        <w:rPr>
          <w:lang w:val="en-US"/>
        </w:rPr>
        <w:t>)</w:t>
      </w:r>
      <w:r w:rsidR="008D7F6D" w:rsidRPr="00785FF8">
        <w:rPr>
          <w:lang w:val="en-US"/>
        </w:rPr>
        <w:t>)</w:t>
      </w:r>
      <w:r w:rsidRPr="00785FF8">
        <w:rPr>
          <w:lang w:val="en-US"/>
        </w:rPr>
        <w:t xml:space="preserve"> </w:t>
      </w:r>
      <w:r w:rsidR="00F43C7F" w:rsidRPr="00E535E0">
        <w:rPr>
          <w:rFonts w:ascii="Cambria Math" w:eastAsia="Arial Unicode MS" w:hAnsi="Cambria Math" w:cs="Arial Unicode MS"/>
          <w:lang w:val="en-US"/>
        </w:rPr>
        <w:t>⊆</w:t>
      </w:r>
      <w:r w:rsidRPr="00785FF8">
        <w:rPr>
          <w:lang w:val="en-US"/>
        </w:rPr>
        <w:t xml:space="preserve"> </w:t>
      </w:r>
      <w:r w:rsidR="00745719" w:rsidRPr="00745719">
        <w:rPr>
          <w:i/>
          <w:lang w:val="en-US"/>
        </w:rPr>
        <w:t>E</w:t>
      </w:r>
      <w:r w:rsidR="00745719">
        <w:rPr>
          <w:i/>
          <w:iCs/>
          <w:vertAlign w:val="subscript"/>
          <w:lang w:val="en-US"/>
        </w:rPr>
        <w:t>k</w:t>
      </w:r>
    </w:p>
    <w:p w:rsidR="007D7D84" w:rsidRPr="005D3FCE" w:rsidRDefault="007D7D84" w:rsidP="008508ED">
      <w:pPr>
        <w:pStyle w:val="Text"/>
        <w:ind w:firstLine="0"/>
        <w:jc w:val="left"/>
        <w:rPr>
          <w:position w:val="-6"/>
          <w:lang w:val="en-US"/>
        </w:rPr>
      </w:pPr>
      <w:r>
        <w:rPr>
          <w:lang w:val="en-US"/>
        </w:rPr>
        <w:t xml:space="preserve">      </w:t>
      </w:r>
      <w:r w:rsidRPr="005D3FCE">
        <w:rPr>
          <w:lang w:val="en-US"/>
        </w:rPr>
        <w:t xml:space="preserve">      </w:t>
      </w:r>
      <w:r w:rsidRPr="005D3FCE">
        <w:rPr>
          <w:rFonts w:cs="Times New Roman"/>
          <w:i/>
          <w:lang w:val="en-US"/>
        </w:rPr>
        <w:t>Z</w:t>
      </w:r>
      <w:r w:rsidR="008D7F6D">
        <w:rPr>
          <w:rFonts w:cs="Times New Roman"/>
          <w:i/>
          <w:lang w:val="en-US"/>
        </w:rPr>
        <w:t>b</w:t>
      </w:r>
      <w:r w:rsidRPr="005D3FCE">
        <w:rPr>
          <w:rFonts w:cs="Times New Roman"/>
          <w:i/>
          <w:vertAlign w:val="subscript"/>
          <w:lang w:val="en-US"/>
        </w:rPr>
        <w:t>W</w:t>
      </w:r>
      <w:r w:rsidRPr="005D3FCE">
        <w:rPr>
          <w:lang w:val="en-US"/>
        </w:rPr>
        <w:t xml:space="preserve"> := </w:t>
      </w:r>
      <w:r w:rsidRPr="007F4805">
        <w:rPr>
          <w:position w:val="-6"/>
        </w:rPr>
        <w:object w:dxaOrig="260" w:dyaOrig="279">
          <v:shape id="_x0000_i1043" type="#_x0000_t75" style="width:14pt;height:13.6pt" o:ole="">
            <v:imagedata r:id="rId25" o:title=""/>
          </v:shape>
          <o:OLEObject Type="Embed" ProgID="Equation.3" ShapeID="_x0000_i1043" DrawAspect="Content" ObjectID="_1460983884" r:id="rId56"/>
        </w:object>
      </w:r>
    </w:p>
    <w:p w:rsidR="007D7D84" w:rsidRPr="002D67C1" w:rsidRDefault="007D7D84" w:rsidP="008508ED">
      <w:pPr>
        <w:pStyle w:val="Text"/>
        <w:ind w:firstLine="0"/>
        <w:jc w:val="left"/>
        <w:rPr>
          <w:lang w:val="en-US"/>
        </w:rPr>
      </w:pPr>
      <w:r>
        <w:rPr>
          <w:lang w:val="en-US"/>
        </w:rPr>
        <w:t xml:space="preserve">      </w:t>
      </w:r>
      <w:r w:rsidRPr="006008E9">
        <w:rPr>
          <w:lang w:val="en-US"/>
        </w:rPr>
        <w:t xml:space="preserve">      for </w:t>
      </w:r>
      <w:r w:rsidR="00324654">
        <w:rPr>
          <w:i/>
          <w:iCs/>
          <w:lang w:val="en-US"/>
        </w:rPr>
        <w:t>h</w:t>
      </w:r>
      <w:r w:rsidRPr="006008E9">
        <w:rPr>
          <w:lang w:val="en-US"/>
        </w:rPr>
        <w:t xml:space="preserve"> := 1 to Auswahl ({0, …, |</w:t>
      </w:r>
      <w:r w:rsidRPr="00785FF8">
        <w:rPr>
          <w:i/>
          <w:lang w:val="en-US"/>
        </w:rPr>
        <w:t>Z</w:t>
      </w:r>
      <w:r w:rsidR="008D7F6D">
        <w:rPr>
          <w:i/>
          <w:lang w:val="en-US"/>
        </w:rPr>
        <w:t>b</w:t>
      </w:r>
      <w:r w:rsidR="008D7F6D" w:rsidRPr="00785FF8">
        <w:rPr>
          <w:lang w:val="en-US"/>
        </w:rPr>
        <w:t>(</w:t>
      </w:r>
      <w:r w:rsidR="008D7F6D">
        <w:rPr>
          <w:i/>
          <w:lang w:val="en-US"/>
        </w:rPr>
        <w:t>O</w:t>
      </w:r>
      <w:r w:rsidRPr="00785FF8">
        <w:rPr>
          <w:i/>
          <w:vertAlign w:val="subscript"/>
          <w:lang w:val="en-US"/>
        </w:rPr>
        <w:t>j</w:t>
      </w:r>
      <w:r w:rsidRPr="00785FF8">
        <w:rPr>
          <w:lang w:val="en-US"/>
        </w:rPr>
        <w:t>(</w:t>
      </w:r>
      <w:r w:rsidRPr="00785FF8">
        <w:rPr>
          <w:i/>
          <w:lang w:val="en-US"/>
        </w:rPr>
        <w:t>S*</w:t>
      </w:r>
      <w:r w:rsidRPr="00785FF8">
        <w:rPr>
          <w:lang w:val="en-US"/>
        </w:rPr>
        <w:t>)</w:t>
      </w:r>
      <w:r w:rsidR="008D7F6D" w:rsidRPr="00785FF8">
        <w:rPr>
          <w:lang w:val="en-US"/>
        </w:rPr>
        <w:t>)</w:t>
      </w:r>
      <w:r w:rsidRPr="00785FF8">
        <w:rPr>
          <w:lang w:val="en-US"/>
        </w:rPr>
        <w:t xml:space="preserve"> </w:t>
      </w:r>
      <w:r w:rsidR="00182FB7" w:rsidRPr="00182FB7">
        <w:rPr>
          <w:rFonts w:ascii="Cambria Math" w:eastAsia="Arial Unicode MS" w:hAnsi="Cambria Math" w:cs="Arial Unicode MS"/>
          <w:lang w:val="en-US"/>
        </w:rPr>
        <w:t>∩</w:t>
      </w:r>
      <w:r>
        <w:rPr>
          <w:lang w:val="en-US"/>
        </w:rPr>
        <w:t xml:space="preserve"> </w:t>
      </w:r>
      <w:r w:rsidRPr="00745719">
        <w:rPr>
          <w:i/>
          <w:lang w:val="en-US"/>
        </w:rPr>
        <w:t>E</w:t>
      </w:r>
      <w:r>
        <w:rPr>
          <w:i/>
          <w:iCs/>
          <w:vertAlign w:val="subscript"/>
          <w:lang w:val="en-US"/>
        </w:rPr>
        <w:t>k</w:t>
      </w:r>
      <w:r w:rsidRPr="006008E9">
        <w:rPr>
          <w:lang w:val="en-US"/>
        </w:rPr>
        <w:t>|})</w:t>
      </w:r>
    </w:p>
    <w:p w:rsidR="007D7D84" w:rsidRPr="008D7F6D" w:rsidRDefault="007D7D84" w:rsidP="00A3549D">
      <w:pPr>
        <w:pStyle w:val="Text"/>
        <w:ind w:hanging="369"/>
        <w:jc w:val="left"/>
        <w:rPr>
          <w:lang w:val="en-US"/>
        </w:rPr>
      </w:pPr>
      <w:r w:rsidRPr="004932E6">
        <w:rPr>
          <w:sz w:val="16"/>
          <w:szCs w:val="16"/>
          <w:lang w:val="en-US"/>
        </w:rPr>
        <w:t>10</w:t>
      </w:r>
      <w:r w:rsidRPr="008D7F6D">
        <w:rPr>
          <w:lang w:val="en-US"/>
        </w:rPr>
        <w:tab/>
      </w:r>
      <w:r w:rsidR="00A64108" w:rsidRPr="008D7F6D">
        <w:rPr>
          <w:lang w:val="en-US"/>
        </w:rPr>
        <w:t xml:space="preserve">            </w:t>
      </w:r>
      <w:r w:rsidR="00A64108">
        <w:rPr>
          <w:lang w:val="en-US"/>
        </w:rPr>
        <w:t xml:space="preserve">   </w:t>
      </w:r>
      <w:r w:rsidRPr="008D7F6D">
        <w:rPr>
          <w:rFonts w:cs="Times New Roman"/>
          <w:i/>
          <w:lang w:val="en-US"/>
        </w:rPr>
        <w:t>Z</w:t>
      </w:r>
      <w:r w:rsidR="00E82E85">
        <w:rPr>
          <w:rFonts w:cs="Times New Roman"/>
          <w:i/>
          <w:lang w:val="en-US"/>
        </w:rPr>
        <w:t>b</w:t>
      </w:r>
      <w:r w:rsidRPr="008D7F6D">
        <w:rPr>
          <w:rFonts w:cs="Times New Roman"/>
          <w:i/>
          <w:vertAlign w:val="subscript"/>
          <w:lang w:val="en-US"/>
        </w:rPr>
        <w:t>W</w:t>
      </w:r>
      <w:r w:rsidRPr="008D7F6D">
        <w:rPr>
          <w:lang w:val="en-US"/>
        </w:rPr>
        <w:t xml:space="preserve"> := </w:t>
      </w:r>
      <w:r w:rsidRPr="008D7F6D">
        <w:rPr>
          <w:rFonts w:cs="Times New Roman"/>
          <w:i/>
          <w:lang w:val="en-US"/>
        </w:rPr>
        <w:t>Z</w:t>
      </w:r>
      <w:r w:rsidR="00E82E85">
        <w:rPr>
          <w:rFonts w:cs="Times New Roman"/>
          <w:i/>
          <w:lang w:val="en-US"/>
        </w:rPr>
        <w:t>b</w:t>
      </w:r>
      <w:r w:rsidRPr="008D7F6D">
        <w:rPr>
          <w:rFonts w:cs="Times New Roman"/>
          <w:i/>
          <w:vertAlign w:val="subscript"/>
          <w:lang w:val="en-US"/>
        </w:rPr>
        <w:t>W</w:t>
      </w:r>
      <w:r w:rsidRPr="008D7F6D">
        <w:rPr>
          <w:lang w:val="en-US"/>
        </w:rPr>
        <w:t xml:space="preserve"> </w:t>
      </w:r>
      <w:r w:rsidR="00E535E0" w:rsidRPr="00E535E0">
        <w:rPr>
          <w:rFonts w:ascii="Cambria Math" w:eastAsia="Arial Unicode MS" w:hAnsi="Cambria Math" w:cs="Arial Unicode MS"/>
          <w:color w:val="000000" w:themeColor="text1"/>
          <w:lang w:val="en-US"/>
        </w:rPr>
        <w:t>∪</w:t>
      </w:r>
      <w:r w:rsidRPr="008D7F6D">
        <w:rPr>
          <w:iCs/>
          <w:lang w:val="en-US"/>
        </w:rPr>
        <w:t xml:space="preserve"> </w:t>
      </w:r>
      <w:r w:rsidR="00D609CB">
        <w:rPr>
          <w:iCs/>
          <w:lang w:val="en-US"/>
        </w:rPr>
        <w:t>{</w:t>
      </w:r>
      <w:r w:rsidRPr="008D7F6D">
        <w:rPr>
          <w:lang w:val="en-US"/>
        </w:rPr>
        <w:t>Auswahl (</w:t>
      </w:r>
      <w:r w:rsidR="008D7F6D" w:rsidRPr="00785FF8">
        <w:rPr>
          <w:i/>
          <w:lang w:val="en-US"/>
        </w:rPr>
        <w:t>Z</w:t>
      </w:r>
      <w:r w:rsidR="008D7F6D">
        <w:rPr>
          <w:i/>
          <w:lang w:val="en-US"/>
        </w:rPr>
        <w:t>b</w:t>
      </w:r>
      <w:r w:rsidR="008D7F6D" w:rsidRPr="00785FF8">
        <w:rPr>
          <w:lang w:val="en-US"/>
        </w:rPr>
        <w:t>(</w:t>
      </w:r>
      <w:r w:rsidR="008D7F6D">
        <w:rPr>
          <w:i/>
          <w:lang w:val="en-US"/>
        </w:rPr>
        <w:t>O</w:t>
      </w:r>
      <w:r w:rsidR="008D7F6D" w:rsidRPr="00785FF8">
        <w:rPr>
          <w:i/>
          <w:vertAlign w:val="subscript"/>
          <w:lang w:val="en-US"/>
        </w:rPr>
        <w:t>j</w:t>
      </w:r>
      <w:r w:rsidR="008D7F6D" w:rsidRPr="00785FF8">
        <w:rPr>
          <w:lang w:val="en-US"/>
        </w:rPr>
        <w:t>(</w:t>
      </w:r>
      <w:r w:rsidR="008D7F6D" w:rsidRPr="00785FF8">
        <w:rPr>
          <w:i/>
          <w:lang w:val="en-US"/>
        </w:rPr>
        <w:t>S*</w:t>
      </w:r>
      <w:r w:rsidR="008D7F6D" w:rsidRPr="00785FF8">
        <w:rPr>
          <w:lang w:val="en-US"/>
        </w:rPr>
        <w:t>))</w:t>
      </w:r>
      <w:r w:rsidRPr="008D7F6D">
        <w:rPr>
          <w:lang w:val="en-US"/>
        </w:rPr>
        <w:t xml:space="preserve"> </w:t>
      </w:r>
      <w:r w:rsidRPr="00E535E0">
        <w:rPr>
          <w:rFonts w:ascii="Cambria Math" w:eastAsia="Arial Unicode MS" w:hAnsi="Cambria Math" w:cs="Arial Unicode MS"/>
          <w:lang w:val="en-US"/>
        </w:rPr>
        <w:t>∩</w:t>
      </w:r>
      <w:r w:rsidRPr="008D7F6D">
        <w:rPr>
          <w:lang w:val="en-US"/>
        </w:rPr>
        <w:t xml:space="preserve"> </w:t>
      </w:r>
      <w:r w:rsidRPr="008D7F6D">
        <w:rPr>
          <w:i/>
          <w:lang w:val="en-US"/>
        </w:rPr>
        <w:t>E</w:t>
      </w:r>
      <w:r w:rsidRPr="008D7F6D">
        <w:rPr>
          <w:i/>
          <w:iCs/>
          <w:vertAlign w:val="subscript"/>
          <w:lang w:val="en-US"/>
        </w:rPr>
        <w:t>k</w:t>
      </w:r>
      <w:r>
        <w:rPr>
          <w:lang w:val="it-IT"/>
        </w:rPr>
        <w:t>)</w:t>
      </w:r>
      <w:r w:rsidR="00D609CB">
        <w:rPr>
          <w:lang w:val="it-IT"/>
        </w:rPr>
        <w:t>}</w:t>
      </w:r>
    </w:p>
    <w:p w:rsidR="007D7D84" w:rsidRPr="005D3FCE" w:rsidRDefault="007D7D84" w:rsidP="008508ED">
      <w:pPr>
        <w:pStyle w:val="Text"/>
        <w:ind w:firstLine="0"/>
        <w:jc w:val="left"/>
        <w:rPr>
          <w:lang w:val="en-US"/>
        </w:rPr>
      </w:pPr>
      <w:r w:rsidRPr="008D7F6D">
        <w:rPr>
          <w:lang w:val="en-US"/>
        </w:rPr>
        <w:t xml:space="preserve">            </w:t>
      </w:r>
      <w:r w:rsidRPr="005D3FCE">
        <w:rPr>
          <w:lang w:val="en-US"/>
        </w:rPr>
        <w:t>end</w:t>
      </w:r>
    </w:p>
    <w:p w:rsidR="006D7577" w:rsidRPr="00C234FD" w:rsidRDefault="006D7577" w:rsidP="008508ED">
      <w:pPr>
        <w:pStyle w:val="Text"/>
        <w:ind w:firstLine="0"/>
        <w:jc w:val="left"/>
        <w:rPr>
          <w:lang w:val="en-US"/>
        </w:rPr>
      </w:pPr>
      <w:r w:rsidRPr="00C234FD">
        <w:rPr>
          <w:lang w:val="en-US"/>
        </w:rPr>
        <w:t xml:space="preserve">            </w:t>
      </w:r>
      <w:r w:rsidRPr="00C234FD">
        <w:rPr>
          <w:rFonts w:cs="Times New Roman"/>
          <w:i/>
          <w:lang w:val="en-US"/>
        </w:rPr>
        <w:t>Ab</w:t>
      </w:r>
      <w:r w:rsidRPr="00C234FD">
        <w:rPr>
          <w:rFonts w:cs="Times New Roman"/>
          <w:i/>
          <w:vertAlign w:val="subscript"/>
          <w:lang w:val="en-US"/>
        </w:rPr>
        <w:t>k</w:t>
      </w:r>
      <w:r w:rsidRPr="00C234FD">
        <w:rPr>
          <w:i/>
          <w:lang w:val="en-US"/>
        </w:rPr>
        <w:t xml:space="preserve"> </w:t>
      </w:r>
      <w:r w:rsidRPr="00C234FD">
        <w:rPr>
          <w:lang w:val="en-US"/>
        </w:rPr>
        <w:t xml:space="preserve">:= </w:t>
      </w:r>
      <w:r w:rsidR="008D7F6D" w:rsidRPr="00C234FD">
        <w:rPr>
          <w:i/>
          <w:lang w:val="en-US"/>
        </w:rPr>
        <w:t>Ob</w:t>
      </w:r>
      <w:r w:rsidR="008D7F6D" w:rsidRPr="00C234FD">
        <w:rPr>
          <w:lang w:val="en-US"/>
        </w:rPr>
        <w:t>(</w:t>
      </w:r>
      <w:r w:rsidR="008D7F6D" w:rsidRPr="00C234FD">
        <w:rPr>
          <w:i/>
          <w:lang w:val="en-US"/>
        </w:rPr>
        <w:t>O</w:t>
      </w:r>
      <w:r w:rsidR="008D7F6D" w:rsidRPr="00C234FD">
        <w:rPr>
          <w:i/>
          <w:iCs/>
          <w:vertAlign w:val="subscript"/>
          <w:lang w:val="en-US"/>
        </w:rPr>
        <w:t>j</w:t>
      </w:r>
      <w:r w:rsidR="008D7F6D" w:rsidRPr="00C234FD">
        <w:rPr>
          <w:lang w:val="en-US"/>
        </w:rPr>
        <w:t>(</w:t>
      </w:r>
      <w:r w:rsidR="008D7F6D" w:rsidRPr="00C234FD">
        <w:rPr>
          <w:i/>
          <w:lang w:val="en-US"/>
        </w:rPr>
        <w:t>S*</w:t>
      </w:r>
      <w:r w:rsidR="008D7F6D" w:rsidRPr="00C234FD">
        <w:rPr>
          <w:lang w:val="en-US"/>
        </w:rPr>
        <w:t>))</w:t>
      </w:r>
      <w:r w:rsidRPr="00C234FD">
        <w:rPr>
          <w:lang w:val="en-US"/>
        </w:rPr>
        <w:t xml:space="preserve"> </w:t>
      </w:r>
      <w:r w:rsidRPr="00E535E0">
        <w:rPr>
          <w:rFonts w:ascii="Cambria Math" w:eastAsia="Arial Unicode MS" w:hAnsi="Cambria Math" w:cs="Arial Unicode MS"/>
          <w:lang w:val="en-US"/>
        </w:rPr>
        <w:t>∪</w:t>
      </w:r>
      <w:r w:rsidRPr="00C234FD">
        <w:rPr>
          <w:lang w:val="en-US"/>
        </w:rPr>
        <w:t xml:space="preserve"> </w:t>
      </w:r>
      <w:r w:rsidR="007D7D84" w:rsidRPr="00C234FD">
        <w:rPr>
          <w:rFonts w:cs="Times New Roman"/>
          <w:i/>
          <w:lang w:val="en-US"/>
        </w:rPr>
        <w:t>Z</w:t>
      </w:r>
      <w:r w:rsidR="00E82E85" w:rsidRPr="00C234FD">
        <w:rPr>
          <w:rFonts w:cs="Times New Roman"/>
          <w:i/>
          <w:lang w:val="en-US"/>
        </w:rPr>
        <w:t>b</w:t>
      </w:r>
      <w:r w:rsidR="007D7D84" w:rsidRPr="00C234FD">
        <w:rPr>
          <w:rFonts w:cs="Times New Roman"/>
          <w:i/>
          <w:vertAlign w:val="subscript"/>
          <w:lang w:val="en-US"/>
        </w:rPr>
        <w:t>W</w:t>
      </w:r>
    </w:p>
    <w:p w:rsidR="00A64108" w:rsidRDefault="00A64108" w:rsidP="008508ED">
      <w:pPr>
        <w:pStyle w:val="Text"/>
        <w:ind w:firstLine="0"/>
        <w:jc w:val="left"/>
        <w:rPr>
          <w:lang w:val="en-US"/>
        </w:rPr>
      </w:pPr>
      <w:r>
        <w:rPr>
          <w:lang w:val="en-US"/>
        </w:rPr>
        <w:t xml:space="preserve">      </w:t>
      </w:r>
      <w:r w:rsidRPr="00623220">
        <w:rPr>
          <w:lang w:val="en-US"/>
        </w:rPr>
        <w:t xml:space="preserve">      </w:t>
      </w:r>
      <w:r>
        <w:rPr>
          <w:rFonts w:cs="Times New Roman"/>
          <w:i/>
          <w:lang w:val="en-US"/>
        </w:rPr>
        <w:t>P</w:t>
      </w:r>
      <w:r w:rsidR="00AD1F49" w:rsidRPr="008D7F6D">
        <w:rPr>
          <w:rFonts w:cs="Times New Roman"/>
          <w:i/>
          <w:lang w:val="en-US"/>
        </w:rPr>
        <w:t>Z</w:t>
      </w:r>
      <w:r w:rsidR="00AD1F49">
        <w:rPr>
          <w:rFonts w:cs="Times New Roman"/>
          <w:i/>
          <w:lang w:val="en-US"/>
        </w:rPr>
        <w:t>b</w:t>
      </w:r>
      <w:r w:rsidR="00AD1F49" w:rsidRPr="00C234FD">
        <w:rPr>
          <w:i/>
          <w:lang w:val="en-US"/>
        </w:rPr>
        <w:t xml:space="preserve"> </w:t>
      </w:r>
      <w:r w:rsidR="00AD1F49" w:rsidRPr="00C234FD">
        <w:rPr>
          <w:lang w:val="en-US"/>
        </w:rPr>
        <w:t xml:space="preserve">:= </w:t>
      </w:r>
      <w:r w:rsidR="00FF7A83" w:rsidRPr="00FF7A83">
        <w:rPr>
          <w:rFonts w:ascii="Cambria Math" w:eastAsia="Arial Unicode MS" w:hAnsi="Cambria Math" w:cs="Arial Unicode MS"/>
          <w:lang w:val="en-US"/>
        </w:rPr>
        <w:t>℘</w:t>
      </w:r>
      <w:r w:rsidRPr="00A64108">
        <w:rPr>
          <w:lang w:val="en-US"/>
        </w:rPr>
        <w:t>(</w:t>
      </w:r>
      <w:r w:rsidRPr="008D7F6D">
        <w:rPr>
          <w:rFonts w:cs="Times New Roman"/>
          <w:i/>
          <w:lang w:val="en-US"/>
        </w:rPr>
        <w:t>Z</w:t>
      </w:r>
      <w:r>
        <w:rPr>
          <w:rFonts w:cs="Times New Roman"/>
          <w:i/>
          <w:lang w:val="en-US"/>
        </w:rPr>
        <w:t>b</w:t>
      </w:r>
      <w:r w:rsidRPr="008D7F6D">
        <w:rPr>
          <w:rFonts w:cs="Times New Roman"/>
          <w:i/>
          <w:vertAlign w:val="subscript"/>
          <w:lang w:val="en-US"/>
        </w:rPr>
        <w:t>W</w:t>
      </w:r>
      <w:r w:rsidRPr="00A64108">
        <w:rPr>
          <w:lang w:val="en-US"/>
        </w:rPr>
        <w:t>)</w:t>
      </w:r>
    </w:p>
    <w:p w:rsidR="00A64108" w:rsidRPr="000B24F1" w:rsidRDefault="00A64108" w:rsidP="008508ED">
      <w:pPr>
        <w:pStyle w:val="Text"/>
        <w:ind w:firstLine="0"/>
        <w:jc w:val="left"/>
        <w:rPr>
          <w:lang w:val="en-US"/>
        </w:rPr>
      </w:pPr>
      <w:r w:rsidRPr="00A64108">
        <w:rPr>
          <w:lang w:val="en-US"/>
        </w:rPr>
        <w:t xml:space="preserve">            </w:t>
      </w:r>
      <w:r w:rsidRPr="00A64108">
        <w:rPr>
          <w:rFonts w:cs="Times New Roman"/>
          <w:i/>
          <w:lang w:val="en-US"/>
        </w:rPr>
        <w:t>P</w:t>
      </w:r>
      <w:r w:rsidR="00BB725F" w:rsidRPr="00C234FD">
        <w:rPr>
          <w:rFonts w:cs="Times New Roman"/>
          <w:i/>
          <w:vertAlign w:val="subscript"/>
          <w:lang w:val="en-US"/>
        </w:rPr>
        <w:t>k</w:t>
      </w:r>
      <w:r w:rsidRPr="00A64108">
        <w:rPr>
          <w:i/>
          <w:lang w:val="en-US"/>
        </w:rPr>
        <w:t xml:space="preserve"> </w:t>
      </w:r>
      <w:r w:rsidRPr="00A64108">
        <w:rPr>
          <w:lang w:val="en-US"/>
        </w:rPr>
        <w:t xml:space="preserve">:= </w:t>
      </w:r>
      <w:r w:rsidR="00BB725F">
        <w:rPr>
          <w:lang w:val="en-US"/>
        </w:rPr>
        <w:t>{</w:t>
      </w:r>
      <w:r w:rsidR="00AD1F49" w:rsidRPr="00C234FD">
        <w:rPr>
          <w:i/>
          <w:lang w:val="en-US"/>
        </w:rPr>
        <w:t>Ob</w:t>
      </w:r>
      <w:r w:rsidR="00AD1F49" w:rsidRPr="00C234FD">
        <w:rPr>
          <w:lang w:val="en-US"/>
        </w:rPr>
        <w:t>(</w:t>
      </w:r>
      <w:r w:rsidR="00AD1F49" w:rsidRPr="00C234FD">
        <w:rPr>
          <w:i/>
          <w:lang w:val="en-US"/>
        </w:rPr>
        <w:t>O</w:t>
      </w:r>
      <w:r w:rsidR="00AD1F49" w:rsidRPr="00C234FD">
        <w:rPr>
          <w:i/>
          <w:iCs/>
          <w:vertAlign w:val="subscript"/>
          <w:lang w:val="en-US"/>
        </w:rPr>
        <w:t>j</w:t>
      </w:r>
      <w:r w:rsidR="00AD1F49" w:rsidRPr="00C234FD">
        <w:rPr>
          <w:lang w:val="en-US"/>
        </w:rPr>
        <w:t>(</w:t>
      </w:r>
      <w:r w:rsidR="00AD1F49" w:rsidRPr="00C234FD">
        <w:rPr>
          <w:i/>
          <w:lang w:val="en-US"/>
        </w:rPr>
        <w:t>S*</w:t>
      </w:r>
      <w:r w:rsidR="00AD1F49" w:rsidRPr="00C234FD">
        <w:rPr>
          <w:lang w:val="en-US"/>
        </w:rPr>
        <w:t>))</w:t>
      </w:r>
      <w:r w:rsidRPr="00C234FD">
        <w:rPr>
          <w:lang w:val="en-US"/>
        </w:rPr>
        <w:t xml:space="preserve"> </w:t>
      </w:r>
      <w:r w:rsidRPr="00E535E0">
        <w:rPr>
          <w:rFonts w:ascii="Cambria Math" w:eastAsia="Arial Unicode MS" w:hAnsi="Cambria Math" w:cs="Arial Unicode MS"/>
          <w:lang w:val="en-US"/>
        </w:rPr>
        <w:t>∪</w:t>
      </w:r>
      <w:r w:rsidRPr="00C234FD">
        <w:rPr>
          <w:lang w:val="en-US"/>
        </w:rPr>
        <w:t xml:space="preserve"> </w:t>
      </w:r>
      <w:r w:rsidR="00AD1F49">
        <w:rPr>
          <w:rFonts w:cs="Times New Roman"/>
          <w:i/>
          <w:lang w:val="en-US"/>
        </w:rPr>
        <w:t>P</w:t>
      </w:r>
      <w:r w:rsidR="00AD1F49" w:rsidRPr="008D7F6D">
        <w:rPr>
          <w:rFonts w:cs="Times New Roman"/>
          <w:i/>
          <w:lang w:val="en-US"/>
        </w:rPr>
        <w:t>Z</w:t>
      </w:r>
      <w:r w:rsidR="00AD1F49">
        <w:rPr>
          <w:rFonts w:cs="Times New Roman"/>
          <w:i/>
          <w:lang w:val="en-US"/>
        </w:rPr>
        <w:t>b</w:t>
      </w:r>
      <w:r w:rsidR="00BB725F" w:rsidRPr="00BB725F">
        <w:rPr>
          <w:rFonts w:cs="Times New Roman"/>
          <w:vertAlign w:val="subscript"/>
          <w:lang w:val="en-US"/>
        </w:rPr>
        <w:t>1</w:t>
      </w:r>
      <w:r w:rsidR="00BB725F">
        <w:rPr>
          <w:rFonts w:cs="Times New Roman"/>
          <w:lang w:val="en-US"/>
        </w:rPr>
        <w:t xml:space="preserve">, …, </w:t>
      </w:r>
      <w:r w:rsidR="00BB725F" w:rsidRPr="00C234FD">
        <w:rPr>
          <w:i/>
          <w:lang w:val="en-US"/>
        </w:rPr>
        <w:t>Ob</w:t>
      </w:r>
      <w:r w:rsidR="00BB725F" w:rsidRPr="00C234FD">
        <w:rPr>
          <w:lang w:val="en-US"/>
        </w:rPr>
        <w:t>(</w:t>
      </w:r>
      <w:r w:rsidR="00BB725F" w:rsidRPr="00C234FD">
        <w:rPr>
          <w:i/>
          <w:lang w:val="en-US"/>
        </w:rPr>
        <w:t>O</w:t>
      </w:r>
      <w:r w:rsidR="00BB725F" w:rsidRPr="00C234FD">
        <w:rPr>
          <w:i/>
          <w:iCs/>
          <w:vertAlign w:val="subscript"/>
          <w:lang w:val="en-US"/>
        </w:rPr>
        <w:t>j</w:t>
      </w:r>
      <w:r w:rsidR="00BB725F" w:rsidRPr="00C234FD">
        <w:rPr>
          <w:lang w:val="en-US"/>
        </w:rPr>
        <w:t>(</w:t>
      </w:r>
      <w:r w:rsidR="00BB725F" w:rsidRPr="00C234FD">
        <w:rPr>
          <w:i/>
          <w:lang w:val="en-US"/>
        </w:rPr>
        <w:t>S*</w:t>
      </w:r>
      <w:r w:rsidR="00BB725F" w:rsidRPr="00C234FD">
        <w:rPr>
          <w:lang w:val="en-US"/>
        </w:rPr>
        <w:t xml:space="preserve">)) </w:t>
      </w:r>
      <w:r w:rsidR="00BB725F" w:rsidRPr="00E535E0">
        <w:rPr>
          <w:rFonts w:ascii="Cambria Math" w:eastAsia="Arial Unicode MS" w:hAnsi="Cambria Math" w:cs="Arial Unicode MS"/>
          <w:lang w:val="en-US"/>
        </w:rPr>
        <w:t>∪</w:t>
      </w:r>
      <w:r w:rsidR="00BB725F" w:rsidRPr="00C234FD">
        <w:rPr>
          <w:lang w:val="en-US"/>
        </w:rPr>
        <w:t xml:space="preserve"> </w:t>
      </w:r>
      <w:r w:rsidR="00BB725F">
        <w:rPr>
          <w:rFonts w:cs="Times New Roman"/>
          <w:i/>
          <w:lang w:val="en-US"/>
        </w:rPr>
        <w:t>P</w:t>
      </w:r>
      <w:r w:rsidR="00BB725F" w:rsidRPr="008D7F6D">
        <w:rPr>
          <w:rFonts w:cs="Times New Roman"/>
          <w:i/>
          <w:lang w:val="en-US"/>
        </w:rPr>
        <w:t>Z</w:t>
      </w:r>
      <w:r w:rsidR="00BB725F">
        <w:rPr>
          <w:rFonts w:cs="Times New Roman"/>
          <w:i/>
          <w:lang w:val="en-US"/>
        </w:rPr>
        <w:t>b</w:t>
      </w:r>
      <w:r w:rsidR="00BB725F">
        <w:rPr>
          <w:rFonts w:cs="Times New Roman"/>
          <w:vertAlign w:val="subscript"/>
          <w:lang w:val="en-US"/>
        </w:rPr>
        <w:t>|</w:t>
      </w:r>
      <w:r w:rsidR="00BB725F" w:rsidRPr="00BB725F">
        <w:rPr>
          <w:rFonts w:cs="Times New Roman"/>
          <w:i/>
          <w:vertAlign w:val="subscript"/>
          <w:lang w:val="en-US"/>
        </w:rPr>
        <w:t>PZb</w:t>
      </w:r>
      <w:r w:rsidR="00BB725F">
        <w:rPr>
          <w:rFonts w:cs="Times New Roman"/>
          <w:vertAlign w:val="subscript"/>
          <w:lang w:val="en-US"/>
        </w:rPr>
        <w:t>|</w:t>
      </w:r>
      <w:r w:rsidR="00BB725F">
        <w:rPr>
          <w:rFonts w:cs="Times New Roman"/>
          <w:lang w:val="en-US"/>
        </w:rPr>
        <w:t>}</w:t>
      </w:r>
    </w:p>
    <w:p w:rsidR="00DA7E46" w:rsidRPr="000B24F1" w:rsidRDefault="00DA7E46" w:rsidP="00A3549D">
      <w:pPr>
        <w:pStyle w:val="Text"/>
        <w:ind w:hanging="369"/>
        <w:jc w:val="left"/>
        <w:rPr>
          <w:lang w:val="en-US"/>
        </w:rPr>
      </w:pPr>
      <w:r w:rsidRPr="004932E6">
        <w:rPr>
          <w:sz w:val="16"/>
          <w:szCs w:val="16"/>
          <w:lang w:val="en-US"/>
        </w:rPr>
        <w:t>1</w:t>
      </w:r>
      <w:r w:rsidR="007D7D84" w:rsidRPr="004932E6">
        <w:rPr>
          <w:sz w:val="16"/>
          <w:szCs w:val="16"/>
          <w:lang w:val="en-US"/>
        </w:rPr>
        <w:t>5</w:t>
      </w:r>
      <w:r w:rsidR="00D2554C" w:rsidRPr="000B24F1">
        <w:rPr>
          <w:lang w:val="en-US"/>
        </w:rPr>
        <w:tab/>
      </w:r>
      <w:r w:rsidR="00100376" w:rsidRPr="000B24F1">
        <w:rPr>
          <w:lang w:val="en-US"/>
        </w:rPr>
        <w:t xml:space="preserve">         end</w:t>
      </w:r>
    </w:p>
    <w:p w:rsidR="00100376" w:rsidRPr="000B24F1" w:rsidRDefault="00100376" w:rsidP="008508ED">
      <w:pPr>
        <w:pStyle w:val="Text"/>
        <w:ind w:firstLine="0"/>
        <w:jc w:val="left"/>
        <w:rPr>
          <w:lang w:val="en-US"/>
        </w:rPr>
      </w:pPr>
      <w:r w:rsidRPr="000B24F1">
        <w:rPr>
          <w:lang w:val="en-US"/>
        </w:rPr>
        <w:t xml:space="preserve">      end</w:t>
      </w:r>
    </w:p>
    <w:p w:rsidR="00100376" w:rsidRPr="000B24F1" w:rsidRDefault="00100376" w:rsidP="008508ED">
      <w:pPr>
        <w:pStyle w:val="Text"/>
        <w:ind w:firstLine="0"/>
        <w:jc w:val="left"/>
        <w:rPr>
          <w:iCs/>
          <w:lang w:val="en-US"/>
        </w:rPr>
      </w:pPr>
      <w:r w:rsidRPr="000B24F1">
        <w:rPr>
          <w:lang w:val="en-US"/>
        </w:rPr>
        <w:t xml:space="preserve">      </w:t>
      </w:r>
      <w:r w:rsidRPr="000B24F1">
        <w:rPr>
          <w:i/>
          <w:iCs/>
          <w:lang w:val="en-US"/>
        </w:rPr>
        <w:t>A</w:t>
      </w:r>
      <w:r w:rsidRPr="000B24F1">
        <w:rPr>
          <w:i/>
          <w:vertAlign w:val="subscript"/>
          <w:lang w:val="en-US"/>
        </w:rPr>
        <w:t>k</w:t>
      </w:r>
      <w:r w:rsidRPr="000B24F1">
        <w:rPr>
          <w:lang w:val="en-US"/>
        </w:rPr>
        <w:t xml:space="preserve"> := {</w:t>
      </w:r>
      <w:r w:rsidRPr="000B24F1">
        <w:rPr>
          <w:i/>
          <w:lang w:val="en-US"/>
        </w:rPr>
        <w:t>x</w:t>
      </w:r>
      <w:r w:rsidRPr="000B24F1">
        <w:rPr>
          <w:color w:val="000000" w:themeColor="text1"/>
          <w:lang w:val="en-US"/>
        </w:rPr>
        <w:t xml:space="preserve"> </w:t>
      </w:r>
      <w:r w:rsidRPr="000B24F1">
        <w:rPr>
          <w:rFonts w:ascii="Cambria Math" w:eastAsia="Arial Unicode MS" w:hAnsi="Cambria Math" w:cs="Arial Unicode MS"/>
          <w:color w:val="000000" w:themeColor="text1"/>
          <w:lang w:val="en-US"/>
        </w:rPr>
        <w:t>∊</w:t>
      </w:r>
      <w:r w:rsidRPr="000B24F1">
        <w:rPr>
          <w:rFonts w:cs="Times New Roman"/>
          <w:lang w:val="en-US"/>
        </w:rPr>
        <w:t xml:space="preserve"> </w:t>
      </w:r>
      <w:r w:rsidRPr="000B24F1">
        <w:rPr>
          <w:i/>
          <w:lang w:val="en-US"/>
        </w:rPr>
        <w:t>M</w:t>
      </w:r>
      <w:r w:rsidRPr="000B24F1">
        <w:rPr>
          <w:i/>
          <w:vertAlign w:val="subscript"/>
          <w:lang w:val="en-US"/>
        </w:rPr>
        <w:t>Alt</w:t>
      </w:r>
      <w:r w:rsidRPr="000B24F1">
        <w:rPr>
          <w:lang w:val="en-US"/>
        </w:rPr>
        <w:t xml:space="preserve"> | </w:t>
      </w:r>
      <m:oMath>
        <m:sSub>
          <m:sSubPr>
            <m:ctrlPr>
              <w:rPr>
                <w:rFonts w:ascii="Cambria Math" w:hAnsi="Cambria Math" w:cs="Times New Roman"/>
                <w:i/>
              </w:rPr>
            </m:ctrlPr>
          </m:sSubPr>
          <m:e>
            <m:r>
              <m:rPr>
                <m:nor/>
              </m:rPr>
              <w:rPr>
                <w:rFonts w:cs="Times New Roman"/>
                <w:i/>
                <w:lang w:val="en-US"/>
              </w:rPr>
              <m:t>Ab</m:t>
            </m:r>
          </m:e>
          <m:sub>
            <m:sSub>
              <m:sSubPr>
                <m:ctrlPr>
                  <w:rPr>
                    <w:rFonts w:ascii="Cambria Math" w:hAnsi="Cambria Math" w:cs="Times New Roman"/>
                    <w:i/>
                  </w:rPr>
                </m:ctrlPr>
              </m:sSubPr>
              <m:e>
                <m:r>
                  <m:rPr>
                    <m:nor/>
                  </m:rPr>
                  <w:rPr>
                    <w:rFonts w:cs="Times New Roman"/>
                    <w:i/>
                    <w:lang w:val="en-US"/>
                  </w:rPr>
                  <m:t>k</m:t>
                </m:r>
              </m:e>
              <m:sub>
                <m:r>
                  <m:rPr>
                    <m:nor/>
                  </m:rPr>
                  <w:rPr>
                    <w:rFonts w:cs="Times New Roman"/>
                    <w:lang w:val="en-US"/>
                  </w:rPr>
                  <m:t>1</m:t>
                </m:r>
              </m:sub>
            </m:sSub>
          </m:sub>
        </m:sSub>
      </m:oMath>
      <w:r w:rsidRPr="000B24F1">
        <w:rPr>
          <w:lang w:val="en-US"/>
        </w:rPr>
        <w:t>(</w:t>
      </w:r>
      <w:r w:rsidRPr="000B24F1">
        <w:rPr>
          <w:i/>
          <w:lang w:val="en-US"/>
        </w:rPr>
        <w:t>x</w:t>
      </w:r>
      <w:r w:rsidRPr="000B24F1">
        <w:rPr>
          <w:lang w:val="en-US"/>
        </w:rPr>
        <w:t xml:space="preserve">) </w:t>
      </w:r>
      <w:r w:rsidRPr="000B24F1">
        <w:rPr>
          <w:rFonts w:ascii="Cambria Math" w:hAnsi="Cambria Math" w:cs="Cambria Math"/>
          <w:color w:val="000000" w:themeColor="text1"/>
          <w:lang w:val="en-US"/>
        </w:rPr>
        <w:t>∧</w:t>
      </w:r>
      <w:r w:rsidRPr="000B24F1">
        <w:rPr>
          <w:lang w:val="en-US"/>
        </w:rPr>
        <w:t xml:space="preserve"> … </w:t>
      </w:r>
      <w:r w:rsidRPr="000B24F1">
        <w:rPr>
          <w:rFonts w:ascii="Cambria Math" w:hAnsi="Cambria Math" w:cs="Cambria Math"/>
          <w:color w:val="000000" w:themeColor="text1"/>
          <w:lang w:val="en-US"/>
        </w:rPr>
        <w:t>∧</w:t>
      </w:r>
      <w:r w:rsidRPr="000B24F1">
        <w:rPr>
          <w:lang w:val="en-US"/>
        </w:rPr>
        <w:t xml:space="preserve"> </w:t>
      </w:r>
      <m:oMath>
        <m:sSub>
          <m:sSubPr>
            <m:ctrlPr>
              <w:rPr>
                <w:rFonts w:ascii="Cambria Math" w:hAnsi="Cambria Math" w:cs="Times New Roman"/>
                <w:i/>
              </w:rPr>
            </m:ctrlPr>
          </m:sSubPr>
          <m:e>
            <m:r>
              <m:rPr>
                <m:nor/>
              </m:rPr>
              <w:rPr>
                <w:rFonts w:cs="Times New Roman"/>
                <w:i/>
                <w:lang w:val="en-US"/>
              </w:rPr>
              <m:t>Ab</m:t>
            </m:r>
          </m:e>
          <m:sub>
            <m:sSub>
              <m:sSubPr>
                <m:ctrlPr>
                  <w:rPr>
                    <w:rFonts w:ascii="Cambria Math" w:hAnsi="Cambria Math" w:cs="Times New Roman"/>
                    <w:i/>
                  </w:rPr>
                </m:ctrlPr>
              </m:sSubPr>
              <m:e>
                <m:r>
                  <m:rPr>
                    <m:nor/>
                  </m:rPr>
                  <w:rPr>
                    <w:rFonts w:cs="Times New Roman"/>
                    <w:i/>
                    <w:lang w:val="en-US"/>
                  </w:rPr>
                  <m:t>k</m:t>
                </m:r>
              </m:e>
              <m:sub>
                <m:sSub>
                  <m:sSubPr>
                    <m:ctrlPr>
                      <w:rPr>
                        <w:rFonts w:ascii="Cambria Math" w:hAnsi="Cambria Math" w:cs="Times New Roman"/>
                        <w:i/>
                      </w:rPr>
                    </m:ctrlPr>
                  </m:sSubPr>
                  <m:e>
                    <m:r>
                      <m:rPr>
                        <m:nor/>
                      </m:rPr>
                      <w:rPr>
                        <w:rFonts w:cs="Times New Roman"/>
                        <w:i/>
                        <w:lang w:val="en-US"/>
                      </w:rPr>
                      <m:t>|Ab</m:t>
                    </m:r>
                  </m:e>
                  <m:sub>
                    <m:r>
                      <m:rPr>
                        <m:nor/>
                      </m:rPr>
                      <w:rPr>
                        <w:rFonts w:cs="Times New Roman"/>
                        <w:i/>
                        <w:sz w:val="22"/>
                        <w:szCs w:val="22"/>
                        <w:lang w:val="en-US"/>
                      </w:rPr>
                      <m:t>k</m:t>
                    </m:r>
                  </m:sub>
                </m:sSub>
                <m:r>
                  <m:rPr>
                    <m:nor/>
                  </m:rPr>
                  <w:rPr>
                    <w:rFonts w:cs="Times New Roman"/>
                    <w:i/>
                    <w:lang w:val="en-US"/>
                  </w:rPr>
                  <m:t>|</m:t>
                </m:r>
              </m:sub>
            </m:sSub>
          </m:sub>
        </m:sSub>
      </m:oMath>
      <w:r w:rsidRPr="000B24F1">
        <w:rPr>
          <w:lang w:val="en-US"/>
        </w:rPr>
        <w:t>(</w:t>
      </w:r>
      <w:r w:rsidRPr="000B24F1">
        <w:rPr>
          <w:i/>
          <w:lang w:val="en-US"/>
        </w:rPr>
        <w:t>x</w:t>
      </w:r>
      <w:r w:rsidRPr="000B24F1">
        <w:rPr>
          <w:lang w:val="en-US"/>
        </w:rPr>
        <w:t>)}</w:t>
      </w:r>
    </w:p>
    <w:p w:rsidR="007D7D84" w:rsidRPr="00152363" w:rsidRDefault="007D7D84" w:rsidP="008508ED">
      <w:pPr>
        <w:pStyle w:val="Text"/>
        <w:ind w:firstLine="0"/>
        <w:jc w:val="left"/>
        <w:rPr>
          <w:iCs/>
          <w:lang w:val="en-US"/>
        </w:rPr>
      </w:pPr>
      <w:r w:rsidRPr="000B24F1">
        <w:rPr>
          <w:iCs/>
          <w:lang w:val="en-US"/>
        </w:rPr>
        <w:t xml:space="preserve">   </w:t>
      </w:r>
      <w:r w:rsidRPr="00152363">
        <w:rPr>
          <w:iCs/>
          <w:lang w:val="en-US"/>
        </w:rPr>
        <w:t>end</w:t>
      </w:r>
    </w:p>
    <w:p w:rsidR="00FA03A9" w:rsidRPr="00ED4F0E" w:rsidRDefault="00FA03A9" w:rsidP="008508ED">
      <w:pPr>
        <w:pStyle w:val="Text"/>
        <w:ind w:firstLine="0"/>
        <w:jc w:val="left"/>
        <w:rPr>
          <w:i/>
          <w:iCs/>
          <w:lang w:val="en-US"/>
        </w:rPr>
      </w:pPr>
      <w:r w:rsidRPr="00152363">
        <w:rPr>
          <w:iCs/>
          <w:lang w:val="en-US"/>
        </w:rPr>
        <w:t xml:space="preserve">   </w:t>
      </w:r>
      <w:r w:rsidRPr="00152363">
        <w:rPr>
          <w:i/>
          <w:iCs/>
          <w:lang w:val="en-US"/>
        </w:rPr>
        <w:t xml:space="preserve">P </w:t>
      </w:r>
      <w:r w:rsidRPr="00152363">
        <w:rPr>
          <w:lang w:val="en-US"/>
        </w:rPr>
        <w:t xml:space="preserve">:= </w:t>
      </w:r>
      <w:r w:rsidR="00D2526B" w:rsidRPr="00152363">
        <w:rPr>
          <w:i/>
          <w:lang w:val="en-US"/>
        </w:rPr>
        <w:t>P</w:t>
      </w:r>
      <w:r w:rsidR="00BB725F" w:rsidRPr="00152363">
        <w:rPr>
          <w:iCs/>
          <w:vertAlign w:val="subscript"/>
          <w:lang w:val="en-US"/>
        </w:rPr>
        <w:t>1</w:t>
      </w:r>
      <w:r w:rsidR="007203B4" w:rsidRPr="00152363">
        <w:rPr>
          <w:lang w:val="en-US"/>
        </w:rPr>
        <w:t xml:space="preserve"> </w:t>
      </w:r>
      <w:r w:rsidR="007203B4" w:rsidRPr="00152363">
        <w:rPr>
          <w:rFonts w:ascii="Cambria Math" w:eastAsia="Arial Unicode MS" w:hAnsi="Cambria Math" w:cs="Arial Unicode MS"/>
          <w:color w:val="000000" w:themeColor="text1"/>
          <w:lang w:val="en-US"/>
        </w:rPr>
        <w:t>∪</w:t>
      </w:r>
      <w:r w:rsidR="007203B4" w:rsidRPr="00152363">
        <w:rPr>
          <w:lang w:val="en-US"/>
        </w:rPr>
        <w:t xml:space="preserve"> </w:t>
      </w:r>
      <w:r w:rsidR="00D2526B" w:rsidRPr="00152363">
        <w:rPr>
          <w:i/>
          <w:lang w:val="en-US"/>
        </w:rPr>
        <w:t>P</w:t>
      </w:r>
      <w:r w:rsidR="00BB725F" w:rsidRPr="00152363">
        <w:rPr>
          <w:iCs/>
          <w:vertAlign w:val="subscript"/>
          <w:lang w:val="en-US"/>
        </w:rPr>
        <w:t>2</w:t>
      </w:r>
      <w:r w:rsidR="007203B4" w:rsidRPr="00152363">
        <w:rPr>
          <w:lang w:val="en-US"/>
        </w:rPr>
        <w:t xml:space="preserve"> </w:t>
      </w:r>
      <w:r w:rsidR="007203B4" w:rsidRPr="00152363">
        <w:rPr>
          <w:rFonts w:ascii="Cambria Math" w:eastAsia="Arial Unicode MS" w:hAnsi="Cambria Math" w:cs="Arial Unicode MS"/>
          <w:color w:val="000000" w:themeColor="text1"/>
          <w:lang w:val="en-US"/>
        </w:rPr>
        <w:t>∪</w:t>
      </w:r>
      <w:r w:rsidR="007203B4" w:rsidRPr="00152363">
        <w:rPr>
          <w:lang w:val="en-US"/>
        </w:rPr>
        <w:t xml:space="preserve"> </w:t>
      </w:r>
      <w:r w:rsidR="00BB725F" w:rsidRPr="00152363">
        <w:rPr>
          <w:lang w:val="en-US"/>
        </w:rPr>
        <w:t>…</w:t>
      </w:r>
      <w:r w:rsidR="007203B4" w:rsidRPr="00152363">
        <w:rPr>
          <w:lang w:val="en-US"/>
        </w:rPr>
        <w:t xml:space="preserve"> </w:t>
      </w:r>
      <w:r w:rsidR="007203B4" w:rsidRPr="00ED4F0E">
        <w:rPr>
          <w:rFonts w:ascii="Cambria Math" w:eastAsia="Arial Unicode MS" w:hAnsi="Cambria Math" w:cs="Arial Unicode MS"/>
          <w:color w:val="000000" w:themeColor="text1"/>
          <w:lang w:val="en-US"/>
        </w:rPr>
        <w:t>∪</w:t>
      </w:r>
      <w:r w:rsidR="007203B4" w:rsidRPr="00ED4F0E">
        <w:rPr>
          <w:lang w:val="en-US"/>
        </w:rPr>
        <w:t xml:space="preserve"> </w:t>
      </w:r>
      <w:r w:rsidR="00D2526B" w:rsidRPr="00ED4F0E">
        <w:rPr>
          <w:i/>
          <w:lang w:val="en-US"/>
        </w:rPr>
        <w:t>P</w:t>
      </w:r>
      <w:r w:rsidR="00BB725F" w:rsidRPr="00ED4F0E">
        <w:rPr>
          <w:vertAlign w:val="subscript"/>
          <w:lang w:val="en-US"/>
        </w:rPr>
        <w:t>|</w:t>
      </w:r>
      <w:r w:rsidR="00BB725F" w:rsidRPr="00ED4F0E">
        <w:rPr>
          <w:i/>
          <w:vertAlign w:val="subscript"/>
          <w:lang w:val="en-US"/>
        </w:rPr>
        <w:t>R</w:t>
      </w:r>
      <w:r w:rsidR="00BB725F" w:rsidRPr="00ED4F0E">
        <w:rPr>
          <w:vertAlign w:val="subscript"/>
          <w:lang w:val="en-US"/>
        </w:rPr>
        <w:t>|</w:t>
      </w:r>
    </w:p>
    <w:p w:rsidR="00D2554C" w:rsidRPr="00ED4F0E" w:rsidRDefault="007D7D84" w:rsidP="00A3549D">
      <w:pPr>
        <w:pStyle w:val="Text"/>
        <w:ind w:hanging="369"/>
        <w:jc w:val="left"/>
        <w:rPr>
          <w:lang w:val="en-US"/>
        </w:rPr>
      </w:pPr>
      <w:r w:rsidRPr="004932E6">
        <w:rPr>
          <w:sz w:val="16"/>
          <w:szCs w:val="16"/>
          <w:lang w:val="en-US"/>
        </w:rPr>
        <w:t>20</w:t>
      </w:r>
      <w:r w:rsidR="00D2554C" w:rsidRPr="00ED4F0E">
        <w:rPr>
          <w:lang w:val="en-US"/>
        </w:rPr>
        <w:tab/>
      </w:r>
      <w:r w:rsidR="00100376" w:rsidRPr="00ED4F0E">
        <w:rPr>
          <w:iCs/>
          <w:lang w:val="en-US"/>
        </w:rPr>
        <w:t xml:space="preserve">   </w:t>
      </w:r>
      <w:r w:rsidR="00100376" w:rsidRPr="00ED4F0E">
        <w:rPr>
          <w:i/>
          <w:iCs/>
          <w:lang w:val="en-US"/>
        </w:rPr>
        <w:t>Q</w:t>
      </w:r>
      <w:r w:rsidR="00100376" w:rsidRPr="00ED4F0E">
        <w:rPr>
          <w:lang w:val="en-US"/>
        </w:rPr>
        <w:t xml:space="preserve"> := </w:t>
      </w:r>
      <w:r w:rsidR="00FF7A83" w:rsidRPr="00ED4F0E">
        <w:rPr>
          <w:rFonts w:ascii="Cambria Math" w:eastAsia="Arial Unicode MS" w:hAnsi="Cambria Math" w:cs="Arial Unicode MS"/>
          <w:lang w:val="en-US"/>
        </w:rPr>
        <w:t>℘</w:t>
      </w:r>
      <w:r w:rsidR="00100376" w:rsidRPr="00ED4F0E">
        <w:rPr>
          <w:iCs/>
          <w:lang w:val="en-US"/>
        </w:rPr>
        <w:t>(</w:t>
      </w:r>
      <w:r w:rsidR="00100376" w:rsidRPr="00ED4F0E">
        <w:rPr>
          <w:i/>
          <w:lang w:val="en-US"/>
        </w:rPr>
        <w:t>E</w:t>
      </w:r>
      <w:r w:rsidR="00100376" w:rsidRPr="00ED4F0E">
        <w:rPr>
          <w:vertAlign w:val="subscript"/>
          <w:lang w:val="en-US"/>
        </w:rPr>
        <w:t>1</w:t>
      </w:r>
      <w:r w:rsidR="00100376" w:rsidRPr="00ED4F0E">
        <w:rPr>
          <w:iCs/>
          <w:lang w:val="en-US"/>
        </w:rPr>
        <w:t>)</w:t>
      </w:r>
      <w:r w:rsidR="00100376" w:rsidRPr="00ED4F0E">
        <w:rPr>
          <w:lang w:val="en-US"/>
        </w:rPr>
        <w:t xml:space="preserve"> </w:t>
      </w:r>
      <w:r w:rsidR="00100376" w:rsidRPr="00ED4F0E">
        <w:rPr>
          <w:rFonts w:ascii="Cambria Math" w:eastAsia="Arial Unicode MS" w:hAnsi="Cambria Math" w:cs="Arial Unicode MS"/>
          <w:color w:val="000000" w:themeColor="text1"/>
          <w:lang w:val="en-US"/>
        </w:rPr>
        <w:t>∪</w:t>
      </w:r>
      <w:r w:rsidR="00100376" w:rsidRPr="00ED4F0E">
        <w:rPr>
          <w:lang w:val="en-US"/>
        </w:rPr>
        <w:t xml:space="preserve"> </w:t>
      </w:r>
      <w:r w:rsidR="00100376" w:rsidRPr="00ED4F0E">
        <w:rPr>
          <w:rFonts w:ascii="Cambria Math" w:eastAsia="Arial Unicode MS" w:hAnsi="Cambria Math" w:cs="Arial Unicode MS"/>
          <w:lang w:val="en-US"/>
        </w:rPr>
        <w:t>℘</w:t>
      </w:r>
      <w:r w:rsidR="00100376" w:rsidRPr="00ED4F0E">
        <w:rPr>
          <w:iCs/>
          <w:lang w:val="en-US"/>
        </w:rPr>
        <w:t>(</w:t>
      </w:r>
      <w:r w:rsidR="00100376" w:rsidRPr="00ED4F0E">
        <w:rPr>
          <w:i/>
          <w:lang w:val="en-US"/>
        </w:rPr>
        <w:t>E</w:t>
      </w:r>
      <w:r w:rsidR="00100376" w:rsidRPr="00ED4F0E">
        <w:rPr>
          <w:iCs/>
          <w:vertAlign w:val="subscript"/>
          <w:lang w:val="en-US"/>
        </w:rPr>
        <w:t>2</w:t>
      </w:r>
      <w:r w:rsidR="00100376" w:rsidRPr="00ED4F0E">
        <w:rPr>
          <w:iCs/>
          <w:lang w:val="en-US"/>
        </w:rPr>
        <w:t>)</w:t>
      </w:r>
      <w:r w:rsidR="00100376" w:rsidRPr="00ED4F0E">
        <w:rPr>
          <w:lang w:val="en-US"/>
        </w:rPr>
        <w:t xml:space="preserve"> </w:t>
      </w:r>
      <w:r w:rsidR="00100376" w:rsidRPr="00ED4F0E">
        <w:rPr>
          <w:rFonts w:ascii="Cambria Math" w:eastAsia="Arial Unicode MS" w:hAnsi="Cambria Math" w:cs="Arial Unicode MS"/>
          <w:color w:val="000000" w:themeColor="text1"/>
          <w:lang w:val="en-US"/>
        </w:rPr>
        <w:t>∪</w:t>
      </w:r>
      <w:r w:rsidR="00100376" w:rsidRPr="00ED4F0E">
        <w:rPr>
          <w:lang w:val="en-US"/>
        </w:rPr>
        <w:t xml:space="preserve"> … </w:t>
      </w:r>
      <w:r w:rsidR="00100376" w:rsidRPr="00ED4F0E">
        <w:rPr>
          <w:rFonts w:ascii="Cambria Math" w:eastAsia="Arial Unicode MS" w:hAnsi="Cambria Math" w:cs="Arial Unicode MS"/>
          <w:color w:val="000000" w:themeColor="text1"/>
          <w:lang w:val="en-US"/>
        </w:rPr>
        <w:t>∪</w:t>
      </w:r>
      <w:r w:rsidR="00100376" w:rsidRPr="00ED4F0E">
        <w:rPr>
          <w:lang w:val="en-US"/>
        </w:rPr>
        <w:t xml:space="preserve"> </w:t>
      </w:r>
      <w:r w:rsidR="00FF7A83" w:rsidRPr="00ED4F0E">
        <w:rPr>
          <w:rFonts w:ascii="Cambria Math" w:eastAsia="Arial Unicode MS" w:hAnsi="Cambria Math" w:cs="Arial Unicode MS"/>
          <w:lang w:val="en-US"/>
        </w:rPr>
        <w:t>℘</w:t>
      </w:r>
      <w:r w:rsidR="00100376" w:rsidRPr="00ED4F0E">
        <w:rPr>
          <w:lang w:val="en-US"/>
        </w:rPr>
        <w:t>(</w:t>
      </w:r>
      <w:r w:rsidR="00100376" w:rsidRPr="00ED4F0E">
        <w:rPr>
          <w:i/>
          <w:lang w:val="en-US"/>
        </w:rPr>
        <w:t>E</w:t>
      </w:r>
      <w:r w:rsidR="00100376" w:rsidRPr="00ED4F0E">
        <w:rPr>
          <w:vertAlign w:val="subscript"/>
          <w:lang w:val="en-US"/>
        </w:rPr>
        <w:t>|</w:t>
      </w:r>
      <w:r w:rsidR="00100376" w:rsidRPr="00ED4F0E">
        <w:rPr>
          <w:i/>
          <w:vertAlign w:val="subscript"/>
          <w:lang w:val="en-US"/>
        </w:rPr>
        <w:t>R</w:t>
      </w:r>
      <w:r w:rsidR="00100376" w:rsidRPr="00ED4F0E">
        <w:rPr>
          <w:vertAlign w:val="subscript"/>
          <w:lang w:val="en-US"/>
        </w:rPr>
        <w:t>|</w:t>
      </w:r>
      <w:r w:rsidR="00100376" w:rsidRPr="00ED4F0E">
        <w:rPr>
          <w:lang w:val="en-US"/>
        </w:rPr>
        <w:t>)</w:t>
      </w:r>
    </w:p>
    <w:p w:rsidR="00100376" w:rsidRPr="006C7497" w:rsidRDefault="00100376" w:rsidP="008508ED">
      <w:pPr>
        <w:pStyle w:val="Text"/>
        <w:ind w:firstLine="0"/>
        <w:jc w:val="left"/>
        <w:rPr>
          <w:lang w:val="en-US"/>
        </w:rPr>
      </w:pPr>
      <w:r w:rsidRPr="00ED4F0E">
        <w:rPr>
          <w:lang w:val="en-US"/>
        </w:rPr>
        <w:t xml:space="preserve">   </w:t>
      </w:r>
      <w:r w:rsidRPr="006C7497">
        <w:rPr>
          <w:lang w:val="en-US"/>
        </w:rPr>
        <w:t xml:space="preserve">for </w:t>
      </w:r>
      <w:r w:rsidRPr="006C7497">
        <w:rPr>
          <w:i/>
          <w:lang w:val="en-US"/>
        </w:rPr>
        <w:t>i</w:t>
      </w:r>
      <w:r w:rsidRPr="006C7497">
        <w:rPr>
          <w:lang w:val="en-US"/>
        </w:rPr>
        <w:t xml:space="preserve"> := 1 to |</w:t>
      </w:r>
      <w:r w:rsidRPr="006C7497">
        <w:rPr>
          <w:i/>
          <w:lang w:val="en-US"/>
        </w:rPr>
        <w:t>P</w:t>
      </w:r>
      <w:r w:rsidRPr="006C7497">
        <w:rPr>
          <w:lang w:val="en-US"/>
        </w:rPr>
        <w:t>|</w:t>
      </w:r>
    </w:p>
    <w:p w:rsidR="00100376" w:rsidRDefault="00100376" w:rsidP="008508ED">
      <w:pPr>
        <w:pStyle w:val="Text"/>
        <w:ind w:firstLine="0"/>
        <w:jc w:val="left"/>
        <w:rPr>
          <w:lang w:val="en-US"/>
        </w:rPr>
      </w:pPr>
      <w:r w:rsidRPr="002F5378">
        <w:rPr>
          <w:lang w:val="en-US"/>
        </w:rPr>
        <w:t xml:space="preserve">      </w:t>
      </w:r>
      <w:r w:rsidRPr="00785FF8">
        <w:rPr>
          <w:iCs/>
          <w:lang w:val="en-US"/>
        </w:rPr>
        <w:t xml:space="preserve">for </w:t>
      </w:r>
      <w:r w:rsidRPr="00785FF8">
        <w:rPr>
          <w:i/>
          <w:lang w:val="en-US"/>
        </w:rPr>
        <w:t>j</w:t>
      </w:r>
      <w:r w:rsidRPr="00785FF8">
        <w:rPr>
          <w:lang w:val="en-US"/>
        </w:rPr>
        <w:t xml:space="preserve"> := 1 to |</w:t>
      </w:r>
      <w:r w:rsidRPr="00785FF8">
        <w:rPr>
          <w:i/>
          <w:lang w:val="en-US"/>
        </w:rPr>
        <w:t>Q</w:t>
      </w:r>
      <w:r w:rsidRPr="00785FF8">
        <w:rPr>
          <w:lang w:val="en-US"/>
        </w:rPr>
        <w:t>|</w:t>
      </w:r>
    </w:p>
    <w:p w:rsidR="00775F94" w:rsidRPr="00787AA9" w:rsidRDefault="00775F94" w:rsidP="008508ED">
      <w:pPr>
        <w:pStyle w:val="Text"/>
        <w:ind w:firstLine="0"/>
        <w:jc w:val="left"/>
        <w:rPr>
          <w:lang w:val="en-US"/>
        </w:rPr>
      </w:pPr>
      <w:r w:rsidRPr="004D63E7">
        <w:rPr>
          <w:lang w:val="en-US"/>
        </w:rPr>
        <w:t xml:space="preserve">         </w:t>
      </w:r>
      <w:r w:rsidRPr="00787AA9">
        <w:rPr>
          <w:i/>
          <w:iCs/>
          <w:lang w:val="en-US"/>
        </w:rPr>
        <w:t>m</w:t>
      </w:r>
      <w:r w:rsidRPr="00787AA9">
        <w:rPr>
          <w:i/>
          <w:iCs/>
          <w:vertAlign w:val="subscript"/>
          <w:lang w:val="en-US"/>
        </w:rPr>
        <w:t>s</w:t>
      </w:r>
      <w:r w:rsidRPr="00787AA9">
        <w:rPr>
          <w:lang w:val="en-US"/>
        </w:rPr>
        <w:t xml:space="preserve">, </w:t>
      </w:r>
      <w:r w:rsidRPr="00787AA9">
        <w:rPr>
          <w:i/>
          <w:iCs/>
          <w:lang w:val="en-US"/>
        </w:rPr>
        <w:t>n</w:t>
      </w:r>
      <w:r w:rsidRPr="00787AA9">
        <w:rPr>
          <w:lang w:val="en-US"/>
        </w:rPr>
        <w:t xml:space="preserve">, </w:t>
      </w:r>
      <w:r w:rsidRPr="00787AA9">
        <w:rPr>
          <w:i/>
          <w:iCs/>
          <w:lang w:val="en-US"/>
        </w:rPr>
        <w:t>g</w:t>
      </w:r>
      <w:r w:rsidRPr="00787AA9">
        <w:rPr>
          <w:iCs/>
          <w:lang w:val="en-US"/>
        </w:rPr>
        <w:t xml:space="preserve">, </w:t>
      </w:r>
      <w:r w:rsidRPr="00787AA9">
        <w:rPr>
          <w:i/>
          <w:iCs/>
          <w:lang w:val="en-US"/>
        </w:rPr>
        <w:t>g</w:t>
      </w:r>
      <w:r w:rsidRPr="00787AA9">
        <w:rPr>
          <w:i/>
          <w:iCs/>
          <w:vertAlign w:val="subscript"/>
          <w:lang w:val="en-US"/>
        </w:rPr>
        <w:t>x</w:t>
      </w:r>
      <w:r w:rsidRPr="00787AA9">
        <w:rPr>
          <w:iCs/>
          <w:lang w:val="en-US"/>
        </w:rPr>
        <w:t xml:space="preserve"> := 0</w:t>
      </w:r>
    </w:p>
    <w:p w:rsidR="00D2554C" w:rsidRPr="00706A0F" w:rsidRDefault="00D2554C" w:rsidP="008508ED">
      <w:pPr>
        <w:pStyle w:val="Text"/>
        <w:ind w:firstLine="0"/>
        <w:jc w:val="left"/>
        <w:rPr>
          <w:lang w:val="en-US"/>
        </w:rPr>
      </w:pPr>
      <w:r w:rsidRPr="00787AA9">
        <w:rPr>
          <w:lang w:val="en-US"/>
        </w:rPr>
        <w:t xml:space="preserve">         </w:t>
      </w:r>
      <w:r w:rsidRPr="00597D23">
        <w:rPr>
          <w:lang w:val="en-US"/>
        </w:rPr>
        <w:t xml:space="preserve">if </w:t>
      </w:r>
      <w:r w:rsidRPr="00597D23">
        <w:rPr>
          <w:i/>
          <w:iCs/>
          <w:lang w:val="en-US"/>
        </w:rPr>
        <w:t>P</w:t>
      </w:r>
      <w:r w:rsidRPr="00597D23">
        <w:rPr>
          <w:i/>
          <w:vertAlign w:val="subscript"/>
          <w:lang w:val="en-US"/>
        </w:rPr>
        <w:t>i</w:t>
      </w:r>
      <w:r w:rsidRPr="00597D23">
        <w:rPr>
          <w:lang w:val="en-US"/>
        </w:rPr>
        <w:t xml:space="preserve"> </w:t>
      </w:r>
      <w:r w:rsidR="00182FB7" w:rsidRPr="00E009F6">
        <w:rPr>
          <w:rFonts w:ascii="Cambria Math" w:eastAsia="Arial Unicode MS" w:hAnsi="Cambria Math" w:cs="Arial Unicode MS"/>
          <w:lang w:val="en-US"/>
        </w:rPr>
        <w:t>∩</w:t>
      </w:r>
      <w:r w:rsidRPr="00597D23">
        <w:rPr>
          <w:lang w:val="en-US"/>
        </w:rPr>
        <w:t xml:space="preserve"> </w:t>
      </w:r>
      <w:r w:rsidRPr="00597D23">
        <w:rPr>
          <w:i/>
          <w:iCs/>
          <w:lang w:val="en-US"/>
        </w:rPr>
        <w:t>Q</w:t>
      </w:r>
      <w:r w:rsidRPr="00597D23">
        <w:rPr>
          <w:i/>
          <w:vertAlign w:val="subscript"/>
          <w:lang w:val="en-US"/>
        </w:rPr>
        <w:t>j</w:t>
      </w:r>
      <w:r w:rsidRPr="00597D23">
        <w:rPr>
          <w:lang w:val="en-US"/>
        </w:rPr>
        <w:t xml:space="preserve"> = </w:t>
      </w:r>
      <w:r w:rsidR="00635DE8" w:rsidRPr="007F4805">
        <w:rPr>
          <w:position w:val="-6"/>
        </w:rPr>
        <w:object w:dxaOrig="260" w:dyaOrig="279">
          <v:shape id="_x0000_i1044" type="#_x0000_t75" style="width:14pt;height:13.6pt" o:ole="">
            <v:imagedata r:id="rId32" o:title=""/>
          </v:shape>
          <o:OLEObject Type="Embed" ProgID="Equation.3" ShapeID="_x0000_i1044" DrawAspect="Content" ObjectID="_1460983885" r:id="rId57"/>
        </w:object>
      </w:r>
    </w:p>
    <w:p w:rsidR="00D2554C" w:rsidRPr="00787AA9" w:rsidRDefault="00775F94" w:rsidP="00A3549D">
      <w:pPr>
        <w:pStyle w:val="Text"/>
        <w:ind w:hanging="369"/>
        <w:jc w:val="left"/>
        <w:rPr>
          <w:iCs/>
          <w:lang w:val="en-US"/>
        </w:rPr>
      </w:pPr>
      <w:r w:rsidRPr="004932E6">
        <w:rPr>
          <w:iCs/>
          <w:sz w:val="16"/>
          <w:szCs w:val="16"/>
          <w:lang w:val="en-US"/>
        </w:rPr>
        <w:t>2</w:t>
      </w:r>
      <w:r w:rsidR="007D7D84" w:rsidRPr="004932E6">
        <w:rPr>
          <w:iCs/>
          <w:sz w:val="16"/>
          <w:szCs w:val="16"/>
          <w:lang w:val="en-US"/>
        </w:rPr>
        <w:t>5</w:t>
      </w:r>
      <w:r w:rsidR="00D2554C" w:rsidRPr="00787AA9">
        <w:rPr>
          <w:iCs/>
          <w:lang w:val="en-US"/>
        </w:rPr>
        <w:tab/>
      </w:r>
      <w:r w:rsidR="000D074D" w:rsidRPr="00706A0F">
        <w:rPr>
          <w:lang w:val="en-US"/>
        </w:rPr>
        <w:t xml:space="preserve">            for </w:t>
      </w:r>
      <w:r w:rsidR="000D074D" w:rsidRPr="00706A0F">
        <w:rPr>
          <w:i/>
          <w:lang w:val="en-US"/>
        </w:rPr>
        <w:t>k</w:t>
      </w:r>
      <w:r w:rsidR="000D074D" w:rsidRPr="00706A0F">
        <w:rPr>
          <w:lang w:val="en-US"/>
        </w:rPr>
        <w:t xml:space="preserve"> := 1 to |</w:t>
      </w:r>
      <w:r w:rsidR="000D074D" w:rsidRPr="00706A0F">
        <w:rPr>
          <w:i/>
          <w:lang w:val="en-US"/>
        </w:rPr>
        <w:t>R</w:t>
      </w:r>
      <w:r w:rsidR="000D074D" w:rsidRPr="00706A0F">
        <w:rPr>
          <w:lang w:val="en-US"/>
        </w:rPr>
        <w:t>|</w:t>
      </w:r>
    </w:p>
    <w:p w:rsidR="000D074D" w:rsidRPr="00027756" w:rsidRDefault="000D074D" w:rsidP="008508ED">
      <w:pPr>
        <w:pStyle w:val="Text"/>
        <w:ind w:firstLine="0"/>
        <w:jc w:val="left"/>
        <w:rPr>
          <w:lang w:val="en-US"/>
        </w:rPr>
      </w:pPr>
      <w:r w:rsidRPr="00706A0F">
        <w:rPr>
          <w:iCs/>
          <w:lang w:val="en-US"/>
        </w:rPr>
        <w:t xml:space="preserve">               </w:t>
      </w:r>
      <w:r w:rsidRPr="00EB4A0E">
        <w:rPr>
          <w:iCs/>
          <w:lang w:val="en-US"/>
        </w:rPr>
        <w:t>if (</w:t>
      </w:r>
      <w:r w:rsidRPr="00EB4A0E">
        <w:rPr>
          <w:i/>
          <w:iCs/>
          <w:lang w:val="en-US"/>
        </w:rPr>
        <w:t>P</w:t>
      </w:r>
      <w:r w:rsidRPr="00EB4A0E">
        <w:rPr>
          <w:i/>
          <w:vertAlign w:val="subscript"/>
          <w:lang w:val="en-US"/>
        </w:rPr>
        <w:t>i</w:t>
      </w:r>
      <w:r w:rsidRPr="00EB4A0E">
        <w:rPr>
          <w:iCs/>
          <w:lang w:val="en-US"/>
        </w:rPr>
        <w:t xml:space="preserve"> </w:t>
      </w:r>
      <w:r w:rsidRPr="007A3BCE">
        <w:rPr>
          <w:rFonts w:ascii="Cambria Math" w:eastAsia="Arial Unicode MS" w:hAnsi="Cambria Math" w:cs="Arial Unicode MS"/>
          <w:lang w:val="en-US"/>
        </w:rPr>
        <w:t>⊆</w:t>
      </w:r>
      <w:r w:rsidR="00635DE8" w:rsidRPr="00635DE8">
        <w:rPr>
          <w:i/>
          <w:iCs/>
          <w:lang w:val="en-US"/>
        </w:rPr>
        <w:t xml:space="preserve"> </w:t>
      </w:r>
      <w:r w:rsidR="00635DE8">
        <w:rPr>
          <w:i/>
          <w:iCs/>
          <w:lang w:val="en-US"/>
        </w:rPr>
        <w:t>A</w:t>
      </w:r>
      <w:r>
        <w:rPr>
          <w:i/>
          <w:iCs/>
          <w:lang w:val="en-US"/>
        </w:rPr>
        <w:t>b</w:t>
      </w:r>
      <w:r w:rsidRPr="00EB4A0E">
        <w:rPr>
          <w:i/>
          <w:iCs/>
          <w:vertAlign w:val="subscript"/>
          <w:lang w:val="en-US"/>
        </w:rPr>
        <w:t>k</w:t>
      </w:r>
      <w:r w:rsidRPr="00EB4A0E">
        <w:rPr>
          <w:lang w:val="en-US"/>
        </w:rPr>
        <w:t xml:space="preserve">) </w:t>
      </w:r>
      <w:r w:rsidRPr="00EB4A0E">
        <w:rPr>
          <w:rFonts w:ascii="Cambria Math" w:hAnsi="Cambria Math" w:cs="Cambria Math"/>
          <w:color w:val="000000" w:themeColor="text1"/>
          <w:lang w:val="en-US"/>
        </w:rPr>
        <w:t>∧</w:t>
      </w:r>
      <w:r w:rsidRPr="00EB4A0E">
        <w:rPr>
          <w:lang w:val="en-US"/>
        </w:rPr>
        <w:t xml:space="preserve"> (</w:t>
      </w:r>
      <w:r w:rsidRPr="00EB4A0E">
        <w:rPr>
          <w:i/>
          <w:iCs/>
          <w:lang w:val="en-US"/>
        </w:rPr>
        <w:t>Q</w:t>
      </w:r>
      <w:r w:rsidRPr="00EB4A0E">
        <w:rPr>
          <w:i/>
          <w:vertAlign w:val="subscript"/>
          <w:lang w:val="en-US"/>
        </w:rPr>
        <w:t>j</w:t>
      </w:r>
      <w:r w:rsidRPr="00EB4A0E">
        <w:rPr>
          <w:lang w:val="en-US"/>
        </w:rPr>
        <w:t xml:space="preserve"> </w:t>
      </w:r>
      <w:r w:rsidRPr="007A3BCE">
        <w:rPr>
          <w:rFonts w:ascii="Cambria Math" w:eastAsia="Arial Unicode MS" w:hAnsi="Cambria Math" w:cs="Arial Unicode MS"/>
          <w:lang w:val="en-US"/>
        </w:rPr>
        <w:t>⊈</w:t>
      </w:r>
      <w:r w:rsidRPr="00EB4A0E">
        <w:rPr>
          <w:lang w:val="en-US"/>
        </w:rPr>
        <w:t xml:space="preserve"> </w:t>
      </w:r>
      <w:r>
        <w:rPr>
          <w:i/>
          <w:iCs/>
          <w:lang w:val="en-US"/>
        </w:rPr>
        <w:t>Ab</w:t>
      </w:r>
      <w:r w:rsidRPr="00EB4A0E">
        <w:rPr>
          <w:i/>
          <w:iCs/>
          <w:vertAlign w:val="subscript"/>
          <w:lang w:val="en-US"/>
        </w:rPr>
        <w:t>k</w:t>
      </w:r>
      <w:r>
        <w:rPr>
          <w:lang w:val="en-US"/>
        </w:rPr>
        <w:t>)</w:t>
      </w:r>
    </w:p>
    <w:p w:rsidR="000D074D" w:rsidRDefault="000D074D" w:rsidP="008508ED">
      <w:pPr>
        <w:pStyle w:val="Text"/>
        <w:ind w:firstLine="0"/>
        <w:jc w:val="left"/>
        <w:rPr>
          <w:iCs/>
          <w:lang w:val="en-US"/>
        </w:rPr>
      </w:pPr>
      <w:r w:rsidRPr="00787AA9">
        <w:rPr>
          <w:iCs/>
          <w:lang w:val="en-US"/>
        </w:rPr>
        <w:t xml:space="preserve">                  if </w:t>
      </w:r>
      <w:r w:rsidRPr="00787AA9">
        <w:rPr>
          <w:i/>
          <w:iCs/>
          <w:lang w:val="en-US"/>
        </w:rPr>
        <w:t>Q</w:t>
      </w:r>
      <w:r w:rsidRPr="00787AA9">
        <w:rPr>
          <w:i/>
          <w:vertAlign w:val="subscript"/>
          <w:lang w:val="en-US"/>
        </w:rPr>
        <w:t>j</w:t>
      </w:r>
      <w:r w:rsidRPr="00787AA9">
        <w:rPr>
          <w:iCs/>
          <w:lang w:val="en-US"/>
        </w:rPr>
        <w:t xml:space="preserve"> </w:t>
      </w:r>
      <w:r w:rsidRPr="007A3BCE">
        <w:rPr>
          <w:rFonts w:ascii="Cambria Math" w:eastAsia="Arial Unicode MS" w:hAnsi="Cambria Math" w:cs="Arial Unicode MS"/>
          <w:lang w:val="en-US"/>
        </w:rPr>
        <w:t>⊆</w:t>
      </w:r>
      <w:r w:rsidRPr="00787AA9">
        <w:rPr>
          <w:lang w:val="en-US"/>
        </w:rPr>
        <w:t xml:space="preserve"> </w:t>
      </w:r>
      <w:r w:rsidRPr="00787AA9">
        <w:rPr>
          <w:i/>
          <w:lang w:val="en-US"/>
        </w:rPr>
        <w:t>E</w:t>
      </w:r>
      <w:r w:rsidRPr="00787AA9">
        <w:rPr>
          <w:i/>
          <w:iCs/>
          <w:vertAlign w:val="subscript"/>
          <w:lang w:val="en-US"/>
        </w:rPr>
        <w:t>k</w:t>
      </w:r>
    </w:p>
    <w:p w:rsidR="00775F94" w:rsidRPr="00787AA9" w:rsidRDefault="00775F94" w:rsidP="008508ED">
      <w:pPr>
        <w:pStyle w:val="Text"/>
        <w:ind w:firstLine="0"/>
        <w:jc w:val="left"/>
        <w:rPr>
          <w:iCs/>
          <w:lang w:val="en-US"/>
        </w:rPr>
      </w:pPr>
      <w:r w:rsidRPr="00787AA9">
        <w:rPr>
          <w:iCs/>
          <w:lang w:val="en-US"/>
        </w:rPr>
        <w:t xml:space="preserve">                     </w:t>
      </w:r>
      <w:r w:rsidRPr="00787AA9">
        <w:rPr>
          <w:i/>
          <w:lang w:val="en-US"/>
        </w:rPr>
        <w:t>m</w:t>
      </w:r>
      <w:r w:rsidRPr="00787AA9">
        <w:rPr>
          <w:i/>
          <w:iCs/>
          <w:vertAlign w:val="subscript"/>
          <w:lang w:val="en-US"/>
        </w:rPr>
        <w:t>s</w:t>
      </w:r>
      <w:r w:rsidRPr="00787AA9">
        <w:rPr>
          <w:iCs/>
          <w:lang w:val="en-US"/>
        </w:rPr>
        <w:t xml:space="preserve"> := </w:t>
      </w:r>
      <w:r w:rsidRPr="00787AA9">
        <w:rPr>
          <w:i/>
          <w:lang w:val="en-US"/>
        </w:rPr>
        <w:t>m</w:t>
      </w:r>
      <w:r w:rsidRPr="00787AA9">
        <w:rPr>
          <w:i/>
          <w:iCs/>
          <w:vertAlign w:val="subscript"/>
          <w:lang w:val="en-US"/>
        </w:rPr>
        <w:t>s</w:t>
      </w:r>
      <w:r w:rsidRPr="00787AA9">
        <w:rPr>
          <w:iCs/>
          <w:lang w:val="en-US"/>
        </w:rPr>
        <w:t xml:space="preserve"> + 1</w:t>
      </w:r>
    </w:p>
    <w:p w:rsidR="00D2554C" w:rsidRPr="00CC5CB4" w:rsidRDefault="00D2554C" w:rsidP="008508ED">
      <w:pPr>
        <w:pStyle w:val="Text"/>
        <w:ind w:firstLine="0"/>
        <w:jc w:val="left"/>
        <w:rPr>
          <w:iCs/>
          <w:lang w:val="en-US"/>
        </w:rPr>
      </w:pPr>
      <w:r w:rsidRPr="00787AA9">
        <w:rPr>
          <w:iCs/>
          <w:lang w:val="en-US"/>
        </w:rPr>
        <w:t xml:space="preserve">                  </w:t>
      </w:r>
      <w:r w:rsidRPr="00CC5CB4">
        <w:rPr>
          <w:iCs/>
          <w:lang w:val="en-US"/>
        </w:rPr>
        <w:t>end</w:t>
      </w:r>
    </w:p>
    <w:p w:rsidR="00D2554C" w:rsidRPr="006E3E2C" w:rsidRDefault="007D7D84" w:rsidP="00355BBA">
      <w:pPr>
        <w:pStyle w:val="Text"/>
        <w:ind w:hanging="369"/>
        <w:jc w:val="left"/>
        <w:rPr>
          <w:iCs/>
          <w:lang w:val="en-US"/>
        </w:rPr>
      </w:pPr>
      <w:r w:rsidRPr="004932E6">
        <w:rPr>
          <w:iCs/>
          <w:sz w:val="16"/>
          <w:szCs w:val="16"/>
          <w:lang w:val="en-US"/>
        </w:rPr>
        <w:lastRenderedPageBreak/>
        <w:t>30</w:t>
      </w:r>
      <w:r w:rsidR="00D2554C" w:rsidRPr="006E3E2C">
        <w:rPr>
          <w:iCs/>
          <w:lang w:val="en-US"/>
        </w:rPr>
        <w:tab/>
      </w:r>
      <w:r w:rsidR="007D63B1" w:rsidRPr="00CC5CB4">
        <w:rPr>
          <w:iCs/>
          <w:lang w:val="en-US"/>
        </w:rPr>
        <w:t xml:space="preserve">                  if |{</w:t>
      </w:r>
      <w:r w:rsidR="007D63B1" w:rsidRPr="00CC5CB4">
        <w:rPr>
          <w:i/>
          <w:iCs/>
          <w:lang w:val="en-US"/>
        </w:rPr>
        <w:t>x</w:t>
      </w:r>
      <w:r w:rsidR="007D63B1" w:rsidRPr="00CC5CB4">
        <w:rPr>
          <w:lang w:val="en-US"/>
        </w:rPr>
        <w:t xml:space="preserve"> </w:t>
      </w:r>
      <w:r w:rsidR="007D63B1" w:rsidRPr="00E235A0">
        <w:rPr>
          <w:rFonts w:ascii="Cambria Math" w:eastAsia="Arial Unicode MS" w:hAnsi="Cambria Math" w:cs="Arial Unicode MS"/>
          <w:lang w:val="en-US"/>
        </w:rPr>
        <w:t>∊</w:t>
      </w:r>
      <w:r w:rsidR="007D63B1" w:rsidRPr="00CC5CB4">
        <w:rPr>
          <w:i/>
          <w:iCs/>
          <w:lang w:val="en-US"/>
        </w:rPr>
        <w:t xml:space="preserve"> A</w:t>
      </w:r>
      <w:r w:rsidR="007D63B1" w:rsidRPr="00CC5CB4">
        <w:rPr>
          <w:i/>
          <w:vertAlign w:val="subscript"/>
          <w:lang w:val="en-US"/>
        </w:rPr>
        <w:t>k</w:t>
      </w:r>
      <w:r w:rsidR="007D63B1" w:rsidRPr="00CC5CB4">
        <w:rPr>
          <w:lang w:val="en-US"/>
        </w:rPr>
        <w:t xml:space="preserve"> | </w:t>
      </w:r>
      <m:oMath>
        <m:sSub>
          <m:sSubPr>
            <m:ctrlPr>
              <w:rPr>
                <w:rFonts w:ascii="Cambria Math" w:hAnsi="Cambria Math" w:cs="Times New Roman"/>
                <w:i/>
              </w:rPr>
            </m:ctrlPr>
          </m:sSubPr>
          <m:e>
            <m:r>
              <m:rPr>
                <m:nor/>
              </m:rPr>
              <w:rPr>
                <w:rFonts w:cs="Times New Roman"/>
                <w:i/>
                <w:lang w:val="en-US"/>
              </w:rPr>
              <m:t>Q</m:t>
            </m:r>
          </m:e>
          <m:sub>
            <m:sSub>
              <m:sSubPr>
                <m:ctrlPr>
                  <w:rPr>
                    <w:rFonts w:ascii="Cambria Math" w:hAnsi="Cambria Math" w:cs="Times New Roman"/>
                    <w:i/>
                  </w:rPr>
                </m:ctrlPr>
              </m:sSubPr>
              <m:e>
                <m:r>
                  <m:rPr>
                    <m:nor/>
                  </m:rPr>
                  <w:rPr>
                    <w:rFonts w:cs="Times New Roman"/>
                    <w:i/>
                    <w:lang w:val="en-US"/>
                  </w:rPr>
                  <m:t>j</m:t>
                </m:r>
              </m:e>
              <m:sub>
                <m:r>
                  <m:rPr>
                    <m:nor/>
                  </m:rPr>
                  <w:rPr>
                    <w:rFonts w:cs="Times New Roman"/>
                    <w:lang w:val="en-US"/>
                  </w:rPr>
                  <m:t>1</m:t>
                </m:r>
              </m:sub>
            </m:sSub>
          </m:sub>
        </m:sSub>
      </m:oMath>
      <w:r w:rsidR="007D63B1" w:rsidRPr="00CC5CB4">
        <w:rPr>
          <w:lang w:val="en-US"/>
        </w:rPr>
        <w:t>(</w:t>
      </w:r>
      <w:r w:rsidR="007D63B1" w:rsidRPr="00CC5CB4">
        <w:rPr>
          <w:i/>
          <w:lang w:val="en-US"/>
        </w:rPr>
        <w:t>x</w:t>
      </w:r>
      <w:r w:rsidR="007D63B1" w:rsidRPr="00CC5CB4">
        <w:rPr>
          <w:lang w:val="en-US"/>
        </w:rPr>
        <w:t xml:space="preserve">) </w:t>
      </w:r>
      <w:r w:rsidR="007D63B1" w:rsidRPr="00CC5CB4">
        <w:rPr>
          <w:rFonts w:ascii="Cambria Math" w:hAnsi="Cambria Math" w:cs="Cambria Math"/>
          <w:color w:val="000000" w:themeColor="text1"/>
          <w:lang w:val="en-US"/>
        </w:rPr>
        <w:t>∧</w:t>
      </w:r>
      <w:r w:rsidR="007D63B1" w:rsidRPr="00CC5CB4">
        <w:rPr>
          <w:lang w:val="en-US"/>
        </w:rPr>
        <w:t xml:space="preserve"> … </w:t>
      </w:r>
      <w:r w:rsidR="007D63B1" w:rsidRPr="006E3E2C">
        <w:rPr>
          <w:rFonts w:ascii="Cambria Math" w:hAnsi="Cambria Math" w:cs="Cambria Math"/>
          <w:color w:val="000000" w:themeColor="text1"/>
          <w:lang w:val="en-US"/>
        </w:rPr>
        <w:t>∧</w:t>
      </w:r>
      <w:r w:rsidR="007D63B1" w:rsidRPr="006E3E2C">
        <w:rPr>
          <w:lang w:val="en-US"/>
        </w:rPr>
        <w:t xml:space="preserve"> </w:t>
      </w:r>
      <m:oMath>
        <m:sSub>
          <m:sSubPr>
            <m:ctrlPr>
              <w:rPr>
                <w:rFonts w:ascii="Cambria Math" w:hAnsi="Cambria Math" w:cs="Times New Roman"/>
                <w:i/>
              </w:rPr>
            </m:ctrlPr>
          </m:sSubPr>
          <m:e>
            <m:r>
              <m:rPr>
                <m:nor/>
              </m:rPr>
              <w:rPr>
                <w:rFonts w:cs="Times New Roman"/>
                <w:i/>
                <w:lang w:val="en-US"/>
              </w:rPr>
              <m:t>Q</m:t>
            </m:r>
          </m:e>
          <m:sub>
            <m:sSub>
              <m:sSubPr>
                <m:ctrlPr>
                  <w:rPr>
                    <w:rFonts w:ascii="Cambria Math" w:hAnsi="Cambria Math" w:cs="Times New Roman"/>
                    <w:i/>
                  </w:rPr>
                </m:ctrlPr>
              </m:sSubPr>
              <m:e>
                <m:r>
                  <m:rPr>
                    <m:nor/>
                  </m:rPr>
                  <w:rPr>
                    <w:rFonts w:cs="Times New Roman"/>
                    <w:i/>
                    <w:lang w:val="en-US"/>
                  </w:rPr>
                  <m:t>j</m:t>
                </m:r>
              </m:e>
              <m:sub>
                <m:sSub>
                  <m:sSubPr>
                    <m:ctrlPr>
                      <w:rPr>
                        <w:rFonts w:ascii="Cambria Math" w:hAnsi="Cambria Math" w:cs="Times New Roman"/>
                        <w:i/>
                      </w:rPr>
                    </m:ctrlPr>
                  </m:sSubPr>
                  <m:e>
                    <m:r>
                      <m:rPr>
                        <m:nor/>
                      </m:rPr>
                      <w:rPr>
                        <w:rFonts w:cs="Times New Roman"/>
                        <w:i/>
                        <w:lang w:val="en-US"/>
                      </w:rPr>
                      <m:t>|Q</m:t>
                    </m:r>
                  </m:e>
                  <m:sub>
                    <m:r>
                      <m:rPr>
                        <m:nor/>
                      </m:rPr>
                      <w:rPr>
                        <w:rFonts w:cs="Times New Roman"/>
                        <w:i/>
                        <w:sz w:val="22"/>
                        <w:szCs w:val="22"/>
                        <w:lang w:val="en-US"/>
                      </w:rPr>
                      <m:t>j</m:t>
                    </m:r>
                  </m:sub>
                </m:sSub>
                <m:r>
                  <m:rPr>
                    <m:nor/>
                  </m:rPr>
                  <w:rPr>
                    <w:rFonts w:cs="Times New Roman"/>
                    <w:i/>
                    <w:lang w:val="en-US"/>
                  </w:rPr>
                  <m:t>|</m:t>
                </m:r>
              </m:sub>
            </m:sSub>
          </m:sub>
        </m:sSub>
      </m:oMath>
      <w:r w:rsidR="007D63B1" w:rsidRPr="006E3E2C">
        <w:rPr>
          <w:lang w:val="en-US"/>
        </w:rPr>
        <w:t>(</w:t>
      </w:r>
      <w:r w:rsidR="007D63B1" w:rsidRPr="006E3E2C">
        <w:rPr>
          <w:i/>
          <w:lang w:val="en-US"/>
        </w:rPr>
        <w:t>x</w:t>
      </w:r>
      <w:r w:rsidR="007D63B1" w:rsidRPr="006E3E2C">
        <w:rPr>
          <w:lang w:val="en-US"/>
        </w:rPr>
        <w:t>)</w:t>
      </w:r>
      <w:r w:rsidR="007D63B1" w:rsidRPr="006E3E2C">
        <w:rPr>
          <w:iCs/>
          <w:lang w:val="en-US"/>
        </w:rPr>
        <w:t>}| &gt; 0</w:t>
      </w:r>
    </w:p>
    <w:p w:rsidR="007D63B1" w:rsidRPr="006E3E2C" w:rsidRDefault="007D63B1" w:rsidP="008508ED">
      <w:pPr>
        <w:pStyle w:val="Text"/>
        <w:ind w:firstLine="0"/>
        <w:jc w:val="left"/>
        <w:rPr>
          <w:iCs/>
          <w:lang w:val="en-US"/>
        </w:rPr>
      </w:pPr>
      <w:r w:rsidRPr="006E3E2C">
        <w:rPr>
          <w:iCs/>
          <w:lang w:val="en-US"/>
        </w:rPr>
        <w:t xml:space="preserve">                     </w:t>
      </w:r>
      <w:r w:rsidRPr="006E3E2C">
        <w:rPr>
          <w:i/>
          <w:lang w:val="en-US"/>
        </w:rPr>
        <w:t>n</w:t>
      </w:r>
      <w:r w:rsidRPr="006E3E2C">
        <w:rPr>
          <w:iCs/>
          <w:lang w:val="en-US"/>
        </w:rPr>
        <w:t xml:space="preserve"> := </w:t>
      </w:r>
      <w:r w:rsidRPr="006E3E2C">
        <w:rPr>
          <w:i/>
          <w:lang w:val="en-US"/>
        </w:rPr>
        <w:t>n</w:t>
      </w:r>
      <w:r w:rsidRPr="006E3E2C">
        <w:rPr>
          <w:iCs/>
          <w:lang w:val="en-US"/>
        </w:rPr>
        <w:t xml:space="preserve"> + 1</w:t>
      </w:r>
    </w:p>
    <w:p w:rsidR="007D63B1" w:rsidRDefault="007D63B1" w:rsidP="008508ED">
      <w:pPr>
        <w:pStyle w:val="Text"/>
        <w:ind w:firstLine="0"/>
        <w:jc w:val="left"/>
        <w:rPr>
          <w:iCs/>
          <w:lang w:val="en-US"/>
        </w:rPr>
      </w:pPr>
      <w:r w:rsidRPr="006E3E2C">
        <w:rPr>
          <w:iCs/>
          <w:lang w:val="en-US"/>
        </w:rPr>
        <w:t xml:space="preserve">                     </w:t>
      </w:r>
      <w:r w:rsidRPr="006E3E2C">
        <w:rPr>
          <w:i/>
          <w:iCs/>
          <w:lang w:val="en-US"/>
        </w:rPr>
        <w:t>g</w:t>
      </w:r>
      <w:r w:rsidRPr="006E3E2C">
        <w:rPr>
          <w:lang w:val="en-US"/>
        </w:rPr>
        <w:tab/>
      </w:r>
      <w:r w:rsidRPr="006E3E2C">
        <w:rPr>
          <w:iCs/>
          <w:lang w:val="en-US"/>
        </w:rPr>
        <w:t xml:space="preserve">:= </w:t>
      </w:r>
      <w:r w:rsidRPr="006E3E2C">
        <w:rPr>
          <w:i/>
          <w:lang w:val="en-US"/>
        </w:rPr>
        <w:t>g</w:t>
      </w:r>
      <w:r w:rsidRPr="006E3E2C">
        <w:rPr>
          <w:iCs/>
          <w:lang w:val="en-US"/>
        </w:rPr>
        <w:t xml:space="preserve"> + |</w:t>
      </w:r>
      <w:r w:rsidRPr="006E3E2C">
        <w:rPr>
          <w:i/>
          <w:iCs/>
          <w:lang w:val="en-US"/>
        </w:rPr>
        <w:t>A</w:t>
      </w:r>
      <w:r w:rsidRPr="006E3E2C">
        <w:rPr>
          <w:i/>
          <w:vertAlign w:val="subscript"/>
          <w:lang w:val="en-US"/>
        </w:rPr>
        <w:t>k</w:t>
      </w:r>
      <w:r w:rsidRPr="006E3E2C">
        <w:rPr>
          <w:iCs/>
          <w:lang w:val="en-US"/>
        </w:rPr>
        <w:t>|</w:t>
      </w:r>
    </w:p>
    <w:p w:rsidR="00775F94" w:rsidRPr="006E3E2C" w:rsidRDefault="00775F94" w:rsidP="008508ED">
      <w:pPr>
        <w:pStyle w:val="Text"/>
        <w:ind w:firstLine="0"/>
        <w:jc w:val="left"/>
        <w:rPr>
          <w:iCs/>
          <w:lang w:val="en-US"/>
        </w:rPr>
      </w:pPr>
      <w:r w:rsidRPr="006E3E2C">
        <w:rPr>
          <w:iCs/>
          <w:lang w:val="en-US"/>
        </w:rPr>
        <w:t xml:space="preserve">                     </w:t>
      </w:r>
      <w:r w:rsidRPr="006E3E2C">
        <w:rPr>
          <w:i/>
          <w:iCs/>
          <w:lang w:val="en-US"/>
        </w:rPr>
        <w:t>g</w:t>
      </w:r>
      <w:r w:rsidRPr="006E3E2C">
        <w:rPr>
          <w:i/>
          <w:iCs/>
          <w:vertAlign w:val="subscript"/>
          <w:lang w:val="en-US"/>
        </w:rPr>
        <w:t>x</w:t>
      </w:r>
      <w:r w:rsidRPr="006E3E2C">
        <w:rPr>
          <w:iCs/>
          <w:lang w:val="en-US"/>
        </w:rPr>
        <w:t xml:space="preserve"> := </w:t>
      </w:r>
      <w:r w:rsidRPr="006E3E2C">
        <w:rPr>
          <w:i/>
          <w:iCs/>
          <w:lang w:val="en-US"/>
        </w:rPr>
        <w:t>g</w:t>
      </w:r>
      <w:r w:rsidRPr="006E3E2C">
        <w:rPr>
          <w:i/>
          <w:iCs/>
          <w:vertAlign w:val="subscript"/>
          <w:lang w:val="en-US"/>
        </w:rPr>
        <w:t>x</w:t>
      </w:r>
      <w:r w:rsidRPr="006E3E2C">
        <w:rPr>
          <w:iCs/>
          <w:lang w:val="en-US"/>
        </w:rPr>
        <w:t xml:space="preserve"> + |{</w:t>
      </w:r>
      <w:r w:rsidRPr="006E3E2C">
        <w:rPr>
          <w:i/>
          <w:iCs/>
          <w:lang w:val="en-US"/>
        </w:rPr>
        <w:t>x</w:t>
      </w:r>
      <w:r w:rsidRPr="006E3E2C">
        <w:rPr>
          <w:lang w:val="en-US"/>
        </w:rPr>
        <w:t xml:space="preserve"> </w:t>
      </w:r>
      <w:r w:rsidR="00E235A0" w:rsidRPr="00E235A0">
        <w:rPr>
          <w:rFonts w:ascii="Cambria Math" w:eastAsia="Arial Unicode MS" w:hAnsi="Cambria Math" w:cs="Arial Unicode MS"/>
          <w:lang w:val="en-US"/>
        </w:rPr>
        <w:t>∊</w:t>
      </w:r>
      <w:r w:rsidRPr="006E3E2C">
        <w:rPr>
          <w:i/>
          <w:iCs/>
          <w:lang w:val="en-US"/>
        </w:rPr>
        <w:t xml:space="preserve"> A</w:t>
      </w:r>
      <w:r w:rsidRPr="006E3E2C">
        <w:rPr>
          <w:i/>
          <w:vertAlign w:val="subscript"/>
          <w:lang w:val="en-US"/>
        </w:rPr>
        <w:t>k</w:t>
      </w:r>
      <w:r w:rsidRPr="006E3E2C">
        <w:rPr>
          <w:lang w:val="en-US"/>
        </w:rPr>
        <w:t xml:space="preserve"> | </w:t>
      </w:r>
      <m:oMath>
        <m:sSub>
          <m:sSubPr>
            <m:ctrlPr>
              <w:rPr>
                <w:rFonts w:ascii="Cambria Math" w:hAnsi="Cambria Math" w:cs="Times New Roman"/>
                <w:i/>
              </w:rPr>
            </m:ctrlPr>
          </m:sSubPr>
          <m:e>
            <m:r>
              <m:rPr>
                <m:nor/>
              </m:rPr>
              <w:rPr>
                <w:rFonts w:cs="Times New Roman"/>
                <w:i/>
                <w:lang w:val="en-US"/>
              </w:rPr>
              <m:t>Q</m:t>
            </m:r>
          </m:e>
          <m:sub>
            <m:sSub>
              <m:sSubPr>
                <m:ctrlPr>
                  <w:rPr>
                    <w:rFonts w:ascii="Cambria Math" w:hAnsi="Cambria Math" w:cs="Times New Roman"/>
                    <w:i/>
                  </w:rPr>
                </m:ctrlPr>
              </m:sSubPr>
              <m:e>
                <m:r>
                  <m:rPr>
                    <m:nor/>
                  </m:rPr>
                  <w:rPr>
                    <w:rFonts w:cs="Times New Roman"/>
                    <w:i/>
                    <w:lang w:val="en-US"/>
                  </w:rPr>
                  <m:t>j</m:t>
                </m:r>
              </m:e>
              <m:sub>
                <m:r>
                  <m:rPr>
                    <m:nor/>
                  </m:rPr>
                  <w:rPr>
                    <w:rFonts w:cs="Times New Roman"/>
                    <w:lang w:val="en-US"/>
                  </w:rPr>
                  <m:t>1</m:t>
                </m:r>
              </m:sub>
            </m:sSub>
          </m:sub>
        </m:sSub>
      </m:oMath>
      <w:r w:rsidRPr="006E3E2C">
        <w:rPr>
          <w:lang w:val="en-US"/>
        </w:rPr>
        <w:t>(</w:t>
      </w:r>
      <w:r w:rsidRPr="006E3E2C">
        <w:rPr>
          <w:i/>
          <w:lang w:val="en-US"/>
        </w:rPr>
        <w:t>x</w:t>
      </w:r>
      <w:r w:rsidRPr="006E3E2C">
        <w:rPr>
          <w:lang w:val="en-US"/>
        </w:rPr>
        <w:t xml:space="preserve">) </w:t>
      </w:r>
      <w:r w:rsidRPr="006E3E2C">
        <w:rPr>
          <w:rFonts w:ascii="Cambria Math" w:hAnsi="Cambria Math" w:cs="Cambria Math"/>
          <w:color w:val="000000" w:themeColor="text1"/>
          <w:lang w:val="en-US"/>
        </w:rPr>
        <w:t>∧</w:t>
      </w:r>
      <w:r w:rsidRPr="006E3E2C">
        <w:rPr>
          <w:lang w:val="en-US"/>
        </w:rPr>
        <w:t xml:space="preserve"> … </w:t>
      </w:r>
      <w:r w:rsidRPr="006E3E2C">
        <w:rPr>
          <w:rFonts w:ascii="Cambria Math" w:hAnsi="Cambria Math" w:cs="Cambria Math"/>
          <w:color w:val="000000" w:themeColor="text1"/>
          <w:lang w:val="en-US"/>
        </w:rPr>
        <w:t>∧</w:t>
      </w:r>
      <w:r w:rsidRPr="006E3E2C">
        <w:rPr>
          <w:lang w:val="en-US"/>
        </w:rPr>
        <w:t xml:space="preserve"> </w:t>
      </w:r>
      <m:oMath>
        <m:sSub>
          <m:sSubPr>
            <m:ctrlPr>
              <w:rPr>
                <w:rFonts w:ascii="Cambria Math" w:hAnsi="Cambria Math" w:cs="Times New Roman"/>
                <w:i/>
              </w:rPr>
            </m:ctrlPr>
          </m:sSubPr>
          <m:e>
            <m:r>
              <m:rPr>
                <m:nor/>
              </m:rPr>
              <w:rPr>
                <w:rFonts w:cs="Times New Roman"/>
                <w:i/>
                <w:lang w:val="en-US"/>
              </w:rPr>
              <m:t>Q</m:t>
            </m:r>
          </m:e>
          <m:sub>
            <m:sSub>
              <m:sSubPr>
                <m:ctrlPr>
                  <w:rPr>
                    <w:rFonts w:ascii="Cambria Math" w:hAnsi="Cambria Math" w:cs="Times New Roman"/>
                    <w:i/>
                  </w:rPr>
                </m:ctrlPr>
              </m:sSubPr>
              <m:e>
                <m:r>
                  <m:rPr>
                    <m:nor/>
                  </m:rPr>
                  <w:rPr>
                    <w:rFonts w:cs="Times New Roman"/>
                    <w:i/>
                    <w:lang w:val="en-US"/>
                  </w:rPr>
                  <m:t>j</m:t>
                </m:r>
              </m:e>
              <m:sub>
                <m:sSub>
                  <m:sSubPr>
                    <m:ctrlPr>
                      <w:rPr>
                        <w:rFonts w:ascii="Cambria Math" w:hAnsi="Cambria Math" w:cs="Times New Roman"/>
                        <w:i/>
                      </w:rPr>
                    </m:ctrlPr>
                  </m:sSubPr>
                  <m:e>
                    <m:r>
                      <m:rPr>
                        <m:nor/>
                      </m:rPr>
                      <w:rPr>
                        <w:rFonts w:cs="Times New Roman"/>
                        <w:i/>
                        <w:lang w:val="en-US"/>
                      </w:rPr>
                      <m:t>|Q</m:t>
                    </m:r>
                  </m:e>
                  <m:sub>
                    <m:r>
                      <m:rPr>
                        <m:nor/>
                      </m:rPr>
                      <w:rPr>
                        <w:rFonts w:cs="Times New Roman"/>
                        <w:i/>
                        <w:sz w:val="22"/>
                        <w:szCs w:val="22"/>
                        <w:lang w:val="en-US"/>
                      </w:rPr>
                      <m:t>j</m:t>
                    </m:r>
                  </m:sub>
                </m:sSub>
                <m:r>
                  <m:rPr>
                    <m:nor/>
                  </m:rPr>
                  <w:rPr>
                    <w:rFonts w:cs="Times New Roman"/>
                    <w:i/>
                    <w:lang w:val="en-US"/>
                  </w:rPr>
                  <m:t>|</m:t>
                </m:r>
              </m:sub>
            </m:sSub>
          </m:sub>
        </m:sSub>
      </m:oMath>
      <w:r w:rsidRPr="006E3E2C">
        <w:rPr>
          <w:lang w:val="en-US"/>
        </w:rPr>
        <w:t>(</w:t>
      </w:r>
      <w:r w:rsidRPr="006E3E2C">
        <w:rPr>
          <w:i/>
          <w:lang w:val="en-US"/>
        </w:rPr>
        <w:t>x</w:t>
      </w:r>
      <w:r w:rsidRPr="006E3E2C">
        <w:rPr>
          <w:lang w:val="en-US"/>
        </w:rPr>
        <w:t>)</w:t>
      </w:r>
      <w:r w:rsidR="00C974D1" w:rsidRPr="006E3E2C">
        <w:rPr>
          <w:iCs/>
          <w:lang w:val="en-US"/>
        </w:rPr>
        <w:t>}|</w:t>
      </w:r>
    </w:p>
    <w:p w:rsidR="00D2554C" w:rsidRDefault="00D2554C" w:rsidP="008508ED">
      <w:pPr>
        <w:pStyle w:val="Text"/>
        <w:ind w:firstLine="0"/>
        <w:jc w:val="left"/>
        <w:rPr>
          <w:iCs/>
          <w:lang w:val="en-US"/>
        </w:rPr>
      </w:pPr>
      <w:r w:rsidRPr="006E3E2C">
        <w:rPr>
          <w:iCs/>
          <w:lang w:val="en-US"/>
        </w:rPr>
        <w:t xml:space="preserve">                  </w:t>
      </w:r>
      <w:r w:rsidRPr="00787AA9">
        <w:rPr>
          <w:iCs/>
          <w:lang w:val="en-US"/>
        </w:rPr>
        <w:t>end</w:t>
      </w:r>
    </w:p>
    <w:p w:rsidR="00AC2DC9" w:rsidRPr="00787AA9" w:rsidRDefault="00AC2DC9" w:rsidP="00355BBA">
      <w:pPr>
        <w:pStyle w:val="Text"/>
        <w:ind w:hanging="369"/>
        <w:jc w:val="left"/>
        <w:rPr>
          <w:lang w:val="en-US"/>
        </w:rPr>
      </w:pPr>
      <w:r w:rsidRPr="004932E6">
        <w:rPr>
          <w:sz w:val="16"/>
          <w:szCs w:val="16"/>
          <w:lang w:val="en-US"/>
        </w:rPr>
        <w:t>35</w:t>
      </w:r>
      <w:r w:rsidRPr="00787AA9">
        <w:rPr>
          <w:lang w:val="en-US"/>
        </w:rPr>
        <w:tab/>
      </w:r>
      <w:r>
        <w:rPr>
          <w:lang w:val="en-US"/>
        </w:rPr>
        <w:t xml:space="preserve">      </w:t>
      </w:r>
      <w:r w:rsidRPr="00787AA9">
        <w:rPr>
          <w:iCs/>
          <w:lang w:val="en-US"/>
        </w:rPr>
        <w:t xml:space="preserve">         end</w:t>
      </w:r>
    </w:p>
    <w:p w:rsidR="00D2554C" w:rsidRPr="00787AA9" w:rsidRDefault="00D2554C" w:rsidP="008508ED">
      <w:pPr>
        <w:pStyle w:val="Text"/>
        <w:ind w:firstLine="0"/>
        <w:jc w:val="left"/>
        <w:rPr>
          <w:iCs/>
          <w:lang w:val="en-US"/>
        </w:rPr>
      </w:pPr>
      <w:r w:rsidRPr="00787AA9">
        <w:rPr>
          <w:iCs/>
          <w:lang w:val="en-US"/>
        </w:rPr>
        <w:t xml:space="preserve">            end</w:t>
      </w:r>
    </w:p>
    <w:p w:rsidR="00D2554C" w:rsidRDefault="00D2554C" w:rsidP="008508ED">
      <w:pPr>
        <w:pStyle w:val="Text"/>
        <w:ind w:firstLine="0"/>
        <w:jc w:val="left"/>
        <w:rPr>
          <w:iCs/>
          <w:lang w:val="en-US"/>
        </w:rPr>
      </w:pPr>
      <w:r w:rsidRPr="00787AA9">
        <w:rPr>
          <w:iCs/>
          <w:lang w:val="en-US"/>
        </w:rPr>
        <w:t xml:space="preserve">         end</w:t>
      </w:r>
    </w:p>
    <w:p w:rsidR="003351EC" w:rsidRPr="009C38B1" w:rsidRDefault="008508ED" w:rsidP="008508ED">
      <w:pPr>
        <w:pStyle w:val="Text"/>
        <w:ind w:firstLine="0"/>
        <w:jc w:val="left"/>
        <w:rPr>
          <w:iCs/>
          <w:lang w:val="en-US"/>
        </w:rPr>
      </w:pPr>
      <w:r>
        <w:rPr>
          <w:iCs/>
          <w:lang w:val="en-US"/>
        </w:rPr>
        <w:t xml:space="preserve">         </w:t>
      </w:r>
      <w:r w:rsidRPr="008508ED">
        <w:rPr>
          <w:i/>
          <w:iCs/>
          <w:lang w:val="en-US"/>
        </w:rPr>
        <w:t>w</w:t>
      </w:r>
      <w:r w:rsidR="004F3E8C" w:rsidRPr="007F565F">
        <w:rPr>
          <w:iCs/>
          <w:lang w:val="en-US"/>
        </w:rPr>
        <w:t xml:space="preserve"> := 1 </w:t>
      </w:r>
      <w:r w:rsidR="004F3E8C" w:rsidRPr="007F565F">
        <w:rPr>
          <w:rFonts w:cs="Times New Roman"/>
          <w:lang w:val="en-US"/>
        </w:rPr>
        <w:t xml:space="preserve">− </w:t>
      </w:r>
      <w:r w:rsidR="00A14B9A" w:rsidRPr="00092164">
        <w:rPr>
          <w:iCs/>
          <w:position w:val="-50"/>
        </w:rPr>
        <w:object w:dxaOrig="639" w:dyaOrig="1060">
          <v:shape id="_x0000_i1045" type="#_x0000_t75" style="width:33.2pt;height:50.8pt" o:ole="">
            <v:imagedata r:id="rId58" o:title=""/>
          </v:shape>
          <o:OLEObject Type="Embed" ProgID="Equation.3" ShapeID="_x0000_i1045" DrawAspect="Content" ObjectID="_1460983886" r:id="rId59"/>
        </w:object>
      </w:r>
    </w:p>
    <w:p w:rsidR="00775F94" w:rsidRPr="009C38B1" w:rsidRDefault="00775F94" w:rsidP="008508ED">
      <w:pPr>
        <w:pStyle w:val="Text"/>
        <w:ind w:firstLine="0"/>
        <w:jc w:val="left"/>
        <w:rPr>
          <w:iCs/>
          <w:lang w:val="en-US"/>
        </w:rPr>
      </w:pPr>
      <w:r w:rsidRPr="009C38B1">
        <w:rPr>
          <w:iCs/>
          <w:lang w:val="en-US"/>
        </w:rPr>
        <w:t xml:space="preserve">         if </w:t>
      </w:r>
      <w:r w:rsidRPr="009C38B1">
        <w:rPr>
          <w:i/>
          <w:lang w:val="en-US"/>
        </w:rPr>
        <w:t>w</w:t>
      </w:r>
      <w:r w:rsidR="0076532C" w:rsidRPr="009C38B1">
        <w:rPr>
          <w:iCs/>
          <w:lang w:val="en-US"/>
        </w:rPr>
        <w:t xml:space="preserve"> &gt; 0</w:t>
      </w:r>
    </w:p>
    <w:p w:rsidR="007F565F" w:rsidRPr="00787AA9" w:rsidRDefault="007F565F" w:rsidP="00355BBA">
      <w:pPr>
        <w:pStyle w:val="Text"/>
        <w:ind w:hanging="369"/>
        <w:jc w:val="left"/>
        <w:rPr>
          <w:lang w:val="en-US"/>
        </w:rPr>
      </w:pPr>
      <w:r w:rsidRPr="004932E6">
        <w:rPr>
          <w:sz w:val="16"/>
          <w:szCs w:val="16"/>
          <w:lang w:val="en-US"/>
        </w:rPr>
        <w:t>40</w:t>
      </w:r>
      <w:r w:rsidRPr="00787AA9">
        <w:rPr>
          <w:lang w:val="en-US"/>
        </w:rPr>
        <w:tab/>
      </w:r>
      <w:r w:rsidR="00906E88" w:rsidRPr="009C38B1">
        <w:rPr>
          <w:iCs/>
          <w:lang w:val="en-US"/>
        </w:rPr>
        <w:t xml:space="preserve">            </w:t>
      </w:r>
      <w:r w:rsidR="00906E88" w:rsidRPr="009C38B1">
        <w:rPr>
          <w:i/>
          <w:iCs/>
          <w:lang w:val="en-US"/>
        </w:rPr>
        <w:t>p</w:t>
      </w:r>
      <w:r w:rsidR="00906E88" w:rsidRPr="009C38B1">
        <w:rPr>
          <w:lang w:val="en-US"/>
        </w:rPr>
        <w:t xml:space="preserve"> := </w:t>
      </w:r>
      <w:r w:rsidR="00906E88" w:rsidRPr="009C38B1">
        <w:rPr>
          <w:i/>
          <w:iCs/>
          <w:lang w:val="en-US"/>
        </w:rPr>
        <w:t>p</w:t>
      </w:r>
      <w:r w:rsidR="00906E88" w:rsidRPr="009C38B1">
        <w:rPr>
          <w:lang w:val="en-US"/>
        </w:rPr>
        <w:t xml:space="preserve"> + 1</w:t>
      </w:r>
    </w:p>
    <w:p w:rsidR="00906E88" w:rsidRPr="00817BEF" w:rsidRDefault="00906E88" w:rsidP="008508ED">
      <w:pPr>
        <w:pStyle w:val="Text"/>
        <w:ind w:firstLine="0"/>
        <w:jc w:val="left"/>
        <w:rPr>
          <w:i/>
          <w:vertAlign w:val="subscript"/>
          <w:lang w:val="en-US"/>
        </w:rPr>
      </w:pPr>
      <w:r w:rsidRPr="009C38B1">
        <w:rPr>
          <w:iCs/>
          <w:lang w:val="en-US"/>
        </w:rPr>
        <w:t xml:space="preserve">            </w:t>
      </w:r>
      <w:r w:rsidRPr="009C38B1">
        <w:rPr>
          <w:i/>
          <w:lang w:val="en-US"/>
        </w:rPr>
        <w:t>B</w:t>
      </w:r>
      <w:r w:rsidRPr="009C38B1">
        <w:rPr>
          <w:i/>
          <w:vertAlign w:val="subscript"/>
          <w:lang w:val="en-US"/>
        </w:rPr>
        <w:t>p</w:t>
      </w:r>
      <w:r w:rsidRPr="009C38B1">
        <w:rPr>
          <w:iCs/>
          <w:lang w:val="en-US"/>
        </w:rPr>
        <w:t xml:space="preserve"> =</w:t>
      </w:r>
      <w:r>
        <w:rPr>
          <w:iCs/>
          <w:lang w:val="en-US"/>
        </w:rPr>
        <w:t xml:space="preserve"> &lt;</w:t>
      </w:r>
      <w:r>
        <w:rPr>
          <w:i/>
          <w:lang w:val="en-US"/>
        </w:rPr>
        <w:t>U</w:t>
      </w:r>
      <w:r>
        <w:rPr>
          <w:iCs/>
          <w:lang w:val="en-US"/>
        </w:rPr>
        <w:t xml:space="preserve">, </w:t>
      </w:r>
      <w:r>
        <w:rPr>
          <w:i/>
          <w:lang w:val="en-US"/>
        </w:rPr>
        <w:t>V</w:t>
      </w:r>
      <w:r>
        <w:rPr>
          <w:iCs/>
          <w:lang w:val="en-US"/>
        </w:rPr>
        <w:t xml:space="preserve">, </w:t>
      </w:r>
      <w:r w:rsidRPr="009C38B1">
        <w:rPr>
          <w:i/>
          <w:iCs/>
          <w:lang w:val="en-US"/>
        </w:rPr>
        <w:t>w</w:t>
      </w:r>
      <w:r>
        <w:rPr>
          <w:iCs/>
          <w:lang w:val="en-US"/>
        </w:rPr>
        <w:t xml:space="preserve">&gt; </w:t>
      </w:r>
      <w:r w:rsidRPr="009C38B1">
        <w:rPr>
          <w:iCs/>
          <w:lang w:val="en-US"/>
        </w:rPr>
        <w:t xml:space="preserve">:= </w:t>
      </w:r>
      <w:r>
        <w:rPr>
          <w:iCs/>
          <w:lang w:val="en-US"/>
        </w:rPr>
        <w:t>&lt;</w:t>
      </w:r>
      <w:r w:rsidRPr="009C38B1">
        <w:rPr>
          <w:i/>
          <w:lang w:val="en-US"/>
        </w:rPr>
        <w:t>P</w:t>
      </w:r>
      <w:r w:rsidRPr="009C38B1">
        <w:rPr>
          <w:i/>
          <w:vertAlign w:val="subscript"/>
          <w:lang w:val="en-US"/>
        </w:rPr>
        <w:t>i</w:t>
      </w:r>
      <w:r>
        <w:rPr>
          <w:iCs/>
          <w:lang w:val="en-US"/>
        </w:rPr>
        <w:t xml:space="preserve">, </w:t>
      </w:r>
      <w:r w:rsidRPr="009C38B1">
        <w:rPr>
          <w:i/>
          <w:lang w:val="en-US"/>
        </w:rPr>
        <w:t>Q</w:t>
      </w:r>
      <w:r w:rsidRPr="009C38B1">
        <w:rPr>
          <w:i/>
          <w:vertAlign w:val="subscript"/>
          <w:lang w:val="en-US"/>
        </w:rPr>
        <w:t>j</w:t>
      </w:r>
      <w:r>
        <w:rPr>
          <w:iCs/>
          <w:lang w:val="en-US"/>
        </w:rPr>
        <w:t xml:space="preserve">, </w:t>
      </w:r>
      <w:r w:rsidRPr="009C38B1">
        <w:rPr>
          <w:i/>
          <w:iCs/>
          <w:lang w:val="en-US"/>
        </w:rPr>
        <w:t>w</w:t>
      </w:r>
      <w:r>
        <w:rPr>
          <w:iCs/>
          <w:lang w:val="en-US"/>
        </w:rPr>
        <w:t>&gt;</w:t>
      </w:r>
    </w:p>
    <w:p w:rsidR="00906E88" w:rsidRDefault="00906E88" w:rsidP="008508ED">
      <w:pPr>
        <w:pStyle w:val="Text"/>
        <w:ind w:firstLine="0"/>
        <w:jc w:val="left"/>
        <w:rPr>
          <w:iCs/>
          <w:lang w:val="en-US"/>
        </w:rPr>
      </w:pPr>
      <w:r w:rsidRPr="00817BEF">
        <w:rPr>
          <w:iCs/>
          <w:lang w:val="en-US"/>
        </w:rPr>
        <w:t xml:space="preserve">            </w:t>
      </w:r>
      <w:r w:rsidRPr="00817BEF">
        <w:rPr>
          <w:i/>
          <w:lang w:val="en-US"/>
        </w:rPr>
        <w:t>m</w:t>
      </w:r>
      <w:r w:rsidRPr="00817BEF">
        <w:rPr>
          <w:i/>
          <w:vertAlign w:val="subscript"/>
          <w:lang w:val="en-US"/>
        </w:rPr>
        <w:t>p</w:t>
      </w:r>
      <w:r w:rsidRPr="00817BEF">
        <w:rPr>
          <w:iCs/>
          <w:lang w:val="en-US"/>
        </w:rPr>
        <w:t xml:space="preserve"> := </w:t>
      </w:r>
      <w:r w:rsidRPr="00817BEF">
        <w:rPr>
          <w:i/>
          <w:lang w:val="en-US"/>
        </w:rPr>
        <w:t>w</w:t>
      </w:r>
      <w:r w:rsidRPr="00817BEF">
        <w:rPr>
          <w:iCs/>
          <w:lang w:val="en-US"/>
        </w:rPr>
        <w:t>(</w:t>
      </w:r>
      <w:r w:rsidRPr="00817BEF">
        <w:rPr>
          <w:i/>
          <w:lang w:val="en-US"/>
        </w:rPr>
        <w:t>B</w:t>
      </w:r>
      <w:r w:rsidRPr="00817BEF">
        <w:rPr>
          <w:i/>
          <w:vertAlign w:val="subscript"/>
          <w:lang w:val="en-US"/>
        </w:rPr>
        <w:t>p</w:t>
      </w:r>
      <w:r w:rsidRPr="00817BEF">
        <w:rPr>
          <w:iCs/>
          <w:lang w:val="en-US"/>
        </w:rPr>
        <w:t xml:space="preserve">) </w:t>
      </w:r>
      <w:r w:rsidRPr="00817BEF">
        <w:rPr>
          <w:rFonts w:cs="Times New Roman"/>
          <w:iCs/>
          <w:lang w:val="en-US"/>
        </w:rPr>
        <w:t>∙</w:t>
      </w:r>
      <w:r w:rsidRPr="00817BEF">
        <w:rPr>
          <w:iCs/>
          <w:lang w:val="en-US"/>
        </w:rPr>
        <w:t xml:space="preserve"> </w:t>
      </w:r>
      <w:r w:rsidRPr="00817BEF">
        <w:rPr>
          <w:i/>
          <w:lang w:val="en-US"/>
        </w:rPr>
        <w:t>n</w:t>
      </w:r>
    </w:p>
    <w:p w:rsidR="00BE4941" w:rsidRDefault="00BE4941" w:rsidP="008508ED">
      <w:pPr>
        <w:pStyle w:val="Text"/>
        <w:ind w:firstLine="0"/>
        <w:jc w:val="left"/>
        <w:rPr>
          <w:iCs/>
          <w:lang w:val="en-US"/>
        </w:rPr>
      </w:pPr>
      <w:r w:rsidRPr="00817BEF">
        <w:rPr>
          <w:iCs/>
          <w:lang w:val="en-US"/>
        </w:rPr>
        <w:t xml:space="preserve">            </w:t>
      </w:r>
      <w:r w:rsidRPr="00323136">
        <w:rPr>
          <w:i/>
          <w:lang w:val="en-US"/>
        </w:rPr>
        <w:t>n</w:t>
      </w:r>
      <w:r w:rsidRPr="003351EC">
        <w:rPr>
          <w:i/>
          <w:vertAlign w:val="subscript"/>
          <w:lang w:val="en-US"/>
        </w:rPr>
        <w:t>p</w:t>
      </w:r>
      <w:r w:rsidRPr="003351EC">
        <w:rPr>
          <w:iCs/>
          <w:lang w:val="en-US"/>
        </w:rPr>
        <w:t xml:space="preserve"> := </w:t>
      </w:r>
      <w:r w:rsidRPr="003351EC">
        <w:rPr>
          <w:i/>
          <w:lang w:val="en-US"/>
        </w:rPr>
        <w:t>n</w:t>
      </w:r>
    </w:p>
    <w:p w:rsidR="009D0600" w:rsidRDefault="009D0600" w:rsidP="008508ED">
      <w:pPr>
        <w:pStyle w:val="Text"/>
        <w:ind w:firstLine="0"/>
        <w:jc w:val="left"/>
        <w:rPr>
          <w:lang w:val="en-US"/>
        </w:rPr>
      </w:pPr>
      <w:r>
        <w:rPr>
          <w:iCs/>
          <w:lang w:val="en-US"/>
        </w:rPr>
        <w:t xml:space="preserve">            </w:t>
      </w:r>
      <w:r w:rsidRPr="000E1EF6">
        <w:rPr>
          <w:iCs/>
          <w:lang w:val="en-US"/>
        </w:rPr>
        <w:t xml:space="preserve">if </w:t>
      </w:r>
      <w:r w:rsidRPr="000E1EF6">
        <w:rPr>
          <w:lang w:val="en-US"/>
        </w:rPr>
        <w:t>Salienz (</w:t>
      </w:r>
      <w:r w:rsidRPr="000E1EF6">
        <w:rPr>
          <w:i/>
          <w:lang w:val="en-US"/>
        </w:rPr>
        <w:t>B</w:t>
      </w:r>
      <w:r w:rsidRPr="000E1EF6">
        <w:rPr>
          <w:i/>
          <w:vertAlign w:val="subscript"/>
          <w:lang w:val="en-US"/>
        </w:rPr>
        <w:t>j</w:t>
      </w:r>
      <w:r w:rsidR="00C974D1">
        <w:rPr>
          <w:lang w:val="en-US"/>
        </w:rPr>
        <w:t>) = 0</w:t>
      </w:r>
    </w:p>
    <w:p w:rsidR="00775F94" w:rsidRPr="00787AA9" w:rsidRDefault="007D7D84" w:rsidP="00355BBA">
      <w:pPr>
        <w:pStyle w:val="Text"/>
        <w:ind w:hanging="369"/>
        <w:jc w:val="left"/>
        <w:rPr>
          <w:lang w:val="en-US"/>
        </w:rPr>
      </w:pPr>
      <w:r w:rsidRPr="004932E6">
        <w:rPr>
          <w:sz w:val="16"/>
          <w:szCs w:val="16"/>
          <w:lang w:val="en-US"/>
        </w:rPr>
        <w:t>4</w:t>
      </w:r>
      <w:r w:rsidR="00775F94" w:rsidRPr="004932E6">
        <w:rPr>
          <w:sz w:val="16"/>
          <w:szCs w:val="16"/>
          <w:lang w:val="en-US"/>
        </w:rPr>
        <w:t>5</w:t>
      </w:r>
      <w:r w:rsidR="00775F94" w:rsidRPr="00787AA9">
        <w:rPr>
          <w:lang w:val="en-US"/>
        </w:rPr>
        <w:tab/>
      </w:r>
      <w:r w:rsidR="00906E88" w:rsidRPr="00787AA9">
        <w:rPr>
          <w:iCs/>
          <w:lang w:val="en-US"/>
        </w:rPr>
        <w:t xml:space="preserve">               </w:t>
      </w:r>
      <w:r w:rsidR="00906E88" w:rsidRPr="00787AA9">
        <w:rPr>
          <w:i/>
          <w:iCs/>
          <w:lang w:val="en-US"/>
        </w:rPr>
        <w:t>p</w:t>
      </w:r>
      <w:r w:rsidR="00906E88" w:rsidRPr="00787AA9">
        <w:rPr>
          <w:lang w:val="en-US"/>
        </w:rPr>
        <w:t xml:space="preserve"> := </w:t>
      </w:r>
      <w:r w:rsidR="00906E88" w:rsidRPr="00787AA9">
        <w:rPr>
          <w:i/>
          <w:iCs/>
          <w:lang w:val="en-US"/>
        </w:rPr>
        <w:t>p</w:t>
      </w:r>
      <w:r w:rsidR="00906E88" w:rsidRPr="00787AA9">
        <w:rPr>
          <w:lang w:val="en-US"/>
        </w:rPr>
        <w:t xml:space="preserve"> </w:t>
      </w:r>
      <w:r w:rsidR="00B1668A" w:rsidRPr="00C94563">
        <w:rPr>
          <w:rFonts w:cs="Times New Roman"/>
          <w:lang w:val="en-US"/>
        </w:rPr>
        <w:t>−</w:t>
      </w:r>
      <w:r w:rsidR="00906E88" w:rsidRPr="00787AA9">
        <w:rPr>
          <w:lang w:val="en-US"/>
        </w:rPr>
        <w:t xml:space="preserve"> 1</w:t>
      </w:r>
    </w:p>
    <w:p w:rsidR="00906E88" w:rsidRPr="00787AA9" w:rsidRDefault="00906E88" w:rsidP="008508ED">
      <w:pPr>
        <w:pStyle w:val="Text"/>
        <w:ind w:firstLine="0"/>
        <w:jc w:val="left"/>
        <w:rPr>
          <w:iCs/>
          <w:lang w:val="en-US"/>
        </w:rPr>
      </w:pPr>
      <w:r w:rsidRPr="00787AA9">
        <w:rPr>
          <w:iCs/>
          <w:lang w:val="en-US"/>
        </w:rPr>
        <w:t xml:space="preserve">            end</w:t>
      </w:r>
    </w:p>
    <w:p w:rsidR="00906E88" w:rsidRDefault="00906E88" w:rsidP="008508ED">
      <w:pPr>
        <w:pStyle w:val="Text"/>
        <w:ind w:firstLine="0"/>
        <w:jc w:val="left"/>
        <w:rPr>
          <w:iCs/>
          <w:lang w:val="en-US"/>
        </w:rPr>
      </w:pPr>
      <w:r>
        <w:rPr>
          <w:lang w:val="en-US"/>
        </w:rPr>
        <w:t xml:space="preserve">   </w:t>
      </w:r>
      <w:r w:rsidRPr="00787AA9">
        <w:rPr>
          <w:lang w:val="en-US"/>
        </w:rPr>
        <w:t xml:space="preserve">      </w:t>
      </w:r>
      <w:r w:rsidRPr="00706A0F">
        <w:rPr>
          <w:iCs/>
          <w:lang w:val="en-US"/>
        </w:rPr>
        <w:t>end</w:t>
      </w:r>
    </w:p>
    <w:p w:rsidR="00D2554C" w:rsidRDefault="00D2554C" w:rsidP="008508ED">
      <w:pPr>
        <w:pStyle w:val="Text"/>
        <w:ind w:firstLine="0"/>
        <w:jc w:val="left"/>
        <w:rPr>
          <w:iCs/>
          <w:lang w:val="en-US"/>
        </w:rPr>
      </w:pPr>
      <w:r w:rsidRPr="00787AA9">
        <w:rPr>
          <w:lang w:val="en-US"/>
        </w:rPr>
        <w:t xml:space="preserve">      </w:t>
      </w:r>
      <w:r w:rsidRPr="00706A0F">
        <w:rPr>
          <w:iCs/>
          <w:lang w:val="en-US"/>
        </w:rPr>
        <w:t>end</w:t>
      </w:r>
    </w:p>
    <w:p w:rsidR="00BE4941" w:rsidRDefault="00BE4941" w:rsidP="008508ED">
      <w:pPr>
        <w:pStyle w:val="Text"/>
        <w:ind w:firstLine="0"/>
        <w:jc w:val="left"/>
        <w:rPr>
          <w:iCs/>
          <w:lang w:val="en-US"/>
        </w:rPr>
      </w:pPr>
      <w:r>
        <w:rPr>
          <w:iCs/>
          <w:lang w:val="en-US"/>
        </w:rPr>
        <w:t xml:space="preserve">   end</w:t>
      </w:r>
    </w:p>
    <w:p w:rsidR="007F565F" w:rsidRPr="00706A0F" w:rsidRDefault="007F565F" w:rsidP="00355BBA">
      <w:pPr>
        <w:pStyle w:val="Text"/>
        <w:ind w:hanging="369"/>
        <w:jc w:val="left"/>
        <w:rPr>
          <w:iCs/>
          <w:lang w:val="en-US"/>
        </w:rPr>
      </w:pPr>
      <w:r w:rsidRPr="004932E6">
        <w:rPr>
          <w:iCs/>
          <w:sz w:val="16"/>
          <w:szCs w:val="16"/>
          <w:lang w:val="en-US"/>
        </w:rPr>
        <w:t>50</w:t>
      </w:r>
      <w:r w:rsidRPr="00706A0F">
        <w:rPr>
          <w:iCs/>
          <w:lang w:val="en-US"/>
        </w:rPr>
        <w:tab/>
      </w:r>
      <w:r w:rsidR="00906E88">
        <w:rPr>
          <w:lang w:val="en-US"/>
        </w:rPr>
        <w:t xml:space="preserve">   </w:t>
      </w:r>
      <w:r w:rsidR="00906E88" w:rsidRPr="00706A0F">
        <w:rPr>
          <w:i/>
          <w:iCs/>
          <w:lang w:val="en-US"/>
        </w:rPr>
        <w:t>B</w:t>
      </w:r>
      <w:r w:rsidR="00906E88" w:rsidRPr="00706A0F">
        <w:rPr>
          <w:lang w:val="en-US"/>
        </w:rPr>
        <w:t xml:space="preserve"> := {</w:t>
      </w:r>
      <w:r w:rsidR="00906E88" w:rsidRPr="00706A0F">
        <w:rPr>
          <w:i/>
          <w:lang w:val="en-US"/>
        </w:rPr>
        <w:t>B</w:t>
      </w:r>
      <w:r w:rsidR="00906E88" w:rsidRPr="00706A0F">
        <w:rPr>
          <w:iCs/>
          <w:vertAlign w:val="subscript"/>
          <w:lang w:val="en-US"/>
        </w:rPr>
        <w:t>1</w:t>
      </w:r>
      <w:r w:rsidR="00906E88" w:rsidRPr="00706A0F">
        <w:rPr>
          <w:lang w:val="en-US"/>
        </w:rPr>
        <w:t xml:space="preserve">, …, </w:t>
      </w:r>
      <w:r w:rsidR="00906E88" w:rsidRPr="00706A0F">
        <w:rPr>
          <w:i/>
          <w:lang w:val="en-US"/>
        </w:rPr>
        <w:t>B</w:t>
      </w:r>
      <w:r w:rsidR="00906E88" w:rsidRPr="00706A0F">
        <w:rPr>
          <w:i/>
          <w:vertAlign w:val="subscript"/>
          <w:lang w:val="en-US"/>
        </w:rPr>
        <w:t>p</w:t>
      </w:r>
      <w:r w:rsidR="00906E88" w:rsidRPr="00706A0F">
        <w:rPr>
          <w:lang w:val="en-US"/>
        </w:rPr>
        <w:t>}</w:t>
      </w:r>
    </w:p>
    <w:p w:rsidR="00906E88" w:rsidRDefault="00906E88" w:rsidP="008508ED">
      <w:pPr>
        <w:pStyle w:val="Text"/>
        <w:ind w:firstLine="0"/>
        <w:jc w:val="left"/>
        <w:rPr>
          <w:lang w:val="en-US"/>
        </w:rPr>
      </w:pPr>
      <w:r>
        <w:rPr>
          <w:lang w:val="en-US"/>
        </w:rPr>
        <w:t xml:space="preserve">   </w:t>
      </w:r>
      <w:r w:rsidRPr="00223784">
        <w:rPr>
          <w:i/>
          <w:iCs/>
          <w:lang w:val="en-US"/>
        </w:rPr>
        <w:t>M</w:t>
      </w:r>
      <w:r w:rsidRPr="00223784">
        <w:rPr>
          <w:lang w:val="en-US"/>
        </w:rPr>
        <w:t xml:space="preserve"> := {</w:t>
      </w:r>
      <w:r w:rsidRPr="00223784">
        <w:rPr>
          <w:i/>
          <w:lang w:val="en-US"/>
        </w:rPr>
        <w:t>m</w:t>
      </w:r>
      <w:r w:rsidRPr="00223784">
        <w:rPr>
          <w:iCs/>
          <w:vertAlign w:val="subscript"/>
          <w:lang w:val="en-US"/>
        </w:rPr>
        <w:t>1</w:t>
      </w:r>
      <w:r w:rsidRPr="00223784">
        <w:rPr>
          <w:lang w:val="en-US"/>
        </w:rPr>
        <w:t xml:space="preserve">, …, </w:t>
      </w:r>
      <w:r w:rsidRPr="00223784">
        <w:rPr>
          <w:i/>
          <w:lang w:val="en-US"/>
        </w:rPr>
        <w:t>m</w:t>
      </w:r>
      <w:r w:rsidRPr="00223784">
        <w:rPr>
          <w:i/>
          <w:vertAlign w:val="subscript"/>
          <w:lang w:val="en-US"/>
        </w:rPr>
        <w:t>p</w:t>
      </w:r>
      <w:r w:rsidRPr="00223784">
        <w:rPr>
          <w:lang w:val="en-US"/>
        </w:rPr>
        <w:t>}</w:t>
      </w:r>
    </w:p>
    <w:p w:rsidR="00906E88" w:rsidRDefault="00906E88" w:rsidP="008508ED">
      <w:pPr>
        <w:pStyle w:val="Text"/>
        <w:ind w:firstLine="0"/>
        <w:jc w:val="left"/>
        <w:rPr>
          <w:iCs/>
          <w:lang w:val="en-US"/>
        </w:rPr>
      </w:pPr>
      <w:r w:rsidRPr="00223784">
        <w:rPr>
          <w:lang w:val="en-US"/>
        </w:rPr>
        <w:t xml:space="preserve">   </w:t>
      </w:r>
      <w:r w:rsidRPr="00223784">
        <w:rPr>
          <w:i/>
          <w:iCs/>
          <w:lang w:val="en-US"/>
        </w:rPr>
        <w:t>N</w:t>
      </w:r>
      <w:r w:rsidRPr="00223784">
        <w:rPr>
          <w:lang w:val="en-US"/>
        </w:rPr>
        <w:t xml:space="preserve"> := {</w:t>
      </w:r>
      <w:r w:rsidRPr="00223784">
        <w:rPr>
          <w:i/>
          <w:lang w:val="en-US"/>
        </w:rPr>
        <w:t>n</w:t>
      </w:r>
      <w:r w:rsidRPr="00223784">
        <w:rPr>
          <w:iCs/>
          <w:vertAlign w:val="subscript"/>
          <w:lang w:val="en-US"/>
        </w:rPr>
        <w:t>1</w:t>
      </w:r>
      <w:r w:rsidRPr="00223784">
        <w:rPr>
          <w:lang w:val="en-US"/>
        </w:rPr>
        <w:t xml:space="preserve">, …, </w:t>
      </w:r>
      <w:r w:rsidRPr="00223784">
        <w:rPr>
          <w:i/>
          <w:lang w:val="en-US"/>
        </w:rPr>
        <w:t>n</w:t>
      </w:r>
      <w:r w:rsidRPr="00223784">
        <w:rPr>
          <w:i/>
          <w:vertAlign w:val="subscript"/>
          <w:lang w:val="en-US"/>
        </w:rPr>
        <w:t>p</w:t>
      </w:r>
      <w:r w:rsidRPr="00223784">
        <w:rPr>
          <w:lang w:val="en-US"/>
        </w:rPr>
        <w:t>}</w:t>
      </w:r>
    </w:p>
    <w:p w:rsidR="00D2554C" w:rsidRPr="00A42FD2" w:rsidRDefault="00D2554C" w:rsidP="008508ED">
      <w:pPr>
        <w:pStyle w:val="Text"/>
        <w:ind w:firstLine="0"/>
        <w:jc w:val="left"/>
        <w:rPr>
          <w:iCs/>
        </w:rPr>
      </w:pPr>
      <w:r w:rsidRPr="008801FB">
        <w:rPr>
          <w:iCs/>
          <w:lang w:val="en-US"/>
        </w:rPr>
        <w:t xml:space="preserve">   </w:t>
      </w:r>
      <w:r w:rsidRPr="00A42FD2">
        <w:rPr>
          <w:i/>
        </w:rPr>
        <w:t>B</w:t>
      </w:r>
      <w:r w:rsidRPr="00A42FD2">
        <w:rPr>
          <w:iCs/>
        </w:rPr>
        <w:t xml:space="preserve"> := </w:t>
      </w:r>
      <w:r w:rsidR="00EC3E7E" w:rsidRPr="00A42FD2">
        <w:rPr>
          <w:iCs/>
        </w:rPr>
        <w:t>Di</w:t>
      </w:r>
      <w:r w:rsidR="001E7A31" w:rsidRPr="00A42FD2">
        <w:rPr>
          <w:iCs/>
        </w:rPr>
        <w:t>sambiguierung</w:t>
      </w:r>
      <w:r w:rsidR="005D7996">
        <w:rPr>
          <w:iCs/>
        </w:rPr>
        <w:fldChar w:fldCharType="begin"/>
      </w:r>
      <w:r w:rsidR="007A472D" w:rsidRPr="00A42FD2">
        <w:instrText xml:space="preserve"> XE "</w:instrText>
      </w:r>
      <w:r w:rsidR="007A472D" w:rsidRPr="00A42FD2">
        <w:rPr>
          <w:iCs/>
        </w:rPr>
        <w:instrText>Disambiguierung</w:instrText>
      </w:r>
      <w:r w:rsidR="007A472D" w:rsidRPr="00A42FD2">
        <w:instrText xml:space="preserve">" </w:instrText>
      </w:r>
      <w:r w:rsidR="005D7996">
        <w:rPr>
          <w:iCs/>
        </w:rPr>
        <w:fldChar w:fldCharType="end"/>
      </w:r>
      <w:r w:rsidRPr="00A42FD2">
        <w:rPr>
          <w:iCs/>
        </w:rPr>
        <w:t xml:space="preserve"> (</w:t>
      </w:r>
      <w:r w:rsidRPr="00A42FD2">
        <w:rPr>
          <w:i/>
        </w:rPr>
        <w:t>B, M</w:t>
      </w:r>
      <w:r w:rsidR="001D358E" w:rsidRPr="00A42FD2">
        <w:rPr>
          <w:iCs/>
        </w:rPr>
        <w:t xml:space="preserve">, </w:t>
      </w:r>
      <w:r w:rsidR="001D358E" w:rsidRPr="00A42FD2">
        <w:rPr>
          <w:i/>
        </w:rPr>
        <w:t>N</w:t>
      </w:r>
      <w:r w:rsidR="001D358E" w:rsidRPr="00A42FD2">
        <w:rPr>
          <w:iCs/>
        </w:rPr>
        <w:t>)</w:t>
      </w:r>
    </w:p>
    <w:p w:rsidR="00D2554C" w:rsidRPr="00F4161F" w:rsidRDefault="00D2554C" w:rsidP="008508ED">
      <w:pPr>
        <w:pStyle w:val="Text"/>
        <w:ind w:firstLine="0"/>
        <w:jc w:val="left"/>
        <w:rPr>
          <w:i/>
        </w:rPr>
      </w:pPr>
      <w:r w:rsidRPr="00A42FD2">
        <w:t xml:space="preserve">   </w:t>
      </w:r>
      <w:r w:rsidRPr="00F4161F">
        <w:t xml:space="preserve">return </w:t>
      </w:r>
      <w:r w:rsidRPr="00F4161F">
        <w:rPr>
          <w:i/>
        </w:rPr>
        <w:t>B</w:t>
      </w:r>
    </w:p>
    <w:p w:rsidR="00906E88" w:rsidRPr="00F4161F" w:rsidRDefault="00906E88" w:rsidP="00355BBA">
      <w:pPr>
        <w:pStyle w:val="Text"/>
        <w:ind w:hanging="369"/>
        <w:jc w:val="left"/>
        <w:rPr>
          <w:iCs/>
        </w:rPr>
      </w:pPr>
      <w:r w:rsidRPr="00F4161F">
        <w:rPr>
          <w:iCs/>
          <w:sz w:val="16"/>
          <w:szCs w:val="16"/>
        </w:rPr>
        <w:t>5</w:t>
      </w:r>
      <w:r w:rsidR="00CC0DA7" w:rsidRPr="00F4161F">
        <w:rPr>
          <w:iCs/>
          <w:sz w:val="16"/>
          <w:szCs w:val="16"/>
        </w:rPr>
        <w:t>5</w:t>
      </w:r>
      <w:r w:rsidRPr="00F4161F">
        <w:rPr>
          <w:iCs/>
        </w:rPr>
        <w:tab/>
      </w:r>
      <w:r w:rsidRPr="00F4161F">
        <w:t>end function</w:t>
      </w:r>
    </w:p>
    <w:p w:rsidR="00D2554C" w:rsidRPr="00F4161F" w:rsidRDefault="00093341" w:rsidP="003359E6">
      <w:pPr>
        <w:pStyle w:val="Zwischenberschrift"/>
        <w:spacing w:before="360"/>
      </w:pPr>
      <w:r w:rsidRPr="00F4161F">
        <w:t>Erläuterung</w:t>
      </w:r>
    </w:p>
    <w:p w:rsidR="00D2554C" w:rsidRDefault="00B751FA" w:rsidP="003359E6">
      <w:pPr>
        <w:pStyle w:val="Text"/>
        <w:ind w:firstLine="0"/>
      </w:pPr>
      <w:r>
        <w:t xml:space="preserve">Zeile 1 </w:t>
      </w:r>
      <w:r w:rsidR="00D2554C">
        <w:t xml:space="preserve">gibt den Namen der Funktion an, die </w:t>
      </w:r>
      <w:r w:rsidR="006D7577">
        <w:t xml:space="preserve">als Parameter </w:t>
      </w:r>
      <w:r w:rsidR="00D2554C">
        <w:rPr>
          <w:i/>
          <w:iCs/>
        </w:rPr>
        <w:t>R</w:t>
      </w:r>
      <w:r w:rsidR="006D7577">
        <w:t xml:space="preserve">, die </w:t>
      </w:r>
      <w:r w:rsidR="00D2554C">
        <w:t>Realisierung</w:t>
      </w:r>
      <w:r w:rsidR="006D7577">
        <w:t>,</w:t>
      </w:r>
      <w:r w:rsidR="00D2554C">
        <w:t xml:space="preserve"> </w:t>
      </w:r>
      <w:r w:rsidR="006D7577">
        <w:t xml:space="preserve">sowie </w:t>
      </w:r>
      <w:r w:rsidR="006D7577" w:rsidRPr="006D7577">
        <w:rPr>
          <w:i/>
        </w:rPr>
        <w:t>S*</w:t>
      </w:r>
      <w:r w:rsidR="006D7577">
        <w:t xml:space="preserve">, das für die Realisierung erkannte Schema (vgl. Abschnitt </w:t>
      </w:r>
      <w:r w:rsidR="005D7996">
        <w:fldChar w:fldCharType="begin"/>
      </w:r>
      <w:r w:rsidR="006D7577">
        <w:instrText xml:space="preserve"> REF _Ref269048814 \r \h </w:instrText>
      </w:r>
      <w:r w:rsidR="005D7996">
        <w:fldChar w:fldCharType="separate"/>
      </w:r>
      <w:r w:rsidR="001231D3">
        <w:t>7.3.3</w:t>
      </w:r>
      <w:r w:rsidR="005D7996">
        <w:fldChar w:fldCharType="end"/>
      </w:r>
      <w:r w:rsidR="006D7577">
        <w:t>),</w:t>
      </w:r>
      <w:r w:rsidR="00D2554C">
        <w:t xml:space="preserve"> erhält.</w:t>
      </w:r>
    </w:p>
    <w:p w:rsidR="00B751FA" w:rsidRDefault="00B751FA">
      <w:pPr>
        <w:pStyle w:val="Text"/>
      </w:pPr>
      <w:r>
        <w:t xml:space="preserve">In Zeile 2 wird die Funktion </w:t>
      </w:r>
      <w:r w:rsidRPr="00B751FA">
        <w:rPr>
          <w:i/>
          <w:lang w:val="it-IT"/>
        </w:rPr>
        <w:t>Möglichkeitsraum</w:t>
      </w:r>
      <w:r w:rsidR="005D7996">
        <w:rPr>
          <w:i/>
          <w:lang w:val="it-IT"/>
        </w:rPr>
        <w:fldChar w:fldCharType="begin"/>
      </w:r>
      <w:r w:rsidR="007A5993">
        <w:instrText xml:space="preserve"> XE "</w:instrText>
      </w:r>
      <w:r w:rsidR="007A5993" w:rsidRPr="007904ED">
        <w:instrText>Möglichkeitsraum</w:instrText>
      </w:r>
      <w:r w:rsidR="007A5993">
        <w:instrText xml:space="preserve">" </w:instrText>
      </w:r>
      <w:r w:rsidR="005D7996">
        <w:rPr>
          <w:i/>
          <w:lang w:val="it-IT"/>
        </w:rPr>
        <w:fldChar w:fldCharType="end"/>
      </w:r>
      <w:r w:rsidRPr="00B751FA">
        <w:rPr>
          <w:i/>
          <w:lang w:val="it-IT"/>
        </w:rPr>
        <w:t>_zusammenstellen</w:t>
      </w:r>
      <w:r>
        <w:rPr>
          <w:lang w:val="it-IT"/>
        </w:rPr>
        <w:t xml:space="preserve"> aufgerufen (Erläuterung s. unten) und ihr Rückgabewert in die Variable </w:t>
      </w:r>
      <w:r w:rsidRPr="00AB2377">
        <w:rPr>
          <w:i/>
        </w:rPr>
        <w:t>M</w:t>
      </w:r>
      <w:r>
        <w:rPr>
          <w:i/>
          <w:vertAlign w:val="subscript"/>
        </w:rPr>
        <w:t>Al</w:t>
      </w:r>
      <w:r w:rsidRPr="00AB2377">
        <w:rPr>
          <w:i/>
          <w:vertAlign w:val="subscript"/>
        </w:rPr>
        <w:t>t</w:t>
      </w:r>
      <w:r>
        <w:t xml:space="preserve"> gespeichert.</w:t>
      </w:r>
    </w:p>
    <w:p w:rsidR="00D2554C" w:rsidRDefault="00D2554C">
      <w:pPr>
        <w:pStyle w:val="Text"/>
      </w:pPr>
      <w:r>
        <w:t xml:space="preserve">In Zeile </w:t>
      </w:r>
      <w:r w:rsidR="00B751FA">
        <w:t xml:space="preserve">3 </w:t>
      </w:r>
      <w:r>
        <w:t xml:space="preserve">wird der Zähler </w:t>
      </w:r>
      <w:r>
        <w:rPr>
          <w:i/>
          <w:iCs/>
        </w:rPr>
        <w:t>p</w:t>
      </w:r>
      <w:r>
        <w:t xml:space="preserve"> für die angenommenen </w:t>
      </w:r>
      <w:r w:rsidR="00765E66">
        <w:t>Merkmalsregel</w:t>
      </w:r>
      <w:r>
        <w:t xml:space="preserve">n auf </w:t>
      </w:r>
      <w:r w:rsidR="00881E8F">
        <w:t>0</w:t>
      </w:r>
      <w:r>
        <w:t xml:space="preserve"> gesetzt.</w:t>
      </w:r>
    </w:p>
    <w:p w:rsidR="00D2554C" w:rsidRDefault="00D2554C">
      <w:pPr>
        <w:pStyle w:val="Text"/>
      </w:pPr>
      <w:r>
        <w:t xml:space="preserve">Zeile </w:t>
      </w:r>
      <w:r w:rsidR="00B751FA">
        <w:t xml:space="preserve">4 </w:t>
      </w:r>
      <w:r>
        <w:t>gibt an, dass die eingerückt folgende Schleife für die Variable</w:t>
      </w:r>
      <w:r w:rsidR="00155E90">
        <w:t xml:space="preserve"> </w:t>
      </w:r>
      <w:r w:rsidR="0010094C">
        <w:rPr>
          <w:i/>
          <w:iCs/>
        </w:rPr>
        <w:t>k</w:t>
      </w:r>
      <w:r>
        <w:t xml:space="preserve"> von 1 bis zur Anzahl der Elemente von </w:t>
      </w:r>
      <w:r>
        <w:rPr>
          <w:i/>
          <w:iCs/>
        </w:rPr>
        <w:t>R</w:t>
      </w:r>
      <w:r>
        <w:t xml:space="preserve"> ausgeführt wird.</w:t>
      </w:r>
    </w:p>
    <w:p w:rsidR="0010094C" w:rsidRDefault="00B751FA">
      <w:pPr>
        <w:pStyle w:val="Text"/>
      </w:pPr>
      <w:r>
        <w:lastRenderedPageBreak/>
        <w:t xml:space="preserve">In Zeile 5 wird die Funktion </w:t>
      </w:r>
      <w:r w:rsidRPr="00B751FA">
        <w:rPr>
          <w:i/>
        </w:rPr>
        <w:t>Eigenschaften</w:t>
      </w:r>
      <w:r>
        <w:t xml:space="preserve"> </w:t>
      </w:r>
      <w:r w:rsidR="000804F8">
        <w:t>aufgerufen</w:t>
      </w:r>
      <w:r w:rsidR="0036218B">
        <w:t xml:space="preserve"> (Erläuterung s. u</w:t>
      </w:r>
      <w:r w:rsidR="0036218B">
        <w:t>n</w:t>
      </w:r>
      <w:r w:rsidR="0036218B">
        <w:t>ten)</w:t>
      </w:r>
      <w:r w:rsidR="000804F8">
        <w:t xml:space="preserve">, der </w:t>
      </w:r>
      <w:r w:rsidR="000804F8" w:rsidRPr="000804F8">
        <w:rPr>
          <w:i/>
          <w:iCs/>
        </w:rPr>
        <w:t>R</w:t>
      </w:r>
      <w:r w:rsidR="000804F8" w:rsidRPr="000804F8">
        <w:rPr>
          <w:i/>
          <w:iCs/>
          <w:vertAlign w:val="subscript"/>
        </w:rPr>
        <w:t>k</w:t>
      </w:r>
      <w:r w:rsidR="000804F8">
        <w:t xml:space="preserve"> </w:t>
      </w:r>
      <w:r w:rsidR="00F86CEE">
        <w:t xml:space="preserve">(das </w:t>
      </w:r>
      <w:r w:rsidR="00F86CEE" w:rsidRPr="00F86CEE">
        <w:rPr>
          <w:i/>
        </w:rPr>
        <w:t>k</w:t>
      </w:r>
      <w:r w:rsidR="00F86CEE">
        <w:t xml:space="preserve">te Element der Realisierung) </w:t>
      </w:r>
      <w:r w:rsidR="000804F8">
        <w:t xml:space="preserve">als Parameter übergeben wird, und ihr Rückgabewert in die Variable </w:t>
      </w:r>
      <w:r w:rsidR="000804F8" w:rsidRPr="000804F8">
        <w:rPr>
          <w:i/>
        </w:rPr>
        <w:t>E</w:t>
      </w:r>
      <w:r w:rsidR="000804F8" w:rsidRPr="000804F8">
        <w:rPr>
          <w:i/>
          <w:iCs/>
          <w:vertAlign w:val="subscript"/>
        </w:rPr>
        <w:t>k</w:t>
      </w:r>
      <w:r w:rsidR="000804F8">
        <w:t xml:space="preserve"> gespeichert.</w:t>
      </w:r>
    </w:p>
    <w:p w:rsidR="00B751FA" w:rsidRDefault="000804F8">
      <w:pPr>
        <w:pStyle w:val="Text"/>
      </w:pPr>
      <w:r>
        <w:t xml:space="preserve">Zeile 6 </w:t>
      </w:r>
      <w:r w:rsidR="00A54C11">
        <w:t xml:space="preserve">gibt an, dass die eingerückt folgende Schleife für die Variable </w:t>
      </w:r>
      <w:r w:rsidR="00A54C11">
        <w:rPr>
          <w:i/>
          <w:iCs/>
        </w:rPr>
        <w:t>j</w:t>
      </w:r>
      <w:r w:rsidR="00A54C11">
        <w:t xml:space="preserve"> von 1 bis zur Anzahl der Elemente von </w:t>
      </w:r>
      <w:r w:rsidR="00A54C11" w:rsidRPr="00A54C11">
        <w:rPr>
          <w:i/>
        </w:rPr>
        <w:t>O</w:t>
      </w:r>
      <w:r w:rsidR="00A54C11" w:rsidRPr="00A54C11">
        <w:t>(</w:t>
      </w:r>
      <w:r w:rsidR="00A54C11" w:rsidRPr="00A54C11">
        <w:rPr>
          <w:i/>
        </w:rPr>
        <w:t>S*</w:t>
      </w:r>
      <w:r w:rsidR="00A54C11" w:rsidRPr="00A54C11">
        <w:t>)</w:t>
      </w:r>
      <w:r w:rsidR="00F86CEE">
        <w:t xml:space="preserve">, also der Anzahl der Schemaorte von </w:t>
      </w:r>
      <w:r w:rsidR="00F86CEE" w:rsidRPr="00A54C11">
        <w:rPr>
          <w:i/>
        </w:rPr>
        <w:t>S*</w:t>
      </w:r>
      <w:r w:rsidR="00F86CEE">
        <w:t>,</w:t>
      </w:r>
      <w:r w:rsidR="00A54C11">
        <w:t xml:space="preserve"> ausgeführt wird</w:t>
      </w:r>
      <w:r w:rsidR="005E18CE">
        <w:t>.</w:t>
      </w:r>
    </w:p>
    <w:p w:rsidR="00A54C11" w:rsidRDefault="005E18CE">
      <w:pPr>
        <w:pStyle w:val="Text"/>
      </w:pPr>
      <w:r>
        <w:t xml:space="preserve">Zeile 7 gibt an, dass </w:t>
      </w:r>
      <w:r w:rsidR="009543E9">
        <w:t>die eingerückt folgende</w:t>
      </w:r>
      <w:r w:rsidR="000C2F8F">
        <w:t>n</w:t>
      </w:r>
      <w:r w:rsidR="009543E9">
        <w:t xml:space="preserve"> Anweisung</w:t>
      </w:r>
      <w:r w:rsidR="000C2F8F">
        <w:t>en</w:t>
      </w:r>
      <w:r w:rsidR="009543E9">
        <w:t xml:space="preserve"> ausgeführt </w:t>
      </w:r>
      <w:r w:rsidR="000C2F8F">
        <w:t>we</w:t>
      </w:r>
      <w:r w:rsidR="000C2F8F">
        <w:t>r</w:t>
      </w:r>
      <w:r w:rsidR="000C2F8F">
        <w:t>den</w:t>
      </w:r>
      <w:r w:rsidR="009543E9">
        <w:t xml:space="preserve">, wenn </w:t>
      </w:r>
      <w:r w:rsidR="00F86CEE" w:rsidRPr="00F86CEE">
        <w:rPr>
          <w:i/>
        </w:rPr>
        <w:t>Ob</w:t>
      </w:r>
      <w:r w:rsidR="00F86CEE" w:rsidRPr="00F86CEE">
        <w:t>(</w:t>
      </w:r>
      <w:r w:rsidRPr="00A54C11">
        <w:rPr>
          <w:i/>
        </w:rPr>
        <w:t>O</w:t>
      </w:r>
      <w:r w:rsidRPr="00A54C11">
        <w:rPr>
          <w:i/>
          <w:iCs/>
          <w:vertAlign w:val="subscript"/>
        </w:rPr>
        <w:t>j</w:t>
      </w:r>
      <w:r w:rsidRPr="00A54C11">
        <w:t>(</w:t>
      </w:r>
      <w:r w:rsidRPr="00A54C11">
        <w:rPr>
          <w:i/>
        </w:rPr>
        <w:t>S*</w:t>
      </w:r>
      <w:r w:rsidRPr="00A54C11">
        <w:t>)</w:t>
      </w:r>
      <w:r w:rsidR="00F86CEE">
        <w:t>)</w:t>
      </w:r>
      <w:r w:rsidR="009543E9">
        <w:t xml:space="preserve"> eine Teilmenge von </w:t>
      </w:r>
      <w:r w:rsidR="009543E9" w:rsidRPr="000804F8">
        <w:rPr>
          <w:i/>
        </w:rPr>
        <w:t>E</w:t>
      </w:r>
      <w:r w:rsidR="009543E9" w:rsidRPr="000804F8">
        <w:rPr>
          <w:i/>
          <w:iCs/>
          <w:vertAlign w:val="subscript"/>
        </w:rPr>
        <w:t>k</w:t>
      </w:r>
      <w:r w:rsidR="00F86CEE">
        <w:t xml:space="preserve"> ist, </w:t>
      </w:r>
      <w:r w:rsidR="009543E9">
        <w:t xml:space="preserve">also wenn das Element </w:t>
      </w:r>
      <w:r w:rsidR="009543E9" w:rsidRPr="000804F8">
        <w:rPr>
          <w:i/>
          <w:iCs/>
        </w:rPr>
        <w:t>R</w:t>
      </w:r>
      <w:r w:rsidR="009543E9" w:rsidRPr="000804F8">
        <w:rPr>
          <w:i/>
          <w:iCs/>
          <w:vertAlign w:val="subscript"/>
        </w:rPr>
        <w:t>k</w:t>
      </w:r>
      <w:r w:rsidR="009543E9">
        <w:t xml:space="preserve"> die </w:t>
      </w:r>
      <w:r w:rsidR="00AD2226">
        <w:t>Schemaort-d</w:t>
      </w:r>
      <w:r w:rsidR="009543E9">
        <w:t xml:space="preserve">efinierenden Eigenschaften </w:t>
      </w:r>
      <w:r w:rsidR="00F86CEE">
        <w:t xml:space="preserve">des Schemaorts </w:t>
      </w:r>
      <w:r w:rsidR="009543E9" w:rsidRPr="00A54C11">
        <w:rPr>
          <w:i/>
        </w:rPr>
        <w:t>O</w:t>
      </w:r>
      <w:r w:rsidR="009543E9" w:rsidRPr="00A54C11">
        <w:rPr>
          <w:i/>
          <w:iCs/>
          <w:vertAlign w:val="subscript"/>
        </w:rPr>
        <w:t>j</w:t>
      </w:r>
      <w:r w:rsidR="00F86CEE">
        <w:t xml:space="preserve"> von </w:t>
      </w:r>
      <w:r w:rsidR="009543E9" w:rsidRPr="00A54C11">
        <w:rPr>
          <w:i/>
        </w:rPr>
        <w:t>S*</w:t>
      </w:r>
      <w:r w:rsidR="00F86CEE">
        <w:t xml:space="preserve"> besitzt</w:t>
      </w:r>
      <w:r w:rsidR="009543E9">
        <w:t>.</w:t>
      </w:r>
    </w:p>
    <w:p w:rsidR="007D7D84" w:rsidRDefault="007D7D84" w:rsidP="007D7D84">
      <w:pPr>
        <w:pStyle w:val="Text"/>
      </w:pPr>
      <w:r>
        <w:t xml:space="preserve">In Zeile 8 wird </w:t>
      </w:r>
      <w:r>
        <w:rPr>
          <w:i/>
        </w:rPr>
        <w:t>Z</w:t>
      </w:r>
      <w:r w:rsidR="0020552D">
        <w:rPr>
          <w:i/>
        </w:rPr>
        <w:t>b</w:t>
      </w:r>
      <w:r>
        <w:rPr>
          <w:i/>
          <w:vertAlign w:val="subscript"/>
        </w:rPr>
        <w:t>W</w:t>
      </w:r>
      <w:r>
        <w:t>, die Variable für die ausgewählten Zusatzbedingungen, als leere Menge definiert.</w:t>
      </w:r>
    </w:p>
    <w:p w:rsidR="007D7D84" w:rsidRDefault="007D7D84" w:rsidP="007D7D84">
      <w:pPr>
        <w:pStyle w:val="Text"/>
      </w:pPr>
      <w:r>
        <w:t xml:space="preserve">Zeile 9 gibt an, dass die eingerückt folgende Schleife für die Variable </w:t>
      </w:r>
      <w:r w:rsidR="000811F3">
        <w:rPr>
          <w:i/>
          <w:iCs/>
        </w:rPr>
        <w:t>n</w:t>
      </w:r>
      <w:r>
        <w:t xml:space="preserve"> von 1 bis zu einer Zahl ausgeführt wird, die durch die Funktion </w:t>
      </w:r>
      <w:r w:rsidRPr="0038326D">
        <w:rPr>
          <w:i/>
        </w:rPr>
        <w:t>Auswahl</w:t>
      </w:r>
      <w:r>
        <w:t xml:space="preserve"> </w:t>
      </w:r>
      <w:r w:rsidR="00931B3F">
        <w:t>(vgl. A</w:t>
      </w:r>
      <w:r w:rsidR="00931B3F">
        <w:t>b</w:t>
      </w:r>
      <w:r w:rsidR="00931B3F">
        <w:t xml:space="preserve">schnitt </w:t>
      </w:r>
      <w:r w:rsidR="005D7996">
        <w:fldChar w:fldCharType="begin"/>
      </w:r>
      <w:r w:rsidR="00931B3F">
        <w:instrText xml:space="preserve"> REF _Ref212110965 \r \h </w:instrText>
      </w:r>
      <w:r w:rsidR="005D7996">
        <w:fldChar w:fldCharType="separate"/>
      </w:r>
      <w:r w:rsidR="001231D3">
        <w:t>5.2.2</w:t>
      </w:r>
      <w:r w:rsidR="005D7996">
        <w:fldChar w:fldCharType="end"/>
      </w:r>
      <w:r w:rsidR="00931B3F">
        <w:t xml:space="preserve">) </w:t>
      </w:r>
      <w:r>
        <w:t xml:space="preserve">bestimmt wird, wobei der Wert zwischen 0 und der Anzahl der Elemente von </w:t>
      </w:r>
      <w:r w:rsidR="0020552D" w:rsidRPr="0020552D">
        <w:rPr>
          <w:i/>
        </w:rPr>
        <w:t>Zb</w:t>
      </w:r>
      <w:r w:rsidR="0020552D" w:rsidRPr="0020552D">
        <w:t>(</w:t>
      </w:r>
      <w:r w:rsidR="0020552D" w:rsidRPr="0020552D">
        <w:rPr>
          <w:i/>
        </w:rPr>
        <w:t>O</w:t>
      </w:r>
      <w:r w:rsidR="0020552D" w:rsidRPr="0020552D">
        <w:rPr>
          <w:i/>
          <w:vertAlign w:val="subscript"/>
        </w:rPr>
        <w:t>j</w:t>
      </w:r>
      <w:r w:rsidR="0020552D" w:rsidRPr="0020552D">
        <w:t>(</w:t>
      </w:r>
      <w:r w:rsidR="0020552D" w:rsidRPr="0020552D">
        <w:rPr>
          <w:i/>
        </w:rPr>
        <w:t>S*</w:t>
      </w:r>
      <w:r w:rsidR="0020552D" w:rsidRPr="0020552D">
        <w:t>))</w:t>
      </w:r>
      <w:r w:rsidRPr="007D7D84">
        <w:t xml:space="preserve"> </w:t>
      </w:r>
      <w:r w:rsidR="00182FB7" w:rsidRPr="00182FB7">
        <w:rPr>
          <w:rFonts w:ascii="Cambria Math" w:eastAsia="Arial Unicode MS" w:hAnsi="Cambria Math" w:cs="Arial Unicode MS"/>
        </w:rPr>
        <w:t>∩</w:t>
      </w:r>
      <w:r w:rsidRPr="007D7D84">
        <w:t xml:space="preserve"> </w:t>
      </w:r>
      <w:r w:rsidRPr="007D7D84">
        <w:rPr>
          <w:i/>
        </w:rPr>
        <w:t>E</w:t>
      </w:r>
      <w:r w:rsidRPr="007D7D84">
        <w:rPr>
          <w:i/>
          <w:iCs/>
          <w:vertAlign w:val="subscript"/>
        </w:rPr>
        <w:t>k</w:t>
      </w:r>
      <w:r>
        <w:t>, also der Menge der Zusatz</w:t>
      </w:r>
      <w:r w:rsidR="0061210A">
        <w:t xml:space="preserve">bedingungen zum Schemaort </w:t>
      </w:r>
      <w:r w:rsidR="0061210A">
        <w:rPr>
          <w:i/>
        </w:rPr>
        <w:t>S</w:t>
      </w:r>
      <w:r w:rsidR="0061210A" w:rsidRPr="007D7D84">
        <w:rPr>
          <w:i/>
          <w:vertAlign w:val="subscript"/>
        </w:rPr>
        <w:t>j</w:t>
      </w:r>
      <w:r w:rsidR="0061210A">
        <w:t xml:space="preserve">, die zugleich Eigenschaften des Elements </w:t>
      </w:r>
      <w:r w:rsidR="0061210A" w:rsidRPr="007D7D84">
        <w:rPr>
          <w:i/>
        </w:rPr>
        <w:t>E</w:t>
      </w:r>
      <w:r w:rsidR="0061210A" w:rsidRPr="007D7D84">
        <w:rPr>
          <w:i/>
          <w:iCs/>
          <w:vertAlign w:val="subscript"/>
        </w:rPr>
        <w:t>k</w:t>
      </w:r>
      <w:r w:rsidR="0061210A">
        <w:t xml:space="preserve"> sind, </w:t>
      </w:r>
      <w:r>
        <w:t>liegen muss.</w:t>
      </w:r>
    </w:p>
    <w:p w:rsidR="007D7D84" w:rsidRDefault="007D7D84" w:rsidP="007D7D84">
      <w:pPr>
        <w:pStyle w:val="Text"/>
      </w:pPr>
      <w:r>
        <w:t xml:space="preserve">In Zeile 10 wird mit Hilfe der Funktion </w:t>
      </w:r>
      <w:r w:rsidRPr="0038326D">
        <w:rPr>
          <w:i/>
        </w:rPr>
        <w:t>Auswahl</w:t>
      </w:r>
      <w:r>
        <w:t xml:space="preserve"> eine Zusatzbedingung aus </w:t>
      </w:r>
      <w:r w:rsidR="0020552D" w:rsidRPr="0020552D">
        <w:rPr>
          <w:i/>
        </w:rPr>
        <w:t>Zb</w:t>
      </w:r>
      <w:r w:rsidR="0020552D" w:rsidRPr="0020552D">
        <w:t>(</w:t>
      </w:r>
      <w:r w:rsidR="0020552D" w:rsidRPr="0020552D">
        <w:rPr>
          <w:i/>
        </w:rPr>
        <w:t>O</w:t>
      </w:r>
      <w:r w:rsidR="0020552D" w:rsidRPr="0020552D">
        <w:rPr>
          <w:i/>
          <w:vertAlign w:val="subscript"/>
        </w:rPr>
        <w:t>j</w:t>
      </w:r>
      <w:r w:rsidR="0020552D" w:rsidRPr="0020552D">
        <w:t>(</w:t>
      </w:r>
      <w:r w:rsidR="0020552D" w:rsidRPr="0020552D">
        <w:rPr>
          <w:i/>
        </w:rPr>
        <w:t>S*</w:t>
      </w:r>
      <w:r w:rsidR="0020552D" w:rsidRPr="0020552D">
        <w:t>))</w:t>
      </w:r>
      <w:r w:rsidR="0020552D">
        <w:t xml:space="preserve"> </w:t>
      </w:r>
      <w:r>
        <w:t xml:space="preserve">ausgewählt und zu </w:t>
      </w:r>
      <w:r>
        <w:rPr>
          <w:i/>
        </w:rPr>
        <w:t>Z</w:t>
      </w:r>
      <w:r w:rsidR="0020552D">
        <w:rPr>
          <w:i/>
        </w:rPr>
        <w:t>b</w:t>
      </w:r>
      <w:r>
        <w:rPr>
          <w:i/>
          <w:vertAlign w:val="subscript"/>
        </w:rPr>
        <w:t>W</w:t>
      </w:r>
      <w:r>
        <w:t xml:space="preserve"> hinzugefügt.</w:t>
      </w:r>
      <w:r>
        <w:rPr>
          <w:rStyle w:val="Funotenzeichen"/>
        </w:rPr>
        <w:footnoteReference w:id="380"/>
      </w:r>
    </w:p>
    <w:p w:rsidR="007D7D84" w:rsidRDefault="007D7D84" w:rsidP="007D7D84">
      <w:pPr>
        <w:pStyle w:val="Text"/>
      </w:pPr>
      <w:r>
        <w:t>In Zeile 11 wird die for-Schleife aus Zeile 9 beendet.</w:t>
      </w:r>
    </w:p>
    <w:p w:rsidR="009543E9" w:rsidRDefault="006340B1">
      <w:pPr>
        <w:pStyle w:val="Text"/>
      </w:pPr>
      <w:r>
        <w:t>In Zeile 12</w:t>
      </w:r>
      <w:r w:rsidR="009543E9">
        <w:t xml:space="preserve"> werden die Alternativenbedingungen </w:t>
      </w:r>
      <w:r w:rsidR="009543E9" w:rsidRPr="009543E9">
        <w:rPr>
          <w:rFonts w:cs="Times New Roman"/>
          <w:i/>
        </w:rPr>
        <w:t>Ab</w:t>
      </w:r>
      <w:r w:rsidR="009543E9" w:rsidRPr="009543E9">
        <w:rPr>
          <w:rFonts w:cs="Times New Roman"/>
          <w:i/>
          <w:vertAlign w:val="subscript"/>
        </w:rPr>
        <w:t>k</w:t>
      </w:r>
      <w:r w:rsidR="009543E9">
        <w:t xml:space="preserve"> für die </w:t>
      </w:r>
      <w:r w:rsidR="00721558">
        <w:t>Alter</w:t>
      </w:r>
      <w:r w:rsidR="00721558">
        <w:softHyphen/>
        <w:t>nativen</w:t>
      </w:r>
      <w:r w:rsidR="00721558">
        <w:softHyphen/>
        <w:t>klasse</w:t>
      </w:r>
      <w:r w:rsidR="009543E9">
        <w:t xml:space="preserve"> an der </w:t>
      </w:r>
      <w:r w:rsidR="009543E9" w:rsidRPr="009543E9">
        <w:rPr>
          <w:i/>
        </w:rPr>
        <w:t>k</w:t>
      </w:r>
      <w:r w:rsidR="009543E9">
        <w:t xml:space="preserve">ten Realisierungsstelle </w:t>
      </w:r>
      <w:r w:rsidR="0063204C">
        <w:t xml:space="preserve">gebildet. Sie bestehen aus den </w:t>
      </w:r>
      <w:r w:rsidR="00AD2226">
        <w:t>Schemaort-d</w:t>
      </w:r>
      <w:r w:rsidR="0063204C">
        <w:t xml:space="preserve">efinierenden Eigenschaften </w:t>
      </w:r>
      <w:r w:rsidR="0020552D">
        <w:rPr>
          <w:i/>
        </w:rPr>
        <w:t>Ob</w:t>
      </w:r>
      <w:r w:rsidR="0020552D" w:rsidRPr="0020552D">
        <w:t>(</w:t>
      </w:r>
      <w:r w:rsidR="0063204C" w:rsidRPr="00A54C11">
        <w:rPr>
          <w:i/>
        </w:rPr>
        <w:t>O</w:t>
      </w:r>
      <w:r w:rsidR="0063204C" w:rsidRPr="00A54C11">
        <w:rPr>
          <w:i/>
          <w:iCs/>
          <w:vertAlign w:val="subscript"/>
        </w:rPr>
        <w:t>j</w:t>
      </w:r>
      <w:r w:rsidR="0063204C" w:rsidRPr="00A54C11">
        <w:t>(</w:t>
      </w:r>
      <w:r w:rsidR="0063204C" w:rsidRPr="00A54C11">
        <w:rPr>
          <w:i/>
        </w:rPr>
        <w:t>S*</w:t>
      </w:r>
      <w:r w:rsidR="0063204C" w:rsidRPr="00A54C11">
        <w:t>)</w:t>
      </w:r>
      <w:r w:rsidR="0020552D">
        <w:t>)</w:t>
      </w:r>
      <w:r w:rsidR="0063204C">
        <w:t xml:space="preserve"> und den </w:t>
      </w:r>
      <w:r w:rsidR="0061210A">
        <w:t xml:space="preserve">ausgewählten </w:t>
      </w:r>
      <w:r w:rsidR="0063204C">
        <w:t>Zusatz</w:t>
      </w:r>
      <w:r w:rsidR="0061210A">
        <w:t>bedi</w:t>
      </w:r>
      <w:r w:rsidR="0061210A">
        <w:t>n</w:t>
      </w:r>
      <w:r w:rsidR="0061210A">
        <w:t>gungen</w:t>
      </w:r>
      <w:r w:rsidR="0063204C">
        <w:t xml:space="preserve"> </w:t>
      </w:r>
      <w:r w:rsidR="0063204C" w:rsidRPr="0063204C">
        <w:rPr>
          <w:i/>
        </w:rPr>
        <w:t>Z</w:t>
      </w:r>
      <w:r w:rsidR="0020552D">
        <w:rPr>
          <w:i/>
        </w:rPr>
        <w:t>b</w:t>
      </w:r>
      <w:r w:rsidR="0061210A">
        <w:rPr>
          <w:i/>
          <w:vertAlign w:val="subscript"/>
        </w:rPr>
        <w:t>W</w:t>
      </w:r>
      <w:r w:rsidR="009543E9">
        <w:t>.</w:t>
      </w:r>
      <w:r w:rsidR="000F5913">
        <w:rPr>
          <w:rStyle w:val="Funotenzeichen"/>
        </w:rPr>
        <w:footnoteReference w:id="381"/>
      </w:r>
    </w:p>
    <w:p w:rsidR="00A616E7" w:rsidRDefault="00A616E7">
      <w:pPr>
        <w:pStyle w:val="Text"/>
      </w:pPr>
      <w:r>
        <w:t>In Zeile 13 wird die Potenzmenge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t xml:space="preserve"> </w:t>
      </w:r>
      <w:r w:rsidR="00D5472C" w:rsidRPr="00D5472C">
        <w:rPr>
          <w:rFonts w:ascii="Cambria Math" w:eastAsia="Arial Unicode MS" w:hAnsi="Cambria Math" w:cs="Arial Unicode MS"/>
        </w:rPr>
        <w:t>℘</w:t>
      </w:r>
      <w:r w:rsidR="00D5472C">
        <w:t xml:space="preserve"> </w:t>
      </w:r>
      <w:r>
        <w:t xml:space="preserve">der ausgewählten Zusatzbedingungen </w:t>
      </w:r>
      <w:r w:rsidRPr="00A616E7">
        <w:rPr>
          <w:rFonts w:cs="Times New Roman"/>
          <w:i/>
        </w:rPr>
        <w:t>Zb</w:t>
      </w:r>
      <w:r w:rsidRPr="00A616E7">
        <w:rPr>
          <w:rFonts w:cs="Times New Roman"/>
          <w:i/>
          <w:vertAlign w:val="subscript"/>
        </w:rPr>
        <w:t>W</w:t>
      </w:r>
      <w:r>
        <w:t xml:space="preserve"> gebildet und in die Variable </w:t>
      </w:r>
      <w:r>
        <w:rPr>
          <w:i/>
        </w:rPr>
        <w:t>PZb</w:t>
      </w:r>
      <w:r>
        <w:t xml:space="preserve"> gespeichert.</w:t>
      </w:r>
    </w:p>
    <w:p w:rsidR="00A616E7" w:rsidRDefault="00A616E7">
      <w:pPr>
        <w:pStyle w:val="Text"/>
      </w:pPr>
      <w:r>
        <w:t xml:space="preserve">In Zeile 14 wird eine Menge gebildet, die alle Kombinationen </w:t>
      </w:r>
      <w:r w:rsidR="00882600">
        <w:t>von</w:t>
      </w:r>
      <w:r>
        <w:t xml:space="preserve"> </w:t>
      </w:r>
      <w:r w:rsidRPr="00F86CEE">
        <w:rPr>
          <w:i/>
        </w:rPr>
        <w:t>Ob</w:t>
      </w:r>
      <w:r w:rsidRPr="00F86CEE">
        <w:t>(</w:t>
      </w:r>
      <w:r w:rsidRPr="00A54C11">
        <w:rPr>
          <w:i/>
        </w:rPr>
        <w:t>O</w:t>
      </w:r>
      <w:r w:rsidRPr="00A54C11">
        <w:rPr>
          <w:i/>
          <w:iCs/>
          <w:vertAlign w:val="subscript"/>
        </w:rPr>
        <w:t>j</w:t>
      </w:r>
      <w:r w:rsidRPr="00A54C11">
        <w:t>(</w:t>
      </w:r>
      <w:r w:rsidRPr="00A54C11">
        <w:rPr>
          <w:i/>
        </w:rPr>
        <w:t>S*</w:t>
      </w:r>
      <w:r w:rsidRPr="00A54C11">
        <w:t>)</w:t>
      </w:r>
      <w:r>
        <w:t xml:space="preserve">) mit einem Element von </w:t>
      </w:r>
      <w:r>
        <w:rPr>
          <w:i/>
        </w:rPr>
        <w:t>PZb</w:t>
      </w:r>
      <w:r>
        <w:t xml:space="preserve"> enthält, und in die Variable </w:t>
      </w:r>
      <w:r w:rsidRPr="00A616E7">
        <w:rPr>
          <w:rFonts w:cs="Times New Roman"/>
          <w:i/>
        </w:rPr>
        <w:t>P</w:t>
      </w:r>
      <w:r w:rsidRPr="00A616E7">
        <w:rPr>
          <w:rFonts w:cs="Times New Roman"/>
          <w:i/>
          <w:vertAlign w:val="subscript"/>
        </w:rPr>
        <w:t>k</w:t>
      </w:r>
      <w:r>
        <w:t xml:space="preserve"> gespe</w:t>
      </w:r>
      <w:r>
        <w:t>i</w:t>
      </w:r>
      <w:r>
        <w:t xml:space="preserve">chert. </w:t>
      </w:r>
      <w:r w:rsidRPr="00A616E7">
        <w:rPr>
          <w:rFonts w:cs="Times New Roman"/>
          <w:i/>
        </w:rPr>
        <w:t>P</w:t>
      </w:r>
      <w:r w:rsidRPr="00A616E7">
        <w:rPr>
          <w:rFonts w:cs="Times New Roman"/>
          <w:i/>
          <w:vertAlign w:val="subscript"/>
        </w:rPr>
        <w:t>k</w:t>
      </w:r>
      <w:r>
        <w:t xml:space="preserve"> enthält somit alle möglichen Kombinationen der Schemaort-definieren</w:t>
      </w:r>
      <w:r w:rsidR="00091629">
        <w:softHyphen/>
      </w:r>
      <w:r>
        <w:t xml:space="preserve">den Eigenschaften </w:t>
      </w:r>
      <w:r w:rsidR="00E40F11">
        <w:t xml:space="preserve">des Schemaorts </w:t>
      </w:r>
      <w:r w:rsidR="00E40F11" w:rsidRPr="00A54C11">
        <w:rPr>
          <w:i/>
        </w:rPr>
        <w:t>O</w:t>
      </w:r>
      <w:r w:rsidR="00E40F11" w:rsidRPr="00A54C11">
        <w:rPr>
          <w:i/>
          <w:iCs/>
          <w:vertAlign w:val="subscript"/>
        </w:rPr>
        <w:t>j</w:t>
      </w:r>
      <w:r w:rsidR="00E40F11">
        <w:t xml:space="preserve"> von </w:t>
      </w:r>
      <w:r w:rsidR="00E40F11" w:rsidRPr="00A54C11">
        <w:rPr>
          <w:i/>
        </w:rPr>
        <w:t>S*</w:t>
      </w:r>
      <w:r w:rsidR="00E40F11">
        <w:t xml:space="preserve"> </w:t>
      </w:r>
      <w:r>
        <w:t>mit einer Teilmenge der ausgewäh</w:t>
      </w:r>
      <w:r>
        <w:t>l</w:t>
      </w:r>
      <w:r>
        <w:t xml:space="preserve">ten Zusatzbedingungen </w:t>
      </w:r>
      <w:r w:rsidRPr="0063204C">
        <w:rPr>
          <w:i/>
        </w:rPr>
        <w:t>Z</w:t>
      </w:r>
      <w:r>
        <w:rPr>
          <w:i/>
        </w:rPr>
        <w:t>b</w:t>
      </w:r>
      <w:r>
        <w:rPr>
          <w:i/>
          <w:vertAlign w:val="subscript"/>
        </w:rPr>
        <w:t>W</w:t>
      </w:r>
      <w:r>
        <w:t xml:space="preserve"> (einschließlich der leeren Menge</w:t>
      </w:r>
      <w:r w:rsidR="00E40F11">
        <w:t>, die Teilmenge jeder Menge ist</w:t>
      </w:r>
      <w:r>
        <w:t>).</w:t>
      </w:r>
      <w:r w:rsidR="00D3509E">
        <w:rPr>
          <w:rStyle w:val="Funotenzeichen"/>
        </w:rPr>
        <w:footnoteReference w:id="382"/>
      </w:r>
    </w:p>
    <w:p w:rsidR="009543E9" w:rsidRDefault="006340B1">
      <w:pPr>
        <w:pStyle w:val="Text"/>
      </w:pPr>
      <w:r>
        <w:t>In Zeile 1</w:t>
      </w:r>
      <w:r w:rsidR="00F44E08">
        <w:t>5</w:t>
      </w:r>
      <w:r w:rsidR="009543E9">
        <w:t xml:space="preserve"> wird die if-Anweisung aus Zeile 7 beendet.</w:t>
      </w:r>
    </w:p>
    <w:p w:rsidR="0063204C" w:rsidRDefault="006340B1" w:rsidP="009543E9">
      <w:pPr>
        <w:pStyle w:val="Text"/>
      </w:pPr>
      <w:r>
        <w:t>In Zeile 1</w:t>
      </w:r>
      <w:r w:rsidR="00F44E08">
        <w:t>6</w:t>
      </w:r>
      <w:r w:rsidR="009543E9">
        <w:t xml:space="preserve"> wird die for-Schleife aus Zeile 6 beendet</w:t>
      </w:r>
      <w:r w:rsidR="0063204C">
        <w:t>.</w:t>
      </w:r>
    </w:p>
    <w:p w:rsidR="0063204C" w:rsidRDefault="006340B1" w:rsidP="009543E9">
      <w:pPr>
        <w:pStyle w:val="Text"/>
      </w:pPr>
      <w:r>
        <w:lastRenderedPageBreak/>
        <w:t>In Zeile 1</w:t>
      </w:r>
      <w:r w:rsidR="00F44E08">
        <w:t>7</w:t>
      </w:r>
      <w:r w:rsidR="0063204C">
        <w:t xml:space="preserve"> wird </w:t>
      </w:r>
      <w:r w:rsidR="0063204C" w:rsidRPr="00D330E5">
        <w:rPr>
          <w:i/>
          <w:iCs/>
        </w:rPr>
        <w:t>A</w:t>
      </w:r>
      <w:r w:rsidR="0063204C" w:rsidRPr="00D330E5">
        <w:rPr>
          <w:i/>
          <w:vertAlign w:val="subscript"/>
        </w:rPr>
        <w:t>k</w:t>
      </w:r>
      <w:r w:rsidR="0063204C">
        <w:t xml:space="preserve">, die </w:t>
      </w:r>
      <w:r w:rsidR="00721558">
        <w:t>Alter</w:t>
      </w:r>
      <w:r w:rsidR="00721558">
        <w:softHyphen/>
        <w:t>nativen</w:t>
      </w:r>
      <w:r w:rsidR="00721558">
        <w:softHyphen/>
        <w:t>klasse</w:t>
      </w:r>
      <w:r w:rsidR="0063204C">
        <w:t xml:space="preserve"> an der </w:t>
      </w:r>
      <w:r w:rsidR="0063204C" w:rsidRPr="009543E9">
        <w:rPr>
          <w:i/>
        </w:rPr>
        <w:t>k</w:t>
      </w:r>
      <w:r w:rsidR="0063204C">
        <w:t xml:space="preserve">ten Realisierungsstelle, gebildet. Sie besteht aus </w:t>
      </w:r>
      <w:r w:rsidR="00881E8E">
        <w:t xml:space="preserve">den </w:t>
      </w:r>
      <w:r w:rsidR="0063204C">
        <w:t xml:space="preserve">Elementen des Möglichkeitsraums </w:t>
      </w:r>
      <w:r w:rsidR="0063204C" w:rsidRPr="00D330E5">
        <w:rPr>
          <w:i/>
        </w:rPr>
        <w:t>M</w:t>
      </w:r>
      <w:r w:rsidR="0063204C" w:rsidRPr="00D330E5">
        <w:rPr>
          <w:i/>
          <w:vertAlign w:val="subscript"/>
        </w:rPr>
        <w:t>Alt</w:t>
      </w:r>
      <w:r w:rsidR="0063204C">
        <w:t xml:space="preserve">, </w:t>
      </w:r>
      <w:r w:rsidR="00594A62">
        <w:t xml:space="preserve">die </w:t>
      </w:r>
      <w:r w:rsidR="00E52588">
        <w:t xml:space="preserve">die </w:t>
      </w:r>
      <w:r w:rsidR="00CC07E8">
        <w:t xml:space="preserve">in </w:t>
      </w:r>
      <w:r w:rsidR="00CC07E8" w:rsidRPr="009543E9">
        <w:rPr>
          <w:rFonts w:cs="Times New Roman"/>
          <w:i/>
        </w:rPr>
        <w:t>Ab</w:t>
      </w:r>
      <w:r w:rsidR="00CC07E8" w:rsidRPr="009543E9">
        <w:rPr>
          <w:rFonts w:cs="Times New Roman"/>
          <w:i/>
          <w:vertAlign w:val="subscript"/>
        </w:rPr>
        <w:t>k</w:t>
      </w:r>
      <w:r w:rsidR="00CC07E8">
        <w:t xml:space="preserve"> enthaltenen Eigenschaften besitzen</w:t>
      </w:r>
      <w:r w:rsidR="00594A62">
        <w:t>, also die Alternativenbedingungen erfü</w:t>
      </w:r>
      <w:r w:rsidR="00594A62">
        <w:t>l</w:t>
      </w:r>
      <w:r w:rsidR="00594A62">
        <w:t>len</w:t>
      </w:r>
      <w:r w:rsidR="00CC07E8">
        <w:t xml:space="preserve"> (vgl. Abschnitt </w:t>
      </w:r>
      <w:r w:rsidR="005D7996">
        <w:fldChar w:fldCharType="begin"/>
      </w:r>
      <w:r w:rsidR="00CC07E8">
        <w:instrText xml:space="preserve"> REF _Ref212029118 \r \h </w:instrText>
      </w:r>
      <w:r w:rsidR="005D7996">
        <w:fldChar w:fldCharType="separate"/>
      </w:r>
      <w:r w:rsidR="001231D3">
        <w:t>4.4</w:t>
      </w:r>
      <w:r w:rsidR="005D7996">
        <w:fldChar w:fldCharType="end"/>
      </w:r>
      <w:r w:rsidR="00CC07E8">
        <w:t>).</w:t>
      </w:r>
    </w:p>
    <w:p w:rsidR="00CC07E8" w:rsidRDefault="006340B1" w:rsidP="009543E9">
      <w:pPr>
        <w:pStyle w:val="Text"/>
      </w:pPr>
      <w:r>
        <w:t>In Zeile 1</w:t>
      </w:r>
      <w:r w:rsidR="00F44E08">
        <w:t>8</w:t>
      </w:r>
      <w:r w:rsidR="00CC07E8" w:rsidRPr="00CC07E8">
        <w:t xml:space="preserve"> </w:t>
      </w:r>
      <w:r w:rsidR="00CC07E8">
        <w:t>wird die for-Schleife aus Zeile 4 beendet.</w:t>
      </w:r>
    </w:p>
    <w:p w:rsidR="00D2554C" w:rsidRDefault="00D2554C">
      <w:pPr>
        <w:pStyle w:val="Text"/>
      </w:pPr>
      <w:r>
        <w:t xml:space="preserve">In Zeile </w:t>
      </w:r>
      <w:r w:rsidR="00D3509E">
        <w:t>19</w:t>
      </w:r>
      <w:r w:rsidR="00CC07E8">
        <w:t xml:space="preserve"> </w:t>
      </w:r>
      <w:r w:rsidR="00ED4F0E">
        <w:t xml:space="preserve">werden </w:t>
      </w:r>
      <w:r w:rsidR="00F44E08">
        <w:rPr>
          <w:i/>
          <w:iCs/>
        </w:rPr>
        <w:t>P</w:t>
      </w:r>
      <w:r>
        <w:rPr>
          <w:iCs/>
          <w:vertAlign w:val="subscript"/>
        </w:rPr>
        <w:t>1</w:t>
      </w:r>
      <w:r w:rsidR="00A01CD9">
        <w:t xml:space="preserve"> </w:t>
      </w:r>
      <w:r w:rsidR="00ED4F0E">
        <w:t xml:space="preserve">bis </w:t>
      </w:r>
      <w:r w:rsidR="00F44E08">
        <w:rPr>
          <w:i/>
          <w:iCs/>
        </w:rPr>
        <w:t>P</w:t>
      </w:r>
      <w:r>
        <w:rPr>
          <w:vertAlign w:val="subscript"/>
        </w:rPr>
        <w:t>|</w:t>
      </w:r>
      <w:r w:rsidR="00C066AD">
        <w:rPr>
          <w:i/>
          <w:vertAlign w:val="subscript"/>
        </w:rPr>
        <w:t>R</w:t>
      </w:r>
      <w:r>
        <w:rPr>
          <w:vertAlign w:val="subscript"/>
        </w:rPr>
        <w:t>|</w:t>
      </w:r>
      <w:r>
        <w:t xml:space="preserve"> </w:t>
      </w:r>
      <w:r w:rsidR="00A01CD9">
        <w:t xml:space="preserve">zur Menge </w:t>
      </w:r>
      <w:r w:rsidR="00A01CD9" w:rsidRPr="00A01CD9">
        <w:rPr>
          <w:i/>
        </w:rPr>
        <w:t>P</w:t>
      </w:r>
      <w:r w:rsidR="00A01CD9">
        <w:t xml:space="preserve"> </w:t>
      </w:r>
      <w:r w:rsidR="00ED4F0E">
        <w:t>vereinigt</w:t>
      </w:r>
      <w:r>
        <w:t xml:space="preserve">. Somit enthält </w:t>
      </w:r>
      <w:r>
        <w:rPr>
          <w:i/>
          <w:iCs/>
        </w:rPr>
        <w:t>P</w:t>
      </w:r>
      <w:r>
        <w:t xml:space="preserve"> </w:t>
      </w:r>
      <w:r w:rsidR="00AC6DD3">
        <w:t xml:space="preserve">für </w:t>
      </w:r>
      <w:r w:rsidR="00882600">
        <w:t>j</w:t>
      </w:r>
      <w:r w:rsidR="00882600">
        <w:t>e</w:t>
      </w:r>
      <w:r w:rsidR="00882600">
        <w:t>de</w:t>
      </w:r>
      <w:r w:rsidR="00A01CD9">
        <w:t xml:space="preserve"> </w:t>
      </w:r>
      <w:r w:rsidR="00882600">
        <w:t xml:space="preserve">der </w:t>
      </w:r>
      <w:r w:rsidR="00721558">
        <w:t>Alter</w:t>
      </w:r>
      <w:r w:rsidR="00721558">
        <w:softHyphen/>
        <w:t>nativen</w:t>
      </w:r>
      <w:r w:rsidR="00721558">
        <w:softHyphen/>
        <w:t>klasse</w:t>
      </w:r>
      <w:r w:rsidR="00A01CD9">
        <w:t xml:space="preserve">n </w:t>
      </w:r>
      <w:r w:rsidR="00A01CD9">
        <w:rPr>
          <w:i/>
          <w:iCs/>
        </w:rPr>
        <w:t>A</w:t>
      </w:r>
      <w:r w:rsidR="00A01CD9">
        <w:rPr>
          <w:iCs/>
          <w:vertAlign w:val="subscript"/>
        </w:rPr>
        <w:t>1</w:t>
      </w:r>
      <w:r w:rsidR="00A01CD9">
        <w:t xml:space="preserve">, …, </w:t>
      </w:r>
      <w:r w:rsidR="00A01CD9">
        <w:rPr>
          <w:i/>
          <w:iCs/>
        </w:rPr>
        <w:t>A</w:t>
      </w:r>
      <w:r w:rsidR="00A01CD9">
        <w:rPr>
          <w:vertAlign w:val="subscript"/>
        </w:rPr>
        <w:t>|</w:t>
      </w:r>
      <w:r w:rsidR="00A01CD9">
        <w:rPr>
          <w:i/>
          <w:vertAlign w:val="subscript"/>
        </w:rPr>
        <w:t>R</w:t>
      </w:r>
      <w:r w:rsidR="00A01CD9">
        <w:rPr>
          <w:vertAlign w:val="subscript"/>
        </w:rPr>
        <w:t>|</w:t>
      </w:r>
      <w:r w:rsidR="00A01CD9">
        <w:t xml:space="preserve">, die zu den Realisierungsstellen von </w:t>
      </w:r>
      <w:r w:rsidR="00A01CD9" w:rsidRPr="00A01CD9">
        <w:rPr>
          <w:i/>
        </w:rPr>
        <w:t>R</w:t>
      </w:r>
      <w:r w:rsidR="00A01CD9">
        <w:t xml:space="preserve"> gebildet wurden, </w:t>
      </w:r>
      <w:r w:rsidR="00882600">
        <w:t>alle</w:t>
      </w:r>
      <w:r w:rsidR="00AC6DD3">
        <w:t xml:space="preserve"> </w:t>
      </w:r>
      <w:r w:rsidR="001E469C">
        <w:t xml:space="preserve">möglichen </w:t>
      </w:r>
      <w:r w:rsidR="00A01CD9">
        <w:t>Kombination</w:t>
      </w:r>
      <w:r w:rsidR="00882600">
        <w:t>en</w:t>
      </w:r>
      <w:r w:rsidR="001E469C">
        <w:t xml:space="preserve"> der </w:t>
      </w:r>
      <w:r w:rsidR="00A01CD9">
        <w:t xml:space="preserve">Schemaort-definierenden Eigenschaften </w:t>
      </w:r>
      <w:r w:rsidR="001E469C">
        <w:t xml:space="preserve">mit </w:t>
      </w:r>
      <w:r w:rsidR="00A01CD9">
        <w:t>einer Teilmenge der dazu ausgewählten Zusatzbedingungen.</w:t>
      </w:r>
    </w:p>
    <w:p w:rsidR="00AC6DD3" w:rsidRDefault="00D2554C" w:rsidP="00AC6DD3">
      <w:pPr>
        <w:pStyle w:val="Text"/>
      </w:pPr>
      <w:r>
        <w:t xml:space="preserve">In Zeile </w:t>
      </w:r>
      <w:r w:rsidR="00612843">
        <w:t>20</w:t>
      </w:r>
      <w:r w:rsidR="00AC6DD3">
        <w:t xml:space="preserve"> wird für </w:t>
      </w:r>
      <w:r w:rsidR="00AC6DD3">
        <w:rPr>
          <w:i/>
          <w:iCs/>
        </w:rPr>
        <w:t>E</w:t>
      </w:r>
      <w:r w:rsidR="00AC6DD3">
        <w:rPr>
          <w:iCs/>
          <w:vertAlign w:val="subscript"/>
        </w:rPr>
        <w:t>1</w:t>
      </w:r>
      <w:r w:rsidR="00AC6DD3">
        <w:t xml:space="preserve"> bis </w:t>
      </w:r>
      <w:r w:rsidR="00AC6DD3">
        <w:rPr>
          <w:i/>
          <w:iCs/>
        </w:rPr>
        <w:t>E</w:t>
      </w:r>
      <w:r w:rsidR="00AC6DD3">
        <w:rPr>
          <w:vertAlign w:val="subscript"/>
        </w:rPr>
        <w:t>|</w:t>
      </w:r>
      <w:r w:rsidR="00AC6DD3">
        <w:rPr>
          <w:i/>
          <w:vertAlign w:val="subscript"/>
        </w:rPr>
        <w:t>R</w:t>
      </w:r>
      <w:r w:rsidR="00AC6DD3">
        <w:rPr>
          <w:vertAlign w:val="subscript"/>
        </w:rPr>
        <w:t>|</w:t>
      </w:r>
      <w:r w:rsidR="00AC6DD3">
        <w:t xml:space="preserve"> die Potenzmenge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rsidR="00AC6DD3">
        <w:t xml:space="preserve"> </w:t>
      </w:r>
      <w:r w:rsidR="00D5472C" w:rsidRPr="00D5472C">
        <w:rPr>
          <w:rFonts w:ascii="Cambria Math" w:eastAsia="Arial Unicode MS" w:hAnsi="Cambria Math" w:cs="Arial Unicode MS"/>
        </w:rPr>
        <w:t>℘</w:t>
      </w:r>
      <w:r w:rsidR="00AC6DD3">
        <w:t xml:space="preserve"> gebildet. Die Verein</w:t>
      </w:r>
      <w:r w:rsidR="00AC6DD3">
        <w:t>i</w:t>
      </w:r>
      <w:r w:rsidR="00AC6DD3">
        <w:t>gungsmenge dieser Potenzmengen wird</w:t>
      </w:r>
      <w:r w:rsidR="00204515">
        <w:t xml:space="preserve"> </w:t>
      </w:r>
      <w:r w:rsidR="00AC6DD3">
        <w:t xml:space="preserve">in die Variable </w:t>
      </w:r>
      <w:r w:rsidR="00AC6DD3">
        <w:rPr>
          <w:i/>
          <w:iCs/>
        </w:rPr>
        <w:t>Q</w:t>
      </w:r>
      <w:r w:rsidR="00AC6DD3">
        <w:t xml:space="preserve"> gespeichert. Somit enthält </w:t>
      </w:r>
      <w:r w:rsidR="00AC6DD3">
        <w:rPr>
          <w:i/>
          <w:iCs/>
        </w:rPr>
        <w:t>Q</w:t>
      </w:r>
      <w:r w:rsidR="00AC6DD3">
        <w:t xml:space="preserve"> für jede Eigenschaftskombination, die an einem der Elemente der Re</w:t>
      </w:r>
      <w:r w:rsidR="00AC6DD3">
        <w:t>a</w:t>
      </w:r>
      <w:r w:rsidR="00AC6DD3">
        <w:t>lisierung auftritt, eine Menge mit diesen Eigenschaften.</w:t>
      </w:r>
      <w:r w:rsidR="00EC7CEB">
        <w:rPr>
          <w:rStyle w:val="Funotenzeichen"/>
        </w:rPr>
        <w:footnoteReference w:id="383"/>
      </w:r>
    </w:p>
    <w:p w:rsidR="00D2554C" w:rsidRDefault="00D2554C">
      <w:pPr>
        <w:pStyle w:val="Text"/>
      </w:pPr>
      <w:r>
        <w:t xml:space="preserve">Zeile </w:t>
      </w:r>
      <w:r w:rsidR="00612843">
        <w:t>21</w:t>
      </w:r>
      <w:r w:rsidR="00155B40">
        <w:t xml:space="preserve"> </w:t>
      </w:r>
      <w:r>
        <w:t xml:space="preserve">gibt an, dass die eingerückt folgende Schleife für die Variable </w:t>
      </w:r>
      <w:r>
        <w:rPr>
          <w:i/>
          <w:iCs/>
        </w:rPr>
        <w:t>i</w:t>
      </w:r>
      <w:r>
        <w:t xml:space="preserve"> von 1 bis zur Anzahl der Elemente von </w:t>
      </w:r>
      <w:r>
        <w:rPr>
          <w:i/>
          <w:iCs/>
        </w:rPr>
        <w:t>P</w:t>
      </w:r>
      <w:r>
        <w:t xml:space="preserve"> ausgeführt wird.</w:t>
      </w:r>
    </w:p>
    <w:p w:rsidR="00D2554C" w:rsidRDefault="00D2554C">
      <w:pPr>
        <w:pStyle w:val="Text"/>
      </w:pPr>
      <w:r>
        <w:t xml:space="preserve">Zeile </w:t>
      </w:r>
      <w:r w:rsidR="006340B1">
        <w:t>2</w:t>
      </w:r>
      <w:r w:rsidR="00FF2E65">
        <w:t>2</w:t>
      </w:r>
      <w:r w:rsidR="00155B40">
        <w:t xml:space="preserve"> </w:t>
      </w:r>
      <w:r>
        <w:t xml:space="preserve">gibt an, dass die eingerückt folgende Schleife für die Variable </w:t>
      </w:r>
      <w:r>
        <w:rPr>
          <w:i/>
          <w:iCs/>
        </w:rPr>
        <w:t>j</w:t>
      </w:r>
      <w:r>
        <w:t xml:space="preserve"> von 1 bis zur Anzahl der Elemente von </w:t>
      </w:r>
      <w:r>
        <w:rPr>
          <w:i/>
          <w:iCs/>
        </w:rPr>
        <w:t>Q</w:t>
      </w:r>
      <w:r>
        <w:t xml:space="preserve"> ausgeführt wird.</w:t>
      </w:r>
    </w:p>
    <w:p w:rsidR="00D2554C" w:rsidRDefault="00D2554C">
      <w:pPr>
        <w:pStyle w:val="Text"/>
        <w:rPr>
          <w:iCs/>
        </w:rPr>
      </w:pPr>
      <w:r>
        <w:t xml:space="preserve">In Zeile </w:t>
      </w:r>
      <w:r w:rsidR="006340B1">
        <w:t>2</w:t>
      </w:r>
      <w:r w:rsidR="00FF2E65">
        <w:t>3</w:t>
      </w:r>
      <w:r w:rsidR="00155B40">
        <w:t xml:space="preserve"> </w:t>
      </w:r>
      <w:r>
        <w:t xml:space="preserve">werden die Variablen </w:t>
      </w:r>
      <w:r>
        <w:rPr>
          <w:i/>
          <w:iCs/>
        </w:rPr>
        <w:t>m</w:t>
      </w:r>
      <w:r w:rsidR="00041F30">
        <w:rPr>
          <w:i/>
          <w:iCs/>
          <w:vertAlign w:val="subscript"/>
        </w:rPr>
        <w:t>s</w:t>
      </w:r>
      <w:r>
        <w:t xml:space="preserve">, </w:t>
      </w:r>
      <w:r>
        <w:rPr>
          <w:i/>
          <w:iCs/>
        </w:rPr>
        <w:t>n</w:t>
      </w:r>
      <w:r>
        <w:t xml:space="preserve">, </w:t>
      </w:r>
      <w:r>
        <w:rPr>
          <w:i/>
          <w:iCs/>
        </w:rPr>
        <w:t>g</w:t>
      </w:r>
      <w:r>
        <w:rPr>
          <w:iCs/>
        </w:rPr>
        <w:t xml:space="preserve"> und </w:t>
      </w:r>
      <w:r>
        <w:rPr>
          <w:i/>
          <w:iCs/>
        </w:rPr>
        <w:t>g</w:t>
      </w:r>
      <w:r>
        <w:rPr>
          <w:i/>
          <w:iCs/>
          <w:vertAlign w:val="subscript"/>
        </w:rPr>
        <w:t>x</w:t>
      </w:r>
      <w:r>
        <w:rPr>
          <w:iCs/>
        </w:rPr>
        <w:t xml:space="preserve"> gleich 0 gesetzt.</w:t>
      </w:r>
      <w:r w:rsidR="00041F30">
        <w:rPr>
          <w:rStyle w:val="Funotenzeichen"/>
          <w:iCs/>
        </w:rPr>
        <w:footnoteReference w:id="384"/>
      </w:r>
    </w:p>
    <w:p w:rsidR="00D2554C" w:rsidRDefault="00D2554C">
      <w:pPr>
        <w:pStyle w:val="Text"/>
      </w:pPr>
      <w:r>
        <w:rPr>
          <w:iCs/>
        </w:rPr>
        <w:t xml:space="preserve">Zeile </w:t>
      </w:r>
      <w:r w:rsidR="006340B1">
        <w:rPr>
          <w:iCs/>
        </w:rPr>
        <w:t>2</w:t>
      </w:r>
      <w:r w:rsidR="00FF2E65">
        <w:rPr>
          <w:iCs/>
        </w:rPr>
        <w:t>4</w:t>
      </w:r>
      <w:r w:rsidR="00155B40">
        <w:rPr>
          <w:iCs/>
        </w:rPr>
        <w:t xml:space="preserve"> gibt an, dass die </w:t>
      </w:r>
      <w:r w:rsidR="00155B40">
        <w:t xml:space="preserve">eingerückt </w:t>
      </w:r>
      <w:r w:rsidR="000C2F8F">
        <w:t>folgenden Anweisungen ausgeführt werden</w:t>
      </w:r>
      <w:r w:rsidR="00155B40">
        <w:rPr>
          <w:iCs/>
        </w:rPr>
        <w:t xml:space="preserve">, wenn </w:t>
      </w:r>
      <w:r>
        <w:rPr>
          <w:iCs/>
        </w:rPr>
        <w:t>die Schnittmenge von</w:t>
      </w:r>
      <w:r>
        <w:rPr>
          <w:i/>
          <w:iCs/>
        </w:rPr>
        <w:t xml:space="preserve"> P</w:t>
      </w:r>
      <w:r>
        <w:rPr>
          <w:i/>
          <w:vertAlign w:val="subscript"/>
        </w:rPr>
        <w:t>i</w:t>
      </w:r>
      <w:r>
        <w:t xml:space="preserve"> und </w:t>
      </w:r>
      <w:r>
        <w:rPr>
          <w:i/>
          <w:iCs/>
        </w:rPr>
        <w:t>Q</w:t>
      </w:r>
      <w:r>
        <w:rPr>
          <w:i/>
          <w:vertAlign w:val="subscript"/>
        </w:rPr>
        <w:t>j</w:t>
      </w:r>
      <w:r>
        <w:t xml:space="preserve"> leer ist. </w:t>
      </w:r>
      <w:r w:rsidR="00155B40">
        <w:t>Dies hat folgende Grü</w:t>
      </w:r>
      <w:r w:rsidR="00155B40">
        <w:t>n</w:t>
      </w:r>
      <w:r w:rsidR="00155B40">
        <w:t xml:space="preserve">de: </w:t>
      </w:r>
      <w:r>
        <w:t xml:space="preserve">Falls die </w:t>
      </w:r>
      <w:r w:rsidR="00765E66">
        <w:t>Merkmalsregel</w:t>
      </w:r>
      <w:r>
        <w:t xml:space="preserve"> angenommen wird, wird </w:t>
      </w:r>
      <w:r>
        <w:rPr>
          <w:i/>
          <w:iCs/>
        </w:rPr>
        <w:t>P</w:t>
      </w:r>
      <w:r>
        <w:rPr>
          <w:i/>
          <w:vertAlign w:val="subscript"/>
        </w:rPr>
        <w:t>i</w:t>
      </w:r>
      <w:r>
        <w:t xml:space="preserve"> zu den </w:t>
      </w:r>
      <w:r w:rsidR="005F647E">
        <w:t>Anwendungsb</w:t>
      </w:r>
      <w:r w:rsidR="005F647E">
        <w:t>e</w:t>
      </w:r>
      <w:r w:rsidR="005F647E">
        <w:t>dingung</w:t>
      </w:r>
      <w:r>
        <w:t xml:space="preserve">en </w:t>
      </w:r>
      <w:r>
        <w:rPr>
          <w:i/>
          <w:iCs/>
        </w:rPr>
        <w:t>U</w:t>
      </w:r>
      <w:r>
        <w:t xml:space="preserve"> und </w:t>
      </w:r>
      <w:r>
        <w:rPr>
          <w:i/>
          <w:iCs/>
        </w:rPr>
        <w:t>Q</w:t>
      </w:r>
      <w:r>
        <w:rPr>
          <w:i/>
          <w:vertAlign w:val="subscript"/>
        </w:rPr>
        <w:t>j</w:t>
      </w:r>
      <w:r>
        <w:t xml:space="preserve"> zu den verlangten Eigenschaften </w:t>
      </w:r>
      <w:r>
        <w:rPr>
          <w:i/>
          <w:iCs/>
        </w:rPr>
        <w:t>V</w:t>
      </w:r>
      <w:r>
        <w:t xml:space="preserve"> der entsprechenen </w:t>
      </w:r>
      <w:r w:rsidR="00765E66">
        <w:t>Merkmalsregel</w:t>
      </w:r>
      <w:r w:rsidR="00155B40">
        <w:t xml:space="preserve">; vgl. Zeile </w:t>
      </w:r>
      <w:r w:rsidR="00FF2E65">
        <w:t>41</w:t>
      </w:r>
      <w:r>
        <w:t xml:space="preserve">. Wenn eine Eigenschaft bereits in den </w:t>
      </w:r>
      <w:r w:rsidR="005F647E">
        <w:t>Anwe</w:t>
      </w:r>
      <w:r w:rsidR="005F647E">
        <w:t>n</w:t>
      </w:r>
      <w:r w:rsidR="005F647E">
        <w:t>dungsbedingung</w:t>
      </w:r>
      <w:r>
        <w:t xml:space="preserve">en genannt wurde, kommt sie allen Elementen der betrachteten </w:t>
      </w:r>
      <w:r w:rsidR="00721558">
        <w:t>Alter</w:t>
      </w:r>
      <w:r w:rsidR="00721558">
        <w:softHyphen/>
        <w:t>nativen</w:t>
      </w:r>
      <w:r w:rsidR="00721558">
        <w:softHyphen/>
        <w:t>klasse</w:t>
      </w:r>
      <w:r>
        <w:t>n zu</w:t>
      </w:r>
      <w:r w:rsidR="00155B40">
        <w:t xml:space="preserve"> und führt also zu keiner Reduzierung der </w:t>
      </w:r>
      <w:r w:rsidR="00721558">
        <w:t>Alter</w:t>
      </w:r>
      <w:r w:rsidR="00721558">
        <w:softHyphen/>
        <w:t>nativen</w:t>
      </w:r>
      <w:r w:rsidR="00721558">
        <w:softHyphen/>
        <w:t>klasse</w:t>
      </w:r>
      <w:r>
        <w:t>.</w:t>
      </w:r>
      <w:r w:rsidR="00155B40">
        <w:rPr>
          <w:rStyle w:val="Funotenzeichen"/>
        </w:rPr>
        <w:footnoteReference w:id="385"/>
      </w:r>
    </w:p>
    <w:p w:rsidR="00D2554C" w:rsidRDefault="00D2554C">
      <w:pPr>
        <w:pStyle w:val="Text"/>
      </w:pPr>
      <w:r>
        <w:t xml:space="preserve">Zeile </w:t>
      </w:r>
      <w:r w:rsidR="00AA6DEE">
        <w:t>25</w:t>
      </w:r>
      <w:r>
        <w:t xml:space="preserve"> gibt an, dass die eingerückt folgende Schleife für die Variable </w:t>
      </w:r>
      <w:r>
        <w:rPr>
          <w:i/>
          <w:iCs/>
        </w:rPr>
        <w:t>k</w:t>
      </w:r>
      <w:r>
        <w:t xml:space="preserve"> von 1 bis zur Anzahl der Elemente von </w:t>
      </w:r>
      <w:r>
        <w:rPr>
          <w:i/>
          <w:iCs/>
        </w:rPr>
        <w:t>R</w:t>
      </w:r>
      <w:r>
        <w:t xml:space="preserve"> ausgeführt wird.</w:t>
      </w:r>
    </w:p>
    <w:p w:rsidR="00D2554C" w:rsidRDefault="00D2554C">
      <w:pPr>
        <w:pStyle w:val="Text"/>
      </w:pPr>
      <w:r>
        <w:t xml:space="preserve">Zeile </w:t>
      </w:r>
      <w:r w:rsidR="004C38D2">
        <w:t>2</w:t>
      </w:r>
      <w:r w:rsidR="00AA6DEE">
        <w:t>6</w:t>
      </w:r>
      <w:r>
        <w:t xml:space="preserve"> gibt an, dass die eingerückt </w:t>
      </w:r>
      <w:r w:rsidR="000C2F8F">
        <w:t>folgenden Anweisungen ausgeführt werden</w:t>
      </w:r>
      <w:r>
        <w:t xml:space="preserve">, wenn zwei Bedingungen erfüllt sind: (1) </w:t>
      </w:r>
      <w:r>
        <w:rPr>
          <w:i/>
          <w:iCs/>
        </w:rPr>
        <w:t>P</w:t>
      </w:r>
      <w:r>
        <w:rPr>
          <w:i/>
          <w:vertAlign w:val="subscript"/>
        </w:rPr>
        <w:t>i</w:t>
      </w:r>
      <w:r>
        <w:rPr>
          <w:iCs/>
        </w:rPr>
        <w:t xml:space="preserve"> ist eine Teilmenge von </w:t>
      </w:r>
      <w:r w:rsidR="0025067A">
        <w:rPr>
          <w:i/>
          <w:iCs/>
        </w:rPr>
        <w:t>Ab</w:t>
      </w:r>
      <w:r>
        <w:rPr>
          <w:i/>
          <w:iCs/>
          <w:vertAlign w:val="subscript"/>
        </w:rPr>
        <w:t>k</w:t>
      </w:r>
      <w:r>
        <w:t xml:space="preserve">, den Alternativenbedingungen der zur jeweils betrachteten Realisierungsstelle gehörigen </w:t>
      </w:r>
      <w:r w:rsidR="00721558">
        <w:t>Alter</w:t>
      </w:r>
      <w:r w:rsidR="00721558">
        <w:softHyphen/>
        <w:t>nativen</w:t>
      </w:r>
      <w:r w:rsidR="00721558">
        <w:softHyphen/>
        <w:t>klasse</w:t>
      </w:r>
      <w:r>
        <w:rPr>
          <w:iCs/>
        </w:rPr>
        <w:t xml:space="preserve">. Da es sich bei </w:t>
      </w:r>
      <w:r>
        <w:rPr>
          <w:i/>
          <w:iCs/>
        </w:rPr>
        <w:t>P</w:t>
      </w:r>
      <w:r>
        <w:rPr>
          <w:i/>
          <w:vertAlign w:val="subscript"/>
        </w:rPr>
        <w:t>i</w:t>
      </w:r>
      <w:r w:rsidR="002749BC">
        <w:rPr>
          <w:iCs/>
        </w:rPr>
        <w:t xml:space="preserve"> um die Anwendungsbedingungen</w:t>
      </w:r>
      <w:r>
        <w:rPr>
          <w:iCs/>
        </w:rPr>
        <w:t xml:space="preserve"> der überprüften </w:t>
      </w:r>
      <w:r w:rsidR="00765E66">
        <w:rPr>
          <w:iCs/>
        </w:rPr>
        <w:t>Merkmalsregel</w:t>
      </w:r>
      <w:r>
        <w:rPr>
          <w:iCs/>
        </w:rPr>
        <w:t xml:space="preserve"> handelt, entspricht dies der Prüfung, ob die </w:t>
      </w:r>
      <w:r w:rsidR="00721558">
        <w:rPr>
          <w:iCs/>
        </w:rPr>
        <w:t>Alter</w:t>
      </w:r>
      <w:r w:rsidR="00721558">
        <w:rPr>
          <w:iCs/>
        </w:rPr>
        <w:softHyphen/>
        <w:t>nativen</w:t>
      </w:r>
      <w:r w:rsidR="00721558">
        <w:rPr>
          <w:iCs/>
        </w:rPr>
        <w:softHyphen/>
        <w:t>klasse</w:t>
      </w:r>
      <w:r>
        <w:rPr>
          <w:iCs/>
        </w:rPr>
        <w:t xml:space="preserve"> die </w:t>
      </w:r>
      <w:r w:rsidR="005F647E">
        <w:rPr>
          <w:iCs/>
        </w:rPr>
        <w:t>Anwendungsbedingung</w:t>
      </w:r>
      <w:r>
        <w:rPr>
          <w:iCs/>
        </w:rPr>
        <w:t xml:space="preserve">en der </w:t>
      </w:r>
      <w:r w:rsidR="00765E66">
        <w:rPr>
          <w:iCs/>
        </w:rPr>
        <w:t>Merkmalsregel</w:t>
      </w:r>
      <w:r>
        <w:rPr>
          <w:iCs/>
        </w:rPr>
        <w:t xml:space="preserve"> erfüllt. (2) </w:t>
      </w:r>
      <w:r>
        <w:rPr>
          <w:i/>
          <w:iCs/>
        </w:rPr>
        <w:t>Q</w:t>
      </w:r>
      <w:r>
        <w:rPr>
          <w:i/>
          <w:vertAlign w:val="subscript"/>
        </w:rPr>
        <w:t>j</w:t>
      </w:r>
      <w:r>
        <w:rPr>
          <w:iCs/>
        </w:rPr>
        <w:t xml:space="preserve"> ist keine Teilmenge von </w:t>
      </w:r>
      <w:r w:rsidR="0025067A">
        <w:rPr>
          <w:i/>
          <w:iCs/>
        </w:rPr>
        <w:t>Ab</w:t>
      </w:r>
      <w:r>
        <w:rPr>
          <w:i/>
          <w:iCs/>
          <w:vertAlign w:val="subscript"/>
        </w:rPr>
        <w:t>k</w:t>
      </w:r>
      <w:r>
        <w:t xml:space="preserve">. </w:t>
      </w:r>
      <w:r>
        <w:rPr>
          <w:i/>
          <w:iCs/>
        </w:rPr>
        <w:t>Q</w:t>
      </w:r>
      <w:r>
        <w:rPr>
          <w:i/>
          <w:vertAlign w:val="subscript"/>
        </w:rPr>
        <w:t>j</w:t>
      </w:r>
      <w:r>
        <w:t xml:space="preserve"> sind die verlangten Eigenschaften der übe</w:t>
      </w:r>
      <w:r>
        <w:t>r</w:t>
      </w:r>
      <w:r>
        <w:t xml:space="preserve">prüften </w:t>
      </w:r>
      <w:r w:rsidR="00765E66">
        <w:t>Merkmalsregel</w:t>
      </w:r>
      <w:r>
        <w:t>; sind sie bereits in den Alternativenbedingungen entha</w:t>
      </w:r>
      <w:r>
        <w:t>l</w:t>
      </w:r>
      <w:r>
        <w:t xml:space="preserve">ten, kann die </w:t>
      </w:r>
      <w:r w:rsidR="00765E66">
        <w:t>Merkmalsregel</w:t>
      </w:r>
      <w:r>
        <w:t xml:space="preserve"> keine Reduzierung dieser </w:t>
      </w:r>
      <w:r w:rsidR="00721558">
        <w:t>Alter</w:t>
      </w:r>
      <w:r w:rsidR="00721558">
        <w:softHyphen/>
        <w:t>nativen</w:t>
      </w:r>
      <w:r w:rsidR="00721558">
        <w:softHyphen/>
        <w:t>klasse</w:t>
      </w:r>
      <w:r>
        <w:t xml:space="preserve"> bewi</w:t>
      </w:r>
      <w:r>
        <w:t>r</w:t>
      </w:r>
      <w:r>
        <w:t xml:space="preserve">ken, da alle Elemente bereits die verlangten Eigenschaften besitzen. In diesem </w:t>
      </w:r>
      <w:r>
        <w:lastRenderedPageBreak/>
        <w:t>Fall ist die Anwendung sinnlos. – Beide Bedingungen werden auch bei</w:t>
      </w:r>
      <w:r w:rsidR="00641F54">
        <w:t>m Ei</w:t>
      </w:r>
      <w:r w:rsidR="00641F54">
        <w:t>n</w:t>
      </w:r>
      <w:r w:rsidR="00641F54">
        <w:t>schreiben</w:t>
      </w:r>
      <w:r>
        <w:t xml:space="preserve"> für die Anwendung der </w:t>
      </w:r>
      <w:r w:rsidR="00765E66">
        <w:t>Merkmalsregel</w:t>
      </w:r>
      <w:r>
        <w:t xml:space="preserve"> gestellt.</w:t>
      </w:r>
      <w:r>
        <w:rPr>
          <w:rStyle w:val="Funotenzeichen"/>
        </w:rPr>
        <w:footnoteReference w:id="386"/>
      </w:r>
    </w:p>
    <w:p w:rsidR="00D2554C" w:rsidRDefault="00D2554C">
      <w:pPr>
        <w:pStyle w:val="Text"/>
      </w:pPr>
      <w:r>
        <w:rPr>
          <w:iCs/>
        </w:rPr>
        <w:t xml:space="preserve">Zeile </w:t>
      </w:r>
      <w:r w:rsidR="001773BC">
        <w:rPr>
          <w:iCs/>
        </w:rPr>
        <w:t>2</w:t>
      </w:r>
      <w:r w:rsidR="00AA6DEE">
        <w:rPr>
          <w:iCs/>
        </w:rPr>
        <w:t>7</w:t>
      </w:r>
      <w:r>
        <w:rPr>
          <w:iCs/>
        </w:rPr>
        <w:t xml:space="preserve"> gibt an, dass die eingerückt </w:t>
      </w:r>
      <w:r w:rsidR="003370D4">
        <w:rPr>
          <w:iCs/>
        </w:rPr>
        <w:t>folgende Anweisung</w:t>
      </w:r>
      <w:r>
        <w:rPr>
          <w:iCs/>
        </w:rPr>
        <w:t xml:space="preserve"> ausgeführt wird, wenn </w:t>
      </w:r>
      <w:r>
        <w:rPr>
          <w:i/>
          <w:iCs/>
        </w:rPr>
        <w:t>Q</w:t>
      </w:r>
      <w:r>
        <w:rPr>
          <w:i/>
          <w:vertAlign w:val="subscript"/>
        </w:rPr>
        <w:t>j</w:t>
      </w:r>
      <w:r>
        <w:rPr>
          <w:iCs/>
        </w:rPr>
        <w:t xml:space="preserve"> eine Teilmenge von </w:t>
      </w:r>
      <w:r w:rsidR="001773BC">
        <w:rPr>
          <w:i/>
          <w:iCs/>
        </w:rPr>
        <w:t>E</w:t>
      </w:r>
      <w:r w:rsidR="005539EF" w:rsidRPr="00EB4A0E">
        <w:rPr>
          <w:i/>
          <w:iCs/>
          <w:vertAlign w:val="subscript"/>
        </w:rPr>
        <w:t>k</w:t>
      </w:r>
      <w:r>
        <w:t xml:space="preserve">, der Menge der Eigenschaften des Elements </w:t>
      </w:r>
      <w:r w:rsidR="001773BC">
        <w:rPr>
          <w:i/>
          <w:iCs/>
        </w:rPr>
        <w:t>R</w:t>
      </w:r>
      <w:r>
        <w:rPr>
          <w:i/>
          <w:iCs/>
          <w:vertAlign w:val="subscript"/>
        </w:rPr>
        <w:t>k</w:t>
      </w:r>
      <w:r>
        <w:t>, ist.</w:t>
      </w:r>
    </w:p>
    <w:p w:rsidR="00D2554C" w:rsidRDefault="001773BC" w:rsidP="001773BC">
      <w:pPr>
        <w:pStyle w:val="Text"/>
        <w:rPr>
          <w:iCs/>
        </w:rPr>
      </w:pPr>
      <w:r>
        <w:rPr>
          <w:iCs/>
        </w:rPr>
        <w:t>In Zeile 2</w:t>
      </w:r>
      <w:r w:rsidR="00AA6DEE">
        <w:rPr>
          <w:iCs/>
        </w:rPr>
        <w:t>8</w:t>
      </w:r>
      <w:r>
        <w:rPr>
          <w:iCs/>
        </w:rPr>
        <w:t xml:space="preserve"> </w:t>
      </w:r>
      <w:r w:rsidR="00D2554C">
        <w:rPr>
          <w:iCs/>
        </w:rPr>
        <w:t xml:space="preserve">wird </w:t>
      </w:r>
      <w:r w:rsidR="00D2554C">
        <w:rPr>
          <w:i/>
        </w:rPr>
        <w:t>m</w:t>
      </w:r>
      <w:r w:rsidRPr="001773BC">
        <w:rPr>
          <w:i/>
          <w:vertAlign w:val="subscript"/>
        </w:rPr>
        <w:t>s</w:t>
      </w:r>
      <w:r w:rsidR="00D2554C">
        <w:rPr>
          <w:iCs/>
        </w:rPr>
        <w:t xml:space="preserve">, der Zähler für die </w:t>
      </w:r>
      <w:r>
        <w:rPr>
          <w:iCs/>
        </w:rPr>
        <w:t xml:space="preserve">scheinbaren </w:t>
      </w:r>
      <w:r w:rsidR="00D2554C">
        <w:rPr>
          <w:iCs/>
        </w:rPr>
        <w:t xml:space="preserve">Anwendungen der </w:t>
      </w:r>
      <w:r w:rsidR="00765E66">
        <w:rPr>
          <w:iCs/>
        </w:rPr>
        <w:t>Merkmalsregel</w:t>
      </w:r>
      <w:r>
        <w:rPr>
          <w:iCs/>
        </w:rPr>
        <w:t xml:space="preserve"> (vgl. Abschnitt </w:t>
      </w:r>
      <w:r w:rsidR="005D7996">
        <w:rPr>
          <w:iCs/>
        </w:rPr>
        <w:fldChar w:fldCharType="begin"/>
      </w:r>
      <w:r>
        <w:rPr>
          <w:iCs/>
        </w:rPr>
        <w:instrText xml:space="preserve"> REF _Ref213128730 \r \h </w:instrText>
      </w:r>
      <w:r w:rsidR="005D7996">
        <w:rPr>
          <w:iCs/>
        </w:rPr>
      </w:r>
      <w:r w:rsidR="005D7996">
        <w:rPr>
          <w:iCs/>
        </w:rPr>
        <w:fldChar w:fldCharType="separate"/>
      </w:r>
      <w:r w:rsidR="001231D3">
        <w:rPr>
          <w:iCs/>
        </w:rPr>
        <w:t>5.5.2</w:t>
      </w:r>
      <w:r w:rsidR="005D7996">
        <w:rPr>
          <w:iCs/>
        </w:rPr>
        <w:fldChar w:fldCharType="end"/>
      </w:r>
      <w:r>
        <w:rPr>
          <w:iCs/>
        </w:rPr>
        <w:t>)</w:t>
      </w:r>
      <w:r w:rsidR="00D2554C">
        <w:rPr>
          <w:iCs/>
        </w:rPr>
        <w:t>, um 1 erhöht.</w:t>
      </w:r>
    </w:p>
    <w:p w:rsidR="00D2554C" w:rsidRDefault="00D2554C">
      <w:pPr>
        <w:pStyle w:val="Text"/>
        <w:rPr>
          <w:iCs/>
        </w:rPr>
      </w:pPr>
      <w:r>
        <w:rPr>
          <w:iCs/>
        </w:rPr>
        <w:t xml:space="preserve">In Zeile </w:t>
      </w:r>
      <w:r w:rsidR="001773BC">
        <w:rPr>
          <w:iCs/>
        </w:rPr>
        <w:t>2</w:t>
      </w:r>
      <w:r w:rsidR="00AA6DEE">
        <w:rPr>
          <w:iCs/>
        </w:rPr>
        <w:t>9</w:t>
      </w:r>
      <w:r>
        <w:rPr>
          <w:iCs/>
        </w:rPr>
        <w:t xml:space="preserve"> wird die </w:t>
      </w:r>
      <w:r w:rsidR="007F02CB">
        <w:rPr>
          <w:iCs/>
        </w:rPr>
        <w:t>if-Anweisung</w:t>
      </w:r>
      <w:r>
        <w:rPr>
          <w:iCs/>
        </w:rPr>
        <w:t xml:space="preserve"> aus Zeile </w:t>
      </w:r>
      <w:r w:rsidR="001773BC">
        <w:rPr>
          <w:iCs/>
        </w:rPr>
        <w:t>2</w:t>
      </w:r>
      <w:r w:rsidR="00AA6DEE">
        <w:rPr>
          <w:iCs/>
        </w:rPr>
        <w:t>7</w:t>
      </w:r>
      <w:r>
        <w:rPr>
          <w:iCs/>
        </w:rPr>
        <w:t xml:space="preserve"> beendet.</w:t>
      </w:r>
    </w:p>
    <w:p w:rsidR="00D2554C" w:rsidRDefault="00D2554C" w:rsidP="0002541C">
      <w:pPr>
        <w:pStyle w:val="Text"/>
        <w:rPr>
          <w:iCs/>
        </w:rPr>
      </w:pPr>
      <w:r>
        <w:rPr>
          <w:iCs/>
        </w:rPr>
        <w:t xml:space="preserve">Zeile </w:t>
      </w:r>
      <w:r w:rsidR="000409E4">
        <w:rPr>
          <w:iCs/>
        </w:rPr>
        <w:t>30</w:t>
      </w:r>
      <w:r>
        <w:rPr>
          <w:iCs/>
        </w:rPr>
        <w:t xml:space="preserve"> gibt an, dass die eingerückt </w:t>
      </w:r>
      <w:r w:rsidR="002A01D7">
        <w:t>folgenden Anweisungen ausgeführt werden</w:t>
      </w:r>
      <w:r>
        <w:rPr>
          <w:iCs/>
        </w:rPr>
        <w:t xml:space="preserve">, wenn </w:t>
      </w:r>
      <w:r w:rsidR="0002541C">
        <w:rPr>
          <w:iCs/>
        </w:rPr>
        <w:t xml:space="preserve">es mindestens ein Element aus </w:t>
      </w:r>
      <w:r w:rsidR="0002541C" w:rsidRPr="0002541C">
        <w:rPr>
          <w:i/>
          <w:iCs/>
        </w:rPr>
        <w:t>A</w:t>
      </w:r>
      <w:r w:rsidR="0002541C" w:rsidRPr="0002541C">
        <w:rPr>
          <w:i/>
          <w:vertAlign w:val="subscript"/>
        </w:rPr>
        <w:t>k</w:t>
      </w:r>
      <w:r w:rsidR="0002541C">
        <w:rPr>
          <w:iCs/>
        </w:rPr>
        <w:t xml:space="preserve"> gibt, das alle Eigenschaften aus </w:t>
      </w:r>
      <w:r>
        <w:rPr>
          <w:i/>
          <w:iCs/>
        </w:rPr>
        <w:t>Q</w:t>
      </w:r>
      <w:r>
        <w:rPr>
          <w:i/>
          <w:vertAlign w:val="subscript"/>
        </w:rPr>
        <w:t>j</w:t>
      </w:r>
      <w:r>
        <w:rPr>
          <w:iCs/>
        </w:rPr>
        <w:t xml:space="preserve"> </w:t>
      </w:r>
      <w:r w:rsidR="0002541C">
        <w:rPr>
          <w:iCs/>
        </w:rPr>
        <w:t>besitzt.</w:t>
      </w:r>
    </w:p>
    <w:p w:rsidR="00D2554C" w:rsidRDefault="00D2554C">
      <w:pPr>
        <w:pStyle w:val="Text"/>
        <w:rPr>
          <w:iCs/>
        </w:rPr>
      </w:pPr>
      <w:r>
        <w:rPr>
          <w:iCs/>
        </w:rPr>
        <w:t xml:space="preserve">In Zeile </w:t>
      </w:r>
      <w:r w:rsidR="000409E4">
        <w:rPr>
          <w:iCs/>
        </w:rPr>
        <w:t>31</w:t>
      </w:r>
      <w:r>
        <w:rPr>
          <w:iCs/>
        </w:rPr>
        <w:t xml:space="preserve"> wird </w:t>
      </w:r>
      <w:r>
        <w:rPr>
          <w:i/>
        </w:rPr>
        <w:t>n</w:t>
      </w:r>
      <w:r>
        <w:rPr>
          <w:iCs/>
        </w:rPr>
        <w:t xml:space="preserve">, der Zähler für die </w:t>
      </w:r>
      <w:r w:rsidR="0002541C">
        <w:rPr>
          <w:iCs/>
        </w:rPr>
        <w:t xml:space="preserve">Anwendungsmöglichkeiten der </w:t>
      </w:r>
      <w:r w:rsidR="00765E66">
        <w:rPr>
          <w:iCs/>
        </w:rPr>
        <w:t>Merkmalsregel</w:t>
      </w:r>
      <w:r>
        <w:rPr>
          <w:iCs/>
        </w:rPr>
        <w:t>, um 1 erhöht</w:t>
      </w:r>
      <w:r w:rsidR="0002541C">
        <w:rPr>
          <w:iCs/>
        </w:rPr>
        <w:t xml:space="preserve"> (vgl. hier</w:t>
      </w:r>
      <w:r w:rsidR="00F205E5">
        <w:rPr>
          <w:iCs/>
        </w:rPr>
        <w:t>zu</w:t>
      </w:r>
      <w:r w:rsidR="0002541C">
        <w:rPr>
          <w:iCs/>
        </w:rPr>
        <w:t xml:space="preserve"> und </w:t>
      </w:r>
      <w:r w:rsidR="00F205E5">
        <w:rPr>
          <w:iCs/>
        </w:rPr>
        <w:t xml:space="preserve">zu den </w:t>
      </w:r>
      <w:r w:rsidR="0002541C">
        <w:rPr>
          <w:iCs/>
        </w:rPr>
        <w:t>nächsten beiden Zeilen A</w:t>
      </w:r>
      <w:r w:rsidR="0002541C">
        <w:rPr>
          <w:iCs/>
        </w:rPr>
        <w:t>b</w:t>
      </w:r>
      <w:r w:rsidR="0002541C">
        <w:rPr>
          <w:iCs/>
        </w:rPr>
        <w:t xml:space="preserve">schnitt </w:t>
      </w:r>
      <w:r w:rsidR="005D7996">
        <w:rPr>
          <w:iCs/>
        </w:rPr>
        <w:fldChar w:fldCharType="begin"/>
      </w:r>
      <w:r w:rsidR="0002541C">
        <w:rPr>
          <w:iCs/>
        </w:rPr>
        <w:instrText xml:space="preserve"> REF _Ref213128730 \r \h </w:instrText>
      </w:r>
      <w:r w:rsidR="005D7996">
        <w:rPr>
          <w:iCs/>
        </w:rPr>
      </w:r>
      <w:r w:rsidR="005D7996">
        <w:rPr>
          <w:iCs/>
        </w:rPr>
        <w:fldChar w:fldCharType="separate"/>
      </w:r>
      <w:r w:rsidR="001231D3">
        <w:rPr>
          <w:iCs/>
        </w:rPr>
        <w:t>5.5.2</w:t>
      </w:r>
      <w:r w:rsidR="005D7996">
        <w:rPr>
          <w:iCs/>
        </w:rPr>
        <w:fldChar w:fldCharType="end"/>
      </w:r>
      <w:r w:rsidR="0002541C">
        <w:rPr>
          <w:iCs/>
        </w:rPr>
        <w:t>)</w:t>
      </w:r>
      <w:r>
        <w:rPr>
          <w:iCs/>
        </w:rPr>
        <w:t>.</w:t>
      </w:r>
    </w:p>
    <w:p w:rsidR="00D2554C" w:rsidRDefault="0002541C">
      <w:pPr>
        <w:pStyle w:val="Text"/>
      </w:pPr>
      <w:r>
        <w:rPr>
          <w:iCs/>
        </w:rPr>
        <w:t xml:space="preserve">In Zeile </w:t>
      </w:r>
      <w:r w:rsidR="000046A6">
        <w:rPr>
          <w:iCs/>
        </w:rPr>
        <w:t>3</w:t>
      </w:r>
      <w:r w:rsidR="000409E4">
        <w:rPr>
          <w:iCs/>
        </w:rPr>
        <w:t>2</w:t>
      </w:r>
      <w:r w:rsidR="00D2554C">
        <w:rPr>
          <w:iCs/>
        </w:rPr>
        <w:t xml:space="preserve"> wird </w:t>
      </w:r>
      <w:r w:rsidR="00D2554C">
        <w:rPr>
          <w:i/>
        </w:rPr>
        <w:t>g</w:t>
      </w:r>
      <w:r w:rsidR="00D2554C">
        <w:rPr>
          <w:iCs/>
        </w:rPr>
        <w:t xml:space="preserve">, der Zähler für die Elemente der </w:t>
      </w:r>
      <w:r w:rsidR="00721558">
        <w:rPr>
          <w:iCs/>
        </w:rPr>
        <w:t>Alter</w:t>
      </w:r>
      <w:r w:rsidR="00721558">
        <w:rPr>
          <w:iCs/>
        </w:rPr>
        <w:softHyphen/>
        <w:t>nativen</w:t>
      </w:r>
      <w:r w:rsidR="00721558">
        <w:rPr>
          <w:iCs/>
        </w:rPr>
        <w:softHyphen/>
        <w:t>klasse</w:t>
      </w:r>
      <w:r w:rsidR="00D2554C">
        <w:rPr>
          <w:iCs/>
        </w:rPr>
        <w:t xml:space="preserve">n, die </w:t>
      </w:r>
      <w:r>
        <w:rPr>
          <w:iCs/>
        </w:rPr>
        <w:t xml:space="preserve">die </w:t>
      </w:r>
      <w:r w:rsidR="00364206">
        <w:rPr>
          <w:iCs/>
        </w:rPr>
        <w:t xml:space="preserve">Anwendungsbedingungen </w:t>
      </w:r>
      <w:r>
        <w:rPr>
          <w:iCs/>
        </w:rPr>
        <w:t xml:space="preserve">der zu bildenden Merkmalsregel </w:t>
      </w:r>
      <w:r w:rsidR="00D2554C">
        <w:t xml:space="preserve">erfüllen und ein Element enthalten, das </w:t>
      </w:r>
      <w:r>
        <w:t xml:space="preserve">ihre </w:t>
      </w:r>
      <w:r w:rsidR="00D2554C">
        <w:t xml:space="preserve">verlangten Eigenschaften besitzt, um die Anzahl der Elemente der betrachteten </w:t>
      </w:r>
      <w:r w:rsidR="00721558">
        <w:t>Alter</w:t>
      </w:r>
      <w:r w:rsidR="00721558">
        <w:softHyphen/>
        <w:t>nativen</w:t>
      </w:r>
      <w:r w:rsidR="00721558">
        <w:softHyphen/>
        <w:t>klasse</w:t>
      </w:r>
      <w:r w:rsidR="00D2554C">
        <w:t xml:space="preserve"> </w:t>
      </w:r>
      <w:r w:rsidR="00D2554C">
        <w:rPr>
          <w:i/>
          <w:iCs/>
        </w:rPr>
        <w:t>A</w:t>
      </w:r>
      <w:r w:rsidR="00D2554C">
        <w:rPr>
          <w:i/>
          <w:vertAlign w:val="subscript"/>
        </w:rPr>
        <w:t>k</w:t>
      </w:r>
      <w:r w:rsidR="00D2554C">
        <w:t xml:space="preserve"> erhöht.</w:t>
      </w:r>
    </w:p>
    <w:p w:rsidR="00D2554C" w:rsidRDefault="0002541C">
      <w:pPr>
        <w:pStyle w:val="Text"/>
        <w:rPr>
          <w:iCs/>
        </w:rPr>
      </w:pPr>
      <w:r>
        <w:t xml:space="preserve">In Zeile </w:t>
      </w:r>
      <w:r w:rsidR="00575B7D">
        <w:t>33</w:t>
      </w:r>
      <w:r w:rsidR="00D2554C">
        <w:t xml:space="preserve"> wird </w:t>
      </w:r>
      <w:r w:rsidR="00D2554C">
        <w:rPr>
          <w:i/>
          <w:iCs/>
        </w:rPr>
        <w:t>g</w:t>
      </w:r>
      <w:r w:rsidR="00D2554C">
        <w:rPr>
          <w:i/>
          <w:iCs/>
          <w:vertAlign w:val="subscript"/>
        </w:rPr>
        <w:t>x</w:t>
      </w:r>
      <w:r w:rsidR="00D2554C">
        <w:rPr>
          <w:iCs/>
        </w:rPr>
        <w:t>, der Zähler für die Elemente</w:t>
      </w:r>
      <w:r>
        <w:rPr>
          <w:iCs/>
        </w:rPr>
        <w:t xml:space="preserve">, die die </w:t>
      </w:r>
      <w:r w:rsidR="00D2554C">
        <w:rPr>
          <w:iCs/>
        </w:rPr>
        <w:t>verlangten Eige</w:t>
      </w:r>
      <w:r w:rsidR="00D2554C">
        <w:rPr>
          <w:iCs/>
        </w:rPr>
        <w:t>n</w:t>
      </w:r>
      <w:r w:rsidR="00D2554C">
        <w:rPr>
          <w:iCs/>
        </w:rPr>
        <w:t xml:space="preserve">schaften </w:t>
      </w:r>
      <w:r>
        <w:rPr>
          <w:iCs/>
        </w:rPr>
        <w:t xml:space="preserve">der zu bildenden Merkmalsregel erfüllen, aus allen </w:t>
      </w:r>
      <w:r w:rsidR="00721558">
        <w:rPr>
          <w:iCs/>
        </w:rPr>
        <w:t>Alter</w:t>
      </w:r>
      <w:r w:rsidR="00721558">
        <w:rPr>
          <w:iCs/>
        </w:rPr>
        <w:softHyphen/>
        <w:t>nativen</w:t>
      </w:r>
      <w:r w:rsidR="00721558">
        <w:rPr>
          <w:iCs/>
        </w:rPr>
        <w:softHyphen/>
        <w:t>klasse</w:t>
      </w:r>
      <w:r>
        <w:rPr>
          <w:iCs/>
        </w:rPr>
        <w:t xml:space="preserve">n, die ihre Antwendungsvoraussetzungen erfüllen, </w:t>
      </w:r>
      <w:r w:rsidR="00D2554C">
        <w:t xml:space="preserve">um die Anzahl der Elemente der betrachteten </w:t>
      </w:r>
      <w:r w:rsidR="00721558">
        <w:t>Alter</w:t>
      </w:r>
      <w:r w:rsidR="00721558">
        <w:softHyphen/>
        <w:t>nativen</w:t>
      </w:r>
      <w:r w:rsidR="00721558">
        <w:softHyphen/>
        <w:t>klasse</w:t>
      </w:r>
      <w:r w:rsidR="00D2554C">
        <w:t xml:space="preserve"> </w:t>
      </w:r>
      <w:r w:rsidR="00D2554C">
        <w:rPr>
          <w:i/>
          <w:iCs/>
        </w:rPr>
        <w:t>A</w:t>
      </w:r>
      <w:r w:rsidR="00D2554C">
        <w:rPr>
          <w:i/>
          <w:vertAlign w:val="subscript"/>
        </w:rPr>
        <w:t>k</w:t>
      </w:r>
      <w:r w:rsidR="00D2554C">
        <w:rPr>
          <w:iCs/>
        </w:rPr>
        <w:t xml:space="preserve">, die </w:t>
      </w:r>
      <w:r>
        <w:rPr>
          <w:iCs/>
        </w:rPr>
        <w:t xml:space="preserve">alle Eigenschaften aus </w:t>
      </w:r>
      <w:r>
        <w:rPr>
          <w:i/>
          <w:iCs/>
        </w:rPr>
        <w:t>Q</w:t>
      </w:r>
      <w:r>
        <w:rPr>
          <w:i/>
          <w:vertAlign w:val="subscript"/>
        </w:rPr>
        <w:t>j</w:t>
      </w:r>
      <w:r>
        <w:rPr>
          <w:iCs/>
        </w:rPr>
        <w:t xml:space="preserve"> besitzen</w:t>
      </w:r>
      <w:r w:rsidR="00D2554C">
        <w:rPr>
          <w:iCs/>
        </w:rPr>
        <w:t>, e</w:t>
      </w:r>
      <w:r w:rsidR="00D2554C">
        <w:rPr>
          <w:iCs/>
        </w:rPr>
        <w:t>r</w:t>
      </w:r>
      <w:r w:rsidR="00D2554C">
        <w:rPr>
          <w:iCs/>
        </w:rPr>
        <w:t>höht.</w:t>
      </w:r>
    </w:p>
    <w:p w:rsidR="00D2554C" w:rsidRDefault="0002541C">
      <w:pPr>
        <w:pStyle w:val="Text"/>
        <w:rPr>
          <w:iCs/>
        </w:rPr>
      </w:pPr>
      <w:r>
        <w:rPr>
          <w:iCs/>
        </w:rPr>
        <w:t xml:space="preserve">In Zeile </w:t>
      </w:r>
      <w:r w:rsidR="00575B7D">
        <w:rPr>
          <w:iCs/>
        </w:rPr>
        <w:t>34</w:t>
      </w:r>
      <w:r w:rsidR="00D2554C">
        <w:rPr>
          <w:iCs/>
        </w:rPr>
        <w:t xml:space="preserve"> wird die </w:t>
      </w:r>
      <w:r w:rsidR="007F02CB">
        <w:rPr>
          <w:iCs/>
        </w:rPr>
        <w:t>if-Anweisung</w:t>
      </w:r>
      <w:r w:rsidR="00D2554C">
        <w:rPr>
          <w:iCs/>
        </w:rPr>
        <w:t xml:space="preserve"> aus Zeile </w:t>
      </w:r>
      <w:r w:rsidR="00575B7D">
        <w:rPr>
          <w:iCs/>
        </w:rPr>
        <w:t>30</w:t>
      </w:r>
      <w:r w:rsidR="00D2554C">
        <w:rPr>
          <w:iCs/>
        </w:rPr>
        <w:t xml:space="preserve"> beendet.</w:t>
      </w:r>
    </w:p>
    <w:p w:rsidR="00D2554C" w:rsidRDefault="0002541C">
      <w:pPr>
        <w:pStyle w:val="Text"/>
        <w:rPr>
          <w:iCs/>
        </w:rPr>
      </w:pPr>
      <w:r>
        <w:rPr>
          <w:iCs/>
        </w:rPr>
        <w:t xml:space="preserve">In Zeile </w:t>
      </w:r>
      <w:r w:rsidR="000046A6">
        <w:rPr>
          <w:iCs/>
        </w:rPr>
        <w:t>3</w:t>
      </w:r>
      <w:r w:rsidR="00575B7D">
        <w:rPr>
          <w:iCs/>
        </w:rPr>
        <w:t>5</w:t>
      </w:r>
      <w:r w:rsidR="00D2554C">
        <w:rPr>
          <w:iCs/>
        </w:rPr>
        <w:t xml:space="preserve"> wird die </w:t>
      </w:r>
      <w:r w:rsidR="007F02CB">
        <w:rPr>
          <w:iCs/>
        </w:rPr>
        <w:t>if-Anweisung</w:t>
      </w:r>
      <w:r w:rsidR="00D2554C">
        <w:rPr>
          <w:iCs/>
        </w:rPr>
        <w:t xml:space="preserve"> aus Zeile </w:t>
      </w:r>
      <w:r w:rsidR="00F205E5">
        <w:rPr>
          <w:iCs/>
        </w:rPr>
        <w:t>2</w:t>
      </w:r>
      <w:r w:rsidR="00575B7D">
        <w:rPr>
          <w:iCs/>
        </w:rPr>
        <w:t>6</w:t>
      </w:r>
      <w:r w:rsidR="00D2554C">
        <w:rPr>
          <w:iCs/>
        </w:rPr>
        <w:t xml:space="preserve"> beendet.</w:t>
      </w:r>
    </w:p>
    <w:p w:rsidR="00D2554C" w:rsidRDefault="0002541C">
      <w:pPr>
        <w:pStyle w:val="Text"/>
        <w:rPr>
          <w:iCs/>
        </w:rPr>
      </w:pPr>
      <w:r>
        <w:rPr>
          <w:iCs/>
        </w:rPr>
        <w:t>In Zeile 3</w:t>
      </w:r>
      <w:r w:rsidR="009D2447">
        <w:rPr>
          <w:iCs/>
        </w:rPr>
        <w:t>6</w:t>
      </w:r>
      <w:r w:rsidR="00D2554C">
        <w:rPr>
          <w:iCs/>
        </w:rPr>
        <w:t xml:space="preserve"> wi</w:t>
      </w:r>
      <w:r w:rsidR="00F205E5">
        <w:rPr>
          <w:iCs/>
        </w:rPr>
        <w:t xml:space="preserve">rd die for-Schleife aus Zeile </w:t>
      </w:r>
      <w:r w:rsidR="00FE0B49">
        <w:rPr>
          <w:iCs/>
        </w:rPr>
        <w:t>2</w:t>
      </w:r>
      <w:r w:rsidR="009D2447">
        <w:rPr>
          <w:iCs/>
        </w:rPr>
        <w:t>5</w:t>
      </w:r>
      <w:r w:rsidR="00D2554C">
        <w:rPr>
          <w:iCs/>
        </w:rPr>
        <w:t xml:space="preserve"> beendet.</w:t>
      </w:r>
    </w:p>
    <w:p w:rsidR="00D2554C" w:rsidRDefault="0002541C">
      <w:pPr>
        <w:pStyle w:val="Text"/>
        <w:rPr>
          <w:iCs/>
        </w:rPr>
      </w:pPr>
      <w:r>
        <w:rPr>
          <w:iCs/>
        </w:rPr>
        <w:t>In Zeile 3</w:t>
      </w:r>
      <w:r w:rsidR="009D2447">
        <w:rPr>
          <w:iCs/>
        </w:rPr>
        <w:t>7</w:t>
      </w:r>
      <w:r w:rsidR="00D2554C">
        <w:rPr>
          <w:iCs/>
        </w:rPr>
        <w:t xml:space="preserve"> wird die </w:t>
      </w:r>
      <w:r w:rsidR="007F02CB">
        <w:rPr>
          <w:iCs/>
        </w:rPr>
        <w:t>if-Anweisung</w:t>
      </w:r>
      <w:r w:rsidR="00F205E5">
        <w:rPr>
          <w:iCs/>
        </w:rPr>
        <w:t xml:space="preserve"> aus Zeile </w:t>
      </w:r>
      <w:r w:rsidR="00FE0B49">
        <w:rPr>
          <w:iCs/>
        </w:rPr>
        <w:t>2</w:t>
      </w:r>
      <w:r w:rsidR="009D2447">
        <w:rPr>
          <w:iCs/>
        </w:rPr>
        <w:t>4</w:t>
      </w:r>
      <w:r w:rsidR="00D2554C">
        <w:rPr>
          <w:iCs/>
        </w:rPr>
        <w:t xml:space="preserve"> beendet.</w:t>
      </w:r>
    </w:p>
    <w:p w:rsidR="00D2554C" w:rsidRDefault="00A426A5">
      <w:pPr>
        <w:pStyle w:val="Text"/>
        <w:rPr>
          <w:iCs/>
        </w:rPr>
      </w:pPr>
      <w:r>
        <w:rPr>
          <w:iCs/>
        </w:rPr>
        <w:t xml:space="preserve">In </w:t>
      </w:r>
      <w:r w:rsidR="00D2554C">
        <w:rPr>
          <w:iCs/>
        </w:rPr>
        <w:t xml:space="preserve">Zeile </w:t>
      </w:r>
      <w:r>
        <w:rPr>
          <w:iCs/>
        </w:rPr>
        <w:t>3</w:t>
      </w:r>
      <w:r w:rsidR="001D7DC4">
        <w:rPr>
          <w:iCs/>
        </w:rPr>
        <w:t>8</w:t>
      </w:r>
      <w:r w:rsidR="00D2554C">
        <w:rPr>
          <w:iCs/>
        </w:rPr>
        <w:t xml:space="preserve"> </w:t>
      </w:r>
      <w:r>
        <w:rPr>
          <w:iCs/>
        </w:rPr>
        <w:t xml:space="preserve">wird die Anwendungswahrscheinlichkeit </w:t>
      </w:r>
      <w:r w:rsidRPr="00A426A5">
        <w:rPr>
          <w:i/>
          <w:iCs/>
        </w:rPr>
        <w:t>w</w:t>
      </w:r>
      <w:r>
        <w:rPr>
          <w:iCs/>
        </w:rPr>
        <w:t xml:space="preserve"> der zu bildenden Merkmalsregel errechnet (vgl. Abschnitt </w:t>
      </w:r>
      <w:r w:rsidR="005D7996">
        <w:rPr>
          <w:iCs/>
        </w:rPr>
        <w:fldChar w:fldCharType="begin"/>
      </w:r>
      <w:r>
        <w:rPr>
          <w:iCs/>
        </w:rPr>
        <w:instrText xml:space="preserve"> REF _Ref213128730 \r \h </w:instrText>
      </w:r>
      <w:r w:rsidR="005D7996">
        <w:rPr>
          <w:iCs/>
        </w:rPr>
      </w:r>
      <w:r w:rsidR="005D7996">
        <w:rPr>
          <w:iCs/>
        </w:rPr>
        <w:fldChar w:fldCharType="separate"/>
      </w:r>
      <w:r w:rsidR="001231D3">
        <w:rPr>
          <w:iCs/>
        </w:rPr>
        <w:t>5.5.2</w:t>
      </w:r>
      <w:r w:rsidR="005D7996">
        <w:rPr>
          <w:iCs/>
        </w:rPr>
        <w:fldChar w:fldCharType="end"/>
      </w:r>
      <w:r>
        <w:rPr>
          <w:iCs/>
        </w:rPr>
        <w:t>).</w:t>
      </w:r>
    </w:p>
    <w:p w:rsidR="00A426A5" w:rsidRDefault="00A426A5">
      <w:pPr>
        <w:pStyle w:val="Text"/>
        <w:rPr>
          <w:iCs/>
        </w:rPr>
      </w:pPr>
      <w:r>
        <w:rPr>
          <w:iCs/>
        </w:rPr>
        <w:t>Zeile 3</w:t>
      </w:r>
      <w:r w:rsidR="001D7DC4">
        <w:rPr>
          <w:iCs/>
        </w:rPr>
        <w:t>9</w:t>
      </w:r>
      <w:r>
        <w:rPr>
          <w:iCs/>
        </w:rPr>
        <w:t xml:space="preserve"> gibt an, dass die eingerückt </w:t>
      </w:r>
      <w:r w:rsidR="002A01D7">
        <w:t>folgenden Anweisungen ausgeführt werden</w:t>
      </w:r>
      <w:r>
        <w:rPr>
          <w:iCs/>
        </w:rPr>
        <w:t xml:space="preserve">, wenn </w:t>
      </w:r>
      <w:r>
        <w:rPr>
          <w:i/>
          <w:iCs/>
        </w:rPr>
        <w:t>w</w:t>
      </w:r>
      <w:r>
        <w:rPr>
          <w:iCs/>
        </w:rPr>
        <w:t xml:space="preserve"> größer 0 </w:t>
      </w:r>
      <w:r w:rsidR="0076532C">
        <w:rPr>
          <w:iCs/>
        </w:rPr>
        <w:t>ist</w:t>
      </w:r>
      <w:r>
        <w:rPr>
          <w:iCs/>
        </w:rPr>
        <w:t>.</w:t>
      </w:r>
    </w:p>
    <w:p w:rsidR="00A426A5" w:rsidRDefault="00A426A5">
      <w:pPr>
        <w:pStyle w:val="Text"/>
        <w:rPr>
          <w:iCs/>
        </w:rPr>
      </w:pPr>
      <w:r>
        <w:rPr>
          <w:iCs/>
        </w:rPr>
        <w:t xml:space="preserve">In Zeile </w:t>
      </w:r>
      <w:r w:rsidR="001D7DC4">
        <w:rPr>
          <w:iCs/>
        </w:rPr>
        <w:t>40</w:t>
      </w:r>
      <w:r>
        <w:rPr>
          <w:iCs/>
        </w:rPr>
        <w:t xml:space="preserve"> wird </w:t>
      </w:r>
      <w:r w:rsidRPr="00A426A5">
        <w:rPr>
          <w:i/>
          <w:iCs/>
        </w:rPr>
        <w:t>p</w:t>
      </w:r>
      <w:r>
        <w:rPr>
          <w:iCs/>
        </w:rPr>
        <w:t>, der Zähler für die angenommenen Merkmalsregeln, um 1 erhöht.</w:t>
      </w:r>
    </w:p>
    <w:p w:rsidR="00D2554C" w:rsidRDefault="00D2554C">
      <w:pPr>
        <w:pStyle w:val="Text"/>
        <w:rPr>
          <w:iCs/>
        </w:rPr>
      </w:pPr>
      <w:r>
        <w:rPr>
          <w:iCs/>
        </w:rPr>
        <w:t xml:space="preserve">In Zeile </w:t>
      </w:r>
      <w:r w:rsidR="001D7DC4">
        <w:rPr>
          <w:iCs/>
        </w:rPr>
        <w:t>41</w:t>
      </w:r>
      <w:r>
        <w:rPr>
          <w:iCs/>
        </w:rPr>
        <w:t xml:space="preserve"> wird </w:t>
      </w:r>
      <w:r w:rsidR="007A11DD">
        <w:rPr>
          <w:iCs/>
        </w:rPr>
        <w:t xml:space="preserve">die Merkmalsregel </w:t>
      </w:r>
      <w:r>
        <w:rPr>
          <w:i/>
        </w:rPr>
        <w:t>B</w:t>
      </w:r>
      <w:r>
        <w:rPr>
          <w:i/>
          <w:vertAlign w:val="subscript"/>
        </w:rPr>
        <w:t>p</w:t>
      </w:r>
      <w:r>
        <w:rPr>
          <w:iCs/>
        </w:rPr>
        <w:t xml:space="preserve"> </w:t>
      </w:r>
      <w:r w:rsidR="007A11DD">
        <w:rPr>
          <w:iCs/>
        </w:rPr>
        <w:t xml:space="preserve">als </w:t>
      </w:r>
      <w:r w:rsidR="007A11DD">
        <w:t xml:space="preserve">3-Tupel definiert, </w:t>
      </w:r>
      <w:r w:rsidR="00D5770F">
        <w:t xml:space="preserve">dessen erste Komponente </w:t>
      </w:r>
      <w:r w:rsidR="00D5770F">
        <w:rPr>
          <w:i/>
        </w:rPr>
        <w:t>P</w:t>
      </w:r>
      <w:r w:rsidR="00D5770F">
        <w:rPr>
          <w:i/>
          <w:vertAlign w:val="subscript"/>
        </w:rPr>
        <w:t>i</w:t>
      </w:r>
      <w:r w:rsidR="00D5770F">
        <w:t xml:space="preserve">, dessen zweite Komponente </w:t>
      </w:r>
      <w:r w:rsidR="00D5770F">
        <w:rPr>
          <w:i/>
        </w:rPr>
        <w:t>Q</w:t>
      </w:r>
      <w:r w:rsidR="00D5770F">
        <w:rPr>
          <w:i/>
          <w:vertAlign w:val="subscript"/>
        </w:rPr>
        <w:t>j</w:t>
      </w:r>
      <w:r w:rsidR="00D5770F">
        <w:t xml:space="preserve"> und dessen dritte Komponente </w:t>
      </w:r>
      <w:r w:rsidR="00D5770F" w:rsidRPr="00A426A5">
        <w:rPr>
          <w:i/>
          <w:iCs/>
        </w:rPr>
        <w:t>w</w:t>
      </w:r>
      <w:r w:rsidR="00D5770F">
        <w:t xml:space="preserve"> enthält und als </w:t>
      </w:r>
      <w:r w:rsidR="007A11DD">
        <w:t xml:space="preserve">dessen </w:t>
      </w:r>
      <w:r w:rsidR="007A11DD">
        <w:rPr>
          <w:color w:val="000000" w:themeColor="text1"/>
        </w:rPr>
        <w:t>Komponenten</w:t>
      </w:r>
      <w:r w:rsidR="007A11DD">
        <w:t>namen</w:t>
      </w:r>
      <w:r w:rsidR="005D7996">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fldChar w:fldCharType="end"/>
      </w:r>
      <w:r w:rsidR="007A11DD">
        <w:t xml:space="preserve"> </w:t>
      </w:r>
      <w:r w:rsidR="007A11DD">
        <w:rPr>
          <w:i/>
          <w:lang w:val="it-IT"/>
        </w:rPr>
        <w:t>U</w:t>
      </w:r>
      <w:r w:rsidR="007A11DD">
        <w:rPr>
          <w:lang w:val="it-IT"/>
        </w:rPr>
        <w:t xml:space="preserve">, </w:t>
      </w:r>
      <w:r w:rsidR="007A11DD">
        <w:rPr>
          <w:i/>
          <w:lang w:val="it-IT"/>
        </w:rPr>
        <w:t>V</w:t>
      </w:r>
      <w:r w:rsidR="007A11DD">
        <w:rPr>
          <w:lang w:val="it-IT"/>
        </w:rPr>
        <w:t>,</w:t>
      </w:r>
      <w:r w:rsidR="007A11DD" w:rsidRPr="004E0380">
        <w:rPr>
          <w:i/>
          <w:lang w:val="it-IT"/>
        </w:rPr>
        <w:t xml:space="preserve"> </w:t>
      </w:r>
      <w:r w:rsidR="007A11DD">
        <w:rPr>
          <w:i/>
          <w:lang w:val="it-IT"/>
        </w:rPr>
        <w:t>w</w:t>
      </w:r>
      <w:r w:rsidR="007A11DD">
        <w:t xml:space="preserve"> definiert werden</w:t>
      </w:r>
      <w:r>
        <w:rPr>
          <w:iCs/>
        </w:rPr>
        <w:t>.</w:t>
      </w:r>
      <w:r w:rsidR="00B0734F">
        <w:rPr>
          <w:rStyle w:val="Funotenzeichen"/>
          <w:iCs/>
        </w:rPr>
        <w:footnoteReference w:id="387"/>
      </w:r>
    </w:p>
    <w:p w:rsidR="00D2554C" w:rsidRDefault="00314A75">
      <w:pPr>
        <w:pStyle w:val="Text"/>
        <w:rPr>
          <w:iCs/>
        </w:rPr>
      </w:pPr>
      <w:r>
        <w:rPr>
          <w:iCs/>
        </w:rPr>
        <w:t xml:space="preserve">In Zeile </w:t>
      </w:r>
      <w:r w:rsidR="00FE0B49">
        <w:rPr>
          <w:iCs/>
        </w:rPr>
        <w:t>4</w:t>
      </w:r>
      <w:r w:rsidR="001D7DC4">
        <w:rPr>
          <w:iCs/>
        </w:rPr>
        <w:t>2</w:t>
      </w:r>
      <w:r w:rsidR="00D2554C">
        <w:rPr>
          <w:iCs/>
        </w:rPr>
        <w:t xml:space="preserve"> wird die Anzahl der Anwendungen </w:t>
      </w:r>
      <w:r>
        <w:rPr>
          <w:iCs/>
        </w:rPr>
        <w:t>der Merkmalsregel</w:t>
      </w:r>
      <w:r w:rsidR="00D2554C">
        <w:rPr>
          <w:iCs/>
        </w:rPr>
        <w:t xml:space="preserve">, </w:t>
      </w:r>
      <w:r>
        <w:rPr>
          <w:iCs/>
        </w:rPr>
        <w:t>als A</w:t>
      </w:r>
      <w:r>
        <w:rPr>
          <w:iCs/>
        </w:rPr>
        <w:t>n</w:t>
      </w:r>
      <w:r>
        <w:rPr>
          <w:iCs/>
        </w:rPr>
        <w:t xml:space="preserve">wendungswahrscheinlichkeit </w:t>
      </w:r>
      <w:r w:rsidRPr="00314A75">
        <w:rPr>
          <w:i/>
        </w:rPr>
        <w:t>w</w:t>
      </w:r>
      <w:r w:rsidRPr="00314A75">
        <w:rPr>
          <w:iCs/>
        </w:rPr>
        <w:t>(</w:t>
      </w:r>
      <w:r w:rsidRPr="00314A75">
        <w:rPr>
          <w:i/>
        </w:rPr>
        <w:t>B</w:t>
      </w:r>
      <w:r w:rsidRPr="00314A75">
        <w:rPr>
          <w:i/>
          <w:vertAlign w:val="subscript"/>
        </w:rPr>
        <w:t>p</w:t>
      </w:r>
      <w:r w:rsidRPr="00314A75">
        <w:rPr>
          <w:iCs/>
        </w:rPr>
        <w:t xml:space="preserve">) </w:t>
      </w:r>
      <w:r>
        <w:rPr>
          <w:iCs/>
        </w:rPr>
        <w:t xml:space="preserve">mal Anwendungsmöglichkeiten </w:t>
      </w:r>
      <w:r w:rsidRPr="00314A75">
        <w:rPr>
          <w:i/>
        </w:rPr>
        <w:t>n</w:t>
      </w:r>
      <w:r>
        <w:rPr>
          <w:i/>
          <w:iCs/>
        </w:rPr>
        <w:t xml:space="preserve"> </w:t>
      </w:r>
      <w:r>
        <w:rPr>
          <w:iCs/>
        </w:rPr>
        <w:t xml:space="preserve">errechnet und in die Variable </w:t>
      </w:r>
      <w:r w:rsidRPr="00314A75">
        <w:rPr>
          <w:i/>
        </w:rPr>
        <w:t>m</w:t>
      </w:r>
      <w:r w:rsidRPr="00314A75">
        <w:rPr>
          <w:i/>
          <w:vertAlign w:val="subscript"/>
        </w:rPr>
        <w:t>p</w:t>
      </w:r>
      <w:r>
        <w:rPr>
          <w:iCs/>
        </w:rPr>
        <w:t xml:space="preserve"> gespeichert.</w:t>
      </w:r>
    </w:p>
    <w:p w:rsidR="00314A75" w:rsidRDefault="00314A75">
      <w:pPr>
        <w:pStyle w:val="Text"/>
        <w:rPr>
          <w:iCs/>
        </w:rPr>
      </w:pPr>
      <w:r>
        <w:rPr>
          <w:iCs/>
        </w:rPr>
        <w:lastRenderedPageBreak/>
        <w:t xml:space="preserve">In Zeile </w:t>
      </w:r>
      <w:r w:rsidR="00FE0B49">
        <w:rPr>
          <w:iCs/>
        </w:rPr>
        <w:t>4</w:t>
      </w:r>
      <w:r w:rsidR="001D7DC4">
        <w:rPr>
          <w:iCs/>
        </w:rPr>
        <w:t>3</w:t>
      </w:r>
      <w:r>
        <w:rPr>
          <w:iCs/>
        </w:rPr>
        <w:t xml:space="preserve"> wird die Anzahl der Anwendungsmöglichkeiten </w:t>
      </w:r>
      <w:r w:rsidRPr="00314A75">
        <w:rPr>
          <w:i/>
        </w:rPr>
        <w:t>n</w:t>
      </w:r>
      <w:r>
        <w:rPr>
          <w:iCs/>
        </w:rPr>
        <w:t xml:space="preserve"> in die Variable </w:t>
      </w:r>
      <w:r w:rsidRPr="00314A75">
        <w:rPr>
          <w:i/>
        </w:rPr>
        <w:t>n</w:t>
      </w:r>
      <w:r w:rsidRPr="00314A75">
        <w:rPr>
          <w:i/>
          <w:vertAlign w:val="subscript"/>
        </w:rPr>
        <w:t>p</w:t>
      </w:r>
      <w:r>
        <w:rPr>
          <w:iCs/>
        </w:rPr>
        <w:t xml:space="preserve"> gespeichert.</w:t>
      </w:r>
    </w:p>
    <w:p w:rsidR="00314A75" w:rsidRDefault="00314A75">
      <w:pPr>
        <w:pStyle w:val="Text"/>
        <w:rPr>
          <w:iCs/>
        </w:rPr>
      </w:pPr>
      <w:r>
        <w:rPr>
          <w:iCs/>
        </w:rPr>
        <w:t>Zeile 4</w:t>
      </w:r>
      <w:r w:rsidR="001D7DC4">
        <w:rPr>
          <w:iCs/>
        </w:rPr>
        <w:t>4</w:t>
      </w:r>
      <w:r>
        <w:rPr>
          <w:iCs/>
        </w:rPr>
        <w:t xml:space="preserve"> gibt an, dass die eingerückt folgende Anweisung ausgeführt wird, wenn die Funktion </w:t>
      </w:r>
      <w:r w:rsidRPr="00314A75">
        <w:rPr>
          <w:i/>
          <w:iCs/>
        </w:rPr>
        <w:t>Salienz</w:t>
      </w:r>
      <w:r>
        <w:rPr>
          <w:iCs/>
        </w:rPr>
        <w:t xml:space="preserve"> (Erläuterung s. unten), der die gerade gebildete Merkmalsregel </w:t>
      </w:r>
      <w:r>
        <w:rPr>
          <w:i/>
        </w:rPr>
        <w:t>B</w:t>
      </w:r>
      <w:r>
        <w:rPr>
          <w:i/>
          <w:vertAlign w:val="subscript"/>
        </w:rPr>
        <w:t>p</w:t>
      </w:r>
      <w:r>
        <w:rPr>
          <w:iCs/>
        </w:rPr>
        <w:t xml:space="preserve"> als Parameter übergeben wird, den Rückgabewert 0 liefert (also wenn die Merkmalsregel nicht salient ist).</w:t>
      </w:r>
    </w:p>
    <w:p w:rsidR="00314A75" w:rsidRDefault="00314A75">
      <w:pPr>
        <w:pStyle w:val="Text"/>
        <w:rPr>
          <w:iCs/>
        </w:rPr>
      </w:pPr>
      <w:r>
        <w:rPr>
          <w:iCs/>
        </w:rPr>
        <w:t>In Zeile 4</w:t>
      </w:r>
      <w:r w:rsidR="001D7DC4">
        <w:rPr>
          <w:iCs/>
        </w:rPr>
        <w:t>5</w:t>
      </w:r>
      <w:r>
        <w:rPr>
          <w:iCs/>
        </w:rPr>
        <w:t xml:space="preserve"> wird </w:t>
      </w:r>
      <w:r w:rsidRPr="00314A75">
        <w:rPr>
          <w:i/>
          <w:iCs/>
        </w:rPr>
        <w:t>p</w:t>
      </w:r>
      <w:r>
        <w:rPr>
          <w:iCs/>
        </w:rPr>
        <w:t>, der Zähler für die angenommenen Merkmalsregeln, um 1 reduziert. Damit wird die gerade gebildete Merkmalsregel nicht mehr angeno</w:t>
      </w:r>
      <w:r>
        <w:rPr>
          <w:iCs/>
        </w:rPr>
        <w:t>m</w:t>
      </w:r>
      <w:r>
        <w:rPr>
          <w:iCs/>
        </w:rPr>
        <w:t>men.</w:t>
      </w:r>
    </w:p>
    <w:p w:rsidR="00D2554C" w:rsidRDefault="00314A75">
      <w:pPr>
        <w:pStyle w:val="Text"/>
        <w:rPr>
          <w:iCs/>
        </w:rPr>
      </w:pPr>
      <w:r>
        <w:rPr>
          <w:iCs/>
        </w:rPr>
        <w:t xml:space="preserve">In Zeile </w:t>
      </w:r>
      <w:r w:rsidR="00C974D1">
        <w:rPr>
          <w:iCs/>
        </w:rPr>
        <w:t>4</w:t>
      </w:r>
      <w:r w:rsidR="001D7DC4">
        <w:rPr>
          <w:iCs/>
        </w:rPr>
        <w:t>6</w:t>
      </w:r>
      <w:r w:rsidR="00D2554C">
        <w:rPr>
          <w:iCs/>
        </w:rPr>
        <w:t xml:space="preserve"> wird die </w:t>
      </w:r>
      <w:r w:rsidR="007F02CB">
        <w:rPr>
          <w:iCs/>
        </w:rPr>
        <w:t>if-Anweisung</w:t>
      </w:r>
      <w:r w:rsidR="00D2554C">
        <w:rPr>
          <w:iCs/>
        </w:rPr>
        <w:t xml:space="preserve"> aus Zeile </w:t>
      </w:r>
      <w:r w:rsidR="00C974D1">
        <w:rPr>
          <w:iCs/>
        </w:rPr>
        <w:t>4</w:t>
      </w:r>
      <w:r w:rsidR="001D7DC4">
        <w:rPr>
          <w:iCs/>
        </w:rPr>
        <w:t>4</w:t>
      </w:r>
      <w:r w:rsidR="00D2554C">
        <w:rPr>
          <w:iCs/>
        </w:rPr>
        <w:t xml:space="preserve"> beendet.</w:t>
      </w:r>
    </w:p>
    <w:p w:rsidR="00D2554C" w:rsidRDefault="00C974D1">
      <w:pPr>
        <w:pStyle w:val="Text"/>
        <w:rPr>
          <w:iCs/>
        </w:rPr>
      </w:pPr>
      <w:r>
        <w:rPr>
          <w:iCs/>
        </w:rPr>
        <w:t>In Zeile 4</w:t>
      </w:r>
      <w:r w:rsidR="001D7DC4">
        <w:rPr>
          <w:iCs/>
        </w:rPr>
        <w:t>7</w:t>
      </w:r>
      <w:r w:rsidR="00D2554C">
        <w:rPr>
          <w:iCs/>
        </w:rPr>
        <w:t xml:space="preserve"> wird die </w:t>
      </w:r>
      <w:r w:rsidR="007F02CB">
        <w:rPr>
          <w:iCs/>
        </w:rPr>
        <w:t>if-Anweisung</w:t>
      </w:r>
      <w:r w:rsidR="00D2554C">
        <w:rPr>
          <w:iCs/>
        </w:rPr>
        <w:t xml:space="preserve"> aus Zeile </w:t>
      </w:r>
      <w:r>
        <w:rPr>
          <w:iCs/>
        </w:rPr>
        <w:t>3</w:t>
      </w:r>
      <w:r w:rsidR="001D7DC4">
        <w:rPr>
          <w:iCs/>
        </w:rPr>
        <w:t>9</w:t>
      </w:r>
      <w:r w:rsidR="00D2554C">
        <w:rPr>
          <w:iCs/>
        </w:rPr>
        <w:t xml:space="preserve"> beendet.</w:t>
      </w:r>
    </w:p>
    <w:p w:rsidR="00D2554C" w:rsidRDefault="00C974D1">
      <w:pPr>
        <w:pStyle w:val="Text"/>
        <w:rPr>
          <w:iCs/>
        </w:rPr>
      </w:pPr>
      <w:r>
        <w:rPr>
          <w:iCs/>
        </w:rPr>
        <w:t>In Zeile 4</w:t>
      </w:r>
      <w:r w:rsidR="001D7DC4">
        <w:rPr>
          <w:iCs/>
        </w:rPr>
        <w:t>8</w:t>
      </w:r>
      <w:r w:rsidR="00D2554C">
        <w:rPr>
          <w:iCs/>
        </w:rPr>
        <w:t xml:space="preserve"> w</w:t>
      </w:r>
      <w:r>
        <w:rPr>
          <w:iCs/>
        </w:rPr>
        <w:t xml:space="preserve">ird die for-Schleife aus Zeile </w:t>
      </w:r>
      <w:r w:rsidR="00FE0B49">
        <w:rPr>
          <w:iCs/>
        </w:rPr>
        <w:t>2</w:t>
      </w:r>
      <w:r w:rsidR="001D7DC4">
        <w:rPr>
          <w:iCs/>
        </w:rPr>
        <w:t>2</w:t>
      </w:r>
      <w:r w:rsidR="00D2554C">
        <w:rPr>
          <w:iCs/>
        </w:rPr>
        <w:t xml:space="preserve"> beendet.</w:t>
      </w:r>
    </w:p>
    <w:p w:rsidR="00D2554C" w:rsidRDefault="00C974D1">
      <w:pPr>
        <w:pStyle w:val="Text"/>
        <w:rPr>
          <w:iCs/>
        </w:rPr>
      </w:pPr>
      <w:r>
        <w:rPr>
          <w:iCs/>
        </w:rPr>
        <w:t>In Zeile 4</w:t>
      </w:r>
      <w:r w:rsidR="001D7DC4">
        <w:rPr>
          <w:iCs/>
        </w:rPr>
        <w:t>9</w:t>
      </w:r>
      <w:r w:rsidR="00D2554C">
        <w:rPr>
          <w:iCs/>
        </w:rPr>
        <w:t xml:space="preserve"> wird die for-Schleife aus </w:t>
      </w:r>
      <w:r>
        <w:rPr>
          <w:iCs/>
        </w:rPr>
        <w:t xml:space="preserve">Zeile </w:t>
      </w:r>
      <w:r w:rsidR="001D7DC4">
        <w:rPr>
          <w:iCs/>
        </w:rPr>
        <w:t>21</w:t>
      </w:r>
      <w:r w:rsidR="00D2554C">
        <w:rPr>
          <w:iCs/>
        </w:rPr>
        <w:t xml:space="preserve"> beendet.</w:t>
      </w:r>
    </w:p>
    <w:p w:rsidR="00D2554C" w:rsidRDefault="00D2554C">
      <w:pPr>
        <w:pStyle w:val="Text"/>
      </w:pPr>
      <w:r>
        <w:rPr>
          <w:iCs/>
        </w:rPr>
        <w:t xml:space="preserve">In </w:t>
      </w:r>
      <w:r w:rsidR="00C974D1">
        <w:t xml:space="preserve">Zeile </w:t>
      </w:r>
      <w:r w:rsidR="00BD188E">
        <w:t>50</w:t>
      </w:r>
      <w:r>
        <w:t xml:space="preserve"> werden die angenommenen </w:t>
      </w:r>
      <w:r w:rsidR="00765E66">
        <w:t>Merkmalsregel</w:t>
      </w:r>
      <w:r>
        <w:t xml:space="preserve">n zur Menge </w:t>
      </w:r>
      <w:r>
        <w:rPr>
          <w:i/>
        </w:rPr>
        <w:t>B</w:t>
      </w:r>
      <w:r>
        <w:t xml:space="preserve"> z</w:t>
      </w:r>
      <w:r>
        <w:t>u</w:t>
      </w:r>
      <w:r>
        <w:t>sammengefasst.</w:t>
      </w:r>
    </w:p>
    <w:p w:rsidR="00D2554C" w:rsidRDefault="00D2554C">
      <w:pPr>
        <w:pStyle w:val="Text"/>
      </w:pPr>
      <w:r>
        <w:t xml:space="preserve">In Zeile </w:t>
      </w:r>
      <w:r w:rsidR="00BD188E">
        <w:t>51</w:t>
      </w:r>
      <w:r>
        <w:t xml:space="preserve"> werden die Variablen für die Anwendungen der angenommenen </w:t>
      </w:r>
      <w:r w:rsidR="00765E66">
        <w:t>Merkmalsregel</w:t>
      </w:r>
      <w:r>
        <w:t xml:space="preserve">n </w:t>
      </w:r>
      <w:r w:rsidR="00C974D1">
        <w:t xml:space="preserve">(vgl. Zeile </w:t>
      </w:r>
      <w:r w:rsidR="00B01E60">
        <w:t>4</w:t>
      </w:r>
      <w:r w:rsidR="00BD188E">
        <w:t>2</w:t>
      </w:r>
      <w:r w:rsidR="00C974D1">
        <w:t xml:space="preserve">) </w:t>
      </w:r>
      <w:r>
        <w:t xml:space="preserve">zur Menge </w:t>
      </w:r>
      <w:r>
        <w:rPr>
          <w:i/>
          <w:iCs/>
        </w:rPr>
        <w:t>M</w:t>
      </w:r>
      <w:r>
        <w:t xml:space="preserve"> zusammengefasst.</w:t>
      </w:r>
    </w:p>
    <w:p w:rsidR="00C974D1" w:rsidRDefault="00C974D1">
      <w:pPr>
        <w:pStyle w:val="Text"/>
        <w:rPr>
          <w:iCs/>
        </w:rPr>
      </w:pPr>
      <w:r>
        <w:t xml:space="preserve">In Zeile </w:t>
      </w:r>
      <w:r w:rsidR="00B01E60">
        <w:t>5</w:t>
      </w:r>
      <w:r w:rsidR="00BD188E">
        <w:t>2</w:t>
      </w:r>
      <w:r>
        <w:t xml:space="preserve"> werden die Variablen für die Anwendungsmöglichkeiten der a</w:t>
      </w:r>
      <w:r>
        <w:t>n</w:t>
      </w:r>
      <w:r>
        <w:t xml:space="preserve">genommenen Merkmalsregeln (vgl. Zeile </w:t>
      </w:r>
      <w:r w:rsidR="00B01E60">
        <w:t>4</w:t>
      </w:r>
      <w:r w:rsidR="00BD188E">
        <w:t>3</w:t>
      </w:r>
      <w:r>
        <w:t xml:space="preserve">) zur Menge </w:t>
      </w:r>
      <w:r>
        <w:rPr>
          <w:i/>
          <w:iCs/>
        </w:rPr>
        <w:t>N</w:t>
      </w:r>
      <w:r>
        <w:t xml:space="preserve"> zusammengefasst.</w:t>
      </w:r>
    </w:p>
    <w:p w:rsidR="00D2554C" w:rsidRDefault="00D2554C">
      <w:pPr>
        <w:pStyle w:val="Text"/>
        <w:rPr>
          <w:iCs/>
        </w:rPr>
      </w:pPr>
      <w:r>
        <w:rPr>
          <w:iCs/>
        </w:rPr>
        <w:t xml:space="preserve">In Zeile </w:t>
      </w:r>
      <w:r w:rsidR="00B01E60">
        <w:rPr>
          <w:iCs/>
        </w:rPr>
        <w:t>5</w:t>
      </w:r>
      <w:r w:rsidR="00306FFE">
        <w:rPr>
          <w:iCs/>
        </w:rPr>
        <w:t>3</w:t>
      </w:r>
      <w:r>
        <w:rPr>
          <w:iCs/>
        </w:rPr>
        <w:t xml:space="preserve"> wird die Funktion </w:t>
      </w:r>
      <w:r w:rsidR="00EC3E7E" w:rsidRPr="00565BCE">
        <w:rPr>
          <w:i/>
          <w:iCs/>
        </w:rPr>
        <w:t>Dis</w:t>
      </w:r>
      <w:r w:rsidR="0000393A" w:rsidRPr="00565BCE">
        <w:rPr>
          <w:i/>
          <w:iCs/>
        </w:rPr>
        <w:t>ambiguierung</w:t>
      </w:r>
      <w:r w:rsidRPr="007A472D">
        <w:rPr>
          <w:iCs/>
        </w:rPr>
        <w:t xml:space="preserve"> a</w:t>
      </w:r>
      <w:r>
        <w:rPr>
          <w:iCs/>
        </w:rPr>
        <w:t>ufgerufen</w:t>
      </w:r>
      <w:r w:rsidR="004940EF">
        <w:rPr>
          <w:iCs/>
        </w:rPr>
        <w:t xml:space="preserve"> (vgl. Abschnitt </w:t>
      </w:r>
      <w:r w:rsidR="005D7996">
        <w:rPr>
          <w:iCs/>
        </w:rPr>
        <w:fldChar w:fldCharType="begin"/>
      </w:r>
      <w:r w:rsidR="004940EF">
        <w:rPr>
          <w:iCs/>
        </w:rPr>
        <w:instrText xml:space="preserve"> REF _Ref213118759 \r \h </w:instrText>
      </w:r>
      <w:r w:rsidR="005D7996">
        <w:rPr>
          <w:iCs/>
        </w:rPr>
      </w:r>
      <w:r w:rsidR="005D7996">
        <w:rPr>
          <w:iCs/>
        </w:rPr>
        <w:fldChar w:fldCharType="separate"/>
      </w:r>
      <w:r w:rsidR="001231D3">
        <w:rPr>
          <w:iCs/>
        </w:rPr>
        <w:t>5.5.4</w:t>
      </w:r>
      <w:r w:rsidR="005D7996">
        <w:rPr>
          <w:iCs/>
        </w:rPr>
        <w:fldChar w:fldCharType="end"/>
      </w:r>
      <w:r w:rsidR="004940EF">
        <w:rPr>
          <w:iCs/>
        </w:rPr>
        <w:t>)</w:t>
      </w:r>
      <w:r>
        <w:rPr>
          <w:iCs/>
        </w:rPr>
        <w:t xml:space="preserve">, der </w:t>
      </w:r>
      <w:r>
        <w:rPr>
          <w:i/>
        </w:rPr>
        <w:t>B</w:t>
      </w:r>
      <w:r w:rsidR="00C974D1">
        <w:rPr>
          <w:iCs/>
        </w:rPr>
        <w:t>,</w:t>
      </w:r>
      <w:r>
        <w:rPr>
          <w:i/>
        </w:rPr>
        <w:t xml:space="preserve"> M</w:t>
      </w:r>
      <w:r>
        <w:rPr>
          <w:iCs/>
        </w:rPr>
        <w:t xml:space="preserve"> </w:t>
      </w:r>
      <w:r w:rsidR="00C974D1">
        <w:rPr>
          <w:iCs/>
        </w:rPr>
        <w:t xml:space="preserve">und </w:t>
      </w:r>
      <w:r w:rsidR="00C974D1">
        <w:rPr>
          <w:i/>
        </w:rPr>
        <w:t>N</w:t>
      </w:r>
      <w:r w:rsidR="00C974D1">
        <w:rPr>
          <w:iCs/>
        </w:rPr>
        <w:t xml:space="preserve"> </w:t>
      </w:r>
      <w:r>
        <w:rPr>
          <w:iCs/>
        </w:rPr>
        <w:t xml:space="preserve">als Parameter übergeben werden. </w:t>
      </w:r>
      <w:r w:rsidRPr="0017430F">
        <w:rPr>
          <w:i/>
          <w:iCs/>
        </w:rPr>
        <w:t>B</w:t>
      </w:r>
      <w:r>
        <w:rPr>
          <w:iCs/>
        </w:rPr>
        <w:t xml:space="preserve"> wird gleich dem Rückgabewert dieser Funktion gesetzt.</w:t>
      </w:r>
    </w:p>
    <w:p w:rsidR="00D2554C" w:rsidRDefault="00D2554C">
      <w:pPr>
        <w:pStyle w:val="Text"/>
      </w:pPr>
      <w:r>
        <w:rPr>
          <w:iCs/>
        </w:rPr>
        <w:t xml:space="preserve">In Zeile </w:t>
      </w:r>
      <w:r w:rsidR="00C974D1">
        <w:rPr>
          <w:iCs/>
        </w:rPr>
        <w:t>5</w:t>
      </w:r>
      <w:r w:rsidR="00306FFE">
        <w:rPr>
          <w:iCs/>
        </w:rPr>
        <w:t>4</w:t>
      </w:r>
      <w:r>
        <w:rPr>
          <w:iCs/>
        </w:rPr>
        <w:t xml:space="preserve"> wird </w:t>
      </w:r>
      <w:r>
        <w:rPr>
          <w:i/>
        </w:rPr>
        <w:t>B</w:t>
      </w:r>
      <w:r>
        <w:rPr>
          <w:iCs/>
        </w:rPr>
        <w:t xml:space="preserve"> </w:t>
      </w:r>
      <w:r w:rsidR="00B21A8D">
        <w:t>zurückgegeben</w:t>
      </w:r>
      <w:r>
        <w:t>.</w:t>
      </w:r>
    </w:p>
    <w:p w:rsidR="00D2554C" w:rsidRDefault="00D2554C">
      <w:pPr>
        <w:pStyle w:val="Text"/>
        <w:rPr>
          <w:iCs/>
        </w:rPr>
      </w:pPr>
      <w:r>
        <w:rPr>
          <w:iCs/>
        </w:rPr>
        <w:t xml:space="preserve">In Zeile </w:t>
      </w:r>
      <w:r w:rsidR="00C974D1">
        <w:rPr>
          <w:iCs/>
        </w:rPr>
        <w:t>5</w:t>
      </w:r>
      <w:r w:rsidR="00306FFE">
        <w:rPr>
          <w:iCs/>
        </w:rPr>
        <w:t>5</w:t>
      </w:r>
      <w:r>
        <w:rPr>
          <w:iCs/>
        </w:rPr>
        <w:t xml:space="preserve"> wird die Funktion beendet.</w:t>
      </w:r>
    </w:p>
    <w:p w:rsidR="0063204C" w:rsidRDefault="0063204C" w:rsidP="008B789C">
      <w:pPr>
        <w:pStyle w:val="Zwischenberschrift"/>
        <w:rPr>
          <w:iCs/>
        </w:rPr>
      </w:pPr>
      <w:r>
        <w:rPr>
          <w:lang w:val="it-IT"/>
        </w:rPr>
        <w:t xml:space="preserve">Die Funktion </w:t>
      </w:r>
      <w:r w:rsidRPr="00B751FA">
        <w:rPr>
          <w:lang w:val="it-IT"/>
        </w:rPr>
        <w:t>Möglichkeitsraum</w:t>
      </w:r>
      <w:r w:rsidR="005D7996">
        <w:rPr>
          <w:lang w:val="it-IT"/>
        </w:rPr>
        <w:fldChar w:fldCharType="begin"/>
      </w:r>
      <w:r w:rsidR="007A5993">
        <w:instrText xml:space="preserve"> XE "</w:instrText>
      </w:r>
      <w:r w:rsidR="007A5993" w:rsidRPr="007904ED">
        <w:instrText>Möglichkeitsraum</w:instrText>
      </w:r>
      <w:r w:rsidR="007A5993">
        <w:instrText xml:space="preserve">" </w:instrText>
      </w:r>
      <w:r w:rsidR="005D7996">
        <w:rPr>
          <w:lang w:val="it-IT"/>
        </w:rPr>
        <w:fldChar w:fldCharType="end"/>
      </w:r>
      <w:r w:rsidRPr="00B751FA">
        <w:rPr>
          <w:lang w:val="it-IT"/>
        </w:rPr>
        <w:t>_zusammenstellen</w:t>
      </w:r>
    </w:p>
    <w:p w:rsidR="0063204C" w:rsidRDefault="005D27E6" w:rsidP="003359E6">
      <w:pPr>
        <w:pStyle w:val="Text"/>
        <w:ind w:firstLine="0"/>
        <w:rPr>
          <w:iCs/>
        </w:rPr>
      </w:pPr>
      <w:r>
        <w:t>Diese Funktion stellt alle durch Eigenschaften definierbaren Aspekte von Ve</w:t>
      </w:r>
      <w:r>
        <w:t>r</w:t>
      </w:r>
      <w:r>
        <w:t>halten, Artefakten und Texten zusammen; diese bilden den Möglichkeitsraum</w:t>
      </w:r>
      <w:r w:rsidR="005D7996">
        <w:fldChar w:fldCharType="begin"/>
      </w:r>
      <w:r w:rsidR="007A5993">
        <w:instrText xml:space="preserve"> XE "</w:instrText>
      </w:r>
      <w:r w:rsidR="007A5993" w:rsidRPr="007904ED">
        <w:instrText>Möglichkeitsraum</w:instrText>
      </w:r>
      <w:r w:rsidR="007A5993">
        <w:instrText xml:space="preserve">" </w:instrText>
      </w:r>
      <w:r w:rsidR="005D7996">
        <w:fldChar w:fldCharType="end"/>
      </w:r>
      <w:r>
        <w:t xml:space="preserve"> für Alternativen (vgl. Abschnitt </w:t>
      </w:r>
      <w:r w:rsidR="005D7996">
        <w:fldChar w:fldCharType="begin"/>
      </w:r>
      <w:r>
        <w:instrText xml:space="preserve"> REF _Ref269135074 \r \h </w:instrText>
      </w:r>
      <w:r w:rsidR="005D7996">
        <w:fldChar w:fldCharType="separate"/>
      </w:r>
      <w:r w:rsidR="001231D3">
        <w:t>4.2.1</w:t>
      </w:r>
      <w:r w:rsidR="005D7996">
        <w:fldChar w:fldCharType="end"/>
      </w:r>
      <w:r>
        <w:t>).</w:t>
      </w:r>
    </w:p>
    <w:p w:rsidR="008B0029" w:rsidRPr="008B0029" w:rsidRDefault="00314A75" w:rsidP="003359E6">
      <w:pPr>
        <w:pStyle w:val="Zwischenberschrift"/>
      </w:pPr>
      <w:r>
        <w:t xml:space="preserve">Die </w:t>
      </w:r>
      <w:r w:rsidR="008B0029" w:rsidRPr="008B0029">
        <w:t xml:space="preserve">Funktion Eigenschaften </w:t>
      </w:r>
    </w:p>
    <w:p w:rsidR="008B0029" w:rsidRDefault="008B0029" w:rsidP="003359E6">
      <w:pPr>
        <w:pStyle w:val="Text"/>
        <w:ind w:firstLine="0"/>
        <w:rPr>
          <w:iCs/>
        </w:rPr>
      </w:pPr>
      <w:r w:rsidRPr="008B0029">
        <w:rPr>
          <w:iCs/>
        </w:rPr>
        <w:t xml:space="preserve">Die Funktion </w:t>
      </w:r>
      <w:r w:rsidRPr="008B0029">
        <w:rPr>
          <w:i/>
          <w:iCs/>
        </w:rPr>
        <w:t>Eigenschaften</w:t>
      </w:r>
      <w:r w:rsidRPr="008B0029">
        <w:rPr>
          <w:iCs/>
        </w:rPr>
        <w:t xml:space="preserve"> </w:t>
      </w:r>
      <w:r>
        <w:rPr>
          <w:iCs/>
        </w:rPr>
        <w:t>erhält ein Element de</w:t>
      </w:r>
      <w:r w:rsidR="00630777">
        <w:rPr>
          <w:iCs/>
        </w:rPr>
        <w:t xml:space="preserve">r Realisierung </w:t>
      </w:r>
      <w:r>
        <w:rPr>
          <w:iCs/>
        </w:rPr>
        <w:t>und liefert de</w:t>
      </w:r>
      <w:r>
        <w:rPr>
          <w:iCs/>
        </w:rPr>
        <w:t>s</w:t>
      </w:r>
      <w:r>
        <w:rPr>
          <w:iCs/>
        </w:rPr>
        <w:t>sen Eigenschaften zurück</w:t>
      </w:r>
      <w:r w:rsidR="00630777">
        <w:rPr>
          <w:iCs/>
        </w:rPr>
        <w:t>, s</w:t>
      </w:r>
      <w:r w:rsidR="00C754A4">
        <w:rPr>
          <w:iCs/>
        </w:rPr>
        <w:t>oweit sie dem Stilwahrnehmer</w:t>
      </w:r>
      <w:r w:rsidR="00630777">
        <w:rPr>
          <w:iCs/>
        </w:rPr>
        <w:t xml:space="preserve"> zugänglich sind, also von ihm innerhalb der jeweiligen Wahrnehmungssituation feststellbar sind.</w:t>
      </w:r>
      <w:r w:rsidR="001C7410" w:rsidRPr="001C7410">
        <w:t xml:space="preserve"> </w:t>
      </w:r>
      <w:r w:rsidR="001C7410">
        <w:t xml:space="preserve">(Die Eigenschaften werden als Funktionen </w:t>
      </w:r>
      <w:r w:rsidR="00073099">
        <w:t>betrachtet</w:t>
      </w:r>
      <w:r w:rsidR="001C7410">
        <w:t>, die einen Individuenterm e</w:t>
      </w:r>
      <w:r w:rsidR="001C7410">
        <w:t>r</w:t>
      </w:r>
      <w:r w:rsidR="001C7410">
        <w:t xml:space="preserve">halten und einen Wahrheitswert zurückliefern; vgl. Abschnitt </w:t>
      </w:r>
      <w:r w:rsidR="005D7996">
        <w:fldChar w:fldCharType="begin"/>
      </w:r>
      <w:r w:rsidR="001C7410">
        <w:instrText xml:space="preserve"> REF _Ref268557585 \r \h </w:instrText>
      </w:r>
      <w:r w:rsidR="005D7996">
        <w:fldChar w:fldCharType="separate"/>
      </w:r>
      <w:r w:rsidR="001231D3">
        <w:t>4.3</w:t>
      </w:r>
      <w:r w:rsidR="005D7996">
        <w:fldChar w:fldCharType="end"/>
      </w:r>
      <w:r w:rsidR="001C7410">
        <w:t>.)</w:t>
      </w:r>
    </w:p>
    <w:p w:rsidR="00641653" w:rsidRPr="001503BF" w:rsidRDefault="00314A75" w:rsidP="003359E6">
      <w:pPr>
        <w:pStyle w:val="Zwischenberschrift"/>
      </w:pPr>
      <w:r>
        <w:t xml:space="preserve">Die </w:t>
      </w:r>
      <w:r w:rsidR="00641653" w:rsidRPr="001503BF">
        <w:t>Funktion Salienz</w:t>
      </w:r>
    </w:p>
    <w:p w:rsidR="00302E25" w:rsidRDefault="00641653" w:rsidP="003359E6">
      <w:pPr>
        <w:pStyle w:val="Text"/>
        <w:ind w:firstLine="0"/>
      </w:pPr>
      <w:r>
        <w:t xml:space="preserve">Die Funktion </w:t>
      </w:r>
      <w:r w:rsidRPr="00641653">
        <w:rPr>
          <w:i/>
        </w:rPr>
        <w:t>Salienz</w:t>
      </w:r>
      <w:r>
        <w:t xml:space="preserve"> überprüft, ob die Merkmalsregel wahrgenommen wird oder nicht. Diese Wahrnehmung muss nicht bewusst erfolgen; erforderlich ist jedoch, dass die Merkmalsregel sich von ihrem Kontext ausreichend abhebt, um wahrnehmbar zu sein. </w:t>
      </w:r>
      <w:r w:rsidR="00302E25">
        <w:t>Die Salienzschwelle hängt ab</w:t>
      </w:r>
    </w:p>
    <w:p w:rsidR="00302E25" w:rsidRDefault="00302E25" w:rsidP="00641653">
      <w:pPr>
        <w:pStyle w:val="Text"/>
      </w:pPr>
      <w:r>
        <w:lastRenderedPageBreak/>
        <w:t>(1)</w:t>
      </w:r>
      <w:r>
        <w:tab/>
        <w:t xml:space="preserve">von kontextunabhängigen Faktoren, etwa der Ungewöhnlichkeit der verlangten Eigenschaften für die </w:t>
      </w:r>
      <w:r w:rsidR="00EF4B72">
        <w:t>Anwendungsbedingungen</w:t>
      </w:r>
      <w:r>
        <w:t>, der (Un-)Konven</w:t>
      </w:r>
      <w:r w:rsidR="00BD4D14">
        <w:softHyphen/>
      </w:r>
      <w:r>
        <w:t>tionalität der Merkmalsregel, der Auffälligkeit des gebildeten Musters und der Höhe der Anwendungswahrscheinlichkeit;</w:t>
      </w:r>
    </w:p>
    <w:p w:rsidR="00302E25" w:rsidRDefault="00302E25" w:rsidP="00641653">
      <w:pPr>
        <w:pStyle w:val="Text"/>
      </w:pPr>
      <w:r>
        <w:t>(2)</w:t>
      </w:r>
      <w:r>
        <w:tab/>
        <w:t xml:space="preserve">von kontextabhängigen Faktoren wie Wachheit und Konzentriertheit des </w:t>
      </w:r>
      <w:r w:rsidR="00C75387">
        <w:t>Stilwahrnehmer</w:t>
      </w:r>
      <w:r>
        <w:t>s, langfristige</w:t>
      </w:r>
      <w:r w:rsidR="00F56E41">
        <w:t>n</w:t>
      </w:r>
      <w:r>
        <w:t xml:space="preserve"> und kurzfristige</w:t>
      </w:r>
      <w:r w:rsidR="00F56E41">
        <w:t>n</w:t>
      </w:r>
      <w:r>
        <w:t xml:space="preserve"> Aufmerksamkeits</w:t>
      </w:r>
      <w:r w:rsidR="00F56E41">
        <w:t>prägu</w:t>
      </w:r>
      <w:r w:rsidR="00F56E41">
        <w:t>n</w:t>
      </w:r>
      <w:r w:rsidR="00F56E41">
        <w:t>gen</w:t>
      </w:r>
      <w:r>
        <w:t xml:space="preserve"> (</w:t>
      </w:r>
      <w:r w:rsidR="00F56E41">
        <w:t xml:space="preserve">durch </w:t>
      </w:r>
      <w:r>
        <w:t>psychologische Voreinstellungen, biographisch bedingte Interessen, berufliches Training</w:t>
      </w:r>
      <w:r w:rsidR="00F56E41">
        <w:t xml:space="preserve">, unmittelbar </w:t>
      </w:r>
      <w:r>
        <w:t>vor</w:t>
      </w:r>
      <w:r w:rsidR="00F56E41">
        <w:t>aus</w:t>
      </w:r>
      <w:r>
        <w:t>gegangene Wahrnehmungen</w:t>
      </w:r>
      <w:r w:rsidR="00F56E41">
        <w:t xml:space="preserve"> und den Kontext der </w:t>
      </w:r>
      <w:r w:rsidR="00BE695D">
        <w:t>Wahrnehmung</w:t>
      </w:r>
      <w:r w:rsidR="00F56E41">
        <w:t>ssituation</w:t>
      </w:r>
      <w:r>
        <w:t xml:space="preserve">) </w:t>
      </w:r>
      <w:r w:rsidR="00F56E41">
        <w:t xml:space="preserve">sowie </w:t>
      </w:r>
      <w:r>
        <w:t>bewusster Aufmerksamkeitsle</w:t>
      </w:r>
      <w:r>
        <w:t>n</w:t>
      </w:r>
      <w:r>
        <w:t>kung.</w:t>
      </w:r>
    </w:p>
    <w:p w:rsidR="00641653" w:rsidRDefault="00641653">
      <w:pPr>
        <w:pStyle w:val="Text"/>
        <w:rPr>
          <w:iCs/>
        </w:rPr>
      </w:pPr>
      <w:r>
        <w:t>Im 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t xml:space="preserve"> wird zunächst für jede denkbare Kombination von </w:t>
      </w:r>
      <w:r w:rsidRPr="00641653">
        <w:rPr>
          <w:i/>
        </w:rPr>
        <w:t>U</w:t>
      </w:r>
      <w:r>
        <w:t xml:space="preserve"> und </w:t>
      </w:r>
      <w:r w:rsidRPr="00641653">
        <w:rPr>
          <w:i/>
        </w:rPr>
        <w:t>V</w:t>
      </w:r>
      <w:r>
        <w:t xml:space="preserve"> überprüft, ob sie überhaupt zu Anwendungen führt, bevor mit Hilfe der Funktion </w:t>
      </w:r>
      <w:r w:rsidRPr="00CB4611">
        <w:rPr>
          <w:i/>
        </w:rPr>
        <w:t>Salienz</w:t>
      </w:r>
      <w:r>
        <w:t xml:space="preserve"> die Wahrnehmbarkeit überprüft wird. Dies hat den Grund, dass nur eine Merkmalsregel, also die Kombination zueinander passender </w:t>
      </w:r>
      <w:r w:rsidRPr="00641653">
        <w:rPr>
          <w:i/>
        </w:rPr>
        <w:t>U</w:t>
      </w:r>
      <w:r>
        <w:t xml:space="preserve"> und </w:t>
      </w:r>
      <w:r w:rsidRPr="00641653">
        <w:rPr>
          <w:i/>
        </w:rPr>
        <w:t>V</w:t>
      </w:r>
      <w:r>
        <w:t xml:space="preserve"> mit einem bestimmten </w:t>
      </w:r>
      <w:r w:rsidRPr="00641653">
        <w:rPr>
          <w:i/>
        </w:rPr>
        <w:t>w</w:t>
      </w:r>
      <w:r>
        <w:t>, als salient bestimmt werden kann. Nicht-saliente Merkmalsregeln werden überschrieben.</w:t>
      </w:r>
      <w:bookmarkEnd w:id="267"/>
    </w:p>
    <w:p w:rsidR="00D2554C" w:rsidRDefault="00EC3E7E">
      <w:pPr>
        <w:pStyle w:val="Titel3"/>
      </w:pPr>
      <w:bookmarkStart w:id="268" w:name="_Ref213118759"/>
      <w:bookmarkStart w:id="269" w:name="_Toc325456752"/>
      <w:bookmarkStart w:id="270" w:name="Disambiguierung"/>
      <w:bookmarkEnd w:id="241"/>
      <w:r>
        <w:t>Die Dis</w:t>
      </w:r>
      <w:r w:rsidR="00D2554C">
        <w:t>ambiguierung</w:t>
      </w:r>
      <w:bookmarkEnd w:id="268"/>
      <w:bookmarkEnd w:id="269"/>
    </w:p>
    <w:p w:rsidR="00BA580B" w:rsidRDefault="005D7996" w:rsidP="003359E6">
      <w:pPr>
        <w:pStyle w:val="Text"/>
        <w:ind w:firstLine="0"/>
      </w:pPr>
      <w:r>
        <w:fldChar w:fldCharType="begin"/>
      </w:r>
      <w:r w:rsidR="008E7899">
        <w:instrText xml:space="preserve"> XE "</w:instrText>
      </w:r>
      <w:r w:rsidR="008E7899" w:rsidRPr="003F74C0">
        <w:instrText>Disambiguierung</w:instrText>
      </w:r>
      <w:r w:rsidR="008E7899">
        <w:instrText xml:space="preserve">" \r "Disambiguierung" </w:instrText>
      </w:r>
      <w:r>
        <w:fldChar w:fldCharType="end"/>
      </w:r>
      <w:r w:rsidR="00E50641" w:rsidRPr="00E50641">
        <w:t xml:space="preserve">Die Disambiguierung sorgt dafür, dass Regeln entfernt </w:t>
      </w:r>
      <w:r w:rsidR="00E50641">
        <w:t>we</w:t>
      </w:r>
      <w:r w:rsidR="00E50641" w:rsidRPr="00E50641">
        <w:t xml:space="preserve">rden, </w:t>
      </w:r>
      <w:r w:rsidR="00E50641">
        <w:t xml:space="preserve">die ihre Wirkung ganz oder teilweise aus einer anderen Regel beziehen. Dabei werden in Modulen verschiedene Fälle überprüft. Wie stark </w:t>
      </w:r>
      <w:r w:rsidR="00120670">
        <w:t>die Beeinflussung sein darf, wird</w:t>
      </w:r>
      <w:r w:rsidR="00E50641">
        <w:t xml:space="preserve"> durch einen Toleranzfaktor </w:t>
      </w:r>
      <w:r w:rsidR="00E50641" w:rsidRPr="00E50641">
        <w:rPr>
          <w:i/>
        </w:rPr>
        <w:t>f</w:t>
      </w:r>
      <w:r w:rsidR="00E50641">
        <w:t xml:space="preserve"> bestimmt.</w:t>
      </w:r>
      <w:r w:rsidR="00120670">
        <w:t xml:space="preserve"> </w:t>
      </w:r>
      <w:r w:rsidR="00BA580B">
        <w:t xml:space="preserve">Je höher </w:t>
      </w:r>
      <w:r w:rsidR="00120670">
        <w:t xml:space="preserve">der </w:t>
      </w:r>
      <w:r w:rsidR="00BA580B">
        <w:t>Toleranzfakto</w:t>
      </w:r>
      <w:r w:rsidR="00120670">
        <w:t>r</w:t>
      </w:r>
      <w:r w:rsidR="00BA580B">
        <w:t>, desto mehr R</w:t>
      </w:r>
      <w:r w:rsidR="00BA580B">
        <w:t>e</w:t>
      </w:r>
      <w:r w:rsidR="00BA580B">
        <w:t xml:space="preserve">geln werden </w:t>
      </w:r>
      <w:r w:rsidR="00913AE2">
        <w:t xml:space="preserve">akzeptiert. </w:t>
      </w:r>
      <w:r w:rsidR="00120670" w:rsidRPr="00120670">
        <w:rPr>
          <w:i/>
        </w:rPr>
        <w:t>f</w:t>
      </w:r>
      <w:r w:rsidR="00120670">
        <w:t xml:space="preserve"> kann vor jedem Modulaufruf neu gewählt werden, w</w:t>
      </w:r>
      <w:r w:rsidR="00120670">
        <w:t>o</w:t>
      </w:r>
      <w:r w:rsidR="00120670">
        <w:t>durch es möglich wird, Regeln eines bestimmten Typs zu bevorzugen.</w:t>
      </w:r>
    </w:p>
    <w:p w:rsidR="00E50641" w:rsidRPr="00E50641" w:rsidRDefault="00E50641">
      <w:pPr>
        <w:pStyle w:val="Text"/>
      </w:pPr>
      <w:r>
        <w:t>Entscheidend für die Disambiguierung sind die Bedingungen zur Überpr</w:t>
      </w:r>
      <w:r>
        <w:t>ü</w:t>
      </w:r>
      <w:r>
        <w:t>fung der Beeinflussungsstärke. Daher wird im Anschluss an die Algorithmen</w:t>
      </w:r>
      <w:r w:rsidR="005D7996">
        <w:fldChar w:fldCharType="begin"/>
      </w:r>
      <w:r w:rsidR="00CE3787">
        <w:instrText xml:space="preserve"> XE "</w:instrText>
      </w:r>
      <w:r w:rsidR="00CE3787" w:rsidRPr="008000A4">
        <w:instrText>Algorithmus</w:instrText>
      </w:r>
      <w:r w:rsidR="00CE3787">
        <w:instrText xml:space="preserve">" </w:instrText>
      </w:r>
      <w:r w:rsidR="005D7996">
        <w:fldChar w:fldCharType="end"/>
      </w:r>
      <w:r>
        <w:t xml:space="preserve"> </w:t>
      </w:r>
      <w:r w:rsidR="0079176F">
        <w:t xml:space="preserve">die Wirkungsweise </w:t>
      </w:r>
      <w:r>
        <w:t>diese</w:t>
      </w:r>
      <w:r w:rsidR="0079176F">
        <w:t>r</w:t>
      </w:r>
      <w:r>
        <w:t xml:space="preserve"> Bedingungen </w:t>
      </w:r>
      <w:r w:rsidR="0079176F">
        <w:t>für die vier Module ausführlich erläutert</w:t>
      </w:r>
      <w:r>
        <w:t xml:space="preserve">. </w:t>
      </w:r>
      <w:r w:rsidR="0079176F">
        <w:t xml:space="preserve">Es wird untersucht, wie die Bedingungen sich für verschiedene Fälle verhalten, und anhand </w:t>
      </w:r>
      <w:r w:rsidR="002A2541">
        <w:t>von Beispielen gezeigt, welche Ausw</w:t>
      </w:r>
      <w:r w:rsidR="0079176F">
        <w:t xml:space="preserve">irkungen </w:t>
      </w:r>
      <w:r w:rsidR="002A2541">
        <w:t>sie haben</w:t>
      </w:r>
      <w:r w:rsidR="0079176F">
        <w:t xml:space="preserve">. </w:t>
      </w:r>
      <w:r>
        <w:t xml:space="preserve">Zudem wird eine Abschätzung für sinnvolle </w:t>
      </w:r>
      <w:r w:rsidRPr="00E50641">
        <w:rPr>
          <w:i/>
        </w:rPr>
        <w:t>f</w:t>
      </w:r>
      <w:r>
        <w:t xml:space="preserve"> gegeben.</w:t>
      </w:r>
    </w:p>
    <w:p w:rsidR="00B052E2" w:rsidRPr="006408E1" w:rsidRDefault="00B052E2" w:rsidP="003359E6">
      <w:pPr>
        <w:pStyle w:val="Text"/>
        <w:spacing w:before="360"/>
        <w:ind w:firstLine="0"/>
      </w:pPr>
      <w:r w:rsidRPr="006408E1">
        <w:t>function Disambiguierung (</w:t>
      </w:r>
      <w:r w:rsidRPr="006408E1">
        <w:rPr>
          <w:i/>
          <w:iCs/>
        </w:rPr>
        <w:t>B</w:t>
      </w:r>
      <w:r w:rsidRPr="006408E1">
        <w:t>,</w:t>
      </w:r>
      <w:r w:rsidRPr="006408E1">
        <w:rPr>
          <w:i/>
        </w:rPr>
        <w:t xml:space="preserve"> M</w:t>
      </w:r>
      <w:r w:rsidR="00881E8F" w:rsidRPr="006408E1">
        <w:t>,</w:t>
      </w:r>
      <w:r w:rsidR="00881E8F" w:rsidRPr="006408E1">
        <w:rPr>
          <w:i/>
        </w:rPr>
        <w:t xml:space="preserve"> N</w:t>
      </w:r>
      <w:r w:rsidRPr="006408E1">
        <w:t>)</w:t>
      </w:r>
    </w:p>
    <w:p w:rsidR="00B052E2" w:rsidRPr="006408E1" w:rsidRDefault="00B052E2" w:rsidP="004932E6">
      <w:pPr>
        <w:pStyle w:val="Text"/>
        <w:ind w:firstLine="0"/>
      </w:pPr>
      <w:r w:rsidRPr="006408E1">
        <w:t xml:space="preserve">   </w:t>
      </w:r>
      <w:r w:rsidRPr="006408E1">
        <w:rPr>
          <w:i/>
        </w:rPr>
        <w:t>R</w:t>
      </w:r>
      <w:r w:rsidRPr="006408E1">
        <w:t xml:space="preserve"> := {1, 2, 3, 4}</w:t>
      </w:r>
    </w:p>
    <w:p w:rsidR="00B052E2" w:rsidRPr="006408E1" w:rsidRDefault="00B052E2" w:rsidP="004932E6">
      <w:pPr>
        <w:pStyle w:val="Text"/>
        <w:ind w:firstLine="0"/>
      </w:pPr>
      <w:r w:rsidRPr="006408E1">
        <w:t xml:space="preserve">   </w:t>
      </w:r>
      <w:r w:rsidR="00557C20" w:rsidRPr="006408E1">
        <w:t>while</w:t>
      </w:r>
      <w:r w:rsidRPr="006408E1">
        <w:t xml:space="preserve"> </w:t>
      </w:r>
      <w:r w:rsidR="00557C20" w:rsidRPr="006408E1">
        <w:rPr>
          <w:i/>
        </w:rPr>
        <w:t>R</w:t>
      </w:r>
      <w:r w:rsidRPr="006408E1">
        <w:t xml:space="preserve"> </w:t>
      </w:r>
      <w:r w:rsidRPr="006408E1">
        <w:rPr>
          <w:rFonts w:eastAsia="Arial Unicode MS" w:cs="Times New Roman"/>
        </w:rPr>
        <w:t>≠</w:t>
      </w:r>
      <w:r w:rsidRPr="006408E1">
        <w:t xml:space="preserve"> </w:t>
      </w:r>
      <w:r w:rsidR="00635DE8" w:rsidRPr="007F4805">
        <w:rPr>
          <w:position w:val="-6"/>
        </w:rPr>
        <w:object w:dxaOrig="260" w:dyaOrig="279">
          <v:shape id="_x0000_i1046" type="#_x0000_t75" style="width:14pt;height:13.6pt" o:ole="">
            <v:imagedata r:id="rId32" o:title=""/>
          </v:shape>
          <o:OLEObject Type="Embed" ProgID="Equation.3" ShapeID="_x0000_i1046" DrawAspect="Content" ObjectID="_1460983887" r:id="rId60"/>
        </w:object>
      </w:r>
    </w:p>
    <w:p w:rsidR="00B052E2" w:rsidRPr="000E1EF6" w:rsidRDefault="00557C20" w:rsidP="004932E6">
      <w:pPr>
        <w:pStyle w:val="Text"/>
        <w:ind w:firstLine="0"/>
      </w:pPr>
      <w:r w:rsidRPr="006408E1">
        <w:t xml:space="preserve">   </w:t>
      </w:r>
      <w:r w:rsidR="00B052E2" w:rsidRPr="006408E1">
        <w:t xml:space="preserve">   </w:t>
      </w:r>
      <w:r w:rsidR="00B052E2" w:rsidRPr="000E1EF6">
        <w:rPr>
          <w:i/>
        </w:rPr>
        <w:t>i</w:t>
      </w:r>
      <w:r w:rsidR="00B052E2" w:rsidRPr="000E1EF6">
        <w:t xml:space="preserve"> := </w:t>
      </w:r>
      <w:r w:rsidR="0038326D" w:rsidRPr="0038326D">
        <w:t>Auswahl</w:t>
      </w:r>
      <w:r w:rsidR="00A6577B" w:rsidRPr="000E1EF6">
        <w:t xml:space="preserve"> </w:t>
      </w:r>
      <w:r w:rsidR="00B052E2" w:rsidRPr="000E1EF6">
        <w:t>(</w:t>
      </w:r>
      <w:r w:rsidR="00B052E2" w:rsidRPr="000E1EF6">
        <w:rPr>
          <w:i/>
        </w:rPr>
        <w:t>R</w:t>
      </w:r>
      <w:r w:rsidR="00B052E2" w:rsidRPr="000E1EF6">
        <w:t>)</w:t>
      </w:r>
    </w:p>
    <w:p w:rsidR="00963634" w:rsidRPr="004E1B7F" w:rsidRDefault="00963634" w:rsidP="00BD4D14">
      <w:pPr>
        <w:pStyle w:val="Text"/>
        <w:ind w:hanging="369"/>
        <w:jc w:val="left"/>
        <w:rPr>
          <w:color w:val="000000" w:themeColor="text1"/>
        </w:rPr>
      </w:pPr>
      <w:r w:rsidRPr="004932E6">
        <w:rPr>
          <w:sz w:val="16"/>
          <w:szCs w:val="16"/>
        </w:rPr>
        <w:t xml:space="preserve"> 5</w:t>
      </w:r>
      <w:r w:rsidRPr="004E1B7F">
        <w:tab/>
        <w:t xml:space="preserve">      </w:t>
      </w:r>
      <w:r w:rsidRPr="00B40DB4">
        <w:rPr>
          <w:i/>
        </w:rPr>
        <w:t>B</w:t>
      </w:r>
      <w:r w:rsidRPr="00B40DB4">
        <w:t xml:space="preserve"> := function </w:t>
      </w:r>
      <w:r w:rsidR="00F72C5A" w:rsidRPr="00783E5E">
        <w:t>Regeln_</w:t>
      </w:r>
      <w:r w:rsidR="00F72C5A">
        <w:t>entfernen</w:t>
      </w:r>
      <w:r w:rsidR="00F72C5A" w:rsidRPr="00783E5E">
        <w:t xml:space="preserve"> </w:t>
      </w:r>
      <w:r w:rsidRPr="00B40DB4">
        <w:t>(</w:t>
      </w:r>
      <w:r w:rsidRPr="00B40DB4">
        <w:rPr>
          <w:i/>
          <w:iCs/>
        </w:rPr>
        <w:t>B</w:t>
      </w:r>
      <w:r w:rsidRPr="00B40DB4">
        <w:t>,</w:t>
      </w:r>
      <w:r w:rsidRPr="00B40DB4">
        <w:rPr>
          <w:i/>
        </w:rPr>
        <w:t xml:space="preserve"> M</w:t>
      </w:r>
      <w:r w:rsidRPr="00B40DB4">
        <w:t>,</w:t>
      </w:r>
      <w:r>
        <w:t xml:space="preserve"> </w:t>
      </w:r>
      <w:r>
        <w:rPr>
          <w:i/>
        </w:rPr>
        <w:t>N</w:t>
      </w:r>
      <w:r w:rsidRPr="00B40DB4">
        <w:t xml:space="preserve">, </w:t>
      </w:r>
      <w:r w:rsidRPr="00B40DB4">
        <w:rPr>
          <w:i/>
        </w:rPr>
        <w:t>i</w:t>
      </w:r>
      <w:r w:rsidRPr="00B40DB4">
        <w:t>)</w:t>
      </w:r>
    </w:p>
    <w:p w:rsidR="00557C20" w:rsidRPr="00B052E2" w:rsidRDefault="00557C20" w:rsidP="004932E6">
      <w:pPr>
        <w:pStyle w:val="Text"/>
        <w:ind w:firstLine="0"/>
        <w:rPr>
          <w:lang w:val="en-US"/>
        </w:rPr>
      </w:pPr>
      <w:r w:rsidRPr="00A42FD2">
        <w:t xml:space="preserve">      </w:t>
      </w:r>
      <w:r w:rsidRPr="00B052E2">
        <w:rPr>
          <w:i/>
          <w:lang w:val="en-US"/>
        </w:rPr>
        <w:t>R</w:t>
      </w:r>
      <w:r>
        <w:rPr>
          <w:lang w:val="en-US"/>
        </w:rPr>
        <w:t xml:space="preserve"> := </w:t>
      </w:r>
      <w:r w:rsidRPr="00B052E2">
        <w:rPr>
          <w:i/>
          <w:lang w:val="en-US"/>
        </w:rPr>
        <w:t>R</w:t>
      </w:r>
      <w:r>
        <w:rPr>
          <w:lang w:val="en-US"/>
        </w:rPr>
        <w:t xml:space="preserve"> \ </w:t>
      </w:r>
      <w:r w:rsidR="00F94BE5">
        <w:rPr>
          <w:lang w:val="en-US"/>
        </w:rPr>
        <w:t>{</w:t>
      </w:r>
      <w:r>
        <w:rPr>
          <w:i/>
          <w:lang w:val="en-US"/>
        </w:rPr>
        <w:t>i</w:t>
      </w:r>
      <w:r w:rsidR="00F94BE5">
        <w:rPr>
          <w:lang w:val="en-US"/>
        </w:rPr>
        <w:t>}</w:t>
      </w:r>
    </w:p>
    <w:p w:rsidR="00557C20" w:rsidRDefault="00557C20" w:rsidP="004932E6">
      <w:pPr>
        <w:pStyle w:val="Text"/>
        <w:ind w:firstLine="0"/>
        <w:rPr>
          <w:lang w:val="en-US"/>
        </w:rPr>
      </w:pPr>
      <w:r>
        <w:rPr>
          <w:lang w:val="en-US"/>
        </w:rPr>
        <w:t xml:space="preserve">   end</w:t>
      </w:r>
    </w:p>
    <w:p w:rsidR="00557C20" w:rsidRDefault="00557C20" w:rsidP="004932E6">
      <w:pPr>
        <w:pStyle w:val="Text"/>
        <w:ind w:firstLine="0"/>
        <w:rPr>
          <w:lang w:val="en-US"/>
        </w:rPr>
      </w:pPr>
      <w:r>
        <w:rPr>
          <w:lang w:val="en-US"/>
        </w:rPr>
        <w:t xml:space="preserve">   return </w:t>
      </w:r>
      <w:r w:rsidRPr="00557C20">
        <w:rPr>
          <w:i/>
          <w:lang w:val="en-US"/>
        </w:rPr>
        <w:t>B</w:t>
      </w:r>
    </w:p>
    <w:p w:rsidR="00557C20" w:rsidRPr="00783E5E" w:rsidRDefault="00557C20" w:rsidP="004932E6">
      <w:pPr>
        <w:pStyle w:val="Text"/>
        <w:ind w:firstLine="0"/>
      </w:pPr>
      <w:r w:rsidRPr="00783E5E">
        <w:t>end function</w:t>
      </w:r>
    </w:p>
    <w:p w:rsidR="00D22402" w:rsidRPr="00D22402" w:rsidRDefault="00093341" w:rsidP="003359E6">
      <w:pPr>
        <w:pStyle w:val="Zwischenberschrift"/>
        <w:spacing w:before="360"/>
      </w:pPr>
      <w:r>
        <w:lastRenderedPageBreak/>
        <w:t>Erläuterung</w:t>
      </w:r>
    </w:p>
    <w:p w:rsidR="00D22402" w:rsidRDefault="00D22402" w:rsidP="003359E6">
      <w:pPr>
        <w:pStyle w:val="Text"/>
        <w:ind w:firstLine="0"/>
      </w:pPr>
      <w:r>
        <w:t xml:space="preserve">Zeile 1 gibt den Namen der Funktion an, die als Parameter </w:t>
      </w:r>
      <w:r>
        <w:rPr>
          <w:i/>
          <w:iCs/>
        </w:rPr>
        <w:t>B</w:t>
      </w:r>
      <w:r>
        <w:t xml:space="preserve">, die Menge von Merkmalsregeln, </w:t>
      </w:r>
      <w:r w:rsidRPr="00D22402">
        <w:rPr>
          <w:i/>
        </w:rPr>
        <w:t>M</w:t>
      </w:r>
      <w:r>
        <w:t xml:space="preserve">, die Menge der </w:t>
      </w:r>
      <w:r w:rsidRPr="00D22402">
        <w:rPr>
          <w:i/>
        </w:rPr>
        <w:t>m</w:t>
      </w:r>
      <w:r>
        <w:t xml:space="preserve"> (Zahl der Anwendungen), und </w:t>
      </w:r>
      <w:r w:rsidRPr="00D22402">
        <w:rPr>
          <w:i/>
        </w:rPr>
        <w:t>N</w:t>
      </w:r>
      <w:r>
        <w:t xml:space="preserve">, die Menge der </w:t>
      </w:r>
      <w:r w:rsidRPr="00D22402">
        <w:rPr>
          <w:i/>
        </w:rPr>
        <w:t>n</w:t>
      </w:r>
      <w:r>
        <w:t xml:space="preserve"> (Zahl der Anwendungsmöglichkeiten), erhält.</w:t>
      </w:r>
    </w:p>
    <w:p w:rsidR="00D22402" w:rsidRDefault="00D22402" w:rsidP="00D22402">
      <w:pPr>
        <w:pStyle w:val="Text"/>
      </w:pPr>
      <w:r>
        <w:t xml:space="preserve">In Zeile 2 wird die Menge </w:t>
      </w:r>
      <w:r>
        <w:rPr>
          <w:i/>
        </w:rPr>
        <w:t>R</w:t>
      </w:r>
      <w:r>
        <w:t xml:space="preserve"> definiert, die zum Aufruf der verschiedenen Module dient.</w:t>
      </w:r>
    </w:p>
    <w:p w:rsidR="00D22402" w:rsidRDefault="00D22402" w:rsidP="00D22402">
      <w:pPr>
        <w:pStyle w:val="Text"/>
      </w:pPr>
      <w:r>
        <w:t xml:space="preserve">Zeile 3 </w:t>
      </w:r>
      <w:r w:rsidR="00783E5E">
        <w:t>gibt an, dass die eingerückt folgende Schleife wiederholt wird, sola</w:t>
      </w:r>
      <w:r w:rsidR="00783E5E">
        <w:t>n</w:t>
      </w:r>
      <w:r w:rsidR="00783E5E">
        <w:t xml:space="preserve">ge </w:t>
      </w:r>
      <w:r w:rsidR="00783E5E" w:rsidRPr="00783E5E">
        <w:rPr>
          <w:i/>
        </w:rPr>
        <w:t>R</w:t>
      </w:r>
      <w:r w:rsidR="00783E5E">
        <w:t xml:space="preserve"> nicht leer ist.</w:t>
      </w:r>
    </w:p>
    <w:p w:rsidR="00783E5E" w:rsidRDefault="00783E5E" w:rsidP="00D22402">
      <w:pPr>
        <w:pStyle w:val="Text"/>
      </w:pPr>
      <w:r>
        <w:t xml:space="preserve">In Zeile 4 wird </w:t>
      </w:r>
      <w:r w:rsidR="0038326D">
        <w:t xml:space="preserve">mit Hilfe der Funktion </w:t>
      </w:r>
      <w:r w:rsidR="0038326D" w:rsidRPr="0038326D">
        <w:rPr>
          <w:i/>
        </w:rPr>
        <w:t>Auswahl</w:t>
      </w:r>
      <w:r w:rsidR="0038326D">
        <w:t xml:space="preserve"> (vgl. Abschnitt </w:t>
      </w:r>
      <w:r w:rsidR="005D7996">
        <w:fldChar w:fldCharType="begin"/>
      </w:r>
      <w:r w:rsidR="0038326D">
        <w:instrText xml:space="preserve"> REF _Ref212110965 \r \h </w:instrText>
      </w:r>
      <w:r w:rsidR="005D7996">
        <w:fldChar w:fldCharType="separate"/>
      </w:r>
      <w:r w:rsidR="001231D3">
        <w:t>5.2.2</w:t>
      </w:r>
      <w:r w:rsidR="005D7996">
        <w:fldChar w:fldCharType="end"/>
      </w:r>
      <w:r w:rsidR="0038326D">
        <w:t xml:space="preserve">) </w:t>
      </w:r>
      <w:r>
        <w:t xml:space="preserve">eines der Elemente von </w:t>
      </w:r>
      <w:r>
        <w:rPr>
          <w:i/>
        </w:rPr>
        <w:t>R</w:t>
      </w:r>
      <w:r>
        <w:t xml:space="preserve"> (die Zahlen 1 bis 4) gewählt.</w:t>
      </w:r>
    </w:p>
    <w:p w:rsidR="00783E5E" w:rsidRDefault="00783E5E" w:rsidP="00D22402">
      <w:pPr>
        <w:pStyle w:val="Text"/>
      </w:pPr>
      <w:r>
        <w:t xml:space="preserve">In Zeile 5 wird die Funktion </w:t>
      </w:r>
      <w:r w:rsidR="00F72C5A" w:rsidRPr="00FF50C5">
        <w:rPr>
          <w:i/>
        </w:rPr>
        <w:t>Regeln_entfernen</w:t>
      </w:r>
      <w:r w:rsidR="00F72C5A" w:rsidRPr="00783E5E">
        <w:t xml:space="preserve"> </w:t>
      </w:r>
      <w:r>
        <w:t xml:space="preserve">aufgerufen, der </w:t>
      </w:r>
      <w:r w:rsidRPr="00B40DB4">
        <w:rPr>
          <w:i/>
          <w:iCs/>
        </w:rPr>
        <w:t>B</w:t>
      </w:r>
      <w:r w:rsidRPr="00B40DB4">
        <w:t>,</w:t>
      </w:r>
      <w:r w:rsidRPr="00B40DB4">
        <w:rPr>
          <w:i/>
        </w:rPr>
        <w:t xml:space="preserve"> M</w:t>
      </w:r>
      <w:r w:rsidRPr="00B40DB4">
        <w:t>,</w:t>
      </w:r>
      <w:r>
        <w:t xml:space="preserve"> </w:t>
      </w:r>
      <w:r>
        <w:rPr>
          <w:i/>
        </w:rPr>
        <w:t>N</w:t>
      </w:r>
      <w:r>
        <w:t xml:space="preserve"> und</w:t>
      </w:r>
      <w:r w:rsidRPr="00B40DB4">
        <w:t xml:space="preserve"> </w:t>
      </w:r>
      <w:r w:rsidRPr="00B40DB4">
        <w:rPr>
          <w:i/>
        </w:rPr>
        <w:t>i</w:t>
      </w:r>
      <w:r>
        <w:t xml:space="preserve"> als Para</w:t>
      </w:r>
      <w:r w:rsidR="003A5B40">
        <w:t xml:space="preserve">meter übergeben werden, und ihr Rückgabewert wieder in </w:t>
      </w:r>
      <w:r w:rsidR="003A5B40" w:rsidRPr="003A5B40">
        <w:rPr>
          <w:i/>
        </w:rPr>
        <w:t>B</w:t>
      </w:r>
      <w:r w:rsidR="003A5B40">
        <w:t xml:space="preserve"> gespeichert.</w:t>
      </w:r>
    </w:p>
    <w:p w:rsidR="00783E5E" w:rsidRDefault="003A5B40" w:rsidP="00D22402">
      <w:pPr>
        <w:pStyle w:val="Text"/>
      </w:pPr>
      <w:r>
        <w:t xml:space="preserve">In Zeile 6 </w:t>
      </w:r>
      <w:r w:rsidR="00B31261">
        <w:t xml:space="preserve">wird </w:t>
      </w:r>
      <w:r w:rsidR="00B31261">
        <w:rPr>
          <w:i/>
        </w:rPr>
        <w:t>i</w:t>
      </w:r>
      <w:r w:rsidR="00B31261">
        <w:t xml:space="preserve"> aus </w:t>
      </w:r>
      <w:r w:rsidR="00B31261">
        <w:rPr>
          <w:i/>
        </w:rPr>
        <w:t>R</w:t>
      </w:r>
      <w:r w:rsidR="00B31261">
        <w:t xml:space="preserve"> entfernt.</w:t>
      </w:r>
    </w:p>
    <w:p w:rsidR="003A5B40" w:rsidRDefault="00B31261" w:rsidP="00D22402">
      <w:pPr>
        <w:pStyle w:val="Text"/>
      </w:pPr>
      <w:r>
        <w:t>In Zeile 7 wird die while-Schleife aus Zeile 3 beendet.</w:t>
      </w:r>
    </w:p>
    <w:p w:rsidR="00B31261" w:rsidRDefault="00B31261" w:rsidP="00D22402">
      <w:pPr>
        <w:pStyle w:val="Text"/>
      </w:pPr>
      <w:r>
        <w:t xml:space="preserve">In Zeile 8 wird </w:t>
      </w:r>
      <w:r w:rsidRPr="00B31261">
        <w:rPr>
          <w:i/>
        </w:rPr>
        <w:t>B</w:t>
      </w:r>
      <w:r>
        <w:t xml:space="preserve"> zurückgegeben.</w:t>
      </w:r>
    </w:p>
    <w:p w:rsidR="00B31261" w:rsidRDefault="00B31261" w:rsidP="00D22402">
      <w:pPr>
        <w:pStyle w:val="Text"/>
      </w:pPr>
      <w:r>
        <w:t>In Zeile 9 wird die Funktion beendet.</w:t>
      </w:r>
    </w:p>
    <w:p w:rsidR="00D2554C" w:rsidRPr="00783E5E" w:rsidRDefault="00D2554C" w:rsidP="003359E6">
      <w:pPr>
        <w:pStyle w:val="Text"/>
        <w:keepNext/>
        <w:spacing w:before="360"/>
        <w:ind w:firstLine="0"/>
        <w:jc w:val="left"/>
      </w:pPr>
      <w:r w:rsidRPr="00783E5E">
        <w:t xml:space="preserve">function </w:t>
      </w:r>
      <w:r w:rsidR="00206973" w:rsidRPr="00783E5E">
        <w:t>Regeln_</w:t>
      </w:r>
      <w:r w:rsidR="00F72C5A">
        <w:t>entfernen</w:t>
      </w:r>
      <w:r w:rsidR="00CF6A74" w:rsidRPr="00783E5E">
        <w:t xml:space="preserve"> </w:t>
      </w:r>
      <w:r w:rsidRPr="00783E5E">
        <w:t>(</w:t>
      </w:r>
      <w:r w:rsidR="00557C20" w:rsidRPr="00783E5E">
        <w:rPr>
          <w:i/>
        </w:rPr>
        <w:t>B</w:t>
      </w:r>
      <w:r w:rsidRPr="00783E5E">
        <w:t>,</w:t>
      </w:r>
      <w:r w:rsidRPr="00783E5E">
        <w:rPr>
          <w:i/>
        </w:rPr>
        <w:t xml:space="preserve"> M</w:t>
      </w:r>
      <w:r w:rsidR="00557C20" w:rsidRPr="00783E5E">
        <w:t xml:space="preserve">, </w:t>
      </w:r>
      <w:r w:rsidR="001008AA" w:rsidRPr="00783E5E">
        <w:rPr>
          <w:i/>
        </w:rPr>
        <w:t>N</w:t>
      </w:r>
      <w:r w:rsidR="001008AA" w:rsidRPr="00783E5E">
        <w:t xml:space="preserve">, </w:t>
      </w:r>
      <w:r w:rsidR="00557C20" w:rsidRPr="00783E5E">
        <w:rPr>
          <w:i/>
        </w:rPr>
        <w:t>i</w:t>
      </w:r>
      <w:r w:rsidR="00557C20" w:rsidRPr="00783E5E">
        <w:t>)</w:t>
      </w:r>
    </w:p>
    <w:p w:rsidR="00B37982" w:rsidRPr="0038326D" w:rsidRDefault="00B37982" w:rsidP="004932E6">
      <w:pPr>
        <w:pStyle w:val="Text"/>
        <w:ind w:firstLine="0"/>
      </w:pPr>
      <w:r w:rsidRPr="004E1B7F">
        <w:t xml:space="preserve">   </w:t>
      </w:r>
      <w:r w:rsidRPr="0038326D">
        <w:rPr>
          <w:i/>
        </w:rPr>
        <w:t>f</w:t>
      </w:r>
      <w:r w:rsidRPr="0038326D">
        <w:t xml:space="preserve"> := </w:t>
      </w:r>
      <w:r w:rsidR="0038326D" w:rsidRPr="0038326D">
        <w:t>Auswahl</w:t>
      </w:r>
      <w:r w:rsidRPr="0038326D">
        <w:t xml:space="preserve"> ({</w:t>
      </w:r>
      <w:r w:rsidRPr="0038326D">
        <w:rPr>
          <w:i/>
        </w:rPr>
        <w:t>x</w:t>
      </w:r>
      <w:r w:rsidRPr="0038326D">
        <w:t xml:space="preserve"> </w:t>
      </w:r>
      <w:r w:rsidR="00E235A0" w:rsidRPr="00E235A0">
        <w:rPr>
          <w:rFonts w:ascii="Cambria Math" w:eastAsia="Arial Unicode MS" w:hAnsi="Cambria Math" w:cs="Arial Unicode MS"/>
        </w:rPr>
        <w:t>∊</w:t>
      </w:r>
      <w:r w:rsidRPr="0038326D">
        <w:t xml:space="preserve"> </w:t>
      </w:r>
      <w:r w:rsidR="00F26E07" w:rsidRPr="001E0AE6">
        <w:rPr>
          <w:rFonts w:ascii="Cambria Math" w:eastAsia="Arial Unicode MS" w:hAnsi="Cambria Math" w:cs="Arial Unicode MS"/>
        </w:rPr>
        <w:t>ℝ</w:t>
      </w:r>
      <w:r w:rsidRPr="0038326D">
        <w:t xml:space="preserve"> | </w:t>
      </w:r>
      <w:r w:rsidRPr="0038326D">
        <w:rPr>
          <w:i/>
        </w:rPr>
        <w:t>x</w:t>
      </w:r>
      <w:r w:rsidRPr="0038326D">
        <w:t xml:space="preserve"> </w:t>
      </w:r>
      <w:r w:rsidR="00CF4465">
        <w:rPr>
          <w:rFonts w:cs="Times New Roman"/>
        </w:rPr>
        <w:t>&gt;</w:t>
      </w:r>
      <w:r w:rsidRPr="0038326D">
        <w:t xml:space="preserve"> 1})</w:t>
      </w:r>
    </w:p>
    <w:p w:rsidR="00D2554C" w:rsidRDefault="00D2554C" w:rsidP="004932E6">
      <w:pPr>
        <w:pStyle w:val="Text"/>
        <w:ind w:firstLine="0"/>
        <w:jc w:val="left"/>
        <w:rPr>
          <w:lang w:val="en-US"/>
        </w:rPr>
      </w:pPr>
      <w:r w:rsidRPr="0038326D">
        <w:t xml:space="preserve">   </w:t>
      </w:r>
      <w:r w:rsidRPr="00206973">
        <w:rPr>
          <w:lang w:val="en-US"/>
        </w:rPr>
        <w:t xml:space="preserve">for </w:t>
      </w:r>
      <w:r w:rsidRPr="00206973">
        <w:rPr>
          <w:i/>
          <w:iCs/>
          <w:lang w:val="en-US"/>
        </w:rPr>
        <w:t>j</w:t>
      </w:r>
      <w:r w:rsidRPr="00206973">
        <w:rPr>
          <w:lang w:val="en-US"/>
        </w:rPr>
        <w:t xml:space="preserve"> := 1 to |</w:t>
      </w:r>
      <w:r w:rsidRPr="00206973">
        <w:rPr>
          <w:i/>
          <w:iCs/>
          <w:lang w:val="en-US"/>
        </w:rPr>
        <w:t>B</w:t>
      </w:r>
      <w:r w:rsidRPr="00206973">
        <w:rPr>
          <w:lang w:val="en-US"/>
        </w:rPr>
        <w:t>|</w:t>
      </w:r>
    </w:p>
    <w:p w:rsidR="00206973" w:rsidRDefault="00206973" w:rsidP="004932E6">
      <w:pPr>
        <w:pStyle w:val="Text"/>
        <w:keepNext/>
        <w:ind w:firstLine="0"/>
        <w:jc w:val="left"/>
        <w:rPr>
          <w:lang w:val="en-US"/>
        </w:rPr>
      </w:pPr>
      <w:r>
        <w:rPr>
          <w:lang w:val="en-US"/>
        </w:rPr>
        <w:t xml:space="preserve">      if </w:t>
      </w:r>
      <w:r w:rsidRPr="00206973">
        <w:rPr>
          <w:i/>
          <w:lang w:val="en-US"/>
        </w:rPr>
        <w:t>i</w:t>
      </w:r>
      <w:r>
        <w:rPr>
          <w:lang w:val="en-US"/>
        </w:rPr>
        <w:t xml:space="preserve"> = 1</w:t>
      </w:r>
    </w:p>
    <w:p w:rsidR="00963634" w:rsidRPr="00963634" w:rsidRDefault="00963634" w:rsidP="000762B4">
      <w:pPr>
        <w:pStyle w:val="Text"/>
        <w:ind w:hanging="369"/>
        <w:jc w:val="left"/>
        <w:rPr>
          <w:color w:val="000000" w:themeColor="text1"/>
          <w:lang w:val="en-US"/>
        </w:rPr>
      </w:pPr>
      <w:r w:rsidRPr="004932E6">
        <w:rPr>
          <w:sz w:val="16"/>
          <w:szCs w:val="16"/>
          <w:lang w:val="en-US"/>
        </w:rPr>
        <w:t xml:space="preserve"> 5</w:t>
      </w:r>
      <w:r w:rsidRPr="00963634">
        <w:rPr>
          <w:lang w:val="en-US"/>
        </w:rPr>
        <w:tab/>
        <w:t xml:space="preserve">         </w:t>
      </w:r>
      <w:r w:rsidRPr="00963634">
        <w:rPr>
          <w:i/>
          <w:lang w:val="en-US"/>
        </w:rPr>
        <w:t>S</w:t>
      </w:r>
      <w:r w:rsidRPr="00963634">
        <w:rPr>
          <w:i/>
          <w:vertAlign w:val="subscript"/>
          <w:lang w:val="en-US"/>
        </w:rPr>
        <w:t>j</w:t>
      </w:r>
      <w:r w:rsidRPr="00963634">
        <w:rPr>
          <w:lang w:val="en-US"/>
        </w:rPr>
        <w:t xml:space="preserve"> := {</w:t>
      </w:r>
      <w:r w:rsidRPr="00963634">
        <w:rPr>
          <w:i/>
          <w:iCs/>
          <w:lang w:val="en-US"/>
        </w:rPr>
        <w:t>B</w:t>
      </w:r>
      <w:r w:rsidRPr="00963634">
        <w:rPr>
          <w:i/>
          <w:iCs/>
          <w:vertAlign w:val="subscript"/>
          <w:lang w:val="en-US"/>
        </w:rPr>
        <w:t>x</w:t>
      </w:r>
      <w:r w:rsidRPr="00963634">
        <w:rPr>
          <w:lang w:val="en-US"/>
        </w:rPr>
        <w:t xml:space="preserve"> </w:t>
      </w:r>
      <w:r w:rsidR="00E235A0" w:rsidRPr="00E235A0">
        <w:rPr>
          <w:rFonts w:ascii="Cambria Math" w:eastAsia="Arial Unicode MS" w:hAnsi="Cambria Math" w:cs="Arial Unicode MS"/>
          <w:lang w:val="en-US"/>
        </w:rPr>
        <w:t>∊</w:t>
      </w:r>
      <w:r w:rsidRPr="00963634">
        <w:rPr>
          <w:i/>
          <w:iCs/>
          <w:lang w:val="en-US"/>
        </w:rPr>
        <w:t xml:space="preserve"> B</w:t>
      </w:r>
      <w:r w:rsidRPr="00963634">
        <w:rPr>
          <w:lang w:val="en-US"/>
        </w:rPr>
        <w:t xml:space="preserve"> | (</w:t>
      </w:r>
      <w:r w:rsidRPr="00963634">
        <w:rPr>
          <w:i/>
          <w:iCs/>
          <w:lang w:val="en-US"/>
        </w:rPr>
        <w:t>U</w:t>
      </w:r>
      <w:r w:rsidRPr="00963634">
        <w:rPr>
          <w:iCs/>
          <w:lang w:val="en-US"/>
        </w:rPr>
        <w:t>(</w:t>
      </w:r>
      <w:r w:rsidRPr="00963634">
        <w:rPr>
          <w:i/>
          <w:iCs/>
          <w:lang w:val="en-US"/>
        </w:rPr>
        <w:t>B</w:t>
      </w:r>
      <w:r w:rsidRPr="00963634">
        <w:rPr>
          <w:i/>
          <w:iCs/>
          <w:vertAlign w:val="subscript"/>
          <w:lang w:val="en-US"/>
        </w:rPr>
        <w:t>x</w:t>
      </w:r>
      <w:r w:rsidRPr="00963634">
        <w:rPr>
          <w:iCs/>
          <w:lang w:val="en-US"/>
        </w:rPr>
        <w:t xml:space="preserve">) </w:t>
      </w:r>
      <w:r w:rsidRPr="00A14D47">
        <w:rPr>
          <w:rFonts w:ascii="Cambria Math" w:eastAsia="Arial Unicode MS" w:hAnsi="Cambria Math" w:cs="Arial Unicode MS"/>
          <w:lang w:val="en-US"/>
        </w:rPr>
        <w:t>⊂</w:t>
      </w:r>
      <w:r w:rsidR="00635DE8" w:rsidRPr="00635DE8">
        <w:rPr>
          <w:i/>
          <w:iCs/>
          <w:lang w:val="en-US"/>
        </w:rPr>
        <w:t xml:space="preserve"> </w:t>
      </w:r>
      <w:r w:rsidR="00635DE8">
        <w:rPr>
          <w:i/>
          <w:iCs/>
          <w:lang w:val="en-US"/>
        </w:rPr>
        <w:t>U</w:t>
      </w:r>
      <w:r w:rsidRPr="00963634">
        <w:rPr>
          <w:lang w:val="en-US"/>
        </w:rPr>
        <w:t>(</w:t>
      </w:r>
      <w:r w:rsidRPr="00963634">
        <w:rPr>
          <w:i/>
          <w:iCs/>
          <w:lang w:val="en-US"/>
        </w:rPr>
        <w:t>B</w:t>
      </w:r>
      <w:r w:rsidRPr="00963634">
        <w:rPr>
          <w:i/>
          <w:iCs/>
          <w:vertAlign w:val="subscript"/>
          <w:lang w:val="en-US"/>
        </w:rPr>
        <w:t>j</w:t>
      </w:r>
      <w:r w:rsidRPr="00963634">
        <w:rPr>
          <w:lang w:val="en-US"/>
        </w:rPr>
        <w:t xml:space="preserve">)) </w:t>
      </w:r>
      <w:r w:rsidRPr="00963634">
        <w:rPr>
          <w:rFonts w:ascii="Cambria Math" w:hAnsi="Cambria Math" w:cs="Cambria Math"/>
          <w:color w:val="000000" w:themeColor="text1"/>
          <w:lang w:val="en-US"/>
        </w:rPr>
        <w:t>∧</w:t>
      </w:r>
      <w:r w:rsidRPr="00963634">
        <w:rPr>
          <w:lang w:val="en-US"/>
        </w:rPr>
        <w:t xml:space="preserve"> (</w:t>
      </w:r>
      <w:r w:rsidRPr="00963634">
        <w:rPr>
          <w:i/>
          <w:iCs/>
          <w:lang w:val="en-US"/>
        </w:rPr>
        <w:t>V</w:t>
      </w:r>
      <w:r w:rsidRPr="00963634">
        <w:rPr>
          <w:iCs/>
          <w:lang w:val="en-US"/>
        </w:rPr>
        <w:t>(</w:t>
      </w:r>
      <w:r w:rsidRPr="00963634">
        <w:rPr>
          <w:i/>
          <w:iCs/>
          <w:lang w:val="en-US"/>
        </w:rPr>
        <w:t>B</w:t>
      </w:r>
      <w:r w:rsidRPr="00963634">
        <w:rPr>
          <w:i/>
          <w:iCs/>
          <w:vertAlign w:val="subscript"/>
          <w:lang w:val="en-US"/>
        </w:rPr>
        <w:t>x</w:t>
      </w:r>
      <w:r w:rsidRPr="00963634">
        <w:rPr>
          <w:iCs/>
          <w:lang w:val="en-US"/>
        </w:rPr>
        <w:t>)</w:t>
      </w:r>
      <w:r w:rsidRPr="00963634">
        <w:rPr>
          <w:lang w:val="en-US"/>
        </w:rPr>
        <w:t xml:space="preserve"> = </w:t>
      </w:r>
      <w:r w:rsidRPr="00963634">
        <w:rPr>
          <w:i/>
          <w:iCs/>
          <w:lang w:val="en-US"/>
        </w:rPr>
        <w:t>V</w:t>
      </w:r>
      <w:r w:rsidRPr="00963634">
        <w:rPr>
          <w:lang w:val="en-US"/>
        </w:rPr>
        <w:t>(</w:t>
      </w:r>
      <w:r w:rsidRPr="00963634">
        <w:rPr>
          <w:i/>
          <w:iCs/>
          <w:lang w:val="en-US"/>
        </w:rPr>
        <w:t>B</w:t>
      </w:r>
      <w:r w:rsidRPr="00963634">
        <w:rPr>
          <w:i/>
          <w:iCs/>
          <w:vertAlign w:val="subscript"/>
          <w:lang w:val="en-US"/>
        </w:rPr>
        <w:t>j</w:t>
      </w:r>
      <w:r w:rsidRPr="00963634">
        <w:rPr>
          <w:lang w:val="en-US"/>
        </w:rPr>
        <w:t xml:space="preserve">)) </w:t>
      </w:r>
      <w:r w:rsidRPr="00963634">
        <w:rPr>
          <w:rFonts w:ascii="Cambria Math" w:hAnsi="Cambria Math" w:cs="Cambria Math"/>
          <w:color w:val="000000" w:themeColor="text1"/>
          <w:lang w:val="en-US"/>
        </w:rPr>
        <w:t>∧</w:t>
      </w:r>
      <w:r w:rsidRPr="00963634">
        <w:rPr>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x</m:t>
                </m:r>
              </m:sub>
            </m:sSub>
          </m:num>
          <m:den>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j</m:t>
                </m:r>
              </m:sub>
            </m:sSub>
          </m:den>
        </m:f>
      </m:oMath>
      <w:r w:rsidRPr="00963634">
        <w:rPr>
          <w:iCs/>
          <w:lang w:val="en-US"/>
        </w:rPr>
        <w:t xml:space="preserve"> &gt; </w:t>
      </w:r>
      <m:oMath>
        <m:r>
          <m:rPr>
            <m:nor/>
          </m:rPr>
          <w:rPr>
            <w:rFonts w:cs="Times New Roman"/>
            <w:lang w:val="en-US"/>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US"/>
                      </w:rPr>
                      <m:t>M</m:t>
                    </m:r>
                  </m:e>
                  <m:sub>
                    <m:r>
                      <m:rPr>
                        <m:nor/>
                      </m:rPr>
                      <w:rPr>
                        <w:rFonts w:cs="Times New Roman"/>
                        <w:i/>
                        <w:lang w:val="en-US"/>
                      </w:rPr>
                      <m:t>x</m:t>
                    </m:r>
                  </m:sub>
                </m:sSub>
              </m:num>
              <m:den>
                <m:sSub>
                  <m:sSubPr>
                    <m:ctrlPr>
                      <w:rPr>
                        <w:rFonts w:ascii="Cambria Math" w:hAnsi="Cambria Math" w:cs="Times New Roman"/>
                        <w:i/>
                        <w:lang w:val="en-US"/>
                      </w:rPr>
                    </m:ctrlPr>
                  </m:sSubPr>
                  <m:e>
                    <m:r>
                      <m:rPr>
                        <m:nor/>
                      </m:rPr>
                      <w:rPr>
                        <w:rFonts w:cs="Times New Roman"/>
                        <w:i/>
                        <w:lang w:val="en-US"/>
                      </w:rPr>
                      <m:t>M</m:t>
                    </m:r>
                  </m:e>
                  <m:sub>
                    <m:r>
                      <m:rPr>
                        <m:nor/>
                      </m:rPr>
                      <w:rPr>
                        <w:rFonts w:cs="Times New Roman"/>
                        <w:i/>
                        <w:lang w:val="en-US"/>
                      </w:rPr>
                      <m:t>j</m:t>
                    </m:r>
                  </m:sub>
                </m:sSub>
              </m:den>
            </m:f>
            <m:r>
              <m:rPr>
                <m:nor/>
              </m:rPr>
              <w:rPr>
                <w:rFonts w:cs="Times New Roman"/>
                <w:lang w:val="en-US"/>
              </w:rPr>
              <m:t>)</m:t>
            </m:r>
          </m:e>
          <m:sup>
            <m:r>
              <m:rPr>
                <m:nor/>
              </m:rPr>
              <w:rPr>
                <w:rFonts w:cs="Times New Roman"/>
                <w:i/>
                <w:iCs/>
                <w:lang w:val="en-US"/>
              </w:rPr>
              <m:t>f</m:t>
            </m:r>
          </m:sup>
        </m:sSup>
      </m:oMath>
      <w:r w:rsidRPr="00963634">
        <w:rPr>
          <w:lang w:val="en-US"/>
        </w:rPr>
        <w:t>)}</w:t>
      </w:r>
    </w:p>
    <w:p w:rsidR="00206973" w:rsidRDefault="00206973" w:rsidP="004932E6">
      <w:pPr>
        <w:pStyle w:val="Text"/>
        <w:ind w:firstLine="0"/>
        <w:jc w:val="left"/>
        <w:rPr>
          <w:lang w:val="en-GB"/>
        </w:rPr>
      </w:pPr>
      <w:r w:rsidRPr="00963634">
        <w:rPr>
          <w:lang w:val="en-US"/>
        </w:rPr>
        <w:t xml:space="preserve">      </w:t>
      </w:r>
      <w:r>
        <w:rPr>
          <w:lang w:val="en-GB"/>
        </w:rPr>
        <w:t>end</w:t>
      </w:r>
    </w:p>
    <w:p w:rsidR="00206973" w:rsidRPr="00557C20" w:rsidRDefault="00206973" w:rsidP="004932E6">
      <w:pPr>
        <w:pStyle w:val="Text"/>
        <w:keepNext/>
        <w:ind w:firstLine="0"/>
        <w:jc w:val="left"/>
        <w:rPr>
          <w:lang w:val="en-US"/>
        </w:rPr>
      </w:pPr>
      <w:r>
        <w:rPr>
          <w:lang w:val="en-US"/>
        </w:rPr>
        <w:t xml:space="preserve">      if </w:t>
      </w:r>
      <w:r w:rsidRPr="00206973">
        <w:rPr>
          <w:i/>
          <w:lang w:val="en-US"/>
        </w:rPr>
        <w:t>i</w:t>
      </w:r>
      <w:r>
        <w:rPr>
          <w:lang w:val="en-US"/>
        </w:rPr>
        <w:t xml:space="preserve"> = 2</w:t>
      </w:r>
    </w:p>
    <w:p w:rsidR="00206973" w:rsidRPr="00206973" w:rsidRDefault="00206973" w:rsidP="004932E6">
      <w:pPr>
        <w:pStyle w:val="Text"/>
        <w:ind w:firstLine="0"/>
        <w:jc w:val="left"/>
        <w:rPr>
          <w:lang w:val="en-GB"/>
        </w:rPr>
      </w:pPr>
      <w:r>
        <w:rPr>
          <w:lang w:val="en-GB"/>
        </w:rPr>
        <w:t xml:space="preserve">   </w:t>
      </w:r>
      <w:r w:rsidRPr="00206973">
        <w:rPr>
          <w:lang w:val="en-GB"/>
        </w:rPr>
        <w:t xml:space="preserve">      </w:t>
      </w:r>
      <w:r w:rsidRPr="00206973">
        <w:rPr>
          <w:i/>
          <w:lang w:val="en-GB"/>
        </w:rPr>
        <w:t>S</w:t>
      </w:r>
      <w:r w:rsidRPr="00206973">
        <w:rPr>
          <w:i/>
          <w:vertAlign w:val="subscript"/>
          <w:lang w:val="en-GB"/>
        </w:rPr>
        <w:t>j</w:t>
      </w:r>
      <w:r w:rsidRPr="00206973">
        <w:rPr>
          <w:lang w:val="en-GB"/>
        </w:rPr>
        <w:t xml:space="preserve"> := {</w:t>
      </w:r>
      <w:r w:rsidRPr="00206973">
        <w:rPr>
          <w:i/>
          <w:iCs/>
          <w:lang w:val="en-GB"/>
        </w:rPr>
        <w:t>B</w:t>
      </w:r>
      <w:r w:rsidRPr="00206973">
        <w:rPr>
          <w:i/>
          <w:iCs/>
          <w:vertAlign w:val="subscript"/>
          <w:lang w:val="en-GB"/>
        </w:rPr>
        <w:t>x</w:t>
      </w:r>
      <w:r w:rsidRPr="00206973">
        <w:rPr>
          <w:lang w:val="en-GB"/>
        </w:rPr>
        <w:t xml:space="preserve"> </w:t>
      </w:r>
      <w:r w:rsidRPr="00A14D47">
        <w:rPr>
          <w:rFonts w:ascii="Cambria Math" w:eastAsia="Arial Unicode MS" w:hAnsi="Cambria Math" w:cs="Arial Unicode MS"/>
          <w:lang w:val="en-GB"/>
        </w:rPr>
        <w:t>∊</w:t>
      </w:r>
      <w:r w:rsidRPr="00206973">
        <w:rPr>
          <w:i/>
          <w:iCs/>
          <w:lang w:val="en-GB"/>
        </w:rPr>
        <w:t xml:space="preserve"> B</w:t>
      </w:r>
      <w:r w:rsidRPr="00206973">
        <w:rPr>
          <w:lang w:val="en-GB"/>
        </w:rPr>
        <w:t xml:space="preserve"> | (</w:t>
      </w:r>
      <w:r w:rsidRPr="00206973">
        <w:rPr>
          <w:i/>
          <w:iCs/>
          <w:lang w:val="en-GB"/>
        </w:rPr>
        <w:t>U</w:t>
      </w:r>
      <w:r w:rsidRPr="00206973">
        <w:rPr>
          <w:iCs/>
          <w:lang w:val="en-GB"/>
        </w:rPr>
        <w:t>(</w:t>
      </w:r>
      <w:r w:rsidRPr="00206973">
        <w:rPr>
          <w:i/>
          <w:iCs/>
          <w:lang w:val="en-GB"/>
        </w:rPr>
        <w:t>B</w:t>
      </w:r>
      <w:r w:rsidRPr="00206973">
        <w:rPr>
          <w:i/>
          <w:iCs/>
          <w:vertAlign w:val="subscript"/>
          <w:lang w:val="en-GB"/>
        </w:rPr>
        <w:t>j</w:t>
      </w:r>
      <w:r w:rsidRPr="00206973">
        <w:rPr>
          <w:iCs/>
          <w:lang w:val="en-GB"/>
        </w:rPr>
        <w:t>)</w:t>
      </w:r>
      <w:r w:rsidR="00635DE8" w:rsidRPr="00963634">
        <w:rPr>
          <w:iCs/>
          <w:lang w:val="en-US"/>
        </w:rPr>
        <w:t xml:space="preserve"> </w:t>
      </w:r>
      <w:r w:rsidR="00635DE8" w:rsidRPr="00A14D47">
        <w:rPr>
          <w:rFonts w:ascii="Cambria Math" w:eastAsia="Arial Unicode MS" w:hAnsi="Cambria Math" w:cs="Arial Unicode MS"/>
          <w:lang w:val="en-US"/>
        </w:rPr>
        <w:t>⊂</w:t>
      </w:r>
      <w:r w:rsidR="00635DE8" w:rsidRPr="00635DE8">
        <w:rPr>
          <w:i/>
          <w:iCs/>
          <w:lang w:val="en-US"/>
        </w:rPr>
        <w:t xml:space="preserve"> </w:t>
      </w:r>
      <w:r w:rsidRPr="00206973">
        <w:rPr>
          <w:i/>
          <w:iCs/>
          <w:lang w:val="en-GB"/>
        </w:rPr>
        <w:t>U</w:t>
      </w:r>
      <w:r w:rsidRPr="00206973">
        <w:rPr>
          <w:lang w:val="en-GB"/>
        </w:rPr>
        <w:t>(</w:t>
      </w:r>
      <w:r w:rsidRPr="00206973">
        <w:rPr>
          <w:i/>
          <w:iCs/>
          <w:lang w:val="en-GB"/>
        </w:rPr>
        <w:t>B</w:t>
      </w:r>
      <w:r w:rsidRPr="00206973">
        <w:rPr>
          <w:i/>
          <w:iCs/>
          <w:vertAlign w:val="subscript"/>
          <w:lang w:val="en-GB"/>
        </w:rPr>
        <w:t>x</w:t>
      </w:r>
      <w:r w:rsidRPr="00206973">
        <w:rPr>
          <w:lang w:val="en-GB"/>
        </w:rPr>
        <w:t xml:space="preserve">)) </w:t>
      </w:r>
      <w:r w:rsidRPr="00206973">
        <w:rPr>
          <w:rFonts w:ascii="Cambria Math" w:hAnsi="Cambria Math" w:cs="Cambria Math"/>
          <w:color w:val="000000" w:themeColor="text1"/>
          <w:lang w:val="en-GB"/>
        </w:rPr>
        <w:t>∧</w:t>
      </w:r>
      <w:r w:rsidRPr="00206973">
        <w:rPr>
          <w:lang w:val="en-GB"/>
        </w:rPr>
        <w:t xml:space="preserve"> (</w:t>
      </w:r>
      <w:r w:rsidRPr="00206973">
        <w:rPr>
          <w:i/>
          <w:iCs/>
          <w:lang w:val="en-GB"/>
        </w:rPr>
        <w:t>V</w:t>
      </w:r>
      <w:r w:rsidRPr="00206973">
        <w:rPr>
          <w:iCs/>
          <w:lang w:val="en-GB"/>
        </w:rPr>
        <w:t>(</w:t>
      </w:r>
      <w:r w:rsidRPr="00206973">
        <w:rPr>
          <w:i/>
          <w:iCs/>
          <w:lang w:val="en-GB"/>
        </w:rPr>
        <w:t>B</w:t>
      </w:r>
      <w:r w:rsidRPr="00206973">
        <w:rPr>
          <w:i/>
          <w:iCs/>
          <w:vertAlign w:val="subscript"/>
          <w:lang w:val="en-GB"/>
        </w:rPr>
        <w:t>j</w:t>
      </w:r>
      <w:r w:rsidRPr="00206973">
        <w:rPr>
          <w:iCs/>
          <w:lang w:val="en-GB"/>
        </w:rPr>
        <w:t>)</w:t>
      </w:r>
      <w:r w:rsidRPr="00206973">
        <w:rPr>
          <w:lang w:val="en-GB"/>
        </w:rPr>
        <w:t xml:space="preserve"> = </w:t>
      </w:r>
      <w:r w:rsidRPr="00206973">
        <w:rPr>
          <w:i/>
          <w:iCs/>
          <w:lang w:val="en-GB"/>
        </w:rPr>
        <w:t>V</w:t>
      </w:r>
      <w:r w:rsidRPr="00206973">
        <w:rPr>
          <w:lang w:val="en-GB"/>
        </w:rPr>
        <w:t>(</w:t>
      </w:r>
      <w:r w:rsidRPr="00206973">
        <w:rPr>
          <w:i/>
          <w:iCs/>
          <w:lang w:val="en-GB"/>
        </w:rPr>
        <w:t>B</w:t>
      </w:r>
      <w:r w:rsidRPr="00206973">
        <w:rPr>
          <w:i/>
          <w:iCs/>
          <w:vertAlign w:val="subscript"/>
          <w:lang w:val="en-GB"/>
        </w:rPr>
        <w:t>x</w:t>
      </w:r>
      <w:r w:rsidRPr="00206973">
        <w:rPr>
          <w:lang w:val="en-GB"/>
        </w:rPr>
        <w:t xml:space="preserve">)) </w:t>
      </w:r>
      <w:r w:rsidRPr="00206973">
        <w:rPr>
          <w:rFonts w:ascii="Cambria Math" w:hAnsi="Cambria Math" w:cs="Cambria Math"/>
          <w:color w:val="000000" w:themeColor="text1"/>
          <w:lang w:val="en-GB"/>
        </w:rPr>
        <w:t>∧</w:t>
      </w:r>
      <w:r w:rsidRPr="00206973">
        <w:rPr>
          <w:lang w:val="en-GB"/>
        </w:rPr>
        <w:t xml:space="preserve"> </w:t>
      </w:r>
      <w:r w:rsidR="001076F1">
        <w:rPr>
          <w:lang w:val="en-GB"/>
        </w:rPr>
        <w:t>(</w:t>
      </w:r>
      <w:r w:rsidRPr="00206973">
        <w:rPr>
          <w:lang w:val="en-GB"/>
        </w:rPr>
        <w:t>(</w:t>
      </w: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GB"/>
                  </w:rPr>
                  <m:t>N</m:t>
                </m:r>
              </m:e>
              <m:sub>
                <m:r>
                  <m:rPr>
                    <m:nor/>
                  </m:rPr>
                  <w:rPr>
                    <w:rFonts w:cs="Times New Roman"/>
                    <w:i/>
                    <w:lang w:val="en-GB"/>
                  </w:rPr>
                  <m:t>j</m:t>
                </m:r>
              </m:sub>
            </m:sSub>
          </m:num>
          <m:den>
            <m:sSub>
              <m:sSubPr>
                <m:ctrlPr>
                  <w:rPr>
                    <w:rFonts w:ascii="Cambria Math" w:hAnsi="Cambria Math" w:cs="Times New Roman"/>
                    <w:i/>
                    <w:lang w:val="en-US"/>
                  </w:rPr>
                </m:ctrlPr>
              </m:sSubPr>
              <m:e>
                <m:r>
                  <m:rPr>
                    <m:nor/>
                  </m:rPr>
                  <w:rPr>
                    <w:rFonts w:cs="Times New Roman"/>
                    <w:i/>
                    <w:lang w:val="en-GB"/>
                  </w:rPr>
                  <m:t>N</m:t>
                </m:r>
              </m:e>
              <m:sub>
                <m:r>
                  <m:rPr>
                    <m:nor/>
                  </m:rPr>
                  <w:rPr>
                    <w:rFonts w:cs="Times New Roman"/>
                    <w:i/>
                    <w:lang w:val="en-GB"/>
                  </w:rPr>
                  <m:t>x</m:t>
                </m:r>
              </m:sub>
            </m:sSub>
          </m:den>
        </m:f>
      </m:oMath>
      <w:r w:rsidR="00FE7E24" w:rsidRPr="00FE7E24">
        <w:rPr>
          <w:iCs/>
          <w:lang w:val="en-GB"/>
        </w:rPr>
        <w:t xml:space="preserve"> </w:t>
      </w:r>
      <w:r w:rsidR="00AE5419" w:rsidRPr="00AE5419">
        <w:rPr>
          <w:rFonts w:cs="Times New Roman"/>
          <w:iCs/>
          <w:lang w:val="en-GB"/>
        </w:rPr>
        <w:t>≥</w:t>
      </w:r>
      <w:r w:rsidR="00FE7E24" w:rsidRPr="00FE7E24">
        <w:rPr>
          <w:iCs/>
          <w:lang w:val="en-GB"/>
        </w:rPr>
        <w:t xml:space="preserve"> </w:t>
      </w:r>
      <m:oMath>
        <m:r>
          <m:rPr>
            <m:nor/>
          </m:rPr>
          <w:rPr>
            <w:rFonts w:cs="Times New Roman"/>
            <w:lang w:val="en-GB"/>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GB"/>
                      </w:rPr>
                      <m:t>w</m:t>
                    </m:r>
                    <m:r>
                      <m:rPr>
                        <m:nor/>
                      </m:rPr>
                      <w:rPr>
                        <w:rFonts w:cs="Times New Roman"/>
                        <w:lang w:val="en-GB"/>
                      </w:rPr>
                      <m:t>(</m:t>
                    </m:r>
                    <m:r>
                      <m:rPr>
                        <m:nor/>
                      </m:rPr>
                      <w:rPr>
                        <w:rFonts w:cs="Times New Roman"/>
                        <w:i/>
                        <w:lang w:val="en-GB"/>
                      </w:rPr>
                      <m:t>B</m:t>
                    </m:r>
                  </m:e>
                  <m:sub>
                    <m:r>
                      <m:rPr>
                        <m:nor/>
                      </m:rPr>
                      <w:rPr>
                        <w:rFonts w:cs="Times New Roman"/>
                        <w:i/>
                        <w:lang w:val="en-GB"/>
                      </w:rPr>
                      <m:t>x</m:t>
                    </m:r>
                  </m:sub>
                </m:sSub>
                <m:r>
                  <m:rPr>
                    <m:nor/>
                  </m:rPr>
                  <w:rPr>
                    <w:rFonts w:cs="Times New Roman"/>
                    <w:lang w:val="en-GB"/>
                  </w:rPr>
                  <m:t>)</m:t>
                </m:r>
              </m:num>
              <m:den>
                <m:sSub>
                  <m:sSubPr>
                    <m:ctrlPr>
                      <w:rPr>
                        <w:rFonts w:ascii="Cambria Math" w:hAnsi="Cambria Math" w:cs="Times New Roman"/>
                        <w:i/>
                        <w:lang w:val="en-US"/>
                      </w:rPr>
                    </m:ctrlPr>
                  </m:sSubPr>
                  <m:e>
                    <m:r>
                      <m:rPr>
                        <m:nor/>
                      </m:rPr>
                      <w:rPr>
                        <w:rFonts w:cs="Times New Roman"/>
                        <w:i/>
                        <w:lang w:val="en-GB"/>
                      </w:rPr>
                      <m:t>w</m:t>
                    </m:r>
                    <m:r>
                      <m:rPr>
                        <m:nor/>
                      </m:rPr>
                      <w:rPr>
                        <w:rFonts w:cs="Times New Roman"/>
                        <w:lang w:val="en-GB"/>
                      </w:rPr>
                      <m:t>(</m:t>
                    </m:r>
                    <m:r>
                      <m:rPr>
                        <m:nor/>
                      </m:rPr>
                      <w:rPr>
                        <w:rFonts w:cs="Times New Roman"/>
                        <w:i/>
                        <w:lang w:val="en-GB"/>
                      </w:rPr>
                      <m:t>B</m:t>
                    </m:r>
                  </m:e>
                  <m:sub>
                    <m:r>
                      <m:rPr>
                        <m:nor/>
                      </m:rPr>
                      <w:rPr>
                        <w:rFonts w:cs="Times New Roman"/>
                        <w:i/>
                        <w:lang w:val="en-GB"/>
                      </w:rPr>
                      <m:t>j</m:t>
                    </m:r>
                  </m:sub>
                </m:sSub>
                <m:r>
                  <m:rPr>
                    <m:nor/>
                  </m:rPr>
                  <w:rPr>
                    <w:rFonts w:cs="Times New Roman"/>
                    <w:lang w:val="en-GB"/>
                  </w:rPr>
                  <m:t>)</m:t>
                </m:r>
              </m:den>
            </m:f>
            <m:r>
              <m:rPr>
                <m:nor/>
              </m:rPr>
              <w:rPr>
                <w:rFonts w:cs="Times New Roman"/>
                <w:lang w:val="en-GB"/>
              </w:rPr>
              <m:t>)</m:t>
            </m:r>
          </m:e>
          <m:sup>
            <m:r>
              <m:rPr>
                <m:nor/>
              </m:rPr>
              <w:rPr>
                <w:rFonts w:cs="Times New Roman"/>
                <w:i/>
                <w:iCs/>
                <w:lang w:val="en-GB"/>
              </w:rPr>
              <m:t>f</m:t>
            </m:r>
          </m:sup>
        </m:sSup>
      </m:oMath>
      <w:r w:rsidR="001076F1" w:rsidRPr="00206973">
        <w:rPr>
          <w:lang w:val="en-US"/>
        </w:rPr>
        <w:t>)</w:t>
      </w:r>
      <w:r w:rsidR="00CF4465" w:rsidRPr="004E1B7F">
        <w:rPr>
          <w:lang w:val="en-US"/>
        </w:rPr>
        <w:t>}</w:t>
      </w:r>
    </w:p>
    <w:p w:rsidR="00206973" w:rsidRDefault="00206973" w:rsidP="004932E6">
      <w:pPr>
        <w:pStyle w:val="Text"/>
        <w:ind w:firstLine="0"/>
        <w:jc w:val="left"/>
        <w:rPr>
          <w:lang w:val="en-GB"/>
        </w:rPr>
      </w:pPr>
      <w:r>
        <w:rPr>
          <w:lang w:val="en-US"/>
        </w:rPr>
        <w:t xml:space="preserve">   </w:t>
      </w:r>
      <w:r w:rsidRPr="00206973">
        <w:rPr>
          <w:lang w:val="en-US"/>
        </w:rPr>
        <w:t xml:space="preserve">   </w:t>
      </w:r>
      <w:r>
        <w:rPr>
          <w:lang w:val="en-GB"/>
        </w:rPr>
        <w:t>end</w:t>
      </w:r>
    </w:p>
    <w:p w:rsidR="0090622C" w:rsidRPr="004E1B7F" w:rsidRDefault="0090622C" w:rsidP="000762B4">
      <w:pPr>
        <w:pStyle w:val="Text"/>
        <w:ind w:hanging="369"/>
        <w:jc w:val="left"/>
        <w:rPr>
          <w:color w:val="000000" w:themeColor="text1"/>
          <w:lang w:val="en-US"/>
        </w:rPr>
      </w:pPr>
      <w:r w:rsidRPr="004932E6">
        <w:rPr>
          <w:sz w:val="16"/>
          <w:szCs w:val="16"/>
          <w:lang w:val="en-US"/>
        </w:rPr>
        <w:t>10</w:t>
      </w:r>
      <w:r w:rsidRPr="004E1B7F">
        <w:rPr>
          <w:lang w:val="en-US"/>
        </w:rPr>
        <w:tab/>
        <w:t xml:space="preserve">      </w:t>
      </w:r>
      <w:r>
        <w:rPr>
          <w:lang w:val="en-US"/>
        </w:rPr>
        <w:t xml:space="preserve">if </w:t>
      </w:r>
      <w:r w:rsidRPr="00206973">
        <w:rPr>
          <w:i/>
          <w:lang w:val="en-US"/>
        </w:rPr>
        <w:t>i</w:t>
      </w:r>
      <w:r>
        <w:rPr>
          <w:lang w:val="en-US"/>
        </w:rPr>
        <w:t xml:space="preserve"> = 3</w:t>
      </w:r>
    </w:p>
    <w:p w:rsidR="00A6577B" w:rsidRPr="004E1B7F" w:rsidRDefault="00A6577B" w:rsidP="004932E6">
      <w:pPr>
        <w:pStyle w:val="Text"/>
        <w:ind w:firstLine="0"/>
        <w:jc w:val="left"/>
        <w:rPr>
          <w:lang w:val="en-US"/>
        </w:rPr>
      </w:pPr>
      <w:r w:rsidRPr="004E1B7F">
        <w:rPr>
          <w:lang w:val="en-US"/>
        </w:rPr>
        <w:t xml:space="preserve">         </w:t>
      </w:r>
      <w:r w:rsidRPr="004E1B7F">
        <w:rPr>
          <w:i/>
          <w:lang w:val="en-US"/>
        </w:rPr>
        <w:t>S</w:t>
      </w:r>
      <w:r w:rsidRPr="004E1B7F">
        <w:rPr>
          <w:i/>
          <w:vertAlign w:val="subscript"/>
          <w:lang w:val="en-US"/>
        </w:rPr>
        <w:t>j</w:t>
      </w:r>
      <w:r w:rsidRPr="004E1B7F">
        <w:rPr>
          <w:lang w:val="en-US"/>
        </w:rPr>
        <w:t xml:space="preserve"> := {</w:t>
      </w:r>
      <w:r w:rsidRPr="004E1B7F">
        <w:rPr>
          <w:i/>
          <w:iCs/>
          <w:lang w:val="en-US"/>
        </w:rPr>
        <w:t>B</w:t>
      </w:r>
      <w:r w:rsidRPr="004E1B7F">
        <w:rPr>
          <w:i/>
          <w:iCs/>
          <w:vertAlign w:val="subscript"/>
          <w:lang w:val="en-US"/>
        </w:rPr>
        <w:t>x</w:t>
      </w:r>
      <w:r w:rsidRPr="004E1B7F">
        <w:rPr>
          <w:lang w:val="en-US"/>
        </w:rPr>
        <w:t xml:space="preserve"> </w:t>
      </w:r>
      <w:r w:rsidRPr="00A14D47">
        <w:rPr>
          <w:rFonts w:ascii="Cambria Math" w:eastAsia="Arial Unicode MS" w:hAnsi="Cambria Math" w:cs="Arial Unicode MS"/>
          <w:lang w:val="en-US"/>
        </w:rPr>
        <w:t>∊</w:t>
      </w:r>
      <w:r w:rsidRPr="004E1B7F">
        <w:rPr>
          <w:i/>
          <w:iCs/>
          <w:lang w:val="en-US"/>
        </w:rPr>
        <w:t xml:space="preserve"> B</w:t>
      </w:r>
      <w:r w:rsidRPr="004E1B7F">
        <w:rPr>
          <w:lang w:val="en-US"/>
        </w:rPr>
        <w:t xml:space="preserve"> | (</w:t>
      </w:r>
      <w:r w:rsidRPr="004E1B7F">
        <w:rPr>
          <w:i/>
          <w:iCs/>
          <w:lang w:val="en-US"/>
        </w:rPr>
        <w:t>U</w:t>
      </w:r>
      <w:r w:rsidRPr="004E1B7F">
        <w:rPr>
          <w:iCs/>
          <w:lang w:val="en-US"/>
        </w:rPr>
        <w:t>(</w:t>
      </w:r>
      <w:r w:rsidRPr="004E1B7F">
        <w:rPr>
          <w:i/>
          <w:iCs/>
          <w:lang w:val="en-US"/>
        </w:rPr>
        <w:t>B</w:t>
      </w:r>
      <w:r w:rsidRPr="004E1B7F">
        <w:rPr>
          <w:i/>
          <w:iCs/>
          <w:vertAlign w:val="subscript"/>
          <w:lang w:val="en-US"/>
        </w:rPr>
        <w:t>x</w:t>
      </w:r>
      <w:r w:rsidRPr="004E1B7F">
        <w:rPr>
          <w:iCs/>
          <w:lang w:val="en-US"/>
        </w:rPr>
        <w:t xml:space="preserve">) </w:t>
      </w:r>
      <w:r w:rsidRPr="004E1B7F">
        <w:rPr>
          <w:lang w:val="en-US"/>
        </w:rPr>
        <w:t xml:space="preserve">= </w:t>
      </w:r>
      <w:r w:rsidRPr="004E1B7F">
        <w:rPr>
          <w:i/>
          <w:iCs/>
          <w:lang w:val="en-US"/>
        </w:rPr>
        <w:t>U</w:t>
      </w:r>
      <w:r w:rsidRPr="004E1B7F">
        <w:rPr>
          <w:lang w:val="en-US"/>
        </w:rPr>
        <w:t>(</w:t>
      </w:r>
      <w:r w:rsidRPr="004E1B7F">
        <w:rPr>
          <w:i/>
          <w:iCs/>
          <w:lang w:val="en-US"/>
        </w:rPr>
        <w:t>B</w:t>
      </w:r>
      <w:r w:rsidRPr="004E1B7F">
        <w:rPr>
          <w:i/>
          <w:iCs/>
          <w:vertAlign w:val="subscript"/>
          <w:lang w:val="en-US"/>
        </w:rPr>
        <w:t>j</w:t>
      </w:r>
      <w:r w:rsidRPr="004E1B7F">
        <w:rPr>
          <w:lang w:val="en-US"/>
        </w:rPr>
        <w:t xml:space="preserve">)) </w:t>
      </w:r>
      <w:r w:rsidRPr="004E1B7F">
        <w:rPr>
          <w:rFonts w:ascii="Cambria Math" w:hAnsi="Cambria Math" w:cs="Cambria Math"/>
          <w:color w:val="000000" w:themeColor="text1"/>
          <w:lang w:val="en-US"/>
        </w:rPr>
        <w:t>∧</w:t>
      </w:r>
      <w:r w:rsidRPr="004E1B7F">
        <w:rPr>
          <w:lang w:val="en-US"/>
        </w:rPr>
        <w:t xml:space="preserve"> (</w:t>
      </w:r>
      <w:r w:rsidRPr="004E1B7F">
        <w:rPr>
          <w:i/>
          <w:iCs/>
          <w:lang w:val="en-US"/>
        </w:rPr>
        <w:t>V</w:t>
      </w:r>
      <w:r w:rsidRPr="004E1B7F">
        <w:rPr>
          <w:iCs/>
          <w:lang w:val="en-US"/>
        </w:rPr>
        <w:t>(</w:t>
      </w:r>
      <w:r w:rsidRPr="004E1B7F">
        <w:rPr>
          <w:i/>
          <w:iCs/>
          <w:lang w:val="en-US"/>
        </w:rPr>
        <w:t>B</w:t>
      </w:r>
      <w:r w:rsidRPr="004E1B7F">
        <w:rPr>
          <w:i/>
          <w:iCs/>
          <w:vertAlign w:val="subscript"/>
          <w:lang w:val="en-US"/>
        </w:rPr>
        <w:t>x</w:t>
      </w:r>
      <w:r w:rsidRPr="004E1B7F">
        <w:rPr>
          <w:iCs/>
          <w:lang w:val="en-US"/>
        </w:rPr>
        <w:t>)</w:t>
      </w:r>
      <w:r w:rsidRPr="004E1B7F">
        <w:rPr>
          <w:lang w:val="en-US"/>
        </w:rPr>
        <w:t xml:space="preserve"> </w:t>
      </w:r>
      <w:r w:rsidR="009C75CC" w:rsidRPr="00A14D47">
        <w:rPr>
          <w:rFonts w:ascii="Cambria Math" w:eastAsia="Arial Unicode MS" w:hAnsi="Cambria Math" w:cs="Arial Unicode MS"/>
          <w:lang w:val="en-US"/>
        </w:rPr>
        <w:t>⊂</w:t>
      </w:r>
      <w:r w:rsidRPr="004E1B7F">
        <w:rPr>
          <w:lang w:val="en-US"/>
        </w:rPr>
        <w:t xml:space="preserve"> </w:t>
      </w:r>
      <w:r w:rsidRPr="004E1B7F">
        <w:rPr>
          <w:i/>
          <w:iCs/>
          <w:lang w:val="en-US"/>
        </w:rPr>
        <w:t>V</w:t>
      </w:r>
      <w:r w:rsidRPr="004E1B7F">
        <w:rPr>
          <w:lang w:val="en-US"/>
        </w:rPr>
        <w:t>(</w:t>
      </w:r>
      <w:r w:rsidRPr="004E1B7F">
        <w:rPr>
          <w:i/>
          <w:iCs/>
          <w:lang w:val="en-US"/>
        </w:rPr>
        <w:t>B</w:t>
      </w:r>
      <w:r w:rsidRPr="004E1B7F">
        <w:rPr>
          <w:i/>
          <w:iCs/>
          <w:vertAlign w:val="subscript"/>
          <w:lang w:val="en-US"/>
        </w:rPr>
        <w:t>j</w:t>
      </w:r>
      <w:r w:rsidRPr="004E1B7F">
        <w:rPr>
          <w:lang w:val="en-US"/>
        </w:rPr>
        <w:t xml:space="preserve">)) </w:t>
      </w:r>
      <w:r w:rsidRPr="004E1B7F">
        <w:rPr>
          <w:rFonts w:ascii="Cambria Math" w:hAnsi="Cambria Math" w:cs="Cambria Math"/>
          <w:color w:val="000000" w:themeColor="text1"/>
          <w:lang w:val="en-US"/>
        </w:rPr>
        <w:t>∧</w:t>
      </w:r>
      <w:r w:rsidRPr="004E1B7F">
        <w:rPr>
          <w:lang w:val="en-US"/>
        </w:rPr>
        <w:t xml:space="preserve"> </w:t>
      </w:r>
      <w:r w:rsidR="001076F1" w:rsidRPr="004E1B7F">
        <w:rPr>
          <w:lang w:val="en-US"/>
        </w:rPr>
        <w:t>(</w:t>
      </w:r>
      <w:r w:rsidRPr="004E1B7F">
        <w:rPr>
          <w:lang w:val="en-US"/>
        </w:rPr>
        <w:t>(</w:t>
      </w: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x</m:t>
                </m:r>
              </m:sub>
            </m:sSub>
          </m:num>
          <m:den>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j</m:t>
                </m:r>
              </m:sub>
            </m:sSub>
          </m:den>
        </m:f>
      </m:oMath>
      <w:r w:rsidR="00841F9E" w:rsidRPr="004E1B7F">
        <w:rPr>
          <w:iCs/>
          <w:lang w:val="en-US"/>
        </w:rPr>
        <w:t xml:space="preserve"> </w:t>
      </w:r>
      <w:r w:rsidR="00AE5419" w:rsidRPr="00AE5419">
        <w:rPr>
          <w:rFonts w:cs="Times New Roman"/>
          <w:iCs/>
          <w:lang w:val="en-US"/>
        </w:rPr>
        <w:t>≥</w:t>
      </w:r>
      <w:r w:rsidR="00841F9E" w:rsidRPr="004E1B7F">
        <w:rPr>
          <w:iCs/>
          <w:lang w:val="en-US"/>
        </w:rPr>
        <w:t xml:space="preserve"> </w:t>
      </w:r>
      <m:oMath>
        <m:r>
          <m:rPr>
            <m:nor/>
          </m:rPr>
          <w:rPr>
            <w:rFonts w:cs="Times New Roman"/>
            <w:lang w:val="en-US"/>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US"/>
                      </w:rPr>
                      <m:t>M</m:t>
                    </m:r>
                  </m:e>
                  <m:sub>
                    <m:r>
                      <m:rPr>
                        <m:nor/>
                      </m:rPr>
                      <w:rPr>
                        <w:rFonts w:cs="Times New Roman"/>
                        <w:i/>
                        <w:lang w:val="en-US"/>
                      </w:rPr>
                      <m:t>x</m:t>
                    </m:r>
                  </m:sub>
                </m:sSub>
              </m:num>
              <m:den>
                <m:sSub>
                  <m:sSubPr>
                    <m:ctrlPr>
                      <w:rPr>
                        <w:rFonts w:ascii="Cambria Math" w:hAnsi="Cambria Math" w:cs="Times New Roman"/>
                        <w:i/>
                        <w:lang w:val="en-US"/>
                      </w:rPr>
                    </m:ctrlPr>
                  </m:sSubPr>
                  <m:e>
                    <m:r>
                      <m:rPr>
                        <m:nor/>
                      </m:rPr>
                      <w:rPr>
                        <w:rFonts w:cs="Times New Roman"/>
                        <w:i/>
                        <w:lang w:val="en-US"/>
                      </w:rPr>
                      <m:t>M</m:t>
                    </m:r>
                  </m:e>
                  <m:sub>
                    <m:r>
                      <m:rPr>
                        <m:nor/>
                      </m:rPr>
                      <w:rPr>
                        <w:rFonts w:cs="Times New Roman"/>
                        <w:i/>
                        <w:lang w:val="en-US"/>
                      </w:rPr>
                      <m:t>j</m:t>
                    </m:r>
                  </m:sub>
                </m:sSub>
              </m:den>
            </m:f>
            <m:r>
              <m:rPr>
                <m:nor/>
              </m:rPr>
              <w:rPr>
                <w:rFonts w:cs="Times New Roman"/>
                <w:lang w:val="en-US"/>
              </w:rPr>
              <m:t>)</m:t>
            </m:r>
          </m:e>
          <m:sup>
            <m:r>
              <m:rPr>
                <m:nor/>
              </m:rPr>
              <w:rPr>
                <w:rFonts w:cs="Times New Roman"/>
                <w:i/>
                <w:iCs/>
                <w:lang w:val="en-US"/>
              </w:rPr>
              <m:t>f</m:t>
            </m:r>
          </m:sup>
        </m:sSup>
      </m:oMath>
      <w:r w:rsidR="00841F9E" w:rsidRPr="004E1B7F">
        <w:rPr>
          <w:lang w:val="en-US"/>
        </w:rPr>
        <w:t>)</w:t>
      </w:r>
      <w:r w:rsidR="00285F88" w:rsidRPr="004E1B7F">
        <w:rPr>
          <w:lang w:val="en-US"/>
        </w:rPr>
        <w:t>}</w:t>
      </w:r>
    </w:p>
    <w:p w:rsidR="00206973" w:rsidRDefault="00206973" w:rsidP="004932E6">
      <w:pPr>
        <w:pStyle w:val="Text"/>
        <w:ind w:firstLine="0"/>
        <w:jc w:val="left"/>
        <w:rPr>
          <w:lang w:val="en-GB"/>
        </w:rPr>
      </w:pPr>
      <w:r w:rsidRPr="004E1B7F">
        <w:rPr>
          <w:lang w:val="en-US"/>
        </w:rPr>
        <w:t xml:space="preserve">      </w:t>
      </w:r>
      <w:r>
        <w:rPr>
          <w:lang w:val="en-GB"/>
        </w:rPr>
        <w:t>end</w:t>
      </w:r>
    </w:p>
    <w:p w:rsidR="00206973" w:rsidRDefault="00206973" w:rsidP="004932E6">
      <w:pPr>
        <w:pStyle w:val="Text"/>
        <w:keepNext/>
        <w:ind w:firstLine="0"/>
        <w:jc w:val="left"/>
        <w:rPr>
          <w:lang w:val="en-US"/>
        </w:rPr>
      </w:pPr>
      <w:r>
        <w:rPr>
          <w:lang w:val="en-US"/>
        </w:rPr>
        <w:t xml:space="preserve">      if </w:t>
      </w:r>
      <w:r w:rsidRPr="00206973">
        <w:rPr>
          <w:i/>
          <w:lang w:val="en-US"/>
        </w:rPr>
        <w:t>i</w:t>
      </w:r>
      <w:r>
        <w:rPr>
          <w:lang w:val="en-US"/>
        </w:rPr>
        <w:t xml:space="preserve"> = 4</w:t>
      </w:r>
    </w:p>
    <w:p w:rsidR="00A6577B" w:rsidRPr="000B1999" w:rsidRDefault="00A6577B" w:rsidP="004932E6">
      <w:pPr>
        <w:pStyle w:val="Text"/>
        <w:ind w:firstLine="0"/>
        <w:jc w:val="left"/>
        <w:rPr>
          <w:lang w:val="en-US"/>
        </w:rPr>
      </w:pPr>
      <w:r>
        <w:rPr>
          <w:lang w:val="en-US"/>
        </w:rPr>
        <w:t xml:space="preserve">   </w:t>
      </w:r>
      <w:r w:rsidRPr="000B1999">
        <w:rPr>
          <w:lang w:val="en-US"/>
        </w:rPr>
        <w:t xml:space="preserve">      </w:t>
      </w:r>
      <w:r w:rsidRPr="000B1999">
        <w:rPr>
          <w:i/>
          <w:lang w:val="en-US"/>
        </w:rPr>
        <w:t>S</w:t>
      </w:r>
      <w:r w:rsidRPr="000B1999">
        <w:rPr>
          <w:i/>
          <w:vertAlign w:val="subscript"/>
          <w:lang w:val="en-US"/>
        </w:rPr>
        <w:t>j</w:t>
      </w:r>
      <w:r w:rsidRPr="000B1999">
        <w:rPr>
          <w:lang w:val="en-US"/>
        </w:rPr>
        <w:t xml:space="preserve"> := {</w:t>
      </w:r>
      <w:r w:rsidRPr="000B1999">
        <w:rPr>
          <w:i/>
          <w:iCs/>
          <w:lang w:val="en-US"/>
        </w:rPr>
        <w:t>B</w:t>
      </w:r>
      <w:r w:rsidRPr="000B1999">
        <w:rPr>
          <w:i/>
          <w:iCs/>
          <w:vertAlign w:val="subscript"/>
          <w:lang w:val="en-US"/>
        </w:rPr>
        <w:t>x</w:t>
      </w:r>
      <w:r w:rsidRPr="000B1999">
        <w:rPr>
          <w:lang w:val="en-US"/>
        </w:rPr>
        <w:t xml:space="preserve"> </w:t>
      </w:r>
      <w:r w:rsidRPr="00A14D47">
        <w:rPr>
          <w:rFonts w:ascii="Cambria Math" w:eastAsia="Arial Unicode MS" w:hAnsi="Cambria Math" w:cs="Arial Unicode MS"/>
          <w:lang w:val="en-US"/>
        </w:rPr>
        <w:t>∊</w:t>
      </w:r>
      <w:r w:rsidRPr="000B1999">
        <w:rPr>
          <w:i/>
          <w:iCs/>
          <w:lang w:val="en-US"/>
        </w:rPr>
        <w:t xml:space="preserve"> B</w:t>
      </w:r>
      <w:r w:rsidRPr="000B1999">
        <w:rPr>
          <w:lang w:val="en-US"/>
        </w:rPr>
        <w:t xml:space="preserve"> | (</w:t>
      </w:r>
      <w:r w:rsidRPr="000B1999">
        <w:rPr>
          <w:i/>
          <w:iCs/>
          <w:lang w:val="en-US"/>
        </w:rPr>
        <w:t>U</w:t>
      </w:r>
      <w:r w:rsidRPr="000B1999">
        <w:rPr>
          <w:iCs/>
          <w:lang w:val="en-US"/>
        </w:rPr>
        <w:t>(</w:t>
      </w:r>
      <w:r w:rsidRPr="000B1999">
        <w:rPr>
          <w:i/>
          <w:iCs/>
          <w:lang w:val="en-US"/>
        </w:rPr>
        <w:t>B</w:t>
      </w:r>
      <w:r w:rsidRPr="000B1999">
        <w:rPr>
          <w:i/>
          <w:iCs/>
          <w:vertAlign w:val="subscript"/>
          <w:lang w:val="en-US"/>
        </w:rPr>
        <w:t>j</w:t>
      </w:r>
      <w:r w:rsidRPr="000B1999">
        <w:rPr>
          <w:iCs/>
          <w:lang w:val="en-US"/>
        </w:rPr>
        <w:t xml:space="preserve">) </w:t>
      </w:r>
      <w:r w:rsidRPr="000B1999">
        <w:rPr>
          <w:lang w:val="en-US"/>
        </w:rPr>
        <w:t xml:space="preserve">= </w:t>
      </w:r>
      <w:r w:rsidRPr="000B1999">
        <w:rPr>
          <w:i/>
          <w:iCs/>
          <w:lang w:val="en-US"/>
        </w:rPr>
        <w:t>U</w:t>
      </w:r>
      <w:r w:rsidRPr="000B1999">
        <w:rPr>
          <w:lang w:val="en-US"/>
        </w:rPr>
        <w:t>(</w:t>
      </w:r>
      <w:r w:rsidRPr="000B1999">
        <w:rPr>
          <w:i/>
          <w:iCs/>
          <w:lang w:val="en-US"/>
        </w:rPr>
        <w:t>B</w:t>
      </w:r>
      <w:r w:rsidRPr="000B1999">
        <w:rPr>
          <w:i/>
          <w:iCs/>
          <w:vertAlign w:val="subscript"/>
          <w:lang w:val="en-US"/>
        </w:rPr>
        <w:t>x</w:t>
      </w:r>
      <w:r w:rsidRPr="000B1999">
        <w:rPr>
          <w:lang w:val="en-US"/>
        </w:rPr>
        <w:t xml:space="preserve">)) </w:t>
      </w:r>
      <w:r w:rsidRPr="000B1999">
        <w:rPr>
          <w:rFonts w:ascii="Cambria Math" w:hAnsi="Cambria Math" w:cs="Cambria Math"/>
          <w:color w:val="000000" w:themeColor="text1"/>
          <w:lang w:val="en-US"/>
        </w:rPr>
        <w:t>∧</w:t>
      </w:r>
      <w:r w:rsidRPr="000B1999">
        <w:rPr>
          <w:lang w:val="en-US"/>
        </w:rPr>
        <w:t xml:space="preserve"> (</w:t>
      </w:r>
      <w:r w:rsidRPr="000B1999">
        <w:rPr>
          <w:i/>
          <w:iCs/>
          <w:lang w:val="en-US"/>
        </w:rPr>
        <w:t>V</w:t>
      </w:r>
      <w:r w:rsidRPr="000B1999">
        <w:rPr>
          <w:iCs/>
          <w:lang w:val="en-US"/>
        </w:rPr>
        <w:t>(</w:t>
      </w:r>
      <w:r w:rsidRPr="000B1999">
        <w:rPr>
          <w:i/>
          <w:iCs/>
          <w:lang w:val="en-US"/>
        </w:rPr>
        <w:t>B</w:t>
      </w:r>
      <w:r w:rsidRPr="000B1999">
        <w:rPr>
          <w:i/>
          <w:iCs/>
          <w:vertAlign w:val="subscript"/>
          <w:lang w:val="en-US"/>
        </w:rPr>
        <w:t>j</w:t>
      </w:r>
      <w:r w:rsidRPr="000B1999">
        <w:rPr>
          <w:iCs/>
          <w:lang w:val="en-US"/>
        </w:rPr>
        <w:t>)</w:t>
      </w:r>
      <w:r w:rsidRPr="000B1999">
        <w:rPr>
          <w:lang w:val="en-US"/>
        </w:rPr>
        <w:t xml:space="preserve"> </w:t>
      </w:r>
      <w:r w:rsidR="009C75CC" w:rsidRPr="00A14D47">
        <w:rPr>
          <w:rFonts w:ascii="Cambria Math" w:eastAsia="Arial Unicode MS" w:hAnsi="Cambria Math" w:cs="Arial Unicode MS"/>
          <w:lang w:val="en-US"/>
        </w:rPr>
        <w:t>⊂</w:t>
      </w:r>
      <w:r w:rsidRPr="000B1999">
        <w:rPr>
          <w:lang w:val="en-US"/>
        </w:rPr>
        <w:t xml:space="preserve"> </w:t>
      </w:r>
      <w:r w:rsidRPr="000B1999">
        <w:rPr>
          <w:i/>
          <w:iCs/>
          <w:lang w:val="en-US"/>
        </w:rPr>
        <w:t>V</w:t>
      </w:r>
      <w:r w:rsidRPr="000B1999">
        <w:rPr>
          <w:lang w:val="en-US"/>
        </w:rPr>
        <w:t>(</w:t>
      </w:r>
      <w:r w:rsidRPr="000B1999">
        <w:rPr>
          <w:i/>
          <w:iCs/>
          <w:lang w:val="en-US"/>
        </w:rPr>
        <w:t>B</w:t>
      </w:r>
      <w:r w:rsidRPr="000B1999">
        <w:rPr>
          <w:i/>
          <w:iCs/>
          <w:vertAlign w:val="subscript"/>
          <w:lang w:val="en-US"/>
        </w:rPr>
        <w:t>x</w:t>
      </w:r>
      <w:r w:rsidRPr="000B1999">
        <w:rPr>
          <w:lang w:val="en-US"/>
        </w:rPr>
        <w:t xml:space="preserve">)) </w:t>
      </w:r>
      <w:r w:rsidRPr="000B1999">
        <w:rPr>
          <w:rFonts w:ascii="Cambria Math" w:hAnsi="Cambria Math" w:cs="Cambria Math"/>
          <w:color w:val="000000" w:themeColor="text1"/>
          <w:lang w:val="en-US"/>
        </w:rPr>
        <w:t>∧</w:t>
      </w:r>
      <w:r w:rsidRPr="000B1999">
        <w:rPr>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j</m:t>
                </m:r>
              </m:sub>
            </m:sSub>
          </m:num>
          <m:den>
            <m:sSub>
              <m:sSubPr>
                <m:ctrlPr>
                  <w:rPr>
                    <w:rFonts w:ascii="Cambria Math" w:hAnsi="Cambria Math" w:cs="Times New Roman"/>
                    <w:i/>
                    <w:lang w:val="en-US"/>
                  </w:rPr>
                </m:ctrlPr>
              </m:sSubPr>
              <m:e>
                <m:r>
                  <m:rPr>
                    <m:nor/>
                  </m:rPr>
                  <w:rPr>
                    <w:rFonts w:cs="Times New Roman"/>
                    <w:i/>
                    <w:lang w:val="en-US"/>
                  </w:rPr>
                  <m:t>N</m:t>
                </m:r>
              </m:e>
              <m:sub>
                <m:r>
                  <m:rPr>
                    <m:nor/>
                  </m:rPr>
                  <w:rPr>
                    <w:rFonts w:cs="Times New Roman"/>
                    <w:i/>
                    <w:lang w:val="en-US"/>
                  </w:rPr>
                  <m:t>x</m:t>
                </m:r>
              </m:sub>
            </m:sSub>
          </m:den>
        </m:f>
      </m:oMath>
      <w:r w:rsidR="00FE7E24" w:rsidRPr="00FE7E24">
        <w:rPr>
          <w:iCs/>
          <w:lang w:val="en-US"/>
        </w:rPr>
        <w:t xml:space="preserve"> </w:t>
      </w:r>
      <w:r w:rsidR="00FE7E24" w:rsidRPr="00FE7E24">
        <w:rPr>
          <w:rFonts w:cs="Times New Roman"/>
          <w:iCs/>
          <w:lang w:val="en-US"/>
        </w:rPr>
        <w:t>&gt;</w:t>
      </w:r>
      <w:r w:rsidR="00FE7E24" w:rsidRPr="00FE7E24">
        <w:rPr>
          <w:iCs/>
          <w:lang w:val="en-US"/>
        </w:rPr>
        <w:t xml:space="preserve"> </w:t>
      </w:r>
      <m:oMath>
        <m:r>
          <m:rPr>
            <m:nor/>
          </m:rPr>
          <w:rPr>
            <w:rFonts w:cs="Times New Roman"/>
            <w:lang w:val="en-GB"/>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lang w:val="en-GB"/>
                      </w:rPr>
                      <m:t>w</m:t>
                    </m:r>
                    <m:r>
                      <m:rPr>
                        <m:nor/>
                      </m:rPr>
                      <w:rPr>
                        <w:rFonts w:cs="Times New Roman"/>
                        <w:lang w:val="en-GB"/>
                      </w:rPr>
                      <m:t>(</m:t>
                    </m:r>
                    <m:r>
                      <m:rPr>
                        <m:nor/>
                      </m:rPr>
                      <w:rPr>
                        <w:rFonts w:cs="Times New Roman"/>
                        <w:i/>
                        <w:lang w:val="en-GB"/>
                      </w:rPr>
                      <m:t>B</m:t>
                    </m:r>
                  </m:e>
                  <m:sub>
                    <m:r>
                      <m:rPr>
                        <m:nor/>
                      </m:rPr>
                      <w:rPr>
                        <w:rFonts w:cs="Times New Roman"/>
                        <w:i/>
                        <w:lang w:val="en-GB"/>
                      </w:rPr>
                      <m:t>x</m:t>
                    </m:r>
                  </m:sub>
                </m:sSub>
                <m:r>
                  <m:rPr>
                    <m:nor/>
                  </m:rPr>
                  <w:rPr>
                    <w:rFonts w:cs="Times New Roman"/>
                    <w:lang w:val="en-GB"/>
                  </w:rPr>
                  <m:t>)</m:t>
                </m:r>
              </m:num>
              <m:den>
                <m:sSub>
                  <m:sSubPr>
                    <m:ctrlPr>
                      <w:rPr>
                        <w:rFonts w:ascii="Cambria Math" w:hAnsi="Cambria Math" w:cs="Times New Roman"/>
                        <w:i/>
                        <w:lang w:val="en-US"/>
                      </w:rPr>
                    </m:ctrlPr>
                  </m:sSubPr>
                  <m:e>
                    <m:r>
                      <m:rPr>
                        <m:nor/>
                      </m:rPr>
                      <w:rPr>
                        <w:rFonts w:cs="Times New Roman"/>
                        <w:i/>
                        <w:lang w:val="en-GB"/>
                      </w:rPr>
                      <m:t>w</m:t>
                    </m:r>
                    <m:r>
                      <m:rPr>
                        <m:nor/>
                      </m:rPr>
                      <w:rPr>
                        <w:rFonts w:cs="Times New Roman"/>
                        <w:lang w:val="en-GB"/>
                      </w:rPr>
                      <m:t>(</m:t>
                    </m:r>
                    <m:r>
                      <m:rPr>
                        <m:nor/>
                      </m:rPr>
                      <w:rPr>
                        <w:rFonts w:cs="Times New Roman"/>
                        <w:i/>
                        <w:lang w:val="en-GB"/>
                      </w:rPr>
                      <m:t>B</m:t>
                    </m:r>
                  </m:e>
                  <m:sub>
                    <m:r>
                      <m:rPr>
                        <m:nor/>
                      </m:rPr>
                      <w:rPr>
                        <w:rFonts w:cs="Times New Roman"/>
                        <w:i/>
                        <w:lang w:val="en-GB"/>
                      </w:rPr>
                      <m:t>j</m:t>
                    </m:r>
                  </m:sub>
                </m:sSub>
                <m:r>
                  <m:rPr>
                    <m:nor/>
                  </m:rPr>
                  <w:rPr>
                    <w:rFonts w:cs="Times New Roman"/>
                    <w:lang w:val="en-GB"/>
                  </w:rPr>
                  <m:t>)</m:t>
                </m:r>
              </m:den>
            </m:f>
            <m:r>
              <m:rPr>
                <m:nor/>
              </m:rPr>
              <w:rPr>
                <w:rFonts w:cs="Times New Roman"/>
                <w:lang w:val="en-GB"/>
              </w:rPr>
              <m:t>)</m:t>
            </m:r>
          </m:e>
          <m:sup>
            <m:r>
              <m:rPr>
                <m:nor/>
              </m:rPr>
              <w:rPr>
                <w:rFonts w:cs="Times New Roman"/>
                <w:i/>
                <w:iCs/>
                <w:lang w:val="en-GB"/>
              </w:rPr>
              <m:t>f</m:t>
            </m:r>
          </m:sup>
        </m:sSup>
      </m:oMath>
      <w:r w:rsidR="00841F9E" w:rsidRPr="00206973">
        <w:rPr>
          <w:lang w:val="en-GB"/>
        </w:rPr>
        <w:t>)</w:t>
      </w:r>
      <w:r w:rsidR="00285F88" w:rsidRPr="004E1B7F">
        <w:rPr>
          <w:lang w:val="en-US"/>
        </w:rPr>
        <w:t>}</w:t>
      </w:r>
    </w:p>
    <w:p w:rsidR="0090622C" w:rsidRPr="004E1B7F" w:rsidRDefault="0090622C" w:rsidP="000762B4">
      <w:pPr>
        <w:pStyle w:val="Text"/>
        <w:ind w:hanging="369"/>
        <w:jc w:val="left"/>
        <w:rPr>
          <w:color w:val="000000" w:themeColor="text1"/>
          <w:lang w:val="en-US"/>
        </w:rPr>
      </w:pPr>
      <w:r w:rsidRPr="004932E6">
        <w:rPr>
          <w:sz w:val="16"/>
          <w:szCs w:val="16"/>
          <w:lang w:val="en-US"/>
        </w:rPr>
        <w:t>15</w:t>
      </w:r>
      <w:r w:rsidRPr="004E1B7F">
        <w:rPr>
          <w:lang w:val="en-US"/>
        </w:rPr>
        <w:tab/>
        <w:t xml:space="preserve">      </w:t>
      </w:r>
      <w:r>
        <w:rPr>
          <w:lang w:val="en-US"/>
        </w:rPr>
        <w:t>end</w:t>
      </w:r>
    </w:p>
    <w:p w:rsidR="00D2554C" w:rsidRDefault="00D2554C" w:rsidP="004932E6">
      <w:pPr>
        <w:pStyle w:val="Text"/>
        <w:ind w:firstLine="0"/>
        <w:jc w:val="left"/>
        <w:rPr>
          <w:lang w:val="en-GB"/>
        </w:rPr>
      </w:pPr>
      <w:r w:rsidRPr="00206973">
        <w:rPr>
          <w:lang w:val="en-US"/>
        </w:rPr>
        <w:t xml:space="preserve">   </w:t>
      </w:r>
      <w:r>
        <w:rPr>
          <w:lang w:val="en-GB"/>
        </w:rPr>
        <w:t>end</w:t>
      </w:r>
    </w:p>
    <w:p w:rsidR="00D2554C" w:rsidRDefault="00D2554C" w:rsidP="004932E6">
      <w:pPr>
        <w:pStyle w:val="Text"/>
        <w:ind w:firstLine="0"/>
        <w:jc w:val="left"/>
        <w:rPr>
          <w:lang w:val="en-GB"/>
        </w:rPr>
      </w:pPr>
      <w:r>
        <w:rPr>
          <w:lang w:val="en-GB"/>
        </w:rPr>
        <w:t xml:space="preserve">   </w:t>
      </w:r>
      <w:r>
        <w:rPr>
          <w:i/>
          <w:iCs/>
          <w:lang w:val="en-GB"/>
        </w:rPr>
        <w:t>T</w:t>
      </w:r>
      <w:r>
        <w:rPr>
          <w:lang w:val="en-GB"/>
        </w:rPr>
        <w:t xml:space="preserve"> := </w:t>
      </w:r>
      <w:r w:rsidRPr="001F545B">
        <w:rPr>
          <w:i/>
          <w:lang w:val="en-US"/>
        </w:rPr>
        <w:t>S</w:t>
      </w:r>
      <w:r w:rsidRPr="001F545B">
        <w:rPr>
          <w:iCs/>
          <w:vertAlign w:val="subscript"/>
          <w:lang w:val="en-US"/>
        </w:rPr>
        <w:t>1</w:t>
      </w:r>
      <w:r w:rsidRPr="001F545B">
        <w:rPr>
          <w:lang w:val="en-US"/>
        </w:rPr>
        <w:t xml:space="preserve"> </w:t>
      </w:r>
      <w:r w:rsidR="00A14D47" w:rsidRPr="00E535E0">
        <w:rPr>
          <w:rFonts w:ascii="Cambria Math" w:eastAsia="Arial Unicode MS" w:hAnsi="Cambria Math" w:cs="Arial Unicode MS"/>
          <w:color w:val="000000" w:themeColor="text1"/>
          <w:lang w:val="en-US"/>
        </w:rPr>
        <w:t>∪</w:t>
      </w:r>
      <w:r>
        <w:rPr>
          <w:lang w:val="en-GB"/>
        </w:rPr>
        <w:t xml:space="preserve"> </w:t>
      </w:r>
      <w:r w:rsidRPr="001F545B">
        <w:rPr>
          <w:i/>
          <w:lang w:val="en-US"/>
        </w:rPr>
        <w:t>S</w:t>
      </w:r>
      <w:r w:rsidRPr="001F545B">
        <w:rPr>
          <w:iCs/>
          <w:vertAlign w:val="subscript"/>
          <w:lang w:val="en-US"/>
        </w:rPr>
        <w:t>2</w:t>
      </w:r>
      <w:r w:rsidRPr="001F545B">
        <w:rPr>
          <w:lang w:val="en-US"/>
        </w:rPr>
        <w:t xml:space="preserve"> </w:t>
      </w:r>
      <w:r w:rsidR="00A14D47" w:rsidRPr="00E535E0">
        <w:rPr>
          <w:rFonts w:ascii="Cambria Math" w:eastAsia="Arial Unicode MS" w:hAnsi="Cambria Math" w:cs="Arial Unicode MS"/>
          <w:color w:val="000000" w:themeColor="text1"/>
          <w:lang w:val="en-US"/>
        </w:rPr>
        <w:t>∪</w:t>
      </w:r>
      <w:r>
        <w:rPr>
          <w:lang w:val="en-GB"/>
        </w:rPr>
        <w:t xml:space="preserve"> </w:t>
      </w:r>
      <w:r w:rsidRPr="00A14D47">
        <w:rPr>
          <w:lang w:val="en-US"/>
        </w:rPr>
        <w:t>…</w:t>
      </w:r>
      <w:r w:rsidRPr="001F545B">
        <w:rPr>
          <w:lang w:val="en-US"/>
        </w:rPr>
        <w:t xml:space="preserve"> </w:t>
      </w:r>
      <w:r w:rsidR="00A14D47" w:rsidRPr="00E535E0">
        <w:rPr>
          <w:rFonts w:ascii="Cambria Math" w:eastAsia="Arial Unicode MS" w:hAnsi="Cambria Math" w:cs="Arial Unicode MS"/>
          <w:color w:val="000000" w:themeColor="text1"/>
          <w:lang w:val="en-US"/>
        </w:rPr>
        <w:t>∪</w:t>
      </w:r>
      <w:r>
        <w:rPr>
          <w:lang w:val="en-GB"/>
        </w:rPr>
        <w:t xml:space="preserve"> </w:t>
      </w:r>
      <w:r w:rsidRPr="001F545B">
        <w:rPr>
          <w:i/>
          <w:lang w:val="en-US"/>
        </w:rPr>
        <w:t>S</w:t>
      </w:r>
      <w:r w:rsidRPr="001F545B">
        <w:rPr>
          <w:iCs/>
          <w:vertAlign w:val="subscript"/>
          <w:lang w:val="en-US"/>
        </w:rPr>
        <w:t>|</w:t>
      </w:r>
      <w:r w:rsidRPr="001F545B">
        <w:rPr>
          <w:i/>
          <w:vertAlign w:val="subscript"/>
          <w:lang w:val="en-US"/>
        </w:rPr>
        <w:t>B</w:t>
      </w:r>
      <w:r w:rsidRPr="001F545B">
        <w:rPr>
          <w:iCs/>
          <w:vertAlign w:val="subscript"/>
          <w:lang w:val="en-US"/>
        </w:rPr>
        <w:t>|</w:t>
      </w:r>
    </w:p>
    <w:p w:rsidR="00D2554C" w:rsidRDefault="00D2554C" w:rsidP="004932E6">
      <w:pPr>
        <w:pStyle w:val="Text"/>
        <w:ind w:firstLine="0"/>
        <w:jc w:val="left"/>
        <w:rPr>
          <w:lang w:val="en-GB"/>
        </w:rPr>
      </w:pPr>
      <w:r>
        <w:rPr>
          <w:lang w:val="en-GB"/>
        </w:rPr>
        <w:t xml:space="preserve">   </w:t>
      </w:r>
      <w:r w:rsidR="00B21A8D">
        <w:rPr>
          <w:i/>
          <w:iCs/>
          <w:lang w:val="en-GB"/>
        </w:rPr>
        <w:t>B'</w:t>
      </w:r>
      <w:r>
        <w:rPr>
          <w:lang w:val="en-GB"/>
        </w:rPr>
        <w:t xml:space="preserve"> := </w:t>
      </w:r>
      <w:r w:rsidR="00C82399">
        <w:rPr>
          <w:i/>
          <w:iCs/>
          <w:lang w:val="en-GB"/>
        </w:rPr>
        <w:t>B</w:t>
      </w:r>
    </w:p>
    <w:p w:rsidR="00D2554C" w:rsidRDefault="00D2554C" w:rsidP="004932E6">
      <w:pPr>
        <w:pStyle w:val="Text"/>
        <w:ind w:firstLine="0"/>
        <w:jc w:val="left"/>
        <w:rPr>
          <w:lang w:val="en-GB"/>
        </w:rPr>
      </w:pPr>
      <w:r>
        <w:rPr>
          <w:lang w:val="en-GB"/>
        </w:rPr>
        <w:t xml:space="preserve">   for </w:t>
      </w:r>
      <w:r>
        <w:rPr>
          <w:i/>
          <w:iCs/>
          <w:lang w:val="en-GB"/>
        </w:rPr>
        <w:t>j</w:t>
      </w:r>
      <w:r>
        <w:rPr>
          <w:lang w:val="en-GB"/>
        </w:rPr>
        <w:t xml:space="preserve"> := 1 to |</w:t>
      </w:r>
      <w:r w:rsidR="00B21A8D">
        <w:rPr>
          <w:i/>
          <w:iCs/>
          <w:lang w:val="en-GB"/>
        </w:rPr>
        <w:t>B'</w:t>
      </w:r>
      <w:r>
        <w:rPr>
          <w:lang w:val="en-GB"/>
        </w:rPr>
        <w:t>|</w:t>
      </w:r>
    </w:p>
    <w:p w:rsidR="0090622C" w:rsidRPr="007665B8" w:rsidRDefault="0090622C" w:rsidP="000762B4">
      <w:pPr>
        <w:pStyle w:val="Text"/>
        <w:ind w:hanging="369"/>
        <w:jc w:val="left"/>
        <w:rPr>
          <w:color w:val="000000" w:themeColor="text1"/>
          <w:lang w:val="en-US"/>
        </w:rPr>
      </w:pPr>
      <w:r w:rsidRPr="004932E6">
        <w:rPr>
          <w:sz w:val="16"/>
          <w:szCs w:val="16"/>
          <w:lang w:val="en-US"/>
        </w:rPr>
        <w:t>20</w:t>
      </w:r>
      <w:r w:rsidRPr="007665B8">
        <w:rPr>
          <w:lang w:val="en-US"/>
        </w:rPr>
        <w:tab/>
      </w:r>
      <w:r>
        <w:rPr>
          <w:lang w:val="en-GB"/>
        </w:rPr>
        <w:t xml:space="preserve">      if </w:t>
      </w:r>
      <w:r w:rsidR="00B21A8D">
        <w:rPr>
          <w:i/>
          <w:iCs/>
          <w:lang w:val="en-GB"/>
        </w:rPr>
        <w:t>B'</w:t>
      </w:r>
      <w:r w:rsidRPr="00706A0F">
        <w:rPr>
          <w:i/>
          <w:vertAlign w:val="subscript"/>
          <w:lang w:val="en-US"/>
        </w:rPr>
        <w:t>j</w:t>
      </w:r>
      <w:r>
        <w:rPr>
          <w:lang w:val="en-GB"/>
        </w:rPr>
        <w:t xml:space="preserve"> </w:t>
      </w:r>
      <w:r w:rsidRPr="00E235A0">
        <w:rPr>
          <w:rFonts w:ascii="Cambria Math" w:eastAsia="Arial Unicode MS" w:hAnsi="Cambria Math" w:cs="Arial Unicode MS"/>
          <w:lang w:val="en-US"/>
        </w:rPr>
        <w:t>∉</w:t>
      </w:r>
      <w:r>
        <w:rPr>
          <w:lang w:val="en-GB"/>
        </w:rPr>
        <w:t xml:space="preserve"> </w:t>
      </w:r>
      <w:r>
        <w:rPr>
          <w:i/>
          <w:iCs/>
          <w:lang w:val="en-GB"/>
        </w:rPr>
        <w:t>T</w:t>
      </w:r>
    </w:p>
    <w:p w:rsidR="00D2554C" w:rsidRDefault="00D2554C" w:rsidP="004932E6">
      <w:pPr>
        <w:pStyle w:val="Text"/>
        <w:ind w:firstLine="0"/>
        <w:jc w:val="left"/>
        <w:rPr>
          <w:lang w:val="en-GB"/>
        </w:rPr>
      </w:pPr>
      <w:r>
        <w:rPr>
          <w:lang w:val="en-GB"/>
        </w:rPr>
        <w:t xml:space="preserve">         </w:t>
      </w:r>
      <w:r w:rsidR="00B21A8D">
        <w:rPr>
          <w:i/>
          <w:iCs/>
          <w:lang w:val="en-GB"/>
        </w:rPr>
        <w:t>B</w:t>
      </w:r>
      <w:r>
        <w:rPr>
          <w:lang w:val="en-GB"/>
        </w:rPr>
        <w:t xml:space="preserve"> := </w:t>
      </w:r>
      <w:r w:rsidR="00B21A8D">
        <w:rPr>
          <w:i/>
          <w:iCs/>
          <w:lang w:val="en-GB"/>
        </w:rPr>
        <w:t>B</w:t>
      </w:r>
      <w:r>
        <w:rPr>
          <w:lang w:val="en-GB"/>
        </w:rPr>
        <w:t xml:space="preserve"> \ </w:t>
      </w:r>
      <w:r w:rsidRPr="00706A0F">
        <w:rPr>
          <w:i/>
          <w:lang w:val="en-US"/>
        </w:rPr>
        <w:t>S</w:t>
      </w:r>
      <w:r w:rsidRPr="00706A0F">
        <w:rPr>
          <w:i/>
          <w:vertAlign w:val="subscript"/>
          <w:lang w:val="en-US"/>
        </w:rPr>
        <w:t>j</w:t>
      </w:r>
    </w:p>
    <w:p w:rsidR="00D2554C" w:rsidRDefault="00D2554C" w:rsidP="004932E6">
      <w:pPr>
        <w:pStyle w:val="Text"/>
        <w:ind w:firstLine="0"/>
        <w:jc w:val="left"/>
        <w:rPr>
          <w:lang w:val="en-GB"/>
        </w:rPr>
      </w:pPr>
      <w:r>
        <w:rPr>
          <w:lang w:val="en-GB"/>
        </w:rPr>
        <w:lastRenderedPageBreak/>
        <w:t xml:space="preserve">      end</w:t>
      </w:r>
    </w:p>
    <w:p w:rsidR="00D2554C" w:rsidRDefault="00D2554C" w:rsidP="004932E6">
      <w:pPr>
        <w:pStyle w:val="Text"/>
        <w:ind w:firstLine="0"/>
        <w:jc w:val="left"/>
        <w:rPr>
          <w:lang w:val="en-US"/>
        </w:rPr>
      </w:pPr>
      <w:r>
        <w:rPr>
          <w:lang w:val="en-GB"/>
        </w:rPr>
        <w:t xml:space="preserve">   </w:t>
      </w:r>
      <w:r w:rsidRPr="00BD3503">
        <w:rPr>
          <w:lang w:val="en-US"/>
        </w:rPr>
        <w:t>end</w:t>
      </w:r>
    </w:p>
    <w:p w:rsidR="00B21A8D" w:rsidRDefault="00B21A8D" w:rsidP="004932E6">
      <w:pPr>
        <w:pStyle w:val="Text"/>
        <w:ind w:firstLine="0"/>
        <w:jc w:val="left"/>
        <w:rPr>
          <w:lang w:val="en-US"/>
        </w:rPr>
      </w:pPr>
      <w:r w:rsidRPr="005D3FCE">
        <w:rPr>
          <w:lang w:val="en-US"/>
        </w:rPr>
        <w:t xml:space="preserve">   return </w:t>
      </w:r>
      <w:r w:rsidRPr="005D3FCE">
        <w:rPr>
          <w:i/>
          <w:lang w:val="en-US"/>
        </w:rPr>
        <w:t>B</w:t>
      </w:r>
    </w:p>
    <w:p w:rsidR="00D2554C" w:rsidRPr="00A64A9C" w:rsidRDefault="0090622C" w:rsidP="00955306">
      <w:pPr>
        <w:pStyle w:val="Text"/>
        <w:ind w:hanging="369"/>
        <w:jc w:val="left"/>
        <w:rPr>
          <w:lang w:val="en-US"/>
        </w:rPr>
      </w:pPr>
      <w:r w:rsidRPr="00A64A9C">
        <w:rPr>
          <w:sz w:val="16"/>
          <w:szCs w:val="16"/>
          <w:lang w:val="en-US"/>
        </w:rPr>
        <w:t>25</w:t>
      </w:r>
      <w:r w:rsidRPr="00A64A9C">
        <w:rPr>
          <w:lang w:val="en-US"/>
        </w:rPr>
        <w:tab/>
      </w:r>
      <w:r w:rsidR="00B21A8D" w:rsidRPr="00A64A9C">
        <w:rPr>
          <w:lang w:val="en-US"/>
        </w:rPr>
        <w:t>end function</w:t>
      </w:r>
    </w:p>
    <w:p w:rsidR="00C43311" w:rsidRPr="00A64A9C" w:rsidRDefault="00093341" w:rsidP="003359E6">
      <w:pPr>
        <w:pStyle w:val="Zwischenberschrift"/>
        <w:spacing w:before="360"/>
        <w:rPr>
          <w:lang w:val="en-US"/>
        </w:rPr>
      </w:pPr>
      <w:r w:rsidRPr="00A64A9C">
        <w:rPr>
          <w:lang w:val="en-US"/>
        </w:rPr>
        <w:t>Erläuterung</w:t>
      </w:r>
    </w:p>
    <w:p w:rsidR="00C43311" w:rsidRDefault="00C43311" w:rsidP="003359E6">
      <w:pPr>
        <w:pStyle w:val="Text"/>
        <w:ind w:firstLine="0"/>
      </w:pPr>
      <w:r>
        <w:t xml:space="preserve">Zeile 1 gibt den Namen der Funktion an, die die Parameter </w:t>
      </w:r>
      <w:r>
        <w:rPr>
          <w:i/>
          <w:iCs/>
        </w:rPr>
        <w:t>B</w:t>
      </w:r>
      <w:r>
        <w:t xml:space="preserve">, </w:t>
      </w:r>
      <w:r w:rsidRPr="00D22402">
        <w:rPr>
          <w:i/>
        </w:rPr>
        <w:t>M</w:t>
      </w:r>
      <w:r>
        <w:t xml:space="preserve">, </w:t>
      </w:r>
      <w:r>
        <w:rPr>
          <w:i/>
        </w:rPr>
        <w:t>N</w:t>
      </w:r>
      <w:r>
        <w:t xml:space="preserve"> und </w:t>
      </w:r>
      <w:r w:rsidRPr="00C43311">
        <w:rPr>
          <w:i/>
        </w:rPr>
        <w:t>i</w:t>
      </w:r>
      <w:r>
        <w:t xml:space="preserve"> erhält.</w:t>
      </w:r>
    </w:p>
    <w:p w:rsidR="00C43311" w:rsidRDefault="00C43311">
      <w:pPr>
        <w:pStyle w:val="Text"/>
      </w:pPr>
      <w:r>
        <w:t xml:space="preserve">In Zeile 2 </w:t>
      </w:r>
      <w:r w:rsidR="008522D4">
        <w:t xml:space="preserve">wird </w:t>
      </w:r>
      <w:r w:rsidR="0038326D">
        <w:t xml:space="preserve">mit Hilfe der Funktion </w:t>
      </w:r>
      <w:r w:rsidR="0038326D" w:rsidRPr="0038326D">
        <w:rPr>
          <w:i/>
        </w:rPr>
        <w:t>Auswahl</w:t>
      </w:r>
      <w:r w:rsidR="0038326D">
        <w:t xml:space="preserve"> </w:t>
      </w:r>
      <w:r w:rsidR="008522D4">
        <w:t xml:space="preserve">ein Toleranzfaktor </w:t>
      </w:r>
      <w:r w:rsidR="008522D4" w:rsidRPr="008522D4">
        <w:rPr>
          <w:i/>
        </w:rPr>
        <w:t>f</w:t>
      </w:r>
      <w:r w:rsidR="008522D4">
        <w:t xml:space="preserve"> g</w:t>
      </w:r>
      <w:r w:rsidR="008522D4">
        <w:t>e</w:t>
      </w:r>
      <w:r w:rsidR="008522D4">
        <w:t xml:space="preserve">wählt, der bestimmt, wie stark die Beeinflussung durch eine andere </w:t>
      </w:r>
      <w:r w:rsidR="0038326D">
        <w:t xml:space="preserve">Regel </w:t>
      </w:r>
      <w:r w:rsidR="008522D4">
        <w:t>sein darf.</w:t>
      </w:r>
      <w:r w:rsidR="00D36BD4">
        <w:t xml:space="preserve"> </w:t>
      </w:r>
      <w:r w:rsidR="00D36BD4" w:rsidRPr="008522D4">
        <w:rPr>
          <w:i/>
        </w:rPr>
        <w:t>f</w:t>
      </w:r>
      <w:r w:rsidR="00D36BD4">
        <w:t xml:space="preserve"> muss eine rationale Zahl größer 1 sein.</w:t>
      </w:r>
    </w:p>
    <w:p w:rsidR="00454E4D" w:rsidRDefault="00454E4D" w:rsidP="00454E4D">
      <w:pPr>
        <w:pStyle w:val="Text"/>
      </w:pPr>
      <w:r w:rsidRPr="00DB0613">
        <w:t xml:space="preserve">Zeile </w:t>
      </w:r>
      <w:r>
        <w:t xml:space="preserve">3 </w:t>
      </w:r>
      <w:r w:rsidRPr="00DB0613">
        <w:t xml:space="preserve">gibt an, dass die eingerückt folgende Schleife für die Variable </w:t>
      </w:r>
      <w:r w:rsidRPr="00DB0613">
        <w:rPr>
          <w:i/>
          <w:iCs/>
        </w:rPr>
        <w:t>j</w:t>
      </w:r>
      <w:r w:rsidRPr="00DB0613">
        <w:t xml:space="preserve"> von 1 bis zur Anzahl der Elemente von </w:t>
      </w:r>
      <w:r>
        <w:rPr>
          <w:i/>
          <w:iCs/>
        </w:rPr>
        <w:t>B</w:t>
      </w:r>
      <w:r w:rsidRPr="00DB0613">
        <w:t xml:space="preserve"> ausgeführt wird.</w:t>
      </w:r>
    </w:p>
    <w:p w:rsidR="008522D4" w:rsidRDefault="008522D4" w:rsidP="008522D4">
      <w:pPr>
        <w:pStyle w:val="Text"/>
      </w:pPr>
      <w:r>
        <w:t xml:space="preserve">Zeile 4 gibt an, dass die eingerückt </w:t>
      </w:r>
      <w:r w:rsidR="003370D4">
        <w:t>folgende Anweisung</w:t>
      </w:r>
      <w:r>
        <w:t xml:space="preserve"> für </w:t>
      </w:r>
      <w:r w:rsidRPr="008522D4">
        <w:rPr>
          <w:i/>
        </w:rPr>
        <w:t>i</w:t>
      </w:r>
      <w:r>
        <w:t xml:space="preserve"> = 1 ausgeführt wird.</w:t>
      </w:r>
    </w:p>
    <w:p w:rsidR="008522D4" w:rsidRDefault="008522D4" w:rsidP="008522D4">
      <w:pPr>
        <w:pStyle w:val="Text"/>
      </w:pPr>
      <w:r>
        <w:t xml:space="preserve">In Zeile 5 werden alle Regeln aus </w:t>
      </w:r>
      <w:r w:rsidRPr="008522D4">
        <w:rPr>
          <w:i/>
        </w:rPr>
        <w:t>B</w:t>
      </w:r>
      <w:r>
        <w:t xml:space="preserve"> in die Menge </w:t>
      </w:r>
      <w:r w:rsidRPr="008522D4">
        <w:rPr>
          <w:i/>
        </w:rPr>
        <w:t>S</w:t>
      </w:r>
      <w:r w:rsidRPr="008522D4">
        <w:rPr>
          <w:i/>
          <w:vertAlign w:val="subscript"/>
        </w:rPr>
        <w:t>j</w:t>
      </w:r>
      <w:r>
        <w:t xml:space="preserve"> gespeichert, die allg</w:t>
      </w:r>
      <w:r>
        <w:t>e</w:t>
      </w:r>
      <w:r>
        <w:t>meinere Anwendungs</w:t>
      </w:r>
      <w:r w:rsidR="00A17C8A">
        <w:t xml:space="preserve">bedingungen </w:t>
      </w:r>
      <w:r>
        <w:t xml:space="preserve">und gleiche verlangte Eigenschaften haben wie </w:t>
      </w:r>
      <w:r>
        <w:rPr>
          <w:i/>
        </w:rPr>
        <w:t>B</w:t>
      </w:r>
      <w:r w:rsidRPr="008522D4">
        <w:rPr>
          <w:i/>
          <w:vertAlign w:val="subscript"/>
        </w:rPr>
        <w:t>j</w:t>
      </w:r>
      <w:r>
        <w:t xml:space="preserve"> und </w:t>
      </w:r>
      <w:r w:rsidR="0019459A">
        <w:t xml:space="preserve">eine zur Überprüfung der Beeinflussungsstärke geeignete Bedingung erfüllen </w:t>
      </w:r>
      <w:r>
        <w:t xml:space="preserve">(vgl. unten, </w:t>
      </w:r>
      <w:r w:rsidRPr="00AE5419">
        <w:rPr>
          <w:i/>
        </w:rPr>
        <w:t>Modul 1</w:t>
      </w:r>
      <w:r>
        <w:t>).</w:t>
      </w:r>
    </w:p>
    <w:p w:rsidR="0019459A" w:rsidRDefault="0019459A" w:rsidP="008522D4">
      <w:pPr>
        <w:pStyle w:val="Text"/>
      </w:pPr>
      <w:r>
        <w:t xml:space="preserve">In Zeile 6 wird die </w:t>
      </w:r>
      <w:r w:rsidR="007F02CB">
        <w:t>if-Anweisung</w:t>
      </w:r>
      <w:r>
        <w:t xml:space="preserve"> aus Zeile 4 beendet.</w:t>
      </w:r>
    </w:p>
    <w:p w:rsidR="0019459A" w:rsidRDefault="0019459A" w:rsidP="0019459A">
      <w:pPr>
        <w:pStyle w:val="Text"/>
      </w:pPr>
      <w:r>
        <w:t xml:space="preserve">Zeile 7 gibt an, dass die eingerückt </w:t>
      </w:r>
      <w:r w:rsidR="003370D4">
        <w:t>folgende Anweisung</w:t>
      </w:r>
      <w:r>
        <w:t xml:space="preserve"> für </w:t>
      </w:r>
      <w:r w:rsidRPr="008522D4">
        <w:rPr>
          <w:i/>
        </w:rPr>
        <w:t>i</w:t>
      </w:r>
      <w:r>
        <w:t xml:space="preserve"> = 2 ausgeführt wird.</w:t>
      </w:r>
    </w:p>
    <w:p w:rsidR="0019459A" w:rsidRPr="00975E47" w:rsidRDefault="0019459A" w:rsidP="0019459A">
      <w:pPr>
        <w:pStyle w:val="Text"/>
      </w:pPr>
      <w:r>
        <w:t xml:space="preserve">In Zeile 8 werden alle Regeln aus </w:t>
      </w:r>
      <w:r w:rsidRPr="008522D4">
        <w:rPr>
          <w:i/>
        </w:rPr>
        <w:t>B</w:t>
      </w:r>
      <w:r>
        <w:t xml:space="preserve"> in die Menge </w:t>
      </w:r>
      <w:r w:rsidRPr="008522D4">
        <w:rPr>
          <w:i/>
        </w:rPr>
        <w:t>S</w:t>
      </w:r>
      <w:r w:rsidRPr="008522D4">
        <w:rPr>
          <w:i/>
          <w:vertAlign w:val="subscript"/>
        </w:rPr>
        <w:t>j</w:t>
      </w:r>
      <w:r>
        <w:t xml:space="preserve"> gespeichert, die spezie</w:t>
      </w:r>
      <w:r>
        <w:t>l</w:t>
      </w:r>
      <w:r>
        <w:t xml:space="preserve">lere </w:t>
      </w:r>
      <w:r w:rsidR="00A17C8A">
        <w:t xml:space="preserve">Anwendungsbedingungen </w:t>
      </w:r>
      <w:r>
        <w:t xml:space="preserve">und gleiche verlangte Eigenschaften haben wie </w:t>
      </w:r>
      <w:r>
        <w:rPr>
          <w:i/>
        </w:rPr>
        <w:t>B</w:t>
      </w:r>
      <w:r w:rsidRPr="008522D4">
        <w:rPr>
          <w:i/>
          <w:vertAlign w:val="subscript"/>
        </w:rPr>
        <w:t>j</w:t>
      </w:r>
      <w:r>
        <w:t xml:space="preserve"> und eine zur Überprüfung der Beeinflussungsstärke geeignete Bedingung</w:t>
      </w:r>
      <w:r w:rsidR="00975E47">
        <w:t xml:space="preserve"> erfü</w:t>
      </w:r>
      <w:r w:rsidR="00975E47">
        <w:t>l</w:t>
      </w:r>
      <w:r w:rsidR="00975E47">
        <w:t xml:space="preserve">len (vgl. unten, </w:t>
      </w:r>
      <w:r w:rsidR="00975E47" w:rsidRPr="00AE5419">
        <w:rPr>
          <w:i/>
        </w:rPr>
        <w:t>Modul 2</w:t>
      </w:r>
      <w:r w:rsidR="00975E47">
        <w:t>)</w:t>
      </w:r>
      <w:r w:rsidR="00C82AE8">
        <w:t>.</w:t>
      </w:r>
    </w:p>
    <w:p w:rsidR="0019459A" w:rsidRDefault="0019459A" w:rsidP="0019459A">
      <w:pPr>
        <w:pStyle w:val="Text"/>
      </w:pPr>
      <w:r>
        <w:t xml:space="preserve">In Zeile 9 wird die </w:t>
      </w:r>
      <w:r w:rsidR="007F02CB">
        <w:t>if-Anweisung</w:t>
      </w:r>
      <w:r>
        <w:t xml:space="preserve"> aus Zeile7 beendet.</w:t>
      </w:r>
    </w:p>
    <w:p w:rsidR="0019459A" w:rsidRDefault="0019459A" w:rsidP="0019459A">
      <w:pPr>
        <w:pStyle w:val="Text"/>
      </w:pPr>
      <w:r>
        <w:t xml:space="preserve">Zeile 10 gibt an, dass die eingerückt </w:t>
      </w:r>
      <w:r w:rsidR="003370D4">
        <w:t>folgende Anweisung</w:t>
      </w:r>
      <w:r>
        <w:t xml:space="preserve"> für </w:t>
      </w:r>
      <w:r w:rsidRPr="008522D4">
        <w:rPr>
          <w:i/>
        </w:rPr>
        <w:t>i</w:t>
      </w:r>
      <w:r>
        <w:t xml:space="preserve"> = 3 ausg</w:t>
      </w:r>
      <w:r>
        <w:t>e</w:t>
      </w:r>
      <w:r>
        <w:t>führt wird.</w:t>
      </w:r>
    </w:p>
    <w:p w:rsidR="0019459A" w:rsidRDefault="0019459A" w:rsidP="0019459A">
      <w:pPr>
        <w:pStyle w:val="Text"/>
      </w:pPr>
      <w:r>
        <w:t xml:space="preserve">In Zeile 11 werden alle Regeln aus </w:t>
      </w:r>
      <w:r w:rsidRPr="008522D4">
        <w:rPr>
          <w:i/>
        </w:rPr>
        <w:t>B</w:t>
      </w:r>
      <w:r>
        <w:t xml:space="preserve"> in die Menge </w:t>
      </w:r>
      <w:r w:rsidRPr="008522D4">
        <w:rPr>
          <w:i/>
        </w:rPr>
        <w:t>S</w:t>
      </w:r>
      <w:r w:rsidRPr="008522D4">
        <w:rPr>
          <w:i/>
          <w:vertAlign w:val="subscript"/>
        </w:rPr>
        <w:t>j</w:t>
      </w:r>
      <w:r>
        <w:t xml:space="preserve"> gespeichert, die gleiche </w:t>
      </w:r>
      <w:r w:rsidR="00A17C8A">
        <w:t xml:space="preserve">Anwendungsbedingungen </w:t>
      </w:r>
      <w:r>
        <w:t xml:space="preserve">und allgemeinere verlangte Eigenschaften haben wie </w:t>
      </w:r>
      <w:r>
        <w:rPr>
          <w:i/>
        </w:rPr>
        <w:t>B</w:t>
      </w:r>
      <w:r w:rsidRPr="008522D4">
        <w:rPr>
          <w:i/>
          <w:vertAlign w:val="subscript"/>
        </w:rPr>
        <w:t>j</w:t>
      </w:r>
      <w:r>
        <w:t xml:space="preserve"> und eine zur Überprüfung der Beeinflussungsstärke geeignete Bedingung</w:t>
      </w:r>
      <w:r w:rsidR="00975E47">
        <w:t xml:space="preserve"> erfüllen (vgl. unten, </w:t>
      </w:r>
      <w:r w:rsidR="00975E47" w:rsidRPr="00AE5419">
        <w:rPr>
          <w:i/>
        </w:rPr>
        <w:t>Modul 3</w:t>
      </w:r>
      <w:r w:rsidR="00975E47">
        <w:t>)</w:t>
      </w:r>
      <w:r w:rsidR="00285F88">
        <w:t>.</w:t>
      </w:r>
    </w:p>
    <w:p w:rsidR="0019459A" w:rsidRDefault="0019459A" w:rsidP="0019459A">
      <w:pPr>
        <w:pStyle w:val="Text"/>
      </w:pPr>
      <w:r>
        <w:t xml:space="preserve">In Zeile 12 wird die </w:t>
      </w:r>
      <w:r w:rsidR="007F02CB">
        <w:t>if-Anweisung</w:t>
      </w:r>
      <w:r>
        <w:t xml:space="preserve"> aus Zeile 10 beendet.</w:t>
      </w:r>
    </w:p>
    <w:p w:rsidR="0019459A" w:rsidRDefault="0019459A" w:rsidP="0019459A">
      <w:pPr>
        <w:pStyle w:val="Text"/>
      </w:pPr>
      <w:r>
        <w:t xml:space="preserve">Zeile 13 gibt an, dass die eingerückt </w:t>
      </w:r>
      <w:r w:rsidR="003370D4">
        <w:t>folgende Anweisung</w:t>
      </w:r>
      <w:r>
        <w:t xml:space="preserve"> für </w:t>
      </w:r>
      <w:r w:rsidRPr="008522D4">
        <w:rPr>
          <w:i/>
        </w:rPr>
        <w:t>i</w:t>
      </w:r>
      <w:r>
        <w:t xml:space="preserve"> = 4 ausg</w:t>
      </w:r>
      <w:r>
        <w:t>e</w:t>
      </w:r>
      <w:r>
        <w:t>führt wird.</w:t>
      </w:r>
    </w:p>
    <w:p w:rsidR="0019459A" w:rsidRDefault="0019459A" w:rsidP="0019459A">
      <w:pPr>
        <w:pStyle w:val="Text"/>
      </w:pPr>
      <w:r>
        <w:t xml:space="preserve">In Zeile 14 werden alle Regeln aus </w:t>
      </w:r>
      <w:r w:rsidRPr="008522D4">
        <w:rPr>
          <w:i/>
        </w:rPr>
        <w:t>B</w:t>
      </w:r>
      <w:r>
        <w:t xml:space="preserve"> in die Menge </w:t>
      </w:r>
      <w:r w:rsidRPr="008522D4">
        <w:rPr>
          <w:i/>
        </w:rPr>
        <w:t>S</w:t>
      </w:r>
      <w:r w:rsidRPr="008522D4">
        <w:rPr>
          <w:i/>
          <w:vertAlign w:val="subscript"/>
        </w:rPr>
        <w:t>j</w:t>
      </w:r>
      <w:r>
        <w:t xml:space="preserve"> gespeichert, die gleiche </w:t>
      </w:r>
      <w:r w:rsidR="00A17C8A">
        <w:t xml:space="preserve">Anwendungsbedingungen </w:t>
      </w:r>
      <w:r>
        <w:t xml:space="preserve">und speziellere verlangte Eigenschaften haben wie </w:t>
      </w:r>
      <w:r>
        <w:rPr>
          <w:i/>
        </w:rPr>
        <w:t>B</w:t>
      </w:r>
      <w:r w:rsidRPr="008522D4">
        <w:rPr>
          <w:i/>
          <w:vertAlign w:val="subscript"/>
        </w:rPr>
        <w:t>j</w:t>
      </w:r>
      <w:r>
        <w:t xml:space="preserve"> und eine zur Überprüfung der Beeinflussungsstärke geeignete Bedingung erfü</w:t>
      </w:r>
      <w:r>
        <w:t>l</w:t>
      </w:r>
      <w:r>
        <w:t xml:space="preserve">len (vgl. unten, </w:t>
      </w:r>
      <w:r w:rsidRPr="00AE5419">
        <w:rPr>
          <w:i/>
        </w:rPr>
        <w:t>Modul 4</w:t>
      </w:r>
      <w:r>
        <w:t>).</w:t>
      </w:r>
    </w:p>
    <w:p w:rsidR="0019459A" w:rsidRDefault="0019459A" w:rsidP="0019459A">
      <w:pPr>
        <w:pStyle w:val="Text"/>
      </w:pPr>
      <w:r>
        <w:t xml:space="preserve">In Zeile 15 wird die </w:t>
      </w:r>
      <w:r w:rsidR="007F02CB">
        <w:t>if-Anweisung</w:t>
      </w:r>
      <w:r>
        <w:t xml:space="preserve"> aus Zeile 13 beendet.</w:t>
      </w:r>
    </w:p>
    <w:p w:rsidR="0019459A" w:rsidRDefault="0019459A" w:rsidP="0019459A">
      <w:pPr>
        <w:pStyle w:val="Text"/>
      </w:pPr>
      <w:r>
        <w:t>In Zeile 16 wird die for-Schleife aus Zeile 3 beendet.</w:t>
      </w:r>
    </w:p>
    <w:p w:rsidR="008522D4" w:rsidRDefault="00963634">
      <w:pPr>
        <w:pStyle w:val="Text"/>
      </w:pPr>
      <w:r>
        <w:lastRenderedPageBreak/>
        <w:t xml:space="preserve">In Zeile 17 werden die Mengen </w:t>
      </w:r>
      <w:r w:rsidRPr="00963634">
        <w:rPr>
          <w:i/>
        </w:rPr>
        <w:t>S</w:t>
      </w:r>
      <w:r>
        <w:rPr>
          <w:iCs/>
          <w:vertAlign w:val="subscript"/>
        </w:rPr>
        <w:t>1</w:t>
      </w:r>
      <w:r>
        <w:t xml:space="preserve"> bis </w:t>
      </w:r>
      <w:r w:rsidRPr="00963634">
        <w:rPr>
          <w:i/>
        </w:rPr>
        <w:t>S</w:t>
      </w:r>
      <w:r w:rsidRPr="00963634">
        <w:rPr>
          <w:iCs/>
          <w:vertAlign w:val="subscript"/>
        </w:rPr>
        <w:t>|</w:t>
      </w:r>
      <w:r w:rsidRPr="00963634">
        <w:rPr>
          <w:i/>
          <w:vertAlign w:val="subscript"/>
        </w:rPr>
        <w:t>B</w:t>
      </w:r>
      <w:r w:rsidRPr="00963634">
        <w:rPr>
          <w:iCs/>
          <w:vertAlign w:val="subscript"/>
        </w:rPr>
        <w:t>|</w:t>
      </w:r>
      <w:r>
        <w:t xml:space="preserve">, also die im Vergleich mit </w:t>
      </w:r>
      <w:r>
        <w:rPr>
          <w:i/>
        </w:rPr>
        <w:t>B</w:t>
      </w:r>
      <w:r>
        <w:rPr>
          <w:iCs/>
          <w:vertAlign w:val="subscript"/>
        </w:rPr>
        <w:t>1</w:t>
      </w:r>
      <w:r>
        <w:t xml:space="preserve"> bis </w:t>
      </w:r>
      <w:r>
        <w:rPr>
          <w:i/>
        </w:rPr>
        <w:t>B</w:t>
      </w:r>
      <w:r w:rsidRPr="00963634">
        <w:rPr>
          <w:iCs/>
          <w:vertAlign w:val="subscript"/>
        </w:rPr>
        <w:t>|</w:t>
      </w:r>
      <w:r w:rsidRPr="00963634">
        <w:rPr>
          <w:i/>
          <w:vertAlign w:val="subscript"/>
        </w:rPr>
        <w:t>B</w:t>
      </w:r>
      <w:r w:rsidRPr="00963634">
        <w:rPr>
          <w:iCs/>
          <w:vertAlign w:val="subscript"/>
        </w:rPr>
        <w:t>|</w:t>
      </w:r>
      <w:r>
        <w:t xml:space="preserve"> als überflüssig eingeschätzten Regeln, in der Menge </w:t>
      </w:r>
      <w:r w:rsidRPr="00963634">
        <w:rPr>
          <w:i/>
        </w:rPr>
        <w:t>T</w:t>
      </w:r>
      <w:r>
        <w:t xml:space="preserve"> vereinigt.</w:t>
      </w:r>
    </w:p>
    <w:p w:rsidR="00963634" w:rsidRDefault="00454E4D">
      <w:pPr>
        <w:pStyle w:val="Text"/>
      </w:pPr>
      <w:r>
        <w:t xml:space="preserve">In Zeile 18 wird die Menge </w:t>
      </w:r>
      <w:r w:rsidR="00B21A8D">
        <w:rPr>
          <w:i/>
        </w:rPr>
        <w:t>B'</w:t>
      </w:r>
      <w:r>
        <w:t xml:space="preserve"> gleich </w:t>
      </w:r>
      <w:r>
        <w:rPr>
          <w:i/>
        </w:rPr>
        <w:t>B</w:t>
      </w:r>
      <w:r>
        <w:t xml:space="preserve"> definiert.</w:t>
      </w:r>
    </w:p>
    <w:p w:rsidR="00454E4D" w:rsidRDefault="00454E4D" w:rsidP="00454E4D">
      <w:pPr>
        <w:pStyle w:val="Text"/>
      </w:pPr>
      <w:r>
        <w:t xml:space="preserve">Zeile 19 </w:t>
      </w:r>
      <w:r w:rsidRPr="00DB0613">
        <w:t xml:space="preserve">gibt an, dass die eingerückt folgende Schleife für die Variable </w:t>
      </w:r>
      <w:r w:rsidRPr="00DB0613">
        <w:rPr>
          <w:i/>
          <w:iCs/>
        </w:rPr>
        <w:t>j</w:t>
      </w:r>
      <w:r w:rsidRPr="00DB0613">
        <w:t xml:space="preserve"> von 1 bis zur Anzahl der Elemente von </w:t>
      </w:r>
      <w:r w:rsidR="00B21A8D">
        <w:rPr>
          <w:i/>
        </w:rPr>
        <w:t>B'</w:t>
      </w:r>
      <w:r w:rsidRPr="00DB0613">
        <w:t xml:space="preserve"> ausgeführt wird.</w:t>
      </w:r>
    </w:p>
    <w:p w:rsidR="00454E4D" w:rsidRDefault="00454E4D" w:rsidP="00454E4D">
      <w:pPr>
        <w:pStyle w:val="Text"/>
      </w:pPr>
      <w:r>
        <w:t xml:space="preserve">Zeile 20 </w:t>
      </w:r>
      <w:r w:rsidRPr="00DB0613">
        <w:t xml:space="preserve">gibt an, dass die eingerückt </w:t>
      </w:r>
      <w:r w:rsidR="003370D4">
        <w:t>folgende Anweisung</w:t>
      </w:r>
      <w:r w:rsidRPr="00DB0613">
        <w:t xml:space="preserve"> </w:t>
      </w:r>
      <w:r>
        <w:t xml:space="preserve">ausgeführt wird, wenn </w:t>
      </w:r>
      <w:r w:rsidR="00B21A8D">
        <w:rPr>
          <w:i/>
        </w:rPr>
        <w:t>B'</w:t>
      </w:r>
      <w:r w:rsidRPr="008522D4">
        <w:rPr>
          <w:i/>
          <w:vertAlign w:val="subscript"/>
        </w:rPr>
        <w:t>j</w:t>
      </w:r>
      <w:r>
        <w:t xml:space="preserve"> nicht Element von </w:t>
      </w:r>
      <w:r w:rsidRPr="00454E4D">
        <w:rPr>
          <w:i/>
        </w:rPr>
        <w:t>T</w:t>
      </w:r>
      <w:r>
        <w:t xml:space="preserve">, also der </w:t>
      </w:r>
      <w:r w:rsidR="007665B8">
        <w:t xml:space="preserve">als überflüssig eingeschätzten </w:t>
      </w:r>
      <w:r>
        <w:t>Regeln ist.</w:t>
      </w:r>
    </w:p>
    <w:p w:rsidR="007665B8" w:rsidRDefault="007665B8" w:rsidP="00454E4D">
      <w:pPr>
        <w:pStyle w:val="Text"/>
      </w:pPr>
      <w:r>
        <w:t xml:space="preserve">In Zeile 21 werden die Regeln in </w:t>
      </w:r>
      <w:r>
        <w:rPr>
          <w:i/>
        </w:rPr>
        <w:t>S</w:t>
      </w:r>
      <w:r w:rsidRPr="008522D4">
        <w:rPr>
          <w:i/>
          <w:vertAlign w:val="subscript"/>
        </w:rPr>
        <w:t>j</w:t>
      </w:r>
      <w:r>
        <w:t xml:space="preserve"> aus </w:t>
      </w:r>
      <w:r w:rsidR="00B21A8D">
        <w:rPr>
          <w:i/>
        </w:rPr>
        <w:t>B</w:t>
      </w:r>
      <w:r>
        <w:t xml:space="preserve"> entfernt.</w:t>
      </w:r>
    </w:p>
    <w:p w:rsidR="00E50641" w:rsidRDefault="00E50641" w:rsidP="00E50641">
      <w:pPr>
        <w:pStyle w:val="Text"/>
      </w:pPr>
      <w:r>
        <w:t xml:space="preserve">In Zeile 22 wird die </w:t>
      </w:r>
      <w:r w:rsidR="007F02CB">
        <w:t>if-Anweisung</w:t>
      </w:r>
      <w:r>
        <w:t xml:space="preserve"> aus Zeile 20 beendet.</w:t>
      </w:r>
    </w:p>
    <w:p w:rsidR="00E50641" w:rsidRDefault="00E50641" w:rsidP="00E50641">
      <w:pPr>
        <w:pStyle w:val="Text"/>
      </w:pPr>
      <w:r>
        <w:t>In Zeile 23 wird die for-Schleife aus Zeile 19 beendet.</w:t>
      </w:r>
    </w:p>
    <w:p w:rsidR="00E50641" w:rsidRDefault="00E50641" w:rsidP="00E50641">
      <w:pPr>
        <w:pStyle w:val="Text"/>
      </w:pPr>
      <w:r>
        <w:t xml:space="preserve">In Zeile 24 wird </w:t>
      </w:r>
      <w:r>
        <w:rPr>
          <w:i/>
        </w:rPr>
        <w:t>B</w:t>
      </w:r>
      <w:r>
        <w:t xml:space="preserve"> </w:t>
      </w:r>
      <w:r w:rsidR="00B21A8D">
        <w:t>zurückgegeben.</w:t>
      </w:r>
    </w:p>
    <w:p w:rsidR="007665B8" w:rsidRDefault="00E50641" w:rsidP="003359E6">
      <w:pPr>
        <w:pStyle w:val="Text"/>
      </w:pPr>
      <w:r>
        <w:t>In Zeile 25 wird die Funktion beendet.</w:t>
      </w:r>
    </w:p>
    <w:p w:rsidR="00B5001C" w:rsidRDefault="00B5001C" w:rsidP="008B789C">
      <w:pPr>
        <w:pStyle w:val="Text"/>
        <w:spacing w:before="240"/>
        <w:ind w:firstLine="0"/>
      </w:pPr>
      <w:r>
        <w:t>Die vier Module kümmern sich um unterschiedliche Konstellationen: Modul 1 überprüft Regeln mit allgemeineren Anwendungsbedingungen, Modul 2 Regeln mit spezielleren Anwendungsbedingungen, Modul 3 Regeln mit allgemeineren verlangten Eigenschaften und Modul 4 Regeln mit spezielleren verlangten Eige</w:t>
      </w:r>
      <w:r>
        <w:t>n</w:t>
      </w:r>
      <w:r>
        <w:t xml:space="preserve">schaften. Im Folgenden </w:t>
      </w:r>
      <w:r w:rsidR="0001718E">
        <w:t xml:space="preserve">werden die </w:t>
      </w:r>
      <w:r>
        <w:t xml:space="preserve">vier Module </w:t>
      </w:r>
      <w:r w:rsidR="0001718E">
        <w:t>ausführlich dargestellt. Z</w:t>
      </w:r>
      <w:r w:rsidR="0001718E">
        <w:t>u</w:t>
      </w:r>
      <w:r w:rsidR="0001718E">
        <w:t>nächst wird jeweils beschrieben</w:t>
      </w:r>
      <w:r>
        <w:t xml:space="preserve">, </w:t>
      </w:r>
      <w:r w:rsidR="0001718E">
        <w:t xml:space="preserve">wann </w:t>
      </w:r>
      <w:r w:rsidR="0002602F">
        <w:t xml:space="preserve">das Entfernen </w:t>
      </w:r>
      <w:r w:rsidR="0001718E">
        <w:t>der entsprechenden Regeln sinnvoll ist. Dann werden die Bedingungen für die Überprüfung angegeben, die festlegen, wann es sich überhaupt um eine Regel des entsprechenden Typs ha</w:t>
      </w:r>
      <w:r w:rsidR="0001718E">
        <w:t>n</w:t>
      </w:r>
      <w:r w:rsidR="0001718E">
        <w:t xml:space="preserve">delt. Danach wird die Bedingung für </w:t>
      </w:r>
      <w:r w:rsidR="0002602F">
        <w:t xml:space="preserve">die Entfernung </w:t>
      </w:r>
      <w:r w:rsidR="0001718E">
        <w:t xml:space="preserve">angegeben und mit Hilfe von </w:t>
      </w:r>
      <w:r>
        <w:t xml:space="preserve">Fallunterscheidungen </w:t>
      </w:r>
      <w:r w:rsidR="0001718E">
        <w:t>überprüft. Schließlich werden Beispiele dargestellt, die das Verhalten des Moduls illustrieren.</w:t>
      </w:r>
    </w:p>
    <w:p w:rsidR="00EE5FDB" w:rsidRDefault="0082369A" w:rsidP="0082369A">
      <w:pPr>
        <w:pStyle w:val="Text"/>
        <w:rPr>
          <w:iCs/>
        </w:rPr>
      </w:pPr>
      <w:r>
        <w:rPr>
          <w:iCs/>
        </w:rPr>
        <w:t xml:space="preserve">Der </w:t>
      </w:r>
      <w:r w:rsidRPr="0082369A">
        <w:t>Toleranzfaktor</w:t>
      </w:r>
      <w:r>
        <w:rPr>
          <w:i/>
        </w:rPr>
        <w:t xml:space="preserve"> f</w:t>
      </w:r>
      <w:r>
        <w:rPr>
          <w:iCs/>
        </w:rPr>
        <w:t xml:space="preserve"> bestimmt dabei jeweils, welcher Grad der Beeinflu</w:t>
      </w:r>
      <w:r>
        <w:rPr>
          <w:iCs/>
        </w:rPr>
        <w:t>s</w:t>
      </w:r>
      <w:r>
        <w:rPr>
          <w:iCs/>
        </w:rPr>
        <w:t xml:space="preserve">sung der allgemeineren durch die speziellere Merkmalsregel noch toleriert wird. Je größer </w:t>
      </w:r>
      <w:r>
        <w:rPr>
          <w:i/>
        </w:rPr>
        <w:t>f</w:t>
      </w:r>
      <w:r>
        <w:rPr>
          <w:iCs/>
        </w:rPr>
        <w:t xml:space="preserve"> gewählt wird, desto mehr Beeinflussung wird toleriert; je kleiner, desto strenger wird disambiguiert. </w:t>
      </w:r>
      <w:r>
        <w:rPr>
          <w:i/>
        </w:rPr>
        <w:t>f</w:t>
      </w:r>
      <w:r>
        <w:rPr>
          <w:iCs/>
        </w:rPr>
        <w:t xml:space="preserve"> muss allerdings größer als 1 sein, da es sonst in einigen Fällen zu</w:t>
      </w:r>
      <w:r w:rsidR="0002602F">
        <w:rPr>
          <w:iCs/>
        </w:rPr>
        <w:t>r</w:t>
      </w:r>
      <w:r>
        <w:rPr>
          <w:iCs/>
        </w:rPr>
        <w:t xml:space="preserve"> </w:t>
      </w:r>
      <w:r w:rsidR="0002602F">
        <w:rPr>
          <w:iCs/>
        </w:rPr>
        <w:t xml:space="preserve">Entfernung </w:t>
      </w:r>
      <w:r>
        <w:rPr>
          <w:iCs/>
        </w:rPr>
        <w:t>erhaltenswerter Regeln kommt.</w:t>
      </w:r>
    </w:p>
    <w:p w:rsidR="0082369A" w:rsidRDefault="0082369A" w:rsidP="0082369A">
      <w:r>
        <w:t xml:space="preserve">Warum wird ein wählbarer Toleranzfaktor verwendet, statt </w:t>
      </w:r>
      <w:r w:rsidRPr="00CB1AFC">
        <w:rPr>
          <w:i/>
        </w:rPr>
        <w:t>f</w:t>
      </w:r>
      <w:r>
        <w:t xml:space="preserve"> auf einen Wert festzulegen? Tatsächlich kann man bei der Betrachtung eines Stils genauer oder weniger genau sein. Nimmt man sehr sorgfältig von jeder wahrnehmbaren R</w:t>
      </w:r>
      <w:r>
        <w:t>e</w:t>
      </w:r>
      <w:r>
        <w:t>gelmäßigkeit Notiz, können auch Merkmale wahrgenommen und separat gespe</w:t>
      </w:r>
      <w:r>
        <w:t>i</w:t>
      </w:r>
      <w:r>
        <w:t xml:space="preserve">chert werden, die sehr eng beieinander liegen. Kommt es einem eher auf die wichtigsten Merkmale an, wird man eng danebenliegende Merkmalsregeln, die wenig zusätzliche Information enthalten, nicht beachten oder sich nicht merken. Diese Unterschiede können durch unterschiedliche </w:t>
      </w:r>
      <w:r w:rsidRPr="00CB1AFC">
        <w:rPr>
          <w:i/>
        </w:rPr>
        <w:t>f</w:t>
      </w:r>
      <w:r>
        <w:t xml:space="preserve"> simuliert werden.</w:t>
      </w:r>
    </w:p>
    <w:p w:rsidR="00EE5FDB" w:rsidRDefault="00EE5FDB" w:rsidP="00EE5FDB">
      <w:pPr>
        <w:pStyle w:val="Text"/>
        <w:rPr>
          <w:iCs/>
        </w:rPr>
      </w:pPr>
      <w:r w:rsidRPr="0082369A">
        <w:rPr>
          <w:i/>
          <w:iCs/>
        </w:rPr>
        <w:t>f</w:t>
      </w:r>
      <w:r>
        <w:rPr>
          <w:iCs/>
        </w:rPr>
        <w:t xml:space="preserve"> kann bei jedem Modulaufruf neu gewählt werden, so dass für unterschie</w:t>
      </w:r>
      <w:r>
        <w:rPr>
          <w:iCs/>
        </w:rPr>
        <w:t>d</w:t>
      </w:r>
      <w:r>
        <w:rPr>
          <w:iCs/>
        </w:rPr>
        <w:t>liche Module unterschiedlich strenge Kriterien angelegt werden können. D</w:t>
      </w:r>
      <w:r>
        <w:rPr>
          <w:iCs/>
        </w:rPr>
        <w:t>a</w:t>
      </w:r>
      <w:r>
        <w:rPr>
          <w:iCs/>
        </w:rPr>
        <w:t>durch und durch die Wahl der Reihenfolge der Modulanwendung, die erhebl</w:t>
      </w:r>
      <w:r>
        <w:rPr>
          <w:iCs/>
        </w:rPr>
        <w:t>i</w:t>
      </w:r>
      <w:r>
        <w:rPr>
          <w:iCs/>
        </w:rPr>
        <w:t>chen Einfluss auf das Ergebnis hat, ergeben sich verschiedene Methoden der Disambiguierung.</w:t>
      </w:r>
    </w:p>
    <w:p w:rsidR="0082369A" w:rsidRDefault="0082369A" w:rsidP="0082369A">
      <w:pPr>
        <w:pStyle w:val="Text"/>
      </w:pPr>
      <w:r>
        <w:lastRenderedPageBreak/>
        <w:t xml:space="preserve">Für die folgenden Beispiele ist zu beachten, </w:t>
      </w:r>
      <w:r w:rsidRPr="001008AA">
        <w:t xml:space="preserve">dass </w:t>
      </w:r>
      <w:r>
        <w:t xml:space="preserve">die Anwendungen </w:t>
      </w:r>
      <w:r w:rsidRPr="001008AA">
        <w:rPr>
          <w:i/>
          <w:iCs/>
        </w:rPr>
        <w:t>m</w:t>
      </w:r>
      <w:r>
        <w:t xml:space="preserve"> und</w:t>
      </w:r>
      <w:r w:rsidRPr="001008AA">
        <w:t xml:space="preserve"> </w:t>
      </w:r>
      <w:r>
        <w:t xml:space="preserve">die Anwendungsmöglichkeiten </w:t>
      </w:r>
      <w:r w:rsidRPr="001008AA">
        <w:rPr>
          <w:i/>
          <w:iCs/>
        </w:rPr>
        <w:t>n</w:t>
      </w:r>
      <w:r w:rsidRPr="001008AA">
        <w:t xml:space="preserve"> einer Merkmalsregel </w:t>
      </w:r>
      <w:r w:rsidRPr="001008AA">
        <w:rPr>
          <w:i/>
        </w:rPr>
        <w:t>B</w:t>
      </w:r>
      <w:r w:rsidRPr="001008AA">
        <w:rPr>
          <w:i/>
          <w:vertAlign w:val="subscript"/>
        </w:rPr>
        <w:t>j</w:t>
      </w:r>
      <w:r w:rsidRPr="001008AA">
        <w:t xml:space="preserve"> im Fließtext </w:t>
      </w:r>
      <w:r>
        <w:t xml:space="preserve">als </w:t>
      </w:r>
      <w:r w:rsidRPr="001008AA">
        <w:rPr>
          <w:i/>
        </w:rPr>
        <w:t>m</w:t>
      </w:r>
      <w:r w:rsidRPr="001008AA">
        <w:rPr>
          <w:i/>
          <w:vertAlign w:val="subscript"/>
        </w:rPr>
        <w:t>j</w:t>
      </w:r>
      <w:r>
        <w:t xml:space="preserve"> und</w:t>
      </w:r>
      <w:r w:rsidRPr="001008AA">
        <w:rPr>
          <w:i/>
        </w:rPr>
        <w:t xml:space="preserve"> n</w:t>
      </w:r>
      <w:r w:rsidRPr="001008AA">
        <w:rPr>
          <w:i/>
          <w:vertAlign w:val="subscript"/>
        </w:rPr>
        <w:t>j</w:t>
      </w:r>
      <w:r w:rsidRPr="001008AA">
        <w:t xml:space="preserve"> </w:t>
      </w:r>
      <w:r>
        <w:t xml:space="preserve">bezeichnet werden (vgl. ihre Definition in Abschnitt </w:t>
      </w:r>
      <w:r w:rsidR="005D7996">
        <w:fldChar w:fldCharType="begin"/>
      </w:r>
      <w:r>
        <w:instrText xml:space="preserve"> REF _Ref254084330 \r \h </w:instrText>
      </w:r>
      <w:r w:rsidR="005D7996">
        <w:fldChar w:fldCharType="separate"/>
      </w:r>
      <w:r w:rsidR="001231D3">
        <w:t>5.5.3</w:t>
      </w:r>
      <w:r w:rsidR="005D7996">
        <w:fldChar w:fldCharType="end"/>
      </w:r>
      <w:r>
        <w:t xml:space="preserve">, Funktion </w:t>
      </w:r>
      <w:r w:rsidRPr="00540650">
        <w:rPr>
          <w:i/>
        </w:rPr>
        <w:t>Mer</w:t>
      </w:r>
      <w:r w:rsidRPr="00540650">
        <w:rPr>
          <w:i/>
        </w:rPr>
        <w:t>k</w:t>
      </w:r>
      <w:r w:rsidRPr="00540650">
        <w:rPr>
          <w:i/>
        </w:rPr>
        <w:t>malsregel_auslesen</w:t>
      </w:r>
      <w:r w:rsidR="00D82A7B">
        <w:t>, Zeile</w:t>
      </w:r>
      <w:r>
        <w:t xml:space="preserve"> </w:t>
      </w:r>
      <w:r w:rsidR="00083AF6">
        <w:t>42 und 43</w:t>
      </w:r>
      <w:r>
        <w:t xml:space="preserve">). In der Funktion selbst </w:t>
      </w:r>
      <w:r w:rsidR="0087251F">
        <w:t xml:space="preserve">wird </w:t>
      </w:r>
      <w:r>
        <w:t xml:space="preserve">dagegen als </w:t>
      </w:r>
      <w:r>
        <w:rPr>
          <w:i/>
        </w:rPr>
        <w:t>M</w:t>
      </w:r>
      <w:r w:rsidRPr="001008AA">
        <w:rPr>
          <w:i/>
          <w:vertAlign w:val="subscript"/>
        </w:rPr>
        <w:t>j</w:t>
      </w:r>
      <w:r>
        <w:t xml:space="preserve"> und</w:t>
      </w:r>
      <w:r w:rsidRPr="001008AA">
        <w:rPr>
          <w:i/>
        </w:rPr>
        <w:t xml:space="preserve"> </w:t>
      </w:r>
      <w:r>
        <w:rPr>
          <w:i/>
        </w:rPr>
        <w:t>N</w:t>
      </w:r>
      <w:r w:rsidRPr="001008AA">
        <w:rPr>
          <w:i/>
          <w:vertAlign w:val="subscript"/>
        </w:rPr>
        <w:t>j</w:t>
      </w:r>
      <w:r w:rsidRPr="001008AA">
        <w:t xml:space="preserve"> </w:t>
      </w:r>
      <w:r w:rsidR="0087251F">
        <w:t>auf sie zugegriffen</w:t>
      </w:r>
      <w:r>
        <w:t>, da sie zur Übergabe als Parameter zu Mengen z</w:t>
      </w:r>
      <w:r>
        <w:t>u</w:t>
      </w:r>
      <w:r>
        <w:t>sammengefasst wurden (</w:t>
      </w:r>
      <w:r w:rsidRPr="001008AA">
        <w:t xml:space="preserve">vgl. Funktion </w:t>
      </w:r>
      <w:r w:rsidRPr="001008AA">
        <w:rPr>
          <w:i/>
        </w:rPr>
        <w:t>Merkmalsregel_auslesen</w:t>
      </w:r>
      <w:r w:rsidR="00D82A7B">
        <w:t>, Zeile</w:t>
      </w:r>
      <w:r w:rsidR="00083AF6">
        <w:t xml:space="preserve"> 51</w:t>
      </w:r>
      <w:r>
        <w:t xml:space="preserve"> und </w:t>
      </w:r>
      <w:r w:rsidR="00083AF6">
        <w:t>52</w:t>
      </w:r>
      <w:r w:rsidR="00C738A5">
        <w:t>)</w:t>
      </w:r>
      <w:r>
        <w:t xml:space="preserve">. Daher werden in den Beispielen Kleinbuchstaben, in den Bedingungen für </w:t>
      </w:r>
      <w:r w:rsidR="0002602F">
        <w:t xml:space="preserve">die Entfernung </w:t>
      </w:r>
      <w:r>
        <w:t>Großbuchstaben verwendet.</w:t>
      </w:r>
    </w:p>
    <w:p w:rsidR="00206973" w:rsidRDefault="008522D4" w:rsidP="00A14B9A">
      <w:pPr>
        <w:pStyle w:val="Zwischenberschrift"/>
        <w:spacing w:before="360"/>
      </w:pPr>
      <w:r w:rsidRPr="00A14B9A">
        <w:rPr>
          <w:i w:val="0"/>
        </w:rPr>
        <w:t>Modul 1:</w:t>
      </w:r>
      <w:r w:rsidRPr="00A14B9A">
        <w:rPr>
          <w:i w:val="0"/>
        </w:rPr>
        <w:tab/>
      </w:r>
      <w:r w:rsidR="00206973" w:rsidRPr="005D5E40">
        <w:t>Regeln mit allgemeineren Anwendungsbedingungen</w:t>
      </w:r>
    </w:p>
    <w:p w:rsidR="005B4B32" w:rsidRDefault="0002602F" w:rsidP="00A14B9A">
      <w:pPr>
        <w:pStyle w:val="Text"/>
        <w:ind w:firstLine="0"/>
      </w:pPr>
      <w:r>
        <w:t>Entfernt</w:t>
      </w:r>
      <w:r w:rsidR="005B4B32">
        <w:t xml:space="preserve"> werden Regeln, die </w:t>
      </w:r>
      <w:r w:rsidR="00417D8D">
        <w:t xml:space="preserve">bei gleichen verlangten Eigenschaften </w:t>
      </w:r>
      <w:r w:rsidR="005B4B32">
        <w:t>allgemeiner in den Anwendungsbedingungen sind (und daher häufiger angewandt werden kö</w:t>
      </w:r>
      <w:r w:rsidR="005B4B32">
        <w:t>n</w:t>
      </w:r>
      <w:r w:rsidR="005B4B32">
        <w:t xml:space="preserve">nen), ohne entsprechend häufiger angewandt zu werden. Als Beschreibung eines tatsächlichen Auswahlvorgangs haben diese Regeln eine geringere Trefferquote. In diesem Fall gilt, dass die Regel mit den </w:t>
      </w:r>
      <w:r w:rsidR="00417D8D">
        <w:t xml:space="preserve">spezielleren </w:t>
      </w:r>
      <w:r w:rsidR="005B4B32">
        <w:t>Anwendungsbedingungen den Sachverhalt präziser beschreibt.</w:t>
      </w:r>
    </w:p>
    <w:p w:rsidR="00D2554C" w:rsidRDefault="00AD0862" w:rsidP="00A14B9A">
      <w:pPr>
        <w:pStyle w:val="Zwischenberschrift"/>
      </w:pPr>
      <w:r>
        <w:t xml:space="preserve">Die </w:t>
      </w:r>
      <w:r w:rsidR="00D2554C">
        <w:t xml:space="preserve">Bedingungen für </w:t>
      </w:r>
      <w:r w:rsidR="0001718E">
        <w:t>die Überprüfung</w:t>
      </w:r>
    </w:p>
    <w:p w:rsidR="00415909" w:rsidRDefault="00415909" w:rsidP="00A14B9A">
      <w:pPr>
        <w:pStyle w:val="Text"/>
        <w:ind w:firstLine="0"/>
      </w:pPr>
      <w:r>
        <w:t xml:space="preserve">Die </w:t>
      </w:r>
      <w:r w:rsidR="009460D5">
        <w:rPr>
          <w:iCs/>
        </w:rPr>
        <w:t>Anwendungsbedingungen</w:t>
      </w:r>
      <w:r>
        <w:t xml:space="preserve"> </w:t>
      </w:r>
      <w:r w:rsidRPr="00415909">
        <w:rPr>
          <w:i/>
        </w:rPr>
        <w:t>U</w:t>
      </w:r>
      <w:r>
        <w:t xml:space="preserve"> der allgemeineren </w:t>
      </w:r>
      <w:r w:rsidR="00A17C8A">
        <w:t>Merkmalsregel</w:t>
      </w:r>
      <w:r>
        <w:t xml:space="preserve"> </w:t>
      </w:r>
      <w:r>
        <w:rPr>
          <w:i/>
          <w:iCs/>
        </w:rPr>
        <w:t>B</w:t>
      </w:r>
      <w:r>
        <w:rPr>
          <w:i/>
          <w:iCs/>
          <w:vertAlign w:val="subscript"/>
        </w:rPr>
        <w:t>x</w:t>
      </w:r>
      <w:r>
        <w:t xml:space="preserve"> sind eine echte Teilmenge der </w:t>
      </w:r>
      <w:r w:rsidR="009460D5">
        <w:rPr>
          <w:iCs/>
        </w:rPr>
        <w:t>Anwendungsbedingungen</w:t>
      </w:r>
      <w:r>
        <w:t xml:space="preserve"> der spezielleren </w:t>
      </w:r>
      <w:r>
        <w:rPr>
          <w:i/>
          <w:iCs/>
        </w:rPr>
        <w:t>B</w:t>
      </w:r>
      <w:r>
        <w:rPr>
          <w:i/>
          <w:iCs/>
          <w:vertAlign w:val="subscript"/>
        </w:rPr>
        <w:t>j</w:t>
      </w:r>
      <w:r>
        <w:t>. Die verlan</w:t>
      </w:r>
      <w:r>
        <w:t>g</w:t>
      </w:r>
      <w:r>
        <w:t xml:space="preserve">ten Eigenschaften </w:t>
      </w:r>
      <w:r w:rsidRPr="00415909">
        <w:rPr>
          <w:i/>
        </w:rPr>
        <w:t>V</w:t>
      </w:r>
      <w:r>
        <w:t xml:space="preserve"> sind gleich.</w:t>
      </w:r>
    </w:p>
    <w:p w:rsidR="00D2554C" w:rsidRDefault="0087064F" w:rsidP="00A14B9A">
      <w:pPr>
        <w:pStyle w:val="Formel"/>
      </w:pPr>
      <w:r>
        <w:t>(</w:t>
      </w:r>
      <w:r w:rsidR="00D2554C">
        <w:rPr>
          <w:i/>
          <w:iCs/>
        </w:rPr>
        <w:t>U</w:t>
      </w:r>
      <w:r w:rsidR="00DF6F30">
        <w:t>(</w:t>
      </w:r>
      <w:r w:rsidR="00D2554C">
        <w:rPr>
          <w:i/>
          <w:iCs/>
        </w:rPr>
        <w:t>B</w:t>
      </w:r>
      <w:r w:rsidR="00D2554C">
        <w:rPr>
          <w:i/>
          <w:iCs/>
          <w:vertAlign w:val="subscript"/>
        </w:rPr>
        <w:t>x</w:t>
      </w:r>
      <w:r w:rsidR="00DF6F30">
        <w:t>)</w:t>
      </w:r>
      <w:r w:rsidR="00635DE8" w:rsidRPr="00635DE8">
        <w:rPr>
          <w:iCs/>
        </w:rPr>
        <w:t xml:space="preserve"> </w:t>
      </w:r>
      <w:r w:rsidR="00635DE8" w:rsidRPr="00635DE8">
        <w:rPr>
          <w:rFonts w:ascii="Cambria Math" w:eastAsia="Arial Unicode MS" w:hAnsi="Cambria Math" w:cs="Arial Unicode MS"/>
        </w:rPr>
        <w:t>⊂</w:t>
      </w:r>
      <w:r w:rsidR="00635DE8" w:rsidRPr="00635DE8">
        <w:rPr>
          <w:i/>
          <w:iCs/>
        </w:rPr>
        <w:t xml:space="preserve"> </w:t>
      </w:r>
      <w:r w:rsidR="00D2554C">
        <w:rPr>
          <w:i/>
          <w:iCs/>
        </w:rPr>
        <w:t>U</w:t>
      </w:r>
      <w:r w:rsidR="00D2554C">
        <w:t>(</w:t>
      </w:r>
      <w:r w:rsidR="00D2554C">
        <w:rPr>
          <w:i/>
          <w:iCs/>
        </w:rPr>
        <w:t>B</w:t>
      </w:r>
      <w:r w:rsidR="00D2554C">
        <w:rPr>
          <w:i/>
          <w:iCs/>
          <w:vertAlign w:val="subscript"/>
        </w:rPr>
        <w:t>j</w:t>
      </w:r>
      <w:r w:rsidR="00D2554C">
        <w:t>)</w:t>
      </w:r>
      <w:r>
        <w:t>)</w:t>
      </w:r>
      <w:r w:rsidR="00D2554C">
        <w:t xml:space="preserve"> </w:t>
      </w:r>
      <w:r w:rsidR="00D2554C" w:rsidRPr="007F4805">
        <w:rPr>
          <w:position w:val="-4"/>
        </w:rPr>
        <w:object w:dxaOrig="220" w:dyaOrig="200">
          <v:shape id="_x0000_i1047" type="#_x0000_t75" style="width:11.2pt;height:11.6pt" o:ole="">
            <v:imagedata r:id="rId61" o:title=""/>
          </v:shape>
          <o:OLEObject Type="Embed" ProgID="Equation.3" ShapeID="_x0000_i1047" DrawAspect="Content" ObjectID="_1460983888" r:id="rId62"/>
        </w:object>
      </w:r>
      <w:r w:rsidR="00D2554C">
        <w:t xml:space="preserve"> </w:t>
      </w:r>
      <w:r>
        <w:t>(</w:t>
      </w:r>
      <w:r w:rsidR="00D2554C">
        <w:rPr>
          <w:i/>
          <w:iCs/>
        </w:rPr>
        <w:t>V</w:t>
      </w:r>
      <w:r w:rsidR="00DF6F30">
        <w:t>(</w:t>
      </w:r>
      <w:r w:rsidR="00D2554C">
        <w:rPr>
          <w:i/>
          <w:iCs/>
        </w:rPr>
        <w:t>B</w:t>
      </w:r>
      <w:r w:rsidR="00D2554C">
        <w:rPr>
          <w:i/>
          <w:iCs/>
          <w:vertAlign w:val="subscript"/>
        </w:rPr>
        <w:t>x</w:t>
      </w:r>
      <w:r w:rsidR="00DF6F30">
        <w:t>)</w:t>
      </w:r>
      <w:r w:rsidR="00D2554C">
        <w:t xml:space="preserve"> = </w:t>
      </w:r>
      <w:r w:rsidR="00D2554C">
        <w:rPr>
          <w:i/>
          <w:iCs/>
        </w:rPr>
        <w:t>V</w:t>
      </w:r>
      <w:r w:rsidR="00D2554C">
        <w:t>(</w:t>
      </w:r>
      <w:r w:rsidR="00D2554C">
        <w:rPr>
          <w:i/>
          <w:iCs/>
        </w:rPr>
        <w:t>B</w:t>
      </w:r>
      <w:r w:rsidR="00D2554C">
        <w:rPr>
          <w:i/>
          <w:iCs/>
          <w:vertAlign w:val="subscript"/>
        </w:rPr>
        <w:t>j</w:t>
      </w:r>
      <w:r w:rsidR="00D2554C">
        <w:t>)</w:t>
      </w:r>
      <w:r>
        <w:t>)</w:t>
      </w:r>
    </w:p>
    <w:p w:rsidR="00D2554C" w:rsidRDefault="00AD0862" w:rsidP="00A14B9A">
      <w:pPr>
        <w:pStyle w:val="Zwischenberschrift"/>
      </w:pPr>
      <w:r>
        <w:t xml:space="preserve">Die Bedingung für </w:t>
      </w:r>
      <w:r w:rsidR="0002602F">
        <w:t>die Entfernung</w:t>
      </w:r>
    </w:p>
    <w:p w:rsidR="00D2554C" w:rsidRDefault="00D2554C" w:rsidP="00A14B9A">
      <w:pPr>
        <w:pStyle w:val="Text"/>
        <w:ind w:firstLine="0"/>
      </w:pPr>
      <w:r>
        <w:t xml:space="preserve">Verhindert werden soll, dass eine allgemeine Regel </w:t>
      </w:r>
      <w:r w:rsidR="005C0D1A">
        <w:rPr>
          <w:i/>
        </w:rPr>
        <w:t>B</w:t>
      </w:r>
      <w:r w:rsidR="005C0D1A">
        <w:rPr>
          <w:i/>
          <w:vertAlign w:val="subscript"/>
        </w:rPr>
        <w:t>x</w:t>
      </w:r>
      <w:r w:rsidR="005C0D1A">
        <w:t xml:space="preserve"> </w:t>
      </w:r>
      <w:r w:rsidR="00DC68F2">
        <w:t xml:space="preserve">ihre Wirkung nur </w:t>
      </w:r>
      <w:r>
        <w:t>oder vorwiegen</w:t>
      </w:r>
      <w:r w:rsidR="00DC68F2">
        <w:t>d</w:t>
      </w:r>
      <w:r>
        <w:t xml:space="preserve"> aus der spezielleren </w:t>
      </w:r>
      <w:r w:rsidR="005C0D1A">
        <w:rPr>
          <w:i/>
        </w:rPr>
        <w:t>B</w:t>
      </w:r>
      <w:r w:rsidR="005C0D1A">
        <w:rPr>
          <w:i/>
          <w:vertAlign w:val="subscript"/>
        </w:rPr>
        <w:t>j</w:t>
      </w:r>
      <w:r w:rsidR="005C0D1A">
        <w:t xml:space="preserve"> </w:t>
      </w:r>
      <w:r>
        <w:t xml:space="preserve">bezieht. Im Extremfall, wenn beide </w:t>
      </w:r>
      <w:r w:rsidR="00765E66">
        <w:t>Mer</w:t>
      </w:r>
      <w:r w:rsidR="00765E66">
        <w:t>k</w:t>
      </w:r>
      <w:r w:rsidR="00765E66">
        <w:t>malsregel</w:t>
      </w:r>
      <w:r>
        <w:t>n gleich oft angewandt werden (</w:t>
      </w:r>
      <w:r>
        <w:rPr>
          <w:i/>
        </w:rPr>
        <w:t>m</w:t>
      </w:r>
      <w:r>
        <w:rPr>
          <w:i/>
          <w:vertAlign w:val="subscript"/>
        </w:rPr>
        <w:t>x</w:t>
      </w:r>
      <w:r>
        <w:t xml:space="preserve"> = </w:t>
      </w:r>
      <w:r>
        <w:rPr>
          <w:i/>
        </w:rPr>
        <w:t>m</w:t>
      </w:r>
      <w:r>
        <w:rPr>
          <w:i/>
          <w:vertAlign w:val="subscript"/>
        </w:rPr>
        <w:t>j</w:t>
      </w:r>
      <w:r>
        <w:t xml:space="preserve">), ist offensichtlich, dass die allgemeinere </w:t>
      </w:r>
      <w:r w:rsidR="00765E66">
        <w:t>Merkmalsregel</w:t>
      </w:r>
      <w:r>
        <w:t xml:space="preserve"> </w:t>
      </w:r>
      <w:r>
        <w:rPr>
          <w:i/>
        </w:rPr>
        <w:t>B</w:t>
      </w:r>
      <w:r>
        <w:rPr>
          <w:i/>
          <w:vertAlign w:val="subscript"/>
        </w:rPr>
        <w:t>x</w:t>
      </w:r>
      <w:r>
        <w:t xml:space="preserve"> ihre Wirkung nur aus der spezielleren </w:t>
      </w:r>
      <w:r>
        <w:rPr>
          <w:i/>
        </w:rPr>
        <w:t>B</w:t>
      </w:r>
      <w:r>
        <w:rPr>
          <w:i/>
          <w:vertAlign w:val="subscript"/>
        </w:rPr>
        <w:t>j</w:t>
      </w:r>
      <w:r>
        <w:t xml:space="preserve"> bezieht; sie gehört hinausgeworfen!</w:t>
      </w:r>
    </w:p>
    <w:p w:rsidR="00D2554C" w:rsidRDefault="00D2554C">
      <w:pPr>
        <w:pStyle w:val="Text"/>
      </w:pPr>
      <w:r>
        <w:t xml:space="preserve">Andererseits wäre eine Regel </w:t>
      </w:r>
      <w:r>
        <w:rPr>
          <w:i/>
        </w:rPr>
        <w:t>B</w:t>
      </w:r>
      <w:r>
        <w:rPr>
          <w:i/>
          <w:vertAlign w:val="subscript"/>
        </w:rPr>
        <w:t>x</w:t>
      </w:r>
      <w:r>
        <w:t xml:space="preserve"> mit </w:t>
      </w:r>
      <w:r>
        <w:rPr>
          <w:i/>
        </w:rPr>
        <w:t>w</w:t>
      </w:r>
      <w:r>
        <w:t>(</w:t>
      </w:r>
      <w:r>
        <w:rPr>
          <w:i/>
        </w:rPr>
        <w:t>B</w:t>
      </w:r>
      <w:r>
        <w:rPr>
          <w:i/>
          <w:vertAlign w:val="subscript"/>
        </w:rPr>
        <w:t>x</w:t>
      </w:r>
      <w:r>
        <w:t xml:space="preserve">) = </w:t>
      </w:r>
      <w:r>
        <w:rPr>
          <w:i/>
        </w:rPr>
        <w:t>w</w:t>
      </w:r>
      <w:r>
        <w:t>(</w:t>
      </w:r>
      <w:r>
        <w:rPr>
          <w:i/>
        </w:rPr>
        <w:t>B</w:t>
      </w:r>
      <w:r w:rsidR="005C0D1A">
        <w:rPr>
          <w:i/>
          <w:vertAlign w:val="subscript"/>
        </w:rPr>
        <w:t>j</w:t>
      </w:r>
      <w:r>
        <w:t xml:space="preserve">) ganz unverdächtig: Wenn beide </w:t>
      </w:r>
      <w:r w:rsidR="00765E66">
        <w:t>Merkmalsregel</w:t>
      </w:r>
      <w:r>
        <w:t>n die gleiche Anwendungswahrscheinlichkeit haben, gibt es keinen Hinweis darauf, dass die Anwendungen der allgemeineren durch die der spezielleren entstehen.</w:t>
      </w:r>
    </w:p>
    <w:p w:rsidR="00D2554C" w:rsidRDefault="00D2554C">
      <w:pPr>
        <w:pStyle w:val="Text"/>
      </w:pPr>
      <w:r>
        <w:t xml:space="preserve">Wenn </w:t>
      </w:r>
      <w:r>
        <w:rPr>
          <w:i/>
        </w:rPr>
        <w:t>w</w:t>
      </w:r>
      <w:r>
        <w:t>(</w:t>
      </w:r>
      <w:r>
        <w:rPr>
          <w:i/>
        </w:rPr>
        <w:t>B</w:t>
      </w:r>
      <w:r>
        <w:rPr>
          <w:i/>
          <w:vertAlign w:val="subscript"/>
        </w:rPr>
        <w:t>x</w:t>
      </w:r>
      <w:r>
        <w:t xml:space="preserve">) niedriger als </w:t>
      </w:r>
      <w:r>
        <w:rPr>
          <w:i/>
        </w:rPr>
        <w:t>w</w:t>
      </w:r>
      <w:r>
        <w:t>(</w:t>
      </w:r>
      <w:r>
        <w:rPr>
          <w:i/>
        </w:rPr>
        <w:t>B</w:t>
      </w:r>
      <w:r>
        <w:rPr>
          <w:i/>
          <w:vertAlign w:val="subscript"/>
        </w:rPr>
        <w:t>j</w:t>
      </w:r>
      <w:r>
        <w:t xml:space="preserve">) ist, müssen wir überprüfen, in welchem Verhältnis diese Verringerung zur Vergrößerung der Häufigkeit der möglichen Anwendungen steht. Eine etwas niedrigere Anwendungswahrscheinlichkeit der allgemeineren </w:t>
      </w:r>
      <w:r w:rsidR="00765E66">
        <w:t>Merkmalsregel</w:t>
      </w:r>
      <w:r>
        <w:t xml:space="preserve"> </w:t>
      </w:r>
      <w:r>
        <w:rPr>
          <w:i/>
        </w:rPr>
        <w:t>B</w:t>
      </w:r>
      <w:r>
        <w:rPr>
          <w:i/>
          <w:vertAlign w:val="subscript"/>
        </w:rPr>
        <w:t>x</w:t>
      </w:r>
      <w:r>
        <w:t xml:space="preserve"> ist bei sehr viel häufigeren Anwendungen u</w:t>
      </w:r>
      <w:r>
        <w:t>n</w:t>
      </w:r>
      <w:r>
        <w:t xml:space="preserve">verdächtig. Bei nur geringfügig häufigeren Anwendungen dagegen könnte es sein, dass die allgemeinere </w:t>
      </w:r>
      <w:r w:rsidR="00765E66">
        <w:t>Merkmalsregel</w:t>
      </w:r>
      <w:r>
        <w:t xml:space="preserve"> ihre Wirkung im Wesentlichen aus der spezielleren bezieht. In diesem Fall trifft die speziellere den Sachverhalt besser; die allgemeinere </w:t>
      </w:r>
      <w:r w:rsidR="0002602F">
        <w:t>sollte entfernt werden</w:t>
      </w:r>
      <w:r>
        <w:t>.</w:t>
      </w:r>
    </w:p>
    <w:p w:rsidR="00D2554C" w:rsidRDefault="00D2554C">
      <w:pPr>
        <w:pStyle w:val="Text"/>
        <w:rPr>
          <w:iCs/>
        </w:rPr>
      </w:pPr>
      <w:r>
        <w:rPr>
          <w:iCs/>
        </w:rPr>
        <w:lastRenderedPageBreak/>
        <w:t>Wir benötigen also eine Bedingung, die überprüft, eine wie starke Beeinflu</w:t>
      </w:r>
      <w:r>
        <w:rPr>
          <w:iCs/>
        </w:rPr>
        <w:t>s</w:t>
      </w:r>
      <w:r>
        <w:rPr>
          <w:iCs/>
        </w:rPr>
        <w:t xml:space="preserve">sung jeder </w:t>
      </w:r>
      <w:r w:rsidR="00765E66">
        <w:rPr>
          <w:iCs/>
        </w:rPr>
        <w:t>Merkmalsregel</w:t>
      </w:r>
      <w:r>
        <w:rPr>
          <w:iCs/>
        </w:rPr>
        <w:t xml:space="preserve"> </w:t>
      </w:r>
      <w:r>
        <w:rPr>
          <w:i/>
        </w:rPr>
        <w:t>B</w:t>
      </w:r>
      <w:r>
        <w:rPr>
          <w:i/>
          <w:vertAlign w:val="subscript"/>
        </w:rPr>
        <w:t>x</w:t>
      </w:r>
      <w:r>
        <w:rPr>
          <w:iCs/>
        </w:rPr>
        <w:t xml:space="preserve"> durch die gerade betrachtete (</w:t>
      </w:r>
      <w:r>
        <w:rPr>
          <w:i/>
        </w:rPr>
        <w:t>B</w:t>
      </w:r>
      <w:r>
        <w:rPr>
          <w:i/>
          <w:vertAlign w:val="subscript"/>
        </w:rPr>
        <w:t>j</w:t>
      </w:r>
      <w:r>
        <w:rPr>
          <w:iCs/>
        </w:rPr>
        <w:t xml:space="preserve">) vorliegt, und für alle </w:t>
      </w:r>
      <w:r>
        <w:rPr>
          <w:i/>
        </w:rPr>
        <w:t>B</w:t>
      </w:r>
      <w:r>
        <w:rPr>
          <w:i/>
          <w:vertAlign w:val="subscript"/>
        </w:rPr>
        <w:t>x</w:t>
      </w:r>
      <w:r>
        <w:rPr>
          <w:iCs/>
        </w:rPr>
        <w:t xml:space="preserve"> ab einer bestimmten Beeinflussungsstärke zutrifft. (Diese werden durch die hinter den vertikalen Strich des Klassenbausteins geschriebene Bedingung in die Menge </w:t>
      </w:r>
      <w:r>
        <w:rPr>
          <w:i/>
        </w:rPr>
        <w:t>S</w:t>
      </w:r>
      <w:r>
        <w:rPr>
          <w:i/>
          <w:vertAlign w:val="subscript"/>
        </w:rPr>
        <w:t>j</w:t>
      </w:r>
      <w:r>
        <w:rPr>
          <w:iCs/>
        </w:rPr>
        <w:t xml:space="preserve"> gepackt und später </w:t>
      </w:r>
      <w:r w:rsidR="00DF4E05">
        <w:rPr>
          <w:iCs/>
        </w:rPr>
        <w:t xml:space="preserve">aus </w:t>
      </w:r>
      <w:r w:rsidR="00DF4E05" w:rsidRPr="00DF4E05">
        <w:rPr>
          <w:i/>
          <w:iCs/>
        </w:rPr>
        <w:t>B</w:t>
      </w:r>
      <w:r w:rsidR="00DF4E05">
        <w:rPr>
          <w:iCs/>
        </w:rPr>
        <w:t xml:space="preserve"> </w:t>
      </w:r>
      <w:r w:rsidR="0002602F">
        <w:rPr>
          <w:iCs/>
        </w:rPr>
        <w:t>entfernt</w:t>
      </w:r>
      <w:r>
        <w:rPr>
          <w:iCs/>
        </w:rPr>
        <w:t>.)</w:t>
      </w:r>
    </w:p>
    <w:p w:rsidR="00D2554C" w:rsidRDefault="00D2554C">
      <w:pPr>
        <w:pStyle w:val="Text"/>
      </w:pPr>
      <w:r>
        <w:t xml:space="preserve">Die folgende Bedingung erfüllt diese </w:t>
      </w:r>
      <w:r w:rsidR="00565BCE">
        <w:t>Aufgabe</w:t>
      </w:r>
      <w:r>
        <w:t>:</w:t>
      </w:r>
    </w:p>
    <w:p w:rsidR="00A14B9A" w:rsidRDefault="005D7996" w:rsidP="009B7D3A">
      <w:pPr>
        <w:pStyle w:val="FormelTabrechts"/>
      </w:pP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N</m:t>
                </m:r>
              </m:e>
              <m:sub>
                <m:r>
                  <m:rPr>
                    <m:nor/>
                  </m:rPr>
                  <w:rPr>
                    <w:rFonts w:cs="Times New Roman"/>
                    <w:i/>
                  </w:rPr>
                  <m:t>x</m:t>
                </m:r>
              </m:sub>
            </m:sSub>
          </m:num>
          <m:den>
            <m:sSub>
              <m:sSubPr>
                <m:ctrlPr>
                  <w:rPr>
                    <w:rFonts w:ascii="Cambria Math" w:hAnsi="Cambria Math" w:cs="Times New Roman"/>
                    <w:i/>
                    <w:lang w:val="en-US"/>
                  </w:rPr>
                </m:ctrlPr>
              </m:sSubPr>
              <m:e>
                <m:r>
                  <m:rPr>
                    <m:nor/>
                  </m:rPr>
                  <w:rPr>
                    <w:rFonts w:cs="Times New Roman"/>
                    <w:i/>
                  </w:rPr>
                  <m:t>N</m:t>
                </m:r>
              </m:e>
              <m:sub>
                <m:r>
                  <m:rPr>
                    <m:nor/>
                  </m:rPr>
                  <w:rPr>
                    <w:rFonts w:cs="Times New Roman"/>
                    <w:i/>
                  </w:rPr>
                  <m:t>j</m:t>
                </m:r>
              </m:sub>
            </m:sSub>
          </m:den>
        </m:f>
      </m:oMath>
      <w:r w:rsidR="00A14B9A" w:rsidRPr="00543BD8">
        <w:rPr>
          <w:iCs/>
        </w:rPr>
        <w:t xml:space="preserve"> </w:t>
      </w:r>
      <w:r w:rsidR="00A14B9A">
        <w:rPr>
          <w:rFonts w:cs="Times New Roman"/>
          <w:iCs/>
        </w:rPr>
        <w:t>&gt;</w:t>
      </w:r>
      <w:r w:rsidR="00A14B9A" w:rsidRPr="00543BD8">
        <w:rPr>
          <w:iCs/>
        </w:rPr>
        <w:t xml:space="preserve"> </w:t>
      </w:r>
      <m:oMath>
        <m:r>
          <m:rPr>
            <m:nor/>
          </m:rPr>
          <w:rPr>
            <w:rFonts w:cs="Times New Roman"/>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M</m:t>
                    </m:r>
                  </m:e>
                  <m:sub>
                    <m:r>
                      <m:rPr>
                        <m:nor/>
                      </m:rPr>
                      <w:rPr>
                        <w:rFonts w:cs="Times New Roman"/>
                        <w:i/>
                      </w:rPr>
                      <m:t>x</m:t>
                    </m:r>
                  </m:sub>
                </m:sSub>
              </m:num>
              <m:den>
                <m:sSub>
                  <m:sSubPr>
                    <m:ctrlPr>
                      <w:rPr>
                        <w:rFonts w:ascii="Cambria Math" w:hAnsi="Cambria Math" w:cs="Times New Roman"/>
                        <w:i/>
                        <w:lang w:val="en-US"/>
                      </w:rPr>
                    </m:ctrlPr>
                  </m:sSubPr>
                  <m:e>
                    <m:r>
                      <m:rPr>
                        <m:nor/>
                      </m:rPr>
                      <w:rPr>
                        <w:rFonts w:cs="Times New Roman"/>
                        <w:i/>
                      </w:rPr>
                      <m:t>M</m:t>
                    </m:r>
                  </m:e>
                  <m:sub>
                    <m:r>
                      <m:rPr>
                        <m:nor/>
                      </m:rPr>
                      <w:rPr>
                        <w:rFonts w:cs="Times New Roman"/>
                        <w:i/>
                      </w:rPr>
                      <m:t>j</m:t>
                    </m:r>
                  </m:sub>
                </m:sSub>
              </m:den>
            </m:f>
            <m:r>
              <m:rPr>
                <m:nor/>
              </m:rPr>
              <w:rPr>
                <w:rFonts w:cs="Times New Roman"/>
              </w:rPr>
              <m:t>)</m:t>
            </m:r>
          </m:e>
          <m:sup>
            <m:r>
              <m:rPr>
                <m:nor/>
              </m:rPr>
              <w:rPr>
                <w:rFonts w:cs="Times New Roman"/>
                <w:i/>
                <w:iCs/>
              </w:rPr>
              <m:t>f</m:t>
            </m:r>
          </m:sup>
        </m:sSup>
      </m:oMath>
      <w:r w:rsidR="00A14B9A">
        <w:rPr>
          <w:iCs/>
        </w:rPr>
        <w:tab/>
      </w:r>
      <w:r w:rsidR="009B7D3A">
        <w:rPr>
          <w:iCs/>
        </w:rPr>
        <w:tab/>
      </w:r>
      <w:r w:rsidR="009B7D3A">
        <w:rPr>
          <w:iCs/>
        </w:rPr>
        <w:tab/>
      </w:r>
      <w:r w:rsidR="00A14B9A" w:rsidRPr="00803CA0">
        <w:rPr>
          <w:iCs/>
          <w:position w:val="-6"/>
        </w:rPr>
        <w:t xml:space="preserve">für </w:t>
      </w:r>
      <w:r w:rsidR="00A14B9A" w:rsidRPr="002D397D">
        <w:rPr>
          <w:i/>
          <w:iCs/>
          <w:position w:val="-6"/>
        </w:rPr>
        <w:t>f</w:t>
      </w:r>
      <w:r w:rsidR="00A14B9A">
        <w:rPr>
          <w:iCs/>
          <w:position w:val="-6"/>
        </w:rPr>
        <w:t xml:space="preserve"> &gt;</w:t>
      </w:r>
      <w:r w:rsidR="00A14B9A" w:rsidRPr="00803CA0">
        <w:rPr>
          <w:iCs/>
          <w:position w:val="-6"/>
        </w:rPr>
        <w:t xml:space="preserve"> 1</w:t>
      </w:r>
    </w:p>
    <w:p w:rsidR="003A2CAF" w:rsidRDefault="00B82A81" w:rsidP="00A14B9A">
      <w:pPr>
        <w:pStyle w:val="Text"/>
        <w:ind w:firstLine="0"/>
        <w:rPr>
          <w:iCs/>
        </w:rPr>
      </w:pPr>
      <w:r>
        <w:rPr>
          <w:iCs/>
        </w:rPr>
        <w:t>(Zur E</w:t>
      </w:r>
      <w:r w:rsidR="005E10B4">
        <w:rPr>
          <w:iCs/>
        </w:rPr>
        <w:t>r</w:t>
      </w:r>
      <w:r>
        <w:rPr>
          <w:iCs/>
        </w:rPr>
        <w:t xml:space="preserve">innerung: </w:t>
      </w:r>
      <w:r w:rsidRPr="003A2CAF">
        <w:rPr>
          <w:i/>
          <w:iCs/>
        </w:rPr>
        <w:t>m</w:t>
      </w:r>
      <w:r>
        <w:rPr>
          <w:iCs/>
        </w:rPr>
        <w:t xml:space="preserve"> sind die tatsächlichen Anwendungen, </w:t>
      </w:r>
      <w:r w:rsidR="005E10B4">
        <w:rPr>
          <w:i/>
          <w:iCs/>
        </w:rPr>
        <w:t>n</w:t>
      </w:r>
      <w:r>
        <w:rPr>
          <w:iCs/>
        </w:rPr>
        <w:t xml:space="preserve"> die Fälle, in denen die </w:t>
      </w:r>
      <w:r w:rsidR="003D6AAC">
        <w:rPr>
          <w:iCs/>
        </w:rPr>
        <w:t>Regel hätte angewandt werden können</w:t>
      </w:r>
      <w:r>
        <w:rPr>
          <w:iCs/>
        </w:rPr>
        <w:t xml:space="preserve">, </w:t>
      </w:r>
      <w:r w:rsidRPr="003A2CAF">
        <w:rPr>
          <w:i/>
          <w:iCs/>
        </w:rPr>
        <w:t>w</w:t>
      </w:r>
      <w:r>
        <w:rPr>
          <w:iCs/>
        </w:rPr>
        <w:t xml:space="preserve"> die Anwendungswahrscheinlic</w:t>
      </w:r>
      <w:r>
        <w:rPr>
          <w:iCs/>
        </w:rPr>
        <w:t>h</w:t>
      </w:r>
      <w:r>
        <w:rPr>
          <w:iCs/>
        </w:rPr>
        <w:t>keit unter Berücksichtigung der zufälligen Wahrscheinlichkeit</w:t>
      </w:r>
      <w:r w:rsidR="005D7996">
        <w:rPr>
          <w:iCs/>
        </w:rPr>
        <w:fldChar w:fldCharType="begin"/>
      </w:r>
      <w:r w:rsidR="00425D2B">
        <w:instrText xml:space="preserve"> XE "</w:instrText>
      </w:r>
      <w:r w:rsidR="00425D2B" w:rsidRPr="00D861AC">
        <w:rPr>
          <w:iCs/>
        </w:rPr>
        <w:instrText>zufällige Wahrscheinlichkeit</w:instrText>
      </w:r>
      <w:r w:rsidR="00425D2B">
        <w:instrText xml:space="preserve">" </w:instrText>
      </w:r>
      <w:r w:rsidR="005D7996">
        <w:rPr>
          <w:iCs/>
        </w:rPr>
        <w:fldChar w:fldCharType="end"/>
      </w:r>
      <w:r>
        <w:rPr>
          <w:iCs/>
        </w:rPr>
        <w:t>.)</w:t>
      </w:r>
    </w:p>
    <w:p w:rsidR="00D2554C" w:rsidRDefault="00DF6F30" w:rsidP="00A14B9A">
      <w:pPr>
        <w:pStyle w:val="Text"/>
        <w:spacing w:before="240"/>
        <w:ind w:firstLine="0"/>
      </w:pPr>
      <w:r>
        <w:rPr>
          <w:iCs/>
        </w:rPr>
        <w:t xml:space="preserve">Überprüfen wir einige Fälle. </w:t>
      </w:r>
      <w:r w:rsidR="00D2554C">
        <w:t>Es sei</w:t>
      </w:r>
      <w:r>
        <w:t>:</w:t>
      </w:r>
    </w:p>
    <w:p w:rsidR="00D2554C" w:rsidRDefault="00D2554C" w:rsidP="00A14B9A">
      <w:pPr>
        <w:pStyle w:val="Formel"/>
      </w:pPr>
      <w:r w:rsidRPr="00014CCA">
        <w:rPr>
          <w:i/>
        </w:rPr>
        <w:t>m</w:t>
      </w:r>
      <w:r w:rsidRPr="00014CCA">
        <w:rPr>
          <w:i/>
          <w:vertAlign w:val="subscript"/>
        </w:rPr>
        <w:t>j</w:t>
      </w:r>
      <w:r w:rsidRPr="00014CCA">
        <w:t xml:space="preserve"> = 10, </w:t>
      </w:r>
      <w:r w:rsidRPr="00014CCA">
        <w:rPr>
          <w:i/>
        </w:rPr>
        <w:t>n</w:t>
      </w:r>
      <w:r w:rsidRPr="00014CCA">
        <w:rPr>
          <w:i/>
          <w:vertAlign w:val="subscript"/>
        </w:rPr>
        <w:t>j</w:t>
      </w:r>
      <w:r w:rsidRPr="00014CCA">
        <w:t xml:space="preserve"> = 20</w:t>
      </w:r>
      <w:r w:rsidR="00A201D7" w:rsidRPr="00014CCA">
        <w:t xml:space="preserve">, </w:t>
      </w:r>
      <w:r w:rsidR="00A201D7" w:rsidRPr="00014CCA">
        <w:rPr>
          <w:i/>
        </w:rPr>
        <w:t>w</w:t>
      </w:r>
      <w:r w:rsidR="00A201D7" w:rsidRPr="00014CCA">
        <w:t>(</w:t>
      </w:r>
      <w:r w:rsidR="00A201D7" w:rsidRPr="00014CCA">
        <w:rPr>
          <w:i/>
        </w:rPr>
        <w:t>B</w:t>
      </w:r>
      <w:r w:rsidR="004D562C">
        <w:rPr>
          <w:i/>
          <w:vertAlign w:val="subscript"/>
        </w:rPr>
        <w:t>j</w:t>
      </w:r>
      <w:r w:rsidR="00A201D7" w:rsidRPr="00014CCA">
        <w:t>) = 0,5</w:t>
      </w:r>
    </w:p>
    <w:p w:rsidR="00FB7AD1" w:rsidRDefault="007E4351" w:rsidP="00A14B9A">
      <w:pPr>
        <w:pStyle w:val="Text"/>
        <w:ind w:firstLine="0"/>
      </w:pPr>
      <w:r>
        <w:t xml:space="preserve">Wenn </w:t>
      </w:r>
      <w:r>
        <w:rPr>
          <w:i/>
        </w:rPr>
        <w:t>m</w:t>
      </w:r>
      <w:r>
        <w:rPr>
          <w:i/>
          <w:vertAlign w:val="subscript"/>
        </w:rPr>
        <w:t>x</w:t>
      </w:r>
      <w:r>
        <w:t xml:space="preserve"> = </w:t>
      </w:r>
      <w:r>
        <w:rPr>
          <w:i/>
        </w:rPr>
        <w:t>m</w:t>
      </w:r>
      <w:r>
        <w:rPr>
          <w:i/>
          <w:vertAlign w:val="subscript"/>
        </w:rPr>
        <w:t>j</w:t>
      </w:r>
      <w:r>
        <w:t xml:space="preserve"> gilt, heißt dies, dass die Anwendungen der allgemeineren Mer</w:t>
      </w:r>
      <w:r>
        <w:t>k</w:t>
      </w:r>
      <w:r>
        <w:t xml:space="preserve">malsregel </w:t>
      </w:r>
      <w:r w:rsidR="00CD7435">
        <w:t>im Durchschnitt</w:t>
      </w:r>
      <w:r>
        <w:t xml:space="preserve"> </w:t>
      </w:r>
      <w:r w:rsidR="00CD7435">
        <w:t xml:space="preserve">ganz </w:t>
      </w:r>
      <w:r>
        <w:t>auf die der spezielleren zurückgehen:</w:t>
      </w:r>
    </w:p>
    <w:p w:rsidR="00D2554C" w:rsidRPr="00014CCA" w:rsidRDefault="00D2554C" w:rsidP="008A30E0">
      <w:pPr>
        <w:pStyle w:val="FallxDisambiguierung"/>
      </w:pPr>
      <w:r w:rsidRPr="00014CCA">
        <w:t>Fall 1:</w:t>
      </w:r>
      <w:r w:rsidRPr="00014CCA">
        <w:tab/>
      </w:r>
      <w:r w:rsidRPr="00014CCA">
        <w:rPr>
          <w:i/>
        </w:rPr>
        <w:t>m</w:t>
      </w:r>
      <w:r w:rsidRPr="00014CCA">
        <w:rPr>
          <w:i/>
          <w:vertAlign w:val="subscript"/>
        </w:rPr>
        <w:t>x</w:t>
      </w:r>
      <w:r w:rsidRPr="00014CCA">
        <w:t xml:space="preserve"> = 10, </w:t>
      </w:r>
      <w:r w:rsidRPr="00014CCA">
        <w:rPr>
          <w:i/>
        </w:rPr>
        <w:t>n</w:t>
      </w:r>
      <w:r w:rsidRPr="00014CCA">
        <w:rPr>
          <w:i/>
          <w:vertAlign w:val="subscript"/>
        </w:rPr>
        <w:t>x</w:t>
      </w:r>
      <w:r w:rsidRPr="00014CCA">
        <w:t xml:space="preserve"> = </w:t>
      </w:r>
      <w:r w:rsidR="00E951A7">
        <w:t>4</w:t>
      </w:r>
      <w:r w:rsidR="001D415E">
        <w:t>0</w:t>
      </w:r>
      <w:r w:rsidR="00A201D7" w:rsidRPr="00014CCA">
        <w:t xml:space="preserve">, </w:t>
      </w:r>
      <w:r w:rsidR="00A201D7" w:rsidRPr="00014CCA">
        <w:rPr>
          <w:i/>
        </w:rPr>
        <w:t>w</w:t>
      </w:r>
      <w:r w:rsidR="00A201D7" w:rsidRPr="00014CCA">
        <w:t>(</w:t>
      </w:r>
      <w:r w:rsidR="00A201D7" w:rsidRPr="00014CCA">
        <w:rPr>
          <w:i/>
        </w:rPr>
        <w:t>B</w:t>
      </w:r>
      <w:r w:rsidR="00A201D7" w:rsidRPr="00014CCA">
        <w:rPr>
          <w:i/>
          <w:vertAlign w:val="subscript"/>
        </w:rPr>
        <w:t>x</w:t>
      </w:r>
      <w:r w:rsidR="001D415E">
        <w:t>) = 0,2</w:t>
      </w:r>
      <w:r w:rsidR="00E951A7">
        <w:t>5</w:t>
      </w:r>
    </w:p>
    <w:p w:rsidR="00D2554C" w:rsidRDefault="00D2554C" w:rsidP="008A30E0">
      <w:pPr>
        <w:pStyle w:val="Text"/>
        <w:ind w:firstLine="0"/>
      </w:pPr>
      <w:r>
        <w:t xml:space="preserve">Eine solche </w:t>
      </w:r>
      <w:r w:rsidR="00765E66">
        <w:t>Merkmalsregel</w:t>
      </w:r>
      <w:r>
        <w:t xml:space="preserve"> muss in jedem Fall </w:t>
      </w:r>
      <w:r w:rsidR="0002602F">
        <w:t xml:space="preserve">entfernt </w:t>
      </w:r>
      <w:r>
        <w:t xml:space="preserve">werden. Dies gilt auch tatsächlich, da die Bedingung für beliebig große </w:t>
      </w:r>
      <w:r>
        <w:rPr>
          <w:i/>
          <w:iCs/>
        </w:rPr>
        <w:t>f</w:t>
      </w:r>
      <w:r>
        <w:t xml:space="preserve"> erfüllt ist:</w:t>
      </w:r>
    </w:p>
    <w:p w:rsidR="00B82A81" w:rsidRPr="00B82A81" w:rsidRDefault="005D7996" w:rsidP="008A30E0">
      <w:pPr>
        <w:pStyle w:val="FormelTabrechts"/>
      </w:pPr>
      <m:oMath>
        <m:f>
          <m:fPr>
            <m:ctrlPr>
              <w:rPr>
                <w:rFonts w:ascii="Cambria Math" w:hAnsi="Cambria Math"/>
                <w:i/>
                <w:lang w:val="en-US"/>
              </w:rPr>
            </m:ctrlPr>
          </m:fPr>
          <m:num>
            <m:r>
              <m:rPr>
                <m:nor/>
              </m:rPr>
              <m:t>40</m:t>
            </m:r>
          </m:num>
          <m:den>
            <m:r>
              <m:rPr>
                <m:nor/>
              </m:rPr>
              <m:t>20</m:t>
            </m:r>
          </m:den>
        </m:f>
      </m:oMath>
      <w:r w:rsidR="00543BD8" w:rsidRPr="00803CA0">
        <w:t xml:space="preserve"> </w:t>
      </w:r>
      <w:r w:rsidR="00E25EE1">
        <w:t>&gt;</w:t>
      </w:r>
      <w:r w:rsidR="00543BD8"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10</m:t>
                </m:r>
              </m:num>
              <m:den>
                <m:r>
                  <m:rPr>
                    <m:nor/>
                  </m:rPr>
                  <m:t>10</m:t>
                </m:r>
              </m:den>
            </m:f>
            <m:r>
              <m:rPr>
                <m:nor/>
              </m:rPr>
              <m:t>)</m:t>
            </m:r>
          </m:e>
          <m:sup>
            <m:r>
              <m:rPr>
                <m:nor/>
              </m:rPr>
              <w:rPr>
                <w:i/>
              </w:rPr>
              <m:t>f</m:t>
            </m:r>
          </m:sup>
        </m:sSup>
      </m:oMath>
      <w:r w:rsidR="003A2CAF" w:rsidRPr="00B82A81">
        <w:tab/>
      </w:r>
      <w:r w:rsidR="00B961C3" w:rsidRPr="00635DE8">
        <w:rPr>
          <w:rFonts w:ascii="Cambria Math" w:eastAsia="Arial Unicode MS" w:hAnsi="Cambria Math" w:cs="Arial Unicode MS"/>
        </w:rPr>
        <w:t>⇒</w:t>
      </w:r>
      <w:r w:rsidR="00B961C3">
        <w:tab/>
      </w:r>
      <w:r w:rsidR="000C2B3C">
        <w:t>2</w:t>
      </w:r>
      <w:r w:rsidR="00B961C3">
        <w:t xml:space="preserve"> </w:t>
      </w:r>
      <w:r w:rsidR="00E25EE1">
        <w:t>&gt;</w:t>
      </w:r>
      <w:r w:rsidR="00B82A81">
        <w:rPr>
          <w:position w:val="-6"/>
        </w:rPr>
        <w:t xml:space="preserve"> </w:t>
      </w:r>
      <m:oMath>
        <m:sSup>
          <m:sSupPr>
            <m:ctrlPr>
              <w:rPr>
                <w:rFonts w:ascii="Cambria Math" w:hAnsi="Cambria Math"/>
                <w:i/>
              </w:rPr>
            </m:ctrlPr>
          </m:sSupPr>
          <m:e>
            <m:r>
              <m:rPr>
                <m:nor/>
              </m:rPr>
              <m:t>1</m:t>
            </m:r>
          </m:e>
          <m:sup>
            <m:r>
              <m:rPr>
                <m:nor/>
              </m:rPr>
              <w:rPr>
                <w:rFonts w:ascii="Cambria Math"/>
                <w:i/>
              </w:rPr>
              <m:t xml:space="preserve"> </m:t>
            </m:r>
            <m:r>
              <m:rPr>
                <m:nor/>
              </m:rPr>
              <w:rPr>
                <w:i/>
              </w:rPr>
              <m:t>f</m:t>
            </m:r>
          </m:sup>
        </m:sSup>
      </m:oMath>
      <w:r w:rsidR="00B961C3">
        <w:tab/>
        <w:t xml:space="preserve">für </w:t>
      </w:r>
      <w:r w:rsidR="003E0660" w:rsidRPr="003E0660">
        <w:rPr>
          <w:i/>
        </w:rPr>
        <w:t>f</w:t>
      </w:r>
      <w:r w:rsidR="00B961C3">
        <w:t xml:space="preserve"> </w:t>
      </w:r>
      <w:r w:rsidR="002D397D">
        <w:t>&gt;</w:t>
      </w:r>
      <w:r w:rsidR="00B961C3">
        <w:t xml:space="preserve"> 1</w:t>
      </w:r>
      <w:r w:rsidR="000C2B3C">
        <w:t xml:space="preserve"> erfüllt</w:t>
      </w:r>
    </w:p>
    <w:p w:rsidR="00D2554C" w:rsidRDefault="00D2554C" w:rsidP="008A30E0">
      <w:pPr>
        <w:pStyle w:val="Text"/>
        <w:ind w:firstLine="0"/>
      </w:pPr>
      <w:r>
        <w:rPr>
          <w:rFonts w:cs="Times New Roman"/>
        </w:rPr>
        <w:t xml:space="preserve">Dies gilt auch im Grenzfall, bei einem nur geringfügig kleineren </w:t>
      </w:r>
      <w:r>
        <w:rPr>
          <w:i/>
        </w:rPr>
        <w:t>w</w:t>
      </w:r>
      <w:r>
        <w:t>:</w:t>
      </w:r>
    </w:p>
    <w:p w:rsidR="000C2B3C" w:rsidRDefault="00D2554C" w:rsidP="008A30E0">
      <w:pPr>
        <w:pStyle w:val="FallxDisambiguierung"/>
      </w:pPr>
      <w:r>
        <w:t>Fall 2:</w:t>
      </w:r>
      <w:r>
        <w:tab/>
      </w:r>
      <w:r>
        <w:rPr>
          <w:i/>
        </w:rPr>
        <w:t>m</w:t>
      </w:r>
      <w:r>
        <w:rPr>
          <w:i/>
          <w:vertAlign w:val="subscript"/>
        </w:rPr>
        <w:t>x</w:t>
      </w:r>
      <w:r>
        <w:t xml:space="preserve"> = 10, </w:t>
      </w:r>
      <w:r>
        <w:rPr>
          <w:i/>
        </w:rPr>
        <w:t>n</w:t>
      </w:r>
      <w:r>
        <w:rPr>
          <w:i/>
          <w:vertAlign w:val="subscript"/>
        </w:rPr>
        <w:t>x</w:t>
      </w:r>
      <w:r>
        <w:t xml:space="preserve"> = 21, </w:t>
      </w:r>
      <w:r>
        <w:rPr>
          <w:i/>
        </w:rPr>
        <w:t>w</w:t>
      </w:r>
      <w:r>
        <w:t>(</w:t>
      </w:r>
      <w:r>
        <w:rPr>
          <w:i/>
        </w:rPr>
        <w:t>B</w:t>
      </w:r>
      <w:r>
        <w:rPr>
          <w:i/>
          <w:vertAlign w:val="subscript"/>
        </w:rPr>
        <w:t>x</w:t>
      </w:r>
      <w:r w:rsidR="00B82A81">
        <w:t>) = 0,4</w:t>
      </w:r>
      <w:r w:rsidR="00533C8F">
        <w:t>76</w:t>
      </w:r>
    </w:p>
    <w:p w:rsidR="000C2B3C" w:rsidRPr="00B82A81" w:rsidRDefault="005D7996" w:rsidP="008A30E0">
      <w:pPr>
        <w:pStyle w:val="FormelTabrechts"/>
      </w:pPr>
      <m:oMath>
        <m:f>
          <m:fPr>
            <m:ctrlPr>
              <w:rPr>
                <w:rFonts w:ascii="Cambria Math" w:hAnsi="Cambria Math" w:cs="Times New Roman"/>
                <w:i/>
                <w:lang w:val="en-US"/>
              </w:rPr>
            </m:ctrlPr>
          </m:fPr>
          <m:num>
            <m:r>
              <m:rPr>
                <m:nor/>
              </m:rPr>
              <w:rPr>
                <w:rFonts w:cs="Times New Roman"/>
              </w:rPr>
              <m:t>21</m:t>
            </m:r>
          </m:num>
          <m:den>
            <m:r>
              <m:rPr>
                <m:nor/>
              </m:rPr>
              <w:rPr>
                <w:rFonts w:cs="Times New Roman"/>
              </w:rPr>
              <m:t>20</m:t>
            </m:r>
          </m:den>
        </m:f>
      </m:oMath>
      <w:r w:rsidR="000C2B3C" w:rsidRPr="00803CA0">
        <w:t xml:space="preserve"> </w:t>
      </w:r>
      <w:r w:rsidR="00E25EE1">
        <w:rPr>
          <w:rFonts w:cs="Times New Roman"/>
        </w:rPr>
        <w:t>&gt;</w:t>
      </w:r>
      <w:r w:rsidR="000C2B3C"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10</m:t>
                </m:r>
              </m:num>
              <m:den>
                <m:r>
                  <m:rPr>
                    <m:nor/>
                  </m:rPr>
                  <w:rPr>
                    <w:rFonts w:cs="Times New Roman"/>
                  </w:rPr>
                  <m:t>10</m:t>
                </m:r>
              </m:den>
            </m:f>
            <m:r>
              <m:rPr>
                <m:nor/>
              </m:rPr>
              <w:rPr>
                <w:rFonts w:cs="Times New Roman"/>
              </w:rPr>
              <m:t>)</m:t>
            </m:r>
          </m:e>
          <m:sup>
            <m:r>
              <m:rPr>
                <m:nor/>
              </m:rPr>
              <w:rPr>
                <w:rFonts w:cs="Times New Roman"/>
                <w:i/>
              </w:rPr>
              <m:t>f</m:t>
            </m:r>
          </m:sup>
        </m:sSup>
      </m:oMath>
      <w:r w:rsidR="008A30E0">
        <w:tab/>
      </w:r>
      <w:r w:rsidR="00635DE8" w:rsidRPr="00635DE8">
        <w:rPr>
          <w:rFonts w:ascii="Cambria Math" w:eastAsia="Arial Unicode MS" w:hAnsi="Cambria Math" w:cs="Arial Unicode MS"/>
        </w:rPr>
        <w:t>⇒</w:t>
      </w:r>
      <w:r w:rsidR="000C2B3C">
        <w:tab/>
        <w:t xml:space="preserve">1,05 </w:t>
      </w:r>
      <w:r w:rsidR="00E25EE1">
        <w:rPr>
          <w:rFonts w:cs="Times New Roman"/>
        </w:rPr>
        <w:t>&gt;</w:t>
      </w:r>
      <w:r w:rsidR="000C2B3C">
        <w:rPr>
          <w:position w:val="-6"/>
        </w:rPr>
        <w:t xml:space="preserve"> </w:t>
      </w:r>
      <m:oMath>
        <m:sSup>
          <m:sSupPr>
            <m:ctrlPr>
              <w:rPr>
                <w:rFonts w:ascii="Cambria Math" w:hAnsi="Cambria Math" w:cs="Times New Roman"/>
                <w:i/>
              </w:rPr>
            </m:ctrlPr>
          </m:sSupPr>
          <m:e>
            <m:r>
              <m:rPr>
                <m:nor/>
              </m:rPr>
              <w:rPr>
                <w:rFonts w:cs="Times New Roman"/>
              </w:rPr>
              <m:t>1</m:t>
            </m:r>
          </m:e>
          <m:sup>
            <m:r>
              <m:rPr>
                <m:nor/>
              </m:rPr>
              <w:rPr>
                <w:rFonts w:ascii="Cambria Math" w:cs="Times New Roman"/>
                <w:i/>
              </w:rPr>
              <m:t xml:space="preserve"> </m:t>
            </m:r>
            <m:r>
              <m:rPr>
                <m:nor/>
              </m:rPr>
              <w:rPr>
                <w:rFonts w:cs="Times New Roman"/>
                <w:i/>
              </w:rPr>
              <m:t>f</m:t>
            </m:r>
          </m:sup>
        </m:sSup>
      </m:oMath>
      <w:r w:rsidR="00E73FF0">
        <w:tab/>
      </w:r>
      <w:r w:rsidR="000C2B3C">
        <w:t xml:space="preserve">für </w:t>
      </w:r>
      <w:r w:rsidR="003E0660" w:rsidRPr="003E0660">
        <w:rPr>
          <w:i/>
        </w:rPr>
        <w:t>f</w:t>
      </w:r>
      <w:r w:rsidR="000C2B3C">
        <w:t xml:space="preserve"> </w:t>
      </w:r>
      <w:r w:rsidR="002D397D">
        <w:rPr>
          <w:rFonts w:cs="Times New Roman"/>
        </w:rPr>
        <w:t>&gt;</w:t>
      </w:r>
      <w:r w:rsidR="000C2B3C">
        <w:t xml:space="preserve"> 1 erfüllt</w:t>
      </w:r>
    </w:p>
    <w:p w:rsidR="00D2554C" w:rsidRDefault="00D2554C" w:rsidP="008A30E0">
      <w:pPr>
        <w:pStyle w:val="Text"/>
        <w:ind w:firstLine="0"/>
      </w:pPr>
      <w:r>
        <w:rPr>
          <w:iCs/>
        </w:rPr>
        <w:t>Keinerlei Anzeichen</w:t>
      </w:r>
      <w:r w:rsidR="009C53AE">
        <w:rPr>
          <w:iCs/>
        </w:rPr>
        <w:t xml:space="preserve"> </w:t>
      </w:r>
      <w:r>
        <w:rPr>
          <w:iCs/>
        </w:rPr>
        <w:t xml:space="preserve">für eine Beeinflussung durch die speziellere </w:t>
      </w:r>
      <w:r w:rsidR="00765E66">
        <w:rPr>
          <w:iCs/>
        </w:rPr>
        <w:t>Merkmalsregel</w:t>
      </w:r>
      <w:r>
        <w:rPr>
          <w:iCs/>
        </w:rPr>
        <w:t xml:space="preserve"> gibt es bei </w:t>
      </w:r>
      <w:r>
        <w:rPr>
          <w:i/>
        </w:rPr>
        <w:t>w</w:t>
      </w:r>
      <w:r>
        <w:t>(</w:t>
      </w:r>
      <w:r>
        <w:rPr>
          <w:i/>
        </w:rPr>
        <w:t>B</w:t>
      </w:r>
      <w:r>
        <w:rPr>
          <w:i/>
          <w:vertAlign w:val="subscript"/>
        </w:rPr>
        <w:t>x</w:t>
      </w:r>
      <w:r>
        <w:t xml:space="preserve">) = </w:t>
      </w:r>
      <w:r>
        <w:rPr>
          <w:i/>
        </w:rPr>
        <w:t>w</w:t>
      </w:r>
      <w:r>
        <w:t>(</w:t>
      </w:r>
      <w:r>
        <w:rPr>
          <w:i/>
        </w:rPr>
        <w:t>B</w:t>
      </w:r>
      <w:r>
        <w:rPr>
          <w:i/>
          <w:vertAlign w:val="subscript"/>
        </w:rPr>
        <w:t>j</w:t>
      </w:r>
      <w:r>
        <w:t xml:space="preserve">), die daher in keinem Fall </w:t>
      </w:r>
      <w:r w:rsidR="0002602F">
        <w:t xml:space="preserve">entfernt </w:t>
      </w:r>
      <w:r>
        <w:t>werden darf:</w:t>
      </w:r>
    </w:p>
    <w:p w:rsidR="00D2554C" w:rsidRDefault="00D2554C" w:rsidP="008A30E0">
      <w:pPr>
        <w:pStyle w:val="FallxDisambiguierung"/>
      </w:pPr>
      <w:r>
        <w:t>Fall 3:</w:t>
      </w:r>
      <w:r>
        <w:tab/>
      </w:r>
      <w:r>
        <w:rPr>
          <w:i/>
        </w:rPr>
        <w:t>m</w:t>
      </w:r>
      <w:r>
        <w:rPr>
          <w:i/>
          <w:vertAlign w:val="subscript"/>
        </w:rPr>
        <w:t>x</w:t>
      </w:r>
      <w:r>
        <w:t xml:space="preserve"> = </w:t>
      </w:r>
      <w:r w:rsidR="001A5364">
        <w:t>2</w:t>
      </w:r>
      <w:r>
        <w:t xml:space="preserve">0, </w:t>
      </w:r>
      <w:r>
        <w:rPr>
          <w:i/>
        </w:rPr>
        <w:t>n</w:t>
      </w:r>
      <w:r>
        <w:rPr>
          <w:i/>
          <w:vertAlign w:val="subscript"/>
        </w:rPr>
        <w:t>x</w:t>
      </w:r>
      <w:r>
        <w:t xml:space="preserve"> = </w:t>
      </w:r>
      <w:r w:rsidR="001A5364">
        <w:t>4</w:t>
      </w:r>
      <w:r>
        <w:t xml:space="preserve">0, </w:t>
      </w:r>
      <w:r>
        <w:rPr>
          <w:i/>
        </w:rPr>
        <w:t>w</w:t>
      </w:r>
      <w:r>
        <w:t>(</w:t>
      </w:r>
      <w:r>
        <w:rPr>
          <w:i/>
        </w:rPr>
        <w:t>B</w:t>
      </w:r>
      <w:r>
        <w:rPr>
          <w:i/>
          <w:vertAlign w:val="subscript"/>
        </w:rPr>
        <w:t>x</w:t>
      </w:r>
      <w:r>
        <w:t>) = 0,5</w:t>
      </w:r>
    </w:p>
    <w:p w:rsidR="00A201D7" w:rsidRPr="00B82A81" w:rsidRDefault="005D7996" w:rsidP="008A30E0">
      <w:pPr>
        <w:pStyle w:val="FormelTabrechts"/>
      </w:pPr>
      <m:oMath>
        <m:f>
          <m:fPr>
            <m:ctrlPr>
              <w:rPr>
                <w:rFonts w:ascii="Cambria Math" w:hAnsi="Cambria Math" w:cs="Times New Roman"/>
                <w:i/>
                <w:lang w:val="en-US"/>
              </w:rPr>
            </m:ctrlPr>
          </m:fPr>
          <m:num>
            <m:r>
              <m:rPr>
                <m:nor/>
              </m:rPr>
              <w:rPr>
                <w:rFonts w:cs="Times New Roman"/>
              </w:rPr>
              <m:t>40</m:t>
            </m:r>
          </m:num>
          <m:den>
            <m:r>
              <m:rPr>
                <m:nor/>
              </m:rPr>
              <w:rPr>
                <w:rFonts w:cs="Times New Roman"/>
              </w:rPr>
              <m:t>20</m:t>
            </m:r>
          </m:den>
        </m:f>
      </m:oMath>
      <w:r w:rsidR="00A201D7" w:rsidRPr="00803CA0">
        <w:t xml:space="preserve"> </w:t>
      </w:r>
      <w:r w:rsidR="00E25EE1">
        <w:rPr>
          <w:rFonts w:cs="Times New Roman"/>
        </w:rPr>
        <w:t>&gt;</w:t>
      </w:r>
      <w:r w:rsidR="00A201D7"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20</m:t>
                </m:r>
              </m:num>
              <m:den>
                <m:r>
                  <m:rPr>
                    <m:nor/>
                  </m:rPr>
                  <w:rPr>
                    <w:rFonts w:cs="Times New Roman"/>
                  </w:rPr>
                  <m:t>10</m:t>
                </m:r>
              </m:den>
            </m:f>
            <m:r>
              <m:rPr>
                <m:nor/>
              </m:rPr>
              <w:rPr>
                <w:rFonts w:cs="Times New Roman"/>
              </w:rPr>
              <m:t>)</m:t>
            </m:r>
          </m:e>
          <m:sup>
            <m:r>
              <m:rPr>
                <m:nor/>
              </m:rPr>
              <w:rPr>
                <w:rFonts w:cs="Times New Roman"/>
                <w:i/>
              </w:rPr>
              <m:t>f</m:t>
            </m:r>
          </m:sup>
        </m:sSup>
      </m:oMath>
      <w:r w:rsidR="00A201D7" w:rsidRPr="00B82A81">
        <w:tab/>
      </w:r>
      <w:r w:rsidR="00635DE8" w:rsidRPr="00635DE8">
        <w:rPr>
          <w:rFonts w:ascii="Cambria Math" w:eastAsia="Arial Unicode MS" w:hAnsi="Cambria Math" w:cs="Arial Unicode MS"/>
        </w:rPr>
        <w:t>⇒</w:t>
      </w:r>
      <w:r w:rsidR="00A201D7">
        <w:tab/>
      </w:r>
      <w:r w:rsidR="001A5364">
        <w:t>2</w:t>
      </w:r>
      <w:r w:rsidR="00A201D7">
        <w:t xml:space="preserve"> </w:t>
      </w:r>
      <w:r w:rsidR="00E25EE1">
        <w:rPr>
          <w:rFonts w:cs="Times New Roman"/>
        </w:rPr>
        <w:t>&gt;</w:t>
      </w:r>
      <w:r w:rsidR="00A201D7">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E73FF0">
        <w:tab/>
      </w:r>
      <w:r w:rsidR="00A201D7">
        <w:t xml:space="preserve">für </w:t>
      </w:r>
      <w:r w:rsidR="003E0660" w:rsidRPr="003E0660">
        <w:rPr>
          <w:i/>
        </w:rPr>
        <w:t>f</w:t>
      </w:r>
      <w:r w:rsidR="00A201D7">
        <w:t xml:space="preserve"> </w:t>
      </w:r>
      <w:r w:rsidR="002D397D">
        <w:rPr>
          <w:rFonts w:cs="Times New Roman"/>
        </w:rPr>
        <w:t>&gt;</w:t>
      </w:r>
      <w:r w:rsidR="00A201D7">
        <w:t xml:space="preserve"> 1 </w:t>
      </w:r>
      <w:r w:rsidR="003E0660">
        <w:t xml:space="preserve">nicht </w:t>
      </w:r>
      <w:r w:rsidR="00A201D7">
        <w:t>erfüllt</w:t>
      </w:r>
    </w:p>
    <w:p w:rsidR="00D2554C" w:rsidRDefault="00D2554C" w:rsidP="008A30E0">
      <w:pPr>
        <w:pStyle w:val="Text"/>
        <w:ind w:firstLine="0"/>
        <w:rPr>
          <w:iCs/>
        </w:rPr>
      </w:pPr>
      <w:r>
        <w:rPr>
          <w:iCs/>
        </w:rPr>
        <w:t xml:space="preserve">Man beachte, dass in diesem Fall auch </w:t>
      </w:r>
      <w:r w:rsidR="00656D9D">
        <w:rPr>
          <w:iCs/>
        </w:rPr>
        <w:t xml:space="preserve">eine </w:t>
      </w:r>
      <w:r>
        <w:rPr>
          <w:iCs/>
        </w:rPr>
        <w:t>allgemeinere Regel</w:t>
      </w:r>
      <w:r w:rsidR="00656D9D">
        <w:rPr>
          <w:iCs/>
        </w:rPr>
        <w:t xml:space="preserve"> erhalten bleibt</w:t>
      </w:r>
      <w:r>
        <w:rPr>
          <w:iCs/>
        </w:rPr>
        <w:t>, die genau so oft angewandt wurde</w:t>
      </w:r>
      <w:r w:rsidR="00194075">
        <w:rPr>
          <w:iCs/>
        </w:rPr>
        <w:t xml:space="preserve"> wie die </w:t>
      </w:r>
      <w:r>
        <w:rPr>
          <w:iCs/>
        </w:rPr>
        <w:t>speziellere</w:t>
      </w:r>
      <w:r w:rsidR="00072259">
        <w:rPr>
          <w:iCs/>
        </w:rPr>
        <w:t xml:space="preserve"> (</w:t>
      </w:r>
      <w:r w:rsidR="00072259">
        <w:rPr>
          <w:i/>
        </w:rPr>
        <w:t>m</w:t>
      </w:r>
      <w:r w:rsidR="00072259">
        <w:rPr>
          <w:i/>
          <w:vertAlign w:val="subscript"/>
        </w:rPr>
        <w:t>x</w:t>
      </w:r>
      <w:r w:rsidR="00072259">
        <w:rPr>
          <w:iCs/>
        </w:rPr>
        <w:t xml:space="preserve"> = </w:t>
      </w:r>
      <w:r w:rsidR="00072259">
        <w:rPr>
          <w:i/>
        </w:rPr>
        <w:t>m</w:t>
      </w:r>
      <w:r w:rsidR="00072259">
        <w:rPr>
          <w:i/>
          <w:vertAlign w:val="subscript"/>
        </w:rPr>
        <w:t>j</w:t>
      </w:r>
      <w:r w:rsidR="00072259">
        <w:rPr>
          <w:iCs/>
        </w:rPr>
        <w:t>)</w:t>
      </w:r>
      <w:r>
        <w:rPr>
          <w:iCs/>
        </w:rPr>
        <w:t>:</w:t>
      </w:r>
    </w:p>
    <w:p w:rsidR="00D2554C" w:rsidRDefault="00D2554C" w:rsidP="008A30E0">
      <w:pPr>
        <w:pStyle w:val="FallxDisambiguierung"/>
      </w:pPr>
      <w:r>
        <w:t>Fall 4:</w:t>
      </w:r>
      <w:r>
        <w:tab/>
      </w:r>
      <w:r>
        <w:rPr>
          <w:i/>
        </w:rPr>
        <w:t>m</w:t>
      </w:r>
      <w:r>
        <w:rPr>
          <w:i/>
          <w:vertAlign w:val="subscript"/>
        </w:rPr>
        <w:t>x</w:t>
      </w:r>
      <w:r>
        <w:t xml:space="preserve"> = 10, </w:t>
      </w:r>
      <w:r>
        <w:rPr>
          <w:i/>
        </w:rPr>
        <w:t>n</w:t>
      </w:r>
      <w:r>
        <w:rPr>
          <w:i/>
          <w:vertAlign w:val="subscript"/>
        </w:rPr>
        <w:t>x</w:t>
      </w:r>
      <w:r>
        <w:t xml:space="preserve"> = 20, </w:t>
      </w:r>
      <w:r>
        <w:rPr>
          <w:i/>
        </w:rPr>
        <w:t>w</w:t>
      </w:r>
      <w:r>
        <w:t>(</w:t>
      </w:r>
      <w:r>
        <w:rPr>
          <w:i/>
        </w:rPr>
        <w:t>B</w:t>
      </w:r>
      <w:r>
        <w:rPr>
          <w:i/>
          <w:vertAlign w:val="subscript"/>
        </w:rPr>
        <w:t>x</w:t>
      </w:r>
      <w:r>
        <w:t>) = 0,5</w:t>
      </w:r>
    </w:p>
    <w:p w:rsidR="001A5364" w:rsidRPr="00B82A81" w:rsidRDefault="005D7996" w:rsidP="008A30E0">
      <w:pPr>
        <w:pStyle w:val="FormelTabrechts"/>
      </w:pPr>
      <m:oMath>
        <m:f>
          <m:fPr>
            <m:ctrlPr>
              <w:rPr>
                <w:rFonts w:ascii="Cambria Math" w:hAnsi="Cambria Math" w:cs="Times New Roman"/>
                <w:i/>
                <w:lang w:val="en-US"/>
              </w:rPr>
            </m:ctrlPr>
          </m:fPr>
          <m:num>
            <m:r>
              <m:rPr>
                <m:nor/>
              </m:rPr>
              <w:rPr>
                <w:rFonts w:cs="Times New Roman"/>
              </w:rPr>
              <m:t>20</m:t>
            </m:r>
          </m:num>
          <m:den>
            <m:r>
              <m:rPr>
                <m:nor/>
              </m:rPr>
              <w:rPr>
                <w:rFonts w:cs="Times New Roman"/>
              </w:rPr>
              <m:t>20</m:t>
            </m:r>
          </m:den>
        </m:f>
      </m:oMath>
      <w:r w:rsidR="001A5364" w:rsidRPr="00803CA0">
        <w:t xml:space="preserve"> </w:t>
      </w:r>
      <w:r w:rsidR="00E25EE1">
        <w:rPr>
          <w:rFonts w:cs="Times New Roman"/>
        </w:rPr>
        <w:t>&gt;</w:t>
      </w:r>
      <w:r w:rsidR="001A5364"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10</m:t>
                </m:r>
              </m:num>
              <m:den>
                <m:r>
                  <m:rPr>
                    <m:nor/>
                  </m:rPr>
                  <w:rPr>
                    <w:rFonts w:cs="Times New Roman"/>
                  </w:rPr>
                  <m:t>10</m:t>
                </m:r>
              </m:den>
            </m:f>
            <m:r>
              <m:rPr>
                <m:nor/>
              </m:rPr>
              <w:rPr>
                <w:rFonts w:cs="Times New Roman"/>
              </w:rPr>
              <m:t>)</m:t>
            </m:r>
          </m:e>
          <m:sup>
            <m:r>
              <m:rPr>
                <m:nor/>
              </m:rPr>
              <w:rPr>
                <w:rFonts w:cs="Times New Roman"/>
                <w:i/>
              </w:rPr>
              <m:t>f</m:t>
            </m:r>
          </m:sup>
        </m:sSup>
      </m:oMath>
      <w:r w:rsidR="001A5364" w:rsidRPr="00B82A81">
        <w:tab/>
      </w:r>
      <w:r w:rsidR="00635DE8" w:rsidRPr="00635DE8">
        <w:rPr>
          <w:rFonts w:ascii="Cambria Math" w:eastAsia="Arial Unicode MS" w:hAnsi="Cambria Math" w:cs="Arial Unicode MS"/>
        </w:rPr>
        <w:t>⇒</w:t>
      </w:r>
      <w:r w:rsidR="001A5364">
        <w:tab/>
        <w:t xml:space="preserve">1 </w:t>
      </w:r>
      <w:r w:rsidR="00E25EE1">
        <w:rPr>
          <w:rFonts w:cs="Times New Roman"/>
        </w:rPr>
        <w:t>&gt;</w:t>
      </w:r>
      <w:r w:rsidR="001A5364">
        <w:rPr>
          <w:position w:val="-6"/>
        </w:rPr>
        <w:t xml:space="preserve"> </w:t>
      </w:r>
      <m:oMath>
        <m:sSup>
          <m:sSupPr>
            <m:ctrlPr>
              <w:rPr>
                <w:rFonts w:ascii="Cambria Math" w:hAnsi="Cambria Math" w:cs="Times New Roman"/>
                <w:i/>
              </w:rPr>
            </m:ctrlPr>
          </m:sSupPr>
          <m:e>
            <m:r>
              <m:rPr>
                <m:nor/>
              </m:rPr>
              <w:rPr>
                <w:rFonts w:cs="Times New Roman"/>
              </w:rPr>
              <m:t>1</m:t>
            </m:r>
          </m:e>
          <m:sup>
            <m:r>
              <m:rPr>
                <m:nor/>
              </m:rPr>
              <w:rPr>
                <w:rFonts w:ascii="Cambria Math" w:cs="Times New Roman"/>
                <w:i/>
              </w:rPr>
              <m:t xml:space="preserve"> </m:t>
            </m:r>
            <m:r>
              <m:rPr>
                <m:nor/>
              </m:rPr>
              <w:rPr>
                <w:rFonts w:cs="Times New Roman"/>
                <w:i/>
              </w:rPr>
              <m:t>f</m:t>
            </m:r>
          </m:sup>
        </m:sSup>
      </m:oMath>
      <w:r w:rsidR="00E73FF0">
        <w:tab/>
      </w:r>
      <w:r w:rsidR="001A5364">
        <w:t xml:space="preserve">für </w:t>
      </w:r>
      <w:r w:rsidR="003E0660" w:rsidRPr="003E0660">
        <w:rPr>
          <w:i/>
        </w:rPr>
        <w:t>f</w:t>
      </w:r>
      <w:r w:rsidR="001A5364">
        <w:t xml:space="preserve"> </w:t>
      </w:r>
      <w:r w:rsidR="002D397D">
        <w:rPr>
          <w:rFonts w:cs="Times New Roman"/>
        </w:rPr>
        <w:t>&gt;</w:t>
      </w:r>
      <w:r w:rsidR="001A5364">
        <w:t xml:space="preserve"> 1 </w:t>
      </w:r>
      <w:r w:rsidR="003E0660">
        <w:t xml:space="preserve">nicht </w:t>
      </w:r>
      <w:r w:rsidR="001A5364">
        <w:t>erfüllt</w:t>
      </w:r>
    </w:p>
    <w:p w:rsidR="00D2554C" w:rsidRDefault="00D2554C" w:rsidP="008A30E0">
      <w:pPr>
        <w:pStyle w:val="Text"/>
        <w:ind w:firstLine="0"/>
      </w:pPr>
      <w:r>
        <w:rPr>
          <w:iCs/>
        </w:rPr>
        <w:lastRenderedPageBreak/>
        <w:t>Dies macht auch Sinn, da sie ja w</w:t>
      </w:r>
      <w:r w:rsidR="00072259">
        <w:rPr>
          <w:iCs/>
        </w:rPr>
        <w:t>egen</w:t>
      </w:r>
      <w:r>
        <w:rPr>
          <w:iCs/>
        </w:rPr>
        <w:t xml:space="preserve"> </w:t>
      </w:r>
      <w:r>
        <w:rPr>
          <w:i/>
        </w:rPr>
        <w:t>w</w:t>
      </w:r>
      <w:r>
        <w:t>(</w:t>
      </w:r>
      <w:r>
        <w:rPr>
          <w:i/>
        </w:rPr>
        <w:t>B</w:t>
      </w:r>
      <w:r>
        <w:rPr>
          <w:i/>
          <w:vertAlign w:val="subscript"/>
        </w:rPr>
        <w:t>x</w:t>
      </w:r>
      <w:r>
        <w:t xml:space="preserve">) = </w:t>
      </w:r>
      <w:r>
        <w:rPr>
          <w:i/>
        </w:rPr>
        <w:t>w</w:t>
      </w:r>
      <w:r>
        <w:t>(</w:t>
      </w:r>
      <w:r>
        <w:rPr>
          <w:i/>
        </w:rPr>
        <w:t>B</w:t>
      </w:r>
      <w:r>
        <w:rPr>
          <w:i/>
          <w:vertAlign w:val="subscript"/>
        </w:rPr>
        <w:t>j</w:t>
      </w:r>
      <w:r>
        <w:t xml:space="preserve">) auch dasselbe </w:t>
      </w:r>
      <w:r>
        <w:rPr>
          <w:i/>
          <w:iCs/>
        </w:rPr>
        <w:t>n</w:t>
      </w:r>
      <w:r>
        <w:t xml:space="preserve"> hat, was </w:t>
      </w:r>
      <w:r w:rsidR="0095421B">
        <w:t>heißt</w:t>
      </w:r>
      <w:r>
        <w:t xml:space="preserve">, dass </w:t>
      </w:r>
      <w:r w:rsidR="0095421B">
        <w:t xml:space="preserve">sie bei genau denselben </w:t>
      </w:r>
      <w:r w:rsidR="00721558">
        <w:t>Alter</w:t>
      </w:r>
      <w:r w:rsidR="00721558">
        <w:softHyphen/>
        <w:t>nativen</w:t>
      </w:r>
      <w:r w:rsidR="00721558">
        <w:softHyphen/>
        <w:t>klasse</w:t>
      </w:r>
      <w:r w:rsidR="0095421B">
        <w:t xml:space="preserve">n anwendbar war wie die </w:t>
      </w:r>
      <w:r>
        <w:t>speziellere</w:t>
      </w:r>
      <w:r w:rsidR="00072259">
        <w:t xml:space="preserve">, </w:t>
      </w:r>
      <w:r>
        <w:t xml:space="preserve">deren </w:t>
      </w:r>
      <w:r>
        <w:rPr>
          <w:i/>
          <w:iCs/>
        </w:rPr>
        <w:t>U</w:t>
      </w:r>
      <w:r>
        <w:t xml:space="preserve"> also überflüssige Eigenschaften enthielt.</w:t>
      </w:r>
      <w:r w:rsidR="00906892">
        <w:rPr>
          <w:rStyle w:val="Funotenzeichen"/>
          <w:iCs/>
        </w:rPr>
        <w:footnoteReference w:id="388"/>
      </w:r>
      <w:r>
        <w:t xml:space="preserve"> Somit lässt sich der Sachverhalt effektiver mit der allgemeineren Regel beschreiben. Wir lassen sie drin und vertrauen auf die Überprüfung der spezielleren Regeln </w:t>
      </w:r>
      <w:r w:rsidR="00656D9D">
        <w:t xml:space="preserve">in </w:t>
      </w:r>
      <w:r>
        <w:t xml:space="preserve">Modul </w:t>
      </w:r>
      <w:r w:rsidR="00656D9D">
        <w:t>2</w:t>
      </w:r>
      <w:r>
        <w:t>, um die andere h</w:t>
      </w:r>
      <w:r w:rsidR="00906892">
        <w:t>in</w:t>
      </w:r>
      <w:r>
        <w:t>auszuwerfen.</w:t>
      </w:r>
    </w:p>
    <w:p w:rsidR="00D2554C" w:rsidRDefault="00D2554C">
      <w:pPr>
        <w:pStyle w:val="Text"/>
      </w:pPr>
      <w:r>
        <w:t xml:space="preserve">Wir haben noch zu überprüfen, ob sich der Toleranzfaktor </w:t>
      </w:r>
      <w:r w:rsidR="00975C10">
        <w:t xml:space="preserve">auch </w:t>
      </w:r>
      <w:r>
        <w:t>wie g</w:t>
      </w:r>
      <w:r>
        <w:t>e</w:t>
      </w:r>
      <w:r>
        <w:t xml:space="preserve">wünscht verhält: Wenn er erhöht wird, sollten die nicht mehr </w:t>
      </w:r>
      <w:r w:rsidR="0002602F">
        <w:t xml:space="preserve">entfernten </w:t>
      </w:r>
      <w:r>
        <w:t>(</w:t>
      </w:r>
      <w:r w:rsidR="00DC38CA">
        <w:t xml:space="preserve">das heißt </w:t>
      </w:r>
      <w:r>
        <w:t>‚geretteten‘) Regeln einen kleineren Teil ihrer Wirkung von der speziell</w:t>
      </w:r>
      <w:r>
        <w:t>e</w:t>
      </w:r>
      <w:r>
        <w:t>ren Regel beziehen, die später ‚geretteten‘ einen größeren. Nehmen wir zwei Fälle. Beide hätten 100 Mal angewandt werden können</w:t>
      </w:r>
      <w:r w:rsidR="00673132">
        <w:t xml:space="preserve">. </w:t>
      </w:r>
      <w:r>
        <w:t xml:space="preserve">In Fall 5 bezieht die </w:t>
      </w:r>
      <w:r w:rsidR="00091198">
        <w:t>al</w:t>
      </w:r>
      <w:r w:rsidR="00091198">
        <w:t>l</w:t>
      </w:r>
      <w:r w:rsidR="00091198">
        <w:t xml:space="preserve">gemeinere Regel </w:t>
      </w:r>
      <w:r>
        <w:t>einen kleineren Teil ihrer Anwendungen von der spezielleren Regel, in Fall 6 einen größeren:</w:t>
      </w:r>
    </w:p>
    <w:p w:rsidR="00D2554C" w:rsidRDefault="00D2554C" w:rsidP="008A30E0">
      <w:pPr>
        <w:pStyle w:val="FallxDisambiguierung"/>
      </w:pPr>
      <w:r>
        <w:rPr>
          <w:iCs/>
        </w:rPr>
        <w:t>Fall 5:</w:t>
      </w:r>
      <w:r>
        <w:t xml:space="preserve"> </w:t>
      </w:r>
      <w:r>
        <w:tab/>
      </w:r>
      <w:r>
        <w:rPr>
          <w:i/>
        </w:rPr>
        <w:t>m</w:t>
      </w:r>
      <w:r>
        <w:rPr>
          <w:i/>
          <w:vertAlign w:val="subscript"/>
        </w:rPr>
        <w:t>x</w:t>
      </w:r>
      <w:r>
        <w:t xml:space="preserve"> = 40, </w:t>
      </w:r>
      <w:r>
        <w:rPr>
          <w:i/>
        </w:rPr>
        <w:t>n</w:t>
      </w:r>
      <w:r>
        <w:rPr>
          <w:i/>
          <w:vertAlign w:val="subscript"/>
        </w:rPr>
        <w:t>x</w:t>
      </w:r>
      <w:r>
        <w:t xml:space="preserve"> = 100, </w:t>
      </w:r>
      <w:r>
        <w:rPr>
          <w:i/>
        </w:rPr>
        <w:t>w</w:t>
      </w:r>
      <w:r>
        <w:t>(</w:t>
      </w:r>
      <w:r>
        <w:rPr>
          <w:i/>
        </w:rPr>
        <w:t>B</w:t>
      </w:r>
      <w:r>
        <w:rPr>
          <w:i/>
          <w:vertAlign w:val="subscript"/>
        </w:rPr>
        <w:t>x</w:t>
      </w:r>
      <w:r>
        <w:t>) = 0,4</w:t>
      </w:r>
    </w:p>
    <w:p w:rsidR="001A5364" w:rsidRPr="00B82A81" w:rsidRDefault="005D7996" w:rsidP="008A30E0">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20</m:t>
            </m:r>
          </m:den>
        </m:f>
      </m:oMath>
      <w:r w:rsidR="001A5364" w:rsidRPr="00803CA0">
        <w:t xml:space="preserve"> </w:t>
      </w:r>
      <w:r w:rsidR="001A5364">
        <w:t>&gt;</w:t>
      </w:r>
      <w:r w:rsidR="001A5364"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40</m:t>
                </m:r>
              </m:num>
              <m:den>
                <m:r>
                  <m:rPr>
                    <m:nor/>
                  </m:rPr>
                  <w:rPr>
                    <w:rFonts w:cs="Times New Roman"/>
                  </w:rPr>
                  <m:t>10</m:t>
                </m:r>
              </m:den>
            </m:f>
            <m:r>
              <m:rPr>
                <m:nor/>
              </m:rPr>
              <w:rPr>
                <w:rFonts w:cs="Times New Roman"/>
              </w:rPr>
              <m:t>)</m:t>
            </m:r>
          </m:e>
          <m:sup>
            <m:r>
              <m:rPr>
                <m:nor/>
              </m:rPr>
              <w:rPr>
                <w:rFonts w:cs="Times New Roman"/>
                <w:i/>
              </w:rPr>
              <m:t>f</m:t>
            </m:r>
          </m:sup>
        </m:sSup>
      </m:oMath>
      <w:r w:rsidR="001A5364" w:rsidRPr="00B82A81">
        <w:tab/>
      </w:r>
      <w:r w:rsidR="00635DE8" w:rsidRPr="00635DE8">
        <w:rPr>
          <w:rFonts w:ascii="Cambria Math" w:eastAsia="Arial Unicode MS" w:hAnsi="Cambria Math" w:cs="Arial Unicode MS"/>
        </w:rPr>
        <w:t>⇒</w:t>
      </w:r>
      <w:r w:rsidR="001A5364">
        <w:tab/>
      </w:r>
      <w:r w:rsidR="003E0660">
        <w:t>5</w:t>
      </w:r>
      <w:r w:rsidR="001A5364">
        <w:t xml:space="preserve"> &gt;</w:t>
      </w:r>
      <w:r w:rsidR="001A5364">
        <w:rPr>
          <w:position w:val="-6"/>
        </w:rPr>
        <w:t xml:space="preserve"> </w:t>
      </w:r>
      <m:oMath>
        <m:sSup>
          <m:sSupPr>
            <m:ctrlPr>
              <w:rPr>
                <w:rFonts w:ascii="Cambria Math" w:hAnsi="Cambria Math" w:cs="Times New Roman"/>
                <w:i/>
              </w:rPr>
            </m:ctrlPr>
          </m:sSupPr>
          <m:e>
            <m:r>
              <m:rPr>
                <m:nor/>
              </m:rPr>
              <w:rPr>
                <w:rFonts w:cs="Times New Roman"/>
              </w:rPr>
              <m:t>4</m:t>
            </m:r>
          </m:e>
          <m:sup>
            <m:r>
              <m:rPr>
                <m:nor/>
              </m:rPr>
              <w:rPr>
                <w:rFonts w:ascii="Cambria Math" w:cs="Times New Roman"/>
                <w:i/>
              </w:rPr>
              <m:t xml:space="preserve"> </m:t>
            </m:r>
            <m:r>
              <m:rPr>
                <m:nor/>
              </m:rPr>
              <w:rPr>
                <w:rFonts w:cs="Times New Roman"/>
                <w:i/>
              </w:rPr>
              <m:t>f</m:t>
            </m:r>
          </m:sup>
        </m:sSup>
      </m:oMath>
      <w:r w:rsidR="001A5364">
        <w:tab/>
      </w:r>
      <w:r w:rsidR="00242FD0">
        <w:t>für 1,</w:t>
      </w:r>
      <w:r w:rsidR="00DE3BD4">
        <w:t>161</w:t>
      </w:r>
      <w:r w:rsidR="00242FD0">
        <w:t xml:space="preserve"> </w:t>
      </w:r>
      <w:r w:rsidR="00242FD0">
        <w:rPr>
          <w:rFonts w:cs="Times New Roman"/>
        </w:rPr>
        <w:t>&gt;</w:t>
      </w:r>
      <w:r w:rsidR="00242FD0">
        <w:t xml:space="preserve"> </w:t>
      </w:r>
      <w:r w:rsidR="00242FD0" w:rsidRPr="003E0660">
        <w:rPr>
          <w:i/>
        </w:rPr>
        <w:t>f</w:t>
      </w:r>
      <w:r w:rsidR="00242FD0">
        <w:t xml:space="preserve"> </w:t>
      </w:r>
      <w:r w:rsidR="002D397D">
        <w:rPr>
          <w:rFonts w:cs="Times New Roman"/>
        </w:rPr>
        <w:t>&gt;</w:t>
      </w:r>
      <w:r w:rsidR="00242FD0">
        <w:rPr>
          <w:rFonts w:cs="Times New Roman"/>
        </w:rPr>
        <w:t xml:space="preserve"> 1 </w:t>
      </w:r>
      <w:r w:rsidR="00C91276">
        <w:rPr>
          <w:iCs/>
        </w:rPr>
        <w:t>erf.</w:t>
      </w:r>
      <w:r w:rsidR="00242FD0">
        <w:t xml:space="preserve">, für </w:t>
      </w:r>
      <w:r w:rsidR="00242FD0" w:rsidRPr="003E0660">
        <w:rPr>
          <w:i/>
        </w:rPr>
        <w:t>f</w:t>
      </w:r>
      <w:r w:rsidR="00242FD0">
        <w:t xml:space="preserve"> </w:t>
      </w:r>
      <w:r w:rsidR="00242FD0">
        <w:rPr>
          <w:rFonts w:cs="Times New Roman"/>
        </w:rPr>
        <w:t>≥</w:t>
      </w:r>
      <w:r w:rsidR="00B772E0">
        <w:t xml:space="preserve"> 1,161 nicht erf.</w:t>
      </w:r>
    </w:p>
    <w:p w:rsidR="00D2554C" w:rsidRDefault="00B772E0" w:rsidP="008A30E0">
      <w:pPr>
        <w:pStyle w:val="Text"/>
        <w:ind w:firstLine="0"/>
        <w:rPr>
          <w:iCs/>
        </w:rPr>
      </w:pPr>
      <w:r>
        <w:rPr>
          <w:iCs/>
        </w:rPr>
        <w:t>Für</w:t>
      </w:r>
      <w:r w:rsidR="00D2554C">
        <w:rPr>
          <w:iCs/>
        </w:rPr>
        <w:t xml:space="preserve"> </w:t>
      </w:r>
      <w:r w:rsidR="00D2554C">
        <w:rPr>
          <w:i/>
        </w:rPr>
        <w:t>f</w:t>
      </w:r>
      <w:r w:rsidR="00D2554C">
        <w:rPr>
          <w:iCs/>
        </w:rPr>
        <w:t xml:space="preserve"> </w:t>
      </w:r>
      <w:r w:rsidR="00DE3BD4">
        <w:rPr>
          <w:iCs/>
        </w:rPr>
        <w:t>&lt;</w:t>
      </w:r>
      <w:r w:rsidR="00D2554C">
        <w:rPr>
          <w:iCs/>
        </w:rPr>
        <w:t xml:space="preserve"> 1,</w:t>
      </w:r>
      <w:r w:rsidR="00DE3BD4">
        <w:rPr>
          <w:iCs/>
        </w:rPr>
        <w:t>161</w:t>
      </w:r>
      <w:r w:rsidR="00D2554C">
        <w:rPr>
          <w:iCs/>
        </w:rPr>
        <w:t xml:space="preserve"> </w:t>
      </w:r>
      <w:r w:rsidR="00083DE5">
        <w:rPr>
          <w:iCs/>
        </w:rPr>
        <w:t>wird</w:t>
      </w:r>
      <w:r w:rsidR="00D2554C">
        <w:rPr>
          <w:iCs/>
        </w:rPr>
        <w:t xml:space="preserve"> die </w:t>
      </w:r>
      <w:r w:rsidR="00765E66">
        <w:rPr>
          <w:iCs/>
        </w:rPr>
        <w:t>Merkmalsregel</w:t>
      </w:r>
      <w:r w:rsidR="00D2554C">
        <w:rPr>
          <w:iCs/>
        </w:rPr>
        <w:t xml:space="preserve"> </w:t>
      </w:r>
      <w:r w:rsidR="0002602F">
        <w:rPr>
          <w:iCs/>
        </w:rPr>
        <w:t>entfernt</w:t>
      </w:r>
      <w:r w:rsidR="00D2554C">
        <w:rPr>
          <w:iCs/>
        </w:rPr>
        <w:t xml:space="preserve">, </w:t>
      </w:r>
      <w:r w:rsidR="000F0F6B">
        <w:rPr>
          <w:iCs/>
        </w:rPr>
        <w:t xml:space="preserve">ab diesem Wert </w:t>
      </w:r>
      <w:r w:rsidR="00D2554C">
        <w:rPr>
          <w:iCs/>
        </w:rPr>
        <w:t>‚gerettet‘.</w:t>
      </w:r>
    </w:p>
    <w:p w:rsidR="00FB7AD1" w:rsidRDefault="00FB7AD1">
      <w:pPr>
        <w:pStyle w:val="Text"/>
        <w:rPr>
          <w:iCs/>
        </w:rPr>
      </w:pPr>
    </w:p>
    <w:p w:rsidR="00D2554C" w:rsidRDefault="00D2554C" w:rsidP="008A30E0">
      <w:pPr>
        <w:pStyle w:val="FallxDisambiguierung"/>
      </w:pPr>
      <w:r>
        <w:rPr>
          <w:iCs/>
        </w:rPr>
        <w:t>Fall 6:</w:t>
      </w:r>
      <w:r>
        <w:tab/>
      </w:r>
      <w:r>
        <w:rPr>
          <w:i/>
        </w:rPr>
        <w:t>m</w:t>
      </w:r>
      <w:r>
        <w:rPr>
          <w:i/>
          <w:vertAlign w:val="subscript"/>
        </w:rPr>
        <w:t>x</w:t>
      </w:r>
      <w:r>
        <w:t xml:space="preserve"> = 15, </w:t>
      </w:r>
      <w:r>
        <w:rPr>
          <w:i/>
        </w:rPr>
        <w:t>n</w:t>
      </w:r>
      <w:r>
        <w:rPr>
          <w:i/>
          <w:vertAlign w:val="subscript"/>
        </w:rPr>
        <w:t>x</w:t>
      </w:r>
      <w:r>
        <w:t xml:space="preserve"> = 100, </w:t>
      </w:r>
      <w:r>
        <w:rPr>
          <w:i/>
        </w:rPr>
        <w:t>w</w:t>
      </w:r>
      <w:r>
        <w:t>(</w:t>
      </w:r>
      <w:r>
        <w:rPr>
          <w:i/>
        </w:rPr>
        <w:t>B</w:t>
      </w:r>
      <w:r>
        <w:rPr>
          <w:i/>
          <w:vertAlign w:val="subscript"/>
        </w:rPr>
        <w:t>x</w:t>
      </w:r>
      <w:r>
        <w:t>) = 0,</w:t>
      </w:r>
      <w:r w:rsidR="00D41EFE">
        <w:t>1</w:t>
      </w:r>
      <w:r>
        <w:t>5</w:t>
      </w:r>
    </w:p>
    <w:p w:rsidR="00656F67" w:rsidRPr="00B82A81" w:rsidRDefault="005D7996" w:rsidP="008A30E0">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20</m:t>
            </m:r>
          </m:den>
        </m:f>
      </m:oMath>
      <w:r w:rsidR="00656F67" w:rsidRPr="00803CA0">
        <w:t xml:space="preserve"> </w:t>
      </w:r>
      <w:r w:rsidR="00656F67">
        <w:t>&gt;</w:t>
      </w:r>
      <w:r w:rsidR="00656F67"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15</m:t>
                </m:r>
              </m:num>
              <m:den>
                <m:r>
                  <m:rPr>
                    <m:nor/>
                  </m:rPr>
                  <w:rPr>
                    <w:rFonts w:cs="Times New Roman"/>
                  </w:rPr>
                  <m:t>10</m:t>
                </m:r>
              </m:den>
            </m:f>
            <m:r>
              <m:rPr>
                <m:nor/>
              </m:rPr>
              <w:rPr>
                <w:rFonts w:cs="Times New Roman"/>
              </w:rPr>
              <m:t>)</m:t>
            </m:r>
          </m:e>
          <m:sup>
            <m:r>
              <m:rPr>
                <m:nor/>
              </m:rPr>
              <w:rPr>
                <w:rFonts w:cs="Times New Roman"/>
                <w:i/>
              </w:rPr>
              <m:t>f</m:t>
            </m:r>
          </m:sup>
        </m:sSup>
      </m:oMath>
      <w:r w:rsidR="00656F67" w:rsidRPr="00B82A81">
        <w:tab/>
      </w:r>
      <w:r w:rsidR="00635DE8" w:rsidRPr="00635DE8">
        <w:rPr>
          <w:rFonts w:ascii="Cambria Math" w:eastAsia="Arial Unicode MS" w:hAnsi="Cambria Math" w:cs="Arial Unicode MS"/>
        </w:rPr>
        <w:t>⇒</w:t>
      </w:r>
      <w:r w:rsidR="00656F67">
        <w:tab/>
        <w:t>5 &gt;</w:t>
      </w:r>
      <w:r w:rsidR="00656F67">
        <w:rPr>
          <w:position w:val="-6"/>
        </w:rPr>
        <w:t xml:space="preserve"> </w:t>
      </w:r>
      <m:oMath>
        <m:sSup>
          <m:sSupPr>
            <m:ctrlPr>
              <w:rPr>
                <w:rFonts w:ascii="Cambria Math" w:hAnsi="Cambria Math" w:cs="Times New Roman"/>
                <w:i/>
              </w:rPr>
            </m:ctrlPr>
          </m:sSupPr>
          <m:e>
            <m:r>
              <m:rPr>
                <m:nor/>
              </m:rPr>
              <w:rPr>
                <w:rFonts w:cs="Times New Roman"/>
              </w:rPr>
              <m:t>1,5</m:t>
            </m:r>
          </m:e>
          <m:sup>
            <m:r>
              <m:rPr>
                <m:nor/>
              </m:rPr>
              <w:rPr>
                <w:rFonts w:ascii="Cambria Math" w:cs="Times New Roman"/>
                <w:i/>
              </w:rPr>
              <m:t xml:space="preserve"> </m:t>
            </m:r>
            <m:r>
              <m:rPr>
                <m:nor/>
              </m:rPr>
              <w:rPr>
                <w:rFonts w:cs="Times New Roman"/>
                <w:i/>
              </w:rPr>
              <m:t>f</m:t>
            </m:r>
          </m:sup>
        </m:sSup>
      </m:oMath>
      <w:r w:rsidR="00E73FF0">
        <w:tab/>
      </w:r>
      <w:r w:rsidR="00656F67">
        <w:t xml:space="preserve">für </w:t>
      </w:r>
      <w:r w:rsidR="00DE3BD4">
        <w:t>3,969</w:t>
      </w:r>
      <w:r w:rsidR="00B772E0">
        <w:t xml:space="preserve"> </w:t>
      </w:r>
      <w:r w:rsidR="00242FD0">
        <w:rPr>
          <w:rFonts w:cs="Times New Roman"/>
        </w:rPr>
        <w:t>&gt;</w:t>
      </w:r>
      <w:r w:rsidR="00B772E0">
        <w:rPr>
          <w:rFonts w:cs="Times New Roman"/>
        </w:rPr>
        <w:t xml:space="preserve"> </w:t>
      </w:r>
      <w:r w:rsidR="00242FD0" w:rsidRPr="003E0660">
        <w:rPr>
          <w:i/>
        </w:rPr>
        <w:t>f</w:t>
      </w:r>
      <w:r w:rsidR="00242FD0">
        <w:t xml:space="preserve"> </w:t>
      </w:r>
      <w:r w:rsidR="002D397D">
        <w:rPr>
          <w:rFonts w:cs="Times New Roman"/>
        </w:rPr>
        <w:t>&gt;</w:t>
      </w:r>
      <w:r w:rsidR="00656F67">
        <w:rPr>
          <w:rFonts w:cs="Times New Roman"/>
        </w:rPr>
        <w:t xml:space="preserve"> </w:t>
      </w:r>
      <w:r w:rsidR="00242FD0">
        <w:rPr>
          <w:rFonts w:cs="Times New Roman"/>
        </w:rPr>
        <w:t xml:space="preserve">1 </w:t>
      </w:r>
      <w:r w:rsidR="00656F67">
        <w:t>erf</w:t>
      </w:r>
      <w:r w:rsidR="008A30E0">
        <w:t>.</w:t>
      </w:r>
      <w:r w:rsidR="00656F67">
        <w:t xml:space="preserve">, für </w:t>
      </w:r>
      <w:r w:rsidR="00656F67" w:rsidRPr="003E0660">
        <w:rPr>
          <w:i/>
        </w:rPr>
        <w:t>f</w:t>
      </w:r>
      <w:r w:rsidR="00656F67">
        <w:t xml:space="preserve"> </w:t>
      </w:r>
      <w:r w:rsidR="00242FD0">
        <w:rPr>
          <w:rFonts w:cs="Times New Roman"/>
        </w:rPr>
        <w:t>≥</w:t>
      </w:r>
      <w:r w:rsidR="00656F67">
        <w:t xml:space="preserve"> </w:t>
      </w:r>
      <w:r w:rsidR="00B772E0">
        <w:t>3,969 nicht erf.</w:t>
      </w:r>
    </w:p>
    <w:p w:rsidR="00D2554C" w:rsidRDefault="00B772E0" w:rsidP="008A30E0">
      <w:pPr>
        <w:pStyle w:val="Text"/>
        <w:ind w:firstLine="0"/>
        <w:rPr>
          <w:iCs/>
        </w:rPr>
      </w:pPr>
      <w:r>
        <w:rPr>
          <w:iCs/>
        </w:rPr>
        <w:t>Für</w:t>
      </w:r>
      <w:r w:rsidR="00D2554C">
        <w:rPr>
          <w:iCs/>
        </w:rPr>
        <w:t xml:space="preserve"> </w:t>
      </w:r>
      <w:r w:rsidR="00D2554C">
        <w:rPr>
          <w:i/>
        </w:rPr>
        <w:t>f</w:t>
      </w:r>
      <w:r w:rsidR="00D2554C">
        <w:rPr>
          <w:iCs/>
        </w:rPr>
        <w:t xml:space="preserve"> </w:t>
      </w:r>
      <w:r w:rsidR="00DE3BD4">
        <w:rPr>
          <w:iCs/>
        </w:rPr>
        <w:t>&lt;</w:t>
      </w:r>
      <w:r w:rsidR="00D2554C">
        <w:rPr>
          <w:iCs/>
        </w:rPr>
        <w:t xml:space="preserve"> 3,9</w:t>
      </w:r>
      <w:r w:rsidR="00DE3BD4">
        <w:rPr>
          <w:iCs/>
        </w:rPr>
        <w:t>69</w:t>
      </w:r>
      <w:r w:rsidR="00D2554C">
        <w:rPr>
          <w:iCs/>
        </w:rPr>
        <w:t xml:space="preserve"> </w:t>
      </w:r>
      <w:r w:rsidR="00D877A5">
        <w:rPr>
          <w:iCs/>
        </w:rPr>
        <w:t>wird</w:t>
      </w:r>
      <w:r w:rsidR="00D2554C">
        <w:rPr>
          <w:iCs/>
        </w:rPr>
        <w:t xml:space="preserve"> die </w:t>
      </w:r>
      <w:r w:rsidR="00765E66">
        <w:rPr>
          <w:iCs/>
        </w:rPr>
        <w:t>Merkmalsregel</w:t>
      </w:r>
      <w:r w:rsidR="00D2554C">
        <w:rPr>
          <w:iCs/>
        </w:rPr>
        <w:t xml:space="preserve"> </w:t>
      </w:r>
      <w:r w:rsidR="0002602F">
        <w:rPr>
          <w:iCs/>
        </w:rPr>
        <w:t>entfernt</w:t>
      </w:r>
      <w:r w:rsidR="00D2554C">
        <w:rPr>
          <w:iCs/>
        </w:rPr>
        <w:t xml:space="preserve">, </w:t>
      </w:r>
      <w:r w:rsidR="00A92B85">
        <w:rPr>
          <w:iCs/>
        </w:rPr>
        <w:t>ab diesem Wert ‚gerettet‘</w:t>
      </w:r>
      <w:r w:rsidR="00D2554C">
        <w:rPr>
          <w:iCs/>
        </w:rPr>
        <w:t xml:space="preserve">. – Dies ist bereits eine recht </w:t>
      </w:r>
      <w:r w:rsidR="00242FD0">
        <w:rPr>
          <w:iCs/>
        </w:rPr>
        <w:t xml:space="preserve">zweifelhafte </w:t>
      </w:r>
      <w:r w:rsidR="00765E66">
        <w:rPr>
          <w:iCs/>
        </w:rPr>
        <w:t>Merkmalsregel</w:t>
      </w:r>
      <w:r w:rsidR="00D2554C">
        <w:rPr>
          <w:iCs/>
        </w:rPr>
        <w:t xml:space="preserve">: Sie hätte 100 Mal angewandt werden können, von denen die speziellere nur 20 abdeckt; in den verbleibenden 80 Fällen bringt sie es </w:t>
      </w:r>
      <w:r w:rsidR="000E15DF">
        <w:rPr>
          <w:iCs/>
        </w:rPr>
        <w:t>jedoch gerade auf 5 Anwendungen.</w:t>
      </w:r>
      <w:r w:rsidR="00D2554C">
        <w:rPr>
          <w:iCs/>
        </w:rPr>
        <w:t xml:space="preserve"> Di</w:t>
      </w:r>
      <w:r w:rsidR="00242FD0">
        <w:rPr>
          <w:iCs/>
        </w:rPr>
        <w:t>ese können gut Zufall sein und sind in keinem Fall sehr aussagekräftig.</w:t>
      </w:r>
    </w:p>
    <w:p w:rsidR="00D2554C" w:rsidRDefault="00D2554C">
      <w:pPr>
        <w:pStyle w:val="Text"/>
        <w:rPr>
          <w:iCs/>
        </w:rPr>
      </w:pPr>
      <w:r>
        <w:rPr>
          <w:iCs/>
        </w:rPr>
        <w:t xml:space="preserve">Die beiden Beispiele bieten uns einen Anhaltspunkt dafür, welche Werte für den Toleranzfaktor empfehlenswert sind. Die weitgehend autonome </w:t>
      </w:r>
      <w:r w:rsidR="00765E66">
        <w:rPr>
          <w:iCs/>
        </w:rPr>
        <w:t>Merkmal</w:t>
      </w:r>
      <w:r w:rsidR="00765E66">
        <w:rPr>
          <w:iCs/>
        </w:rPr>
        <w:t>s</w:t>
      </w:r>
      <w:r w:rsidR="00765E66">
        <w:rPr>
          <w:iCs/>
        </w:rPr>
        <w:t>regel</w:t>
      </w:r>
      <w:r>
        <w:rPr>
          <w:iCs/>
        </w:rPr>
        <w:t xml:space="preserve"> in Fall 5 sollte nicht </w:t>
      </w:r>
      <w:r w:rsidR="000524BF">
        <w:t>entfernt</w:t>
      </w:r>
      <w:r w:rsidR="000524BF">
        <w:rPr>
          <w:iCs/>
        </w:rPr>
        <w:t xml:space="preserve"> </w:t>
      </w:r>
      <w:r>
        <w:rPr>
          <w:iCs/>
        </w:rPr>
        <w:t xml:space="preserve">werden, </w:t>
      </w:r>
      <w:r w:rsidR="001554F3">
        <w:rPr>
          <w:iCs/>
        </w:rPr>
        <w:t>während die Merkmalsregel aus Be</w:t>
      </w:r>
      <w:r w:rsidR="001554F3">
        <w:rPr>
          <w:iCs/>
        </w:rPr>
        <w:t>i</w:t>
      </w:r>
      <w:r w:rsidR="001554F3">
        <w:rPr>
          <w:iCs/>
        </w:rPr>
        <w:t xml:space="preserve">spiel 6 überflüssig ist. Somit führen </w:t>
      </w:r>
      <w:r w:rsidR="001554F3">
        <w:rPr>
          <w:i/>
        </w:rPr>
        <w:t>f</w:t>
      </w:r>
      <w:r w:rsidR="001554F3">
        <w:rPr>
          <w:iCs/>
        </w:rPr>
        <w:t xml:space="preserve"> etwa von 1,5 bis 3,5 zu plausiblen Ergebni</w:t>
      </w:r>
      <w:r w:rsidR="001554F3">
        <w:rPr>
          <w:iCs/>
        </w:rPr>
        <w:t>s</w:t>
      </w:r>
      <w:r w:rsidR="001554F3">
        <w:rPr>
          <w:iCs/>
        </w:rPr>
        <w:t xml:space="preserve">sen. </w:t>
      </w:r>
      <w:r>
        <w:rPr>
          <w:iCs/>
        </w:rPr>
        <w:t xml:space="preserve">Als Normalwert für </w:t>
      </w:r>
      <w:r>
        <w:rPr>
          <w:i/>
        </w:rPr>
        <w:t>f</w:t>
      </w:r>
      <w:r>
        <w:rPr>
          <w:iCs/>
        </w:rPr>
        <w:t xml:space="preserve"> wird 2,0 vorgeschlagen.</w:t>
      </w:r>
    </w:p>
    <w:p w:rsidR="00D2554C" w:rsidRDefault="00D2554C">
      <w:pPr>
        <w:pStyle w:val="Text"/>
        <w:rPr>
          <w:iCs/>
        </w:rPr>
      </w:pPr>
      <w:r>
        <w:rPr>
          <w:iCs/>
        </w:rPr>
        <w:t>Zwei weitere Fälle sollen das Verhalten des Toleranzfaktors illustrieren. Warum steht er im Exponent, und führt dies für niedrige/hohe Basen zu Pro</w:t>
      </w:r>
      <w:r>
        <w:rPr>
          <w:iCs/>
        </w:rPr>
        <w:t>b</w:t>
      </w:r>
      <w:r>
        <w:rPr>
          <w:iCs/>
        </w:rPr>
        <w:t xml:space="preserve">lemen? Nebenbei können wir so auch den vermuteten Bereich für plausible </w:t>
      </w:r>
      <w:r>
        <w:rPr>
          <w:i/>
        </w:rPr>
        <w:t>f</w:t>
      </w:r>
      <w:r>
        <w:rPr>
          <w:iCs/>
        </w:rPr>
        <w:t xml:space="preserve"> weiter überprüfen.</w:t>
      </w:r>
    </w:p>
    <w:p w:rsidR="00FB7AD1" w:rsidRDefault="00D2554C" w:rsidP="006E4A14">
      <w:pPr>
        <w:pStyle w:val="Text"/>
        <w:rPr>
          <w:iCs/>
        </w:rPr>
      </w:pPr>
      <w:r>
        <w:rPr>
          <w:iCs/>
        </w:rPr>
        <w:t xml:space="preserve">Wenn </w:t>
      </w:r>
      <w:r>
        <w:rPr>
          <w:i/>
        </w:rPr>
        <w:t>m</w:t>
      </w:r>
      <w:r>
        <w:rPr>
          <w:i/>
          <w:vertAlign w:val="subscript"/>
        </w:rPr>
        <w:t>x</w:t>
      </w:r>
      <w:r>
        <w:rPr>
          <w:iCs/>
        </w:rPr>
        <w:t xml:space="preserve"> viel höher ist als </w:t>
      </w:r>
      <w:r>
        <w:rPr>
          <w:i/>
        </w:rPr>
        <w:t>m</w:t>
      </w:r>
      <w:r>
        <w:rPr>
          <w:i/>
          <w:vertAlign w:val="subscript"/>
        </w:rPr>
        <w:t>j</w:t>
      </w:r>
      <w:r>
        <w:rPr>
          <w:iCs/>
        </w:rPr>
        <w:t>, ist es relativ leicht, selbst ein sehr viel niedr</w:t>
      </w:r>
      <w:r>
        <w:rPr>
          <w:iCs/>
        </w:rPr>
        <w:t>i</w:t>
      </w:r>
      <w:r>
        <w:rPr>
          <w:iCs/>
        </w:rPr>
        <w:t xml:space="preserve">geres </w:t>
      </w:r>
      <w:r>
        <w:rPr>
          <w:i/>
        </w:rPr>
        <w:t>w</w:t>
      </w:r>
      <w:r>
        <w:t xml:space="preserve"> </w:t>
      </w:r>
      <w:r>
        <w:rPr>
          <w:iCs/>
        </w:rPr>
        <w:t>auszugleichen:</w:t>
      </w:r>
    </w:p>
    <w:p w:rsidR="00D2554C" w:rsidRDefault="00D2554C" w:rsidP="008A30E0">
      <w:pPr>
        <w:pStyle w:val="FallxDisambiguierung"/>
      </w:pPr>
      <w:r>
        <w:rPr>
          <w:iCs/>
        </w:rPr>
        <w:lastRenderedPageBreak/>
        <w:t>Fall 7:</w:t>
      </w:r>
      <w:r>
        <w:tab/>
      </w:r>
      <w:r>
        <w:rPr>
          <w:i/>
        </w:rPr>
        <w:t>m</w:t>
      </w:r>
      <w:r>
        <w:rPr>
          <w:i/>
          <w:vertAlign w:val="subscript"/>
        </w:rPr>
        <w:t>x</w:t>
      </w:r>
      <w:r>
        <w:t xml:space="preserve"> = 50, </w:t>
      </w:r>
      <w:r>
        <w:rPr>
          <w:i/>
        </w:rPr>
        <w:t>n</w:t>
      </w:r>
      <w:r>
        <w:rPr>
          <w:i/>
          <w:vertAlign w:val="subscript"/>
        </w:rPr>
        <w:t>x</w:t>
      </w:r>
      <w:r>
        <w:t xml:space="preserve"> = </w:t>
      </w:r>
      <w:r w:rsidR="00656F67">
        <w:t>5</w:t>
      </w:r>
      <w:r>
        <w:t xml:space="preserve">00, </w:t>
      </w:r>
      <w:r>
        <w:rPr>
          <w:i/>
        </w:rPr>
        <w:t>w</w:t>
      </w:r>
      <w:r>
        <w:t>(</w:t>
      </w:r>
      <w:r>
        <w:rPr>
          <w:i/>
        </w:rPr>
        <w:t>B</w:t>
      </w:r>
      <w:r>
        <w:rPr>
          <w:i/>
          <w:vertAlign w:val="subscript"/>
        </w:rPr>
        <w:t>x</w:t>
      </w:r>
      <w:r>
        <w:t>) = 0,</w:t>
      </w:r>
      <w:r w:rsidR="00083DE5">
        <w:t>1</w:t>
      </w:r>
    </w:p>
    <w:p w:rsidR="00656F67" w:rsidRPr="00B82A81" w:rsidRDefault="005D7996" w:rsidP="006E4A14">
      <w:pPr>
        <w:pStyle w:val="FormelTabrechts"/>
      </w:pPr>
      <m:oMath>
        <m:f>
          <m:fPr>
            <m:ctrlPr>
              <w:rPr>
                <w:rFonts w:ascii="Cambria Math" w:hAnsi="Cambria Math" w:cs="Times New Roman"/>
                <w:i/>
                <w:lang w:val="en-US"/>
              </w:rPr>
            </m:ctrlPr>
          </m:fPr>
          <m:num>
            <m:r>
              <m:rPr>
                <m:nor/>
              </m:rPr>
              <w:rPr>
                <w:rFonts w:cs="Times New Roman"/>
              </w:rPr>
              <m:t>500</m:t>
            </m:r>
          </m:num>
          <m:den>
            <m:r>
              <m:rPr>
                <m:nor/>
              </m:rPr>
              <w:rPr>
                <w:rFonts w:cs="Times New Roman"/>
              </w:rPr>
              <m:t>20</m:t>
            </m:r>
          </m:den>
        </m:f>
      </m:oMath>
      <w:r w:rsidR="00656F67" w:rsidRPr="00803CA0">
        <w:t xml:space="preserve"> </w:t>
      </w:r>
      <w:r w:rsidR="00656F67">
        <w:t>&gt;</w:t>
      </w:r>
      <w:r w:rsidR="00656F67"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50</m:t>
                </m:r>
              </m:num>
              <m:den>
                <m:r>
                  <m:rPr>
                    <m:nor/>
                  </m:rPr>
                  <w:rPr>
                    <w:rFonts w:cs="Times New Roman"/>
                  </w:rPr>
                  <m:t>10</m:t>
                </m:r>
              </m:den>
            </m:f>
            <m:r>
              <m:rPr>
                <m:nor/>
              </m:rPr>
              <w:rPr>
                <w:rFonts w:cs="Times New Roman"/>
              </w:rPr>
              <m:t>)</m:t>
            </m:r>
          </m:e>
          <m:sup>
            <m:r>
              <m:rPr>
                <m:nor/>
              </m:rPr>
              <w:rPr>
                <w:rFonts w:cs="Times New Roman"/>
                <w:i/>
              </w:rPr>
              <m:t>f</m:t>
            </m:r>
          </m:sup>
        </m:sSup>
      </m:oMath>
      <w:r w:rsidR="00656F67" w:rsidRPr="00B82A81">
        <w:tab/>
      </w:r>
      <w:r w:rsidR="00635DE8" w:rsidRPr="00635DE8">
        <w:rPr>
          <w:rFonts w:ascii="Cambria Math" w:eastAsia="Arial Unicode MS" w:hAnsi="Cambria Math" w:cs="Arial Unicode MS"/>
        </w:rPr>
        <w:t>⇒</w:t>
      </w:r>
      <w:r w:rsidR="00656F67">
        <w:tab/>
        <w:t>25 &gt;</w:t>
      </w:r>
      <w:r w:rsidR="00656F67">
        <w:rPr>
          <w:position w:val="-6"/>
        </w:rPr>
        <w:t xml:space="preserve"> </w:t>
      </w:r>
      <m:oMath>
        <m:sSup>
          <m:sSupPr>
            <m:ctrlPr>
              <w:rPr>
                <w:rFonts w:ascii="Cambria Math" w:hAnsi="Cambria Math" w:cs="Times New Roman"/>
                <w:i/>
              </w:rPr>
            </m:ctrlPr>
          </m:sSupPr>
          <m:e>
            <m:r>
              <m:rPr>
                <m:nor/>
              </m:rPr>
              <w:rPr>
                <w:rFonts w:cs="Times New Roman"/>
              </w:rPr>
              <m:t>5</m:t>
            </m:r>
          </m:e>
          <m:sup>
            <m:r>
              <m:rPr>
                <m:nor/>
              </m:rPr>
              <w:rPr>
                <w:rFonts w:ascii="Cambria Math" w:cs="Times New Roman"/>
                <w:i/>
              </w:rPr>
              <m:t xml:space="preserve"> </m:t>
            </m:r>
            <m:r>
              <m:rPr>
                <m:nor/>
              </m:rPr>
              <w:rPr>
                <w:rFonts w:cs="Times New Roman"/>
                <w:i/>
              </w:rPr>
              <m:t>f</m:t>
            </m:r>
          </m:sup>
        </m:sSup>
      </m:oMath>
      <w:r w:rsidR="00E73FF0">
        <w:tab/>
      </w:r>
      <w:r w:rsidR="00656F67">
        <w:t xml:space="preserve">für 2 </w:t>
      </w:r>
      <w:r w:rsidR="00242FD0">
        <w:rPr>
          <w:rFonts w:cs="Times New Roman"/>
        </w:rPr>
        <w:t>&gt;</w:t>
      </w:r>
      <w:r w:rsidR="00656F67">
        <w:t xml:space="preserve"> </w:t>
      </w:r>
      <w:r w:rsidR="00656F67" w:rsidRPr="00656F67">
        <w:rPr>
          <w:i/>
        </w:rPr>
        <w:t>f</w:t>
      </w:r>
      <w:r w:rsidR="00656F67">
        <w:t xml:space="preserve"> </w:t>
      </w:r>
      <w:r w:rsidR="002D397D">
        <w:rPr>
          <w:rFonts w:cs="Times New Roman"/>
        </w:rPr>
        <w:t>&gt;</w:t>
      </w:r>
      <w:r w:rsidR="00656F67">
        <w:rPr>
          <w:rFonts w:cs="Times New Roman"/>
        </w:rPr>
        <w:t xml:space="preserve"> 1 </w:t>
      </w:r>
      <w:r w:rsidR="00656F67">
        <w:t xml:space="preserve">erfüllt, für </w:t>
      </w:r>
      <w:r w:rsidR="00656F67" w:rsidRPr="003E0660">
        <w:rPr>
          <w:i/>
        </w:rPr>
        <w:t>f</w:t>
      </w:r>
      <w:r w:rsidR="00656F67">
        <w:t xml:space="preserve"> </w:t>
      </w:r>
      <w:r w:rsidR="00242FD0">
        <w:rPr>
          <w:rFonts w:cs="Times New Roman"/>
        </w:rPr>
        <w:t>≥</w:t>
      </w:r>
      <w:r w:rsidR="00656F67">
        <w:t xml:space="preserve"> </w:t>
      </w:r>
      <w:r w:rsidR="00242FD0">
        <w:t>2</w:t>
      </w:r>
      <w:r w:rsidR="00656F67">
        <w:t xml:space="preserve"> nicht erfüllt</w:t>
      </w:r>
    </w:p>
    <w:p w:rsidR="00D2554C" w:rsidRDefault="00083DE5" w:rsidP="008A30E0">
      <w:pPr>
        <w:pStyle w:val="Text"/>
        <w:ind w:firstLine="0"/>
        <w:rPr>
          <w:iCs/>
        </w:rPr>
      </w:pPr>
      <w:r>
        <w:rPr>
          <w:iCs/>
        </w:rPr>
        <w:t xml:space="preserve">Für </w:t>
      </w:r>
      <w:r w:rsidR="00D2554C">
        <w:rPr>
          <w:i/>
        </w:rPr>
        <w:t>f</w:t>
      </w:r>
      <w:r w:rsidR="00D2554C">
        <w:rPr>
          <w:iCs/>
        </w:rPr>
        <w:t xml:space="preserve"> </w:t>
      </w:r>
      <w:r>
        <w:rPr>
          <w:iCs/>
        </w:rPr>
        <w:t>&lt;</w:t>
      </w:r>
      <w:r w:rsidR="00D2554C">
        <w:rPr>
          <w:iCs/>
        </w:rPr>
        <w:t xml:space="preserve"> 2 </w:t>
      </w:r>
      <w:r>
        <w:rPr>
          <w:iCs/>
        </w:rPr>
        <w:t>wird</w:t>
      </w:r>
      <w:r w:rsidR="00D2554C">
        <w:rPr>
          <w:iCs/>
        </w:rPr>
        <w:t xml:space="preserve"> die </w:t>
      </w:r>
      <w:r w:rsidR="00765E66">
        <w:rPr>
          <w:iCs/>
        </w:rPr>
        <w:t>Merkmalsregel</w:t>
      </w:r>
      <w:r w:rsidR="00D2554C">
        <w:rPr>
          <w:iCs/>
        </w:rPr>
        <w:t xml:space="preserve"> </w:t>
      </w:r>
      <w:r w:rsidR="0002602F">
        <w:rPr>
          <w:iCs/>
        </w:rPr>
        <w:t>entfernt</w:t>
      </w:r>
      <w:r w:rsidR="00D2554C">
        <w:rPr>
          <w:iCs/>
        </w:rPr>
        <w:t xml:space="preserve">, </w:t>
      </w:r>
      <w:r w:rsidR="00A92B85">
        <w:rPr>
          <w:iCs/>
        </w:rPr>
        <w:t>ab diesem Wert ‚gerettet‘</w:t>
      </w:r>
      <w:r w:rsidR="00D2554C">
        <w:rPr>
          <w:iCs/>
        </w:rPr>
        <w:t xml:space="preserve">. – Obwohl in diesem Beispiel </w:t>
      </w:r>
      <w:r w:rsidR="00D2554C">
        <w:rPr>
          <w:i/>
        </w:rPr>
        <w:t>w</w:t>
      </w:r>
      <w:r w:rsidR="00D2554C">
        <w:t>(</w:t>
      </w:r>
      <w:r w:rsidR="00D2554C">
        <w:rPr>
          <w:i/>
        </w:rPr>
        <w:t>B</w:t>
      </w:r>
      <w:r w:rsidR="00D2554C">
        <w:rPr>
          <w:i/>
          <w:vertAlign w:val="subscript"/>
        </w:rPr>
        <w:t>x</w:t>
      </w:r>
      <w:r w:rsidR="00D2554C">
        <w:t>)</w:t>
      </w:r>
      <w:r w:rsidR="00D2554C">
        <w:rPr>
          <w:iCs/>
        </w:rPr>
        <w:t xml:space="preserve"> nur ein </w:t>
      </w:r>
      <w:r>
        <w:rPr>
          <w:iCs/>
        </w:rPr>
        <w:t xml:space="preserve">Fünftel </w:t>
      </w:r>
      <w:r w:rsidR="00D2554C">
        <w:rPr>
          <w:iCs/>
        </w:rPr>
        <w:t xml:space="preserve">von </w:t>
      </w:r>
      <w:r w:rsidR="00D2554C">
        <w:rPr>
          <w:i/>
        </w:rPr>
        <w:t>w</w:t>
      </w:r>
      <w:r w:rsidR="00D2554C">
        <w:t>(</w:t>
      </w:r>
      <w:r w:rsidR="00D2554C">
        <w:rPr>
          <w:i/>
        </w:rPr>
        <w:t>B</w:t>
      </w:r>
      <w:r w:rsidR="00D2554C">
        <w:rPr>
          <w:i/>
          <w:vertAlign w:val="subscript"/>
        </w:rPr>
        <w:t>j</w:t>
      </w:r>
      <w:r w:rsidR="00D2554C">
        <w:t>)</w:t>
      </w:r>
      <w:r w:rsidR="00D2554C">
        <w:rPr>
          <w:iCs/>
        </w:rPr>
        <w:t xml:space="preserve"> beträgt und es somit klar ist, dass die allgemeinere </w:t>
      </w:r>
      <w:r w:rsidR="00765E66">
        <w:rPr>
          <w:iCs/>
        </w:rPr>
        <w:t>Merkmalsregel</w:t>
      </w:r>
      <w:r w:rsidR="00D2554C">
        <w:rPr>
          <w:iCs/>
        </w:rPr>
        <w:t xml:space="preserve"> hier auf der spezielleren ‚schmarotzt‘ und sich deren Wirkung teilweise aneignet, betrifft dies doch nur 10 der 50 Anwe</w:t>
      </w:r>
      <w:r w:rsidR="00D2554C">
        <w:rPr>
          <w:iCs/>
        </w:rPr>
        <w:t>n</w:t>
      </w:r>
      <w:r w:rsidR="00D2554C">
        <w:rPr>
          <w:iCs/>
        </w:rPr>
        <w:t xml:space="preserve">dungen. Obwohl klar ist, dass die 10 Anwendungen durch die speziellere sehr viel treffsicherer (nämlich mit </w:t>
      </w:r>
      <w:r>
        <w:rPr>
          <w:iCs/>
        </w:rPr>
        <w:t>fünf</w:t>
      </w:r>
      <w:r w:rsidR="00D2554C">
        <w:rPr>
          <w:iCs/>
        </w:rPr>
        <w:t xml:space="preserve">mal so hohem </w:t>
      </w:r>
      <w:r w:rsidR="00D2554C">
        <w:rPr>
          <w:i/>
        </w:rPr>
        <w:t>w</w:t>
      </w:r>
      <w:r w:rsidR="00D2554C">
        <w:rPr>
          <w:iCs/>
        </w:rPr>
        <w:t xml:space="preserve">) beschrieben werden, hat sich die </w:t>
      </w:r>
      <w:r w:rsidR="00765E66">
        <w:rPr>
          <w:iCs/>
        </w:rPr>
        <w:t>Merkmalsregel</w:t>
      </w:r>
      <w:r w:rsidR="00D2554C">
        <w:rPr>
          <w:iCs/>
        </w:rPr>
        <w:t xml:space="preserve"> durch die 40 (wenn auch mit wesentlich geringerer Tref</w:t>
      </w:r>
      <w:r w:rsidR="00D2554C">
        <w:rPr>
          <w:iCs/>
        </w:rPr>
        <w:t>f</w:t>
      </w:r>
      <w:r w:rsidR="00D2554C">
        <w:rPr>
          <w:iCs/>
        </w:rPr>
        <w:t xml:space="preserve">sicherheit) </w:t>
      </w:r>
      <w:r>
        <w:rPr>
          <w:iCs/>
        </w:rPr>
        <w:t xml:space="preserve">zusätzlich beschriebenen </w:t>
      </w:r>
      <w:r w:rsidR="00D2554C">
        <w:rPr>
          <w:iCs/>
        </w:rPr>
        <w:t>Anwendungen ‚eine Chance verdient‘. Di</w:t>
      </w:r>
      <w:r w:rsidR="00D2554C">
        <w:rPr>
          <w:iCs/>
        </w:rPr>
        <w:t>e</w:t>
      </w:r>
      <w:r w:rsidR="00D2554C">
        <w:rPr>
          <w:iCs/>
        </w:rPr>
        <w:t xml:space="preserve">se bekommt sie bei einem plausiblen Toleranzfaktor </w:t>
      </w:r>
      <w:r w:rsidR="00BF3139">
        <w:rPr>
          <w:iCs/>
        </w:rPr>
        <w:t>von 2 gerade noch</w:t>
      </w:r>
      <w:r w:rsidR="00D2554C">
        <w:rPr>
          <w:iCs/>
        </w:rPr>
        <w:t>.</w:t>
      </w:r>
    </w:p>
    <w:p w:rsidR="00D2554C" w:rsidRDefault="00D2554C">
      <w:pPr>
        <w:pStyle w:val="Text"/>
        <w:rPr>
          <w:iCs/>
        </w:rPr>
      </w:pPr>
      <w:r>
        <w:rPr>
          <w:iCs/>
        </w:rPr>
        <w:t xml:space="preserve">Wenn </w:t>
      </w:r>
      <w:r>
        <w:rPr>
          <w:i/>
        </w:rPr>
        <w:t>m</w:t>
      </w:r>
      <w:r>
        <w:rPr>
          <w:i/>
          <w:vertAlign w:val="subscript"/>
        </w:rPr>
        <w:t>x</w:t>
      </w:r>
      <w:r>
        <w:rPr>
          <w:iCs/>
        </w:rPr>
        <w:t xml:space="preserve"> nur geringfügig höher ist als </w:t>
      </w:r>
      <w:r>
        <w:rPr>
          <w:i/>
        </w:rPr>
        <w:t>m</w:t>
      </w:r>
      <w:r>
        <w:rPr>
          <w:i/>
          <w:vertAlign w:val="subscript"/>
        </w:rPr>
        <w:t>j</w:t>
      </w:r>
      <w:r>
        <w:rPr>
          <w:iCs/>
        </w:rPr>
        <w:t xml:space="preserve">, ist es schwierig, ein niedrigeres </w:t>
      </w:r>
      <w:r>
        <w:rPr>
          <w:i/>
        </w:rPr>
        <w:t>w</w:t>
      </w:r>
      <w:r>
        <w:t>(</w:t>
      </w:r>
      <w:r>
        <w:rPr>
          <w:i/>
        </w:rPr>
        <w:t>B</w:t>
      </w:r>
      <w:r>
        <w:rPr>
          <w:i/>
          <w:vertAlign w:val="subscript"/>
        </w:rPr>
        <w:t>x</w:t>
      </w:r>
      <w:r>
        <w:t xml:space="preserve">) </w:t>
      </w:r>
      <w:r>
        <w:rPr>
          <w:iCs/>
        </w:rPr>
        <w:t>auszugleichen:</w:t>
      </w:r>
    </w:p>
    <w:p w:rsidR="00D2554C" w:rsidRDefault="00D2554C" w:rsidP="008A30E0">
      <w:pPr>
        <w:pStyle w:val="FallxDisambiguierung"/>
      </w:pPr>
      <w:r>
        <w:rPr>
          <w:iCs/>
        </w:rPr>
        <w:t>Fall 8:</w:t>
      </w:r>
      <w:r>
        <w:tab/>
      </w:r>
      <w:r>
        <w:rPr>
          <w:i/>
        </w:rPr>
        <w:t>m</w:t>
      </w:r>
      <w:r>
        <w:rPr>
          <w:i/>
          <w:vertAlign w:val="subscript"/>
        </w:rPr>
        <w:t>x</w:t>
      </w:r>
      <w:r>
        <w:t xml:space="preserve"> = 1</w:t>
      </w:r>
      <w:r w:rsidR="00D24EF0">
        <w:t>2</w:t>
      </w:r>
      <w:r>
        <w:t xml:space="preserve">, </w:t>
      </w:r>
      <w:r>
        <w:rPr>
          <w:i/>
        </w:rPr>
        <w:t>n</w:t>
      </w:r>
      <w:r>
        <w:rPr>
          <w:i/>
          <w:vertAlign w:val="subscript"/>
        </w:rPr>
        <w:t>x</w:t>
      </w:r>
      <w:r>
        <w:t xml:space="preserve"> = 40, </w:t>
      </w:r>
      <w:r>
        <w:rPr>
          <w:i/>
        </w:rPr>
        <w:t>w</w:t>
      </w:r>
      <w:r>
        <w:t>(</w:t>
      </w:r>
      <w:r>
        <w:rPr>
          <w:i/>
        </w:rPr>
        <w:t>B</w:t>
      </w:r>
      <w:r>
        <w:rPr>
          <w:i/>
          <w:vertAlign w:val="subscript"/>
        </w:rPr>
        <w:t>x</w:t>
      </w:r>
      <w:r>
        <w:t>) = 0,</w:t>
      </w:r>
      <w:r w:rsidR="00D24EF0">
        <w:t>3</w:t>
      </w:r>
    </w:p>
    <w:p w:rsidR="00365802" w:rsidRPr="00B82A81" w:rsidRDefault="005D7996" w:rsidP="006E4A14">
      <w:pPr>
        <w:pStyle w:val="FormelTabrechts"/>
      </w:pPr>
      <m:oMath>
        <m:f>
          <m:fPr>
            <m:ctrlPr>
              <w:rPr>
                <w:rFonts w:ascii="Cambria Math" w:hAnsi="Cambria Math" w:cs="Times New Roman"/>
                <w:i/>
                <w:lang w:val="en-US"/>
              </w:rPr>
            </m:ctrlPr>
          </m:fPr>
          <m:num>
            <m:r>
              <m:rPr>
                <m:nor/>
              </m:rPr>
              <w:rPr>
                <w:rFonts w:cs="Times New Roman"/>
              </w:rPr>
              <m:t>40</m:t>
            </m:r>
          </m:num>
          <m:den>
            <m:r>
              <m:rPr>
                <m:nor/>
              </m:rPr>
              <w:rPr>
                <w:rFonts w:cs="Times New Roman"/>
              </w:rPr>
              <m:t>20</m:t>
            </m:r>
          </m:den>
        </m:f>
      </m:oMath>
      <w:r w:rsidR="00365802" w:rsidRPr="00803CA0">
        <w:t xml:space="preserve"> </w:t>
      </w:r>
      <w:r w:rsidR="00365802">
        <w:t>&gt;</w:t>
      </w:r>
      <w:r w:rsidR="00365802"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12</m:t>
                </m:r>
              </m:num>
              <m:den>
                <m:r>
                  <m:rPr>
                    <m:nor/>
                  </m:rPr>
                  <w:rPr>
                    <w:rFonts w:cs="Times New Roman"/>
                  </w:rPr>
                  <m:t>10</m:t>
                </m:r>
              </m:den>
            </m:f>
            <m:r>
              <m:rPr>
                <m:nor/>
              </m:rPr>
              <w:rPr>
                <w:rFonts w:cs="Times New Roman"/>
              </w:rPr>
              <m:t>)</m:t>
            </m:r>
          </m:e>
          <m:sup>
            <m:r>
              <m:rPr>
                <m:nor/>
              </m:rPr>
              <w:rPr>
                <w:rFonts w:cs="Times New Roman"/>
                <w:i/>
              </w:rPr>
              <m:t>f</m:t>
            </m:r>
          </m:sup>
        </m:sSup>
      </m:oMath>
      <w:r w:rsidR="00365802" w:rsidRPr="00B82A81">
        <w:tab/>
      </w:r>
      <w:r w:rsidR="00635DE8" w:rsidRPr="00635DE8">
        <w:rPr>
          <w:rFonts w:ascii="Cambria Math" w:eastAsia="Arial Unicode MS" w:hAnsi="Cambria Math" w:cs="Arial Unicode MS"/>
        </w:rPr>
        <w:t>⇒</w:t>
      </w:r>
      <w:r w:rsidR="00365802">
        <w:tab/>
        <w:t>2 &gt;</w:t>
      </w:r>
      <w:r w:rsidR="00365802">
        <w:rPr>
          <w:position w:val="-6"/>
        </w:rPr>
        <w:t xml:space="preserve"> </w:t>
      </w:r>
      <m:oMath>
        <m:sSup>
          <m:sSupPr>
            <m:ctrlPr>
              <w:rPr>
                <w:rFonts w:ascii="Cambria Math" w:hAnsi="Cambria Math" w:cs="Times New Roman"/>
                <w:i/>
              </w:rPr>
            </m:ctrlPr>
          </m:sSupPr>
          <m:e>
            <m:r>
              <m:rPr>
                <m:nor/>
              </m:rPr>
              <w:rPr>
                <w:rFonts w:cs="Times New Roman"/>
              </w:rPr>
              <m:t>1,2</m:t>
            </m:r>
          </m:e>
          <m:sup>
            <m:r>
              <m:rPr>
                <m:nor/>
              </m:rPr>
              <w:rPr>
                <w:rFonts w:ascii="Cambria Math" w:cs="Times New Roman"/>
                <w:i/>
              </w:rPr>
              <m:t xml:space="preserve"> </m:t>
            </m:r>
            <m:r>
              <m:rPr>
                <m:nor/>
              </m:rPr>
              <w:rPr>
                <w:rFonts w:cs="Times New Roman"/>
                <w:i/>
              </w:rPr>
              <m:t>f</m:t>
            </m:r>
          </m:sup>
        </m:sSup>
      </m:oMath>
      <w:r w:rsidR="00E73FF0">
        <w:tab/>
      </w:r>
      <w:r w:rsidR="00365802">
        <w:t xml:space="preserve">für </w:t>
      </w:r>
      <w:r w:rsidR="00B772E0">
        <w:t>3,802</w:t>
      </w:r>
      <w:r w:rsidR="00365802">
        <w:t xml:space="preserve"> </w:t>
      </w:r>
      <w:r w:rsidR="00365802">
        <w:rPr>
          <w:rFonts w:cs="Times New Roman"/>
        </w:rPr>
        <w:t>&gt;</w:t>
      </w:r>
      <w:r w:rsidR="00365802">
        <w:t xml:space="preserve"> </w:t>
      </w:r>
      <w:r w:rsidR="00365802" w:rsidRPr="00656F67">
        <w:rPr>
          <w:i/>
        </w:rPr>
        <w:t>f</w:t>
      </w:r>
      <w:r w:rsidR="00365802">
        <w:t xml:space="preserve"> </w:t>
      </w:r>
      <w:r w:rsidR="002D397D">
        <w:rPr>
          <w:rFonts w:cs="Times New Roman"/>
        </w:rPr>
        <w:t>&gt;</w:t>
      </w:r>
      <w:r w:rsidR="00365802">
        <w:rPr>
          <w:rFonts w:cs="Times New Roman"/>
        </w:rPr>
        <w:t xml:space="preserve"> 1 </w:t>
      </w:r>
      <w:r w:rsidR="00365802">
        <w:t>erf</w:t>
      </w:r>
      <w:r w:rsidR="006E4A14">
        <w:t>.</w:t>
      </w:r>
      <w:r w:rsidR="00365802">
        <w:t xml:space="preserve">, für </w:t>
      </w:r>
      <w:r w:rsidR="00365802" w:rsidRPr="003E0660">
        <w:rPr>
          <w:i/>
        </w:rPr>
        <w:t>f</w:t>
      </w:r>
      <w:r w:rsidR="00365802">
        <w:t xml:space="preserve"> </w:t>
      </w:r>
      <w:r w:rsidR="00365802">
        <w:rPr>
          <w:rFonts w:cs="Times New Roman"/>
        </w:rPr>
        <w:t>≥</w:t>
      </w:r>
      <w:r w:rsidR="00365802">
        <w:t xml:space="preserve"> </w:t>
      </w:r>
      <w:r w:rsidR="00B772E0">
        <w:t>3,802 nicht erf.</w:t>
      </w:r>
    </w:p>
    <w:p w:rsidR="00D2554C" w:rsidRDefault="00B772E0" w:rsidP="008A30E0">
      <w:pPr>
        <w:pStyle w:val="Text"/>
        <w:ind w:firstLine="0"/>
        <w:rPr>
          <w:iCs/>
        </w:rPr>
      </w:pPr>
      <w:r>
        <w:rPr>
          <w:iCs/>
        </w:rPr>
        <w:t xml:space="preserve">Für </w:t>
      </w:r>
      <w:r w:rsidR="00D2554C">
        <w:rPr>
          <w:i/>
        </w:rPr>
        <w:t>f</w:t>
      </w:r>
      <w:r w:rsidR="00D2554C">
        <w:rPr>
          <w:iCs/>
        </w:rPr>
        <w:t xml:space="preserve"> </w:t>
      </w:r>
      <w:r>
        <w:rPr>
          <w:iCs/>
        </w:rPr>
        <w:t>&lt;</w:t>
      </w:r>
      <w:r w:rsidR="00D2554C">
        <w:rPr>
          <w:iCs/>
        </w:rPr>
        <w:t xml:space="preserve"> </w:t>
      </w:r>
      <w:r w:rsidR="00D24EF0">
        <w:rPr>
          <w:iCs/>
        </w:rPr>
        <w:t>3</w:t>
      </w:r>
      <w:r w:rsidR="00D2554C">
        <w:rPr>
          <w:iCs/>
        </w:rPr>
        <w:t>,</w:t>
      </w:r>
      <w:r w:rsidR="00D24EF0">
        <w:rPr>
          <w:iCs/>
        </w:rPr>
        <w:t>8</w:t>
      </w:r>
      <w:r>
        <w:rPr>
          <w:iCs/>
        </w:rPr>
        <w:t>02</w:t>
      </w:r>
      <w:r w:rsidR="00D2554C">
        <w:rPr>
          <w:iCs/>
        </w:rPr>
        <w:t xml:space="preserve"> </w:t>
      </w:r>
      <w:r w:rsidR="00083DE5">
        <w:rPr>
          <w:iCs/>
        </w:rPr>
        <w:t xml:space="preserve">wird </w:t>
      </w:r>
      <w:r w:rsidR="00D2554C">
        <w:rPr>
          <w:iCs/>
        </w:rPr>
        <w:t xml:space="preserve">die </w:t>
      </w:r>
      <w:r w:rsidR="00765E66">
        <w:rPr>
          <w:iCs/>
        </w:rPr>
        <w:t>Merkmalsregel</w:t>
      </w:r>
      <w:r w:rsidR="00D2554C">
        <w:rPr>
          <w:iCs/>
        </w:rPr>
        <w:t xml:space="preserve"> </w:t>
      </w:r>
      <w:r w:rsidR="0002602F">
        <w:rPr>
          <w:iCs/>
        </w:rPr>
        <w:t>entfernt</w:t>
      </w:r>
      <w:r w:rsidR="00D2554C">
        <w:rPr>
          <w:iCs/>
        </w:rPr>
        <w:t xml:space="preserve">, </w:t>
      </w:r>
      <w:r w:rsidR="00A92B85">
        <w:rPr>
          <w:iCs/>
        </w:rPr>
        <w:t>ab diesem Wert ‚gerettet‘</w:t>
      </w:r>
      <w:r w:rsidR="00D2554C">
        <w:rPr>
          <w:iCs/>
        </w:rPr>
        <w:t>. – O</w:t>
      </w:r>
      <w:r w:rsidR="00D2554C">
        <w:rPr>
          <w:iCs/>
        </w:rPr>
        <w:t>b</w:t>
      </w:r>
      <w:r w:rsidR="00D2554C">
        <w:rPr>
          <w:iCs/>
        </w:rPr>
        <w:t xml:space="preserve">wohl in diesem Beispiel der Unterschied </w:t>
      </w:r>
      <w:r w:rsidR="00365802">
        <w:rPr>
          <w:iCs/>
        </w:rPr>
        <w:t xml:space="preserve">zwischen den beiden </w:t>
      </w:r>
      <w:r w:rsidR="00D2554C">
        <w:rPr>
          <w:i/>
        </w:rPr>
        <w:t>w</w:t>
      </w:r>
      <w:r w:rsidR="00D2554C">
        <w:rPr>
          <w:iCs/>
        </w:rPr>
        <w:t xml:space="preserve"> nicht so groß ist</w:t>
      </w:r>
      <w:r w:rsidR="00365802">
        <w:rPr>
          <w:iCs/>
        </w:rPr>
        <w:t xml:space="preserve"> wie in Fall 7</w:t>
      </w:r>
      <w:r w:rsidR="00D2554C">
        <w:rPr>
          <w:iCs/>
        </w:rPr>
        <w:t xml:space="preserve">, kann die </w:t>
      </w:r>
      <w:r w:rsidR="00765E66">
        <w:rPr>
          <w:iCs/>
        </w:rPr>
        <w:t>Merkmalsregel</w:t>
      </w:r>
      <w:r w:rsidR="00D2554C">
        <w:rPr>
          <w:iCs/>
        </w:rPr>
        <w:t xml:space="preserve"> nur durch ein sehr hohes </w:t>
      </w:r>
      <w:r w:rsidR="00D2554C">
        <w:rPr>
          <w:i/>
          <w:iCs/>
        </w:rPr>
        <w:t>f</w:t>
      </w:r>
      <w:r w:rsidR="00D2554C">
        <w:rPr>
          <w:iCs/>
        </w:rPr>
        <w:t xml:space="preserve"> vor </w:t>
      </w:r>
      <w:r w:rsidR="00C604FC">
        <w:rPr>
          <w:iCs/>
        </w:rPr>
        <w:t>de</w:t>
      </w:r>
      <w:r w:rsidR="0002602F">
        <w:rPr>
          <w:iCs/>
        </w:rPr>
        <w:t>r</w:t>
      </w:r>
      <w:r w:rsidR="00C604FC">
        <w:rPr>
          <w:iCs/>
        </w:rPr>
        <w:t xml:space="preserve"> </w:t>
      </w:r>
      <w:r w:rsidR="0002602F">
        <w:rPr>
          <w:iCs/>
        </w:rPr>
        <w:t>Entfe</w:t>
      </w:r>
      <w:r w:rsidR="0002602F">
        <w:rPr>
          <w:iCs/>
        </w:rPr>
        <w:t>r</w:t>
      </w:r>
      <w:r w:rsidR="0002602F">
        <w:rPr>
          <w:iCs/>
        </w:rPr>
        <w:t xml:space="preserve">nung </w:t>
      </w:r>
      <w:r w:rsidR="00D2554C">
        <w:rPr>
          <w:iCs/>
        </w:rPr>
        <w:t xml:space="preserve">‚gerettet‘ werden. Die </w:t>
      </w:r>
      <w:r w:rsidR="00765E66">
        <w:rPr>
          <w:iCs/>
        </w:rPr>
        <w:t>Merkmalsregel</w:t>
      </w:r>
      <w:r w:rsidR="00D2554C">
        <w:rPr>
          <w:iCs/>
        </w:rPr>
        <w:t xml:space="preserve"> hätte in 40 Fällen angewandt werden können, </w:t>
      </w:r>
      <w:r w:rsidR="00BF3139">
        <w:rPr>
          <w:iCs/>
        </w:rPr>
        <w:t>20 mehr als die speziellere</w:t>
      </w:r>
      <w:r w:rsidR="00D2554C">
        <w:rPr>
          <w:iCs/>
        </w:rPr>
        <w:t xml:space="preserve">. </w:t>
      </w:r>
      <w:r w:rsidR="00BF3139">
        <w:rPr>
          <w:iCs/>
        </w:rPr>
        <w:t xml:space="preserve">Bei diesen </w:t>
      </w:r>
      <w:r w:rsidR="00D2554C">
        <w:rPr>
          <w:iCs/>
        </w:rPr>
        <w:t xml:space="preserve">20 zusätzlichen </w:t>
      </w:r>
      <w:r w:rsidR="00BF3139">
        <w:rPr>
          <w:iCs/>
        </w:rPr>
        <w:t>Anwendung</w:t>
      </w:r>
      <w:r w:rsidR="00BF3139">
        <w:rPr>
          <w:iCs/>
        </w:rPr>
        <w:t>s</w:t>
      </w:r>
      <w:r w:rsidR="00BF3139">
        <w:rPr>
          <w:iCs/>
        </w:rPr>
        <w:t xml:space="preserve">möglichkeiten </w:t>
      </w:r>
      <w:r w:rsidR="00D2554C">
        <w:rPr>
          <w:iCs/>
        </w:rPr>
        <w:t xml:space="preserve">hat sie es gerade auf </w:t>
      </w:r>
      <w:r w:rsidR="00D24EF0">
        <w:rPr>
          <w:iCs/>
        </w:rPr>
        <w:t>zwei</w:t>
      </w:r>
      <w:r w:rsidR="00D2554C">
        <w:rPr>
          <w:iCs/>
        </w:rPr>
        <w:t xml:space="preserve"> zusätzliche Anwendung</w:t>
      </w:r>
      <w:r w:rsidR="00D24EF0">
        <w:rPr>
          <w:iCs/>
        </w:rPr>
        <w:t>en</w:t>
      </w:r>
      <w:r w:rsidR="00D2554C">
        <w:rPr>
          <w:iCs/>
        </w:rPr>
        <w:t xml:space="preserve"> gebracht – </w:t>
      </w:r>
      <w:r w:rsidR="00D24EF0">
        <w:rPr>
          <w:iCs/>
        </w:rPr>
        <w:t>wahrscheinlich ein Zufall!</w:t>
      </w:r>
      <w:r w:rsidR="00D2554C">
        <w:rPr>
          <w:iCs/>
        </w:rPr>
        <w:t xml:space="preserve"> Es ist daher plausibel, dass sie nur mit einem </w:t>
      </w:r>
      <w:r w:rsidR="00D2554C">
        <w:rPr>
          <w:i/>
          <w:iCs/>
        </w:rPr>
        <w:t>f</w:t>
      </w:r>
      <w:r w:rsidR="00D2554C">
        <w:rPr>
          <w:iCs/>
        </w:rPr>
        <w:t xml:space="preserve"> gerettet werden kann, </w:t>
      </w:r>
      <w:r w:rsidR="00FB7AD1">
        <w:rPr>
          <w:iCs/>
        </w:rPr>
        <w:t xml:space="preserve">das </w:t>
      </w:r>
      <w:r w:rsidR="00D2554C">
        <w:rPr>
          <w:iCs/>
        </w:rPr>
        <w:t>oberhalb des empfehlenswerten Bereichs liegt (s. unten).</w:t>
      </w:r>
    </w:p>
    <w:p w:rsidR="00AD0862" w:rsidRDefault="00AD0862" w:rsidP="00C91276">
      <w:pPr>
        <w:pStyle w:val="Zwischenberschrift"/>
      </w:pPr>
      <w:r>
        <w:t>Beispiele</w:t>
      </w:r>
    </w:p>
    <w:p w:rsidR="00AD0862" w:rsidRDefault="00AD0862" w:rsidP="00C91276">
      <w:pPr>
        <w:pStyle w:val="Text"/>
        <w:ind w:firstLine="0"/>
        <w:rPr>
          <w:iCs/>
        </w:rPr>
      </w:pPr>
      <w:r>
        <w:rPr>
          <w:iCs/>
        </w:rPr>
        <w:t xml:space="preserve">In einem natürlichsprachlichen Text sind relativ viele </w:t>
      </w:r>
      <w:r w:rsidR="00C12426">
        <w:rPr>
          <w:iCs/>
        </w:rPr>
        <w:t>Wörter</w:t>
      </w:r>
      <w:r>
        <w:rPr>
          <w:iCs/>
        </w:rPr>
        <w:t xml:space="preserve"> Fremd</w:t>
      </w:r>
      <w:r w:rsidR="00C12426">
        <w:rPr>
          <w:iCs/>
        </w:rPr>
        <w:t>wörter</w:t>
      </w:r>
      <w:r>
        <w:rPr>
          <w:iCs/>
        </w:rPr>
        <w:t>. Beim Auslesen der Merkmalsregeln werden zwei Regeln gebildet:</w:t>
      </w:r>
    </w:p>
    <w:p w:rsidR="00AD0862" w:rsidRPr="00E044F6" w:rsidRDefault="00AD0862" w:rsidP="00C91276">
      <w:pPr>
        <w:pStyle w:val="Interpretation"/>
      </w:pPr>
      <w:r w:rsidRPr="00E044F6">
        <w:rPr>
          <w:i/>
        </w:rPr>
        <w:t>U</w:t>
      </w:r>
      <w:r w:rsidRPr="00E044F6">
        <w:t>(</w:t>
      </w:r>
      <w:r w:rsidRPr="00E044F6">
        <w:rPr>
          <w:i/>
        </w:rPr>
        <w:t>B</w:t>
      </w:r>
      <w:r w:rsidRPr="00E044F6">
        <w:rPr>
          <w:i/>
          <w:vertAlign w:val="subscript"/>
        </w:rPr>
        <w:t>j</w:t>
      </w:r>
      <w:r w:rsidRPr="00E044F6">
        <w:t xml:space="preserve">): ‚Substantive‘, </w:t>
      </w:r>
      <w:r w:rsidRPr="00E044F6">
        <w:rPr>
          <w:i/>
        </w:rPr>
        <w:t>V</w:t>
      </w:r>
      <w:r w:rsidRPr="00E044F6">
        <w:t>(</w:t>
      </w:r>
      <w:r w:rsidRPr="00E044F6">
        <w:rPr>
          <w:i/>
        </w:rPr>
        <w:t>B</w:t>
      </w:r>
      <w:r w:rsidRPr="00E044F6">
        <w:rPr>
          <w:i/>
          <w:vertAlign w:val="subscript"/>
        </w:rPr>
        <w:t>j</w:t>
      </w:r>
      <w:r w:rsidRPr="00E044F6">
        <w:t>): ‚</w:t>
      </w:r>
      <w:r w:rsidR="00C12426">
        <w:t>Fremdwörter</w:t>
      </w:r>
      <w:r w:rsidRPr="00E044F6">
        <w:t xml:space="preserve">‘, </w:t>
      </w:r>
      <w:r w:rsidRPr="00E044F6">
        <w:rPr>
          <w:i/>
        </w:rPr>
        <w:t>w</w:t>
      </w:r>
      <w:r w:rsidRPr="00E044F6">
        <w:t>(</w:t>
      </w:r>
      <w:r w:rsidRPr="00E044F6">
        <w:rPr>
          <w:i/>
        </w:rPr>
        <w:t>B</w:t>
      </w:r>
      <w:r w:rsidRPr="00E044F6">
        <w:rPr>
          <w:i/>
          <w:vertAlign w:val="subscript"/>
        </w:rPr>
        <w:t>j</w:t>
      </w:r>
      <w:r w:rsidRPr="00E044F6">
        <w:t>): 0,</w:t>
      </w:r>
      <w:r>
        <w:t>4</w:t>
      </w:r>
    </w:p>
    <w:p w:rsidR="00AD0862" w:rsidRPr="00E044F6" w:rsidRDefault="00AD0862" w:rsidP="00C91276">
      <w:pPr>
        <w:pStyle w:val="Interpretation"/>
      </w:pPr>
      <w:r w:rsidRPr="00E044F6">
        <w:rPr>
          <w:i/>
        </w:rPr>
        <w:t>U</w:t>
      </w:r>
      <w:r w:rsidRPr="00E044F6">
        <w:t>(</w:t>
      </w:r>
      <w:r w:rsidRPr="00E044F6">
        <w:rPr>
          <w:i/>
        </w:rPr>
        <w:t>B</w:t>
      </w:r>
      <w:r>
        <w:rPr>
          <w:i/>
          <w:vertAlign w:val="subscript"/>
        </w:rPr>
        <w:t>x</w:t>
      </w:r>
      <w:r w:rsidRPr="00E044F6">
        <w:t>): ‚</w:t>
      </w:r>
      <w:r w:rsidR="001B7C0E">
        <w:t>Wörter</w:t>
      </w:r>
      <w:r w:rsidRPr="00E044F6">
        <w:t xml:space="preserve">‘, </w:t>
      </w:r>
      <w:r w:rsidRPr="00E044F6">
        <w:rPr>
          <w:i/>
        </w:rPr>
        <w:t>V</w:t>
      </w:r>
      <w:r w:rsidRPr="00E044F6">
        <w:t>(</w:t>
      </w:r>
      <w:r w:rsidRPr="00E044F6">
        <w:rPr>
          <w:i/>
        </w:rPr>
        <w:t>B</w:t>
      </w:r>
      <w:r>
        <w:rPr>
          <w:i/>
          <w:vertAlign w:val="subscript"/>
        </w:rPr>
        <w:t>x</w:t>
      </w:r>
      <w:r w:rsidRPr="00E044F6">
        <w:t>): ‚</w:t>
      </w:r>
      <w:r w:rsidR="00C12426">
        <w:t>Fremdwörter</w:t>
      </w:r>
      <w:r w:rsidRPr="00E044F6">
        <w:t xml:space="preserve">‘, </w:t>
      </w:r>
      <w:r w:rsidRPr="00E044F6">
        <w:rPr>
          <w:i/>
        </w:rPr>
        <w:t>w</w:t>
      </w:r>
      <w:r w:rsidRPr="00E044F6">
        <w:t>(</w:t>
      </w:r>
      <w:r w:rsidRPr="00E044F6">
        <w:rPr>
          <w:i/>
        </w:rPr>
        <w:t>B</w:t>
      </w:r>
      <w:r>
        <w:rPr>
          <w:i/>
          <w:vertAlign w:val="subscript"/>
        </w:rPr>
        <w:t>x</w:t>
      </w:r>
      <w:r w:rsidRPr="00E044F6">
        <w:t>): 0,</w:t>
      </w:r>
      <w:r>
        <w:t>2</w:t>
      </w:r>
    </w:p>
    <w:p w:rsidR="00AD0862" w:rsidRDefault="00AD0862" w:rsidP="00C91276">
      <w:pPr>
        <w:pStyle w:val="Text"/>
        <w:ind w:firstLine="0"/>
        <w:rPr>
          <w:iCs/>
        </w:rPr>
      </w:pPr>
      <w:r>
        <w:rPr>
          <w:iCs/>
        </w:rPr>
        <w:t xml:space="preserve">Sollte man die allgemeinere Regel aufgrund des deutlich niedrigeren </w:t>
      </w:r>
      <w:r w:rsidRPr="00E044F6">
        <w:rPr>
          <w:i/>
          <w:iCs/>
        </w:rPr>
        <w:t>w</w:t>
      </w:r>
      <w:r>
        <w:rPr>
          <w:iCs/>
        </w:rPr>
        <w:t xml:space="preserve"> </w:t>
      </w:r>
      <w:r w:rsidR="0002602F">
        <w:rPr>
          <w:iCs/>
        </w:rPr>
        <w:t>entfe</w:t>
      </w:r>
      <w:r w:rsidR="0002602F">
        <w:rPr>
          <w:iCs/>
        </w:rPr>
        <w:t>r</w:t>
      </w:r>
      <w:r w:rsidR="0002602F">
        <w:rPr>
          <w:iCs/>
        </w:rPr>
        <w:t>nen</w:t>
      </w:r>
      <w:r>
        <w:rPr>
          <w:iCs/>
        </w:rPr>
        <w:t xml:space="preserve">? Dies hängt davon ab, wie stark der Einfluss der spezielleren Regel </w:t>
      </w:r>
      <w:r w:rsidRPr="00E044F6">
        <w:rPr>
          <w:i/>
          <w:iCs/>
        </w:rPr>
        <w:t>B</w:t>
      </w:r>
      <w:r w:rsidRPr="00E044F6">
        <w:rPr>
          <w:i/>
          <w:iCs/>
          <w:vertAlign w:val="subscript"/>
        </w:rPr>
        <w:t>j</w:t>
      </w:r>
      <w:r>
        <w:rPr>
          <w:iCs/>
        </w:rPr>
        <w:t xml:space="preserve"> auf die allgemeinere </w:t>
      </w:r>
      <w:r w:rsidRPr="00E044F6">
        <w:rPr>
          <w:i/>
          <w:iCs/>
        </w:rPr>
        <w:t>B</w:t>
      </w:r>
      <w:r>
        <w:rPr>
          <w:i/>
          <w:iCs/>
          <w:vertAlign w:val="subscript"/>
        </w:rPr>
        <w:t>x</w:t>
      </w:r>
      <w:r>
        <w:rPr>
          <w:iCs/>
        </w:rPr>
        <w:t xml:space="preserve"> ist. Nehmen wir an, die allgemeinere Regel hätte doppelt so oft angewandt werden können. Nun kommt es auf die Anzahl der Anwendungen an:</w:t>
      </w:r>
      <w:r>
        <w:rPr>
          <w:rStyle w:val="Funotenzeichen"/>
          <w:iCs/>
        </w:rPr>
        <w:footnoteReference w:id="389"/>
      </w:r>
    </w:p>
    <w:p w:rsidR="00AD0862" w:rsidRDefault="00AD0862" w:rsidP="00C91276">
      <w:pPr>
        <w:pStyle w:val="Formel"/>
      </w:pPr>
      <w:r w:rsidRPr="00014CCA">
        <w:rPr>
          <w:i/>
        </w:rPr>
        <w:lastRenderedPageBreak/>
        <w:t>m</w:t>
      </w:r>
      <w:r w:rsidRPr="00014CCA">
        <w:rPr>
          <w:i/>
          <w:vertAlign w:val="subscript"/>
        </w:rPr>
        <w:t>j</w:t>
      </w:r>
      <w:r w:rsidRPr="00014CCA">
        <w:t xml:space="preserve"> = </w:t>
      </w:r>
      <w:r>
        <w:t>2</w:t>
      </w:r>
      <w:r w:rsidRPr="00014CCA">
        <w:t xml:space="preserve">0, </w:t>
      </w:r>
      <w:r w:rsidRPr="00014CCA">
        <w:rPr>
          <w:i/>
        </w:rPr>
        <w:t>n</w:t>
      </w:r>
      <w:r w:rsidRPr="00014CCA">
        <w:rPr>
          <w:i/>
          <w:vertAlign w:val="subscript"/>
        </w:rPr>
        <w:t>j</w:t>
      </w:r>
      <w:r w:rsidRPr="00014CCA">
        <w:t xml:space="preserve"> = </w:t>
      </w:r>
      <w:r>
        <w:t>50</w:t>
      </w:r>
      <w:r w:rsidRPr="00014CCA">
        <w:t xml:space="preserve">, </w:t>
      </w:r>
      <w:r w:rsidRPr="00014CCA">
        <w:rPr>
          <w:i/>
        </w:rPr>
        <w:t>w</w:t>
      </w:r>
      <w:r w:rsidRPr="00014CCA">
        <w:t>(</w:t>
      </w:r>
      <w:r w:rsidRPr="00014CCA">
        <w:rPr>
          <w:i/>
        </w:rPr>
        <w:t>B</w:t>
      </w:r>
      <w:r>
        <w:rPr>
          <w:i/>
          <w:vertAlign w:val="subscript"/>
        </w:rPr>
        <w:t>j</w:t>
      </w:r>
      <w:r w:rsidRPr="00014CCA">
        <w:t>) = 0,</w:t>
      </w:r>
      <w:r>
        <w:t>4</w:t>
      </w:r>
      <w:r w:rsidR="00C91276">
        <w:br/>
      </w:r>
      <w:r w:rsidRPr="00014CCA">
        <w:rPr>
          <w:i/>
        </w:rPr>
        <w:t>m</w:t>
      </w:r>
      <w:r>
        <w:rPr>
          <w:i/>
          <w:vertAlign w:val="subscript"/>
        </w:rPr>
        <w:t>x</w:t>
      </w:r>
      <w:r w:rsidRPr="00014CCA">
        <w:t xml:space="preserve"> = </w:t>
      </w:r>
      <w:r>
        <w:t>2</w:t>
      </w:r>
      <w:r w:rsidRPr="00014CCA">
        <w:t xml:space="preserve">0, </w:t>
      </w:r>
      <w:r w:rsidRPr="00014CCA">
        <w:rPr>
          <w:i/>
        </w:rPr>
        <w:t>n</w:t>
      </w:r>
      <w:r>
        <w:rPr>
          <w:i/>
          <w:vertAlign w:val="subscript"/>
        </w:rPr>
        <w:t>x</w:t>
      </w:r>
      <w:r w:rsidRPr="00014CCA">
        <w:t xml:space="preserve"> = </w:t>
      </w:r>
      <w:r>
        <w:t>10</w:t>
      </w:r>
      <w:r w:rsidRPr="00014CCA">
        <w:t xml:space="preserve">0, </w:t>
      </w:r>
      <w:r w:rsidRPr="00014CCA">
        <w:rPr>
          <w:i/>
        </w:rPr>
        <w:t>w</w:t>
      </w:r>
      <w:r w:rsidRPr="00014CCA">
        <w:t>(</w:t>
      </w:r>
      <w:r w:rsidRPr="00014CCA">
        <w:rPr>
          <w:i/>
        </w:rPr>
        <w:t>B</w:t>
      </w:r>
      <w:r w:rsidRPr="00014CCA">
        <w:rPr>
          <w:i/>
          <w:vertAlign w:val="subscript"/>
        </w:rPr>
        <w:t>x</w:t>
      </w:r>
      <w:r w:rsidRPr="00014CCA">
        <w:t>) = 0,</w:t>
      </w:r>
      <w:r>
        <w:t>2</w:t>
      </w:r>
    </w:p>
    <w:p w:rsidR="004503EF" w:rsidRPr="00B82A81" w:rsidRDefault="005D7996" w:rsidP="00C91276">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4503EF" w:rsidRPr="00803CA0">
        <w:t xml:space="preserve"> </w:t>
      </w:r>
      <w:r w:rsidR="004503EF">
        <w:t>&gt;</w:t>
      </w:r>
      <w:r w:rsidR="004503EF"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20</m:t>
                </m:r>
              </m:num>
              <m:den>
                <m:r>
                  <m:rPr>
                    <m:nor/>
                  </m:rPr>
                  <w:rPr>
                    <w:rFonts w:cs="Times New Roman"/>
                  </w:rPr>
                  <m:t>20</m:t>
                </m:r>
              </m:den>
            </m:f>
            <m:r>
              <m:rPr>
                <m:nor/>
              </m:rPr>
              <w:rPr>
                <w:rFonts w:cs="Times New Roman"/>
              </w:rPr>
              <m:t>)</m:t>
            </m:r>
          </m:e>
          <m:sup>
            <m:r>
              <m:rPr>
                <m:nor/>
              </m:rPr>
              <w:rPr>
                <w:rFonts w:cs="Times New Roman"/>
                <w:i/>
              </w:rPr>
              <m:t>f</m:t>
            </m:r>
          </m:sup>
        </m:sSup>
      </m:oMath>
      <w:r w:rsidR="004503EF" w:rsidRPr="00B82A81">
        <w:tab/>
      </w:r>
      <w:r w:rsidR="00635DE8" w:rsidRPr="00635DE8">
        <w:rPr>
          <w:rFonts w:ascii="Cambria Math" w:eastAsia="Arial Unicode MS" w:hAnsi="Cambria Math" w:cs="Arial Unicode MS"/>
        </w:rPr>
        <w:t>⇒</w:t>
      </w:r>
      <w:r w:rsidR="004503EF">
        <w:tab/>
        <w:t>2 &gt;</w:t>
      </w:r>
      <w:r w:rsidR="004503EF">
        <w:rPr>
          <w:position w:val="-6"/>
        </w:rPr>
        <w:t xml:space="preserve"> </w:t>
      </w:r>
      <m:oMath>
        <m:sSup>
          <m:sSupPr>
            <m:ctrlPr>
              <w:rPr>
                <w:rFonts w:ascii="Cambria Math" w:hAnsi="Cambria Math" w:cs="Times New Roman"/>
                <w:i/>
              </w:rPr>
            </m:ctrlPr>
          </m:sSupPr>
          <m:e>
            <m:r>
              <m:rPr>
                <m:nor/>
              </m:rPr>
              <w:rPr>
                <w:rFonts w:cs="Times New Roman"/>
              </w:rPr>
              <m:t>1</m:t>
            </m:r>
          </m:e>
          <m:sup>
            <m:r>
              <m:rPr>
                <m:nor/>
              </m:rPr>
              <w:rPr>
                <w:rFonts w:ascii="Cambria Math" w:cs="Times New Roman"/>
                <w:i/>
              </w:rPr>
              <m:t xml:space="preserve"> </m:t>
            </m:r>
            <m:r>
              <m:rPr>
                <m:nor/>
              </m:rPr>
              <w:rPr>
                <w:rFonts w:cs="Times New Roman"/>
                <w:i/>
              </w:rPr>
              <m:t>f</m:t>
            </m:r>
          </m:sup>
        </m:sSup>
      </m:oMath>
      <w:r w:rsidR="004503EF">
        <w:tab/>
        <w:t xml:space="preserve">für </w:t>
      </w:r>
      <w:r w:rsidR="004503EF" w:rsidRPr="003E0660">
        <w:rPr>
          <w:i/>
        </w:rPr>
        <w:t>f</w:t>
      </w:r>
      <w:r w:rsidR="004503EF">
        <w:t xml:space="preserve"> </w:t>
      </w:r>
      <w:r w:rsidR="002D397D">
        <w:rPr>
          <w:rFonts w:cs="Times New Roman"/>
        </w:rPr>
        <w:t>&gt;</w:t>
      </w:r>
      <w:r w:rsidR="004503EF">
        <w:t xml:space="preserve"> 1 erfüllt</w:t>
      </w:r>
    </w:p>
    <w:p w:rsidR="00AD0862" w:rsidRDefault="00AD0862" w:rsidP="00C91276">
      <w:pPr>
        <w:pStyle w:val="Text"/>
        <w:ind w:firstLine="0"/>
        <w:rPr>
          <w:iCs/>
        </w:rPr>
      </w:pPr>
      <w:r>
        <w:rPr>
          <w:iCs/>
        </w:rPr>
        <w:t>Hier verursacht die speziellere Regel im Durchschnitt</w:t>
      </w:r>
      <w:r>
        <w:rPr>
          <w:rStyle w:val="Funotenzeichen"/>
          <w:iCs/>
        </w:rPr>
        <w:footnoteReference w:id="390"/>
      </w:r>
      <w:r>
        <w:rPr>
          <w:iCs/>
        </w:rPr>
        <w:t xml:space="preserve"> </w:t>
      </w:r>
      <w:r w:rsidR="004503EF">
        <w:rPr>
          <w:iCs/>
        </w:rPr>
        <w:t xml:space="preserve">alle </w:t>
      </w:r>
      <w:r>
        <w:rPr>
          <w:iCs/>
        </w:rPr>
        <w:t xml:space="preserve">Anwendungen der allgemeineren Regel, die somit unbedingt rausgeworfen werden muss. Nehmen wir dagegen an, die allgemeinere Regel hatte doppelt so viele Anwendungen. Da sich ihr </w:t>
      </w:r>
      <w:r w:rsidRPr="00776857">
        <w:rPr>
          <w:i/>
          <w:iCs/>
        </w:rPr>
        <w:t>w</w:t>
      </w:r>
      <w:r>
        <w:rPr>
          <w:iCs/>
        </w:rPr>
        <w:t xml:space="preserve"> nicht ändert, kann dies nur heißen, dass es viermal soviele Anwe</w:t>
      </w:r>
      <w:r>
        <w:rPr>
          <w:iCs/>
        </w:rPr>
        <w:t>n</w:t>
      </w:r>
      <w:r>
        <w:rPr>
          <w:iCs/>
        </w:rPr>
        <w:t>dungsmöglichkeiten gab:</w:t>
      </w:r>
    </w:p>
    <w:p w:rsidR="00AD0862" w:rsidRDefault="00AD0862" w:rsidP="00C91276">
      <w:pPr>
        <w:pStyle w:val="Formel"/>
      </w:pPr>
      <w:r w:rsidRPr="00014CCA">
        <w:rPr>
          <w:i/>
        </w:rPr>
        <w:t>m</w:t>
      </w:r>
      <w:r w:rsidRPr="00014CCA">
        <w:rPr>
          <w:i/>
          <w:vertAlign w:val="subscript"/>
        </w:rPr>
        <w:t>j</w:t>
      </w:r>
      <w:r>
        <w:t xml:space="preserve"> = 20</w:t>
      </w:r>
      <w:r w:rsidRPr="00014CCA">
        <w:t xml:space="preserve">, </w:t>
      </w:r>
      <w:r w:rsidRPr="00014CCA">
        <w:rPr>
          <w:i/>
        </w:rPr>
        <w:t>n</w:t>
      </w:r>
      <w:r w:rsidRPr="00014CCA">
        <w:rPr>
          <w:i/>
          <w:vertAlign w:val="subscript"/>
        </w:rPr>
        <w:t>j</w:t>
      </w:r>
      <w:r w:rsidRPr="00014CCA">
        <w:t xml:space="preserve"> = </w:t>
      </w:r>
      <w:r>
        <w:t>50</w:t>
      </w:r>
      <w:r w:rsidRPr="00014CCA">
        <w:t xml:space="preserve">, </w:t>
      </w:r>
      <w:r w:rsidRPr="00014CCA">
        <w:rPr>
          <w:i/>
        </w:rPr>
        <w:t>w</w:t>
      </w:r>
      <w:r w:rsidRPr="00014CCA">
        <w:t>(</w:t>
      </w:r>
      <w:r w:rsidRPr="00014CCA">
        <w:rPr>
          <w:i/>
        </w:rPr>
        <w:t>B</w:t>
      </w:r>
      <w:r>
        <w:rPr>
          <w:i/>
          <w:vertAlign w:val="subscript"/>
        </w:rPr>
        <w:t>j</w:t>
      </w:r>
      <w:r w:rsidRPr="00014CCA">
        <w:t>) = 0,</w:t>
      </w:r>
      <w:r>
        <w:t>4</w:t>
      </w:r>
      <w:r w:rsidR="00C91276">
        <w:br/>
      </w:r>
      <w:r w:rsidRPr="00014CCA">
        <w:rPr>
          <w:i/>
        </w:rPr>
        <w:t>m</w:t>
      </w:r>
      <w:r>
        <w:rPr>
          <w:i/>
          <w:vertAlign w:val="subscript"/>
        </w:rPr>
        <w:t>x</w:t>
      </w:r>
      <w:r w:rsidRPr="00014CCA">
        <w:t xml:space="preserve"> = </w:t>
      </w:r>
      <w:r>
        <w:t>4</w:t>
      </w:r>
      <w:r w:rsidRPr="00014CCA">
        <w:t xml:space="preserve">0, </w:t>
      </w:r>
      <w:r w:rsidRPr="00014CCA">
        <w:rPr>
          <w:i/>
        </w:rPr>
        <w:t>n</w:t>
      </w:r>
      <w:r>
        <w:rPr>
          <w:i/>
          <w:vertAlign w:val="subscript"/>
        </w:rPr>
        <w:t>x</w:t>
      </w:r>
      <w:r w:rsidRPr="00014CCA">
        <w:t xml:space="preserve"> = </w:t>
      </w:r>
      <w:r>
        <w:t>20</w:t>
      </w:r>
      <w:r w:rsidRPr="00014CCA">
        <w:t xml:space="preserve">0, </w:t>
      </w:r>
      <w:r w:rsidRPr="00014CCA">
        <w:rPr>
          <w:i/>
        </w:rPr>
        <w:t>w</w:t>
      </w:r>
      <w:r w:rsidRPr="00014CCA">
        <w:t>(</w:t>
      </w:r>
      <w:r w:rsidRPr="00014CCA">
        <w:rPr>
          <w:i/>
        </w:rPr>
        <w:t>B</w:t>
      </w:r>
      <w:r w:rsidRPr="00014CCA">
        <w:rPr>
          <w:i/>
          <w:vertAlign w:val="subscript"/>
        </w:rPr>
        <w:t>x</w:t>
      </w:r>
      <w:r w:rsidRPr="00014CCA">
        <w:t>) = 0,</w:t>
      </w:r>
      <w:r>
        <w:t>2</w:t>
      </w:r>
    </w:p>
    <w:p w:rsidR="00AD0862" w:rsidRDefault="00AD0862" w:rsidP="00C91276">
      <w:pPr>
        <w:pStyle w:val="Text"/>
        <w:ind w:firstLine="0"/>
      </w:pPr>
      <w:r>
        <w:t xml:space="preserve">Trotz des nur halb so hohen </w:t>
      </w:r>
      <w:r w:rsidRPr="00417D8D">
        <w:rPr>
          <w:i/>
        </w:rPr>
        <w:t>w</w:t>
      </w:r>
      <w:r>
        <w:t xml:space="preserve"> erfasst hier die allgemeinere Reg</w:t>
      </w:r>
      <w:r w:rsidR="00B82296">
        <w:t>el doppelt so viele Anwendungen. S</w:t>
      </w:r>
      <w:r>
        <w:t xml:space="preserve">ie erklärt </w:t>
      </w:r>
      <w:r w:rsidR="00B82296">
        <w:t xml:space="preserve">also </w:t>
      </w:r>
      <w:r>
        <w:t>doppelt so viele Einzelphänomene (das Au</w:t>
      </w:r>
      <w:r>
        <w:t>f</w:t>
      </w:r>
      <w:r>
        <w:t>treten bestimmter Eigensch</w:t>
      </w:r>
      <w:r w:rsidR="00B82296">
        <w:t>a</w:t>
      </w:r>
      <w:r>
        <w:t>ften an einer bestimmten Realisierungsstelle)</w:t>
      </w:r>
      <w:r w:rsidR="00B82296">
        <w:t>, alle</w:t>
      </w:r>
      <w:r w:rsidR="00B82296">
        <w:t>r</w:t>
      </w:r>
      <w:r w:rsidR="00B82296">
        <w:t>dings mit wesentlich geringerer Trefferquote als die speziellere</w:t>
      </w:r>
      <w:r>
        <w:t xml:space="preserve">. </w:t>
      </w:r>
      <w:r w:rsidR="00B82296">
        <w:t>Es ist eine A</w:t>
      </w:r>
      <w:r w:rsidR="00B82296">
        <w:t>b</w:t>
      </w:r>
      <w:r w:rsidR="00B82296">
        <w:t>wägungsfrage, ob sie erhalten bleibt;</w:t>
      </w:r>
      <w:r>
        <w:rPr>
          <w:rStyle w:val="Funotenzeichen"/>
        </w:rPr>
        <w:footnoteReference w:id="391"/>
      </w:r>
      <w:r w:rsidR="00B82296">
        <w:t xml:space="preserve"> </w:t>
      </w:r>
      <w:r w:rsidR="00B82296">
        <w:rPr>
          <w:iCs/>
        </w:rPr>
        <w:t xml:space="preserve">beim empfohlenen Wert </w:t>
      </w:r>
      <w:r w:rsidR="00B82296" w:rsidRPr="00003E54">
        <w:rPr>
          <w:i/>
          <w:iCs/>
        </w:rPr>
        <w:t>f</w:t>
      </w:r>
      <w:r w:rsidR="00B82296">
        <w:rPr>
          <w:iCs/>
        </w:rPr>
        <w:t xml:space="preserve"> = 2 ist dies gerade noch der Fall:</w:t>
      </w:r>
    </w:p>
    <w:p w:rsidR="00B82296" w:rsidRPr="00B82A81" w:rsidRDefault="005D7996" w:rsidP="00C91276">
      <w:pPr>
        <w:pStyle w:val="FormelTabrechts"/>
      </w:pPr>
      <m:oMath>
        <m:f>
          <m:fPr>
            <m:ctrlPr>
              <w:rPr>
                <w:rFonts w:ascii="Cambria Math" w:hAnsi="Cambria Math" w:cs="Times New Roman"/>
                <w:i/>
                <w:lang w:val="en-US"/>
              </w:rPr>
            </m:ctrlPr>
          </m:fPr>
          <m:num>
            <m:r>
              <m:rPr>
                <m:nor/>
              </m:rPr>
              <w:rPr>
                <w:rFonts w:cs="Times New Roman"/>
              </w:rPr>
              <m:t>200</m:t>
            </m:r>
          </m:num>
          <m:den>
            <m:r>
              <m:rPr>
                <m:nor/>
              </m:rPr>
              <w:rPr>
                <w:rFonts w:cs="Times New Roman"/>
              </w:rPr>
              <m:t>50</m:t>
            </m:r>
          </m:den>
        </m:f>
      </m:oMath>
      <w:r w:rsidR="00B82296" w:rsidRPr="00803CA0">
        <w:t xml:space="preserve"> </w:t>
      </w:r>
      <w:r w:rsidR="00B82296">
        <w:t>&gt;</w:t>
      </w:r>
      <w:r w:rsidR="00B82296"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40</m:t>
                </m:r>
              </m:num>
              <m:den>
                <m:r>
                  <m:rPr>
                    <m:nor/>
                  </m:rPr>
                  <w:rPr>
                    <w:rFonts w:cs="Times New Roman"/>
                  </w:rPr>
                  <m:t>20</m:t>
                </m:r>
              </m:den>
            </m:f>
            <m:r>
              <m:rPr>
                <m:nor/>
              </m:rPr>
              <w:rPr>
                <w:rFonts w:cs="Times New Roman"/>
              </w:rPr>
              <m:t>)</m:t>
            </m:r>
          </m:e>
          <m:sup>
            <m:r>
              <m:rPr>
                <m:nor/>
              </m:rPr>
              <w:rPr>
                <w:rFonts w:cs="Times New Roman"/>
                <w:i/>
              </w:rPr>
              <m:t>f</m:t>
            </m:r>
          </m:sup>
        </m:sSup>
      </m:oMath>
      <w:r w:rsidR="00B82296" w:rsidRPr="00B82A81">
        <w:tab/>
      </w:r>
      <w:r w:rsidR="00635DE8" w:rsidRPr="00635DE8">
        <w:rPr>
          <w:rFonts w:ascii="Cambria Math" w:eastAsia="Arial Unicode MS" w:hAnsi="Cambria Math" w:cs="Arial Unicode MS"/>
        </w:rPr>
        <w:t>⇒</w:t>
      </w:r>
      <w:r w:rsidR="00B82296">
        <w:tab/>
        <w:t>4 &gt;</w:t>
      </w:r>
      <w:r w:rsidR="00B82296">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B82296">
        <w:tab/>
      </w:r>
      <w:r w:rsidR="00374E51">
        <w:t xml:space="preserve">für 2 </w:t>
      </w:r>
      <w:r w:rsidR="00374E51">
        <w:rPr>
          <w:rFonts w:cs="Times New Roman"/>
        </w:rPr>
        <w:t>&gt;</w:t>
      </w:r>
      <w:r w:rsidR="00374E51">
        <w:t xml:space="preserve"> </w:t>
      </w:r>
      <w:r w:rsidR="00374E51" w:rsidRPr="00656F67">
        <w:rPr>
          <w:i/>
        </w:rPr>
        <w:t>f</w:t>
      </w:r>
      <w:r w:rsidR="00374E51">
        <w:t xml:space="preserve"> </w:t>
      </w:r>
      <w:r w:rsidR="002D397D">
        <w:rPr>
          <w:rFonts w:cs="Times New Roman"/>
        </w:rPr>
        <w:t>&gt;</w:t>
      </w:r>
      <w:r w:rsidR="00374E51">
        <w:rPr>
          <w:rFonts w:cs="Times New Roman"/>
        </w:rPr>
        <w:t xml:space="preserve"> 1 </w:t>
      </w:r>
      <w:r w:rsidR="00374E51">
        <w:t>erf</w:t>
      </w:r>
      <w:r w:rsidR="00C91276">
        <w:t>üllt</w:t>
      </w:r>
      <w:r w:rsidR="00374E51">
        <w:t xml:space="preserve">, für </w:t>
      </w:r>
      <w:r w:rsidR="00374E51" w:rsidRPr="003E0660">
        <w:rPr>
          <w:i/>
        </w:rPr>
        <w:t>f</w:t>
      </w:r>
      <w:r w:rsidR="00374E51">
        <w:t xml:space="preserve"> </w:t>
      </w:r>
      <w:r w:rsidR="00374E51">
        <w:rPr>
          <w:rFonts w:cs="Times New Roman"/>
        </w:rPr>
        <w:t>≥</w:t>
      </w:r>
      <w:r w:rsidR="00C91276">
        <w:t xml:space="preserve"> 2 nicht erfüllt</w:t>
      </w:r>
    </w:p>
    <w:p w:rsidR="00206973" w:rsidRDefault="008522D4" w:rsidP="00482B72">
      <w:pPr>
        <w:pStyle w:val="Zwischenberschrift"/>
        <w:spacing w:before="360"/>
      </w:pPr>
      <w:r w:rsidRPr="00AF0610">
        <w:rPr>
          <w:i w:val="0"/>
        </w:rPr>
        <w:t>Modul 2:</w:t>
      </w:r>
      <w:r w:rsidRPr="00AF0610">
        <w:rPr>
          <w:i w:val="0"/>
        </w:rPr>
        <w:tab/>
      </w:r>
      <w:r w:rsidR="00206973" w:rsidRPr="005D5E40">
        <w:t>Regeln mit spezielleren Anwendungsbedingungen</w:t>
      </w:r>
    </w:p>
    <w:p w:rsidR="00B84444" w:rsidRDefault="00AE5419" w:rsidP="00E23755">
      <w:pPr>
        <w:pStyle w:val="Text"/>
        <w:ind w:firstLine="0"/>
      </w:pPr>
      <w:r>
        <w:t xml:space="preserve">Entfernt </w:t>
      </w:r>
      <w:r w:rsidR="00B84444">
        <w:t>werden Regeln, die spezieller in den Anwendungsbedingungen sind (und daher seltener angewandt werden können), ohne dies durch eine entspr</w:t>
      </w:r>
      <w:r w:rsidR="00B84444">
        <w:t>e</w:t>
      </w:r>
      <w:r w:rsidR="00B84444">
        <w:t>chend höhere Anwendungswahrscheinlichkeit (‚Trefferquote‘) auszugleichen. In diesem Fall gilt, dass die Regel mit den weiteren Anwendungsbedingungen den Sachverhalt präziser beschreibt.</w:t>
      </w:r>
    </w:p>
    <w:p w:rsidR="0001718E" w:rsidRDefault="0001718E" w:rsidP="00E23755">
      <w:pPr>
        <w:pStyle w:val="Zwischenberschrift"/>
      </w:pPr>
      <w:r>
        <w:t>Die Bedingungen für die Überprüfung</w:t>
      </w:r>
    </w:p>
    <w:p w:rsidR="000F2DB0" w:rsidRDefault="000F2DB0" w:rsidP="00E23755">
      <w:pPr>
        <w:pStyle w:val="Text"/>
        <w:ind w:firstLine="0"/>
      </w:pPr>
      <w:r>
        <w:t xml:space="preserve">Die </w:t>
      </w:r>
      <w:r>
        <w:rPr>
          <w:iCs/>
        </w:rPr>
        <w:t>Anwendungsbedingungen</w:t>
      </w:r>
      <w:r>
        <w:t xml:space="preserve"> </w:t>
      </w:r>
      <w:r w:rsidRPr="00415909">
        <w:rPr>
          <w:i/>
        </w:rPr>
        <w:t>U</w:t>
      </w:r>
      <w:r>
        <w:t xml:space="preserve"> der allgemeineren Merkmalsregel </w:t>
      </w:r>
      <w:r>
        <w:rPr>
          <w:i/>
          <w:iCs/>
        </w:rPr>
        <w:t>B</w:t>
      </w:r>
      <w:r>
        <w:rPr>
          <w:i/>
          <w:iCs/>
          <w:vertAlign w:val="subscript"/>
        </w:rPr>
        <w:t>j</w:t>
      </w:r>
      <w:r>
        <w:t xml:space="preserve"> sind eine echte Teilmenge der </w:t>
      </w:r>
      <w:r>
        <w:rPr>
          <w:iCs/>
        </w:rPr>
        <w:t>Anwendungsbedingungen</w:t>
      </w:r>
      <w:r>
        <w:t xml:space="preserve"> der spezielleren </w:t>
      </w:r>
      <w:r>
        <w:rPr>
          <w:i/>
          <w:iCs/>
        </w:rPr>
        <w:t>B</w:t>
      </w:r>
      <w:r>
        <w:rPr>
          <w:i/>
          <w:iCs/>
          <w:vertAlign w:val="subscript"/>
        </w:rPr>
        <w:t>x</w:t>
      </w:r>
      <w:r>
        <w:t>. Die verlan</w:t>
      </w:r>
      <w:r>
        <w:t>g</w:t>
      </w:r>
      <w:r>
        <w:t xml:space="preserve">ten Eigenschaften </w:t>
      </w:r>
      <w:r w:rsidRPr="00415909">
        <w:rPr>
          <w:i/>
        </w:rPr>
        <w:t>V</w:t>
      </w:r>
      <w:r>
        <w:t xml:space="preserve"> sind gleich.</w:t>
      </w:r>
    </w:p>
    <w:p w:rsidR="000F2DB0" w:rsidRPr="00B84444" w:rsidRDefault="000F2DB0" w:rsidP="009B7D3A">
      <w:pPr>
        <w:pStyle w:val="Formel"/>
      </w:pPr>
      <w:r w:rsidRPr="00B84444">
        <w:t>(</w:t>
      </w:r>
      <w:r w:rsidRPr="00B84444">
        <w:rPr>
          <w:i/>
        </w:rPr>
        <w:t>U</w:t>
      </w:r>
      <w:r w:rsidRPr="00B84444">
        <w:t>(</w:t>
      </w:r>
      <w:r w:rsidRPr="00B84444">
        <w:rPr>
          <w:i/>
        </w:rPr>
        <w:t>B</w:t>
      </w:r>
      <w:r w:rsidRPr="00B84444">
        <w:rPr>
          <w:i/>
          <w:vertAlign w:val="subscript"/>
        </w:rPr>
        <w:t>j</w:t>
      </w:r>
      <w:r w:rsidRPr="00B84444">
        <w:t>)</w:t>
      </w:r>
      <w:r w:rsidR="00FD2ABF" w:rsidRPr="00FD2ABF">
        <w:t xml:space="preserve"> </w:t>
      </w:r>
      <w:r w:rsidR="00FD2ABF" w:rsidRPr="00FD2ABF">
        <w:rPr>
          <w:rFonts w:ascii="Cambria Math" w:eastAsia="Arial Unicode MS" w:hAnsi="Cambria Math" w:cs="Arial Unicode MS"/>
        </w:rPr>
        <w:t>⊂</w:t>
      </w:r>
      <w:r w:rsidR="00FD2ABF" w:rsidRPr="00FD2ABF">
        <w:rPr>
          <w:i/>
        </w:rPr>
        <w:t xml:space="preserve"> </w:t>
      </w:r>
      <w:r w:rsidRPr="00B84444">
        <w:rPr>
          <w:i/>
        </w:rPr>
        <w:t>U</w:t>
      </w:r>
      <w:r w:rsidRPr="00B84444">
        <w:t>(</w:t>
      </w:r>
      <w:r w:rsidRPr="00B84444">
        <w:rPr>
          <w:i/>
        </w:rPr>
        <w:t>B</w:t>
      </w:r>
      <w:r w:rsidRPr="00B84444">
        <w:rPr>
          <w:i/>
          <w:vertAlign w:val="subscript"/>
        </w:rPr>
        <w:t>x</w:t>
      </w:r>
      <w:r w:rsidRPr="00B84444">
        <w:t xml:space="preserve">)) </w:t>
      </w:r>
      <w:r w:rsidRPr="00B84444">
        <w:rPr>
          <w:rFonts w:ascii="Cambria Math" w:hAnsi="Cambria Math" w:cs="Cambria Math"/>
          <w:color w:val="000000" w:themeColor="text1"/>
        </w:rPr>
        <w:t>∧</w:t>
      </w:r>
      <w:r w:rsidRPr="00B84444">
        <w:t xml:space="preserve"> (</w:t>
      </w:r>
      <w:r w:rsidRPr="00B84444">
        <w:rPr>
          <w:i/>
        </w:rPr>
        <w:t>V</w:t>
      </w:r>
      <w:r w:rsidRPr="00B84444">
        <w:t>(</w:t>
      </w:r>
      <w:r w:rsidRPr="00B84444">
        <w:rPr>
          <w:i/>
        </w:rPr>
        <w:t>B</w:t>
      </w:r>
      <w:r w:rsidRPr="00B84444">
        <w:rPr>
          <w:i/>
          <w:vertAlign w:val="subscript"/>
        </w:rPr>
        <w:t>j</w:t>
      </w:r>
      <w:r w:rsidRPr="00B84444">
        <w:t xml:space="preserve">) = </w:t>
      </w:r>
      <w:r w:rsidRPr="00B84444">
        <w:rPr>
          <w:i/>
        </w:rPr>
        <w:t>V</w:t>
      </w:r>
      <w:r w:rsidRPr="00B84444">
        <w:t>(</w:t>
      </w:r>
      <w:r w:rsidRPr="00B84444">
        <w:rPr>
          <w:i/>
        </w:rPr>
        <w:t>B</w:t>
      </w:r>
      <w:r w:rsidRPr="00B84444">
        <w:rPr>
          <w:i/>
          <w:vertAlign w:val="subscript"/>
        </w:rPr>
        <w:t>x</w:t>
      </w:r>
      <w:r w:rsidRPr="00B84444">
        <w:t>))</w:t>
      </w:r>
    </w:p>
    <w:p w:rsidR="00C604FC" w:rsidRDefault="00F72C5A" w:rsidP="00E23755">
      <w:pPr>
        <w:pStyle w:val="Zwischenberschrift"/>
      </w:pPr>
      <w:r>
        <w:t xml:space="preserve">Die Bedingung </w:t>
      </w:r>
      <w:r w:rsidR="00C604FC">
        <w:t xml:space="preserve">für </w:t>
      </w:r>
      <w:r w:rsidR="0002602F">
        <w:t>die Entfernung</w:t>
      </w:r>
    </w:p>
    <w:p w:rsidR="004D562C" w:rsidRDefault="000F2DB0" w:rsidP="00E23755">
      <w:pPr>
        <w:pStyle w:val="Text"/>
        <w:keepNext/>
        <w:ind w:firstLine="0"/>
      </w:pPr>
      <w:r>
        <w:t xml:space="preserve">Wir benötigen eine Bedingung, die Regeln mit speziellerem </w:t>
      </w:r>
      <w:r>
        <w:rPr>
          <w:i/>
        </w:rPr>
        <w:t>U</w:t>
      </w:r>
      <w:r>
        <w:t xml:space="preserve"> </w:t>
      </w:r>
      <w:r w:rsidR="0002602F">
        <w:t>entfernt</w:t>
      </w:r>
      <w:r>
        <w:t xml:space="preserve">, die ihre Wirkung ganz oder weitgehend aus einer Regel mit allgemeinerem </w:t>
      </w:r>
      <w:r w:rsidRPr="000F2DB0">
        <w:rPr>
          <w:i/>
        </w:rPr>
        <w:t>U</w:t>
      </w:r>
      <w:r>
        <w:t xml:space="preserve"> bezieht. </w:t>
      </w:r>
      <w:r w:rsidR="004D562C">
        <w:t>Die folgende Bedingung erfüllt diese Aufgabe:</w:t>
      </w:r>
    </w:p>
    <w:p w:rsidR="0045617D" w:rsidRPr="005D5E40" w:rsidRDefault="005D7996" w:rsidP="009B7D3A">
      <w:pPr>
        <w:pStyle w:val="FormelTabrechts"/>
      </w:pP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N</m:t>
                </m:r>
              </m:e>
              <m:sub>
                <m:r>
                  <m:rPr>
                    <m:nor/>
                  </m:rPr>
                  <w:rPr>
                    <w:rFonts w:cs="Times New Roman"/>
                    <w:i/>
                  </w:rPr>
                  <m:t>j</m:t>
                </m:r>
              </m:sub>
            </m:sSub>
          </m:num>
          <m:den>
            <m:sSub>
              <m:sSubPr>
                <m:ctrlPr>
                  <w:rPr>
                    <w:rFonts w:ascii="Cambria Math" w:hAnsi="Cambria Math" w:cs="Times New Roman"/>
                    <w:i/>
                    <w:lang w:val="en-US"/>
                  </w:rPr>
                </m:ctrlPr>
              </m:sSubPr>
              <m:e>
                <m:r>
                  <m:rPr>
                    <m:nor/>
                  </m:rPr>
                  <w:rPr>
                    <w:rFonts w:cs="Times New Roman"/>
                    <w:i/>
                  </w:rPr>
                  <m:t>N</m:t>
                </m:r>
              </m:e>
              <m:sub>
                <m:r>
                  <m:rPr>
                    <m:nor/>
                  </m:rPr>
                  <w:rPr>
                    <w:rFonts w:cs="Times New Roman"/>
                    <w:i/>
                  </w:rPr>
                  <m:t>x</m:t>
                </m:r>
              </m:sub>
            </m:sSub>
          </m:den>
        </m:f>
      </m:oMath>
      <w:r w:rsidR="0045617D" w:rsidRPr="0045617D">
        <w:rPr>
          <w:iCs/>
        </w:rPr>
        <w:t xml:space="preserve"> </w:t>
      </w:r>
      <w:r w:rsidR="00C604FC">
        <w:rPr>
          <w:rFonts w:cs="Times New Roman"/>
          <w:iCs/>
        </w:rPr>
        <w:t>≥</w:t>
      </w:r>
      <w:r w:rsidR="0045617D" w:rsidRPr="0045617D">
        <w:rPr>
          <w:iCs/>
        </w:rPr>
        <w:t xml:space="preserve"> </w:t>
      </w:r>
      <m:oMath>
        <m:r>
          <m:rPr>
            <m:nor/>
          </m:rPr>
          <w:rPr>
            <w:rFonts w:cs="Times New Roman"/>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w</m:t>
                    </m:r>
                    <m:r>
                      <m:rPr>
                        <m:nor/>
                      </m:rPr>
                      <w:rPr>
                        <w:rFonts w:cs="Times New Roman"/>
                      </w:rPr>
                      <m:t>(</m:t>
                    </m:r>
                    <m:r>
                      <m:rPr>
                        <m:nor/>
                      </m:rPr>
                      <w:rPr>
                        <w:rFonts w:cs="Times New Roman"/>
                        <w:i/>
                      </w:rPr>
                      <m:t>B</m:t>
                    </m:r>
                  </m:e>
                  <m:sub>
                    <m:r>
                      <m:rPr>
                        <m:nor/>
                      </m:rPr>
                      <w:rPr>
                        <w:rFonts w:cs="Times New Roman"/>
                        <w:i/>
                      </w:rPr>
                      <m:t>x</m:t>
                    </m:r>
                  </m:sub>
                </m:sSub>
                <m:r>
                  <m:rPr>
                    <m:nor/>
                  </m:rPr>
                  <w:rPr>
                    <w:rFonts w:cs="Times New Roman"/>
                  </w:rPr>
                  <m:t>)</m:t>
                </m:r>
              </m:num>
              <m:den>
                <m:sSub>
                  <m:sSubPr>
                    <m:ctrlPr>
                      <w:rPr>
                        <w:rFonts w:ascii="Cambria Math" w:hAnsi="Cambria Math" w:cs="Times New Roman"/>
                        <w:i/>
                        <w:lang w:val="en-US"/>
                      </w:rPr>
                    </m:ctrlPr>
                  </m:sSubPr>
                  <m:e>
                    <m:r>
                      <m:rPr>
                        <m:nor/>
                      </m:rPr>
                      <w:rPr>
                        <w:rFonts w:cs="Times New Roman"/>
                        <w:i/>
                      </w:rPr>
                      <m:t>w</m:t>
                    </m:r>
                    <m:r>
                      <m:rPr>
                        <m:nor/>
                      </m:rPr>
                      <w:rPr>
                        <w:rFonts w:cs="Times New Roman"/>
                      </w:rPr>
                      <m:t>(</m:t>
                    </m:r>
                    <m:r>
                      <m:rPr>
                        <m:nor/>
                      </m:rPr>
                      <w:rPr>
                        <w:rFonts w:cs="Times New Roman"/>
                        <w:i/>
                      </w:rPr>
                      <m:t>B</m:t>
                    </m:r>
                  </m:e>
                  <m:sub>
                    <m:r>
                      <m:rPr>
                        <m:nor/>
                      </m:rPr>
                      <w:rPr>
                        <w:rFonts w:cs="Times New Roman"/>
                        <w:i/>
                      </w:rPr>
                      <m:t>j</m:t>
                    </m:r>
                  </m:sub>
                </m:sSub>
                <m:r>
                  <m:rPr>
                    <m:nor/>
                  </m:rPr>
                  <w:rPr>
                    <w:rFonts w:cs="Times New Roman"/>
                  </w:rPr>
                  <m:t>)</m:t>
                </m:r>
              </m:den>
            </m:f>
            <m:r>
              <m:rPr>
                <m:nor/>
              </m:rPr>
              <w:rPr>
                <w:rFonts w:cs="Times New Roman"/>
              </w:rPr>
              <m:t>)</m:t>
            </m:r>
          </m:e>
          <m:sup>
            <m:r>
              <m:rPr>
                <m:nor/>
              </m:rPr>
              <w:rPr>
                <w:rFonts w:cs="Times New Roman"/>
                <w:i/>
                <w:iCs/>
              </w:rPr>
              <m:t>f</m:t>
            </m:r>
          </m:sup>
        </m:sSup>
      </m:oMath>
      <w:r w:rsidR="00285F88">
        <w:tab/>
      </w:r>
      <w:r w:rsidR="00285F88">
        <w:tab/>
      </w:r>
      <w:r w:rsidR="0045617D">
        <w:tab/>
        <w:t xml:space="preserve">für </w:t>
      </w:r>
      <w:r w:rsidR="0045617D" w:rsidRPr="0045617D">
        <w:rPr>
          <w:i/>
        </w:rPr>
        <w:t>f</w:t>
      </w:r>
      <w:r w:rsidR="0045617D">
        <w:t xml:space="preserve"> </w:t>
      </w:r>
      <w:r w:rsidR="008718C2">
        <w:rPr>
          <w:rFonts w:cs="Times New Roman"/>
          <w:iCs/>
        </w:rPr>
        <w:t>&gt;</w:t>
      </w:r>
      <w:r w:rsidR="0045617D">
        <w:t xml:space="preserve"> 1</w:t>
      </w:r>
    </w:p>
    <w:p w:rsidR="00DF6F30" w:rsidRDefault="003853E8" w:rsidP="009938D4">
      <w:pPr>
        <w:pStyle w:val="Text"/>
        <w:ind w:firstLine="0"/>
      </w:pPr>
      <w:r>
        <w:rPr>
          <w:iCs/>
        </w:rPr>
        <w:t xml:space="preserve">Es </w:t>
      </w:r>
      <w:r w:rsidR="00DF6F30">
        <w:t>sei:</w:t>
      </w:r>
    </w:p>
    <w:p w:rsidR="0003487D" w:rsidRPr="0003487D" w:rsidRDefault="0003487D" w:rsidP="009938D4">
      <w:pPr>
        <w:pStyle w:val="Formel"/>
      </w:pPr>
      <w:r w:rsidRPr="0003487D">
        <w:rPr>
          <w:i/>
        </w:rPr>
        <w:t>m</w:t>
      </w:r>
      <w:r w:rsidRPr="0003487D">
        <w:rPr>
          <w:i/>
          <w:vertAlign w:val="subscript"/>
        </w:rPr>
        <w:t>j</w:t>
      </w:r>
      <w:r w:rsidRPr="0003487D">
        <w:t xml:space="preserve"> = 20, </w:t>
      </w:r>
      <w:r w:rsidRPr="0003487D">
        <w:rPr>
          <w:i/>
        </w:rPr>
        <w:t>n</w:t>
      </w:r>
      <w:r w:rsidRPr="0003487D">
        <w:rPr>
          <w:i/>
          <w:vertAlign w:val="subscript"/>
        </w:rPr>
        <w:t>j</w:t>
      </w:r>
      <w:r w:rsidRPr="0003487D">
        <w:t xml:space="preserve"> = 100, </w:t>
      </w:r>
      <w:r w:rsidRPr="0003487D">
        <w:rPr>
          <w:i/>
        </w:rPr>
        <w:t>w</w:t>
      </w:r>
      <w:r w:rsidRPr="0003487D">
        <w:t>(</w:t>
      </w:r>
      <w:r w:rsidRPr="0003487D">
        <w:rPr>
          <w:i/>
        </w:rPr>
        <w:t>B</w:t>
      </w:r>
      <w:r w:rsidRPr="0003487D">
        <w:rPr>
          <w:i/>
          <w:vertAlign w:val="subscript"/>
        </w:rPr>
        <w:t>j</w:t>
      </w:r>
      <w:r w:rsidRPr="0003487D">
        <w:t>) = 0,2</w:t>
      </w:r>
    </w:p>
    <w:p w:rsidR="00DF6F30" w:rsidRDefault="00DF6F30" w:rsidP="009938D4">
      <w:pPr>
        <w:pStyle w:val="Text"/>
        <w:ind w:firstLine="0"/>
      </w:pPr>
      <w:r>
        <w:t xml:space="preserve">Wenn </w:t>
      </w:r>
      <w:r>
        <w:rPr>
          <w:i/>
        </w:rPr>
        <w:t>m</w:t>
      </w:r>
      <w:r>
        <w:rPr>
          <w:i/>
          <w:vertAlign w:val="subscript"/>
        </w:rPr>
        <w:t>x</w:t>
      </w:r>
      <w:r>
        <w:t xml:space="preserve"> = </w:t>
      </w:r>
      <w:r>
        <w:rPr>
          <w:i/>
        </w:rPr>
        <w:t>m</w:t>
      </w:r>
      <w:r>
        <w:rPr>
          <w:i/>
          <w:vertAlign w:val="subscript"/>
        </w:rPr>
        <w:t>j</w:t>
      </w:r>
      <w:r>
        <w:t xml:space="preserve"> gilt, heißt dies, dass die Anwendungen der allgemeineren Mer</w:t>
      </w:r>
      <w:r>
        <w:t>k</w:t>
      </w:r>
      <w:r>
        <w:t>malsregel ganz auf die der spezielleren zurückgehen:</w:t>
      </w:r>
    </w:p>
    <w:p w:rsidR="00DF6F30" w:rsidRPr="00014CCA" w:rsidRDefault="00DF6F30" w:rsidP="009938D4">
      <w:pPr>
        <w:pStyle w:val="FallxDisambiguierung"/>
      </w:pPr>
      <w:r w:rsidRPr="00014CCA">
        <w:t>Fall 1:</w:t>
      </w:r>
      <w:r w:rsidRPr="00014CCA">
        <w:tab/>
      </w:r>
      <w:r w:rsidRPr="00014CCA">
        <w:rPr>
          <w:i/>
        </w:rPr>
        <w:t>m</w:t>
      </w:r>
      <w:r w:rsidRPr="00014CCA">
        <w:rPr>
          <w:i/>
          <w:vertAlign w:val="subscript"/>
        </w:rPr>
        <w:t>x</w:t>
      </w:r>
      <w:r w:rsidRPr="00014CCA">
        <w:t xml:space="preserve"> = </w:t>
      </w:r>
      <w:r w:rsidR="00E73FF0">
        <w:t>2</w:t>
      </w:r>
      <w:r w:rsidRPr="00014CCA">
        <w:t xml:space="preserve">0, </w:t>
      </w:r>
      <w:r w:rsidRPr="00014CCA">
        <w:rPr>
          <w:i/>
        </w:rPr>
        <w:t>n</w:t>
      </w:r>
      <w:r w:rsidRPr="00014CCA">
        <w:rPr>
          <w:i/>
          <w:vertAlign w:val="subscript"/>
        </w:rPr>
        <w:t>x</w:t>
      </w:r>
      <w:r w:rsidRPr="00014CCA">
        <w:t xml:space="preserve"> = </w:t>
      </w:r>
      <w:r w:rsidR="00E73FF0">
        <w:t>5</w:t>
      </w:r>
      <w:r>
        <w:t>0</w:t>
      </w:r>
      <w:r w:rsidRPr="00014CCA">
        <w:t xml:space="preserve">, </w:t>
      </w:r>
      <w:r w:rsidRPr="00014CCA">
        <w:rPr>
          <w:i/>
        </w:rPr>
        <w:t>w</w:t>
      </w:r>
      <w:r w:rsidRPr="00014CCA">
        <w:t>(</w:t>
      </w:r>
      <w:r w:rsidRPr="00014CCA">
        <w:rPr>
          <w:i/>
        </w:rPr>
        <w:t>B</w:t>
      </w:r>
      <w:r w:rsidRPr="00014CCA">
        <w:rPr>
          <w:i/>
          <w:vertAlign w:val="subscript"/>
        </w:rPr>
        <w:t>x</w:t>
      </w:r>
      <w:r>
        <w:t>) = 0,</w:t>
      </w:r>
      <w:r w:rsidR="00E73FF0">
        <w:t>4</w:t>
      </w:r>
    </w:p>
    <w:p w:rsidR="00DF6F30" w:rsidRDefault="00144977" w:rsidP="009938D4">
      <w:pPr>
        <w:pStyle w:val="Text"/>
        <w:ind w:firstLine="0"/>
      </w:pPr>
      <w:r>
        <w:t xml:space="preserve">In diesem Fall muss die speziellere </w:t>
      </w:r>
      <w:r w:rsidR="00DF6F30">
        <w:t xml:space="preserve">Merkmalsregel </w:t>
      </w:r>
      <w:r>
        <w:t xml:space="preserve">auf jeden </w:t>
      </w:r>
      <w:r w:rsidR="00DF6F30">
        <w:t xml:space="preserve">Fall </w:t>
      </w:r>
      <w:r w:rsidR="0002602F">
        <w:t xml:space="preserve">erhalten </w:t>
      </w:r>
      <w:r>
        <w:t xml:space="preserve">bleiben (die allgemeinere wird dann in Modul 1 </w:t>
      </w:r>
      <w:r w:rsidR="0002602F">
        <w:rPr>
          <w:iCs/>
        </w:rPr>
        <w:t>entfernt</w:t>
      </w:r>
      <w:r>
        <w:t xml:space="preserve">). </w:t>
      </w:r>
      <w:r w:rsidR="00DF6F30">
        <w:t xml:space="preserve">Dies gilt auch tatsächlich, da die Bedingung für beliebig große </w:t>
      </w:r>
      <w:r w:rsidR="00DF6F30">
        <w:rPr>
          <w:i/>
          <w:iCs/>
        </w:rPr>
        <w:t>f</w:t>
      </w:r>
      <w:r w:rsidR="00DF6F30">
        <w:t xml:space="preserve"> </w:t>
      </w:r>
      <w:r w:rsidR="00234FCB">
        <w:t xml:space="preserve">nicht </w:t>
      </w:r>
      <w:r w:rsidR="00DF6F30">
        <w:t>erfüllt ist:</w:t>
      </w:r>
    </w:p>
    <w:p w:rsidR="00DF6F30" w:rsidRPr="00B82A81" w:rsidRDefault="005D7996" w:rsidP="009938D4">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DF6F30" w:rsidRPr="00803CA0">
        <w:t xml:space="preserve"> </w:t>
      </w:r>
      <w:r w:rsidR="00C604FC">
        <w:rPr>
          <w:rFonts w:cs="Times New Roman"/>
        </w:rPr>
        <w:t>≥</w:t>
      </w:r>
      <w:r w:rsidR="00DF6F30"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0,4</m:t>
                </m:r>
              </m:num>
              <m:den>
                <m:r>
                  <m:rPr>
                    <m:nor/>
                  </m:rPr>
                  <w:rPr>
                    <w:rFonts w:cs="Times New Roman"/>
                  </w:rPr>
                  <m:t>0,2</m:t>
                </m:r>
              </m:den>
            </m:f>
            <m:r>
              <m:rPr>
                <m:nor/>
              </m:rPr>
              <w:rPr>
                <w:rFonts w:cs="Times New Roman"/>
              </w:rPr>
              <m:t>)</m:t>
            </m:r>
          </m:e>
          <m:sup>
            <m:r>
              <m:rPr>
                <m:nor/>
              </m:rPr>
              <w:rPr>
                <w:rFonts w:cs="Times New Roman"/>
                <w:i/>
              </w:rPr>
              <m:t>f</m:t>
            </m:r>
          </m:sup>
        </m:sSup>
      </m:oMath>
      <w:r w:rsidR="00DF6F30" w:rsidRPr="00B82A81">
        <w:tab/>
      </w:r>
      <w:r w:rsidR="00635DE8" w:rsidRPr="00635DE8">
        <w:rPr>
          <w:rFonts w:ascii="Cambria Math" w:eastAsia="Arial Unicode MS" w:hAnsi="Cambria Math" w:cs="Arial Unicode MS"/>
        </w:rPr>
        <w:t>⇒</w:t>
      </w:r>
      <w:r w:rsidR="00E636D3">
        <w:tab/>
      </w:r>
      <w:r w:rsidR="00E73FF0">
        <w:t>2</w:t>
      </w:r>
      <w:r w:rsidR="00DF6F30">
        <w:t xml:space="preserve"> </w:t>
      </w:r>
      <w:r w:rsidR="00C604FC">
        <w:rPr>
          <w:rFonts w:cs="Times New Roman"/>
        </w:rPr>
        <w:t>≥</w:t>
      </w:r>
      <w:r w:rsidR="00DF6F30">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E73FF0">
        <w:tab/>
      </w:r>
      <w:r w:rsidR="00DF6F30">
        <w:t xml:space="preserve">für </w:t>
      </w:r>
      <w:r w:rsidR="00DF6F30" w:rsidRPr="003E0660">
        <w:rPr>
          <w:i/>
        </w:rPr>
        <w:t>f</w:t>
      </w:r>
      <w:r w:rsidR="00DF6F30">
        <w:t xml:space="preserve"> </w:t>
      </w:r>
      <w:r w:rsidR="008718C2">
        <w:rPr>
          <w:rFonts w:cs="Times New Roman"/>
        </w:rPr>
        <w:t>&gt;</w:t>
      </w:r>
      <w:r w:rsidR="00DF6F30">
        <w:t xml:space="preserve"> 1 </w:t>
      </w:r>
      <w:r w:rsidR="00E63411">
        <w:t xml:space="preserve">nicht </w:t>
      </w:r>
      <w:r w:rsidR="00DF6F30">
        <w:t>erfüllt</w:t>
      </w:r>
    </w:p>
    <w:p w:rsidR="00DF6F30" w:rsidRDefault="00DF6F30" w:rsidP="009938D4">
      <w:pPr>
        <w:pStyle w:val="Text"/>
        <w:ind w:firstLine="0"/>
      </w:pPr>
      <w:r>
        <w:rPr>
          <w:rFonts w:cs="Times New Roman"/>
        </w:rPr>
        <w:t xml:space="preserve">Dies gilt auch im Grenzfall, bei einem nur geringfügig </w:t>
      </w:r>
      <w:r w:rsidR="00D52484">
        <w:rPr>
          <w:rFonts w:cs="Times New Roman"/>
        </w:rPr>
        <w:t xml:space="preserve">größeren </w:t>
      </w:r>
      <w:r>
        <w:rPr>
          <w:i/>
        </w:rPr>
        <w:t>w</w:t>
      </w:r>
      <w:r>
        <w:t>:</w:t>
      </w:r>
    </w:p>
    <w:p w:rsidR="00DF6F30" w:rsidRDefault="00DF6F30" w:rsidP="009938D4">
      <w:pPr>
        <w:pStyle w:val="FallxDisambiguierung"/>
      </w:pPr>
      <w:r>
        <w:lastRenderedPageBreak/>
        <w:t>Fall 2:</w:t>
      </w:r>
      <w:r>
        <w:tab/>
      </w:r>
      <w:r>
        <w:rPr>
          <w:i/>
        </w:rPr>
        <w:t>m</w:t>
      </w:r>
      <w:r>
        <w:rPr>
          <w:i/>
          <w:vertAlign w:val="subscript"/>
        </w:rPr>
        <w:t>x</w:t>
      </w:r>
      <w:r>
        <w:t xml:space="preserve"> = </w:t>
      </w:r>
      <w:r w:rsidR="00AE2D83">
        <w:t>2</w:t>
      </w:r>
      <w:r>
        <w:t xml:space="preserve">0, </w:t>
      </w:r>
      <w:r w:rsidR="00824C53" w:rsidRPr="00014CCA">
        <w:rPr>
          <w:i/>
        </w:rPr>
        <w:t>n</w:t>
      </w:r>
      <w:r w:rsidR="00824C53" w:rsidRPr="00014CCA">
        <w:rPr>
          <w:i/>
          <w:vertAlign w:val="subscript"/>
        </w:rPr>
        <w:t>x</w:t>
      </w:r>
      <w:r w:rsidR="00824C53" w:rsidRPr="00014CCA">
        <w:t xml:space="preserve"> = </w:t>
      </w:r>
      <w:r w:rsidR="00AE2D83">
        <w:t>96</w:t>
      </w:r>
      <w:r w:rsidR="00824C53" w:rsidRPr="00014CCA">
        <w:t xml:space="preserve">, </w:t>
      </w:r>
      <w:r w:rsidR="00824C53" w:rsidRPr="00014CCA">
        <w:rPr>
          <w:i/>
        </w:rPr>
        <w:t>w</w:t>
      </w:r>
      <w:r w:rsidR="00824C53" w:rsidRPr="00014CCA">
        <w:t>(</w:t>
      </w:r>
      <w:r w:rsidR="00824C53" w:rsidRPr="00014CCA">
        <w:rPr>
          <w:i/>
        </w:rPr>
        <w:t>B</w:t>
      </w:r>
      <w:r w:rsidR="00824C53" w:rsidRPr="00014CCA">
        <w:rPr>
          <w:i/>
          <w:vertAlign w:val="subscript"/>
        </w:rPr>
        <w:t>x</w:t>
      </w:r>
      <w:r w:rsidR="00824C53">
        <w:t>) = 0,208</w:t>
      </w:r>
    </w:p>
    <w:p w:rsidR="00DF6F30" w:rsidRPr="00B82A81" w:rsidRDefault="005D7996" w:rsidP="009938D4">
      <w:pPr>
        <w:pStyle w:val="FormelTabrechts"/>
      </w:pPr>
      <m:oMath>
        <m:f>
          <m:fPr>
            <m:ctrlPr>
              <w:rPr>
                <w:rFonts w:ascii="Cambria Math" w:hAnsi="Cambria Math"/>
                <w:i/>
                <w:lang w:val="en-US"/>
              </w:rPr>
            </m:ctrlPr>
          </m:fPr>
          <m:num>
            <m:r>
              <m:rPr>
                <m:nor/>
              </m:rPr>
              <m:t>100</m:t>
            </m:r>
          </m:num>
          <m:den>
            <m:r>
              <m:rPr>
                <m:nor/>
              </m:rPr>
              <m:t>96</m:t>
            </m:r>
          </m:den>
        </m:f>
      </m:oMath>
      <w:r w:rsidR="00DF6F30" w:rsidRPr="00803CA0">
        <w:t xml:space="preserve"> </w:t>
      </w:r>
      <w:r w:rsidR="00C604FC">
        <w:t>≥</w:t>
      </w:r>
      <w:r w:rsidR="00DF6F30"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0,208</m:t>
                </m:r>
              </m:num>
              <m:den>
                <m:r>
                  <m:rPr>
                    <m:nor/>
                  </m:rPr>
                  <m:t>0,2</m:t>
                </m:r>
              </m:den>
            </m:f>
            <m:r>
              <m:rPr>
                <m:nor/>
              </m:rPr>
              <m:t>)</m:t>
            </m:r>
          </m:e>
          <m:sup>
            <m:r>
              <m:rPr>
                <m:nor/>
              </m:rPr>
              <w:rPr>
                <w:i/>
              </w:rPr>
              <m:t>f</m:t>
            </m:r>
          </m:sup>
        </m:sSup>
      </m:oMath>
      <w:r w:rsidR="00DF6F30" w:rsidRPr="00B82A81">
        <w:tab/>
      </w:r>
      <w:r w:rsidR="00635DE8" w:rsidRPr="00635DE8">
        <w:rPr>
          <w:rFonts w:ascii="Cambria Math" w:eastAsia="Arial Unicode MS" w:hAnsi="Cambria Math" w:cs="Arial Unicode MS"/>
        </w:rPr>
        <w:t>⇒</w:t>
      </w:r>
      <w:r w:rsidR="00E636D3">
        <w:tab/>
      </w:r>
      <w:r w:rsidR="00E73FF0">
        <w:t>1</w:t>
      </w:r>
      <w:r w:rsidR="00DF6F30">
        <w:t>,</w:t>
      </w:r>
      <w:r w:rsidR="00E73FF0">
        <w:t>042</w:t>
      </w:r>
      <w:r w:rsidR="00DF6F30">
        <w:t xml:space="preserve"> </w:t>
      </w:r>
      <w:r w:rsidR="00C604FC">
        <w:t>≥</w:t>
      </w:r>
      <w:r w:rsidR="00DF6F30">
        <w:rPr>
          <w:position w:val="-6"/>
        </w:rPr>
        <w:t xml:space="preserve"> </w:t>
      </w:r>
      <m:oMath>
        <m:sSup>
          <m:sSupPr>
            <m:ctrlPr>
              <w:rPr>
                <w:rFonts w:ascii="Cambria Math" w:hAnsi="Cambria Math"/>
                <w:i/>
              </w:rPr>
            </m:ctrlPr>
          </m:sSupPr>
          <m:e>
            <m:r>
              <m:rPr>
                <m:nor/>
              </m:rPr>
              <m:t>1,042</m:t>
            </m:r>
          </m:e>
          <m:sup>
            <m:r>
              <m:rPr>
                <m:nor/>
              </m:rPr>
              <w:rPr>
                <w:rFonts w:ascii="Cambria Math"/>
                <w:i/>
              </w:rPr>
              <m:t xml:space="preserve"> </m:t>
            </m:r>
            <m:r>
              <m:rPr>
                <m:nor/>
              </m:rPr>
              <w:rPr>
                <w:i/>
              </w:rPr>
              <m:t>f</m:t>
            </m:r>
          </m:sup>
        </m:sSup>
      </m:oMath>
      <w:r w:rsidR="008D660E">
        <w:tab/>
      </w:r>
      <w:r w:rsidR="00DF6F30">
        <w:t xml:space="preserve">für </w:t>
      </w:r>
      <w:r w:rsidR="00DF6F30" w:rsidRPr="003E0660">
        <w:rPr>
          <w:i/>
        </w:rPr>
        <w:t>f</w:t>
      </w:r>
      <w:r w:rsidR="00DF6F30">
        <w:t xml:space="preserve"> </w:t>
      </w:r>
      <w:r w:rsidR="008718C2">
        <w:t>&gt;</w:t>
      </w:r>
      <w:r w:rsidR="00DF6F30">
        <w:t xml:space="preserve"> 1 </w:t>
      </w:r>
      <w:r w:rsidR="00E63411">
        <w:t xml:space="preserve">nicht </w:t>
      </w:r>
      <w:r w:rsidR="00DF6F30">
        <w:t>erfüllt</w:t>
      </w:r>
    </w:p>
    <w:p w:rsidR="00DF6F30" w:rsidRDefault="00E636D3" w:rsidP="009938D4">
      <w:pPr>
        <w:pStyle w:val="Text"/>
        <w:ind w:firstLine="0"/>
      </w:pPr>
      <w:r>
        <w:rPr>
          <w:iCs/>
        </w:rPr>
        <w:t>B</w:t>
      </w:r>
      <w:r w:rsidR="00DF6F30">
        <w:rPr>
          <w:iCs/>
        </w:rPr>
        <w:t xml:space="preserve">ei </w:t>
      </w:r>
      <w:r w:rsidR="00DF6F30">
        <w:rPr>
          <w:i/>
        </w:rPr>
        <w:t>w</w:t>
      </w:r>
      <w:r w:rsidR="00DF6F30">
        <w:t>(</w:t>
      </w:r>
      <w:r w:rsidR="00DF6F30">
        <w:rPr>
          <w:i/>
        </w:rPr>
        <w:t>B</w:t>
      </w:r>
      <w:r w:rsidR="00DF6F30">
        <w:rPr>
          <w:i/>
          <w:vertAlign w:val="subscript"/>
        </w:rPr>
        <w:t>x</w:t>
      </w:r>
      <w:r w:rsidR="00DF6F30">
        <w:t xml:space="preserve">) = </w:t>
      </w:r>
      <w:r w:rsidR="00DF6F30">
        <w:rPr>
          <w:i/>
        </w:rPr>
        <w:t>w</w:t>
      </w:r>
      <w:r w:rsidR="00DF6F30">
        <w:t>(</w:t>
      </w:r>
      <w:r w:rsidR="00DF6F30">
        <w:rPr>
          <w:i/>
        </w:rPr>
        <w:t>B</w:t>
      </w:r>
      <w:r w:rsidR="00DF6F30">
        <w:rPr>
          <w:i/>
          <w:vertAlign w:val="subscript"/>
        </w:rPr>
        <w:t>j</w:t>
      </w:r>
      <w:r>
        <w:t xml:space="preserve">) hat die speziellere Merkmalsregel dieselbe Trefferquote wie die allgemeine, ihre Wirkung </w:t>
      </w:r>
      <w:r w:rsidR="006721DD">
        <w:t xml:space="preserve">ist </w:t>
      </w:r>
      <w:r>
        <w:t>also durch diese bereits abgedeckt. Sie muss auf jeden Fall raus:</w:t>
      </w:r>
      <w:r w:rsidR="00173B04">
        <w:rPr>
          <w:rStyle w:val="Funotenzeichen"/>
        </w:rPr>
        <w:footnoteReference w:id="392"/>
      </w:r>
    </w:p>
    <w:p w:rsidR="00DF6F30" w:rsidRDefault="00DF6F30" w:rsidP="009938D4">
      <w:pPr>
        <w:pStyle w:val="FallxDisambiguierung"/>
      </w:pPr>
      <w:r>
        <w:t>Fall 3:</w:t>
      </w:r>
      <w:r>
        <w:tab/>
      </w:r>
      <w:r>
        <w:rPr>
          <w:i/>
        </w:rPr>
        <w:t>m</w:t>
      </w:r>
      <w:r>
        <w:rPr>
          <w:i/>
          <w:vertAlign w:val="subscript"/>
        </w:rPr>
        <w:t>x</w:t>
      </w:r>
      <w:r>
        <w:t xml:space="preserve"> = </w:t>
      </w:r>
      <w:r w:rsidR="00AE2D83">
        <w:t>10</w:t>
      </w:r>
      <w:r>
        <w:t xml:space="preserve">, </w:t>
      </w:r>
      <w:r>
        <w:rPr>
          <w:i/>
        </w:rPr>
        <w:t>n</w:t>
      </w:r>
      <w:r>
        <w:rPr>
          <w:i/>
          <w:vertAlign w:val="subscript"/>
        </w:rPr>
        <w:t>x</w:t>
      </w:r>
      <w:r>
        <w:t xml:space="preserve"> = </w:t>
      </w:r>
      <w:r w:rsidR="00A2045C">
        <w:t>50</w:t>
      </w:r>
      <w:r>
        <w:t xml:space="preserve">, </w:t>
      </w:r>
      <w:r>
        <w:rPr>
          <w:i/>
        </w:rPr>
        <w:t>w</w:t>
      </w:r>
      <w:r>
        <w:t>(</w:t>
      </w:r>
      <w:r>
        <w:rPr>
          <w:i/>
        </w:rPr>
        <w:t>B</w:t>
      </w:r>
      <w:r>
        <w:rPr>
          <w:i/>
          <w:vertAlign w:val="subscript"/>
        </w:rPr>
        <w:t>x</w:t>
      </w:r>
      <w:r>
        <w:t>) = 0,</w:t>
      </w:r>
      <w:r w:rsidR="00280D5B">
        <w:t>2</w:t>
      </w:r>
    </w:p>
    <w:p w:rsidR="00DF6F30" w:rsidRPr="00B82A81" w:rsidRDefault="005D7996" w:rsidP="009938D4">
      <w:pPr>
        <w:pStyle w:val="FormelTabrechts"/>
      </w:pPr>
      <m:oMath>
        <m:f>
          <m:fPr>
            <m:ctrlPr>
              <w:rPr>
                <w:rFonts w:ascii="Cambria Math" w:hAnsi="Cambria Math"/>
                <w:i/>
                <w:lang w:val="en-US"/>
              </w:rPr>
            </m:ctrlPr>
          </m:fPr>
          <m:num>
            <m:r>
              <m:rPr>
                <m:nor/>
              </m:rPr>
              <m:t>100</m:t>
            </m:r>
          </m:num>
          <m:den>
            <m:r>
              <m:rPr>
                <m:nor/>
              </m:rPr>
              <m:t>50</m:t>
            </m:r>
          </m:den>
        </m:f>
      </m:oMath>
      <w:r w:rsidR="00DF6F30" w:rsidRPr="00803CA0">
        <w:t xml:space="preserve"> </w:t>
      </w:r>
      <w:r w:rsidR="00C604FC">
        <w:t>≥</w:t>
      </w:r>
      <w:r w:rsidR="00DF6F30"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0,2</m:t>
                </m:r>
              </m:num>
              <m:den>
                <m:r>
                  <m:rPr>
                    <m:nor/>
                  </m:rPr>
                  <m:t>0,2</m:t>
                </m:r>
              </m:den>
            </m:f>
            <m:r>
              <m:rPr>
                <m:nor/>
              </m:rPr>
              <m:t>)</m:t>
            </m:r>
          </m:e>
          <m:sup>
            <m:r>
              <m:rPr>
                <m:nor/>
              </m:rPr>
              <w:rPr>
                <w:i/>
              </w:rPr>
              <m:t>f</m:t>
            </m:r>
          </m:sup>
        </m:sSup>
      </m:oMath>
      <w:r w:rsidR="00DF6F30" w:rsidRPr="00B82A81">
        <w:tab/>
      </w:r>
      <w:r w:rsidR="00635DE8" w:rsidRPr="00635DE8">
        <w:rPr>
          <w:rFonts w:ascii="Cambria Math" w:eastAsia="Arial Unicode MS" w:hAnsi="Cambria Math" w:cs="Arial Unicode MS"/>
        </w:rPr>
        <w:t>⇒</w:t>
      </w:r>
      <w:r w:rsidR="00DF6F30">
        <w:tab/>
      </w:r>
      <w:r w:rsidR="001273EE">
        <w:t>2</w:t>
      </w:r>
      <w:r w:rsidR="00DF6F30">
        <w:t xml:space="preserve"> </w:t>
      </w:r>
      <w:r w:rsidR="00C604FC">
        <w:t>≥</w:t>
      </w:r>
      <w:r w:rsidR="00DF6F30">
        <w:rPr>
          <w:position w:val="-6"/>
        </w:rPr>
        <w:t xml:space="preserve"> </w:t>
      </w:r>
      <m:oMath>
        <m:sSup>
          <m:sSupPr>
            <m:ctrlPr>
              <w:rPr>
                <w:rFonts w:ascii="Cambria Math" w:hAnsi="Cambria Math"/>
                <w:i/>
              </w:rPr>
            </m:ctrlPr>
          </m:sSupPr>
          <m:e>
            <m:r>
              <m:rPr>
                <m:nor/>
              </m:rPr>
              <m:t>1</m:t>
            </m:r>
          </m:e>
          <m:sup>
            <m:r>
              <m:rPr>
                <m:nor/>
              </m:rPr>
              <w:rPr>
                <w:rFonts w:ascii="Cambria Math"/>
                <w:i/>
              </w:rPr>
              <m:t xml:space="preserve"> </m:t>
            </m:r>
            <m:r>
              <m:rPr>
                <m:nor/>
              </m:rPr>
              <w:rPr>
                <w:i/>
              </w:rPr>
              <m:t>f</m:t>
            </m:r>
          </m:sup>
        </m:sSup>
      </m:oMath>
      <w:r w:rsidR="009938D4">
        <w:tab/>
      </w:r>
      <w:r w:rsidR="00DF6F30">
        <w:t xml:space="preserve">für </w:t>
      </w:r>
      <w:r w:rsidR="00DF6F30" w:rsidRPr="003E0660">
        <w:rPr>
          <w:i/>
        </w:rPr>
        <w:t>f</w:t>
      </w:r>
      <w:r w:rsidR="00DF6F30">
        <w:t xml:space="preserve"> </w:t>
      </w:r>
      <w:r w:rsidR="008718C2">
        <w:t>&gt;</w:t>
      </w:r>
      <w:r w:rsidR="00DF6F30">
        <w:t xml:space="preserve"> 1 erfüllt</w:t>
      </w:r>
    </w:p>
    <w:p w:rsidR="00DF6F30" w:rsidRDefault="00DF6F30" w:rsidP="009938D4">
      <w:pPr>
        <w:pStyle w:val="Text"/>
        <w:ind w:firstLine="0"/>
        <w:rPr>
          <w:iCs/>
        </w:rPr>
      </w:pPr>
      <w:r>
        <w:rPr>
          <w:iCs/>
        </w:rPr>
        <w:t xml:space="preserve">Man beachte, dass in diesem Fall </w:t>
      </w:r>
      <w:r w:rsidR="001E249F">
        <w:rPr>
          <w:iCs/>
        </w:rPr>
        <w:t xml:space="preserve">auch </w:t>
      </w:r>
      <w:r w:rsidR="00072259">
        <w:rPr>
          <w:iCs/>
        </w:rPr>
        <w:t xml:space="preserve">eine </w:t>
      </w:r>
      <w:r w:rsidR="00280D5B">
        <w:rPr>
          <w:iCs/>
        </w:rPr>
        <w:t xml:space="preserve">speziellere </w:t>
      </w:r>
      <w:r>
        <w:rPr>
          <w:iCs/>
        </w:rPr>
        <w:t xml:space="preserve">Regel </w:t>
      </w:r>
      <w:r w:rsidR="0002602F">
        <w:rPr>
          <w:iCs/>
        </w:rPr>
        <w:t xml:space="preserve">entfernt </w:t>
      </w:r>
      <w:r w:rsidR="001E249F">
        <w:rPr>
          <w:iCs/>
        </w:rPr>
        <w:t xml:space="preserve">wird, </w:t>
      </w:r>
      <w:r>
        <w:rPr>
          <w:iCs/>
        </w:rPr>
        <w:t xml:space="preserve">die </w:t>
      </w:r>
      <w:r w:rsidR="00A2045C">
        <w:rPr>
          <w:iCs/>
        </w:rPr>
        <w:t xml:space="preserve">genauso oft </w:t>
      </w:r>
      <w:r>
        <w:rPr>
          <w:iCs/>
        </w:rPr>
        <w:t xml:space="preserve">angewandt wurde </w:t>
      </w:r>
      <w:r w:rsidR="00A2045C">
        <w:rPr>
          <w:iCs/>
        </w:rPr>
        <w:t xml:space="preserve">wie </w:t>
      </w:r>
      <w:r w:rsidR="00975C10">
        <w:rPr>
          <w:iCs/>
        </w:rPr>
        <w:t>die allgemeinere</w:t>
      </w:r>
      <w:r>
        <w:rPr>
          <w:iCs/>
        </w:rPr>
        <w:t>:</w:t>
      </w:r>
    </w:p>
    <w:p w:rsidR="00DF6F30" w:rsidRDefault="00DF6F30" w:rsidP="009938D4">
      <w:pPr>
        <w:pStyle w:val="FallxDisambiguierung"/>
      </w:pPr>
      <w:r>
        <w:t>Fall 4:</w:t>
      </w:r>
      <w:r>
        <w:tab/>
      </w:r>
      <w:r>
        <w:rPr>
          <w:i/>
        </w:rPr>
        <w:t>m</w:t>
      </w:r>
      <w:r>
        <w:rPr>
          <w:i/>
          <w:vertAlign w:val="subscript"/>
        </w:rPr>
        <w:t>x</w:t>
      </w:r>
      <w:r>
        <w:t xml:space="preserve"> = </w:t>
      </w:r>
      <w:r w:rsidR="00E25EE1">
        <w:t>2</w:t>
      </w:r>
      <w:r>
        <w:t xml:space="preserve">0, </w:t>
      </w:r>
      <w:r>
        <w:rPr>
          <w:i/>
        </w:rPr>
        <w:t>n</w:t>
      </w:r>
      <w:r>
        <w:rPr>
          <w:i/>
          <w:vertAlign w:val="subscript"/>
        </w:rPr>
        <w:t>x</w:t>
      </w:r>
      <w:r>
        <w:t xml:space="preserve"> = </w:t>
      </w:r>
      <w:r w:rsidR="00E25EE1">
        <w:t>10</w:t>
      </w:r>
      <w:r>
        <w:t xml:space="preserve">0, </w:t>
      </w:r>
      <w:r>
        <w:rPr>
          <w:i/>
        </w:rPr>
        <w:t>w</w:t>
      </w:r>
      <w:r>
        <w:t>(</w:t>
      </w:r>
      <w:r>
        <w:rPr>
          <w:i/>
        </w:rPr>
        <w:t>B</w:t>
      </w:r>
      <w:r>
        <w:rPr>
          <w:i/>
          <w:vertAlign w:val="subscript"/>
        </w:rPr>
        <w:t>x</w:t>
      </w:r>
      <w:r>
        <w:t>) = 0,</w:t>
      </w:r>
      <w:r w:rsidR="00280D5B">
        <w:t>2</w:t>
      </w:r>
    </w:p>
    <w:p w:rsidR="00DF6F30" w:rsidRPr="00B82A81" w:rsidRDefault="005D7996" w:rsidP="009938D4">
      <w:pPr>
        <w:pStyle w:val="FormelTabrechts"/>
      </w:pPr>
      <m:oMath>
        <m:f>
          <m:fPr>
            <m:ctrlPr>
              <w:rPr>
                <w:rFonts w:ascii="Cambria Math" w:hAnsi="Cambria Math"/>
                <w:i/>
                <w:lang w:val="en-US"/>
              </w:rPr>
            </m:ctrlPr>
          </m:fPr>
          <m:num>
            <m:r>
              <m:rPr>
                <m:nor/>
              </m:rPr>
              <m:t>100</m:t>
            </m:r>
          </m:num>
          <m:den>
            <m:r>
              <m:rPr>
                <m:nor/>
              </m:rPr>
              <m:t>100</m:t>
            </m:r>
          </m:den>
        </m:f>
      </m:oMath>
      <w:r w:rsidR="00DF6F30" w:rsidRPr="00803CA0">
        <w:t xml:space="preserve"> </w:t>
      </w:r>
      <w:r w:rsidR="00C604FC">
        <w:t>≥</w:t>
      </w:r>
      <w:r w:rsidR="00DF6F30"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0,2</m:t>
                </m:r>
              </m:num>
              <m:den>
                <m:r>
                  <m:rPr>
                    <m:nor/>
                  </m:rPr>
                  <m:t>0,2</m:t>
                </m:r>
              </m:den>
            </m:f>
            <m:r>
              <m:rPr>
                <m:nor/>
              </m:rPr>
              <m:t>)</m:t>
            </m:r>
          </m:e>
          <m:sup>
            <m:r>
              <m:rPr>
                <m:nor/>
              </m:rPr>
              <w:rPr>
                <w:i/>
              </w:rPr>
              <m:t>f</m:t>
            </m:r>
          </m:sup>
        </m:sSup>
      </m:oMath>
      <w:r w:rsidR="00DF6F30" w:rsidRPr="00B82A81">
        <w:tab/>
      </w:r>
      <w:r w:rsidR="00635DE8" w:rsidRPr="00635DE8">
        <w:rPr>
          <w:rFonts w:ascii="Cambria Math" w:eastAsia="Arial Unicode MS" w:hAnsi="Cambria Math" w:cs="Arial Unicode MS"/>
        </w:rPr>
        <w:t>⇒</w:t>
      </w:r>
      <w:r w:rsidR="00DF6F30">
        <w:tab/>
        <w:t xml:space="preserve">1 </w:t>
      </w:r>
      <w:r w:rsidR="00C604FC">
        <w:t>≥</w:t>
      </w:r>
      <w:r w:rsidR="00DF6F30">
        <w:rPr>
          <w:position w:val="-6"/>
        </w:rPr>
        <w:t xml:space="preserve"> </w:t>
      </w:r>
      <m:oMath>
        <m:sSup>
          <m:sSupPr>
            <m:ctrlPr>
              <w:rPr>
                <w:rFonts w:ascii="Cambria Math" w:hAnsi="Cambria Math"/>
                <w:i/>
              </w:rPr>
            </m:ctrlPr>
          </m:sSupPr>
          <m:e>
            <m:r>
              <m:rPr>
                <m:nor/>
              </m:rPr>
              <m:t>1</m:t>
            </m:r>
          </m:e>
          <m:sup>
            <m:r>
              <m:rPr>
                <m:nor/>
              </m:rPr>
              <w:rPr>
                <w:rFonts w:ascii="Cambria Math"/>
                <w:i/>
              </w:rPr>
              <m:t xml:space="preserve"> </m:t>
            </m:r>
            <m:r>
              <m:rPr>
                <m:nor/>
              </m:rPr>
              <w:rPr>
                <w:i/>
              </w:rPr>
              <m:t>f</m:t>
            </m:r>
          </m:sup>
        </m:sSup>
      </m:oMath>
      <w:r w:rsidR="00E73FF0">
        <w:tab/>
      </w:r>
      <w:r w:rsidR="00DF6F30">
        <w:t xml:space="preserve">für </w:t>
      </w:r>
      <w:r w:rsidR="00DF6F30" w:rsidRPr="003E0660">
        <w:rPr>
          <w:i/>
        </w:rPr>
        <w:t>f</w:t>
      </w:r>
      <w:r w:rsidR="00DF6F30">
        <w:t xml:space="preserve"> </w:t>
      </w:r>
      <w:r w:rsidR="008718C2">
        <w:t>&gt;</w:t>
      </w:r>
      <w:r w:rsidR="00DF6F30">
        <w:t xml:space="preserve"> 1 erfüllt</w:t>
      </w:r>
    </w:p>
    <w:p w:rsidR="00DF6F30" w:rsidRDefault="001E249F" w:rsidP="009938D4">
      <w:pPr>
        <w:pStyle w:val="Text"/>
        <w:ind w:firstLine="0"/>
      </w:pPr>
      <w:r>
        <w:rPr>
          <w:iCs/>
        </w:rPr>
        <w:t>Dies macht Sinn; da die allgemeinere Regel genauso viele Anwendungsmöglic</w:t>
      </w:r>
      <w:r>
        <w:rPr>
          <w:iCs/>
        </w:rPr>
        <w:t>h</w:t>
      </w:r>
      <w:r>
        <w:rPr>
          <w:iCs/>
        </w:rPr>
        <w:t>keiten und Anwendungen hatte, waren die zusätzlich spezifizierten Eigenscha</w:t>
      </w:r>
      <w:r>
        <w:rPr>
          <w:iCs/>
        </w:rPr>
        <w:t>f</w:t>
      </w:r>
      <w:r>
        <w:rPr>
          <w:iCs/>
        </w:rPr>
        <w:t>ten offenbar überflüssig.</w:t>
      </w:r>
      <w:bookmarkStart w:id="271" w:name="_Ref271740549"/>
      <w:r w:rsidR="000E15DF">
        <w:rPr>
          <w:rStyle w:val="Funotenzeichen"/>
          <w:iCs/>
        </w:rPr>
        <w:footnoteReference w:id="393"/>
      </w:r>
      <w:bookmarkEnd w:id="271"/>
    </w:p>
    <w:p w:rsidR="00DF6F30" w:rsidRDefault="00DF6F30" w:rsidP="00DF6F30">
      <w:pPr>
        <w:pStyle w:val="Text"/>
      </w:pPr>
      <w:r>
        <w:t xml:space="preserve">Wir haben noch zu überprüfen, ob sich der Toleranzfaktor </w:t>
      </w:r>
      <w:r w:rsidR="00975C10">
        <w:t xml:space="preserve">auch </w:t>
      </w:r>
      <w:r>
        <w:t>wie g</w:t>
      </w:r>
      <w:r>
        <w:t>e</w:t>
      </w:r>
      <w:r>
        <w:t xml:space="preserve">wünscht verhält: Wenn er erhöht wird, sollten die nicht mehr </w:t>
      </w:r>
      <w:r w:rsidR="000524BF">
        <w:t xml:space="preserve">entfernten </w:t>
      </w:r>
      <w:r>
        <w:t xml:space="preserve">Regeln </w:t>
      </w:r>
      <w:r w:rsidR="00975C10">
        <w:t xml:space="preserve">zunächst diejenigen sein, die </w:t>
      </w:r>
      <w:r w:rsidR="007B01CA">
        <w:t>nur wenig seltener angewandt wurden als die allg</w:t>
      </w:r>
      <w:r w:rsidR="007B01CA">
        <w:t>e</w:t>
      </w:r>
      <w:r w:rsidR="007B01CA">
        <w:t>meinere</w:t>
      </w:r>
      <w:r w:rsidR="00BF5C9C">
        <w:t>, da sie die Verringerung der Anwendungsmöglichkeiten durch eine h</w:t>
      </w:r>
      <w:r w:rsidR="00BF5C9C">
        <w:t>ö</w:t>
      </w:r>
      <w:r w:rsidR="00BF5C9C">
        <w:t>here ‚Trefferquote‘ ausgleichen. Erst später sollten Regeln gerettet werden, die trotz geringerer Anwendungsmöglichkeiten eine nur wenig höhere Trefferquote haben, also einen großen Teil ihrer Anwendung der allgemeineren Merkmalsr</w:t>
      </w:r>
      <w:r w:rsidR="00BF5C9C">
        <w:t>e</w:t>
      </w:r>
      <w:r w:rsidR="00BF5C9C">
        <w:t xml:space="preserve">gel verdanken. </w:t>
      </w:r>
      <w:r>
        <w:t xml:space="preserve">Nehmen wir zwei Fälle. Beide hätten </w:t>
      </w:r>
      <w:r w:rsidR="00673132">
        <w:t>5</w:t>
      </w:r>
      <w:r>
        <w:t>0 Mal angewandt werden können</w:t>
      </w:r>
      <w:r w:rsidR="00673132">
        <w:t>.</w:t>
      </w:r>
      <w:r>
        <w:t xml:space="preserve"> In Fall 5 bezieht die </w:t>
      </w:r>
      <w:r w:rsidR="00091198">
        <w:t xml:space="preserve">speziellere Regel </w:t>
      </w:r>
      <w:r>
        <w:t xml:space="preserve">einen kleineren Teil ihrer </w:t>
      </w:r>
      <w:r w:rsidR="00BF5C9C">
        <w:t>Wi</w:t>
      </w:r>
      <w:r w:rsidR="00BF5C9C">
        <w:t>r</w:t>
      </w:r>
      <w:r w:rsidR="00BF5C9C">
        <w:t xml:space="preserve">kung </w:t>
      </w:r>
      <w:r>
        <w:t xml:space="preserve">von der </w:t>
      </w:r>
      <w:r w:rsidR="00BF5C9C">
        <w:t xml:space="preserve">allgemeineren </w:t>
      </w:r>
      <w:r>
        <w:t>Regel, in Fall 6 einen größeren:</w:t>
      </w:r>
    </w:p>
    <w:p w:rsidR="00D877A5" w:rsidRDefault="00D877A5" w:rsidP="009938D4">
      <w:pPr>
        <w:pStyle w:val="FallxDisambiguierung"/>
      </w:pPr>
      <w:r>
        <w:rPr>
          <w:iCs/>
        </w:rPr>
        <w:t>Fall 5:</w:t>
      </w:r>
      <w:r>
        <w:tab/>
      </w:r>
      <w:r w:rsidRPr="0003487D">
        <w:rPr>
          <w:i/>
        </w:rPr>
        <w:t>m</w:t>
      </w:r>
      <w:r w:rsidRPr="0003487D">
        <w:rPr>
          <w:i/>
          <w:vertAlign w:val="subscript"/>
        </w:rPr>
        <w:t>x</w:t>
      </w:r>
      <w:r w:rsidR="00D15DBE">
        <w:t xml:space="preserve"> = 17</w:t>
      </w:r>
      <w:r w:rsidRPr="0003487D">
        <w:t xml:space="preserve">, </w:t>
      </w:r>
      <w:r w:rsidRPr="0003487D">
        <w:rPr>
          <w:i/>
        </w:rPr>
        <w:t>n</w:t>
      </w:r>
      <w:r w:rsidRPr="0003487D">
        <w:rPr>
          <w:i/>
          <w:vertAlign w:val="subscript"/>
        </w:rPr>
        <w:t>x</w:t>
      </w:r>
      <w:r w:rsidRPr="0003487D">
        <w:t xml:space="preserve"> = 50, </w:t>
      </w:r>
      <w:r w:rsidRPr="0003487D">
        <w:rPr>
          <w:i/>
        </w:rPr>
        <w:t>w</w:t>
      </w:r>
      <w:r w:rsidRPr="0003487D">
        <w:t>(</w:t>
      </w:r>
      <w:r w:rsidRPr="0003487D">
        <w:rPr>
          <w:i/>
        </w:rPr>
        <w:t>B</w:t>
      </w:r>
      <w:r w:rsidRPr="0003487D">
        <w:rPr>
          <w:i/>
          <w:vertAlign w:val="subscript"/>
        </w:rPr>
        <w:t>x</w:t>
      </w:r>
      <w:r w:rsidR="00D15DBE">
        <w:t>) = 0,34</w:t>
      </w:r>
    </w:p>
    <w:p w:rsidR="00D877A5" w:rsidRPr="00B82A81" w:rsidRDefault="005D7996" w:rsidP="0010735C">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D877A5" w:rsidRPr="00803CA0">
        <w:t xml:space="preserve"> </w:t>
      </w:r>
      <w:r w:rsidR="00C604FC">
        <w:rPr>
          <w:rFonts w:cs="Times New Roman"/>
        </w:rPr>
        <w:t>≥</w:t>
      </w:r>
      <w:r w:rsidR="00D877A5"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0,34</m:t>
                </m:r>
              </m:num>
              <m:den>
                <m:r>
                  <m:rPr>
                    <m:nor/>
                  </m:rPr>
                  <w:rPr>
                    <w:rFonts w:cs="Times New Roman"/>
                  </w:rPr>
                  <m:t>0,2</m:t>
                </m:r>
              </m:den>
            </m:f>
            <m:r>
              <m:rPr>
                <m:nor/>
              </m:rPr>
              <w:rPr>
                <w:rFonts w:cs="Times New Roman"/>
              </w:rPr>
              <m:t>)</m:t>
            </m:r>
          </m:e>
          <m:sup>
            <m:r>
              <m:rPr>
                <m:nor/>
              </m:rPr>
              <w:rPr>
                <w:rFonts w:cs="Times New Roman"/>
                <w:i/>
              </w:rPr>
              <m:t>f</m:t>
            </m:r>
          </m:sup>
        </m:sSup>
      </m:oMath>
      <w:r w:rsidR="00D877A5" w:rsidRPr="00B82A81">
        <w:tab/>
      </w:r>
      <w:r w:rsidR="00635DE8" w:rsidRPr="00635DE8">
        <w:rPr>
          <w:rFonts w:ascii="Cambria Math" w:eastAsia="Arial Unicode MS" w:hAnsi="Cambria Math" w:cs="Arial Unicode MS"/>
        </w:rPr>
        <w:t>⇒</w:t>
      </w:r>
      <w:r w:rsidR="00D877A5">
        <w:tab/>
        <w:t xml:space="preserve">2 </w:t>
      </w:r>
      <w:r w:rsidR="00C604FC">
        <w:rPr>
          <w:rFonts w:cs="Times New Roman"/>
        </w:rPr>
        <w:t>≥</w:t>
      </w:r>
      <w:r w:rsidR="00D877A5">
        <w:rPr>
          <w:position w:val="-6"/>
        </w:rPr>
        <w:t xml:space="preserve"> </w:t>
      </w:r>
      <m:oMath>
        <m:sSup>
          <m:sSupPr>
            <m:ctrlPr>
              <w:rPr>
                <w:rFonts w:ascii="Cambria Math" w:hAnsi="Cambria Math" w:cs="Times New Roman"/>
                <w:i/>
              </w:rPr>
            </m:ctrlPr>
          </m:sSupPr>
          <m:e>
            <m:r>
              <m:rPr>
                <m:nor/>
              </m:rPr>
              <w:rPr>
                <w:rFonts w:cs="Times New Roman"/>
              </w:rPr>
              <m:t>1,7</m:t>
            </m:r>
          </m:e>
          <m:sup>
            <m:r>
              <m:rPr>
                <m:nor/>
              </m:rPr>
              <w:rPr>
                <w:rFonts w:ascii="Cambria Math" w:cs="Times New Roman"/>
                <w:i/>
              </w:rPr>
              <m:t xml:space="preserve"> </m:t>
            </m:r>
            <m:r>
              <m:rPr>
                <m:nor/>
              </m:rPr>
              <w:rPr>
                <w:rFonts w:cs="Times New Roman"/>
                <w:i/>
              </w:rPr>
              <m:t>f</m:t>
            </m:r>
          </m:sup>
        </m:sSup>
      </m:oMath>
      <w:r w:rsidR="00E73FF0">
        <w:tab/>
      </w:r>
      <w:r w:rsidR="00D877A5">
        <w:t xml:space="preserve">für </w:t>
      </w:r>
      <w:r w:rsidR="00B772E0">
        <w:t>1</w:t>
      </w:r>
      <w:r w:rsidR="00D877A5">
        <w:t>,</w:t>
      </w:r>
      <w:r w:rsidR="00B772E0">
        <w:t>306</w:t>
      </w:r>
      <w:r w:rsidR="00D877A5">
        <w:t xml:space="preserve"> </w:t>
      </w:r>
      <w:r w:rsidR="00094B2A">
        <w:rPr>
          <w:rFonts w:cs="Times New Roman"/>
        </w:rPr>
        <w:t>≥</w:t>
      </w:r>
      <w:r w:rsidR="00D877A5">
        <w:t xml:space="preserve"> </w:t>
      </w:r>
      <w:r w:rsidR="00D877A5" w:rsidRPr="003E0660">
        <w:rPr>
          <w:i/>
        </w:rPr>
        <w:t>f</w:t>
      </w:r>
      <w:r w:rsidR="00D877A5">
        <w:t xml:space="preserve"> </w:t>
      </w:r>
      <w:r w:rsidR="008718C2">
        <w:rPr>
          <w:rFonts w:cs="Times New Roman"/>
        </w:rPr>
        <w:t>&gt;</w:t>
      </w:r>
      <w:r w:rsidR="00D877A5">
        <w:rPr>
          <w:rFonts w:cs="Times New Roman"/>
        </w:rPr>
        <w:t xml:space="preserve"> 1 </w:t>
      </w:r>
      <w:r w:rsidR="006E4A14">
        <w:t>erf.</w:t>
      </w:r>
      <w:r w:rsidR="00D877A5">
        <w:t xml:space="preserve">, für </w:t>
      </w:r>
      <w:r w:rsidR="00D877A5" w:rsidRPr="003E0660">
        <w:rPr>
          <w:i/>
        </w:rPr>
        <w:t>f</w:t>
      </w:r>
      <w:r w:rsidR="00D877A5">
        <w:t xml:space="preserve"> </w:t>
      </w:r>
      <w:r w:rsidR="00094B2A">
        <w:rPr>
          <w:rFonts w:cs="Times New Roman"/>
        </w:rPr>
        <w:t>&gt;</w:t>
      </w:r>
      <w:r w:rsidR="00D877A5">
        <w:t xml:space="preserve"> </w:t>
      </w:r>
      <w:r w:rsidR="00B772E0">
        <w:t>1,306 nicht erf.</w:t>
      </w:r>
    </w:p>
    <w:p w:rsidR="00D877A5" w:rsidRDefault="00B772E0" w:rsidP="009938D4">
      <w:pPr>
        <w:pStyle w:val="Text"/>
        <w:ind w:firstLine="0"/>
        <w:rPr>
          <w:iCs/>
        </w:rPr>
      </w:pPr>
      <w:r>
        <w:rPr>
          <w:iCs/>
        </w:rPr>
        <w:t xml:space="preserve">Für </w:t>
      </w:r>
      <w:r w:rsidR="00D15DBE">
        <w:rPr>
          <w:i/>
        </w:rPr>
        <w:t>f</w:t>
      </w:r>
      <w:r w:rsidR="00D15DBE">
        <w:rPr>
          <w:iCs/>
        </w:rPr>
        <w:t xml:space="preserve"> </w:t>
      </w:r>
      <w:r w:rsidR="00094B2A">
        <w:rPr>
          <w:iCs/>
        </w:rPr>
        <w:t xml:space="preserve">bis einschließlich </w:t>
      </w:r>
      <w:r>
        <w:rPr>
          <w:iCs/>
        </w:rPr>
        <w:t>1,306</w:t>
      </w:r>
      <w:r w:rsidR="00A112CC">
        <w:rPr>
          <w:iCs/>
        </w:rPr>
        <w:t xml:space="preserve"> wird die Merkmalsregel </w:t>
      </w:r>
      <w:r w:rsidR="0002602F">
        <w:rPr>
          <w:iCs/>
        </w:rPr>
        <w:t>entfernt</w:t>
      </w:r>
      <w:r w:rsidR="008D60AC">
        <w:rPr>
          <w:iCs/>
        </w:rPr>
        <w:t xml:space="preserve">, für größere </w:t>
      </w:r>
      <w:r w:rsidR="005067E2">
        <w:rPr>
          <w:iCs/>
        </w:rPr>
        <w:t xml:space="preserve">Werte </w:t>
      </w:r>
      <w:r w:rsidR="00D15DBE">
        <w:rPr>
          <w:iCs/>
        </w:rPr>
        <w:t xml:space="preserve">‚gerettet‘. – Dies ist noch eine sehr gute Merkmalsregel, sie ‚verfehlt‘ nur drei der </w:t>
      </w:r>
      <w:r w:rsidR="00D15DBE">
        <w:rPr>
          <w:iCs/>
        </w:rPr>
        <w:lastRenderedPageBreak/>
        <w:t>Anwendungen der allgemeineren Merkmalsregel, obwohl sie nur halb so oft a</w:t>
      </w:r>
      <w:r w:rsidR="00D15DBE">
        <w:rPr>
          <w:iCs/>
        </w:rPr>
        <w:t>n</w:t>
      </w:r>
      <w:r w:rsidR="00D15DBE">
        <w:rPr>
          <w:iCs/>
        </w:rPr>
        <w:t xml:space="preserve">gewandt werden kann. Dies ist sicherlich kein Zufall, die Regel scheint einen Sachverhalt zu beschreiben, der durch die allgemeine nicht abgedeckt wird. Es macht daher Sinn, </w:t>
      </w:r>
      <w:r w:rsidR="00D15DBE" w:rsidRPr="00D15DBE">
        <w:rPr>
          <w:i/>
          <w:iCs/>
        </w:rPr>
        <w:t>f</w:t>
      </w:r>
      <w:r w:rsidR="00D15DBE">
        <w:rPr>
          <w:iCs/>
        </w:rPr>
        <w:t xml:space="preserve"> höher als 1,3 anzunehmen.</w:t>
      </w:r>
    </w:p>
    <w:p w:rsidR="00DF6F30" w:rsidRPr="0003487D" w:rsidRDefault="00DF6F30" w:rsidP="009938D4">
      <w:pPr>
        <w:pStyle w:val="FallxDisambiguierung"/>
      </w:pPr>
      <w:r w:rsidRPr="0003487D">
        <w:rPr>
          <w:iCs/>
        </w:rPr>
        <w:t xml:space="preserve">Fall </w:t>
      </w:r>
      <w:r w:rsidR="00D877A5">
        <w:rPr>
          <w:iCs/>
        </w:rPr>
        <w:t>6</w:t>
      </w:r>
      <w:r w:rsidRPr="0003487D">
        <w:rPr>
          <w:iCs/>
        </w:rPr>
        <w:t>:</w:t>
      </w:r>
      <w:r w:rsidRPr="0003487D">
        <w:t xml:space="preserve"> </w:t>
      </w:r>
      <w:r w:rsidRPr="0003487D">
        <w:tab/>
      </w:r>
      <w:r w:rsidRPr="0003487D">
        <w:rPr>
          <w:i/>
        </w:rPr>
        <w:t>m</w:t>
      </w:r>
      <w:r w:rsidRPr="0003487D">
        <w:rPr>
          <w:i/>
          <w:vertAlign w:val="subscript"/>
        </w:rPr>
        <w:t>x</w:t>
      </w:r>
      <w:r w:rsidRPr="0003487D">
        <w:t xml:space="preserve"> = </w:t>
      </w:r>
      <w:r w:rsidR="0003487D" w:rsidRPr="0003487D">
        <w:t>12</w:t>
      </w:r>
      <w:r w:rsidRPr="0003487D">
        <w:t xml:space="preserve">, </w:t>
      </w:r>
      <w:r w:rsidRPr="0003487D">
        <w:rPr>
          <w:i/>
        </w:rPr>
        <w:t>n</w:t>
      </w:r>
      <w:r w:rsidRPr="0003487D">
        <w:rPr>
          <w:i/>
          <w:vertAlign w:val="subscript"/>
        </w:rPr>
        <w:t>x</w:t>
      </w:r>
      <w:r w:rsidR="00847CF6" w:rsidRPr="0003487D">
        <w:t xml:space="preserve"> = </w:t>
      </w:r>
      <w:r w:rsidR="0003487D" w:rsidRPr="0003487D">
        <w:t>5</w:t>
      </w:r>
      <w:r w:rsidRPr="0003487D">
        <w:t xml:space="preserve">0, </w:t>
      </w:r>
      <w:r w:rsidRPr="0003487D">
        <w:rPr>
          <w:i/>
        </w:rPr>
        <w:t>w</w:t>
      </w:r>
      <w:r w:rsidRPr="0003487D">
        <w:t>(</w:t>
      </w:r>
      <w:r w:rsidRPr="0003487D">
        <w:rPr>
          <w:i/>
        </w:rPr>
        <w:t>B</w:t>
      </w:r>
      <w:r w:rsidRPr="0003487D">
        <w:rPr>
          <w:i/>
          <w:vertAlign w:val="subscript"/>
        </w:rPr>
        <w:t>x</w:t>
      </w:r>
      <w:r w:rsidRPr="0003487D">
        <w:t>) = 0,</w:t>
      </w:r>
      <w:r w:rsidR="0003487D" w:rsidRPr="0003487D">
        <w:t>24</w:t>
      </w:r>
    </w:p>
    <w:p w:rsidR="00DF6F30" w:rsidRPr="00B82A81" w:rsidRDefault="005D7996" w:rsidP="0010735C">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DF6F30" w:rsidRPr="00803CA0">
        <w:t xml:space="preserve"> </w:t>
      </w:r>
      <w:r w:rsidR="00C604FC">
        <w:rPr>
          <w:rFonts w:cs="Times New Roman"/>
        </w:rPr>
        <w:t>≥</w:t>
      </w:r>
      <w:r w:rsidR="00DF6F30"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0,24</m:t>
                </m:r>
              </m:num>
              <m:den>
                <m:r>
                  <m:rPr>
                    <m:nor/>
                  </m:rPr>
                  <w:rPr>
                    <w:rFonts w:cs="Times New Roman"/>
                  </w:rPr>
                  <m:t>0,2</m:t>
                </m:r>
              </m:den>
            </m:f>
            <m:r>
              <m:rPr>
                <m:nor/>
              </m:rPr>
              <w:rPr>
                <w:rFonts w:cs="Times New Roman"/>
              </w:rPr>
              <m:t>)</m:t>
            </m:r>
          </m:e>
          <m:sup>
            <m:r>
              <m:rPr>
                <m:nor/>
              </m:rPr>
              <w:rPr>
                <w:rFonts w:cs="Times New Roman"/>
                <w:i/>
              </w:rPr>
              <m:t>f</m:t>
            </m:r>
          </m:sup>
        </m:sSup>
      </m:oMath>
      <w:r w:rsidR="00DF6F30" w:rsidRPr="00B82A81">
        <w:tab/>
      </w:r>
      <w:r w:rsidR="00635DE8" w:rsidRPr="00635DE8">
        <w:rPr>
          <w:rFonts w:ascii="Cambria Math" w:eastAsia="Arial Unicode MS" w:hAnsi="Cambria Math" w:cs="Arial Unicode MS"/>
        </w:rPr>
        <w:t>⇒</w:t>
      </w:r>
      <w:r w:rsidR="00DF6F30">
        <w:tab/>
      </w:r>
      <w:r w:rsidR="00D877A5">
        <w:t>2</w:t>
      </w:r>
      <w:r w:rsidR="00DF6F30">
        <w:t xml:space="preserve"> </w:t>
      </w:r>
      <w:r w:rsidR="00C604FC">
        <w:rPr>
          <w:rFonts w:cs="Times New Roman"/>
        </w:rPr>
        <w:t>≥</w:t>
      </w:r>
      <w:r w:rsidR="00DF6F30">
        <w:rPr>
          <w:position w:val="-6"/>
        </w:rPr>
        <w:t xml:space="preserve"> </w:t>
      </w:r>
      <m:oMath>
        <m:sSup>
          <m:sSupPr>
            <m:ctrlPr>
              <w:rPr>
                <w:rFonts w:ascii="Cambria Math" w:hAnsi="Cambria Math" w:cs="Times New Roman"/>
                <w:i/>
              </w:rPr>
            </m:ctrlPr>
          </m:sSupPr>
          <m:e>
            <m:r>
              <m:rPr>
                <m:nor/>
              </m:rPr>
              <w:rPr>
                <w:rFonts w:cs="Times New Roman"/>
              </w:rPr>
              <m:t>1,2</m:t>
            </m:r>
          </m:e>
          <m:sup>
            <m:r>
              <m:rPr>
                <m:nor/>
              </m:rPr>
              <w:rPr>
                <w:rFonts w:ascii="Cambria Math" w:cs="Times New Roman"/>
                <w:i/>
              </w:rPr>
              <m:t xml:space="preserve"> </m:t>
            </m:r>
            <m:r>
              <m:rPr>
                <m:nor/>
              </m:rPr>
              <w:rPr>
                <w:rFonts w:cs="Times New Roman"/>
                <w:i/>
              </w:rPr>
              <m:t>f</m:t>
            </m:r>
          </m:sup>
        </m:sSup>
      </m:oMath>
      <w:r w:rsidR="00DF6F30">
        <w:tab/>
        <w:t xml:space="preserve">für </w:t>
      </w:r>
      <w:r w:rsidR="00B772E0">
        <w:t>3,802</w:t>
      </w:r>
      <w:r w:rsidR="00DF6F30">
        <w:t xml:space="preserve"> </w:t>
      </w:r>
      <w:r w:rsidR="00094B2A">
        <w:rPr>
          <w:rFonts w:cs="Times New Roman"/>
        </w:rPr>
        <w:t>≥</w:t>
      </w:r>
      <w:r w:rsidR="00DF6F30">
        <w:t xml:space="preserve"> </w:t>
      </w:r>
      <w:r w:rsidR="00DF6F30" w:rsidRPr="003E0660">
        <w:rPr>
          <w:i/>
        </w:rPr>
        <w:t>f</w:t>
      </w:r>
      <w:r w:rsidR="00DF6F30">
        <w:t xml:space="preserve"> </w:t>
      </w:r>
      <w:r w:rsidR="002D397D">
        <w:rPr>
          <w:rFonts w:cs="Times New Roman"/>
        </w:rPr>
        <w:t>&gt;</w:t>
      </w:r>
      <w:r w:rsidR="00DF6F30">
        <w:rPr>
          <w:rFonts w:cs="Times New Roman"/>
        </w:rPr>
        <w:t xml:space="preserve"> 1 </w:t>
      </w:r>
      <w:r w:rsidR="006E4A14">
        <w:t>erf.</w:t>
      </w:r>
      <w:r w:rsidR="00DF6F30">
        <w:t xml:space="preserve">, für </w:t>
      </w:r>
      <w:r w:rsidR="00DF6F30" w:rsidRPr="003E0660">
        <w:rPr>
          <w:i/>
        </w:rPr>
        <w:t>f</w:t>
      </w:r>
      <w:r w:rsidR="00DF6F30">
        <w:t xml:space="preserve"> </w:t>
      </w:r>
      <w:r w:rsidR="00094B2A">
        <w:rPr>
          <w:rFonts w:cs="Times New Roman"/>
        </w:rPr>
        <w:t>&gt;</w:t>
      </w:r>
      <w:r w:rsidR="00DF6F30">
        <w:t xml:space="preserve"> </w:t>
      </w:r>
      <w:r w:rsidR="00B772E0">
        <w:t>3,802 nicht erf.</w:t>
      </w:r>
    </w:p>
    <w:p w:rsidR="00DF6F30" w:rsidRDefault="00B772E0" w:rsidP="009938D4">
      <w:pPr>
        <w:pStyle w:val="Text"/>
        <w:ind w:firstLine="0"/>
        <w:rPr>
          <w:iCs/>
        </w:rPr>
      </w:pPr>
      <w:r>
        <w:rPr>
          <w:iCs/>
        </w:rPr>
        <w:t>Für</w:t>
      </w:r>
      <w:r w:rsidR="008D60AC">
        <w:rPr>
          <w:iCs/>
        </w:rPr>
        <w:t xml:space="preserve"> </w:t>
      </w:r>
      <w:r w:rsidR="00DF6F30">
        <w:rPr>
          <w:i/>
        </w:rPr>
        <w:t>f</w:t>
      </w:r>
      <w:r w:rsidR="00DF6F30">
        <w:rPr>
          <w:iCs/>
        </w:rPr>
        <w:t xml:space="preserve"> </w:t>
      </w:r>
      <w:r w:rsidR="00094B2A">
        <w:rPr>
          <w:iCs/>
        </w:rPr>
        <w:t xml:space="preserve">bis einschließlich </w:t>
      </w:r>
      <w:r w:rsidR="00D877A5">
        <w:rPr>
          <w:iCs/>
        </w:rPr>
        <w:t>3</w:t>
      </w:r>
      <w:r w:rsidR="00DF6F30">
        <w:rPr>
          <w:iCs/>
        </w:rPr>
        <w:t>,</w:t>
      </w:r>
      <w:r>
        <w:rPr>
          <w:iCs/>
        </w:rPr>
        <w:t>802</w:t>
      </w:r>
      <w:r w:rsidR="00DF6F30">
        <w:rPr>
          <w:iCs/>
        </w:rPr>
        <w:t xml:space="preserve"> </w:t>
      </w:r>
      <w:r w:rsidR="00D877A5">
        <w:rPr>
          <w:iCs/>
        </w:rPr>
        <w:t xml:space="preserve">wird </w:t>
      </w:r>
      <w:r w:rsidR="00DF6F30">
        <w:rPr>
          <w:iCs/>
        </w:rPr>
        <w:t xml:space="preserve">die Merkmalsregel </w:t>
      </w:r>
      <w:r w:rsidR="0002602F">
        <w:rPr>
          <w:iCs/>
        </w:rPr>
        <w:t>entfernt</w:t>
      </w:r>
      <w:r w:rsidR="008D60AC">
        <w:rPr>
          <w:iCs/>
        </w:rPr>
        <w:t xml:space="preserve">, </w:t>
      </w:r>
      <w:r w:rsidR="005067E2">
        <w:rPr>
          <w:iCs/>
        </w:rPr>
        <w:t>für größere Werte ‚gerettet‘</w:t>
      </w:r>
      <w:r w:rsidR="008D60AC">
        <w:rPr>
          <w:iCs/>
        </w:rPr>
        <w:t xml:space="preserve">. </w:t>
      </w:r>
      <w:r w:rsidR="00DF6F30">
        <w:rPr>
          <w:iCs/>
        </w:rPr>
        <w:t xml:space="preserve">– Dies ist bereits eine recht zweifelhafte Merkmalsregel: Sie </w:t>
      </w:r>
      <w:r w:rsidR="005D5E40">
        <w:rPr>
          <w:iCs/>
        </w:rPr>
        <w:t>engt zwar den Bereich der Anwendungsmöglichkeiten auf die Hälfte (50 statt 100) ein, bringt es aber auch nur auf zwei Anwendungen mehr als die Hälfte der allgeme</w:t>
      </w:r>
      <w:r w:rsidR="005D5E40">
        <w:rPr>
          <w:iCs/>
        </w:rPr>
        <w:t>i</w:t>
      </w:r>
      <w:r w:rsidR="005D5E40">
        <w:rPr>
          <w:iCs/>
        </w:rPr>
        <w:t xml:space="preserve">neren Regel. Diese können gut Zufall sein </w:t>
      </w:r>
      <w:r w:rsidR="00DF6F30">
        <w:rPr>
          <w:iCs/>
        </w:rPr>
        <w:t>und sind in keinem Fall sehr aussag</w:t>
      </w:r>
      <w:r w:rsidR="00DF6F30">
        <w:rPr>
          <w:iCs/>
        </w:rPr>
        <w:t>e</w:t>
      </w:r>
      <w:r w:rsidR="00DF6F30">
        <w:rPr>
          <w:iCs/>
        </w:rPr>
        <w:t>kräftig.</w:t>
      </w:r>
    </w:p>
    <w:p w:rsidR="00DF6F30" w:rsidRDefault="00DF6F30" w:rsidP="00DF6F30">
      <w:pPr>
        <w:pStyle w:val="Text"/>
        <w:rPr>
          <w:iCs/>
        </w:rPr>
      </w:pPr>
      <w:r>
        <w:rPr>
          <w:iCs/>
        </w:rPr>
        <w:t>Die beiden Beispiele bieten uns einen Anhaltspunkt dafür, welche Werte für den Toleranzfaktor empfehlenswert sind. Die weitgehend autonome Merkmal</w:t>
      </w:r>
      <w:r>
        <w:rPr>
          <w:iCs/>
        </w:rPr>
        <w:t>s</w:t>
      </w:r>
      <w:r>
        <w:rPr>
          <w:iCs/>
        </w:rPr>
        <w:t xml:space="preserve">regel in Fall 5 sollte nicht </w:t>
      </w:r>
      <w:r w:rsidR="000524BF">
        <w:t>entfernt</w:t>
      </w:r>
      <w:r w:rsidR="000524BF">
        <w:rPr>
          <w:iCs/>
        </w:rPr>
        <w:t xml:space="preserve"> </w:t>
      </w:r>
      <w:r>
        <w:rPr>
          <w:iCs/>
        </w:rPr>
        <w:t>werden, während die Merkmalsregel aus Be</w:t>
      </w:r>
      <w:r>
        <w:rPr>
          <w:iCs/>
        </w:rPr>
        <w:t>i</w:t>
      </w:r>
      <w:r>
        <w:rPr>
          <w:iCs/>
        </w:rPr>
        <w:t xml:space="preserve">spiel 6 </w:t>
      </w:r>
      <w:r w:rsidR="001554F3">
        <w:rPr>
          <w:iCs/>
        </w:rPr>
        <w:t>überflüssig ist</w:t>
      </w:r>
      <w:r>
        <w:rPr>
          <w:iCs/>
        </w:rPr>
        <w:t xml:space="preserve">. </w:t>
      </w:r>
      <w:r w:rsidR="001554F3">
        <w:rPr>
          <w:iCs/>
        </w:rPr>
        <w:t xml:space="preserve">Somit führen </w:t>
      </w:r>
      <w:r w:rsidR="001554F3">
        <w:rPr>
          <w:i/>
        </w:rPr>
        <w:t>f</w:t>
      </w:r>
      <w:r w:rsidR="001554F3">
        <w:rPr>
          <w:iCs/>
        </w:rPr>
        <w:t xml:space="preserve"> etwa von 1,5 bis 3,5 zu plausiblen Ergebni</w:t>
      </w:r>
      <w:r w:rsidR="001554F3">
        <w:rPr>
          <w:iCs/>
        </w:rPr>
        <w:t>s</w:t>
      </w:r>
      <w:r w:rsidR="001554F3">
        <w:rPr>
          <w:iCs/>
        </w:rPr>
        <w:t xml:space="preserve">sen. </w:t>
      </w:r>
      <w:r>
        <w:rPr>
          <w:iCs/>
        </w:rPr>
        <w:t xml:space="preserve">Als Normalwert für </w:t>
      </w:r>
      <w:r>
        <w:rPr>
          <w:i/>
        </w:rPr>
        <w:t>f</w:t>
      </w:r>
      <w:r>
        <w:rPr>
          <w:iCs/>
        </w:rPr>
        <w:t xml:space="preserve"> wird 2,0 vorgeschlagen.</w:t>
      </w:r>
    </w:p>
    <w:p w:rsidR="00DF6F30" w:rsidRDefault="00DF6F30" w:rsidP="00DF6F30">
      <w:pPr>
        <w:pStyle w:val="Text"/>
        <w:rPr>
          <w:iCs/>
        </w:rPr>
      </w:pPr>
      <w:r>
        <w:rPr>
          <w:iCs/>
        </w:rPr>
        <w:t>Zwei weitere Fälle sollen das Verhalten des Toleranzfaktors illustrieren</w:t>
      </w:r>
      <w:r w:rsidR="004D32BA">
        <w:rPr>
          <w:iCs/>
        </w:rPr>
        <w:t xml:space="preserve">, wobei wir den Bereich </w:t>
      </w:r>
      <w:r>
        <w:rPr>
          <w:iCs/>
        </w:rPr>
        <w:t xml:space="preserve">für plausible </w:t>
      </w:r>
      <w:r>
        <w:rPr>
          <w:i/>
        </w:rPr>
        <w:t>f</w:t>
      </w:r>
      <w:r w:rsidR="004D32BA">
        <w:rPr>
          <w:iCs/>
        </w:rPr>
        <w:t xml:space="preserve"> genauer bestimmen.</w:t>
      </w:r>
    </w:p>
    <w:p w:rsidR="00DF6F30" w:rsidRDefault="00DF6F30" w:rsidP="00DF6F30">
      <w:pPr>
        <w:pStyle w:val="Text"/>
        <w:rPr>
          <w:iCs/>
        </w:rPr>
      </w:pPr>
      <w:r>
        <w:rPr>
          <w:iCs/>
        </w:rPr>
        <w:t xml:space="preserve">Wenn </w:t>
      </w:r>
      <w:r w:rsidR="00083DE5" w:rsidRPr="00083DE5">
        <w:rPr>
          <w:i/>
          <w:iCs/>
        </w:rPr>
        <w:t>w</w:t>
      </w:r>
      <w:r w:rsidR="00083DE5">
        <w:rPr>
          <w:iCs/>
        </w:rPr>
        <w:t>(</w:t>
      </w:r>
      <w:r w:rsidR="00083DE5">
        <w:rPr>
          <w:i/>
        </w:rPr>
        <w:t>B</w:t>
      </w:r>
      <w:r>
        <w:rPr>
          <w:i/>
          <w:vertAlign w:val="subscript"/>
        </w:rPr>
        <w:t>x</w:t>
      </w:r>
      <w:r w:rsidR="00083DE5">
        <w:rPr>
          <w:iCs/>
        </w:rPr>
        <w:t>)</w:t>
      </w:r>
      <w:r>
        <w:rPr>
          <w:iCs/>
        </w:rPr>
        <w:t xml:space="preserve"> viel höher ist als </w:t>
      </w:r>
      <w:r w:rsidR="00083DE5" w:rsidRPr="00083DE5">
        <w:rPr>
          <w:i/>
          <w:iCs/>
        </w:rPr>
        <w:t>w</w:t>
      </w:r>
      <w:r w:rsidR="00083DE5">
        <w:rPr>
          <w:iCs/>
        </w:rPr>
        <w:t>(</w:t>
      </w:r>
      <w:r w:rsidR="00083DE5">
        <w:rPr>
          <w:i/>
        </w:rPr>
        <w:t>B</w:t>
      </w:r>
      <w:r w:rsidR="00083DE5">
        <w:rPr>
          <w:i/>
          <w:vertAlign w:val="subscript"/>
        </w:rPr>
        <w:t>j</w:t>
      </w:r>
      <w:r w:rsidR="00083DE5">
        <w:rPr>
          <w:iCs/>
        </w:rPr>
        <w:t>)</w:t>
      </w:r>
      <w:r>
        <w:rPr>
          <w:iCs/>
        </w:rPr>
        <w:t xml:space="preserve">, ist es relativ leicht, selbst ein </w:t>
      </w:r>
      <w:r w:rsidR="00003E54">
        <w:rPr>
          <w:iCs/>
        </w:rPr>
        <w:t xml:space="preserve">deutlich </w:t>
      </w:r>
      <w:r>
        <w:rPr>
          <w:iCs/>
        </w:rPr>
        <w:t xml:space="preserve">niedrigeres </w:t>
      </w:r>
      <w:r w:rsidR="00003E54">
        <w:rPr>
          <w:i/>
        </w:rPr>
        <w:t>m</w:t>
      </w:r>
      <w:r w:rsidR="00003E54">
        <w:t xml:space="preserve"> </w:t>
      </w:r>
      <w:r>
        <w:rPr>
          <w:iCs/>
        </w:rPr>
        <w:t>auszugleichen:</w:t>
      </w:r>
    </w:p>
    <w:p w:rsidR="00DF6F30" w:rsidRDefault="00DF6F30" w:rsidP="009938D4">
      <w:pPr>
        <w:pStyle w:val="FallxDisambiguierung"/>
      </w:pPr>
      <w:r>
        <w:rPr>
          <w:iCs/>
        </w:rPr>
        <w:t>Fall 7:</w:t>
      </w:r>
      <w:r>
        <w:tab/>
      </w:r>
      <w:r>
        <w:rPr>
          <w:i/>
        </w:rPr>
        <w:t>m</w:t>
      </w:r>
      <w:r>
        <w:rPr>
          <w:i/>
          <w:vertAlign w:val="subscript"/>
        </w:rPr>
        <w:t>x</w:t>
      </w:r>
      <w:r>
        <w:t xml:space="preserve"> = </w:t>
      </w:r>
      <w:r w:rsidR="00557618">
        <w:t>7</w:t>
      </w:r>
      <w:r>
        <w:t xml:space="preserve">, </w:t>
      </w:r>
      <w:r>
        <w:rPr>
          <w:i/>
        </w:rPr>
        <w:t>n</w:t>
      </w:r>
      <w:r>
        <w:rPr>
          <w:i/>
          <w:vertAlign w:val="subscript"/>
        </w:rPr>
        <w:t>x</w:t>
      </w:r>
      <w:r w:rsidR="00DF353B">
        <w:t xml:space="preserve"> = 1</w:t>
      </w:r>
      <w:r>
        <w:t xml:space="preserve">0, </w:t>
      </w:r>
      <w:r>
        <w:rPr>
          <w:i/>
        </w:rPr>
        <w:t>w</w:t>
      </w:r>
      <w:r>
        <w:t>(</w:t>
      </w:r>
      <w:r>
        <w:rPr>
          <w:i/>
        </w:rPr>
        <w:t>B</w:t>
      </w:r>
      <w:r>
        <w:rPr>
          <w:i/>
          <w:vertAlign w:val="subscript"/>
        </w:rPr>
        <w:t>x</w:t>
      </w:r>
      <w:r>
        <w:t>) = 0,</w:t>
      </w:r>
      <w:r w:rsidR="00557618">
        <w:t>7</w:t>
      </w:r>
    </w:p>
    <w:p w:rsidR="00DF6F30" w:rsidRPr="00B82A81" w:rsidRDefault="005D7996" w:rsidP="0010735C">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10</m:t>
            </m:r>
          </m:den>
        </m:f>
      </m:oMath>
      <w:r w:rsidR="00DF6F30" w:rsidRPr="00803CA0">
        <w:t xml:space="preserve"> </w:t>
      </w:r>
      <w:r w:rsidR="00C604FC">
        <w:rPr>
          <w:rFonts w:cs="Times New Roman"/>
        </w:rPr>
        <w:t>≥</w:t>
      </w:r>
      <w:r w:rsidR="00DF6F30"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0,7</m:t>
                </m:r>
              </m:num>
              <m:den>
                <m:r>
                  <m:rPr>
                    <m:nor/>
                  </m:rPr>
                  <w:rPr>
                    <w:rFonts w:cs="Times New Roman"/>
                  </w:rPr>
                  <m:t>0,2</m:t>
                </m:r>
              </m:den>
            </m:f>
            <m:r>
              <m:rPr>
                <m:nor/>
              </m:rPr>
              <w:rPr>
                <w:rFonts w:cs="Times New Roman"/>
              </w:rPr>
              <m:t>)</m:t>
            </m:r>
          </m:e>
          <m:sup>
            <m:r>
              <m:rPr>
                <m:nor/>
              </m:rPr>
              <w:rPr>
                <w:rFonts w:cs="Times New Roman"/>
                <w:i/>
              </w:rPr>
              <m:t>f</m:t>
            </m:r>
          </m:sup>
        </m:sSup>
      </m:oMath>
      <w:r w:rsidR="009C2AB1">
        <w:tab/>
      </w:r>
      <w:r w:rsidR="00635DE8" w:rsidRPr="00635DE8">
        <w:rPr>
          <w:rFonts w:ascii="Cambria Math" w:eastAsia="Arial Unicode MS" w:hAnsi="Cambria Math" w:cs="Arial Unicode MS"/>
        </w:rPr>
        <w:t>⇒</w:t>
      </w:r>
      <w:r w:rsidR="00DF353B">
        <w:tab/>
      </w:r>
      <w:r w:rsidR="00557618">
        <w:t>10</w:t>
      </w:r>
      <w:r w:rsidR="00DF6F30">
        <w:t xml:space="preserve"> </w:t>
      </w:r>
      <w:r w:rsidR="00C604FC">
        <w:rPr>
          <w:rFonts w:cs="Times New Roman"/>
        </w:rPr>
        <w:t>≥</w:t>
      </w:r>
      <w:r w:rsidR="00DF6F30">
        <w:rPr>
          <w:position w:val="-6"/>
        </w:rPr>
        <w:t xml:space="preserve"> </w:t>
      </w:r>
      <m:oMath>
        <m:sSup>
          <m:sSupPr>
            <m:ctrlPr>
              <w:rPr>
                <w:rFonts w:ascii="Cambria Math" w:hAnsi="Cambria Math" w:cs="Times New Roman"/>
                <w:i/>
              </w:rPr>
            </m:ctrlPr>
          </m:sSupPr>
          <m:e>
            <m:r>
              <m:rPr>
                <m:nor/>
              </m:rPr>
              <w:rPr>
                <w:rFonts w:cs="Times New Roman"/>
              </w:rPr>
              <m:t>3,5</m:t>
            </m:r>
          </m:e>
          <m:sup>
            <m:r>
              <m:rPr>
                <m:nor/>
              </m:rPr>
              <w:rPr>
                <w:rFonts w:ascii="Cambria Math" w:cs="Times New Roman"/>
                <w:i/>
              </w:rPr>
              <m:t xml:space="preserve"> </m:t>
            </m:r>
            <m:r>
              <m:rPr>
                <m:nor/>
              </m:rPr>
              <w:rPr>
                <w:rFonts w:cs="Times New Roman"/>
                <w:i/>
              </w:rPr>
              <m:t>f</m:t>
            </m:r>
          </m:sup>
        </m:sSup>
      </m:oMath>
      <w:r w:rsidR="00E73FF0">
        <w:tab/>
      </w:r>
      <w:r w:rsidR="00DF6F30">
        <w:t xml:space="preserve">für </w:t>
      </w:r>
      <w:r w:rsidR="00B772E0">
        <w:t>1,838</w:t>
      </w:r>
      <w:r w:rsidR="00DF6F30">
        <w:t xml:space="preserve"> </w:t>
      </w:r>
      <w:r w:rsidR="00094B2A">
        <w:rPr>
          <w:rFonts w:cs="Times New Roman"/>
        </w:rPr>
        <w:t>≥</w:t>
      </w:r>
      <w:r w:rsidR="00DF6F30">
        <w:t xml:space="preserve"> </w:t>
      </w:r>
      <w:r w:rsidR="00DF6F30" w:rsidRPr="00656F67">
        <w:rPr>
          <w:i/>
        </w:rPr>
        <w:t>f</w:t>
      </w:r>
      <w:r w:rsidR="00DF6F30">
        <w:t xml:space="preserve"> </w:t>
      </w:r>
      <w:r w:rsidR="002D397D">
        <w:rPr>
          <w:rFonts w:cs="Times New Roman"/>
        </w:rPr>
        <w:t>&gt;</w:t>
      </w:r>
      <w:r w:rsidR="00DF6F30">
        <w:rPr>
          <w:rFonts w:cs="Times New Roman"/>
        </w:rPr>
        <w:t xml:space="preserve"> 1 </w:t>
      </w:r>
      <w:r w:rsidR="006E4A14">
        <w:t>erf.</w:t>
      </w:r>
      <w:r w:rsidR="00DF6F30">
        <w:t xml:space="preserve">, für </w:t>
      </w:r>
      <w:r w:rsidR="00DF6F30" w:rsidRPr="003E0660">
        <w:rPr>
          <w:i/>
        </w:rPr>
        <w:t>f</w:t>
      </w:r>
      <w:r w:rsidR="00DF6F30">
        <w:t xml:space="preserve"> </w:t>
      </w:r>
      <w:r w:rsidR="00094B2A">
        <w:rPr>
          <w:rFonts w:cs="Times New Roman"/>
        </w:rPr>
        <w:t>&gt;</w:t>
      </w:r>
      <w:r w:rsidR="00DF6F30">
        <w:t xml:space="preserve"> </w:t>
      </w:r>
      <w:r w:rsidR="00B772E0">
        <w:t>1,838 nicht erf.</w:t>
      </w:r>
    </w:p>
    <w:p w:rsidR="00003E54" w:rsidRDefault="00A112CC" w:rsidP="009938D4">
      <w:pPr>
        <w:pStyle w:val="Text"/>
        <w:ind w:firstLine="0"/>
        <w:rPr>
          <w:iCs/>
        </w:rPr>
      </w:pPr>
      <w:r>
        <w:rPr>
          <w:iCs/>
        </w:rPr>
        <w:t xml:space="preserve">Für </w:t>
      </w:r>
      <w:r w:rsidR="00DF6F30">
        <w:rPr>
          <w:i/>
        </w:rPr>
        <w:t>f</w:t>
      </w:r>
      <w:r w:rsidR="009C2AB1">
        <w:rPr>
          <w:iCs/>
        </w:rPr>
        <w:t xml:space="preserve"> </w:t>
      </w:r>
      <w:r w:rsidR="00094B2A">
        <w:rPr>
          <w:iCs/>
        </w:rPr>
        <w:t xml:space="preserve">bis einschließlich </w:t>
      </w:r>
      <w:r w:rsidR="00B772E0">
        <w:rPr>
          <w:iCs/>
        </w:rPr>
        <w:t>1,838</w:t>
      </w:r>
      <w:r w:rsidR="00DF6F30">
        <w:rPr>
          <w:iCs/>
        </w:rPr>
        <w:t xml:space="preserve"> </w:t>
      </w:r>
      <w:r w:rsidR="00083DE5">
        <w:rPr>
          <w:iCs/>
        </w:rPr>
        <w:t xml:space="preserve">wird </w:t>
      </w:r>
      <w:r w:rsidR="00DF6F30">
        <w:rPr>
          <w:iCs/>
        </w:rPr>
        <w:t>die Merkmalsregel</w:t>
      </w:r>
      <w:r w:rsidR="008D60AC">
        <w:rPr>
          <w:iCs/>
        </w:rPr>
        <w:t xml:space="preserve"> </w:t>
      </w:r>
      <w:r w:rsidR="0002602F">
        <w:rPr>
          <w:iCs/>
        </w:rPr>
        <w:t>entfernt</w:t>
      </w:r>
      <w:r w:rsidR="008D60AC">
        <w:rPr>
          <w:iCs/>
        </w:rPr>
        <w:t xml:space="preserve">, </w:t>
      </w:r>
      <w:r w:rsidR="005067E2">
        <w:rPr>
          <w:iCs/>
        </w:rPr>
        <w:t>für größere Werte ‚gerettet‘</w:t>
      </w:r>
      <w:r w:rsidR="008D60AC">
        <w:rPr>
          <w:iCs/>
        </w:rPr>
        <w:t xml:space="preserve">. </w:t>
      </w:r>
      <w:r w:rsidR="00DF6F30">
        <w:rPr>
          <w:iCs/>
        </w:rPr>
        <w:t xml:space="preserve">– </w:t>
      </w:r>
      <w:r w:rsidR="00557618">
        <w:rPr>
          <w:iCs/>
        </w:rPr>
        <w:t xml:space="preserve">Diese Merkmalsregel </w:t>
      </w:r>
      <w:r w:rsidR="00B8321B">
        <w:rPr>
          <w:iCs/>
        </w:rPr>
        <w:t xml:space="preserve">erzielt nur etwa ein Drittel </w:t>
      </w:r>
      <w:r w:rsidR="00557618">
        <w:rPr>
          <w:iCs/>
        </w:rPr>
        <w:t xml:space="preserve">der Anwendungen </w:t>
      </w:r>
      <w:r w:rsidR="00B8321B">
        <w:rPr>
          <w:iCs/>
        </w:rPr>
        <w:t>der allgemeineren</w:t>
      </w:r>
      <w:r w:rsidR="00003E54">
        <w:rPr>
          <w:iCs/>
        </w:rPr>
        <w:t>, kann also nicht an deren Stelle treten</w:t>
      </w:r>
      <w:r w:rsidR="00B8321B">
        <w:rPr>
          <w:iCs/>
        </w:rPr>
        <w:t xml:space="preserve">. </w:t>
      </w:r>
      <w:r w:rsidR="00003E54">
        <w:rPr>
          <w:iCs/>
        </w:rPr>
        <w:t>Sie engt jedoch die Anwendungsmöglichkeiten auf ein Zehntel ein und bringt es auf diesem Terrain auf die 3,5fache Trefferquote. Damit ist es plausibel, dass sie einen eigenständ</w:t>
      </w:r>
      <w:r w:rsidR="00003E54">
        <w:rPr>
          <w:iCs/>
        </w:rPr>
        <w:t>i</w:t>
      </w:r>
      <w:r w:rsidR="00003E54">
        <w:rPr>
          <w:iCs/>
        </w:rPr>
        <w:t xml:space="preserve">gen Sachverhalt beschreibt; beim empfohlenen Wert </w:t>
      </w:r>
      <w:r w:rsidR="00003E54" w:rsidRPr="00003E54">
        <w:rPr>
          <w:i/>
          <w:iCs/>
        </w:rPr>
        <w:t>f</w:t>
      </w:r>
      <w:r w:rsidR="00003E54">
        <w:rPr>
          <w:iCs/>
        </w:rPr>
        <w:t xml:space="preserve"> = 2 wird sie nicht </w:t>
      </w:r>
      <w:r w:rsidR="0002602F">
        <w:rPr>
          <w:iCs/>
        </w:rPr>
        <w:t>en</w:t>
      </w:r>
      <w:r w:rsidR="0002602F">
        <w:rPr>
          <w:iCs/>
        </w:rPr>
        <w:t>t</w:t>
      </w:r>
      <w:r w:rsidR="0002602F">
        <w:rPr>
          <w:iCs/>
        </w:rPr>
        <w:t>fernt</w:t>
      </w:r>
      <w:r w:rsidR="00003E54">
        <w:rPr>
          <w:iCs/>
        </w:rPr>
        <w:t>.</w:t>
      </w:r>
    </w:p>
    <w:p w:rsidR="00DF6F30" w:rsidRDefault="00DF6F30" w:rsidP="00DF6F30">
      <w:pPr>
        <w:pStyle w:val="Text"/>
        <w:rPr>
          <w:iCs/>
        </w:rPr>
      </w:pPr>
      <w:r>
        <w:rPr>
          <w:iCs/>
        </w:rPr>
        <w:t xml:space="preserve">Wenn </w:t>
      </w:r>
      <w:r w:rsidR="00083DE5" w:rsidRPr="00083DE5">
        <w:rPr>
          <w:i/>
          <w:iCs/>
        </w:rPr>
        <w:t>w</w:t>
      </w:r>
      <w:r w:rsidR="00083DE5">
        <w:rPr>
          <w:iCs/>
        </w:rPr>
        <w:t>(</w:t>
      </w:r>
      <w:r w:rsidR="00083DE5">
        <w:rPr>
          <w:i/>
        </w:rPr>
        <w:t>B</w:t>
      </w:r>
      <w:r w:rsidR="00083DE5">
        <w:rPr>
          <w:i/>
          <w:vertAlign w:val="subscript"/>
        </w:rPr>
        <w:t>x</w:t>
      </w:r>
      <w:r w:rsidR="00083DE5">
        <w:rPr>
          <w:iCs/>
        </w:rPr>
        <w:t xml:space="preserve">) </w:t>
      </w:r>
      <w:r>
        <w:rPr>
          <w:iCs/>
        </w:rPr>
        <w:t xml:space="preserve">nur geringfügig höher ist als </w:t>
      </w:r>
      <w:r w:rsidR="00083DE5" w:rsidRPr="00083DE5">
        <w:rPr>
          <w:i/>
          <w:iCs/>
        </w:rPr>
        <w:t>w</w:t>
      </w:r>
      <w:r w:rsidR="00083DE5">
        <w:rPr>
          <w:iCs/>
        </w:rPr>
        <w:t>(</w:t>
      </w:r>
      <w:r w:rsidR="00083DE5">
        <w:rPr>
          <w:i/>
        </w:rPr>
        <w:t>B</w:t>
      </w:r>
      <w:r w:rsidR="00083DE5">
        <w:rPr>
          <w:i/>
          <w:vertAlign w:val="subscript"/>
        </w:rPr>
        <w:t>j</w:t>
      </w:r>
      <w:r w:rsidR="00083DE5">
        <w:rPr>
          <w:iCs/>
        </w:rPr>
        <w:t>)</w:t>
      </w:r>
      <w:r>
        <w:rPr>
          <w:iCs/>
        </w:rPr>
        <w:t>, ist es schwierig, ein niedr</w:t>
      </w:r>
      <w:r>
        <w:rPr>
          <w:iCs/>
        </w:rPr>
        <w:t>i</w:t>
      </w:r>
      <w:r>
        <w:rPr>
          <w:iCs/>
        </w:rPr>
        <w:t xml:space="preserve">geres </w:t>
      </w:r>
      <w:r w:rsidR="00003E54">
        <w:rPr>
          <w:i/>
        </w:rPr>
        <w:t>m</w:t>
      </w:r>
      <w:r>
        <w:t xml:space="preserve"> </w:t>
      </w:r>
      <w:r>
        <w:rPr>
          <w:iCs/>
        </w:rPr>
        <w:t>auszugleichen:</w:t>
      </w:r>
    </w:p>
    <w:p w:rsidR="00DF6F30" w:rsidRDefault="00DF6F30" w:rsidP="00DF6F30">
      <w:pPr>
        <w:pStyle w:val="Text"/>
        <w:rPr>
          <w:iCs/>
        </w:rPr>
      </w:pPr>
    </w:p>
    <w:p w:rsidR="00DF6F30" w:rsidRDefault="00DF6F30" w:rsidP="009938D4">
      <w:pPr>
        <w:pStyle w:val="FallxDisambiguierung"/>
      </w:pPr>
      <w:r>
        <w:rPr>
          <w:iCs/>
        </w:rPr>
        <w:t>Fall 8:</w:t>
      </w:r>
      <w:r>
        <w:tab/>
      </w:r>
      <w:r>
        <w:rPr>
          <w:i/>
        </w:rPr>
        <w:t>m</w:t>
      </w:r>
      <w:r>
        <w:rPr>
          <w:i/>
          <w:vertAlign w:val="subscript"/>
        </w:rPr>
        <w:t>x</w:t>
      </w:r>
      <w:r>
        <w:t xml:space="preserve"> = </w:t>
      </w:r>
      <w:r w:rsidR="00003E54">
        <w:t>1</w:t>
      </w:r>
      <w:r w:rsidR="00146E76">
        <w:t>3</w:t>
      </w:r>
      <w:r>
        <w:t xml:space="preserve">, </w:t>
      </w:r>
      <w:r>
        <w:rPr>
          <w:i/>
        </w:rPr>
        <w:t>n</w:t>
      </w:r>
      <w:r>
        <w:rPr>
          <w:i/>
          <w:vertAlign w:val="subscript"/>
        </w:rPr>
        <w:t>x</w:t>
      </w:r>
      <w:r>
        <w:t xml:space="preserve"> = </w:t>
      </w:r>
      <w:r w:rsidR="00146E76">
        <w:t>5</w:t>
      </w:r>
      <w:r>
        <w:t xml:space="preserve">0, </w:t>
      </w:r>
      <w:r>
        <w:rPr>
          <w:i/>
        </w:rPr>
        <w:t>w</w:t>
      </w:r>
      <w:r>
        <w:t>(</w:t>
      </w:r>
      <w:r>
        <w:rPr>
          <w:i/>
        </w:rPr>
        <w:t>B</w:t>
      </w:r>
      <w:r>
        <w:rPr>
          <w:i/>
          <w:vertAlign w:val="subscript"/>
        </w:rPr>
        <w:t>x</w:t>
      </w:r>
      <w:r>
        <w:t>) = 0,</w:t>
      </w:r>
      <w:r w:rsidR="00146E76">
        <w:t>26</w:t>
      </w:r>
    </w:p>
    <w:p w:rsidR="00DF6F30" w:rsidRPr="00B82A81" w:rsidRDefault="005D7996" w:rsidP="0010735C">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DF6F30" w:rsidRPr="00803CA0">
        <w:t xml:space="preserve"> </w:t>
      </w:r>
      <w:r w:rsidR="00C604FC">
        <w:rPr>
          <w:rFonts w:cs="Times New Roman"/>
        </w:rPr>
        <w:t>≥</w:t>
      </w:r>
      <w:r w:rsidR="00DF6F30"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0,26</m:t>
                </m:r>
              </m:num>
              <m:den>
                <m:r>
                  <m:rPr>
                    <m:nor/>
                  </m:rPr>
                  <w:rPr>
                    <w:rFonts w:cs="Times New Roman"/>
                  </w:rPr>
                  <m:t>0,2</m:t>
                </m:r>
              </m:den>
            </m:f>
            <m:r>
              <m:rPr>
                <m:nor/>
              </m:rPr>
              <w:rPr>
                <w:rFonts w:cs="Times New Roman"/>
              </w:rPr>
              <m:t>)</m:t>
            </m:r>
          </m:e>
          <m:sup>
            <m:r>
              <m:rPr>
                <m:nor/>
              </m:rPr>
              <w:rPr>
                <w:rFonts w:cs="Times New Roman"/>
                <w:i/>
              </w:rPr>
              <m:t>f</m:t>
            </m:r>
          </m:sup>
        </m:sSup>
      </m:oMath>
      <w:r w:rsidR="00DF6F30" w:rsidRPr="00B82A81">
        <w:tab/>
      </w:r>
      <w:r w:rsidR="00635DE8" w:rsidRPr="00635DE8">
        <w:rPr>
          <w:rFonts w:ascii="Cambria Math" w:eastAsia="Arial Unicode MS" w:hAnsi="Cambria Math" w:cs="Arial Unicode MS"/>
        </w:rPr>
        <w:t>⇒</w:t>
      </w:r>
      <w:r w:rsidR="00DF6F30">
        <w:tab/>
        <w:t xml:space="preserve">2 </w:t>
      </w:r>
      <w:r w:rsidR="00C604FC">
        <w:rPr>
          <w:rFonts w:cs="Times New Roman"/>
        </w:rPr>
        <w:t>≥</w:t>
      </w:r>
      <w:r w:rsidR="00DF6F30">
        <w:rPr>
          <w:position w:val="-6"/>
        </w:rPr>
        <w:t xml:space="preserve"> </w:t>
      </w:r>
      <m:oMath>
        <m:sSup>
          <m:sSupPr>
            <m:ctrlPr>
              <w:rPr>
                <w:rFonts w:ascii="Cambria Math" w:hAnsi="Cambria Math" w:cs="Times New Roman"/>
                <w:i/>
              </w:rPr>
            </m:ctrlPr>
          </m:sSupPr>
          <m:e>
            <m:r>
              <m:rPr>
                <m:nor/>
              </m:rPr>
              <w:rPr>
                <w:rFonts w:cs="Times New Roman"/>
              </w:rPr>
              <m:t>1,3</m:t>
            </m:r>
          </m:e>
          <m:sup>
            <m:r>
              <m:rPr>
                <m:nor/>
              </m:rPr>
              <w:rPr>
                <w:rFonts w:ascii="Cambria Math" w:cs="Times New Roman"/>
                <w:i/>
              </w:rPr>
              <m:t xml:space="preserve"> </m:t>
            </m:r>
            <m:r>
              <m:rPr>
                <m:nor/>
              </m:rPr>
              <w:rPr>
                <w:rFonts w:cs="Times New Roman"/>
                <w:i/>
              </w:rPr>
              <m:t>f</m:t>
            </m:r>
          </m:sup>
        </m:sSup>
      </m:oMath>
      <w:r w:rsidR="00E73FF0">
        <w:tab/>
      </w:r>
      <w:r w:rsidR="00DF6F30">
        <w:t xml:space="preserve">für </w:t>
      </w:r>
      <w:r w:rsidR="00B772E0">
        <w:t>2,642</w:t>
      </w:r>
      <w:r w:rsidR="00DF6F30">
        <w:t xml:space="preserve"> </w:t>
      </w:r>
      <w:r w:rsidR="00094B2A">
        <w:rPr>
          <w:rFonts w:cs="Times New Roman"/>
        </w:rPr>
        <w:t>≥</w:t>
      </w:r>
      <w:r w:rsidR="00DF6F30">
        <w:t xml:space="preserve"> </w:t>
      </w:r>
      <w:r w:rsidR="00DF6F30" w:rsidRPr="00656F67">
        <w:rPr>
          <w:i/>
        </w:rPr>
        <w:t>f</w:t>
      </w:r>
      <w:r w:rsidR="00DF6F30">
        <w:t xml:space="preserve"> </w:t>
      </w:r>
      <w:r w:rsidR="002D397D">
        <w:rPr>
          <w:rFonts w:cs="Times New Roman"/>
        </w:rPr>
        <w:t>&gt;</w:t>
      </w:r>
      <w:r w:rsidR="00DF6F30">
        <w:rPr>
          <w:rFonts w:cs="Times New Roman"/>
        </w:rPr>
        <w:t xml:space="preserve"> 1 </w:t>
      </w:r>
      <w:r w:rsidR="006E4A14">
        <w:t>erf.</w:t>
      </w:r>
      <w:r w:rsidR="00DF6F30">
        <w:t xml:space="preserve">, für </w:t>
      </w:r>
      <w:r w:rsidR="00DF6F30" w:rsidRPr="003E0660">
        <w:rPr>
          <w:i/>
        </w:rPr>
        <w:t>f</w:t>
      </w:r>
      <w:r w:rsidR="00DF6F30">
        <w:t xml:space="preserve"> </w:t>
      </w:r>
      <w:r w:rsidR="00094B2A">
        <w:rPr>
          <w:rFonts w:cs="Times New Roman"/>
        </w:rPr>
        <w:t>&gt;</w:t>
      </w:r>
      <w:r w:rsidR="00DF6F30">
        <w:t xml:space="preserve"> </w:t>
      </w:r>
      <w:r w:rsidR="00B772E0">
        <w:t>2,642 nicht erf.</w:t>
      </w:r>
    </w:p>
    <w:p w:rsidR="00DF6F30" w:rsidRDefault="00A112CC" w:rsidP="009938D4">
      <w:pPr>
        <w:pStyle w:val="Text"/>
        <w:ind w:firstLine="0"/>
      </w:pPr>
      <w:r>
        <w:rPr>
          <w:iCs/>
        </w:rPr>
        <w:lastRenderedPageBreak/>
        <w:t xml:space="preserve">Für </w:t>
      </w:r>
      <w:r w:rsidR="00146E76">
        <w:rPr>
          <w:i/>
        </w:rPr>
        <w:t>f</w:t>
      </w:r>
      <w:r w:rsidR="00146E76">
        <w:rPr>
          <w:iCs/>
        </w:rPr>
        <w:t xml:space="preserve"> </w:t>
      </w:r>
      <w:r w:rsidR="00094B2A">
        <w:rPr>
          <w:iCs/>
        </w:rPr>
        <w:t xml:space="preserve">bis einschließlich </w:t>
      </w:r>
      <w:r w:rsidR="00B772E0">
        <w:rPr>
          <w:iCs/>
        </w:rPr>
        <w:t>2,642</w:t>
      </w:r>
      <w:r w:rsidR="00146E76">
        <w:rPr>
          <w:iCs/>
        </w:rPr>
        <w:t xml:space="preserve"> wird die Merkmalsregel</w:t>
      </w:r>
      <w:r>
        <w:rPr>
          <w:iCs/>
        </w:rPr>
        <w:t xml:space="preserve"> </w:t>
      </w:r>
      <w:r w:rsidR="0002602F">
        <w:rPr>
          <w:iCs/>
        </w:rPr>
        <w:t>entfernt</w:t>
      </w:r>
      <w:r w:rsidR="008D60AC">
        <w:rPr>
          <w:iCs/>
        </w:rPr>
        <w:t xml:space="preserve">, </w:t>
      </w:r>
      <w:r w:rsidR="005067E2">
        <w:rPr>
          <w:iCs/>
        </w:rPr>
        <w:t>für größere Werte ‚gerettet‘</w:t>
      </w:r>
      <w:r w:rsidR="008D60AC">
        <w:rPr>
          <w:iCs/>
        </w:rPr>
        <w:t xml:space="preserve">. </w:t>
      </w:r>
      <w:r w:rsidR="00146E76">
        <w:rPr>
          <w:iCs/>
        </w:rPr>
        <w:t>– Die Merkmalsregel hat keine deutlich höhere Anwendungswah</w:t>
      </w:r>
      <w:r w:rsidR="00146E76">
        <w:rPr>
          <w:iCs/>
        </w:rPr>
        <w:t>r</w:t>
      </w:r>
      <w:r w:rsidR="00146E76">
        <w:rPr>
          <w:iCs/>
        </w:rPr>
        <w:t xml:space="preserve">scheinlichkeit (‚Trefferquote‘) als die allgemeinere. Obwohl sie etwa 2/3 der Anwendungen der allgemeineren abdeckt, macht es daher wenig Sinn, sie zu behalten; sie wird erst bei einem deutlich über dem empfohlenen Wert liegenden </w:t>
      </w:r>
      <w:r w:rsidR="00146E76" w:rsidRPr="00146E76">
        <w:rPr>
          <w:i/>
          <w:iCs/>
        </w:rPr>
        <w:t>f</w:t>
      </w:r>
      <w:r w:rsidR="00146E76">
        <w:rPr>
          <w:iCs/>
        </w:rPr>
        <w:t xml:space="preserve"> gerettet.</w:t>
      </w:r>
    </w:p>
    <w:p w:rsidR="000F2DB0" w:rsidRDefault="000F2DB0" w:rsidP="00E23755">
      <w:pPr>
        <w:pStyle w:val="Zwischenberschrift"/>
      </w:pPr>
      <w:r>
        <w:t>Beispiele</w:t>
      </w:r>
    </w:p>
    <w:p w:rsidR="00B71051" w:rsidRDefault="000F2DB0" w:rsidP="00E23755">
      <w:pPr>
        <w:pStyle w:val="Text"/>
        <w:ind w:firstLine="0"/>
        <w:rPr>
          <w:iCs/>
        </w:rPr>
      </w:pPr>
      <w:r>
        <w:rPr>
          <w:iCs/>
        </w:rPr>
        <w:t xml:space="preserve">Nehmen wir an, die </w:t>
      </w:r>
      <w:r w:rsidR="006042D4">
        <w:rPr>
          <w:iCs/>
        </w:rPr>
        <w:t xml:space="preserve">Hälfte der </w:t>
      </w:r>
      <w:r>
        <w:rPr>
          <w:iCs/>
        </w:rPr>
        <w:t>Fenster einer Fassade</w:t>
      </w:r>
      <w:r w:rsidR="005D7996">
        <w:rPr>
          <w:iCs/>
        </w:rPr>
        <w:fldChar w:fldCharType="begin"/>
      </w:r>
      <w:r w:rsidR="005D5684">
        <w:instrText xml:space="preserve"> XE "</w:instrText>
      </w:r>
      <w:r w:rsidR="005D5684" w:rsidRPr="004C7E7F">
        <w:instrText>Fassade</w:instrText>
      </w:r>
      <w:r w:rsidR="005D5684">
        <w:instrText xml:space="preserve">" </w:instrText>
      </w:r>
      <w:r w:rsidR="005D7996">
        <w:rPr>
          <w:iCs/>
        </w:rPr>
        <w:fldChar w:fldCharType="end"/>
      </w:r>
      <w:r>
        <w:rPr>
          <w:iCs/>
        </w:rPr>
        <w:t xml:space="preserve"> </w:t>
      </w:r>
      <w:r w:rsidR="00154BEA">
        <w:rPr>
          <w:iCs/>
        </w:rPr>
        <w:t xml:space="preserve">ist </w:t>
      </w:r>
      <w:r>
        <w:rPr>
          <w:iCs/>
        </w:rPr>
        <w:t xml:space="preserve">quadratisch. Eine andere Merkmalsregel entdeckt, dass </w:t>
      </w:r>
      <w:r w:rsidR="006042D4">
        <w:rPr>
          <w:iCs/>
        </w:rPr>
        <w:t xml:space="preserve">die Hälfte der </w:t>
      </w:r>
      <w:r>
        <w:rPr>
          <w:iCs/>
        </w:rPr>
        <w:t>Fenster im</w:t>
      </w:r>
      <w:r w:rsidR="00B71051">
        <w:rPr>
          <w:iCs/>
        </w:rPr>
        <w:t xml:space="preserve"> ersten Stock quadratisch </w:t>
      </w:r>
      <w:r w:rsidR="00154BEA">
        <w:rPr>
          <w:iCs/>
        </w:rPr>
        <w:t>ist</w:t>
      </w:r>
      <w:r w:rsidR="00B71051">
        <w:rPr>
          <w:iCs/>
        </w:rPr>
        <w:t>.</w:t>
      </w:r>
    </w:p>
    <w:p w:rsidR="00B71051" w:rsidRPr="00E044F6" w:rsidRDefault="00B71051" w:rsidP="0010735C">
      <w:pPr>
        <w:pStyle w:val="Interpretation"/>
      </w:pPr>
      <w:r w:rsidRPr="00E044F6">
        <w:rPr>
          <w:i/>
        </w:rPr>
        <w:t>U</w:t>
      </w:r>
      <w:r w:rsidRPr="00E044F6">
        <w:t>(</w:t>
      </w:r>
      <w:r w:rsidRPr="00E044F6">
        <w:rPr>
          <w:i/>
        </w:rPr>
        <w:t>B</w:t>
      </w:r>
      <w:r w:rsidRPr="00E044F6">
        <w:rPr>
          <w:i/>
          <w:vertAlign w:val="subscript"/>
        </w:rPr>
        <w:t>j</w:t>
      </w:r>
      <w:r w:rsidRPr="00E044F6">
        <w:t>): ‚</w:t>
      </w:r>
      <w:r>
        <w:t>Fenster</w:t>
      </w:r>
      <w:r w:rsidRPr="00E044F6">
        <w:t xml:space="preserve">‘, </w:t>
      </w:r>
      <w:r w:rsidRPr="00E044F6">
        <w:rPr>
          <w:i/>
        </w:rPr>
        <w:t>V</w:t>
      </w:r>
      <w:r w:rsidRPr="00E044F6">
        <w:t>(</w:t>
      </w:r>
      <w:r w:rsidRPr="00E044F6">
        <w:rPr>
          <w:i/>
        </w:rPr>
        <w:t>B</w:t>
      </w:r>
      <w:r w:rsidRPr="00E044F6">
        <w:rPr>
          <w:i/>
          <w:vertAlign w:val="subscript"/>
        </w:rPr>
        <w:t>j</w:t>
      </w:r>
      <w:r w:rsidRPr="00E044F6">
        <w:t>): ‚</w:t>
      </w:r>
      <w:r>
        <w:t>quadratisch</w:t>
      </w:r>
      <w:r w:rsidRPr="00E044F6">
        <w:t>‘</w:t>
      </w:r>
    </w:p>
    <w:p w:rsidR="00B71051" w:rsidRDefault="00B71051" w:rsidP="0010735C">
      <w:pPr>
        <w:pStyle w:val="Interpretation"/>
      </w:pPr>
      <w:r w:rsidRPr="00E044F6">
        <w:rPr>
          <w:i/>
        </w:rPr>
        <w:t>U</w:t>
      </w:r>
      <w:r w:rsidRPr="00E044F6">
        <w:t>(</w:t>
      </w:r>
      <w:r w:rsidRPr="00E044F6">
        <w:rPr>
          <w:i/>
        </w:rPr>
        <w:t>B</w:t>
      </w:r>
      <w:r>
        <w:rPr>
          <w:i/>
          <w:vertAlign w:val="subscript"/>
        </w:rPr>
        <w:t>x</w:t>
      </w:r>
      <w:r w:rsidRPr="00E044F6">
        <w:t>): ‚</w:t>
      </w:r>
      <w:r>
        <w:t>Fenster (im ersten Stock)</w:t>
      </w:r>
      <w:r w:rsidRPr="00E044F6">
        <w:t xml:space="preserve">‘, </w:t>
      </w:r>
      <w:r w:rsidRPr="00E044F6">
        <w:rPr>
          <w:i/>
        </w:rPr>
        <w:t>V</w:t>
      </w:r>
      <w:r w:rsidRPr="00E044F6">
        <w:t>(</w:t>
      </w:r>
      <w:r w:rsidRPr="00E044F6">
        <w:rPr>
          <w:i/>
        </w:rPr>
        <w:t>B</w:t>
      </w:r>
      <w:r>
        <w:rPr>
          <w:i/>
          <w:vertAlign w:val="subscript"/>
        </w:rPr>
        <w:t>x</w:t>
      </w:r>
      <w:r w:rsidRPr="00E044F6">
        <w:t>): ‚</w:t>
      </w:r>
      <w:r>
        <w:t>quadratisch</w:t>
      </w:r>
      <w:r w:rsidRPr="00E044F6">
        <w:t>‘</w:t>
      </w:r>
    </w:p>
    <w:p w:rsidR="000F2DB0" w:rsidRDefault="000F2DB0" w:rsidP="0010735C">
      <w:pPr>
        <w:pStyle w:val="Text"/>
        <w:ind w:firstLine="0"/>
        <w:rPr>
          <w:iCs/>
        </w:rPr>
      </w:pPr>
      <w:r>
        <w:rPr>
          <w:iCs/>
        </w:rPr>
        <w:t xml:space="preserve">Beide haben das gleiche </w:t>
      </w:r>
      <w:r w:rsidRPr="00925D9F">
        <w:rPr>
          <w:i/>
          <w:iCs/>
        </w:rPr>
        <w:t>w</w:t>
      </w:r>
      <w:r>
        <w:rPr>
          <w:iCs/>
        </w:rPr>
        <w:t>:</w:t>
      </w:r>
    </w:p>
    <w:p w:rsidR="000F2DB0" w:rsidRDefault="000F2DB0" w:rsidP="0010735C">
      <w:pPr>
        <w:pStyle w:val="Formel"/>
      </w:pPr>
      <w:r w:rsidRPr="00014CCA">
        <w:rPr>
          <w:i/>
        </w:rPr>
        <w:t>m</w:t>
      </w:r>
      <w:r w:rsidRPr="00014CCA">
        <w:rPr>
          <w:i/>
          <w:vertAlign w:val="subscript"/>
        </w:rPr>
        <w:t>j</w:t>
      </w:r>
      <w:r w:rsidRPr="00014CCA">
        <w:t xml:space="preserve"> = </w:t>
      </w:r>
      <w:r w:rsidR="006042D4">
        <w:t>1</w:t>
      </w:r>
      <w:r>
        <w:t>0</w:t>
      </w:r>
      <w:r w:rsidRPr="00014CCA">
        <w:t xml:space="preserve">, </w:t>
      </w:r>
      <w:r w:rsidRPr="00014CCA">
        <w:rPr>
          <w:i/>
        </w:rPr>
        <w:t>n</w:t>
      </w:r>
      <w:r w:rsidRPr="00014CCA">
        <w:rPr>
          <w:i/>
          <w:vertAlign w:val="subscript"/>
        </w:rPr>
        <w:t>j</w:t>
      </w:r>
      <w:r w:rsidRPr="00014CCA">
        <w:t xml:space="preserve"> = </w:t>
      </w:r>
      <w:r>
        <w:t>2</w:t>
      </w:r>
      <w:r w:rsidRPr="00014CCA">
        <w:t xml:space="preserve">0, </w:t>
      </w:r>
      <w:r w:rsidRPr="00014CCA">
        <w:rPr>
          <w:i/>
        </w:rPr>
        <w:t>w</w:t>
      </w:r>
      <w:r w:rsidRPr="00014CCA">
        <w:t>(</w:t>
      </w:r>
      <w:r w:rsidRPr="00014CCA">
        <w:rPr>
          <w:i/>
        </w:rPr>
        <w:t>B</w:t>
      </w:r>
      <w:r>
        <w:rPr>
          <w:i/>
          <w:vertAlign w:val="subscript"/>
        </w:rPr>
        <w:t>j</w:t>
      </w:r>
      <w:r w:rsidR="006042D4">
        <w:t>) = 0,5</w:t>
      </w:r>
      <w:r w:rsidR="0010735C">
        <w:br/>
      </w:r>
      <w:r w:rsidRPr="00014CCA">
        <w:rPr>
          <w:i/>
        </w:rPr>
        <w:t>m</w:t>
      </w:r>
      <w:r>
        <w:rPr>
          <w:i/>
          <w:vertAlign w:val="subscript"/>
        </w:rPr>
        <w:t>x</w:t>
      </w:r>
      <w:r w:rsidRPr="00014CCA">
        <w:t xml:space="preserve"> = </w:t>
      </w:r>
      <w:r w:rsidR="006042D4">
        <w:t>5</w:t>
      </w:r>
      <w:r w:rsidRPr="00014CCA">
        <w:t xml:space="preserve">, </w:t>
      </w:r>
      <w:r w:rsidRPr="00014CCA">
        <w:rPr>
          <w:i/>
        </w:rPr>
        <w:t>n</w:t>
      </w:r>
      <w:r>
        <w:rPr>
          <w:i/>
          <w:vertAlign w:val="subscript"/>
        </w:rPr>
        <w:t>x</w:t>
      </w:r>
      <w:r w:rsidRPr="00014CCA">
        <w:t xml:space="preserve"> = </w:t>
      </w:r>
      <w:r>
        <w:t>10</w:t>
      </w:r>
      <w:r w:rsidRPr="00014CCA">
        <w:t xml:space="preserve">, </w:t>
      </w:r>
      <w:r w:rsidRPr="00014CCA">
        <w:rPr>
          <w:i/>
        </w:rPr>
        <w:t>w</w:t>
      </w:r>
      <w:r w:rsidRPr="00014CCA">
        <w:t>(</w:t>
      </w:r>
      <w:r w:rsidRPr="00014CCA">
        <w:rPr>
          <w:i/>
        </w:rPr>
        <w:t>B</w:t>
      </w:r>
      <w:r w:rsidRPr="00014CCA">
        <w:rPr>
          <w:i/>
          <w:vertAlign w:val="subscript"/>
        </w:rPr>
        <w:t>x</w:t>
      </w:r>
      <w:r w:rsidR="006042D4">
        <w:t>) = 0,5</w:t>
      </w:r>
    </w:p>
    <w:p w:rsidR="00374E51" w:rsidRDefault="000F2DB0" w:rsidP="0010735C">
      <w:pPr>
        <w:pStyle w:val="Text"/>
        <w:ind w:firstLine="0"/>
        <w:rPr>
          <w:iCs/>
        </w:rPr>
      </w:pPr>
      <w:r>
        <w:rPr>
          <w:iCs/>
        </w:rPr>
        <w:t xml:space="preserve">In einem solchen Fall </w:t>
      </w:r>
      <w:r w:rsidR="00976C08">
        <w:rPr>
          <w:iCs/>
        </w:rPr>
        <w:t xml:space="preserve">wird </w:t>
      </w:r>
      <w:r>
        <w:rPr>
          <w:iCs/>
        </w:rPr>
        <w:t xml:space="preserve">die speziellere Regel </w:t>
      </w:r>
      <w:r w:rsidR="0002602F">
        <w:rPr>
          <w:iCs/>
        </w:rPr>
        <w:t>entfernt</w:t>
      </w:r>
      <w:r w:rsidR="00374E51">
        <w:rPr>
          <w:iCs/>
        </w:rPr>
        <w:t>:</w:t>
      </w:r>
    </w:p>
    <w:p w:rsidR="00374E51" w:rsidRPr="00B82A81" w:rsidRDefault="005D7996" w:rsidP="0010735C">
      <w:pPr>
        <w:pStyle w:val="FormelTabrechts"/>
      </w:pPr>
      <m:oMath>
        <m:f>
          <m:fPr>
            <m:ctrlPr>
              <w:rPr>
                <w:rFonts w:ascii="Cambria Math" w:hAnsi="Cambria Math"/>
                <w:i/>
                <w:lang w:val="en-US"/>
              </w:rPr>
            </m:ctrlPr>
          </m:fPr>
          <m:num>
            <m:r>
              <m:rPr>
                <m:nor/>
              </m:rPr>
              <m:t>20</m:t>
            </m:r>
          </m:num>
          <m:den>
            <m:r>
              <m:rPr>
                <m:nor/>
              </m:rPr>
              <m:t>10</m:t>
            </m:r>
          </m:den>
        </m:f>
      </m:oMath>
      <w:r w:rsidR="00374E51" w:rsidRPr="00803CA0">
        <w:t xml:space="preserve"> </w:t>
      </w:r>
      <w:r w:rsidR="00C604FC">
        <w:t>≥</w:t>
      </w:r>
      <w:r w:rsidR="00374E51"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0,5</m:t>
                </m:r>
              </m:num>
              <m:den>
                <m:r>
                  <m:rPr>
                    <m:nor/>
                  </m:rPr>
                  <m:t>0,5</m:t>
                </m:r>
              </m:den>
            </m:f>
            <m:r>
              <m:rPr>
                <m:nor/>
              </m:rPr>
              <m:t>)</m:t>
            </m:r>
          </m:e>
          <m:sup>
            <m:r>
              <m:rPr>
                <m:nor/>
              </m:rPr>
              <w:rPr>
                <w:i/>
              </w:rPr>
              <m:t>f</m:t>
            </m:r>
          </m:sup>
        </m:sSup>
      </m:oMath>
      <w:r w:rsidR="00374E51" w:rsidRPr="00B82A81">
        <w:tab/>
      </w:r>
      <w:r w:rsidR="001B6A44" w:rsidRPr="00635DE8">
        <w:rPr>
          <w:rFonts w:ascii="Cambria Math" w:eastAsia="Arial Unicode MS" w:hAnsi="Cambria Math" w:cs="Arial Unicode MS"/>
        </w:rPr>
        <w:t>⇒</w:t>
      </w:r>
      <w:r w:rsidR="00374E51">
        <w:tab/>
        <w:t xml:space="preserve">2 </w:t>
      </w:r>
      <w:r w:rsidR="00C604FC">
        <w:t>≥</w:t>
      </w:r>
      <w:r w:rsidR="00374E51">
        <w:rPr>
          <w:position w:val="-6"/>
        </w:rPr>
        <w:t xml:space="preserve"> </w:t>
      </w:r>
      <m:oMath>
        <m:sSup>
          <m:sSupPr>
            <m:ctrlPr>
              <w:rPr>
                <w:rFonts w:ascii="Cambria Math" w:hAnsi="Cambria Math"/>
                <w:i/>
              </w:rPr>
            </m:ctrlPr>
          </m:sSupPr>
          <m:e>
            <m:r>
              <m:rPr>
                <m:nor/>
              </m:rPr>
              <m:t>1</m:t>
            </m:r>
          </m:e>
          <m:sup>
            <m:r>
              <m:rPr>
                <m:nor/>
              </m:rPr>
              <w:rPr>
                <w:rFonts w:ascii="Cambria Math"/>
                <w:i/>
              </w:rPr>
              <m:t xml:space="preserve"> </m:t>
            </m:r>
            <m:r>
              <m:rPr>
                <m:nor/>
              </m:rPr>
              <w:rPr>
                <w:i/>
              </w:rPr>
              <m:t>f</m:t>
            </m:r>
          </m:sup>
        </m:sSup>
      </m:oMath>
      <w:r w:rsidR="00374E51">
        <w:tab/>
        <w:t xml:space="preserve">für </w:t>
      </w:r>
      <w:r w:rsidR="00374E51" w:rsidRPr="003E0660">
        <w:rPr>
          <w:i/>
        </w:rPr>
        <w:t>f</w:t>
      </w:r>
      <w:r w:rsidR="00374E51">
        <w:t xml:space="preserve"> </w:t>
      </w:r>
      <w:r w:rsidR="002D397D">
        <w:t>&gt;</w:t>
      </w:r>
      <w:r w:rsidR="00374E51">
        <w:t xml:space="preserve"> 1 erfüllt</w:t>
      </w:r>
    </w:p>
    <w:p w:rsidR="000F2DB0" w:rsidRDefault="000F2DB0" w:rsidP="0010735C">
      <w:pPr>
        <w:pStyle w:val="Text"/>
        <w:ind w:firstLine="0"/>
        <w:rPr>
          <w:iCs/>
        </w:rPr>
      </w:pPr>
      <w:r>
        <w:rPr>
          <w:iCs/>
        </w:rPr>
        <w:t xml:space="preserve">Generell gilt: Da das </w:t>
      </w:r>
      <w:r w:rsidRPr="00925D9F">
        <w:rPr>
          <w:i/>
          <w:iCs/>
        </w:rPr>
        <w:t>U</w:t>
      </w:r>
      <w:r>
        <w:rPr>
          <w:iCs/>
        </w:rPr>
        <w:t xml:space="preserve"> der spezielleren Regel eine Unterkategorie</w:t>
      </w:r>
      <w:r w:rsidR="007B1AA4">
        <w:rPr>
          <w:iCs/>
        </w:rPr>
        <w:t xml:space="preserve"> </w:t>
      </w:r>
      <w:r>
        <w:rPr>
          <w:iCs/>
        </w:rPr>
        <w:t xml:space="preserve">des </w:t>
      </w:r>
      <w:r w:rsidRPr="00925D9F">
        <w:rPr>
          <w:i/>
          <w:iCs/>
        </w:rPr>
        <w:t>U</w:t>
      </w:r>
      <w:r>
        <w:rPr>
          <w:iCs/>
        </w:rPr>
        <w:t xml:space="preserve"> der allgemeineren spezifiziert</w:t>
      </w:r>
      <w:r w:rsidR="00960F8D">
        <w:rPr>
          <w:iCs/>
        </w:rPr>
        <w:t>, kann sie gegenüber der allgemeineren keine zusätzl</w:t>
      </w:r>
      <w:r w:rsidR="00960F8D">
        <w:rPr>
          <w:iCs/>
        </w:rPr>
        <w:t>i</w:t>
      </w:r>
      <w:r w:rsidR="00960F8D">
        <w:rPr>
          <w:iCs/>
        </w:rPr>
        <w:t>chen Anwendungen erfassen;</w:t>
      </w:r>
      <w:r>
        <w:rPr>
          <w:iCs/>
        </w:rPr>
        <w:t xml:space="preserve"> </w:t>
      </w:r>
      <w:r w:rsidR="00960F8D">
        <w:rPr>
          <w:iCs/>
        </w:rPr>
        <w:t xml:space="preserve">daher </w:t>
      </w:r>
      <w:r>
        <w:rPr>
          <w:iCs/>
        </w:rPr>
        <w:t>muss eine spürbar höhere Anwendung</w:t>
      </w:r>
      <w:r>
        <w:rPr>
          <w:iCs/>
        </w:rPr>
        <w:t>s</w:t>
      </w:r>
      <w:r>
        <w:rPr>
          <w:iCs/>
        </w:rPr>
        <w:t xml:space="preserve">wahrscheinlichkeit </w:t>
      </w:r>
      <w:r w:rsidRPr="00925D9F">
        <w:rPr>
          <w:i/>
          <w:iCs/>
        </w:rPr>
        <w:t>w</w:t>
      </w:r>
      <w:r>
        <w:rPr>
          <w:iCs/>
        </w:rPr>
        <w:t xml:space="preserve"> vorliegen, um </w:t>
      </w:r>
      <w:r w:rsidR="00F94D28">
        <w:rPr>
          <w:iCs/>
        </w:rPr>
        <w:t xml:space="preserve">sie </w:t>
      </w:r>
      <w:r>
        <w:rPr>
          <w:iCs/>
        </w:rPr>
        <w:t>zu rechtfertigen.</w:t>
      </w:r>
    </w:p>
    <w:p w:rsidR="000F2DB0" w:rsidRDefault="000F2DB0" w:rsidP="000F2DB0">
      <w:pPr>
        <w:pStyle w:val="Text"/>
      </w:pPr>
      <w:r>
        <w:t xml:space="preserve">Auf den ersten Blick scheinen wir </w:t>
      </w:r>
      <w:r w:rsidR="002E2071">
        <w:t xml:space="preserve">durch </w:t>
      </w:r>
      <w:r w:rsidR="00F94D28">
        <w:t xml:space="preserve">die </w:t>
      </w:r>
      <w:r w:rsidR="002E2071">
        <w:t xml:space="preserve">Entfernung </w:t>
      </w:r>
      <w:r w:rsidR="00F94D28">
        <w:t xml:space="preserve">der spezielleren Regel </w:t>
      </w:r>
      <w:r>
        <w:t>Information zu verlieren: Schließlich ist es ja denkbar, dass sich die qua</w:t>
      </w:r>
      <w:r>
        <w:t>d</w:t>
      </w:r>
      <w:r>
        <w:t xml:space="preserve">ratischen Fenster ungleich über die Stockwerke verteilen. In diesem Fall müssten wir allerdings entweder </w:t>
      </w:r>
      <w:r w:rsidRPr="00014CCA">
        <w:rPr>
          <w:i/>
        </w:rPr>
        <w:t>B</w:t>
      </w:r>
      <w:r w:rsidRPr="00014CCA">
        <w:rPr>
          <w:i/>
          <w:vertAlign w:val="subscript"/>
        </w:rPr>
        <w:t>x</w:t>
      </w:r>
      <w:r>
        <w:t xml:space="preserve"> mit einer höheren oder eine andere Regel erhalten, die für den ersten Stock ‚nicht-quadratisch‘ mit </w:t>
      </w:r>
      <w:r w:rsidRPr="00C43311">
        <w:rPr>
          <w:i/>
        </w:rPr>
        <w:t>w</w:t>
      </w:r>
      <w:r>
        <w:t xml:space="preserve"> &gt; 0,5 spezifiziert. Fehlen solche Regeln, kann man getrost annehmen, dass </w:t>
      </w:r>
      <w:r w:rsidRPr="00C43311">
        <w:rPr>
          <w:i/>
        </w:rPr>
        <w:t>w</w:t>
      </w:r>
      <w:r>
        <w:t xml:space="preserve"> = 0,5 auch für den ersten Stock gilt.</w:t>
      </w:r>
    </w:p>
    <w:p w:rsidR="004503EF" w:rsidRDefault="004503EF" w:rsidP="000F2DB0">
      <w:pPr>
        <w:pStyle w:val="Text"/>
      </w:pPr>
      <w:r>
        <w:t>Die Disambiguierung hat über Merkmalsregeln zu entscheiden, über Info</w:t>
      </w:r>
      <w:r>
        <w:t>r</w:t>
      </w:r>
      <w:r>
        <w:t>mationen, die sich aus dem Verhältnis von Merkmalsregeln zueinander ergeben (und damit in den Bereich des Interpretationsprozesses fallen), hat sie nicht zu entscheiden. Dies zeigt das folgende Beispiel:</w:t>
      </w:r>
    </w:p>
    <w:p w:rsidR="004503EF" w:rsidRPr="00E044F6" w:rsidRDefault="004503EF" w:rsidP="0010735C">
      <w:pPr>
        <w:pStyle w:val="Interpretation"/>
      </w:pPr>
      <w:r w:rsidRPr="00E044F6">
        <w:rPr>
          <w:i/>
        </w:rPr>
        <w:t>U</w:t>
      </w:r>
      <w:r w:rsidRPr="00E044F6">
        <w:t>(</w:t>
      </w:r>
      <w:r w:rsidRPr="00E044F6">
        <w:rPr>
          <w:i/>
        </w:rPr>
        <w:t>B</w:t>
      </w:r>
      <w:r w:rsidRPr="00E044F6">
        <w:rPr>
          <w:i/>
          <w:vertAlign w:val="subscript"/>
        </w:rPr>
        <w:t>j</w:t>
      </w:r>
      <w:r w:rsidRPr="00E044F6">
        <w:t>): ‚</w:t>
      </w:r>
      <w:r>
        <w:t>Fenster</w:t>
      </w:r>
      <w:r w:rsidRPr="00E044F6">
        <w:t xml:space="preserve">‘, </w:t>
      </w:r>
      <w:r w:rsidRPr="00E044F6">
        <w:rPr>
          <w:i/>
        </w:rPr>
        <w:t>V</w:t>
      </w:r>
      <w:r w:rsidRPr="00E044F6">
        <w:t>(</w:t>
      </w:r>
      <w:r w:rsidRPr="00E044F6">
        <w:rPr>
          <w:i/>
        </w:rPr>
        <w:t>B</w:t>
      </w:r>
      <w:r w:rsidRPr="00E044F6">
        <w:rPr>
          <w:i/>
          <w:vertAlign w:val="subscript"/>
        </w:rPr>
        <w:t>j</w:t>
      </w:r>
      <w:r w:rsidRPr="00E044F6">
        <w:t>): ‚</w:t>
      </w:r>
      <w:r>
        <w:t>quadratisch</w:t>
      </w:r>
      <w:r w:rsidRPr="00E044F6">
        <w:t>‘</w:t>
      </w:r>
    </w:p>
    <w:p w:rsidR="004503EF" w:rsidRDefault="004503EF" w:rsidP="0010735C">
      <w:pPr>
        <w:pStyle w:val="Interpretation"/>
      </w:pPr>
      <w:r w:rsidRPr="00E044F6">
        <w:rPr>
          <w:i/>
        </w:rPr>
        <w:t>U</w:t>
      </w:r>
      <w:r w:rsidRPr="00E044F6">
        <w:t>(</w:t>
      </w:r>
      <w:r w:rsidRPr="00E044F6">
        <w:rPr>
          <w:i/>
        </w:rPr>
        <w:t>B</w:t>
      </w:r>
      <w:r>
        <w:rPr>
          <w:i/>
          <w:vertAlign w:val="subscript"/>
        </w:rPr>
        <w:t>x</w:t>
      </w:r>
      <w:r w:rsidRPr="00E044F6">
        <w:t>): ‚</w:t>
      </w:r>
      <w:r>
        <w:t xml:space="preserve">Fenster </w:t>
      </w:r>
      <w:r w:rsidR="00B71051">
        <w:t>(</w:t>
      </w:r>
      <w:r>
        <w:t>in Erkern</w:t>
      </w:r>
      <w:r w:rsidR="00B71051">
        <w:t>)</w:t>
      </w:r>
      <w:r w:rsidRPr="00E044F6">
        <w:t xml:space="preserve">‘, </w:t>
      </w:r>
      <w:r w:rsidRPr="00E044F6">
        <w:rPr>
          <w:i/>
        </w:rPr>
        <w:t>V</w:t>
      </w:r>
      <w:r w:rsidRPr="00E044F6">
        <w:t>(</w:t>
      </w:r>
      <w:r w:rsidRPr="00E044F6">
        <w:rPr>
          <w:i/>
        </w:rPr>
        <w:t>B</w:t>
      </w:r>
      <w:r>
        <w:rPr>
          <w:i/>
          <w:vertAlign w:val="subscript"/>
        </w:rPr>
        <w:t>x</w:t>
      </w:r>
      <w:r w:rsidRPr="00E044F6">
        <w:t>): ‚</w:t>
      </w:r>
      <w:r>
        <w:t>quadratisch</w:t>
      </w:r>
      <w:r w:rsidRPr="00E044F6">
        <w:t>‘</w:t>
      </w:r>
    </w:p>
    <w:p w:rsidR="004503EF" w:rsidRDefault="004503EF" w:rsidP="0010735C">
      <w:pPr>
        <w:pStyle w:val="Formel"/>
      </w:pPr>
      <w:r w:rsidRPr="00014CCA">
        <w:rPr>
          <w:i/>
        </w:rPr>
        <w:t>m</w:t>
      </w:r>
      <w:r w:rsidRPr="00014CCA">
        <w:rPr>
          <w:i/>
          <w:vertAlign w:val="subscript"/>
        </w:rPr>
        <w:t>j</w:t>
      </w:r>
      <w:r w:rsidRPr="00014CCA">
        <w:t xml:space="preserve"> = </w:t>
      </w:r>
      <w:r>
        <w:t>20</w:t>
      </w:r>
      <w:r w:rsidRPr="00014CCA">
        <w:t xml:space="preserve">, </w:t>
      </w:r>
      <w:r w:rsidRPr="00014CCA">
        <w:rPr>
          <w:i/>
        </w:rPr>
        <w:t>n</w:t>
      </w:r>
      <w:r w:rsidRPr="00014CCA">
        <w:rPr>
          <w:i/>
          <w:vertAlign w:val="subscript"/>
        </w:rPr>
        <w:t>j</w:t>
      </w:r>
      <w:r w:rsidRPr="00014CCA">
        <w:t xml:space="preserve"> = </w:t>
      </w:r>
      <w:r>
        <w:t>2</w:t>
      </w:r>
      <w:r w:rsidRPr="00014CCA">
        <w:t xml:space="preserve">0, </w:t>
      </w:r>
      <w:r w:rsidRPr="00014CCA">
        <w:rPr>
          <w:i/>
        </w:rPr>
        <w:t>w</w:t>
      </w:r>
      <w:r w:rsidRPr="00014CCA">
        <w:t>(</w:t>
      </w:r>
      <w:r w:rsidRPr="00014CCA">
        <w:rPr>
          <w:i/>
        </w:rPr>
        <w:t>B</w:t>
      </w:r>
      <w:r>
        <w:rPr>
          <w:i/>
          <w:vertAlign w:val="subscript"/>
        </w:rPr>
        <w:t>j</w:t>
      </w:r>
      <w:r>
        <w:t>) = 1</w:t>
      </w:r>
      <w:r w:rsidR="0010735C">
        <w:br/>
      </w:r>
      <w:r w:rsidRPr="00014CCA">
        <w:rPr>
          <w:i/>
        </w:rPr>
        <w:t>m</w:t>
      </w:r>
      <w:r>
        <w:rPr>
          <w:i/>
          <w:vertAlign w:val="subscript"/>
        </w:rPr>
        <w:t>x</w:t>
      </w:r>
      <w:r w:rsidRPr="00014CCA">
        <w:t xml:space="preserve"> = </w:t>
      </w:r>
      <w:r>
        <w:t>15</w:t>
      </w:r>
      <w:r w:rsidRPr="00014CCA">
        <w:t xml:space="preserve">, </w:t>
      </w:r>
      <w:r w:rsidRPr="00014CCA">
        <w:rPr>
          <w:i/>
        </w:rPr>
        <w:t>n</w:t>
      </w:r>
      <w:r>
        <w:rPr>
          <w:i/>
          <w:vertAlign w:val="subscript"/>
        </w:rPr>
        <w:t>x</w:t>
      </w:r>
      <w:r w:rsidRPr="00014CCA">
        <w:t xml:space="preserve"> = </w:t>
      </w:r>
      <w:r>
        <w:t>15</w:t>
      </w:r>
      <w:r w:rsidRPr="00014CCA">
        <w:t xml:space="preserve">, </w:t>
      </w:r>
      <w:r w:rsidRPr="00014CCA">
        <w:rPr>
          <w:i/>
        </w:rPr>
        <w:t>w</w:t>
      </w:r>
      <w:r w:rsidRPr="00014CCA">
        <w:t>(</w:t>
      </w:r>
      <w:r w:rsidRPr="00014CCA">
        <w:rPr>
          <w:i/>
        </w:rPr>
        <w:t>B</w:t>
      </w:r>
      <w:r w:rsidRPr="00014CCA">
        <w:rPr>
          <w:i/>
          <w:vertAlign w:val="subscript"/>
        </w:rPr>
        <w:t>x</w:t>
      </w:r>
      <w:r>
        <w:t>) = 1</w:t>
      </w:r>
    </w:p>
    <w:p w:rsidR="000F2DB0" w:rsidRPr="00CF7EBF" w:rsidRDefault="004503EF" w:rsidP="0010735C">
      <w:pPr>
        <w:pStyle w:val="Text"/>
        <w:ind w:firstLine="0"/>
        <w:rPr>
          <w:iCs/>
        </w:rPr>
      </w:pPr>
      <w:r>
        <w:rPr>
          <w:iCs/>
        </w:rPr>
        <w:lastRenderedPageBreak/>
        <w:t>Hier erhalten die Zahlen die Information, dass sich mindestens 15 von 20 Fe</w:t>
      </w:r>
      <w:r w:rsidR="00CF7EBF">
        <w:rPr>
          <w:iCs/>
        </w:rPr>
        <w:t>n</w:t>
      </w:r>
      <w:r w:rsidR="00CF7EBF">
        <w:rPr>
          <w:iCs/>
        </w:rPr>
        <w:t>s</w:t>
      </w:r>
      <w:r w:rsidR="00CF7EBF">
        <w:rPr>
          <w:iCs/>
        </w:rPr>
        <w:t>ter</w:t>
      </w:r>
      <w:r w:rsidR="00962EDE">
        <w:rPr>
          <w:iCs/>
        </w:rPr>
        <w:t>n</w:t>
      </w:r>
      <w:r w:rsidR="00CF7EBF">
        <w:rPr>
          <w:iCs/>
        </w:rPr>
        <w:t xml:space="preserve"> </w:t>
      </w:r>
      <w:r>
        <w:rPr>
          <w:iCs/>
        </w:rPr>
        <w:t>in Eckern befinden. Allerdings ist diese Information in keiner der Mer</w:t>
      </w:r>
      <w:r>
        <w:rPr>
          <w:iCs/>
        </w:rPr>
        <w:t>k</w:t>
      </w:r>
      <w:r>
        <w:rPr>
          <w:iCs/>
        </w:rPr>
        <w:t>malsregeln allein enthalten; diese sagen nichts über das Verhältnis von Erke</w:t>
      </w:r>
      <w:r>
        <w:rPr>
          <w:iCs/>
        </w:rPr>
        <w:t>r</w:t>
      </w:r>
      <w:r>
        <w:rPr>
          <w:iCs/>
        </w:rPr>
        <w:t xml:space="preserve">fenstern zu anderen Fenstern aus. Daher wird die speziellere Regel </w:t>
      </w:r>
      <w:r w:rsidR="00CF7EBF">
        <w:rPr>
          <w:iCs/>
        </w:rPr>
        <w:t>wegen des gleichen</w:t>
      </w:r>
      <w:r>
        <w:rPr>
          <w:iCs/>
        </w:rPr>
        <w:t xml:space="preserve"> </w:t>
      </w:r>
      <w:r w:rsidRPr="009E072E">
        <w:rPr>
          <w:i/>
          <w:iCs/>
        </w:rPr>
        <w:t>w</w:t>
      </w:r>
      <w:r>
        <w:rPr>
          <w:iCs/>
        </w:rPr>
        <w:t xml:space="preserve"> zu Recht </w:t>
      </w:r>
      <w:r w:rsidR="000524BF">
        <w:t>entfernt</w:t>
      </w:r>
      <w:r>
        <w:rPr>
          <w:iCs/>
        </w:rPr>
        <w:t>.</w:t>
      </w:r>
      <w:r>
        <w:rPr>
          <w:rStyle w:val="Funotenzeichen"/>
          <w:iCs/>
        </w:rPr>
        <w:footnoteReference w:id="394"/>
      </w:r>
    </w:p>
    <w:p w:rsidR="00206973" w:rsidRPr="00146E76" w:rsidRDefault="008522D4" w:rsidP="00FF396E">
      <w:pPr>
        <w:pStyle w:val="Zwischenberschrift"/>
        <w:spacing w:before="360"/>
      </w:pPr>
      <w:r w:rsidRPr="00AF0610">
        <w:rPr>
          <w:i w:val="0"/>
        </w:rPr>
        <w:t>Modul 3:</w:t>
      </w:r>
      <w:r w:rsidRPr="00AF0610">
        <w:rPr>
          <w:i w:val="0"/>
        </w:rPr>
        <w:tab/>
      </w:r>
      <w:r w:rsidR="00206973" w:rsidRPr="00146E76">
        <w:t>Regeln mit allgemeineren verlangten Eigenschaften</w:t>
      </w:r>
    </w:p>
    <w:p w:rsidR="00417D8D" w:rsidRDefault="00AE5419" w:rsidP="00962C30">
      <w:pPr>
        <w:pStyle w:val="Text"/>
        <w:ind w:firstLine="0"/>
      </w:pPr>
      <w:r>
        <w:t xml:space="preserve">Entfernt </w:t>
      </w:r>
      <w:r w:rsidR="00417D8D">
        <w:t>werden Regeln, die bei gleichen Anwendungsbedingungen weniger verlangte Eigenschaften spezifizieren</w:t>
      </w:r>
      <w:r w:rsidR="008036E6">
        <w:t xml:space="preserve"> </w:t>
      </w:r>
      <w:r w:rsidR="00982DBB">
        <w:t xml:space="preserve">(und dadurch häufiger angewandt werden können), aber nicht entsprechend </w:t>
      </w:r>
      <w:r w:rsidR="008036E6">
        <w:t xml:space="preserve">häufiger </w:t>
      </w:r>
      <w:r w:rsidR="00982DBB">
        <w:t xml:space="preserve">angewandt wurden. </w:t>
      </w:r>
      <w:r w:rsidR="001D415E">
        <w:t>D</w:t>
      </w:r>
      <w:r w:rsidR="00417D8D">
        <w:t xml:space="preserve">iese Regeln </w:t>
      </w:r>
      <w:r w:rsidR="001D415E">
        <w:t xml:space="preserve">haben also </w:t>
      </w:r>
      <w:r w:rsidR="00417D8D">
        <w:t xml:space="preserve">eine geringere </w:t>
      </w:r>
      <w:r w:rsidR="001D415E">
        <w:t>‚</w:t>
      </w:r>
      <w:r w:rsidR="00417D8D">
        <w:t>Trefferquote</w:t>
      </w:r>
      <w:r w:rsidR="001D415E">
        <w:t>‘ (Anwendungswahrscheinlichkeit)</w:t>
      </w:r>
      <w:r w:rsidR="00417D8D">
        <w:t xml:space="preserve">. In diesem Fall gilt, dass die Regel mit den spezielleren </w:t>
      </w:r>
      <w:r w:rsidR="006F2C9C">
        <w:t xml:space="preserve">verlangten Eigenschaften </w:t>
      </w:r>
      <w:r w:rsidR="00417D8D">
        <w:t>den Sachverhalt präziser beschreibt.</w:t>
      </w:r>
    </w:p>
    <w:p w:rsidR="0001718E" w:rsidRDefault="0001718E" w:rsidP="0010735C">
      <w:pPr>
        <w:pStyle w:val="Zwischenberschrift"/>
      </w:pPr>
      <w:r>
        <w:t>Die Bedingungen für die Überprüfung</w:t>
      </w:r>
    </w:p>
    <w:p w:rsidR="00540650" w:rsidRDefault="00540650" w:rsidP="00962C30">
      <w:pPr>
        <w:pStyle w:val="Text"/>
        <w:ind w:firstLine="0"/>
      </w:pPr>
      <w:r>
        <w:t xml:space="preserve">Die Anwendungsbedingungen </w:t>
      </w:r>
      <w:r w:rsidRPr="00415909">
        <w:rPr>
          <w:i/>
        </w:rPr>
        <w:t>U</w:t>
      </w:r>
      <w:r>
        <w:t xml:space="preserve"> sind gleich. Die verlangten Eigenschaften der allgemeineren Merkmalsregel </w:t>
      </w:r>
      <w:r>
        <w:rPr>
          <w:i/>
          <w:iCs/>
        </w:rPr>
        <w:t>B</w:t>
      </w:r>
      <w:r>
        <w:rPr>
          <w:i/>
          <w:iCs/>
          <w:vertAlign w:val="subscript"/>
        </w:rPr>
        <w:t>x</w:t>
      </w:r>
      <w:r>
        <w:t xml:space="preserve"> sind eine echte Teilmenge der verlangten Eige</w:t>
      </w:r>
      <w:r>
        <w:t>n</w:t>
      </w:r>
      <w:r>
        <w:t xml:space="preserve">schaften der spezielleren </w:t>
      </w:r>
      <w:r>
        <w:rPr>
          <w:i/>
          <w:iCs/>
        </w:rPr>
        <w:t>B</w:t>
      </w:r>
      <w:r>
        <w:rPr>
          <w:i/>
          <w:iCs/>
          <w:vertAlign w:val="subscript"/>
        </w:rPr>
        <w:t>j</w:t>
      </w:r>
      <w:r>
        <w:t>.</w:t>
      </w:r>
    </w:p>
    <w:p w:rsidR="00540650" w:rsidRPr="00465C38" w:rsidRDefault="00540650" w:rsidP="00962C30">
      <w:pPr>
        <w:pStyle w:val="Formel"/>
      </w:pPr>
      <w:r w:rsidRPr="00465C38">
        <w:t>(</w:t>
      </w:r>
      <w:r w:rsidRPr="00465C38">
        <w:rPr>
          <w:i/>
        </w:rPr>
        <w:t>U</w:t>
      </w:r>
      <w:r w:rsidRPr="00465C38">
        <w:t>(</w:t>
      </w:r>
      <w:r w:rsidRPr="00465C38">
        <w:rPr>
          <w:i/>
        </w:rPr>
        <w:t>B</w:t>
      </w:r>
      <w:r w:rsidRPr="00465C38">
        <w:rPr>
          <w:i/>
          <w:vertAlign w:val="subscript"/>
        </w:rPr>
        <w:t>x</w:t>
      </w:r>
      <w:r w:rsidRPr="00465C38">
        <w:t xml:space="preserve">) = </w:t>
      </w:r>
      <w:r w:rsidRPr="00465C38">
        <w:rPr>
          <w:i/>
        </w:rPr>
        <w:t>U</w:t>
      </w:r>
      <w:r w:rsidRPr="00465C38">
        <w:t>(</w:t>
      </w:r>
      <w:r w:rsidRPr="00465C38">
        <w:rPr>
          <w:i/>
        </w:rPr>
        <w:t>B</w:t>
      </w:r>
      <w:r w:rsidRPr="00465C38">
        <w:rPr>
          <w:i/>
          <w:vertAlign w:val="subscript"/>
        </w:rPr>
        <w:t>j</w:t>
      </w:r>
      <w:r w:rsidRPr="00465C38">
        <w:t xml:space="preserve">)) </w:t>
      </w:r>
      <w:r w:rsidRPr="00465C38">
        <w:rPr>
          <w:rFonts w:ascii="Cambria Math" w:hAnsi="Cambria Math" w:cs="Cambria Math"/>
          <w:color w:val="000000" w:themeColor="text1"/>
        </w:rPr>
        <w:t>∧</w:t>
      </w:r>
      <w:r w:rsidRPr="00465C38">
        <w:t xml:space="preserve"> (</w:t>
      </w:r>
      <w:r w:rsidRPr="00465C38">
        <w:rPr>
          <w:i/>
        </w:rPr>
        <w:t>V</w:t>
      </w:r>
      <w:r w:rsidRPr="00465C38">
        <w:t>(</w:t>
      </w:r>
      <w:r w:rsidRPr="00465C38">
        <w:rPr>
          <w:i/>
        </w:rPr>
        <w:t>B</w:t>
      </w:r>
      <w:r w:rsidRPr="00465C38">
        <w:rPr>
          <w:i/>
          <w:vertAlign w:val="subscript"/>
        </w:rPr>
        <w:t>x</w:t>
      </w:r>
      <w:r w:rsidRPr="00465C38">
        <w:t>)</w:t>
      </w:r>
      <w:r w:rsidR="00FD2ABF" w:rsidRPr="00FD2ABF">
        <w:t xml:space="preserve"> </w:t>
      </w:r>
      <w:r w:rsidR="00FD2ABF" w:rsidRPr="00FD2ABF">
        <w:rPr>
          <w:rFonts w:ascii="Cambria Math" w:eastAsia="Arial Unicode MS" w:hAnsi="Cambria Math" w:cs="Arial Unicode MS"/>
        </w:rPr>
        <w:t>⊂</w:t>
      </w:r>
      <w:r w:rsidR="00FD2ABF" w:rsidRPr="00FD2ABF">
        <w:rPr>
          <w:i/>
        </w:rPr>
        <w:t xml:space="preserve"> </w:t>
      </w:r>
      <w:r w:rsidRPr="00465C38">
        <w:rPr>
          <w:i/>
        </w:rPr>
        <w:t>V</w:t>
      </w:r>
      <w:r w:rsidRPr="00465C38">
        <w:t>(</w:t>
      </w:r>
      <w:r w:rsidRPr="00465C38">
        <w:rPr>
          <w:i/>
        </w:rPr>
        <w:t>B</w:t>
      </w:r>
      <w:r w:rsidRPr="00465C38">
        <w:rPr>
          <w:i/>
          <w:vertAlign w:val="subscript"/>
        </w:rPr>
        <w:t>j</w:t>
      </w:r>
      <w:r w:rsidRPr="00465C38">
        <w:t>))</w:t>
      </w:r>
    </w:p>
    <w:p w:rsidR="00C604FC" w:rsidRDefault="00C604FC" w:rsidP="0010735C">
      <w:pPr>
        <w:pStyle w:val="Zwischenberschrift"/>
      </w:pPr>
      <w:r>
        <w:t xml:space="preserve">Die Bedingung für </w:t>
      </w:r>
      <w:r w:rsidR="0002602F">
        <w:t>die Entfernung</w:t>
      </w:r>
    </w:p>
    <w:p w:rsidR="00540650" w:rsidRDefault="00540650" w:rsidP="00962C30">
      <w:pPr>
        <w:pStyle w:val="Text"/>
        <w:keepNext/>
        <w:ind w:firstLine="0"/>
      </w:pPr>
      <w:r>
        <w:t xml:space="preserve">Die Bedingung </w:t>
      </w:r>
      <w:r w:rsidR="00085C0E">
        <w:t xml:space="preserve">wird aus Modul 1 übernommen, wobei &gt; durch </w:t>
      </w:r>
      <w:r w:rsidR="00085C0E">
        <w:rPr>
          <w:rFonts w:cs="Times New Roman"/>
          <w:iCs/>
        </w:rPr>
        <w:t>≥</w:t>
      </w:r>
      <w:r w:rsidR="00085C0E">
        <w:t xml:space="preserve"> ersetzt wird:</w:t>
      </w:r>
    </w:p>
    <w:p w:rsidR="00540650" w:rsidRPr="0045617D" w:rsidRDefault="005D7996" w:rsidP="00962C30">
      <w:pPr>
        <w:pStyle w:val="FormelTabrechts"/>
      </w:pPr>
      <m:oMath>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N</m:t>
                </m:r>
              </m:e>
              <m:sub>
                <m:r>
                  <m:rPr>
                    <m:nor/>
                  </m:rPr>
                  <w:rPr>
                    <w:rFonts w:cs="Times New Roman"/>
                    <w:i/>
                  </w:rPr>
                  <m:t>x</m:t>
                </m:r>
              </m:sub>
            </m:sSub>
          </m:num>
          <m:den>
            <m:sSub>
              <m:sSubPr>
                <m:ctrlPr>
                  <w:rPr>
                    <w:rFonts w:ascii="Cambria Math" w:hAnsi="Cambria Math" w:cs="Times New Roman"/>
                    <w:i/>
                    <w:lang w:val="en-US"/>
                  </w:rPr>
                </m:ctrlPr>
              </m:sSubPr>
              <m:e>
                <m:r>
                  <m:rPr>
                    <m:nor/>
                  </m:rPr>
                  <w:rPr>
                    <w:rFonts w:cs="Times New Roman"/>
                    <w:i/>
                  </w:rPr>
                  <m:t>N</m:t>
                </m:r>
              </m:e>
              <m:sub>
                <m:r>
                  <m:rPr>
                    <m:nor/>
                  </m:rPr>
                  <w:rPr>
                    <w:rFonts w:cs="Times New Roman"/>
                    <w:i/>
                  </w:rPr>
                  <m:t>j</m:t>
                </m:r>
              </m:sub>
            </m:sSub>
          </m:den>
        </m:f>
      </m:oMath>
      <w:r w:rsidR="00540650" w:rsidRPr="0045617D">
        <w:rPr>
          <w:iCs/>
        </w:rPr>
        <w:t xml:space="preserve"> </w:t>
      </w:r>
      <w:r w:rsidR="00085C0E">
        <w:rPr>
          <w:rFonts w:cs="Times New Roman"/>
          <w:iCs/>
        </w:rPr>
        <w:t>≥</w:t>
      </w:r>
      <w:r w:rsidR="00540650" w:rsidRPr="0045617D">
        <w:rPr>
          <w:iCs/>
        </w:rPr>
        <w:t xml:space="preserve"> </w:t>
      </w:r>
      <m:oMath>
        <m:r>
          <m:rPr>
            <m:nor/>
          </m:rPr>
          <w:rPr>
            <w:rFonts w:cs="Times New Roman"/>
          </w:rPr>
          <m:t>(</m:t>
        </m:r>
        <m:sSup>
          <m:sSupPr>
            <m:ctrlPr>
              <w:rPr>
                <w:rFonts w:ascii="Cambria Math" w:hAnsi="Cambria Math" w:cs="Times New Roman"/>
                <w:i/>
                <w:iCs/>
              </w:rPr>
            </m:ctrlPr>
          </m:sSupPr>
          <m:e>
            <m:f>
              <m:fPr>
                <m:ctrlPr>
                  <w:rPr>
                    <w:rFonts w:ascii="Cambria Math" w:hAnsi="Cambria Math" w:cs="Times New Roman"/>
                    <w:i/>
                    <w:lang w:val="en-US"/>
                  </w:rPr>
                </m:ctrlPr>
              </m:fPr>
              <m:num>
                <m:sSub>
                  <m:sSubPr>
                    <m:ctrlPr>
                      <w:rPr>
                        <w:rFonts w:ascii="Cambria Math" w:hAnsi="Cambria Math" w:cs="Times New Roman"/>
                        <w:i/>
                        <w:lang w:val="en-US"/>
                      </w:rPr>
                    </m:ctrlPr>
                  </m:sSubPr>
                  <m:e>
                    <m:r>
                      <m:rPr>
                        <m:nor/>
                      </m:rPr>
                      <w:rPr>
                        <w:rFonts w:cs="Times New Roman"/>
                        <w:i/>
                      </w:rPr>
                      <m:t>M</m:t>
                    </m:r>
                  </m:e>
                  <m:sub>
                    <m:r>
                      <m:rPr>
                        <m:nor/>
                      </m:rPr>
                      <w:rPr>
                        <w:rFonts w:cs="Times New Roman"/>
                        <w:i/>
                      </w:rPr>
                      <m:t>x</m:t>
                    </m:r>
                  </m:sub>
                </m:sSub>
              </m:num>
              <m:den>
                <m:sSub>
                  <m:sSubPr>
                    <m:ctrlPr>
                      <w:rPr>
                        <w:rFonts w:ascii="Cambria Math" w:hAnsi="Cambria Math" w:cs="Times New Roman"/>
                        <w:i/>
                        <w:lang w:val="en-US"/>
                      </w:rPr>
                    </m:ctrlPr>
                  </m:sSubPr>
                  <m:e>
                    <m:r>
                      <m:rPr>
                        <m:nor/>
                      </m:rPr>
                      <w:rPr>
                        <w:rFonts w:cs="Times New Roman"/>
                        <w:i/>
                      </w:rPr>
                      <m:t>M</m:t>
                    </m:r>
                  </m:e>
                  <m:sub>
                    <m:r>
                      <m:rPr>
                        <m:nor/>
                      </m:rPr>
                      <w:rPr>
                        <w:rFonts w:cs="Times New Roman"/>
                        <w:i/>
                      </w:rPr>
                      <m:t>j</m:t>
                    </m:r>
                  </m:sub>
                </m:sSub>
              </m:den>
            </m:f>
            <m:r>
              <m:rPr>
                <m:nor/>
              </m:rPr>
              <w:rPr>
                <w:rFonts w:cs="Times New Roman"/>
              </w:rPr>
              <m:t>)</m:t>
            </m:r>
          </m:e>
          <m:sup>
            <m:r>
              <m:rPr>
                <m:nor/>
              </m:rPr>
              <w:rPr>
                <w:rFonts w:cs="Times New Roman"/>
                <w:i/>
                <w:iCs/>
              </w:rPr>
              <m:t>f</m:t>
            </m:r>
          </m:sup>
        </m:sSup>
      </m:oMath>
      <w:r w:rsidR="00806D31">
        <w:tab/>
      </w:r>
      <w:r w:rsidR="00540650">
        <w:tab/>
      </w:r>
      <w:r w:rsidR="00EB66D5">
        <w:tab/>
      </w:r>
      <w:r w:rsidR="00540650">
        <w:t xml:space="preserve">für </w:t>
      </w:r>
      <w:r w:rsidR="00540650" w:rsidRPr="002D397D">
        <w:rPr>
          <w:i/>
        </w:rPr>
        <w:t>f</w:t>
      </w:r>
      <w:r w:rsidR="00540650">
        <w:t xml:space="preserve"> </w:t>
      </w:r>
      <w:r w:rsidR="002D397D">
        <w:rPr>
          <w:rFonts w:cs="Times New Roman"/>
          <w:iCs/>
        </w:rPr>
        <w:t>&gt;</w:t>
      </w:r>
      <w:r w:rsidR="00540650">
        <w:t xml:space="preserve"> 1</w:t>
      </w:r>
    </w:p>
    <w:p w:rsidR="00085C0E" w:rsidRDefault="00085C0E" w:rsidP="00962C30">
      <w:pPr>
        <w:pStyle w:val="Text"/>
        <w:ind w:firstLine="0"/>
      </w:pPr>
      <w:r>
        <w:t xml:space="preserve">Das Verhalten der Bedingung für verschiedene Fälle </w:t>
      </w:r>
      <w:r w:rsidR="006A0D16">
        <w:t xml:space="preserve">ähnelt dem in </w:t>
      </w:r>
      <w:r>
        <w:t xml:space="preserve">Modul </w:t>
      </w:r>
      <w:r w:rsidR="000317B1">
        <w:t xml:space="preserve">1, mit Ausnahme von </w:t>
      </w:r>
      <w:r w:rsidR="006A0D16">
        <w:t>Fall 4</w:t>
      </w:r>
      <w:r w:rsidR="000317B1">
        <w:t>:</w:t>
      </w:r>
    </w:p>
    <w:p w:rsidR="006A0D16" w:rsidRDefault="006A0D16" w:rsidP="00962C30">
      <w:pPr>
        <w:pStyle w:val="FallxDisambiguierung"/>
      </w:pPr>
      <w:r>
        <w:t>Fall 4:</w:t>
      </w:r>
      <w:r>
        <w:tab/>
      </w:r>
      <w:r>
        <w:rPr>
          <w:i/>
        </w:rPr>
        <w:t>m</w:t>
      </w:r>
      <w:r>
        <w:rPr>
          <w:i/>
          <w:vertAlign w:val="subscript"/>
        </w:rPr>
        <w:t>x</w:t>
      </w:r>
      <w:r>
        <w:t xml:space="preserve"> = 10, </w:t>
      </w:r>
      <w:r>
        <w:rPr>
          <w:i/>
        </w:rPr>
        <w:t>n</w:t>
      </w:r>
      <w:r>
        <w:rPr>
          <w:i/>
          <w:vertAlign w:val="subscript"/>
        </w:rPr>
        <w:t>x</w:t>
      </w:r>
      <w:r>
        <w:t xml:space="preserve"> = 20, </w:t>
      </w:r>
      <w:r>
        <w:rPr>
          <w:i/>
        </w:rPr>
        <w:t>w</w:t>
      </w:r>
      <w:r>
        <w:t>(</w:t>
      </w:r>
      <w:r>
        <w:rPr>
          <w:i/>
        </w:rPr>
        <w:t>B</w:t>
      </w:r>
      <w:r>
        <w:rPr>
          <w:i/>
          <w:vertAlign w:val="subscript"/>
        </w:rPr>
        <w:t>x</w:t>
      </w:r>
      <w:r>
        <w:t>) = 0,5</w:t>
      </w:r>
    </w:p>
    <w:p w:rsidR="006A0D16" w:rsidRPr="00B82A81" w:rsidRDefault="005D7996" w:rsidP="00962C30">
      <w:pPr>
        <w:pStyle w:val="FormelTabrechts"/>
      </w:pPr>
      <m:oMath>
        <m:f>
          <m:fPr>
            <m:ctrlPr>
              <w:rPr>
                <w:rFonts w:ascii="Cambria Math" w:hAnsi="Cambria Math" w:cs="Times New Roman"/>
                <w:i/>
                <w:lang w:val="en-US"/>
              </w:rPr>
            </m:ctrlPr>
          </m:fPr>
          <m:num>
            <m:r>
              <m:rPr>
                <m:nor/>
              </m:rPr>
              <w:rPr>
                <w:rFonts w:cs="Times New Roman"/>
              </w:rPr>
              <m:t>20</m:t>
            </m:r>
          </m:num>
          <m:den>
            <m:r>
              <m:rPr>
                <m:nor/>
              </m:rPr>
              <w:rPr>
                <w:rFonts w:cs="Times New Roman"/>
              </w:rPr>
              <m:t>20</m:t>
            </m:r>
          </m:den>
        </m:f>
      </m:oMath>
      <w:r w:rsidR="006A0D16" w:rsidRPr="00803CA0">
        <w:t xml:space="preserve"> </w:t>
      </w:r>
      <w:r w:rsidR="000317B1">
        <w:rPr>
          <w:rFonts w:cs="Times New Roman"/>
        </w:rPr>
        <w:t>≥</w:t>
      </w:r>
      <w:r w:rsidR="006A0D16"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10</m:t>
                </m:r>
              </m:num>
              <m:den>
                <m:r>
                  <m:rPr>
                    <m:nor/>
                  </m:rPr>
                  <w:rPr>
                    <w:rFonts w:cs="Times New Roman"/>
                  </w:rPr>
                  <m:t>10</m:t>
                </m:r>
              </m:den>
            </m:f>
            <m:r>
              <m:rPr>
                <m:nor/>
              </m:rPr>
              <w:rPr>
                <w:rFonts w:cs="Times New Roman"/>
              </w:rPr>
              <m:t>)</m:t>
            </m:r>
          </m:e>
          <m:sup>
            <m:r>
              <m:rPr>
                <m:nor/>
              </m:rPr>
              <w:rPr>
                <w:rFonts w:cs="Times New Roman"/>
                <w:i/>
              </w:rPr>
              <m:t>f</m:t>
            </m:r>
          </m:sup>
        </m:sSup>
      </m:oMath>
      <w:r w:rsidR="006A0D16" w:rsidRPr="00B82A81">
        <w:tab/>
      </w:r>
      <w:r w:rsidR="00635DE8" w:rsidRPr="00635DE8">
        <w:rPr>
          <w:rFonts w:ascii="Cambria Math" w:eastAsia="Arial Unicode MS" w:hAnsi="Cambria Math" w:cs="Arial Unicode MS"/>
        </w:rPr>
        <w:t>⇒</w:t>
      </w:r>
      <w:r w:rsidR="006A0D16">
        <w:tab/>
        <w:t xml:space="preserve">1 </w:t>
      </w:r>
      <w:r w:rsidR="000317B1">
        <w:rPr>
          <w:rFonts w:cs="Times New Roman"/>
        </w:rPr>
        <w:t>≥</w:t>
      </w:r>
      <w:r w:rsidR="006A0D16">
        <w:rPr>
          <w:position w:val="-6"/>
        </w:rPr>
        <w:t xml:space="preserve"> </w:t>
      </w:r>
      <m:oMath>
        <m:sSup>
          <m:sSupPr>
            <m:ctrlPr>
              <w:rPr>
                <w:rFonts w:ascii="Cambria Math" w:hAnsi="Cambria Math" w:cs="Times New Roman"/>
                <w:i/>
              </w:rPr>
            </m:ctrlPr>
          </m:sSupPr>
          <m:e>
            <m:r>
              <m:rPr>
                <m:nor/>
              </m:rPr>
              <w:rPr>
                <w:rFonts w:cs="Times New Roman"/>
              </w:rPr>
              <m:t>1</m:t>
            </m:r>
          </m:e>
          <m:sup>
            <m:r>
              <m:rPr>
                <m:nor/>
              </m:rPr>
              <w:rPr>
                <w:rFonts w:ascii="Cambria Math" w:cs="Times New Roman"/>
                <w:i/>
              </w:rPr>
              <m:t xml:space="preserve"> </m:t>
            </m:r>
            <m:r>
              <m:rPr>
                <m:nor/>
              </m:rPr>
              <w:rPr>
                <w:rFonts w:cs="Times New Roman"/>
                <w:i/>
              </w:rPr>
              <m:t>f</m:t>
            </m:r>
          </m:sup>
        </m:sSup>
      </m:oMath>
      <w:r w:rsidR="006A0D16">
        <w:tab/>
        <w:t xml:space="preserve">für </w:t>
      </w:r>
      <w:r w:rsidR="006A0D16" w:rsidRPr="003E0660">
        <w:rPr>
          <w:i/>
        </w:rPr>
        <w:t>f</w:t>
      </w:r>
      <w:r w:rsidR="006A0D16">
        <w:t xml:space="preserve"> </w:t>
      </w:r>
      <w:r w:rsidR="006A0D16">
        <w:rPr>
          <w:rFonts w:cs="Times New Roman"/>
        </w:rPr>
        <w:t>&gt;</w:t>
      </w:r>
      <w:r w:rsidR="006A0D16">
        <w:t xml:space="preserve"> 1 erfüllt</w:t>
      </w:r>
    </w:p>
    <w:p w:rsidR="000317B1" w:rsidRDefault="00BD1958" w:rsidP="00962C30">
      <w:pPr>
        <w:pStyle w:val="Text"/>
        <w:ind w:firstLine="0"/>
      </w:pPr>
      <w:r>
        <w:t xml:space="preserve">Allgemeinere </w:t>
      </w:r>
      <w:r w:rsidR="000317B1">
        <w:t>Regeln</w:t>
      </w:r>
      <w:r>
        <w:t xml:space="preserve"> mit gleichem </w:t>
      </w:r>
      <w:r w:rsidRPr="00BD1958">
        <w:rPr>
          <w:i/>
        </w:rPr>
        <w:t>m</w:t>
      </w:r>
      <w:r>
        <w:t xml:space="preserve"> und </w:t>
      </w:r>
      <w:r w:rsidRPr="00BD1958">
        <w:rPr>
          <w:i/>
        </w:rPr>
        <w:t>n</w:t>
      </w:r>
      <w:r>
        <w:t xml:space="preserve"> werden </w:t>
      </w:r>
      <w:r w:rsidR="00DA2A20">
        <w:t xml:space="preserve">also </w:t>
      </w:r>
      <w:r>
        <w:t>entfernt</w:t>
      </w:r>
      <w:r w:rsidR="00DA2A20">
        <w:t xml:space="preserve">, die speziellere Regel bleibt erhalten (vgl. Modul 4). </w:t>
      </w:r>
      <w:r>
        <w:t xml:space="preserve">Dadurch </w:t>
      </w:r>
      <w:r w:rsidR="00DA2A20">
        <w:t xml:space="preserve">wird eine genaue und </w:t>
      </w:r>
      <w:r w:rsidR="00AA76D8">
        <w:t>effiziente</w:t>
      </w:r>
      <w:r w:rsidR="00DA2A20">
        <w:t xml:space="preserve"> Beschreibung ermöglicht; falls für die einzelnen </w:t>
      </w:r>
      <w:r>
        <w:t>Eigenschaften</w:t>
      </w:r>
      <w:r w:rsidR="00DA2A20">
        <w:t>, die für eine b</w:t>
      </w:r>
      <w:r w:rsidR="00DA2A20">
        <w:t>e</w:t>
      </w:r>
      <w:r w:rsidR="00DA2A20">
        <w:t xml:space="preserve">stimmte Lösung feststellbar sind, unterschiedliche </w:t>
      </w:r>
      <w:r>
        <w:t xml:space="preserve">Regeln gebildet </w:t>
      </w:r>
      <w:r w:rsidR="00DA2A20">
        <w:t>wurden, we</w:t>
      </w:r>
      <w:r w:rsidR="00DA2A20">
        <w:t>r</w:t>
      </w:r>
      <w:r w:rsidR="00DA2A20">
        <w:t>den diese zu einer Regel zusammengefasst.</w:t>
      </w:r>
    </w:p>
    <w:p w:rsidR="006A0D16" w:rsidRDefault="000317B1" w:rsidP="00206973">
      <w:pPr>
        <w:pStyle w:val="Text"/>
      </w:pPr>
      <w:r>
        <w:lastRenderedPageBreak/>
        <w:t>Ansonsten ergeben sich keine wesentlichen Änderungen. Fall 1 bis 3 verha</w:t>
      </w:r>
      <w:r>
        <w:t>l</w:t>
      </w:r>
      <w:r>
        <w:t>ten sich gleich; i</w:t>
      </w:r>
      <w:r w:rsidR="006A0D16">
        <w:t xml:space="preserve">n Fall </w:t>
      </w:r>
      <w:r>
        <w:t xml:space="preserve">5 bis 8 wird für den jeweils errechneten Grenzwert für </w:t>
      </w:r>
      <w:r w:rsidRPr="000317B1">
        <w:rPr>
          <w:i/>
        </w:rPr>
        <w:t>f</w:t>
      </w:r>
      <w:r>
        <w:t xml:space="preserve"> (beispielsweise in Fall 5 für </w:t>
      </w:r>
      <w:r w:rsidR="006A0D16">
        <w:rPr>
          <w:i/>
        </w:rPr>
        <w:t>f</w:t>
      </w:r>
      <w:r w:rsidR="006A0D16">
        <w:rPr>
          <w:iCs/>
        </w:rPr>
        <w:t xml:space="preserve"> </w:t>
      </w:r>
      <w:r>
        <w:rPr>
          <w:iCs/>
        </w:rPr>
        <w:t>=</w:t>
      </w:r>
      <w:r w:rsidR="006A0D16">
        <w:rPr>
          <w:iCs/>
        </w:rPr>
        <w:t xml:space="preserve"> 1,161</w:t>
      </w:r>
      <w:r>
        <w:rPr>
          <w:iCs/>
        </w:rPr>
        <w:t xml:space="preserve">) die Merkmalsregel noch hinausgeworfen, erst für höhere </w:t>
      </w:r>
      <w:r w:rsidRPr="000317B1">
        <w:rPr>
          <w:i/>
          <w:iCs/>
        </w:rPr>
        <w:t>f</w:t>
      </w:r>
      <w:r>
        <w:rPr>
          <w:iCs/>
        </w:rPr>
        <w:t xml:space="preserve"> bleibt sie erhalten.</w:t>
      </w:r>
    </w:p>
    <w:p w:rsidR="00DC68F2" w:rsidRDefault="00DC68F2" w:rsidP="0010735C">
      <w:pPr>
        <w:pStyle w:val="Zwischenberschrift"/>
      </w:pPr>
      <w:r w:rsidRPr="00DC68F2">
        <w:t>Beispiel</w:t>
      </w:r>
      <w:r w:rsidR="00AA029D">
        <w:t>e</w:t>
      </w:r>
    </w:p>
    <w:p w:rsidR="00283686" w:rsidRDefault="00283DF6" w:rsidP="00962C30">
      <w:pPr>
        <w:pStyle w:val="Text"/>
        <w:ind w:firstLine="0"/>
        <w:rPr>
          <w:iCs/>
        </w:rPr>
      </w:pPr>
      <w:r>
        <w:rPr>
          <w:iCs/>
        </w:rPr>
        <w:t>Für einen</w:t>
      </w:r>
      <w:r w:rsidR="00283686">
        <w:rPr>
          <w:iCs/>
        </w:rPr>
        <w:t xml:space="preserve"> natürlichsprachlichen Text </w:t>
      </w:r>
      <w:r w:rsidR="006E304A">
        <w:rPr>
          <w:iCs/>
        </w:rPr>
        <w:t>werden zw</w:t>
      </w:r>
      <w:r w:rsidR="00283686">
        <w:rPr>
          <w:iCs/>
        </w:rPr>
        <w:t>ei Regeln gebildet:</w:t>
      </w:r>
    </w:p>
    <w:p w:rsidR="00283686" w:rsidRPr="00E044F6" w:rsidRDefault="00283686" w:rsidP="00962C30">
      <w:pPr>
        <w:pStyle w:val="Interpretation"/>
      </w:pPr>
      <w:r w:rsidRPr="00E044F6">
        <w:rPr>
          <w:i/>
        </w:rPr>
        <w:t>U</w:t>
      </w:r>
      <w:r w:rsidRPr="00E044F6">
        <w:t>(</w:t>
      </w:r>
      <w:r w:rsidRPr="00E044F6">
        <w:rPr>
          <w:i/>
        </w:rPr>
        <w:t>B</w:t>
      </w:r>
      <w:r w:rsidRPr="00E044F6">
        <w:rPr>
          <w:i/>
          <w:vertAlign w:val="subscript"/>
        </w:rPr>
        <w:t>j</w:t>
      </w:r>
      <w:r w:rsidRPr="00E044F6">
        <w:t>): ‚</w:t>
      </w:r>
      <w:r>
        <w:t>Substantive</w:t>
      </w:r>
      <w:r w:rsidRPr="00E044F6">
        <w:t xml:space="preserve">‘, </w:t>
      </w:r>
      <w:r w:rsidRPr="00E044F6">
        <w:rPr>
          <w:i/>
        </w:rPr>
        <w:t>V</w:t>
      </w:r>
      <w:r w:rsidRPr="00E044F6">
        <w:t>(</w:t>
      </w:r>
      <w:r w:rsidRPr="00E044F6">
        <w:rPr>
          <w:i/>
        </w:rPr>
        <w:t>B</w:t>
      </w:r>
      <w:r w:rsidRPr="00E044F6">
        <w:rPr>
          <w:i/>
          <w:vertAlign w:val="subscript"/>
        </w:rPr>
        <w:t>j</w:t>
      </w:r>
      <w:r w:rsidRPr="00E044F6">
        <w:t>): ‚</w:t>
      </w:r>
      <w:r w:rsidR="00C12426">
        <w:t>Fremdwörter</w:t>
      </w:r>
      <w:r w:rsidR="00623AFD">
        <w:t>;</w:t>
      </w:r>
      <w:r w:rsidR="00980478">
        <w:t xml:space="preserve"> aus dem Lateinischen</w:t>
      </w:r>
      <w:r w:rsidRPr="00E044F6">
        <w:t>‘</w:t>
      </w:r>
    </w:p>
    <w:p w:rsidR="00283686" w:rsidRDefault="00283686" w:rsidP="00962C30">
      <w:pPr>
        <w:pStyle w:val="Interpretation"/>
      </w:pPr>
      <w:r w:rsidRPr="00E044F6">
        <w:rPr>
          <w:i/>
        </w:rPr>
        <w:t>U</w:t>
      </w:r>
      <w:r w:rsidRPr="00E044F6">
        <w:t>(</w:t>
      </w:r>
      <w:r w:rsidRPr="00E044F6">
        <w:rPr>
          <w:i/>
        </w:rPr>
        <w:t>B</w:t>
      </w:r>
      <w:r>
        <w:rPr>
          <w:i/>
          <w:vertAlign w:val="subscript"/>
        </w:rPr>
        <w:t>x</w:t>
      </w:r>
      <w:r w:rsidRPr="00E044F6">
        <w:t>): ‚</w:t>
      </w:r>
      <w:r>
        <w:t>Substantive</w:t>
      </w:r>
      <w:r w:rsidRPr="00E044F6">
        <w:t xml:space="preserve">‘, </w:t>
      </w:r>
      <w:r w:rsidRPr="00E044F6">
        <w:rPr>
          <w:i/>
        </w:rPr>
        <w:t>V</w:t>
      </w:r>
      <w:r w:rsidRPr="00E044F6">
        <w:t>(</w:t>
      </w:r>
      <w:r w:rsidRPr="00E044F6">
        <w:rPr>
          <w:i/>
        </w:rPr>
        <w:t>B</w:t>
      </w:r>
      <w:r>
        <w:rPr>
          <w:i/>
          <w:vertAlign w:val="subscript"/>
        </w:rPr>
        <w:t>x</w:t>
      </w:r>
      <w:r w:rsidRPr="00E044F6">
        <w:t>): ‚</w:t>
      </w:r>
      <w:r w:rsidR="00C12426">
        <w:t>Fremdwörter</w:t>
      </w:r>
      <w:r w:rsidRPr="00E044F6">
        <w:t>‘</w:t>
      </w:r>
    </w:p>
    <w:p w:rsidR="00E311A3" w:rsidRDefault="00B67673" w:rsidP="00962C30">
      <w:pPr>
        <w:pStyle w:val="Text"/>
        <w:ind w:firstLine="0"/>
        <w:rPr>
          <w:iCs/>
        </w:rPr>
      </w:pPr>
      <w:r>
        <w:rPr>
          <w:iCs/>
        </w:rPr>
        <w:t>Nehmen wir an</w:t>
      </w:r>
      <w:r w:rsidR="00671591">
        <w:rPr>
          <w:iCs/>
        </w:rPr>
        <w:t>, in jedem zweiten Fall, in dem ein Fremdwort möglich gewesen wäre, stand auch ein lateinisches Fremdwort zur Verfügung.</w:t>
      </w:r>
      <w:bookmarkStart w:id="272" w:name="_Ref289356010"/>
      <w:r w:rsidR="00671591">
        <w:rPr>
          <w:rStyle w:val="Funotenzeichen"/>
          <w:iCs/>
        </w:rPr>
        <w:footnoteReference w:id="395"/>
      </w:r>
      <w:bookmarkEnd w:id="272"/>
      <w:r w:rsidR="00544020">
        <w:rPr>
          <w:iCs/>
        </w:rPr>
        <w:t xml:space="preserve"> </w:t>
      </w:r>
      <w:r w:rsidR="009575B5">
        <w:rPr>
          <w:iCs/>
        </w:rPr>
        <w:t xml:space="preserve">Wurde die </w:t>
      </w:r>
      <w:r w:rsidR="00E311A3">
        <w:rPr>
          <w:iCs/>
        </w:rPr>
        <w:t>allg</w:t>
      </w:r>
      <w:r w:rsidR="00E311A3">
        <w:rPr>
          <w:iCs/>
        </w:rPr>
        <w:t>e</w:t>
      </w:r>
      <w:r w:rsidR="00E311A3">
        <w:rPr>
          <w:iCs/>
        </w:rPr>
        <w:t>meinere</w:t>
      </w:r>
      <w:r w:rsidR="009575B5">
        <w:rPr>
          <w:iCs/>
        </w:rPr>
        <w:t xml:space="preserve"> Regel </w:t>
      </w:r>
      <w:r w:rsidR="00E311A3">
        <w:rPr>
          <w:iCs/>
        </w:rPr>
        <w:t xml:space="preserve">doppelt </w:t>
      </w:r>
      <w:r w:rsidR="009575B5">
        <w:rPr>
          <w:iCs/>
        </w:rPr>
        <w:t>so oft angewandt wie die allgemeinere,</w:t>
      </w:r>
      <w:r w:rsidR="00771169">
        <w:rPr>
          <w:rStyle w:val="Funotenzeichen"/>
          <w:iCs/>
        </w:rPr>
        <w:footnoteReference w:id="396"/>
      </w:r>
      <w:r w:rsidR="009575B5">
        <w:rPr>
          <w:iCs/>
        </w:rPr>
        <w:t xml:space="preserve"> hatte sie diese</w:t>
      </w:r>
      <w:r w:rsidR="009575B5">
        <w:rPr>
          <w:iCs/>
        </w:rPr>
        <w:t>l</w:t>
      </w:r>
      <w:r w:rsidR="009575B5">
        <w:rPr>
          <w:iCs/>
        </w:rPr>
        <w:t>b</w:t>
      </w:r>
      <w:r w:rsidR="00E311A3">
        <w:rPr>
          <w:iCs/>
        </w:rPr>
        <w:t>e Anwendungswahrscheinlichkeit</w:t>
      </w:r>
      <w:r w:rsidR="00723E1C">
        <w:rPr>
          <w:iCs/>
        </w:rPr>
        <w:t>:</w:t>
      </w:r>
    </w:p>
    <w:p w:rsidR="00E311A3" w:rsidRPr="00014CCA" w:rsidRDefault="00E311A3" w:rsidP="00962C30">
      <w:pPr>
        <w:pStyle w:val="Formel"/>
      </w:pPr>
      <w:r w:rsidRPr="00014CCA">
        <w:rPr>
          <w:i/>
        </w:rPr>
        <w:t>m</w:t>
      </w:r>
      <w:r w:rsidRPr="00014CCA">
        <w:rPr>
          <w:i/>
          <w:vertAlign w:val="subscript"/>
        </w:rPr>
        <w:t>j</w:t>
      </w:r>
      <w:r w:rsidRPr="00014CCA">
        <w:t xml:space="preserve"> = 10, </w:t>
      </w:r>
      <w:r w:rsidRPr="00014CCA">
        <w:rPr>
          <w:i/>
        </w:rPr>
        <w:t>n</w:t>
      </w:r>
      <w:r w:rsidRPr="00014CCA">
        <w:rPr>
          <w:i/>
          <w:vertAlign w:val="subscript"/>
        </w:rPr>
        <w:t>j</w:t>
      </w:r>
      <w:r w:rsidRPr="00014CCA">
        <w:t xml:space="preserve"> = </w:t>
      </w:r>
      <w:r w:rsidR="00500760">
        <w:t>5</w:t>
      </w:r>
      <w:r w:rsidRPr="00014CCA">
        <w:t xml:space="preserve">0, </w:t>
      </w:r>
      <w:r w:rsidRPr="00014CCA">
        <w:rPr>
          <w:i/>
        </w:rPr>
        <w:t>w</w:t>
      </w:r>
      <w:r w:rsidRPr="00014CCA">
        <w:t>(</w:t>
      </w:r>
      <w:r w:rsidRPr="00014CCA">
        <w:rPr>
          <w:i/>
        </w:rPr>
        <w:t>B</w:t>
      </w:r>
      <w:r>
        <w:rPr>
          <w:i/>
          <w:vertAlign w:val="subscript"/>
        </w:rPr>
        <w:t>j</w:t>
      </w:r>
      <w:r w:rsidRPr="00014CCA">
        <w:t>) = 0,</w:t>
      </w:r>
      <w:r>
        <w:t>2</w:t>
      </w:r>
      <w:r w:rsidR="00962C30">
        <w:br/>
      </w:r>
      <w:r w:rsidRPr="00014CCA">
        <w:rPr>
          <w:i/>
        </w:rPr>
        <w:t>m</w:t>
      </w:r>
      <w:r>
        <w:rPr>
          <w:i/>
          <w:vertAlign w:val="subscript"/>
        </w:rPr>
        <w:t>x</w:t>
      </w:r>
      <w:r w:rsidRPr="00014CCA">
        <w:t xml:space="preserve"> = </w:t>
      </w:r>
      <w:r>
        <w:t>2</w:t>
      </w:r>
      <w:r w:rsidRPr="00014CCA">
        <w:t xml:space="preserve">0, </w:t>
      </w:r>
      <w:r w:rsidRPr="00014CCA">
        <w:rPr>
          <w:i/>
        </w:rPr>
        <w:t>n</w:t>
      </w:r>
      <w:r>
        <w:rPr>
          <w:i/>
          <w:vertAlign w:val="subscript"/>
        </w:rPr>
        <w:t>x</w:t>
      </w:r>
      <w:r w:rsidRPr="00014CCA">
        <w:t xml:space="preserve"> = </w:t>
      </w:r>
      <w:r>
        <w:t>10</w:t>
      </w:r>
      <w:r w:rsidRPr="00014CCA">
        <w:t xml:space="preserve">0, </w:t>
      </w:r>
      <w:r w:rsidRPr="00014CCA">
        <w:rPr>
          <w:i/>
        </w:rPr>
        <w:t>w</w:t>
      </w:r>
      <w:r w:rsidRPr="00014CCA">
        <w:t>(</w:t>
      </w:r>
      <w:r w:rsidRPr="00014CCA">
        <w:rPr>
          <w:i/>
        </w:rPr>
        <w:t>B</w:t>
      </w:r>
      <w:r w:rsidRPr="00014CCA">
        <w:rPr>
          <w:i/>
          <w:vertAlign w:val="subscript"/>
        </w:rPr>
        <w:t>x</w:t>
      </w:r>
      <w:r w:rsidRPr="00014CCA">
        <w:t>) = 0,</w:t>
      </w:r>
      <w:r>
        <w:t>2</w:t>
      </w:r>
    </w:p>
    <w:p w:rsidR="00723E1C" w:rsidRDefault="00723E1C" w:rsidP="00962C30">
      <w:pPr>
        <w:pStyle w:val="Text"/>
        <w:ind w:firstLine="0"/>
        <w:rPr>
          <w:iCs/>
        </w:rPr>
      </w:pPr>
      <w:r>
        <w:rPr>
          <w:iCs/>
        </w:rPr>
        <w:t>Der Verdacht, dass ihre Anwendungen auf die der spezielleren zurückgehen, kann gar nicht erst aufkommen. Sie muss erhalten bleiben</w:t>
      </w:r>
      <w:r w:rsidR="00500760">
        <w:rPr>
          <w:iCs/>
        </w:rPr>
        <w:t>.</w:t>
      </w:r>
    </w:p>
    <w:p w:rsidR="00623AFD" w:rsidRPr="00B82A81" w:rsidRDefault="005D7996" w:rsidP="001D1680">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623AFD" w:rsidRPr="00803CA0">
        <w:t xml:space="preserve"> </w:t>
      </w:r>
      <w:r w:rsidR="004E77BA">
        <w:rPr>
          <w:rFonts w:cs="Times New Roman"/>
        </w:rPr>
        <w:t>≥</w:t>
      </w:r>
      <w:r w:rsidR="00623AFD"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20</m:t>
                </m:r>
              </m:num>
              <m:den>
                <m:r>
                  <m:rPr>
                    <m:nor/>
                  </m:rPr>
                  <w:rPr>
                    <w:rFonts w:cs="Times New Roman"/>
                  </w:rPr>
                  <m:t>10</m:t>
                </m:r>
              </m:den>
            </m:f>
            <m:r>
              <m:rPr>
                <m:nor/>
              </m:rPr>
              <w:rPr>
                <w:rFonts w:cs="Times New Roman"/>
              </w:rPr>
              <m:t>)</m:t>
            </m:r>
          </m:e>
          <m:sup>
            <m:r>
              <m:rPr>
                <m:nor/>
              </m:rPr>
              <w:rPr>
                <w:rFonts w:cs="Times New Roman"/>
                <w:i/>
              </w:rPr>
              <m:t>f</m:t>
            </m:r>
          </m:sup>
        </m:sSup>
      </m:oMath>
      <w:r w:rsidR="00623AFD" w:rsidRPr="00B82A81">
        <w:tab/>
      </w:r>
      <w:r w:rsidR="00635DE8" w:rsidRPr="00635DE8">
        <w:rPr>
          <w:rFonts w:ascii="Cambria Math" w:eastAsia="Arial Unicode MS" w:hAnsi="Cambria Math" w:cs="Arial Unicode MS"/>
        </w:rPr>
        <w:t>⇒</w:t>
      </w:r>
      <w:r w:rsidR="001D1680">
        <w:rPr>
          <w:rFonts w:ascii="Cambria Math" w:eastAsia="Arial Unicode MS" w:hAnsi="Cambria Math" w:cs="Arial Unicode MS"/>
        </w:rPr>
        <w:tab/>
      </w:r>
      <w:r w:rsidR="00500760">
        <w:t>2</w:t>
      </w:r>
      <w:r w:rsidR="00623AFD">
        <w:t xml:space="preserve"> </w:t>
      </w:r>
      <w:r w:rsidR="004E77BA">
        <w:rPr>
          <w:rFonts w:cs="Times New Roman"/>
        </w:rPr>
        <w:t>≥</w:t>
      </w:r>
      <w:r w:rsidR="00623AFD">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623AFD">
        <w:tab/>
        <w:t xml:space="preserve">für </w:t>
      </w:r>
      <w:r w:rsidR="00623AFD" w:rsidRPr="003E0660">
        <w:rPr>
          <w:i/>
        </w:rPr>
        <w:t>f</w:t>
      </w:r>
      <w:r w:rsidR="00623AFD">
        <w:t xml:space="preserve"> </w:t>
      </w:r>
      <w:r w:rsidR="002D397D">
        <w:rPr>
          <w:rFonts w:cs="Times New Roman"/>
        </w:rPr>
        <w:t>&gt;</w:t>
      </w:r>
      <w:r w:rsidR="00623AFD">
        <w:t xml:space="preserve"> 1 </w:t>
      </w:r>
      <w:r w:rsidR="00BB5D59">
        <w:t xml:space="preserve">nicht </w:t>
      </w:r>
      <w:r w:rsidR="00623AFD">
        <w:t>erfüllt</w:t>
      </w:r>
    </w:p>
    <w:p w:rsidR="00E311A3" w:rsidRDefault="00E311A3" w:rsidP="001D1680">
      <w:pPr>
        <w:pStyle w:val="Text"/>
        <w:ind w:firstLine="0"/>
        <w:rPr>
          <w:iCs/>
        </w:rPr>
      </w:pPr>
      <w:r>
        <w:rPr>
          <w:iCs/>
        </w:rPr>
        <w:t xml:space="preserve">Nehmen wir </w:t>
      </w:r>
      <w:r w:rsidR="00723E1C">
        <w:rPr>
          <w:iCs/>
        </w:rPr>
        <w:t>dagegen</w:t>
      </w:r>
      <w:r>
        <w:rPr>
          <w:iCs/>
        </w:rPr>
        <w:t xml:space="preserve"> an, die allgemeinere</w:t>
      </w:r>
      <w:r w:rsidR="00723E1C">
        <w:rPr>
          <w:iCs/>
        </w:rPr>
        <w:t xml:space="preserve"> Regel wurde genauso oft angewandt wie die speziellere:</w:t>
      </w:r>
    </w:p>
    <w:p w:rsidR="00E311A3" w:rsidRPr="00014CCA" w:rsidRDefault="00E311A3" w:rsidP="001D1680">
      <w:pPr>
        <w:pStyle w:val="Formel"/>
      </w:pPr>
      <w:r w:rsidRPr="00014CCA">
        <w:rPr>
          <w:i/>
        </w:rPr>
        <w:t>m</w:t>
      </w:r>
      <w:r w:rsidRPr="00014CCA">
        <w:rPr>
          <w:i/>
          <w:vertAlign w:val="subscript"/>
        </w:rPr>
        <w:t>j</w:t>
      </w:r>
      <w:r w:rsidRPr="00014CCA">
        <w:t xml:space="preserve"> = 10, </w:t>
      </w:r>
      <w:r w:rsidRPr="00014CCA">
        <w:rPr>
          <w:i/>
        </w:rPr>
        <w:t>n</w:t>
      </w:r>
      <w:r w:rsidRPr="00014CCA">
        <w:rPr>
          <w:i/>
          <w:vertAlign w:val="subscript"/>
        </w:rPr>
        <w:t>j</w:t>
      </w:r>
      <w:r w:rsidRPr="00014CCA">
        <w:t xml:space="preserve"> = </w:t>
      </w:r>
      <w:r>
        <w:t>5</w:t>
      </w:r>
      <w:r w:rsidRPr="00014CCA">
        <w:t xml:space="preserve">0, </w:t>
      </w:r>
      <w:r w:rsidRPr="00014CCA">
        <w:rPr>
          <w:i/>
        </w:rPr>
        <w:t>w</w:t>
      </w:r>
      <w:r w:rsidRPr="00014CCA">
        <w:t>(</w:t>
      </w:r>
      <w:r w:rsidRPr="00014CCA">
        <w:rPr>
          <w:i/>
        </w:rPr>
        <w:t>B</w:t>
      </w:r>
      <w:r>
        <w:rPr>
          <w:i/>
          <w:vertAlign w:val="subscript"/>
        </w:rPr>
        <w:t>j</w:t>
      </w:r>
      <w:r w:rsidRPr="00014CCA">
        <w:t>) = 0,</w:t>
      </w:r>
      <w:r>
        <w:t>2</w:t>
      </w:r>
      <w:r w:rsidR="001D1680">
        <w:br/>
      </w:r>
      <w:r w:rsidRPr="00014CCA">
        <w:rPr>
          <w:i/>
        </w:rPr>
        <w:t>m</w:t>
      </w:r>
      <w:r>
        <w:rPr>
          <w:i/>
          <w:vertAlign w:val="subscript"/>
        </w:rPr>
        <w:t>x</w:t>
      </w:r>
      <w:r w:rsidRPr="00014CCA">
        <w:t xml:space="preserve"> = </w:t>
      </w:r>
      <w:r>
        <w:t>1</w:t>
      </w:r>
      <w:r w:rsidRPr="00014CCA">
        <w:t xml:space="preserve">0, </w:t>
      </w:r>
      <w:r w:rsidRPr="00014CCA">
        <w:rPr>
          <w:i/>
        </w:rPr>
        <w:t>n</w:t>
      </w:r>
      <w:r>
        <w:rPr>
          <w:i/>
          <w:vertAlign w:val="subscript"/>
        </w:rPr>
        <w:t>x</w:t>
      </w:r>
      <w:r w:rsidRPr="00014CCA">
        <w:t xml:space="preserve"> = </w:t>
      </w:r>
      <w:r w:rsidR="00723E1C">
        <w:t>10</w:t>
      </w:r>
      <w:r w:rsidRPr="00014CCA">
        <w:t xml:space="preserve">0, </w:t>
      </w:r>
      <w:r w:rsidRPr="00014CCA">
        <w:rPr>
          <w:i/>
        </w:rPr>
        <w:t>w</w:t>
      </w:r>
      <w:r w:rsidRPr="00014CCA">
        <w:t>(</w:t>
      </w:r>
      <w:r w:rsidRPr="00014CCA">
        <w:rPr>
          <w:i/>
        </w:rPr>
        <w:t>B</w:t>
      </w:r>
      <w:r w:rsidRPr="00014CCA">
        <w:rPr>
          <w:i/>
          <w:vertAlign w:val="subscript"/>
        </w:rPr>
        <w:t>x</w:t>
      </w:r>
      <w:r w:rsidRPr="00014CCA">
        <w:t>) = 0,</w:t>
      </w:r>
      <w:r w:rsidR="00A902D3">
        <w:t>1</w:t>
      </w:r>
    </w:p>
    <w:p w:rsidR="00E311A3" w:rsidRDefault="00723E1C" w:rsidP="001D1680">
      <w:pPr>
        <w:pStyle w:val="Text"/>
        <w:ind w:firstLine="0"/>
        <w:rPr>
          <w:iCs/>
        </w:rPr>
      </w:pPr>
      <w:r>
        <w:rPr>
          <w:iCs/>
        </w:rPr>
        <w:t>Hier ‚klaut‘ die allgemeinere Regel nur die Anwendungen der spezielleren, sie beschreibt keinen eigenständigen Sachverhalt.</w:t>
      </w:r>
      <w:r w:rsidR="00F351C3">
        <w:rPr>
          <w:iCs/>
        </w:rPr>
        <w:t xml:space="preserve"> Sie muss raus.</w:t>
      </w:r>
    </w:p>
    <w:p w:rsidR="00500760" w:rsidRPr="00B82A81" w:rsidRDefault="005D7996" w:rsidP="001D1680">
      <w:pPr>
        <w:pStyle w:val="FormelTabrechts"/>
      </w:pPr>
      <m:oMath>
        <m:f>
          <m:fPr>
            <m:ctrlPr>
              <w:rPr>
                <w:rFonts w:ascii="Cambria Math" w:hAnsi="Cambria Math"/>
                <w:i/>
                <w:lang w:val="en-US"/>
              </w:rPr>
            </m:ctrlPr>
          </m:fPr>
          <m:num>
            <m:r>
              <m:rPr>
                <m:nor/>
              </m:rPr>
              <m:t>100</m:t>
            </m:r>
          </m:num>
          <m:den>
            <m:r>
              <m:rPr>
                <m:nor/>
              </m:rPr>
              <m:t>50</m:t>
            </m:r>
          </m:den>
        </m:f>
      </m:oMath>
      <w:r w:rsidR="00500760" w:rsidRPr="00803CA0">
        <w:t xml:space="preserve"> </w:t>
      </w:r>
      <w:r w:rsidR="004E77BA">
        <w:t>≥</w:t>
      </w:r>
      <w:r w:rsidR="00500760"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10</m:t>
                </m:r>
              </m:num>
              <m:den>
                <m:r>
                  <m:rPr>
                    <m:nor/>
                  </m:rPr>
                  <m:t>10</m:t>
                </m:r>
              </m:den>
            </m:f>
            <m:r>
              <m:rPr>
                <m:nor/>
              </m:rPr>
              <m:t>)</m:t>
            </m:r>
          </m:e>
          <m:sup>
            <m:r>
              <m:rPr>
                <m:nor/>
              </m:rPr>
              <w:rPr>
                <w:i/>
              </w:rPr>
              <m:t>f</m:t>
            </m:r>
          </m:sup>
        </m:sSup>
      </m:oMath>
      <w:r w:rsidR="00500760" w:rsidRPr="00B82A81">
        <w:tab/>
      </w:r>
      <w:r w:rsidR="00635DE8" w:rsidRPr="00635DE8">
        <w:rPr>
          <w:rFonts w:ascii="Cambria Math" w:eastAsia="Arial Unicode MS" w:hAnsi="Cambria Math" w:cs="Arial Unicode MS"/>
        </w:rPr>
        <w:t>⇒</w:t>
      </w:r>
      <w:r w:rsidR="00500760">
        <w:tab/>
        <w:t xml:space="preserve">2 </w:t>
      </w:r>
      <w:r w:rsidR="004E77BA">
        <w:t>≥</w:t>
      </w:r>
      <w:r w:rsidR="00500760">
        <w:rPr>
          <w:position w:val="-6"/>
        </w:rPr>
        <w:t xml:space="preserve"> </w:t>
      </w:r>
      <m:oMath>
        <m:sSup>
          <m:sSupPr>
            <m:ctrlPr>
              <w:rPr>
                <w:rFonts w:ascii="Cambria Math" w:hAnsi="Cambria Math"/>
                <w:i/>
              </w:rPr>
            </m:ctrlPr>
          </m:sSupPr>
          <m:e>
            <m:r>
              <m:rPr>
                <m:nor/>
              </m:rPr>
              <m:t>1</m:t>
            </m:r>
          </m:e>
          <m:sup>
            <m:r>
              <m:rPr>
                <m:nor/>
              </m:rPr>
              <w:rPr>
                <w:rFonts w:ascii="Cambria Math"/>
                <w:i/>
              </w:rPr>
              <m:t xml:space="preserve"> </m:t>
            </m:r>
            <m:r>
              <m:rPr>
                <m:nor/>
              </m:rPr>
              <w:rPr>
                <w:i/>
              </w:rPr>
              <m:t>f</m:t>
            </m:r>
          </m:sup>
        </m:sSup>
      </m:oMath>
      <w:r w:rsidR="00500760">
        <w:tab/>
        <w:t xml:space="preserve">für </w:t>
      </w:r>
      <w:r w:rsidR="00500760" w:rsidRPr="003E0660">
        <w:rPr>
          <w:i/>
        </w:rPr>
        <w:t>f</w:t>
      </w:r>
      <w:r w:rsidR="00500760">
        <w:t xml:space="preserve"> </w:t>
      </w:r>
      <w:r w:rsidR="002D397D">
        <w:t>&gt;</w:t>
      </w:r>
      <w:r w:rsidR="00500760">
        <w:t xml:space="preserve"> 1 erfüllt</w:t>
      </w:r>
    </w:p>
    <w:p w:rsidR="006564A2" w:rsidRDefault="00351265" w:rsidP="0083453F">
      <w:pPr>
        <w:pStyle w:val="Text"/>
        <w:ind w:firstLine="0"/>
        <w:rPr>
          <w:iCs/>
        </w:rPr>
      </w:pPr>
      <w:r>
        <w:rPr>
          <w:iCs/>
        </w:rPr>
        <w:t>Dazwischen liegt der folgende Fall:</w:t>
      </w:r>
    </w:p>
    <w:p w:rsidR="00351265" w:rsidRPr="00014CCA" w:rsidRDefault="00351265" w:rsidP="0083453F">
      <w:pPr>
        <w:pStyle w:val="Formel"/>
      </w:pPr>
      <w:r w:rsidRPr="00014CCA">
        <w:rPr>
          <w:i/>
        </w:rPr>
        <w:t>m</w:t>
      </w:r>
      <w:r w:rsidRPr="00014CCA">
        <w:rPr>
          <w:i/>
          <w:vertAlign w:val="subscript"/>
        </w:rPr>
        <w:t>j</w:t>
      </w:r>
      <w:r w:rsidRPr="00014CCA">
        <w:t xml:space="preserve"> = 10, </w:t>
      </w:r>
      <w:r w:rsidRPr="00014CCA">
        <w:rPr>
          <w:i/>
        </w:rPr>
        <w:t>n</w:t>
      </w:r>
      <w:r w:rsidRPr="00014CCA">
        <w:rPr>
          <w:i/>
          <w:vertAlign w:val="subscript"/>
        </w:rPr>
        <w:t>j</w:t>
      </w:r>
      <w:r w:rsidRPr="00014CCA">
        <w:t xml:space="preserve"> = </w:t>
      </w:r>
      <w:r>
        <w:t>5</w:t>
      </w:r>
      <w:r w:rsidRPr="00014CCA">
        <w:t xml:space="preserve">0, </w:t>
      </w:r>
      <w:r w:rsidRPr="00014CCA">
        <w:rPr>
          <w:i/>
        </w:rPr>
        <w:t>w</w:t>
      </w:r>
      <w:r w:rsidRPr="00014CCA">
        <w:t>(</w:t>
      </w:r>
      <w:r w:rsidRPr="00014CCA">
        <w:rPr>
          <w:i/>
        </w:rPr>
        <w:t>B</w:t>
      </w:r>
      <w:r>
        <w:rPr>
          <w:i/>
          <w:vertAlign w:val="subscript"/>
        </w:rPr>
        <w:t>j</w:t>
      </w:r>
      <w:r w:rsidRPr="00014CCA">
        <w:t>) = 0,</w:t>
      </w:r>
      <w:r>
        <w:t>2</w:t>
      </w:r>
      <w:r w:rsidR="0083453F">
        <w:br/>
      </w:r>
      <w:r w:rsidRPr="00014CCA">
        <w:rPr>
          <w:i/>
        </w:rPr>
        <w:t>m</w:t>
      </w:r>
      <w:r>
        <w:rPr>
          <w:i/>
          <w:vertAlign w:val="subscript"/>
        </w:rPr>
        <w:t>x</w:t>
      </w:r>
      <w:r w:rsidRPr="00014CCA">
        <w:t xml:space="preserve"> = </w:t>
      </w:r>
      <w:r>
        <w:t>15</w:t>
      </w:r>
      <w:r w:rsidRPr="00014CCA">
        <w:t xml:space="preserve">, </w:t>
      </w:r>
      <w:r w:rsidRPr="00014CCA">
        <w:rPr>
          <w:i/>
        </w:rPr>
        <w:t>n</w:t>
      </w:r>
      <w:r>
        <w:rPr>
          <w:i/>
          <w:vertAlign w:val="subscript"/>
        </w:rPr>
        <w:t>x</w:t>
      </w:r>
      <w:r w:rsidRPr="00014CCA">
        <w:t xml:space="preserve"> = </w:t>
      </w:r>
      <w:r>
        <w:t>10</w:t>
      </w:r>
      <w:r w:rsidRPr="00014CCA">
        <w:t xml:space="preserve">0, </w:t>
      </w:r>
      <w:r w:rsidRPr="00014CCA">
        <w:rPr>
          <w:i/>
        </w:rPr>
        <w:t>w</w:t>
      </w:r>
      <w:r w:rsidRPr="00014CCA">
        <w:t>(</w:t>
      </w:r>
      <w:r w:rsidRPr="00014CCA">
        <w:rPr>
          <w:i/>
        </w:rPr>
        <w:t>B</w:t>
      </w:r>
      <w:r w:rsidRPr="00014CCA">
        <w:rPr>
          <w:i/>
          <w:vertAlign w:val="subscript"/>
        </w:rPr>
        <w:t>x</w:t>
      </w:r>
      <w:r w:rsidRPr="00014CCA">
        <w:t>) = 0,</w:t>
      </w:r>
      <w:r>
        <w:t>15</w:t>
      </w:r>
    </w:p>
    <w:p w:rsidR="00351265" w:rsidRPr="00B82A81" w:rsidRDefault="005D7996" w:rsidP="0083453F">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50</m:t>
            </m:r>
          </m:den>
        </m:f>
      </m:oMath>
      <w:r w:rsidR="00351265" w:rsidRPr="00803CA0">
        <w:t xml:space="preserve"> </w:t>
      </w:r>
      <w:r w:rsidR="004E77BA">
        <w:rPr>
          <w:rFonts w:cs="Times New Roman"/>
        </w:rPr>
        <w:t>≥</w:t>
      </w:r>
      <w:r w:rsidR="00351265"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15</m:t>
                </m:r>
              </m:num>
              <m:den>
                <m:r>
                  <m:rPr>
                    <m:nor/>
                  </m:rPr>
                  <w:rPr>
                    <w:rFonts w:cs="Times New Roman"/>
                  </w:rPr>
                  <m:t>10</m:t>
                </m:r>
              </m:den>
            </m:f>
            <m:r>
              <m:rPr>
                <m:nor/>
              </m:rPr>
              <w:rPr>
                <w:rFonts w:cs="Times New Roman"/>
              </w:rPr>
              <m:t>)</m:t>
            </m:r>
          </m:e>
          <m:sup>
            <m:r>
              <m:rPr>
                <m:nor/>
              </m:rPr>
              <w:rPr>
                <w:rFonts w:cs="Times New Roman"/>
                <w:i/>
              </w:rPr>
              <m:t>f</m:t>
            </m:r>
          </m:sup>
        </m:sSup>
      </m:oMath>
      <w:r w:rsidR="00351265" w:rsidRPr="00B82A81">
        <w:tab/>
      </w:r>
      <w:r w:rsidR="00635DE8" w:rsidRPr="00635DE8">
        <w:rPr>
          <w:rFonts w:ascii="Cambria Math" w:eastAsia="Arial Unicode MS" w:hAnsi="Cambria Math" w:cs="Arial Unicode MS"/>
        </w:rPr>
        <w:t>⇒</w:t>
      </w:r>
      <w:r w:rsidR="00351265">
        <w:tab/>
        <w:t xml:space="preserve">2 </w:t>
      </w:r>
      <w:r w:rsidR="004E77BA">
        <w:rPr>
          <w:rFonts w:cs="Times New Roman"/>
        </w:rPr>
        <w:t>≥</w:t>
      </w:r>
      <w:r w:rsidR="00351265">
        <w:rPr>
          <w:position w:val="-6"/>
        </w:rPr>
        <w:t xml:space="preserve"> </w:t>
      </w:r>
      <m:oMath>
        <m:sSup>
          <m:sSupPr>
            <m:ctrlPr>
              <w:rPr>
                <w:rFonts w:ascii="Cambria Math" w:hAnsi="Cambria Math" w:cs="Times New Roman"/>
                <w:i/>
              </w:rPr>
            </m:ctrlPr>
          </m:sSupPr>
          <m:e>
            <m:r>
              <m:rPr>
                <m:nor/>
              </m:rPr>
              <w:rPr>
                <w:rFonts w:cs="Times New Roman"/>
              </w:rPr>
              <m:t>1,5</m:t>
            </m:r>
          </m:e>
          <m:sup>
            <m:r>
              <m:rPr>
                <m:nor/>
              </m:rPr>
              <w:rPr>
                <w:rFonts w:ascii="Cambria Math" w:cs="Times New Roman"/>
                <w:i/>
              </w:rPr>
              <m:t xml:space="preserve"> </m:t>
            </m:r>
            <m:r>
              <m:rPr>
                <m:nor/>
              </m:rPr>
              <w:rPr>
                <w:rFonts w:cs="Times New Roman"/>
                <w:i/>
              </w:rPr>
              <m:t>f</m:t>
            </m:r>
          </m:sup>
        </m:sSup>
      </m:oMath>
      <w:r w:rsidR="00351265">
        <w:tab/>
        <w:t xml:space="preserve">für 1,71 </w:t>
      </w:r>
      <w:r w:rsidR="004E77BA">
        <w:rPr>
          <w:rFonts w:cs="Times New Roman"/>
        </w:rPr>
        <w:t>≥</w:t>
      </w:r>
      <w:r w:rsidR="00351265">
        <w:t xml:space="preserve"> </w:t>
      </w:r>
      <w:r w:rsidR="00351265" w:rsidRPr="00656F67">
        <w:rPr>
          <w:i/>
        </w:rPr>
        <w:t>f</w:t>
      </w:r>
      <w:r w:rsidR="00351265">
        <w:t xml:space="preserve"> </w:t>
      </w:r>
      <w:r w:rsidR="002D397D">
        <w:rPr>
          <w:rFonts w:cs="Times New Roman"/>
        </w:rPr>
        <w:t>&gt;</w:t>
      </w:r>
      <w:r w:rsidR="00351265">
        <w:rPr>
          <w:rFonts w:cs="Times New Roman"/>
        </w:rPr>
        <w:t xml:space="preserve"> 1 </w:t>
      </w:r>
      <w:r w:rsidR="006E4A14">
        <w:t>erf.</w:t>
      </w:r>
      <w:r w:rsidR="00351265">
        <w:t xml:space="preserve">, für </w:t>
      </w:r>
      <w:r w:rsidR="00351265" w:rsidRPr="003E0660">
        <w:rPr>
          <w:i/>
        </w:rPr>
        <w:t>f</w:t>
      </w:r>
      <w:r w:rsidR="00351265">
        <w:t xml:space="preserve"> </w:t>
      </w:r>
      <w:r w:rsidR="004E77BA">
        <w:rPr>
          <w:rFonts w:cs="Times New Roman"/>
        </w:rPr>
        <w:t>&gt;</w:t>
      </w:r>
      <w:r w:rsidR="00351265">
        <w:t xml:space="preserve"> 1,71 nicht erf.</w:t>
      </w:r>
    </w:p>
    <w:p w:rsidR="0048485D" w:rsidRDefault="00351265" w:rsidP="0083453F">
      <w:pPr>
        <w:pStyle w:val="Text"/>
        <w:ind w:firstLine="0"/>
      </w:pPr>
      <w:r>
        <w:rPr>
          <w:iCs/>
        </w:rPr>
        <w:t>Für dem empfohlenen</w:t>
      </w:r>
      <w:r w:rsidR="00BB5D59" w:rsidRPr="00BB5D59">
        <w:rPr>
          <w:iCs/>
        </w:rPr>
        <w:t xml:space="preserve"> </w:t>
      </w:r>
      <w:r w:rsidR="00BB5D59">
        <w:rPr>
          <w:iCs/>
        </w:rPr>
        <w:t xml:space="preserve">Wert </w:t>
      </w:r>
      <w:r w:rsidR="00BB5D59" w:rsidRPr="00003E54">
        <w:rPr>
          <w:i/>
          <w:iCs/>
        </w:rPr>
        <w:t>f</w:t>
      </w:r>
      <w:r w:rsidR="00BB5D59">
        <w:rPr>
          <w:iCs/>
        </w:rPr>
        <w:t xml:space="preserve"> = 2 wird diese Merkmalsregel nicht </w:t>
      </w:r>
      <w:r w:rsidR="0002602F">
        <w:rPr>
          <w:iCs/>
        </w:rPr>
        <w:t>entfernt</w:t>
      </w:r>
      <w:r w:rsidR="00BB5D59">
        <w:rPr>
          <w:iCs/>
        </w:rPr>
        <w:t xml:space="preserve">. </w:t>
      </w:r>
      <w:r>
        <w:t>Für gewöhnlich ist bei einer allgemeineren Regel mit einer niedrigeren ‚Trefferquote‘ zu rechnen, dafür erfasst sie ja auch mehr Einzelphänomene.</w:t>
      </w:r>
    </w:p>
    <w:p w:rsidR="00206973" w:rsidRDefault="008522D4" w:rsidP="0010735C">
      <w:pPr>
        <w:pStyle w:val="Zwischenberschrift"/>
        <w:spacing w:before="360"/>
      </w:pPr>
      <w:r w:rsidRPr="00AF0610">
        <w:rPr>
          <w:i w:val="0"/>
        </w:rPr>
        <w:t>Modul 4:</w:t>
      </w:r>
      <w:r w:rsidRPr="00AF0610">
        <w:rPr>
          <w:i w:val="0"/>
        </w:rPr>
        <w:tab/>
      </w:r>
      <w:r w:rsidR="00206973" w:rsidRPr="00146E76">
        <w:t>Regeln mit spezielleren verlangten Eigenschaften</w:t>
      </w:r>
    </w:p>
    <w:p w:rsidR="000D479A" w:rsidRDefault="000D479A" w:rsidP="0083453F">
      <w:pPr>
        <w:pStyle w:val="Text"/>
        <w:ind w:firstLine="0"/>
      </w:pPr>
      <w:r>
        <w:t>Speziellere verlangte Eigenschaften verringern oft die Anwendungsmöglichke</w:t>
      </w:r>
      <w:r>
        <w:t>i</w:t>
      </w:r>
      <w:r>
        <w:t xml:space="preserve">ten </w:t>
      </w:r>
      <w:r w:rsidRPr="000D479A">
        <w:rPr>
          <w:i/>
        </w:rPr>
        <w:t>n</w:t>
      </w:r>
      <w:r>
        <w:t xml:space="preserve"> einer Merkmalsregel. Je stärker diese Verringerung ist, desto größer die Wahrscheinlichkeit, dass die verlangten Eigenschaften unpassend formuliert sind. Sofern das geringere </w:t>
      </w:r>
      <w:r w:rsidRPr="000D479A">
        <w:rPr>
          <w:i/>
        </w:rPr>
        <w:t>n</w:t>
      </w:r>
      <w:r>
        <w:t xml:space="preserve"> nicht durch ein höheres </w:t>
      </w:r>
      <w:r w:rsidRPr="000D479A">
        <w:rPr>
          <w:i/>
        </w:rPr>
        <w:t>w</w:t>
      </w:r>
      <w:r>
        <w:t xml:space="preserve"> ausgeglichen werden kann, sollten solche Regeln </w:t>
      </w:r>
      <w:r w:rsidR="0002602F">
        <w:rPr>
          <w:iCs/>
        </w:rPr>
        <w:t>entfernt</w:t>
      </w:r>
      <w:r w:rsidR="0002602F">
        <w:t xml:space="preserve"> </w:t>
      </w:r>
      <w:r>
        <w:t xml:space="preserve">werden. (Der Toleranzfaktor </w:t>
      </w:r>
      <w:r w:rsidRPr="000D479A">
        <w:rPr>
          <w:i/>
        </w:rPr>
        <w:t>f</w:t>
      </w:r>
      <w:r>
        <w:t xml:space="preserve"> bestimmt dabei die Ausgleichswirkung eines höheren </w:t>
      </w:r>
      <w:r w:rsidRPr="000D479A">
        <w:rPr>
          <w:i/>
        </w:rPr>
        <w:t>w</w:t>
      </w:r>
      <w:r>
        <w:t>.)</w:t>
      </w:r>
    </w:p>
    <w:p w:rsidR="0001718E" w:rsidRDefault="0001718E" w:rsidP="0010735C">
      <w:pPr>
        <w:pStyle w:val="Zwischenberschrift"/>
      </w:pPr>
      <w:r>
        <w:t>Die Bedingungen für die Überprüfung</w:t>
      </w:r>
    </w:p>
    <w:p w:rsidR="00540650" w:rsidRDefault="00540650" w:rsidP="0083453F">
      <w:pPr>
        <w:pStyle w:val="Text"/>
        <w:ind w:firstLine="0"/>
      </w:pPr>
      <w:r>
        <w:t xml:space="preserve">Die Anwendungsbedingungen </w:t>
      </w:r>
      <w:r w:rsidRPr="00415909">
        <w:rPr>
          <w:i/>
        </w:rPr>
        <w:t>U</w:t>
      </w:r>
      <w:r>
        <w:t xml:space="preserve"> sind gleich. Die verlangten Eigenschaften der allgemeineren Merkmalsregel </w:t>
      </w:r>
      <w:r>
        <w:rPr>
          <w:i/>
          <w:iCs/>
        </w:rPr>
        <w:t>B</w:t>
      </w:r>
      <w:r>
        <w:rPr>
          <w:i/>
          <w:iCs/>
          <w:vertAlign w:val="subscript"/>
        </w:rPr>
        <w:t>j</w:t>
      </w:r>
      <w:r>
        <w:t xml:space="preserve"> sind eine echte Teilmenge der verlangten Eige</w:t>
      </w:r>
      <w:r>
        <w:t>n</w:t>
      </w:r>
      <w:r>
        <w:t xml:space="preserve">schaften der spezielleren </w:t>
      </w:r>
      <w:r>
        <w:rPr>
          <w:i/>
          <w:iCs/>
        </w:rPr>
        <w:t>B</w:t>
      </w:r>
      <w:r>
        <w:rPr>
          <w:i/>
          <w:iCs/>
          <w:vertAlign w:val="subscript"/>
        </w:rPr>
        <w:t>x</w:t>
      </w:r>
      <w:r>
        <w:t>.</w:t>
      </w:r>
    </w:p>
    <w:p w:rsidR="00540650" w:rsidRPr="00C124EA" w:rsidRDefault="00540650" w:rsidP="0083453F">
      <w:pPr>
        <w:pStyle w:val="Formel"/>
      </w:pPr>
      <w:r w:rsidRPr="00C124EA">
        <w:t>(</w:t>
      </w:r>
      <w:r w:rsidRPr="00C124EA">
        <w:rPr>
          <w:i/>
        </w:rPr>
        <w:t>U</w:t>
      </w:r>
      <w:r w:rsidRPr="00C124EA">
        <w:t>(</w:t>
      </w:r>
      <w:r w:rsidRPr="00C124EA">
        <w:rPr>
          <w:i/>
        </w:rPr>
        <w:t>B</w:t>
      </w:r>
      <w:r w:rsidRPr="00C124EA">
        <w:rPr>
          <w:i/>
          <w:vertAlign w:val="subscript"/>
        </w:rPr>
        <w:t>j</w:t>
      </w:r>
      <w:r w:rsidRPr="00C124EA">
        <w:t xml:space="preserve">) = </w:t>
      </w:r>
      <w:r w:rsidRPr="00C124EA">
        <w:rPr>
          <w:i/>
        </w:rPr>
        <w:t>U</w:t>
      </w:r>
      <w:r w:rsidRPr="00C124EA">
        <w:t>(</w:t>
      </w:r>
      <w:r w:rsidRPr="00C124EA">
        <w:rPr>
          <w:i/>
        </w:rPr>
        <w:t>B</w:t>
      </w:r>
      <w:r w:rsidRPr="00C124EA">
        <w:rPr>
          <w:i/>
          <w:vertAlign w:val="subscript"/>
        </w:rPr>
        <w:t>x</w:t>
      </w:r>
      <w:r w:rsidRPr="00C124EA">
        <w:t xml:space="preserve">)) </w:t>
      </w:r>
      <w:r w:rsidRPr="00C124EA">
        <w:rPr>
          <w:rFonts w:ascii="Cambria Math" w:hAnsi="Cambria Math" w:cs="Cambria Math"/>
          <w:color w:val="000000" w:themeColor="text1"/>
        </w:rPr>
        <w:t>∧</w:t>
      </w:r>
      <w:r w:rsidRPr="00C124EA">
        <w:t xml:space="preserve"> (</w:t>
      </w:r>
      <w:r w:rsidRPr="00C124EA">
        <w:rPr>
          <w:i/>
        </w:rPr>
        <w:t>V</w:t>
      </w:r>
      <w:r w:rsidRPr="00C124EA">
        <w:t>(</w:t>
      </w:r>
      <w:r w:rsidRPr="00C124EA">
        <w:rPr>
          <w:i/>
        </w:rPr>
        <w:t>B</w:t>
      </w:r>
      <w:r w:rsidRPr="00C124EA">
        <w:rPr>
          <w:i/>
          <w:vertAlign w:val="subscript"/>
        </w:rPr>
        <w:t>j</w:t>
      </w:r>
      <w:r w:rsidRPr="00C124EA">
        <w:t>)</w:t>
      </w:r>
      <w:r w:rsidR="001B6A44" w:rsidRPr="001B6A44">
        <w:t xml:space="preserve"> </w:t>
      </w:r>
      <w:r w:rsidR="001B6A44" w:rsidRPr="001B6A44">
        <w:rPr>
          <w:rFonts w:ascii="Cambria Math" w:eastAsia="Arial Unicode MS" w:hAnsi="Cambria Math" w:cs="Arial Unicode MS"/>
        </w:rPr>
        <w:t>⊂</w:t>
      </w:r>
      <w:r w:rsidR="001B6A44" w:rsidRPr="001B6A44">
        <w:rPr>
          <w:i/>
        </w:rPr>
        <w:t xml:space="preserve"> </w:t>
      </w:r>
      <w:r w:rsidRPr="00C124EA">
        <w:rPr>
          <w:i/>
        </w:rPr>
        <w:t>V</w:t>
      </w:r>
      <w:r w:rsidRPr="00C124EA">
        <w:t>(</w:t>
      </w:r>
      <w:r w:rsidRPr="00C124EA">
        <w:rPr>
          <w:i/>
        </w:rPr>
        <w:t>B</w:t>
      </w:r>
      <w:r w:rsidRPr="00C124EA">
        <w:rPr>
          <w:i/>
          <w:vertAlign w:val="subscript"/>
        </w:rPr>
        <w:t>x</w:t>
      </w:r>
      <w:r w:rsidRPr="00C124EA">
        <w:t>))</w:t>
      </w:r>
    </w:p>
    <w:p w:rsidR="00C604FC" w:rsidRDefault="00C604FC" w:rsidP="0010735C">
      <w:pPr>
        <w:pStyle w:val="Zwischenberschrift"/>
      </w:pPr>
      <w:r>
        <w:t xml:space="preserve">Die Bedingung für </w:t>
      </w:r>
      <w:r w:rsidR="0002602F">
        <w:t>die Entfernung</w:t>
      </w:r>
    </w:p>
    <w:p w:rsidR="00085C0E" w:rsidRDefault="00085C0E" w:rsidP="0083453F">
      <w:pPr>
        <w:pStyle w:val="Text"/>
        <w:keepNext/>
        <w:ind w:firstLine="0"/>
      </w:pPr>
      <w:r>
        <w:t xml:space="preserve">Die Bedingung wird aus Modul 2 übernommen, wobei </w:t>
      </w:r>
      <w:r>
        <w:rPr>
          <w:rFonts w:cs="Times New Roman"/>
          <w:iCs/>
        </w:rPr>
        <w:t>≥</w:t>
      </w:r>
      <w:r>
        <w:t xml:space="preserve"> durch &gt; ersetzt wird:</w:t>
      </w:r>
    </w:p>
    <w:p w:rsidR="00540650" w:rsidRPr="005D5E40" w:rsidRDefault="005D7996" w:rsidP="0083453F">
      <w:pPr>
        <w:pStyle w:val="FormelTabrechts"/>
      </w:pPr>
      <m:oMath>
        <m:f>
          <m:fPr>
            <m:ctrlPr>
              <w:rPr>
                <w:rFonts w:ascii="Cambria Math" w:hAnsi="Cambria Math"/>
                <w:i/>
                <w:lang w:val="en-US"/>
              </w:rPr>
            </m:ctrlPr>
          </m:fPr>
          <m:num>
            <m:sSub>
              <m:sSubPr>
                <m:ctrlPr>
                  <w:rPr>
                    <w:rFonts w:ascii="Cambria Math" w:hAnsi="Cambria Math"/>
                    <w:i/>
                    <w:lang w:val="en-US"/>
                  </w:rPr>
                </m:ctrlPr>
              </m:sSubPr>
              <m:e>
                <m:r>
                  <m:rPr>
                    <m:nor/>
                  </m:rPr>
                  <w:rPr>
                    <w:i/>
                  </w:rPr>
                  <m:t>N</m:t>
                </m:r>
              </m:e>
              <m:sub>
                <m:r>
                  <m:rPr>
                    <m:nor/>
                  </m:rPr>
                  <w:rPr>
                    <w:i/>
                  </w:rPr>
                  <m:t>j</m:t>
                </m:r>
              </m:sub>
            </m:sSub>
          </m:num>
          <m:den>
            <m:sSub>
              <m:sSubPr>
                <m:ctrlPr>
                  <w:rPr>
                    <w:rFonts w:ascii="Cambria Math" w:hAnsi="Cambria Math"/>
                    <w:i/>
                    <w:lang w:val="en-US"/>
                  </w:rPr>
                </m:ctrlPr>
              </m:sSubPr>
              <m:e>
                <m:r>
                  <m:rPr>
                    <m:nor/>
                  </m:rPr>
                  <w:rPr>
                    <w:i/>
                  </w:rPr>
                  <m:t>N</m:t>
                </m:r>
              </m:e>
              <m:sub>
                <m:r>
                  <m:rPr>
                    <m:nor/>
                  </m:rPr>
                  <w:rPr>
                    <w:i/>
                  </w:rPr>
                  <m:t>x</m:t>
                </m:r>
              </m:sub>
            </m:sSub>
          </m:den>
        </m:f>
      </m:oMath>
      <w:r w:rsidR="00540650" w:rsidRPr="0045617D">
        <w:rPr>
          <w:iCs/>
        </w:rPr>
        <w:t xml:space="preserve"> </w:t>
      </w:r>
      <w:r w:rsidR="00085C0E">
        <w:t>&gt;</w:t>
      </w:r>
      <w:r w:rsidR="00540650" w:rsidRPr="0045617D">
        <w:rPr>
          <w:iCs/>
        </w:rPr>
        <w:t xml:space="preserve"> </w:t>
      </w:r>
      <m:oMath>
        <m:r>
          <m:rPr>
            <m:nor/>
          </m:rPr>
          <m:t>(</m:t>
        </m:r>
        <m:sSup>
          <m:sSupPr>
            <m:ctrlPr>
              <w:rPr>
                <w:rFonts w:ascii="Cambria Math" w:hAnsi="Cambria Math"/>
                <w:i/>
                <w:iCs/>
              </w:rPr>
            </m:ctrlPr>
          </m:sSupPr>
          <m:e>
            <m:f>
              <m:fPr>
                <m:ctrlPr>
                  <w:rPr>
                    <w:rFonts w:ascii="Cambria Math" w:hAnsi="Cambria Math"/>
                    <w:i/>
                    <w:lang w:val="en-US"/>
                  </w:rPr>
                </m:ctrlPr>
              </m:fPr>
              <m:num>
                <m:sSub>
                  <m:sSubPr>
                    <m:ctrlPr>
                      <w:rPr>
                        <w:rFonts w:ascii="Cambria Math" w:hAnsi="Cambria Math"/>
                        <w:i/>
                        <w:lang w:val="en-US"/>
                      </w:rPr>
                    </m:ctrlPr>
                  </m:sSubPr>
                  <m:e>
                    <m:r>
                      <m:rPr>
                        <m:nor/>
                      </m:rPr>
                      <w:rPr>
                        <w:i/>
                      </w:rPr>
                      <m:t>w</m:t>
                    </m:r>
                    <m:r>
                      <m:rPr>
                        <m:nor/>
                      </m:rPr>
                      <m:t>(</m:t>
                    </m:r>
                    <m:r>
                      <m:rPr>
                        <m:nor/>
                      </m:rPr>
                      <w:rPr>
                        <w:i/>
                      </w:rPr>
                      <m:t>B</m:t>
                    </m:r>
                  </m:e>
                  <m:sub>
                    <m:r>
                      <m:rPr>
                        <m:nor/>
                      </m:rPr>
                      <w:rPr>
                        <w:i/>
                      </w:rPr>
                      <m:t>x</m:t>
                    </m:r>
                  </m:sub>
                </m:sSub>
                <m:r>
                  <m:rPr>
                    <m:nor/>
                  </m:rPr>
                  <m:t>)</m:t>
                </m:r>
              </m:num>
              <m:den>
                <m:sSub>
                  <m:sSubPr>
                    <m:ctrlPr>
                      <w:rPr>
                        <w:rFonts w:ascii="Cambria Math" w:hAnsi="Cambria Math"/>
                        <w:i/>
                        <w:lang w:val="en-US"/>
                      </w:rPr>
                    </m:ctrlPr>
                  </m:sSubPr>
                  <m:e>
                    <m:r>
                      <m:rPr>
                        <m:nor/>
                      </m:rPr>
                      <w:rPr>
                        <w:i/>
                      </w:rPr>
                      <m:t>w</m:t>
                    </m:r>
                    <m:r>
                      <m:rPr>
                        <m:nor/>
                      </m:rPr>
                      <m:t>(</m:t>
                    </m:r>
                    <m:r>
                      <m:rPr>
                        <m:nor/>
                      </m:rPr>
                      <w:rPr>
                        <w:i/>
                      </w:rPr>
                      <m:t>B</m:t>
                    </m:r>
                  </m:e>
                  <m:sub>
                    <m:r>
                      <m:rPr>
                        <m:nor/>
                      </m:rPr>
                      <w:rPr>
                        <w:i/>
                      </w:rPr>
                      <m:t>j</m:t>
                    </m:r>
                  </m:sub>
                </m:sSub>
                <m:r>
                  <m:rPr>
                    <m:nor/>
                  </m:rPr>
                  <m:t>)</m:t>
                </m:r>
              </m:den>
            </m:f>
            <m:r>
              <m:rPr>
                <m:nor/>
              </m:rPr>
              <m:t>)</m:t>
            </m:r>
          </m:e>
          <m:sup>
            <m:r>
              <m:rPr>
                <m:nor/>
              </m:rPr>
              <w:rPr>
                <w:i/>
                <w:iCs/>
              </w:rPr>
              <m:t>f</m:t>
            </m:r>
          </m:sup>
        </m:sSup>
      </m:oMath>
      <w:r w:rsidR="00540650">
        <w:tab/>
      </w:r>
      <w:r w:rsidR="00540650">
        <w:tab/>
      </w:r>
      <w:r w:rsidR="00540650">
        <w:tab/>
        <w:t xml:space="preserve">für </w:t>
      </w:r>
      <w:r w:rsidR="00540650" w:rsidRPr="0045617D">
        <w:rPr>
          <w:i/>
        </w:rPr>
        <w:t>f</w:t>
      </w:r>
      <w:r w:rsidR="00540650">
        <w:t xml:space="preserve"> </w:t>
      </w:r>
      <w:r w:rsidR="002D397D">
        <w:rPr>
          <w:iCs/>
        </w:rPr>
        <w:t>&gt;</w:t>
      </w:r>
      <w:r w:rsidR="00540650">
        <w:t xml:space="preserve"> 1</w:t>
      </w:r>
    </w:p>
    <w:p w:rsidR="00BD1958" w:rsidRDefault="00BD1958" w:rsidP="0083453F">
      <w:pPr>
        <w:pStyle w:val="Text"/>
        <w:ind w:firstLine="0"/>
      </w:pPr>
      <w:r>
        <w:t>Das Verhalten der Bedingung für verschiedene Fälle ähnelt dem in Modul 1, mit Ausnahme von Fall 4:</w:t>
      </w:r>
    </w:p>
    <w:p w:rsidR="00BD1958" w:rsidRDefault="00BD1958" w:rsidP="00962C30">
      <w:pPr>
        <w:pStyle w:val="FallxDisambiguierung"/>
      </w:pPr>
      <w:r>
        <w:t>Fall 4:</w:t>
      </w:r>
      <w:r>
        <w:tab/>
      </w:r>
      <w:r>
        <w:rPr>
          <w:i/>
        </w:rPr>
        <w:t>m</w:t>
      </w:r>
      <w:r>
        <w:rPr>
          <w:i/>
          <w:vertAlign w:val="subscript"/>
        </w:rPr>
        <w:t>x</w:t>
      </w:r>
      <w:r>
        <w:t xml:space="preserve"> = 20, </w:t>
      </w:r>
      <w:r>
        <w:rPr>
          <w:i/>
        </w:rPr>
        <w:t>n</w:t>
      </w:r>
      <w:r>
        <w:rPr>
          <w:i/>
          <w:vertAlign w:val="subscript"/>
        </w:rPr>
        <w:t>x</w:t>
      </w:r>
      <w:r>
        <w:t xml:space="preserve"> = 100, </w:t>
      </w:r>
      <w:r>
        <w:rPr>
          <w:i/>
        </w:rPr>
        <w:t>w</w:t>
      </w:r>
      <w:r>
        <w:t>(</w:t>
      </w:r>
      <w:r>
        <w:rPr>
          <w:i/>
        </w:rPr>
        <w:t>B</w:t>
      </w:r>
      <w:r>
        <w:rPr>
          <w:i/>
          <w:vertAlign w:val="subscript"/>
        </w:rPr>
        <w:t>x</w:t>
      </w:r>
      <w:r>
        <w:t>) = 0,2</w:t>
      </w:r>
    </w:p>
    <w:p w:rsidR="00BD1958" w:rsidRPr="00B82A81" w:rsidRDefault="005D7996" w:rsidP="0083453F">
      <w:pPr>
        <w:pStyle w:val="FormelTabrechts"/>
      </w:pPr>
      <m:oMath>
        <m:f>
          <m:fPr>
            <m:ctrlPr>
              <w:rPr>
                <w:rFonts w:ascii="Cambria Math" w:hAnsi="Cambria Math" w:cs="Times New Roman"/>
                <w:i/>
                <w:lang w:val="en-US"/>
              </w:rPr>
            </m:ctrlPr>
          </m:fPr>
          <m:num>
            <m:r>
              <m:rPr>
                <m:nor/>
              </m:rPr>
              <w:rPr>
                <w:rFonts w:cs="Times New Roman"/>
              </w:rPr>
              <m:t>100</m:t>
            </m:r>
          </m:num>
          <m:den>
            <m:r>
              <m:rPr>
                <m:nor/>
              </m:rPr>
              <w:rPr>
                <w:rFonts w:cs="Times New Roman"/>
              </w:rPr>
              <m:t>100</m:t>
            </m:r>
          </m:den>
        </m:f>
      </m:oMath>
      <w:r w:rsidR="00BD1958" w:rsidRPr="00803CA0">
        <w:t xml:space="preserve"> </w:t>
      </w:r>
      <w:r w:rsidR="00BD1958">
        <w:rPr>
          <w:rFonts w:cs="Times New Roman"/>
        </w:rPr>
        <w:t>&gt;</w:t>
      </w:r>
      <w:r w:rsidR="00BD1958"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0,2</m:t>
                </m:r>
              </m:num>
              <m:den>
                <m:r>
                  <m:rPr>
                    <m:nor/>
                  </m:rPr>
                  <w:rPr>
                    <w:rFonts w:cs="Times New Roman"/>
                  </w:rPr>
                  <m:t>0,2</m:t>
                </m:r>
              </m:den>
            </m:f>
            <m:r>
              <m:rPr>
                <m:nor/>
              </m:rPr>
              <w:rPr>
                <w:rFonts w:cs="Times New Roman"/>
              </w:rPr>
              <m:t>)</m:t>
            </m:r>
          </m:e>
          <m:sup>
            <m:r>
              <m:rPr>
                <m:nor/>
              </m:rPr>
              <w:rPr>
                <w:rFonts w:cs="Times New Roman"/>
                <w:i/>
              </w:rPr>
              <m:t>f</m:t>
            </m:r>
          </m:sup>
        </m:sSup>
      </m:oMath>
      <w:r w:rsidR="00BD1958" w:rsidRPr="00B82A81">
        <w:tab/>
      </w:r>
      <w:r w:rsidR="00635DE8" w:rsidRPr="00635DE8">
        <w:rPr>
          <w:rFonts w:ascii="Cambria Math" w:eastAsia="Arial Unicode MS" w:hAnsi="Cambria Math" w:cs="Arial Unicode MS"/>
        </w:rPr>
        <w:t>⇒</w:t>
      </w:r>
      <w:r w:rsidR="00BD1958">
        <w:tab/>
        <w:t xml:space="preserve">1 </w:t>
      </w:r>
      <w:r w:rsidR="00BD1958">
        <w:rPr>
          <w:rFonts w:cs="Times New Roman"/>
        </w:rPr>
        <w:t>&gt;</w:t>
      </w:r>
      <w:r w:rsidR="00BD1958">
        <w:rPr>
          <w:position w:val="-6"/>
        </w:rPr>
        <w:t xml:space="preserve"> </w:t>
      </w:r>
      <m:oMath>
        <m:sSup>
          <m:sSupPr>
            <m:ctrlPr>
              <w:rPr>
                <w:rFonts w:ascii="Cambria Math" w:hAnsi="Cambria Math" w:cs="Times New Roman"/>
                <w:i/>
              </w:rPr>
            </m:ctrlPr>
          </m:sSupPr>
          <m:e>
            <m:r>
              <m:rPr>
                <m:nor/>
              </m:rPr>
              <w:rPr>
                <w:rFonts w:cs="Times New Roman"/>
              </w:rPr>
              <m:t>1</m:t>
            </m:r>
          </m:e>
          <m:sup>
            <m:r>
              <m:rPr>
                <m:nor/>
              </m:rPr>
              <w:rPr>
                <w:rFonts w:ascii="Cambria Math" w:cs="Times New Roman"/>
                <w:i/>
              </w:rPr>
              <m:t xml:space="preserve"> </m:t>
            </m:r>
            <m:r>
              <m:rPr>
                <m:nor/>
              </m:rPr>
              <w:rPr>
                <w:rFonts w:cs="Times New Roman"/>
                <w:i/>
              </w:rPr>
              <m:t>f</m:t>
            </m:r>
          </m:sup>
        </m:sSup>
      </m:oMath>
      <w:r w:rsidR="00BD1958">
        <w:tab/>
        <w:t xml:space="preserve">für </w:t>
      </w:r>
      <w:r w:rsidR="00BD1958" w:rsidRPr="003E0660">
        <w:rPr>
          <w:i/>
        </w:rPr>
        <w:t>f</w:t>
      </w:r>
      <w:r w:rsidR="00BD1958">
        <w:t xml:space="preserve"> </w:t>
      </w:r>
      <w:r w:rsidR="00BD1958">
        <w:rPr>
          <w:rFonts w:cs="Times New Roman"/>
        </w:rPr>
        <w:t>&gt;</w:t>
      </w:r>
      <w:r w:rsidR="00BD1958">
        <w:t xml:space="preserve"> 1 </w:t>
      </w:r>
      <w:r w:rsidR="00DA2A20">
        <w:t xml:space="preserve">nicht </w:t>
      </w:r>
      <w:r w:rsidR="00BD1958">
        <w:t>erfüllt</w:t>
      </w:r>
    </w:p>
    <w:p w:rsidR="00BD1958" w:rsidRDefault="00DA2A20" w:rsidP="0083453F">
      <w:pPr>
        <w:pStyle w:val="Text"/>
        <w:ind w:firstLine="0"/>
      </w:pPr>
      <w:r>
        <w:t xml:space="preserve">Speziellere </w:t>
      </w:r>
      <w:r w:rsidR="00BD1958">
        <w:t xml:space="preserve">Regeln mit gleichem </w:t>
      </w:r>
      <w:r w:rsidR="00BD1958" w:rsidRPr="00BD1958">
        <w:rPr>
          <w:i/>
        </w:rPr>
        <w:t>m</w:t>
      </w:r>
      <w:r w:rsidR="00BD1958">
        <w:t xml:space="preserve"> und </w:t>
      </w:r>
      <w:r w:rsidR="00BD1958" w:rsidRPr="00BD1958">
        <w:rPr>
          <w:i/>
        </w:rPr>
        <w:t>n</w:t>
      </w:r>
      <w:r w:rsidR="00BD1958">
        <w:t xml:space="preserve"> </w:t>
      </w:r>
      <w:r>
        <w:t>bleiben also erhalten</w:t>
      </w:r>
      <w:r w:rsidR="00BD1958">
        <w:t>. Während bei den Anwendungsbedingungen die einfachere Formulierung im Zweifelsfall zu bevo</w:t>
      </w:r>
      <w:r w:rsidR="00BD1958">
        <w:t>r</w:t>
      </w:r>
      <w:r w:rsidR="00BD1958">
        <w:lastRenderedPageBreak/>
        <w:t>zugen ist, macht es bei den verlangten Eigenschaften Sinn,</w:t>
      </w:r>
      <w:r>
        <w:t xml:space="preserve"> möglichst genau zu sein.</w:t>
      </w:r>
    </w:p>
    <w:p w:rsidR="00BD1958" w:rsidRDefault="00BD1958" w:rsidP="00BD1958">
      <w:pPr>
        <w:pStyle w:val="Text"/>
      </w:pPr>
      <w:r>
        <w:t>Ansonsten ergeben sich keine wesentlichen Änderungen. Fall 1 bis 3 verha</w:t>
      </w:r>
      <w:r>
        <w:t>l</w:t>
      </w:r>
      <w:r>
        <w:t xml:space="preserve">ten sich gleich; in Fall 5 bis 8 </w:t>
      </w:r>
      <w:r w:rsidR="00D36BD4">
        <w:t xml:space="preserve">bleibt </w:t>
      </w:r>
      <w:r>
        <w:t xml:space="preserve">für den jeweils errechneten Grenzwert für </w:t>
      </w:r>
      <w:r w:rsidRPr="000317B1">
        <w:rPr>
          <w:i/>
        </w:rPr>
        <w:t>f</w:t>
      </w:r>
      <w:r>
        <w:t xml:space="preserve"> (beispielsweise in Fall 5 für </w:t>
      </w:r>
      <w:r>
        <w:rPr>
          <w:i/>
        </w:rPr>
        <w:t>f</w:t>
      </w:r>
      <w:r>
        <w:rPr>
          <w:iCs/>
        </w:rPr>
        <w:t xml:space="preserve"> = </w:t>
      </w:r>
      <w:r w:rsidR="00AA76D8">
        <w:rPr>
          <w:iCs/>
        </w:rPr>
        <w:t>1,306</w:t>
      </w:r>
      <w:r>
        <w:rPr>
          <w:iCs/>
        </w:rPr>
        <w:t xml:space="preserve">) die Merkmalsregel </w:t>
      </w:r>
      <w:r w:rsidR="00D36BD4">
        <w:rPr>
          <w:iCs/>
        </w:rPr>
        <w:t xml:space="preserve">bereits erhalten, für kleinere </w:t>
      </w:r>
      <w:r w:rsidR="00D36BD4" w:rsidRPr="00D36BD4">
        <w:rPr>
          <w:i/>
          <w:iCs/>
        </w:rPr>
        <w:t>f</w:t>
      </w:r>
      <w:r w:rsidR="00D36BD4">
        <w:rPr>
          <w:iCs/>
        </w:rPr>
        <w:t xml:space="preserve"> wird sie hinausgeworfen.</w:t>
      </w:r>
    </w:p>
    <w:p w:rsidR="00673132" w:rsidRPr="001E27D5" w:rsidRDefault="008537B0" w:rsidP="0010735C">
      <w:pPr>
        <w:pStyle w:val="Zwischenberschrift"/>
      </w:pPr>
      <w:r>
        <w:t>Beispiel</w:t>
      </w:r>
      <w:r w:rsidR="00302869">
        <w:t>e</w:t>
      </w:r>
    </w:p>
    <w:p w:rsidR="000D479A" w:rsidRPr="00E044F6" w:rsidRDefault="000D479A" w:rsidP="00962C30">
      <w:pPr>
        <w:pStyle w:val="Interpretation"/>
      </w:pPr>
      <w:r w:rsidRPr="00E044F6">
        <w:rPr>
          <w:i/>
        </w:rPr>
        <w:t>U</w:t>
      </w:r>
      <w:r w:rsidRPr="00E044F6">
        <w:t>(</w:t>
      </w:r>
      <w:r w:rsidRPr="00E044F6">
        <w:rPr>
          <w:i/>
        </w:rPr>
        <w:t>B</w:t>
      </w:r>
      <w:r w:rsidRPr="00E044F6">
        <w:rPr>
          <w:i/>
          <w:vertAlign w:val="subscript"/>
        </w:rPr>
        <w:t>j</w:t>
      </w:r>
      <w:r w:rsidRPr="00E044F6">
        <w:t>): ‚</w:t>
      </w:r>
      <w:r>
        <w:t>Fenster</w:t>
      </w:r>
      <w:r w:rsidRPr="00E044F6">
        <w:t xml:space="preserve">‘, </w:t>
      </w:r>
      <w:r w:rsidRPr="00E044F6">
        <w:rPr>
          <w:i/>
        </w:rPr>
        <w:t>V</w:t>
      </w:r>
      <w:r w:rsidRPr="00E044F6">
        <w:t>(</w:t>
      </w:r>
      <w:r w:rsidRPr="00E044F6">
        <w:rPr>
          <w:i/>
        </w:rPr>
        <w:t>B</w:t>
      </w:r>
      <w:r w:rsidRPr="00E044F6">
        <w:rPr>
          <w:i/>
          <w:vertAlign w:val="subscript"/>
        </w:rPr>
        <w:t>j</w:t>
      </w:r>
      <w:r w:rsidRPr="00E044F6">
        <w:t>): ‚</w:t>
      </w:r>
      <w:r>
        <w:t>quadratisch</w:t>
      </w:r>
      <w:r w:rsidRPr="00E044F6">
        <w:t>‘</w:t>
      </w:r>
    </w:p>
    <w:p w:rsidR="000D479A" w:rsidRPr="00E044F6" w:rsidRDefault="000D479A" w:rsidP="00962C30">
      <w:pPr>
        <w:pStyle w:val="Interpretation"/>
      </w:pPr>
      <w:r w:rsidRPr="00E044F6">
        <w:rPr>
          <w:i/>
        </w:rPr>
        <w:t>U</w:t>
      </w:r>
      <w:r w:rsidRPr="00E044F6">
        <w:t>(</w:t>
      </w:r>
      <w:r w:rsidRPr="00E044F6">
        <w:rPr>
          <w:i/>
        </w:rPr>
        <w:t>B</w:t>
      </w:r>
      <w:r>
        <w:rPr>
          <w:i/>
          <w:vertAlign w:val="subscript"/>
        </w:rPr>
        <w:t>x</w:t>
      </w:r>
      <w:r w:rsidRPr="00E044F6">
        <w:t>): ‚</w:t>
      </w:r>
      <w:r w:rsidR="00503153">
        <w:t>Fenster</w:t>
      </w:r>
      <w:r w:rsidRPr="00E044F6">
        <w:t xml:space="preserve">‘, </w:t>
      </w:r>
      <w:r w:rsidRPr="00E044F6">
        <w:rPr>
          <w:i/>
        </w:rPr>
        <w:t>V</w:t>
      </w:r>
      <w:r w:rsidRPr="00E044F6">
        <w:t>(</w:t>
      </w:r>
      <w:r w:rsidRPr="00E044F6">
        <w:rPr>
          <w:i/>
        </w:rPr>
        <w:t>B</w:t>
      </w:r>
      <w:r>
        <w:rPr>
          <w:i/>
          <w:vertAlign w:val="subscript"/>
        </w:rPr>
        <w:t>x</w:t>
      </w:r>
      <w:r w:rsidRPr="00E044F6">
        <w:t>): ‚</w:t>
      </w:r>
      <w:r w:rsidR="00623AFD">
        <w:t>quadratisch;</w:t>
      </w:r>
      <w:r>
        <w:t xml:space="preserve"> Seitenlänge 2 m</w:t>
      </w:r>
      <w:r w:rsidRPr="00E044F6">
        <w:t>‘</w:t>
      </w:r>
    </w:p>
    <w:p w:rsidR="000D479A" w:rsidRPr="00014CCA" w:rsidRDefault="000D479A" w:rsidP="0022155C">
      <w:pPr>
        <w:pStyle w:val="Formel"/>
      </w:pPr>
      <w:r w:rsidRPr="00014CCA">
        <w:rPr>
          <w:i/>
        </w:rPr>
        <w:t>m</w:t>
      </w:r>
      <w:r w:rsidRPr="00014CCA">
        <w:rPr>
          <w:i/>
          <w:vertAlign w:val="subscript"/>
        </w:rPr>
        <w:t>j</w:t>
      </w:r>
      <w:r w:rsidRPr="00014CCA">
        <w:t xml:space="preserve"> = </w:t>
      </w:r>
      <w:r w:rsidR="00D1762C">
        <w:t>8</w:t>
      </w:r>
      <w:r w:rsidRPr="00014CCA">
        <w:t xml:space="preserve">, </w:t>
      </w:r>
      <w:r w:rsidRPr="00014CCA">
        <w:rPr>
          <w:i/>
        </w:rPr>
        <w:t>n</w:t>
      </w:r>
      <w:r w:rsidRPr="00014CCA">
        <w:rPr>
          <w:i/>
          <w:vertAlign w:val="subscript"/>
        </w:rPr>
        <w:t>j</w:t>
      </w:r>
      <w:r w:rsidRPr="00014CCA">
        <w:t xml:space="preserve"> = </w:t>
      </w:r>
      <w:r>
        <w:t>16</w:t>
      </w:r>
      <w:r w:rsidRPr="00014CCA">
        <w:t xml:space="preserve">, </w:t>
      </w:r>
      <w:r w:rsidRPr="00014CCA">
        <w:rPr>
          <w:i/>
        </w:rPr>
        <w:t>w</w:t>
      </w:r>
      <w:r w:rsidRPr="00014CCA">
        <w:t>(</w:t>
      </w:r>
      <w:r w:rsidRPr="00014CCA">
        <w:rPr>
          <w:i/>
        </w:rPr>
        <w:t>B</w:t>
      </w:r>
      <w:r>
        <w:rPr>
          <w:i/>
          <w:vertAlign w:val="subscript"/>
        </w:rPr>
        <w:t>j</w:t>
      </w:r>
      <w:r w:rsidRPr="00014CCA">
        <w:t>) = 0,</w:t>
      </w:r>
      <w:r w:rsidR="00D1762C">
        <w:t>5</w:t>
      </w:r>
      <w:r w:rsidR="0022155C">
        <w:br/>
      </w:r>
      <w:r w:rsidRPr="00014CCA">
        <w:rPr>
          <w:i/>
        </w:rPr>
        <w:t>m</w:t>
      </w:r>
      <w:r>
        <w:rPr>
          <w:i/>
          <w:vertAlign w:val="subscript"/>
        </w:rPr>
        <w:t>x</w:t>
      </w:r>
      <w:r w:rsidRPr="00014CCA">
        <w:t xml:space="preserve"> = </w:t>
      </w:r>
      <w:r w:rsidR="00727189">
        <w:t>5</w:t>
      </w:r>
      <w:r w:rsidRPr="00014CCA">
        <w:t xml:space="preserve">, </w:t>
      </w:r>
      <w:r w:rsidRPr="00014CCA">
        <w:rPr>
          <w:i/>
        </w:rPr>
        <w:t>n</w:t>
      </w:r>
      <w:r>
        <w:rPr>
          <w:i/>
          <w:vertAlign w:val="subscript"/>
        </w:rPr>
        <w:t>x</w:t>
      </w:r>
      <w:r w:rsidRPr="00014CCA">
        <w:t xml:space="preserve"> = </w:t>
      </w:r>
      <w:r>
        <w:t>16</w:t>
      </w:r>
      <w:r w:rsidRPr="00014CCA">
        <w:t xml:space="preserve">, </w:t>
      </w:r>
      <w:r w:rsidRPr="00014CCA">
        <w:rPr>
          <w:i/>
        </w:rPr>
        <w:t>w</w:t>
      </w:r>
      <w:r w:rsidRPr="00014CCA">
        <w:t>(</w:t>
      </w:r>
      <w:r w:rsidRPr="00014CCA">
        <w:rPr>
          <w:i/>
        </w:rPr>
        <w:t>B</w:t>
      </w:r>
      <w:r w:rsidRPr="00014CCA">
        <w:rPr>
          <w:i/>
          <w:vertAlign w:val="subscript"/>
        </w:rPr>
        <w:t>x</w:t>
      </w:r>
      <w:r w:rsidRPr="00014CCA">
        <w:t>) = 0,</w:t>
      </w:r>
      <w:r w:rsidR="00727189">
        <w:t>313</w:t>
      </w:r>
    </w:p>
    <w:p w:rsidR="000D479A" w:rsidRDefault="000D479A" w:rsidP="0022155C">
      <w:pPr>
        <w:pStyle w:val="Text"/>
        <w:ind w:firstLine="0"/>
        <w:rPr>
          <w:iCs/>
        </w:rPr>
      </w:pPr>
      <w:r>
        <w:rPr>
          <w:iCs/>
        </w:rPr>
        <w:t>In diesem Fall gab es keine erkennbaren funktionalen Einschränkungen; die gr</w:t>
      </w:r>
      <w:r>
        <w:rPr>
          <w:iCs/>
        </w:rPr>
        <w:t>o</w:t>
      </w:r>
      <w:r>
        <w:rPr>
          <w:iCs/>
        </w:rPr>
        <w:t xml:space="preserve">ßen quadratischen Fenster hätten immer verwendet werden können. Damit hat die speziellere Regel </w:t>
      </w:r>
      <w:r w:rsidR="00D1762C">
        <w:rPr>
          <w:iCs/>
        </w:rPr>
        <w:t xml:space="preserve">deutlich seltener </w:t>
      </w:r>
      <w:r>
        <w:rPr>
          <w:iCs/>
        </w:rPr>
        <w:t xml:space="preserve">‚getroffen‘ </w:t>
      </w:r>
      <w:r w:rsidR="00D1762C">
        <w:rPr>
          <w:iCs/>
        </w:rPr>
        <w:t>als</w:t>
      </w:r>
      <w:r>
        <w:rPr>
          <w:iCs/>
        </w:rPr>
        <w:t xml:space="preserve"> die allgemeinere, das Auftr</w:t>
      </w:r>
      <w:r>
        <w:rPr>
          <w:iCs/>
        </w:rPr>
        <w:t>e</w:t>
      </w:r>
      <w:r>
        <w:rPr>
          <w:iCs/>
        </w:rPr>
        <w:t xml:space="preserve">ten der zusätzlich spezifizierten Eigenschaft ist </w:t>
      </w:r>
      <w:r w:rsidR="007809F3">
        <w:rPr>
          <w:iCs/>
        </w:rPr>
        <w:t xml:space="preserve">nicht </w:t>
      </w:r>
      <w:r w:rsidR="00A350BF">
        <w:rPr>
          <w:iCs/>
        </w:rPr>
        <w:t xml:space="preserve">sehr </w:t>
      </w:r>
      <w:r w:rsidR="007809F3">
        <w:rPr>
          <w:iCs/>
        </w:rPr>
        <w:t>aussagekräftig:</w:t>
      </w:r>
      <w:r>
        <w:rPr>
          <w:iCs/>
        </w:rPr>
        <w:t xml:space="preserve"> </w:t>
      </w:r>
      <w:r w:rsidR="007809F3">
        <w:rPr>
          <w:iCs/>
        </w:rPr>
        <w:t xml:space="preserve">Schließlich ist </w:t>
      </w:r>
      <w:r w:rsidR="00D1762C">
        <w:rPr>
          <w:iCs/>
        </w:rPr>
        <w:t xml:space="preserve">es </w:t>
      </w:r>
      <w:r w:rsidR="007809F3">
        <w:rPr>
          <w:iCs/>
        </w:rPr>
        <w:t xml:space="preserve">unwahrscheinlich, dass alle </w:t>
      </w:r>
      <w:r w:rsidR="00D1762C">
        <w:rPr>
          <w:iCs/>
        </w:rPr>
        <w:t xml:space="preserve">Fenster </w:t>
      </w:r>
      <w:r w:rsidR="007809F3">
        <w:rPr>
          <w:iCs/>
        </w:rPr>
        <w:t xml:space="preserve">eine unterschiedliche Größe haben; daher verwundert es nicht, dass </w:t>
      </w:r>
      <w:r w:rsidR="00D1762C">
        <w:rPr>
          <w:iCs/>
        </w:rPr>
        <w:t xml:space="preserve">5 von 8 </w:t>
      </w:r>
      <w:r w:rsidR="0091252F">
        <w:rPr>
          <w:iCs/>
        </w:rPr>
        <w:t xml:space="preserve">quadratischen </w:t>
      </w:r>
      <w:r w:rsidR="007809F3">
        <w:rPr>
          <w:iCs/>
        </w:rPr>
        <w:t>Fenster</w:t>
      </w:r>
      <w:r w:rsidR="00D1762C">
        <w:rPr>
          <w:iCs/>
        </w:rPr>
        <w:t>n</w:t>
      </w:r>
      <w:r w:rsidR="007809F3">
        <w:rPr>
          <w:iCs/>
        </w:rPr>
        <w:t xml:space="preserve"> </w:t>
      </w:r>
      <w:r w:rsidR="00D1762C">
        <w:rPr>
          <w:iCs/>
        </w:rPr>
        <w:t>dieselbe Größe haben</w:t>
      </w:r>
      <w:r w:rsidR="007809F3">
        <w:rPr>
          <w:iCs/>
        </w:rPr>
        <w:t xml:space="preserve">. </w:t>
      </w:r>
      <w:r>
        <w:rPr>
          <w:iCs/>
        </w:rPr>
        <w:t xml:space="preserve">Diese Regel sollte </w:t>
      </w:r>
      <w:r w:rsidR="0002602F">
        <w:rPr>
          <w:iCs/>
        </w:rPr>
        <w:t xml:space="preserve">entfernt </w:t>
      </w:r>
      <w:r>
        <w:rPr>
          <w:iCs/>
        </w:rPr>
        <w:t>werden.</w:t>
      </w:r>
    </w:p>
    <w:p w:rsidR="00F2723F" w:rsidRDefault="005D7996" w:rsidP="006E4A14">
      <w:pPr>
        <w:pStyle w:val="FormelTabrechts"/>
      </w:pPr>
      <m:oMath>
        <m:f>
          <m:fPr>
            <m:ctrlPr>
              <w:rPr>
                <w:rFonts w:ascii="Cambria Math" w:hAnsi="Cambria Math"/>
                <w:i/>
                <w:lang w:val="en-US"/>
              </w:rPr>
            </m:ctrlPr>
          </m:fPr>
          <m:num>
            <m:r>
              <m:rPr>
                <m:nor/>
              </m:rPr>
              <m:t>16</m:t>
            </m:r>
          </m:num>
          <m:den>
            <m:r>
              <m:rPr>
                <m:nor/>
              </m:rPr>
              <m:t>16</m:t>
            </m:r>
          </m:den>
        </m:f>
      </m:oMath>
      <w:r w:rsidR="00F2723F" w:rsidRPr="00803CA0">
        <w:t xml:space="preserve"> </w:t>
      </w:r>
      <w:r w:rsidR="004E77BA">
        <w:t>&gt;</w:t>
      </w:r>
      <w:r w:rsidR="00F2723F"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0,313</m:t>
                </m:r>
              </m:num>
              <m:den>
                <m:r>
                  <m:rPr>
                    <m:nor/>
                  </m:rPr>
                  <m:t>0,5</m:t>
                </m:r>
              </m:den>
            </m:f>
            <m:r>
              <m:rPr>
                <m:nor/>
              </m:rPr>
              <m:t>)</m:t>
            </m:r>
          </m:e>
          <m:sup>
            <m:r>
              <m:rPr>
                <m:nor/>
              </m:rPr>
              <w:rPr>
                <w:i/>
              </w:rPr>
              <m:t>f</m:t>
            </m:r>
          </m:sup>
        </m:sSup>
      </m:oMath>
      <w:r w:rsidR="00F2723F" w:rsidRPr="00B82A81">
        <w:tab/>
      </w:r>
      <w:r w:rsidR="00635DE8" w:rsidRPr="00635DE8">
        <w:rPr>
          <w:rFonts w:ascii="Cambria Math" w:eastAsia="Arial Unicode MS" w:hAnsi="Cambria Math" w:cs="Arial Unicode MS"/>
        </w:rPr>
        <w:t>⇒</w:t>
      </w:r>
      <w:r w:rsidR="00F2723F">
        <w:tab/>
      </w:r>
      <w:r w:rsidR="003D5AEA">
        <w:t>1</w:t>
      </w:r>
      <w:r w:rsidR="00F2723F">
        <w:t xml:space="preserve"> </w:t>
      </w:r>
      <w:r w:rsidR="004E77BA">
        <w:t>&gt;</w:t>
      </w:r>
      <w:r w:rsidR="00F2723F">
        <w:rPr>
          <w:position w:val="-6"/>
        </w:rPr>
        <w:t xml:space="preserve"> </w:t>
      </w:r>
      <m:oMath>
        <m:sSup>
          <m:sSupPr>
            <m:ctrlPr>
              <w:rPr>
                <w:rFonts w:ascii="Cambria Math" w:hAnsi="Cambria Math"/>
                <w:i/>
              </w:rPr>
            </m:ctrlPr>
          </m:sSupPr>
          <m:e>
            <m:r>
              <m:rPr>
                <m:nor/>
              </m:rPr>
              <m:t>0,625</m:t>
            </m:r>
          </m:e>
          <m:sup>
            <m:r>
              <m:rPr>
                <m:nor/>
              </m:rPr>
              <w:rPr>
                <w:rFonts w:ascii="Cambria Math"/>
                <w:i/>
              </w:rPr>
              <m:t xml:space="preserve"> </m:t>
            </m:r>
            <m:r>
              <m:rPr>
                <m:nor/>
              </m:rPr>
              <w:rPr>
                <w:i/>
              </w:rPr>
              <m:t>f</m:t>
            </m:r>
          </m:sup>
        </m:sSup>
      </m:oMath>
      <w:r w:rsidR="00F2723F">
        <w:tab/>
        <w:t xml:space="preserve">für </w:t>
      </w:r>
      <w:r w:rsidR="00F2723F" w:rsidRPr="003E0660">
        <w:rPr>
          <w:i/>
        </w:rPr>
        <w:t>f</w:t>
      </w:r>
      <w:r w:rsidR="00F2723F">
        <w:t xml:space="preserve"> </w:t>
      </w:r>
      <w:r w:rsidR="002D397D">
        <w:t>&gt;</w:t>
      </w:r>
      <w:r w:rsidR="00F2723F">
        <w:t xml:space="preserve"> 1 </w:t>
      </w:r>
      <w:r w:rsidR="00C86F4E">
        <w:t>erfüllt</w:t>
      </w:r>
    </w:p>
    <w:p w:rsidR="000D479A" w:rsidRDefault="00656746" w:rsidP="00174478">
      <w:pPr>
        <w:pStyle w:val="Text"/>
        <w:ind w:firstLine="0"/>
        <w:rPr>
          <w:iCs/>
        </w:rPr>
      </w:pPr>
      <w:r>
        <w:rPr>
          <w:iCs/>
        </w:rPr>
        <w:t>Stellen wir uns nun vor</w:t>
      </w:r>
      <w:r w:rsidR="000D479A">
        <w:rPr>
          <w:iCs/>
        </w:rPr>
        <w:t>, dass die anderen Fenster kleinere Größen haben, weil sie zu Räumen gehören, die dies durch ihre Nutzung erfordern (Bäder, WCs, A</w:t>
      </w:r>
      <w:r w:rsidR="000D479A">
        <w:rPr>
          <w:iCs/>
        </w:rPr>
        <w:t>n</w:t>
      </w:r>
      <w:r w:rsidR="000D479A">
        <w:rPr>
          <w:iCs/>
        </w:rPr>
        <w:t xml:space="preserve">kleidezimmer, Dunkelkammer, Abstellkammer, Waschküche). </w:t>
      </w:r>
      <w:r w:rsidR="00BF467B">
        <w:rPr>
          <w:iCs/>
        </w:rPr>
        <w:t xml:space="preserve">Dabei </w:t>
      </w:r>
      <w:r w:rsidR="000D479A">
        <w:rPr>
          <w:iCs/>
        </w:rPr>
        <w:t>spezifizi</w:t>
      </w:r>
      <w:r w:rsidR="000D479A">
        <w:rPr>
          <w:iCs/>
        </w:rPr>
        <w:t>e</w:t>
      </w:r>
      <w:r w:rsidR="000D479A">
        <w:rPr>
          <w:iCs/>
        </w:rPr>
        <w:t>ren funktionale Bedingungen</w:t>
      </w:r>
      <w:r w:rsidR="005D7996">
        <w:rPr>
          <w:iCs/>
        </w:rPr>
        <w:fldChar w:fldCharType="begin"/>
      </w:r>
      <w:r w:rsidR="00D92A29">
        <w:instrText xml:space="preserve"> XE "</w:instrText>
      </w:r>
      <w:r w:rsidR="00D92A29" w:rsidRPr="00DB4D56">
        <w:instrText>funktionale Bedingungen</w:instrText>
      </w:r>
      <w:r w:rsidR="00D92A29">
        <w:instrText xml:space="preserve">" </w:instrText>
      </w:r>
      <w:r w:rsidR="005D7996">
        <w:rPr>
          <w:iCs/>
        </w:rPr>
        <w:fldChar w:fldCharType="end"/>
      </w:r>
      <w:r w:rsidR="000D479A">
        <w:rPr>
          <w:iCs/>
        </w:rPr>
        <w:t xml:space="preserve"> die entsprechenden </w:t>
      </w:r>
      <w:r w:rsidR="00721558">
        <w:rPr>
          <w:iCs/>
        </w:rPr>
        <w:t>Alter</w:t>
      </w:r>
      <w:r w:rsidR="00721558">
        <w:rPr>
          <w:iCs/>
        </w:rPr>
        <w:softHyphen/>
        <w:t>nativen</w:t>
      </w:r>
      <w:r w:rsidR="00721558">
        <w:rPr>
          <w:iCs/>
        </w:rPr>
        <w:softHyphen/>
        <w:t>klasse</w:t>
      </w:r>
      <w:r w:rsidR="000D479A">
        <w:rPr>
          <w:iCs/>
        </w:rPr>
        <w:t>n so, dass kein quadratisches Element mit 2 m Seitenlänge darin enthalten ist:</w:t>
      </w:r>
    </w:p>
    <w:p w:rsidR="000D479A" w:rsidRPr="00014CCA" w:rsidRDefault="000D479A" w:rsidP="00174478">
      <w:pPr>
        <w:pStyle w:val="Formel"/>
      </w:pPr>
      <w:r w:rsidRPr="00014CCA">
        <w:rPr>
          <w:i/>
        </w:rPr>
        <w:t>m</w:t>
      </w:r>
      <w:r>
        <w:rPr>
          <w:i/>
          <w:vertAlign w:val="subscript"/>
        </w:rPr>
        <w:t>x</w:t>
      </w:r>
      <w:r w:rsidRPr="00014CCA">
        <w:t xml:space="preserve"> = </w:t>
      </w:r>
      <w:r w:rsidR="005A55E1">
        <w:t>5</w:t>
      </w:r>
      <w:r w:rsidRPr="00014CCA">
        <w:t xml:space="preserve">, </w:t>
      </w:r>
      <w:r w:rsidRPr="00014CCA">
        <w:rPr>
          <w:i/>
        </w:rPr>
        <w:t>n</w:t>
      </w:r>
      <w:r>
        <w:rPr>
          <w:i/>
          <w:vertAlign w:val="subscript"/>
        </w:rPr>
        <w:t>x</w:t>
      </w:r>
      <w:r w:rsidRPr="00014CCA">
        <w:t xml:space="preserve"> = </w:t>
      </w:r>
      <w:r w:rsidR="005A55E1">
        <w:t>5</w:t>
      </w:r>
      <w:r w:rsidRPr="00014CCA">
        <w:t xml:space="preserve">, </w:t>
      </w:r>
      <w:r w:rsidRPr="00014CCA">
        <w:rPr>
          <w:i/>
        </w:rPr>
        <w:t>w</w:t>
      </w:r>
      <w:r w:rsidRPr="00014CCA">
        <w:t>(</w:t>
      </w:r>
      <w:r w:rsidRPr="00014CCA">
        <w:rPr>
          <w:i/>
        </w:rPr>
        <w:t>B</w:t>
      </w:r>
      <w:r w:rsidRPr="00014CCA">
        <w:rPr>
          <w:i/>
          <w:vertAlign w:val="subscript"/>
        </w:rPr>
        <w:t>x</w:t>
      </w:r>
      <w:r>
        <w:t>) = 1</w:t>
      </w:r>
    </w:p>
    <w:p w:rsidR="000D479A" w:rsidRDefault="000D479A" w:rsidP="00174478">
      <w:pPr>
        <w:pStyle w:val="Text"/>
        <w:ind w:firstLine="0"/>
        <w:rPr>
          <w:iCs/>
        </w:rPr>
      </w:pPr>
      <w:r>
        <w:rPr>
          <w:iCs/>
        </w:rPr>
        <w:t>In diesem Fall hat die speziellere Regel die doppelte Anwendungswahrschei</w:t>
      </w:r>
      <w:r>
        <w:rPr>
          <w:iCs/>
        </w:rPr>
        <w:t>n</w:t>
      </w:r>
      <w:r>
        <w:rPr>
          <w:iCs/>
        </w:rPr>
        <w:t xml:space="preserve">lichkeit der allgemeineren. Überall dort, wo es möglich war, sind quadratische Fenster mit 2 m Seitenlänge eingebaut. Trotz der </w:t>
      </w:r>
      <w:r w:rsidR="005A55E1">
        <w:rPr>
          <w:iCs/>
        </w:rPr>
        <w:t xml:space="preserve">wesentlich </w:t>
      </w:r>
      <w:r>
        <w:rPr>
          <w:iCs/>
        </w:rPr>
        <w:t>geringeren Anzahl an Fällen, über die überhaupt eine Aussage getroffen werden kann (</w:t>
      </w:r>
      <w:r w:rsidR="005A55E1">
        <w:rPr>
          <w:iCs/>
        </w:rPr>
        <w:t>5</w:t>
      </w:r>
      <w:r>
        <w:rPr>
          <w:iCs/>
        </w:rPr>
        <w:t xml:space="preserve"> statt 16), ist es nicht unplausibel, dass die Regel einen eigenen Sachverhalt beschreibt. Sie </w:t>
      </w:r>
      <w:r w:rsidR="00D505F5">
        <w:rPr>
          <w:iCs/>
        </w:rPr>
        <w:t xml:space="preserve">kann </w:t>
      </w:r>
      <w:r w:rsidR="00C86F4E">
        <w:rPr>
          <w:iCs/>
        </w:rPr>
        <w:t xml:space="preserve">daher erhalten bleiben. Dies geschieht tatsächlich für den empfohlenen Wert </w:t>
      </w:r>
      <w:r w:rsidR="00C86F4E" w:rsidRPr="003E0660">
        <w:rPr>
          <w:i/>
          <w:iCs/>
        </w:rPr>
        <w:t>f</w:t>
      </w:r>
      <w:r w:rsidR="00C86F4E">
        <w:rPr>
          <w:rFonts w:cs="Times New Roman"/>
          <w:iCs/>
        </w:rPr>
        <w:t> = 2</w:t>
      </w:r>
      <w:r w:rsidR="00C86F4E">
        <w:rPr>
          <w:iCs/>
        </w:rPr>
        <w:t>:</w:t>
      </w:r>
    </w:p>
    <w:p w:rsidR="00C86F4E" w:rsidRDefault="005D7996" w:rsidP="00174478">
      <w:pPr>
        <w:pStyle w:val="FormelTabrechts"/>
      </w:pPr>
      <m:oMath>
        <m:f>
          <m:fPr>
            <m:ctrlPr>
              <w:rPr>
                <w:rFonts w:ascii="Cambria Math" w:hAnsi="Cambria Math"/>
                <w:i/>
                <w:lang w:val="en-US"/>
              </w:rPr>
            </m:ctrlPr>
          </m:fPr>
          <m:num>
            <m:r>
              <m:rPr>
                <m:nor/>
              </m:rPr>
              <m:t>16</m:t>
            </m:r>
          </m:num>
          <m:den>
            <m:r>
              <m:rPr>
                <m:nor/>
              </m:rPr>
              <m:t>5</m:t>
            </m:r>
          </m:den>
        </m:f>
      </m:oMath>
      <w:r w:rsidR="00C86F4E" w:rsidRPr="00803CA0">
        <w:t xml:space="preserve"> </w:t>
      </w:r>
      <w:r w:rsidR="004E77BA">
        <w:t>&gt;</w:t>
      </w:r>
      <w:r w:rsidR="00C86F4E"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1</m:t>
                </m:r>
              </m:num>
              <m:den>
                <m:r>
                  <m:rPr>
                    <m:nor/>
                  </m:rPr>
                  <m:t>0,5</m:t>
                </m:r>
              </m:den>
            </m:f>
            <m:r>
              <m:rPr>
                <m:nor/>
              </m:rPr>
              <m:t>)</m:t>
            </m:r>
          </m:e>
          <m:sup>
            <m:r>
              <m:rPr>
                <m:nor/>
              </m:rPr>
              <w:rPr>
                <w:i/>
              </w:rPr>
              <m:t>f</m:t>
            </m:r>
          </m:sup>
        </m:sSup>
      </m:oMath>
      <w:r w:rsidR="00C86F4E" w:rsidRPr="00B82A81">
        <w:tab/>
      </w:r>
      <w:r w:rsidR="00635DE8" w:rsidRPr="00635DE8">
        <w:rPr>
          <w:rFonts w:ascii="Cambria Math" w:eastAsia="Arial Unicode MS" w:hAnsi="Cambria Math" w:cs="Arial Unicode MS"/>
        </w:rPr>
        <w:t>⇒</w:t>
      </w:r>
      <w:r w:rsidR="00C86F4E">
        <w:tab/>
      </w:r>
      <w:r w:rsidR="005A55E1">
        <w:t>3,2</w:t>
      </w:r>
      <w:r w:rsidR="00C86F4E">
        <w:t xml:space="preserve"> </w:t>
      </w:r>
      <w:r w:rsidR="004E77BA">
        <w:t>&gt;</w:t>
      </w:r>
      <w:r w:rsidR="00C86F4E">
        <w:rPr>
          <w:position w:val="-6"/>
        </w:rPr>
        <w:t xml:space="preserve"> </w:t>
      </w:r>
      <m:oMath>
        <m:sSup>
          <m:sSupPr>
            <m:ctrlPr>
              <w:rPr>
                <w:rFonts w:ascii="Cambria Math" w:hAnsi="Cambria Math"/>
                <w:i/>
              </w:rPr>
            </m:ctrlPr>
          </m:sSupPr>
          <m:e>
            <m:r>
              <m:rPr>
                <m:nor/>
              </m:rPr>
              <m:t>2</m:t>
            </m:r>
          </m:e>
          <m:sup>
            <m:r>
              <m:rPr>
                <m:nor/>
              </m:rPr>
              <w:rPr>
                <w:rFonts w:ascii="Cambria Math"/>
                <w:i/>
              </w:rPr>
              <m:t xml:space="preserve"> </m:t>
            </m:r>
            <m:r>
              <m:rPr>
                <m:nor/>
              </m:rPr>
              <w:rPr>
                <w:i/>
              </w:rPr>
              <m:t>f</m:t>
            </m:r>
          </m:sup>
        </m:sSup>
      </m:oMath>
      <w:r w:rsidR="00C86F4E">
        <w:tab/>
        <w:t xml:space="preserve">für </w:t>
      </w:r>
      <w:r w:rsidR="008B6C78">
        <w:t>1,678</w:t>
      </w:r>
      <w:r w:rsidR="002D397D">
        <w:t xml:space="preserve"> </w:t>
      </w:r>
      <w:r w:rsidR="004E77BA">
        <w:t>&gt;</w:t>
      </w:r>
      <w:r w:rsidR="002D397D">
        <w:t xml:space="preserve"> </w:t>
      </w:r>
      <w:r w:rsidR="00C86F4E" w:rsidRPr="003E0660">
        <w:rPr>
          <w:i/>
        </w:rPr>
        <w:t>f</w:t>
      </w:r>
      <w:r w:rsidR="00C86F4E">
        <w:t xml:space="preserve"> </w:t>
      </w:r>
      <w:r w:rsidR="002D397D">
        <w:t>&gt;</w:t>
      </w:r>
      <w:r w:rsidR="00C86F4E">
        <w:t xml:space="preserve"> </w:t>
      </w:r>
      <w:r w:rsidR="002D397D">
        <w:t>1</w:t>
      </w:r>
      <w:r w:rsidR="00C86F4E">
        <w:t xml:space="preserve"> </w:t>
      </w:r>
      <w:r w:rsidR="006E4A14">
        <w:t>erf.</w:t>
      </w:r>
      <w:r w:rsidR="00C86F4E">
        <w:t xml:space="preserve">, für </w:t>
      </w:r>
      <w:r w:rsidR="00C86F4E" w:rsidRPr="003E0660">
        <w:rPr>
          <w:i/>
        </w:rPr>
        <w:t>f</w:t>
      </w:r>
      <w:r w:rsidR="00C86F4E">
        <w:t xml:space="preserve"> </w:t>
      </w:r>
      <w:r w:rsidR="004E77BA">
        <w:t>≥</w:t>
      </w:r>
      <w:r w:rsidR="00C86F4E">
        <w:t xml:space="preserve"> </w:t>
      </w:r>
      <w:r w:rsidR="008B6C78">
        <w:t>1,678 nicht erf.</w:t>
      </w:r>
    </w:p>
    <w:p w:rsidR="00503153" w:rsidRDefault="00503153" w:rsidP="00174478">
      <w:pPr>
        <w:pStyle w:val="Text"/>
        <w:ind w:firstLine="0"/>
      </w:pPr>
      <w:r>
        <w:t xml:space="preserve">Wir haben auf die </w:t>
      </w:r>
      <w:r w:rsidR="004A0DA8">
        <w:t xml:space="preserve">konkreten </w:t>
      </w:r>
      <w:r>
        <w:t xml:space="preserve">verlangten Eigenschaften Bezug genommen, um </w:t>
      </w:r>
      <w:r w:rsidR="0002602F">
        <w:t xml:space="preserve">die Entfernung </w:t>
      </w:r>
      <w:r>
        <w:t xml:space="preserve">der Regel zu rechtfertigen. Sicherheitshalber sollten wir es </w:t>
      </w:r>
      <w:r w:rsidR="004A0DA8">
        <w:t xml:space="preserve">daher </w:t>
      </w:r>
      <w:r>
        <w:t>auch mit anderen probieren:</w:t>
      </w:r>
    </w:p>
    <w:p w:rsidR="00503153" w:rsidRPr="00E044F6" w:rsidRDefault="00503153" w:rsidP="00962C30">
      <w:pPr>
        <w:pStyle w:val="Interpretation"/>
      </w:pPr>
      <w:r w:rsidRPr="00E044F6">
        <w:rPr>
          <w:i/>
        </w:rPr>
        <w:lastRenderedPageBreak/>
        <w:t>U</w:t>
      </w:r>
      <w:r w:rsidRPr="00E044F6">
        <w:t>(</w:t>
      </w:r>
      <w:r w:rsidRPr="00E044F6">
        <w:rPr>
          <w:i/>
        </w:rPr>
        <w:t>B</w:t>
      </w:r>
      <w:r w:rsidRPr="00E044F6">
        <w:rPr>
          <w:i/>
          <w:vertAlign w:val="subscript"/>
        </w:rPr>
        <w:t>j</w:t>
      </w:r>
      <w:r w:rsidRPr="00E044F6">
        <w:t>): ‚</w:t>
      </w:r>
      <w:r>
        <w:t>Fenster</w:t>
      </w:r>
      <w:r w:rsidRPr="00E044F6">
        <w:t xml:space="preserve"> ‘, </w:t>
      </w:r>
      <w:r w:rsidRPr="00E044F6">
        <w:rPr>
          <w:i/>
        </w:rPr>
        <w:t>V</w:t>
      </w:r>
      <w:r w:rsidRPr="00E044F6">
        <w:t>(</w:t>
      </w:r>
      <w:r w:rsidRPr="00E044F6">
        <w:rPr>
          <w:i/>
        </w:rPr>
        <w:t>B</w:t>
      </w:r>
      <w:r w:rsidRPr="00E044F6">
        <w:rPr>
          <w:i/>
          <w:vertAlign w:val="subscript"/>
        </w:rPr>
        <w:t>j</w:t>
      </w:r>
      <w:r w:rsidRPr="00E044F6">
        <w:t>): ‚</w:t>
      </w:r>
      <w:r>
        <w:t>mit Doppelverglasung</w:t>
      </w:r>
      <w:r w:rsidRPr="00E044F6">
        <w:t>‘</w:t>
      </w:r>
    </w:p>
    <w:p w:rsidR="00503153" w:rsidRPr="00E044F6" w:rsidRDefault="00503153" w:rsidP="00962C30">
      <w:pPr>
        <w:pStyle w:val="Interpretation"/>
      </w:pPr>
      <w:r w:rsidRPr="00E044F6">
        <w:rPr>
          <w:i/>
        </w:rPr>
        <w:t>U</w:t>
      </w:r>
      <w:r w:rsidRPr="00E044F6">
        <w:t>(</w:t>
      </w:r>
      <w:r w:rsidRPr="00E044F6">
        <w:rPr>
          <w:i/>
        </w:rPr>
        <w:t>B</w:t>
      </w:r>
      <w:r>
        <w:rPr>
          <w:i/>
          <w:vertAlign w:val="subscript"/>
        </w:rPr>
        <w:t>x</w:t>
      </w:r>
      <w:r w:rsidRPr="00E044F6">
        <w:t>): ‚</w:t>
      </w:r>
      <w:r>
        <w:t>Fenster</w:t>
      </w:r>
      <w:r w:rsidRPr="00E044F6">
        <w:t xml:space="preserve">‘, </w:t>
      </w:r>
      <w:r w:rsidRPr="00E044F6">
        <w:rPr>
          <w:i/>
        </w:rPr>
        <w:t>V</w:t>
      </w:r>
      <w:r w:rsidRPr="00E044F6">
        <w:t>(</w:t>
      </w:r>
      <w:r w:rsidRPr="00E044F6">
        <w:rPr>
          <w:i/>
        </w:rPr>
        <w:t>B</w:t>
      </w:r>
      <w:r>
        <w:rPr>
          <w:i/>
          <w:vertAlign w:val="subscript"/>
        </w:rPr>
        <w:t>x</w:t>
      </w:r>
      <w:r w:rsidRPr="00E044F6">
        <w:t>): ‚</w:t>
      </w:r>
      <w:r>
        <w:t xml:space="preserve">mit Doppelverglasung; 30 </w:t>
      </w:r>
      <w:r>
        <w:rPr>
          <w:rFonts w:cs="Times New Roman"/>
        </w:rPr>
        <w:t>∙</w:t>
      </w:r>
      <w:r>
        <w:t xml:space="preserve"> 30 cm groß‘</w:t>
      </w:r>
    </w:p>
    <w:p w:rsidR="00503153" w:rsidRDefault="00503153" w:rsidP="00174478">
      <w:pPr>
        <w:pStyle w:val="Formel"/>
      </w:pPr>
      <w:r w:rsidRPr="00014CCA">
        <w:rPr>
          <w:i/>
        </w:rPr>
        <w:t>m</w:t>
      </w:r>
      <w:r w:rsidRPr="00014CCA">
        <w:rPr>
          <w:i/>
          <w:vertAlign w:val="subscript"/>
        </w:rPr>
        <w:t>j</w:t>
      </w:r>
      <w:r w:rsidRPr="00014CCA">
        <w:t xml:space="preserve"> = </w:t>
      </w:r>
      <w:r>
        <w:t>8</w:t>
      </w:r>
      <w:r w:rsidRPr="00014CCA">
        <w:t xml:space="preserve">, </w:t>
      </w:r>
      <w:r w:rsidRPr="00014CCA">
        <w:rPr>
          <w:i/>
        </w:rPr>
        <w:t>n</w:t>
      </w:r>
      <w:r w:rsidRPr="00014CCA">
        <w:rPr>
          <w:i/>
          <w:vertAlign w:val="subscript"/>
        </w:rPr>
        <w:t>j</w:t>
      </w:r>
      <w:r w:rsidRPr="00014CCA">
        <w:t xml:space="preserve"> = </w:t>
      </w:r>
      <w:r>
        <w:t>16</w:t>
      </w:r>
      <w:r w:rsidRPr="00014CCA">
        <w:t xml:space="preserve">, </w:t>
      </w:r>
      <w:r w:rsidRPr="00014CCA">
        <w:rPr>
          <w:i/>
        </w:rPr>
        <w:t>w</w:t>
      </w:r>
      <w:r w:rsidRPr="00014CCA">
        <w:t>(</w:t>
      </w:r>
      <w:r w:rsidRPr="00014CCA">
        <w:rPr>
          <w:i/>
        </w:rPr>
        <w:t>B</w:t>
      </w:r>
      <w:r>
        <w:rPr>
          <w:i/>
          <w:vertAlign w:val="subscript"/>
        </w:rPr>
        <w:t>j</w:t>
      </w:r>
      <w:r w:rsidRPr="00014CCA">
        <w:t>) = 0,</w:t>
      </w:r>
      <w:r>
        <w:t>5</w:t>
      </w:r>
      <w:r w:rsidR="00174478">
        <w:br/>
      </w:r>
      <w:r w:rsidRPr="00014CCA">
        <w:rPr>
          <w:i/>
        </w:rPr>
        <w:t>m</w:t>
      </w:r>
      <w:r>
        <w:rPr>
          <w:i/>
          <w:vertAlign w:val="subscript"/>
        </w:rPr>
        <w:t>x</w:t>
      </w:r>
      <w:r w:rsidRPr="00014CCA">
        <w:t xml:space="preserve"> = </w:t>
      </w:r>
      <w:r>
        <w:t>2</w:t>
      </w:r>
      <w:r w:rsidRPr="00014CCA">
        <w:t xml:space="preserve">, </w:t>
      </w:r>
      <w:r w:rsidRPr="00014CCA">
        <w:rPr>
          <w:i/>
        </w:rPr>
        <w:t>n</w:t>
      </w:r>
      <w:r>
        <w:rPr>
          <w:i/>
          <w:vertAlign w:val="subscript"/>
        </w:rPr>
        <w:t>x</w:t>
      </w:r>
      <w:r w:rsidRPr="00014CCA">
        <w:t xml:space="preserve"> = </w:t>
      </w:r>
      <w:r>
        <w:t>2</w:t>
      </w:r>
      <w:r w:rsidRPr="00014CCA">
        <w:t xml:space="preserve">, </w:t>
      </w:r>
      <w:r w:rsidRPr="00014CCA">
        <w:rPr>
          <w:i/>
        </w:rPr>
        <w:t>w</w:t>
      </w:r>
      <w:r w:rsidRPr="00014CCA">
        <w:t>(</w:t>
      </w:r>
      <w:r w:rsidRPr="00014CCA">
        <w:rPr>
          <w:i/>
        </w:rPr>
        <w:t>B</w:t>
      </w:r>
      <w:r w:rsidRPr="00014CCA">
        <w:rPr>
          <w:i/>
          <w:vertAlign w:val="subscript"/>
        </w:rPr>
        <w:t>x</w:t>
      </w:r>
      <w:r w:rsidRPr="00014CCA">
        <w:t xml:space="preserve">) = </w:t>
      </w:r>
      <w:r>
        <w:t>1</w:t>
      </w:r>
    </w:p>
    <w:p w:rsidR="00503153" w:rsidRDefault="005D7996" w:rsidP="00174478">
      <w:pPr>
        <w:pStyle w:val="FormelTabrechts"/>
      </w:pPr>
      <m:oMath>
        <m:f>
          <m:fPr>
            <m:ctrlPr>
              <w:rPr>
                <w:rFonts w:ascii="Cambria Math" w:hAnsi="Cambria Math" w:cs="Times New Roman"/>
                <w:i/>
                <w:lang w:val="en-US"/>
              </w:rPr>
            </m:ctrlPr>
          </m:fPr>
          <m:num>
            <m:r>
              <m:rPr>
                <m:nor/>
              </m:rPr>
              <w:rPr>
                <w:rFonts w:cs="Times New Roman"/>
              </w:rPr>
              <m:t>16</m:t>
            </m:r>
          </m:num>
          <m:den>
            <m:r>
              <m:rPr>
                <m:nor/>
              </m:rPr>
              <w:rPr>
                <w:rFonts w:cs="Times New Roman"/>
              </w:rPr>
              <m:t>2</m:t>
            </m:r>
          </m:den>
        </m:f>
      </m:oMath>
      <w:r w:rsidR="00503153" w:rsidRPr="00803CA0">
        <w:t xml:space="preserve"> </w:t>
      </w:r>
      <w:r w:rsidR="004E77BA">
        <w:rPr>
          <w:rFonts w:cs="Times New Roman"/>
        </w:rPr>
        <w:t>&gt;</w:t>
      </w:r>
      <w:r w:rsidR="00503153"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m:t>
                </m:r>
              </m:num>
              <m:den>
                <m:r>
                  <m:rPr>
                    <m:nor/>
                  </m:rPr>
                  <w:rPr>
                    <w:rFonts w:cs="Times New Roman"/>
                  </w:rPr>
                  <m:t>0,5</m:t>
                </m:r>
              </m:den>
            </m:f>
            <m:r>
              <m:rPr>
                <m:nor/>
              </m:rPr>
              <w:rPr>
                <w:rFonts w:cs="Times New Roman"/>
              </w:rPr>
              <m:t>)</m:t>
            </m:r>
          </m:e>
          <m:sup>
            <m:r>
              <m:rPr>
                <m:nor/>
              </m:rPr>
              <w:rPr>
                <w:rFonts w:cs="Times New Roman"/>
                <w:i/>
              </w:rPr>
              <m:t>f</m:t>
            </m:r>
          </m:sup>
        </m:sSup>
      </m:oMath>
      <w:r w:rsidR="00503153" w:rsidRPr="00B82A81">
        <w:tab/>
      </w:r>
      <w:r w:rsidR="00635DE8" w:rsidRPr="00635DE8">
        <w:rPr>
          <w:rFonts w:ascii="Cambria Math" w:eastAsia="Arial Unicode MS" w:hAnsi="Cambria Math" w:cs="Arial Unicode MS"/>
        </w:rPr>
        <w:t>⇒</w:t>
      </w:r>
      <w:r w:rsidR="00503153">
        <w:tab/>
        <w:t xml:space="preserve">8 </w:t>
      </w:r>
      <w:r w:rsidR="004E77BA">
        <w:rPr>
          <w:rFonts w:cs="Times New Roman"/>
        </w:rPr>
        <w:t>&gt;</w:t>
      </w:r>
      <w:r w:rsidR="00503153">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503153">
        <w:tab/>
        <w:t xml:space="preserve">für 3 </w:t>
      </w:r>
      <w:r w:rsidR="004E77BA">
        <w:rPr>
          <w:rFonts w:cs="Times New Roman"/>
        </w:rPr>
        <w:t>&gt;</w:t>
      </w:r>
      <w:r w:rsidR="00503153">
        <w:t xml:space="preserve"> </w:t>
      </w:r>
      <w:r w:rsidR="00503153" w:rsidRPr="003E0660">
        <w:rPr>
          <w:i/>
        </w:rPr>
        <w:t>f</w:t>
      </w:r>
      <w:r w:rsidR="00503153">
        <w:t xml:space="preserve"> </w:t>
      </w:r>
      <w:r w:rsidR="00503153">
        <w:rPr>
          <w:rFonts w:cs="Times New Roman"/>
        </w:rPr>
        <w:t xml:space="preserve">&gt; 1 </w:t>
      </w:r>
      <w:r w:rsidR="00503153">
        <w:t xml:space="preserve">erfüllt, für </w:t>
      </w:r>
      <w:r w:rsidR="00503153" w:rsidRPr="003E0660">
        <w:rPr>
          <w:i/>
        </w:rPr>
        <w:t>f</w:t>
      </w:r>
      <w:r w:rsidR="00503153">
        <w:t xml:space="preserve"> </w:t>
      </w:r>
      <w:r w:rsidR="004E77BA">
        <w:rPr>
          <w:rFonts w:cs="Times New Roman"/>
        </w:rPr>
        <w:t>≥</w:t>
      </w:r>
      <w:r w:rsidR="00503153">
        <w:t xml:space="preserve"> 3 nicht erfüllt</w:t>
      </w:r>
    </w:p>
    <w:p w:rsidR="00503153" w:rsidRDefault="00D505F5" w:rsidP="00174478">
      <w:pPr>
        <w:pStyle w:val="Text"/>
        <w:ind w:firstLine="0"/>
      </w:pPr>
      <w:r>
        <w:t>Für sich genommen erscheint die speziellere Regel als sehr treffend: Hat sie doch eine Anwendungswahrscheinlichkeit von 1.</w:t>
      </w:r>
      <w:r w:rsidRPr="00D505F5">
        <w:t xml:space="preserve"> </w:t>
      </w:r>
      <w:r>
        <w:t>Im Vergleich mit der allgeme</w:t>
      </w:r>
      <w:r>
        <w:t>i</w:t>
      </w:r>
      <w:r>
        <w:t xml:space="preserve">neren wird jedoch deutlich, dass </w:t>
      </w:r>
      <w:r w:rsidR="002307AA">
        <w:t>ihre verlangten Eigenschaften zu speziell fo</w:t>
      </w:r>
      <w:r w:rsidR="002307AA">
        <w:t>r</w:t>
      </w:r>
      <w:r w:rsidR="002307AA">
        <w:t>muliert sind</w:t>
      </w:r>
      <w:r>
        <w:t xml:space="preserve">: </w:t>
      </w:r>
      <w:r w:rsidR="00503153">
        <w:t>Bei praktisch allen Fenstern schließen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503153">
        <w:t xml:space="preserve"> so kleine Fenster aus, zwei </w:t>
      </w:r>
      <w:r>
        <w:t>Fe</w:t>
      </w:r>
      <w:r w:rsidR="00503153">
        <w:t xml:space="preserve">nster </w:t>
      </w:r>
      <w:r>
        <w:t xml:space="preserve">(dies können beispielsweise Toilettenfenster sein) </w:t>
      </w:r>
      <w:r w:rsidR="00503153">
        <w:t xml:space="preserve">sind die Ausnahme. Die Regel sollte also trotz höherer Trefferquote </w:t>
      </w:r>
      <w:r w:rsidR="0002602F">
        <w:rPr>
          <w:iCs/>
        </w:rPr>
        <w:t>en</w:t>
      </w:r>
      <w:r w:rsidR="0002602F">
        <w:rPr>
          <w:iCs/>
        </w:rPr>
        <w:t>t</w:t>
      </w:r>
      <w:r w:rsidR="0002602F">
        <w:rPr>
          <w:iCs/>
        </w:rPr>
        <w:t>fernt</w:t>
      </w:r>
      <w:r w:rsidR="0002602F">
        <w:t xml:space="preserve"> </w:t>
      </w:r>
      <w:r w:rsidR="00503153">
        <w:t>werden.</w:t>
      </w:r>
    </w:p>
    <w:p w:rsidR="002C06AB" w:rsidRPr="002C06AB" w:rsidRDefault="00503153" w:rsidP="000D479A">
      <w:pPr>
        <w:pStyle w:val="Text"/>
        <w:rPr>
          <w:iCs/>
        </w:rPr>
      </w:pPr>
      <w:r>
        <w:rPr>
          <w:iCs/>
        </w:rPr>
        <w:t>Ein Beispiel mit einem anderen Schemaort:</w:t>
      </w:r>
    </w:p>
    <w:p w:rsidR="000D479A" w:rsidRPr="00E044F6" w:rsidRDefault="000D479A" w:rsidP="00962C30">
      <w:pPr>
        <w:pStyle w:val="Interpretation"/>
      </w:pPr>
      <w:r w:rsidRPr="00E044F6">
        <w:rPr>
          <w:i/>
        </w:rPr>
        <w:t>U</w:t>
      </w:r>
      <w:r w:rsidRPr="00E044F6">
        <w:t>(</w:t>
      </w:r>
      <w:r w:rsidRPr="00E044F6">
        <w:rPr>
          <w:i/>
        </w:rPr>
        <w:t>B</w:t>
      </w:r>
      <w:r w:rsidRPr="00E044F6">
        <w:rPr>
          <w:i/>
          <w:vertAlign w:val="subscript"/>
        </w:rPr>
        <w:t>j</w:t>
      </w:r>
      <w:r w:rsidRPr="00E044F6">
        <w:t>): ‚</w:t>
      </w:r>
      <w:r>
        <w:t>Terrassen</w:t>
      </w:r>
      <w:r w:rsidRPr="00E044F6">
        <w:t xml:space="preserve">‘, </w:t>
      </w:r>
      <w:r w:rsidRPr="00E044F6">
        <w:rPr>
          <w:i/>
        </w:rPr>
        <w:t>V</w:t>
      </w:r>
      <w:r w:rsidRPr="00E044F6">
        <w:t>(</w:t>
      </w:r>
      <w:r w:rsidRPr="00E044F6">
        <w:rPr>
          <w:i/>
        </w:rPr>
        <w:t>B</w:t>
      </w:r>
      <w:r w:rsidRPr="00E044F6">
        <w:rPr>
          <w:i/>
          <w:vertAlign w:val="subscript"/>
        </w:rPr>
        <w:t>j</w:t>
      </w:r>
      <w:r w:rsidRPr="00E044F6">
        <w:t>): ‚</w:t>
      </w:r>
      <w:r>
        <w:t>mit schmiedeeisernen Geländern</w:t>
      </w:r>
      <w:r w:rsidRPr="00E044F6">
        <w:t>‘</w:t>
      </w:r>
    </w:p>
    <w:p w:rsidR="000D479A" w:rsidRPr="00E044F6" w:rsidRDefault="000D479A" w:rsidP="00962C30">
      <w:pPr>
        <w:pStyle w:val="Interpretation"/>
      </w:pPr>
      <w:r w:rsidRPr="00E044F6">
        <w:rPr>
          <w:i/>
        </w:rPr>
        <w:t>U</w:t>
      </w:r>
      <w:r w:rsidRPr="00E044F6">
        <w:t>(</w:t>
      </w:r>
      <w:r w:rsidRPr="00E044F6">
        <w:rPr>
          <w:i/>
        </w:rPr>
        <w:t>B</w:t>
      </w:r>
      <w:r>
        <w:rPr>
          <w:i/>
          <w:vertAlign w:val="subscript"/>
        </w:rPr>
        <w:t>x</w:t>
      </w:r>
      <w:r w:rsidRPr="00E044F6">
        <w:t>): ‚</w:t>
      </w:r>
      <w:r>
        <w:t>Terrassen</w:t>
      </w:r>
      <w:r w:rsidRPr="00E044F6">
        <w:t xml:space="preserve">‘, </w:t>
      </w:r>
      <w:r w:rsidRPr="00E044F6">
        <w:rPr>
          <w:i/>
        </w:rPr>
        <w:t>V</w:t>
      </w:r>
      <w:r w:rsidRPr="00E044F6">
        <w:t>(</w:t>
      </w:r>
      <w:r w:rsidRPr="00E044F6">
        <w:rPr>
          <w:i/>
        </w:rPr>
        <w:t>B</w:t>
      </w:r>
      <w:r>
        <w:rPr>
          <w:i/>
          <w:vertAlign w:val="subscript"/>
        </w:rPr>
        <w:t>x</w:t>
      </w:r>
      <w:r w:rsidRPr="00E044F6">
        <w:t>): ‚</w:t>
      </w:r>
      <w:r>
        <w:t>mit schmiedeeisernen Geländern</w:t>
      </w:r>
      <w:r w:rsidR="00623AFD">
        <w:t>;</w:t>
      </w:r>
      <w:r>
        <w:t xml:space="preserve"> mit dreistufigem äußerem Aufgang</w:t>
      </w:r>
      <w:r w:rsidRPr="00E044F6">
        <w:t>‘</w:t>
      </w:r>
    </w:p>
    <w:p w:rsidR="000D479A" w:rsidRPr="00014CCA" w:rsidRDefault="000D479A" w:rsidP="00174478">
      <w:pPr>
        <w:pStyle w:val="Formel"/>
      </w:pPr>
      <w:r w:rsidRPr="00014CCA">
        <w:rPr>
          <w:i/>
        </w:rPr>
        <w:t>m</w:t>
      </w:r>
      <w:r w:rsidRPr="00014CCA">
        <w:rPr>
          <w:i/>
          <w:vertAlign w:val="subscript"/>
        </w:rPr>
        <w:t>j</w:t>
      </w:r>
      <w:r w:rsidRPr="00014CCA">
        <w:t xml:space="preserve"> = </w:t>
      </w:r>
      <w:r w:rsidR="00C86F4E">
        <w:t>9</w:t>
      </w:r>
      <w:r w:rsidRPr="00014CCA">
        <w:t xml:space="preserve">, </w:t>
      </w:r>
      <w:r w:rsidRPr="00014CCA">
        <w:rPr>
          <w:i/>
        </w:rPr>
        <w:t>n</w:t>
      </w:r>
      <w:r w:rsidRPr="00014CCA">
        <w:rPr>
          <w:i/>
          <w:vertAlign w:val="subscript"/>
        </w:rPr>
        <w:t>j</w:t>
      </w:r>
      <w:r w:rsidRPr="00014CCA">
        <w:t xml:space="preserve"> = </w:t>
      </w:r>
      <w:r>
        <w:t>1</w:t>
      </w:r>
      <w:r w:rsidR="00C86F4E">
        <w:t>8</w:t>
      </w:r>
      <w:r w:rsidRPr="00014CCA">
        <w:t xml:space="preserve">, </w:t>
      </w:r>
      <w:r w:rsidRPr="00014CCA">
        <w:rPr>
          <w:i/>
        </w:rPr>
        <w:t>w</w:t>
      </w:r>
      <w:r w:rsidRPr="00014CCA">
        <w:t>(</w:t>
      </w:r>
      <w:r w:rsidRPr="00014CCA">
        <w:rPr>
          <w:i/>
        </w:rPr>
        <w:t>B</w:t>
      </w:r>
      <w:r>
        <w:rPr>
          <w:i/>
          <w:vertAlign w:val="subscript"/>
        </w:rPr>
        <w:t>j</w:t>
      </w:r>
      <w:r w:rsidRPr="00014CCA">
        <w:t>) = 0,</w:t>
      </w:r>
      <w:r>
        <w:t>5</w:t>
      </w:r>
      <w:r w:rsidR="00174478">
        <w:br/>
      </w:r>
      <w:r w:rsidRPr="00014CCA">
        <w:rPr>
          <w:i/>
        </w:rPr>
        <w:t>m</w:t>
      </w:r>
      <w:r>
        <w:rPr>
          <w:i/>
          <w:vertAlign w:val="subscript"/>
        </w:rPr>
        <w:t>x</w:t>
      </w:r>
      <w:r w:rsidRPr="00014CCA">
        <w:t xml:space="preserve"> = </w:t>
      </w:r>
      <w:r>
        <w:t>3</w:t>
      </w:r>
      <w:r w:rsidRPr="00014CCA">
        <w:t xml:space="preserve">, </w:t>
      </w:r>
      <w:r w:rsidRPr="00014CCA">
        <w:rPr>
          <w:i/>
        </w:rPr>
        <w:t>n</w:t>
      </w:r>
      <w:r>
        <w:rPr>
          <w:i/>
          <w:vertAlign w:val="subscript"/>
        </w:rPr>
        <w:t>x</w:t>
      </w:r>
      <w:r w:rsidRPr="00014CCA">
        <w:t xml:space="preserve"> = </w:t>
      </w:r>
      <w:r>
        <w:t>3</w:t>
      </w:r>
      <w:r w:rsidRPr="00014CCA">
        <w:t xml:space="preserve">, </w:t>
      </w:r>
      <w:r w:rsidRPr="00014CCA">
        <w:rPr>
          <w:i/>
        </w:rPr>
        <w:t>w</w:t>
      </w:r>
      <w:r w:rsidRPr="00014CCA">
        <w:t>(</w:t>
      </w:r>
      <w:r w:rsidRPr="00014CCA">
        <w:rPr>
          <w:i/>
        </w:rPr>
        <w:t>B</w:t>
      </w:r>
      <w:r w:rsidRPr="00014CCA">
        <w:rPr>
          <w:i/>
          <w:vertAlign w:val="subscript"/>
        </w:rPr>
        <w:t>x</w:t>
      </w:r>
      <w:r w:rsidRPr="00014CCA">
        <w:t xml:space="preserve">) = </w:t>
      </w:r>
      <w:r>
        <w:t>1</w:t>
      </w:r>
    </w:p>
    <w:p w:rsidR="00C86F4E" w:rsidRDefault="00D505F5" w:rsidP="00174478">
      <w:pPr>
        <w:pStyle w:val="Text"/>
        <w:ind w:firstLine="0"/>
      </w:pPr>
      <w:r>
        <w:t xml:space="preserve">Auch hier ist eindeutig, dass die zusätzlich spezifizierte Eigenschaft </w:t>
      </w:r>
      <w:r w:rsidR="002307AA">
        <w:t>die verlan</w:t>
      </w:r>
      <w:r w:rsidR="002307AA">
        <w:t>g</w:t>
      </w:r>
      <w:r w:rsidR="002307AA">
        <w:t>ten Eigenschaften zu speziell macht</w:t>
      </w:r>
      <w:r>
        <w:t xml:space="preserve">: </w:t>
      </w:r>
      <w:r w:rsidR="007809F3">
        <w:t>Da die meisten Terrassen ebenerdig sind oder sich als Dachterrassen in größerer Höhe befinden, ist meist gar kein dre</w:t>
      </w:r>
      <w:r w:rsidR="007809F3">
        <w:t>i</w:t>
      </w:r>
      <w:r w:rsidR="007809F3">
        <w:t xml:space="preserve">stufiger Aufgang möglich. </w:t>
      </w:r>
      <w:r w:rsidR="000D479A">
        <w:t xml:space="preserve">Es ist </w:t>
      </w:r>
      <w:r w:rsidR="007809F3">
        <w:t xml:space="preserve">daher </w:t>
      </w:r>
      <w:r w:rsidR="000D479A">
        <w:t>einfach, für alle Terrassen, bei denen überhaupt ein dreistufiger äußerer Aufgang möglich ist, eine Anwendungswah</w:t>
      </w:r>
      <w:r w:rsidR="000D479A">
        <w:t>r</w:t>
      </w:r>
      <w:r w:rsidR="000D479A">
        <w:t xml:space="preserve">scheinlichkeit von 1 zu erhalten. </w:t>
      </w:r>
      <w:r w:rsidR="00C86F4E">
        <w:t xml:space="preserve">Tatsächlich fliegt </w:t>
      </w:r>
      <w:r w:rsidR="00A47697">
        <w:t xml:space="preserve">die Regel </w:t>
      </w:r>
      <w:r w:rsidR="009629AF">
        <w:t xml:space="preserve">für </w:t>
      </w:r>
      <w:r w:rsidR="009629AF" w:rsidRPr="003E0660">
        <w:rPr>
          <w:i/>
          <w:iCs/>
        </w:rPr>
        <w:t>f</w:t>
      </w:r>
      <w:r w:rsidR="009629AF">
        <w:rPr>
          <w:rFonts w:cs="Times New Roman"/>
          <w:iCs/>
        </w:rPr>
        <w:t xml:space="preserve"> = 2 </w:t>
      </w:r>
      <w:r w:rsidR="00C86F4E">
        <w:t>raus:</w:t>
      </w:r>
    </w:p>
    <w:p w:rsidR="00C86F4E" w:rsidRDefault="005D7996" w:rsidP="00AF0610">
      <w:pPr>
        <w:pStyle w:val="FormelTabrechts"/>
      </w:pPr>
      <m:oMath>
        <m:f>
          <m:fPr>
            <m:ctrlPr>
              <w:rPr>
                <w:rFonts w:ascii="Cambria Math" w:hAnsi="Cambria Math" w:cs="Times New Roman"/>
                <w:i/>
                <w:lang w:val="en-US"/>
              </w:rPr>
            </m:ctrlPr>
          </m:fPr>
          <m:num>
            <m:r>
              <m:rPr>
                <m:nor/>
              </m:rPr>
              <w:rPr>
                <w:rFonts w:cs="Times New Roman"/>
              </w:rPr>
              <m:t>18</m:t>
            </m:r>
          </m:num>
          <m:den>
            <m:r>
              <m:rPr>
                <m:nor/>
              </m:rPr>
              <w:rPr>
                <w:rFonts w:cs="Times New Roman"/>
              </w:rPr>
              <m:t>3</m:t>
            </m:r>
          </m:den>
        </m:f>
      </m:oMath>
      <w:r w:rsidR="00C86F4E" w:rsidRPr="00803CA0">
        <w:t xml:space="preserve"> </w:t>
      </w:r>
      <w:r w:rsidR="004E77BA">
        <w:rPr>
          <w:rFonts w:cs="Times New Roman"/>
        </w:rPr>
        <w:t>&gt;</w:t>
      </w:r>
      <w:r w:rsidR="00C86F4E" w:rsidRPr="00803CA0">
        <w:t xml:space="preserve"> </w:t>
      </w:r>
      <m:oMath>
        <m:r>
          <m:rPr>
            <m:nor/>
          </m:rPr>
          <w:rPr>
            <w:rFonts w:cs="Times New Roman"/>
          </w:rPr>
          <m:t>(</m:t>
        </m:r>
        <m:sSup>
          <m:sSupPr>
            <m:ctrlPr>
              <w:rPr>
                <w:rFonts w:ascii="Cambria Math" w:hAnsi="Cambria Math" w:cs="Times New Roman"/>
                <w:i/>
              </w:rPr>
            </m:ctrlPr>
          </m:sSupPr>
          <m:e>
            <m:f>
              <m:fPr>
                <m:ctrlPr>
                  <w:rPr>
                    <w:rFonts w:ascii="Cambria Math" w:hAnsi="Cambria Math" w:cs="Times New Roman"/>
                    <w:i/>
                    <w:lang w:val="en-US"/>
                  </w:rPr>
                </m:ctrlPr>
              </m:fPr>
              <m:num>
                <m:r>
                  <m:rPr>
                    <m:nor/>
                  </m:rPr>
                  <w:rPr>
                    <w:rFonts w:cs="Times New Roman"/>
                  </w:rPr>
                  <m:t>1</m:t>
                </m:r>
              </m:num>
              <m:den>
                <m:r>
                  <m:rPr>
                    <m:nor/>
                  </m:rPr>
                  <w:rPr>
                    <w:rFonts w:cs="Times New Roman"/>
                  </w:rPr>
                  <m:t>0,5</m:t>
                </m:r>
              </m:den>
            </m:f>
            <m:r>
              <m:rPr>
                <m:nor/>
              </m:rPr>
              <w:rPr>
                <w:rFonts w:cs="Times New Roman"/>
              </w:rPr>
              <m:t>)</m:t>
            </m:r>
          </m:e>
          <m:sup>
            <m:r>
              <m:rPr>
                <m:nor/>
              </m:rPr>
              <w:rPr>
                <w:rFonts w:cs="Times New Roman"/>
                <w:i/>
              </w:rPr>
              <m:t>f</m:t>
            </m:r>
          </m:sup>
        </m:sSup>
      </m:oMath>
      <w:r w:rsidR="00C86F4E" w:rsidRPr="00B82A81">
        <w:tab/>
      </w:r>
      <w:r w:rsidR="00635DE8" w:rsidRPr="00635DE8">
        <w:rPr>
          <w:rFonts w:ascii="Cambria Math" w:eastAsia="Arial Unicode MS" w:hAnsi="Cambria Math" w:cs="Arial Unicode MS"/>
        </w:rPr>
        <w:t>⇒</w:t>
      </w:r>
      <w:r w:rsidR="00C86F4E">
        <w:tab/>
        <w:t xml:space="preserve">6 </w:t>
      </w:r>
      <w:r w:rsidR="004E77BA">
        <w:rPr>
          <w:rFonts w:cs="Times New Roman"/>
        </w:rPr>
        <w:t>&gt;</w:t>
      </w:r>
      <w:r w:rsidR="00C86F4E">
        <w:rPr>
          <w:position w:val="-6"/>
        </w:rPr>
        <w:t xml:space="preserve"> </w:t>
      </w:r>
      <m:oMath>
        <m:sSup>
          <m:sSupPr>
            <m:ctrlPr>
              <w:rPr>
                <w:rFonts w:ascii="Cambria Math" w:hAnsi="Cambria Math" w:cs="Times New Roman"/>
                <w:i/>
              </w:rPr>
            </m:ctrlPr>
          </m:sSupPr>
          <m:e>
            <m:r>
              <m:rPr>
                <m:nor/>
              </m:rPr>
              <w:rPr>
                <w:rFonts w:cs="Times New Roman"/>
              </w:rPr>
              <m:t>2</m:t>
            </m:r>
          </m:e>
          <m:sup>
            <m:r>
              <m:rPr>
                <m:nor/>
              </m:rPr>
              <w:rPr>
                <w:rFonts w:ascii="Cambria Math" w:cs="Times New Roman"/>
                <w:i/>
              </w:rPr>
              <m:t xml:space="preserve"> </m:t>
            </m:r>
            <m:r>
              <m:rPr>
                <m:nor/>
              </m:rPr>
              <w:rPr>
                <w:rFonts w:cs="Times New Roman"/>
                <w:i/>
              </w:rPr>
              <m:t>f</m:t>
            </m:r>
          </m:sup>
        </m:sSup>
      </m:oMath>
      <w:r w:rsidR="00C86F4E">
        <w:tab/>
      </w:r>
      <w:r w:rsidR="009629AF">
        <w:t>für 2,5</w:t>
      </w:r>
      <w:r w:rsidR="00CB1AFC">
        <w:t>85</w:t>
      </w:r>
      <w:r w:rsidR="009629AF">
        <w:t xml:space="preserve"> </w:t>
      </w:r>
      <w:r w:rsidR="004E77BA">
        <w:rPr>
          <w:rFonts w:cs="Times New Roman"/>
        </w:rPr>
        <w:t>&gt;</w:t>
      </w:r>
      <w:r w:rsidR="009629AF">
        <w:t xml:space="preserve"> </w:t>
      </w:r>
      <w:r w:rsidR="009629AF" w:rsidRPr="003E0660">
        <w:rPr>
          <w:i/>
        </w:rPr>
        <w:t>f</w:t>
      </w:r>
      <w:r w:rsidR="009629AF">
        <w:t xml:space="preserve"> </w:t>
      </w:r>
      <w:r w:rsidR="002D397D">
        <w:rPr>
          <w:rFonts w:cs="Times New Roman"/>
        </w:rPr>
        <w:t>&gt;</w:t>
      </w:r>
      <w:r w:rsidR="009629AF">
        <w:rPr>
          <w:rFonts w:cs="Times New Roman"/>
        </w:rPr>
        <w:t xml:space="preserve"> 1 </w:t>
      </w:r>
      <w:r w:rsidR="006E4A14">
        <w:t>erf.</w:t>
      </w:r>
      <w:r w:rsidR="009629AF">
        <w:t xml:space="preserve">, für </w:t>
      </w:r>
      <w:r w:rsidR="009629AF" w:rsidRPr="003E0660">
        <w:rPr>
          <w:i/>
        </w:rPr>
        <w:t>f</w:t>
      </w:r>
      <w:r w:rsidR="009629AF">
        <w:t xml:space="preserve"> </w:t>
      </w:r>
      <w:r w:rsidR="004E77BA">
        <w:rPr>
          <w:rFonts w:cs="Times New Roman"/>
        </w:rPr>
        <w:t>≥</w:t>
      </w:r>
      <w:r w:rsidR="009629AF">
        <w:t xml:space="preserve"> </w:t>
      </w:r>
      <w:r w:rsidR="00CB1AFC">
        <w:t>2,585 nicht erf.</w:t>
      </w:r>
    </w:p>
    <w:p w:rsidR="000D479A" w:rsidRDefault="000D479A" w:rsidP="00AF0610">
      <w:pPr>
        <w:pStyle w:val="Text"/>
        <w:ind w:firstLine="0"/>
      </w:pPr>
      <w:r>
        <w:t xml:space="preserve">In </w:t>
      </w:r>
      <w:r w:rsidR="00D505F5">
        <w:t xml:space="preserve">den </w:t>
      </w:r>
      <w:r>
        <w:t xml:space="preserve">beiden </w:t>
      </w:r>
      <w:r w:rsidR="00D505F5">
        <w:t xml:space="preserve">letzten Beispielen </w:t>
      </w:r>
      <w:r w:rsidR="00364206">
        <w:t xml:space="preserve">sind die </w:t>
      </w:r>
      <w:r w:rsidR="00C974D7">
        <w:t>verlangten Eigenschaften der Regel zu speziell für ihre Anwendungsbedingungen</w:t>
      </w:r>
      <w:r w:rsidR="002307AA">
        <w:t xml:space="preserve">. Diese Regeln </w:t>
      </w:r>
      <w:r w:rsidR="00C974D7">
        <w:t xml:space="preserve">sollten mit spezielleren </w:t>
      </w:r>
      <w:r>
        <w:t>Anwendungsbedingungen</w:t>
      </w:r>
      <w:r w:rsidR="00C974D7">
        <w:t xml:space="preserve"> formuliert werden</w:t>
      </w:r>
      <w:r>
        <w:t xml:space="preserve">: Die erste </w:t>
      </w:r>
      <w:r w:rsidR="00A83A99">
        <w:t>mit</w:t>
      </w:r>
      <w:r w:rsidR="00D505F5">
        <w:t xml:space="preserve"> ‚Fenster (von Toile</w:t>
      </w:r>
      <w:r w:rsidR="00D505F5">
        <w:t>t</w:t>
      </w:r>
      <w:r w:rsidR="00D505F5">
        <w:t>ten)‘</w:t>
      </w:r>
      <w:r>
        <w:t xml:space="preserve">, die zweite </w:t>
      </w:r>
      <w:r w:rsidR="00A83A99">
        <w:t>mit</w:t>
      </w:r>
      <w:r>
        <w:t xml:space="preserve"> </w:t>
      </w:r>
      <w:r w:rsidR="00D505F5">
        <w:t>‚Terrassen (im Erdgeschoss)‘</w:t>
      </w:r>
      <w:r>
        <w:t>. Ha</w:t>
      </w:r>
      <w:r w:rsidR="00A83A99">
        <w:t>t eine andere Regel bei gleichen Anwendungsbedingungen</w:t>
      </w:r>
      <w:r>
        <w:t xml:space="preserve"> </w:t>
      </w:r>
      <w:r w:rsidRPr="008D1E9F">
        <w:rPr>
          <w:i/>
        </w:rPr>
        <w:t>U</w:t>
      </w:r>
      <w:r>
        <w:t xml:space="preserve"> wesentlich höhere Anwendungsmöglic</w:t>
      </w:r>
      <w:r>
        <w:t>h</w:t>
      </w:r>
      <w:r>
        <w:t xml:space="preserve">keiten </w:t>
      </w:r>
      <w:r w:rsidRPr="008D1E9F">
        <w:rPr>
          <w:i/>
        </w:rPr>
        <w:t>n</w:t>
      </w:r>
      <w:r>
        <w:t xml:space="preserve">, ist es plausibel, dass ein </w:t>
      </w:r>
      <w:r w:rsidR="00364206">
        <w:t xml:space="preserve">solcher </w:t>
      </w:r>
      <w:r>
        <w:t xml:space="preserve">Fall vorliegt. In diesem Fall sollte die Regel nur dann behalten werden, wenn sie dies durch ein entsprechend höheres </w:t>
      </w:r>
      <w:r w:rsidRPr="008D1E9F">
        <w:rPr>
          <w:i/>
        </w:rPr>
        <w:t>w</w:t>
      </w:r>
      <w:r>
        <w:t xml:space="preserve"> ausgleichen kann.</w:t>
      </w:r>
    </w:p>
    <w:p w:rsidR="003E49C4" w:rsidRDefault="0064262D" w:rsidP="003E49C4">
      <w:pPr>
        <w:pStyle w:val="Text"/>
        <w:rPr>
          <w:iCs/>
        </w:rPr>
      </w:pPr>
      <w:r>
        <w:t xml:space="preserve">Es ist noch auf eine </w:t>
      </w:r>
      <w:r w:rsidR="004C7694">
        <w:t>kontraintuitive Verhaltensweise dieses Moduls der D</w:t>
      </w:r>
      <w:r w:rsidR="00157B87">
        <w:t>i</w:t>
      </w:r>
      <w:r w:rsidR="004C7694">
        <w:t xml:space="preserve">sambiguierung hinzuweisen: Sie wirft </w:t>
      </w:r>
      <w:r w:rsidR="003E49C4">
        <w:t xml:space="preserve">speziellere Regeln mit niedrigerem </w:t>
      </w:r>
      <w:r w:rsidR="003E49C4" w:rsidRPr="003E49C4">
        <w:rPr>
          <w:i/>
        </w:rPr>
        <w:t>w</w:t>
      </w:r>
      <w:r w:rsidR="003E49C4">
        <w:t xml:space="preserve"> </w:t>
      </w:r>
      <w:r>
        <w:t>a</w:t>
      </w:r>
      <w:r>
        <w:t>u</w:t>
      </w:r>
      <w:r>
        <w:t>tomatisch</w:t>
      </w:r>
      <w:r w:rsidR="004C7694">
        <w:t xml:space="preserve"> </w:t>
      </w:r>
      <w:r>
        <w:t>hinaus</w:t>
      </w:r>
      <w:r w:rsidR="004C7694">
        <w:t xml:space="preserve">, und zwar unabhängig von der Höhe von </w:t>
      </w:r>
      <w:r w:rsidR="004C7694" w:rsidRPr="003E49C4">
        <w:rPr>
          <w:i/>
        </w:rPr>
        <w:t>f</w:t>
      </w:r>
      <w:r>
        <w:t xml:space="preserve">. </w:t>
      </w:r>
      <w:r w:rsidR="004C7694">
        <w:t xml:space="preserve">Doch solche Regeln enthalten offenbar zusätzliche Information über die Realisierung. </w:t>
      </w:r>
      <w:r>
        <w:t xml:space="preserve">Nehmen wir </w:t>
      </w:r>
      <w:r>
        <w:lastRenderedPageBreak/>
        <w:t>als Beispiel an, e</w:t>
      </w:r>
      <w:r w:rsidR="003E49C4">
        <w:rPr>
          <w:iCs/>
        </w:rPr>
        <w:t>in Komponist verwendet verschiedene Verzierungen in seinen Kompositionen:</w:t>
      </w:r>
    </w:p>
    <w:p w:rsidR="003E49C4" w:rsidRDefault="003E49C4" w:rsidP="00962C30">
      <w:pPr>
        <w:pStyle w:val="Interpretation"/>
      </w:pPr>
      <w:r w:rsidRPr="00E044F6">
        <w:rPr>
          <w:i/>
        </w:rPr>
        <w:t>U</w:t>
      </w:r>
      <w:r w:rsidRPr="00E044F6">
        <w:t>(</w:t>
      </w:r>
      <w:r w:rsidRPr="00E044F6">
        <w:rPr>
          <w:i/>
        </w:rPr>
        <w:t>B</w:t>
      </w:r>
      <w:r w:rsidRPr="00E044F6">
        <w:rPr>
          <w:i/>
          <w:vertAlign w:val="subscript"/>
        </w:rPr>
        <w:t>j</w:t>
      </w:r>
      <w:r w:rsidRPr="00E044F6">
        <w:t>): ‚</w:t>
      </w:r>
      <w:r>
        <w:t>für Vorschlag geeignete Stellen</w:t>
      </w:r>
      <w:r w:rsidRPr="00E044F6">
        <w:t xml:space="preserve">‘, </w:t>
      </w:r>
      <w:r w:rsidRPr="00E044F6">
        <w:rPr>
          <w:i/>
        </w:rPr>
        <w:t>V</w:t>
      </w:r>
      <w:r w:rsidRPr="00E044F6">
        <w:t>(</w:t>
      </w:r>
      <w:r w:rsidRPr="00E044F6">
        <w:rPr>
          <w:i/>
        </w:rPr>
        <w:t>B</w:t>
      </w:r>
      <w:r w:rsidRPr="00E044F6">
        <w:rPr>
          <w:i/>
          <w:vertAlign w:val="subscript"/>
        </w:rPr>
        <w:t>j</w:t>
      </w:r>
      <w:r w:rsidRPr="00E044F6">
        <w:t>): ‚</w:t>
      </w:r>
      <w:r>
        <w:t>Vorschlag</w:t>
      </w:r>
      <w:r w:rsidRPr="00E044F6">
        <w:t>‘</w:t>
      </w:r>
    </w:p>
    <w:p w:rsidR="003E49C4" w:rsidRDefault="003E49C4" w:rsidP="00962C30">
      <w:pPr>
        <w:pStyle w:val="Interpretation"/>
      </w:pPr>
      <w:r w:rsidRPr="00E044F6">
        <w:rPr>
          <w:i/>
        </w:rPr>
        <w:t>U</w:t>
      </w:r>
      <w:r w:rsidRPr="00E044F6">
        <w:t>(</w:t>
      </w:r>
      <w:r w:rsidRPr="00E044F6">
        <w:rPr>
          <w:i/>
        </w:rPr>
        <w:t>B</w:t>
      </w:r>
      <w:r>
        <w:rPr>
          <w:i/>
          <w:vertAlign w:val="subscript"/>
        </w:rPr>
        <w:t>x</w:t>
      </w:r>
      <w:r w:rsidRPr="00E044F6">
        <w:t>): ‚</w:t>
      </w:r>
      <w:r>
        <w:t>für Vorschlag geeignete Stellen</w:t>
      </w:r>
      <w:r w:rsidRPr="00E044F6">
        <w:t xml:space="preserve">‘, </w:t>
      </w:r>
      <w:r w:rsidRPr="00E044F6">
        <w:rPr>
          <w:i/>
        </w:rPr>
        <w:t>V</w:t>
      </w:r>
      <w:r w:rsidRPr="00E044F6">
        <w:t>(</w:t>
      </w:r>
      <w:r w:rsidRPr="00E044F6">
        <w:rPr>
          <w:i/>
        </w:rPr>
        <w:t>B</w:t>
      </w:r>
      <w:r>
        <w:rPr>
          <w:i/>
          <w:vertAlign w:val="subscript"/>
        </w:rPr>
        <w:t>x</w:t>
      </w:r>
      <w:r w:rsidRPr="00E044F6">
        <w:t>): ‚</w:t>
      </w:r>
      <w:r>
        <w:t>Vorschlag</w:t>
      </w:r>
      <w:r w:rsidR="00623AFD">
        <w:t>;</w:t>
      </w:r>
      <w:r>
        <w:t xml:space="preserve"> von oben</w:t>
      </w:r>
      <w:r w:rsidRPr="00E044F6">
        <w:t>‘</w:t>
      </w:r>
    </w:p>
    <w:p w:rsidR="003E49C4" w:rsidRDefault="003E49C4" w:rsidP="003E49C4">
      <w:pPr>
        <w:pStyle w:val="Text"/>
      </w:pPr>
      <w:r>
        <w:rPr>
          <w:iCs/>
        </w:rPr>
        <w:tab/>
      </w:r>
      <w:r w:rsidRPr="00014CCA">
        <w:rPr>
          <w:i/>
        </w:rPr>
        <w:t>m</w:t>
      </w:r>
      <w:r w:rsidRPr="00014CCA">
        <w:rPr>
          <w:i/>
          <w:vertAlign w:val="subscript"/>
        </w:rPr>
        <w:t>j</w:t>
      </w:r>
      <w:r w:rsidRPr="00014CCA">
        <w:t xml:space="preserve"> = </w:t>
      </w:r>
      <w:r>
        <w:t>20</w:t>
      </w:r>
      <w:r w:rsidRPr="00014CCA">
        <w:t xml:space="preserve">, </w:t>
      </w:r>
      <w:r w:rsidRPr="00014CCA">
        <w:rPr>
          <w:i/>
        </w:rPr>
        <w:t>n</w:t>
      </w:r>
      <w:r w:rsidRPr="00014CCA">
        <w:rPr>
          <w:i/>
          <w:vertAlign w:val="subscript"/>
        </w:rPr>
        <w:t>j</w:t>
      </w:r>
      <w:r w:rsidRPr="00014CCA">
        <w:t xml:space="preserve"> = </w:t>
      </w:r>
      <w:r>
        <w:t>100</w:t>
      </w:r>
      <w:r w:rsidRPr="00014CCA">
        <w:t xml:space="preserve">, </w:t>
      </w:r>
      <w:r w:rsidRPr="00014CCA">
        <w:rPr>
          <w:i/>
        </w:rPr>
        <w:t>w</w:t>
      </w:r>
      <w:r w:rsidRPr="00014CCA">
        <w:t>(</w:t>
      </w:r>
      <w:r w:rsidRPr="00014CCA">
        <w:rPr>
          <w:i/>
        </w:rPr>
        <w:t>B</w:t>
      </w:r>
      <w:r>
        <w:rPr>
          <w:i/>
          <w:vertAlign w:val="subscript"/>
        </w:rPr>
        <w:t>j</w:t>
      </w:r>
      <w:r w:rsidRPr="00014CCA">
        <w:t>) = 0,</w:t>
      </w:r>
      <w:r>
        <w:t>2</w:t>
      </w:r>
    </w:p>
    <w:p w:rsidR="003E49C4" w:rsidRPr="00014CCA" w:rsidRDefault="003E49C4" w:rsidP="003E49C4">
      <w:pPr>
        <w:pStyle w:val="Text"/>
      </w:pPr>
      <w:r>
        <w:tab/>
      </w:r>
      <w:r w:rsidRPr="00014CCA">
        <w:rPr>
          <w:i/>
        </w:rPr>
        <w:t>m</w:t>
      </w:r>
      <w:r>
        <w:rPr>
          <w:i/>
          <w:vertAlign w:val="subscript"/>
        </w:rPr>
        <w:t>x</w:t>
      </w:r>
      <w:r w:rsidRPr="00014CCA">
        <w:t xml:space="preserve"> = </w:t>
      </w:r>
      <w:r>
        <w:t>19</w:t>
      </w:r>
      <w:r w:rsidRPr="00014CCA">
        <w:t xml:space="preserve">, </w:t>
      </w:r>
      <w:r w:rsidRPr="00014CCA">
        <w:rPr>
          <w:i/>
        </w:rPr>
        <w:t>n</w:t>
      </w:r>
      <w:r>
        <w:rPr>
          <w:i/>
          <w:vertAlign w:val="subscript"/>
        </w:rPr>
        <w:t>x</w:t>
      </w:r>
      <w:r w:rsidRPr="00014CCA">
        <w:t xml:space="preserve"> = </w:t>
      </w:r>
      <w:r>
        <w:t>100</w:t>
      </w:r>
      <w:r w:rsidRPr="00014CCA">
        <w:t xml:space="preserve">, </w:t>
      </w:r>
      <w:r w:rsidRPr="00014CCA">
        <w:rPr>
          <w:i/>
        </w:rPr>
        <w:t>w</w:t>
      </w:r>
      <w:r w:rsidRPr="00014CCA">
        <w:t>(</w:t>
      </w:r>
      <w:r w:rsidRPr="00014CCA">
        <w:rPr>
          <w:i/>
        </w:rPr>
        <w:t>B</w:t>
      </w:r>
      <w:r w:rsidRPr="00014CCA">
        <w:rPr>
          <w:i/>
          <w:vertAlign w:val="subscript"/>
        </w:rPr>
        <w:t>x</w:t>
      </w:r>
      <w:r w:rsidRPr="00014CCA">
        <w:t>) = 0,</w:t>
      </w:r>
      <w:r>
        <w:t>19</w:t>
      </w:r>
    </w:p>
    <w:p w:rsidR="009629AF" w:rsidRDefault="005D7996" w:rsidP="00AF0610">
      <w:pPr>
        <w:pStyle w:val="FormelTabrechts"/>
      </w:pPr>
      <m:oMath>
        <m:f>
          <m:fPr>
            <m:ctrlPr>
              <w:rPr>
                <w:rFonts w:ascii="Cambria Math" w:hAnsi="Cambria Math"/>
                <w:i/>
                <w:lang w:val="en-US"/>
              </w:rPr>
            </m:ctrlPr>
          </m:fPr>
          <m:num>
            <m:r>
              <m:rPr>
                <m:nor/>
              </m:rPr>
              <m:t>100</m:t>
            </m:r>
          </m:num>
          <m:den>
            <m:r>
              <m:rPr>
                <m:nor/>
              </m:rPr>
              <m:t>100</m:t>
            </m:r>
          </m:den>
        </m:f>
      </m:oMath>
      <w:r w:rsidR="009629AF" w:rsidRPr="00803CA0">
        <w:t xml:space="preserve"> </w:t>
      </w:r>
      <w:r w:rsidR="004E77BA">
        <w:t>&gt;</w:t>
      </w:r>
      <w:r w:rsidR="009629AF" w:rsidRPr="00803CA0">
        <w:t xml:space="preserve"> </w:t>
      </w:r>
      <m:oMath>
        <m:r>
          <m:rPr>
            <m:nor/>
          </m:rPr>
          <m:t>(</m:t>
        </m:r>
        <m:sSup>
          <m:sSupPr>
            <m:ctrlPr>
              <w:rPr>
                <w:rFonts w:ascii="Cambria Math" w:hAnsi="Cambria Math"/>
                <w:i/>
              </w:rPr>
            </m:ctrlPr>
          </m:sSupPr>
          <m:e>
            <m:f>
              <m:fPr>
                <m:ctrlPr>
                  <w:rPr>
                    <w:rFonts w:ascii="Cambria Math" w:hAnsi="Cambria Math"/>
                    <w:i/>
                    <w:lang w:val="en-US"/>
                  </w:rPr>
                </m:ctrlPr>
              </m:fPr>
              <m:num>
                <m:r>
                  <m:rPr>
                    <m:nor/>
                  </m:rPr>
                  <m:t>0,19</m:t>
                </m:r>
              </m:num>
              <m:den>
                <m:r>
                  <m:rPr>
                    <m:nor/>
                  </m:rPr>
                  <m:t>0,20</m:t>
                </m:r>
              </m:den>
            </m:f>
            <m:r>
              <m:rPr>
                <m:nor/>
              </m:rPr>
              <m:t>)</m:t>
            </m:r>
          </m:e>
          <m:sup>
            <m:r>
              <m:rPr>
                <m:nor/>
              </m:rPr>
              <w:rPr>
                <w:i/>
              </w:rPr>
              <m:t>f</m:t>
            </m:r>
          </m:sup>
        </m:sSup>
      </m:oMath>
      <w:r w:rsidR="009629AF" w:rsidRPr="00B82A81">
        <w:tab/>
      </w:r>
      <w:r w:rsidR="00635DE8" w:rsidRPr="00635DE8">
        <w:rPr>
          <w:rFonts w:ascii="Cambria Math" w:eastAsia="Arial Unicode MS" w:hAnsi="Cambria Math" w:cs="Arial Unicode MS"/>
        </w:rPr>
        <w:t>⇒</w:t>
      </w:r>
      <w:r w:rsidR="009629AF">
        <w:tab/>
        <w:t xml:space="preserve">1 </w:t>
      </w:r>
      <w:r w:rsidR="004E77BA">
        <w:t>&gt;</w:t>
      </w:r>
      <w:r w:rsidR="009629AF">
        <w:rPr>
          <w:position w:val="-6"/>
        </w:rPr>
        <w:t xml:space="preserve"> </w:t>
      </w:r>
      <m:oMath>
        <m:sSup>
          <m:sSupPr>
            <m:ctrlPr>
              <w:rPr>
                <w:rFonts w:ascii="Cambria Math" w:hAnsi="Cambria Math"/>
                <w:i/>
              </w:rPr>
            </m:ctrlPr>
          </m:sSupPr>
          <m:e>
            <m:r>
              <m:rPr>
                <m:nor/>
              </m:rPr>
              <m:t>0,95</m:t>
            </m:r>
          </m:e>
          <m:sup>
            <m:r>
              <m:rPr>
                <m:nor/>
              </m:rPr>
              <w:rPr>
                <w:rFonts w:ascii="Cambria Math"/>
                <w:i/>
              </w:rPr>
              <m:t xml:space="preserve"> </m:t>
            </m:r>
            <m:r>
              <m:rPr>
                <m:nor/>
              </m:rPr>
              <w:rPr>
                <w:i/>
              </w:rPr>
              <m:t>f</m:t>
            </m:r>
          </m:sup>
        </m:sSup>
      </m:oMath>
      <w:r w:rsidR="009629AF">
        <w:tab/>
        <w:t xml:space="preserve">für </w:t>
      </w:r>
      <w:r w:rsidR="009629AF" w:rsidRPr="003E0660">
        <w:rPr>
          <w:i/>
        </w:rPr>
        <w:t>f</w:t>
      </w:r>
      <w:r w:rsidR="009629AF">
        <w:t xml:space="preserve"> </w:t>
      </w:r>
      <w:r w:rsidR="002D397D">
        <w:t>&gt;</w:t>
      </w:r>
      <w:r w:rsidR="009629AF">
        <w:t xml:space="preserve"> 1 erfüllt</w:t>
      </w:r>
    </w:p>
    <w:p w:rsidR="00157B87" w:rsidRDefault="003E49C4" w:rsidP="00AF0610">
      <w:pPr>
        <w:pStyle w:val="Text"/>
        <w:ind w:firstLine="0"/>
      </w:pPr>
      <w:r>
        <w:t>Die speziellere Regel würd</w:t>
      </w:r>
      <w:r w:rsidR="009629AF">
        <w:t>e</w:t>
      </w:r>
      <w:r>
        <w:t xml:space="preserve"> hier </w:t>
      </w:r>
      <w:r w:rsidR="004C7694">
        <w:t xml:space="preserve">für jedes </w:t>
      </w:r>
      <w:r w:rsidR="004C7694" w:rsidRPr="004C7694">
        <w:rPr>
          <w:i/>
        </w:rPr>
        <w:t>f</w:t>
      </w:r>
      <w:r w:rsidR="004C7694">
        <w:t xml:space="preserve"> </w:t>
      </w:r>
      <w:r w:rsidR="000524BF">
        <w:t>entfernt</w:t>
      </w:r>
      <w:r>
        <w:t xml:space="preserve">, da sie ein niedrigeres </w:t>
      </w:r>
      <w:r w:rsidRPr="00E6783E">
        <w:rPr>
          <w:i/>
        </w:rPr>
        <w:t>w</w:t>
      </w:r>
      <w:r>
        <w:t xml:space="preserve"> hat. Warum sollte </w:t>
      </w:r>
      <w:r w:rsidR="004C7694">
        <w:t xml:space="preserve">jedoch </w:t>
      </w:r>
      <w:r>
        <w:t xml:space="preserve">eine solche Regel, die eine genauere Beschreibung liefert, trotz des etwas geringeren </w:t>
      </w:r>
      <w:r w:rsidRPr="00771A65">
        <w:rPr>
          <w:i/>
        </w:rPr>
        <w:t>w</w:t>
      </w:r>
      <w:r>
        <w:t xml:space="preserve"> </w:t>
      </w:r>
      <w:r w:rsidR="004C7694">
        <w:t>nicht akzeptabel sein</w:t>
      </w:r>
      <w:r>
        <w:t>?</w:t>
      </w:r>
      <w:r w:rsidR="00157B87">
        <w:t xml:space="preserve"> Scheinbar wird hier eine durchaus informative Regel </w:t>
      </w:r>
      <w:r w:rsidR="0002602F">
        <w:rPr>
          <w:iCs/>
        </w:rPr>
        <w:t>entfernt</w:t>
      </w:r>
      <w:r w:rsidR="00157B87">
        <w:t>.</w:t>
      </w:r>
    </w:p>
    <w:p w:rsidR="00157B87" w:rsidRDefault="00766FB3" w:rsidP="00157B87">
      <w:pPr>
        <w:pStyle w:val="Text"/>
      </w:pPr>
      <w:r>
        <w:t>In diesem Zusammenhang ist zu beachten, dass d</w:t>
      </w:r>
      <w:r w:rsidR="00157B87">
        <w:t xml:space="preserve">ie allgemeinere Regel in solchen Fällen, da ihr </w:t>
      </w:r>
      <w:r w:rsidR="00157B87" w:rsidRPr="003E49C4">
        <w:rPr>
          <w:i/>
        </w:rPr>
        <w:t>w</w:t>
      </w:r>
      <w:r w:rsidR="00157B87">
        <w:t xml:space="preserve"> </w:t>
      </w:r>
      <w:r w:rsidR="00560988">
        <w:t xml:space="preserve">größer </w:t>
      </w:r>
      <w:r w:rsidR="00157B87">
        <w:t>ist als das der spezielleren, automatisch erhalten</w:t>
      </w:r>
      <w:r w:rsidR="00485013">
        <w:t xml:space="preserve"> bleibt</w:t>
      </w:r>
      <w:r w:rsidR="00157B87">
        <w:t xml:space="preserve">; dies ist notwendig, da </w:t>
      </w:r>
      <w:r w:rsidR="00B9272B">
        <w:t xml:space="preserve">die Regel mehr Fälle erfasst und </w:t>
      </w:r>
      <w:r w:rsidR="00157B87">
        <w:t>es keinen Hinweis auf eine Beeinflussung durch die</w:t>
      </w:r>
      <w:r w:rsidR="00FA6DC8">
        <w:t xml:space="preserve"> speziellere gibt (vgl. Modul 3, wo </w:t>
      </w:r>
      <w:r w:rsidR="00157B87">
        <w:t xml:space="preserve">Fall 3 </w:t>
      </w:r>
      <w:r w:rsidR="00FA6DC8">
        <w:t>en</w:t>
      </w:r>
      <w:r w:rsidR="00FA6DC8">
        <w:t>t</w:t>
      </w:r>
      <w:r w:rsidR="00FA6DC8">
        <w:t xml:space="preserve">sprechend Modul 1 </w:t>
      </w:r>
      <w:r w:rsidR="00560988">
        <w:t>gilt</w:t>
      </w:r>
      <w:r w:rsidR="00157B87">
        <w:t xml:space="preserve">). Man müsste also eine zweite, sehr ähnliche Regel in </w:t>
      </w:r>
      <w:r w:rsidR="00157B87" w:rsidRPr="00157B87">
        <w:rPr>
          <w:i/>
        </w:rPr>
        <w:t>B</w:t>
      </w:r>
      <w:r w:rsidR="00157B87">
        <w:t xml:space="preserve"> belassen.</w:t>
      </w:r>
    </w:p>
    <w:p w:rsidR="0064262D" w:rsidRDefault="00157B87" w:rsidP="003E49C4">
      <w:pPr>
        <w:pStyle w:val="Text"/>
      </w:pPr>
      <w:r>
        <w:t xml:space="preserve">Zugleich </w:t>
      </w:r>
      <w:r w:rsidR="003E49C4">
        <w:t xml:space="preserve">können für gegebene </w:t>
      </w:r>
      <w:r w:rsidR="00A17C8A">
        <w:t xml:space="preserve">Anwendungsbedingungen </w:t>
      </w:r>
      <w:r w:rsidR="003E49C4">
        <w:t>stets viele spezie</w:t>
      </w:r>
      <w:r w:rsidR="003E49C4">
        <w:t>l</w:t>
      </w:r>
      <w:r w:rsidR="003E49C4">
        <w:t xml:space="preserve">lere Regeln gebildet werden, die weniger Fälle erfassen und geringere </w:t>
      </w:r>
      <w:r w:rsidR="003E49C4" w:rsidRPr="003E49C4">
        <w:rPr>
          <w:i/>
        </w:rPr>
        <w:t>w</w:t>
      </w:r>
      <w:r w:rsidR="003E49C4">
        <w:t xml:space="preserve"> haben. </w:t>
      </w:r>
      <w:r>
        <w:t xml:space="preserve">Im vorliegenden Fall kann </w:t>
      </w:r>
      <w:r w:rsidR="003E49C4">
        <w:t>zwischen langen und kurzen, doppelten und einf</w:t>
      </w:r>
      <w:r w:rsidR="003E49C4">
        <w:t>a</w:t>
      </w:r>
      <w:r w:rsidR="003E49C4">
        <w:t>chen Vorschlägen unterschieden werden</w:t>
      </w:r>
      <w:r w:rsidR="0064262D">
        <w:t>,</w:t>
      </w:r>
      <w:r w:rsidR="003E49C4">
        <w:t xml:space="preserve"> zwischen Vorschlägen </w:t>
      </w:r>
      <w:r w:rsidR="0064262D">
        <w:t xml:space="preserve">auf schweren und leichten Zählzeiten, </w:t>
      </w:r>
      <w:r>
        <w:t xml:space="preserve">solchen </w:t>
      </w:r>
      <w:r w:rsidR="0064262D">
        <w:t xml:space="preserve">die große </w:t>
      </w:r>
      <w:r>
        <w:t xml:space="preserve">und </w:t>
      </w:r>
      <w:r w:rsidR="0064262D">
        <w:t>kleine Sekunden bilden, sich wiederholenden und überraschenden Vorschlägen, mit einem bestimmten Finger zu spielenden Vorschlägen, usw. Es wird sich wohl immer eine Beschreibung</w:t>
      </w:r>
      <w:r w:rsidR="0064262D">
        <w:t>s</w:t>
      </w:r>
      <w:r w:rsidR="0064262D">
        <w:t>weise finden lassen, die nur wenig seltene</w:t>
      </w:r>
      <w:r w:rsidR="004C7694">
        <w:t>r zutrifft als die allgemeinere. Das obenstehende Beispiel könnte bei gleichen Zahlenverhältnissen auch lauten:</w:t>
      </w:r>
    </w:p>
    <w:p w:rsidR="004C7694" w:rsidRDefault="004C7694" w:rsidP="00962C30">
      <w:pPr>
        <w:pStyle w:val="Interpretation"/>
      </w:pPr>
      <w:r w:rsidRPr="00E044F6">
        <w:rPr>
          <w:i/>
        </w:rPr>
        <w:t>U</w:t>
      </w:r>
      <w:r w:rsidRPr="00E044F6">
        <w:t>(</w:t>
      </w:r>
      <w:r w:rsidRPr="00E044F6">
        <w:rPr>
          <w:i/>
        </w:rPr>
        <w:t>B</w:t>
      </w:r>
      <w:r>
        <w:rPr>
          <w:i/>
          <w:vertAlign w:val="subscript"/>
        </w:rPr>
        <w:t>x</w:t>
      </w:r>
      <w:r w:rsidRPr="00E044F6">
        <w:t>): ‚</w:t>
      </w:r>
      <w:r>
        <w:t>für Vorschlag geeignete Stellen</w:t>
      </w:r>
      <w:r w:rsidRPr="00E044F6">
        <w:t xml:space="preserve">‘, </w:t>
      </w:r>
      <w:r w:rsidRPr="00E044F6">
        <w:rPr>
          <w:i/>
        </w:rPr>
        <w:t>V</w:t>
      </w:r>
      <w:r w:rsidRPr="00E044F6">
        <w:t>(</w:t>
      </w:r>
      <w:r w:rsidRPr="00E044F6">
        <w:rPr>
          <w:i/>
        </w:rPr>
        <w:t>B</w:t>
      </w:r>
      <w:r>
        <w:rPr>
          <w:i/>
          <w:vertAlign w:val="subscript"/>
        </w:rPr>
        <w:t>x</w:t>
      </w:r>
      <w:r w:rsidRPr="00E044F6">
        <w:t>): ‚</w:t>
      </w:r>
      <w:r>
        <w:t>Vorschlag</w:t>
      </w:r>
      <w:r w:rsidR="00623AFD">
        <w:t>;</w:t>
      </w:r>
      <w:r>
        <w:t xml:space="preserve"> mit dem Daumen ausgeführt</w:t>
      </w:r>
      <w:r w:rsidRPr="00E044F6">
        <w:t>‘</w:t>
      </w:r>
    </w:p>
    <w:p w:rsidR="004C7694" w:rsidRDefault="004C7694" w:rsidP="00962C30">
      <w:pPr>
        <w:pStyle w:val="Text"/>
        <w:ind w:firstLine="0"/>
      </w:pPr>
      <w:r>
        <w:t xml:space="preserve">oder </w:t>
      </w:r>
    </w:p>
    <w:p w:rsidR="004C7694" w:rsidRDefault="004C7694" w:rsidP="00962C30">
      <w:pPr>
        <w:pStyle w:val="Interpretation"/>
      </w:pPr>
      <w:r w:rsidRPr="00E044F6">
        <w:rPr>
          <w:i/>
        </w:rPr>
        <w:t>U</w:t>
      </w:r>
      <w:r w:rsidRPr="00E044F6">
        <w:t>(</w:t>
      </w:r>
      <w:r w:rsidRPr="00E044F6">
        <w:rPr>
          <w:i/>
        </w:rPr>
        <w:t>B</w:t>
      </w:r>
      <w:r>
        <w:rPr>
          <w:i/>
          <w:vertAlign w:val="subscript"/>
        </w:rPr>
        <w:t>x</w:t>
      </w:r>
      <w:r w:rsidRPr="00E044F6">
        <w:t>): ‚</w:t>
      </w:r>
      <w:r>
        <w:t>für Vorschlag geeignete Stellen</w:t>
      </w:r>
      <w:r w:rsidRPr="00E044F6">
        <w:t xml:space="preserve">‘, </w:t>
      </w:r>
      <w:r w:rsidRPr="00E044F6">
        <w:rPr>
          <w:i/>
        </w:rPr>
        <w:t>V</w:t>
      </w:r>
      <w:r w:rsidRPr="00E044F6">
        <w:t>(</w:t>
      </w:r>
      <w:r w:rsidRPr="00E044F6">
        <w:rPr>
          <w:i/>
        </w:rPr>
        <w:t>B</w:t>
      </w:r>
      <w:r>
        <w:rPr>
          <w:i/>
          <w:vertAlign w:val="subscript"/>
        </w:rPr>
        <w:t>x</w:t>
      </w:r>
      <w:r w:rsidRPr="00E044F6">
        <w:t>): ‚</w:t>
      </w:r>
      <w:r>
        <w:t>Vorschlag</w:t>
      </w:r>
      <w:r w:rsidR="00623AFD">
        <w:t>;</w:t>
      </w:r>
      <w:r>
        <w:t xml:space="preserve"> kleine Sekunde</w:t>
      </w:r>
      <w:r w:rsidRPr="00E044F6">
        <w:t>‘</w:t>
      </w:r>
    </w:p>
    <w:p w:rsidR="004E77BA" w:rsidRDefault="004C7694" w:rsidP="00437A4C">
      <w:pPr>
        <w:pStyle w:val="Text"/>
        <w:ind w:firstLine="0"/>
      </w:pPr>
      <w:r>
        <w:t xml:space="preserve">Auf den ersten Blick erscheint dies interessant, auf den zweiten </w:t>
      </w:r>
      <w:r w:rsidR="00157B87">
        <w:t>erkennt man</w:t>
      </w:r>
      <w:r>
        <w:t xml:space="preserve">, dass es, wenn zwanzig Vorschläge </w:t>
      </w:r>
      <w:r w:rsidR="00623AFD">
        <w:t>vorhanden sind</w:t>
      </w:r>
      <w:r>
        <w:t xml:space="preserve">, immer Eigenschaften geben wird, die 19 von ihnen teilen. Um zu verhindern, dass </w:t>
      </w:r>
      <w:r w:rsidRPr="004C7694">
        <w:rPr>
          <w:i/>
        </w:rPr>
        <w:t>B</w:t>
      </w:r>
      <w:r>
        <w:t xml:space="preserve"> durch </w:t>
      </w:r>
      <w:r w:rsidR="00157B87">
        <w:t xml:space="preserve">zahlreiche </w:t>
      </w:r>
      <w:r w:rsidR="00324ECB">
        <w:t xml:space="preserve">wenig aussagekräftige </w:t>
      </w:r>
      <w:r w:rsidR="00157B87">
        <w:t xml:space="preserve">Merkmalsregeln </w:t>
      </w:r>
      <w:r w:rsidR="00324ECB">
        <w:t xml:space="preserve">aufgebläht </w:t>
      </w:r>
      <w:r w:rsidR="00157B87">
        <w:t xml:space="preserve">wird, </w:t>
      </w:r>
      <w:r w:rsidR="00A22EAE">
        <w:t>müssen daher Regeln mit sp</w:t>
      </w:r>
      <w:r w:rsidR="00A22EAE">
        <w:t>e</w:t>
      </w:r>
      <w:r w:rsidR="00A22EAE">
        <w:t xml:space="preserve">zielleren verlangten Eigenschaften und niedrigerem </w:t>
      </w:r>
      <w:r w:rsidR="00A22EAE" w:rsidRPr="00A22EAE">
        <w:rPr>
          <w:i/>
        </w:rPr>
        <w:t>w</w:t>
      </w:r>
      <w:r w:rsidR="00A22EAE">
        <w:t xml:space="preserve"> konsequent </w:t>
      </w:r>
      <w:r w:rsidR="00324ECB">
        <w:t>entfernt</w:t>
      </w:r>
      <w:r w:rsidR="00A02D7E">
        <w:t xml:space="preserve"> we</w:t>
      </w:r>
      <w:r w:rsidR="00A02D7E">
        <w:t>r</w:t>
      </w:r>
      <w:r w:rsidR="00A02D7E">
        <w:t>den.</w:t>
      </w:r>
      <w:bookmarkEnd w:id="270"/>
    </w:p>
    <w:p w:rsidR="00D2554C" w:rsidRDefault="00877568">
      <w:pPr>
        <w:pStyle w:val="Titel3"/>
      </w:pPr>
      <w:bookmarkStart w:id="273" w:name="_Ref212462946"/>
      <w:bookmarkStart w:id="274" w:name="_Toc325456753"/>
      <w:bookmarkStart w:id="275" w:name="Priorisierung2"/>
      <w:r>
        <w:lastRenderedPageBreak/>
        <w:t xml:space="preserve">Priorisierung oder </w:t>
      </w:r>
      <w:r w:rsidR="00D2554C">
        <w:t>globale Häufigkeit?</w:t>
      </w:r>
      <w:bookmarkEnd w:id="273"/>
      <w:bookmarkEnd w:id="274"/>
    </w:p>
    <w:p w:rsidR="00776C2C" w:rsidRDefault="005D7996" w:rsidP="00621498">
      <w:pPr>
        <w:pStyle w:val="Text"/>
        <w:ind w:firstLine="0"/>
      </w:pPr>
      <w:r>
        <w:fldChar w:fldCharType="begin"/>
      </w:r>
      <w:r w:rsidR="008E7899">
        <w:instrText xml:space="preserve"> XE "</w:instrText>
      </w:r>
      <w:r w:rsidR="008E7899" w:rsidRPr="003F74C0">
        <w:instrText>Priorisierung</w:instrText>
      </w:r>
      <w:r w:rsidR="008E7899">
        <w:instrText>" \r "Priorisierung</w:instrText>
      </w:r>
      <w:r w:rsidR="0038271E">
        <w:instrText>2</w:instrText>
      </w:r>
      <w:r w:rsidR="008E7899">
        <w:instrText xml:space="preserve">" </w:instrText>
      </w:r>
      <w:r>
        <w:fldChar w:fldCharType="end"/>
      </w:r>
      <w:r>
        <w:fldChar w:fldCharType="begin"/>
      </w:r>
      <w:r w:rsidR="0038271E">
        <w:instrText xml:space="preserve"> XE "</w:instrText>
      </w:r>
      <w:r w:rsidR="0068250D">
        <w:instrText xml:space="preserve">globale </w:instrText>
      </w:r>
      <w:r w:rsidR="0038271E">
        <w:instrText xml:space="preserve">Häufigkeit" \r "Priorisierung2" </w:instrText>
      </w:r>
      <w:r>
        <w:fldChar w:fldCharType="end"/>
      </w:r>
      <w:r w:rsidR="00776C2C">
        <w:t xml:space="preserve">Die Priorisierung der Merkmalsregeln (vgl. Abschnitt </w:t>
      </w:r>
      <w:r>
        <w:fldChar w:fldCharType="begin"/>
      </w:r>
      <w:r w:rsidR="00776C2C">
        <w:instrText xml:space="preserve"> REF _Ref212123094 \r \h </w:instrText>
      </w:r>
      <w:r>
        <w:fldChar w:fldCharType="separate"/>
      </w:r>
      <w:r w:rsidR="001231D3">
        <w:t>5.3.2</w:t>
      </w:r>
      <w:r>
        <w:fldChar w:fldCharType="end"/>
      </w:r>
      <w:r w:rsidR="00776C2C">
        <w:t>) hat Auswirkungen auf das Auslesen der Merkmalsregeln. Daher können wir erst jetzt, nachdem dieser Prozess vorgestellt wurde, eine Gesamteinschätzung der Priorisierung vornehmen. Der folgende Abschnitt betrachtet die Folgen der Priorisierung für den Prozess des Auslesens, diskutiert alternative Möglichkeiten und begründet, warum die Priorisierung selbst in der Regel nicht ausgelesen wird.</w:t>
      </w:r>
    </w:p>
    <w:p w:rsidR="00D2554C" w:rsidRDefault="00D2554C">
      <w:pPr>
        <w:pStyle w:val="Text"/>
      </w:pPr>
      <w:r>
        <w:t>Allgemein ausgedrückt, können bei</w:t>
      </w:r>
      <w:r w:rsidR="00456824">
        <w:t xml:space="preserve">m </w:t>
      </w:r>
      <w:r w:rsidR="00BE695D">
        <w:t>Wahrnehmen</w:t>
      </w:r>
      <w:r w:rsidR="00456824">
        <w:t xml:space="preserve"> eines Stils </w:t>
      </w:r>
      <w:r>
        <w:t xml:space="preserve">nur dann die korrekten </w:t>
      </w:r>
      <w:r w:rsidR="00765E66">
        <w:t>Merkmalsregel</w:t>
      </w:r>
      <w:r>
        <w:t xml:space="preserve">n </w:t>
      </w:r>
      <w:r w:rsidR="004451F8">
        <w:t xml:space="preserve">ausgelesen </w:t>
      </w:r>
      <w:r>
        <w:t xml:space="preserve">werden, wenn die Auswirkungen der Priorisierung im Einzelfall erkannt werden. Dies ist jedoch nicht ohne weiteres möglich, wie eine einfache Überlegung zeigt: Um die Auswirkungen der Priorisierung korrekt zu erkennen, müssten die </w:t>
      </w:r>
      <w:r w:rsidR="00765E66">
        <w:t>Merkmalsregel</w:t>
      </w:r>
      <w:r>
        <w:t>n in der Reihe</w:t>
      </w:r>
      <w:r>
        <w:t>n</w:t>
      </w:r>
      <w:r>
        <w:t xml:space="preserve">folge ihrer Priorität </w:t>
      </w:r>
      <w:r w:rsidR="004451F8">
        <w:t xml:space="preserve">ausgelesen </w:t>
      </w:r>
      <w:r>
        <w:t xml:space="preserve">werden, wobei bei der Extraktion jeder </w:t>
      </w:r>
      <w:r w:rsidR="00765E66">
        <w:t>Mer</w:t>
      </w:r>
      <w:r w:rsidR="00765E66">
        <w:t>k</w:t>
      </w:r>
      <w:r w:rsidR="00765E66">
        <w:t>malsregel</w:t>
      </w:r>
      <w:r>
        <w:t xml:space="preserve">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k</m:t>
                </m:r>
              </m:sub>
            </m:sSub>
          </m:sub>
        </m:sSub>
      </m:oMath>
      <w:r>
        <w:t xml:space="preserve"> die genauen Auswirkungen der zuvor angewandten </w:t>
      </w:r>
      <w:r w:rsidR="00765E66">
        <w:t>Merkmalsr</w:t>
      </w:r>
      <w:r w:rsidR="00765E66">
        <w:t>e</w:t>
      </w:r>
      <w:r w:rsidR="00765E66">
        <w:t>gel</w:t>
      </w:r>
      <w:r>
        <w:t xml:space="preserve">n höherer Priorität </w:t>
      </w:r>
      <w:r w:rsidR="00004E23">
        <w:t>(</w:t>
      </w:r>
      <w:r w:rsidR="00004E23" w:rsidRPr="00004E23">
        <w:rPr>
          <w:i/>
        </w:rPr>
        <w:t>B</w:t>
      </w:r>
      <w:r w:rsidR="00004E23" w:rsidRPr="00004E23">
        <w:rPr>
          <w:i/>
          <w:vertAlign w:val="subscript"/>
        </w:rPr>
        <w:t>i</w:t>
      </w:r>
      <w:r w:rsidR="00004E23">
        <w:t xml:space="preserve"> </w:t>
      </w:r>
      <w:r>
        <w:t xml:space="preserve">mit </w:t>
      </w:r>
      <w:r>
        <w:rPr>
          <w:i/>
        </w:rPr>
        <w:t>i</w:t>
      </w:r>
      <w:r>
        <w:t xml:space="preserve"> &lt; </w:t>
      </w:r>
      <w:r>
        <w:rPr>
          <w:i/>
        </w:rPr>
        <w:t>j</w:t>
      </w:r>
      <w:r>
        <w:t>) sowie gegebenenfalls zuvor angewandte mit gleicher Priorität (</w:t>
      </w:r>
      <m:oMath>
        <m:sSub>
          <m:sSubPr>
            <m:ctrlPr>
              <w:rPr>
                <w:rFonts w:ascii="Cambria Math" w:hAnsi="Cambria Math" w:cs="Times New Roman"/>
                <w:i/>
              </w:rPr>
            </m:ctrlPr>
          </m:sSubPr>
          <m:e>
            <m:r>
              <m:rPr>
                <m:nor/>
              </m:rPr>
              <w:rPr>
                <w:rFonts w:cs="Times New Roman"/>
                <w:i/>
              </w:rPr>
              <m:t>B</m:t>
            </m:r>
          </m:e>
          <m:sub>
            <m:sSub>
              <m:sSubPr>
                <m:ctrlPr>
                  <w:rPr>
                    <w:rFonts w:ascii="Cambria Math" w:hAnsi="Cambria Math" w:cs="Times New Roman"/>
                    <w:i/>
                  </w:rPr>
                </m:ctrlPr>
              </m:sSubPr>
              <m:e>
                <m:r>
                  <m:rPr>
                    <m:nor/>
                  </m:rPr>
                  <w:rPr>
                    <w:rFonts w:cs="Times New Roman"/>
                    <w:i/>
                  </w:rPr>
                  <m:t>j</m:t>
                </m:r>
              </m:e>
              <m:sub>
                <m:r>
                  <m:rPr>
                    <m:nor/>
                  </m:rPr>
                  <w:rPr>
                    <w:rFonts w:cs="Times New Roman"/>
                    <w:i/>
                  </w:rPr>
                  <m:t>h</m:t>
                </m:r>
              </m:sub>
            </m:sSub>
          </m:sub>
        </m:sSub>
      </m:oMath>
      <w:r w:rsidR="00004E23">
        <w:t xml:space="preserve"> m</w:t>
      </w:r>
      <w:r>
        <w:t xml:space="preserve">it </w:t>
      </w:r>
      <w:r>
        <w:rPr>
          <w:i/>
        </w:rPr>
        <w:t>h</w:t>
      </w:r>
      <w:r>
        <w:t xml:space="preserve"> </w:t>
      </w:r>
      <w:r w:rsidRPr="007F4805">
        <w:rPr>
          <w:position w:val="-4"/>
        </w:rPr>
        <w:object w:dxaOrig="220" w:dyaOrig="220">
          <v:shape id="_x0000_i1048" type="#_x0000_t75" style="width:11.2pt;height:11.2pt" o:ole="">
            <v:imagedata r:id="rId63" o:title=""/>
          </v:shape>
          <o:OLEObject Type="Embed" ProgID="Equation.3" ShapeID="_x0000_i1048" DrawAspect="Content" ObjectID="_1460983889" r:id="rId64"/>
        </w:object>
      </w:r>
      <w:r>
        <w:t xml:space="preserve"> </w:t>
      </w:r>
      <w:r>
        <w:rPr>
          <w:i/>
        </w:rPr>
        <w:t>k</w:t>
      </w:r>
      <w:r>
        <w:t xml:space="preserve">) berücksichtigt werden. Dies ist jedoch nicht möglich, da man ja vor der Extraktion einer </w:t>
      </w:r>
      <w:r w:rsidR="00765E66">
        <w:t>Merkmalsregel</w:t>
      </w:r>
      <w:r>
        <w:t xml:space="preserve"> nicht wissen kann, welche Priorität sie hat. Selbst wenn der Vorgang so durchführbar wäre, bliebe das Problem, dass </w:t>
      </w:r>
      <w:r w:rsidR="00765E66">
        <w:t>Merkmalsregel</w:t>
      </w:r>
      <w:r>
        <w:t>n ja nur mit einer bestimmten Wahrscheinlic</w:t>
      </w:r>
      <w:r>
        <w:t>h</w:t>
      </w:r>
      <w:r>
        <w:t xml:space="preserve">keit </w:t>
      </w:r>
      <w:r>
        <w:rPr>
          <w:i/>
        </w:rPr>
        <w:t>w</w:t>
      </w:r>
      <w:r>
        <w:t xml:space="preserve"> angewandt werden und man somit nie sicher wissen kann, ob an einer bestimmten Realisierungsstelle eine höher priorisierte </w:t>
      </w:r>
      <w:r w:rsidR="00765E66">
        <w:t>Merkmalsregel</w:t>
      </w:r>
      <w:r>
        <w:t xml:space="preserve"> die A</w:t>
      </w:r>
      <w:r>
        <w:t>n</w:t>
      </w:r>
      <w:r>
        <w:t xml:space="preserve">wendung der angenommenen </w:t>
      </w:r>
      <w:r w:rsidR="00765E66">
        <w:t>Merkmalsregel</w:t>
      </w:r>
      <w:r>
        <w:t xml:space="preserve"> verhindert hat, oder ob diese selbst eben doch anders aussieht als angenommen und daher an dieser Stelle nicht zur Anwendung kam.</w:t>
      </w:r>
    </w:p>
    <w:p w:rsidR="00D2554C" w:rsidRDefault="00D2554C">
      <w:pPr>
        <w:pStyle w:val="Text"/>
      </w:pPr>
      <w:r>
        <w:t xml:space="preserve">Daher sollte der </w:t>
      </w:r>
      <w:r w:rsidR="00C75387">
        <w:t>Stilanwender</w:t>
      </w:r>
      <w:r>
        <w:t xml:space="preserve"> darauf achten, dass sich die Regeln bei</w:t>
      </w:r>
      <w:r w:rsidR="00A0217B">
        <w:t>m Ei</w:t>
      </w:r>
      <w:r w:rsidR="00A0217B">
        <w:t>n</w:t>
      </w:r>
      <w:r w:rsidR="00A0217B">
        <w:t>schreiben</w:t>
      </w:r>
      <w:r>
        <w:t xml:space="preserve"> nicht zu stark in die Quere kommen. In Abschnitt </w:t>
      </w:r>
      <w:r w:rsidR="005D7996">
        <w:fldChar w:fldCharType="begin"/>
      </w:r>
      <w:r>
        <w:instrText xml:space="preserve"> REF _Ref212123094 \r \h </w:instrText>
      </w:r>
      <w:r w:rsidR="005D7996">
        <w:fldChar w:fldCharType="separate"/>
      </w:r>
      <w:r w:rsidR="001231D3">
        <w:t>5.3.2</w:t>
      </w:r>
      <w:r w:rsidR="005D7996">
        <w:fldChar w:fldCharType="end"/>
      </w:r>
      <w:r>
        <w:t xml:space="preserve"> wurde bereits eine Möglichkeit hierfür erwähnt: Auffällige ‚Rasenmäherregeln‘ können weit nach hinten priorisiert werden, empfindliche Regeln, die nur wenige Gelegenhe</w:t>
      </w:r>
      <w:r>
        <w:t>i</w:t>
      </w:r>
      <w:r>
        <w:t xml:space="preserve">ten zur Anwendung haben, dagegen weit nach vorne. Darüber hinaus wird der </w:t>
      </w:r>
      <w:r w:rsidR="006C1B4A">
        <w:t xml:space="preserve">Stilanwender, wenn er möchte, dass der Stil präzise wahrgenommen werden kann, </w:t>
      </w:r>
      <w:r>
        <w:t xml:space="preserve">darauf achten, dass sich die Regeln in der Art ihrer Einwirkung – </w:t>
      </w:r>
      <w:r w:rsidR="00DC38CA">
        <w:t xml:space="preserve">das heißt </w:t>
      </w:r>
      <w:r>
        <w:t xml:space="preserve">in den Eigenschaften der verlangten Elemente – nicht zu stark in die Quere kommen (vgl. die beiden Regeln (a) und (b) im genannten </w:t>
      </w:r>
      <w:r w:rsidR="00A0217B">
        <w:t>Abschnitt, bei denen ein</w:t>
      </w:r>
      <w:r>
        <w:t xml:space="preserve"> gemeinsame</w:t>
      </w:r>
      <w:r w:rsidR="00A0217B">
        <w:t>s</w:t>
      </w:r>
      <w:r>
        <w:t xml:space="preserve"> </w:t>
      </w:r>
      <w:r w:rsidR="00A0217B">
        <w:t xml:space="preserve">Einschreiben </w:t>
      </w:r>
      <w:r>
        <w:t xml:space="preserve">gerade noch möglich schien). Wenn allerdings zu viele konfliktträchtige Regeln </w:t>
      </w:r>
      <w:r w:rsidR="00504972">
        <w:t xml:space="preserve">eingeschrieben </w:t>
      </w:r>
      <w:r>
        <w:t xml:space="preserve">werden sollen, </w:t>
      </w:r>
      <w:r w:rsidR="00504972">
        <w:t>ist es wahrschei</w:t>
      </w:r>
      <w:r w:rsidR="00504972">
        <w:t>n</w:t>
      </w:r>
      <w:r w:rsidR="00504972">
        <w:t xml:space="preserve">lich, dass </w:t>
      </w:r>
      <w:r w:rsidR="00962EDE">
        <w:t>selbst bei optimaler Priorisierung nicht mehr alle Regeln erkennbar eingeschrieben und damit ausgelesen werden können</w:t>
      </w:r>
      <w:r>
        <w:t>.</w:t>
      </w:r>
    </w:p>
    <w:p w:rsidR="00D2554C" w:rsidRDefault="00D2554C">
      <w:pPr>
        <w:pStyle w:val="Text"/>
      </w:pPr>
      <w:r>
        <w:t xml:space="preserve">Um zu verhindern, dass dies geschieht, könnte man annehmen, dass bei der Priorisierung bei Konflikten </w:t>
      </w:r>
      <w:r>
        <w:rPr>
          <w:i/>
        </w:rPr>
        <w:t xml:space="preserve">Ausgleichsmaßnahmen </w:t>
      </w:r>
      <w:r>
        <w:t xml:space="preserve">getroffen werden. Dies wäre möglich, indem jede </w:t>
      </w:r>
      <w:r w:rsidR="00765E66">
        <w:t>Merkmalsregel</w:t>
      </w:r>
      <w:r>
        <w:t xml:space="preserve"> parallel auf die noch unreduzierten </w:t>
      </w:r>
      <w:r w:rsidR="00721558">
        <w:t>Alter</w:t>
      </w:r>
      <w:r w:rsidR="00721558">
        <w:softHyphen/>
        <w:t>nativen</w:t>
      </w:r>
      <w:r w:rsidR="00721558">
        <w:softHyphen/>
        <w:t>klasse</w:t>
      </w:r>
      <w:r>
        <w:t xml:space="preserve">n angewandt und die Gesamthäufigkeit ihrer Anwendung gemessen würde (sagen wir: 20 Anwendungen für den gegebenen Textabschnitt). Dabei </w:t>
      </w:r>
      <w:r>
        <w:lastRenderedPageBreak/>
        <w:t>handelt es sich nur um einen Testlauf, um Werte für die Häufigkeiten zu erha</w:t>
      </w:r>
      <w:r>
        <w:t>l</w:t>
      </w:r>
      <w:r>
        <w:t xml:space="preserve">ten. Nun würden die Regeln im tatsächlichen </w:t>
      </w:r>
      <w:r w:rsidR="00D86F15">
        <w:t xml:space="preserve">Einschreibeprozess </w:t>
      </w:r>
      <w:r>
        <w:t xml:space="preserve">wie gehabt in der Reihenfolge ihrer </w:t>
      </w:r>
      <w:r w:rsidR="00FC42C6">
        <w:t xml:space="preserve">Priorität </w:t>
      </w:r>
      <w:r>
        <w:t>angewandt werden; doch auch jetzt würde bei der Anwendung jeder Regel das Ergebnis zunächst als vorläufig betrachtet und die im Testlauf erhaltene Anzahl der Anwendungen für diese Regel mit der tatsäc</w:t>
      </w:r>
      <w:r>
        <w:t>h</w:t>
      </w:r>
      <w:r>
        <w:t>lichen Anzahl verglichen (sagen wir: 13 Anwendungen für den gegebenen Tex</w:t>
      </w:r>
      <w:r>
        <w:t>t</w:t>
      </w:r>
      <w:r>
        <w:t xml:space="preserve">abschnitt), wobei sich die durch die vorherige Anwendung anderer Regeln, also durch die Priorisierung, verursachte Differenz ergibt (7 Anwendungen). Diese könnte verringert werden, indem das </w:t>
      </w:r>
      <w:r>
        <w:rPr>
          <w:i/>
        </w:rPr>
        <w:t>w</w:t>
      </w:r>
      <w:r>
        <w:t xml:space="preserve"> der Regel solange heraufgesetzt und die Regel wieder angewandt wird, bis die beiden Zahlen sich ausreichend angleichen oder </w:t>
      </w:r>
      <w:r>
        <w:rPr>
          <w:i/>
        </w:rPr>
        <w:t>w</w:t>
      </w:r>
      <w:r>
        <w:t xml:space="preserve"> = 1,0 erreicht ist. Erst dann wird der erhaltene Output (die reduzierte </w:t>
      </w:r>
      <w:r w:rsidR="00721558">
        <w:t>Alter</w:t>
      </w:r>
      <w:r w:rsidR="00721558">
        <w:softHyphen/>
        <w:t>nativen</w:t>
      </w:r>
      <w:r w:rsidR="00721558">
        <w:softHyphen/>
        <w:t>klasse</w:t>
      </w:r>
      <w:r>
        <w:t xml:space="preserve"> </w:t>
      </w:r>
      <w:r>
        <w:rPr>
          <w:i/>
          <w:iCs/>
        </w:rPr>
        <w:t>A'</w:t>
      </w:r>
      <w:r>
        <w:t xml:space="preserve">) als Input für die nächste </w:t>
      </w:r>
      <w:r w:rsidR="00765E66">
        <w:t>Merkmalsregel</w:t>
      </w:r>
      <w:r>
        <w:t xml:space="preserve"> gesetzt. Auf diese Art könnte die Priorisierung mit Ausgleichsmaßnahmen verbunden werden.</w:t>
      </w:r>
      <w:r>
        <w:rPr>
          <w:rStyle w:val="Funotenzeichen"/>
        </w:rPr>
        <w:footnoteReference w:id="397"/>
      </w:r>
    </w:p>
    <w:p w:rsidR="00D2554C" w:rsidRDefault="00D2554C">
      <w:pPr>
        <w:pStyle w:val="Text"/>
      </w:pPr>
      <w:r>
        <w:t xml:space="preserve">Machen wir uns an einem Beispiel klar, was dies bedeuten würde: Nehmen wir an, ein Architekt wählt mit </w:t>
      </w:r>
      <w:r>
        <w:rPr>
          <w:i/>
        </w:rPr>
        <w:t>w</w:t>
      </w:r>
      <w:r>
        <w:t xml:space="preserve"> = 0,5 eine Lösung, die die Funktion des en</w:t>
      </w:r>
      <w:r>
        <w:t>t</w:t>
      </w:r>
      <w:r>
        <w:t>sprechenden Bauelements offen legt. An einigen Stellen ist dies jedoch aufgrund anderer Regeln nicht möglich (etwa, weil er klare Linien und schlichte Baukörper bevorzugt). In diesem Fall würde nun dafür gesorgt, dass an den Stellen, an d</w:t>
      </w:r>
      <w:r>
        <w:t>e</w:t>
      </w:r>
      <w:r>
        <w:t xml:space="preserve">nen es möglich ist, die Regel mit </w:t>
      </w:r>
      <w:r>
        <w:rPr>
          <w:i/>
        </w:rPr>
        <w:t>w</w:t>
      </w:r>
      <w:r>
        <w:t xml:space="preserve"> &gt; 0,5 tatsächlich zur Anwendung kommt, im Extremfall mit </w:t>
      </w:r>
      <w:r>
        <w:rPr>
          <w:i/>
        </w:rPr>
        <w:t>w</w:t>
      </w:r>
      <w:r>
        <w:t xml:space="preserve"> = 1,0. Dieses Beispiel scheint plausibel.</w:t>
      </w:r>
    </w:p>
    <w:p w:rsidR="00D2554C" w:rsidRDefault="00D2554C">
      <w:pPr>
        <w:pStyle w:val="Text"/>
      </w:pPr>
      <w:r>
        <w:t xml:space="preserve">Was aber, wenn die </w:t>
      </w:r>
      <w:r w:rsidR="00765E66">
        <w:t>Merkmalsregel</w:t>
      </w:r>
      <w:r>
        <w:t xml:space="preserve"> bereits </w:t>
      </w:r>
      <w:r>
        <w:rPr>
          <w:i/>
        </w:rPr>
        <w:t>w</w:t>
      </w:r>
      <w:r>
        <w:t xml:space="preserve"> = 1,0 hat? In diesem Fall kommt es nach wie vor zu einem Konflikt zwischen den beiden </w:t>
      </w:r>
      <w:r w:rsidR="00765E66">
        <w:t>Merkmalsregel</w:t>
      </w:r>
      <w:r>
        <w:t>n. Bei</w:t>
      </w:r>
      <w:r w:rsidR="00C55E44">
        <w:t>m Auslesen</w:t>
      </w:r>
      <w:r>
        <w:t xml:space="preserve"> ist jedoch nicht erkennbar, ob ein solcher unvermeidlicher Ko</w:t>
      </w:r>
      <w:r>
        <w:t>n</w:t>
      </w:r>
      <w:r>
        <w:t xml:space="preserve">flikt vorlag oder nicht. In unserem Beispiel kann nicht festgestellt werden, ob </w:t>
      </w:r>
      <w:r>
        <w:rPr>
          <w:i/>
        </w:rPr>
        <w:t>w</w:t>
      </w:r>
      <w:r>
        <w:t xml:space="preserve"> = 0,5 oder </w:t>
      </w:r>
      <w:r>
        <w:rPr>
          <w:i/>
        </w:rPr>
        <w:t>w</w:t>
      </w:r>
      <w:r>
        <w:t xml:space="preserve"> = 1,0 gefordert wurde. Durch die Annahme von Ausgleichsma</w:t>
      </w:r>
      <w:r>
        <w:t>ß</w:t>
      </w:r>
      <w:r>
        <w:t xml:space="preserve">nahmen entstehen also neue Probleme: Es ist nicht eindeutig erkennbar, ob ein feststellbares </w:t>
      </w:r>
      <w:r>
        <w:rPr>
          <w:i/>
        </w:rPr>
        <w:t>w</w:t>
      </w:r>
      <w:r>
        <w:t xml:space="preserve"> auf eine Ausgleichsmaßnahme oder auf die Regel selbst zurüc</w:t>
      </w:r>
      <w:r>
        <w:t>k</w:t>
      </w:r>
      <w:r>
        <w:t>zuführen ist.</w:t>
      </w:r>
    </w:p>
    <w:p w:rsidR="00D2554C" w:rsidRDefault="00D2554C">
      <w:pPr>
        <w:pStyle w:val="Text"/>
      </w:pPr>
      <w:r>
        <w:t>Problematisch scheint zudem, dass durch Ausgleichsmaßnahmen die Regeln ihrem Charakter nach verändert würden: Nun müsste etwa eine Schriftstellerin, die gelegentlich ein altmodisches Wort verwendet, unter bestimmten Umstä</w:t>
      </w:r>
      <w:r>
        <w:t>n</w:t>
      </w:r>
      <w:r>
        <w:t>den – nämlich wenn andere Stilregeln ihr viele Gelegenheiten dazu bereits ne</w:t>
      </w:r>
      <w:r>
        <w:t>h</w:t>
      </w:r>
      <w:r>
        <w:t xml:space="preserve">men – in </w:t>
      </w:r>
      <w:r>
        <w:rPr>
          <w:i/>
        </w:rPr>
        <w:t>allen</w:t>
      </w:r>
      <w:r>
        <w:t xml:space="preserve"> verbleibenden Fällen ein solches Wort wählen, d</w:t>
      </w:r>
      <w:r w:rsidR="006A3033">
        <w:t>as</w:t>
      </w:r>
      <w:r>
        <w:t xml:space="preserve"> h</w:t>
      </w:r>
      <w:r w:rsidR="006A3033">
        <w:t>eißt</w:t>
      </w:r>
      <w:r>
        <w:t xml:space="preserve"> sie müs</w:t>
      </w:r>
      <w:r>
        <w:t>s</w:t>
      </w:r>
      <w:r>
        <w:t xml:space="preserve">te nach jeder Möglichkeit, etwas mit einem Archaismus auszudrücken, suchen! </w:t>
      </w:r>
      <w:r>
        <w:lastRenderedPageBreak/>
        <w:t xml:space="preserve">(Nichts anderes bedeutet die Heraufsetzung von </w:t>
      </w:r>
      <w:r>
        <w:rPr>
          <w:i/>
        </w:rPr>
        <w:t xml:space="preserve">w </w:t>
      </w:r>
      <w:r>
        <w:t>auf 1,0.) Dies scheint aber dem Charakter der ursprünglichen Regel zu widersprechen, der eher zu implizi</w:t>
      </w:r>
      <w:r>
        <w:t>e</w:t>
      </w:r>
      <w:r>
        <w:t>ren scheint, dass sie ohne besondere Anstrengung bei Gelegenheit einen Arch</w:t>
      </w:r>
      <w:r>
        <w:t>a</w:t>
      </w:r>
      <w:r>
        <w:t>ismus einfließen lässt. Plausibler ist es, anzunehmen, dass in diesem Fall entspr</w:t>
      </w:r>
      <w:r>
        <w:t>e</w:t>
      </w:r>
      <w:r>
        <w:t>chend weniger Archaismen erscheinen.</w:t>
      </w:r>
    </w:p>
    <w:p w:rsidR="00D2554C" w:rsidRDefault="00D2554C">
      <w:pPr>
        <w:pStyle w:val="Text"/>
      </w:pPr>
      <w:r>
        <w:t xml:space="preserve">Hinzu kommt das Problem der Berücksichtigung einer globalen Häufigkeit. Anstatt Realisierungsstelle für Realisierungsstelle vorzugehen, wie es die </w:t>
      </w:r>
      <w:r w:rsidR="00565BCE">
        <w:t>Fun</w:t>
      </w:r>
      <w:r w:rsidR="00565BCE">
        <w:t>k</w:t>
      </w:r>
      <w:r w:rsidR="00565BCE">
        <w:t xml:space="preserve">tion </w:t>
      </w:r>
      <w:r w:rsidR="00565BCE">
        <w:rPr>
          <w:i/>
        </w:rPr>
        <w:t>Merkmalsregeln_einschreiben</w:t>
      </w:r>
      <w:r w:rsidR="00565BCE">
        <w:t xml:space="preserve"> </w:t>
      </w:r>
      <w:r>
        <w:t xml:space="preserve">ohne Ausgleichsmaßnahmen in Abschnitt </w:t>
      </w:r>
      <w:r w:rsidR="005D7996">
        <w:fldChar w:fldCharType="begin"/>
      </w:r>
      <w:r w:rsidR="00613361">
        <w:instrText xml:space="preserve"> REF _Ref269156038 \r \h </w:instrText>
      </w:r>
      <w:r w:rsidR="005D7996">
        <w:fldChar w:fldCharType="separate"/>
      </w:r>
      <w:r w:rsidR="001231D3">
        <w:t>5.4.1</w:t>
      </w:r>
      <w:r w:rsidR="005D7996">
        <w:fldChar w:fldCharType="end"/>
      </w:r>
      <w:r w:rsidR="00613361">
        <w:t xml:space="preserve"> </w:t>
      </w:r>
      <w:r>
        <w:t>tut, müsste nun zunächst geprüft werden, an wie vielen Stellen es zu einem Ko</w:t>
      </w:r>
      <w:r>
        <w:t>n</w:t>
      </w:r>
      <w:r>
        <w:t xml:space="preserve">flikt kommen wird. Dies würde von unserer Schriftstellerin verlangen, dass sie, wenn an einer bestimmten Stelle Konflikte auftreten, die sie an der Anwendung der Archaismus-Regel hindern, im Text zurückgeht und weiter vorne altmodisch klingende Wörter einbaut, </w:t>
      </w:r>
      <w:r w:rsidR="00877568">
        <w:t xml:space="preserve">um die von der Regel verlangte </w:t>
      </w:r>
      <w:r>
        <w:t>globale Häufigkeit zu erzielen! Dies erscheint dem tatsächlichen Schreibprozess zu widersprechen. Außerdem tritt das Problem auf, dass wir uns nun festlegen müssten, für we</w:t>
      </w:r>
      <w:r>
        <w:t>l</w:t>
      </w:r>
      <w:r>
        <w:t>chen Abschnitt einer Realisierung eine solche globale Häufigkeit zu gelten hat. Das ganze Werk? Im Falle eines Buches ist es offensichtlich, dass solche Au</w:t>
      </w:r>
      <w:r>
        <w:t>s</w:t>
      </w:r>
      <w:r>
        <w:t>gleichsprozesse nicht global für das ganze Werk stattfinden. Für ein Kapitel? Aber es wird häufig nicht ein Kapitel am Stück geschrieben. Welchen Abschnitt auch immer wir wählen: Durch die Berücksichtigung einer globalen Häufigkeit verlieren wir die Möglichkeit, einen Stil für einen beliebigen Realisierungsa</w:t>
      </w:r>
      <w:r>
        <w:t>b</w:t>
      </w:r>
      <w:r>
        <w:t xml:space="preserve">schnitt </w:t>
      </w:r>
      <w:r w:rsidR="004451F8">
        <w:t xml:space="preserve">auszulesen </w:t>
      </w:r>
      <w:r>
        <w:t>(wenn auch mit abnehmender Genauigkeit bei kürzeren A</w:t>
      </w:r>
      <w:r>
        <w:t>b</w:t>
      </w:r>
      <w:r>
        <w:t>schnitten), der zu den Vorteilen der hier vorgestellten Stiltheorie gehört.</w:t>
      </w:r>
      <w:r w:rsidR="004451F8">
        <w:rPr>
          <w:rStyle w:val="Funotenzeichen"/>
        </w:rPr>
        <w:footnoteReference w:id="398"/>
      </w:r>
      <w:r>
        <w:t xml:space="preserve"> Ta</w:t>
      </w:r>
      <w:r>
        <w:t>t</w:t>
      </w:r>
      <w:r>
        <w:t>sächlich werden Stile oft schon aus kurzen, nicht speziell abgegrenzten Realisi</w:t>
      </w:r>
      <w:r>
        <w:t>e</w:t>
      </w:r>
      <w:r>
        <w:t>rungsstücken (einem Ausschnitt aus einer 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t xml:space="preserve">; ein paar Sätzen in einem Buch) </w:t>
      </w:r>
      <w:r w:rsidR="004451F8">
        <w:t xml:space="preserve">ausgelesen </w:t>
      </w:r>
      <w:r>
        <w:t xml:space="preserve">und die Qualität scheint bei längeren Stücken kontinuierlich besser zu werden, während es bei Annahme einer globalen Häufigkeit dort, wo diese korrekt </w:t>
      </w:r>
      <w:r w:rsidR="00557726">
        <w:t xml:space="preserve">ausgelesen </w:t>
      </w:r>
      <w:r>
        <w:t xml:space="preserve">werden kann, einen </w:t>
      </w:r>
      <w:r w:rsidR="004451F8">
        <w:t>Qualitätss</w:t>
      </w:r>
      <w:r>
        <w:t>prung geben müsste.</w:t>
      </w:r>
    </w:p>
    <w:p w:rsidR="00D2554C" w:rsidRDefault="00D2554C">
      <w:pPr>
        <w:pStyle w:val="Text"/>
      </w:pPr>
      <w:r>
        <w:t xml:space="preserve">Dies sind erhebliche Nachteile. Sie lassen </w:t>
      </w:r>
      <w:r w:rsidR="00D86F15">
        <w:t xml:space="preserve">das Einschreiben </w:t>
      </w:r>
      <w:r>
        <w:t>mit Ausgleich</w:t>
      </w:r>
      <w:r>
        <w:t>s</w:t>
      </w:r>
      <w:r>
        <w:t>maßnahmen nicht als Fortschritt erscheinen, selbst wenn man davon absieht, dass diese im Vergleich mit der einfachen und eleganten Priorisierung weit u</w:t>
      </w:r>
      <w:r>
        <w:t>m</w:t>
      </w:r>
      <w:r>
        <w:t>ständlicher wäre.</w:t>
      </w:r>
    </w:p>
    <w:p w:rsidR="00D2554C" w:rsidRDefault="00D2554C">
      <w:pPr>
        <w:pStyle w:val="Text"/>
      </w:pPr>
      <w:r>
        <w:t>Zu bedenken ist auch, dass wir Priorisierungen offenbar durchaus erkennen können. Wenn an einer bestimmten Stelle eine bestimmte Lösung zu erwarten wäre, diese aber nicht erscheint, dann schauen wir automatisch, ob nicht vie</w:t>
      </w:r>
      <w:r>
        <w:t>l</w:t>
      </w:r>
      <w:r>
        <w:t>leicht eine andere stilistische Anforderung diese ausschließt: Wenn etwa ein Ba</w:t>
      </w:r>
      <w:r>
        <w:t>u</w:t>
      </w:r>
      <w:r>
        <w:t>stil</w:t>
      </w:r>
      <w:r w:rsidR="005D7996">
        <w:fldChar w:fldCharType="begin"/>
      </w:r>
      <w:r w:rsidR="00CA2D60">
        <w:instrText xml:space="preserve"> XE "</w:instrText>
      </w:r>
      <w:r w:rsidR="00CA2D60" w:rsidRPr="0060585F">
        <w:instrText>Baustil</w:instrText>
      </w:r>
      <w:r w:rsidR="00CA2D60">
        <w:instrText xml:space="preserve">" </w:instrText>
      </w:r>
      <w:r w:rsidR="005D7996">
        <w:fldChar w:fldCharType="end"/>
      </w:r>
      <w:r>
        <w:t xml:space="preserve"> einerseits (a) die Einfachheit betont (und niemals unnötige Gesimse und Vorsprünge tolerieren würde), andererseits (b) Klarheit der Kraftabtragung fo</w:t>
      </w:r>
      <w:r>
        <w:t>r</w:t>
      </w:r>
      <w:r>
        <w:t>dert (und daher etwa lasttragende Stellen in einer Wand verdickt), so würden die sich ergebenden Vorsprünge in der Wand uns gar nicht als Widerspruch zur R</w:t>
      </w:r>
      <w:r>
        <w:t>e</w:t>
      </w:r>
      <w:r>
        <w:t xml:space="preserve">gel (a) erscheinen, da wir erkennen, dass die Möglichkeit einer glatten Wand bei </w:t>
      </w:r>
      <w:r>
        <w:lastRenderedPageBreak/>
        <w:t>ungleichmäßiger Belastung (etwa aufgrund von ungleichmäßiger Belastung durch Stützen weiter oben) aufgrund von (b) nicht zur Verfügung steht. Wir erkennen automatisch, dass die Anwendung von (a) hier der Anwendung von (b) weichen musste.</w:t>
      </w:r>
    </w:p>
    <w:p w:rsidR="00D2554C" w:rsidRDefault="00D2554C">
      <w:pPr>
        <w:pStyle w:val="Text"/>
      </w:pPr>
      <w:r>
        <w:t>Wir entscheiden uns daher für die Priorisierung und nehmen die Folgen in Kauf.</w:t>
      </w:r>
    </w:p>
    <w:p w:rsidR="00D2554C" w:rsidRDefault="00D2554C" w:rsidP="00F04DD9">
      <w:pPr>
        <w:pStyle w:val="Text"/>
        <w:tabs>
          <w:tab w:val="left" w:pos="2268"/>
        </w:tabs>
      </w:pPr>
      <w:r>
        <w:t xml:space="preserve">Dazu gehört, dass es – gerade bei </w:t>
      </w:r>
      <w:r w:rsidR="00765E66">
        <w:t>Merkmalsregel</w:t>
      </w:r>
      <w:r>
        <w:t xml:space="preserve">n mit niedrigem </w:t>
      </w:r>
      <w:r>
        <w:rPr>
          <w:i/>
        </w:rPr>
        <w:t>W</w:t>
      </w:r>
      <w:r>
        <w:t xml:space="preserve">, </w:t>
      </w:r>
      <w:r w:rsidR="006A3033">
        <w:t xml:space="preserve">also </w:t>
      </w:r>
      <w:r>
        <w:t xml:space="preserve">solchen, die mit einer niedrigen Wahrscheinlichkeit angewandt werden – schwer bis unmöglich sein dürfte, die Priorität ungefähr korrekt </w:t>
      </w:r>
      <w:r w:rsidR="004451F8">
        <w:t>auszulesen</w:t>
      </w:r>
      <w:r>
        <w:t>. Wir ne</w:t>
      </w:r>
      <w:r>
        <w:t>h</w:t>
      </w:r>
      <w:r>
        <w:t xml:space="preserve">men daher an, dass die </w:t>
      </w:r>
      <w:r w:rsidR="00765E66">
        <w:t>Merkmalsregel</w:t>
      </w:r>
      <w:r>
        <w:t xml:space="preserve">n </w:t>
      </w:r>
      <w:r>
        <w:rPr>
          <w:i/>
        </w:rPr>
        <w:t xml:space="preserve">ohne vollständige Priorisierung </w:t>
      </w:r>
      <w:r w:rsidR="004451F8">
        <w:t xml:space="preserve">ausgelesen </w:t>
      </w:r>
      <w:r>
        <w:t xml:space="preserve">werden: Sind Konflikte zu erkennen, wird vom </w:t>
      </w:r>
      <w:r w:rsidR="00C75387">
        <w:t>Stilwahrnehmer</w:t>
      </w:r>
      <w:r>
        <w:t xml:space="preserve"> (gewissermaßen als Arbeitshypothese) davon ausgegangen, dass die Regel, die nicht angewandt wurde, gegenüber der tatsächlich angewandten niedriger priorisiert war. Aus den zahlreichen Konflikten dieser Art eine vollständige Priorisierung aller </w:t>
      </w:r>
      <w:r w:rsidR="00765E66">
        <w:t>Merkmal</w:t>
      </w:r>
      <w:r w:rsidR="00765E66">
        <w:t>s</w:t>
      </w:r>
      <w:r w:rsidR="00765E66">
        <w:t>regel</w:t>
      </w:r>
      <w:r>
        <w:t>n zu schließen, dürfte aufgrund der hohen Unsicherheit bei jeder einzelnen Annahme nicht möglich sein. Wir können also davon ausgehen, dass Hypoth</w:t>
      </w:r>
      <w:r>
        <w:t>e</w:t>
      </w:r>
      <w:r>
        <w:t>sen über Prioritäten wohl bei</w:t>
      </w:r>
      <w:r w:rsidR="00D86F15">
        <w:t>m Auslesen</w:t>
      </w:r>
      <w:r>
        <w:t xml:space="preserve"> eine Rolle spielen, dass aber in der </w:t>
      </w:r>
      <w:r w:rsidR="004451F8">
        <w:t>au</w:t>
      </w:r>
      <w:r w:rsidR="004451F8">
        <w:t>s</w:t>
      </w:r>
      <w:r w:rsidR="004451F8">
        <w:t xml:space="preserve">gelesenen </w:t>
      </w:r>
      <w:r>
        <w:t xml:space="preserve">Menge an </w:t>
      </w:r>
      <w:r w:rsidR="00765E66">
        <w:t>Merkmalsregel</w:t>
      </w:r>
      <w:r>
        <w:t>n (also dem Zeicheninhalt) keine vollständige Priorisierung enthalten sein muss. Diese ist also vorwiegend ein Mit</w:t>
      </w:r>
      <w:r w:rsidR="00D86F15">
        <w:t>tel zum Ei</w:t>
      </w:r>
      <w:r w:rsidR="00D86F15">
        <w:t>n</w:t>
      </w:r>
      <w:r w:rsidR="00D86F15">
        <w:t>schreiben.</w:t>
      </w:r>
    </w:p>
    <w:p w:rsidR="00F56F87" w:rsidRDefault="00D2554C">
      <w:pPr>
        <w:pStyle w:val="Text"/>
      </w:pPr>
      <w:r>
        <w:t>Demzufolge können also nur auf einzelnen Beobachtungen fußende A</w:t>
      </w:r>
      <w:r>
        <w:t>n</w:t>
      </w:r>
      <w:r>
        <w:t>nahmen über die Priorisierung gemacht werden, die nicht zu einem vollständigen und widerspruchsfreien Bild führen müssen. So könnte durchaus an einer Real</w:t>
      </w:r>
      <w:r>
        <w:t>i</w:t>
      </w:r>
      <w:r>
        <w:t xml:space="preserve">sierungsstelle der Eindruck entstehen, dass </w:t>
      </w:r>
      <w:r w:rsidR="00765E66">
        <w:t>Merkmalsregel</w:t>
      </w:r>
      <w:r>
        <w:t xml:space="preserve"> (a) höher als (b) pri</w:t>
      </w:r>
      <w:r>
        <w:t>o</w:t>
      </w:r>
      <w:r>
        <w:t xml:space="preserve">risiert ist, an der anderen dagegen, dass umgekehrt (b) höher als (a) priorisiert ist. (Dies erklärt sich leicht daraus, dass beide </w:t>
      </w:r>
      <w:r w:rsidR="00765E66">
        <w:t>Merkmalsregel</w:t>
      </w:r>
      <w:r>
        <w:t xml:space="preserve">n ja, sofern sie </w:t>
      </w:r>
      <w:r>
        <w:rPr>
          <w:i/>
          <w:iCs/>
        </w:rPr>
        <w:t>w</w:t>
      </w:r>
      <w:r>
        <w:t xml:space="preserve"> &lt; 1,0 haben, nicht immer angewandt werden. Welche jedoch aufgrund ihres </w:t>
      </w:r>
      <w:r>
        <w:rPr>
          <w:i/>
          <w:iCs/>
        </w:rPr>
        <w:t>w</w:t>
      </w:r>
      <w:r>
        <w:t xml:space="preserve"> nicht angewandt wurde und welche aufgrund der niedrigeren </w:t>
      </w:r>
      <w:r w:rsidR="00FC42C6">
        <w:t>Priorität</w:t>
      </w:r>
      <w:r>
        <w:t xml:space="preserve">, kann nicht eindeutig erkannt werden. In manchen Fällen wird es möglich sein, durch Abgleich dieser Beobachtungen miteinander plausible Beobachtungen über die Prioritäten anzustellen. Dieser werden jedoch häufig spekulativer Natur sein und es wird vom individuellen </w:t>
      </w:r>
      <w:r w:rsidR="00C75387">
        <w:t>Stilwahrnehmer</w:t>
      </w:r>
      <w:r>
        <w:t xml:space="preserve"> abhängen, welche Schlüsse gezogen werden. Daher verzichten wir in unserem Stilmodell ganz auf </w:t>
      </w:r>
      <w:r w:rsidR="00D86F15">
        <w:t xml:space="preserve">das Auslesen </w:t>
      </w:r>
      <w:r>
        <w:t>der Priorisierung, da in einer allgemeinen Stiltheorie dafür kein Prozess angegeben werden kann. Es wird jedoch explizit darauf verwiesen, dass solche Hypothesen über die Priorität möglich sind und in Einzelfällen stattfinden; es handelt sich um einen jener Bereiche, in denen Vagheit und individuelle Variation dominieren (vgl. Abschnitt</w:t>
      </w:r>
      <w:r w:rsidR="009F26D8">
        <w:t xml:space="preserve"> </w:t>
      </w:r>
      <w:r w:rsidR="005D7996">
        <w:fldChar w:fldCharType="begin"/>
      </w:r>
      <w:r w:rsidR="009F26D8">
        <w:instrText xml:space="preserve"> REF _Ref223865720 \r \h </w:instrText>
      </w:r>
      <w:r w:rsidR="005D7996">
        <w:fldChar w:fldCharType="separate"/>
      </w:r>
      <w:r w:rsidR="001231D3">
        <w:t>9.5</w:t>
      </w:r>
      <w:r w:rsidR="005D7996">
        <w:fldChar w:fldCharType="end"/>
      </w:r>
      <w:r>
        <w:t>), für die daher eine allgemeine Beschreibung übergenau wäre.</w:t>
      </w:r>
    </w:p>
    <w:p w:rsidR="00D2554C" w:rsidRDefault="004C6E76">
      <w:pPr>
        <w:pStyle w:val="Titel2"/>
      </w:pPr>
      <w:bookmarkStart w:id="276" w:name="_Ref271823807"/>
      <w:bookmarkStart w:id="277" w:name="_Toc325456754"/>
      <w:bookmarkEnd w:id="275"/>
      <w:r>
        <w:lastRenderedPageBreak/>
        <w:t>Weiter</w:t>
      </w:r>
      <w:r w:rsidR="00BB63B6">
        <w:t>e Aspekte von Merkmalsregeln</w:t>
      </w:r>
      <w:bookmarkEnd w:id="276"/>
      <w:bookmarkEnd w:id="277"/>
    </w:p>
    <w:p w:rsidR="00D2554C" w:rsidRDefault="00D2554C" w:rsidP="00621498">
      <w:pPr>
        <w:pStyle w:val="Text"/>
        <w:ind w:firstLine="0"/>
      </w:pPr>
      <w:r>
        <w:t xml:space="preserve">Bevor </w:t>
      </w:r>
      <w:r w:rsidR="007C3E47">
        <w:t xml:space="preserve">wir uns im nächsten Kapitel dem Interpretationsprozess zuwenden, der </w:t>
      </w:r>
      <w:r w:rsidR="00765095">
        <w:t xml:space="preserve">ausgehend von den </w:t>
      </w:r>
      <w:r w:rsidR="007C3E47">
        <w:t>Merkmalsregeln stattfindet</w:t>
      </w:r>
      <w:r>
        <w:t xml:space="preserve">, wollen wir kurz überlegen, was wir bisher erreicht haben. In diesem Kapitel ging es vor allem um </w:t>
      </w:r>
      <w:r w:rsidR="00765E66">
        <w:t>Merkmalsr</w:t>
      </w:r>
      <w:r w:rsidR="00765E66">
        <w:t>e</w:t>
      </w:r>
      <w:r w:rsidR="00765E66">
        <w:t>gel</w:t>
      </w:r>
      <w:r>
        <w:t xml:space="preserve">n. Wir wissen nun, wie eine </w:t>
      </w:r>
      <w:r w:rsidR="00765E66">
        <w:t>Merkmalsregel</w:t>
      </w:r>
      <w:r>
        <w:t xml:space="preserve"> aussieht und wie man sie </w:t>
      </w:r>
      <w:r w:rsidR="00D86F15">
        <w:t>ei</w:t>
      </w:r>
      <w:r w:rsidR="00D86F15">
        <w:t>n</w:t>
      </w:r>
      <w:r w:rsidR="00D86F15">
        <w:t>schreibt und ausliest</w:t>
      </w:r>
      <w:r w:rsidR="004C6E76">
        <w:t xml:space="preserve">. Es </w:t>
      </w:r>
      <w:r w:rsidR="007268E3">
        <w:t xml:space="preserve">gibt jedoch weitere interessante Aspekte </w:t>
      </w:r>
      <w:r w:rsidR="00F15E15">
        <w:t xml:space="preserve">von </w:t>
      </w:r>
      <w:r w:rsidR="007268E3">
        <w:t>Merkmal</w:t>
      </w:r>
      <w:r w:rsidR="007268E3">
        <w:t>s</w:t>
      </w:r>
      <w:r w:rsidR="007268E3">
        <w:t xml:space="preserve">regeln. </w:t>
      </w:r>
      <w:r w:rsidR="004C6E76">
        <w:t>I</w:t>
      </w:r>
      <w:r>
        <w:t xml:space="preserve">n welcher Relation stehen </w:t>
      </w:r>
      <w:r w:rsidR="00765E66">
        <w:t>Merkmalsregel</w:t>
      </w:r>
      <w:r>
        <w:t xml:space="preserve">n zu bisherigen Stiltheorien und </w:t>
      </w:r>
      <w:r w:rsidR="00765095">
        <w:t>dem alltagssprachlichen Sprechen über Stil</w:t>
      </w:r>
      <w:r>
        <w:t>?</w:t>
      </w:r>
      <w:r w:rsidR="004C6E76">
        <w:t xml:space="preserve"> Was kann man mit einer </w:t>
      </w:r>
      <w:r w:rsidR="003E7510">
        <w:t>einze</w:t>
      </w:r>
      <w:r w:rsidR="003E7510">
        <w:t>l</w:t>
      </w:r>
      <w:r w:rsidR="003E7510">
        <w:t xml:space="preserve">nen </w:t>
      </w:r>
      <w:r w:rsidR="004C6E76">
        <w:t>Merkmalsregel beschreiben, und wann braucht man mehrere? Was für ein Zeichenprozess</w:t>
      </w:r>
      <w:r w:rsidR="00DD36BC">
        <w:t>typ</w:t>
      </w:r>
      <w:r w:rsidR="004C6E76">
        <w:t xml:space="preserve"> ist das Einschreiben und Auslesen von Merkmalsregeln?</w:t>
      </w:r>
    </w:p>
    <w:p w:rsidR="00D2554C" w:rsidRDefault="00D2554C">
      <w:pPr>
        <w:pStyle w:val="Text"/>
      </w:pPr>
      <w:r>
        <w:t xml:space="preserve">Die Antwort auf die </w:t>
      </w:r>
      <w:r w:rsidR="004C6E76">
        <w:t>erste</w:t>
      </w:r>
      <w:r>
        <w:t xml:space="preserve"> Frage ist bereits </w:t>
      </w:r>
      <w:r w:rsidR="007370C2">
        <w:t xml:space="preserve">früher gegeben </w:t>
      </w:r>
      <w:r>
        <w:t>worden:</w:t>
      </w:r>
      <w:r w:rsidR="007370C2">
        <w:rPr>
          <w:rStyle w:val="Funotenzeichen"/>
        </w:rPr>
        <w:footnoteReference w:id="399"/>
      </w:r>
      <w:r>
        <w:t xml:space="preserve"> Die </w:t>
      </w:r>
      <w:r w:rsidR="00765E66">
        <w:t>Merkmalsregel</w:t>
      </w:r>
      <w:r w:rsidR="009624FE">
        <w:t>n</w:t>
      </w:r>
      <w:r>
        <w:t xml:space="preserve"> in unserer Theorie </w:t>
      </w:r>
      <w:r w:rsidR="009624FE">
        <w:t>modellieren jene Regelmäßigkeiten der Au</w:t>
      </w:r>
      <w:r w:rsidR="009624FE">
        <w:t>s</w:t>
      </w:r>
      <w:r w:rsidR="009624FE">
        <w:t>wahl, die stilistische Merkmale (</w:t>
      </w:r>
      <w:r w:rsidR="005D7996">
        <w:fldChar w:fldCharType="begin"/>
      </w:r>
      <w:r w:rsidR="009624FE">
        <w:instrText xml:space="preserve"> REF _Ref273429486 \r \h </w:instrText>
      </w:r>
      <w:r w:rsidR="005D7996">
        <w:fldChar w:fldCharType="separate"/>
      </w:r>
      <w:r w:rsidR="001231D3">
        <w:t>2.11</w:t>
      </w:r>
      <w:r w:rsidR="005D7996">
        <w:fldChar w:fldCharType="end"/>
      </w:r>
      <w:r w:rsidR="009624FE">
        <w:t>) erzeugen</w:t>
      </w:r>
      <w:r>
        <w:t>.</w:t>
      </w:r>
      <w:r w:rsidR="00F44C01">
        <w:t xml:space="preserve"> „</w:t>
      </w:r>
      <w:r w:rsidR="005A47CC">
        <w:t>S</w:t>
      </w:r>
      <w:r>
        <w:t xml:space="preserve">tilistische </w:t>
      </w:r>
      <w:r w:rsidR="005A47CC">
        <w:t>M</w:t>
      </w:r>
      <w:r>
        <w:t>erkmal</w:t>
      </w:r>
      <w:r w:rsidR="009624FE">
        <w:t>e</w:t>
      </w:r>
      <w:r w:rsidR="00F44C01">
        <w:t>“</w:t>
      </w:r>
      <w:r>
        <w:t xml:space="preserve"> </w:t>
      </w:r>
      <w:r w:rsidR="005A47CC">
        <w:t>wurden traditionell einzeln beschreibbare, als stilistisch relevant empfundene Rege</w:t>
      </w:r>
      <w:r w:rsidR="005A47CC">
        <w:t>l</w:t>
      </w:r>
      <w:r w:rsidR="005A47CC">
        <w:t xml:space="preserve">mäßigkeiten an Realisierungen genannt. </w:t>
      </w:r>
      <w:r w:rsidR="002D1D21">
        <w:t xml:space="preserve">Die Bezeichnung </w:t>
      </w:r>
      <w:r>
        <w:t>konnte dabei deskri</w:t>
      </w:r>
      <w:r>
        <w:t>p</w:t>
      </w:r>
      <w:r>
        <w:t xml:space="preserve">tiv oder operationell </w:t>
      </w:r>
      <w:r w:rsidR="002D1D21">
        <w:t xml:space="preserve">gebraucht </w:t>
      </w:r>
      <w:r>
        <w:t xml:space="preserve">werden: </w:t>
      </w:r>
      <w:r w:rsidR="00506269">
        <w:t xml:space="preserve">(a) </w:t>
      </w:r>
      <w:r>
        <w:t xml:space="preserve">Deskriptiv wurden häufig einzelne Charakteristika eines Stils so genannt. </w:t>
      </w:r>
      <w:r w:rsidR="00506269">
        <w:t xml:space="preserve">(b) </w:t>
      </w:r>
      <w:r>
        <w:t xml:space="preserve">Operationell wurden stilistische Merkmale als jene kleinsten Einheiten </w:t>
      </w:r>
      <w:r w:rsidR="00854475">
        <w:t>verwendet</w:t>
      </w:r>
      <w:r>
        <w:t>, auf denen jede Stilunters</w:t>
      </w:r>
      <w:r>
        <w:t>u</w:t>
      </w:r>
      <w:r>
        <w:t>chung beruhte und zu weitergehenden Erkenntnissen gelangte.</w:t>
      </w:r>
    </w:p>
    <w:p w:rsidR="00D2554C" w:rsidRDefault="00854475">
      <w:pPr>
        <w:pStyle w:val="Text"/>
      </w:pPr>
      <w:r>
        <w:t xml:space="preserve">Merkmalsregeln </w:t>
      </w:r>
      <w:r w:rsidR="00D100FD">
        <w:t>entsprechen beiden Funktionen stilistischer Merkmale</w:t>
      </w:r>
      <w:r>
        <w:t xml:space="preserve">. </w:t>
      </w:r>
      <w:r w:rsidR="00506269">
        <w:t xml:space="preserve">(a) </w:t>
      </w:r>
      <w:r w:rsidR="00D100FD">
        <w:t xml:space="preserve">Unter </w:t>
      </w:r>
      <w:r w:rsidR="00E646C8">
        <w:t xml:space="preserve">deskriptiver </w:t>
      </w:r>
      <w:r w:rsidR="00D100FD">
        <w:t xml:space="preserve">Perspektive </w:t>
      </w:r>
      <w:r w:rsidR="00A937A5">
        <w:t>ermöglichen sie es</w:t>
      </w:r>
      <w:r w:rsidR="00E646C8">
        <w:t xml:space="preserve">, festgestellte </w:t>
      </w:r>
      <w:r>
        <w:t>Regelmäßig</w:t>
      </w:r>
      <w:r w:rsidR="00EA60B4">
        <w:softHyphen/>
      </w:r>
      <w:r>
        <w:t xml:space="preserve">keiten </w:t>
      </w:r>
      <w:r w:rsidR="00E646C8">
        <w:t xml:space="preserve">des Zusammenhangs zwischen </w:t>
      </w:r>
      <w:r w:rsidR="00721558">
        <w:t>Alter</w:t>
      </w:r>
      <w:r w:rsidR="00721558">
        <w:softHyphen/>
        <w:t>nativen</w:t>
      </w:r>
      <w:r w:rsidR="00721558">
        <w:softHyphen/>
        <w:t>klasse</w:t>
      </w:r>
      <w:r w:rsidR="00E646C8">
        <w:t xml:space="preserve">n und Realisierung zu beschreiben. </w:t>
      </w:r>
      <w:r w:rsidR="00506269">
        <w:t xml:space="preserve">(b) </w:t>
      </w:r>
      <w:r w:rsidR="00E646C8">
        <w:t>O</w:t>
      </w:r>
      <w:r>
        <w:t xml:space="preserve">perationell </w:t>
      </w:r>
      <w:r w:rsidR="00E646C8">
        <w:t>dienen sie als Einheit, in der stilistische Informat</w:t>
      </w:r>
      <w:r w:rsidR="00E646C8">
        <w:t>i</w:t>
      </w:r>
      <w:r w:rsidR="00E646C8">
        <w:t>on eingeschrieben und ausgelesen wird, und als Ausgangspunkt für alle weite</w:t>
      </w:r>
      <w:r w:rsidR="00E646C8">
        <w:t>r</w:t>
      </w:r>
      <w:r w:rsidR="00E646C8">
        <w:t>gehenden Wahrnehmungen, Reflexionen und Eindrücke, wodurch sie eine ei</w:t>
      </w:r>
      <w:r w:rsidR="00E646C8">
        <w:t>n</w:t>
      </w:r>
      <w:r w:rsidR="00E646C8">
        <w:t>heitliche Darstellung des stilistischen Zeichenprozesses erst möglich machen.</w:t>
      </w:r>
    </w:p>
    <w:p w:rsidR="00B53427" w:rsidRDefault="00D2554C">
      <w:pPr>
        <w:pStyle w:val="Text"/>
      </w:pPr>
      <w:r>
        <w:t>Gelegentlich gibt es auch andere Verwendungsweisen des Ausdrucks „stili</w:t>
      </w:r>
      <w:r>
        <w:t>s</w:t>
      </w:r>
      <w:r>
        <w:t xml:space="preserve">tisches Merkmal“, </w:t>
      </w:r>
      <w:r w:rsidR="005E5A02">
        <w:t xml:space="preserve">etwa </w:t>
      </w:r>
      <w:r>
        <w:t xml:space="preserve">wenn bestimmte </w:t>
      </w:r>
      <w:r w:rsidR="005E5A02">
        <w:t xml:space="preserve">komplexere </w:t>
      </w:r>
      <w:r>
        <w:t>Prinzipien so gefasst we</w:t>
      </w:r>
      <w:r>
        <w:t>r</w:t>
      </w:r>
      <w:r>
        <w:t>den</w:t>
      </w:r>
      <w:r w:rsidR="005E5A02">
        <w:t xml:space="preserve">, die nicht </w:t>
      </w:r>
      <w:r w:rsidR="00A667AD">
        <w:t xml:space="preserve">durch </w:t>
      </w:r>
      <w:r w:rsidR="005E5A02">
        <w:t>Merkmalsregel</w:t>
      </w:r>
      <w:r w:rsidR="00A667AD">
        <w:t>n erzeugbar sind</w:t>
      </w:r>
      <w:r>
        <w:t>. Sieht man etwa den Wide</w:t>
      </w:r>
      <w:r>
        <w:t>r</w:t>
      </w:r>
      <w:r>
        <w:t xml:space="preserve">spruch im Verhalten eines Autofahrers, der sich in bestimmten Situationen sicherheitsorientiert, in anderen aber riskant verhält, als stilistisches Merkmal an, </w:t>
      </w:r>
      <w:r w:rsidR="00B53427">
        <w:t xml:space="preserve">kann </w:t>
      </w:r>
      <w:r>
        <w:t xml:space="preserve">dies in der vorliegenden Theorie </w:t>
      </w:r>
      <w:r w:rsidR="00B53427">
        <w:t xml:space="preserve">nur durch eine bestimmte </w:t>
      </w:r>
      <w:r>
        <w:t>Relation zw</w:t>
      </w:r>
      <w:r>
        <w:t>i</w:t>
      </w:r>
      <w:r>
        <w:t xml:space="preserve">schen verschiedenen </w:t>
      </w:r>
      <w:r w:rsidR="00765E66">
        <w:t>Merkmalsregel</w:t>
      </w:r>
      <w:r>
        <w:t>n</w:t>
      </w:r>
      <w:r w:rsidR="00B53427">
        <w:t xml:space="preserve"> erzeugt werden</w:t>
      </w:r>
      <w:r>
        <w:t>: In der hier vorgenomm</w:t>
      </w:r>
      <w:r>
        <w:t>e</w:t>
      </w:r>
      <w:r>
        <w:t xml:space="preserve">nen Teilung </w:t>
      </w:r>
      <w:r w:rsidR="005E5A02">
        <w:t xml:space="preserve">in Merkmals- und Interpretationsprozess </w:t>
      </w:r>
      <w:r>
        <w:t>würde</w:t>
      </w:r>
      <w:r w:rsidR="000714B1">
        <w:t>n</w:t>
      </w:r>
      <w:r>
        <w:t xml:space="preserve"> die Tatsache, dass in bestimmten Situationen sicher gefahren wird, und die Tatsache, dass in b</w:t>
      </w:r>
      <w:r>
        <w:t>e</w:t>
      </w:r>
      <w:r>
        <w:t xml:space="preserve">stimmten anderen Situationen riskant gefahren wird, als zwei verschiedene </w:t>
      </w:r>
      <w:r w:rsidR="00765E66">
        <w:t>Merkmalsregel</w:t>
      </w:r>
      <w:r>
        <w:t>n analysiert</w:t>
      </w:r>
      <w:r w:rsidR="00B53427">
        <w:t xml:space="preserve"> werden</w:t>
      </w:r>
      <w:r>
        <w:t>. Der Widerspruch zwischen den in ihnen ve</w:t>
      </w:r>
      <w:r>
        <w:t>r</w:t>
      </w:r>
      <w:r>
        <w:t xml:space="preserve">langten Eigenschaften </w:t>
      </w:r>
      <w:r w:rsidR="00B53427">
        <w:t xml:space="preserve">ist daher </w:t>
      </w:r>
      <w:r>
        <w:t xml:space="preserve">in den </w:t>
      </w:r>
      <w:r w:rsidR="00FA103D">
        <w:t>Interpretationsprozess</w:t>
      </w:r>
      <w:r>
        <w:t xml:space="preserve"> verlagert. </w:t>
      </w:r>
      <w:r w:rsidR="00B53427">
        <w:t>Wollte ein Stilanwender einen solchen Widerspruch erzeugen, müsste dies in der ang</w:t>
      </w:r>
      <w:r w:rsidR="00B53427">
        <w:t>e</w:t>
      </w:r>
      <w:r w:rsidR="00B53427">
        <w:t xml:space="preserve">strebten Interpretation (vgl. </w:t>
      </w:r>
      <w:r w:rsidR="005D7996">
        <w:fldChar w:fldCharType="begin"/>
      </w:r>
      <w:r w:rsidR="00B53427">
        <w:instrText xml:space="preserve"> REF _Ref261443581 \r \h </w:instrText>
      </w:r>
      <w:r w:rsidR="005D7996">
        <w:fldChar w:fldCharType="separate"/>
      </w:r>
      <w:r w:rsidR="001231D3">
        <w:t>7.3.1</w:t>
      </w:r>
      <w:r w:rsidR="005D7996">
        <w:fldChar w:fldCharType="end"/>
      </w:r>
      <w:r w:rsidR="00B53427">
        <w:t>) repräsentiert sein; er würde nun die Mer</w:t>
      </w:r>
      <w:r w:rsidR="00B53427">
        <w:t>k</w:t>
      </w:r>
      <w:r w:rsidR="00B53427">
        <w:lastRenderedPageBreak/>
        <w:t>malsregeln so anpassen, dass sie den Widerspruch enthalten und bei der Anwe</w:t>
      </w:r>
      <w:r w:rsidR="00B53427">
        <w:t>n</w:t>
      </w:r>
      <w:r w:rsidR="00B53427">
        <w:t>dung auf die Realisierung in dieser erzeugen.</w:t>
      </w:r>
    </w:p>
    <w:p w:rsidR="00D2554C" w:rsidRDefault="00D2554C">
      <w:pPr>
        <w:pStyle w:val="Text"/>
      </w:pPr>
      <w:r>
        <w:t>Häufig bechränkt man sich jedoch beim Sprechen über Stil tatsächlich d</w:t>
      </w:r>
      <w:r>
        <w:t>a</w:t>
      </w:r>
      <w:r>
        <w:t xml:space="preserve">rauf, </w:t>
      </w:r>
      <w:r w:rsidR="00B53427">
        <w:t xml:space="preserve">eine Regelmäßigkeit an einer Realisierung </w:t>
      </w:r>
      <w:r>
        <w:t xml:space="preserve">als „stilistisches Merkmal“ zu bezeichnen, </w:t>
      </w:r>
      <w:r w:rsidR="00B53427">
        <w:t>die</w:t>
      </w:r>
      <w:r>
        <w:t xml:space="preserve"> </w:t>
      </w:r>
      <w:r w:rsidR="00B53427">
        <w:t xml:space="preserve">durch eine </w:t>
      </w:r>
      <w:r w:rsidR="001B3765">
        <w:t xml:space="preserve">Regelmäßigkeit der Auswahl </w:t>
      </w:r>
      <w:r w:rsidR="00B53427">
        <w:t>(also eine Merkmalsr</w:t>
      </w:r>
      <w:r w:rsidR="00B53427">
        <w:t>e</w:t>
      </w:r>
      <w:r w:rsidR="00B53427">
        <w:t xml:space="preserve">gel) erzeugt werden kann, </w:t>
      </w:r>
      <w:r>
        <w:t>also etwa bei einem Gebäude eine bestimmte Ausfü</w:t>
      </w:r>
      <w:r>
        <w:t>h</w:t>
      </w:r>
      <w:r>
        <w:t>rungsweise der Fenster, die Verwendung bestimmter Materialien in bestimmten Kontexten, eine bestimmte Form der 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t xml:space="preserve"> usw. Weitergehende Zusamme</w:t>
      </w:r>
      <w:r>
        <w:t>n</w:t>
      </w:r>
      <w:r>
        <w:t>hänge oder gar der allgemeine Eindruck, der daraus entsteht, werden seltener als „stilistische Merkmale“ bezeichnet.</w:t>
      </w:r>
    </w:p>
    <w:p w:rsidR="00D2554C" w:rsidRDefault="00D2554C">
      <w:pPr>
        <w:pStyle w:val="Text"/>
      </w:pPr>
      <w:r>
        <w:t xml:space="preserve">Wir können also </w:t>
      </w:r>
      <w:r>
        <w:rPr>
          <w:i/>
          <w:iCs/>
        </w:rPr>
        <w:t xml:space="preserve">cum grano salis </w:t>
      </w:r>
      <w:r>
        <w:t>festhalten, dass die Merkmalsregeln dieser Theorie</w:t>
      </w:r>
      <w:r w:rsidR="00B53427">
        <w:t>, obwohl sie sich auf der Ebene der Auswahl und nicht auf der Ebene der fertigen Realisierung befinden,</w:t>
      </w:r>
      <w:r>
        <w:t xml:space="preserve"> eine ähnliche Rolle spielen wie traditionell die stilistischen Merkmale: In ihrer deskriptiven Funktion bilden sie die Einheit, in der die Beschreibung von Regelmäßigkeiten </w:t>
      </w:r>
      <w:r w:rsidR="00B53427">
        <w:t xml:space="preserve">eines Stils </w:t>
      </w:r>
      <w:r>
        <w:t>vorgenommen wird. In ihrer operativen Funktion bilden sie die Grundlage für weitergehende Zeiche</w:t>
      </w:r>
      <w:r>
        <w:t>n</w:t>
      </w:r>
      <w:r>
        <w:t xml:space="preserve">bildung, die in Kapitel 6 </w:t>
      </w:r>
      <w:r w:rsidR="007E2844">
        <w:t xml:space="preserve">und 7 </w:t>
      </w:r>
      <w:r>
        <w:t xml:space="preserve">als </w:t>
      </w:r>
      <w:r w:rsidR="00FA103D">
        <w:t>Interpretationsprozess</w:t>
      </w:r>
      <w:r>
        <w:t xml:space="preserve"> behandelt wird. Diese Grundlage können sie deshalb sein, weil ihnen ein anderer Status zukommt als den </w:t>
      </w:r>
      <w:r w:rsidR="00E275D7">
        <w:t>bei der Interpretation erzeugten Ergebnissen</w:t>
      </w:r>
      <w:r>
        <w:t xml:space="preserve">: </w:t>
      </w:r>
      <w:r w:rsidR="00B53427">
        <w:t>Ihre Anwendung oder Nich</w:t>
      </w:r>
      <w:r w:rsidR="00B53427">
        <w:t>t</w:t>
      </w:r>
      <w:r w:rsidR="00B53427">
        <w:t xml:space="preserve">anwendung lässt sich direkt </w:t>
      </w:r>
      <w:r>
        <w:t xml:space="preserve">am Stilträger überprüfen, wobei relativ eindeutig festzustellen ist, ob eine </w:t>
      </w:r>
      <w:r w:rsidR="00765E66">
        <w:t>Merkmalsregel</w:t>
      </w:r>
      <w:r>
        <w:t xml:space="preserve"> korrekt </w:t>
      </w:r>
      <w:r w:rsidR="00581518">
        <w:t xml:space="preserve">ausgelesen </w:t>
      </w:r>
      <w:r>
        <w:t xml:space="preserve">wurde oder nicht. Somit bilden sie eine empirische Grundlage für die (nicht notwendigerweise, aber häufig) stärker spekulativen </w:t>
      </w:r>
      <w:r w:rsidR="00852694">
        <w:t>Ergebnisse der Interpretation</w:t>
      </w:r>
      <w:r>
        <w:t xml:space="preserve"> – </w:t>
      </w:r>
      <w:r w:rsidR="00A27CAD">
        <w:t>genauso</w:t>
      </w:r>
      <w:r>
        <w:t xml:space="preserve"> wie Aussagen über Stile bislang oft unter Verweis auf stilistische Merkmale gemacht oder widerlegt wurden.</w:t>
      </w:r>
    </w:p>
    <w:p w:rsidR="005F2AED" w:rsidRDefault="007E3D6D" w:rsidP="00621498">
      <w:pPr>
        <w:pStyle w:val="Text"/>
        <w:spacing w:before="240"/>
        <w:ind w:firstLine="0"/>
      </w:pPr>
      <w:r>
        <w:t>Wann benötigt man eine und wann mehrere Merkmalsregeln, um eine Regelm</w:t>
      </w:r>
      <w:r>
        <w:t>ä</w:t>
      </w:r>
      <w:r>
        <w:t>ßigkeit der Auswahl zu beschreiben? Dies kann man sich klarmachen, indem man einfache Stile betrachtet und überlegt, wie lange man mit einer Merkmalsr</w:t>
      </w:r>
      <w:r>
        <w:t>e</w:t>
      </w:r>
      <w:r>
        <w:t>gel auskommt.</w:t>
      </w:r>
    </w:p>
    <w:p w:rsidR="00623220" w:rsidRDefault="005F2AED" w:rsidP="005F2AED">
      <w:pPr>
        <w:pStyle w:val="Text"/>
      </w:pPr>
      <w:r>
        <w:t>Der simpelste denkbare Stil besteht darin, dass für einen Anwendungsb</w:t>
      </w:r>
      <w:r>
        <w:t>e</w:t>
      </w:r>
      <w:r>
        <w:t>reich eine Eigenschaft verlangt wird.</w:t>
      </w:r>
      <w:r w:rsidR="007E3D6D">
        <w:t xml:space="preserve"> </w:t>
      </w:r>
      <w:r>
        <w:t xml:space="preserve">Plausible Beispiele dafür lassen sich bei </w:t>
      </w:r>
      <w:r w:rsidR="00676C71">
        <w:t xml:space="preserve">unserem schon oft strapazierten Beispiel, den </w:t>
      </w:r>
      <w:r>
        <w:t>Fahrstilen</w:t>
      </w:r>
      <w:r w:rsidR="00676C71">
        <w:t>,</w:t>
      </w:r>
      <w:r>
        <w:t xml:space="preserve"> finden: </w:t>
      </w:r>
      <w:r w:rsidR="00623220">
        <w:t>Nehmen wir für ‚anfahren‘, abbiegen‘, ‚der Straße folgen‘, ‚anhalten‘, ‚einparken‘ usw. den übergeordneten Schemaort ‚</w:t>
      </w:r>
      <w:r>
        <w:t>Fahr</w:t>
      </w:r>
      <w:r w:rsidR="00623220">
        <w:t>manöver‘ an, kann die folgende Merkmalsregel gebildet werden:</w:t>
      </w:r>
    </w:p>
    <w:p w:rsidR="00623220" w:rsidRDefault="00623220" w:rsidP="00621498">
      <w:pPr>
        <w:pStyle w:val="Interpretation"/>
      </w:pPr>
      <w:r w:rsidRPr="00E044F6">
        <w:rPr>
          <w:i/>
        </w:rPr>
        <w:t>U</w:t>
      </w:r>
      <w:r w:rsidRPr="00E044F6">
        <w:t>(</w:t>
      </w:r>
      <w:r w:rsidRPr="00E044F6">
        <w:rPr>
          <w:i/>
        </w:rPr>
        <w:t>B</w:t>
      </w:r>
      <w:r w:rsidRPr="00623220">
        <w:rPr>
          <w:vertAlign w:val="subscript"/>
        </w:rPr>
        <w:t>1</w:t>
      </w:r>
      <w:r w:rsidRPr="00E044F6">
        <w:t>): ‚</w:t>
      </w:r>
      <w:r>
        <w:t>Fahrmanöver</w:t>
      </w:r>
      <w:r w:rsidRPr="00E044F6">
        <w:t>‘,</w:t>
      </w:r>
      <w:r>
        <w:t xml:space="preserve"> </w:t>
      </w:r>
      <w:r>
        <w:rPr>
          <w:i/>
        </w:rPr>
        <w:t>V</w:t>
      </w:r>
      <w:r w:rsidRPr="00E044F6">
        <w:t>(</w:t>
      </w:r>
      <w:r w:rsidRPr="00E044F6">
        <w:rPr>
          <w:i/>
        </w:rPr>
        <w:t>B</w:t>
      </w:r>
      <w:r w:rsidRPr="00623220">
        <w:rPr>
          <w:vertAlign w:val="subscript"/>
        </w:rPr>
        <w:t>1</w:t>
      </w:r>
      <w:r w:rsidRPr="00E044F6">
        <w:t>): ‚</w:t>
      </w:r>
      <w:r>
        <w:t>riskant‘</w:t>
      </w:r>
    </w:p>
    <w:p w:rsidR="009F7AE3" w:rsidRDefault="00623220" w:rsidP="00621498">
      <w:pPr>
        <w:pStyle w:val="Text"/>
        <w:ind w:firstLine="0"/>
      </w:pPr>
      <w:r>
        <w:t>Obwohl ‚riskant‘ beim ‚</w:t>
      </w:r>
      <w:r w:rsidR="009F7AE3">
        <w:t>auf die Autobahn Einfahren‘ eine andere Dimension der Gefahr impliziert als beim ‚Einparken‘, ist diese Beschreibung hinreichend: Dass die Eigenschaft ‚riskant‘ aufgrund der Verschiedenheit der Schemaorte bei let</w:t>
      </w:r>
      <w:r w:rsidR="009F7AE3">
        <w:t>z</w:t>
      </w:r>
      <w:r w:rsidR="009F7AE3">
        <w:t>terem meist nur Fahrzeugschäden beinhalte</w:t>
      </w:r>
      <w:r w:rsidR="00E14028">
        <w:t>t</w:t>
      </w:r>
      <w:r w:rsidR="009F7AE3">
        <w:t xml:space="preserve">, während bei ersterem </w:t>
      </w:r>
      <w:r w:rsidR="00E14028">
        <w:t xml:space="preserve">das Risiko </w:t>
      </w:r>
      <w:r w:rsidR="00E14028">
        <w:lastRenderedPageBreak/>
        <w:t xml:space="preserve">eines tödlichen Unfalls besteht, ergibt sich aus der Bildungsweise der </w:t>
      </w:r>
      <w:r w:rsidR="00721558">
        <w:t>Alter</w:t>
      </w:r>
      <w:r w:rsidR="00721558">
        <w:softHyphen/>
        <w:t>nativen</w:t>
      </w:r>
      <w:r w:rsidR="00721558">
        <w:softHyphen/>
        <w:t>klasse</w:t>
      </w:r>
      <w:r w:rsidR="00E14028">
        <w:t>.</w:t>
      </w:r>
    </w:p>
    <w:p w:rsidR="00E14028" w:rsidRDefault="00E14028" w:rsidP="00623220">
      <w:pPr>
        <w:pStyle w:val="Text"/>
      </w:pPr>
      <w:r>
        <w:t>Auch bei mehreren verlangten Eigenschaften reicht eine Merkmalsregel:</w:t>
      </w:r>
    </w:p>
    <w:p w:rsidR="005F2AED" w:rsidRDefault="00E14028" w:rsidP="00621498">
      <w:pPr>
        <w:pStyle w:val="Interpretation"/>
      </w:pPr>
      <w:r w:rsidRPr="00E044F6">
        <w:rPr>
          <w:i/>
        </w:rPr>
        <w:t>U</w:t>
      </w:r>
      <w:r w:rsidRPr="00E044F6">
        <w:t>(</w:t>
      </w:r>
      <w:r w:rsidRPr="00E044F6">
        <w:rPr>
          <w:i/>
        </w:rPr>
        <w:t>B</w:t>
      </w:r>
      <w:r w:rsidRPr="00623220">
        <w:rPr>
          <w:vertAlign w:val="subscript"/>
        </w:rPr>
        <w:t>1</w:t>
      </w:r>
      <w:r w:rsidRPr="00E044F6">
        <w:t>): ‚</w:t>
      </w:r>
      <w:r>
        <w:t>Fahrmanöver</w:t>
      </w:r>
      <w:r w:rsidRPr="00E044F6">
        <w:t>‘,</w:t>
      </w:r>
      <w:r>
        <w:t xml:space="preserve"> </w:t>
      </w:r>
      <w:r>
        <w:rPr>
          <w:i/>
        </w:rPr>
        <w:t>V</w:t>
      </w:r>
      <w:r w:rsidRPr="00E044F6">
        <w:t>(</w:t>
      </w:r>
      <w:r w:rsidRPr="00E044F6">
        <w:rPr>
          <w:i/>
        </w:rPr>
        <w:t>B</w:t>
      </w:r>
      <w:r w:rsidRPr="00623220">
        <w:rPr>
          <w:vertAlign w:val="subscript"/>
        </w:rPr>
        <w:t>1</w:t>
      </w:r>
      <w:r w:rsidRPr="00E044F6">
        <w:t>): ‚</w:t>
      </w:r>
      <w:r>
        <w:t>kontrolliert; elegant</w:t>
      </w:r>
      <w:r w:rsidR="007E3D6D">
        <w:t>‘</w:t>
      </w:r>
    </w:p>
    <w:p w:rsidR="00E14028" w:rsidRDefault="005F2AED" w:rsidP="00621498">
      <w:pPr>
        <w:pStyle w:val="Text"/>
        <w:ind w:firstLine="0"/>
      </w:pPr>
      <w:r>
        <w:t>Dasselbe gilt, wenn nur ein bestimmter, abgrenzbarer Anwendungsbereich mit einer Merkmalsregel beschrieben werden muss und die anderen als stilis</w:t>
      </w:r>
      <w:r w:rsidR="00E14028">
        <w:t>tisch unauffällig gelten können:</w:t>
      </w:r>
    </w:p>
    <w:p w:rsidR="00E14028" w:rsidRDefault="00E14028" w:rsidP="00621498">
      <w:pPr>
        <w:pStyle w:val="Interpretation"/>
      </w:pPr>
      <w:r w:rsidRPr="00E044F6">
        <w:rPr>
          <w:i/>
        </w:rPr>
        <w:t>U</w:t>
      </w:r>
      <w:r w:rsidRPr="00E044F6">
        <w:t>(</w:t>
      </w:r>
      <w:r w:rsidRPr="00E044F6">
        <w:rPr>
          <w:i/>
        </w:rPr>
        <w:t>B</w:t>
      </w:r>
      <w:r w:rsidRPr="00623220">
        <w:rPr>
          <w:vertAlign w:val="subscript"/>
        </w:rPr>
        <w:t>1</w:t>
      </w:r>
      <w:r w:rsidRPr="00E044F6">
        <w:t>): ‚</w:t>
      </w:r>
      <w:r w:rsidR="00E74C2E">
        <w:t>Überholen</w:t>
      </w:r>
      <w:r w:rsidRPr="00E044F6">
        <w:t>‘,</w:t>
      </w:r>
      <w:r>
        <w:t xml:space="preserve"> </w:t>
      </w:r>
      <w:r>
        <w:rPr>
          <w:i/>
        </w:rPr>
        <w:t>V</w:t>
      </w:r>
      <w:r w:rsidRPr="00E044F6">
        <w:t>(</w:t>
      </w:r>
      <w:r w:rsidRPr="00E044F6">
        <w:rPr>
          <w:i/>
        </w:rPr>
        <w:t>B</w:t>
      </w:r>
      <w:r w:rsidRPr="00623220">
        <w:rPr>
          <w:vertAlign w:val="subscript"/>
        </w:rPr>
        <w:t>1</w:t>
      </w:r>
      <w:r w:rsidRPr="00E044F6">
        <w:t>): ‚</w:t>
      </w:r>
      <w:r>
        <w:t>riskant‘</w:t>
      </w:r>
    </w:p>
    <w:p w:rsidR="005F2AED" w:rsidRDefault="005F2AED" w:rsidP="00621498">
      <w:pPr>
        <w:pStyle w:val="Text"/>
        <w:ind w:firstLine="0"/>
      </w:pPr>
      <w:r>
        <w:t>Dies kann jedoch nur dann als angemessene Stilbeschreibung akzeptiert werden, wenn alle anderen Fahrsituationen tatsächlich stilistisch unauffällig sind.</w:t>
      </w:r>
    </w:p>
    <w:p w:rsidR="005F2AED" w:rsidRDefault="005F2AED" w:rsidP="005F2AED">
      <w:pPr>
        <w:pStyle w:val="Text"/>
      </w:pPr>
      <w:r>
        <w:t>Die meisten Stile sind jedoch erheblich komplizierter. Aus mehreren Grü</w:t>
      </w:r>
      <w:r>
        <w:t>n</w:t>
      </w:r>
      <w:r>
        <w:t>den müssen fast immer verschiedene Merkmalsregeln angenommen werden.</w:t>
      </w:r>
    </w:p>
    <w:p w:rsidR="005F2AED" w:rsidRDefault="005F2AED" w:rsidP="005F2AED">
      <w:pPr>
        <w:pStyle w:val="Text"/>
      </w:pPr>
      <w:r>
        <w:t>(1)</w:t>
      </w:r>
      <w:r>
        <w:tab/>
        <w:t>Wenn ein Anwendungsbereich spezifiziert werden soll, der nicht mit einer Menge von Eigenschaften abgegrenzt werden kann, muss dieser in mehrere Teilbereiche unterteilt werden und es müssen zwei Merkmalsregeln angegeben we</w:t>
      </w:r>
      <w:r w:rsidR="00E74C2E">
        <w:t>rden: So könnte ein Autofahrer ‚riskant‘</w:t>
      </w:r>
      <w:r>
        <w:t xml:space="preserve"> </w:t>
      </w:r>
      <w:r w:rsidR="00E74C2E">
        <w:t>‚</w:t>
      </w:r>
      <w:r>
        <w:t>überholen</w:t>
      </w:r>
      <w:r w:rsidR="00E74C2E">
        <w:t xml:space="preserve">‘ und </w:t>
      </w:r>
      <w:r w:rsidR="00BD0B83">
        <w:t xml:space="preserve">‚riskant‘ </w:t>
      </w:r>
      <w:r w:rsidR="00E74C2E">
        <w:t>‚</w:t>
      </w:r>
      <w:r>
        <w:t>links a</w:t>
      </w:r>
      <w:r>
        <w:t>b</w:t>
      </w:r>
      <w:r>
        <w:t>biegen</w:t>
      </w:r>
      <w:r w:rsidR="00E74C2E">
        <w:t>‘</w:t>
      </w:r>
      <w:r>
        <w:t xml:space="preserve">. Da es keine Möglichkeit gibt, alle Überholmanöver und alle Linksabbiegemanöver in </w:t>
      </w:r>
      <w:r w:rsidR="00E74C2E">
        <w:t xml:space="preserve">eine </w:t>
      </w:r>
      <w:r>
        <w:t xml:space="preserve">intensionale Definition </w:t>
      </w:r>
      <w:r w:rsidR="00E74C2E">
        <w:t>zu fassen und einen übe</w:t>
      </w:r>
      <w:r w:rsidR="00E74C2E">
        <w:t>r</w:t>
      </w:r>
      <w:r w:rsidR="00E74C2E">
        <w:t xml:space="preserve">geordneten Schemaort zu bilden, </w:t>
      </w:r>
      <w:r>
        <w:t>müssen hier zwei Merkmalsregeln angegeben werden.</w:t>
      </w:r>
    </w:p>
    <w:p w:rsidR="005F2AED" w:rsidRDefault="005F2AED" w:rsidP="005F2AED">
      <w:pPr>
        <w:pStyle w:val="Text"/>
      </w:pPr>
      <w:r>
        <w:t>(2)</w:t>
      </w:r>
      <w:r>
        <w:tab/>
        <w:t>Dies gilt ebenso, wenn für Anwendungsbereiche</w:t>
      </w:r>
      <w:r w:rsidR="00D01985">
        <w:t>, die durch eine intensionale Definition zusammengefasst werden können,</w:t>
      </w:r>
      <w:r>
        <w:t xml:space="preserve"> verschiedene Eige</w:t>
      </w:r>
      <w:r>
        <w:t>n</w:t>
      </w:r>
      <w:r>
        <w:t xml:space="preserve">schaften verlangt werden. So mag ein Autofahrer </w:t>
      </w:r>
      <w:r>
        <w:rPr>
          <w:rFonts w:cs="Times New Roman"/>
        </w:rPr>
        <w:t>‚</w:t>
      </w:r>
      <w:r>
        <w:t xml:space="preserve">riskant‘ </w:t>
      </w:r>
      <w:r w:rsidR="00D01985">
        <w:t>‚</w:t>
      </w:r>
      <w:r>
        <w:t>links abbiegen</w:t>
      </w:r>
      <w:r w:rsidR="00D01985">
        <w:t>‘</w:t>
      </w:r>
      <w:r>
        <w:t xml:space="preserve">, aber </w:t>
      </w:r>
      <w:r>
        <w:rPr>
          <w:rFonts w:cs="Times New Roman"/>
        </w:rPr>
        <w:t>‚</w:t>
      </w:r>
      <w:r>
        <w:t xml:space="preserve">kontrolliert‘ </w:t>
      </w:r>
      <w:r w:rsidR="00D01985">
        <w:t>‚</w:t>
      </w:r>
      <w:r>
        <w:t>rechts abbiegen</w:t>
      </w:r>
      <w:r w:rsidR="00D01985">
        <w:t>‘</w:t>
      </w:r>
      <w:r>
        <w:t xml:space="preserve">; obwohl beide Anwendungsbereiche zu </w:t>
      </w:r>
      <w:r>
        <w:rPr>
          <w:rFonts w:cs="Times New Roman"/>
        </w:rPr>
        <w:t>‚</w:t>
      </w:r>
      <w:r>
        <w:t>abbieg</w:t>
      </w:r>
      <w:r w:rsidR="00D01985">
        <w:t>en‘ zusammengefasst werden könn</w:t>
      </w:r>
      <w:r>
        <w:t>en, sind hier zwei Merkmalsregeln nötig. Wenn alle Außenwände eines Gebäudes auf bestimmte Art gestaltet sind (z.B. die Fenster in geometrischen Mustern angeordnet) oder mit einem bestimmten M</w:t>
      </w:r>
      <w:r>
        <w:t>a</w:t>
      </w:r>
      <w:r>
        <w:t>terial versehen sind (z.B. verputzt oder mit Backstein verkleidet), kann dies j</w:t>
      </w:r>
      <w:r>
        <w:t>e</w:t>
      </w:r>
      <w:r>
        <w:t>weils in einer Merkmalsregel angegeben werden. Wenn das geometrische Muster, der Putz oder die Backsteinverkleidung nur auf der Straßenfassade vorhanden sind, kann dies ebenfalls in jeweils einer Merkmalsregel ausgedrückt werden, die nun als Anwendungsbedingung ‚Straßenfassade‘ spezifiziert. Wenn jedoch die anderen Seiten auf spezifische Art anders gestaltet sind, spielt dies unter U</w:t>
      </w:r>
      <w:r>
        <w:t>m</w:t>
      </w:r>
      <w:r>
        <w:t>ständen auch eine Rolle für den Stil und sollte in der Stilbeschreibung angegeben werden. In diesem Fall muss eine zweite Merkmalsregel mit anderen Anwe</w:t>
      </w:r>
      <w:r>
        <w:t>n</w:t>
      </w:r>
      <w:r>
        <w:t>dungsbedingungen (‚Fassaden</w:t>
      </w:r>
      <w:r w:rsidR="005D7996">
        <w:fldChar w:fldCharType="begin"/>
      </w:r>
      <w:r w:rsidR="005D5684">
        <w:instrText xml:space="preserve"> XE "</w:instrText>
      </w:r>
      <w:r w:rsidR="005D5684" w:rsidRPr="00CF659E">
        <w:instrText>Fassade</w:instrText>
      </w:r>
      <w:r w:rsidR="005D5684">
        <w:instrText xml:space="preserve">" </w:instrText>
      </w:r>
      <w:r w:rsidR="005D7996">
        <w:fldChar w:fldCharType="end"/>
      </w:r>
      <w:r>
        <w:t>, die nicht Straßenfassade sind‘) definiert werden.</w:t>
      </w:r>
    </w:p>
    <w:p w:rsidR="005F2AED" w:rsidRDefault="005F2AED" w:rsidP="005F2AED">
      <w:pPr>
        <w:pStyle w:val="Text"/>
      </w:pPr>
      <w:r>
        <w:t>(3)</w:t>
      </w:r>
      <w:r>
        <w:tab/>
        <w:t>In den meisten Fällen gilt, dass weder wie in (1) die verlangten Eige</w:t>
      </w:r>
      <w:r>
        <w:t>n</w:t>
      </w:r>
      <w:r>
        <w:t>schaften gleich sind noch wie in (2) die Anwendungsbereiche über eine intensionale Definition zusammengefasst werden</w:t>
      </w:r>
      <w:r w:rsidRPr="007C5282">
        <w:t xml:space="preserve"> </w:t>
      </w:r>
      <w:r>
        <w:t>können. In diesen Fällen ist es offensichtlich, dass man um die Formulierung mehrerer Merkmalsregeln nicht herumkommt.</w:t>
      </w:r>
    </w:p>
    <w:bookmarkStart w:id="278" w:name="Zeichenprozesstyp"/>
    <w:p w:rsidR="00D2554C" w:rsidRDefault="005D7996" w:rsidP="00621498">
      <w:pPr>
        <w:pStyle w:val="Text"/>
        <w:spacing w:before="240"/>
        <w:ind w:firstLine="0"/>
      </w:pPr>
      <w:r>
        <w:lastRenderedPageBreak/>
        <w:fldChar w:fldCharType="begin"/>
      </w:r>
      <w:r w:rsidR="00A255ED">
        <w:instrText xml:space="preserve"> XE "Stil:als Zeichenprozesstyp" \r "Zeichenprozesstyp" </w:instrText>
      </w:r>
      <w:r>
        <w:fldChar w:fldCharType="end"/>
      </w:r>
      <w:r>
        <w:fldChar w:fldCharType="begin"/>
      </w:r>
      <w:r w:rsidR="00822D97">
        <w:instrText xml:space="preserve"> XE "Anzeichen" \r "Zeichenprozesstyp" </w:instrText>
      </w:r>
      <w:r>
        <w:fldChar w:fldCharType="end"/>
      </w:r>
      <w:r>
        <w:fldChar w:fldCharType="begin"/>
      </w:r>
      <w:r w:rsidR="00A43276">
        <w:instrText xml:space="preserve"> XE "Zeichenträger" \r "Zeichenprozesstyp" </w:instrText>
      </w:r>
      <w:r>
        <w:fldChar w:fldCharType="end"/>
      </w:r>
      <w:r>
        <w:fldChar w:fldCharType="begin"/>
      </w:r>
      <w:r w:rsidR="00A43276">
        <w:instrText xml:space="preserve"> XE "Zeicheninhalt" \r "Zeichenprozesstyp" </w:instrText>
      </w:r>
      <w:r>
        <w:fldChar w:fldCharType="end"/>
      </w:r>
      <w:r w:rsidR="00D2554C">
        <w:t xml:space="preserve">Interessant ist auch die Frage nach dem Typus </w:t>
      </w:r>
      <w:r w:rsidR="00F15E15">
        <w:t xml:space="preserve">des im Merkmalsprozess bechriebenen Zeichenprozesses. Lässt sich dieser </w:t>
      </w:r>
      <w:r w:rsidR="00D2554C">
        <w:t>in die von Peir</w:t>
      </w:r>
      <w:r w:rsidR="007370C2">
        <w:t>c</w:t>
      </w:r>
      <w:r w:rsidR="00D2554C">
        <w:t>e</w:t>
      </w:r>
      <w:r>
        <w:fldChar w:fldCharType="begin"/>
      </w:r>
      <w:r w:rsidR="002117F9">
        <w:instrText xml:space="preserve"> XE "</w:instrText>
      </w:r>
      <w:r w:rsidR="002117F9" w:rsidRPr="00426FA1">
        <w:instrText>Peirce, Charles S.</w:instrText>
      </w:r>
      <w:r w:rsidR="002117F9">
        <w:instrText xml:space="preserve">" </w:instrText>
      </w:r>
      <w:r>
        <w:fldChar w:fldCharType="end"/>
      </w:r>
      <w:r w:rsidR="00D2554C">
        <w:t xml:space="preserve"> vorgeschlag</w:t>
      </w:r>
      <w:r w:rsidR="00D2554C">
        <w:t>e</w:t>
      </w:r>
      <w:r w:rsidR="00D2554C">
        <w:t>ne, mittlerweile klassisch gewordene Unterscheidung zwischen Ik</w:t>
      </w:r>
      <w:r w:rsidR="007370C2">
        <w:t>on</w:t>
      </w:r>
      <w:r>
        <w:fldChar w:fldCharType="begin"/>
      </w:r>
      <w:r w:rsidR="0057025E">
        <w:instrText xml:space="preserve"> XE "</w:instrText>
      </w:r>
      <w:r w:rsidR="0057025E" w:rsidRPr="005C55C0">
        <w:instrText>Ikon (Peirce)</w:instrText>
      </w:r>
      <w:r w:rsidR="0057025E">
        <w:instrText xml:space="preserve">" </w:instrText>
      </w:r>
      <w:r>
        <w:fldChar w:fldCharType="end"/>
      </w:r>
      <w:r w:rsidR="007370C2">
        <w:t>, Index und Symbol</w:t>
      </w:r>
      <w:r>
        <w:fldChar w:fldCharType="begin"/>
      </w:r>
      <w:r w:rsidR="0057025E">
        <w:instrText xml:space="preserve"> XE "</w:instrText>
      </w:r>
      <w:r w:rsidR="0057025E" w:rsidRPr="00736B3D">
        <w:instrText>Symbol (Peirce)</w:instrText>
      </w:r>
      <w:r w:rsidR="0057025E">
        <w:instrText xml:space="preserve">" </w:instrText>
      </w:r>
      <w:r>
        <w:fldChar w:fldCharType="end"/>
      </w:r>
      <w:r w:rsidR="007370C2">
        <w:t xml:space="preserve"> einordnen</w:t>
      </w:r>
      <w:r w:rsidR="00D2554C">
        <w:t>?</w:t>
      </w:r>
    </w:p>
    <w:p w:rsidR="00D2554C" w:rsidRDefault="005862C8">
      <w:pPr>
        <w:pStyle w:val="Text"/>
      </w:pPr>
      <w:r>
        <w:t xml:space="preserve">Zunächst handelt es sich beim hier beschriebenen Merkmalsprozess um </w:t>
      </w:r>
      <w:r w:rsidR="00932410">
        <w:t>A</w:t>
      </w:r>
      <w:r w:rsidR="00932410">
        <w:t>n</w:t>
      </w:r>
      <w:r w:rsidR="00932410">
        <w:t>zeichen (Indizes)</w:t>
      </w:r>
      <w:r>
        <w:t>: Die Merkmalsregeln hinterlassen bei ihrer Anwendung Sp</w:t>
      </w:r>
      <w:r>
        <w:t>u</w:t>
      </w:r>
      <w:r>
        <w:t xml:space="preserve">ren im Auswahlergebnis (der Realisierung), aus denen sie (mehr oder minder genau) vom </w:t>
      </w:r>
      <w:r w:rsidR="00C75387">
        <w:t>Stilwahrnehmer</w:t>
      </w:r>
      <w:r>
        <w:t xml:space="preserve"> rekonstruiert werden können. Es handelt sich also um eine Kausalbeziehung, bei </w:t>
      </w:r>
      <w:r w:rsidR="00447612">
        <w:t xml:space="preserve">der die Wirkung </w:t>
      </w:r>
      <w:r w:rsidR="00080032">
        <w:t>zum Anzeichen für die Ursache wird: D</w:t>
      </w:r>
      <w:r>
        <w:t xml:space="preserve">ie </w:t>
      </w:r>
      <w:r w:rsidR="00080032">
        <w:t xml:space="preserve">Ursache (die </w:t>
      </w:r>
      <w:r>
        <w:t xml:space="preserve">Merkmalsregeln) </w:t>
      </w:r>
      <w:r w:rsidR="00080032">
        <w:t xml:space="preserve">bildet also den </w:t>
      </w:r>
      <w:r>
        <w:t xml:space="preserve">Zeicheninhalt, die </w:t>
      </w:r>
      <w:r w:rsidR="00080032">
        <w:t>Wi</w:t>
      </w:r>
      <w:r w:rsidR="00080032">
        <w:t>r</w:t>
      </w:r>
      <w:r w:rsidR="00080032">
        <w:t xml:space="preserve">kung </w:t>
      </w:r>
      <w:r>
        <w:t xml:space="preserve">(die </w:t>
      </w:r>
      <w:r w:rsidR="00080032">
        <w:t xml:space="preserve">Merkmale, </w:t>
      </w:r>
      <w:r w:rsidR="0098781D">
        <w:t xml:space="preserve">die als </w:t>
      </w:r>
      <w:r w:rsidR="00080032">
        <w:t>Regelanwendungsspuren in der Realisierung</w:t>
      </w:r>
      <w:r w:rsidR="0098781D">
        <w:t xml:space="preserve"> entst</w:t>
      </w:r>
      <w:r w:rsidR="0098781D">
        <w:t>e</w:t>
      </w:r>
      <w:r w:rsidR="0098781D">
        <w:t>hen</w:t>
      </w:r>
      <w:r>
        <w:t xml:space="preserve">) </w:t>
      </w:r>
      <w:r w:rsidR="00080032">
        <w:t xml:space="preserve">den </w:t>
      </w:r>
      <w:r>
        <w:t>Zeichenträger. Zeichen, bei denen eine Kausalbeziehung den Zusa</w:t>
      </w:r>
      <w:r>
        <w:t>m</w:t>
      </w:r>
      <w:r>
        <w:t>menhang zwischen Zeicheninhalt und Zeichenträger herstellt, werden zu den Indizes gerechnet.</w:t>
      </w:r>
    </w:p>
    <w:p w:rsidR="00D2554C" w:rsidRDefault="00D2554C">
      <w:pPr>
        <w:pStyle w:val="Text"/>
      </w:pPr>
      <w:r>
        <w:t xml:space="preserve">Zugleich ist festzuhalten, dass diese Einordnung nicht allzuviel über das Spezifikum des </w:t>
      </w:r>
      <w:r w:rsidR="00DD715C">
        <w:t xml:space="preserve">Merkmalsprozesses </w:t>
      </w:r>
      <w:r>
        <w:t>aussagt. Die spezielle Art der Kausalbezi</w:t>
      </w:r>
      <w:r>
        <w:t>e</w:t>
      </w:r>
      <w:r>
        <w:t xml:space="preserve">hung zwischen einem Abstraktum (einer Menge von </w:t>
      </w:r>
      <w:r w:rsidR="00765E66">
        <w:t>Merkmalsregel</w:t>
      </w:r>
      <w:r>
        <w:t>n) und e</w:t>
      </w:r>
      <w:r>
        <w:t>i</w:t>
      </w:r>
      <w:r>
        <w:t xml:space="preserve">nem Konkretum (einer sinnlich wahrnehmbaren Realisierung) ist damit nicht erfasst. </w:t>
      </w:r>
      <w:r w:rsidR="0098781D">
        <w:t>Außerdem unterscheidet d</w:t>
      </w:r>
      <w:r>
        <w:t xml:space="preserve">ie Besonderheit, dass der Zeichenträger nicht </w:t>
      </w:r>
      <w:r w:rsidR="0098781D">
        <w:t xml:space="preserve">aus der Realisierung allein entnommen </w:t>
      </w:r>
      <w:r>
        <w:t xml:space="preserve">werden kann, sondern </w:t>
      </w:r>
      <w:r w:rsidR="0098781D">
        <w:t xml:space="preserve">dass dazu erst die </w:t>
      </w:r>
      <w:r w:rsidR="00721558">
        <w:t>Alter</w:t>
      </w:r>
      <w:r w:rsidR="00721558">
        <w:softHyphen/>
        <w:t>nativen</w:t>
      </w:r>
      <w:r w:rsidR="00721558">
        <w:softHyphen/>
        <w:t>klasse</w:t>
      </w:r>
      <w:r w:rsidR="0098781D">
        <w:t xml:space="preserve">n rekonstruiert werden müssen (vgl. Abschnitt </w:t>
      </w:r>
      <w:r w:rsidR="005D7996">
        <w:fldChar w:fldCharType="begin"/>
      </w:r>
      <w:r w:rsidR="0004162E">
        <w:instrText xml:space="preserve"> REF _Ref263268288 \r \h </w:instrText>
      </w:r>
      <w:r w:rsidR="005D7996">
        <w:fldChar w:fldCharType="separate"/>
      </w:r>
      <w:r w:rsidR="001231D3">
        <w:t>5.1</w:t>
      </w:r>
      <w:r w:rsidR="005D7996">
        <w:fldChar w:fldCharType="end"/>
      </w:r>
      <w:r w:rsidR="0004162E">
        <w:t>)</w:t>
      </w:r>
      <w:r>
        <w:t xml:space="preserve">, den </w:t>
      </w:r>
      <w:r w:rsidR="00FA103D">
        <w:t xml:space="preserve">Merkmalsprozess </w:t>
      </w:r>
      <w:r>
        <w:t>ebenfalls von anderen indexikalischen Zeichen</w:t>
      </w:r>
      <w:r w:rsidR="0098781D">
        <w:t>prozessen</w:t>
      </w:r>
      <w:r>
        <w:t>.</w:t>
      </w:r>
    </w:p>
    <w:p w:rsidR="00DD715C" w:rsidRDefault="00DD715C">
      <w:pPr>
        <w:pStyle w:val="Text"/>
      </w:pPr>
      <w:r>
        <w:t xml:space="preserve">Der Interpretationsprozess fällt zudem nicht unter diese Einordnung; dort werden eine Reihe unterschiedlicher Operationen angewandt, um Ergebnisse zu erzeugen. </w:t>
      </w:r>
      <w:r w:rsidR="0098781D">
        <w:t>Grundsätzlich können alle diese Prozesse ebenfalls als Zeichenproze</w:t>
      </w:r>
      <w:r w:rsidR="0098781D">
        <w:t>s</w:t>
      </w:r>
      <w:r w:rsidR="0098781D">
        <w:t>se aufgefasst werden, wodurch der Interpretationsprozess als komplexer Ze</w:t>
      </w:r>
      <w:r w:rsidR="0098781D">
        <w:t>i</w:t>
      </w:r>
      <w:r w:rsidR="0098781D">
        <w:t xml:space="preserve">chenprozess beschrieben </w:t>
      </w:r>
      <w:r w:rsidR="007D059B">
        <w:t>wird</w:t>
      </w:r>
      <w:r w:rsidR="0098781D">
        <w:t>, der aus einer Menge von miteinander interagi</w:t>
      </w:r>
      <w:r w:rsidR="0098781D">
        <w:t>e</w:t>
      </w:r>
      <w:r w:rsidR="0098781D">
        <w:t>renden und aufeinander aufbauenden Zeichenprozessen besteht. In dieser Arbeit wird jedoch auf diese Beschreibung verzichtet, einerseits um die Verwechslung</w:t>
      </w:r>
      <w:r w:rsidR="0098781D">
        <w:t>s</w:t>
      </w:r>
      <w:r w:rsidR="0098781D">
        <w:t>gefahr mit dem Merkmalsprozess und dem in ihm definierten „stilistischen Ze</w:t>
      </w:r>
      <w:r w:rsidR="0098781D">
        <w:t>i</w:t>
      </w:r>
      <w:r w:rsidR="0098781D">
        <w:t>chen“ (</w:t>
      </w:r>
      <w:r w:rsidR="005D7996">
        <w:fldChar w:fldCharType="begin"/>
      </w:r>
      <w:r w:rsidR="0098781D">
        <w:instrText xml:space="preserve"> REF _Ref273517132 \r \h </w:instrText>
      </w:r>
      <w:r w:rsidR="005D7996">
        <w:fldChar w:fldCharType="separate"/>
      </w:r>
      <w:r w:rsidR="001231D3">
        <w:t>2.16</w:t>
      </w:r>
      <w:r w:rsidR="005D7996">
        <w:fldChar w:fldCharType="end"/>
      </w:r>
      <w:r w:rsidR="0098781D">
        <w:t xml:space="preserve">) zu vermeiden, andererseits da </w:t>
      </w:r>
      <w:r w:rsidR="00B67924">
        <w:t xml:space="preserve">man der </w:t>
      </w:r>
      <w:r w:rsidR="0098781D">
        <w:t xml:space="preserve">Unterschiedlichkeit der Operationen </w:t>
      </w:r>
      <w:r w:rsidR="00B67924">
        <w:t xml:space="preserve">damit auch nicht gerecht wird und eine präzise Beschreibung </w:t>
      </w:r>
      <w:r w:rsidR="009667D7">
        <w:t>der Vorgänge besser ist.</w:t>
      </w:r>
    </w:p>
    <w:p w:rsidR="000D538E" w:rsidRDefault="00B67924" w:rsidP="00B57D01">
      <w:pPr>
        <w:pStyle w:val="Text"/>
      </w:pPr>
      <w:r>
        <w:t>Das „s</w:t>
      </w:r>
      <w:r w:rsidR="00D2554C">
        <w:t>tilistische Zeichen</w:t>
      </w:r>
      <w:r w:rsidR="005D7996">
        <w:fldChar w:fldCharType="begin"/>
      </w:r>
      <w:r w:rsidR="004106D2">
        <w:instrText xml:space="preserve"> XE "</w:instrText>
      </w:r>
      <w:r w:rsidR="004106D2" w:rsidRPr="00A637EA">
        <w:instrText>stilistisches Zeichen</w:instrText>
      </w:r>
      <w:r w:rsidR="004106D2">
        <w:instrText xml:space="preserve">" </w:instrText>
      </w:r>
      <w:r w:rsidR="005D7996">
        <w:fldChar w:fldCharType="end"/>
      </w:r>
      <w:r>
        <w:t xml:space="preserve">“ des </w:t>
      </w:r>
      <w:r w:rsidR="00FA103D">
        <w:t>Merkmalsprozess</w:t>
      </w:r>
      <w:r>
        <w:t>es</w:t>
      </w:r>
      <w:r w:rsidR="00D2554C">
        <w:t xml:space="preserve"> </w:t>
      </w:r>
      <w:r>
        <w:t xml:space="preserve">ist also ein </w:t>
      </w:r>
      <w:r w:rsidR="00932410">
        <w:t>Anzeichen (Index)</w:t>
      </w:r>
      <w:r w:rsidR="000D538E">
        <w:t>; im Interpretationsprozess können verschiedene Zeichentypen erzeugt werden</w:t>
      </w:r>
      <w:r>
        <w:t>.</w:t>
      </w:r>
      <w:r w:rsidR="00D2554C">
        <w:t xml:space="preserve"> Wichtiger für </w:t>
      </w:r>
      <w:r w:rsidR="000D538E">
        <w:t xml:space="preserve">das </w:t>
      </w:r>
      <w:r w:rsidR="00D2554C">
        <w:t xml:space="preserve">Verständnis </w:t>
      </w:r>
      <w:r w:rsidR="000D538E">
        <w:t xml:space="preserve">des Phänomens Stil (im Sinne der </w:t>
      </w:r>
      <w:r w:rsidR="001E11D5">
        <w:t>Defin</w:t>
      </w:r>
      <w:r w:rsidR="001E11D5">
        <w:t>i</w:t>
      </w:r>
      <w:r w:rsidR="001E11D5">
        <w:t xml:space="preserve">tion </w:t>
      </w:r>
      <w:r w:rsidR="00DD7D9B">
        <w:t xml:space="preserve">aus </w:t>
      </w:r>
      <w:r w:rsidR="000D538E">
        <w:t xml:space="preserve">Abschnitt </w:t>
      </w:r>
      <w:r w:rsidR="005D7996">
        <w:fldChar w:fldCharType="begin"/>
      </w:r>
      <w:r w:rsidR="000D538E">
        <w:instrText xml:space="preserve"> REF _Ref273517132 \r \h </w:instrText>
      </w:r>
      <w:r w:rsidR="005D7996">
        <w:fldChar w:fldCharType="separate"/>
      </w:r>
      <w:r w:rsidR="001231D3">
        <w:t>2.16</w:t>
      </w:r>
      <w:r w:rsidR="005D7996">
        <w:fldChar w:fldCharType="end"/>
      </w:r>
      <w:r w:rsidR="000D538E">
        <w:t xml:space="preserve"> ist dies Stil</w:t>
      </w:r>
      <w:r w:rsidR="000D538E" w:rsidRPr="000D538E">
        <w:rPr>
          <w:vertAlign w:val="subscript"/>
        </w:rPr>
        <w:t>a</w:t>
      </w:r>
      <w:r w:rsidR="000D538E">
        <w:t xml:space="preserve">) ist jedoch, </w:t>
      </w:r>
      <w:r w:rsidR="00D2554C">
        <w:t xml:space="preserve">was </w:t>
      </w:r>
      <w:r w:rsidR="000D538E">
        <w:t xml:space="preserve">Stil als </w:t>
      </w:r>
      <w:r w:rsidR="000D538E" w:rsidRPr="000D538E">
        <w:rPr>
          <w:i/>
        </w:rPr>
        <w:t>Zeichenprozesstyp</w:t>
      </w:r>
      <w:r w:rsidR="000D538E">
        <w:t xml:space="preserve"> von </w:t>
      </w:r>
      <w:r w:rsidR="00D2554C">
        <w:t>anderen Zeichen</w:t>
      </w:r>
      <w:r w:rsidR="000D538E">
        <w:t>prozes</w:t>
      </w:r>
      <w:r w:rsidR="00DD7D9B">
        <w:t>stypen</w:t>
      </w:r>
      <w:r w:rsidR="00D2554C">
        <w:t xml:space="preserve"> unterscheidet: </w:t>
      </w:r>
      <w:r w:rsidR="000D538E">
        <w:t xml:space="preserve">Diese Besonderheiten basieren insbesondere darauf, dass der </w:t>
      </w:r>
      <w:r w:rsidR="00B05837">
        <w:t>Zeicheni</w:t>
      </w:r>
      <w:r w:rsidR="000D538E">
        <w:t>nhalt des stilistischen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rsidR="000D538E">
        <w:t xml:space="preserve"> eine R</w:t>
      </w:r>
      <w:r w:rsidR="000D538E">
        <w:t>e</w:t>
      </w:r>
      <w:r w:rsidR="000D538E">
        <w:t xml:space="preserve">gelmenge ist, die durch Anwendung auf eine Realisierung in diese eingeschrieben und aus den dabei erzeugten Regelanwendungsspuren wieder ausgelesen werden kann (vgl. </w:t>
      </w:r>
      <w:r w:rsidR="005D7996">
        <w:fldChar w:fldCharType="begin"/>
      </w:r>
      <w:r w:rsidR="000D538E">
        <w:instrText xml:space="preserve"> REF _Ref272607625 \r \h </w:instrText>
      </w:r>
      <w:r w:rsidR="005D7996">
        <w:fldChar w:fldCharType="separate"/>
      </w:r>
      <w:r w:rsidR="001231D3">
        <w:t>2.13</w:t>
      </w:r>
      <w:r w:rsidR="005D7996">
        <w:fldChar w:fldCharType="end"/>
      </w:r>
      <w:r w:rsidR="000D538E">
        <w:t xml:space="preserve"> und </w:t>
      </w:r>
      <w:r w:rsidR="005D7996">
        <w:fldChar w:fldCharType="begin"/>
      </w:r>
      <w:r w:rsidR="000D538E">
        <w:instrText xml:space="preserve"> REF _Ref273517132 \r \h </w:instrText>
      </w:r>
      <w:r w:rsidR="005D7996">
        <w:fldChar w:fldCharType="separate"/>
      </w:r>
      <w:r w:rsidR="001231D3">
        <w:t>2.16</w:t>
      </w:r>
      <w:r w:rsidR="005D7996">
        <w:fldChar w:fldCharType="end"/>
      </w:r>
      <w:r w:rsidR="000D538E">
        <w:t xml:space="preserve">). Aber auch die Besonderheit der Interaktion des </w:t>
      </w:r>
      <w:r w:rsidR="000D538E">
        <w:lastRenderedPageBreak/>
        <w:t xml:space="preserve">Merkmalsprozesses und des Interpretationsprozesses (vgl. </w:t>
      </w:r>
      <w:r w:rsidR="005D7996">
        <w:fldChar w:fldCharType="begin"/>
      </w:r>
      <w:r w:rsidR="000D538E">
        <w:instrText xml:space="preserve"> REF _Ref273651359 \r \h </w:instrText>
      </w:r>
      <w:r w:rsidR="005D7996">
        <w:fldChar w:fldCharType="separate"/>
      </w:r>
      <w:r w:rsidR="001231D3">
        <w:t>2.14</w:t>
      </w:r>
      <w:r w:rsidR="005D7996">
        <w:fldChar w:fldCharType="end"/>
      </w:r>
      <w:r w:rsidR="000D538E">
        <w:t>) ist ein wichtiges Kennzeichen des Phänomens Stil.</w:t>
      </w:r>
    </w:p>
    <w:p w:rsidR="00D8796C" w:rsidRDefault="00D2554C" w:rsidP="00B57D01">
      <w:pPr>
        <w:pStyle w:val="Text"/>
        <w:sectPr w:rsidR="00D8796C" w:rsidSect="00AE48E3">
          <w:type w:val="continuous"/>
          <w:pgSz w:w="8789" w:h="13325" w:code="9"/>
          <w:pgMar w:top="1134" w:right="851" w:bottom="1418" w:left="1134" w:header="567" w:footer="680" w:gutter="0"/>
          <w:cols w:space="720"/>
          <w:titlePg/>
          <w:docGrid w:linePitch="360"/>
        </w:sectPr>
      </w:pPr>
      <w:r>
        <w:t xml:space="preserve">Vermutlich hat Stil aufgrund </w:t>
      </w:r>
      <w:r w:rsidR="00016C49">
        <w:t xml:space="preserve">dieser Eigenarten </w:t>
      </w:r>
      <w:r w:rsidR="00A220D9">
        <w:t>jenen kennzeichnenden</w:t>
      </w:r>
      <w:r>
        <w:t xml:space="preserve"> ‚flavour‘, </w:t>
      </w:r>
      <w:r w:rsidR="00A220D9">
        <w:t xml:space="preserve">aufgrund dessen </w:t>
      </w:r>
      <w:r>
        <w:t xml:space="preserve">wir </w:t>
      </w:r>
      <w:r w:rsidR="00A220D9">
        <w:t xml:space="preserve">alltagssprachlich </w:t>
      </w:r>
      <w:r>
        <w:t xml:space="preserve">ohne Mühe </w:t>
      </w:r>
      <w:r w:rsidR="00A220D9">
        <w:t xml:space="preserve">und offenbar ohne Rückgriff auf Definitionen </w:t>
      </w:r>
      <w:r>
        <w:t xml:space="preserve">in unterschiedlichsten Bereichen von </w:t>
      </w:r>
      <w:r w:rsidR="00A220D9">
        <w:t>„</w:t>
      </w:r>
      <w:r>
        <w:t>Stil</w:t>
      </w:r>
      <w:r w:rsidR="00A220D9">
        <w:t>“</w:t>
      </w:r>
      <w:r>
        <w:t xml:space="preserve"> sprechen, wobei wir über die Grenzen verschiedener Gegenstandsbereiche – die in der </w:t>
      </w:r>
      <w:r w:rsidR="00D62F5A">
        <w:t>ak</w:t>
      </w:r>
      <w:r w:rsidR="00D62F5A">
        <w:t>a</w:t>
      </w:r>
      <w:r w:rsidR="00D62F5A">
        <w:t xml:space="preserve">demischen </w:t>
      </w:r>
      <w:r w:rsidR="00A220D9">
        <w:t xml:space="preserve">und wissenschaftlichen </w:t>
      </w:r>
      <w:r w:rsidR="00D62F5A">
        <w:t xml:space="preserve">Welt </w:t>
      </w:r>
      <w:r w:rsidR="004C3B95">
        <w:t xml:space="preserve">so wichtig erscheinen </w:t>
      </w:r>
      <w:r>
        <w:t>–</w:t>
      </w:r>
      <w:r w:rsidR="00A220D9">
        <w:t xml:space="preserve"> </w:t>
      </w:r>
      <w:r>
        <w:t>die Gemeinsa</w:t>
      </w:r>
      <w:r>
        <w:t>m</w:t>
      </w:r>
      <w:r>
        <w:t xml:space="preserve">keiten </w:t>
      </w:r>
      <w:r w:rsidR="00A220D9">
        <w:t>der damit bezeichneten P</w:t>
      </w:r>
      <w:r>
        <w:t>hänomen</w:t>
      </w:r>
      <w:r w:rsidR="00A220D9">
        <w:t>e</w:t>
      </w:r>
      <w:r>
        <w:t xml:space="preserve"> zu sehen vermögen.</w:t>
      </w:r>
      <w:bookmarkEnd w:id="224"/>
      <w:bookmarkEnd w:id="278"/>
    </w:p>
    <w:p w:rsidR="00A80A76" w:rsidRDefault="002111DA" w:rsidP="005D2F76">
      <w:pPr>
        <w:pStyle w:val="Titel"/>
      </w:pPr>
      <w:bookmarkStart w:id="279" w:name="_Toc325456755"/>
      <w:r>
        <w:lastRenderedPageBreak/>
        <w:t>Interpretation</w:t>
      </w:r>
      <w:r w:rsidR="00960D81">
        <w:t>sschritte</w:t>
      </w:r>
      <w:bookmarkEnd w:id="279"/>
    </w:p>
    <w:p w:rsidR="005D2F76" w:rsidRDefault="005D2F76" w:rsidP="005D2F76">
      <w:pPr>
        <w:pStyle w:val="Titel2"/>
      </w:pPr>
      <w:bookmarkStart w:id="280" w:name="_Ref254352326"/>
      <w:bookmarkStart w:id="281" w:name="_Toc325456756"/>
      <w:r>
        <w:t>Allgemeines</w:t>
      </w:r>
      <w:bookmarkEnd w:id="280"/>
      <w:bookmarkEnd w:id="281"/>
    </w:p>
    <w:p w:rsidR="0009450A" w:rsidRDefault="0009450A" w:rsidP="00226A91">
      <w:pPr>
        <w:pStyle w:val="Titel3"/>
        <w:spacing w:before="240"/>
      </w:pPr>
      <w:bookmarkStart w:id="282" w:name="_Ref272757240"/>
      <w:bookmarkStart w:id="283" w:name="_Toc325456757"/>
      <w:r>
        <w:t>Was wird untersucht?</w:t>
      </w:r>
      <w:bookmarkEnd w:id="282"/>
      <w:bookmarkEnd w:id="283"/>
    </w:p>
    <w:p w:rsidR="0039678B" w:rsidRDefault="00BE695D" w:rsidP="00D0579C">
      <w:pPr>
        <w:pStyle w:val="Text"/>
        <w:ind w:firstLine="0"/>
      </w:pPr>
      <w:r>
        <w:t>Das</w:t>
      </w:r>
      <w:r w:rsidR="00D62F5A">
        <w:t xml:space="preserve"> </w:t>
      </w:r>
      <w:r>
        <w:t xml:space="preserve">Wahrnehmen </w:t>
      </w:r>
      <w:r w:rsidR="00D62F5A">
        <w:t xml:space="preserve">eines Stils besteht aus zwei aufeinander aufbauenden </w:t>
      </w:r>
      <w:r w:rsidR="007D2D55">
        <w:t>Proze</w:t>
      </w:r>
      <w:r w:rsidR="007D2D55">
        <w:t>s</w:t>
      </w:r>
      <w:r w:rsidR="007D2D55">
        <w:t>sen</w:t>
      </w:r>
      <w:r w:rsidR="00D62F5A">
        <w:t>: Dem Merkmalsprozess und dem Interpretationsprozess</w:t>
      </w:r>
      <w:r w:rsidR="004C3B95">
        <w:t xml:space="preserve">. </w:t>
      </w:r>
      <w:r w:rsidR="0039678B">
        <w:t xml:space="preserve">In Kapitel 4 und 5 </w:t>
      </w:r>
      <w:r w:rsidR="00702E8C">
        <w:t xml:space="preserve">wurde der Merkmalsprozess untersucht. Wir haben stilistische </w:t>
      </w:r>
      <w:r w:rsidR="0039678B">
        <w:t xml:space="preserve">Merkmale </w:t>
      </w:r>
      <w:r w:rsidR="00BA7314">
        <w:t xml:space="preserve">als Ergebnis von </w:t>
      </w:r>
      <w:r w:rsidR="0039678B">
        <w:t xml:space="preserve">Merkmalsregeln definiert, die die Auswahl von Elementen aus </w:t>
      </w:r>
      <w:r w:rsidR="00721558">
        <w:t>Alter</w:t>
      </w:r>
      <w:r w:rsidR="00721558">
        <w:softHyphen/>
        <w:t>nativen</w:t>
      </w:r>
      <w:r w:rsidR="00721558">
        <w:softHyphen/>
        <w:t>klasse</w:t>
      </w:r>
      <w:r w:rsidR="0039678B">
        <w:t xml:space="preserve">n festlegen, durch ihre Anwendung vom </w:t>
      </w:r>
      <w:r w:rsidR="00C75387">
        <w:t>Stilanwender</w:t>
      </w:r>
      <w:r w:rsidR="0039678B">
        <w:t xml:space="preserve"> in Re</w:t>
      </w:r>
      <w:r w:rsidR="0039678B">
        <w:t>a</w:t>
      </w:r>
      <w:r w:rsidR="0039678B">
        <w:t xml:space="preserve">lisierungen eingeschrieben und mit Hilfe der dadurch entstehenden </w:t>
      </w:r>
      <w:r w:rsidR="00C56022">
        <w:t>Spuren</w:t>
      </w:r>
      <w:r w:rsidR="0039678B">
        <w:t xml:space="preserve"> vom </w:t>
      </w:r>
      <w:r w:rsidR="00C75387">
        <w:t>Stilwahrnehmer</w:t>
      </w:r>
      <w:r w:rsidR="0039678B">
        <w:t xml:space="preserve"> ausgelesen werden.</w:t>
      </w:r>
    </w:p>
    <w:p w:rsidR="00D62F5A" w:rsidRDefault="003D301A" w:rsidP="00A80A76">
      <w:pPr>
        <w:pStyle w:val="Text"/>
      </w:pPr>
      <w:r>
        <w:t>I</w:t>
      </w:r>
      <w:r w:rsidR="004C3B95">
        <w:t xml:space="preserve">n Kapitel </w:t>
      </w:r>
      <w:r w:rsidR="006235DE">
        <w:t xml:space="preserve">6 und 7 </w:t>
      </w:r>
      <w:r w:rsidR="004C3B95">
        <w:t xml:space="preserve">soll </w:t>
      </w:r>
      <w:r w:rsidR="006235DE">
        <w:t xml:space="preserve">nun </w:t>
      </w:r>
      <w:r w:rsidR="004C3B95">
        <w:t>der Interpretationsprozess da</w:t>
      </w:r>
      <w:r>
        <w:t>rgestellt werden, der auf dem Merkmalsprozess aufbaut.</w:t>
      </w:r>
    </w:p>
    <w:p w:rsidR="00AC0B30" w:rsidRDefault="00E86400" w:rsidP="00A80A76">
      <w:pPr>
        <w:pStyle w:val="Text"/>
      </w:pPr>
      <w:r>
        <w:t>D</w:t>
      </w:r>
      <w:r w:rsidR="00BE695D">
        <w:t>as</w:t>
      </w:r>
      <w:r>
        <w:t xml:space="preserve"> </w:t>
      </w:r>
      <w:r w:rsidR="00BE695D">
        <w:t>Wahrnehmen</w:t>
      </w:r>
      <w:r>
        <w:t xml:space="preserve"> eines Stils kann sich auf das bloße Auslesen </w:t>
      </w:r>
      <w:r w:rsidR="00A80A76">
        <w:t xml:space="preserve">von </w:t>
      </w:r>
      <w:r w:rsidR="00765E66">
        <w:t>Mer</w:t>
      </w:r>
      <w:r w:rsidR="00765E66">
        <w:t>k</w:t>
      </w:r>
      <w:r w:rsidR="00765E66">
        <w:t xml:space="preserve">malsregeln </w:t>
      </w:r>
      <w:r>
        <w:t xml:space="preserve">beschränken. </w:t>
      </w:r>
      <w:r w:rsidR="00A80A76">
        <w:t xml:space="preserve">In diesem Fall </w:t>
      </w:r>
      <w:r>
        <w:t xml:space="preserve">werden </w:t>
      </w:r>
      <w:r w:rsidR="00A80A76">
        <w:t xml:space="preserve">keine </w:t>
      </w:r>
      <w:r>
        <w:t>weiteren Informationen aus den Merkmalsregeln gewonnen</w:t>
      </w:r>
      <w:r w:rsidR="00A80A76">
        <w:t xml:space="preserve">, </w:t>
      </w:r>
      <w:r>
        <w:t xml:space="preserve">und </w:t>
      </w:r>
      <w:r w:rsidR="00A80A76">
        <w:t xml:space="preserve">die </w:t>
      </w:r>
      <w:r>
        <w:t xml:space="preserve">Angabe der </w:t>
      </w:r>
      <w:r w:rsidR="00765E66">
        <w:t>Merkmalsregel</w:t>
      </w:r>
      <w:r w:rsidR="00A80A76">
        <w:t xml:space="preserve">n bleibt die endgültige </w:t>
      </w:r>
      <w:r w:rsidR="00706E8D">
        <w:t xml:space="preserve">Beschreibung </w:t>
      </w:r>
      <w:r w:rsidR="00A80A76">
        <w:t>des Stils.</w:t>
      </w:r>
    </w:p>
    <w:p w:rsidR="00A80A76" w:rsidRDefault="00AC0B30" w:rsidP="00A80A76">
      <w:pPr>
        <w:pStyle w:val="Text"/>
      </w:pPr>
      <w:r>
        <w:t>Beispielsweise kann ein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t xml:space="preserve"> nur aus der Angabe bestehen, dass </w:t>
      </w:r>
      <w:r w:rsidR="0028511B">
        <w:t>‚</w:t>
      </w:r>
      <w:r>
        <w:t>Übe</w:t>
      </w:r>
      <w:r>
        <w:t>r</w:t>
      </w:r>
      <w:r>
        <w:t>holen</w:t>
      </w:r>
      <w:r w:rsidR="0028511B">
        <w:t>‘</w:t>
      </w:r>
      <w:r>
        <w:t xml:space="preserve"> </w:t>
      </w:r>
      <w:r w:rsidR="0028511B">
        <w:t>‚</w:t>
      </w:r>
      <w:r w:rsidR="00BC3887">
        <w:t>konzentriert</w:t>
      </w:r>
      <w:r w:rsidR="0028511B">
        <w:t>‘</w:t>
      </w:r>
      <w:r w:rsidR="00BC3887">
        <w:t xml:space="preserve"> </w:t>
      </w:r>
      <w:r w:rsidR="009367A1">
        <w:t xml:space="preserve">und dass </w:t>
      </w:r>
      <w:r w:rsidR="0028511B">
        <w:t>‚</w:t>
      </w:r>
      <w:r>
        <w:t>Einparken</w:t>
      </w:r>
      <w:r w:rsidR="0028511B">
        <w:t>‘</w:t>
      </w:r>
      <w:r>
        <w:t xml:space="preserve"> </w:t>
      </w:r>
      <w:r w:rsidR="0028511B">
        <w:t>‚</w:t>
      </w:r>
      <w:r w:rsidR="009367A1">
        <w:t>unkonzentriert</w:t>
      </w:r>
      <w:r w:rsidR="0028511B">
        <w:t>‘</w:t>
      </w:r>
      <w:r w:rsidR="002A3011">
        <w:t xml:space="preserve"> </w:t>
      </w:r>
      <w:r>
        <w:t>ausgeführt wird.</w:t>
      </w:r>
    </w:p>
    <w:p w:rsidR="000B287B" w:rsidRDefault="0065480F" w:rsidP="00A80A76">
      <w:pPr>
        <w:pStyle w:val="Text"/>
      </w:pPr>
      <w:r>
        <w:t xml:space="preserve">Meistens aber </w:t>
      </w:r>
      <w:r w:rsidR="00056361">
        <w:t xml:space="preserve">bleibt der </w:t>
      </w:r>
      <w:r w:rsidR="00BE695D">
        <w:t>Wahrnehmungs</w:t>
      </w:r>
      <w:r w:rsidR="00056361">
        <w:t xml:space="preserve">prozess eines Stils, der durch </w:t>
      </w:r>
      <w:r w:rsidR="00663B18">
        <w:t xml:space="preserve">die </w:t>
      </w:r>
      <w:r w:rsidR="00056361">
        <w:t xml:space="preserve">Wahrnehmung einer Realisierung ausgelöst wird, nicht an diesem Punkt stehen: Nach dem Merkmalsprozess läuft auf der Grundlage der darin gewonnenen Menge von Merkmalsregeln </w:t>
      </w:r>
      <w:r w:rsidRPr="0065480F">
        <w:rPr>
          <w:i/>
        </w:rPr>
        <w:t>B</w:t>
      </w:r>
      <w:r>
        <w:t xml:space="preserve"> </w:t>
      </w:r>
      <w:r w:rsidR="00056361">
        <w:t xml:space="preserve">ein Prozess ab, </w:t>
      </w:r>
      <w:r>
        <w:t xml:space="preserve">der als </w:t>
      </w:r>
      <w:r w:rsidRPr="00DD0752">
        <w:rPr>
          <w:i/>
        </w:rPr>
        <w:t>Interpretation</w:t>
      </w:r>
      <w:r>
        <w:t xml:space="preserve"> bezeichnet werden soll. Im Interpretationsprozess wird aus </w:t>
      </w:r>
      <w:r w:rsidRPr="0065480F">
        <w:rPr>
          <w:i/>
        </w:rPr>
        <w:t>B</w:t>
      </w:r>
      <w:r>
        <w:t xml:space="preserve"> eine Menge </w:t>
      </w:r>
      <w:r w:rsidR="000B287B">
        <w:rPr>
          <w:i/>
        </w:rPr>
        <w:t>I</w:t>
      </w:r>
      <w:r w:rsidR="000B287B">
        <w:t xml:space="preserve"> </w:t>
      </w:r>
      <w:r>
        <w:t xml:space="preserve">von </w:t>
      </w:r>
      <w:r w:rsidRPr="0065480F">
        <w:t>Interpret</w:t>
      </w:r>
      <w:r w:rsidRPr="0065480F">
        <w:t>a</w:t>
      </w:r>
      <w:r w:rsidRPr="0065480F">
        <w:t xml:space="preserve">tionsergebnissen </w:t>
      </w:r>
      <w:r>
        <w:t xml:space="preserve">oder kurz </w:t>
      </w:r>
      <w:r w:rsidRPr="00DD0752">
        <w:rPr>
          <w:i/>
        </w:rPr>
        <w:t>Ergebnissen</w:t>
      </w:r>
      <w:r>
        <w:t xml:space="preserve"> erzeugt, die verschiedenen Sorten ang</w:t>
      </w:r>
      <w:r>
        <w:t>e</w:t>
      </w:r>
      <w:r>
        <w:t>hören können. Wir beschränken uns hier auf die Sorten Proposition</w:t>
      </w:r>
      <w:r w:rsidR="006C6B80">
        <w:t>sannahme</w:t>
      </w:r>
      <w:r>
        <w:t xml:space="preserve">, Gefühl und Eindruck (vgl. Abschnitt </w:t>
      </w:r>
      <w:r w:rsidR="005D7996">
        <w:fldChar w:fldCharType="begin"/>
      </w:r>
      <w:r>
        <w:instrText xml:space="preserve"> REF _Ref253668018 \r \h </w:instrText>
      </w:r>
      <w:r w:rsidR="005D7996">
        <w:fldChar w:fldCharType="separate"/>
      </w:r>
      <w:r w:rsidR="001231D3">
        <w:t>6.2.2</w:t>
      </w:r>
      <w:r w:rsidR="005D7996">
        <w:fldChar w:fldCharType="end"/>
      </w:r>
      <w:r>
        <w:t>)</w:t>
      </w:r>
      <w:r w:rsidR="000B287B">
        <w:t>.</w:t>
      </w:r>
    </w:p>
    <w:p w:rsidR="00AC0B30" w:rsidRDefault="00AC0B30" w:rsidP="00A80A76">
      <w:pPr>
        <w:pStyle w:val="Text"/>
      </w:pPr>
      <w:r>
        <w:t xml:space="preserve">Beispielsweise </w:t>
      </w:r>
      <w:r w:rsidR="009367A1">
        <w:t xml:space="preserve">werden </w:t>
      </w:r>
      <w:r>
        <w:t xml:space="preserve">nun aus den </w:t>
      </w:r>
      <w:r w:rsidR="009367A1">
        <w:t xml:space="preserve">genannten Merkmalsregeln des Fahrstils Rückschlüsse über Fahrkönnen und Persönlichkeit </w:t>
      </w:r>
      <w:r w:rsidR="00690317">
        <w:t xml:space="preserve">des </w:t>
      </w:r>
      <w:r w:rsidR="006C1B4A">
        <w:t xml:space="preserve">Stilanwenders </w:t>
      </w:r>
      <w:r w:rsidR="00690317">
        <w:t>(S</w:t>
      </w:r>
      <w:r w:rsidR="0085753F">
        <w:t>N</w:t>
      </w:r>
      <w:r w:rsidR="00690317">
        <w:t>)</w:t>
      </w:r>
      <w:r w:rsidR="00B92473">
        <w:rPr>
          <w:rStyle w:val="Funotenzeichen"/>
        </w:rPr>
        <w:footnoteReference w:id="400"/>
      </w:r>
      <w:r w:rsidR="00690317">
        <w:t xml:space="preserve"> gezogen, etwa</w:t>
      </w:r>
      <w:r w:rsidR="009367A1">
        <w:t xml:space="preserve"> </w:t>
      </w:r>
      <w:r w:rsidR="0028511B">
        <w:t>‚</w:t>
      </w:r>
      <w:r w:rsidR="009367A1">
        <w:t>Der S</w:t>
      </w:r>
      <w:r w:rsidR="0085753F">
        <w:t>N</w:t>
      </w:r>
      <w:r w:rsidR="009367A1">
        <w:t xml:space="preserve"> neigt manchmal zu Unkonzentriertheit</w:t>
      </w:r>
      <w:r w:rsidR="0028511B">
        <w:t>‘</w:t>
      </w:r>
      <w:r w:rsidR="009367A1">
        <w:t xml:space="preserve"> und </w:t>
      </w:r>
      <w:r w:rsidR="0028511B">
        <w:t>‚</w:t>
      </w:r>
      <w:r w:rsidR="009367A1">
        <w:t xml:space="preserve">Der </w:t>
      </w:r>
      <w:r w:rsidR="0085753F">
        <w:t>SN</w:t>
      </w:r>
      <w:r w:rsidR="009367A1">
        <w:t xml:space="preserve"> konzentriert sich vermutlich in riskanten Situationen, während er sich in risik</w:t>
      </w:r>
      <w:r w:rsidR="009367A1">
        <w:t>o</w:t>
      </w:r>
      <w:r w:rsidR="009367A1">
        <w:t>losen Situationen nicht konzentriert</w:t>
      </w:r>
      <w:r w:rsidR="0028511B">
        <w:t>‘</w:t>
      </w:r>
      <w:r w:rsidR="009367A1">
        <w:t>.</w:t>
      </w:r>
    </w:p>
    <w:p w:rsidR="00E63432" w:rsidRDefault="004C0E94" w:rsidP="00A80A76">
      <w:pPr>
        <w:pStyle w:val="Text"/>
      </w:pPr>
      <w:r>
        <w:lastRenderedPageBreak/>
        <w:t>Ergebnisse der Interpretation können sich aus einer einzelnen Merkmalsr</w:t>
      </w:r>
      <w:r>
        <w:t>e</w:t>
      </w:r>
      <w:r>
        <w:t>gel oder aus mehreren ergeben, es können Hintergrundwissen und frühere E</w:t>
      </w:r>
      <w:r>
        <w:t>r</w:t>
      </w:r>
      <w:r>
        <w:t xml:space="preserve">gebnisse der Interpretation hinzugezogen werden (vgl. Abschnitt </w:t>
      </w:r>
      <w:r w:rsidR="005D7996">
        <w:fldChar w:fldCharType="begin"/>
      </w:r>
      <w:r>
        <w:instrText xml:space="preserve"> REF _Ref254339704 \r \h </w:instrText>
      </w:r>
      <w:r w:rsidR="005D7996">
        <w:fldChar w:fldCharType="separate"/>
      </w:r>
      <w:r w:rsidR="001231D3">
        <w:t>6.3</w:t>
      </w:r>
      <w:r w:rsidR="005D7996">
        <w:fldChar w:fldCharType="end"/>
      </w:r>
      <w:r>
        <w:t>). Aus di</w:t>
      </w:r>
      <w:r>
        <w:t>e</w:t>
      </w:r>
      <w:r>
        <w:t xml:space="preserve">sen Elementen </w:t>
      </w:r>
      <w:r w:rsidR="00E63432">
        <w:t xml:space="preserve">werden </w:t>
      </w:r>
      <w:r>
        <w:t>dann mit H</w:t>
      </w:r>
      <w:r w:rsidR="00E63432">
        <w:t>ilfe verschiedener Operationen ein oder me</w:t>
      </w:r>
      <w:r w:rsidR="00E63432">
        <w:t>h</w:t>
      </w:r>
      <w:r w:rsidR="00E63432">
        <w:t>rere Ergebnisse der Interpretation erzeugt. Wir nehmen als Operationen die logischen Schluss</w:t>
      </w:r>
      <w:r w:rsidR="002F5885">
        <w:t>verfahren</w:t>
      </w:r>
      <w:r w:rsidR="005D7996">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rsidR="005D7996">
        <w:fldChar w:fldCharType="end"/>
      </w:r>
      <w:r w:rsidR="00E63432">
        <w:t xml:space="preserve"> „</w:t>
      </w:r>
      <w:r>
        <w:t>Deduktion</w:t>
      </w:r>
      <w:r w:rsidR="00E63432">
        <w:t>“</w:t>
      </w:r>
      <w:r>
        <w:t xml:space="preserve">, </w:t>
      </w:r>
      <w:r w:rsidR="00E63432">
        <w:t>„</w:t>
      </w:r>
      <w:r>
        <w:t>Induktion</w:t>
      </w:r>
      <w:r w:rsidR="00E63432">
        <w:t>“</w:t>
      </w:r>
      <w:r>
        <w:t xml:space="preserve"> und </w:t>
      </w:r>
      <w:r w:rsidR="00E63432">
        <w:t>„</w:t>
      </w:r>
      <w:r>
        <w:t>Abduktion</w:t>
      </w:r>
      <w:r w:rsidR="00E74D2B">
        <w:t>“ an, außerdem „</w:t>
      </w:r>
      <w:r w:rsidR="001E5965">
        <w:t xml:space="preserve">Assoziation“, „Bedeutungssuche“, </w:t>
      </w:r>
      <w:r w:rsidR="00E63432">
        <w:t xml:space="preserve">„Gefühlsreaktion“ </w:t>
      </w:r>
      <w:r w:rsidR="00E74D2B">
        <w:t>und „Ei</w:t>
      </w:r>
      <w:r w:rsidR="00E74D2B">
        <w:t>n</w:t>
      </w:r>
      <w:r w:rsidR="00E74D2B">
        <w:t xml:space="preserve">drucksreaktion“ (vgl. Abschnitt </w:t>
      </w:r>
      <w:r w:rsidR="005D7996">
        <w:fldChar w:fldCharType="begin"/>
      </w:r>
      <w:r w:rsidR="00E74D2B">
        <w:instrText xml:space="preserve"> REF _Ref248036699 \r \h </w:instrText>
      </w:r>
      <w:r w:rsidR="005D7996">
        <w:fldChar w:fldCharType="separate"/>
      </w:r>
      <w:r w:rsidR="001231D3">
        <w:t>6.2.1</w:t>
      </w:r>
      <w:r w:rsidR="005D7996">
        <w:fldChar w:fldCharType="end"/>
      </w:r>
      <w:r w:rsidR="00E74D2B">
        <w:t>)</w:t>
      </w:r>
      <w:r w:rsidR="00E63432">
        <w:t>. Die Menge der Operationen ist grun</w:t>
      </w:r>
      <w:r w:rsidR="00E63432">
        <w:t>d</w:t>
      </w:r>
      <w:r w:rsidR="00E63432">
        <w:t>sätzlich als offen gedacht</w:t>
      </w:r>
      <w:r w:rsidR="005F647E">
        <w:t>.</w:t>
      </w:r>
    </w:p>
    <w:p w:rsidR="00051F33" w:rsidRDefault="00A80A76">
      <w:pPr>
        <w:pStyle w:val="Text"/>
      </w:pPr>
      <w:r>
        <w:t xml:space="preserve">Der Bereich </w:t>
      </w:r>
      <w:r w:rsidR="00051F33">
        <w:t>der Interpretationsergebnisse</w:t>
      </w:r>
      <w:r>
        <w:t xml:space="preserve">, die sich aus </w:t>
      </w:r>
      <w:r w:rsidR="00765E66">
        <w:t>Merkmalsregel</w:t>
      </w:r>
      <w:r>
        <w:t xml:space="preserve">n </w:t>
      </w:r>
      <w:r w:rsidR="00860819">
        <w:t>e</w:t>
      </w:r>
      <w:r w:rsidR="00860819">
        <w:t>r</w:t>
      </w:r>
      <w:r w:rsidR="00860819">
        <w:t>zeugen lassen</w:t>
      </w:r>
      <w:r>
        <w:t xml:space="preserve">, ist sehr groß und vielfältig. Tatsächlich ist </w:t>
      </w:r>
      <w:r w:rsidR="000F62EF">
        <w:t xml:space="preserve">es der </w:t>
      </w:r>
      <w:r>
        <w:t>Bereich, der in der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xml:space="preserve"> bislang </w:t>
      </w:r>
      <w:r w:rsidR="00ED2F01">
        <w:t>im Vordergrund stand</w:t>
      </w:r>
      <w:r w:rsidR="006C313B">
        <w:t>. Der Merkmalsprozess</w:t>
      </w:r>
      <w:r w:rsidR="00786381">
        <w:t xml:space="preserve"> </w:t>
      </w:r>
      <w:r>
        <w:t xml:space="preserve">hat in den meisten bisherigen Theorien wenig Entsprechung. Die </w:t>
      </w:r>
      <w:r w:rsidR="00852694">
        <w:t>Interpretationse</w:t>
      </w:r>
      <w:r w:rsidR="00852694">
        <w:t>r</w:t>
      </w:r>
      <w:r w:rsidR="00852694">
        <w:t>gebnisse</w:t>
      </w:r>
      <w:r>
        <w:t xml:space="preserve">, die </w:t>
      </w:r>
      <w:r w:rsidR="006C313B">
        <w:t>sich aus Stilen ergeben, sind das, was bei</w:t>
      </w:r>
      <w:r w:rsidR="004C2299">
        <w:t xml:space="preserve">m Wahrnehmen </w:t>
      </w:r>
      <w:r w:rsidR="006C313B">
        <w:t xml:space="preserve">von Stilen meist besonders interessiert, </w:t>
      </w:r>
      <w:r>
        <w:t>sie sind gewissermaßen der ‚Nutzwert‘</w:t>
      </w:r>
      <w:r w:rsidR="00DD36BC">
        <w:t>, den dieser Zeichenprozesstyp für uns in der Praxis hat</w:t>
      </w:r>
      <w:r>
        <w:t xml:space="preserve">. Daher verwundert es nicht, dass sie im alltäglichen Sprechen über Stil, aber auch in </w:t>
      </w:r>
      <w:r w:rsidR="006D6268">
        <w:t xml:space="preserve">der Forschung </w:t>
      </w:r>
      <w:r>
        <w:t>die meiste Au</w:t>
      </w:r>
      <w:r>
        <w:t>f</w:t>
      </w:r>
      <w:r>
        <w:t xml:space="preserve">merksamkeit </w:t>
      </w:r>
      <w:r w:rsidR="006D6268">
        <w:t xml:space="preserve">erhalten </w:t>
      </w:r>
      <w:r>
        <w:t>haben.</w:t>
      </w:r>
    </w:p>
    <w:p w:rsidR="005D2F76" w:rsidRDefault="000140B0" w:rsidP="0009450A">
      <w:pPr>
        <w:pStyle w:val="Titel3"/>
      </w:pPr>
      <w:bookmarkStart w:id="284" w:name="_Toc325456758"/>
      <w:r>
        <w:t>Übersicht über die Kapitel 6 und 7</w:t>
      </w:r>
      <w:bookmarkEnd w:id="284"/>
    </w:p>
    <w:p w:rsidR="00576C39" w:rsidRDefault="00F45257" w:rsidP="00F4161F">
      <w:pPr>
        <w:pStyle w:val="Text"/>
        <w:ind w:firstLine="0"/>
      </w:pPr>
      <w:r>
        <w:t>D</w:t>
      </w:r>
      <w:r w:rsidR="000140B0">
        <w:t>ie Darstellung des Interpretationsprozesses ist so umfangreich, dass wir sie auf zwei Kapitel verteilen</w:t>
      </w:r>
      <w:r w:rsidR="00FD2CEC">
        <w:t xml:space="preserve">. </w:t>
      </w:r>
      <w:r w:rsidR="000140B0">
        <w:t xml:space="preserve">Sie </w:t>
      </w:r>
      <w:r w:rsidR="00C748EC">
        <w:t xml:space="preserve">stellt die Stilinterpretation in der Theorie (Abschnitte </w:t>
      </w:r>
      <w:r w:rsidR="005D7996">
        <w:fldChar w:fldCharType="begin"/>
      </w:r>
      <w:r w:rsidR="00C748EC">
        <w:instrText xml:space="preserve"> REF _Ref254352326 \r \h </w:instrText>
      </w:r>
      <w:r w:rsidR="005D7996">
        <w:fldChar w:fldCharType="separate"/>
      </w:r>
      <w:r w:rsidR="001231D3">
        <w:t>6.1</w:t>
      </w:r>
      <w:r w:rsidR="005D7996">
        <w:fldChar w:fldCharType="end"/>
      </w:r>
      <w:r w:rsidR="00C748EC">
        <w:t xml:space="preserve"> und </w:t>
      </w:r>
      <w:r w:rsidR="005D7996">
        <w:fldChar w:fldCharType="begin"/>
      </w:r>
      <w:r w:rsidR="00C748EC">
        <w:instrText xml:space="preserve"> REF _Ref254352653 \r \h </w:instrText>
      </w:r>
      <w:r w:rsidR="005D7996">
        <w:fldChar w:fldCharType="separate"/>
      </w:r>
      <w:r w:rsidR="001231D3">
        <w:t>6.2</w:t>
      </w:r>
      <w:r w:rsidR="005D7996">
        <w:fldChar w:fldCharType="end"/>
      </w:r>
      <w:r w:rsidR="00C748EC">
        <w:t>), in Beispielen (</w:t>
      </w:r>
      <w:r w:rsidR="005D7996">
        <w:fldChar w:fldCharType="begin"/>
      </w:r>
      <w:r w:rsidR="00C748EC">
        <w:instrText xml:space="preserve"> REF _Ref254339704 \r \h </w:instrText>
      </w:r>
      <w:r w:rsidR="005D7996">
        <w:fldChar w:fldCharType="separate"/>
      </w:r>
      <w:r w:rsidR="001231D3">
        <w:t>6.3</w:t>
      </w:r>
      <w:r w:rsidR="005D7996">
        <w:fldChar w:fldCharType="end"/>
      </w:r>
      <w:r w:rsidR="00C748EC">
        <w:t xml:space="preserve"> und</w:t>
      </w:r>
      <w:r w:rsidR="0075532B">
        <w:t xml:space="preserve"> </w:t>
      </w:r>
      <w:r w:rsidR="005D7996">
        <w:fldChar w:fldCharType="begin"/>
      </w:r>
      <w:r w:rsidR="0075532B">
        <w:instrText xml:space="preserve"> REF _Ref255407192 \r \h </w:instrText>
      </w:r>
      <w:r w:rsidR="005D7996">
        <w:fldChar w:fldCharType="separate"/>
      </w:r>
      <w:r w:rsidR="001231D3">
        <w:t>7.1</w:t>
      </w:r>
      <w:r w:rsidR="005D7996">
        <w:fldChar w:fldCharType="end"/>
      </w:r>
      <w:r w:rsidR="00C748EC">
        <w:t>) und als Gesamtprozess (</w:t>
      </w:r>
      <w:r w:rsidR="005D7996">
        <w:fldChar w:fldCharType="begin"/>
      </w:r>
      <w:r w:rsidR="00C748EC">
        <w:instrText xml:space="preserve"> REF _Ref254354608 \r \h </w:instrText>
      </w:r>
      <w:r w:rsidR="005D7996">
        <w:fldChar w:fldCharType="separate"/>
      </w:r>
      <w:r w:rsidR="001231D3">
        <w:t>7.2</w:t>
      </w:r>
      <w:r w:rsidR="005D7996">
        <w:fldChar w:fldCharType="end"/>
      </w:r>
      <w:r w:rsidR="00C748EC">
        <w:t xml:space="preserve">) dar. </w:t>
      </w:r>
      <w:r w:rsidR="00576C39">
        <w:t>In e</w:t>
      </w:r>
      <w:r w:rsidR="00576C39">
        <w:t>i</w:t>
      </w:r>
      <w:r w:rsidR="00576C39">
        <w:t xml:space="preserve">nigen Punkten </w:t>
      </w:r>
      <w:r w:rsidR="000140B0">
        <w:t xml:space="preserve">ist sie </w:t>
      </w:r>
      <w:r w:rsidR="00576C39">
        <w:t xml:space="preserve">nicht nur für die Stilinterpretation relevant: </w:t>
      </w:r>
      <w:r w:rsidR="00C748EC">
        <w:t xml:space="preserve">Der Abschnitt mit </w:t>
      </w:r>
      <w:r w:rsidR="00FD2CEC">
        <w:t>Interpretation</w:t>
      </w:r>
      <w:r w:rsidR="00C748EC">
        <w:t>sbeispielen</w:t>
      </w:r>
      <w:r w:rsidR="00FD2CEC">
        <w:t xml:space="preserve"> (</w:t>
      </w:r>
      <w:r w:rsidR="005D7996">
        <w:fldChar w:fldCharType="begin"/>
      </w:r>
      <w:r w:rsidR="0075532B">
        <w:instrText xml:space="preserve"> REF _Ref255407192 \r \h </w:instrText>
      </w:r>
      <w:r w:rsidR="005D7996">
        <w:fldChar w:fldCharType="separate"/>
      </w:r>
      <w:r w:rsidR="001231D3">
        <w:t>7.1</w:t>
      </w:r>
      <w:r w:rsidR="005D7996">
        <w:fldChar w:fldCharType="end"/>
      </w:r>
      <w:r w:rsidR="00FD2CEC">
        <w:t xml:space="preserve">) </w:t>
      </w:r>
      <w:r w:rsidR="00C748EC">
        <w:t xml:space="preserve">kann auch </w:t>
      </w:r>
      <w:r w:rsidR="00FD2CEC">
        <w:t>als erster Schritt zu einer prakt</w:t>
      </w:r>
      <w:r w:rsidR="00FD2CEC">
        <w:t>i</w:t>
      </w:r>
      <w:r w:rsidR="00FD2CEC">
        <w:t>schen Anwendung der Theorie verstanden werden</w:t>
      </w:r>
      <w:r w:rsidR="00C748EC">
        <w:t xml:space="preserve">. Der Abschnitt </w:t>
      </w:r>
      <w:r w:rsidR="00576C39">
        <w:t>zum</w:t>
      </w:r>
      <w:r w:rsidR="002473EA">
        <w:t xml:space="preserve"> Anwe</w:t>
      </w:r>
      <w:r w:rsidR="002473EA">
        <w:t>n</w:t>
      </w:r>
      <w:r w:rsidR="002473EA">
        <w:t>den</w:t>
      </w:r>
      <w:r w:rsidR="00576C39">
        <w:t xml:space="preserve"> und </w:t>
      </w:r>
      <w:r w:rsidR="00663B18">
        <w:t xml:space="preserve">Wahrnehmen </w:t>
      </w:r>
      <w:r w:rsidR="00576C39">
        <w:t>von Stilen (</w:t>
      </w:r>
      <w:r w:rsidR="005D7996">
        <w:fldChar w:fldCharType="begin"/>
      </w:r>
      <w:r w:rsidR="00C748EC">
        <w:instrText xml:space="preserve"> REF _Ref254267254 \r \h </w:instrText>
      </w:r>
      <w:r w:rsidR="005D7996">
        <w:fldChar w:fldCharType="separate"/>
      </w:r>
      <w:r w:rsidR="001231D3">
        <w:t>7.3</w:t>
      </w:r>
      <w:r w:rsidR="005D7996">
        <w:fldChar w:fldCharType="end"/>
      </w:r>
      <w:r w:rsidR="00576C39">
        <w:t xml:space="preserve">) stellt den stilistischen Zeichenprozess insgesamt dar und </w:t>
      </w:r>
      <w:r w:rsidR="00C748EC">
        <w:t>verbindet den Merkmals- und den Interpretationsprozess.</w:t>
      </w:r>
    </w:p>
    <w:p w:rsidR="000140B0" w:rsidRDefault="000140B0" w:rsidP="005D2F76">
      <w:pPr>
        <w:pStyle w:val="Text"/>
      </w:pPr>
      <w:r>
        <w:t>In Kapitel 6 wird erklärt, wie einzelne Schritte der Interpretation ablaufen.</w:t>
      </w:r>
    </w:p>
    <w:p w:rsidR="00F45257" w:rsidRDefault="00195617" w:rsidP="005D2F76">
      <w:pPr>
        <w:pStyle w:val="Text"/>
      </w:pPr>
      <w:r>
        <w:t xml:space="preserve">In Abschnitt </w:t>
      </w:r>
      <w:r w:rsidR="005D7996">
        <w:fldChar w:fldCharType="begin"/>
      </w:r>
      <w:r>
        <w:instrText xml:space="preserve"> REF _Ref254352326 \r \h </w:instrText>
      </w:r>
      <w:r w:rsidR="005D7996">
        <w:fldChar w:fldCharType="separate"/>
      </w:r>
      <w:r w:rsidR="001231D3">
        <w:t>6.1</w:t>
      </w:r>
      <w:r w:rsidR="005D7996">
        <w:fldChar w:fldCharType="end"/>
      </w:r>
      <w:r>
        <w:t xml:space="preserve"> </w:t>
      </w:r>
      <w:r w:rsidR="0075532B">
        <w:t xml:space="preserve">wird in die Thematik eingeführt und eine </w:t>
      </w:r>
      <w:r>
        <w:t>Definition von Interpretation (</w:t>
      </w:r>
      <w:r w:rsidR="005D7996">
        <w:fldChar w:fldCharType="begin"/>
      </w:r>
      <w:r>
        <w:instrText xml:space="preserve"> REF _Ref254352629 \r \h </w:instrText>
      </w:r>
      <w:r w:rsidR="005D7996">
        <w:fldChar w:fldCharType="separate"/>
      </w:r>
      <w:r w:rsidR="001231D3">
        <w:t>6.1.3</w:t>
      </w:r>
      <w:r w:rsidR="005D7996">
        <w:fldChar w:fldCharType="end"/>
      </w:r>
      <w:r>
        <w:t>)</w:t>
      </w:r>
      <w:r w:rsidR="0075532B">
        <w:t xml:space="preserve"> gegeben</w:t>
      </w:r>
      <w:r>
        <w:t>.</w:t>
      </w:r>
    </w:p>
    <w:p w:rsidR="00F45257" w:rsidRDefault="00195617" w:rsidP="005D2F76">
      <w:pPr>
        <w:pStyle w:val="Text"/>
      </w:pPr>
      <w:r>
        <w:t xml:space="preserve">In Abschnitt </w:t>
      </w:r>
      <w:r w:rsidR="005D7996">
        <w:fldChar w:fldCharType="begin"/>
      </w:r>
      <w:r>
        <w:instrText xml:space="preserve"> REF _Ref254352653 \r \h </w:instrText>
      </w:r>
      <w:r w:rsidR="005D7996">
        <w:fldChar w:fldCharType="separate"/>
      </w:r>
      <w:r w:rsidR="001231D3">
        <w:t>6.2</w:t>
      </w:r>
      <w:r w:rsidR="005D7996">
        <w:fldChar w:fldCharType="end"/>
      </w:r>
      <w:r>
        <w:t xml:space="preserve"> werden die </w:t>
      </w:r>
      <w:r w:rsidR="009B72C7">
        <w:t>grundlegenden</w:t>
      </w:r>
      <w:r>
        <w:t xml:space="preserve"> </w:t>
      </w:r>
      <w:r w:rsidR="00F45257">
        <w:t xml:space="preserve">Bestandteile </w:t>
      </w:r>
      <w:r>
        <w:t>der Stilinterpret</w:t>
      </w:r>
      <w:r>
        <w:t>a</w:t>
      </w:r>
      <w:r>
        <w:t xml:space="preserve">tion </w:t>
      </w:r>
      <w:r w:rsidR="005F7DE6">
        <w:t>vorgestellt</w:t>
      </w:r>
      <w:r w:rsidR="00CC5826">
        <w:t>: Operationen, Ergebnisse und Hintergrundwissen.</w:t>
      </w:r>
    </w:p>
    <w:p w:rsidR="00955202" w:rsidRDefault="00F45257" w:rsidP="005D2F76">
      <w:pPr>
        <w:pStyle w:val="Text"/>
      </w:pPr>
      <w:r>
        <w:t xml:space="preserve">In Abschnitt </w:t>
      </w:r>
      <w:r w:rsidR="005D7996">
        <w:fldChar w:fldCharType="begin"/>
      </w:r>
      <w:r w:rsidR="00CC6DB3">
        <w:instrText xml:space="preserve"> REF _Ref254339704 \r \h </w:instrText>
      </w:r>
      <w:r w:rsidR="005D7996">
        <w:fldChar w:fldCharType="separate"/>
      </w:r>
      <w:r w:rsidR="001231D3">
        <w:t>6.3</w:t>
      </w:r>
      <w:r w:rsidR="005D7996">
        <w:fldChar w:fldCharType="end"/>
      </w:r>
      <w:r w:rsidR="00CC6DB3">
        <w:t xml:space="preserve"> werden die verschiedenen Kombinationsmöglichkeiten von Merkmalsregeln, Hintergrundwissen und bereits vorhandenen Ergebnissen</w:t>
      </w:r>
      <w:r w:rsidR="00C52DE0">
        <w:t>, mi</w:t>
      </w:r>
      <w:r w:rsidR="00C52DE0">
        <w:t>t</w:t>
      </w:r>
      <w:r w:rsidR="00C52DE0">
        <w:t>tels derer</w:t>
      </w:r>
      <w:r w:rsidR="00CC6DB3">
        <w:t xml:space="preserve"> Ergebnisse </w:t>
      </w:r>
      <w:r w:rsidR="00C52DE0">
        <w:t>erzeugt werden können, anhand von Beispielen</w:t>
      </w:r>
      <w:r w:rsidR="00CC6DB3">
        <w:t xml:space="preserve"> </w:t>
      </w:r>
      <w:r w:rsidR="00955202">
        <w:t>vorgestellt.</w:t>
      </w:r>
    </w:p>
    <w:p w:rsidR="00955202" w:rsidRDefault="00955202" w:rsidP="00955202">
      <w:pPr>
        <w:pStyle w:val="Text"/>
      </w:pPr>
      <w:r>
        <w:t xml:space="preserve">In Abschnitt </w:t>
      </w:r>
      <w:r w:rsidR="005D7996">
        <w:fldChar w:fldCharType="begin"/>
      </w:r>
      <w:r w:rsidR="00FE3966">
        <w:instrText xml:space="preserve"> REF _Ref259795418 \r \h </w:instrText>
      </w:r>
      <w:r w:rsidR="005D7996">
        <w:fldChar w:fldCharType="separate"/>
      </w:r>
      <w:r w:rsidR="001231D3">
        <w:t>6.4</w:t>
      </w:r>
      <w:r w:rsidR="005D7996">
        <w:fldChar w:fldCharType="end"/>
      </w:r>
      <w:r w:rsidR="00FE3966">
        <w:t xml:space="preserve"> </w:t>
      </w:r>
      <w:r>
        <w:t xml:space="preserve">werden die </w:t>
      </w:r>
      <w:r w:rsidR="00F62609">
        <w:t>verschiedenen Operationen zur Ergebniserze</w:t>
      </w:r>
      <w:r w:rsidR="00F62609">
        <w:t>u</w:t>
      </w:r>
      <w:r w:rsidR="00F62609">
        <w:t>gung anhand von Beispielen vorgestellt.</w:t>
      </w:r>
    </w:p>
    <w:p w:rsidR="000140B0" w:rsidRDefault="000140B0" w:rsidP="00955202">
      <w:pPr>
        <w:pStyle w:val="Text"/>
      </w:pPr>
      <w:r>
        <w:t>In Kapitel 7 wird der Interpretationsprozess dargestellt.</w:t>
      </w:r>
    </w:p>
    <w:p w:rsidR="00F62609" w:rsidRDefault="00F62609" w:rsidP="005D2F76">
      <w:pPr>
        <w:pStyle w:val="Text"/>
      </w:pPr>
      <w:r>
        <w:t>In Abschnitt</w:t>
      </w:r>
      <w:r w:rsidR="00955202">
        <w:t xml:space="preserve"> </w:t>
      </w:r>
      <w:r w:rsidR="005D7996">
        <w:fldChar w:fldCharType="begin"/>
      </w:r>
      <w:r w:rsidR="009B72C7">
        <w:instrText xml:space="preserve"> REF _Ref255407192 \r \h </w:instrText>
      </w:r>
      <w:r w:rsidR="005D7996">
        <w:fldChar w:fldCharType="separate"/>
      </w:r>
      <w:r w:rsidR="001231D3">
        <w:t>7.1</w:t>
      </w:r>
      <w:r w:rsidR="005D7996">
        <w:fldChar w:fldCharType="end"/>
      </w:r>
      <w:r w:rsidR="009B72C7">
        <w:t xml:space="preserve"> </w:t>
      </w:r>
      <w:r>
        <w:t xml:space="preserve">werden Beispiele für Stilinterpretationen aus </w:t>
      </w:r>
      <w:r w:rsidR="007C0838">
        <w:t>unterschiedl</w:t>
      </w:r>
      <w:r w:rsidR="007C0838">
        <w:t>i</w:t>
      </w:r>
      <w:r w:rsidR="007C0838">
        <w:t>chen</w:t>
      </w:r>
      <w:r>
        <w:t xml:space="preserve"> Bereichen vorgeführt, die teilweise </w:t>
      </w:r>
      <w:r w:rsidR="00E20F1F">
        <w:t xml:space="preserve">vorhandene </w:t>
      </w:r>
      <w:r>
        <w:t xml:space="preserve">Stilinterpretationen </w:t>
      </w:r>
      <w:r w:rsidR="00E20F1F">
        <w:t xml:space="preserve">aus </w:t>
      </w:r>
      <w:r w:rsidR="00E20F1F">
        <w:lastRenderedPageBreak/>
        <w:t xml:space="preserve">verschiedenen Quellen </w:t>
      </w:r>
      <w:r>
        <w:t>nachvollziehen (</w:t>
      </w:r>
      <w:r w:rsidR="005D7996">
        <w:fldChar w:fldCharType="begin"/>
      </w:r>
      <w:r>
        <w:instrText xml:space="preserve"> REF _Ref254004896 \r \h </w:instrText>
      </w:r>
      <w:r w:rsidR="005D7996">
        <w:fldChar w:fldCharType="separate"/>
      </w:r>
      <w:r w:rsidR="001231D3">
        <w:t>7.1.3</w:t>
      </w:r>
      <w:r w:rsidR="005D7996">
        <w:fldChar w:fldCharType="end"/>
      </w:r>
      <w:r>
        <w:t xml:space="preserve">, </w:t>
      </w:r>
      <w:r w:rsidR="005D7996">
        <w:fldChar w:fldCharType="begin"/>
      </w:r>
      <w:r>
        <w:instrText xml:space="preserve"> REF _Ref254550229 \r \h </w:instrText>
      </w:r>
      <w:r w:rsidR="005D7996">
        <w:fldChar w:fldCharType="separate"/>
      </w:r>
      <w:r w:rsidR="001231D3">
        <w:t>7.1.5</w:t>
      </w:r>
      <w:r w:rsidR="005D7996">
        <w:fldChar w:fldCharType="end"/>
      </w:r>
      <w:r>
        <w:t xml:space="preserve"> und </w:t>
      </w:r>
      <w:r w:rsidR="005D7996">
        <w:fldChar w:fldCharType="begin"/>
      </w:r>
      <w:r>
        <w:instrText xml:space="preserve"> REF _Ref254550232 \r \h </w:instrText>
      </w:r>
      <w:r w:rsidR="005D7996">
        <w:fldChar w:fldCharType="separate"/>
      </w:r>
      <w:r w:rsidR="001231D3">
        <w:t>7.1.7</w:t>
      </w:r>
      <w:r w:rsidR="005D7996">
        <w:fldChar w:fldCharType="end"/>
      </w:r>
      <w:r>
        <w:t>), teilweise neu a</w:t>
      </w:r>
      <w:r>
        <w:t>n</w:t>
      </w:r>
      <w:r>
        <w:t>gefertigt wurden.</w:t>
      </w:r>
    </w:p>
    <w:p w:rsidR="00F45257" w:rsidRDefault="00F62609" w:rsidP="005D2F76">
      <w:pPr>
        <w:pStyle w:val="Text"/>
      </w:pPr>
      <w:r>
        <w:t xml:space="preserve">In Abschnitt </w:t>
      </w:r>
      <w:r w:rsidR="005D7996">
        <w:fldChar w:fldCharType="begin"/>
      </w:r>
      <w:r w:rsidR="00945113">
        <w:instrText xml:space="preserve"> REF _Ref254354608 \r \h </w:instrText>
      </w:r>
      <w:r w:rsidR="005D7996">
        <w:fldChar w:fldCharType="separate"/>
      </w:r>
      <w:r w:rsidR="001231D3">
        <w:t>7.2</w:t>
      </w:r>
      <w:r w:rsidR="005D7996">
        <w:fldChar w:fldCharType="end"/>
      </w:r>
      <w:r w:rsidR="00945113">
        <w:t xml:space="preserve"> wird </w:t>
      </w:r>
      <w:r w:rsidR="00CA45C3">
        <w:t xml:space="preserve">gezeigt, wie der </w:t>
      </w:r>
      <w:r w:rsidR="00945113">
        <w:t>Interpretation</w:t>
      </w:r>
      <w:r w:rsidR="00CA45C3">
        <w:t xml:space="preserve">sprozess </w:t>
      </w:r>
      <w:r w:rsidR="000140B0">
        <w:t xml:space="preserve">formal </w:t>
      </w:r>
      <w:r w:rsidR="00CA45C3">
        <w:t>darg</w:t>
      </w:r>
      <w:r w:rsidR="00CA45C3">
        <w:t>e</w:t>
      </w:r>
      <w:r w:rsidR="00CA45C3">
        <w:t>stellt werden kann</w:t>
      </w:r>
      <w:r w:rsidR="00945113">
        <w:t>.</w:t>
      </w:r>
    </w:p>
    <w:p w:rsidR="0096491E" w:rsidRPr="00A40DF1" w:rsidRDefault="00945113">
      <w:pPr>
        <w:pStyle w:val="Text"/>
      </w:pPr>
      <w:r>
        <w:t xml:space="preserve">In Abschnitt </w:t>
      </w:r>
      <w:r w:rsidR="005D7996">
        <w:fldChar w:fldCharType="begin"/>
      </w:r>
      <w:r>
        <w:instrText xml:space="preserve"> REF _Ref254267254 \r \h </w:instrText>
      </w:r>
      <w:r w:rsidR="005D7996">
        <w:fldChar w:fldCharType="separate"/>
      </w:r>
      <w:r w:rsidR="001231D3">
        <w:t>7.3</w:t>
      </w:r>
      <w:r w:rsidR="005D7996">
        <w:fldChar w:fldCharType="end"/>
      </w:r>
      <w:r>
        <w:t xml:space="preserve"> werden Merkmalsprozess und Interpretationsprozess mi</w:t>
      </w:r>
      <w:r>
        <w:t>t</w:t>
      </w:r>
      <w:r>
        <w:t xml:space="preserve">einander verbunden, indem gezeigt wird, wie sie in den </w:t>
      </w:r>
      <w:r w:rsidR="009C104F">
        <w:t>Prozessen des</w:t>
      </w:r>
      <w:r w:rsidR="002473EA">
        <w:t xml:space="preserve"> Anwe</w:t>
      </w:r>
      <w:r w:rsidR="002473EA">
        <w:t>n</w:t>
      </w:r>
      <w:r w:rsidR="002473EA">
        <w:t>den</w:t>
      </w:r>
      <w:r w:rsidR="009C104F">
        <w:t xml:space="preserve">s </w:t>
      </w:r>
      <w:r w:rsidR="004F6EE5">
        <w:t xml:space="preserve">und </w:t>
      </w:r>
      <w:r w:rsidR="00663B18">
        <w:t xml:space="preserve">Wahrnehmens </w:t>
      </w:r>
      <w:r w:rsidR="004F6EE5">
        <w:t xml:space="preserve">von Stilen </w:t>
      </w:r>
      <w:r w:rsidR="009C104F">
        <w:t>aufgerufen werden.</w:t>
      </w:r>
    </w:p>
    <w:p w:rsidR="000D351E" w:rsidRDefault="00195617" w:rsidP="00195617">
      <w:pPr>
        <w:pStyle w:val="Titel3"/>
      </w:pPr>
      <w:bookmarkStart w:id="285" w:name="_Ref254352629"/>
      <w:bookmarkStart w:id="286" w:name="_Toc325456759"/>
      <w:bookmarkStart w:id="287" w:name="Interpretation"/>
      <w:r>
        <w:t>Definition von Interpretation</w:t>
      </w:r>
      <w:bookmarkEnd w:id="285"/>
      <w:bookmarkEnd w:id="286"/>
    </w:p>
    <w:p w:rsidR="00982522" w:rsidRDefault="005D7996" w:rsidP="00F4161F">
      <w:pPr>
        <w:pStyle w:val="Text"/>
        <w:ind w:firstLine="0"/>
      </w:pPr>
      <w:r>
        <w:fldChar w:fldCharType="begin"/>
      </w:r>
      <w:r w:rsidR="0021368B">
        <w:instrText xml:space="preserve"> XE "</w:instrText>
      </w:r>
      <w:r w:rsidR="0021368B" w:rsidRPr="00ED5C87">
        <w:instrText>Interpretation</w:instrText>
      </w:r>
      <w:r w:rsidR="0021368B">
        <w:instrText xml:space="preserve">" \r "Interpretation" </w:instrText>
      </w:r>
      <w:r>
        <w:fldChar w:fldCharType="end"/>
      </w:r>
      <w:r>
        <w:fldChar w:fldCharType="begin"/>
      </w:r>
      <w:r w:rsidR="007247A5">
        <w:instrText xml:space="preserve"> XE "</w:instrText>
      </w:r>
      <w:r w:rsidR="007247A5" w:rsidRPr="00ED5C87">
        <w:instrText>Interpretation</w:instrText>
      </w:r>
      <w:r w:rsidR="007247A5">
        <w:instrText>" \t "</w:instrText>
      </w:r>
      <w:r w:rsidR="007247A5" w:rsidRPr="007247A5">
        <w:rPr>
          <w:i/>
        </w:rPr>
        <w:instrText>et passim</w:instrText>
      </w:r>
      <w:r w:rsidR="007247A5">
        <w:instrText xml:space="preserve">" </w:instrText>
      </w:r>
      <w:r>
        <w:fldChar w:fldCharType="end"/>
      </w:r>
      <w:r w:rsidR="005F4476">
        <w:t>Die Bezeichnung „</w:t>
      </w:r>
      <w:r w:rsidR="000F62EF">
        <w:t>Stilinterpretation</w:t>
      </w:r>
      <w:r w:rsidR="005F4476">
        <w:t>“</w:t>
      </w:r>
      <w:r w:rsidR="000F62EF">
        <w:t xml:space="preserve"> </w:t>
      </w:r>
      <w:r w:rsidR="00795A2B">
        <w:t xml:space="preserve">wurde </w:t>
      </w:r>
      <w:r w:rsidR="000F62EF">
        <w:t>in Umgangssprache und Fo</w:t>
      </w:r>
      <w:r w:rsidR="000F62EF">
        <w:t>r</w:t>
      </w:r>
      <w:r w:rsidR="000F62EF">
        <w:t xml:space="preserve">schungstradition </w:t>
      </w:r>
      <w:r w:rsidR="00795A2B">
        <w:t>oft unterschiedlich verwendet</w:t>
      </w:r>
      <w:r w:rsidR="000F62EF">
        <w:t xml:space="preserve">. </w:t>
      </w:r>
      <w:r w:rsidR="00795A2B">
        <w:t>Gemeinsam ist den Auffassu</w:t>
      </w:r>
      <w:r w:rsidR="00795A2B">
        <w:t>n</w:t>
      </w:r>
      <w:r w:rsidR="00795A2B">
        <w:t>gen</w:t>
      </w:r>
      <w:r w:rsidR="00D31F9E">
        <w:t xml:space="preserve">, dass ein Stil vorliegt, </w:t>
      </w:r>
      <w:r w:rsidR="00982522">
        <w:t xml:space="preserve">aus dem durch einen Interpreten </w:t>
      </w:r>
      <w:r w:rsidR="00F422AE">
        <w:t xml:space="preserve">Schlüsse gezogen, </w:t>
      </w:r>
      <w:r w:rsidR="00982522">
        <w:t>Bedeutungen</w:t>
      </w:r>
      <w:r w:rsidR="00F422AE">
        <w:t xml:space="preserve"> erkannt</w:t>
      </w:r>
      <w:r w:rsidR="00982522">
        <w:t xml:space="preserve">, </w:t>
      </w:r>
      <w:r w:rsidR="00F422AE">
        <w:t xml:space="preserve">Eindrücke gewonnen oder Assoziationen </w:t>
      </w:r>
      <w:r w:rsidR="00982522">
        <w:t>erzeugt</w:t>
      </w:r>
      <w:r w:rsidR="00F422AE">
        <w:t xml:space="preserve"> </w:t>
      </w:r>
      <w:r w:rsidR="00956B6D">
        <w:t>werden. W</w:t>
      </w:r>
      <w:r w:rsidR="00982522">
        <w:t>orum es sich genau handelt, wird oft nicht definiert</w:t>
      </w:r>
      <w:r w:rsidR="00956B6D">
        <w:t xml:space="preserve">; es scheinen aber </w:t>
      </w:r>
      <w:r w:rsidR="00D31F9E">
        <w:t>verschi</w:t>
      </w:r>
      <w:r w:rsidR="00D31F9E">
        <w:t>e</w:t>
      </w:r>
      <w:r w:rsidR="00D31F9E">
        <w:t>dene</w:t>
      </w:r>
      <w:r w:rsidR="006B416D">
        <w:t xml:space="preserve"> Prozes</w:t>
      </w:r>
      <w:r w:rsidR="00D31F9E">
        <w:t xml:space="preserve">se von der logischen Herleitung über </w:t>
      </w:r>
      <w:r w:rsidR="006B416D">
        <w:t xml:space="preserve">weniger präzise Ableitungen bis hin zu freier Spekulation verwendet </w:t>
      </w:r>
      <w:r w:rsidR="00956B6D">
        <w:t xml:space="preserve">zu </w:t>
      </w:r>
      <w:r w:rsidR="005E7B06">
        <w:t xml:space="preserve">werden, die aufeinander aufbauen und miteinander interagieren können. </w:t>
      </w:r>
    </w:p>
    <w:p w:rsidR="007303AA" w:rsidRDefault="000F62EF">
      <w:pPr>
        <w:pStyle w:val="Text"/>
      </w:pPr>
      <w:r>
        <w:t xml:space="preserve">In der vorliegenden Theorie wird </w:t>
      </w:r>
      <w:r w:rsidR="005F4476">
        <w:t>„</w:t>
      </w:r>
      <w:r>
        <w:t>Interpretation</w:t>
      </w:r>
      <w:r w:rsidR="005F4476">
        <w:t>“</w:t>
      </w:r>
      <w:r>
        <w:t xml:space="preserve"> </w:t>
      </w:r>
      <w:r w:rsidR="00982522">
        <w:t>durchaus ähnlich g</w:t>
      </w:r>
      <w:r w:rsidR="00982522">
        <w:t>e</w:t>
      </w:r>
      <w:r w:rsidR="00982522">
        <w:t xml:space="preserve">braucht. Wir können die hier verwendete Auffassung von „Stilinterpretation“ daher unmittelbar definieren. Ähnlich wie auch bei der Definition von „Stil“ (vgl. Abschnitt </w:t>
      </w:r>
      <w:r w:rsidR="005D7996">
        <w:fldChar w:fldCharType="begin"/>
      </w:r>
      <w:r w:rsidR="00982522">
        <w:instrText xml:space="preserve"> REF _Ref264295348 \r \h </w:instrText>
      </w:r>
      <w:r w:rsidR="005D7996">
        <w:fldChar w:fldCharType="separate"/>
      </w:r>
      <w:r w:rsidR="001231D3">
        <w:t>2.16</w:t>
      </w:r>
      <w:r w:rsidR="005D7996">
        <w:fldChar w:fldCharType="end"/>
      </w:r>
      <w:r w:rsidR="00982522">
        <w:t xml:space="preserve">) wird jedoch auch diese Definition nicht als exakt bindend, sondern nur als Beschreibung eines </w:t>
      </w:r>
      <w:r w:rsidR="009407CD">
        <w:t>Vorgangs</w:t>
      </w:r>
      <w:r w:rsidR="00982522">
        <w:t xml:space="preserve"> aufgefasst, der im Interpretation</w:t>
      </w:r>
      <w:r w:rsidR="00982522">
        <w:t>s</w:t>
      </w:r>
      <w:r w:rsidR="00982522">
        <w:t>prozess genauer modelliert wird.</w:t>
      </w:r>
    </w:p>
    <w:p w:rsidR="00D5218D" w:rsidRDefault="00D5218D" w:rsidP="006E2A89">
      <w:pPr>
        <w:pStyle w:val="Definition"/>
      </w:pPr>
      <w:r w:rsidRPr="00786D5C">
        <w:rPr>
          <w:bCs/>
        </w:rPr>
        <w:t>Def.</w:t>
      </w:r>
      <w:r w:rsidR="00934F61">
        <w:rPr>
          <w:b/>
          <w:bCs/>
        </w:rPr>
        <w:tab/>
      </w:r>
      <w:r w:rsidR="005D7996">
        <w:fldChar w:fldCharType="begin"/>
      </w:r>
      <w:r w:rsidR="00F531F7">
        <w:instrText xml:space="preserve"> XE "</w:instrText>
      </w:r>
      <w:r w:rsidR="00F531F7" w:rsidRPr="00ED5C87">
        <w:instrText>Interpretation</w:instrText>
      </w:r>
      <w:r w:rsidR="00F531F7">
        <w:instrText>:</w:instrText>
      </w:r>
      <w:r w:rsidR="00F531F7" w:rsidRPr="0073281C">
        <w:rPr>
          <w:i/>
        </w:rPr>
        <w:instrText>Definition</w:instrText>
      </w:r>
      <w:r w:rsidR="00F531F7">
        <w:instrText xml:space="preserve">" </w:instrText>
      </w:r>
      <w:r w:rsidR="005D7996">
        <w:fldChar w:fldCharType="end"/>
      </w:r>
      <w:r>
        <w:rPr>
          <w:b/>
          <w:bCs/>
        </w:rPr>
        <w:t xml:space="preserve">Interpretation: </w:t>
      </w:r>
      <w:r>
        <w:t xml:space="preserve">Die Interpretation eines Phänomens umfasst alle Arten von </w:t>
      </w:r>
      <w:r w:rsidR="00D31261">
        <w:t xml:space="preserve">direkten </w:t>
      </w:r>
      <w:r>
        <w:t>Reaktionen</w:t>
      </w:r>
      <w:r w:rsidR="00795A2B">
        <w:t xml:space="preserve"> oder </w:t>
      </w:r>
      <w:r w:rsidR="00D31261">
        <w:t xml:space="preserve">von Reaktionen auf Reaktionen </w:t>
      </w:r>
      <w:r w:rsidR="00943C3A">
        <w:t xml:space="preserve">eines oder mehrerer Interpretierender </w:t>
      </w:r>
      <w:r>
        <w:t xml:space="preserve">auf das </w:t>
      </w:r>
      <w:r w:rsidR="00C70274">
        <w:t>i</w:t>
      </w:r>
      <w:r>
        <w:t>nterpretierte</w:t>
      </w:r>
      <w:r w:rsidR="00C70274">
        <w:t xml:space="preserve"> Phänomen</w:t>
      </w:r>
      <w:r>
        <w:t xml:space="preserve">, die </w:t>
      </w:r>
      <w:r w:rsidR="00D31261">
        <w:t xml:space="preserve">in </w:t>
      </w:r>
      <w:r w:rsidR="00224C87">
        <w:t xml:space="preserve">der Erzeugung von </w:t>
      </w:r>
      <w:r w:rsidR="00D31261">
        <w:t xml:space="preserve">inneren </w:t>
      </w:r>
      <w:r w:rsidR="002D7C18">
        <w:t>Zustän</w:t>
      </w:r>
      <w:r w:rsidR="00795A2B">
        <w:t xml:space="preserve">den </w:t>
      </w:r>
      <w:r w:rsidR="00D31261">
        <w:t>des</w:t>
      </w:r>
      <w:r w:rsidR="00943C3A">
        <w:t xml:space="preserve"> oder der</w:t>
      </w:r>
      <w:r w:rsidR="00D31261">
        <w:t xml:space="preserve"> Interpretierenden best</w:t>
      </w:r>
      <w:r w:rsidR="00D31261">
        <w:t>e</w:t>
      </w:r>
      <w:r w:rsidR="00D31261">
        <w:t>hen</w:t>
      </w:r>
      <w:r w:rsidR="008729BD">
        <w:t xml:space="preserve">. </w:t>
      </w:r>
      <w:r w:rsidR="00795A2B">
        <w:t xml:space="preserve">Unter „innerer Zustand“ werden dabei propositionale und nicht-propositionale </w:t>
      </w:r>
      <w:r w:rsidR="005E023C">
        <w:t xml:space="preserve">mentale </w:t>
      </w:r>
      <w:r w:rsidR="00795A2B">
        <w:t>Repräsentationen</w:t>
      </w:r>
      <w:r w:rsidR="005D7996">
        <w:fldChar w:fldCharType="begin"/>
      </w:r>
      <w:r w:rsidR="00F86698">
        <w:instrText xml:space="preserve"> XE "</w:instrText>
      </w:r>
      <w:r w:rsidR="00F86698" w:rsidRPr="00943E02">
        <w:instrText>mentale Repräsentation:propositionale</w:instrText>
      </w:r>
      <w:r w:rsidR="00F86698">
        <w:instrText xml:space="preserve">" </w:instrText>
      </w:r>
      <w:r w:rsidR="005D7996">
        <w:fldChar w:fldCharType="end"/>
      </w:r>
      <w:r w:rsidR="005D7996">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rsidR="005D7996">
        <w:fldChar w:fldCharType="end"/>
      </w:r>
      <w:r w:rsidR="00795A2B">
        <w:t xml:space="preserve"> sowie Gefühle verstanden. </w:t>
      </w:r>
      <w:r w:rsidR="00D31261">
        <w:t>R</w:t>
      </w:r>
      <w:r w:rsidR="00D31261">
        <w:t>e</w:t>
      </w:r>
      <w:r w:rsidR="00D31261">
        <w:t xml:space="preserve">aktionen, die nicht in </w:t>
      </w:r>
      <w:r w:rsidR="006C74FC">
        <w:t xml:space="preserve">der Erzeugung von </w:t>
      </w:r>
      <w:r w:rsidR="00D31261">
        <w:t xml:space="preserve">inneren </w:t>
      </w:r>
      <w:r w:rsidR="00795A2B">
        <w:t>Zuständen</w:t>
      </w:r>
      <w:r w:rsidR="00D31261">
        <w:t xml:space="preserve"> </w:t>
      </w:r>
      <w:r w:rsidR="00795A2B">
        <w:t xml:space="preserve">bestehen </w:t>
      </w:r>
      <w:r w:rsidR="008729BD">
        <w:t>(</w:t>
      </w:r>
      <w:r w:rsidR="00B357FE">
        <w:t>Verhalten</w:t>
      </w:r>
      <w:r w:rsidR="00795A2B">
        <w:t>sänderungen, Handlungen usw.</w:t>
      </w:r>
      <w:r w:rsidR="008729BD">
        <w:t>)</w:t>
      </w:r>
      <w:r w:rsidR="00D31261">
        <w:t xml:space="preserve">, </w:t>
      </w:r>
      <w:r w:rsidR="008729BD">
        <w:t xml:space="preserve">gehören nicht mehr </w:t>
      </w:r>
      <w:r w:rsidR="00D31261">
        <w:t>zur I</w:t>
      </w:r>
      <w:r w:rsidR="00D31261">
        <w:t>n</w:t>
      </w:r>
      <w:r w:rsidR="00D31261">
        <w:t>ter</w:t>
      </w:r>
      <w:r w:rsidR="00B75323">
        <w:t>pretation.</w:t>
      </w:r>
      <w:r w:rsidR="00481E0B">
        <w:t xml:space="preserve"> Ebenso gehören Veränderungen der inneren Zustände eines Interpreten, die sich nicht ausschließlich durch Erzeugungsprozesse e</w:t>
      </w:r>
      <w:r w:rsidR="00481E0B">
        <w:t>r</w:t>
      </w:r>
      <w:r w:rsidR="00481E0B">
        <w:t>geben, nicht mehr zur Interpretation.</w:t>
      </w:r>
    </w:p>
    <w:p w:rsidR="001E1E94" w:rsidRDefault="00D5218D" w:rsidP="008C497B">
      <w:pPr>
        <w:pStyle w:val="Text"/>
        <w:ind w:firstLine="0"/>
      </w:pPr>
      <w:r>
        <w:t xml:space="preserve">Werden Stile interpretiert, </w:t>
      </w:r>
      <w:r w:rsidR="00846388">
        <w:t xml:space="preserve">handelt es sich um eine </w:t>
      </w:r>
      <w:r>
        <w:t xml:space="preserve">„Stilinterpretation“. </w:t>
      </w:r>
      <w:r w:rsidR="00846388">
        <w:t xml:space="preserve">Da es in </w:t>
      </w:r>
      <w:r>
        <w:t xml:space="preserve">der vorliegenden </w:t>
      </w:r>
      <w:r w:rsidR="00917D89">
        <w:t>Stilt</w:t>
      </w:r>
      <w:r>
        <w:t xml:space="preserve">heorie </w:t>
      </w:r>
      <w:r w:rsidR="00846388">
        <w:t xml:space="preserve">ausschließlich </w:t>
      </w:r>
      <w:r>
        <w:t xml:space="preserve">um </w:t>
      </w:r>
      <w:r w:rsidR="00917D89">
        <w:t xml:space="preserve">die </w:t>
      </w:r>
      <w:r>
        <w:t>Stilinterpretation</w:t>
      </w:r>
      <w:r w:rsidR="00846388">
        <w:t xml:space="preserve"> geht, wird teilweise abkürzend nur von „Interpretation“ gesprochen</w:t>
      </w:r>
      <w:r w:rsidR="00DE21C8">
        <w:t xml:space="preserve"> –</w:t>
      </w:r>
      <w:r w:rsidR="00095D93">
        <w:t xml:space="preserve"> </w:t>
      </w:r>
      <w:r w:rsidR="00846388">
        <w:t>etwa in der Bezeic</w:t>
      </w:r>
      <w:r w:rsidR="00846388">
        <w:t>h</w:t>
      </w:r>
      <w:r w:rsidR="00846388">
        <w:t>nung „Interpretationsprozess“, worunter tatsächlich der Prozess der Stilinte</w:t>
      </w:r>
      <w:r w:rsidR="00846388">
        <w:t>r</w:t>
      </w:r>
      <w:r w:rsidR="00846388">
        <w:t xml:space="preserve">pretation </w:t>
      </w:r>
      <w:r w:rsidR="0070715A">
        <w:t>verstanden wird</w:t>
      </w:r>
      <w:r>
        <w:t xml:space="preserve">. Eine allgemeine Theorie der Interpretation </w:t>
      </w:r>
      <w:r w:rsidR="00386B67">
        <w:t>kann</w:t>
      </w:r>
      <w:r w:rsidR="00406A6C">
        <w:t xml:space="preserve"> aber </w:t>
      </w:r>
      <w:r>
        <w:lastRenderedPageBreak/>
        <w:t>aus de</w:t>
      </w:r>
      <w:r w:rsidR="00406A6C">
        <w:t>r Darstellung des Interpretationsprozesses</w:t>
      </w:r>
      <w:r>
        <w:t xml:space="preserve"> durch Verallgemeinerung </w:t>
      </w:r>
      <w:r w:rsidR="00016C49">
        <w:t>en</w:t>
      </w:r>
      <w:r w:rsidR="00016C49">
        <w:t>t</w:t>
      </w:r>
      <w:r w:rsidR="00016C49">
        <w:t>wickelt</w:t>
      </w:r>
      <w:r>
        <w:t xml:space="preserve"> werden.</w:t>
      </w:r>
    </w:p>
    <w:p w:rsidR="00A3795F" w:rsidRDefault="00A3795F" w:rsidP="001E1E94">
      <w:pPr>
        <w:pStyle w:val="Text"/>
      </w:pPr>
      <w:r>
        <w:t>Kennzeichnend für Stil sind die Merkmalsregeln, deren Anwendung stilist</w:t>
      </w:r>
      <w:r>
        <w:t>i</w:t>
      </w:r>
      <w:r>
        <w:t>sche Merkmale in einer Realisierung erzeugt: Sie bilden den Ausgangspunkt der Stilinterpretation. Bei der Verallgemeinerung auf die Interpretation anderer Ph</w:t>
      </w:r>
      <w:r>
        <w:t>ä</w:t>
      </w:r>
      <w:r>
        <w:t>nomene muss daher eine Beschreibung der Phänomene entwickelt werden, die ausreichend genau ist, um den Ausgangspunkt für eine Interpretation zu bilden, und es muss gezeigt werden, wie dem Interpreten diese Beschreibung zugänglich wird (vergleichbar dem Auslesen der Merkmalsregeln in der hier vorgestellten Stilheorie).</w:t>
      </w:r>
      <w:r>
        <w:rPr>
          <w:rStyle w:val="Funotenzeichen"/>
        </w:rPr>
        <w:footnoteReference w:id="401"/>
      </w:r>
    </w:p>
    <w:p w:rsidR="005621FF" w:rsidRDefault="005F4476" w:rsidP="001E1E94">
      <w:pPr>
        <w:pStyle w:val="Text"/>
      </w:pPr>
      <w:r>
        <w:t>Diese Auffassung</w:t>
      </w:r>
      <w:r w:rsidR="007303AA">
        <w:t xml:space="preserve"> </w:t>
      </w:r>
      <w:r w:rsidR="008F3043">
        <w:t xml:space="preserve">von Interpretation </w:t>
      </w:r>
      <w:r w:rsidR="007303AA">
        <w:t xml:space="preserve">ist relativ weit: </w:t>
      </w:r>
      <w:r>
        <w:t xml:space="preserve">Sie </w:t>
      </w:r>
      <w:r w:rsidR="007303AA">
        <w:t>umfasst nicht nur Proposition</w:t>
      </w:r>
      <w:r w:rsidR="006C6B80">
        <w:t>sannahmen</w:t>
      </w:r>
      <w:r w:rsidR="007303AA">
        <w:t xml:space="preserve">, sondern auch andere Reaktionen, sofern diese in </w:t>
      </w:r>
      <w:r w:rsidR="00726045">
        <w:t xml:space="preserve">der Erzeugung von inneren Zuständen </w:t>
      </w:r>
      <w:r>
        <w:t>bestehen</w:t>
      </w:r>
      <w:r w:rsidR="007303AA">
        <w:t>. Wir werden daher verschiedene Sorten von Ergebnissen der Interp</w:t>
      </w:r>
      <w:r w:rsidR="006C6B80">
        <w:t>retation annehmen: Propositionsannahmen</w:t>
      </w:r>
      <w:r w:rsidR="007303AA">
        <w:t>, Gefühle und Eindrücke, wobei diese Liste bei Bedarf erweitert werden kann. Jede</w:t>
      </w:r>
      <w:r w:rsidR="009319F0">
        <w:t>r</w:t>
      </w:r>
      <w:r w:rsidR="007303AA">
        <w:t xml:space="preserve"> solche </w:t>
      </w:r>
      <w:r w:rsidR="009319F0">
        <w:t xml:space="preserve">Erzeugungsvorgang </w:t>
      </w:r>
      <w:r w:rsidR="007303AA">
        <w:t xml:space="preserve">soll mit Hilfe einer Formel </w:t>
      </w:r>
      <w:r w:rsidR="00B832DF">
        <w:t xml:space="preserve">darstellbar </w:t>
      </w:r>
      <w:r w:rsidR="007303AA">
        <w:t xml:space="preserve">sein. Zudem soll gezeigt werden, wie die einzelnen </w:t>
      </w:r>
      <w:r w:rsidR="009319F0">
        <w:t xml:space="preserve">Erzeugungsvorgänge </w:t>
      </w:r>
      <w:r w:rsidR="007303AA">
        <w:t xml:space="preserve">aufeinander aufbauen und wie </w:t>
      </w:r>
      <w:r w:rsidR="009319F0">
        <w:t xml:space="preserve">der gesamte </w:t>
      </w:r>
      <w:r w:rsidR="00B832DF">
        <w:t>Interpretation</w:t>
      </w:r>
      <w:r w:rsidR="007C4C02">
        <w:t>sprozess</w:t>
      </w:r>
      <w:r w:rsidR="00B832DF">
        <w:t xml:space="preserve"> </w:t>
      </w:r>
      <w:r w:rsidR="009319F0">
        <w:t xml:space="preserve">modelliert </w:t>
      </w:r>
      <w:r w:rsidR="00B832DF">
        <w:t xml:space="preserve">werden kann (vgl. Abschnitt </w:t>
      </w:r>
      <w:r w:rsidR="005D7996">
        <w:fldChar w:fldCharType="begin"/>
      </w:r>
      <w:r w:rsidR="00B832DF">
        <w:instrText xml:space="preserve"> REF _Ref248043700 \r \h </w:instrText>
      </w:r>
      <w:r w:rsidR="005D7996">
        <w:fldChar w:fldCharType="separate"/>
      </w:r>
      <w:r w:rsidR="001231D3">
        <w:t>7.2</w:t>
      </w:r>
      <w:r w:rsidR="005D7996">
        <w:fldChar w:fldCharType="end"/>
      </w:r>
      <w:r w:rsidR="00B832DF">
        <w:t>).</w:t>
      </w:r>
    </w:p>
    <w:p w:rsidR="001E1E94" w:rsidRDefault="001E1E94" w:rsidP="001E1E94">
      <w:pPr>
        <w:pStyle w:val="Text"/>
      </w:pPr>
      <w:r>
        <w:t xml:space="preserve">Die Einbeziehung der Gefühlsreaktionen und Eindrücke hat nicht nur den Grund, die Reduktion des menschlichen Reaktionsvermögens auf sprachlich oder logisch repräsentierbare Erkenntnisse (Logozentrismus) zu vermeiden. </w:t>
      </w:r>
      <w:r w:rsidR="005621FF">
        <w:t xml:space="preserve">Sie ist auch praktisch geboten, </w:t>
      </w:r>
      <w:r>
        <w:t xml:space="preserve">weil </w:t>
      </w:r>
      <w:r w:rsidR="005621FF">
        <w:t xml:space="preserve">diese </w:t>
      </w:r>
      <w:r>
        <w:t>verschiedenen Arten von Ergebnissen wi</w:t>
      </w:r>
      <w:r>
        <w:t>e</w:t>
      </w:r>
      <w:r>
        <w:t xml:space="preserve">derum </w:t>
      </w:r>
      <w:r w:rsidR="005621FF">
        <w:t>neue Ergebnisse erzeugen können: Beispielsweise kann aus einem Gefühl – etwa der Ehrfurcht bei der Betrachtung eines Tempels – im Zusammenspiel mit Merkmalsregeln oder mit Hintergrundwissen wiederum eine Proposition</w:t>
      </w:r>
      <w:r w:rsidR="006C6B80">
        <w:t>s</w:t>
      </w:r>
      <w:r w:rsidR="006C6B80">
        <w:t>annahme</w:t>
      </w:r>
      <w:r w:rsidR="009319F0">
        <w:t xml:space="preserve"> – etwa ‚</w:t>
      </w:r>
      <w:r w:rsidR="005621FF">
        <w:t>der Tempel soll Ehrfurcht erzeugen</w:t>
      </w:r>
      <w:r w:rsidR="009319F0">
        <w:t>‘</w:t>
      </w:r>
      <w:r w:rsidR="005621FF">
        <w:t xml:space="preserve"> – entstehen.</w:t>
      </w:r>
    </w:p>
    <w:p w:rsidR="000153D3" w:rsidRDefault="001E1E94" w:rsidP="001E1E94">
      <w:pPr>
        <w:pStyle w:val="Text"/>
      </w:pPr>
      <w:r>
        <w:t>Der letzte Satz der Definition vollzieht die Abgrenzung von anderen Rea</w:t>
      </w:r>
      <w:r>
        <w:t>k</w:t>
      </w:r>
      <w:r>
        <w:t xml:space="preserve">tionen, die auf Stil möglich sind: Dies sind </w:t>
      </w:r>
      <w:r w:rsidR="00481E0B">
        <w:t xml:space="preserve">zunächst </w:t>
      </w:r>
      <w:r>
        <w:t>Handlungen oder Verha</w:t>
      </w:r>
      <w:r>
        <w:t>l</w:t>
      </w:r>
      <w:r>
        <w:t xml:space="preserve">tensänderungen, die sich aus dem Stil ergeben. Auch diese beruhen häufig bereits auf Interpretationsergebnissen; beispielsweise kann eine Erkenntnis über den </w:t>
      </w:r>
      <w:r w:rsidR="006C1B4A">
        <w:t xml:space="preserve">Stilanwender </w:t>
      </w:r>
      <w:r>
        <w:t xml:space="preserve">(z.B. bezüglich seiner Fähigkeiten) oder </w:t>
      </w:r>
      <w:r w:rsidR="003867CE">
        <w:t xml:space="preserve">über </w:t>
      </w:r>
      <w:r>
        <w:t>die betrachtete Real</w:t>
      </w:r>
      <w:r>
        <w:t>i</w:t>
      </w:r>
      <w:r>
        <w:t>sierung (z.B. Entstehungszeit eines Artefakts) eine Handlung oder Verhalten</w:t>
      </w:r>
      <w:r>
        <w:t>s</w:t>
      </w:r>
      <w:r>
        <w:t xml:space="preserve">änderung des </w:t>
      </w:r>
      <w:r w:rsidR="00C75387">
        <w:t>Stilwahrnehmer</w:t>
      </w:r>
      <w:r>
        <w:t xml:space="preserve">s hervorrufen. Würde man die Interpretation nicht an dieser Grenze enden lassen, würden alle auf dem (in vielen Fällen dauerhaft) durch den Stil veränderten Wissen des </w:t>
      </w:r>
      <w:r w:rsidR="00C75387">
        <w:t>Stilwahrnehmer</w:t>
      </w:r>
      <w:r>
        <w:t>s beruhenden Handlungs- und Verhaltensweisen zur Interpretation des Stils gehören, womit Stilinterpret</w:t>
      </w:r>
      <w:r>
        <w:t>a</w:t>
      </w:r>
      <w:r>
        <w:t xml:space="preserve">tionen das ganze Leben des </w:t>
      </w:r>
      <w:r w:rsidR="00C75387">
        <w:t>Stilwahrnehmer</w:t>
      </w:r>
      <w:r>
        <w:t xml:space="preserve">s dauern </w:t>
      </w:r>
      <w:r w:rsidR="00B357FE">
        <w:t>könnten</w:t>
      </w:r>
      <w:r>
        <w:t>.</w:t>
      </w:r>
    </w:p>
    <w:p w:rsidR="001E1E94" w:rsidRDefault="00481E0B" w:rsidP="001E1E94">
      <w:pPr>
        <w:pStyle w:val="Text"/>
      </w:pPr>
      <w:r>
        <w:lastRenderedPageBreak/>
        <w:t xml:space="preserve">Ebenso ausgeschlossen werden Veränderungen, die sich nicht aus einer Serie von Erzeugungsprozessen ergeben, also insbesondere </w:t>
      </w:r>
      <w:r w:rsidR="000153D3">
        <w:t xml:space="preserve">(a) </w:t>
      </w:r>
      <w:r>
        <w:t xml:space="preserve">die Überprüfung </w:t>
      </w:r>
      <w:r w:rsidR="000153D3">
        <w:t xml:space="preserve">von </w:t>
      </w:r>
      <w:r>
        <w:t xml:space="preserve">Relevanz und (falls es sich um Propositionsannahmen handelt) Richtigkeit der erzeugten Ergebnisse, </w:t>
      </w:r>
      <w:r w:rsidR="000153D3">
        <w:t xml:space="preserve">(b) </w:t>
      </w:r>
      <w:r w:rsidR="00D06DD5">
        <w:t xml:space="preserve">Abwägungs- und Löschungsvorgänge, die </w:t>
      </w:r>
      <w:r>
        <w:t xml:space="preserve">sich aus Konflikten zwischen verschiedenen Ergebnissen </w:t>
      </w:r>
      <w:r w:rsidR="00D06DD5">
        <w:t>untereinander oder mit vorha</w:t>
      </w:r>
      <w:r w:rsidR="00D06DD5">
        <w:t>n</w:t>
      </w:r>
      <w:r w:rsidR="00D06DD5">
        <w:t xml:space="preserve">denen inneren Zuständen ergeben, sowie </w:t>
      </w:r>
      <w:r w:rsidR="000153D3">
        <w:t>(c) unterschiedliche Formen der A</w:t>
      </w:r>
      <w:r w:rsidR="000153D3">
        <w:t>b</w:t>
      </w:r>
      <w:r w:rsidR="000153D3">
        <w:t>speicherung der erzeugten Ergebnisse.</w:t>
      </w:r>
    </w:p>
    <w:p w:rsidR="00BA06FA" w:rsidRDefault="00BA06FA" w:rsidP="00BA06FA">
      <w:pPr>
        <w:pStyle w:val="Text"/>
      </w:pPr>
      <w:r>
        <w:t>Auf zwei Unterschiede zwischen dem üblichen Gebrauch von „Stilinterpr</w:t>
      </w:r>
      <w:r>
        <w:t>e</w:t>
      </w:r>
      <w:r>
        <w:t>tation“ und dem hier verwendeten ist noch hinzuweisen:</w:t>
      </w:r>
    </w:p>
    <w:p w:rsidR="00BA06FA" w:rsidRDefault="00BA06FA" w:rsidP="00BA06FA">
      <w:pPr>
        <w:pStyle w:val="Text"/>
      </w:pPr>
      <w:r>
        <w:t xml:space="preserve">(1) </w:t>
      </w:r>
      <w:r>
        <w:tab/>
        <w:t xml:space="preserve">Oft wird unter „Stilinterpretation“ ausschließlich ein absichtlicher Vorgang der Auseinandersetzung mit einem Stil verstanden. Hier sind dagegen alle Vorgänge </w:t>
      </w:r>
      <w:r w:rsidR="000F095D">
        <w:t>erfasst</w:t>
      </w:r>
      <w:r w:rsidR="006C6B80">
        <w:t>, die</w:t>
      </w:r>
      <w:r>
        <w:t xml:space="preserve"> aus den Merkmalsregeln Proposition</w:t>
      </w:r>
      <w:r w:rsidR="006C6B80">
        <w:t>sannahmen</w:t>
      </w:r>
      <w:r>
        <w:t xml:space="preserve">, </w:t>
      </w:r>
      <w:r w:rsidR="006C6B80">
        <w:t>Ei</w:t>
      </w:r>
      <w:r w:rsidR="006C6B80">
        <w:t>n</w:t>
      </w:r>
      <w:r w:rsidR="006C6B80">
        <w:t xml:space="preserve">drücke </w:t>
      </w:r>
      <w:r>
        <w:t xml:space="preserve">oder </w:t>
      </w:r>
      <w:r w:rsidR="006C6B80">
        <w:t xml:space="preserve">Gefühle </w:t>
      </w:r>
      <w:r>
        <w:t>erzeugen. Das können absichtliche Prozesse, aber auch automatische Reaktionen bei</w:t>
      </w:r>
      <w:r w:rsidR="004C2299">
        <w:t xml:space="preserve">m Auslesen </w:t>
      </w:r>
      <w:r w:rsidR="00E16184">
        <w:t>der Merkmalsregeln</w:t>
      </w:r>
      <w:r>
        <w:t xml:space="preserve"> sein; es kann sich um einen gezielt eingeleiteten Interpretationsvorgang, ein paar kurze Überl</w:t>
      </w:r>
      <w:r>
        <w:t>e</w:t>
      </w:r>
      <w:r>
        <w:t>gungen, um ungewollt auftauchende Reaktionen oder selbst um Wahrnehmu</w:t>
      </w:r>
      <w:r>
        <w:t>n</w:t>
      </w:r>
      <w:r>
        <w:t>gen beim Betrachten einer stiltragenden Realisierung handeln, die zu diesem Zeitpunkt gar nicht ins Bewusstsein treten.</w:t>
      </w:r>
    </w:p>
    <w:p w:rsidR="00BA06FA" w:rsidRDefault="00BA06FA" w:rsidP="00BA06FA">
      <w:pPr>
        <w:pStyle w:val="Text"/>
      </w:pPr>
      <w:r>
        <w:t>(2)</w:t>
      </w:r>
      <w:r>
        <w:tab/>
        <w:t xml:space="preserve">Eine „Stilinterpretation“ wird gewöhnlich nur auf Seite des </w:t>
      </w:r>
      <w:r w:rsidR="0022253A">
        <w:t>Stilwah</w:t>
      </w:r>
      <w:r w:rsidR="0022253A">
        <w:t>r</w:t>
      </w:r>
      <w:r w:rsidR="0022253A">
        <w:t xml:space="preserve">nehmers </w:t>
      </w:r>
      <w:r>
        <w:t xml:space="preserve">angenommen; es wird nicht angenommen, dass der </w:t>
      </w:r>
      <w:r w:rsidR="0022253A">
        <w:t xml:space="preserve">Stilanwender </w:t>
      </w:r>
      <w:r>
        <w:t>seinen eigenen Stil vor dem</w:t>
      </w:r>
      <w:r w:rsidR="002473EA">
        <w:t xml:space="preserve"> Anwenden</w:t>
      </w:r>
      <w:r>
        <w:t xml:space="preserve"> interpretiert. Der hier unter „Stilinterpretation“ verstandene Prozess spielt dagegen auch auf</w:t>
      </w:r>
      <w:r w:rsidR="00817459">
        <w:t xml:space="preserve"> Anwenderseite </w:t>
      </w:r>
      <w:r>
        <w:t xml:space="preserve">eine Rolle: Der </w:t>
      </w:r>
      <w:r w:rsidR="00C75387">
        <w:t>Sti</w:t>
      </w:r>
      <w:r w:rsidR="00C75387">
        <w:t>l</w:t>
      </w:r>
      <w:r w:rsidR="00C75387">
        <w:t>anwender</w:t>
      </w:r>
      <w:r>
        <w:t xml:space="preserve"> kann vor der Einschreibung einer Menge von </w:t>
      </w:r>
      <w:r w:rsidR="00B95307">
        <w:t>Merkmals</w:t>
      </w:r>
      <w:r>
        <w:t>regeln die d</w:t>
      </w:r>
      <w:r>
        <w:t>a</w:t>
      </w:r>
      <w:r>
        <w:t xml:space="preserve">raus erzeugbaren </w:t>
      </w:r>
      <w:r w:rsidR="00F548CB">
        <w:t xml:space="preserve">Interpretationsergebnisse </w:t>
      </w:r>
      <w:r>
        <w:t>berücksichtigen, indem er sie prob</w:t>
      </w:r>
      <w:r>
        <w:t>e</w:t>
      </w:r>
      <w:r>
        <w:t>weise interpretiert (vgl. Abschnitt</w:t>
      </w:r>
      <w:r w:rsidR="00CB7B3C">
        <w:t xml:space="preserve"> </w:t>
      </w:r>
      <w:r w:rsidR="005D7996">
        <w:fldChar w:fldCharType="begin"/>
      </w:r>
      <w:r w:rsidR="00CB7B3C">
        <w:instrText xml:space="preserve"> REF _Ref261443581 \r \h </w:instrText>
      </w:r>
      <w:r w:rsidR="005D7996">
        <w:fldChar w:fldCharType="separate"/>
      </w:r>
      <w:r w:rsidR="001231D3">
        <w:t>7.3.1</w:t>
      </w:r>
      <w:r w:rsidR="005D7996">
        <w:fldChar w:fldCharType="end"/>
      </w:r>
      <w:r w:rsidR="003B4B8C">
        <w:t xml:space="preserve">, </w:t>
      </w:r>
      <w:r>
        <w:t xml:space="preserve">Funktion </w:t>
      </w:r>
      <w:r w:rsidRPr="00565BCE">
        <w:rPr>
          <w:i/>
        </w:rPr>
        <w:t>Stil_</w:t>
      </w:r>
      <w:r w:rsidR="003B4B8C" w:rsidRPr="00565BCE">
        <w:rPr>
          <w:i/>
        </w:rPr>
        <w:t>bereitstellen</w:t>
      </w:r>
      <w:r>
        <w:t>).</w:t>
      </w:r>
    </w:p>
    <w:p w:rsidR="00BA06FA" w:rsidRDefault="00BA06FA" w:rsidP="00BA06FA">
      <w:pPr>
        <w:pStyle w:val="Text"/>
      </w:pPr>
      <w:r>
        <w:t>Nehmen wir als Beispiel den Stil des Architekten Richard Meier</w:t>
      </w:r>
      <w:r w:rsidR="005D7996">
        <w:fldChar w:fldCharType="begin"/>
      </w:r>
      <w:r w:rsidR="00E03D5C">
        <w:instrText xml:space="preserve"> XE "</w:instrText>
      </w:r>
      <w:r w:rsidR="00E03D5C" w:rsidRPr="005B322F">
        <w:instrText>Meier, Richard</w:instrText>
      </w:r>
      <w:r w:rsidR="00E03D5C">
        <w:instrText xml:space="preserve">" </w:instrText>
      </w:r>
      <w:r w:rsidR="005D7996">
        <w:fldChar w:fldCharType="end"/>
      </w:r>
      <w:r>
        <w:t>: Dort we</w:t>
      </w:r>
      <w:r>
        <w:t>r</w:t>
      </w:r>
      <w:r>
        <w:t>den moderne Elemente mit postmodernen Elementen kombiniert und entgegen den Grundprinzipien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angewandt (vgl. Abschnitt </w:t>
      </w:r>
      <w:r w:rsidR="005D7996">
        <w:fldChar w:fldCharType="begin"/>
      </w:r>
      <w:r>
        <w:instrText xml:space="preserve"> REF _Ref254386965 \r \h </w:instrText>
      </w:r>
      <w:r w:rsidR="005D7996">
        <w:fldChar w:fldCharType="separate"/>
      </w:r>
      <w:r w:rsidR="001231D3">
        <w:t>7.1.1</w:t>
      </w:r>
      <w:r w:rsidR="005D7996">
        <w:fldChar w:fldCharType="end"/>
      </w:r>
      <w:r>
        <w:t xml:space="preserve">, </w:t>
      </w:r>
      <w:r>
        <w:rPr>
          <w:i/>
          <w:iCs/>
        </w:rPr>
        <w:t>Er</w:t>
      </w:r>
      <w:r>
        <w:rPr>
          <w:vertAlign w:val="subscript"/>
        </w:rPr>
        <w:t>2</w:t>
      </w:r>
      <w:r w:rsidR="00F779E5">
        <w:rPr>
          <w:vertAlign w:val="subscript"/>
        </w:rPr>
        <w:t>0</w:t>
      </w:r>
      <w:r w:rsidR="003B4B8C">
        <w:t>)</w:t>
      </w:r>
      <w:r>
        <w:t>. G</w:t>
      </w:r>
      <w:r>
        <w:t>e</w:t>
      </w:r>
      <w:r>
        <w:t>schieht dies absichtlich, ist klar, dass die Merkmal</w:t>
      </w:r>
      <w:r w:rsidR="00E16184">
        <w:t>sregeln</w:t>
      </w:r>
      <w:r>
        <w:t xml:space="preserve"> so gewählt sein mü</w:t>
      </w:r>
      <w:r>
        <w:t>s</w:t>
      </w:r>
      <w:r>
        <w:t>sen, dass sich aus ihnen durch eine Interpretation das entsprechende Ergebnis (</w:t>
      </w:r>
      <w:r>
        <w:rPr>
          <w:i/>
          <w:iCs/>
        </w:rPr>
        <w:t>Er</w:t>
      </w:r>
      <w:r>
        <w:rPr>
          <w:vertAlign w:val="subscript"/>
        </w:rPr>
        <w:t>12</w:t>
      </w:r>
      <w:r>
        <w:t>) erzeugen lässt. Doch selbst wenn dies nicht von Meier beabsichtigt ist, kann ein entsprechender Prozess ablaufen: Meier könnte die Merkmal</w:t>
      </w:r>
      <w:r w:rsidR="00E16184">
        <w:t>sregeln</w:t>
      </w:r>
      <w:r>
        <w:t xml:space="preserve"> unbeabsichtigt so verwenden, dass sich das entsprechende Ergebnis daraus e</w:t>
      </w:r>
      <w:r>
        <w:t>r</w:t>
      </w:r>
      <w:r>
        <w:t>zeugen lässt, etwa wenn das Ergebnis – die Aneignung moderner Grundelemente und Verwendung entgegen ihrer ursprünglichen Intention – in seiner Umgebung präsent ist und ihn so beeinflusst, dass er die entsprechenden Merkmalsregeln wählt; oder wenn es während des Entwurfsprozesses als ästhetisches Prinzip fungiert, ohne dass er es absichtlich anwenden würde. Die Berücksichtigung möglicher Interpretationen bei der Einschreibung eines Stils macht keine Auss</w:t>
      </w:r>
      <w:r>
        <w:t>a</w:t>
      </w:r>
      <w:r>
        <w:t>ge über Absichtlichkeit oder Unabsichtlichkeit des Vorgangs.</w:t>
      </w:r>
    </w:p>
    <w:p w:rsidR="00731F25" w:rsidRDefault="0009450A" w:rsidP="00731F25">
      <w:pPr>
        <w:pStyle w:val="Titel2"/>
      </w:pPr>
      <w:bookmarkStart w:id="288" w:name="_Ref254352653"/>
      <w:bookmarkStart w:id="289" w:name="_Toc325456760"/>
      <w:bookmarkEnd w:id="287"/>
      <w:r>
        <w:lastRenderedPageBreak/>
        <w:t>Grundlagen der Stili</w:t>
      </w:r>
      <w:r w:rsidR="00627B3F">
        <w:t>nterpretation</w:t>
      </w:r>
      <w:bookmarkEnd w:id="288"/>
      <w:bookmarkEnd w:id="289"/>
    </w:p>
    <w:p w:rsidR="00A7048B" w:rsidRDefault="00A7048B" w:rsidP="00226A91">
      <w:pPr>
        <w:pStyle w:val="Titel3"/>
        <w:spacing w:before="240"/>
      </w:pPr>
      <w:bookmarkStart w:id="290" w:name="_Ref248036699"/>
      <w:bookmarkStart w:id="291" w:name="_Toc325456761"/>
      <w:bookmarkStart w:id="292" w:name="Operationen"/>
      <w:r>
        <w:t>Operationen</w:t>
      </w:r>
      <w:bookmarkEnd w:id="290"/>
      <w:bookmarkEnd w:id="291"/>
    </w:p>
    <w:p w:rsidR="00A7048B" w:rsidRDefault="005D7996" w:rsidP="00F4161F">
      <w:pPr>
        <w:pStyle w:val="Text"/>
        <w:ind w:firstLine="0"/>
      </w:pPr>
      <w:r>
        <w:fldChar w:fldCharType="begin"/>
      </w:r>
      <w:r w:rsidR="007247A5">
        <w:instrText xml:space="preserve"> XE "Operationen (der Interpretation)" \r "Operationen" </w:instrText>
      </w:r>
      <w:r>
        <w:fldChar w:fldCharType="end"/>
      </w:r>
      <w:r>
        <w:fldChar w:fldCharType="begin"/>
      </w:r>
      <w:r w:rsidR="007247A5">
        <w:instrText xml:space="preserve"> XE "Operationen (der Interpretation)" \t "</w:instrText>
      </w:r>
      <w:r w:rsidR="007247A5" w:rsidRPr="007247A5">
        <w:rPr>
          <w:i/>
        </w:rPr>
        <w:instrText>et passim</w:instrText>
      </w:r>
      <w:r w:rsidR="007247A5">
        <w:instrText xml:space="preserve">" </w:instrText>
      </w:r>
      <w:r>
        <w:fldChar w:fldCharType="end"/>
      </w:r>
      <w:r>
        <w:fldChar w:fldCharType="begin"/>
      </w:r>
      <w:r w:rsidR="00511EA9">
        <w:instrText xml:space="preserve"> XE "Schlussverfahren</w:instrText>
      </w:r>
      <w:r w:rsidR="006C0F83">
        <w:instrText>, logische</w:instrText>
      </w:r>
      <w:r w:rsidR="00511EA9">
        <w:instrText xml:space="preserve">" \r "Operationen" </w:instrText>
      </w:r>
      <w:r>
        <w:fldChar w:fldCharType="end"/>
      </w:r>
      <w:r>
        <w:fldChar w:fldCharType="begin"/>
      </w:r>
      <w:r w:rsidR="006574D9">
        <w:instrText xml:space="preserve"> XE "Deduktion" \r "Operationen" </w:instrText>
      </w:r>
      <w:r>
        <w:fldChar w:fldCharType="end"/>
      </w:r>
      <w:r>
        <w:fldChar w:fldCharType="begin"/>
      </w:r>
      <w:r w:rsidR="006574D9">
        <w:instrText xml:space="preserve"> XE "Induktion" \r "Operationen" </w:instrText>
      </w:r>
      <w:r>
        <w:fldChar w:fldCharType="end"/>
      </w:r>
      <w:r>
        <w:fldChar w:fldCharType="begin"/>
      </w:r>
      <w:r w:rsidR="006574D9">
        <w:instrText xml:space="preserve"> XE "Abduktion" \r "Operationen" </w:instrText>
      </w:r>
      <w:r>
        <w:fldChar w:fldCharType="end"/>
      </w:r>
      <w:r>
        <w:fldChar w:fldCharType="begin"/>
      </w:r>
      <w:r w:rsidR="006574D9">
        <w:instrText xml:space="preserve"> XE "Assoziation" \r "Operationen" </w:instrText>
      </w:r>
      <w:r>
        <w:fldChar w:fldCharType="end"/>
      </w:r>
      <w:r>
        <w:fldChar w:fldCharType="begin"/>
      </w:r>
      <w:r w:rsidR="006574D9">
        <w:instrText xml:space="preserve"> XE "Bedeutungssuche" \r "Operationen" </w:instrText>
      </w:r>
      <w:r>
        <w:fldChar w:fldCharType="end"/>
      </w:r>
      <w:r>
        <w:fldChar w:fldCharType="begin"/>
      </w:r>
      <w:r w:rsidR="006574D9">
        <w:instrText xml:space="preserve"> XE "Gefühlsreaktion" \r "Operationen" </w:instrText>
      </w:r>
      <w:r>
        <w:fldChar w:fldCharType="end"/>
      </w:r>
      <w:r>
        <w:fldChar w:fldCharType="begin"/>
      </w:r>
      <w:r w:rsidR="006574D9">
        <w:instrText xml:space="preserve"> XE "Eindrucksreaktion" \r "Operationen" </w:instrText>
      </w:r>
      <w:r>
        <w:fldChar w:fldCharType="end"/>
      </w:r>
      <w:r w:rsidR="00A7048B">
        <w:t xml:space="preserve">Es können verschiedene Operationen verwendet werden, um </w:t>
      </w:r>
      <w:r w:rsidR="008531B6">
        <w:t xml:space="preserve">Ergebnisse </w:t>
      </w:r>
      <w:r w:rsidR="00A7048B">
        <w:t xml:space="preserve">aus den Merkmalsregeln zu </w:t>
      </w:r>
      <w:r w:rsidR="008531B6">
        <w:t>erzeugen</w:t>
      </w:r>
      <w:r w:rsidR="00A7048B">
        <w:t>. Prinzipiell scheint es naheliegend, dass alle kogn</w:t>
      </w:r>
      <w:r w:rsidR="00A7048B">
        <w:t>i</w:t>
      </w:r>
      <w:r w:rsidR="00A7048B">
        <w:t>tiven Prozesse, mit denen aus einem Input ein davon verschiedener Output e</w:t>
      </w:r>
      <w:r w:rsidR="00A7048B">
        <w:t>r</w:t>
      </w:r>
      <w:r w:rsidR="00A7048B">
        <w:t>zeugt werden kann, für die Interpretation verwendet werden können. Für die Analyse der meisten Beispiele reicht es aus, die folgenden Operationen anz</w:t>
      </w:r>
      <w:r w:rsidR="00A7048B">
        <w:t>u</w:t>
      </w:r>
      <w:r w:rsidR="00A7048B">
        <w:t>nehmen:</w:t>
      </w:r>
    </w:p>
    <w:p w:rsidR="00A7048B" w:rsidRDefault="001E5965" w:rsidP="00F4161F">
      <w:pPr>
        <w:pStyle w:val="Text"/>
        <w:ind w:firstLine="0"/>
      </w:pPr>
      <w:r>
        <w:t>–</w:t>
      </w:r>
      <w:r>
        <w:tab/>
      </w:r>
      <w:r w:rsidR="00A7048B">
        <w:t>die logischen Schluss</w:t>
      </w:r>
      <w:r w:rsidR="00096A03">
        <w:t>verfahren</w:t>
      </w:r>
      <w:r w:rsidR="00A7048B">
        <w:t xml:space="preserve"> Abduktion, Induktion und Deduktion;</w:t>
      </w:r>
    </w:p>
    <w:p w:rsidR="00824DC3" w:rsidRDefault="001E5965" w:rsidP="00F4161F">
      <w:pPr>
        <w:pStyle w:val="Text"/>
        <w:ind w:firstLine="0"/>
      </w:pPr>
      <w:r>
        <w:t>–</w:t>
      </w:r>
      <w:r>
        <w:tab/>
      </w:r>
      <w:r w:rsidR="00824DC3">
        <w:t>Assoziation;</w:t>
      </w:r>
    </w:p>
    <w:p w:rsidR="001E5965" w:rsidRDefault="001E5965" w:rsidP="00F4161F">
      <w:pPr>
        <w:pStyle w:val="Text"/>
        <w:ind w:firstLine="0"/>
      </w:pPr>
      <w:r>
        <w:t>–</w:t>
      </w:r>
      <w:r>
        <w:tab/>
        <w:t>Bedeutungssuche;</w:t>
      </w:r>
    </w:p>
    <w:p w:rsidR="00A7048B" w:rsidRDefault="001E5965" w:rsidP="00F4161F">
      <w:pPr>
        <w:pStyle w:val="Text"/>
        <w:ind w:firstLine="0"/>
      </w:pPr>
      <w:r>
        <w:t>–</w:t>
      </w:r>
      <w:r>
        <w:tab/>
      </w:r>
      <w:r w:rsidR="00A7048B">
        <w:t>Gefühlsreaktion;</w:t>
      </w:r>
    </w:p>
    <w:p w:rsidR="00A7048B" w:rsidRDefault="001E5965" w:rsidP="00F4161F">
      <w:pPr>
        <w:pStyle w:val="Text"/>
        <w:ind w:firstLine="0"/>
      </w:pPr>
      <w:r>
        <w:t>–</w:t>
      </w:r>
      <w:r>
        <w:tab/>
      </w:r>
      <w:r w:rsidR="00824DC3">
        <w:t>Eindrucksreaktion.</w:t>
      </w:r>
    </w:p>
    <w:p w:rsidR="002F5885" w:rsidRDefault="00A7048B" w:rsidP="00A7048B">
      <w:pPr>
        <w:pStyle w:val="Text"/>
      </w:pPr>
      <w:r>
        <w:t>Dabei gelten Sortenbeschränkungen. So erzeugen die logischen Schluss</w:t>
      </w:r>
      <w:r w:rsidR="002F5885">
        <w:t>ve</w:t>
      </w:r>
      <w:r w:rsidR="002F5885">
        <w:t>r</w:t>
      </w:r>
      <w:r w:rsidR="002F5885">
        <w:t>fahren</w:t>
      </w:r>
      <w:r>
        <w:t xml:space="preserve"> </w:t>
      </w:r>
      <w:r w:rsidR="002F5885">
        <w:t xml:space="preserve">und die Bedeutungssuche </w:t>
      </w:r>
      <w:r>
        <w:t>Proposition</w:t>
      </w:r>
      <w:r w:rsidR="00791ED1">
        <w:t>sannahmen</w:t>
      </w:r>
      <w:r>
        <w:t xml:space="preserve">, die Gefühlsreaktion Gefühle und die Eindrucksreaktion Eindrücke. </w:t>
      </w:r>
      <w:r w:rsidR="002F5885">
        <w:t>Für die Assoziation wird ang</w:t>
      </w:r>
      <w:r w:rsidR="002F5885">
        <w:t>e</w:t>
      </w:r>
      <w:r w:rsidR="002F5885">
        <w:t>nommen, dass sie zu allen drei Sorten von Ergebnissen führen kann.</w:t>
      </w:r>
    </w:p>
    <w:p w:rsidR="00A7048B" w:rsidRDefault="00A7048B" w:rsidP="00A7048B">
      <w:pPr>
        <w:pStyle w:val="Text"/>
      </w:pPr>
      <w:r>
        <w:t>Was den Input der Operationen betrifft, wird dagegen Flexibilität ang</w:t>
      </w:r>
      <w:r>
        <w:t>e</w:t>
      </w:r>
      <w:r>
        <w:t xml:space="preserve">nommen: </w:t>
      </w:r>
      <w:r w:rsidR="002F5885">
        <w:t>Die logischen Schlussverfahren</w:t>
      </w:r>
      <w:r w:rsidR="002257AE">
        <w:t xml:space="preserve">, die </w:t>
      </w:r>
      <w:r w:rsidR="002F5885">
        <w:t xml:space="preserve">Assoziation und </w:t>
      </w:r>
      <w:r w:rsidR="002257AE">
        <w:t xml:space="preserve">die </w:t>
      </w:r>
      <w:r w:rsidR="002F5885">
        <w:t>Bedeutung</w:t>
      </w:r>
      <w:r w:rsidR="002F5885">
        <w:t>s</w:t>
      </w:r>
      <w:r w:rsidR="002F5885">
        <w:t>suche können ausgehend von Propositionen, aber auch von Gefühlen und Ei</w:t>
      </w:r>
      <w:r w:rsidR="002F5885">
        <w:t>n</w:t>
      </w:r>
      <w:r w:rsidR="002F5885">
        <w:t xml:space="preserve">drücken oder einer Kombination </w:t>
      </w:r>
      <w:r w:rsidR="002257AE">
        <w:t>von Ergebnissen verschiedener Sorten stattfi</w:t>
      </w:r>
      <w:r w:rsidR="002257AE">
        <w:t>n</w:t>
      </w:r>
      <w:r w:rsidR="002257AE">
        <w:t>den</w:t>
      </w:r>
      <w:r w:rsidR="002F5885">
        <w:t xml:space="preserve">. Ebenso können </w:t>
      </w:r>
      <w:r w:rsidR="00550C49">
        <w:t xml:space="preserve">die </w:t>
      </w:r>
      <w:r>
        <w:t xml:space="preserve">Gefühlsreaktion </w:t>
      </w:r>
      <w:r w:rsidR="002F5885">
        <w:t xml:space="preserve">und </w:t>
      </w:r>
      <w:r w:rsidR="00550C49">
        <w:t xml:space="preserve">die </w:t>
      </w:r>
      <w:r w:rsidR="002F5885">
        <w:t>Eindrucksreaktion</w:t>
      </w:r>
      <w:r w:rsidR="00550C49">
        <w:t xml:space="preserve"> </w:t>
      </w:r>
      <w:r w:rsidR="002F5885">
        <w:t>aufgrund von früheren Gefühlen bzw. Eindrücken, aber auch aufgrund von Ergebnissen anderer Sorten stattfinden.</w:t>
      </w:r>
    </w:p>
    <w:p w:rsidR="00A7048B" w:rsidRDefault="00A7048B" w:rsidP="00A7048B">
      <w:pPr>
        <w:pStyle w:val="Text"/>
      </w:pPr>
      <w:r>
        <w:t>Somit trennt sich eine Interpretation keineswegs in propositional</w:t>
      </w:r>
      <w:r w:rsidR="00791ED1">
        <w:t xml:space="preserve"> repräse</w:t>
      </w:r>
      <w:r w:rsidR="00791ED1">
        <w:t>n</w:t>
      </w:r>
      <w:r w:rsidR="00791ED1">
        <w:t>tierte</w:t>
      </w:r>
      <w:r w:rsidR="005D7996">
        <w:fldChar w:fldCharType="begin"/>
      </w:r>
      <w:r w:rsidR="00F86698">
        <w:instrText xml:space="preserve"> XE "</w:instrText>
      </w:r>
      <w:r w:rsidR="00F86698" w:rsidRPr="00943E02">
        <w:instrText>mentale Repräsentation:propositionale</w:instrText>
      </w:r>
      <w:r w:rsidR="00F86698">
        <w:instrText xml:space="preserve">" </w:instrText>
      </w:r>
      <w:r w:rsidR="005D7996">
        <w:fldChar w:fldCharType="end"/>
      </w:r>
      <w:r>
        <w:t>, gefühlsmäßige und eindrucksbezogene Reaktionsketten auf einen Stil. Vielmehr führen die Ergebnisse jeder Sorte mit Hilfe der Operationen auch wi</w:t>
      </w:r>
      <w:r>
        <w:t>e</w:t>
      </w:r>
      <w:r>
        <w:t>der zu Ergebnissen der anderen Sorten. Alle drei Ergebnissorten wirken zusa</w:t>
      </w:r>
      <w:r>
        <w:t>m</w:t>
      </w:r>
      <w:r>
        <w:t>men.</w:t>
      </w:r>
    </w:p>
    <w:p w:rsidR="00A7048B" w:rsidRDefault="00813780" w:rsidP="00A7048B">
      <w:pPr>
        <w:pStyle w:val="Text"/>
      </w:pPr>
      <w:r>
        <w:t>Wir könnten jede Operation einzeln spezifizieren, doch dann wäre bei jeder Änderung der verwendeten Operationen ein Eingriff in den Programmcode e</w:t>
      </w:r>
      <w:r>
        <w:t>r</w:t>
      </w:r>
      <w:r>
        <w:t xml:space="preserve">forderlich. Praktischer ist es, die Operationen </w:t>
      </w:r>
      <w:r w:rsidR="00A7048B">
        <w:t xml:space="preserve">zu der Operationenmenge </w:t>
      </w:r>
      <w:r w:rsidR="00A7048B" w:rsidRPr="0046765A">
        <w:rPr>
          <w:i/>
        </w:rPr>
        <w:t>Op</w:t>
      </w:r>
      <w:r w:rsidR="00A7048B">
        <w:t xml:space="preserve"> zusammen</w:t>
      </w:r>
      <w:r>
        <w:t>zufassen</w:t>
      </w:r>
      <w:r w:rsidR="00A7048B">
        <w:t>; diese wird</w:t>
      </w:r>
      <w:r>
        <w:t xml:space="preserve"> nicht als Parameter übergeben, </w:t>
      </w:r>
      <w:r w:rsidR="00A7048B">
        <w:t xml:space="preserve">sondern bei jeden Aufruf der Funktion </w:t>
      </w:r>
      <w:r w:rsidR="00A7048B" w:rsidRPr="00565BCE">
        <w:rPr>
          <w:i/>
        </w:rPr>
        <w:t>Interpretation</w:t>
      </w:r>
      <w:r w:rsidR="00A7048B">
        <w:t xml:space="preserve"> neu zusammengestellt. Es wird angeno</w:t>
      </w:r>
      <w:r w:rsidR="00A7048B">
        <w:t>m</w:t>
      </w:r>
      <w:r w:rsidR="00A7048B">
        <w:t>men, dass diese Zusammenstellung abhängig vom interpretierenden Individuum und der Interpretationssituation erfolgt.</w:t>
      </w:r>
    </w:p>
    <w:p w:rsidR="00A7048B" w:rsidRDefault="00A7048B" w:rsidP="00A7048B">
      <w:pPr>
        <w:pStyle w:val="Text"/>
      </w:pPr>
      <w:r>
        <w:t xml:space="preserve">In Abschnitt </w:t>
      </w:r>
      <w:r w:rsidR="005D7996">
        <w:fldChar w:fldCharType="begin"/>
      </w:r>
      <w:r w:rsidR="00FE3966">
        <w:instrText xml:space="preserve"> REF _Ref259795418 \r \h </w:instrText>
      </w:r>
      <w:r w:rsidR="005D7996">
        <w:fldChar w:fldCharType="separate"/>
      </w:r>
      <w:r w:rsidR="001231D3">
        <w:t>6.4</w:t>
      </w:r>
      <w:r w:rsidR="005D7996">
        <w:fldChar w:fldCharType="end"/>
      </w:r>
      <w:r w:rsidR="00FE3966">
        <w:t xml:space="preserve"> </w:t>
      </w:r>
      <w:r>
        <w:t xml:space="preserve">werden Beispiele für die oben genannten Operationen – Deduktion, Abduktion, Induktion, </w:t>
      </w:r>
      <w:r w:rsidR="001E5965">
        <w:t xml:space="preserve">Bedeutungssuche, Assoziation, </w:t>
      </w:r>
      <w:r>
        <w:t>Gefühlsrea</w:t>
      </w:r>
      <w:r>
        <w:t>k</w:t>
      </w:r>
      <w:r>
        <w:t xml:space="preserve">tion, Eindrucksreaktion – gegeben. Diese Liste von Operationen soll jedoch nicht als abgeschlossen betrachtet werden. Insbesondere sollen keine normativen Annahmen über richtiges und falsches Interpretieren zu einer Beschränkung der </w:t>
      </w:r>
      <w:r>
        <w:lastRenderedPageBreak/>
        <w:t>angenommenen Operationen führen. Bei der Beschäftigung mit der Stilinterpr</w:t>
      </w:r>
      <w:r>
        <w:t>e</w:t>
      </w:r>
      <w:r>
        <w:t>tation muss man sich bewusst sein, dass die Annahme von Operationen durch historisch entstandene Wertungen, den Grad der Erforschtheit oder die Präzis</w:t>
      </w:r>
      <w:r>
        <w:t>i</w:t>
      </w:r>
      <w:r>
        <w:t>on, mit der sie angewendet werden können, bedingt sein kann. Es ist wah</w:t>
      </w:r>
      <w:r>
        <w:t>r</w:t>
      </w:r>
      <w:r>
        <w:t>scheinlich, dass die Liste anzunehmender Operationen mit dem Fortgang der Forschung zu kognitiven Prozessen verändert werden muss. Indem diese Liste offengehalten wird, kann das Modell an neue Erkenntnisse über Operationen der Interpretation leicht angepasst werden.</w:t>
      </w:r>
    </w:p>
    <w:p w:rsidR="00A7048B" w:rsidRDefault="00A7048B" w:rsidP="00F4161F">
      <w:pPr>
        <w:pStyle w:val="Text"/>
        <w:spacing w:before="240"/>
        <w:ind w:firstLine="0"/>
      </w:pPr>
      <w:r>
        <w:t>Wir nehmen die folgende Operationenmenge an:</w:t>
      </w:r>
    </w:p>
    <w:p w:rsidR="00A7048B" w:rsidRDefault="00A7048B" w:rsidP="00F4161F">
      <w:pPr>
        <w:pStyle w:val="Formel"/>
        <w:rPr>
          <w:lang w:val="en-US"/>
        </w:rPr>
      </w:pPr>
      <w:r w:rsidRPr="00AF1A40">
        <w:rPr>
          <w:i/>
          <w:lang w:val="en-US"/>
        </w:rPr>
        <w:t>Op</w:t>
      </w:r>
      <w:r w:rsidRPr="00AF1A40">
        <w:rPr>
          <w:lang w:val="en-US"/>
        </w:rPr>
        <w:t xml:space="preserve"> := {Ded, Ind, Abd, </w:t>
      </w:r>
      <w:r w:rsidR="00E10977">
        <w:rPr>
          <w:lang w:val="en-US"/>
        </w:rPr>
        <w:t xml:space="preserve">Ass, </w:t>
      </w:r>
      <w:r w:rsidR="00EE4794">
        <w:rPr>
          <w:lang w:val="en-US"/>
        </w:rPr>
        <w:t xml:space="preserve">Bed, </w:t>
      </w:r>
      <w:r w:rsidR="00E10977">
        <w:rPr>
          <w:lang w:val="en-US"/>
        </w:rPr>
        <w:t>G</w:t>
      </w:r>
      <w:r w:rsidR="00A34BB6">
        <w:rPr>
          <w:lang w:val="en-US"/>
        </w:rPr>
        <w:t>f</w:t>
      </w:r>
      <w:r w:rsidR="00E10977">
        <w:rPr>
          <w:lang w:val="en-US"/>
        </w:rPr>
        <w:t>r</w:t>
      </w:r>
      <w:r w:rsidR="00A34BB6">
        <w:rPr>
          <w:lang w:val="en-US"/>
        </w:rPr>
        <w:t>, Edr</w:t>
      </w:r>
      <w:r w:rsidRPr="00AF1A40">
        <w:rPr>
          <w:lang w:val="en-US"/>
        </w:rPr>
        <w:t>}</w:t>
      </w:r>
    </w:p>
    <w:p w:rsidR="005C1F8E" w:rsidRDefault="005C1F8E" w:rsidP="00A7048B">
      <w:pPr>
        <w:pStyle w:val="Text"/>
        <w:ind w:left="454" w:hanging="454"/>
      </w:pPr>
      <w:r w:rsidRPr="005C1F8E">
        <w:t>Operationen erhalten als Input</w:t>
      </w:r>
    </w:p>
    <w:p w:rsidR="005C1F8E" w:rsidRDefault="005C1F8E" w:rsidP="00F4161F">
      <w:pPr>
        <w:pStyle w:val="Text"/>
        <w:ind w:firstLine="0"/>
      </w:pPr>
      <w:r>
        <w:t>–</w:t>
      </w:r>
      <w:r>
        <w:tab/>
      </w:r>
      <w:r w:rsidRPr="005C1F8E">
        <w:t>eine oder mehrere Merkmalsr</w:t>
      </w:r>
      <w:r>
        <w:t xml:space="preserve">egeln </w:t>
      </w:r>
      <w:r w:rsidR="007E186C">
        <w:rPr>
          <w:i/>
          <w:iCs/>
        </w:rPr>
        <w:t>B</w:t>
      </w:r>
      <w:r w:rsidR="007E186C">
        <w:rPr>
          <w:iCs/>
          <w:vertAlign w:val="subscript"/>
        </w:rPr>
        <w:t>1</w:t>
      </w:r>
      <w:r w:rsidR="007E186C">
        <w:t xml:space="preserve">, …, </w:t>
      </w:r>
      <w:r w:rsidR="007E186C">
        <w:rPr>
          <w:i/>
          <w:iCs/>
        </w:rPr>
        <w:t>B</w:t>
      </w:r>
      <w:r w:rsidR="007E186C">
        <w:rPr>
          <w:i/>
          <w:vertAlign w:val="subscript"/>
        </w:rPr>
        <w:t>w</w:t>
      </w:r>
      <w:r>
        <w:t xml:space="preserve"> und/oder</w:t>
      </w:r>
    </w:p>
    <w:p w:rsidR="005C1F8E" w:rsidRDefault="005C1F8E" w:rsidP="00F4161F">
      <w:pPr>
        <w:pStyle w:val="Text"/>
        <w:ind w:firstLine="0"/>
      </w:pPr>
      <w:r>
        <w:t>–</w:t>
      </w:r>
      <w:r>
        <w:tab/>
      </w:r>
      <w:r w:rsidRPr="005C1F8E">
        <w:t xml:space="preserve">ein </w:t>
      </w:r>
      <w:r>
        <w:t xml:space="preserve">oder mehrere Ergebnisse </w:t>
      </w:r>
      <w:r w:rsidR="0030694C">
        <w:rPr>
          <w:i/>
          <w:iCs/>
        </w:rPr>
        <w:t>Er</w:t>
      </w:r>
      <w:r w:rsidR="0030694C">
        <w:rPr>
          <w:iCs/>
          <w:vertAlign w:val="subscript"/>
        </w:rPr>
        <w:t>(f)1</w:t>
      </w:r>
      <w:r w:rsidR="0030694C">
        <w:t xml:space="preserve">, …, </w:t>
      </w:r>
      <w:r w:rsidR="0030694C">
        <w:rPr>
          <w:i/>
          <w:iCs/>
        </w:rPr>
        <w:t>Er</w:t>
      </w:r>
      <w:r w:rsidR="0030694C" w:rsidRPr="00B47FCC">
        <w:rPr>
          <w:vertAlign w:val="subscript"/>
        </w:rPr>
        <w:t>(f)</w:t>
      </w:r>
      <w:r w:rsidR="0030694C">
        <w:rPr>
          <w:i/>
          <w:vertAlign w:val="subscript"/>
        </w:rPr>
        <w:t>x</w:t>
      </w:r>
      <w:r w:rsidR="0030694C">
        <w:t xml:space="preserve"> </w:t>
      </w:r>
      <w:r>
        <w:t>aus früheren Interpretation</w:t>
      </w:r>
      <w:r>
        <w:t>s</w:t>
      </w:r>
      <w:r>
        <w:t>schritten und/oder</w:t>
      </w:r>
    </w:p>
    <w:p w:rsidR="005C1F8E" w:rsidRPr="005C1F8E" w:rsidRDefault="005C1F8E" w:rsidP="00F4161F">
      <w:pPr>
        <w:pStyle w:val="Text"/>
        <w:ind w:firstLine="0"/>
      </w:pPr>
      <w:r>
        <w:t>–</w:t>
      </w:r>
      <w:r>
        <w:tab/>
        <w:t xml:space="preserve">ein oder mehrere Elemente des relevanten Hintergrundwissens </w:t>
      </w:r>
      <w:r w:rsidR="007E186C">
        <w:rPr>
          <w:i/>
          <w:iCs/>
        </w:rPr>
        <w:t>H</w:t>
      </w:r>
      <w:r w:rsidR="007E186C">
        <w:rPr>
          <w:iCs/>
          <w:vertAlign w:val="subscript"/>
        </w:rPr>
        <w:t>1</w:t>
      </w:r>
      <w:r w:rsidR="007E186C">
        <w:t xml:space="preserve">, …, </w:t>
      </w:r>
      <w:r w:rsidR="007E186C">
        <w:rPr>
          <w:i/>
          <w:iCs/>
        </w:rPr>
        <w:t>H</w:t>
      </w:r>
      <w:r w:rsidR="007E186C">
        <w:rPr>
          <w:i/>
          <w:vertAlign w:val="subscript"/>
        </w:rPr>
        <w:t>y</w:t>
      </w:r>
      <w:r>
        <w:t>.</w:t>
      </w:r>
    </w:p>
    <w:p w:rsidR="005C1F8E" w:rsidRDefault="005C1F8E" w:rsidP="00CC5826">
      <w:pPr>
        <w:pStyle w:val="Text"/>
      </w:pPr>
      <w:r>
        <w:t xml:space="preserve">Eine </w:t>
      </w:r>
      <w:r w:rsidRPr="005C1F8E">
        <w:t xml:space="preserve">Anwendung einer Operation </w:t>
      </w:r>
      <w:r>
        <w:t>ist ein</w:t>
      </w:r>
      <w:r w:rsidRPr="005C1F8E">
        <w:t xml:space="preserve"> </w:t>
      </w:r>
      <w:r w:rsidRPr="00DD0752">
        <w:rPr>
          <w:i/>
        </w:rPr>
        <w:t>Interpretationsschritt</w:t>
      </w:r>
      <w:r>
        <w:t>. Die allgeme</w:t>
      </w:r>
      <w:r>
        <w:t>i</w:t>
      </w:r>
      <w:r>
        <w:t>ne Form für einen Interpretationsschritt ist:</w:t>
      </w:r>
    </w:p>
    <w:p w:rsidR="005C1F8E" w:rsidRDefault="005C1F8E" w:rsidP="00F4161F">
      <w:pPr>
        <w:pStyle w:val="FormelTabrechts"/>
      </w:pPr>
      <w:r>
        <w:rPr>
          <w:i/>
          <w:iCs/>
        </w:rPr>
        <w:t>B</w:t>
      </w:r>
      <w:r>
        <w:rPr>
          <w:iCs/>
          <w:vertAlign w:val="subscript"/>
        </w:rPr>
        <w:t>1</w:t>
      </w:r>
      <w:r>
        <w:t xml:space="preserve">, …, </w:t>
      </w:r>
      <w:r>
        <w:rPr>
          <w:i/>
          <w:iCs/>
        </w:rPr>
        <w:t>B</w:t>
      </w:r>
      <w:r>
        <w:rPr>
          <w:i/>
          <w:vertAlign w:val="subscript"/>
        </w:rPr>
        <w:t>w</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Er</w:t>
      </w:r>
      <w:r w:rsidR="00B47FCC">
        <w:rPr>
          <w:iCs/>
          <w:vertAlign w:val="subscript"/>
        </w:rPr>
        <w:t>(f)1</w:t>
      </w:r>
      <w:r>
        <w:t xml:space="preserve">, …, </w:t>
      </w:r>
      <w:r>
        <w:rPr>
          <w:i/>
          <w:iCs/>
        </w:rPr>
        <w:t>Er</w:t>
      </w:r>
      <w:r w:rsidR="00B47FCC" w:rsidRPr="00B47FCC">
        <w:rPr>
          <w:vertAlign w:val="subscript"/>
        </w:rPr>
        <w:t>(f)</w:t>
      </w:r>
      <w:r w:rsidR="00B47FCC">
        <w:rPr>
          <w:i/>
          <w:vertAlign w:val="subscript"/>
        </w:rPr>
        <w:t>x</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t xml:space="preserve">, …, </w:t>
      </w:r>
      <w:r>
        <w:rPr>
          <w:i/>
          <w:iCs/>
        </w:rPr>
        <w:t>H</w:t>
      </w:r>
      <w:r>
        <w:rPr>
          <w:i/>
          <w:vertAlign w:val="subscript"/>
        </w:rPr>
        <w:t>y</w:t>
      </w:r>
      <w:r w:rsidR="00075E02">
        <w:t xml:space="preserve"> </w:t>
      </w:r>
      <w:r w:rsidR="002434D2">
        <w:rPr>
          <w:rFonts w:ascii="Cambria Math" w:eastAsia="Arial Unicode MS" w:hAnsi="Cambria Math" w:cs="Cambria Math"/>
          <w:color w:val="000000" w:themeColor="text1"/>
        </w:rPr>
        <w:t>⤳</w:t>
      </w:r>
      <w:r w:rsidR="00DA03E1" w:rsidRPr="00AC3B7B">
        <w:rPr>
          <w:color w:val="000000" w:themeColor="text1"/>
          <w:position w:val="-18"/>
          <w:sz w:val="18"/>
          <w:szCs w:val="18"/>
        </w:rPr>
        <w:object w:dxaOrig="380" w:dyaOrig="380">
          <v:shape id="_x0000_i1049" type="#_x0000_t75" style="width:18.8pt;height:19.2pt" o:ole="">
            <v:imagedata r:id="rId65" o:title=""/>
          </v:shape>
          <o:OLEObject Type="Embed" ProgID="Equation.3" ShapeID="_x0000_i1049" DrawAspect="Content" ObjectID="_1460983890" r:id="rId66"/>
        </w:object>
      </w:r>
      <w:r>
        <w:t xml:space="preserve"> </w:t>
      </w:r>
      <w:r>
        <w:rPr>
          <w:i/>
          <w:iCs/>
        </w:rPr>
        <w:t>Er</w:t>
      </w:r>
      <w:r w:rsidRPr="0062421C">
        <w:rPr>
          <w:vertAlign w:val="subscript"/>
        </w:rPr>
        <w:t>1</w:t>
      </w:r>
      <w:r>
        <w:t xml:space="preserve">, …, </w:t>
      </w:r>
      <w:r>
        <w:rPr>
          <w:i/>
          <w:iCs/>
        </w:rPr>
        <w:t>Er</w:t>
      </w:r>
      <w:r w:rsidRPr="0062421C">
        <w:rPr>
          <w:i/>
          <w:vertAlign w:val="subscript"/>
        </w:rPr>
        <w:t>z</w:t>
      </w:r>
      <w:r w:rsidR="00F4161F">
        <w:rPr>
          <w:i/>
          <w:vertAlign w:val="subscript"/>
        </w:rPr>
        <w:br/>
      </w:r>
      <w:r w:rsidR="00F4161F">
        <w:tab/>
      </w:r>
      <w:r w:rsidR="00F4161F">
        <w:tab/>
      </w:r>
      <w:r w:rsidR="00F4161F">
        <w:tab/>
      </w:r>
      <w:r w:rsidR="00F4161F">
        <w:tab/>
      </w:r>
      <w:r>
        <w:t xml:space="preserve">mit </w:t>
      </w:r>
      <w:r w:rsidRPr="005C1F8E">
        <w:rPr>
          <w:i/>
        </w:rPr>
        <w:t>w</w:t>
      </w:r>
      <w:r>
        <w:t xml:space="preserve"> + </w:t>
      </w:r>
      <w:r w:rsidRPr="005C1F8E">
        <w:rPr>
          <w:i/>
        </w:rPr>
        <w:t>x</w:t>
      </w:r>
      <w:r>
        <w:t xml:space="preserve"> + </w:t>
      </w:r>
      <w:r w:rsidRPr="005C1F8E">
        <w:rPr>
          <w:i/>
        </w:rPr>
        <w:t>y</w:t>
      </w:r>
      <w:r w:rsidRPr="005C1F8E">
        <w:t xml:space="preserve"> </w:t>
      </w:r>
      <w:r>
        <w:t>&gt; 0,</w:t>
      </w:r>
      <w:r w:rsidRPr="005C1F8E">
        <w:t xml:space="preserve"> </w:t>
      </w:r>
      <w:r>
        <w:rPr>
          <w:i/>
        </w:rPr>
        <w:t>z</w:t>
      </w:r>
      <w:r>
        <w:t xml:space="preserve"> &gt; 0</w:t>
      </w:r>
    </w:p>
    <w:p w:rsidR="00CC5826" w:rsidRDefault="00CC5826" w:rsidP="00F4161F">
      <w:pPr>
        <w:pStyle w:val="Text"/>
        <w:ind w:firstLine="0"/>
      </w:pPr>
      <w:r>
        <w:t>Operationen operieren mit unterschiedlichem Input: Merkmalsregeln, bereits erzeugten Ergebnissen und Hintergrundwissen.</w:t>
      </w:r>
    </w:p>
    <w:p w:rsidR="00CC5826" w:rsidRDefault="00CC5826" w:rsidP="00CC5826">
      <w:pPr>
        <w:pStyle w:val="Text"/>
      </w:pPr>
      <w:r>
        <w:t xml:space="preserve">Zum Input von Operationen gehören </w:t>
      </w:r>
      <w:r w:rsidRPr="0075532B">
        <w:t xml:space="preserve">Merkmalsregeln </w:t>
      </w:r>
      <w:r>
        <w:t xml:space="preserve">aus der Menge </w:t>
      </w:r>
      <w:r w:rsidRPr="0075532B">
        <w:rPr>
          <w:i/>
        </w:rPr>
        <w:t>B</w:t>
      </w:r>
      <w:r>
        <w:t xml:space="preserve">, die im </w:t>
      </w:r>
      <w:r w:rsidRPr="0075532B">
        <w:t>Merkmalsprozess</w:t>
      </w:r>
      <w:r>
        <w:t xml:space="preserve"> gebildet werden</w:t>
      </w:r>
      <w:r w:rsidRPr="0075532B">
        <w:t>. Eine Merkmalsregel besteht aus vier Var</w:t>
      </w:r>
      <w:r w:rsidRPr="0075532B">
        <w:t>i</w:t>
      </w:r>
      <w:r w:rsidRPr="0075532B">
        <w:t xml:space="preserve">ablen (vgl. Abschnitt </w:t>
      </w:r>
      <w:fldSimple w:instr=" REF _Ref211937722 \r \h  \* MERGEFORMAT ">
        <w:r w:rsidR="001231D3">
          <w:t>5.3.1</w:t>
        </w:r>
      </w:fldSimple>
      <w:r w:rsidRPr="0075532B">
        <w:t>)</w:t>
      </w:r>
      <w:r w:rsidR="007B4074">
        <w:t>, die entsprechend ihre</w:t>
      </w:r>
      <w:r w:rsidR="006F452D">
        <w:t>r</w:t>
      </w:r>
      <w:r w:rsidR="007B4074">
        <w:t xml:space="preserve"> unterschiedlichen Funktion in der Merkmalsregel verarbeitet werden müssen</w:t>
      </w:r>
      <w:r w:rsidR="006F452D">
        <w:t>.</w:t>
      </w:r>
    </w:p>
    <w:p w:rsidR="00CC5826" w:rsidRDefault="00CC5826" w:rsidP="00CC5826">
      <w:pPr>
        <w:pStyle w:val="Text"/>
      </w:pPr>
      <w:r>
        <w:t>Ergebnisse gehören den Sorten Proposition</w:t>
      </w:r>
      <w:r w:rsidR="00791ED1">
        <w:t>sannahme</w:t>
      </w:r>
      <w:r>
        <w:t>, Gefühl und Eindruck an (vgl. nächster Abschnitt).</w:t>
      </w:r>
    </w:p>
    <w:p w:rsidR="00CC5826" w:rsidRPr="0075532B" w:rsidRDefault="00CC5826" w:rsidP="00CC5826">
      <w:pPr>
        <w:pStyle w:val="Text"/>
      </w:pPr>
      <w:r w:rsidRPr="0075532B">
        <w:t>Wie sieht es mit dem Hintergrundwissen aus?</w:t>
      </w:r>
      <w:r w:rsidR="00D7326A">
        <w:t xml:space="preserve"> </w:t>
      </w:r>
      <w:r w:rsidRPr="0075532B">
        <w:t>Die Frage, ob Wissen grun</w:t>
      </w:r>
      <w:r w:rsidRPr="0075532B">
        <w:t>d</w:t>
      </w:r>
      <w:r w:rsidRPr="0075532B">
        <w:t>sätzlich propositional gespeichert werden muss oder ob es andere Speich</w:t>
      </w:r>
      <w:r w:rsidRPr="0075532B">
        <w:t>e</w:t>
      </w:r>
      <w:r w:rsidRPr="0075532B">
        <w:t xml:space="preserve">rungsmöglichkeiten gibt, ist noch nicht entschieden. Es ist durchaus </w:t>
      </w:r>
      <w:r w:rsidR="00D7326A">
        <w:t>denkbar</w:t>
      </w:r>
      <w:r w:rsidRPr="0075532B">
        <w:t xml:space="preserve">, dass </w:t>
      </w:r>
      <w:r w:rsidR="00410E17">
        <w:t xml:space="preserve">auch </w:t>
      </w:r>
      <w:r w:rsidRPr="0075532B">
        <w:t>andere Speicherungs</w:t>
      </w:r>
      <w:r w:rsidR="00410E17">
        <w:t xml:space="preserve">formen vorkommen. </w:t>
      </w:r>
      <w:r w:rsidR="00D7326A">
        <w:t>Wir müssen jedoch keine Aussage für Sorten des Hintergrundwissen</w:t>
      </w:r>
      <w:r w:rsidR="002F5885">
        <w:t>s</w:t>
      </w:r>
      <w:r w:rsidR="00D7326A">
        <w:t xml:space="preserve"> machen, sondern spezifizieren ei</w:t>
      </w:r>
      <w:r w:rsidR="00D7326A">
        <w:t>n</w:t>
      </w:r>
      <w:r w:rsidR="00D7326A">
        <w:t xml:space="preserve">fach, dass die Operationen mit allen </w:t>
      </w:r>
      <w:r w:rsidR="00E03CCF">
        <w:t xml:space="preserve">Sorten, die bei </w:t>
      </w:r>
      <w:r w:rsidR="00D7326A">
        <w:t xml:space="preserve">Elementen aus der Menge des Hintergrundwissens </w:t>
      </w:r>
      <w:r w:rsidR="00D7326A" w:rsidRPr="00D7326A">
        <w:rPr>
          <w:i/>
        </w:rPr>
        <w:t>H</w:t>
      </w:r>
      <w:r w:rsidR="00D7326A">
        <w:t xml:space="preserve"> </w:t>
      </w:r>
      <w:r w:rsidR="00E03CCF">
        <w:t xml:space="preserve">auftreten, </w:t>
      </w:r>
      <w:r w:rsidR="00D7326A">
        <w:t>zurechtkommen.</w:t>
      </w:r>
    </w:p>
    <w:p w:rsidR="00934A9B" w:rsidRDefault="00CC5826" w:rsidP="00934A9B">
      <w:pPr>
        <w:pStyle w:val="Text"/>
      </w:pPr>
      <w:r w:rsidRPr="0075532B">
        <w:t xml:space="preserve">Die Operationen des Interpretationsprozesses operieren also nicht nur auf den </w:t>
      </w:r>
      <w:r w:rsidR="00182DC0">
        <w:t xml:space="preserve">Ergebnissen </w:t>
      </w:r>
      <w:r w:rsidRPr="0075532B">
        <w:t>der oben genannten drei Sorten, sondern auch auf den vier V</w:t>
      </w:r>
      <w:r w:rsidRPr="0075532B">
        <w:t>a</w:t>
      </w:r>
      <w:r w:rsidRPr="0075532B">
        <w:t xml:space="preserve">riablen aus den Merkmalsregeln und insbesondere auf den in </w:t>
      </w:r>
      <w:r w:rsidRPr="0075532B">
        <w:rPr>
          <w:i/>
        </w:rPr>
        <w:t>U</w:t>
      </w:r>
      <w:r w:rsidRPr="0075532B">
        <w:t xml:space="preserve"> und </w:t>
      </w:r>
      <w:r w:rsidRPr="0075532B">
        <w:rPr>
          <w:i/>
        </w:rPr>
        <w:t>V</w:t>
      </w:r>
      <w:r w:rsidRPr="0075532B">
        <w:t xml:space="preserve"> enthalt</w:t>
      </w:r>
      <w:r w:rsidRPr="0075532B">
        <w:t>e</w:t>
      </w:r>
      <w:r w:rsidRPr="0075532B">
        <w:t>nen Eigenschaften. Wie die Operationen mi</w:t>
      </w:r>
      <w:r w:rsidR="00C950B8">
        <w:t xml:space="preserve">t den verschiedenen </w:t>
      </w:r>
      <w:r w:rsidR="00182DC0">
        <w:t>Ergebnissorten</w:t>
      </w:r>
      <w:r w:rsidR="00C950B8">
        <w:t>,</w:t>
      </w:r>
      <w:r w:rsidRPr="0075532B">
        <w:t xml:space="preserve"> den Eigenschaften </w:t>
      </w:r>
      <w:r w:rsidR="00182DC0">
        <w:t xml:space="preserve">sowie den </w:t>
      </w:r>
      <w:r w:rsidRPr="0075532B">
        <w:t xml:space="preserve">in den beiden weiteren Variablen der </w:t>
      </w:r>
      <w:r w:rsidR="00B95307">
        <w:t>Merkmals</w:t>
      </w:r>
      <w:r w:rsidRPr="0075532B">
        <w:t>r</w:t>
      </w:r>
      <w:r w:rsidRPr="0075532B">
        <w:t>e</w:t>
      </w:r>
      <w:r w:rsidRPr="0075532B">
        <w:t>geln (der Anwendungswahrscheinlichkeit und der Priorisierung</w:t>
      </w:r>
      <w:r w:rsidR="005D7996">
        <w:fldChar w:fldCharType="begin"/>
      </w:r>
      <w:r w:rsidR="007B15C8">
        <w:instrText xml:space="preserve"> XE "</w:instrText>
      </w:r>
      <w:r w:rsidR="007B15C8" w:rsidRPr="005F58EF">
        <w:instrText>Priorisierung</w:instrText>
      </w:r>
      <w:r w:rsidR="007B15C8">
        <w:instrText xml:space="preserve">" </w:instrText>
      </w:r>
      <w:r w:rsidR="005D7996">
        <w:fldChar w:fldCharType="end"/>
      </w:r>
      <w:r w:rsidRPr="0075532B">
        <w:t xml:space="preserve">) angegebenen </w:t>
      </w:r>
      <w:r w:rsidRPr="0075532B">
        <w:lastRenderedPageBreak/>
        <w:t>Werten umgehen, bleibt ihnen überlassen. Es ist jedoch klar, dass jede Operation die Unterschiedlichkeit im Input bei ihrem Vorgehen angemessen zu berüc</w:t>
      </w:r>
      <w:r w:rsidRPr="0075532B">
        <w:t>k</w:t>
      </w:r>
      <w:r w:rsidRPr="0075532B">
        <w:t>sichtigen hat. Mit Proposition</w:t>
      </w:r>
      <w:r w:rsidR="00791ED1">
        <w:t>sannahmen</w:t>
      </w:r>
      <w:r w:rsidRPr="0075532B">
        <w:t xml:space="preserve"> muss anders umgegangen werden als mit Gefühlen oder Eindrücken, dies ist wiederum unterschiedlich für die ve</w:t>
      </w:r>
      <w:r w:rsidRPr="0075532B">
        <w:t>r</w:t>
      </w:r>
      <w:r w:rsidRPr="0075532B">
        <w:t>schiedenen Operationen. Die Operationen Deduktion, Induktion und Abdukt</w:t>
      </w:r>
      <w:r w:rsidRPr="0075532B">
        <w:t>i</w:t>
      </w:r>
      <w:r w:rsidRPr="0075532B">
        <w:t>on operieren auf Proposition</w:t>
      </w:r>
      <w:r w:rsidR="00791ED1">
        <w:t>sannahmen</w:t>
      </w:r>
      <w:r w:rsidRPr="0075532B">
        <w:t xml:space="preserve"> und müssen Gefühle und Eindrücke erst in propositionale Form bringen</w:t>
      </w:r>
      <w:r w:rsidR="00934A9B">
        <w:t xml:space="preserve"> (z.B. </w:t>
      </w:r>
      <w:r w:rsidR="008C597B">
        <w:rPr>
          <w:color w:val="000000" w:themeColor="text1"/>
        </w:rPr>
        <w:t>(g)</w:t>
      </w:r>
      <w:r w:rsidR="008C597B">
        <w:t xml:space="preserve"> </w:t>
      </w:r>
      <w:r w:rsidR="00934A9B">
        <w:t xml:space="preserve">‚Angst‘ übertragen in </w:t>
      </w:r>
      <w:r w:rsidR="008C597B">
        <w:t xml:space="preserve">(p) </w:t>
      </w:r>
      <w:r w:rsidR="00934A9B">
        <w:t>‚S</w:t>
      </w:r>
      <w:r w:rsidR="0085753F">
        <w:t>N</w:t>
      </w:r>
      <w:r w:rsidR="00934A9B">
        <w:t xml:space="preserve"> hat Angst‘). </w:t>
      </w:r>
      <w:r w:rsidRPr="0075532B">
        <w:t xml:space="preserve">Es kann angenommen werden, dass </w:t>
      </w:r>
      <w:r w:rsidR="00934A9B">
        <w:t xml:space="preserve">jede </w:t>
      </w:r>
      <w:r w:rsidRPr="0075532B">
        <w:t xml:space="preserve">Operation ein </w:t>
      </w:r>
      <w:r w:rsidR="00934A9B">
        <w:t>Modul beinha</w:t>
      </w:r>
      <w:r w:rsidR="00934A9B">
        <w:t>l</w:t>
      </w:r>
      <w:r w:rsidR="00934A9B">
        <w:t>tet, das</w:t>
      </w:r>
      <w:r w:rsidRPr="0075532B">
        <w:t xml:space="preserve"> den Input in</w:t>
      </w:r>
      <w:r>
        <w:t xml:space="preserve"> die erforderliche Form bringt.</w:t>
      </w:r>
      <w:r w:rsidR="00934A9B">
        <w:t xml:space="preserve"> Man kann sich die Operati</w:t>
      </w:r>
      <w:r w:rsidR="00934A9B">
        <w:t>o</w:t>
      </w:r>
      <w:r w:rsidR="00934A9B">
        <w:t>nen daher als zweiteilig vorstellen:</w:t>
      </w:r>
    </w:p>
    <w:p w:rsidR="00934A9B" w:rsidRDefault="00934A9B" w:rsidP="00934A9B">
      <w:pPr>
        <w:pStyle w:val="Text"/>
      </w:pPr>
      <w:r>
        <w:t>(1)</w:t>
      </w:r>
      <w:r>
        <w:tab/>
        <w:t>Der Input wird in eine für die Ergebniserzeugung verarbeitbare Form gebracht;</w:t>
      </w:r>
    </w:p>
    <w:p w:rsidR="00934A9B" w:rsidRDefault="00934A9B" w:rsidP="00934A9B">
      <w:pPr>
        <w:pStyle w:val="Text"/>
      </w:pPr>
      <w:r>
        <w:t>(2)</w:t>
      </w:r>
      <w:r>
        <w:tab/>
        <w:t xml:space="preserve">daraus werden </w:t>
      </w:r>
      <w:r w:rsidR="006977E2">
        <w:t xml:space="preserve">gemäß der </w:t>
      </w:r>
      <w:r>
        <w:t>jeweils spezifizierte</w:t>
      </w:r>
      <w:r w:rsidR="006977E2">
        <w:t>n</w:t>
      </w:r>
      <w:r>
        <w:t xml:space="preserve"> Verarbeitungsweise Ergebnisse erzeugt.</w:t>
      </w:r>
    </w:p>
    <w:p w:rsidR="00934A9B" w:rsidRPr="00CC5826" w:rsidRDefault="00934A9B" w:rsidP="00CC5826">
      <w:pPr>
        <w:pStyle w:val="Text"/>
      </w:pPr>
      <w:r>
        <w:t>Beispielsweise kann auf Merkmalsregeln mit einer Deduktion reagiert we</w:t>
      </w:r>
      <w:r>
        <w:t>r</w:t>
      </w:r>
      <w:r>
        <w:t>den; dabei müssen jedoch die unterschiedlichen Variablen der Merkmalsregel jeweils mit Wissen darüber, welche Funktion ihnen zukommt, sowie mit Wissen über Stile insgesamt kombiniert werden. Dieses Wissen wird – im Gegensatz zum Hintergrundwissen über das jeweilige Schema, dessen Erzeugung im Modell dargestellt wird – als in den Operationen vorhanden vorausgesetzt, insoweit es für die Verarbeitung der Merkmalsregeln erforderlich ist. Jede Operation ben</w:t>
      </w:r>
      <w:r>
        <w:t>ö</w:t>
      </w:r>
      <w:r>
        <w:t>tigt hier eine spezielle Aufarbeitung des Wissens, das in einer Deduktion in einer anderen Form vorliegen wird als etwa bei der Gefühlsreaktion. Dennoch muss zweifellos in beiden Fällen Wissen darüber vorhanden sein, welche Funktion beispielsweise verlangte Eigenschaften und Anwendungs</w:t>
      </w:r>
      <w:r w:rsidR="002749BC">
        <w:t>bedingungen</w:t>
      </w:r>
      <w:r>
        <w:t xml:space="preserve"> innerhalb einer Merkmalsregel haben; dieses Wissen kann allerdings implizit in Form von Verarbeitungsmethoden vorliegen. Ebenso müssen die Operationen mit Hinte</w:t>
      </w:r>
      <w:r>
        <w:t>r</w:t>
      </w:r>
      <w:r>
        <w:t>grundwissen und Interpretationsergebnissen umgehen können.</w:t>
      </w:r>
    </w:p>
    <w:p w:rsidR="00CC5826" w:rsidRDefault="00CC5826" w:rsidP="00CC5826">
      <w:pPr>
        <w:pStyle w:val="Titel3"/>
      </w:pPr>
      <w:bookmarkStart w:id="293" w:name="_Ref253668018"/>
      <w:bookmarkStart w:id="294" w:name="_Toc325456762"/>
      <w:bookmarkStart w:id="295" w:name="Ergebnisse"/>
      <w:bookmarkEnd w:id="292"/>
      <w:r>
        <w:t>Ergebnisse</w:t>
      </w:r>
      <w:bookmarkEnd w:id="293"/>
      <w:bookmarkEnd w:id="294"/>
    </w:p>
    <w:p w:rsidR="00CC5826" w:rsidRDefault="005D7996" w:rsidP="00F4161F">
      <w:pPr>
        <w:pStyle w:val="Text"/>
        <w:ind w:firstLine="0"/>
      </w:pPr>
      <w:r>
        <w:fldChar w:fldCharType="begin"/>
      </w:r>
      <w:r w:rsidR="00760329">
        <w:instrText xml:space="preserve"> XE "Ergebnisse (der Interpretation)" \r "Ergebnisse" </w:instrText>
      </w:r>
      <w:r>
        <w:fldChar w:fldCharType="end"/>
      </w:r>
      <w:r>
        <w:fldChar w:fldCharType="begin"/>
      </w:r>
      <w:r w:rsidR="00760329">
        <w:instrText xml:space="preserve"> XE "Ergebnisse (der Interpretation)" \t "</w:instrText>
      </w:r>
      <w:r w:rsidR="00760329" w:rsidRPr="007247A5">
        <w:rPr>
          <w:i/>
        </w:rPr>
        <w:instrText>et passim</w:instrText>
      </w:r>
      <w:r w:rsidR="00760329">
        <w:instrText xml:space="preserve">" </w:instrText>
      </w:r>
      <w:r>
        <w:fldChar w:fldCharType="end"/>
      </w:r>
      <w:r w:rsidR="00CC5826">
        <w:t>Ergebnisse der Interpretation können verschiedenen Sorten angehören. Es wird angenommen, dass es zumindest prinzipiell möglich ist, neue Sorten von Erge</w:t>
      </w:r>
      <w:r w:rsidR="00CC5826">
        <w:t>b</w:t>
      </w:r>
      <w:r w:rsidR="00CC5826">
        <w:t>nissen zu entdecken.</w:t>
      </w:r>
      <w:r w:rsidR="00CC5826" w:rsidRPr="0066040D">
        <w:t xml:space="preserve"> </w:t>
      </w:r>
      <w:r w:rsidR="00CC5826">
        <w:t>Da wir das Modell nicht grundsätzlich auf eine Menge von Sorten festlegen, sondern erweiterbar halten wollen, führen wir die Sorten</w:t>
      </w:r>
      <w:r w:rsidR="00735333">
        <w:t>menge</w:t>
      </w:r>
      <w:r w:rsidR="00CC5826">
        <w:t xml:space="preserve"> </w:t>
      </w:r>
      <w:r w:rsidR="00CC5826" w:rsidRPr="00AF474E">
        <w:rPr>
          <w:i/>
        </w:rPr>
        <w:t>S</w:t>
      </w:r>
      <w:r w:rsidR="00CC5826">
        <w:rPr>
          <w:i/>
        </w:rPr>
        <w:t>o</w:t>
      </w:r>
      <w:r w:rsidR="00CC5826">
        <w:t xml:space="preserve"> ein, in die die jeweils angenommenen Sorten gespeichert werden können:</w:t>
      </w:r>
    </w:p>
    <w:p w:rsidR="00CC5826" w:rsidRDefault="00CC5826" w:rsidP="00F4161F">
      <w:pPr>
        <w:pStyle w:val="Formel"/>
      </w:pPr>
      <w:r w:rsidRPr="0004521A">
        <w:rPr>
          <w:i/>
        </w:rPr>
        <w:t>S</w:t>
      </w:r>
      <w:r>
        <w:rPr>
          <w:i/>
        </w:rPr>
        <w:t>o</w:t>
      </w:r>
      <w:r>
        <w:t xml:space="preserve"> := {</w:t>
      </w:r>
      <w:r w:rsidRPr="001D6C49">
        <w:rPr>
          <w:i/>
        </w:rPr>
        <w:t>S</w:t>
      </w:r>
      <w:r>
        <w:rPr>
          <w:i/>
        </w:rPr>
        <w:t>o</w:t>
      </w:r>
      <w:r w:rsidRPr="001D6C49">
        <w:rPr>
          <w:vertAlign w:val="subscript"/>
        </w:rPr>
        <w:t>1</w:t>
      </w:r>
      <w:r>
        <w:t xml:space="preserve">, …, </w:t>
      </w:r>
      <w:r w:rsidRPr="001D6C49">
        <w:rPr>
          <w:i/>
        </w:rPr>
        <w:t>S</w:t>
      </w:r>
      <w:r>
        <w:rPr>
          <w:i/>
        </w:rPr>
        <w:t>o</w:t>
      </w:r>
      <w:r w:rsidR="006977E2">
        <w:rPr>
          <w:i/>
          <w:vertAlign w:val="subscript"/>
        </w:rPr>
        <w:t>n</w:t>
      </w:r>
      <w:r>
        <w:t>}</w:t>
      </w:r>
    </w:p>
    <w:p w:rsidR="00CC5826" w:rsidRDefault="00CC5826" w:rsidP="00F4161F">
      <w:pPr>
        <w:pStyle w:val="Text"/>
        <w:ind w:firstLine="0"/>
      </w:pPr>
      <w:r>
        <w:t xml:space="preserve">Wir nehmen außerdem eine Funktion </w:t>
      </w:r>
      <w:r w:rsidRPr="00C35EA1">
        <w:rPr>
          <w:i/>
        </w:rPr>
        <w:t>Sorte</w:t>
      </w:r>
      <w:r>
        <w:t xml:space="preserve"> an, die die Sorte eines </w:t>
      </w:r>
      <w:r w:rsidR="00182DC0">
        <w:t>Ergebnisses</w:t>
      </w:r>
      <w:r>
        <w:t xml:space="preserve"> ermittelt.</w:t>
      </w:r>
      <w:r w:rsidR="001A7BB6">
        <w:rPr>
          <w:rStyle w:val="Funotenzeichen"/>
        </w:rPr>
        <w:footnoteReference w:id="402"/>
      </w:r>
      <w:r>
        <w:t xml:space="preserve"> Hat das </w:t>
      </w:r>
      <w:r w:rsidR="00182DC0">
        <w:t xml:space="preserve">Ergebnis </w:t>
      </w:r>
      <w:r w:rsidRPr="008D5983">
        <w:rPr>
          <w:i/>
        </w:rPr>
        <w:t>x</w:t>
      </w:r>
      <w:r>
        <w:t xml:space="preserve"> die Sorte </w:t>
      </w:r>
      <w:r w:rsidRPr="001D6C49">
        <w:rPr>
          <w:i/>
        </w:rPr>
        <w:t>S</w:t>
      </w:r>
      <w:r>
        <w:rPr>
          <w:i/>
        </w:rPr>
        <w:t>o</w:t>
      </w:r>
      <w:r w:rsidRPr="008D5983">
        <w:rPr>
          <w:i/>
          <w:vertAlign w:val="subscript"/>
        </w:rPr>
        <w:t>i</w:t>
      </w:r>
      <w:r>
        <w:t>, gilt:</w:t>
      </w:r>
    </w:p>
    <w:p w:rsidR="00CC5826" w:rsidRDefault="00CC5826" w:rsidP="00F4161F">
      <w:pPr>
        <w:pStyle w:val="Formel"/>
      </w:pPr>
      <w:r w:rsidRPr="001D6C49">
        <w:lastRenderedPageBreak/>
        <w:t>Sorte (</w:t>
      </w:r>
      <w:r w:rsidRPr="001D6C49">
        <w:rPr>
          <w:i/>
        </w:rPr>
        <w:t>x</w:t>
      </w:r>
      <w:r w:rsidRPr="001D6C49">
        <w:t xml:space="preserve">) = </w:t>
      </w:r>
      <w:r w:rsidRPr="001D6C49">
        <w:rPr>
          <w:i/>
        </w:rPr>
        <w:t>S</w:t>
      </w:r>
      <w:r>
        <w:rPr>
          <w:i/>
        </w:rPr>
        <w:t>o</w:t>
      </w:r>
      <w:r w:rsidRPr="008D5983">
        <w:rPr>
          <w:i/>
          <w:vertAlign w:val="subscript"/>
        </w:rPr>
        <w:t>i</w:t>
      </w:r>
    </w:p>
    <w:p w:rsidR="00CC5826" w:rsidRDefault="00CC5826" w:rsidP="00F4161F">
      <w:pPr>
        <w:pStyle w:val="Text"/>
        <w:ind w:firstLine="0"/>
      </w:pPr>
      <w:r>
        <w:t xml:space="preserve">Wir beschränken uns hier auf die Annahme von drei Sorten, die vermutlich den überwiegenden Teil der Interpretationsergebnisse abdecken: (1) </w:t>
      </w:r>
      <w:r w:rsidRPr="00175216">
        <w:t>Proposition</w:t>
      </w:r>
      <w:r w:rsidR="00791ED1">
        <w:t>sa</w:t>
      </w:r>
      <w:r w:rsidR="00791ED1">
        <w:t>n</w:t>
      </w:r>
      <w:r w:rsidR="00791ED1">
        <w:t>nahme</w:t>
      </w:r>
      <w:r>
        <w:t xml:space="preserve">, (2) Gefühl und (3) </w:t>
      </w:r>
      <w:r w:rsidRPr="00175216">
        <w:t>Eindruck</w:t>
      </w:r>
      <w:r>
        <w:t>.</w:t>
      </w:r>
    </w:p>
    <w:p w:rsidR="00CC5826" w:rsidRDefault="00CC5826" w:rsidP="00CC5826">
      <w:pPr>
        <w:pStyle w:val="Text"/>
      </w:pPr>
      <w:r>
        <w:t>(1)</w:t>
      </w:r>
      <w:r>
        <w:tab/>
        <w:t>Wie die unten vorgestellten Beispiele zeigen, handelt es sich bei den meisten Ergebnissen der Interpretation um Proposition</w:t>
      </w:r>
      <w:r w:rsidR="00791ED1">
        <w:t>sannahmen</w:t>
      </w:r>
      <w:r>
        <w:t>. Diese we</w:t>
      </w:r>
      <w:r>
        <w:t>r</w:t>
      </w:r>
      <w:r>
        <w:t>den in unserem Modell in Form eines oder mehrerer natürlichsprachlicher Sätze repräsentiert</w:t>
      </w:r>
      <w:r w:rsidR="00896A70">
        <w:t>, deren Satzinhalt (Proposition) sich als Ergebnis der Interpretation ergibt und daher vom Interpretierenden angenommen wird. Mit der natürlich</w:t>
      </w:r>
      <w:r w:rsidR="00724A8F">
        <w:softHyphen/>
      </w:r>
      <w:r w:rsidR="00896A70">
        <w:t xml:space="preserve">sprachlichen Darstellung wird </w:t>
      </w:r>
      <w:r>
        <w:t>keine Aussage über die Repräsentationsweise di</w:t>
      </w:r>
      <w:r>
        <w:t>e</w:t>
      </w:r>
      <w:r>
        <w:t xml:space="preserve">ser Aussagen durch </w:t>
      </w:r>
      <w:r w:rsidR="00A836A2">
        <w:t xml:space="preserve">den Interpretierenden </w:t>
      </w:r>
      <w:r>
        <w:t>getroffen. Proposition</w:t>
      </w:r>
      <w:r w:rsidR="00791ED1">
        <w:t>sannahmen</w:t>
      </w:r>
      <w:r>
        <w:t xml:space="preserve"> könnten durchaus auch anders repräsentiert sein, etwa in Form einer Visualisi</w:t>
      </w:r>
      <w:r>
        <w:t>e</w:t>
      </w:r>
      <w:r>
        <w:t>rung des Tatbestands</w:t>
      </w:r>
      <w:r w:rsidR="001B7C0E">
        <w:t>,</w:t>
      </w:r>
      <w:r>
        <w:t xml:space="preserve"> in Stich</w:t>
      </w:r>
      <w:r w:rsidR="00BA6626">
        <w:t>worten</w:t>
      </w:r>
      <w:r>
        <w:t xml:space="preserve"> (die beim Aussprechen zu einem Satz e</w:t>
      </w:r>
      <w:r>
        <w:t>r</w:t>
      </w:r>
      <w:r>
        <w:t>gänzt werden)</w:t>
      </w:r>
      <w:r w:rsidR="001B7C0E">
        <w:t>,</w:t>
      </w:r>
      <w:r>
        <w:t xml:space="preserve"> schematisch (etwa eine abstrakte Aussage als Visualisierung von prototypischen Elementen, die in sprachlich repräsentierten Relationen zueina</w:t>
      </w:r>
      <w:r>
        <w:t>n</w:t>
      </w:r>
      <w:r>
        <w:t>der stehen)</w:t>
      </w:r>
      <w:r w:rsidR="001B7C0E">
        <w:t>,</w:t>
      </w:r>
      <w:r>
        <w:t xml:space="preserve"> in Form einer logischen Repräsentation</w:t>
      </w:r>
      <w:r w:rsidR="001B7C0E">
        <w:t>,</w:t>
      </w:r>
      <w:r>
        <w:t xml:space="preserve"> oder auf andere Weise. Entscheidend ist, dass die in der jeweiligen Repräsentation enthaltene Informat</w:t>
      </w:r>
      <w:r>
        <w:t>i</w:t>
      </w:r>
      <w:r>
        <w:t>on ungefähr äquivalent einer Proposition ist. Es ist allerdings nicht auszuschli</w:t>
      </w:r>
      <w:r>
        <w:t>e</w:t>
      </w:r>
      <w:r>
        <w:t>ßen, dass die Repräsentation nicht die vollständige Information der Proposition speichert, so dass bei der Umwandlung in eine Proposition – etwa beim Au</w:t>
      </w:r>
      <w:r>
        <w:t>s</w:t>
      </w:r>
      <w:r>
        <w:t>sprechen als Satz – einige Informationen ergänzt werden müssen.</w:t>
      </w:r>
    </w:p>
    <w:p w:rsidR="00CC5826" w:rsidRDefault="00CC5826" w:rsidP="00CC5826">
      <w:pPr>
        <w:pStyle w:val="Text"/>
      </w:pPr>
      <w:r>
        <w:t>(2)</w:t>
      </w:r>
      <w:r>
        <w:tab/>
        <w:t xml:space="preserve">Gefühle, die als Reaktion auf den Stil entstehen, stellen eine zweite Sorte von Ergebnissen dar. Es mag eingewandt werden, dass der gewöhnliche Gebrauch </w:t>
      </w:r>
      <w:r w:rsidR="0028511B">
        <w:t xml:space="preserve">von </w:t>
      </w:r>
      <w:r>
        <w:t>„Interpretation“ Gefühle nicht unbedingt umfasst. Gefühle zur Interpretation zu rechnen, erscheint jedoch schon deshalb angeraten, weil sie oft zum Auslöser von Überlegungen, also zum Ausgangspunkt der Erzeugung we</w:t>
      </w:r>
      <w:r>
        <w:t>i</w:t>
      </w:r>
      <w:r>
        <w:t>terer Ergebnisse werden können. Ihr Ausschluss aus dem Interpretationsprozess würde daher Teilbereiche von Interpretationen für die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t xml:space="preserve"> unzugän</w:t>
      </w:r>
      <w:r>
        <w:t>g</w:t>
      </w:r>
      <w:r>
        <w:t>lich machen.</w:t>
      </w:r>
    </w:p>
    <w:p w:rsidR="00E159D8" w:rsidRDefault="00E159D8" w:rsidP="00CC5826">
      <w:pPr>
        <w:pStyle w:val="Text"/>
      </w:pPr>
      <w:r>
        <w:t>Gefühle werden als Zeichen mit einem Inhalt angesehen, der sprachlich au</w:t>
      </w:r>
      <w:r>
        <w:t>s</w:t>
      </w:r>
      <w:r>
        <w:t>gedrückt werden kann. Der sprachliche Ausdruck des Inhalts wird bei der Schreibausgabe</w:t>
      </w:r>
      <w:r w:rsidR="005D7996">
        <w:fldChar w:fldCharType="begin"/>
      </w:r>
      <w:r w:rsidR="00A0425E">
        <w:instrText xml:space="preserve"> XE "</w:instrText>
      </w:r>
      <w:r w:rsidR="00A0425E" w:rsidRPr="00EF025F">
        <w:instrText>Ausgabe (der Interpretation)</w:instrText>
      </w:r>
      <w:r w:rsidR="00A0425E">
        <w:instrText xml:space="preserve">" </w:instrText>
      </w:r>
      <w:r w:rsidR="005D7996">
        <w:fldChar w:fldCharType="end"/>
      </w:r>
      <w:r>
        <w:t xml:space="preserve"> in einfachen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geschrieben.</w:t>
      </w:r>
    </w:p>
    <w:p w:rsidR="00CC5826" w:rsidRDefault="00CC5826" w:rsidP="00CC5826">
      <w:pPr>
        <w:pStyle w:val="Text"/>
      </w:pPr>
      <w:r>
        <w:t>Für die Erzeugung von Gefühlen wird eine eigene Operation, die „Gefühl</w:t>
      </w:r>
      <w:r>
        <w:t>s</w:t>
      </w:r>
      <w:r>
        <w:t>reaktion“, angenommen.</w:t>
      </w:r>
    </w:p>
    <w:p w:rsidR="00CC5826" w:rsidRDefault="00CC5826" w:rsidP="00CC5826">
      <w:pPr>
        <w:pStyle w:val="Text"/>
      </w:pPr>
      <w:r>
        <w:t>(3)</w:t>
      </w:r>
      <w:r>
        <w:tab/>
        <w:t xml:space="preserve">Unter „Eindruck“ soll eine nicht-propositionale </w:t>
      </w:r>
      <w:r w:rsidR="005E023C">
        <w:t xml:space="preserve">mentale </w:t>
      </w:r>
      <w:r>
        <w:t>Repräsentat</w:t>
      </w:r>
      <w:r>
        <w:t>i</w:t>
      </w:r>
      <w:r>
        <w:t>on</w:t>
      </w:r>
      <w:r w:rsidR="005D7996">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rsidR="005D7996">
        <w:fldChar w:fldCharType="end"/>
      </w:r>
      <w:r>
        <w:t xml:space="preserve"> verstanden werden, die durch die Wahrnehmung eines Phänomens entsteht.</w:t>
      </w:r>
    </w:p>
    <w:p w:rsidR="00CC5826" w:rsidRDefault="00CC5826" w:rsidP="00CC5826">
      <w:pPr>
        <w:pStyle w:val="Text"/>
      </w:pPr>
      <w:r>
        <w:t>Eindrücke können häufig auch sprachlich ausgedrückt werden. Dies ist j</w:t>
      </w:r>
      <w:r>
        <w:t>e</w:t>
      </w:r>
      <w:r>
        <w:t>doch nicht ihre ursprüngliche Repräsentationsform. Habe ich beispielsweise den Eindruck, ein Gehstil</w:t>
      </w:r>
      <w:r w:rsidR="005D7996">
        <w:fldChar w:fldCharType="begin"/>
      </w:r>
      <w:r w:rsidR="005D557B">
        <w:instrText xml:space="preserve"> XE "</w:instrText>
      </w:r>
      <w:r w:rsidR="005D557B" w:rsidRPr="003407FE">
        <w:instrText>Gehstil</w:instrText>
      </w:r>
      <w:r w:rsidR="005D557B">
        <w:instrText xml:space="preserve">" </w:instrText>
      </w:r>
      <w:r w:rsidR="005D7996">
        <w:fldChar w:fldCharType="end"/>
      </w:r>
      <w:r>
        <w:t xml:space="preserve"> sei ‚schleppend‘ oder ‚elegant‘, so liegt vermutlich eine bes</w:t>
      </w:r>
      <w:r w:rsidR="00E16184">
        <w:t>timmte Kombination von Merkmalsregeln</w:t>
      </w:r>
      <w:r>
        <w:t xml:space="preserve"> vor, die einen bestimmten Ei</w:t>
      </w:r>
      <w:r>
        <w:t>n</w:t>
      </w:r>
      <w:r>
        <w:t>druck bei mir erzeugt. Dieser kann von verschiedenen Gefühlen und auch Pr</w:t>
      </w:r>
      <w:r>
        <w:t>o</w:t>
      </w:r>
      <w:r>
        <w:t>position</w:t>
      </w:r>
      <w:r w:rsidR="00CB4E2E">
        <w:t>sannahmen</w:t>
      </w:r>
      <w:r>
        <w:t xml:space="preserve"> begleitet sein, ohne jedoch in diesen restlos aufzugehen. Daher macht es Sinn, ihn als Reaktion</w:t>
      </w:r>
      <w:r w:rsidR="00E16184">
        <w:t xml:space="preserve"> auf die wahrgenommenen Merkmalsr</w:t>
      </w:r>
      <w:r w:rsidR="00E16184">
        <w:t>e</w:t>
      </w:r>
      <w:r w:rsidR="00E16184">
        <w:lastRenderedPageBreak/>
        <w:t>geln</w:t>
      </w:r>
      <w:r>
        <w:t xml:space="preserve"> aufzufassen, die bereits vor der sprachlichen Repräsentation oder den durch sie ausgelösten Gefühlen vorliegt.</w:t>
      </w:r>
    </w:p>
    <w:p w:rsidR="00CC5826" w:rsidRDefault="00CC5826" w:rsidP="00CC5826">
      <w:pPr>
        <w:pStyle w:val="Text"/>
      </w:pPr>
      <w:r>
        <w:t>Dies heißt allerdings keineswegs, dass Eindrücke vorkognitive oder sogar angeborene Reaktionsmuster wären (und damit im Bereich der Repräsentationen das, was Reflexe im Bereich körperlicher Reaktionen sind). Eindrücke sind wah</w:t>
      </w:r>
      <w:r>
        <w:t>r</w:t>
      </w:r>
      <w:r>
        <w:t>scheinlich stark von früheren Erfahrungen, gelernten Reaktionsmustern und Prägungen, gesellschaftlichen Konventionen, zeitlichen Veränderungen unte</w:t>
      </w:r>
      <w:r>
        <w:t>r</w:t>
      </w:r>
      <w:r>
        <w:t xml:space="preserve">worfenen Präferenzen sowie (bewussten oder unbewussten) Erwartungen des </w:t>
      </w:r>
      <w:r w:rsidR="00C75387">
        <w:t>Stilwahrnehmer</w:t>
      </w:r>
      <w:r>
        <w:t>s abhängig. Wenn wir sie als nicht-propositional repräsentiert betrachten, dann impliziert dies keineswegs eine größere Nähe zu automatischen Verarbeitungsprozessen und eine geringere Beteiligung kognitiver Prozesse. Es ist anzunehmen, dass kognitive Prozesse häufig nicht-propositional stattfinden, was allerdings lange von der Wissenschaft unterschätzt wurde – vermutlich de</w:t>
      </w:r>
      <w:r>
        <w:t>s</w:t>
      </w:r>
      <w:r>
        <w:t>halb, weil die nicht-sprachlichen Vorgänge schwerer präzise erfassbar sind und sich daher für eine wissenschaftliche Beschreibung weniger zu eignen schi</w:t>
      </w:r>
      <w:r>
        <w:t>e</w:t>
      </w:r>
      <w:r>
        <w:t>nen.</w:t>
      </w:r>
      <w:r>
        <w:rPr>
          <w:rStyle w:val="Funotenzeichen"/>
        </w:rPr>
        <w:footnoteReference w:id="403"/>
      </w:r>
    </w:p>
    <w:p w:rsidR="00CC5826" w:rsidRDefault="00CC5826" w:rsidP="00CC5826">
      <w:pPr>
        <w:pStyle w:val="Text"/>
      </w:pPr>
      <w:r>
        <w:t>Über die Repräsentation von Eindrücken ist wenig bekannt. Die hier vorg</w:t>
      </w:r>
      <w:r>
        <w:t>e</w:t>
      </w:r>
      <w:r>
        <w:t>stellte Theorie ist daher in dieser Hinsicht flexibel gehalten. Sollten Eindrücke doch von Anfang an sprachlich repräsentiert sein, so können sie als Proposit</w:t>
      </w:r>
      <w:r>
        <w:t>i</w:t>
      </w:r>
      <w:r>
        <w:t>on</w:t>
      </w:r>
      <w:r w:rsidR="00CB4E2E">
        <w:t>sannahmen</w:t>
      </w:r>
      <w:r>
        <w:t xml:space="preserve"> – (siehe (1) – behandelt werden und als Sorte wegfallen; weitere Änderungen am Modell würden dadurch nicht nötig. Ebenso kann die Frage, wie Eindrücke aus Merkmalsregeln entstehen, zum jetzigen Zeitpunkt nicht präzise geklärt werden, was aber ebenfalls für das Modell kein grundsätzliches Problem darstellt, allerdings das genaue Nachvollziehen einer auf Eindrücken basierenden Interpretation unmöglich macht. (Vgl. hierzu sowie allgemein zu Eindrücken das Beispiel eines Gehstils in Abschnitt</w:t>
      </w:r>
      <w:r w:rsidR="00FB6320">
        <w:t xml:space="preserve"> </w:t>
      </w:r>
      <w:r w:rsidR="005D7996">
        <w:fldChar w:fldCharType="begin"/>
      </w:r>
      <w:r w:rsidR="00FB6320">
        <w:instrText xml:space="preserve"> REF _Ref261331554 \r \h </w:instrText>
      </w:r>
      <w:r w:rsidR="005D7996">
        <w:fldChar w:fldCharType="separate"/>
      </w:r>
      <w:r w:rsidR="001231D3">
        <w:t>7.1.6</w:t>
      </w:r>
      <w:r w:rsidR="005D7996">
        <w:fldChar w:fldCharType="end"/>
      </w:r>
      <w:r w:rsidR="00E159D8">
        <w:t>.</w:t>
      </w:r>
      <w:r>
        <w:t>)</w:t>
      </w:r>
    </w:p>
    <w:p w:rsidR="00E159D8" w:rsidRDefault="00E159D8" w:rsidP="00E159D8">
      <w:pPr>
        <w:pStyle w:val="Text"/>
      </w:pPr>
      <w:r>
        <w:t>Eindrücke werden als Zeichen mit einem Inhalt angesehen, der sprachlich ausgedrückt werden kann. Der sprachliche Ausdruck des Inhalts wird bei der Schreibausgabe</w:t>
      </w:r>
      <w:r w:rsidR="005D7996">
        <w:fldChar w:fldCharType="begin"/>
      </w:r>
      <w:r w:rsidR="00A0425E">
        <w:instrText xml:space="preserve"> XE "</w:instrText>
      </w:r>
      <w:r w:rsidR="00A0425E" w:rsidRPr="003547DE">
        <w:instrText>Ausgabe (der Interpretation)</w:instrText>
      </w:r>
      <w:r w:rsidR="00A0425E">
        <w:instrText xml:space="preserve">" </w:instrText>
      </w:r>
      <w:r w:rsidR="005D7996">
        <w:fldChar w:fldCharType="end"/>
      </w:r>
      <w:r>
        <w:t xml:space="preserve"> in einfachen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geschrieben.</w:t>
      </w:r>
    </w:p>
    <w:p w:rsidR="00CC5826" w:rsidRDefault="00CC5826" w:rsidP="00CC5826">
      <w:pPr>
        <w:pStyle w:val="Text"/>
      </w:pPr>
      <w:r>
        <w:t>Für die Erzeugung von Eindrücken wird eine eigene Operation, die „Ei</w:t>
      </w:r>
      <w:r>
        <w:t>n</w:t>
      </w:r>
      <w:r>
        <w:t>drucksreaktion“, angenommen.</w:t>
      </w:r>
      <w:r w:rsidR="00504A59">
        <w:rPr>
          <w:rStyle w:val="Funotenzeichen"/>
        </w:rPr>
        <w:footnoteReference w:id="404"/>
      </w:r>
    </w:p>
    <w:p w:rsidR="00CC5826" w:rsidRDefault="00CC5826" w:rsidP="00F4161F">
      <w:pPr>
        <w:pStyle w:val="Text"/>
        <w:spacing w:before="240"/>
        <w:ind w:firstLine="0"/>
      </w:pPr>
      <w:r>
        <w:t>Wir nehmen also die folgende Sorten</w:t>
      </w:r>
      <w:r w:rsidR="00735333">
        <w:t>menge</w:t>
      </w:r>
      <w:r>
        <w:t xml:space="preserve"> für Ergebnisse an:</w:t>
      </w:r>
    </w:p>
    <w:p w:rsidR="00CC5826" w:rsidRDefault="00CC5826" w:rsidP="00F4161F">
      <w:pPr>
        <w:pStyle w:val="Formel"/>
      </w:pPr>
      <w:r w:rsidRPr="0004521A">
        <w:rPr>
          <w:i/>
        </w:rPr>
        <w:t>S</w:t>
      </w:r>
      <w:r>
        <w:rPr>
          <w:i/>
        </w:rPr>
        <w:t>o</w:t>
      </w:r>
      <w:r>
        <w:t xml:space="preserve"> := </w:t>
      </w:r>
      <w:r w:rsidR="00B65DDF">
        <w:t>{</w:t>
      </w:r>
      <w:r w:rsidR="00241876" w:rsidRPr="0021789B">
        <w:rPr>
          <w:color w:val="000000" w:themeColor="text1"/>
        </w:rPr>
        <w:t>“</w:t>
      </w:r>
      <w:r w:rsidR="00241876">
        <w:rPr>
          <w:color w:val="000000" w:themeColor="text1"/>
        </w:rPr>
        <w:t>p</w:t>
      </w:r>
      <w:r w:rsidR="00241876" w:rsidRPr="00C06F76">
        <w:rPr>
          <w:color w:val="000000" w:themeColor="text1"/>
        </w:rPr>
        <w:t>”</w:t>
      </w:r>
      <w:r w:rsidR="00B65DDF">
        <w:t xml:space="preserve">, </w:t>
      </w:r>
      <w:r w:rsidR="00241876" w:rsidRPr="0021789B">
        <w:rPr>
          <w:color w:val="000000" w:themeColor="text1"/>
        </w:rPr>
        <w:t>“</w:t>
      </w:r>
      <w:r w:rsidR="00241876">
        <w:rPr>
          <w:color w:val="000000" w:themeColor="text1"/>
        </w:rPr>
        <w:t>g</w:t>
      </w:r>
      <w:r w:rsidR="00241876" w:rsidRPr="00C06F76">
        <w:rPr>
          <w:color w:val="000000" w:themeColor="text1"/>
        </w:rPr>
        <w:t>”</w:t>
      </w:r>
      <w:r w:rsidR="00B65DDF">
        <w:t xml:space="preserve">, </w:t>
      </w:r>
      <w:r w:rsidR="00241876" w:rsidRPr="0021789B">
        <w:rPr>
          <w:color w:val="000000" w:themeColor="text1"/>
        </w:rPr>
        <w:t>“</w:t>
      </w:r>
      <w:r w:rsidR="00241876">
        <w:t>e</w:t>
      </w:r>
      <w:r w:rsidR="00241876" w:rsidRPr="00C06F76">
        <w:rPr>
          <w:color w:val="000000" w:themeColor="text1"/>
        </w:rPr>
        <w:t>”</w:t>
      </w:r>
      <w:r w:rsidR="00B65DDF">
        <w:t>}</w:t>
      </w:r>
    </w:p>
    <w:p w:rsidR="00CC5826" w:rsidRDefault="004B05AE" w:rsidP="00F4161F">
      <w:pPr>
        <w:pStyle w:val="Text"/>
        <w:ind w:firstLine="0"/>
      </w:pPr>
      <w:r>
        <w:t>Die Abkürzungen stehen für</w:t>
      </w:r>
    </w:p>
    <w:p w:rsidR="00CC5826" w:rsidRDefault="00B65DDF" w:rsidP="00F4161F">
      <w:pPr>
        <w:pStyle w:val="Formel"/>
      </w:pPr>
      <w:r w:rsidRPr="00B65DDF">
        <w:t>p</w:t>
      </w:r>
      <w:r w:rsidR="004B05AE">
        <w:t xml:space="preserve"> = Proposition</w:t>
      </w:r>
      <w:r w:rsidR="00CB4E2E">
        <w:t>sannahme</w:t>
      </w:r>
      <w:r w:rsidR="00CC5826">
        <w:t xml:space="preserve">, </w:t>
      </w:r>
      <w:r w:rsidRPr="00B65DDF">
        <w:t>g</w:t>
      </w:r>
      <w:r w:rsidR="004B05AE">
        <w:t xml:space="preserve"> = Gefühl</w:t>
      </w:r>
      <w:r w:rsidR="00CC5826">
        <w:t xml:space="preserve">, </w:t>
      </w:r>
      <w:r w:rsidRPr="00B65DDF">
        <w:t>e</w:t>
      </w:r>
      <w:r w:rsidR="004B05AE">
        <w:t xml:space="preserve"> = Eindruck.</w:t>
      </w:r>
    </w:p>
    <w:p w:rsidR="00FC6429" w:rsidRDefault="001A5262" w:rsidP="00F4161F">
      <w:pPr>
        <w:pStyle w:val="Text"/>
        <w:ind w:firstLine="0"/>
      </w:pPr>
      <w:r>
        <w:lastRenderedPageBreak/>
        <w:t>Die Sortenbezeichnungen werden als Strings (Zeichenketten</w:t>
      </w:r>
      <w:r w:rsidR="005D7996">
        <w:fldChar w:fldCharType="begin"/>
      </w:r>
      <w:r w:rsidR="00FC2E2D">
        <w:instrText xml:space="preserve"> XE "</w:instrText>
      </w:r>
      <w:r w:rsidR="00FC2E2D" w:rsidRPr="00701BFB">
        <w:instrText>Zeichenkette</w:instrText>
      </w:r>
      <w:r w:rsidR="00FC2E2D">
        <w:instrText xml:space="preserve">" </w:instrText>
      </w:r>
      <w:r w:rsidR="005D7996">
        <w:fldChar w:fldCharType="end"/>
      </w:r>
      <w:r>
        <w:t>) gespeichert</w:t>
      </w:r>
      <w:r w:rsidR="00FC6429">
        <w:t xml:space="preserve"> und innerhalb der Algorithmen</w:t>
      </w:r>
      <w:r w:rsidR="005D7996">
        <w:fldChar w:fldCharType="begin"/>
      </w:r>
      <w:r w:rsidR="00CE3787">
        <w:instrText xml:space="preserve"> XE "</w:instrText>
      </w:r>
      <w:r w:rsidR="00CE3787" w:rsidRPr="008000A4">
        <w:instrText>Algorithmus</w:instrText>
      </w:r>
      <w:r w:rsidR="00CE3787">
        <w:instrText xml:space="preserve">" </w:instrText>
      </w:r>
      <w:r w:rsidR="005D7996">
        <w:fldChar w:fldCharType="end"/>
      </w:r>
      <w:r w:rsidR="00FC6429">
        <w:t xml:space="preserve"> mit </w:t>
      </w:r>
      <w:r>
        <w:t>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w:t>
      </w:r>
      <w:r w:rsidR="00FC6429">
        <w:t>gekennzeichnet (dies ist für Strings in den meisten Computersprachen der Fall, um sie von Befehlen und Variablennamen zu unerscheiden).</w:t>
      </w:r>
    </w:p>
    <w:p w:rsidR="00B3611E" w:rsidRDefault="009F63BC" w:rsidP="00A7048B">
      <w:pPr>
        <w:pStyle w:val="Text"/>
      </w:pPr>
      <w:r>
        <w:t>Da die Proposition</w:t>
      </w:r>
      <w:r w:rsidR="00CB4E2E">
        <w:t>sannahme</w:t>
      </w:r>
      <w:r>
        <w:t xml:space="preserve"> in den Beispielen die mit Abstand häufigste Sorte ist, geben wir nur die Sorten g und e in Klammern nach dem Bezeichner für Ergebnisse </w:t>
      </w:r>
      <w:r w:rsidRPr="009F63BC">
        <w:rPr>
          <w:i/>
        </w:rPr>
        <w:t>Er</w:t>
      </w:r>
      <w:r>
        <w:t xml:space="preserve"> an, also beispielsweise: </w:t>
      </w:r>
      <w:r w:rsidRPr="009F63BC">
        <w:rPr>
          <w:i/>
        </w:rPr>
        <w:t>Er</w:t>
      </w:r>
      <w:r w:rsidRPr="009F63BC">
        <w:rPr>
          <w:vertAlign w:val="subscript"/>
        </w:rPr>
        <w:t>1</w:t>
      </w:r>
      <w:r>
        <w:t xml:space="preserve"> (g): ‚…‘.</w:t>
      </w:r>
    </w:p>
    <w:p w:rsidR="00B3611E" w:rsidRDefault="00B3611E" w:rsidP="00F4161F">
      <w:pPr>
        <w:pStyle w:val="Zwischenberschrift"/>
      </w:pPr>
      <w:r>
        <w:t>Anmerkung zur Abgrenzung der Ergebnissorte</w:t>
      </w:r>
      <w:r w:rsidR="00BB7454">
        <w:t>n</w:t>
      </w:r>
    </w:p>
    <w:p w:rsidR="00BB7454" w:rsidRDefault="00BB7454" w:rsidP="00F4161F">
      <w:pPr>
        <w:pStyle w:val="Text"/>
        <w:ind w:firstLine="0"/>
      </w:pPr>
      <w:r>
        <w:t>Manche Beispiele legen nahe, dass sich die Grenze zwischen Gefühlen und Pr</w:t>
      </w:r>
      <w:r>
        <w:t>o</w:t>
      </w:r>
      <w:r>
        <w:t>position</w:t>
      </w:r>
      <w:r w:rsidR="00CB4E2E">
        <w:t>sannahmen</w:t>
      </w:r>
      <w:r>
        <w:t xml:space="preserve"> als Reaktion auf Stil verwischen kann: So könnte sich bei der Betrachtung eines eindrucksvollen antiken Bauwerks ein Gefühl des Staunens und der Bewunderung gerade in Wechselwirkung mit Überlegungen einstellen, wie schwer sein Bau mit den damaligen technischen Möglichkeiten war, welches ästhetische Bewusstsein und Formgefühl damals vorhanden war, und wie lange Zeit das Bauwerk überstanden hat. Dabei können die Proposition</w:t>
      </w:r>
      <w:r w:rsidR="00CB4E2E">
        <w:t>sannahme</w:t>
      </w:r>
      <w:r>
        <w:t>n sich aufgrund der Gefühle bilden oder umgekehrt; sind erst einmal beide en</w:t>
      </w:r>
      <w:r>
        <w:t>t</w:t>
      </w:r>
      <w:r>
        <w:t>standen, können sie sich gegenseitig verstärken. Gefühle können zudem bewusst gemacht und in propositionale</w:t>
      </w:r>
      <w:r w:rsidR="005D7996">
        <w:fldChar w:fldCharType="begin"/>
      </w:r>
      <w:r w:rsidR="00F86698">
        <w:instrText xml:space="preserve"> XE "</w:instrText>
      </w:r>
      <w:r w:rsidR="00F86698" w:rsidRPr="00943E02">
        <w:instrText>mentale Repräsentation:propositionale</w:instrText>
      </w:r>
      <w:r w:rsidR="00F86698">
        <w:instrText xml:space="preserve">" </w:instrText>
      </w:r>
      <w:r w:rsidR="005D7996">
        <w:fldChar w:fldCharType="end"/>
      </w:r>
      <w:r>
        <w:t xml:space="preserve"> Form gefasst werden, was sie stärken oder schw</w:t>
      </w:r>
      <w:r>
        <w:t>ä</w:t>
      </w:r>
      <w:r>
        <w:t>chen, eindeutiger machen oder verwischen kann.</w:t>
      </w:r>
    </w:p>
    <w:p w:rsidR="00933D5C" w:rsidRDefault="00BB7454" w:rsidP="00BB7454">
      <w:pPr>
        <w:pStyle w:val="Text"/>
      </w:pPr>
      <w:r>
        <w:t>Im genannten Beispiel könnte</w:t>
      </w:r>
      <w:r w:rsidR="00933D5C">
        <w:t>n aber auch Eindrücke entstehen, die wied</w:t>
      </w:r>
      <w:r w:rsidR="00933D5C">
        <w:t>e</w:t>
      </w:r>
      <w:r w:rsidR="00933D5C">
        <w:t>rum mit Gefühlen oder Proposition</w:t>
      </w:r>
      <w:r w:rsidR="00513129">
        <w:t>sannahme</w:t>
      </w:r>
      <w:r w:rsidR="00933D5C">
        <w:t>n zusammenhängen können. Be</w:t>
      </w:r>
      <w:r w:rsidR="00933D5C">
        <w:t>i</w:t>
      </w:r>
      <w:r w:rsidR="00933D5C">
        <w:t>spielsweise kann der Eindruck einer unmenschlichen Repräsentationsarchitektur entstehen, der mit einem Gefühl des Widerwillens oder der Ablehnung des B</w:t>
      </w:r>
      <w:r w:rsidR="00933D5C">
        <w:t>e</w:t>
      </w:r>
      <w:r w:rsidR="00933D5C">
        <w:t>trachteten einhergehen kann. Er kann in eine Proposition</w:t>
      </w:r>
      <w:r w:rsidR="00513129">
        <w:t>sannahme</w:t>
      </w:r>
      <w:r w:rsidR="00933D5C">
        <w:t xml:space="preserve"> umgeformt werden, beispielsweise: </w:t>
      </w:r>
      <w:r w:rsidR="00CD5206">
        <w:t>‚Dieses Gebäude ist in einer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CD5206">
        <w:t xml:space="preserve"> entstanden, in der die Repräsentation mehr zählte als die dafür geopferten Menschenleben‘. Manchmal wird gar nicht klar zwischen Gefühl, Proposition</w:t>
      </w:r>
      <w:r w:rsidR="00513129">
        <w:t>sannahme</w:t>
      </w:r>
      <w:r w:rsidR="00CD5206">
        <w:t xml:space="preserve"> und Eindruck zu trennen sein; wird dann beispielsweise darüber gesprochen, wird diese Mischung in eine Proposition</w:t>
      </w:r>
      <w:r w:rsidR="00513129">
        <w:t>sannahme</w:t>
      </w:r>
      <w:r w:rsidR="00CD5206">
        <w:t xml:space="preserve"> überführt, wobei oft Aspekte der anderen beteili</w:t>
      </w:r>
      <w:r w:rsidR="00CD5206">
        <w:t>g</w:t>
      </w:r>
      <w:r w:rsidR="00CD5206">
        <w:t>ten Sorten verloren gehen.</w:t>
      </w:r>
    </w:p>
    <w:p w:rsidR="00BB7454" w:rsidRPr="00A7048B" w:rsidRDefault="00CD5206" w:rsidP="00BB7454">
      <w:pPr>
        <w:pStyle w:val="Text"/>
      </w:pPr>
      <w:r>
        <w:t>D</w:t>
      </w:r>
      <w:r w:rsidR="00BB7454">
        <w:t>ie völlige Trennung von Gefühlen, Eindrücken und Proposition</w:t>
      </w:r>
      <w:r w:rsidR="003B6A87">
        <w:t>sanna</w:t>
      </w:r>
      <w:r w:rsidR="003B6A87">
        <w:t>h</w:t>
      </w:r>
      <w:r w:rsidR="003B6A87">
        <w:t>me</w:t>
      </w:r>
      <w:r w:rsidR="00BB7454">
        <w:t xml:space="preserve">n </w:t>
      </w:r>
      <w:r>
        <w:t xml:space="preserve">ist also nicht immer möglich. </w:t>
      </w:r>
      <w:r w:rsidR="00BB7454">
        <w:t xml:space="preserve">Für die vorliegende Theorie wird </w:t>
      </w:r>
      <w:r>
        <w:t xml:space="preserve">jedoch </w:t>
      </w:r>
      <w:r w:rsidR="00BB7454">
        <w:t>der Weg gewählt, sie als getrennte Sorten von Ergebnissen anzunehmen, deren Wechselwirkungen innerhalb der Interpretation bis zu einem gewissen Grad modelliert werden kann.</w:t>
      </w:r>
      <w:r>
        <w:t xml:space="preserve"> Beim erläuterten Beispiel wäre es etwa möglich, die Erzeugung eines Eindrucks und/oder eines Gefühls anzunehmen und daraus dann eine Proposition</w:t>
      </w:r>
      <w:r w:rsidR="003B6A87">
        <w:t>sannahme</w:t>
      </w:r>
      <w:r>
        <w:t xml:space="preserve"> zu erzeugen; oder aber für jede der drei Erge</w:t>
      </w:r>
      <w:r>
        <w:t>b</w:t>
      </w:r>
      <w:r>
        <w:t>nissorten ein Ergebnis direkt aus den Merkmalsregeln erzeugen zu lassen, die dann eventuell miteinander interagieren. Solche Beschreibungen haben den Vo</w:t>
      </w:r>
      <w:r>
        <w:t>r</w:t>
      </w:r>
      <w:r>
        <w:t>teil, zu genaueren Beschreibungen bezüglich Reihenfolge und Erzeugungsrelat</w:t>
      </w:r>
      <w:r>
        <w:t>i</w:t>
      </w:r>
      <w:r>
        <w:t>onen zu zwingen; es sollte aber nicht vergessen, dass sie oft Vereinfachungen darstellen.</w:t>
      </w:r>
    </w:p>
    <w:p w:rsidR="008E6D0C" w:rsidRDefault="008E6D0C" w:rsidP="008E6D0C">
      <w:pPr>
        <w:pStyle w:val="Titel3"/>
      </w:pPr>
      <w:bookmarkStart w:id="296" w:name="_Ref269151460"/>
      <w:bookmarkStart w:id="297" w:name="_Toc325456763"/>
      <w:bookmarkStart w:id="298" w:name="Hintergrundwissen"/>
      <w:bookmarkEnd w:id="295"/>
      <w:r>
        <w:lastRenderedPageBreak/>
        <w:t>Hintergrundwissen</w:t>
      </w:r>
      <w:bookmarkEnd w:id="296"/>
      <w:bookmarkEnd w:id="297"/>
    </w:p>
    <w:p w:rsidR="002C0553" w:rsidRDefault="005D7996" w:rsidP="00881724">
      <w:pPr>
        <w:pStyle w:val="Text"/>
        <w:ind w:firstLine="0"/>
      </w:pPr>
      <w:r>
        <w:fldChar w:fldCharType="begin"/>
      </w:r>
      <w:r w:rsidR="00760329">
        <w:instrText xml:space="preserve"> XE "Hintergrundwissen" \r "Hintergrundwissen" </w:instrText>
      </w:r>
      <w:r>
        <w:fldChar w:fldCharType="end"/>
      </w:r>
      <w:r>
        <w:fldChar w:fldCharType="begin"/>
      </w:r>
      <w:r w:rsidR="00760329">
        <w:instrText xml:space="preserve"> XE "Hintergrundwissen" \t "</w:instrText>
      </w:r>
      <w:r w:rsidR="00760329" w:rsidRPr="007247A5">
        <w:rPr>
          <w:i/>
        </w:rPr>
        <w:instrText>et passim</w:instrText>
      </w:r>
      <w:r w:rsidR="00760329">
        <w:instrText xml:space="preserve">" </w:instrText>
      </w:r>
      <w:r>
        <w:fldChar w:fldCharType="end"/>
      </w:r>
      <w:r w:rsidR="00B41A84">
        <w:t>Viele Vorgänge der Erzeugung von Ergebnissen lassen s</w:t>
      </w:r>
      <w:r w:rsidR="00BD21FC">
        <w:t>i</w:t>
      </w:r>
      <w:r w:rsidR="00B41A84">
        <w:t>ch nur durchführen, wenn Hintergrundwissen hinzugezogen wird. Aus dem Hintergrundwissen, zusammen mit einem oder mehreren Merkmalsregeln und/oder einem oder me</w:t>
      </w:r>
      <w:r w:rsidR="00B41A84">
        <w:t>h</w:t>
      </w:r>
      <w:r w:rsidR="00B41A84">
        <w:t>reren früheren Ergebnissen der Interpretation werden weitere Ergebnisse g</w:t>
      </w:r>
      <w:r w:rsidR="00B41A84">
        <w:t>e</w:t>
      </w:r>
      <w:r w:rsidR="00B41A84">
        <w:t xml:space="preserve">wonnen. </w:t>
      </w:r>
      <w:r w:rsidR="00632C98">
        <w:t xml:space="preserve">Grundsätzlich kann </w:t>
      </w:r>
      <w:r w:rsidR="00B41A84">
        <w:t xml:space="preserve">dabei </w:t>
      </w:r>
      <w:r w:rsidR="00632C98">
        <w:t>jedes Element des Hintergrundwissens ei</w:t>
      </w:r>
      <w:r w:rsidR="00632C98">
        <w:t>n</w:t>
      </w:r>
      <w:r w:rsidR="00632C98">
        <w:t>gebracht werden, mit dessen Hilfe sich ein Ergebnis ableiten lässt.</w:t>
      </w:r>
    </w:p>
    <w:p w:rsidR="00B41A84" w:rsidRDefault="00B41A84" w:rsidP="00632C98">
      <w:pPr>
        <w:pStyle w:val="Text"/>
      </w:pPr>
      <w:r>
        <w:t xml:space="preserve">Allerdings weiß man erst, ob sich ein Ergebnis ableiten lässt, wenn man es probiert hat. Um nicht alle Elemente des Hintergrundwissens in Kombination mit allen bereits gegebenen Elementen durchprobieren zu müssen, nehmen wir daher eine </w:t>
      </w:r>
      <w:r w:rsidR="00C35EA1">
        <w:t xml:space="preserve">Suchfunktion an und nennen sie </w:t>
      </w:r>
      <w:r w:rsidRPr="00C35EA1">
        <w:rPr>
          <w:i/>
        </w:rPr>
        <w:t>Relevantes_H</w:t>
      </w:r>
      <w:r w:rsidR="00C35EA1" w:rsidRPr="00C35EA1">
        <w:rPr>
          <w:i/>
        </w:rPr>
        <w:t>intergrundwissen</w:t>
      </w:r>
      <w:r w:rsidR="006F7056">
        <w:t xml:space="preserve">. </w:t>
      </w:r>
      <w:r>
        <w:t xml:space="preserve">Wie der Name schon sagt, hat sie die Aufgabe, aus dem gesamten zur Verfügung stehenden Hintergrundwissen, das in der Menge </w:t>
      </w:r>
      <w:r w:rsidRPr="00C94767">
        <w:rPr>
          <w:i/>
        </w:rPr>
        <w:t>H</w:t>
      </w:r>
      <w:r>
        <w:t xml:space="preserve"> zusammengefasst ist, diej</w:t>
      </w:r>
      <w:r>
        <w:t>e</w:t>
      </w:r>
      <w:r>
        <w:t>nigen Elemente auszusondern, die für die stilistische Interpretation relevant sein könnten.</w:t>
      </w:r>
      <w:r w:rsidR="00846C1A">
        <w:t xml:space="preserve"> Als Input erhält sie eine Menge von Merkmalsregeln und/oder eine Menge von bereits vorher gewonnenen Ergebnissen der Interpretation.</w:t>
      </w:r>
    </w:p>
    <w:p w:rsidR="00B41A84" w:rsidRDefault="00B41A84" w:rsidP="00632C98">
      <w:pPr>
        <w:pStyle w:val="Text"/>
      </w:pPr>
      <w:r>
        <w:t>Wie kann sie vorgehen</w:t>
      </w:r>
      <w:r w:rsidR="00846C1A">
        <w:t xml:space="preserve">, um geeignete Elemente von </w:t>
      </w:r>
      <w:r w:rsidR="00846C1A" w:rsidRPr="00F1342B">
        <w:rPr>
          <w:i/>
        </w:rPr>
        <w:t>H</w:t>
      </w:r>
      <w:r w:rsidR="00846C1A">
        <w:t xml:space="preserve"> zu finden</w:t>
      </w:r>
      <w:r>
        <w:t>? Es ist klar, dass nicht im Voraus sicher festgestellt werden kann, welche Elemente des Hintergrundwissens unter Anwendung der verschiedenen Operationen zur E</w:t>
      </w:r>
      <w:r>
        <w:t>r</w:t>
      </w:r>
      <w:r>
        <w:t>zeugung von Ergebnissen führen. Sonst könnte man sich die Anwendung der Operationen sparen und hätte eine Abkürzung gefunden, die dann als neue a</w:t>
      </w:r>
      <w:r>
        <w:t>n</w:t>
      </w:r>
      <w:r>
        <w:t>zuwendende Operation gelten müsste. Wir nehmen an, dass dieser Vorgang der Vereinfachung dort, wo er möglich war, bereits geschehen ist, das heißt dass die Operationen</w:t>
      </w:r>
      <w:r w:rsidR="009A26BD">
        <w:t xml:space="preserve"> bereits optimiert wurden. Daher</w:t>
      </w:r>
      <w:r>
        <w:t xml:space="preserve"> ist keine </w:t>
      </w:r>
      <w:r w:rsidR="009A26BD">
        <w:t xml:space="preserve">sichere </w:t>
      </w:r>
      <w:r>
        <w:t xml:space="preserve">Vorhersage über </w:t>
      </w:r>
      <w:r w:rsidR="00CC4CB2">
        <w:t xml:space="preserve">die Ergebnisse ihrer </w:t>
      </w:r>
      <w:r>
        <w:t xml:space="preserve">Anwendung </w:t>
      </w:r>
      <w:r w:rsidR="00CC4CB2">
        <w:t>möglich.</w:t>
      </w:r>
    </w:p>
    <w:p w:rsidR="0009450A" w:rsidRPr="00334BB8" w:rsidRDefault="006F7056">
      <w:pPr>
        <w:pStyle w:val="Text"/>
      </w:pPr>
      <w:r>
        <w:t xml:space="preserve">Die Funktion </w:t>
      </w:r>
      <w:r w:rsidRPr="00C35EA1">
        <w:rPr>
          <w:i/>
        </w:rPr>
        <w:t>Relevantes_Hintergrundwissen</w:t>
      </w:r>
      <w:r w:rsidR="00CC4CB2">
        <w:t xml:space="preserve"> kann daher </w:t>
      </w:r>
      <w:r w:rsidR="00846C1A">
        <w:t xml:space="preserve">keine direkten Aussagen über die zu erwartenden Ergebnisse heranziehen. Es gibt verschiedene denkbare Möglichkeiten, wie sie dennoch vielversprechende Elemente von </w:t>
      </w:r>
      <w:r w:rsidR="00846C1A" w:rsidRPr="00846C1A">
        <w:rPr>
          <w:i/>
        </w:rPr>
        <w:t>H</w:t>
      </w:r>
      <w:r w:rsidR="00846C1A">
        <w:t xml:space="preserve"> finden kann: Sie kann erfahrungsbasierte und heuristi</w:t>
      </w:r>
      <w:r w:rsidR="00367C1C">
        <w:t>sche Suchmechan</w:t>
      </w:r>
      <w:r w:rsidR="00846C1A">
        <w:t>i</w:t>
      </w:r>
      <w:r w:rsidR="00367C1C">
        <w:t>s</w:t>
      </w:r>
      <w:r w:rsidR="00846C1A">
        <w:t>men anwenden, oder (bei relativ spezifischen Merkmalsregeln und Ergebnissen als Input) einfach alles Hintergrundwissen, das sich auf diese beziehen lässt, au</w:t>
      </w:r>
      <w:r w:rsidR="00846C1A">
        <w:t>s</w:t>
      </w:r>
      <w:r w:rsidR="00846C1A">
        <w:t>wähle</w:t>
      </w:r>
      <w:r w:rsidR="00367C1C">
        <w:t>n. Die verschiedenen Suchmechan</w:t>
      </w:r>
      <w:r w:rsidR="00846C1A">
        <w:t>i</w:t>
      </w:r>
      <w:r w:rsidR="00367C1C">
        <w:t>s</w:t>
      </w:r>
      <w:r w:rsidR="00846C1A">
        <w:t xml:space="preserve">men werden wir jedoch nicht genauer spezifizieren, da sie – ähnlich wie die </w:t>
      </w:r>
      <w:r w:rsidR="00861342">
        <w:t>Interpretationsoperation</w:t>
      </w:r>
      <w:r w:rsidR="00846C1A">
        <w:t xml:space="preserve"> </w:t>
      </w:r>
      <w:r w:rsidR="00846C1A" w:rsidRPr="00846C1A">
        <w:rPr>
          <w:i/>
        </w:rPr>
        <w:t>Op</w:t>
      </w:r>
      <w:r w:rsidR="00846C1A">
        <w:t xml:space="preserve"> (vgl. A</w:t>
      </w:r>
      <w:r w:rsidR="00846C1A">
        <w:t>b</w:t>
      </w:r>
      <w:r w:rsidR="00846C1A">
        <w:t>schnitt</w:t>
      </w:r>
      <w:r w:rsidR="0061705E">
        <w:t xml:space="preserve"> </w:t>
      </w:r>
      <w:r w:rsidR="005D7996">
        <w:fldChar w:fldCharType="begin"/>
      </w:r>
      <w:r w:rsidR="0061705E">
        <w:instrText xml:space="preserve"> REF _Ref254694742 \r \h </w:instrText>
      </w:r>
      <w:r w:rsidR="005D7996">
        <w:fldChar w:fldCharType="separate"/>
      </w:r>
      <w:r w:rsidR="001231D3">
        <w:t>7.2.3</w:t>
      </w:r>
      <w:r w:rsidR="005D7996">
        <w:fldChar w:fldCharType="end"/>
      </w:r>
      <w:r w:rsidR="00846C1A">
        <w:t>)</w:t>
      </w:r>
      <w:r w:rsidR="0000422B">
        <w:t xml:space="preserve"> – nicht spezifisch für Stil sind. </w:t>
      </w:r>
      <w:r w:rsidR="00341533">
        <w:t>Es wird vielmehr davon ausgega</w:t>
      </w:r>
      <w:r w:rsidR="00341533">
        <w:t>n</w:t>
      </w:r>
      <w:r w:rsidR="00341533">
        <w:t>gen, dass zwei Beschränkungen der Suchmethodenmenge vorliegen: (1) Der/die Stilinterpretierende hat eine bestimmte Menge von Suchmethoden zur Verf</w:t>
      </w:r>
      <w:r w:rsidR="00341533">
        <w:t>ü</w:t>
      </w:r>
      <w:r w:rsidR="00341533">
        <w:t>gung. (2) Nicht alle diese Methoden muss er/sie in einer konkreten Stilinterpr</w:t>
      </w:r>
      <w:r w:rsidR="00341533">
        <w:t>e</w:t>
      </w:r>
      <w:r w:rsidR="00341533">
        <w:t>tation anwenden. Beide Beschränkungen werden im Modell gemeinsam dadurch simulier</w:t>
      </w:r>
      <w:r>
        <w:t xml:space="preserve">t, dass zu Beginn der Funktion </w:t>
      </w:r>
      <w:r w:rsidR="00341533" w:rsidRPr="00C35EA1">
        <w:rPr>
          <w:i/>
        </w:rPr>
        <w:t>Relevan</w:t>
      </w:r>
      <w:r w:rsidRPr="00C35EA1">
        <w:rPr>
          <w:i/>
        </w:rPr>
        <w:t>tes_Hintergrundwissen</w:t>
      </w:r>
      <w:r>
        <w:t xml:space="preserve"> die Fun</w:t>
      </w:r>
      <w:r>
        <w:t>k</w:t>
      </w:r>
      <w:r>
        <w:t xml:space="preserve">tion </w:t>
      </w:r>
      <w:r w:rsidRPr="00C35EA1">
        <w:rPr>
          <w:i/>
        </w:rPr>
        <w:t>Suchmethoden_zusammenstellen</w:t>
      </w:r>
      <w:r w:rsidR="00341533">
        <w:t xml:space="preserve"> aufgerufen wird. Diese gibt die Menge der Suchmethoden zurück, die zur Verfügung stehen und zur Anwendung kommen sollen. Ihr Rückgabewert wird in die Variable </w:t>
      </w:r>
      <w:r w:rsidR="00341533" w:rsidRPr="00341533">
        <w:rPr>
          <w:i/>
        </w:rPr>
        <w:t>Su</w:t>
      </w:r>
      <w:r w:rsidR="00341533">
        <w:t xml:space="preserve"> gespeichert.</w:t>
      </w:r>
    </w:p>
    <w:p w:rsidR="006B17FB" w:rsidRDefault="0012709B" w:rsidP="006B17FB">
      <w:pPr>
        <w:pStyle w:val="Titel2"/>
      </w:pPr>
      <w:bookmarkStart w:id="299" w:name="_Ref254339704"/>
      <w:bookmarkStart w:id="300" w:name="_Toc325456764"/>
      <w:bookmarkStart w:id="301" w:name="Ergebnisse2"/>
      <w:bookmarkEnd w:id="298"/>
      <w:r>
        <w:lastRenderedPageBreak/>
        <w:t>Erzeugung von Ergebnissen</w:t>
      </w:r>
      <w:bookmarkEnd w:id="299"/>
      <w:bookmarkEnd w:id="300"/>
    </w:p>
    <w:p w:rsidR="0084317F" w:rsidRDefault="005D7996" w:rsidP="00881724">
      <w:pPr>
        <w:pStyle w:val="Text"/>
        <w:ind w:firstLine="0"/>
      </w:pPr>
      <w:r>
        <w:fldChar w:fldCharType="begin"/>
      </w:r>
      <w:r w:rsidR="00AD245D">
        <w:instrText xml:space="preserve"> XE "Ergebnisse (der Interpretation)" \r "Ergebnisse2" </w:instrText>
      </w:r>
      <w:r>
        <w:fldChar w:fldCharType="end"/>
      </w:r>
      <w:r w:rsidR="0084317F">
        <w:t xml:space="preserve">An der Erzeugung eines Ergebnisses können Merkmalsregeln, Elemente des Hintergrundwissens und früher erzeugte Ergebnisse beteiligt sein. </w:t>
      </w:r>
      <w:r w:rsidR="00C65D81">
        <w:t>Aus Hinte</w:t>
      </w:r>
      <w:r w:rsidR="00C65D81">
        <w:t>r</w:t>
      </w:r>
      <w:r w:rsidR="00C65D81">
        <w:t>grundwissen allein kann kein Ergebnis einer stilistischen Interpretation erzeugt werden; es muss stets eine Merkmalsregel oder ein früheres Ergebnis im Input vorhanden sein. Es ergeben sich die folgenden Möglichkeiten für die Zusamme</w:t>
      </w:r>
      <w:r w:rsidR="00C65D81">
        <w:t>n</w:t>
      </w:r>
      <w:r w:rsidR="00C65D81">
        <w:t>setzung des Inputs, die im angegebenen Abschnitt mit Beispielen illustriert we</w:t>
      </w:r>
      <w:r w:rsidR="00C65D81">
        <w:t>r</w:t>
      </w:r>
      <w:r w:rsidR="00C65D81">
        <w:t>den:</w:t>
      </w:r>
    </w:p>
    <w:p w:rsidR="00C65D81" w:rsidRDefault="00C65D81" w:rsidP="00881724">
      <w:pPr>
        <w:pStyle w:val="Text"/>
        <w:spacing w:before="120"/>
        <w:ind w:firstLine="0"/>
      </w:pPr>
      <w:r>
        <w:t>Aus einer Merkmalsregel</w:t>
      </w:r>
    </w:p>
    <w:p w:rsidR="0084317F" w:rsidRDefault="00C65D81" w:rsidP="00881724">
      <w:pPr>
        <w:pStyle w:val="Text"/>
        <w:ind w:firstLine="0"/>
      </w:pPr>
      <w:r>
        <w:t>–</w:t>
      </w:r>
      <w:r>
        <w:tab/>
        <w:t>ohne früher</w:t>
      </w:r>
      <w:r w:rsidR="000A7690">
        <w:t xml:space="preserve">e </w:t>
      </w:r>
      <w:r>
        <w:t>Ergebnisse,</w:t>
      </w:r>
      <w:r w:rsidRPr="00C65D81">
        <w:t xml:space="preserve"> </w:t>
      </w:r>
      <w:r>
        <w:t>ohne Hintergrundwissen</w:t>
      </w:r>
      <w:r w:rsidR="00075E02">
        <w:t xml:space="preserve"> (</w:t>
      </w:r>
      <w:r w:rsidR="005D7996">
        <w:fldChar w:fldCharType="begin"/>
      </w:r>
      <w:r w:rsidR="00075E02">
        <w:instrText xml:space="preserve"> REF _Ref260072259 \r \h </w:instrText>
      </w:r>
      <w:r w:rsidR="005D7996">
        <w:fldChar w:fldCharType="separate"/>
      </w:r>
      <w:r w:rsidR="001231D3">
        <w:t>6.3.1.1</w:t>
      </w:r>
      <w:r w:rsidR="005D7996">
        <w:fldChar w:fldCharType="end"/>
      </w:r>
      <w:r w:rsidR="00075E02">
        <w:t>)</w:t>
      </w:r>
      <w:r>
        <w:t>,</w:t>
      </w:r>
    </w:p>
    <w:p w:rsidR="00C65D81" w:rsidRDefault="000A7690" w:rsidP="00881724">
      <w:pPr>
        <w:pStyle w:val="Text"/>
        <w:ind w:firstLine="0"/>
      </w:pPr>
      <w:r>
        <w:t>–</w:t>
      </w:r>
      <w:r>
        <w:tab/>
        <w:t xml:space="preserve">ohne frühere </w:t>
      </w:r>
      <w:r w:rsidR="00C65D81">
        <w:t>Ergebnisse,</w:t>
      </w:r>
      <w:r w:rsidR="00C65D81" w:rsidRPr="00C65D81">
        <w:t xml:space="preserve"> </w:t>
      </w:r>
      <w:r w:rsidR="00C65D81">
        <w:t>mit Hintergrundwissen</w:t>
      </w:r>
      <w:r w:rsidR="00075E02">
        <w:t xml:space="preserve"> (</w:t>
      </w:r>
      <w:r w:rsidR="005D7996">
        <w:fldChar w:fldCharType="begin"/>
      </w:r>
      <w:r w:rsidR="00075E02">
        <w:instrText xml:space="preserve"> REF _Ref260072285 \r \h </w:instrText>
      </w:r>
      <w:r w:rsidR="005D7996">
        <w:fldChar w:fldCharType="separate"/>
      </w:r>
      <w:r w:rsidR="001231D3">
        <w:t>6.3.1.2</w:t>
      </w:r>
      <w:r w:rsidR="005D7996">
        <w:fldChar w:fldCharType="end"/>
      </w:r>
      <w:r w:rsidR="00075E02">
        <w:t>)</w:t>
      </w:r>
      <w:r w:rsidR="00C65D81">
        <w:t>,</w:t>
      </w:r>
    </w:p>
    <w:p w:rsidR="00C65D81" w:rsidRDefault="00C65D81" w:rsidP="00881724">
      <w:pPr>
        <w:pStyle w:val="Text"/>
        <w:ind w:firstLine="0"/>
      </w:pPr>
      <w:r>
        <w:t>–</w:t>
      </w:r>
      <w:r>
        <w:tab/>
      </w:r>
      <w:r w:rsidR="00D40D89">
        <w:t>mit</w:t>
      </w:r>
      <w:r>
        <w:t xml:space="preserve"> früher</w:t>
      </w:r>
      <w:r w:rsidR="000A7690">
        <w:t>en</w:t>
      </w:r>
      <w:r>
        <w:t xml:space="preserve"> Ergebnisse</w:t>
      </w:r>
      <w:r w:rsidR="00D40D89">
        <w:t>n, ohne Hintergrundwissen</w:t>
      </w:r>
      <w:r w:rsidR="00075E02">
        <w:t xml:space="preserve"> (</w:t>
      </w:r>
      <w:r w:rsidR="005D7996">
        <w:fldChar w:fldCharType="begin"/>
      </w:r>
      <w:r w:rsidR="00075E02">
        <w:instrText xml:space="preserve"> REF _Ref260072327 \r \h </w:instrText>
      </w:r>
      <w:r w:rsidR="005D7996">
        <w:fldChar w:fldCharType="separate"/>
      </w:r>
      <w:r w:rsidR="001231D3">
        <w:t>6.3.1.3</w:t>
      </w:r>
      <w:r w:rsidR="005D7996">
        <w:fldChar w:fldCharType="end"/>
      </w:r>
      <w:r w:rsidR="00075E02">
        <w:t>)</w:t>
      </w:r>
      <w:r>
        <w:t>,</w:t>
      </w:r>
    </w:p>
    <w:p w:rsidR="00C65D81" w:rsidRDefault="00D40D89" w:rsidP="00881724">
      <w:pPr>
        <w:pStyle w:val="Text"/>
        <w:ind w:firstLine="0"/>
      </w:pPr>
      <w:r>
        <w:t>–</w:t>
      </w:r>
      <w:r>
        <w:tab/>
        <w:t>mit früher</w:t>
      </w:r>
      <w:r w:rsidR="000A7690">
        <w:t>en</w:t>
      </w:r>
      <w:r>
        <w:t xml:space="preserve"> Ergebnissen, mit Hintergrundwissen </w:t>
      </w:r>
      <w:r w:rsidR="00075E02">
        <w:t>(</w:t>
      </w:r>
      <w:r w:rsidR="005D7996">
        <w:fldChar w:fldCharType="begin"/>
      </w:r>
      <w:r w:rsidR="00075E02">
        <w:instrText xml:space="preserve"> REF _Ref260072333 \r \h </w:instrText>
      </w:r>
      <w:r w:rsidR="005D7996">
        <w:fldChar w:fldCharType="separate"/>
      </w:r>
      <w:r w:rsidR="001231D3">
        <w:t>6.3.1.4</w:t>
      </w:r>
      <w:r w:rsidR="005D7996">
        <w:fldChar w:fldCharType="end"/>
      </w:r>
      <w:r w:rsidR="00075E02">
        <w:t>)</w:t>
      </w:r>
      <w:r w:rsidR="00C65D81">
        <w:t>.</w:t>
      </w:r>
    </w:p>
    <w:p w:rsidR="00C65D81" w:rsidRDefault="00C65D81" w:rsidP="00881724">
      <w:pPr>
        <w:pStyle w:val="Text"/>
        <w:spacing w:before="120"/>
        <w:ind w:firstLine="0"/>
      </w:pPr>
      <w:r>
        <w:t>Aus mehreren Merkmalsregeln</w:t>
      </w:r>
    </w:p>
    <w:p w:rsidR="00C65D81" w:rsidRDefault="00C65D81" w:rsidP="00881724">
      <w:pPr>
        <w:pStyle w:val="Text"/>
        <w:ind w:firstLine="0"/>
      </w:pPr>
      <w:r>
        <w:t>–</w:t>
      </w:r>
      <w:r>
        <w:tab/>
        <w:t>ohne früher</w:t>
      </w:r>
      <w:r w:rsidR="000A7690">
        <w:t>e</w:t>
      </w:r>
      <w:r>
        <w:t xml:space="preserve"> Ergebnisse,</w:t>
      </w:r>
      <w:r w:rsidRPr="00C65D81">
        <w:t xml:space="preserve"> </w:t>
      </w:r>
      <w:r>
        <w:t>ohne Hintergrundwissen</w:t>
      </w:r>
      <w:r w:rsidR="00075E02">
        <w:t xml:space="preserve"> (</w:t>
      </w:r>
      <w:r w:rsidR="005D7996">
        <w:fldChar w:fldCharType="begin"/>
      </w:r>
      <w:r w:rsidR="00075E02">
        <w:instrText xml:space="preserve"> REF _Ref260072340 \r \h </w:instrText>
      </w:r>
      <w:r w:rsidR="005D7996">
        <w:fldChar w:fldCharType="separate"/>
      </w:r>
      <w:r w:rsidR="001231D3">
        <w:t>6.3.2.1</w:t>
      </w:r>
      <w:r w:rsidR="005D7996">
        <w:fldChar w:fldCharType="end"/>
      </w:r>
      <w:r w:rsidR="00075E02">
        <w:t>)</w:t>
      </w:r>
      <w:r>
        <w:t>,</w:t>
      </w:r>
    </w:p>
    <w:p w:rsidR="00C65D81" w:rsidRDefault="00C65D81" w:rsidP="00881724">
      <w:pPr>
        <w:pStyle w:val="Text"/>
        <w:ind w:firstLine="0"/>
      </w:pPr>
      <w:r>
        <w:t>–</w:t>
      </w:r>
      <w:r>
        <w:tab/>
        <w:t>ohne früher</w:t>
      </w:r>
      <w:r w:rsidR="000A7690">
        <w:t>e</w:t>
      </w:r>
      <w:r>
        <w:t xml:space="preserve"> Ergebnisse,</w:t>
      </w:r>
      <w:r w:rsidRPr="00C65D81">
        <w:t xml:space="preserve"> </w:t>
      </w:r>
      <w:r>
        <w:t>mit Hintergrundwissen</w:t>
      </w:r>
      <w:r w:rsidR="00075E02">
        <w:t xml:space="preserve"> (</w:t>
      </w:r>
      <w:r w:rsidR="005D7996">
        <w:fldChar w:fldCharType="begin"/>
      </w:r>
      <w:r w:rsidR="00075E02">
        <w:instrText xml:space="preserve"> REF _Ref260072345 \r \h </w:instrText>
      </w:r>
      <w:r w:rsidR="005D7996">
        <w:fldChar w:fldCharType="separate"/>
      </w:r>
      <w:r w:rsidR="001231D3">
        <w:t>6.3.2.2</w:t>
      </w:r>
      <w:r w:rsidR="005D7996">
        <w:fldChar w:fldCharType="end"/>
      </w:r>
      <w:r w:rsidR="00075E02">
        <w:t>)</w:t>
      </w:r>
      <w:r>
        <w:t>,</w:t>
      </w:r>
    </w:p>
    <w:p w:rsidR="00C65D81" w:rsidRDefault="00C65D81" w:rsidP="00881724">
      <w:pPr>
        <w:pStyle w:val="Text"/>
        <w:ind w:firstLine="0"/>
      </w:pPr>
      <w:r>
        <w:t>–</w:t>
      </w:r>
      <w:r>
        <w:tab/>
      </w:r>
      <w:r w:rsidR="00D40D89">
        <w:t>mit früher</w:t>
      </w:r>
      <w:r w:rsidR="000A7690">
        <w:t>en</w:t>
      </w:r>
      <w:r w:rsidR="00D40D89">
        <w:t xml:space="preserve"> Ergebnissen, ohne Hintergrundwissen </w:t>
      </w:r>
      <w:r w:rsidR="00075E02">
        <w:t>(</w:t>
      </w:r>
      <w:r w:rsidR="005D7996">
        <w:fldChar w:fldCharType="begin"/>
      </w:r>
      <w:r w:rsidR="00075E02">
        <w:instrText xml:space="preserve"> REF _Ref260072350 \r \h </w:instrText>
      </w:r>
      <w:r w:rsidR="005D7996">
        <w:fldChar w:fldCharType="separate"/>
      </w:r>
      <w:r w:rsidR="001231D3">
        <w:t>6.3.2.3</w:t>
      </w:r>
      <w:r w:rsidR="005D7996">
        <w:fldChar w:fldCharType="end"/>
      </w:r>
      <w:r w:rsidR="00075E02">
        <w:t>)</w:t>
      </w:r>
      <w:r>
        <w:t>,</w:t>
      </w:r>
    </w:p>
    <w:p w:rsidR="00C65D81" w:rsidRDefault="00C65D81" w:rsidP="00881724">
      <w:pPr>
        <w:pStyle w:val="Text"/>
        <w:ind w:firstLine="0"/>
      </w:pPr>
      <w:r>
        <w:t>–</w:t>
      </w:r>
      <w:r>
        <w:tab/>
      </w:r>
      <w:r w:rsidR="00D40D89">
        <w:t>mit früher</w:t>
      </w:r>
      <w:r w:rsidR="000A7690">
        <w:t>en</w:t>
      </w:r>
      <w:r w:rsidR="00D40D89">
        <w:t xml:space="preserve"> Ergebnissen, mit Hintergrundwissen </w:t>
      </w:r>
      <w:r w:rsidR="00075E02">
        <w:t>(</w:t>
      </w:r>
      <w:r w:rsidR="005D7996">
        <w:fldChar w:fldCharType="begin"/>
      </w:r>
      <w:r w:rsidR="00075E02">
        <w:instrText xml:space="preserve"> REF _Ref260072355 \r \h </w:instrText>
      </w:r>
      <w:r w:rsidR="005D7996">
        <w:fldChar w:fldCharType="separate"/>
      </w:r>
      <w:r w:rsidR="001231D3">
        <w:t>6.3.2.4</w:t>
      </w:r>
      <w:r w:rsidR="005D7996">
        <w:fldChar w:fldCharType="end"/>
      </w:r>
      <w:r w:rsidR="00075E02">
        <w:t>)</w:t>
      </w:r>
      <w:r>
        <w:t>.</w:t>
      </w:r>
    </w:p>
    <w:p w:rsidR="00C65D81" w:rsidRDefault="004C6A54" w:rsidP="00881724">
      <w:pPr>
        <w:pStyle w:val="Text"/>
        <w:spacing w:before="120"/>
        <w:ind w:firstLine="0"/>
      </w:pPr>
      <w:r>
        <w:t>Aus einem oder mehreren früher</w:t>
      </w:r>
      <w:r w:rsidR="000A7690">
        <w:t xml:space="preserve">en </w:t>
      </w:r>
      <w:r w:rsidR="00C65D81">
        <w:t>Ergebnissen, ohne Verwendung von Mer</w:t>
      </w:r>
      <w:r w:rsidR="00C65D81">
        <w:t>k</w:t>
      </w:r>
      <w:r w:rsidR="00C65D81">
        <w:t>malsregeln,</w:t>
      </w:r>
    </w:p>
    <w:p w:rsidR="00C65D81" w:rsidRDefault="00C65D81" w:rsidP="00881724">
      <w:pPr>
        <w:pStyle w:val="Text"/>
        <w:ind w:firstLine="0"/>
      </w:pPr>
      <w:r>
        <w:t>–</w:t>
      </w:r>
      <w:r>
        <w:tab/>
        <w:t>ohne Hintergrundwissen</w:t>
      </w:r>
      <w:r w:rsidR="00075E02">
        <w:t xml:space="preserve"> (</w:t>
      </w:r>
      <w:r w:rsidR="005D7996">
        <w:fldChar w:fldCharType="begin"/>
      </w:r>
      <w:r w:rsidR="00075E02">
        <w:instrText xml:space="preserve"> REF _Ref260072369 \r \h </w:instrText>
      </w:r>
      <w:r w:rsidR="005D7996">
        <w:fldChar w:fldCharType="separate"/>
      </w:r>
      <w:r w:rsidR="001231D3">
        <w:t>6.3.3.1</w:t>
      </w:r>
      <w:r w:rsidR="005D7996">
        <w:fldChar w:fldCharType="end"/>
      </w:r>
      <w:r w:rsidR="00075E02">
        <w:t>)</w:t>
      </w:r>
      <w:r>
        <w:t>,</w:t>
      </w:r>
    </w:p>
    <w:p w:rsidR="00C65D81" w:rsidRDefault="00C65D81" w:rsidP="00881724">
      <w:pPr>
        <w:pStyle w:val="Text"/>
        <w:ind w:firstLine="0"/>
      </w:pPr>
      <w:r>
        <w:t>–</w:t>
      </w:r>
      <w:r>
        <w:tab/>
      </w:r>
      <w:r w:rsidR="00C84CBF">
        <w:t xml:space="preserve">mit </w:t>
      </w:r>
      <w:r>
        <w:t>Hintergrundwissen</w:t>
      </w:r>
      <w:r w:rsidR="00075E02">
        <w:t xml:space="preserve"> (</w:t>
      </w:r>
      <w:r w:rsidR="005D7996">
        <w:fldChar w:fldCharType="begin"/>
      </w:r>
      <w:r w:rsidR="00304B4B">
        <w:instrText xml:space="preserve"> REF _Ref261795820 \r \h </w:instrText>
      </w:r>
      <w:r w:rsidR="005D7996">
        <w:fldChar w:fldCharType="separate"/>
      </w:r>
      <w:r w:rsidR="001231D3">
        <w:t>6.3.3.2</w:t>
      </w:r>
      <w:r w:rsidR="005D7996">
        <w:fldChar w:fldCharType="end"/>
      </w:r>
      <w:r w:rsidR="00075E02">
        <w:t>)</w:t>
      </w:r>
      <w:r>
        <w:t>.</w:t>
      </w:r>
    </w:p>
    <w:p w:rsidR="002B59A6" w:rsidRDefault="0084317F" w:rsidP="00881724">
      <w:pPr>
        <w:pStyle w:val="Text"/>
        <w:spacing w:before="120"/>
        <w:ind w:firstLine="0"/>
      </w:pPr>
      <w:r>
        <w:t xml:space="preserve">Im Folgenden werden </w:t>
      </w:r>
      <w:r w:rsidR="00090580">
        <w:t xml:space="preserve">je </w:t>
      </w:r>
      <w:r>
        <w:t xml:space="preserve">zwei </w:t>
      </w:r>
      <w:r w:rsidR="00090580">
        <w:t xml:space="preserve">bis drei </w:t>
      </w:r>
      <w:r>
        <w:t>Beispiele für die verschiedenen Fälle vo</w:t>
      </w:r>
      <w:r>
        <w:t>r</w:t>
      </w:r>
      <w:r>
        <w:t>gestellt</w:t>
      </w:r>
      <w:r w:rsidR="004053AF">
        <w:t>, um diese zu illustrieren. Dabei werden Beispiele aus verschiedenen B</w:t>
      </w:r>
      <w:r w:rsidR="004053AF">
        <w:t>e</w:t>
      </w:r>
      <w:r w:rsidR="004053AF">
        <w:t xml:space="preserve">reichen und mit verschiedenen Komplexitätsgraden gewählt, um einen </w:t>
      </w:r>
      <w:r>
        <w:t xml:space="preserve">Eindruck von der Bandbreite möglicher </w:t>
      </w:r>
      <w:r w:rsidR="004428DB">
        <w:t xml:space="preserve">Stile und Interpretationen </w:t>
      </w:r>
      <w:r w:rsidR="004053AF">
        <w:t>zu geben</w:t>
      </w:r>
      <w:r w:rsidR="004428DB">
        <w:t xml:space="preserve">. </w:t>
      </w:r>
      <w:r w:rsidR="00C31023">
        <w:t>Teils werden anhand der Beispiele weitere theoretische Punkte erläutert.</w:t>
      </w:r>
    </w:p>
    <w:p w:rsidR="0084317F" w:rsidRDefault="0084317F" w:rsidP="0084317F">
      <w:pPr>
        <w:pStyle w:val="Text"/>
      </w:pPr>
    </w:p>
    <w:p w:rsidR="006B17FB" w:rsidRDefault="006B17FB" w:rsidP="00881724">
      <w:pPr>
        <w:pStyle w:val="Text"/>
        <w:ind w:firstLine="0"/>
      </w:pPr>
      <w:r>
        <w:t xml:space="preserve">Wie oben bemerkt (vgl. Abschnitt </w:t>
      </w:r>
      <w:r w:rsidR="005D7996">
        <w:fldChar w:fldCharType="begin"/>
      </w:r>
      <w:r>
        <w:instrText xml:space="preserve"> REF _Ref248036699 \r \h </w:instrText>
      </w:r>
      <w:r w:rsidR="005D7996">
        <w:fldChar w:fldCharType="separate"/>
      </w:r>
      <w:r w:rsidR="001231D3">
        <w:t>6.2.1</w:t>
      </w:r>
      <w:r w:rsidR="005D7996">
        <w:fldChar w:fldCharType="end"/>
      </w:r>
      <w:r>
        <w:t>), nehmen wir für den Interpretation</w:t>
      </w:r>
      <w:r>
        <w:t>s</w:t>
      </w:r>
      <w:r>
        <w:t xml:space="preserve">prozess eine erweiterbare Liste von Operationen an. Dabei bleibt offen, wie die einzelnen Operationen stilistische Ergebnisse erzeugen. Wir können somit auch nicht allgemein definieren, wie die einzelnen Operationen vorzugehen haben. </w:t>
      </w:r>
      <w:r w:rsidR="00274D88">
        <w:t xml:space="preserve">Werden sie auf Merkmalsregeln angewandt, müssen sie allerdings </w:t>
      </w:r>
      <w:r>
        <w:t>die spezif</w:t>
      </w:r>
      <w:r>
        <w:t>i</w:t>
      </w:r>
      <w:r>
        <w:t>schen Funktionen, die die Variablen der Merkmalsregel haben, berücksichtigen.</w:t>
      </w:r>
    </w:p>
    <w:p w:rsidR="002B28FC" w:rsidRDefault="00FE205C" w:rsidP="006B17FB">
      <w:pPr>
        <w:pStyle w:val="Text"/>
      </w:pPr>
      <w:r>
        <w:t xml:space="preserve">Die </w:t>
      </w:r>
      <w:r w:rsidR="006B17FB">
        <w:t xml:space="preserve">Anwendung einer Operation </w:t>
      </w:r>
      <w:r>
        <w:t xml:space="preserve">wird </w:t>
      </w:r>
      <w:r w:rsidR="006B17FB">
        <w:t>durch einen geschlängelten Pfeil da</w:t>
      </w:r>
      <w:r w:rsidR="006B17FB">
        <w:t>r</w:t>
      </w:r>
      <w:r w:rsidR="006B17FB">
        <w:t xml:space="preserve">gestellt, an den als Subskript die Operation geschrieben wird, </w:t>
      </w:r>
      <w:r w:rsidR="001A473B">
        <w:t>beispielsweise</w:t>
      </w:r>
      <w:r w:rsidR="006B17FB">
        <w:t xml:space="preserve"> </w:t>
      </w:r>
      <m:oMath>
        <m:sSub>
          <m:sSubPr>
            <m:ctrlPr>
              <w:rPr>
                <w:rFonts w:ascii="Cambria Math" w:eastAsia="Arial Unicode MS" w:hAnsi="Cambria Math" w:cs="Times New Roman"/>
                <w:i/>
              </w:rPr>
            </m:ctrlPr>
          </m:sSubPr>
          <m:e>
            <m:r>
              <m:rPr>
                <m:nor/>
              </m:rPr>
              <w:rPr>
                <w:rFonts w:ascii="Cambria Math" w:eastAsia="Arial Unicode MS" w:hAnsi="Cambria Math" w:cs="Cambria Math"/>
                <w:color w:val="000000" w:themeColor="text1"/>
              </w:rPr>
              <m:t>⤳</m:t>
            </m:r>
          </m:e>
          <m:sub>
            <m:sSub>
              <m:sSubPr>
                <m:ctrlPr>
                  <w:rPr>
                    <w:rFonts w:ascii="Cambria Math" w:eastAsia="Arial Unicode MS" w:hAnsi="Cambria Math" w:cs="Times New Roman"/>
                    <w:i/>
                  </w:rPr>
                </m:ctrlPr>
              </m:sSubPr>
              <m:e>
                <m:r>
                  <m:rPr>
                    <m:nor/>
                  </m:rPr>
                  <w:rPr>
                    <w:rFonts w:eastAsia="Arial Unicode MS" w:cs="Times New Roman"/>
                    <w:i/>
                  </w:rPr>
                  <m:t>Op</m:t>
                </m:r>
              </m:e>
              <m:sub>
                <m:r>
                  <m:rPr>
                    <m:nor/>
                  </m:rPr>
                  <w:rPr>
                    <w:rFonts w:eastAsia="Arial Unicode MS" w:cs="Times New Roman"/>
                    <w:i/>
                  </w:rPr>
                  <m:t>i</m:t>
                </m:r>
              </m:sub>
            </m:sSub>
          </m:sub>
        </m:sSub>
      </m:oMath>
      <w:r w:rsidR="006B17FB">
        <w:t>. Erzeugt die Operation</w:t>
      </w:r>
      <w:r w:rsidR="00FB05D3">
        <w:t xml:space="preserve"> </w:t>
      </w:r>
      <w:r w:rsidR="00FB05D3" w:rsidRPr="00FB05D3">
        <w:rPr>
          <w:i/>
        </w:rPr>
        <w:t>Op</w:t>
      </w:r>
      <w:r w:rsidR="00FB05D3" w:rsidRPr="00FB05D3">
        <w:rPr>
          <w:i/>
          <w:vertAlign w:val="subscript"/>
        </w:rPr>
        <w:t>i</w:t>
      </w:r>
      <w:r w:rsidR="006B17FB">
        <w:t xml:space="preserve"> </w:t>
      </w:r>
      <w:r w:rsidR="002B28FC">
        <w:rPr>
          <w:i/>
        </w:rPr>
        <w:t>r</w:t>
      </w:r>
      <w:r w:rsidR="006B17FB">
        <w:t xml:space="preserve"> aus </w:t>
      </w:r>
      <w:r w:rsidR="002B28FC">
        <w:rPr>
          <w:i/>
        </w:rPr>
        <w:t>p</w:t>
      </w:r>
      <w:r w:rsidR="002B28FC">
        <w:t xml:space="preserve"> und</w:t>
      </w:r>
      <w:r w:rsidR="006B17FB">
        <w:t xml:space="preserve"> </w:t>
      </w:r>
      <w:r w:rsidR="002B28FC" w:rsidRPr="002B28FC">
        <w:rPr>
          <w:i/>
        </w:rPr>
        <w:t>q</w:t>
      </w:r>
      <w:r w:rsidR="002B28FC">
        <w:t xml:space="preserve">, </w:t>
      </w:r>
      <w:r w:rsidR="006B17FB">
        <w:t>wird</w:t>
      </w:r>
      <w:r w:rsidR="00FB05D3">
        <w:t xml:space="preserve"> </w:t>
      </w:r>
      <w:r w:rsidR="006B17FB">
        <w:t xml:space="preserve">dies </w:t>
      </w:r>
      <w:r w:rsidR="002B28FC">
        <w:t>geschrieben als</w:t>
      </w:r>
    </w:p>
    <w:p w:rsidR="00E72036" w:rsidRDefault="00E72036" w:rsidP="00881724">
      <w:pPr>
        <w:pStyle w:val="Formel"/>
      </w:pPr>
      <w:r>
        <w:rPr>
          <w:i/>
        </w:rPr>
        <w:t>p</w:t>
      </w:r>
      <w:r>
        <w:t xml:space="preserve"> </w:t>
      </w:r>
      <w:r w:rsidR="00875AF8" w:rsidRPr="00D41E3E">
        <w:rPr>
          <w:rFonts w:ascii="Cambria Math" w:hAnsi="Cambria Math" w:cs="Cambria Math"/>
        </w:rPr>
        <w:t>∧</w:t>
      </w:r>
      <w:r>
        <w:t xml:space="preserve"> </w:t>
      </w:r>
      <w:r>
        <w:rPr>
          <w:i/>
        </w:rPr>
        <w:t>q</w:t>
      </w:r>
      <w:r>
        <w:t xml:space="preserve"> </w:t>
      </w:r>
      <m:oMath>
        <m:sSub>
          <m:sSubPr>
            <m:ctrlPr>
              <w:rPr>
                <w:rFonts w:ascii="Cambria Math" w:eastAsia="Arial Unicode MS" w:hAnsi="Cambria Math" w:cs="Times New Roman"/>
                <w:i/>
              </w:rPr>
            </m:ctrlPr>
          </m:sSubPr>
          <m:e>
            <m:r>
              <m:rPr>
                <m:nor/>
              </m:rPr>
              <w:rPr>
                <w:rFonts w:ascii="Cambria Math" w:eastAsia="Arial Unicode MS" w:hAnsi="Cambria Math" w:cs="Cambria Math"/>
                <w:color w:val="000000" w:themeColor="text1"/>
              </w:rPr>
              <m:t>⤳</m:t>
            </m:r>
          </m:e>
          <m:sub>
            <m:sSub>
              <m:sSubPr>
                <m:ctrlPr>
                  <w:rPr>
                    <w:rFonts w:ascii="Cambria Math" w:eastAsia="Arial Unicode MS" w:hAnsi="Cambria Math" w:cs="Times New Roman"/>
                    <w:i/>
                  </w:rPr>
                </m:ctrlPr>
              </m:sSubPr>
              <m:e>
                <m:r>
                  <m:rPr>
                    <m:nor/>
                  </m:rPr>
                  <w:rPr>
                    <w:rFonts w:eastAsia="Arial Unicode MS" w:cs="Times New Roman"/>
                    <w:i/>
                  </w:rPr>
                  <m:t>Op</m:t>
                </m:r>
              </m:e>
              <m:sub>
                <m:r>
                  <m:rPr>
                    <m:nor/>
                  </m:rPr>
                  <w:rPr>
                    <w:rFonts w:eastAsia="Arial Unicode MS" w:cs="Times New Roman"/>
                    <w:i/>
                  </w:rPr>
                  <m:t>i</m:t>
                </m:r>
              </m:sub>
            </m:sSub>
          </m:sub>
        </m:sSub>
      </m:oMath>
      <w:r>
        <w:t xml:space="preserve"> </w:t>
      </w:r>
      <w:r>
        <w:rPr>
          <w:i/>
        </w:rPr>
        <w:t>r</w:t>
      </w:r>
    </w:p>
    <w:p w:rsidR="006B17FB" w:rsidRDefault="006B17FB" w:rsidP="00881724">
      <w:pPr>
        <w:pStyle w:val="Text"/>
        <w:ind w:firstLine="0"/>
      </w:pPr>
      <w:r>
        <w:lastRenderedPageBreak/>
        <w:t>Es wird nicht dargestellt, wie die Operation diesen Prozess der Erzeugung vol</w:t>
      </w:r>
      <w:r>
        <w:t>l</w:t>
      </w:r>
      <w:r>
        <w:t>zieht. Dies ist auch in der allgemeinen Darstellung nicht möglich, da dieser Vo</w:t>
      </w:r>
      <w:r>
        <w:t>r</w:t>
      </w:r>
      <w:r>
        <w:t>gang für unterschiedliche Operationen ganz unterschiedlich abläuft.</w:t>
      </w:r>
    </w:p>
    <w:p w:rsidR="009C3B2A" w:rsidRDefault="009C3B2A" w:rsidP="009C3B2A">
      <w:pPr>
        <w:pStyle w:val="Text"/>
      </w:pPr>
      <w:r>
        <w:t xml:space="preserve">Wir legen für den Operator </w:t>
      </w:r>
      <w:r w:rsidR="002434D2">
        <w:rPr>
          <w:rFonts w:ascii="Cambria Math" w:eastAsia="Arial Unicode MS" w:hAnsi="Cambria Math" w:cs="Cambria Math"/>
          <w:color w:val="000000" w:themeColor="text1"/>
        </w:rPr>
        <w:t>⤳</w:t>
      </w:r>
      <w:r>
        <w:t xml:space="preserve"> fest, dass er nur </w:t>
      </w:r>
      <w:r w:rsidR="005901C5">
        <w:t>diejenigen Ergebnisse</w:t>
      </w:r>
      <w:r>
        <w:t xml:space="preserve"> aus den links stehenden Elementen erzeugt, </w:t>
      </w:r>
      <w:r w:rsidR="005901C5">
        <w:t xml:space="preserve">die </w:t>
      </w:r>
      <w:r>
        <w:t xml:space="preserve">aus </w:t>
      </w:r>
      <w:r w:rsidRPr="009C3B2A">
        <w:rPr>
          <w:i/>
        </w:rPr>
        <w:t>allen</w:t>
      </w:r>
      <w:r>
        <w:t xml:space="preserve"> diesen Elementen </w:t>
      </w:r>
      <w:r w:rsidRPr="002510ED">
        <w:t>zusa</w:t>
      </w:r>
      <w:r w:rsidRPr="002510ED">
        <w:t>m</w:t>
      </w:r>
      <w:r w:rsidRPr="002510ED">
        <w:t>men</w:t>
      </w:r>
      <w:r>
        <w:t xml:space="preserve"> erzeugt werden </w:t>
      </w:r>
      <w:r w:rsidR="005901C5">
        <w:t>können</w:t>
      </w:r>
      <w:r>
        <w:t xml:space="preserve">. Es werden also keine Ergebnisse erzeugt, die auch aus einer Teilmenge der links stehenden Elemente </w:t>
      </w:r>
      <w:r w:rsidR="00AA0333">
        <w:t>erzeugbar sind</w:t>
      </w:r>
      <w:r>
        <w:t>.</w:t>
      </w:r>
      <w:r w:rsidR="00E72036">
        <w:t xml:space="preserve"> Das wird durch die Verwendung des logischen </w:t>
      </w:r>
      <w:r w:rsidR="00875AF8" w:rsidRPr="00D41E3E">
        <w:rPr>
          <w:rFonts w:ascii="Cambria Math" w:hAnsi="Cambria Math" w:cs="Cambria Math"/>
        </w:rPr>
        <w:t>∧</w:t>
      </w:r>
      <w:r w:rsidR="00E72036">
        <w:t xml:space="preserve"> gekennzeichnet.</w:t>
      </w:r>
    </w:p>
    <w:p w:rsidR="008D0788" w:rsidRPr="00C32EF5" w:rsidRDefault="008D0788" w:rsidP="00881724">
      <w:pPr>
        <w:pStyle w:val="Zwischenberschrift"/>
      </w:pPr>
      <w:bookmarkStart w:id="302" w:name="Ausgabe"/>
      <w:r>
        <w:t xml:space="preserve">Verhältnis zur </w:t>
      </w:r>
      <w:r w:rsidRPr="00C32EF5">
        <w:t>Schreibausgabe</w:t>
      </w:r>
      <w:r>
        <w:t xml:space="preserve"> des Interpretationsprozesses</w:t>
      </w:r>
      <w:r w:rsidR="00136F7F">
        <w:t>:</w:t>
      </w:r>
    </w:p>
    <w:p w:rsidR="00610822" w:rsidRDefault="005D7996" w:rsidP="00881724">
      <w:pPr>
        <w:pStyle w:val="Text"/>
        <w:ind w:firstLine="0"/>
      </w:pPr>
      <w:r>
        <w:fldChar w:fldCharType="begin"/>
      </w:r>
      <w:r w:rsidR="00A0425E">
        <w:instrText xml:space="preserve"> XE "Ausgabe (der Interpretation)" \r "Ausgabe" </w:instrText>
      </w:r>
      <w:r>
        <w:fldChar w:fldCharType="end"/>
      </w:r>
      <w:r w:rsidR="007B4074">
        <w:t xml:space="preserve">Die Darstellung der Beispiele entspricht derjenigen der Schreibausgabe des Interpretationsprozesses (vgl. Abschnitt </w:t>
      </w:r>
      <w:r>
        <w:fldChar w:fldCharType="begin"/>
      </w:r>
      <w:r w:rsidR="007B4074">
        <w:instrText xml:space="preserve"> REF _Ref258410988 \r \h </w:instrText>
      </w:r>
      <w:r>
        <w:fldChar w:fldCharType="separate"/>
      </w:r>
      <w:r w:rsidR="001231D3">
        <w:t>7.2.4</w:t>
      </w:r>
      <w:r>
        <w:fldChar w:fldCharType="end"/>
      </w:r>
      <w:r w:rsidR="007B4074">
        <w:t xml:space="preserve">, Funktion </w:t>
      </w:r>
      <w:r w:rsidR="007B4074" w:rsidRPr="00C35EA1">
        <w:rPr>
          <w:i/>
          <w:color w:val="000000" w:themeColor="text1"/>
        </w:rPr>
        <w:t>Interpretation</w:t>
      </w:r>
      <w:r w:rsidR="00445E88">
        <w:rPr>
          <w:i/>
          <w:color w:val="000000" w:themeColor="text1"/>
        </w:rPr>
        <w:t>s</w:t>
      </w:r>
      <w:r w:rsidR="00445E88">
        <w:rPr>
          <w:i/>
          <w:color w:val="000000" w:themeColor="text1"/>
        </w:rPr>
        <w:t>schritt</w:t>
      </w:r>
      <w:r w:rsidR="007B4074" w:rsidRPr="00C35EA1">
        <w:rPr>
          <w:i/>
          <w:color w:val="000000" w:themeColor="text1"/>
        </w:rPr>
        <w:t>_schreiben</w:t>
      </w:r>
      <w:r w:rsidR="007B4074">
        <w:t xml:space="preserve">). Sie können daher als durch einen Aufruf der Funktion </w:t>
      </w:r>
      <w:r w:rsidR="007B4074" w:rsidRPr="00C35EA1">
        <w:rPr>
          <w:i/>
        </w:rPr>
        <w:t>Inte</w:t>
      </w:r>
      <w:r w:rsidR="007B4074" w:rsidRPr="00C35EA1">
        <w:rPr>
          <w:i/>
        </w:rPr>
        <w:t>r</w:t>
      </w:r>
      <w:r w:rsidR="007B4074" w:rsidRPr="00C35EA1">
        <w:rPr>
          <w:i/>
        </w:rPr>
        <w:t>pretation</w:t>
      </w:r>
      <w:r w:rsidR="007B4074">
        <w:t xml:space="preserve"> erzeugt betrachtet werden, wobei die Ausschnitthaftigkeit der Beispiele durch die Funktion </w:t>
      </w:r>
      <w:r w:rsidR="00557C80">
        <w:rPr>
          <w:i/>
        </w:rPr>
        <w:t>Interesse</w:t>
      </w:r>
      <w:r w:rsidR="007B4074">
        <w:t xml:space="preserve"> entsteht: Über die Beispiele hinaus läuft die Inte</w:t>
      </w:r>
      <w:r w:rsidR="007B4074">
        <w:t>r</w:t>
      </w:r>
      <w:r w:rsidR="007B4074">
        <w:t>pretation gar nicht erst ab oder wird nicht geschrieben.</w:t>
      </w:r>
    </w:p>
    <w:p w:rsidR="00147924" w:rsidRDefault="00610822" w:rsidP="006B17FB">
      <w:pPr>
        <w:pStyle w:val="Text"/>
      </w:pPr>
      <w:r>
        <w:t xml:space="preserve">Es werden nur die Variablen </w:t>
      </w:r>
      <w:r w:rsidR="008D588B">
        <w:t>einer Merkmalsregel geschrieben, die in den Interpretationsschritten, in denen diese Merkmalsregel als Input erscheint, ve</w:t>
      </w:r>
      <w:r w:rsidR="008D588B">
        <w:t>r</w:t>
      </w:r>
      <w:r w:rsidR="008D588B">
        <w:t xml:space="preserve">wendet wurden. In der Funktion </w:t>
      </w:r>
      <w:r w:rsidR="008D588B" w:rsidRPr="00C35EA1">
        <w:rPr>
          <w:i/>
        </w:rPr>
        <w:t>Interpretation</w:t>
      </w:r>
      <w:r w:rsidR="00445E88">
        <w:rPr>
          <w:i/>
        </w:rPr>
        <w:t>sschritt</w:t>
      </w:r>
      <w:r w:rsidR="008D588B" w:rsidRPr="00C35EA1">
        <w:rPr>
          <w:i/>
        </w:rPr>
        <w:t>_schreiben</w:t>
      </w:r>
      <w:r w:rsidR="008D588B">
        <w:t xml:space="preserve"> im Interpretat</w:t>
      </w:r>
      <w:r w:rsidR="008D588B">
        <w:t>i</w:t>
      </w:r>
      <w:r w:rsidR="008D588B">
        <w:t>onsprozess werden alle Variablen einer verwendeten Operation geschrieben; es wäre auch möglich, dort von den Operationen jeweils Information darüber, we</w:t>
      </w:r>
      <w:r w:rsidR="008D588B">
        <w:t>l</w:t>
      </w:r>
      <w:r w:rsidR="008D588B">
        <w:t xml:space="preserve">che Variablen der Merkmalsregeln sie verwendet haben, zurückgeben und dann nur diese schreiben zu lassen. Das erscheint jedoch für die Darstellung als wenig hilfreich, da die Vorgehensweise der Operationen ja sowieso nicht dargestellt wird, und außerdem als geringe Verbesserung, da es unproblematisch ist, wenn bei den Merkmalsregeln auch die nicht verwendeten Variablen (dies ist oft die Anwendungswahrscheinlichkeit </w:t>
      </w:r>
      <w:r w:rsidR="008D588B" w:rsidRPr="008D588B">
        <w:rPr>
          <w:i/>
        </w:rPr>
        <w:t>w</w:t>
      </w:r>
      <w:r w:rsidR="008D588B">
        <w:t xml:space="preserve"> und vor allem die Priorität </w:t>
      </w:r>
      <w:r w:rsidR="008D588B" w:rsidRPr="008D588B">
        <w:rPr>
          <w:i/>
        </w:rPr>
        <w:t>p</w:t>
      </w:r>
      <w:r w:rsidR="008D588B">
        <w:t xml:space="preserve">, die sowieso meist nur sehr unpräzise oder gar nicht </w:t>
      </w:r>
      <w:r w:rsidR="00581518">
        <w:t xml:space="preserve">ausgelesen </w:t>
      </w:r>
      <w:r w:rsidR="008D588B">
        <w:t xml:space="preserve">werden kann und insofern </w:t>
      </w:r>
      <w:r w:rsidR="00EA6A8B">
        <w:t xml:space="preserve">meist </w:t>
      </w:r>
      <w:r w:rsidR="008D588B">
        <w:t xml:space="preserve">unzuverlässig </w:t>
      </w:r>
      <w:r w:rsidR="00EA6A8B">
        <w:t>sein wird;</w:t>
      </w:r>
      <w:r w:rsidR="008D588B">
        <w:t xml:space="preserve"> vgl. Abschnitt </w:t>
      </w:r>
      <w:r w:rsidR="005D7996">
        <w:fldChar w:fldCharType="begin"/>
      </w:r>
      <w:r w:rsidR="00F779E5">
        <w:instrText xml:space="preserve"> REF _Ref212462946 \r \h </w:instrText>
      </w:r>
      <w:r w:rsidR="005D7996">
        <w:fldChar w:fldCharType="separate"/>
      </w:r>
      <w:r w:rsidR="001231D3">
        <w:t>5.5.5</w:t>
      </w:r>
      <w:r w:rsidR="005D7996">
        <w:fldChar w:fldCharType="end"/>
      </w:r>
      <w:r w:rsidR="008D588B">
        <w:t>) geschrieben werden. Hier werden aus Platzgründen die Variablen, die nicht für die Anwendung der Oper</w:t>
      </w:r>
      <w:r w:rsidR="008D588B">
        <w:t>a</w:t>
      </w:r>
      <w:r w:rsidR="008D588B">
        <w:t>tion relevant zu sein scheinen, weggelassen.</w:t>
      </w:r>
    </w:p>
    <w:p w:rsidR="006F452D" w:rsidRDefault="006F452D" w:rsidP="006B17FB">
      <w:pPr>
        <w:pStyle w:val="Text"/>
      </w:pPr>
      <w:r>
        <w:t xml:space="preserve">Häufig werden bei der Anwendung einer Operation nicht alle Eigenschaften aus </w:t>
      </w:r>
      <w:r>
        <w:rPr>
          <w:i/>
        </w:rPr>
        <w:t>U</w:t>
      </w:r>
      <w:r>
        <w:t xml:space="preserve"> und </w:t>
      </w:r>
      <w:r w:rsidRPr="006F452D">
        <w:rPr>
          <w:i/>
        </w:rPr>
        <w:t>V</w:t>
      </w:r>
      <w:r>
        <w:t xml:space="preserve"> berücksichtigt. Dies gilt vor allem für </w:t>
      </w:r>
      <w:r w:rsidRPr="006F452D">
        <w:rPr>
          <w:i/>
        </w:rPr>
        <w:t>V</w:t>
      </w:r>
      <w:r>
        <w:t xml:space="preserve">, wo oft für die Erzeugung von Ergebnissen eine oder wenige Eigenschaften herausgegriffen werden. Auch bei </w:t>
      </w:r>
      <w:r>
        <w:rPr>
          <w:i/>
        </w:rPr>
        <w:t>U</w:t>
      </w:r>
      <w:r>
        <w:t xml:space="preserve"> können bestimmte Eigenschaften </w:t>
      </w:r>
      <w:r w:rsidR="00D72FAA">
        <w:t>irrelevant sein (beispielsweise Zusatze</w:t>
      </w:r>
      <w:r w:rsidR="00D72FAA">
        <w:t>i</w:t>
      </w:r>
      <w:r w:rsidR="00D72FAA">
        <w:t>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D72FAA">
        <w:t xml:space="preserve">). In </w:t>
      </w:r>
      <w:r w:rsidR="005971EE">
        <w:t xml:space="preserve">solchen </w:t>
      </w:r>
      <w:r w:rsidR="00D72FAA">
        <w:t xml:space="preserve">Fällen muss jedoch geprüft werden, </w:t>
      </w:r>
      <w:r w:rsidR="005971EE">
        <w:t>ob die weiteren Eigenschaften Einfluss auf das Ergebnis haben, so dass sie ebenfalls in der Op</w:t>
      </w:r>
      <w:r w:rsidR="005971EE">
        <w:t>e</w:t>
      </w:r>
      <w:r w:rsidR="005971EE">
        <w:t>ration berücksichtigt werden müssen. In den folgenden Beispielen verzichten wir auf solche für die eigentliche Ergebniserzeugung irrelevanten Eigenschaften; man sollte aber im Hinterkopf behalten, dass die Merkmalsregeln bei tatsächlich auftretenden Stilen solche häufig enthalten werden und diese dann in der Schreibausgabe natürlich auch notiert werden</w:t>
      </w:r>
      <w:r w:rsidR="00C32EF5">
        <w:t xml:space="preserve"> würden</w:t>
      </w:r>
      <w:r w:rsidR="005971EE">
        <w:t>.</w:t>
      </w:r>
    </w:p>
    <w:p w:rsidR="005A4A47" w:rsidRDefault="00B14F01" w:rsidP="00B14F01">
      <w:pPr>
        <w:pStyle w:val="Text"/>
      </w:pPr>
      <w:r>
        <w:lastRenderedPageBreak/>
        <w:t>Wir betrachten die unten dargestellten Beispiele nicht als Ausschnitt aus der Schreibausgabe einer Interpretation, sondern als eine vollständige Ausgabe. Hi</w:t>
      </w:r>
      <w:r>
        <w:t>n</w:t>
      </w:r>
      <w:r>
        <w:t>zugezogene frühere Ergebnisse</w:t>
      </w:r>
      <w:r w:rsidR="002C2926">
        <w:t>, die damals noch nicht geschrieben wurden,</w:t>
      </w:r>
      <w:r>
        <w:t xml:space="preserve"> we</w:t>
      </w:r>
      <w:r>
        <w:t>r</w:t>
      </w:r>
      <w:r>
        <w:t>den entsprechend der Schreibausgabe mit „(f)“ (für „früher erzeugt“) vor dem Index durchnummeriert</w:t>
      </w:r>
      <w:r w:rsidR="009E5E15">
        <w:t>.</w:t>
      </w:r>
      <w:r w:rsidR="009E5E15">
        <w:rPr>
          <w:rStyle w:val="Funotenzeichen"/>
        </w:rPr>
        <w:footnoteReference w:id="405"/>
      </w:r>
    </w:p>
    <w:p w:rsidR="001D5C1E" w:rsidRDefault="001D5C1E" w:rsidP="004B127F">
      <w:pPr>
        <w:pStyle w:val="Text"/>
      </w:pPr>
      <w:r>
        <w:t>Die Formelergebnisse werden</w:t>
      </w:r>
      <w:r w:rsidR="00B14F01">
        <w:t xml:space="preserve"> entsprechend der Schreibausgabe</w:t>
      </w:r>
      <w:r>
        <w:t xml:space="preserve"> durch Kommata getrennt, nicht durch </w:t>
      </w:r>
      <w:r>
        <w:rPr>
          <w:rFonts w:ascii="Cambria Math" w:hAnsi="Cambria Math" w:cs="Cambria Math"/>
          <w:color w:val="000000" w:themeColor="text1"/>
        </w:rPr>
        <w:t>∧</w:t>
      </w:r>
      <w:r>
        <w:t xml:space="preserve">. Tatsächlich stehen sie in keiner logischen </w:t>
      </w:r>
      <w:r w:rsidR="00DF6D54">
        <w:t>U</w:t>
      </w:r>
      <w:r>
        <w:t>nd-</w:t>
      </w:r>
      <w:r w:rsidR="00DE7401">
        <w:t>Verknüpfung</w:t>
      </w:r>
      <w:r>
        <w:t xml:space="preserve"> </w:t>
      </w:r>
      <w:r w:rsidR="007A490C">
        <w:t>(Konjunktion)</w:t>
      </w:r>
      <w:r>
        <w:t>: Sie können auch getrennt voneinander e</w:t>
      </w:r>
      <w:r>
        <w:t>r</w:t>
      </w:r>
      <w:r>
        <w:t>zeugt werden, während die links vom Operationspfeil stehenden Elemente def</w:t>
      </w:r>
      <w:r>
        <w:t>i</w:t>
      </w:r>
      <w:r>
        <w:t>nitionsgemäß alle gegeben sein müssen, um das Ergebnis zu erzeugen.</w:t>
      </w:r>
    </w:p>
    <w:bookmarkEnd w:id="302"/>
    <w:p w:rsidR="00EB56B4" w:rsidRPr="00C51092" w:rsidRDefault="00EB56B4" w:rsidP="00881724">
      <w:pPr>
        <w:pStyle w:val="Zwischenberschrift"/>
      </w:pPr>
      <w:r w:rsidRPr="00C51092">
        <w:t xml:space="preserve">Zur Darstellung von </w:t>
      </w:r>
      <w:r w:rsidR="005F647E" w:rsidRPr="00C51092">
        <w:t>Anwendungsbedingung</w:t>
      </w:r>
      <w:r w:rsidRPr="00C51092">
        <w:t>en und verlangten Eigenschaften</w:t>
      </w:r>
    </w:p>
    <w:p w:rsidR="001B7BEE" w:rsidRDefault="00F70F7D" w:rsidP="00881724">
      <w:pPr>
        <w:pStyle w:val="Text"/>
        <w:ind w:firstLine="0"/>
      </w:pPr>
      <w:r>
        <w:t xml:space="preserve">Die </w:t>
      </w:r>
      <w:r w:rsidR="007C0FD0">
        <w:t xml:space="preserve">Anwendungsbedingungen </w:t>
      </w:r>
      <w:r w:rsidRPr="00F70F7D">
        <w:rPr>
          <w:i/>
        </w:rPr>
        <w:t>U</w:t>
      </w:r>
      <w:r>
        <w:t xml:space="preserve"> </w:t>
      </w:r>
      <w:r w:rsidR="007C0FD0">
        <w:t>und verlangte</w:t>
      </w:r>
      <w:r w:rsidR="009E4A84">
        <w:t>n</w:t>
      </w:r>
      <w:r w:rsidR="007C0FD0">
        <w:t xml:space="preserve"> Eigenschaften </w:t>
      </w:r>
      <w:r w:rsidRPr="00F70F7D">
        <w:rPr>
          <w:i/>
        </w:rPr>
        <w:t>V</w:t>
      </w:r>
      <w:r>
        <w:t xml:space="preserve"> einer Mer</w:t>
      </w:r>
      <w:r>
        <w:t>k</w:t>
      </w:r>
      <w:r>
        <w:t xml:space="preserve">malsregel </w:t>
      </w:r>
      <w:r w:rsidR="007C0FD0">
        <w:t>bestehen aus der Angabe einer oder mehrerer Eigenschaften, die zur Klassendefinition verwendet werden.</w:t>
      </w:r>
      <w:r w:rsidR="007C0FD0">
        <w:rPr>
          <w:rStyle w:val="Funotenzeichen"/>
        </w:rPr>
        <w:footnoteReference w:id="406"/>
      </w:r>
      <w:r w:rsidR="007C0FD0">
        <w:t xml:space="preserve"> Eigenschaften werden in der formalen Logik</w:t>
      </w:r>
      <w:r w:rsidR="005D7996">
        <w:fldChar w:fldCharType="begin"/>
      </w:r>
      <w:r w:rsidR="002117F9">
        <w:instrText xml:space="preserve"> XE "</w:instrText>
      </w:r>
      <w:r w:rsidR="002117F9" w:rsidRPr="003243E4">
        <w:instrText>Logik</w:instrText>
      </w:r>
      <w:r w:rsidR="002117F9">
        <w:instrText xml:space="preserve">" </w:instrText>
      </w:r>
      <w:r w:rsidR="005D7996">
        <w:fldChar w:fldCharType="end"/>
      </w:r>
      <w:r w:rsidR="007C0FD0">
        <w:t xml:space="preserve"> als einstellige Prädikate</w:t>
      </w:r>
      <w:r w:rsidR="005D7996">
        <w:fldChar w:fldCharType="begin"/>
      </w:r>
      <w:r w:rsidR="00F43694">
        <w:instrText xml:space="preserve"> XE "</w:instrText>
      </w:r>
      <w:r w:rsidR="00F43694" w:rsidRPr="00F16E47">
        <w:instrText>Prädikat</w:instrText>
      </w:r>
      <w:r w:rsidR="00F43694">
        <w:instrText xml:space="preserve">" </w:instrText>
      </w:r>
      <w:r w:rsidR="005D7996">
        <w:fldChar w:fldCharType="end"/>
      </w:r>
      <w:r w:rsidR="007C0FD0">
        <w:t xml:space="preserve"> </w:t>
      </w:r>
      <w:r w:rsidR="001B7BEE">
        <w:t>dargestellt, die eine Variable für ein Argument enthalten:</w:t>
      </w:r>
    </w:p>
    <w:p w:rsidR="001B7BEE" w:rsidRDefault="001B7BEE" w:rsidP="00881724">
      <w:pPr>
        <w:pStyle w:val="Formel"/>
      </w:pPr>
      <w:r w:rsidRPr="001B7BEE">
        <w:rPr>
          <w:i/>
        </w:rPr>
        <w:t>P</w:t>
      </w:r>
      <w:r>
        <w:t xml:space="preserve"> := schön(</w:t>
      </w:r>
      <w:r w:rsidRPr="001B7BEE">
        <w:rPr>
          <w:i/>
        </w:rPr>
        <w:t>x</w:t>
      </w:r>
      <w:r>
        <w:t>)</w:t>
      </w:r>
    </w:p>
    <w:p w:rsidR="004E2E60" w:rsidRPr="00FB5CC3" w:rsidRDefault="00F70F7D" w:rsidP="00881724">
      <w:pPr>
        <w:pStyle w:val="Text"/>
        <w:ind w:firstLine="0"/>
        <w:rPr>
          <w:i/>
        </w:rPr>
      </w:pPr>
      <w:r>
        <w:t>Im natürlichsprachlichen Umgang mit Eigenschaften wird oft auf die Repräse</w:t>
      </w:r>
      <w:r>
        <w:t>n</w:t>
      </w:r>
      <w:r>
        <w:t>tation der Argumentstelle verzichtet: Wir fassen ‚schön‘ als Eigenschaft auf. Der Rest der syntaktischen Information steckt in der Wortart und den Kombinat</w:t>
      </w:r>
      <w:r>
        <w:t>i</w:t>
      </w:r>
      <w:r>
        <w:t>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t xml:space="preserve"> der Sprache</w:t>
      </w:r>
      <w:r w:rsidR="001274ED">
        <w:t xml:space="preserve">, die es ermöglichen, das Wort </w:t>
      </w:r>
      <w:r>
        <w:t xml:space="preserve">richtig </w:t>
      </w:r>
      <w:r w:rsidR="001274ED">
        <w:t>einzusetzen</w:t>
      </w:r>
      <w:r>
        <w:t xml:space="preserve">. </w:t>
      </w:r>
      <w:r w:rsidR="001274ED">
        <w:t>En</w:t>
      </w:r>
      <w:r w:rsidR="001274ED">
        <w:t>t</w:t>
      </w:r>
      <w:r w:rsidR="001274ED">
        <w:t>sprechend dem natürlichsprachlichen Umgang mit Eigenschaften wird in den Beispielen die Repräsentation der Argumentstelle weggelassen, da dies wesen</w:t>
      </w:r>
      <w:r w:rsidR="001274ED">
        <w:t>t</w:t>
      </w:r>
      <w:r w:rsidR="001274ED">
        <w:t>lich kürzer ist. Innerhalb des Modells müssen die Eigenschaften als einstellige Prädikate</w:t>
      </w:r>
      <w:r w:rsidR="005D7996">
        <w:fldChar w:fldCharType="begin"/>
      </w:r>
      <w:r w:rsidR="00F43694">
        <w:instrText xml:space="preserve"> XE "</w:instrText>
      </w:r>
      <w:r w:rsidR="00F43694" w:rsidRPr="00F16E47">
        <w:instrText>Prädikat</w:instrText>
      </w:r>
      <w:r w:rsidR="00F43694">
        <w:instrText xml:space="preserve">" </w:instrText>
      </w:r>
      <w:r w:rsidR="005D7996">
        <w:fldChar w:fldCharType="end"/>
      </w:r>
      <w:r w:rsidR="001274ED">
        <w:t xml:space="preserve"> repräsentiert sein.</w:t>
      </w:r>
      <w:r w:rsidR="001274ED">
        <w:rPr>
          <w:rStyle w:val="Funotenzeichen"/>
        </w:rPr>
        <w:footnoteReference w:id="407"/>
      </w:r>
    </w:p>
    <w:p w:rsidR="001274ED" w:rsidRDefault="001274ED" w:rsidP="004C6A12">
      <w:pPr>
        <w:pStyle w:val="Text"/>
        <w:spacing w:before="120"/>
        <w:ind w:firstLine="0"/>
      </w:pPr>
      <w:r>
        <w:lastRenderedPageBreak/>
        <w:t>Wir führen außerdem die folgenden Konventionen ein:</w:t>
      </w:r>
    </w:p>
    <w:p w:rsidR="00271665" w:rsidRDefault="00EB56B4" w:rsidP="00426ADF">
      <w:pPr>
        <w:pStyle w:val="Text"/>
        <w:spacing w:before="120"/>
        <w:ind w:firstLine="0"/>
      </w:pPr>
      <w:r>
        <w:t>(1)</w:t>
      </w:r>
      <w:r>
        <w:tab/>
      </w:r>
      <w:r w:rsidR="00271665">
        <w:t xml:space="preserve">Die </w:t>
      </w:r>
      <w:r w:rsidR="005F647E">
        <w:t>Anwendungsbedingung</w:t>
      </w:r>
      <w:r w:rsidR="00271665">
        <w:t>en</w:t>
      </w:r>
      <w:r w:rsidR="00331E21">
        <w:t xml:space="preserve"> </w:t>
      </w:r>
      <w:r w:rsidR="00331E21" w:rsidRPr="00BC0D31">
        <w:rPr>
          <w:i/>
          <w:iCs/>
        </w:rPr>
        <w:t>V</w:t>
      </w:r>
      <w:r w:rsidR="00331E21" w:rsidRPr="00BC0D31">
        <w:t>(</w:t>
      </w:r>
      <w:r w:rsidR="00331E21" w:rsidRPr="00BC0D31">
        <w:rPr>
          <w:i/>
          <w:iCs/>
        </w:rPr>
        <w:t>B</w:t>
      </w:r>
      <w:r w:rsidR="00331E21" w:rsidRPr="00BC0D31">
        <w:rPr>
          <w:i/>
          <w:iCs/>
          <w:vertAlign w:val="subscript"/>
        </w:rPr>
        <w:t>x</w:t>
      </w:r>
      <w:r w:rsidR="00331E21" w:rsidRPr="00BC0D31">
        <w:t>)</w:t>
      </w:r>
      <w:r w:rsidR="00331E21">
        <w:t xml:space="preserve"> </w:t>
      </w:r>
      <w:r w:rsidR="00271665">
        <w:t xml:space="preserve">geben im Modell eine intensionale Definition des Schemaorts </w:t>
      </w:r>
      <w:r w:rsidR="005C12A5">
        <w:t xml:space="preserve">an, auf die die Merkmalsregel angewandt werden soll; dieser kann durch </w:t>
      </w:r>
      <w:r w:rsidR="00271665">
        <w:t>Zusatzbedingungen</w:t>
      </w:r>
      <w:r w:rsidR="005C12A5">
        <w:t xml:space="preserve"> weiter spezifiziert werden</w:t>
      </w:r>
      <w:r w:rsidR="00DD19D5">
        <w:t>.</w:t>
      </w:r>
      <w:r w:rsidR="00331E21">
        <w:t xml:space="preserve"> </w:t>
      </w:r>
      <w:r w:rsidR="00271665">
        <w:t>Mit „intensional“ ist hier eine Angabe der Eigenschaften gemeint</w:t>
      </w:r>
      <w:r w:rsidR="001A7DC0">
        <w:t>; es wird davon ausgegangen, dass es möglich ist, alle für Stil relevanten Aspekte von Verha</w:t>
      </w:r>
      <w:r w:rsidR="001A7DC0">
        <w:t>l</w:t>
      </w:r>
      <w:r w:rsidR="001A7DC0">
        <w:t>tensweisen, Texten und Artefakten mit Eigenschaften abzugrenzen (vgl. A</w:t>
      </w:r>
      <w:r w:rsidR="001A7DC0">
        <w:t>b</w:t>
      </w:r>
      <w:r w:rsidR="001A7DC0">
        <w:t>schnitt</w:t>
      </w:r>
      <w:r w:rsidR="00926EBB">
        <w:t xml:space="preserve"> </w:t>
      </w:r>
      <w:r w:rsidR="005D7996">
        <w:fldChar w:fldCharType="begin"/>
      </w:r>
      <w:r w:rsidR="00926EBB">
        <w:instrText xml:space="preserve"> REF _Ref212082822 \r \h </w:instrText>
      </w:r>
      <w:r w:rsidR="005D7996">
        <w:fldChar w:fldCharType="separate"/>
      </w:r>
      <w:r w:rsidR="001231D3">
        <w:t>4.2.2</w:t>
      </w:r>
      <w:r w:rsidR="005D7996">
        <w:fldChar w:fldCharType="end"/>
      </w:r>
      <w:r w:rsidR="001A7DC0">
        <w:t>).</w:t>
      </w:r>
      <w:r w:rsidR="004675A6">
        <w:t xml:space="preserve"> Um dies für tatsächliche Aspekte zu tun, müsste man allerdings eine Ontologie</w:t>
      </w:r>
      <w:r w:rsidR="005D7996">
        <w:fldChar w:fldCharType="begin"/>
      </w:r>
      <w:r w:rsidR="00295552">
        <w:instrText xml:space="preserve"> XE "</w:instrText>
      </w:r>
      <w:r w:rsidR="00295552" w:rsidRPr="007E1A6B">
        <w:instrText>Ontologie</w:instrText>
      </w:r>
      <w:r w:rsidR="00295552">
        <w:instrText xml:space="preserve">" </w:instrText>
      </w:r>
      <w:r w:rsidR="005D7996">
        <w:fldChar w:fldCharType="end"/>
      </w:r>
      <w:r w:rsidR="004675A6">
        <w:rPr>
          <w:rStyle w:val="Funotenzeichen"/>
        </w:rPr>
        <w:footnoteReference w:id="408"/>
      </w:r>
      <w:r w:rsidR="00046E29">
        <w:t xml:space="preserve"> besitzen, die einem die jeweiligen Eigenschaften angibt; selbst dann wäre es jedoch schwer verständlich. Im Modell benötigen wir die Definit</w:t>
      </w:r>
      <w:r w:rsidR="00046E29">
        <w:t>i</w:t>
      </w:r>
      <w:r w:rsidR="00046E29">
        <w:t>on über Eigenschaften, da mit Hilfe natürlichsprachlicher Bezeichnungen keine Abgrenzung innerhalb des formalen Modells geleistet werden kann. Für die Da</w:t>
      </w:r>
      <w:r w:rsidR="00046E29">
        <w:t>r</w:t>
      </w:r>
      <w:r w:rsidR="00046E29">
        <w:t>stellung von Beispielen ist jedoch die natürliche Sprache praktisch</w:t>
      </w:r>
      <w:r w:rsidR="002749BC">
        <w:t>er, um A</w:t>
      </w:r>
      <w:r w:rsidR="002749BC">
        <w:t>n</w:t>
      </w:r>
      <w:r w:rsidR="002749BC">
        <w:t>wendungsbedingungen</w:t>
      </w:r>
      <w:r w:rsidR="00046E29">
        <w:t xml:space="preserve"> wiederzugeben.</w:t>
      </w:r>
    </w:p>
    <w:p w:rsidR="006B17FB" w:rsidRDefault="00FC183B" w:rsidP="006B17FB">
      <w:pPr>
        <w:pStyle w:val="Text"/>
      </w:pPr>
      <w:r>
        <w:t>So könnte zum Beispiel</w:t>
      </w:r>
      <w:r w:rsidR="00DD19D5">
        <w:t xml:space="preserve"> </w:t>
      </w:r>
      <w:r w:rsidR="001F00B8">
        <w:t>‚</w:t>
      </w:r>
      <w:r w:rsidR="00DD19D5">
        <w:t>Anrichte</w:t>
      </w:r>
      <w:r w:rsidR="001F00B8">
        <w:t>‘</w:t>
      </w:r>
      <w:r w:rsidR="00DD19D5">
        <w:t xml:space="preserve"> </w:t>
      </w:r>
      <w:r w:rsidR="00271665">
        <w:t xml:space="preserve">intensional </w:t>
      </w:r>
      <w:r w:rsidR="00DD19D5">
        <w:t xml:space="preserve">entweder durch eine </w:t>
      </w:r>
      <w:r w:rsidR="001047C5">
        <w:t>D</w:t>
      </w:r>
      <w:r w:rsidR="00DD19D5">
        <w:t>efin</w:t>
      </w:r>
      <w:r w:rsidR="00DD19D5">
        <w:t>i</w:t>
      </w:r>
      <w:r w:rsidR="00DD19D5">
        <w:t xml:space="preserve">tion </w:t>
      </w:r>
      <w:r w:rsidR="001047C5">
        <w:t>mit semantischen Merkmalen</w:t>
      </w:r>
      <w:r w:rsidR="001047C5">
        <w:rPr>
          <w:rStyle w:val="Funotenzeichen"/>
        </w:rPr>
        <w:footnoteReference w:id="409"/>
      </w:r>
      <w:r w:rsidR="001047C5">
        <w:t xml:space="preserve"> </w:t>
      </w:r>
      <w:r w:rsidR="00DD19D5">
        <w:t>von allen anderen Möbelstücken und diese wiederum von allen anderen Entitäten der Welt unterschieden werden, oder man könnte durch eine direkte Beschreibung mit Hilfe von beliebigen Eigenschaften</w:t>
      </w:r>
      <w:r w:rsidR="00271665" w:rsidRPr="00271665">
        <w:t xml:space="preserve"> </w:t>
      </w:r>
      <w:r w:rsidR="00271665">
        <w:t xml:space="preserve">aller Anrichten ohne Rückgriff auf eine </w:t>
      </w:r>
      <w:r w:rsidR="001047C5">
        <w:t xml:space="preserve">Definition mit semantischen Merkmalen </w:t>
      </w:r>
      <w:r w:rsidR="00DD19D5">
        <w:t xml:space="preserve">bis zur eindeutigen Charakterisierung </w:t>
      </w:r>
      <w:r w:rsidR="00271665">
        <w:t>gelangen</w:t>
      </w:r>
      <w:r w:rsidR="00DD19D5">
        <w:t xml:space="preserve">. Wir verzichten </w:t>
      </w:r>
      <w:r w:rsidR="00271665">
        <w:t xml:space="preserve">hier jedoch </w:t>
      </w:r>
      <w:r w:rsidR="00DD19D5">
        <w:t>d</w:t>
      </w:r>
      <w:r w:rsidR="00DD19D5">
        <w:t>a</w:t>
      </w:r>
      <w:r w:rsidR="00DD19D5">
        <w:t xml:space="preserve">rauf und </w:t>
      </w:r>
      <w:r w:rsidR="002757B9">
        <w:t>geben stattdessen ein</w:t>
      </w:r>
      <w:r w:rsidR="00271665">
        <w:t xml:space="preserve"> </w:t>
      </w:r>
      <w:r w:rsidR="001B5A08">
        <w:t xml:space="preserve">Wort </w:t>
      </w:r>
      <w:r w:rsidR="001F00B8">
        <w:t>oder eine Be</w:t>
      </w:r>
      <w:r w:rsidR="00271665">
        <w:t xml:space="preserve">schreibung </w:t>
      </w:r>
      <w:r w:rsidR="002757B9">
        <w:t xml:space="preserve">in einer natürlichen Sprache </w:t>
      </w:r>
      <w:r w:rsidR="00271665">
        <w:t>an.</w:t>
      </w:r>
      <w:r w:rsidR="00251FDF">
        <w:rPr>
          <w:rStyle w:val="Funotenzeichen"/>
        </w:rPr>
        <w:footnoteReference w:id="410"/>
      </w:r>
      <w:r w:rsidR="00271665">
        <w:t xml:space="preserve"> </w:t>
      </w:r>
      <w:r w:rsidR="001525B8">
        <w:t xml:space="preserve">Da es um den Inhalt, nicht </w:t>
      </w:r>
      <w:r w:rsidR="001F00B8">
        <w:t xml:space="preserve">um den Ausdruck des Zeichens geht (weder um die verwendete Sprache noch um die genaue Formulierung), </w:t>
      </w:r>
      <w:r w:rsidR="001525B8">
        <w:t>verwe</w:t>
      </w:r>
      <w:r w:rsidR="001525B8">
        <w:t>n</w:t>
      </w:r>
      <w:r w:rsidR="001525B8">
        <w:t>den wir in beiden Fällen einfache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1525B8">
        <w:t>. Wir können konventionell a</w:t>
      </w:r>
      <w:r w:rsidR="00F67FB9">
        <w:t xml:space="preserve">uf </w:t>
      </w:r>
      <w:r w:rsidR="001525B8">
        <w:t xml:space="preserve">die </w:t>
      </w:r>
      <w:r w:rsidR="00F67FB9">
        <w:t>Mengenklammer verzichten</w:t>
      </w:r>
      <w:r w:rsidR="001525B8">
        <w:t>, da die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1525B8">
        <w:t xml:space="preserve"> zur Abgrenzung d</w:t>
      </w:r>
      <w:r w:rsidR="00824ED6">
        <w:t xml:space="preserve">er jeweiligen Angabe ausreichen, </w:t>
      </w:r>
      <w:r w:rsidR="007D0EAE">
        <w:t xml:space="preserve">und </w:t>
      </w:r>
      <w:r w:rsidR="00824ED6">
        <w:t>setzen daher auch einen Doppelpunkt</w:t>
      </w:r>
      <w:r w:rsidR="007D0EAE">
        <w:t xml:space="preserve"> statt des Gleichheitszeichens. </w:t>
      </w:r>
      <w:r w:rsidR="00271665">
        <w:t>Wir schreiben also</w:t>
      </w:r>
    </w:p>
    <w:p w:rsidR="00F67FB9" w:rsidRDefault="001525B8" w:rsidP="002E6D3B">
      <w:pPr>
        <w:pStyle w:val="Interpretation"/>
      </w:pPr>
      <w:r>
        <w:rPr>
          <w:i/>
        </w:rPr>
        <w:t>U</w:t>
      </w:r>
      <w:r w:rsidR="00271665" w:rsidRPr="00BC0D31">
        <w:t>(</w:t>
      </w:r>
      <w:r w:rsidR="00271665" w:rsidRPr="00BC0D31">
        <w:rPr>
          <w:i/>
        </w:rPr>
        <w:t>B</w:t>
      </w:r>
      <w:r w:rsidR="00271665" w:rsidRPr="00BC0D31">
        <w:rPr>
          <w:i/>
          <w:vertAlign w:val="subscript"/>
        </w:rPr>
        <w:t>x</w:t>
      </w:r>
      <w:r w:rsidR="00271665" w:rsidRPr="00BC0D31">
        <w:t>)</w:t>
      </w:r>
      <w:r w:rsidR="00824ED6">
        <w:t>:</w:t>
      </w:r>
      <w:r w:rsidR="00271665">
        <w:t xml:space="preserve"> ‚Anrichte‘</w:t>
      </w:r>
    </w:p>
    <w:p w:rsidR="00F67FB9" w:rsidRDefault="00EB56B4" w:rsidP="002E6D3B">
      <w:pPr>
        <w:pStyle w:val="Text"/>
        <w:ind w:firstLine="0"/>
      </w:pPr>
      <w:r>
        <w:t>statt</w:t>
      </w:r>
    </w:p>
    <w:p w:rsidR="00271665" w:rsidRDefault="001525B8" w:rsidP="002E6D3B">
      <w:pPr>
        <w:pStyle w:val="Interpretation"/>
      </w:pPr>
      <w:r>
        <w:rPr>
          <w:i/>
        </w:rPr>
        <w:t>U</w:t>
      </w:r>
      <w:r w:rsidR="00EB56B4" w:rsidRPr="00BC0D31">
        <w:t>(</w:t>
      </w:r>
      <w:r w:rsidR="00EB56B4" w:rsidRPr="00BC0D31">
        <w:rPr>
          <w:i/>
        </w:rPr>
        <w:t>B</w:t>
      </w:r>
      <w:r w:rsidR="00EB56B4" w:rsidRPr="00BC0D31">
        <w:rPr>
          <w:i/>
          <w:vertAlign w:val="subscript"/>
        </w:rPr>
        <w:t>x</w:t>
      </w:r>
      <w:r w:rsidR="00EB56B4" w:rsidRPr="00BC0D31">
        <w:t>)</w:t>
      </w:r>
      <w:r w:rsidR="00824ED6">
        <w:t xml:space="preserve"> =</w:t>
      </w:r>
      <w:r w:rsidR="00EB56B4">
        <w:t xml:space="preserve"> {</w:t>
      </w:r>
      <w:r w:rsidR="00F67FB9">
        <w:t>‚</w:t>
      </w:r>
      <w:r w:rsidR="00EB56B4">
        <w:t>ist eine Anrichte</w:t>
      </w:r>
      <w:r w:rsidR="00F67FB9">
        <w:t>‘</w:t>
      </w:r>
      <w:r w:rsidR="00EB56B4">
        <w:t>}</w:t>
      </w:r>
      <w:r w:rsidR="00EB56B4">
        <w:rPr>
          <w:rStyle w:val="Funotenzeichen"/>
        </w:rPr>
        <w:footnoteReference w:id="411"/>
      </w:r>
    </w:p>
    <w:p w:rsidR="00046E29" w:rsidRDefault="00046E29" w:rsidP="002E6D3B">
      <w:pPr>
        <w:pStyle w:val="Text"/>
        <w:ind w:firstLine="0"/>
      </w:pPr>
      <w:r>
        <w:lastRenderedPageBreak/>
        <w:t>Es ist allerdings zu beachten, dass nicht für alle Schema und Schemaorte ein</w:t>
      </w:r>
      <w:r w:rsidR="00152363">
        <w:t>e feste sprachliche</w:t>
      </w:r>
      <w:r>
        <w:t xml:space="preserve"> </w:t>
      </w:r>
      <w:r w:rsidR="00152363">
        <w:t xml:space="preserve">Bezeichnung </w:t>
      </w:r>
      <w:r>
        <w:t>zur Verfügung steh</w:t>
      </w:r>
      <w:r w:rsidR="003C4731">
        <w:t>t</w:t>
      </w:r>
      <w:r>
        <w:t>; wenn dies nicht der Fall ist, muss auf eine sprachliche Beschreibung zurückgegriffen werden. So gibt es etwa ein</w:t>
      </w:r>
      <w:r w:rsidR="00152363">
        <w:t xml:space="preserve">e feste Bezeichnung </w:t>
      </w:r>
      <w:r>
        <w:t>für den Schemaort ‚Eingangstür‘ (bei Baustilen</w:t>
      </w:r>
      <w:r w:rsidR="005D7996">
        <w:fldChar w:fldCharType="begin"/>
      </w:r>
      <w:r w:rsidR="00CA2D60">
        <w:instrText xml:space="preserve"> XE "</w:instrText>
      </w:r>
      <w:r w:rsidR="00CA2D60" w:rsidRPr="006C2595">
        <w:instrText>Baustil</w:instrText>
      </w:r>
      <w:r w:rsidR="00CA2D60">
        <w:instrText xml:space="preserve">" </w:instrText>
      </w:r>
      <w:r w:rsidR="005D7996">
        <w:fldChar w:fldCharType="end"/>
      </w:r>
      <w:r>
        <w:t>) oder ‚Auftreten‘ (bei Geh-</w:t>
      </w:r>
      <w:r w:rsidR="005D7996">
        <w:fldChar w:fldCharType="begin"/>
      </w:r>
      <w:r w:rsidR="00B641C9">
        <w:instrText xml:space="preserve"> XE "</w:instrText>
      </w:r>
      <w:r w:rsidR="00B641C9" w:rsidRPr="00F3590F">
        <w:instrText>Gehstil</w:instrText>
      </w:r>
      <w:r w:rsidR="00B641C9">
        <w:instrText xml:space="preserve">" </w:instrText>
      </w:r>
      <w:r w:rsidR="005D7996">
        <w:fldChar w:fldCharType="end"/>
      </w:r>
      <w:r>
        <w:t xml:space="preserve"> und L</w:t>
      </w:r>
      <w:r w:rsidR="00157224">
        <w:t>aufstilen</w:t>
      </w:r>
      <w:r w:rsidR="005D7996">
        <w:fldChar w:fldCharType="begin"/>
      </w:r>
      <w:r w:rsidR="00B641C9">
        <w:instrText xml:space="preserve"> XE "</w:instrText>
      </w:r>
      <w:r w:rsidR="00B641C9" w:rsidRPr="00D80D7F">
        <w:instrText>Laufstil</w:instrText>
      </w:r>
      <w:r w:rsidR="00B641C9">
        <w:instrText xml:space="preserve">" </w:instrText>
      </w:r>
      <w:r w:rsidR="005D7996">
        <w:fldChar w:fldCharType="end"/>
      </w:r>
      <w:r w:rsidR="00157224">
        <w:t xml:space="preserve">), aber nicht für </w:t>
      </w:r>
      <w:r w:rsidR="00152363">
        <w:t xml:space="preserve">die </w:t>
      </w:r>
      <w:r w:rsidR="00157224">
        <w:t xml:space="preserve">‚Wandfläche </w:t>
      </w:r>
      <w:r>
        <w:t xml:space="preserve">über der Eingangstür‘ oder </w:t>
      </w:r>
      <w:r w:rsidR="00152363">
        <w:t xml:space="preserve">den </w:t>
      </w:r>
      <w:r>
        <w:t>‚oberen Umkehrpunkt des Fußes‘. Dennoch können auch die beiden letzteren Schemaorte allgemeingültig abgegrenzt und an verschied</w:t>
      </w:r>
      <w:r>
        <w:t>e</w:t>
      </w:r>
      <w:r>
        <w:t>nen Schemata wiedergefunden werden, weshalb es berechtigt ist, sie als Schem</w:t>
      </w:r>
      <w:r>
        <w:t>a</w:t>
      </w:r>
      <w:r>
        <w:t xml:space="preserve">orte anzusehen (vgl. Abschnitt </w:t>
      </w:r>
      <w:r w:rsidR="005D7996">
        <w:fldChar w:fldCharType="begin"/>
      </w:r>
      <w:r>
        <w:instrText xml:space="preserve"> REF _Ref212111029 \r \h </w:instrText>
      </w:r>
      <w:r w:rsidR="005D7996">
        <w:fldChar w:fldCharType="separate"/>
      </w:r>
      <w:r w:rsidR="001231D3">
        <w:t>4.2.3</w:t>
      </w:r>
      <w:r w:rsidR="005D7996">
        <w:fldChar w:fldCharType="end"/>
      </w:r>
      <w:r>
        <w:t>).</w:t>
      </w:r>
    </w:p>
    <w:p w:rsidR="00046E29" w:rsidRDefault="00046E29" w:rsidP="00046E29">
      <w:pPr>
        <w:pStyle w:val="Text"/>
      </w:pPr>
      <w:r>
        <w:t>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t xml:space="preserve"> können ebenfalls wiedergegeben werden, indem die entstehende </w:t>
      </w:r>
      <w:r w:rsidR="007B1AA4">
        <w:t>Unterklasse</w:t>
      </w:r>
      <w:r>
        <w:t xml:space="preserve"> des Schemaorts sprachlich beschrieben wird. So kann für den Schemaort ‚Eingangstür‘ die </w:t>
      </w:r>
      <w:r w:rsidR="007B1AA4">
        <w:t xml:space="preserve">Unterklasse </w:t>
      </w:r>
      <w:r>
        <w:t>‚Eingangstür</w:t>
      </w:r>
      <w:r w:rsidR="000F0FEB">
        <w:t xml:space="preserve"> (</w:t>
      </w:r>
      <w:r w:rsidR="008644A6">
        <w:t>von der Straße aus sichtbar</w:t>
      </w:r>
      <w:r w:rsidR="000F0FEB">
        <w:t>)</w:t>
      </w:r>
      <w:r>
        <w:t>‘ durch Zusat</w:t>
      </w:r>
      <w:r w:rsidR="008644A6">
        <w: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8644A6">
        <w:t xml:space="preserve"> definiert werden (wenn ein Architekt solche Eingangstüren anders gestaltet, würden diese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8644A6">
        <w:t xml:space="preserve"> </w:t>
      </w:r>
      <w:r w:rsidR="002749BC">
        <w:t>in den Anwendungsbedingungen</w:t>
      </w:r>
      <w:r w:rsidR="008644A6">
        <w:t xml:space="preserve"> der entsprechenden Merkmalsregel stehen).</w:t>
      </w:r>
      <w:r w:rsidR="000F0FEB">
        <w:t xml:space="preserve"> Zusatze</w:t>
      </w:r>
      <w:r w:rsidR="000F0FEB">
        <w:t>i</w:t>
      </w:r>
      <w:r w:rsidR="000F0FEB">
        <w:t>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rsidR="000F0FEB">
        <w:t xml:space="preserve"> werden in Klammern angegeben:</w:t>
      </w:r>
    </w:p>
    <w:p w:rsidR="000F0FEB" w:rsidRDefault="000F0FEB" w:rsidP="002E6D3B">
      <w:pPr>
        <w:pStyle w:val="Interpretation"/>
      </w:pPr>
      <w:r>
        <w:rPr>
          <w:i/>
        </w:rPr>
        <w:t>U</w:t>
      </w:r>
      <w:r w:rsidRPr="00BC0D31">
        <w:t>(</w:t>
      </w:r>
      <w:r w:rsidRPr="00BC0D31">
        <w:rPr>
          <w:i/>
        </w:rPr>
        <w:t>B</w:t>
      </w:r>
      <w:r w:rsidRPr="00BC0D31">
        <w:rPr>
          <w:i/>
          <w:vertAlign w:val="subscript"/>
        </w:rPr>
        <w:t>x</w:t>
      </w:r>
      <w:r w:rsidRPr="00BC0D31">
        <w:t>)</w:t>
      </w:r>
      <w:r>
        <w:t>: ‚Anrichte (für Aufstellung freistehend im Raum gedacht)‘</w:t>
      </w:r>
    </w:p>
    <w:p w:rsidR="00EB56B4" w:rsidRDefault="00EB56B4" w:rsidP="00426ADF">
      <w:pPr>
        <w:pStyle w:val="Text"/>
        <w:spacing w:before="120"/>
        <w:ind w:firstLine="0"/>
      </w:pPr>
      <w:r>
        <w:t>(2)</w:t>
      </w:r>
      <w:r>
        <w:tab/>
      </w:r>
      <w:r w:rsidR="00F67FB9">
        <w:t xml:space="preserve">Auch </w:t>
      </w:r>
      <w:r w:rsidR="00A01FA8">
        <w:t xml:space="preserve">die </w:t>
      </w:r>
      <w:r w:rsidR="00F67FB9">
        <w:t xml:space="preserve">verlangten Eigenschaften </w:t>
      </w:r>
      <w:r w:rsidR="00A01FA8">
        <w:t>sind sprachlich ausgedrückt</w:t>
      </w:r>
      <w:r w:rsidR="00D34C49">
        <w:t xml:space="preserve">. Sie werden </w:t>
      </w:r>
      <w:r w:rsidR="00AC6987">
        <w:t xml:space="preserve">zusammen </w:t>
      </w:r>
      <w:r w:rsidR="00D34C49">
        <w:t>als Inhalt</w:t>
      </w:r>
      <w:r w:rsidR="00A01FA8">
        <w:t xml:space="preserve"> </w:t>
      </w:r>
      <w:r w:rsidR="00D34C49">
        <w:t xml:space="preserve">von </w:t>
      </w:r>
      <w:r w:rsidR="00D34C49" w:rsidRPr="00D34C49">
        <w:rPr>
          <w:i/>
        </w:rPr>
        <w:t>V</w:t>
      </w:r>
      <w:r w:rsidR="00D34C49">
        <w:t xml:space="preserve"> betrachtet und </w:t>
      </w:r>
      <w:r w:rsidR="00EB0D64">
        <w:t xml:space="preserve">somit </w:t>
      </w:r>
      <w:r w:rsidR="00D34C49">
        <w:t>in einfache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D34C49">
        <w:t xml:space="preserve"> gesetzt. Auf die Mengenklammer wird verzichtet und einzelne Eigenschaften durch Semikolo</w:t>
      </w:r>
      <w:r w:rsidR="003C4731">
        <w:t>n getrennt</w:t>
      </w:r>
      <w:r w:rsidR="00935BE3">
        <w:t>:</w:t>
      </w:r>
    </w:p>
    <w:p w:rsidR="00F67FB9" w:rsidRDefault="001525B8" w:rsidP="002E6D3B">
      <w:pPr>
        <w:pStyle w:val="Interpretation"/>
      </w:pPr>
      <w:r>
        <w:rPr>
          <w:i/>
        </w:rPr>
        <w:t>V</w:t>
      </w:r>
      <w:r w:rsidRPr="00BC0D31">
        <w:t>(</w:t>
      </w:r>
      <w:r w:rsidRPr="00BC0D31">
        <w:rPr>
          <w:i/>
        </w:rPr>
        <w:t>B</w:t>
      </w:r>
      <w:r w:rsidRPr="00BC0D31">
        <w:rPr>
          <w:i/>
          <w:vertAlign w:val="subscript"/>
        </w:rPr>
        <w:t>x</w:t>
      </w:r>
      <w:r w:rsidRPr="00BC0D31">
        <w:t>)</w:t>
      </w:r>
      <w:r w:rsidR="007174AF">
        <w:t>:</w:t>
      </w:r>
      <w:r>
        <w:t xml:space="preserve"> </w:t>
      </w:r>
      <w:r w:rsidR="00A01FA8">
        <w:t>‚im Jugendstil;</w:t>
      </w:r>
      <w:r>
        <w:t xml:space="preserve"> mit wurzelholzfurnierten Oberflächen‘</w:t>
      </w:r>
    </w:p>
    <w:p w:rsidR="009A66F0" w:rsidRDefault="0014193F" w:rsidP="002E6D3B">
      <w:pPr>
        <w:pStyle w:val="Text"/>
        <w:spacing w:before="240"/>
        <w:ind w:firstLine="0"/>
      </w:pPr>
      <w:r>
        <w:t xml:space="preserve">Bevor wir zu den Beispielen kommen, muss auf ein mögliches Missverständnis hingewiesen werden: Die hier </w:t>
      </w:r>
      <w:r w:rsidR="007A29BA">
        <w:t xml:space="preserve">und in </w:t>
      </w:r>
      <w:r w:rsidR="003F5902">
        <w:t xml:space="preserve">den </w:t>
      </w:r>
      <w:r w:rsidR="007A29BA">
        <w:t>Abschnitt</w:t>
      </w:r>
      <w:r w:rsidR="003F5902">
        <w:t>en</w:t>
      </w:r>
      <w:r w:rsidR="007A29BA">
        <w:t xml:space="preserve"> </w:t>
      </w:r>
      <w:r w:rsidR="005D7996">
        <w:fldChar w:fldCharType="begin"/>
      </w:r>
      <w:r w:rsidR="007A29BA">
        <w:instrText xml:space="preserve"> REF _Ref259795418 \r \h </w:instrText>
      </w:r>
      <w:r w:rsidR="005D7996">
        <w:fldChar w:fldCharType="separate"/>
      </w:r>
      <w:r w:rsidR="001231D3">
        <w:t>6.4</w:t>
      </w:r>
      <w:r w:rsidR="005D7996">
        <w:fldChar w:fldCharType="end"/>
      </w:r>
      <w:r w:rsidR="007A29BA">
        <w:t xml:space="preserve"> und </w:t>
      </w:r>
      <w:r w:rsidR="005D7996">
        <w:fldChar w:fldCharType="begin"/>
      </w:r>
      <w:r w:rsidR="007A29BA">
        <w:instrText xml:space="preserve"> REF _Ref255407192 \r \h </w:instrText>
      </w:r>
      <w:r w:rsidR="005D7996">
        <w:fldChar w:fldCharType="separate"/>
      </w:r>
      <w:r w:rsidR="001231D3">
        <w:t>7.1</w:t>
      </w:r>
      <w:r w:rsidR="005D7996">
        <w:fldChar w:fldCharType="end"/>
      </w:r>
      <w:r w:rsidR="007A29BA">
        <w:t xml:space="preserve"> </w:t>
      </w:r>
      <w:r>
        <w:t xml:space="preserve">gegebenen Beispiele sind als Illustration des Interpretationsprozesses (vgl. Abschnitt </w:t>
      </w:r>
      <w:r w:rsidR="005D7996">
        <w:fldChar w:fldCharType="begin"/>
      </w:r>
      <w:r>
        <w:instrText xml:space="preserve"> REF _Ref254354608 \r \h </w:instrText>
      </w:r>
      <w:r w:rsidR="005D7996">
        <w:fldChar w:fldCharType="separate"/>
      </w:r>
      <w:r w:rsidR="001231D3">
        <w:t>7.2</w:t>
      </w:r>
      <w:r w:rsidR="005D7996">
        <w:fldChar w:fldCharType="end"/>
      </w:r>
      <w:r>
        <w:t xml:space="preserve">) zu verstehen, nicht als eine Analysemethode für Stil, deren Anwendung zu </w:t>
      </w:r>
      <w:r w:rsidR="0041459E">
        <w:t>inte</w:t>
      </w:r>
      <w:r w:rsidR="0041459E">
        <w:t>r</w:t>
      </w:r>
      <w:r w:rsidR="0041459E">
        <w:t>subjektiv gültigen</w:t>
      </w:r>
      <w:r>
        <w:t xml:space="preserve"> Erkenntnissen über konkrete Stile führen soll. </w:t>
      </w:r>
      <w:r w:rsidR="008F7609">
        <w:t>Für die Au</w:t>
      </w:r>
      <w:r w:rsidR="008F7609">
        <w:t>s</w:t>
      </w:r>
      <w:r w:rsidR="008F7609">
        <w:t xml:space="preserve">wahl von Merkmalsregeln, früheren Elementen und Hintergrundwissen für den jeweils nächsten Interpretationsschritt gibt es </w:t>
      </w:r>
      <w:r w:rsidR="0041459E">
        <w:t xml:space="preserve">nicht eine richtige </w:t>
      </w:r>
      <w:r w:rsidR="009A66F0">
        <w:t>Methode;</w:t>
      </w:r>
      <w:r w:rsidR="008F7609">
        <w:rPr>
          <w:rStyle w:val="Funotenzeichen"/>
        </w:rPr>
        <w:footnoteReference w:id="412"/>
      </w:r>
      <w:r w:rsidR="009A66F0">
        <w:t xml:space="preserve"> daher kann hier auch keine solche vorgestellt werden.</w:t>
      </w:r>
      <w:r w:rsidR="00136F7F" w:rsidRPr="00136F7F">
        <w:t xml:space="preserve"> </w:t>
      </w:r>
      <w:r w:rsidR="00136F7F">
        <w:t>Ebenso wird nicht post</w:t>
      </w:r>
      <w:r w:rsidR="00136F7F">
        <w:t>u</w:t>
      </w:r>
      <w:r w:rsidR="00136F7F">
        <w:t xml:space="preserve">liert, dass die </w:t>
      </w:r>
      <w:r w:rsidR="00EB193E">
        <w:t>Erzeugung</w:t>
      </w:r>
      <w:r w:rsidR="00136F7F">
        <w:t xml:space="preserve"> eines bestimmten Ergebnis</w:t>
      </w:r>
      <w:r w:rsidR="00CA3F80">
        <w:t>ses</w:t>
      </w:r>
      <w:r w:rsidR="00136F7F">
        <w:t xml:space="preserve"> auf die jeweils dargestel</w:t>
      </w:r>
      <w:r w:rsidR="00136F7F">
        <w:t>l</w:t>
      </w:r>
      <w:r w:rsidR="00136F7F">
        <w:t xml:space="preserve">te Weise erfolgen muss; es handelt sich immer nur um eine </w:t>
      </w:r>
      <w:r w:rsidR="00136F7F" w:rsidRPr="00136F7F">
        <w:rPr>
          <w:i/>
        </w:rPr>
        <w:t>mögliche</w:t>
      </w:r>
      <w:r w:rsidR="00136F7F">
        <w:t xml:space="preserve"> Erze</w:t>
      </w:r>
      <w:r w:rsidR="00136F7F">
        <w:t>u</w:t>
      </w:r>
      <w:r w:rsidR="00136F7F">
        <w:t>gungsweise.</w:t>
      </w:r>
    </w:p>
    <w:p w:rsidR="00136F7F" w:rsidRDefault="009A66F0" w:rsidP="00243FBB">
      <w:pPr>
        <w:pStyle w:val="Text"/>
      </w:pPr>
      <w:r>
        <w:t xml:space="preserve">Der Interpretationsprozess wird als eine </w:t>
      </w:r>
      <w:r w:rsidR="00136F7F">
        <w:t xml:space="preserve">allgemeine </w:t>
      </w:r>
      <w:r>
        <w:t>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t xml:space="preserve"> des A</w:t>
      </w:r>
      <w:r>
        <w:t>b</w:t>
      </w:r>
      <w:r>
        <w:t xml:space="preserve">laufs stilistischer Interpretationen verstanden; die Beispiele sollen illustrieren, wie diese Modellierung funktioniert. Dabei </w:t>
      </w:r>
      <w:r w:rsidR="001A1E3C">
        <w:t xml:space="preserve">muss für jene </w:t>
      </w:r>
      <w:r>
        <w:t>Stellen des tatsächl</w:t>
      </w:r>
      <w:r>
        <w:t>i</w:t>
      </w:r>
      <w:r>
        <w:t xml:space="preserve">chen Interpretationsprozesses, an denen dem Modell zufolge Vagheit gilt (bei </w:t>
      </w:r>
      <w:r>
        <w:lastRenderedPageBreak/>
        <w:t xml:space="preserve">denen </w:t>
      </w:r>
      <w:r w:rsidR="00EB193E">
        <w:t xml:space="preserve">also </w:t>
      </w:r>
      <w:r>
        <w:t>keine präzise Methode angegeben werden kann, sondern nur Bedi</w:t>
      </w:r>
      <w:r>
        <w:t>n</w:t>
      </w:r>
      <w:r>
        <w:t xml:space="preserve">gungen, die für einen erfolgreichen Vollzug des entsprechenden Prozesses </w:t>
      </w:r>
      <w:r w:rsidR="00196C36">
        <w:t>ge</w:t>
      </w:r>
      <w:r w:rsidR="00196C36">
        <w:t>l</w:t>
      </w:r>
      <w:r w:rsidR="00196C36">
        <w:t>ten</w:t>
      </w:r>
      <w:r w:rsidR="00EB193E">
        <w:t xml:space="preserve">; vgl. Abschnitt </w:t>
      </w:r>
      <w:r w:rsidR="005D7996">
        <w:fldChar w:fldCharType="begin"/>
      </w:r>
      <w:r w:rsidR="00EB193E">
        <w:instrText xml:space="preserve"> REF _Ref223865720 \r \h </w:instrText>
      </w:r>
      <w:r w:rsidR="005D7996">
        <w:fldChar w:fldCharType="separate"/>
      </w:r>
      <w:r w:rsidR="001231D3">
        <w:t>9.5</w:t>
      </w:r>
      <w:r w:rsidR="005D7996">
        <w:fldChar w:fldCharType="end"/>
      </w:r>
      <w:r w:rsidR="00196C36">
        <w:t xml:space="preserve">), </w:t>
      </w:r>
      <w:r w:rsidR="001A1E3C">
        <w:t>eine mehr oder minder beliebige Auswahl getroffen werden</w:t>
      </w:r>
      <w:r w:rsidR="00196C36">
        <w:t>. Dies gilt für die Suche nach relevantem Hintergrundwissen</w:t>
      </w:r>
      <w:r w:rsidR="00136F7F">
        <w:t xml:space="preserve"> ebenso wie für die Erzeugungsweise eines bestimmten Ergebnisses</w:t>
      </w:r>
      <w:r w:rsidR="00196C36">
        <w:t xml:space="preserve">. </w:t>
      </w:r>
      <w:r w:rsidR="00BD4011">
        <w:t>D</w:t>
      </w:r>
      <w:r w:rsidR="00136F7F">
        <w:t>aher</w:t>
      </w:r>
      <w:r w:rsidR="00196C36">
        <w:t xml:space="preserve"> folgen hier auch die Beispiele nicht einem festen Prinzip, das nur b</w:t>
      </w:r>
      <w:r w:rsidR="00136F7F">
        <w:t xml:space="preserve">eliebig postuliert </w:t>
      </w:r>
      <w:r w:rsidR="00BD4011">
        <w:t xml:space="preserve">werden </w:t>
      </w:r>
      <w:r w:rsidR="00136F7F">
        <w:t>könnte.</w:t>
      </w:r>
    </w:p>
    <w:p w:rsidR="003154A0" w:rsidRDefault="00FE5B08" w:rsidP="003154A0">
      <w:pPr>
        <w:pStyle w:val="Text"/>
      </w:pPr>
      <w:r>
        <w:t xml:space="preserve">Tatsächlich dürfen konkrete </w:t>
      </w:r>
      <w:r w:rsidR="00196C36">
        <w:t>Analysemethoden, die präzise anwendbar</w:t>
      </w:r>
      <w:r w:rsidR="00044154">
        <w:t xml:space="preserve"> sind, aber nur eine Teilmenge der möglichen Interpretationen erzeugen können</w:t>
      </w:r>
      <w:r w:rsidR="00196C36">
        <w:t>,</w:t>
      </w:r>
      <w:r w:rsidR="002A7FDE">
        <w:rPr>
          <w:rStyle w:val="Funotenzeichen"/>
        </w:rPr>
        <w:footnoteReference w:id="413"/>
      </w:r>
      <w:r w:rsidR="00196C36">
        <w:t xml:space="preserve"> </w:t>
      </w:r>
      <w:r>
        <w:t xml:space="preserve">nicht </w:t>
      </w:r>
      <w:r w:rsidR="00196C36">
        <w:t>mit Theorien der stilistischen Interpretation verwechselt werden</w:t>
      </w:r>
      <w:r>
        <w:t xml:space="preserve">; diese müssen in der Lage sein, </w:t>
      </w:r>
      <w:r w:rsidR="00136F7F">
        <w:t>beliebige vorgefundene Stilinterpretationen nachzuvol</w:t>
      </w:r>
      <w:r w:rsidR="00136F7F">
        <w:t>l</w:t>
      </w:r>
      <w:r w:rsidR="00136F7F">
        <w:t>zie</w:t>
      </w:r>
      <w:r w:rsidR="00044154">
        <w:t xml:space="preserve">hen. Diesen Anspruch hat </w:t>
      </w:r>
      <w:r w:rsidR="00136F7F">
        <w:t xml:space="preserve">der </w:t>
      </w:r>
      <w:r w:rsidR="00196C36">
        <w:t xml:space="preserve">hier vorgestellte Interpretationsprozess (vgl. </w:t>
      </w:r>
      <w:r w:rsidR="00044154">
        <w:t xml:space="preserve">die Beispiele in </w:t>
      </w:r>
      <w:r w:rsidR="005D7996">
        <w:fldChar w:fldCharType="begin"/>
      </w:r>
      <w:r w:rsidR="00196C36">
        <w:instrText xml:space="preserve"> REF _Ref254004896 \r \h </w:instrText>
      </w:r>
      <w:r w:rsidR="005D7996">
        <w:fldChar w:fldCharType="separate"/>
      </w:r>
      <w:r w:rsidR="001231D3">
        <w:t>7.1.3</w:t>
      </w:r>
      <w:r w:rsidR="005D7996">
        <w:fldChar w:fldCharType="end"/>
      </w:r>
      <w:r w:rsidR="00196C36">
        <w:t xml:space="preserve">, </w:t>
      </w:r>
      <w:r w:rsidR="005D7996">
        <w:fldChar w:fldCharType="begin"/>
      </w:r>
      <w:r w:rsidR="00196C36">
        <w:instrText xml:space="preserve"> REF _Ref254550229 \r \h </w:instrText>
      </w:r>
      <w:r w:rsidR="005D7996">
        <w:fldChar w:fldCharType="separate"/>
      </w:r>
      <w:r w:rsidR="001231D3">
        <w:t>7.1.5</w:t>
      </w:r>
      <w:r w:rsidR="005D7996">
        <w:fldChar w:fldCharType="end"/>
      </w:r>
      <w:r w:rsidR="00196C36">
        <w:t xml:space="preserve"> und </w:t>
      </w:r>
      <w:r w:rsidR="005D7996">
        <w:fldChar w:fldCharType="begin"/>
      </w:r>
      <w:r w:rsidR="00196C36">
        <w:instrText xml:space="preserve"> REF _Ref254550232 \r \h </w:instrText>
      </w:r>
      <w:r w:rsidR="005D7996">
        <w:fldChar w:fldCharType="separate"/>
      </w:r>
      <w:r w:rsidR="001231D3">
        <w:t>7.1.7</w:t>
      </w:r>
      <w:r w:rsidR="005D7996">
        <w:fldChar w:fldCharType="end"/>
      </w:r>
      <w:r w:rsidR="00196C36">
        <w:t>); dafür verzichtet er darauf, eine Analys</w:t>
      </w:r>
      <w:r w:rsidR="00196C36">
        <w:t>e</w:t>
      </w:r>
      <w:r w:rsidR="00196C36">
        <w:t>methode zu sein. Denn Analyseme</w:t>
      </w:r>
      <w:r w:rsidR="00136F7F">
        <w:t xml:space="preserve">thoden erkaufen ihre </w:t>
      </w:r>
      <w:r w:rsidR="00044154">
        <w:t>präzise</w:t>
      </w:r>
      <w:r w:rsidR="00136F7F">
        <w:t xml:space="preserve"> </w:t>
      </w:r>
      <w:r w:rsidR="00196C36">
        <w:t xml:space="preserve">Anwendbarkeit damit, an manchen Stellen, an denen reale </w:t>
      </w:r>
      <w:r w:rsidR="00A37FA7">
        <w:t>I</w:t>
      </w:r>
      <w:r w:rsidR="00196C36">
        <w:t>nterpretationen für die Kreativität</w:t>
      </w:r>
      <w:r w:rsidR="005D7996">
        <w:fldChar w:fldCharType="begin"/>
      </w:r>
      <w:r w:rsidR="00134E70">
        <w:instrText xml:space="preserve"> XE "</w:instrText>
      </w:r>
      <w:r w:rsidR="00134E70" w:rsidRPr="00747D33">
        <w:instrText>Kreativität</w:instrText>
      </w:r>
      <w:r w:rsidR="00134E70">
        <w:instrText xml:space="preserve">" </w:instrText>
      </w:r>
      <w:r w:rsidR="005D7996">
        <w:fldChar w:fldCharType="end"/>
      </w:r>
      <w:r w:rsidR="00196C36">
        <w:t xml:space="preserve"> der Interpretierenden offen </w:t>
      </w:r>
      <w:r>
        <w:t>sind</w:t>
      </w:r>
      <w:r w:rsidR="00196C36">
        <w:t>, mechanische Prinzipien vorzuschrei</w:t>
      </w:r>
      <w:r w:rsidR="00136F7F">
        <w:t>ben.</w:t>
      </w:r>
    </w:p>
    <w:p w:rsidR="00243FBB" w:rsidRDefault="00243FBB" w:rsidP="00243FBB">
      <w:pPr>
        <w:pStyle w:val="Titel3"/>
      </w:pPr>
      <w:bookmarkStart w:id="303" w:name="_Toc325456765"/>
      <w:r>
        <w:t>Aus einer Merkmalsregel</w:t>
      </w:r>
      <w:bookmarkEnd w:id="303"/>
    </w:p>
    <w:p w:rsidR="00243FBB" w:rsidRDefault="0043265C" w:rsidP="00226A91">
      <w:pPr>
        <w:pStyle w:val="Titel5"/>
        <w:spacing w:before="240"/>
      </w:pPr>
      <w:bookmarkStart w:id="304" w:name="_Ref260072259"/>
      <w:bookmarkStart w:id="305" w:name="_Toc325456766"/>
      <w:r>
        <w:t>Ohne früher</w:t>
      </w:r>
      <w:r w:rsidR="004C6A54">
        <w:t>e</w:t>
      </w:r>
      <w:r>
        <w:t xml:space="preserve"> </w:t>
      </w:r>
      <w:r w:rsidR="00C65D81">
        <w:t xml:space="preserve">Ergebnisse, </w:t>
      </w:r>
      <w:r w:rsidR="00211F44">
        <w:t xml:space="preserve">ohne </w:t>
      </w:r>
      <w:r w:rsidR="00C65D81" w:rsidRPr="009B6406">
        <w:t>H</w:t>
      </w:r>
      <w:r w:rsidR="00C65D81">
        <w:t>intergrundwissen</w:t>
      </w:r>
      <w:bookmarkEnd w:id="304"/>
      <w:bookmarkEnd w:id="305"/>
    </w:p>
    <w:p w:rsidR="00B944EC" w:rsidRDefault="00E94E1C" w:rsidP="00286FC2">
      <w:pPr>
        <w:pStyle w:val="Interpretation1Zeile"/>
      </w:pPr>
      <w:r>
        <w:t>1</w:t>
      </w:r>
      <w:r w:rsidR="004F58C8">
        <w:t>.</w:t>
      </w:r>
      <w:r w:rsidR="004F58C8">
        <w:tab/>
        <w:t>Verhaltensschema ‚Autofahren‘:</w:t>
      </w:r>
    </w:p>
    <w:p w:rsidR="00B944EC" w:rsidRDefault="00B944EC" w:rsidP="002E6D3B">
      <w:pPr>
        <w:pStyle w:val="Interpretation"/>
      </w:pPr>
      <w:r w:rsidRPr="00BC0D31">
        <w:rPr>
          <w:i/>
        </w:rPr>
        <w:t>U</w:t>
      </w:r>
      <w:r w:rsidRPr="00BC0D31">
        <w:t>(</w:t>
      </w:r>
      <w:r w:rsidRPr="00BC0D31">
        <w:rPr>
          <w:i/>
        </w:rPr>
        <w:t>B</w:t>
      </w:r>
      <w:r w:rsidR="00BE6DD5">
        <w:rPr>
          <w:vertAlign w:val="subscript"/>
        </w:rPr>
        <w:t>1</w:t>
      </w:r>
      <w:r w:rsidRPr="00BC0D31">
        <w:t>)</w:t>
      </w:r>
      <w:r w:rsidR="00BE6DD5">
        <w:t xml:space="preserve">: ‚Überholen‘, </w:t>
      </w:r>
      <w:r>
        <w:rPr>
          <w:i/>
        </w:rPr>
        <w:t>V</w:t>
      </w:r>
      <w:r w:rsidRPr="00BC0D31">
        <w:t>(</w:t>
      </w:r>
      <w:r w:rsidRPr="00BC0D31">
        <w:rPr>
          <w:i/>
        </w:rPr>
        <w:t>B</w:t>
      </w:r>
      <w:r w:rsidR="00BE6DD5">
        <w:rPr>
          <w:vertAlign w:val="subscript"/>
        </w:rPr>
        <w:t>1</w:t>
      </w:r>
      <w:r w:rsidRPr="00BC0D31">
        <w:t>)</w:t>
      </w:r>
      <w:r>
        <w:t>: ‚</w:t>
      </w:r>
      <w:r w:rsidR="00AC1A3D">
        <w:t>beinhaltet Risiko eines schweren Unfalls</w:t>
      </w:r>
      <w:r>
        <w:t>‘</w:t>
      </w:r>
    </w:p>
    <w:p w:rsidR="006B1F7B" w:rsidRPr="00E27336" w:rsidRDefault="006B1F7B" w:rsidP="002E6D3B">
      <w:pPr>
        <w:pStyle w:val="Formel"/>
        <w:rPr>
          <w:sz w:val="22"/>
        </w:rPr>
      </w:pPr>
      <w:r>
        <w:rPr>
          <w:i/>
          <w:iCs/>
        </w:rPr>
        <w:t>B</w:t>
      </w:r>
      <w:r w:rsidRPr="00F20FC6">
        <w:rPr>
          <w:iCs/>
          <w:vertAlign w:val="subscript"/>
        </w:rPr>
        <w:t>1</w:t>
      </w:r>
      <w:r>
        <w:t xml:space="preserve"> </w:t>
      </w:r>
      <w:r w:rsidR="002434D2">
        <w:rPr>
          <w:rFonts w:ascii="Cambria Math" w:eastAsia="Arial Unicode MS" w:hAnsi="Cambria Math" w:cs="Cambria Math"/>
          <w:color w:val="000000" w:themeColor="text1"/>
        </w:rPr>
        <w:t>⤳</w:t>
      </w:r>
      <w:r>
        <w:rPr>
          <w:vertAlign w:val="subscript"/>
        </w:rPr>
        <w:t>G</w:t>
      </w:r>
      <w:r w:rsidR="00D604FA">
        <w:rPr>
          <w:vertAlign w:val="subscript"/>
        </w:rPr>
        <w:t>fr</w:t>
      </w:r>
      <w:r>
        <w:t xml:space="preserve">  </w:t>
      </w:r>
      <w:r>
        <w:rPr>
          <w:i/>
          <w:iCs/>
        </w:rPr>
        <w:t>Er</w:t>
      </w:r>
      <w:r>
        <w:rPr>
          <w:vertAlign w:val="subscript"/>
        </w:rPr>
        <w:t>1</w:t>
      </w:r>
    </w:p>
    <w:p w:rsidR="00B944EC" w:rsidRDefault="00B944EC" w:rsidP="002E6D3B">
      <w:pPr>
        <w:pStyle w:val="Interpretation"/>
      </w:pPr>
      <w:r w:rsidRPr="0011708C">
        <w:rPr>
          <w:i/>
        </w:rPr>
        <w:t>Er</w:t>
      </w:r>
      <w:r w:rsidR="00090580">
        <w:rPr>
          <w:vertAlign w:val="subscript"/>
        </w:rPr>
        <w:t>1</w:t>
      </w:r>
      <w:r w:rsidR="008C597B">
        <w:t xml:space="preserve"> (</w:t>
      </w:r>
      <w:r w:rsidR="008C597B" w:rsidRPr="00126495">
        <w:t>g</w:t>
      </w:r>
      <w:r w:rsidR="008C597B">
        <w:t>)</w:t>
      </w:r>
      <w:r>
        <w:t xml:space="preserve">: ‚Angst </w:t>
      </w:r>
      <w:r w:rsidR="00145639">
        <w:t>(</w:t>
      </w:r>
      <w:r>
        <w:t>zu S</w:t>
      </w:r>
      <w:r w:rsidR="0085753F">
        <w:t>N</w:t>
      </w:r>
      <w:r>
        <w:t xml:space="preserve"> ins Auto zu steigen</w:t>
      </w:r>
      <w:r w:rsidR="00145639">
        <w:t>)</w:t>
      </w:r>
      <w:r>
        <w:t>‘</w:t>
      </w:r>
    </w:p>
    <w:p w:rsidR="00931AE7" w:rsidRDefault="00090580" w:rsidP="00286FC2">
      <w:pPr>
        <w:pStyle w:val="Text"/>
        <w:spacing w:before="240"/>
        <w:ind w:firstLine="0"/>
      </w:pPr>
      <w:r>
        <w:t xml:space="preserve">Das Gefühl ‚Angst‘ </w:t>
      </w:r>
      <w:r w:rsidR="00931AE7">
        <w:t xml:space="preserve">könnte </w:t>
      </w:r>
      <w:r>
        <w:t>auch aus der Wahrnehmung der Eigenschaft ‚</w:t>
      </w:r>
      <w:r w:rsidR="00931AE7">
        <w:t>bei</w:t>
      </w:r>
      <w:r w:rsidR="00931AE7">
        <w:t>n</w:t>
      </w:r>
      <w:r w:rsidR="00931AE7">
        <w:t>haltet Risiko eines schweren Unfalls</w:t>
      </w:r>
      <w:r>
        <w:t xml:space="preserve">‘ an der Realisierung entstehen, ohne dass dazu eine Merkmalsregel ausgelesen werden muss. </w:t>
      </w:r>
      <w:r w:rsidR="00931AE7">
        <w:t xml:space="preserve">In diesem Fall würde </w:t>
      </w:r>
      <w:r>
        <w:t>jedoch nicht zwischen verschiedenen Ursachen des Risikos unterschieden</w:t>
      </w:r>
      <w:r w:rsidR="00931AE7">
        <w:t xml:space="preserve">. </w:t>
      </w:r>
      <w:r w:rsidR="00715682">
        <w:t>Autofahren ist immer gefährlich; w</w:t>
      </w:r>
      <w:r w:rsidR="00931AE7">
        <w:t xml:space="preserve">er wenig Auto fährt, bei dem kann eine ganz normale Autofahrt leicht das Gefühl der Angst erzeugen. </w:t>
      </w:r>
      <w:r w:rsidR="00CC416B">
        <w:t xml:space="preserve">Es gäbe dann aber keinen Grund für ein </w:t>
      </w:r>
      <w:r w:rsidR="00931AE7">
        <w:t>speziell auf das Mitfahren beim S</w:t>
      </w:r>
      <w:r w:rsidR="0085753F">
        <w:t>N</w:t>
      </w:r>
      <w:r w:rsidR="00931AE7">
        <w:t xml:space="preserve"> gerichtetes </w:t>
      </w:r>
      <w:r>
        <w:t xml:space="preserve">Gefühl </w:t>
      </w:r>
      <w:r w:rsidR="00931AE7">
        <w:t>entspr</w:t>
      </w:r>
      <w:r w:rsidR="00931AE7">
        <w:t>e</w:t>
      </w:r>
      <w:r w:rsidR="00931AE7">
        <w:t xml:space="preserve">chend </w:t>
      </w:r>
      <w:r w:rsidR="0016435B" w:rsidRPr="0011708C">
        <w:rPr>
          <w:i/>
        </w:rPr>
        <w:t>Er</w:t>
      </w:r>
      <w:r w:rsidR="0016435B">
        <w:rPr>
          <w:iCs/>
          <w:vertAlign w:val="subscript"/>
        </w:rPr>
        <w:t>1</w:t>
      </w:r>
      <w:r w:rsidR="00CC416B">
        <w:t xml:space="preserve">, </w:t>
      </w:r>
      <w:r w:rsidR="00E22A05">
        <w:t xml:space="preserve">eher </w:t>
      </w:r>
      <w:r w:rsidR="00CC416B">
        <w:t xml:space="preserve">würde wohl </w:t>
      </w:r>
      <w:r w:rsidR="00E22A05">
        <w:t>das Gefühl ‚Angst (vor dem Überholen)‘ oder al</w:t>
      </w:r>
      <w:r w:rsidR="00E22A05">
        <w:t>l</w:t>
      </w:r>
      <w:r w:rsidR="00E22A05">
        <w:t>gemeiner ‚Angst (vor dem Autofahren)‘</w:t>
      </w:r>
      <w:r w:rsidR="00CC416B">
        <w:t xml:space="preserve"> entstehen</w:t>
      </w:r>
      <w:r w:rsidR="00E22A05">
        <w:t>.</w:t>
      </w:r>
    </w:p>
    <w:p w:rsidR="008E5FA9" w:rsidRDefault="00557AD0" w:rsidP="00B944EC">
      <w:pPr>
        <w:pStyle w:val="Text"/>
      </w:pPr>
      <w:r>
        <w:t xml:space="preserve">Das </w:t>
      </w:r>
      <w:r w:rsidR="008E5FA9">
        <w:t>Beispiel macht deutlich</w:t>
      </w:r>
      <w:r w:rsidR="0016435B">
        <w:t xml:space="preserve">, </w:t>
      </w:r>
      <w:r w:rsidR="008E5FA9">
        <w:t xml:space="preserve">dass </w:t>
      </w:r>
      <w:r w:rsidR="0016435B">
        <w:t xml:space="preserve">Stil </w:t>
      </w:r>
      <w:r w:rsidR="00F47DA3">
        <w:t xml:space="preserve">sich </w:t>
      </w:r>
      <w:r w:rsidR="008E5FA9">
        <w:t xml:space="preserve">auch </w:t>
      </w:r>
      <w:r w:rsidR="00F47DA3">
        <w:t>in Hinblick auf den</w:t>
      </w:r>
      <w:r w:rsidR="00CC416B">
        <w:t xml:space="preserve"> </w:t>
      </w:r>
      <w:r w:rsidR="008E5FA9">
        <w:t>Inte</w:t>
      </w:r>
      <w:r w:rsidR="008E5FA9">
        <w:t>r</w:t>
      </w:r>
      <w:r w:rsidR="008E5FA9">
        <w:t xml:space="preserve">pretationsprozess </w:t>
      </w:r>
      <w:r w:rsidR="00F47DA3">
        <w:t xml:space="preserve">von bloßen </w:t>
      </w:r>
      <w:r w:rsidR="0016435B">
        <w:t xml:space="preserve">Regelmäßigkeiten </w:t>
      </w:r>
      <w:r w:rsidR="001F6512">
        <w:t>oder Muster</w:t>
      </w:r>
      <w:r w:rsidR="00F47DA3">
        <w:t>n</w:t>
      </w:r>
      <w:r w:rsidR="001F6512">
        <w:t xml:space="preserve"> in einer Realisi</w:t>
      </w:r>
      <w:r w:rsidR="001F6512">
        <w:t>e</w:t>
      </w:r>
      <w:r w:rsidR="001F6512">
        <w:t>rung</w:t>
      </w:r>
      <w:r w:rsidR="0016435B">
        <w:t>, etwa wiederkehrende</w:t>
      </w:r>
      <w:r w:rsidR="00F47DA3">
        <w:t>n</w:t>
      </w:r>
      <w:r w:rsidR="0016435B">
        <w:t xml:space="preserve"> Gefahrensituationen </w:t>
      </w:r>
      <w:r w:rsidR="00E22A05">
        <w:t xml:space="preserve">bei Überholvorgängen einer bestimmten </w:t>
      </w:r>
      <w:r w:rsidR="0016435B">
        <w:t xml:space="preserve">Autofahrt, </w:t>
      </w:r>
      <w:r w:rsidR="00F47DA3">
        <w:t xml:space="preserve">unterscheidet </w:t>
      </w:r>
      <w:r w:rsidR="0016435B">
        <w:t xml:space="preserve">(vgl. Abschnitt </w:t>
      </w:r>
      <w:r w:rsidR="005D7996">
        <w:fldChar w:fldCharType="begin"/>
      </w:r>
      <w:r w:rsidR="0016435B">
        <w:instrText xml:space="preserve"> REF _Ref260056929 \r \h </w:instrText>
      </w:r>
      <w:r w:rsidR="005D7996">
        <w:fldChar w:fldCharType="separate"/>
      </w:r>
      <w:r w:rsidR="001231D3">
        <w:t>2.1</w:t>
      </w:r>
      <w:r w:rsidR="005D7996">
        <w:fldChar w:fldCharType="end"/>
      </w:r>
      <w:r w:rsidR="00CC416B">
        <w:t xml:space="preserve">). </w:t>
      </w:r>
      <w:r w:rsidR="008E5FA9">
        <w:t>Solche Regelmäßig</w:t>
      </w:r>
      <w:r w:rsidR="002F3480">
        <w:softHyphen/>
      </w:r>
      <w:r w:rsidR="008E5FA9">
        <w:lastRenderedPageBreak/>
        <w:t>keiten</w:t>
      </w:r>
      <w:r w:rsidR="0016435B">
        <w:t xml:space="preserve"> </w:t>
      </w:r>
      <w:r w:rsidR="00CC416B">
        <w:t xml:space="preserve">gibt es natürlich, sie führen jedoch zu anderen Ergebnissen als Stil. Wird etwa auf eine solche Regelmäßigkeit, die ja </w:t>
      </w:r>
      <w:r w:rsidR="008E5FA9">
        <w:t>unterschiedliche Ursachen haben</w:t>
      </w:r>
      <w:r w:rsidR="00CC416B">
        <w:t xml:space="preserve"> kann, mit dem Gefühl der Angst reagiert, so würde es </w:t>
      </w:r>
      <w:r w:rsidR="00931AE7">
        <w:t xml:space="preserve">keinen </w:t>
      </w:r>
      <w:r w:rsidR="0016435B">
        <w:t>Grund geben, vor Autofahrten mit dem S</w:t>
      </w:r>
      <w:r w:rsidR="0085753F">
        <w:t>N</w:t>
      </w:r>
      <w:r w:rsidR="0016435B">
        <w:t xml:space="preserve"> Angst zu haben, nicht aber vor</w:t>
      </w:r>
      <w:r w:rsidR="008E5FA9">
        <w:t xml:space="preserve"> Autofahrten auf dieser Strecke, mit diesem Autotyp</w:t>
      </w:r>
      <w:r w:rsidR="00CC416B">
        <w:t>, zu dieser Tageszeit</w:t>
      </w:r>
      <w:r w:rsidR="008E5FA9">
        <w:t xml:space="preserve"> oder vor Autofahr</w:t>
      </w:r>
      <w:r w:rsidR="007511AD">
        <w:t>ten übe</w:t>
      </w:r>
      <w:r w:rsidR="007511AD">
        <w:t>r</w:t>
      </w:r>
      <w:r w:rsidR="007511AD">
        <w:t>haupt.</w:t>
      </w:r>
    </w:p>
    <w:p w:rsidR="004B2A7A" w:rsidRDefault="004B2A7A" w:rsidP="00286FC2">
      <w:pPr>
        <w:pStyle w:val="Interpretation1Zeile"/>
      </w:pPr>
      <w:r>
        <w:t>2.</w:t>
      </w:r>
      <w:r>
        <w:tab/>
      </w:r>
      <w:r w:rsidRPr="00F8759D">
        <w:t>Artefaktschema ‚</w:t>
      </w:r>
      <w:r w:rsidR="0020312F">
        <w:t>Inneneinrichtung</w:t>
      </w:r>
      <w:r w:rsidR="00E90C4F">
        <w:t xml:space="preserve"> eines Wohngebäudes</w:t>
      </w:r>
      <w:r>
        <w:t>‘</w:t>
      </w:r>
    </w:p>
    <w:p w:rsidR="004B2A7A" w:rsidRDefault="004B2A7A" w:rsidP="00286FC2">
      <w:pPr>
        <w:pStyle w:val="Interpretation"/>
      </w:pPr>
      <w:r w:rsidRPr="00F8759D">
        <w:rPr>
          <w:i/>
        </w:rPr>
        <w:t>U</w:t>
      </w:r>
      <w:r w:rsidRPr="00F8759D">
        <w:t>(</w:t>
      </w:r>
      <w:r w:rsidRPr="00F8759D">
        <w:rPr>
          <w:i/>
        </w:rPr>
        <w:t>B</w:t>
      </w:r>
      <w:r w:rsidR="00750A38" w:rsidRPr="00F20FC6">
        <w:rPr>
          <w:vertAlign w:val="subscript"/>
        </w:rPr>
        <w:t>1</w:t>
      </w:r>
      <w:r w:rsidRPr="00F8759D">
        <w:t>): ‚</w:t>
      </w:r>
      <w:r w:rsidR="0020312F">
        <w:t>Beleuchtung</w:t>
      </w:r>
      <w:r w:rsidRPr="00F8759D">
        <w:t xml:space="preserve">‘, </w:t>
      </w:r>
      <w:r w:rsidRPr="00F8759D">
        <w:rPr>
          <w:i/>
        </w:rPr>
        <w:t>V</w:t>
      </w:r>
      <w:r w:rsidRPr="00F8759D">
        <w:t>(</w:t>
      </w:r>
      <w:r w:rsidRPr="00F8759D">
        <w:rPr>
          <w:i/>
        </w:rPr>
        <w:t>B</w:t>
      </w:r>
      <w:r w:rsidR="00C51B87">
        <w:rPr>
          <w:vertAlign w:val="subscript"/>
        </w:rPr>
        <w:t>1</w:t>
      </w:r>
      <w:r w:rsidRPr="00F8759D">
        <w:t>): ‚</w:t>
      </w:r>
      <w:r w:rsidR="0020312F">
        <w:t xml:space="preserve">viele Leuchten in jedem Raum; </w:t>
      </w:r>
      <w:r w:rsidR="00E90C4F">
        <w:t>Leucht</w:t>
      </w:r>
      <w:r w:rsidR="00E74D2B">
        <w:t>mittel</w:t>
      </w:r>
      <w:r w:rsidR="00E90C4F">
        <w:t xml:space="preserve"> sind direkt sichtbar; </w:t>
      </w:r>
      <w:r w:rsidR="00E74D2B">
        <w:t>sehr helle Leuchtmittel</w:t>
      </w:r>
      <w:r>
        <w:t>‘</w:t>
      </w:r>
    </w:p>
    <w:p w:rsidR="00750A38" w:rsidRPr="00E27336" w:rsidRDefault="00750A38" w:rsidP="00750A38">
      <w:pPr>
        <w:pStyle w:val="Text"/>
        <w:rPr>
          <w:sz w:val="22"/>
        </w:rPr>
      </w:pPr>
      <w:r>
        <w:rPr>
          <w:i/>
          <w:iCs/>
        </w:rPr>
        <w:t>B</w:t>
      </w:r>
      <w:r w:rsidRPr="00F20FC6">
        <w:rPr>
          <w:iCs/>
          <w:vertAlign w:val="subscript"/>
        </w:rPr>
        <w:t>1</w:t>
      </w:r>
      <w: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1</w:t>
      </w:r>
    </w:p>
    <w:p w:rsidR="004B2A7A" w:rsidRDefault="004B2A7A" w:rsidP="00286FC2">
      <w:pPr>
        <w:pStyle w:val="InterpretationletzteZeile"/>
      </w:pPr>
      <w:r>
        <w:rPr>
          <w:i/>
        </w:rPr>
        <w:t>Er</w:t>
      </w:r>
      <w:r w:rsidRPr="003D50E0">
        <w:rPr>
          <w:vertAlign w:val="subscript"/>
        </w:rPr>
        <w:t>1</w:t>
      </w:r>
      <w:r w:rsidR="00C93129">
        <w:t xml:space="preserve"> (e):</w:t>
      </w:r>
      <w:r>
        <w:t xml:space="preserve"> ‚</w:t>
      </w:r>
      <w:r w:rsidR="00E90C4F">
        <w:t xml:space="preserve">Die </w:t>
      </w:r>
      <w:r w:rsidR="0020312F">
        <w:t xml:space="preserve">Beleuchtung </w:t>
      </w:r>
      <w:r w:rsidR="007C2421">
        <w:t xml:space="preserve">zwingt den </w:t>
      </w:r>
      <w:r w:rsidR="00202E88">
        <w:t xml:space="preserve">Besucher, </w:t>
      </w:r>
      <w:r w:rsidR="00E90C4F">
        <w:t>die Augen zuzukneifen</w:t>
      </w:r>
      <w:r>
        <w:t>‘</w:t>
      </w:r>
    </w:p>
    <w:p w:rsidR="00E90C4F" w:rsidRDefault="00202E88" w:rsidP="00286FC2">
      <w:pPr>
        <w:pStyle w:val="Text"/>
        <w:ind w:firstLine="0"/>
      </w:pPr>
      <w:r>
        <w:rPr>
          <w:iCs/>
        </w:rPr>
        <w:t>Eine rein physiologische Blendungsreaktion wäre kein Ergebnis der Stilinterpr</w:t>
      </w:r>
      <w:r>
        <w:rPr>
          <w:iCs/>
        </w:rPr>
        <w:t>e</w:t>
      </w:r>
      <w:r>
        <w:rPr>
          <w:iCs/>
        </w:rPr>
        <w:t xml:space="preserve">tation, ebenso wenig der Eindruck, durch die Beleuchtung geblendet zu sein. </w:t>
      </w:r>
      <w:r w:rsidR="007C2421">
        <w:rPr>
          <w:iCs/>
        </w:rPr>
        <w:t xml:space="preserve">Nur </w:t>
      </w:r>
      <w:r>
        <w:rPr>
          <w:iCs/>
        </w:rPr>
        <w:t xml:space="preserve">wenn </w:t>
      </w:r>
      <w:r w:rsidR="00951691">
        <w:rPr>
          <w:iCs/>
        </w:rPr>
        <w:t xml:space="preserve">mental </w:t>
      </w:r>
      <w:r w:rsidR="00E74D2B">
        <w:rPr>
          <w:iCs/>
        </w:rPr>
        <w:t>repräsentiert wird</w:t>
      </w:r>
      <w:r>
        <w:rPr>
          <w:iCs/>
        </w:rPr>
        <w:t>, dass die Blendung nicht durch andere Gründe (etwa den Kontext, etwa wenn der S</w:t>
      </w:r>
      <w:r w:rsidR="00DD45B2">
        <w:rPr>
          <w:iCs/>
        </w:rPr>
        <w:t>W</w:t>
      </w:r>
      <w:r>
        <w:rPr>
          <w:iCs/>
        </w:rPr>
        <w:t xml:space="preserve"> </w:t>
      </w:r>
      <w:r w:rsidR="00E74D2B">
        <w:rPr>
          <w:iCs/>
        </w:rPr>
        <w:t xml:space="preserve">zuvor länger im Dunkeln war, oder der </w:t>
      </w:r>
      <w:r>
        <w:rPr>
          <w:iCs/>
        </w:rPr>
        <w:t>Funktion, etwa bei Scheinwerfern auf einer Bühne</w:t>
      </w:r>
      <w:r w:rsidR="00E74D2B">
        <w:rPr>
          <w:iCs/>
        </w:rPr>
        <w:t>) ergibt, sondern aus einer Merkmalsregel entsteht, handelt es sich um ein Ergebnis der Stilinterpret</w:t>
      </w:r>
      <w:r w:rsidR="00E74D2B">
        <w:rPr>
          <w:iCs/>
        </w:rPr>
        <w:t>a</w:t>
      </w:r>
      <w:r w:rsidR="00E74D2B">
        <w:rPr>
          <w:iCs/>
        </w:rPr>
        <w:t xml:space="preserve">tion. Hier tritt dieses Ergebnis als „Eindruck“, das heißt als nicht-propositionale </w:t>
      </w:r>
      <w:r w:rsidR="000623FF">
        <w:rPr>
          <w:iCs/>
        </w:rPr>
        <w:t xml:space="preserve">mentale </w:t>
      </w:r>
      <w:r w:rsidR="00E74D2B">
        <w:rPr>
          <w:iCs/>
        </w:rPr>
        <w:t>Repräsentation</w:t>
      </w:r>
      <w:r w:rsidR="005D7996">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rsidR="005D7996">
        <w:fldChar w:fldCharType="end"/>
      </w:r>
      <w:r w:rsidR="00E74D2B">
        <w:rPr>
          <w:iCs/>
        </w:rPr>
        <w:t>,</w:t>
      </w:r>
      <w:r w:rsidR="00E74D2B">
        <w:rPr>
          <w:rStyle w:val="Funotenzeichen"/>
          <w:iCs/>
        </w:rPr>
        <w:footnoteReference w:id="414"/>
      </w:r>
      <w:r w:rsidR="00E74D2B">
        <w:rPr>
          <w:iCs/>
        </w:rPr>
        <w:t xml:space="preserve"> auf: Der S</w:t>
      </w:r>
      <w:r w:rsidR="00DD45B2">
        <w:rPr>
          <w:iCs/>
        </w:rPr>
        <w:t>W</w:t>
      </w:r>
      <w:r w:rsidR="00E74D2B">
        <w:rPr>
          <w:iCs/>
        </w:rPr>
        <w:t xml:space="preserve"> hat diesen Zusammenhang zwar wahrg</w:t>
      </w:r>
      <w:r w:rsidR="00E74D2B">
        <w:rPr>
          <w:iCs/>
        </w:rPr>
        <w:t>e</w:t>
      </w:r>
      <w:r w:rsidR="00E74D2B">
        <w:rPr>
          <w:iCs/>
        </w:rPr>
        <w:t>nommen, aber nicht für sich in Worte gefasst.</w:t>
      </w:r>
    </w:p>
    <w:p w:rsidR="00C65D81" w:rsidRDefault="0043265C" w:rsidP="00C65D81">
      <w:pPr>
        <w:pStyle w:val="Titel5"/>
      </w:pPr>
      <w:bookmarkStart w:id="306" w:name="_Ref260072285"/>
      <w:bookmarkStart w:id="307" w:name="_Toc325456767"/>
      <w:r>
        <w:t>Ohne früher</w:t>
      </w:r>
      <w:r w:rsidR="004C6A54">
        <w:t>e</w:t>
      </w:r>
      <w:r>
        <w:t xml:space="preserve"> </w:t>
      </w:r>
      <w:r w:rsidR="00C65D81">
        <w:t xml:space="preserve">Ergebnisse, mit </w:t>
      </w:r>
      <w:r w:rsidR="00C65D81" w:rsidRPr="009B6406">
        <w:t>H</w:t>
      </w:r>
      <w:r w:rsidR="00C65D81">
        <w:t>intergrundwissen</w:t>
      </w:r>
      <w:bookmarkEnd w:id="306"/>
      <w:bookmarkEnd w:id="307"/>
    </w:p>
    <w:p w:rsidR="00C65D81" w:rsidRDefault="00C65D81" w:rsidP="00286FC2">
      <w:pPr>
        <w:pStyle w:val="Interpretation1Zeile"/>
      </w:pPr>
      <w:r>
        <w:t>1.</w:t>
      </w:r>
      <w:r>
        <w:tab/>
        <w:t>Verhaltensschema ‚Arbeiten‘</w:t>
      </w:r>
    </w:p>
    <w:p w:rsidR="00C65D81" w:rsidRDefault="00C65D81" w:rsidP="00286FC2">
      <w:pPr>
        <w:pStyle w:val="Interpretation"/>
      </w:pPr>
      <w:r>
        <w:rPr>
          <w:i/>
        </w:rPr>
        <w:t>U</w:t>
      </w:r>
      <w:r>
        <w:t>(</w:t>
      </w:r>
      <w:r>
        <w:rPr>
          <w:i/>
        </w:rPr>
        <w:t>B</w:t>
      </w:r>
      <w:r w:rsidR="003D5622" w:rsidRPr="00F20FC6">
        <w:rPr>
          <w:vertAlign w:val="subscript"/>
        </w:rPr>
        <w:t>1</w:t>
      </w:r>
      <w:r>
        <w:t xml:space="preserve">): ‚Arbeitspause‘, </w:t>
      </w:r>
      <w:r>
        <w:rPr>
          <w:i/>
        </w:rPr>
        <w:t>V</w:t>
      </w:r>
      <w:r>
        <w:t>(</w:t>
      </w:r>
      <w:r>
        <w:rPr>
          <w:i/>
        </w:rPr>
        <w:t>B</w:t>
      </w:r>
      <w:r w:rsidR="003D5622" w:rsidRPr="00F20FC6">
        <w:rPr>
          <w:vertAlign w:val="subscript"/>
        </w:rPr>
        <w:t>1</w:t>
      </w:r>
      <w:r>
        <w:t>): ‚[</w:t>
      </w:r>
      <w:r w:rsidR="006567E5">
        <w:t>h-rel</w:t>
      </w:r>
      <w:r>
        <w:t>] wird immer dann eingelegt, wenn der S</w:t>
      </w:r>
      <w:r w:rsidR="0085753F">
        <w:t>N</w:t>
      </w:r>
      <w:r>
        <w:t xml:space="preserve"> erst</w:t>
      </w:r>
      <w:r w:rsidR="007174AF">
        <w:t xml:space="preserve"> kurz ins Arbeiten gekommen ist;</w:t>
      </w:r>
      <w:r>
        <w:t xml:space="preserve"> [</w:t>
      </w:r>
      <w:r w:rsidR="006567E5">
        <w:t>h-rel</w:t>
      </w:r>
      <w:r>
        <w:t>] richtet sich nach der Länge der vorhergehenden Arbeitsphase</w:t>
      </w:r>
      <w:r w:rsidR="00B3017D">
        <w:t>; überdurchschnittlich häufig; unterdurchschnit</w:t>
      </w:r>
      <w:r w:rsidR="00B3017D">
        <w:t>t</w:t>
      </w:r>
      <w:r w:rsidR="00B3017D">
        <w:t>lich lang</w:t>
      </w:r>
      <w:r>
        <w:t>‘</w:t>
      </w:r>
    </w:p>
    <w:p w:rsidR="00C65D81" w:rsidRPr="00E27336" w:rsidRDefault="00C65D81" w:rsidP="00286FC2">
      <w:pPr>
        <w:pStyle w:val="Formel"/>
        <w:rPr>
          <w:sz w:val="22"/>
        </w:rPr>
      </w:pPr>
      <w:r>
        <w:rPr>
          <w:i/>
          <w:iCs/>
        </w:rPr>
        <w:t>B</w:t>
      </w:r>
      <w:r w:rsidR="003D5622" w:rsidRPr="00F20FC6">
        <w:rPr>
          <w:iCs/>
          <w:vertAlign w:val="subscript"/>
        </w:rPr>
        <w:t>1</w:t>
      </w:r>
      <w:r>
        <w:t xml:space="preserve"> </w:t>
      </w:r>
      <w:r w:rsidR="002434D2">
        <w:rPr>
          <w:rFonts w:ascii="Cambria Math" w:eastAsia="Arial Unicode MS" w:hAnsi="Cambria Math" w:cs="Cambria Math"/>
          <w:color w:val="000000" w:themeColor="text1"/>
        </w:rPr>
        <w:t>⤳</w:t>
      </w:r>
      <w:r w:rsidR="007F3125">
        <w:rPr>
          <w:vertAlign w:val="subscript"/>
        </w:rPr>
        <w:t>Edr</w:t>
      </w:r>
      <w:r>
        <w:t xml:space="preserve"> </w:t>
      </w:r>
      <w:r w:rsidR="007F3125">
        <w:t xml:space="preserve"> </w:t>
      </w:r>
      <w:r>
        <w:rPr>
          <w:i/>
          <w:iCs/>
        </w:rPr>
        <w:t>Er</w:t>
      </w:r>
      <w:r>
        <w:rPr>
          <w:vertAlign w:val="subscript"/>
        </w:rPr>
        <w:t>1</w:t>
      </w:r>
    </w:p>
    <w:p w:rsidR="00C65D81" w:rsidRDefault="00C65D81" w:rsidP="00286FC2">
      <w:pPr>
        <w:pStyle w:val="Interpretation"/>
        <w:rPr>
          <w:i/>
        </w:rPr>
      </w:pPr>
      <w:r>
        <w:rPr>
          <w:i/>
        </w:rPr>
        <w:t>Er</w:t>
      </w:r>
      <w:r w:rsidRPr="00F20FC6">
        <w:rPr>
          <w:vertAlign w:val="subscript"/>
        </w:rPr>
        <w:t>1</w:t>
      </w:r>
      <w:r w:rsidR="00977848">
        <w:t xml:space="preserve"> (e)</w:t>
      </w:r>
      <w:r>
        <w:t>: ‚</w:t>
      </w:r>
      <w:r w:rsidR="0085753F">
        <w:t xml:space="preserve">SN </w:t>
      </w:r>
      <w:r>
        <w:t>nimmt die Arbeit nicht ernst, ist also untermotiviert‘</w:t>
      </w:r>
    </w:p>
    <w:p w:rsidR="00C65D81" w:rsidRDefault="00C65D81" w:rsidP="00286FC2">
      <w:pPr>
        <w:pStyle w:val="Interpretation"/>
      </w:pPr>
      <w:r>
        <w:rPr>
          <w:i/>
        </w:rPr>
        <w:t>H</w:t>
      </w:r>
      <w:r w:rsidRPr="00F20FC6">
        <w:rPr>
          <w:vertAlign w:val="subscript"/>
        </w:rPr>
        <w:t>1</w:t>
      </w:r>
      <w:r w:rsidR="00A71199">
        <w:t xml:space="preserve"> [zum Schema]:</w:t>
      </w:r>
      <w:r>
        <w:t xml:space="preserve"> ‚Wenn jemand immer dann zu arbeiten aufhört, wenn er erst kurz ins Arbeiten gekomme</w:t>
      </w:r>
      <w:r w:rsidR="00977848">
        <w:t>n ist, kann dies auf Übermotivation</w:t>
      </w:r>
      <w:r>
        <w:t xml:space="preserve"> und dadurch zu große Anspannung zurückzuführen sein, wodurch konzentriertes Arbeiten u</w:t>
      </w:r>
      <w:r>
        <w:t>n</w:t>
      </w:r>
      <w:r>
        <w:t xml:space="preserve">möglich wird (vgl. </w:t>
      </w:r>
      <w:r w:rsidR="00F779E5" w:rsidRPr="00F779E5">
        <w:rPr>
          <w:bCs/>
        </w:rPr>
        <w:t>Csíkszentmihályi</w:t>
      </w:r>
      <w:r w:rsidR="00F779E5">
        <w:rPr>
          <w:bCs/>
        </w:rPr>
        <w:t>s</w:t>
      </w:r>
      <w:r w:rsidR="00F779E5" w:rsidRPr="00F779E5">
        <w:t xml:space="preserve"> </w:t>
      </w:r>
      <w:r w:rsidR="00F779E5">
        <w:t>Flow-Theorie</w:t>
      </w:r>
      <w:r>
        <w:t>)‘</w:t>
      </w:r>
    </w:p>
    <w:p w:rsidR="00C65D81" w:rsidRDefault="00C65D81" w:rsidP="00286FC2">
      <w:pPr>
        <w:pStyle w:val="Interpretation"/>
      </w:pPr>
      <w:r>
        <w:rPr>
          <w:i/>
        </w:rPr>
        <w:t>H</w:t>
      </w:r>
      <w:r>
        <w:rPr>
          <w:vertAlign w:val="subscript"/>
        </w:rPr>
        <w:t>2</w:t>
      </w:r>
      <w:r w:rsidR="00A71199">
        <w:t xml:space="preserve"> [zum Schema]</w:t>
      </w:r>
      <w:r>
        <w:t>: ‚Häufige, aber kur</w:t>
      </w:r>
      <w:r w:rsidR="00977848">
        <w:t>ze Pausen können auf Übermotivation</w:t>
      </w:r>
      <w:r>
        <w:t xml:space="preserve"> und dadurch zu große Anspannung hindeuten: In der Pause besteht aufgrund von </w:t>
      </w:r>
      <w:r>
        <w:lastRenderedPageBreak/>
        <w:t>Unruhe das Bedürfnis, weiterzumachen, bei der Arbeit aufgrund von Erschö</w:t>
      </w:r>
      <w:r>
        <w:t>p</w:t>
      </w:r>
      <w:r>
        <w:t>fung das Bedürfnis, aufzuhören‘</w:t>
      </w:r>
    </w:p>
    <w:p w:rsidR="00C65D81" w:rsidRDefault="00C65D81" w:rsidP="00286FC2">
      <w:pPr>
        <w:pStyle w:val="Formel"/>
      </w:pPr>
      <w:r>
        <w:rPr>
          <w:i/>
          <w:iCs/>
        </w:rPr>
        <w:t>B</w:t>
      </w:r>
      <w:r w:rsidR="003D5622" w:rsidRPr="00F20FC6">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sidRPr="00F20FC6">
        <w:rPr>
          <w:iCs/>
          <w:vertAlign w:val="subscript"/>
        </w:rPr>
        <w:t>1</w:t>
      </w:r>
      <w:r w:rsidR="001B6A44">
        <w:rPr>
          <w:iCs/>
        </w:rP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2</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126495">
        <w:rPr>
          <w:vertAlign w:val="subscript"/>
        </w:rPr>
        <w:t>D</w:t>
      </w:r>
      <w:r w:rsidR="00126495" w:rsidRPr="00253434">
        <w:rPr>
          <w:vertAlign w:val="subscript"/>
        </w:rPr>
        <w:t>ed</w:t>
      </w:r>
      <w:r>
        <w:t xml:space="preserve"> </w:t>
      </w:r>
      <w:r w:rsidR="00126495">
        <w:t xml:space="preserve"> </w:t>
      </w:r>
      <w:r>
        <w:rPr>
          <w:i/>
          <w:iCs/>
        </w:rPr>
        <w:t>Er</w:t>
      </w:r>
      <w:r>
        <w:rPr>
          <w:vertAlign w:val="subscript"/>
        </w:rPr>
        <w:t>2</w:t>
      </w:r>
    </w:p>
    <w:p w:rsidR="00745EAB" w:rsidRDefault="00745EAB" w:rsidP="00286FC2">
      <w:pPr>
        <w:pStyle w:val="Interpretation"/>
      </w:pPr>
      <w:r>
        <w:rPr>
          <w:i/>
        </w:rPr>
        <w:t>Er</w:t>
      </w:r>
      <w:r>
        <w:rPr>
          <w:vertAlign w:val="subscript"/>
        </w:rPr>
        <w:t>2</w:t>
      </w:r>
      <w:r>
        <w:t>: ‚</w:t>
      </w:r>
      <w:r w:rsidR="0085753F">
        <w:t xml:space="preserve">SN </w:t>
      </w:r>
      <w:r>
        <w:t xml:space="preserve">ist vermutlich übermotiviert und dadurch zu angespannt‘ </w:t>
      </w:r>
    </w:p>
    <w:p w:rsidR="00C65D81" w:rsidRPr="00E27336" w:rsidRDefault="00C65D81" w:rsidP="00286FC2">
      <w:pPr>
        <w:pStyle w:val="Formel"/>
        <w:rPr>
          <w:sz w:val="22"/>
        </w:rPr>
      </w:pPr>
      <w:r>
        <w:rPr>
          <w:i/>
          <w:iCs/>
        </w:rPr>
        <w:t>B</w:t>
      </w:r>
      <w:r w:rsidR="003D5622" w:rsidRPr="00F20FC6">
        <w:rPr>
          <w:iCs/>
          <w:vertAlign w:val="subscript"/>
        </w:rPr>
        <w:t>1</w:t>
      </w:r>
      <w:r>
        <w:t xml:space="preserve"> </w:t>
      </w:r>
      <w:r w:rsidR="002434D2">
        <w:rPr>
          <w:rFonts w:ascii="Cambria Math" w:eastAsia="Arial Unicode MS" w:hAnsi="Cambria Math" w:cs="Cambria Math"/>
          <w:color w:val="000000" w:themeColor="text1"/>
        </w:rPr>
        <w:t>⤳</w:t>
      </w:r>
      <w:r w:rsidR="007F3125">
        <w:rPr>
          <w:vertAlign w:val="subscript"/>
        </w:rPr>
        <w:t>Ass</w:t>
      </w:r>
      <w:r>
        <w:t xml:space="preserve"> </w:t>
      </w:r>
      <w:r w:rsidR="007F3125">
        <w:t xml:space="preserve"> </w:t>
      </w:r>
      <w:r>
        <w:rPr>
          <w:i/>
          <w:iCs/>
        </w:rPr>
        <w:t>Er</w:t>
      </w:r>
      <w:r>
        <w:rPr>
          <w:vertAlign w:val="subscript"/>
        </w:rPr>
        <w:t>3</w:t>
      </w:r>
    </w:p>
    <w:p w:rsidR="00745EAB" w:rsidRDefault="00745EAB" w:rsidP="00286FC2">
      <w:pPr>
        <w:pStyle w:val="Interpretation"/>
      </w:pPr>
      <w:r>
        <w:rPr>
          <w:i/>
        </w:rPr>
        <w:t>Er</w:t>
      </w:r>
      <w:r>
        <w:rPr>
          <w:vertAlign w:val="subscript"/>
        </w:rPr>
        <w:t>3</w:t>
      </w:r>
      <w:r>
        <w:t>: ‚</w:t>
      </w:r>
      <w:r w:rsidR="0085753F">
        <w:t xml:space="preserve">SN </w:t>
      </w:r>
      <w:r>
        <w:t>reagiert angemessen, indem er die Pausen an die Länge der vorgehenden Arbeitsphase anpasst‘</w:t>
      </w:r>
    </w:p>
    <w:p w:rsidR="00C65D81" w:rsidRPr="00E27336" w:rsidRDefault="00C65D81" w:rsidP="00286FC2">
      <w:pPr>
        <w:pStyle w:val="Formel"/>
        <w:rPr>
          <w:sz w:val="22"/>
        </w:rPr>
      </w:pPr>
      <w:r>
        <w:rPr>
          <w:i/>
          <w:iCs/>
        </w:rPr>
        <w:t>Er</w:t>
      </w:r>
      <w:r>
        <w:rPr>
          <w:vertAlign w:val="subscript"/>
        </w:rPr>
        <w:t>3</w:t>
      </w:r>
      <w:r>
        <w:t xml:space="preserve"> </w:t>
      </w:r>
      <w:r w:rsidR="002434D2">
        <w:rPr>
          <w:rFonts w:ascii="Cambria Math" w:eastAsia="Arial Unicode MS" w:hAnsi="Cambria Math" w:cs="Cambria Math"/>
          <w:color w:val="000000" w:themeColor="text1"/>
        </w:rPr>
        <w:t>⤳</w:t>
      </w:r>
      <w:r w:rsidR="007F3125">
        <w:rPr>
          <w:vertAlign w:val="subscript"/>
        </w:rPr>
        <w:t>Ind</w:t>
      </w:r>
      <w:r>
        <w:t xml:space="preserve"> </w:t>
      </w:r>
      <w:r w:rsidR="007F3125">
        <w:t xml:space="preserve"> </w:t>
      </w:r>
      <w:r>
        <w:rPr>
          <w:i/>
          <w:iCs/>
        </w:rPr>
        <w:t>Er</w:t>
      </w:r>
      <w:r>
        <w:rPr>
          <w:vertAlign w:val="subscript"/>
        </w:rPr>
        <w:t>4</w:t>
      </w:r>
    </w:p>
    <w:p w:rsidR="00745EAB" w:rsidRDefault="00745EAB" w:rsidP="00286FC2">
      <w:pPr>
        <w:pStyle w:val="Interpretation"/>
      </w:pPr>
      <w:r>
        <w:rPr>
          <w:i/>
        </w:rPr>
        <w:t>Er</w:t>
      </w:r>
      <w:r>
        <w:rPr>
          <w:vertAlign w:val="subscript"/>
        </w:rPr>
        <w:t>4</w:t>
      </w:r>
      <w:r>
        <w:t>: ‚</w:t>
      </w:r>
      <w:r w:rsidR="0085753F">
        <w:t xml:space="preserve">SN </w:t>
      </w:r>
      <w:r>
        <w:t>verhält sich möglicherweise in allen Aspekten seiner Arbeitsweise a</w:t>
      </w:r>
      <w:r>
        <w:t>n</w:t>
      </w:r>
      <w:r>
        <w:t>gemessen‘</w:t>
      </w:r>
      <w:r w:rsidR="00D2493B">
        <w:rPr>
          <w:rStyle w:val="Funotenzeichen"/>
        </w:rPr>
        <w:footnoteReference w:id="415"/>
      </w:r>
    </w:p>
    <w:p w:rsidR="00C65D81" w:rsidRDefault="00C65D81" w:rsidP="00286FC2">
      <w:pPr>
        <w:pStyle w:val="Interpretation"/>
        <w:rPr>
          <w:i/>
        </w:rPr>
      </w:pPr>
      <w:r>
        <w:rPr>
          <w:i/>
        </w:rPr>
        <w:t>H</w:t>
      </w:r>
      <w:r>
        <w:rPr>
          <w:vertAlign w:val="subscript"/>
        </w:rPr>
        <w:t>3</w:t>
      </w:r>
      <w:r w:rsidR="00A71199">
        <w:t xml:space="preserve"> [zum Schema]</w:t>
      </w:r>
      <w:r>
        <w:t>: ‚Pausen nach relativ kurzer Arbeitsdauer sind angemessen, wenn jemand besonders schnell erschöpft ist‘</w:t>
      </w:r>
    </w:p>
    <w:p w:rsidR="00C65D81" w:rsidRPr="00E27336" w:rsidRDefault="00C65D81" w:rsidP="00286FC2">
      <w:pPr>
        <w:pStyle w:val="Formel"/>
        <w:rPr>
          <w:sz w:val="22"/>
        </w:rPr>
      </w:pPr>
      <w:r>
        <w:rPr>
          <w:i/>
          <w:iCs/>
        </w:rPr>
        <w:t>B</w:t>
      </w:r>
      <w:r w:rsidR="003D5622" w:rsidRPr="00F20FC6">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3</w:t>
      </w:r>
      <w:r w:rsidR="001B6A44">
        <w:rPr>
          <w:iCs/>
        </w:rP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4</w:t>
      </w:r>
      <w:r w:rsidR="003D5622">
        <w:t xml:space="preserve"> </w:t>
      </w:r>
      <w:r w:rsidR="003D5622" w:rsidRPr="00D41E3E">
        <w:rPr>
          <w:rFonts w:ascii="Cambria Math" w:hAnsi="Cambria Math" w:cs="Cambria Math"/>
        </w:rPr>
        <w:t>∧</w:t>
      </w:r>
      <w:r w:rsidR="003D5622" w:rsidRPr="00D41E3E">
        <w:rPr>
          <w:rFonts w:cs="Times New Roman"/>
        </w:rPr>
        <w:t xml:space="preserve"> </w:t>
      </w:r>
      <w:r w:rsidR="003D5622">
        <w:rPr>
          <w:i/>
          <w:iCs/>
        </w:rPr>
        <w:t>H</w:t>
      </w:r>
      <w:r w:rsidR="003D5622">
        <w:rPr>
          <w:iCs/>
          <w:vertAlign w:val="subscript"/>
        </w:rPr>
        <w:t>3</w:t>
      </w:r>
      <w:r w:rsidR="003D5622">
        <w:t xml:space="preserve"> </w:t>
      </w:r>
      <w:r w:rsidR="002434D2">
        <w:rPr>
          <w:rFonts w:ascii="Cambria Math" w:eastAsia="Arial Unicode MS" w:hAnsi="Cambria Math" w:cs="Cambria Math"/>
          <w:color w:val="000000" w:themeColor="text1"/>
        </w:rPr>
        <w:t>⤳</w:t>
      </w:r>
      <w:r>
        <w:rPr>
          <w:vertAlign w:val="subscript"/>
        </w:rPr>
        <w:t>D</w:t>
      </w:r>
      <w:r w:rsidRPr="00253434">
        <w:rPr>
          <w:vertAlign w:val="subscript"/>
        </w:rPr>
        <w:t>ed</w:t>
      </w:r>
      <w:r>
        <w:t xml:space="preserve">  </w:t>
      </w:r>
      <w:r>
        <w:rPr>
          <w:i/>
          <w:iCs/>
        </w:rPr>
        <w:t>Er</w:t>
      </w:r>
      <w:r>
        <w:rPr>
          <w:vertAlign w:val="subscript"/>
        </w:rPr>
        <w:t>5</w:t>
      </w:r>
    </w:p>
    <w:p w:rsidR="00745EAB" w:rsidRDefault="00745EAB" w:rsidP="00286FC2">
      <w:pPr>
        <w:pStyle w:val="InterpretationletzteZeile"/>
      </w:pPr>
      <w:r>
        <w:rPr>
          <w:i/>
        </w:rPr>
        <w:t>Er</w:t>
      </w:r>
      <w:r>
        <w:rPr>
          <w:vertAlign w:val="subscript"/>
        </w:rPr>
        <w:t>5</w:t>
      </w:r>
      <w:r>
        <w:t>: ‚</w:t>
      </w:r>
      <w:r w:rsidR="0085753F">
        <w:t xml:space="preserve">SN </w:t>
      </w:r>
      <w:r>
        <w:t>benötigt häufige Pausen. Die Pausenlänge wird an den Erschöpfung</w:t>
      </w:r>
      <w:r>
        <w:t>s</w:t>
      </w:r>
      <w:r>
        <w:t>grad angepasst‘</w:t>
      </w:r>
    </w:p>
    <w:p w:rsidR="00C65D81" w:rsidRDefault="00C65D81" w:rsidP="00286FC2">
      <w:pPr>
        <w:pStyle w:val="Text"/>
        <w:ind w:firstLine="0"/>
      </w:pPr>
      <w:r>
        <w:t xml:space="preserve">Der unmittelbar entstehende Eindruck </w:t>
      </w:r>
      <w:r>
        <w:rPr>
          <w:i/>
          <w:iCs/>
        </w:rPr>
        <w:t>Er</w:t>
      </w:r>
      <w:r>
        <w:rPr>
          <w:vertAlign w:val="subscript"/>
        </w:rPr>
        <w:t>1</w:t>
      </w:r>
      <w:r>
        <w:t xml:space="preserve"> steht in Widerspruch zu der unter Hinzuziehung von Hintergrundwissen deduktiv gewonnenen Überlegung </w:t>
      </w:r>
      <w:r>
        <w:rPr>
          <w:i/>
          <w:iCs/>
        </w:rPr>
        <w:t>Er</w:t>
      </w:r>
      <w:r>
        <w:rPr>
          <w:vertAlign w:val="subscript"/>
        </w:rPr>
        <w:t>2</w:t>
      </w:r>
      <w:r>
        <w:t>. Trotzdem gehören beide zur stilistischen Interpretation im hier definierten Sinn, da darunter nicht eine endgültige, von Widersprüchen bereinigte Ergebnismenge, sondern alle Ergebnisse der Interpretation fallen.</w:t>
      </w:r>
      <w:r w:rsidR="00B13C20">
        <w:t xml:space="preserve"> An dieser Stelle kann eines der beiden Ergebnisse explizit für ungültig erklärt werden,</w:t>
      </w:r>
      <w:bookmarkStart w:id="308" w:name="_Ref260657034"/>
      <w:r w:rsidR="00B13C20">
        <w:rPr>
          <w:rStyle w:val="Funotenzeichen"/>
        </w:rPr>
        <w:footnoteReference w:id="416"/>
      </w:r>
      <w:bookmarkEnd w:id="308"/>
      <w:r w:rsidR="00B13C20">
        <w:t xml:space="preserve"> oder der Widerspruch wird für eine zukünftige Klärung offengehalten.</w:t>
      </w:r>
    </w:p>
    <w:p w:rsidR="00C65D81" w:rsidRDefault="00C65D81" w:rsidP="00C65D81">
      <w:pPr>
        <w:pStyle w:val="Text"/>
      </w:pPr>
      <w:r>
        <w:rPr>
          <w:i/>
          <w:iCs/>
        </w:rPr>
        <w:lastRenderedPageBreak/>
        <w:t>Er</w:t>
      </w:r>
      <w:r>
        <w:rPr>
          <w:vertAlign w:val="subscript"/>
        </w:rPr>
        <w:t>5</w:t>
      </w:r>
      <w:r>
        <w:t xml:space="preserve"> liefert eine weitere Erklärung, die mit </w:t>
      </w:r>
      <w:r>
        <w:rPr>
          <w:i/>
          <w:iCs/>
        </w:rPr>
        <w:t>Er</w:t>
      </w:r>
      <w:r>
        <w:rPr>
          <w:vertAlign w:val="subscript"/>
        </w:rPr>
        <w:t>1</w:t>
      </w:r>
      <w:r>
        <w:t xml:space="preserve"> oder mit </w:t>
      </w:r>
      <w:r>
        <w:rPr>
          <w:i/>
          <w:iCs/>
        </w:rPr>
        <w:t>Er</w:t>
      </w:r>
      <w:r>
        <w:rPr>
          <w:vertAlign w:val="subscript"/>
        </w:rPr>
        <w:t>2</w:t>
      </w:r>
      <w:r>
        <w:t xml:space="preserve"> kompatibel ist. </w:t>
      </w:r>
      <w:r>
        <w:rPr>
          <w:i/>
          <w:iCs/>
        </w:rPr>
        <w:t>Er</w:t>
      </w:r>
      <w:r>
        <w:rPr>
          <w:vertAlign w:val="subscript"/>
        </w:rPr>
        <w:t>5</w:t>
      </w:r>
      <w:r>
        <w:t xml:space="preserve"> liefert jedoch für sich genommen bereits eine Erklärung aller vier beobacht</w:t>
      </w:r>
      <w:r>
        <w:t>e</w:t>
      </w:r>
      <w:r>
        <w:t xml:space="preserve">ten Eigenschaften, während </w:t>
      </w:r>
      <w:r>
        <w:rPr>
          <w:i/>
          <w:iCs/>
        </w:rPr>
        <w:t>Er</w:t>
      </w:r>
      <w:r>
        <w:rPr>
          <w:vertAlign w:val="subscript"/>
        </w:rPr>
        <w:t>1</w:t>
      </w:r>
      <w:r>
        <w:t xml:space="preserve"> nur die ersten beiden, </w:t>
      </w:r>
      <w:r>
        <w:rPr>
          <w:i/>
          <w:iCs/>
        </w:rPr>
        <w:t>Er</w:t>
      </w:r>
      <w:r>
        <w:rPr>
          <w:vertAlign w:val="subscript"/>
        </w:rPr>
        <w:t>2</w:t>
      </w:r>
      <w:r>
        <w:t xml:space="preserve"> nur die ersten drei Eigenschaften erklären kann. Daher könnte bei einer Abwägung zwischen den drei Ergebnissen auf </w:t>
      </w:r>
      <w:r>
        <w:rPr>
          <w:i/>
          <w:iCs/>
        </w:rPr>
        <w:t>Er</w:t>
      </w:r>
      <w:r>
        <w:rPr>
          <w:vertAlign w:val="subscript"/>
        </w:rPr>
        <w:t>1</w:t>
      </w:r>
      <w:r>
        <w:t xml:space="preserve"> und </w:t>
      </w:r>
      <w:r>
        <w:rPr>
          <w:i/>
          <w:iCs/>
        </w:rPr>
        <w:t>Er</w:t>
      </w:r>
      <w:r>
        <w:rPr>
          <w:vertAlign w:val="subscript"/>
        </w:rPr>
        <w:t>2</w:t>
      </w:r>
      <w:r>
        <w:t xml:space="preserve"> verzichtet werden: Die Postulierung eines b</w:t>
      </w:r>
      <w:r>
        <w:t>e</w:t>
      </w:r>
      <w:r>
        <w:t xml:space="preserve">stimmten Motivationsgrads wird unnötig, wenn stattdessen </w:t>
      </w:r>
      <w:r w:rsidR="006253D1">
        <w:t xml:space="preserve">die </w:t>
      </w:r>
      <w:r w:rsidR="00D33A1D">
        <w:t xml:space="preserve">Angemessenheit </w:t>
      </w:r>
      <w:r w:rsidR="006253D1">
        <w:t xml:space="preserve">der Pausen angenommen </w:t>
      </w:r>
      <w:r w:rsidR="00FA3C95">
        <w:t xml:space="preserve">und ihre </w:t>
      </w:r>
      <w:r w:rsidR="006253D1">
        <w:t xml:space="preserve">Häufigkeit auf </w:t>
      </w:r>
      <w:r w:rsidR="00F32FC5">
        <w:t>besonders schnelle</w:t>
      </w:r>
      <w:r w:rsidR="006253D1">
        <w:t xml:space="preserve"> Erschö</w:t>
      </w:r>
      <w:r w:rsidR="006253D1">
        <w:t>p</w:t>
      </w:r>
      <w:r w:rsidR="006253D1">
        <w:t>fung des SN zurückgeführt wird.</w:t>
      </w:r>
    </w:p>
    <w:p w:rsidR="00C65D81" w:rsidRDefault="00C65D81" w:rsidP="00286FC2">
      <w:pPr>
        <w:pStyle w:val="Interpretation1Zeile"/>
      </w:pPr>
      <w:r>
        <w:t>2.</w:t>
      </w:r>
      <w:r>
        <w:tab/>
        <w:t>Verhaltens-/</w:t>
      </w:r>
      <w:r w:rsidRPr="00F8759D">
        <w:t>Artefakt</w:t>
      </w:r>
      <w:r>
        <w:t>-/Text</w:t>
      </w:r>
      <w:r w:rsidRPr="00F8759D">
        <w:t xml:space="preserve">schema </w:t>
      </w:r>
      <w:r>
        <w:rPr>
          <w:i/>
        </w:rPr>
        <w:t>S</w:t>
      </w:r>
      <w:r>
        <w:rPr>
          <w:i/>
          <w:vertAlign w:val="subscript"/>
        </w:rPr>
        <w:t>i</w:t>
      </w:r>
    </w:p>
    <w:p w:rsidR="00C65D81" w:rsidRDefault="00C65D81" w:rsidP="00FB3840">
      <w:pPr>
        <w:pStyle w:val="Interpretation"/>
      </w:pPr>
      <w:r w:rsidRPr="00F8759D">
        <w:rPr>
          <w:i/>
        </w:rPr>
        <w:t>U</w:t>
      </w:r>
      <w:r w:rsidRPr="00F8759D">
        <w:t>(</w:t>
      </w:r>
      <w:r w:rsidRPr="00F8759D">
        <w:rPr>
          <w:i/>
        </w:rPr>
        <w:t>B</w:t>
      </w:r>
      <w:r w:rsidR="00F72E9C" w:rsidRPr="003D50E0">
        <w:rPr>
          <w:vertAlign w:val="subscript"/>
        </w:rPr>
        <w:t>1</w:t>
      </w:r>
      <w:r>
        <w:t xml:space="preserve">): </w:t>
      </w:r>
      <w:r w:rsidR="00923E92">
        <w:t>‚[</w:t>
      </w:r>
      <w:r w:rsidR="002D15C0">
        <w:rPr>
          <w:i/>
        </w:rPr>
        <w:t>O</w:t>
      </w:r>
      <w:r w:rsidR="002D15C0">
        <w:rPr>
          <w:i/>
          <w:vertAlign w:val="subscript"/>
        </w:rPr>
        <w:t>j</w:t>
      </w:r>
      <w:r w:rsidR="002D15C0">
        <w:t>(</w:t>
      </w:r>
      <w:r w:rsidR="002D15C0">
        <w:rPr>
          <w:i/>
        </w:rPr>
        <w:t>S</w:t>
      </w:r>
      <w:r w:rsidR="002D15C0">
        <w:rPr>
          <w:i/>
          <w:vertAlign w:val="subscript"/>
        </w:rPr>
        <w:t>i</w:t>
      </w:r>
      <w:r w:rsidR="002D15C0">
        <w:t>)</w:t>
      </w:r>
      <w:r w:rsidR="00923E92">
        <w:t>]‘,</w:t>
      </w:r>
      <w:r>
        <w:t xml:space="preserve"> </w:t>
      </w:r>
      <w:r w:rsidRPr="00F8759D">
        <w:rPr>
          <w:i/>
        </w:rPr>
        <w:t>V</w:t>
      </w:r>
      <w:r w:rsidRPr="00F8759D">
        <w:t>(</w:t>
      </w:r>
      <w:r w:rsidRPr="00F8759D">
        <w:rPr>
          <w:i/>
        </w:rPr>
        <w:t>B</w:t>
      </w:r>
      <w:r w:rsidR="00F72E9C" w:rsidRPr="003D50E0">
        <w:rPr>
          <w:vertAlign w:val="subscript"/>
        </w:rPr>
        <w:t>1</w:t>
      </w:r>
      <w:r>
        <w:t xml:space="preserve">): </w:t>
      </w:r>
      <w:r w:rsidR="00343CAC">
        <w:t>‚[</w:t>
      </w:r>
      <w:r>
        <w:rPr>
          <w:i/>
        </w:rPr>
        <w:t>E</w:t>
      </w:r>
      <w:r>
        <w:rPr>
          <w:vertAlign w:val="subscript"/>
        </w:rPr>
        <w:t>1</w:t>
      </w:r>
      <w:r>
        <w:t xml:space="preserve">, …, </w:t>
      </w:r>
      <w:r>
        <w:rPr>
          <w:i/>
        </w:rPr>
        <w:t>E</w:t>
      </w:r>
      <w:r w:rsidR="00162A3B">
        <w:rPr>
          <w:i/>
          <w:vertAlign w:val="subscript"/>
        </w:rPr>
        <w:t>x</w:t>
      </w:r>
      <w:r w:rsidR="00343CAC">
        <w:t>]‘</w:t>
      </w:r>
    </w:p>
    <w:p w:rsidR="00C65D81" w:rsidRDefault="00C65D81" w:rsidP="00FB3840">
      <w:pPr>
        <w:pStyle w:val="Interpretation"/>
      </w:pPr>
      <w:r>
        <w:rPr>
          <w:i/>
        </w:rPr>
        <w:t>H</w:t>
      </w:r>
      <w:r w:rsidRPr="003D50E0">
        <w:rPr>
          <w:vertAlign w:val="subscript"/>
        </w:rPr>
        <w:t>1</w:t>
      </w:r>
      <w:r>
        <w:t xml:space="preserve">: </w:t>
      </w:r>
      <w:r w:rsidR="00923E92">
        <w:t>‚</w:t>
      </w:r>
      <w:r w:rsidR="00DD45B2">
        <w:t xml:space="preserve">Personen </w:t>
      </w:r>
      <w:r>
        <w:t xml:space="preserve">mit der Herkunft </w:t>
      </w:r>
      <w:r w:rsidR="00923E92">
        <w:t>aus [Stadt/Region/</w:t>
      </w:r>
      <w:r>
        <w:t>Land/Kultur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923E92">
        <w:t>/Dialekt</w:t>
      </w:r>
      <w:r w:rsidR="00D656AC">
        <w:softHyphen/>
      </w:r>
      <w:r w:rsidR="00923E92">
        <w:t>gruppe/Soziolektgruppe</w:t>
      </w:r>
      <w:r>
        <w:t xml:space="preserve">] </w:t>
      </w:r>
      <w:r w:rsidRPr="00A8744A">
        <w:rPr>
          <w:i/>
        </w:rPr>
        <w:t>x</w:t>
      </w:r>
      <w:r>
        <w:t xml:space="preserve"> führen den Schemaort </w:t>
      </w:r>
      <w:r w:rsidR="002D15C0">
        <w:rPr>
          <w:i/>
        </w:rPr>
        <w:t>O</w:t>
      </w:r>
      <w:r w:rsidR="002D15C0">
        <w:rPr>
          <w:i/>
          <w:vertAlign w:val="subscript"/>
        </w:rPr>
        <w:t>j</w:t>
      </w:r>
      <w:r w:rsidR="002D15C0">
        <w:t xml:space="preserve"> des Schemas </w:t>
      </w:r>
      <w:r w:rsidR="002D15C0">
        <w:rPr>
          <w:i/>
        </w:rPr>
        <w:t>S</w:t>
      </w:r>
      <w:r w:rsidR="002D15C0">
        <w:rPr>
          <w:i/>
          <w:vertAlign w:val="subscript"/>
        </w:rPr>
        <w:t>i</w:t>
      </w:r>
      <w:r w:rsidR="002D15C0">
        <w:t xml:space="preserve"> </w:t>
      </w:r>
      <w:r>
        <w:t>typische</w:t>
      </w:r>
      <w:r>
        <w:t>r</w:t>
      </w:r>
      <w:r>
        <w:t xml:space="preserve">weise mit den Eigenschaften </w:t>
      </w:r>
      <w:r>
        <w:rPr>
          <w:i/>
        </w:rPr>
        <w:t>E</w:t>
      </w:r>
      <w:r>
        <w:rPr>
          <w:vertAlign w:val="subscript"/>
        </w:rPr>
        <w:t>1</w:t>
      </w:r>
      <w:r>
        <w:t xml:space="preserve">, …, </w:t>
      </w:r>
      <w:r>
        <w:rPr>
          <w:i/>
        </w:rPr>
        <w:t>E</w:t>
      </w:r>
      <w:r w:rsidR="00162A3B">
        <w:rPr>
          <w:i/>
          <w:vertAlign w:val="subscript"/>
        </w:rPr>
        <w:t>x</w:t>
      </w:r>
      <w:r w:rsidR="00923E92">
        <w:t xml:space="preserve"> aus‘</w:t>
      </w:r>
    </w:p>
    <w:p w:rsidR="000642FC" w:rsidRPr="00D41E3E" w:rsidRDefault="000642FC" w:rsidP="00FB3840">
      <w:pPr>
        <w:pStyle w:val="Formel"/>
      </w:pPr>
      <w:r>
        <w:rPr>
          <w:i/>
          <w:iCs/>
        </w:rPr>
        <w:t>B</w:t>
      </w:r>
      <w:r w:rsidRPr="00F20FC6">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sidRPr="00F20FC6">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D</w:t>
      </w:r>
      <w:r w:rsidRPr="00253434">
        <w:rPr>
          <w:vertAlign w:val="subscript"/>
        </w:rPr>
        <w:t>ed</w:t>
      </w:r>
      <w:r>
        <w:t xml:space="preserve">  </w:t>
      </w:r>
      <w:r>
        <w:rPr>
          <w:i/>
          <w:iCs/>
        </w:rPr>
        <w:t>Er</w:t>
      </w:r>
      <w:r>
        <w:rPr>
          <w:vertAlign w:val="subscript"/>
        </w:rPr>
        <w:t>1</w:t>
      </w:r>
    </w:p>
    <w:p w:rsidR="00C65D81" w:rsidRDefault="00C65D81" w:rsidP="00FB3840">
      <w:pPr>
        <w:pStyle w:val="InterpretationletzteZeile"/>
      </w:pPr>
      <w:r>
        <w:rPr>
          <w:i/>
        </w:rPr>
        <w:t>Er</w:t>
      </w:r>
      <w:r w:rsidRPr="003D50E0">
        <w:rPr>
          <w:vertAlign w:val="subscript"/>
        </w:rPr>
        <w:t>1</w:t>
      </w:r>
      <w:r>
        <w:t>: ‚</w:t>
      </w:r>
      <w:r w:rsidR="0085753F">
        <w:t xml:space="preserve">SN </w:t>
      </w:r>
      <w:r>
        <w:t xml:space="preserve">stammt vermutlich aus </w:t>
      </w:r>
      <w:r w:rsidRPr="00A8744A">
        <w:rPr>
          <w:i/>
        </w:rPr>
        <w:t>x</w:t>
      </w:r>
      <w:r>
        <w:t>‘</w:t>
      </w:r>
    </w:p>
    <w:p w:rsidR="001D062F" w:rsidRDefault="00923E92" w:rsidP="009A301E">
      <w:pPr>
        <w:pStyle w:val="Text"/>
        <w:ind w:firstLine="0"/>
      </w:pPr>
      <w:r>
        <w:t>Hier ist eine allgemeine Darstellung gewählt</w:t>
      </w:r>
      <w:r w:rsidR="00515A89">
        <w:t>, bei der nicht genauer spezifiziert wird, welcher Schemaort welchen Schemas ausgeführt wird</w:t>
      </w:r>
      <w:r w:rsidR="00162A3B">
        <w:t xml:space="preserve"> und welche Eige</w:t>
      </w:r>
      <w:r w:rsidR="00162A3B">
        <w:t>n</w:t>
      </w:r>
      <w:r w:rsidR="00162A3B">
        <w:t xml:space="preserve">schaften verlangt werden: Sofern das Hintergrundwissen zu beidem passt, kann das Ergebnis </w:t>
      </w:r>
      <w:r w:rsidR="00162A3B">
        <w:rPr>
          <w:i/>
          <w:iCs/>
        </w:rPr>
        <w:t>Er</w:t>
      </w:r>
      <w:r w:rsidR="00162A3B" w:rsidRPr="003D50E0">
        <w:rPr>
          <w:vertAlign w:val="subscript"/>
        </w:rPr>
        <w:t>1</w:t>
      </w:r>
      <w:r w:rsidR="00162A3B">
        <w:t xml:space="preserve"> erzeugt werden, das wohl tatsächlich eines der häufigsten E</w:t>
      </w:r>
      <w:r w:rsidR="00162A3B">
        <w:t>r</w:t>
      </w:r>
      <w:r w:rsidR="00162A3B">
        <w:t xml:space="preserve">gebnisse von Stilen etwa bei sprachlichem Ausdruck, beim gesellschaftlichen Auftreten, bei sozialen Gewohnheiten und bei kulturspezifischem Verhalten </w:t>
      </w:r>
      <w:r w:rsidR="00042CD3">
        <w:t>ist</w:t>
      </w:r>
      <w:r w:rsidR="00162A3B">
        <w:t>.</w:t>
      </w:r>
      <w:r w:rsidR="001D062F">
        <w:t xml:space="preserve"> </w:t>
      </w:r>
      <w:r w:rsidR="00304B4B">
        <w:t>A</w:t>
      </w:r>
      <w:r w:rsidR="001D062F">
        <w:t xml:space="preserve">bgeändert liegt dieses Schema dem folgenden Beispiel zugrunde, bei dem </w:t>
      </w:r>
      <w:r w:rsidR="0030107F">
        <w:t xml:space="preserve">mit </w:t>
      </w:r>
      <w:r w:rsidR="001D062F">
        <w:t xml:space="preserve">Hintergrundwissen </w:t>
      </w:r>
      <w:r w:rsidR="0030107F">
        <w:t>auf den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rsidR="001D062F">
        <w:rPr>
          <w:rStyle w:val="Funotenzeichen"/>
        </w:rPr>
        <w:footnoteReference w:id="417"/>
      </w:r>
      <w:r w:rsidR="001D062F">
        <w:t xml:space="preserve"> </w:t>
      </w:r>
      <w:r w:rsidR="0030107F">
        <w:t xml:space="preserve">und dann </w:t>
      </w:r>
      <w:r w:rsidR="00304B4B">
        <w:t xml:space="preserve">in einem nächsten Schritt (der genau genommen nach </w:t>
      </w:r>
      <w:r w:rsidR="005D7996">
        <w:fldChar w:fldCharType="begin"/>
      </w:r>
      <w:r w:rsidR="00304B4B">
        <w:instrText xml:space="preserve"> REF _Ref261795820 \r \h </w:instrText>
      </w:r>
      <w:r w:rsidR="005D7996">
        <w:fldChar w:fldCharType="separate"/>
      </w:r>
      <w:r w:rsidR="001231D3">
        <w:t>6.3.3.2</w:t>
      </w:r>
      <w:r w:rsidR="005D7996">
        <w:fldChar w:fldCharType="end"/>
      </w:r>
      <w:r w:rsidR="00304B4B">
        <w:t xml:space="preserve"> gehört) </w:t>
      </w:r>
      <w:r w:rsidR="0030107F">
        <w:t>vom Dialekt auf die Herkunft geschlo</w:t>
      </w:r>
      <w:r w:rsidR="0030107F">
        <w:t>s</w:t>
      </w:r>
      <w:r w:rsidR="0030107F">
        <w:t>sen wird</w:t>
      </w:r>
      <w:r w:rsidR="00C44008">
        <w:t>.</w:t>
      </w:r>
    </w:p>
    <w:p w:rsidR="001D062F" w:rsidRDefault="001D062F" w:rsidP="009A301E">
      <w:pPr>
        <w:pStyle w:val="Interpretation1Zeile"/>
      </w:pPr>
      <w:r>
        <w:t>3.</w:t>
      </w:r>
      <w:r>
        <w:tab/>
        <w:t>Verhaltensschema ‚Sprechen‘</w:t>
      </w:r>
    </w:p>
    <w:p w:rsidR="001D062F" w:rsidRDefault="001D062F" w:rsidP="009A301E">
      <w:pPr>
        <w:pStyle w:val="Interpretation"/>
      </w:pPr>
      <w:r>
        <w:rPr>
          <w:i/>
        </w:rPr>
        <w:t>U</w:t>
      </w:r>
      <w:r>
        <w:t>(</w:t>
      </w:r>
      <w:r>
        <w:rPr>
          <w:i/>
        </w:rPr>
        <w:t>B</w:t>
      </w:r>
      <w:r>
        <w:rPr>
          <w:vertAlign w:val="subscript"/>
        </w:rPr>
        <w:t>1</w:t>
      </w:r>
      <w:r>
        <w:t>): ‚Aussprache der Phoneme</w:t>
      </w:r>
      <w:r w:rsidR="005D7996">
        <w:fldChar w:fldCharType="begin"/>
      </w:r>
      <w:r w:rsidR="000623C8">
        <w:instrText xml:space="preserve"> XE "</w:instrText>
      </w:r>
      <w:r w:rsidR="000623C8" w:rsidRPr="00E73E7A">
        <w:rPr>
          <w:szCs w:val="17"/>
        </w:rPr>
        <w:instrText>Phonem</w:instrText>
      </w:r>
      <w:r w:rsidR="000623C8">
        <w:instrText xml:space="preserve">" </w:instrText>
      </w:r>
      <w:r w:rsidR="005D7996">
        <w:fldChar w:fldCharType="end"/>
      </w:r>
      <w:r>
        <w:t xml:space="preserve">‘, </w:t>
      </w:r>
      <w:r>
        <w:rPr>
          <w:i/>
        </w:rPr>
        <w:t>V</w:t>
      </w:r>
      <w:r>
        <w:t>(</w:t>
      </w:r>
      <w:r>
        <w:rPr>
          <w:i/>
        </w:rPr>
        <w:t>B</w:t>
      </w:r>
      <w:r>
        <w:rPr>
          <w:vertAlign w:val="subscript"/>
        </w:rPr>
        <w:t>1</w:t>
      </w:r>
      <w:r>
        <w:t>): ‚Entrundung der Vokale</w:t>
      </w:r>
      <w:r w:rsidR="007C4CBA">
        <w:t>;</w:t>
      </w:r>
      <w:r>
        <w:t xml:space="preserve"> Lenisierung der Konsonanten</w:t>
      </w:r>
      <w:r w:rsidR="007C4CBA">
        <w:t>;</w:t>
      </w:r>
      <w:r>
        <w:t xml:space="preserve"> /p/, /t/ und /k/, /b/ wi</w:t>
      </w:r>
      <w:r w:rsidR="007C4CBA">
        <w:t>rd teilweise als /w/ gesprochen;</w:t>
      </w:r>
      <w:r>
        <w:t xml:space="preserve"> …‘</w:t>
      </w:r>
    </w:p>
    <w:p w:rsidR="001D062F" w:rsidRDefault="001D062F" w:rsidP="009A301E">
      <w:pPr>
        <w:pStyle w:val="Interpretation"/>
      </w:pPr>
      <w:r>
        <w:rPr>
          <w:i/>
        </w:rPr>
        <w:t>H</w:t>
      </w:r>
      <w:r w:rsidRPr="003D50E0">
        <w:rPr>
          <w:vertAlign w:val="subscript"/>
        </w:rPr>
        <w:t>1</w:t>
      </w:r>
      <w:r>
        <w:t>: ‚Merkmale des hessischen Dialekts sind: Entrundung der Vokale, Leni</w:t>
      </w:r>
      <w:r w:rsidR="00F765C0">
        <w:softHyphen/>
      </w:r>
      <w:r>
        <w:t>sierung der Konsonanten</w:t>
      </w:r>
      <w:r w:rsidR="007C4CBA">
        <w:t>,</w:t>
      </w:r>
      <w:r>
        <w:t xml:space="preserve"> /p/, /t/ und /k/, /b/ wird teilweise als /w/ gespr</w:t>
      </w:r>
      <w:r>
        <w:t>o</w:t>
      </w:r>
      <w:r>
        <w:t>chen,</w:t>
      </w:r>
      <w:r w:rsidR="00A8009A">
        <w:t> </w:t>
      </w:r>
      <w:r>
        <w:t>…‘</w:t>
      </w:r>
    </w:p>
    <w:p w:rsidR="001D062F" w:rsidRPr="00D41E3E" w:rsidRDefault="001D062F" w:rsidP="009A301E">
      <w:pPr>
        <w:pStyle w:val="Formel"/>
      </w:pPr>
      <w:r>
        <w:rPr>
          <w:i/>
          <w:iCs/>
        </w:rPr>
        <w:t>B</w:t>
      </w:r>
      <w:r w:rsidRPr="00F20FC6">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sidRPr="00F20FC6">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D</w:t>
      </w:r>
      <w:r w:rsidRPr="00253434">
        <w:rPr>
          <w:vertAlign w:val="subscript"/>
        </w:rPr>
        <w:t>ed</w:t>
      </w:r>
      <w:r>
        <w:t xml:space="preserve">  </w:t>
      </w:r>
      <w:r>
        <w:rPr>
          <w:i/>
          <w:iCs/>
        </w:rPr>
        <w:t>Er</w:t>
      </w:r>
      <w:r>
        <w:rPr>
          <w:vertAlign w:val="subscript"/>
        </w:rPr>
        <w:t>1</w:t>
      </w:r>
    </w:p>
    <w:p w:rsidR="001D062F" w:rsidRDefault="001D062F" w:rsidP="009A301E">
      <w:pPr>
        <w:pStyle w:val="Interpretation"/>
      </w:pPr>
      <w:r>
        <w:rPr>
          <w:i/>
        </w:rPr>
        <w:t>Er</w:t>
      </w:r>
      <w:r>
        <w:rPr>
          <w:vertAlign w:val="subscript"/>
        </w:rPr>
        <w:t>1</w:t>
      </w:r>
      <w:r w:rsidR="0030107F">
        <w:t xml:space="preserve">: </w:t>
      </w:r>
      <w:r>
        <w:t>‚</w:t>
      </w:r>
      <w:r w:rsidR="0085753F">
        <w:t xml:space="preserve">SN </w:t>
      </w:r>
      <w:r>
        <w:t>spricht hessischen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t>‘</w:t>
      </w:r>
    </w:p>
    <w:p w:rsidR="0030107F" w:rsidRDefault="0030107F" w:rsidP="009A301E">
      <w:pPr>
        <w:pStyle w:val="Interpretation"/>
      </w:pPr>
      <w:r>
        <w:rPr>
          <w:i/>
        </w:rPr>
        <w:lastRenderedPageBreak/>
        <w:t>H</w:t>
      </w:r>
      <w:r>
        <w:rPr>
          <w:vertAlign w:val="subscript"/>
        </w:rPr>
        <w:t>2</w:t>
      </w:r>
      <w:r>
        <w:t>: ‚Wer den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t xml:space="preserve"> einer Region spricht, ist </w:t>
      </w:r>
      <w:r w:rsidR="000C3F59">
        <w:t xml:space="preserve">gewöhnlich </w:t>
      </w:r>
      <w:r>
        <w:t>in dieser Region au</w:t>
      </w:r>
      <w:r>
        <w:t>f</w:t>
      </w:r>
      <w:r>
        <w:t>gewachsen oder hat lange dort gelebt‘</w:t>
      </w:r>
    </w:p>
    <w:p w:rsidR="0030107F" w:rsidRPr="00D41E3E" w:rsidRDefault="0030107F" w:rsidP="009A301E">
      <w:pPr>
        <w:pStyle w:val="Formel"/>
      </w:pPr>
      <w:r>
        <w:rPr>
          <w:i/>
          <w:iCs/>
        </w:rPr>
        <w:t>Er</w:t>
      </w:r>
      <w:r w:rsidRPr="00F20FC6">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2</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D</w:t>
      </w:r>
      <w:r w:rsidRPr="00253434">
        <w:rPr>
          <w:vertAlign w:val="subscript"/>
        </w:rPr>
        <w:t>ed</w:t>
      </w:r>
      <w:r>
        <w:t xml:space="preserve">  </w:t>
      </w:r>
      <w:r>
        <w:rPr>
          <w:i/>
          <w:iCs/>
        </w:rPr>
        <w:t>Er</w:t>
      </w:r>
      <w:r>
        <w:rPr>
          <w:vertAlign w:val="subscript"/>
        </w:rPr>
        <w:t>2</w:t>
      </w:r>
    </w:p>
    <w:p w:rsidR="001D062F" w:rsidRDefault="0030107F" w:rsidP="009A301E">
      <w:pPr>
        <w:pStyle w:val="InterpretationletzteZeile"/>
      </w:pPr>
      <w:r>
        <w:rPr>
          <w:i/>
        </w:rPr>
        <w:t>Er</w:t>
      </w:r>
      <w:r>
        <w:rPr>
          <w:vertAlign w:val="subscript"/>
        </w:rPr>
        <w:t>2</w:t>
      </w:r>
      <w:r>
        <w:t>: ‚</w:t>
      </w:r>
      <w:r w:rsidR="0085753F">
        <w:t xml:space="preserve">SN </w:t>
      </w:r>
      <w:r>
        <w:t xml:space="preserve">ist </w:t>
      </w:r>
      <w:r w:rsidR="000C3F59">
        <w:t xml:space="preserve">vermutlich </w:t>
      </w:r>
      <w:r>
        <w:t>in Hessen aufgewachsen oder hat lange dort gelebt‘</w:t>
      </w:r>
    </w:p>
    <w:p w:rsidR="00EF61F5" w:rsidRDefault="00C65D81" w:rsidP="00C65D81">
      <w:pPr>
        <w:pStyle w:val="Titel5"/>
      </w:pPr>
      <w:bookmarkStart w:id="309" w:name="_Ref260072327"/>
      <w:bookmarkStart w:id="310" w:name="_Toc325456768"/>
      <w:r>
        <w:t xml:space="preserve">Mit </w:t>
      </w:r>
      <w:r w:rsidR="0043265C">
        <w:t>früher</w:t>
      </w:r>
      <w:r w:rsidR="004C6A54">
        <w:t>en</w:t>
      </w:r>
      <w:r w:rsidR="0043265C">
        <w:t xml:space="preserve"> </w:t>
      </w:r>
      <w:r>
        <w:t>Ergebnisse</w:t>
      </w:r>
      <w:r w:rsidR="00211F44">
        <w:t>n</w:t>
      </w:r>
      <w:r>
        <w:t xml:space="preserve">, ohne </w:t>
      </w:r>
      <w:r w:rsidRPr="009B6406">
        <w:t>H</w:t>
      </w:r>
      <w:r>
        <w:t>intergrundwissen</w:t>
      </w:r>
      <w:bookmarkEnd w:id="309"/>
      <w:bookmarkEnd w:id="310"/>
    </w:p>
    <w:p w:rsidR="00F12A61" w:rsidRDefault="00F12A61" w:rsidP="009A301E">
      <w:pPr>
        <w:pStyle w:val="Interpretation1Zeile"/>
      </w:pPr>
      <w:r>
        <w:t>1.</w:t>
      </w:r>
      <w:r>
        <w:tab/>
        <w:t>Verhaltens</w:t>
      </w:r>
      <w:r w:rsidRPr="00F8759D">
        <w:t xml:space="preserve">schema </w:t>
      </w:r>
      <w:r>
        <w:t>‚Gesellschaftliches Auftreten‘</w:t>
      </w:r>
    </w:p>
    <w:p w:rsidR="00F12A61" w:rsidRDefault="00F12A61" w:rsidP="009A301E">
      <w:pPr>
        <w:pStyle w:val="Interpretation"/>
      </w:pPr>
      <w:r w:rsidRPr="00F8759D">
        <w:rPr>
          <w:i/>
        </w:rPr>
        <w:t>U</w:t>
      </w:r>
      <w:r w:rsidRPr="00F8759D">
        <w:t>(</w:t>
      </w:r>
      <w:r w:rsidRPr="00F8759D">
        <w:rPr>
          <w:i/>
        </w:rPr>
        <w:t>B</w:t>
      </w:r>
      <w:r w:rsidRPr="003D50E0">
        <w:rPr>
          <w:vertAlign w:val="subscript"/>
        </w:rPr>
        <w:t>1</w:t>
      </w:r>
      <w:r>
        <w:t xml:space="preserve">): ‚Kleidung‘, </w:t>
      </w:r>
      <w:r w:rsidRPr="00F8759D">
        <w:rPr>
          <w:i/>
        </w:rPr>
        <w:t>V</w:t>
      </w:r>
      <w:r w:rsidRPr="00F8759D">
        <w:t>(</w:t>
      </w:r>
      <w:r w:rsidRPr="00F8759D">
        <w:rPr>
          <w:i/>
        </w:rPr>
        <w:t>B</w:t>
      </w:r>
      <w:r w:rsidRPr="003D50E0">
        <w:rPr>
          <w:vertAlign w:val="subscript"/>
        </w:rPr>
        <w:t>1</w:t>
      </w:r>
      <w:r>
        <w:t>): ‚unkonventionell‘</w:t>
      </w:r>
    </w:p>
    <w:p w:rsidR="00E34EAF" w:rsidRDefault="00E34EAF" w:rsidP="009A301E">
      <w:pPr>
        <w:pStyle w:val="Interpretation"/>
      </w:pPr>
      <w:r>
        <w:rPr>
          <w:i/>
        </w:rPr>
        <w:t>Er</w:t>
      </w:r>
      <w:r>
        <w:rPr>
          <w:vertAlign w:val="subscript"/>
        </w:rPr>
        <w:t>(f)</w:t>
      </w:r>
      <w:r w:rsidRPr="0086504A">
        <w:rPr>
          <w:vertAlign w:val="subscript"/>
        </w:rPr>
        <w:t>1</w:t>
      </w:r>
      <w:r>
        <w:t xml:space="preserve">: ‚SN </w:t>
      </w:r>
      <w:r w:rsidR="000A13FB">
        <w:t>achtet auf sein Aussehen</w:t>
      </w:r>
      <w:r>
        <w:t>‘</w:t>
      </w:r>
    </w:p>
    <w:p w:rsidR="00F12A61" w:rsidRDefault="00F12A61" w:rsidP="009A301E">
      <w:pPr>
        <w:pStyle w:val="Formel"/>
      </w:pPr>
      <w:r>
        <w:rPr>
          <w:i/>
          <w:iCs/>
        </w:rPr>
        <w:t>B</w:t>
      </w:r>
      <w:r w:rsidRPr="0062421C">
        <w:rPr>
          <w:vertAlign w:val="subscript"/>
        </w:rPr>
        <w:t>1</w:t>
      </w:r>
      <w:r w:rsidR="00E34EAF">
        <w:t xml:space="preserve"> </w:t>
      </w:r>
      <w:r w:rsidR="00E34EAF" w:rsidRPr="00D41E3E">
        <w:rPr>
          <w:rFonts w:ascii="Cambria Math" w:hAnsi="Cambria Math" w:cs="Cambria Math"/>
        </w:rPr>
        <w:t>∧</w:t>
      </w:r>
      <w:r w:rsidR="00E34EAF" w:rsidRPr="00D41E3E">
        <w:rPr>
          <w:rFonts w:cs="Times New Roman"/>
        </w:rPr>
        <w:t xml:space="preserve"> </w:t>
      </w:r>
      <w:r w:rsidR="00E34EAF">
        <w:rPr>
          <w:i/>
          <w:iCs/>
        </w:rPr>
        <w:t>Er</w:t>
      </w:r>
      <w:r w:rsidR="00E34EAF">
        <w:rPr>
          <w:iCs/>
          <w:vertAlign w:val="subscript"/>
        </w:rPr>
        <w:t>(f)</w:t>
      </w:r>
      <w:r w:rsidR="00E34EAF" w:rsidRPr="0086504A">
        <w:rPr>
          <w:iCs/>
          <w:vertAlign w:val="subscript"/>
        </w:rPr>
        <w:t>1</w:t>
      </w:r>
      <w:r>
        <w:rPr>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Pr="0062421C">
        <w:rPr>
          <w:vertAlign w:val="subscript"/>
        </w:rPr>
        <w:t>1</w:t>
      </w:r>
    </w:p>
    <w:p w:rsidR="00F12A61" w:rsidRDefault="00F12A61" w:rsidP="009A301E">
      <w:pPr>
        <w:pStyle w:val="InterpretationletzteZeile"/>
      </w:pPr>
      <w:r>
        <w:rPr>
          <w:i/>
        </w:rPr>
        <w:t>Er</w:t>
      </w:r>
      <w:r w:rsidRPr="003D50E0">
        <w:rPr>
          <w:vertAlign w:val="subscript"/>
        </w:rPr>
        <w:t>1</w:t>
      </w:r>
      <w:r>
        <w:t>: ‚Der SN hält sich nicht an gesellschaftliche Konventionen‘</w:t>
      </w:r>
    </w:p>
    <w:p w:rsidR="00F12A61" w:rsidRDefault="00F12A61" w:rsidP="009A301E">
      <w:pPr>
        <w:pStyle w:val="Text"/>
        <w:ind w:firstLine="0"/>
      </w:pPr>
      <w:r>
        <w:t xml:space="preserve">Bei der Induktion ergibt sich aus der Verallgemeinerung der Einzeltatsachen eine Regel (vgl. Abschnitt </w:t>
      </w:r>
      <w:r w:rsidR="005D7996">
        <w:fldChar w:fldCharType="begin"/>
      </w:r>
      <w:r>
        <w:instrText xml:space="preserve"> REF _Ref257116162 \r \h </w:instrText>
      </w:r>
      <w:r w:rsidR="005D7996">
        <w:fldChar w:fldCharType="separate"/>
      </w:r>
      <w:r w:rsidR="001231D3">
        <w:t>6.4.2</w:t>
      </w:r>
      <w:r w:rsidR="005D7996">
        <w:fldChar w:fldCharType="end"/>
      </w:r>
      <w:r>
        <w:t>), zu der die Einzeltatsachen Fälle bilden. Das Erge</w:t>
      </w:r>
      <w:r>
        <w:t>b</w:t>
      </w:r>
      <w:r>
        <w:t>nis einer Induktion gewinnt an Sicherheit, wenn mehrere Ei</w:t>
      </w:r>
      <w:r w:rsidR="002179EB">
        <w:t>nzeltatsachen b</w:t>
      </w:r>
      <w:r w:rsidR="002179EB">
        <w:t>e</w:t>
      </w:r>
      <w:r w:rsidR="002179EB">
        <w:t>trachtet werden</w:t>
      </w:r>
      <w:r>
        <w:t xml:space="preserve">. </w:t>
      </w:r>
      <w:r w:rsidR="00ED62B7">
        <w:t>Die</w:t>
      </w:r>
      <w:r w:rsidR="00033636">
        <w:t xml:space="preserve"> Induktion </w:t>
      </w:r>
      <w:r w:rsidR="00ED62B7">
        <w:t xml:space="preserve">erfolgt im vorliegenden Fall ausgehend </w:t>
      </w:r>
      <w:r w:rsidR="00033636">
        <w:t xml:space="preserve">von einer </w:t>
      </w:r>
      <w:r w:rsidR="00ED62B7">
        <w:t xml:space="preserve">einzigen </w:t>
      </w:r>
      <w:r w:rsidR="00033636">
        <w:t>Merkmalsregel</w:t>
      </w:r>
      <w:r w:rsidR="00ED62B7">
        <w:t xml:space="preserve">; sie wird </w:t>
      </w:r>
      <w:r w:rsidR="000A13FB">
        <w:t xml:space="preserve">dadurch unterstützt, dass aufgrund von </w:t>
      </w:r>
      <w:r w:rsidR="000A13FB">
        <w:rPr>
          <w:i/>
          <w:iCs/>
        </w:rPr>
        <w:t>Er</w:t>
      </w:r>
      <w:r w:rsidR="000A13FB">
        <w:rPr>
          <w:iCs/>
          <w:vertAlign w:val="subscript"/>
        </w:rPr>
        <w:t>(f)</w:t>
      </w:r>
      <w:r w:rsidR="000A13FB" w:rsidRPr="0086504A">
        <w:rPr>
          <w:iCs/>
          <w:vertAlign w:val="subscript"/>
        </w:rPr>
        <w:t>1</w:t>
      </w:r>
      <w:r w:rsidR="000A13FB">
        <w:t xml:space="preserve"> eine </w:t>
      </w:r>
      <w:r w:rsidR="005A6FD7">
        <w:t xml:space="preserve">absichtliche </w:t>
      </w:r>
      <w:r w:rsidR="000A13FB">
        <w:t xml:space="preserve">Unkonventionalität der Kleidung </w:t>
      </w:r>
      <w:r w:rsidR="003D46FC">
        <w:t xml:space="preserve">angenommen </w:t>
      </w:r>
      <w:r w:rsidR="000A13FB">
        <w:t>werden kann</w:t>
      </w:r>
      <w:r w:rsidR="005A6FD7">
        <w:t>, die es plausibel</w:t>
      </w:r>
      <w:r w:rsidR="000A13FB">
        <w:t xml:space="preserve"> macht, dass auch in anderen Bereichen gesellschaftliche Konve</w:t>
      </w:r>
      <w:r w:rsidR="000A13FB">
        <w:t>n</w:t>
      </w:r>
      <w:r w:rsidR="000A13FB">
        <w:t xml:space="preserve">tionen </w:t>
      </w:r>
      <w:r w:rsidR="005A6FD7">
        <w:t xml:space="preserve">übertreten </w:t>
      </w:r>
      <w:r w:rsidR="000A13FB">
        <w:t>werden.</w:t>
      </w:r>
    </w:p>
    <w:p w:rsidR="00F54BB8" w:rsidRDefault="00F54BB8" w:rsidP="009A301E">
      <w:pPr>
        <w:pStyle w:val="Interpretation1Zeile"/>
      </w:pPr>
      <w:r>
        <w:t>2.</w:t>
      </w:r>
      <w:r>
        <w:tab/>
        <w:t>Textschema ‚Email‘</w:t>
      </w:r>
    </w:p>
    <w:p w:rsidR="000702DC" w:rsidRDefault="000702DC" w:rsidP="009A301E">
      <w:pPr>
        <w:pStyle w:val="Interpretation"/>
      </w:pPr>
      <w:r>
        <w:rPr>
          <w:i/>
        </w:rPr>
        <w:t>U</w:t>
      </w:r>
      <w:r>
        <w:t>(</w:t>
      </w:r>
      <w:r>
        <w:rPr>
          <w:i/>
        </w:rPr>
        <w:t>B</w:t>
      </w:r>
      <w:r w:rsidR="0086504A" w:rsidRPr="0086504A">
        <w:rPr>
          <w:vertAlign w:val="subscript"/>
        </w:rPr>
        <w:t>1</w:t>
      </w:r>
      <w:r>
        <w:t>): ‚</w:t>
      </w:r>
      <w:r w:rsidR="00D041F6">
        <w:t>Adressierung</w:t>
      </w:r>
      <w:r w:rsidR="00453328">
        <w:t>‘,</w:t>
      </w:r>
      <w:r>
        <w:t xml:space="preserve"> </w:t>
      </w:r>
      <w:r>
        <w:rPr>
          <w:i/>
        </w:rPr>
        <w:t>V</w:t>
      </w:r>
      <w:r>
        <w:t>(</w:t>
      </w:r>
      <w:r>
        <w:rPr>
          <w:i/>
        </w:rPr>
        <w:t>B</w:t>
      </w:r>
      <w:r w:rsidR="0086504A" w:rsidRPr="0086504A">
        <w:rPr>
          <w:vertAlign w:val="subscript"/>
        </w:rPr>
        <w:t>1</w:t>
      </w:r>
      <w:r>
        <w:t>): ‚</w:t>
      </w:r>
      <w:r w:rsidR="00D041F6">
        <w:t>an viele verschiedene Personen, die alle namen</w:t>
      </w:r>
      <w:r w:rsidR="00D041F6">
        <w:t>t</w:t>
      </w:r>
      <w:r w:rsidR="00D041F6">
        <w:t>lich (</w:t>
      </w:r>
      <w:r w:rsidR="00DC38CA">
        <w:t>also</w:t>
      </w:r>
      <w:r w:rsidR="00D041F6">
        <w:t xml:space="preserve"> im CC statt im BCC) genannt werden</w:t>
      </w:r>
      <w:r>
        <w:t>‘</w:t>
      </w:r>
    </w:p>
    <w:p w:rsidR="000702DC" w:rsidRDefault="000702DC" w:rsidP="009A301E">
      <w:pPr>
        <w:pStyle w:val="Interpretation"/>
      </w:pPr>
      <w:r>
        <w:rPr>
          <w:i/>
        </w:rPr>
        <w:t>Er</w:t>
      </w:r>
      <w:r w:rsidR="0086504A">
        <w:rPr>
          <w:vertAlign w:val="subscript"/>
        </w:rPr>
        <w:t>(f)</w:t>
      </w:r>
      <w:r w:rsidR="0086504A" w:rsidRPr="0086504A">
        <w:rPr>
          <w:vertAlign w:val="subscript"/>
        </w:rPr>
        <w:t>1</w:t>
      </w:r>
      <w:r>
        <w:t>: ‚</w:t>
      </w:r>
      <w:r w:rsidR="0085753F">
        <w:t xml:space="preserve">SN </w:t>
      </w:r>
      <w:r w:rsidR="00D041F6">
        <w:t>kennt sich mit dem Internet gut aus‘</w:t>
      </w:r>
    </w:p>
    <w:p w:rsidR="000C3F59" w:rsidRDefault="000C3F59" w:rsidP="009A301E">
      <w:pPr>
        <w:pStyle w:val="Formel"/>
      </w:pPr>
      <w:r>
        <w:rPr>
          <w:i/>
          <w:iCs/>
        </w:rPr>
        <w:t>B</w:t>
      </w:r>
      <w:r w:rsidR="00893CC7">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Er</w:t>
      </w:r>
      <w:r w:rsidR="00893CC7">
        <w:rPr>
          <w:iCs/>
          <w:vertAlign w:val="subscript"/>
        </w:rPr>
        <w:t>(f)1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893CC7">
        <w:rPr>
          <w:vertAlign w:val="subscript"/>
        </w:rPr>
        <w:t>Abd</w:t>
      </w:r>
      <w:r>
        <w:t xml:space="preserve">  </w:t>
      </w:r>
      <w:r>
        <w:rPr>
          <w:i/>
          <w:iCs/>
        </w:rPr>
        <w:t>Er</w:t>
      </w:r>
      <w:r w:rsidR="00893CC7">
        <w:rPr>
          <w:vertAlign w:val="subscript"/>
        </w:rPr>
        <w:t>1</w:t>
      </w:r>
    </w:p>
    <w:p w:rsidR="00EF61F5" w:rsidRDefault="000702DC" w:rsidP="009A301E">
      <w:pPr>
        <w:pStyle w:val="InterpretationletzteZeile"/>
      </w:pPr>
      <w:r>
        <w:rPr>
          <w:i/>
        </w:rPr>
        <w:t>Er</w:t>
      </w:r>
      <w:r w:rsidRPr="00120632">
        <w:rPr>
          <w:vertAlign w:val="subscript"/>
        </w:rPr>
        <w:t>1</w:t>
      </w:r>
      <w:r>
        <w:t>: ‚</w:t>
      </w:r>
      <w:r w:rsidR="0085753F">
        <w:t xml:space="preserve">SN </w:t>
      </w:r>
      <w:r w:rsidR="00D041F6">
        <w:t>achtet die Privatsphäre seiner/ihrer Adressaten nicht</w:t>
      </w:r>
      <w:r>
        <w:t>‘</w:t>
      </w:r>
    </w:p>
    <w:p w:rsidR="00893CC7" w:rsidRPr="00F8759D" w:rsidRDefault="00893CC7" w:rsidP="009A301E">
      <w:pPr>
        <w:pStyle w:val="Text"/>
        <w:ind w:firstLine="0"/>
      </w:pPr>
      <w:r>
        <w:t xml:space="preserve">Da die </w:t>
      </w:r>
      <w:r w:rsidR="00C93129">
        <w:t xml:space="preserve">naheliegende </w:t>
      </w:r>
      <w:r>
        <w:t xml:space="preserve">Annahme, die Verwendung des CC (die zur Sichtbarkeit aller Adressen für alle Adressaten führt) könnte versehentlich erfolgt sein, durch </w:t>
      </w:r>
      <w:r>
        <w:rPr>
          <w:i/>
          <w:iCs/>
        </w:rPr>
        <w:t>Er</w:t>
      </w:r>
      <w:r>
        <w:rPr>
          <w:iCs/>
          <w:vertAlign w:val="subscript"/>
        </w:rPr>
        <w:t>(f)</w:t>
      </w:r>
      <w:r w:rsidRPr="0086504A">
        <w:rPr>
          <w:iCs/>
          <w:vertAlign w:val="subscript"/>
        </w:rPr>
        <w:t>1</w:t>
      </w:r>
      <w:r>
        <w:t xml:space="preserve"> ausgeschlossen werden kann, wird in einer Abduktion eine andere Erkl</w:t>
      </w:r>
      <w:r>
        <w:t>ä</w:t>
      </w:r>
      <w:r>
        <w:t>rung angenommen.</w:t>
      </w:r>
    </w:p>
    <w:p w:rsidR="00EF61F5" w:rsidRDefault="00A005F2" w:rsidP="00EF61F5">
      <w:pPr>
        <w:pStyle w:val="Titel5"/>
      </w:pPr>
      <w:bookmarkStart w:id="311" w:name="_Ref260072333"/>
      <w:bookmarkStart w:id="312" w:name="_Toc325456769"/>
      <w:r>
        <w:t xml:space="preserve">Mit </w:t>
      </w:r>
      <w:r w:rsidR="004C6A54">
        <w:t xml:space="preserve">früheren </w:t>
      </w:r>
      <w:r>
        <w:t>Ergebnisse</w:t>
      </w:r>
      <w:r w:rsidR="00211F44">
        <w:t>n</w:t>
      </w:r>
      <w:r>
        <w:t xml:space="preserve">, mit </w:t>
      </w:r>
      <w:r w:rsidRPr="009B6406">
        <w:t>H</w:t>
      </w:r>
      <w:r>
        <w:t>intergrundwissen</w:t>
      </w:r>
      <w:bookmarkEnd w:id="311"/>
      <w:bookmarkEnd w:id="312"/>
    </w:p>
    <w:p w:rsidR="00EF61F5" w:rsidRDefault="00AC586A" w:rsidP="009A301E">
      <w:pPr>
        <w:pStyle w:val="Interpretation1Zeile"/>
      </w:pPr>
      <w:r>
        <w:t>1.</w:t>
      </w:r>
      <w:r>
        <w:tab/>
        <w:t>Verhaltensschema ‚Skifahren</w:t>
      </w:r>
      <w:r w:rsidR="005D7996">
        <w:fldChar w:fldCharType="begin"/>
      </w:r>
      <w:r w:rsidR="00D207DF">
        <w:instrText xml:space="preserve"> XE "</w:instrText>
      </w:r>
      <w:r w:rsidR="00D207DF" w:rsidRPr="003F6D84">
        <w:instrText>Skifahren</w:instrText>
      </w:r>
      <w:r w:rsidR="00D207DF">
        <w:instrText xml:space="preserve">" </w:instrText>
      </w:r>
      <w:r w:rsidR="005D7996">
        <w:fldChar w:fldCharType="end"/>
      </w:r>
      <w:r>
        <w:t>‘:</w:t>
      </w:r>
    </w:p>
    <w:p w:rsidR="00EF61F5" w:rsidRDefault="00684FBF" w:rsidP="009A301E">
      <w:pPr>
        <w:pStyle w:val="Interpretation"/>
      </w:pPr>
      <w:r>
        <w:rPr>
          <w:i/>
        </w:rPr>
        <w:lastRenderedPageBreak/>
        <w:t>U</w:t>
      </w:r>
      <w:r>
        <w:t>(</w:t>
      </w:r>
      <w:r>
        <w:rPr>
          <w:i/>
        </w:rPr>
        <w:t>B</w:t>
      </w:r>
      <w:r w:rsidR="000C3F59" w:rsidRPr="008C3F53">
        <w:rPr>
          <w:vertAlign w:val="subscript"/>
        </w:rPr>
        <w:t>1</w:t>
      </w:r>
      <w:r w:rsidR="00453328">
        <w:t>): ‚</w:t>
      </w:r>
      <w:r w:rsidR="0022316D">
        <w:t xml:space="preserve">Haltung </w:t>
      </w:r>
      <w:r w:rsidR="00453328">
        <w:t>beim Fahren‘,</w:t>
      </w:r>
      <w:r>
        <w:t xml:space="preserve"> </w:t>
      </w:r>
      <w:r>
        <w:rPr>
          <w:i/>
        </w:rPr>
        <w:t>V</w:t>
      </w:r>
      <w:r>
        <w:t>(</w:t>
      </w:r>
      <w:r>
        <w:rPr>
          <w:i/>
        </w:rPr>
        <w:t>B</w:t>
      </w:r>
      <w:r w:rsidR="000C3F59" w:rsidRPr="008C3F53">
        <w:rPr>
          <w:vertAlign w:val="subscript"/>
        </w:rPr>
        <w:t>1</w:t>
      </w:r>
      <w:r>
        <w:t>): ‚</w:t>
      </w:r>
      <w:r w:rsidR="0022316D">
        <w:t xml:space="preserve">leicht vorgebeugt; angewinkelte Knie; leicht </w:t>
      </w:r>
      <w:r>
        <w:t>gespreizt</w:t>
      </w:r>
      <w:r w:rsidR="0022316D">
        <w:t>e Beine</w:t>
      </w:r>
      <w:r>
        <w:t>‘</w:t>
      </w:r>
    </w:p>
    <w:p w:rsidR="00EF61F5" w:rsidRDefault="00EF61F5" w:rsidP="009A301E">
      <w:pPr>
        <w:pStyle w:val="Interpretation"/>
      </w:pPr>
      <w:r>
        <w:rPr>
          <w:i/>
        </w:rPr>
        <w:t>Er</w:t>
      </w:r>
      <w:r w:rsidR="000C3F59">
        <w:rPr>
          <w:vertAlign w:val="subscript"/>
        </w:rPr>
        <w:t>(f)1</w:t>
      </w:r>
      <w:r>
        <w:t xml:space="preserve">: </w:t>
      </w:r>
      <w:r w:rsidR="00684FBF">
        <w:t>‚</w:t>
      </w:r>
      <w:r w:rsidR="0085753F">
        <w:t xml:space="preserve">SN </w:t>
      </w:r>
      <w:r w:rsidR="00684FBF">
        <w:t>springt oft und gerne‘</w:t>
      </w:r>
    </w:p>
    <w:p w:rsidR="00EF61F5" w:rsidRDefault="00EF61F5" w:rsidP="009A301E">
      <w:pPr>
        <w:pStyle w:val="InterpretationletzteZeile"/>
      </w:pPr>
      <w:r>
        <w:rPr>
          <w:i/>
        </w:rPr>
        <w:t>H</w:t>
      </w:r>
      <w:r w:rsidRPr="008C3F53">
        <w:rPr>
          <w:vertAlign w:val="subscript"/>
        </w:rPr>
        <w:t>1</w:t>
      </w:r>
      <w:r>
        <w:t xml:space="preserve">: </w:t>
      </w:r>
      <w:r w:rsidR="00684FBF">
        <w:t>‚</w:t>
      </w:r>
      <w:r w:rsidR="0022316D">
        <w:t>Eine leicht vorgebeugte Haltung mit angewinkelten Knien und leicht g</w:t>
      </w:r>
      <w:r w:rsidR="0022316D">
        <w:t>e</w:t>
      </w:r>
      <w:r w:rsidR="0022316D">
        <w:t>spreizten Beinen ist beim Skifahren</w:t>
      </w:r>
      <w:r w:rsidR="005D7996">
        <w:fldChar w:fldCharType="begin"/>
      </w:r>
      <w:r w:rsidR="00D207DF">
        <w:instrText xml:space="preserve"> XE "</w:instrText>
      </w:r>
      <w:r w:rsidR="00D207DF" w:rsidRPr="003F6D84">
        <w:instrText>Skifahren</w:instrText>
      </w:r>
      <w:r w:rsidR="00D207DF">
        <w:instrText xml:space="preserve">" </w:instrText>
      </w:r>
      <w:r w:rsidR="005D7996">
        <w:fldChar w:fldCharType="end"/>
      </w:r>
      <w:r w:rsidR="0022316D">
        <w:t xml:space="preserve"> eine </w:t>
      </w:r>
      <w:r>
        <w:t xml:space="preserve">gute Ausgangshaltung für einen </w:t>
      </w:r>
      <w:r w:rsidR="00684FBF">
        <w:t>Sprung‘</w:t>
      </w:r>
    </w:p>
    <w:p w:rsidR="0028792C" w:rsidRDefault="0028792C" w:rsidP="009A301E">
      <w:pPr>
        <w:pStyle w:val="Formel"/>
      </w:pPr>
      <w:r>
        <w:rPr>
          <w:i/>
          <w:iCs/>
        </w:rPr>
        <w:t>B</w:t>
      </w:r>
      <w:r>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(f)1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22316D">
        <w:rPr>
          <w:vertAlign w:val="subscript"/>
        </w:rPr>
        <w:t>Abd</w:t>
      </w:r>
      <w:r>
        <w:t xml:space="preserve">  </w:t>
      </w:r>
      <w:r>
        <w:rPr>
          <w:i/>
          <w:iCs/>
        </w:rPr>
        <w:t>Er</w:t>
      </w:r>
      <w:r>
        <w:rPr>
          <w:vertAlign w:val="subscript"/>
        </w:rPr>
        <w:t>1</w:t>
      </w:r>
    </w:p>
    <w:p w:rsidR="00EF61F5" w:rsidRDefault="00684FBF" w:rsidP="009A301E">
      <w:pPr>
        <w:pStyle w:val="InterpretationletzteZeile"/>
      </w:pPr>
      <w:r>
        <w:rPr>
          <w:i/>
        </w:rPr>
        <w:t>Er</w:t>
      </w:r>
      <w:r w:rsidRPr="008C3F53">
        <w:rPr>
          <w:vertAlign w:val="subscript"/>
        </w:rPr>
        <w:t>1</w:t>
      </w:r>
      <w:r w:rsidR="00EF61F5" w:rsidRPr="00BD34E2">
        <w:t>:</w:t>
      </w:r>
      <w:r w:rsidR="00EF61F5">
        <w:t xml:space="preserve"> </w:t>
      </w:r>
      <w:r>
        <w:t>‚</w:t>
      </w:r>
      <w:r w:rsidR="0085753F">
        <w:t xml:space="preserve">SN </w:t>
      </w:r>
      <w:r w:rsidR="00EF61F5">
        <w:t>hat sich</w:t>
      </w:r>
      <w:r w:rsidR="00334857">
        <w:t>, um gut springen zu können,</w:t>
      </w:r>
      <w:r w:rsidR="00EF61F5">
        <w:t xml:space="preserve"> eine </w:t>
      </w:r>
      <w:r w:rsidR="00334857">
        <w:t xml:space="preserve">dafür geeignete </w:t>
      </w:r>
      <w:r w:rsidR="0022316D">
        <w:t xml:space="preserve">Haltung </w:t>
      </w:r>
      <w:r w:rsidR="00EF61F5">
        <w:t>a</w:t>
      </w:r>
      <w:r w:rsidR="00EF61F5">
        <w:t>n</w:t>
      </w:r>
      <w:r w:rsidR="00EF61F5">
        <w:t>gewöhnt</w:t>
      </w:r>
      <w:r>
        <w:t>‘</w:t>
      </w:r>
    </w:p>
    <w:p w:rsidR="00D556BA" w:rsidRPr="004F4BE5" w:rsidRDefault="00D556BA" w:rsidP="009A301E">
      <w:pPr>
        <w:pStyle w:val="Interpretation1Zeile"/>
      </w:pPr>
      <w:r>
        <w:t>2.</w:t>
      </w:r>
      <w:r>
        <w:tab/>
        <w:t>Verhaltensschema ‚</w:t>
      </w:r>
      <w:r w:rsidR="004B1629">
        <w:t>Programmieren</w:t>
      </w:r>
      <w:r>
        <w:t>‘</w:t>
      </w:r>
    </w:p>
    <w:p w:rsidR="00EF61F5" w:rsidRPr="005F279F" w:rsidRDefault="00415D4A" w:rsidP="009A301E">
      <w:pPr>
        <w:pStyle w:val="Interpretation"/>
      </w:pPr>
      <w:r w:rsidRPr="005F279F">
        <w:rPr>
          <w:i/>
        </w:rPr>
        <w:t>U</w:t>
      </w:r>
      <w:r w:rsidRPr="005F279F">
        <w:t>(</w:t>
      </w:r>
      <w:r w:rsidRPr="005F279F">
        <w:rPr>
          <w:i/>
        </w:rPr>
        <w:t>B</w:t>
      </w:r>
      <w:r w:rsidRPr="005F279F">
        <w:rPr>
          <w:vertAlign w:val="subscript"/>
        </w:rPr>
        <w:t>1</w:t>
      </w:r>
      <w:r w:rsidRPr="005F279F">
        <w:t>): ‚</w:t>
      </w:r>
      <w:r w:rsidR="00776E39">
        <w:t>auffällige Gestaltungsprobleme</w:t>
      </w:r>
      <w:r w:rsidRPr="005F279F">
        <w:t>‘</w:t>
      </w:r>
      <w:r w:rsidR="005F279F" w:rsidRPr="005F279F">
        <w:t xml:space="preserve">, </w:t>
      </w:r>
      <w:r w:rsidR="005F279F" w:rsidRPr="005F279F">
        <w:rPr>
          <w:i/>
        </w:rPr>
        <w:t>V</w:t>
      </w:r>
      <w:r w:rsidR="005F279F" w:rsidRPr="005F279F">
        <w:t>(</w:t>
      </w:r>
      <w:r w:rsidR="005F279F" w:rsidRPr="005F279F">
        <w:rPr>
          <w:i/>
        </w:rPr>
        <w:t>B</w:t>
      </w:r>
      <w:r w:rsidR="005F279F" w:rsidRPr="005F279F">
        <w:rPr>
          <w:vertAlign w:val="subscript"/>
        </w:rPr>
        <w:t>1</w:t>
      </w:r>
      <w:r w:rsidR="005F279F" w:rsidRPr="005F279F">
        <w:t>): ‚</w:t>
      </w:r>
      <w:r w:rsidR="005F279F">
        <w:t>langsam; lange Suche nach einer eleganten Lösung; viele Lösungen werden wieder verworfen‘</w:t>
      </w:r>
    </w:p>
    <w:p w:rsidR="003424AA" w:rsidRDefault="00415D4A" w:rsidP="009A301E">
      <w:pPr>
        <w:pStyle w:val="Interpretation"/>
      </w:pPr>
      <w:r>
        <w:rPr>
          <w:i/>
        </w:rPr>
        <w:t>Er</w:t>
      </w:r>
      <w:r>
        <w:rPr>
          <w:vertAlign w:val="subscript"/>
        </w:rPr>
        <w:t>(f)1</w:t>
      </w:r>
      <w:r>
        <w:t>: ‚</w:t>
      </w:r>
      <w:r w:rsidR="0085753F">
        <w:t xml:space="preserve">SN </w:t>
      </w:r>
      <w:r>
        <w:t xml:space="preserve">ist </w:t>
      </w:r>
      <w:r w:rsidR="005F279F">
        <w:t xml:space="preserve">beim Schreiben von Code </w:t>
      </w:r>
      <w:r w:rsidR="00DA5BF1">
        <w:t xml:space="preserve">schnell, aber </w:t>
      </w:r>
      <w:r w:rsidR="005F279F">
        <w:t>wenig originell</w:t>
      </w:r>
      <w:r>
        <w:t>‘</w:t>
      </w:r>
    </w:p>
    <w:p w:rsidR="00415D4A" w:rsidRDefault="00415D4A" w:rsidP="009A301E">
      <w:pPr>
        <w:pStyle w:val="Interpretation"/>
      </w:pPr>
      <w:r>
        <w:rPr>
          <w:i/>
        </w:rPr>
        <w:t>H</w:t>
      </w:r>
      <w:r w:rsidRPr="008C3F53">
        <w:rPr>
          <w:vertAlign w:val="subscript"/>
        </w:rPr>
        <w:t>1</w:t>
      </w:r>
      <w:r w:rsidR="00A71199">
        <w:t xml:space="preserve"> [zum Schema]</w:t>
      </w:r>
      <w:r>
        <w:t xml:space="preserve">: ‚Viele </w:t>
      </w:r>
      <w:r w:rsidR="00A71199">
        <w:t xml:space="preserve">Programmierer </w:t>
      </w:r>
      <w:r>
        <w:t xml:space="preserve">bevorzugen </w:t>
      </w:r>
      <w:r w:rsidR="00DA5BF1">
        <w:t xml:space="preserve">„gute Hacks“ (elegante und </w:t>
      </w:r>
      <w:r>
        <w:t>überraschende Lösungen</w:t>
      </w:r>
      <w:r w:rsidR="00DA5BF1">
        <w:t>)</w:t>
      </w:r>
      <w:r>
        <w:t>‘</w:t>
      </w:r>
    </w:p>
    <w:p w:rsidR="005F279F" w:rsidRDefault="005F279F" w:rsidP="009A301E">
      <w:pPr>
        <w:pStyle w:val="Formel"/>
      </w:pPr>
      <w:r>
        <w:rPr>
          <w:i/>
          <w:iCs/>
        </w:rPr>
        <w:t>B</w:t>
      </w:r>
      <w:r>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(f)1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1</w:t>
      </w:r>
    </w:p>
    <w:p w:rsidR="00D556BA" w:rsidRPr="004F4BE5" w:rsidRDefault="005F279F" w:rsidP="009A301E">
      <w:pPr>
        <w:pStyle w:val="InterpretationletzteZeile"/>
      </w:pPr>
      <w:r>
        <w:rPr>
          <w:i/>
        </w:rPr>
        <w:t>Er</w:t>
      </w:r>
      <w:r w:rsidRPr="008C3F53">
        <w:rPr>
          <w:vertAlign w:val="subscript"/>
        </w:rPr>
        <w:t>1</w:t>
      </w:r>
      <w:r w:rsidRPr="00BD34E2">
        <w:t>:</w:t>
      </w:r>
      <w:r>
        <w:t xml:space="preserve"> ‚</w:t>
      </w:r>
      <w:r w:rsidR="00DA5BF1">
        <w:t xml:space="preserve">Die Programmierweise des </w:t>
      </w:r>
      <w:r w:rsidR="0085753F">
        <w:t xml:space="preserve">SN </w:t>
      </w:r>
      <w:r w:rsidR="00DA5BF1">
        <w:t>wird dem Ideal des „guten Hack“ nicht g</w:t>
      </w:r>
      <w:r w:rsidR="00DA5BF1">
        <w:t>e</w:t>
      </w:r>
      <w:r w:rsidR="00DA5BF1">
        <w:t xml:space="preserve">recht, daher verbringt er viel Zeit damit, bei </w:t>
      </w:r>
      <w:r w:rsidR="00776E39">
        <w:t xml:space="preserve">auffälligen Gestaltungsproblemen </w:t>
      </w:r>
      <w:r w:rsidR="00DA5BF1">
        <w:t>einen „guten Hack“ zu suchen‘</w:t>
      </w:r>
    </w:p>
    <w:p w:rsidR="00EF61F5" w:rsidRDefault="000758A4" w:rsidP="000758A4">
      <w:pPr>
        <w:pStyle w:val="Titel3"/>
      </w:pPr>
      <w:bookmarkStart w:id="313" w:name="_Ref265766330"/>
      <w:bookmarkStart w:id="314" w:name="_Toc325456770"/>
      <w:r>
        <w:t>Aus mehreren Merkmalsregeln</w:t>
      </w:r>
      <w:bookmarkEnd w:id="313"/>
      <w:bookmarkEnd w:id="314"/>
    </w:p>
    <w:p w:rsidR="001F7076" w:rsidRPr="001F7076" w:rsidRDefault="001F7076" w:rsidP="009A301E">
      <w:pPr>
        <w:pStyle w:val="Text"/>
        <w:keepNext/>
        <w:ind w:firstLine="0"/>
        <w:rPr>
          <w:i/>
        </w:rPr>
      </w:pPr>
      <w:r>
        <w:t>Ergebnisse werden nur dann aus mehreren Merkmalsregeln erzeugt, wenn sie nicht auch aus einer Teilmenge dieser Merkmalsregeln erzeugt werden kön</w:t>
      </w:r>
      <w:r>
        <w:t>n</w:t>
      </w:r>
      <w:r>
        <w:t>ten.</w:t>
      </w:r>
      <w:r>
        <w:rPr>
          <w:rStyle w:val="Funotenzeichen"/>
        </w:rPr>
        <w:footnoteReference w:id="418"/>
      </w:r>
    </w:p>
    <w:p w:rsidR="00EF61F5" w:rsidRDefault="00A005F2" w:rsidP="00EF61F5">
      <w:pPr>
        <w:pStyle w:val="Titel5"/>
      </w:pPr>
      <w:bookmarkStart w:id="315" w:name="_Ref260072340"/>
      <w:bookmarkStart w:id="316" w:name="_Toc325456771"/>
      <w:r>
        <w:t xml:space="preserve">Ohne </w:t>
      </w:r>
      <w:r w:rsidR="004C6A54">
        <w:t xml:space="preserve">frühere </w:t>
      </w:r>
      <w:r>
        <w:t xml:space="preserve">Ergebnisse, ohne </w:t>
      </w:r>
      <w:r w:rsidRPr="009B6406">
        <w:t>H</w:t>
      </w:r>
      <w:r>
        <w:t>intergrundwissen</w:t>
      </w:r>
      <w:bookmarkEnd w:id="315"/>
      <w:bookmarkEnd w:id="316"/>
    </w:p>
    <w:p w:rsidR="0094591A" w:rsidRDefault="00CF7E9C" w:rsidP="005B4DC0">
      <w:pPr>
        <w:pStyle w:val="Text"/>
        <w:ind w:firstLine="0"/>
      </w:pPr>
      <w:r>
        <w:t xml:space="preserve">Auch ohne Verwendung von </w:t>
      </w:r>
      <w:r w:rsidR="00F0541C">
        <w:t xml:space="preserve">Hintergrundwissen </w:t>
      </w:r>
      <w:r>
        <w:t>gibt es verschiedene Möglic</w:t>
      </w:r>
      <w:r>
        <w:t>h</w:t>
      </w:r>
      <w:r>
        <w:t xml:space="preserve">keiten, wie Ergebnisse erzeugt werden können, für die mehrere Merkmalsregeln nötig sind. </w:t>
      </w:r>
      <w:r w:rsidR="002A795F">
        <w:t xml:space="preserve">Dazu gehören beispielsweise relationale Eigenschaften </w:t>
      </w:r>
      <w:r w:rsidR="009D0E95">
        <w:t xml:space="preserve">(siehe 1. und 2.), </w:t>
      </w:r>
      <w:r w:rsidR="002A795F">
        <w:t>Relationen zwischen den verlangten Eigenschaften verschiedener Merkmal</w:t>
      </w:r>
      <w:r w:rsidR="002A795F">
        <w:t>s</w:t>
      </w:r>
      <w:r w:rsidR="002A795F">
        <w:t>regeln</w:t>
      </w:r>
      <w:r>
        <w:t xml:space="preserve"> (siehe </w:t>
      </w:r>
      <w:r w:rsidR="009D0E95">
        <w:t>2</w:t>
      </w:r>
      <w:r>
        <w:t>.</w:t>
      </w:r>
      <w:r w:rsidR="00653CF0">
        <w:t xml:space="preserve"> und 3.</w:t>
      </w:r>
      <w:r>
        <w:t>) sowie</w:t>
      </w:r>
      <w:r w:rsidR="0094591A">
        <w:t xml:space="preserve"> Operationen</w:t>
      </w:r>
      <w:r>
        <w:t xml:space="preserve"> wie Assoziation (siehe </w:t>
      </w:r>
      <w:r w:rsidR="009D0E95">
        <w:t>1</w:t>
      </w:r>
      <w:r>
        <w:t>.</w:t>
      </w:r>
      <w:r w:rsidR="009D0E95">
        <w:t xml:space="preserve"> oder 2.</w:t>
      </w:r>
      <w:r>
        <w:t>)</w:t>
      </w:r>
      <w:r w:rsidR="009D0E95">
        <w:t xml:space="preserve">, </w:t>
      </w:r>
      <w:r w:rsidR="009D0E95">
        <w:lastRenderedPageBreak/>
        <w:t xml:space="preserve">Induktion (siehe 1.), </w:t>
      </w:r>
      <w:r>
        <w:t xml:space="preserve">Gefühlsreaktion </w:t>
      </w:r>
      <w:r w:rsidR="009D0E95">
        <w:t xml:space="preserve">(vgl. </w:t>
      </w:r>
      <w:r w:rsidR="005D7996">
        <w:fldChar w:fldCharType="begin"/>
      </w:r>
      <w:r w:rsidR="009D0E95">
        <w:instrText xml:space="preserve"> REF _Ref260072259 \r \h </w:instrText>
      </w:r>
      <w:r w:rsidR="005D7996">
        <w:fldChar w:fldCharType="separate"/>
      </w:r>
      <w:r w:rsidR="001231D3">
        <w:t>6.3.1.1</w:t>
      </w:r>
      <w:r w:rsidR="005D7996">
        <w:fldChar w:fldCharType="end"/>
      </w:r>
      <w:r w:rsidR="009D0E95">
        <w:t xml:space="preserve">, 1. Beispiel) </w:t>
      </w:r>
      <w:r>
        <w:t>oder Eindruck</w:t>
      </w:r>
      <w:r>
        <w:t>s</w:t>
      </w:r>
      <w:r>
        <w:t>reaktion</w:t>
      </w:r>
      <w:r w:rsidR="009D0E95">
        <w:t xml:space="preserve"> (vgl. </w:t>
      </w:r>
      <w:r w:rsidR="005D7996">
        <w:fldChar w:fldCharType="begin"/>
      </w:r>
      <w:r w:rsidR="009D0E95">
        <w:instrText xml:space="preserve"> REF _Ref260072259 \r \h </w:instrText>
      </w:r>
      <w:r w:rsidR="005D7996">
        <w:fldChar w:fldCharType="separate"/>
      </w:r>
      <w:r w:rsidR="001231D3">
        <w:t>6.3.1.1</w:t>
      </w:r>
      <w:r w:rsidR="005D7996">
        <w:fldChar w:fldCharType="end"/>
      </w:r>
      <w:r w:rsidR="009D0E95">
        <w:t>, 2. Beispiel)</w:t>
      </w:r>
      <w:r>
        <w:t>.</w:t>
      </w:r>
    </w:p>
    <w:p w:rsidR="002464D3" w:rsidRDefault="002464D3" w:rsidP="009A301E">
      <w:pPr>
        <w:pStyle w:val="Interpretation1Zeile"/>
      </w:pPr>
      <w:r>
        <w:t>1.</w:t>
      </w:r>
      <w:r>
        <w:tab/>
        <w:t>Verhaltensschema ‚Einkaufen (für den täglichen Bedarf)‘</w:t>
      </w:r>
    </w:p>
    <w:p w:rsidR="002464D3" w:rsidRDefault="002464D3" w:rsidP="009A301E">
      <w:pPr>
        <w:pStyle w:val="Interpretation"/>
      </w:pPr>
      <w:r>
        <w:rPr>
          <w:i/>
        </w:rPr>
        <w:t>U</w:t>
      </w:r>
      <w:r>
        <w:t>(</w:t>
      </w:r>
      <w:r>
        <w:rPr>
          <w:i/>
        </w:rPr>
        <w:t>B</w:t>
      </w:r>
      <w:r>
        <w:rPr>
          <w:vertAlign w:val="subscript"/>
        </w:rPr>
        <w:t>1</w:t>
      </w:r>
      <w:r>
        <w:t xml:space="preserve">): ‚Auswahl der gekauften Produkte‘, </w:t>
      </w:r>
      <w:r>
        <w:rPr>
          <w:i/>
        </w:rPr>
        <w:t>V</w:t>
      </w:r>
      <w:r>
        <w:t>(</w:t>
      </w:r>
      <w:r>
        <w:rPr>
          <w:i/>
        </w:rPr>
        <w:t>B</w:t>
      </w:r>
      <w:r>
        <w:rPr>
          <w:vertAlign w:val="subscript"/>
        </w:rPr>
        <w:t>1</w:t>
      </w:r>
      <w:r>
        <w:t>): ‚Produkte guter Qualität; [v-rel] bei Produkten vergleichbarer Qualität das billigste Produkt‘</w:t>
      </w:r>
    </w:p>
    <w:p w:rsidR="002464D3" w:rsidRDefault="002464D3" w:rsidP="00843F7A">
      <w:pPr>
        <w:pStyle w:val="Formel"/>
      </w:pPr>
      <w:r>
        <w:rPr>
          <w:i/>
          <w:iCs/>
        </w:rPr>
        <w:t>B</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1</w:t>
      </w:r>
    </w:p>
    <w:p w:rsidR="002464D3" w:rsidRDefault="002464D3" w:rsidP="009A301E">
      <w:pPr>
        <w:pStyle w:val="Interpretation"/>
      </w:pPr>
      <w:r>
        <w:rPr>
          <w:i/>
        </w:rPr>
        <w:t>Er</w:t>
      </w:r>
      <w:r>
        <w:rPr>
          <w:vertAlign w:val="subscript"/>
        </w:rPr>
        <w:t>1</w:t>
      </w:r>
      <w:r>
        <w:t>: ‚SN ist in erster Hinsicht qualitätsbewusst, in zweiter Hinsicht preisb</w:t>
      </w:r>
      <w:r>
        <w:t>e</w:t>
      </w:r>
      <w:r>
        <w:t>wusst‘</w:t>
      </w:r>
    </w:p>
    <w:p w:rsidR="002464D3" w:rsidRDefault="002464D3" w:rsidP="009A301E">
      <w:pPr>
        <w:pStyle w:val="Interpretation"/>
      </w:pPr>
      <w:r>
        <w:rPr>
          <w:i/>
        </w:rPr>
        <w:t>U</w:t>
      </w:r>
      <w:r>
        <w:t>(</w:t>
      </w:r>
      <w:r>
        <w:rPr>
          <w:i/>
        </w:rPr>
        <w:t>B</w:t>
      </w:r>
      <w:r>
        <w:rPr>
          <w:vertAlign w:val="subscript"/>
        </w:rPr>
        <w:t>2</w:t>
      </w:r>
      <w:r>
        <w:t xml:space="preserve">): ‚zuerst auf den Preis geprüftes Produkt‘, </w:t>
      </w:r>
      <w:r>
        <w:rPr>
          <w:i/>
        </w:rPr>
        <w:t>V</w:t>
      </w:r>
      <w:r>
        <w:t>(</w:t>
      </w:r>
      <w:r>
        <w:rPr>
          <w:i/>
        </w:rPr>
        <w:t>B</w:t>
      </w:r>
      <w:r>
        <w:rPr>
          <w:vertAlign w:val="subscript"/>
        </w:rPr>
        <w:t>2</w:t>
      </w:r>
      <w:r>
        <w:t>): ‚[v-rel] Produkt mit der schlichtesten Verpackung‘</w:t>
      </w:r>
    </w:p>
    <w:p w:rsidR="002464D3" w:rsidRDefault="002464D3" w:rsidP="009A301E">
      <w:pPr>
        <w:pStyle w:val="Interpretation"/>
      </w:pPr>
      <w:r>
        <w:rPr>
          <w:i/>
        </w:rPr>
        <w:t>U</w:t>
      </w:r>
      <w:r>
        <w:t>(</w:t>
      </w:r>
      <w:r>
        <w:rPr>
          <w:i/>
        </w:rPr>
        <w:t>B</w:t>
      </w:r>
      <w:r w:rsidRPr="00620001">
        <w:rPr>
          <w:vertAlign w:val="subscript"/>
        </w:rPr>
        <w:t>3</w:t>
      </w:r>
      <w:r>
        <w:t xml:space="preserve">): ‚Marken der gekauften Produkte‘, </w:t>
      </w:r>
      <w:r>
        <w:rPr>
          <w:i/>
        </w:rPr>
        <w:t>V</w:t>
      </w:r>
      <w:r>
        <w:t>(</w:t>
      </w:r>
      <w:r>
        <w:rPr>
          <w:i/>
        </w:rPr>
        <w:t>B</w:t>
      </w:r>
      <w:r w:rsidRPr="00620001">
        <w:rPr>
          <w:vertAlign w:val="subscript"/>
        </w:rPr>
        <w:t>3</w:t>
      </w:r>
      <w:r>
        <w:t>): ‚[h-rel] innerhalb eines Ei</w:t>
      </w:r>
      <w:r>
        <w:t>n</w:t>
      </w:r>
      <w:r>
        <w:t>kaufs dieselbe Marke</w:t>
      </w:r>
      <w:r w:rsidR="005D7996">
        <w:fldChar w:fldCharType="begin"/>
      </w:r>
      <w:r w:rsidR="007E6B9E">
        <w:instrText xml:space="preserve"> XE "</w:instrText>
      </w:r>
      <w:r w:rsidR="007E6B9E" w:rsidRPr="00624394">
        <w:instrText>Marke</w:instrText>
      </w:r>
      <w:r w:rsidR="007E6B9E">
        <w:instrText xml:space="preserve">" </w:instrText>
      </w:r>
      <w:r w:rsidR="005D7996">
        <w:fldChar w:fldCharType="end"/>
      </w:r>
      <w:r>
        <w:t>; [h-rel] bei verschiedenen Einkäufen verschiedene Marken‘</w:t>
      </w:r>
    </w:p>
    <w:p w:rsidR="002464D3" w:rsidRDefault="002464D3" w:rsidP="00843F7A">
      <w:pPr>
        <w:pStyle w:val="Formel"/>
        <w:rPr>
          <w:vertAlign w:val="subscript"/>
        </w:rPr>
      </w:pPr>
      <w:r>
        <w:rPr>
          <w:i/>
          <w:iCs/>
        </w:rPr>
        <w:t>B</w:t>
      </w:r>
      <w:r>
        <w:rPr>
          <w:iCs/>
          <w:vertAlign w:val="subscript"/>
        </w:rPr>
        <w:t>2</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3</w:t>
      </w:r>
      <w:r w:rsidR="001B6A44">
        <w:rPr>
          <w:iCs/>
        </w:rPr>
        <w:t xml:space="preserve"> </w:t>
      </w:r>
      <w:r w:rsidRPr="00D41E3E">
        <w:rPr>
          <w:rFonts w:ascii="Cambria Math" w:hAnsi="Cambria Math" w:cs="Cambria Math"/>
        </w:rPr>
        <w:t>∧</w:t>
      </w:r>
      <w:r w:rsidRPr="00D41E3E">
        <w:rPr>
          <w:rFonts w:cs="Times New Roman"/>
        </w:rPr>
        <w:t xml:space="preserve"> </w:t>
      </w:r>
      <w:r>
        <w:rPr>
          <w:i/>
          <w:iCs/>
        </w:rPr>
        <w:t>Er</w:t>
      </w:r>
      <w:r w:rsidRPr="00CB47BC">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2</w:t>
      </w:r>
    </w:p>
    <w:p w:rsidR="002464D3" w:rsidRDefault="002464D3" w:rsidP="009A301E">
      <w:pPr>
        <w:pStyle w:val="InterpretationletzteZeile"/>
      </w:pPr>
      <w:r>
        <w:rPr>
          <w:i/>
        </w:rPr>
        <w:t>Er</w:t>
      </w:r>
      <w:r>
        <w:rPr>
          <w:vertAlign w:val="subscript"/>
        </w:rPr>
        <w:t>2</w:t>
      </w:r>
      <w:r>
        <w:t>: ‚SN versucht, mit bestimmten Techniken die Kosten des Einkaufs ohne Abstriche bei der Qualität zu optimieren‘</w:t>
      </w:r>
    </w:p>
    <w:p w:rsidR="002464D3" w:rsidRDefault="002464D3" w:rsidP="009A301E">
      <w:pPr>
        <w:pStyle w:val="Text"/>
        <w:ind w:firstLine="0"/>
      </w:pPr>
      <w:r>
        <w:t xml:space="preserve">Mittels einer Abduktion wird auf die Verhaltensregel </w:t>
      </w:r>
      <w:r>
        <w:rPr>
          <w:i/>
          <w:iCs/>
        </w:rPr>
        <w:t>Er</w:t>
      </w:r>
      <w:r>
        <w:rPr>
          <w:vertAlign w:val="subscript"/>
        </w:rPr>
        <w:t>2</w:t>
      </w:r>
      <w:r>
        <w:t xml:space="preserve"> geschlossen, die die Merkmalsregeln erklären kann: </w:t>
      </w:r>
      <w:r>
        <w:rPr>
          <w:i/>
          <w:iCs/>
        </w:rPr>
        <w:t>B</w:t>
      </w:r>
      <w:r>
        <w:rPr>
          <w:iCs/>
          <w:vertAlign w:val="subscript"/>
        </w:rPr>
        <w:t>2</w:t>
      </w:r>
      <w:r>
        <w:t xml:space="preserve"> wird als Optimierungsmaßnahme erklärt, um möglichst schnell das Produkt mit dem besten Preis-Qualitäts-Verhältnis zu finden, da aufwendige Verpackungen Geld kosten. </w:t>
      </w:r>
      <w:r>
        <w:rPr>
          <w:i/>
          <w:iCs/>
        </w:rPr>
        <w:t>B</w:t>
      </w:r>
      <w:r>
        <w:rPr>
          <w:iCs/>
          <w:vertAlign w:val="subscript"/>
        </w:rPr>
        <w:t>3</w:t>
      </w:r>
      <w:r>
        <w:t xml:space="preserve"> wird als Optimierung</w:t>
      </w:r>
      <w:r>
        <w:t>s</w:t>
      </w:r>
      <w:r>
        <w:t xml:space="preserve">maßnahme erklärt, um Marken systematisch auf ihre Qualität und ihr Preis-Qualitäts-Verhältnis zu testen. Das in einem früheren Interpretationsschritt gewonnene Ergebnis </w:t>
      </w:r>
      <w:r>
        <w:rPr>
          <w:i/>
          <w:iCs/>
        </w:rPr>
        <w:t>Er</w:t>
      </w:r>
      <w:r>
        <w:rPr>
          <w:iCs/>
          <w:vertAlign w:val="subscript"/>
        </w:rPr>
        <w:t>1</w:t>
      </w:r>
      <w:r>
        <w:t xml:space="preserve"> weist hier in die entscheidende Richtung: Die dort sp</w:t>
      </w:r>
      <w:r>
        <w:t>e</w:t>
      </w:r>
      <w:r>
        <w:t xml:space="preserve">zifizierten Ziele des SN beim Einkaufen machen die Merkmalsregeln </w:t>
      </w:r>
      <w:r>
        <w:rPr>
          <w:i/>
          <w:iCs/>
        </w:rPr>
        <w:t>B</w:t>
      </w:r>
      <w:r>
        <w:rPr>
          <w:iCs/>
          <w:vertAlign w:val="subscript"/>
        </w:rPr>
        <w:t>2</w:t>
      </w:r>
      <w:r>
        <w:t xml:space="preserve"> und </w:t>
      </w:r>
      <w:r>
        <w:rPr>
          <w:i/>
          <w:iCs/>
        </w:rPr>
        <w:t>B</w:t>
      </w:r>
      <w:r>
        <w:rPr>
          <w:iCs/>
          <w:vertAlign w:val="subscript"/>
        </w:rPr>
        <w:t>3</w:t>
      </w:r>
      <w:r>
        <w:t>, die sonst skurril wirken könnten, als rationales Verhalten erklärbar.</w:t>
      </w:r>
    </w:p>
    <w:p w:rsidR="002464D3" w:rsidRDefault="002464D3" w:rsidP="00843F7A">
      <w:pPr>
        <w:pStyle w:val="Interpretation1Zeile"/>
      </w:pPr>
      <w:r>
        <w:rPr>
          <w:i/>
        </w:rPr>
        <w:t>U</w:t>
      </w:r>
      <w:r>
        <w:t>(</w:t>
      </w:r>
      <w:r>
        <w:rPr>
          <w:i/>
        </w:rPr>
        <w:t>B</w:t>
      </w:r>
      <w:r>
        <w:rPr>
          <w:vertAlign w:val="subscript"/>
        </w:rPr>
        <w:t>4</w:t>
      </w:r>
      <w:r>
        <w:t xml:space="preserve">): ‚gekaufte Produkte‘, </w:t>
      </w:r>
      <w:r>
        <w:rPr>
          <w:i/>
        </w:rPr>
        <w:t>V</w:t>
      </w:r>
      <w:r>
        <w:t>(</w:t>
      </w:r>
      <w:r>
        <w:rPr>
          <w:i/>
        </w:rPr>
        <w:t>B</w:t>
      </w:r>
      <w:r>
        <w:rPr>
          <w:vertAlign w:val="subscript"/>
        </w:rPr>
        <w:t>4</w:t>
      </w:r>
      <w:r>
        <w:t>): ‚[v-rel] in unterdurchschnittlicher Anzahl im Regal‘</w:t>
      </w:r>
    </w:p>
    <w:p w:rsidR="002464D3" w:rsidRDefault="002464D3" w:rsidP="00843F7A">
      <w:pPr>
        <w:pStyle w:val="Interpretation"/>
      </w:pPr>
      <w:r>
        <w:rPr>
          <w:i/>
        </w:rPr>
        <w:t>U</w:t>
      </w:r>
      <w:r>
        <w:t>(</w:t>
      </w:r>
      <w:r>
        <w:rPr>
          <w:i/>
        </w:rPr>
        <w:t>B</w:t>
      </w:r>
      <w:r>
        <w:rPr>
          <w:vertAlign w:val="subscript"/>
        </w:rPr>
        <w:t>5</w:t>
      </w:r>
      <w:r>
        <w:t xml:space="preserve">): ‚große Einkäufe‘, </w:t>
      </w:r>
      <w:r>
        <w:rPr>
          <w:i/>
        </w:rPr>
        <w:t>V</w:t>
      </w:r>
      <w:r>
        <w:t>(</w:t>
      </w:r>
      <w:r>
        <w:rPr>
          <w:i/>
        </w:rPr>
        <w:t>B</w:t>
      </w:r>
      <w:r>
        <w:rPr>
          <w:vertAlign w:val="subscript"/>
        </w:rPr>
        <w:t>5</w:t>
      </w:r>
      <w:r>
        <w:t>): ‚[v-rel] überdurchschnittlich häufig im Ve</w:t>
      </w:r>
      <w:r>
        <w:t>r</w:t>
      </w:r>
      <w:r>
        <w:t xml:space="preserve">gleich zum Durchschnitt aller Käufer; mitten in der Woche ohne besonderen Anlass‘, </w:t>
      </w:r>
      <w:r>
        <w:rPr>
          <w:i/>
        </w:rPr>
        <w:t>w</w:t>
      </w:r>
      <w:r>
        <w:t>(</w:t>
      </w:r>
      <w:r>
        <w:rPr>
          <w:i/>
        </w:rPr>
        <w:t>B</w:t>
      </w:r>
      <w:r>
        <w:rPr>
          <w:vertAlign w:val="subscript"/>
        </w:rPr>
        <w:t>5</w:t>
      </w:r>
      <w:r>
        <w:t>): 0,2</w:t>
      </w:r>
    </w:p>
    <w:p w:rsidR="002464D3" w:rsidRDefault="002464D3" w:rsidP="00843F7A">
      <w:pPr>
        <w:pStyle w:val="Interpretation"/>
      </w:pPr>
      <w:r>
        <w:rPr>
          <w:i/>
        </w:rPr>
        <w:t>U</w:t>
      </w:r>
      <w:r>
        <w:t>(</w:t>
      </w:r>
      <w:r>
        <w:rPr>
          <w:i/>
        </w:rPr>
        <w:t>B</w:t>
      </w:r>
      <w:r>
        <w:rPr>
          <w:vertAlign w:val="subscript"/>
        </w:rPr>
        <w:t>6</w:t>
      </w:r>
      <w:r>
        <w:t xml:space="preserve">): ‚zum Einkauf mitgenommenes Geld‘, </w:t>
      </w:r>
      <w:r>
        <w:rPr>
          <w:i/>
        </w:rPr>
        <w:t>V</w:t>
      </w:r>
      <w:r>
        <w:t>(</w:t>
      </w:r>
      <w:r>
        <w:rPr>
          <w:i/>
        </w:rPr>
        <w:t>B</w:t>
      </w:r>
      <w:r>
        <w:rPr>
          <w:vertAlign w:val="subscript"/>
        </w:rPr>
        <w:t>6</w:t>
      </w:r>
      <w:r>
        <w:t xml:space="preserve">): ‚möglichst genau 100 </w:t>
      </w:r>
      <w:r>
        <w:rPr>
          <w:rFonts w:ascii="Times New Roman" w:hAnsi="Times New Roman" w:cs="Times New Roman"/>
        </w:rPr>
        <w:t>€</w:t>
      </w:r>
      <w:r>
        <w:rPr>
          <w:rFonts w:cs="OrigGarmnd BT"/>
        </w:rPr>
        <w:t xml:space="preserve">; wird vorher am Bankautomaten abgehoben; wird beim Einkauf maximal zur Hälfte ausgegeben‘, </w:t>
      </w:r>
      <w:r>
        <w:rPr>
          <w:i/>
        </w:rPr>
        <w:t>w</w:t>
      </w:r>
      <w:r>
        <w:t>(</w:t>
      </w:r>
      <w:r>
        <w:rPr>
          <w:i/>
        </w:rPr>
        <w:t>B</w:t>
      </w:r>
      <w:r>
        <w:rPr>
          <w:vertAlign w:val="subscript"/>
        </w:rPr>
        <w:t>6</w:t>
      </w:r>
      <w:r>
        <w:t xml:space="preserve">): 1, </w:t>
      </w:r>
      <w:r>
        <w:rPr>
          <w:i/>
        </w:rPr>
        <w:t>p</w:t>
      </w:r>
      <w:r>
        <w:t>(</w:t>
      </w:r>
      <w:r>
        <w:rPr>
          <w:i/>
        </w:rPr>
        <w:t>B</w:t>
      </w:r>
      <w:r>
        <w:rPr>
          <w:vertAlign w:val="subscript"/>
        </w:rPr>
        <w:t>6</w:t>
      </w:r>
      <w:r>
        <w:t>): 1</w:t>
      </w:r>
    </w:p>
    <w:p w:rsidR="002464D3" w:rsidRDefault="002464D3" w:rsidP="00843F7A">
      <w:pPr>
        <w:pStyle w:val="Formel"/>
        <w:rPr>
          <w:vertAlign w:val="subscript"/>
        </w:rPr>
      </w:pPr>
      <w:r>
        <w:rPr>
          <w:i/>
          <w:iCs/>
        </w:rPr>
        <w:t>B</w:t>
      </w:r>
      <w:r>
        <w:rPr>
          <w:iCs/>
          <w:vertAlign w:val="subscript"/>
        </w:rPr>
        <w:t>6</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3</w:t>
      </w:r>
    </w:p>
    <w:p w:rsidR="002464D3" w:rsidRDefault="002464D3" w:rsidP="00843F7A">
      <w:pPr>
        <w:pStyle w:val="Interpretation"/>
      </w:pPr>
      <w:r>
        <w:rPr>
          <w:i/>
        </w:rPr>
        <w:t>Er</w:t>
      </w:r>
      <w:r>
        <w:rPr>
          <w:vertAlign w:val="subscript"/>
        </w:rPr>
        <w:t>3</w:t>
      </w:r>
      <w:r>
        <w:t>: ‚SN zeigt bezüglich des mitgenommenen Geldes zwanghaftes Verhalten‘</w:t>
      </w:r>
    </w:p>
    <w:p w:rsidR="002464D3" w:rsidRDefault="002464D3" w:rsidP="00843F7A">
      <w:pPr>
        <w:pStyle w:val="Formel"/>
      </w:pPr>
      <w:r>
        <w:rPr>
          <w:i/>
          <w:iCs/>
        </w:rPr>
        <w:t>B</w:t>
      </w:r>
      <w:r>
        <w:rPr>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3</w:t>
      </w:r>
      <w:r w:rsidR="001B6A44">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4</w:t>
      </w:r>
      <w: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5</w:t>
      </w:r>
      <w:r w:rsidR="001B6A44">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6</w:t>
      </w:r>
      <w:r>
        <w:rPr>
          <w:rFonts w:cs="Times New Roman"/>
        </w:rP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3</w:t>
      </w:r>
      <w:r>
        <w:rPr>
          <w:rFonts w:cs="Times New Roman"/>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4</w:t>
      </w:r>
    </w:p>
    <w:p w:rsidR="002464D3" w:rsidRDefault="002464D3" w:rsidP="00843F7A">
      <w:pPr>
        <w:pStyle w:val="InterpretationletzteZeile"/>
      </w:pPr>
      <w:r>
        <w:rPr>
          <w:i/>
        </w:rPr>
        <w:lastRenderedPageBreak/>
        <w:t>Er</w:t>
      </w:r>
      <w:r>
        <w:rPr>
          <w:vertAlign w:val="subscript"/>
        </w:rPr>
        <w:t>4</w:t>
      </w:r>
      <w:r>
        <w:t>: ‚SN hat sich beim Einkaufen in einer Reihe von zwanghaften Verhalten</w:t>
      </w:r>
      <w:r>
        <w:t>s</w:t>
      </w:r>
      <w:r>
        <w:t>mustern verfangen‘</w:t>
      </w:r>
    </w:p>
    <w:p w:rsidR="002464D3" w:rsidRDefault="002464D3" w:rsidP="00843F7A">
      <w:pPr>
        <w:pStyle w:val="Text"/>
        <w:ind w:firstLine="0"/>
      </w:pPr>
      <w:r>
        <w:t xml:space="preserve">Die neu berücksichtigten Merkmalsregeln </w:t>
      </w:r>
      <w:r>
        <w:rPr>
          <w:i/>
          <w:iCs/>
        </w:rPr>
        <w:t>B</w:t>
      </w:r>
      <w:r>
        <w:rPr>
          <w:vertAlign w:val="subscript"/>
        </w:rPr>
        <w:t>4</w:t>
      </w:r>
      <w:r>
        <w:t xml:space="preserve"> bis </w:t>
      </w:r>
      <w:r>
        <w:rPr>
          <w:i/>
          <w:iCs/>
        </w:rPr>
        <w:t>B</w:t>
      </w:r>
      <w:r>
        <w:rPr>
          <w:vertAlign w:val="subscript"/>
        </w:rPr>
        <w:t>6</w:t>
      </w:r>
      <w:r>
        <w:t xml:space="preserve"> lassen sich nicht mit der Hypothese eines rationalen Optimierungsverhaltens vereinbaren. Alle sechs berücksichtigen Merkmalsregeln lassen sich jedoch aus der Annahme eines zwanghaften Verhaltens erklären. Die meisten der Merkmalsregeln sind jedoch nicht eindeutig zwanghaft; so lässt sich </w:t>
      </w:r>
      <w:r>
        <w:rPr>
          <w:i/>
          <w:iCs/>
        </w:rPr>
        <w:t>B</w:t>
      </w:r>
      <w:r>
        <w:rPr>
          <w:vertAlign w:val="subscript"/>
        </w:rPr>
        <w:t>4</w:t>
      </w:r>
      <w:r>
        <w:t xml:space="preserve"> auch durch Neugier auf Neues erkl</w:t>
      </w:r>
      <w:r>
        <w:t>ä</w:t>
      </w:r>
      <w:r>
        <w:t xml:space="preserve">ren und </w:t>
      </w:r>
      <w:r>
        <w:rPr>
          <w:i/>
          <w:iCs/>
        </w:rPr>
        <w:t>B</w:t>
      </w:r>
      <w:r>
        <w:rPr>
          <w:vertAlign w:val="subscript"/>
        </w:rPr>
        <w:t>5</w:t>
      </w:r>
      <w:r>
        <w:t xml:space="preserve"> wirkt zwar merkwürdig, ist aber aufgrund des niedrigen </w:t>
      </w:r>
      <w:r w:rsidRPr="007A7A5E">
        <w:rPr>
          <w:i/>
        </w:rPr>
        <w:t>w</w:t>
      </w:r>
      <w:r>
        <w:t xml:space="preserve"> nicht b</w:t>
      </w:r>
      <w:r>
        <w:t>e</w:t>
      </w:r>
      <w:r>
        <w:t>sonders ausgeprägt.</w:t>
      </w:r>
    </w:p>
    <w:p w:rsidR="002464D3" w:rsidRDefault="002464D3" w:rsidP="00EF61F5">
      <w:pPr>
        <w:pStyle w:val="Text"/>
      </w:pPr>
      <w:r>
        <w:t xml:space="preserve">Erst </w:t>
      </w:r>
      <w:r>
        <w:rPr>
          <w:i/>
          <w:iCs/>
        </w:rPr>
        <w:t>B</w:t>
      </w:r>
      <w:r>
        <w:rPr>
          <w:vertAlign w:val="subscript"/>
        </w:rPr>
        <w:t>6</w:t>
      </w:r>
      <w:r>
        <w:t xml:space="preserve"> ist eindeutig zwanghaft: Dieses Verhalten macht keinerlei Sinn, ist stark ausgeprägt (hohes </w:t>
      </w:r>
      <w:r w:rsidRPr="007A7A5E">
        <w:rPr>
          <w:i/>
        </w:rPr>
        <w:t>w</w:t>
      </w:r>
      <w:r>
        <w:t xml:space="preserve">) und setzt sich gegen andere Stileigenschaften durch (hohes </w:t>
      </w:r>
      <w:r w:rsidRPr="007A7A5E">
        <w:rPr>
          <w:i/>
        </w:rPr>
        <w:t>p</w:t>
      </w:r>
      <w:r>
        <w:t xml:space="preserve">). </w:t>
      </w:r>
      <w:r>
        <w:rPr>
          <w:i/>
          <w:iCs/>
        </w:rPr>
        <w:t>B</w:t>
      </w:r>
      <w:r>
        <w:rPr>
          <w:vertAlign w:val="subscript"/>
        </w:rPr>
        <w:t>6</w:t>
      </w:r>
      <w:r>
        <w:t xml:space="preserve"> lässt daher in diesem Beispiel den Stilinterpreten assoziieren, es könne sich um zwanghaftes Verhalten handeln (</w:t>
      </w:r>
      <w:r>
        <w:rPr>
          <w:i/>
          <w:iCs/>
        </w:rPr>
        <w:t>Er</w:t>
      </w:r>
      <w:r>
        <w:rPr>
          <w:vertAlign w:val="subscript"/>
        </w:rPr>
        <w:t>3</w:t>
      </w:r>
      <w:r>
        <w:t>). Diese Erklärung wird nun durch eine Induktion auf die anderen Merkmalsregeln erweitert.</w:t>
      </w:r>
    </w:p>
    <w:p w:rsidR="00E42256" w:rsidRDefault="00F12A61" w:rsidP="00843F7A">
      <w:pPr>
        <w:pStyle w:val="Interpretation1Zeile"/>
      </w:pPr>
      <w:r>
        <w:t>2</w:t>
      </w:r>
      <w:r w:rsidR="00E42256">
        <w:t>.</w:t>
      </w:r>
      <w:r w:rsidR="00E42256">
        <w:tab/>
        <w:t xml:space="preserve">Verhaltensschema </w:t>
      </w:r>
      <w:r w:rsidR="00E42256" w:rsidRPr="00F8759D">
        <w:t>‚</w:t>
      </w:r>
      <w:r w:rsidR="00B255CB">
        <w:t>Boxen</w:t>
      </w:r>
      <w:r w:rsidR="00E42256">
        <w:t>‘</w:t>
      </w:r>
    </w:p>
    <w:p w:rsidR="00E42256" w:rsidRDefault="00E42256" w:rsidP="00843F7A">
      <w:pPr>
        <w:pStyle w:val="Interpretation"/>
      </w:pPr>
      <w:r w:rsidRPr="00F8759D">
        <w:rPr>
          <w:i/>
        </w:rPr>
        <w:t>U</w:t>
      </w:r>
      <w:r w:rsidRPr="00F8759D">
        <w:t>(</w:t>
      </w:r>
      <w:r w:rsidRPr="00F8759D">
        <w:rPr>
          <w:i/>
        </w:rPr>
        <w:t>B</w:t>
      </w:r>
      <w:r w:rsidR="00075E02" w:rsidRPr="0062421C">
        <w:rPr>
          <w:vertAlign w:val="subscript"/>
        </w:rPr>
        <w:t>1</w:t>
      </w:r>
      <w:r w:rsidRPr="00F8759D">
        <w:t>): ‚</w:t>
      </w:r>
      <w:r w:rsidR="00B255CB">
        <w:t xml:space="preserve">Schlagtechnik‘, </w:t>
      </w:r>
      <w:r w:rsidR="00B255CB">
        <w:rPr>
          <w:i/>
        </w:rPr>
        <w:t>V</w:t>
      </w:r>
      <w:r w:rsidR="00B255CB" w:rsidRPr="00F8759D">
        <w:t>(</w:t>
      </w:r>
      <w:r w:rsidR="00B255CB" w:rsidRPr="00F8759D">
        <w:rPr>
          <w:i/>
        </w:rPr>
        <w:t>B</w:t>
      </w:r>
      <w:r w:rsidR="00075E02" w:rsidRPr="0062421C">
        <w:rPr>
          <w:vertAlign w:val="subscript"/>
        </w:rPr>
        <w:t>1</w:t>
      </w:r>
      <w:r w:rsidR="00B255CB" w:rsidRPr="00F8759D">
        <w:t>): ‚</w:t>
      </w:r>
      <w:r w:rsidR="008E1EA2">
        <w:t>[</w:t>
      </w:r>
      <w:r w:rsidR="006567E5">
        <w:t>v-rel</w:t>
      </w:r>
      <w:r w:rsidR="00B255CB">
        <w:t xml:space="preserve">] </w:t>
      </w:r>
      <w:r w:rsidR="0021631B">
        <w:t>selten</w:t>
      </w:r>
      <w:r w:rsidR="001A7067">
        <w:t>;</w:t>
      </w:r>
      <w:r w:rsidR="00B255CB">
        <w:t xml:space="preserve"> [</w:t>
      </w:r>
      <w:r w:rsidR="006567E5">
        <w:t>v-rel</w:t>
      </w:r>
      <w:r w:rsidR="001A7067">
        <w:t>] untypisch;</w:t>
      </w:r>
      <w:r w:rsidR="00B255CB">
        <w:t xml:space="preserve"> [</w:t>
      </w:r>
      <w:r w:rsidR="006567E5">
        <w:t>v-rel</w:t>
      </w:r>
      <w:r w:rsidR="00B255CB">
        <w:t>] nicht richtig‘</w:t>
      </w:r>
    </w:p>
    <w:p w:rsidR="00B255CB" w:rsidRDefault="00B255CB" w:rsidP="00843F7A">
      <w:pPr>
        <w:pStyle w:val="Interpretation"/>
      </w:pPr>
      <w:r w:rsidRPr="00F8759D">
        <w:rPr>
          <w:i/>
        </w:rPr>
        <w:t>U</w:t>
      </w:r>
      <w:r w:rsidRPr="00F8759D">
        <w:t>(</w:t>
      </w:r>
      <w:r w:rsidRPr="00F8759D">
        <w:rPr>
          <w:i/>
        </w:rPr>
        <w:t>B</w:t>
      </w:r>
      <w:r w:rsidR="00075E02">
        <w:rPr>
          <w:vertAlign w:val="subscript"/>
        </w:rPr>
        <w:t>2</w:t>
      </w:r>
      <w:r w:rsidRPr="00F8759D">
        <w:t>): ‚</w:t>
      </w:r>
      <w:r>
        <w:t xml:space="preserve">Beinarbeit‘, </w:t>
      </w:r>
      <w:r>
        <w:rPr>
          <w:i/>
        </w:rPr>
        <w:t>V</w:t>
      </w:r>
      <w:r w:rsidRPr="00F8759D">
        <w:t>(</w:t>
      </w:r>
      <w:r w:rsidRPr="00F8759D">
        <w:rPr>
          <w:i/>
        </w:rPr>
        <w:t>B</w:t>
      </w:r>
      <w:r w:rsidR="00075E02">
        <w:rPr>
          <w:vertAlign w:val="subscript"/>
        </w:rPr>
        <w:t>2</w:t>
      </w:r>
      <w:r w:rsidRPr="00F8759D">
        <w:t>):</w:t>
      </w:r>
      <w:r>
        <w:t xml:space="preserve"> ‚</w:t>
      </w:r>
      <w:r w:rsidR="008E1EA2">
        <w:t>[</w:t>
      </w:r>
      <w:r w:rsidR="006567E5">
        <w:t>v-rel</w:t>
      </w:r>
      <w:r w:rsidR="001A7067">
        <w:t>] häufig;</w:t>
      </w:r>
      <w:r>
        <w:t xml:space="preserve"> </w:t>
      </w:r>
      <w:r w:rsidR="008E1EA2">
        <w:t>[</w:t>
      </w:r>
      <w:r w:rsidR="006567E5">
        <w:t>v-rel</w:t>
      </w:r>
      <w:r w:rsidR="001A7067">
        <w:t>] typisch;</w:t>
      </w:r>
      <w:r>
        <w:t xml:space="preserve"> </w:t>
      </w:r>
      <w:r w:rsidR="008E1EA2">
        <w:t>[</w:t>
      </w:r>
      <w:r w:rsidR="006567E5">
        <w:t>v-rel</w:t>
      </w:r>
      <w:r>
        <w:t>] richtig‘</w:t>
      </w:r>
    </w:p>
    <w:p w:rsidR="00893CC7" w:rsidRPr="004457F2" w:rsidRDefault="00893CC7" w:rsidP="00843F7A">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sidR="00F27DBA">
        <w:rPr>
          <w:vertAlign w:val="subscript"/>
        </w:rPr>
        <w:t>Ded</w:t>
      </w:r>
      <w:r>
        <w:t xml:space="preserve">  </w:t>
      </w:r>
      <w:r>
        <w:rPr>
          <w:i/>
          <w:iCs/>
        </w:rPr>
        <w:t>Er</w:t>
      </w:r>
      <w:r w:rsidRPr="0062421C">
        <w:rPr>
          <w:vertAlign w:val="subscript"/>
        </w:rPr>
        <w:t>1</w:t>
      </w:r>
    </w:p>
    <w:p w:rsidR="008E1EA2" w:rsidRDefault="008E1EA2" w:rsidP="00843F7A">
      <w:pPr>
        <w:pStyle w:val="Interpretation"/>
      </w:pPr>
      <w:r>
        <w:rPr>
          <w:i/>
        </w:rPr>
        <w:t>Er</w:t>
      </w:r>
      <w:r w:rsidRPr="0062421C">
        <w:rPr>
          <w:vertAlign w:val="subscript"/>
        </w:rPr>
        <w:t>1</w:t>
      </w:r>
      <w:r>
        <w:t xml:space="preserve">: ‚Schlagtechnik und Beinarbeit des </w:t>
      </w:r>
      <w:r w:rsidR="0085753F">
        <w:t xml:space="preserve">SN </w:t>
      </w:r>
      <w:r>
        <w:t>stehen in Bezug auf ihre Häufigkeit, Typik und Normentsprechung im Gegensatz zueinander‘</w:t>
      </w:r>
    </w:p>
    <w:p w:rsidR="00272A55" w:rsidRPr="004457F2" w:rsidRDefault="00272A55" w:rsidP="00843F7A">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2</w:t>
      </w:r>
    </w:p>
    <w:p w:rsidR="00272A55" w:rsidRDefault="00B35378" w:rsidP="00843F7A">
      <w:pPr>
        <w:pStyle w:val="InterpretationletzteZeile"/>
      </w:pPr>
      <w:r>
        <w:rPr>
          <w:i/>
        </w:rPr>
        <w:t>Er</w:t>
      </w:r>
      <w:r>
        <w:rPr>
          <w:vertAlign w:val="subscript"/>
        </w:rPr>
        <w:t>2</w:t>
      </w:r>
      <w:r>
        <w:t xml:space="preserve">: ‚Der </w:t>
      </w:r>
      <w:r w:rsidR="0085753F">
        <w:t xml:space="preserve">SN </w:t>
      </w:r>
      <w:r>
        <w:t xml:space="preserve">hat </w:t>
      </w:r>
      <w:r w:rsidR="00272A55">
        <w:t>seine Schlagtechnik selbst entwickelt oder von jemandem übe</w:t>
      </w:r>
      <w:r w:rsidR="00272A55">
        <w:t>r</w:t>
      </w:r>
      <w:r w:rsidR="00272A55">
        <w:t xml:space="preserve">nommen, der nicht wie die meisten anderen Boxer boxt und dessen Technik als nicht „richtig“ gilt. </w:t>
      </w:r>
      <w:r w:rsidR="00424297">
        <w:t xml:space="preserve">Im Gegensatz dazu </w:t>
      </w:r>
      <w:r w:rsidR="001A7067">
        <w:t xml:space="preserve">hat </w:t>
      </w:r>
      <w:r w:rsidR="00424297">
        <w:t xml:space="preserve">er </w:t>
      </w:r>
      <w:r w:rsidR="00335FE8">
        <w:t xml:space="preserve">seine </w:t>
      </w:r>
      <w:r w:rsidR="00272A55">
        <w:t>Beinarbeit von jemandem übernommen, der wie die meisten anderen Boxer boxt und de</w:t>
      </w:r>
      <w:r w:rsidR="0028511B">
        <w:t>ssen Technik als „richtig“ gilt‘</w:t>
      </w:r>
    </w:p>
    <w:p w:rsidR="00552116" w:rsidRDefault="00272A55" w:rsidP="00843F7A">
      <w:pPr>
        <w:pStyle w:val="Text"/>
        <w:ind w:firstLine="0"/>
      </w:pPr>
      <w:r>
        <w:t xml:space="preserve">Um </w:t>
      </w:r>
      <w:r>
        <w:rPr>
          <w:i/>
          <w:iCs/>
        </w:rPr>
        <w:t>Er</w:t>
      </w:r>
      <w:r>
        <w:rPr>
          <w:vertAlign w:val="subscript"/>
        </w:rPr>
        <w:t>2</w:t>
      </w:r>
      <w:r>
        <w:t xml:space="preserve"> weiter zu präzisieren, muss </w:t>
      </w:r>
      <w:r w:rsidR="004E2F3D">
        <w:t xml:space="preserve">allerdings </w:t>
      </w:r>
      <w:r w:rsidR="00552116">
        <w:t>Hintergrundwissen hinzugezogen werden:</w:t>
      </w:r>
    </w:p>
    <w:p w:rsidR="00552116" w:rsidRDefault="00552116" w:rsidP="00843F7A">
      <w:pPr>
        <w:pStyle w:val="Interpretation1Zeile"/>
      </w:pPr>
      <w:r>
        <w:rPr>
          <w:i/>
        </w:rPr>
        <w:t>H</w:t>
      </w:r>
      <w:r>
        <w:rPr>
          <w:vertAlign w:val="subscript"/>
        </w:rPr>
        <w:t>1</w:t>
      </w:r>
      <w:r w:rsidR="00A71199">
        <w:t xml:space="preserve"> [zum Schema]</w:t>
      </w:r>
      <w:r>
        <w:t xml:space="preserve">: ‚In professionellen Boxschulen werden bestimmte Techniken vermittelt, </w:t>
      </w:r>
      <w:r w:rsidR="006052AF">
        <w:t xml:space="preserve">die daher bei </w:t>
      </w:r>
      <w:r>
        <w:t xml:space="preserve">Boxern häufig </w:t>
      </w:r>
      <w:r w:rsidR="006052AF">
        <w:t xml:space="preserve">vorkommen </w:t>
      </w:r>
      <w:r>
        <w:t xml:space="preserve">und </w:t>
      </w:r>
      <w:r w:rsidR="006052AF">
        <w:t>typisch fürs Boxen wi</w:t>
      </w:r>
      <w:r w:rsidR="006052AF">
        <w:t>r</w:t>
      </w:r>
      <w:r w:rsidR="006052AF">
        <w:t>ken; sie werden als „richtig“ bewertet</w:t>
      </w:r>
      <w:r w:rsidR="00272A55">
        <w:t>. Auf der Straße lernt man dagegen oft a</w:t>
      </w:r>
      <w:r w:rsidR="00272A55">
        <w:t>n</w:t>
      </w:r>
      <w:r w:rsidR="00272A55">
        <w:t>dere Techniken</w:t>
      </w:r>
      <w:r w:rsidR="006052AF">
        <w:t>‘</w:t>
      </w:r>
    </w:p>
    <w:p w:rsidR="006052AF" w:rsidRPr="004457F2" w:rsidRDefault="00272A55" w:rsidP="00843F7A">
      <w:pPr>
        <w:pStyle w:val="Formel"/>
      </w:pPr>
      <w:r>
        <w:rPr>
          <w:i/>
          <w:iCs/>
        </w:rPr>
        <w:t>Er</w:t>
      </w:r>
      <w:r>
        <w:rPr>
          <w:vertAlign w:val="subscript"/>
        </w:rPr>
        <w:t>2</w:t>
      </w:r>
      <w:r>
        <w:rPr>
          <w:color w:val="000000" w:themeColor="text1"/>
        </w:rPr>
        <w:t xml:space="preserve"> </w:t>
      </w:r>
      <w:r w:rsidR="00B35378" w:rsidRPr="00D41E3E">
        <w:rPr>
          <w:rFonts w:ascii="Cambria Math" w:hAnsi="Cambria Math" w:cs="Cambria Math"/>
        </w:rPr>
        <w:t>∧</w:t>
      </w:r>
      <w:r w:rsidR="00B35378" w:rsidRPr="00D41E3E">
        <w:rPr>
          <w:rFonts w:cs="Times New Roman"/>
        </w:rPr>
        <w:t xml:space="preserve"> </w:t>
      </w:r>
      <w:r w:rsidR="006052AF">
        <w:rPr>
          <w:i/>
          <w:iCs/>
        </w:rPr>
        <w:t>H</w:t>
      </w:r>
      <w:r w:rsidR="006052AF">
        <w:rPr>
          <w:vertAlign w:val="subscript"/>
        </w:rPr>
        <w:t>1</w:t>
      </w:r>
      <w:r w:rsidR="006052AF">
        <w:rPr>
          <w:color w:val="000000" w:themeColor="text1"/>
        </w:rPr>
        <w:t xml:space="preserve"> </w:t>
      </w:r>
      <w:r w:rsidR="002434D2">
        <w:rPr>
          <w:rFonts w:ascii="Cambria Math" w:eastAsia="Arial Unicode MS" w:hAnsi="Cambria Math" w:cs="Cambria Math"/>
          <w:color w:val="000000" w:themeColor="text1"/>
        </w:rPr>
        <w:t>⤳</w:t>
      </w:r>
      <w:r w:rsidR="006052AF">
        <w:rPr>
          <w:vertAlign w:val="subscript"/>
        </w:rPr>
        <w:t>Ded</w:t>
      </w:r>
      <w:r w:rsidR="006052AF">
        <w:t xml:space="preserve">  </w:t>
      </w:r>
      <w:r w:rsidR="006052AF">
        <w:rPr>
          <w:i/>
          <w:iCs/>
        </w:rPr>
        <w:t>Er</w:t>
      </w:r>
      <w:r w:rsidR="001A7067">
        <w:rPr>
          <w:vertAlign w:val="subscript"/>
        </w:rPr>
        <w:t>3</w:t>
      </w:r>
    </w:p>
    <w:p w:rsidR="00B255CB" w:rsidRDefault="008E1EA2" w:rsidP="00843F7A">
      <w:pPr>
        <w:pStyle w:val="InterpretationletzteZeile"/>
      </w:pPr>
      <w:r>
        <w:rPr>
          <w:i/>
        </w:rPr>
        <w:t>Er</w:t>
      </w:r>
      <w:r w:rsidR="001A7067">
        <w:rPr>
          <w:vertAlign w:val="subscript"/>
        </w:rPr>
        <w:t>3</w:t>
      </w:r>
      <w:r>
        <w:t xml:space="preserve">: ‚Der </w:t>
      </w:r>
      <w:r w:rsidR="0085753F">
        <w:t xml:space="preserve">SN </w:t>
      </w:r>
      <w:r>
        <w:t xml:space="preserve">hat seine Schlagtechnik </w:t>
      </w:r>
      <w:r w:rsidR="00272A55">
        <w:t>selbst entwickelt oder auf der Straße g</w:t>
      </w:r>
      <w:r w:rsidR="00272A55">
        <w:t>e</w:t>
      </w:r>
      <w:r w:rsidR="00272A55">
        <w:t>lernt, seine Beinarbeit dagegen von in einer professionellen Boxschule gelernt</w:t>
      </w:r>
      <w:r>
        <w:t>‘</w:t>
      </w:r>
    </w:p>
    <w:p w:rsidR="00E42256" w:rsidRDefault="00EB3D05" w:rsidP="00843F7A">
      <w:pPr>
        <w:pStyle w:val="Text"/>
        <w:ind w:firstLine="0"/>
      </w:pPr>
      <w:r>
        <w:lastRenderedPageBreak/>
        <w:t>Vertikal-relationale Eigenschaften beziehen sich auf beliebige Relationen, Stru</w:t>
      </w:r>
      <w:r>
        <w:t>k</w:t>
      </w:r>
      <w:r>
        <w:t xml:space="preserve">turen und Gliederungsmöglichkeiten, die innerhalb von </w:t>
      </w:r>
      <w:r w:rsidR="00721558">
        <w:t>Alter</w:t>
      </w:r>
      <w:r w:rsidR="00721558">
        <w:softHyphen/>
        <w:t>nativen</w:t>
      </w:r>
      <w:r w:rsidR="00721558">
        <w:softHyphen/>
        <w:t>klasse</w:t>
      </w:r>
      <w:r>
        <w:t>n vorhanden sind. Hier treten drei Arten von vertikal-relationalen Eigenschaften auf, die sich auf die Häu</w:t>
      </w:r>
      <w:r w:rsidR="003F28C1">
        <w:t>figkeitsverteilung,</w:t>
      </w:r>
      <w:r w:rsidR="003F28C1">
        <w:rPr>
          <w:rStyle w:val="Funotenzeichen"/>
        </w:rPr>
        <w:footnoteReference w:id="419"/>
      </w:r>
      <w:r w:rsidR="003F28C1">
        <w:t xml:space="preserve"> eine Protot</w:t>
      </w:r>
      <w:r>
        <w:t>ypengliederung</w:t>
      </w:r>
      <w:r w:rsidR="003F28C1">
        <w:rPr>
          <w:rStyle w:val="Funotenzeichen"/>
        </w:rPr>
        <w:footnoteReference w:id="420"/>
      </w:r>
      <w:r>
        <w:t xml:space="preserve"> und eine Normierung nach richtig und falsch</w:t>
      </w:r>
      <w:r w:rsidR="003F28C1">
        <w:rPr>
          <w:rStyle w:val="Funotenzeichen"/>
        </w:rPr>
        <w:footnoteReference w:id="421"/>
      </w:r>
      <w:r>
        <w:t xml:space="preserve"> beziehen. Es handelt sich um drei verschiedene Gliederungen innerhalb von </w:t>
      </w:r>
      <w:r w:rsidR="00721558">
        <w:t>Alter</w:t>
      </w:r>
      <w:r w:rsidR="00721558">
        <w:softHyphen/>
        <w:t>nativen</w:t>
      </w:r>
      <w:r w:rsidR="00721558">
        <w:softHyphen/>
        <w:t>klasse</w:t>
      </w:r>
      <w:r w:rsidR="003F696E">
        <w:t>n</w:t>
      </w:r>
      <w:r>
        <w:t>, die im vorliege</w:t>
      </w:r>
      <w:r>
        <w:t>n</w:t>
      </w:r>
      <w:r>
        <w:t>den Fall zumindest teilweise übereinander zu liegen scheinen (sofern die Mer</w:t>
      </w:r>
      <w:r>
        <w:t>k</w:t>
      </w:r>
      <w:r>
        <w:t xml:space="preserve">malsregel korrekt </w:t>
      </w:r>
      <w:r w:rsidR="00581518">
        <w:t xml:space="preserve">ausgelesen </w:t>
      </w:r>
      <w:r>
        <w:t>wurde). Man kann nämlich aus dem Beispiel schli</w:t>
      </w:r>
      <w:r>
        <w:t>e</w:t>
      </w:r>
      <w:r>
        <w:t xml:space="preserve">ßen, dass zumindest ein häufiges Element der betrachteten </w:t>
      </w:r>
      <w:r w:rsidR="00721558">
        <w:t>Alter</w:t>
      </w:r>
      <w:r w:rsidR="00721558">
        <w:softHyphen/>
        <w:t>nativen</w:t>
      </w:r>
      <w:r w:rsidR="00721558">
        <w:softHyphen/>
        <w:t>klasse</w:t>
      </w:r>
      <w:r w:rsidR="003F696E">
        <w:t>n</w:t>
      </w:r>
      <w:r>
        <w:t xml:space="preserve"> auch </w:t>
      </w:r>
      <w:r w:rsidR="006052AF">
        <w:t>(</w:t>
      </w:r>
      <w:r>
        <w:t>proto</w:t>
      </w:r>
      <w:r w:rsidR="006052AF">
        <w:t>-)</w:t>
      </w:r>
      <w:r>
        <w:t xml:space="preserve">typisch </w:t>
      </w:r>
      <w:r w:rsidR="0021631B">
        <w:t xml:space="preserve">ist </w:t>
      </w:r>
      <w:r>
        <w:t>und der Norm</w:t>
      </w:r>
      <w:r w:rsidR="005D7996">
        <w:fldChar w:fldCharType="begin"/>
      </w:r>
      <w:r w:rsidR="001151DC">
        <w:instrText xml:space="preserve"> XE "</w:instrText>
      </w:r>
      <w:r w:rsidR="001151DC" w:rsidRPr="00B333B1">
        <w:instrText>Norm</w:instrText>
      </w:r>
      <w:r w:rsidR="001151DC">
        <w:instrText xml:space="preserve">" </w:instrText>
      </w:r>
      <w:r w:rsidR="005D7996">
        <w:fldChar w:fldCharType="end"/>
      </w:r>
      <w:r>
        <w:t xml:space="preserve"> entspricht, und dass zumindest ein sel</w:t>
      </w:r>
      <w:r w:rsidR="0021631B">
        <w:t>t</w:t>
      </w:r>
      <w:r w:rsidR="0021631B">
        <w:t>e</w:t>
      </w:r>
      <w:r w:rsidR="0021631B">
        <w:t>nes Element auch untypisch ist und der Norm nicht entspricht. Spekulativ kann geschlossen werden, dass die drei Strukturen einander mehr oder minder en</w:t>
      </w:r>
      <w:r w:rsidR="0021631B">
        <w:t>t</w:t>
      </w:r>
      <w:r w:rsidR="0021631B">
        <w:t>sprechen.</w:t>
      </w:r>
    </w:p>
    <w:p w:rsidR="001A7067" w:rsidRDefault="00552116" w:rsidP="00E35D4E">
      <w:pPr>
        <w:pStyle w:val="Text"/>
      </w:pPr>
      <w:r>
        <w:t xml:space="preserve">Mit Hilfe relationaler Eigenschaften können </w:t>
      </w:r>
      <w:r w:rsidR="00335FE8">
        <w:t>häufig auch ohne Hinte</w:t>
      </w:r>
      <w:r w:rsidR="00335FE8">
        <w:t>r</w:t>
      </w:r>
      <w:r w:rsidR="00335FE8">
        <w:t xml:space="preserve">grundwissen </w:t>
      </w:r>
      <w:r>
        <w:t>Ergebnisse erzeugt werden</w:t>
      </w:r>
      <w:r w:rsidR="006052AF">
        <w:t>.</w:t>
      </w:r>
      <w:r w:rsidR="00424297">
        <w:t xml:space="preserve"> Das wird deutlich, wenn wir die Mer</w:t>
      </w:r>
      <w:r w:rsidR="00424297">
        <w:t>k</w:t>
      </w:r>
      <w:r w:rsidR="00424297">
        <w:t>malsregeln einzeln verwenden, so dass die Relation zwischen ihnen nicht in die Ergebniserzeugung eingeht:</w:t>
      </w:r>
    </w:p>
    <w:p w:rsidR="001A7067" w:rsidRDefault="001A7067" w:rsidP="00843F7A">
      <w:pPr>
        <w:pStyle w:val="Formel"/>
        <w:rPr>
          <w:vertAlign w:val="subscript"/>
        </w:rPr>
      </w:pPr>
      <w:r>
        <w:rPr>
          <w:i/>
          <w:iCs/>
        </w:rPr>
        <w:t>B</w:t>
      </w:r>
      <w:r w:rsidRPr="0062421C">
        <w:rPr>
          <w:vertAlign w:val="subscript"/>
        </w:rPr>
        <w:t>1</w:t>
      </w:r>
      <w:r>
        <w:rPr>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4</w:t>
      </w:r>
    </w:p>
    <w:p w:rsidR="001A7067" w:rsidRDefault="001A7067" w:rsidP="00843F7A">
      <w:pPr>
        <w:pStyle w:val="Interpretation"/>
      </w:pPr>
      <w:r>
        <w:rPr>
          <w:i/>
        </w:rPr>
        <w:t>Er</w:t>
      </w:r>
      <w:r>
        <w:rPr>
          <w:vertAlign w:val="subscript"/>
        </w:rPr>
        <w:t>4</w:t>
      </w:r>
      <w:r>
        <w:t>: ‚</w:t>
      </w:r>
      <w:r w:rsidR="0085753F">
        <w:t xml:space="preserve">SN </w:t>
      </w:r>
      <w:r>
        <w:t>hat seine Schlagtechnik selbst entwickelt oder von jemandem übe</w:t>
      </w:r>
      <w:r>
        <w:t>r</w:t>
      </w:r>
      <w:r>
        <w:t>nommen, der nicht wie die meisten anderen Boxer boxt und dessen Technik als nicht „richtig“ gilt‘</w:t>
      </w:r>
    </w:p>
    <w:p w:rsidR="001A7067" w:rsidRDefault="001A7067" w:rsidP="00843F7A">
      <w:pPr>
        <w:pStyle w:val="Formel"/>
        <w:rPr>
          <w:vertAlign w:val="subscript"/>
        </w:rPr>
      </w:pPr>
      <w:r>
        <w:rPr>
          <w:i/>
          <w:iCs/>
        </w:rPr>
        <w:t>B</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5</w:t>
      </w:r>
    </w:p>
    <w:p w:rsidR="001A7067" w:rsidRDefault="001A7067" w:rsidP="00843F7A">
      <w:pPr>
        <w:pStyle w:val="InterpretationletzteZeile"/>
      </w:pPr>
      <w:r>
        <w:rPr>
          <w:i/>
        </w:rPr>
        <w:t>Er</w:t>
      </w:r>
      <w:r>
        <w:rPr>
          <w:vertAlign w:val="subscript"/>
        </w:rPr>
        <w:t>5</w:t>
      </w:r>
      <w:r>
        <w:t>: ‚</w:t>
      </w:r>
      <w:r w:rsidR="0085753F">
        <w:t xml:space="preserve">SN </w:t>
      </w:r>
      <w:r>
        <w:t>hat seine Beinarbeit von jemandem übernommen, der wie die meisten anderen Boxer boxt und dessen Technik als „richtig“ gilt‘</w:t>
      </w:r>
    </w:p>
    <w:p w:rsidR="00552116" w:rsidRDefault="00424297" w:rsidP="00843F7A">
      <w:pPr>
        <w:pStyle w:val="Text"/>
        <w:ind w:firstLine="0"/>
      </w:pPr>
      <w:r>
        <w:t xml:space="preserve">Wir erhalten also </w:t>
      </w:r>
      <w:r>
        <w:rPr>
          <w:i/>
          <w:iCs/>
        </w:rPr>
        <w:t>Er</w:t>
      </w:r>
      <w:r>
        <w:rPr>
          <w:vertAlign w:val="subscript"/>
        </w:rPr>
        <w:t>3</w:t>
      </w:r>
      <w:r>
        <w:t xml:space="preserve"> in zwei Teilen, reduziert um die Angabe der Gegensät</w:t>
      </w:r>
      <w:r>
        <w:t>z</w:t>
      </w:r>
      <w:r>
        <w:t xml:space="preserve">lichkeit, die sich aus der Relation „Gegensätzlichkeit“ zwischen </w:t>
      </w:r>
      <w:r w:rsidR="00F600D1">
        <w:t>den Merkmal</w:t>
      </w:r>
      <w:r w:rsidR="00F600D1">
        <w:t>s</w:t>
      </w:r>
      <w:r w:rsidR="00F600D1">
        <w:t xml:space="preserve">regeln </w:t>
      </w:r>
      <w:r w:rsidRPr="00F8759D">
        <w:rPr>
          <w:i/>
          <w:iCs/>
        </w:rPr>
        <w:t>B</w:t>
      </w:r>
      <w:r w:rsidRPr="0062421C">
        <w:rPr>
          <w:vertAlign w:val="subscript"/>
        </w:rPr>
        <w:t>1</w:t>
      </w:r>
      <w:r>
        <w:t xml:space="preserve"> oder </w:t>
      </w:r>
      <w:r w:rsidRPr="00F8759D">
        <w:rPr>
          <w:i/>
          <w:iCs/>
        </w:rPr>
        <w:t>B</w:t>
      </w:r>
      <w:r>
        <w:rPr>
          <w:vertAlign w:val="subscript"/>
        </w:rPr>
        <w:t>2</w:t>
      </w:r>
      <w:r>
        <w:t xml:space="preserve"> ergibt.</w:t>
      </w:r>
    </w:p>
    <w:p w:rsidR="004B2A7A" w:rsidRDefault="0094591A" w:rsidP="00843F7A">
      <w:pPr>
        <w:pStyle w:val="Interpretation1Zeile"/>
      </w:pPr>
      <w:r>
        <w:t>3</w:t>
      </w:r>
      <w:r w:rsidR="004B2A7A">
        <w:t>.</w:t>
      </w:r>
      <w:r w:rsidR="004B2A7A">
        <w:tab/>
      </w:r>
      <w:r w:rsidR="004B2A7A" w:rsidRPr="00F8759D">
        <w:t>Artefaktschema ‚</w:t>
      </w:r>
      <w:r w:rsidR="00822925">
        <w:t>Teppich</w:t>
      </w:r>
      <w:r w:rsidR="004B2A7A">
        <w:t>‘</w:t>
      </w:r>
    </w:p>
    <w:p w:rsidR="00306181" w:rsidRDefault="00306181" w:rsidP="00843F7A">
      <w:pPr>
        <w:pStyle w:val="Interpretation"/>
      </w:pPr>
      <w:r w:rsidRPr="00F8759D">
        <w:rPr>
          <w:i/>
        </w:rPr>
        <w:t>U</w:t>
      </w:r>
      <w:r w:rsidRPr="00F8759D">
        <w:t>(</w:t>
      </w:r>
      <w:r w:rsidRPr="00F8759D">
        <w:rPr>
          <w:i/>
        </w:rPr>
        <w:t>B</w:t>
      </w:r>
      <w:r w:rsidR="00210DB4">
        <w:rPr>
          <w:vertAlign w:val="subscript"/>
        </w:rPr>
        <w:t>1</w:t>
      </w:r>
      <w:r w:rsidRPr="00F8759D">
        <w:t>): ‚</w:t>
      </w:r>
      <w:r w:rsidR="00210DB4">
        <w:t>Dicke</w:t>
      </w:r>
      <w:r w:rsidRPr="00F8759D">
        <w:t xml:space="preserve">‘, </w:t>
      </w:r>
      <w:r w:rsidRPr="00F8759D">
        <w:rPr>
          <w:i/>
        </w:rPr>
        <w:t>V</w:t>
      </w:r>
      <w:r w:rsidRPr="00F8759D">
        <w:t>(</w:t>
      </w:r>
      <w:r w:rsidRPr="00F8759D">
        <w:rPr>
          <w:i/>
        </w:rPr>
        <w:t>B</w:t>
      </w:r>
      <w:r w:rsidR="00210DB4">
        <w:rPr>
          <w:vertAlign w:val="subscript"/>
        </w:rPr>
        <w:t>1</w:t>
      </w:r>
      <w:r w:rsidRPr="00F8759D">
        <w:t>): ‚</w:t>
      </w:r>
      <w:r w:rsidR="00210DB4">
        <w:t>durchschnittlich</w:t>
      </w:r>
      <w:r>
        <w:t>‘</w:t>
      </w:r>
    </w:p>
    <w:p w:rsidR="00210DB4" w:rsidRDefault="00210DB4" w:rsidP="00843F7A">
      <w:pPr>
        <w:pStyle w:val="Interpretation"/>
      </w:pPr>
      <w:r w:rsidRPr="00F8759D">
        <w:rPr>
          <w:i/>
        </w:rPr>
        <w:t>U</w:t>
      </w:r>
      <w:r w:rsidRPr="00F8759D">
        <w:t>(</w:t>
      </w:r>
      <w:r w:rsidRPr="00F8759D">
        <w:rPr>
          <w:i/>
        </w:rPr>
        <w:t>B</w:t>
      </w:r>
      <w:r>
        <w:rPr>
          <w:vertAlign w:val="subscript"/>
        </w:rPr>
        <w:t>2</w:t>
      </w:r>
      <w:r w:rsidRPr="00F8759D">
        <w:t>): ‚</w:t>
      </w:r>
      <w:r>
        <w:t>Gewicht</w:t>
      </w:r>
      <w:r w:rsidRPr="00F8759D">
        <w:t xml:space="preserve">‘, </w:t>
      </w:r>
      <w:r w:rsidRPr="00F8759D">
        <w:rPr>
          <w:i/>
        </w:rPr>
        <w:t>V</w:t>
      </w:r>
      <w:r w:rsidRPr="00F8759D">
        <w:t>(</w:t>
      </w:r>
      <w:r w:rsidRPr="00F8759D">
        <w:rPr>
          <w:i/>
        </w:rPr>
        <w:t>B</w:t>
      </w:r>
      <w:r>
        <w:rPr>
          <w:vertAlign w:val="subscript"/>
        </w:rPr>
        <w:t>2</w:t>
      </w:r>
      <w:r w:rsidRPr="00F8759D">
        <w:t>): ‚</w:t>
      </w:r>
      <w:r>
        <w:t>überdurchschnittlich (pro Größeneinheit)‘</w:t>
      </w:r>
    </w:p>
    <w:p w:rsidR="00893CC7" w:rsidRDefault="00893CC7" w:rsidP="00843F7A">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sidR="00306181">
        <w:rPr>
          <w:color w:val="000000" w:themeColor="text1"/>
        </w:rPr>
        <w:t xml:space="preserve"> </w:t>
      </w:r>
      <w:r w:rsidR="002434D2">
        <w:rPr>
          <w:rFonts w:ascii="Cambria Math" w:eastAsia="Arial Unicode MS" w:hAnsi="Cambria Math" w:cs="Cambria Math"/>
          <w:color w:val="000000" w:themeColor="text1"/>
        </w:rPr>
        <w:t>⤳</w:t>
      </w:r>
      <w:r w:rsidR="00210DB4">
        <w:rPr>
          <w:vertAlign w:val="subscript"/>
        </w:rPr>
        <w:t>Ded</w:t>
      </w:r>
      <w:r>
        <w:t xml:space="preserve">  </w:t>
      </w:r>
      <w:r>
        <w:rPr>
          <w:i/>
          <w:iCs/>
        </w:rPr>
        <w:t>Er</w:t>
      </w:r>
      <w:r w:rsidRPr="0062421C">
        <w:rPr>
          <w:vertAlign w:val="subscript"/>
        </w:rPr>
        <w:t>1</w:t>
      </w:r>
    </w:p>
    <w:p w:rsidR="00210DB4" w:rsidRDefault="00210DB4" w:rsidP="00843F7A">
      <w:pPr>
        <w:pStyle w:val="InterpretationletzteZeile"/>
      </w:pPr>
      <w:r>
        <w:rPr>
          <w:i/>
        </w:rPr>
        <w:t>Er</w:t>
      </w:r>
      <w:r w:rsidRPr="0062421C">
        <w:rPr>
          <w:vertAlign w:val="subscript"/>
        </w:rPr>
        <w:t>1</w:t>
      </w:r>
      <w:r>
        <w:t xml:space="preserve">: ‚Der Teppich </w:t>
      </w:r>
      <w:r w:rsidR="00AC10F5">
        <w:t xml:space="preserve">besteht aus </w:t>
      </w:r>
      <w:r>
        <w:t xml:space="preserve">überdurchschnittlich </w:t>
      </w:r>
      <w:r w:rsidR="00AC10F5">
        <w:t>schwerem Material</w:t>
      </w:r>
      <w:r>
        <w:t>‘</w:t>
      </w:r>
    </w:p>
    <w:p w:rsidR="004B2A7A" w:rsidRDefault="00210DB4" w:rsidP="00843F7A">
      <w:pPr>
        <w:pStyle w:val="Text"/>
        <w:ind w:firstLine="0"/>
      </w:pPr>
      <w:r>
        <w:lastRenderedPageBreak/>
        <w:t xml:space="preserve">Ohne Hintergrundwissen </w:t>
      </w:r>
      <w:r w:rsidR="00315211">
        <w:t xml:space="preserve">sind die </w:t>
      </w:r>
      <w:r>
        <w:t>Möglichkeiten</w:t>
      </w:r>
      <w:r w:rsidR="000B1BCF">
        <w:t xml:space="preserve"> zur</w:t>
      </w:r>
      <w:r w:rsidR="00315211">
        <w:t xml:space="preserve"> Erzeugung von </w:t>
      </w:r>
      <w:r>
        <w:t>Ergebni</w:t>
      </w:r>
      <w:r>
        <w:t>s</w:t>
      </w:r>
      <w:r>
        <w:t>se</w:t>
      </w:r>
      <w:r w:rsidR="00315211">
        <w:t>n eingeschränkt</w:t>
      </w:r>
      <w:r>
        <w:t xml:space="preserve">. Im vorliegenden </w:t>
      </w:r>
      <w:r w:rsidR="00B15C16">
        <w:t>Beispiel</w:t>
      </w:r>
      <w:r>
        <w:t xml:space="preserve"> kann </w:t>
      </w:r>
      <w:r>
        <w:rPr>
          <w:i/>
          <w:iCs/>
        </w:rPr>
        <w:t>Er</w:t>
      </w:r>
      <w:r w:rsidRPr="0062421C">
        <w:rPr>
          <w:vertAlign w:val="subscript"/>
        </w:rPr>
        <w:t>1</w:t>
      </w:r>
      <w:r>
        <w:t xml:space="preserve"> erzeugt werden, wenn man die Fähigkeit, das Volumen eines Körpers mit seinem Gewicht in Verbindung zu bringen, als allgemeine kognitive Fähigkeit des S</w:t>
      </w:r>
      <w:r w:rsidR="00DD45B2">
        <w:t>W</w:t>
      </w:r>
      <w:r>
        <w:t xml:space="preserve"> voraussetzt. In den meisten Fällen wird der S</w:t>
      </w:r>
      <w:r w:rsidR="00DD45B2">
        <w:t>W</w:t>
      </w:r>
      <w:r>
        <w:t xml:space="preserve"> </w:t>
      </w:r>
      <w:r w:rsidR="00AC10F5">
        <w:t>dies in der Schule gelernt haben, aber auf dieses Hinte</w:t>
      </w:r>
      <w:r w:rsidR="00AC10F5">
        <w:t>r</w:t>
      </w:r>
      <w:r w:rsidR="00AC10F5">
        <w:t xml:space="preserve">grundwissen vielleicht </w:t>
      </w:r>
      <w:r>
        <w:t xml:space="preserve">gar nicht </w:t>
      </w:r>
      <w:r w:rsidR="00AC10F5">
        <w:t>zugreifen müssen</w:t>
      </w:r>
      <w:r>
        <w:t>, weil ihm der Zusammenhang intuitiv klar ist</w:t>
      </w:r>
      <w:r w:rsidR="00AC10F5">
        <w:t>.</w:t>
      </w:r>
    </w:p>
    <w:p w:rsidR="00461AEB" w:rsidRDefault="00A005F2" w:rsidP="00461AEB">
      <w:pPr>
        <w:pStyle w:val="Titel5"/>
      </w:pPr>
      <w:bookmarkStart w:id="317" w:name="_Ref260072345"/>
      <w:bookmarkStart w:id="318" w:name="_Toc325456772"/>
      <w:r>
        <w:t xml:space="preserve">Ohne </w:t>
      </w:r>
      <w:r w:rsidR="004C6A54">
        <w:t xml:space="preserve">frühere </w:t>
      </w:r>
      <w:r>
        <w:t xml:space="preserve">Ergebnisse, mit </w:t>
      </w:r>
      <w:r w:rsidRPr="009B6406">
        <w:t>H</w:t>
      </w:r>
      <w:r>
        <w:t>intergrundwissen</w:t>
      </w:r>
      <w:bookmarkEnd w:id="317"/>
      <w:bookmarkEnd w:id="318"/>
    </w:p>
    <w:p w:rsidR="00F27DBA" w:rsidRDefault="003424AA" w:rsidP="00843F7A">
      <w:pPr>
        <w:pStyle w:val="Interpretation1Zeile"/>
      </w:pPr>
      <w:r>
        <w:t>1.</w:t>
      </w:r>
      <w:r>
        <w:tab/>
        <w:t>Verhaltensschema ‚</w:t>
      </w:r>
      <w:r w:rsidR="004C12DE">
        <w:t xml:space="preserve">Spielen eines </w:t>
      </w:r>
      <w:r>
        <w:t>Computer-Rollenspiel</w:t>
      </w:r>
      <w:r w:rsidR="004C12DE">
        <w:t>s</w:t>
      </w:r>
      <w:r w:rsidR="00F27DBA">
        <w:t>‘</w:t>
      </w:r>
    </w:p>
    <w:p w:rsidR="00F27DBA" w:rsidRDefault="00F27DBA" w:rsidP="00843F7A">
      <w:pPr>
        <w:pStyle w:val="Interpretation"/>
      </w:pPr>
      <w:r w:rsidRPr="00F8759D">
        <w:rPr>
          <w:i/>
        </w:rPr>
        <w:t>U</w:t>
      </w:r>
      <w:r w:rsidRPr="00F8759D">
        <w:t>(</w:t>
      </w:r>
      <w:r w:rsidRPr="00F8759D">
        <w:rPr>
          <w:i/>
        </w:rPr>
        <w:t>B</w:t>
      </w:r>
      <w:r w:rsidRPr="003D50E0">
        <w:rPr>
          <w:vertAlign w:val="subscript"/>
        </w:rPr>
        <w:t>1</w:t>
      </w:r>
      <w:r>
        <w:t>): ‚</w:t>
      </w:r>
      <w:r w:rsidR="004C12DE">
        <w:t xml:space="preserve">Umgang mit </w:t>
      </w:r>
      <w:r>
        <w:t xml:space="preserve">Kampfsituationen‘, </w:t>
      </w:r>
      <w:r w:rsidRPr="00F8759D">
        <w:rPr>
          <w:i/>
        </w:rPr>
        <w:t>V</w:t>
      </w:r>
      <w:r w:rsidRPr="00F8759D">
        <w:t>(</w:t>
      </w:r>
      <w:r w:rsidRPr="00F8759D">
        <w:rPr>
          <w:i/>
        </w:rPr>
        <w:t>B</w:t>
      </w:r>
      <w:r w:rsidRPr="003D50E0">
        <w:rPr>
          <w:vertAlign w:val="subscript"/>
        </w:rPr>
        <w:t>1</w:t>
      </w:r>
      <w:r>
        <w:t>): ‚</w:t>
      </w:r>
      <w:r w:rsidR="004B1629">
        <w:t>gute Situationseinschätzung</w:t>
      </w:r>
      <w:r w:rsidR="003424AA">
        <w:t xml:space="preserve">; </w:t>
      </w:r>
      <w:r>
        <w:t>schnelle Reflexe‘</w:t>
      </w:r>
    </w:p>
    <w:p w:rsidR="00F27DBA" w:rsidRDefault="00F27DBA" w:rsidP="00843F7A">
      <w:pPr>
        <w:pStyle w:val="Interpretation"/>
      </w:pPr>
      <w:r w:rsidRPr="00F8759D">
        <w:rPr>
          <w:i/>
        </w:rPr>
        <w:t>U</w:t>
      </w:r>
      <w:r w:rsidRPr="00F8759D">
        <w:t>(</w:t>
      </w:r>
      <w:r w:rsidRPr="00F8759D">
        <w:rPr>
          <w:i/>
        </w:rPr>
        <w:t>B</w:t>
      </w:r>
      <w:r>
        <w:rPr>
          <w:vertAlign w:val="subscript"/>
        </w:rPr>
        <w:t>2</w:t>
      </w:r>
      <w:r w:rsidR="00817584">
        <w:t>): ‚</w:t>
      </w:r>
      <w:r w:rsidR="004C12DE">
        <w:t>Umgang mit Rätseln</w:t>
      </w:r>
      <w:r w:rsidR="00817584">
        <w:t xml:space="preserve">‘, </w:t>
      </w:r>
      <w:r w:rsidR="00817584" w:rsidRPr="00F8759D">
        <w:rPr>
          <w:i/>
        </w:rPr>
        <w:t>V</w:t>
      </w:r>
      <w:r w:rsidR="00817584" w:rsidRPr="00F8759D">
        <w:t>(</w:t>
      </w:r>
      <w:r w:rsidR="00817584" w:rsidRPr="00F8759D">
        <w:rPr>
          <w:i/>
        </w:rPr>
        <w:t>B</w:t>
      </w:r>
      <w:r w:rsidR="004E4DFC">
        <w:rPr>
          <w:vertAlign w:val="subscript"/>
        </w:rPr>
        <w:t>2</w:t>
      </w:r>
      <w:r w:rsidR="00817584">
        <w:t>): ‚</w:t>
      </w:r>
      <w:r w:rsidR="004C12DE">
        <w:t xml:space="preserve">langsam; </w:t>
      </w:r>
      <w:r w:rsidR="004B1629">
        <w:t>Lösung durch Herumprobieren‘</w:t>
      </w:r>
    </w:p>
    <w:p w:rsidR="004B1629" w:rsidRDefault="004B1629" w:rsidP="00843F7A">
      <w:pPr>
        <w:pStyle w:val="Interpretation"/>
      </w:pPr>
      <w:r>
        <w:rPr>
          <w:i/>
        </w:rPr>
        <w:t>H</w:t>
      </w:r>
      <w:r w:rsidR="005E1BEF">
        <w:rPr>
          <w:vertAlign w:val="subscript"/>
        </w:rPr>
        <w:t>1</w:t>
      </w:r>
      <w:r w:rsidR="00A71199">
        <w:t xml:space="preserve"> [zum Schema]</w:t>
      </w:r>
      <w:r w:rsidR="004C12DE">
        <w:t>: ‚In Ego-Shooter-Spielen</w:t>
      </w:r>
      <w:r>
        <w:t xml:space="preserve"> wird die rasche Reaktion in Kamp</w:t>
      </w:r>
      <w:r>
        <w:t>f</w:t>
      </w:r>
      <w:r>
        <w:t xml:space="preserve">situation gefordert, in Adventure-Spielen </w:t>
      </w:r>
      <w:r w:rsidR="005E1BEF">
        <w:t>der</w:t>
      </w:r>
      <w:r>
        <w:t xml:space="preserve"> überlegte </w:t>
      </w:r>
      <w:r w:rsidR="005E1BEF">
        <w:t xml:space="preserve">und kreative Umgang mit </w:t>
      </w:r>
      <w:r>
        <w:t>Probleme</w:t>
      </w:r>
      <w:r w:rsidR="005E1BEF">
        <w:t>n‘</w:t>
      </w:r>
    </w:p>
    <w:p w:rsidR="005E1BEF" w:rsidRDefault="005E1BEF" w:rsidP="00843F7A">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sidRPr="0062421C">
        <w:rPr>
          <w:vertAlign w:val="subscript"/>
        </w:rPr>
        <w:t>1</w:t>
      </w:r>
      <w:r>
        <w:rPr>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3424AA" w:rsidRDefault="004B1629" w:rsidP="00843F7A">
      <w:pPr>
        <w:pStyle w:val="Interpretation"/>
      </w:pPr>
      <w:r>
        <w:rPr>
          <w:i/>
        </w:rPr>
        <w:t>Er</w:t>
      </w:r>
      <w:r w:rsidRPr="003D50E0">
        <w:rPr>
          <w:vertAlign w:val="subscript"/>
        </w:rPr>
        <w:t>1</w:t>
      </w:r>
      <w:r>
        <w:t>: ‚</w:t>
      </w:r>
      <w:r w:rsidR="0085753F">
        <w:t xml:space="preserve">SN </w:t>
      </w:r>
      <w:r>
        <w:t xml:space="preserve">hat in der Vergangenheit </w:t>
      </w:r>
      <w:r w:rsidR="005E1BEF">
        <w:t xml:space="preserve">mehr Ego-Shooter als </w:t>
      </w:r>
      <w:r w:rsidR="003424AA">
        <w:t>Adventure</w:t>
      </w:r>
      <w:r w:rsidR="005E1BEF">
        <w:t>-Spiele g</w:t>
      </w:r>
      <w:r w:rsidR="005E1BEF">
        <w:t>e</w:t>
      </w:r>
      <w:r w:rsidR="005E1BEF">
        <w:t xml:space="preserve">spielt, oder </w:t>
      </w:r>
      <w:r w:rsidR="0085753F">
        <w:t xml:space="preserve">SN </w:t>
      </w:r>
      <w:r w:rsidR="005E1BEF">
        <w:t>ist generell schlecht im Problemlösen‘</w:t>
      </w:r>
    </w:p>
    <w:p w:rsidR="005E1BEF" w:rsidRDefault="005E1BEF" w:rsidP="00843F7A">
      <w:pPr>
        <w:pStyle w:val="Interpretation"/>
      </w:pPr>
      <w:r>
        <w:rPr>
          <w:i/>
        </w:rPr>
        <w:t>H</w:t>
      </w:r>
      <w:r>
        <w:rPr>
          <w:vertAlign w:val="subscript"/>
        </w:rPr>
        <w:t>2</w:t>
      </w:r>
      <w:r>
        <w:t>: ‚</w:t>
      </w:r>
      <w:r w:rsidR="0085753F">
        <w:t xml:space="preserve">SN </w:t>
      </w:r>
      <w:r>
        <w:t xml:space="preserve">ist intelligent und kann mit anspruchsvollen Problemen </w:t>
      </w:r>
      <w:r w:rsidR="004E4DFC">
        <w:t xml:space="preserve">gut </w:t>
      </w:r>
      <w:r>
        <w:t>umgehen‘</w:t>
      </w:r>
    </w:p>
    <w:p w:rsidR="005E1BEF" w:rsidRDefault="005E1BEF" w:rsidP="00843F7A">
      <w:pPr>
        <w:pStyle w:val="Formel"/>
      </w:pPr>
      <w:r>
        <w:rPr>
          <w:i/>
          <w:iCs/>
        </w:rPr>
        <w:t>Er</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sidR="004C12DE">
        <w:rPr>
          <w:vertAlign w:val="subscript"/>
        </w:rPr>
        <w:t>Ded</w:t>
      </w:r>
      <w:r>
        <w:t xml:space="preserve">  </w:t>
      </w:r>
      <w:r>
        <w:rPr>
          <w:i/>
          <w:iCs/>
        </w:rPr>
        <w:t>Er</w:t>
      </w:r>
      <w:r>
        <w:rPr>
          <w:vertAlign w:val="subscript"/>
        </w:rPr>
        <w:t>2</w:t>
      </w:r>
    </w:p>
    <w:p w:rsidR="005E1BEF" w:rsidRDefault="005E1BEF" w:rsidP="00843F7A">
      <w:pPr>
        <w:pStyle w:val="InterpretationletzteZeile"/>
      </w:pPr>
      <w:r>
        <w:rPr>
          <w:i/>
        </w:rPr>
        <w:t>Er</w:t>
      </w:r>
      <w:r>
        <w:rPr>
          <w:vertAlign w:val="subscript"/>
        </w:rPr>
        <w:t>2</w:t>
      </w:r>
      <w:r>
        <w:t>: ‚</w:t>
      </w:r>
      <w:r w:rsidR="0085753F">
        <w:t xml:space="preserve">SN </w:t>
      </w:r>
      <w:r>
        <w:t>hat in der Vergangenheit mehr Ego-Shooter</w:t>
      </w:r>
      <w:r w:rsidR="004C12DE">
        <w:t>-Spiele</w:t>
      </w:r>
      <w:r>
        <w:t xml:space="preserve"> als Adventure-Spiele gespielt‘</w:t>
      </w:r>
    </w:p>
    <w:p w:rsidR="004E4DFC" w:rsidRDefault="00DF1932" w:rsidP="00843F7A">
      <w:pPr>
        <w:pStyle w:val="Text"/>
        <w:ind w:firstLine="0"/>
      </w:pPr>
      <w:r>
        <w:t xml:space="preserve">Hier wird zunächst eine Disjunktion erzeugt und dann eines der Disjunkte </w:t>
      </w:r>
      <w:r w:rsidR="004E4DFC">
        <w:t xml:space="preserve">durch </w:t>
      </w:r>
      <w:r w:rsidR="004E4DFC">
        <w:rPr>
          <w:i/>
          <w:iCs/>
        </w:rPr>
        <w:t>H</w:t>
      </w:r>
      <w:r w:rsidR="004E4DFC">
        <w:rPr>
          <w:vertAlign w:val="subscript"/>
        </w:rPr>
        <w:t>2</w:t>
      </w:r>
      <w:r w:rsidR="004E4DFC">
        <w:t xml:space="preserve">, das in der Suche nach relevantem Hintergrundwissen zum Ergebnis </w:t>
      </w:r>
      <w:r w:rsidR="004E4DFC">
        <w:rPr>
          <w:i/>
          <w:iCs/>
        </w:rPr>
        <w:t>Er</w:t>
      </w:r>
      <w:r w:rsidR="004E4DFC" w:rsidRPr="003D50E0">
        <w:rPr>
          <w:vertAlign w:val="subscript"/>
        </w:rPr>
        <w:t>1</w:t>
      </w:r>
      <w:r w:rsidR="004E4DFC">
        <w:t xml:space="preserve"> gefunden wird, </w:t>
      </w:r>
      <w:r>
        <w:t>ausge</w:t>
      </w:r>
      <w:r w:rsidR="004E4DFC">
        <w:t xml:space="preserve">schlossen. </w:t>
      </w:r>
      <w:r w:rsidR="004E4DFC">
        <w:rPr>
          <w:i/>
          <w:iCs/>
        </w:rPr>
        <w:t>H</w:t>
      </w:r>
      <w:r w:rsidR="004E4DFC">
        <w:rPr>
          <w:vertAlign w:val="subscript"/>
        </w:rPr>
        <w:t>2</w:t>
      </w:r>
      <w:r w:rsidR="004E4DFC">
        <w:t xml:space="preserve"> könnte auch bereits im ersten Schritt gefunden werden, da es auch bereits für </w:t>
      </w:r>
      <w:r w:rsidR="004E4DFC" w:rsidRPr="00F8759D">
        <w:rPr>
          <w:i/>
          <w:iCs/>
        </w:rPr>
        <w:t>B</w:t>
      </w:r>
      <w:r w:rsidR="004E4DFC">
        <w:rPr>
          <w:vertAlign w:val="subscript"/>
        </w:rPr>
        <w:t>2</w:t>
      </w:r>
      <w:r w:rsidR="004E4DFC">
        <w:t xml:space="preserve"> relevant ist; in diesem Fall würde dasselbe Ergebnis in einem Interpretationsschritt </w:t>
      </w:r>
      <w:r w:rsidR="004C12DE">
        <w:t>erzeugt</w:t>
      </w:r>
      <w:r w:rsidR="004E4DFC">
        <w:t>:</w:t>
      </w:r>
    </w:p>
    <w:p w:rsidR="004E4DFC" w:rsidRDefault="004E4DFC" w:rsidP="00843F7A">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4E4DFC" w:rsidRDefault="004E4DFC" w:rsidP="00843F7A">
      <w:pPr>
        <w:pStyle w:val="InterpretationletzteZeile"/>
      </w:pPr>
      <w:r>
        <w:rPr>
          <w:i/>
        </w:rPr>
        <w:t>Er</w:t>
      </w:r>
      <w:r>
        <w:rPr>
          <w:vertAlign w:val="subscript"/>
        </w:rPr>
        <w:t>1</w:t>
      </w:r>
      <w:r>
        <w:t>: ‚</w:t>
      </w:r>
      <w:r w:rsidR="0085753F">
        <w:t xml:space="preserve">SN </w:t>
      </w:r>
      <w:r>
        <w:t>hat in der Vergangenheit mehr Ego-Shooter</w:t>
      </w:r>
      <w:r w:rsidR="004C12DE">
        <w:t>-Spiele</w:t>
      </w:r>
      <w:r>
        <w:t xml:space="preserve"> als Adventure-Spiele gespielt‘</w:t>
      </w:r>
    </w:p>
    <w:p w:rsidR="00F27DBA" w:rsidRPr="00F96458" w:rsidRDefault="004E4DFC" w:rsidP="000758D7">
      <w:pPr>
        <w:pStyle w:val="Text"/>
        <w:ind w:firstLine="0"/>
        <w:rPr>
          <w:iCs/>
        </w:rPr>
      </w:pPr>
      <w:r>
        <w:t xml:space="preserve">Allerdings ist </w:t>
      </w:r>
      <w:r>
        <w:rPr>
          <w:i/>
          <w:iCs/>
        </w:rPr>
        <w:t>H</w:t>
      </w:r>
      <w:r>
        <w:rPr>
          <w:vertAlign w:val="subscript"/>
        </w:rPr>
        <w:t>2</w:t>
      </w:r>
      <w:r>
        <w:t xml:space="preserve"> </w:t>
      </w:r>
      <w:r w:rsidR="004C12DE">
        <w:t xml:space="preserve">durch </w:t>
      </w:r>
      <w:r>
        <w:rPr>
          <w:i/>
          <w:iCs/>
        </w:rPr>
        <w:t>Er</w:t>
      </w:r>
      <w:r w:rsidRPr="003D50E0">
        <w:rPr>
          <w:vertAlign w:val="subscript"/>
        </w:rPr>
        <w:t>1</w:t>
      </w:r>
      <w:r>
        <w:t xml:space="preserve"> unmittelbar als relevant erkennbar, während </w:t>
      </w:r>
      <w:r w:rsidR="004C12DE">
        <w:t xml:space="preserve">man von </w:t>
      </w:r>
      <w:r w:rsidR="004C12DE" w:rsidRPr="00F8759D">
        <w:rPr>
          <w:i/>
          <w:iCs/>
        </w:rPr>
        <w:t>B</w:t>
      </w:r>
      <w:r w:rsidR="004C12DE">
        <w:rPr>
          <w:vertAlign w:val="subscript"/>
        </w:rPr>
        <w:t>2</w:t>
      </w:r>
      <w:r w:rsidR="004C12DE">
        <w:t xml:space="preserve"> weniger direkt zu Überlegungen über die allgemeine Problemlösungsfähigkeit des </w:t>
      </w:r>
      <w:r w:rsidR="0085753F">
        <w:t xml:space="preserve">SN </w:t>
      </w:r>
      <w:r w:rsidR="004C12DE">
        <w:t>gelangt. Beide Lösungen sind daher plausibel.</w:t>
      </w:r>
    </w:p>
    <w:p w:rsidR="004B2A7A" w:rsidRPr="000F1014" w:rsidRDefault="00F27DBA" w:rsidP="000758D7">
      <w:pPr>
        <w:pStyle w:val="Interpretation1Zeile"/>
      </w:pPr>
      <w:r>
        <w:t>2</w:t>
      </w:r>
      <w:r w:rsidR="004B2A7A" w:rsidRPr="000F1014">
        <w:t>.</w:t>
      </w:r>
      <w:r w:rsidR="004B2A7A" w:rsidRPr="000F1014">
        <w:tab/>
        <w:t>Artefaktschema ‚Gebäude‘</w:t>
      </w:r>
    </w:p>
    <w:p w:rsidR="004B2A7A" w:rsidRPr="000F1014" w:rsidRDefault="004B2A7A" w:rsidP="000758D7">
      <w:pPr>
        <w:pStyle w:val="Interpretation"/>
      </w:pPr>
      <w:r w:rsidRPr="000F1014">
        <w:rPr>
          <w:i/>
        </w:rPr>
        <w:lastRenderedPageBreak/>
        <w:t>U</w:t>
      </w:r>
      <w:r w:rsidRPr="000F1014">
        <w:t>(</w:t>
      </w:r>
      <w:r w:rsidRPr="000F1014">
        <w:rPr>
          <w:i/>
        </w:rPr>
        <w:t>B</w:t>
      </w:r>
      <w:r w:rsidR="009E0C73" w:rsidRPr="000F1014">
        <w:rPr>
          <w:vertAlign w:val="subscript"/>
        </w:rPr>
        <w:t>1</w:t>
      </w:r>
      <w:r w:rsidRPr="000F1014">
        <w:t>): ‚</w:t>
      </w:r>
      <w:r w:rsidR="004320EC">
        <w:t>Foyer</w:t>
      </w:r>
      <w:r w:rsidRPr="000F1014">
        <w:t xml:space="preserve">‘, </w:t>
      </w:r>
      <w:r w:rsidRPr="000F1014">
        <w:rPr>
          <w:i/>
        </w:rPr>
        <w:t>V</w:t>
      </w:r>
      <w:r w:rsidRPr="000F1014">
        <w:t>(</w:t>
      </w:r>
      <w:r w:rsidRPr="000F1014">
        <w:rPr>
          <w:i/>
        </w:rPr>
        <w:t>B</w:t>
      </w:r>
      <w:r w:rsidR="009E0C73" w:rsidRPr="000F1014">
        <w:rPr>
          <w:vertAlign w:val="subscript"/>
        </w:rPr>
        <w:t>1</w:t>
      </w:r>
      <w:r w:rsidRPr="000F1014">
        <w:t xml:space="preserve">): ‚mit finanziellem Aufwand </w:t>
      </w:r>
      <w:r w:rsidRPr="000F1014">
        <w:rPr>
          <w:i/>
        </w:rPr>
        <w:t>x</w:t>
      </w:r>
      <w:r w:rsidRPr="000F1014">
        <w:t xml:space="preserve"> gestaltet‘</w:t>
      </w:r>
    </w:p>
    <w:p w:rsidR="004B2A7A" w:rsidRPr="000F1014" w:rsidRDefault="004B2A7A" w:rsidP="000758D7">
      <w:pPr>
        <w:pStyle w:val="Interpretation"/>
      </w:pPr>
      <w:r w:rsidRPr="000F1014">
        <w:rPr>
          <w:i/>
        </w:rPr>
        <w:t>U</w:t>
      </w:r>
      <w:r w:rsidRPr="000F1014">
        <w:t>(</w:t>
      </w:r>
      <w:r w:rsidRPr="000F1014">
        <w:rPr>
          <w:i/>
        </w:rPr>
        <w:t>B</w:t>
      </w:r>
      <w:r w:rsidR="009E0C73">
        <w:rPr>
          <w:vertAlign w:val="subscript"/>
        </w:rPr>
        <w:t>2</w:t>
      </w:r>
      <w:r w:rsidRPr="000F1014">
        <w:t xml:space="preserve">): ‚Keller‘, </w:t>
      </w:r>
      <w:r w:rsidRPr="000F1014">
        <w:rPr>
          <w:i/>
        </w:rPr>
        <w:t>V</w:t>
      </w:r>
      <w:r w:rsidRPr="000F1014">
        <w:t>(</w:t>
      </w:r>
      <w:r w:rsidRPr="000F1014">
        <w:rPr>
          <w:i/>
        </w:rPr>
        <w:t>B</w:t>
      </w:r>
      <w:r w:rsidR="009E0C73">
        <w:rPr>
          <w:vertAlign w:val="subscript"/>
        </w:rPr>
        <w:t>2</w:t>
      </w:r>
      <w:r w:rsidRPr="000F1014">
        <w:t xml:space="preserve">): ‚mit finanziellem Aufwand </w:t>
      </w:r>
      <w:r w:rsidRPr="000F1014">
        <w:rPr>
          <w:i/>
        </w:rPr>
        <w:t>x</w:t>
      </w:r>
      <w:r w:rsidRPr="000F1014">
        <w:t xml:space="preserve"> gestaltet‘</w:t>
      </w:r>
    </w:p>
    <w:p w:rsidR="004B2A7A" w:rsidRPr="000F1014" w:rsidRDefault="004B2A7A" w:rsidP="000758D7">
      <w:pPr>
        <w:pStyle w:val="Interpretation"/>
      </w:pPr>
      <w:r w:rsidRPr="000F1014">
        <w:rPr>
          <w:i/>
        </w:rPr>
        <w:t>H</w:t>
      </w:r>
      <w:r w:rsidRPr="000F1014">
        <w:rPr>
          <w:vertAlign w:val="subscript"/>
        </w:rPr>
        <w:t>1</w:t>
      </w:r>
      <w:r w:rsidR="00817584">
        <w:t xml:space="preserve"> [zum Schema]</w:t>
      </w:r>
      <w:r w:rsidR="002B4AAB">
        <w:t>:</w:t>
      </w:r>
      <w:r w:rsidR="004320EC">
        <w:t xml:space="preserve"> ‚Das</w:t>
      </w:r>
      <w:r w:rsidRPr="000F1014">
        <w:t xml:space="preserve"> </w:t>
      </w:r>
      <w:r w:rsidR="004320EC">
        <w:t xml:space="preserve">Foyer </w:t>
      </w:r>
      <w:r w:rsidRPr="000F1014">
        <w:t xml:space="preserve">eines Gebäudes </w:t>
      </w:r>
      <w:r w:rsidR="002B4AAB">
        <w:t xml:space="preserve">hat eine </w:t>
      </w:r>
      <w:r w:rsidR="003A67C7">
        <w:t xml:space="preserve">hohe </w:t>
      </w:r>
      <w:r w:rsidR="002B4AAB">
        <w:t>Repräsentation</w:t>
      </w:r>
      <w:r w:rsidR="002B4AAB">
        <w:t>s</w:t>
      </w:r>
      <w:r w:rsidR="002B4AAB">
        <w:t>funktion</w:t>
      </w:r>
      <w:r w:rsidRPr="000F1014">
        <w:t xml:space="preserve">, </w:t>
      </w:r>
      <w:r w:rsidR="009E0C73">
        <w:t xml:space="preserve">der Keller </w:t>
      </w:r>
      <w:r w:rsidR="003A67C7">
        <w:t>eine sehr niedrige</w:t>
      </w:r>
      <w:r w:rsidRPr="000F1014">
        <w:t>‘</w:t>
      </w:r>
    </w:p>
    <w:p w:rsidR="009E0C73" w:rsidRDefault="009E0C73" w:rsidP="000758D7">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sidRPr="0062421C">
        <w:rPr>
          <w:vertAlign w:val="subscript"/>
        </w:rPr>
        <w:t>1</w:t>
      </w:r>
      <w:r>
        <w:rPr>
          <w:color w:val="000000" w:themeColor="text1"/>
        </w:rPr>
        <w:t xml:space="preserve"> </w:t>
      </w:r>
      <w:r w:rsidR="002434D2">
        <w:rPr>
          <w:rFonts w:ascii="Cambria Math" w:eastAsia="Arial Unicode MS" w:hAnsi="Cambria Math" w:cs="Cambria Math"/>
          <w:color w:val="000000" w:themeColor="text1"/>
        </w:rPr>
        <w:t>⤳</w:t>
      </w:r>
      <w:r w:rsidR="00914E6A">
        <w:rPr>
          <w:vertAlign w:val="subscript"/>
        </w:rPr>
        <w:t>Ind</w:t>
      </w:r>
      <w:r>
        <w:t xml:space="preserve">  </w:t>
      </w:r>
      <w:r>
        <w:rPr>
          <w:i/>
          <w:iCs/>
        </w:rPr>
        <w:t>Er</w:t>
      </w:r>
      <w:r w:rsidRPr="0062421C">
        <w:rPr>
          <w:vertAlign w:val="subscript"/>
        </w:rPr>
        <w:t>1</w:t>
      </w:r>
    </w:p>
    <w:p w:rsidR="002B4AAB" w:rsidRDefault="002B4AAB" w:rsidP="000758D7">
      <w:pPr>
        <w:pStyle w:val="Interpretation"/>
      </w:pPr>
      <w:r w:rsidRPr="000F1014">
        <w:rPr>
          <w:i/>
        </w:rPr>
        <w:t>Er</w:t>
      </w:r>
      <w:r w:rsidRPr="000F1014">
        <w:rPr>
          <w:vertAlign w:val="subscript"/>
        </w:rPr>
        <w:t>1</w:t>
      </w:r>
      <w:r w:rsidRPr="000F1014">
        <w:t>: ‚</w:t>
      </w:r>
      <w:r w:rsidR="003A67C7">
        <w:t xml:space="preserve">Der Grad der </w:t>
      </w:r>
      <w:r>
        <w:t xml:space="preserve">Repräsentationsfunktion </w:t>
      </w:r>
      <w:r w:rsidR="003A67C7">
        <w:t xml:space="preserve">der </w:t>
      </w:r>
      <w:r>
        <w:t xml:space="preserve">Räume </w:t>
      </w:r>
      <w:r w:rsidR="005F1915">
        <w:t xml:space="preserve">wirkt sich nicht auf </w:t>
      </w:r>
      <w:r w:rsidR="003A67C7">
        <w:t xml:space="preserve">ihre </w:t>
      </w:r>
      <w:r>
        <w:t xml:space="preserve">Gestaltung </w:t>
      </w:r>
      <w:r w:rsidR="005F1915">
        <w:t>aus‘</w:t>
      </w:r>
    </w:p>
    <w:p w:rsidR="002B4AAB" w:rsidRDefault="002B4AAB" w:rsidP="000758D7">
      <w:pPr>
        <w:pStyle w:val="Interpretation"/>
      </w:pPr>
      <w:r w:rsidRPr="000F1014">
        <w:rPr>
          <w:i/>
        </w:rPr>
        <w:t>H</w:t>
      </w:r>
      <w:r w:rsidRPr="000F1014">
        <w:rPr>
          <w:vertAlign w:val="subscript"/>
        </w:rPr>
        <w:t>2</w:t>
      </w:r>
      <w:r>
        <w:t>:</w:t>
      </w:r>
      <w:r w:rsidRPr="000F1014">
        <w:t xml:space="preserve"> ‚</w:t>
      </w:r>
      <w:r w:rsidR="005F1915">
        <w:t xml:space="preserve">Es ist üblich, </w:t>
      </w:r>
      <w:r>
        <w:t xml:space="preserve">Artefakte oder </w:t>
      </w:r>
      <w:r w:rsidR="005F1915">
        <w:t xml:space="preserve">Teile von Artefakten </w:t>
      </w:r>
      <w:r w:rsidR="003A67C7">
        <w:t>mit hoher Repräsentat</w:t>
      </w:r>
      <w:r w:rsidR="003A67C7">
        <w:t>i</w:t>
      </w:r>
      <w:r w:rsidR="003A67C7">
        <w:t xml:space="preserve">onsfunktion </w:t>
      </w:r>
      <w:r>
        <w:t xml:space="preserve">aufwändiger </w:t>
      </w:r>
      <w:r w:rsidR="005F1915">
        <w:t xml:space="preserve">zu </w:t>
      </w:r>
      <w:r>
        <w:t>gestal</w:t>
      </w:r>
      <w:r w:rsidR="005F1915">
        <w:t>ten</w:t>
      </w:r>
      <w:r w:rsidRPr="000F1014">
        <w:t>‘</w:t>
      </w:r>
    </w:p>
    <w:p w:rsidR="005F1915" w:rsidRDefault="005F1915" w:rsidP="000758D7">
      <w:pPr>
        <w:pStyle w:val="Formel"/>
      </w:pPr>
      <w:r>
        <w:rPr>
          <w:i/>
          <w:iCs/>
        </w:rPr>
        <w:t>Er</w:t>
      </w:r>
      <w:r w:rsidRPr="0062421C">
        <w:rPr>
          <w:vertAlign w:val="subscript"/>
        </w:rPr>
        <w:t>1</w:t>
      </w:r>
      <w:r w:rsidR="00F27DBA">
        <w:rPr>
          <w:color w:val="000000" w:themeColor="text1"/>
        </w:rPr>
        <w:t xml:space="preserve"> </w:t>
      </w:r>
      <w:r w:rsidR="00F27DBA" w:rsidRPr="00D41E3E">
        <w:rPr>
          <w:rFonts w:ascii="Cambria Math" w:hAnsi="Cambria Math" w:cs="Cambria Math"/>
        </w:rPr>
        <w:t>∧</w:t>
      </w:r>
      <w:r w:rsidR="00F27DBA" w:rsidRPr="00D41E3E">
        <w:rPr>
          <w:rFonts w:cs="Times New Roman"/>
        </w:rPr>
        <w:t xml:space="preserve"> </w:t>
      </w:r>
      <w:r w:rsidR="00F27DBA">
        <w:rPr>
          <w:i/>
          <w:iCs/>
        </w:rPr>
        <w:t>H</w:t>
      </w:r>
      <w:r w:rsidR="00F27DBA">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2</w:t>
      </w:r>
    </w:p>
    <w:p w:rsidR="005F1915" w:rsidRDefault="005F1915" w:rsidP="000758D7">
      <w:pPr>
        <w:pStyle w:val="InterpretationletzteZeile"/>
        <w:rPr>
          <w:i/>
        </w:rPr>
      </w:pPr>
      <w:r w:rsidRPr="000F1014">
        <w:rPr>
          <w:i/>
        </w:rPr>
        <w:t>Er</w:t>
      </w:r>
      <w:r>
        <w:rPr>
          <w:vertAlign w:val="subscript"/>
        </w:rPr>
        <w:t>2</w:t>
      </w:r>
      <w:r w:rsidRPr="000F1014">
        <w:t xml:space="preserve">: ‚Für die Repräsentation wird </w:t>
      </w:r>
      <w:r>
        <w:t xml:space="preserve">entgegen dem Üblichen </w:t>
      </w:r>
      <w:r w:rsidRPr="000F1014">
        <w:t>kein</w:t>
      </w:r>
      <w:r>
        <w:t xml:space="preserve"> zusätzlicher Aufwand betrieben</w:t>
      </w:r>
      <w:r w:rsidRPr="000F1014">
        <w:t>‘</w:t>
      </w:r>
    </w:p>
    <w:p w:rsidR="00461AEB" w:rsidRDefault="005F1915" w:rsidP="000758D7">
      <w:pPr>
        <w:pStyle w:val="Text"/>
        <w:ind w:firstLine="0"/>
      </w:pPr>
      <w:r>
        <w:t xml:space="preserve">Aus </w:t>
      </w:r>
      <w:r w:rsidR="003A67C7">
        <w:t>Hintergrundw</w:t>
      </w:r>
      <w:r w:rsidR="002B4AAB">
        <w:t xml:space="preserve">issen </w:t>
      </w:r>
      <w:r w:rsidR="009E0C73" w:rsidRPr="000F1014">
        <w:t>zu</w:t>
      </w:r>
      <w:r w:rsidR="009E0C73">
        <w:t>m Schema</w:t>
      </w:r>
      <w:r w:rsidR="009E0C73" w:rsidRPr="000F1014">
        <w:t xml:space="preserve"> ‚Gebäude‘</w:t>
      </w:r>
      <w:r w:rsidR="003A67C7">
        <w:t xml:space="preserve"> wird der Grad der Repräsentat</w:t>
      </w:r>
      <w:r w:rsidR="003A67C7">
        <w:t>i</w:t>
      </w:r>
      <w:r w:rsidR="003A67C7">
        <w:t>onsfunktion verschiedener Räume entnommen.</w:t>
      </w:r>
      <w:r w:rsidR="003E48DB">
        <w:rPr>
          <w:rStyle w:val="Funotenzeichen"/>
        </w:rPr>
        <w:footnoteReference w:id="422"/>
      </w:r>
      <w:r w:rsidR="003A67C7">
        <w:t xml:space="preserve"> Es kann nun direkt geschlo</w:t>
      </w:r>
      <w:r w:rsidR="003A67C7">
        <w:t>s</w:t>
      </w:r>
      <w:r w:rsidR="003A67C7">
        <w:t>sen werden, dass der Grad der Repräsentationsfunktion sich nicht auf die Gesta</w:t>
      </w:r>
      <w:r w:rsidR="003A67C7">
        <w:t>l</w:t>
      </w:r>
      <w:r w:rsidR="003A67C7">
        <w:t>tung auswirkt. Durch Hinzuziehung allgemeinen Hintergrundwissens kann fe</w:t>
      </w:r>
      <w:r w:rsidR="003A67C7">
        <w:t>r</w:t>
      </w:r>
      <w:r w:rsidR="003A67C7">
        <w:t>ner geschlossen werden, dass hier vom Üblichen abgewichen wird, indem zusätzlicher Aufwand für die Repräsentation vermieden wird.</w:t>
      </w:r>
    </w:p>
    <w:p w:rsidR="004320EC" w:rsidRDefault="004320EC" w:rsidP="00461AEB">
      <w:pPr>
        <w:pStyle w:val="Text"/>
      </w:pPr>
      <w:r>
        <w:t>Falls angenommen wird, dass Informationen über die Repräsentationsfun</w:t>
      </w:r>
      <w:r>
        <w:t>k</w:t>
      </w:r>
      <w:r>
        <w:t>tion im Schema selbst gespeichert werden, kann der erste Schritt ohne Hinte</w:t>
      </w:r>
      <w:r>
        <w:t>r</w:t>
      </w:r>
      <w:r>
        <w:t>grundwissen vollzogen werden:</w:t>
      </w:r>
    </w:p>
    <w:p w:rsidR="004320EC" w:rsidRPr="000F1014" w:rsidRDefault="004320EC" w:rsidP="000758D7">
      <w:pPr>
        <w:pStyle w:val="Interpretation1Zeile"/>
      </w:pPr>
      <w:r w:rsidRPr="000F1014">
        <w:rPr>
          <w:i/>
        </w:rPr>
        <w:t>U</w:t>
      </w:r>
      <w:r w:rsidRPr="000F1014">
        <w:t>(</w:t>
      </w:r>
      <w:r w:rsidRPr="000F1014">
        <w:rPr>
          <w:i/>
        </w:rPr>
        <w:t>B</w:t>
      </w:r>
      <w:r w:rsidRPr="000F1014">
        <w:rPr>
          <w:vertAlign w:val="subscript"/>
        </w:rPr>
        <w:t>1</w:t>
      </w:r>
      <w:r w:rsidRPr="000F1014">
        <w:t>): ‚</w:t>
      </w:r>
      <w:r>
        <w:t>Foyer (mit hoher Repräsentationsfunktion)</w:t>
      </w:r>
      <w:r w:rsidRPr="000F1014">
        <w:t xml:space="preserve">‘, </w:t>
      </w:r>
      <w:r w:rsidRPr="000F1014">
        <w:rPr>
          <w:i/>
        </w:rPr>
        <w:t>V</w:t>
      </w:r>
      <w:r w:rsidRPr="000F1014">
        <w:t>(</w:t>
      </w:r>
      <w:r w:rsidRPr="000F1014">
        <w:rPr>
          <w:i/>
        </w:rPr>
        <w:t>B</w:t>
      </w:r>
      <w:r w:rsidRPr="000F1014">
        <w:rPr>
          <w:vertAlign w:val="subscript"/>
        </w:rPr>
        <w:t>1</w:t>
      </w:r>
      <w:r w:rsidRPr="000F1014">
        <w:t xml:space="preserve">): ‚mit finanziellem Aufwand </w:t>
      </w:r>
      <w:r w:rsidRPr="000F1014">
        <w:rPr>
          <w:i/>
        </w:rPr>
        <w:t>x</w:t>
      </w:r>
      <w:r w:rsidRPr="000F1014">
        <w:t xml:space="preserve"> gestaltet‘</w:t>
      </w:r>
    </w:p>
    <w:p w:rsidR="004320EC" w:rsidRPr="000F1014" w:rsidRDefault="004320EC" w:rsidP="000758D7">
      <w:pPr>
        <w:pStyle w:val="Interpretation"/>
      </w:pPr>
      <w:r w:rsidRPr="000F1014">
        <w:rPr>
          <w:i/>
        </w:rPr>
        <w:t>U</w:t>
      </w:r>
      <w:r w:rsidRPr="000F1014">
        <w:t>(</w:t>
      </w:r>
      <w:r w:rsidRPr="000F1014">
        <w:rPr>
          <w:i/>
        </w:rPr>
        <w:t>B</w:t>
      </w:r>
      <w:r>
        <w:rPr>
          <w:vertAlign w:val="subscript"/>
        </w:rPr>
        <w:t>2</w:t>
      </w:r>
      <w:r w:rsidRPr="000F1014">
        <w:t>): ‚Keller</w:t>
      </w:r>
      <w:r w:rsidR="00914E6A">
        <w:t xml:space="preserve"> (mit niedriger Repräsentationsfunktion)</w:t>
      </w:r>
      <w:r w:rsidRPr="000F1014">
        <w:t xml:space="preserve">‘, </w:t>
      </w:r>
      <w:r w:rsidRPr="000F1014">
        <w:rPr>
          <w:i/>
        </w:rPr>
        <w:t>V</w:t>
      </w:r>
      <w:r w:rsidRPr="000F1014">
        <w:t>(</w:t>
      </w:r>
      <w:r w:rsidRPr="000F1014">
        <w:rPr>
          <w:i/>
        </w:rPr>
        <w:t>B</w:t>
      </w:r>
      <w:r>
        <w:rPr>
          <w:vertAlign w:val="subscript"/>
        </w:rPr>
        <w:t>2</w:t>
      </w:r>
      <w:r w:rsidRPr="000F1014">
        <w:t>): ‚mit finanzie</w:t>
      </w:r>
      <w:r w:rsidRPr="000F1014">
        <w:t>l</w:t>
      </w:r>
      <w:r w:rsidRPr="000F1014">
        <w:t xml:space="preserve">lem Aufwand </w:t>
      </w:r>
      <w:r w:rsidRPr="000F1014">
        <w:rPr>
          <w:i/>
        </w:rPr>
        <w:t>x</w:t>
      </w:r>
      <w:r w:rsidRPr="000F1014">
        <w:t xml:space="preserve"> gestaltet‘</w:t>
      </w:r>
    </w:p>
    <w:p w:rsidR="004320EC" w:rsidRDefault="004320EC" w:rsidP="000758D7">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sidR="00914E6A">
        <w:rPr>
          <w:vertAlign w:val="subscript"/>
        </w:rPr>
        <w:t>Ind</w:t>
      </w:r>
      <w:r>
        <w:t xml:space="preserve">  </w:t>
      </w:r>
      <w:r>
        <w:rPr>
          <w:i/>
          <w:iCs/>
        </w:rPr>
        <w:t>Er</w:t>
      </w:r>
      <w:r w:rsidRPr="0062421C">
        <w:rPr>
          <w:vertAlign w:val="subscript"/>
        </w:rPr>
        <w:t>1</w:t>
      </w:r>
    </w:p>
    <w:p w:rsidR="004320EC" w:rsidRDefault="004320EC" w:rsidP="000758D7">
      <w:pPr>
        <w:pStyle w:val="InterpretationletzteZeile"/>
      </w:pPr>
      <w:r w:rsidRPr="000F1014">
        <w:rPr>
          <w:i/>
        </w:rPr>
        <w:t>Er</w:t>
      </w:r>
      <w:r w:rsidRPr="000F1014">
        <w:rPr>
          <w:vertAlign w:val="subscript"/>
        </w:rPr>
        <w:t>1</w:t>
      </w:r>
      <w:r w:rsidRPr="000F1014">
        <w:t>: ‚</w:t>
      </w:r>
      <w:r>
        <w:t>Der Grad der Repräsentationsfunktion der Räume wirkt sich nicht auf ihre Gestaltung aus‘</w:t>
      </w:r>
    </w:p>
    <w:p w:rsidR="004320EC" w:rsidRDefault="00914E6A" w:rsidP="000758D7">
      <w:pPr>
        <w:pStyle w:val="Text"/>
        <w:ind w:firstLine="0"/>
      </w:pPr>
      <w:r>
        <w:t xml:space="preserve">Es ist möglich, solches Wissen im Schema zu repräsentieren; </w:t>
      </w:r>
      <w:r w:rsidRPr="00914E6A">
        <w:t xml:space="preserve">die </w:t>
      </w:r>
      <w:r w:rsidR="00AD2226">
        <w:rPr>
          <w:bCs/>
        </w:rPr>
        <w:t>Schemaort-d</w:t>
      </w:r>
      <w:r w:rsidRPr="00914E6A">
        <w:rPr>
          <w:bCs/>
        </w:rPr>
        <w:t>efinierenden Eigenschaften</w:t>
      </w:r>
      <w:r w:rsidR="00A551C4">
        <w:rPr>
          <w:rStyle w:val="Funotenzeichen"/>
          <w:bCs/>
        </w:rPr>
        <w:footnoteReference w:id="423"/>
      </w:r>
      <w:r w:rsidR="00A551C4">
        <w:rPr>
          <w:bCs/>
        </w:rPr>
        <w:t xml:space="preserve"> </w:t>
      </w:r>
      <w:r w:rsidR="006019A0">
        <w:t>k</w:t>
      </w:r>
      <w:r>
        <w:t>önnen die Schemaorte überspezifizieren, also mehr Angaben einfügen, als zur eindeutigen Abgrenzung von allen anderen Schemaorten aller anderen Schemata notwendig wäre. Beide Darstellungsweisen sind also möglich.</w:t>
      </w:r>
    </w:p>
    <w:p w:rsidR="00F27DBA" w:rsidRDefault="00F8407B" w:rsidP="00C81A7B">
      <w:pPr>
        <w:pStyle w:val="Interpretation1Zeile"/>
      </w:pPr>
      <w:r>
        <w:lastRenderedPageBreak/>
        <w:t>3.</w:t>
      </w:r>
      <w:r>
        <w:tab/>
        <w:t>Artefakt</w:t>
      </w:r>
      <w:r w:rsidR="00334857">
        <w:t>schema ‚</w:t>
      </w:r>
      <w:r w:rsidR="00127F58">
        <w:t>darstellendes Bild</w:t>
      </w:r>
      <w:r w:rsidR="005D7996">
        <w:fldChar w:fldCharType="begin"/>
      </w:r>
      <w:r w:rsidR="0025273E">
        <w:instrText xml:space="preserve"> XE "</w:instrText>
      </w:r>
      <w:r w:rsidR="0025273E" w:rsidRPr="00EF0C2F">
        <w:instrText>Bilder:darstellende</w:instrText>
      </w:r>
      <w:r w:rsidR="0025273E">
        <w:instrText xml:space="preserve">" </w:instrText>
      </w:r>
      <w:r w:rsidR="005D7996">
        <w:fldChar w:fldCharType="end"/>
      </w:r>
      <w:r w:rsidR="00334857">
        <w:t>‘</w:t>
      </w:r>
      <w:bookmarkStart w:id="319" w:name="_Ref261709259"/>
      <w:r w:rsidR="00C82386">
        <w:rPr>
          <w:rStyle w:val="Funotenzeichen"/>
        </w:rPr>
        <w:footnoteReference w:id="424"/>
      </w:r>
      <w:bookmarkEnd w:id="319"/>
    </w:p>
    <w:p w:rsidR="00F8407B" w:rsidRDefault="00F8407B" w:rsidP="00C81A7B">
      <w:pPr>
        <w:pStyle w:val="Interpretation"/>
      </w:pPr>
      <w:r w:rsidRPr="000F1014">
        <w:rPr>
          <w:i/>
        </w:rPr>
        <w:t>U</w:t>
      </w:r>
      <w:r w:rsidRPr="000F1014">
        <w:t>(</w:t>
      </w:r>
      <w:r w:rsidRPr="000F1014">
        <w:rPr>
          <w:i/>
        </w:rPr>
        <w:t>B</w:t>
      </w:r>
      <w:r w:rsidRPr="000F1014">
        <w:rPr>
          <w:vertAlign w:val="subscript"/>
        </w:rPr>
        <w:t>1</w:t>
      </w:r>
      <w:r w:rsidRPr="000F1014">
        <w:t>): ‚</w:t>
      </w:r>
      <w:r>
        <w:t>Darstellung (</w:t>
      </w:r>
      <w:r w:rsidR="00AA4E6E">
        <w:t>von Gebäuden</w:t>
      </w:r>
      <w:r>
        <w:t xml:space="preserve">)‘, </w:t>
      </w:r>
      <w:r>
        <w:rPr>
          <w:i/>
        </w:rPr>
        <w:t>V</w:t>
      </w:r>
      <w:r w:rsidRPr="000F1014">
        <w:t>(</w:t>
      </w:r>
      <w:r w:rsidRPr="000F1014">
        <w:rPr>
          <w:i/>
        </w:rPr>
        <w:t>B</w:t>
      </w:r>
      <w:r w:rsidRPr="000F1014">
        <w:rPr>
          <w:vertAlign w:val="subscript"/>
        </w:rPr>
        <w:t>1</w:t>
      </w:r>
      <w:r w:rsidRPr="000F1014">
        <w:t>): ‚</w:t>
      </w:r>
      <w:r>
        <w:t>detailreich; plastisch dargestellt‘</w:t>
      </w:r>
    </w:p>
    <w:p w:rsidR="00F8407B" w:rsidRDefault="00F8407B" w:rsidP="00C81A7B">
      <w:pPr>
        <w:pStyle w:val="Interpretation"/>
      </w:pPr>
      <w:r w:rsidRPr="000F1014">
        <w:rPr>
          <w:i/>
        </w:rPr>
        <w:t>U</w:t>
      </w:r>
      <w:r w:rsidRPr="000F1014">
        <w:t>(</w:t>
      </w:r>
      <w:r w:rsidRPr="000F1014">
        <w:rPr>
          <w:i/>
        </w:rPr>
        <w:t>B</w:t>
      </w:r>
      <w:r>
        <w:rPr>
          <w:vertAlign w:val="subscript"/>
        </w:rPr>
        <w:t>2</w:t>
      </w:r>
      <w:r w:rsidRPr="000F1014">
        <w:t>): ‚</w:t>
      </w:r>
      <w:r>
        <w:t>Darstellung (</w:t>
      </w:r>
      <w:r w:rsidR="00AA4E6E">
        <w:t>von Menschen</w:t>
      </w:r>
      <w:r>
        <w:t xml:space="preserve">)‘, </w:t>
      </w:r>
      <w:r>
        <w:rPr>
          <w:i/>
        </w:rPr>
        <w:t>V</w:t>
      </w:r>
      <w:r w:rsidRPr="000F1014">
        <w:t>(</w:t>
      </w:r>
      <w:r w:rsidRPr="000F1014">
        <w:rPr>
          <w:i/>
        </w:rPr>
        <w:t>B</w:t>
      </w:r>
      <w:r>
        <w:rPr>
          <w:vertAlign w:val="subscript"/>
        </w:rPr>
        <w:t>2</w:t>
      </w:r>
      <w:r w:rsidRPr="000F1014">
        <w:t>): ‚</w:t>
      </w:r>
      <w:r>
        <w:t>detailarm; eindimensional darg</w:t>
      </w:r>
      <w:r>
        <w:t>e</w:t>
      </w:r>
      <w:r>
        <w:t>stellt‘</w:t>
      </w:r>
    </w:p>
    <w:p w:rsidR="00F8407B" w:rsidRDefault="00F8407B" w:rsidP="00C81A7B">
      <w:pPr>
        <w:pStyle w:val="Interpretation"/>
      </w:pPr>
      <w:r>
        <w:rPr>
          <w:i/>
        </w:rPr>
        <w:t>H</w:t>
      </w:r>
      <w:r w:rsidRPr="000F1014">
        <w:rPr>
          <w:vertAlign w:val="subscript"/>
        </w:rPr>
        <w:t>1</w:t>
      </w:r>
      <w:r w:rsidR="00BA5E5B">
        <w:t xml:space="preserve"> [zum Schema]:</w:t>
      </w:r>
      <w:r>
        <w:t xml:space="preserve"> ‚Bei Bildern gilt gewöhnlich eine Entsprechung zwischen </w:t>
      </w:r>
      <w:r w:rsidR="00AA4E6E">
        <w:t xml:space="preserve">Detailreichtum und Relevanz eines Elements des </w:t>
      </w:r>
      <w:r>
        <w:t>Bildinhalts‘</w:t>
      </w:r>
    </w:p>
    <w:p w:rsidR="00F8407B" w:rsidRDefault="00F8407B" w:rsidP="00C81A7B">
      <w:pPr>
        <w:pStyle w:val="Interpretation"/>
      </w:pPr>
      <w:r>
        <w:rPr>
          <w:i/>
        </w:rPr>
        <w:t>H</w:t>
      </w:r>
      <w:r>
        <w:rPr>
          <w:vertAlign w:val="subscript"/>
        </w:rPr>
        <w:t>2</w:t>
      </w:r>
      <w:r w:rsidR="00BA5E5B">
        <w:t xml:space="preserve"> [zum Schema]:</w:t>
      </w:r>
      <w:r>
        <w:t xml:space="preserve"> ‚Wenn in einem Bild plastische und dreidimensionale Darste</w:t>
      </w:r>
      <w:r>
        <w:t>l</w:t>
      </w:r>
      <w:r>
        <w:t xml:space="preserve">lung vorkommen, ist gewöhnlich das Sujet des Bilds plastisch und </w:t>
      </w:r>
      <w:r w:rsidR="00AA4E6E">
        <w:t>ausschm</w:t>
      </w:r>
      <w:r w:rsidR="00AA4E6E">
        <w:t>ü</w:t>
      </w:r>
      <w:r w:rsidR="00AA4E6E">
        <w:t xml:space="preserve">ckende Elemente </w:t>
      </w:r>
      <w:r>
        <w:t>eindimensional dargestellt‘</w:t>
      </w:r>
    </w:p>
    <w:p w:rsidR="00F8407B" w:rsidRDefault="00F8407B" w:rsidP="00C81A7B">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sidRPr="0062421C">
        <w:rPr>
          <w:vertAlign w:val="subscript"/>
        </w:rPr>
        <w:t>1</w:t>
      </w:r>
      <w:r w:rsidRPr="00D41E3E">
        <w:rPr>
          <w:rFonts w:cs="Times New Roman"/>
        </w:rPr>
        <w:t xml:space="preserve"> </w:t>
      </w:r>
      <w:r w:rsidR="002434D2">
        <w:rPr>
          <w:rFonts w:ascii="Cambria Math" w:eastAsia="Arial Unicode MS" w:hAnsi="Cambria Math" w:cs="Cambria Math"/>
          <w:color w:val="000000" w:themeColor="text1"/>
        </w:rPr>
        <w:t>⤳</w:t>
      </w:r>
      <w:r w:rsidR="00C82386">
        <w:rPr>
          <w:vertAlign w:val="subscript"/>
        </w:rPr>
        <w:t>Ded</w:t>
      </w:r>
      <w:r>
        <w:t xml:space="preserve">  </w:t>
      </w:r>
      <w:r>
        <w:rPr>
          <w:i/>
          <w:iCs/>
        </w:rPr>
        <w:t>Er</w:t>
      </w:r>
      <w:r w:rsidRPr="0062421C">
        <w:rPr>
          <w:vertAlign w:val="subscript"/>
        </w:rPr>
        <w:t>1</w:t>
      </w:r>
    </w:p>
    <w:p w:rsidR="00F8407B" w:rsidRDefault="00AA4E6E" w:rsidP="00C81A7B">
      <w:pPr>
        <w:pStyle w:val="Interpretation"/>
      </w:pPr>
      <w:r>
        <w:rPr>
          <w:i/>
        </w:rPr>
        <w:t>Er</w:t>
      </w:r>
      <w:r w:rsidRPr="000F1014">
        <w:rPr>
          <w:vertAlign w:val="subscript"/>
        </w:rPr>
        <w:t>1</w:t>
      </w:r>
      <w:r>
        <w:t>: ‚Im Bildinhalt sind Gebäude relevant, Menschen wenig relevant‘</w:t>
      </w:r>
    </w:p>
    <w:p w:rsidR="00AA4E6E" w:rsidRDefault="00AA4E6E" w:rsidP="00C81A7B">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vertAlign w:val="subscript"/>
        </w:rPr>
        <w:t>2</w:t>
      </w:r>
      <w:r w:rsidRPr="00D41E3E">
        <w:rPr>
          <w:rFonts w:cs="Times New Roman"/>
        </w:rPr>
        <w:t xml:space="preserve"> </w:t>
      </w:r>
      <w:r w:rsidR="002434D2">
        <w:rPr>
          <w:rFonts w:ascii="Cambria Math" w:eastAsia="Arial Unicode MS" w:hAnsi="Cambria Math" w:cs="Cambria Math"/>
          <w:color w:val="000000" w:themeColor="text1"/>
        </w:rPr>
        <w:t>⤳</w:t>
      </w:r>
      <w:r w:rsidR="00C82386">
        <w:rPr>
          <w:vertAlign w:val="subscript"/>
        </w:rPr>
        <w:t>Ded</w:t>
      </w:r>
      <w:r>
        <w:t xml:space="preserve">  </w:t>
      </w:r>
      <w:r>
        <w:rPr>
          <w:i/>
          <w:iCs/>
        </w:rPr>
        <w:t>Er</w:t>
      </w:r>
      <w:r>
        <w:rPr>
          <w:vertAlign w:val="subscript"/>
        </w:rPr>
        <w:t>2</w:t>
      </w:r>
    </w:p>
    <w:p w:rsidR="00AA4E6E" w:rsidRDefault="00AA4E6E" w:rsidP="00C81A7B">
      <w:pPr>
        <w:pStyle w:val="Interpretation"/>
      </w:pPr>
      <w:r>
        <w:rPr>
          <w:i/>
        </w:rPr>
        <w:t>Er</w:t>
      </w:r>
      <w:r>
        <w:rPr>
          <w:vertAlign w:val="subscript"/>
        </w:rPr>
        <w:t>2</w:t>
      </w:r>
      <w:r>
        <w:t>: ‚Im Bildinhalt sind Gebäude das Sujet, Menschen nur Ausschmückung‘</w:t>
      </w:r>
    </w:p>
    <w:p w:rsidR="00AA4E6E" w:rsidRDefault="00AA4E6E" w:rsidP="00C81A7B">
      <w:pPr>
        <w:pStyle w:val="Formel"/>
      </w:pPr>
      <w:r>
        <w:rPr>
          <w:i/>
          <w:iCs/>
        </w:rPr>
        <w:t>Er</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Er</w:t>
      </w:r>
      <w:r>
        <w:rPr>
          <w:vertAlign w:val="subscript"/>
        </w:rPr>
        <w:t>2</w:t>
      </w:r>
      <w:r w:rsidRPr="00D41E3E">
        <w:rPr>
          <w:rFonts w:cs="Times New Roman"/>
        </w:rPr>
        <w:t xml:space="preserve"> </w:t>
      </w:r>
      <w:r w:rsidR="002434D2">
        <w:rPr>
          <w:rFonts w:ascii="Cambria Math" w:eastAsia="Arial Unicode MS" w:hAnsi="Cambria Math" w:cs="Cambria Math"/>
          <w:color w:val="000000" w:themeColor="text1"/>
        </w:rPr>
        <w:t>⤳</w:t>
      </w:r>
      <w:r w:rsidR="00C82386">
        <w:rPr>
          <w:vertAlign w:val="subscript"/>
        </w:rPr>
        <w:t>Ass</w:t>
      </w:r>
      <w:r>
        <w:t xml:space="preserve">  </w:t>
      </w:r>
      <w:r>
        <w:rPr>
          <w:i/>
          <w:iCs/>
        </w:rPr>
        <w:t>Er</w:t>
      </w:r>
      <w:r>
        <w:rPr>
          <w:vertAlign w:val="subscript"/>
        </w:rPr>
        <w:t>3</w:t>
      </w:r>
    </w:p>
    <w:p w:rsidR="00AA4E6E" w:rsidRDefault="00AA4E6E" w:rsidP="00C81A7B">
      <w:pPr>
        <w:pStyle w:val="InterpretationletzteZeile"/>
      </w:pPr>
      <w:r>
        <w:rPr>
          <w:i/>
        </w:rPr>
        <w:t>Er</w:t>
      </w:r>
      <w:r>
        <w:rPr>
          <w:vertAlign w:val="subscript"/>
        </w:rPr>
        <w:t>3</w:t>
      </w:r>
      <w:r>
        <w:t>: ‚Es handelt sich um eine Architekturdarstellung</w:t>
      </w:r>
      <w:r w:rsidR="00CC2D17">
        <w:t xml:space="preserve"> (</w:t>
      </w:r>
      <w:r w:rsidR="00C82386">
        <w:t xml:space="preserve">etwa </w:t>
      </w:r>
      <w:r w:rsidR="00CC2D17">
        <w:t>aus einem Entwurf oder aus einer Bauaufnahme)</w:t>
      </w:r>
      <w:r>
        <w:t>‘</w:t>
      </w:r>
    </w:p>
    <w:p w:rsidR="00AA4E6E" w:rsidRDefault="00AA4E6E" w:rsidP="00C81A7B">
      <w:pPr>
        <w:pStyle w:val="Text"/>
        <w:ind w:firstLine="0"/>
      </w:pPr>
      <w:r>
        <w:t xml:space="preserve">Solche Schlüsse können etwa beim Aufschlagen eines </w:t>
      </w:r>
      <w:r w:rsidR="00CC2D17">
        <w:t>Buchs</w:t>
      </w:r>
      <w:r>
        <w:t xml:space="preserve">, dessen Titel man nicht gesehen hat, </w:t>
      </w:r>
      <w:r w:rsidR="00CC2D17">
        <w:t>vorkommen</w:t>
      </w:r>
      <w:r w:rsidR="00C82386">
        <w:t>.</w:t>
      </w:r>
    </w:p>
    <w:p w:rsidR="00A005F2" w:rsidRDefault="00A005F2" w:rsidP="00A005F2">
      <w:pPr>
        <w:pStyle w:val="Titel5"/>
      </w:pPr>
      <w:bookmarkStart w:id="320" w:name="_Ref260072350"/>
      <w:bookmarkStart w:id="321" w:name="_Toc325456773"/>
      <w:r>
        <w:t xml:space="preserve">Mit </w:t>
      </w:r>
      <w:r w:rsidR="004C6A54">
        <w:t xml:space="preserve">früheren </w:t>
      </w:r>
      <w:r>
        <w:t>Ergebnisse</w:t>
      </w:r>
      <w:r w:rsidR="00211F44">
        <w:t>n</w:t>
      </w:r>
      <w:r>
        <w:t xml:space="preserve">, ohne </w:t>
      </w:r>
      <w:r w:rsidRPr="009B6406">
        <w:t>H</w:t>
      </w:r>
      <w:r>
        <w:t>intergrundwissen</w:t>
      </w:r>
      <w:bookmarkEnd w:id="320"/>
      <w:bookmarkEnd w:id="321"/>
    </w:p>
    <w:p w:rsidR="00CF7E9C" w:rsidRDefault="00CF7E9C" w:rsidP="00C81A7B">
      <w:pPr>
        <w:pStyle w:val="Interpretation1Zeile"/>
      </w:pPr>
      <w:r>
        <w:t>1.</w:t>
      </w:r>
      <w:r>
        <w:tab/>
      </w:r>
      <w:r w:rsidRPr="00F8759D">
        <w:t>Artefaktschema ‚</w:t>
      </w:r>
      <w:r w:rsidR="0021510A">
        <w:t>Gebäude‘</w:t>
      </w:r>
    </w:p>
    <w:p w:rsidR="00CF7E9C" w:rsidRDefault="00CF7E9C" w:rsidP="00C81A7B">
      <w:pPr>
        <w:pStyle w:val="Interpretation"/>
      </w:pPr>
      <w:r w:rsidRPr="00F8759D">
        <w:rPr>
          <w:i/>
        </w:rPr>
        <w:t>U</w:t>
      </w:r>
      <w:r w:rsidRPr="00F8759D">
        <w:t>(</w:t>
      </w:r>
      <w:r w:rsidRPr="00F8759D">
        <w:rPr>
          <w:i/>
        </w:rPr>
        <w:t>B</w:t>
      </w:r>
      <w:r w:rsidRPr="0062421C">
        <w:rPr>
          <w:vertAlign w:val="subscript"/>
        </w:rPr>
        <w:t>1</w:t>
      </w:r>
      <w:r w:rsidRPr="00F8759D">
        <w:t>): ‚</w:t>
      </w:r>
      <w:r w:rsidR="00EB361B">
        <w:t xml:space="preserve">Foyer, Diele, Speisezimmer, </w:t>
      </w:r>
      <w:r w:rsidR="00DE15BD">
        <w:t xml:space="preserve">Wohnzimmer, </w:t>
      </w:r>
      <w:r w:rsidR="00EB361B">
        <w:t>Gästezimmer</w:t>
      </w:r>
      <w:r w:rsidRPr="00F8759D">
        <w:t xml:space="preserve">‘, </w:t>
      </w:r>
      <w:r w:rsidRPr="00F8759D">
        <w:rPr>
          <w:i/>
        </w:rPr>
        <w:t>V</w:t>
      </w:r>
      <w:r w:rsidRPr="00F8759D">
        <w:t>(</w:t>
      </w:r>
      <w:r w:rsidRPr="00F8759D">
        <w:rPr>
          <w:i/>
        </w:rPr>
        <w:t>B</w:t>
      </w:r>
      <w:r w:rsidRPr="0062421C">
        <w:rPr>
          <w:vertAlign w:val="subscript"/>
        </w:rPr>
        <w:t>1</w:t>
      </w:r>
      <w:r w:rsidRPr="00F8759D">
        <w:t>): ‚</w:t>
      </w:r>
      <w:r>
        <w:t>au</w:t>
      </w:r>
      <w:r>
        <w:t>f</w:t>
      </w:r>
      <w:r>
        <w:t>wendig gestaltet‘</w:t>
      </w:r>
    </w:p>
    <w:p w:rsidR="00CF7E9C" w:rsidRDefault="00CF7E9C" w:rsidP="00C81A7B">
      <w:pPr>
        <w:pStyle w:val="Interpretation"/>
      </w:pPr>
      <w:r w:rsidRPr="00F8759D">
        <w:rPr>
          <w:i/>
        </w:rPr>
        <w:t>U</w:t>
      </w:r>
      <w:r w:rsidRPr="00F8759D">
        <w:t>(</w:t>
      </w:r>
      <w:r w:rsidRPr="00F8759D">
        <w:rPr>
          <w:i/>
        </w:rPr>
        <w:t>B</w:t>
      </w:r>
      <w:r>
        <w:rPr>
          <w:vertAlign w:val="subscript"/>
        </w:rPr>
        <w:t>2</w:t>
      </w:r>
      <w:r w:rsidRPr="00F8759D">
        <w:t>): ‚</w:t>
      </w:r>
      <w:r>
        <w:t>Schlafzimmer</w:t>
      </w:r>
      <w:r w:rsidR="0053144B">
        <w:t>, Arbeitszimmer, Küche, Bad, Garage</w:t>
      </w:r>
      <w:r w:rsidRPr="00F8759D">
        <w:t xml:space="preserve">‘, </w:t>
      </w:r>
      <w:r w:rsidRPr="00F8759D">
        <w:rPr>
          <w:i/>
        </w:rPr>
        <w:t>V</w:t>
      </w:r>
      <w:r w:rsidRPr="00F8759D">
        <w:t>(</w:t>
      </w:r>
      <w:r w:rsidRPr="00F8759D">
        <w:rPr>
          <w:i/>
        </w:rPr>
        <w:t>B</w:t>
      </w:r>
      <w:r>
        <w:rPr>
          <w:vertAlign w:val="subscript"/>
        </w:rPr>
        <w:t>2</w:t>
      </w:r>
      <w:r w:rsidRPr="00F8759D">
        <w:t>): ‚</w:t>
      </w:r>
      <w:r w:rsidR="00EB361B">
        <w:t>nicht au</w:t>
      </w:r>
      <w:r w:rsidR="00EB361B">
        <w:t>f</w:t>
      </w:r>
      <w:r w:rsidR="00EB361B">
        <w:t xml:space="preserve">wendig </w:t>
      </w:r>
      <w:r>
        <w:t>gestaltet‘</w:t>
      </w:r>
    </w:p>
    <w:p w:rsidR="003E7873" w:rsidRDefault="003E7873" w:rsidP="00C81A7B">
      <w:pPr>
        <w:pStyle w:val="Interpretation"/>
      </w:pPr>
      <w:r>
        <w:rPr>
          <w:i/>
        </w:rPr>
        <w:t>Er</w:t>
      </w:r>
      <w:r>
        <w:rPr>
          <w:vertAlign w:val="subscript"/>
        </w:rPr>
        <w:t>(f)1</w:t>
      </w:r>
      <w:r w:rsidRPr="00F8759D">
        <w:t>:</w:t>
      </w:r>
      <w:r>
        <w:t xml:space="preserve"> ‚Die straßenseitige 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t xml:space="preserve"> des Hauses ist aufwendig gestaltet, die anderen Fassaden sind einfach gestaltet‘</w:t>
      </w:r>
    </w:p>
    <w:p w:rsidR="00CF7E9C" w:rsidRDefault="00CF7E9C" w:rsidP="00C81A7B">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sidR="003E7873">
        <w:rPr>
          <w:color w:val="000000" w:themeColor="text1"/>
        </w:rPr>
        <w:t xml:space="preserve"> </w:t>
      </w:r>
      <w:r w:rsidR="003E7873" w:rsidRPr="00D41E3E">
        <w:rPr>
          <w:rFonts w:ascii="Cambria Math" w:hAnsi="Cambria Math" w:cs="Cambria Math"/>
        </w:rPr>
        <w:t>∧</w:t>
      </w:r>
      <w:r w:rsidR="003E7873" w:rsidRPr="00D41E3E">
        <w:rPr>
          <w:rFonts w:cs="Times New Roman"/>
        </w:rPr>
        <w:t xml:space="preserve"> </w:t>
      </w:r>
      <w:r w:rsidR="003E7873">
        <w:rPr>
          <w:i/>
          <w:iCs/>
        </w:rPr>
        <w:t>Er</w:t>
      </w:r>
      <w:r w:rsidR="003E7873">
        <w:rPr>
          <w:iCs/>
          <w:vertAlign w:val="subscript"/>
        </w:rPr>
        <w:t>(f)1</w:t>
      </w:r>
      <w:r>
        <w:rPr>
          <w:color w:val="000000" w:themeColor="text1"/>
        </w:rPr>
        <w:t xml:space="preserve"> </w:t>
      </w:r>
      <w:r w:rsidR="002434D2">
        <w:rPr>
          <w:rFonts w:ascii="Cambria Math" w:eastAsia="Arial Unicode MS" w:hAnsi="Cambria Math" w:cs="Cambria Math"/>
          <w:color w:val="000000" w:themeColor="text1"/>
        </w:rPr>
        <w:t>⤳</w:t>
      </w:r>
      <w:r w:rsidR="0053144B">
        <w:rPr>
          <w:vertAlign w:val="subscript"/>
        </w:rPr>
        <w:t>Ab</w:t>
      </w:r>
      <w:r>
        <w:rPr>
          <w:vertAlign w:val="subscript"/>
        </w:rPr>
        <w:t>d</w:t>
      </w:r>
      <w:r>
        <w:t xml:space="preserve">  </w:t>
      </w:r>
      <w:r>
        <w:rPr>
          <w:i/>
          <w:iCs/>
        </w:rPr>
        <w:t>Er</w:t>
      </w:r>
      <w:r w:rsidRPr="0062421C">
        <w:rPr>
          <w:vertAlign w:val="subscript"/>
        </w:rPr>
        <w:t>1</w:t>
      </w:r>
    </w:p>
    <w:p w:rsidR="0053144B" w:rsidRDefault="00CF7E9C" w:rsidP="00C81A7B">
      <w:pPr>
        <w:pStyle w:val="InterpretationletzteZeile"/>
      </w:pPr>
      <w:r>
        <w:rPr>
          <w:i/>
        </w:rPr>
        <w:t>Er</w:t>
      </w:r>
      <w:r w:rsidR="0053144B">
        <w:rPr>
          <w:vertAlign w:val="subscript"/>
        </w:rPr>
        <w:t>1</w:t>
      </w:r>
      <w:r w:rsidRPr="00F8759D">
        <w:t>:</w:t>
      </w:r>
      <w:r>
        <w:t xml:space="preserve"> ‚</w:t>
      </w:r>
      <w:r w:rsidR="00EB361B">
        <w:t xml:space="preserve">Jene </w:t>
      </w:r>
      <w:r w:rsidR="0053144B">
        <w:t>Teile</w:t>
      </w:r>
      <w:r w:rsidR="00EB361B">
        <w:t xml:space="preserve"> des Hauses, die für nicht zum Haushalt gehörende Personen (Öffentlichkeit, Gäste) sichtbar sind,</w:t>
      </w:r>
      <w:r w:rsidR="0053144B">
        <w:t xml:space="preserve"> </w:t>
      </w:r>
      <w:r w:rsidR="00EB361B">
        <w:t xml:space="preserve">sind </w:t>
      </w:r>
      <w:r w:rsidR="0053144B">
        <w:t>aufwendig</w:t>
      </w:r>
      <w:r w:rsidR="00EB361B">
        <w:t xml:space="preserve"> gestaltet</w:t>
      </w:r>
      <w:r w:rsidR="0053144B">
        <w:t>‘</w:t>
      </w:r>
    </w:p>
    <w:p w:rsidR="0094591A" w:rsidRDefault="00CF7E9C" w:rsidP="00C81A7B">
      <w:pPr>
        <w:pStyle w:val="Text"/>
        <w:ind w:firstLine="0"/>
      </w:pPr>
      <w:r>
        <w:lastRenderedPageBreak/>
        <w:t xml:space="preserve">In diesem Beispiel </w:t>
      </w:r>
      <w:r w:rsidR="00EB361B">
        <w:t xml:space="preserve">wird durch eine Abduktion </w:t>
      </w:r>
      <w:r w:rsidR="00DE15BD">
        <w:t>mit Hilfe des früheren Ergebni</w:t>
      </w:r>
      <w:r w:rsidR="00DE15BD">
        <w:t>s</w:t>
      </w:r>
      <w:r w:rsidR="00DE15BD">
        <w:t>ses</w:t>
      </w:r>
      <w:r w:rsidR="001D6884">
        <w:t xml:space="preserve"> </w:t>
      </w:r>
      <w:r w:rsidR="001D6884">
        <w:rPr>
          <w:i/>
          <w:iCs/>
        </w:rPr>
        <w:t>Er</w:t>
      </w:r>
      <w:r w:rsidR="001D6884">
        <w:rPr>
          <w:iCs/>
          <w:vertAlign w:val="subscript"/>
        </w:rPr>
        <w:t>(f)1</w:t>
      </w:r>
      <w:r w:rsidR="00411CE9">
        <w:t xml:space="preserve"> </w:t>
      </w:r>
      <w:r w:rsidR="00DE15BD">
        <w:t xml:space="preserve">eine Regel postuliert. </w:t>
      </w:r>
      <w:r w:rsidR="003B1B7F">
        <w:t>Es wird angenommen, dass d</w:t>
      </w:r>
      <w:r w:rsidR="00EB361B">
        <w:t>ie übliche Nu</w:t>
      </w:r>
      <w:r w:rsidR="00EB361B">
        <w:t>t</w:t>
      </w:r>
      <w:r w:rsidR="00EB361B">
        <w:t>zung</w:t>
      </w:r>
      <w:r w:rsidR="003B1B7F">
        <w:t>sweise</w:t>
      </w:r>
      <w:r w:rsidR="00EB361B">
        <w:t xml:space="preserve"> der Räume und damit auch </w:t>
      </w:r>
      <w:r w:rsidR="00DE15BD">
        <w:t xml:space="preserve">die Zugänglichkeit für Gäste </w:t>
      </w:r>
      <w:r w:rsidR="00EB361B">
        <w:t xml:space="preserve">in den </w:t>
      </w:r>
      <w:r w:rsidR="00DE15BD">
        <w:t>en</w:t>
      </w:r>
      <w:r w:rsidR="00DE15BD">
        <w:t>t</w:t>
      </w:r>
      <w:r w:rsidR="00DE15BD">
        <w:t xml:space="preserve">sprechenden </w:t>
      </w:r>
      <w:r w:rsidR="00EB361B">
        <w:t xml:space="preserve">Schemaorten </w:t>
      </w:r>
      <w:r w:rsidR="00DE15BD">
        <w:t xml:space="preserve">spezifiziert </w:t>
      </w:r>
      <w:r w:rsidR="003B1B7F">
        <w:t>ist</w:t>
      </w:r>
      <w:r w:rsidR="00DE15BD">
        <w:t>.</w:t>
      </w:r>
      <w:r w:rsidR="003B1B7F">
        <w:t xml:space="preserve"> Ist dies nicht der Fall, muss sie als Hintergrundwissen spezifiziert werden.</w:t>
      </w:r>
    </w:p>
    <w:p w:rsidR="00A005F2" w:rsidRDefault="00A005F2" w:rsidP="00C81A7B">
      <w:pPr>
        <w:pStyle w:val="Interpretation1Zeile"/>
      </w:pPr>
      <w:r>
        <w:t>2.</w:t>
      </w:r>
      <w:r>
        <w:tab/>
      </w:r>
      <w:r w:rsidR="00895BFA">
        <w:t>Artefakt- und Textschema</w:t>
      </w:r>
      <w:r>
        <w:t xml:space="preserve"> ‚Werbe</w:t>
      </w:r>
      <w:r w:rsidR="00783914">
        <w:t>spot</w:t>
      </w:r>
      <w:r>
        <w:t>‘</w:t>
      </w:r>
    </w:p>
    <w:p w:rsidR="00A005F2" w:rsidRDefault="00A005F2" w:rsidP="00C81A7B">
      <w:pPr>
        <w:pStyle w:val="Interpretation"/>
      </w:pPr>
      <w:r w:rsidRPr="00F8759D">
        <w:rPr>
          <w:i/>
        </w:rPr>
        <w:t>U</w:t>
      </w:r>
      <w:r w:rsidRPr="00F8759D">
        <w:t>(</w:t>
      </w:r>
      <w:r w:rsidRPr="00F8759D">
        <w:rPr>
          <w:i/>
        </w:rPr>
        <w:t>B</w:t>
      </w:r>
      <w:r w:rsidR="003909D7" w:rsidRPr="003D50E0">
        <w:rPr>
          <w:vertAlign w:val="subscript"/>
        </w:rPr>
        <w:t>1</w:t>
      </w:r>
      <w:r>
        <w:t xml:space="preserve">): ‚Alter der Darsteller‘, </w:t>
      </w:r>
      <w:r w:rsidRPr="00F8759D">
        <w:rPr>
          <w:i/>
        </w:rPr>
        <w:t>V</w:t>
      </w:r>
      <w:r w:rsidRPr="00F8759D">
        <w:t>(</w:t>
      </w:r>
      <w:r w:rsidRPr="00F8759D">
        <w:rPr>
          <w:i/>
        </w:rPr>
        <w:t>B</w:t>
      </w:r>
      <w:r w:rsidR="003909D7" w:rsidRPr="003D50E0">
        <w:rPr>
          <w:vertAlign w:val="subscript"/>
        </w:rPr>
        <w:t>1</w:t>
      </w:r>
      <w:r>
        <w:t>): ‚zwischen 20 und 30‘</w:t>
      </w:r>
    </w:p>
    <w:p w:rsidR="00A005F2" w:rsidRDefault="00A005F2" w:rsidP="00C81A7B">
      <w:pPr>
        <w:pStyle w:val="Interpretation"/>
      </w:pPr>
      <w:r w:rsidRPr="00F8759D">
        <w:rPr>
          <w:i/>
        </w:rPr>
        <w:t>U</w:t>
      </w:r>
      <w:r w:rsidRPr="00F8759D">
        <w:t>(</w:t>
      </w:r>
      <w:r w:rsidRPr="00F8759D">
        <w:rPr>
          <w:i/>
        </w:rPr>
        <w:t>B</w:t>
      </w:r>
      <w:r w:rsidR="003909D7">
        <w:rPr>
          <w:vertAlign w:val="subscript"/>
        </w:rPr>
        <w:t>2</w:t>
      </w:r>
      <w:r>
        <w:t xml:space="preserve">): ‚Formulierungen‘, </w:t>
      </w:r>
      <w:r w:rsidRPr="00F8759D">
        <w:rPr>
          <w:i/>
        </w:rPr>
        <w:t>V</w:t>
      </w:r>
      <w:r w:rsidRPr="00F8759D">
        <w:t>(</w:t>
      </w:r>
      <w:r w:rsidRPr="00F8759D">
        <w:rPr>
          <w:i/>
        </w:rPr>
        <w:t>B</w:t>
      </w:r>
      <w:r w:rsidR="003909D7">
        <w:rPr>
          <w:vertAlign w:val="subscript"/>
        </w:rPr>
        <w:t>2</w:t>
      </w:r>
      <w:r>
        <w:t>): ‚aus der Jugendsprache‘</w:t>
      </w:r>
    </w:p>
    <w:p w:rsidR="00A005F2" w:rsidRDefault="00A005F2" w:rsidP="00C81A7B">
      <w:pPr>
        <w:pStyle w:val="Interpretation"/>
      </w:pPr>
      <w:r>
        <w:rPr>
          <w:i/>
        </w:rPr>
        <w:t>Er</w:t>
      </w:r>
      <w:r w:rsidR="003909D7">
        <w:rPr>
          <w:vertAlign w:val="subscript"/>
        </w:rPr>
        <w:t>(f)1</w:t>
      </w:r>
      <w:r>
        <w:t>: ‚Das beworbene Produkt richtet sich an eine ältere Zielgruppe‘</w:t>
      </w:r>
    </w:p>
    <w:p w:rsidR="008A0A0B" w:rsidRDefault="008A0A0B" w:rsidP="00C81A7B">
      <w:pPr>
        <w:pStyle w:val="Formel"/>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rFonts w:cs="Times New Roman"/>
        </w:rPr>
        <w:t xml:space="preserve"> </w:t>
      </w:r>
      <w:r w:rsidRPr="00D41E3E">
        <w:rPr>
          <w:rFonts w:ascii="Cambria Math" w:hAnsi="Cambria Math" w:cs="Cambria Math"/>
        </w:rPr>
        <w:t>∧</w:t>
      </w:r>
      <w:r w:rsidRPr="00D41E3E">
        <w:rPr>
          <w:rFonts w:cs="Times New Roman"/>
        </w:rPr>
        <w:t xml:space="preserve"> </w:t>
      </w:r>
      <w:r>
        <w:rPr>
          <w:i/>
          <w:iCs/>
        </w:rPr>
        <w:t>Er</w:t>
      </w:r>
      <w:r>
        <w:rPr>
          <w:vertAlign w:val="subscript"/>
        </w:rPr>
        <w:t>(f)1</w:t>
      </w:r>
      <w:r>
        <w:rPr>
          <w:color w:val="000000" w:themeColor="text1"/>
        </w:rPr>
        <w:t xml:space="preserve"> </w:t>
      </w:r>
      <w:r w:rsidR="002434D2">
        <w:rPr>
          <w:rFonts w:ascii="Cambria Math" w:eastAsia="Arial Unicode MS" w:hAnsi="Cambria Math" w:cs="Cambria Math"/>
          <w:color w:val="000000" w:themeColor="text1"/>
        </w:rPr>
        <w:t>⤳</w:t>
      </w:r>
      <w:r w:rsidR="00DA3B3B">
        <w:rPr>
          <w:vertAlign w:val="subscript"/>
        </w:rPr>
        <w:t>Ab</w:t>
      </w:r>
      <w:r>
        <w:rPr>
          <w:vertAlign w:val="subscript"/>
        </w:rPr>
        <w:t>d</w:t>
      </w:r>
      <w:r>
        <w:t xml:space="preserve">  </w:t>
      </w:r>
      <w:r>
        <w:rPr>
          <w:i/>
          <w:iCs/>
        </w:rPr>
        <w:t>Er</w:t>
      </w:r>
      <w:r w:rsidRPr="0062421C">
        <w:rPr>
          <w:vertAlign w:val="subscript"/>
        </w:rPr>
        <w:t>1</w:t>
      </w:r>
    </w:p>
    <w:p w:rsidR="00A005F2" w:rsidRDefault="00A005F2" w:rsidP="00C81A7B">
      <w:pPr>
        <w:pStyle w:val="InterpretationletzteZeile"/>
      </w:pPr>
      <w:r>
        <w:rPr>
          <w:i/>
        </w:rPr>
        <w:t>Er</w:t>
      </w:r>
      <w:r w:rsidRPr="003D50E0">
        <w:rPr>
          <w:vertAlign w:val="subscript"/>
        </w:rPr>
        <w:t>1</w:t>
      </w:r>
      <w:r>
        <w:t>: ‚</w:t>
      </w:r>
      <w:r w:rsidR="009351CD">
        <w:t>Die Werbung soll das Produkt mit Jugendlichkeit assoziieren</w:t>
      </w:r>
      <w:r>
        <w:t>‘</w:t>
      </w:r>
    </w:p>
    <w:p w:rsidR="00EF61F5" w:rsidRDefault="00A005F2" w:rsidP="00EF61F5">
      <w:pPr>
        <w:pStyle w:val="Titel5"/>
      </w:pPr>
      <w:bookmarkStart w:id="322" w:name="_Ref260072355"/>
      <w:bookmarkStart w:id="323" w:name="_Toc325456774"/>
      <w:r>
        <w:t xml:space="preserve">Mit </w:t>
      </w:r>
      <w:r w:rsidR="004C6A54">
        <w:t xml:space="preserve">früheren </w:t>
      </w:r>
      <w:r>
        <w:t>Ergebnisse</w:t>
      </w:r>
      <w:r w:rsidR="00E16C2E">
        <w:t>n</w:t>
      </w:r>
      <w:r>
        <w:t xml:space="preserve">, mit </w:t>
      </w:r>
      <w:r w:rsidRPr="009B6406">
        <w:t>H</w:t>
      </w:r>
      <w:r>
        <w:t>intergrundwissen</w:t>
      </w:r>
      <w:bookmarkEnd w:id="322"/>
      <w:bookmarkEnd w:id="323"/>
    </w:p>
    <w:p w:rsidR="00EF61F5" w:rsidRDefault="00EF61F5" w:rsidP="00C81A7B">
      <w:pPr>
        <w:pStyle w:val="Interpretation1Zeile"/>
      </w:pPr>
      <w:r>
        <w:t>1.</w:t>
      </w:r>
      <w:r>
        <w:tab/>
      </w:r>
      <w:r w:rsidR="00326C3B">
        <w:t>Verhaltensschema</w:t>
      </w:r>
      <w:r w:rsidRPr="00F8759D">
        <w:t xml:space="preserve"> ‚</w:t>
      </w:r>
      <w:r w:rsidR="00326C3B">
        <w:t>Skifahren</w:t>
      </w:r>
      <w:r w:rsidR="005D7996">
        <w:fldChar w:fldCharType="begin"/>
      </w:r>
      <w:r w:rsidR="00D207DF">
        <w:instrText xml:space="preserve"> XE "</w:instrText>
      </w:r>
      <w:r w:rsidR="00D207DF" w:rsidRPr="003F6D84">
        <w:instrText>Skifahren</w:instrText>
      </w:r>
      <w:r w:rsidR="00D207DF">
        <w:instrText xml:space="preserve">" </w:instrText>
      </w:r>
      <w:r w:rsidR="005D7996">
        <w:fldChar w:fldCharType="end"/>
      </w:r>
      <w:r w:rsidR="00DA3B3B">
        <w:t>‘</w:t>
      </w:r>
    </w:p>
    <w:p w:rsidR="00EF61F5" w:rsidRDefault="00EF61F5" w:rsidP="00C81A7B">
      <w:pPr>
        <w:pStyle w:val="Interpretation"/>
      </w:pPr>
      <w:r w:rsidRPr="00F8759D">
        <w:rPr>
          <w:i/>
        </w:rPr>
        <w:t>U</w:t>
      </w:r>
      <w:r w:rsidRPr="00F8759D">
        <w:t>(</w:t>
      </w:r>
      <w:r w:rsidRPr="00F8759D">
        <w:rPr>
          <w:i/>
        </w:rPr>
        <w:t>B</w:t>
      </w:r>
      <w:r w:rsidR="008A0A0B" w:rsidRPr="00B75746">
        <w:rPr>
          <w:vertAlign w:val="subscript"/>
        </w:rPr>
        <w:t>1</w:t>
      </w:r>
      <w:r w:rsidRPr="00F8759D">
        <w:t>): ‚</w:t>
      </w:r>
      <w:r>
        <w:t>Kurvenform</w:t>
      </w:r>
      <w:r w:rsidRPr="00F8759D">
        <w:t xml:space="preserve">‘, </w:t>
      </w:r>
      <w:r w:rsidRPr="00F8759D">
        <w:rPr>
          <w:i/>
        </w:rPr>
        <w:t>V</w:t>
      </w:r>
      <w:r w:rsidRPr="00F8759D">
        <w:t>(</w:t>
      </w:r>
      <w:r w:rsidRPr="00F8759D">
        <w:rPr>
          <w:i/>
        </w:rPr>
        <w:t>B</w:t>
      </w:r>
      <w:r w:rsidR="008A0A0B" w:rsidRPr="00B75746">
        <w:rPr>
          <w:vertAlign w:val="subscript"/>
        </w:rPr>
        <w:t>1</w:t>
      </w:r>
      <w:r w:rsidRPr="00F8759D">
        <w:t>): ‚</w:t>
      </w:r>
      <w:r>
        <w:t>eng‘</w:t>
      </w:r>
    </w:p>
    <w:p w:rsidR="00EF61F5" w:rsidRDefault="00EF61F5" w:rsidP="00C81A7B">
      <w:pPr>
        <w:pStyle w:val="Interpretation"/>
      </w:pPr>
      <w:r w:rsidRPr="00F8759D">
        <w:rPr>
          <w:i/>
        </w:rPr>
        <w:t>U</w:t>
      </w:r>
      <w:r w:rsidRPr="00F8759D">
        <w:t>(</w:t>
      </w:r>
      <w:r w:rsidRPr="00F8759D">
        <w:rPr>
          <w:i/>
        </w:rPr>
        <w:t>B</w:t>
      </w:r>
      <w:r w:rsidR="008A0A0B">
        <w:rPr>
          <w:vertAlign w:val="subscript"/>
        </w:rPr>
        <w:t>2</w:t>
      </w:r>
      <w:r w:rsidRPr="00F8759D">
        <w:t>): ‚</w:t>
      </w:r>
      <w:r>
        <w:t>Körperhaltung in den Kurven</w:t>
      </w:r>
      <w:r w:rsidRPr="00F8759D">
        <w:t xml:space="preserve">‘, </w:t>
      </w:r>
      <w:r w:rsidRPr="00F8759D">
        <w:rPr>
          <w:i/>
        </w:rPr>
        <w:t>V</w:t>
      </w:r>
      <w:r w:rsidRPr="00F8759D">
        <w:t>(</w:t>
      </w:r>
      <w:r w:rsidRPr="00F8759D">
        <w:rPr>
          <w:i/>
        </w:rPr>
        <w:t>B</w:t>
      </w:r>
      <w:r w:rsidR="008A0A0B">
        <w:rPr>
          <w:vertAlign w:val="subscript"/>
        </w:rPr>
        <w:t>2</w:t>
      </w:r>
      <w:r w:rsidRPr="00F8759D">
        <w:t>): ‚</w:t>
      </w:r>
      <w:r>
        <w:t>Beine stark abgewinkelt</w:t>
      </w:r>
      <w:r w:rsidR="006D63C9">
        <w:t xml:space="preserve">; </w:t>
      </w:r>
      <w:r>
        <w:t>Sprung in die Kurve hinein (Skier verlassen kurz den Schnee)‘</w:t>
      </w:r>
    </w:p>
    <w:p w:rsidR="00EF61F5" w:rsidRDefault="00EF61F5" w:rsidP="00C81A7B">
      <w:pPr>
        <w:pStyle w:val="Interpretation"/>
      </w:pPr>
      <w:r w:rsidRPr="00F8759D">
        <w:rPr>
          <w:i/>
        </w:rPr>
        <w:t>U</w:t>
      </w:r>
      <w:r w:rsidRPr="00F8759D">
        <w:t>(</w:t>
      </w:r>
      <w:r w:rsidRPr="00F8759D">
        <w:rPr>
          <w:i/>
        </w:rPr>
        <w:t>B</w:t>
      </w:r>
      <w:r w:rsidR="008A0A0B">
        <w:rPr>
          <w:vertAlign w:val="subscript"/>
        </w:rPr>
        <w:t>3</w:t>
      </w:r>
      <w:r w:rsidRPr="00F8759D">
        <w:t>): ‚</w:t>
      </w:r>
      <w:r>
        <w:t>Haltung des Oberkörpers‘,</w:t>
      </w:r>
      <w:r w:rsidR="008A0A0B">
        <w:t xml:space="preserve"> </w:t>
      </w:r>
      <w:r w:rsidRPr="00F8759D">
        <w:rPr>
          <w:i/>
        </w:rPr>
        <w:t>V</w:t>
      </w:r>
      <w:r w:rsidRPr="00F8759D">
        <w:t>(</w:t>
      </w:r>
      <w:r w:rsidRPr="00F8759D">
        <w:rPr>
          <w:i/>
        </w:rPr>
        <w:t>B</w:t>
      </w:r>
      <w:r w:rsidR="008A0A0B" w:rsidRPr="008A0A0B">
        <w:rPr>
          <w:vertAlign w:val="subscript"/>
        </w:rPr>
        <w:t>3</w:t>
      </w:r>
      <w:r w:rsidRPr="00F8759D">
        <w:t>): ‚</w:t>
      </w:r>
      <w:r w:rsidR="006D63C9">
        <w:t xml:space="preserve">ausgeprägt gerade; </w:t>
      </w:r>
      <w:r>
        <w:t>unabhängig von Beinarbeit‘</w:t>
      </w:r>
    </w:p>
    <w:p w:rsidR="00EF61F5" w:rsidRDefault="00EF61F5" w:rsidP="00C81A7B">
      <w:pPr>
        <w:pStyle w:val="Interpretation"/>
      </w:pPr>
      <w:r>
        <w:rPr>
          <w:i/>
        </w:rPr>
        <w:t>H</w:t>
      </w:r>
      <w:r w:rsidR="000D5B55">
        <w:rPr>
          <w:vertAlign w:val="subscript"/>
        </w:rPr>
        <w:t>1</w:t>
      </w:r>
      <w:r>
        <w:t>: ‚</w:t>
      </w:r>
      <w:r w:rsidR="000D5B55">
        <w:t>Der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0D5B55">
        <w:t xml:space="preserve"> des berühmten Skifahrers </w:t>
      </w:r>
      <w:r w:rsidRPr="00B75746">
        <w:rPr>
          <w:i/>
        </w:rPr>
        <w:t>x</w:t>
      </w:r>
      <w:r>
        <w:t xml:space="preserve"> </w:t>
      </w:r>
      <w:r w:rsidR="006D63C9">
        <w:t>weist die Merkmal</w:t>
      </w:r>
      <w:r w:rsidR="00644F17">
        <w:t>sregeln</w:t>
      </w:r>
      <w:r w:rsidR="006D63C9">
        <w:t xml:space="preserve"> auf: Enge Kurven, in der Kurven Beine stark abgewinkelt, Sprung in die Kurve, ausgeprägt gerade Haltung des Oberkörpers, die unabhängig von Beinarbeit ist, …</w:t>
      </w:r>
      <w:r>
        <w:t>‘</w:t>
      </w:r>
    </w:p>
    <w:p w:rsidR="000D5B55" w:rsidRDefault="000D5B55" w:rsidP="00C81A7B">
      <w:pPr>
        <w:pStyle w:val="Formel"/>
        <w:rPr>
          <w:vertAlign w:val="subscript"/>
        </w:rPr>
      </w:pPr>
      <w:r>
        <w:rPr>
          <w:i/>
          <w:iCs/>
        </w:rPr>
        <w:t>B</w:t>
      </w:r>
      <w:r w:rsidRPr="0062421C">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2</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vertAlign w:val="subscript"/>
        </w:rPr>
        <w:t>3</w:t>
      </w:r>
      <w:r>
        <w:rPr>
          <w:rFonts w:cs="Times New Roman"/>
        </w:rPr>
        <w:t xml:space="preserve"> </w:t>
      </w:r>
      <w:r w:rsidRPr="00D41E3E">
        <w:rPr>
          <w:rFonts w:ascii="Cambria Math" w:hAnsi="Cambria Math" w:cs="Cambria Math"/>
        </w:rPr>
        <w:t>∧</w:t>
      </w:r>
      <w:r w:rsidRPr="00D41E3E">
        <w:rPr>
          <w:rFonts w:cs="Times New Roman"/>
        </w:rPr>
        <w:t xml:space="preserve"> </w:t>
      </w:r>
      <w:r>
        <w:rPr>
          <w:i/>
          <w:iCs/>
        </w:rPr>
        <w:t>H</w:t>
      </w:r>
      <w:r>
        <w:rPr>
          <w:vertAlign w:val="subscript"/>
        </w:rPr>
        <w:t>1</w:t>
      </w:r>
      <w:r>
        <w:rPr>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Pr="0062421C">
        <w:rPr>
          <w:vertAlign w:val="subscript"/>
        </w:rPr>
        <w:t>1</w:t>
      </w:r>
    </w:p>
    <w:p w:rsidR="000D5B55" w:rsidRDefault="000D5B55" w:rsidP="00C81A7B">
      <w:pPr>
        <w:pStyle w:val="Interpretation"/>
        <w:rPr>
          <w:vertAlign w:val="subscript"/>
        </w:rPr>
      </w:pPr>
      <w:r>
        <w:rPr>
          <w:i/>
        </w:rPr>
        <w:t>Er</w:t>
      </w:r>
      <w:r w:rsidRPr="0062421C">
        <w:rPr>
          <w:vertAlign w:val="subscript"/>
        </w:rPr>
        <w:t>1</w:t>
      </w:r>
      <w:r>
        <w:t>: ‚</w:t>
      </w:r>
      <w:r w:rsidRPr="006D63C9">
        <w:rPr>
          <w:i/>
        </w:rPr>
        <w:t>x</w:t>
      </w:r>
      <w:r>
        <w:t xml:space="preserve"> hat denselben Stil beim Skifahren</w:t>
      </w:r>
      <w:r w:rsidR="005D7996">
        <w:fldChar w:fldCharType="begin"/>
      </w:r>
      <w:r w:rsidR="00D207DF">
        <w:instrText xml:space="preserve"> XE "</w:instrText>
      </w:r>
      <w:r w:rsidR="00D207DF" w:rsidRPr="003F6D84">
        <w:instrText>Skifahren</w:instrText>
      </w:r>
      <w:r w:rsidR="00D207DF">
        <w:instrText xml:space="preserve">" </w:instrText>
      </w:r>
      <w:r w:rsidR="005D7996">
        <w:fldChar w:fldCharType="end"/>
      </w:r>
      <w:r>
        <w:t xml:space="preserve"> wie S</w:t>
      </w:r>
      <w:r w:rsidR="00DD45B2">
        <w:t>N</w:t>
      </w:r>
      <w:r>
        <w:t>‘</w:t>
      </w:r>
    </w:p>
    <w:p w:rsidR="000D5B55" w:rsidRDefault="000D5B55" w:rsidP="00C81A7B">
      <w:pPr>
        <w:pStyle w:val="Interpretation"/>
      </w:pPr>
      <w:r>
        <w:rPr>
          <w:i/>
        </w:rPr>
        <w:t>Er</w:t>
      </w:r>
      <w:r>
        <w:rPr>
          <w:vertAlign w:val="subscript"/>
        </w:rPr>
        <w:t>(f)1</w:t>
      </w:r>
      <w:r>
        <w:t>: ‚</w:t>
      </w:r>
      <w:r w:rsidR="0085753F">
        <w:t xml:space="preserve">SN </w:t>
      </w:r>
      <w:r>
        <w:t>hat den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t xml:space="preserve"> der Region um Zell am See und stammt daher vermu</w:t>
      </w:r>
      <w:r>
        <w:t>t</w:t>
      </w:r>
      <w:r>
        <w:t>lich von dort‘</w:t>
      </w:r>
    </w:p>
    <w:p w:rsidR="000D5B55" w:rsidRDefault="000D5B55" w:rsidP="00C81A7B">
      <w:pPr>
        <w:pStyle w:val="Interpretation"/>
      </w:pPr>
      <w:r>
        <w:rPr>
          <w:i/>
        </w:rPr>
        <w:t>H</w:t>
      </w:r>
      <w:r>
        <w:rPr>
          <w:vertAlign w:val="subscript"/>
        </w:rPr>
        <w:t>2</w:t>
      </w:r>
      <w:r>
        <w:t>: ‚</w:t>
      </w:r>
      <w:r w:rsidRPr="000D5B55">
        <w:rPr>
          <w:i/>
        </w:rPr>
        <w:t>x</w:t>
      </w:r>
      <w:r>
        <w:t xml:space="preserve"> lebt in der Region Zell am See und arbeitet dort als Skilehrer‘</w:t>
      </w:r>
    </w:p>
    <w:p w:rsidR="006D63C9" w:rsidRDefault="006D63C9" w:rsidP="00C81A7B">
      <w:pPr>
        <w:pStyle w:val="Formel"/>
      </w:pPr>
      <w:r>
        <w:rPr>
          <w:i/>
          <w:iCs/>
        </w:rPr>
        <w:t>Er</w:t>
      </w:r>
      <w:r>
        <w:rPr>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Er</w:t>
      </w:r>
      <w:r>
        <w:rPr>
          <w:vertAlign w:val="subscript"/>
        </w:rPr>
        <w:t>(f)1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sidR="000D5B55">
        <w:rPr>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2</w:t>
      </w:r>
    </w:p>
    <w:p w:rsidR="00EF61F5" w:rsidRDefault="00EF61F5" w:rsidP="00C81A7B">
      <w:pPr>
        <w:pStyle w:val="InterpretationletzteZeile"/>
      </w:pPr>
      <w:r>
        <w:rPr>
          <w:i/>
        </w:rPr>
        <w:t>Er</w:t>
      </w:r>
      <w:r w:rsidR="006D63C9">
        <w:rPr>
          <w:vertAlign w:val="subscript"/>
        </w:rPr>
        <w:t>2</w:t>
      </w:r>
      <w:r>
        <w:t>: ‚</w:t>
      </w:r>
      <w:r w:rsidR="0085753F">
        <w:t xml:space="preserve">SN </w:t>
      </w:r>
      <w:r>
        <w:t>hat das Skifahren</w:t>
      </w:r>
      <w:r w:rsidR="005D7996">
        <w:fldChar w:fldCharType="begin"/>
      </w:r>
      <w:r w:rsidR="00D207DF">
        <w:instrText xml:space="preserve"> XE "</w:instrText>
      </w:r>
      <w:r w:rsidR="00D207DF" w:rsidRPr="003F6D84">
        <w:instrText>Skifahren</w:instrText>
      </w:r>
      <w:r w:rsidR="00D207DF">
        <w:instrText xml:space="preserve">" </w:instrText>
      </w:r>
      <w:r w:rsidR="005D7996">
        <w:fldChar w:fldCharType="end"/>
      </w:r>
      <w:r>
        <w:t xml:space="preserve"> </w:t>
      </w:r>
      <w:r w:rsidR="00DA3B3B">
        <w:t xml:space="preserve">wahrscheinlich </w:t>
      </w:r>
      <w:r>
        <w:t xml:space="preserve">bei </w:t>
      </w:r>
      <w:r w:rsidRPr="00B75746">
        <w:rPr>
          <w:i/>
        </w:rPr>
        <w:t>x</w:t>
      </w:r>
      <w:r w:rsidR="00170A11">
        <w:t xml:space="preserve"> erlernt</w:t>
      </w:r>
      <w:r>
        <w:t>‘</w:t>
      </w:r>
    </w:p>
    <w:p w:rsidR="00326C3B" w:rsidRDefault="00326C3B" w:rsidP="00C81A7B">
      <w:pPr>
        <w:pStyle w:val="Interpretation1Zeile"/>
      </w:pPr>
      <w:r>
        <w:t>2.</w:t>
      </w:r>
      <w:r>
        <w:tab/>
      </w:r>
      <w:r w:rsidRPr="00F8759D">
        <w:t>Artefaktschema ‚</w:t>
      </w:r>
      <w:r w:rsidR="001A2205">
        <w:t>Hose</w:t>
      </w:r>
      <w:r>
        <w:t>‘</w:t>
      </w:r>
    </w:p>
    <w:p w:rsidR="00326C3B" w:rsidRDefault="00326C3B" w:rsidP="00C81A7B">
      <w:pPr>
        <w:pStyle w:val="Interpretation"/>
      </w:pPr>
      <w:r w:rsidRPr="00F8759D">
        <w:rPr>
          <w:i/>
        </w:rPr>
        <w:t>U</w:t>
      </w:r>
      <w:r w:rsidRPr="00F8759D">
        <w:t>(</w:t>
      </w:r>
      <w:r w:rsidRPr="00F8759D">
        <w:rPr>
          <w:i/>
        </w:rPr>
        <w:t>B</w:t>
      </w:r>
      <w:r w:rsidR="007F291C" w:rsidRPr="003D50E0">
        <w:rPr>
          <w:vertAlign w:val="subscript"/>
        </w:rPr>
        <w:t>1</w:t>
      </w:r>
      <w:r w:rsidRPr="00F8759D">
        <w:t>): ‚</w:t>
      </w:r>
      <w:r>
        <w:t>Material</w:t>
      </w:r>
      <w:r w:rsidRPr="00F8759D">
        <w:t xml:space="preserve">‘, </w:t>
      </w:r>
      <w:r w:rsidRPr="00F8759D">
        <w:rPr>
          <w:i/>
        </w:rPr>
        <w:t>V</w:t>
      </w:r>
      <w:r w:rsidRPr="00F8759D">
        <w:t>(</w:t>
      </w:r>
      <w:r w:rsidRPr="00F8759D">
        <w:rPr>
          <w:i/>
        </w:rPr>
        <w:t>B</w:t>
      </w:r>
      <w:r w:rsidR="007F291C" w:rsidRPr="003D50E0">
        <w:rPr>
          <w:vertAlign w:val="subscript"/>
        </w:rPr>
        <w:t>1</w:t>
      </w:r>
      <w:r w:rsidRPr="00F8759D">
        <w:t>): ‚</w:t>
      </w:r>
      <w:r>
        <w:t>schwarzes Leder‘</w:t>
      </w:r>
    </w:p>
    <w:p w:rsidR="00326C3B" w:rsidRDefault="00326C3B" w:rsidP="00C81A7B">
      <w:pPr>
        <w:pStyle w:val="Interpretation"/>
      </w:pPr>
      <w:r w:rsidRPr="00F8759D">
        <w:rPr>
          <w:i/>
        </w:rPr>
        <w:t>U</w:t>
      </w:r>
      <w:r w:rsidRPr="00F8759D">
        <w:t>(</w:t>
      </w:r>
      <w:r w:rsidRPr="00F8759D">
        <w:rPr>
          <w:i/>
        </w:rPr>
        <w:t>B</w:t>
      </w:r>
      <w:r w:rsidR="007F291C">
        <w:rPr>
          <w:vertAlign w:val="subscript"/>
        </w:rPr>
        <w:t>2</w:t>
      </w:r>
      <w:r w:rsidRPr="00F8759D">
        <w:t>): ‚</w:t>
      </w:r>
      <w:r>
        <w:t>Besatz</w:t>
      </w:r>
      <w:r w:rsidRPr="00F8759D">
        <w:t xml:space="preserve">‘, </w:t>
      </w:r>
      <w:r w:rsidRPr="00F8759D">
        <w:rPr>
          <w:i/>
        </w:rPr>
        <w:t>V</w:t>
      </w:r>
      <w:r w:rsidRPr="00F8759D">
        <w:t>(</w:t>
      </w:r>
      <w:r w:rsidRPr="00F8759D">
        <w:rPr>
          <w:i/>
        </w:rPr>
        <w:t>B</w:t>
      </w:r>
      <w:r w:rsidR="007F291C">
        <w:rPr>
          <w:vertAlign w:val="subscript"/>
        </w:rPr>
        <w:t>2</w:t>
      </w:r>
      <w:r w:rsidRPr="00F8759D">
        <w:t>): ‚</w:t>
      </w:r>
      <w:r>
        <w:t>Nieten‘</w:t>
      </w:r>
    </w:p>
    <w:p w:rsidR="00976ACC" w:rsidRDefault="00976ACC" w:rsidP="00C81A7B">
      <w:pPr>
        <w:pStyle w:val="Interpretation"/>
      </w:pPr>
      <w:r w:rsidRPr="007F291C">
        <w:rPr>
          <w:i/>
        </w:rPr>
        <w:lastRenderedPageBreak/>
        <w:t>Er</w:t>
      </w:r>
      <w:r w:rsidRPr="007F291C">
        <w:rPr>
          <w:vertAlign w:val="subscript"/>
        </w:rPr>
        <w:t>(f)1</w:t>
      </w:r>
      <w:r w:rsidRPr="007F291C">
        <w:t>:</w:t>
      </w:r>
      <w:r>
        <w:t xml:space="preserve"> ‚Der Schnitt der Hose ist eng, betont die Körperformen und schränkt die Bewegungsfreiheit ein‘</w:t>
      </w:r>
    </w:p>
    <w:p w:rsidR="00976ACC" w:rsidRDefault="00976ACC" w:rsidP="00C81A7B">
      <w:pPr>
        <w:pStyle w:val="Interpretation"/>
      </w:pPr>
      <w:r w:rsidRPr="007F291C">
        <w:rPr>
          <w:i/>
        </w:rPr>
        <w:t>Er</w:t>
      </w:r>
      <w:r w:rsidRPr="007F291C">
        <w:rPr>
          <w:vertAlign w:val="subscript"/>
        </w:rPr>
        <w:t>(f)2</w:t>
      </w:r>
      <w:r w:rsidRPr="007F291C">
        <w:t>:</w:t>
      </w:r>
      <w:r>
        <w:t xml:space="preserve"> ‚Die Hose macht einen eleganten Eindruck‘ </w:t>
      </w:r>
    </w:p>
    <w:p w:rsidR="00326C3B" w:rsidRDefault="00326C3B" w:rsidP="00C81A7B">
      <w:pPr>
        <w:pStyle w:val="Interpretation"/>
      </w:pPr>
      <w:r>
        <w:rPr>
          <w:i/>
        </w:rPr>
        <w:t>H</w:t>
      </w:r>
      <w:r w:rsidRPr="007F291C">
        <w:rPr>
          <w:sz w:val="22"/>
          <w:vertAlign w:val="subscript"/>
        </w:rPr>
        <w:t>1</w:t>
      </w:r>
      <w:r>
        <w:t>: ‚Schwarzes Leder als Material und Nieten als Besatz kommen vor in den Kleidungsstilen</w:t>
      </w:r>
      <w:r w:rsidR="005D7996">
        <w:fldChar w:fldCharType="begin"/>
      </w:r>
      <w:r w:rsidR="00CA2D60">
        <w:instrText xml:space="preserve"> XE "</w:instrText>
      </w:r>
      <w:r w:rsidR="00CA2D60" w:rsidRPr="0013021E">
        <w:instrText>Kleidungsstil</w:instrText>
      </w:r>
      <w:r w:rsidR="00CA2D60">
        <w:instrText xml:space="preserve">" </w:instrText>
      </w:r>
      <w:r w:rsidR="005D7996">
        <w:fldChar w:fldCharType="end"/>
      </w:r>
      <w:r>
        <w:t xml:space="preserve"> </w:t>
      </w:r>
      <w:r w:rsidR="00976ACC">
        <w:t xml:space="preserve">der </w:t>
      </w:r>
      <w:r>
        <w:t>Punk</w:t>
      </w:r>
      <w:r w:rsidR="00976ACC">
        <w:t>er</w:t>
      </w:r>
      <w:r>
        <w:t xml:space="preserve">, </w:t>
      </w:r>
      <w:r w:rsidR="00976ACC">
        <w:t xml:space="preserve">der Motorradrocker und </w:t>
      </w:r>
      <w:r w:rsidR="00DC048B">
        <w:t xml:space="preserve">der </w:t>
      </w:r>
      <w:r>
        <w:t>BDSM-Szene‘</w:t>
      </w:r>
    </w:p>
    <w:p w:rsidR="00DC048B" w:rsidRDefault="00DC048B" w:rsidP="00C81A7B">
      <w:pPr>
        <w:pStyle w:val="Interpretation"/>
      </w:pPr>
      <w:r>
        <w:rPr>
          <w:i/>
        </w:rPr>
        <w:t>H</w:t>
      </w:r>
      <w:r>
        <w:rPr>
          <w:vertAlign w:val="subscript"/>
        </w:rPr>
        <w:t>2</w:t>
      </w:r>
      <w:r>
        <w:t>: ‚Motorradrocker tragen keine eng geschnittenen Hosen. Sie wollen ihre Körperformen nicht betonen und bevorzugen praktische Kleidung, die die B</w:t>
      </w:r>
      <w:r>
        <w:t>e</w:t>
      </w:r>
      <w:r>
        <w:t>wegungsfreiheit nicht einschränkt‘</w:t>
      </w:r>
    </w:p>
    <w:p w:rsidR="00DC048B" w:rsidRDefault="00DC048B" w:rsidP="00C81A7B">
      <w:pPr>
        <w:pStyle w:val="Interpretation"/>
      </w:pPr>
      <w:r>
        <w:rPr>
          <w:i/>
        </w:rPr>
        <w:t>H</w:t>
      </w:r>
      <w:r>
        <w:rPr>
          <w:vertAlign w:val="subscript"/>
        </w:rPr>
        <w:t>3</w:t>
      </w:r>
      <w:r>
        <w:t>: ‚Punker tragen keine Kleidung, die einen eleganten Eindruck macht‘</w:t>
      </w:r>
    </w:p>
    <w:p w:rsidR="007F291C" w:rsidRPr="004457F2" w:rsidRDefault="007F291C" w:rsidP="00C81A7B">
      <w:pPr>
        <w:pStyle w:val="Formel"/>
      </w:pPr>
      <w:r>
        <w:rPr>
          <w:i/>
          <w:iCs/>
        </w:rPr>
        <w:t>B</w:t>
      </w:r>
      <w:r w:rsidRPr="00DC048B">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sidR="00976ACC">
        <w:rPr>
          <w:rFonts w:ascii="Cambria Math" w:hAnsi="Cambria Math" w:cs="Cambria Math"/>
        </w:rPr>
        <w:t xml:space="preserve"> </w:t>
      </w:r>
      <w:r w:rsidR="00976ACC" w:rsidRPr="00D41E3E">
        <w:rPr>
          <w:rFonts w:ascii="Cambria Math" w:hAnsi="Cambria Math" w:cs="Cambria Math"/>
        </w:rPr>
        <w:t>∧</w:t>
      </w:r>
      <w:r w:rsidR="00976ACC">
        <w:rPr>
          <w:rFonts w:ascii="Cambria Math" w:hAnsi="Cambria Math" w:cs="Cambria Math"/>
        </w:rPr>
        <w:t xml:space="preserve"> </w:t>
      </w:r>
      <w:r w:rsidR="00976ACC" w:rsidRPr="007F291C">
        <w:rPr>
          <w:i/>
          <w:iCs/>
        </w:rPr>
        <w:t>Er</w:t>
      </w:r>
      <w:r w:rsidR="00976ACC" w:rsidRPr="007F291C">
        <w:rPr>
          <w:vertAlign w:val="subscript"/>
        </w:rPr>
        <w:t>(f)1</w:t>
      </w:r>
      <w:r w:rsidR="00976ACC">
        <w:t xml:space="preserve"> </w:t>
      </w:r>
      <w:r w:rsidR="00976ACC">
        <w:rPr>
          <w:rFonts w:ascii="Cambria Math" w:hAnsi="Cambria Math" w:cs="Cambria Math"/>
          <w:color w:val="000000" w:themeColor="text1"/>
        </w:rPr>
        <w:t>∧</w:t>
      </w:r>
      <w:r w:rsidR="00976ACC">
        <w:rPr>
          <w:rFonts w:cs="Times New Roman"/>
          <w:color w:val="000000" w:themeColor="text1"/>
        </w:rPr>
        <w:t xml:space="preserve"> </w:t>
      </w:r>
      <w:r w:rsidR="00976ACC" w:rsidRPr="007F291C">
        <w:rPr>
          <w:i/>
          <w:iCs/>
        </w:rPr>
        <w:t>Er</w:t>
      </w:r>
      <w:r w:rsidR="00976ACC" w:rsidRPr="007F291C">
        <w:rPr>
          <w:vertAlign w:val="subscript"/>
        </w:rPr>
        <w:t>(f)</w:t>
      </w:r>
      <w:r w:rsidR="00976ACC">
        <w:rPr>
          <w:vertAlign w:val="subscript"/>
        </w:rPr>
        <w:t>2</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H</w:t>
      </w:r>
      <w:r w:rsidRPr="00DC048B">
        <w:rPr>
          <w:iCs/>
          <w:vertAlign w:val="subscript"/>
        </w:rPr>
        <w:t>1</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H</w:t>
      </w:r>
      <w:r>
        <w:rPr>
          <w:iCs/>
          <w:vertAlign w:val="subscript"/>
        </w:rPr>
        <w:t>2</w:t>
      </w:r>
      <w:r>
        <w:rPr>
          <w:rFonts w:ascii="Cambria Math" w:hAnsi="Cambria Math" w:cs="Cambria Math"/>
        </w:rPr>
        <w:t xml:space="preserve"> </w:t>
      </w:r>
      <w:r w:rsidRPr="00D41E3E">
        <w:rPr>
          <w:rFonts w:ascii="Cambria Math" w:hAnsi="Cambria Math" w:cs="Cambria Math"/>
        </w:rPr>
        <w:t>∧</w:t>
      </w:r>
      <w:r>
        <w:rPr>
          <w:rFonts w:ascii="Cambria Math" w:hAnsi="Cambria Math" w:cs="Cambria Math"/>
        </w:rPr>
        <w:t xml:space="preserve"> </w:t>
      </w:r>
      <w:r>
        <w:rPr>
          <w:i/>
          <w:iCs/>
        </w:rPr>
        <w:t>H</w:t>
      </w:r>
      <w:r>
        <w:rPr>
          <w:iCs/>
          <w:vertAlign w:val="subscript"/>
        </w:rPr>
        <w:t>3</w:t>
      </w:r>
      <w:r>
        <w:rPr>
          <w:rFonts w:ascii="Cambria Math" w:hAnsi="Cambria Math" w:cs="Cambria Math"/>
        </w:rPr>
        <w:t xml:space="preserve"> </w:t>
      </w:r>
      <w:r w:rsidR="002434D2">
        <w:rPr>
          <w:rFonts w:ascii="Cambria Math" w:eastAsia="Arial Unicode MS" w:hAnsi="Cambria Math" w:cs="Cambria Math"/>
          <w:color w:val="000000" w:themeColor="text1"/>
        </w:rPr>
        <w:t>⤳</w:t>
      </w:r>
      <w:r w:rsidR="00825156">
        <w:rPr>
          <w:vertAlign w:val="subscript"/>
        </w:rPr>
        <w:t>Ded</w:t>
      </w:r>
      <w:r>
        <w:t xml:space="preserve">  </w:t>
      </w:r>
      <w:r>
        <w:rPr>
          <w:i/>
          <w:iCs/>
        </w:rPr>
        <w:t>Er</w:t>
      </w:r>
      <w:r w:rsidRPr="0062421C">
        <w:rPr>
          <w:vertAlign w:val="subscript"/>
        </w:rPr>
        <w:t>1</w:t>
      </w:r>
    </w:p>
    <w:p w:rsidR="00326C3B" w:rsidRDefault="00326C3B" w:rsidP="00C81A7B">
      <w:pPr>
        <w:pStyle w:val="InterpretationletzteZeile"/>
      </w:pPr>
      <w:r>
        <w:rPr>
          <w:i/>
        </w:rPr>
        <w:t>Er</w:t>
      </w:r>
      <w:r w:rsidRPr="003D50E0">
        <w:rPr>
          <w:vertAlign w:val="subscript"/>
        </w:rPr>
        <w:t>1</w:t>
      </w:r>
      <w:r w:rsidR="001A2205">
        <w:t>: ‚Die</w:t>
      </w:r>
      <w:r>
        <w:t xml:space="preserve"> </w:t>
      </w:r>
      <w:r w:rsidR="001A2205">
        <w:t>Hose</w:t>
      </w:r>
      <w:r w:rsidR="00170A11">
        <w:t xml:space="preserve"> bezieht </w:t>
      </w:r>
      <w:r>
        <w:t>sich auf den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 xml:space="preserve"> der BDSM-Szene‘</w:t>
      </w:r>
    </w:p>
    <w:p w:rsidR="00EF61F5" w:rsidRDefault="00326C3B" w:rsidP="00C81A7B">
      <w:pPr>
        <w:pStyle w:val="Text"/>
        <w:ind w:firstLine="0"/>
      </w:pPr>
      <w:r>
        <w:t xml:space="preserve">Warum kann hier nicht geschlossen werden, das Kleidungsstück sei </w:t>
      </w:r>
      <w:r w:rsidR="00DA3B3B">
        <w:t>‚</w:t>
      </w:r>
      <w:r>
        <w:t xml:space="preserve">im Stil </w:t>
      </w:r>
      <w:r w:rsidRPr="00BC11EC">
        <w:rPr>
          <w:i/>
        </w:rPr>
        <w:t>x</w:t>
      </w:r>
      <w:r w:rsidR="00DA3B3B">
        <w:t xml:space="preserve"> [</w:t>
      </w:r>
      <w:r>
        <w:t xml:space="preserve">Punk, </w:t>
      </w:r>
      <w:r w:rsidR="001740E9">
        <w:t xml:space="preserve">Rocker- </w:t>
      </w:r>
      <w:r>
        <w:t xml:space="preserve">oder </w:t>
      </w:r>
      <w:r w:rsidR="001740E9">
        <w:t>BDSM-Stil</w:t>
      </w:r>
      <w:r w:rsidR="00DA3B3B">
        <w:t>]</w:t>
      </w:r>
      <w:r>
        <w:t xml:space="preserve"> gehalten</w:t>
      </w:r>
      <w:r w:rsidR="00DA3B3B">
        <w:t>‘</w:t>
      </w:r>
      <w:r>
        <w:t>? Dies wäre möglich, wenn die inte</w:t>
      </w:r>
      <w:r>
        <w:t>r</w:t>
      </w:r>
      <w:r>
        <w:t xml:space="preserve">pretierte Menge an Merkmalsregeln (hier </w:t>
      </w:r>
      <w:r w:rsidRPr="00F8759D">
        <w:rPr>
          <w:i/>
          <w:iCs/>
        </w:rPr>
        <w:t>B</w:t>
      </w:r>
      <w:r w:rsidR="00B67A1A" w:rsidRPr="00B67A1A">
        <w:rPr>
          <w:iCs/>
          <w:vertAlign w:val="subscript"/>
        </w:rPr>
        <w:t>1</w:t>
      </w:r>
      <w:r>
        <w:t xml:space="preserve"> und </w:t>
      </w:r>
      <w:r w:rsidRPr="00F8759D">
        <w:rPr>
          <w:i/>
          <w:iCs/>
        </w:rPr>
        <w:t>B</w:t>
      </w:r>
      <w:r w:rsidR="00B67A1A">
        <w:rPr>
          <w:iCs/>
          <w:vertAlign w:val="subscript"/>
        </w:rPr>
        <w:t>2</w:t>
      </w:r>
      <w:r>
        <w:t xml:space="preserve">) als hinreichend für die Klassifikation als Stil </w:t>
      </w:r>
      <w:r w:rsidRPr="00BC11EC">
        <w:rPr>
          <w:i/>
        </w:rPr>
        <w:t>x</w:t>
      </w:r>
      <w:r>
        <w:t xml:space="preserve"> angesehen wird. Hier liegt jedoch keine Information über die hinreichende Menge von Merkmal</w:t>
      </w:r>
      <w:r w:rsidR="001740E9">
        <w:t xml:space="preserve">sregeln für die Bezugsstile vor; </w:t>
      </w:r>
      <w:r>
        <w:t xml:space="preserve">mindestens drei Stile </w:t>
      </w:r>
      <w:r w:rsidR="001740E9">
        <w:t xml:space="preserve">teilen die oben beschriebenen </w:t>
      </w:r>
      <w:r>
        <w:t>Merkmal</w:t>
      </w:r>
      <w:r w:rsidR="00644F17">
        <w:t>sregeln</w:t>
      </w:r>
      <w:r>
        <w:t xml:space="preserve"> (sofern es sich nicht einfach um synonyme Ausdrücke für denselben </w:t>
      </w:r>
      <w:r w:rsidR="00DA3B3B">
        <w:t xml:space="preserve">Stil handelt, was aus </w:t>
      </w:r>
      <w:r w:rsidR="00DA3B3B">
        <w:rPr>
          <w:i/>
          <w:iCs/>
        </w:rPr>
        <w:t>H</w:t>
      </w:r>
      <w:r w:rsidR="00DA3B3B">
        <w:rPr>
          <w:iCs/>
          <w:vertAlign w:val="subscript"/>
        </w:rPr>
        <w:t>1</w:t>
      </w:r>
      <w:r w:rsidR="00DA3B3B">
        <w:t xml:space="preserve"> jedoch nicht hervorgeht</w:t>
      </w:r>
      <w:r>
        <w:t>). Es kan</w:t>
      </w:r>
      <w:r w:rsidR="00170A11">
        <w:t xml:space="preserve">n daher </w:t>
      </w:r>
      <w:r w:rsidR="001740E9">
        <w:t xml:space="preserve">beim </w:t>
      </w:r>
      <w:r w:rsidR="00DA3B3B">
        <w:t xml:space="preserve">durch die Input-Elemente gegebenen </w:t>
      </w:r>
      <w:r w:rsidR="001740E9">
        <w:t xml:space="preserve">Wissensstand </w:t>
      </w:r>
      <w:r w:rsidR="00170A11">
        <w:t>nur von einem Bezug</w:t>
      </w:r>
      <w:r>
        <w:t xml:space="preserve"> auf den jeweiligen Stil </w:t>
      </w:r>
      <w:r w:rsidRPr="00BC11EC">
        <w:rPr>
          <w:i/>
        </w:rPr>
        <w:t>x</w:t>
      </w:r>
      <w:r>
        <w:t xml:space="preserve"> gesprochen werden. </w:t>
      </w:r>
      <w:r w:rsidR="00DA3B3B">
        <w:t>Es ist möglich</w:t>
      </w:r>
      <w:r>
        <w:t xml:space="preserve">, dass sich der Stil bei genauerer Untersuchung als Stil </w:t>
      </w:r>
      <w:r w:rsidRPr="00BC11EC">
        <w:rPr>
          <w:i/>
        </w:rPr>
        <w:t>x</w:t>
      </w:r>
      <w:r w:rsidR="00DC048B">
        <w:t xml:space="preserve"> herau</w:t>
      </w:r>
      <w:r w:rsidR="00DC048B">
        <w:t>s</w:t>
      </w:r>
      <w:r w:rsidR="00DC048B">
        <w:t>stellt.</w:t>
      </w:r>
    </w:p>
    <w:p w:rsidR="00825156" w:rsidRDefault="00D71FC5" w:rsidP="00825156">
      <w:pPr>
        <w:pStyle w:val="Text"/>
      </w:pPr>
      <w:r>
        <w:t xml:space="preserve">Könnten </w:t>
      </w:r>
      <w:r w:rsidR="00395A27">
        <w:t>keine früheren</w:t>
      </w:r>
      <w:r w:rsidR="00825156">
        <w:t xml:space="preserve"> Ergebnisse </w:t>
      </w:r>
      <w:r>
        <w:t>hinzugezogen werden, könnte das E</w:t>
      </w:r>
      <w:r>
        <w:t>r</w:t>
      </w:r>
      <w:r>
        <w:t>gebnis nur eine Disjunktion der drei Möglichkeiten enthalten:</w:t>
      </w:r>
    </w:p>
    <w:p w:rsidR="00825156" w:rsidRDefault="00825156" w:rsidP="00C81A7B">
      <w:pPr>
        <w:pStyle w:val="Formel"/>
      </w:pPr>
      <w:r>
        <w:rPr>
          <w:i/>
          <w:iCs/>
        </w:rPr>
        <w:t>B</w:t>
      </w:r>
      <w:r w:rsidRPr="00DC048B">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H</w:t>
      </w:r>
      <w:r w:rsidRPr="00DC048B">
        <w:rPr>
          <w:iCs/>
          <w:vertAlign w:val="subscript"/>
        </w:rPr>
        <w:t>1</w:t>
      </w:r>
      <w:r>
        <w:rPr>
          <w:rFonts w:ascii="Cambria Math" w:hAnsi="Cambria Math" w:cs="Cambria Math"/>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Pr="0062421C">
        <w:rPr>
          <w:vertAlign w:val="subscript"/>
        </w:rPr>
        <w:t>1</w:t>
      </w:r>
    </w:p>
    <w:p w:rsidR="00825156" w:rsidRDefault="00825156" w:rsidP="00C81A7B">
      <w:pPr>
        <w:pStyle w:val="InterpretationletzteZeile"/>
        <w:rPr>
          <w:rFonts w:cs="Times New Roman"/>
        </w:rPr>
      </w:pPr>
      <w:r>
        <w:rPr>
          <w:i/>
        </w:rPr>
        <w:t>Er</w:t>
      </w:r>
      <w:r w:rsidRPr="003D50E0">
        <w:rPr>
          <w:vertAlign w:val="subscript"/>
        </w:rPr>
        <w:t>1</w:t>
      </w:r>
      <w:r>
        <w:t>: ‚Die Hose bezieht sich auf den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 xml:space="preserve"> des Punk, der Motorradrocker und/oder der BDSM-Szene‘</w:t>
      </w:r>
    </w:p>
    <w:p w:rsidR="00825156" w:rsidRDefault="00D71FC5" w:rsidP="00C81A7B">
      <w:pPr>
        <w:pStyle w:val="Text"/>
        <w:ind w:firstLine="0"/>
        <w:rPr>
          <w:rFonts w:cs="Times New Roman"/>
        </w:rPr>
      </w:pPr>
      <w:r>
        <w:rPr>
          <w:rFonts w:cs="Times New Roman"/>
        </w:rPr>
        <w:t xml:space="preserve">Im Interpretationsprozess, wie er in </w:t>
      </w:r>
      <w:r w:rsidR="005D7996">
        <w:rPr>
          <w:rFonts w:cs="Times New Roman"/>
        </w:rPr>
        <w:fldChar w:fldCharType="begin"/>
      </w:r>
      <w:r>
        <w:rPr>
          <w:rFonts w:cs="Times New Roman"/>
        </w:rPr>
        <w:instrText xml:space="preserve"> REF _Ref255767436 \r \h </w:instrText>
      </w:r>
      <w:r w:rsidR="005D7996">
        <w:rPr>
          <w:rFonts w:cs="Times New Roman"/>
        </w:rPr>
      </w:r>
      <w:r w:rsidR="005D7996">
        <w:rPr>
          <w:rFonts w:cs="Times New Roman"/>
        </w:rPr>
        <w:fldChar w:fldCharType="separate"/>
      </w:r>
      <w:r w:rsidR="001231D3">
        <w:rPr>
          <w:rFonts w:cs="Times New Roman"/>
        </w:rPr>
        <w:t>7.2.1</w:t>
      </w:r>
      <w:r w:rsidR="005D7996">
        <w:rPr>
          <w:rFonts w:cs="Times New Roman"/>
        </w:rPr>
        <w:fldChar w:fldCharType="end"/>
      </w:r>
      <w:r>
        <w:rPr>
          <w:rFonts w:cs="Times New Roman"/>
        </w:rPr>
        <w:t xml:space="preserve"> dargestellt wird, werden Ergebnisse unabhängig voneinander erzeugt, </w:t>
      </w:r>
      <w:r w:rsidR="00A258C3">
        <w:rPr>
          <w:rFonts w:cs="Times New Roman"/>
        </w:rPr>
        <w:t xml:space="preserve">semantische </w:t>
      </w:r>
      <w:r>
        <w:rPr>
          <w:rFonts w:cs="Times New Roman"/>
        </w:rPr>
        <w:t>Relationen zwischen ihnen ble</w:t>
      </w:r>
      <w:r>
        <w:rPr>
          <w:rFonts w:cs="Times New Roman"/>
        </w:rPr>
        <w:t>i</w:t>
      </w:r>
      <w:r>
        <w:rPr>
          <w:rFonts w:cs="Times New Roman"/>
        </w:rPr>
        <w:t>ben unberücksichtigt. Durch entsprechende Abänderung wäre die folgende Da</w:t>
      </w:r>
      <w:r>
        <w:rPr>
          <w:rFonts w:cs="Times New Roman"/>
        </w:rPr>
        <w:t>r</w:t>
      </w:r>
      <w:r>
        <w:rPr>
          <w:rFonts w:cs="Times New Roman"/>
        </w:rPr>
        <w:t>stellung möglich:</w:t>
      </w:r>
    </w:p>
    <w:p w:rsidR="00825156" w:rsidRDefault="00825156" w:rsidP="00C81A7B">
      <w:pPr>
        <w:pStyle w:val="Formel"/>
        <w:rPr>
          <w:i/>
          <w:iCs/>
        </w:rPr>
      </w:pPr>
      <w:r>
        <w:rPr>
          <w:i/>
          <w:iCs/>
        </w:rPr>
        <w:t>B</w:t>
      </w:r>
      <w:r w:rsidRPr="00DC048B">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H</w:t>
      </w:r>
      <w:r w:rsidRPr="00DC048B">
        <w:rPr>
          <w:iCs/>
          <w:vertAlign w:val="subscript"/>
        </w:rPr>
        <w:t>1</w:t>
      </w:r>
      <w:r>
        <w:rPr>
          <w:rFonts w:ascii="Cambria Math" w:hAnsi="Cambria Math" w:cs="Cambria Math"/>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Pr="0062421C">
        <w:rPr>
          <w:vertAlign w:val="subscript"/>
        </w:rPr>
        <w:t>1</w:t>
      </w:r>
      <w:r>
        <w:t xml:space="preserve"> </w:t>
      </w:r>
      <w:r>
        <w:rPr>
          <w:rFonts w:ascii="Cambria Math" w:hAnsi="Cambria Math" w:cs="Cambria Math"/>
          <w:color w:val="000000" w:themeColor="text1"/>
        </w:rPr>
        <w:t>∨</w:t>
      </w:r>
      <w:r>
        <w:t xml:space="preserve"> </w:t>
      </w:r>
      <w:r>
        <w:rPr>
          <w:i/>
          <w:iCs/>
        </w:rPr>
        <w:t>Er</w:t>
      </w:r>
      <w:r>
        <w:rPr>
          <w:vertAlign w:val="subscript"/>
        </w:rPr>
        <w:t>2</w:t>
      </w:r>
      <w:r>
        <w:t xml:space="preserve"> </w:t>
      </w:r>
      <w:r>
        <w:rPr>
          <w:rFonts w:ascii="Cambria Math" w:hAnsi="Cambria Math" w:cs="Cambria Math"/>
          <w:color w:val="000000" w:themeColor="text1"/>
        </w:rPr>
        <w:t>∨</w:t>
      </w:r>
      <w:r>
        <w:t xml:space="preserve"> </w:t>
      </w:r>
      <w:r>
        <w:rPr>
          <w:i/>
          <w:iCs/>
        </w:rPr>
        <w:t>Er</w:t>
      </w:r>
      <w:r>
        <w:rPr>
          <w:vertAlign w:val="subscript"/>
        </w:rPr>
        <w:t>3</w:t>
      </w:r>
    </w:p>
    <w:p w:rsidR="00825156" w:rsidRDefault="00825156" w:rsidP="00C81A7B">
      <w:pPr>
        <w:pStyle w:val="Interpretation"/>
      </w:pPr>
      <w:r>
        <w:rPr>
          <w:i/>
        </w:rPr>
        <w:t>Er</w:t>
      </w:r>
      <w:r w:rsidRPr="003D50E0">
        <w:rPr>
          <w:vertAlign w:val="subscript"/>
        </w:rPr>
        <w:t>1</w:t>
      </w:r>
      <w:r>
        <w:t>: ‚Die Hose bezieht sich auf den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 xml:space="preserve"> des Punk‘</w:t>
      </w:r>
    </w:p>
    <w:p w:rsidR="00825156" w:rsidRDefault="00825156" w:rsidP="00C81A7B">
      <w:pPr>
        <w:pStyle w:val="Interpretation"/>
      </w:pPr>
      <w:r>
        <w:rPr>
          <w:i/>
        </w:rPr>
        <w:t>Er</w:t>
      </w:r>
      <w:r>
        <w:rPr>
          <w:vertAlign w:val="subscript"/>
        </w:rPr>
        <w:t>2</w:t>
      </w:r>
      <w:r>
        <w:t>: ‚Die Hose bezieht sich auf den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 xml:space="preserve"> der Motorradrocker‘</w:t>
      </w:r>
    </w:p>
    <w:p w:rsidR="00825156" w:rsidRDefault="00825156" w:rsidP="00C81A7B">
      <w:pPr>
        <w:pStyle w:val="InterpretationletzteZeile"/>
      </w:pPr>
      <w:r>
        <w:rPr>
          <w:i/>
        </w:rPr>
        <w:t>Er</w:t>
      </w:r>
      <w:r>
        <w:rPr>
          <w:vertAlign w:val="subscript"/>
        </w:rPr>
        <w:t>3</w:t>
      </w:r>
      <w:r>
        <w:t>: ‚</w:t>
      </w:r>
      <w:r w:rsidRPr="00976ACC">
        <w:t xml:space="preserve"> </w:t>
      </w:r>
      <w:r>
        <w:t>Die Hose bezieht sich auf den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rsidRPr="00976ACC">
        <w:t xml:space="preserve"> </w:t>
      </w:r>
      <w:r>
        <w:t>der BDSM-Szene‘</w:t>
      </w:r>
    </w:p>
    <w:p w:rsidR="00EF61F5" w:rsidRDefault="00EF61F5" w:rsidP="00EF61F5">
      <w:pPr>
        <w:pStyle w:val="Titel3"/>
      </w:pPr>
      <w:bookmarkStart w:id="324" w:name="_Toc325456775"/>
      <w:r>
        <w:lastRenderedPageBreak/>
        <w:t xml:space="preserve">Erzeugung eines Ergebnisses aus </w:t>
      </w:r>
      <w:r w:rsidR="004C6A54">
        <w:t xml:space="preserve">früheren </w:t>
      </w:r>
      <w:r>
        <w:t>Ergebnissen</w:t>
      </w:r>
      <w:bookmarkEnd w:id="324"/>
    </w:p>
    <w:p w:rsidR="00EF61F5" w:rsidRDefault="00EF61F5" w:rsidP="00280129">
      <w:pPr>
        <w:pStyle w:val="Titel5"/>
        <w:spacing w:before="240"/>
      </w:pPr>
      <w:bookmarkStart w:id="325" w:name="_Ref260072369"/>
      <w:bookmarkStart w:id="326" w:name="_Toc325456776"/>
      <w:r>
        <w:t xml:space="preserve">Ohne </w:t>
      </w:r>
      <w:r w:rsidRPr="009B6406">
        <w:t>H</w:t>
      </w:r>
      <w:r w:rsidR="00657D3F">
        <w:t>intergrundwissen</w:t>
      </w:r>
      <w:bookmarkEnd w:id="325"/>
      <w:bookmarkEnd w:id="326"/>
    </w:p>
    <w:p w:rsidR="00F72A1A" w:rsidRDefault="00F72A1A" w:rsidP="000178CC">
      <w:pPr>
        <w:pStyle w:val="Interpretation1Zeile"/>
      </w:pPr>
      <w:r>
        <w:t>1.</w:t>
      </w:r>
      <w:r>
        <w:tab/>
        <w:t>Text</w:t>
      </w:r>
      <w:r w:rsidRPr="00F8759D">
        <w:t>schema ‚</w:t>
      </w:r>
      <w:r w:rsidR="00955386">
        <w:t>längerer Prosatext</w:t>
      </w:r>
      <w:r>
        <w:t>‘</w:t>
      </w:r>
    </w:p>
    <w:p w:rsidR="00F72A1A" w:rsidRDefault="00976ACC" w:rsidP="000178CC">
      <w:pPr>
        <w:pStyle w:val="Interpretation"/>
      </w:pPr>
      <w:r>
        <w:rPr>
          <w:i/>
        </w:rPr>
        <w:t>Er</w:t>
      </w:r>
      <w:r>
        <w:rPr>
          <w:vertAlign w:val="subscript"/>
        </w:rPr>
        <w:t>(f)1</w:t>
      </w:r>
      <w:r w:rsidR="00FD1410" w:rsidRPr="00F8759D">
        <w:t>: ‚</w:t>
      </w:r>
      <w:r w:rsidR="0085753F">
        <w:t xml:space="preserve">SN </w:t>
      </w:r>
      <w:r w:rsidR="00FD1410">
        <w:t>wählt für Satzbau, Wortwahl und intertextuelle Bezüge gezielt Fo</w:t>
      </w:r>
      <w:r w:rsidR="00FD1410">
        <w:t>r</w:t>
      </w:r>
      <w:r w:rsidR="00FD1410">
        <w:t>men und Ausdrucksniveau, deren Verständnis eine erhebliche Vorbildung v</w:t>
      </w:r>
      <w:r w:rsidR="00FD1410">
        <w:t>o</w:t>
      </w:r>
      <w:r w:rsidR="00FD1410">
        <w:t>raussetzt‘</w:t>
      </w:r>
    </w:p>
    <w:p w:rsidR="007F291C" w:rsidRDefault="007F291C" w:rsidP="000178CC">
      <w:pPr>
        <w:pStyle w:val="Formel"/>
      </w:pPr>
      <w:r>
        <w:rPr>
          <w:i/>
          <w:iCs/>
        </w:rPr>
        <w:t>Er</w:t>
      </w:r>
      <w:r>
        <w:rPr>
          <w:vertAlign w:val="subscript"/>
        </w:rPr>
        <w:t>(f)1</w:t>
      </w:r>
      <w:r>
        <w:rPr>
          <w:color w:val="000000" w:themeColor="text1"/>
        </w:rPr>
        <w:t xml:space="preserve"> </w:t>
      </w:r>
      <w:r w:rsidR="002434D2">
        <w:rPr>
          <w:rFonts w:ascii="Cambria Math" w:eastAsia="Arial Unicode MS" w:hAnsi="Cambria Math" w:cs="Cambria Math"/>
          <w:color w:val="000000" w:themeColor="text1"/>
        </w:rPr>
        <w:t>⤳</w:t>
      </w:r>
      <w:r w:rsidR="00976ACC">
        <w:rPr>
          <w:vertAlign w:val="subscript"/>
        </w:rPr>
        <w:t>Abd</w:t>
      </w:r>
      <w:r>
        <w:t xml:space="preserve">  </w:t>
      </w:r>
      <w:r>
        <w:rPr>
          <w:i/>
          <w:iCs/>
        </w:rPr>
        <w:t>Er</w:t>
      </w:r>
      <w:r w:rsidRPr="0062421C">
        <w:rPr>
          <w:vertAlign w:val="subscript"/>
        </w:rPr>
        <w:t>1</w:t>
      </w:r>
      <w:r>
        <w:t xml:space="preserve">, </w:t>
      </w:r>
      <w:r>
        <w:rPr>
          <w:i/>
          <w:iCs/>
        </w:rPr>
        <w:t>Er</w:t>
      </w:r>
      <w:r>
        <w:rPr>
          <w:vertAlign w:val="subscript"/>
        </w:rPr>
        <w:t>2</w:t>
      </w:r>
      <w:r>
        <w:t xml:space="preserve">, </w:t>
      </w:r>
      <w:r>
        <w:rPr>
          <w:i/>
          <w:iCs/>
        </w:rPr>
        <w:t>Er</w:t>
      </w:r>
      <w:r>
        <w:rPr>
          <w:vertAlign w:val="subscript"/>
        </w:rPr>
        <w:t>3</w:t>
      </w:r>
    </w:p>
    <w:p w:rsidR="00FD1410" w:rsidRDefault="00FD1410" w:rsidP="000178CC">
      <w:pPr>
        <w:pStyle w:val="Interpretation"/>
      </w:pPr>
      <w:r>
        <w:rPr>
          <w:i/>
        </w:rPr>
        <w:t>Er</w:t>
      </w:r>
      <w:r w:rsidRPr="0062421C">
        <w:rPr>
          <w:vertAlign w:val="subscript"/>
        </w:rPr>
        <w:t>1</w:t>
      </w:r>
      <w:r w:rsidRPr="00F8759D">
        <w:t>: ‚</w:t>
      </w:r>
      <w:r w:rsidR="0085753F">
        <w:t xml:space="preserve">SN </w:t>
      </w:r>
      <w:r w:rsidR="002B0E37">
        <w:t xml:space="preserve">will </w:t>
      </w:r>
      <w:r>
        <w:t>nur von gebildeten LeserInnen verstanden werden‘</w:t>
      </w:r>
    </w:p>
    <w:p w:rsidR="00FD1410" w:rsidRDefault="00FD1410" w:rsidP="000178CC">
      <w:pPr>
        <w:pStyle w:val="Interpretation"/>
      </w:pPr>
      <w:r>
        <w:rPr>
          <w:i/>
        </w:rPr>
        <w:t>Er</w:t>
      </w:r>
      <w:r>
        <w:rPr>
          <w:vertAlign w:val="subscript"/>
        </w:rPr>
        <w:t>2</w:t>
      </w:r>
      <w:r w:rsidRPr="00F8759D">
        <w:t>: ‚</w:t>
      </w:r>
      <w:r w:rsidR="0085753F">
        <w:t xml:space="preserve">SN </w:t>
      </w:r>
      <w:r w:rsidR="002B0E37">
        <w:t xml:space="preserve">will </w:t>
      </w:r>
      <w:r w:rsidR="0027400D">
        <w:t>einen literarisch anspruchsvollen Text schreiben, ohne jemanden von diesem Text auszuschließen‘</w:t>
      </w:r>
    </w:p>
    <w:p w:rsidR="0027400D" w:rsidRDefault="0027400D" w:rsidP="000178CC">
      <w:pPr>
        <w:pStyle w:val="InterpretationletzteZeile"/>
      </w:pPr>
      <w:r>
        <w:rPr>
          <w:i/>
        </w:rPr>
        <w:t>Er</w:t>
      </w:r>
      <w:r>
        <w:rPr>
          <w:vertAlign w:val="subscript"/>
        </w:rPr>
        <w:t>3</w:t>
      </w:r>
      <w:r w:rsidRPr="00F8759D">
        <w:t>: ‚</w:t>
      </w:r>
      <w:r w:rsidR="0085753F">
        <w:t xml:space="preserve">SN </w:t>
      </w:r>
      <w:r>
        <w:t>stammt aus einem Milieu</w:t>
      </w:r>
      <w:r w:rsidR="005D7996">
        <w:fldChar w:fldCharType="begin"/>
      </w:r>
      <w:r w:rsidR="002A70CA">
        <w:instrText xml:space="preserve"> XE "</w:instrText>
      </w:r>
      <w:r w:rsidR="002A70CA" w:rsidRPr="00B93568">
        <w:instrText>Milieu</w:instrText>
      </w:r>
      <w:r w:rsidR="002A70CA">
        <w:instrText xml:space="preserve">" </w:instrText>
      </w:r>
      <w:r w:rsidR="005D7996">
        <w:fldChar w:fldCharType="end"/>
      </w:r>
      <w:r>
        <w:t xml:space="preserve"> mit hoher Bildung und kann sich ohne beso</w:t>
      </w:r>
      <w:r>
        <w:t>n</w:t>
      </w:r>
      <w:r>
        <w:t>dere Anstrengung gar nicht so ausdrücken, dass er/sie von jedem verstanden wird‘</w:t>
      </w:r>
    </w:p>
    <w:p w:rsidR="003152D7" w:rsidRDefault="00DA3B3B" w:rsidP="000178CC">
      <w:pPr>
        <w:pStyle w:val="Text"/>
        <w:ind w:firstLine="0"/>
      </w:pPr>
      <w:r>
        <w:t xml:space="preserve">Die </w:t>
      </w:r>
      <w:r w:rsidR="0027400D">
        <w:t>drei Ergebnisse</w:t>
      </w:r>
      <w:r>
        <w:t xml:space="preserve"> </w:t>
      </w:r>
      <w:r w:rsidR="00014C94">
        <w:t xml:space="preserve">postulieren verschiedene Erklärungen für </w:t>
      </w:r>
      <w:r w:rsidR="00014C94">
        <w:rPr>
          <w:i/>
          <w:iCs/>
        </w:rPr>
        <w:t>Er</w:t>
      </w:r>
      <w:r w:rsidR="00014C94">
        <w:rPr>
          <w:vertAlign w:val="subscript"/>
        </w:rPr>
        <w:t>(f)1</w:t>
      </w:r>
      <w:r w:rsidR="00014C94">
        <w:t xml:space="preserve">, die einander ausschließen. </w:t>
      </w:r>
      <w:r>
        <w:t>Wie im letzten Beispiel gilt auch hier, dass der Interpretationspr</w:t>
      </w:r>
      <w:r>
        <w:t>o</w:t>
      </w:r>
      <w:r>
        <w:t>zess solche Relationen nicht berücksichtigt. Wenn wir die Widersprüchlichkeit der drei Ergebnisse repräsentieren wollen, ohne von der Darstellung der Schrei</w:t>
      </w:r>
      <w:r>
        <w:t>b</w:t>
      </w:r>
      <w:r>
        <w:t xml:space="preserve">ausgabe abzuweichen, können wir </w:t>
      </w:r>
      <w:r w:rsidR="003A5355">
        <w:t xml:space="preserve">die drei Elemente in eines </w:t>
      </w:r>
      <w:r>
        <w:t>zusammenfassen</w:t>
      </w:r>
      <w:r w:rsidR="00735746">
        <w:t>, das</w:t>
      </w:r>
      <w:r w:rsidR="003A5355">
        <w:t xml:space="preserve"> die </w:t>
      </w:r>
      <w:r w:rsidR="00A258C3">
        <w:t xml:space="preserve">semantischen </w:t>
      </w:r>
      <w:r w:rsidR="003A5355">
        <w:t xml:space="preserve">Relationen </w:t>
      </w:r>
      <w:r w:rsidR="00A258C3">
        <w:t>repräsentiert:</w:t>
      </w:r>
    </w:p>
    <w:p w:rsidR="002B0E37" w:rsidRDefault="00161F46" w:rsidP="000178CC">
      <w:pPr>
        <w:pStyle w:val="Formel"/>
      </w:pPr>
      <w:r>
        <w:rPr>
          <w:i/>
          <w:iCs/>
        </w:rPr>
        <w:t>Er</w:t>
      </w:r>
      <w:r>
        <w:rPr>
          <w:vertAlign w:val="subscript"/>
        </w:rPr>
        <w:t>(f)1</w:t>
      </w:r>
      <w:r w:rsidR="002B0E37">
        <w:rPr>
          <w:rFonts w:cs="Times New Roman"/>
          <w:color w:val="000000" w:themeColor="text1"/>
        </w:rPr>
        <w:t xml:space="preserve"> </w:t>
      </w:r>
      <w:r w:rsidR="002434D2">
        <w:rPr>
          <w:rFonts w:ascii="Cambria Math" w:eastAsia="Arial Unicode MS" w:hAnsi="Cambria Math" w:cs="Cambria Math"/>
          <w:color w:val="000000" w:themeColor="text1"/>
        </w:rPr>
        <w:t>⤳</w:t>
      </w:r>
      <w:r>
        <w:rPr>
          <w:vertAlign w:val="subscript"/>
        </w:rPr>
        <w:t>Abd</w:t>
      </w:r>
      <w:r w:rsidR="002B0E37">
        <w:t xml:space="preserve">  </w:t>
      </w:r>
      <w:r w:rsidR="002B0E37">
        <w:rPr>
          <w:i/>
          <w:iCs/>
        </w:rPr>
        <w:t>Er</w:t>
      </w:r>
      <w:r w:rsidR="002B0E37" w:rsidRPr="0062421C">
        <w:rPr>
          <w:vertAlign w:val="subscript"/>
        </w:rPr>
        <w:t>1</w:t>
      </w:r>
      <w:r w:rsidR="002B0E37">
        <w:t xml:space="preserve"> </w:t>
      </w:r>
      <w:r w:rsidR="001E79A8">
        <w:t xml:space="preserve">mit </w:t>
      </w:r>
      <w:r w:rsidR="001E79A8">
        <w:rPr>
          <w:i/>
          <w:iCs/>
        </w:rPr>
        <w:t>Er</w:t>
      </w:r>
      <w:r w:rsidR="001E79A8" w:rsidRPr="0062421C">
        <w:rPr>
          <w:vertAlign w:val="subscript"/>
        </w:rPr>
        <w:t>1</w:t>
      </w:r>
      <w:r w:rsidR="001E79A8">
        <w:t xml:space="preserve"> </w:t>
      </w:r>
      <w:r w:rsidR="00735746">
        <w:t xml:space="preserve">= </w:t>
      </w:r>
      <w:r w:rsidR="001E79A8">
        <w:t>(</w:t>
      </w:r>
      <w:r w:rsidR="00735746">
        <w:t xml:space="preserve">entweder </w:t>
      </w: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1</m:t>
                </m:r>
              </m:sub>
            </m:sSub>
          </m:sub>
        </m:sSub>
      </m:oMath>
      <w:r w:rsidR="001E79A8">
        <w:t xml:space="preserve"> </w:t>
      </w:r>
      <w:r w:rsidR="00735746">
        <w:t xml:space="preserve">oder </w:t>
      </w: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2</m:t>
                </m:r>
              </m:sub>
            </m:sSub>
          </m:sub>
        </m:sSub>
      </m:oMath>
      <w:r w:rsidR="002B0E37">
        <w:t xml:space="preserve"> </w:t>
      </w:r>
      <w:r w:rsidR="00735746">
        <w:t>oder</w:t>
      </w:r>
      <w:r w:rsidR="001E46F5">
        <w:t xml:space="preserve"> </w:t>
      </w: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3</m:t>
                </m:r>
              </m:sub>
            </m:sSub>
          </m:sub>
        </m:sSub>
      </m:oMath>
      <w:r w:rsidR="001E79A8">
        <w:t>)</w:t>
      </w:r>
    </w:p>
    <w:p w:rsidR="00735746" w:rsidRDefault="00A258C3" w:rsidP="000178CC">
      <w:pPr>
        <w:pStyle w:val="Text"/>
        <w:ind w:firstLine="0"/>
      </w:pPr>
      <w:r>
        <w:t>oder formal ausgedrückt:</w:t>
      </w:r>
    </w:p>
    <w:p w:rsidR="001E46F5" w:rsidRDefault="001E46F5" w:rsidP="00AE6C25">
      <w:pPr>
        <w:pStyle w:val="Formel"/>
        <w:spacing w:after="60"/>
      </w:pPr>
      <w:r>
        <w:rPr>
          <w:i/>
          <w:iCs/>
        </w:rPr>
        <w:t>Er</w:t>
      </w:r>
      <w:r>
        <w:rPr>
          <w:vertAlign w:val="subscript"/>
        </w:rPr>
        <w:t>(f)1</w:t>
      </w:r>
      <w:r>
        <w:rPr>
          <w:rFonts w:cs="Times New Roman"/>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1E46F5" w:rsidRPr="00525C4D" w:rsidRDefault="00525C4D" w:rsidP="00AE6C25">
      <w:pPr>
        <w:pStyle w:val="FormelTabrechts"/>
        <w:tabs>
          <w:tab w:val="clear" w:pos="737"/>
          <w:tab w:val="clear" w:pos="1531"/>
          <w:tab w:val="clear" w:pos="1956"/>
        </w:tabs>
        <w:spacing w:before="60"/>
        <w:ind w:left="0"/>
        <w:rPr>
          <w:sz w:val="19"/>
          <w:szCs w:val="19"/>
        </w:rPr>
      </w:pPr>
      <w:r>
        <w:tab/>
      </w:r>
      <w:r w:rsidR="001E46F5" w:rsidRPr="00525C4D">
        <w:rPr>
          <w:sz w:val="19"/>
          <w:szCs w:val="19"/>
        </w:rPr>
        <w:t>mit</w:t>
      </w:r>
      <w:r w:rsidRPr="00525C4D">
        <w:rPr>
          <w:sz w:val="19"/>
          <w:szCs w:val="19"/>
        </w:rPr>
        <w:t xml:space="preserve"> </w:t>
      </w:r>
      <w:r w:rsidR="001E46F5" w:rsidRPr="00525C4D">
        <w:rPr>
          <w:i/>
          <w:iCs/>
          <w:sz w:val="19"/>
          <w:szCs w:val="19"/>
        </w:rPr>
        <w:t>Er</w:t>
      </w:r>
      <w:r w:rsidR="001E46F5" w:rsidRPr="00525C4D">
        <w:rPr>
          <w:sz w:val="19"/>
          <w:szCs w:val="19"/>
          <w:vertAlign w:val="subscript"/>
        </w:rPr>
        <w:t>1</w:t>
      </w:r>
      <w:r w:rsidR="001E46F5" w:rsidRPr="00525C4D">
        <w:rPr>
          <w:sz w:val="19"/>
          <w:szCs w:val="19"/>
        </w:rPr>
        <w:t xml:space="preserve"> =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1</m:t>
                </m:r>
              </m:sub>
            </m:sSub>
          </m:sub>
        </m:sSub>
      </m:oMath>
      <w:r w:rsidR="001E46F5" w:rsidRPr="00525C4D">
        <w:rPr>
          <w:sz w:val="19"/>
          <w:szCs w:val="19"/>
        </w:rPr>
        <w:t xml:space="preserve"> </w:t>
      </w:r>
      <w:r w:rsidR="001E46F5" w:rsidRPr="00525C4D">
        <w:rPr>
          <w:rFonts w:ascii="Cambria Math" w:hAnsi="Cambria Math" w:cs="Cambria Math"/>
          <w:color w:val="000000" w:themeColor="text1"/>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2</m:t>
                </m:r>
              </m:sub>
            </m:sSub>
          </m:sub>
        </m:sSub>
      </m:oMath>
      <w:r w:rsidR="001E46F5" w:rsidRPr="00525C4D">
        <w:rPr>
          <w:sz w:val="19"/>
          <w:szCs w:val="19"/>
        </w:rPr>
        <w:t xml:space="preserve"> </w:t>
      </w:r>
      <w:r w:rsidR="001E46F5" w:rsidRPr="00525C4D">
        <w:rPr>
          <w:rFonts w:ascii="Cambria Math" w:hAnsi="Cambria Math" w:cs="Cambria Math"/>
          <w:color w:val="000000" w:themeColor="text1"/>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3</m:t>
                </m:r>
              </m:sub>
            </m:sSub>
          </m:sub>
        </m:sSub>
      </m:oMath>
      <w:r w:rsidR="001E46F5" w:rsidRPr="00525C4D">
        <w:rPr>
          <w:sz w:val="19"/>
          <w:szCs w:val="19"/>
        </w:rPr>
        <w:t xml:space="preserve">) </w:t>
      </w:r>
      <w:r w:rsidR="001E46F5" w:rsidRPr="00525C4D">
        <w:rPr>
          <w:rFonts w:ascii="Cambria Math" w:hAnsi="Cambria Math" w:cs="Cambria Math"/>
          <w:sz w:val="19"/>
          <w:szCs w:val="19"/>
        </w:rPr>
        <w:t>∧</w:t>
      </w:r>
      <w:r w:rsidR="001E46F5" w:rsidRPr="00525C4D">
        <w:rPr>
          <w:sz w:val="19"/>
          <w:szCs w:val="19"/>
        </w:rPr>
        <w:t xml:space="preserve"> </w:t>
      </w:r>
      <w:r w:rsidR="00A559B9" w:rsidRPr="00A559B9">
        <w:rPr>
          <w:rFonts w:cs="Times New Roman"/>
          <w:sz w:val="19"/>
          <w:szCs w:val="19"/>
        </w:rPr>
        <w:t>¬</w:t>
      </w:r>
      <w:r w:rsidR="001E46F5" w:rsidRPr="00525C4D">
        <w:rPr>
          <w:sz w:val="19"/>
          <w:szCs w:val="19"/>
        </w:rPr>
        <w:t>((</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1</m:t>
                </m:r>
              </m:sub>
            </m:sSub>
          </m:sub>
        </m:sSub>
      </m:oMath>
      <w:r w:rsidR="001E46F5" w:rsidRPr="00525C4D">
        <w:rPr>
          <w:sz w:val="19"/>
          <w:szCs w:val="19"/>
        </w:rPr>
        <w:t xml:space="preserve"> </w:t>
      </w:r>
      <w:r w:rsidR="001E46F5" w:rsidRPr="00525C4D">
        <w:rPr>
          <w:rFonts w:ascii="Cambria Math" w:hAnsi="Cambria Math" w:cs="Cambria Math"/>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2</m:t>
                </m:r>
              </m:sub>
            </m:sSub>
          </m:sub>
        </m:sSub>
      </m:oMath>
      <w:r w:rsidR="001E46F5" w:rsidRPr="00525C4D">
        <w:rPr>
          <w:sz w:val="19"/>
          <w:szCs w:val="19"/>
        </w:rPr>
        <w:t xml:space="preserve">) </w:t>
      </w:r>
      <w:r w:rsidR="001E46F5" w:rsidRPr="00525C4D">
        <w:rPr>
          <w:rFonts w:ascii="Cambria Math" w:hAnsi="Cambria Math" w:cs="Cambria Math"/>
          <w:color w:val="000000" w:themeColor="text1"/>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1</m:t>
                </m:r>
              </m:sub>
            </m:sSub>
          </m:sub>
        </m:sSub>
      </m:oMath>
      <w:r w:rsidR="001E46F5" w:rsidRPr="00525C4D">
        <w:rPr>
          <w:sz w:val="19"/>
          <w:szCs w:val="19"/>
        </w:rPr>
        <w:t xml:space="preserve"> </w:t>
      </w:r>
      <w:r w:rsidR="001E46F5" w:rsidRPr="00525C4D">
        <w:rPr>
          <w:rFonts w:ascii="Cambria Math" w:hAnsi="Cambria Math" w:cs="Cambria Math"/>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3</m:t>
                </m:r>
              </m:sub>
            </m:sSub>
          </m:sub>
        </m:sSub>
      </m:oMath>
      <w:r w:rsidR="001E46F5" w:rsidRPr="00525C4D">
        <w:rPr>
          <w:sz w:val="19"/>
          <w:szCs w:val="19"/>
        </w:rPr>
        <w:t xml:space="preserve">) </w:t>
      </w:r>
      <w:r w:rsidR="001E46F5" w:rsidRPr="00525C4D">
        <w:rPr>
          <w:rFonts w:ascii="Cambria Math" w:hAnsi="Cambria Math" w:cs="Cambria Math"/>
          <w:color w:val="000000" w:themeColor="text1"/>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2</m:t>
                </m:r>
              </m:sub>
            </m:sSub>
          </m:sub>
        </m:sSub>
      </m:oMath>
      <w:r w:rsidR="001E46F5" w:rsidRPr="00525C4D">
        <w:rPr>
          <w:sz w:val="19"/>
          <w:szCs w:val="19"/>
        </w:rPr>
        <w:t xml:space="preserve"> </w:t>
      </w:r>
      <w:r w:rsidR="001E46F5" w:rsidRPr="00525C4D">
        <w:rPr>
          <w:rFonts w:ascii="Cambria Math" w:hAnsi="Cambria Math" w:cs="Cambria Math"/>
          <w:sz w:val="19"/>
          <w:szCs w:val="19"/>
        </w:rPr>
        <w:t>∧</w:t>
      </w:r>
      <w:r w:rsidR="001E46F5" w:rsidRPr="00525C4D">
        <w:rPr>
          <w:sz w:val="19"/>
          <w:szCs w:val="19"/>
        </w:rPr>
        <w:t xml:space="preserve"> </w:t>
      </w:r>
      <m:oMath>
        <m:sSub>
          <m:sSubPr>
            <m:ctrlPr>
              <w:rPr>
                <w:rFonts w:ascii="Cambria Math" w:hAnsi="Cambria Math"/>
                <w:i/>
                <w:sz w:val="19"/>
                <w:szCs w:val="19"/>
              </w:rPr>
            </m:ctrlPr>
          </m:sSubPr>
          <m:e>
            <m:r>
              <m:rPr>
                <m:nor/>
              </m:rPr>
              <w:rPr>
                <w:i/>
                <w:sz w:val="19"/>
                <w:szCs w:val="19"/>
              </w:rPr>
              <m:t>Er</m:t>
            </m:r>
          </m:e>
          <m:sub>
            <m:sSub>
              <m:sSubPr>
                <m:ctrlPr>
                  <w:rPr>
                    <w:rFonts w:ascii="Cambria Math" w:hAnsi="Cambria Math"/>
                    <w:i/>
                    <w:sz w:val="19"/>
                    <w:szCs w:val="19"/>
                  </w:rPr>
                </m:ctrlPr>
              </m:sSubPr>
              <m:e>
                <m:r>
                  <m:rPr>
                    <m:nor/>
                  </m:rPr>
                  <w:rPr>
                    <w:sz w:val="19"/>
                    <w:szCs w:val="19"/>
                  </w:rPr>
                  <m:t>1</m:t>
                </m:r>
              </m:e>
              <m:sub>
                <m:r>
                  <m:rPr>
                    <m:nor/>
                  </m:rPr>
                  <w:rPr>
                    <w:sz w:val="19"/>
                    <w:szCs w:val="19"/>
                  </w:rPr>
                  <m:t>3</m:t>
                </m:r>
              </m:sub>
            </m:sSub>
          </m:sub>
        </m:sSub>
      </m:oMath>
      <w:r w:rsidR="001E46F5" w:rsidRPr="00525C4D">
        <w:rPr>
          <w:sz w:val="19"/>
          <w:szCs w:val="19"/>
        </w:rPr>
        <w:t>))</w:t>
      </w:r>
    </w:p>
    <w:p w:rsidR="00A258C3" w:rsidRDefault="005D7996" w:rsidP="000178CC">
      <w:pPr>
        <w:pStyle w:val="Interpretation"/>
      </w:pP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1</m:t>
                </m:r>
              </m:sub>
            </m:sSub>
          </m:sub>
        </m:sSub>
      </m:oMath>
      <w:r w:rsidR="00A258C3" w:rsidRPr="00F8759D">
        <w:t xml:space="preserve">: </w:t>
      </w:r>
      <w:r w:rsidR="00014C94">
        <w:t xml:space="preserve">[wie </w:t>
      </w:r>
      <w:r w:rsidR="00014C94">
        <w:rPr>
          <w:i/>
        </w:rPr>
        <w:t>Er</w:t>
      </w:r>
      <w:r w:rsidR="00014C94">
        <w:rPr>
          <w:vertAlign w:val="subscript"/>
        </w:rPr>
        <w:t>1</w:t>
      </w:r>
      <w:r w:rsidR="00014C94">
        <w:t xml:space="preserve"> oben]</w:t>
      </w:r>
    </w:p>
    <w:p w:rsidR="00014C94" w:rsidRDefault="005D7996" w:rsidP="000178CC">
      <w:pPr>
        <w:pStyle w:val="Interpretation"/>
      </w:pP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2</m:t>
                </m:r>
              </m:sub>
            </m:sSub>
          </m:sub>
        </m:sSub>
      </m:oMath>
      <w:r w:rsidR="00014C94">
        <w:t xml:space="preserve">: [wie </w:t>
      </w:r>
      <w:r w:rsidR="00014C94">
        <w:rPr>
          <w:i/>
        </w:rPr>
        <w:t>Er</w:t>
      </w:r>
      <w:r w:rsidR="00014C94">
        <w:rPr>
          <w:vertAlign w:val="subscript"/>
        </w:rPr>
        <w:t>2</w:t>
      </w:r>
      <w:r w:rsidR="00014C94">
        <w:t xml:space="preserve"> oben]</w:t>
      </w:r>
    </w:p>
    <w:p w:rsidR="00A258C3" w:rsidRDefault="005D7996" w:rsidP="000178CC">
      <w:pPr>
        <w:pStyle w:val="InterpretationletzteZeile"/>
      </w:pPr>
      <m:oMath>
        <m:sSub>
          <m:sSubPr>
            <m:ctrlPr>
              <w:rPr>
                <w:rFonts w:ascii="Cambria Math" w:hAnsi="Cambria Math" w:cs="Times New Roman"/>
                <w:i/>
              </w:rPr>
            </m:ctrlPr>
          </m:sSubPr>
          <m:e>
            <m:r>
              <m:rPr>
                <m:nor/>
              </m:rPr>
              <w:rPr>
                <w:rFonts w:cs="Times New Roman"/>
                <w:i/>
              </w:rPr>
              <m:t>Er</m:t>
            </m:r>
          </m:e>
          <m:sub>
            <m:sSub>
              <m:sSubPr>
                <m:ctrlPr>
                  <w:rPr>
                    <w:rFonts w:ascii="Cambria Math" w:hAnsi="Cambria Math" w:cs="Times New Roman"/>
                    <w:i/>
                  </w:rPr>
                </m:ctrlPr>
              </m:sSubPr>
              <m:e>
                <m:r>
                  <m:rPr>
                    <m:nor/>
                  </m:rPr>
                  <w:rPr>
                    <w:rFonts w:cs="Times New Roman"/>
                  </w:rPr>
                  <m:t>1</m:t>
                </m:r>
              </m:e>
              <m:sub>
                <m:r>
                  <m:rPr>
                    <m:nor/>
                  </m:rPr>
                  <w:rPr>
                    <w:rFonts w:cs="Times New Roman"/>
                  </w:rPr>
                  <m:t>3</m:t>
                </m:r>
              </m:sub>
            </m:sSub>
          </m:sub>
        </m:sSub>
      </m:oMath>
      <w:r w:rsidR="00014C94">
        <w:t xml:space="preserve">: [wie </w:t>
      </w:r>
      <w:r w:rsidR="00014C94">
        <w:rPr>
          <w:i/>
        </w:rPr>
        <w:t>Er</w:t>
      </w:r>
      <w:r w:rsidR="00014C94">
        <w:rPr>
          <w:vertAlign w:val="subscript"/>
        </w:rPr>
        <w:t>3</w:t>
      </w:r>
      <w:r w:rsidR="00014C94">
        <w:t xml:space="preserve"> oben]</w:t>
      </w:r>
    </w:p>
    <w:p w:rsidR="004D23D6" w:rsidRDefault="004D23D6" w:rsidP="000178CC">
      <w:pPr>
        <w:pStyle w:val="Interpretation1Zeile"/>
      </w:pPr>
      <w:r>
        <w:t>2.</w:t>
      </w:r>
      <w:r>
        <w:tab/>
        <w:t>Textschema ‚Verkehrszeichen an einer Straße‘</w:t>
      </w:r>
    </w:p>
    <w:p w:rsidR="004D23D6" w:rsidRDefault="00976ACC" w:rsidP="000178CC">
      <w:pPr>
        <w:pStyle w:val="Interpretation"/>
      </w:pPr>
      <w:r>
        <w:rPr>
          <w:i/>
        </w:rPr>
        <w:t>Er</w:t>
      </w:r>
      <w:r>
        <w:rPr>
          <w:vertAlign w:val="subscript"/>
        </w:rPr>
        <w:t>(f)1</w:t>
      </w:r>
      <w:r w:rsidRPr="00F8759D">
        <w:t>: ‚</w:t>
      </w:r>
      <w:r w:rsidR="004D23D6">
        <w:t>Die Regelungsmöglichkeiten (z.B. Tempolimits) werden sehr umfan</w:t>
      </w:r>
      <w:r w:rsidR="004D23D6">
        <w:t>g</w:t>
      </w:r>
      <w:r w:rsidR="004D23D6">
        <w:t>reich eingesetzt‘</w:t>
      </w:r>
    </w:p>
    <w:p w:rsidR="004D23D6" w:rsidRDefault="00976ACC" w:rsidP="000178CC">
      <w:pPr>
        <w:pStyle w:val="Interpretation"/>
      </w:pPr>
      <w:r>
        <w:rPr>
          <w:i/>
        </w:rPr>
        <w:t>Er</w:t>
      </w:r>
      <w:r>
        <w:rPr>
          <w:vertAlign w:val="subscript"/>
        </w:rPr>
        <w:t>(f)2</w:t>
      </w:r>
      <w:r w:rsidRPr="00F8759D">
        <w:t>: ‚</w:t>
      </w:r>
      <w:r w:rsidR="004D23D6">
        <w:t>Alle denkbaren Risiken werden genau markiert‘</w:t>
      </w:r>
    </w:p>
    <w:p w:rsidR="004D23D6" w:rsidRDefault="00976ACC" w:rsidP="000178CC">
      <w:pPr>
        <w:pStyle w:val="Interpretation"/>
      </w:pPr>
      <w:r>
        <w:rPr>
          <w:i/>
        </w:rPr>
        <w:t>Er</w:t>
      </w:r>
      <w:r>
        <w:rPr>
          <w:vertAlign w:val="subscript"/>
        </w:rPr>
        <w:t>(f)3</w:t>
      </w:r>
      <w:r w:rsidRPr="00F8759D">
        <w:t>: ‚</w:t>
      </w:r>
      <w:r w:rsidR="004D23D6">
        <w:t>Auf Sehenswürdigkeiten am Straßenrand wird hingewiesen‘</w:t>
      </w:r>
    </w:p>
    <w:p w:rsidR="00014C94" w:rsidRDefault="00014C94" w:rsidP="000178CC">
      <w:pPr>
        <w:pStyle w:val="Formel"/>
      </w:pPr>
      <w:r>
        <w:rPr>
          <w:i/>
          <w:iCs/>
        </w:rPr>
        <w:t>Er</w:t>
      </w:r>
      <w:r>
        <w:rPr>
          <w:vertAlign w:val="subscript"/>
        </w:rPr>
        <w:t>(f)1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(f)2</w:t>
      </w:r>
      <w:r w:rsidRPr="00F11437">
        <w:t xml:space="preserve"> </w:t>
      </w:r>
      <w:r>
        <w:rPr>
          <w:rFonts w:ascii="Cambria Math" w:hAnsi="Cambria Math" w:cs="Cambria Math"/>
          <w:color w:val="000000" w:themeColor="text1"/>
        </w:rPr>
        <w:t>∧</w:t>
      </w:r>
      <w:r>
        <w:t xml:space="preserve"> </w:t>
      </w:r>
      <w:r>
        <w:rPr>
          <w:i/>
          <w:iCs/>
        </w:rPr>
        <w:t>Er</w:t>
      </w:r>
      <w:r>
        <w:rPr>
          <w:vertAlign w:val="subscript"/>
        </w:rPr>
        <w:t>(f)3</w:t>
      </w:r>
      <w: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Pr="0062421C">
        <w:rPr>
          <w:vertAlign w:val="subscript"/>
        </w:rPr>
        <w:t>1</w:t>
      </w:r>
      <w:r>
        <w:rPr>
          <w:iCs/>
        </w:rPr>
        <w:t xml:space="preserve">, </w:t>
      </w:r>
      <w:r>
        <w:rPr>
          <w:i/>
          <w:iCs/>
        </w:rPr>
        <w:t>Er</w:t>
      </w:r>
      <w:r>
        <w:rPr>
          <w:vertAlign w:val="subscript"/>
        </w:rPr>
        <w:t>2</w:t>
      </w:r>
    </w:p>
    <w:p w:rsidR="00014C94" w:rsidRDefault="004D23D6" w:rsidP="000178CC">
      <w:pPr>
        <w:pStyle w:val="Interpretation"/>
      </w:pPr>
      <w:r>
        <w:rPr>
          <w:i/>
        </w:rPr>
        <w:lastRenderedPageBreak/>
        <w:t>Er</w:t>
      </w:r>
      <w:r>
        <w:rPr>
          <w:vertAlign w:val="subscript"/>
        </w:rPr>
        <w:t>1</w:t>
      </w:r>
      <w:r w:rsidRPr="00F8759D">
        <w:t>:</w:t>
      </w:r>
      <w:r>
        <w:t xml:space="preserve"> ‚</w:t>
      </w:r>
      <w:r w:rsidR="0085753F">
        <w:t xml:space="preserve">SN </w:t>
      </w:r>
      <w:r w:rsidR="00014C94">
        <w:t xml:space="preserve">reguliert detailliert das Verhalten und die Aufmerksamkeit der </w:t>
      </w:r>
      <w:r>
        <w:t>Ve</w:t>
      </w:r>
      <w:r>
        <w:t>r</w:t>
      </w:r>
      <w:r>
        <w:t>kehrsteilnehmer‘</w:t>
      </w:r>
    </w:p>
    <w:p w:rsidR="00014C94" w:rsidRDefault="00014C94" w:rsidP="000178CC">
      <w:pPr>
        <w:pStyle w:val="InterpretationletzteZeile"/>
      </w:pPr>
      <w:r>
        <w:rPr>
          <w:i/>
        </w:rPr>
        <w:t>Er</w:t>
      </w:r>
      <w:r>
        <w:rPr>
          <w:vertAlign w:val="subscript"/>
        </w:rPr>
        <w:t>2</w:t>
      </w:r>
      <w:r w:rsidRPr="00F8759D">
        <w:t>:</w:t>
      </w:r>
      <w:r>
        <w:t xml:space="preserve"> ‚</w:t>
      </w:r>
      <w:r w:rsidR="0085753F">
        <w:t xml:space="preserve">SN </w:t>
      </w:r>
      <w:r>
        <w:t>lässt den Verkehrsteilnehmern keinen Raum für eigene Entscheidungen und Eigenverantwortung‘</w:t>
      </w:r>
    </w:p>
    <w:p w:rsidR="00EF61F5" w:rsidRDefault="00EF61F5" w:rsidP="00EF61F5">
      <w:pPr>
        <w:pStyle w:val="Titel5"/>
      </w:pPr>
      <w:bookmarkStart w:id="327" w:name="_Ref261795820"/>
      <w:bookmarkStart w:id="328" w:name="_Toc325456777"/>
      <w:r>
        <w:t xml:space="preserve">Mit </w:t>
      </w:r>
      <w:r w:rsidRPr="009B6406">
        <w:t>H</w:t>
      </w:r>
      <w:r w:rsidR="00657D3F">
        <w:t>intergrundwissen</w:t>
      </w:r>
      <w:bookmarkEnd w:id="327"/>
      <w:bookmarkEnd w:id="328"/>
    </w:p>
    <w:p w:rsidR="00527E85" w:rsidRDefault="00527E85" w:rsidP="008C17C4">
      <w:pPr>
        <w:pStyle w:val="Interpretation1Zeile"/>
      </w:pPr>
      <w:r>
        <w:t>1.</w:t>
      </w:r>
      <w:r>
        <w:tab/>
        <w:t>Verhaltensschema ‚Geld investieren‘</w:t>
      </w:r>
    </w:p>
    <w:p w:rsidR="00527E85" w:rsidRDefault="00527E85" w:rsidP="008C17C4">
      <w:pPr>
        <w:pStyle w:val="Interpretation"/>
      </w:pPr>
      <w:r>
        <w:rPr>
          <w:i/>
        </w:rPr>
        <w:t>Er</w:t>
      </w:r>
      <w:r>
        <w:rPr>
          <w:vertAlign w:val="subscript"/>
        </w:rPr>
        <w:t>(f)1</w:t>
      </w:r>
      <w:r>
        <w:t>: ‚</w:t>
      </w:r>
      <w:r w:rsidR="0085753F">
        <w:t xml:space="preserve">SN </w:t>
      </w:r>
      <w:r>
        <w:t>vermeidet Anlageformen mit hohem Risiko‘</w:t>
      </w:r>
    </w:p>
    <w:p w:rsidR="00527E85" w:rsidRDefault="00527E85" w:rsidP="008C17C4">
      <w:pPr>
        <w:pStyle w:val="Interpretation"/>
      </w:pPr>
      <w:r>
        <w:rPr>
          <w:i/>
        </w:rPr>
        <w:t>Er</w:t>
      </w:r>
      <w:r>
        <w:rPr>
          <w:vertAlign w:val="subscript"/>
        </w:rPr>
        <w:t>(f)2</w:t>
      </w:r>
      <w:r>
        <w:t>: ‚</w:t>
      </w:r>
      <w:r w:rsidR="0085753F">
        <w:t xml:space="preserve">SN </w:t>
      </w:r>
      <w:r>
        <w:t>orientiert sich am Verhalten anderer Anleger‘</w:t>
      </w:r>
    </w:p>
    <w:p w:rsidR="00527E85" w:rsidRDefault="00527E85" w:rsidP="008C17C4">
      <w:pPr>
        <w:pStyle w:val="Interpretation"/>
      </w:pPr>
      <w:r>
        <w:rPr>
          <w:i/>
        </w:rPr>
        <w:t>H</w:t>
      </w:r>
      <w:r>
        <w:rPr>
          <w:vertAlign w:val="subscript"/>
        </w:rPr>
        <w:t>1</w:t>
      </w:r>
      <w:r>
        <w:t>: ‚Unsichere Menschen versuchen, Risiko zu vermeiden, und orientieren sich an anderen Menschen‘</w:t>
      </w:r>
    </w:p>
    <w:p w:rsidR="00527E85" w:rsidRDefault="00527E85" w:rsidP="008C17C4">
      <w:pPr>
        <w:pStyle w:val="Formel"/>
      </w:pPr>
      <w:r>
        <w:rPr>
          <w:i/>
          <w:iCs/>
        </w:rPr>
        <w:t>Er</w:t>
      </w:r>
      <w:r>
        <w:rPr>
          <w:vertAlign w:val="subscript"/>
        </w:rPr>
        <w:t>(f)1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(f)2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527E85" w:rsidRDefault="00527E85" w:rsidP="008C17C4">
      <w:pPr>
        <w:pStyle w:val="InterpretationletzteZeile"/>
      </w:pPr>
      <w:r>
        <w:rPr>
          <w:i/>
        </w:rPr>
        <w:t>Er</w:t>
      </w:r>
      <w:r>
        <w:rPr>
          <w:vertAlign w:val="subscript"/>
        </w:rPr>
        <w:t>1</w:t>
      </w:r>
      <w:r w:rsidRPr="00F8759D">
        <w:t>:</w:t>
      </w:r>
      <w:r>
        <w:t xml:space="preserve"> ‚</w:t>
      </w:r>
      <w:r w:rsidR="0085753F">
        <w:t xml:space="preserve">SN </w:t>
      </w:r>
      <w:r>
        <w:t>verhält sich aufgrund seines Charakters ängstlich und angepasst‘</w:t>
      </w:r>
    </w:p>
    <w:p w:rsidR="00527E85" w:rsidRPr="00B944EC" w:rsidRDefault="00527E85" w:rsidP="008C17C4">
      <w:pPr>
        <w:pStyle w:val="Text"/>
        <w:ind w:firstLine="0"/>
      </w:pPr>
      <w:r>
        <w:t>Es muss ein Element des Hintergrundwissens gefunden werden, das eine Erkl</w:t>
      </w:r>
      <w:r>
        <w:t>ä</w:t>
      </w:r>
      <w:r>
        <w:t xml:space="preserve">rung für </w:t>
      </w:r>
      <w:r>
        <w:rPr>
          <w:i/>
          <w:iCs/>
        </w:rPr>
        <w:t>Er</w:t>
      </w:r>
      <w:r>
        <w:rPr>
          <w:vertAlign w:val="subscript"/>
        </w:rPr>
        <w:t>(f)1</w:t>
      </w:r>
      <w:r>
        <w:t xml:space="preserve"> und </w:t>
      </w:r>
      <w:r>
        <w:rPr>
          <w:i/>
          <w:iCs/>
        </w:rPr>
        <w:t>Er</w:t>
      </w:r>
      <w:r>
        <w:rPr>
          <w:vertAlign w:val="subscript"/>
        </w:rPr>
        <w:t>(f)2</w:t>
      </w:r>
      <w:r>
        <w:t xml:space="preserve"> liefern kann. </w:t>
      </w:r>
      <w:r>
        <w:rPr>
          <w:i/>
          <w:iCs/>
        </w:rPr>
        <w:t>H</w:t>
      </w:r>
      <w:r>
        <w:rPr>
          <w:iCs/>
          <w:vertAlign w:val="subscript"/>
        </w:rPr>
        <w:t>1</w:t>
      </w:r>
      <w:r>
        <w:t xml:space="preserve"> erfüllt diese Funktion; aus ihm ergibt sich die Regel, dass der </w:t>
      </w:r>
      <w:r w:rsidR="0085753F">
        <w:t xml:space="preserve">SN </w:t>
      </w:r>
      <w:r>
        <w:t xml:space="preserve">sich ängstlich verhält, unter die </w:t>
      </w:r>
      <w:r>
        <w:rPr>
          <w:i/>
          <w:iCs/>
        </w:rPr>
        <w:t>Er</w:t>
      </w:r>
      <w:r>
        <w:rPr>
          <w:vertAlign w:val="subscript"/>
        </w:rPr>
        <w:t>(f)1</w:t>
      </w:r>
      <w:r>
        <w:t xml:space="preserve"> und </w:t>
      </w:r>
      <w:r>
        <w:rPr>
          <w:i/>
          <w:iCs/>
        </w:rPr>
        <w:t>Er</w:t>
      </w:r>
      <w:r>
        <w:rPr>
          <w:vertAlign w:val="subscript"/>
        </w:rPr>
        <w:t>(f)2</w:t>
      </w:r>
      <w:r>
        <w:t xml:space="preserve"> als Fälle eingeordnet werden können. Nur </w:t>
      </w:r>
      <w:r>
        <w:rPr>
          <w:i/>
          <w:iCs/>
        </w:rPr>
        <w:t>Er</w:t>
      </w:r>
      <w:r>
        <w:rPr>
          <w:vertAlign w:val="subscript"/>
        </w:rPr>
        <w:t>(f)1</w:t>
      </w:r>
      <w:r>
        <w:t xml:space="preserve"> allein verweist noch nicht eindeutig auf einen ängstlichen Charakter, es könnte auch durch eine überlegt vorsichtige Anlagestrategie bedingt sein. In diesem Fall würde sich der </w:t>
      </w:r>
      <w:r w:rsidR="0085753F">
        <w:t xml:space="preserve">SN </w:t>
      </w:r>
      <w:r>
        <w:t>jedoch nicht ei</w:t>
      </w:r>
      <w:r>
        <w:t>n</w:t>
      </w:r>
      <w:r>
        <w:t>fach am Verhalten anderer Anleger orientieren, da dies auf Herdenverhalten hinausläuft und nicht besonders vorsichtig ist; es entspricht eher dem Verhalten eines Menschen, der sich nicht traut, es anders als andere zu machen.</w:t>
      </w:r>
    </w:p>
    <w:p w:rsidR="002A0624" w:rsidRDefault="00527E85" w:rsidP="008C17C4">
      <w:pPr>
        <w:pStyle w:val="Interpretation1Zeile"/>
      </w:pPr>
      <w:r>
        <w:t>2</w:t>
      </w:r>
      <w:r w:rsidR="002A0624">
        <w:t>.</w:t>
      </w:r>
      <w:r w:rsidR="002A0624">
        <w:tab/>
      </w:r>
      <w:r w:rsidR="002A0624" w:rsidRPr="00F8759D">
        <w:t>Artefaktschema ‚Klei</w:t>
      </w:r>
      <w:r w:rsidR="002A0624">
        <w:t>dungsstück‘</w:t>
      </w:r>
    </w:p>
    <w:p w:rsidR="002A0624" w:rsidRDefault="002A0624" w:rsidP="008C17C4">
      <w:pPr>
        <w:pStyle w:val="Interpretation"/>
      </w:pPr>
      <w:r w:rsidRPr="00F8759D">
        <w:rPr>
          <w:i/>
        </w:rPr>
        <w:t>U</w:t>
      </w:r>
      <w:r w:rsidRPr="00F8759D">
        <w:t>(</w:t>
      </w:r>
      <w:r w:rsidRPr="00F8759D">
        <w:rPr>
          <w:i/>
        </w:rPr>
        <w:t>B</w:t>
      </w:r>
      <w:r w:rsidR="00161F46">
        <w:rPr>
          <w:vertAlign w:val="subscript"/>
        </w:rPr>
        <w:t>1</w:t>
      </w:r>
      <w:r w:rsidRPr="00F8759D">
        <w:t>): ‚</w:t>
      </w:r>
      <w:r>
        <w:t>Nähte</w:t>
      </w:r>
      <w:r w:rsidRPr="00F8759D">
        <w:t xml:space="preserve">‘, </w:t>
      </w:r>
      <w:r w:rsidRPr="00F8759D">
        <w:rPr>
          <w:i/>
        </w:rPr>
        <w:t>V</w:t>
      </w:r>
      <w:r w:rsidRPr="00F8759D">
        <w:t>(</w:t>
      </w:r>
      <w:r w:rsidRPr="00F8759D">
        <w:rPr>
          <w:i/>
        </w:rPr>
        <w:t>B</w:t>
      </w:r>
      <w:r w:rsidR="00161F46">
        <w:rPr>
          <w:vertAlign w:val="subscript"/>
        </w:rPr>
        <w:t>1</w:t>
      </w:r>
      <w:r w:rsidRPr="00F8759D">
        <w:t>): ‚</w:t>
      </w:r>
      <w:r>
        <w:t>außen angebracht‘</w:t>
      </w:r>
    </w:p>
    <w:p w:rsidR="002A0624" w:rsidRDefault="002A0624" w:rsidP="008C17C4">
      <w:pPr>
        <w:pStyle w:val="Interpretation"/>
      </w:pPr>
      <w:r>
        <w:rPr>
          <w:i/>
        </w:rPr>
        <w:t>H</w:t>
      </w:r>
      <w:r w:rsidRPr="004C0141">
        <w:rPr>
          <w:vertAlign w:val="subscript"/>
        </w:rPr>
        <w:t>1</w:t>
      </w:r>
      <w:r w:rsidR="00817584">
        <w:t xml:space="preserve"> [zum Schema]</w:t>
      </w:r>
      <w:r>
        <w:t>: ‚Nähte sind normalerweise innen in einem Kleidungsstück angebracht‘</w:t>
      </w:r>
    </w:p>
    <w:p w:rsidR="00161F46" w:rsidRDefault="00161F46" w:rsidP="008C17C4">
      <w:pPr>
        <w:pStyle w:val="Formel"/>
      </w:pPr>
      <w:r w:rsidRPr="00F8759D">
        <w:rPr>
          <w:i/>
          <w:iCs/>
        </w:rPr>
        <w:t>B</w:t>
      </w:r>
      <w:r>
        <w:rPr>
          <w:iCs/>
          <w:vertAlign w:val="subscript"/>
        </w:rPr>
        <w:t>1</w:t>
      </w:r>
      <w:r>
        <w:t xml:space="preserve"> </w:t>
      </w:r>
      <w:r>
        <w:rPr>
          <w:rFonts w:ascii="Cambria Math" w:hAnsi="Cambria Math" w:cs="Cambria Math"/>
        </w:rPr>
        <w:t>∧</w:t>
      </w:r>
      <w:r>
        <w:rPr>
          <w:rFonts w:cs="Times New Roman"/>
        </w:rPr>
        <w:t xml:space="preserve"> </w:t>
      </w:r>
      <w:r>
        <w:rPr>
          <w:i/>
          <w:iCs/>
        </w:rPr>
        <w:t>H</w:t>
      </w:r>
      <w:r w:rsidRPr="004C0141">
        <w:rPr>
          <w:iCs/>
          <w:vertAlign w:val="subscript"/>
        </w:rPr>
        <w:t>1</w:t>
      </w:r>
      <w:r>
        <w:rPr>
          <w:rFonts w:cs="Times New Roman"/>
          <w:color w:val="000000" w:themeColor="text1"/>
        </w:rPr>
        <w:t xml:space="preserve"> </w:t>
      </w:r>
      <w:r w:rsidR="002434D2">
        <w:rPr>
          <w:rFonts w:ascii="Cambria Math" w:eastAsia="Arial Unicode MS" w:hAnsi="Cambria Math" w:cs="Cambria Math"/>
          <w:color w:val="000000" w:themeColor="text1"/>
        </w:rPr>
        <w:t>⤳</w:t>
      </w:r>
      <w:r w:rsidR="001C17A5">
        <w:rPr>
          <w:vertAlign w:val="subscript"/>
        </w:rPr>
        <w:t>Ded</w:t>
      </w:r>
      <w:r>
        <w:t xml:space="preserve">  </w:t>
      </w:r>
      <w:r>
        <w:rPr>
          <w:i/>
          <w:iCs/>
        </w:rPr>
        <w:t>Er</w:t>
      </w:r>
      <w:r>
        <w:rPr>
          <w:vertAlign w:val="subscript"/>
        </w:rPr>
        <w:t>1</w:t>
      </w:r>
    </w:p>
    <w:p w:rsidR="002A0624" w:rsidRDefault="002A0624" w:rsidP="008C17C4">
      <w:pPr>
        <w:pStyle w:val="Interpretation"/>
      </w:pPr>
      <w:r>
        <w:rPr>
          <w:i/>
        </w:rPr>
        <w:t>Er</w:t>
      </w:r>
      <w:r>
        <w:rPr>
          <w:vertAlign w:val="subscript"/>
        </w:rPr>
        <w:t>1</w:t>
      </w:r>
      <w:r w:rsidRPr="00F8759D">
        <w:t>:</w:t>
      </w:r>
      <w:r w:rsidR="003A708E">
        <w:tab/>
      </w:r>
      <w:r>
        <w:t xml:space="preserve">‚Das normalerweise innen </w:t>
      </w:r>
      <w:r w:rsidR="00EB7EAD">
        <w:t xml:space="preserve">am Kleidungsstück </w:t>
      </w:r>
      <w:r>
        <w:t>Angebrachte wird außen a</w:t>
      </w:r>
      <w:r>
        <w:t>n</w:t>
      </w:r>
      <w:r>
        <w:t>gebracht‘</w:t>
      </w:r>
    </w:p>
    <w:p w:rsidR="003A708E" w:rsidRDefault="003A708E" w:rsidP="008C17C4">
      <w:pPr>
        <w:pStyle w:val="Interpretation"/>
      </w:pPr>
      <w:r>
        <w:rPr>
          <w:i/>
        </w:rPr>
        <w:t>H</w:t>
      </w:r>
      <w:r>
        <w:rPr>
          <w:vertAlign w:val="subscript"/>
        </w:rPr>
        <w:t>2</w:t>
      </w:r>
      <w:r w:rsidR="00A71199">
        <w:t xml:space="preserve"> [zum Schema]</w:t>
      </w:r>
      <w:r>
        <w:t>:</w:t>
      </w:r>
      <w:r w:rsidR="00A71199">
        <w:t xml:space="preserve"> </w:t>
      </w:r>
      <w:r>
        <w:t>‚Nähte werden normalerweise innen angebracht, um sie zu verstecken‘</w:t>
      </w:r>
    </w:p>
    <w:p w:rsidR="00014C94" w:rsidRDefault="00014C94" w:rsidP="008C17C4">
      <w:pPr>
        <w:pStyle w:val="Formel"/>
      </w:pPr>
      <w:r>
        <w:rPr>
          <w:i/>
          <w:iCs/>
        </w:rPr>
        <w:t>Er</w:t>
      </w:r>
      <w:r w:rsidRPr="0062421C">
        <w:rPr>
          <w:vertAlign w:val="subscript"/>
        </w:rPr>
        <w:t>1</w:t>
      </w:r>
      <w:r>
        <w:t xml:space="preserve"> </w:t>
      </w:r>
      <w:r>
        <w:rPr>
          <w:rFonts w:ascii="Cambria Math" w:hAnsi="Cambria Math" w:cs="Cambria Math"/>
        </w:rPr>
        <w:t>∧</w:t>
      </w:r>
      <w:r>
        <w:rPr>
          <w:rFonts w:cs="Times New Roman"/>
        </w:rPr>
        <w:t xml:space="preserve"> </w:t>
      </w:r>
      <w:r>
        <w:rPr>
          <w:i/>
          <w:iCs/>
        </w:rPr>
        <w:t>H</w:t>
      </w:r>
      <w:r>
        <w:rPr>
          <w:iCs/>
          <w:vertAlign w:val="subscript"/>
        </w:rPr>
        <w:t>2</w:t>
      </w:r>
      <w:r>
        <w:rPr>
          <w:rFonts w:cs="Times New Roman"/>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2</w:t>
      </w:r>
    </w:p>
    <w:p w:rsidR="002A0624" w:rsidRDefault="002A0624" w:rsidP="008C17C4">
      <w:pPr>
        <w:pStyle w:val="Interpretation"/>
      </w:pPr>
      <w:r>
        <w:rPr>
          <w:i/>
        </w:rPr>
        <w:t>Er</w:t>
      </w:r>
      <w:r>
        <w:rPr>
          <w:vertAlign w:val="subscript"/>
        </w:rPr>
        <w:t>2</w:t>
      </w:r>
      <w:r w:rsidRPr="00F8759D">
        <w:t>:</w:t>
      </w:r>
      <w:r w:rsidR="003A708E">
        <w:tab/>
      </w:r>
      <w:r>
        <w:t xml:space="preserve">‚Das normalerweise </w:t>
      </w:r>
      <w:r w:rsidR="00EB7EAD">
        <w:t xml:space="preserve">am Kleidungsstück </w:t>
      </w:r>
      <w:r>
        <w:t>Versteckte wird gezeigt‘</w:t>
      </w:r>
    </w:p>
    <w:p w:rsidR="003A708E" w:rsidRDefault="003A708E" w:rsidP="008C17C4">
      <w:pPr>
        <w:pStyle w:val="Interpretation"/>
      </w:pPr>
      <w:r>
        <w:rPr>
          <w:i/>
        </w:rPr>
        <w:t>H</w:t>
      </w:r>
      <w:r>
        <w:rPr>
          <w:vertAlign w:val="subscript"/>
        </w:rPr>
        <w:t>3</w:t>
      </w:r>
      <w:r w:rsidR="00A71199">
        <w:t xml:space="preserve"> [zum Schema]</w:t>
      </w:r>
      <w:r>
        <w:t>:</w:t>
      </w:r>
      <w:r w:rsidR="00A71199">
        <w:t xml:space="preserve"> </w:t>
      </w:r>
      <w:r>
        <w:t>‚Nähte zeigen, wie ein Kleidungsstück gemacht ist‘</w:t>
      </w:r>
    </w:p>
    <w:p w:rsidR="003A708E" w:rsidRDefault="003A708E" w:rsidP="008C17C4">
      <w:pPr>
        <w:pStyle w:val="Formel"/>
      </w:pPr>
      <w:r>
        <w:rPr>
          <w:i/>
          <w:iCs/>
        </w:rPr>
        <w:lastRenderedPageBreak/>
        <w:t>Er</w:t>
      </w:r>
      <w:r>
        <w:rPr>
          <w:vertAlign w:val="subscript"/>
        </w:rPr>
        <w:t>1</w:t>
      </w:r>
      <w:r>
        <w:t xml:space="preserve"> </w:t>
      </w:r>
      <w:r>
        <w:rPr>
          <w:rFonts w:ascii="Cambria Math" w:hAnsi="Cambria Math" w:cs="Cambria Math"/>
        </w:rPr>
        <w:t>∧</w:t>
      </w:r>
      <w:r>
        <w:rPr>
          <w:rFonts w:cs="Times New Roman"/>
        </w:rPr>
        <w:t xml:space="preserve"> </w:t>
      </w:r>
      <w:r>
        <w:rPr>
          <w:i/>
          <w:iCs/>
        </w:rPr>
        <w:t>Er</w:t>
      </w:r>
      <w:r>
        <w:rPr>
          <w:vertAlign w:val="subscript"/>
        </w:rPr>
        <w:t>2</w:t>
      </w:r>
      <w:r>
        <w:t xml:space="preserve"> </w:t>
      </w:r>
      <w:r>
        <w:rPr>
          <w:rFonts w:ascii="Cambria Math" w:hAnsi="Cambria Math" w:cs="Cambria Math"/>
        </w:rPr>
        <w:t>∧</w:t>
      </w:r>
      <w:r>
        <w:rPr>
          <w:rFonts w:cs="Times New Roman"/>
        </w:rPr>
        <w:t xml:space="preserve"> </w:t>
      </w:r>
      <w:r>
        <w:rPr>
          <w:i/>
          <w:iCs/>
        </w:rPr>
        <w:t>H</w:t>
      </w:r>
      <w:r w:rsidR="00D556BA">
        <w:rPr>
          <w:vertAlign w:val="subscript"/>
        </w:rPr>
        <w:t>3</w:t>
      </w:r>
      <w:r>
        <w:rPr>
          <w:rFonts w:cs="Times New Roman"/>
          <w:color w:val="000000" w:themeColor="text1"/>
        </w:rPr>
        <w:t xml:space="preserve"> </w:t>
      </w:r>
      <w:r w:rsidR="002434D2">
        <w:rPr>
          <w:rFonts w:ascii="Cambria Math" w:eastAsia="Arial Unicode MS" w:hAnsi="Cambria Math" w:cs="Cambria Math"/>
          <w:color w:val="000000" w:themeColor="text1"/>
        </w:rPr>
        <w:t>⤳</w:t>
      </w:r>
      <w:r w:rsidR="001C17A5">
        <w:rPr>
          <w:vertAlign w:val="subscript"/>
        </w:rPr>
        <w:t>Ded</w:t>
      </w:r>
      <w:r>
        <w:t xml:space="preserve">  </w:t>
      </w:r>
      <w:r>
        <w:rPr>
          <w:i/>
          <w:iCs/>
        </w:rPr>
        <w:t>Er</w:t>
      </w:r>
      <w:r>
        <w:rPr>
          <w:vertAlign w:val="subscript"/>
        </w:rPr>
        <w:t>3</w:t>
      </w:r>
    </w:p>
    <w:p w:rsidR="000D683E" w:rsidRPr="003A708E" w:rsidRDefault="000D683E" w:rsidP="008C17C4">
      <w:pPr>
        <w:pStyle w:val="InterpretationletzteZeile"/>
      </w:pPr>
      <w:r>
        <w:rPr>
          <w:i/>
        </w:rPr>
        <w:t>Er</w:t>
      </w:r>
      <w:r>
        <w:rPr>
          <w:vertAlign w:val="subscript"/>
        </w:rPr>
        <w:t>3</w:t>
      </w:r>
      <w:r w:rsidRPr="00F8759D">
        <w:t>:</w:t>
      </w:r>
      <w:r>
        <w:tab/>
        <w:t>‚Es wird das am Kleidungsstück gezeigt, was normalerweise versteckt wird, nämlich wie es gemacht ist‘</w:t>
      </w:r>
    </w:p>
    <w:p w:rsidR="004D23D6" w:rsidRPr="00527E85" w:rsidRDefault="007046C1" w:rsidP="008C17C4">
      <w:pPr>
        <w:pStyle w:val="Text"/>
        <w:ind w:firstLine="0"/>
      </w:pPr>
      <w:r>
        <w:t xml:space="preserve">Dies ist ein Beispiel für den Fall, </w:t>
      </w:r>
      <w:r w:rsidR="00EB7EAD">
        <w:t xml:space="preserve">dass ein aus einer Merkmalsregel gewonnenes Ergebnis mit Hilfe von Hintergrundwissen zunehmend inhaltlich angereichert wird. Solche Prozesse können sehr genaue Ergebnisse </w:t>
      </w:r>
      <w:r w:rsidR="006007D4">
        <w:t>liefern</w:t>
      </w:r>
      <w:r w:rsidR="00EB7EAD">
        <w:t>, aber auch zu freien Spekulationen führen, die sich von den Merkmal</w:t>
      </w:r>
      <w:r w:rsidR="0012368D">
        <w:t>sregeln</w:t>
      </w:r>
      <w:r w:rsidR="00EB7EAD">
        <w:t xml:space="preserve"> des Stils weit entfe</w:t>
      </w:r>
      <w:r w:rsidR="00EB7EAD">
        <w:t>r</w:t>
      </w:r>
      <w:r w:rsidR="00EB7EAD">
        <w:t>nen</w:t>
      </w:r>
      <w:r w:rsidR="006007D4">
        <w:t>.</w:t>
      </w:r>
      <w:r w:rsidR="006007D4">
        <w:rPr>
          <w:rStyle w:val="Funotenzeichen"/>
        </w:rPr>
        <w:footnoteReference w:id="425"/>
      </w:r>
      <w:r w:rsidR="006007D4">
        <w:t xml:space="preserve"> Sie beginnen, wenn der S</w:t>
      </w:r>
      <w:r w:rsidR="00DD45B2">
        <w:t>W</w:t>
      </w:r>
      <w:r w:rsidR="006007D4">
        <w:t xml:space="preserve"> zu einem Punkt gelangt ist, an dem auf der Basis vorhandener Ergebnisse ‚noch etwas zu holen ist‘; häufig wird dann gezielt Hintergrundwissen hinzugezogen. Um den Prozess zu verdeutlichen, wurde hier der erste Schritt, der noch auf einer Merkmalsregel basiert, mit aufgeschrieben.</w:t>
      </w:r>
      <w:r w:rsidR="005C4CCB">
        <w:rPr>
          <w:rStyle w:val="Funotenzeichen"/>
        </w:rPr>
        <w:footnoteReference w:id="426"/>
      </w:r>
    </w:p>
    <w:p w:rsidR="00AF39C2" w:rsidRDefault="00AF39C2" w:rsidP="00AF39C2">
      <w:pPr>
        <w:pStyle w:val="Titel2"/>
      </w:pPr>
      <w:bookmarkStart w:id="329" w:name="_Ref259795418"/>
      <w:bookmarkStart w:id="330" w:name="_Toc325456778"/>
      <w:bookmarkStart w:id="331" w:name="Operationen2"/>
      <w:bookmarkEnd w:id="301"/>
      <w:r>
        <w:t>Operationen</w:t>
      </w:r>
      <w:bookmarkEnd w:id="329"/>
      <w:bookmarkEnd w:id="330"/>
    </w:p>
    <w:p w:rsidR="007169E2" w:rsidRDefault="005D7996" w:rsidP="008C17C4">
      <w:pPr>
        <w:pStyle w:val="Text"/>
        <w:ind w:firstLine="0"/>
      </w:pPr>
      <w:r>
        <w:fldChar w:fldCharType="begin"/>
      </w:r>
      <w:r w:rsidR="00AD245D">
        <w:instrText xml:space="preserve"> XE "Operationen (der Interpretation)" \r "Operationen2" </w:instrText>
      </w:r>
      <w:r>
        <w:fldChar w:fldCharType="end"/>
      </w:r>
      <w:r w:rsidR="001D5C1E">
        <w:t>Im Folgenden wird jeweils eine kurze Erläuterung zu der Operation gegeben, danach folgen Beispiele für die drei Schemaarten. Die Darstellung der Beispiele entspricht wiederum der Schreibausgabe des Interpretationsprozesses in A</w:t>
      </w:r>
      <w:r w:rsidR="001D5C1E">
        <w:t>b</w:t>
      </w:r>
      <w:r w:rsidR="001D5C1E">
        <w:t xml:space="preserve">schnitt </w:t>
      </w:r>
      <w:r>
        <w:fldChar w:fldCharType="begin"/>
      </w:r>
      <w:r w:rsidR="001D5C1E">
        <w:instrText xml:space="preserve"> REF _Ref254694742 \r \h </w:instrText>
      </w:r>
      <w:r>
        <w:fldChar w:fldCharType="separate"/>
      </w:r>
      <w:r w:rsidR="001231D3">
        <w:t>7.2.3</w:t>
      </w:r>
      <w:r>
        <w:fldChar w:fldCharType="end"/>
      </w:r>
      <w:r w:rsidR="001D5C1E">
        <w:t>.</w:t>
      </w:r>
    </w:p>
    <w:p w:rsidR="00D97646" w:rsidRDefault="00D97646" w:rsidP="004B127F">
      <w:pPr>
        <w:pStyle w:val="Text"/>
      </w:pPr>
      <w:r>
        <w:t>Die hier vorgestellten Operationen sind nicht als definitive Liste zu verst</w:t>
      </w:r>
      <w:r>
        <w:t>e</w:t>
      </w:r>
      <w:r>
        <w:t>hen, sondern als erste Annäherung an die bei tatsächlichen Stiloperationen ve</w:t>
      </w:r>
      <w:r>
        <w:t>r</w:t>
      </w:r>
      <w:r>
        <w:t>wendeten Operationen. Zu klären, welche Operationen tatsäch</w:t>
      </w:r>
      <w:r w:rsidR="00373805">
        <w:t>lich bei der Inte</w:t>
      </w:r>
      <w:r w:rsidR="00373805">
        <w:t>r</w:t>
      </w:r>
      <w:r w:rsidR="00373805">
        <w:t>pretation</w:t>
      </w:r>
      <w:r>
        <w:t xml:space="preserve"> verwendet werden, </w:t>
      </w:r>
      <w:r w:rsidR="00373805">
        <w:t>würde umfangreiche Untersuchungen erfordern.</w:t>
      </w:r>
      <w:bookmarkStart w:id="332" w:name="_Ref260670508"/>
      <w:r w:rsidR="00373805">
        <w:rPr>
          <w:rStyle w:val="Funotenzeichen"/>
        </w:rPr>
        <w:footnoteReference w:id="427"/>
      </w:r>
      <w:bookmarkEnd w:id="332"/>
    </w:p>
    <w:p w:rsidR="00D97646" w:rsidRDefault="00D97646" w:rsidP="004B127F">
      <w:pPr>
        <w:pStyle w:val="Text"/>
      </w:pPr>
      <w:r>
        <w:lastRenderedPageBreak/>
        <w:t>Die hier vorgestellten Operationen werden nicht als möglichst präzise und korrekte Abläufe verstanden, sondern als Modellierungen verschiedener beim tatsächlichen menschlichen Denken vorkommenden Arten, eine</w:t>
      </w:r>
      <w:r w:rsidR="00BE094D">
        <w:t>n inneren Z</w:t>
      </w:r>
      <w:r w:rsidR="00BE094D">
        <w:t>u</w:t>
      </w:r>
      <w:r w:rsidR="00BE094D">
        <w:t>stand</w:t>
      </w:r>
      <w:r>
        <w:t xml:space="preserve"> (Proposition</w:t>
      </w:r>
      <w:r w:rsidR="003B6A87">
        <w:t>sannahme</w:t>
      </w:r>
      <w:r>
        <w:t>, Gefühl oder Eindruck) aus anderen zu gewinnen.</w:t>
      </w:r>
    </w:p>
    <w:p w:rsidR="000B7FE4" w:rsidRDefault="000B7FE4" w:rsidP="000B7FE4">
      <w:pPr>
        <w:pStyle w:val="Titel3"/>
      </w:pPr>
      <w:bookmarkStart w:id="333" w:name="_Ref257706789"/>
      <w:bookmarkStart w:id="334" w:name="_Toc325456779"/>
      <w:bookmarkStart w:id="335" w:name="Deduktion"/>
      <w:r>
        <w:t>Deduktion</w:t>
      </w:r>
      <w:bookmarkEnd w:id="333"/>
      <w:bookmarkEnd w:id="334"/>
    </w:p>
    <w:p w:rsidR="009F5308" w:rsidRDefault="005D7996" w:rsidP="008C17C4">
      <w:pPr>
        <w:pStyle w:val="Text"/>
        <w:ind w:firstLine="0"/>
      </w:pPr>
      <w:r>
        <w:fldChar w:fldCharType="begin"/>
      </w:r>
      <w:r w:rsidR="00695B8A">
        <w:instrText xml:space="preserve"> XE "Deduktion" \r "Deduktion" </w:instrText>
      </w:r>
      <w:r>
        <w:fldChar w:fldCharType="end"/>
      </w:r>
      <w:r>
        <w:fldChar w:fldCharType="begin"/>
      </w:r>
      <w:r w:rsidR="00695B8A">
        <w:instrText xml:space="preserve"> XE "Deduktion" \t "</w:instrText>
      </w:r>
      <w:r w:rsidR="00695B8A" w:rsidRPr="007247A5">
        <w:rPr>
          <w:i/>
        </w:rPr>
        <w:instrText>et passim</w:instrText>
      </w:r>
      <w:r w:rsidR="00695B8A">
        <w:instrText xml:space="preserve">" </w:instrText>
      </w:r>
      <w:r>
        <w:fldChar w:fldCharType="end"/>
      </w:r>
      <w:r w:rsidR="004F10EE">
        <w:t xml:space="preserve">Das Verfahren, aus gegebenen Prämissen mit logischen </w:t>
      </w:r>
      <w:r w:rsidR="00F045E2">
        <w:t xml:space="preserve">Schlussregeln </w:t>
      </w:r>
      <w:r w:rsidR="004F10EE">
        <w:t xml:space="preserve">die </w:t>
      </w:r>
      <w:r w:rsidR="00F045E2">
        <w:t xml:space="preserve">mit Notwendigkeit </w:t>
      </w:r>
      <w:r w:rsidR="004F10EE">
        <w:t xml:space="preserve">folgenden Schlüsse abzuleiten, wird als „Deduktion“ bezeichnet. </w:t>
      </w:r>
      <w:r w:rsidR="00EE47A8">
        <w:t>In der Wissenschaft spielt die Deduktion eine entscheidende Rolle (neben der Induktion); Karl Popper</w:t>
      </w:r>
      <w:r>
        <w:fldChar w:fldCharType="begin"/>
      </w:r>
      <w:r w:rsidR="00252DD7">
        <w:instrText xml:space="preserve"> XE "</w:instrText>
      </w:r>
      <w:r w:rsidR="00252DD7" w:rsidRPr="00522961">
        <w:instrText>Popper, Karl</w:instrText>
      </w:r>
      <w:r w:rsidR="00252DD7">
        <w:instrText xml:space="preserve">" </w:instrText>
      </w:r>
      <w:r>
        <w:fldChar w:fldCharType="end"/>
      </w:r>
      <w:r w:rsidR="00EE47A8">
        <w:t xml:space="preserve"> ging sogar davon aus, dass alle Schlüsse in der Wisse</w:t>
      </w:r>
      <w:r w:rsidR="00EE47A8">
        <w:t>n</w:t>
      </w:r>
      <w:r w:rsidR="00EE47A8">
        <w:t>schaft, auch die auf Empirie basierenden, deduktiv seien.</w:t>
      </w:r>
      <w:r w:rsidR="00EE47A8">
        <w:rPr>
          <w:rStyle w:val="Funotenzeichen"/>
        </w:rPr>
        <w:footnoteReference w:id="428"/>
      </w:r>
      <w:r w:rsidR="00F045E2">
        <w:t xml:space="preserve"> </w:t>
      </w:r>
      <w:r w:rsidR="00BB04BA">
        <w:t>D</w:t>
      </w:r>
      <w:r w:rsidR="004F10EE">
        <w:t xml:space="preserve">eduktive Schlüsse können prinzipiell formalisiert werden, indem sie Schritt für Schritt mit Hilfe </w:t>
      </w:r>
      <w:r w:rsidR="00F045E2">
        <w:t xml:space="preserve">von </w:t>
      </w:r>
      <w:r w:rsidR="004F10EE">
        <w:t>Schlussregeln abgeleitet werden</w:t>
      </w:r>
      <w:r w:rsidR="00F045E2">
        <w:t>.</w:t>
      </w:r>
    </w:p>
    <w:p w:rsidR="00F045E2" w:rsidRDefault="00181C0C" w:rsidP="00181C0C">
      <w:pPr>
        <w:pStyle w:val="Text"/>
      </w:pPr>
      <w:r>
        <w:t xml:space="preserve">Wie alle hier angenommenen </w:t>
      </w:r>
      <w:r w:rsidR="009F5308">
        <w:t>Operation</w:t>
      </w:r>
      <w:r>
        <w:t>en ist die</w:t>
      </w:r>
      <w:r w:rsidR="009F5308">
        <w:t xml:space="preserve"> Deduktion dazu gedacht, tatsächliche Denkprozesse des Menschen nachzuvollziehen; diese folgen ve</w:t>
      </w:r>
      <w:r w:rsidR="009F5308">
        <w:t>r</w:t>
      </w:r>
      <w:r w:rsidR="009F5308">
        <w:t xml:space="preserve">mutlich nicht denselben Ansprüchen wie formale Beweise. </w:t>
      </w:r>
      <w:r w:rsidR="00D93837">
        <w:t xml:space="preserve">So </w:t>
      </w:r>
      <w:r w:rsidR="009F5308">
        <w:t>ist es wahrschei</w:t>
      </w:r>
      <w:r w:rsidR="009F5308">
        <w:t>n</w:t>
      </w:r>
      <w:r w:rsidR="009F5308">
        <w:t xml:space="preserve">lich, dass </w:t>
      </w:r>
      <w:r>
        <w:t xml:space="preserve">geringe </w:t>
      </w:r>
      <w:r w:rsidR="009F5308">
        <w:t>Unsicherheiten des Ergebnisses ignoriert werden</w:t>
      </w:r>
      <w:r>
        <w:t xml:space="preserve"> können oder dass kleine Sprünge im Ableitungsprozess möglich sind, wenn sie intuitiv plaus</w:t>
      </w:r>
      <w:r>
        <w:t>i</w:t>
      </w:r>
      <w:r>
        <w:t xml:space="preserve">bel erscheinen oder dem Denkenden schlicht nicht auffallen. </w:t>
      </w:r>
      <w:r w:rsidR="00AF2D1C">
        <w:t xml:space="preserve">Als </w:t>
      </w:r>
      <w:r w:rsidR="0028511B">
        <w:t>„</w:t>
      </w:r>
      <w:r w:rsidR="00AF2D1C">
        <w:t>Deduktion</w:t>
      </w:r>
      <w:r w:rsidR="0028511B">
        <w:t>“</w:t>
      </w:r>
      <w:r w:rsidR="00AF2D1C">
        <w:t xml:space="preserve"> im hier verwendeten Sinn wird ein Schluss daher </w:t>
      </w:r>
      <w:r w:rsidR="0028511B">
        <w:t>bezeichnet</w:t>
      </w:r>
      <w:r w:rsidR="00AF2D1C">
        <w:t>, wenn er mit (für das gewöhnliche Denken ausreichender) Sicherheit aus den Prämissen ableitbar ist und wenn er keine Kreativität</w:t>
      </w:r>
      <w:r w:rsidR="005D7996">
        <w:fldChar w:fldCharType="begin"/>
      </w:r>
      <w:r w:rsidR="00134E70">
        <w:instrText xml:space="preserve"> XE "</w:instrText>
      </w:r>
      <w:r w:rsidR="00134E70" w:rsidRPr="004A61B9">
        <w:instrText>Kreativität</w:instrText>
      </w:r>
      <w:r w:rsidR="00134E70">
        <w:instrText xml:space="preserve">" </w:instrText>
      </w:r>
      <w:r w:rsidR="005D7996">
        <w:fldChar w:fldCharType="end"/>
      </w:r>
      <w:r w:rsidR="00AF2D1C">
        <w:t xml:space="preserve"> erfordert.</w:t>
      </w:r>
      <w:r w:rsidR="00896A70">
        <w:t xml:space="preserve"> Zudem unterscheidet sich die </w:t>
      </w:r>
      <w:r w:rsidR="00511EA9">
        <w:t xml:space="preserve">hier angenommene </w:t>
      </w:r>
      <w:r w:rsidR="00896A70">
        <w:t>Operation „Deduktion“ vom logischen Schlussverfahren</w:t>
      </w:r>
      <w:r w:rsidR="005D7996">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rsidR="005D7996">
        <w:fldChar w:fldCharType="end"/>
      </w:r>
      <w:r w:rsidR="00896A70">
        <w:t xml:space="preserve"> </w:t>
      </w:r>
      <w:r w:rsidR="00D93837">
        <w:t xml:space="preserve">gleichen Namens </w:t>
      </w:r>
      <w:r w:rsidR="00896A70">
        <w:t>dadurch, dass sie nicht Propositionen, sondern Propositionsannahmen erzeugt.</w:t>
      </w:r>
    </w:p>
    <w:p w:rsidR="00E87396" w:rsidRDefault="00E80C32" w:rsidP="008C17C4">
      <w:pPr>
        <w:pStyle w:val="Interpretation1Zeile"/>
      </w:pPr>
      <w:r>
        <w:t>1.</w:t>
      </w:r>
      <w:r>
        <w:tab/>
      </w:r>
      <w:r w:rsidR="002A0624">
        <w:t>Verhaltensschema ‚Schminken</w:t>
      </w:r>
      <w:r w:rsidR="00E87396">
        <w:t>‘</w:t>
      </w:r>
    </w:p>
    <w:p w:rsidR="00001DE0" w:rsidRDefault="008C17C4" w:rsidP="00BF10AA">
      <w:pPr>
        <w:pStyle w:val="Interpretation"/>
        <w:keepNext/>
      </w:pPr>
      <w:r>
        <w:t>[</w:t>
      </w:r>
      <w:r w:rsidR="00001DE0">
        <w:t>Variante 1:</w:t>
      </w:r>
      <w:r>
        <w:t>]</w:t>
      </w:r>
    </w:p>
    <w:p w:rsidR="002A0624" w:rsidRDefault="002A0624" w:rsidP="008C17C4">
      <w:pPr>
        <w:pStyle w:val="Interpretation"/>
      </w:pPr>
      <w:r w:rsidRPr="00BC0D31">
        <w:t>U(B</w:t>
      </w:r>
      <w:r w:rsidR="007A5A34">
        <w:rPr>
          <w:vertAlign w:val="subscript"/>
        </w:rPr>
        <w:t>1</w:t>
      </w:r>
      <w:r w:rsidRPr="00BC0D31">
        <w:t>)</w:t>
      </w:r>
      <w:r w:rsidR="00453328">
        <w:t>: ‚Zeitaufwand‘,</w:t>
      </w:r>
      <w:r>
        <w:t xml:space="preserve"> </w:t>
      </w:r>
      <w:r w:rsidRPr="00BC0D31">
        <w:t>V(B</w:t>
      </w:r>
      <w:r w:rsidR="007A5A34">
        <w:rPr>
          <w:vertAlign w:val="subscript"/>
        </w:rPr>
        <w:t>1</w:t>
      </w:r>
      <w:r w:rsidRPr="00BC0D31">
        <w:t>)</w:t>
      </w:r>
      <w:r>
        <w:t>: ‚überdurchschnittlich</w:t>
      </w:r>
      <w:r w:rsidR="00001DE0">
        <w:t xml:space="preserve"> (für </w:t>
      </w:r>
      <w:r w:rsidR="005A2878">
        <w:t>alle Schminkvorgänge</w:t>
      </w:r>
      <w:r w:rsidR="00001DE0">
        <w:t>)</w:t>
      </w:r>
      <w:r>
        <w:t>‘</w:t>
      </w:r>
      <w:r w:rsidR="00B92969">
        <w:t>, w</w:t>
      </w:r>
      <w:r w:rsidR="00B92969" w:rsidRPr="00BC0D31">
        <w:t>(B</w:t>
      </w:r>
      <w:r w:rsidR="00B92969">
        <w:rPr>
          <w:vertAlign w:val="subscript"/>
        </w:rPr>
        <w:t>1</w:t>
      </w:r>
      <w:r w:rsidR="00B92969" w:rsidRPr="00BC0D31">
        <w:t>)</w:t>
      </w:r>
      <w:r w:rsidR="00BC1358">
        <w:t>: 1</w:t>
      </w:r>
    </w:p>
    <w:p w:rsidR="000D48EF" w:rsidRDefault="002A0624" w:rsidP="008C17C4">
      <w:pPr>
        <w:pStyle w:val="Interpretation"/>
      </w:pPr>
      <w:r>
        <w:t>H</w:t>
      </w:r>
      <w:r>
        <w:rPr>
          <w:vertAlign w:val="subscript"/>
        </w:rPr>
        <w:t>1</w:t>
      </w:r>
      <w:r w:rsidR="00E80C32">
        <w:t>:</w:t>
      </w:r>
      <w:r w:rsidR="00E80C32">
        <w:tab/>
      </w:r>
      <w:r>
        <w:t>‚</w:t>
      </w:r>
      <w:r w:rsidR="00C71881">
        <w:t>Um</w:t>
      </w:r>
      <w:r w:rsidR="000D48EF">
        <w:t>so wichtiger ei</w:t>
      </w:r>
      <w:r w:rsidR="007A5A34">
        <w:t>ne Person eine Sache findet, um</w:t>
      </w:r>
      <w:r w:rsidR="000D48EF">
        <w:t>so mehr Zeit wendet sie dafür auf‘</w:t>
      </w:r>
    </w:p>
    <w:p w:rsidR="007A5A34" w:rsidRPr="004457F2" w:rsidRDefault="007A5A34" w:rsidP="008C17C4">
      <w:pPr>
        <w:pStyle w:val="Formel"/>
      </w:pPr>
      <w:r>
        <w:rPr>
          <w:i/>
          <w:iCs/>
        </w:rPr>
        <w:t>B</w:t>
      </w:r>
      <w:r w:rsidRPr="00F86D8E">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sidRPr="00D41E3E">
        <w:rPr>
          <w:i/>
          <w:iCs/>
        </w:rPr>
        <w:t>H</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Pr="0062421C">
        <w:rPr>
          <w:vertAlign w:val="subscript"/>
        </w:rPr>
        <w:t>1</w:t>
      </w:r>
    </w:p>
    <w:p w:rsidR="00E87396" w:rsidRDefault="000D48EF" w:rsidP="008C17C4">
      <w:pPr>
        <w:pStyle w:val="Interpretation"/>
      </w:pPr>
      <w:r>
        <w:rPr>
          <w:i/>
        </w:rPr>
        <w:t>Er</w:t>
      </w:r>
      <w:r>
        <w:rPr>
          <w:vertAlign w:val="subscript"/>
        </w:rPr>
        <w:t>1</w:t>
      </w:r>
      <w:r w:rsidR="007A5A34">
        <w:t>: ‚</w:t>
      </w:r>
      <w:r w:rsidR="0085753F">
        <w:t xml:space="preserve">SN </w:t>
      </w:r>
      <w:r>
        <w:t>ist Schminken wichtig</w:t>
      </w:r>
      <w:r w:rsidR="007A5A34">
        <w:t xml:space="preserve">er als dem Durchschnitt </w:t>
      </w:r>
      <w:r w:rsidR="00C71881">
        <w:t>der</w:t>
      </w:r>
      <w:r w:rsidR="007A5A34">
        <w:t xml:space="preserve"> sich Schminkenden</w:t>
      </w:r>
      <w:r>
        <w:t>‘</w:t>
      </w:r>
    </w:p>
    <w:p w:rsidR="00001DE0" w:rsidRPr="008C17C4" w:rsidRDefault="008C17C4" w:rsidP="00BF10AA">
      <w:pPr>
        <w:pStyle w:val="Interpretation"/>
        <w:keepNext/>
      </w:pPr>
      <w:r>
        <w:lastRenderedPageBreak/>
        <w:t>[</w:t>
      </w:r>
      <w:r w:rsidR="00001DE0" w:rsidRPr="008C17C4">
        <w:t>Variante 2:</w:t>
      </w:r>
      <w:r>
        <w:t>]</w:t>
      </w:r>
    </w:p>
    <w:p w:rsidR="00001DE0" w:rsidRDefault="00001DE0" w:rsidP="008C17C4">
      <w:pPr>
        <w:pStyle w:val="Interpretation"/>
      </w:pPr>
      <w:r w:rsidRPr="00BC0D31">
        <w:rPr>
          <w:i/>
        </w:rPr>
        <w:t>U</w:t>
      </w:r>
      <w:r w:rsidRPr="00BC0D31">
        <w:t>(</w:t>
      </w:r>
      <w:r w:rsidRPr="00BC0D31">
        <w:rPr>
          <w:i/>
        </w:rPr>
        <w:t>B</w:t>
      </w:r>
      <w:r>
        <w:rPr>
          <w:vertAlign w:val="subscript"/>
        </w:rPr>
        <w:t>1</w:t>
      </w:r>
      <w:r w:rsidRPr="00BC0D31">
        <w:t>)</w:t>
      </w:r>
      <w:r>
        <w:t>: ‚Zeitaufwand</w:t>
      </w:r>
      <w:r w:rsidR="00047A29">
        <w:t xml:space="preserve"> </w:t>
      </w:r>
      <w:r w:rsidR="00EA165A">
        <w:t>(</w:t>
      </w:r>
      <w:r w:rsidR="00047A29">
        <w:t>Samstag abends vor dem Ausgehen</w:t>
      </w:r>
      <w:r w:rsidR="00EA165A">
        <w:t>)</w:t>
      </w:r>
      <w:r>
        <w:t xml:space="preserve">‘, </w:t>
      </w:r>
      <w:r w:rsidRPr="00BC0D31">
        <w:rPr>
          <w:i/>
        </w:rPr>
        <w:t>V</w:t>
      </w:r>
      <w:r w:rsidRPr="00BC0D31">
        <w:t>(</w:t>
      </w:r>
      <w:r w:rsidRPr="00BC0D31">
        <w:rPr>
          <w:i/>
        </w:rPr>
        <w:t>B</w:t>
      </w:r>
      <w:r>
        <w:rPr>
          <w:vertAlign w:val="subscript"/>
        </w:rPr>
        <w:t>1</w:t>
      </w:r>
      <w:r w:rsidRPr="00BC0D31">
        <w:t>)</w:t>
      </w:r>
      <w:r w:rsidR="008D59B4">
        <w:t>: ‚[</w:t>
      </w:r>
      <w:r w:rsidR="006567E5">
        <w:t>h-rel</w:t>
      </w:r>
      <w:r>
        <w:t>] übe</w:t>
      </w:r>
      <w:r>
        <w:t>r</w:t>
      </w:r>
      <w:r>
        <w:t xml:space="preserve">durchschnittlich (für </w:t>
      </w:r>
      <w:r w:rsidR="005A2878">
        <w:t xml:space="preserve">Schminkvorgänge des </w:t>
      </w:r>
      <w:r>
        <w:t>S</w:t>
      </w:r>
      <w:r w:rsidR="005A2878">
        <w:t>N</w:t>
      </w:r>
      <w:r>
        <w:t>)‘</w:t>
      </w:r>
    </w:p>
    <w:p w:rsidR="00001DE0" w:rsidRDefault="00B92969" w:rsidP="008C17C4">
      <w:pPr>
        <w:pStyle w:val="Interpretation"/>
      </w:pPr>
      <w:r>
        <w:rPr>
          <w:i/>
        </w:rPr>
        <w:t>H</w:t>
      </w:r>
      <w:r>
        <w:rPr>
          <w:vertAlign w:val="subscript"/>
        </w:rPr>
        <w:t>1</w:t>
      </w:r>
      <w:r>
        <w:t>:</w:t>
      </w:r>
      <w:r>
        <w:tab/>
        <w:t>‚Umso wichtiger eine Person eine Sache findet, umso mehr Zeit wendet sie dafür auf‘</w:t>
      </w:r>
    </w:p>
    <w:p w:rsidR="00001DE0" w:rsidRPr="004457F2" w:rsidRDefault="00001DE0" w:rsidP="008C17C4">
      <w:pPr>
        <w:pStyle w:val="Formel"/>
      </w:pPr>
      <w:r>
        <w:rPr>
          <w:i/>
          <w:iCs/>
        </w:rPr>
        <w:t>B</w:t>
      </w:r>
      <w:r w:rsidRPr="00F86D8E">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sidRPr="00D41E3E">
        <w:rPr>
          <w:i/>
          <w:iCs/>
        </w:rPr>
        <w:t>H</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Pr="0062421C">
        <w:rPr>
          <w:vertAlign w:val="subscript"/>
        </w:rPr>
        <w:t>1</w:t>
      </w:r>
    </w:p>
    <w:p w:rsidR="00001DE0" w:rsidRDefault="00001DE0" w:rsidP="008C17C4">
      <w:pPr>
        <w:pStyle w:val="InterpretationletzteZeile"/>
      </w:pPr>
      <w:r>
        <w:rPr>
          <w:i/>
        </w:rPr>
        <w:t>Er</w:t>
      </w:r>
      <w:r>
        <w:rPr>
          <w:vertAlign w:val="subscript"/>
        </w:rPr>
        <w:t>1</w:t>
      </w:r>
      <w:r>
        <w:t>: ‚</w:t>
      </w:r>
      <w:r w:rsidR="0085753F">
        <w:t xml:space="preserve">SN </w:t>
      </w:r>
      <w:r>
        <w:t xml:space="preserve">ist das Schminken </w:t>
      </w:r>
      <w:r w:rsidR="00047A29">
        <w:t>Samstag abends vor dem Ausgehen besonders wic</w:t>
      </w:r>
      <w:r w:rsidR="00047A29">
        <w:t>h</w:t>
      </w:r>
      <w:r w:rsidR="00047A29">
        <w:t>tig</w:t>
      </w:r>
      <w:r>
        <w:t>‘</w:t>
      </w:r>
    </w:p>
    <w:p w:rsidR="00E16A4A" w:rsidRDefault="00E47656" w:rsidP="008C17C4">
      <w:pPr>
        <w:pStyle w:val="Text"/>
        <w:ind w:firstLine="0"/>
      </w:pPr>
      <w:r>
        <w:t>In beiden Varianten wird die Eigenschaft ‚überdurchschnittlich‘ verlangt.</w:t>
      </w:r>
      <w:r>
        <w:rPr>
          <w:rStyle w:val="Funotenzeichen"/>
        </w:rPr>
        <w:footnoteReference w:id="429"/>
      </w:r>
      <w:r>
        <w:t xml:space="preserve"> </w:t>
      </w:r>
      <w:r w:rsidR="008D59B4">
        <w:t xml:space="preserve">Im ersten Fall handelt es sich um eine </w:t>
      </w:r>
      <w:r w:rsidR="00CA2393">
        <w:t xml:space="preserve">intrinsische </w:t>
      </w:r>
      <w:r w:rsidR="00EA3899">
        <w:t>Eigenschaft</w:t>
      </w:r>
      <w:r w:rsidR="008D59B4">
        <w:t>:</w:t>
      </w:r>
      <w:r w:rsidR="00EF2BCD">
        <w:rPr>
          <w:rStyle w:val="Funotenzeichen"/>
        </w:rPr>
        <w:footnoteReference w:id="430"/>
      </w:r>
      <w:r w:rsidR="008D59B4">
        <w:t xml:space="preserve"> </w:t>
      </w:r>
      <w:r w:rsidR="00EA0654">
        <w:t>Es wird ein El</w:t>
      </w:r>
      <w:r w:rsidR="00EA0654">
        <w:t>e</w:t>
      </w:r>
      <w:r w:rsidR="00EA0654">
        <w:t>ment</w:t>
      </w:r>
      <w:r w:rsidR="00EA3899">
        <w:t xml:space="preserve"> der </w:t>
      </w:r>
      <w:r w:rsidR="00721558">
        <w:t>Alter</w:t>
      </w:r>
      <w:r w:rsidR="00721558">
        <w:softHyphen/>
        <w:t>nativen</w:t>
      </w:r>
      <w:r w:rsidR="00721558">
        <w:softHyphen/>
        <w:t>klasse</w:t>
      </w:r>
      <w:r w:rsidR="00EA0654">
        <w:t xml:space="preserve"> </w:t>
      </w:r>
      <w:r w:rsidR="005825B9">
        <w:t xml:space="preserve">für den Schemaort ‚Zeitaufwand‘ </w:t>
      </w:r>
      <w:r w:rsidR="00EA0654">
        <w:t xml:space="preserve">gewählt, das </w:t>
      </w:r>
      <w:r w:rsidR="005825B9">
        <w:t>die Eigenschaft hat, über dem Durchschnitt</w:t>
      </w:r>
      <w:r w:rsidR="005825B9" w:rsidRPr="005825B9">
        <w:t xml:space="preserve"> </w:t>
      </w:r>
      <w:r w:rsidR="005825B9">
        <w:t>aller Schminkvorgänge zu liegen.</w:t>
      </w:r>
    </w:p>
    <w:p w:rsidR="00B92969" w:rsidRDefault="00E16A4A" w:rsidP="00671939">
      <w:pPr>
        <w:pStyle w:val="Text"/>
      </w:pPr>
      <w:r>
        <w:t>In Variante 2 wird ‚überdurchschnittlich‘ als horizontal-relationale Eige</w:t>
      </w:r>
      <w:r>
        <w:t>n</w:t>
      </w:r>
      <w:r>
        <w:t>schaft</w:t>
      </w:r>
      <w:r w:rsidR="00EF2BCD">
        <w:rPr>
          <w:rStyle w:val="Funotenzeichen"/>
        </w:rPr>
        <w:footnoteReference w:id="431"/>
      </w:r>
      <w:r>
        <w:t xml:space="preserve"> gebraucht: Es bezieht sich hier auf alle Schminkvorgänge des </w:t>
      </w:r>
      <w:r w:rsidR="0085753F">
        <w:t xml:space="preserve">SN </w:t>
      </w:r>
      <w:r w:rsidR="00B92969">
        <w:t>(im implizit gelassenen Zeitraum der Stilbetrachtung)</w:t>
      </w:r>
      <w:r>
        <w:t>, also auf die Realisierung selbst.</w:t>
      </w:r>
      <w:r w:rsidR="00F452E7">
        <w:rPr>
          <w:rStyle w:val="Funotenzeichen"/>
        </w:rPr>
        <w:footnoteReference w:id="432"/>
      </w:r>
      <w:r>
        <w:t xml:space="preserve"> </w:t>
      </w:r>
      <w:r w:rsidR="0055733C">
        <w:t>Der Durchschnitt wird aus allen Realisierungsstellen zum Schemaort ‚Zeitaufwand‘</w:t>
      </w:r>
      <w:r w:rsidR="008F0D5F">
        <w:t xml:space="preserve"> in der Realisierung </w:t>
      </w:r>
      <w:r w:rsidR="0055733C">
        <w:t xml:space="preserve">gewonnen. </w:t>
      </w:r>
      <w:r w:rsidR="005A2878">
        <w:t xml:space="preserve">In den Anwendungsbedingungen ist </w:t>
      </w:r>
      <w:r w:rsidR="0055733C">
        <w:t>der Schemaort</w:t>
      </w:r>
      <w:r w:rsidR="00B92969">
        <w:t xml:space="preserve"> </w:t>
      </w:r>
      <w:r w:rsidR="0055733C">
        <w:t>‚Zeitaufwand‘</w:t>
      </w:r>
      <w:r w:rsidR="008F0D5F">
        <w:t xml:space="preserve"> durch die Kontextbedingung ‚Samstag abends vor dem Ausgehen‘ genauer </w:t>
      </w:r>
      <w:r w:rsidR="0055733C">
        <w:t xml:space="preserve">spezifiziert: </w:t>
      </w:r>
      <w:r w:rsidR="00671939">
        <w:t xml:space="preserve">In diesen Fällen liegt der Zeitaufwand über dem Durchschnitt. – Im Vergleich zu Variante 1 </w:t>
      </w:r>
      <w:r w:rsidR="00B92969">
        <w:t xml:space="preserve">entsteht </w:t>
      </w:r>
      <w:r w:rsidR="00EF2BCD">
        <w:t>unter Verwe</w:t>
      </w:r>
      <w:r w:rsidR="00EF2BCD">
        <w:t>n</w:t>
      </w:r>
      <w:r w:rsidR="00EF2BCD">
        <w:t xml:space="preserve">dung desselben </w:t>
      </w:r>
      <w:r w:rsidR="007D0D3E">
        <w:t xml:space="preserve">Hintergrundwissens </w:t>
      </w:r>
      <w:r w:rsidR="00B92969">
        <w:t>ein anderes Interpretationsergebnis</w:t>
      </w:r>
      <w:r w:rsidR="00EF2BCD">
        <w:t>.</w:t>
      </w:r>
    </w:p>
    <w:p w:rsidR="00540D64" w:rsidRDefault="00540D64" w:rsidP="008C17C4">
      <w:pPr>
        <w:pStyle w:val="Interpretation1Zeile"/>
      </w:pPr>
      <w:r>
        <w:t>2.</w:t>
      </w:r>
      <w:r>
        <w:tab/>
        <w:t>Artefaktschema ‚Anrichte‘</w:t>
      </w:r>
    </w:p>
    <w:p w:rsidR="00540D64" w:rsidRDefault="00540D64" w:rsidP="008C17C4">
      <w:pPr>
        <w:pStyle w:val="Interpretation"/>
      </w:pPr>
      <w:r w:rsidRPr="00BC0D31">
        <w:rPr>
          <w:i/>
        </w:rPr>
        <w:t>U</w:t>
      </w:r>
      <w:r w:rsidRPr="00BC0D31">
        <w:t>(</w:t>
      </w:r>
      <w:r w:rsidRPr="00BC0D31">
        <w:rPr>
          <w:i/>
        </w:rPr>
        <w:t>B</w:t>
      </w:r>
      <w:r w:rsidR="007A5A34">
        <w:rPr>
          <w:vertAlign w:val="subscript"/>
        </w:rPr>
        <w:t>1</w:t>
      </w:r>
      <w:r w:rsidRPr="00BC0D31">
        <w:t>)</w:t>
      </w:r>
      <w:r>
        <w:t>: ‚alle vie</w:t>
      </w:r>
      <w:r w:rsidR="00453328">
        <w:t>r Seitenflächen einer Anrichte‘,</w:t>
      </w:r>
      <w:r>
        <w:t xml:space="preserve"> </w:t>
      </w:r>
      <w:r w:rsidRPr="00BC0D31">
        <w:rPr>
          <w:i/>
        </w:rPr>
        <w:t>V</w:t>
      </w:r>
      <w:r w:rsidRPr="00BC0D31">
        <w:t>(</w:t>
      </w:r>
      <w:r w:rsidRPr="00BC0D31">
        <w:rPr>
          <w:i/>
        </w:rPr>
        <w:t>B</w:t>
      </w:r>
      <w:r w:rsidR="007A5A34">
        <w:rPr>
          <w:vertAlign w:val="subscript"/>
        </w:rPr>
        <w:t>1</w:t>
      </w:r>
      <w:r w:rsidRPr="00BC0D31">
        <w:t>)</w:t>
      </w:r>
      <w:r w:rsidR="0027459F">
        <w:t xml:space="preserve">: ‚aufwendige Schnitzereien; furniert; </w:t>
      </w:r>
      <w:r>
        <w:t>mit Schellack überzogen‘</w:t>
      </w:r>
    </w:p>
    <w:p w:rsidR="00540D64" w:rsidRDefault="00540D64" w:rsidP="008C17C4">
      <w:pPr>
        <w:pStyle w:val="Interpretation"/>
      </w:pPr>
      <w:r>
        <w:rPr>
          <w:i/>
        </w:rPr>
        <w:lastRenderedPageBreak/>
        <w:t>H</w:t>
      </w:r>
      <w:r>
        <w:rPr>
          <w:vertAlign w:val="subscript"/>
        </w:rPr>
        <w:t>1</w:t>
      </w:r>
      <w:r>
        <w:t xml:space="preserve">: ‚Einige Arten von Möbeln können in der Mitte eines Raums </w:t>
      </w:r>
      <w:r w:rsidR="0027459F">
        <w:t xml:space="preserve">oder </w:t>
      </w:r>
      <w:r>
        <w:t>an einer Wand stehen‘</w:t>
      </w:r>
    </w:p>
    <w:p w:rsidR="00540D64" w:rsidRDefault="00540D64" w:rsidP="008C17C4">
      <w:pPr>
        <w:pStyle w:val="Interpretation"/>
      </w:pPr>
      <w:r>
        <w:rPr>
          <w:i/>
        </w:rPr>
        <w:t>H</w:t>
      </w:r>
      <w:r>
        <w:rPr>
          <w:vertAlign w:val="subscript"/>
        </w:rPr>
        <w:t>2</w:t>
      </w:r>
      <w:r w:rsidR="00C03D1C">
        <w:t xml:space="preserve"> [zum Schema]:</w:t>
      </w:r>
      <w:r>
        <w:t xml:space="preserve"> ‚Eine Anrichte hat die Funktionen, (1) Geschirr und Tisc</w:t>
      </w:r>
      <w:r>
        <w:t>h</w:t>
      </w:r>
      <w:r>
        <w:t>decken aufzubewahren, (2) Speisen anzurichten. In der Funktion (1) entspricht sie einem Sideboard oder Schrank, in der Funktion (2) einem Tisch‘</w:t>
      </w:r>
    </w:p>
    <w:p w:rsidR="00540D64" w:rsidRDefault="00540D64" w:rsidP="008C17C4">
      <w:pPr>
        <w:pStyle w:val="Interpretation"/>
      </w:pPr>
      <w:r>
        <w:rPr>
          <w:i/>
        </w:rPr>
        <w:t>H</w:t>
      </w:r>
      <w:r>
        <w:rPr>
          <w:vertAlign w:val="subscript"/>
        </w:rPr>
        <w:t>3</w:t>
      </w:r>
      <w:r>
        <w:t>: ‚Wenn eine Seite eines Möbelstücks dazu gedacht ist, an die Wand gestellt zu werden, ist diese Seite weniger aufwendig gestaltet als die anderen, auf Schmuck oder Oberflächenbehandlung wird verzichtet‘</w:t>
      </w:r>
    </w:p>
    <w:p w:rsidR="007A5A34" w:rsidRPr="004457F2" w:rsidRDefault="00B12E8E" w:rsidP="008C17C4">
      <w:pPr>
        <w:pStyle w:val="Formel"/>
      </w:pPr>
      <w:r>
        <w:rPr>
          <w:i/>
          <w:iCs/>
        </w:rPr>
        <w:t>B</w:t>
      </w:r>
      <w:r>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sidR="007A5A34">
        <w:rPr>
          <w:i/>
          <w:iCs/>
        </w:rPr>
        <w:t>H</w:t>
      </w:r>
      <w:r w:rsidR="007A5A34">
        <w:rPr>
          <w:iCs/>
          <w:vertAlign w:val="subscript"/>
        </w:rPr>
        <w:t>1</w:t>
      </w:r>
      <w:r w:rsidR="007A5A34">
        <w:rPr>
          <w:color w:val="000000" w:themeColor="text1"/>
        </w:rPr>
        <w:t xml:space="preserve"> </w:t>
      </w:r>
      <w:r w:rsidR="007A5A34" w:rsidRPr="00D41E3E">
        <w:rPr>
          <w:rFonts w:ascii="Cambria Math" w:hAnsi="Cambria Math" w:cs="Cambria Math"/>
        </w:rPr>
        <w:t>∧</w:t>
      </w:r>
      <w:r w:rsidR="007A5A34" w:rsidRPr="00D41E3E">
        <w:rPr>
          <w:rFonts w:cs="Times New Roman"/>
        </w:rPr>
        <w:t xml:space="preserve"> </w:t>
      </w:r>
      <w:r w:rsidR="007A5A34">
        <w:rPr>
          <w:i/>
          <w:iCs/>
        </w:rPr>
        <w:t>H</w:t>
      </w:r>
      <w:r w:rsidR="007A5A34">
        <w:rPr>
          <w:iCs/>
          <w:vertAlign w:val="subscript"/>
        </w:rPr>
        <w:t>2</w:t>
      </w:r>
      <w:r w:rsidR="007A5A34">
        <w:rPr>
          <w:color w:val="000000" w:themeColor="text1"/>
        </w:rPr>
        <w:t xml:space="preserve"> </w:t>
      </w:r>
      <w:r w:rsidR="007A5A34" w:rsidRPr="00D41E3E">
        <w:rPr>
          <w:rFonts w:ascii="Cambria Math" w:hAnsi="Cambria Math" w:cs="Cambria Math"/>
        </w:rPr>
        <w:t>∧</w:t>
      </w:r>
      <w:r w:rsidR="007A5A34">
        <w:rPr>
          <w:rFonts w:cs="Times New Roman"/>
        </w:rPr>
        <w:t xml:space="preserve"> </w:t>
      </w:r>
      <w:r w:rsidR="007A5A34">
        <w:rPr>
          <w:i/>
          <w:iCs/>
        </w:rPr>
        <w:t>H</w:t>
      </w:r>
      <w:r w:rsidR="007A5A34">
        <w:rPr>
          <w:iCs/>
          <w:vertAlign w:val="subscript"/>
        </w:rPr>
        <w:t>3</w:t>
      </w:r>
      <w:r w:rsidR="007A5A34">
        <w:t xml:space="preserve"> </w:t>
      </w:r>
      <w:r w:rsidR="002434D2">
        <w:rPr>
          <w:rFonts w:ascii="Cambria Math" w:eastAsia="Arial Unicode MS" w:hAnsi="Cambria Math" w:cs="Cambria Math"/>
          <w:color w:val="000000" w:themeColor="text1"/>
        </w:rPr>
        <w:t>⤳</w:t>
      </w:r>
      <w:r w:rsidR="00036B7A">
        <w:rPr>
          <w:vertAlign w:val="subscript"/>
        </w:rPr>
        <w:t>Ded</w:t>
      </w:r>
      <w:r w:rsidR="007A5A34">
        <w:t xml:space="preserve"> </w:t>
      </w:r>
      <w:r w:rsidR="00036B7A">
        <w:t xml:space="preserve"> </w:t>
      </w:r>
      <w:r w:rsidR="007A5A34">
        <w:rPr>
          <w:i/>
          <w:iCs/>
        </w:rPr>
        <w:t>Er</w:t>
      </w:r>
      <w:r w:rsidR="007A5A34">
        <w:rPr>
          <w:vertAlign w:val="subscript"/>
        </w:rPr>
        <w:t>1</w:t>
      </w:r>
    </w:p>
    <w:p w:rsidR="007A5A34" w:rsidRDefault="00B12E8E" w:rsidP="008C17C4">
      <w:pPr>
        <w:pStyle w:val="InterpretationletzteZeile"/>
      </w:pPr>
      <w:r>
        <w:rPr>
          <w:i/>
        </w:rPr>
        <w:t>Er</w:t>
      </w:r>
      <w:r>
        <w:rPr>
          <w:vertAlign w:val="subscript"/>
        </w:rPr>
        <w:t>1</w:t>
      </w:r>
      <w:r>
        <w:t>: ‚Diese Anrichte ist für die Aufstellung freistehend im Raum gedacht‘</w:t>
      </w:r>
    </w:p>
    <w:p w:rsidR="00B12E8E" w:rsidRDefault="00B12E8E" w:rsidP="008C17C4">
      <w:pPr>
        <w:pStyle w:val="Text"/>
        <w:ind w:firstLine="0"/>
      </w:pPr>
      <w:r>
        <w:t>Wenn wir Zwischenergebnisse zulassen, können wir den Prozess genauer erfa</w:t>
      </w:r>
      <w:r>
        <w:t>s</w:t>
      </w:r>
      <w:r>
        <w:t>sen:</w:t>
      </w:r>
      <w:r>
        <w:rPr>
          <w:rStyle w:val="Funotenzeichen"/>
        </w:rPr>
        <w:footnoteReference w:id="433"/>
      </w:r>
    </w:p>
    <w:p w:rsidR="00540D64" w:rsidRPr="004457F2" w:rsidRDefault="00540D64" w:rsidP="008C17C4">
      <w:pPr>
        <w:pStyle w:val="Formel"/>
      </w:pPr>
      <w:r>
        <w:rPr>
          <w:i/>
          <w:iCs/>
        </w:rPr>
        <w:t>H</w:t>
      </w:r>
      <w:r w:rsidRPr="00F86D8E">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sidRPr="00D41E3E">
        <w:rPr>
          <w:i/>
          <w:iCs/>
        </w:rPr>
        <w:t>H</w:t>
      </w:r>
      <w:r>
        <w:rPr>
          <w:iCs/>
          <w:vertAlign w:val="subscript"/>
        </w:rPr>
        <w:t>2</w:t>
      </w:r>
      <w:r>
        <w:t xml:space="preserve"> </w:t>
      </w:r>
      <w:r w:rsidR="002434D2">
        <w:rPr>
          <w:rFonts w:ascii="Cambria Math" w:eastAsia="Arial Unicode MS" w:hAnsi="Cambria Math" w:cs="Cambria Math"/>
          <w:color w:val="000000" w:themeColor="text1"/>
        </w:rPr>
        <w:t>⤳</w:t>
      </w:r>
      <w:r w:rsidR="00036B7A">
        <w:rPr>
          <w:vertAlign w:val="subscript"/>
        </w:rPr>
        <w:t>Ded</w:t>
      </w:r>
      <w:r>
        <w:t xml:space="preserve"> </w:t>
      </w:r>
      <w:r w:rsidR="00036B7A">
        <w:t xml:space="preserve"> </w:t>
      </w:r>
      <w:r>
        <w:rPr>
          <w:i/>
          <w:iCs/>
        </w:rPr>
        <w:t>Zw</w:t>
      </w:r>
      <w:r w:rsidRPr="0062421C">
        <w:rPr>
          <w:vertAlign w:val="subscript"/>
        </w:rPr>
        <w:t>1</w:t>
      </w:r>
    </w:p>
    <w:p w:rsidR="00540D64" w:rsidRDefault="00540D64" w:rsidP="008C17C4">
      <w:pPr>
        <w:pStyle w:val="Interpretation"/>
      </w:pPr>
      <w:r>
        <w:rPr>
          <w:i/>
        </w:rPr>
        <w:t>Zw</w:t>
      </w:r>
      <w:r w:rsidRPr="00F86D8E">
        <w:rPr>
          <w:vertAlign w:val="subscript"/>
        </w:rPr>
        <w:t>1</w:t>
      </w:r>
      <w:r>
        <w:t>: ‚Eine Anrichte gehört aufgrund ihrer Funktion</w:t>
      </w:r>
      <w:r w:rsidR="00D97646">
        <w:t>en</w:t>
      </w:r>
      <w:r>
        <w:t xml:space="preserve"> zu den Möbeln, die fre</w:t>
      </w:r>
      <w:r>
        <w:t>i</w:t>
      </w:r>
      <w:r>
        <w:t xml:space="preserve">stehend im Raum </w:t>
      </w:r>
      <w:r w:rsidR="00D97646">
        <w:t xml:space="preserve">oder an einer Wand </w:t>
      </w:r>
      <w:r>
        <w:t>aufgestellt werden können‘</w:t>
      </w:r>
    </w:p>
    <w:p w:rsidR="00540D64" w:rsidRPr="004457F2" w:rsidRDefault="00540D64" w:rsidP="008C17C4">
      <w:pPr>
        <w:pStyle w:val="Formel"/>
      </w:pPr>
      <w:r>
        <w:rPr>
          <w:i/>
          <w:iCs/>
        </w:rPr>
        <w:t>Zw</w:t>
      </w:r>
      <w:r w:rsidRPr="00F86D8E">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sidRPr="00D41E3E">
        <w:rPr>
          <w:i/>
          <w:iCs/>
        </w:rPr>
        <w:t>H</w:t>
      </w:r>
      <w:r>
        <w:rPr>
          <w:iCs/>
          <w:vertAlign w:val="subscript"/>
        </w:rPr>
        <w:t>3</w:t>
      </w:r>
      <w:r>
        <w:t xml:space="preserve"> </w:t>
      </w:r>
      <w:r w:rsidR="002434D2">
        <w:rPr>
          <w:rFonts w:ascii="Cambria Math" w:eastAsia="Arial Unicode MS" w:hAnsi="Cambria Math" w:cs="Cambria Math"/>
          <w:color w:val="000000" w:themeColor="text1"/>
        </w:rPr>
        <w:t>⤳</w:t>
      </w:r>
      <w:r w:rsidR="00036B7A">
        <w:rPr>
          <w:vertAlign w:val="subscript"/>
        </w:rPr>
        <w:t>Ded</w:t>
      </w:r>
      <w:r>
        <w:t xml:space="preserve"> </w:t>
      </w:r>
      <w:r w:rsidR="00036B7A">
        <w:t xml:space="preserve"> </w:t>
      </w:r>
      <w:r>
        <w:rPr>
          <w:i/>
          <w:iCs/>
        </w:rPr>
        <w:t>Zw</w:t>
      </w:r>
      <w:r>
        <w:rPr>
          <w:vertAlign w:val="subscript"/>
        </w:rPr>
        <w:t>2</w:t>
      </w:r>
    </w:p>
    <w:p w:rsidR="00540D64" w:rsidRDefault="00540D64" w:rsidP="008C17C4">
      <w:pPr>
        <w:pStyle w:val="Interpretation"/>
      </w:pPr>
      <w:r>
        <w:rPr>
          <w:i/>
        </w:rPr>
        <w:t>Zw</w:t>
      </w:r>
      <w:r>
        <w:rPr>
          <w:vertAlign w:val="subscript"/>
        </w:rPr>
        <w:t>2</w:t>
      </w:r>
      <w:r>
        <w:t>: ‚Wenn eine Anrichte für die Aufstellung an der Wand gedacht ist, ist eine Seite weniger aufwendig gestaltet‘</w:t>
      </w:r>
    </w:p>
    <w:p w:rsidR="00540D64" w:rsidRPr="004457F2" w:rsidRDefault="00540D64" w:rsidP="008C17C4">
      <w:pPr>
        <w:pStyle w:val="Formel"/>
      </w:pPr>
      <w:r w:rsidRPr="00BC0D31">
        <w:rPr>
          <w:i/>
          <w:iCs/>
        </w:rPr>
        <w:t>B</w:t>
      </w:r>
      <w:r w:rsidR="00C51B87" w:rsidRPr="00F86D8E">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Zw</w:t>
      </w:r>
      <w:r>
        <w:rPr>
          <w:iCs/>
          <w:vertAlign w:val="subscript"/>
        </w:rPr>
        <w:t>2</w:t>
      </w:r>
      <w:r>
        <w:t xml:space="preserve"> </w:t>
      </w:r>
      <w:r w:rsidR="002434D2">
        <w:rPr>
          <w:rFonts w:ascii="Cambria Math" w:eastAsia="Arial Unicode MS" w:hAnsi="Cambria Math" w:cs="Cambria Math"/>
          <w:color w:val="000000" w:themeColor="text1"/>
        </w:rPr>
        <w:t>⤳</w:t>
      </w:r>
      <w:r w:rsidR="00036B7A">
        <w:rPr>
          <w:vertAlign w:val="subscript"/>
        </w:rPr>
        <w:t>Ded</w:t>
      </w:r>
      <w:r>
        <w:t xml:space="preserve"> </w:t>
      </w:r>
      <w:r w:rsidR="00036B7A">
        <w:t xml:space="preserve"> </w:t>
      </w:r>
      <w:r w:rsidR="00681304">
        <w:rPr>
          <w:i/>
          <w:iCs/>
        </w:rPr>
        <w:t>Er</w:t>
      </w:r>
      <w:r w:rsidR="00681304">
        <w:rPr>
          <w:vertAlign w:val="subscript"/>
        </w:rPr>
        <w:t>1</w:t>
      </w:r>
    </w:p>
    <w:p w:rsidR="00540D64" w:rsidRDefault="00681304" w:rsidP="008C17C4">
      <w:pPr>
        <w:pStyle w:val="Interpretation"/>
      </w:pPr>
      <w:r>
        <w:rPr>
          <w:i/>
        </w:rPr>
        <w:t>Er</w:t>
      </w:r>
      <w:r>
        <w:rPr>
          <w:vertAlign w:val="subscript"/>
        </w:rPr>
        <w:t>1</w:t>
      </w:r>
      <w:r w:rsidR="00540D64">
        <w:t>: ‚Diese Anrichte ist nicht für die Aufstellung an der Wand gedacht‘</w:t>
      </w:r>
    </w:p>
    <w:p w:rsidR="00540D64" w:rsidRPr="004457F2" w:rsidRDefault="00681304" w:rsidP="008C17C4">
      <w:pPr>
        <w:pStyle w:val="Formel"/>
      </w:pPr>
      <w:r>
        <w:rPr>
          <w:i/>
          <w:iCs/>
        </w:rPr>
        <w:t>Er</w:t>
      </w:r>
      <w:r w:rsidR="00540D64">
        <w:rPr>
          <w:iCs/>
          <w:vertAlign w:val="subscript"/>
        </w:rPr>
        <w:t>1</w:t>
      </w:r>
      <w:r w:rsidR="00540D64">
        <w:rPr>
          <w:color w:val="000000" w:themeColor="text1"/>
        </w:rPr>
        <w:t xml:space="preserve"> </w:t>
      </w:r>
      <w:r w:rsidR="00540D64" w:rsidRPr="00D41E3E">
        <w:rPr>
          <w:rFonts w:ascii="Cambria Math" w:hAnsi="Cambria Math" w:cs="Cambria Math"/>
        </w:rPr>
        <w:t>∧</w:t>
      </w:r>
      <w:r w:rsidR="00540D64" w:rsidRPr="00D41E3E">
        <w:rPr>
          <w:rFonts w:cs="Times New Roman"/>
        </w:rPr>
        <w:t xml:space="preserve"> </w:t>
      </w:r>
      <w:r w:rsidR="00036B7A">
        <w:rPr>
          <w:i/>
          <w:iCs/>
        </w:rPr>
        <w:t>Zw</w:t>
      </w:r>
      <w:r>
        <w:rPr>
          <w:iCs/>
          <w:vertAlign w:val="subscript"/>
        </w:rPr>
        <w:t>1</w:t>
      </w:r>
      <w:r w:rsidR="00540D64">
        <w:t xml:space="preserve"> </w:t>
      </w:r>
      <w:r w:rsidR="002434D2">
        <w:rPr>
          <w:rFonts w:ascii="Cambria Math" w:eastAsia="Arial Unicode MS" w:hAnsi="Cambria Math" w:cs="Cambria Math"/>
          <w:color w:val="000000" w:themeColor="text1"/>
        </w:rPr>
        <w:t>⤳</w:t>
      </w:r>
      <w:r w:rsidR="00036B7A">
        <w:rPr>
          <w:vertAlign w:val="subscript"/>
        </w:rPr>
        <w:t>Ded</w:t>
      </w:r>
      <w:r w:rsidR="00540D64">
        <w:t xml:space="preserve"> </w:t>
      </w:r>
      <w:r w:rsidR="00036B7A">
        <w:t xml:space="preserve"> </w:t>
      </w:r>
      <w:r w:rsidR="00540D64">
        <w:rPr>
          <w:i/>
          <w:iCs/>
        </w:rPr>
        <w:t>Er</w:t>
      </w:r>
      <w:r>
        <w:rPr>
          <w:vertAlign w:val="subscript"/>
        </w:rPr>
        <w:t>2</w:t>
      </w:r>
    </w:p>
    <w:p w:rsidR="00540D64" w:rsidRDefault="00540D64" w:rsidP="008C17C4">
      <w:pPr>
        <w:pStyle w:val="InterpretationletzteZeile"/>
      </w:pPr>
      <w:r>
        <w:rPr>
          <w:i/>
        </w:rPr>
        <w:t>Er</w:t>
      </w:r>
      <w:r w:rsidR="00681304">
        <w:rPr>
          <w:vertAlign w:val="subscript"/>
        </w:rPr>
        <w:t>2</w:t>
      </w:r>
      <w:r>
        <w:t>: ‚Diese Anrichte ist für die Aufstellung freistehend im Raum gedacht‘</w:t>
      </w:r>
    </w:p>
    <w:p w:rsidR="00345EC6" w:rsidRDefault="00345EC6" w:rsidP="008C17C4">
      <w:pPr>
        <w:pStyle w:val="Interpretation1Zeile"/>
      </w:pPr>
      <w:r>
        <w:t>3.</w:t>
      </w:r>
      <w:r>
        <w:tab/>
        <w:t xml:space="preserve">Textschema </w:t>
      </w:r>
      <w:r w:rsidRPr="00F8759D">
        <w:t>‚</w:t>
      </w:r>
      <w:r>
        <w:t>Liebesbrief‘</w:t>
      </w:r>
    </w:p>
    <w:p w:rsidR="00345EC6" w:rsidRDefault="00345EC6" w:rsidP="008C17C4">
      <w:pPr>
        <w:pStyle w:val="Interpretation"/>
      </w:pPr>
      <w:r w:rsidRPr="00F8759D">
        <w:rPr>
          <w:i/>
        </w:rPr>
        <w:t>U</w:t>
      </w:r>
      <w:r w:rsidRPr="00F8759D">
        <w:t>(</w:t>
      </w:r>
      <w:r w:rsidRPr="00F8759D">
        <w:rPr>
          <w:i/>
        </w:rPr>
        <w:t>B</w:t>
      </w:r>
      <w:r w:rsidR="00036B7A" w:rsidRPr="004C0141">
        <w:rPr>
          <w:vertAlign w:val="subscript"/>
        </w:rPr>
        <w:t>1</w:t>
      </w:r>
      <w:r w:rsidRPr="00F8759D">
        <w:t>)</w:t>
      </w:r>
      <w:r>
        <w:t xml:space="preserve">: ‚Formulierung‘, </w:t>
      </w:r>
      <w:r>
        <w:rPr>
          <w:i/>
        </w:rPr>
        <w:t>V</w:t>
      </w:r>
      <w:r w:rsidRPr="00F8759D">
        <w:t>(</w:t>
      </w:r>
      <w:r w:rsidRPr="00F8759D">
        <w:rPr>
          <w:i/>
        </w:rPr>
        <w:t>B</w:t>
      </w:r>
      <w:r w:rsidR="00036B7A" w:rsidRPr="004C0141">
        <w:rPr>
          <w:vertAlign w:val="subscript"/>
        </w:rPr>
        <w:t>1</w:t>
      </w:r>
      <w:r w:rsidRPr="00F8759D">
        <w:t>)</w:t>
      </w:r>
      <w:r>
        <w:t>: ‚umständlich</w:t>
      </w:r>
      <w:r w:rsidR="0041767A">
        <w:t xml:space="preserve">; </w:t>
      </w:r>
      <w:r>
        <w:t>altmodisch</w:t>
      </w:r>
      <w:r w:rsidR="0041767A">
        <w:t xml:space="preserve">; </w:t>
      </w:r>
      <w:r>
        <w:t>häufige Verwendung von Phrasen‘</w:t>
      </w:r>
    </w:p>
    <w:p w:rsidR="00345EC6" w:rsidRDefault="00345EC6" w:rsidP="008C17C4">
      <w:pPr>
        <w:pStyle w:val="Interpretation"/>
      </w:pPr>
      <w:r>
        <w:rPr>
          <w:i/>
        </w:rPr>
        <w:lastRenderedPageBreak/>
        <w:t>H</w:t>
      </w:r>
      <w:r w:rsidRPr="004C0141">
        <w:rPr>
          <w:vertAlign w:val="subscript"/>
        </w:rPr>
        <w:t>1</w:t>
      </w:r>
      <w:r>
        <w:t>: ‚Mangelnde Entschlussfähigkeit verursacht Umständlichkeit; Angst vor dem Neuen verursacht Altmodischkeit; mangelnder Zugriff auf die eigenen Gefühle und Angst davor, selbst zu denken, verursacht Rückg</w:t>
      </w:r>
      <w:r w:rsidR="00E80C32">
        <w:t>riff auf fertige Formuli</w:t>
      </w:r>
      <w:r w:rsidR="00E80C32">
        <w:t>e</w:t>
      </w:r>
      <w:r w:rsidR="00E80C32">
        <w:t>rungen</w:t>
      </w:r>
      <w:r>
        <w:t>‘</w:t>
      </w:r>
    </w:p>
    <w:p w:rsidR="00546170" w:rsidRPr="004457F2" w:rsidRDefault="00546170" w:rsidP="008C17C4">
      <w:pPr>
        <w:pStyle w:val="Formel"/>
      </w:pPr>
      <w:r>
        <w:rPr>
          <w:i/>
          <w:iCs/>
        </w:rPr>
        <w:t>B</w:t>
      </w:r>
      <w:r>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p>
    <w:p w:rsidR="00345EC6" w:rsidRDefault="00345EC6" w:rsidP="008C17C4">
      <w:pPr>
        <w:pStyle w:val="InterpretationletzteZeile"/>
      </w:pPr>
      <w:r>
        <w:rPr>
          <w:i/>
        </w:rPr>
        <w:t>Er</w:t>
      </w:r>
      <w:r w:rsidRPr="00280AF6">
        <w:rPr>
          <w:vertAlign w:val="subscript"/>
        </w:rPr>
        <w:t>1</w:t>
      </w:r>
      <w:r>
        <w:t>: ‚Persönlichkeit des SP: wenig entschlussfähig; hat Angst vor dem Neuen; hat kein</w:t>
      </w:r>
      <w:r w:rsidR="0041767A">
        <w:t>en Zugriff auf seine Gefühle;</w:t>
      </w:r>
      <w:r>
        <w:t xml:space="preserve"> h</w:t>
      </w:r>
      <w:r w:rsidR="00E80C32">
        <w:t>at Angst davor selber zu denken</w:t>
      </w:r>
      <w:r>
        <w:t>‘</w:t>
      </w:r>
    </w:p>
    <w:p w:rsidR="00345EC6" w:rsidRDefault="00345EC6" w:rsidP="008C17C4">
      <w:pPr>
        <w:pStyle w:val="Text"/>
        <w:ind w:firstLine="0"/>
      </w:pPr>
      <w:r>
        <w:t>Die Erzeugung des entsprechenden Interpretationsergebnisses hängt entsche</w:t>
      </w:r>
      <w:r>
        <w:t>i</w:t>
      </w:r>
      <w:r>
        <w:t xml:space="preserve">dend davon ab, dass gerade das Element </w:t>
      </w:r>
      <w:r>
        <w:rPr>
          <w:i/>
          <w:iCs/>
        </w:rPr>
        <w:t>H</w:t>
      </w:r>
      <w:r w:rsidRPr="004C0141">
        <w:rPr>
          <w:iCs/>
          <w:vertAlign w:val="subscript"/>
        </w:rPr>
        <w:t>1</w:t>
      </w:r>
      <w:r>
        <w:t xml:space="preserve"> hinzugezogen wurde. Würde an se</w:t>
      </w:r>
      <w:r>
        <w:t>i</w:t>
      </w:r>
      <w:r>
        <w:t xml:space="preserve">ner Stelle ein anderes Element von </w:t>
      </w:r>
      <w:r>
        <w:rPr>
          <w:i/>
          <w:iCs/>
        </w:rPr>
        <w:t>H</w:t>
      </w:r>
      <w:r>
        <w:t xml:space="preserve"> hinzugezogen werden, könnte ein </w:t>
      </w:r>
      <w:r w:rsidR="0041767A">
        <w:t xml:space="preserve">anderes </w:t>
      </w:r>
      <w:r>
        <w:t>Ergebnis erzeugt werden:</w:t>
      </w:r>
    </w:p>
    <w:p w:rsidR="00345EC6" w:rsidRDefault="00345EC6" w:rsidP="008C17C4">
      <w:pPr>
        <w:pStyle w:val="Interpretation1Zeile"/>
      </w:pPr>
      <w:r>
        <w:rPr>
          <w:i/>
        </w:rPr>
        <w:t>H</w:t>
      </w:r>
      <w:r>
        <w:rPr>
          <w:vertAlign w:val="subscript"/>
        </w:rPr>
        <w:t>2</w:t>
      </w:r>
      <w:r>
        <w:t>: ‚Menschen übernehmen häufig die sprachlichen Gewohnheiten ihres sozi</w:t>
      </w:r>
      <w:r>
        <w:t>a</w:t>
      </w:r>
      <w:r>
        <w:t>len Umfelds. Besonders stark ist</w:t>
      </w:r>
      <w:r w:rsidR="00E80C32">
        <w:t xml:space="preserve"> dieser Effekt in der Jugend</w:t>
      </w:r>
      <w:r>
        <w:t>‘</w:t>
      </w:r>
    </w:p>
    <w:p w:rsidR="00546170" w:rsidRPr="004457F2" w:rsidRDefault="00546170" w:rsidP="008C17C4">
      <w:pPr>
        <w:pStyle w:val="Formel"/>
      </w:pPr>
      <w:r>
        <w:rPr>
          <w:i/>
          <w:iCs/>
        </w:rPr>
        <w:t>B</w:t>
      </w:r>
      <w:r>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2</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2</w:t>
      </w:r>
    </w:p>
    <w:p w:rsidR="00345EC6" w:rsidRDefault="00345EC6" w:rsidP="008C17C4">
      <w:pPr>
        <w:pStyle w:val="InterpretationletzteZeile"/>
      </w:pPr>
      <w:r>
        <w:rPr>
          <w:i/>
        </w:rPr>
        <w:t>Er</w:t>
      </w:r>
      <w:r>
        <w:rPr>
          <w:vertAlign w:val="subscript"/>
        </w:rPr>
        <w:t>2</w:t>
      </w:r>
      <w:r>
        <w:t>: ‚</w:t>
      </w:r>
      <w:r w:rsidR="0085753F">
        <w:t xml:space="preserve">SN </w:t>
      </w:r>
      <w:r>
        <w:t>hat längere Zeit in einem Umfeld gelebt, in dem man sich umständlich und altmodisch ausdrückt und häufig Phrasen verwendet werden. Vermutlich ist er/sie in ei</w:t>
      </w:r>
      <w:r w:rsidR="008F5A8B">
        <w:t>nem solchen Umfeld aufgewachsen</w:t>
      </w:r>
      <w:r>
        <w:t>‘</w:t>
      </w:r>
    </w:p>
    <w:p w:rsidR="00A47DF3" w:rsidRDefault="007F0F5A" w:rsidP="008C17C4">
      <w:pPr>
        <w:pStyle w:val="Text"/>
        <w:ind w:firstLine="0"/>
      </w:pPr>
      <w:r>
        <w:rPr>
          <w:i/>
          <w:iCs/>
        </w:rPr>
        <w:t>Er</w:t>
      </w:r>
      <w:r w:rsidRPr="00280AF6">
        <w:rPr>
          <w:iCs/>
          <w:vertAlign w:val="subscript"/>
        </w:rPr>
        <w:t>1</w:t>
      </w:r>
      <w:r>
        <w:t xml:space="preserve"> und </w:t>
      </w:r>
      <w:r w:rsidR="00345EC6">
        <w:rPr>
          <w:i/>
          <w:iCs/>
        </w:rPr>
        <w:t>Er</w:t>
      </w:r>
      <w:r w:rsidR="00345EC6">
        <w:rPr>
          <w:iCs/>
          <w:vertAlign w:val="subscript"/>
        </w:rPr>
        <w:t>2</w:t>
      </w:r>
      <w:r w:rsidR="00345EC6">
        <w:t xml:space="preserve"> </w:t>
      </w:r>
      <w:r>
        <w:t xml:space="preserve">sind </w:t>
      </w:r>
      <w:r w:rsidR="00345EC6">
        <w:t>alternative Erklärungsmöglichkeit</w:t>
      </w:r>
      <w:r>
        <w:t>en</w:t>
      </w:r>
      <w:r w:rsidR="00345EC6">
        <w:t xml:space="preserve">, die </w:t>
      </w:r>
      <w:r>
        <w:t xml:space="preserve">die Persönlichkeit </w:t>
      </w:r>
      <w:r w:rsidR="00C01627">
        <w:t xml:space="preserve">bzw. </w:t>
      </w:r>
      <w:r>
        <w:t xml:space="preserve">das soziale Umfeld </w:t>
      </w:r>
      <w:r w:rsidR="00C01627">
        <w:t xml:space="preserve">als Ursachen der festgestellten </w:t>
      </w:r>
      <w:r w:rsidR="0012368D">
        <w:t xml:space="preserve">Merkmalsregeln </w:t>
      </w:r>
      <w:r w:rsidR="00C01627">
        <w:t>post</w:t>
      </w:r>
      <w:r w:rsidR="00C01627">
        <w:t>u</w:t>
      </w:r>
      <w:r w:rsidR="00C01627">
        <w:t>lieren</w:t>
      </w:r>
      <w:r w:rsidR="00345EC6">
        <w:t xml:space="preserve">. </w:t>
      </w:r>
      <w:r w:rsidR="00C01627">
        <w:t>Sind beide Ergebnisse erzeugt worden, kann eines davon unter Hinzuzi</w:t>
      </w:r>
      <w:r w:rsidR="00C01627">
        <w:t>e</w:t>
      </w:r>
      <w:r w:rsidR="00C01627">
        <w:t>hung weiterer Merkmalsregeln, Ergebnisse oder Elemente des Hintergrundwi</w:t>
      </w:r>
      <w:r w:rsidR="00C01627">
        <w:t>s</w:t>
      </w:r>
      <w:r w:rsidR="00C01627">
        <w:t>sens als wahrscheinlicher eingeschätzt werden; im Extremfall wird eine Möglic</w:t>
      </w:r>
      <w:r w:rsidR="00C01627">
        <w:t>h</w:t>
      </w:r>
      <w:r w:rsidR="00C01627">
        <w:t>keit ganz verworfen.</w:t>
      </w:r>
      <w:r w:rsidR="00246E37">
        <w:rPr>
          <w:rStyle w:val="Funotenzeichen"/>
        </w:rPr>
        <w:footnoteReference w:id="434"/>
      </w:r>
      <w:r w:rsidR="00381309">
        <w:t xml:space="preserve"> Unter Hinzuziehung weiterer Elemente von </w:t>
      </w:r>
      <w:r w:rsidR="00381309" w:rsidRPr="00381309">
        <w:rPr>
          <w:i/>
        </w:rPr>
        <w:t>H</w:t>
      </w:r>
      <w:r w:rsidR="00381309">
        <w:t xml:space="preserve"> könnte geschlossen werden, dass beides gemeinsam gilt: Das soziale Umfeld prägt meist die Persönlichkeit der in ihm Aufgewachsenen.</w:t>
      </w:r>
    </w:p>
    <w:p w:rsidR="00E87396" w:rsidRDefault="00345EC6" w:rsidP="00381309">
      <w:pPr>
        <w:pStyle w:val="Text"/>
      </w:pPr>
      <w:r>
        <w:t>Häufig wird eine Stilinterpretation sich jedoch damit zufriedengeben, einen Grund gefunden zu haben, und danach die Such</w:t>
      </w:r>
      <w:r w:rsidR="00364B3F">
        <w:t>e nach Gründen beenden. We</w:t>
      </w:r>
      <w:r w:rsidR="00364B3F">
        <w:t>l</w:t>
      </w:r>
      <w:r w:rsidR="00364B3F">
        <w:t xml:space="preserve">ches </w:t>
      </w:r>
      <w:r w:rsidR="00381309">
        <w:t>Element</w:t>
      </w:r>
      <w:r>
        <w:t xml:space="preserve"> von </w:t>
      </w:r>
      <w:r w:rsidRPr="00AD68A8">
        <w:rPr>
          <w:i/>
        </w:rPr>
        <w:t>H</w:t>
      </w:r>
      <w:r>
        <w:t xml:space="preserve"> zuerst </w:t>
      </w:r>
      <w:r w:rsidR="004A6CF3">
        <w:t>gefunden</w:t>
      </w:r>
      <w:r>
        <w:t xml:space="preserve"> </w:t>
      </w:r>
      <w:r w:rsidR="00381309">
        <w:t>wird</w:t>
      </w:r>
      <w:r w:rsidR="00364B3F">
        <w:t>,</w:t>
      </w:r>
      <w:r w:rsidR="00A47DF3">
        <w:t xml:space="preserve"> </w:t>
      </w:r>
      <w:r w:rsidR="004A6CF3">
        <w:t xml:space="preserve">hängt davon ab, </w:t>
      </w:r>
      <w:r w:rsidR="00381309">
        <w:t>welche Wissensb</w:t>
      </w:r>
      <w:r w:rsidR="00381309">
        <w:t>e</w:t>
      </w:r>
      <w:r w:rsidR="00381309">
        <w:t>reiche ein S</w:t>
      </w:r>
      <w:r w:rsidR="00DD45B2">
        <w:t>W</w:t>
      </w:r>
      <w:r w:rsidR="00381309">
        <w:t xml:space="preserve"> zuerst hinzuzieht: </w:t>
      </w:r>
      <w:r w:rsidR="001A43A9">
        <w:t xml:space="preserve">Oft </w:t>
      </w:r>
      <w:r w:rsidR="00381309">
        <w:t xml:space="preserve">wird sich sowohl im Wissensbereich </w:t>
      </w:r>
      <w:r w:rsidR="00311D6C">
        <w:t>„</w:t>
      </w:r>
      <w:r w:rsidR="00381309">
        <w:t>Ps</w:t>
      </w:r>
      <w:r w:rsidR="00381309">
        <w:t>y</w:t>
      </w:r>
      <w:r w:rsidR="00381309">
        <w:t>chologie</w:t>
      </w:r>
      <w:r w:rsidR="005D7996">
        <w:fldChar w:fldCharType="begin"/>
      </w:r>
      <w:r w:rsidR="00923CFC">
        <w:instrText xml:space="preserve"> XE "</w:instrText>
      </w:r>
      <w:r w:rsidR="00923CFC" w:rsidRPr="00DF6CA9">
        <w:rPr>
          <w:szCs w:val="17"/>
        </w:rPr>
        <w:instrText>Psychologie</w:instrText>
      </w:r>
      <w:r w:rsidR="00923CFC">
        <w:instrText xml:space="preserve">" </w:instrText>
      </w:r>
      <w:r w:rsidR="005D7996">
        <w:fldChar w:fldCharType="end"/>
      </w:r>
      <w:r w:rsidR="00311D6C">
        <w:t>“</w:t>
      </w:r>
      <w:r w:rsidR="00381309">
        <w:t xml:space="preserve"> als auch im Wissensbereich </w:t>
      </w:r>
      <w:r w:rsidR="00311D6C">
        <w:t>„Gesellschaft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rsidR="00311D6C">
        <w:t>“ eine Erklärung</w:t>
      </w:r>
      <w:r w:rsidR="001A43A9">
        <w:t xml:space="preserve"> </w:t>
      </w:r>
      <w:r w:rsidR="003B20B8">
        <w:t xml:space="preserve">für </w:t>
      </w:r>
      <w:r w:rsidR="0012368D">
        <w:t>Mer</w:t>
      </w:r>
      <w:r w:rsidR="0012368D">
        <w:t>k</w:t>
      </w:r>
      <w:r w:rsidR="0012368D">
        <w:t>malsregeln</w:t>
      </w:r>
      <w:r w:rsidR="003B20B8">
        <w:t xml:space="preserve"> </w:t>
      </w:r>
      <w:r w:rsidR="004A6CF3">
        <w:t>finden.</w:t>
      </w:r>
      <w:r w:rsidR="00311D6C">
        <w:t xml:space="preserve"> Präferenzen bei der Suche nach Hintergrundwissen wirken sich daher entscheidend auf die Ergebnisse der Interpretation aus.</w:t>
      </w:r>
    </w:p>
    <w:p w:rsidR="00E46B4B" w:rsidRDefault="000B7FE4" w:rsidP="000B7FE4">
      <w:pPr>
        <w:pStyle w:val="Titel3"/>
      </w:pPr>
      <w:bookmarkStart w:id="336" w:name="_Ref257116162"/>
      <w:bookmarkStart w:id="337" w:name="_Toc325456780"/>
      <w:bookmarkStart w:id="338" w:name="Induktion"/>
      <w:bookmarkEnd w:id="335"/>
      <w:r>
        <w:lastRenderedPageBreak/>
        <w:t>Induktion</w:t>
      </w:r>
      <w:bookmarkEnd w:id="336"/>
      <w:bookmarkEnd w:id="337"/>
    </w:p>
    <w:p w:rsidR="000A3114" w:rsidRDefault="005D7996" w:rsidP="008C17C4">
      <w:pPr>
        <w:pStyle w:val="Text"/>
        <w:ind w:firstLine="0"/>
      </w:pPr>
      <w:r>
        <w:fldChar w:fldCharType="begin"/>
      </w:r>
      <w:r w:rsidR="00960051">
        <w:instrText xml:space="preserve"> XE "Induktion" \r "Induktion" </w:instrText>
      </w:r>
      <w:r>
        <w:fldChar w:fldCharType="end"/>
      </w:r>
      <w:r>
        <w:fldChar w:fldCharType="begin"/>
      </w:r>
      <w:r w:rsidR="00960051">
        <w:instrText xml:space="preserve"> XE "Induktion" \t "</w:instrText>
      </w:r>
      <w:r w:rsidR="00960051" w:rsidRPr="007247A5">
        <w:rPr>
          <w:i/>
        </w:rPr>
        <w:instrText>et passim</w:instrText>
      </w:r>
      <w:r w:rsidR="00960051">
        <w:instrText xml:space="preserve">" </w:instrText>
      </w:r>
      <w:r>
        <w:fldChar w:fldCharType="end"/>
      </w:r>
      <w:r w:rsidR="00BC4C29">
        <w:t>Induktion ist der Schluss von eine</w:t>
      </w:r>
      <w:r w:rsidR="00805671">
        <w:t>r</w:t>
      </w:r>
      <w:r w:rsidR="00BC4C29">
        <w:t xml:space="preserve"> bestimmten </w:t>
      </w:r>
      <w:r w:rsidR="00805671">
        <w:t xml:space="preserve">Einzeltatsache </w:t>
      </w:r>
      <w:r w:rsidR="00BC4C29">
        <w:t>(beispielsweise einem empirisch beobachteten Phänomen)</w:t>
      </w:r>
      <w:r w:rsidR="00671E3A">
        <w:t xml:space="preserve">, </w:t>
      </w:r>
      <w:r w:rsidR="0077757B">
        <w:t xml:space="preserve">die </w:t>
      </w:r>
      <w:r w:rsidR="00671E3A">
        <w:t xml:space="preserve">bereits </w:t>
      </w:r>
      <w:r w:rsidR="00881E2C">
        <w:t>in einer verall</w:t>
      </w:r>
      <w:r w:rsidR="009728A2">
        <w:softHyphen/>
      </w:r>
      <w:r w:rsidR="00881E2C">
        <w:t>gemeiner</w:t>
      </w:r>
      <w:r w:rsidR="009728A2">
        <w:softHyphen/>
      </w:r>
      <w:r w:rsidR="00881E2C">
        <w:t>baren Form (</w:t>
      </w:r>
      <w:r w:rsidR="00DC38CA">
        <w:t xml:space="preserve">also </w:t>
      </w:r>
      <w:r w:rsidR="00881E2C">
        <w:t xml:space="preserve">als Fall einer möglichen Regel) vorliegt, auf diese Regel. </w:t>
      </w:r>
      <w:r w:rsidR="00BC4C29">
        <w:t>Wä</w:t>
      </w:r>
      <w:r w:rsidR="00BC4C29">
        <w:t>h</w:t>
      </w:r>
      <w:r w:rsidR="00BC4C29">
        <w:t>rend die Induktion in der Logik</w:t>
      </w:r>
      <w:r>
        <w:fldChar w:fldCharType="begin"/>
      </w:r>
      <w:r w:rsidR="002117F9">
        <w:instrText xml:space="preserve"> XE "</w:instrText>
      </w:r>
      <w:r w:rsidR="002117F9" w:rsidRPr="003243E4">
        <w:instrText>Logik</w:instrText>
      </w:r>
      <w:r w:rsidR="002117F9">
        <w:instrText xml:space="preserve">" </w:instrText>
      </w:r>
      <w:r>
        <w:fldChar w:fldCharType="end"/>
      </w:r>
      <w:r w:rsidR="00BC4C29">
        <w:t xml:space="preserve"> und insbesondere der Wissenschaftstheorie u</w:t>
      </w:r>
      <w:r w:rsidR="00BC4C29">
        <w:t>m</w:t>
      </w:r>
      <w:r w:rsidR="00BC4C29">
        <w:t xml:space="preserve">stritten ist – sie wurde </w:t>
      </w:r>
      <w:r w:rsidR="001F4E77">
        <w:t xml:space="preserve">unter anderem </w:t>
      </w:r>
      <w:r w:rsidR="00BC4C29">
        <w:t>von David Hume</w:t>
      </w:r>
      <w:r>
        <w:fldChar w:fldCharType="begin"/>
      </w:r>
      <w:r w:rsidR="00252DD7">
        <w:instrText xml:space="preserve"> XE "</w:instrText>
      </w:r>
      <w:r w:rsidR="00252DD7" w:rsidRPr="00332D6B">
        <w:instrText>Hume, David</w:instrText>
      </w:r>
      <w:r w:rsidR="00252DD7">
        <w:instrText xml:space="preserve">" </w:instrText>
      </w:r>
      <w:r>
        <w:fldChar w:fldCharType="end"/>
      </w:r>
      <w:r w:rsidR="00BC4C29">
        <w:t xml:space="preserve"> und Karl Popper</w:t>
      </w:r>
      <w:r>
        <w:fldChar w:fldCharType="begin"/>
      </w:r>
      <w:r w:rsidR="00252DD7">
        <w:instrText xml:space="preserve"> XE "</w:instrText>
      </w:r>
      <w:r w:rsidR="00252DD7" w:rsidRPr="00522961">
        <w:instrText>Popper, Karl</w:instrText>
      </w:r>
      <w:r w:rsidR="00252DD7">
        <w:instrText xml:space="preserve">" </w:instrText>
      </w:r>
      <w:r>
        <w:fldChar w:fldCharType="end"/>
      </w:r>
      <w:r w:rsidR="000A3114">
        <w:t xml:space="preserve"> en</w:t>
      </w:r>
      <w:r w:rsidR="000A3114">
        <w:t>t</w:t>
      </w:r>
      <w:r w:rsidR="000A3114">
        <w:t>schieden</w:t>
      </w:r>
      <w:r w:rsidR="00BC4C29">
        <w:t xml:space="preserve"> kritisiert –</w:t>
      </w:r>
      <w:r w:rsidR="000A3114">
        <w:t>, ist ihre grundlegende Funktion im menschlichen Denken aner</w:t>
      </w:r>
      <w:r w:rsidR="00D726F7">
        <w:t xml:space="preserve">kannt: Von Einzelfällen wird häufig auf Regeln geschlossen. Diese werden aber meist nicht als ausnahmslos gültige Naturgesetze, um die es Hume und Popper ging, sondern als im Allgemeinen gültige </w:t>
      </w:r>
      <w:r w:rsidR="00FF1B23">
        <w:t xml:space="preserve">Regeln </w:t>
      </w:r>
      <w:r w:rsidR="00D726F7">
        <w:t>aufgefasst</w:t>
      </w:r>
      <w:r w:rsidR="00FF1B23">
        <w:t>, von denen Ausnahmen möglich sind</w:t>
      </w:r>
      <w:r w:rsidR="00D726F7">
        <w:t>. In diesem Sinne akzeptierte auch Kant</w:t>
      </w:r>
      <w:r>
        <w:fldChar w:fldCharType="begin"/>
      </w:r>
      <w:r w:rsidR="00252DD7">
        <w:instrText xml:space="preserve"> XE "</w:instrText>
      </w:r>
      <w:r w:rsidR="00252DD7" w:rsidRPr="0026521D">
        <w:instrText>Kant, Immanuel</w:instrText>
      </w:r>
      <w:r w:rsidR="00252DD7">
        <w:instrText xml:space="preserve">" </w:instrText>
      </w:r>
      <w:r>
        <w:fldChar w:fldCharType="end"/>
      </w:r>
      <w:r w:rsidR="00D726F7">
        <w:t xml:space="preserve"> die Indukt</w:t>
      </w:r>
      <w:r w:rsidR="00D726F7">
        <w:t>i</w:t>
      </w:r>
      <w:r w:rsidR="00D726F7">
        <w:t>on.</w:t>
      </w:r>
      <w:r w:rsidR="00D726F7">
        <w:rPr>
          <w:rStyle w:val="Funotenzeichen"/>
        </w:rPr>
        <w:footnoteReference w:id="435"/>
      </w:r>
    </w:p>
    <w:p w:rsidR="00DD1D0B" w:rsidRDefault="00DD1D0B" w:rsidP="008C17C4">
      <w:pPr>
        <w:pStyle w:val="Interpretation1Zeile"/>
      </w:pPr>
      <w:r>
        <w:t>1</w:t>
      </w:r>
      <w:r w:rsidR="008C17C4">
        <w:t>.</w:t>
      </w:r>
      <w:r w:rsidR="008C17C4">
        <w:tab/>
      </w:r>
      <w:r w:rsidR="006A28FC">
        <w:t>Verhaltensschema ‚Einkaufen‘</w:t>
      </w:r>
    </w:p>
    <w:p w:rsidR="00DD1D0B" w:rsidRDefault="00DD1D0B" w:rsidP="008C17C4">
      <w:pPr>
        <w:pStyle w:val="Interpretation"/>
      </w:pPr>
      <w:r w:rsidRPr="00F8759D">
        <w:rPr>
          <w:i/>
        </w:rPr>
        <w:t>U</w:t>
      </w:r>
      <w:r w:rsidRPr="00F8759D">
        <w:t>(</w:t>
      </w:r>
      <w:r w:rsidRPr="00F8759D">
        <w:rPr>
          <w:i/>
        </w:rPr>
        <w:t>B</w:t>
      </w:r>
      <w:r w:rsidR="00B67A1A" w:rsidRPr="00B67A1A">
        <w:rPr>
          <w:vertAlign w:val="subscript"/>
        </w:rPr>
        <w:t>1</w:t>
      </w:r>
      <w:r w:rsidRPr="00F8759D">
        <w:t>): ‚</w:t>
      </w:r>
      <w:r>
        <w:t>Bedarf an Milch</w:t>
      </w:r>
      <w:r w:rsidRPr="00F8759D">
        <w:t xml:space="preserve">‘, </w:t>
      </w:r>
      <w:r w:rsidRPr="00F8759D">
        <w:rPr>
          <w:i/>
        </w:rPr>
        <w:t>V</w:t>
      </w:r>
      <w:r w:rsidRPr="00F8759D">
        <w:t>(</w:t>
      </w:r>
      <w:r w:rsidRPr="00F8759D">
        <w:rPr>
          <w:i/>
        </w:rPr>
        <w:t>B</w:t>
      </w:r>
      <w:r w:rsidR="00B67A1A" w:rsidRPr="00B67A1A">
        <w:rPr>
          <w:vertAlign w:val="subscript"/>
        </w:rPr>
        <w:t>1</w:t>
      </w:r>
      <w:r w:rsidRPr="00F8759D">
        <w:t>): ‚</w:t>
      </w:r>
      <w:r>
        <w:t>Einkauf für mehrere Tage‘</w:t>
      </w:r>
    </w:p>
    <w:p w:rsidR="00DD1D0B" w:rsidRDefault="00DD1D0B" w:rsidP="008C17C4">
      <w:pPr>
        <w:pStyle w:val="Interpretation"/>
      </w:pPr>
      <w:r w:rsidRPr="00F8759D">
        <w:rPr>
          <w:i/>
        </w:rPr>
        <w:t>U</w:t>
      </w:r>
      <w:r w:rsidRPr="00F8759D">
        <w:t>(</w:t>
      </w:r>
      <w:r w:rsidRPr="00F8759D">
        <w:rPr>
          <w:i/>
        </w:rPr>
        <w:t>B</w:t>
      </w:r>
      <w:r w:rsidR="00B67A1A">
        <w:rPr>
          <w:vertAlign w:val="subscript"/>
        </w:rPr>
        <w:t>2</w:t>
      </w:r>
      <w:r w:rsidRPr="00F8759D">
        <w:t>): ‚</w:t>
      </w:r>
      <w:r>
        <w:t>Bedarf an Brot</w:t>
      </w:r>
      <w:r w:rsidRPr="00F8759D">
        <w:t xml:space="preserve">‘, </w:t>
      </w:r>
      <w:r w:rsidRPr="00F8759D">
        <w:rPr>
          <w:i/>
        </w:rPr>
        <w:t>V</w:t>
      </w:r>
      <w:r w:rsidRPr="00F8759D">
        <w:t>(</w:t>
      </w:r>
      <w:r w:rsidRPr="00F8759D">
        <w:rPr>
          <w:i/>
        </w:rPr>
        <w:t>B</w:t>
      </w:r>
      <w:r w:rsidR="00B67A1A">
        <w:rPr>
          <w:vertAlign w:val="subscript"/>
        </w:rPr>
        <w:t>2</w:t>
      </w:r>
      <w:r w:rsidRPr="00F8759D">
        <w:t>): ‚</w:t>
      </w:r>
      <w:r>
        <w:t>Einkauf für mehrere Tage‘</w:t>
      </w:r>
    </w:p>
    <w:p w:rsidR="00DD1D0B" w:rsidRDefault="00DD1D0B" w:rsidP="008C17C4">
      <w:pPr>
        <w:pStyle w:val="Interpretation"/>
      </w:pPr>
      <w:r w:rsidRPr="00F8759D">
        <w:rPr>
          <w:i/>
        </w:rPr>
        <w:t>U</w:t>
      </w:r>
      <w:r w:rsidRPr="00F8759D">
        <w:t>(</w:t>
      </w:r>
      <w:r w:rsidRPr="00F8759D">
        <w:rPr>
          <w:i/>
        </w:rPr>
        <w:t>B</w:t>
      </w:r>
      <w:r w:rsidR="00B67A1A">
        <w:rPr>
          <w:vertAlign w:val="subscript"/>
        </w:rPr>
        <w:t>3</w:t>
      </w:r>
      <w:r w:rsidRPr="00F8759D">
        <w:t>): ‚</w:t>
      </w:r>
      <w:r>
        <w:t>Bedarf an Joghurt</w:t>
      </w:r>
      <w:r w:rsidRPr="00F8759D">
        <w:t xml:space="preserve">‘, </w:t>
      </w:r>
      <w:r w:rsidRPr="00F8759D">
        <w:rPr>
          <w:i/>
        </w:rPr>
        <w:t>V</w:t>
      </w:r>
      <w:r w:rsidRPr="00F8759D">
        <w:t>(</w:t>
      </w:r>
      <w:r w:rsidRPr="00F8759D">
        <w:rPr>
          <w:i/>
        </w:rPr>
        <w:t>B</w:t>
      </w:r>
      <w:r w:rsidR="00B67A1A">
        <w:rPr>
          <w:vertAlign w:val="subscript"/>
        </w:rPr>
        <w:t>3</w:t>
      </w:r>
      <w:r w:rsidRPr="00F8759D">
        <w:t>): ‚</w:t>
      </w:r>
      <w:r>
        <w:t>Einkauf für mehrere Tage‘</w:t>
      </w:r>
    </w:p>
    <w:p w:rsidR="008B2931" w:rsidRPr="004457F2" w:rsidRDefault="008B2931" w:rsidP="005B4DC0">
      <w:pPr>
        <w:pStyle w:val="Formel"/>
      </w:pPr>
      <w:r>
        <w:rPr>
          <w:i/>
          <w:iCs/>
        </w:rPr>
        <w:t>B</w:t>
      </w:r>
      <w:r>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B</w:t>
      </w:r>
      <w:r>
        <w:rPr>
          <w:iCs/>
          <w:vertAlign w:val="subscript"/>
        </w:rPr>
        <w:t>3</w:t>
      </w:r>
      <w:r>
        <w:rPr>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Pr="0062421C">
        <w:rPr>
          <w:vertAlign w:val="subscript"/>
        </w:rPr>
        <w:t>1</w:t>
      </w:r>
    </w:p>
    <w:p w:rsidR="00DD1D0B" w:rsidRDefault="00DD1D0B" w:rsidP="008C17C4">
      <w:pPr>
        <w:pStyle w:val="InterpretationletzteZeile"/>
      </w:pPr>
      <w:r>
        <w:rPr>
          <w:i/>
        </w:rPr>
        <w:t>Er</w:t>
      </w:r>
      <w:r>
        <w:rPr>
          <w:vertAlign w:val="subscript"/>
        </w:rPr>
        <w:t>1</w:t>
      </w:r>
      <w:r w:rsidRPr="00F8759D">
        <w:t>:</w:t>
      </w:r>
      <w:r>
        <w:t xml:space="preserve"> ‚</w:t>
      </w:r>
      <w:r w:rsidR="0085753F">
        <w:t xml:space="preserve">SN </w:t>
      </w:r>
      <w:r>
        <w:t xml:space="preserve">kauft </w:t>
      </w:r>
      <w:r w:rsidR="00183B2F">
        <w:t>generell für mehrere Tage ein</w:t>
      </w:r>
      <w:r>
        <w:t>‘</w:t>
      </w:r>
    </w:p>
    <w:p w:rsidR="00DD1D0B" w:rsidRDefault="008C17C4" w:rsidP="008C17C4">
      <w:pPr>
        <w:pStyle w:val="Interpretation1Zeile"/>
      </w:pPr>
      <w:r>
        <w:t>2.</w:t>
      </w:r>
      <w:r>
        <w:tab/>
      </w:r>
      <w:r w:rsidR="006A28FC">
        <w:t>Artefaktschema ‚Einfamilienhaus‘</w:t>
      </w:r>
    </w:p>
    <w:p w:rsidR="00DD1D0B" w:rsidRDefault="00DD1D0B" w:rsidP="008C17C4">
      <w:pPr>
        <w:pStyle w:val="Interpretation"/>
      </w:pPr>
      <w:r w:rsidRPr="00F8759D">
        <w:rPr>
          <w:i/>
        </w:rPr>
        <w:t>U</w:t>
      </w:r>
      <w:r w:rsidRPr="00F8759D">
        <w:t>(</w:t>
      </w:r>
      <w:r w:rsidRPr="00F8759D">
        <w:rPr>
          <w:i/>
        </w:rPr>
        <w:t>B</w:t>
      </w:r>
      <w:r w:rsidR="00B67A1A" w:rsidRPr="00B67A1A">
        <w:rPr>
          <w:vertAlign w:val="subscript"/>
        </w:rPr>
        <w:t>1</w:t>
      </w:r>
      <w:r w:rsidRPr="00F8759D">
        <w:t>): ‚</w:t>
      </w:r>
      <w:r>
        <w:t>Grundriss</w:t>
      </w:r>
      <w:r w:rsidRPr="00F8759D">
        <w:t xml:space="preserve">‘, </w:t>
      </w:r>
      <w:r w:rsidRPr="00F8759D">
        <w:rPr>
          <w:i/>
        </w:rPr>
        <w:t>V</w:t>
      </w:r>
      <w:r w:rsidRPr="00F8759D">
        <w:t>(</w:t>
      </w:r>
      <w:r w:rsidRPr="00F8759D">
        <w:rPr>
          <w:i/>
        </w:rPr>
        <w:t>B</w:t>
      </w:r>
      <w:r w:rsidR="00B67A1A" w:rsidRPr="00B67A1A">
        <w:rPr>
          <w:vertAlign w:val="subscript"/>
        </w:rPr>
        <w:t>1</w:t>
      </w:r>
      <w:r w:rsidRPr="00F8759D">
        <w:t>): ‚</w:t>
      </w:r>
      <w:r>
        <w:t>an den Notwendigkeiten des Raumprogramms or</w:t>
      </w:r>
      <w:r>
        <w:t>i</w:t>
      </w:r>
      <w:r>
        <w:t>entiert‘</w:t>
      </w:r>
    </w:p>
    <w:p w:rsidR="00DD1D0B" w:rsidRDefault="00DD1D0B" w:rsidP="008C17C4">
      <w:pPr>
        <w:pStyle w:val="Interpretation"/>
      </w:pPr>
      <w:r w:rsidRPr="00F8759D">
        <w:rPr>
          <w:i/>
        </w:rPr>
        <w:t>U</w:t>
      </w:r>
      <w:r w:rsidRPr="00F8759D">
        <w:t>(</w:t>
      </w:r>
      <w:r w:rsidRPr="00F8759D">
        <w:rPr>
          <w:i/>
        </w:rPr>
        <w:t>B</w:t>
      </w:r>
      <w:r w:rsidR="00B67A1A">
        <w:rPr>
          <w:vertAlign w:val="subscript"/>
        </w:rPr>
        <w:t>2</w:t>
      </w:r>
      <w:r w:rsidRPr="00F8759D">
        <w:t>): ‚</w:t>
      </w:r>
      <w:r>
        <w:t>Anordnung der Fenster in den Fassaden</w:t>
      </w:r>
      <w:r w:rsidRPr="00F8759D">
        <w:t xml:space="preserve">‘, </w:t>
      </w:r>
      <w:r w:rsidRPr="00F8759D">
        <w:rPr>
          <w:i/>
        </w:rPr>
        <w:t>V</w:t>
      </w:r>
      <w:r w:rsidRPr="00F8759D">
        <w:t>(</w:t>
      </w:r>
      <w:r w:rsidRPr="00F8759D">
        <w:rPr>
          <w:i/>
        </w:rPr>
        <w:t>B</w:t>
      </w:r>
      <w:r w:rsidR="00B67A1A">
        <w:rPr>
          <w:vertAlign w:val="subscript"/>
        </w:rPr>
        <w:t>2</w:t>
      </w:r>
      <w:r w:rsidRPr="00F8759D">
        <w:t>): ‚</w:t>
      </w:r>
      <w:r>
        <w:t>am Bedarf der Räume orientiert‘</w:t>
      </w:r>
    </w:p>
    <w:p w:rsidR="00DD1D0B" w:rsidRDefault="00DD1D0B" w:rsidP="008C17C4">
      <w:pPr>
        <w:pStyle w:val="Interpretation"/>
      </w:pPr>
      <w:r w:rsidRPr="00F8759D">
        <w:rPr>
          <w:i/>
        </w:rPr>
        <w:t>U</w:t>
      </w:r>
      <w:r w:rsidRPr="00F8759D">
        <w:t>(</w:t>
      </w:r>
      <w:r w:rsidRPr="00F8759D">
        <w:rPr>
          <w:i/>
        </w:rPr>
        <w:t>B</w:t>
      </w:r>
      <w:r w:rsidR="00B67A1A">
        <w:rPr>
          <w:vertAlign w:val="subscript"/>
        </w:rPr>
        <w:t>3</w:t>
      </w:r>
      <w:r w:rsidRPr="00F8759D">
        <w:t>): ‚</w:t>
      </w:r>
      <w:r>
        <w:t>Auswahl der Materialien</w:t>
      </w:r>
      <w:r w:rsidRPr="00F8759D">
        <w:t xml:space="preserve">‘, </w:t>
      </w:r>
      <w:r w:rsidRPr="00F8759D">
        <w:rPr>
          <w:i/>
        </w:rPr>
        <w:t>V</w:t>
      </w:r>
      <w:r w:rsidRPr="00F8759D">
        <w:t>(</w:t>
      </w:r>
      <w:r w:rsidRPr="00F8759D">
        <w:rPr>
          <w:i/>
        </w:rPr>
        <w:t>B</w:t>
      </w:r>
      <w:r w:rsidR="00B67A1A">
        <w:rPr>
          <w:vertAlign w:val="subscript"/>
        </w:rPr>
        <w:t>3</w:t>
      </w:r>
      <w:r w:rsidRPr="00F8759D">
        <w:t>): ‚</w:t>
      </w:r>
      <w:r>
        <w:t>auf den jeweiligen Verwendungszweck zugeschnitten‘</w:t>
      </w:r>
    </w:p>
    <w:p w:rsidR="008B2931" w:rsidRPr="004457F2" w:rsidRDefault="008B2931" w:rsidP="005B4DC0">
      <w:pPr>
        <w:pStyle w:val="Formel"/>
      </w:pPr>
      <w:r>
        <w:rPr>
          <w:i/>
          <w:iCs/>
        </w:rPr>
        <w:t>B</w:t>
      </w:r>
      <w:r w:rsidRPr="00B67A1A">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Pr>
          <w:color w:val="000000" w:themeColor="text1"/>
        </w:rPr>
        <w:t xml:space="preserve"> </w:t>
      </w:r>
      <w:r w:rsidRPr="00D41E3E">
        <w:rPr>
          <w:rFonts w:ascii="Cambria Math" w:hAnsi="Cambria Math" w:cs="Cambria Math"/>
        </w:rPr>
        <w:t>∧</w:t>
      </w:r>
      <w:r>
        <w:rPr>
          <w:rFonts w:ascii="Cambria Math" w:hAnsi="Cambria Math" w:cs="Cambria Math"/>
        </w:rPr>
        <w:t xml:space="preserve"> </w:t>
      </w:r>
      <w:r>
        <w:rPr>
          <w:i/>
          <w:iCs/>
        </w:rPr>
        <w:t>B</w:t>
      </w:r>
      <w:r>
        <w:rPr>
          <w:iCs/>
          <w:vertAlign w:val="subscript"/>
        </w:rPr>
        <w:t>3</w:t>
      </w:r>
      <w:r>
        <w:rPr>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Pr="0062421C">
        <w:rPr>
          <w:vertAlign w:val="subscript"/>
        </w:rPr>
        <w:t>1</w:t>
      </w:r>
    </w:p>
    <w:p w:rsidR="00183B2F" w:rsidRDefault="00183B2F" w:rsidP="008C17C4">
      <w:pPr>
        <w:pStyle w:val="InterpretationletzteZeile"/>
      </w:pPr>
      <w:r>
        <w:rPr>
          <w:i/>
        </w:rPr>
        <w:t>Er</w:t>
      </w:r>
      <w:r>
        <w:rPr>
          <w:vertAlign w:val="subscript"/>
        </w:rPr>
        <w:t>1</w:t>
      </w:r>
      <w:r w:rsidRPr="00F8759D">
        <w:t>:</w:t>
      </w:r>
      <w:r>
        <w:t xml:space="preserve"> ‚Das Gestaltungsprinzip des Hauses ist die Optimierung aller Aspekte für die jeweilige Funktion‘</w:t>
      </w:r>
    </w:p>
    <w:p w:rsidR="00EB2B0F" w:rsidRDefault="008C17C4" w:rsidP="008C17C4">
      <w:pPr>
        <w:pStyle w:val="Interpretation1Zeile"/>
      </w:pPr>
      <w:r>
        <w:t>3.</w:t>
      </w:r>
      <w:r>
        <w:tab/>
      </w:r>
      <w:r w:rsidR="00EB2B0F">
        <w:t xml:space="preserve">Textschema </w:t>
      </w:r>
      <w:r w:rsidR="006A28FC">
        <w:t>‚persönlicher Brief‘</w:t>
      </w:r>
    </w:p>
    <w:p w:rsidR="00EB2B0F" w:rsidRDefault="00EB2B0F" w:rsidP="008C17C4">
      <w:pPr>
        <w:pStyle w:val="Interpretation"/>
      </w:pPr>
      <w:r w:rsidRPr="00F8759D">
        <w:rPr>
          <w:i/>
        </w:rPr>
        <w:t>U</w:t>
      </w:r>
      <w:r w:rsidRPr="00F8759D">
        <w:t>(</w:t>
      </w:r>
      <w:r w:rsidRPr="00F8759D">
        <w:rPr>
          <w:i/>
        </w:rPr>
        <w:t>B</w:t>
      </w:r>
      <w:r w:rsidR="00B67A1A" w:rsidRPr="00B67A1A">
        <w:rPr>
          <w:vertAlign w:val="subscript"/>
        </w:rPr>
        <w:t>1</w:t>
      </w:r>
      <w:r w:rsidRPr="00F8759D">
        <w:t>): ‚</w:t>
      </w:r>
      <w:r>
        <w:t>Darstellung von erzählten Geschehnissen</w:t>
      </w:r>
      <w:r w:rsidRPr="00F8759D">
        <w:t xml:space="preserve">‘, </w:t>
      </w:r>
      <w:r w:rsidRPr="00F8759D">
        <w:rPr>
          <w:i/>
        </w:rPr>
        <w:t>V</w:t>
      </w:r>
      <w:r w:rsidRPr="00F8759D">
        <w:t>(</w:t>
      </w:r>
      <w:r w:rsidRPr="00F8759D">
        <w:rPr>
          <w:i/>
        </w:rPr>
        <w:t>B</w:t>
      </w:r>
      <w:r w:rsidR="00B67A1A" w:rsidRPr="00B67A1A">
        <w:rPr>
          <w:vertAlign w:val="subscript"/>
        </w:rPr>
        <w:t>1</w:t>
      </w:r>
      <w:r w:rsidRPr="00F8759D">
        <w:t>): ‚</w:t>
      </w:r>
      <w:r w:rsidR="000C5055">
        <w:t xml:space="preserve">ausführlich; </w:t>
      </w:r>
      <w:r>
        <w:t>detai</w:t>
      </w:r>
      <w:r>
        <w:t>l</w:t>
      </w:r>
      <w:r>
        <w:t>liert‘</w:t>
      </w:r>
    </w:p>
    <w:p w:rsidR="00EB2B0F" w:rsidRDefault="00EB2B0F" w:rsidP="008C17C4">
      <w:pPr>
        <w:pStyle w:val="Interpretation"/>
      </w:pPr>
      <w:r w:rsidRPr="00F8759D">
        <w:rPr>
          <w:i/>
        </w:rPr>
        <w:t>U</w:t>
      </w:r>
      <w:r w:rsidRPr="00F8759D">
        <w:t>(</w:t>
      </w:r>
      <w:r w:rsidRPr="00F8759D">
        <w:rPr>
          <w:i/>
        </w:rPr>
        <w:t>B</w:t>
      </w:r>
      <w:r w:rsidR="00B67A1A">
        <w:rPr>
          <w:vertAlign w:val="subscript"/>
        </w:rPr>
        <w:t>2</w:t>
      </w:r>
      <w:r w:rsidRPr="00F8759D">
        <w:t>): ‚</w:t>
      </w:r>
      <w:r>
        <w:t>Formulierungen</w:t>
      </w:r>
      <w:r w:rsidRPr="00F8759D">
        <w:t xml:space="preserve">‘, </w:t>
      </w:r>
      <w:r w:rsidRPr="00F8759D">
        <w:rPr>
          <w:i/>
        </w:rPr>
        <w:t>V</w:t>
      </w:r>
      <w:r w:rsidRPr="00F8759D">
        <w:t>(</w:t>
      </w:r>
      <w:r w:rsidRPr="00F8759D">
        <w:rPr>
          <w:i/>
        </w:rPr>
        <w:t>B</w:t>
      </w:r>
      <w:r w:rsidR="00B67A1A">
        <w:rPr>
          <w:vertAlign w:val="subscript"/>
        </w:rPr>
        <w:t>2</w:t>
      </w:r>
      <w:r w:rsidRPr="00F8759D">
        <w:t>): ‚</w:t>
      </w:r>
      <w:r w:rsidR="000C5055">
        <w:t xml:space="preserve">genau; </w:t>
      </w:r>
      <w:r>
        <w:t>umständlich‘</w:t>
      </w:r>
    </w:p>
    <w:p w:rsidR="008B2931" w:rsidRDefault="008B2931" w:rsidP="005B4DC0">
      <w:pPr>
        <w:pStyle w:val="Formel"/>
      </w:pPr>
      <w:r>
        <w:rPr>
          <w:i/>
          <w:iCs/>
        </w:rPr>
        <w:lastRenderedPageBreak/>
        <w:t>B</w:t>
      </w:r>
      <w:r w:rsidRPr="00B67A1A">
        <w:rPr>
          <w:iCs/>
          <w:vertAlign w:val="subscript"/>
        </w:rPr>
        <w:t>1</w:t>
      </w:r>
      <w:r>
        <w:rPr>
          <w:color w:val="000000" w:themeColor="text1"/>
        </w:rP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Pr>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Pr="0062421C">
        <w:rPr>
          <w:vertAlign w:val="subscript"/>
        </w:rPr>
        <w:t>1</w:t>
      </w:r>
    </w:p>
    <w:p w:rsidR="00EB2B0F" w:rsidRDefault="00EB2B0F" w:rsidP="008C17C4">
      <w:pPr>
        <w:pStyle w:val="InterpretationletzteZeile"/>
      </w:pPr>
      <w:r>
        <w:rPr>
          <w:i/>
        </w:rPr>
        <w:t>Er</w:t>
      </w:r>
      <w:r>
        <w:rPr>
          <w:vertAlign w:val="subscript"/>
        </w:rPr>
        <w:t>1</w:t>
      </w:r>
      <w:r w:rsidRPr="00F8759D">
        <w:t>:</w:t>
      </w:r>
      <w:r>
        <w:t xml:space="preserve"> ‚Der </w:t>
      </w:r>
      <w:r w:rsidR="0085753F">
        <w:t xml:space="preserve">SN </w:t>
      </w:r>
      <w:r>
        <w:t>neigt zu Genauigkeit und Umständlichkeit‘</w:t>
      </w:r>
    </w:p>
    <w:p w:rsidR="00E46B4B" w:rsidRDefault="000B7FE4" w:rsidP="000B7FE4">
      <w:pPr>
        <w:pStyle w:val="Titel3"/>
      </w:pPr>
      <w:bookmarkStart w:id="339" w:name="_Ref254853315"/>
      <w:bookmarkStart w:id="340" w:name="_Toc325456781"/>
      <w:bookmarkStart w:id="341" w:name="Abduktion"/>
      <w:bookmarkEnd w:id="338"/>
      <w:r>
        <w:t>Abduktion</w:t>
      </w:r>
      <w:bookmarkEnd w:id="339"/>
      <w:bookmarkEnd w:id="340"/>
    </w:p>
    <w:p w:rsidR="00881E2C" w:rsidRDefault="005D7996" w:rsidP="005B4DC0">
      <w:pPr>
        <w:pStyle w:val="Text"/>
        <w:ind w:firstLine="0"/>
      </w:pPr>
      <w:r>
        <w:fldChar w:fldCharType="begin"/>
      </w:r>
      <w:r w:rsidR="00960051">
        <w:instrText xml:space="preserve"> XE "Abduktion" \r "Abduktion" </w:instrText>
      </w:r>
      <w:r>
        <w:fldChar w:fldCharType="end"/>
      </w:r>
      <w:r>
        <w:fldChar w:fldCharType="begin"/>
      </w:r>
      <w:r w:rsidR="00960051">
        <w:instrText xml:space="preserve"> XE "Abduktion" \t "</w:instrText>
      </w:r>
      <w:r w:rsidR="00960051" w:rsidRPr="007247A5">
        <w:rPr>
          <w:i/>
        </w:rPr>
        <w:instrText>et passim</w:instrText>
      </w:r>
      <w:r w:rsidR="00960051">
        <w:instrText xml:space="preserve">" </w:instrText>
      </w:r>
      <w:r>
        <w:fldChar w:fldCharType="end"/>
      </w:r>
      <w:r w:rsidR="00EC587A">
        <w:t>Die Abduktion</w:t>
      </w:r>
      <w:r w:rsidR="00B117D9">
        <w:t xml:space="preserve"> </w:t>
      </w:r>
      <w:r w:rsidR="00EC587A">
        <w:t>wurde von Charles S. Peirce</w:t>
      </w:r>
      <w:r>
        <w:fldChar w:fldCharType="begin"/>
      </w:r>
      <w:r w:rsidR="002117F9">
        <w:instrText xml:space="preserve"> XE "</w:instrText>
      </w:r>
      <w:r w:rsidR="002117F9" w:rsidRPr="00426FA1">
        <w:instrText>Peirce, Charles S.</w:instrText>
      </w:r>
      <w:r w:rsidR="002117F9">
        <w:instrText xml:space="preserve">" </w:instrText>
      </w:r>
      <w:r>
        <w:fldChar w:fldCharType="end"/>
      </w:r>
      <w:r w:rsidR="00B117D9">
        <w:t xml:space="preserve"> etabliert,</w:t>
      </w:r>
      <w:r w:rsidR="00B117D9" w:rsidRPr="00B117D9">
        <w:t xml:space="preserve"> </w:t>
      </w:r>
      <w:r w:rsidR="00B117D9">
        <w:t>der sie als das einzig kenntniserweiternde Schlussverfahren</w:t>
      </w:r>
      <w:r>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fldChar w:fldCharType="end"/>
      </w:r>
      <w:r w:rsidR="00B117D9">
        <w:t xml:space="preserve"> ansah</w:t>
      </w:r>
      <w:r w:rsidR="00D163F8">
        <w:t xml:space="preserve"> (</w:t>
      </w:r>
      <w:r w:rsidR="00B117D9">
        <w:t>es findet sich jedoch schon bei Aristoteles</w:t>
      </w:r>
      <w:r>
        <w:fldChar w:fldCharType="begin"/>
      </w:r>
      <w:r w:rsidR="002117F9">
        <w:instrText xml:space="preserve"> XE "</w:instrText>
      </w:r>
      <w:r w:rsidR="002117F9" w:rsidRPr="000D7B7D">
        <w:instrText>Aristoteles</w:instrText>
      </w:r>
      <w:r w:rsidR="002117F9">
        <w:instrText xml:space="preserve">" </w:instrText>
      </w:r>
      <w:r>
        <w:fldChar w:fldCharType="end"/>
      </w:r>
      <w:r w:rsidR="00B117D9">
        <w:t xml:space="preserve"> mit der Apagoge</w:t>
      </w:r>
      <w:r>
        <w:fldChar w:fldCharType="begin"/>
      </w:r>
      <w:r w:rsidR="002117F9">
        <w:instrText xml:space="preserve"> XE "</w:instrText>
      </w:r>
      <w:r w:rsidR="002117F9" w:rsidRPr="00A80E4F">
        <w:instrText>Apagoge</w:instrText>
      </w:r>
      <w:r w:rsidR="002117F9">
        <w:instrText xml:space="preserve">" </w:instrText>
      </w:r>
      <w:r>
        <w:fldChar w:fldCharType="end"/>
      </w:r>
      <w:r w:rsidR="00B117D9">
        <w:t xml:space="preserve"> ein verwandtes Schlussverfahren</w:t>
      </w:r>
      <w:r w:rsidR="00D163F8">
        <w:t>)</w:t>
      </w:r>
      <w:r w:rsidR="00B117D9">
        <w:t xml:space="preserve">. </w:t>
      </w:r>
      <w:r w:rsidR="00EC587A">
        <w:t xml:space="preserve">Bei der </w:t>
      </w:r>
      <w:r w:rsidR="00805671">
        <w:t>Abdukt</w:t>
      </w:r>
      <w:r w:rsidR="00805671">
        <w:t>i</w:t>
      </w:r>
      <w:r w:rsidR="00805671">
        <w:t xml:space="preserve">on </w:t>
      </w:r>
      <w:r w:rsidR="00EC587A">
        <w:t xml:space="preserve">wird von </w:t>
      </w:r>
      <w:r w:rsidR="00805671">
        <w:t>einer bestimmten Einzeltatsache (beispielsweise einem empirisch beobachteten Phänomen) auf eine Regel</w:t>
      </w:r>
      <w:r w:rsidR="00EC587A">
        <w:t xml:space="preserve"> geschlossen</w:t>
      </w:r>
      <w:r w:rsidR="00805671">
        <w:t>, zu der die Einzeltatsache einen Fall darstellt.</w:t>
      </w:r>
      <w:r w:rsidR="00805671">
        <w:rPr>
          <w:rStyle w:val="Funotenzeichen"/>
        </w:rPr>
        <w:footnoteReference w:id="436"/>
      </w:r>
      <w:r w:rsidR="00EC587A">
        <w:t xml:space="preserve"> Hier liegt die Einzeltatsache noch nicht in einer verallge</w:t>
      </w:r>
      <w:r w:rsidR="00522567">
        <w:softHyphen/>
      </w:r>
      <w:r w:rsidR="00EC587A">
        <w:t>meiner</w:t>
      </w:r>
      <w:r w:rsidR="00595F44">
        <w:softHyphen/>
      </w:r>
      <w:r w:rsidR="00EC587A">
        <w:t xml:space="preserve">baren Form, </w:t>
      </w:r>
      <w:r w:rsidR="00D33F6D">
        <w:t xml:space="preserve">also </w:t>
      </w:r>
      <w:r w:rsidR="00EC587A">
        <w:t xml:space="preserve">als Fall einer Regel, vor. Vielmehr muss erst eine Regel gesucht werden, </w:t>
      </w:r>
      <w:r w:rsidR="00D33F6D">
        <w:t xml:space="preserve">zu der die Einzeltatsache einen Fall darstellt. </w:t>
      </w:r>
      <w:r w:rsidR="00EC587A">
        <w:t>Dabei kann erhe</w:t>
      </w:r>
      <w:r w:rsidR="00EC587A">
        <w:t>b</w:t>
      </w:r>
      <w:r w:rsidR="00EC587A">
        <w:t>liche Kreativität</w:t>
      </w:r>
      <w:r>
        <w:fldChar w:fldCharType="begin"/>
      </w:r>
      <w:r w:rsidR="00134E70">
        <w:instrText xml:space="preserve"> XE "</w:instrText>
      </w:r>
      <w:r w:rsidR="00134E70" w:rsidRPr="00D34757">
        <w:instrText>Kreativität</w:instrText>
      </w:r>
      <w:r w:rsidR="00134E70">
        <w:instrText xml:space="preserve">" </w:instrText>
      </w:r>
      <w:r>
        <w:fldChar w:fldCharType="end"/>
      </w:r>
      <w:r w:rsidR="00EC587A">
        <w:t xml:space="preserve"> angewandt werden.</w:t>
      </w:r>
    </w:p>
    <w:p w:rsidR="00CA15E4" w:rsidRDefault="00D33F6D" w:rsidP="005B4DC0">
      <w:pPr>
        <w:pStyle w:val="Interpretation1Zeile"/>
      </w:pPr>
      <w:r>
        <w:t>1.</w:t>
      </w:r>
      <w:r w:rsidR="005B4DC0">
        <w:tab/>
      </w:r>
      <w:r w:rsidR="005B4DC0">
        <w:tab/>
      </w:r>
      <w:r>
        <w:t>Verhaltensschema ‚Lieben‘</w:t>
      </w:r>
    </w:p>
    <w:p w:rsidR="00CF368E" w:rsidRDefault="00CA15E4" w:rsidP="005B4DC0">
      <w:pPr>
        <w:pStyle w:val="Interpretation"/>
      </w:pPr>
      <w:r w:rsidRPr="00F8759D">
        <w:rPr>
          <w:i/>
        </w:rPr>
        <w:t>U</w:t>
      </w:r>
      <w:r w:rsidRPr="00F8759D">
        <w:t>(</w:t>
      </w:r>
      <w:r w:rsidRPr="00F8759D">
        <w:rPr>
          <w:i/>
        </w:rPr>
        <w:t>B</w:t>
      </w:r>
      <w:r w:rsidR="00B67A1A" w:rsidRPr="00B67A1A">
        <w:rPr>
          <w:vertAlign w:val="subscript"/>
        </w:rPr>
        <w:t>1</w:t>
      </w:r>
      <w:r w:rsidRPr="00F8759D">
        <w:t>): ‚</w:t>
      </w:r>
      <w:r w:rsidR="00115683">
        <w:t>Reaktion darauf, dass andere sich für das Liebesobjekt interessieren‘</w:t>
      </w:r>
      <w:r w:rsidRPr="00F8759D">
        <w:t xml:space="preserve">, </w:t>
      </w:r>
      <w:r w:rsidRPr="00F8759D">
        <w:rPr>
          <w:i/>
        </w:rPr>
        <w:t>V</w:t>
      </w:r>
      <w:r w:rsidRPr="00F8759D">
        <w:t>(</w:t>
      </w:r>
      <w:r w:rsidRPr="00F8759D">
        <w:rPr>
          <w:i/>
        </w:rPr>
        <w:t>B</w:t>
      </w:r>
      <w:r w:rsidR="00B67A1A" w:rsidRPr="00B67A1A">
        <w:rPr>
          <w:vertAlign w:val="subscript"/>
        </w:rPr>
        <w:t>1</w:t>
      </w:r>
      <w:r>
        <w:t>): ‚</w:t>
      </w:r>
      <w:r w:rsidR="00115683">
        <w:t>Eifersucht</w:t>
      </w:r>
      <w:r>
        <w:t>‘</w:t>
      </w:r>
    </w:p>
    <w:p w:rsidR="00D97FC9" w:rsidRPr="004457F2" w:rsidRDefault="00D97FC9" w:rsidP="005B4DC0">
      <w:pPr>
        <w:pStyle w:val="Formel"/>
      </w:pPr>
      <w:r>
        <w:rPr>
          <w:i/>
          <w:iCs/>
        </w:rPr>
        <w:t>B</w:t>
      </w:r>
      <w:r w:rsidRPr="00B67A1A">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115683" w:rsidRDefault="00115683" w:rsidP="005B4DC0">
      <w:pPr>
        <w:pStyle w:val="InterpretationletzteZeile"/>
      </w:pPr>
      <w:r>
        <w:rPr>
          <w:i/>
        </w:rPr>
        <w:t>Er</w:t>
      </w:r>
      <w:r>
        <w:rPr>
          <w:vertAlign w:val="subscript"/>
        </w:rPr>
        <w:t>1</w:t>
      </w:r>
      <w:r w:rsidRPr="00F8759D">
        <w:t>:</w:t>
      </w:r>
      <w:r>
        <w:t xml:space="preserve"> ‚Liebe will generell das Liebesobjekt für sich beanspruc</w:t>
      </w:r>
      <w:r w:rsidR="00A2665F">
        <w:t>hen und duldet keine Konkurrenz</w:t>
      </w:r>
      <w:r>
        <w:t>‘</w:t>
      </w:r>
    </w:p>
    <w:p w:rsidR="00CA15E4" w:rsidRDefault="00A01BBB" w:rsidP="005B4DC0">
      <w:pPr>
        <w:pStyle w:val="Text"/>
        <w:ind w:firstLine="0"/>
      </w:pPr>
      <w:r>
        <w:t xml:space="preserve">Wäre der Schluss richtig, würde es sich nicht um </w:t>
      </w:r>
      <w:r w:rsidR="0012368D">
        <w:t xml:space="preserve">eine </w:t>
      </w:r>
      <w:r>
        <w:t>Merkmal</w:t>
      </w:r>
      <w:r w:rsidR="0012368D">
        <w:t>sregel</w:t>
      </w:r>
      <w:r w:rsidR="00F316E6">
        <w:t xml:space="preserve"> handeln</w:t>
      </w:r>
      <w:r w:rsidR="0012368D">
        <w:t xml:space="preserve">, also einen Teil eines Stils, </w:t>
      </w:r>
      <w:r w:rsidR="00690BDC">
        <w:t>sondern um eine Eigenschaft, die im Schema definiert ist: Wer nicht eifersüchtig auf seine(n) Partner(in) wäre, würde ihn/sie nicht lieben.</w:t>
      </w:r>
      <w:r w:rsidR="00690BDC">
        <w:rPr>
          <w:rStyle w:val="Funotenzeichen"/>
        </w:rPr>
        <w:footnoteReference w:id="437"/>
      </w:r>
      <w:r w:rsidR="00690BDC">
        <w:t xml:space="preserve"> </w:t>
      </w:r>
      <w:r w:rsidR="00583415">
        <w:t>D</w:t>
      </w:r>
      <w:r w:rsidR="00837384">
        <w:t xml:space="preserve">er Schluss ist </w:t>
      </w:r>
      <w:r w:rsidR="00A2665F">
        <w:t xml:space="preserve">so allgemein </w:t>
      </w:r>
      <w:r w:rsidR="00690BDC">
        <w:t xml:space="preserve">aber </w:t>
      </w:r>
      <w:r w:rsidR="00A2665F">
        <w:t>nicht richtig</w:t>
      </w:r>
      <w:r w:rsidR="008E5517">
        <w:t>; es gibt Menschen, die unter starker Eifersucht leiden, während andere den Ausschließlichkeitsanspruch für das Liebesobjekt ablehnen. Die tatsächlichen Ursachen dürften viel kompl</w:t>
      </w:r>
      <w:r w:rsidR="008E5517">
        <w:t>e</w:t>
      </w:r>
      <w:r w:rsidR="008E5517">
        <w:t>xer sein und in einer Kombination aus psychologischer Konstitution (Verlus</w:t>
      </w:r>
      <w:r w:rsidR="008E5517">
        <w:t>t</w:t>
      </w:r>
      <w:r w:rsidR="008E5517">
        <w:t>ängste) und individuellem Umgang mit kulturell gegebenen Liebesschemata liegen. Hier zeigt sich eine charakteristische Schwäche der Abduktion: Bei Sac</w:t>
      </w:r>
      <w:r w:rsidR="008E5517">
        <w:t>h</w:t>
      </w:r>
      <w:r w:rsidR="008E5517">
        <w:t>verhalten, deren tatsächliche Erklärung uns noch nicht zugänglich ist, führt ihre Anwendung zur Annahme falscher Regeln, deren kulturelle Akzeptanz dann die Suche nach der richtigen Ursache blockieren kann.</w:t>
      </w:r>
      <w:r w:rsidR="008E5517">
        <w:rPr>
          <w:rStyle w:val="Funotenzeichen"/>
        </w:rPr>
        <w:footnoteReference w:id="438"/>
      </w:r>
    </w:p>
    <w:p w:rsidR="009F54C0" w:rsidRDefault="00A2665F" w:rsidP="005B4DC0">
      <w:pPr>
        <w:pStyle w:val="Interpretation1Zeile"/>
      </w:pPr>
      <w:r>
        <w:lastRenderedPageBreak/>
        <w:t>2.</w:t>
      </w:r>
      <w:r w:rsidR="005B4DC0">
        <w:tab/>
      </w:r>
      <w:r>
        <w:t>Artefaktschema ‚</w:t>
      </w:r>
      <w:r w:rsidR="00031F82">
        <w:t>Toaster</w:t>
      </w:r>
      <w:r>
        <w:t>‘</w:t>
      </w:r>
      <w:r w:rsidR="00AD3E60">
        <w:t xml:space="preserve"> [Realisierung: alle Toaster eines bestimmten D</w:t>
      </w:r>
      <w:r w:rsidR="00AD3E60">
        <w:t>e</w:t>
      </w:r>
      <w:r w:rsidR="00AD3E60">
        <w:t>signers]</w:t>
      </w:r>
    </w:p>
    <w:p w:rsidR="00D61372" w:rsidRDefault="00D61372" w:rsidP="005B4DC0">
      <w:pPr>
        <w:pStyle w:val="InterpretationletzteZeile"/>
      </w:pPr>
      <w:r w:rsidRPr="00F8759D">
        <w:rPr>
          <w:i/>
        </w:rPr>
        <w:t>U</w:t>
      </w:r>
      <w:r w:rsidRPr="00F8759D">
        <w:t>(</w:t>
      </w:r>
      <w:r w:rsidRPr="00F8759D">
        <w:rPr>
          <w:i/>
        </w:rPr>
        <w:t>B</w:t>
      </w:r>
      <w:r w:rsidR="00C51B87" w:rsidRPr="00F86D8E">
        <w:rPr>
          <w:vertAlign w:val="subscript"/>
        </w:rPr>
        <w:t>1</w:t>
      </w:r>
      <w:r w:rsidRPr="00F8759D">
        <w:t>): ‚</w:t>
      </w:r>
      <w:r w:rsidR="007016C3">
        <w:t>Schlitze zum Hineinstecken des Brots</w:t>
      </w:r>
      <w:r w:rsidRPr="00F8759D">
        <w:t xml:space="preserve">‘, </w:t>
      </w:r>
      <w:r w:rsidRPr="00F8759D">
        <w:rPr>
          <w:i/>
        </w:rPr>
        <w:t>V</w:t>
      </w:r>
      <w:r w:rsidRPr="00F8759D">
        <w:t>(</w:t>
      </w:r>
      <w:r w:rsidRPr="00F8759D">
        <w:rPr>
          <w:i/>
        </w:rPr>
        <w:t>B</w:t>
      </w:r>
      <w:r w:rsidR="00C51B87" w:rsidRPr="00F86D8E">
        <w:rPr>
          <w:vertAlign w:val="subscript"/>
        </w:rPr>
        <w:t>1</w:t>
      </w:r>
      <w:r>
        <w:t xml:space="preserve">): </w:t>
      </w:r>
      <w:r w:rsidR="007016C3">
        <w:t>‚</w:t>
      </w:r>
      <w:r w:rsidR="0028116B">
        <w:t xml:space="preserve">jeweils </w:t>
      </w:r>
      <w:r w:rsidR="006638B4">
        <w:t xml:space="preserve">lang </w:t>
      </w:r>
      <w:r w:rsidR="0028116B">
        <w:t>genug für zwei Scheiben Toast‘</w:t>
      </w:r>
    </w:p>
    <w:p w:rsidR="00AD3E60" w:rsidRDefault="007016C3" w:rsidP="005B4DC0">
      <w:pPr>
        <w:pStyle w:val="Text"/>
        <w:ind w:firstLine="0"/>
        <w:rPr>
          <w:iCs/>
        </w:rPr>
      </w:pPr>
      <w:r>
        <w:rPr>
          <w:iCs/>
        </w:rPr>
        <w:t xml:space="preserve">Das Beispiel verdeutlicht die </w:t>
      </w:r>
      <w:r w:rsidR="00AD3E60">
        <w:rPr>
          <w:iCs/>
        </w:rPr>
        <w:t>Schwierigkeit, zwischen Stil und funktionalen Vo</w:t>
      </w:r>
      <w:r w:rsidR="00AD3E60">
        <w:rPr>
          <w:iCs/>
        </w:rPr>
        <w:t>r</w:t>
      </w:r>
      <w:r w:rsidR="00AD3E60">
        <w:rPr>
          <w:iCs/>
        </w:rPr>
        <w:t xml:space="preserve">gaben zu unterscheiden. </w:t>
      </w:r>
      <w:r w:rsidR="006934A7">
        <w:rPr>
          <w:iCs/>
        </w:rPr>
        <w:t>Das Artefaktschema ‚Toaster‘ enthält die Bedingung, vier Scheiben toasten zu können, nicht</w:t>
      </w:r>
      <w:r w:rsidR="004C6E22">
        <w:rPr>
          <w:iCs/>
        </w:rPr>
        <w:t>.</w:t>
      </w:r>
      <w:r w:rsidR="004C6E22">
        <w:rPr>
          <w:rStyle w:val="Funotenzeichen"/>
          <w:iCs/>
        </w:rPr>
        <w:footnoteReference w:id="439"/>
      </w:r>
      <w:r w:rsidR="004C6E22">
        <w:rPr>
          <w:iCs/>
        </w:rPr>
        <w:t xml:space="preserve"> </w:t>
      </w:r>
      <w:r w:rsidR="006934A7">
        <w:rPr>
          <w:iCs/>
        </w:rPr>
        <w:t xml:space="preserve">Bei der </w:t>
      </w:r>
      <w:r w:rsidR="0028116B">
        <w:rPr>
          <w:iCs/>
        </w:rPr>
        <w:t xml:space="preserve">Schemaausführung </w:t>
      </w:r>
      <w:r w:rsidR="006934A7">
        <w:rPr>
          <w:iCs/>
        </w:rPr>
        <w:t>kann j</w:t>
      </w:r>
      <w:r w:rsidR="006934A7">
        <w:rPr>
          <w:iCs/>
        </w:rPr>
        <w:t>e</w:t>
      </w:r>
      <w:r w:rsidR="006934A7">
        <w:rPr>
          <w:iCs/>
        </w:rPr>
        <w:t xml:space="preserve">doch </w:t>
      </w:r>
      <w:r>
        <w:rPr>
          <w:iCs/>
        </w:rPr>
        <w:t xml:space="preserve">die Funktion, vier Scheiben gleichzeitig zu toasten, als </w:t>
      </w:r>
      <w:r w:rsidR="00EC775A">
        <w:rPr>
          <w:iCs/>
        </w:rPr>
        <w:t>funktionale B</w:t>
      </w:r>
      <w:r>
        <w:rPr>
          <w:iCs/>
        </w:rPr>
        <w:t>edi</w:t>
      </w:r>
      <w:r>
        <w:rPr>
          <w:iCs/>
        </w:rPr>
        <w:t>n</w:t>
      </w:r>
      <w:r>
        <w:rPr>
          <w:iCs/>
        </w:rPr>
        <w:t>gung</w:t>
      </w:r>
      <w:r>
        <w:rPr>
          <w:rStyle w:val="Funotenzeichen"/>
          <w:iCs/>
        </w:rPr>
        <w:footnoteReference w:id="440"/>
      </w:r>
      <w:r>
        <w:rPr>
          <w:iCs/>
        </w:rPr>
        <w:t xml:space="preserve"> </w:t>
      </w:r>
      <w:r w:rsidR="006934A7">
        <w:rPr>
          <w:iCs/>
        </w:rPr>
        <w:t>spezifiziert werden.</w:t>
      </w:r>
      <w:r w:rsidR="006934A7">
        <w:rPr>
          <w:rStyle w:val="Funotenzeichen"/>
          <w:iCs/>
        </w:rPr>
        <w:footnoteReference w:id="441"/>
      </w:r>
      <w:r w:rsidR="006934A7">
        <w:rPr>
          <w:iCs/>
        </w:rPr>
        <w:t xml:space="preserve"> </w:t>
      </w:r>
      <w:r w:rsidR="004C6E22">
        <w:rPr>
          <w:iCs/>
        </w:rPr>
        <w:t xml:space="preserve">Ist dies der Fall, dann ergeben sich die </w:t>
      </w:r>
      <w:r w:rsidR="006638B4">
        <w:rPr>
          <w:iCs/>
        </w:rPr>
        <w:t xml:space="preserve">langen </w:t>
      </w:r>
      <w:r w:rsidR="004C6E22">
        <w:rPr>
          <w:iCs/>
        </w:rPr>
        <w:t xml:space="preserve">Schlitze aus der </w:t>
      </w:r>
      <w:r w:rsidR="00157173">
        <w:rPr>
          <w:iCs/>
        </w:rPr>
        <w:t xml:space="preserve">funktionalen Bedingung </w:t>
      </w:r>
      <w:r w:rsidR="004C6E22">
        <w:rPr>
          <w:iCs/>
        </w:rPr>
        <w:t>und nicht aus einer Merkmalsregel</w:t>
      </w:r>
      <w:r w:rsidR="0028116B">
        <w:rPr>
          <w:iCs/>
        </w:rPr>
        <w:t xml:space="preserve"> des Stils</w:t>
      </w:r>
      <w:r w:rsidR="004C6E22">
        <w:rPr>
          <w:iCs/>
        </w:rPr>
        <w:t>.</w:t>
      </w:r>
    </w:p>
    <w:p w:rsidR="00AD3E60" w:rsidRDefault="00AD3E60" w:rsidP="00C51B87">
      <w:pPr>
        <w:pStyle w:val="Text"/>
        <w:rPr>
          <w:iCs/>
        </w:rPr>
      </w:pPr>
      <w:r>
        <w:rPr>
          <w:iCs/>
        </w:rPr>
        <w:t xml:space="preserve">Wenn </w:t>
      </w:r>
      <w:r w:rsidR="0028116B">
        <w:rPr>
          <w:iCs/>
        </w:rPr>
        <w:t>ein S</w:t>
      </w:r>
      <w:r w:rsidR="00DD45B2">
        <w:rPr>
          <w:iCs/>
        </w:rPr>
        <w:t>W</w:t>
      </w:r>
      <w:r w:rsidR="0028116B">
        <w:rPr>
          <w:iCs/>
        </w:rPr>
        <w:t xml:space="preserve"> sieht</w:t>
      </w:r>
      <w:r>
        <w:rPr>
          <w:iCs/>
        </w:rPr>
        <w:t xml:space="preserve">, dass ein Designer nur Toaster für vier Scheiben baut, </w:t>
      </w:r>
      <w:r w:rsidR="0028116B">
        <w:rPr>
          <w:iCs/>
        </w:rPr>
        <w:t>kann er</w:t>
      </w:r>
      <w:r w:rsidR="008E367D">
        <w:rPr>
          <w:iCs/>
        </w:rPr>
        <w:t>/sie</w:t>
      </w:r>
      <w:r w:rsidR="0028116B">
        <w:rPr>
          <w:iCs/>
        </w:rPr>
        <w:t xml:space="preserve"> spekulieren, dass dies keine </w:t>
      </w:r>
      <w:r w:rsidR="00205886">
        <w:rPr>
          <w:iCs/>
        </w:rPr>
        <w:t xml:space="preserve">funktionale </w:t>
      </w:r>
      <w:r w:rsidR="0028116B">
        <w:rPr>
          <w:iCs/>
        </w:rPr>
        <w:t xml:space="preserve">Vorgabe des Herstellers ist, und somit </w:t>
      </w:r>
      <w:r w:rsidR="0028116B" w:rsidRPr="00F8759D">
        <w:rPr>
          <w:i/>
          <w:iCs/>
        </w:rPr>
        <w:t>B</w:t>
      </w:r>
      <w:r w:rsidR="0028116B" w:rsidRPr="00F86D8E">
        <w:rPr>
          <w:iCs/>
          <w:vertAlign w:val="subscript"/>
        </w:rPr>
        <w:t>1</w:t>
      </w:r>
      <w:r w:rsidR="0028116B">
        <w:rPr>
          <w:iCs/>
        </w:rPr>
        <w:t xml:space="preserve"> als Merkmalsregel annehmen. Durch Abduktion können </w:t>
      </w:r>
      <w:r>
        <w:rPr>
          <w:iCs/>
        </w:rPr>
        <w:t xml:space="preserve">mögliche Gründe für diese Beschränkung </w:t>
      </w:r>
      <w:r w:rsidR="0028116B">
        <w:rPr>
          <w:iCs/>
        </w:rPr>
        <w:t xml:space="preserve">überlegt werden </w:t>
      </w:r>
      <w:r>
        <w:rPr>
          <w:iCs/>
        </w:rPr>
        <w:t>(die allerdings ziemlich beliebig sind, da nicht genug Informati</w:t>
      </w:r>
      <w:r w:rsidR="0028116B">
        <w:rPr>
          <w:iCs/>
        </w:rPr>
        <w:t>on</w:t>
      </w:r>
      <w:r>
        <w:rPr>
          <w:iCs/>
        </w:rPr>
        <w:t xml:space="preserve"> für die Entscheidung zwischen verschiedenen möglichen Gründen </w:t>
      </w:r>
      <w:r w:rsidR="0028116B">
        <w:rPr>
          <w:iCs/>
        </w:rPr>
        <w:t>vorliegt</w:t>
      </w:r>
      <w:r>
        <w:rPr>
          <w:iCs/>
        </w:rPr>
        <w:t>):</w:t>
      </w:r>
    </w:p>
    <w:p w:rsidR="00AD3E60" w:rsidRPr="004457F2" w:rsidRDefault="00AD3E60" w:rsidP="005B4DC0">
      <w:pPr>
        <w:pStyle w:val="Formel"/>
      </w:pPr>
      <w:r>
        <w:rPr>
          <w:i/>
          <w:iCs/>
        </w:rPr>
        <w:t>B</w:t>
      </w:r>
      <w:r w:rsidRPr="00B67A1A">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r>
        <w:t xml:space="preserve">, </w:t>
      </w:r>
      <w:r>
        <w:rPr>
          <w:i/>
          <w:iCs/>
        </w:rPr>
        <w:t>Er</w:t>
      </w:r>
      <w:r>
        <w:rPr>
          <w:vertAlign w:val="subscript"/>
        </w:rPr>
        <w:t>2</w:t>
      </w:r>
      <w:r>
        <w:t xml:space="preserve">, </w:t>
      </w:r>
      <w:r>
        <w:rPr>
          <w:i/>
          <w:iCs/>
        </w:rPr>
        <w:t>Er</w:t>
      </w:r>
      <w:r>
        <w:rPr>
          <w:vertAlign w:val="subscript"/>
        </w:rPr>
        <w:t>3</w:t>
      </w:r>
      <w:r>
        <w:t xml:space="preserve">, </w:t>
      </w:r>
      <w:r w:rsidRPr="00AD3E60">
        <w:rPr>
          <w:iCs/>
        </w:rPr>
        <w:t>…</w:t>
      </w:r>
    </w:p>
    <w:p w:rsidR="00AD3E60" w:rsidRDefault="00AD3E60" w:rsidP="005B4DC0">
      <w:pPr>
        <w:pStyle w:val="Interpretation"/>
      </w:pPr>
      <w:r>
        <w:rPr>
          <w:i/>
        </w:rPr>
        <w:t>Er</w:t>
      </w:r>
      <w:r w:rsidR="00AD3C63">
        <w:rPr>
          <w:vertAlign w:val="subscript"/>
        </w:rPr>
        <w:t>1</w:t>
      </w:r>
      <w:r w:rsidRPr="00F8759D">
        <w:t>:</w:t>
      </w:r>
      <w:r>
        <w:t xml:space="preserve"> ‚</w:t>
      </w:r>
      <w:r w:rsidR="0085753F">
        <w:t xml:space="preserve">SN </w:t>
      </w:r>
      <w:r>
        <w:t>findet Toaster für zwei Scheiben unpraktisch‘</w:t>
      </w:r>
    </w:p>
    <w:p w:rsidR="00AD3E60" w:rsidRDefault="00AD3E60" w:rsidP="005B4DC0">
      <w:pPr>
        <w:pStyle w:val="Interpretation"/>
      </w:pPr>
      <w:r>
        <w:rPr>
          <w:i/>
        </w:rPr>
        <w:t>Er</w:t>
      </w:r>
      <w:r w:rsidR="00AD3C63">
        <w:rPr>
          <w:vertAlign w:val="subscript"/>
        </w:rPr>
        <w:t>2</w:t>
      </w:r>
      <w:r w:rsidRPr="00F8759D">
        <w:t>:</w:t>
      </w:r>
      <w:r>
        <w:t xml:space="preserve"> ‚</w:t>
      </w:r>
      <w:r w:rsidR="0085753F">
        <w:t xml:space="preserve">SN </w:t>
      </w:r>
      <w:r>
        <w:t xml:space="preserve">bekommt Tantiemen für verkaufte Toaster und </w:t>
      </w:r>
      <w:r w:rsidR="0028116B">
        <w:t>geht davon aus</w:t>
      </w:r>
      <w:r>
        <w:t>, dass sich Modelle mit vier Scheiben besser verkaufen‘</w:t>
      </w:r>
    </w:p>
    <w:p w:rsidR="00AD3E60" w:rsidRDefault="00AD3E60" w:rsidP="005B4DC0">
      <w:pPr>
        <w:pStyle w:val="InterpretationletzteZeile"/>
      </w:pPr>
      <w:r>
        <w:rPr>
          <w:i/>
        </w:rPr>
        <w:t>Er</w:t>
      </w:r>
      <w:r w:rsidR="00AD3C63">
        <w:rPr>
          <w:vertAlign w:val="subscript"/>
        </w:rPr>
        <w:t>3</w:t>
      </w:r>
      <w:r w:rsidRPr="00F8759D">
        <w:t>:</w:t>
      </w:r>
      <w:r>
        <w:t xml:space="preserve"> ‚</w:t>
      </w:r>
      <w:r w:rsidR="0085753F">
        <w:t xml:space="preserve">SN </w:t>
      </w:r>
      <w:r>
        <w:t>lehnt Toaster mit zwei Scheiben ab, weil er/sie sie als Symbol für die Vereinzelung der modernen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sieht‘</w:t>
      </w:r>
    </w:p>
    <w:p w:rsidR="00AD3E60" w:rsidRDefault="0028116B" w:rsidP="005B4DC0">
      <w:pPr>
        <w:pStyle w:val="Text"/>
        <w:ind w:firstLine="0"/>
        <w:rPr>
          <w:iCs/>
        </w:rPr>
      </w:pPr>
      <w:r>
        <w:rPr>
          <w:iCs/>
        </w:rPr>
        <w:t xml:space="preserve">Allerdings ist es auch möglich, dass es sich um eine Vorgabe des Herstellers handelte, etwa weil sich solche Toaster </w:t>
      </w:r>
      <w:r w:rsidRPr="00AD3C63">
        <w:rPr>
          <w:iCs/>
        </w:rPr>
        <w:t>tatsächlich</w:t>
      </w:r>
      <w:r>
        <w:rPr>
          <w:iCs/>
        </w:rPr>
        <w:t xml:space="preserve"> besser verkaufen (vgl. </w:t>
      </w:r>
      <w:r>
        <w:rPr>
          <w:i/>
          <w:iCs/>
        </w:rPr>
        <w:t>Er</w:t>
      </w:r>
      <w:r>
        <w:rPr>
          <w:iCs/>
          <w:vertAlign w:val="subscript"/>
        </w:rPr>
        <w:t>2</w:t>
      </w:r>
      <w:r>
        <w:rPr>
          <w:iCs/>
        </w:rPr>
        <w:t xml:space="preserve">). </w:t>
      </w:r>
      <w:r w:rsidR="008E367D">
        <w:rPr>
          <w:iCs/>
        </w:rPr>
        <w:t>Geht ein S</w:t>
      </w:r>
      <w:r w:rsidR="00DD45B2">
        <w:rPr>
          <w:iCs/>
        </w:rPr>
        <w:t>W</w:t>
      </w:r>
      <w:r w:rsidR="008E367D">
        <w:rPr>
          <w:iCs/>
        </w:rPr>
        <w:t xml:space="preserve"> davon aus, kann er/sie </w:t>
      </w:r>
      <w:r w:rsidR="008E367D" w:rsidRPr="00F8759D">
        <w:rPr>
          <w:i/>
          <w:iCs/>
        </w:rPr>
        <w:t>B</w:t>
      </w:r>
      <w:r w:rsidR="008E367D" w:rsidRPr="00F86D8E">
        <w:rPr>
          <w:iCs/>
          <w:vertAlign w:val="subscript"/>
        </w:rPr>
        <w:t>1</w:t>
      </w:r>
      <w:r w:rsidR="008E367D">
        <w:rPr>
          <w:iCs/>
        </w:rPr>
        <w:t xml:space="preserve"> nicht annehmen.</w:t>
      </w:r>
      <w:r w:rsidR="008E367D">
        <w:rPr>
          <w:rStyle w:val="Funotenzeichen"/>
          <w:iCs/>
        </w:rPr>
        <w:footnoteReference w:id="442"/>
      </w:r>
    </w:p>
    <w:p w:rsidR="00A813EE" w:rsidRDefault="00F57032" w:rsidP="00310318">
      <w:pPr>
        <w:pStyle w:val="Text"/>
        <w:rPr>
          <w:iCs/>
        </w:rPr>
      </w:pPr>
      <w:r>
        <w:rPr>
          <w:iCs/>
        </w:rPr>
        <w:lastRenderedPageBreak/>
        <w:t>Es kann vorkommen, dass ein</w:t>
      </w:r>
      <w:r w:rsidR="00F316E6">
        <w:rPr>
          <w:iCs/>
        </w:rPr>
        <w:t>e</w:t>
      </w:r>
      <w:r>
        <w:rPr>
          <w:iCs/>
        </w:rPr>
        <w:t xml:space="preserve"> Merkmal</w:t>
      </w:r>
      <w:r w:rsidR="00F316E6">
        <w:rPr>
          <w:iCs/>
        </w:rPr>
        <w:t>sregel</w:t>
      </w:r>
      <w:r>
        <w:rPr>
          <w:iCs/>
        </w:rPr>
        <w:t xml:space="preserve"> eines Stils</w:t>
      </w:r>
      <w:r w:rsidR="00BD3B04">
        <w:rPr>
          <w:iCs/>
        </w:rPr>
        <w:t xml:space="preserve">, beispielsweise ein bestimmtes </w:t>
      </w:r>
      <w:r>
        <w:rPr>
          <w:iCs/>
        </w:rPr>
        <w:t>Gestaltungsprinzip</w:t>
      </w:r>
      <w:r w:rsidR="00BD3B04">
        <w:rPr>
          <w:iCs/>
        </w:rPr>
        <w:t>,</w:t>
      </w:r>
      <w:r>
        <w:rPr>
          <w:rStyle w:val="Funotenzeichen"/>
          <w:iCs/>
        </w:rPr>
        <w:footnoteReference w:id="443"/>
      </w:r>
      <w:r>
        <w:rPr>
          <w:iCs/>
        </w:rPr>
        <w:t xml:space="preserve"> </w:t>
      </w:r>
      <w:r w:rsidR="00310318">
        <w:rPr>
          <w:iCs/>
        </w:rPr>
        <w:t xml:space="preserve">allgemein </w:t>
      </w:r>
      <w:r>
        <w:rPr>
          <w:iCs/>
        </w:rPr>
        <w:t xml:space="preserve">üblich wird. </w:t>
      </w:r>
      <w:r w:rsidR="00BD3B04">
        <w:rPr>
          <w:iCs/>
        </w:rPr>
        <w:t xml:space="preserve">In diesem Fall </w:t>
      </w:r>
      <w:r w:rsidR="00310318">
        <w:rPr>
          <w:iCs/>
        </w:rPr>
        <w:t>würde sie konventionell als funktionale Bedingung spezifiziert werden; sie könnte dann nicht mehr als Merkmal</w:t>
      </w:r>
      <w:r w:rsidR="00243EF9">
        <w:rPr>
          <w:iCs/>
        </w:rPr>
        <w:t>sregel</w:t>
      </w:r>
      <w:r w:rsidR="00310318">
        <w:rPr>
          <w:iCs/>
        </w:rPr>
        <w:t xml:space="preserve"> eines Stils eingeschrieben oder ausgelesen werden. Unter bestimmten Umständen könnte sie nach einiger Zeit sogar in die B</w:t>
      </w:r>
      <w:r w:rsidR="00310318">
        <w:rPr>
          <w:iCs/>
        </w:rPr>
        <w:t>e</w:t>
      </w:r>
      <w:r w:rsidR="00310318">
        <w:rPr>
          <w:iCs/>
        </w:rPr>
        <w:t>schreibung des Schemas aufgenommen werden, so dass eine Realisierung ohne diese Eigenschaft nicht mehr als korrekte Realisierung des Schemas gilt.</w:t>
      </w:r>
      <w:r w:rsidR="00310318">
        <w:rPr>
          <w:rStyle w:val="Funotenzeichen"/>
          <w:iCs/>
        </w:rPr>
        <w:footnoteReference w:id="444"/>
      </w:r>
      <w:r w:rsidR="00310318">
        <w:rPr>
          <w:iCs/>
        </w:rPr>
        <w:t xml:space="preserve"> Merkmal</w:t>
      </w:r>
      <w:r w:rsidR="00243EF9">
        <w:rPr>
          <w:iCs/>
        </w:rPr>
        <w:t>sregeln</w:t>
      </w:r>
      <w:r w:rsidR="00310318">
        <w:rPr>
          <w:iCs/>
        </w:rPr>
        <w:t xml:space="preserve"> </w:t>
      </w:r>
      <w:r w:rsidR="00243EF9">
        <w:rPr>
          <w:iCs/>
        </w:rPr>
        <w:t>können also verschwinden, ohne dass sich der Stil ändert, nä</w:t>
      </w:r>
      <w:r w:rsidR="00243EF9">
        <w:rPr>
          <w:iCs/>
        </w:rPr>
        <w:t>m</w:t>
      </w:r>
      <w:r w:rsidR="00243EF9">
        <w:rPr>
          <w:iCs/>
        </w:rPr>
        <w:t>lich durch eine Änderung des Schemas, zu dem dieser gehört, wodurch sie nicht mehr eingeschrieben oder ausgelesen werden können.</w:t>
      </w:r>
    </w:p>
    <w:p w:rsidR="000203A4" w:rsidRDefault="000203A4" w:rsidP="005B4DC0">
      <w:pPr>
        <w:pStyle w:val="Interpretation1Zeile"/>
      </w:pPr>
      <w:r>
        <w:t>3.</w:t>
      </w:r>
      <w:r w:rsidR="00686460">
        <w:tab/>
      </w:r>
      <w:r w:rsidR="00BA0AFB">
        <w:t>Text</w:t>
      </w:r>
      <w:r w:rsidR="006A28FC">
        <w:t>schema ‚</w:t>
      </w:r>
      <w:r w:rsidR="0063404B">
        <w:t>Politisches Programm einer Partei</w:t>
      </w:r>
      <w:r w:rsidR="006A28FC">
        <w:t>‘</w:t>
      </w:r>
    </w:p>
    <w:p w:rsidR="0063404B" w:rsidRDefault="0063404B" w:rsidP="005B4DC0">
      <w:pPr>
        <w:pStyle w:val="Interpretation"/>
      </w:pPr>
      <w:r w:rsidRPr="00F8759D">
        <w:rPr>
          <w:i/>
        </w:rPr>
        <w:t>U</w:t>
      </w:r>
      <w:r w:rsidRPr="00F8759D">
        <w:t>(</w:t>
      </w:r>
      <w:r w:rsidRPr="00F8759D">
        <w:rPr>
          <w:i/>
        </w:rPr>
        <w:t>B</w:t>
      </w:r>
      <w:r w:rsidR="00B67A1A" w:rsidRPr="00B67A1A">
        <w:rPr>
          <w:vertAlign w:val="subscript"/>
        </w:rPr>
        <w:t>1</w:t>
      </w:r>
      <w:r w:rsidRPr="00F8759D">
        <w:t>): ‚</w:t>
      </w:r>
      <w:r>
        <w:t>Aussagen</w:t>
      </w:r>
      <w:r w:rsidRPr="00F8759D">
        <w:t xml:space="preserve">‘, </w:t>
      </w:r>
      <w:r w:rsidRPr="00F8759D">
        <w:rPr>
          <w:i/>
        </w:rPr>
        <w:t>V</w:t>
      </w:r>
      <w:r w:rsidRPr="00F8759D">
        <w:t>(</w:t>
      </w:r>
      <w:r w:rsidRPr="00F8759D">
        <w:rPr>
          <w:i/>
        </w:rPr>
        <w:t>B</w:t>
      </w:r>
      <w:r w:rsidR="00B67A1A" w:rsidRPr="00B67A1A">
        <w:rPr>
          <w:vertAlign w:val="subscript"/>
        </w:rPr>
        <w:t>1</w:t>
      </w:r>
      <w:r>
        <w:t>): ‚</w:t>
      </w:r>
      <w:r w:rsidR="00DA6DBE">
        <w:t>allgemein</w:t>
      </w:r>
      <w:r w:rsidR="00894636">
        <w:t xml:space="preserve">; wenig fassbar; </w:t>
      </w:r>
      <w:r w:rsidR="00DA6DBE">
        <w:t>verschieden interpretierbar‘</w:t>
      </w:r>
    </w:p>
    <w:p w:rsidR="00DA6DBE" w:rsidRDefault="00DA6DBE" w:rsidP="005B4DC0">
      <w:pPr>
        <w:pStyle w:val="Interpretation"/>
      </w:pPr>
      <w:r w:rsidRPr="00F8759D">
        <w:rPr>
          <w:i/>
        </w:rPr>
        <w:t>U</w:t>
      </w:r>
      <w:r w:rsidRPr="00F8759D">
        <w:t>(</w:t>
      </w:r>
      <w:r w:rsidRPr="00F8759D">
        <w:rPr>
          <w:i/>
        </w:rPr>
        <w:t>B</w:t>
      </w:r>
      <w:r w:rsidR="00B67A1A">
        <w:rPr>
          <w:vertAlign w:val="subscript"/>
        </w:rPr>
        <w:t>2</w:t>
      </w:r>
      <w:r w:rsidRPr="00F8759D">
        <w:t>): ‚</w:t>
      </w:r>
      <w:r>
        <w:t>Formulierungen</w:t>
      </w:r>
      <w:r w:rsidRPr="00F8759D">
        <w:t xml:space="preserve">‘, </w:t>
      </w:r>
      <w:r w:rsidRPr="00F8759D">
        <w:rPr>
          <w:i/>
        </w:rPr>
        <w:t>V</w:t>
      </w:r>
      <w:r w:rsidRPr="00F8759D">
        <w:t>(</w:t>
      </w:r>
      <w:r w:rsidRPr="00F8759D">
        <w:rPr>
          <w:i/>
        </w:rPr>
        <w:t>B</w:t>
      </w:r>
      <w:r w:rsidR="00B67A1A">
        <w:rPr>
          <w:vertAlign w:val="subscript"/>
        </w:rPr>
        <w:t>2</w:t>
      </w:r>
      <w:r w:rsidR="00894636">
        <w:t>): ‚unklar; phrasenhaft‘</w:t>
      </w:r>
    </w:p>
    <w:p w:rsidR="00686460" w:rsidRPr="004457F2" w:rsidRDefault="00686460" w:rsidP="005B4DC0">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Pr="0062421C">
        <w:rPr>
          <w:vertAlign w:val="subscript"/>
        </w:rPr>
        <w:t>1</w:t>
      </w:r>
    </w:p>
    <w:p w:rsidR="00CF368E" w:rsidRDefault="0063404B" w:rsidP="005B4DC0">
      <w:pPr>
        <w:pStyle w:val="InterpretationletzteZeile"/>
      </w:pPr>
      <w:r>
        <w:rPr>
          <w:i/>
        </w:rPr>
        <w:t>Er</w:t>
      </w:r>
      <w:r>
        <w:rPr>
          <w:vertAlign w:val="subscript"/>
        </w:rPr>
        <w:t>1</w:t>
      </w:r>
      <w:r w:rsidRPr="00F8759D">
        <w:t>:</w:t>
      </w:r>
      <w:r>
        <w:t xml:space="preserve"> ‚</w:t>
      </w:r>
      <w:r w:rsidR="00DA6DBE">
        <w:t xml:space="preserve">Politische Parteien scheuen Festlegungen, um </w:t>
      </w:r>
      <w:r w:rsidR="001A4836">
        <w:t>potentielle Wähler nicht zu verschrecken</w:t>
      </w:r>
      <w:r>
        <w:t>‘</w:t>
      </w:r>
    </w:p>
    <w:p w:rsidR="00527796" w:rsidRDefault="00527796" w:rsidP="00527796">
      <w:pPr>
        <w:pStyle w:val="Titel3"/>
      </w:pPr>
      <w:bookmarkStart w:id="342" w:name="_Ref257706826"/>
      <w:bookmarkStart w:id="343" w:name="_Toc325456782"/>
      <w:bookmarkStart w:id="344" w:name="Assoziation"/>
      <w:bookmarkEnd w:id="341"/>
      <w:r>
        <w:t>Assoziation</w:t>
      </w:r>
      <w:bookmarkEnd w:id="342"/>
      <w:bookmarkEnd w:id="343"/>
    </w:p>
    <w:p w:rsidR="00527796" w:rsidRDefault="005D7996" w:rsidP="005B4DC0">
      <w:pPr>
        <w:pStyle w:val="Text"/>
        <w:ind w:firstLine="0"/>
      </w:pPr>
      <w:r>
        <w:fldChar w:fldCharType="begin"/>
      </w:r>
      <w:r w:rsidR="00960051">
        <w:instrText xml:space="preserve"> XE "</w:instrText>
      </w:r>
      <w:r w:rsidR="008572A3">
        <w:instrText>Assoziation</w:instrText>
      </w:r>
      <w:r w:rsidR="00960051">
        <w:instrText xml:space="preserve">" \r "Assoziation" </w:instrText>
      </w:r>
      <w:r>
        <w:fldChar w:fldCharType="end"/>
      </w:r>
      <w:r>
        <w:fldChar w:fldCharType="begin"/>
      </w:r>
      <w:r w:rsidR="00960051">
        <w:instrText xml:space="preserve"> XE "Assoziation" \t "</w:instrText>
      </w:r>
      <w:r w:rsidR="00960051" w:rsidRPr="007247A5">
        <w:rPr>
          <w:i/>
        </w:rPr>
        <w:instrText>et passim</w:instrText>
      </w:r>
      <w:r w:rsidR="00960051">
        <w:instrText xml:space="preserve">" </w:instrText>
      </w:r>
      <w:r>
        <w:fldChar w:fldCharType="end"/>
      </w:r>
      <w:r w:rsidR="005C1738">
        <w:t>Neben Deduktion, Induktion und Abduktion gibt es auch Formen der Erze</w:t>
      </w:r>
      <w:r w:rsidR="005C1738">
        <w:t>u</w:t>
      </w:r>
      <w:r w:rsidR="005C1738">
        <w:t>gung von Proposition</w:t>
      </w:r>
      <w:r w:rsidR="00BE094D">
        <w:t>sannahme</w:t>
      </w:r>
      <w:r w:rsidR="005C1738">
        <w:t>n, die keiner präzisen logischen Ableitung g</w:t>
      </w:r>
      <w:r w:rsidR="005C1738">
        <w:t>e</w:t>
      </w:r>
      <w:r w:rsidR="005C1738">
        <w:t xml:space="preserve">horchen. Diese werden hier </w:t>
      </w:r>
      <w:r w:rsidR="001647A3">
        <w:t xml:space="preserve">unter die Operation </w:t>
      </w:r>
      <w:r w:rsidR="005C1738">
        <w:t>„Assoziation“ zusammeng</w:t>
      </w:r>
      <w:r w:rsidR="005C1738">
        <w:t>e</w:t>
      </w:r>
      <w:r w:rsidR="005C1738">
        <w:t>fasst.</w:t>
      </w:r>
    </w:p>
    <w:p w:rsidR="00527796" w:rsidRDefault="00527796" w:rsidP="005B4DC0">
      <w:pPr>
        <w:pStyle w:val="Interpretation1Zeile"/>
      </w:pPr>
      <w:r>
        <w:t>1.</w:t>
      </w:r>
      <w:r>
        <w:tab/>
        <w:t>Verhaltensschema ‚Liebeswerbung‘</w:t>
      </w:r>
    </w:p>
    <w:p w:rsidR="00527796" w:rsidRDefault="00527796" w:rsidP="005B4DC0">
      <w:pPr>
        <w:pStyle w:val="Interpretation"/>
      </w:pPr>
      <w:r>
        <w:rPr>
          <w:i/>
        </w:rPr>
        <w:lastRenderedPageBreak/>
        <w:t>U</w:t>
      </w:r>
      <w:r>
        <w:t>(</w:t>
      </w:r>
      <w:r>
        <w:rPr>
          <w:i/>
        </w:rPr>
        <w:t>B</w:t>
      </w:r>
      <w:r w:rsidR="00B67A1A" w:rsidRPr="00B67A1A">
        <w:rPr>
          <w:vertAlign w:val="subscript"/>
        </w:rPr>
        <w:t>1</w:t>
      </w:r>
      <w:r>
        <w:t xml:space="preserve">): ‚Argumente für die Beziehung‘, </w:t>
      </w:r>
      <w:r>
        <w:rPr>
          <w:i/>
        </w:rPr>
        <w:t>V</w:t>
      </w:r>
      <w:r>
        <w:t>(</w:t>
      </w:r>
      <w:r>
        <w:rPr>
          <w:i/>
        </w:rPr>
        <w:t>B</w:t>
      </w:r>
      <w:r w:rsidR="00B67A1A" w:rsidRPr="00B67A1A">
        <w:rPr>
          <w:vertAlign w:val="subscript"/>
        </w:rPr>
        <w:t>1</w:t>
      </w:r>
      <w:r>
        <w:t>): ‚</w:t>
      </w:r>
      <w:r w:rsidR="0085753F">
        <w:t xml:space="preserve">SN </w:t>
      </w:r>
      <w:r>
        <w:t>stellt die Vorteile der Bezi</w:t>
      </w:r>
      <w:r>
        <w:t>e</w:t>
      </w:r>
      <w:r>
        <w:t>hung für beide Seiten heraus‘</w:t>
      </w:r>
    </w:p>
    <w:p w:rsidR="00C85EBC" w:rsidRPr="004457F2" w:rsidRDefault="00C85EBC" w:rsidP="005B4DC0">
      <w:pPr>
        <w:pStyle w:val="Formel"/>
      </w:pPr>
      <w:r>
        <w:rPr>
          <w:i/>
          <w:iCs/>
        </w:rPr>
        <w:t>B</w:t>
      </w:r>
      <w:r w:rsidRPr="00B67A1A">
        <w:rPr>
          <w:iCs/>
          <w:vertAlign w:val="subscript"/>
        </w:rPr>
        <w:t>1</w:t>
      </w:r>
      <w: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sidRPr="0062421C">
        <w:rPr>
          <w:vertAlign w:val="subscript"/>
        </w:rPr>
        <w:t>1</w:t>
      </w:r>
    </w:p>
    <w:p w:rsidR="00527796" w:rsidRDefault="00527796" w:rsidP="005B4DC0">
      <w:pPr>
        <w:pStyle w:val="InterpretationletzteZeile"/>
      </w:pPr>
      <w:r>
        <w:rPr>
          <w:i/>
        </w:rPr>
        <w:t>Er</w:t>
      </w:r>
      <w:r w:rsidRPr="00F20FC6">
        <w:rPr>
          <w:vertAlign w:val="subscript"/>
        </w:rPr>
        <w:t>1</w:t>
      </w:r>
      <w:r>
        <w:t>: ‚</w:t>
      </w:r>
      <w:r w:rsidR="0085753F">
        <w:t xml:space="preserve">SN </w:t>
      </w:r>
      <w:r>
        <w:t>sieht die Liebeswerbung wie die Vertragsverhandlung mit einem G</w:t>
      </w:r>
      <w:r>
        <w:t>e</w:t>
      </w:r>
      <w:r>
        <w:t>schäftspartner‘</w:t>
      </w:r>
    </w:p>
    <w:p w:rsidR="00527796" w:rsidRDefault="00527796" w:rsidP="005B4DC0">
      <w:pPr>
        <w:pStyle w:val="Text"/>
        <w:ind w:firstLine="0"/>
      </w:pPr>
      <w:r>
        <w:t>In diesem Fall handelt es sich um eine Assoziation, weil eine logische Schlussfo</w:t>
      </w:r>
      <w:r>
        <w:t>l</w:t>
      </w:r>
      <w:r>
        <w:t xml:space="preserve">gerung welcher Art auch immer nicht zum Ergebnis </w:t>
      </w:r>
      <w:r>
        <w:rPr>
          <w:i/>
          <w:iCs/>
        </w:rPr>
        <w:t>Er</w:t>
      </w:r>
      <w:r w:rsidRPr="00F20FC6">
        <w:rPr>
          <w:iCs/>
          <w:vertAlign w:val="subscript"/>
        </w:rPr>
        <w:t>1</w:t>
      </w:r>
      <w:r>
        <w:t xml:space="preserve"> gelangen kann: G</w:t>
      </w:r>
      <w:r>
        <w:t>e</w:t>
      </w:r>
      <w:r>
        <w:t>schäftliche Verträge und die zu ihrem Schluss geführten Verhandlungen besitzen eine Reihe von Eigenschaften (u.a. juristische, soziale und formale), die – im Gegensatz zur Ehe – eine bloße Liebesübereinkunft und das diese anstrebende Werben nicht haben. Sicherlich gilt es nicht in allen Kulturen als anstößig, beim Liebeswerben mit dem Aufzählen gegenseitiger Vorteile zu argumentieren. In vielen Kulturen, gerade auch in den westlichen, wird allerdings in der Liebe em</w:t>
      </w:r>
      <w:r>
        <w:t>o</w:t>
      </w:r>
      <w:r>
        <w:t>tionaler Überschwang und nicht sachliches Abwägen von Vorteilen erwartet. Letzteres soll dem geschäftlichen Bereich vorbehalten bleiben.</w:t>
      </w:r>
    </w:p>
    <w:p w:rsidR="00527796" w:rsidRDefault="00527796" w:rsidP="00527796">
      <w:pPr>
        <w:pStyle w:val="Text"/>
      </w:pPr>
      <w:r>
        <w:t>Vermutlich kommt die Assoziation also zustande, indem die entsprechende Eigenschaft (Herausstellen der Vorteile für beide Seiten), die kulturell mit dem assoziierten Bereich (Vertragsverhandlung) verbunden ist, diesen mit Hilfe des vergleichbaren Kontexts (Überzeugungsversuch für das Eingehen einer Bezi</w:t>
      </w:r>
      <w:r>
        <w:t>e</w:t>
      </w:r>
      <w:r>
        <w:t>hung zwischen zwei Parteien) aufruft. Eine logische Schlussfolgerung kann dies nicht berücksichtigen, weil die übereinstimmende Eigenschaft nicht die divergi</w:t>
      </w:r>
      <w:r>
        <w:t>e</w:t>
      </w:r>
      <w:r>
        <w:t>renden Eigenschaften auslöscht und daher nicht ausreicht, um aus dem Liebe</w:t>
      </w:r>
      <w:r>
        <w:t>s</w:t>
      </w:r>
      <w:r>
        <w:t>werben eine Vertragsverhandlung zu machen. Für die Herstellung einer Assozi</w:t>
      </w:r>
      <w:r>
        <w:t>a</w:t>
      </w:r>
      <w:r>
        <w:t>tion reicht eine solche Zuordnung einer Eigenschaft zu einem bestimmten B</w:t>
      </w:r>
      <w:r>
        <w:t>e</w:t>
      </w:r>
      <w:r>
        <w:t>reich aber völlig aus.</w:t>
      </w:r>
    </w:p>
    <w:p w:rsidR="00527796" w:rsidRDefault="00527796" w:rsidP="005B4DC0">
      <w:pPr>
        <w:pStyle w:val="Interpretation1Zeile"/>
      </w:pPr>
      <w:r>
        <w:t>2.</w:t>
      </w:r>
      <w:r>
        <w:tab/>
        <w:t>Artefaktschema ‚Sportwagen‘</w:t>
      </w:r>
    </w:p>
    <w:p w:rsidR="00527796" w:rsidRDefault="00527796" w:rsidP="00EA4DAC">
      <w:pPr>
        <w:pStyle w:val="Interpretation"/>
      </w:pPr>
      <w:r>
        <w:rPr>
          <w:i/>
        </w:rPr>
        <w:t>U</w:t>
      </w:r>
      <w:r>
        <w:t>(</w:t>
      </w:r>
      <w:r>
        <w:rPr>
          <w:i/>
        </w:rPr>
        <w:t>B</w:t>
      </w:r>
      <w:r w:rsidR="00B67A1A" w:rsidRPr="00B67A1A">
        <w:rPr>
          <w:vertAlign w:val="subscript"/>
        </w:rPr>
        <w:t>1</w:t>
      </w:r>
      <w:r>
        <w:t xml:space="preserve">): ‚Form‘, </w:t>
      </w:r>
      <w:r>
        <w:rPr>
          <w:i/>
        </w:rPr>
        <w:t>V</w:t>
      </w:r>
      <w:r>
        <w:t>(</w:t>
      </w:r>
      <w:r>
        <w:rPr>
          <w:i/>
        </w:rPr>
        <w:t>B</w:t>
      </w:r>
      <w:r w:rsidR="00B67A1A" w:rsidRPr="00B67A1A">
        <w:rPr>
          <w:vertAlign w:val="subscript"/>
        </w:rPr>
        <w:t>1</w:t>
      </w:r>
      <w:r>
        <w:t>): ‚länglich</w:t>
      </w:r>
      <w:r w:rsidR="00C85EBC">
        <w:t>;</w:t>
      </w:r>
      <w:r>
        <w:t xml:space="preserve"> zylinderähnlich</w:t>
      </w:r>
      <w:r w:rsidR="00C85EBC">
        <w:t>;</w:t>
      </w:r>
      <w:r>
        <w:t xml:space="preserve"> nach vorne spitz zulaufend‘</w:t>
      </w:r>
    </w:p>
    <w:p w:rsidR="00527796" w:rsidRDefault="00527796" w:rsidP="00EA4DAC">
      <w:pPr>
        <w:pStyle w:val="Interpretation"/>
      </w:pPr>
      <w:r>
        <w:rPr>
          <w:i/>
        </w:rPr>
        <w:t>H</w:t>
      </w:r>
      <w:r w:rsidRPr="00F20FC6">
        <w:rPr>
          <w:vertAlign w:val="subscript"/>
        </w:rPr>
        <w:t>1</w:t>
      </w:r>
      <w:r>
        <w:t>: ‚</w:t>
      </w:r>
      <w:r w:rsidR="00C85EBC">
        <w:t>Die Form von Geschossen ist läng</w:t>
      </w:r>
      <w:r w:rsidR="008F5790">
        <w:t>lich, zylindrisch und nach vorn</w:t>
      </w:r>
      <w:r w:rsidR="00C85EBC">
        <w:t xml:space="preserve"> spitz z</w:t>
      </w:r>
      <w:r w:rsidR="00C85EBC">
        <w:t>u</w:t>
      </w:r>
      <w:r w:rsidR="00C85EBC">
        <w:t>laufend</w:t>
      </w:r>
      <w:r>
        <w:t>‘</w:t>
      </w:r>
    </w:p>
    <w:p w:rsidR="00807D38" w:rsidRDefault="00807D38" w:rsidP="00EA4DAC">
      <w:pPr>
        <w:pStyle w:val="Interpretation"/>
      </w:pPr>
      <w:r>
        <w:rPr>
          <w:i/>
        </w:rPr>
        <w:t>H</w:t>
      </w:r>
      <w:r>
        <w:rPr>
          <w:vertAlign w:val="subscript"/>
        </w:rPr>
        <w:t>2</w:t>
      </w:r>
      <w:r>
        <w:t>: ‚Die Form von Sportwagen</w:t>
      </w:r>
      <w:r w:rsidR="00937DC2">
        <w:t>,</w:t>
      </w:r>
      <w:r>
        <w:t xml:space="preserve"> </w:t>
      </w:r>
      <w:r w:rsidR="00937DC2">
        <w:t xml:space="preserve">…, </w:t>
      </w:r>
      <w:r>
        <w:t>Geschossen</w:t>
      </w:r>
      <w:r w:rsidR="00937DC2">
        <w:t xml:space="preserve">, … </w:t>
      </w:r>
      <w:r>
        <w:t xml:space="preserve">ist durch </w:t>
      </w:r>
      <w:r w:rsidR="006951AB">
        <w:t>die</w:t>
      </w:r>
      <w:r>
        <w:t xml:space="preserve"> Funktion, sich schnell </w:t>
      </w:r>
      <w:r w:rsidR="00937DC2">
        <w:t xml:space="preserve">zu bewegen und dabei den Luftwiderstand zu minimieren, </w:t>
      </w:r>
      <w:r>
        <w:t>bedingt‘</w:t>
      </w:r>
    </w:p>
    <w:p w:rsidR="006951AB" w:rsidRDefault="006951AB" w:rsidP="00EA4DAC">
      <w:pPr>
        <w:pStyle w:val="Interpretation"/>
      </w:pPr>
      <w:r>
        <w:rPr>
          <w:i/>
        </w:rPr>
        <w:t>H</w:t>
      </w:r>
      <w:r>
        <w:rPr>
          <w:vertAlign w:val="subscript"/>
        </w:rPr>
        <w:t>3</w:t>
      </w:r>
      <w:r>
        <w:t>: ‚Form und Funktion sind wichtige Aspekte von Artefakten‘</w:t>
      </w:r>
    </w:p>
    <w:p w:rsidR="00C85EBC" w:rsidRPr="004457F2" w:rsidRDefault="00C85EBC" w:rsidP="005B4DC0">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rsidR="00937DC2">
        <w:t xml:space="preserve"> </w:t>
      </w:r>
      <w:r w:rsidR="00937DC2" w:rsidRPr="00D41E3E">
        <w:rPr>
          <w:rFonts w:ascii="Cambria Math" w:hAnsi="Cambria Math" w:cs="Cambria Math"/>
        </w:rPr>
        <w:t>∧</w:t>
      </w:r>
      <w:r w:rsidR="00937DC2" w:rsidRPr="00D41E3E">
        <w:rPr>
          <w:rFonts w:cs="Times New Roman"/>
        </w:rPr>
        <w:t xml:space="preserve"> </w:t>
      </w:r>
      <w:r w:rsidR="00937DC2">
        <w:rPr>
          <w:i/>
          <w:iCs/>
        </w:rPr>
        <w:t>H</w:t>
      </w:r>
      <w:r w:rsidR="00937DC2">
        <w:rPr>
          <w:iCs/>
          <w:vertAlign w:val="subscript"/>
        </w:rPr>
        <w:t>2</w:t>
      </w:r>
      <w:r w:rsidR="0056595A">
        <w:t xml:space="preserve"> </w:t>
      </w:r>
      <w:r w:rsidR="0056595A" w:rsidRPr="00D41E3E">
        <w:rPr>
          <w:rFonts w:ascii="Cambria Math" w:hAnsi="Cambria Math" w:cs="Cambria Math"/>
        </w:rPr>
        <w:t>∧</w:t>
      </w:r>
      <w:r w:rsidR="0056595A" w:rsidRPr="00D41E3E">
        <w:rPr>
          <w:rFonts w:cs="Times New Roman"/>
        </w:rPr>
        <w:t xml:space="preserve"> </w:t>
      </w:r>
      <w:r w:rsidR="0056595A">
        <w:rPr>
          <w:i/>
          <w:iCs/>
        </w:rPr>
        <w:t>H</w:t>
      </w:r>
      <w:r w:rsidR="0056595A">
        <w:rPr>
          <w:iCs/>
          <w:vertAlign w:val="subscript"/>
        </w:rPr>
        <w:t>3</w:t>
      </w:r>
      <w:r w:rsidR="0056595A">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sidRPr="0062421C">
        <w:rPr>
          <w:vertAlign w:val="subscript"/>
        </w:rPr>
        <w:t>1</w:t>
      </w:r>
    </w:p>
    <w:p w:rsidR="00527796" w:rsidRDefault="00527796" w:rsidP="00EA4DAC">
      <w:pPr>
        <w:pStyle w:val="Interpretation"/>
      </w:pPr>
      <w:r>
        <w:rPr>
          <w:i/>
        </w:rPr>
        <w:t>Er</w:t>
      </w:r>
      <w:r w:rsidRPr="00F20FC6">
        <w:rPr>
          <w:vertAlign w:val="subscript"/>
        </w:rPr>
        <w:t>1</w:t>
      </w:r>
      <w:r>
        <w:t xml:space="preserve">: ‚Der Sportwagen </w:t>
      </w:r>
      <w:r w:rsidR="00937DC2">
        <w:t xml:space="preserve">ist </w:t>
      </w:r>
      <w:r w:rsidR="006951AB">
        <w:t xml:space="preserve">in wichtigen Aspekten </w:t>
      </w:r>
      <w:r w:rsidR="00937DC2">
        <w:t xml:space="preserve">wie ein </w:t>
      </w:r>
      <w:r>
        <w:t>Geschoss‘</w:t>
      </w:r>
    </w:p>
    <w:p w:rsidR="006951AB" w:rsidRPr="004457F2" w:rsidRDefault="0056595A" w:rsidP="005B4DC0">
      <w:pPr>
        <w:pStyle w:val="Formel"/>
      </w:pPr>
      <w:r>
        <w:rPr>
          <w:i/>
          <w:iCs/>
        </w:rPr>
        <w:t>Er</w:t>
      </w:r>
      <w:r w:rsidRPr="0062421C">
        <w:rPr>
          <w:vertAlign w:val="subscript"/>
        </w:rPr>
        <w:t>1</w:t>
      </w:r>
      <w:r w:rsidR="006951AB">
        <w:t xml:space="preserve"> </w:t>
      </w:r>
      <w:r w:rsidR="002434D2">
        <w:rPr>
          <w:rFonts w:ascii="Cambria Math" w:eastAsia="Arial Unicode MS" w:hAnsi="Cambria Math" w:cs="Cambria Math"/>
          <w:color w:val="000000" w:themeColor="text1"/>
        </w:rPr>
        <w:t>⤳</w:t>
      </w:r>
      <w:r w:rsidR="006951AB">
        <w:rPr>
          <w:vertAlign w:val="subscript"/>
        </w:rPr>
        <w:t>Ind</w:t>
      </w:r>
      <w:r w:rsidR="006951AB">
        <w:t xml:space="preserve">  </w:t>
      </w:r>
      <w:r w:rsidR="006951AB">
        <w:rPr>
          <w:i/>
          <w:iCs/>
        </w:rPr>
        <w:t>Er</w:t>
      </w:r>
      <w:r w:rsidR="006951AB">
        <w:rPr>
          <w:vertAlign w:val="subscript"/>
        </w:rPr>
        <w:t>2</w:t>
      </w:r>
    </w:p>
    <w:p w:rsidR="006951AB" w:rsidRDefault="006951AB" w:rsidP="00EA4DAC">
      <w:pPr>
        <w:pStyle w:val="Interpretation"/>
      </w:pPr>
      <w:r>
        <w:rPr>
          <w:i/>
        </w:rPr>
        <w:t>Er</w:t>
      </w:r>
      <w:r>
        <w:rPr>
          <w:vertAlign w:val="subscript"/>
        </w:rPr>
        <w:t>2</w:t>
      </w:r>
      <w:r>
        <w:t>: ‚Der Sportwagen ist wie ein Geschoss‘</w:t>
      </w:r>
    </w:p>
    <w:p w:rsidR="004820AF" w:rsidRDefault="004820AF" w:rsidP="00EA4DAC">
      <w:pPr>
        <w:pStyle w:val="InterpretationletzteZeile"/>
      </w:pPr>
      <w:r>
        <w:rPr>
          <w:i/>
        </w:rPr>
        <w:t>Er</w:t>
      </w:r>
      <w:r w:rsidR="008F5790">
        <w:rPr>
          <w:vertAlign w:val="subscript"/>
        </w:rPr>
        <w:t>2</w:t>
      </w:r>
      <w:r>
        <w:t xml:space="preserve"> [metaphorisch ausgedrückt]: ‚Der Sportwagen ist ein Geschoss‘</w:t>
      </w:r>
    </w:p>
    <w:p w:rsidR="00937DC2" w:rsidRDefault="004820AF" w:rsidP="00EA4DAC">
      <w:pPr>
        <w:pStyle w:val="Text"/>
        <w:ind w:firstLine="0"/>
      </w:pPr>
      <w:r>
        <w:lastRenderedPageBreak/>
        <w:t xml:space="preserve">Hier wird die Form des Sportwagens mit Hilfe von </w:t>
      </w:r>
      <w:r w:rsidR="00937DC2">
        <w:rPr>
          <w:i/>
          <w:iCs/>
        </w:rPr>
        <w:t>H</w:t>
      </w:r>
      <w:r w:rsidR="00937DC2" w:rsidRPr="00F20FC6">
        <w:rPr>
          <w:iCs/>
          <w:vertAlign w:val="subscript"/>
        </w:rPr>
        <w:t>1</w:t>
      </w:r>
      <w:r w:rsidR="00937DC2">
        <w:t xml:space="preserve"> a</w:t>
      </w:r>
      <w:r>
        <w:t>uf die Form von G</w:t>
      </w:r>
      <w:r>
        <w:t>e</w:t>
      </w:r>
      <w:r>
        <w:t xml:space="preserve">schossen bezogen; </w:t>
      </w:r>
      <w:r w:rsidR="00937DC2">
        <w:t xml:space="preserve">mit Hilfe von </w:t>
      </w:r>
      <w:r w:rsidR="00937DC2">
        <w:rPr>
          <w:i/>
          <w:iCs/>
        </w:rPr>
        <w:t>H</w:t>
      </w:r>
      <w:r w:rsidR="00937DC2">
        <w:rPr>
          <w:iCs/>
          <w:vertAlign w:val="subscript"/>
        </w:rPr>
        <w:t>2</w:t>
      </w:r>
      <w:r w:rsidR="00937DC2">
        <w:t xml:space="preserve"> kann die gleiche Form auf </w:t>
      </w:r>
      <w:r w:rsidR="006951AB">
        <w:t>eine überei</w:t>
      </w:r>
      <w:r w:rsidR="006951AB">
        <w:t>n</w:t>
      </w:r>
      <w:r w:rsidR="006951AB">
        <w:t xml:space="preserve">stimmende </w:t>
      </w:r>
      <w:r w:rsidR="00937DC2">
        <w:t xml:space="preserve">Funktion </w:t>
      </w:r>
      <w:r w:rsidR="006951AB">
        <w:t xml:space="preserve">zurückgeführt werden. (Andere Funktionen unterscheiden sich natürlich; sie haben jedoch diejenige gemeinsam, sich schnell durch die Luft zu bewegen.) Mit Hilfe von </w:t>
      </w:r>
      <w:r w:rsidR="006951AB">
        <w:rPr>
          <w:i/>
          <w:iCs/>
        </w:rPr>
        <w:t>H</w:t>
      </w:r>
      <w:r w:rsidR="006951AB">
        <w:rPr>
          <w:iCs/>
          <w:vertAlign w:val="subscript"/>
        </w:rPr>
        <w:t>3</w:t>
      </w:r>
      <w:r w:rsidR="006951AB">
        <w:t xml:space="preserve"> kann schließlich </w:t>
      </w:r>
      <w:r w:rsidR="006951AB">
        <w:rPr>
          <w:i/>
          <w:iCs/>
        </w:rPr>
        <w:t>Er</w:t>
      </w:r>
      <w:r w:rsidR="006951AB">
        <w:rPr>
          <w:iCs/>
          <w:vertAlign w:val="subscript"/>
        </w:rPr>
        <w:t>1</w:t>
      </w:r>
      <w:r w:rsidR="006951AB">
        <w:t xml:space="preserve"> erzeugt werden, das mit einer Induktion </w:t>
      </w:r>
      <w:r w:rsidR="00356A24">
        <w:t xml:space="preserve">in </w:t>
      </w:r>
      <w:r w:rsidR="006951AB">
        <w:rPr>
          <w:i/>
          <w:iCs/>
        </w:rPr>
        <w:t>Er</w:t>
      </w:r>
      <w:r w:rsidR="006951AB">
        <w:rPr>
          <w:iCs/>
          <w:vertAlign w:val="subscript"/>
        </w:rPr>
        <w:t>2</w:t>
      </w:r>
      <w:r w:rsidR="00356A24">
        <w:t xml:space="preserve"> verallgemeinert wird. Diese Aussage einer </w:t>
      </w:r>
      <w:r w:rsidR="002E0C82">
        <w:t xml:space="preserve">allgemeinen </w:t>
      </w:r>
      <w:r w:rsidR="00356A24">
        <w:t xml:space="preserve">Ähnlichkeitsrelation kann durch Weglassen des „wie“ </w:t>
      </w:r>
      <w:r w:rsidR="008F5790">
        <w:t xml:space="preserve">in eine Metapher </w:t>
      </w:r>
      <w:r w:rsidR="00356A24">
        <w:t>umg</w:t>
      </w:r>
      <w:r w:rsidR="00356A24">
        <w:t>e</w:t>
      </w:r>
      <w:r w:rsidR="00356A24">
        <w:t xml:space="preserve">formt werden. Diese Assoziation ist prägnant und hat zu einer weit verbreiteten Metapher geführt, </w:t>
      </w:r>
      <w:r w:rsidR="006951AB">
        <w:t xml:space="preserve">die auf die zylinderförmigen Sportwagen der 1930er allerdings besser passt als auf die heutigen </w:t>
      </w:r>
      <w:r w:rsidR="00356A24">
        <w:t xml:space="preserve">eher keilförmigen </w:t>
      </w:r>
      <w:r w:rsidR="006951AB">
        <w:t xml:space="preserve">Sportwagen, </w:t>
      </w:r>
      <w:r w:rsidR="00356A24">
        <w:t xml:space="preserve">die </w:t>
      </w:r>
      <w:r w:rsidR="00243EF9">
        <w:t xml:space="preserve">das durch </w:t>
      </w:r>
      <w:r w:rsidR="006951AB">
        <w:rPr>
          <w:i/>
          <w:iCs/>
        </w:rPr>
        <w:t>B</w:t>
      </w:r>
      <w:r w:rsidR="006951AB" w:rsidRPr="00B67A1A">
        <w:rPr>
          <w:iCs/>
          <w:vertAlign w:val="subscript"/>
        </w:rPr>
        <w:t>1</w:t>
      </w:r>
      <w:r w:rsidR="006951AB">
        <w:t xml:space="preserve"> </w:t>
      </w:r>
      <w:r w:rsidR="00243EF9">
        <w:t xml:space="preserve">erzeugte Merkmal </w:t>
      </w:r>
      <w:r w:rsidR="006951AB">
        <w:t>gar nicht mehr vollständig besitzen.</w:t>
      </w:r>
    </w:p>
    <w:p w:rsidR="00C85EBC" w:rsidRDefault="00490016" w:rsidP="00527796">
      <w:pPr>
        <w:pStyle w:val="Text"/>
      </w:pPr>
      <w:r>
        <w:t xml:space="preserve">Auch durch eine </w:t>
      </w:r>
      <w:r w:rsidR="006951AB">
        <w:t xml:space="preserve">Eindrucksreaktion </w:t>
      </w:r>
      <w:r>
        <w:t xml:space="preserve">könnte </w:t>
      </w:r>
      <w:r w:rsidR="007D2EFF">
        <w:t xml:space="preserve">der Zusammenhang festgestellt werden </w:t>
      </w:r>
      <w:r>
        <w:t xml:space="preserve">– allerdings hat </w:t>
      </w:r>
      <w:r w:rsidR="00356A24">
        <w:t xml:space="preserve">das Ergebnis dann </w:t>
      </w:r>
      <w:r>
        <w:t xml:space="preserve">nicht propositionale Form, sondern </w:t>
      </w:r>
      <w:r w:rsidR="00356A24">
        <w:t>ist ein E</w:t>
      </w:r>
      <w:r>
        <w:t>indruck</w:t>
      </w:r>
      <w:r w:rsidR="007D2EFF">
        <w:t>:</w:t>
      </w:r>
      <w:r w:rsidR="00227D3B">
        <w:rPr>
          <w:rStyle w:val="Funotenzeichen"/>
        </w:rPr>
        <w:footnoteReference w:id="445"/>
      </w:r>
    </w:p>
    <w:p w:rsidR="00490016" w:rsidRDefault="00490016" w:rsidP="00EA4DAC">
      <w:pPr>
        <w:pStyle w:val="Interpretation1Zeile"/>
      </w:pPr>
      <w:r>
        <w:rPr>
          <w:i/>
        </w:rPr>
        <w:t>U</w:t>
      </w:r>
      <w:r>
        <w:t>(</w:t>
      </w:r>
      <w:r>
        <w:rPr>
          <w:i/>
        </w:rPr>
        <w:t>B</w:t>
      </w:r>
      <w:r w:rsidRPr="00B67A1A">
        <w:rPr>
          <w:vertAlign w:val="subscript"/>
        </w:rPr>
        <w:t>1</w:t>
      </w:r>
      <w:r>
        <w:t xml:space="preserve">): ‚Form‘, </w:t>
      </w:r>
      <w:r>
        <w:rPr>
          <w:i/>
        </w:rPr>
        <w:t>V</w:t>
      </w:r>
      <w:r>
        <w:t>(</w:t>
      </w:r>
      <w:r>
        <w:rPr>
          <w:i/>
        </w:rPr>
        <w:t>B</w:t>
      </w:r>
      <w:r w:rsidRPr="00B67A1A">
        <w:rPr>
          <w:vertAlign w:val="subscript"/>
        </w:rPr>
        <w:t>1</w:t>
      </w:r>
      <w:r>
        <w:t>): ‚länglich; zylinderähnlich; nach vorne spitz zulaufend‘</w:t>
      </w:r>
    </w:p>
    <w:p w:rsidR="00490016" w:rsidRDefault="00490016" w:rsidP="00EA4DAC">
      <w:pPr>
        <w:pStyle w:val="Interpretation"/>
      </w:pPr>
      <w:r>
        <w:rPr>
          <w:i/>
        </w:rPr>
        <w:t>H</w:t>
      </w:r>
      <w:r w:rsidRPr="00F20FC6">
        <w:rPr>
          <w:vertAlign w:val="subscript"/>
        </w:rPr>
        <w:t>1</w:t>
      </w:r>
      <w:r>
        <w:t>: ‚Die Form von Geschossen ist länglich, zylindrisch und nach vorne spitz zulaufend‘</w:t>
      </w:r>
    </w:p>
    <w:p w:rsidR="00490016" w:rsidRPr="004457F2" w:rsidRDefault="00490016" w:rsidP="005B4DC0">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1</w:t>
      </w:r>
      <w:r>
        <w:t xml:space="preserve"> </w:t>
      </w:r>
      <w:r w:rsidR="002434D2">
        <w:rPr>
          <w:rFonts w:ascii="Cambria Math" w:eastAsia="Arial Unicode MS" w:hAnsi="Cambria Math" w:cs="Cambria Math"/>
          <w:color w:val="000000" w:themeColor="text1"/>
        </w:rPr>
        <w:t>⤳</w:t>
      </w:r>
      <w:r w:rsidR="00227D3B">
        <w:rPr>
          <w:vertAlign w:val="subscript"/>
        </w:rPr>
        <w:t>Edr</w:t>
      </w:r>
      <w:r>
        <w:t xml:space="preserve">  </w:t>
      </w:r>
      <w:r>
        <w:rPr>
          <w:i/>
          <w:iCs/>
        </w:rPr>
        <w:t>Er</w:t>
      </w:r>
      <w:r w:rsidRPr="0062421C">
        <w:rPr>
          <w:vertAlign w:val="subscript"/>
        </w:rPr>
        <w:t>1</w:t>
      </w:r>
    </w:p>
    <w:p w:rsidR="00490016" w:rsidRDefault="00490016" w:rsidP="00EA4DAC">
      <w:pPr>
        <w:pStyle w:val="InterpretationletzteZeile"/>
      </w:pPr>
      <w:r>
        <w:rPr>
          <w:i/>
        </w:rPr>
        <w:t>Er</w:t>
      </w:r>
      <w:r w:rsidRPr="00F20FC6">
        <w:rPr>
          <w:vertAlign w:val="subscript"/>
        </w:rPr>
        <w:t>1</w:t>
      </w:r>
      <w:r>
        <w:t xml:space="preserve"> (e): ‚Der Sportwagen </w:t>
      </w:r>
      <w:r w:rsidR="00937DC2">
        <w:t>hat die Form eines Geschosses</w:t>
      </w:r>
      <w:r>
        <w:t>‘</w:t>
      </w:r>
    </w:p>
    <w:p w:rsidR="00527796" w:rsidRPr="007D2EFF" w:rsidRDefault="007D2EFF" w:rsidP="00EA4DAC">
      <w:pPr>
        <w:pStyle w:val="Text"/>
        <w:ind w:firstLine="0"/>
        <w:rPr>
          <w:sz w:val="18"/>
          <w:szCs w:val="18"/>
        </w:rPr>
      </w:pPr>
      <w:r>
        <w:t>Bei einer Eindrucksreaktion kann allerdings nicht das Hintergrundwissen über die Ursache der Formähnlichkeit berücksichtigt werden; reine Formähnlichke</w:t>
      </w:r>
      <w:r>
        <w:t>i</w:t>
      </w:r>
      <w:r>
        <w:t>ten gibt es jedoch viele, so dass der Eindruck der Ähnlichkeit für die Entstehung der Metapher wohl nicht ausreicht. Plausibel ist, dass beides zusammenspielt: Die unmittelbar wahrgenommene Übereinstimmung der Form – der Eindruck – ist vielleicht zuerst da; erst über den propositionalen Nachvollzug und die Hi</w:t>
      </w:r>
      <w:r>
        <w:t>n</w:t>
      </w:r>
      <w:r>
        <w:t xml:space="preserve">zuziehung des Hintergrundwissens über die gemeinsame Funktion </w:t>
      </w:r>
      <w:r w:rsidR="002E0C82">
        <w:t>(</w:t>
      </w:r>
      <w:r w:rsidR="002E0C82">
        <w:rPr>
          <w:i/>
          <w:iCs/>
        </w:rPr>
        <w:t>H</w:t>
      </w:r>
      <w:r w:rsidR="002E0C82">
        <w:rPr>
          <w:iCs/>
          <w:vertAlign w:val="subscript"/>
        </w:rPr>
        <w:t>2</w:t>
      </w:r>
      <w:r w:rsidR="002E0C82">
        <w:t xml:space="preserve">) </w:t>
      </w:r>
      <w:r>
        <w:t xml:space="preserve">wird der Bezug jedoch so stark, dass </w:t>
      </w:r>
      <w:r w:rsidR="002E0C82">
        <w:t>eine</w:t>
      </w:r>
      <w:r>
        <w:t xml:space="preserve"> </w:t>
      </w:r>
      <w:r w:rsidR="002E0C82">
        <w:t xml:space="preserve">allgemeine </w:t>
      </w:r>
      <w:r>
        <w:t>Ähnlichkeitsrelation (</w:t>
      </w:r>
      <w:r>
        <w:rPr>
          <w:i/>
          <w:iCs/>
        </w:rPr>
        <w:t>Er</w:t>
      </w:r>
      <w:r>
        <w:rPr>
          <w:iCs/>
          <w:vertAlign w:val="subscript"/>
        </w:rPr>
        <w:t>2</w:t>
      </w:r>
      <w:r>
        <w:t>) und die darauf aufbauende Metapher plausibel werden.</w:t>
      </w:r>
    </w:p>
    <w:p w:rsidR="00527796" w:rsidRDefault="00527796" w:rsidP="00EA4DAC">
      <w:pPr>
        <w:pStyle w:val="Interpretation1Zeile"/>
      </w:pPr>
      <w:r>
        <w:t>3.</w:t>
      </w:r>
      <w:r>
        <w:tab/>
        <w:t>Textschema ‚Beziehungsratgeber‘</w:t>
      </w:r>
    </w:p>
    <w:p w:rsidR="00527796" w:rsidRDefault="00527796" w:rsidP="00EA4DAC">
      <w:pPr>
        <w:pStyle w:val="Interpretation"/>
      </w:pPr>
      <w:r>
        <w:rPr>
          <w:i/>
        </w:rPr>
        <w:t>U</w:t>
      </w:r>
      <w:r>
        <w:t>(</w:t>
      </w:r>
      <w:r>
        <w:rPr>
          <w:i/>
        </w:rPr>
        <w:t>B</w:t>
      </w:r>
      <w:r w:rsidR="00B67A1A" w:rsidRPr="00B67A1A">
        <w:rPr>
          <w:vertAlign w:val="subscript"/>
        </w:rPr>
        <w:t>1</w:t>
      </w:r>
      <w:r>
        <w:t xml:space="preserve">): ‚Darstellungen von Problemen und Lösungsmöglichkeiten‘, </w:t>
      </w:r>
      <w:r>
        <w:rPr>
          <w:i/>
        </w:rPr>
        <w:t>V</w:t>
      </w:r>
      <w:r>
        <w:t>(</w:t>
      </w:r>
      <w:r>
        <w:rPr>
          <w:i/>
        </w:rPr>
        <w:t>B</w:t>
      </w:r>
      <w:r w:rsidR="00B67A1A" w:rsidRPr="00B67A1A">
        <w:rPr>
          <w:vertAlign w:val="subscript"/>
        </w:rPr>
        <w:t>1</w:t>
      </w:r>
      <w:r>
        <w:t>): ‚in Form von Schritt-für-S</w:t>
      </w:r>
      <w:r w:rsidR="002E0C82">
        <w:t>chritt-Anleitungen, Checklisten und</w:t>
      </w:r>
      <w:r>
        <w:t xml:space="preserve"> Flowcharts‘</w:t>
      </w:r>
    </w:p>
    <w:p w:rsidR="00527796" w:rsidRDefault="00527796" w:rsidP="00EA4DAC">
      <w:pPr>
        <w:pStyle w:val="Interpretation"/>
      </w:pPr>
      <w:r>
        <w:rPr>
          <w:i/>
        </w:rPr>
        <w:t>U</w:t>
      </w:r>
      <w:r>
        <w:t>(</w:t>
      </w:r>
      <w:r>
        <w:rPr>
          <w:i/>
        </w:rPr>
        <w:t>B</w:t>
      </w:r>
      <w:r w:rsidR="00B67A1A">
        <w:rPr>
          <w:vertAlign w:val="subscript"/>
        </w:rPr>
        <w:t>2</w:t>
      </w:r>
      <w:r>
        <w:t xml:space="preserve">): ‚Darstellung von Beziehungen‘, </w:t>
      </w:r>
      <w:r>
        <w:rPr>
          <w:i/>
        </w:rPr>
        <w:t>V</w:t>
      </w:r>
      <w:r>
        <w:t>(</w:t>
      </w:r>
      <w:r>
        <w:rPr>
          <w:i/>
        </w:rPr>
        <w:t>B</w:t>
      </w:r>
      <w:r w:rsidR="00B67A1A">
        <w:rPr>
          <w:vertAlign w:val="subscript"/>
        </w:rPr>
        <w:t>2</w:t>
      </w:r>
      <w:r>
        <w:t>): ‚als Mechanismus, dessen Funkt</w:t>
      </w:r>
      <w:r>
        <w:t>i</w:t>
      </w:r>
      <w:r>
        <w:t>onsweise man beschreiben und dessen richtige Bedienung man lernen kann‘</w:t>
      </w:r>
    </w:p>
    <w:p w:rsidR="00527796" w:rsidRDefault="00527796" w:rsidP="00EA4DAC">
      <w:pPr>
        <w:pStyle w:val="Interpretation"/>
      </w:pPr>
      <w:r>
        <w:rPr>
          <w:i/>
        </w:rPr>
        <w:lastRenderedPageBreak/>
        <w:t>U</w:t>
      </w:r>
      <w:r>
        <w:t>(</w:t>
      </w:r>
      <w:r>
        <w:rPr>
          <w:i/>
        </w:rPr>
        <w:t>B</w:t>
      </w:r>
      <w:r w:rsidR="00B67A1A">
        <w:rPr>
          <w:vertAlign w:val="subscript"/>
        </w:rPr>
        <w:t>3</w:t>
      </w:r>
      <w:r>
        <w:t xml:space="preserve">): ‚Formulierungen‘, </w:t>
      </w:r>
      <w:r>
        <w:rPr>
          <w:i/>
        </w:rPr>
        <w:t>V</w:t>
      </w:r>
      <w:r>
        <w:t>(</w:t>
      </w:r>
      <w:r>
        <w:rPr>
          <w:i/>
        </w:rPr>
        <w:t>B</w:t>
      </w:r>
      <w:r w:rsidR="00B67A1A">
        <w:rPr>
          <w:vertAlign w:val="subscript"/>
        </w:rPr>
        <w:t>3</w:t>
      </w:r>
      <w:r w:rsidR="002E0C82">
        <w:t>): ‚klar;</w:t>
      </w:r>
      <w:r>
        <w:t xml:space="preserve"> trocken‘</w:t>
      </w:r>
    </w:p>
    <w:p w:rsidR="00527796" w:rsidRDefault="00527796" w:rsidP="00EA4DAC">
      <w:pPr>
        <w:pStyle w:val="Interpretation"/>
      </w:pPr>
      <w:r>
        <w:rPr>
          <w:i/>
        </w:rPr>
        <w:t>H</w:t>
      </w:r>
      <w:r w:rsidRPr="00F20FC6">
        <w:rPr>
          <w:vertAlign w:val="subscript"/>
        </w:rPr>
        <w:t>1</w:t>
      </w:r>
      <w:r>
        <w:t>:</w:t>
      </w:r>
      <w:r w:rsidR="00DD45B2">
        <w:t xml:space="preserve"> </w:t>
      </w:r>
      <w:r>
        <w:t>‚Bedienungsanleitungen beschreiben die Funktionen, die richtige Bedienung und die Fehlerbehebung bei technischen Geräten‘</w:t>
      </w:r>
    </w:p>
    <w:p w:rsidR="00527796" w:rsidRDefault="00527796" w:rsidP="00EA4DAC">
      <w:pPr>
        <w:pStyle w:val="Interpretation"/>
      </w:pPr>
      <w:r>
        <w:rPr>
          <w:i/>
        </w:rPr>
        <w:t>H</w:t>
      </w:r>
      <w:r>
        <w:rPr>
          <w:vertAlign w:val="subscript"/>
        </w:rPr>
        <w:t>2</w:t>
      </w:r>
      <w:r>
        <w:t>: ‚Bedienungsanleitungen geben genau an, wie vorzugehen ist (manchmal in Schritt-für-Schritt-Anleitungen)‘</w:t>
      </w:r>
    </w:p>
    <w:p w:rsidR="00527796" w:rsidRDefault="00527796" w:rsidP="00EA4DAC">
      <w:pPr>
        <w:pStyle w:val="Interpretation"/>
      </w:pPr>
      <w:r>
        <w:rPr>
          <w:i/>
        </w:rPr>
        <w:t>H</w:t>
      </w:r>
      <w:r>
        <w:rPr>
          <w:vertAlign w:val="subscript"/>
        </w:rPr>
        <w:t>3</w:t>
      </w:r>
      <w:r>
        <w:t>: ‚Bedienungsanleitungen sind sachlich, trocken und häufig schwer verstän</w:t>
      </w:r>
      <w:r>
        <w:t>d</w:t>
      </w:r>
      <w:r>
        <w:t>lich geschrieben‘</w:t>
      </w:r>
    </w:p>
    <w:p w:rsidR="002E0C82" w:rsidRPr="004457F2" w:rsidRDefault="002E0C82" w:rsidP="005B4DC0">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3</w:t>
      </w:r>
      <w:r>
        <w:t xml:space="preserve"> </w:t>
      </w:r>
      <w:r w:rsidRPr="00D41E3E">
        <w:rPr>
          <w:rFonts w:ascii="Cambria Math" w:hAnsi="Cambria Math" w:cs="Cambria Math"/>
        </w:rPr>
        <w:t>∧</w:t>
      </w:r>
      <w:r w:rsidRPr="00D41E3E">
        <w:rPr>
          <w:rFonts w:cs="Times New Roman"/>
        </w:rPr>
        <w:t xml:space="preserve"> </w:t>
      </w:r>
      <w:r>
        <w:rPr>
          <w:i/>
          <w:iCs/>
        </w:rPr>
        <w:t>H</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2</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3</w:t>
      </w:r>
      <w:r>
        <w:t xml:space="preserve"> </w:t>
      </w:r>
      <w:r w:rsidR="002434D2">
        <w:rPr>
          <w:rFonts w:ascii="Cambria Math" w:eastAsia="Arial Unicode MS" w:hAnsi="Cambria Math" w:cs="Cambria Math"/>
          <w:color w:val="000000" w:themeColor="text1"/>
        </w:rPr>
        <w:t>⤳</w:t>
      </w:r>
      <w:r w:rsidR="00F56280">
        <w:rPr>
          <w:vertAlign w:val="subscript"/>
        </w:rPr>
        <w:t>Ass</w:t>
      </w:r>
      <w:r>
        <w:t xml:space="preserve">  </w:t>
      </w:r>
      <w:r>
        <w:rPr>
          <w:i/>
          <w:iCs/>
        </w:rPr>
        <w:t>Er</w:t>
      </w:r>
      <w:r>
        <w:rPr>
          <w:vertAlign w:val="subscript"/>
        </w:rPr>
        <w:t>1</w:t>
      </w:r>
    </w:p>
    <w:p w:rsidR="00527796" w:rsidRDefault="00527796" w:rsidP="00EA4DAC">
      <w:pPr>
        <w:pStyle w:val="InterpretationletzteZeile"/>
      </w:pPr>
      <w:r>
        <w:rPr>
          <w:i/>
        </w:rPr>
        <w:t>Er</w:t>
      </w:r>
      <w:r w:rsidRPr="00F20FC6">
        <w:rPr>
          <w:vertAlign w:val="subscript"/>
        </w:rPr>
        <w:t>1</w:t>
      </w:r>
      <w:r>
        <w:t>: ‚Der Ratgeber erinnert an eine Bedienungsanleitung‘</w:t>
      </w:r>
    </w:p>
    <w:p w:rsidR="00527796" w:rsidRDefault="00527796" w:rsidP="00EA4DAC">
      <w:pPr>
        <w:pStyle w:val="Text"/>
        <w:ind w:firstLine="0"/>
      </w:pPr>
      <w:r>
        <w:t>In diesem Beispiel wird deutlich, dass die Assoziation keine mechanisch funkt</w:t>
      </w:r>
      <w:r>
        <w:t>i</w:t>
      </w:r>
      <w:r>
        <w:t>onierende Ableitung ist. Es gibt eine Reihe von Ähnlichkeiten zwischen Bezi</w:t>
      </w:r>
      <w:r>
        <w:t>e</w:t>
      </w:r>
      <w:r>
        <w:t xml:space="preserve">hungsratgebern und Bedienungsanleitungen, allerdings sind diese nur teilweise direkte Übereinstimmungen: Diese liegen etwa in der Darstellung in Form von Schritt-für-Schritt-Anleitungen und in der trockenen Ausdrucksweise vor. Die Verwendung von Checklisten und Flowcharts </w:t>
      </w:r>
      <w:r w:rsidR="00F56280">
        <w:t xml:space="preserve">entspricht </w:t>
      </w:r>
      <w:r>
        <w:t xml:space="preserve">zwar nicht direkt den im Hintergrundwissen gespeicherten Eigenschaften von Bedienungsanleitungen, </w:t>
      </w:r>
      <w:r w:rsidR="00F56280">
        <w:t xml:space="preserve">fällt aber </w:t>
      </w:r>
      <w:r>
        <w:t>unter eine allgemeine Kategorie (genaue Angaben zur Vorgehenswe</w:t>
      </w:r>
      <w:r>
        <w:t>i</w:t>
      </w:r>
      <w:r>
        <w:t>se). Ebenso entspricht die Klarheit der Formulierungen nicht dem, was man von tatsächlichen Bedienungsanleitungen kennt; aber sie entspricht der Aufgabe e</w:t>
      </w:r>
      <w:r>
        <w:t>i</w:t>
      </w:r>
      <w:r>
        <w:t>ner Bedienungsanleitung und passt daher auch zu den tatsächlich gegebenen anderen Aspekten, die tatsäc</w:t>
      </w:r>
      <w:r w:rsidR="00613FD5">
        <w:t>hlich auftreten (Sachlichkeit).</w:t>
      </w:r>
    </w:p>
    <w:p w:rsidR="00527796" w:rsidRDefault="00527796" w:rsidP="00527796">
      <w:pPr>
        <w:pStyle w:val="Text"/>
      </w:pPr>
      <w:r>
        <w:t xml:space="preserve">Komplexer ist der Bezug, der hier in </w:t>
      </w:r>
      <w:r>
        <w:rPr>
          <w:i/>
          <w:iCs/>
        </w:rPr>
        <w:t>B</w:t>
      </w:r>
      <w:r w:rsidR="00B67A1A">
        <w:rPr>
          <w:iCs/>
          <w:vertAlign w:val="subscript"/>
        </w:rPr>
        <w:t>2</w:t>
      </w:r>
      <w:r>
        <w:t xml:space="preserve"> formuliert wird: Diese Merkmalsr</w:t>
      </w:r>
      <w:r>
        <w:t>e</w:t>
      </w:r>
      <w:r>
        <w:t>gel entsteht vermutlich erst durch den Bezug zu Bedienungsanleitungen. Ve</w:t>
      </w:r>
      <w:r>
        <w:t>r</w:t>
      </w:r>
      <w:r>
        <w:t>mutlich würde der S</w:t>
      </w:r>
      <w:r w:rsidR="00DD45B2">
        <w:t>W</w:t>
      </w:r>
      <w:r>
        <w:t xml:space="preserve"> gar nicht darauf kommen, der </w:t>
      </w:r>
      <w:r w:rsidR="006A3ADF">
        <w:t>‚</w:t>
      </w:r>
      <w:r>
        <w:t>Darstellung von Bezi</w:t>
      </w:r>
      <w:r>
        <w:t>e</w:t>
      </w:r>
      <w:r>
        <w:t>hungen</w:t>
      </w:r>
      <w:r w:rsidR="006A3ADF">
        <w:t>‘</w:t>
      </w:r>
      <w:r>
        <w:t xml:space="preserve"> gerade diese Eigenschaft zuzuordnen, wenn er/sie nicht bereits die A</w:t>
      </w:r>
      <w:r>
        <w:t>s</w:t>
      </w:r>
      <w:r>
        <w:t xml:space="preserve">soziation zu Bedienungsanleitungen gefunden hätte. Umgekehrt bildet diese Merkmalsregel sicherlich eine wichtige Basis für genau diesen Bezug. Es ist </w:t>
      </w:r>
      <w:r w:rsidR="006A3ADF">
        <w:t xml:space="preserve">eine </w:t>
      </w:r>
      <w:r>
        <w:t>bis heute weitgehend ungeklärte Eigenschaft von Assoziationen, Bezüge herz</w:t>
      </w:r>
      <w:r>
        <w:t>u</w:t>
      </w:r>
      <w:r>
        <w:t>stellen, die in dieser Weise holistisch</w:t>
      </w:r>
      <w:r w:rsidR="005D7996">
        <w:fldChar w:fldCharType="begin"/>
      </w:r>
      <w:r w:rsidR="00D32BFE">
        <w:instrText xml:space="preserve"> XE "</w:instrText>
      </w:r>
      <w:r w:rsidR="00D32BFE" w:rsidRPr="002D4618">
        <w:instrText>Holismus</w:instrText>
      </w:r>
      <w:r w:rsidR="00D32BFE">
        <w:instrText xml:space="preserve">" </w:instrText>
      </w:r>
      <w:r w:rsidR="005D7996">
        <w:fldChar w:fldCharType="end"/>
      </w:r>
      <w:r>
        <w:t xml:space="preserve"> sind: Die Merkmalsregel ist wichtig für die Herstellung des Bezugs zu Bedienungsanleitungen, ist aber gleichzeitig so ung</w:t>
      </w:r>
      <w:r>
        <w:t>e</w:t>
      </w:r>
      <w:r>
        <w:t>wöhnlich, dass ihre Bildung diesen Bezug vorauszusetzen scheint. Dies ist j</w:t>
      </w:r>
      <w:r>
        <w:t>e</w:t>
      </w:r>
      <w:r>
        <w:t>doch kein Paradox, sondern illustriert nur eine tatsächlich vorkommende Fun</w:t>
      </w:r>
      <w:r>
        <w:t>k</w:t>
      </w:r>
      <w:r>
        <w:t>tionsweise unseres Gehirns</w:t>
      </w:r>
      <w:r w:rsidR="005D7996">
        <w:fldChar w:fldCharType="begin"/>
      </w:r>
      <w:r w:rsidR="00F815B0">
        <w:instrText xml:space="preserve"> XE "</w:instrText>
      </w:r>
      <w:r w:rsidR="00F815B0" w:rsidRPr="00780F62">
        <w:instrText>Gehirn</w:instrText>
      </w:r>
      <w:r w:rsidR="00F815B0">
        <w:instrText xml:space="preserve">" </w:instrText>
      </w:r>
      <w:r w:rsidR="005D7996">
        <w:fldChar w:fldCharType="end"/>
      </w:r>
      <w:r>
        <w:t>, das in der Lage ist, komplexe Muster zu vergleichen und dabei Zusammenhänge zu erkennen, die vermutlich erst nachträglich in pr</w:t>
      </w:r>
      <w:r>
        <w:t>ä</w:t>
      </w:r>
      <w:r>
        <w:t>zise Form gefasst werden: Wenn die Assoziation bereits die Verbindung zw</w:t>
      </w:r>
      <w:r>
        <w:t>i</w:t>
      </w:r>
      <w:r>
        <w:t>schen beiden Bereichen geschaffen hat, kann die Merkmalsregel so präzise fo</w:t>
      </w:r>
      <w:r>
        <w:t>r</w:t>
      </w:r>
      <w:r>
        <w:t>muliert werden, wie dies oben der Fall ist. (Dies ist ein Beispiel für die Rückwi</w:t>
      </w:r>
      <w:r>
        <w:t>r</w:t>
      </w:r>
      <w:r>
        <w:t xml:space="preserve">kung des Interpretationsprozesses auf den Merkmalsprozess; vgl. Abschnitt </w:t>
      </w:r>
      <w:r w:rsidR="005D7996">
        <w:fldChar w:fldCharType="begin"/>
      </w:r>
      <w:r w:rsidR="000425F5">
        <w:instrText xml:space="preserve"> REF _Ref259267296 \r \h </w:instrText>
      </w:r>
      <w:r w:rsidR="005D7996">
        <w:fldChar w:fldCharType="separate"/>
      </w:r>
      <w:r w:rsidR="001231D3">
        <w:t>7.3.4</w:t>
      </w:r>
      <w:r w:rsidR="005D7996">
        <w:fldChar w:fldCharType="end"/>
      </w:r>
      <w:r>
        <w:t>).</w:t>
      </w:r>
    </w:p>
    <w:p w:rsidR="001E5965" w:rsidRDefault="001E5965" w:rsidP="001E5965">
      <w:pPr>
        <w:pStyle w:val="Titel3"/>
      </w:pPr>
      <w:bookmarkStart w:id="345" w:name="_Ref273281415"/>
      <w:bookmarkStart w:id="346" w:name="_Toc325456783"/>
      <w:bookmarkStart w:id="347" w:name="Bedeutungssuche"/>
      <w:bookmarkEnd w:id="344"/>
      <w:r>
        <w:lastRenderedPageBreak/>
        <w:t>Bedeutungssuche</w:t>
      </w:r>
      <w:bookmarkEnd w:id="345"/>
      <w:bookmarkEnd w:id="346"/>
    </w:p>
    <w:p w:rsidR="001E5965" w:rsidRDefault="005D7996" w:rsidP="00EA4DAC">
      <w:pPr>
        <w:pStyle w:val="Text"/>
        <w:ind w:firstLine="0"/>
      </w:pPr>
      <w:r>
        <w:fldChar w:fldCharType="begin"/>
      </w:r>
      <w:r w:rsidR="008572A3">
        <w:instrText xml:space="preserve"> XE "Bedeutungssuche" \r "Bedeutungssuche" </w:instrText>
      </w:r>
      <w:r>
        <w:fldChar w:fldCharType="end"/>
      </w:r>
      <w:r>
        <w:fldChar w:fldCharType="begin"/>
      </w:r>
      <w:r w:rsidR="008572A3">
        <w:instrText xml:space="preserve"> XE "Bedeutungssuche" \t "</w:instrText>
      </w:r>
      <w:r w:rsidR="008572A3" w:rsidRPr="007247A5">
        <w:rPr>
          <w:i/>
        </w:rPr>
        <w:instrText>et passim</w:instrText>
      </w:r>
      <w:r w:rsidR="008572A3">
        <w:instrText xml:space="preserve">" </w:instrText>
      </w:r>
      <w:r>
        <w:fldChar w:fldCharType="end"/>
      </w:r>
      <w:r w:rsidR="001E5965">
        <w:t>Diese Operation sucht nach mit Merkmalsregeln verbundenen Bedeutungen. Eine einzelne, mehrere oder alle Merkmalsregeln eines Stils können über Bede</w:t>
      </w:r>
      <w:r w:rsidR="001E5965">
        <w:t>u</w:t>
      </w:r>
      <w:r w:rsidR="001E5965">
        <w:t xml:space="preserve">tungen verfügen, </w:t>
      </w:r>
      <w:r w:rsidR="00E012BE">
        <w:t xml:space="preserve">also über Zeicheninhalte, </w:t>
      </w:r>
      <w:r w:rsidR="001E5965">
        <w:t>die ihnen innerhalb einer Kultur</w:t>
      </w:r>
      <w:r>
        <w:fldChar w:fldCharType="begin"/>
      </w:r>
      <w:r w:rsidR="00E03D5C">
        <w:instrText xml:space="preserve"> XE "</w:instrText>
      </w:r>
      <w:r w:rsidR="00E03D5C" w:rsidRPr="00C1049D">
        <w:instrText>Kultur</w:instrText>
      </w:r>
      <w:r w:rsidR="00E03D5C">
        <w:instrText xml:space="preserve">" </w:instrText>
      </w:r>
      <w:r>
        <w:fldChar w:fldCharType="end"/>
      </w:r>
      <w:r w:rsidR="001E5965">
        <w:t xml:space="preserve">, einer sozialen Gruppierung oder einer Anzahl von Stilbenutzern konventionell zugeordnet werden. Dabei geht es nur um Bedeutungen für Merkmalsregeln insgesamt, nicht um Bedeutungen, die innerhalb des </w:t>
      </w:r>
      <w:r w:rsidR="001E5965" w:rsidRPr="00F94496">
        <w:rPr>
          <w:i/>
        </w:rPr>
        <w:t>U</w:t>
      </w:r>
      <w:r w:rsidR="001E5965">
        <w:t xml:space="preserve"> oder </w:t>
      </w:r>
      <w:r w:rsidR="001E5965" w:rsidRPr="00F94496">
        <w:rPr>
          <w:i/>
        </w:rPr>
        <w:t>V</w:t>
      </w:r>
      <w:r w:rsidR="001E5965">
        <w:t xml:space="preserve"> einer Merkmal</w:t>
      </w:r>
      <w:r w:rsidR="001E5965">
        <w:t>s</w:t>
      </w:r>
      <w:r w:rsidR="001E5965">
        <w:t>regel spezifiziert sind.</w:t>
      </w:r>
      <w:r w:rsidR="00310783">
        <w:rPr>
          <w:rStyle w:val="Funotenzeichen"/>
          <w:rFonts w:eastAsia="Times New Roman" w:cs="Times New Roman"/>
        </w:rPr>
        <w:footnoteReference w:id="446"/>
      </w:r>
      <w:r w:rsidR="00896A70">
        <w:t xml:space="preserve"> Die Operation gibt die gefundenen Bedeutungen als Propositionsannahmen aus.</w:t>
      </w:r>
    </w:p>
    <w:p w:rsidR="001E5965" w:rsidRDefault="007D1864" w:rsidP="001E5965">
      <w:pPr>
        <w:pStyle w:val="Text"/>
      </w:pPr>
      <w:r>
        <w:t>Sind Stile</w:t>
      </w:r>
      <w:r w:rsidR="00DB5BC5">
        <w:t>, die</w:t>
      </w:r>
      <w:r>
        <w:t xml:space="preserve"> Bedeutungen </w:t>
      </w:r>
      <w:r w:rsidR="00DB5BC5">
        <w:t xml:space="preserve">besitzen, </w:t>
      </w:r>
      <w:r>
        <w:t xml:space="preserve">kodiert? – </w:t>
      </w:r>
      <w:r w:rsidR="001E5965">
        <w:t>Kodes (Zeichensysteme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rsidR="001E5965">
        <w:t>) bestehen aus einem konventionellen Zeichenrepertoire und Kombinationsregeln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rsidR="001E5965">
        <w:t>, die dessen Verwendungsmöglichkeiten festlegen.</w:t>
      </w:r>
      <w:r w:rsidR="001E5965">
        <w:rPr>
          <w:rStyle w:val="Funotenzeichen"/>
        </w:rPr>
        <w:footnoteReference w:id="447"/>
      </w:r>
      <w:r w:rsidR="001E5965">
        <w:t xml:space="preserve"> Eine Menge an Merkmalsr</w:t>
      </w:r>
      <w:r w:rsidR="001E5965">
        <w:t>e</w:t>
      </w:r>
      <w:r w:rsidR="001E5965">
        <w:t>geln mit zugeordneten Bedeutungen ist ein Zeichenrepertoire; da Merkmalsr</w:t>
      </w:r>
      <w:r w:rsidR="001E5965">
        <w:t>e</w:t>
      </w:r>
      <w:r w:rsidR="001E5965">
        <w:t>geln selbst festlegen, wie sie anzuwenden sind</w:t>
      </w:r>
      <w:r w:rsidR="00DB5BC5">
        <w:t xml:space="preserve"> (in den Anwendungsbedingungen </w:t>
      </w:r>
      <w:r w:rsidR="00DB5BC5" w:rsidRPr="00DB5BC5">
        <w:rPr>
          <w:i/>
        </w:rPr>
        <w:t>U</w:t>
      </w:r>
      <w:r w:rsidR="00DB5BC5">
        <w:t>)</w:t>
      </w:r>
      <w:r w:rsidR="001E5965">
        <w:t>, sind zusätzliche Kombinationsregeln nicht nowendig und es kann von einem „Kode</w:t>
      </w:r>
      <w:r w:rsidR="005D7996">
        <w:fldChar w:fldCharType="begin"/>
      </w:r>
      <w:r w:rsidR="00B2444A">
        <w:instrText xml:space="preserve"> XE "</w:instrText>
      </w:r>
      <w:r w:rsidR="00B2444A" w:rsidRPr="00843AC3">
        <w:instrText>Kode</w:instrText>
      </w:r>
      <w:r w:rsidR="00B2444A">
        <w:instrText xml:space="preserve">" </w:instrText>
      </w:r>
      <w:r w:rsidR="005D7996">
        <w:fldChar w:fldCharType="end"/>
      </w:r>
      <w:r w:rsidR="001E5965">
        <w:t xml:space="preserve">“ gesprochen werden. Bei diesen Stilen handelt es sich somit um einen Kodetyp mit den Eigenschaften, dass die Zeichenträger ihres Zeichenrepertoires Regeln </w:t>
      </w:r>
      <w:r w:rsidR="00E012BE">
        <w:t xml:space="preserve">sind </w:t>
      </w:r>
      <w:r w:rsidR="001E5965">
        <w:t xml:space="preserve">und </w:t>
      </w:r>
      <w:r w:rsidR="00E012BE">
        <w:t xml:space="preserve">dass </w:t>
      </w:r>
      <w:r w:rsidR="001E5965">
        <w:t xml:space="preserve">die </w:t>
      </w:r>
      <w:r w:rsidR="00531AF8">
        <w:t>Kombinations</w:t>
      </w:r>
      <w:r w:rsidR="001E5965">
        <w:t>regeln in den Zeichenträgern des Ze</w:t>
      </w:r>
      <w:r w:rsidR="001E5965">
        <w:t>i</w:t>
      </w:r>
      <w:r w:rsidR="001E5965">
        <w:t xml:space="preserve">chenrepertoires enthalten sind. Zu beachten ist </w:t>
      </w:r>
      <w:r>
        <w:t>dabei</w:t>
      </w:r>
      <w:r w:rsidR="001E5965">
        <w:t xml:space="preserve">, dass bei den meisten Stilen nicht alle Merkmalsregeln Bedeutungen </w:t>
      </w:r>
      <w:r w:rsidR="00613FD5">
        <w:t>haben</w:t>
      </w:r>
      <w:r w:rsidR="001E5965">
        <w:t>; solche Stile haben kodierte und nicht-kodierte Bestandteile.</w:t>
      </w:r>
    </w:p>
    <w:p w:rsidR="001E5965" w:rsidRDefault="001E5965" w:rsidP="001E5965">
      <w:pPr>
        <w:pStyle w:val="Text"/>
      </w:pPr>
      <w:r>
        <w:t>Kodierte Stile sind von konvention</w:t>
      </w:r>
      <w:r w:rsidR="00613FD5">
        <w:t>a</w:t>
      </w:r>
      <w:r>
        <w:t xml:space="preserve">lisierten Stilen zu unterscheiden; bei diesen ist nur der Stil an und für sich (für eine gewisse </w:t>
      </w:r>
      <w:r w:rsidR="00531AF8">
        <w:t>An</w:t>
      </w:r>
      <w:r>
        <w:t>wendergruppe) ko</w:t>
      </w:r>
      <w:r>
        <w:t>n</w:t>
      </w:r>
      <w:r>
        <w:t>ventionell festgelegt. Häufig geht dieser Vorgang jedoch mit der Konven</w:t>
      </w:r>
      <w:r w:rsidR="008F5611">
        <w:softHyphen/>
      </w:r>
      <w:r>
        <w:t>tionali</w:t>
      </w:r>
      <w:r w:rsidR="008F5611">
        <w:softHyphen/>
      </w:r>
      <w:r>
        <w:t>sierung</w:t>
      </w:r>
      <w:r w:rsidR="005D7996">
        <w:fldChar w:fldCharType="begin"/>
      </w:r>
      <w:r w:rsidR="00F835EC">
        <w:instrText xml:space="preserve"> XE "</w:instrText>
      </w:r>
      <w:r w:rsidR="00F835EC" w:rsidRPr="0080587D">
        <w:instrText>Konventionalisierung</w:instrText>
      </w:r>
      <w:r w:rsidR="00F835EC">
        <w:instrText xml:space="preserve">" </w:instrText>
      </w:r>
      <w:r w:rsidR="005D7996">
        <w:fldChar w:fldCharType="end"/>
      </w:r>
      <w:r>
        <w:t xml:space="preserve"> von Bedeutungen für Merkmalsregeln einher. Als Beispiele seien kodie</w:t>
      </w:r>
      <w:r>
        <w:t>r</w:t>
      </w:r>
      <w:r>
        <w:t>te Baustile</w:t>
      </w:r>
      <w:r w:rsidR="005D7996">
        <w:fldChar w:fldCharType="begin"/>
      </w:r>
      <w:r w:rsidR="00CA2D60">
        <w:instrText xml:space="preserve"> XE "</w:instrText>
      </w:r>
      <w:r w:rsidR="00CA2D60" w:rsidRPr="00AF7157">
        <w:instrText>Baustil</w:instrText>
      </w:r>
      <w:r w:rsidR="00CA2D60">
        <w:instrText xml:space="preserve">" </w:instrText>
      </w:r>
      <w:r w:rsidR="005D7996">
        <w:fldChar w:fldCharType="end"/>
      </w:r>
      <w:r>
        <w:t>, kodierte Kleidungsstile</w:t>
      </w:r>
      <w:r w:rsidR="005D7996">
        <w:fldChar w:fldCharType="begin"/>
      </w:r>
      <w:r w:rsidR="00CA2D60">
        <w:instrText xml:space="preserve"> XE "</w:instrText>
      </w:r>
      <w:r w:rsidR="00CA2D60" w:rsidRPr="008C790A">
        <w:instrText>Kleidungsstil</w:instrText>
      </w:r>
      <w:r w:rsidR="00CA2D60">
        <w:instrText xml:space="preserve">" </w:instrText>
      </w:r>
      <w:r w:rsidR="005D7996">
        <w:fldChar w:fldCharType="end"/>
      </w:r>
      <w:r>
        <w:t xml:space="preserve"> usw. genannt.</w:t>
      </w:r>
    </w:p>
    <w:p w:rsidR="001E5965" w:rsidRDefault="00EB0D64" w:rsidP="001E5965">
      <w:pPr>
        <w:pStyle w:val="Text"/>
      </w:pPr>
      <w:r>
        <w:t>Außerdem ist d</w:t>
      </w:r>
      <w:r w:rsidR="00AC6987">
        <w:t>ie Bedeutungssuche in der Interpretation zu unterscheiden von der Bezugnahme auf Bedeutungen in Merkmalsregeln.</w:t>
      </w:r>
      <w:bookmarkStart w:id="348" w:name="_Ref285470251"/>
      <w:r w:rsidR="00AC6987">
        <w:rPr>
          <w:rStyle w:val="Funotenzeichen"/>
        </w:rPr>
        <w:footnoteReference w:id="448"/>
      </w:r>
      <w:bookmarkEnd w:id="348"/>
    </w:p>
    <w:p w:rsidR="001E5965" w:rsidRDefault="001E5965" w:rsidP="00EA4DAC">
      <w:pPr>
        <w:pStyle w:val="Interpretation1Zeile"/>
      </w:pPr>
      <w:r>
        <w:lastRenderedPageBreak/>
        <w:t>1.</w:t>
      </w:r>
      <w:r>
        <w:tab/>
        <w:t>Verhaltensschema ‚Sich geschäftlich Kleiden (Herr)‘</w:t>
      </w:r>
    </w:p>
    <w:p w:rsidR="001E5965" w:rsidRDefault="001E5965" w:rsidP="00EA4DAC">
      <w:pPr>
        <w:pStyle w:val="Interpretation"/>
      </w:pPr>
      <w:r>
        <w:rPr>
          <w:i/>
        </w:rPr>
        <w:t>U</w:t>
      </w:r>
      <w:r>
        <w:t>(</w:t>
      </w:r>
      <w:r>
        <w:rPr>
          <w:i/>
        </w:rPr>
        <w:t>B</w:t>
      </w:r>
      <w:r>
        <w:rPr>
          <w:vertAlign w:val="subscript"/>
        </w:rPr>
        <w:t>1</w:t>
      </w:r>
      <w:r>
        <w:t xml:space="preserve">): ‚Oberbekleidung‘, </w:t>
      </w:r>
      <w:r>
        <w:rPr>
          <w:i/>
        </w:rPr>
        <w:t>V</w:t>
      </w:r>
      <w:r>
        <w:t>(</w:t>
      </w:r>
      <w:r>
        <w:rPr>
          <w:i/>
        </w:rPr>
        <w:t>B</w:t>
      </w:r>
      <w:r>
        <w:rPr>
          <w:vertAlign w:val="subscript"/>
        </w:rPr>
        <w:t>1</w:t>
      </w:r>
      <w:r>
        <w:t>): ‚Anzug‘</w:t>
      </w:r>
    </w:p>
    <w:p w:rsidR="001E5965" w:rsidRDefault="001E5965" w:rsidP="00EA4DAC">
      <w:pPr>
        <w:pStyle w:val="Interpretation"/>
      </w:pPr>
      <w:r>
        <w:rPr>
          <w:i/>
        </w:rPr>
        <w:t>U</w:t>
      </w:r>
      <w:r>
        <w:t>(</w:t>
      </w:r>
      <w:r>
        <w:rPr>
          <w:i/>
        </w:rPr>
        <w:t>B</w:t>
      </w:r>
      <w:r>
        <w:rPr>
          <w:vertAlign w:val="subscript"/>
        </w:rPr>
        <w:t>2</w:t>
      </w:r>
      <w:r>
        <w:t xml:space="preserve">): ‚Hemdfarbe‘, </w:t>
      </w:r>
      <w:r>
        <w:rPr>
          <w:i/>
        </w:rPr>
        <w:t>V</w:t>
      </w:r>
      <w:r>
        <w:t>(</w:t>
      </w:r>
      <w:r>
        <w:rPr>
          <w:i/>
        </w:rPr>
        <w:t>B</w:t>
      </w:r>
      <w:r>
        <w:rPr>
          <w:vertAlign w:val="subscript"/>
        </w:rPr>
        <w:t>2</w:t>
      </w:r>
      <w:r>
        <w:t>): ‚weiß‘</w:t>
      </w:r>
    </w:p>
    <w:p w:rsidR="001E5965" w:rsidRDefault="001E5965" w:rsidP="00EA4DAC">
      <w:pPr>
        <w:pStyle w:val="Interpretation"/>
      </w:pPr>
      <w:r>
        <w:rPr>
          <w:i/>
        </w:rPr>
        <w:t>U</w:t>
      </w:r>
      <w:r>
        <w:t>(</w:t>
      </w:r>
      <w:r>
        <w:rPr>
          <w:i/>
        </w:rPr>
        <w:t>B</w:t>
      </w:r>
      <w:r>
        <w:rPr>
          <w:vertAlign w:val="subscript"/>
        </w:rPr>
        <w:t>3</w:t>
      </w:r>
      <w:r>
        <w:t xml:space="preserve">): ‚verzierende Bekleidungsstücke‘, </w:t>
      </w:r>
      <w:r>
        <w:rPr>
          <w:i/>
        </w:rPr>
        <w:t>V</w:t>
      </w:r>
      <w:r>
        <w:t>(</w:t>
      </w:r>
      <w:r>
        <w:rPr>
          <w:i/>
        </w:rPr>
        <w:t>B</w:t>
      </w:r>
      <w:r>
        <w:rPr>
          <w:vertAlign w:val="subscript"/>
        </w:rPr>
        <w:t>3</w:t>
      </w:r>
      <w:r>
        <w:t>): ‚dunkle Krawatte‘</w:t>
      </w:r>
    </w:p>
    <w:p w:rsidR="001E5965" w:rsidRDefault="001E5965" w:rsidP="00EA4DAC">
      <w:pPr>
        <w:pStyle w:val="Interpretation"/>
      </w:pPr>
      <w:r>
        <w:rPr>
          <w:i/>
        </w:rPr>
        <w:t>U</w:t>
      </w:r>
      <w:r>
        <w:t>(</w:t>
      </w:r>
      <w:r>
        <w:rPr>
          <w:i/>
        </w:rPr>
        <w:t>B</w:t>
      </w:r>
      <w:r>
        <w:rPr>
          <w:vertAlign w:val="subscript"/>
        </w:rPr>
        <w:t>4</w:t>
      </w:r>
      <w:r>
        <w:t>): ‚</w:t>
      </w:r>
      <w:r w:rsidR="00B02BAF">
        <w:t>Schuhe</w:t>
      </w:r>
      <w:r>
        <w:t xml:space="preserve">‘, </w:t>
      </w:r>
      <w:r>
        <w:rPr>
          <w:i/>
        </w:rPr>
        <w:t>V</w:t>
      </w:r>
      <w:r>
        <w:t>(</w:t>
      </w:r>
      <w:r>
        <w:rPr>
          <w:i/>
        </w:rPr>
        <w:t>B</w:t>
      </w:r>
      <w:r>
        <w:rPr>
          <w:vertAlign w:val="subscript"/>
        </w:rPr>
        <w:t>4</w:t>
      </w:r>
      <w:r>
        <w:t>): ‚</w:t>
      </w:r>
      <w:r w:rsidR="00B02BAF">
        <w:t>aus Leder; schwarz</w:t>
      </w:r>
      <w:r>
        <w:t>‘</w:t>
      </w:r>
    </w:p>
    <w:p w:rsidR="001E5965" w:rsidRPr="004457F2" w:rsidRDefault="001E5965" w:rsidP="00EA4DAC">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3</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4</w:t>
      </w:r>
      <w:r>
        <w:t xml:space="preserve"> </w:t>
      </w:r>
      <w:r w:rsidR="002434D2">
        <w:rPr>
          <w:rFonts w:ascii="Cambria Math" w:eastAsia="Arial Unicode MS" w:hAnsi="Cambria Math" w:cs="Cambria Math"/>
          <w:color w:val="000000" w:themeColor="text1"/>
        </w:rPr>
        <w:t>⤳</w:t>
      </w:r>
      <w:r>
        <w:rPr>
          <w:vertAlign w:val="subscript"/>
        </w:rPr>
        <w:t>Bed</w:t>
      </w:r>
      <w:r>
        <w:t xml:space="preserve">  </w:t>
      </w:r>
      <w:r>
        <w:rPr>
          <w:i/>
          <w:iCs/>
        </w:rPr>
        <w:t>Er</w:t>
      </w:r>
      <w:r w:rsidRPr="0062421C">
        <w:rPr>
          <w:vertAlign w:val="subscript"/>
        </w:rPr>
        <w:t>1</w:t>
      </w:r>
      <w:r>
        <w:rPr>
          <w:iCs/>
        </w:rPr>
        <w:t xml:space="preserve">, </w:t>
      </w:r>
      <w:r>
        <w:rPr>
          <w:i/>
          <w:iCs/>
        </w:rPr>
        <w:t>Er</w:t>
      </w:r>
      <w:r>
        <w:rPr>
          <w:vertAlign w:val="subscript"/>
        </w:rPr>
        <w:t>2</w:t>
      </w:r>
      <w:r>
        <w:rPr>
          <w:iCs/>
        </w:rPr>
        <w:t xml:space="preserve">, </w:t>
      </w:r>
      <w:r>
        <w:rPr>
          <w:i/>
          <w:iCs/>
        </w:rPr>
        <w:t>Er</w:t>
      </w:r>
      <w:r>
        <w:rPr>
          <w:vertAlign w:val="subscript"/>
        </w:rPr>
        <w:t>3</w:t>
      </w:r>
    </w:p>
    <w:p w:rsidR="001E5965" w:rsidRDefault="001E5965" w:rsidP="00EA4DAC">
      <w:pPr>
        <w:pStyle w:val="Interpretation"/>
      </w:pPr>
      <w:r>
        <w:rPr>
          <w:i/>
        </w:rPr>
        <w:t>Er</w:t>
      </w:r>
      <w:r w:rsidRPr="0062421C">
        <w:rPr>
          <w:vertAlign w:val="subscript"/>
        </w:rPr>
        <w:t>1</w:t>
      </w:r>
      <w:r>
        <w:t>: ‚Der Norm</w:t>
      </w:r>
      <w:r w:rsidR="005D7996">
        <w:fldChar w:fldCharType="begin"/>
      </w:r>
      <w:r w:rsidR="001151DC">
        <w:instrText xml:space="preserve"> XE "</w:instrText>
      </w:r>
      <w:r w:rsidR="001151DC" w:rsidRPr="00B50BDA">
        <w:instrText>Norm</w:instrText>
      </w:r>
      <w:r w:rsidR="001151DC">
        <w:instrText xml:space="preserve">" </w:instrText>
      </w:r>
      <w:r w:rsidR="005D7996">
        <w:fldChar w:fldCharType="end"/>
      </w:r>
      <w:r>
        <w:t xml:space="preserve"> entsprechend; dadurch neutraler und unauffälliger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w:t>
      </w:r>
    </w:p>
    <w:p w:rsidR="001E5965" w:rsidRDefault="001E5965" w:rsidP="00EA4DAC">
      <w:pPr>
        <w:pStyle w:val="Interpretation"/>
      </w:pPr>
      <w:r>
        <w:rPr>
          <w:i/>
        </w:rPr>
        <w:t>Er</w:t>
      </w:r>
      <w:r>
        <w:rPr>
          <w:vertAlign w:val="subscript"/>
        </w:rPr>
        <w:t>2</w:t>
      </w:r>
      <w:r>
        <w:t>: ‚Geschäftsmann‘</w:t>
      </w:r>
    </w:p>
    <w:p w:rsidR="001E5965" w:rsidRDefault="001E5965" w:rsidP="00EA4DAC">
      <w:pPr>
        <w:pStyle w:val="InterpretationletzteZeile"/>
      </w:pPr>
      <w:r>
        <w:rPr>
          <w:i/>
        </w:rPr>
        <w:t>Er</w:t>
      </w:r>
      <w:r>
        <w:rPr>
          <w:vertAlign w:val="subscript"/>
        </w:rPr>
        <w:t>3</w:t>
      </w:r>
      <w:r>
        <w:t>: ‚Angepasster Kleidungsstil</w:t>
      </w:r>
      <w:r w:rsidR="005D7996">
        <w:fldChar w:fldCharType="begin"/>
      </w:r>
      <w:r w:rsidR="00CA2D60">
        <w:instrText xml:space="preserve"> XE "</w:instrText>
      </w:r>
      <w:r w:rsidR="00CA2D60" w:rsidRPr="00970805">
        <w:instrText>Kleidungsstil</w:instrText>
      </w:r>
      <w:r w:rsidR="00CA2D60">
        <w:instrText xml:space="preserve">" </w:instrText>
      </w:r>
      <w:r w:rsidR="005D7996">
        <w:fldChar w:fldCharType="end"/>
      </w:r>
      <w:r>
        <w:t>‘</w:t>
      </w:r>
    </w:p>
    <w:p w:rsidR="001E5965" w:rsidRDefault="001E5965" w:rsidP="00EA4DAC">
      <w:pPr>
        <w:pStyle w:val="Text"/>
        <w:ind w:firstLine="0"/>
      </w:pPr>
      <w:r>
        <w:t>Hier ist 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t xml:space="preserve"> mit einer Kombination mehrerer Merkmal</w:t>
      </w:r>
      <w:r w:rsidR="00243EF9">
        <w:t>sregeln</w:t>
      </w:r>
      <w:r>
        <w:t xml:space="preserve"> ve</w:t>
      </w:r>
      <w:r>
        <w:t>r</w:t>
      </w:r>
      <w:r>
        <w:t>bunden, die auch allein vorkommen können, dann jedoch nicht mit dieser B</w:t>
      </w:r>
      <w:r>
        <w:t>e</w:t>
      </w:r>
      <w:r>
        <w:t>deutung verbunden sind. Dasselbe gilt auch im folgenden Beispiel:</w:t>
      </w:r>
    </w:p>
    <w:p w:rsidR="001E5965" w:rsidRDefault="001E5965" w:rsidP="00EA4DAC">
      <w:pPr>
        <w:pStyle w:val="Interpretation1Zeile"/>
      </w:pPr>
      <w:r>
        <w:t>2.</w:t>
      </w:r>
      <w:r>
        <w:tab/>
        <w:t>Artefaktschema ‚freistehendes Wohngebäude‘</w:t>
      </w:r>
    </w:p>
    <w:p w:rsidR="001E5965" w:rsidRDefault="001E5965" w:rsidP="00EA4DAC">
      <w:pPr>
        <w:pStyle w:val="Interpretation"/>
      </w:pPr>
      <w:r>
        <w:rPr>
          <w:i/>
        </w:rPr>
        <w:t>U</w:t>
      </w:r>
      <w:r>
        <w:t>(</w:t>
      </w:r>
      <w:r>
        <w:rPr>
          <w:i/>
        </w:rPr>
        <w:t>B</w:t>
      </w:r>
      <w:r>
        <w:rPr>
          <w:vertAlign w:val="subscript"/>
        </w:rPr>
        <w:t>1</w:t>
      </w:r>
      <w:r>
        <w:t xml:space="preserve">): ‚Zugang zum Haupteingang‘, </w:t>
      </w:r>
      <w:r>
        <w:rPr>
          <w:i/>
        </w:rPr>
        <w:t>V</w:t>
      </w:r>
      <w:r>
        <w:t>(</w:t>
      </w:r>
      <w:r>
        <w:rPr>
          <w:i/>
        </w:rPr>
        <w:t>B</w:t>
      </w:r>
      <w:r>
        <w:rPr>
          <w:vertAlign w:val="subscript"/>
        </w:rPr>
        <w:t>1</w:t>
      </w:r>
      <w:r>
        <w:t>): ‚breiter Kiesweg‘</w:t>
      </w:r>
    </w:p>
    <w:p w:rsidR="001E5965" w:rsidRDefault="001E5965" w:rsidP="00EA4DAC">
      <w:pPr>
        <w:pStyle w:val="Interpretation"/>
      </w:pPr>
      <w:r>
        <w:rPr>
          <w:i/>
        </w:rPr>
        <w:t>U</w:t>
      </w:r>
      <w:r>
        <w:t>(</w:t>
      </w:r>
      <w:r>
        <w:rPr>
          <w:i/>
        </w:rPr>
        <w:t>B</w:t>
      </w:r>
      <w:r>
        <w:rPr>
          <w:vertAlign w:val="subscript"/>
        </w:rPr>
        <w:t>2</w:t>
      </w:r>
      <w:r>
        <w:t xml:space="preserve">): ‚Grundstückeingang‘, </w:t>
      </w:r>
      <w:r>
        <w:rPr>
          <w:i/>
        </w:rPr>
        <w:t>V</w:t>
      </w:r>
      <w:r>
        <w:t>(</w:t>
      </w:r>
      <w:r>
        <w:rPr>
          <w:i/>
        </w:rPr>
        <w:t>B</w:t>
      </w:r>
      <w:r>
        <w:rPr>
          <w:vertAlign w:val="subscript"/>
        </w:rPr>
        <w:t>2</w:t>
      </w:r>
      <w:r>
        <w:t>): ‚schmiedeeisernes Tor zwischen zwei Stei</w:t>
      </w:r>
      <w:r>
        <w:t>n</w:t>
      </w:r>
      <w:r>
        <w:t>pfeilern‘</w:t>
      </w:r>
    </w:p>
    <w:p w:rsidR="001E5965" w:rsidRDefault="001E5965" w:rsidP="00EA4DAC">
      <w:pPr>
        <w:pStyle w:val="Interpretation"/>
      </w:pPr>
      <w:r>
        <w:rPr>
          <w:i/>
        </w:rPr>
        <w:t>U</w:t>
      </w:r>
      <w:r>
        <w:t>(</w:t>
      </w:r>
      <w:r>
        <w:rPr>
          <w:i/>
        </w:rPr>
        <w:t>B</w:t>
      </w:r>
      <w:r>
        <w:rPr>
          <w:vertAlign w:val="subscript"/>
        </w:rPr>
        <w:t>3</w:t>
      </w:r>
      <w:r>
        <w:t xml:space="preserve">): ‚Verzierung des Grundstückeingangs‘, </w:t>
      </w:r>
      <w:r>
        <w:rPr>
          <w:i/>
        </w:rPr>
        <w:t>V</w:t>
      </w:r>
      <w:r>
        <w:t>(</w:t>
      </w:r>
      <w:r>
        <w:rPr>
          <w:i/>
        </w:rPr>
        <w:t>B</w:t>
      </w:r>
      <w:r>
        <w:rPr>
          <w:vertAlign w:val="subscript"/>
        </w:rPr>
        <w:t>3</w:t>
      </w:r>
      <w:r>
        <w:t>): ‚flankiert durch Blume</w:t>
      </w:r>
      <w:r>
        <w:t>n</w:t>
      </w:r>
      <w:r>
        <w:t>töpfe oder Laternen‘</w:t>
      </w:r>
    </w:p>
    <w:p w:rsidR="001E5965" w:rsidRPr="004457F2" w:rsidRDefault="001E5965" w:rsidP="00EA4DAC">
      <w:pPr>
        <w:pStyle w:val="Formel"/>
      </w:pPr>
      <w:r>
        <w:rPr>
          <w:i/>
          <w:iCs/>
        </w:rPr>
        <w:t>B</w:t>
      </w:r>
      <w:r w:rsidRPr="00B67A1A">
        <w:rPr>
          <w:iCs/>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3</w:t>
      </w:r>
      <w:r>
        <w:t xml:space="preserve"> </w:t>
      </w:r>
      <w:r w:rsidR="002434D2">
        <w:rPr>
          <w:rFonts w:ascii="Cambria Math" w:eastAsia="Arial Unicode MS" w:hAnsi="Cambria Math" w:cs="Cambria Math"/>
          <w:color w:val="000000" w:themeColor="text1"/>
        </w:rPr>
        <w:t>⤳</w:t>
      </w:r>
      <w:r>
        <w:rPr>
          <w:vertAlign w:val="subscript"/>
        </w:rPr>
        <w:t>Bed</w:t>
      </w:r>
      <w:r>
        <w:t xml:space="preserve">  </w:t>
      </w:r>
      <w:r>
        <w:rPr>
          <w:i/>
          <w:iCs/>
        </w:rPr>
        <w:t>Er</w:t>
      </w:r>
      <w:r w:rsidRPr="0062421C">
        <w:rPr>
          <w:vertAlign w:val="subscript"/>
        </w:rPr>
        <w:t>1</w:t>
      </w:r>
    </w:p>
    <w:p w:rsidR="001E5965" w:rsidRDefault="001E5965" w:rsidP="00EA4DAC">
      <w:pPr>
        <w:pStyle w:val="InterpretationletzteZeile"/>
      </w:pPr>
      <w:r>
        <w:rPr>
          <w:i/>
        </w:rPr>
        <w:t>Er</w:t>
      </w:r>
      <w:r w:rsidRPr="0062421C">
        <w:rPr>
          <w:vertAlign w:val="subscript"/>
        </w:rPr>
        <w:t>1</w:t>
      </w:r>
      <w:r>
        <w:t>: ‚Das Gebäude ist eine Villa/ist vornehm‘</w:t>
      </w:r>
    </w:p>
    <w:p w:rsidR="001E5965" w:rsidRDefault="001E5965" w:rsidP="00EA4DAC">
      <w:pPr>
        <w:pStyle w:val="Interpretation1Zeile"/>
      </w:pPr>
      <w:r>
        <w:t>3.</w:t>
      </w:r>
      <w:r>
        <w:tab/>
        <w:t>Textschema ‚Brief‘</w:t>
      </w:r>
    </w:p>
    <w:p w:rsidR="001E5965" w:rsidRDefault="001E5965" w:rsidP="00EA4DAC">
      <w:pPr>
        <w:pStyle w:val="Interpretation"/>
      </w:pPr>
      <w:r>
        <w:rPr>
          <w:i/>
        </w:rPr>
        <w:t>U</w:t>
      </w:r>
      <w:r>
        <w:t>(</w:t>
      </w:r>
      <w:r>
        <w:rPr>
          <w:i/>
        </w:rPr>
        <w:t>B</w:t>
      </w:r>
      <w:r>
        <w:rPr>
          <w:vertAlign w:val="subscript"/>
        </w:rPr>
        <w:t>1</w:t>
      </w:r>
      <w:r>
        <w:t xml:space="preserve">): ‚Grußformel‘, </w:t>
      </w:r>
      <w:r>
        <w:rPr>
          <w:i/>
        </w:rPr>
        <w:t>V</w:t>
      </w:r>
      <w:r>
        <w:t>(</w:t>
      </w:r>
      <w:r>
        <w:rPr>
          <w:i/>
        </w:rPr>
        <w:t>B</w:t>
      </w:r>
      <w:r>
        <w:rPr>
          <w:vertAlign w:val="subscript"/>
        </w:rPr>
        <w:t>1</w:t>
      </w:r>
      <w:r>
        <w:t>): ‚„</w:t>
      </w:r>
      <w:r w:rsidR="00CA7DCF">
        <w:t>M</w:t>
      </w:r>
      <w:r>
        <w:t>it freundlichen Grüßen“‘</w:t>
      </w:r>
    </w:p>
    <w:p w:rsidR="001E5965" w:rsidRPr="004457F2" w:rsidRDefault="001E5965" w:rsidP="00EA4DAC">
      <w:pPr>
        <w:pStyle w:val="Formel"/>
      </w:pPr>
      <w:r>
        <w:rPr>
          <w:i/>
          <w:iCs/>
        </w:rPr>
        <w:t>B</w:t>
      </w:r>
      <w:r w:rsidRPr="00B67A1A">
        <w:rPr>
          <w:iCs/>
          <w:vertAlign w:val="subscript"/>
        </w:rPr>
        <w:t>1</w:t>
      </w:r>
      <w:r>
        <w:t xml:space="preserve"> </w:t>
      </w:r>
      <w:r w:rsidR="002434D2">
        <w:rPr>
          <w:rFonts w:ascii="Cambria Math" w:eastAsia="Arial Unicode MS" w:hAnsi="Cambria Math" w:cs="Cambria Math"/>
          <w:color w:val="000000" w:themeColor="text1"/>
        </w:rPr>
        <w:t>⤳</w:t>
      </w:r>
      <w:r>
        <w:rPr>
          <w:vertAlign w:val="subscript"/>
        </w:rPr>
        <w:t>Bed</w:t>
      </w:r>
      <w:r>
        <w:t xml:space="preserve">  </w:t>
      </w:r>
      <w:r>
        <w:rPr>
          <w:i/>
          <w:iCs/>
        </w:rPr>
        <w:t>Er</w:t>
      </w:r>
      <w:r w:rsidRPr="0062421C">
        <w:rPr>
          <w:vertAlign w:val="subscript"/>
        </w:rPr>
        <w:t>1</w:t>
      </w:r>
    </w:p>
    <w:p w:rsidR="001E5965" w:rsidRDefault="001E5965" w:rsidP="00EA4DAC">
      <w:pPr>
        <w:pStyle w:val="InterpretationletzteZeile"/>
      </w:pPr>
      <w:r>
        <w:rPr>
          <w:i/>
        </w:rPr>
        <w:t>Er</w:t>
      </w:r>
      <w:r w:rsidR="00AA115D">
        <w:rPr>
          <w:vertAlign w:val="subscript"/>
        </w:rPr>
        <w:t>1</w:t>
      </w:r>
      <w:r>
        <w:t>: ‚Die Grußformel drückt trotz der Wortwahl nicht eine freundliche, sondern eine sachliche und distanzierte Haltung zum Gegrüßten aus‘</w:t>
      </w:r>
    </w:p>
    <w:p w:rsidR="000B7FE4" w:rsidRDefault="000B7FE4" w:rsidP="000B7FE4">
      <w:pPr>
        <w:pStyle w:val="Titel3"/>
      </w:pPr>
      <w:bookmarkStart w:id="349" w:name="_Ref256417074"/>
      <w:bookmarkStart w:id="350" w:name="_Toc325456784"/>
      <w:bookmarkStart w:id="351" w:name="Gefühlsreaktion"/>
      <w:bookmarkEnd w:id="347"/>
      <w:r>
        <w:lastRenderedPageBreak/>
        <w:t>Gefühlsreaktion</w:t>
      </w:r>
      <w:bookmarkEnd w:id="349"/>
      <w:bookmarkEnd w:id="350"/>
    </w:p>
    <w:p w:rsidR="00D463BD" w:rsidRDefault="005D7996" w:rsidP="00EA4DAC">
      <w:pPr>
        <w:pStyle w:val="Text"/>
        <w:ind w:firstLine="0"/>
      </w:pPr>
      <w:r>
        <w:fldChar w:fldCharType="begin"/>
      </w:r>
      <w:r w:rsidR="00265562">
        <w:instrText xml:space="preserve"> XE "Gefühlsreaktion" \r "Gefühlsreaktion" </w:instrText>
      </w:r>
      <w:r>
        <w:fldChar w:fldCharType="end"/>
      </w:r>
      <w:r>
        <w:fldChar w:fldCharType="begin"/>
      </w:r>
      <w:r w:rsidR="00265562">
        <w:instrText xml:space="preserve"> XE "Gefühlsreaktion" \t "</w:instrText>
      </w:r>
      <w:r w:rsidR="00265562" w:rsidRPr="007247A5">
        <w:rPr>
          <w:i/>
        </w:rPr>
        <w:instrText>et passim</w:instrText>
      </w:r>
      <w:r w:rsidR="00265562">
        <w:instrText xml:space="preserve">" </w:instrText>
      </w:r>
      <w:r>
        <w:fldChar w:fldCharType="end"/>
      </w:r>
      <w:r w:rsidR="00045830">
        <w:t xml:space="preserve">Als </w:t>
      </w:r>
      <w:r w:rsidR="006E7F43">
        <w:t>Gefühlsreaktion</w:t>
      </w:r>
      <w:r w:rsidR="00045830">
        <w:t xml:space="preserve"> wird die Operation bezeichnet, in der mit einem Gefühl auf einen Input reagiert wird. Wie auch bei den anderen Operationen kann </w:t>
      </w:r>
      <w:r w:rsidR="00527796">
        <w:t xml:space="preserve">der </w:t>
      </w:r>
      <w:r w:rsidR="00045830">
        <w:t>Input aus Merkmalsregeln und/oder Hintergrundwissen und/oder Interpretationse</w:t>
      </w:r>
      <w:r w:rsidR="00045830">
        <w:t>r</w:t>
      </w:r>
      <w:r w:rsidR="00045830">
        <w:t>gebnissen bestehen. Daher muss gewährleistet sein, dass die Operation mit di</w:t>
      </w:r>
      <w:r w:rsidR="00045830">
        <w:t>e</w:t>
      </w:r>
      <w:r w:rsidR="00045830">
        <w:t>sen drei Inputsorten und mit Kombinationen von ihnen umgehen kann</w:t>
      </w:r>
      <w:r w:rsidR="00780D93">
        <w:t>, wobei sie jeweils die spezifischen Eigenschaften der Inputsorte berücksichtigt.</w:t>
      </w:r>
      <w:bookmarkStart w:id="352" w:name="_Ref260736236"/>
      <w:r w:rsidR="00780D93">
        <w:rPr>
          <w:rStyle w:val="Funotenzeichen"/>
        </w:rPr>
        <w:footnoteReference w:id="449"/>
      </w:r>
      <w:bookmarkEnd w:id="352"/>
      <w:r w:rsidR="00D463BD">
        <w:t xml:space="preserve"> </w:t>
      </w:r>
      <w:r w:rsidR="00AF10D0">
        <w:t>Der Input der Gefühlsreaktion ist also nicht sortenbeschränkt</w:t>
      </w:r>
      <w:r w:rsidR="00D463BD">
        <w:t>.</w:t>
      </w:r>
      <w:r w:rsidR="007A6E02">
        <w:rPr>
          <w:rStyle w:val="Funotenzeichen"/>
        </w:rPr>
        <w:footnoteReference w:id="450"/>
      </w:r>
    </w:p>
    <w:p w:rsidR="00A26064" w:rsidRDefault="00AF10D0" w:rsidP="00E159D8">
      <w:pPr>
        <w:pStyle w:val="Text"/>
      </w:pPr>
      <w:r>
        <w:t xml:space="preserve">Der Output der Gefühlsreaktion sind ein oder mehrere Gefühle. </w:t>
      </w:r>
      <w:r w:rsidR="00D463BD">
        <w:t>Diese we</w:t>
      </w:r>
      <w:r w:rsidR="00D463BD">
        <w:t>r</w:t>
      </w:r>
      <w:r w:rsidR="00D463BD">
        <w:t xml:space="preserve">den </w:t>
      </w:r>
      <w:r w:rsidR="00252981">
        <w:t xml:space="preserve">im </w:t>
      </w:r>
      <w:r w:rsidR="00D463BD">
        <w:t xml:space="preserve">vorliegenden </w:t>
      </w:r>
      <w:r w:rsidR="00252981">
        <w:t xml:space="preserve">Modell </w:t>
      </w:r>
      <w:r w:rsidR="00A26064">
        <w:t>sprachlich dargestellt</w:t>
      </w:r>
      <w:r w:rsidR="007F2272">
        <w:t xml:space="preserve">: Es wird angenommen, dass Gefühle </w:t>
      </w:r>
      <w:r w:rsidR="00E159D8">
        <w:t xml:space="preserve">Zeichen sind und einen </w:t>
      </w:r>
      <w:r w:rsidR="007F2272">
        <w:t xml:space="preserve">Inhalt </w:t>
      </w:r>
      <w:r w:rsidR="00E159D8">
        <w:t xml:space="preserve">haben, der sprachlich ausgedrückt werden kann. </w:t>
      </w:r>
      <w:r w:rsidR="00DC262F">
        <w:t>Der sprachliche Ausdruck des Inhalts wird in einfachen Anführungsze</w:t>
      </w:r>
      <w:r w:rsidR="00DC262F">
        <w:t>i</w:t>
      </w:r>
      <w:r w:rsidR="00DC262F">
        <w:t>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DC262F">
        <w:t xml:space="preserve"> geschrieben.</w:t>
      </w:r>
    </w:p>
    <w:p w:rsidR="00A26064" w:rsidRDefault="00A26064" w:rsidP="00A26064">
      <w:pPr>
        <w:pStyle w:val="Text"/>
      </w:pPr>
      <w:r>
        <w:t xml:space="preserve">Gefühle wie Furcht, Respekt, Liebe usw. haben oft ein Objekt, auf das sie sich richten. </w:t>
      </w:r>
      <w:r w:rsidR="00E159D8">
        <w:t>Dieses Objekt wird innerhalb des Inhalts in Klammern geschrieben</w:t>
      </w:r>
      <w:r>
        <w:t>.</w:t>
      </w:r>
    </w:p>
    <w:p w:rsidR="00BD0B2A" w:rsidRDefault="00BD0B2A" w:rsidP="001571AF">
      <w:pPr>
        <w:pStyle w:val="Zwischenberschrift"/>
      </w:pPr>
      <w:r>
        <w:t>Anmerkung zur mentalen Repräsentation</w:t>
      </w:r>
      <w:r w:rsidR="005D7996">
        <w:fldChar w:fldCharType="begin"/>
      </w:r>
      <w:r w:rsidR="00E56D01">
        <w:instrText xml:space="preserve"> XE "</w:instrText>
      </w:r>
      <w:r w:rsidR="00E56D01" w:rsidRPr="008D5ABD">
        <w:instrText>mentale Repräsentation</w:instrText>
      </w:r>
      <w:r w:rsidR="00E56D01">
        <w:instrText xml:space="preserve">" </w:instrText>
      </w:r>
      <w:r w:rsidR="005D7996">
        <w:fldChar w:fldCharType="end"/>
      </w:r>
      <w:r>
        <w:t xml:space="preserve"> des Inputs</w:t>
      </w:r>
    </w:p>
    <w:p w:rsidR="00BD0B2A" w:rsidRDefault="00BD0B2A" w:rsidP="001571AF">
      <w:pPr>
        <w:pStyle w:val="Text"/>
        <w:ind w:firstLine="0"/>
      </w:pPr>
      <w:r>
        <w:t xml:space="preserve">Wenn eine Operation </w:t>
      </w:r>
      <w:r w:rsidR="00DA78E5">
        <w:t>ein Element</w:t>
      </w:r>
      <w:r>
        <w:t xml:space="preserve"> </w:t>
      </w:r>
      <w:r w:rsidR="00DA78E5">
        <w:t>(</w:t>
      </w:r>
      <w:r>
        <w:t>Merkmalsregel</w:t>
      </w:r>
      <w:r w:rsidR="00DA78E5">
        <w:t>, Ergebnis oder Element des Hintergrundwissens)</w:t>
      </w:r>
      <w:r>
        <w:t xml:space="preserve"> als Input erhält, wird dies im Modell als Übergabe einer Variablen dargestellt. Dies sagt nichts über die mentale Repräsentati</w:t>
      </w:r>
      <w:r w:rsidR="00DA78E5">
        <w:t>on</w:t>
      </w:r>
      <w:r w:rsidR="005D7996">
        <w:fldChar w:fldCharType="begin"/>
      </w:r>
      <w:r w:rsidR="00E56D01">
        <w:instrText xml:space="preserve"> XE "</w:instrText>
      </w:r>
      <w:r w:rsidR="00E56D01" w:rsidRPr="008303E7">
        <w:instrText>mentale Repräsentation</w:instrText>
      </w:r>
      <w:r w:rsidR="00E56D01">
        <w:instrText xml:space="preserve">" </w:instrText>
      </w:r>
      <w:r w:rsidR="005D7996">
        <w:fldChar w:fldCharType="end"/>
      </w:r>
      <w:r w:rsidR="00DA78E5">
        <w:t xml:space="preserve"> des</w:t>
      </w:r>
      <w:r>
        <w:t xml:space="preserve"> </w:t>
      </w:r>
      <w:r w:rsidR="00DA78E5">
        <w:t>El</w:t>
      </w:r>
      <w:r w:rsidR="00DA78E5">
        <w:t>e</w:t>
      </w:r>
      <w:r w:rsidR="00DA78E5">
        <w:lastRenderedPageBreak/>
        <w:t xml:space="preserve">ments </w:t>
      </w:r>
      <w:r>
        <w:t xml:space="preserve">durch den verarbeitenden </w:t>
      </w:r>
      <w:r w:rsidR="00C75387">
        <w:t>Stilanwender</w:t>
      </w:r>
      <w:r>
        <w:t xml:space="preserve"> oder </w:t>
      </w:r>
      <w:r w:rsidR="00C75387">
        <w:t>Stilwahrnehmer</w:t>
      </w:r>
      <w:r>
        <w:t xml:space="preserve"> aus. Es ist eine mentale Repräsentation in symbolischer</w:t>
      </w:r>
      <w:r w:rsidR="005D7996">
        <w:fldChar w:fldCharType="begin"/>
      </w:r>
      <w:r w:rsidR="0057025E">
        <w:instrText xml:space="preserve"> XE "</w:instrText>
      </w:r>
      <w:r w:rsidR="0057025E" w:rsidRPr="00E93BF9">
        <w:instrText>Symbol (Peirce)</w:instrText>
      </w:r>
      <w:r w:rsidR="0057025E">
        <w:instrText xml:space="preserve">" </w:instrText>
      </w:r>
      <w:r w:rsidR="005D7996">
        <w:fldChar w:fldCharType="end"/>
      </w:r>
      <w:r>
        <w:t xml:space="preserve"> (formaler oder sprachlicher) Form, aber auch eine ikonische Repräsentation</w:t>
      </w:r>
      <w:r w:rsidR="005D7996">
        <w:fldChar w:fldCharType="begin"/>
      </w:r>
      <w:r w:rsidR="0057025E">
        <w:instrText xml:space="preserve"> XE "</w:instrText>
      </w:r>
      <w:r w:rsidR="0057025E" w:rsidRPr="008F721F">
        <w:instrText>Ikon (Peirce)</w:instrText>
      </w:r>
      <w:r w:rsidR="0057025E">
        <w:instrText xml:space="preserve">" </w:instrText>
      </w:r>
      <w:r w:rsidR="005D7996">
        <w:fldChar w:fldCharType="end"/>
      </w:r>
      <w:r>
        <w:t xml:space="preserve"> (als </w:t>
      </w:r>
      <w:r w:rsidR="00440D14">
        <w:t xml:space="preserve">mentales </w:t>
      </w:r>
      <w:r>
        <w:t xml:space="preserve">Bild oder </w:t>
      </w:r>
      <w:r w:rsidR="00440D14">
        <w:t xml:space="preserve">mentaler </w:t>
      </w:r>
      <w:r>
        <w:t>Film) denkbar. Dies gilt für alle Operati</w:t>
      </w:r>
      <w:r w:rsidR="00DA78E5">
        <w:t>onen</w:t>
      </w:r>
      <w:r w:rsidR="00B976B5">
        <w:t>, aber</w:t>
      </w:r>
      <w:r w:rsidR="00DA78E5">
        <w:t xml:space="preserve"> </w:t>
      </w:r>
      <w:r>
        <w:t>bei Gefühlsreaktion und Eindruck</w:t>
      </w:r>
      <w:r>
        <w:t>s</w:t>
      </w:r>
      <w:r>
        <w:t xml:space="preserve">reaktion </w:t>
      </w:r>
      <w:r w:rsidR="00C31023">
        <w:t xml:space="preserve">könnten </w:t>
      </w:r>
      <w:r>
        <w:t xml:space="preserve">ikonische Repräsentationen des Inputs </w:t>
      </w:r>
      <w:r w:rsidR="00B976B5">
        <w:t>besonders häufig sein.</w:t>
      </w:r>
    </w:p>
    <w:p w:rsidR="00D556DD" w:rsidRPr="00D556DD" w:rsidRDefault="00C25370" w:rsidP="00EA1927">
      <w:pPr>
        <w:pStyle w:val="Interpretation1Zeile"/>
      </w:pPr>
      <w:r>
        <w:t>1.</w:t>
      </w:r>
      <w:r>
        <w:tab/>
      </w:r>
      <w:r w:rsidR="00D556DD">
        <w:t>Verhaltensschema ‚Reiten‘</w:t>
      </w:r>
    </w:p>
    <w:p w:rsidR="00D556DD" w:rsidRDefault="00D556DD" w:rsidP="00EA1927">
      <w:pPr>
        <w:pStyle w:val="Interpretation"/>
      </w:pPr>
      <w:r w:rsidRPr="00F8759D">
        <w:rPr>
          <w:i/>
        </w:rPr>
        <w:t>U</w:t>
      </w:r>
      <w:r w:rsidRPr="00F8759D">
        <w:t>(</w:t>
      </w:r>
      <w:r w:rsidRPr="00F8759D">
        <w:rPr>
          <w:i/>
        </w:rPr>
        <w:t>B</w:t>
      </w:r>
      <w:r w:rsidR="007F3125" w:rsidRPr="0062421C">
        <w:rPr>
          <w:vertAlign w:val="subscript"/>
        </w:rPr>
        <w:t>1</w:t>
      </w:r>
      <w:r w:rsidRPr="00F8759D">
        <w:t>): ‚</w:t>
      </w:r>
      <w:r>
        <w:t>Bewegungsablauf von Pferd und Reiter</w:t>
      </w:r>
      <w:r w:rsidRPr="00F8759D">
        <w:t xml:space="preserve">‘, </w:t>
      </w:r>
      <w:r w:rsidRPr="00F8759D">
        <w:rPr>
          <w:i/>
        </w:rPr>
        <w:t>V</w:t>
      </w:r>
      <w:r w:rsidRPr="00F8759D">
        <w:t>(</w:t>
      </w:r>
      <w:r w:rsidRPr="00F8759D">
        <w:rPr>
          <w:i/>
        </w:rPr>
        <w:t>B</w:t>
      </w:r>
      <w:r w:rsidR="00B67A1A" w:rsidRPr="00B67A1A">
        <w:rPr>
          <w:vertAlign w:val="subscript"/>
        </w:rPr>
        <w:t>1</w:t>
      </w:r>
      <w:r w:rsidRPr="00F8759D">
        <w:t>): ‚</w:t>
      </w:r>
      <w:r w:rsidR="00302CB1">
        <w:t>elegant;</w:t>
      </w:r>
      <w:r>
        <w:t xml:space="preserve"> flüssig</w:t>
      </w:r>
      <w:r w:rsidR="00302CB1">
        <w:t xml:space="preserve">; </w:t>
      </w:r>
      <w:r>
        <w:t>kraf</w:t>
      </w:r>
      <w:r>
        <w:t>t</w:t>
      </w:r>
      <w:r>
        <w:t>voll‘</w:t>
      </w:r>
    </w:p>
    <w:p w:rsidR="00DD1D0B" w:rsidRPr="004457F2" w:rsidRDefault="00DD1D0B" w:rsidP="00EA4DAC">
      <w:pPr>
        <w:pStyle w:val="Formel"/>
      </w:pPr>
      <w:r>
        <w:rPr>
          <w:i/>
          <w:iCs/>
        </w:rPr>
        <w:t>B</w:t>
      </w:r>
      <w:r w:rsidR="007F3125" w:rsidRPr="0062421C">
        <w:rPr>
          <w:vertAlign w:val="subscript"/>
        </w:rPr>
        <w:t>1</w:t>
      </w:r>
      <w:r w:rsidRPr="00F11437">
        <w:t xml:space="preserve"> </w:t>
      </w:r>
      <w:r w:rsidR="002434D2">
        <w:rPr>
          <w:rFonts w:ascii="Cambria Math" w:eastAsia="Arial Unicode MS" w:hAnsi="Cambria Math" w:cs="Cambria Math"/>
          <w:color w:val="000000" w:themeColor="text1"/>
        </w:rPr>
        <w:t>⤳</w:t>
      </w:r>
      <w:r w:rsidR="00036B7A">
        <w:rPr>
          <w:vertAlign w:val="subscript"/>
        </w:rPr>
        <w:t>Gfr</w:t>
      </w:r>
      <w:r w:rsidR="004468A3">
        <w:t xml:space="preserve">  </w:t>
      </w:r>
      <w:r>
        <w:rPr>
          <w:i/>
          <w:iCs/>
        </w:rPr>
        <w:t>Er</w:t>
      </w:r>
      <w:r w:rsidRPr="0062421C">
        <w:rPr>
          <w:vertAlign w:val="subscript"/>
        </w:rPr>
        <w:t>1</w:t>
      </w:r>
    </w:p>
    <w:p w:rsidR="00B67A1A" w:rsidRDefault="00B67A1A" w:rsidP="00EA1927">
      <w:pPr>
        <w:pStyle w:val="InterpretationletzteZeile"/>
      </w:pPr>
      <w:r>
        <w:rPr>
          <w:i/>
        </w:rPr>
        <w:t>Er</w:t>
      </w:r>
      <w:r>
        <w:rPr>
          <w:vertAlign w:val="subscript"/>
        </w:rPr>
        <w:t>1</w:t>
      </w:r>
      <w:r>
        <w:t xml:space="preserve"> (</w:t>
      </w:r>
      <w:r w:rsidRPr="00126495">
        <w:t>g</w:t>
      </w:r>
      <w:r>
        <w:t xml:space="preserve">): </w:t>
      </w:r>
      <w:r w:rsidR="00302CB1">
        <w:t>‚</w:t>
      </w:r>
      <w:r w:rsidR="000C6744">
        <w:t>Freude, Vergnügen</w:t>
      </w:r>
      <w:r w:rsidR="00302CB1">
        <w:t>‘</w:t>
      </w:r>
    </w:p>
    <w:p w:rsidR="00C25370" w:rsidRPr="00D556DD" w:rsidRDefault="00C25370" w:rsidP="00EA1927">
      <w:pPr>
        <w:pStyle w:val="Interpretation1Zeile"/>
      </w:pPr>
      <w:r>
        <w:t>2.</w:t>
      </w:r>
      <w:r>
        <w:tab/>
        <w:t>Artefaktschema ‚Stadttor‘</w:t>
      </w:r>
    </w:p>
    <w:p w:rsidR="00C25370" w:rsidRDefault="00C25370" w:rsidP="00EA1927">
      <w:pPr>
        <w:pStyle w:val="Interpretation"/>
      </w:pPr>
      <w:r w:rsidRPr="00F8759D">
        <w:rPr>
          <w:i/>
        </w:rPr>
        <w:t>U</w:t>
      </w:r>
      <w:r w:rsidRPr="00F8759D">
        <w:t>(</w:t>
      </w:r>
      <w:r w:rsidRPr="00F8759D">
        <w:rPr>
          <w:i/>
        </w:rPr>
        <w:t>B</w:t>
      </w:r>
      <w:r w:rsidR="00036B7A">
        <w:rPr>
          <w:vertAlign w:val="subscript"/>
        </w:rPr>
        <w:t>1</w:t>
      </w:r>
      <w:r w:rsidRPr="00F8759D">
        <w:t>): ‚</w:t>
      </w:r>
      <w:r>
        <w:t>Größe</w:t>
      </w:r>
      <w:r w:rsidRPr="00F8759D">
        <w:t xml:space="preserve">‘, </w:t>
      </w:r>
      <w:r w:rsidRPr="00F8759D">
        <w:rPr>
          <w:i/>
        </w:rPr>
        <w:t>V</w:t>
      </w:r>
      <w:r w:rsidRPr="00F8759D">
        <w:t>(</w:t>
      </w:r>
      <w:r w:rsidRPr="00F8759D">
        <w:rPr>
          <w:i/>
        </w:rPr>
        <w:t>B</w:t>
      </w:r>
      <w:r w:rsidR="00036B7A">
        <w:rPr>
          <w:vertAlign w:val="subscript"/>
        </w:rPr>
        <w:t>1</w:t>
      </w:r>
      <w:r w:rsidRPr="00F8759D">
        <w:t>): ‚</w:t>
      </w:r>
      <w:r>
        <w:t>sehr groß‘</w:t>
      </w:r>
    </w:p>
    <w:p w:rsidR="00855AA1" w:rsidRDefault="00855AA1" w:rsidP="00EA1927">
      <w:pPr>
        <w:pStyle w:val="Interpretation"/>
      </w:pPr>
      <w:r w:rsidRPr="00F8759D">
        <w:rPr>
          <w:i/>
        </w:rPr>
        <w:t>U</w:t>
      </w:r>
      <w:r w:rsidRPr="00F8759D">
        <w:t>(</w:t>
      </w:r>
      <w:r w:rsidRPr="00F8759D">
        <w:rPr>
          <w:i/>
        </w:rPr>
        <w:t>B</w:t>
      </w:r>
      <w:r w:rsidR="00036B7A">
        <w:rPr>
          <w:vertAlign w:val="subscript"/>
        </w:rPr>
        <w:t>2</w:t>
      </w:r>
      <w:r w:rsidRPr="00F8759D">
        <w:t>): ‚</w:t>
      </w:r>
      <w:r>
        <w:t>Form des Torbauwerks</w:t>
      </w:r>
      <w:r w:rsidRPr="00F8759D">
        <w:t xml:space="preserve">‘, </w:t>
      </w:r>
      <w:r w:rsidRPr="00F8759D">
        <w:rPr>
          <w:i/>
        </w:rPr>
        <w:t>V</w:t>
      </w:r>
      <w:r w:rsidRPr="00F8759D">
        <w:t>(</w:t>
      </w:r>
      <w:r w:rsidRPr="00F8759D">
        <w:rPr>
          <w:i/>
        </w:rPr>
        <w:t>B</w:t>
      </w:r>
      <w:r w:rsidR="00036B7A">
        <w:rPr>
          <w:vertAlign w:val="subscript"/>
        </w:rPr>
        <w:t>2</w:t>
      </w:r>
      <w:r w:rsidRPr="00F8759D">
        <w:t>):</w:t>
      </w:r>
      <w:r>
        <w:t xml:space="preserve"> ‚Tor flankiert von zwei runden Weh</w:t>
      </w:r>
      <w:r>
        <w:t>r</w:t>
      </w:r>
      <w:r>
        <w:t>türmen‘</w:t>
      </w:r>
    </w:p>
    <w:p w:rsidR="00C25370" w:rsidRDefault="00855AA1" w:rsidP="00EA1927">
      <w:pPr>
        <w:pStyle w:val="Interpretation"/>
      </w:pPr>
      <w:r w:rsidRPr="00F8759D">
        <w:rPr>
          <w:i/>
        </w:rPr>
        <w:t>U</w:t>
      </w:r>
      <w:r w:rsidRPr="00F8759D">
        <w:t>(</w:t>
      </w:r>
      <w:r w:rsidRPr="00F8759D">
        <w:rPr>
          <w:i/>
        </w:rPr>
        <w:t>B</w:t>
      </w:r>
      <w:r w:rsidR="00036B7A">
        <w:rPr>
          <w:vertAlign w:val="subscript"/>
        </w:rPr>
        <w:t>3</w:t>
      </w:r>
      <w:r w:rsidRPr="00F8759D">
        <w:t>): ‚</w:t>
      </w:r>
      <w:r>
        <w:t>Material des Torbauwerks</w:t>
      </w:r>
      <w:r w:rsidRPr="00F8759D">
        <w:t xml:space="preserve">‘, </w:t>
      </w:r>
      <w:r w:rsidRPr="00F8759D">
        <w:rPr>
          <w:i/>
        </w:rPr>
        <w:t>V</w:t>
      </w:r>
      <w:r w:rsidRPr="00F8759D">
        <w:t>(</w:t>
      </w:r>
      <w:r w:rsidRPr="00F8759D">
        <w:rPr>
          <w:i/>
        </w:rPr>
        <w:t>B</w:t>
      </w:r>
      <w:r w:rsidR="00036B7A">
        <w:rPr>
          <w:vertAlign w:val="subscript"/>
        </w:rPr>
        <w:t>3</w:t>
      </w:r>
      <w:r w:rsidRPr="00F8759D">
        <w:t>):</w:t>
      </w:r>
      <w:r>
        <w:t xml:space="preserve"> ‚</w:t>
      </w:r>
      <w:r w:rsidR="00C25370">
        <w:t>stark angedunkelte große Quade</w:t>
      </w:r>
      <w:r w:rsidR="00C25370">
        <w:t>r</w:t>
      </w:r>
      <w:r w:rsidR="00C25370">
        <w:t>steine‘</w:t>
      </w:r>
    </w:p>
    <w:p w:rsidR="00855AA1" w:rsidRDefault="00855AA1" w:rsidP="00EA1927">
      <w:pPr>
        <w:pStyle w:val="Interpretation"/>
      </w:pPr>
      <w:r w:rsidRPr="00F8759D">
        <w:rPr>
          <w:i/>
        </w:rPr>
        <w:t>U</w:t>
      </w:r>
      <w:r w:rsidRPr="00F8759D">
        <w:t>(</w:t>
      </w:r>
      <w:r w:rsidRPr="00F8759D">
        <w:rPr>
          <w:i/>
        </w:rPr>
        <w:t>B</w:t>
      </w:r>
      <w:r w:rsidR="00036B7A">
        <w:rPr>
          <w:vertAlign w:val="subscript"/>
        </w:rPr>
        <w:t>4</w:t>
      </w:r>
      <w:r w:rsidRPr="00F8759D">
        <w:t>): ‚</w:t>
      </w:r>
      <w:r>
        <w:t>Material des Tores</w:t>
      </w:r>
      <w:r w:rsidRPr="00F8759D">
        <w:t xml:space="preserve">‘, </w:t>
      </w:r>
      <w:r w:rsidRPr="00F8759D">
        <w:rPr>
          <w:i/>
        </w:rPr>
        <w:t>V</w:t>
      </w:r>
      <w:r w:rsidRPr="00F8759D">
        <w:t>(</w:t>
      </w:r>
      <w:r w:rsidRPr="00F8759D">
        <w:rPr>
          <w:i/>
        </w:rPr>
        <w:t>B</w:t>
      </w:r>
      <w:r w:rsidR="00036B7A">
        <w:rPr>
          <w:vertAlign w:val="subscript"/>
        </w:rPr>
        <w:t>4</w:t>
      </w:r>
      <w:r w:rsidRPr="00F8759D">
        <w:t>): ‚</w:t>
      </w:r>
      <w:r>
        <w:t>massives, vom Alter fast schwarzes Eiche</w:t>
      </w:r>
      <w:r>
        <w:t>n</w:t>
      </w:r>
      <w:r>
        <w:t>holz‘</w:t>
      </w:r>
    </w:p>
    <w:p w:rsidR="00C25370" w:rsidRDefault="00855AA1" w:rsidP="00EA1927">
      <w:pPr>
        <w:pStyle w:val="Interpretation"/>
      </w:pPr>
      <w:r w:rsidRPr="00F8759D">
        <w:rPr>
          <w:i/>
        </w:rPr>
        <w:t>U</w:t>
      </w:r>
      <w:r w:rsidRPr="00F8759D">
        <w:t>(</w:t>
      </w:r>
      <w:r w:rsidRPr="00F8759D">
        <w:rPr>
          <w:i/>
        </w:rPr>
        <w:t>B</w:t>
      </w:r>
      <w:r w:rsidR="00036B7A">
        <w:rPr>
          <w:vertAlign w:val="subscript"/>
        </w:rPr>
        <w:t>5</w:t>
      </w:r>
      <w:r w:rsidRPr="00F8759D">
        <w:t>): ‚</w:t>
      </w:r>
      <w:r>
        <w:t xml:space="preserve">Bewehrung‘, </w:t>
      </w:r>
      <w:r w:rsidRPr="00F8759D">
        <w:rPr>
          <w:i/>
        </w:rPr>
        <w:t>V</w:t>
      </w:r>
      <w:r w:rsidRPr="00F8759D">
        <w:t>(</w:t>
      </w:r>
      <w:r w:rsidRPr="00F8759D">
        <w:rPr>
          <w:i/>
        </w:rPr>
        <w:t>B</w:t>
      </w:r>
      <w:r w:rsidR="00036B7A">
        <w:rPr>
          <w:vertAlign w:val="subscript"/>
        </w:rPr>
        <w:t>5</w:t>
      </w:r>
      <w:r w:rsidRPr="00F8759D">
        <w:t>):</w:t>
      </w:r>
      <w:r w:rsidR="00302CB1">
        <w:t xml:space="preserve"> ‚Zinnen; Schießscharten;</w:t>
      </w:r>
      <w:r>
        <w:t xml:space="preserve"> </w:t>
      </w:r>
      <w:r w:rsidR="00302CB1">
        <w:t>schwere Eisenbeschläge</w:t>
      </w:r>
      <w:r>
        <w:t>‘</w:t>
      </w:r>
    </w:p>
    <w:p w:rsidR="00B67A1A" w:rsidRDefault="00B67A1A" w:rsidP="00EA4DAC">
      <w:pPr>
        <w:pStyle w:val="Formel"/>
      </w:pPr>
      <w:r>
        <w:rPr>
          <w:i/>
        </w:rPr>
        <w:t>B</w:t>
      </w:r>
      <w:r>
        <w:rPr>
          <w:vertAlign w:val="subscript"/>
        </w:rPr>
        <w:t>1</w:t>
      </w:r>
      <w:r>
        <w:t xml:space="preserve"> </w:t>
      </w:r>
      <w:r w:rsidRPr="00D41E3E">
        <w:rPr>
          <w:rFonts w:ascii="Cambria Math" w:hAnsi="Cambria Math" w:cs="Cambria Math"/>
        </w:rPr>
        <w:t>∧</w:t>
      </w:r>
      <w:r w:rsidRPr="00036B7A">
        <w:t xml:space="preserve"> </w:t>
      </w:r>
      <w:r>
        <w:rPr>
          <w:i/>
        </w:rPr>
        <w:t>B</w:t>
      </w:r>
      <w:r>
        <w:rPr>
          <w:vertAlign w:val="subscript"/>
        </w:rPr>
        <w:t>2</w:t>
      </w:r>
      <w:r>
        <w:t xml:space="preserve"> </w:t>
      </w:r>
      <w:r w:rsidRPr="00D41E3E">
        <w:rPr>
          <w:rFonts w:ascii="Cambria Math" w:hAnsi="Cambria Math" w:cs="Cambria Math"/>
        </w:rPr>
        <w:t>∧</w:t>
      </w:r>
      <w:r w:rsidRPr="00036B7A">
        <w:t xml:space="preserve"> </w:t>
      </w:r>
      <w:r>
        <w:rPr>
          <w:i/>
        </w:rPr>
        <w:t>B</w:t>
      </w:r>
      <w:r>
        <w:rPr>
          <w:vertAlign w:val="subscript"/>
        </w:rPr>
        <w:t>3</w:t>
      </w:r>
      <w:r>
        <w:t xml:space="preserve"> </w:t>
      </w:r>
      <w:r w:rsidRPr="00D41E3E">
        <w:rPr>
          <w:rFonts w:ascii="Cambria Math" w:hAnsi="Cambria Math" w:cs="Cambria Math"/>
        </w:rPr>
        <w:t>∧</w:t>
      </w:r>
      <w:r w:rsidRPr="00036B7A">
        <w:t xml:space="preserve"> </w:t>
      </w:r>
      <w:r>
        <w:rPr>
          <w:i/>
        </w:rPr>
        <w:t>B</w:t>
      </w:r>
      <w:r>
        <w:rPr>
          <w:vertAlign w:val="subscript"/>
        </w:rPr>
        <w:t>4</w:t>
      </w:r>
      <w:r>
        <w:t xml:space="preserve"> </w:t>
      </w:r>
      <w:r w:rsidRPr="00D41E3E">
        <w:rPr>
          <w:rFonts w:ascii="Cambria Math" w:hAnsi="Cambria Math" w:cs="Cambria Math"/>
        </w:rPr>
        <w:t>∧</w:t>
      </w:r>
      <w:r w:rsidRPr="00036B7A">
        <w:t xml:space="preserve"> </w:t>
      </w:r>
      <w:r>
        <w:rPr>
          <w:i/>
        </w:rPr>
        <w:t>B</w:t>
      </w:r>
      <w:r>
        <w:rPr>
          <w:vertAlign w:val="subscript"/>
        </w:rPr>
        <w:t>5</w:t>
      </w:r>
      <w:r w:rsidRPr="00F11437">
        <w:t xml:space="preserve"> </w:t>
      </w:r>
      <w:r w:rsidR="002434D2">
        <w:rPr>
          <w:rFonts w:ascii="Cambria Math" w:eastAsia="Arial Unicode MS" w:hAnsi="Cambria Math" w:cs="Cambria Math"/>
          <w:color w:val="000000" w:themeColor="text1"/>
        </w:rPr>
        <w:t>⤳</w:t>
      </w:r>
      <w:r>
        <w:rPr>
          <w:vertAlign w:val="subscript"/>
        </w:rPr>
        <w:t>Gfr</w:t>
      </w:r>
      <w:r>
        <w:t xml:space="preserve">  </w:t>
      </w:r>
      <w:r>
        <w:rPr>
          <w:i/>
        </w:rPr>
        <w:t>Er</w:t>
      </w:r>
      <w:r w:rsidRPr="0062421C">
        <w:rPr>
          <w:vertAlign w:val="subscript"/>
        </w:rPr>
        <w:t>1</w:t>
      </w:r>
      <w:r>
        <w:t xml:space="preserve">, </w:t>
      </w:r>
      <w:r>
        <w:rPr>
          <w:i/>
        </w:rPr>
        <w:t>Er</w:t>
      </w:r>
      <w:r>
        <w:rPr>
          <w:vertAlign w:val="subscript"/>
        </w:rPr>
        <w:t>2</w:t>
      </w:r>
      <w:r>
        <w:t>,</w:t>
      </w:r>
      <w:r w:rsidRPr="001372FA">
        <w:rPr>
          <w:i/>
        </w:rPr>
        <w:t xml:space="preserve"> </w:t>
      </w:r>
      <w:r>
        <w:rPr>
          <w:i/>
        </w:rPr>
        <w:t>Er</w:t>
      </w:r>
      <w:r>
        <w:rPr>
          <w:vertAlign w:val="subscript"/>
        </w:rPr>
        <w:t>3</w:t>
      </w:r>
    </w:p>
    <w:p w:rsidR="004457F2" w:rsidRDefault="00C25370" w:rsidP="00EA1927">
      <w:pPr>
        <w:pStyle w:val="Interpretation"/>
      </w:pPr>
      <w:r>
        <w:rPr>
          <w:i/>
        </w:rPr>
        <w:t>Er</w:t>
      </w:r>
      <w:r>
        <w:rPr>
          <w:vertAlign w:val="subscript"/>
        </w:rPr>
        <w:t>1</w:t>
      </w:r>
      <w:r w:rsidR="007F2272">
        <w:t xml:space="preserve"> (g):</w:t>
      </w:r>
      <w:r w:rsidR="004457F2">
        <w:t xml:space="preserve"> </w:t>
      </w:r>
      <w:r w:rsidR="007F2272">
        <w:t>‚</w:t>
      </w:r>
      <w:r w:rsidR="004457F2">
        <w:t>Ehrfurcht</w:t>
      </w:r>
      <w:r w:rsidR="00EA743A">
        <w:t xml:space="preserve"> (vor dem Bauwerk)</w:t>
      </w:r>
      <w:r w:rsidR="007F2272">
        <w:t>‘</w:t>
      </w:r>
    </w:p>
    <w:p w:rsidR="004457F2" w:rsidRDefault="004457F2" w:rsidP="00EA1927">
      <w:pPr>
        <w:pStyle w:val="Interpretation"/>
      </w:pPr>
      <w:r>
        <w:rPr>
          <w:i/>
        </w:rPr>
        <w:t>Er</w:t>
      </w:r>
      <w:r>
        <w:rPr>
          <w:vertAlign w:val="subscript"/>
        </w:rPr>
        <w:t>2</w:t>
      </w:r>
      <w:r w:rsidR="007F2272">
        <w:t xml:space="preserve"> (g):</w:t>
      </w:r>
      <w:r>
        <w:t xml:space="preserve"> </w:t>
      </w:r>
      <w:r w:rsidR="007F2272">
        <w:t>‚</w:t>
      </w:r>
      <w:r w:rsidR="00C25370">
        <w:t>Respekt</w:t>
      </w:r>
      <w:r w:rsidR="00EA743A">
        <w:t xml:space="preserve"> (vor den Erbauern und/oder den Bewohnern der Stadt)</w:t>
      </w:r>
      <w:r w:rsidR="007F2272">
        <w:t>‘</w:t>
      </w:r>
    </w:p>
    <w:p w:rsidR="00C25370" w:rsidRDefault="004457F2" w:rsidP="00EA1927">
      <w:pPr>
        <w:pStyle w:val="InterpretationletzteZeile"/>
      </w:pPr>
      <w:r>
        <w:rPr>
          <w:i/>
        </w:rPr>
        <w:t>Er</w:t>
      </w:r>
      <w:r>
        <w:rPr>
          <w:vertAlign w:val="subscript"/>
        </w:rPr>
        <w:t>3</w:t>
      </w:r>
      <w:r w:rsidR="007F2272">
        <w:t xml:space="preserve"> (g):</w:t>
      </w:r>
      <w:r>
        <w:t xml:space="preserve"> </w:t>
      </w:r>
      <w:r w:rsidR="007F2272">
        <w:t>‚</w:t>
      </w:r>
      <w:r w:rsidR="001372FA">
        <w:t>Machtlosigkeit</w:t>
      </w:r>
      <w:r w:rsidR="007F2272">
        <w:t>‘</w:t>
      </w:r>
    </w:p>
    <w:p w:rsidR="00992CF7" w:rsidRPr="00D556DD" w:rsidRDefault="00992CF7" w:rsidP="00EA1927">
      <w:pPr>
        <w:pStyle w:val="Interpretation1Zeile"/>
      </w:pPr>
      <w:r>
        <w:t>3.</w:t>
      </w:r>
      <w:r>
        <w:tab/>
        <w:t>Textschema ‚Roman‘</w:t>
      </w:r>
    </w:p>
    <w:p w:rsidR="00992CF7" w:rsidRDefault="00992CF7" w:rsidP="00EA1927">
      <w:pPr>
        <w:pStyle w:val="Interpretation"/>
      </w:pPr>
      <w:r w:rsidRPr="00F8759D">
        <w:rPr>
          <w:i/>
        </w:rPr>
        <w:t>U</w:t>
      </w:r>
      <w:r w:rsidRPr="00F8759D">
        <w:t>(</w:t>
      </w:r>
      <w:r w:rsidRPr="00F8759D">
        <w:rPr>
          <w:i/>
        </w:rPr>
        <w:t>B</w:t>
      </w:r>
      <w:r w:rsidR="00C51B87">
        <w:rPr>
          <w:vertAlign w:val="subscript"/>
        </w:rPr>
        <w:t>1</w:t>
      </w:r>
      <w:r w:rsidRPr="00F8759D">
        <w:t>): ‚</w:t>
      </w:r>
      <w:r>
        <w:t>Erzählweise</w:t>
      </w:r>
      <w:r w:rsidRPr="00F8759D">
        <w:t xml:space="preserve">‘, </w:t>
      </w:r>
      <w:r w:rsidRPr="00F8759D">
        <w:rPr>
          <w:i/>
        </w:rPr>
        <w:t>V</w:t>
      </w:r>
      <w:r w:rsidRPr="00F8759D">
        <w:t>(</w:t>
      </w:r>
      <w:r w:rsidRPr="00F8759D">
        <w:rPr>
          <w:i/>
        </w:rPr>
        <w:t>B</w:t>
      </w:r>
      <w:r w:rsidR="00C51B87">
        <w:rPr>
          <w:vertAlign w:val="subscript"/>
        </w:rPr>
        <w:t>1</w:t>
      </w:r>
      <w:r w:rsidRPr="00F8759D">
        <w:t>): ‚</w:t>
      </w:r>
      <w:r>
        <w:t>experimentell‘, ‚multiperspektivisch‘</w:t>
      </w:r>
    </w:p>
    <w:p w:rsidR="00992CF7" w:rsidRDefault="00992CF7" w:rsidP="00EA1927">
      <w:pPr>
        <w:pStyle w:val="Interpretation"/>
      </w:pPr>
      <w:r w:rsidRPr="00F8759D">
        <w:rPr>
          <w:i/>
        </w:rPr>
        <w:t>U</w:t>
      </w:r>
      <w:r w:rsidRPr="00F8759D">
        <w:t>(</w:t>
      </w:r>
      <w:r w:rsidRPr="00F8759D">
        <w:rPr>
          <w:i/>
        </w:rPr>
        <w:t>B</w:t>
      </w:r>
      <w:r w:rsidR="00C51B87">
        <w:rPr>
          <w:vertAlign w:val="subscript"/>
        </w:rPr>
        <w:t>2</w:t>
      </w:r>
      <w:r w:rsidRPr="00F8759D">
        <w:t xml:space="preserve">): </w:t>
      </w:r>
      <w:r>
        <w:t xml:space="preserve">‚Sprachgebrauch‘, </w:t>
      </w:r>
      <w:r w:rsidRPr="00F8759D">
        <w:rPr>
          <w:i/>
        </w:rPr>
        <w:t>V</w:t>
      </w:r>
      <w:r w:rsidRPr="00F8759D">
        <w:t>(</w:t>
      </w:r>
      <w:r w:rsidRPr="00F8759D">
        <w:rPr>
          <w:i/>
        </w:rPr>
        <w:t>B</w:t>
      </w:r>
      <w:r w:rsidR="00C51B87">
        <w:rPr>
          <w:vertAlign w:val="subscript"/>
        </w:rPr>
        <w:t>2</w:t>
      </w:r>
      <w:r w:rsidRPr="00F8759D">
        <w:t xml:space="preserve">): </w:t>
      </w:r>
      <w:r>
        <w:t xml:space="preserve">‚ironisch‘, ‚mit vielen Neologismen‘, </w:t>
      </w:r>
      <w:r w:rsidRPr="00F8759D">
        <w:t>‚</w:t>
      </w:r>
      <w:r>
        <w:t>mit wec</w:t>
      </w:r>
      <w:r>
        <w:t>h</w:t>
      </w:r>
      <w:r>
        <w:t>selnden Stilen, Dialekten</w:t>
      </w:r>
      <w:r w:rsidR="005D7996">
        <w:fldChar w:fldCharType="begin"/>
      </w:r>
      <w:r w:rsidR="006B6E9A">
        <w:instrText xml:space="preserve"> XE "</w:instrText>
      </w:r>
      <w:r w:rsidR="006B6E9A" w:rsidRPr="00A729D8">
        <w:instrText>Dialekt</w:instrText>
      </w:r>
      <w:r w:rsidR="006B6E9A">
        <w:instrText xml:space="preserve">" </w:instrText>
      </w:r>
      <w:r w:rsidR="005D7996">
        <w:fldChar w:fldCharType="end"/>
      </w:r>
      <w:r>
        <w:t xml:space="preserve"> und Soziolekten‘</w:t>
      </w:r>
    </w:p>
    <w:p w:rsidR="002F3F01" w:rsidRDefault="002F3F01" w:rsidP="00EA1927">
      <w:pPr>
        <w:pStyle w:val="Interpretation"/>
      </w:pPr>
      <w:r>
        <w:rPr>
          <w:i/>
        </w:rPr>
        <w:t>Er</w:t>
      </w:r>
      <w:r w:rsidR="00036B7A">
        <w:rPr>
          <w:vertAlign w:val="subscript"/>
        </w:rPr>
        <w:t>(f)1</w:t>
      </w:r>
      <w:r>
        <w:t>: ‚Der Roman stammt aus den 1910er Jahren‘</w:t>
      </w:r>
    </w:p>
    <w:p w:rsidR="00036B7A" w:rsidRDefault="00036B7A" w:rsidP="00EA1927">
      <w:pPr>
        <w:pStyle w:val="Interpretation"/>
      </w:pPr>
      <w:r>
        <w:rPr>
          <w:i/>
        </w:rPr>
        <w:t>H</w:t>
      </w:r>
      <w:r>
        <w:rPr>
          <w:vertAlign w:val="subscript"/>
        </w:rPr>
        <w:t>1</w:t>
      </w:r>
      <w:r>
        <w:t xml:space="preserve">: ‚Experimentelle, multiperspektive Erzählweise, ironischer Sprachgebrauch, Verwendung von vielen Neologismen, Verwendung verschiedener Stile, Dialekte </w:t>
      </w:r>
      <w:r>
        <w:lastRenderedPageBreak/>
        <w:t>und Soziolekte</w:t>
      </w:r>
      <w:r w:rsidR="005D7996">
        <w:fldChar w:fldCharType="begin"/>
      </w:r>
      <w:r w:rsidR="00F547E6">
        <w:instrText xml:space="preserve"> XE "</w:instrText>
      </w:r>
      <w:r w:rsidR="00F547E6" w:rsidRPr="00496A22">
        <w:instrText>Soziolekt</w:instrText>
      </w:r>
      <w:r w:rsidR="00F547E6">
        <w:instrText xml:space="preserve">" </w:instrText>
      </w:r>
      <w:r w:rsidR="005D7996">
        <w:fldChar w:fldCharType="end"/>
      </w:r>
      <w:r>
        <w:t xml:space="preserve"> sind Merkmal</w:t>
      </w:r>
      <w:r w:rsidR="00A05DD7">
        <w:t>sregeln</w:t>
      </w:r>
      <w:r>
        <w:t xml:space="preserve"> de</w:t>
      </w:r>
      <w:r w:rsidR="00A05DD7">
        <w:t>s</w:t>
      </w:r>
      <w:r>
        <w:t xml:space="preserve"> </w:t>
      </w:r>
      <w:r w:rsidR="00A05DD7">
        <w:t>Stils der literarischen Richtung</w:t>
      </w:r>
      <w:r w:rsidR="00A05DD7">
        <w:rPr>
          <w:rStyle w:val="Funotenzeichen"/>
        </w:rPr>
        <w:footnoteReference w:id="451"/>
      </w:r>
      <w:r w:rsidR="00A05DD7">
        <w:t xml:space="preserve"> „</w:t>
      </w:r>
      <w:r>
        <w:t>lit</w:t>
      </w:r>
      <w:r>
        <w:t>e</w:t>
      </w:r>
      <w:r>
        <w:t>rarische Moderne</w:t>
      </w:r>
      <w:r w:rsidR="005D7996">
        <w:fldChar w:fldCharType="begin"/>
      </w:r>
      <w:r w:rsidR="00795F2C">
        <w:instrText xml:space="preserve"> XE "</w:instrText>
      </w:r>
      <w:r w:rsidR="00795F2C" w:rsidRPr="005E79F1">
        <w:instrText>Moderne:literarische</w:instrText>
      </w:r>
      <w:r w:rsidR="00795F2C">
        <w:instrText xml:space="preserve">" </w:instrText>
      </w:r>
      <w:r w:rsidR="005D7996">
        <w:fldChar w:fldCharType="end"/>
      </w:r>
      <w:r w:rsidR="00A05DD7">
        <w:t>“</w:t>
      </w:r>
      <w:r>
        <w:t>‘</w:t>
      </w:r>
    </w:p>
    <w:p w:rsidR="00D556DD" w:rsidRDefault="0056132C" w:rsidP="00EA1927">
      <w:pPr>
        <w:pStyle w:val="Interpretation"/>
      </w:pPr>
      <w:r>
        <w:rPr>
          <w:i/>
        </w:rPr>
        <w:t>H</w:t>
      </w:r>
      <w:r w:rsidR="002F3F01">
        <w:rPr>
          <w:vertAlign w:val="subscript"/>
        </w:rPr>
        <w:t>2</w:t>
      </w:r>
      <w:r>
        <w:t>: ‚</w:t>
      </w:r>
      <w:r w:rsidR="002F3F01">
        <w:t xml:space="preserve">In den </w:t>
      </w:r>
      <w:r>
        <w:t>1</w:t>
      </w:r>
      <w:r w:rsidR="002F3F01">
        <w:t>91</w:t>
      </w:r>
      <w:r>
        <w:t xml:space="preserve">0er Jahre </w:t>
      </w:r>
      <w:r w:rsidR="002F3F01">
        <w:t xml:space="preserve">war die </w:t>
      </w:r>
      <w:r w:rsidR="00FC68B2">
        <w:t xml:space="preserve">literarische </w:t>
      </w:r>
      <w:r>
        <w:t>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w:t>
      </w:r>
      <w:r w:rsidR="002F3F01">
        <w:t>auf wenige Protagonisten beschränkt</w:t>
      </w:r>
      <w:r>
        <w:t>‘</w:t>
      </w:r>
    </w:p>
    <w:p w:rsidR="00036B7A" w:rsidRDefault="00036B7A" w:rsidP="00EA4DAC">
      <w:pPr>
        <w:pStyle w:val="Formel"/>
      </w:pPr>
      <w:r w:rsidRPr="00BC0D31">
        <w:rPr>
          <w:i/>
          <w:iCs/>
        </w:rPr>
        <w:t>B</w:t>
      </w:r>
      <w:r>
        <w:rPr>
          <w:iCs/>
          <w:vertAlign w:val="subscript"/>
        </w:rPr>
        <w:t>1</w:t>
      </w:r>
      <w:r w:rsidRPr="00BC0D31">
        <w:rPr>
          <w:color w:val="000000" w:themeColor="text1"/>
        </w:rP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(f)1</w:t>
      </w:r>
      <w:r>
        <w:t xml:space="preserve"> </w:t>
      </w:r>
      <w:r w:rsidRPr="00D41E3E">
        <w:rPr>
          <w:rFonts w:ascii="Cambria Math" w:hAnsi="Cambria Math" w:cs="Cambria Math"/>
        </w:rPr>
        <w:t>∧</w:t>
      </w:r>
      <w:r w:rsidRPr="00D41E3E">
        <w:rPr>
          <w:rFonts w:cs="Times New Roman"/>
        </w:rPr>
        <w:t xml:space="preserve"> </w:t>
      </w:r>
      <w:r>
        <w:rPr>
          <w:i/>
          <w:iCs/>
        </w:rPr>
        <w:t>H</w:t>
      </w:r>
      <w:r>
        <w:rPr>
          <w:iCs/>
          <w:vertAlign w:val="subscript"/>
        </w:rPr>
        <w:t xml:space="preserve">1 </w:t>
      </w:r>
      <w:r w:rsidRPr="00D41E3E">
        <w:rPr>
          <w:rFonts w:ascii="Cambria Math" w:hAnsi="Cambria Math" w:cs="Cambria Math"/>
        </w:rPr>
        <w:t>∧</w:t>
      </w:r>
      <w:r w:rsidRPr="00D41E3E">
        <w:rPr>
          <w:rFonts w:cs="Times New Roman"/>
        </w:rPr>
        <w:t xml:space="preserve"> </w:t>
      </w:r>
      <w:r>
        <w:rPr>
          <w:i/>
          <w:iCs/>
        </w:rPr>
        <w:t>H</w:t>
      </w:r>
      <w:r>
        <w:rPr>
          <w:iCs/>
          <w:vertAlign w:val="subscript"/>
        </w:rPr>
        <w:t>2</w:t>
      </w:r>
      <w:r w:rsidRPr="00F11437">
        <w:t xml:space="preserve"> </w:t>
      </w:r>
      <w:r w:rsidR="002434D2">
        <w:rPr>
          <w:rFonts w:ascii="Cambria Math" w:eastAsia="Arial Unicode MS" w:hAnsi="Cambria Math" w:cs="Cambria Math"/>
          <w:color w:val="000000" w:themeColor="text1"/>
        </w:rPr>
        <w:t>⤳</w:t>
      </w:r>
      <w:r>
        <w:rPr>
          <w:vertAlign w:val="subscript"/>
        </w:rPr>
        <w:t>Gfr</w:t>
      </w:r>
      <w:r>
        <w:t xml:space="preserve">  </w:t>
      </w:r>
      <w:r>
        <w:rPr>
          <w:i/>
          <w:iCs/>
        </w:rPr>
        <w:t>Er</w:t>
      </w:r>
      <w:r w:rsidRPr="0062421C">
        <w:rPr>
          <w:vertAlign w:val="subscript"/>
        </w:rPr>
        <w:t>1</w:t>
      </w:r>
      <w:r>
        <w:t xml:space="preserve">, </w:t>
      </w:r>
      <w:r>
        <w:rPr>
          <w:i/>
          <w:iCs/>
        </w:rPr>
        <w:t>Er</w:t>
      </w:r>
      <w:r>
        <w:rPr>
          <w:vertAlign w:val="subscript"/>
        </w:rPr>
        <w:t>2</w:t>
      </w:r>
    </w:p>
    <w:p w:rsidR="00036B7A" w:rsidRDefault="00036B7A" w:rsidP="00EA1927">
      <w:pPr>
        <w:pStyle w:val="Interpretation"/>
      </w:pPr>
      <w:r>
        <w:rPr>
          <w:i/>
        </w:rPr>
        <w:t>Er</w:t>
      </w:r>
      <w:r>
        <w:rPr>
          <w:vertAlign w:val="subscript"/>
        </w:rPr>
        <w:t>1</w:t>
      </w:r>
      <w:r w:rsidR="00D9589E">
        <w:t xml:space="preserve"> (g):</w:t>
      </w:r>
      <w:r>
        <w:t xml:space="preserve"> ‚</w:t>
      </w:r>
      <w:r w:rsidR="001E3668">
        <w:t xml:space="preserve">Staunen und </w:t>
      </w:r>
      <w:r>
        <w:t xml:space="preserve">Bewunderung </w:t>
      </w:r>
      <w:r w:rsidR="001E3668">
        <w:t>(</w:t>
      </w:r>
      <w:r>
        <w:t>für die schriftstellerische Leistung des S</w:t>
      </w:r>
      <w:r w:rsidR="005A2878">
        <w:t>N</w:t>
      </w:r>
      <w:r w:rsidR="001E3668">
        <w:t>)</w:t>
      </w:r>
      <w:r>
        <w:t>‘</w:t>
      </w:r>
    </w:p>
    <w:p w:rsidR="001E3668" w:rsidRDefault="001E3668" w:rsidP="00EA1927">
      <w:pPr>
        <w:pStyle w:val="InterpretationletzteZeile"/>
      </w:pPr>
      <w:r>
        <w:rPr>
          <w:i/>
        </w:rPr>
        <w:t>Er</w:t>
      </w:r>
      <w:r>
        <w:rPr>
          <w:vertAlign w:val="subscript"/>
        </w:rPr>
        <w:t>2</w:t>
      </w:r>
      <w:r w:rsidR="00D9589E">
        <w:t xml:space="preserve"> (g)</w:t>
      </w:r>
      <w:r w:rsidRPr="00F8759D">
        <w:t>:</w:t>
      </w:r>
      <w:r>
        <w:t xml:space="preserve"> ‚Verunsicherung (ob </w:t>
      </w:r>
      <w:r>
        <w:rPr>
          <w:i/>
        </w:rPr>
        <w:t>Er</w:t>
      </w:r>
      <w:r>
        <w:rPr>
          <w:vertAlign w:val="subscript"/>
        </w:rPr>
        <w:t>(f)1</w:t>
      </w:r>
      <w:r>
        <w:t xml:space="preserve"> richtig </w:t>
      </w:r>
      <w:r w:rsidR="000500F7">
        <w:t>ist</w:t>
      </w:r>
      <w:r>
        <w:t>)‘</w:t>
      </w:r>
    </w:p>
    <w:p w:rsidR="0056132C" w:rsidRDefault="0056132C" w:rsidP="00EA1927">
      <w:pPr>
        <w:pStyle w:val="Text"/>
        <w:ind w:firstLine="0"/>
      </w:pPr>
      <w:r>
        <w:t xml:space="preserve">Der Inhalt von </w:t>
      </w:r>
      <w:r w:rsidR="001F7F53">
        <w:rPr>
          <w:i/>
          <w:iCs/>
        </w:rPr>
        <w:t>Er</w:t>
      </w:r>
      <w:r w:rsidR="001F7F53">
        <w:rPr>
          <w:iCs/>
          <w:vertAlign w:val="subscript"/>
        </w:rPr>
        <w:t>(f)1</w:t>
      </w:r>
      <w:r>
        <w:t xml:space="preserve"> k</w:t>
      </w:r>
      <w:r w:rsidR="0090031F">
        <w:t>önnte</w:t>
      </w:r>
      <w:r>
        <w:t xml:space="preserve"> auch in Form von Hintergrundwissen vorliegen. Im vorliegenden Fall ist es Ergebnis der bisherigen </w:t>
      </w:r>
      <w:r w:rsidR="00217E92">
        <w:t xml:space="preserve">Stilinterpretation </w:t>
      </w:r>
      <w:r>
        <w:t xml:space="preserve">(die Datierung könnte sich etwa aus der Verwendung bestimmter, nur in dieser Zeit </w:t>
      </w:r>
      <w:r w:rsidR="0090031F">
        <w:t>üblicher</w:t>
      </w:r>
      <w:r>
        <w:t xml:space="preserve"> Modewörter ergeben).</w:t>
      </w:r>
    </w:p>
    <w:p w:rsidR="00E46B4B" w:rsidRDefault="004849BE" w:rsidP="00FE115E">
      <w:pPr>
        <w:pStyle w:val="Titel3"/>
      </w:pPr>
      <w:bookmarkStart w:id="353" w:name="_Ref257706841"/>
      <w:bookmarkStart w:id="354" w:name="_Toc325456785"/>
      <w:bookmarkStart w:id="355" w:name="Eindrucksreaktion"/>
      <w:bookmarkEnd w:id="351"/>
      <w:r>
        <w:t>Eindrucksreaktion</w:t>
      </w:r>
      <w:bookmarkEnd w:id="353"/>
      <w:bookmarkEnd w:id="354"/>
    </w:p>
    <w:p w:rsidR="006977A9" w:rsidRDefault="005D7996" w:rsidP="00EA1927">
      <w:pPr>
        <w:pStyle w:val="Text"/>
        <w:ind w:firstLine="0"/>
      </w:pPr>
      <w:r>
        <w:fldChar w:fldCharType="begin"/>
      </w:r>
      <w:r w:rsidR="00265562">
        <w:instrText xml:space="preserve"> XE "Eindrucksreaktion" \r "Eindrucksreaktion" </w:instrText>
      </w:r>
      <w:r>
        <w:fldChar w:fldCharType="end"/>
      </w:r>
      <w:r>
        <w:fldChar w:fldCharType="begin"/>
      </w:r>
      <w:r w:rsidR="00265562">
        <w:instrText xml:space="preserve"> XE "Eindrucksreaktion" \t "</w:instrText>
      </w:r>
      <w:r w:rsidR="00265562" w:rsidRPr="007247A5">
        <w:rPr>
          <w:i/>
        </w:rPr>
        <w:instrText>et passim</w:instrText>
      </w:r>
      <w:r w:rsidR="00265562">
        <w:instrText xml:space="preserve">" </w:instrText>
      </w:r>
      <w:r>
        <w:fldChar w:fldCharType="end"/>
      </w:r>
      <w:r w:rsidR="00045830">
        <w:t>Als Eindrucksreaktion wird die Operation bezeichnet, in der mit einem Ei</w:t>
      </w:r>
      <w:r w:rsidR="00045830">
        <w:t>n</w:t>
      </w:r>
      <w:r w:rsidR="00045830">
        <w:t xml:space="preserve">druck auf einen Input reagiert wird. Ein Eindruck ist eine nicht-propositionale </w:t>
      </w:r>
      <w:r w:rsidR="000623FF">
        <w:t xml:space="preserve">mentale </w:t>
      </w:r>
      <w:r w:rsidR="00045830">
        <w:t>Repräsentation</w:t>
      </w:r>
      <w:r>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fldChar w:fldCharType="end"/>
      </w:r>
      <w:r w:rsidR="00045830">
        <w:t xml:space="preserve">, die durch die Wahrnehmung eines Phänomens entsteht (vgl. auch Abschnitt </w:t>
      </w:r>
      <w:r>
        <w:fldChar w:fldCharType="begin"/>
      </w:r>
      <w:r w:rsidR="00045830">
        <w:instrText xml:space="preserve"> REF _Ref253668018 \r \h </w:instrText>
      </w:r>
      <w:r>
        <w:fldChar w:fldCharType="separate"/>
      </w:r>
      <w:r w:rsidR="001231D3">
        <w:t>6.2.2</w:t>
      </w:r>
      <w:r>
        <w:fldChar w:fldCharType="end"/>
      </w:r>
      <w:r w:rsidR="00045830">
        <w:t>, (3)).</w:t>
      </w:r>
      <w:r w:rsidR="00527796">
        <w:t xml:space="preserve"> </w:t>
      </w:r>
      <w:r w:rsidR="00045830">
        <w:t xml:space="preserve">Wie auch bei den anderen Operationen kann </w:t>
      </w:r>
      <w:r w:rsidR="00527796">
        <w:t xml:space="preserve">der </w:t>
      </w:r>
      <w:r w:rsidR="00045830">
        <w:t>Input aus Merkmalsregeln und/oder Hintergrundwissen und/oder Interpretat</w:t>
      </w:r>
      <w:r w:rsidR="00045830">
        <w:t>i</w:t>
      </w:r>
      <w:r w:rsidR="00045830">
        <w:t xml:space="preserve">onsergebnissen bestehen. </w:t>
      </w:r>
      <w:r w:rsidR="006977A9">
        <w:t>Daher muss gewährleistet sein, dass die Operation mit diesen drei Inputsorten und mit Kombinationen von ihnen umgehen kann, w</w:t>
      </w:r>
      <w:r w:rsidR="006977A9">
        <w:t>o</w:t>
      </w:r>
      <w:r w:rsidR="006977A9">
        <w:t>bei sie jeweils die spezifischen Eigenschaften der Inputsorte berücksichtigt.</w:t>
      </w:r>
      <w:r w:rsidR="006977A9">
        <w:rPr>
          <w:rStyle w:val="Funotenzeichen"/>
        </w:rPr>
        <w:footnoteReference w:id="452"/>
      </w:r>
      <w:r w:rsidR="006977A9">
        <w:t xml:space="preserve"> Der Input der </w:t>
      </w:r>
      <w:r w:rsidR="002F069E">
        <w:t>Eindruck</w:t>
      </w:r>
      <w:r w:rsidR="006977A9">
        <w:t>sreaktion ist also nicht sortenbeschränkt.</w:t>
      </w:r>
    </w:p>
    <w:p w:rsidR="00E159D8" w:rsidRDefault="00332F78" w:rsidP="00E159D8">
      <w:pPr>
        <w:pStyle w:val="Text"/>
      </w:pPr>
      <w:r>
        <w:t xml:space="preserve">Der Output der Eindrucksreaktion sind ein oder mehrere Eindrücke. </w:t>
      </w:r>
      <w:r w:rsidR="00E159D8">
        <w:t xml:space="preserve">Diese werden </w:t>
      </w:r>
      <w:r w:rsidR="00FF08A4">
        <w:t xml:space="preserve">im </w:t>
      </w:r>
      <w:r w:rsidR="00E159D8">
        <w:t xml:space="preserve">vorliegenden </w:t>
      </w:r>
      <w:r w:rsidR="00FF08A4">
        <w:t xml:space="preserve">Modell </w:t>
      </w:r>
      <w:r w:rsidR="00E159D8">
        <w:t>sprachlich dargestellt: Es wird angenommen, dass Eindrücke Zeichen sind und einen Inhalt haben, der sprachlich ausgedrückt werden kann. Der sprachliche Ausdruck des Inhalts wird in einfachen Anfü</w:t>
      </w:r>
      <w:r w:rsidR="00E159D8">
        <w:t>h</w:t>
      </w:r>
      <w:r w:rsidR="00E159D8">
        <w:t>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E159D8">
        <w:t xml:space="preserve"> geschrieben.</w:t>
      </w:r>
    </w:p>
    <w:p w:rsidR="00332F78" w:rsidRDefault="00B3611E" w:rsidP="00FE115E">
      <w:pPr>
        <w:pStyle w:val="Text"/>
      </w:pPr>
      <w:r>
        <w:t xml:space="preserve">Die in </w:t>
      </w:r>
      <w:r w:rsidR="005D7996">
        <w:fldChar w:fldCharType="begin"/>
      </w:r>
      <w:r>
        <w:instrText xml:space="preserve"> REF _Ref256417074 \n \h </w:instrText>
      </w:r>
      <w:r w:rsidR="005D7996">
        <w:fldChar w:fldCharType="separate"/>
      </w:r>
      <w:r w:rsidR="001231D3">
        <w:t>6.4.6</w:t>
      </w:r>
      <w:r w:rsidR="005D7996">
        <w:fldChar w:fldCharType="end"/>
      </w:r>
      <w:r>
        <w:t xml:space="preserve"> </w:t>
      </w:r>
      <w:r w:rsidR="00DA78E5">
        <w:t>gemachte Anmerkung</w:t>
      </w:r>
      <w:r>
        <w:t xml:space="preserve"> zur mentalen Repräsentati</w:t>
      </w:r>
      <w:r w:rsidR="00DA78E5">
        <w:t>on</w:t>
      </w:r>
      <w:r w:rsidR="005D7996">
        <w:fldChar w:fldCharType="begin"/>
      </w:r>
      <w:r w:rsidR="00E56D01">
        <w:instrText xml:space="preserve"> XE "</w:instrText>
      </w:r>
      <w:r w:rsidR="00E56D01" w:rsidRPr="008D5ABD">
        <w:instrText>mentale Repräsentation</w:instrText>
      </w:r>
      <w:r w:rsidR="00E56D01">
        <w:instrText xml:space="preserve">" </w:instrText>
      </w:r>
      <w:r w:rsidR="005D7996">
        <w:fldChar w:fldCharType="end"/>
      </w:r>
      <w:r>
        <w:t xml:space="preserve"> </w:t>
      </w:r>
      <w:r w:rsidR="00DA78E5">
        <w:t xml:space="preserve">des Inputs gilt </w:t>
      </w:r>
      <w:r>
        <w:t xml:space="preserve">auch für </w:t>
      </w:r>
      <w:r w:rsidR="00DA78E5">
        <w:t>die Eindrucksreaktion</w:t>
      </w:r>
      <w:r>
        <w:t>.</w:t>
      </w:r>
    </w:p>
    <w:p w:rsidR="00AA40DF" w:rsidRPr="002F069E" w:rsidRDefault="002F069E" w:rsidP="00D13621">
      <w:pPr>
        <w:pStyle w:val="Interpretation1Zeile"/>
      </w:pPr>
      <w:r>
        <w:t>1.</w:t>
      </w:r>
      <w:r>
        <w:tab/>
      </w:r>
      <w:r w:rsidR="00AA40DF" w:rsidRPr="002F069E">
        <w:t>Verhaltensschema ‚</w:t>
      </w:r>
      <w:r w:rsidRPr="002F069E">
        <w:t>Geschirr abwaschen</w:t>
      </w:r>
      <w:r w:rsidR="00AA40DF" w:rsidRPr="002F069E">
        <w:t>‘</w:t>
      </w:r>
    </w:p>
    <w:p w:rsidR="00845600" w:rsidRDefault="00845600" w:rsidP="00D13621">
      <w:pPr>
        <w:pStyle w:val="Interpretation"/>
      </w:pPr>
      <w:r w:rsidRPr="002F069E">
        <w:rPr>
          <w:i/>
        </w:rPr>
        <w:t>U</w:t>
      </w:r>
      <w:r w:rsidRPr="002F069E">
        <w:t>(</w:t>
      </w:r>
      <w:r w:rsidRPr="002F069E">
        <w:rPr>
          <w:i/>
        </w:rPr>
        <w:t>B</w:t>
      </w:r>
      <w:r w:rsidR="00B67A1A" w:rsidRPr="002F069E">
        <w:rPr>
          <w:vertAlign w:val="subscript"/>
        </w:rPr>
        <w:t>1</w:t>
      </w:r>
      <w:r w:rsidR="002F069E">
        <w:t>): ‚erzeugte</w:t>
      </w:r>
      <w:r w:rsidR="00453328" w:rsidRPr="002F069E">
        <w:t xml:space="preserve"> Geräusch</w:t>
      </w:r>
      <w:r w:rsidR="002F069E">
        <w:t>e</w:t>
      </w:r>
      <w:r w:rsidR="00453328" w:rsidRPr="002F069E">
        <w:t>‘,</w:t>
      </w:r>
      <w:r w:rsidRPr="002F069E">
        <w:t xml:space="preserve"> </w:t>
      </w:r>
      <w:r w:rsidRPr="002F069E">
        <w:rPr>
          <w:i/>
        </w:rPr>
        <w:t>V</w:t>
      </w:r>
      <w:r w:rsidRPr="002F069E">
        <w:t>(</w:t>
      </w:r>
      <w:r w:rsidRPr="002F069E">
        <w:rPr>
          <w:i/>
        </w:rPr>
        <w:t>B</w:t>
      </w:r>
      <w:r w:rsidR="00B67A1A" w:rsidRPr="002F069E">
        <w:rPr>
          <w:vertAlign w:val="subscript"/>
        </w:rPr>
        <w:t>1</w:t>
      </w:r>
      <w:r w:rsidRPr="002F069E">
        <w:t>)</w:t>
      </w:r>
      <w:r w:rsidR="002F069E" w:rsidRPr="002F069E">
        <w:t>: ‚laut</w:t>
      </w:r>
      <w:r w:rsidR="002F069E">
        <w:t>es Klappern und Scheppern</w:t>
      </w:r>
      <w:r w:rsidRPr="002F069E">
        <w:t>‘</w:t>
      </w:r>
    </w:p>
    <w:p w:rsidR="002F069E" w:rsidRDefault="002F069E" w:rsidP="00D13621">
      <w:pPr>
        <w:pStyle w:val="Interpretation"/>
      </w:pPr>
      <w:r w:rsidRPr="002F069E">
        <w:rPr>
          <w:i/>
        </w:rPr>
        <w:t>U</w:t>
      </w:r>
      <w:r w:rsidRPr="002F069E">
        <w:t>(</w:t>
      </w:r>
      <w:r w:rsidRPr="002F069E">
        <w:rPr>
          <w:i/>
        </w:rPr>
        <w:t>B</w:t>
      </w:r>
      <w:r>
        <w:rPr>
          <w:vertAlign w:val="subscript"/>
        </w:rPr>
        <w:t>2</w:t>
      </w:r>
      <w:r>
        <w:t xml:space="preserve">): ‚gewählter Zeitpunkt‘, </w:t>
      </w:r>
      <w:r w:rsidRPr="002F069E">
        <w:rPr>
          <w:i/>
        </w:rPr>
        <w:t>V</w:t>
      </w:r>
      <w:r w:rsidRPr="002F069E">
        <w:t>(</w:t>
      </w:r>
      <w:r w:rsidRPr="002F069E">
        <w:rPr>
          <w:i/>
        </w:rPr>
        <w:t>B</w:t>
      </w:r>
      <w:r>
        <w:rPr>
          <w:vertAlign w:val="subscript"/>
        </w:rPr>
        <w:t>2</w:t>
      </w:r>
      <w:r w:rsidRPr="002F069E">
        <w:t>): ‚</w:t>
      </w:r>
      <w:r>
        <w:t>direkt nach dem Essen in der Mittagspa</w:t>
      </w:r>
      <w:r>
        <w:t>u</w:t>
      </w:r>
      <w:r>
        <w:t>se‘</w:t>
      </w:r>
    </w:p>
    <w:p w:rsidR="00986AD8" w:rsidRPr="002F069E" w:rsidRDefault="00986AD8" w:rsidP="00EA4DAC">
      <w:pPr>
        <w:pStyle w:val="Formel"/>
      </w:pPr>
      <w:r w:rsidRPr="002F069E">
        <w:rPr>
          <w:i/>
          <w:iCs/>
        </w:rPr>
        <w:t>B</w:t>
      </w:r>
      <w:r w:rsidRPr="002F069E">
        <w:rPr>
          <w:vertAlign w:val="subscript"/>
        </w:rPr>
        <w:t>1</w:t>
      </w:r>
      <w:r>
        <w:t xml:space="preserve"> </w:t>
      </w:r>
      <w:r w:rsidRPr="00D41E3E">
        <w:rPr>
          <w:rFonts w:ascii="Cambria Math" w:hAnsi="Cambria Math" w:cs="Cambria Math"/>
        </w:rPr>
        <w:t>∧</w:t>
      </w:r>
      <w:r w:rsidRPr="00D41E3E">
        <w:rPr>
          <w:rFonts w:cs="Times New Roman"/>
        </w:rPr>
        <w:t xml:space="preserve"> </w:t>
      </w:r>
      <w:r>
        <w:rPr>
          <w:i/>
          <w:iCs/>
        </w:rPr>
        <w:t>B</w:t>
      </w:r>
      <w:r>
        <w:rPr>
          <w:iCs/>
          <w:vertAlign w:val="subscript"/>
        </w:rPr>
        <w:t>2</w:t>
      </w:r>
      <w:r w:rsidRPr="00F11437">
        <w:t xml:space="preserve"> </w:t>
      </w:r>
      <w:r w:rsidR="002434D2">
        <w:rPr>
          <w:rFonts w:ascii="Cambria Math" w:eastAsia="Arial Unicode MS" w:hAnsi="Cambria Math" w:cs="Cambria Math"/>
          <w:color w:val="000000" w:themeColor="text1"/>
        </w:rPr>
        <w:t>⤳</w:t>
      </w:r>
      <w:r w:rsidRPr="002F069E">
        <w:rPr>
          <w:vertAlign w:val="subscript"/>
        </w:rPr>
        <w:t>Edr</w:t>
      </w:r>
      <w:r w:rsidRPr="002F069E">
        <w:t xml:space="preserve">  </w:t>
      </w:r>
      <w:r w:rsidRPr="002F069E">
        <w:rPr>
          <w:i/>
          <w:iCs/>
        </w:rPr>
        <w:t>Er</w:t>
      </w:r>
      <w:r w:rsidRPr="002F069E">
        <w:rPr>
          <w:vertAlign w:val="subscript"/>
        </w:rPr>
        <w:t>1</w:t>
      </w:r>
      <w:r>
        <w:t xml:space="preserve">, </w:t>
      </w:r>
      <w:r w:rsidRPr="002F069E">
        <w:rPr>
          <w:i/>
          <w:iCs/>
        </w:rPr>
        <w:t>Er</w:t>
      </w:r>
      <w:r>
        <w:rPr>
          <w:vertAlign w:val="subscript"/>
        </w:rPr>
        <w:t>2</w:t>
      </w:r>
    </w:p>
    <w:p w:rsidR="00986AD8" w:rsidRDefault="00986AD8" w:rsidP="00D13621">
      <w:pPr>
        <w:pStyle w:val="Interpretation"/>
      </w:pPr>
      <w:r w:rsidRPr="002F069E">
        <w:rPr>
          <w:i/>
        </w:rPr>
        <w:lastRenderedPageBreak/>
        <w:t>Er</w:t>
      </w:r>
      <w:r>
        <w:rPr>
          <w:vertAlign w:val="subscript"/>
        </w:rPr>
        <w:t>1</w:t>
      </w:r>
      <w:r>
        <w:t xml:space="preserve"> (e):</w:t>
      </w:r>
      <w:r w:rsidRPr="002F069E">
        <w:t xml:space="preserve"> ‚</w:t>
      </w:r>
      <w:r w:rsidR="0085753F">
        <w:t xml:space="preserve">SN </w:t>
      </w:r>
      <w:r>
        <w:t>ist rücksichtslos‘</w:t>
      </w:r>
    </w:p>
    <w:p w:rsidR="00986AD8" w:rsidRDefault="00986AD8" w:rsidP="00D13621">
      <w:pPr>
        <w:pStyle w:val="InterpretationletzteZeile"/>
      </w:pPr>
      <w:r w:rsidRPr="002F069E">
        <w:rPr>
          <w:i/>
        </w:rPr>
        <w:t>Er</w:t>
      </w:r>
      <w:r>
        <w:rPr>
          <w:vertAlign w:val="subscript"/>
        </w:rPr>
        <w:t>2</w:t>
      </w:r>
      <w:r>
        <w:t xml:space="preserve"> (e):</w:t>
      </w:r>
      <w:r w:rsidRPr="002F069E">
        <w:t xml:space="preserve"> ‚</w:t>
      </w:r>
      <w:r>
        <w:t>Die Stimmung (in der Wohnung/dem Haus/der WG/…) ist gereizt‘</w:t>
      </w:r>
    </w:p>
    <w:p w:rsidR="00986AD8" w:rsidRDefault="00DB61A2" w:rsidP="00D13621">
      <w:pPr>
        <w:pStyle w:val="Text"/>
        <w:ind w:firstLine="0"/>
      </w:pPr>
      <w:r>
        <w:t>Andere Ergebnisse werden erzeugt, wenn der</w:t>
      </w:r>
      <w:r w:rsidR="00DD45B2">
        <w:t xml:space="preserve"> SW </w:t>
      </w:r>
      <w:r>
        <w:t>über das folgende Hinte</w:t>
      </w:r>
      <w:r>
        <w:t>r</w:t>
      </w:r>
      <w:r>
        <w:t>grundwissen verfügt:</w:t>
      </w:r>
    </w:p>
    <w:p w:rsidR="00DB61A2" w:rsidRDefault="00DB61A2" w:rsidP="00D13621">
      <w:pPr>
        <w:pStyle w:val="Interpretation1Zeile"/>
      </w:pPr>
      <w:r>
        <w:rPr>
          <w:i/>
        </w:rPr>
        <w:t>H</w:t>
      </w:r>
      <w:r>
        <w:rPr>
          <w:vertAlign w:val="subscript"/>
        </w:rPr>
        <w:t>1</w:t>
      </w:r>
      <w:r>
        <w:t>: ‚Der</w:t>
      </w:r>
      <w:r w:rsidR="00DD45B2">
        <w:t xml:space="preserve"> SN </w:t>
      </w:r>
      <w:r>
        <w:t>ist im Allgemeinen rücksichtsvoll‘</w:t>
      </w:r>
    </w:p>
    <w:p w:rsidR="00B67A1A" w:rsidRPr="002F069E" w:rsidRDefault="00B67A1A" w:rsidP="00EA4DAC">
      <w:pPr>
        <w:pStyle w:val="Formel"/>
      </w:pPr>
      <w:r w:rsidRPr="002F069E">
        <w:rPr>
          <w:i/>
          <w:iCs/>
        </w:rPr>
        <w:t>B</w:t>
      </w:r>
      <w:r w:rsidRPr="002F069E">
        <w:rPr>
          <w:vertAlign w:val="subscript"/>
        </w:rPr>
        <w:t>1</w:t>
      </w:r>
      <w:r w:rsidR="00D97FC9">
        <w:t xml:space="preserve"> </w:t>
      </w:r>
      <w:r w:rsidR="00D97FC9" w:rsidRPr="00D41E3E">
        <w:rPr>
          <w:rFonts w:ascii="Cambria Math" w:hAnsi="Cambria Math" w:cs="Cambria Math"/>
        </w:rPr>
        <w:t>∧</w:t>
      </w:r>
      <w:r w:rsidR="00D97FC9" w:rsidRPr="00D41E3E">
        <w:rPr>
          <w:rFonts w:cs="Times New Roman"/>
        </w:rPr>
        <w:t xml:space="preserve"> </w:t>
      </w:r>
      <w:r w:rsidR="00D97FC9">
        <w:rPr>
          <w:i/>
          <w:iCs/>
        </w:rPr>
        <w:t>B</w:t>
      </w:r>
      <w:r w:rsidR="00D97FC9">
        <w:rPr>
          <w:iCs/>
          <w:vertAlign w:val="subscript"/>
        </w:rPr>
        <w:t xml:space="preserve">2 </w:t>
      </w:r>
      <w:r w:rsidR="00D97FC9" w:rsidRPr="00D41E3E">
        <w:rPr>
          <w:rFonts w:ascii="Cambria Math" w:hAnsi="Cambria Math" w:cs="Cambria Math"/>
        </w:rPr>
        <w:t>∧</w:t>
      </w:r>
      <w:r w:rsidR="00D97FC9" w:rsidRPr="00D41E3E">
        <w:rPr>
          <w:rFonts w:cs="Times New Roman"/>
        </w:rPr>
        <w:t xml:space="preserve"> </w:t>
      </w:r>
      <w:r w:rsidR="00D97FC9">
        <w:rPr>
          <w:i/>
          <w:iCs/>
        </w:rPr>
        <w:t>H</w:t>
      </w:r>
      <w:r w:rsidR="00D97FC9">
        <w:rPr>
          <w:iCs/>
          <w:vertAlign w:val="subscript"/>
        </w:rPr>
        <w:t>1</w:t>
      </w:r>
      <w:r w:rsidR="00D97FC9" w:rsidRPr="00F11437">
        <w:t xml:space="preserve"> </w:t>
      </w:r>
      <w:r w:rsidR="002434D2">
        <w:rPr>
          <w:rFonts w:ascii="Cambria Math" w:eastAsia="Arial Unicode MS" w:hAnsi="Cambria Math" w:cs="Cambria Math"/>
          <w:color w:val="000000" w:themeColor="text1"/>
        </w:rPr>
        <w:t>⤳</w:t>
      </w:r>
      <w:r w:rsidRPr="002F069E">
        <w:rPr>
          <w:vertAlign w:val="subscript"/>
        </w:rPr>
        <w:t>Edr</w:t>
      </w:r>
      <w:r w:rsidRPr="002F069E">
        <w:t xml:space="preserve">  </w:t>
      </w:r>
      <w:r w:rsidRPr="002F069E">
        <w:rPr>
          <w:i/>
          <w:iCs/>
        </w:rPr>
        <w:t>Er</w:t>
      </w:r>
      <w:r w:rsidRPr="002F069E">
        <w:rPr>
          <w:vertAlign w:val="subscript"/>
        </w:rPr>
        <w:t>1</w:t>
      </w:r>
      <w:r w:rsidR="002F069E">
        <w:t xml:space="preserve">, </w:t>
      </w:r>
      <w:r w:rsidR="002F069E" w:rsidRPr="002F069E">
        <w:rPr>
          <w:i/>
          <w:iCs/>
        </w:rPr>
        <w:t>Er</w:t>
      </w:r>
      <w:r w:rsidR="002F069E">
        <w:rPr>
          <w:vertAlign w:val="subscript"/>
        </w:rPr>
        <w:t>2</w:t>
      </w:r>
    </w:p>
    <w:p w:rsidR="00DB61A2" w:rsidRDefault="00DB61A2" w:rsidP="00D13621">
      <w:pPr>
        <w:pStyle w:val="Interpretation"/>
      </w:pPr>
      <w:r w:rsidRPr="002F069E">
        <w:rPr>
          <w:i/>
        </w:rPr>
        <w:t>Er</w:t>
      </w:r>
      <w:r>
        <w:rPr>
          <w:vertAlign w:val="subscript"/>
        </w:rPr>
        <w:t>1</w:t>
      </w:r>
      <w:r>
        <w:t xml:space="preserve"> (e):</w:t>
      </w:r>
      <w:r w:rsidRPr="002F069E">
        <w:t xml:space="preserve"> ‚</w:t>
      </w:r>
      <w:r w:rsidR="0085753F">
        <w:t xml:space="preserve">SN </w:t>
      </w:r>
      <w:r>
        <w:t>verhält sich anders als sonst</w:t>
      </w:r>
      <w:r w:rsidRPr="002F069E">
        <w:t>‘</w:t>
      </w:r>
    </w:p>
    <w:p w:rsidR="002F069E" w:rsidRPr="002F069E" w:rsidRDefault="00845600" w:rsidP="00D13621">
      <w:pPr>
        <w:pStyle w:val="InterpretationletzteZeile"/>
      </w:pPr>
      <w:r w:rsidRPr="002F069E">
        <w:rPr>
          <w:i/>
        </w:rPr>
        <w:t>Er</w:t>
      </w:r>
      <w:r w:rsidR="00DB61A2">
        <w:rPr>
          <w:vertAlign w:val="subscript"/>
        </w:rPr>
        <w:t>2</w:t>
      </w:r>
      <w:r w:rsidR="00D97FC9">
        <w:t xml:space="preserve"> (e):</w:t>
      </w:r>
      <w:r w:rsidRPr="002F069E">
        <w:t xml:space="preserve"> ‚</w:t>
      </w:r>
      <w:r w:rsidR="00015531">
        <w:t xml:space="preserve">Irgendetwas </w:t>
      </w:r>
      <w:r w:rsidR="00986AD8">
        <w:t xml:space="preserve">stimmt </w:t>
      </w:r>
      <w:r w:rsidR="00015531">
        <w:t>nicht</w:t>
      </w:r>
      <w:r w:rsidR="002F069E" w:rsidRPr="002F069E">
        <w:t>‘</w:t>
      </w:r>
    </w:p>
    <w:p w:rsidR="008E6DD1" w:rsidRDefault="003770FB" w:rsidP="00D13621">
      <w:pPr>
        <w:pStyle w:val="Text"/>
        <w:ind w:firstLine="0"/>
      </w:pPr>
      <w:r>
        <w:t>Zu beachten ist</w:t>
      </w:r>
      <w:r w:rsidR="008E6DD1">
        <w:t xml:space="preserve">, dass die gewählten </w:t>
      </w:r>
      <w:r w:rsidR="002851B4">
        <w:t>sprachlichen Formulierungen, wie bei allen Eindrücken, nicht mit diesen gleichgesetzt werden</w:t>
      </w:r>
      <w:r w:rsidR="008E6DD1">
        <w:t xml:space="preserve"> dürfen; sie stellen nur B</w:t>
      </w:r>
      <w:r w:rsidR="008E6DD1">
        <w:t>e</w:t>
      </w:r>
      <w:r w:rsidR="008E6DD1">
        <w:t>schreibungen dar. E</w:t>
      </w:r>
      <w:r w:rsidR="002851B4">
        <w:t xml:space="preserve">s handelt sich um nicht-propositionale </w:t>
      </w:r>
      <w:r w:rsidR="000623FF">
        <w:t xml:space="preserve">mentale </w:t>
      </w:r>
      <w:r w:rsidR="002851B4">
        <w:t>Repräsent</w:t>
      </w:r>
      <w:r w:rsidR="002851B4">
        <w:t>a</w:t>
      </w:r>
      <w:r w:rsidR="002851B4">
        <w:t>tionen</w:t>
      </w:r>
      <w:r w:rsidR="005D7996">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rsidR="005D7996">
        <w:fldChar w:fldCharType="end"/>
      </w:r>
      <w:r w:rsidR="002851B4">
        <w:t xml:space="preserve">, also möglicherweise </w:t>
      </w:r>
      <w:r w:rsidR="00226CC3">
        <w:t xml:space="preserve">mentale </w:t>
      </w:r>
      <w:r w:rsidR="002851B4">
        <w:t>Bilder</w:t>
      </w:r>
      <w:r w:rsidR="005D7996">
        <w:fldChar w:fldCharType="begin"/>
      </w:r>
      <w:r w:rsidR="0025273E">
        <w:instrText xml:space="preserve"> XE "</w:instrText>
      </w:r>
      <w:r w:rsidR="0025273E" w:rsidRPr="00D10EB7">
        <w:instrText>Bilder:mentale</w:instrText>
      </w:r>
      <w:r w:rsidR="0025273E">
        <w:instrText xml:space="preserve">" </w:instrText>
      </w:r>
      <w:r w:rsidR="005D7996">
        <w:fldChar w:fldCharType="end"/>
      </w:r>
      <w:r w:rsidR="00226CC3">
        <w:t xml:space="preserve">, die </w:t>
      </w:r>
      <w:r w:rsidR="002851B4">
        <w:t>Beunruhigung</w:t>
      </w:r>
      <w:r w:rsidR="00226CC3">
        <w:t xml:space="preserve"> ausdrücken</w:t>
      </w:r>
      <w:r w:rsidR="002851B4">
        <w:t xml:space="preserve">; eine erhöhte Aufmerksamkeit auf das Geräusch, die darauf hinweist, dass damit etwas nicht stimmt; </w:t>
      </w:r>
      <w:r w:rsidR="008E6DD1">
        <w:t xml:space="preserve">den Aufruf bestimmter Erinnerungen oder Geisteszustände, die sich noch nicht </w:t>
      </w:r>
      <w:r w:rsidR="00BF10AA">
        <w:t xml:space="preserve">zu einer </w:t>
      </w:r>
      <w:r w:rsidR="008E6DD1">
        <w:t>Proposition</w:t>
      </w:r>
      <w:r w:rsidR="004D4084">
        <w:t>sannahme</w:t>
      </w:r>
      <w:r w:rsidR="008E6DD1">
        <w:t xml:space="preserve"> verdichtet haben; oder andere kognitive Zustände, die den Informationsgehalt von </w:t>
      </w:r>
      <w:r w:rsidR="008E6DD1" w:rsidRPr="002F069E">
        <w:rPr>
          <w:i/>
          <w:iCs/>
        </w:rPr>
        <w:t>Er</w:t>
      </w:r>
      <w:r w:rsidR="008E6DD1" w:rsidRPr="002F069E">
        <w:rPr>
          <w:iCs/>
          <w:vertAlign w:val="subscript"/>
        </w:rPr>
        <w:t>1</w:t>
      </w:r>
      <w:r w:rsidR="008E6DD1">
        <w:t xml:space="preserve"> und </w:t>
      </w:r>
      <w:r w:rsidR="008E6DD1" w:rsidRPr="002F069E">
        <w:rPr>
          <w:i/>
          <w:iCs/>
        </w:rPr>
        <w:t>Er</w:t>
      </w:r>
      <w:r w:rsidR="008E6DD1">
        <w:rPr>
          <w:iCs/>
          <w:vertAlign w:val="subscript"/>
        </w:rPr>
        <w:t>2</w:t>
      </w:r>
      <w:r w:rsidR="008E6DD1">
        <w:t xml:space="preserve"> ungefähr repr</w:t>
      </w:r>
      <w:r w:rsidR="008E6DD1">
        <w:t>ä</w:t>
      </w:r>
      <w:r w:rsidR="008E6DD1">
        <w:t>sentieren.</w:t>
      </w:r>
    </w:p>
    <w:p w:rsidR="00F92CAF" w:rsidRDefault="00DB61A2" w:rsidP="00FE115E">
      <w:pPr>
        <w:pStyle w:val="Text"/>
      </w:pPr>
      <w:r>
        <w:t xml:space="preserve">Im zweiten Fall wird </w:t>
      </w:r>
      <w:r w:rsidR="00C27FEF">
        <w:t xml:space="preserve">ein Element des Hintergrundwissens verwendet: Wäre das Verhalten für den </w:t>
      </w:r>
      <w:r w:rsidR="0085753F">
        <w:t xml:space="preserve">SN </w:t>
      </w:r>
      <w:r w:rsidR="00C27FEF">
        <w:t xml:space="preserve">nicht ungewöhnlich, würde es nicht zur Entstehung von </w:t>
      </w:r>
      <w:r w:rsidR="00C27FEF" w:rsidRPr="002F069E">
        <w:rPr>
          <w:i/>
          <w:iCs/>
        </w:rPr>
        <w:t>Er</w:t>
      </w:r>
      <w:r w:rsidR="00C27FEF" w:rsidRPr="002F069E">
        <w:rPr>
          <w:vertAlign w:val="subscript"/>
        </w:rPr>
        <w:t>1</w:t>
      </w:r>
      <w:r w:rsidR="00C27FEF">
        <w:t xml:space="preserve"> und </w:t>
      </w:r>
      <w:r w:rsidR="00C27FEF" w:rsidRPr="002F069E">
        <w:rPr>
          <w:i/>
          <w:iCs/>
        </w:rPr>
        <w:t>Er</w:t>
      </w:r>
      <w:r w:rsidR="00C27FEF">
        <w:rPr>
          <w:vertAlign w:val="subscript"/>
        </w:rPr>
        <w:t>2</w:t>
      </w:r>
      <w:r w:rsidR="00C27FEF">
        <w:t xml:space="preserve"> kommen. In welcher Form das Element </w:t>
      </w:r>
      <w:r w:rsidR="00C27FEF">
        <w:rPr>
          <w:i/>
          <w:iCs/>
        </w:rPr>
        <w:t>H</w:t>
      </w:r>
      <w:r w:rsidR="00C27FEF" w:rsidRPr="002F069E">
        <w:rPr>
          <w:iCs/>
          <w:vertAlign w:val="subscript"/>
        </w:rPr>
        <w:t>1</w:t>
      </w:r>
      <w:r w:rsidR="00C27FEF">
        <w:t xml:space="preserve"> repräsentiert ist, wird ebenfalls offengelassen; es muss jedoch den hier in propositionaler Form dargestellten Informationsgehalt enthalten. Es ist durchaus vorstellbar, dass eine als Hintergrundwissen vorhandene Pr</w:t>
      </w:r>
      <w:r>
        <w:t>o</w:t>
      </w:r>
      <w:r w:rsidR="00C27FEF">
        <w:t>position</w:t>
      </w:r>
      <w:r w:rsidR="004D4084">
        <w:t>sannahme</w:t>
      </w:r>
      <w:r w:rsidR="00C27FEF">
        <w:t xml:space="preserve"> in eine Eindrucksrea</w:t>
      </w:r>
      <w:r w:rsidR="00C27FEF">
        <w:t>k</w:t>
      </w:r>
      <w:r w:rsidR="00C27FEF">
        <w:t>tion eingeht; dies</w:t>
      </w:r>
      <w:r w:rsidR="00F92CAF">
        <w:t>e kann dem</w:t>
      </w:r>
      <w:r w:rsidR="00DD45B2">
        <w:t xml:space="preserve"> SW </w:t>
      </w:r>
      <w:r>
        <w:t xml:space="preserve">auch </w:t>
      </w:r>
      <w:r w:rsidR="00F92CAF">
        <w:t xml:space="preserve">zu Bewusstsein kommen (als Gedanke </w:t>
      </w:r>
      <w:r w:rsidR="00C27FEF">
        <w:t>‚</w:t>
      </w:r>
      <w:r w:rsidR="0085753F">
        <w:t xml:space="preserve">SN </w:t>
      </w:r>
      <w:r w:rsidR="00C27FEF">
        <w:t xml:space="preserve">ist </w:t>
      </w:r>
      <w:r w:rsidR="00F92CAF">
        <w:t xml:space="preserve">doch sonst </w:t>
      </w:r>
      <w:r w:rsidR="00C27FEF">
        <w:t>ein rücksichtsvoller Mensch‘</w:t>
      </w:r>
      <w:r w:rsidR="00F92CAF">
        <w:t>)</w:t>
      </w:r>
      <w:r w:rsidR="00C27FEF">
        <w:t xml:space="preserve">, </w:t>
      </w:r>
      <w:r>
        <w:t xml:space="preserve">während </w:t>
      </w:r>
      <w:r w:rsidR="00F92CAF" w:rsidRPr="002F069E">
        <w:rPr>
          <w:i/>
          <w:iCs/>
        </w:rPr>
        <w:t>Er</w:t>
      </w:r>
      <w:r w:rsidR="00F92CAF" w:rsidRPr="002F069E">
        <w:rPr>
          <w:vertAlign w:val="subscript"/>
        </w:rPr>
        <w:t>1</w:t>
      </w:r>
      <w:r w:rsidR="00F92CAF">
        <w:t xml:space="preserve"> und </w:t>
      </w:r>
      <w:r w:rsidR="00F92CAF" w:rsidRPr="002F069E">
        <w:rPr>
          <w:i/>
          <w:iCs/>
        </w:rPr>
        <w:t>Er</w:t>
      </w:r>
      <w:r w:rsidR="00F92CAF">
        <w:rPr>
          <w:vertAlign w:val="subscript"/>
        </w:rPr>
        <w:t>2</w:t>
      </w:r>
      <w:r w:rsidR="00C27FEF">
        <w:t xml:space="preserve"> </w:t>
      </w:r>
      <w:r>
        <w:t>nicht propositional formuliert sind, sondern nur als Eindrücke existieren.</w:t>
      </w:r>
    </w:p>
    <w:p w:rsidR="0091245E" w:rsidRDefault="0091245E" w:rsidP="0091245E">
      <w:pPr>
        <w:pStyle w:val="Text"/>
      </w:pPr>
      <w:r>
        <w:t xml:space="preserve">Wird jedoch begonnen, über </w:t>
      </w:r>
      <w:r w:rsidR="00DB61A2">
        <w:t xml:space="preserve">Eindrücke </w:t>
      </w:r>
      <w:r>
        <w:t>nachzudenken, werden sie meist zunächst in eine propositionale Form überführt, die denselben Inhalt hat: Der Eindruck wird in Worte gefasst. Dafür können wir die Deduktion verwenden, da di</w:t>
      </w:r>
      <w:r w:rsidR="00FA5861">
        <w:t xml:space="preserve">ese (ebenso wie die anderen Operationen) jede Inputsorte akzeptiert und </w:t>
      </w:r>
      <w:r>
        <w:t>eine Proposition ausgibt</w:t>
      </w:r>
      <w:r w:rsidR="00FA5861">
        <w:t>:</w:t>
      </w:r>
    </w:p>
    <w:p w:rsidR="0091245E" w:rsidRPr="002F069E" w:rsidRDefault="0091245E" w:rsidP="00EA4DAC">
      <w:pPr>
        <w:pStyle w:val="Formel"/>
      </w:pPr>
      <w:r>
        <w:rPr>
          <w:i/>
          <w:iCs/>
        </w:rPr>
        <w:t>Er</w:t>
      </w:r>
      <w:r w:rsidRPr="002F069E">
        <w:rPr>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rsidRPr="002F069E">
        <w:t xml:space="preserve">  </w:t>
      </w:r>
      <w:r w:rsidRPr="002F069E">
        <w:rPr>
          <w:i/>
          <w:iCs/>
        </w:rPr>
        <w:t>Er</w:t>
      </w:r>
      <w:r>
        <w:rPr>
          <w:vertAlign w:val="subscript"/>
        </w:rPr>
        <w:t>3</w:t>
      </w:r>
    </w:p>
    <w:p w:rsidR="0091245E" w:rsidRDefault="0091245E" w:rsidP="007F0B22">
      <w:pPr>
        <w:pStyle w:val="Interpretation"/>
      </w:pPr>
      <w:r w:rsidRPr="002F069E">
        <w:rPr>
          <w:i/>
        </w:rPr>
        <w:t>Er</w:t>
      </w:r>
      <w:r>
        <w:rPr>
          <w:vertAlign w:val="subscript"/>
        </w:rPr>
        <w:t>3</w:t>
      </w:r>
      <w:r>
        <w:t>:</w:t>
      </w:r>
      <w:r w:rsidRPr="002F069E">
        <w:t xml:space="preserve"> ‚</w:t>
      </w:r>
      <w:r>
        <w:t>Irgend</w:t>
      </w:r>
      <w:r w:rsidRPr="002F069E">
        <w:t>etwas stimmt nicht‘</w:t>
      </w:r>
    </w:p>
    <w:p w:rsidR="0091245E" w:rsidRPr="002F069E" w:rsidRDefault="0091245E" w:rsidP="00EA4DAC">
      <w:pPr>
        <w:pStyle w:val="Formel"/>
      </w:pPr>
      <w:r>
        <w:rPr>
          <w:i/>
          <w:iCs/>
        </w:rPr>
        <w:t>Er</w:t>
      </w:r>
      <w:r>
        <w:rPr>
          <w:vertAlign w:val="subscript"/>
        </w:rPr>
        <w:t>2</w:t>
      </w:r>
      <w:r>
        <w:t xml:space="preserve"> </w:t>
      </w:r>
      <w:r w:rsidR="002434D2">
        <w:rPr>
          <w:rFonts w:ascii="Cambria Math" w:eastAsia="Arial Unicode MS" w:hAnsi="Cambria Math" w:cs="Cambria Math"/>
          <w:color w:val="000000" w:themeColor="text1"/>
        </w:rPr>
        <w:t>⤳</w:t>
      </w:r>
      <w:r>
        <w:rPr>
          <w:vertAlign w:val="subscript"/>
        </w:rPr>
        <w:t>Ded</w:t>
      </w:r>
      <w:r w:rsidRPr="002F069E">
        <w:t xml:space="preserve">  </w:t>
      </w:r>
      <w:r w:rsidRPr="002F069E">
        <w:rPr>
          <w:i/>
          <w:iCs/>
        </w:rPr>
        <w:t>Er</w:t>
      </w:r>
      <w:r>
        <w:rPr>
          <w:vertAlign w:val="subscript"/>
        </w:rPr>
        <w:t>4</w:t>
      </w:r>
    </w:p>
    <w:p w:rsidR="0091245E" w:rsidRDefault="0091245E" w:rsidP="007F0B22">
      <w:pPr>
        <w:pStyle w:val="InterpretationletzteZeile"/>
      </w:pPr>
      <w:r w:rsidRPr="002F069E">
        <w:rPr>
          <w:i/>
        </w:rPr>
        <w:t>Er</w:t>
      </w:r>
      <w:r>
        <w:rPr>
          <w:vertAlign w:val="subscript"/>
        </w:rPr>
        <w:t>4</w:t>
      </w:r>
      <w:r>
        <w:t>:</w:t>
      </w:r>
      <w:r w:rsidRPr="002F069E">
        <w:t xml:space="preserve"> ‚</w:t>
      </w:r>
      <w:r w:rsidR="0085753F">
        <w:t xml:space="preserve">SN </w:t>
      </w:r>
      <w:r>
        <w:t>verhält sich anders als sonst</w:t>
      </w:r>
      <w:r w:rsidRPr="002F069E">
        <w:t>‘</w:t>
      </w:r>
    </w:p>
    <w:p w:rsidR="00E859E3" w:rsidRDefault="00E859E3" w:rsidP="007F0B22">
      <w:pPr>
        <w:pStyle w:val="Text"/>
        <w:ind w:firstLine="0"/>
      </w:pPr>
      <w:r>
        <w:lastRenderedPageBreak/>
        <w:t>In einem zweiten Interpretationsschritt können die Ergebnisse weiterverarbeitet werden, indem mit Hilfe einer Abduktion mögliche Gründe für das ungewöhnl</w:t>
      </w:r>
      <w:r>
        <w:t>i</w:t>
      </w:r>
      <w:r>
        <w:t>che Verhalten gesucht werden.</w:t>
      </w:r>
      <w:r>
        <w:rPr>
          <w:rStyle w:val="Funotenzeichen"/>
        </w:rPr>
        <w:footnoteReference w:id="453"/>
      </w:r>
      <w:r>
        <w:t xml:space="preserve"> Dafür ist keine Übertragung in präpositionale Form nötig, da auch die Abduktion bezüglich des Inputs nicht sortenbeschränkt ist</w:t>
      </w:r>
      <w:r w:rsidR="0091245E">
        <w:t>:</w:t>
      </w:r>
    </w:p>
    <w:p w:rsidR="00E859E3" w:rsidRPr="002F069E" w:rsidRDefault="00E859E3" w:rsidP="00EA4DAC">
      <w:pPr>
        <w:pStyle w:val="Formel"/>
      </w:pPr>
      <w:r>
        <w:rPr>
          <w:i/>
          <w:iCs/>
        </w:rPr>
        <w:t>Er</w:t>
      </w:r>
      <w:r w:rsidRPr="002F069E">
        <w:rPr>
          <w:vertAlign w:val="subscript"/>
        </w:rPr>
        <w:t>1</w:t>
      </w:r>
      <w:r>
        <w:rPr>
          <w:iCs/>
          <w:vertAlign w:val="subscript"/>
        </w:rP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2</w:t>
      </w:r>
      <w:r w:rsidRPr="00F11437">
        <w:t xml:space="preserve"> </w:t>
      </w:r>
      <w:r w:rsidR="002434D2">
        <w:rPr>
          <w:rFonts w:ascii="Cambria Math" w:eastAsia="Arial Unicode MS" w:hAnsi="Cambria Math" w:cs="Cambria Math"/>
          <w:color w:val="000000" w:themeColor="text1"/>
        </w:rPr>
        <w:t>⤳</w:t>
      </w:r>
      <w:r>
        <w:rPr>
          <w:vertAlign w:val="subscript"/>
        </w:rPr>
        <w:t>Abd</w:t>
      </w:r>
      <w:r w:rsidRPr="002F069E">
        <w:t xml:space="preserve">  </w:t>
      </w:r>
      <w:r w:rsidRPr="002F069E">
        <w:rPr>
          <w:i/>
          <w:iCs/>
        </w:rPr>
        <w:t>Er</w:t>
      </w:r>
      <w:r w:rsidR="0091245E">
        <w:rPr>
          <w:vertAlign w:val="subscript"/>
        </w:rPr>
        <w:t>5</w:t>
      </w:r>
      <w:r>
        <w:t xml:space="preserve">, </w:t>
      </w:r>
      <w:r w:rsidRPr="002F069E">
        <w:rPr>
          <w:i/>
          <w:iCs/>
        </w:rPr>
        <w:t>Er</w:t>
      </w:r>
      <w:r w:rsidR="0091245E">
        <w:rPr>
          <w:vertAlign w:val="subscript"/>
        </w:rPr>
        <w:t>6</w:t>
      </w:r>
      <w:r w:rsidR="003479F4">
        <w:t xml:space="preserve">, </w:t>
      </w:r>
      <w:r w:rsidR="003479F4" w:rsidRPr="002F069E">
        <w:rPr>
          <w:i/>
          <w:iCs/>
        </w:rPr>
        <w:t>Er</w:t>
      </w:r>
      <w:r w:rsidR="003479F4">
        <w:rPr>
          <w:vertAlign w:val="subscript"/>
        </w:rPr>
        <w:t>7</w:t>
      </w:r>
      <w:r w:rsidR="003479F4">
        <w:t>, …</w:t>
      </w:r>
    </w:p>
    <w:p w:rsidR="00E859E3" w:rsidRPr="002F069E" w:rsidRDefault="00E859E3" w:rsidP="007F0B22">
      <w:pPr>
        <w:pStyle w:val="Interpretation"/>
      </w:pPr>
      <w:r w:rsidRPr="002F069E">
        <w:rPr>
          <w:i/>
        </w:rPr>
        <w:t>Er</w:t>
      </w:r>
      <w:r w:rsidR="0091245E">
        <w:rPr>
          <w:vertAlign w:val="subscript"/>
        </w:rPr>
        <w:t>5</w:t>
      </w:r>
      <w:r w:rsidRPr="002F069E">
        <w:t>: ‚</w:t>
      </w:r>
      <w:r w:rsidR="0085753F">
        <w:t xml:space="preserve">SN </w:t>
      </w:r>
      <w:r>
        <w:t xml:space="preserve">fühlt sich </w:t>
      </w:r>
      <w:r w:rsidR="003479F4">
        <w:t xml:space="preserve">vielleicht </w:t>
      </w:r>
      <w:r>
        <w:t>nicht gut und vergisst daher die Rücksichtnahme</w:t>
      </w:r>
      <w:r w:rsidRPr="002F069E">
        <w:t>‘</w:t>
      </w:r>
    </w:p>
    <w:p w:rsidR="00E859E3" w:rsidRDefault="00E859E3" w:rsidP="007F0B22">
      <w:pPr>
        <w:pStyle w:val="Interpretation"/>
      </w:pPr>
      <w:r w:rsidRPr="002F069E">
        <w:rPr>
          <w:i/>
        </w:rPr>
        <w:t>Er</w:t>
      </w:r>
      <w:r w:rsidR="0091245E">
        <w:rPr>
          <w:vertAlign w:val="subscript"/>
        </w:rPr>
        <w:t>6</w:t>
      </w:r>
      <w:r w:rsidRPr="002F069E">
        <w:t>: ‚</w:t>
      </w:r>
      <w:r w:rsidR="0085753F">
        <w:t xml:space="preserve">SN </w:t>
      </w:r>
      <w:r>
        <w:t xml:space="preserve">möchte </w:t>
      </w:r>
      <w:r w:rsidR="003479F4">
        <w:t xml:space="preserve">vielleicht </w:t>
      </w:r>
      <w:r w:rsidR="00FA5861">
        <w:t>seinen Ärger ausdrücken</w:t>
      </w:r>
      <w:r w:rsidRPr="002F069E">
        <w:t>‘</w:t>
      </w:r>
    </w:p>
    <w:p w:rsidR="003479F4" w:rsidRDefault="003479F4" w:rsidP="007F0B22">
      <w:pPr>
        <w:pStyle w:val="Interpretation"/>
      </w:pPr>
      <w:r w:rsidRPr="002F069E">
        <w:rPr>
          <w:i/>
        </w:rPr>
        <w:t>Er</w:t>
      </w:r>
      <w:r>
        <w:rPr>
          <w:vertAlign w:val="subscript"/>
        </w:rPr>
        <w:t>7</w:t>
      </w:r>
      <w:r w:rsidRPr="002F069E">
        <w:t>: ‚</w:t>
      </w:r>
      <w:r w:rsidR="0085753F">
        <w:t xml:space="preserve">SN </w:t>
      </w:r>
      <w:r>
        <w:t>steht vielleicht unter hohem Zeitdruck</w:t>
      </w:r>
      <w:r w:rsidRPr="002F069E">
        <w:t>‘</w:t>
      </w:r>
    </w:p>
    <w:p w:rsidR="00FA5861" w:rsidRDefault="00FA5861" w:rsidP="007F0B22">
      <w:pPr>
        <w:pStyle w:val="InterpretationletzteZeile"/>
      </w:pPr>
      <w:r>
        <w:tab/>
        <w:t>…</w:t>
      </w:r>
    </w:p>
    <w:p w:rsidR="0091245E" w:rsidRDefault="0091245E" w:rsidP="007F0B22">
      <w:pPr>
        <w:pStyle w:val="Text"/>
        <w:ind w:firstLine="0"/>
      </w:pPr>
      <w:r>
        <w:t xml:space="preserve">Häufig wird jedoch </w:t>
      </w:r>
      <w:r w:rsidR="00FA5861">
        <w:t xml:space="preserve">zunächst </w:t>
      </w:r>
      <w:r>
        <w:t>eine Übertragung in propositionale</w:t>
      </w:r>
      <w:r w:rsidR="005D7996">
        <w:fldChar w:fldCharType="begin"/>
      </w:r>
      <w:r w:rsidR="00F86698">
        <w:instrText xml:space="preserve"> XE "</w:instrText>
      </w:r>
      <w:r w:rsidR="00F86698" w:rsidRPr="00943E02">
        <w:instrText>mentale Repräsentation:propositionale</w:instrText>
      </w:r>
      <w:r w:rsidR="00F86698">
        <w:instrText xml:space="preserve">" </w:instrText>
      </w:r>
      <w:r w:rsidR="005D7996">
        <w:fldChar w:fldCharType="end"/>
      </w:r>
      <w:r>
        <w:t xml:space="preserve"> Form stattfi</w:t>
      </w:r>
      <w:r>
        <w:t>n</w:t>
      </w:r>
      <w:r>
        <w:t xml:space="preserve">den, wie sie oben dargestellt wurde. Dies entspricht dem Fall, dass der </w:t>
      </w:r>
      <w:r w:rsidR="0085753F">
        <w:t xml:space="preserve">SN </w:t>
      </w:r>
      <w:r w:rsidR="00FA5861">
        <w:t xml:space="preserve">erst </w:t>
      </w:r>
      <w:r>
        <w:t>einen Eindruck für sich formuliert und dann erst beginnt, über mögliche Gründe nachzudenken. In diesem Fall gilt:</w:t>
      </w:r>
    </w:p>
    <w:p w:rsidR="0091245E" w:rsidRDefault="0091245E" w:rsidP="00EA4DAC">
      <w:pPr>
        <w:pStyle w:val="Formel"/>
        <w:rPr>
          <w:i/>
          <w:iCs/>
        </w:rPr>
      </w:pPr>
      <w:r>
        <w:rPr>
          <w:i/>
          <w:iCs/>
        </w:rPr>
        <w:t>Er</w:t>
      </w:r>
      <w:r>
        <w:rPr>
          <w:vertAlign w:val="subscript"/>
        </w:rPr>
        <w:t>3</w:t>
      </w:r>
      <w:r>
        <w:rPr>
          <w:iCs/>
          <w:vertAlign w:val="subscript"/>
        </w:rPr>
        <w:t xml:space="preserve"> </w:t>
      </w:r>
      <w:r w:rsidRPr="00D41E3E">
        <w:rPr>
          <w:rFonts w:ascii="Cambria Math" w:hAnsi="Cambria Math" w:cs="Cambria Math"/>
        </w:rPr>
        <w:t>∧</w:t>
      </w:r>
      <w:r w:rsidRPr="00D41E3E">
        <w:rPr>
          <w:rFonts w:cs="Times New Roman"/>
        </w:rPr>
        <w:t xml:space="preserve"> </w:t>
      </w:r>
      <w:r>
        <w:rPr>
          <w:i/>
          <w:iCs/>
        </w:rPr>
        <w:t>Er</w:t>
      </w:r>
      <w:r>
        <w:rPr>
          <w:iCs/>
          <w:vertAlign w:val="subscript"/>
        </w:rPr>
        <w:t>4</w:t>
      </w:r>
      <w:r w:rsidRPr="00F11437">
        <w:t xml:space="preserve"> </w:t>
      </w:r>
      <w:r w:rsidR="002434D2">
        <w:rPr>
          <w:rFonts w:ascii="Cambria Math" w:eastAsia="Arial Unicode MS" w:hAnsi="Cambria Math" w:cs="Cambria Math"/>
          <w:color w:val="000000" w:themeColor="text1"/>
        </w:rPr>
        <w:t>⤳</w:t>
      </w:r>
      <w:r>
        <w:rPr>
          <w:vertAlign w:val="subscript"/>
        </w:rPr>
        <w:t>Abd</w:t>
      </w:r>
      <w:r w:rsidRPr="002F069E">
        <w:t xml:space="preserve">  </w:t>
      </w:r>
      <w:r w:rsidRPr="002F069E">
        <w:rPr>
          <w:i/>
          <w:iCs/>
        </w:rPr>
        <w:t>Er</w:t>
      </w:r>
      <w:r>
        <w:rPr>
          <w:vertAlign w:val="subscript"/>
        </w:rPr>
        <w:t>5</w:t>
      </w:r>
      <w:r>
        <w:t xml:space="preserve">, </w:t>
      </w:r>
      <w:r w:rsidRPr="002F069E">
        <w:rPr>
          <w:i/>
          <w:iCs/>
        </w:rPr>
        <w:t>Er</w:t>
      </w:r>
      <w:r>
        <w:rPr>
          <w:vertAlign w:val="subscript"/>
        </w:rPr>
        <w:t>6</w:t>
      </w:r>
    </w:p>
    <w:p w:rsidR="002851B4" w:rsidRPr="002851B4" w:rsidRDefault="00374327" w:rsidP="007F0B22">
      <w:pPr>
        <w:pStyle w:val="Zwischenberschrift"/>
      </w:pPr>
      <w:r>
        <w:t>Anmerkung zur Abgrenzung</w:t>
      </w:r>
      <w:r w:rsidR="001571AF">
        <w:t xml:space="preserve"> von Stil und Kontexteinflüssen</w:t>
      </w:r>
    </w:p>
    <w:p w:rsidR="00FA5861" w:rsidRDefault="00591FB0" w:rsidP="007F0B22">
      <w:pPr>
        <w:pStyle w:val="Text"/>
        <w:ind w:firstLine="0"/>
      </w:pPr>
      <w:r>
        <w:t xml:space="preserve">Bei diesem </w:t>
      </w:r>
      <w:r w:rsidR="002851B4">
        <w:t xml:space="preserve">Beispiel </w:t>
      </w:r>
      <w:r>
        <w:t xml:space="preserve">könnte eingewandt werden, </w:t>
      </w:r>
      <w:r w:rsidR="00FA5861">
        <w:t xml:space="preserve">dass es sich unter Umständen ja gar nicht um Stil handle: Ist </w:t>
      </w:r>
      <w:r w:rsidR="00FA5861" w:rsidRPr="002F069E">
        <w:rPr>
          <w:i/>
          <w:iCs/>
        </w:rPr>
        <w:t>Er</w:t>
      </w:r>
      <w:r w:rsidR="00FA5861">
        <w:rPr>
          <w:iCs/>
          <w:vertAlign w:val="subscript"/>
        </w:rPr>
        <w:t>6</w:t>
      </w:r>
      <w:r w:rsidR="00FA5861">
        <w:t xml:space="preserve"> richtig, möchte der </w:t>
      </w:r>
      <w:r w:rsidR="0085753F">
        <w:t xml:space="preserve">SN </w:t>
      </w:r>
      <w:r w:rsidR="00FA5861">
        <w:t>mit de</w:t>
      </w:r>
      <w:r w:rsidR="00972908">
        <w:t>m Geklapper e</w:t>
      </w:r>
      <w:r w:rsidR="00972908">
        <w:t>t</w:t>
      </w:r>
      <w:r w:rsidR="00972908">
        <w:t>was kommunizieren,</w:t>
      </w:r>
      <w:r w:rsidR="00FA5861">
        <w:t xml:space="preserve"> der Abwasch ist </w:t>
      </w:r>
      <w:r w:rsidR="00972908">
        <w:t xml:space="preserve">daher </w:t>
      </w:r>
      <w:r w:rsidR="00FA5861">
        <w:t xml:space="preserve">zusätzlich ein Text mit inhaltlichen Bedingungen; ist </w:t>
      </w:r>
      <w:r w:rsidR="00FA5861" w:rsidRPr="002F069E">
        <w:rPr>
          <w:i/>
          <w:iCs/>
        </w:rPr>
        <w:t>Er</w:t>
      </w:r>
      <w:r w:rsidR="00FA5861">
        <w:rPr>
          <w:iCs/>
          <w:vertAlign w:val="subscript"/>
        </w:rPr>
        <w:t>7</w:t>
      </w:r>
      <w:r w:rsidR="00FA5861">
        <w:t xml:space="preserve"> richtig, gibt es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FA5861">
        <w:t>,</w:t>
      </w:r>
      <w:r w:rsidR="00EC775A">
        <w:rPr>
          <w:rStyle w:val="Funotenzeichen"/>
          <w:iCs/>
        </w:rPr>
        <w:footnoteReference w:id="454"/>
      </w:r>
      <w:r w:rsidR="00FA5861">
        <w:t xml:space="preserve"> die den Zeitpunkt des Abwaschs und das Geklapper verursachen.</w:t>
      </w:r>
    </w:p>
    <w:p w:rsidR="00FA5861" w:rsidRDefault="00FA5861" w:rsidP="00FE115E">
      <w:pPr>
        <w:pStyle w:val="Text"/>
      </w:pPr>
      <w:r>
        <w:t xml:space="preserve">Es gilt jedoch, dass </w:t>
      </w:r>
      <w:r w:rsidRPr="002F069E">
        <w:rPr>
          <w:i/>
          <w:iCs/>
        </w:rPr>
        <w:t>Er</w:t>
      </w:r>
      <w:r>
        <w:rPr>
          <w:iCs/>
          <w:vertAlign w:val="subscript"/>
        </w:rPr>
        <w:t>6</w:t>
      </w:r>
      <w:r>
        <w:t xml:space="preserve"> und </w:t>
      </w:r>
      <w:r w:rsidRPr="002F069E">
        <w:rPr>
          <w:i/>
          <w:iCs/>
        </w:rPr>
        <w:t>Er</w:t>
      </w:r>
      <w:r>
        <w:rPr>
          <w:iCs/>
          <w:vertAlign w:val="subscript"/>
        </w:rPr>
        <w:t>7</w:t>
      </w:r>
      <w:r>
        <w:t xml:space="preserve"> nicht vor der Interpretation bekannt und auch danach nicht sicher sind. Beim </w:t>
      </w:r>
      <w:r w:rsidR="00663B18">
        <w:t>Wahrnehmen</w:t>
      </w:r>
      <w:r>
        <w:t xml:space="preserve"> eines Stils findet die Reko</w:t>
      </w:r>
      <w:r>
        <w:t>n</w:t>
      </w:r>
      <w:r>
        <w:t xml:space="preserve">struktion der </w:t>
      </w:r>
      <w:r w:rsidR="00721558">
        <w:t>Alter</w:t>
      </w:r>
      <w:r w:rsidR="00721558">
        <w:softHyphen/>
        <w:t>nativen</w:t>
      </w:r>
      <w:r w:rsidR="00721558">
        <w:softHyphen/>
        <w:t>klasse</w:t>
      </w:r>
      <w:r>
        <w:t>n vor dem Auslesen der Merkmalsregeln statt;</w:t>
      </w:r>
      <w:r>
        <w:rPr>
          <w:rStyle w:val="Funotenzeichen"/>
        </w:rPr>
        <w:footnoteReference w:id="455"/>
      </w:r>
      <w:r>
        <w:t xml:space="preserve"> nur Kontextbedingungen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t xml:space="preserve">, die zuvor schon bekannt sind, können berücksichtigt werden. </w:t>
      </w:r>
      <w:r w:rsidR="00972908">
        <w:t xml:space="preserve">Ausgelesene </w:t>
      </w:r>
      <w:r w:rsidR="003770FB">
        <w:t>Merkmal</w:t>
      </w:r>
      <w:r w:rsidR="00A05DD7">
        <w:t>sregeln</w:t>
      </w:r>
      <w:r w:rsidR="003770FB">
        <w:t xml:space="preserve"> können sich also in der Interpretation als </w:t>
      </w:r>
      <w:r w:rsidR="00972908">
        <w:t>(wahrscheinlich) nicht-stilistische Eigenschaften einer Realisierung herausste</w:t>
      </w:r>
      <w:r w:rsidR="00972908">
        <w:t>l</w:t>
      </w:r>
      <w:r w:rsidR="00972908">
        <w:t>len.</w:t>
      </w:r>
    </w:p>
    <w:p w:rsidR="00FE115E" w:rsidRDefault="00AA40DF" w:rsidP="007F0B22">
      <w:pPr>
        <w:pStyle w:val="Interpretation1Zeile"/>
      </w:pPr>
      <w:r>
        <w:lastRenderedPageBreak/>
        <w:t>2</w:t>
      </w:r>
      <w:r w:rsidR="006A28FC">
        <w:t>.</w:t>
      </w:r>
      <w:r w:rsidR="006A28FC">
        <w:tab/>
        <w:t>Artefaktschema ‚Gebäude‘</w:t>
      </w:r>
    </w:p>
    <w:p w:rsidR="00FE115E" w:rsidRDefault="00FE115E" w:rsidP="007F0B22">
      <w:pPr>
        <w:pStyle w:val="Interpretation"/>
      </w:pPr>
      <w:r>
        <w:rPr>
          <w:i/>
        </w:rPr>
        <w:t>U</w:t>
      </w:r>
      <w:r>
        <w:t>(</w:t>
      </w:r>
      <w:r>
        <w:rPr>
          <w:i/>
        </w:rPr>
        <w:t>B</w:t>
      </w:r>
      <w:r w:rsidR="00B67A1A" w:rsidRPr="00F20FC6">
        <w:rPr>
          <w:vertAlign w:val="subscript"/>
        </w:rPr>
        <w:t>1</w:t>
      </w:r>
      <w:r w:rsidR="00453328">
        <w:t>): ‚</w:t>
      </w:r>
      <w:r w:rsidR="005D6052">
        <w:t>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rsidR="00453328">
        <w:t>‘,</w:t>
      </w:r>
      <w:r>
        <w:t xml:space="preserve"> </w:t>
      </w:r>
      <w:r>
        <w:rPr>
          <w:i/>
        </w:rPr>
        <w:t>V</w:t>
      </w:r>
      <w:r>
        <w:t>(</w:t>
      </w:r>
      <w:r>
        <w:rPr>
          <w:i/>
        </w:rPr>
        <w:t>B</w:t>
      </w:r>
      <w:r w:rsidR="00B67A1A" w:rsidRPr="00F20FC6">
        <w:rPr>
          <w:vertAlign w:val="subscript"/>
        </w:rPr>
        <w:t>1</w:t>
      </w:r>
      <w:r>
        <w:t>): ‚Farbe: helles Weiß‘</w:t>
      </w:r>
    </w:p>
    <w:p w:rsidR="00B43180" w:rsidRPr="004457F2" w:rsidRDefault="00B43180" w:rsidP="00EA4DAC">
      <w:pPr>
        <w:pStyle w:val="Formel"/>
      </w:pPr>
      <w:r>
        <w:rPr>
          <w:i/>
          <w:iCs/>
        </w:rPr>
        <w:t>B</w:t>
      </w:r>
      <w:r w:rsidRPr="0062421C">
        <w:rPr>
          <w:vertAlign w:val="subscript"/>
        </w:rPr>
        <w:t>1</w:t>
      </w:r>
      <w: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sidRPr="0062421C">
        <w:rPr>
          <w:vertAlign w:val="subscript"/>
        </w:rPr>
        <w:t>1</w:t>
      </w:r>
    </w:p>
    <w:p w:rsidR="00FE115E" w:rsidRDefault="00FE115E" w:rsidP="007F0B22">
      <w:pPr>
        <w:pStyle w:val="InterpretationletzteZeile"/>
      </w:pPr>
      <w:r>
        <w:rPr>
          <w:i/>
        </w:rPr>
        <w:t>Er</w:t>
      </w:r>
      <w:r w:rsidRPr="00F20FC6">
        <w:rPr>
          <w:vertAlign w:val="subscript"/>
        </w:rPr>
        <w:t>1</w:t>
      </w:r>
      <w:r w:rsidR="00B43180">
        <w:t xml:space="preserve"> (e):</w:t>
      </w:r>
      <w:r>
        <w:t xml:space="preserve"> ‚</w:t>
      </w:r>
      <w:r w:rsidR="00845600">
        <w:t>S</w:t>
      </w:r>
      <w:r w:rsidR="009F4A98">
        <w:t>W</w:t>
      </w:r>
      <w:r w:rsidR="00845600">
        <w:t xml:space="preserve"> wird geblendet</w:t>
      </w:r>
      <w:r>
        <w:t>‘</w:t>
      </w:r>
    </w:p>
    <w:p w:rsidR="002D06E9" w:rsidRDefault="00031BD7" w:rsidP="007F0B22">
      <w:pPr>
        <w:pStyle w:val="Text"/>
        <w:ind w:firstLine="0"/>
      </w:pPr>
      <w:r>
        <w:t>Daraus kann ein weiteres Ergebnis gewonnen werden:</w:t>
      </w:r>
    </w:p>
    <w:p w:rsidR="00D64969" w:rsidRPr="004457F2" w:rsidRDefault="00D64969" w:rsidP="00EA4DAC">
      <w:pPr>
        <w:pStyle w:val="Formel"/>
      </w:pPr>
      <w:r>
        <w:rPr>
          <w:i/>
          <w:iCs/>
        </w:rPr>
        <w:t>Er</w:t>
      </w:r>
      <w:r>
        <w:rPr>
          <w:vertAlign w:val="subscript"/>
        </w:rPr>
        <w:t>1</w:t>
      </w:r>
      <w:r>
        <w:t xml:space="preserve"> </w:t>
      </w:r>
      <w:r w:rsidR="002434D2">
        <w:rPr>
          <w:rFonts w:ascii="Cambria Math" w:eastAsia="Arial Unicode MS" w:hAnsi="Cambria Math" w:cs="Cambria Math"/>
          <w:color w:val="000000" w:themeColor="text1"/>
        </w:rPr>
        <w:t>⤳</w:t>
      </w:r>
      <w:r w:rsidR="00B67A1A">
        <w:rPr>
          <w:vertAlign w:val="subscript"/>
        </w:rPr>
        <w:t>Edr</w:t>
      </w:r>
      <w:r>
        <w:t xml:space="preserve"> </w:t>
      </w:r>
      <w:r w:rsidR="00B67A1A">
        <w:t xml:space="preserve"> </w:t>
      </w:r>
      <w:r>
        <w:rPr>
          <w:i/>
          <w:iCs/>
        </w:rPr>
        <w:t>Er</w:t>
      </w:r>
      <w:r>
        <w:rPr>
          <w:vertAlign w:val="subscript"/>
        </w:rPr>
        <w:t>2</w:t>
      </w:r>
    </w:p>
    <w:p w:rsidR="00B43180" w:rsidRDefault="00B43180" w:rsidP="000D7B52">
      <w:pPr>
        <w:pStyle w:val="InterpretationletzteZeile"/>
      </w:pPr>
      <w:r>
        <w:rPr>
          <w:i/>
        </w:rPr>
        <w:t>Er</w:t>
      </w:r>
      <w:r>
        <w:rPr>
          <w:vertAlign w:val="subscript"/>
        </w:rPr>
        <w:t>2</w:t>
      </w:r>
      <w:r>
        <w:t xml:space="preserve"> (e): ‚Das direkte Anschauen der </w:t>
      </w:r>
      <w:r w:rsidR="005D6052">
        <w:t>Fassade</w:t>
      </w:r>
      <w:r w:rsidR="005D7996">
        <w:fldChar w:fldCharType="begin"/>
      </w:r>
      <w:r w:rsidR="005D5684">
        <w:instrText xml:space="preserve"> XE "</w:instrText>
      </w:r>
      <w:r w:rsidR="005D5684" w:rsidRPr="004C7E7F">
        <w:instrText>Fassade</w:instrText>
      </w:r>
      <w:r w:rsidR="005D5684">
        <w:instrText xml:space="preserve">" </w:instrText>
      </w:r>
      <w:r w:rsidR="005D7996">
        <w:fldChar w:fldCharType="end"/>
      </w:r>
      <w:r w:rsidR="005D6052">
        <w:t xml:space="preserve"> </w:t>
      </w:r>
      <w:r>
        <w:t xml:space="preserve">ist </w:t>
      </w:r>
      <w:r w:rsidR="00EE1F9E">
        <w:t xml:space="preserve">aufgrund der Farbwahl </w:t>
      </w:r>
      <w:r>
        <w:t>(bei b</w:t>
      </w:r>
      <w:r>
        <w:t>e</w:t>
      </w:r>
      <w:r>
        <w:t>stimmten Lichtverhältnissen) unangenehm‘</w:t>
      </w:r>
    </w:p>
    <w:p w:rsidR="006A28FC" w:rsidRDefault="00A34169" w:rsidP="007F0B22">
      <w:pPr>
        <w:pStyle w:val="Text"/>
        <w:ind w:firstLine="0"/>
      </w:pPr>
      <w:r>
        <w:t xml:space="preserve">Gegebenenfalls kann daraus unter Verwendung </w:t>
      </w:r>
      <w:r w:rsidR="00B67A1A">
        <w:t xml:space="preserve">eines früheren Ergebnisses </w:t>
      </w:r>
      <w:r w:rsidR="00031BD7">
        <w:t xml:space="preserve">ein weiteres Ergebnis erzeugt </w:t>
      </w:r>
      <w:r w:rsidR="006C7497">
        <w:t xml:space="preserve">werden, das eine mögliche Begründung </w:t>
      </w:r>
    </w:p>
    <w:p w:rsidR="00A34169" w:rsidRDefault="00A34169" w:rsidP="007F0B22">
      <w:pPr>
        <w:pStyle w:val="Interpretation1Zeile"/>
      </w:pPr>
      <w:r>
        <w:rPr>
          <w:i/>
        </w:rPr>
        <w:t>Er</w:t>
      </w:r>
      <w:r w:rsidR="00B67A1A">
        <w:rPr>
          <w:vertAlign w:val="subscript"/>
        </w:rPr>
        <w:t>(f)1</w:t>
      </w:r>
      <w:r>
        <w:t>: ‚</w:t>
      </w:r>
      <w:r w:rsidR="00031BD7">
        <w:t>Der Stil ist beabsichtigt‘ [oder: ‚</w:t>
      </w:r>
      <w:r w:rsidR="00031BD7">
        <w:rPr>
          <w:i/>
        </w:rPr>
        <w:t>B</w:t>
      </w:r>
      <w:r w:rsidR="00B67A1A" w:rsidRPr="00F20FC6">
        <w:rPr>
          <w:vertAlign w:val="subscript"/>
        </w:rPr>
        <w:t>1</w:t>
      </w:r>
      <w:r w:rsidR="00031BD7">
        <w:t xml:space="preserve"> ist beabsichtigt‘]</w:t>
      </w:r>
    </w:p>
    <w:p w:rsidR="00E81D86" w:rsidRPr="004457F2" w:rsidRDefault="00E81D86" w:rsidP="00EA4DAC">
      <w:pPr>
        <w:pStyle w:val="Formel"/>
      </w:pPr>
      <w:r>
        <w:rPr>
          <w:i/>
          <w:iCs/>
        </w:rPr>
        <w:t>Er</w:t>
      </w:r>
      <w:r>
        <w:rPr>
          <w:vertAlign w:val="subscript"/>
        </w:rPr>
        <w:t>2</w:t>
      </w:r>
      <w:r w:rsidRPr="00F32CB0">
        <w:rPr>
          <w:color w:val="000000" w:themeColor="text1"/>
        </w:rPr>
        <w:t xml:space="preserve"> </w:t>
      </w:r>
      <w:r>
        <w:rPr>
          <w:rFonts w:ascii="Cambria Math" w:hAnsi="Cambria Math" w:cs="Cambria Math"/>
          <w:color w:val="000000" w:themeColor="text1"/>
        </w:rPr>
        <w:t>∧</w:t>
      </w:r>
      <w:r>
        <w:t xml:space="preserve"> </w:t>
      </w:r>
      <w:r>
        <w:rPr>
          <w:i/>
          <w:iCs/>
        </w:rPr>
        <w:t>Er</w:t>
      </w:r>
      <w:r w:rsidR="006C7497">
        <w:rPr>
          <w:iCs/>
          <w:vertAlign w:val="subscript"/>
        </w:rPr>
        <w:t>(f)1</w:t>
      </w:r>
      <w:r>
        <w:t xml:space="preserve"> </w:t>
      </w:r>
      <w:r w:rsidR="002434D2">
        <w:rPr>
          <w:rFonts w:ascii="Cambria Math" w:eastAsia="Arial Unicode MS" w:hAnsi="Cambria Math" w:cs="Cambria Math"/>
          <w:color w:val="000000" w:themeColor="text1"/>
        </w:rPr>
        <w:t>⤳</w:t>
      </w:r>
      <w:r w:rsidR="006C7497">
        <w:rPr>
          <w:vertAlign w:val="subscript"/>
        </w:rPr>
        <w:t>Abd</w:t>
      </w:r>
      <w:r>
        <w:t xml:space="preserve">  </w:t>
      </w:r>
      <w:r>
        <w:rPr>
          <w:i/>
          <w:iCs/>
        </w:rPr>
        <w:t>Er</w:t>
      </w:r>
      <w:r>
        <w:rPr>
          <w:vertAlign w:val="subscript"/>
        </w:rPr>
        <w:t>3</w:t>
      </w:r>
    </w:p>
    <w:p w:rsidR="00EE1F9E" w:rsidRDefault="002D06E9" w:rsidP="007F0B22">
      <w:pPr>
        <w:pStyle w:val="InterpretationletzteZeile"/>
      </w:pPr>
      <w:r>
        <w:rPr>
          <w:i/>
        </w:rPr>
        <w:t>Er</w:t>
      </w:r>
      <w:r>
        <w:rPr>
          <w:vertAlign w:val="subscript"/>
        </w:rPr>
        <w:t>3</w:t>
      </w:r>
      <w:r w:rsidR="006C7497">
        <w:t xml:space="preserve">: ‚Wenn </w:t>
      </w:r>
      <w:r w:rsidR="00EE1F9E">
        <w:t xml:space="preserve">der </w:t>
      </w:r>
      <w:r w:rsidR="0085753F">
        <w:t xml:space="preserve">SN </w:t>
      </w:r>
      <w:r w:rsidR="00EE1F9E">
        <w:t>einen unangenehmen optischen Eindruck in Kauf nimmt, muss die gewählte Farbe eine andere, eindeutig positive Eigenschaft haben‘</w:t>
      </w:r>
    </w:p>
    <w:p w:rsidR="00031BD7" w:rsidRDefault="00E81D86" w:rsidP="007F0B22">
      <w:pPr>
        <w:pStyle w:val="Interpretation1Zeile"/>
      </w:pPr>
      <w:r>
        <w:t xml:space="preserve">Es bietet sich an, nun nach solchen </w:t>
      </w:r>
      <w:r w:rsidR="00F548CB">
        <w:t xml:space="preserve">Eigenschaften </w:t>
      </w:r>
      <w:r>
        <w:t>zu suchen:</w:t>
      </w:r>
    </w:p>
    <w:p w:rsidR="00031BD7" w:rsidRDefault="00031BD7" w:rsidP="000D7B52">
      <w:pPr>
        <w:pStyle w:val="Interpretation"/>
      </w:pPr>
      <w:r>
        <w:rPr>
          <w:i/>
        </w:rPr>
        <w:t>H</w:t>
      </w:r>
      <w:r>
        <w:rPr>
          <w:vertAlign w:val="subscript"/>
        </w:rPr>
        <w:t>1</w:t>
      </w:r>
      <w:r>
        <w:t xml:space="preserve">: ‚Die Farbe „weiß“ </w:t>
      </w:r>
      <w:r w:rsidR="00EE1F9E">
        <w:t>ist</w:t>
      </w:r>
      <w:r>
        <w:t xml:space="preserve"> kulturell mit Reinheit, Klarheit und Sauberkeit </w:t>
      </w:r>
      <w:r w:rsidR="00EE1F9E">
        <w:t>konn</w:t>
      </w:r>
      <w:r w:rsidR="00EE1F9E">
        <w:t>o</w:t>
      </w:r>
      <w:r w:rsidR="00EE1F9E">
        <w:t>tiert</w:t>
      </w:r>
      <w:r>
        <w:t>‘</w:t>
      </w:r>
    </w:p>
    <w:p w:rsidR="00E81D86" w:rsidRDefault="00E81D86" w:rsidP="00EA4DAC">
      <w:pPr>
        <w:pStyle w:val="Formel"/>
      </w:pPr>
      <w:r>
        <w:rPr>
          <w:i/>
          <w:iCs/>
        </w:rPr>
        <w:t>B</w:t>
      </w:r>
      <w:r w:rsidRPr="00F20FC6">
        <w:rPr>
          <w:iCs/>
          <w:vertAlign w:val="subscript"/>
        </w:rPr>
        <w:t>1</w:t>
      </w:r>
      <w:r w:rsidRPr="00F32CB0">
        <w:rPr>
          <w:color w:val="000000" w:themeColor="text1"/>
        </w:rPr>
        <w:t xml:space="preserve"> </w:t>
      </w:r>
      <w:r>
        <w:rPr>
          <w:rFonts w:ascii="Cambria Math" w:hAnsi="Cambria Math" w:cs="Cambria Math"/>
          <w:color w:val="000000" w:themeColor="text1"/>
        </w:rPr>
        <w:t>∧</w:t>
      </w:r>
      <w:r>
        <w:t xml:space="preserve"> </w:t>
      </w:r>
      <w:r>
        <w:rPr>
          <w:i/>
          <w:iCs/>
        </w:rPr>
        <w:t>H</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4</w:t>
      </w:r>
    </w:p>
    <w:p w:rsidR="00D24318" w:rsidRDefault="00D24318" w:rsidP="000D7B52">
      <w:pPr>
        <w:pStyle w:val="Interpretation"/>
      </w:pPr>
      <w:r>
        <w:rPr>
          <w:i/>
        </w:rPr>
        <w:t>Er</w:t>
      </w:r>
      <w:r>
        <w:rPr>
          <w:vertAlign w:val="subscript"/>
        </w:rPr>
        <w:t>4</w:t>
      </w:r>
      <w:r>
        <w:t>: ‚</w:t>
      </w:r>
      <w:r>
        <w:rPr>
          <w:i/>
        </w:rPr>
        <w:t>B</w:t>
      </w:r>
      <w:r w:rsidR="00B67A1A" w:rsidRPr="00F20FC6">
        <w:rPr>
          <w:vertAlign w:val="subscript"/>
        </w:rPr>
        <w:t>1</w:t>
      </w:r>
      <w:r>
        <w:t xml:space="preserve"> wird angewandt, um die </w:t>
      </w:r>
      <w:r w:rsidR="00B42F1E">
        <w:t>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rsidR="00B42F1E">
        <w:t xml:space="preserve"> </w:t>
      </w:r>
      <w:r>
        <w:t xml:space="preserve">„Reinheit“, „Klarheit“ und „Sauberkeit“ der Farbe </w:t>
      </w:r>
      <w:r w:rsidR="00B42F1E">
        <w:t>Weiß</w:t>
      </w:r>
      <w:r>
        <w:t xml:space="preserve"> auf das Gebäude zu übertragen‘</w:t>
      </w:r>
    </w:p>
    <w:p w:rsidR="00E81D86" w:rsidRDefault="00E81D86" w:rsidP="00EA4DAC">
      <w:pPr>
        <w:pStyle w:val="Formel"/>
      </w:pPr>
      <w:r>
        <w:rPr>
          <w:i/>
          <w:iCs/>
        </w:rPr>
        <w:t>B</w:t>
      </w:r>
      <w:r>
        <w:rPr>
          <w:iCs/>
          <w:vertAlign w:val="subscript"/>
        </w:rPr>
        <w:t>1</w:t>
      </w:r>
      <w:r w:rsidRPr="00F32CB0">
        <w:rPr>
          <w:color w:val="000000" w:themeColor="text1"/>
        </w:rPr>
        <w:t xml:space="preserve"> </w:t>
      </w:r>
      <w:r>
        <w:rPr>
          <w:rFonts w:ascii="Cambria Math" w:hAnsi="Cambria Math" w:cs="Cambria Math"/>
          <w:color w:val="000000" w:themeColor="text1"/>
        </w:rPr>
        <w:t>∧</w:t>
      </w:r>
      <w:r>
        <w:t xml:space="preserve"> </w:t>
      </w:r>
      <w:r>
        <w:rPr>
          <w:i/>
          <w:iCs/>
        </w:rPr>
        <w:t>Er</w:t>
      </w:r>
      <w:r>
        <w:rPr>
          <w:iCs/>
          <w:vertAlign w:val="subscript"/>
        </w:rPr>
        <w:t>3</w:t>
      </w:r>
      <w:r w:rsidRPr="00F32CB0">
        <w:rPr>
          <w:color w:val="000000" w:themeColor="text1"/>
        </w:rPr>
        <w:t xml:space="preserve"> </w:t>
      </w:r>
      <w:r>
        <w:rPr>
          <w:rFonts w:ascii="Cambria Math" w:hAnsi="Cambria Math" w:cs="Cambria Math"/>
          <w:color w:val="000000" w:themeColor="text1"/>
        </w:rPr>
        <w:t>∧</w:t>
      </w:r>
      <w:r>
        <w:t xml:space="preserve"> </w:t>
      </w:r>
      <w:r>
        <w:rPr>
          <w:i/>
          <w:iCs/>
        </w:rPr>
        <w:t>Er</w:t>
      </w:r>
      <w:r>
        <w:rPr>
          <w:iCs/>
          <w:vertAlign w:val="subscript"/>
        </w:rPr>
        <w:t>4</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5</w:t>
      </w:r>
    </w:p>
    <w:p w:rsidR="00E81D86" w:rsidRDefault="00E81D86" w:rsidP="000D7B52">
      <w:pPr>
        <w:pStyle w:val="InterpretationletzteZeile"/>
      </w:pPr>
      <w:r>
        <w:rPr>
          <w:i/>
        </w:rPr>
        <w:t>Er</w:t>
      </w:r>
      <w:r>
        <w:rPr>
          <w:vertAlign w:val="subscript"/>
        </w:rPr>
        <w:t>5</w:t>
      </w:r>
      <w:r>
        <w:t>: ‚</w:t>
      </w:r>
      <w:r w:rsidR="0085753F">
        <w:t xml:space="preserve">SN </w:t>
      </w:r>
      <w:r w:rsidR="00B42F1E">
        <w:t xml:space="preserve">ist </w:t>
      </w:r>
      <w:r w:rsidR="00BA2105">
        <w:t>es so wichtig</w:t>
      </w:r>
      <w:r w:rsidR="00B42F1E">
        <w:t>, die 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rsidR="00B42F1E">
        <w:t xml:space="preserve"> „Reinheit“, „Klarheit“ und „Sa</w:t>
      </w:r>
      <w:r w:rsidR="00B42F1E">
        <w:t>u</w:t>
      </w:r>
      <w:r w:rsidR="00B42F1E">
        <w:t xml:space="preserve">berkeit“ der Farbe Weiß auf das Gebäude zu übertragen, </w:t>
      </w:r>
      <w:r w:rsidR="00BA2105">
        <w:t>dass er dafür einen u</w:t>
      </w:r>
      <w:r w:rsidR="00BA2105">
        <w:t>n</w:t>
      </w:r>
      <w:r w:rsidR="00BA2105">
        <w:t>angenehmen optischen Eindruck in Kauf nimmt</w:t>
      </w:r>
      <w:r w:rsidR="00B42F1E">
        <w:t>‘</w:t>
      </w:r>
    </w:p>
    <w:p w:rsidR="006C7497" w:rsidRDefault="006C7497" w:rsidP="000D7B52">
      <w:pPr>
        <w:pStyle w:val="Text"/>
        <w:ind w:firstLine="0"/>
      </w:pPr>
      <w:r>
        <w:t>Alternativ kann auch eine Bedeutungssuche stattfinden. Zu beachten ist, dass dabei nur Bedeutungen für eine gesamte Merkmalsregel gefunden werden kö</w:t>
      </w:r>
      <w:r>
        <w:t>n</w:t>
      </w:r>
      <w:r>
        <w:t>nen</w:t>
      </w:r>
      <w:r w:rsidR="00BA2105">
        <w:t>:</w:t>
      </w:r>
    </w:p>
    <w:p w:rsidR="00BA2105" w:rsidRDefault="00BA2105" w:rsidP="00EA4DAC">
      <w:pPr>
        <w:pStyle w:val="Formel"/>
      </w:pPr>
      <w:r>
        <w:rPr>
          <w:i/>
          <w:iCs/>
        </w:rPr>
        <w:t>B</w:t>
      </w:r>
      <w:r w:rsidRPr="00F20FC6">
        <w:rPr>
          <w:iCs/>
          <w:vertAlign w:val="subscript"/>
        </w:rPr>
        <w:t>1</w:t>
      </w:r>
      <w:r>
        <w:t xml:space="preserve"> </w:t>
      </w:r>
      <w:r w:rsidR="002434D2">
        <w:rPr>
          <w:rFonts w:ascii="Cambria Math" w:eastAsia="Arial Unicode MS" w:hAnsi="Cambria Math" w:cs="Cambria Math"/>
          <w:color w:val="000000" w:themeColor="text1"/>
        </w:rPr>
        <w:t>⤳</w:t>
      </w:r>
      <w:r>
        <w:rPr>
          <w:vertAlign w:val="subscript"/>
        </w:rPr>
        <w:t>Bed</w:t>
      </w:r>
      <w:r>
        <w:t xml:space="preserve">  </w:t>
      </w:r>
      <w:r>
        <w:rPr>
          <w:i/>
          <w:iCs/>
        </w:rPr>
        <w:t>Er</w:t>
      </w:r>
      <w:r>
        <w:rPr>
          <w:vertAlign w:val="subscript"/>
        </w:rPr>
        <w:t>6</w:t>
      </w:r>
    </w:p>
    <w:p w:rsidR="00BA2105" w:rsidRDefault="00BA2105" w:rsidP="000D7B52">
      <w:pPr>
        <w:pStyle w:val="InterpretationletzteZeile"/>
      </w:pPr>
      <w:r>
        <w:rPr>
          <w:i/>
        </w:rPr>
        <w:t>Er</w:t>
      </w:r>
      <w:r>
        <w:rPr>
          <w:vertAlign w:val="subscript"/>
        </w:rPr>
        <w:t>6</w:t>
      </w:r>
      <w:r>
        <w:t>: ‚</w:t>
      </w:r>
      <w:r w:rsidR="005D6052">
        <w:t>Weiße</w:t>
      </w:r>
      <w:r>
        <w:t xml:space="preserve"> </w:t>
      </w:r>
      <w:r w:rsidR="005D6052">
        <w:t xml:space="preserve">Fassaden </w:t>
      </w:r>
      <w:r w:rsidR="009826F3">
        <w:t>sind klar, modern und neutral</w:t>
      </w:r>
      <w:r>
        <w:t>‘</w:t>
      </w:r>
    </w:p>
    <w:p w:rsidR="00845600" w:rsidRDefault="00845600" w:rsidP="000D7B52">
      <w:pPr>
        <w:pStyle w:val="Interpretation1Zeile"/>
      </w:pPr>
      <w:r>
        <w:t>3.</w:t>
      </w:r>
      <w:r>
        <w:tab/>
        <w:t>Textschema ‚Vertrag</w:t>
      </w:r>
      <w:r w:rsidR="00CE635B">
        <w:t xml:space="preserve"> (zwischen einem Leistungsanbieter </w:t>
      </w:r>
      <w:r w:rsidR="00015531">
        <w:t>und einem Ku</w:t>
      </w:r>
      <w:r w:rsidR="00015531">
        <w:t>n</w:t>
      </w:r>
      <w:r w:rsidR="00015531">
        <w:t>den)</w:t>
      </w:r>
      <w:r>
        <w:t>‘</w:t>
      </w:r>
    </w:p>
    <w:p w:rsidR="00845600" w:rsidRDefault="00845600" w:rsidP="000D7B52">
      <w:pPr>
        <w:pStyle w:val="Interpretation"/>
      </w:pPr>
      <w:r>
        <w:rPr>
          <w:i/>
        </w:rPr>
        <w:lastRenderedPageBreak/>
        <w:t>U</w:t>
      </w:r>
      <w:r>
        <w:t>(</w:t>
      </w:r>
      <w:r>
        <w:rPr>
          <w:i/>
        </w:rPr>
        <w:t>B</w:t>
      </w:r>
      <w:r w:rsidR="00B67A1A" w:rsidRPr="00F20FC6">
        <w:rPr>
          <w:vertAlign w:val="subscript"/>
        </w:rPr>
        <w:t>1</w:t>
      </w:r>
      <w:r>
        <w:t>): ‚Festlegung der ge</w:t>
      </w:r>
      <w:r w:rsidR="00453328">
        <w:t>nauen Bedingungen des Vertrags‘,</w:t>
      </w:r>
      <w:r>
        <w:t xml:space="preserve"> </w:t>
      </w:r>
      <w:r>
        <w:rPr>
          <w:i/>
        </w:rPr>
        <w:t>V</w:t>
      </w:r>
      <w:r>
        <w:t>(</w:t>
      </w:r>
      <w:r>
        <w:rPr>
          <w:i/>
        </w:rPr>
        <w:t>B</w:t>
      </w:r>
      <w:r w:rsidR="00B67A1A" w:rsidRPr="00F20FC6">
        <w:rPr>
          <w:vertAlign w:val="subscript"/>
        </w:rPr>
        <w:t>1</w:t>
      </w:r>
      <w:r>
        <w:t>): ‚kleing</w:t>
      </w:r>
      <w:r>
        <w:t>e</w:t>
      </w:r>
      <w:r>
        <w:t>druckt‘</w:t>
      </w:r>
    </w:p>
    <w:p w:rsidR="00015531" w:rsidRDefault="00015531" w:rsidP="000D7B52">
      <w:pPr>
        <w:pStyle w:val="Interpretation"/>
      </w:pPr>
      <w:r>
        <w:rPr>
          <w:i/>
        </w:rPr>
        <w:t>U</w:t>
      </w:r>
      <w:r>
        <w:t>(</w:t>
      </w:r>
      <w:r>
        <w:rPr>
          <w:i/>
        </w:rPr>
        <w:t>B</w:t>
      </w:r>
      <w:r>
        <w:rPr>
          <w:vertAlign w:val="subscript"/>
        </w:rPr>
        <w:t>2</w:t>
      </w:r>
      <w:r>
        <w:t xml:space="preserve">): ‚Formulierungen‘, </w:t>
      </w:r>
      <w:r>
        <w:rPr>
          <w:i/>
        </w:rPr>
        <w:t>V</w:t>
      </w:r>
      <w:r>
        <w:t>(</w:t>
      </w:r>
      <w:r>
        <w:rPr>
          <w:i/>
        </w:rPr>
        <w:t>B</w:t>
      </w:r>
      <w:r>
        <w:rPr>
          <w:vertAlign w:val="subscript"/>
        </w:rPr>
        <w:t>2</w:t>
      </w:r>
      <w:r>
        <w:t>): ‚kompliziert; floskelhaft‘</w:t>
      </w:r>
    </w:p>
    <w:p w:rsidR="00015531" w:rsidRDefault="00015531" w:rsidP="000D7B52">
      <w:pPr>
        <w:pStyle w:val="Interpretation"/>
      </w:pPr>
      <w:r>
        <w:rPr>
          <w:i/>
        </w:rPr>
        <w:t>U</w:t>
      </w:r>
      <w:r>
        <w:t>(</w:t>
      </w:r>
      <w:r>
        <w:rPr>
          <w:i/>
        </w:rPr>
        <w:t>B</w:t>
      </w:r>
      <w:r>
        <w:rPr>
          <w:vertAlign w:val="subscript"/>
        </w:rPr>
        <w:t>3</w:t>
      </w:r>
      <w:r>
        <w:t xml:space="preserve">): ‚verwendete Ausdrücke‘, </w:t>
      </w:r>
      <w:r>
        <w:rPr>
          <w:i/>
        </w:rPr>
        <w:t>V</w:t>
      </w:r>
      <w:r>
        <w:t>(</w:t>
      </w:r>
      <w:r>
        <w:rPr>
          <w:i/>
        </w:rPr>
        <w:t>B</w:t>
      </w:r>
      <w:r>
        <w:rPr>
          <w:vertAlign w:val="subscript"/>
        </w:rPr>
        <w:t>2</w:t>
      </w:r>
      <w:r>
        <w:t>): ‚juristisches Fachvokabular, das nicht erklärt wird‘</w:t>
      </w:r>
    </w:p>
    <w:p w:rsidR="006F75B5" w:rsidRDefault="006F75B5" w:rsidP="000D7B52">
      <w:pPr>
        <w:pStyle w:val="Interpretation"/>
      </w:pPr>
      <w:r>
        <w:rPr>
          <w:i/>
        </w:rPr>
        <w:t>H</w:t>
      </w:r>
      <w:r w:rsidRPr="00F20FC6">
        <w:rPr>
          <w:vertAlign w:val="subscript"/>
        </w:rPr>
        <w:t>1</w:t>
      </w:r>
      <w:r w:rsidR="00E777FE">
        <w:t xml:space="preserve"> [zum Schema]:</w:t>
      </w:r>
      <w:r>
        <w:t xml:space="preserve"> ‚Praktisch alle Verträge dieser Art haben </w:t>
      </w:r>
      <w:r w:rsidR="005657B9">
        <w:t>die Merkmal</w:t>
      </w:r>
      <w:r w:rsidR="00A05DD7">
        <w:t>sregeln</w:t>
      </w:r>
      <w:r w:rsidR="005657B9">
        <w:t xml:space="preserve"> </w:t>
      </w:r>
      <w:r>
        <w:rPr>
          <w:i/>
        </w:rPr>
        <w:t>B</w:t>
      </w:r>
      <w:r w:rsidRPr="00F20FC6">
        <w:rPr>
          <w:vertAlign w:val="subscript"/>
        </w:rPr>
        <w:t>1</w:t>
      </w:r>
      <w:r>
        <w:t xml:space="preserve"> bis </w:t>
      </w:r>
      <w:r>
        <w:rPr>
          <w:i/>
        </w:rPr>
        <w:t>B</w:t>
      </w:r>
      <w:r>
        <w:rPr>
          <w:vertAlign w:val="subscript"/>
        </w:rPr>
        <w:t>3</w:t>
      </w:r>
      <w:r w:rsidR="005657B9">
        <w:t>‘</w:t>
      </w:r>
    </w:p>
    <w:p w:rsidR="005657B9" w:rsidRDefault="005657B9" w:rsidP="000D7B52">
      <w:pPr>
        <w:pStyle w:val="Interpretation"/>
      </w:pPr>
      <w:r>
        <w:rPr>
          <w:i/>
        </w:rPr>
        <w:t>H</w:t>
      </w:r>
      <w:r>
        <w:rPr>
          <w:vertAlign w:val="subscript"/>
        </w:rPr>
        <w:t>2</w:t>
      </w:r>
      <w:r w:rsidR="00E777FE">
        <w:t xml:space="preserve"> [zum Schema]:</w:t>
      </w:r>
      <w:r>
        <w:t xml:space="preserve"> ‚Kein juristisch nicht Vorgebildeter kann einen Vertrag mit den Merkmal</w:t>
      </w:r>
      <w:r w:rsidR="00A05DD7">
        <w:t>sregeln</w:t>
      </w:r>
      <w:r>
        <w:t xml:space="preserve"> </w:t>
      </w:r>
      <w:r>
        <w:rPr>
          <w:i/>
        </w:rPr>
        <w:t>B</w:t>
      </w:r>
      <w:r w:rsidRPr="00F20FC6">
        <w:rPr>
          <w:vertAlign w:val="subscript"/>
        </w:rPr>
        <w:t>1</w:t>
      </w:r>
      <w:r>
        <w:t xml:space="preserve"> bis </w:t>
      </w:r>
      <w:r>
        <w:rPr>
          <w:i/>
        </w:rPr>
        <w:t>B</w:t>
      </w:r>
      <w:r>
        <w:rPr>
          <w:vertAlign w:val="subscript"/>
        </w:rPr>
        <w:t>3</w:t>
      </w:r>
      <w:r>
        <w:t xml:space="preserve"> problemlos lesen und verstehen‘</w:t>
      </w:r>
    </w:p>
    <w:p w:rsidR="00DA78E5" w:rsidRPr="004457F2" w:rsidRDefault="00015531" w:rsidP="00EA4DAC">
      <w:pPr>
        <w:pStyle w:val="Formel"/>
      </w:pPr>
      <w:r>
        <w:rPr>
          <w:i/>
          <w:iCs/>
        </w:rPr>
        <w:t>B</w:t>
      </w:r>
      <w:r w:rsidRPr="00F20FC6">
        <w:rPr>
          <w:iCs/>
          <w:vertAlign w:val="subscript"/>
        </w:rPr>
        <w:t>1</w:t>
      </w:r>
      <w:r w:rsidR="00DA78E5" w:rsidRPr="00F32CB0">
        <w:rPr>
          <w:color w:val="000000" w:themeColor="text1"/>
        </w:rPr>
        <w:t xml:space="preserve"> </w:t>
      </w:r>
      <w:r w:rsidR="00DA78E5">
        <w:rPr>
          <w:rFonts w:ascii="Cambria Math" w:hAnsi="Cambria Math" w:cs="Cambria Math"/>
          <w:color w:val="000000" w:themeColor="text1"/>
        </w:rPr>
        <w:t>∧</w:t>
      </w:r>
      <w:r w:rsidR="00DA78E5">
        <w:t xml:space="preserve"> </w:t>
      </w:r>
      <w:r>
        <w:rPr>
          <w:i/>
          <w:iCs/>
        </w:rPr>
        <w:t>B</w:t>
      </w:r>
      <w:r>
        <w:rPr>
          <w:iCs/>
          <w:vertAlign w:val="subscript"/>
        </w:rPr>
        <w:t>2</w:t>
      </w:r>
      <w:r w:rsidRPr="00F32CB0">
        <w:rPr>
          <w:color w:val="000000" w:themeColor="text1"/>
        </w:rPr>
        <w:t xml:space="preserve"> </w:t>
      </w:r>
      <w:r>
        <w:rPr>
          <w:rFonts w:ascii="Cambria Math" w:hAnsi="Cambria Math" w:cs="Cambria Math"/>
          <w:color w:val="000000" w:themeColor="text1"/>
        </w:rPr>
        <w:t>∧</w:t>
      </w:r>
      <w:r>
        <w:t xml:space="preserve"> </w:t>
      </w:r>
      <w:r>
        <w:rPr>
          <w:i/>
          <w:iCs/>
        </w:rPr>
        <w:t>B</w:t>
      </w:r>
      <w:r>
        <w:rPr>
          <w:iCs/>
          <w:vertAlign w:val="subscript"/>
        </w:rPr>
        <w:t>3</w:t>
      </w:r>
      <w:r w:rsidR="00DA78E5">
        <w:t xml:space="preserve"> </w:t>
      </w:r>
      <w:r w:rsidR="002434D2">
        <w:rPr>
          <w:rFonts w:ascii="Cambria Math" w:eastAsia="Arial Unicode MS" w:hAnsi="Cambria Math" w:cs="Cambria Math"/>
          <w:color w:val="000000" w:themeColor="text1"/>
        </w:rPr>
        <w:t>⤳</w:t>
      </w:r>
      <w:r w:rsidR="005137B2">
        <w:rPr>
          <w:vertAlign w:val="subscript"/>
        </w:rPr>
        <w:t>Edr</w:t>
      </w:r>
      <w:r w:rsidR="00DA78E5">
        <w:t xml:space="preserve">  </w:t>
      </w:r>
      <w:r w:rsidR="00DA78E5">
        <w:rPr>
          <w:i/>
          <w:iCs/>
        </w:rPr>
        <w:t>Er</w:t>
      </w:r>
      <w:r>
        <w:rPr>
          <w:vertAlign w:val="subscript"/>
        </w:rPr>
        <w:t>1</w:t>
      </w:r>
    </w:p>
    <w:p w:rsidR="00B018B0" w:rsidRDefault="00B018B0" w:rsidP="000D7B52">
      <w:pPr>
        <w:pStyle w:val="Interpretation"/>
      </w:pPr>
      <w:r>
        <w:rPr>
          <w:i/>
        </w:rPr>
        <w:t>Er</w:t>
      </w:r>
      <w:r w:rsidRPr="00F20FC6">
        <w:rPr>
          <w:vertAlign w:val="subscript"/>
        </w:rPr>
        <w:t>1</w:t>
      </w:r>
      <w:r w:rsidR="00CE635B">
        <w:t xml:space="preserve"> (e):</w:t>
      </w:r>
      <w:r>
        <w:t xml:space="preserve"> ‚</w:t>
      </w:r>
      <w:r w:rsidR="00015531">
        <w:t>Es wird nicht vom Kunden erwartet, dass er/sie den Vertrag genau liest</w:t>
      </w:r>
      <w:r w:rsidR="00DA78E5">
        <w:t>‘</w:t>
      </w:r>
    </w:p>
    <w:p w:rsidR="00015531" w:rsidRDefault="00015531" w:rsidP="00EA4DAC">
      <w:pPr>
        <w:pStyle w:val="Formel"/>
      </w:pPr>
      <w:r>
        <w:rPr>
          <w:i/>
          <w:iCs/>
        </w:rPr>
        <w:t>Er</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2</w:t>
      </w:r>
    </w:p>
    <w:p w:rsidR="00015531" w:rsidRDefault="00015531" w:rsidP="000D7B52">
      <w:pPr>
        <w:pStyle w:val="InterpretationletzteZeile"/>
      </w:pPr>
      <w:r>
        <w:rPr>
          <w:i/>
        </w:rPr>
        <w:t>Er</w:t>
      </w:r>
      <w:r>
        <w:rPr>
          <w:vertAlign w:val="subscript"/>
        </w:rPr>
        <w:t>2</w:t>
      </w:r>
      <w:r>
        <w:t>: ‚Es kann keine schwerwiegenden Konsequenzen haben, wenn der Vertrag vom Vertragsschließenden nicht genau gelesen wird‘</w:t>
      </w:r>
    </w:p>
    <w:p w:rsidR="00015531" w:rsidRDefault="00015531" w:rsidP="000D7B52">
      <w:pPr>
        <w:pStyle w:val="Text"/>
        <w:ind w:firstLine="0"/>
      </w:pPr>
      <w:r>
        <w:t xml:space="preserve">Das Beispiel zeigt, dass Abduktionen (als erklärende Schlüsse) auf der Basis von Eindrücken gefährlich sein können. </w:t>
      </w:r>
      <w:r w:rsidR="00CE635B">
        <w:rPr>
          <w:i/>
          <w:iCs/>
        </w:rPr>
        <w:t>Er</w:t>
      </w:r>
      <w:r w:rsidR="00CE635B">
        <w:rPr>
          <w:vertAlign w:val="subscript"/>
        </w:rPr>
        <w:t>2</w:t>
      </w:r>
      <w:r w:rsidR="00CE635B">
        <w:t xml:space="preserve"> wird sich </w:t>
      </w:r>
      <w:r w:rsidR="006518D2">
        <w:t xml:space="preserve">nämlich </w:t>
      </w:r>
      <w:r w:rsidR="00CE635B">
        <w:t xml:space="preserve">nach Rücksprache mit dem Anwalt als falsch herausstellen. Besser wäre die </w:t>
      </w:r>
      <w:r>
        <w:t>Erklärung:</w:t>
      </w:r>
    </w:p>
    <w:p w:rsidR="00CE635B" w:rsidRDefault="00CE635B" w:rsidP="00EA4DAC">
      <w:pPr>
        <w:pStyle w:val="Formel"/>
      </w:pPr>
      <w:r>
        <w:rPr>
          <w:i/>
          <w:iCs/>
        </w:rPr>
        <w:t>Er</w:t>
      </w:r>
      <w:r>
        <w:rPr>
          <w:iCs/>
          <w:vertAlign w:val="subscript"/>
        </w:rPr>
        <w:t>1</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3</w:t>
      </w:r>
    </w:p>
    <w:p w:rsidR="00015531" w:rsidRDefault="00015531" w:rsidP="000D7B52">
      <w:pPr>
        <w:pStyle w:val="InterpretationletzteZeile"/>
      </w:pPr>
      <w:r>
        <w:rPr>
          <w:i/>
        </w:rPr>
        <w:t>Er</w:t>
      </w:r>
      <w:r>
        <w:rPr>
          <w:vertAlign w:val="subscript"/>
        </w:rPr>
        <w:t>3</w:t>
      </w:r>
      <w:r>
        <w:t xml:space="preserve">: ‚Viele </w:t>
      </w:r>
      <w:r w:rsidR="00CE635B">
        <w:t xml:space="preserve">Anbieter </w:t>
      </w:r>
      <w:r>
        <w:t xml:space="preserve">wollen nicht, dass ihre Kunden </w:t>
      </w:r>
      <w:r w:rsidR="00CE635B">
        <w:t>die Details des Vertrags lesen und dadurch abgeschreckt werden‘</w:t>
      </w:r>
    </w:p>
    <w:p w:rsidR="00747F91" w:rsidRDefault="00CE635B" w:rsidP="000D7B52">
      <w:pPr>
        <w:pStyle w:val="Text"/>
        <w:ind w:firstLine="0"/>
        <w:sectPr w:rsidR="00747F91" w:rsidSect="00180E6C">
          <w:pgSz w:w="8789" w:h="13325" w:code="9"/>
          <w:pgMar w:top="1134" w:right="851" w:bottom="1418" w:left="1134" w:header="567" w:footer="680" w:gutter="0"/>
          <w:cols w:space="720"/>
          <w:titlePg/>
          <w:docGrid w:linePitch="360"/>
        </w:sectPr>
      </w:pPr>
      <w:r>
        <w:rPr>
          <w:i/>
          <w:iCs/>
        </w:rPr>
        <w:t>Er</w:t>
      </w:r>
      <w:r>
        <w:rPr>
          <w:vertAlign w:val="subscript"/>
        </w:rPr>
        <w:t>2</w:t>
      </w:r>
      <w:r>
        <w:t xml:space="preserve"> wird jedoch bei Kunden, die nicht vor ihm gewarnt sind, </w:t>
      </w:r>
      <w:r w:rsidR="005657B9">
        <w:t xml:space="preserve">aufgrund von </w:t>
      </w:r>
      <w:r w:rsidR="005657B9">
        <w:rPr>
          <w:i/>
          <w:iCs/>
        </w:rPr>
        <w:t>H</w:t>
      </w:r>
      <w:r w:rsidR="005657B9" w:rsidRPr="00F20FC6">
        <w:rPr>
          <w:iCs/>
          <w:vertAlign w:val="subscript"/>
        </w:rPr>
        <w:t>1</w:t>
      </w:r>
      <w:r w:rsidR="005657B9">
        <w:t xml:space="preserve"> und </w:t>
      </w:r>
      <w:r w:rsidR="005657B9">
        <w:rPr>
          <w:i/>
          <w:iCs/>
        </w:rPr>
        <w:t>H</w:t>
      </w:r>
      <w:r w:rsidR="005657B9">
        <w:rPr>
          <w:iCs/>
          <w:vertAlign w:val="subscript"/>
        </w:rPr>
        <w:t>2</w:t>
      </w:r>
      <w:r w:rsidR="005657B9">
        <w:t xml:space="preserve"> </w:t>
      </w:r>
      <w:r w:rsidR="006F75B5">
        <w:t xml:space="preserve">geradezu </w:t>
      </w:r>
      <w:r>
        <w:t>provoziert</w:t>
      </w:r>
      <w:r w:rsidR="006F75B5">
        <w:t xml:space="preserve">: Sie sind </w:t>
      </w:r>
      <w:r w:rsidR="005657B9">
        <w:t xml:space="preserve">dann </w:t>
      </w:r>
      <w:r w:rsidR="006F75B5">
        <w:t xml:space="preserve">überrascht, wenn sich im Fall eines Rechtsstreits herausstellt, dass durchaus von ihnen erwartet wird, jede </w:t>
      </w:r>
      <w:r>
        <w:t>Formuli</w:t>
      </w:r>
      <w:r>
        <w:t>e</w:t>
      </w:r>
      <w:r>
        <w:t xml:space="preserve">rung eines noch so langen Vertrags </w:t>
      </w:r>
      <w:r w:rsidR="006F75B5">
        <w:t>vor dem Unterschreiben gelesen und vol</w:t>
      </w:r>
      <w:r w:rsidR="006F75B5">
        <w:t>l</w:t>
      </w:r>
      <w:r w:rsidR="006F75B5">
        <w:t xml:space="preserve">ständig verstanden zu haben. </w:t>
      </w:r>
      <w:r w:rsidR="005657B9">
        <w:t xml:space="preserve">Der Justiz kann hier vorgeworfen werden, dass sie die Entstehung des irrtümlichen Eindrucks </w:t>
      </w:r>
      <w:r w:rsidR="005657B9">
        <w:rPr>
          <w:i/>
          <w:iCs/>
        </w:rPr>
        <w:t>Er</w:t>
      </w:r>
      <w:r w:rsidR="005657B9">
        <w:rPr>
          <w:vertAlign w:val="subscript"/>
        </w:rPr>
        <w:t>1</w:t>
      </w:r>
      <w:r w:rsidR="005657B9">
        <w:t xml:space="preserve">, der zu </w:t>
      </w:r>
      <w:r w:rsidR="005657B9">
        <w:rPr>
          <w:i/>
          <w:iCs/>
        </w:rPr>
        <w:t>Er</w:t>
      </w:r>
      <w:r w:rsidR="005657B9">
        <w:rPr>
          <w:vertAlign w:val="subscript"/>
        </w:rPr>
        <w:t>2</w:t>
      </w:r>
      <w:r w:rsidR="005657B9">
        <w:t xml:space="preserve"> führen kann, beim Kunden zulässt, indem sie die gängige Praxis (</w:t>
      </w:r>
      <w:r w:rsidR="005657B9">
        <w:rPr>
          <w:i/>
          <w:iCs/>
        </w:rPr>
        <w:t>H</w:t>
      </w:r>
      <w:r w:rsidR="005657B9">
        <w:rPr>
          <w:vertAlign w:val="subscript"/>
        </w:rPr>
        <w:t>1</w:t>
      </w:r>
      <w:r w:rsidR="005657B9">
        <w:t xml:space="preserve"> und </w:t>
      </w:r>
      <w:r w:rsidR="005657B9">
        <w:rPr>
          <w:i/>
          <w:iCs/>
        </w:rPr>
        <w:t>H</w:t>
      </w:r>
      <w:r w:rsidR="005657B9">
        <w:rPr>
          <w:vertAlign w:val="subscript"/>
        </w:rPr>
        <w:t>2</w:t>
      </w:r>
      <w:r w:rsidR="005657B9">
        <w:t>) toleriert.</w:t>
      </w:r>
      <w:bookmarkEnd w:id="331"/>
      <w:bookmarkEnd w:id="355"/>
    </w:p>
    <w:p w:rsidR="00647F41" w:rsidRDefault="00D337F1" w:rsidP="00647F41">
      <w:pPr>
        <w:pStyle w:val="Titel"/>
      </w:pPr>
      <w:bookmarkStart w:id="356" w:name="_Toc325456786"/>
      <w:bookmarkStart w:id="357" w:name="Interpretationsprozess2"/>
      <w:r>
        <w:lastRenderedPageBreak/>
        <w:t>Der</w:t>
      </w:r>
      <w:r w:rsidR="0014193F">
        <w:t xml:space="preserve"> </w:t>
      </w:r>
      <w:r>
        <w:t>Interpretation</w:t>
      </w:r>
      <w:r w:rsidR="00E730B8">
        <w:t>sprozess</w:t>
      </w:r>
      <w:bookmarkEnd w:id="356"/>
    </w:p>
    <w:p w:rsidR="006235DE" w:rsidRDefault="005D7996" w:rsidP="002B5662">
      <w:pPr>
        <w:pStyle w:val="Text"/>
        <w:ind w:firstLine="0"/>
      </w:pPr>
      <w:r>
        <w:fldChar w:fldCharType="begin"/>
      </w:r>
      <w:r w:rsidR="007116BA">
        <w:instrText xml:space="preserve"> XE "Interpretationsprozess" \r "Interpretationsprozess2" </w:instrText>
      </w:r>
      <w:r>
        <w:fldChar w:fldCharType="end"/>
      </w:r>
      <w:r w:rsidR="00331658">
        <w:t xml:space="preserve">Im letzten Kapitel wurde dargestellt, welche unterschiedlichen Möglichkeiten es gibt, um in Interpretationen Ergebnisse zu erzeugen. Dabei standen einzelne </w:t>
      </w:r>
      <w:r w:rsidR="00846320">
        <w:t xml:space="preserve">Interpretationsschritte </w:t>
      </w:r>
      <w:r w:rsidR="00331658">
        <w:t xml:space="preserve">im Vordergrund. In diesem Kapitel wird untersucht, wie Interpretationen insgesamt ablaufen können. Es werden Beispiele </w:t>
      </w:r>
      <w:r w:rsidR="00785DDF">
        <w:t>aus verschi</w:t>
      </w:r>
      <w:r w:rsidR="00785DDF">
        <w:t>e</w:t>
      </w:r>
      <w:r w:rsidR="00785DDF">
        <w:t xml:space="preserve">denen Stilbereichen </w:t>
      </w:r>
      <w:r w:rsidR="00331658">
        <w:t>vorgestellt (</w:t>
      </w:r>
      <w:r>
        <w:fldChar w:fldCharType="begin"/>
      </w:r>
      <w:r w:rsidR="00331658">
        <w:instrText xml:space="preserve"> REF _Ref255407192 \r \h </w:instrText>
      </w:r>
      <w:r>
        <w:fldChar w:fldCharType="separate"/>
      </w:r>
      <w:r w:rsidR="001231D3">
        <w:t>7.1</w:t>
      </w:r>
      <w:r>
        <w:fldChar w:fldCharType="end"/>
      </w:r>
      <w:r w:rsidR="00331658">
        <w:t>), eine formale Darstellung des Interpretat</w:t>
      </w:r>
      <w:r w:rsidR="00331658">
        <w:t>i</w:t>
      </w:r>
      <w:r w:rsidR="00331658">
        <w:t>onsprozesses gegeben (</w:t>
      </w:r>
      <w:r>
        <w:fldChar w:fldCharType="begin"/>
      </w:r>
      <w:r w:rsidR="00331658">
        <w:instrText xml:space="preserve"> REF _Ref254354608 \r \h </w:instrText>
      </w:r>
      <w:r>
        <w:fldChar w:fldCharType="separate"/>
      </w:r>
      <w:r w:rsidR="001231D3">
        <w:t>7.2</w:t>
      </w:r>
      <w:r>
        <w:fldChar w:fldCharType="end"/>
      </w:r>
      <w:r w:rsidR="00331658">
        <w:t>) und ein gemeinsamer formaler Rahmen für den Merkmals- und den Interpretationsprozess eingeführt (</w:t>
      </w:r>
      <w:r>
        <w:fldChar w:fldCharType="begin"/>
      </w:r>
      <w:r w:rsidR="00331658">
        <w:instrText xml:space="preserve"> REF _Ref254267254 \r \h </w:instrText>
      </w:r>
      <w:r>
        <w:fldChar w:fldCharType="separate"/>
      </w:r>
      <w:r w:rsidR="001231D3">
        <w:t>7.3</w:t>
      </w:r>
      <w:r>
        <w:fldChar w:fldCharType="end"/>
      </w:r>
      <w:r w:rsidR="00331658">
        <w:t>).</w:t>
      </w:r>
    </w:p>
    <w:p w:rsidR="00ED7210" w:rsidRDefault="00ED7210" w:rsidP="00ED7210">
      <w:pPr>
        <w:pStyle w:val="Titel2"/>
      </w:pPr>
      <w:bookmarkStart w:id="358" w:name="_Ref255407192"/>
      <w:bookmarkStart w:id="359" w:name="_Toc325456787"/>
      <w:r>
        <w:t>Beispiele</w:t>
      </w:r>
      <w:r w:rsidR="006235DE">
        <w:t xml:space="preserve"> für Interpretationen</w:t>
      </w:r>
      <w:bookmarkEnd w:id="358"/>
      <w:bookmarkEnd w:id="359"/>
    </w:p>
    <w:p w:rsidR="00EC7174" w:rsidRDefault="0095436A" w:rsidP="002B5662">
      <w:pPr>
        <w:pStyle w:val="Text"/>
        <w:ind w:firstLine="0"/>
      </w:pPr>
      <w:r>
        <w:t>Im Folgenden we</w:t>
      </w:r>
      <w:r w:rsidR="003226EB">
        <w:t xml:space="preserve">rden </w:t>
      </w:r>
      <w:r w:rsidR="00D2554C">
        <w:t xml:space="preserve">Beispiele </w:t>
      </w:r>
      <w:r>
        <w:t>für Interpretationen aus verschiedenen Stilbere</w:t>
      </w:r>
      <w:r>
        <w:t>i</w:t>
      </w:r>
      <w:r>
        <w:t>chen vorgestellt.</w:t>
      </w:r>
      <w:r w:rsidR="00E21759">
        <w:t xml:space="preserve"> </w:t>
      </w:r>
      <w:r>
        <w:t xml:space="preserve">Einige </w:t>
      </w:r>
      <w:r w:rsidR="00334CDB">
        <w:t xml:space="preserve">der </w:t>
      </w:r>
      <w:r w:rsidR="00EA58FD">
        <w:t>Beispiele</w:t>
      </w:r>
      <w:r>
        <w:t xml:space="preserve"> sind für die Arbeit </w:t>
      </w:r>
      <w:r w:rsidR="002B3A4B">
        <w:t>entwickelt</w:t>
      </w:r>
      <w:r>
        <w:t xml:space="preserve"> worden, w</w:t>
      </w:r>
      <w:r>
        <w:t>o</w:t>
      </w:r>
      <w:r>
        <w:t>bei teilweise tatsächliche Stile interpretiert werden (</w:t>
      </w:r>
      <w:r w:rsidR="005D7996">
        <w:fldChar w:fldCharType="begin"/>
      </w:r>
      <w:r>
        <w:instrText xml:space="preserve"> REF _Ref254386965 \r \h </w:instrText>
      </w:r>
      <w:r w:rsidR="005D7996">
        <w:fldChar w:fldCharType="separate"/>
      </w:r>
      <w:r w:rsidR="001231D3">
        <w:t>7.1.1</w:t>
      </w:r>
      <w:r w:rsidR="005D7996">
        <w:fldChar w:fldCharType="end"/>
      </w:r>
      <w:r>
        <w:t xml:space="preserve"> und </w:t>
      </w:r>
      <w:r w:rsidR="005D7996">
        <w:fldChar w:fldCharType="begin"/>
      </w:r>
      <w:r>
        <w:instrText xml:space="preserve"> REF _Ref256495850 \r \h </w:instrText>
      </w:r>
      <w:r w:rsidR="005D7996">
        <w:fldChar w:fldCharType="separate"/>
      </w:r>
      <w:r w:rsidR="001231D3">
        <w:t>7.1.2</w:t>
      </w:r>
      <w:r w:rsidR="005D7996">
        <w:fldChar w:fldCharType="end"/>
      </w:r>
      <w:r>
        <w:t>), teilweise auch die Stile selbst konstruiert wurden (</w:t>
      </w:r>
      <w:r w:rsidR="005D7996">
        <w:fldChar w:fldCharType="begin"/>
      </w:r>
      <w:r w:rsidR="004B5DFC">
        <w:instrText xml:space="preserve"> REF _Ref261636855 \r \h </w:instrText>
      </w:r>
      <w:r w:rsidR="005D7996">
        <w:fldChar w:fldCharType="separate"/>
      </w:r>
      <w:r w:rsidR="001231D3">
        <w:t>7.1.4</w:t>
      </w:r>
      <w:r w:rsidR="005D7996">
        <w:fldChar w:fldCharType="end"/>
      </w:r>
      <w:r w:rsidR="004B5DFC">
        <w:t xml:space="preserve">, </w:t>
      </w:r>
      <w:r w:rsidR="005D7996">
        <w:fldChar w:fldCharType="begin"/>
      </w:r>
      <w:r w:rsidR="004B5DFC">
        <w:instrText xml:space="preserve"> REF _Ref261331554 \r \h </w:instrText>
      </w:r>
      <w:r w:rsidR="005D7996">
        <w:fldChar w:fldCharType="separate"/>
      </w:r>
      <w:r w:rsidR="001231D3">
        <w:t>7.1.6</w:t>
      </w:r>
      <w:r w:rsidR="005D7996">
        <w:fldChar w:fldCharType="end"/>
      </w:r>
      <w:r w:rsidR="004B5DFC">
        <w:t xml:space="preserve"> </w:t>
      </w:r>
      <w:r>
        <w:t xml:space="preserve">und </w:t>
      </w:r>
      <w:r w:rsidR="005D7996">
        <w:fldChar w:fldCharType="begin"/>
      </w:r>
      <w:r>
        <w:instrText xml:space="preserve"> REF _Ref256495882 \r \h </w:instrText>
      </w:r>
      <w:r w:rsidR="005D7996">
        <w:fldChar w:fldCharType="separate"/>
      </w:r>
      <w:r w:rsidR="001231D3">
        <w:t>7.1.8</w:t>
      </w:r>
      <w:r w:rsidR="005D7996">
        <w:fldChar w:fldCharType="end"/>
      </w:r>
      <w:r>
        <w:t xml:space="preserve">). </w:t>
      </w:r>
      <w:r w:rsidR="00EC7174">
        <w:t xml:space="preserve">Dabei </w:t>
      </w:r>
      <w:r w:rsidR="00915CE7">
        <w:t xml:space="preserve">wird </w:t>
      </w:r>
      <w:r w:rsidR="00EC7174">
        <w:t>die Leistungsfähigkeit der Theorie bezüglich schwieriger Erzeugungsprozesse d</w:t>
      </w:r>
      <w:r w:rsidR="00EC7174">
        <w:t>e</w:t>
      </w:r>
      <w:r w:rsidR="00EC7174">
        <w:t>monstriert und es können bereichsspezifische Besonderheiten verdeutlicht we</w:t>
      </w:r>
      <w:r w:rsidR="00EC7174">
        <w:t>r</w:t>
      </w:r>
      <w:r w:rsidR="00EC7174">
        <w:t>den. Außerdem werden auf diese Weise Interpretat</w:t>
      </w:r>
      <w:r w:rsidR="008E603B">
        <w:t>ionen für ungewöhnliche</w:t>
      </w:r>
      <w:r w:rsidR="00EC7174">
        <w:t xml:space="preserve"> </w:t>
      </w:r>
      <w:r w:rsidR="008E603B">
        <w:t>Stilb</w:t>
      </w:r>
      <w:r w:rsidR="00EC7174">
        <w:t>ereiche (Stil bei Bankraub) und solche, für die kaum ausformulierte Beispi</w:t>
      </w:r>
      <w:r w:rsidR="00EC7174">
        <w:t>e</w:t>
      </w:r>
      <w:r w:rsidR="00EC7174">
        <w:t>le vorlieg</w:t>
      </w:r>
      <w:r w:rsidR="008E603B">
        <w:t>en (Lauf- und Gehstile), möglich</w:t>
      </w:r>
      <w:r w:rsidR="00EC7174">
        <w:t>.</w:t>
      </w:r>
    </w:p>
    <w:p w:rsidR="00D2554C" w:rsidRDefault="008E603B">
      <w:pPr>
        <w:pStyle w:val="Text"/>
      </w:pPr>
      <w:r>
        <w:t>Andere</w:t>
      </w:r>
      <w:r w:rsidR="00EA58FD">
        <w:t xml:space="preserve"> Beispiele </w:t>
      </w:r>
      <w:r w:rsidR="00334CDB">
        <w:t xml:space="preserve">übertragen </w:t>
      </w:r>
      <w:r w:rsidR="004422E7">
        <w:t xml:space="preserve">tatsächliche, schriftlich gegebene </w:t>
      </w:r>
      <w:r w:rsidR="00334CDB">
        <w:t>Interpretat</w:t>
      </w:r>
      <w:r w:rsidR="00334CDB">
        <w:t>i</w:t>
      </w:r>
      <w:r w:rsidR="00334CDB">
        <w:t>onen in die Darstellungsweise des Stilmodells (</w:t>
      </w:r>
      <w:r w:rsidR="005D7996">
        <w:fldChar w:fldCharType="begin"/>
      </w:r>
      <w:r w:rsidR="00334CDB">
        <w:instrText xml:space="preserve"> REF _Ref254004896 \r \h </w:instrText>
      </w:r>
      <w:r w:rsidR="005D7996">
        <w:fldChar w:fldCharType="separate"/>
      </w:r>
      <w:r w:rsidR="001231D3">
        <w:t>7.1.3</w:t>
      </w:r>
      <w:r w:rsidR="005D7996">
        <w:fldChar w:fldCharType="end"/>
      </w:r>
      <w:r w:rsidR="00334CDB">
        <w:t xml:space="preserve">, </w:t>
      </w:r>
      <w:r w:rsidR="005D7996">
        <w:fldChar w:fldCharType="begin"/>
      </w:r>
      <w:r w:rsidR="00334CDB">
        <w:instrText xml:space="preserve"> REF _Ref254550229 \r \h </w:instrText>
      </w:r>
      <w:r w:rsidR="005D7996">
        <w:fldChar w:fldCharType="separate"/>
      </w:r>
      <w:r w:rsidR="001231D3">
        <w:t>7.1.5</w:t>
      </w:r>
      <w:r w:rsidR="005D7996">
        <w:fldChar w:fldCharType="end"/>
      </w:r>
      <w:r w:rsidR="00334CDB">
        <w:t xml:space="preserve"> und </w:t>
      </w:r>
      <w:r w:rsidR="005D7996">
        <w:fldChar w:fldCharType="begin"/>
      </w:r>
      <w:r w:rsidR="00334CDB">
        <w:instrText xml:space="preserve"> REF _Ref254550232 \r \h </w:instrText>
      </w:r>
      <w:r w:rsidR="005D7996">
        <w:fldChar w:fldCharType="separate"/>
      </w:r>
      <w:r w:rsidR="001231D3">
        <w:t>7.1.7</w:t>
      </w:r>
      <w:r w:rsidR="005D7996">
        <w:fldChar w:fldCharType="end"/>
      </w:r>
      <w:r w:rsidR="00334CDB">
        <w:t xml:space="preserve">). </w:t>
      </w:r>
      <w:r w:rsidR="00EC7174">
        <w:t xml:space="preserve">Dabei </w:t>
      </w:r>
      <w:r w:rsidR="00915CE7">
        <w:t xml:space="preserve">wird </w:t>
      </w:r>
      <w:r w:rsidR="00EC7174">
        <w:t xml:space="preserve">die Leistungsfähigkeit </w:t>
      </w:r>
      <w:r w:rsidR="00A21C98">
        <w:t xml:space="preserve">der Theorie </w:t>
      </w:r>
      <w:r w:rsidR="00915CE7">
        <w:t xml:space="preserve">im Umgang mit wirklichen </w:t>
      </w:r>
      <w:r w:rsidR="00A21C98">
        <w:t>Beispiele</w:t>
      </w:r>
      <w:r w:rsidR="00915CE7">
        <w:t>n</w:t>
      </w:r>
      <w:r w:rsidR="00A21C98">
        <w:t xml:space="preserve"> gete</w:t>
      </w:r>
      <w:r w:rsidR="00A21C98">
        <w:t>s</w:t>
      </w:r>
      <w:r w:rsidR="00A21C98">
        <w:t xml:space="preserve">tet und </w:t>
      </w:r>
      <w:r w:rsidR="00915CE7">
        <w:t xml:space="preserve">es kann ein Eindruck gewonnen werden, wie </w:t>
      </w:r>
      <w:r w:rsidR="008B4818">
        <w:t xml:space="preserve">Interpretationen </w:t>
      </w:r>
      <w:r w:rsidR="00915CE7">
        <w:t>‚</w:t>
      </w:r>
      <w:r w:rsidR="008B4818">
        <w:t xml:space="preserve">in </w:t>
      </w:r>
      <w:r w:rsidR="00915CE7">
        <w:t>frei</w:t>
      </w:r>
      <w:r w:rsidR="008B4818">
        <w:t>er</w:t>
      </w:r>
      <w:r w:rsidR="00915CE7">
        <w:t xml:space="preserve"> </w:t>
      </w:r>
      <w:r w:rsidR="008B4818">
        <w:t>Wildbahn</w:t>
      </w:r>
      <w:r w:rsidR="00915CE7">
        <w:t>‘</w:t>
      </w:r>
      <w:r w:rsidR="004422E7">
        <w:t xml:space="preserve"> </w:t>
      </w:r>
      <w:r w:rsidR="00915CE7">
        <w:t xml:space="preserve">funktionieren und welche </w:t>
      </w:r>
      <w:r w:rsidR="00747F58">
        <w:t>We</w:t>
      </w:r>
      <w:r w:rsidR="00915CE7">
        <w:t>ge sie gehen.</w:t>
      </w:r>
    </w:p>
    <w:p w:rsidR="004B127F" w:rsidRDefault="004B127F">
      <w:pPr>
        <w:pStyle w:val="Text"/>
      </w:pPr>
      <w:r>
        <w:t>Die Darstellung der Beispiele entspricht derjenigen der Schreibausgabe des Interpretationsprozesses (vgl. Abschnitt</w:t>
      </w:r>
      <w:r w:rsidR="00E21759">
        <w:t xml:space="preserve"> </w:t>
      </w:r>
      <w:r w:rsidR="005D7996">
        <w:fldChar w:fldCharType="begin"/>
      </w:r>
      <w:r w:rsidR="00E21759">
        <w:instrText xml:space="preserve"> REF _Ref258410988 \r \h </w:instrText>
      </w:r>
      <w:r w:rsidR="005D7996">
        <w:fldChar w:fldCharType="separate"/>
      </w:r>
      <w:r w:rsidR="001231D3">
        <w:t>7.2.4</w:t>
      </w:r>
      <w:r w:rsidR="005D7996">
        <w:fldChar w:fldCharType="end"/>
      </w:r>
      <w:r w:rsidR="00E21759">
        <w:t>,</w:t>
      </w:r>
      <w:r>
        <w:t xml:space="preserve"> Funktion </w:t>
      </w:r>
      <w:r w:rsidRPr="00C35EA1">
        <w:rPr>
          <w:i/>
          <w:color w:val="000000" w:themeColor="text1"/>
        </w:rPr>
        <w:t>Interpretation</w:t>
      </w:r>
      <w:r w:rsidR="00445E88">
        <w:rPr>
          <w:i/>
        </w:rPr>
        <w:t>s</w:t>
      </w:r>
      <w:r w:rsidR="00445E88">
        <w:rPr>
          <w:i/>
        </w:rPr>
        <w:t>schritt</w:t>
      </w:r>
      <w:r w:rsidRPr="00C35EA1">
        <w:rPr>
          <w:i/>
          <w:color w:val="000000" w:themeColor="text1"/>
        </w:rPr>
        <w:t>_schreiben</w:t>
      </w:r>
      <w:r>
        <w:t xml:space="preserve">). Sie können daher als Ausschnitt oder vollständige Wiedergabe der Ausgabe bei einem Ablauf der Funktion </w:t>
      </w:r>
      <w:r w:rsidRPr="00C35EA1">
        <w:rPr>
          <w:i/>
        </w:rPr>
        <w:t>Interpretation</w:t>
      </w:r>
      <w:r w:rsidRPr="00963FEB">
        <w:t xml:space="preserve"> angesehen </w:t>
      </w:r>
      <w:r>
        <w:t>werden.</w:t>
      </w:r>
    </w:p>
    <w:p w:rsidR="00894C96" w:rsidRDefault="00894C96" w:rsidP="00894C96">
      <w:pPr>
        <w:pStyle w:val="Titel3"/>
      </w:pPr>
      <w:bookmarkStart w:id="360" w:name="_Ref254386965"/>
      <w:bookmarkStart w:id="361" w:name="_Toc325456788"/>
      <w:bookmarkStart w:id="362" w:name="Richard_Meier"/>
      <w:r>
        <w:t>Richard Meier</w:t>
      </w:r>
      <w:bookmarkEnd w:id="360"/>
      <w:bookmarkEnd w:id="361"/>
    </w:p>
    <w:p w:rsidR="008D5CA7" w:rsidRDefault="005D7996" w:rsidP="002B5662">
      <w:pPr>
        <w:pStyle w:val="Text"/>
        <w:ind w:firstLine="0"/>
      </w:pPr>
      <w:r>
        <w:fldChar w:fldCharType="begin"/>
      </w:r>
      <w:r w:rsidR="00473DE9">
        <w:instrText xml:space="preserve"> XE "</w:instrText>
      </w:r>
      <w:r w:rsidR="00473DE9" w:rsidRPr="00C35AF0">
        <w:instrText>Meier, Richard</w:instrText>
      </w:r>
      <w:r w:rsidR="00473DE9">
        <w:instrText xml:space="preserve">" \r "Richard_Meier" </w:instrText>
      </w:r>
      <w:r>
        <w:fldChar w:fldCharType="end"/>
      </w:r>
      <w:r w:rsidR="000961E9">
        <w:rPr>
          <w:bCs/>
        </w:rPr>
        <w:t xml:space="preserve">Als erstes Beispiel </w:t>
      </w:r>
      <w:r w:rsidR="00835FFE">
        <w:rPr>
          <w:bCs/>
        </w:rPr>
        <w:t xml:space="preserve">wird eine vom </w:t>
      </w:r>
      <w:r w:rsidR="0022760C">
        <w:rPr>
          <w:bCs/>
        </w:rPr>
        <w:t xml:space="preserve">Verfasser </w:t>
      </w:r>
      <w:r w:rsidR="00835FFE">
        <w:rPr>
          <w:bCs/>
        </w:rPr>
        <w:t xml:space="preserve">selbst erstellte Stilinterpretation des </w:t>
      </w:r>
      <w:r w:rsidR="00D20DFB">
        <w:rPr>
          <w:bCs/>
        </w:rPr>
        <w:t xml:space="preserve">Architekten Richard Meier </w:t>
      </w:r>
      <w:r w:rsidR="00835FFE">
        <w:rPr>
          <w:bCs/>
        </w:rPr>
        <w:t xml:space="preserve">(genauer einiger seiner Gebäude aus den </w:t>
      </w:r>
      <w:r w:rsidR="00B42F1E">
        <w:rPr>
          <w:bCs/>
        </w:rPr>
        <w:t>1970er und 19</w:t>
      </w:r>
      <w:r w:rsidR="00E936FF">
        <w:rPr>
          <w:bCs/>
        </w:rPr>
        <w:t>80er Jahre</w:t>
      </w:r>
      <w:r w:rsidR="00835FFE">
        <w:rPr>
          <w:bCs/>
        </w:rPr>
        <w:t>n) nachvollzogen.</w:t>
      </w:r>
      <w:r w:rsidR="000961E9">
        <w:rPr>
          <w:bCs/>
        </w:rPr>
        <w:t xml:space="preserve"> In einem ersten Teil werden dabei anhand des </w:t>
      </w:r>
      <w:r w:rsidR="000961E9">
        <w:rPr>
          <w:bCs/>
        </w:rPr>
        <w:lastRenderedPageBreak/>
        <w:t>„Atheneum</w:t>
      </w:r>
      <w:r>
        <w:fldChar w:fldCharType="begin"/>
      </w:r>
      <w:r w:rsidR="0000562A">
        <w:instrText xml:space="preserve"> XE "Atheneum (Richard Meier)" </w:instrText>
      </w:r>
      <w:r>
        <w:fldChar w:fldCharType="end"/>
      </w:r>
      <w:r w:rsidR="000961E9">
        <w:rPr>
          <w:bCs/>
        </w:rPr>
        <w:t xml:space="preserve">“ (1975–1979) </w:t>
      </w:r>
      <w:r w:rsidR="006036DA">
        <w:rPr>
          <w:bCs/>
        </w:rPr>
        <w:t xml:space="preserve">(vgl. Abb. </w:t>
      </w:r>
      <w:r w:rsidR="0023257B">
        <w:rPr>
          <w:bCs/>
        </w:rPr>
        <w:t>3</w:t>
      </w:r>
      <w:r w:rsidR="006036DA">
        <w:rPr>
          <w:bCs/>
        </w:rPr>
        <w:t>)</w:t>
      </w:r>
      <w:r w:rsidR="006036DA">
        <w:rPr>
          <w:rStyle w:val="Funotenzeichen"/>
          <w:bCs/>
        </w:rPr>
        <w:footnoteReference w:id="456"/>
      </w:r>
      <w:r w:rsidR="006036DA">
        <w:rPr>
          <w:bCs/>
        </w:rPr>
        <w:t xml:space="preserve"> </w:t>
      </w:r>
      <w:r w:rsidR="000961E9">
        <w:rPr>
          <w:bCs/>
        </w:rPr>
        <w:t xml:space="preserve">Beobachtungen zu den verwendeten Bauformen und </w:t>
      </w:r>
      <w:r w:rsidR="00F548CB">
        <w:rPr>
          <w:bCs/>
        </w:rPr>
        <w:t xml:space="preserve">den entstehenden Eindrücken und Gefühlen </w:t>
      </w:r>
      <w:r w:rsidR="000961E9">
        <w:rPr>
          <w:bCs/>
        </w:rPr>
        <w:t>gemacht.</w:t>
      </w:r>
    </w:p>
    <w:p w:rsidR="000961E9" w:rsidRDefault="005D7996" w:rsidP="000961E9">
      <w:pPr>
        <w:pStyle w:val="ZitatAbsto"/>
      </w:pPr>
      <w:r>
        <w:rPr>
          <w:noProof/>
        </w:rPr>
        <w:pict>
          <v:shape id="_x0000_s1576115" type="#_x0000_t202" style="position:absolute;left:0;text-align:left;margin-left:-.05pt;margin-top:149.9pt;width:207.75pt;height:29.1pt;z-index:251828736" wrapcoords="-61 0 -61 20903 21600 20903 21600 0 -61 0" stroked="f">
            <v:textbox style="mso-next-textbox:#_x0000_s1576115" inset="0,1.5mm,0,0">
              <w:txbxContent>
                <w:p w:rsidR="00CC3558" w:rsidRPr="00DD75B7" w:rsidRDefault="00CC3558" w:rsidP="00215D0B">
                  <w:pPr>
                    <w:pStyle w:val="Beschriftung"/>
                    <w:spacing w:before="60"/>
                    <w:ind w:left="680" w:hanging="680"/>
                    <w:jc w:val="left"/>
                    <w:rPr>
                      <w:noProof/>
                      <w:color w:val="000000"/>
                      <w:lang w:val="en-US"/>
                    </w:rPr>
                  </w:pPr>
                  <w:bookmarkStart w:id="363" w:name="_Toc323036038"/>
                  <w:r w:rsidRPr="00DD75B7">
                    <w:rPr>
                      <w:b/>
                      <w:lang w:val="en-US"/>
                    </w:rPr>
                    <w:t>Abb. 3</w:t>
                  </w:r>
                  <w:r w:rsidRPr="00DD75B7">
                    <w:rPr>
                      <w:lang w:val="en-US"/>
                    </w:rPr>
                    <w:tab/>
                    <w:t>Atheneum</w:t>
                  </w:r>
                  <w:r w:rsidR="005D7996">
                    <w:fldChar w:fldCharType="begin"/>
                  </w:r>
                  <w:r w:rsidRPr="00DD75B7">
                    <w:rPr>
                      <w:lang w:val="en-US"/>
                    </w:rPr>
                    <w:instrText xml:space="preserve"> XE "Atheneum (Richard Meier):</w:instrText>
                  </w:r>
                  <w:r w:rsidRPr="00DD75B7">
                    <w:rPr>
                      <w:i/>
                      <w:lang w:val="en-US"/>
                    </w:rPr>
                    <w:instrText>Abbildung</w:instrText>
                  </w:r>
                  <w:r w:rsidRPr="00DD75B7">
                    <w:rPr>
                      <w:lang w:val="en-US"/>
                    </w:rPr>
                    <w:instrText xml:space="preserve">" </w:instrText>
                  </w:r>
                  <w:r w:rsidR="005D7996">
                    <w:fldChar w:fldCharType="end"/>
                  </w:r>
                  <w:r w:rsidRPr="00DD75B7">
                    <w:rPr>
                      <w:lang w:val="en-US"/>
                    </w:rPr>
                    <w:t>, New Harmony, IN, USA</w:t>
                  </w:r>
                  <w:r>
                    <w:rPr>
                      <w:lang w:val="en-US"/>
                    </w:rPr>
                    <w:br/>
                  </w:r>
                  <w:r w:rsidRPr="00DD75B7">
                    <w:rPr>
                      <w:lang w:val="en-US"/>
                    </w:rPr>
                    <w:t>(1975–1979)</w:t>
                  </w:r>
                  <w:bookmarkEnd w:id="363"/>
                </w:p>
              </w:txbxContent>
            </v:textbox>
            <w10:wrap type="square"/>
          </v:shape>
        </w:pict>
      </w:r>
      <w:r w:rsidR="00215D0B">
        <w:rPr>
          <w:noProof/>
        </w:rPr>
        <w:drawing>
          <wp:anchor distT="0" distB="0" distL="114300" distR="114300" simplePos="0" relativeHeight="251846144" behindDoc="0" locked="0" layoutInCell="1" allowOverlap="1">
            <wp:simplePos x="0" y="0"/>
            <wp:positionH relativeFrom="column">
              <wp:posOffset>10160</wp:posOffset>
            </wp:positionH>
            <wp:positionV relativeFrom="paragraph">
              <wp:posOffset>125730</wp:posOffset>
            </wp:positionV>
            <wp:extent cx="2617470" cy="1864360"/>
            <wp:effectExtent l="19050" t="0" r="0" b="0"/>
            <wp:wrapSquare wrapText="bothSides"/>
            <wp:docPr id="3" name="Abbildung 3.jpg" descr="C:\Users\Martin\Docs\Uni\Diss\Abbildungen und weitere Materialien\Abbildu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3.jpg"/>
                    <pic:cNvPicPr/>
                  </pic:nvPicPr>
                  <pic:blipFill>
                    <a:blip r:embed="rId67" cstate="print"/>
                    <a:stretch>
                      <a:fillRect/>
                    </a:stretch>
                  </pic:blipFill>
                  <pic:spPr>
                    <a:xfrm>
                      <a:off x="0" y="0"/>
                      <a:ext cx="2617470" cy="1864360"/>
                    </a:xfrm>
                    <a:prstGeom prst="rect">
                      <a:avLst/>
                    </a:prstGeom>
                  </pic:spPr>
                </pic:pic>
              </a:graphicData>
            </a:graphic>
          </wp:anchor>
        </w:drawing>
      </w:r>
      <w:r w:rsidR="00F011F2">
        <w:t xml:space="preserve">Die </w:t>
      </w:r>
      <w:r w:rsidR="00D2631F">
        <w:t>Baukörper basieren größtenteils auf geometr</w:t>
      </w:r>
      <w:r w:rsidR="00D2631F">
        <w:t>i</w:t>
      </w:r>
      <w:r w:rsidR="00D2631F">
        <w:t>schen Grundformen (der r</w:t>
      </w:r>
      <w:r w:rsidR="00352D9F">
        <w:t>echt</w:t>
      </w:r>
      <w:r w:rsidR="00D2631F">
        <w:t xml:space="preserve">e auf einem </w:t>
      </w:r>
      <w:r w:rsidR="001A2E50">
        <w:t xml:space="preserve">Dreieck, </w:t>
      </w:r>
      <w:r w:rsidR="00D2631F">
        <w:t xml:space="preserve">der hintere </w:t>
      </w:r>
      <w:r w:rsidR="001A2E50">
        <w:t>auf einem Rechteck)</w:t>
      </w:r>
      <w:r w:rsidR="00D2631F">
        <w:t xml:space="preserve"> und wirken klar und streng, sie </w:t>
      </w:r>
      <w:r w:rsidR="00F011F2">
        <w:t xml:space="preserve">sind </w:t>
      </w:r>
      <w:r w:rsidR="00D2631F">
        <w:t xml:space="preserve">jedoch </w:t>
      </w:r>
      <w:r w:rsidR="00F011F2">
        <w:t xml:space="preserve">auf freie und </w:t>
      </w:r>
      <w:r w:rsidR="00F77DD5">
        <w:t>spielerische</w:t>
      </w:r>
      <w:r w:rsidR="00F011F2">
        <w:t xml:space="preserve"> Weise kombiniert (z.B. wir</w:t>
      </w:r>
      <w:r w:rsidR="001A2E50">
        <w:t>kt</w:t>
      </w:r>
      <w:r w:rsidR="00F011F2">
        <w:t xml:space="preserve"> die Ecklösung rechts durch das spitzwinklige Dreieck scharf</w:t>
      </w:r>
      <w:r w:rsidR="00831D41">
        <w:t xml:space="preserve"> und </w:t>
      </w:r>
      <w:r w:rsidR="00CA7B0A">
        <w:t>abwe</w:t>
      </w:r>
      <w:r w:rsidR="00CA7B0A">
        <w:t>h</w:t>
      </w:r>
      <w:r w:rsidR="00CA7B0A">
        <w:t>rend</w:t>
      </w:r>
      <w:r w:rsidR="00F011F2">
        <w:t>, während die Eckl</w:t>
      </w:r>
      <w:r w:rsidR="00F011F2">
        <w:t>ö</w:t>
      </w:r>
      <w:r w:rsidR="00F011F2">
        <w:t>sung links durch mehrere, teils noch abgerundete Rüc</w:t>
      </w:r>
      <w:r w:rsidR="00F011F2">
        <w:t>k</w:t>
      </w:r>
      <w:r w:rsidR="00F011F2">
        <w:t xml:space="preserve">sprünge </w:t>
      </w:r>
      <w:r w:rsidR="00F01B58">
        <w:t xml:space="preserve">weich und einladend wirkt </w:t>
      </w:r>
      <w:r w:rsidR="00F011F2">
        <w:t>und durch die vorgestellte Treppe zusät</w:t>
      </w:r>
      <w:r w:rsidR="00F011F2">
        <w:t>z</w:t>
      </w:r>
      <w:r w:rsidR="00F011F2">
        <w:t xml:space="preserve">lich </w:t>
      </w:r>
      <w:r w:rsidR="00F01B58">
        <w:t>geöffnet</w:t>
      </w:r>
      <w:r w:rsidR="00F011F2">
        <w:t xml:space="preserve"> wird).</w:t>
      </w:r>
    </w:p>
    <w:p w:rsidR="000251D9" w:rsidRDefault="00352D9F" w:rsidP="000961E9">
      <w:pPr>
        <w:pStyle w:val="ZitatAbstu"/>
      </w:pPr>
      <w:r>
        <w:t>Streng wirkt</w:t>
      </w:r>
      <w:r w:rsidR="00950E80">
        <w:t xml:space="preserve"> auch </w:t>
      </w:r>
      <w:r w:rsidR="002369BF">
        <w:t xml:space="preserve">die </w:t>
      </w:r>
      <w:r w:rsidR="00950E80">
        <w:t xml:space="preserve">Trennung zwischen geschlossenen (links </w:t>
      </w:r>
      <w:r w:rsidR="00D2631F">
        <w:t>hinten</w:t>
      </w:r>
      <w:r w:rsidR="00950E80">
        <w:t>) und offenen (rechts) Baukörpern sowie die Aufständerung aller drei Baukörper, die ein wichtiges Gestaltungsprinzip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950E80">
        <w:t xml:space="preserve"> aufnimmt. Dagegen ist der U</w:t>
      </w:r>
      <w:r w:rsidR="00950E80">
        <w:t>m</w:t>
      </w:r>
      <w:r w:rsidR="00950E80">
        <w:t xml:space="preserve">gang mit den Säulen frei und spielerisch: In der Mitte gibt es schmale weiße Säulen, </w:t>
      </w:r>
      <w:r w:rsidR="00537D29">
        <w:t>die zu schwach für den Baukörper erscheinen,</w:t>
      </w:r>
      <w:r w:rsidR="00950E80">
        <w:t xml:space="preserve"> der linke Baukörper steht auf massiven</w:t>
      </w:r>
      <w:r w:rsidR="00537D29">
        <w:t xml:space="preserve"> Stützen,</w:t>
      </w:r>
      <w:r w:rsidR="00950E80">
        <w:t xml:space="preserve"> der rechte ragt freischwebend nach vorne. Hier werden die strengen Formen und Gestaltungsprinzipien der </w:t>
      </w:r>
      <w:r w:rsidR="001A2E50">
        <w:t xml:space="preserve">Moderne </w:t>
      </w:r>
      <w:r w:rsidR="00950E80">
        <w:t>spiel</w:t>
      </w:r>
      <w:r w:rsidR="00950E80">
        <w:t>e</w:t>
      </w:r>
      <w:r w:rsidR="00950E80">
        <w:t xml:space="preserve">risch und gänzlich zweckfrei </w:t>
      </w:r>
      <w:r w:rsidR="004B2365">
        <w:t>kombiniert; das Gebäude erweist sich damit als postmodern.</w:t>
      </w:r>
      <w:r w:rsidR="002369BF">
        <w:t xml:space="preserve"> D</w:t>
      </w:r>
      <w:r w:rsidR="00537D29">
        <w:t xml:space="preserve">ie </w:t>
      </w:r>
      <w:r w:rsidR="001A2E50">
        <w:t>durch das Gebäude ausgelösten Gefühle</w:t>
      </w:r>
      <w:r w:rsidR="002369BF">
        <w:t xml:space="preserve"> sind widersprüc</w:t>
      </w:r>
      <w:r w:rsidR="002369BF">
        <w:t>h</w:t>
      </w:r>
      <w:r w:rsidR="002369BF">
        <w:t>lich</w:t>
      </w:r>
      <w:r w:rsidR="000430C5">
        <w:t>: Sie</w:t>
      </w:r>
      <w:r w:rsidR="001A2E50">
        <w:t xml:space="preserve"> schwanken </w:t>
      </w:r>
      <w:r w:rsidR="00537D29">
        <w:t xml:space="preserve">zwischen </w:t>
      </w:r>
      <w:r w:rsidR="00831D41">
        <w:t xml:space="preserve">Abstoßung und Anziehung, </w:t>
      </w:r>
      <w:r w:rsidR="00537D29">
        <w:t>je nachdem welcher Teil des Gebäudes betrachtet wird</w:t>
      </w:r>
      <w:r w:rsidR="00AC08C5">
        <w:t xml:space="preserve">. </w:t>
      </w:r>
      <w:r w:rsidR="000430C5">
        <w:t>Die</w:t>
      </w:r>
      <w:r w:rsidR="00855101">
        <w:t>s</w:t>
      </w:r>
      <w:r w:rsidR="000430C5">
        <w:t xml:space="preserve"> entspricht der </w:t>
      </w:r>
      <w:r w:rsidR="00AC08C5">
        <w:t>Weltsicht der Postm</w:t>
      </w:r>
      <w:r w:rsidR="00AC08C5">
        <w:t>o</w:t>
      </w:r>
      <w:r w:rsidR="00AC08C5">
        <w:t>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AC08C5">
        <w:t>, die Widersprüche in der Wahrnehmung und den Gefühlen der Me</w:t>
      </w:r>
      <w:r w:rsidR="00AC08C5">
        <w:t>n</w:t>
      </w:r>
      <w:r w:rsidR="00AC08C5">
        <w:t>schen betont.</w:t>
      </w:r>
    </w:p>
    <w:p w:rsidR="007D07F5" w:rsidRDefault="00651E1E" w:rsidP="002B5662">
      <w:pPr>
        <w:pStyle w:val="Text"/>
        <w:ind w:firstLine="0"/>
      </w:pPr>
      <w:r>
        <w:t xml:space="preserve">In diesem Teil der Interpretation geht es um das Gebäude „Atheneum“; in einem zweiten Teil wollen wir jedoch auch über weitere Gebäude Meiers Aussagen treffen (s. unten). Der Interpretationsprozess lässt nicht zu, dass wir innerhalb einer Interpretation die Realisierung wechseln, daher betrachten wir mehrere Gebäude Richard Meiers als untersuchte Realisierung, </w:t>
      </w:r>
      <w:r w:rsidR="00B10DE4">
        <w:t xml:space="preserve">wobei im ersten Teil auch Merkmalsregeln verwendet werden, die spezifisch für das </w:t>
      </w:r>
      <w:r>
        <w:t>„Atheneum“</w:t>
      </w:r>
      <w:r w:rsidR="00A434C3">
        <w:t xml:space="preserve"> </w:t>
      </w:r>
      <w:r w:rsidR="00B10DE4">
        <w:t>sind</w:t>
      </w:r>
      <w:r>
        <w:t>.</w:t>
      </w:r>
    </w:p>
    <w:p w:rsidR="00AE3078" w:rsidRPr="001D1C54" w:rsidRDefault="00AE3078" w:rsidP="00486FCD">
      <w:pPr>
        <w:pStyle w:val="Interpretation1Zeile"/>
        <w:keepNext/>
      </w:pPr>
      <w:r>
        <w:lastRenderedPageBreak/>
        <w:t>Artefaktschema ‚Gebäude‘</w:t>
      </w:r>
    </w:p>
    <w:p w:rsidR="00F011F2" w:rsidRDefault="00F71F18" w:rsidP="00E97F88">
      <w:pPr>
        <w:pStyle w:val="Interpretation"/>
      </w:pPr>
      <w:r>
        <w:rPr>
          <w:i/>
        </w:rPr>
        <w:t>U</w:t>
      </w:r>
      <w:r>
        <w:t>(</w:t>
      </w:r>
      <w:r w:rsidR="00D2554C">
        <w:rPr>
          <w:i/>
        </w:rPr>
        <w:t>B</w:t>
      </w:r>
      <w:r w:rsidR="00D2554C">
        <w:rPr>
          <w:vertAlign w:val="subscript"/>
        </w:rPr>
        <w:t>1</w:t>
      </w:r>
      <w:r>
        <w:t>): ‚</w:t>
      </w:r>
      <w:r w:rsidR="00D2554C">
        <w:t>Form der Baukörper</w:t>
      </w:r>
      <w:r>
        <w:t>‘</w:t>
      </w:r>
      <w:r w:rsidR="00D2554C">
        <w:t>,</w:t>
      </w:r>
      <w:r>
        <w:t xml:space="preserve"> </w:t>
      </w:r>
      <w:r>
        <w:rPr>
          <w:i/>
        </w:rPr>
        <w:t>V</w:t>
      </w:r>
      <w:r>
        <w:t>(</w:t>
      </w:r>
      <w:r>
        <w:rPr>
          <w:i/>
        </w:rPr>
        <w:t>B</w:t>
      </w:r>
      <w:r>
        <w:rPr>
          <w:vertAlign w:val="subscript"/>
        </w:rPr>
        <w:t>1</w:t>
      </w:r>
      <w:r w:rsidR="00180AC3">
        <w:t>): ‚</w:t>
      </w:r>
      <w:r w:rsidR="00D2631F">
        <w:t>geometrisch</w:t>
      </w:r>
      <w:r w:rsidR="002369BF">
        <w:t>e</w:t>
      </w:r>
      <w:r w:rsidR="00D2631F">
        <w:t xml:space="preserve"> </w:t>
      </w:r>
      <w:r w:rsidR="00831AA6">
        <w:t>Formen</w:t>
      </w:r>
      <w:r w:rsidR="002369BF">
        <w:t>; streng; klar</w:t>
      </w:r>
      <w:r>
        <w:t>‘</w:t>
      </w:r>
      <w:r w:rsidR="00F011F2">
        <w:t xml:space="preserve">, </w:t>
      </w:r>
      <w:r w:rsidR="00F011F2">
        <w:rPr>
          <w:i/>
        </w:rPr>
        <w:t>w</w:t>
      </w:r>
      <w:r w:rsidR="00F011F2">
        <w:t>(</w:t>
      </w:r>
      <w:r w:rsidR="00F011F2">
        <w:rPr>
          <w:i/>
        </w:rPr>
        <w:t>B</w:t>
      </w:r>
      <w:r w:rsidR="00F011F2">
        <w:rPr>
          <w:vertAlign w:val="subscript"/>
        </w:rPr>
        <w:t>1</w:t>
      </w:r>
      <w:r w:rsidR="00F011F2">
        <w:t>): 0,66</w:t>
      </w:r>
    </w:p>
    <w:p w:rsidR="00D2554C" w:rsidRDefault="003A3A6A" w:rsidP="00E97F88">
      <w:pPr>
        <w:pStyle w:val="Interpretation"/>
      </w:pPr>
      <w:r>
        <w:rPr>
          <w:i/>
        </w:rPr>
        <w:t>U</w:t>
      </w:r>
      <w:r>
        <w:t>(</w:t>
      </w:r>
      <w:r>
        <w:rPr>
          <w:i/>
        </w:rPr>
        <w:t>B</w:t>
      </w:r>
      <w:r>
        <w:rPr>
          <w:vertAlign w:val="subscript"/>
        </w:rPr>
        <w:t>2</w:t>
      </w:r>
      <w:r>
        <w:t>): ‚Kombination der Baukörper‘</w:t>
      </w:r>
      <w:r w:rsidR="00D2554C">
        <w:t>,</w:t>
      </w:r>
      <w:r>
        <w:t xml:space="preserve"> </w:t>
      </w:r>
      <w:r>
        <w:rPr>
          <w:i/>
        </w:rPr>
        <w:t>V</w:t>
      </w:r>
      <w:r>
        <w:t>(</w:t>
      </w:r>
      <w:r>
        <w:rPr>
          <w:i/>
        </w:rPr>
        <w:t>B</w:t>
      </w:r>
      <w:r>
        <w:rPr>
          <w:vertAlign w:val="subscript"/>
        </w:rPr>
        <w:t>2</w:t>
      </w:r>
      <w:r>
        <w:t>): ‚</w:t>
      </w:r>
      <w:r w:rsidR="00180AC3">
        <w:t>spielerisch;</w:t>
      </w:r>
      <w:r w:rsidR="00066F86">
        <w:t xml:space="preserve"> </w:t>
      </w:r>
      <w:r>
        <w:t>frei‘</w:t>
      </w:r>
    </w:p>
    <w:p w:rsidR="00CE6AF3" w:rsidRDefault="00CE6AF3" w:rsidP="00E97F88">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Ded</w:t>
      </w:r>
      <w:r w:rsidR="00FA5785">
        <w:t xml:space="preserve">  </w:t>
      </w:r>
      <w:r>
        <w:rPr>
          <w:i/>
          <w:iCs/>
        </w:rPr>
        <w:t>Er</w:t>
      </w:r>
      <w:r>
        <w:rPr>
          <w:vertAlign w:val="subscript"/>
        </w:rPr>
        <w:t>1</w:t>
      </w:r>
      <w:r>
        <w:t>,</w:t>
      </w:r>
      <w:r w:rsidRPr="003A3A6A">
        <w:rPr>
          <w:i/>
          <w:iCs/>
        </w:rPr>
        <w:t xml:space="preserve"> </w:t>
      </w:r>
      <w:r>
        <w:rPr>
          <w:i/>
          <w:iCs/>
        </w:rPr>
        <w:t>Er</w:t>
      </w:r>
      <w:r>
        <w:rPr>
          <w:vertAlign w:val="subscript"/>
        </w:rPr>
        <w:t>2</w:t>
      </w:r>
    </w:p>
    <w:p w:rsidR="00CE6AF3" w:rsidRDefault="00CE6AF3" w:rsidP="00E97F88">
      <w:pPr>
        <w:pStyle w:val="Interpretation"/>
      </w:pPr>
      <w:r>
        <w:rPr>
          <w:i/>
        </w:rPr>
        <w:t>Er</w:t>
      </w:r>
      <w:r>
        <w:rPr>
          <w:vertAlign w:val="subscript"/>
        </w:rPr>
        <w:t>1</w:t>
      </w:r>
      <w:r>
        <w:t xml:space="preserve">: ‚Spielerische, freie Kombination </w:t>
      </w:r>
      <w:r w:rsidR="002369BF">
        <w:t xml:space="preserve">strenger, klarer </w:t>
      </w:r>
      <w:r w:rsidR="00D2631F">
        <w:t>geometrisch</w:t>
      </w:r>
      <w:r w:rsidR="002369BF">
        <w:t>er</w:t>
      </w:r>
      <w:r w:rsidR="00D2631F">
        <w:t xml:space="preserve"> </w:t>
      </w:r>
      <w:r>
        <w:t>Formen‘</w:t>
      </w:r>
    </w:p>
    <w:p w:rsidR="003A3A6A" w:rsidRDefault="003A3A6A" w:rsidP="00E97F88">
      <w:pPr>
        <w:pStyle w:val="Interpretation"/>
      </w:pPr>
      <w:r>
        <w:rPr>
          <w:i/>
        </w:rPr>
        <w:t>Er</w:t>
      </w:r>
      <w:r>
        <w:rPr>
          <w:vertAlign w:val="subscript"/>
        </w:rPr>
        <w:t>2</w:t>
      </w:r>
      <w:r>
        <w:t xml:space="preserve">: ‚Die Strenge </w:t>
      </w:r>
      <w:r w:rsidR="002369BF">
        <w:t xml:space="preserve">und Klarheit </w:t>
      </w:r>
      <w:r>
        <w:t xml:space="preserve">der Formen </w:t>
      </w:r>
      <w:r w:rsidR="00066F86">
        <w:t>steht im Gegensatz zum Spieler</w:t>
      </w:r>
      <w:r w:rsidR="00066F86">
        <w:t>i</w:t>
      </w:r>
      <w:r w:rsidR="00066F86">
        <w:t>schen, Freien</w:t>
      </w:r>
      <w:r>
        <w:t xml:space="preserve"> ihrer Kombination‘</w:t>
      </w:r>
    </w:p>
    <w:p w:rsidR="00D2554C" w:rsidRDefault="0059790D" w:rsidP="00E97F88">
      <w:pPr>
        <w:pStyle w:val="Interpretation"/>
      </w:pPr>
      <w:r>
        <w:rPr>
          <w:i/>
        </w:rPr>
        <w:t>U</w:t>
      </w:r>
      <w:r>
        <w:t>(</w:t>
      </w:r>
      <w:r>
        <w:rPr>
          <w:i/>
        </w:rPr>
        <w:t>B</w:t>
      </w:r>
      <w:r>
        <w:rPr>
          <w:vertAlign w:val="subscript"/>
        </w:rPr>
        <w:t>3</w:t>
      </w:r>
      <w:r>
        <w:t>): ‚</w:t>
      </w:r>
      <w:r w:rsidR="000858C2">
        <w:t>Ecklösung</w:t>
      </w:r>
      <w:r w:rsidR="000961E9">
        <w:t xml:space="preserve"> (beim „Atheneum</w:t>
      </w:r>
      <w:r w:rsidR="005D7996">
        <w:fldChar w:fldCharType="begin"/>
      </w:r>
      <w:r w:rsidR="0000562A">
        <w:instrText xml:space="preserve"> XE "Atheneum (Richard Meier)" </w:instrText>
      </w:r>
      <w:r w:rsidR="005D7996">
        <w:fldChar w:fldCharType="end"/>
      </w:r>
      <w:r w:rsidR="000961E9">
        <w:t>“)</w:t>
      </w:r>
      <w:r w:rsidR="000858C2">
        <w:t>‘</w:t>
      </w:r>
      <w:r w:rsidR="00D2554C">
        <w:t>,</w:t>
      </w:r>
      <w:r>
        <w:t xml:space="preserve"> </w:t>
      </w:r>
      <w:r>
        <w:rPr>
          <w:i/>
        </w:rPr>
        <w:t>V</w:t>
      </w:r>
      <w:r>
        <w:t>(</w:t>
      </w:r>
      <w:r>
        <w:rPr>
          <w:i/>
        </w:rPr>
        <w:t>B</w:t>
      </w:r>
      <w:r>
        <w:rPr>
          <w:vertAlign w:val="subscript"/>
        </w:rPr>
        <w:t>3</w:t>
      </w:r>
      <w:r>
        <w:t>): ‚</w:t>
      </w:r>
      <w:r w:rsidR="00817164">
        <w:t>[</w:t>
      </w:r>
      <w:r w:rsidR="006567E5">
        <w:t>h-rel</w:t>
      </w:r>
      <w:r w:rsidR="00817164">
        <w:t xml:space="preserve">] </w:t>
      </w:r>
      <w:r w:rsidR="00D2554C">
        <w:t>unterschiedliche Gesta</w:t>
      </w:r>
      <w:r w:rsidR="00D2554C">
        <w:t>l</w:t>
      </w:r>
      <w:r w:rsidR="00D2554C">
        <w:t>tung</w:t>
      </w:r>
      <w:r w:rsidR="00817164">
        <w:t xml:space="preserve"> (</w:t>
      </w:r>
      <w:r w:rsidR="001F4EC5">
        <w:t xml:space="preserve">rechts </w:t>
      </w:r>
      <w:r w:rsidR="00817164">
        <w:t>spitzwinklig</w:t>
      </w:r>
      <w:r w:rsidR="0096523B">
        <w:t xml:space="preserve">, </w:t>
      </w:r>
      <w:r w:rsidR="001F4EC5">
        <w:t xml:space="preserve">links </w:t>
      </w:r>
      <w:r w:rsidR="0096523B">
        <w:t>abgestuft</w:t>
      </w:r>
      <w:r w:rsidR="00817164">
        <w:t>)</w:t>
      </w:r>
      <w:r w:rsidR="000858C2">
        <w:t>‘</w:t>
      </w:r>
    </w:p>
    <w:p w:rsidR="00D2554C" w:rsidRDefault="0059790D" w:rsidP="00E97F88">
      <w:pPr>
        <w:pStyle w:val="Interpretation"/>
      </w:pPr>
      <w:r>
        <w:rPr>
          <w:i/>
        </w:rPr>
        <w:t>U</w:t>
      </w:r>
      <w:r>
        <w:t>(</w:t>
      </w:r>
      <w:r>
        <w:rPr>
          <w:i/>
        </w:rPr>
        <w:t>B</w:t>
      </w:r>
      <w:r>
        <w:rPr>
          <w:vertAlign w:val="subscript"/>
        </w:rPr>
        <w:t>4</w:t>
      </w:r>
      <w:r w:rsidR="001F4EC5">
        <w:t>): ‚Sockelzone</w:t>
      </w:r>
      <w:r w:rsidR="000961E9">
        <w:t xml:space="preserve"> (beim „Atheneum“)</w:t>
      </w:r>
      <w:r w:rsidR="001F4EC5">
        <w:t>‘</w:t>
      </w:r>
      <w:r w:rsidR="00D2554C">
        <w:t xml:space="preserve">, </w:t>
      </w:r>
      <w:r>
        <w:rPr>
          <w:i/>
        </w:rPr>
        <w:t>U</w:t>
      </w:r>
      <w:r>
        <w:t>(</w:t>
      </w:r>
      <w:r>
        <w:rPr>
          <w:i/>
        </w:rPr>
        <w:t>B</w:t>
      </w:r>
      <w:r>
        <w:rPr>
          <w:vertAlign w:val="subscript"/>
        </w:rPr>
        <w:t>4</w:t>
      </w:r>
      <w:r>
        <w:t>): ‚</w:t>
      </w:r>
      <w:r w:rsidR="001F4EC5">
        <w:t xml:space="preserve">stark ausgeprägt; </w:t>
      </w:r>
      <w:r w:rsidR="00817164">
        <w:t>[</w:t>
      </w:r>
      <w:r w:rsidR="006567E5">
        <w:t>h-rel</w:t>
      </w:r>
      <w:r w:rsidR="00817164">
        <w:t xml:space="preserve">] </w:t>
      </w:r>
      <w:r w:rsidR="00D2554C">
        <w:t>für jeden Baukörper unterschiedlich hoch</w:t>
      </w:r>
      <w:r>
        <w:t>‘</w:t>
      </w:r>
    </w:p>
    <w:p w:rsidR="0059790D" w:rsidRDefault="0059790D" w:rsidP="00E97F88">
      <w:pPr>
        <w:pStyle w:val="Formel"/>
      </w:pPr>
      <w:r>
        <w:rPr>
          <w:i/>
          <w:iCs/>
        </w:rPr>
        <w:t>B</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Edr</w:t>
      </w:r>
      <w:r w:rsidR="00FA5785">
        <w:t xml:space="preserve">  </w:t>
      </w:r>
      <w:r>
        <w:rPr>
          <w:i/>
          <w:iCs/>
        </w:rPr>
        <w:t>Er</w:t>
      </w:r>
      <w:r>
        <w:rPr>
          <w:vertAlign w:val="subscript"/>
        </w:rPr>
        <w:t>3</w:t>
      </w:r>
    </w:p>
    <w:p w:rsidR="00D2554C" w:rsidRDefault="0059790D" w:rsidP="00E97F88">
      <w:pPr>
        <w:pStyle w:val="Interpretation"/>
      </w:pPr>
      <w:r>
        <w:rPr>
          <w:i/>
        </w:rPr>
        <w:t>Er</w:t>
      </w:r>
      <w:r>
        <w:rPr>
          <w:vertAlign w:val="subscript"/>
        </w:rPr>
        <w:t>3</w:t>
      </w:r>
      <w:r w:rsidR="00B43180">
        <w:t xml:space="preserve"> (e):</w:t>
      </w:r>
      <w:r>
        <w:t xml:space="preserve"> ‚Die Unterschiede bei Ecklösungen und Sockelzonen der Baukörper erscheinen </w:t>
      </w:r>
      <w:r w:rsidR="00D2554C">
        <w:t>nicht begr</w:t>
      </w:r>
      <w:r>
        <w:t>ündbar, irrational und spielerisch‘</w:t>
      </w:r>
    </w:p>
    <w:p w:rsidR="00D2554C" w:rsidRDefault="00D2554C" w:rsidP="00E97F88">
      <w:pPr>
        <w:pStyle w:val="Interpretation"/>
      </w:pPr>
      <w:r>
        <w:rPr>
          <w:i/>
        </w:rPr>
        <w:t>H</w:t>
      </w:r>
      <w:r>
        <w:rPr>
          <w:vertAlign w:val="subscript"/>
        </w:rPr>
        <w:t>1</w:t>
      </w:r>
      <w:r w:rsidR="0059790D">
        <w:t xml:space="preserve">: ‚Eigenschaften </w:t>
      </w:r>
      <w:r w:rsidR="00CA7B0A">
        <w:t xml:space="preserve">der Gestaltung </w:t>
      </w:r>
      <w:r w:rsidR="0059790D">
        <w:t xml:space="preserve">postmoderner Kunstwerke sind: </w:t>
      </w:r>
      <w:r>
        <w:t>…, nicht begründbar, irrational, spielerisch, …</w:t>
      </w:r>
      <w:r w:rsidR="0059790D">
        <w:t>‘</w:t>
      </w:r>
    </w:p>
    <w:p w:rsidR="00CE6AF3" w:rsidRDefault="00CE6AF3" w:rsidP="00E97F88">
      <w:pPr>
        <w:pStyle w:val="Formel"/>
      </w:pPr>
      <w:r>
        <w:rPr>
          <w:i/>
          <w:iCs/>
        </w:rPr>
        <w:t>Er</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BB7454">
        <w:rPr>
          <w:vertAlign w:val="subscript"/>
        </w:rPr>
        <w:t>Ded</w:t>
      </w:r>
      <w:r w:rsidR="00FA5785">
        <w:t xml:space="preserve">  </w:t>
      </w:r>
      <w:r>
        <w:rPr>
          <w:i/>
          <w:iCs/>
        </w:rPr>
        <w:t>Er</w:t>
      </w:r>
      <w:r>
        <w:rPr>
          <w:vertAlign w:val="subscript"/>
        </w:rPr>
        <w:t>4</w:t>
      </w:r>
    </w:p>
    <w:p w:rsidR="00D2554C" w:rsidRDefault="0059790D" w:rsidP="00E97F88">
      <w:pPr>
        <w:pStyle w:val="Interpretation"/>
      </w:pPr>
      <w:r>
        <w:rPr>
          <w:i/>
        </w:rPr>
        <w:t>Er</w:t>
      </w:r>
      <w:r>
        <w:rPr>
          <w:vertAlign w:val="subscript"/>
        </w:rPr>
        <w:t>4</w:t>
      </w:r>
      <w:r>
        <w:t>: ‚Das Gebäude ist postmodern‘</w:t>
      </w:r>
    </w:p>
    <w:p w:rsidR="004B2365" w:rsidRDefault="00606AF6" w:rsidP="00613AA2">
      <w:pPr>
        <w:pStyle w:val="Formel"/>
      </w:pPr>
      <w:r>
        <w:rPr>
          <w:i/>
        </w:rPr>
        <w:t>B</w:t>
      </w:r>
      <w:r w:rsidR="004B2365">
        <w:rPr>
          <w:vertAlign w:val="subscript"/>
        </w:rPr>
        <w:t>3</w:t>
      </w:r>
      <w:r w:rsidR="004B2365">
        <w:t xml:space="preserve"> </w:t>
      </w:r>
      <w:r w:rsidR="002434D2">
        <w:rPr>
          <w:rFonts w:ascii="Cambria Math" w:eastAsia="Arial Unicode MS" w:hAnsi="Cambria Math" w:cs="Cambria Math"/>
          <w:color w:val="000000" w:themeColor="text1"/>
        </w:rPr>
        <w:t>⤳</w:t>
      </w:r>
      <w:r>
        <w:rPr>
          <w:vertAlign w:val="subscript"/>
        </w:rPr>
        <w:t>Edr</w:t>
      </w:r>
      <w:r w:rsidR="004B2365">
        <w:t xml:space="preserve">  </w:t>
      </w:r>
      <w:r w:rsidR="004B2365">
        <w:rPr>
          <w:i/>
        </w:rPr>
        <w:t>Er</w:t>
      </w:r>
      <w:r w:rsidR="004B2365">
        <w:rPr>
          <w:vertAlign w:val="subscript"/>
        </w:rPr>
        <w:t>5</w:t>
      </w:r>
    </w:p>
    <w:p w:rsidR="004B2365" w:rsidRDefault="004B2365" w:rsidP="00E97F88">
      <w:pPr>
        <w:pStyle w:val="Interpretation"/>
      </w:pPr>
      <w:r>
        <w:rPr>
          <w:i/>
        </w:rPr>
        <w:t>Er</w:t>
      </w:r>
      <w:r>
        <w:rPr>
          <w:vertAlign w:val="subscript"/>
        </w:rPr>
        <w:t>5</w:t>
      </w:r>
      <w:r w:rsidR="008C597B">
        <w:t xml:space="preserve"> (e)</w:t>
      </w:r>
      <w:r>
        <w:t xml:space="preserve">: ‚Die </w:t>
      </w:r>
      <w:r w:rsidR="00606AF6">
        <w:t xml:space="preserve">Ecklösung rechts </w:t>
      </w:r>
      <w:r w:rsidR="00537D29">
        <w:t>wirkt scharf</w:t>
      </w:r>
      <w:r w:rsidR="00606AF6">
        <w:t xml:space="preserve"> und abwehrend</w:t>
      </w:r>
      <w:r w:rsidR="0023220E">
        <w:t>‘</w:t>
      </w:r>
    </w:p>
    <w:p w:rsidR="00606AF6" w:rsidRDefault="00606AF6" w:rsidP="00E97F88">
      <w:pPr>
        <w:pStyle w:val="Formel"/>
      </w:pPr>
      <w:r>
        <w:rPr>
          <w:i/>
          <w:iCs/>
        </w:rPr>
        <w:t>Er</w:t>
      </w:r>
      <w:r>
        <w:rPr>
          <w:iCs/>
          <w:vertAlign w:val="subscript"/>
        </w:rPr>
        <w:t>5</w:t>
      </w:r>
      <w:r>
        <w:t xml:space="preserve"> </w:t>
      </w:r>
      <w:r w:rsidR="002434D2">
        <w:rPr>
          <w:rFonts w:ascii="Cambria Math" w:eastAsia="Arial Unicode MS" w:hAnsi="Cambria Math" w:cs="Cambria Math"/>
          <w:color w:val="000000" w:themeColor="text1"/>
        </w:rPr>
        <w:t>⤳</w:t>
      </w:r>
      <w:r>
        <w:rPr>
          <w:vertAlign w:val="subscript"/>
        </w:rPr>
        <w:t>G</w:t>
      </w:r>
      <w:r w:rsidRPr="00606AF6">
        <w:rPr>
          <w:vertAlign w:val="subscript"/>
        </w:rPr>
        <w:t>fr</w:t>
      </w:r>
      <w:r>
        <w:t xml:space="preserve">  </w:t>
      </w:r>
      <w:r>
        <w:rPr>
          <w:i/>
          <w:iCs/>
        </w:rPr>
        <w:t>Er</w:t>
      </w:r>
      <w:r>
        <w:rPr>
          <w:vertAlign w:val="subscript"/>
        </w:rPr>
        <w:t>6</w:t>
      </w:r>
      <w:r>
        <w:rPr>
          <w:rFonts w:cs="Times New Roman"/>
        </w:rPr>
        <w:t xml:space="preserve">, </w:t>
      </w:r>
      <w:r>
        <w:rPr>
          <w:i/>
          <w:iCs/>
        </w:rPr>
        <w:t>Er</w:t>
      </w:r>
      <w:r>
        <w:rPr>
          <w:vertAlign w:val="subscript"/>
        </w:rPr>
        <w:t>7</w:t>
      </w:r>
    </w:p>
    <w:p w:rsidR="00606AF6" w:rsidRDefault="004B2365" w:rsidP="00E97F88">
      <w:pPr>
        <w:pStyle w:val="Interpretation"/>
      </w:pPr>
      <w:r>
        <w:rPr>
          <w:i/>
        </w:rPr>
        <w:t>Er</w:t>
      </w:r>
      <w:r>
        <w:rPr>
          <w:vertAlign w:val="subscript"/>
        </w:rPr>
        <w:t>6</w:t>
      </w:r>
      <w:r w:rsidR="008C597B">
        <w:t xml:space="preserve"> (</w:t>
      </w:r>
      <w:r w:rsidR="008C597B" w:rsidRPr="00126495">
        <w:t>g</w:t>
      </w:r>
      <w:r w:rsidR="008C597B">
        <w:t>):</w:t>
      </w:r>
      <w:r>
        <w:t xml:space="preserve"> ‚</w:t>
      </w:r>
      <w:r w:rsidR="00606AF6">
        <w:t xml:space="preserve">Angespanntheit, </w:t>
      </w:r>
      <w:r w:rsidR="00831D41">
        <w:t>Unsicherheitsgefühl</w:t>
      </w:r>
      <w:r w:rsidR="00606AF6">
        <w:t>‘</w:t>
      </w:r>
    </w:p>
    <w:p w:rsidR="004B2365" w:rsidRDefault="00606AF6" w:rsidP="00E97F88">
      <w:pPr>
        <w:pStyle w:val="Interpretation"/>
      </w:pPr>
      <w:r>
        <w:rPr>
          <w:i/>
        </w:rPr>
        <w:t>Er</w:t>
      </w:r>
      <w:r>
        <w:rPr>
          <w:vertAlign w:val="subscript"/>
        </w:rPr>
        <w:t>7</w:t>
      </w:r>
      <w:r w:rsidR="008C597B">
        <w:t xml:space="preserve"> (</w:t>
      </w:r>
      <w:r w:rsidR="008C597B" w:rsidRPr="00126495">
        <w:t>g</w:t>
      </w:r>
      <w:r w:rsidR="008C597B">
        <w:t>):</w:t>
      </w:r>
      <w:r w:rsidR="00723BFD">
        <w:t xml:space="preserve"> ‚Unlust (</w:t>
      </w:r>
      <w:r w:rsidR="00537D29">
        <w:t>das Gebäude zu betreten</w:t>
      </w:r>
      <w:r w:rsidR="00723BFD">
        <w:t>)</w:t>
      </w:r>
      <w:r>
        <w:t>‘</w:t>
      </w:r>
    </w:p>
    <w:p w:rsidR="00606AF6" w:rsidRDefault="00606AF6" w:rsidP="00E97F88">
      <w:pPr>
        <w:pStyle w:val="Formel"/>
      </w:pPr>
      <w:r>
        <w:rPr>
          <w:i/>
          <w:iCs/>
        </w:rPr>
        <w:t>B</w:t>
      </w:r>
      <w:r>
        <w:rPr>
          <w:iCs/>
          <w:vertAlign w:val="subscript"/>
        </w:rPr>
        <w:t>3</w:t>
      </w:r>
      <w:r w:rsidR="001F4EC5">
        <w:t xml:space="preserve"> </w:t>
      </w:r>
      <w:r w:rsidR="001F4EC5">
        <w:rPr>
          <w:rFonts w:ascii="Cambria Math" w:hAnsi="Cambria Math" w:cs="Cambria Math"/>
          <w:color w:val="000000" w:themeColor="text1"/>
        </w:rPr>
        <w:t>∧</w:t>
      </w:r>
      <w:r w:rsidR="001F4EC5">
        <w:rPr>
          <w:rFonts w:cs="Times New Roman"/>
          <w:color w:val="000000" w:themeColor="text1"/>
        </w:rPr>
        <w:t xml:space="preserve"> </w:t>
      </w:r>
      <w:r w:rsidR="001F4EC5">
        <w:rPr>
          <w:i/>
          <w:iCs/>
        </w:rPr>
        <w:t>B</w:t>
      </w:r>
      <w:r w:rsidR="001F4EC5">
        <w:rPr>
          <w:iCs/>
          <w:vertAlign w:val="subscript"/>
        </w:rPr>
        <w:t>4</w:t>
      </w:r>
      <w: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8</w:t>
      </w:r>
    </w:p>
    <w:p w:rsidR="00606AF6" w:rsidRDefault="00606AF6" w:rsidP="00E97F88">
      <w:pPr>
        <w:pStyle w:val="Interpretation"/>
      </w:pPr>
      <w:r>
        <w:rPr>
          <w:i/>
        </w:rPr>
        <w:t>Er</w:t>
      </w:r>
      <w:r w:rsidR="00537D29">
        <w:rPr>
          <w:vertAlign w:val="subscript"/>
        </w:rPr>
        <w:t>8</w:t>
      </w:r>
      <w:r w:rsidR="008C597B">
        <w:t xml:space="preserve"> (e):</w:t>
      </w:r>
      <w:r>
        <w:t xml:space="preserve"> ‚Die </w:t>
      </w:r>
      <w:r w:rsidR="001F4EC5">
        <w:t xml:space="preserve">abgestufte </w:t>
      </w:r>
      <w:r>
        <w:t xml:space="preserve">Ecklösung links </w:t>
      </w:r>
      <w:r w:rsidR="001F4EC5">
        <w:t>und die stark ausgeprägten Sockelzone</w:t>
      </w:r>
      <w:r w:rsidR="00A86132">
        <w:t>n</w:t>
      </w:r>
      <w:r w:rsidR="001F4EC5">
        <w:t xml:space="preserve"> wirken</w:t>
      </w:r>
      <w:r w:rsidR="00537D29">
        <w:t xml:space="preserve"> </w:t>
      </w:r>
      <w:r w:rsidR="00FA5938">
        <w:t>weich und einladend</w:t>
      </w:r>
      <w:r w:rsidR="001F4EC5">
        <w:t>‘</w:t>
      </w:r>
    </w:p>
    <w:p w:rsidR="00606AF6" w:rsidRDefault="00606AF6" w:rsidP="00E97F88">
      <w:pPr>
        <w:pStyle w:val="Formel"/>
      </w:pPr>
      <w:r>
        <w:rPr>
          <w:i/>
          <w:iCs/>
        </w:rPr>
        <w:t>Er</w:t>
      </w:r>
      <w:r w:rsidR="001F4EC5">
        <w:rPr>
          <w:iCs/>
          <w:vertAlign w:val="subscript"/>
        </w:rPr>
        <w:t>8</w:t>
      </w:r>
      <w:r>
        <w:t xml:space="preserve"> </w:t>
      </w:r>
      <w:r w:rsidR="002434D2">
        <w:rPr>
          <w:rFonts w:ascii="Cambria Math" w:eastAsia="Arial Unicode MS" w:hAnsi="Cambria Math" w:cs="Cambria Math"/>
          <w:color w:val="000000" w:themeColor="text1"/>
        </w:rPr>
        <w:t>⤳</w:t>
      </w:r>
      <w:r>
        <w:rPr>
          <w:vertAlign w:val="subscript"/>
        </w:rPr>
        <w:t>G</w:t>
      </w:r>
      <w:r w:rsidRPr="00606AF6">
        <w:rPr>
          <w:vertAlign w:val="subscript"/>
        </w:rPr>
        <w:t>fr</w:t>
      </w:r>
      <w:r>
        <w:t xml:space="preserve">  </w:t>
      </w:r>
      <w:r>
        <w:rPr>
          <w:i/>
          <w:iCs/>
        </w:rPr>
        <w:t>Er</w:t>
      </w:r>
      <w:r w:rsidR="00537D29">
        <w:rPr>
          <w:vertAlign w:val="subscript"/>
        </w:rPr>
        <w:t>9</w:t>
      </w:r>
      <w:r>
        <w:rPr>
          <w:rFonts w:cs="Times New Roman"/>
        </w:rPr>
        <w:t xml:space="preserve">, </w:t>
      </w:r>
      <w:r>
        <w:rPr>
          <w:i/>
          <w:iCs/>
        </w:rPr>
        <w:t>Er</w:t>
      </w:r>
      <w:r w:rsidR="00537D29">
        <w:rPr>
          <w:vertAlign w:val="subscript"/>
        </w:rPr>
        <w:t>10</w:t>
      </w:r>
    </w:p>
    <w:p w:rsidR="00606AF6" w:rsidRDefault="00606AF6" w:rsidP="00E97F88">
      <w:pPr>
        <w:pStyle w:val="Interpretation"/>
      </w:pPr>
      <w:r>
        <w:rPr>
          <w:i/>
        </w:rPr>
        <w:t>Er</w:t>
      </w:r>
      <w:r w:rsidR="00537D29">
        <w:rPr>
          <w:vertAlign w:val="subscript"/>
        </w:rPr>
        <w:t>9</w:t>
      </w:r>
      <w:r w:rsidR="008C597B">
        <w:t xml:space="preserve"> (</w:t>
      </w:r>
      <w:r w:rsidR="008C597B" w:rsidRPr="00126495">
        <w:t>g</w:t>
      </w:r>
      <w:r w:rsidR="008C597B">
        <w:t>):</w:t>
      </w:r>
      <w:r>
        <w:t xml:space="preserve"> ‚</w:t>
      </w:r>
      <w:r w:rsidR="00537D29">
        <w:t>Entspanntheit, Sicherheitsgefühl</w:t>
      </w:r>
      <w:r>
        <w:t>‘</w:t>
      </w:r>
    </w:p>
    <w:p w:rsidR="004B2365" w:rsidRDefault="00606AF6" w:rsidP="00E97F88">
      <w:pPr>
        <w:pStyle w:val="Interpretation"/>
      </w:pPr>
      <w:r>
        <w:rPr>
          <w:i/>
        </w:rPr>
        <w:t>Er</w:t>
      </w:r>
      <w:r w:rsidR="00537D29">
        <w:rPr>
          <w:vertAlign w:val="subscript"/>
        </w:rPr>
        <w:t>10</w:t>
      </w:r>
      <w:r w:rsidR="008C597B">
        <w:t xml:space="preserve"> (</w:t>
      </w:r>
      <w:r w:rsidR="008C597B" w:rsidRPr="00126495">
        <w:t>g</w:t>
      </w:r>
      <w:r w:rsidR="008C597B">
        <w:t>):</w:t>
      </w:r>
      <w:r>
        <w:t xml:space="preserve"> ‚</w:t>
      </w:r>
      <w:r w:rsidR="00537D29">
        <w:t>L</w:t>
      </w:r>
      <w:r w:rsidR="00723BFD">
        <w:t>ust (</w:t>
      </w:r>
      <w:r w:rsidR="00537D29">
        <w:t>das Gebäude zu betreten</w:t>
      </w:r>
      <w:r w:rsidR="00723BFD">
        <w:t>)</w:t>
      </w:r>
      <w:r>
        <w:t>‘</w:t>
      </w:r>
    </w:p>
    <w:p w:rsidR="000B1C1B" w:rsidRDefault="000B1C1B" w:rsidP="00E97F88">
      <w:pPr>
        <w:pStyle w:val="Formel"/>
      </w:pPr>
      <w:r>
        <w:rPr>
          <w:i/>
          <w:iCs/>
        </w:rPr>
        <w:t>Er</w:t>
      </w:r>
      <w:r>
        <w:rPr>
          <w:vertAlign w:val="subscript"/>
        </w:rPr>
        <w:t>5</w:t>
      </w:r>
      <w:r>
        <w:t xml:space="preserve"> </w:t>
      </w:r>
      <w:r>
        <w:rPr>
          <w:rFonts w:ascii="Cambria Math" w:hAnsi="Cambria Math" w:cs="Cambria Math"/>
          <w:color w:val="000000" w:themeColor="text1"/>
        </w:rPr>
        <w:t>∧</w:t>
      </w:r>
      <w:r>
        <w:t xml:space="preserve"> </w:t>
      </w:r>
      <w:r>
        <w:rPr>
          <w:i/>
          <w:iCs/>
        </w:rPr>
        <w:t>Er</w:t>
      </w:r>
      <w:r>
        <w:rPr>
          <w:vertAlign w:val="subscript"/>
        </w:rPr>
        <w:t>6</w:t>
      </w:r>
      <w:r>
        <w:t xml:space="preserve"> </w:t>
      </w:r>
      <w:r>
        <w:rPr>
          <w:rFonts w:ascii="Cambria Math" w:hAnsi="Cambria Math" w:cs="Cambria Math"/>
          <w:color w:val="000000" w:themeColor="text1"/>
        </w:rPr>
        <w:t>∧</w:t>
      </w:r>
      <w:r w:rsidRPr="00537D29">
        <w:rPr>
          <w:i/>
          <w:iCs/>
        </w:rPr>
        <w:t xml:space="preserve"> </w:t>
      </w:r>
      <w:r>
        <w:rPr>
          <w:i/>
          <w:iCs/>
        </w:rPr>
        <w:t>Er</w:t>
      </w:r>
      <w:r>
        <w:rPr>
          <w:vertAlign w:val="subscript"/>
        </w:rPr>
        <w:t>7</w:t>
      </w:r>
      <w:r>
        <w:t xml:space="preserve"> </w:t>
      </w:r>
      <w:r>
        <w:rPr>
          <w:rFonts w:ascii="Cambria Math" w:hAnsi="Cambria Math" w:cs="Cambria Math"/>
          <w:color w:val="000000" w:themeColor="text1"/>
        </w:rPr>
        <w:t>∧</w:t>
      </w:r>
      <w:r w:rsidRPr="00537D29">
        <w:rPr>
          <w:i/>
          <w:iCs/>
        </w:rPr>
        <w:t xml:space="preserve"> </w:t>
      </w:r>
      <w:r>
        <w:rPr>
          <w:i/>
          <w:iCs/>
        </w:rPr>
        <w:t>Er</w:t>
      </w:r>
      <w:r>
        <w:rPr>
          <w:vertAlign w:val="subscript"/>
        </w:rPr>
        <w:t>8</w:t>
      </w:r>
      <w:r>
        <w:t xml:space="preserve"> </w:t>
      </w:r>
      <w:r>
        <w:rPr>
          <w:rFonts w:ascii="Cambria Math" w:hAnsi="Cambria Math" w:cs="Cambria Math"/>
          <w:color w:val="000000" w:themeColor="text1"/>
        </w:rPr>
        <w:t>∧</w:t>
      </w:r>
      <w:r w:rsidRPr="00537D29">
        <w:rPr>
          <w:i/>
          <w:iCs/>
        </w:rPr>
        <w:t xml:space="preserve"> </w:t>
      </w:r>
      <w:r>
        <w:rPr>
          <w:i/>
          <w:iCs/>
        </w:rPr>
        <w:t>Er</w:t>
      </w:r>
      <w:r>
        <w:rPr>
          <w:vertAlign w:val="subscript"/>
        </w:rPr>
        <w:t>9</w:t>
      </w:r>
      <w:r>
        <w:t xml:space="preserve"> </w:t>
      </w:r>
      <w:r>
        <w:rPr>
          <w:rFonts w:ascii="Cambria Math" w:hAnsi="Cambria Math" w:cs="Cambria Math"/>
          <w:color w:val="000000" w:themeColor="text1"/>
        </w:rPr>
        <w:t>∧</w:t>
      </w:r>
      <w:r w:rsidRPr="00537D29">
        <w:rPr>
          <w:i/>
          <w:iCs/>
        </w:rPr>
        <w:t xml:space="preserve"> </w:t>
      </w:r>
      <w:r>
        <w:rPr>
          <w:i/>
          <w:iCs/>
        </w:rPr>
        <w:t>Er</w:t>
      </w:r>
      <w:r>
        <w:rPr>
          <w:vertAlign w:val="subscript"/>
        </w:rPr>
        <w:t>10</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11</w:t>
      </w:r>
    </w:p>
    <w:p w:rsidR="000B1C1B" w:rsidRDefault="000B1C1B" w:rsidP="00E97F88">
      <w:pPr>
        <w:pStyle w:val="Interpretation"/>
      </w:pPr>
      <w:r>
        <w:rPr>
          <w:i/>
        </w:rPr>
        <w:lastRenderedPageBreak/>
        <w:t>Er</w:t>
      </w:r>
      <w:r>
        <w:rPr>
          <w:vertAlign w:val="subscript"/>
        </w:rPr>
        <w:t>11</w:t>
      </w:r>
      <w:r>
        <w:t>: ‚Das Gebäude löst beim Betrachter widersprüchliche Eindrücke und Gefü</w:t>
      </w:r>
      <w:r>
        <w:t>h</w:t>
      </w:r>
      <w:r>
        <w:t>le hervor‘</w:t>
      </w:r>
    </w:p>
    <w:p w:rsidR="00EE0A89" w:rsidRDefault="00EE0A89" w:rsidP="00E97F88">
      <w:pPr>
        <w:pStyle w:val="Interpretation"/>
      </w:pPr>
      <w:r>
        <w:rPr>
          <w:i/>
        </w:rPr>
        <w:t>H</w:t>
      </w:r>
      <w:r>
        <w:rPr>
          <w:vertAlign w:val="subscript"/>
        </w:rPr>
        <w:t>2</w:t>
      </w:r>
      <w:r>
        <w:t>: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betont die Heterogenität des Erlebens und Fühlens der Menschen, die zu Widersprüchen führ</w:t>
      </w:r>
      <w:r w:rsidR="000B1C1B">
        <w:t>t. Ihr sind daher Widersprüche bei Ei</w:t>
      </w:r>
      <w:r w:rsidR="000B1C1B">
        <w:t>n</w:t>
      </w:r>
      <w:r w:rsidR="000B1C1B">
        <w:t>drücken und Gefühlen</w:t>
      </w:r>
      <w:r>
        <w:t xml:space="preserve"> wichtig‘</w:t>
      </w:r>
    </w:p>
    <w:p w:rsidR="00537D29" w:rsidRDefault="00537D29" w:rsidP="00E97F88">
      <w:pPr>
        <w:pStyle w:val="Formel"/>
      </w:pPr>
      <w:r>
        <w:rPr>
          <w:i/>
          <w:iCs/>
        </w:rPr>
        <w:t>Er</w:t>
      </w:r>
      <w:r w:rsidR="000B1C1B">
        <w:rPr>
          <w:vertAlign w:val="subscript"/>
        </w:rPr>
        <w:t>11</w:t>
      </w:r>
      <w:r>
        <w:t xml:space="preserve"> </w:t>
      </w:r>
      <w:r w:rsidR="00EE0A89">
        <w:rPr>
          <w:rFonts w:ascii="Cambria Math" w:hAnsi="Cambria Math" w:cs="Cambria Math"/>
          <w:color w:val="000000" w:themeColor="text1"/>
        </w:rPr>
        <w:t>∧</w:t>
      </w:r>
      <w:r w:rsidR="00EE0A89" w:rsidRPr="00537D29">
        <w:rPr>
          <w:i/>
          <w:iCs/>
        </w:rPr>
        <w:t xml:space="preserve"> </w:t>
      </w:r>
      <w:r w:rsidR="00EE0A89">
        <w:rPr>
          <w:i/>
          <w:iCs/>
        </w:rPr>
        <w:t>H</w:t>
      </w:r>
      <w:r w:rsidR="00EE0A89">
        <w:rPr>
          <w:vertAlign w:val="subscript"/>
        </w:rPr>
        <w:t>2</w:t>
      </w:r>
      <w:r w:rsidR="00EE0A89">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00EE0A89">
        <w:rPr>
          <w:vertAlign w:val="subscript"/>
        </w:rPr>
        <w:t>4</w:t>
      </w:r>
    </w:p>
    <w:p w:rsidR="00606AF6" w:rsidRDefault="00537D29" w:rsidP="002B5662">
      <w:pPr>
        <w:pStyle w:val="InterpretationletzteZeile"/>
      </w:pPr>
      <w:r>
        <w:rPr>
          <w:i/>
        </w:rPr>
        <w:t>Er</w:t>
      </w:r>
      <w:r w:rsidR="00EE0A89">
        <w:rPr>
          <w:vertAlign w:val="subscript"/>
        </w:rPr>
        <w:t>4</w:t>
      </w:r>
      <w:r>
        <w:t>: ‚</w:t>
      </w:r>
      <w:r w:rsidR="00EE0A89">
        <w:t xml:space="preserve">Das Gebäude </w:t>
      </w:r>
      <w:r w:rsidR="000961E9">
        <w:t>„Atheneum</w:t>
      </w:r>
      <w:r w:rsidR="005D7996">
        <w:fldChar w:fldCharType="begin"/>
      </w:r>
      <w:r w:rsidR="0000562A">
        <w:instrText xml:space="preserve"> XE "Atheneum (Richard Meier)" </w:instrText>
      </w:r>
      <w:r w:rsidR="005D7996">
        <w:fldChar w:fldCharType="end"/>
      </w:r>
      <w:r w:rsidR="000961E9">
        <w:t xml:space="preserve">“ </w:t>
      </w:r>
      <w:r w:rsidR="00EE0A89">
        <w:t>ist postmodern‘</w:t>
      </w:r>
    </w:p>
    <w:p w:rsidR="00EE0A89" w:rsidRDefault="00B42F1E" w:rsidP="00E97F88">
      <w:pPr>
        <w:pStyle w:val="Text"/>
        <w:ind w:firstLine="0"/>
      </w:pPr>
      <w:r>
        <w:t xml:space="preserve">Hier wurde dasselbe Ergebnis noch einmal aus einem anderen Input erzeugt. Diese Möglichkeit ist in der Funktion </w:t>
      </w:r>
      <w:r w:rsidRPr="00B42F1E">
        <w:rPr>
          <w:i/>
        </w:rPr>
        <w:t>Ergebnisse</w:t>
      </w:r>
      <w:r>
        <w:t xml:space="preserve"> nicht vorgesehen; </w:t>
      </w:r>
      <w:r w:rsidR="00073A49">
        <w:t>dort werden neue Ergebnisse, die bereits in der Ergebnismenge enthalten sind, sofort ausg</w:t>
      </w:r>
      <w:r w:rsidR="00073A49">
        <w:t>e</w:t>
      </w:r>
      <w:r w:rsidR="00073A49">
        <w:t>schlossen, ihre Erzeugungsformel wird daher auch nicht geschrieben.</w:t>
      </w:r>
      <w:bookmarkStart w:id="364" w:name="_Ref261445130"/>
      <w:r w:rsidR="00AA52CF">
        <w:rPr>
          <w:rStyle w:val="Funotenzeichen"/>
        </w:rPr>
        <w:footnoteReference w:id="457"/>
      </w:r>
      <w:bookmarkEnd w:id="364"/>
      <w:r w:rsidR="00073A49">
        <w:t xml:space="preserve"> Manc</w:t>
      </w:r>
      <w:r w:rsidR="00073A49">
        <w:t>h</w:t>
      </w:r>
      <w:r w:rsidR="00073A49">
        <w:t xml:space="preserve">mal kann es </w:t>
      </w:r>
      <w:r w:rsidR="00EE7099">
        <w:t xml:space="preserve">jedoch </w:t>
      </w:r>
      <w:r w:rsidR="00073A49">
        <w:t xml:space="preserve">sinnvoll sein, </w:t>
      </w:r>
      <w:r w:rsidR="008906C5">
        <w:t xml:space="preserve">weitere </w:t>
      </w:r>
      <w:r w:rsidR="00073A49">
        <w:t>Erzeugungsweg</w:t>
      </w:r>
      <w:r w:rsidR="00EE7099">
        <w:t>e</w:t>
      </w:r>
      <w:r w:rsidR="00073A49">
        <w:t xml:space="preserve"> aufzuschreiben</w:t>
      </w:r>
      <w:r w:rsidR="00EE7099">
        <w:t xml:space="preserve"> und </w:t>
      </w:r>
      <w:r w:rsidR="008906C5">
        <w:t xml:space="preserve">ein </w:t>
      </w:r>
      <w:r w:rsidR="00EE7099">
        <w:t xml:space="preserve">Ergebnis </w:t>
      </w:r>
      <w:r w:rsidR="008906C5">
        <w:t xml:space="preserve">damit </w:t>
      </w:r>
      <w:r w:rsidR="00EE7099">
        <w:t>zu bestätigen.</w:t>
      </w:r>
    </w:p>
    <w:p w:rsidR="00831D41" w:rsidRDefault="000E7451" w:rsidP="00E97F88">
      <w:pPr>
        <w:pStyle w:val="Text"/>
        <w:spacing w:before="240"/>
        <w:ind w:firstLine="0"/>
        <w:rPr>
          <w:iCs/>
        </w:rPr>
      </w:pPr>
      <w:r>
        <w:rPr>
          <w:iCs/>
        </w:rPr>
        <w:t>Im</w:t>
      </w:r>
      <w:r w:rsidR="000961E9">
        <w:rPr>
          <w:iCs/>
        </w:rPr>
        <w:t xml:space="preserve"> zweiten Teil </w:t>
      </w:r>
      <w:r>
        <w:rPr>
          <w:iCs/>
        </w:rPr>
        <w:t xml:space="preserve">der Interpretation </w:t>
      </w:r>
      <w:r w:rsidR="00385B40">
        <w:rPr>
          <w:iCs/>
        </w:rPr>
        <w:t xml:space="preserve">wird die Untersuchung auf mehrere Gebäude Richard Meiers erweitert, es </w:t>
      </w:r>
      <w:r w:rsidR="000961E9">
        <w:rPr>
          <w:iCs/>
        </w:rPr>
        <w:t xml:space="preserve">werden Beobachtungen zu den Schiffsbezügen und </w:t>
      </w:r>
      <w:r w:rsidR="007D07F5">
        <w:rPr>
          <w:iCs/>
        </w:rPr>
        <w:t>zum E</w:t>
      </w:r>
      <w:r w:rsidR="00385B40">
        <w:rPr>
          <w:iCs/>
        </w:rPr>
        <w:t>insatz des Fensterbands gemacht. D</w:t>
      </w:r>
      <w:r w:rsidR="007D07F5">
        <w:rPr>
          <w:iCs/>
        </w:rPr>
        <w:t>abei wird die Einordnung in die Postmoderne</w:t>
      </w:r>
      <w:r w:rsidR="005D7996">
        <w:rPr>
          <w:iCs/>
        </w:rPr>
        <w:fldChar w:fldCharType="begin"/>
      </w:r>
      <w:r w:rsidR="00795F2C">
        <w:instrText xml:space="preserve"> XE "</w:instrText>
      </w:r>
      <w:r w:rsidR="00795F2C" w:rsidRPr="00445725">
        <w:instrText>Postmoderne</w:instrText>
      </w:r>
      <w:r w:rsidR="00795F2C">
        <w:instrText xml:space="preserve">" </w:instrText>
      </w:r>
      <w:r w:rsidR="005D7996">
        <w:rPr>
          <w:iCs/>
        </w:rPr>
        <w:fldChar w:fldCharType="end"/>
      </w:r>
      <w:r w:rsidR="007D07F5">
        <w:rPr>
          <w:iCs/>
        </w:rPr>
        <w:t xml:space="preserve"> bestätigt und </w:t>
      </w:r>
      <w:r w:rsidR="00F77DD5">
        <w:rPr>
          <w:iCs/>
        </w:rPr>
        <w:t>Feststellungen</w:t>
      </w:r>
      <w:r w:rsidR="007D07F5">
        <w:rPr>
          <w:iCs/>
        </w:rPr>
        <w:t xml:space="preserve"> zum Umgang der Postmoderne mit der Moderne</w:t>
      </w:r>
      <w:r w:rsidR="005D7996">
        <w:rPr>
          <w:iCs/>
        </w:rPr>
        <w:fldChar w:fldCharType="begin"/>
      </w:r>
      <w:r w:rsidR="00C365DD">
        <w:instrText xml:space="preserve"> XE "</w:instrText>
      </w:r>
      <w:r w:rsidR="00C365DD" w:rsidRPr="00525ABC">
        <w:instrText>Moderne</w:instrText>
      </w:r>
      <w:r w:rsidR="00C365DD">
        <w:instrText xml:space="preserve">" </w:instrText>
      </w:r>
      <w:r w:rsidR="005D7996">
        <w:rPr>
          <w:iCs/>
        </w:rPr>
        <w:fldChar w:fldCharType="end"/>
      </w:r>
      <w:r w:rsidR="007D07F5">
        <w:rPr>
          <w:iCs/>
        </w:rPr>
        <w:t xml:space="preserve"> </w:t>
      </w:r>
      <w:r w:rsidR="00F77DD5">
        <w:rPr>
          <w:iCs/>
        </w:rPr>
        <w:t>getroffen</w:t>
      </w:r>
      <w:r w:rsidR="007D07F5">
        <w:rPr>
          <w:iCs/>
        </w:rPr>
        <w:t>:</w:t>
      </w:r>
    </w:p>
    <w:p w:rsidR="00DB5BF3" w:rsidRDefault="00831D41" w:rsidP="000961E9">
      <w:pPr>
        <w:pStyle w:val="ZitatAbsto"/>
      </w:pPr>
      <w:r>
        <w:t xml:space="preserve">Verschiedene </w:t>
      </w:r>
      <w:r w:rsidR="00EE7099">
        <w:t xml:space="preserve">wiederkehrende </w:t>
      </w:r>
      <w:r>
        <w:t xml:space="preserve">Merkmale </w:t>
      </w:r>
      <w:r w:rsidR="00EE7099">
        <w:t>der Gebäude Richard Meiers lassen an Schiffe denken: D</w:t>
      </w:r>
      <w:r>
        <w:t xml:space="preserve">as strahlende Weiß, unsichtbare Stockwerksgrenzen, </w:t>
      </w:r>
      <w:r w:rsidR="008C7101">
        <w:t>bugäh</w:t>
      </w:r>
      <w:r w:rsidR="008C7101">
        <w:t>n</w:t>
      </w:r>
      <w:r w:rsidR="008C7101">
        <w:t xml:space="preserve">lich </w:t>
      </w:r>
      <w:r>
        <w:t>zulaufen</w:t>
      </w:r>
      <w:r w:rsidR="00DD5D06">
        <w:t>de</w:t>
      </w:r>
      <w:r>
        <w:t xml:space="preserve"> Baukörper, </w:t>
      </w:r>
      <w:r w:rsidR="00DD5D06">
        <w:t>gut sichtbare runde Schornsteine, gestufte Stoc</w:t>
      </w:r>
      <w:r w:rsidR="00DD5D06">
        <w:t>k</w:t>
      </w:r>
      <w:r w:rsidR="00DD5D06">
        <w:t xml:space="preserve">werke mit Terrassen darauf, offene </w:t>
      </w:r>
      <w:r>
        <w:t>Terrassengeländer</w:t>
      </w:r>
      <w:r w:rsidR="00EE7099">
        <w:t xml:space="preserve"> </w:t>
      </w:r>
      <w:r w:rsidR="00DD5D06">
        <w:t xml:space="preserve">aus weißen Metallstäben sowie </w:t>
      </w:r>
      <w:r>
        <w:t>Reihen kleiner Fenster</w:t>
      </w:r>
      <w:r w:rsidR="00EE7099">
        <w:t>, die an Bullaugen erinnern.</w:t>
      </w:r>
      <w:r w:rsidR="00E570B2">
        <w:t xml:space="preserve"> Die Schiffsmetapher</w:t>
      </w:r>
      <w:r w:rsidR="00E570B2" w:rsidRPr="00AE39B4">
        <w:rPr>
          <w:rStyle w:val="Funotenzeichen"/>
          <w:szCs w:val="22"/>
        </w:rPr>
        <w:footnoteReference w:id="458"/>
      </w:r>
      <w:r w:rsidR="00E570B2">
        <w:t xml:space="preserve"> wird j</w:t>
      </w:r>
      <w:r w:rsidR="00567855">
        <w:t>edoch nicht streng durchgeführt, eher werden an Schiffe erinnernde El</w:t>
      </w:r>
      <w:r w:rsidR="00567855">
        <w:t>e</w:t>
      </w:r>
      <w:r w:rsidR="00567855">
        <w:t>mente</w:t>
      </w:r>
      <w:r w:rsidR="0015691B">
        <w:t xml:space="preserve"> </w:t>
      </w:r>
      <w:r w:rsidR="0097394C">
        <w:t>spiele</w:t>
      </w:r>
      <w:r w:rsidR="008C7101">
        <w:t>risch neukombiniert;</w:t>
      </w:r>
      <w:r w:rsidR="008C7101">
        <w:rPr>
          <w:rStyle w:val="Funotenzeichen"/>
        </w:rPr>
        <w:footnoteReference w:id="459"/>
      </w:r>
      <w:r w:rsidR="008C7101">
        <w:t xml:space="preserve"> </w:t>
      </w:r>
      <w:r w:rsidR="00DB5BF3">
        <w:t>auch hier</w:t>
      </w:r>
      <w:r w:rsidR="00A52ABE">
        <w:t xml:space="preserve"> </w:t>
      </w:r>
      <w:r w:rsidR="00DB5BF3">
        <w:t xml:space="preserve">erweist </w:t>
      </w:r>
      <w:r w:rsidR="0087006D">
        <w:t xml:space="preserve">sich </w:t>
      </w:r>
      <w:r w:rsidR="00A52ABE">
        <w:t xml:space="preserve">Meiers Architektur </w:t>
      </w:r>
      <w:r w:rsidR="00DB5BF3">
        <w:t xml:space="preserve">als </w:t>
      </w:r>
      <w:r w:rsidR="00A52ABE">
        <w:t>postmodern</w:t>
      </w:r>
      <w:r w:rsidR="00DB5BF3">
        <w:t>. Durch den Schiffsbezug werden beim Betrachter Sehnsucht und Aufbruchsgefühle geweckt.</w:t>
      </w:r>
    </w:p>
    <w:p w:rsidR="00835FFE" w:rsidRDefault="00DB5BF3" w:rsidP="000961E9">
      <w:pPr>
        <w:pStyle w:val="ZitatMitte"/>
      </w:pPr>
      <w:r>
        <w:t>In einigen Gebäuden (etw</w:t>
      </w:r>
      <w:r w:rsidR="00501C1C">
        <w:t>a dem „Atheneum</w:t>
      </w:r>
      <w:r w:rsidR="005D7996">
        <w:fldChar w:fldCharType="begin"/>
      </w:r>
      <w:r w:rsidR="0000562A">
        <w:instrText xml:space="preserve"> XE "Atheneum (Richard Meier)" </w:instrText>
      </w:r>
      <w:r w:rsidR="005D7996">
        <w:fldChar w:fldCharType="end"/>
      </w:r>
      <w:r w:rsidR="00501C1C">
        <w:t>“; vgl. Abb.</w:t>
      </w:r>
      <w:r>
        <w:t xml:space="preserve"> </w:t>
      </w:r>
      <w:r w:rsidR="00501C1C">
        <w:t>3</w:t>
      </w:r>
      <w:r>
        <w:t>) werden Fenste</w:t>
      </w:r>
      <w:r>
        <w:t>r</w:t>
      </w:r>
      <w:r>
        <w:t>bänder</w:t>
      </w:r>
      <w:r w:rsidR="00EB54C8">
        <w:t>, die von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EB54C8">
        <w:t xml:space="preserve"> als wesentliches neues Gestaltungselement eing</w:t>
      </w:r>
      <w:r w:rsidR="00EB54C8">
        <w:t>e</w:t>
      </w:r>
      <w:r w:rsidR="00EB54C8">
        <w:t>führt wurden, in geschwungene Wände eingesetzt, die als typisch für die Pos</w:t>
      </w:r>
      <w:r w:rsidR="00EB54C8">
        <w:t>t</w:t>
      </w:r>
      <w:r w:rsidR="00EB54C8">
        <w:lastRenderedPageBreak/>
        <w: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EB54C8">
        <w:t xml:space="preserve"> gelten dürfen. </w:t>
      </w:r>
      <w:r w:rsidR="006E636E">
        <w:t>Es werden also moderne und postmoderne Gesta</w:t>
      </w:r>
      <w:r w:rsidR="006E636E">
        <w:t>l</w:t>
      </w:r>
      <w:r w:rsidR="006E636E">
        <w:t>tungselemente kombiniert; bisweilen entsteht auch der Eindruck, dass dabei das Funktionalitätsprinzip der Moderne missachtet wird, etwa wenn im „Atheneum“, wo sich direkt neben dem geschwungenen ein gerades Wan</w:t>
      </w:r>
      <w:r w:rsidR="006E636E">
        <w:t>d</w:t>
      </w:r>
      <w:r w:rsidR="006E636E">
        <w:t>stück befindet, der sicherlich konstruktiv aufwendigere Einbau in den g</w:t>
      </w:r>
      <w:r w:rsidR="006E636E">
        <w:t>e</w:t>
      </w:r>
      <w:r w:rsidR="006E636E">
        <w:t>schwungenen Wandteil gewählt wird.</w:t>
      </w:r>
    </w:p>
    <w:p w:rsidR="00651E1E" w:rsidRDefault="006E636E" w:rsidP="002B5662">
      <w:pPr>
        <w:pStyle w:val="ZitatAbstu"/>
        <w:rPr>
          <w:i/>
          <w:iCs/>
        </w:rPr>
      </w:pPr>
      <w:r>
        <w:t>Auc</w:t>
      </w:r>
      <w:r w:rsidR="00835FFE">
        <w:t>h die sehr dünnen Säulen in der Sockelzone des „Atheneum“, die u</w:t>
      </w:r>
      <w:r w:rsidR="00835FFE">
        <w:t>n</w:t>
      </w:r>
      <w:r w:rsidR="00835FFE">
        <w:t>klar lassen, wie der Baukörper darüber statisch gehalten wird, widersprechen dem „form follows function“-Prinzip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835FFE">
        <w:t>. Die Architektur Richard Meiers eignet sich also die Moderne an, indem sie zentrale Errungenschaften wie das Fensterband verwendet, sie aber mit postmodernen Neuerungen ko</w:t>
      </w:r>
      <w:r w:rsidR="00835FFE">
        <w:t>m</w:t>
      </w:r>
      <w:r w:rsidR="00835FFE">
        <w:t>biniert und entgegen den Prinzipien der Moderne einsetzt; dies gilt auch für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835FFE">
        <w:t xml:space="preserve"> allgemein.</w:t>
      </w:r>
    </w:p>
    <w:p w:rsidR="00D2554C" w:rsidRDefault="006511AE" w:rsidP="002B5662">
      <w:pPr>
        <w:pStyle w:val="Interpretation1Zeile"/>
      </w:pPr>
      <w:r>
        <w:rPr>
          <w:i/>
        </w:rPr>
        <w:t>U</w:t>
      </w:r>
      <w:r>
        <w:t>(</w:t>
      </w:r>
      <w:r>
        <w:rPr>
          <w:i/>
        </w:rPr>
        <w:t>B</w:t>
      </w:r>
      <w:r>
        <w:rPr>
          <w:vertAlign w:val="subscript"/>
        </w:rPr>
        <w:t>5</w:t>
      </w:r>
      <w:r>
        <w:t>): ‚</w:t>
      </w:r>
      <w:r w:rsidR="00453328">
        <w:t>Farbgebung der Außenflächen,</w:t>
      </w:r>
      <w:r w:rsidR="00D2554C">
        <w:t xml:space="preserve"> </w:t>
      </w:r>
      <w:r w:rsidR="006035CC">
        <w:rPr>
          <w:i/>
        </w:rPr>
        <w:t>V</w:t>
      </w:r>
      <w:r w:rsidR="006035CC">
        <w:t>(</w:t>
      </w:r>
      <w:r w:rsidR="006035CC">
        <w:rPr>
          <w:i/>
        </w:rPr>
        <w:t>B</w:t>
      </w:r>
      <w:r w:rsidR="006035CC">
        <w:rPr>
          <w:vertAlign w:val="subscript"/>
        </w:rPr>
        <w:t>5</w:t>
      </w:r>
      <w:r w:rsidR="006035CC">
        <w:t>): ‚</w:t>
      </w:r>
      <w:r w:rsidR="00A52ABE">
        <w:t>r</w:t>
      </w:r>
      <w:r w:rsidR="006035CC">
        <w:t>einw</w:t>
      </w:r>
      <w:r w:rsidR="00D2554C">
        <w:t>eiß</w:t>
      </w:r>
      <w:r w:rsidR="006035CC">
        <w:t>‘</w:t>
      </w:r>
    </w:p>
    <w:p w:rsidR="008F2900" w:rsidRDefault="008F2900" w:rsidP="00CD1C0D">
      <w:pPr>
        <w:pStyle w:val="Interpretation"/>
      </w:pPr>
      <w:r>
        <w:rPr>
          <w:i/>
        </w:rPr>
        <w:t>H</w:t>
      </w:r>
      <w:r w:rsidR="002D7999">
        <w:rPr>
          <w:vertAlign w:val="subscript"/>
        </w:rPr>
        <w:t>3</w:t>
      </w:r>
      <w:r>
        <w:t xml:space="preserve">: ‚Die Aufbauten von Schiffen </w:t>
      </w:r>
      <w:r w:rsidR="00BC6941">
        <w:t xml:space="preserve">der zivilen Schifffahrt </w:t>
      </w:r>
      <w:r>
        <w:t>sind traditionell in reinweiß gehalten‘</w:t>
      </w:r>
    </w:p>
    <w:p w:rsidR="00D2554C" w:rsidRDefault="006035CC" w:rsidP="00CD1C0D">
      <w:pPr>
        <w:pStyle w:val="Interpretation"/>
      </w:pPr>
      <w:r>
        <w:rPr>
          <w:i/>
        </w:rPr>
        <w:t>U</w:t>
      </w:r>
      <w:r>
        <w:t>(</w:t>
      </w:r>
      <w:r>
        <w:rPr>
          <w:i/>
        </w:rPr>
        <w:t>B</w:t>
      </w:r>
      <w:r>
        <w:rPr>
          <w:vertAlign w:val="subscript"/>
        </w:rPr>
        <w:t>6</w:t>
      </w:r>
      <w:r>
        <w:t>): ‚</w:t>
      </w:r>
      <w:r w:rsidR="00D2554C">
        <w:t>Gestaltung der S</w:t>
      </w:r>
      <w:r w:rsidR="00453328">
        <w:t xml:space="preserve">tockwerksgrenzen in </w:t>
      </w:r>
      <w:r>
        <w:t xml:space="preserve">den </w:t>
      </w:r>
      <w:r w:rsidR="00453328">
        <w:t>Fassaden</w:t>
      </w:r>
      <w:r w:rsidR="005D7996">
        <w:fldChar w:fldCharType="begin"/>
      </w:r>
      <w:r w:rsidR="005D5684">
        <w:instrText xml:space="preserve"> XE "</w:instrText>
      </w:r>
      <w:r w:rsidR="005D5684" w:rsidRPr="00D62707">
        <w:instrText>Fassade</w:instrText>
      </w:r>
      <w:r w:rsidR="005D5684">
        <w:instrText xml:space="preserve">" </w:instrText>
      </w:r>
      <w:r w:rsidR="005D7996">
        <w:fldChar w:fldCharType="end"/>
      </w:r>
      <w:r>
        <w:t>‘</w:t>
      </w:r>
      <w:r w:rsidR="00453328">
        <w:t>,</w:t>
      </w:r>
      <w:r>
        <w:t xml:space="preserve"> </w:t>
      </w:r>
      <w:r>
        <w:rPr>
          <w:i/>
        </w:rPr>
        <w:t>V</w:t>
      </w:r>
      <w:r>
        <w:t>(</w:t>
      </w:r>
      <w:r>
        <w:rPr>
          <w:i/>
        </w:rPr>
        <w:t>B</w:t>
      </w:r>
      <w:r w:rsidR="00A8720A">
        <w:rPr>
          <w:vertAlign w:val="subscript"/>
        </w:rPr>
        <w:t>6</w:t>
      </w:r>
      <w:r>
        <w:t>): ‚</w:t>
      </w:r>
      <w:r w:rsidR="00D2554C">
        <w:t>keine Ma</w:t>
      </w:r>
      <w:r w:rsidR="00D2554C">
        <w:t>r</w:t>
      </w:r>
      <w:r w:rsidR="00D2554C">
        <w:t>kierung der Stockwerksgrenze</w:t>
      </w:r>
      <w:r>
        <w:t>‘</w:t>
      </w:r>
    </w:p>
    <w:p w:rsidR="00841026" w:rsidRDefault="00841026" w:rsidP="00CD1C0D">
      <w:pPr>
        <w:pStyle w:val="Interpretation"/>
      </w:pPr>
      <w:r>
        <w:rPr>
          <w:i/>
        </w:rPr>
        <w:t>H</w:t>
      </w:r>
      <w:r w:rsidR="002D7999">
        <w:rPr>
          <w:vertAlign w:val="subscript"/>
        </w:rPr>
        <w:t>4</w:t>
      </w:r>
      <w:r>
        <w:t>: ‚Bei Schiffen sind häufig die Stockwerksgrenzen insbesondere im Rumpfb</w:t>
      </w:r>
      <w:r>
        <w:t>e</w:t>
      </w:r>
      <w:r>
        <w:t>reich nicht markiert (bei Aufbauten sind sie manchmal durch Rückstufungen erkennbar)‘</w:t>
      </w:r>
    </w:p>
    <w:p w:rsidR="00E90931" w:rsidRDefault="00E90931" w:rsidP="00CD1C0D">
      <w:pPr>
        <w:pStyle w:val="Interpretation"/>
      </w:pPr>
      <w:r>
        <w:rPr>
          <w:i/>
        </w:rPr>
        <w:t>U</w:t>
      </w:r>
      <w:r>
        <w:t>(</w:t>
      </w:r>
      <w:r>
        <w:rPr>
          <w:i/>
        </w:rPr>
        <w:t>B</w:t>
      </w:r>
      <w:r>
        <w:rPr>
          <w:vertAlign w:val="subscript"/>
        </w:rPr>
        <w:t>7</w:t>
      </w:r>
      <w:r>
        <w:t xml:space="preserve">): ‚Formen </w:t>
      </w:r>
      <w:r w:rsidR="00B16097">
        <w:t xml:space="preserve">mancher </w:t>
      </w:r>
      <w:r>
        <w:t xml:space="preserve">Baukörper‘, </w:t>
      </w:r>
      <w:r>
        <w:rPr>
          <w:i/>
        </w:rPr>
        <w:t>V</w:t>
      </w:r>
      <w:r>
        <w:t>(</w:t>
      </w:r>
      <w:r>
        <w:rPr>
          <w:i/>
        </w:rPr>
        <w:t>B</w:t>
      </w:r>
      <w:r>
        <w:rPr>
          <w:vertAlign w:val="subscript"/>
        </w:rPr>
        <w:t>7</w:t>
      </w:r>
      <w:r>
        <w:t>): ‚</w:t>
      </w:r>
      <w:r w:rsidR="0015691B">
        <w:t xml:space="preserve">gerundet; </w:t>
      </w:r>
      <w:r w:rsidR="005346D3">
        <w:t xml:space="preserve">vorne </w:t>
      </w:r>
      <w:r>
        <w:t>zulaufend‘</w:t>
      </w:r>
    </w:p>
    <w:p w:rsidR="00E90931" w:rsidRDefault="00E90931" w:rsidP="00CD1C0D">
      <w:pPr>
        <w:pStyle w:val="Interpretation"/>
      </w:pPr>
      <w:r>
        <w:rPr>
          <w:i/>
        </w:rPr>
        <w:t>H</w:t>
      </w:r>
      <w:r w:rsidR="002D7999">
        <w:rPr>
          <w:vertAlign w:val="subscript"/>
        </w:rPr>
        <w:t>5</w:t>
      </w:r>
      <w:r>
        <w:t xml:space="preserve">: ‚Der Bug von Schiffen </w:t>
      </w:r>
      <w:r w:rsidR="005346D3">
        <w:t>is</w:t>
      </w:r>
      <w:r w:rsidR="0015691B">
        <w:t>t</w:t>
      </w:r>
      <w:r w:rsidR="005346D3">
        <w:t xml:space="preserve"> gerundet </w:t>
      </w:r>
      <w:r w:rsidR="0015691B">
        <w:t xml:space="preserve">und nach </w:t>
      </w:r>
      <w:r w:rsidR="005346D3">
        <w:t xml:space="preserve">vorne </w:t>
      </w:r>
      <w:r>
        <w:t>zu</w:t>
      </w:r>
      <w:r w:rsidR="0015691B">
        <w:t>laufend</w:t>
      </w:r>
      <w:r>
        <w:t>‘</w:t>
      </w:r>
    </w:p>
    <w:p w:rsidR="00B16097" w:rsidRDefault="00B16097" w:rsidP="00CD1C0D">
      <w:pPr>
        <w:pStyle w:val="Interpretation"/>
        <w:rPr>
          <w:i/>
        </w:rPr>
      </w:pPr>
      <w:r>
        <w:rPr>
          <w:i/>
        </w:rPr>
        <w:t>U</w:t>
      </w:r>
      <w:r>
        <w:t>(</w:t>
      </w:r>
      <w:r>
        <w:rPr>
          <w:i/>
        </w:rPr>
        <w:t>B</w:t>
      </w:r>
      <w:r w:rsidR="00111848">
        <w:rPr>
          <w:vertAlign w:val="subscript"/>
        </w:rPr>
        <w:t>8</w:t>
      </w:r>
      <w:r w:rsidR="000B1C1B">
        <w:t>): ‚</w:t>
      </w:r>
      <w:r>
        <w:t>Schornsteine</w:t>
      </w:r>
      <w:r w:rsidR="000B1C1B">
        <w:t xml:space="preserve">‘, </w:t>
      </w:r>
      <w:r w:rsidR="000B1C1B">
        <w:rPr>
          <w:i/>
        </w:rPr>
        <w:t>V</w:t>
      </w:r>
      <w:r w:rsidR="000B1C1B">
        <w:t>(</w:t>
      </w:r>
      <w:r w:rsidR="000B1C1B">
        <w:rPr>
          <w:i/>
        </w:rPr>
        <w:t>B</w:t>
      </w:r>
      <w:r w:rsidR="000B1C1B">
        <w:rPr>
          <w:vertAlign w:val="subscript"/>
        </w:rPr>
        <w:t>8</w:t>
      </w:r>
      <w:r w:rsidR="000B1C1B">
        <w:t xml:space="preserve">): ‚rund; </w:t>
      </w:r>
      <w:r w:rsidR="005F687C">
        <w:t xml:space="preserve">hoch; </w:t>
      </w:r>
      <w:r w:rsidR="000B1C1B">
        <w:t xml:space="preserve">aus Metall; </w:t>
      </w:r>
      <w:r w:rsidR="00FA70EB" w:rsidRPr="00FA70EB">
        <w:rPr>
          <w:sz w:val="22"/>
        </w:rPr>
        <w:t>gut sichtbar</w:t>
      </w:r>
      <w:r w:rsidR="000B1C1B">
        <w:t>‘</w:t>
      </w:r>
      <w:r>
        <w:rPr>
          <w:rStyle w:val="Funotenzeichen"/>
        </w:rPr>
        <w:footnoteReference w:id="460"/>
      </w:r>
    </w:p>
    <w:p w:rsidR="005F687C" w:rsidRDefault="005F687C" w:rsidP="00CD1C0D">
      <w:pPr>
        <w:pStyle w:val="Interpretation"/>
        <w:rPr>
          <w:i/>
        </w:rPr>
      </w:pPr>
      <w:r>
        <w:rPr>
          <w:i/>
        </w:rPr>
        <w:t>H</w:t>
      </w:r>
      <w:r>
        <w:rPr>
          <w:vertAlign w:val="subscript"/>
        </w:rPr>
        <w:t>6</w:t>
      </w:r>
      <w:r>
        <w:t>: ‚Schornsteine von kleineren Motorschiffen sind häufig rund, hoch</w:t>
      </w:r>
      <w:r w:rsidR="00A75EE6">
        <w:t>,</w:t>
      </w:r>
      <w:r>
        <w:t xml:space="preserve"> aus M</w:t>
      </w:r>
      <w:r>
        <w:t>e</w:t>
      </w:r>
      <w:r>
        <w:t>tall</w:t>
      </w:r>
      <w:r w:rsidR="00A4346B">
        <w:t xml:space="preserve"> </w:t>
      </w:r>
      <w:r w:rsidR="00FA70EB">
        <w:t xml:space="preserve">und </w:t>
      </w:r>
      <w:r w:rsidR="00FA70EB" w:rsidRPr="00FA70EB">
        <w:rPr>
          <w:sz w:val="22"/>
        </w:rPr>
        <w:t>gut sichtbar</w:t>
      </w:r>
      <w:r>
        <w:t>‘</w:t>
      </w:r>
    </w:p>
    <w:p w:rsidR="00B16097" w:rsidRDefault="00111848" w:rsidP="00CD1C0D">
      <w:pPr>
        <w:pStyle w:val="Interpretation"/>
      </w:pPr>
      <w:r>
        <w:rPr>
          <w:i/>
        </w:rPr>
        <w:t>U</w:t>
      </w:r>
      <w:r>
        <w:t>(</w:t>
      </w:r>
      <w:r>
        <w:rPr>
          <w:i/>
        </w:rPr>
        <w:t>B</w:t>
      </w:r>
      <w:r>
        <w:rPr>
          <w:vertAlign w:val="subscript"/>
        </w:rPr>
        <w:t>9</w:t>
      </w:r>
      <w:r>
        <w:t>): ‚</w:t>
      </w:r>
      <w:r w:rsidR="00520DEE">
        <w:t xml:space="preserve">Geländer von Terrassen‘, </w:t>
      </w:r>
      <w:r w:rsidR="00520DEE">
        <w:rPr>
          <w:i/>
        </w:rPr>
        <w:t>V</w:t>
      </w:r>
      <w:r w:rsidR="00520DEE">
        <w:t>(</w:t>
      </w:r>
      <w:r w:rsidR="00520DEE">
        <w:rPr>
          <w:i/>
        </w:rPr>
        <w:t>B</w:t>
      </w:r>
      <w:r w:rsidR="00520DEE">
        <w:rPr>
          <w:vertAlign w:val="subscript"/>
        </w:rPr>
        <w:t>9</w:t>
      </w:r>
      <w:r w:rsidR="00627EA4">
        <w:t>): ‚offen;</w:t>
      </w:r>
      <w:r w:rsidR="00520DEE">
        <w:t xml:space="preserve"> </w:t>
      </w:r>
      <w:r w:rsidR="00627EA4">
        <w:t xml:space="preserve">aus </w:t>
      </w:r>
      <w:r w:rsidR="00520DEE">
        <w:t>horizontal</w:t>
      </w:r>
      <w:r w:rsidR="00627EA4">
        <w:t xml:space="preserve"> verlaufenden</w:t>
      </w:r>
      <w:r w:rsidR="00520DEE">
        <w:t xml:space="preserve"> weißlackierte</w:t>
      </w:r>
      <w:r w:rsidR="00627EA4">
        <w:t>n</w:t>
      </w:r>
      <w:r w:rsidR="00520DEE">
        <w:t xml:space="preserve"> runde</w:t>
      </w:r>
      <w:r w:rsidR="00627EA4">
        <w:t>n</w:t>
      </w:r>
      <w:r w:rsidR="00520DEE">
        <w:t xml:space="preserve"> Stangen‘</w:t>
      </w:r>
    </w:p>
    <w:p w:rsidR="00627EA4" w:rsidRDefault="00627EA4" w:rsidP="00CD1C0D">
      <w:pPr>
        <w:pStyle w:val="Interpretation"/>
        <w:rPr>
          <w:i/>
        </w:rPr>
      </w:pPr>
      <w:r>
        <w:rPr>
          <w:i/>
        </w:rPr>
        <w:t>H</w:t>
      </w:r>
      <w:r>
        <w:rPr>
          <w:vertAlign w:val="subscript"/>
        </w:rPr>
        <w:t>7</w:t>
      </w:r>
      <w:r>
        <w:t>: ‚Bei manchen Schiffen sind Reling und/oder Geländer höherer Decks offen mit horizontal verlaufenden weißlackierten runden Stangen ausgeführt‘</w:t>
      </w:r>
    </w:p>
    <w:p w:rsidR="00D2554C" w:rsidRDefault="00A8720A" w:rsidP="00CD1C0D">
      <w:pPr>
        <w:pStyle w:val="Interpretation"/>
      </w:pPr>
      <w:r>
        <w:rPr>
          <w:i/>
        </w:rPr>
        <w:t>U</w:t>
      </w:r>
      <w:r>
        <w:t>(</w:t>
      </w:r>
      <w:r>
        <w:rPr>
          <w:i/>
        </w:rPr>
        <w:t>B</w:t>
      </w:r>
      <w:r w:rsidR="00627EA4">
        <w:rPr>
          <w:vertAlign w:val="subscript"/>
        </w:rPr>
        <w:t>10</w:t>
      </w:r>
      <w:r>
        <w:t>): ‚</w:t>
      </w:r>
      <w:r w:rsidR="00D2554C">
        <w:t>Fensterlösungen</w:t>
      </w:r>
      <w:r w:rsidR="008F2900">
        <w:t>‘</w:t>
      </w:r>
      <w:r w:rsidR="00453328">
        <w:t>,</w:t>
      </w:r>
      <w:r w:rsidR="00D2554C">
        <w:t xml:space="preserve"> </w:t>
      </w:r>
      <w:r>
        <w:rPr>
          <w:i/>
        </w:rPr>
        <w:t>V</w:t>
      </w:r>
      <w:r>
        <w:t>(</w:t>
      </w:r>
      <w:r>
        <w:rPr>
          <w:i/>
        </w:rPr>
        <w:t>B</w:t>
      </w:r>
      <w:r w:rsidR="00627EA4">
        <w:rPr>
          <w:vertAlign w:val="subscript"/>
        </w:rPr>
        <w:t>10</w:t>
      </w:r>
      <w:r>
        <w:t>): ‚</w:t>
      </w:r>
      <w:r w:rsidR="005F687C">
        <w:t xml:space="preserve">Reihen </w:t>
      </w:r>
      <w:r w:rsidR="00D2554C">
        <w:t>kleine</w:t>
      </w:r>
      <w:r w:rsidR="005F687C">
        <w:t>r</w:t>
      </w:r>
      <w:r w:rsidR="00D2554C">
        <w:t xml:space="preserve"> Fenster</w:t>
      </w:r>
      <w:r>
        <w:t>‘</w:t>
      </w:r>
      <w:r w:rsidR="00223B00">
        <w:rPr>
          <w:rStyle w:val="Funotenzeichen"/>
        </w:rPr>
        <w:footnoteReference w:id="461"/>
      </w:r>
    </w:p>
    <w:p w:rsidR="00D2554C" w:rsidRDefault="00D2554C" w:rsidP="00CD1C0D">
      <w:pPr>
        <w:pStyle w:val="Interpretation"/>
      </w:pPr>
      <w:r>
        <w:rPr>
          <w:i/>
        </w:rPr>
        <w:t>H</w:t>
      </w:r>
      <w:r w:rsidR="00627EA4">
        <w:rPr>
          <w:vertAlign w:val="subscript"/>
        </w:rPr>
        <w:t>8</w:t>
      </w:r>
      <w:r>
        <w:t xml:space="preserve">: </w:t>
      </w:r>
      <w:r w:rsidR="002469B3">
        <w:t>‚</w:t>
      </w:r>
      <w:r>
        <w:t xml:space="preserve">Bei Schiffen gibt es </w:t>
      </w:r>
      <w:r w:rsidR="00831D41">
        <w:t xml:space="preserve">oft </w:t>
      </w:r>
      <w:r w:rsidR="005F687C">
        <w:t xml:space="preserve">Reihen kleiner </w:t>
      </w:r>
      <w:r w:rsidR="00831D41">
        <w:t>runde</w:t>
      </w:r>
      <w:r w:rsidR="005F687C">
        <w:t>r</w:t>
      </w:r>
      <w:r w:rsidR="00831D41">
        <w:t xml:space="preserve"> Fenster</w:t>
      </w:r>
      <w:r w:rsidR="00FA70EB">
        <w:t xml:space="preserve"> (Bullaugen) in der Bordwand</w:t>
      </w:r>
      <w:r w:rsidR="008F2900">
        <w:t>‘</w:t>
      </w:r>
    </w:p>
    <w:p w:rsidR="00CE6AF3" w:rsidRDefault="00CE6AF3" w:rsidP="00CD1C0D">
      <w:pPr>
        <w:pStyle w:val="Formel"/>
      </w:pPr>
      <w:r>
        <w:rPr>
          <w:i/>
          <w:iCs/>
        </w:rPr>
        <w:lastRenderedPageBreak/>
        <w:t>B</w:t>
      </w:r>
      <w:r>
        <w:rPr>
          <w:iCs/>
          <w:vertAlign w:val="subscript"/>
        </w:rPr>
        <w:t>5</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6</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7</w:t>
      </w:r>
      <w:r w:rsidR="00566A5A">
        <w:rPr>
          <w:iCs/>
        </w:rPr>
        <w:t xml:space="preserve"> </w:t>
      </w:r>
      <w:r>
        <w:rPr>
          <w:rFonts w:ascii="Cambria Math" w:hAnsi="Cambria Math" w:cs="Cambria Math"/>
          <w:color w:val="000000" w:themeColor="text1"/>
        </w:rPr>
        <w:t>∧</w:t>
      </w:r>
      <w:r>
        <w:rPr>
          <w:rFonts w:cs="Times New Roman"/>
          <w:color w:val="000000" w:themeColor="text1"/>
        </w:rPr>
        <w:t xml:space="preserve"> </w:t>
      </w:r>
      <w:r w:rsidR="00627EA4">
        <w:rPr>
          <w:i/>
          <w:iCs/>
        </w:rPr>
        <w:t>B</w:t>
      </w:r>
      <w:r w:rsidR="00627EA4">
        <w:rPr>
          <w:iCs/>
          <w:vertAlign w:val="subscript"/>
        </w:rPr>
        <w:t>8</w:t>
      </w:r>
      <w:r w:rsidR="00566A5A">
        <w:rPr>
          <w:iCs/>
        </w:rPr>
        <w:t xml:space="preserve"> </w:t>
      </w:r>
      <w:r w:rsidR="00627EA4">
        <w:rPr>
          <w:rFonts w:ascii="Cambria Math" w:hAnsi="Cambria Math" w:cs="Cambria Math"/>
          <w:color w:val="000000" w:themeColor="text1"/>
        </w:rPr>
        <w:t>∧</w:t>
      </w:r>
      <w:r w:rsidR="00627EA4">
        <w:rPr>
          <w:rFonts w:cs="Times New Roman"/>
          <w:color w:val="000000" w:themeColor="text1"/>
        </w:rPr>
        <w:t xml:space="preserve"> </w:t>
      </w:r>
      <w:r w:rsidR="00627EA4">
        <w:rPr>
          <w:i/>
          <w:iCs/>
        </w:rPr>
        <w:t>B</w:t>
      </w:r>
      <w:r w:rsidR="00627EA4">
        <w:rPr>
          <w:iCs/>
          <w:vertAlign w:val="subscript"/>
        </w:rPr>
        <w:t>9</w:t>
      </w:r>
      <w:r w:rsidR="00627EA4" w:rsidRPr="00566A5A">
        <w:rPr>
          <w:rFonts w:eastAsia="Arial Unicode MS" w:cs="Times New Roman"/>
          <w:color w:val="000000" w:themeColor="text1"/>
        </w:rPr>
        <w:t xml:space="preserve"> </w:t>
      </w:r>
      <w:r w:rsidR="00627EA4">
        <w:rPr>
          <w:rFonts w:ascii="Cambria Math" w:hAnsi="Cambria Math" w:cs="Cambria Math"/>
          <w:color w:val="000000" w:themeColor="text1"/>
        </w:rPr>
        <w:t>∧</w:t>
      </w:r>
      <w:r w:rsidR="00627EA4">
        <w:rPr>
          <w:rFonts w:cs="Times New Roman"/>
          <w:color w:val="000000" w:themeColor="text1"/>
        </w:rPr>
        <w:t xml:space="preserve"> </w:t>
      </w:r>
      <w:r>
        <w:rPr>
          <w:i/>
          <w:iCs/>
        </w:rPr>
        <w:t>B</w:t>
      </w:r>
      <w:r w:rsidR="00627EA4">
        <w:rPr>
          <w:iCs/>
          <w:vertAlign w:val="subscript"/>
        </w:rPr>
        <w:t>10</w:t>
      </w:r>
      <w:r w:rsidRPr="00566A5A">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2D7999">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2D7999">
        <w:rPr>
          <w:iCs/>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2D7999">
        <w:rPr>
          <w:iCs/>
          <w:vertAlign w:val="subscript"/>
        </w:rPr>
        <w:t>5</w:t>
      </w:r>
      <w:r w:rsidRPr="00566A5A">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2D7999">
        <w:rPr>
          <w:iCs/>
          <w:vertAlign w:val="subscript"/>
        </w:rPr>
        <w:t>6</w:t>
      </w:r>
      <w:r w:rsidR="00627EA4">
        <w:t xml:space="preserve"> </w:t>
      </w:r>
      <w:r w:rsidR="00627EA4">
        <w:rPr>
          <w:rFonts w:ascii="Cambria Math" w:hAnsi="Cambria Math" w:cs="Cambria Math"/>
          <w:color w:val="000000" w:themeColor="text1"/>
        </w:rPr>
        <w:t>∧</w:t>
      </w:r>
      <w:r w:rsidR="00627EA4">
        <w:rPr>
          <w:rFonts w:cs="Times New Roman"/>
          <w:color w:val="000000" w:themeColor="text1"/>
        </w:rPr>
        <w:t xml:space="preserve"> </w:t>
      </w:r>
      <w:r w:rsidR="00627EA4">
        <w:rPr>
          <w:i/>
          <w:iCs/>
        </w:rPr>
        <w:t>H</w:t>
      </w:r>
      <w:r w:rsidR="00627EA4">
        <w:rPr>
          <w:iCs/>
          <w:vertAlign w:val="subscript"/>
        </w:rPr>
        <w:t>7</w:t>
      </w:r>
      <w:r w:rsidR="00627EA4" w:rsidRPr="00566A5A">
        <w:rPr>
          <w:rFonts w:eastAsia="Arial Unicode MS" w:cs="Times New Roman"/>
          <w:color w:val="000000" w:themeColor="text1"/>
        </w:rPr>
        <w:t xml:space="preserve"> </w:t>
      </w:r>
      <w:r w:rsidR="00627EA4">
        <w:rPr>
          <w:rFonts w:ascii="Cambria Math" w:hAnsi="Cambria Math" w:cs="Cambria Math"/>
          <w:color w:val="000000" w:themeColor="text1"/>
        </w:rPr>
        <w:t>∧</w:t>
      </w:r>
      <w:r w:rsidR="00627EA4">
        <w:rPr>
          <w:rFonts w:cs="Times New Roman"/>
          <w:color w:val="000000" w:themeColor="text1"/>
        </w:rPr>
        <w:t xml:space="preserve"> </w:t>
      </w:r>
      <w:r w:rsidR="00627EA4">
        <w:rPr>
          <w:i/>
          <w:iCs/>
        </w:rPr>
        <w:t>H</w:t>
      </w:r>
      <w:r w:rsidR="00627EA4">
        <w:rPr>
          <w:iCs/>
          <w:vertAlign w:val="subscript"/>
        </w:rPr>
        <w:t>8</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B43180">
        <w:rPr>
          <w:vertAlign w:val="subscript"/>
        </w:rPr>
        <w:t>Ind</w:t>
      </w:r>
      <w:r w:rsidR="00FA5785">
        <w:t xml:space="preserve">  </w:t>
      </w:r>
      <w:r>
        <w:rPr>
          <w:i/>
          <w:iCs/>
        </w:rPr>
        <w:t>Er</w:t>
      </w:r>
      <w:r w:rsidR="002D7999">
        <w:rPr>
          <w:vertAlign w:val="subscript"/>
        </w:rPr>
        <w:t>1</w:t>
      </w:r>
      <w:r w:rsidR="000B1C1B">
        <w:rPr>
          <w:vertAlign w:val="subscript"/>
        </w:rPr>
        <w:t>2</w:t>
      </w:r>
    </w:p>
    <w:p w:rsidR="00841026" w:rsidRDefault="008F2900" w:rsidP="00CD1C0D">
      <w:pPr>
        <w:pStyle w:val="Interpretation"/>
      </w:pPr>
      <w:r>
        <w:rPr>
          <w:i/>
        </w:rPr>
        <w:t>Er</w:t>
      </w:r>
      <w:r w:rsidR="002D7999">
        <w:rPr>
          <w:vertAlign w:val="subscript"/>
        </w:rPr>
        <w:t>1</w:t>
      </w:r>
      <w:r w:rsidR="000B1C1B">
        <w:rPr>
          <w:vertAlign w:val="subscript"/>
        </w:rPr>
        <w:t>2</w:t>
      </w:r>
      <w:r w:rsidR="00B43180">
        <w:t>:</w:t>
      </w:r>
      <w:r>
        <w:t xml:space="preserve"> ‚</w:t>
      </w:r>
      <w:r w:rsidR="00841026">
        <w:t>Die</w:t>
      </w:r>
      <w:r>
        <w:t xml:space="preserve"> Gebäude </w:t>
      </w:r>
      <w:r w:rsidR="00841026">
        <w:t xml:space="preserve">nehmen </w:t>
      </w:r>
      <w:r w:rsidR="00E90931">
        <w:t>Gestaltungse</w:t>
      </w:r>
      <w:r w:rsidR="00841026">
        <w:t xml:space="preserve">lemente von Schiffen auf. </w:t>
      </w:r>
      <w:r w:rsidR="00E90931">
        <w:t xml:space="preserve">Diese werden nicht entsprechend der Form eines Schiffs </w:t>
      </w:r>
      <w:r w:rsidR="00E66523">
        <w:t>verwendet</w:t>
      </w:r>
      <w:r w:rsidR="00E90931">
        <w:t xml:space="preserve">, sondern </w:t>
      </w:r>
      <w:r w:rsidR="00E66523">
        <w:t xml:space="preserve">spielerisch </w:t>
      </w:r>
      <w:r w:rsidR="00E90931">
        <w:t>neu kombiniert‘</w:t>
      </w:r>
    </w:p>
    <w:p w:rsidR="00CE6AF3" w:rsidRDefault="001231D3" w:rsidP="00CD1C0D">
      <w:pPr>
        <w:pStyle w:val="Interpretation"/>
      </w:pPr>
      <w:r>
        <w:rPr>
          <w:i/>
          <w:noProof/>
        </w:rPr>
        <w:drawing>
          <wp:anchor distT="0" distB="0" distL="114300" distR="114300" simplePos="0" relativeHeight="251847168" behindDoc="0" locked="0" layoutInCell="1" allowOverlap="1">
            <wp:simplePos x="0" y="0"/>
            <wp:positionH relativeFrom="column">
              <wp:posOffset>1767205</wp:posOffset>
            </wp:positionH>
            <wp:positionV relativeFrom="paragraph">
              <wp:posOffset>348615</wp:posOffset>
            </wp:positionV>
            <wp:extent cx="2536190" cy="2066290"/>
            <wp:effectExtent l="19050" t="0" r="0" b="0"/>
            <wp:wrapSquare wrapText="bothSides"/>
            <wp:docPr id="4" name="Abbildung 4.jpg" descr="C:\Users\Martin\Docs\Uni\Diss\Abbildungen und weitere Materialien\Abbildu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4.jpg"/>
                    <pic:cNvPicPr/>
                  </pic:nvPicPr>
                  <pic:blipFill>
                    <a:blip r:embed="rId68" cstate="print"/>
                    <a:stretch>
                      <a:fillRect/>
                    </a:stretch>
                  </pic:blipFill>
                  <pic:spPr>
                    <a:xfrm>
                      <a:off x="0" y="0"/>
                      <a:ext cx="2536190" cy="2066290"/>
                    </a:xfrm>
                    <a:prstGeom prst="rect">
                      <a:avLst/>
                    </a:prstGeom>
                  </pic:spPr>
                </pic:pic>
              </a:graphicData>
            </a:graphic>
          </wp:anchor>
        </w:drawing>
      </w:r>
      <w:r w:rsidR="00CE6AF3">
        <w:rPr>
          <w:i/>
        </w:rPr>
        <w:t>H</w:t>
      </w:r>
      <w:r w:rsidR="00A9596A">
        <w:rPr>
          <w:vertAlign w:val="subscript"/>
        </w:rPr>
        <w:t>9</w:t>
      </w:r>
      <w:r w:rsidR="00F55309">
        <w:t xml:space="preserve">: </w:t>
      </w:r>
      <w:r w:rsidR="00CE6AF3">
        <w:t xml:space="preserve">‚Die </w:t>
      </w:r>
      <w:r w:rsidR="002D7999">
        <w:t>spielerische</w:t>
      </w:r>
      <w:r w:rsidR="00CE6AF3">
        <w:t xml:space="preserve"> Neukombination </w:t>
      </w:r>
      <w:r w:rsidR="002D7999">
        <w:t xml:space="preserve">bekannter </w:t>
      </w:r>
      <w:r w:rsidR="00E66523">
        <w:t>Elemente</w:t>
      </w:r>
      <w:r w:rsidR="00CE6AF3">
        <w:t xml:space="preserve"> ist </w:t>
      </w:r>
      <w:r w:rsidR="002D7999">
        <w:t xml:space="preserve">kennzeichnend </w:t>
      </w:r>
      <w:r w:rsidR="00CE6AF3">
        <w:t>für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CE6AF3">
        <w:t>‘</w:t>
      </w:r>
    </w:p>
    <w:p w:rsidR="002D7999" w:rsidRDefault="002D7999" w:rsidP="00CD1C0D">
      <w:pPr>
        <w:pStyle w:val="Formel"/>
      </w:pPr>
      <w:r>
        <w:rPr>
          <w:i/>
          <w:iCs/>
        </w:rPr>
        <w:t>Er</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1</w:t>
      </w:r>
      <w:r w:rsidR="000B1C1B">
        <w:rPr>
          <w:iCs/>
          <w:vertAlign w:val="subscript"/>
        </w:rPr>
        <w:t>2</w:t>
      </w:r>
      <w:r w:rsidRPr="00566A5A">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A9596A">
        <w:rPr>
          <w:iCs/>
          <w:vertAlign w:val="subscript"/>
        </w:rPr>
        <w:t>9</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B43180">
        <w:rPr>
          <w:vertAlign w:val="subscript"/>
        </w:rPr>
        <w:t>Ded</w:t>
      </w:r>
      <w:r>
        <w:t xml:space="preserve">  </w:t>
      </w:r>
      <w:r>
        <w:rPr>
          <w:i/>
          <w:iCs/>
        </w:rPr>
        <w:t>Er</w:t>
      </w:r>
      <w:r w:rsidR="000B1C1B">
        <w:rPr>
          <w:vertAlign w:val="subscript"/>
        </w:rPr>
        <w:t>4</w:t>
      </w:r>
    </w:p>
    <w:p w:rsidR="00E90931" w:rsidRDefault="00E90931" w:rsidP="00CD1C0D">
      <w:pPr>
        <w:pStyle w:val="Interpretation"/>
        <w:rPr>
          <w:rFonts w:cs="Times New Roman"/>
        </w:rPr>
      </w:pPr>
      <w:r>
        <w:rPr>
          <w:i/>
        </w:rPr>
        <w:t>Er</w:t>
      </w:r>
      <w:r w:rsidR="000B1C1B">
        <w:rPr>
          <w:vertAlign w:val="subscript"/>
        </w:rPr>
        <w:t>4</w:t>
      </w:r>
      <w:r>
        <w:rPr>
          <w:rFonts w:cs="Times New Roman"/>
        </w:rPr>
        <w:t>: ‚Das Gebäude ist pos</w:t>
      </w:r>
      <w:r>
        <w:rPr>
          <w:rFonts w:cs="Times New Roman"/>
        </w:rPr>
        <w:t>t</w:t>
      </w:r>
      <w:r>
        <w:rPr>
          <w:rFonts w:cs="Times New Roman"/>
        </w:rPr>
        <w:t>modern‘</w:t>
      </w:r>
    </w:p>
    <w:p w:rsidR="00CE6AF3" w:rsidRDefault="00CE6AF3" w:rsidP="00CD1C0D">
      <w:pPr>
        <w:pStyle w:val="Interpretation"/>
      </w:pPr>
      <w:r>
        <w:rPr>
          <w:i/>
        </w:rPr>
        <w:t>H</w:t>
      </w:r>
      <w:r w:rsidR="00A9596A">
        <w:rPr>
          <w:vertAlign w:val="subscript"/>
        </w:rPr>
        <w:t>10</w:t>
      </w:r>
      <w:r w:rsidR="00FA5785">
        <w:t xml:space="preserve">: ‚Schiffe sind </w:t>
      </w:r>
      <w:r>
        <w:t xml:space="preserve">kulturell </w:t>
      </w:r>
      <w:r w:rsidR="00FA5785">
        <w:t xml:space="preserve">kodierte </w:t>
      </w:r>
      <w:r>
        <w:t>Zeichen für Seh</w:t>
      </w:r>
      <w:r>
        <w:t>n</w:t>
      </w:r>
      <w:r w:rsidR="00FA5785">
        <w:t>sucht</w:t>
      </w:r>
      <w:r w:rsidR="00C346D4">
        <w:t xml:space="preserve"> und den Aufbruch ins Unbekannte</w:t>
      </w:r>
      <w:r w:rsidR="00FA5785">
        <w:t>‘</w:t>
      </w:r>
    </w:p>
    <w:p w:rsidR="00E90931" w:rsidRDefault="002D7999" w:rsidP="00CD1C0D">
      <w:pPr>
        <w:pStyle w:val="Formel"/>
      </w:pPr>
      <w:r>
        <w:rPr>
          <w:i/>
          <w:iCs/>
        </w:rPr>
        <w:t>Er</w:t>
      </w:r>
      <w:r w:rsidR="00264F39">
        <w:rPr>
          <w:iCs/>
          <w:vertAlign w:val="subscript"/>
        </w:rPr>
        <w:t>12</w:t>
      </w:r>
      <w:r w:rsidRPr="00566A5A">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sidR="00CE6AF3">
        <w:rPr>
          <w:i/>
          <w:iCs/>
        </w:rPr>
        <w:t>H</w:t>
      </w:r>
      <w:r w:rsidR="00A9596A">
        <w:rPr>
          <w:iCs/>
          <w:vertAlign w:val="subscript"/>
        </w:rPr>
        <w:t>10</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Gfr</w:t>
      </w:r>
      <w:r w:rsidR="00FA5785">
        <w:t xml:space="preserve">  </w:t>
      </w:r>
      <w:r w:rsidR="00CE6AF3">
        <w:rPr>
          <w:i/>
          <w:iCs/>
        </w:rPr>
        <w:t>Er</w:t>
      </w:r>
      <w:r>
        <w:rPr>
          <w:vertAlign w:val="subscript"/>
        </w:rPr>
        <w:t>13</w:t>
      </w:r>
      <w:r w:rsidR="000C02A5">
        <w:t>,</w:t>
      </w:r>
      <w:r w:rsidR="000C02A5" w:rsidRPr="000C02A5">
        <w:rPr>
          <w:i/>
          <w:iCs/>
        </w:rPr>
        <w:t xml:space="preserve"> </w:t>
      </w:r>
      <w:r w:rsidR="000C02A5">
        <w:rPr>
          <w:i/>
          <w:iCs/>
        </w:rPr>
        <w:t>Er</w:t>
      </w:r>
      <w:r>
        <w:rPr>
          <w:vertAlign w:val="subscript"/>
        </w:rPr>
        <w:t>14</w:t>
      </w:r>
    </w:p>
    <w:p w:rsidR="000C02A5" w:rsidRDefault="00FA5785" w:rsidP="00CD1C0D">
      <w:pPr>
        <w:pStyle w:val="Interpretation"/>
      </w:pPr>
      <w:r>
        <w:rPr>
          <w:i/>
        </w:rPr>
        <w:t>Er</w:t>
      </w:r>
      <w:r w:rsidR="002D7999">
        <w:rPr>
          <w:vertAlign w:val="subscript"/>
        </w:rPr>
        <w:t>13</w:t>
      </w:r>
      <w:r w:rsidR="008C597B">
        <w:t xml:space="preserve"> (</w:t>
      </w:r>
      <w:r w:rsidR="008C597B" w:rsidRPr="00126495">
        <w:t>g</w:t>
      </w:r>
      <w:r w:rsidR="008C597B">
        <w:t>):</w:t>
      </w:r>
      <w:r>
        <w:t xml:space="preserve"> ‚Sehnsucht</w:t>
      </w:r>
      <w:r w:rsidR="000C02A5">
        <w:t>‘</w:t>
      </w:r>
    </w:p>
    <w:p w:rsidR="00FA5785" w:rsidRDefault="005D7996" w:rsidP="00CD1C0D">
      <w:pPr>
        <w:pStyle w:val="Interpretation"/>
        <w:rPr>
          <w:i/>
        </w:rPr>
      </w:pPr>
      <w:r>
        <w:rPr>
          <w:i/>
          <w:noProof/>
        </w:rPr>
        <w:pict>
          <v:shape id="_x0000_s1576260" type="#_x0000_t202" style="position:absolute;left:0;text-align:left;margin-left:137.9pt;margin-top:20.85pt;width:206.15pt;height:39.6pt;z-index:251843072" wrapcoords="-77 0 -77 20769 21600 20769 21600 0 -77 0" stroked="f">
            <v:textbox style="mso-next-textbox:#_x0000_s1576260" inset="0,0,0,0">
              <w:txbxContent>
                <w:p w:rsidR="00CC3558" w:rsidRPr="000174BC" w:rsidRDefault="00CC3558" w:rsidP="0032711D">
                  <w:pPr>
                    <w:pStyle w:val="Beschriftung"/>
                    <w:ind w:left="680" w:hanging="680"/>
                    <w:jc w:val="left"/>
                    <w:rPr>
                      <w:noProof/>
                      <w:color w:val="000000"/>
                      <w:lang w:val="en-US"/>
                    </w:rPr>
                  </w:pPr>
                  <w:bookmarkStart w:id="365" w:name="_Toc323036039"/>
                  <w:r w:rsidRPr="004C3839">
                    <w:rPr>
                      <w:b/>
                      <w:lang w:val="en-US"/>
                    </w:rPr>
                    <w:t xml:space="preserve">Abb. </w:t>
                  </w:r>
                  <w:r w:rsidRPr="00DD75B7">
                    <w:rPr>
                      <w:b/>
                      <w:lang w:val="en-US"/>
                    </w:rPr>
                    <w:t>4</w:t>
                  </w:r>
                  <w:r w:rsidRPr="004C3839">
                    <w:rPr>
                      <w:lang w:val="en-US"/>
                    </w:rPr>
                    <w:tab/>
                  </w:r>
                  <w:r w:rsidRPr="000174BC">
                    <w:rPr>
                      <w:lang w:val="en-US"/>
                    </w:rPr>
                    <w:t>Westchester House</w:t>
                  </w:r>
                  <w:r w:rsidR="005D7996">
                    <w:fldChar w:fldCharType="begin"/>
                  </w:r>
                  <w:r w:rsidRPr="00AB67E4">
                    <w:rPr>
                      <w:lang w:val="en-US"/>
                    </w:rPr>
                    <w:instrText xml:space="preserve"> XE "Westchester House</w:instrText>
                  </w:r>
                  <w:r>
                    <w:rPr>
                      <w:lang w:val="en-US"/>
                    </w:rPr>
                    <w:instrText xml:space="preserve"> (Richard Meier)</w:instrText>
                  </w:r>
                  <w:r w:rsidRPr="00AB67E4">
                    <w:rPr>
                      <w:lang w:val="en-US"/>
                    </w:rPr>
                    <w:instrText>:</w:instrText>
                  </w:r>
                  <w:r w:rsidRPr="00AB67E4">
                    <w:rPr>
                      <w:i/>
                      <w:lang w:val="en-US"/>
                    </w:rPr>
                    <w:instrText>Abbildung</w:instrText>
                  </w:r>
                  <w:r w:rsidRPr="00AB67E4">
                    <w:rPr>
                      <w:lang w:val="en-US"/>
                    </w:rPr>
                    <w:instrText xml:space="preserve">" </w:instrText>
                  </w:r>
                  <w:r w:rsidR="005D7996">
                    <w:fldChar w:fldCharType="end"/>
                  </w:r>
                  <w:r w:rsidRPr="000174BC">
                    <w:rPr>
                      <w:lang w:val="en-US"/>
                    </w:rPr>
                    <w:t>, Westchester County, NY, USA (19</w:t>
                  </w:r>
                  <w:r>
                    <w:rPr>
                      <w:lang w:val="en-US"/>
                    </w:rPr>
                    <w:t>84</w:t>
                  </w:r>
                  <w:r w:rsidRPr="000174BC">
                    <w:rPr>
                      <w:lang w:val="en-US"/>
                    </w:rPr>
                    <w:t>–19</w:t>
                  </w:r>
                  <w:r>
                    <w:rPr>
                      <w:lang w:val="en-US"/>
                    </w:rPr>
                    <w:t>86</w:t>
                  </w:r>
                  <w:r w:rsidRPr="000174BC">
                    <w:rPr>
                      <w:lang w:val="en-US"/>
                    </w:rPr>
                    <w:t>)</w:t>
                  </w:r>
                  <w:bookmarkEnd w:id="365"/>
                </w:p>
              </w:txbxContent>
            </v:textbox>
            <w10:wrap type="tight"/>
          </v:shape>
        </w:pict>
      </w:r>
      <w:r w:rsidR="000C02A5">
        <w:rPr>
          <w:i/>
        </w:rPr>
        <w:t>Er</w:t>
      </w:r>
      <w:r w:rsidR="002D7999">
        <w:rPr>
          <w:vertAlign w:val="subscript"/>
        </w:rPr>
        <w:t>14</w:t>
      </w:r>
      <w:r w:rsidR="008C597B">
        <w:t xml:space="preserve"> (</w:t>
      </w:r>
      <w:r w:rsidR="008C597B" w:rsidRPr="00126495">
        <w:t>g</w:t>
      </w:r>
      <w:r w:rsidR="008C597B">
        <w:t>)</w:t>
      </w:r>
      <w:r w:rsidR="000C02A5">
        <w:t>: ‚</w:t>
      </w:r>
      <w:r w:rsidR="00DB5BF3">
        <w:t xml:space="preserve">Gefühl des </w:t>
      </w:r>
      <w:r w:rsidR="00F55309">
        <w:t>Au</w:t>
      </w:r>
      <w:r w:rsidR="00F55309">
        <w:t>f</w:t>
      </w:r>
      <w:r w:rsidR="00F55309">
        <w:t>bruch</w:t>
      </w:r>
      <w:r w:rsidR="00DB5BF3">
        <w:t>s</w:t>
      </w:r>
      <w:r w:rsidR="00CB5643">
        <w:t>‘</w:t>
      </w:r>
    </w:p>
    <w:p w:rsidR="00EC756A" w:rsidRDefault="00EC756A" w:rsidP="002B5662">
      <w:pPr>
        <w:pStyle w:val="Interpretation"/>
        <w:rPr>
          <w:sz w:val="22"/>
        </w:rPr>
      </w:pPr>
      <w:r>
        <w:rPr>
          <w:i/>
        </w:rPr>
        <w:t>U</w:t>
      </w:r>
      <w:r>
        <w:t>(</w:t>
      </w:r>
      <w:r>
        <w:rPr>
          <w:i/>
        </w:rPr>
        <w:t>B</w:t>
      </w:r>
      <w:r>
        <w:rPr>
          <w:vertAlign w:val="subscript"/>
        </w:rPr>
        <w:t>1</w:t>
      </w:r>
      <w:r w:rsidR="00EB54C8">
        <w:rPr>
          <w:vertAlign w:val="subscript"/>
        </w:rPr>
        <w:t>1</w:t>
      </w:r>
      <w:r w:rsidR="00EB54C8">
        <w:t>): ‚Fensterlösungen</w:t>
      </w:r>
      <w:r>
        <w:t xml:space="preserve"> in </w:t>
      </w:r>
      <w:r w:rsidR="00EB54C8">
        <w:t xml:space="preserve">geschwungenen </w:t>
      </w:r>
      <w:r>
        <w:t xml:space="preserve">Wänden‘, </w:t>
      </w:r>
      <w:r>
        <w:rPr>
          <w:i/>
        </w:rPr>
        <w:t>V</w:t>
      </w:r>
      <w:r>
        <w:t>(</w:t>
      </w:r>
      <w:r>
        <w:rPr>
          <w:i/>
        </w:rPr>
        <w:t>B</w:t>
      </w:r>
      <w:r>
        <w:rPr>
          <w:vertAlign w:val="subscript"/>
        </w:rPr>
        <w:t>1</w:t>
      </w:r>
      <w:r w:rsidR="00EB54C8">
        <w:rPr>
          <w:vertAlign w:val="subscript"/>
        </w:rPr>
        <w:t>1</w:t>
      </w:r>
      <w:r w:rsidR="00AD7A97">
        <w:t>): ‚Fensterbänder</w:t>
      </w:r>
      <w:r>
        <w:t>‘</w:t>
      </w:r>
      <w:r w:rsidR="00AE39B4">
        <w:rPr>
          <w:rStyle w:val="Funotenzeichen"/>
        </w:rPr>
        <w:footnoteReference w:id="462"/>
      </w:r>
    </w:p>
    <w:p w:rsidR="00D2554C" w:rsidRDefault="00D2554C" w:rsidP="002B5662">
      <w:pPr>
        <w:pStyle w:val="Interpretation"/>
      </w:pPr>
      <w:r>
        <w:rPr>
          <w:i/>
        </w:rPr>
        <w:t>H</w:t>
      </w:r>
      <w:r w:rsidR="00A9596A">
        <w:rPr>
          <w:vertAlign w:val="subscript"/>
        </w:rPr>
        <w:t>11</w:t>
      </w:r>
      <w:r w:rsidR="00E777FE">
        <w:t xml:space="preserve"> [zum Schema]:</w:t>
      </w:r>
      <w:r w:rsidR="000460E0">
        <w:t xml:space="preserve"> </w:t>
      </w:r>
      <w:r w:rsidR="00940EA9">
        <w:t>‚</w:t>
      </w:r>
      <w:r>
        <w:t xml:space="preserve">Fensterbänder sind ein </w:t>
      </w:r>
      <w:r w:rsidR="00940EA9">
        <w:t xml:space="preserve">Gestaltungselement </w:t>
      </w:r>
      <w:r>
        <w:t xml:space="preserve">der </w:t>
      </w:r>
      <w:r w:rsidR="00940EA9">
        <w:t>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940EA9">
        <w:t>‘</w:t>
      </w:r>
    </w:p>
    <w:p w:rsidR="00D2554C" w:rsidRDefault="00D2554C" w:rsidP="002B5662">
      <w:pPr>
        <w:pStyle w:val="Interpretation"/>
      </w:pPr>
      <w:r>
        <w:rPr>
          <w:i/>
        </w:rPr>
        <w:t>H</w:t>
      </w:r>
      <w:r w:rsidR="002D7999">
        <w:rPr>
          <w:vertAlign w:val="subscript"/>
        </w:rPr>
        <w:t>1</w:t>
      </w:r>
      <w:r w:rsidR="00A9596A">
        <w:rPr>
          <w:vertAlign w:val="subscript"/>
        </w:rPr>
        <w:t>2</w:t>
      </w:r>
      <w:r w:rsidR="00E777FE">
        <w:t xml:space="preserve"> [zum Schema]:</w:t>
      </w:r>
      <w:r w:rsidR="000460E0">
        <w:t xml:space="preserve"> </w:t>
      </w:r>
      <w:r w:rsidR="00940EA9">
        <w:t>‚</w:t>
      </w:r>
      <w:r w:rsidR="00593D9F">
        <w:t>geschwungene</w:t>
      </w:r>
      <w:r w:rsidR="000C5BF3">
        <w:t xml:space="preserve"> </w:t>
      </w:r>
      <w:r w:rsidR="00AF6206">
        <w:t>Wände</w:t>
      </w:r>
      <w:r w:rsidR="00BF48A2">
        <w:t xml:space="preserve"> </w:t>
      </w:r>
      <w:r>
        <w:t xml:space="preserve">sind ein </w:t>
      </w:r>
      <w:r w:rsidR="00940EA9">
        <w:t xml:space="preserve">Gestaltungselement </w:t>
      </w:r>
      <w:r>
        <w:t xml:space="preserve">der </w:t>
      </w:r>
      <w:r w:rsidR="00940EA9">
        <w:t>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940EA9">
        <w:t>‘</w:t>
      </w:r>
    </w:p>
    <w:p w:rsidR="002D7999" w:rsidRDefault="002D7999" w:rsidP="002B5662">
      <w:pPr>
        <w:pStyle w:val="Formel"/>
      </w:pPr>
      <w:r>
        <w:rPr>
          <w:i/>
          <w:iCs/>
        </w:rPr>
        <w:t>B</w:t>
      </w:r>
      <w:r w:rsidR="002F00A7">
        <w:rPr>
          <w:iCs/>
          <w:vertAlign w:val="subscript"/>
        </w:rPr>
        <w:t>11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A9596A">
        <w:rPr>
          <w:iCs/>
          <w:vertAlign w:val="subscript"/>
        </w:rPr>
        <w:t>11</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A9596A">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Ded</w:t>
      </w:r>
      <w:r>
        <w:t xml:space="preserve"> </w:t>
      </w:r>
      <w:r w:rsidR="006841DF">
        <w:t xml:space="preserve"> </w:t>
      </w:r>
      <w:r>
        <w:rPr>
          <w:i/>
          <w:iCs/>
        </w:rPr>
        <w:t>Er</w:t>
      </w:r>
      <w:r>
        <w:rPr>
          <w:vertAlign w:val="subscript"/>
        </w:rPr>
        <w:t>15</w:t>
      </w:r>
    </w:p>
    <w:p w:rsidR="00940EA9" w:rsidRDefault="00321FD3" w:rsidP="002B5662">
      <w:pPr>
        <w:pStyle w:val="Interpretation"/>
      </w:pPr>
      <w:r>
        <w:rPr>
          <w:i/>
        </w:rPr>
        <w:t>Er</w:t>
      </w:r>
      <w:r w:rsidR="002D7999">
        <w:rPr>
          <w:vertAlign w:val="subscript"/>
        </w:rPr>
        <w:t>15</w:t>
      </w:r>
      <w:r>
        <w:t>: ‚Fensterbänder, ein Gestaltungselement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werden in </w:t>
      </w:r>
      <w:r w:rsidR="000C5BF3">
        <w:t>g</w:t>
      </w:r>
      <w:r w:rsidR="000C5BF3">
        <w:t>e</w:t>
      </w:r>
      <w:r w:rsidR="000C5BF3">
        <w:t xml:space="preserve">schwungene </w:t>
      </w:r>
      <w:r>
        <w:t>Wände, ein Gestaltungselement der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eingebaut‘</w:t>
      </w:r>
    </w:p>
    <w:p w:rsidR="002D7999" w:rsidRDefault="002D7999" w:rsidP="002B5662">
      <w:pPr>
        <w:pStyle w:val="Formel"/>
      </w:pPr>
      <w:r>
        <w:rPr>
          <w:i/>
          <w:iCs/>
        </w:rPr>
        <w:t>Er</w:t>
      </w:r>
      <w:r>
        <w:rPr>
          <w:iCs/>
          <w:vertAlign w:val="subscript"/>
        </w:rPr>
        <w:t>15</w:t>
      </w:r>
      <w:r>
        <w:t xml:space="preserve"> </w:t>
      </w:r>
      <w:r w:rsidR="002434D2">
        <w:rPr>
          <w:rFonts w:ascii="Cambria Math" w:eastAsia="Arial Unicode MS" w:hAnsi="Cambria Math" w:cs="Cambria Math"/>
          <w:color w:val="000000" w:themeColor="text1"/>
        </w:rPr>
        <w:t>⤳</w:t>
      </w:r>
      <w:r w:rsidR="00F22FD1">
        <w:rPr>
          <w:vertAlign w:val="subscript"/>
        </w:rPr>
        <w:t>Ind</w:t>
      </w:r>
      <w:r>
        <w:t xml:space="preserve"> </w:t>
      </w:r>
      <w:r w:rsidR="006841DF">
        <w:t xml:space="preserve"> </w:t>
      </w:r>
      <w:r>
        <w:rPr>
          <w:i/>
          <w:iCs/>
        </w:rPr>
        <w:t>Er</w:t>
      </w:r>
      <w:r>
        <w:rPr>
          <w:vertAlign w:val="subscript"/>
        </w:rPr>
        <w:t>16</w:t>
      </w:r>
    </w:p>
    <w:p w:rsidR="00D2554C" w:rsidRDefault="00D65CC7" w:rsidP="002B5662">
      <w:pPr>
        <w:pStyle w:val="Interpretation"/>
      </w:pPr>
      <w:r>
        <w:rPr>
          <w:i/>
        </w:rPr>
        <w:t>Er</w:t>
      </w:r>
      <w:r w:rsidR="002D7999">
        <w:rPr>
          <w:vertAlign w:val="subscript"/>
        </w:rPr>
        <w:t>16</w:t>
      </w:r>
      <w:r w:rsidR="00D2554C">
        <w:t>:</w:t>
      </w:r>
      <w:r>
        <w:t xml:space="preserve"> ‚</w:t>
      </w:r>
      <w:r w:rsidR="00143EC8">
        <w:t xml:space="preserve">Kombination </w:t>
      </w:r>
      <w:r>
        <w:t>moderne</w:t>
      </w:r>
      <w:r w:rsidR="00143EC8">
        <w:t>r</w:t>
      </w:r>
      <w:r>
        <w:t xml:space="preserve"> Gestaltungselemente mit postmodernen Gesta</w:t>
      </w:r>
      <w:r>
        <w:t>l</w:t>
      </w:r>
      <w:r>
        <w:t>tungselementen‘</w:t>
      </w:r>
    </w:p>
    <w:p w:rsidR="002F00A7" w:rsidRDefault="002F00A7" w:rsidP="002B5662">
      <w:pPr>
        <w:pStyle w:val="Interpretation"/>
      </w:pPr>
      <w:r>
        <w:rPr>
          <w:i/>
        </w:rPr>
        <w:t>U</w:t>
      </w:r>
      <w:r>
        <w:t>(</w:t>
      </w:r>
      <w:r>
        <w:rPr>
          <w:i/>
        </w:rPr>
        <w:t>B</w:t>
      </w:r>
      <w:r>
        <w:rPr>
          <w:vertAlign w:val="subscript"/>
        </w:rPr>
        <w:t>1</w:t>
      </w:r>
      <w:r w:rsidR="00EB54C8">
        <w:rPr>
          <w:vertAlign w:val="subscript"/>
        </w:rPr>
        <w:t>2</w:t>
      </w:r>
      <w:r>
        <w:t>): ‚Sockelzone des mittleren Baukörpers im „Atheneum</w:t>
      </w:r>
      <w:r w:rsidR="005D7996">
        <w:fldChar w:fldCharType="begin"/>
      </w:r>
      <w:r w:rsidR="0000562A">
        <w:instrText xml:space="preserve"> XE "Atheneum (Richard Meier)" </w:instrText>
      </w:r>
      <w:r w:rsidR="005D7996">
        <w:fldChar w:fldCharType="end"/>
      </w:r>
      <w:r>
        <w:t xml:space="preserve">“‘, </w:t>
      </w:r>
      <w:r>
        <w:rPr>
          <w:i/>
        </w:rPr>
        <w:t>V</w:t>
      </w:r>
      <w:r>
        <w:t>(</w:t>
      </w:r>
      <w:r>
        <w:rPr>
          <w:i/>
        </w:rPr>
        <w:t>B</w:t>
      </w:r>
      <w:r>
        <w:rPr>
          <w:vertAlign w:val="subscript"/>
        </w:rPr>
        <w:t>1</w:t>
      </w:r>
      <w:r w:rsidR="00EB54C8">
        <w:rPr>
          <w:vertAlign w:val="subscript"/>
        </w:rPr>
        <w:t>2</w:t>
      </w:r>
      <w:r>
        <w:t>): ‚gege</w:t>
      </w:r>
      <w:r>
        <w:t>n</w:t>
      </w:r>
      <w:r>
        <w:t>über den oberen Stockwerken zurückgesetzte durchgehende Verglasung</w:t>
      </w:r>
      <w:r w:rsidR="000406EE">
        <w:t>;</w:t>
      </w:r>
      <w:r>
        <w:t xml:space="preserve"> in R</w:t>
      </w:r>
      <w:r>
        <w:t>e</w:t>
      </w:r>
      <w:r>
        <w:t>lation zum Gewicht des darüber liegenden Baukörpers sehr dünne weiße Säulen‘</w:t>
      </w:r>
    </w:p>
    <w:p w:rsidR="002F00A7" w:rsidRDefault="002F00A7" w:rsidP="002B5662">
      <w:pPr>
        <w:pStyle w:val="Formel"/>
      </w:pPr>
      <w:r>
        <w:rPr>
          <w:i/>
          <w:iCs/>
        </w:rPr>
        <w:t>B</w:t>
      </w:r>
      <w:r>
        <w:rPr>
          <w:iCs/>
          <w:vertAlign w:val="subscript"/>
        </w:rPr>
        <w:t>1</w:t>
      </w:r>
      <w:r w:rsidR="00EB54C8">
        <w:rPr>
          <w:iCs/>
          <w:vertAlign w:val="subscript"/>
        </w:rPr>
        <w:t>2</w:t>
      </w:r>
      <w:r>
        <w:t xml:space="preserve"> </w:t>
      </w:r>
      <w:r w:rsidR="002434D2">
        <w:rPr>
          <w:rFonts w:ascii="Cambria Math" w:eastAsia="Arial Unicode MS" w:hAnsi="Cambria Math" w:cs="Cambria Math"/>
          <w:color w:val="000000" w:themeColor="text1"/>
        </w:rPr>
        <w:t>⤳</w:t>
      </w:r>
      <w:r w:rsidR="00B43180">
        <w:rPr>
          <w:vertAlign w:val="subscript"/>
        </w:rPr>
        <w:t>Ass</w:t>
      </w:r>
      <w:r>
        <w:t xml:space="preserve">  </w:t>
      </w:r>
      <w:r>
        <w:rPr>
          <w:i/>
          <w:iCs/>
        </w:rPr>
        <w:t>Er</w:t>
      </w:r>
      <w:r>
        <w:rPr>
          <w:vertAlign w:val="subscript"/>
        </w:rPr>
        <w:t>17</w:t>
      </w:r>
    </w:p>
    <w:p w:rsidR="002F00A7" w:rsidRDefault="002F00A7" w:rsidP="002B5662">
      <w:pPr>
        <w:pStyle w:val="Interpretation"/>
      </w:pPr>
      <w:r>
        <w:rPr>
          <w:i/>
        </w:rPr>
        <w:lastRenderedPageBreak/>
        <w:t>Er</w:t>
      </w:r>
      <w:r>
        <w:rPr>
          <w:vertAlign w:val="subscript"/>
        </w:rPr>
        <w:t>17</w:t>
      </w:r>
      <w:r>
        <w:t>: ‚Die statische Funktionsweise bleibt unsicher: Der Baukörper scheint wacklig auf sehr dünnen Säulen zu stehen‘</w:t>
      </w:r>
    </w:p>
    <w:p w:rsidR="006E5E24" w:rsidRDefault="006E5E24" w:rsidP="002B5662">
      <w:pPr>
        <w:pStyle w:val="Interpretation"/>
      </w:pPr>
      <w:r>
        <w:rPr>
          <w:i/>
        </w:rPr>
        <w:t>H</w:t>
      </w:r>
      <w:r w:rsidR="002D7999">
        <w:rPr>
          <w:vertAlign w:val="subscript"/>
        </w:rPr>
        <w:t>1</w:t>
      </w:r>
      <w:r w:rsidR="00A9596A">
        <w:rPr>
          <w:vertAlign w:val="subscript"/>
        </w:rPr>
        <w:t>3</w:t>
      </w:r>
      <w:r w:rsidR="00E777FE">
        <w:t xml:space="preserve"> [zum Schema]:</w:t>
      </w:r>
      <w:r>
        <w:t xml:space="preserve"> ‚Es ist </w:t>
      </w:r>
      <w:r w:rsidR="00217739">
        <w:t xml:space="preserve">aufwendiger und daher </w:t>
      </w:r>
      <w:r w:rsidR="00D63478">
        <w:t xml:space="preserve">weniger </w:t>
      </w:r>
      <w:r w:rsidR="00217739">
        <w:t xml:space="preserve">funktional, </w:t>
      </w:r>
      <w:r>
        <w:t>ein Fen</w:t>
      </w:r>
      <w:r>
        <w:t>s</w:t>
      </w:r>
      <w:r>
        <w:t xml:space="preserve">terband in eine </w:t>
      </w:r>
      <w:r w:rsidR="00217739">
        <w:t xml:space="preserve">geschwungene </w:t>
      </w:r>
      <w:r>
        <w:t xml:space="preserve">Wand einzubauen, als in eine </w:t>
      </w:r>
      <w:r w:rsidR="00217739">
        <w:t>gerade Wand</w:t>
      </w:r>
      <w:r>
        <w:t>‘</w:t>
      </w:r>
    </w:p>
    <w:p w:rsidR="006E5E24" w:rsidRDefault="006E5E24" w:rsidP="002B5662">
      <w:pPr>
        <w:pStyle w:val="Interpretation"/>
      </w:pPr>
      <w:r>
        <w:rPr>
          <w:i/>
        </w:rPr>
        <w:t>H</w:t>
      </w:r>
      <w:r>
        <w:rPr>
          <w:vertAlign w:val="subscript"/>
        </w:rPr>
        <w:t>1</w:t>
      </w:r>
      <w:r w:rsidR="00A9596A">
        <w:rPr>
          <w:vertAlign w:val="subscript"/>
        </w:rPr>
        <w:t>4</w:t>
      </w:r>
      <w:r>
        <w:t xml:space="preserve">: ‚Funktionalität </w:t>
      </w:r>
      <w:r w:rsidR="00AC1036">
        <w:t xml:space="preserve">ist ein Grundprinzip </w:t>
      </w:r>
      <w:r w:rsidR="00217739">
        <w:t>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217739">
        <w:t>‘</w:t>
      </w:r>
    </w:p>
    <w:p w:rsidR="00540131" w:rsidRDefault="002F00A7" w:rsidP="002B5662">
      <w:pPr>
        <w:pStyle w:val="Formel"/>
      </w:pPr>
      <w:r>
        <w:rPr>
          <w:i/>
          <w:iCs/>
        </w:rPr>
        <w:t>Er</w:t>
      </w:r>
      <w:r w:rsidR="00540131">
        <w:rPr>
          <w:iCs/>
          <w:vertAlign w:val="subscript"/>
        </w:rPr>
        <w:t>1</w:t>
      </w:r>
      <w:r>
        <w:rPr>
          <w:iCs/>
          <w:vertAlign w:val="subscript"/>
        </w:rPr>
        <w:t>7</w:t>
      </w:r>
      <w:r w:rsidR="00540131">
        <w:t xml:space="preserve"> </w:t>
      </w:r>
      <w:r w:rsidR="00540131">
        <w:rPr>
          <w:rFonts w:ascii="Cambria Math" w:hAnsi="Cambria Math" w:cs="Cambria Math"/>
          <w:color w:val="000000" w:themeColor="text1"/>
        </w:rPr>
        <w:t>∧</w:t>
      </w:r>
      <w:r w:rsidR="00540131">
        <w:rPr>
          <w:rFonts w:cs="Times New Roman"/>
          <w:color w:val="000000" w:themeColor="text1"/>
        </w:rPr>
        <w:t xml:space="preserve"> </w:t>
      </w:r>
      <w:r w:rsidR="00540131">
        <w:rPr>
          <w:i/>
          <w:iCs/>
        </w:rPr>
        <w:t>H</w:t>
      </w:r>
      <w:r w:rsidR="00540131">
        <w:rPr>
          <w:iCs/>
          <w:vertAlign w:val="subscript"/>
        </w:rPr>
        <w:t>1</w:t>
      </w:r>
      <w:r w:rsidR="00A9596A">
        <w:rPr>
          <w:iCs/>
          <w:vertAlign w:val="subscript"/>
        </w:rPr>
        <w:t>3</w:t>
      </w:r>
      <w:r w:rsidR="00540131" w:rsidRPr="009F112E">
        <w:rPr>
          <w:rFonts w:eastAsia="Arial Unicode MS" w:cs="Times New Roman"/>
          <w:color w:val="000000" w:themeColor="text1"/>
        </w:rPr>
        <w:t xml:space="preserve"> </w:t>
      </w:r>
      <w:r w:rsidR="00540131">
        <w:rPr>
          <w:rFonts w:ascii="Cambria Math" w:hAnsi="Cambria Math" w:cs="Cambria Math"/>
          <w:color w:val="000000" w:themeColor="text1"/>
        </w:rPr>
        <w:t>∧</w:t>
      </w:r>
      <w:r w:rsidR="00540131">
        <w:rPr>
          <w:rFonts w:cs="Times New Roman"/>
          <w:color w:val="000000" w:themeColor="text1"/>
        </w:rPr>
        <w:t xml:space="preserve"> </w:t>
      </w:r>
      <w:r w:rsidR="00540131">
        <w:rPr>
          <w:i/>
          <w:iCs/>
        </w:rPr>
        <w:t>H</w:t>
      </w:r>
      <w:r w:rsidR="00540131">
        <w:rPr>
          <w:iCs/>
          <w:vertAlign w:val="subscript"/>
        </w:rPr>
        <w:t>1</w:t>
      </w:r>
      <w:r w:rsidR="00A9596A">
        <w:rPr>
          <w:iCs/>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Ded</w:t>
      </w:r>
      <w:r w:rsidR="00540131">
        <w:t xml:space="preserve"> </w:t>
      </w:r>
      <w:r w:rsidR="006841DF">
        <w:t xml:space="preserve"> </w:t>
      </w:r>
      <w:r w:rsidR="00540131">
        <w:rPr>
          <w:i/>
          <w:iCs/>
        </w:rPr>
        <w:t>Er</w:t>
      </w:r>
      <w:r w:rsidR="00540131">
        <w:rPr>
          <w:vertAlign w:val="subscript"/>
        </w:rPr>
        <w:t>1</w:t>
      </w:r>
      <w:r w:rsidR="006D0CC4">
        <w:rPr>
          <w:vertAlign w:val="subscript"/>
        </w:rPr>
        <w:t>8</w:t>
      </w:r>
    </w:p>
    <w:p w:rsidR="006E5E24" w:rsidRDefault="006E5E24" w:rsidP="002B5662">
      <w:pPr>
        <w:pStyle w:val="Interpretation"/>
      </w:pPr>
      <w:r>
        <w:rPr>
          <w:i/>
        </w:rPr>
        <w:t>Er</w:t>
      </w:r>
      <w:r>
        <w:rPr>
          <w:vertAlign w:val="subscript"/>
        </w:rPr>
        <w:t>1</w:t>
      </w:r>
      <w:r w:rsidR="006D0CC4">
        <w:rPr>
          <w:vertAlign w:val="subscript"/>
        </w:rPr>
        <w:t>8</w:t>
      </w:r>
      <w:r>
        <w:t>: ‚</w:t>
      </w:r>
      <w:r w:rsidR="00AE39B4">
        <w:t xml:space="preserve">Fensterbänder werden </w:t>
      </w:r>
      <w:r>
        <w:t xml:space="preserve">entgegen </w:t>
      </w:r>
      <w:r w:rsidR="00AE39B4">
        <w:t xml:space="preserve">den </w:t>
      </w:r>
      <w:r w:rsidR="00AC1036">
        <w:t>Grundprinzipien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AC1036">
        <w:t xml:space="preserve"> ang</w:t>
      </w:r>
      <w:r w:rsidR="00AC1036">
        <w:t>e</w:t>
      </w:r>
      <w:r w:rsidR="00AC1036">
        <w:t>wandt</w:t>
      </w:r>
      <w:r>
        <w:t>‘</w:t>
      </w:r>
    </w:p>
    <w:p w:rsidR="00540131" w:rsidRDefault="00540131" w:rsidP="002B5662">
      <w:pPr>
        <w:pStyle w:val="Formel"/>
      </w:pPr>
      <w:r>
        <w:rPr>
          <w:i/>
          <w:iCs/>
        </w:rPr>
        <w:t>Er</w:t>
      </w:r>
      <w:r>
        <w:rPr>
          <w:iCs/>
          <w:vertAlign w:val="subscript"/>
        </w:rPr>
        <w:t>1</w:t>
      </w:r>
      <w:r w:rsidR="006D0CC4">
        <w:rPr>
          <w:iCs/>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A9596A">
        <w:rPr>
          <w:iCs/>
          <w:vertAlign w:val="subscript"/>
        </w:rPr>
        <w:t>11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6841DF">
        <w:rPr>
          <w:vertAlign w:val="subscript"/>
        </w:rPr>
        <w:t>Ded</w:t>
      </w:r>
      <w:r>
        <w:t xml:space="preserve"> </w:t>
      </w:r>
      <w:r w:rsidR="006841DF">
        <w:t xml:space="preserve"> </w:t>
      </w:r>
      <w:r>
        <w:rPr>
          <w:i/>
          <w:iCs/>
        </w:rPr>
        <w:t>Er</w:t>
      </w:r>
      <w:r w:rsidR="006D0CC4">
        <w:rPr>
          <w:vertAlign w:val="subscript"/>
        </w:rPr>
        <w:t>19</w:t>
      </w:r>
    </w:p>
    <w:p w:rsidR="00B870A6" w:rsidRDefault="00B34760" w:rsidP="002B5662">
      <w:pPr>
        <w:pStyle w:val="InterpretationletzteZeile"/>
      </w:pPr>
      <w:r>
        <w:rPr>
          <w:i/>
        </w:rPr>
        <w:t>Er</w:t>
      </w:r>
      <w:r w:rsidR="006D0CC4">
        <w:rPr>
          <w:vertAlign w:val="subscript"/>
        </w:rPr>
        <w:t>19</w:t>
      </w:r>
      <w:r>
        <w:t>: ‚Ein Gestaltungselement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wird entgegen </w:t>
      </w:r>
      <w:r w:rsidR="00AE39B4">
        <w:t xml:space="preserve">den </w:t>
      </w:r>
      <w:r>
        <w:t>Grundprinzipien der Moderne angewandt‘</w:t>
      </w:r>
    </w:p>
    <w:p w:rsidR="00143EC8" w:rsidRPr="00143EC8" w:rsidRDefault="00143EC8" w:rsidP="002B5662">
      <w:pPr>
        <w:pStyle w:val="Text"/>
        <w:ind w:firstLine="0"/>
        <w:rPr>
          <w:iCs/>
        </w:rPr>
      </w:pPr>
      <w:r>
        <w:rPr>
          <w:iCs/>
        </w:rPr>
        <w:t xml:space="preserve">Dies kann nun durch die Anwendung einer </w:t>
      </w:r>
      <w:r w:rsidR="00B833A3">
        <w:rPr>
          <w:iCs/>
        </w:rPr>
        <w:t xml:space="preserve">Induktion </w:t>
      </w:r>
      <w:r>
        <w:rPr>
          <w:iCs/>
        </w:rPr>
        <w:t>auf die Architektur R</w:t>
      </w:r>
      <w:r>
        <w:rPr>
          <w:iCs/>
        </w:rPr>
        <w:t>i</w:t>
      </w:r>
      <w:r>
        <w:rPr>
          <w:iCs/>
        </w:rPr>
        <w:t>chard Meiers verallgemeinert werden:</w:t>
      </w:r>
    </w:p>
    <w:p w:rsidR="00540131" w:rsidRDefault="00540131" w:rsidP="002B5662">
      <w:pPr>
        <w:pStyle w:val="Formel"/>
      </w:pPr>
      <w:r>
        <w:rPr>
          <w:i/>
          <w:iCs/>
        </w:rPr>
        <w:t>Er</w:t>
      </w:r>
      <w:r>
        <w:rPr>
          <w:iCs/>
          <w:vertAlign w:val="subscript"/>
        </w:rPr>
        <w:t>16</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6D0CC4">
        <w:rPr>
          <w:iCs/>
          <w:vertAlign w:val="subscript"/>
        </w:rPr>
        <w:t>19</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B833A3">
        <w:rPr>
          <w:vertAlign w:val="subscript"/>
        </w:rPr>
        <w:t>Ind</w:t>
      </w:r>
      <w:r>
        <w:t xml:space="preserve"> </w:t>
      </w:r>
      <w:r w:rsidR="006841DF">
        <w:t xml:space="preserve"> </w:t>
      </w:r>
      <w:r>
        <w:rPr>
          <w:i/>
          <w:iCs/>
        </w:rPr>
        <w:t>Er</w:t>
      </w:r>
      <w:r w:rsidR="006D0CC4">
        <w:rPr>
          <w:vertAlign w:val="subscript"/>
        </w:rPr>
        <w:t>20</w:t>
      </w:r>
    </w:p>
    <w:p w:rsidR="00B34760" w:rsidRDefault="00B34760" w:rsidP="002B5662">
      <w:pPr>
        <w:pStyle w:val="InterpretationletzteZeile"/>
      </w:pPr>
      <w:r>
        <w:rPr>
          <w:i/>
        </w:rPr>
        <w:t>Er</w:t>
      </w:r>
      <w:r w:rsidR="00540131">
        <w:rPr>
          <w:vertAlign w:val="subscript"/>
        </w:rPr>
        <w:t>2</w:t>
      </w:r>
      <w:r w:rsidR="006D0CC4">
        <w:rPr>
          <w:vertAlign w:val="subscript"/>
        </w:rPr>
        <w:t>0</w:t>
      </w:r>
      <w:r>
        <w:t xml:space="preserve">: ‚Die Architektur </w:t>
      </w:r>
      <w:r w:rsidR="00D03D96">
        <w:t xml:space="preserve">des </w:t>
      </w:r>
      <w:r w:rsidR="0085753F">
        <w:t xml:space="preserve">SN </w:t>
      </w:r>
      <w:r w:rsidR="00AE39B4">
        <w:t xml:space="preserve">kombiniert </w:t>
      </w:r>
      <w:r w:rsidR="00143EC8">
        <w:t xml:space="preserve">moderne </w:t>
      </w:r>
      <w:r w:rsidR="00AE39B4">
        <w:t>Gestaltungselemente</w:t>
      </w:r>
      <w:r w:rsidR="00BB5D73">
        <w:t xml:space="preserve">, </w:t>
      </w:r>
      <w:r w:rsidR="00AE39B4">
        <w:t xml:space="preserve">die </w:t>
      </w:r>
      <w:r w:rsidR="00143EC8">
        <w:t xml:space="preserve">entgegen den </w:t>
      </w:r>
      <w:r w:rsidR="006F6A91">
        <w:t>Grundp</w:t>
      </w:r>
      <w:r w:rsidR="00143EC8">
        <w:t>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143EC8">
        <w:t xml:space="preserve"> angewandt werden</w:t>
      </w:r>
      <w:r w:rsidR="00BB5D73">
        <w:t>, mit postmode</w:t>
      </w:r>
      <w:r w:rsidR="00BB5D73">
        <w:t>r</w:t>
      </w:r>
      <w:r w:rsidR="00BB5D73">
        <w:t>nen Gestaltungselementen</w:t>
      </w:r>
      <w:r w:rsidR="00143EC8">
        <w:t>‘</w:t>
      </w:r>
    </w:p>
    <w:p w:rsidR="00B34760" w:rsidRDefault="00143EC8" w:rsidP="002B5662">
      <w:pPr>
        <w:pStyle w:val="Text"/>
        <w:ind w:firstLine="0"/>
      </w:pPr>
      <w:r>
        <w:t xml:space="preserve">Eine andere Möglichkeit besteht darin, </w:t>
      </w:r>
      <w:r w:rsidR="008906C5">
        <w:rPr>
          <w:i/>
          <w:iCs/>
        </w:rPr>
        <w:t>Er</w:t>
      </w:r>
      <w:r w:rsidR="006D0CC4">
        <w:rPr>
          <w:iCs/>
          <w:vertAlign w:val="subscript"/>
        </w:rPr>
        <w:t>19</w:t>
      </w:r>
      <w:r>
        <w:t xml:space="preserve"> auf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zu verallgeme</w:t>
      </w:r>
      <w:r>
        <w:t>i</w:t>
      </w:r>
      <w:r>
        <w:t>nern:</w:t>
      </w:r>
    </w:p>
    <w:p w:rsidR="00AE39B4" w:rsidRDefault="00AE39B4" w:rsidP="002B5662">
      <w:pPr>
        <w:pStyle w:val="Formel"/>
      </w:pPr>
      <w:r>
        <w:rPr>
          <w:i/>
          <w:iCs/>
        </w:rPr>
        <w:t>Er</w:t>
      </w:r>
      <w:r>
        <w:rPr>
          <w:iCs/>
          <w:vertAlign w:val="subscript"/>
        </w:rPr>
        <w:t>16</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6D0CC4">
        <w:rPr>
          <w:iCs/>
          <w:vertAlign w:val="subscript"/>
        </w:rPr>
        <w:t>19</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2</w:t>
      </w:r>
      <w:r w:rsidR="006D0CC4">
        <w:rPr>
          <w:vertAlign w:val="subscript"/>
        </w:rPr>
        <w:t>1</w:t>
      </w:r>
    </w:p>
    <w:p w:rsidR="00E66523" w:rsidRDefault="00E66523" w:rsidP="002B5662">
      <w:pPr>
        <w:pStyle w:val="Interpretation"/>
      </w:pPr>
      <w:r>
        <w:rPr>
          <w:i/>
        </w:rPr>
        <w:t>Er</w:t>
      </w:r>
      <w:r>
        <w:rPr>
          <w:vertAlign w:val="subscript"/>
        </w:rPr>
        <w:t>2</w:t>
      </w:r>
      <w:r w:rsidR="006D0CC4">
        <w:rPr>
          <w:vertAlign w:val="subscript"/>
        </w:rPr>
        <w:t>1</w:t>
      </w:r>
      <w:r>
        <w:t>: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w:t>
      </w:r>
      <w:r w:rsidR="00AE39B4">
        <w:t>kombiniert moderne Gestaltungselemente, die entgegen den Grundprinzipien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AE39B4">
        <w:t xml:space="preserve"> angewandt werden</w:t>
      </w:r>
      <w:r w:rsidR="00BB5D73">
        <w:t>, mit postmodernen G</w:t>
      </w:r>
      <w:r w:rsidR="00BB5D73">
        <w:t>e</w:t>
      </w:r>
      <w:r w:rsidR="00BB5D73">
        <w:t>staltungselementen</w:t>
      </w:r>
      <w:r>
        <w:t>‘</w:t>
      </w:r>
    </w:p>
    <w:p w:rsidR="006F6A91" w:rsidRDefault="00143EC8" w:rsidP="002B5662">
      <w:pPr>
        <w:pStyle w:val="Interpretation"/>
      </w:pPr>
      <w:r>
        <w:rPr>
          <w:i/>
        </w:rPr>
        <w:t>H</w:t>
      </w:r>
      <w:r>
        <w:rPr>
          <w:vertAlign w:val="subscript"/>
        </w:rPr>
        <w:t>1</w:t>
      </w:r>
      <w:r w:rsidR="00A9596A">
        <w:rPr>
          <w:vertAlign w:val="subscript"/>
        </w:rPr>
        <w:t>5</w:t>
      </w:r>
      <w:r>
        <w:t xml:space="preserve">: ‚Wenn </w:t>
      </w:r>
      <w:r w:rsidR="00DB5BF3">
        <w:t xml:space="preserve">die </w:t>
      </w:r>
      <w:r w:rsidR="00BF1984">
        <w:t>architektonische R</w:t>
      </w:r>
      <w:r w:rsidR="00DB5BF3">
        <w:t>ichtung</w:t>
      </w:r>
      <w:r w:rsidR="00F253C0">
        <w:t xml:space="preserve"> </w:t>
      </w:r>
      <w:r w:rsidR="006F6A91">
        <w:t xml:space="preserve">A </w:t>
      </w:r>
      <w:r w:rsidR="00F253C0">
        <w:t xml:space="preserve">Gestaltungselemente </w:t>
      </w:r>
      <w:r w:rsidR="00DB5BF3">
        <w:t xml:space="preserve">der </w:t>
      </w:r>
      <w:r w:rsidR="00BF1984">
        <w:t>archite</w:t>
      </w:r>
      <w:r w:rsidR="00BF1984">
        <w:t>k</w:t>
      </w:r>
      <w:r w:rsidR="00BF1984">
        <w:t xml:space="preserve">tonischen Richtung </w:t>
      </w:r>
      <w:r w:rsidR="006F6A91">
        <w:t>B</w:t>
      </w:r>
      <w:r w:rsidR="00F253C0">
        <w:t xml:space="preserve">, die </w:t>
      </w:r>
      <w:r w:rsidR="006F6A91">
        <w:t xml:space="preserve">entgegen den Grundprinzipien </w:t>
      </w:r>
      <w:r w:rsidR="00DB5BF3">
        <w:t xml:space="preserve">von </w:t>
      </w:r>
      <w:r w:rsidR="006F6A91">
        <w:t>B verwendet</w:t>
      </w:r>
      <w:r w:rsidR="00F253C0">
        <w:t xml:space="preserve"> we</w:t>
      </w:r>
      <w:r w:rsidR="00F253C0">
        <w:t>r</w:t>
      </w:r>
      <w:r w:rsidR="00F253C0">
        <w:t>den</w:t>
      </w:r>
      <w:r w:rsidR="006F6A91">
        <w:t xml:space="preserve">, </w:t>
      </w:r>
      <w:r w:rsidR="002B7114">
        <w:t xml:space="preserve">mit eigenen Gestaltungselementen kombiniert, </w:t>
      </w:r>
      <w:r w:rsidR="00F253C0">
        <w:t>eignet sich A</w:t>
      </w:r>
      <w:r w:rsidR="006F6A91">
        <w:t xml:space="preserve"> </w:t>
      </w:r>
      <w:r w:rsidR="00DB5BF3">
        <w:t>B</w:t>
      </w:r>
      <w:r w:rsidR="006D2F57">
        <w:t xml:space="preserve"> </w:t>
      </w:r>
      <w:r w:rsidR="00F253C0">
        <w:t>an</w:t>
      </w:r>
      <w:r w:rsidR="006D2F57">
        <w:t>‘</w:t>
      </w:r>
    </w:p>
    <w:p w:rsidR="00143EC8" w:rsidRDefault="00143EC8" w:rsidP="002B5662">
      <w:pPr>
        <w:pStyle w:val="Formel"/>
      </w:pPr>
      <w:r>
        <w:rPr>
          <w:i/>
          <w:iCs/>
        </w:rPr>
        <w:t>Er</w:t>
      </w:r>
      <w:r w:rsidR="006D0CC4">
        <w:rPr>
          <w:iCs/>
          <w:vertAlign w:val="subscript"/>
        </w:rPr>
        <w:t>21</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A9596A">
        <w:rPr>
          <w:iCs/>
          <w:vertAlign w:val="subscript"/>
        </w:rPr>
        <w:t>5</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B833A3">
        <w:rPr>
          <w:vertAlign w:val="subscript"/>
        </w:rPr>
        <w:t>Ind</w:t>
      </w:r>
      <w:r>
        <w:t xml:space="preserve"> </w:t>
      </w:r>
      <w:r w:rsidR="006841DF">
        <w:t xml:space="preserve"> </w:t>
      </w:r>
      <w:r>
        <w:rPr>
          <w:i/>
          <w:iCs/>
        </w:rPr>
        <w:t>Er</w:t>
      </w:r>
      <w:r w:rsidR="00540131">
        <w:rPr>
          <w:vertAlign w:val="subscript"/>
        </w:rPr>
        <w:t>2</w:t>
      </w:r>
      <w:r w:rsidR="006D0CC4">
        <w:rPr>
          <w:vertAlign w:val="subscript"/>
        </w:rPr>
        <w:t>2</w:t>
      </w:r>
    </w:p>
    <w:p w:rsidR="00D2554C" w:rsidRDefault="006D18FF" w:rsidP="002B5662">
      <w:pPr>
        <w:pStyle w:val="InterpretationletzteZeile"/>
      </w:pPr>
      <w:r>
        <w:rPr>
          <w:i/>
        </w:rPr>
        <w:t>Er</w:t>
      </w:r>
      <w:r w:rsidR="00540131">
        <w:rPr>
          <w:vertAlign w:val="subscript"/>
        </w:rPr>
        <w:t>2</w:t>
      </w:r>
      <w:r w:rsidR="006D0CC4">
        <w:rPr>
          <w:vertAlign w:val="subscript"/>
        </w:rPr>
        <w:t>2</w:t>
      </w:r>
      <w:r>
        <w:t>: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eignet sich die </w:t>
      </w:r>
      <w:r w:rsidR="007C3789">
        <w:t>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7C3789">
        <w:t xml:space="preserve"> an‘</w:t>
      </w:r>
    </w:p>
    <w:p w:rsidR="00F253C0" w:rsidRPr="004F6512" w:rsidRDefault="00F253C0" w:rsidP="002B5662">
      <w:pPr>
        <w:pStyle w:val="Text"/>
        <w:ind w:firstLine="0"/>
      </w:pPr>
      <w:r>
        <w:t>Es kann also mit Hilfe der Zuordnung des Meierschen Stils zu eine</w:t>
      </w:r>
      <w:r w:rsidR="00CD5DA0">
        <w:t>r architekt</w:t>
      </w:r>
      <w:r w:rsidR="00CD5DA0">
        <w:t>o</w:t>
      </w:r>
      <w:r w:rsidR="00CD5DA0">
        <w:t xml:space="preserve">nischen Richtung bzw. einem </w:t>
      </w:r>
      <w:r>
        <w:t>Epochenstil</w:t>
      </w:r>
      <w:r>
        <w:rPr>
          <w:rStyle w:val="Funotenzeichen"/>
        </w:rPr>
        <w:footnoteReference w:id="463"/>
      </w:r>
      <w:r>
        <w:t xml:space="preserve"> eine </w:t>
      </w:r>
      <w:r w:rsidR="00BF1984">
        <w:t xml:space="preserve">allgemeine </w:t>
      </w:r>
      <w:r>
        <w:t>Erkenntnis über den Umgang der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mit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t xml:space="preserve"> gewonnen werden.</w:t>
      </w:r>
      <w:bookmarkEnd w:id="362"/>
    </w:p>
    <w:p w:rsidR="00894C96" w:rsidRDefault="00894C96" w:rsidP="00894C96">
      <w:pPr>
        <w:pStyle w:val="Titel3"/>
      </w:pPr>
      <w:bookmarkStart w:id="366" w:name="_Ref256495850"/>
      <w:bookmarkStart w:id="367" w:name="_Toc325456789"/>
      <w:bookmarkStart w:id="368" w:name="Ellis"/>
      <w:r>
        <w:lastRenderedPageBreak/>
        <w:t>Bret Easton Ellis</w:t>
      </w:r>
      <w:bookmarkEnd w:id="366"/>
      <w:bookmarkEnd w:id="367"/>
    </w:p>
    <w:p w:rsidR="00D2554C" w:rsidRDefault="005D7996" w:rsidP="002B5662">
      <w:pPr>
        <w:pStyle w:val="Text"/>
        <w:ind w:firstLine="0"/>
      </w:pPr>
      <w:r w:rsidRPr="00B75997">
        <w:rPr>
          <w:bCs/>
        </w:rPr>
        <w:fldChar w:fldCharType="begin"/>
      </w:r>
      <w:r w:rsidR="00BA17CA" w:rsidRPr="00B75997">
        <w:instrText xml:space="preserve"> XE "</w:instrText>
      </w:r>
      <w:r w:rsidR="00BA17CA">
        <w:rPr>
          <w:bCs/>
        </w:rPr>
        <w:instrText>Ellis</w:instrText>
      </w:r>
      <w:r w:rsidR="00BA17CA" w:rsidRPr="00B75997">
        <w:rPr>
          <w:bCs/>
        </w:rPr>
        <w:instrText>,</w:instrText>
      </w:r>
      <w:r w:rsidR="00BA17CA" w:rsidRPr="00B75997">
        <w:instrText xml:space="preserve"> </w:instrText>
      </w:r>
      <w:r w:rsidR="00BA17CA">
        <w:rPr>
          <w:bCs/>
        </w:rPr>
        <w:instrText>Bret Easton</w:instrText>
      </w:r>
      <w:r w:rsidR="00BA17CA" w:rsidRPr="00B75997">
        <w:instrText>" \</w:instrText>
      </w:r>
      <w:r w:rsidR="00BA17CA">
        <w:instrText>r</w:instrText>
      </w:r>
      <w:r w:rsidR="00BA17CA" w:rsidRPr="00B75997">
        <w:instrText xml:space="preserve"> "</w:instrText>
      </w:r>
      <w:r w:rsidR="00BA17CA">
        <w:rPr>
          <w:rFonts w:cstheme="minorHAnsi"/>
        </w:rPr>
        <w:instrText>Ellis</w:instrText>
      </w:r>
      <w:r w:rsidR="00BA17CA" w:rsidRPr="00B75997">
        <w:instrText xml:space="preserve">" </w:instrText>
      </w:r>
      <w:r w:rsidRPr="00B75997">
        <w:rPr>
          <w:bCs/>
        </w:rPr>
        <w:fldChar w:fldCharType="end"/>
      </w:r>
      <w:r w:rsidRPr="00B75997">
        <w:rPr>
          <w:bCs/>
        </w:rPr>
        <w:fldChar w:fldCharType="begin"/>
      </w:r>
      <w:r w:rsidR="00BA17CA" w:rsidRPr="00B75997">
        <w:instrText xml:space="preserve"> XE "</w:instrText>
      </w:r>
      <w:r w:rsidR="00BA17CA">
        <w:rPr>
          <w:bCs/>
        </w:rPr>
        <w:instrText>American Psycho (Roman)</w:instrText>
      </w:r>
      <w:r w:rsidR="00BA17CA" w:rsidRPr="00B75997">
        <w:instrText xml:space="preserve">" </w:instrText>
      </w:r>
      <w:r w:rsidR="009850BB" w:rsidRPr="00B75997">
        <w:instrText>\</w:instrText>
      </w:r>
      <w:r w:rsidR="009850BB">
        <w:instrText>r</w:instrText>
      </w:r>
      <w:r w:rsidR="009850BB" w:rsidRPr="00B75997">
        <w:instrText xml:space="preserve"> "</w:instrText>
      </w:r>
      <w:r w:rsidR="009850BB">
        <w:rPr>
          <w:rFonts w:cstheme="minorHAnsi"/>
        </w:rPr>
        <w:instrText>Ellis</w:instrText>
      </w:r>
      <w:r w:rsidR="009850BB" w:rsidRPr="00B75997">
        <w:instrText xml:space="preserve">" </w:instrText>
      </w:r>
      <w:r w:rsidRPr="00B75997">
        <w:rPr>
          <w:bCs/>
        </w:rPr>
        <w:fldChar w:fldCharType="end"/>
      </w:r>
      <w:r w:rsidRPr="00B75997">
        <w:rPr>
          <w:bCs/>
        </w:rPr>
        <w:fldChar w:fldCharType="begin"/>
      </w:r>
      <w:r w:rsidR="00BA17CA" w:rsidRPr="00B75997">
        <w:instrText xml:space="preserve"> XE "</w:instrText>
      </w:r>
      <w:r w:rsidR="00BA17CA">
        <w:rPr>
          <w:bCs/>
        </w:rPr>
        <w:instrText>Glamorama (Roman)</w:instrText>
      </w:r>
      <w:r w:rsidR="00BA17CA" w:rsidRPr="00B75997">
        <w:instrText>" \</w:instrText>
      </w:r>
      <w:r w:rsidR="009850BB">
        <w:instrText>r</w:instrText>
      </w:r>
      <w:r w:rsidR="00BA17CA" w:rsidRPr="00B75997">
        <w:instrText xml:space="preserve"> "</w:instrText>
      </w:r>
      <w:r w:rsidR="00BA17CA">
        <w:rPr>
          <w:rFonts w:cstheme="minorHAnsi"/>
        </w:rPr>
        <w:instrText>Ellis</w:instrText>
      </w:r>
      <w:r w:rsidR="00BA17CA" w:rsidRPr="00B75997">
        <w:instrText xml:space="preserve">" </w:instrText>
      </w:r>
      <w:r w:rsidRPr="00B75997">
        <w:rPr>
          <w:bCs/>
        </w:rPr>
        <w:fldChar w:fldCharType="end"/>
      </w:r>
      <w:r w:rsidR="0096609A">
        <w:t xml:space="preserve">Literarische Textstile haben traditionell </w:t>
      </w:r>
      <w:r w:rsidR="007C52C7">
        <w:t>in der Stilforschung</w:t>
      </w:r>
      <w:r>
        <w:fldChar w:fldCharType="begin"/>
      </w:r>
      <w:r w:rsidR="00262183">
        <w:instrText xml:space="preserve"> XE "</w:instrText>
      </w:r>
      <w:r w:rsidR="00262183" w:rsidRPr="0078486D">
        <w:instrText>Stilforschung</w:instrText>
      </w:r>
      <w:r w:rsidR="00262183">
        <w:instrText xml:space="preserve">" </w:instrText>
      </w:r>
      <w:r>
        <w:fldChar w:fldCharType="end"/>
      </w:r>
      <w:r w:rsidR="007C52C7">
        <w:t xml:space="preserve"> </w:t>
      </w:r>
      <w:r w:rsidR="0096609A">
        <w:t>viel Aufmerksa</w:t>
      </w:r>
      <w:r w:rsidR="0096609A">
        <w:t>m</w:t>
      </w:r>
      <w:r w:rsidR="0096609A">
        <w:t xml:space="preserve">keit erfahren. </w:t>
      </w:r>
      <w:r w:rsidR="00D2554C">
        <w:t xml:space="preserve">Als Beispiel wird </w:t>
      </w:r>
      <w:r w:rsidR="0096609A">
        <w:t>eine Menge von Merkmalsregeln und eine Inte</w:t>
      </w:r>
      <w:r w:rsidR="0096609A">
        <w:t>r</w:t>
      </w:r>
      <w:r w:rsidR="0096609A">
        <w:t xml:space="preserve">pretation für den </w:t>
      </w:r>
      <w:r w:rsidR="00D2554C">
        <w:t>Schreibstil</w:t>
      </w:r>
      <w:r>
        <w:fldChar w:fldCharType="begin"/>
      </w:r>
      <w:r w:rsidR="00673F18">
        <w:instrText xml:space="preserve"> XE "</w:instrText>
      </w:r>
      <w:r w:rsidR="00673F18" w:rsidRPr="008B7C1D">
        <w:instrText>Schreibstil</w:instrText>
      </w:r>
      <w:r w:rsidR="00673F18">
        <w:instrText xml:space="preserve">" </w:instrText>
      </w:r>
      <w:r>
        <w:fldChar w:fldCharType="end"/>
      </w:r>
      <w:r w:rsidR="00D2554C">
        <w:t xml:space="preserve"> von Bret Easton Ellis </w:t>
      </w:r>
      <w:r w:rsidR="0096609A">
        <w:t xml:space="preserve">vorgestellt (basierend auf den Romanen </w:t>
      </w:r>
      <w:r w:rsidR="00D2554C">
        <w:t>„American Psycho“ (</w:t>
      </w:r>
      <w:r w:rsidR="00D469EF">
        <w:t xml:space="preserve">Ellis </w:t>
      </w:r>
      <w:r w:rsidR="00D2554C">
        <w:t>1991) und „Glamorama“ (</w:t>
      </w:r>
      <w:r w:rsidR="00D469EF">
        <w:t xml:space="preserve">Ellis </w:t>
      </w:r>
      <w:r w:rsidR="00D2554C">
        <w:t>1998)</w:t>
      </w:r>
      <w:r w:rsidR="0033172B">
        <w:t>.</w:t>
      </w:r>
      <w:r w:rsidR="00D2554C">
        <w:rPr>
          <w:rStyle w:val="Funotenzeichen"/>
        </w:rPr>
        <w:footnoteReference w:id="464"/>
      </w:r>
    </w:p>
    <w:p w:rsidR="00CA4679" w:rsidRDefault="00451E05">
      <w:pPr>
        <w:pStyle w:val="Text"/>
        <w:rPr>
          <w:iCs/>
        </w:rPr>
      </w:pPr>
      <w:r>
        <w:t>In diesem Beispiel und in einigen späteren wird am Anfang der Interpretat</w:t>
      </w:r>
      <w:r>
        <w:t>i</w:t>
      </w:r>
      <w:r>
        <w:t xml:space="preserve">on eine Reihe von Merkmalsregeln zusammengestellt. Nach der in </w:t>
      </w:r>
      <w:r w:rsidR="005D7996">
        <w:fldChar w:fldCharType="begin"/>
      </w:r>
      <w:r>
        <w:instrText xml:space="preserve"> REF _Ref258410988 \r \h </w:instrText>
      </w:r>
      <w:r w:rsidR="005D7996">
        <w:fldChar w:fldCharType="separate"/>
      </w:r>
      <w:r w:rsidR="001231D3">
        <w:t>7.2.4</w:t>
      </w:r>
      <w:r w:rsidR="005D7996">
        <w:fldChar w:fldCharType="end"/>
      </w:r>
      <w:r>
        <w:t xml:space="preserve"> spezif</w:t>
      </w:r>
      <w:r>
        <w:t>i</w:t>
      </w:r>
      <w:r>
        <w:t xml:space="preserve">zierten Ausgabefunktion werden </w:t>
      </w:r>
      <w:r w:rsidR="00FE4258">
        <w:t xml:space="preserve">Merkmalsregeln dagegen </w:t>
      </w:r>
      <w:r>
        <w:t xml:space="preserve">frühestens bei der ersten Verwendung geschrieben. </w:t>
      </w:r>
      <w:r w:rsidR="00FE4258">
        <w:t>Die hier gewählte Darstellung hat den Vorteil, einen Überblick über die Merkmal</w:t>
      </w:r>
      <w:r w:rsidR="00F66E13">
        <w:t>sregeln</w:t>
      </w:r>
      <w:r w:rsidR="00FE4258">
        <w:t xml:space="preserve"> des Stils zu verschaffen, bevor die Interpretation beginnt</w:t>
      </w:r>
      <w:r w:rsidR="00B94B7B">
        <w:t xml:space="preserve">. Sie </w:t>
      </w:r>
      <w:r w:rsidR="00AE45F9">
        <w:t>kann durch eine entsprechende Veränderung der Ausgabefunktion erzeugt werden.</w:t>
      </w:r>
      <w:r w:rsidR="00FE4258">
        <w:rPr>
          <w:rStyle w:val="Funotenzeichen"/>
        </w:rPr>
        <w:footnoteReference w:id="465"/>
      </w:r>
      <w:r w:rsidR="00AE45F9">
        <w:t xml:space="preserve"> </w:t>
      </w:r>
      <w:r w:rsidR="00A621D2">
        <w:t xml:space="preserve">Diese Darstellung ist sinnvoll für den Fall, dass </w:t>
      </w:r>
      <w:r w:rsidR="00AE45F9">
        <w:t xml:space="preserve">der </w:t>
      </w:r>
      <w:r w:rsidR="00C75387">
        <w:t>Stilwahrnehmer</w:t>
      </w:r>
      <w:r w:rsidR="00AE45F9">
        <w:t xml:space="preserve"> sich auf eine </w:t>
      </w:r>
      <w:r w:rsidR="00A621D2">
        <w:t xml:space="preserve">bestimmte, relativ übersichtliche </w:t>
      </w:r>
      <w:r w:rsidR="00AE45F9">
        <w:t>Mer</w:t>
      </w:r>
      <w:r w:rsidR="00AE45F9">
        <w:t>k</w:t>
      </w:r>
      <w:r w:rsidR="00AE45F9">
        <w:t>mals</w:t>
      </w:r>
      <w:r w:rsidR="00F66E13">
        <w:t>regel</w:t>
      </w:r>
      <w:r w:rsidR="00AE45F9">
        <w:t>menge beschrän</w:t>
      </w:r>
      <w:r w:rsidR="00A621D2">
        <w:t>kt und dann alle oder fast alle dieser Mer</w:t>
      </w:r>
      <w:r w:rsidR="00B1304B">
        <w:t>kmalsregeln</w:t>
      </w:r>
      <w:r w:rsidR="00A621D2">
        <w:t xml:space="preserve"> für die Interpretation verwendet.</w:t>
      </w:r>
    </w:p>
    <w:p w:rsidR="00AE3078" w:rsidRDefault="00893CC7" w:rsidP="002B5662">
      <w:pPr>
        <w:pStyle w:val="Interpretation1Zeile"/>
      </w:pPr>
      <w:r>
        <w:t>T</w:t>
      </w:r>
      <w:r w:rsidR="00AE3078">
        <w:t>extschema ‚Roman‘</w:t>
      </w:r>
    </w:p>
    <w:p w:rsidR="00D2554C" w:rsidRPr="00706A0F" w:rsidRDefault="0055012C" w:rsidP="002B5662">
      <w:pPr>
        <w:pStyle w:val="Interpretation"/>
        <w:rPr>
          <w:lang w:val="en-US"/>
        </w:rPr>
      </w:pPr>
      <w:r>
        <w:rPr>
          <w:i/>
        </w:rPr>
        <w:t>U</w:t>
      </w:r>
      <w:r w:rsidRPr="00060E80">
        <w:t>(</w:t>
      </w:r>
      <w:r>
        <w:rPr>
          <w:i/>
        </w:rPr>
        <w:t>B</w:t>
      </w:r>
      <w:r>
        <w:rPr>
          <w:vertAlign w:val="subscript"/>
        </w:rPr>
        <w:t>1</w:t>
      </w:r>
      <w:r>
        <w:t>):</w:t>
      </w:r>
      <w:r w:rsidR="0096609A">
        <w:tab/>
      </w:r>
      <w:r>
        <w:t>‚</w:t>
      </w:r>
      <w:r w:rsidR="00D2554C">
        <w:t>Verben der Redewiedergabe</w:t>
      </w:r>
      <w:r>
        <w:t>‘</w:t>
      </w:r>
      <w:r w:rsidR="00D2554C">
        <w:t>,</w:t>
      </w:r>
      <w:r>
        <w:t xml:space="preserve"> </w:t>
      </w:r>
      <w:r>
        <w:rPr>
          <w:i/>
        </w:rPr>
        <w:t>V</w:t>
      </w:r>
      <w:r w:rsidRPr="00060E80">
        <w:t>(</w:t>
      </w:r>
      <w:r>
        <w:rPr>
          <w:i/>
        </w:rPr>
        <w:t>B</w:t>
      </w:r>
      <w:r>
        <w:rPr>
          <w:vertAlign w:val="subscript"/>
        </w:rPr>
        <w:t>1</w:t>
      </w:r>
      <w:r>
        <w:t>): ‚</w:t>
      </w:r>
      <w:r w:rsidR="00D2554C">
        <w:t>A</w:t>
      </w:r>
      <w:r>
        <w:t>bwechslung plakativer Au</w:t>
      </w:r>
      <w:r>
        <w:t>s</w:t>
      </w:r>
      <w:r>
        <w:t>drücke</w:t>
      </w:r>
      <w:r w:rsidR="0096609A">
        <w:t>‘</w:t>
      </w:r>
      <w:r w:rsidR="00753267">
        <w:t xml:space="preserve"> (</w:t>
      </w:r>
      <w:r w:rsidR="009E020A">
        <w:t>z.B</w:t>
      </w:r>
      <w:r w:rsidR="009E020A" w:rsidRPr="00A816A9">
        <w:t xml:space="preserve">. </w:t>
      </w:r>
      <w:r w:rsidR="00D2554C" w:rsidRPr="00A816A9">
        <w:t xml:space="preserve">„I whipser […] </w:t>
      </w:r>
      <w:r w:rsidR="0096609A">
        <w:rPr>
          <w:lang w:val="en-US"/>
        </w:rPr>
        <w:t>Daisy murmurs […] I sigh“</w:t>
      </w:r>
      <w:r w:rsidR="009E020A">
        <w:rPr>
          <w:lang w:val="en-US"/>
        </w:rPr>
        <w:t xml:space="preserve"> </w:t>
      </w:r>
      <w:r w:rsidR="009E020A" w:rsidRPr="009E020A">
        <w:rPr>
          <w:lang w:val="en-US"/>
        </w:rPr>
        <w:t>(AP</w:t>
      </w:r>
      <w:r w:rsidR="009E020A">
        <w:rPr>
          <w:lang w:val="en-US"/>
        </w:rPr>
        <w:t>:</w:t>
      </w:r>
      <w:r w:rsidR="009E020A" w:rsidRPr="009E020A">
        <w:rPr>
          <w:lang w:val="en-US"/>
        </w:rPr>
        <w:t xml:space="preserve"> 195</w:t>
      </w:r>
      <w:r w:rsidR="009E020A">
        <w:rPr>
          <w:lang w:val="en-US"/>
        </w:rPr>
        <w:t>)</w:t>
      </w:r>
      <w:r w:rsidR="00D2554C" w:rsidRPr="00706A0F">
        <w:rPr>
          <w:lang w:val="en-US"/>
        </w:rPr>
        <w:t>,</w:t>
      </w:r>
      <w:r w:rsidR="0096609A">
        <w:rPr>
          <w:lang w:val="en-US"/>
        </w:rPr>
        <w:t xml:space="preserve"> </w:t>
      </w:r>
      <w:r w:rsidR="00D2554C" w:rsidRPr="00706A0F">
        <w:rPr>
          <w:lang w:val="en-US"/>
        </w:rPr>
        <w:t>„I whisper […] she warns […] Jamie purrs“</w:t>
      </w:r>
      <w:r w:rsidR="009E020A">
        <w:rPr>
          <w:lang w:val="en-US"/>
        </w:rPr>
        <w:t xml:space="preserve"> (</w:t>
      </w:r>
      <w:r w:rsidR="009E020A" w:rsidRPr="00706A0F">
        <w:rPr>
          <w:lang w:val="en-US"/>
        </w:rPr>
        <w:t>G</w:t>
      </w:r>
      <w:r w:rsidR="009E020A">
        <w:rPr>
          <w:lang w:val="en-US"/>
        </w:rPr>
        <w:t xml:space="preserve">: </w:t>
      </w:r>
      <w:r w:rsidR="009E020A" w:rsidRPr="00706A0F">
        <w:rPr>
          <w:lang w:val="en-US"/>
        </w:rPr>
        <w:t>303</w:t>
      </w:r>
      <w:r w:rsidRPr="00706A0F">
        <w:rPr>
          <w:lang w:val="en-US"/>
        </w:rPr>
        <w:t>)</w:t>
      </w:r>
      <w:r w:rsidR="00753267">
        <w:rPr>
          <w:lang w:val="en-US"/>
        </w:rPr>
        <w:t>)</w:t>
      </w:r>
    </w:p>
    <w:p w:rsidR="00D2554C" w:rsidRPr="00FC54A1" w:rsidRDefault="0055012C" w:rsidP="002B5662">
      <w:pPr>
        <w:pStyle w:val="Interpretation"/>
        <w:rPr>
          <w:lang w:val="en-US"/>
        </w:rPr>
      </w:pPr>
      <w:r w:rsidRPr="00FC54A1">
        <w:rPr>
          <w:i/>
          <w:lang w:val="en-US"/>
        </w:rPr>
        <w:t>U</w:t>
      </w:r>
      <w:r w:rsidRPr="00FC54A1">
        <w:rPr>
          <w:lang w:val="en-US"/>
        </w:rPr>
        <w:t>(</w:t>
      </w:r>
      <w:r w:rsidR="00D2554C" w:rsidRPr="00FC54A1">
        <w:rPr>
          <w:i/>
          <w:lang w:val="en-US"/>
        </w:rPr>
        <w:t>B</w:t>
      </w:r>
      <w:r w:rsidR="00D2554C" w:rsidRPr="00FC54A1">
        <w:rPr>
          <w:vertAlign w:val="subscript"/>
          <w:lang w:val="en-US"/>
        </w:rPr>
        <w:t>2</w:t>
      </w:r>
      <w:r w:rsidRPr="00FC54A1">
        <w:rPr>
          <w:lang w:val="en-US"/>
        </w:rPr>
        <w:t>):</w:t>
      </w:r>
      <w:r w:rsidRPr="00FC54A1">
        <w:rPr>
          <w:lang w:val="en-US"/>
        </w:rPr>
        <w:tab/>
        <w:t>‚</w:t>
      </w:r>
      <w:r w:rsidR="00D2554C" w:rsidRPr="00FC54A1">
        <w:rPr>
          <w:lang w:val="en-US"/>
        </w:rPr>
        <w:t>negative Gefühlsbeschreibungen</w:t>
      </w:r>
      <w:r w:rsidRPr="00FC54A1">
        <w:rPr>
          <w:lang w:val="en-US"/>
        </w:rPr>
        <w:t>‘</w:t>
      </w:r>
      <w:r w:rsidR="00D2554C" w:rsidRPr="00FC54A1">
        <w:rPr>
          <w:lang w:val="en-US"/>
        </w:rPr>
        <w:t>,</w:t>
      </w:r>
      <w:r w:rsidRPr="00FC54A1">
        <w:rPr>
          <w:lang w:val="en-US"/>
        </w:rPr>
        <w:t xml:space="preserve"> </w:t>
      </w:r>
      <w:r w:rsidRPr="00FC54A1">
        <w:rPr>
          <w:i/>
          <w:lang w:val="en-US"/>
        </w:rPr>
        <w:t>V</w:t>
      </w:r>
      <w:r w:rsidRPr="00FC54A1">
        <w:rPr>
          <w:lang w:val="en-US"/>
        </w:rPr>
        <w:t>(</w:t>
      </w:r>
      <w:r w:rsidRPr="00FC54A1">
        <w:rPr>
          <w:i/>
          <w:lang w:val="en-US"/>
        </w:rPr>
        <w:t>B</w:t>
      </w:r>
      <w:r w:rsidRPr="00FC54A1">
        <w:rPr>
          <w:vertAlign w:val="subscript"/>
          <w:lang w:val="en-US"/>
        </w:rPr>
        <w:t>2</w:t>
      </w:r>
      <w:r w:rsidRPr="00FC54A1">
        <w:rPr>
          <w:lang w:val="en-US"/>
        </w:rPr>
        <w:t>):</w:t>
      </w:r>
      <w:r w:rsidRPr="00FC54A1">
        <w:rPr>
          <w:lang w:val="en-US"/>
        </w:rPr>
        <w:tab/>
        <w:t>‚</w:t>
      </w:r>
      <w:r w:rsidR="00D2554C" w:rsidRPr="00FC54A1">
        <w:rPr>
          <w:lang w:val="en-US"/>
        </w:rPr>
        <w:t>Wendungen a</w:t>
      </w:r>
      <w:r w:rsidRPr="00FC54A1">
        <w:rPr>
          <w:lang w:val="en-US"/>
        </w:rPr>
        <w:t>us der Sprache des Horrorgenres</w:t>
      </w:r>
      <w:r w:rsidR="0096609A" w:rsidRPr="00FC54A1">
        <w:rPr>
          <w:lang w:val="en-US"/>
        </w:rPr>
        <w:t>‘</w:t>
      </w:r>
      <w:r w:rsidR="00753267">
        <w:rPr>
          <w:lang w:val="en-US"/>
        </w:rPr>
        <w:t xml:space="preserve"> (</w:t>
      </w:r>
      <w:r w:rsidR="009E020A" w:rsidRPr="00FC54A1">
        <w:rPr>
          <w:lang w:val="en-US"/>
        </w:rPr>
        <w:t xml:space="preserve">z.B. </w:t>
      </w:r>
      <w:r w:rsidR="00D2554C" w:rsidRPr="00FC54A1">
        <w:rPr>
          <w:lang w:val="en-US"/>
        </w:rPr>
        <w:t>„fills me with a nameless dread“ (AP: 137, 321), „my life is a living hell“ (AP: 136)</w:t>
      </w:r>
      <w:r w:rsidR="00753267">
        <w:rPr>
          <w:lang w:val="en-US"/>
        </w:rPr>
        <w:t>)</w:t>
      </w:r>
    </w:p>
    <w:p w:rsidR="00D2554C" w:rsidRDefault="0096609A" w:rsidP="002B5662">
      <w:pPr>
        <w:pStyle w:val="Interpretation"/>
      </w:pPr>
      <w:r w:rsidRPr="0096609A">
        <w:rPr>
          <w:i/>
        </w:rPr>
        <w:t>U</w:t>
      </w:r>
      <w:r w:rsidRPr="0096609A">
        <w:t>(</w:t>
      </w:r>
      <w:r w:rsidR="00D2554C">
        <w:rPr>
          <w:i/>
        </w:rPr>
        <w:t>B</w:t>
      </w:r>
      <w:r w:rsidR="00D2554C">
        <w:rPr>
          <w:vertAlign w:val="subscript"/>
        </w:rPr>
        <w:t>3</w:t>
      </w:r>
      <w:r w:rsidRPr="0096609A">
        <w:t>)</w:t>
      </w:r>
      <w:r w:rsidR="00D2554C">
        <w:t>:</w:t>
      </w:r>
      <w:r>
        <w:tab/>
        <w:t>‚</w:t>
      </w:r>
      <w:r w:rsidR="00D2554C">
        <w:t>persönliche Gespräche über Urlaub oder Mode</w:t>
      </w:r>
      <w:r>
        <w:t>‘</w:t>
      </w:r>
      <w:r w:rsidR="00D2554C">
        <w:t xml:space="preserve">, </w:t>
      </w:r>
      <w:r w:rsidRPr="0096609A">
        <w:rPr>
          <w:i/>
        </w:rPr>
        <w:t>V</w:t>
      </w:r>
      <w:r w:rsidRPr="0096609A">
        <w:t>(</w:t>
      </w:r>
      <w:r w:rsidRPr="0096609A">
        <w:rPr>
          <w:i/>
        </w:rPr>
        <w:t>B</w:t>
      </w:r>
      <w:r>
        <w:rPr>
          <w:vertAlign w:val="subscript"/>
        </w:rPr>
        <w:t>3</w:t>
      </w:r>
      <w:r w:rsidRPr="0096609A">
        <w:t>):</w:t>
      </w:r>
      <w:r>
        <w:t xml:space="preserve"> </w:t>
      </w:r>
      <w:r w:rsidRPr="0096609A">
        <w:t>‚</w:t>
      </w:r>
      <w:r w:rsidR="00D2554C">
        <w:t>Protagoni</w:t>
      </w:r>
      <w:r w:rsidR="00D2554C">
        <w:t>s</w:t>
      </w:r>
      <w:r w:rsidR="00D2554C">
        <w:t>ten drücken sich wie Werbetexte ode</w:t>
      </w:r>
      <w:r>
        <w:t>r wie Modeberater aus‘</w:t>
      </w:r>
      <w:r w:rsidR="00753267">
        <w:t xml:space="preserve"> (</w:t>
      </w:r>
      <w:r w:rsidR="009E020A">
        <w:t>z.B. AP: 135, AP: 149</w:t>
      </w:r>
      <w:r w:rsidR="00753267">
        <w:t>)</w:t>
      </w:r>
    </w:p>
    <w:p w:rsidR="00D2554C" w:rsidRDefault="0096609A" w:rsidP="002B5662">
      <w:pPr>
        <w:pStyle w:val="Interpretation"/>
      </w:pPr>
      <w:r w:rsidRPr="0096609A">
        <w:rPr>
          <w:i/>
        </w:rPr>
        <w:lastRenderedPageBreak/>
        <w:t>U</w:t>
      </w:r>
      <w:r w:rsidRPr="0096609A">
        <w:t>(</w:t>
      </w:r>
      <w:r>
        <w:rPr>
          <w:i/>
        </w:rPr>
        <w:t>B</w:t>
      </w:r>
      <w:r>
        <w:rPr>
          <w:vertAlign w:val="subscript"/>
        </w:rPr>
        <w:t>4</w:t>
      </w:r>
      <w:r w:rsidRPr="0096609A">
        <w:t>)</w:t>
      </w:r>
      <w:r w:rsidR="00A816A9">
        <w:t xml:space="preserve">: </w:t>
      </w:r>
      <w:r>
        <w:t>‚</w:t>
      </w:r>
      <w:r w:rsidR="00D2554C">
        <w:t>Anredesituationen</w:t>
      </w:r>
      <w:r>
        <w:t xml:space="preserve">‘, </w:t>
      </w:r>
      <w:r w:rsidRPr="0096609A">
        <w:rPr>
          <w:i/>
        </w:rPr>
        <w:t>V</w:t>
      </w:r>
      <w:r w:rsidRPr="0096609A">
        <w:t>(</w:t>
      </w:r>
      <w:r w:rsidRPr="0096609A">
        <w:rPr>
          <w:i/>
        </w:rPr>
        <w:t>B</w:t>
      </w:r>
      <w:r>
        <w:rPr>
          <w:vertAlign w:val="subscript"/>
        </w:rPr>
        <w:t>4</w:t>
      </w:r>
      <w:r w:rsidRPr="0096609A">
        <w:t>):</w:t>
      </w:r>
      <w:r>
        <w:t xml:space="preserve"> </w:t>
      </w:r>
      <w:r w:rsidRPr="0096609A">
        <w:t>‚</w:t>
      </w:r>
      <w:r w:rsidR="00D2554C">
        <w:t xml:space="preserve">Protagonisten reden einander mit </w:t>
      </w:r>
      <w:r>
        <w:t>falschen Namen an</w:t>
      </w:r>
      <w:r w:rsidR="00DF767C">
        <w:t>, ohne dass dies korrigiert wird oder Konsequenzen hat</w:t>
      </w:r>
      <w:r>
        <w:t>‘</w:t>
      </w:r>
      <w:r w:rsidR="00753267">
        <w:t xml:space="preserve"> (</w:t>
      </w:r>
      <w:r w:rsidR="009E020A">
        <w:t>z.B.</w:t>
      </w:r>
      <w:r>
        <w:t xml:space="preserve"> </w:t>
      </w:r>
      <w:r w:rsidR="009E020A">
        <w:t>AP: 53, 145</w:t>
      </w:r>
      <w:r w:rsidR="00753267">
        <w:t>)</w:t>
      </w:r>
    </w:p>
    <w:p w:rsidR="00D2554C" w:rsidRDefault="0096609A" w:rsidP="002B5662">
      <w:pPr>
        <w:pStyle w:val="Interpretation"/>
      </w:pPr>
      <w:r w:rsidRPr="0096609A">
        <w:rPr>
          <w:i/>
        </w:rPr>
        <w:t>U</w:t>
      </w:r>
      <w:r w:rsidRPr="0096609A">
        <w:t>(</w:t>
      </w:r>
      <w:r>
        <w:rPr>
          <w:i/>
        </w:rPr>
        <w:t>B</w:t>
      </w:r>
      <w:r w:rsidR="00914848">
        <w:rPr>
          <w:vertAlign w:val="subscript"/>
        </w:rPr>
        <w:t>5</w:t>
      </w:r>
      <w:r w:rsidRPr="0096609A">
        <w:t>)</w:t>
      </w:r>
      <w:r w:rsidR="00A816A9">
        <w:t xml:space="preserve">: </w:t>
      </w:r>
      <w:r>
        <w:t>‚</w:t>
      </w:r>
      <w:r w:rsidR="00D2554C">
        <w:t>Menschen, Orte, Kleidermarken</w:t>
      </w:r>
      <w:r>
        <w:t xml:space="preserve">‘, </w:t>
      </w:r>
      <w:r w:rsidRPr="0096609A">
        <w:rPr>
          <w:i/>
        </w:rPr>
        <w:t>V</w:t>
      </w:r>
      <w:r w:rsidRPr="0096609A">
        <w:t>(</w:t>
      </w:r>
      <w:r w:rsidRPr="0096609A">
        <w:rPr>
          <w:i/>
        </w:rPr>
        <w:t>B</w:t>
      </w:r>
      <w:r w:rsidR="00914848">
        <w:rPr>
          <w:vertAlign w:val="subscript"/>
        </w:rPr>
        <w:t>5</w:t>
      </w:r>
      <w:r w:rsidRPr="0096609A">
        <w:t>):</w:t>
      </w:r>
      <w:r>
        <w:t xml:space="preserve"> </w:t>
      </w:r>
      <w:r w:rsidRPr="0096609A">
        <w:t>‚</w:t>
      </w:r>
      <w:r w:rsidR="00D2554C">
        <w:t>zwanghaft wirkend</w:t>
      </w:r>
      <w:r>
        <w:t>e Namens</w:t>
      </w:r>
      <w:r w:rsidR="0087006D">
        <w:softHyphen/>
      </w:r>
      <w:r>
        <w:t>nennung‘</w:t>
      </w:r>
      <w:r w:rsidR="00CA58D7">
        <w:t xml:space="preserve"> (</w:t>
      </w:r>
      <w:r w:rsidR="0033172B">
        <w:t>z.B.</w:t>
      </w:r>
      <w:r>
        <w:t xml:space="preserve"> AP: 24, G: 3</w:t>
      </w:r>
      <w:r w:rsidR="0033172B">
        <w:t>9</w:t>
      </w:r>
      <w:r w:rsidR="00CA58D7">
        <w:t>)</w:t>
      </w:r>
    </w:p>
    <w:p w:rsidR="00D2554C" w:rsidRDefault="0096609A" w:rsidP="002B5662">
      <w:pPr>
        <w:pStyle w:val="Interpretation"/>
      </w:pPr>
      <w:r w:rsidRPr="0096609A">
        <w:rPr>
          <w:i/>
        </w:rPr>
        <w:t>U</w:t>
      </w:r>
      <w:r w:rsidRPr="0096609A">
        <w:t>(</w:t>
      </w:r>
      <w:r>
        <w:rPr>
          <w:i/>
        </w:rPr>
        <w:t>B</w:t>
      </w:r>
      <w:r w:rsidR="00914848">
        <w:rPr>
          <w:vertAlign w:val="subscript"/>
        </w:rPr>
        <w:t>6</w:t>
      </w:r>
      <w:r w:rsidRPr="0096609A">
        <w:t>)</w:t>
      </w:r>
      <w:r w:rsidR="00A816A9">
        <w:t xml:space="preserve">: </w:t>
      </w:r>
      <w:r>
        <w:t>‚</w:t>
      </w:r>
      <w:r w:rsidR="00F90477">
        <w:t>Beschreibungen (von Situationen)</w:t>
      </w:r>
      <w:r>
        <w:t xml:space="preserve">‘, </w:t>
      </w:r>
      <w:r w:rsidRPr="0096609A">
        <w:rPr>
          <w:i/>
        </w:rPr>
        <w:t>V</w:t>
      </w:r>
      <w:r w:rsidRPr="0096609A">
        <w:t>(</w:t>
      </w:r>
      <w:r w:rsidRPr="0096609A">
        <w:rPr>
          <w:i/>
        </w:rPr>
        <w:t>B</w:t>
      </w:r>
      <w:r w:rsidR="00914848">
        <w:rPr>
          <w:vertAlign w:val="subscript"/>
        </w:rPr>
        <w:t>6</w:t>
      </w:r>
      <w:r w:rsidRPr="0096609A">
        <w:t>):</w:t>
      </w:r>
      <w:r>
        <w:t xml:space="preserve"> </w:t>
      </w:r>
      <w:r w:rsidRPr="0096609A">
        <w:t>‚</w:t>
      </w:r>
      <w:r w:rsidR="00D2554C">
        <w:t xml:space="preserve">Situationen werden mit </w:t>
      </w:r>
      <w:r w:rsidR="00843A7E">
        <w:t>d</w:t>
      </w:r>
      <w:r w:rsidR="00843A7E">
        <w:t>e</w:t>
      </w:r>
      <w:r w:rsidR="00843A7E">
        <w:t xml:space="preserve">taillierten </w:t>
      </w:r>
      <w:r w:rsidR="00D2554C">
        <w:t>Aufzählungen (z.B. von anwesenden Personen, Gegenständen, servie</w:t>
      </w:r>
      <w:r w:rsidR="00D2554C">
        <w:t>r</w:t>
      </w:r>
      <w:r w:rsidR="00D2554C">
        <w:t>ten Gerichte</w:t>
      </w:r>
      <w:r w:rsidR="00CA58D7">
        <w:t>n) dargestellt‘ (</w:t>
      </w:r>
      <w:r w:rsidR="0033172B">
        <w:t>z.B. AP: 155, G: 88</w:t>
      </w:r>
      <w:r w:rsidR="00CA58D7">
        <w:t>)</w:t>
      </w:r>
    </w:p>
    <w:p w:rsidR="00D2554C" w:rsidRDefault="0096609A" w:rsidP="002B5662">
      <w:pPr>
        <w:pStyle w:val="Interpretation"/>
      </w:pPr>
      <w:r w:rsidRPr="0096609A">
        <w:rPr>
          <w:i/>
        </w:rPr>
        <w:t>U</w:t>
      </w:r>
      <w:r w:rsidRPr="0096609A">
        <w:t>(</w:t>
      </w:r>
      <w:r>
        <w:rPr>
          <w:i/>
        </w:rPr>
        <w:t>B</w:t>
      </w:r>
      <w:r w:rsidR="00914848">
        <w:rPr>
          <w:vertAlign w:val="subscript"/>
        </w:rPr>
        <w:t>7</w:t>
      </w:r>
      <w:r w:rsidRPr="0096609A">
        <w:t>)</w:t>
      </w:r>
      <w:r w:rsidR="00A816A9">
        <w:t xml:space="preserve">: </w:t>
      </w:r>
      <w:r>
        <w:t>‚</w:t>
      </w:r>
      <w:r w:rsidR="00F90477">
        <w:t>Beschreibung (</w:t>
      </w:r>
      <w:r w:rsidR="00BB5768">
        <w:t xml:space="preserve">belangloser </w:t>
      </w:r>
      <w:r w:rsidR="00333F7F">
        <w:t>Gespräche</w:t>
      </w:r>
      <w:r w:rsidR="00F90477">
        <w:t>)</w:t>
      </w:r>
      <w:r>
        <w:t xml:space="preserve">‘, </w:t>
      </w:r>
      <w:r w:rsidRPr="0096609A">
        <w:rPr>
          <w:i/>
        </w:rPr>
        <w:t>V</w:t>
      </w:r>
      <w:r w:rsidRPr="0096609A">
        <w:t>(</w:t>
      </w:r>
      <w:r w:rsidRPr="0096609A">
        <w:rPr>
          <w:i/>
        </w:rPr>
        <w:t>B</w:t>
      </w:r>
      <w:r w:rsidR="00914848">
        <w:rPr>
          <w:vertAlign w:val="subscript"/>
        </w:rPr>
        <w:t>7</w:t>
      </w:r>
      <w:r w:rsidRPr="0096609A">
        <w:t>):</w:t>
      </w:r>
      <w:r>
        <w:t xml:space="preserve"> </w:t>
      </w:r>
      <w:r w:rsidRPr="0096609A">
        <w:t>‚</w:t>
      </w:r>
      <w:r w:rsidR="00D2554C">
        <w:t xml:space="preserve">[Ausdrucksweise </w:t>
      </w:r>
      <w:r w:rsidR="00D2554C">
        <w:rPr>
          <w:i/>
        </w:rPr>
        <w:t>x</w:t>
      </w:r>
      <w:r w:rsidR="00D2554C">
        <w:t>]</w:t>
      </w:r>
      <w:r w:rsidR="00CA58D7">
        <w:t>‘ (</w:t>
      </w:r>
      <w:r w:rsidR="0033172B">
        <w:t>z.B. AP: 207, 290</w:t>
      </w:r>
      <w:r w:rsidR="00CA58D7">
        <w:t>)</w:t>
      </w:r>
    </w:p>
    <w:p w:rsidR="00037E36" w:rsidRDefault="00A816A9" w:rsidP="002B5662">
      <w:pPr>
        <w:pStyle w:val="Interpretation"/>
        <w:rPr>
          <w:i/>
          <w:iCs w:val="0"/>
        </w:rPr>
      </w:pPr>
      <w:r w:rsidRPr="0096609A">
        <w:rPr>
          <w:i/>
        </w:rPr>
        <w:t>U</w:t>
      </w:r>
      <w:r w:rsidRPr="0096609A">
        <w:t>(</w:t>
      </w:r>
      <w:r w:rsidR="00D2554C">
        <w:rPr>
          <w:i/>
        </w:rPr>
        <w:t>B</w:t>
      </w:r>
      <w:r w:rsidR="00914848">
        <w:rPr>
          <w:vertAlign w:val="subscript"/>
        </w:rPr>
        <w:t>8</w:t>
      </w:r>
      <w:r>
        <w:t xml:space="preserve">): </w:t>
      </w:r>
      <w:r w:rsidR="00E56385">
        <w:t>‚</w:t>
      </w:r>
      <w:r w:rsidR="00F90477">
        <w:t>Beschreibung (</w:t>
      </w:r>
      <w:r w:rsidR="00907CDA">
        <w:t>tödlicher Folter</w:t>
      </w:r>
      <w:r w:rsidR="00F90477">
        <w:t>)</w:t>
      </w:r>
      <w:r w:rsidR="00E56385">
        <w:t>‘</w:t>
      </w:r>
      <w:r w:rsidR="00D2554C">
        <w:t>,</w:t>
      </w:r>
      <w:r>
        <w:t xml:space="preserve"> </w:t>
      </w:r>
      <w:r w:rsidRPr="0096609A">
        <w:rPr>
          <w:i/>
        </w:rPr>
        <w:t>V</w:t>
      </w:r>
      <w:r w:rsidRPr="0096609A">
        <w:t>(</w:t>
      </w:r>
      <w:r w:rsidRPr="0096609A">
        <w:rPr>
          <w:i/>
        </w:rPr>
        <w:t>B</w:t>
      </w:r>
      <w:r w:rsidR="00914848">
        <w:rPr>
          <w:vertAlign w:val="subscript"/>
        </w:rPr>
        <w:t>8</w:t>
      </w:r>
      <w:r w:rsidRPr="0096609A">
        <w:t>)</w:t>
      </w:r>
      <w:r w:rsidR="00D2554C">
        <w:t xml:space="preserve">: </w:t>
      </w:r>
      <w:r w:rsidR="00E56385">
        <w:t>‚</w:t>
      </w:r>
      <w:r w:rsidR="00D2554C">
        <w:t xml:space="preserve">[Ausdrucksweise </w:t>
      </w:r>
      <w:r w:rsidR="00D2554C">
        <w:rPr>
          <w:i/>
        </w:rPr>
        <w:t>x</w:t>
      </w:r>
      <w:r w:rsidR="0033172B">
        <w:t>]</w:t>
      </w:r>
      <w:r w:rsidR="00E56385">
        <w:t>‘</w:t>
      </w:r>
      <w:r w:rsidR="0033172B">
        <w:t xml:space="preserve"> </w:t>
      </w:r>
      <w:r w:rsidR="00CA58D7">
        <w:t>(</w:t>
      </w:r>
      <w:r w:rsidR="0033172B">
        <w:t>z.B. AP: 208, 292</w:t>
      </w:r>
      <w:r w:rsidR="00CA58D7">
        <w:t>)</w:t>
      </w:r>
    </w:p>
    <w:p w:rsidR="003F696E" w:rsidRPr="003F696E" w:rsidRDefault="002B5662" w:rsidP="002B5662">
      <w:pPr>
        <w:pStyle w:val="Zwischenberschrift"/>
      </w:pPr>
      <w:r>
        <w:t>Interpretation</w:t>
      </w:r>
    </w:p>
    <w:p w:rsidR="00863702" w:rsidRDefault="00863702" w:rsidP="002B5662">
      <w:pPr>
        <w:pStyle w:val="Interpretation"/>
      </w:pPr>
      <w:r>
        <w:rPr>
          <w:i/>
        </w:rPr>
        <w:t>H</w:t>
      </w:r>
      <w:r>
        <w:rPr>
          <w:vertAlign w:val="subscript"/>
        </w:rPr>
        <w:t>1</w:t>
      </w:r>
      <w:r>
        <w:t>: ‚Die Verwendung plakativer, häufig wechselnder Verben der Redewiederg</w:t>
      </w:r>
      <w:r>
        <w:t>a</w:t>
      </w:r>
      <w:r>
        <w:t>be ist ein charakteristisches Stilmerkmal der Unterhaltungsliteratur‘</w:t>
      </w:r>
    </w:p>
    <w:p w:rsidR="00843A7E" w:rsidRDefault="00843A7E" w:rsidP="00DF35E4">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B10DE4">
        <w:t xml:space="preserve"> </w:t>
      </w:r>
      <w:r w:rsidR="00B10DE4">
        <w:rPr>
          <w:rFonts w:ascii="Cambria Math" w:hAnsi="Cambria Math" w:cs="Cambria Math"/>
          <w:color w:val="000000" w:themeColor="text1"/>
        </w:rPr>
        <w:t>∧</w:t>
      </w:r>
      <w:r w:rsidR="00B10DE4">
        <w:rPr>
          <w:rFonts w:cs="Times New Roman"/>
          <w:color w:val="000000" w:themeColor="text1"/>
        </w:rPr>
        <w:t xml:space="preserve"> </w:t>
      </w:r>
      <w:r w:rsidR="00B10DE4">
        <w:rPr>
          <w:i/>
          <w:iCs/>
        </w:rPr>
        <w:t>H</w:t>
      </w:r>
      <w:r w:rsidR="00B10DE4">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1</w:t>
      </w:r>
    </w:p>
    <w:p w:rsidR="00D2554C" w:rsidRDefault="00B9205D" w:rsidP="002B5662">
      <w:pPr>
        <w:pStyle w:val="Interpretation"/>
      </w:pPr>
      <w:r>
        <w:rPr>
          <w:i/>
        </w:rPr>
        <w:t>Er</w:t>
      </w:r>
      <w:r>
        <w:rPr>
          <w:vertAlign w:val="subscript"/>
        </w:rPr>
        <w:t>1</w:t>
      </w:r>
      <w:r>
        <w:t>: ‚</w:t>
      </w:r>
      <w:r w:rsidR="00D2554C">
        <w:t>Die Genres Unterhaltungsliteratur</w:t>
      </w:r>
      <w:r w:rsidR="00863702">
        <w:t xml:space="preserve"> </w:t>
      </w:r>
      <w:r w:rsidR="00D2554C">
        <w:t>und Horrorlite</w:t>
      </w:r>
      <w:r>
        <w:t>ratur</w:t>
      </w:r>
      <w:r w:rsidR="00FC54A1">
        <w:t>/-film</w:t>
      </w:r>
      <w:r>
        <w:t xml:space="preserve"> beeinflussen den Erzähler‘</w:t>
      </w:r>
    </w:p>
    <w:p w:rsidR="00B9205D" w:rsidRDefault="00B9205D" w:rsidP="00DF35E4">
      <w:pPr>
        <w:pStyle w:val="Formel"/>
      </w:pPr>
      <w:r>
        <w:rPr>
          <w:i/>
          <w:iCs/>
        </w:rPr>
        <w:t>B</w:t>
      </w:r>
      <w:r>
        <w:rPr>
          <w:iCs/>
          <w:vertAlign w:val="subscript"/>
        </w:rPr>
        <w:t>3</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843A7E">
        <w:rPr>
          <w:vertAlign w:val="subscript"/>
        </w:rPr>
        <w:t>Ind</w:t>
      </w:r>
      <w:r>
        <w:t xml:space="preserve"> </w:t>
      </w:r>
      <w:r w:rsidR="00656013">
        <w:t xml:space="preserve"> </w:t>
      </w:r>
      <w:r>
        <w:rPr>
          <w:i/>
          <w:iCs/>
        </w:rPr>
        <w:t>Er</w:t>
      </w:r>
      <w:r>
        <w:rPr>
          <w:vertAlign w:val="subscript"/>
        </w:rPr>
        <w:t>2</w:t>
      </w:r>
    </w:p>
    <w:p w:rsidR="00D2554C" w:rsidRDefault="00B9205D" w:rsidP="002B5662">
      <w:pPr>
        <w:pStyle w:val="Interpretation"/>
      </w:pPr>
      <w:r>
        <w:rPr>
          <w:i/>
        </w:rPr>
        <w:t>Er</w:t>
      </w:r>
      <w:r>
        <w:rPr>
          <w:vertAlign w:val="subscript"/>
        </w:rPr>
        <w:t>2</w:t>
      </w:r>
      <w:r>
        <w:t>: ‚</w:t>
      </w:r>
      <w:r w:rsidR="00D2554C">
        <w:t>Die Protagonisten werden in der Wahrnehmung ihres eigenen Lebens durch Wer</w:t>
      </w:r>
      <w:r w:rsidR="003168B4">
        <w:t xml:space="preserve">bung und </w:t>
      </w:r>
      <w:r>
        <w:t>Mode beeinflusst‘</w:t>
      </w:r>
    </w:p>
    <w:p w:rsidR="00B9205D" w:rsidRDefault="00B9205D" w:rsidP="00DF35E4">
      <w:pPr>
        <w:pStyle w:val="Formel"/>
      </w:pPr>
      <w:r>
        <w:rPr>
          <w:i/>
          <w:iCs/>
        </w:rPr>
        <w:t>B</w:t>
      </w:r>
      <w:r>
        <w:rPr>
          <w:iCs/>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843A7E">
        <w:rPr>
          <w:vertAlign w:val="subscript"/>
        </w:rPr>
        <w:t>Abd</w:t>
      </w:r>
      <w:r>
        <w:t xml:space="preserve"> </w:t>
      </w:r>
      <w:r w:rsidR="00656013">
        <w:t xml:space="preserve"> </w:t>
      </w:r>
      <w:r>
        <w:rPr>
          <w:i/>
          <w:iCs/>
        </w:rPr>
        <w:t>Er</w:t>
      </w:r>
      <w:r>
        <w:rPr>
          <w:vertAlign w:val="subscript"/>
        </w:rPr>
        <w:t>3</w:t>
      </w:r>
    </w:p>
    <w:p w:rsidR="00D2554C" w:rsidRDefault="00B9205D" w:rsidP="002B5662">
      <w:pPr>
        <w:pStyle w:val="Interpretation"/>
      </w:pPr>
      <w:r>
        <w:rPr>
          <w:i/>
        </w:rPr>
        <w:t>Er</w:t>
      </w:r>
      <w:r>
        <w:rPr>
          <w:vertAlign w:val="subscript"/>
        </w:rPr>
        <w:t>3</w:t>
      </w:r>
      <w:r w:rsidR="00D2554C">
        <w:t xml:space="preserve">: </w:t>
      </w:r>
      <w:r>
        <w:t>‚</w:t>
      </w:r>
      <w:r w:rsidR="00857FD2">
        <w:t xml:space="preserve">Konformität ist entscheidend; </w:t>
      </w:r>
      <w:r w:rsidR="00D2554C">
        <w:t xml:space="preserve">Individualität </w:t>
      </w:r>
      <w:r w:rsidR="004347A1">
        <w:t xml:space="preserve">und sogar </w:t>
      </w:r>
      <w:r w:rsidR="00DF767C">
        <w:t>Id</w:t>
      </w:r>
      <w:r w:rsidR="00857FD2">
        <w:t xml:space="preserve">entität </w:t>
      </w:r>
      <w:r w:rsidR="00843A7E">
        <w:t>des einze</w:t>
      </w:r>
      <w:r w:rsidR="00843A7E">
        <w:t>l</w:t>
      </w:r>
      <w:r w:rsidR="00843A7E">
        <w:t xml:space="preserve">nen </w:t>
      </w:r>
      <w:r w:rsidR="004347A1">
        <w:t>sind nicht wichtig</w:t>
      </w:r>
      <w:r>
        <w:t>‘</w:t>
      </w:r>
    </w:p>
    <w:p w:rsidR="00B9205D" w:rsidRDefault="00B9205D" w:rsidP="00DF35E4">
      <w:pPr>
        <w:pStyle w:val="Formel"/>
      </w:pPr>
      <w:r>
        <w:rPr>
          <w:i/>
          <w:iCs/>
        </w:rPr>
        <w:t>B</w:t>
      </w:r>
      <w:r w:rsidR="00843A7E">
        <w:rPr>
          <w:iCs/>
          <w:vertAlign w:val="subscript"/>
        </w:rPr>
        <w:t>5</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sidR="00843A7E">
        <w:rPr>
          <w:iCs/>
          <w:vertAlign w:val="subscript"/>
        </w:rPr>
        <w:t>6</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B43180">
        <w:rPr>
          <w:vertAlign w:val="subscript"/>
        </w:rPr>
        <w:t>Ass</w:t>
      </w:r>
      <w:r>
        <w:t xml:space="preserve"> </w:t>
      </w:r>
      <w:r w:rsidR="00656013">
        <w:t xml:space="preserve"> </w:t>
      </w:r>
      <w:r>
        <w:rPr>
          <w:i/>
          <w:iCs/>
        </w:rPr>
        <w:t>Er</w:t>
      </w:r>
      <w:r>
        <w:rPr>
          <w:vertAlign w:val="subscript"/>
        </w:rPr>
        <w:t>4</w:t>
      </w:r>
    </w:p>
    <w:p w:rsidR="00D2554C" w:rsidRDefault="00B9205D" w:rsidP="002B5662">
      <w:pPr>
        <w:pStyle w:val="Interpretation"/>
      </w:pPr>
      <w:r>
        <w:rPr>
          <w:i/>
        </w:rPr>
        <w:t>Er</w:t>
      </w:r>
      <w:r w:rsidR="00D2554C">
        <w:rPr>
          <w:vertAlign w:val="subscript"/>
        </w:rPr>
        <w:t>4</w:t>
      </w:r>
      <w:r w:rsidR="00D2554C">
        <w:t xml:space="preserve">: </w:t>
      </w:r>
      <w:r>
        <w:t>‚</w:t>
      </w:r>
      <w:r w:rsidR="00D2554C">
        <w:t xml:space="preserve">Es gibt ein </w:t>
      </w:r>
      <w:r w:rsidR="00CA4679">
        <w:t xml:space="preserve">umfangreiches </w:t>
      </w:r>
      <w:r w:rsidR="00D2554C">
        <w:t>gesellschaftlich gefordertes Wissen</w:t>
      </w:r>
      <w:r w:rsidR="00880858">
        <w:t>; d</w:t>
      </w:r>
      <w:r w:rsidR="00D2554C">
        <w:t xml:space="preserve">ieses </w:t>
      </w:r>
      <w:r w:rsidR="00857FD2">
        <w:t>ist allerdings sehr ober</w:t>
      </w:r>
      <w:r w:rsidR="00880858">
        <w:t>flächlich,</w:t>
      </w:r>
      <w:r w:rsidR="00857FD2">
        <w:t xml:space="preserve"> es </w:t>
      </w:r>
      <w:r w:rsidR="00D2554C">
        <w:t>besteht weitgeh</w:t>
      </w:r>
      <w:r>
        <w:t>end aus Namen, Orten und Ma</w:t>
      </w:r>
      <w:r>
        <w:t>r</w:t>
      </w:r>
      <w:r>
        <w:t>ken</w:t>
      </w:r>
      <w:r w:rsidR="005D7996">
        <w:fldChar w:fldCharType="begin"/>
      </w:r>
      <w:r w:rsidR="007E6B9E">
        <w:instrText xml:space="preserve"> XE "</w:instrText>
      </w:r>
      <w:r w:rsidR="007E6B9E" w:rsidRPr="00BF46B4">
        <w:instrText>Marke</w:instrText>
      </w:r>
      <w:r w:rsidR="007E6B9E">
        <w:instrText xml:space="preserve">" </w:instrText>
      </w:r>
      <w:r w:rsidR="005D7996">
        <w:fldChar w:fldCharType="end"/>
      </w:r>
      <w:r w:rsidR="00880858">
        <w:t>, mit denen man seine Informiertheit nachweist</w:t>
      </w:r>
      <w:r>
        <w:t>‘</w:t>
      </w:r>
    </w:p>
    <w:p w:rsidR="00857FD2" w:rsidRPr="005F552E" w:rsidRDefault="00857FD2" w:rsidP="00DF35E4">
      <w:pPr>
        <w:pStyle w:val="Formel"/>
        <w:rPr>
          <w:rFonts w:ascii="Cambria Math" w:hAnsi="Cambria Math" w:cs="Cambria Math"/>
          <w:color w:val="000000" w:themeColor="text1"/>
        </w:rPr>
      </w:pPr>
      <w:r>
        <w:rPr>
          <w:i/>
          <w:iCs/>
        </w:rPr>
        <w:t>Er</w:t>
      </w:r>
      <w:r w:rsidR="00843A7E">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sidR="00843A7E">
        <w:rPr>
          <w:i/>
          <w:iCs/>
        </w:rPr>
        <w:t>Er</w:t>
      </w:r>
      <w:r w:rsidR="00843A7E">
        <w:rPr>
          <w:iCs/>
          <w:vertAlign w:val="subscript"/>
        </w:rPr>
        <w:t>2</w:t>
      </w:r>
      <w:r w:rsidR="00843A7E">
        <w:t xml:space="preserve"> </w:t>
      </w:r>
      <w:r w:rsidR="00843A7E">
        <w:rPr>
          <w:rFonts w:ascii="Cambria Math" w:hAnsi="Cambria Math" w:cs="Cambria Math"/>
          <w:color w:val="000000" w:themeColor="text1"/>
        </w:rPr>
        <w:t>∧</w:t>
      </w:r>
      <w:r w:rsidR="00843A7E">
        <w:rPr>
          <w:rFonts w:cs="Times New Roman"/>
          <w:color w:val="000000" w:themeColor="text1"/>
        </w:rPr>
        <w:t xml:space="preserve"> </w:t>
      </w:r>
      <w:r>
        <w:rPr>
          <w:i/>
          <w:iCs/>
        </w:rPr>
        <w:t>Er</w:t>
      </w:r>
      <w:r w:rsidR="00843A7E">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843A7E">
        <w:rPr>
          <w:iCs/>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5</w:t>
      </w:r>
    </w:p>
    <w:p w:rsidR="00857FD2" w:rsidRPr="005F552E" w:rsidRDefault="00857FD2" w:rsidP="002B5662">
      <w:pPr>
        <w:pStyle w:val="InterpretationletzteZeile"/>
      </w:pPr>
      <w:r>
        <w:rPr>
          <w:i/>
        </w:rPr>
        <w:t>Er</w:t>
      </w:r>
      <w:r>
        <w:rPr>
          <w:vertAlign w:val="subscript"/>
        </w:rPr>
        <w:t>5</w:t>
      </w:r>
      <w:r>
        <w:t>: ‚Die beschriebene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ist oberflächl</w:t>
      </w:r>
      <w:r w:rsidR="004347A1">
        <w:t>ich, süchtig nach Populärkultur und</w:t>
      </w:r>
      <w:r>
        <w:t xml:space="preserve"> konformist</w:t>
      </w:r>
      <w:r w:rsidR="00843A7E">
        <w:t xml:space="preserve">isch, </w:t>
      </w:r>
      <w:r>
        <w:t xml:space="preserve">Individualität und </w:t>
      </w:r>
      <w:r w:rsidR="00843A7E">
        <w:t>sogar Identität</w:t>
      </w:r>
      <w:r w:rsidR="004347A1">
        <w:t xml:space="preserve"> sind nicht wichtig</w:t>
      </w:r>
      <w:r>
        <w:t>‘</w:t>
      </w:r>
    </w:p>
    <w:p w:rsidR="00180AC3" w:rsidRDefault="00495559" w:rsidP="002B5662">
      <w:pPr>
        <w:pStyle w:val="Text"/>
        <w:ind w:firstLine="0"/>
      </w:pPr>
      <w:r>
        <w:t>A</w:t>
      </w:r>
      <w:r w:rsidR="00653956">
        <w:t xml:space="preserve">ufschlussreich </w:t>
      </w:r>
      <w:r w:rsidR="00913F31">
        <w:t xml:space="preserve">ist das Verhältnis </w:t>
      </w:r>
      <w:r>
        <w:t xml:space="preserve">von </w:t>
      </w:r>
      <w:r w:rsidR="00653956">
        <w:rPr>
          <w:i/>
          <w:iCs/>
        </w:rPr>
        <w:t>B</w:t>
      </w:r>
      <w:r w:rsidR="00880858">
        <w:rPr>
          <w:vertAlign w:val="subscript"/>
        </w:rPr>
        <w:t>7</w:t>
      </w:r>
      <w:r w:rsidR="00653956">
        <w:t xml:space="preserve"> und </w:t>
      </w:r>
      <w:r w:rsidR="00653956">
        <w:rPr>
          <w:i/>
          <w:iCs/>
        </w:rPr>
        <w:t>B</w:t>
      </w:r>
      <w:r w:rsidR="00880858">
        <w:rPr>
          <w:vertAlign w:val="subscript"/>
        </w:rPr>
        <w:t>8</w:t>
      </w:r>
      <w:r w:rsidR="00863702">
        <w:t xml:space="preserve">, bei denen </w:t>
      </w:r>
      <w:r w:rsidR="006B7F37">
        <w:t>die Relation „Gege</w:t>
      </w:r>
      <w:r w:rsidR="006B7F37">
        <w:t>n</w:t>
      </w:r>
      <w:r w:rsidR="006B7F37">
        <w:t xml:space="preserve">satz“ zwischen den </w:t>
      </w:r>
      <w:r w:rsidR="006B7F37">
        <w:rPr>
          <w:i/>
          <w:iCs/>
        </w:rPr>
        <w:t>U</w:t>
      </w:r>
      <w:r w:rsidR="006B7F37">
        <w:t xml:space="preserve">, die Relation „Gleichheit“ zwischen den </w:t>
      </w:r>
      <w:r w:rsidR="006B7F37" w:rsidRPr="006B7F37">
        <w:rPr>
          <w:i/>
        </w:rPr>
        <w:t>V</w:t>
      </w:r>
      <w:r w:rsidR="006B7F37">
        <w:t xml:space="preserve"> vorliegt</w:t>
      </w:r>
      <w:r w:rsidR="00863702">
        <w:t>:</w:t>
      </w:r>
      <w:r w:rsidR="00863702">
        <w:rPr>
          <w:rStyle w:val="Funotenzeichen"/>
        </w:rPr>
        <w:footnoteReference w:id="466"/>
      </w:r>
    </w:p>
    <w:p w:rsidR="004D5B2C" w:rsidRDefault="00C0780E" w:rsidP="002B5662">
      <w:pPr>
        <w:pStyle w:val="Interpretation"/>
      </w:pPr>
      <w:r>
        <w:rPr>
          <w:i/>
        </w:rPr>
        <w:lastRenderedPageBreak/>
        <w:t>H</w:t>
      </w:r>
      <w:r w:rsidR="00880858">
        <w:rPr>
          <w:vertAlign w:val="subscript"/>
        </w:rPr>
        <w:t>2</w:t>
      </w:r>
      <w:r>
        <w:t>: ‚</w:t>
      </w:r>
      <w:r w:rsidR="00963433">
        <w:t xml:space="preserve">Die </w:t>
      </w:r>
      <w:r w:rsidR="00653956">
        <w:t>Verhaltensweisen</w:t>
      </w:r>
      <w:r w:rsidR="00963433">
        <w:t xml:space="preserve"> „</w:t>
      </w:r>
      <w:r w:rsidR="00653956">
        <w:t xml:space="preserve">ein </w:t>
      </w:r>
      <w:r w:rsidR="00963433">
        <w:t>b</w:t>
      </w:r>
      <w:r w:rsidR="00BB5768">
        <w:t>elanglose</w:t>
      </w:r>
      <w:r w:rsidR="00963433">
        <w:t>s</w:t>
      </w:r>
      <w:r w:rsidR="00BB5768">
        <w:t xml:space="preserve"> </w:t>
      </w:r>
      <w:r w:rsidR="00963433">
        <w:t>Gespräch</w:t>
      </w:r>
      <w:r w:rsidR="00653956">
        <w:t xml:space="preserve"> führen</w:t>
      </w:r>
      <w:r w:rsidR="00963433">
        <w:t>“</w:t>
      </w:r>
      <w:r w:rsidR="004D5B2C">
        <w:t xml:space="preserve"> und </w:t>
      </w:r>
      <w:r w:rsidR="00963433">
        <w:t>„</w:t>
      </w:r>
      <w:r w:rsidR="00653956">
        <w:t>jemanden zu Tode f</w:t>
      </w:r>
      <w:r w:rsidR="00BB5768">
        <w:t>oltern</w:t>
      </w:r>
      <w:r w:rsidR="00963433">
        <w:t>“</w:t>
      </w:r>
      <w:r w:rsidR="00BB5768">
        <w:t xml:space="preserve"> werden kulturell als gegensätzlich angesehen. Ihnen werden die polaren Gegensätze der Skalen „normal –</w:t>
      </w:r>
      <w:r w:rsidR="00855101">
        <w:t xml:space="preserve"> </w:t>
      </w:r>
      <w:r w:rsidR="00BB5768">
        <w:t xml:space="preserve">ungewöhnlich“, </w:t>
      </w:r>
      <w:r w:rsidR="00855101">
        <w:t>„irrelevant – relevant“ und</w:t>
      </w:r>
      <w:r w:rsidR="00BB5768" w:rsidRPr="00BB5768">
        <w:t xml:space="preserve"> </w:t>
      </w:r>
      <w:r w:rsidR="00BB5768">
        <w:t>„ethisch neutral – ethisch verwerflich“</w:t>
      </w:r>
      <w:r w:rsidR="00855101">
        <w:t xml:space="preserve"> </w:t>
      </w:r>
      <w:r w:rsidR="00BB5768">
        <w:t>zugeordnet‘</w:t>
      </w:r>
    </w:p>
    <w:p w:rsidR="00DF0156" w:rsidRDefault="00DF0156" w:rsidP="00DF35E4">
      <w:pPr>
        <w:pStyle w:val="Formel"/>
      </w:pPr>
      <w:r>
        <w:rPr>
          <w:i/>
          <w:iCs/>
        </w:rPr>
        <w:t>B</w:t>
      </w:r>
      <w:r w:rsidR="00880858">
        <w:rPr>
          <w:iCs/>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sidR="003A0734">
        <w:rPr>
          <w:i/>
          <w:iCs/>
        </w:rPr>
        <w:t>B</w:t>
      </w:r>
      <w:r w:rsidR="00880858">
        <w:rPr>
          <w:iCs/>
          <w:vertAlign w:val="subscript"/>
        </w:rPr>
        <w:t>8</w:t>
      </w:r>
      <w:r w:rsidR="003A0734">
        <w:t xml:space="preserve"> </w:t>
      </w:r>
      <w:r w:rsidR="003A0734">
        <w:rPr>
          <w:rFonts w:ascii="Cambria Math" w:hAnsi="Cambria Math" w:cs="Cambria Math"/>
          <w:color w:val="000000" w:themeColor="text1"/>
        </w:rPr>
        <w:t>∧</w:t>
      </w:r>
      <w:r w:rsidR="003A0734">
        <w:rPr>
          <w:rFonts w:cs="Times New Roman"/>
          <w:color w:val="000000" w:themeColor="text1"/>
        </w:rPr>
        <w:t xml:space="preserve"> </w:t>
      </w:r>
      <w:r>
        <w:rPr>
          <w:i/>
          <w:iCs/>
        </w:rPr>
        <w:t>H</w:t>
      </w:r>
      <w:r w:rsidR="00880858">
        <w:rPr>
          <w:iCs/>
          <w:vertAlign w:val="subscript"/>
        </w:rPr>
        <w:t>2</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DC4780">
        <w:rPr>
          <w:vertAlign w:val="subscript"/>
        </w:rPr>
        <w:t>Ded</w:t>
      </w:r>
      <w:r>
        <w:t xml:space="preserve"> </w:t>
      </w:r>
      <w:r w:rsidR="00656013">
        <w:t xml:space="preserve"> </w:t>
      </w:r>
      <w:r>
        <w:rPr>
          <w:i/>
          <w:iCs/>
        </w:rPr>
        <w:t>Er</w:t>
      </w:r>
      <w:r w:rsidR="00880858">
        <w:rPr>
          <w:vertAlign w:val="subscript"/>
        </w:rPr>
        <w:t>6</w:t>
      </w:r>
    </w:p>
    <w:p w:rsidR="00C44D9F" w:rsidRDefault="00DF0156" w:rsidP="002B5662">
      <w:pPr>
        <w:pStyle w:val="Interpretation"/>
      </w:pPr>
      <w:r>
        <w:rPr>
          <w:i/>
        </w:rPr>
        <w:t>Er</w:t>
      </w:r>
      <w:r w:rsidR="00880858">
        <w:rPr>
          <w:vertAlign w:val="subscript"/>
        </w:rPr>
        <w:t>6</w:t>
      </w:r>
      <w:r>
        <w:t>: ‚</w:t>
      </w:r>
      <w:r w:rsidR="008E1C6E">
        <w:t xml:space="preserve">Die </w:t>
      </w:r>
      <w:r w:rsidR="00356166">
        <w:t>in den Anwendungsbedingun</w:t>
      </w:r>
      <w:r w:rsidR="009306A7">
        <w:t xml:space="preserve">gen von </w:t>
      </w:r>
      <w:r w:rsidR="009306A7">
        <w:rPr>
          <w:i/>
        </w:rPr>
        <w:t>B</w:t>
      </w:r>
      <w:r w:rsidR="009306A7">
        <w:rPr>
          <w:vertAlign w:val="subscript"/>
        </w:rPr>
        <w:t>8</w:t>
      </w:r>
      <w:r w:rsidR="009306A7">
        <w:t xml:space="preserve"> </w:t>
      </w:r>
      <w:r w:rsidR="009306A7">
        <w:rPr>
          <w:rFonts w:cs="Times New Roman"/>
          <w:color w:val="000000" w:themeColor="text1"/>
        </w:rPr>
        <w:t xml:space="preserve">und </w:t>
      </w:r>
      <w:r w:rsidR="009306A7">
        <w:rPr>
          <w:i/>
        </w:rPr>
        <w:t>B</w:t>
      </w:r>
      <w:r w:rsidR="009306A7">
        <w:rPr>
          <w:vertAlign w:val="subscript"/>
        </w:rPr>
        <w:t>9</w:t>
      </w:r>
      <w:r w:rsidR="009306A7">
        <w:t xml:space="preserve"> spezifizierten darg</w:t>
      </w:r>
      <w:r w:rsidR="009306A7">
        <w:t>e</w:t>
      </w:r>
      <w:r w:rsidR="009306A7">
        <w:t xml:space="preserve">stellten Situationen </w:t>
      </w:r>
      <w:r w:rsidR="007D285D">
        <w:t xml:space="preserve">werden kulturell als </w:t>
      </w:r>
      <w:r w:rsidR="009306A7">
        <w:t>gegensätzlich</w:t>
      </w:r>
      <w:r w:rsidR="007D285D">
        <w:t xml:space="preserve"> angesehen</w:t>
      </w:r>
      <w:r w:rsidR="009306A7">
        <w:t xml:space="preserve">, </w:t>
      </w:r>
      <w:r w:rsidR="00B84F5C">
        <w:t xml:space="preserve">die </w:t>
      </w:r>
      <w:r w:rsidR="009306A7">
        <w:t>in den ve</w:t>
      </w:r>
      <w:r w:rsidR="009306A7">
        <w:t>r</w:t>
      </w:r>
      <w:r w:rsidR="009306A7">
        <w:t xml:space="preserve">langten Eigenschaften von </w:t>
      </w:r>
      <w:r w:rsidR="009306A7">
        <w:rPr>
          <w:i/>
        </w:rPr>
        <w:t>B</w:t>
      </w:r>
      <w:r w:rsidR="009306A7">
        <w:rPr>
          <w:vertAlign w:val="subscript"/>
        </w:rPr>
        <w:t>8</w:t>
      </w:r>
      <w:r w:rsidR="009306A7">
        <w:t xml:space="preserve"> </w:t>
      </w:r>
      <w:r w:rsidR="009306A7">
        <w:rPr>
          <w:rFonts w:cs="Times New Roman"/>
          <w:color w:val="000000" w:themeColor="text1"/>
        </w:rPr>
        <w:t xml:space="preserve">und </w:t>
      </w:r>
      <w:r w:rsidR="009306A7">
        <w:rPr>
          <w:i/>
        </w:rPr>
        <w:t>B</w:t>
      </w:r>
      <w:r w:rsidR="009306A7">
        <w:rPr>
          <w:vertAlign w:val="subscript"/>
        </w:rPr>
        <w:t>9</w:t>
      </w:r>
      <w:r w:rsidR="009306A7">
        <w:t xml:space="preserve"> spezifizierten Ausdrucksweisen sind gleich</w:t>
      </w:r>
      <w:r w:rsidR="00C44D9F">
        <w:t>‘</w:t>
      </w:r>
    </w:p>
    <w:p w:rsidR="00C44D9F" w:rsidRDefault="00C44D9F" w:rsidP="00DF35E4">
      <w:pPr>
        <w:pStyle w:val="Formel"/>
      </w:pPr>
      <w:r>
        <w:rPr>
          <w:i/>
          <w:iCs/>
        </w:rPr>
        <w:t>Er</w:t>
      </w:r>
      <w:r w:rsidR="00880858">
        <w:rPr>
          <w:iCs/>
          <w:vertAlign w:val="subscript"/>
        </w:rPr>
        <w:t>6</w:t>
      </w:r>
      <w:r>
        <w:t xml:space="preserve"> </w:t>
      </w:r>
      <w:r w:rsidR="002434D2">
        <w:rPr>
          <w:rFonts w:ascii="Cambria Math" w:eastAsia="Arial Unicode MS" w:hAnsi="Cambria Math" w:cs="Cambria Math"/>
          <w:color w:val="000000" w:themeColor="text1"/>
        </w:rPr>
        <w:t>⤳</w:t>
      </w:r>
      <w:r w:rsidR="00DC4780">
        <w:rPr>
          <w:vertAlign w:val="subscript"/>
        </w:rPr>
        <w:t>Ded</w:t>
      </w:r>
      <w:r>
        <w:t xml:space="preserve"> </w:t>
      </w:r>
      <w:r w:rsidR="00656013">
        <w:t xml:space="preserve"> </w:t>
      </w:r>
      <w:r>
        <w:rPr>
          <w:i/>
          <w:iCs/>
        </w:rPr>
        <w:t>Er</w:t>
      </w:r>
      <w:r w:rsidR="00880858">
        <w:rPr>
          <w:vertAlign w:val="subscript"/>
        </w:rPr>
        <w:t>7</w:t>
      </w:r>
    </w:p>
    <w:p w:rsidR="00653956" w:rsidRDefault="00C44D9F" w:rsidP="002B5662">
      <w:pPr>
        <w:pStyle w:val="Interpretation"/>
      </w:pPr>
      <w:r>
        <w:rPr>
          <w:i/>
        </w:rPr>
        <w:t>Er</w:t>
      </w:r>
      <w:r w:rsidR="00880858">
        <w:rPr>
          <w:vertAlign w:val="subscript"/>
        </w:rPr>
        <w:t>7</w:t>
      </w:r>
      <w:r w:rsidR="009306A7">
        <w:t xml:space="preserve">: </w:t>
      </w:r>
      <w:r>
        <w:t>‚</w:t>
      </w:r>
      <w:r w:rsidR="00653956">
        <w:t xml:space="preserve">Der Erzähler </w:t>
      </w:r>
      <w:r w:rsidR="00F90477">
        <w:t xml:space="preserve">beschreibt </w:t>
      </w:r>
      <w:r w:rsidR="00DC4780">
        <w:t xml:space="preserve">bestimmte </w:t>
      </w:r>
      <w:r w:rsidR="00653956">
        <w:t>kulturell als gegensätzlich wahrgeno</w:t>
      </w:r>
      <w:r w:rsidR="00653956">
        <w:t>m</w:t>
      </w:r>
      <w:r w:rsidR="00653956">
        <w:t xml:space="preserve">mene Verhaltensweisen </w:t>
      </w:r>
      <w:r w:rsidR="00F90477">
        <w:t>seiner selbst auf gleiche Art</w:t>
      </w:r>
      <w:r w:rsidR="00653956">
        <w:t>‘</w:t>
      </w:r>
    </w:p>
    <w:p w:rsidR="00180887" w:rsidRDefault="00180887" w:rsidP="002B5662">
      <w:pPr>
        <w:pStyle w:val="Interpretation"/>
      </w:pPr>
      <w:r>
        <w:rPr>
          <w:i/>
        </w:rPr>
        <w:t>H</w:t>
      </w:r>
      <w:r w:rsidR="00880858">
        <w:rPr>
          <w:vertAlign w:val="subscript"/>
        </w:rPr>
        <w:t>3</w:t>
      </w:r>
      <w:r>
        <w:t xml:space="preserve">: ‚Dinge, die als gleich wahrgenommen werden, werden </w:t>
      </w:r>
      <w:r w:rsidR="00880858">
        <w:t xml:space="preserve">als </w:t>
      </w:r>
      <w:r>
        <w:t>gleich beschrieben‘</w:t>
      </w:r>
    </w:p>
    <w:p w:rsidR="00F90477" w:rsidRDefault="00F90477" w:rsidP="00DF35E4">
      <w:pPr>
        <w:pStyle w:val="Formel"/>
      </w:pPr>
      <w:r>
        <w:rPr>
          <w:i/>
          <w:iCs/>
        </w:rPr>
        <w:t>Er</w:t>
      </w:r>
      <w:r w:rsidR="00880858">
        <w:rPr>
          <w:iCs/>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880858">
        <w:rPr>
          <w:iCs/>
          <w:vertAlign w:val="subscript"/>
        </w:rPr>
        <w:t>3</w:t>
      </w:r>
      <w:r>
        <w:t xml:space="preserve"> </w:t>
      </w:r>
      <w:r w:rsidR="002434D2">
        <w:rPr>
          <w:rFonts w:ascii="Cambria Math" w:eastAsia="Arial Unicode MS" w:hAnsi="Cambria Math" w:cs="Cambria Math"/>
          <w:color w:val="000000" w:themeColor="text1"/>
        </w:rPr>
        <w:t>⤳</w:t>
      </w:r>
      <w:r w:rsidR="00DC4780">
        <w:rPr>
          <w:vertAlign w:val="subscript"/>
        </w:rPr>
        <w:t>Abd</w:t>
      </w:r>
      <w:r>
        <w:t xml:space="preserve">  </w:t>
      </w:r>
      <w:r>
        <w:rPr>
          <w:i/>
          <w:iCs/>
        </w:rPr>
        <w:t>Er</w:t>
      </w:r>
      <w:r w:rsidR="00880858">
        <w:rPr>
          <w:vertAlign w:val="subscript"/>
        </w:rPr>
        <w:t>8</w:t>
      </w:r>
    </w:p>
    <w:p w:rsidR="00F90477" w:rsidRDefault="00180887" w:rsidP="00DF35E4">
      <w:pPr>
        <w:pStyle w:val="Interpretation"/>
      </w:pPr>
      <w:r>
        <w:rPr>
          <w:i/>
        </w:rPr>
        <w:t>Er</w:t>
      </w:r>
      <w:r w:rsidR="00880858">
        <w:rPr>
          <w:vertAlign w:val="subscript"/>
        </w:rPr>
        <w:t>8</w:t>
      </w:r>
      <w:r>
        <w:t xml:space="preserve">: ‚Der Erzähler nimmt </w:t>
      </w:r>
      <w:r w:rsidR="00DC4780">
        <w:t xml:space="preserve">bestimmte </w:t>
      </w:r>
      <w:r>
        <w:t xml:space="preserve">kulturell als gegensätzlich wahrgenommene Verhaltensweisen </w:t>
      </w:r>
      <w:r w:rsidR="00907CDA">
        <w:t xml:space="preserve">als </w:t>
      </w:r>
      <w:r>
        <w:t>gleich wahr‘</w:t>
      </w:r>
    </w:p>
    <w:p w:rsidR="00CD10CA" w:rsidRDefault="00CD10CA" w:rsidP="00DF35E4">
      <w:pPr>
        <w:pStyle w:val="Formel"/>
      </w:pPr>
      <w:r>
        <w:rPr>
          <w:i/>
          <w:iCs/>
        </w:rPr>
        <w:t>Er</w:t>
      </w:r>
      <w:r w:rsidR="00880858">
        <w:rPr>
          <w:iCs/>
          <w:vertAlign w:val="subscript"/>
        </w:rPr>
        <w:t>8</w:t>
      </w:r>
      <w: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00880858">
        <w:rPr>
          <w:vertAlign w:val="subscript"/>
        </w:rPr>
        <w:t>9</w:t>
      </w:r>
    </w:p>
    <w:p w:rsidR="00CD10CA" w:rsidRDefault="00CD10CA" w:rsidP="00DF35E4">
      <w:pPr>
        <w:pStyle w:val="InterpretationletzteZeile"/>
      </w:pPr>
      <w:r>
        <w:rPr>
          <w:i/>
        </w:rPr>
        <w:t>Er</w:t>
      </w:r>
      <w:r w:rsidR="00880858">
        <w:rPr>
          <w:vertAlign w:val="subscript"/>
        </w:rPr>
        <w:t>9</w:t>
      </w:r>
      <w:r>
        <w:t>: ‚Der Erzähler steht bezüglich der Wahrnehmung seines eigenen Verhaltens im Gegensatz zur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w:t>
      </w:r>
    </w:p>
    <w:p w:rsidR="008D03B3" w:rsidRDefault="00E90A4C" w:rsidP="00DF35E4">
      <w:pPr>
        <w:pStyle w:val="Text"/>
        <w:ind w:firstLine="0"/>
      </w:pPr>
      <w:r>
        <w:t xml:space="preserve">Dieses im Wesentlichen aus den Relationen </w:t>
      </w:r>
      <w:r w:rsidR="00907CDA">
        <w:t xml:space="preserve">„Gegensätzlichkeit“ </w:t>
      </w:r>
      <w:r>
        <w:t xml:space="preserve">der </w:t>
      </w:r>
      <w:r w:rsidRPr="00E90A4C">
        <w:rPr>
          <w:i/>
        </w:rPr>
        <w:t>U</w:t>
      </w:r>
      <w:r>
        <w:t xml:space="preserve"> und </w:t>
      </w:r>
      <w:r w:rsidR="00907CDA">
        <w:t xml:space="preserve">„Gleichheit“ der </w:t>
      </w:r>
      <w:r w:rsidRPr="00E90A4C">
        <w:rPr>
          <w:i/>
        </w:rPr>
        <w:t>V</w:t>
      </w:r>
      <w:r>
        <w:t xml:space="preserve"> </w:t>
      </w:r>
      <w:r w:rsidR="00880858">
        <w:t xml:space="preserve">von </w:t>
      </w:r>
      <w:r w:rsidR="00880858">
        <w:rPr>
          <w:i/>
          <w:iCs/>
        </w:rPr>
        <w:t>B</w:t>
      </w:r>
      <w:r w:rsidR="00880858">
        <w:rPr>
          <w:iCs/>
          <w:vertAlign w:val="subscript"/>
        </w:rPr>
        <w:t>7</w:t>
      </w:r>
      <w:r w:rsidR="00880858">
        <w:t xml:space="preserve"> und </w:t>
      </w:r>
      <w:r w:rsidR="00880858">
        <w:rPr>
          <w:i/>
          <w:iCs/>
        </w:rPr>
        <w:t>B</w:t>
      </w:r>
      <w:r w:rsidR="00880858">
        <w:rPr>
          <w:iCs/>
          <w:vertAlign w:val="subscript"/>
        </w:rPr>
        <w:t>8</w:t>
      </w:r>
      <w:r w:rsidR="00880858">
        <w:t xml:space="preserve"> g</w:t>
      </w:r>
      <w:r>
        <w:t>ewonnene Ergebnis ist noch recht abstrakt. Der</w:t>
      </w:r>
      <w:r w:rsidR="00DD45B2">
        <w:t xml:space="preserve"> SW </w:t>
      </w:r>
      <w:r>
        <w:t>kann es konkretisieren, indem er stärker auf die Semantik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t xml:space="preserve"> der Anwe</w:t>
      </w:r>
      <w:r>
        <w:t>n</w:t>
      </w:r>
      <w:r>
        <w:t xml:space="preserve">dungsbedingungen </w:t>
      </w:r>
      <w:r w:rsidRPr="00E90A4C">
        <w:rPr>
          <w:i/>
        </w:rPr>
        <w:t>U</w:t>
      </w:r>
      <w:r>
        <w:t xml:space="preserve"> eingeht:</w:t>
      </w:r>
    </w:p>
    <w:p w:rsidR="00E90A4C" w:rsidRDefault="00E90A4C" w:rsidP="00DF35E4">
      <w:pPr>
        <w:pStyle w:val="Formel"/>
      </w:pPr>
      <w:r>
        <w:rPr>
          <w:i/>
          <w:iCs/>
        </w:rPr>
        <w:t>B</w:t>
      </w:r>
      <w:r w:rsidR="00880858">
        <w:rPr>
          <w:iCs/>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sidR="00880858">
        <w:rPr>
          <w:iCs/>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4347A1">
        <w:rPr>
          <w:iCs/>
          <w:vertAlign w:val="subscript"/>
        </w:rPr>
        <w:t>8</w:t>
      </w:r>
      <w: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sidR="004347A1">
        <w:rPr>
          <w:vertAlign w:val="subscript"/>
        </w:rPr>
        <w:t>10</w:t>
      </w:r>
    </w:p>
    <w:p w:rsidR="00A816A9" w:rsidRPr="00CA4679" w:rsidRDefault="001E0743" w:rsidP="00DF35E4">
      <w:pPr>
        <w:pStyle w:val="Interpretation"/>
      </w:pPr>
      <w:r>
        <w:rPr>
          <w:i/>
        </w:rPr>
        <w:t>Er</w:t>
      </w:r>
      <w:r w:rsidR="004347A1">
        <w:rPr>
          <w:vertAlign w:val="subscript"/>
        </w:rPr>
        <w:t>10</w:t>
      </w:r>
      <w:r>
        <w:t>: ‚</w:t>
      </w:r>
      <w:r w:rsidR="00C737D6">
        <w:t>Der</w:t>
      </w:r>
      <w:r w:rsidR="00D2554C">
        <w:t xml:space="preserve"> Erzähler </w:t>
      </w:r>
      <w:r w:rsidR="00CA4679" w:rsidRPr="00CA4679">
        <w:t>kann nicht zwischen alltäglichen Verhaltensweisen und ex</w:t>
      </w:r>
      <w:r w:rsidR="00CA4679" w:rsidRPr="00CA4679">
        <w:t>t</w:t>
      </w:r>
      <w:r w:rsidR="00CA4679" w:rsidRPr="00CA4679">
        <w:t>rem brutalem Verhalten unterscheiden</w:t>
      </w:r>
      <w:r w:rsidR="00CA4679">
        <w:t>‘</w:t>
      </w:r>
    </w:p>
    <w:p w:rsidR="00A816A9" w:rsidRDefault="00A816A9" w:rsidP="00DF35E4">
      <w:pPr>
        <w:pStyle w:val="Interpretation"/>
      </w:pPr>
      <w:r w:rsidRPr="00CA4679">
        <w:rPr>
          <w:i/>
        </w:rPr>
        <w:t>H</w:t>
      </w:r>
      <w:r w:rsidR="004347A1">
        <w:rPr>
          <w:vertAlign w:val="subscript"/>
        </w:rPr>
        <w:t>4</w:t>
      </w:r>
      <w:r w:rsidRPr="00CA4679">
        <w:t>:</w:t>
      </w:r>
      <w:r w:rsidRPr="00CA4679">
        <w:tab/>
      </w:r>
      <w:r w:rsidR="00CA4679" w:rsidRPr="00CA4679">
        <w:t xml:space="preserve">‚Menschen, die nicht zwischen alltäglichem Verhalten und extrem brutalem Verhalten unterscheiden können, </w:t>
      </w:r>
      <w:r w:rsidR="00CA4679">
        <w:t>we</w:t>
      </w:r>
      <w:r w:rsidR="00CA4679" w:rsidRPr="00CA4679">
        <w:t xml:space="preserve">rden als </w:t>
      </w:r>
      <w:r w:rsidR="00CA4679">
        <w:t>„Psychopath</w:t>
      </w:r>
      <w:r w:rsidR="00E90A4C">
        <w:t>en</w:t>
      </w:r>
      <w:r w:rsidR="00CA4679">
        <w:t>“</w:t>
      </w:r>
      <w:r w:rsidR="00CA4679" w:rsidRPr="00CA4679">
        <w:t xml:space="preserve"> </w:t>
      </w:r>
      <w:r w:rsidR="00CA4679">
        <w:t>bezeichnet‘</w:t>
      </w:r>
    </w:p>
    <w:p w:rsidR="00CA4679" w:rsidRPr="001A2E50" w:rsidRDefault="00CA4679" w:rsidP="00DF35E4">
      <w:pPr>
        <w:pStyle w:val="Formel"/>
      </w:pPr>
      <w:r w:rsidRPr="001A2E50">
        <w:rPr>
          <w:i/>
          <w:iCs/>
        </w:rPr>
        <w:t>Er</w:t>
      </w:r>
      <w:r w:rsidR="004347A1">
        <w:rPr>
          <w:iCs/>
          <w:vertAlign w:val="subscript"/>
        </w:rPr>
        <w:t>10</w:t>
      </w:r>
      <w:r w:rsidRPr="001A2E50">
        <w:t xml:space="preserve"> </w:t>
      </w:r>
      <w:r w:rsidRPr="001A2E50">
        <w:rPr>
          <w:rFonts w:ascii="Cambria Math" w:hAnsi="Cambria Math" w:cs="Cambria Math"/>
          <w:color w:val="000000" w:themeColor="text1"/>
        </w:rPr>
        <w:t>∧</w:t>
      </w:r>
      <w:r w:rsidRPr="001A2E50">
        <w:rPr>
          <w:rFonts w:cs="Times New Roman"/>
          <w:color w:val="000000" w:themeColor="text1"/>
        </w:rPr>
        <w:t xml:space="preserve"> </w:t>
      </w:r>
      <w:r w:rsidRPr="001A2E50">
        <w:rPr>
          <w:i/>
          <w:iCs/>
        </w:rPr>
        <w:t>H</w:t>
      </w:r>
      <w:r w:rsidR="004347A1">
        <w:rPr>
          <w:iCs/>
          <w:vertAlign w:val="subscript"/>
        </w:rPr>
        <w:t>4</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Pr="001A2E50">
        <w:rPr>
          <w:vertAlign w:val="subscript"/>
        </w:rPr>
        <w:t>Ded</w:t>
      </w:r>
      <w:r w:rsidRPr="001A2E50">
        <w:t xml:space="preserve">  </w:t>
      </w:r>
      <w:r w:rsidRPr="001A2E50">
        <w:rPr>
          <w:i/>
          <w:iCs/>
        </w:rPr>
        <w:t>Er</w:t>
      </w:r>
      <w:r w:rsidRPr="001A2E50">
        <w:rPr>
          <w:vertAlign w:val="subscript"/>
        </w:rPr>
        <w:t>1</w:t>
      </w:r>
      <w:r w:rsidR="004347A1">
        <w:rPr>
          <w:vertAlign w:val="subscript"/>
        </w:rPr>
        <w:t>1</w:t>
      </w:r>
    </w:p>
    <w:p w:rsidR="00A816A9" w:rsidRDefault="00CA4679" w:rsidP="00DF35E4">
      <w:pPr>
        <w:pStyle w:val="InterpretationletzteZeile"/>
      </w:pPr>
      <w:r w:rsidRPr="00CA4679">
        <w:rPr>
          <w:i/>
        </w:rPr>
        <w:t>Er</w:t>
      </w:r>
      <w:r w:rsidRPr="00CA4679">
        <w:rPr>
          <w:vertAlign w:val="subscript"/>
        </w:rPr>
        <w:t>1</w:t>
      </w:r>
      <w:r w:rsidR="004347A1">
        <w:rPr>
          <w:vertAlign w:val="subscript"/>
        </w:rPr>
        <w:t>1</w:t>
      </w:r>
      <w:r w:rsidR="00A816A9" w:rsidRPr="00CA4679">
        <w:t>:</w:t>
      </w:r>
      <w:r w:rsidR="00A816A9" w:rsidRPr="00CA4679">
        <w:tab/>
      </w:r>
      <w:r w:rsidRPr="00CA4679">
        <w:t>‚</w:t>
      </w:r>
      <w:r>
        <w:t>Der Erzähler ist ein Psychopath‘</w:t>
      </w:r>
    </w:p>
    <w:p w:rsidR="00CA4679" w:rsidRPr="00CA4679" w:rsidRDefault="00CA4679" w:rsidP="00DF35E4">
      <w:pPr>
        <w:pStyle w:val="Text"/>
        <w:tabs>
          <w:tab w:val="left" w:pos="3119"/>
        </w:tabs>
        <w:ind w:firstLine="0"/>
      </w:pPr>
      <w:r>
        <w:t>Hier bestätigt also die Stil</w:t>
      </w:r>
      <w:r w:rsidR="00355086">
        <w:t>interpretation</w:t>
      </w:r>
      <w:r>
        <w:t xml:space="preserve"> die bereits im Titel des Buches </w:t>
      </w:r>
      <w:r w:rsidR="007550B0">
        <w:t>gegebene</w:t>
      </w:r>
      <w:r w:rsidR="001957E0">
        <w:t xml:space="preserve"> Charakterisierung der Hauptfi</w:t>
      </w:r>
      <w:r w:rsidR="007550B0">
        <w:t>gur des Buchs, die zugleich Erzähler ist.</w:t>
      </w:r>
    </w:p>
    <w:p w:rsidR="00603B38" w:rsidRPr="001A2E50" w:rsidRDefault="007550B0">
      <w:pPr>
        <w:pStyle w:val="Text"/>
      </w:pPr>
      <w:r>
        <w:t xml:space="preserve">Nun können </w:t>
      </w:r>
      <w:r w:rsidR="00355086">
        <w:t>die beiden Teile der Interpretation</w:t>
      </w:r>
      <w:r>
        <w:t xml:space="preserve"> aufeinander bezogen we</w:t>
      </w:r>
      <w:r>
        <w:t>r</w:t>
      </w:r>
      <w:r>
        <w:t>den:</w:t>
      </w:r>
    </w:p>
    <w:p w:rsidR="001E0743" w:rsidRDefault="004347A1" w:rsidP="00DF35E4">
      <w:pPr>
        <w:pStyle w:val="Formel"/>
      </w:pPr>
      <w:r>
        <w:rPr>
          <w:i/>
          <w:iCs/>
        </w:rPr>
        <w:t>Er</w:t>
      </w:r>
      <w:r>
        <w:rPr>
          <w:iCs/>
          <w:vertAlign w:val="subscript"/>
        </w:rPr>
        <w:t>5</w:t>
      </w:r>
      <w:r w:rsidR="001E0743">
        <w:t xml:space="preserve"> </w:t>
      </w:r>
      <w:r w:rsidR="001E0743">
        <w:rPr>
          <w:rFonts w:ascii="Cambria Math" w:hAnsi="Cambria Math" w:cs="Cambria Math"/>
          <w:color w:val="000000" w:themeColor="text1"/>
        </w:rPr>
        <w:t>∧</w:t>
      </w:r>
      <w:r w:rsidR="001E0743">
        <w:rPr>
          <w:rFonts w:cs="Times New Roman"/>
          <w:color w:val="000000" w:themeColor="text1"/>
        </w:rPr>
        <w:t xml:space="preserve"> </w:t>
      </w:r>
      <w:r>
        <w:rPr>
          <w:i/>
          <w:iCs/>
        </w:rPr>
        <w:t>Er</w:t>
      </w:r>
      <w:r>
        <w:rPr>
          <w:iCs/>
          <w:vertAlign w:val="subscript"/>
        </w:rPr>
        <w:t>10</w:t>
      </w:r>
      <w:r w:rsidR="001E0743" w:rsidRPr="009F112E">
        <w:rPr>
          <w:rFonts w:eastAsia="Arial Unicode MS" w:cs="Times New Roman"/>
          <w:color w:val="000000" w:themeColor="text1"/>
        </w:rPr>
        <w:t xml:space="preserve"> </w:t>
      </w:r>
      <w:r w:rsidR="001E0743">
        <w:rPr>
          <w:rFonts w:ascii="Cambria Math" w:hAnsi="Cambria Math" w:cs="Cambria Math"/>
          <w:color w:val="000000" w:themeColor="text1"/>
        </w:rPr>
        <w:t>∧</w:t>
      </w:r>
      <w:r w:rsidR="001E0743">
        <w:rPr>
          <w:rFonts w:cs="Times New Roman"/>
          <w:color w:val="000000" w:themeColor="text1"/>
        </w:rPr>
        <w:t xml:space="preserve"> </w:t>
      </w:r>
      <w:r>
        <w:rPr>
          <w:i/>
          <w:iCs/>
        </w:rPr>
        <w:t>Er</w:t>
      </w:r>
      <w:r>
        <w:rPr>
          <w:iCs/>
          <w:vertAlign w:val="subscript"/>
        </w:rPr>
        <w:t>11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Abd</w:t>
      </w:r>
      <w:r w:rsidR="001E0743">
        <w:t xml:space="preserve"> </w:t>
      </w:r>
      <w:r w:rsidR="007550B0">
        <w:t xml:space="preserve"> </w:t>
      </w:r>
      <w:r w:rsidR="001E0743">
        <w:rPr>
          <w:i/>
          <w:iCs/>
        </w:rPr>
        <w:t>Er</w:t>
      </w:r>
      <w:r w:rsidR="00B75BB5">
        <w:rPr>
          <w:vertAlign w:val="subscript"/>
        </w:rPr>
        <w:t>1</w:t>
      </w:r>
      <w:r>
        <w:rPr>
          <w:vertAlign w:val="subscript"/>
        </w:rPr>
        <w:t>2</w:t>
      </w:r>
    </w:p>
    <w:p w:rsidR="004347A1" w:rsidRDefault="00B75BB5" w:rsidP="00DF35E4">
      <w:pPr>
        <w:pStyle w:val="InterpretationletzteZeile"/>
      </w:pPr>
      <w:r>
        <w:rPr>
          <w:i/>
        </w:rPr>
        <w:lastRenderedPageBreak/>
        <w:t>Er</w:t>
      </w:r>
      <w:r>
        <w:rPr>
          <w:vertAlign w:val="subscript"/>
        </w:rPr>
        <w:t>1</w:t>
      </w:r>
      <w:r w:rsidR="004347A1">
        <w:rPr>
          <w:vertAlign w:val="subscript"/>
        </w:rPr>
        <w:t>2</w:t>
      </w:r>
      <w:r>
        <w:t>: ‚</w:t>
      </w:r>
      <w:r w:rsidR="004347A1">
        <w:t>Eine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rsidR="004347A1">
        <w:t>, die oberflächlich, süchtig nach Populärkultur und ko</w:t>
      </w:r>
      <w:r w:rsidR="004347A1">
        <w:t>n</w:t>
      </w:r>
      <w:r w:rsidR="004347A1">
        <w:t>formistisch ist und in denen Individualität und sogar Identität nicht wichtig sind, erzeugt Unterscheidungsunfähigkeit, Brutalität und psychopathisches Verhalten‘</w:t>
      </w:r>
    </w:p>
    <w:p w:rsidR="00D2554C" w:rsidRDefault="004347A1" w:rsidP="00DF35E4">
      <w:pPr>
        <w:pStyle w:val="Text"/>
        <w:ind w:firstLine="0"/>
      </w:pPr>
      <w:r>
        <w:t>D</w:t>
      </w:r>
      <w:r w:rsidR="00B11B20">
        <w:t>as</w:t>
      </w:r>
      <w:r>
        <w:t xml:space="preserve"> letzte </w:t>
      </w:r>
      <w:r w:rsidR="00B11B20">
        <w:t xml:space="preserve">Ergebnis </w:t>
      </w:r>
      <w:r>
        <w:t xml:space="preserve">ist </w:t>
      </w:r>
      <w:r w:rsidR="00D2554C">
        <w:t xml:space="preserve">stärker spekulativ als </w:t>
      </w:r>
      <w:r w:rsidR="000B2C1D">
        <w:t xml:space="preserve">die </w:t>
      </w:r>
      <w:r>
        <w:t>vorigen, weil e</w:t>
      </w:r>
      <w:r w:rsidR="00B11B20">
        <w:t>s</w:t>
      </w:r>
      <w:r>
        <w:t xml:space="preserve"> zwei selbst b</w:t>
      </w:r>
      <w:r>
        <w:t>e</w:t>
      </w:r>
      <w:r>
        <w:t>reits mit gewissen Unsicherheiten behaftete Ergebnisse aufeinander bezieht</w:t>
      </w:r>
      <w:r w:rsidR="000B2C1D">
        <w:t xml:space="preserve"> und </w:t>
      </w:r>
      <w:r>
        <w:t xml:space="preserve">ein Kausalverhältnis zwischen ihnen </w:t>
      </w:r>
      <w:r w:rsidR="000B2C1D">
        <w:t>annimmt</w:t>
      </w:r>
      <w:r>
        <w:t>.</w:t>
      </w:r>
      <w:r w:rsidR="00D2554C">
        <w:t xml:space="preserve"> Es wird erkennbar, dass die abg</w:t>
      </w:r>
      <w:r w:rsidR="00D2554C">
        <w:t>e</w:t>
      </w:r>
      <w:r w:rsidR="00D2554C">
        <w:t xml:space="preserve">leiteten </w:t>
      </w:r>
      <w:r w:rsidR="00B11B20">
        <w:t xml:space="preserve">Ergebnisse </w:t>
      </w:r>
      <w:r w:rsidR="00D2554C">
        <w:t xml:space="preserve">umso subjektiver werden, je weiter sie in ihrer Ableitung von den </w:t>
      </w:r>
      <w:r w:rsidR="00765E66">
        <w:t>Merkmalsregel</w:t>
      </w:r>
      <w:r w:rsidR="00D2554C">
        <w:t xml:space="preserve">n entfernt sind. Während manche direkt ableitbaren </w:t>
      </w:r>
      <w:r w:rsidR="00B11B20">
        <w:t>Erge</w:t>
      </w:r>
      <w:r w:rsidR="00B11B20">
        <w:t>b</w:t>
      </w:r>
      <w:r w:rsidR="00B11B20">
        <w:t xml:space="preserve">nisse </w:t>
      </w:r>
      <w:r>
        <w:t xml:space="preserve">(etwa </w:t>
      </w:r>
      <w:r w:rsidR="00180AC3">
        <w:rPr>
          <w:i/>
          <w:iCs/>
        </w:rPr>
        <w:t>Er</w:t>
      </w:r>
      <w:r w:rsidR="00D2554C">
        <w:rPr>
          <w:vertAlign w:val="subscript"/>
        </w:rPr>
        <w:t>1</w:t>
      </w:r>
      <w:r w:rsidR="00D2554C">
        <w:t xml:space="preserve"> </w:t>
      </w:r>
      <w:r>
        <w:t xml:space="preserve">bis </w:t>
      </w:r>
      <w:r w:rsidR="00180AC3">
        <w:rPr>
          <w:i/>
          <w:iCs/>
        </w:rPr>
        <w:t>Er</w:t>
      </w:r>
      <w:r w:rsidR="000B2C1D">
        <w:rPr>
          <w:vertAlign w:val="subscript"/>
        </w:rPr>
        <w:t>3</w:t>
      </w:r>
      <w:r w:rsidR="00D2554C">
        <w:t xml:space="preserve">) kaum zurückweisbar sind und </w:t>
      </w:r>
      <w:r>
        <w:t xml:space="preserve">vermutlich auch </w:t>
      </w:r>
      <w:r w:rsidR="00D2554C">
        <w:t xml:space="preserve">Teil des </w:t>
      </w:r>
      <w:r>
        <w:t xml:space="preserve">beabsichtigten </w:t>
      </w:r>
      <w:r w:rsidR="00D2554C">
        <w:t xml:space="preserve">Stils </w:t>
      </w:r>
      <w:r>
        <w:t>waren</w:t>
      </w:r>
      <w:r w:rsidR="00D2554C">
        <w:t xml:space="preserve">, </w:t>
      </w:r>
      <w:r w:rsidR="000B2C1D">
        <w:t xml:space="preserve">dürften sich bei den </w:t>
      </w:r>
      <w:r>
        <w:t>davon abgeleiteten Ergebnisse</w:t>
      </w:r>
      <w:r w:rsidR="000B2C1D">
        <w:t>n</w:t>
      </w:r>
      <w:r>
        <w:t xml:space="preserve"> </w:t>
      </w:r>
      <w:r w:rsidR="000B2C1D">
        <w:t xml:space="preserve">zunehmend größere Unterschiede zwischen </w:t>
      </w:r>
      <w:r w:rsidR="00D2554C">
        <w:t>verschiedene</w:t>
      </w:r>
      <w:r w:rsidR="000B2C1D">
        <w:t>n</w:t>
      </w:r>
      <w:r w:rsidR="00D2554C">
        <w:t xml:space="preserve"> </w:t>
      </w:r>
      <w:r w:rsidR="00C75387">
        <w:t>Stilwahrnehmer</w:t>
      </w:r>
      <w:r w:rsidR="000B2C1D">
        <w:t>n ergeben</w:t>
      </w:r>
      <w:r w:rsidR="00D2554C">
        <w:t>.</w:t>
      </w:r>
    </w:p>
    <w:p w:rsidR="00D2554C" w:rsidRDefault="00D2554C">
      <w:pPr>
        <w:pStyle w:val="Text"/>
      </w:pPr>
      <w:r>
        <w:t>Die vorgenommene Interpretation führt zu einem gesellschafts- und zei</w:t>
      </w:r>
      <w:r>
        <w:t>t</w:t>
      </w:r>
      <w:r>
        <w:t>kritischen Fazit. Während „American Psycho“ beim Erscheinen seiner exzess</w:t>
      </w:r>
      <w:r>
        <w:t>i</w:t>
      </w:r>
      <w:r>
        <w:t>ven Gewalt- und Sexdarstellungen wegen Aufsehen erregte, versteht sich Ellis selbst als Moralist. Diese Selbsteinschätzung, die er zudem explizit auf seinen Schreibstil</w:t>
      </w:r>
      <w:r w:rsidR="005D7996">
        <w:fldChar w:fldCharType="begin"/>
      </w:r>
      <w:r w:rsidR="00673F18">
        <w:instrText xml:space="preserve"> XE "</w:instrText>
      </w:r>
      <w:r w:rsidR="00673F18" w:rsidRPr="008B7C1D">
        <w:instrText>Schreibstil</w:instrText>
      </w:r>
      <w:r w:rsidR="00673F18">
        <w:instrText xml:space="preserve">" </w:instrText>
      </w:r>
      <w:r w:rsidR="005D7996">
        <w:fldChar w:fldCharType="end"/>
      </w:r>
      <w:r>
        <w:t xml:space="preserve"> bezieht,</w:t>
      </w:r>
      <w:r>
        <w:rPr>
          <w:rStyle w:val="Funotenzeichen"/>
        </w:rPr>
        <w:footnoteReference w:id="467"/>
      </w:r>
      <w:r>
        <w:t xml:space="preserve"> konnte durch die Stil</w:t>
      </w:r>
      <w:r w:rsidR="00E37ED0">
        <w:t>interpretation</w:t>
      </w:r>
      <w:r>
        <w:t xml:space="preserve"> bestätigt werden.</w:t>
      </w:r>
    </w:p>
    <w:p w:rsidR="00D2554C" w:rsidRDefault="00D2554C">
      <w:pPr>
        <w:pStyle w:val="Text"/>
      </w:pPr>
      <w:r>
        <w:t xml:space="preserve">Ein denkbarer Einwand ist, dass die gewonnenen </w:t>
      </w:r>
      <w:r w:rsidR="000B2C1D">
        <w:t xml:space="preserve">Ergebnisse </w:t>
      </w:r>
      <w:r>
        <w:t>durch eine i</w:t>
      </w:r>
      <w:r>
        <w:t>n</w:t>
      </w:r>
      <w:r>
        <w:t xml:space="preserve">haltliche Interpretation beeinflusst seien. Tatsächlich passen bestimmte Aspekte des Inhalts der Bücher – etwa das Verhalten der Protagonisten und die von ihnen geführten Gespräche – zu der hier vorgestellten Interpretation des Stils, die auch in Kenntnis des Inhalts vorgenommen wurde. Allerdings sind die entstandenen Zeicheninhalte direkt aus den </w:t>
      </w:r>
      <w:r w:rsidR="00765E66">
        <w:t>Merkmalsregel</w:t>
      </w:r>
      <w:r>
        <w:t>n ableitbar, ohne dass der Inhalt für diesen Vorgang herangezogen werden muss, wie die obige Darstellung zeigt.</w:t>
      </w:r>
      <w:r>
        <w:rPr>
          <w:rStyle w:val="Funotenzeichen"/>
        </w:rPr>
        <w:footnoteReference w:id="468"/>
      </w:r>
      <w:r>
        <w:t xml:space="preserve"> Sie können nun verwendet werden, um eine inhaltliche Interpretation zu stü</w:t>
      </w:r>
      <w:r>
        <w:t>t</w:t>
      </w:r>
      <w:r>
        <w:t>zen, in bestimmten Aspekten zu korrigieren oder zu erweitern.</w:t>
      </w:r>
    </w:p>
    <w:p w:rsidR="001957E0" w:rsidRPr="002B747F" w:rsidRDefault="00AC5446">
      <w:pPr>
        <w:pStyle w:val="Text"/>
      </w:pPr>
      <w:r>
        <w:t>G</w:t>
      </w:r>
      <w:r w:rsidR="00D2554C" w:rsidRPr="002B747F">
        <w:t xml:space="preserve">erade bei literarischen Texten </w:t>
      </w:r>
      <w:r>
        <w:t xml:space="preserve">kann davon ausgegangen werden, dass sich </w:t>
      </w:r>
      <w:r w:rsidR="00D2554C" w:rsidRPr="002B747F">
        <w:t xml:space="preserve">inhaltliche und stilistische Interpretation gegenseitig beeinflussen. </w:t>
      </w:r>
      <w:r w:rsidR="002B747F" w:rsidRPr="002B747F">
        <w:t>Die inhaltl</w:t>
      </w:r>
      <w:r w:rsidR="002B747F" w:rsidRPr="002B747F">
        <w:t>i</w:t>
      </w:r>
      <w:r w:rsidR="002B747F" w:rsidRPr="002B747F">
        <w:t xml:space="preserve">che Interpretation eines Texts kann die Stilinterpretation über die Funktion </w:t>
      </w:r>
      <w:r w:rsidR="00557C80">
        <w:rPr>
          <w:i/>
        </w:rPr>
        <w:t>I</w:t>
      </w:r>
      <w:r w:rsidR="00557C80">
        <w:rPr>
          <w:i/>
        </w:rPr>
        <w:t>n</w:t>
      </w:r>
      <w:r w:rsidR="00557C80">
        <w:rPr>
          <w:i/>
        </w:rPr>
        <w:t>teresse</w:t>
      </w:r>
      <w:r w:rsidR="002B747F" w:rsidRPr="002B747F">
        <w:t xml:space="preserve"> (vgl. </w:t>
      </w:r>
      <w:fldSimple w:instr=" REF _Ref255767436 \r \h  \* MERGEFORMAT ">
        <w:r w:rsidR="001231D3">
          <w:t>7.2.1</w:t>
        </w:r>
      </w:fldSimple>
      <w:r w:rsidR="002B747F" w:rsidRPr="002B747F">
        <w:t xml:space="preserve">) steuern. Daher ist es nicht unplausibel, dass Stilinterpretation dazu verwendet werden, um Aspekte eines (literarischen oder nichtliterarischen) Texts, die sich aus der Inhaltsinterpretation ergeben, zu bestätigen </w:t>
      </w:r>
      <w:r w:rsidR="000B2C1D">
        <w:t>oder zu w</w:t>
      </w:r>
      <w:r w:rsidR="000B2C1D">
        <w:t>i</w:t>
      </w:r>
      <w:r w:rsidR="000B2C1D">
        <w:t xml:space="preserve">derlegen, soweit dies </w:t>
      </w:r>
      <w:r w:rsidR="002B747F" w:rsidRPr="002B747F">
        <w:t>mit Hilfe der zur Verfü</w:t>
      </w:r>
      <w:r w:rsidR="000B2C1D">
        <w:t>g</w:t>
      </w:r>
      <w:r w:rsidR="002B747F" w:rsidRPr="002B747F">
        <w:t xml:space="preserve">ung stehenden Operationen </w:t>
      </w:r>
      <w:r w:rsidR="000B2C1D">
        <w:t xml:space="preserve">und des vorhandenen Hintergrundwissens </w:t>
      </w:r>
      <w:r w:rsidR="002B747F" w:rsidRPr="002B747F">
        <w:t>gelingt.</w:t>
      </w:r>
    </w:p>
    <w:p w:rsidR="00894C96" w:rsidRDefault="00894C96" w:rsidP="00894C96">
      <w:pPr>
        <w:pStyle w:val="Titel3"/>
      </w:pPr>
      <w:bookmarkStart w:id="369" w:name="_Ref254004896"/>
      <w:bookmarkStart w:id="370" w:name="_Toc325456790"/>
      <w:bookmarkStart w:id="371" w:name="Paul_Frankl"/>
      <w:bookmarkEnd w:id="368"/>
      <w:r>
        <w:lastRenderedPageBreak/>
        <w:t>Ein Klassiker: Romanik vs. Gotik</w:t>
      </w:r>
      <w:bookmarkEnd w:id="369"/>
      <w:bookmarkEnd w:id="370"/>
    </w:p>
    <w:p w:rsidR="00D2554C" w:rsidRDefault="005D7996" w:rsidP="00DF35E4">
      <w:pPr>
        <w:pStyle w:val="Text"/>
        <w:ind w:firstLine="0"/>
      </w:pPr>
      <w:r>
        <w:fldChar w:fldCharType="begin"/>
      </w:r>
      <w:r w:rsidR="00DC359C">
        <w:instrText xml:space="preserve"> XE "</w:instrText>
      </w:r>
      <w:r w:rsidR="00DC359C" w:rsidRPr="0043640B">
        <w:instrText>Frankl, Paul</w:instrText>
      </w:r>
      <w:r w:rsidR="00DC359C">
        <w:instrText xml:space="preserve">" \r "Paul_Frankl" </w:instrText>
      </w:r>
      <w:r>
        <w:fldChar w:fldCharType="end"/>
      </w:r>
      <w:r>
        <w:fldChar w:fldCharType="begin"/>
      </w:r>
      <w:r w:rsidR="005F57AA">
        <w:instrText xml:space="preserve"> XE "Allerheiligenkapelle </w:instrText>
      </w:r>
      <w:r w:rsidR="005F57AA" w:rsidRPr="00C11ACB">
        <w:instrText>(</w:instrText>
      </w:r>
      <w:r w:rsidR="005F57AA">
        <w:instrText>Regensburg</w:instrText>
      </w:r>
      <w:r w:rsidR="005F57AA" w:rsidRPr="00C11ACB">
        <w:instrText>)</w:instrText>
      </w:r>
      <w:r w:rsidR="005F57AA">
        <w:instrText xml:space="preserve">" \r "Paul_Frankl" </w:instrText>
      </w:r>
      <w:r>
        <w:fldChar w:fldCharType="end"/>
      </w:r>
      <w:r>
        <w:fldChar w:fldCharType="begin"/>
      </w:r>
      <w:r w:rsidR="00DC359C">
        <w:instrText xml:space="preserve"> XE "</w:instrText>
      </w:r>
      <w:r w:rsidR="00DC359C" w:rsidRPr="00C11ACB">
        <w:instrText>Ste-Chapelle (Paris)</w:instrText>
      </w:r>
      <w:r w:rsidR="00DC359C">
        <w:instrText xml:space="preserve">" \r "Paul_Frankl" </w:instrText>
      </w:r>
      <w:r>
        <w:fldChar w:fldCharType="end"/>
      </w:r>
      <w:r>
        <w:fldChar w:fldCharType="begin"/>
      </w:r>
      <w:r w:rsidR="00DC359C">
        <w:instrText xml:space="preserve"> XE "Romanik" \r "Paul_Frankl" </w:instrText>
      </w:r>
      <w:r>
        <w:fldChar w:fldCharType="end"/>
      </w:r>
      <w:r>
        <w:fldChar w:fldCharType="begin"/>
      </w:r>
      <w:r w:rsidR="00DC359C">
        <w:instrText xml:space="preserve"> XE "Gotik" \r "Paul_Frankl" </w:instrText>
      </w:r>
      <w:r>
        <w:fldChar w:fldCharType="end"/>
      </w:r>
      <w:r w:rsidR="002B747F">
        <w:t xml:space="preserve">Das </w:t>
      </w:r>
      <w:r w:rsidR="00D2554C">
        <w:t>Beispiel</w:t>
      </w:r>
      <w:r w:rsidR="002B747F">
        <w:t xml:space="preserve"> für eine Stilunterscheidung, das den meisten Menschen als erstes einfallen dürfte, ist der romanische Rundbogen vs. der gotische Spitzbogen. </w:t>
      </w:r>
      <w:r w:rsidR="00394880">
        <w:t xml:space="preserve">Es wurde </w:t>
      </w:r>
      <w:r w:rsidR="002B747F">
        <w:t>bereits ein Beispiel aus der modernen Architektur analysiert</w:t>
      </w:r>
      <w:r w:rsidR="00394880">
        <w:t xml:space="preserve"> (</w:t>
      </w:r>
      <w:r>
        <w:fldChar w:fldCharType="begin"/>
      </w:r>
      <w:r w:rsidR="00394880">
        <w:instrText xml:space="preserve"> REF _Ref254386965 \r \h </w:instrText>
      </w:r>
      <w:r>
        <w:fldChar w:fldCharType="separate"/>
      </w:r>
      <w:r w:rsidR="001231D3">
        <w:t>7.1.1</w:t>
      </w:r>
      <w:r>
        <w:fldChar w:fldCharType="end"/>
      </w:r>
      <w:r w:rsidR="00394880">
        <w:t>)</w:t>
      </w:r>
      <w:r w:rsidR="002B747F">
        <w:t>; e</w:t>
      </w:r>
      <w:r w:rsidR="00394880">
        <w:t>in weiteres Architekturbeispiel können wir uns angesichts der historischen Rel</w:t>
      </w:r>
      <w:r w:rsidR="00394880">
        <w:t>e</w:t>
      </w:r>
      <w:r w:rsidR="00394880">
        <w:t xml:space="preserve">vanz des Architekturstils für die Stiltheorie genehmigen. Diesmal wird auf eine </w:t>
      </w:r>
      <w:r w:rsidR="002B747F">
        <w:t xml:space="preserve">vorhandene </w:t>
      </w:r>
      <w:r w:rsidR="00394880">
        <w:t>Stildeutung zurückgegriffen</w:t>
      </w:r>
      <w:r w:rsidR="002B747F">
        <w:t xml:space="preserve">: </w:t>
      </w:r>
      <w:r w:rsidR="00D2554C">
        <w:t xml:space="preserve">Paul Frankls </w:t>
      </w:r>
      <w:r w:rsidR="002B747F">
        <w:t>Interpretation des Stils der S</w:t>
      </w:r>
      <w:r w:rsidR="00D2554C">
        <w:t>t</w:t>
      </w:r>
      <w:r w:rsidR="002B747F">
        <w:t>e-Chapelle (</w:t>
      </w:r>
      <w:r w:rsidR="00D2554C">
        <w:t>Paris</w:t>
      </w:r>
      <w:r w:rsidR="002B747F">
        <w:t>):</w:t>
      </w:r>
      <w:r w:rsidR="00D2554C">
        <w:rPr>
          <w:rStyle w:val="Funotenzeichen"/>
        </w:rPr>
        <w:footnoteReference w:id="469"/>
      </w:r>
    </w:p>
    <w:p w:rsidR="00D2554C" w:rsidRPr="00F71D64" w:rsidRDefault="00854BDB">
      <w:pPr>
        <w:pStyle w:val="ZitatAbsto"/>
        <w:rPr>
          <w:szCs w:val="22"/>
        </w:rPr>
      </w:pPr>
      <w:r>
        <w:rPr>
          <w:noProof/>
        </w:rPr>
        <w:drawing>
          <wp:anchor distT="0" distB="0" distL="114300" distR="114300" simplePos="0" relativeHeight="251848192" behindDoc="0" locked="0" layoutInCell="1" allowOverlap="1">
            <wp:simplePos x="0" y="0"/>
            <wp:positionH relativeFrom="column">
              <wp:posOffset>15875</wp:posOffset>
            </wp:positionH>
            <wp:positionV relativeFrom="paragraph">
              <wp:posOffset>136525</wp:posOffset>
            </wp:positionV>
            <wp:extent cx="2864485" cy="1905000"/>
            <wp:effectExtent l="19050" t="0" r="0" b="0"/>
            <wp:wrapSquare wrapText="bothSides"/>
            <wp:docPr id="5" name="Abbildung 5.jpg" descr="C:\Users\Martin\Docs\Uni\Diss\Abbildungen und weitere Materialien\Abbildu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 5.jpg"/>
                    <pic:cNvPicPr/>
                  </pic:nvPicPr>
                  <pic:blipFill>
                    <a:blip r:embed="rId69" cstate="print"/>
                    <a:stretch>
                      <a:fillRect/>
                    </a:stretch>
                  </pic:blipFill>
                  <pic:spPr>
                    <a:xfrm>
                      <a:off x="0" y="0"/>
                      <a:ext cx="2864485" cy="1905000"/>
                    </a:xfrm>
                    <a:prstGeom prst="rect">
                      <a:avLst/>
                    </a:prstGeom>
                  </pic:spPr>
                </pic:pic>
              </a:graphicData>
            </a:graphic>
          </wp:anchor>
        </w:drawing>
      </w:r>
      <w:r w:rsidR="005D7996" w:rsidRPr="005D7996">
        <w:rPr>
          <w:noProof/>
        </w:rPr>
        <w:pict>
          <v:shape id="_x0000_s636568" type="#_x0000_t202" style="position:absolute;left:0;text-align:left;margin-left:1.1pt;margin-top:165.25pt;width:225.9pt;height:36.35pt;z-index:251758080;mso-position-horizontal-relative:text;mso-position-vertical-relative:text" wrapcoords="-49 0 -49 21016 21600 21016 21600 0 -49 0" stroked="f">
            <v:textbox style="mso-next-textbox:#_x0000_s636568" inset="0,0,0,0">
              <w:txbxContent>
                <w:p w:rsidR="00CC3558" w:rsidRPr="009E2B4A" w:rsidRDefault="00CC3558" w:rsidP="00FB14EC">
                  <w:pPr>
                    <w:pStyle w:val="Beschriftung"/>
                    <w:ind w:left="680" w:hanging="680"/>
                    <w:jc w:val="left"/>
                  </w:pPr>
                  <w:bookmarkStart w:id="372" w:name="_Toc323036040"/>
                  <w:r w:rsidRPr="00974A07">
                    <w:rPr>
                      <w:b/>
                    </w:rPr>
                    <w:t xml:space="preserve">Abb. </w:t>
                  </w:r>
                  <w:r>
                    <w:rPr>
                      <w:b/>
                    </w:rPr>
                    <w:t>5</w:t>
                  </w:r>
                  <w:r>
                    <w:tab/>
                  </w:r>
                  <w:r w:rsidRPr="009E2B4A">
                    <w:t>Das Obergeschoss der Ste-Chapelle, Paris</w:t>
                  </w:r>
                  <w:r w:rsidR="005D7996">
                    <w:fldChar w:fldCharType="begin"/>
                  </w:r>
                  <w:r>
                    <w:instrText xml:space="preserve"> XE "Ste-Chapelle (Paris)</w:instrText>
                  </w:r>
                  <w:r w:rsidRPr="00582DC7">
                    <w:instrText>:</w:instrText>
                  </w:r>
                  <w:r w:rsidRPr="000F46C0">
                    <w:rPr>
                      <w:i/>
                    </w:rPr>
                    <w:instrText>Abbildung</w:instrText>
                  </w:r>
                  <w:r>
                    <w:instrText xml:space="preserve">" </w:instrText>
                  </w:r>
                  <w:r w:rsidR="005D7996">
                    <w:fldChar w:fldCharType="end"/>
                  </w:r>
                  <w:r w:rsidRPr="009E2B4A">
                    <w:t xml:space="preserve"> </w:t>
                  </w:r>
                  <w:r>
                    <w:br/>
                  </w:r>
                  <w:r w:rsidRPr="009E2B4A">
                    <w:t>(1244–1248)</w:t>
                  </w:r>
                  <w:bookmarkEnd w:id="372"/>
                </w:p>
              </w:txbxContent>
            </v:textbox>
            <w10:wrap type="square"/>
          </v:shape>
        </w:pict>
      </w:r>
      <w:r w:rsidR="00D2554C" w:rsidRPr="00F71D64">
        <w:rPr>
          <w:szCs w:val="22"/>
        </w:rPr>
        <w:t>Die hochgotische Ste-Chapelle in Paris, 1234/48, ist ein läng</w:t>
      </w:r>
      <w:r w:rsidR="00D2554C" w:rsidRPr="00F71D64">
        <w:rPr>
          <w:szCs w:val="22"/>
        </w:rPr>
        <w:t>s</w:t>
      </w:r>
      <w:r w:rsidR="00D2554C" w:rsidRPr="00F71D64">
        <w:rPr>
          <w:szCs w:val="22"/>
        </w:rPr>
        <w:t>rechteckiger, in fünf Joche unterteilter Raum mit fünfseitig polygonaler Apsis, die Joche sind mit vierte</w:t>
      </w:r>
      <w:r w:rsidR="00D2554C" w:rsidRPr="00F71D64">
        <w:rPr>
          <w:szCs w:val="22"/>
        </w:rPr>
        <w:t>i</w:t>
      </w:r>
      <w:r w:rsidR="00D2554C" w:rsidRPr="00F71D64">
        <w:rPr>
          <w:szCs w:val="22"/>
        </w:rPr>
        <w:t>ligen Rippengewölben gedeckt, die Apsis nicht mit dem Vie</w:t>
      </w:r>
      <w:r w:rsidR="00D2554C" w:rsidRPr="00F71D64">
        <w:rPr>
          <w:szCs w:val="22"/>
        </w:rPr>
        <w:t>r</w:t>
      </w:r>
      <w:r w:rsidR="00D2554C" w:rsidRPr="00F71D64">
        <w:rPr>
          <w:szCs w:val="22"/>
        </w:rPr>
        <w:t>telk</w:t>
      </w:r>
      <w:r w:rsidR="00D2554C" w:rsidRPr="00F71D64">
        <w:rPr>
          <w:szCs w:val="22"/>
        </w:rPr>
        <w:t>u</w:t>
      </w:r>
      <w:r w:rsidR="00D2554C" w:rsidRPr="00F71D64">
        <w:rPr>
          <w:szCs w:val="22"/>
        </w:rPr>
        <w:t>gelgewölbe der Romanik abgeschlo</w:t>
      </w:r>
      <w:r w:rsidR="00D2554C" w:rsidRPr="00F71D64">
        <w:rPr>
          <w:szCs w:val="22"/>
        </w:rPr>
        <w:t>s</w:t>
      </w:r>
      <w:r w:rsidR="00D2554C" w:rsidRPr="00F71D64">
        <w:rPr>
          <w:szCs w:val="22"/>
        </w:rPr>
        <w:t>sen, das nach innen konzentriert, sondern mit fünf Stichkappen, die nach außen g</w:t>
      </w:r>
      <w:r w:rsidR="00D2554C" w:rsidRPr="00F71D64">
        <w:rPr>
          <w:szCs w:val="22"/>
        </w:rPr>
        <w:t>e</w:t>
      </w:r>
      <w:r w:rsidR="00D2554C" w:rsidRPr="00F71D64">
        <w:rPr>
          <w:szCs w:val="22"/>
        </w:rPr>
        <w:t>richtet sind. Die J</w:t>
      </w:r>
      <w:r w:rsidR="00D2554C" w:rsidRPr="00F71D64">
        <w:rPr>
          <w:szCs w:val="22"/>
        </w:rPr>
        <w:t>o</w:t>
      </w:r>
      <w:r w:rsidR="00D2554C" w:rsidRPr="00F71D64">
        <w:rPr>
          <w:szCs w:val="22"/>
        </w:rPr>
        <w:t>che sind durch Gurte getrennt, deren Profil sich wenig von dem der Rippen u</w:t>
      </w:r>
      <w:r w:rsidR="00D2554C" w:rsidRPr="00F71D64">
        <w:rPr>
          <w:szCs w:val="22"/>
        </w:rPr>
        <w:t>n</w:t>
      </w:r>
      <w:r w:rsidR="00D2554C" w:rsidRPr="00F71D64">
        <w:rPr>
          <w:szCs w:val="22"/>
        </w:rPr>
        <w:t>terscheidet; aus Wulsten und Kehle zusammengesetzt, tritt es in den Raum herein und durch seine Verschmälerung nach der Mitte zu verbindet es die J</w:t>
      </w:r>
      <w:r w:rsidR="00D2554C" w:rsidRPr="00F71D64">
        <w:rPr>
          <w:szCs w:val="22"/>
        </w:rPr>
        <w:t>o</w:t>
      </w:r>
      <w:r w:rsidR="00D2554C" w:rsidRPr="00F71D64">
        <w:rPr>
          <w:szCs w:val="22"/>
        </w:rPr>
        <w:t>che, während die breiten Gurte mit rechteckigem Profil, wie sie die Romanik geschaffen hatte, die Joche durch eine vertikale Raumschicht streng voneina</w:t>
      </w:r>
      <w:r w:rsidR="00D2554C" w:rsidRPr="00F71D64">
        <w:rPr>
          <w:szCs w:val="22"/>
        </w:rPr>
        <w:t>n</w:t>
      </w:r>
      <w:r w:rsidR="00D2554C" w:rsidRPr="00F71D64">
        <w:rPr>
          <w:szCs w:val="22"/>
        </w:rPr>
        <w:t>der getrennt hatten. Die Profile gotischer Gurte erzeugen das Gefühl, daß die Joche in der Mitte in einer sehr dünnen Schicht, ja in einer vertikalen Ebene z</w:t>
      </w:r>
      <w:r w:rsidR="00D2554C" w:rsidRPr="00F71D64">
        <w:rPr>
          <w:szCs w:val="22"/>
        </w:rPr>
        <w:t>u</w:t>
      </w:r>
      <w:r w:rsidR="00D2554C" w:rsidRPr="00F71D64">
        <w:rPr>
          <w:szCs w:val="22"/>
        </w:rPr>
        <w:t>sammenkommen und ineinander überfließen. Dasselbe gilt für die Dienste, welche die Gurte tragen. Da die vierteiligen Fenster in ihrem Maßwerk auch Dienste in den Gewänden haben, die sich unmittelbar an die Dienste der Gurte anschließen, ergibt sich auch hier eine kontinuierliche schräge Folge von membra, welche die Wandd</w:t>
      </w:r>
      <w:r w:rsidR="00D2554C" w:rsidRPr="00F71D64">
        <w:rPr>
          <w:szCs w:val="22"/>
        </w:rPr>
        <w:t>i</w:t>
      </w:r>
      <w:r w:rsidR="00D2554C" w:rsidRPr="00F71D64">
        <w:rPr>
          <w:szCs w:val="22"/>
        </w:rPr>
        <w:t>cke verschwinden läßt, die Wand ist durch das Glas der Fenster ersetzt und das farbige Licht der Glasmalereien gibt dem Inne</w:t>
      </w:r>
      <w:r w:rsidR="00D2554C" w:rsidRPr="00F71D64">
        <w:rPr>
          <w:szCs w:val="22"/>
        </w:rPr>
        <w:t>n</w:t>
      </w:r>
      <w:r w:rsidR="00D2554C" w:rsidRPr="00F71D64">
        <w:rPr>
          <w:szCs w:val="22"/>
        </w:rPr>
        <w:t>raum die Unbestimmtheit von Auflösung. Während die Allerheiligenkapelle in Regensburg ganz in sich g</w:t>
      </w:r>
      <w:r w:rsidR="00D2554C" w:rsidRPr="00F71D64">
        <w:rPr>
          <w:szCs w:val="22"/>
        </w:rPr>
        <w:t>e</w:t>
      </w:r>
      <w:r w:rsidR="00D2554C" w:rsidRPr="00F71D64">
        <w:rPr>
          <w:szCs w:val="22"/>
        </w:rPr>
        <w:t xml:space="preserve">schlossen ist, ein Repräsentant von Selbstsicherheit, ist die Ste-Chapelle in Paris romantisch im Verlangen nach einem erlösenden Jenseits, sie repräsentiert das Unvollendbare, sie verewigt das Wissen von dem </w:t>
      </w:r>
      <w:r w:rsidR="00D2554C" w:rsidRPr="00F71D64">
        <w:rPr>
          <w:szCs w:val="22"/>
        </w:rPr>
        <w:lastRenderedPageBreak/>
        <w:t>Religiösen schlechthin, von der Abhängigkeit des Menschen. Das Unvollend</w:t>
      </w:r>
      <w:r w:rsidR="002D03FC">
        <w:rPr>
          <w:szCs w:val="22"/>
        </w:rPr>
        <w:softHyphen/>
      </w:r>
      <w:r w:rsidR="00D2554C" w:rsidRPr="00F71D64">
        <w:rPr>
          <w:szCs w:val="22"/>
        </w:rPr>
        <w:t>bare des Sinne</w:t>
      </w:r>
      <w:r w:rsidR="00394880">
        <w:rPr>
          <w:szCs w:val="22"/>
        </w:rPr>
        <w:t>s ist volle</w:t>
      </w:r>
      <w:r w:rsidR="00394880">
        <w:rPr>
          <w:szCs w:val="22"/>
        </w:rPr>
        <w:t>n</w:t>
      </w:r>
      <w:r w:rsidR="00394880">
        <w:rPr>
          <w:szCs w:val="22"/>
        </w:rPr>
        <w:t>det in der Form.</w:t>
      </w:r>
    </w:p>
    <w:p w:rsidR="00D2554C" w:rsidRPr="00F71D64" w:rsidRDefault="00884EBE" w:rsidP="009E2B4A">
      <w:pPr>
        <w:pStyle w:val="ZitatAbstu"/>
      </w:pPr>
      <w:r w:rsidRPr="00F71D64">
        <w:t xml:space="preserve">[…] </w:t>
      </w:r>
      <w:r w:rsidR="00D2554C" w:rsidRPr="00F71D64">
        <w:t>In der Regensburger Kapelle besteht das Ober-Ganze aus Unter-Ganzem, d.</w:t>
      </w:r>
      <w:r w:rsidR="00AA0E71">
        <w:t> </w:t>
      </w:r>
      <w:r w:rsidR="00D2554C" w:rsidRPr="00F71D64">
        <w:t xml:space="preserve">h. jeder „Teil“ bleibt in sich eine Ganzheit. In der Ste-Chapelle sind alle Teile nur Teile und das Ganze sucht Ergänzung im All. Von den Teilen her gesehen, die in der Romanik Ganzheiten sind, kann man statt Seinsstil auch Totalitätsstil sagen und ebenso von den Teilen her gesehen, die in der Gotik Teile oder Fragmente sind, kann man </w:t>
      </w:r>
      <w:r w:rsidR="00FC0683" w:rsidRPr="00F71D64">
        <w:t>s</w:t>
      </w:r>
      <w:r w:rsidR="00D2554C" w:rsidRPr="00F71D64">
        <w:t>tatt Werdensstil auch Partialitätsstil s</w:t>
      </w:r>
      <w:r w:rsidR="00D2554C" w:rsidRPr="00F71D64">
        <w:t>a</w:t>
      </w:r>
      <w:r w:rsidR="00D2554C" w:rsidRPr="00F71D64">
        <w:t>gen.</w:t>
      </w:r>
    </w:p>
    <w:p w:rsidR="00D2554C" w:rsidRDefault="00E37ED0" w:rsidP="00DF35E4">
      <w:pPr>
        <w:pStyle w:val="Text"/>
        <w:ind w:firstLine="0"/>
      </w:pPr>
      <w:r>
        <w:t>Diese Stilinterpretation</w:t>
      </w:r>
      <w:r w:rsidR="00D2554C">
        <w:t xml:space="preserve"> </w:t>
      </w:r>
      <w:r w:rsidR="00A07A77">
        <w:t>zeugt von kunsthistorischem</w:t>
      </w:r>
      <w:r w:rsidR="00D2554C">
        <w:t xml:space="preserve"> Wissen, genaue</w:t>
      </w:r>
      <w:r w:rsidR="00A07A77">
        <w:t>r</w:t>
      </w:r>
      <w:r w:rsidR="00D2554C">
        <w:t xml:space="preserve"> Beobac</w:t>
      </w:r>
      <w:r w:rsidR="00D2554C">
        <w:t>h</w:t>
      </w:r>
      <w:r w:rsidR="00D2554C">
        <w:t xml:space="preserve">tung von Details, Fähigkeit zur Herstellung von Bezügen, Sensibilität für </w:t>
      </w:r>
      <w:r w:rsidR="00C2492B">
        <w:t>Ei</w:t>
      </w:r>
      <w:r w:rsidR="00C2492B">
        <w:t>n</w:t>
      </w:r>
      <w:r w:rsidR="00C2492B">
        <w:t xml:space="preserve">drücke </w:t>
      </w:r>
      <w:r w:rsidR="00D2554C">
        <w:t>und Mut zu Phantasie und Subjektivität. Von kunsthistorisch genauen Beobachtungen schreitet sie zu kühnen Spekulationen über metaphysische Ha</w:t>
      </w:r>
      <w:r w:rsidR="00D2554C">
        <w:t>l</w:t>
      </w:r>
      <w:r w:rsidR="00D2554C">
        <w:t>tungen vor. Gerade das macht sie für unsere Analyse interessant.</w:t>
      </w:r>
    </w:p>
    <w:p w:rsidR="00D2554C" w:rsidRDefault="00D2554C">
      <w:pPr>
        <w:pStyle w:val="Text"/>
      </w:pPr>
      <w:r>
        <w:t xml:space="preserve">Ein allgemeiner Punkt sei bei dieser Gelegenheit erläutert: Stiltheorien, die eine wissenschaftliche Klärung des Phänomens anstreben, neigen manchmal dazu, die präzise ableitbaren </w:t>
      </w:r>
      <w:r w:rsidR="00855101">
        <w:t xml:space="preserve">Interpretationsergebnisse </w:t>
      </w:r>
      <w:r>
        <w:t xml:space="preserve">gegenüber den </w:t>
      </w:r>
      <w:r w:rsidR="00D35875">
        <w:t>„</w:t>
      </w:r>
      <w:r>
        <w:t>schwam</w:t>
      </w:r>
      <w:r w:rsidR="00C3470D">
        <w:softHyphen/>
      </w:r>
      <w:r>
        <w:t>migen</w:t>
      </w:r>
      <w:r w:rsidR="00D35875">
        <w:t>“</w:t>
      </w:r>
      <w:r w:rsidR="008C6833">
        <w:t xml:space="preserve"> oder</w:t>
      </w:r>
      <w:r>
        <w:t xml:space="preserve"> </w:t>
      </w:r>
      <w:r w:rsidR="00D35875">
        <w:t>„</w:t>
      </w:r>
      <w:r>
        <w:t>spekulativen</w:t>
      </w:r>
      <w:r w:rsidR="00D35875">
        <w:t>“</w:t>
      </w:r>
      <w:r w:rsidR="00855101">
        <w:t xml:space="preserve"> </w:t>
      </w:r>
      <w:r>
        <w:t xml:space="preserve">zu bevorzugen. Die vorliegende Theorie nimmt eine andere Position ein. Stil ist ein von Menschen erzeugtes Phänomen, und seine Beschreibung hat sich daran anzupassen, wie Menschen mit Stilen umgehen. Daher sind </w:t>
      </w:r>
      <w:r w:rsidR="00C2492B">
        <w:t>spekulativ und subjektiv</w:t>
      </w:r>
      <w:r w:rsidR="00B078B6">
        <w:t xml:space="preserve"> erzeugte </w:t>
      </w:r>
      <w:r w:rsidR="00C2492B">
        <w:t>Ergebnis</w:t>
      </w:r>
      <w:r w:rsidR="00B078B6">
        <w:t xml:space="preserve">se </w:t>
      </w:r>
      <w:r>
        <w:t>ebenso zu berücksic</w:t>
      </w:r>
      <w:r>
        <w:t>h</w:t>
      </w:r>
      <w:r>
        <w:t xml:space="preserve">tigen wie logisch </w:t>
      </w:r>
      <w:r w:rsidR="00B078B6">
        <w:t>herleitbare Ergebnisse</w:t>
      </w:r>
      <w:r>
        <w:t xml:space="preserve">. </w:t>
      </w:r>
      <w:r w:rsidR="004F4D0F">
        <w:t>Ebenso muss die Subjektivität beim Auslesen der Merkmalsregeln anerkannt werden.</w:t>
      </w:r>
      <w:bookmarkStart w:id="373" w:name="_Ref268511278"/>
      <w:r w:rsidR="004F4D0F">
        <w:rPr>
          <w:rStyle w:val="Funotenzeichen"/>
        </w:rPr>
        <w:footnoteReference w:id="470"/>
      </w:r>
      <w:bookmarkEnd w:id="373"/>
      <w:r w:rsidR="004F4D0F">
        <w:t xml:space="preserve"> </w:t>
      </w:r>
      <w:r>
        <w:t xml:space="preserve">Dies heißt nicht, dass die Ergebnisse solcher Ableitungsmodi gleichgesetzt werden; diesen einen festen Status als gesichert oder ungesichert zuzuweisen, ist </w:t>
      </w:r>
      <w:r w:rsidR="00A92557">
        <w:t xml:space="preserve">aber </w:t>
      </w:r>
      <w:r>
        <w:t xml:space="preserve">nicht die Aufgabe einer </w:t>
      </w:r>
      <w:r w:rsidR="00856BDD">
        <w:t xml:space="preserve">allgemeinen </w:t>
      </w:r>
      <w:r>
        <w:t xml:space="preserve">Stiltheorie. Will man </w:t>
      </w:r>
      <w:r w:rsidR="00856BDD">
        <w:t xml:space="preserve">das tun, </w:t>
      </w:r>
      <w:r w:rsidR="009A3004">
        <w:t xml:space="preserve">können </w:t>
      </w:r>
      <w:r>
        <w:t xml:space="preserve">die Nachvollziehbarkeit der Herleitung </w:t>
      </w:r>
      <w:r w:rsidR="009A3004">
        <w:t>(wird deutlich, wie das Ergebnis erzeugt wird?) und de</w:t>
      </w:r>
      <w:r w:rsidR="00B47A80">
        <w:t>r</w:t>
      </w:r>
      <w:r w:rsidR="009A3004">
        <w:t xml:space="preserve">en </w:t>
      </w:r>
      <w:r>
        <w:t>Intersu</w:t>
      </w:r>
      <w:r>
        <w:t>b</w:t>
      </w:r>
      <w:r>
        <w:t>jektivität (</w:t>
      </w:r>
      <w:r w:rsidR="00A92557">
        <w:t>wird es von unterschiedlichen Stilinterpretation unabhängig vone</w:t>
      </w:r>
      <w:r w:rsidR="00A92557">
        <w:t>i</w:t>
      </w:r>
      <w:r w:rsidR="00A92557">
        <w:t>nander erzeugt</w:t>
      </w:r>
      <w:r>
        <w:t>?) zum Maßstab genommen werden.</w:t>
      </w:r>
    </w:p>
    <w:p w:rsidR="004F4D0F" w:rsidRDefault="00D2554C">
      <w:pPr>
        <w:pStyle w:val="Text"/>
      </w:pPr>
      <w:r>
        <w:t>In der Stiltheorie sind die Anforderungen auf der Beschreibungsebene</w:t>
      </w:r>
      <w:r w:rsidR="005D7996">
        <w:fldChar w:fldCharType="begin"/>
      </w:r>
      <w:r w:rsidR="000623C8">
        <w:instrText xml:space="preserve"> XE "</w:instrText>
      </w:r>
      <w:r w:rsidR="000623C8" w:rsidRPr="00D31CD7">
        <w:rPr>
          <w:szCs w:val="17"/>
        </w:rPr>
        <w:instrText>Beschreibungsebene</w:instrText>
      </w:r>
      <w:r w:rsidR="00F815B0">
        <w:rPr>
          <w:szCs w:val="17"/>
        </w:rPr>
        <w:instrText xml:space="preserve"> (</w:instrText>
      </w:r>
      <w:r w:rsidR="00DE32C1">
        <w:rPr>
          <w:szCs w:val="17"/>
        </w:rPr>
        <w:instrText>Wissenschaftstheorie</w:instrText>
      </w:r>
      <w:r w:rsidR="00F815B0">
        <w:rPr>
          <w:szCs w:val="17"/>
        </w:rPr>
        <w:instrText>)</w:instrText>
      </w:r>
      <w:r w:rsidR="000623C8">
        <w:instrText xml:space="preserve">" </w:instrText>
      </w:r>
      <w:r w:rsidR="005D7996">
        <w:fldChar w:fldCharType="end"/>
      </w:r>
      <w:r>
        <w:t xml:space="preserve"> nicht immer </w:t>
      </w:r>
      <w:r w:rsidR="004F4D0F">
        <w:t xml:space="preserve">klar </w:t>
      </w:r>
      <w:r>
        <w:t>von denen auf der Objektebene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t xml:space="preserve"> getrennt worden. Während für die Beschreibungsebene tatsächlich größtmögliche Klarheit</w:t>
      </w:r>
      <w:r w:rsidR="009A3004">
        <w:t xml:space="preserve"> der Darstellung sowie </w:t>
      </w:r>
      <w:r>
        <w:t xml:space="preserve">Nachvollziehbarkeit und Objektivierbarkeit der </w:t>
      </w:r>
      <w:r w:rsidR="009A3004">
        <w:t xml:space="preserve">Erkenntnisse </w:t>
      </w:r>
      <w:r>
        <w:t>anzustreben sind, darf eine solche Forderung für die Phänomene auf der Objektebene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t xml:space="preserve"> </w:t>
      </w:r>
      <w:r w:rsidR="009A3004">
        <w:t xml:space="preserve">keineswegs </w:t>
      </w:r>
      <w:r>
        <w:t>gelten, da dies eine unzulässige Wertung der zu beschreibenden Phänomene da</w:t>
      </w:r>
      <w:r>
        <w:t>r</w:t>
      </w:r>
      <w:r>
        <w:t>stellen würde.</w:t>
      </w:r>
      <w:r w:rsidR="00102883">
        <w:rPr>
          <w:rStyle w:val="Funotenzeichen"/>
        </w:rPr>
        <w:footnoteReference w:id="471"/>
      </w:r>
    </w:p>
    <w:p w:rsidR="009C6240" w:rsidRDefault="00F24C27" w:rsidP="00DF35E4">
      <w:pPr>
        <w:pStyle w:val="Text"/>
        <w:spacing w:before="240"/>
        <w:ind w:firstLine="0"/>
      </w:pPr>
      <w:r>
        <w:lastRenderedPageBreak/>
        <w:t>Um die bei einer solchen Interpretation erzeugten Ergebnisse mit Hilfe der hier vorgestellten Prozesse herleiten zu können, müssen Zwischenschritte eingefügt werden, die in der Interpretation selbst nicht dokumentiert sind.</w:t>
      </w:r>
    </w:p>
    <w:p w:rsidR="00AE3078" w:rsidRDefault="00AE3078" w:rsidP="00DF35E4">
      <w:pPr>
        <w:pStyle w:val="Interpretation1Zeile"/>
      </w:pPr>
      <w:r>
        <w:t>Artefaktschema ‚Bauwerk: Kirche‘</w:t>
      </w:r>
    </w:p>
    <w:p w:rsidR="00453328" w:rsidRDefault="00453328" w:rsidP="00DF35E4">
      <w:pPr>
        <w:pStyle w:val="Interpretation"/>
      </w:pPr>
      <w:r>
        <w:rPr>
          <w:i/>
        </w:rPr>
        <w:t>U</w:t>
      </w:r>
      <w:r>
        <w:t>(</w:t>
      </w:r>
      <w:r>
        <w:rPr>
          <w:i/>
        </w:rPr>
        <w:t>B</w:t>
      </w:r>
      <w:r w:rsidRPr="00F20FC6">
        <w:rPr>
          <w:vertAlign w:val="subscript"/>
        </w:rPr>
        <w:t>1</w:t>
      </w:r>
      <w:r w:rsidR="00D078C7">
        <w:t>): ‚</w:t>
      </w:r>
      <w:r w:rsidR="00593DFC">
        <w:t>Epochenzuordnung</w:t>
      </w:r>
      <w:r>
        <w:t xml:space="preserve">‘, </w:t>
      </w:r>
      <w:r>
        <w:rPr>
          <w:i/>
        </w:rPr>
        <w:t>V</w:t>
      </w:r>
      <w:r>
        <w:t>(</w:t>
      </w:r>
      <w:r>
        <w:rPr>
          <w:i/>
        </w:rPr>
        <w:t>B</w:t>
      </w:r>
      <w:r w:rsidRPr="00F20FC6">
        <w:rPr>
          <w:vertAlign w:val="subscript"/>
        </w:rPr>
        <w:t>1</w:t>
      </w:r>
      <w:r>
        <w:t>): ‚hochgotisch‘</w:t>
      </w:r>
    </w:p>
    <w:p w:rsidR="00AF51D7" w:rsidRDefault="00AF51D7" w:rsidP="00DF35E4">
      <w:pPr>
        <w:pStyle w:val="Interpretation"/>
      </w:pPr>
      <w:r>
        <w:rPr>
          <w:i/>
        </w:rPr>
        <w:t>U</w:t>
      </w:r>
      <w:r>
        <w:t>(</w:t>
      </w:r>
      <w:r>
        <w:rPr>
          <w:i/>
        </w:rPr>
        <w:t>B</w:t>
      </w:r>
      <w:r>
        <w:rPr>
          <w:vertAlign w:val="subscript"/>
        </w:rPr>
        <w:t>2</w:t>
      </w:r>
      <w:r>
        <w:t xml:space="preserve">): ‚Gewölbe der Apsis‘, </w:t>
      </w:r>
      <w:r>
        <w:rPr>
          <w:i/>
        </w:rPr>
        <w:t>V</w:t>
      </w:r>
      <w:r>
        <w:t>(</w:t>
      </w:r>
      <w:r>
        <w:rPr>
          <w:i/>
        </w:rPr>
        <w:t>B</w:t>
      </w:r>
      <w:r>
        <w:rPr>
          <w:vertAlign w:val="subscript"/>
        </w:rPr>
        <w:t>2</w:t>
      </w:r>
      <w:r>
        <w:t>): ‚fünf Stichkappen‘</w:t>
      </w:r>
    </w:p>
    <w:p w:rsidR="00AF51D7" w:rsidRDefault="00AF51D7" w:rsidP="00DF35E4">
      <w:pPr>
        <w:pStyle w:val="Formel"/>
      </w:pPr>
      <w:r>
        <w:rPr>
          <w:i/>
          <w:iCs/>
        </w:rPr>
        <w:t>B</w:t>
      </w:r>
      <w:r>
        <w:rPr>
          <w:iCs/>
          <w:vertAlign w:val="subscript"/>
        </w:rPr>
        <w:t>2</w:t>
      </w:r>
      <w:r w:rsidRPr="00F32CB0">
        <w:rPr>
          <w:color w:val="000000" w:themeColor="text1"/>
        </w:rPr>
        <w:t xml:space="preserve"> </w:t>
      </w:r>
      <w:r w:rsidR="002434D2">
        <w:rPr>
          <w:rFonts w:ascii="Cambria Math" w:eastAsia="Arial Unicode MS" w:hAnsi="Cambria Math" w:cs="Cambria Math"/>
          <w:color w:val="000000" w:themeColor="text1"/>
        </w:rPr>
        <w:t>⤳</w:t>
      </w:r>
      <w:r w:rsidR="00656013">
        <w:rPr>
          <w:vertAlign w:val="subscript"/>
        </w:rPr>
        <w:t>Edr</w:t>
      </w:r>
      <w:r>
        <w:t xml:space="preserve"> </w:t>
      </w:r>
      <w:r w:rsidR="00656013">
        <w:t xml:space="preserve"> </w:t>
      </w:r>
      <w:r>
        <w:rPr>
          <w:i/>
          <w:iCs/>
        </w:rPr>
        <w:t>Er</w:t>
      </w:r>
      <w:r>
        <w:rPr>
          <w:vertAlign w:val="subscript"/>
        </w:rPr>
        <w:t>1</w:t>
      </w:r>
    </w:p>
    <w:p w:rsidR="00AF51D7" w:rsidRDefault="00AF51D7" w:rsidP="00DF35E4">
      <w:pPr>
        <w:pStyle w:val="Interpretation"/>
      </w:pPr>
      <w:r>
        <w:rPr>
          <w:i/>
        </w:rPr>
        <w:t>Er</w:t>
      </w:r>
      <w:r>
        <w:rPr>
          <w:vertAlign w:val="subscript"/>
        </w:rPr>
        <w:t>1</w:t>
      </w:r>
      <w:r w:rsidR="003373ED">
        <w:t xml:space="preserve"> (e):</w:t>
      </w:r>
      <w:r>
        <w:t xml:space="preserve"> ‚</w:t>
      </w:r>
      <w:r w:rsidR="007E4909">
        <w:t xml:space="preserve">Die Gewölbe der Apsis </w:t>
      </w:r>
      <w:r w:rsidR="003373ED">
        <w:t xml:space="preserve">sind </w:t>
      </w:r>
      <w:r w:rsidR="007E4909">
        <w:t xml:space="preserve">durch </w:t>
      </w:r>
      <w:r w:rsidR="001C48FD">
        <w:t xml:space="preserve">die Stichkappen </w:t>
      </w:r>
      <w:r>
        <w:t>nach außen geric</w:t>
      </w:r>
      <w:r>
        <w:t>h</w:t>
      </w:r>
      <w:r>
        <w:t>tet‘</w:t>
      </w:r>
    </w:p>
    <w:p w:rsidR="004418AE" w:rsidRDefault="00453328" w:rsidP="00DF35E4">
      <w:pPr>
        <w:pStyle w:val="Interpretation"/>
      </w:pPr>
      <w:r>
        <w:rPr>
          <w:i/>
        </w:rPr>
        <w:t>U</w:t>
      </w:r>
      <w:r>
        <w:t>(</w:t>
      </w:r>
      <w:r>
        <w:rPr>
          <w:i/>
        </w:rPr>
        <w:t>B</w:t>
      </w:r>
      <w:r w:rsidR="00AF51D7">
        <w:rPr>
          <w:vertAlign w:val="subscript"/>
        </w:rPr>
        <w:t>3</w:t>
      </w:r>
      <w:r>
        <w:t>): ‚</w:t>
      </w:r>
      <w:r w:rsidR="004418AE">
        <w:t>Form der Gurte</w:t>
      </w:r>
      <w:r>
        <w:t xml:space="preserve">‘, </w:t>
      </w:r>
      <w:r>
        <w:rPr>
          <w:i/>
        </w:rPr>
        <w:t>V</w:t>
      </w:r>
      <w:r>
        <w:t>(</w:t>
      </w:r>
      <w:r>
        <w:rPr>
          <w:i/>
        </w:rPr>
        <w:t>B</w:t>
      </w:r>
      <w:r w:rsidR="00AF51D7">
        <w:rPr>
          <w:vertAlign w:val="subscript"/>
        </w:rPr>
        <w:t>3</w:t>
      </w:r>
      <w:r>
        <w:t xml:space="preserve">): </w:t>
      </w:r>
      <w:r w:rsidR="004418AE">
        <w:t>‚aus Wulsten und Kehle zusammengesetzt, Profil unterscheidet sich wenig von dem der Rippen, verschmälern sich nach der Mitte zu‘</w:t>
      </w:r>
    </w:p>
    <w:p w:rsidR="00656013" w:rsidRDefault="00656013" w:rsidP="00DF35E4">
      <w:pPr>
        <w:pStyle w:val="Formel"/>
      </w:pPr>
      <w:r>
        <w:rPr>
          <w:i/>
          <w:iCs/>
        </w:rPr>
        <w:t>B</w:t>
      </w:r>
      <w:r>
        <w:rPr>
          <w:iCs/>
          <w:vertAlign w:val="subscript"/>
        </w:rPr>
        <w:t>3</w:t>
      </w:r>
      <w: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2</w:t>
      </w:r>
    </w:p>
    <w:p w:rsidR="005C33EF" w:rsidRDefault="005C33EF" w:rsidP="00DF35E4">
      <w:pPr>
        <w:pStyle w:val="Interpretation"/>
      </w:pPr>
      <w:r>
        <w:rPr>
          <w:i/>
        </w:rPr>
        <w:t>Er</w:t>
      </w:r>
      <w:r>
        <w:rPr>
          <w:vertAlign w:val="subscript"/>
        </w:rPr>
        <w:t>2</w:t>
      </w:r>
      <w:r w:rsidR="003373ED">
        <w:t xml:space="preserve"> (e)</w:t>
      </w:r>
      <w:r>
        <w:t>: ‚Die Gurte verbinden die Joche‘</w:t>
      </w:r>
    </w:p>
    <w:p w:rsidR="00656013" w:rsidRDefault="00656013" w:rsidP="00DF35E4">
      <w:pPr>
        <w:pStyle w:val="Formel"/>
      </w:pPr>
      <w:r>
        <w:rPr>
          <w:i/>
          <w:iCs/>
        </w:rPr>
        <w:t>B</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rPr>
        <w:t>Er</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3</w:t>
      </w:r>
    </w:p>
    <w:p w:rsidR="005C33EF" w:rsidRDefault="005C33EF" w:rsidP="00DF35E4">
      <w:pPr>
        <w:pStyle w:val="Interpretation"/>
      </w:pPr>
      <w:r>
        <w:rPr>
          <w:i/>
        </w:rPr>
        <w:t>Er</w:t>
      </w:r>
      <w:r>
        <w:rPr>
          <w:vertAlign w:val="subscript"/>
        </w:rPr>
        <w:t>3</w:t>
      </w:r>
      <w:r w:rsidR="001B75BE">
        <w:t xml:space="preserve"> (e):</w:t>
      </w:r>
      <w:r>
        <w:t xml:space="preserve"> ‚Die Joche kommen in der Mitte in einer sehr dünnen Schicht, ja in einer vertikalen Ebene zusammen und fließen ineinander über‘</w:t>
      </w:r>
    </w:p>
    <w:p w:rsidR="00B02317" w:rsidRDefault="005D799C" w:rsidP="00DF35E4">
      <w:pPr>
        <w:pStyle w:val="Interpretation"/>
      </w:pPr>
      <w:r>
        <w:rPr>
          <w:i/>
        </w:rPr>
        <w:t>U</w:t>
      </w:r>
      <w:r>
        <w:t>(</w:t>
      </w:r>
      <w:r>
        <w:rPr>
          <w:i/>
        </w:rPr>
        <w:t>B</w:t>
      </w:r>
      <w:r w:rsidR="00AF51D7">
        <w:rPr>
          <w:vertAlign w:val="subscript"/>
        </w:rPr>
        <w:t>4</w:t>
      </w:r>
      <w:r>
        <w:t>): ‚</w:t>
      </w:r>
      <w:r w:rsidR="00B02317">
        <w:t>Kontinuierliche schräge Folge von Membra</w:t>
      </w:r>
      <w:r>
        <w:t xml:space="preserve">‘, </w:t>
      </w:r>
      <w:r>
        <w:rPr>
          <w:i/>
        </w:rPr>
        <w:t>V</w:t>
      </w:r>
      <w:r>
        <w:t>(</w:t>
      </w:r>
      <w:r>
        <w:rPr>
          <w:i/>
        </w:rPr>
        <w:t>B</w:t>
      </w:r>
      <w:r w:rsidR="00AF51D7">
        <w:rPr>
          <w:vertAlign w:val="subscript"/>
        </w:rPr>
        <w:t>4</w:t>
      </w:r>
      <w:r>
        <w:t>): ‚</w:t>
      </w:r>
      <w:r w:rsidR="00B02317">
        <w:t>Verschwinden der Wanddicke</w:t>
      </w:r>
      <w:r>
        <w:t>‘</w:t>
      </w:r>
    </w:p>
    <w:p w:rsidR="00656013" w:rsidRDefault="00656013" w:rsidP="00DF35E4">
      <w:pPr>
        <w:pStyle w:val="Formel"/>
      </w:pPr>
      <w:r>
        <w:rPr>
          <w:i/>
          <w:iCs/>
        </w:rPr>
        <w:t>B</w:t>
      </w:r>
      <w:r>
        <w:rPr>
          <w:iCs/>
          <w:vertAlign w:val="subscript"/>
        </w:rPr>
        <w:t>4</w:t>
      </w:r>
      <w:r w:rsidRPr="00F32CB0">
        <w:rPr>
          <w:color w:val="000000" w:themeColor="text1"/>
        </w:rP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4</w:t>
      </w:r>
    </w:p>
    <w:p w:rsidR="00B02317" w:rsidRDefault="00AC5EC5" w:rsidP="00DF35E4">
      <w:pPr>
        <w:pStyle w:val="Interpretation"/>
      </w:pPr>
      <w:r w:rsidRPr="008B7272">
        <w:rPr>
          <w:i/>
        </w:rPr>
        <w:t>Er</w:t>
      </w:r>
      <w:r w:rsidR="00A448FF">
        <w:rPr>
          <w:vertAlign w:val="subscript"/>
        </w:rPr>
        <w:t>4</w:t>
      </w:r>
      <w:r>
        <w:t xml:space="preserve"> (</w:t>
      </w:r>
      <w:r w:rsidR="00BF1CF2">
        <w:t>e</w:t>
      </w:r>
      <w:r>
        <w:t>): ‚</w:t>
      </w:r>
      <w:r w:rsidR="00B02317">
        <w:t xml:space="preserve">Wand </w:t>
      </w:r>
      <w:r>
        <w:t xml:space="preserve">wird </w:t>
      </w:r>
      <w:r w:rsidR="00B02317">
        <w:t>durch Glas ersetzt</w:t>
      </w:r>
      <w:r>
        <w:t>‘</w:t>
      </w:r>
    </w:p>
    <w:p w:rsidR="000A44B0" w:rsidRDefault="000A44B0" w:rsidP="00DF35E4">
      <w:pPr>
        <w:pStyle w:val="Interpretation"/>
      </w:pPr>
      <w:r>
        <w:rPr>
          <w:i/>
        </w:rPr>
        <w:t>U</w:t>
      </w:r>
      <w:r>
        <w:t>(</w:t>
      </w:r>
      <w:r>
        <w:rPr>
          <w:i/>
        </w:rPr>
        <w:t>B</w:t>
      </w:r>
      <w:r w:rsidR="00AF51D7">
        <w:rPr>
          <w:vertAlign w:val="subscript"/>
        </w:rPr>
        <w:t>5</w:t>
      </w:r>
      <w:r>
        <w:t xml:space="preserve">): ‚Licht im Innenraum‘, </w:t>
      </w:r>
      <w:r>
        <w:rPr>
          <w:i/>
        </w:rPr>
        <w:t>V</w:t>
      </w:r>
      <w:r>
        <w:t>(</w:t>
      </w:r>
      <w:r>
        <w:rPr>
          <w:i/>
        </w:rPr>
        <w:t>B</w:t>
      </w:r>
      <w:r w:rsidR="00AF51D7">
        <w:rPr>
          <w:vertAlign w:val="subscript"/>
        </w:rPr>
        <w:t>5</w:t>
      </w:r>
      <w:r>
        <w:t>): ‚farbiges Licht der Glasmalereien‘</w:t>
      </w:r>
    </w:p>
    <w:p w:rsidR="00656013" w:rsidRDefault="00656013" w:rsidP="00DF35E4">
      <w:pPr>
        <w:pStyle w:val="Formel"/>
      </w:pPr>
      <w:r>
        <w:rPr>
          <w:i/>
          <w:iCs/>
        </w:rPr>
        <w:t>B</w:t>
      </w:r>
      <w:r>
        <w:rPr>
          <w:iCs/>
          <w:vertAlign w:val="subscript"/>
        </w:rPr>
        <w:t>5</w:t>
      </w:r>
      <w:r w:rsidRPr="00F32CB0">
        <w:rPr>
          <w:color w:val="000000" w:themeColor="text1"/>
        </w:rPr>
        <w:t xml:space="preserve"> </w:t>
      </w:r>
      <w:r w:rsidR="002434D2">
        <w:rPr>
          <w:rFonts w:ascii="Cambria Math" w:eastAsia="Arial Unicode MS" w:hAnsi="Cambria Math" w:cs="Cambria Math"/>
          <w:color w:val="000000" w:themeColor="text1"/>
        </w:rPr>
        <w:t>⤳</w:t>
      </w:r>
      <w:r>
        <w:rPr>
          <w:vertAlign w:val="subscript"/>
        </w:rPr>
        <w:t>Edr</w:t>
      </w:r>
      <w:r>
        <w:t xml:space="preserve">  </w:t>
      </w:r>
      <w:r>
        <w:rPr>
          <w:i/>
          <w:iCs/>
        </w:rPr>
        <w:t>Er</w:t>
      </w:r>
      <w:r>
        <w:rPr>
          <w:vertAlign w:val="subscript"/>
        </w:rPr>
        <w:t>5</w:t>
      </w:r>
    </w:p>
    <w:p w:rsidR="000A44B0" w:rsidRDefault="000A44B0" w:rsidP="00DF35E4">
      <w:pPr>
        <w:pStyle w:val="Interpretation"/>
      </w:pPr>
      <w:r w:rsidRPr="008B7272">
        <w:rPr>
          <w:i/>
        </w:rPr>
        <w:t>Er</w:t>
      </w:r>
      <w:r w:rsidR="00A448FF">
        <w:rPr>
          <w:vertAlign w:val="subscript"/>
        </w:rPr>
        <w:t>5</w:t>
      </w:r>
      <w:r>
        <w:t xml:space="preserve"> </w:t>
      </w:r>
      <w:r w:rsidR="001B75BE">
        <w:t>(e)</w:t>
      </w:r>
      <w:r>
        <w:t>: ‚Innenraum erhält die Unbestimmtheit der Auflösung‘</w:t>
      </w:r>
    </w:p>
    <w:p w:rsidR="00656013" w:rsidRDefault="00656013" w:rsidP="00DF35E4">
      <w:pPr>
        <w:pStyle w:val="Formel"/>
      </w:pPr>
      <w:r>
        <w:rPr>
          <w:i/>
          <w:iCs/>
        </w:rPr>
        <w:t>Er</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rPr>
        <w:t>Er</w:t>
      </w:r>
      <w:r>
        <w:rPr>
          <w:iCs/>
          <w:vertAlign w:val="subscript"/>
        </w:rPr>
        <w:t>5</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07784A">
        <w:rPr>
          <w:vertAlign w:val="subscript"/>
        </w:rPr>
        <w:t>Ind</w:t>
      </w:r>
      <w:r>
        <w:t xml:space="preserve">  </w:t>
      </w:r>
      <w:r>
        <w:rPr>
          <w:i/>
          <w:iCs/>
        </w:rPr>
        <w:t>Er</w:t>
      </w:r>
      <w:r>
        <w:rPr>
          <w:vertAlign w:val="subscript"/>
        </w:rPr>
        <w:t>6</w:t>
      </w:r>
    </w:p>
    <w:p w:rsidR="00CD29F0" w:rsidRDefault="00156DEE" w:rsidP="00DF35E4">
      <w:pPr>
        <w:pStyle w:val="Interpretation"/>
      </w:pPr>
      <w:r>
        <w:rPr>
          <w:i/>
        </w:rPr>
        <w:t>Er</w:t>
      </w:r>
      <w:r w:rsidR="00A448FF">
        <w:rPr>
          <w:vertAlign w:val="subscript"/>
        </w:rPr>
        <w:t>6</w:t>
      </w:r>
      <w:r>
        <w:t>: ‚</w:t>
      </w:r>
      <w:r w:rsidR="0007784A">
        <w:t>Der Innenraum der Ste-Chapelle drückt Unbegrenztheit und</w:t>
      </w:r>
      <w:r w:rsidR="00CD29F0">
        <w:t xml:space="preserve"> Offenheit</w:t>
      </w:r>
      <w:r w:rsidR="0007784A">
        <w:t xml:space="preserve"> aus</w:t>
      </w:r>
      <w:r>
        <w:t>‘</w:t>
      </w:r>
    </w:p>
    <w:p w:rsidR="008A4D8A" w:rsidRDefault="008A4D8A" w:rsidP="00DF35E4">
      <w:pPr>
        <w:pStyle w:val="Interpretation"/>
      </w:pPr>
      <w:r>
        <w:rPr>
          <w:i/>
        </w:rPr>
        <w:t>H</w:t>
      </w:r>
      <w:r w:rsidR="0007784A">
        <w:rPr>
          <w:vertAlign w:val="subscript"/>
        </w:rPr>
        <w:t>1</w:t>
      </w:r>
      <w:r>
        <w:t>: ‚</w:t>
      </w:r>
      <w:r w:rsidR="006738DA">
        <w:t>Die Ste-Chapelle ist eine katholische Kirche‘</w:t>
      </w:r>
    </w:p>
    <w:p w:rsidR="008A4D8A" w:rsidRDefault="008A4D8A" w:rsidP="00DF35E4">
      <w:pPr>
        <w:pStyle w:val="Interpretation"/>
      </w:pPr>
      <w:r>
        <w:rPr>
          <w:i/>
        </w:rPr>
        <w:t>H</w:t>
      </w:r>
      <w:r w:rsidR="0007784A">
        <w:rPr>
          <w:vertAlign w:val="subscript"/>
        </w:rPr>
        <w:t>2</w:t>
      </w:r>
      <w:r>
        <w:t>: ‚</w:t>
      </w:r>
      <w:r w:rsidR="006738DA">
        <w:t>Im Katholizismus spielt die Sehnsucht nach einem erlösenden Jenseits eine wichtige Rolle‘</w:t>
      </w:r>
    </w:p>
    <w:p w:rsidR="006738DA" w:rsidRDefault="00FE5854" w:rsidP="00DF35E4">
      <w:pPr>
        <w:pStyle w:val="Interpretation"/>
      </w:pPr>
      <w:r>
        <w:rPr>
          <w:i/>
        </w:rPr>
        <w:lastRenderedPageBreak/>
        <w:t>H</w:t>
      </w:r>
      <w:r w:rsidR="0007784A">
        <w:rPr>
          <w:vertAlign w:val="subscript"/>
        </w:rPr>
        <w:t>3</w:t>
      </w:r>
      <w:r>
        <w:t>: ‚</w:t>
      </w:r>
      <w:r w:rsidR="0007784A">
        <w:t>Die Architektur einer Kirche soll häufig wesentliche Glaubensvorstellung der Religion ausdrücken, die sie nutzt‘</w:t>
      </w:r>
    </w:p>
    <w:p w:rsidR="00656013" w:rsidRDefault="00656013" w:rsidP="00DF35E4">
      <w:pPr>
        <w:pStyle w:val="Formel"/>
      </w:pPr>
      <w:r>
        <w:rPr>
          <w:i/>
          <w:iCs/>
        </w:rPr>
        <w:t>Er</w:t>
      </w:r>
      <w:r w:rsidR="0007784A">
        <w:rPr>
          <w:vertAlign w:val="subscript"/>
        </w:rPr>
        <w:t>6</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07784A">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07784A">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rPr>
        <w:t>H</w:t>
      </w:r>
      <w:r w:rsidR="0007784A">
        <w:rPr>
          <w:iCs/>
          <w:vertAlign w:val="subscript"/>
        </w:rPr>
        <w:t>3</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0007784A">
        <w:rPr>
          <w:vertAlign w:val="subscript"/>
        </w:rPr>
        <w:t>7</w:t>
      </w:r>
    </w:p>
    <w:p w:rsidR="006738DA" w:rsidRDefault="00822C47" w:rsidP="00DF35E4">
      <w:pPr>
        <w:pStyle w:val="Interpretation"/>
      </w:pPr>
      <w:r>
        <w:rPr>
          <w:i/>
        </w:rPr>
        <w:t>Er</w:t>
      </w:r>
      <w:r w:rsidR="0007784A">
        <w:rPr>
          <w:vertAlign w:val="subscript"/>
        </w:rPr>
        <w:t>7</w:t>
      </w:r>
      <w:r>
        <w:t xml:space="preserve">: </w:t>
      </w:r>
      <w:r w:rsidR="006738DA">
        <w:t>‚Die Ste-Chapelle drückt das Verlangen nach einem erlösenden Jenseits aus‘</w:t>
      </w:r>
    </w:p>
    <w:p w:rsidR="006738DA" w:rsidRDefault="006738DA" w:rsidP="00DF35E4">
      <w:pPr>
        <w:pStyle w:val="Interpretation"/>
      </w:pPr>
      <w:r>
        <w:rPr>
          <w:i/>
        </w:rPr>
        <w:t>H</w:t>
      </w:r>
      <w:r w:rsidR="0007784A">
        <w:rPr>
          <w:vertAlign w:val="subscript"/>
        </w:rPr>
        <w:t>4</w:t>
      </w:r>
      <w:r>
        <w:t>: ‚Das Verlangen nach Erlösung ist ein wichtiges Thema der Romantik‘</w:t>
      </w:r>
    </w:p>
    <w:p w:rsidR="00656013" w:rsidRDefault="00656013" w:rsidP="00DF35E4">
      <w:pPr>
        <w:pStyle w:val="Formel"/>
      </w:pPr>
      <w:r>
        <w:rPr>
          <w:i/>
          <w:iCs/>
        </w:rPr>
        <w:t>Er</w:t>
      </w:r>
      <w:r w:rsidR="0007784A">
        <w:rPr>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07784A">
        <w:rPr>
          <w:iCs/>
          <w:vertAlign w:val="subscript"/>
        </w:rPr>
        <w:t>4</w:t>
      </w:r>
      <w:r>
        <w:t xml:space="preserve"> </w:t>
      </w:r>
      <w:r w:rsidR="002434D2">
        <w:rPr>
          <w:rFonts w:ascii="Cambria Math" w:eastAsia="Arial Unicode MS" w:hAnsi="Cambria Math" w:cs="Cambria Math"/>
          <w:color w:val="000000" w:themeColor="text1"/>
        </w:rPr>
        <w:t>⤳</w:t>
      </w:r>
      <w:r w:rsidR="00DB6762">
        <w:rPr>
          <w:vertAlign w:val="subscript"/>
        </w:rPr>
        <w:t>Ded</w:t>
      </w:r>
      <w:r>
        <w:t xml:space="preserve">  </w:t>
      </w:r>
      <w:r>
        <w:rPr>
          <w:i/>
          <w:iCs/>
        </w:rPr>
        <w:t>Er</w:t>
      </w:r>
      <w:r w:rsidR="0007784A">
        <w:rPr>
          <w:vertAlign w:val="subscript"/>
        </w:rPr>
        <w:t>8</w:t>
      </w:r>
    </w:p>
    <w:p w:rsidR="006C294D" w:rsidRDefault="006C294D" w:rsidP="00DF35E4">
      <w:pPr>
        <w:pStyle w:val="Interpretation"/>
      </w:pPr>
      <w:r>
        <w:rPr>
          <w:i/>
        </w:rPr>
        <w:t>Er</w:t>
      </w:r>
      <w:r w:rsidR="0007784A">
        <w:rPr>
          <w:vertAlign w:val="subscript"/>
        </w:rPr>
        <w:t>8</w:t>
      </w:r>
      <w:r>
        <w:t>: ‚Die Ste-Chapelle ist romantisch im Verlangen nach einem erlösenden Je</w:t>
      </w:r>
      <w:r>
        <w:t>n</w:t>
      </w:r>
      <w:r>
        <w:t>seits‘</w:t>
      </w:r>
    </w:p>
    <w:p w:rsidR="002C188E" w:rsidRDefault="002C188E" w:rsidP="00DF35E4">
      <w:pPr>
        <w:pStyle w:val="Interpretation"/>
      </w:pPr>
      <w:r>
        <w:rPr>
          <w:i/>
        </w:rPr>
        <w:t>H</w:t>
      </w:r>
      <w:r w:rsidR="0007784A">
        <w:rPr>
          <w:vertAlign w:val="subscript"/>
        </w:rPr>
        <w:t>5</w:t>
      </w:r>
      <w:r>
        <w:t xml:space="preserve">: ‚Das Verlangen nach einem erlösenden Jenseits ergibt sich aus </w:t>
      </w:r>
      <w:r w:rsidR="009F4DDA">
        <w:t xml:space="preserve">dem Wissen um das Unvollendbare (des Sinns) und um die </w:t>
      </w:r>
      <w:r>
        <w:t>Abhängigkeit des Menschen‘</w:t>
      </w:r>
    </w:p>
    <w:p w:rsidR="00656013" w:rsidRDefault="00656013" w:rsidP="00DF35E4">
      <w:pPr>
        <w:pStyle w:val="Formel"/>
      </w:pPr>
      <w:r>
        <w:rPr>
          <w:i/>
          <w:iCs/>
        </w:rPr>
        <w:t>Er</w:t>
      </w:r>
      <w:r>
        <w:rPr>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07784A">
        <w:rPr>
          <w:iCs/>
          <w:vertAlign w:val="subscript"/>
        </w:rPr>
        <w:t>5</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sidR="0007784A">
        <w:rPr>
          <w:vertAlign w:val="subscript"/>
        </w:rPr>
        <w:t>9</w:t>
      </w:r>
    </w:p>
    <w:p w:rsidR="002C188E" w:rsidRDefault="002C188E" w:rsidP="00DF35E4">
      <w:pPr>
        <w:pStyle w:val="Interpretation"/>
      </w:pPr>
      <w:r>
        <w:rPr>
          <w:i/>
        </w:rPr>
        <w:t>Er</w:t>
      </w:r>
      <w:r w:rsidR="0007784A">
        <w:rPr>
          <w:vertAlign w:val="subscript"/>
        </w:rPr>
        <w:t>9</w:t>
      </w:r>
      <w:r>
        <w:t xml:space="preserve">: ‚Die Ste-Chapelle </w:t>
      </w:r>
      <w:r w:rsidR="009F4DDA">
        <w:t xml:space="preserve">repräsentiert </w:t>
      </w:r>
      <w:r>
        <w:t xml:space="preserve">das </w:t>
      </w:r>
      <w:r w:rsidR="009F4DDA">
        <w:t xml:space="preserve">Unvollendbare und die </w:t>
      </w:r>
      <w:r>
        <w:t>Abhängigkeit des Menschen‘</w:t>
      </w:r>
    </w:p>
    <w:p w:rsidR="00D20352" w:rsidRDefault="00D20352" w:rsidP="00DF35E4">
      <w:pPr>
        <w:pStyle w:val="Interpretation"/>
      </w:pPr>
      <w:r>
        <w:rPr>
          <w:i/>
        </w:rPr>
        <w:t>H</w:t>
      </w:r>
      <w:r w:rsidR="0007784A">
        <w:rPr>
          <w:vertAlign w:val="subscript"/>
        </w:rPr>
        <w:t>6</w:t>
      </w:r>
      <w:r>
        <w:t>: ‚Das Wissen von der Abhängigkeit des Menschen ist das Religiöse schlech</w:t>
      </w:r>
      <w:r>
        <w:t>t</w:t>
      </w:r>
      <w:r>
        <w:t>hin‘</w:t>
      </w:r>
    </w:p>
    <w:p w:rsidR="00656013" w:rsidRDefault="00656013" w:rsidP="00DF35E4">
      <w:pPr>
        <w:pStyle w:val="Formel"/>
      </w:pPr>
      <w:r>
        <w:rPr>
          <w:i/>
          <w:iCs/>
        </w:rPr>
        <w:t>Er</w:t>
      </w:r>
      <w:r w:rsidR="0007784A">
        <w:rPr>
          <w:vertAlign w:val="subscript"/>
        </w:rPr>
        <w:t>9</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07784A">
        <w:rPr>
          <w:iCs/>
          <w:vertAlign w:val="subscript"/>
        </w:rPr>
        <w:t>6</w:t>
      </w:r>
      <w:r>
        <w:t xml:space="preserve"> </w:t>
      </w:r>
      <w:r w:rsidR="002434D2">
        <w:rPr>
          <w:rFonts w:ascii="Cambria Math" w:eastAsia="Arial Unicode MS" w:hAnsi="Cambria Math" w:cs="Cambria Math"/>
          <w:color w:val="000000" w:themeColor="text1"/>
        </w:rPr>
        <w:t>⤳</w:t>
      </w:r>
      <w:r w:rsidR="00DB6762">
        <w:rPr>
          <w:vertAlign w:val="subscript"/>
        </w:rPr>
        <w:t>Ded</w:t>
      </w:r>
      <w:r>
        <w:t xml:space="preserve">  </w:t>
      </w:r>
      <w:r>
        <w:rPr>
          <w:i/>
          <w:iCs/>
        </w:rPr>
        <w:t>Er</w:t>
      </w:r>
      <w:r>
        <w:rPr>
          <w:vertAlign w:val="subscript"/>
        </w:rPr>
        <w:t>1</w:t>
      </w:r>
      <w:r w:rsidR="0007784A">
        <w:rPr>
          <w:vertAlign w:val="subscript"/>
        </w:rPr>
        <w:t>0</w:t>
      </w:r>
    </w:p>
    <w:p w:rsidR="00F84029" w:rsidRDefault="00A6740A" w:rsidP="00DF35E4">
      <w:pPr>
        <w:pStyle w:val="Interpretation"/>
      </w:pPr>
      <w:r>
        <w:rPr>
          <w:i/>
        </w:rPr>
        <w:t>Er</w:t>
      </w:r>
      <w:r>
        <w:rPr>
          <w:vertAlign w:val="subscript"/>
        </w:rPr>
        <w:t>1</w:t>
      </w:r>
      <w:r w:rsidR="0007784A">
        <w:rPr>
          <w:vertAlign w:val="subscript"/>
        </w:rPr>
        <w:t>0</w:t>
      </w:r>
      <w:r>
        <w:t>: ‚</w:t>
      </w:r>
      <w:r w:rsidR="002C188E">
        <w:t xml:space="preserve">Die Ste-Chapelle </w:t>
      </w:r>
      <w:r w:rsidR="003A4EC6">
        <w:t>drückt</w:t>
      </w:r>
      <w:r>
        <w:t xml:space="preserve"> das </w:t>
      </w:r>
      <w:r w:rsidR="00091DE9">
        <w:t xml:space="preserve">Wissen </w:t>
      </w:r>
      <w:r>
        <w:t xml:space="preserve">vom </w:t>
      </w:r>
      <w:r w:rsidR="00091DE9">
        <w:t>Religiösen schlechthin</w:t>
      </w:r>
      <w:r w:rsidR="002C188E">
        <w:t xml:space="preserve">, </w:t>
      </w:r>
      <w:r w:rsidR="00091DE9">
        <w:t>von der Abhängigkeit des Menschen</w:t>
      </w:r>
      <w:r w:rsidR="003A4EC6">
        <w:t xml:space="preserve"> aus</w:t>
      </w:r>
      <w:r w:rsidR="00091DE9">
        <w:t>‘</w:t>
      </w:r>
    </w:p>
    <w:p w:rsidR="00B60EF0" w:rsidRDefault="00B60EF0" w:rsidP="00DF35E4">
      <w:pPr>
        <w:pStyle w:val="InterpretationletzteZeile"/>
      </w:pPr>
      <w:r>
        <w:rPr>
          <w:i/>
        </w:rPr>
        <w:t>Er</w:t>
      </w:r>
      <w:r>
        <w:rPr>
          <w:vertAlign w:val="subscript"/>
        </w:rPr>
        <w:t>(f)1</w:t>
      </w:r>
      <w:r w:rsidR="007F42E8">
        <w:t xml:space="preserve"> (e):</w:t>
      </w:r>
      <w:r>
        <w:t xml:space="preserve"> ‚Die Ste-Chapelle ist vollendet in der Form‘</w:t>
      </w:r>
    </w:p>
    <w:p w:rsidR="00B60EF0" w:rsidRDefault="0007784A" w:rsidP="00DF35E4">
      <w:pPr>
        <w:pStyle w:val="Text"/>
        <w:ind w:firstLine="0"/>
      </w:pPr>
      <w:r>
        <w:t xml:space="preserve">Hier </w:t>
      </w:r>
      <w:r w:rsidR="00B60EF0">
        <w:t xml:space="preserve">handelt es sich um einen Eindruck von Frankl über den Stil der Ste-Chapelle, der </w:t>
      </w:r>
      <w:r>
        <w:t xml:space="preserve">in </w:t>
      </w:r>
      <w:r w:rsidR="00B60EF0">
        <w:t xml:space="preserve">der bisher geschriebenen Interpretation nicht </w:t>
      </w:r>
      <w:r>
        <w:t>erzeugt wurde</w:t>
      </w:r>
      <w:r w:rsidR="00B60EF0">
        <w:t xml:space="preserve">. In solchen Fällen kann ein früher erzeugtes Ergebnis, </w:t>
      </w:r>
      <w:r>
        <w:t xml:space="preserve">das noch nicht geschrieben wurde, </w:t>
      </w:r>
      <w:r w:rsidR="002F1700">
        <w:t>angenommen werden.</w:t>
      </w:r>
    </w:p>
    <w:p w:rsidR="00B60EF0" w:rsidRDefault="00B60EF0" w:rsidP="00DF35E4">
      <w:pPr>
        <w:pStyle w:val="Formel"/>
      </w:pPr>
      <w:r>
        <w:rPr>
          <w:i/>
          <w:iCs/>
        </w:rPr>
        <w:t>Er</w:t>
      </w:r>
      <w:r>
        <w:rPr>
          <w:vertAlign w:val="subscript"/>
        </w:rPr>
        <w:t>(f)1</w:t>
      </w:r>
      <w:r w:rsidR="00352908">
        <w:t xml:space="preserve"> </w:t>
      </w:r>
      <w:r w:rsidR="00352908">
        <w:rPr>
          <w:rFonts w:ascii="Cambria Math" w:hAnsi="Cambria Math" w:cs="Cambria Math"/>
          <w:color w:val="000000" w:themeColor="text1"/>
        </w:rPr>
        <w:t>∧</w:t>
      </w:r>
      <w:r w:rsidR="00352908">
        <w:rPr>
          <w:rFonts w:cs="Times New Roman"/>
          <w:color w:val="000000" w:themeColor="text1"/>
        </w:rPr>
        <w:t xml:space="preserve"> </w:t>
      </w:r>
      <w:r w:rsidR="00352908">
        <w:rPr>
          <w:i/>
          <w:iCs/>
        </w:rPr>
        <w:t>Er</w:t>
      </w:r>
      <w:r w:rsidR="00352908">
        <w:rPr>
          <w:iCs/>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1</w:t>
      </w:r>
      <w:r w:rsidR="0007784A">
        <w:rPr>
          <w:iCs/>
          <w:vertAlign w:val="subscript"/>
        </w:rPr>
        <w:t>1</w:t>
      </w:r>
      <w:r w:rsidR="009F4DDA">
        <w:t xml:space="preserve"> </w:t>
      </w:r>
      <w:r w:rsidR="009F4DDA">
        <w:rPr>
          <w:rFonts w:ascii="Cambria Math" w:hAnsi="Cambria Math" w:cs="Cambria Math"/>
          <w:color w:val="000000" w:themeColor="text1"/>
        </w:rPr>
        <w:t>∧</w:t>
      </w:r>
      <w:r w:rsidR="009F4DDA">
        <w:rPr>
          <w:rFonts w:cs="Times New Roman"/>
          <w:color w:val="000000" w:themeColor="text1"/>
        </w:rPr>
        <w:t xml:space="preserve"> </w:t>
      </w:r>
      <w:r w:rsidR="009F4DDA">
        <w:rPr>
          <w:i/>
          <w:iCs/>
        </w:rPr>
        <w:t>H</w:t>
      </w:r>
      <w:r w:rsidR="009F4DDA">
        <w:rPr>
          <w:iCs/>
          <w:vertAlign w:val="subscript"/>
        </w:rPr>
        <w:t>5</w:t>
      </w:r>
      <w: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1</w:t>
      </w:r>
      <w:r w:rsidR="00352908">
        <w:rPr>
          <w:vertAlign w:val="subscript"/>
        </w:rPr>
        <w:t>1</w:t>
      </w:r>
    </w:p>
    <w:p w:rsidR="007D37AE" w:rsidRDefault="00EF227E" w:rsidP="00DF35E4">
      <w:pPr>
        <w:pStyle w:val="Interpretation"/>
      </w:pPr>
      <w:r>
        <w:rPr>
          <w:i/>
        </w:rPr>
        <w:t>Er</w:t>
      </w:r>
      <w:r>
        <w:rPr>
          <w:vertAlign w:val="subscript"/>
        </w:rPr>
        <w:t>1</w:t>
      </w:r>
      <w:r w:rsidR="00352908">
        <w:rPr>
          <w:vertAlign w:val="subscript"/>
        </w:rPr>
        <w:t>1</w:t>
      </w:r>
      <w:r>
        <w:t>: ‚</w:t>
      </w:r>
      <w:r w:rsidR="008865EE">
        <w:t xml:space="preserve">Das Unvollendbare </w:t>
      </w:r>
      <w:r>
        <w:t>des Sinns ist vollendet in der Form‘</w:t>
      </w:r>
    </w:p>
    <w:p w:rsidR="0035572A" w:rsidRDefault="0035572A" w:rsidP="00DF35E4">
      <w:pPr>
        <w:pStyle w:val="Interpretation"/>
        <w:rPr>
          <w:i/>
        </w:rPr>
      </w:pPr>
      <w:r>
        <w:rPr>
          <w:i/>
        </w:rPr>
        <w:t>Er</w:t>
      </w:r>
      <w:r>
        <w:rPr>
          <w:vertAlign w:val="subscript"/>
        </w:rPr>
        <w:t>(f)2</w:t>
      </w:r>
      <w:r w:rsidR="007F42E8">
        <w:t xml:space="preserve"> (e):</w:t>
      </w:r>
      <w:r>
        <w:t xml:space="preserve"> ‚In der Ste-Chapelle wirken alle Teile nur wie Teile‘</w:t>
      </w:r>
    </w:p>
    <w:p w:rsidR="00B60EF0" w:rsidRDefault="00B60EF0" w:rsidP="00DF35E4">
      <w:pPr>
        <w:pStyle w:val="Formel"/>
      </w:pPr>
      <w:r>
        <w:rPr>
          <w:i/>
          <w:iCs/>
        </w:rPr>
        <w:t>Er</w:t>
      </w:r>
      <w:r w:rsidR="0035572A">
        <w:rPr>
          <w:vertAlign w:val="subscript"/>
        </w:rPr>
        <w:t>(f)2</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35572A">
        <w:rPr>
          <w:vertAlign w:val="subscript"/>
        </w:rPr>
        <w:t>7</w:t>
      </w:r>
      <w:r>
        <w:t xml:space="preserve"> </w:t>
      </w:r>
      <w:r w:rsidR="002434D2">
        <w:rPr>
          <w:rFonts w:ascii="Cambria Math" w:eastAsia="Arial Unicode MS" w:hAnsi="Cambria Math" w:cs="Cambria Math"/>
          <w:color w:val="000000" w:themeColor="text1"/>
        </w:rPr>
        <w:t>⤳</w:t>
      </w:r>
      <w:r w:rsidR="00DB6762">
        <w:rPr>
          <w:vertAlign w:val="subscript"/>
        </w:rPr>
        <w:t>De</w:t>
      </w:r>
      <w:r>
        <w:rPr>
          <w:vertAlign w:val="subscript"/>
        </w:rPr>
        <w:t>d</w:t>
      </w:r>
      <w:r>
        <w:t xml:space="preserve">  </w:t>
      </w:r>
      <w:r>
        <w:rPr>
          <w:i/>
          <w:iCs/>
        </w:rPr>
        <w:t>Er</w:t>
      </w:r>
      <w:r>
        <w:rPr>
          <w:vertAlign w:val="subscript"/>
        </w:rPr>
        <w:t>1</w:t>
      </w:r>
      <w:r w:rsidR="00352908">
        <w:rPr>
          <w:vertAlign w:val="subscript"/>
        </w:rPr>
        <w:t>2</w:t>
      </w:r>
    </w:p>
    <w:p w:rsidR="00886E52" w:rsidRDefault="00886E52" w:rsidP="00DF35E4">
      <w:pPr>
        <w:pStyle w:val="Interpretation"/>
      </w:pPr>
      <w:r>
        <w:rPr>
          <w:i/>
        </w:rPr>
        <w:t>Er</w:t>
      </w:r>
      <w:r>
        <w:rPr>
          <w:vertAlign w:val="subscript"/>
        </w:rPr>
        <w:t>1</w:t>
      </w:r>
      <w:r w:rsidR="00352908">
        <w:rPr>
          <w:vertAlign w:val="subscript"/>
        </w:rPr>
        <w:t>2</w:t>
      </w:r>
      <w:r>
        <w:t>: ‚In der Ste-Chapelle sind alle Teile nur Teile und das Ganze sucht Ergä</w:t>
      </w:r>
      <w:r>
        <w:t>n</w:t>
      </w:r>
      <w:r>
        <w:t>zung im All‘</w:t>
      </w:r>
    </w:p>
    <w:p w:rsidR="00B60EF0" w:rsidRDefault="0035572A" w:rsidP="00DF35E4">
      <w:pPr>
        <w:pStyle w:val="Formel"/>
      </w:pPr>
      <w:r>
        <w:rPr>
          <w:i/>
          <w:iCs/>
        </w:rPr>
        <w:t>Er</w:t>
      </w:r>
      <w:r>
        <w:rPr>
          <w:vertAlign w:val="subscript"/>
        </w:rPr>
        <w:t>(f)2</w:t>
      </w:r>
      <w:r w:rsidR="00B60EF0">
        <w:t xml:space="preserve"> </w:t>
      </w:r>
      <w:r w:rsidR="00B60EF0">
        <w:rPr>
          <w:rFonts w:ascii="Cambria Math" w:hAnsi="Cambria Math" w:cs="Cambria Math"/>
          <w:color w:val="000000" w:themeColor="text1"/>
        </w:rPr>
        <w:t>∧</w:t>
      </w:r>
      <w:r w:rsidR="00B60EF0">
        <w:rPr>
          <w:rFonts w:cs="Times New Roman"/>
          <w:color w:val="000000" w:themeColor="text1"/>
        </w:rPr>
        <w:t xml:space="preserve"> </w:t>
      </w:r>
      <w:r w:rsidR="00B60EF0">
        <w:rPr>
          <w:i/>
          <w:iCs/>
        </w:rPr>
        <w:t>Er</w:t>
      </w:r>
      <w:r w:rsidR="00B60EF0">
        <w:rPr>
          <w:iCs/>
          <w:vertAlign w:val="subscript"/>
        </w:rPr>
        <w:t>1</w:t>
      </w:r>
      <w:r w:rsidR="00352908">
        <w:rPr>
          <w:iCs/>
          <w:vertAlign w:val="subscript"/>
        </w:rPr>
        <w:t>2</w:t>
      </w:r>
      <w:r w:rsidR="00B60EF0">
        <w:t xml:space="preserve"> </w:t>
      </w:r>
      <w:r w:rsidR="002434D2">
        <w:rPr>
          <w:rFonts w:ascii="Cambria Math" w:eastAsia="Arial Unicode MS" w:hAnsi="Cambria Math" w:cs="Cambria Math"/>
          <w:color w:val="000000" w:themeColor="text1"/>
        </w:rPr>
        <w:t>⤳</w:t>
      </w:r>
      <w:r w:rsidR="00596290">
        <w:rPr>
          <w:vertAlign w:val="subscript"/>
        </w:rPr>
        <w:t>Ind</w:t>
      </w:r>
      <w:r w:rsidR="00B60EF0">
        <w:t xml:space="preserve">  </w:t>
      </w:r>
      <w:r w:rsidR="00B60EF0">
        <w:rPr>
          <w:i/>
          <w:iCs/>
        </w:rPr>
        <w:t>Er</w:t>
      </w:r>
      <w:r w:rsidR="00B60EF0">
        <w:rPr>
          <w:vertAlign w:val="subscript"/>
        </w:rPr>
        <w:t>1</w:t>
      </w:r>
      <w:r w:rsidR="00352908">
        <w:rPr>
          <w:vertAlign w:val="subscript"/>
        </w:rPr>
        <w:t>3</w:t>
      </w:r>
    </w:p>
    <w:p w:rsidR="00E601A3" w:rsidRDefault="00E601A3" w:rsidP="00DF35E4">
      <w:pPr>
        <w:pStyle w:val="InterpretationletzteZeile"/>
      </w:pPr>
      <w:r>
        <w:rPr>
          <w:i/>
        </w:rPr>
        <w:t>Er</w:t>
      </w:r>
      <w:r>
        <w:rPr>
          <w:vertAlign w:val="subscript"/>
        </w:rPr>
        <w:t>1</w:t>
      </w:r>
      <w:r w:rsidR="00352908">
        <w:rPr>
          <w:vertAlign w:val="subscript"/>
        </w:rPr>
        <w:t>3</w:t>
      </w:r>
      <w:r>
        <w:t>: ‚</w:t>
      </w:r>
      <w:r w:rsidR="00884EBE">
        <w:t>Von den Teilen her gesehen kann man zur Gotik auch „Partialitätsstil“ sagen</w:t>
      </w:r>
      <w:r>
        <w:t>‘</w:t>
      </w:r>
    </w:p>
    <w:p w:rsidR="00352908" w:rsidRDefault="00352908" w:rsidP="00DF35E4">
      <w:pPr>
        <w:pStyle w:val="Text"/>
        <w:ind w:firstLine="0"/>
        <w:rPr>
          <w:iCs/>
        </w:rPr>
      </w:pPr>
      <w:r>
        <w:rPr>
          <w:iCs/>
        </w:rPr>
        <w:lastRenderedPageBreak/>
        <w:t>Hier ist interessant, wie Frankl</w:t>
      </w:r>
      <w:r w:rsidR="00A95E9A">
        <w:rPr>
          <w:iCs/>
        </w:rPr>
        <w:t xml:space="preserve"> zunächst mit Hilfe der Merkmal</w:t>
      </w:r>
      <w:r w:rsidR="00B1304B">
        <w:rPr>
          <w:iCs/>
        </w:rPr>
        <w:t>sregeln</w:t>
      </w:r>
      <w:r w:rsidR="00A95E9A">
        <w:rPr>
          <w:iCs/>
        </w:rPr>
        <w:t xml:space="preserve"> </w:t>
      </w:r>
      <w:r w:rsidR="00A95E9A">
        <w:rPr>
          <w:i/>
          <w:iCs/>
        </w:rPr>
        <w:t>B</w:t>
      </w:r>
      <w:r w:rsidR="00A95E9A">
        <w:rPr>
          <w:iCs/>
          <w:vertAlign w:val="subscript"/>
        </w:rPr>
        <w:t>1</w:t>
      </w:r>
      <w:r w:rsidR="00A95E9A">
        <w:rPr>
          <w:iCs/>
        </w:rPr>
        <w:t xml:space="preserve"> bis </w:t>
      </w:r>
      <w:r w:rsidR="00A95E9A">
        <w:rPr>
          <w:i/>
          <w:iCs/>
        </w:rPr>
        <w:t>B</w:t>
      </w:r>
      <w:r w:rsidR="00A95E9A">
        <w:rPr>
          <w:iCs/>
          <w:vertAlign w:val="subscript"/>
        </w:rPr>
        <w:t>5</w:t>
      </w:r>
      <w:r w:rsidR="00A95E9A">
        <w:rPr>
          <w:iCs/>
        </w:rPr>
        <w:t xml:space="preserve"> gewissenhaft die Ergebnisse </w:t>
      </w:r>
      <w:r w:rsidR="00A95E9A">
        <w:rPr>
          <w:i/>
          <w:iCs/>
        </w:rPr>
        <w:t>Er</w:t>
      </w:r>
      <w:r w:rsidR="00A95E9A">
        <w:rPr>
          <w:iCs/>
          <w:vertAlign w:val="subscript"/>
        </w:rPr>
        <w:t>1</w:t>
      </w:r>
      <w:r w:rsidR="00A95E9A">
        <w:rPr>
          <w:iCs/>
        </w:rPr>
        <w:t xml:space="preserve"> bis </w:t>
      </w:r>
      <w:r w:rsidR="00A95E9A">
        <w:rPr>
          <w:i/>
          <w:iCs/>
        </w:rPr>
        <w:t>Er</w:t>
      </w:r>
      <w:r w:rsidR="00A95E9A">
        <w:rPr>
          <w:iCs/>
          <w:vertAlign w:val="subscript"/>
        </w:rPr>
        <w:t>5</w:t>
      </w:r>
      <w:r w:rsidR="00A95E9A">
        <w:rPr>
          <w:iCs/>
        </w:rPr>
        <w:t xml:space="preserve"> gewinnt und sich dann, ausgehend von einem einzigen </w:t>
      </w:r>
      <w:r>
        <w:rPr>
          <w:iCs/>
        </w:rPr>
        <w:t>suggesti</w:t>
      </w:r>
      <w:r w:rsidR="00A95E9A">
        <w:rPr>
          <w:iCs/>
        </w:rPr>
        <w:t>ven</w:t>
      </w:r>
      <w:r>
        <w:rPr>
          <w:iCs/>
        </w:rPr>
        <w:t xml:space="preserve"> Ergebnis (</w:t>
      </w:r>
      <w:r>
        <w:rPr>
          <w:i/>
          <w:iCs/>
        </w:rPr>
        <w:t>Er</w:t>
      </w:r>
      <w:r>
        <w:rPr>
          <w:iCs/>
          <w:vertAlign w:val="subscript"/>
        </w:rPr>
        <w:t>6</w:t>
      </w:r>
      <w:r>
        <w:rPr>
          <w:iCs/>
        </w:rPr>
        <w:t>)</w:t>
      </w:r>
      <w:r w:rsidR="00A95E9A">
        <w:rPr>
          <w:iCs/>
        </w:rPr>
        <w:t>,</w:t>
      </w:r>
      <w:r>
        <w:rPr>
          <w:iCs/>
        </w:rPr>
        <w:t xml:space="preserve"> in eine </w:t>
      </w:r>
      <w:r w:rsidR="00A95E9A">
        <w:rPr>
          <w:iCs/>
        </w:rPr>
        <w:t xml:space="preserve">wahre </w:t>
      </w:r>
      <w:r>
        <w:rPr>
          <w:iCs/>
        </w:rPr>
        <w:t>Deutungsspirale hi</w:t>
      </w:r>
      <w:r>
        <w:rPr>
          <w:iCs/>
        </w:rPr>
        <w:t>n</w:t>
      </w:r>
      <w:r>
        <w:rPr>
          <w:iCs/>
        </w:rPr>
        <w:t>einsteigert (</w:t>
      </w:r>
      <w:r>
        <w:rPr>
          <w:i/>
          <w:iCs/>
        </w:rPr>
        <w:t>Er</w:t>
      </w:r>
      <w:r>
        <w:rPr>
          <w:iCs/>
          <w:vertAlign w:val="subscript"/>
        </w:rPr>
        <w:t>7</w:t>
      </w:r>
      <w:r>
        <w:rPr>
          <w:iCs/>
        </w:rPr>
        <w:t xml:space="preserve"> bis </w:t>
      </w:r>
      <w:r>
        <w:rPr>
          <w:i/>
          <w:iCs/>
        </w:rPr>
        <w:t>Er</w:t>
      </w:r>
      <w:r>
        <w:rPr>
          <w:iCs/>
          <w:vertAlign w:val="subscript"/>
        </w:rPr>
        <w:t>12</w:t>
      </w:r>
      <w:r>
        <w:rPr>
          <w:iCs/>
        </w:rPr>
        <w:t>)</w:t>
      </w:r>
      <w:r w:rsidR="00A95E9A">
        <w:rPr>
          <w:iCs/>
        </w:rPr>
        <w:t>, die in der Interpretation in Form rasch hintereinander gesetzter, einander übertreffender Formulierungen erscheint.</w:t>
      </w:r>
    </w:p>
    <w:p w:rsidR="005367D9" w:rsidRDefault="00DD3B36" w:rsidP="00884EBE">
      <w:pPr>
        <w:pStyle w:val="Text"/>
        <w:rPr>
          <w:iCs/>
        </w:rPr>
      </w:pPr>
      <w:r>
        <w:rPr>
          <w:iCs/>
        </w:rPr>
        <w:t xml:space="preserve">Frankl nimmt </w:t>
      </w:r>
      <w:r w:rsidR="00340887">
        <w:rPr>
          <w:iCs/>
        </w:rPr>
        <w:t xml:space="preserve">zudem </w:t>
      </w:r>
      <w:r w:rsidR="002B747F">
        <w:rPr>
          <w:iCs/>
        </w:rPr>
        <w:t xml:space="preserve">mit Hilfe </w:t>
      </w:r>
      <w:r w:rsidR="009B02C4">
        <w:rPr>
          <w:iCs/>
        </w:rPr>
        <w:t xml:space="preserve">einiger Ergebnisse einer </w:t>
      </w:r>
      <w:r w:rsidR="00A00D98">
        <w:rPr>
          <w:iCs/>
        </w:rPr>
        <w:t>Stilinterpretation</w:t>
      </w:r>
      <w:r>
        <w:rPr>
          <w:iCs/>
        </w:rPr>
        <w:t xml:space="preserve"> der </w:t>
      </w:r>
      <w:r w:rsidR="002B747F">
        <w:rPr>
          <w:iCs/>
        </w:rPr>
        <w:t xml:space="preserve">Regensburger </w:t>
      </w:r>
      <w:r w:rsidR="00314956">
        <w:rPr>
          <w:iCs/>
        </w:rPr>
        <w:t>Allerheiligenkapelle</w:t>
      </w:r>
      <w:r w:rsidR="00314956">
        <w:rPr>
          <w:rStyle w:val="Funotenzeichen"/>
          <w:iCs/>
        </w:rPr>
        <w:footnoteReference w:id="472"/>
      </w:r>
      <w:r w:rsidR="00314956">
        <w:rPr>
          <w:iCs/>
        </w:rPr>
        <w:t xml:space="preserve"> einen </w:t>
      </w:r>
      <w:r>
        <w:rPr>
          <w:iCs/>
        </w:rPr>
        <w:t xml:space="preserve">Vergleich </w:t>
      </w:r>
      <w:r w:rsidR="005367D9">
        <w:rPr>
          <w:iCs/>
        </w:rPr>
        <w:t>zwischen Romanik und Gotik</w:t>
      </w:r>
      <w:r>
        <w:rPr>
          <w:iCs/>
        </w:rPr>
        <w:t xml:space="preserve"> vor</w:t>
      </w:r>
      <w:r w:rsidR="0035572A">
        <w:rPr>
          <w:iCs/>
        </w:rPr>
        <w:t>:</w:t>
      </w:r>
    </w:p>
    <w:p w:rsidR="003F5C11" w:rsidRDefault="003F5C11" w:rsidP="00DF35E4">
      <w:pPr>
        <w:pStyle w:val="Interpretation"/>
      </w:pPr>
      <w:r w:rsidRPr="00AC5EC5">
        <w:rPr>
          <w:i/>
        </w:rPr>
        <w:t>H</w:t>
      </w:r>
      <w:r w:rsidR="00CD3E9B">
        <w:rPr>
          <w:vertAlign w:val="subscript"/>
        </w:rPr>
        <w:t>7</w:t>
      </w:r>
      <w:r>
        <w:t xml:space="preserve"> [vom Anfang </w:t>
      </w:r>
      <w:r w:rsidR="00CD3E9B">
        <w:t>des Texts</w:t>
      </w:r>
      <w:r>
        <w:t>]: ‚In der Romanik wird die Apsis mit einem Vierte</w:t>
      </w:r>
      <w:r>
        <w:t>l</w:t>
      </w:r>
      <w:r>
        <w:t xml:space="preserve">kugelgewölbe versehen, das nach innen konzentriert </w:t>
      </w:r>
      <w:r w:rsidR="003373ED">
        <w:t>ist</w:t>
      </w:r>
      <w:r>
        <w:t>‘</w:t>
      </w:r>
    </w:p>
    <w:p w:rsidR="003F5C11" w:rsidRDefault="003F5C11" w:rsidP="00DF35E4">
      <w:pPr>
        <w:pStyle w:val="Formel"/>
        <w:rPr>
          <w:i/>
          <w:iCs/>
        </w:rPr>
      </w:pPr>
      <w:r>
        <w:rPr>
          <w:i/>
          <w:iCs/>
        </w:rPr>
        <w:t>Er</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CD3E9B">
        <w:rPr>
          <w:vertAlign w:val="subscript"/>
        </w:rPr>
        <w:t>7</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r w:rsidR="00CD3E9B">
        <w:rPr>
          <w:vertAlign w:val="subscript"/>
        </w:rPr>
        <w:t>4</w:t>
      </w:r>
    </w:p>
    <w:p w:rsidR="003F5C11" w:rsidRDefault="003F5C11" w:rsidP="00DF35E4">
      <w:pPr>
        <w:pStyle w:val="Interpretation"/>
        <w:rPr>
          <w:i/>
        </w:rPr>
      </w:pPr>
      <w:r>
        <w:rPr>
          <w:i/>
        </w:rPr>
        <w:t>Er</w:t>
      </w:r>
      <w:r>
        <w:rPr>
          <w:vertAlign w:val="subscript"/>
        </w:rPr>
        <w:t>1</w:t>
      </w:r>
      <w:r w:rsidR="00CD3E9B">
        <w:rPr>
          <w:vertAlign w:val="subscript"/>
        </w:rPr>
        <w:t>4</w:t>
      </w:r>
      <w:r>
        <w:t xml:space="preserve">: ‚Die </w:t>
      </w:r>
      <w:r w:rsidR="003373ED">
        <w:t xml:space="preserve">Richtung </w:t>
      </w:r>
      <w:r w:rsidR="00EE4F7D">
        <w:t xml:space="preserve">der </w:t>
      </w:r>
      <w:r>
        <w:t xml:space="preserve">Gewölbe über der Apsis </w:t>
      </w:r>
      <w:r w:rsidR="00EE4F7D">
        <w:t xml:space="preserve">ist </w:t>
      </w:r>
      <w:r>
        <w:t>gegensätzlich</w:t>
      </w:r>
      <w:r w:rsidR="00EE4F7D">
        <w:t xml:space="preserve"> in Romanik und Gotik</w:t>
      </w:r>
      <w:r>
        <w:t>‘</w:t>
      </w:r>
    </w:p>
    <w:p w:rsidR="005367D9" w:rsidRDefault="005367D9" w:rsidP="00DF35E4">
      <w:pPr>
        <w:pStyle w:val="Interpretation"/>
      </w:pPr>
      <w:r>
        <w:rPr>
          <w:i/>
        </w:rPr>
        <w:t>H</w:t>
      </w:r>
      <w:r w:rsidR="00CD3E9B">
        <w:rPr>
          <w:vertAlign w:val="subscript"/>
        </w:rPr>
        <w:t>8</w:t>
      </w:r>
      <w:r>
        <w:t>: ‚Die breiten Gurte mit rechteckigem Profil der Romanik trennen die Joche streng durch eine vertikale Raumschicht‘</w:t>
      </w:r>
    </w:p>
    <w:p w:rsidR="005367D9" w:rsidRDefault="005367D9" w:rsidP="00DF35E4">
      <w:pPr>
        <w:pStyle w:val="Formel"/>
      </w:pPr>
      <w:r>
        <w:rPr>
          <w:i/>
          <w:iCs/>
        </w:rPr>
        <w:t>Er</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sidR="00EE4F7D">
        <w:rPr>
          <w:i/>
          <w:iCs/>
        </w:rPr>
        <w:t>Er</w:t>
      </w:r>
      <w:r w:rsidR="00EE4F7D">
        <w:rPr>
          <w:iCs/>
          <w:vertAlign w:val="subscript"/>
        </w:rPr>
        <w:t>3</w:t>
      </w:r>
      <w:r w:rsidR="00EE4F7D">
        <w:t xml:space="preserve"> </w:t>
      </w:r>
      <w:r w:rsidR="00EE4F7D">
        <w:rPr>
          <w:rFonts w:ascii="Cambria Math" w:hAnsi="Cambria Math" w:cs="Cambria Math"/>
          <w:color w:val="000000" w:themeColor="text1"/>
        </w:rPr>
        <w:t>∧</w:t>
      </w:r>
      <w:r w:rsidR="00EE4F7D">
        <w:rPr>
          <w:rFonts w:cs="Times New Roman"/>
          <w:color w:val="000000" w:themeColor="text1"/>
        </w:rPr>
        <w:t xml:space="preserve"> </w:t>
      </w:r>
      <w:r w:rsidRPr="00AC5EC5">
        <w:rPr>
          <w:i/>
        </w:rPr>
        <w:t>H</w:t>
      </w:r>
      <w:r w:rsidR="00CD3E9B">
        <w:rPr>
          <w:iCs/>
          <w:vertAlign w:val="subscript"/>
        </w:rPr>
        <w:t>8</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CD3E9B">
        <w:rPr>
          <w:vertAlign w:val="subscript"/>
        </w:rPr>
        <w:t>Ded</w:t>
      </w:r>
      <w:r>
        <w:t xml:space="preserve"> </w:t>
      </w:r>
      <w:r w:rsidR="00B60EF0">
        <w:t xml:space="preserve"> </w:t>
      </w:r>
      <w:r>
        <w:rPr>
          <w:i/>
          <w:iCs/>
        </w:rPr>
        <w:t>Er</w:t>
      </w:r>
      <w:r w:rsidR="00EE4F7D">
        <w:rPr>
          <w:vertAlign w:val="subscript"/>
        </w:rPr>
        <w:t>1</w:t>
      </w:r>
      <w:r w:rsidR="00CD3E9B">
        <w:rPr>
          <w:vertAlign w:val="subscript"/>
        </w:rPr>
        <w:t>5</w:t>
      </w:r>
    </w:p>
    <w:p w:rsidR="005367D9" w:rsidRDefault="005367D9" w:rsidP="00DF35E4">
      <w:pPr>
        <w:pStyle w:val="Interpretation"/>
      </w:pPr>
      <w:r w:rsidRPr="008B7272">
        <w:rPr>
          <w:i/>
        </w:rPr>
        <w:t>Er</w:t>
      </w:r>
      <w:r w:rsidR="00EE4F7D">
        <w:rPr>
          <w:vertAlign w:val="subscript"/>
        </w:rPr>
        <w:t>1</w:t>
      </w:r>
      <w:r w:rsidR="00CD3E9B">
        <w:rPr>
          <w:vertAlign w:val="subscript"/>
        </w:rPr>
        <w:t>5</w:t>
      </w:r>
      <w:r>
        <w:t>: ‚</w:t>
      </w:r>
      <w:r w:rsidR="00EE4F7D">
        <w:t>De</w:t>
      </w:r>
      <w:r w:rsidR="00B078B6">
        <w:t>r</w:t>
      </w:r>
      <w:r w:rsidR="00EE4F7D">
        <w:t xml:space="preserve"> </w:t>
      </w:r>
      <w:r w:rsidR="00B078B6">
        <w:t xml:space="preserve">durch die </w:t>
      </w:r>
      <w:r>
        <w:t xml:space="preserve">Gurte </w:t>
      </w:r>
      <w:r w:rsidR="00EE4F7D">
        <w:t xml:space="preserve">und Joche </w:t>
      </w:r>
      <w:r w:rsidR="00B078B6">
        <w:t xml:space="preserve">erzeugte optische Effekt </w:t>
      </w:r>
      <w:r>
        <w:t>ist in Romanik und Gotik</w:t>
      </w:r>
      <w:r w:rsidR="00B078B6">
        <w:t xml:space="preserve"> gegensätzlich</w:t>
      </w:r>
      <w:r>
        <w:t>‘</w:t>
      </w:r>
    </w:p>
    <w:p w:rsidR="00EE4C98" w:rsidRDefault="00EE4C98" w:rsidP="00DF35E4">
      <w:pPr>
        <w:pStyle w:val="Interpretation"/>
      </w:pPr>
      <w:r>
        <w:rPr>
          <w:i/>
        </w:rPr>
        <w:t>H</w:t>
      </w:r>
      <w:r w:rsidR="00CD3E9B">
        <w:rPr>
          <w:vertAlign w:val="subscript"/>
        </w:rPr>
        <w:t>9</w:t>
      </w:r>
      <w:r>
        <w:t>: ‚Die Allerheiligenkapelle in Regensburg ist ganz in sich geschlossen und ein Repräsentant von Selbstsicherheit‘</w:t>
      </w:r>
    </w:p>
    <w:p w:rsidR="00B60EF0" w:rsidRDefault="003373ED" w:rsidP="00DF35E4">
      <w:pPr>
        <w:pStyle w:val="Formel"/>
      </w:pPr>
      <w:r>
        <w:rPr>
          <w:i/>
          <w:iCs/>
        </w:rPr>
        <w:t>Er</w:t>
      </w:r>
      <w:r>
        <w:rPr>
          <w:vertAlign w:val="subscript"/>
        </w:rPr>
        <w:t>6</w:t>
      </w:r>
      <w:r>
        <w:t xml:space="preserve"> </w:t>
      </w:r>
      <w:r>
        <w:rPr>
          <w:rFonts w:ascii="Cambria Math" w:hAnsi="Cambria Math" w:cs="Cambria Math"/>
          <w:color w:val="000000" w:themeColor="text1"/>
        </w:rPr>
        <w:t>∧</w:t>
      </w:r>
      <w:r>
        <w:rPr>
          <w:rFonts w:cs="Times New Roman"/>
          <w:color w:val="000000" w:themeColor="text1"/>
        </w:rPr>
        <w:t xml:space="preserve"> </w:t>
      </w:r>
      <w:r w:rsidR="009F4DDA">
        <w:rPr>
          <w:i/>
          <w:iCs/>
        </w:rPr>
        <w:t>Er</w:t>
      </w:r>
      <w:r w:rsidR="009F4DDA">
        <w:rPr>
          <w:vertAlign w:val="subscript"/>
        </w:rPr>
        <w:t>9</w:t>
      </w:r>
      <w:r w:rsidR="009F4DDA">
        <w:t xml:space="preserve"> </w:t>
      </w:r>
      <w:r w:rsidR="009F4DDA">
        <w:rPr>
          <w:rFonts w:ascii="Cambria Math" w:hAnsi="Cambria Math" w:cs="Cambria Math"/>
          <w:color w:val="000000" w:themeColor="text1"/>
        </w:rPr>
        <w:t>∧</w:t>
      </w:r>
      <w:r w:rsidR="009F4DDA">
        <w:rPr>
          <w:rFonts w:cs="Times New Roman"/>
          <w:color w:val="000000" w:themeColor="text1"/>
        </w:rPr>
        <w:t xml:space="preserve"> </w:t>
      </w:r>
      <w:r w:rsidR="00593DFC">
        <w:rPr>
          <w:i/>
          <w:iCs/>
        </w:rPr>
        <w:t>H</w:t>
      </w:r>
      <w:r w:rsidR="00CD3E9B">
        <w:rPr>
          <w:vertAlign w:val="subscript"/>
        </w:rPr>
        <w:t>9</w:t>
      </w:r>
      <w:r w:rsidR="00B60EF0">
        <w:t xml:space="preserve"> </w:t>
      </w:r>
      <w:r w:rsidR="002434D2">
        <w:rPr>
          <w:rFonts w:ascii="Cambria Math" w:eastAsia="Arial Unicode MS" w:hAnsi="Cambria Math" w:cs="Cambria Math"/>
          <w:color w:val="000000" w:themeColor="text1"/>
        </w:rPr>
        <w:t>⤳</w:t>
      </w:r>
      <w:r w:rsidR="00CD3E9B">
        <w:rPr>
          <w:vertAlign w:val="subscript"/>
        </w:rPr>
        <w:t>Ded</w:t>
      </w:r>
      <w:r w:rsidR="00B60EF0">
        <w:t xml:space="preserve">  </w:t>
      </w:r>
      <w:r w:rsidR="00B60EF0">
        <w:rPr>
          <w:i/>
          <w:iCs/>
        </w:rPr>
        <w:t>Er</w:t>
      </w:r>
      <w:r w:rsidR="00B60EF0">
        <w:rPr>
          <w:vertAlign w:val="subscript"/>
        </w:rPr>
        <w:t>1</w:t>
      </w:r>
      <w:r w:rsidR="00CD3E9B">
        <w:rPr>
          <w:vertAlign w:val="subscript"/>
        </w:rPr>
        <w:t>6</w:t>
      </w:r>
    </w:p>
    <w:p w:rsidR="00EE4C98" w:rsidRDefault="00EE4C98" w:rsidP="00DF35E4">
      <w:pPr>
        <w:pStyle w:val="Interpretation"/>
      </w:pPr>
      <w:r>
        <w:rPr>
          <w:i/>
        </w:rPr>
        <w:t>Er</w:t>
      </w:r>
      <w:r>
        <w:rPr>
          <w:vertAlign w:val="subscript"/>
        </w:rPr>
        <w:t>1</w:t>
      </w:r>
      <w:r w:rsidR="00CD3E9B">
        <w:rPr>
          <w:vertAlign w:val="subscript"/>
        </w:rPr>
        <w:t>6</w:t>
      </w:r>
      <w:r>
        <w:t>: ‚Die von der Architektur repräsentierten Haltungen der Ste-Chapelle und der Allerheiligenkapelle in Regensburg sind gegensätzlich‘</w:t>
      </w:r>
    </w:p>
    <w:p w:rsidR="00155D73" w:rsidRDefault="00EE4C98" w:rsidP="00DF35E4">
      <w:pPr>
        <w:pStyle w:val="Interpretation"/>
      </w:pPr>
      <w:r>
        <w:rPr>
          <w:i/>
        </w:rPr>
        <w:t>H</w:t>
      </w:r>
      <w:r>
        <w:rPr>
          <w:vertAlign w:val="subscript"/>
        </w:rPr>
        <w:t>1</w:t>
      </w:r>
      <w:r w:rsidR="00CD3E9B">
        <w:rPr>
          <w:vertAlign w:val="subscript"/>
        </w:rPr>
        <w:t>0</w:t>
      </w:r>
      <w:r>
        <w:t xml:space="preserve">: ‚In der Regensburger Allerheiligenkapelle bleibt jeder </w:t>
      </w:r>
      <w:r w:rsidR="00155D73">
        <w:t>„</w:t>
      </w:r>
      <w:r>
        <w:t>Teil</w:t>
      </w:r>
      <w:r w:rsidR="00155D73">
        <w:t>“</w:t>
      </w:r>
      <w:r>
        <w:t xml:space="preserve"> für sich eine Ganzheit</w:t>
      </w:r>
      <w:r w:rsidR="00155D73">
        <w:rPr>
          <w:szCs w:val="22"/>
        </w:rPr>
        <w:t>‘</w:t>
      </w:r>
    </w:p>
    <w:p w:rsidR="00B60EF0" w:rsidRDefault="00155D73" w:rsidP="00DF35E4">
      <w:pPr>
        <w:pStyle w:val="Formel"/>
      </w:pPr>
      <w:r>
        <w:rPr>
          <w:i/>
          <w:iCs/>
        </w:rPr>
        <w:t>Er</w:t>
      </w:r>
      <w:r>
        <w:rPr>
          <w:vertAlign w:val="subscript"/>
        </w:rPr>
        <w:t>12</w:t>
      </w:r>
      <w:r>
        <w:t xml:space="preserve"> </w:t>
      </w:r>
      <w:r w:rsidR="00B60EF0">
        <w:rPr>
          <w:rFonts w:ascii="Cambria Math" w:hAnsi="Cambria Math" w:cs="Cambria Math"/>
          <w:color w:val="000000" w:themeColor="text1"/>
        </w:rPr>
        <w:t>∧</w:t>
      </w:r>
      <w:r w:rsidR="00B60EF0">
        <w:rPr>
          <w:rFonts w:cs="Times New Roman"/>
          <w:color w:val="000000" w:themeColor="text1"/>
        </w:rPr>
        <w:t xml:space="preserve"> </w:t>
      </w:r>
      <w:r w:rsidR="00B60EF0">
        <w:rPr>
          <w:i/>
          <w:iCs/>
        </w:rPr>
        <w:t>H</w:t>
      </w:r>
      <w:r w:rsidR="00B60EF0">
        <w:rPr>
          <w:iCs/>
          <w:vertAlign w:val="subscript"/>
        </w:rPr>
        <w:t>1</w:t>
      </w:r>
      <w:r w:rsidR="00CD3E9B">
        <w:rPr>
          <w:iCs/>
          <w:vertAlign w:val="subscript"/>
        </w:rPr>
        <w:t>0</w:t>
      </w:r>
      <w:r w:rsidR="00B60EF0">
        <w:t xml:space="preserve"> </w:t>
      </w:r>
      <w:r w:rsidR="002434D2">
        <w:rPr>
          <w:rFonts w:ascii="Cambria Math" w:eastAsia="Arial Unicode MS" w:hAnsi="Cambria Math" w:cs="Cambria Math"/>
          <w:color w:val="000000" w:themeColor="text1"/>
        </w:rPr>
        <w:t>⤳</w:t>
      </w:r>
      <w:r>
        <w:rPr>
          <w:vertAlign w:val="subscript"/>
        </w:rPr>
        <w:t>Ded</w:t>
      </w:r>
      <w:r w:rsidR="00B60EF0">
        <w:t xml:space="preserve">  </w:t>
      </w:r>
      <w:r w:rsidR="00B60EF0">
        <w:rPr>
          <w:i/>
          <w:iCs/>
        </w:rPr>
        <w:t>Er</w:t>
      </w:r>
      <w:r w:rsidR="00B60EF0">
        <w:rPr>
          <w:vertAlign w:val="subscript"/>
        </w:rPr>
        <w:t>1</w:t>
      </w:r>
      <w:r w:rsidR="00CD3E9B">
        <w:rPr>
          <w:vertAlign w:val="subscript"/>
        </w:rPr>
        <w:t>7</w:t>
      </w:r>
    </w:p>
    <w:p w:rsidR="004A2340" w:rsidRDefault="004A2340" w:rsidP="00DF35E4">
      <w:pPr>
        <w:pStyle w:val="Interpretation"/>
      </w:pPr>
      <w:r>
        <w:rPr>
          <w:i/>
        </w:rPr>
        <w:t>Er</w:t>
      </w:r>
      <w:r>
        <w:rPr>
          <w:vertAlign w:val="subscript"/>
        </w:rPr>
        <w:t>1</w:t>
      </w:r>
      <w:r w:rsidR="00CD3E9B">
        <w:rPr>
          <w:vertAlign w:val="subscript"/>
        </w:rPr>
        <w:t>7</w:t>
      </w:r>
      <w:r>
        <w:t>: ‚Die Relation zwischen Ganzem und Teilen ist gegensätzlich in Romanik und Gotik‘</w:t>
      </w:r>
    </w:p>
    <w:p w:rsidR="00155D73" w:rsidRDefault="00155D73" w:rsidP="00DF35E4">
      <w:pPr>
        <w:pStyle w:val="Interpretation"/>
        <w:rPr>
          <w:szCs w:val="22"/>
        </w:rPr>
      </w:pPr>
      <w:r>
        <w:rPr>
          <w:i/>
        </w:rPr>
        <w:t>H</w:t>
      </w:r>
      <w:r>
        <w:rPr>
          <w:vertAlign w:val="subscript"/>
        </w:rPr>
        <w:t>1</w:t>
      </w:r>
      <w:r w:rsidR="00CD3E9B">
        <w:rPr>
          <w:vertAlign w:val="subscript"/>
        </w:rPr>
        <w:t>1</w:t>
      </w:r>
      <w:r>
        <w:t xml:space="preserve">: ‚Von den Teilen her gesehen kann man zur Romanik auch </w:t>
      </w:r>
      <w:r w:rsidRPr="00F71D64">
        <w:rPr>
          <w:szCs w:val="22"/>
        </w:rPr>
        <w:t>Totalitätsstil</w:t>
      </w:r>
      <w:r>
        <w:rPr>
          <w:szCs w:val="22"/>
        </w:rPr>
        <w:t xml:space="preserve"> sagen‘</w:t>
      </w:r>
    </w:p>
    <w:p w:rsidR="00155D73" w:rsidRDefault="00155D73" w:rsidP="00DF35E4">
      <w:pPr>
        <w:pStyle w:val="Formel"/>
        <w:rPr>
          <w:vertAlign w:val="subscript"/>
        </w:rPr>
      </w:pPr>
      <w:r>
        <w:rPr>
          <w:i/>
          <w:iCs/>
        </w:rPr>
        <w:t>Er</w:t>
      </w:r>
      <w:r>
        <w:rPr>
          <w:vertAlign w:val="subscript"/>
        </w:rPr>
        <w:t>13</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CD3E9B">
        <w:rPr>
          <w:iCs/>
          <w:vertAlign w:val="subscript"/>
        </w:rPr>
        <w:t>1</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r w:rsidR="00CD3E9B">
        <w:rPr>
          <w:vertAlign w:val="subscript"/>
        </w:rPr>
        <w:t>8</w:t>
      </w:r>
    </w:p>
    <w:p w:rsidR="00CD3E9B" w:rsidRDefault="00CD3E9B" w:rsidP="00DF35E4">
      <w:pPr>
        <w:pStyle w:val="Interpretation"/>
        <w:rPr>
          <w:i/>
        </w:rPr>
      </w:pPr>
      <w:r>
        <w:rPr>
          <w:i/>
        </w:rPr>
        <w:t>Er</w:t>
      </w:r>
      <w:r>
        <w:rPr>
          <w:vertAlign w:val="subscript"/>
        </w:rPr>
        <w:t>18</w:t>
      </w:r>
      <w:r>
        <w:t>: ‚Romanik und Gotik lassen sich gegensätzliche Bezeichnungen zuordnen‘</w:t>
      </w:r>
    </w:p>
    <w:p w:rsidR="00B60EF0" w:rsidRDefault="00B60EF0" w:rsidP="00DF35E4">
      <w:pPr>
        <w:pStyle w:val="Formel"/>
        <w:rPr>
          <w:i/>
          <w:iCs/>
        </w:rPr>
      </w:pPr>
      <w:r>
        <w:rPr>
          <w:i/>
          <w:iCs/>
        </w:rPr>
        <w:t>Er</w:t>
      </w:r>
      <w:r w:rsidR="00CD3E9B">
        <w:rPr>
          <w:vertAlign w:val="subscript"/>
        </w:rPr>
        <w:t>14</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1</w:t>
      </w:r>
      <w:r w:rsidR="00CD3E9B">
        <w:rPr>
          <w:vertAlign w:val="subscript"/>
        </w:rPr>
        <w:t>5</w:t>
      </w:r>
      <w:r>
        <w:t xml:space="preserve"> </w:t>
      </w:r>
      <w:r>
        <w:rPr>
          <w:rFonts w:ascii="Cambria Math" w:hAnsi="Cambria Math" w:cs="Cambria Math"/>
          <w:color w:val="000000" w:themeColor="text1"/>
        </w:rPr>
        <w:t>∧</w:t>
      </w:r>
      <w:r>
        <w:rPr>
          <w:rFonts w:cs="Times New Roman"/>
          <w:color w:val="000000" w:themeColor="text1"/>
        </w:rPr>
        <w:t xml:space="preserve"> </w:t>
      </w:r>
      <w:r w:rsidR="00CD3E9B">
        <w:rPr>
          <w:i/>
          <w:iCs/>
        </w:rPr>
        <w:t>Er</w:t>
      </w:r>
      <w:r w:rsidR="00CD3E9B">
        <w:rPr>
          <w:vertAlign w:val="subscript"/>
        </w:rPr>
        <w:t>16</w:t>
      </w:r>
      <w:r w:rsidR="00CD3E9B">
        <w:t xml:space="preserve"> </w:t>
      </w:r>
      <w:r w:rsidR="00CD3E9B">
        <w:rPr>
          <w:rFonts w:ascii="Cambria Math" w:hAnsi="Cambria Math" w:cs="Cambria Math"/>
          <w:color w:val="000000" w:themeColor="text1"/>
        </w:rPr>
        <w:t>∧</w:t>
      </w:r>
      <w:r w:rsidR="00CD3E9B">
        <w:rPr>
          <w:rFonts w:cs="Times New Roman"/>
          <w:color w:val="000000" w:themeColor="text1"/>
        </w:rPr>
        <w:t xml:space="preserve"> </w:t>
      </w:r>
      <w:r w:rsidR="00CD3E9B">
        <w:rPr>
          <w:i/>
          <w:iCs/>
        </w:rPr>
        <w:t>Er</w:t>
      </w:r>
      <w:r w:rsidR="00CD3E9B">
        <w:rPr>
          <w:vertAlign w:val="subscript"/>
        </w:rPr>
        <w:t>17</w:t>
      </w:r>
      <w:r w:rsidR="00CD3E9B">
        <w:t xml:space="preserve"> </w:t>
      </w:r>
      <w:r w:rsidR="00CD3E9B">
        <w:rPr>
          <w:rFonts w:ascii="Cambria Math" w:hAnsi="Cambria Math" w:cs="Cambria Math"/>
          <w:color w:val="000000" w:themeColor="text1"/>
        </w:rPr>
        <w:t>∧</w:t>
      </w:r>
      <w:r w:rsidR="00CD3E9B">
        <w:rPr>
          <w:rFonts w:cs="Times New Roman"/>
          <w:color w:val="000000" w:themeColor="text1"/>
        </w:rPr>
        <w:t xml:space="preserve"> </w:t>
      </w:r>
      <w:r>
        <w:rPr>
          <w:i/>
          <w:iCs/>
        </w:rPr>
        <w:t>Er</w:t>
      </w:r>
      <w:r>
        <w:rPr>
          <w:vertAlign w:val="subscript"/>
        </w:rPr>
        <w:t>18</w:t>
      </w:r>
      <w:r>
        <w:t xml:space="preserve"> </w:t>
      </w:r>
      <w:r w:rsidR="002434D2">
        <w:rPr>
          <w:rFonts w:ascii="Cambria Math" w:eastAsia="Arial Unicode MS" w:hAnsi="Cambria Math" w:cs="Cambria Math"/>
          <w:color w:val="000000" w:themeColor="text1"/>
        </w:rPr>
        <w:t>⤳</w:t>
      </w:r>
      <w:r>
        <w:rPr>
          <w:vertAlign w:val="subscript"/>
        </w:rPr>
        <w:t>Ind</w:t>
      </w:r>
      <w:r>
        <w:rPr>
          <w:i/>
          <w:iCs/>
        </w:rPr>
        <w:t xml:space="preserve">  Er</w:t>
      </w:r>
      <w:r w:rsidR="00CD3E9B">
        <w:rPr>
          <w:vertAlign w:val="subscript"/>
        </w:rPr>
        <w:t>19</w:t>
      </w:r>
    </w:p>
    <w:p w:rsidR="005C40B3" w:rsidRDefault="00EE4C98" w:rsidP="00DF35E4">
      <w:pPr>
        <w:pStyle w:val="InterpretationletzteZeile"/>
      </w:pPr>
      <w:r>
        <w:rPr>
          <w:i/>
        </w:rPr>
        <w:lastRenderedPageBreak/>
        <w:t>Er</w:t>
      </w:r>
      <w:r w:rsidR="00CD3E9B">
        <w:rPr>
          <w:vertAlign w:val="subscript"/>
        </w:rPr>
        <w:t>19</w:t>
      </w:r>
      <w:r>
        <w:t>: ‚Romanik und Gotik stehen zueinander im Gegensatz‘</w:t>
      </w:r>
    </w:p>
    <w:p w:rsidR="00886E52" w:rsidRDefault="002D3B78" w:rsidP="00DF35E4">
      <w:pPr>
        <w:pStyle w:val="Zwischenberschrift"/>
      </w:pPr>
      <w:r w:rsidRPr="002D3B78">
        <w:t>Anmerkung</w:t>
      </w:r>
      <w:r w:rsidR="00886E52">
        <w:t>en</w:t>
      </w:r>
    </w:p>
    <w:p w:rsidR="00886E52" w:rsidRDefault="00886E52" w:rsidP="00DF35E4">
      <w:pPr>
        <w:pStyle w:val="Text"/>
        <w:ind w:firstLine="0"/>
      </w:pPr>
      <w:r>
        <w:t>(1)</w:t>
      </w:r>
      <w:r>
        <w:tab/>
        <w:t>Das ei</w:t>
      </w:r>
      <w:r w:rsidR="009B02C4">
        <w:t>ngebrachte Hintergrundwissen zum Stil der</w:t>
      </w:r>
      <w:r>
        <w:t xml:space="preserve"> Allerheiligenkapelle (die Elemente </w:t>
      </w:r>
      <w:r w:rsidR="00A00D98">
        <w:rPr>
          <w:i/>
          <w:iCs/>
        </w:rPr>
        <w:t>H</w:t>
      </w:r>
      <w:r w:rsidR="006F3681">
        <w:rPr>
          <w:vertAlign w:val="subscript"/>
        </w:rPr>
        <w:t>9</w:t>
      </w:r>
      <w:r w:rsidR="00A00D98">
        <w:t xml:space="preserve"> und </w:t>
      </w:r>
      <w:r w:rsidR="00A00D98">
        <w:rPr>
          <w:i/>
          <w:iCs/>
        </w:rPr>
        <w:t>H</w:t>
      </w:r>
      <w:r w:rsidR="006F3681">
        <w:rPr>
          <w:vertAlign w:val="subscript"/>
        </w:rPr>
        <w:t>10</w:t>
      </w:r>
      <w:r w:rsidR="00895219">
        <w:t>,</w:t>
      </w:r>
      <w:r w:rsidR="00A00D98">
        <w:t xml:space="preserve"> </w:t>
      </w:r>
      <w:r w:rsidR="00BE5F32">
        <w:t xml:space="preserve">eventuell </w:t>
      </w:r>
      <w:r w:rsidR="00A00D98">
        <w:t xml:space="preserve">auch </w:t>
      </w:r>
      <w:r w:rsidR="00A00D98">
        <w:rPr>
          <w:i/>
          <w:iCs/>
        </w:rPr>
        <w:t>H</w:t>
      </w:r>
      <w:r w:rsidR="006F3681">
        <w:rPr>
          <w:vertAlign w:val="subscript"/>
        </w:rPr>
        <w:t>7</w:t>
      </w:r>
      <w:r w:rsidR="00BE5F32">
        <w:t xml:space="preserve">, </w:t>
      </w:r>
      <w:r w:rsidR="00A00D98">
        <w:rPr>
          <w:i/>
          <w:iCs/>
        </w:rPr>
        <w:t>H</w:t>
      </w:r>
      <w:r w:rsidR="006F3681">
        <w:rPr>
          <w:vertAlign w:val="subscript"/>
        </w:rPr>
        <w:t>8</w:t>
      </w:r>
      <w:r w:rsidR="00BE5F32">
        <w:t xml:space="preserve"> und </w:t>
      </w:r>
      <w:r w:rsidR="00BE5F32">
        <w:rPr>
          <w:i/>
          <w:iCs/>
        </w:rPr>
        <w:t>H</w:t>
      </w:r>
      <w:r w:rsidR="007671FD">
        <w:rPr>
          <w:vertAlign w:val="subscript"/>
        </w:rPr>
        <w:t>11</w:t>
      </w:r>
      <w:r w:rsidR="00BE5F32">
        <w:t xml:space="preserve">, </w:t>
      </w:r>
      <w:r w:rsidR="00895219">
        <w:t xml:space="preserve">in denen </w:t>
      </w:r>
      <w:r w:rsidR="00A00D98">
        <w:t xml:space="preserve">nicht direkt auf die Kapelle Bezug genommen wird) stammt </w:t>
      </w:r>
      <w:r>
        <w:t xml:space="preserve">bei Frankl aus einer </w:t>
      </w:r>
      <w:r w:rsidR="00A00D98">
        <w:t>zuvor begonn</w:t>
      </w:r>
      <w:r w:rsidR="00A00D98">
        <w:t>e</w:t>
      </w:r>
      <w:r w:rsidR="00A00D98">
        <w:t>nen Stil</w:t>
      </w:r>
      <w:r w:rsidR="00895219">
        <w:t>interpretation dieser Kapelle</w:t>
      </w:r>
      <w:r w:rsidR="00A00D98">
        <w:t xml:space="preserve">, </w:t>
      </w:r>
      <w:r w:rsidR="006F3681">
        <w:t xml:space="preserve">die </w:t>
      </w:r>
      <w:r w:rsidR="00A00D98">
        <w:t>parallel zur I</w:t>
      </w:r>
      <w:r w:rsidR="00E37ED0">
        <w:t>nterpretation</w:t>
      </w:r>
      <w:r>
        <w:t xml:space="preserve"> </w:t>
      </w:r>
      <w:r w:rsidR="00A00D98">
        <w:t xml:space="preserve">der Ste-Chapelle fortgeführt wird. </w:t>
      </w:r>
      <w:r>
        <w:t>In der Stil</w:t>
      </w:r>
      <w:r w:rsidR="00E37ED0">
        <w:t>interpretation</w:t>
      </w:r>
      <w:r>
        <w:t xml:space="preserve"> der Ste-Chapelle werden </w:t>
      </w:r>
      <w:r w:rsidR="00730AA3">
        <w:t xml:space="preserve">die </w:t>
      </w:r>
      <w:r>
        <w:t xml:space="preserve">Ergebnisse </w:t>
      </w:r>
      <w:r w:rsidR="00730AA3">
        <w:t xml:space="preserve">dieser Interpretation </w:t>
      </w:r>
      <w:r w:rsidR="009B02C4">
        <w:t xml:space="preserve">als </w:t>
      </w:r>
      <w:r>
        <w:t>Hintergrundwissen</w:t>
      </w:r>
      <w:r w:rsidR="009B02C4">
        <w:t xml:space="preserve"> eingebracht</w:t>
      </w:r>
      <w:r w:rsidR="00F747A0">
        <w:t xml:space="preserve">. Dies führt dazu, dass die bei Frankl parallelen </w:t>
      </w:r>
      <w:r w:rsidR="00DB5E6E">
        <w:t xml:space="preserve">Interpretationsschritte </w:t>
      </w:r>
      <w:r w:rsidR="00F747A0">
        <w:t xml:space="preserve">zur Ste-Chapelle und zur Allerheiligenkapelle </w:t>
      </w:r>
      <w:r w:rsidR="00E7171E">
        <w:t xml:space="preserve">in unserer nachvollzogenen Interpretation </w:t>
      </w:r>
      <w:r w:rsidR="00F747A0">
        <w:t xml:space="preserve">nicht </w:t>
      </w:r>
      <w:r w:rsidR="003C0640">
        <w:t xml:space="preserve">formal </w:t>
      </w:r>
      <w:r w:rsidR="00F747A0">
        <w:t xml:space="preserve">parallel </w:t>
      </w:r>
      <w:r w:rsidR="00A03EAC">
        <w:t>sind</w:t>
      </w:r>
      <w:r w:rsidR="00F747A0">
        <w:t xml:space="preserve">. Dies ergibt sich aus </w:t>
      </w:r>
      <w:r w:rsidR="00E7171E">
        <w:t xml:space="preserve">der </w:t>
      </w:r>
      <w:r w:rsidR="00F747A0">
        <w:t>Darstellung</w:t>
      </w:r>
      <w:r w:rsidR="009B02C4">
        <w:t>sweise</w:t>
      </w:r>
      <w:r w:rsidR="00F747A0">
        <w:t xml:space="preserve">, die </w:t>
      </w:r>
      <w:r w:rsidR="009B02C4">
        <w:t xml:space="preserve">nur </w:t>
      </w:r>
      <w:r w:rsidR="00F747A0">
        <w:t>eine Stil</w:t>
      </w:r>
      <w:r w:rsidR="00E37ED0">
        <w:t>interpr</w:t>
      </w:r>
      <w:r w:rsidR="00E37ED0">
        <w:t>e</w:t>
      </w:r>
      <w:r w:rsidR="00E37ED0">
        <w:t>tation</w:t>
      </w:r>
      <w:r w:rsidR="00F747A0">
        <w:t xml:space="preserve"> </w:t>
      </w:r>
      <w:r w:rsidR="009B02C4">
        <w:t>umfasst</w:t>
      </w:r>
      <w:r w:rsidR="00F747A0">
        <w:t xml:space="preserve">, und ist implizit auch im gewählten Textausschnitt von Frankl enthalten, </w:t>
      </w:r>
      <w:r w:rsidR="009B02C4">
        <w:t xml:space="preserve">in dem </w:t>
      </w:r>
      <w:r w:rsidR="00F747A0">
        <w:t>die Ste-Chapelle in den Vordergrund rückt. Eine Darstellung als Verschränkung zweier Stil</w:t>
      </w:r>
      <w:r w:rsidR="00E37ED0">
        <w:t>interpretationen</w:t>
      </w:r>
      <w:r w:rsidR="00F747A0">
        <w:t xml:space="preserve"> </w:t>
      </w:r>
      <w:r w:rsidR="00931ED6">
        <w:t xml:space="preserve">wäre ebenfalls </w:t>
      </w:r>
      <w:r w:rsidR="00F747A0">
        <w:t xml:space="preserve">möglich, </w:t>
      </w:r>
      <w:r w:rsidR="009B02C4">
        <w:t xml:space="preserve">wobei </w:t>
      </w:r>
      <w:r w:rsidR="00F747A0">
        <w:t>die Ergebnisse der beiden Stil</w:t>
      </w:r>
      <w:r w:rsidR="009255B3">
        <w:t>interpretationen</w:t>
      </w:r>
      <w:r w:rsidR="00F747A0">
        <w:t xml:space="preserve"> </w:t>
      </w:r>
      <w:r w:rsidR="00931ED6">
        <w:t>unterschieden werden müssen</w:t>
      </w:r>
      <w:r w:rsidR="00C32146">
        <w:t xml:space="preserve"> (</w:t>
      </w:r>
      <w:r w:rsidR="00EC0930">
        <w:t>etwa</w:t>
      </w:r>
      <w:r w:rsidR="00C32146">
        <w:t xml:space="preserve"> durch ein Superskript: </w:t>
      </w:r>
      <m:oMath>
        <m:sSubSup>
          <m:sSubSupPr>
            <m:ctrlPr>
              <w:rPr>
                <w:rFonts w:ascii="Cambria Math" w:hAnsi="Cambria Math" w:cs="Times New Roman"/>
                <w:i/>
              </w:rPr>
            </m:ctrlPr>
          </m:sSubSupPr>
          <m:e>
            <m:r>
              <m:rPr>
                <m:nor/>
              </m:rPr>
              <w:rPr>
                <w:rFonts w:cs="Times New Roman"/>
                <w:i/>
              </w:rPr>
              <m:t>Er</m:t>
            </m:r>
          </m:e>
          <m:sub>
            <m:r>
              <m:rPr>
                <m:nor/>
              </m:rPr>
              <w:rPr>
                <w:rFonts w:cs="Times New Roman"/>
              </w:rPr>
              <m:t>1</m:t>
            </m:r>
          </m:sub>
          <m:sup>
            <m:r>
              <m:rPr>
                <m:nor/>
              </m:rPr>
              <w:rPr>
                <w:rFonts w:cs="Times New Roman"/>
                <w:i/>
              </w:rPr>
              <m:t>A</m:t>
            </m:r>
          </m:sup>
        </m:sSubSup>
      </m:oMath>
      <w:r w:rsidR="00C32146">
        <w:t xml:space="preserve">, …, </w:t>
      </w:r>
      <m:oMath>
        <m:sSubSup>
          <m:sSubSupPr>
            <m:ctrlPr>
              <w:rPr>
                <w:rFonts w:ascii="Cambria Math" w:hAnsi="Cambria Math" w:cs="Times New Roman"/>
                <w:i/>
              </w:rPr>
            </m:ctrlPr>
          </m:sSubSupPr>
          <m:e>
            <m:r>
              <m:rPr>
                <m:nor/>
              </m:rPr>
              <w:rPr>
                <w:rFonts w:cs="Times New Roman"/>
                <w:i/>
              </w:rPr>
              <m:t>Er</m:t>
            </m:r>
          </m:e>
          <m:sub>
            <m:r>
              <m:rPr>
                <m:nor/>
              </m:rPr>
              <w:rPr>
                <w:rFonts w:cs="Times New Roman"/>
              </w:rPr>
              <m:t>1</m:t>
            </m:r>
          </m:sub>
          <m:sup>
            <m:r>
              <m:rPr>
                <m:nor/>
              </m:rPr>
              <w:rPr>
                <w:rFonts w:cs="Times New Roman"/>
                <w:i/>
              </w:rPr>
              <m:t>B</m:t>
            </m:r>
          </m:sup>
        </m:sSubSup>
      </m:oMath>
      <w:r w:rsidR="00C32146">
        <w:t>, …).</w:t>
      </w:r>
    </w:p>
    <w:p w:rsidR="002D3B78" w:rsidRDefault="00886E52">
      <w:pPr>
        <w:pStyle w:val="Text"/>
      </w:pPr>
      <w:r>
        <w:t>(2)</w:t>
      </w:r>
      <w:r>
        <w:tab/>
      </w:r>
      <w:r w:rsidR="002D3B78">
        <w:t xml:space="preserve">Bei diesem Beispiel fällt auf, dass Frankl sich häufig auf die </w:t>
      </w:r>
      <w:r w:rsidR="002409A0">
        <w:t>Eindruck</w:t>
      </w:r>
      <w:r w:rsidR="002409A0">
        <w:t>s</w:t>
      </w:r>
      <w:r w:rsidR="002409A0">
        <w:t xml:space="preserve">reaktion </w:t>
      </w:r>
      <w:r w:rsidR="002D3B78">
        <w:t xml:space="preserve">stützt. Diese kann </w:t>
      </w:r>
      <w:r w:rsidR="00156DEE">
        <w:t>sicherlich sehr frei verwendet werden, da nicht präz</w:t>
      </w:r>
      <w:r w:rsidR="00156DEE">
        <w:t>i</w:t>
      </w:r>
      <w:r w:rsidR="00156DEE">
        <w:t xml:space="preserve">se zu klären ist, welche Eindrücke gerechtfertigt sind und welche nicht. </w:t>
      </w:r>
      <w:r w:rsidR="002374B3">
        <w:t>Alle</w:t>
      </w:r>
      <w:r w:rsidR="002374B3">
        <w:t>r</w:t>
      </w:r>
      <w:r w:rsidR="002374B3">
        <w:t>dings heißt dies keineswegs, dass Frankls Interpretation völlig willkürlich vo</w:t>
      </w:r>
      <w:r w:rsidR="002374B3">
        <w:t>r</w:t>
      </w:r>
      <w:r w:rsidR="002374B3">
        <w:t xml:space="preserve">geht und aus analytischem Blickwinkel beliebig ist. </w:t>
      </w:r>
      <w:r w:rsidR="00156DEE">
        <w:t>Die Anwendungen der Ein</w:t>
      </w:r>
      <w:r w:rsidR="002409A0">
        <w:t>drucksreaktion</w:t>
      </w:r>
      <w:r w:rsidR="00156DEE">
        <w:t xml:space="preserve"> können nämlich in dieser Interpretation gut überprüft we</w:t>
      </w:r>
      <w:r w:rsidR="00156DEE">
        <w:t>r</w:t>
      </w:r>
      <w:r w:rsidR="00156DEE">
        <w:t xml:space="preserve">den, da </w:t>
      </w:r>
      <w:r w:rsidR="00122320">
        <w:t xml:space="preserve">sie relativ genau im Text angegeben und damit nachvollziehbar gemacht werden. </w:t>
      </w:r>
      <w:r w:rsidR="00F34790">
        <w:t>Sofern man die Ste-Chapelle kennt oder Bilder</w:t>
      </w:r>
      <w:r w:rsidR="005D7996">
        <w:fldChar w:fldCharType="begin"/>
      </w:r>
      <w:r w:rsidR="00226CC3">
        <w:instrText xml:space="preserve"> XE "</w:instrText>
      </w:r>
      <w:r w:rsidR="00226CC3" w:rsidRPr="00185D08">
        <w:instrText>Bilder</w:instrText>
      </w:r>
      <w:r w:rsidR="00226CC3">
        <w:instrText xml:space="preserve">" </w:instrText>
      </w:r>
      <w:r w:rsidR="005D7996">
        <w:fldChar w:fldCharType="end"/>
      </w:r>
      <w:r w:rsidR="00F34790">
        <w:t xml:space="preserve"> zur Verfügung hat, kann man sich beim Lesen </w:t>
      </w:r>
      <w:r w:rsidR="00122320">
        <w:t xml:space="preserve">überlegen, ob der Eindruck </w:t>
      </w:r>
      <w:r w:rsidR="008C6833">
        <w:t>‚</w:t>
      </w:r>
      <w:r w:rsidR="00122320">
        <w:t>nach außen gerich</w:t>
      </w:r>
      <w:r w:rsidR="00134BAE">
        <w:t>t</w:t>
      </w:r>
      <w:r w:rsidR="00122320">
        <w:t>et</w:t>
      </w:r>
      <w:r w:rsidR="008C6833">
        <w:t>‘</w:t>
      </w:r>
      <w:r w:rsidR="00122320">
        <w:t xml:space="preserve"> für die Stichkappen </w:t>
      </w:r>
      <w:r w:rsidR="000568BA">
        <w:t xml:space="preserve">über der Apsis nachvollziehbar ist oder nicht. Dasselbe gilt für den Eindruck </w:t>
      </w:r>
      <w:r w:rsidR="008C6833">
        <w:t>‚</w:t>
      </w:r>
      <w:r w:rsidR="000568BA">
        <w:t>nach innen konzentriert</w:t>
      </w:r>
      <w:r w:rsidR="008C6833">
        <w:t>‘</w:t>
      </w:r>
      <w:r w:rsidR="000568BA">
        <w:t xml:space="preserve"> für das Viertelkugelgewölbe über der rom</w:t>
      </w:r>
      <w:r w:rsidR="000568BA">
        <w:t>a</w:t>
      </w:r>
      <w:r w:rsidR="000568BA">
        <w:t xml:space="preserve">nischen Apsis. </w:t>
      </w:r>
      <w:r w:rsidR="00C478EC">
        <w:t>Eindrücke können</w:t>
      </w:r>
      <w:r w:rsidR="00DF1392">
        <w:t xml:space="preserve"> nicht objektiv</w:t>
      </w:r>
      <w:r w:rsidR="00C478EC">
        <w:t xml:space="preserve"> sein</w:t>
      </w:r>
      <w:r w:rsidR="00DF1392">
        <w:t>, weil sie auf Wahrnehmu</w:t>
      </w:r>
      <w:r w:rsidR="00DF1392">
        <w:t>n</w:t>
      </w:r>
      <w:r w:rsidR="00DF1392">
        <w:t>gen, Empfindungen,</w:t>
      </w:r>
      <w:r w:rsidR="00C478EC">
        <w:t xml:space="preserve"> früheren Erfahrungen und </w:t>
      </w:r>
      <w:r w:rsidR="00DF1392">
        <w:t>Wertungen des jeweiligen B</w:t>
      </w:r>
      <w:r w:rsidR="00DF1392">
        <w:t>e</w:t>
      </w:r>
      <w:r w:rsidR="00DF1392">
        <w:t>trachters beruhen.</w:t>
      </w:r>
    </w:p>
    <w:p w:rsidR="002B6BE4" w:rsidRDefault="00596290" w:rsidP="00A76662">
      <w:pPr>
        <w:pStyle w:val="Text"/>
      </w:pPr>
      <w:r>
        <w:t>(3)</w:t>
      </w:r>
      <w:r>
        <w:tab/>
        <w:t>Stilinterpretationen wie die obige sind selten geworden; kaum jemand macht sich mehr die Mühe, so gen</w:t>
      </w:r>
      <w:r w:rsidR="008C6833">
        <w:t>au hinzuschauen und einem Stil gewisserm</w:t>
      </w:r>
      <w:r w:rsidR="008C6833">
        <w:t>a</w:t>
      </w:r>
      <w:r w:rsidR="008C6833">
        <w:t xml:space="preserve">ßen </w:t>
      </w:r>
      <w:r>
        <w:t>auf den Zahn zu fühlen, wie Frankl es tat. Das dürfte damit zusammenhä</w:t>
      </w:r>
      <w:r>
        <w:t>n</w:t>
      </w:r>
      <w:r>
        <w:t xml:space="preserve">gen, dass Stilinterpretationen </w:t>
      </w:r>
      <w:r w:rsidR="00A76662">
        <w:t xml:space="preserve">gerade dann, wenn sie sich auf Eindrücke und durch den Stil erzeugte Gefühle stützen, </w:t>
      </w:r>
      <w:r>
        <w:t xml:space="preserve">subjektiv sind: </w:t>
      </w:r>
      <w:r w:rsidR="00A76662">
        <w:t xml:space="preserve">Egal wie viele Menschen man den Stil der </w:t>
      </w:r>
      <w:r>
        <w:t xml:space="preserve">Ste-Chapelle interpretieren ließe, </w:t>
      </w:r>
      <w:r w:rsidR="00A76662">
        <w:t xml:space="preserve">man </w:t>
      </w:r>
      <w:r>
        <w:t xml:space="preserve">würde wohl </w:t>
      </w:r>
      <w:r w:rsidR="00A76662">
        <w:t>k</w:t>
      </w:r>
      <w:r>
        <w:t xml:space="preserve">ein zweites Mal </w:t>
      </w:r>
      <w:r w:rsidR="00A76662">
        <w:t xml:space="preserve">dieselbe </w:t>
      </w:r>
      <w:r>
        <w:t xml:space="preserve">Stilinterpretation </w:t>
      </w:r>
      <w:r w:rsidR="00A76662">
        <w:t>erhalten</w:t>
      </w:r>
      <w:r>
        <w:t xml:space="preserve">. Daher sind Stilinterpretationen in den Ruch der Beliebigkeit geraten. Wenn </w:t>
      </w:r>
      <w:r w:rsidR="00A76662">
        <w:t xml:space="preserve">sowieso </w:t>
      </w:r>
      <w:r>
        <w:t xml:space="preserve">jeder etwas anderes aus einem Stil herausholt, wozu dann überhaupt untersuchen, </w:t>
      </w:r>
      <w:r w:rsidR="00A76662">
        <w:t xml:space="preserve">was da </w:t>
      </w:r>
      <w:r>
        <w:t>geschieht?</w:t>
      </w:r>
    </w:p>
    <w:p w:rsidR="00D2554C" w:rsidRDefault="002B6BE4">
      <w:pPr>
        <w:pStyle w:val="Text"/>
      </w:pPr>
      <w:r>
        <w:t xml:space="preserve">Doch </w:t>
      </w:r>
      <w:r w:rsidR="00596290">
        <w:t>Subjektivität ist nicht gleich Beliebigkeit. Dass das Viertelkugelg</w:t>
      </w:r>
      <w:r w:rsidR="00596290">
        <w:t>e</w:t>
      </w:r>
      <w:r w:rsidR="00596290">
        <w:t xml:space="preserve">wölbe der romanischen Apsis der Regensburger Allerheiligenkapelle </w:t>
      </w:r>
      <w:r w:rsidR="00A76662">
        <w:t xml:space="preserve">den Raum </w:t>
      </w:r>
      <w:r w:rsidR="00596290">
        <w:t xml:space="preserve">nach innen konzentriert, während die Stichkappen der spätgotischen Apsis der </w:t>
      </w:r>
      <w:r w:rsidR="00596290">
        <w:lastRenderedPageBreak/>
        <w:t xml:space="preserve">Ste-Chapelle </w:t>
      </w:r>
      <w:r w:rsidR="00A76662">
        <w:t>ihn nach außen öffne</w:t>
      </w:r>
      <w:r w:rsidR="003F38C4">
        <w:t>n</w:t>
      </w:r>
      <w:r w:rsidR="00596290">
        <w:t xml:space="preserve">, darauf kommt </w:t>
      </w:r>
      <w:r w:rsidR="003F38C4">
        <w:t xml:space="preserve">Frankl vielleicht </w:t>
      </w:r>
      <w:r w:rsidR="00596290">
        <w:t xml:space="preserve">nur, </w:t>
      </w:r>
      <w:r w:rsidR="003F38C4">
        <w:t xml:space="preserve">weil er </w:t>
      </w:r>
      <w:r w:rsidR="00596290">
        <w:t>der Romanik und der Gotik die Gegensatzpaare „geschlossen – offen“, „Totalität – Partialität“ und „Sein – Werden“ zuordne</w:t>
      </w:r>
      <w:r w:rsidR="003F38C4">
        <w:t>t</w:t>
      </w:r>
      <w:r w:rsidR="00596290">
        <w:t>. Dennoch kann man diesen Ei</w:t>
      </w:r>
      <w:r w:rsidR="00596290">
        <w:t>n</w:t>
      </w:r>
      <w:r w:rsidR="00596290">
        <w:t xml:space="preserve">druck nachvollziehen, während der umgekehrte Eindruck unmöglich erscheint: Das Viertelkugelgewölbe kann nicht </w:t>
      </w:r>
      <w:r w:rsidR="007671FD">
        <w:t xml:space="preserve">als </w:t>
      </w:r>
      <w:r w:rsidR="00596290">
        <w:t>nach außen</w:t>
      </w:r>
      <w:r w:rsidR="003F38C4">
        <w:t xml:space="preserve"> gerichtet</w:t>
      </w:r>
      <w:r w:rsidR="00596290">
        <w:t xml:space="preserve">, </w:t>
      </w:r>
      <w:r w:rsidR="00A76662">
        <w:t xml:space="preserve">die Stichkappen </w:t>
      </w:r>
      <w:r w:rsidR="003F38C4">
        <w:t xml:space="preserve">können nicht als nach innen konzentriert </w:t>
      </w:r>
      <w:r w:rsidR="00A76662">
        <w:t>interpretiert werden.</w:t>
      </w:r>
      <w:bookmarkEnd w:id="371"/>
    </w:p>
    <w:p w:rsidR="004528D8" w:rsidRDefault="004528D8" w:rsidP="004528D8">
      <w:pPr>
        <w:pStyle w:val="Titel3"/>
      </w:pPr>
      <w:bookmarkStart w:id="374" w:name="_Ref258413167"/>
      <w:bookmarkStart w:id="375" w:name="_Ref261636855"/>
      <w:bookmarkStart w:id="376" w:name="_Toc325456791"/>
      <w:bookmarkStart w:id="377" w:name="Spielstil"/>
      <w:r>
        <w:t>Relationen zwischen Merkmalsregeln</w:t>
      </w:r>
      <w:bookmarkEnd w:id="374"/>
      <w:r>
        <w:t xml:space="preserve"> (</w:t>
      </w:r>
      <w:r w:rsidR="00E43FCC">
        <w:t xml:space="preserve">bei </w:t>
      </w:r>
      <w:r>
        <w:t>Spiel</w:t>
      </w:r>
      <w:r w:rsidR="00FE4407">
        <w:t>stile</w:t>
      </w:r>
      <w:r w:rsidR="00E43FCC">
        <w:t>n</w:t>
      </w:r>
      <w:r>
        <w:t>)</w:t>
      </w:r>
      <w:bookmarkEnd w:id="375"/>
      <w:bookmarkEnd w:id="376"/>
    </w:p>
    <w:p w:rsidR="004528D8" w:rsidRPr="001F0ED9" w:rsidRDefault="005D7996" w:rsidP="00DF35E4">
      <w:pPr>
        <w:pStyle w:val="Text"/>
        <w:ind w:firstLine="0"/>
        <w:rPr>
          <w:szCs w:val="20"/>
        </w:rPr>
      </w:pPr>
      <w:r>
        <w:fldChar w:fldCharType="begin"/>
      </w:r>
      <w:r w:rsidR="009866A8">
        <w:instrText xml:space="preserve"> XE "Spielstil" \r "Spielstil" </w:instrText>
      </w:r>
      <w:r>
        <w:fldChar w:fldCharType="end"/>
      </w:r>
      <w:r>
        <w:fldChar w:fldCharType="begin"/>
      </w:r>
      <w:r w:rsidR="00E019D8">
        <w:instrText xml:space="preserve"> XE "Strategie (Spiel)" \r "Spielstil" </w:instrText>
      </w:r>
      <w:r>
        <w:fldChar w:fldCharType="end"/>
      </w:r>
      <w:r>
        <w:fldChar w:fldCharType="begin"/>
      </w:r>
      <w:r w:rsidR="009866A8">
        <w:instrText xml:space="preserve"> XE "Relationen zwischen Merkmalsregeln" \r "Spielstil" </w:instrText>
      </w:r>
      <w:r>
        <w:fldChar w:fldCharType="end"/>
      </w:r>
      <w:r>
        <w:fldChar w:fldCharType="begin"/>
      </w:r>
      <w:r w:rsidR="00067D9E">
        <w:instrText xml:space="preserve"> XE "Verhaltensstil (Beispiele)" \r "Spielstil" </w:instrText>
      </w:r>
      <w:r>
        <w:fldChar w:fldCharType="end"/>
      </w:r>
      <w:r w:rsidR="004528D8" w:rsidRPr="00A119E7">
        <w:t xml:space="preserve">Im letzten Beispiel wurde eine </w:t>
      </w:r>
      <w:r w:rsidR="004528D8">
        <w:t xml:space="preserve">allgemeine Interpretation eines Stils vorgestellt. In diesem </w:t>
      </w:r>
      <w:r w:rsidR="00E43FCC">
        <w:t xml:space="preserve">Abschnitt </w:t>
      </w:r>
      <w:r w:rsidR="004528D8">
        <w:t xml:space="preserve">soll es dagegen um eine </w:t>
      </w:r>
      <w:r w:rsidR="00E43FCC">
        <w:t xml:space="preserve">spezielle </w:t>
      </w:r>
      <w:r w:rsidR="004528D8">
        <w:t>technische Frage gehen, nämlich darum, wie aus einfachen Relationen zwischen Merkmalsregeln Erge</w:t>
      </w:r>
      <w:r w:rsidR="004528D8">
        <w:t>b</w:t>
      </w:r>
      <w:r w:rsidR="004528D8">
        <w:t>nisse erzeugt werden können. Dies wird anhand der Relationen Gegensätzlic</w:t>
      </w:r>
      <w:r w:rsidR="004528D8">
        <w:t>h</w:t>
      </w:r>
      <w:r w:rsidR="004528D8">
        <w:t xml:space="preserve">keit, Gleichheit und Ähnlichkeit ausprobiert, die zwischen Eigenschaften aus den Anwendungsbedingungen sowie zwischen Eigenschaften aus den verlangten Eigenschaften gelten. Ausgehend von zwei Merkmalsregeln, deren </w:t>
      </w:r>
      <w:r w:rsidR="004528D8" w:rsidRPr="00CF4A5E">
        <w:rPr>
          <w:i/>
        </w:rPr>
        <w:t>U</w:t>
      </w:r>
      <w:r w:rsidR="004528D8">
        <w:t xml:space="preserve"> und </w:t>
      </w:r>
      <w:r w:rsidR="004528D8" w:rsidRPr="00CF4A5E">
        <w:rPr>
          <w:i/>
        </w:rPr>
        <w:t>V</w:t>
      </w:r>
      <w:r w:rsidR="004528D8">
        <w:t xml:space="preserve"> im Gegensatz zueinander stehen, werden verschiedene Varianten konstruiert und einige sich ergebende Interpretationsmöglichkeiten dargestellt.</w:t>
      </w:r>
      <w:r w:rsidR="00E43FCC">
        <w:t xml:space="preserve"> Als Beispiel di</w:t>
      </w:r>
      <w:r w:rsidR="00E43FCC">
        <w:t>e</w:t>
      </w:r>
      <w:r w:rsidR="00E43FCC">
        <w:t>nen Stile bei kompetitiven Spielen.</w:t>
      </w:r>
    </w:p>
    <w:p w:rsidR="004528D8" w:rsidRPr="003350A1" w:rsidRDefault="009413B5" w:rsidP="009413B5">
      <w:pPr>
        <w:pStyle w:val="Interpretation1Zeile"/>
        <w:keepNext/>
      </w:pPr>
      <w:r>
        <w:t>[</w:t>
      </w:r>
      <w:r w:rsidR="004528D8">
        <w:t xml:space="preserve">Variante </w:t>
      </w:r>
      <w:r w:rsidR="004528D8" w:rsidRPr="003350A1">
        <w:t>1:</w:t>
      </w:r>
      <w:r>
        <w:t>]</w:t>
      </w:r>
    </w:p>
    <w:p w:rsidR="004528D8" w:rsidRDefault="004528D8" w:rsidP="00057E07">
      <w:pPr>
        <w:pStyle w:val="Interpretation"/>
      </w:pPr>
      <w:r>
        <w:t>Verhaltensschema ‚kompetitives Spiel‘</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‚aggressiv‘</w:t>
      </w:r>
    </w:p>
    <w:p w:rsidR="004528D8" w:rsidRDefault="004528D8" w:rsidP="00057E07">
      <w:pPr>
        <w:pStyle w:val="Interpretation"/>
      </w:pPr>
      <w:r>
        <w:rPr>
          <w:i/>
        </w:rPr>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‚defensiv‘</w:t>
      </w:r>
    </w:p>
    <w:p w:rsidR="004528D8" w:rsidRDefault="004528D8" w:rsidP="00057E07">
      <w:pPr>
        <w:pStyle w:val="Interpretation"/>
      </w:pPr>
      <w:r>
        <w:rPr>
          <w:i/>
        </w:rPr>
        <w:t>H</w:t>
      </w:r>
      <w:r>
        <w:rPr>
          <w:vertAlign w:val="subscript"/>
        </w:rPr>
        <w:t>1</w:t>
      </w:r>
      <w:r w:rsidR="00BA5E5B">
        <w:t xml:space="preserve"> [zum Schema]: </w:t>
      </w:r>
      <w:r>
        <w:t xml:space="preserve">‚Wenn sich ein Kontrahent in einem </w:t>
      </w:r>
      <w:r w:rsidR="00BA5E5B">
        <w:t xml:space="preserve">kompetitiven </w:t>
      </w:r>
      <w:r>
        <w:t>Spiel im Vorteil befindet, ist seine Stimmung tendenziell zuversichtlich; wenn er sich im Nachteil befindet, ist seine Stimmung tendenziell verunsichert‘</w:t>
      </w:r>
    </w:p>
    <w:p w:rsidR="004528D8" w:rsidRDefault="004528D8" w:rsidP="00057E07">
      <w:pPr>
        <w:pStyle w:val="Interpretation"/>
      </w:pPr>
      <w:r>
        <w:rPr>
          <w:i/>
        </w:rPr>
        <w:t>H</w:t>
      </w:r>
      <w:r>
        <w:rPr>
          <w:vertAlign w:val="subscript"/>
        </w:rPr>
        <w:t>2</w:t>
      </w:r>
      <w:r>
        <w:t>:</w:t>
      </w:r>
      <w:r>
        <w:tab/>
        <w:t>‚Wenn Menschen zuversichtlich sind, neigen sie eher zu aggressivem Ve</w:t>
      </w:r>
      <w:r>
        <w:t>r</w:t>
      </w:r>
      <w:r>
        <w:t>halten; wenn sie verunsichert sind, zu defensivem Verhalten‘</w:t>
      </w:r>
    </w:p>
    <w:p w:rsidR="004528D8" w:rsidRDefault="004528D8" w:rsidP="00057E07">
      <w:pPr>
        <w:pStyle w:val="Formel"/>
        <w:rPr>
          <w:vertAlign w:val="subscript"/>
        </w:rPr>
      </w:pPr>
      <w:r>
        <w:rPr>
          <w:i/>
          <w:iCs/>
        </w:rPr>
        <w:t>B</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r>
        <w:rPr>
          <w:vertAlign w:val="subscript"/>
        </w:rPr>
        <w:tab/>
      </w:r>
    </w:p>
    <w:p w:rsidR="004528D8" w:rsidRDefault="004528D8" w:rsidP="00057E07">
      <w:pPr>
        <w:pStyle w:val="Interpretation"/>
      </w:pPr>
      <w:r>
        <w:rPr>
          <w:i/>
        </w:rPr>
        <w:t>Er</w:t>
      </w:r>
      <w:r>
        <w:rPr>
          <w:vertAlign w:val="subscript"/>
        </w:rPr>
        <w:t>1</w:t>
      </w:r>
      <w:r>
        <w:t>:</w:t>
      </w:r>
      <w:r>
        <w:tab/>
        <w:t xml:space="preserve">‚Die Spielweise des </w:t>
      </w:r>
      <w:r w:rsidR="0085753F">
        <w:t xml:space="preserve">SN </w:t>
      </w:r>
      <w:r>
        <w:t>entspricht den durch Spielsituationen tendenziell hervorgerufenen Gefühlen‘</w:t>
      </w:r>
    </w:p>
    <w:p w:rsidR="004528D8" w:rsidRDefault="004528D8" w:rsidP="00057E07">
      <w:pPr>
        <w:pStyle w:val="Formel"/>
      </w:pPr>
      <w:r>
        <w:rPr>
          <w:i/>
          <w:iCs/>
        </w:rPr>
        <w:t>Er</w:t>
      </w:r>
      <w:r>
        <w:rPr>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2</w:t>
      </w:r>
    </w:p>
    <w:p w:rsidR="004528D8" w:rsidRDefault="004528D8" w:rsidP="00057E07">
      <w:pPr>
        <w:pStyle w:val="Interpretation"/>
      </w:pPr>
      <w:r>
        <w:rPr>
          <w:i/>
        </w:rPr>
        <w:t>Er</w:t>
      </w:r>
      <w:r>
        <w:rPr>
          <w:vertAlign w:val="subscript"/>
        </w:rPr>
        <w:t>2</w:t>
      </w:r>
      <w:r>
        <w:t xml:space="preserve">: ‚Die Veränderung der Spielweise des </w:t>
      </w:r>
      <w:r w:rsidR="0085753F">
        <w:t xml:space="preserve">SN </w:t>
      </w:r>
      <w:r>
        <w:t>wird durch die Gefühle hervorger</w:t>
      </w:r>
      <w:r>
        <w:t>u</w:t>
      </w:r>
      <w:r>
        <w:t xml:space="preserve">fen, die durch die Spielsituation im </w:t>
      </w:r>
      <w:r w:rsidR="0085753F">
        <w:t xml:space="preserve">SN </w:t>
      </w:r>
      <w:r>
        <w:t>entstehen‘</w:t>
      </w:r>
    </w:p>
    <w:p w:rsidR="004528D8" w:rsidRDefault="004528D8" w:rsidP="00057E07">
      <w:pPr>
        <w:pStyle w:val="Formel"/>
      </w:pPr>
      <w:r>
        <w:rPr>
          <w:i/>
          <w:iCs/>
        </w:rPr>
        <w:t>Er</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3</w:t>
      </w:r>
      <w:r>
        <w:t xml:space="preserve">, </w:t>
      </w:r>
      <w:r>
        <w:rPr>
          <w:i/>
          <w:iCs/>
        </w:rPr>
        <w:t>Er</w:t>
      </w:r>
      <w:r>
        <w:rPr>
          <w:vertAlign w:val="subscript"/>
        </w:rPr>
        <w:t>4</w:t>
      </w:r>
    </w:p>
    <w:p w:rsidR="004528D8" w:rsidRDefault="004528D8" w:rsidP="00057E07">
      <w:pPr>
        <w:pStyle w:val="Interpretation"/>
      </w:pPr>
      <w:r>
        <w:rPr>
          <w:i/>
        </w:rPr>
        <w:t>Er</w:t>
      </w:r>
      <w:r>
        <w:rPr>
          <w:vertAlign w:val="subscript"/>
        </w:rPr>
        <w:t>3</w:t>
      </w:r>
      <w:r>
        <w:t>: ‚</w:t>
      </w:r>
      <w:r w:rsidR="0085753F">
        <w:t xml:space="preserve">SN </w:t>
      </w:r>
      <w:r>
        <w:t>nutzt seine Gefühle und gewinnt dadurch Energie‘</w:t>
      </w:r>
    </w:p>
    <w:p w:rsidR="004528D8" w:rsidRDefault="004528D8" w:rsidP="00057E07">
      <w:pPr>
        <w:pStyle w:val="InterpretationletzteZeile"/>
      </w:pPr>
      <w:r>
        <w:rPr>
          <w:i/>
        </w:rPr>
        <w:lastRenderedPageBreak/>
        <w:t>Er</w:t>
      </w:r>
      <w:r>
        <w:rPr>
          <w:vertAlign w:val="subscript"/>
        </w:rPr>
        <w:t>4</w:t>
      </w:r>
      <w:r>
        <w:t>: ‚</w:t>
      </w:r>
      <w:r w:rsidR="0085753F">
        <w:t xml:space="preserve">SN </w:t>
      </w:r>
      <w:r>
        <w:t>lässt sich durch seine Gefühle beeinflussen, ist emotional instabil‘</w:t>
      </w:r>
    </w:p>
    <w:p w:rsidR="004528D8" w:rsidRDefault="004528D8" w:rsidP="00057E07">
      <w:pPr>
        <w:pStyle w:val="Text"/>
        <w:ind w:firstLine="0"/>
      </w:pPr>
      <w:r>
        <w:t>Selbst aus einem so einfachen Stil lässt sich also eine Reihe von Ergebnissen a</w:t>
      </w:r>
      <w:r>
        <w:t>b</w:t>
      </w:r>
      <w:r>
        <w:t>leiten. Die Entsprechung der Spielweise zu den durch die Spielsituation hervo</w:t>
      </w:r>
      <w:r>
        <w:t>r</w:t>
      </w:r>
      <w:r>
        <w:t>gerufenen Gefühlen kann festgestellt und daraus ein Kausalzusammenhang zw</w:t>
      </w:r>
      <w:r>
        <w:t>i</w:t>
      </w:r>
      <w:r>
        <w:t>schen Gefühlen und Spielweisen konstruiert werden. Dieser kann unterschie</w:t>
      </w:r>
      <w:r>
        <w:t>d</w:t>
      </w:r>
      <w:r>
        <w:t xml:space="preserve">lich gewertet werden; im obenstehenden Fall wird eine positive und eine negative Einschätzung erzeugt, ohne dass zwischen ihnen entschieden wird. </w:t>
      </w:r>
    </w:p>
    <w:p w:rsidR="004528D8" w:rsidRDefault="004528D8" w:rsidP="00057E07">
      <w:pPr>
        <w:pStyle w:val="Text"/>
        <w:spacing w:before="240"/>
        <w:ind w:firstLine="0"/>
      </w:pPr>
      <w:r>
        <w:t>Umgekehrt könnte der Spieler auch defensiv spielen, wenn er sich im Vorteil befindet, und aggressiv, wenn er sich im Nachteil befindet:</w:t>
      </w:r>
    </w:p>
    <w:p w:rsidR="004528D8" w:rsidRDefault="009413B5" w:rsidP="009413B5">
      <w:pPr>
        <w:pStyle w:val="Interpretation1Zeile"/>
        <w:keepNext/>
      </w:pPr>
      <w:r>
        <w:t>[</w:t>
      </w:r>
      <w:r w:rsidR="004528D8">
        <w:t>Variante 2</w:t>
      </w:r>
      <w:r w:rsidR="004528D8" w:rsidRPr="003350A1">
        <w:t>:</w:t>
      </w:r>
      <w:r>
        <w:t>]</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‚defensiv‘</w:t>
      </w:r>
    </w:p>
    <w:p w:rsidR="004528D8" w:rsidRDefault="004528D8" w:rsidP="00057E07">
      <w:pPr>
        <w:pStyle w:val="Interpretation"/>
      </w:pPr>
      <w:r>
        <w:rPr>
          <w:i/>
        </w:rPr>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‚aggressiv‘</w:t>
      </w:r>
    </w:p>
    <w:p w:rsidR="004528D8" w:rsidRPr="009413B5" w:rsidRDefault="004528D8" w:rsidP="00057E07">
      <w:pPr>
        <w:pStyle w:val="Interpretation"/>
      </w:pPr>
      <w:r>
        <w:rPr>
          <w:i/>
        </w:rPr>
        <w:t>H</w:t>
      </w:r>
      <w:r>
        <w:rPr>
          <w:vertAlign w:val="subscript"/>
        </w:rPr>
        <w:t>1</w:t>
      </w:r>
      <w:r>
        <w:t>,</w:t>
      </w:r>
      <w:r w:rsidRPr="0003707F">
        <w:rPr>
          <w:i/>
        </w:rPr>
        <w:t xml:space="preserve"> </w:t>
      </w:r>
      <w:r>
        <w:rPr>
          <w:i/>
        </w:rPr>
        <w:t>H</w:t>
      </w:r>
      <w:r>
        <w:rPr>
          <w:vertAlign w:val="subscript"/>
        </w:rPr>
        <w:t>2</w:t>
      </w:r>
      <w:r>
        <w:t xml:space="preserve">: [siehe </w:t>
      </w:r>
      <w:r w:rsidRPr="009413B5">
        <w:t>Variante 1]</w:t>
      </w:r>
    </w:p>
    <w:p w:rsidR="004528D8" w:rsidRDefault="004528D8" w:rsidP="00057E07">
      <w:pPr>
        <w:pStyle w:val="Formel"/>
        <w:rPr>
          <w:vertAlign w:val="subscript"/>
        </w:rPr>
      </w:pPr>
      <w:r>
        <w:rPr>
          <w:i/>
          <w:iCs/>
        </w:rPr>
        <w:t>B</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r>
        <w:rPr>
          <w:vertAlign w:val="subscript"/>
        </w:rPr>
        <w:tab/>
      </w:r>
    </w:p>
    <w:p w:rsidR="004528D8" w:rsidRDefault="004528D8" w:rsidP="00057E07">
      <w:pPr>
        <w:pStyle w:val="Interpretation"/>
      </w:pPr>
      <w:r>
        <w:rPr>
          <w:i/>
        </w:rPr>
        <w:t>Er</w:t>
      </w:r>
      <w:r>
        <w:rPr>
          <w:vertAlign w:val="subscript"/>
        </w:rPr>
        <w:t>1</w:t>
      </w:r>
      <w:r>
        <w:t>:</w:t>
      </w:r>
      <w:r>
        <w:tab/>
        <w:t xml:space="preserve">‚Die Spielweise des </w:t>
      </w:r>
      <w:r w:rsidR="0085753F">
        <w:t xml:space="preserve">SN </w:t>
      </w:r>
      <w:r>
        <w:t>widerspricht den durch die Spielsituation tendenziell hervorgerufenen Gefühlen‘</w:t>
      </w:r>
    </w:p>
    <w:p w:rsidR="004528D8" w:rsidRPr="006000D9" w:rsidRDefault="004528D8" w:rsidP="00057E07">
      <w:pPr>
        <w:pStyle w:val="Formel"/>
      </w:pPr>
      <w:r>
        <w:rPr>
          <w:i/>
          <w:iCs/>
        </w:rPr>
        <w:t>Er</w:t>
      </w:r>
      <w:r>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2</w:t>
      </w:r>
      <w:r>
        <w:t>,</w:t>
      </w:r>
      <w:r w:rsidRPr="00A628A2">
        <w:rPr>
          <w:i/>
          <w:iCs/>
        </w:rPr>
        <w:t xml:space="preserve"> </w:t>
      </w:r>
      <w:r>
        <w:rPr>
          <w:i/>
          <w:iCs/>
        </w:rPr>
        <w:t>Er</w:t>
      </w:r>
      <w:r>
        <w:rPr>
          <w:vertAlign w:val="subscript"/>
        </w:rPr>
        <w:t>3</w:t>
      </w:r>
    </w:p>
    <w:p w:rsidR="004528D8" w:rsidRDefault="004528D8" w:rsidP="00057E07">
      <w:pPr>
        <w:pStyle w:val="Interpretation"/>
      </w:pPr>
      <w:r>
        <w:rPr>
          <w:i/>
        </w:rPr>
        <w:t>Er</w:t>
      </w:r>
      <w:r>
        <w:rPr>
          <w:vertAlign w:val="subscript"/>
        </w:rPr>
        <w:t>2</w:t>
      </w:r>
      <w:r>
        <w:t>: ‚</w:t>
      </w:r>
      <w:r w:rsidR="0085753F">
        <w:t xml:space="preserve">SN </w:t>
      </w:r>
      <w:r>
        <w:t>wehrt sich gegen seine Gefühle und verliert dadurch Energie‘</w:t>
      </w:r>
    </w:p>
    <w:p w:rsidR="004528D8" w:rsidRDefault="004528D8" w:rsidP="00057E07">
      <w:pPr>
        <w:pStyle w:val="InterpretationletzteZeile"/>
        <w:rPr>
          <w:i/>
        </w:rPr>
      </w:pPr>
      <w:r>
        <w:rPr>
          <w:i/>
        </w:rPr>
        <w:t>Er</w:t>
      </w:r>
      <w:r>
        <w:rPr>
          <w:vertAlign w:val="subscript"/>
        </w:rPr>
        <w:t>3</w:t>
      </w:r>
      <w:r>
        <w:t>:</w:t>
      </w:r>
      <w:r>
        <w:tab/>
        <w:t>‚</w:t>
      </w:r>
      <w:r w:rsidR="0085753F">
        <w:t xml:space="preserve">SN </w:t>
      </w:r>
      <w:r>
        <w:t>steuert sein Verhalten rational, ist emotional stabil‘</w:t>
      </w:r>
    </w:p>
    <w:p w:rsidR="004528D8" w:rsidRDefault="004528D8" w:rsidP="00057E07">
      <w:pPr>
        <w:pStyle w:val="Text"/>
        <w:ind w:firstLine="0"/>
      </w:pPr>
      <w:r>
        <w:t>Allerdings lässt sich bei diesem Beispiel eine plausible Strategie finden, die die Merkmal</w:t>
      </w:r>
      <w:r w:rsidR="00B1304B">
        <w:t>sregeln</w:t>
      </w:r>
      <w:r>
        <w:t xml:space="preserve"> erklärt:</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4</w:t>
      </w:r>
    </w:p>
    <w:p w:rsidR="004528D8" w:rsidRDefault="004528D8" w:rsidP="00057E07">
      <w:pPr>
        <w:pStyle w:val="Interpretation"/>
      </w:pPr>
      <w:r>
        <w:rPr>
          <w:i/>
        </w:rPr>
        <w:t>Er</w:t>
      </w:r>
      <w:r>
        <w:rPr>
          <w:vertAlign w:val="subscript"/>
        </w:rPr>
        <w:t>4</w:t>
      </w:r>
      <w:r>
        <w:t>:</w:t>
      </w:r>
      <w:r>
        <w:tab/>
        <w:t>‚</w:t>
      </w:r>
      <w:r w:rsidR="0085753F">
        <w:t xml:space="preserve">SN </w:t>
      </w:r>
      <w:r>
        <w:t>sichert Vorteile ab und gleicht Nachteile aus‘</w:t>
      </w:r>
    </w:p>
    <w:p w:rsidR="004528D8" w:rsidRDefault="004528D8" w:rsidP="00057E07">
      <w:pPr>
        <w:pStyle w:val="Formel"/>
      </w:pPr>
      <w:r>
        <w:rPr>
          <w:i/>
          <w:iCs/>
        </w:rPr>
        <w:t>Er</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5</w:t>
      </w:r>
    </w:p>
    <w:p w:rsidR="004528D8" w:rsidRDefault="004528D8" w:rsidP="00057E07">
      <w:pPr>
        <w:pStyle w:val="InterpretationletzteZeile"/>
      </w:pPr>
      <w:r>
        <w:rPr>
          <w:i/>
        </w:rPr>
        <w:t>Er</w:t>
      </w:r>
      <w:r>
        <w:rPr>
          <w:vertAlign w:val="subscript"/>
        </w:rPr>
        <w:t>5</w:t>
      </w:r>
      <w:r>
        <w:t>:</w:t>
      </w:r>
      <w:r>
        <w:tab/>
        <w:t>‚</w:t>
      </w:r>
      <w:r w:rsidR="0085753F">
        <w:t xml:space="preserve">SN </w:t>
      </w:r>
      <w:r>
        <w:t>steuert sein Verhalten rational und handelt dabei gegen die durch die Spielsituation ausgelösten Gefühle, um Vorteile abzusichern und Nachteile au</w:t>
      </w:r>
      <w:r>
        <w:t>s</w:t>
      </w:r>
      <w:r>
        <w:t>zugleichen‘</w:t>
      </w:r>
    </w:p>
    <w:p w:rsidR="004528D8" w:rsidRDefault="004528D8" w:rsidP="00057E07">
      <w:pPr>
        <w:pStyle w:val="Text"/>
        <w:ind w:firstLine="0"/>
      </w:pPr>
      <w:r>
        <w:t>Wie beim ersten Stil kann auch hier der Umgang mit den sich aus der Situation ergebenden Stimmungen positiv oder negativ gedeutet werden (</w:t>
      </w:r>
      <w:r>
        <w:rPr>
          <w:i/>
          <w:iCs/>
        </w:rPr>
        <w:t>Er</w:t>
      </w:r>
      <w:r>
        <w:rPr>
          <w:vertAlign w:val="subscript"/>
        </w:rPr>
        <w:t>4</w:t>
      </w:r>
      <w:r>
        <w:t xml:space="preserve"> bzw. </w:t>
      </w:r>
      <w:r>
        <w:rPr>
          <w:i/>
          <w:iCs/>
        </w:rPr>
        <w:t>Er</w:t>
      </w:r>
      <w:r>
        <w:rPr>
          <w:vertAlign w:val="subscript"/>
        </w:rPr>
        <w:t>5</w:t>
      </w:r>
      <w:r>
        <w:t>); allerdings lässt sich eine plausible Strategie finden, die als Grund für die Mer</w:t>
      </w:r>
      <w:r>
        <w:t>k</w:t>
      </w:r>
      <w:r>
        <w:t>mal</w:t>
      </w:r>
      <w:r w:rsidR="00B1304B">
        <w:t>sregeln</w:t>
      </w:r>
      <w:r>
        <w:t xml:space="preserve"> angenommen werden kann.</w:t>
      </w:r>
    </w:p>
    <w:p w:rsidR="004528D8" w:rsidRDefault="004528D8" w:rsidP="004528D8">
      <w:pPr>
        <w:pStyle w:val="Text"/>
      </w:pPr>
      <w:r>
        <w:t xml:space="preserve">Bei den in </w:t>
      </w:r>
      <w:r w:rsidRPr="009413B5">
        <w:t>Variante 1 und Variante 2</w:t>
      </w:r>
      <w:r>
        <w:t xml:space="preserve"> betrachteten Stilen sind die beiden Merkmalsregeln doppelt gegensätzlich: Sowohl die Anwendungsbedingungen als </w:t>
      </w:r>
      <w:r>
        <w:lastRenderedPageBreak/>
        <w:t>auch die verlangten Eigenschaften stehen im Gegensatz zueinander. Die beiden Stile enthalten diese Gegensätze in umgekehrter Form, deshalb kann man auch sie als gegensätzlich betrachten.</w:t>
      </w:r>
    </w:p>
    <w:p w:rsidR="004528D8" w:rsidRDefault="009413B5" w:rsidP="009413B5">
      <w:pPr>
        <w:pStyle w:val="Interpretation1Zeile"/>
        <w:keepNext/>
      </w:pPr>
      <w:r>
        <w:t>[</w:t>
      </w:r>
      <w:r w:rsidR="004528D8">
        <w:t>Variante 3</w:t>
      </w:r>
      <w:r w:rsidR="004528D8" w:rsidRPr="003350A1">
        <w:t>:</w:t>
      </w:r>
      <w:r>
        <w:t>]</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w:t>
      </w:r>
      <w:r w:rsidR="006567E5">
        <w:t>v-rel</w:t>
      </w:r>
      <w:r>
        <w:t>] so defensiv wie möglich; nicht passiv‘</w:t>
      </w:r>
    </w:p>
    <w:p w:rsidR="004528D8" w:rsidRDefault="004528D8" w:rsidP="00057E07">
      <w:pPr>
        <w:pStyle w:val="Interpretation"/>
      </w:pPr>
      <w:r>
        <w:rPr>
          <w:i/>
        </w:rPr>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w:t>
      </w:r>
      <w:r w:rsidR="006567E5">
        <w:t>v-rel</w:t>
      </w:r>
      <w:r>
        <w:t>] so aggressiv wie möglich; nicht riskant‘</w:t>
      </w:r>
    </w:p>
    <w:p w:rsidR="004528D8" w:rsidRDefault="004528D8" w:rsidP="00057E07">
      <w:pPr>
        <w:pStyle w:val="Interpretation"/>
      </w:pPr>
      <w:r>
        <w:rPr>
          <w:i/>
        </w:rPr>
        <w:t>H</w:t>
      </w:r>
      <w:r>
        <w:rPr>
          <w:vertAlign w:val="subscript"/>
        </w:rPr>
        <w:t>1</w:t>
      </w:r>
      <w:r>
        <w:t>,</w:t>
      </w:r>
      <w:r w:rsidRPr="0003707F">
        <w:rPr>
          <w:i/>
        </w:rPr>
        <w:t xml:space="preserve"> </w:t>
      </w:r>
      <w:r>
        <w:rPr>
          <w:i/>
        </w:rPr>
        <w:t>H</w:t>
      </w:r>
      <w:r>
        <w:rPr>
          <w:vertAlign w:val="subscript"/>
        </w:rPr>
        <w:t>2</w:t>
      </w:r>
      <w:r>
        <w:t xml:space="preserve">: [siehe </w:t>
      </w:r>
      <w:r w:rsidRPr="009413B5">
        <w:t>Variante 1]</w:t>
      </w:r>
    </w:p>
    <w:p w:rsidR="004528D8" w:rsidRDefault="004528D8" w:rsidP="00057E07">
      <w:pPr>
        <w:pStyle w:val="Interpretation"/>
      </w:pPr>
      <w:r>
        <w:rPr>
          <w:i/>
        </w:rPr>
        <w:t>Er</w:t>
      </w:r>
      <w:r>
        <w:rPr>
          <w:vertAlign w:val="subscript"/>
        </w:rPr>
        <w:t>1</w:t>
      </w:r>
      <w:r>
        <w:t xml:space="preserve">, </w:t>
      </w:r>
      <w:r>
        <w:rPr>
          <w:i/>
        </w:rPr>
        <w:t>Er</w:t>
      </w:r>
      <w:r>
        <w:rPr>
          <w:vertAlign w:val="subscript"/>
        </w:rPr>
        <w:t>2</w:t>
      </w:r>
      <w:r>
        <w:t xml:space="preserve">: [siehe </w:t>
      </w:r>
      <w:r w:rsidRPr="009413B5">
        <w:t>Variante 2]</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F411E5">
        <w:rPr>
          <w:vertAlign w:val="subscript"/>
        </w:rPr>
        <w:t>Abd</w:t>
      </w:r>
      <w:r>
        <w:t xml:space="preserve">  </w:t>
      </w:r>
      <w:r>
        <w:rPr>
          <w:i/>
          <w:iCs/>
        </w:rPr>
        <w:t>Er</w:t>
      </w:r>
      <w:r>
        <w:rPr>
          <w:vertAlign w:val="subscript"/>
        </w:rPr>
        <w:t>3</w:t>
      </w:r>
    </w:p>
    <w:p w:rsidR="004528D8" w:rsidRDefault="004528D8" w:rsidP="00057E07">
      <w:pPr>
        <w:pStyle w:val="Interpretation"/>
      </w:pPr>
      <w:r>
        <w:rPr>
          <w:i/>
        </w:rPr>
        <w:t>Er</w:t>
      </w:r>
      <w:r>
        <w:rPr>
          <w:vertAlign w:val="subscript"/>
        </w:rPr>
        <w:t>3</w:t>
      </w:r>
      <w:r>
        <w:t>: ‚</w:t>
      </w:r>
      <w:r w:rsidR="0085753F">
        <w:t xml:space="preserve">SN </w:t>
      </w:r>
      <w:r>
        <w:t>sichert Vorteile so weit wie möglich ab, ohne passiv zu spielen, und gleicht Nachteile so entschieden wie möglich aus, ohne riskant zu spielen‘</w:t>
      </w:r>
    </w:p>
    <w:p w:rsidR="004528D8" w:rsidRDefault="004528D8" w:rsidP="00057E07">
      <w:pPr>
        <w:pStyle w:val="Formel"/>
      </w:pPr>
      <w:r>
        <w:rPr>
          <w:i/>
          <w:iCs/>
        </w:rPr>
        <w:t>Er</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3</w:t>
      </w:r>
      <w:r>
        <w:rPr>
          <w:rFonts w:cs="Times New Roman"/>
          <w:color w:val="000000" w:themeColor="text1"/>
        </w:rP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4</w:t>
      </w:r>
    </w:p>
    <w:p w:rsidR="004528D8" w:rsidRDefault="004528D8" w:rsidP="00F85179">
      <w:pPr>
        <w:pStyle w:val="InterpretationletzteZeile"/>
      </w:pPr>
      <w:r>
        <w:rPr>
          <w:i/>
        </w:rPr>
        <w:t>Er</w:t>
      </w:r>
      <w:r>
        <w:rPr>
          <w:vertAlign w:val="subscript"/>
        </w:rPr>
        <w:t>4</w:t>
      </w:r>
      <w:r>
        <w:t>:</w:t>
      </w:r>
      <w:r>
        <w:tab/>
        <w:t xml:space="preserve">‚Spielweise des </w:t>
      </w:r>
      <w:r w:rsidR="0085753F">
        <w:t xml:space="preserve">SN </w:t>
      </w:r>
      <w:r>
        <w:t>ist stark rational gesteuert‘</w:t>
      </w:r>
    </w:p>
    <w:p w:rsidR="004528D8" w:rsidRDefault="004528D8" w:rsidP="00F85179">
      <w:pPr>
        <w:pStyle w:val="Text"/>
        <w:ind w:firstLine="0"/>
      </w:pPr>
      <w:r>
        <w:t>In dieser Variante ist die Rationalität noch ausgeprägter: Hier wird nicht einfach „defensiv“ bzw. „aggressiv“ gespielt – womit eine Position eindeutig auf der e</w:t>
      </w:r>
      <w:r>
        <w:t>i</w:t>
      </w:r>
      <w:r>
        <w:t>nen Seite der Skala, aber nicht an deren äußerstem Ende bezeichnet ist –, so</w:t>
      </w:r>
      <w:r>
        <w:t>n</w:t>
      </w:r>
      <w:r>
        <w:t xml:space="preserve">dern es wird das defensivste bzw. aggressivste Element der </w:t>
      </w:r>
      <w:r w:rsidR="00721558">
        <w:t>Alter</w:t>
      </w:r>
      <w:r w:rsidR="00721558">
        <w:softHyphen/>
        <w:t>nativen</w:t>
      </w:r>
      <w:r w:rsidR="00721558">
        <w:softHyphen/>
        <w:t>klasse</w:t>
      </w:r>
      <w:r>
        <w:t xml:space="preserve"> gewählt, das gleichzeitig die Eigenschaft </w:t>
      </w:r>
      <w:r w:rsidR="00327520">
        <w:t>‚</w:t>
      </w:r>
      <w:r>
        <w:t>nicht passiv</w:t>
      </w:r>
      <w:r w:rsidR="00327520">
        <w:t>‘</w:t>
      </w:r>
      <w:r>
        <w:t xml:space="preserve"> bzw. die Eigenschaft </w:t>
      </w:r>
      <w:r w:rsidR="00327520">
        <w:t>‚</w:t>
      </w:r>
      <w:r>
        <w:t>nicht riskant</w:t>
      </w:r>
      <w:r w:rsidR="00327520">
        <w:t>‘</w:t>
      </w:r>
      <w:r>
        <w:t xml:space="preserve"> aufweist. Diese Merkmalsregeln sorgen also dafür, dass die Änd</w:t>
      </w:r>
      <w:r>
        <w:t>e</w:t>
      </w:r>
      <w:r>
        <w:t>rung der Spielweise so stark wie möglich umgesetzt wird, ohne dass es zu b</w:t>
      </w:r>
      <w:r>
        <w:t>e</w:t>
      </w:r>
      <w:r>
        <w:t>stimmten Nachteilen kommt, die darin bestehen, dass bei einem Vorteil die Spielweise passiv und bei einem Nachteil riskant werden kann.</w:t>
      </w:r>
    </w:p>
    <w:p w:rsidR="004528D8" w:rsidRDefault="009413B5" w:rsidP="009413B5">
      <w:pPr>
        <w:pStyle w:val="Interpretation1Zeile"/>
        <w:keepNext/>
      </w:pPr>
      <w:r>
        <w:t>[</w:t>
      </w:r>
      <w:r w:rsidR="004528D8">
        <w:t>Variante 4</w:t>
      </w:r>
      <w:r w:rsidR="004528D8" w:rsidRPr="003350A1">
        <w:t>:</w:t>
      </w:r>
      <w:r>
        <w:t>]</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w:t>
      </w:r>
      <w:r w:rsidR="006567E5">
        <w:t>h-rel</w:t>
      </w:r>
      <w:r>
        <w:t>] defensiver als beim letzten Zug‘</w:t>
      </w:r>
    </w:p>
    <w:p w:rsidR="004528D8" w:rsidRDefault="004528D8" w:rsidP="00057E07">
      <w:pPr>
        <w:pStyle w:val="Interpretation"/>
      </w:pPr>
      <w:r>
        <w:rPr>
          <w:i/>
        </w:rPr>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w:t>
      </w:r>
      <w:r w:rsidR="006567E5">
        <w:t>h-rel</w:t>
      </w:r>
      <w:r>
        <w:t>] aggressiver als beim letzten Zug‘</w:t>
      </w:r>
    </w:p>
    <w:p w:rsidR="004528D8" w:rsidRDefault="004528D8" w:rsidP="00057E07">
      <w:pPr>
        <w:pStyle w:val="Interpretation"/>
      </w:pPr>
      <w:r>
        <w:rPr>
          <w:i/>
        </w:rPr>
        <w:t>H</w:t>
      </w:r>
      <w:r>
        <w:rPr>
          <w:vertAlign w:val="subscript"/>
        </w:rPr>
        <w:t>1</w:t>
      </w:r>
      <w:r>
        <w:t>: ‚Wird bei Vorliegen eines bestimmten Zustands solange eine Regelgröße verändert, die Einfluss auf das Vorliegen des Zustands hat, bis sich der Zustand verändert, besteht eine überdurchschnittliche Wahrscheinlichkeit, dass sich der Zustand verändert‘</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1</w:t>
      </w:r>
    </w:p>
    <w:p w:rsidR="004528D8" w:rsidRDefault="004528D8" w:rsidP="00057E07">
      <w:pPr>
        <w:pStyle w:val="Interpretation"/>
      </w:pPr>
      <w:r>
        <w:rPr>
          <w:i/>
        </w:rPr>
        <w:t>Er</w:t>
      </w:r>
      <w:r>
        <w:rPr>
          <w:vertAlign w:val="subscript"/>
        </w:rPr>
        <w:t>1</w:t>
      </w:r>
      <w:r>
        <w:t xml:space="preserve">: ‚Es besteht eine überdurchschnittliche Wahrscheinlichkeit, dass durch </w:t>
      </w:r>
      <w:r>
        <w:rPr>
          <w:i/>
        </w:rPr>
        <w:t>B</w:t>
      </w:r>
      <w:r>
        <w:rPr>
          <w:vertAlign w:val="subscript"/>
        </w:rPr>
        <w:t>1</w:t>
      </w:r>
      <w:r>
        <w:t xml:space="preserve"> die vorteilige in eine nachteilige Spielsituation, sowie dass durch </w:t>
      </w:r>
      <w:r>
        <w:rPr>
          <w:i/>
        </w:rPr>
        <w:t>B</w:t>
      </w:r>
      <w:r>
        <w:rPr>
          <w:vertAlign w:val="subscript"/>
        </w:rPr>
        <w:t>2</w:t>
      </w:r>
      <w:r>
        <w:t xml:space="preserve"> die nachteilige in eine vorteilige Spielsituation verwandelt wird‘</w:t>
      </w:r>
    </w:p>
    <w:p w:rsidR="004528D8" w:rsidRDefault="004528D8" w:rsidP="00057E07">
      <w:pPr>
        <w:pStyle w:val="Interpretation"/>
      </w:pPr>
      <w:r>
        <w:rPr>
          <w:i/>
        </w:rPr>
        <w:lastRenderedPageBreak/>
        <w:t>H</w:t>
      </w:r>
      <w:r>
        <w:rPr>
          <w:vertAlign w:val="subscript"/>
        </w:rPr>
        <w:t>2</w:t>
      </w:r>
      <w:r w:rsidR="00BA5E5B">
        <w:t xml:space="preserve"> [zum Schema]:</w:t>
      </w:r>
      <w:r>
        <w:t xml:space="preserve"> ‚In einem kompetitiven Spiel geht es darum, zu gewinnen. Wenn sich ein Spieler in einer vorteiligen (nachteiligen) Spielsituation befindet, wird er/sie überdurchschnittlich (unterdurchschnittlich) wahrscheinlich gewi</w:t>
      </w:r>
      <w:r>
        <w:t>n</w:t>
      </w:r>
      <w:r>
        <w:t>nen‘</w:t>
      </w:r>
    </w:p>
    <w:p w:rsidR="004528D8" w:rsidRDefault="004528D8" w:rsidP="00057E07">
      <w:pPr>
        <w:pStyle w:val="Formel"/>
      </w:pPr>
      <w:r>
        <w:rPr>
          <w:i/>
          <w:iCs/>
        </w:rPr>
        <w:t>Er</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2</w:t>
      </w:r>
    </w:p>
    <w:p w:rsidR="004528D8" w:rsidRDefault="004528D8" w:rsidP="00057E07">
      <w:pPr>
        <w:pStyle w:val="InterpretationletzteZeile"/>
      </w:pPr>
      <w:r>
        <w:rPr>
          <w:i/>
        </w:rPr>
        <w:t>Er</w:t>
      </w:r>
      <w:r>
        <w:rPr>
          <w:vertAlign w:val="subscript"/>
        </w:rPr>
        <w:t>2</w:t>
      </w:r>
      <w:r>
        <w:t>: ‚</w:t>
      </w:r>
      <w:r>
        <w:rPr>
          <w:i/>
        </w:rPr>
        <w:t>B</w:t>
      </w:r>
      <w:r>
        <w:rPr>
          <w:vertAlign w:val="subscript"/>
        </w:rPr>
        <w:t>1</w:t>
      </w:r>
      <w:r>
        <w:t xml:space="preserve"> ist spielstrategisch nicht sinnvoll, </w:t>
      </w:r>
      <w:r>
        <w:rPr>
          <w:i/>
        </w:rPr>
        <w:t>B</w:t>
      </w:r>
      <w:r>
        <w:rPr>
          <w:vertAlign w:val="subscript"/>
        </w:rPr>
        <w:t>2</w:t>
      </w:r>
      <w:r>
        <w:t xml:space="preserve"> ist spielstrategisch sinnvoll‘</w:t>
      </w:r>
    </w:p>
    <w:p w:rsidR="004528D8" w:rsidRDefault="004528D8" w:rsidP="00057E07">
      <w:pPr>
        <w:pStyle w:val="Text"/>
        <w:ind w:firstLine="0"/>
      </w:pPr>
      <w:r>
        <w:t xml:space="preserve">In dieser Variante wird die Veränderung nicht durch die Angabe eines absoluten Werts, sondern relativ zur bisherigen Spielweise vollzogen. Dies erscheint bei </w:t>
      </w:r>
      <w:r>
        <w:rPr>
          <w:i/>
          <w:iCs/>
        </w:rPr>
        <w:t>B</w:t>
      </w:r>
      <w:r>
        <w:rPr>
          <w:vertAlign w:val="subscript"/>
        </w:rPr>
        <w:t>2</w:t>
      </w:r>
      <w:r>
        <w:t xml:space="preserve"> als sinnvoll, da die Veränderung dort ja dem Ausgleich des Nachteils dient und daher solange noch nicht ausreichend gewirkt hat, wie dieser noch besteht. Es scheint sogar sinnvoll zu sein, dass hier die Sicherheitsgrenze ‚nicht riskant‘ aus dem letzten Beispiel weggelassen wurde, da es bei länger fortbestehendem Nac</w:t>
      </w:r>
      <w:r>
        <w:t>h</w:t>
      </w:r>
      <w:r>
        <w:t xml:space="preserve">teil nötig sein kann, riskant zu spielen, um das Spiel nochmal zu drehen. Bei </w:t>
      </w:r>
      <w:r>
        <w:rPr>
          <w:i/>
          <w:iCs/>
        </w:rPr>
        <w:t>B</w:t>
      </w:r>
      <w:r>
        <w:rPr>
          <w:vertAlign w:val="subscript"/>
        </w:rPr>
        <w:t>1</w:t>
      </w:r>
      <w:r>
        <w:t xml:space="preserve"> dagegen erscheint die stete Verstärkung der Defensivität beim Fortbestehen des Vorteils als sinnlos und gefährlich, da ja gerade der Erhalt des Vorteils angestrebt wird. Die Gefährlichkeit vergrößert sich noch durch das Weglassen der Siche</w:t>
      </w:r>
      <w:r>
        <w:t>r</w:t>
      </w:r>
      <w:r>
        <w:t>heitsgrenze. Weit besser ist es hier, ein gewisses Maß an Defensivität zu wählen, das bei bestehendem Vorteil beibehalten wird. Um das richtige Maß zu treffen, kann auf die entsprechende Regel des letzten Beispiels zurückgegriffen und das defensivste Element gewählt werden, das noch nicht ‚passiv‘ ist:</w:t>
      </w:r>
    </w:p>
    <w:p w:rsidR="004528D8" w:rsidRPr="002B4662" w:rsidRDefault="009413B5" w:rsidP="009413B5">
      <w:pPr>
        <w:pStyle w:val="Interpretation1Zeile"/>
        <w:keepNext/>
        <w:rPr>
          <w:u w:val="single"/>
        </w:rPr>
      </w:pPr>
      <w:r>
        <w:t>[</w:t>
      </w:r>
      <w:r w:rsidR="004528D8">
        <w:t>Variante 5</w:t>
      </w:r>
      <w:r w:rsidR="004528D8" w:rsidRPr="003350A1">
        <w:t>:</w:t>
      </w:r>
      <w:r>
        <w:t>]</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w:t>
      </w:r>
      <w:r w:rsidR="006567E5">
        <w:t>v-rel</w:t>
      </w:r>
      <w:r>
        <w:t>] so defensiv wie möglich; nicht passiv‘</w:t>
      </w:r>
    </w:p>
    <w:p w:rsidR="004528D8" w:rsidRDefault="004528D8" w:rsidP="00057E07">
      <w:pPr>
        <w:pStyle w:val="Interpretation"/>
      </w:pPr>
      <w:r>
        <w:rPr>
          <w:i/>
        </w:rPr>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w:t>
      </w:r>
      <w:r w:rsidR="006567E5">
        <w:t>h-rel</w:t>
      </w:r>
      <w:r>
        <w:t>] aggressiver als beim letzten Zug‘</w:t>
      </w:r>
    </w:p>
    <w:p w:rsidR="004528D8" w:rsidRDefault="004528D8" w:rsidP="00057E07">
      <w:pPr>
        <w:pStyle w:val="Interpretation"/>
      </w:pPr>
      <w:r>
        <w:t>[durch entsprechende Anpassung der Interpretation aus Variante 4 ergibt sich:]</w:t>
      </w:r>
    </w:p>
    <w:p w:rsidR="004528D8" w:rsidRDefault="004528D8" w:rsidP="00057E07">
      <w:pPr>
        <w:pStyle w:val="InterpretationletzteZeile"/>
      </w:pPr>
      <w:r>
        <w:rPr>
          <w:i/>
        </w:rPr>
        <w:t>Er</w:t>
      </w:r>
      <w:r>
        <w:rPr>
          <w:vertAlign w:val="subscript"/>
        </w:rPr>
        <w:t>2</w:t>
      </w:r>
      <w:r>
        <w:t>: ‚</w:t>
      </w:r>
      <w:r>
        <w:rPr>
          <w:i/>
        </w:rPr>
        <w:t>B</w:t>
      </w:r>
      <w:r>
        <w:rPr>
          <w:vertAlign w:val="subscript"/>
        </w:rPr>
        <w:t>1</w:t>
      </w:r>
      <w:r>
        <w:t xml:space="preserve"> und </w:t>
      </w:r>
      <w:r>
        <w:rPr>
          <w:i/>
        </w:rPr>
        <w:t>B</w:t>
      </w:r>
      <w:r>
        <w:rPr>
          <w:vertAlign w:val="subscript"/>
        </w:rPr>
        <w:t>2</w:t>
      </w:r>
      <w:r>
        <w:t xml:space="preserve"> sind spielstrategisch sinnvoll‘</w:t>
      </w:r>
    </w:p>
    <w:p w:rsidR="004528D8" w:rsidRDefault="004528D8" w:rsidP="00057E07">
      <w:pPr>
        <w:pStyle w:val="Text"/>
        <w:ind w:firstLine="0"/>
      </w:pPr>
      <w:r>
        <w:t>Als weitere Variante ist ein Stil denkbar, der die gegensätzlichen Varianten 1 und 2 miteinander vereinigt: Der Spieler könnte über beide Verhaltensweisen verf</w:t>
      </w:r>
      <w:r>
        <w:t>ü</w:t>
      </w:r>
      <w:r>
        <w:t>gen und sie je nach Bedarf einsetzen. Er könnte, um einen einfachen Fall zu nehmen, Variante 1 spielen, wenn der Gegner unausgeglichen und unbereche</w:t>
      </w:r>
      <w:r>
        <w:t>n</w:t>
      </w:r>
      <w:r>
        <w:t>bar spielt, und Variante 2, wenn der Gegner ausgeglichen und berechenbar spielt:</w:t>
      </w:r>
    </w:p>
    <w:p w:rsidR="004528D8" w:rsidRDefault="009413B5" w:rsidP="00C50B6B">
      <w:pPr>
        <w:pStyle w:val="Interpretation1Zeile"/>
        <w:keepNext/>
      </w:pPr>
      <w:r>
        <w:t>[</w:t>
      </w:r>
      <w:r w:rsidR="004528D8">
        <w:t>Variante 6</w:t>
      </w:r>
      <w:r w:rsidR="004528D8" w:rsidRPr="003350A1">
        <w:t>:</w:t>
      </w:r>
      <w:r>
        <w:t>]</w:t>
      </w:r>
    </w:p>
    <w:p w:rsidR="004528D8" w:rsidRDefault="004528D8" w:rsidP="00057E07">
      <w:pPr>
        <w:pStyle w:val="Interpretation"/>
      </w:pPr>
      <w:r>
        <w:rPr>
          <w:i/>
        </w:rPr>
        <w:t>U</w:t>
      </w:r>
      <w:r w:rsidRPr="00060E80">
        <w:t>(</w:t>
      </w:r>
      <w:r>
        <w:rPr>
          <w:i/>
        </w:rPr>
        <w:t>B</w:t>
      </w:r>
      <w:r>
        <w:rPr>
          <w:vertAlign w:val="subscript"/>
        </w:rPr>
        <w:t>1</w:t>
      </w:r>
      <w:r>
        <w:t xml:space="preserve">): ‚im Vorteil (Gegner spielt unausgeglichen und unberechenbar)‘, </w:t>
      </w:r>
      <w:r>
        <w:rPr>
          <w:i/>
        </w:rPr>
        <w:t>V</w:t>
      </w:r>
      <w:r w:rsidRPr="00060E80">
        <w:t>(</w:t>
      </w:r>
      <w:r>
        <w:rPr>
          <w:i/>
        </w:rPr>
        <w:t>B</w:t>
      </w:r>
      <w:r>
        <w:rPr>
          <w:vertAlign w:val="subscript"/>
        </w:rPr>
        <w:t>3</w:t>
      </w:r>
      <w:r>
        <w:t>): ‚aggressiv‘</w:t>
      </w:r>
      <w:r w:rsidR="00C50B6B">
        <w:rPr>
          <w:rStyle w:val="Funotenzeichen"/>
        </w:rPr>
        <w:footnoteReference w:id="473"/>
      </w:r>
    </w:p>
    <w:p w:rsidR="004528D8" w:rsidRDefault="004528D8" w:rsidP="00057E07">
      <w:pPr>
        <w:pStyle w:val="Interpretation"/>
      </w:pPr>
      <w:r>
        <w:rPr>
          <w:i/>
        </w:rPr>
        <w:lastRenderedPageBreak/>
        <w:t>U</w:t>
      </w:r>
      <w:r w:rsidRPr="00060E80">
        <w:t>(</w:t>
      </w:r>
      <w:r>
        <w:rPr>
          <w:i/>
        </w:rPr>
        <w:t>B</w:t>
      </w:r>
      <w:r>
        <w:rPr>
          <w:vertAlign w:val="subscript"/>
        </w:rPr>
        <w:t>2</w:t>
      </w:r>
      <w:r>
        <w:t xml:space="preserve">): ‚im Nachteil (Gegner spielt unausgeglichen und unberechenbar)‘, </w:t>
      </w:r>
      <w:r>
        <w:rPr>
          <w:i/>
        </w:rPr>
        <w:t>V</w:t>
      </w:r>
      <w:r w:rsidRPr="00060E80">
        <w:t>(</w:t>
      </w:r>
      <w:r>
        <w:rPr>
          <w:i/>
        </w:rPr>
        <w:t>B</w:t>
      </w:r>
      <w:r>
        <w:rPr>
          <w:vertAlign w:val="subscript"/>
        </w:rPr>
        <w:t>4</w:t>
      </w:r>
      <w:r>
        <w:t>): ‚defensiv‘</w:t>
      </w:r>
    </w:p>
    <w:p w:rsidR="004528D8" w:rsidRDefault="004528D8" w:rsidP="00057E07">
      <w:pPr>
        <w:pStyle w:val="Interpretation"/>
      </w:pPr>
      <w:r>
        <w:rPr>
          <w:i/>
        </w:rPr>
        <w:t>U</w:t>
      </w:r>
      <w:r w:rsidRPr="00060E80">
        <w:t>(</w:t>
      </w:r>
      <w:r>
        <w:rPr>
          <w:i/>
        </w:rPr>
        <w:t>B</w:t>
      </w:r>
      <w:r>
        <w:rPr>
          <w:vertAlign w:val="subscript"/>
        </w:rPr>
        <w:t>3</w:t>
      </w:r>
      <w:r>
        <w:t xml:space="preserve">): ‚im Vorteil (Gegner spielt ausgeglichen und berechenbar)‘, </w:t>
      </w:r>
      <w:r>
        <w:rPr>
          <w:i/>
        </w:rPr>
        <w:t>V</w:t>
      </w:r>
      <w:r w:rsidRPr="00060E80">
        <w:t>(</w:t>
      </w:r>
      <w:r>
        <w:rPr>
          <w:i/>
        </w:rPr>
        <w:t>B</w:t>
      </w:r>
      <w:r>
        <w:rPr>
          <w:vertAlign w:val="subscript"/>
        </w:rPr>
        <w:t>1</w:t>
      </w:r>
      <w:r>
        <w:t>): ‚defe</w:t>
      </w:r>
      <w:r>
        <w:t>n</w:t>
      </w:r>
      <w:r>
        <w:t>siv‘</w:t>
      </w:r>
    </w:p>
    <w:p w:rsidR="004528D8" w:rsidRDefault="004528D8" w:rsidP="00057E07">
      <w:pPr>
        <w:pStyle w:val="Interpretation"/>
      </w:pPr>
      <w:r>
        <w:rPr>
          <w:i/>
        </w:rPr>
        <w:t>U</w:t>
      </w:r>
      <w:r w:rsidRPr="00060E80">
        <w:t>(</w:t>
      </w:r>
      <w:r>
        <w:rPr>
          <w:i/>
        </w:rPr>
        <w:t>B</w:t>
      </w:r>
      <w:r>
        <w:rPr>
          <w:vertAlign w:val="subscript"/>
        </w:rPr>
        <w:t>4</w:t>
      </w:r>
      <w:r>
        <w:t xml:space="preserve">): ‚im Nachteil (Gegner spielt ausgeglichen und berechenbar)‘, </w:t>
      </w:r>
      <w:r>
        <w:rPr>
          <w:i/>
        </w:rPr>
        <w:t>V</w:t>
      </w:r>
      <w:r w:rsidRPr="00060E80">
        <w:t>(</w:t>
      </w:r>
      <w:r>
        <w:rPr>
          <w:i/>
        </w:rPr>
        <w:t>B</w:t>
      </w:r>
      <w:r>
        <w:rPr>
          <w:vertAlign w:val="subscript"/>
        </w:rPr>
        <w:t>2</w:t>
      </w:r>
      <w:r>
        <w:t>): ‚a</w:t>
      </w:r>
      <w:r>
        <w:t>g</w:t>
      </w:r>
      <w:r>
        <w:t>gressiv‘</w:t>
      </w:r>
    </w:p>
    <w:p w:rsidR="004528D8" w:rsidRDefault="004528D8" w:rsidP="00057E07">
      <w:pPr>
        <w:pStyle w:val="Interpretation"/>
        <w:rPr>
          <w:i/>
        </w:rPr>
      </w:pPr>
      <w:r>
        <w:rPr>
          <w:i/>
        </w:rPr>
        <w:t>H</w:t>
      </w:r>
      <w:r>
        <w:rPr>
          <w:vertAlign w:val="subscript"/>
        </w:rPr>
        <w:t>1</w:t>
      </w:r>
      <w:r w:rsidR="004C1DB2">
        <w:t xml:space="preserve"> [zum Schema]:</w:t>
      </w:r>
      <w:r>
        <w:t xml:space="preserve"> ‚Wenn der Gegner unausgeglichen und unberechenbar spielt, besteht die Gefahr überraschender Spielzüge und plötzlicher Rückschläge, spielt er ausgeglichen und berechenbar, besteht sie nicht‘</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vertAlign w:val="subscript"/>
        </w:rPr>
        <w:t>1</w:t>
      </w:r>
      <w:r>
        <w:t xml:space="preserve"> </w:t>
      </w:r>
      <w:r w:rsidR="002434D2">
        <w:rPr>
          <w:rFonts w:ascii="Cambria Math" w:eastAsia="Arial Unicode MS" w:hAnsi="Cambria Math" w:cs="Cambria Math"/>
          <w:color w:val="000000" w:themeColor="text1"/>
        </w:rPr>
        <w:t>⤳</w:t>
      </w:r>
      <w:r w:rsidR="00F411E5">
        <w:rPr>
          <w:vertAlign w:val="subscript"/>
        </w:rPr>
        <w:t>Abd</w:t>
      </w:r>
      <w:r>
        <w:t xml:space="preserve">  </w:t>
      </w:r>
      <w:r>
        <w:rPr>
          <w:i/>
          <w:iCs/>
        </w:rPr>
        <w:t>Er</w:t>
      </w:r>
      <w:r>
        <w:rPr>
          <w:vertAlign w:val="subscript"/>
        </w:rPr>
        <w:t>1</w:t>
      </w:r>
      <w:r>
        <w:rPr>
          <w:rFonts w:cs="Times New Roman"/>
          <w:color w:val="000000" w:themeColor="text1"/>
        </w:rPr>
        <w:t xml:space="preserve">, </w:t>
      </w:r>
      <w:r>
        <w:rPr>
          <w:i/>
          <w:iCs/>
        </w:rPr>
        <w:t>Er</w:t>
      </w:r>
      <w:r>
        <w:rPr>
          <w:iCs/>
          <w:vertAlign w:val="subscript"/>
        </w:rPr>
        <w:t>2</w:t>
      </w:r>
    </w:p>
    <w:p w:rsidR="004528D8" w:rsidRDefault="004528D8" w:rsidP="00057E07">
      <w:pPr>
        <w:pStyle w:val="Interpretation"/>
      </w:pPr>
      <w:r>
        <w:rPr>
          <w:i/>
        </w:rPr>
        <w:t>Er</w:t>
      </w:r>
      <w:r>
        <w:rPr>
          <w:vertAlign w:val="subscript"/>
        </w:rPr>
        <w:t>1</w:t>
      </w:r>
      <w:r>
        <w:t>:</w:t>
      </w:r>
      <w:r>
        <w:tab/>
        <w:t>‚Wenn der Gegner unausgeglichen und unberechenbar spielt, versucht der S</w:t>
      </w:r>
      <w:r w:rsidR="009F4A98">
        <w:t>N</w:t>
      </w:r>
      <w:r>
        <w:t>, wenn er im Vorteil ist, den Gegner durch aggressives Verhalten daran zu hindern, das Spiel plötzlich zu wenden; wenn er im Nachteil ist, den Gegner durch defensives Verhalten zu hindern, das Spiel für sich zu entscheiden („den Sack zuzumachen“)‘</w:t>
      </w:r>
    </w:p>
    <w:p w:rsidR="004528D8" w:rsidRDefault="004528D8" w:rsidP="00057E07">
      <w:pPr>
        <w:pStyle w:val="Interpretation"/>
      </w:pPr>
      <w:r>
        <w:rPr>
          <w:i/>
        </w:rPr>
        <w:t>Er</w:t>
      </w:r>
      <w:r>
        <w:rPr>
          <w:vertAlign w:val="subscript"/>
        </w:rPr>
        <w:t>2</w:t>
      </w:r>
      <w:r>
        <w:t>:</w:t>
      </w:r>
      <w:r>
        <w:tab/>
        <w:t>‚Wenn der Gegner ausgeglichen und berechenbar spielt, versucht der S</w:t>
      </w:r>
      <w:r w:rsidR="009F4A98">
        <w:t>N</w:t>
      </w:r>
      <w:r>
        <w:t>, wenn er im Vorteil ist, diesen durch defensives Verhalten zu sichern, und wenn er im Nachteil ist, diesen durch aggressives Verhalten auszugleichen‘</w:t>
      </w:r>
    </w:p>
    <w:p w:rsidR="004528D8" w:rsidRDefault="004528D8" w:rsidP="00057E07">
      <w:pPr>
        <w:pStyle w:val="Formel"/>
      </w:pPr>
      <w:r>
        <w:rPr>
          <w:i/>
          <w:iCs/>
        </w:rPr>
        <w:t>Er</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F411E5">
        <w:rPr>
          <w:vertAlign w:val="subscript"/>
        </w:rPr>
        <w:t>Ass</w:t>
      </w:r>
      <w:r>
        <w:t xml:space="preserve">  </w:t>
      </w:r>
      <w:r>
        <w:rPr>
          <w:i/>
          <w:iCs/>
        </w:rPr>
        <w:t>Er</w:t>
      </w:r>
      <w:r>
        <w:rPr>
          <w:vertAlign w:val="subscript"/>
        </w:rPr>
        <w:t>3</w:t>
      </w:r>
      <w:r>
        <w:rPr>
          <w:rFonts w:cs="Times New Roman"/>
          <w:color w:val="000000" w:themeColor="text1"/>
        </w:rPr>
        <w:t xml:space="preserve">, </w:t>
      </w:r>
      <w:r>
        <w:rPr>
          <w:i/>
          <w:iCs/>
        </w:rPr>
        <w:t>Er</w:t>
      </w:r>
      <w:r>
        <w:rPr>
          <w:iCs/>
          <w:vertAlign w:val="subscript"/>
        </w:rPr>
        <w:t>4</w:t>
      </w:r>
    </w:p>
    <w:p w:rsidR="004528D8" w:rsidRDefault="004528D8" w:rsidP="00057E07">
      <w:pPr>
        <w:pStyle w:val="Interpretation"/>
      </w:pPr>
      <w:r>
        <w:rPr>
          <w:i/>
        </w:rPr>
        <w:t>Er</w:t>
      </w:r>
      <w:r>
        <w:rPr>
          <w:vertAlign w:val="subscript"/>
        </w:rPr>
        <w:t>3</w:t>
      </w:r>
      <w:r>
        <w:t>:</w:t>
      </w:r>
      <w:r>
        <w:tab/>
        <w:t xml:space="preserve">‚Spielweise des </w:t>
      </w:r>
      <w:r w:rsidR="0085753F">
        <w:t xml:space="preserve">SN </w:t>
      </w:r>
      <w:r>
        <w:t>ist stark rational gesteuert‘</w:t>
      </w:r>
    </w:p>
    <w:p w:rsidR="004528D8" w:rsidRDefault="004528D8" w:rsidP="00057E07">
      <w:pPr>
        <w:pStyle w:val="Interpretation"/>
      </w:pPr>
      <w:r>
        <w:rPr>
          <w:i/>
        </w:rPr>
        <w:t>Er</w:t>
      </w:r>
      <w:r>
        <w:rPr>
          <w:vertAlign w:val="subscript"/>
        </w:rPr>
        <w:t>4</w:t>
      </w:r>
      <w:r>
        <w:t>:</w:t>
      </w:r>
      <w:r>
        <w:tab/>
        <w:t xml:space="preserve">‚Spielweise des </w:t>
      </w:r>
      <w:r w:rsidR="0085753F">
        <w:t xml:space="preserve">SN </w:t>
      </w:r>
      <w:r>
        <w:t>ist festgelegt (resultiert nicht aus Entscheidungen in der jeweiligen Situation)‘</w:t>
      </w:r>
    </w:p>
    <w:p w:rsidR="004528D8" w:rsidRDefault="004528D8" w:rsidP="00057E07">
      <w:pPr>
        <w:pStyle w:val="Formel"/>
      </w:pPr>
      <w:r>
        <w:rPr>
          <w:i/>
          <w:iCs/>
        </w:rPr>
        <w:t>Er</w:t>
      </w:r>
      <w:r>
        <w:rPr>
          <w:iCs/>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4</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F411E5">
        <w:rPr>
          <w:vertAlign w:val="subscript"/>
        </w:rPr>
        <w:t>Abd</w:t>
      </w:r>
      <w:r>
        <w:t xml:space="preserve">  </w:t>
      </w:r>
      <w:r>
        <w:rPr>
          <w:i/>
          <w:iCs/>
        </w:rPr>
        <w:t>Er</w:t>
      </w:r>
      <w:r>
        <w:rPr>
          <w:vertAlign w:val="subscript"/>
        </w:rPr>
        <w:t>5</w:t>
      </w:r>
    </w:p>
    <w:p w:rsidR="004528D8" w:rsidRDefault="004528D8" w:rsidP="00057E07">
      <w:pPr>
        <w:pStyle w:val="InterpretationletzteZeile"/>
      </w:pPr>
      <w:r>
        <w:rPr>
          <w:i/>
        </w:rPr>
        <w:t>Er</w:t>
      </w:r>
      <w:r>
        <w:rPr>
          <w:vertAlign w:val="subscript"/>
        </w:rPr>
        <w:t>5</w:t>
      </w:r>
      <w:r>
        <w:t>:</w:t>
      </w:r>
      <w:r>
        <w:tab/>
        <w:t>‚</w:t>
      </w:r>
      <w:r w:rsidR="0085753F">
        <w:t xml:space="preserve">SN </w:t>
      </w:r>
      <w:r>
        <w:t>folgt einer Strategie‘</w:t>
      </w:r>
    </w:p>
    <w:p w:rsidR="004528D8" w:rsidRDefault="004528D8" w:rsidP="00057E07">
      <w:pPr>
        <w:pStyle w:val="Text"/>
        <w:ind w:firstLine="0"/>
      </w:pPr>
      <w:r>
        <w:t xml:space="preserve">Wie Variante 3 wirkt auch Variante 6 stark rational gesteuert. Hier ist es zudem sehr wahrscheinlich, dass der </w:t>
      </w:r>
      <w:r w:rsidR="0085753F">
        <w:t xml:space="preserve">SN </w:t>
      </w:r>
      <w:r>
        <w:t>einer Strategie folgt; dies ist bei Variante 3 w</w:t>
      </w:r>
      <w:r>
        <w:t>e</w:t>
      </w:r>
      <w:r>
        <w:t>niger eindeutig, dort könnten die Sicherheitsgrenzen, die den Eindruck der stark rationalen Steuerung hervorrufen, auch durch Überlegungen in der jeweiligen Spielsituation erzeugt werden, was hier aufgrund der Komplexität der Konfig</w:t>
      </w:r>
      <w:r>
        <w:t>u</w:t>
      </w:r>
      <w:r>
        <w:t>ration (mit vier aufeinander abgestimmten Merkmalsregeln) unwahrscheinlich erscheint.</w:t>
      </w:r>
    </w:p>
    <w:p w:rsidR="004528D8" w:rsidRDefault="009413B5" w:rsidP="009413B5">
      <w:pPr>
        <w:pStyle w:val="Interpretation1Zeile"/>
        <w:keepNext/>
      </w:pPr>
      <w:r>
        <w:t>[</w:t>
      </w:r>
      <w:r w:rsidR="004528D8">
        <w:t>Variante 7</w:t>
      </w:r>
      <w:r w:rsidR="004528D8" w:rsidRPr="003350A1">
        <w:t>:</w:t>
      </w:r>
      <w:r>
        <w:t>]</w:t>
      </w:r>
    </w:p>
    <w:p w:rsidR="004528D8" w:rsidRDefault="004528D8" w:rsidP="009413B5">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‚ausgeglichen (weder aggressiv noch defensiv)‘</w:t>
      </w:r>
    </w:p>
    <w:p w:rsidR="004528D8" w:rsidRDefault="004528D8" w:rsidP="00057E07">
      <w:pPr>
        <w:pStyle w:val="Interpretation"/>
      </w:pPr>
      <w:r>
        <w:rPr>
          <w:i/>
        </w:rPr>
        <w:lastRenderedPageBreak/>
        <w:t>U</w:t>
      </w:r>
      <w:r w:rsidRPr="00060E80">
        <w:t>(</w:t>
      </w:r>
      <w:r>
        <w:rPr>
          <w:i/>
        </w:rPr>
        <w:t>B</w:t>
      </w:r>
      <w:r>
        <w:rPr>
          <w:vertAlign w:val="subscript"/>
        </w:rPr>
        <w:t>2</w:t>
      </w:r>
      <w:r>
        <w:t xml:space="preserve">): ‚im Nachteil‘, </w:t>
      </w:r>
      <w:r>
        <w:rPr>
          <w:i/>
        </w:rPr>
        <w:t>V</w:t>
      </w:r>
      <w:r w:rsidRPr="00060E80">
        <w:t>(</w:t>
      </w:r>
      <w:r>
        <w:rPr>
          <w:i/>
        </w:rPr>
        <w:t>B</w:t>
      </w:r>
      <w:r>
        <w:rPr>
          <w:vertAlign w:val="subscript"/>
        </w:rPr>
        <w:t>2</w:t>
      </w:r>
      <w:r>
        <w:t>): ‚ausgeglichen (weder aggressiv noch defensiv)‘</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1</w:t>
      </w:r>
    </w:p>
    <w:p w:rsidR="004528D8" w:rsidRDefault="004528D8" w:rsidP="00057E07">
      <w:pPr>
        <w:pStyle w:val="InterpretationletzteZeile"/>
      </w:pPr>
      <w:r>
        <w:rPr>
          <w:i/>
        </w:rPr>
        <w:t>Er</w:t>
      </w:r>
      <w:r>
        <w:rPr>
          <w:vertAlign w:val="subscript"/>
        </w:rPr>
        <w:t>1</w:t>
      </w:r>
      <w:r>
        <w:t>: ‚</w:t>
      </w:r>
      <w:r w:rsidR="0085753F">
        <w:t xml:space="preserve">SN </w:t>
      </w:r>
      <w:r>
        <w:t>spielt unabhängig von der Spielsituation ausgeglichen‘</w:t>
      </w:r>
    </w:p>
    <w:p w:rsidR="004528D8" w:rsidRDefault="004528D8" w:rsidP="00057E07">
      <w:pPr>
        <w:pStyle w:val="Text"/>
        <w:ind w:firstLine="0"/>
      </w:pPr>
      <w:r>
        <w:t>Dieses durch Induktion gewonnene Ergebnis ist wohl zu allgemein. Der</w:t>
      </w:r>
      <w:r w:rsidR="00DD45B2">
        <w:t xml:space="preserve"> SW </w:t>
      </w:r>
      <w:r>
        <w:t xml:space="preserve">könnte genauer überlegen, welche Aspekte der </w:t>
      </w:r>
      <w:r w:rsidRPr="00B04312">
        <w:rPr>
          <w:i/>
        </w:rPr>
        <w:t>U</w:t>
      </w:r>
      <w:r>
        <w:t xml:space="preserve"> und </w:t>
      </w:r>
      <w:r w:rsidRPr="00B04312">
        <w:rPr>
          <w:i/>
        </w:rPr>
        <w:t>V</w:t>
      </w:r>
      <w:r>
        <w:t xml:space="preserve"> voneinander unabhä</w:t>
      </w:r>
      <w:r>
        <w:t>n</w:t>
      </w:r>
      <w:r>
        <w:t>gig sind:</w:t>
      </w:r>
    </w:p>
    <w:p w:rsidR="004528D8" w:rsidRDefault="004528D8" w:rsidP="00057E07">
      <w:pPr>
        <w:pStyle w:val="Interpretation"/>
      </w:pPr>
      <w:r>
        <w:rPr>
          <w:i/>
        </w:rPr>
        <w:t>H</w:t>
      </w:r>
      <w:r>
        <w:rPr>
          <w:vertAlign w:val="subscript"/>
        </w:rPr>
        <w:t>1</w:t>
      </w:r>
      <w:r w:rsidR="004C1DB2">
        <w:t xml:space="preserve"> [zum Schema]:</w:t>
      </w:r>
      <w:r>
        <w:t xml:space="preserve"> ‚Spielweisen können auf die Skala „aggressiv – defensiv“ mit dem Wert „ausgeglichen“ in der Mitte bezogen werden‘</w:t>
      </w:r>
    </w:p>
    <w:p w:rsidR="004528D8" w:rsidRDefault="004528D8" w:rsidP="00057E07">
      <w:pPr>
        <w:pStyle w:val="Interpretation"/>
        <w:rPr>
          <w:i/>
        </w:rPr>
      </w:pPr>
      <w:r>
        <w:rPr>
          <w:i/>
        </w:rPr>
        <w:t>H</w:t>
      </w:r>
      <w:r>
        <w:rPr>
          <w:vertAlign w:val="subscript"/>
        </w:rPr>
        <w:t>2</w:t>
      </w:r>
      <w:r w:rsidR="004C1DB2">
        <w:t xml:space="preserve"> [zum Schema]:</w:t>
      </w:r>
      <w:r>
        <w:t xml:space="preserve"> ‚Spielsituationen können auf die Skala „im Vorteil – im Nac</w:t>
      </w:r>
      <w:r>
        <w:t>h</w:t>
      </w:r>
      <w:r>
        <w:t>teil“ bezogen werden‘</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2</w:t>
      </w:r>
    </w:p>
    <w:p w:rsidR="004528D8" w:rsidRDefault="004528D8" w:rsidP="00057E07">
      <w:pPr>
        <w:pStyle w:val="InterpretationletzteZeile"/>
      </w:pPr>
      <w:r>
        <w:rPr>
          <w:i/>
        </w:rPr>
        <w:t>Er</w:t>
      </w:r>
      <w:r>
        <w:rPr>
          <w:vertAlign w:val="subscript"/>
        </w:rPr>
        <w:t>2</w:t>
      </w:r>
      <w:r>
        <w:t xml:space="preserve">: ‚Die Spielweise des </w:t>
      </w:r>
      <w:r w:rsidR="0085753F">
        <w:t xml:space="preserve">SN </w:t>
      </w:r>
      <w:r>
        <w:t>bezüglich der Skala „aggressiv – defensiv“ ist una</w:t>
      </w:r>
      <w:r>
        <w:t>b</w:t>
      </w:r>
      <w:r>
        <w:t>hängig von der Spielsituation bezüglich der Skala „im Vorteil – im Nachteil“‘</w:t>
      </w:r>
    </w:p>
    <w:p w:rsidR="004528D8" w:rsidRDefault="004528D8" w:rsidP="00057E07">
      <w:pPr>
        <w:pStyle w:val="Text"/>
        <w:ind w:firstLine="0"/>
      </w:pPr>
      <w:r>
        <w:rPr>
          <w:iCs/>
        </w:rPr>
        <w:t xml:space="preserve">In diesem Beispiel ist die Spielweise bezüglich des Gegensatzes </w:t>
      </w:r>
      <w:r>
        <w:t>„aggressiv – d</w:t>
      </w:r>
      <w:r>
        <w:t>e</w:t>
      </w:r>
      <w:r>
        <w:t xml:space="preserve">fensiv“ unabhängig von der Spielsituation bezüglich des Gegensatzes „im Vorteil – im Nachteil“. Bildet man für beide Gegensätze Skalen, so kann per Induktion auf die Unabhängigkeit der beiden Skalen geschlossen werden. </w:t>
      </w:r>
      <w:r>
        <w:rPr>
          <w:i/>
          <w:iCs/>
        </w:rPr>
        <w:t>Er</w:t>
      </w:r>
      <w:r>
        <w:rPr>
          <w:vertAlign w:val="subscript"/>
        </w:rPr>
        <w:t>2</w:t>
      </w:r>
      <w:r>
        <w:t xml:space="preserve"> ist, wie es bei Induktionen allgemein gilt, nur eine Wahrscheinlichkeitsabschätzung (vgl. A</w:t>
      </w:r>
      <w:r>
        <w:t>b</w:t>
      </w:r>
      <w:r>
        <w:t xml:space="preserve">schnitt </w:t>
      </w:r>
      <w:r w:rsidR="005D7996">
        <w:fldChar w:fldCharType="begin"/>
      </w:r>
      <w:r>
        <w:instrText xml:space="preserve"> REF _Ref257116162 \r \h </w:instrText>
      </w:r>
      <w:r w:rsidR="005D7996">
        <w:fldChar w:fldCharType="separate"/>
      </w:r>
      <w:r w:rsidR="001231D3">
        <w:t>6.4.2</w:t>
      </w:r>
      <w:r w:rsidR="005D7996">
        <w:fldChar w:fldCharType="end"/>
      </w:r>
      <w:r>
        <w:t>). Es ist möglich, dass den Werten „im Vorteil“ und „im Nachteil“ aus unbekannten Gründen derselbe Wert auf der Skala „aggressiv – defensiv“ zugeordnet sein könnte und die Skalen nicht unabhängig sind.</w:t>
      </w:r>
    </w:p>
    <w:p w:rsidR="002A7FDE" w:rsidRDefault="004528D8" w:rsidP="004528D8">
      <w:pPr>
        <w:pStyle w:val="Text"/>
        <w:rPr>
          <w:iCs/>
        </w:rPr>
      </w:pPr>
      <w:r>
        <w:t xml:space="preserve">In dieser Variante liegt die Relation „Gegensatz“ zwischen den </w:t>
      </w:r>
      <w:r>
        <w:rPr>
          <w:i/>
          <w:iCs/>
        </w:rPr>
        <w:t>U</w:t>
      </w:r>
      <w:r>
        <w:t>, die Rel</w:t>
      </w:r>
      <w:r>
        <w:t>a</w:t>
      </w:r>
      <w:r>
        <w:t xml:space="preserve">tion „Gleichheit“ zwischen den </w:t>
      </w:r>
      <w:r>
        <w:rPr>
          <w:i/>
          <w:iCs/>
        </w:rPr>
        <w:t>V</w:t>
      </w:r>
      <w:r>
        <w:rPr>
          <w:iCs/>
        </w:rPr>
        <w:t xml:space="preserve"> der beiden Merkmalsregeln vor. Was passiert, wenn wir dies umkehren? Können wir </w:t>
      </w:r>
      <w:r w:rsidR="002A7FDE">
        <w:rPr>
          <w:iCs/>
        </w:rPr>
        <w:t>„</w:t>
      </w:r>
      <w:r>
        <w:rPr>
          <w:iCs/>
        </w:rPr>
        <w:t>Gleichheit</w:t>
      </w:r>
      <w:r w:rsidR="002A7FDE">
        <w:rPr>
          <w:iCs/>
        </w:rPr>
        <w:t>“</w:t>
      </w:r>
      <w:r>
        <w:rPr>
          <w:iCs/>
        </w:rPr>
        <w:t xml:space="preserve"> auch für die Anwendung</w:t>
      </w:r>
      <w:r>
        <w:rPr>
          <w:iCs/>
        </w:rPr>
        <w:t>s</w:t>
      </w:r>
      <w:r>
        <w:rPr>
          <w:iCs/>
        </w:rPr>
        <w:t>bedingungen verlangen?</w:t>
      </w:r>
    </w:p>
    <w:p w:rsidR="009413B5" w:rsidRDefault="009413B5" w:rsidP="009413B5">
      <w:pPr>
        <w:pStyle w:val="Interpretation1Zeile"/>
        <w:keepNext/>
      </w:pPr>
      <w:r w:rsidRPr="00DF35E4">
        <w:t xml:space="preserve">[Variante </w:t>
      </w:r>
      <w:r>
        <w:t>8:</w:t>
      </w:r>
      <w:r w:rsidRPr="00DF35E4">
        <w:t>]</w:t>
      </w:r>
    </w:p>
    <w:p w:rsidR="004528D8" w:rsidRDefault="004528D8" w:rsidP="009413B5">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xml:space="preserve">): ‚aggressiv‘, </w:t>
      </w:r>
      <w:r>
        <w:rPr>
          <w:i/>
        </w:rPr>
        <w:t>w</w:t>
      </w:r>
      <w:r w:rsidRPr="00060E80">
        <w:t>(</w:t>
      </w:r>
      <w:r>
        <w:rPr>
          <w:i/>
        </w:rPr>
        <w:t>B</w:t>
      </w:r>
      <w:r>
        <w:rPr>
          <w:vertAlign w:val="subscript"/>
        </w:rPr>
        <w:t>1</w:t>
      </w:r>
      <w:r>
        <w:t xml:space="preserve">): 1, </w:t>
      </w:r>
      <w:r>
        <w:rPr>
          <w:i/>
        </w:rPr>
        <w:t>p</w:t>
      </w:r>
      <w:r w:rsidRPr="00060E80">
        <w:t>(</w:t>
      </w:r>
      <w:r>
        <w:rPr>
          <w:i/>
        </w:rPr>
        <w:t>B</w:t>
      </w:r>
      <w:r>
        <w:rPr>
          <w:vertAlign w:val="subscript"/>
        </w:rPr>
        <w:t>1</w:t>
      </w:r>
      <w:r>
        <w:t>): 1</w:t>
      </w:r>
    </w:p>
    <w:p w:rsidR="004528D8" w:rsidRDefault="004528D8" w:rsidP="00057E07">
      <w:pPr>
        <w:pStyle w:val="InterpretationletzteZeile"/>
      </w:pPr>
      <w:r>
        <w:rPr>
          <w:i/>
        </w:rPr>
        <w:t>U</w:t>
      </w:r>
      <w:r w:rsidRPr="00060E80">
        <w:t>(</w:t>
      </w:r>
      <w:r>
        <w:rPr>
          <w:i/>
        </w:rPr>
        <w:t>B</w:t>
      </w:r>
      <w:r>
        <w:rPr>
          <w:vertAlign w:val="subscript"/>
        </w:rPr>
        <w:t>2</w:t>
      </w:r>
      <w:r>
        <w:t xml:space="preserve">): ‚im Vorteil‘, </w:t>
      </w:r>
      <w:r>
        <w:rPr>
          <w:i/>
        </w:rPr>
        <w:t>V</w:t>
      </w:r>
      <w:r w:rsidRPr="00060E80">
        <w:t>(</w:t>
      </w:r>
      <w:r>
        <w:rPr>
          <w:i/>
        </w:rPr>
        <w:t>B</w:t>
      </w:r>
      <w:r>
        <w:rPr>
          <w:vertAlign w:val="subscript"/>
        </w:rPr>
        <w:t>2</w:t>
      </w:r>
      <w:r>
        <w:t xml:space="preserve">): ‚defensiv‘, </w:t>
      </w:r>
      <w:r>
        <w:rPr>
          <w:i/>
        </w:rPr>
        <w:t>w</w:t>
      </w:r>
      <w:r w:rsidRPr="00060E80">
        <w:t>(</w:t>
      </w:r>
      <w:r>
        <w:rPr>
          <w:i/>
        </w:rPr>
        <w:t>B</w:t>
      </w:r>
      <w:r>
        <w:rPr>
          <w:vertAlign w:val="subscript"/>
        </w:rPr>
        <w:t>2</w:t>
      </w:r>
      <w:r>
        <w:t xml:space="preserve">): 0,2, </w:t>
      </w:r>
      <w:r>
        <w:rPr>
          <w:i/>
        </w:rPr>
        <w:t>p</w:t>
      </w:r>
      <w:r w:rsidRPr="00060E80">
        <w:t>(</w:t>
      </w:r>
      <w:r>
        <w:rPr>
          <w:i/>
        </w:rPr>
        <w:t>B</w:t>
      </w:r>
      <w:r>
        <w:rPr>
          <w:vertAlign w:val="subscript"/>
        </w:rPr>
        <w:t>2</w:t>
      </w:r>
      <w:r>
        <w:t>): 2</w:t>
      </w:r>
    </w:p>
    <w:p w:rsidR="004528D8" w:rsidRDefault="004528D8" w:rsidP="00057E07">
      <w:pPr>
        <w:pStyle w:val="Text"/>
        <w:ind w:firstLine="0"/>
        <w:rPr>
          <w:iCs/>
        </w:rPr>
      </w:pPr>
      <w:r>
        <w:rPr>
          <w:iCs/>
        </w:rPr>
        <w:t>In diesem Fall</w:t>
      </w:r>
      <w:r>
        <w:rPr>
          <w:rStyle w:val="Funotenzeichen"/>
          <w:iCs/>
        </w:rPr>
        <w:footnoteReference w:id="474"/>
      </w:r>
      <w:r>
        <w:rPr>
          <w:iCs/>
        </w:rPr>
        <w:t xml:space="preserve"> könnte die zweite Regel offensichtlich nicht eingeschrieben werden, weil die erste schon alle Realisierungsstellen, auf die die Anwendung</w:t>
      </w:r>
      <w:r>
        <w:rPr>
          <w:iCs/>
        </w:rPr>
        <w:t>s</w:t>
      </w:r>
      <w:r>
        <w:rPr>
          <w:iCs/>
        </w:rPr>
        <w:t xml:space="preserve">bedingungen passen, beeinflussen würde. In der durch sie erzeugten reduzierten </w:t>
      </w:r>
      <w:r w:rsidR="00721558">
        <w:rPr>
          <w:iCs/>
        </w:rPr>
        <w:t>Alter</w:t>
      </w:r>
      <w:r w:rsidR="00721558">
        <w:rPr>
          <w:iCs/>
        </w:rPr>
        <w:softHyphen/>
        <w:t>nativen</w:t>
      </w:r>
      <w:r w:rsidR="00721558">
        <w:rPr>
          <w:iCs/>
        </w:rPr>
        <w:softHyphen/>
        <w:t>klasse</w:t>
      </w:r>
      <w:r>
        <w:rPr>
          <w:iCs/>
        </w:rPr>
        <w:t xml:space="preserve"> wären nur Elemente enthalten, die die Eigenschaft ‚aggressiv‘ haben, und damit keine, die die Eigenschaft ‚defensiv‘ haben, da die beiden E</w:t>
      </w:r>
      <w:r>
        <w:rPr>
          <w:iCs/>
        </w:rPr>
        <w:t>i</w:t>
      </w:r>
      <w:r>
        <w:rPr>
          <w:iCs/>
        </w:rPr>
        <w:lastRenderedPageBreak/>
        <w:t>genschaften im Gegensatz zueinander stehen und somit nicht am gleichen El</w:t>
      </w:r>
      <w:r>
        <w:rPr>
          <w:iCs/>
        </w:rPr>
        <w:t>e</w:t>
      </w:r>
      <w:r>
        <w:rPr>
          <w:iCs/>
        </w:rPr>
        <w:t>ment auftreten können.</w:t>
      </w:r>
    </w:p>
    <w:p w:rsidR="004528D8" w:rsidRPr="00DF35E4" w:rsidRDefault="00DF35E4" w:rsidP="009413B5">
      <w:pPr>
        <w:pStyle w:val="Interpretation1Zeile"/>
        <w:keepNext/>
      </w:pPr>
      <w:r w:rsidRPr="00DF35E4">
        <w:t>[</w:t>
      </w:r>
      <w:r w:rsidR="004528D8" w:rsidRPr="00DF35E4">
        <w:t>Variante 9:</w:t>
      </w:r>
      <w:r w:rsidRPr="00DF35E4">
        <w:t>]</w:t>
      </w:r>
    </w:p>
    <w:p w:rsidR="004528D8" w:rsidRDefault="004528D8" w:rsidP="00DF35E4">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xml:space="preserve">): ‚aggressiv‘, </w:t>
      </w:r>
      <w:r>
        <w:rPr>
          <w:i/>
        </w:rPr>
        <w:t>w</w:t>
      </w:r>
      <w:r w:rsidRPr="00060E80">
        <w:t>(</w:t>
      </w:r>
      <w:r>
        <w:rPr>
          <w:i/>
        </w:rPr>
        <w:t>B</w:t>
      </w:r>
      <w:r>
        <w:rPr>
          <w:vertAlign w:val="subscript"/>
        </w:rPr>
        <w:t>1</w:t>
      </w:r>
      <w:r>
        <w:t xml:space="preserve">): 0,2, </w:t>
      </w:r>
      <w:r>
        <w:rPr>
          <w:i/>
        </w:rPr>
        <w:t>p</w:t>
      </w:r>
      <w:r w:rsidRPr="00060E80">
        <w:t>(</w:t>
      </w:r>
      <w:r>
        <w:rPr>
          <w:i/>
        </w:rPr>
        <w:t>B</w:t>
      </w:r>
      <w:r>
        <w:rPr>
          <w:vertAlign w:val="subscript"/>
        </w:rPr>
        <w:t>1</w:t>
      </w:r>
      <w:r>
        <w:t>): 1</w:t>
      </w:r>
    </w:p>
    <w:p w:rsidR="004528D8" w:rsidRDefault="004528D8" w:rsidP="00057E07">
      <w:pPr>
        <w:pStyle w:val="InterpretationletzteZeile"/>
      </w:pPr>
      <w:r>
        <w:rPr>
          <w:i/>
        </w:rPr>
        <w:t>U</w:t>
      </w:r>
      <w:r w:rsidRPr="00060E80">
        <w:t>(</w:t>
      </w:r>
      <w:r>
        <w:rPr>
          <w:i/>
        </w:rPr>
        <w:t>B</w:t>
      </w:r>
      <w:r>
        <w:rPr>
          <w:vertAlign w:val="subscript"/>
        </w:rPr>
        <w:t>2</w:t>
      </w:r>
      <w:r>
        <w:t xml:space="preserve">): ‚im Vorteil‘, </w:t>
      </w:r>
      <w:r>
        <w:rPr>
          <w:i/>
        </w:rPr>
        <w:t>V</w:t>
      </w:r>
      <w:r w:rsidRPr="00060E80">
        <w:t>(</w:t>
      </w:r>
      <w:r>
        <w:rPr>
          <w:i/>
        </w:rPr>
        <w:t>B</w:t>
      </w:r>
      <w:r>
        <w:rPr>
          <w:vertAlign w:val="subscript"/>
        </w:rPr>
        <w:t>2</w:t>
      </w:r>
      <w:r>
        <w:t xml:space="preserve">): ‚defensiv‘, </w:t>
      </w:r>
      <w:r>
        <w:rPr>
          <w:i/>
        </w:rPr>
        <w:t>w</w:t>
      </w:r>
      <w:r w:rsidRPr="00060E80">
        <w:t>(</w:t>
      </w:r>
      <w:r>
        <w:rPr>
          <w:i/>
        </w:rPr>
        <w:t>B</w:t>
      </w:r>
      <w:r>
        <w:rPr>
          <w:vertAlign w:val="subscript"/>
        </w:rPr>
        <w:t>2</w:t>
      </w:r>
      <w:r>
        <w:t xml:space="preserve">): 0,2, </w:t>
      </w:r>
      <w:r>
        <w:rPr>
          <w:i/>
        </w:rPr>
        <w:t>p</w:t>
      </w:r>
      <w:r w:rsidRPr="00060E80">
        <w:t>(</w:t>
      </w:r>
      <w:r>
        <w:rPr>
          <w:i/>
        </w:rPr>
        <w:t>B</w:t>
      </w:r>
      <w:r>
        <w:rPr>
          <w:vertAlign w:val="subscript"/>
        </w:rPr>
        <w:t>2</w:t>
      </w:r>
      <w:r>
        <w:t>): 1</w:t>
      </w:r>
    </w:p>
    <w:p w:rsidR="004528D8" w:rsidRDefault="004528D8" w:rsidP="00057E07">
      <w:pPr>
        <w:pStyle w:val="Text"/>
        <w:ind w:firstLine="0"/>
        <w:rPr>
          <w:iCs/>
        </w:rPr>
      </w:pPr>
      <w:r>
        <w:rPr>
          <w:iCs/>
        </w:rPr>
        <w:t>In diesem Fall ist es aufgrund der relativ kleinen Werte für die Anwendung</w:t>
      </w:r>
      <w:r>
        <w:rPr>
          <w:iCs/>
        </w:rPr>
        <w:t>s</w:t>
      </w:r>
      <w:r>
        <w:rPr>
          <w:iCs/>
        </w:rPr>
        <w:t>wahrscheinlichkeit möglich, dass beide Merkmalsregeln eingeschrieben werden; dies kann auch durch geeignete Priorisierung</w:t>
      </w:r>
      <w:r w:rsidR="005D7996">
        <w:rPr>
          <w:iCs/>
        </w:rPr>
        <w:fldChar w:fldCharType="begin"/>
      </w:r>
      <w:r w:rsidR="007B15C8">
        <w:instrText xml:space="preserve"> XE "</w:instrText>
      </w:r>
      <w:r w:rsidR="007B15C8" w:rsidRPr="005F58EF">
        <w:instrText>Priorisierung</w:instrText>
      </w:r>
      <w:r w:rsidR="007B15C8">
        <w:instrText xml:space="preserve">" </w:instrText>
      </w:r>
      <w:r w:rsidR="005D7996">
        <w:rPr>
          <w:iCs/>
        </w:rPr>
        <w:fldChar w:fldCharType="end"/>
      </w:r>
      <w:r>
        <w:rPr>
          <w:iCs/>
        </w:rPr>
        <w:t xml:space="preserve"> erreicht werden:</w:t>
      </w:r>
    </w:p>
    <w:p w:rsidR="004528D8" w:rsidRPr="00DF35E4" w:rsidRDefault="00DF35E4" w:rsidP="009413B5">
      <w:pPr>
        <w:pStyle w:val="Interpretation1Zeile"/>
        <w:keepNext/>
      </w:pPr>
      <w:r w:rsidRPr="00DF35E4">
        <w:t>[</w:t>
      </w:r>
      <w:r w:rsidR="004528D8" w:rsidRPr="00DF35E4">
        <w:t>Variante 10:</w:t>
      </w:r>
      <w:r w:rsidRPr="00DF35E4">
        <w:t>]</w:t>
      </w:r>
    </w:p>
    <w:p w:rsidR="004528D8" w:rsidRDefault="004528D8" w:rsidP="00057E07">
      <w:pPr>
        <w:pStyle w:val="Interpretation"/>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xml:space="preserve">): ‚aggressiv‘, </w:t>
      </w:r>
      <w:r>
        <w:rPr>
          <w:i/>
        </w:rPr>
        <w:t>w</w:t>
      </w:r>
      <w:r w:rsidRPr="00060E80">
        <w:t>(</w:t>
      </w:r>
      <w:r>
        <w:rPr>
          <w:i/>
        </w:rPr>
        <w:t>B</w:t>
      </w:r>
      <w:r>
        <w:rPr>
          <w:vertAlign w:val="subscript"/>
        </w:rPr>
        <w:t>1</w:t>
      </w:r>
      <w:r>
        <w:t xml:space="preserve">): 1, </w:t>
      </w:r>
      <w:r>
        <w:rPr>
          <w:i/>
        </w:rPr>
        <w:t>p</w:t>
      </w:r>
      <w:r w:rsidRPr="00060E80">
        <w:t>(</w:t>
      </w:r>
      <w:r>
        <w:rPr>
          <w:i/>
        </w:rPr>
        <w:t>B</w:t>
      </w:r>
      <w:r>
        <w:rPr>
          <w:vertAlign w:val="subscript"/>
        </w:rPr>
        <w:t>1</w:t>
      </w:r>
      <w:r>
        <w:t>): 2</w:t>
      </w:r>
    </w:p>
    <w:p w:rsidR="004528D8" w:rsidRDefault="004528D8" w:rsidP="00057E07">
      <w:pPr>
        <w:pStyle w:val="InterpretationletzteZeile"/>
      </w:pPr>
      <w:r>
        <w:rPr>
          <w:i/>
        </w:rPr>
        <w:t>U</w:t>
      </w:r>
      <w:r w:rsidRPr="00060E80">
        <w:t>(</w:t>
      </w:r>
      <w:r>
        <w:rPr>
          <w:i/>
        </w:rPr>
        <w:t>B</w:t>
      </w:r>
      <w:r>
        <w:rPr>
          <w:vertAlign w:val="subscript"/>
        </w:rPr>
        <w:t>2</w:t>
      </w:r>
      <w:r>
        <w:t xml:space="preserve">): ‚im Vorteil‘, </w:t>
      </w:r>
      <w:r>
        <w:rPr>
          <w:i/>
        </w:rPr>
        <w:t>V</w:t>
      </w:r>
      <w:r w:rsidRPr="00060E80">
        <w:t>(</w:t>
      </w:r>
      <w:r>
        <w:rPr>
          <w:i/>
        </w:rPr>
        <w:t>B</w:t>
      </w:r>
      <w:r>
        <w:rPr>
          <w:vertAlign w:val="subscript"/>
        </w:rPr>
        <w:t>2</w:t>
      </w:r>
      <w:r>
        <w:t xml:space="preserve">): ‚defensiv‘, </w:t>
      </w:r>
      <w:r>
        <w:rPr>
          <w:i/>
        </w:rPr>
        <w:t>w</w:t>
      </w:r>
      <w:r w:rsidRPr="00060E80">
        <w:t>(</w:t>
      </w:r>
      <w:r>
        <w:rPr>
          <w:i/>
        </w:rPr>
        <w:t>B</w:t>
      </w:r>
      <w:r>
        <w:rPr>
          <w:vertAlign w:val="subscript"/>
        </w:rPr>
        <w:t>2</w:t>
      </w:r>
      <w:r>
        <w:t xml:space="preserve">): 0,5, </w:t>
      </w:r>
      <w:r>
        <w:rPr>
          <w:i/>
        </w:rPr>
        <w:t>p</w:t>
      </w:r>
      <w:r w:rsidRPr="00060E80">
        <w:t>(</w:t>
      </w:r>
      <w:r>
        <w:rPr>
          <w:i/>
        </w:rPr>
        <w:t>B</w:t>
      </w:r>
      <w:r>
        <w:rPr>
          <w:vertAlign w:val="subscript"/>
        </w:rPr>
        <w:t>2</w:t>
      </w:r>
      <w:r>
        <w:t>): 1</w:t>
      </w:r>
    </w:p>
    <w:p w:rsidR="004528D8" w:rsidRDefault="004528D8" w:rsidP="00057E07">
      <w:pPr>
        <w:pStyle w:val="Text"/>
        <w:ind w:firstLine="0"/>
        <w:rPr>
          <w:iCs/>
        </w:rPr>
      </w:pPr>
      <w:r>
        <w:rPr>
          <w:iCs/>
        </w:rPr>
        <w:t>In beiden Fällen würden aber vermutlich nicht zwei Merkmalsregeln ausgelesen, sondern nur eine:</w:t>
      </w:r>
    </w:p>
    <w:p w:rsidR="004528D8" w:rsidRDefault="004528D8" w:rsidP="00057E07">
      <w:pPr>
        <w:pStyle w:val="Interpretation1Zeile"/>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‚aggressiv oder defensiv‘</w:t>
      </w:r>
    </w:p>
    <w:p w:rsidR="004528D8" w:rsidRDefault="004528D8" w:rsidP="00057E07">
      <w:pPr>
        <w:pStyle w:val="Text"/>
        <w:ind w:firstLine="0"/>
      </w:pPr>
      <w:r>
        <w:t>oder auch:</w:t>
      </w:r>
    </w:p>
    <w:p w:rsidR="004528D8" w:rsidRDefault="004528D8" w:rsidP="00057E07">
      <w:pPr>
        <w:pStyle w:val="InterpretationletzteZeile"/>
      </w:pPr>
      <w:r>
        <w:rPr>
          <w:i/>
        </w:rPr>
        <w:t>U</w:t>
      </w:r>
      <w:r w:rsidRPr="00060E80">
        <w:t>(</w:t>
      </w:r>
      <w:r>
        <w:rPr>
          <w:i/>
        </w:rPr>
        <w:t>B</w:t>
      </w:r>
      <w:r>
        <w:rPr>
          <w:vertAlign w:val="subscript"/>
        </w:rPr>
        <w:t>1</w:t>
      </w:r>
      <w:r>
        <w:t xml:space="preserve">): ‚im Vorteil‘, </w:t>
      </w:r>
      <w:r>
        <w:rPr>
          <w:i/>
        </w:rPr>
        <w:t>V</w:t>
      </w:r>
      <w:r w:rsidRPr="00060E80">
        <w:t>(</w:t>
      </w:r>
      <w:r>
        <w:rPr>
          <w:i/>
        </w:rPr>
        <w:t>B</w:t>
      </w:r>
      <w:r>
        <w:rPr>
          <w:vertAlign w:val="subscript"/>
        </w:rPr>
        <w:t>1</w:t>
      </w:r>
      <w:r>
        <w:t>): ‚unregelmäßig (bezüglich der Skala „aggressiv – d</w:t>
      </w:r>
      <w:r>
        <w:t>e</w:t>
      </w:r>
      <w:r>
        <w:t>fensiv“)‘</w:t>
      </w:r>
    </w:p>
    <w:p w:rsidR="004528D8" w:rsidRDefault="004528D8" w:rsidP="00057E07">
      <w:pPr>
        <w:pStyle w:val="Text"/>
        <w:ind w:firstLine="0"/>
      </w:pPr>
      <w:r>
        <w:t xml:space="preserve">Um zwei Merkmalsregeln von </w:t>
      </w:r>
      <w:r w:rsidR="0085753F">
        <w:t xml:space="preserve">SN </w:t>
      </w:r>
      <w:r>
        <w:t>zu S</w:t>
      </w:r>
      <w:r w:rsidR="0085753F">
        <w:t>W</w:t>
      </w:r>
      <w:r>
        <w:t xml:space="preserve"> übertragen zu lassen, verzichten wir auf Gleichheit der verlangten Eigenschaften und versuchen es mit Ähnlichkeit: </w:t>
      </w:r>
    </w:p>
    <w:p w:rsidR="009413B5" w:rsidRDefault="00057E07" w:rsidP="009413B5">
      <w:pPr>
        <w:pStyle w:val="Interpretation1Zeile"/>
        <w:keepNext/>
      </w:pPr>
      <w:r w:rsidRPr="00DF35E4">
        <w:t xml:space="preserve">[Variante </w:t>
      </w:r>
      <w:r>
        <w:t>11:</w:t>
      </w:r>
      <w:r w:rsidRPr="00DF35E4">
        <w:t>]</w:t>
      </w:r>
    </w:p>
    <w:p w:rsidR="004528D8" w:rsidRDefault="004528D8" w:rsidP="009413B5">
      <w:pPr>
        <w:pStyle w:val="Interpretation"/>
      </w:pPr>
      <w:r>
        <w:rPr>
          <w:i/>
        </w:rPr>
        <w:t>U</w:t>
      </w:r>
      <w:r w:rsidRPr="00060E80">
        <w:t>(</w:t>
      </w:r>
      <w:r>
        <w:rPr>
          <w:i/>
        </w:rPr>
        <w:t>B</w:t>
      </w:r>
      <w:r>
        <w:rPr>
          <w:vertAlign w:val="subscript"/>
        </w:rPr>
        <w:t>1</w:t>
      </w:r>
      <w:r>
        <w:t xml:space="preserve">): ‚im </w:t>
      </w:r>
      <w:r w:rsidRPr="009413B5">
        <w:t>Vorteil</w:t>
      </w:r>
      <w:r>
        <w:t xml:space="preserve"> (seit kürzerer Zeit)‘, </w:t>
      </w:r>
      <w:r>
        <w:rPr>
          <w:i/>
        </w:rPr>
        <w:t>V</w:t>
      </w:r>
      <w:r w:rsidRPr="00060E80">
        <w:t>(</w:t>
      </w:r>
      <w:r>
        <w:rPr>
          <w:i/>
        </w:rPr>
        <w:t>B</w:t>
      </w:r>
      <w:r>
        <w:rPr>
          <w:vertAlign w:val="subscript"/>
        </w:rPr>
        <w:t>1</w:t>
      </w:r>
      <w:r>
        <w:t>): ‚aggressiv‘</w:t>
      </w:r>
    </w:p>
    <w:p w:rsidR="004528D8" w:rsidRDefault="004528D8" w:rsidP="00057E07">
      <w:pPr>
        <w:pStyle w:val="Interpretation"/>
      </w:pPr>
      <w:r>
        <w:rPr>
          <w:i/>
        </w:rPr>
        <w:t>U</w:t>
      </w:r>
      <w:r w:rsidRPr="00060E80">
        <w:t>(</w:t>
      </w:r>
      <w:r>
        <w:rPr>
          <w:i/>
        </w:rPr>
        <w:t>B</w:t>
      </w:r>
      <w:r>
        <w:rPr>
          <w:vertAlign w:val="subscript"/>
        </w:rPr>
        <w:t>2</w:t>
      </w:r>
      <w:r>
        <w:t xml:space="preserve">): ‚im Vorteil (seit längerer Zeit)‘, </w:t>
      </w:r>
      <w:r>
        <w:rPr>
          <w:i/>
        </w:rPr>
        <w:t>V</w:t>
      </w:r>
      <w:r w:rsidRPr="00060E80">
        <w:t>(</w:t>
      </w:r>
      <w:r>
        <w:rPr>
          <w:i/>
        </w:rPr>
        <w:t>B</w:t>
      </w:r>
      <w:r>
        <w:rPr>
          <w:vertAlign w:val="subscript"/>
        </w:rPr>
        <w:t>2</w:t>
      </w:r>
      <w:r>
        <w:t>): ‚defensiv‘</w:t>
      </w:r>
    </w:p>
    <w:p w:rsidR="004528D8" w:rsidRDefault="004528D8" w:rsidP="00057E07">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F411E5">
        <w:rPr>
          <w:vertAlign w:val="subscript"/>
        </w:rPr>
        <w:t>Abd</w:t>
      </w:r>
      <w:r>
        <w:t xml:space="preserve">  </w:t>
      </w:r>
      <w:r>
        <w:rPr>
          <w:i/>
          <w:iCs/>
        </w:rPr>
        <w:t>Er</w:t>
      </w:r>
      <w:r>
        <w:rPr>
          <w:vertAlign w:val="subscript"/>
        </w:rPr>
        <w:t>1</w:t>
      </w:r>
    </w:p>
    <w:p w:rsidR="004528D8" w:rsidRDefault="004528D8" w:rsidP="00057E07">
      <w:pPr>
        <w:pStyle w:val="Interpretation"/>
      </w:pPr>
      <w:r>
        <w:rPr>
          <w:i/>
        </w:rPr>
        <w:t>Er</w:t>
      </w:r>
      <w:r>
        <w:rPr>
          <w:vertAlign w:val="subscript"/>
        </w:rPr>
        <w:t>1</w:t>
      </w:r>
      <w:r>
        <w:t>: ‚</w:t>
      </w:r>
      <w:r w:rsidR="0085753F">
        <w:t xml:space="preserve">SN </w:t>
      </w:r>
      <w:r>
        <w:t>versucht, einen neu gewonnenen Vorteil durch aggressives Spiel ausz</w:t>
      </w:r>
      <w:r>
        <w:t>u</w:t>
      </w:r>
      <w:r>
        <w:t>bauen und einen länger andauernden Vorteil durch defensives Spiel abzusichern‘</w:t>
      </w:r>
    </w:p>
    <w:p w:rsidR="004528D8" w:rsidRDefault="004528D8" w:rsidP="00057E07">
      <w:pPr>
        <w:pStyle w:val="Formel"/>
      </w:pPr>
      <w:r>
        <w:rPr>
          <w:i/>
          <w:iCs/>
        </w:rPr>
        <w:t>Er</w:t>
      </w:r>
      <w:r>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Pr>
          <w:vertAlign w:val="subscript"/>
        </w:rPr>
        <w:t>Abd</w:t>
      </w:r>
      <w:r>
        <w:t xml:space="preserve">  </w:t>
      </w:r>
      <w:r>
        <w:rPr>
          <w:i/>
          <w:iCs/>
        </w:rPr>
        <w:t>Er</w:t>
      </w:r>
      <w:r>
        <w:rPr>
          <w:vertAlign w:val="subscript"/>
        </w:rPr>
        <w:t>2</w:t>
      </w:r>
    </w:p>
    <w:p w:rsidR="004528D8" w:rsidRDefault="004528D8" w:rsidP="00057E07">
      <w:pPr>
        <w:pStyle w:val="InterpretationletzteZeile"/>
      </w:pPr>
      <w:r>
        <w:rPr>
          <w:i/>
        </w:rPr>
        <w:t>Er</w:t>
      </w:r>
      <w:r>
        <w:rPr>
          <w:vertAlign w:val="subscript"/>
        </w:rPr>
        <w:t>2</w:t>
      </w:r>
      <w:r>
        <w:t xml:space="preserve">: ‚Gründe für </w:t>
      </w:r>
      <w:r>
        <w:rPr>
          <w:i/>
        </w:rPr>
        <w:t>Er</w:t>
      </w:r>
      <w:r>
        <w:rPr>
          <w:vertAlign w:val="subscript"/>
        </w:rPr>
        <w:t>1</w:t>
      </w:r>
      <w:r>
        <w:t xml:space="preserve"> könnten sein, dass bei einem neu gewonnenen Vorteil die Frustration des Gegners ausgenutzt und die günstige Veränderungsrichtung des Spiels fortgesetzt werden soll, während ein bereits länger andauernder Vorteil als ausreichend stabil für einen Sieg erscheint und abgesichert werden soll‘</w:t>
      </w:r>
    </w:p>
    <w:p w:rsidR="004528D8" w:rsidRDefault="004528D8" w:rsidP="00057E07">
      <w:pPr>
        <w:pStyle w:val="Text"/>
        <w:ind w:firstLine="0"/>
      </w:pPr>
      <w:r>
        <w:lastRenderedPageBreak/>
        <w:t>Hier lassen sich also sinnvolle Prinzipien finden (</w:t>
      </w:r>
      <w:r>
        <w:rPr>
          <w:i/>
          <w:iCs/>
        </w:rPr>
        <w:t>Er</w:t>
      </w:r>
      <w:r>
        <w:rPr>
          <w:vertAlign w:val="subscript"/>
        </w:rPr>
        <w:t>1</w:t>
      </w:r>
      <w:r>
        <w:t>), die den Stil begründen, und auch Gründe für diese Prinzipien vermuten (</w:t>
      </w:r>
      <w:r>
        <w:rPr>
          <w:i/>
          <w:iCs/>
        </w:rPr>
        <w:t>Er</w:t>
      </w:r>
      <w:r>
        <w:rPr>
          <w:vertAlign w:val="subscript"/>
        </w:rPr>
        <w:t>2</w:t>
      </w:r>
      <w:r>
        <w:t>). Dagegen lässt sich im folgenden Beispiel beim besten Willen kein plausibles Ergebnis aus den Relati</w:t>
      </w:r>
      <w:r>
        <w:t>o</w:t>
      </w:r>
      <w:r>
        <w:t>nen der Eigenschaften ableiten:</w:t>
      </w:r>
    </w:p>
    <w:p w:rsidR="009413B5" w:rsidRDefault="009413B5" w:rsidP="009413B5">
      <w:pPr>
        <w:pStyle w:val="Interpretation1Zeile"/>
        <w:keepNext/>
      </w:pPr>
      <w:r w:rsidRPr="00DF35E4">
        <w:t xml:space="preserve">[Variante </w:t>
      </w:r>
      <w:r>
        <w:t>12:</w:t>
      </w:r>
      <w:r w:rsidRPr="00DF35E4">
        <w:t>]</w:t>
      </w:r>
    </w:p>
    <w:p w:rsidR="004528D8" w:rsidRDefault="004528D8" w:rsidP="009413B5">
      <w:pPr>
        <w:pStyle w:val="Interpretation"/>
      </w:pPr>
      <w:r>
        <w:rPr>
          <w:i/>
        </w:rPr>
        <w:t>U</w:t>
      </w:r>
      <w:r w:rsidRPr="00060E80">
        <w:t>(</w:t>
      </w:r>
      <w:r>
        <w:rPr>
          <w:i/>
        </w:rPr>
        <w:t>B</w:t>
      </w:r>
      <w:r>
        <w:rPr>
          <w:vertAlign w:val="subscript"/>
        </w:rPr>
        <w:t>1</w:t>
      </w:r>
      <w:r>
        <w:t xml:space="preserve">): ‚im Vorteil (wenn der erste Zug des </w:t>
      </w:r>
      <w:r w:rsidR="0085753F">
        <w:t xml:space="preserve">SN </w:t>
      </w:r>
      <w:r>
        <w:t xml:space="preserve">länger als der zweite dauerte)‘, </w:t>
      </w:r>
      <w:r>
        <w:rPr>
          <w:i/>
        </w:rPr>
        <w:t>V</w:t>
      </w:r>
      <w:r w:rsidRPr="00060E80">
        <w:t>(</w:t>
      </w:r>
      <w:r>
        <w:rPr>
          <w:i/>
        </w:rPr>
        <w:t>B</w:t>
      </w:r>
      <w:r>
        <w:rPr>
          <w:vertAlign w:val="subscript"/>
        </w:rPr>
        <w:t>1</w:t>
      </w:r>
      <w:r>
        <w:t>): ‚aggressiv‘</w:t>
      </w:r>
    </w:p>
    <w:p w:rsidR="004528D8" w:rsidRDefault="004528D8" w:rsidP="00057E07">
      <w:pPr>
        <w:pStyle w:val="InterpretationletzteZeile"/>
      </w:pPr>
      <w:r>
        <w:rPr>
          <w:i/>
        </w:rPr>
        <w:t>U</w:t>
      </w:r>
      <w:r w:rsidRPr="00060E80">
        <w:t>(</w:t>
      </w:r>
      <w:r>
        <w:rPr>
          <w:i/>
        </w:rPr>
        <w:t>B</w:t>
      </w:r>
      <w:r>
        <w:rPr>
          <w:vertAlign w:val="subscript"/>
        </w:rPr>
        <w:t>2</w:t>
      </w:r>
      <w:r>
        <w:t xml:space="preserve">): ‚im Vorteil‘ (wenn der zweite Zug des </w:t>
      </w:r>
      <w:r w:rsidR="0085753F">
        <w:t xml:space="preserve">SN </w:t>
      </w:r>
      <w:r>
        <w:t xml:space="preserve">länger als der erste dauerte)‘, </w:t>
      </w:r>
      <w:r>
        <w:rPr>
          <w:i/>
        </w:rPr>
        <w:t>V</w:t>
      </w:r>
      <w:r w:rsidRPr="00060E80">
        <w:t>(</w:t>
      </w:r>
      <w:r>
        <w:rPr>
          <w:i/>
        </w:rPr>
        <w:t>B</w:t>
      </w:r>
      <w:r>
        <w:rPr>
          <w:vertAlign w:val="subscript"/>
        </w:rPr>
        <w:t>2</w:t>
      </w:r>
      <w:r>
        <w:t>): ‚defensiv‘</w:t>
      </w:r>
    </w:p>
    <w:p w:rsidR="004528D8" w:rsidRDefault="004528D8" w:rsidP="00057E07">
      <w:pPr>
        <w:pStyle w:val="Text"/>
        <w:ind w:firstLine="0"/>
      </w:pPr>
      <w:r>
        <w:t>Die verschiedenen hier vorgestellten Beispiele sollten illustrieren, dass einfache Relationen wie Gegensätzlichkeit, Gleichheit und Ähnlichkeit zwischen Eige</w:t>
      </w:r>
      <w:r>
        <w:t>n</w:t>
      </w:r>
      <w:r>
        <w:t xml:space="preserve">schaften aus den </w:t>
      </w:r>
      <w:r w:rsidRPr="00774B5F">
        <w:rPr>
          <w:i/>
        </w:rPr>
        <w:t>U</w:t>
      </w:r>
      <w:r>
        <w:t xml:space="preserve"> und </w:t>
      </w:r>
      <w:r w:rsidRPr="00774B5F">
        <w:rPr>
          <w:i/>
        </w:rPr>
        <w:t>V</w:t>
      </w:r>
      <w:r>
        <w:t xml:space="preserve"> verschiedener Merkmalsregeln eine Rolle bei der E</w:t>
      </w:r>
      <w:r>
        <w:t>r</w:t>
      </w:r>
      <w:r>
        <w:t xml:space="preserve">zeugung von Ergebnissen spielen können. Auch in diesem Fall ist jedoch oft zusätzliches Hintergrundwissen erforderlich; nur selten können Ergebnisse durch die Anwendung von Relationen direkt aus den </w:t>
      </w:r>
      <w:r w:rsidRPr="00ED1AB8">
        <w:rPr>
          <w:i/>
        </w:rPr>
        <w:t>U</w:t>
      </w:r>
      <w:r>
        <w:t xml:space="preserve"> oder </w:t>
      </w:r>
      <w:r w:rsidRPr="00ED1AB8">
        <w:rPr>
          <w:i/>
        </w:rPr>
        <w:t>V</w:t>
      </w:r>
      <w:r>
        <w:t xml:space="preserve"> von Merkmalsr</w:t>
      </w:r>
      <w:r>
        <w:t>e</w:t>
      </w:r>
      <w:r>
        <w:t xml:space="preserve">geln abgeleitet werden (beispielsweise wird in </w:t>
      </w:r>
      <w:r w:rsidRPr="009413B5">
        <w:t>Variante 7</w:t>
      </w:r>
      <w:r>
        <w:t xml:space="preserve"> auf diese Weise ein Ergebnis erzeugt, das aber relativ unpräzise ist).</w:t>
      </w:r>
    </w:p>
    <w:p w:rsidR="004528D8" w:rsidRPr="004528D8" w:rsidRDefault="004528D8">
      <w:pPr>
        <w:pStyle w:val="Text"/>
      </w:pPr>
      <w:r>
        <w:t>Einfache Relationen sind also bei Stil nicht die Voraussetzung für die En</w:t>
      </w:r>
      <w:r>
        <w:t>t</w:t>
      </w:r>
      <w:r>
        <w:t>stehung von</w:t>
      </w:r>
      <w:r w:rsidR="00852694">
        <w:t xml:space="preserve"> </w:t>
      </w:r>
      <w:r>
        <w:t>Interpretationsergebnissen, wie aus strukturalistischer</w:t>
      </w:r>
      <w:r w:rsidR="005D7996">
        <w:fldChar w:fldCharType="begin"/>
      </w:r>
      <w:r w:rsidR="002830E9">
        <w:instrText xml:space="preserve"> XE "</w:instrText>
      </w:r>
      <w:r w:rsidR="002830E9" w:rsidRPr="00382C69">
        <w:instrText>Strukturalismus</w:instrText>
      </w:r>
      <w:r w:rsidR="002830E9">
        <w:instrText xml:space="preserve">" </w:instrText>
      </w:r>
      <w:r w:rsidR="005D7996">
        <w:fldChar w:fldCharType="end"/>
      </w:r>
      <w:r>
        <w:t xml:space="preserve"> Perspektive vermutet werden könnte. Die meisten </w:t>
      </w:r>
      <w:r w:rsidR="00852694">
        <w:t xml:space="preserve">Ergebnisse </w:t>
      </w:r>
      <w:r>
        <w:t>entstehen erst durch Rückgriff auf Hintergrundwissen.</w:t>
      </w:r>
    </w:p>
    <w:p w:rsidR="002E5C24" w:rsidRDefault="00DB650E" w:rsidP="00C748EC">
      <w:pPr>
        <w:pStyle w:val="Titel3"/>
      </w:pPr>
      <w:bookmarkStart w:id="378" w:name="_Ref254550229"/>
      <w:bookmarkStart w:id="379" w:name="_Toc325456792"/>
      <w:bookmarkStart w:id="380" w:name="Liszt"/>
      <w:bookmarkEnd w:id="377"/>
      <w:r>
        <w:t>Liszt</w:t>
      </w:r>
      <w:r w:rsidR="0055012C">
        <w:t xml:space="preserve">s Interpretation der </w:t>
      </w:r>
      <w:r w:rsidR="00C748EC">
        <w:t>Zigeunermusik</w:t>
      </w:r>
      <w:bookmarkEnd w:id="378"/>
      <w:bookmarkEnd w:id="379"/>
    </w:p>
    <w:p w:rsidR="0030310D" w:rsidRDefault="005D7996" w:rsidP="009B5D36">
      <w:pPr>
        <w:pStyle w:val="Text"/>
        <w:ind w:firstLine="0"/>
      </w:pPr>
      <w:r>
        <w:fldChar w:fldCharType="begin"/>
      </w:r>
      <w:r w:rsidR="009C627C">
        <w:instrText xml:space="preserve"> XE "Liszt, Franz" \r "Liszt" </w:instrText>
      </w:r>
      <w:r>
        <w:fldChar w:fldCharType="end"/>
      </w:r>
      <w:r>
        <w:fldChar w:fldCharType="begin"/>
      </w:r>
      <w:r w:rsidR="009C627C">
        <w:instrText xml:space="preserve"> XE "Zigeunermusik" \r "Liszt" </w:instrText>
      </w:r>
      <w:r>
        <w:fldChar w:fldCharType="end"/>
      </w:r>
      <w:r>
        <w:fldChar w:fldCharType="begin"/>
      </w:r>
      <w:r w:rsidR="00CC29CE">
        <w:instrText xml:space="preserve"> XE "Roma, Musik der" \r "Liszt" </w:instrText>
      </w:r>
      <w:r>
        <w:fldChar w:fldCharType="end"/>
      </w:r>
      <w:r>
        <w:fldChar w:fldCharType="begin"/>
      </w:r>
      <w:r w:rsidR="00FE1E6A">
        <w:instrText xml:space="preserve"> XE "Richtung (Musik)" \r "Liszt" </w:instrText>
      </w:r>
      <w:r>
        <w:fldChar w:fldCharType="end"/>
      </w:r>
      <w:r w:rsidR="0030310D">
        <w:t xml:space="preserve">Franz </w:t>
      </w:r>
      <w:r w:rsidR="00C748EC">
        <w:t>Liszt</w:t>
      </w:r>
      <w:r w:rsidR="0030310D">
        <w:t xml:space="preserve">, der </w:t>
      </w:r>
      <w:r w:rsidR="00FE1E6A">
        <w:t xml:space="preserve">berühmte </w:t>
      </w:r>
      <w:r w:rsidR="0030310D">
        <w:t xml:space="preserve">Komponist </w:t>
      </w:r>
      <w:r w:rsidR="007F2840">
        <w:t xml:space="preserve">und Pianist </w:t>
      </w:r>
      <w:r w:rsidR="0030310D">
        <w:t xml:space="preserve">der </w:t>
      </w:r>
      <w:r w:rsidR="00205E57">
        <w:t>Romantik</w:t>
      </w:r>
      <w:r w:rsidR="0030310D">
        <w:t xml:space="preserve">, hat ein Buch über die </w:t>
      </w:r>
      <w:r w:rsidR="001944FD">
        <w:t xml:space="preserve">ungarische Volksmusik </w:t>
      </w:r>
      <w:r w:rsidR="0030310D">
        <w:t>seiner Zeit geschrieben</w:t>
      </w:r>
      <w:r w:rsidR="001944FD">
        <w:t>, die damals weithin als „Zigeunermusik“ bezeichnet und wahrgenommen wurde</w:t>
      </w:r>
      <w:r w:rsidR="0030310D">
        <w:t>.</w:t>
      </w:r>
      <w:r w:rsidR="001944FD">
        <w:rPr>
          <w:rStyle w:val="Funotenzeichen"/>
        </w:rPr>
        <w:footnoteReference w:id="475"/>
      </w:r>
      <w:r w:rsidR="0030310D">
        <w:t xml:space="preserve"> Ein Kapitel dieses Buchs </w:t>
      </w:r>
      <w:r w:rsidR="003D03F5">
        <w:t>widmet sich der Beschreibung</w:t>
      </w:r>
      <w:r w:rsidR="0030310D">
        <w:t xml:space="preserve"> </w:t>
      </w:r>
      <w:r w:rsidR="003D03F5">
        <w:t xml:space="preserve">des Stils </w:t>
      </w:r>
      <w:r w:rsidR="003A5F3D">
        <w:t>dieser Musikrichtung</w:t>
      </w:r>
      <w:r w:rsidR="0030310D">
        <w:t>.</w:t>
      </w:r>
      <w:r w:rsidR="00C748EC">
        <w:rPr>
          <w:rStyle w:val="Funotenzeichen"/>
        </w:rPr>
        <w:footnoteReference w:id="476"/>
      </w:r>
      <w:r w:rsidR="0030310D">
        <w:t xml:space="preserve"> </w:t>
      </w:r>
      <w:r w:rsidR="00C04F09">
        <w:t>Im Fo</w:t>
      </w:r>
      <w:r w:rsidR="00C04F09">
        <w:t>l</w:t>
      </w:r>
      <w:r w:rsidR="00C04F09">
        <w:t xml:space="preserve">genden soll versucht werden, diese oft </w:t>
      </w:r>
      <w:r w:rsidR="00613484">
        <w:t>poetisch-</w:t>
      </w:r>
      <w:r w:rsidR="00C04F09">
        <w:t>emphatisch</w:t>
      </w:r>
      <w:r w:rsidR="00613484">
        <w:t xml:space="preserve"> formulierte</w:t>
      </w:r>
      <w:r w:rsidR="00C04F09">
        <w:t xml:space="preserve">, aber auch kenntnisreiche </w:t>
      </w:r>
      <w:r w:rsidR="001944FD">
        <w:t>Stilinterpretation</w:t>
      </w:r>
      <w:r w:rsidR="00C04F09">
        <w:t xml:space="preserve"> nachzuvollziehen. Liszt, der seine „Ung</w:t>
      </w:r>
      <w:r w:rsidR="00C04F09">
        <w:t>a</w:t>
      </w:r>
      <w:r w:rsidR="00C04F09">
        <w:t>rischen Tänze</w:t>
      </w:r>
      <w:r>
        <w:fldChar w:fldCharType="begin"/>
      </w:r>
      <w:r w:rsidR="009C627C">
        <w:instrText xml:space="preserve"> XE "</w:instrText>
      </w:r>
      <w:r w:rsidR="009C627C" w:rsidRPr="00D761BF">
        <w:instrText>Ungarische Tänze (Liszt)</w:instrText>
      </w:r>
      <w:r w:rsidR="009C627C">
        <w:instrText xml:space="preserve">" </w:instrText>
      </w:r>
      <w:r>
        <w:fldChar w:fldCharType="end"/>
      </w:r>
      <w:r w:rsidR="00C04F09">
        <w:t>“ und „Ungarischen Rhapsodien</w:t>
      </w:r>
      <w:r>
        <w:fldChar w:fldCharType="begin"/>
      </w:r>
      <w:r w:rsidR="009C627C">
        <w:instrText xml:space="preserve"> XE "</w:instrText>
      </w:r>
      <w:r w:rsidR="009C627C" w:rsidRPr="00D761BF">
        <w:instrText xml:space="preserve">Ungarische </w:instrText>
      </w:r>
      <w:r w:rsidR="009C627C">
        <w:instrText>Rhapsodien</w:instrText>
      </w:r>
      <w:r w:rsidR="009C627C" w:rsidRPr="00D761BF">
        <w:instrText xml:space="preserve"> (Liszt)</w:instrText>
      </w:r>
      <w:r w:rsidR="009C627C">
        <w:instrText xml:space="preserve">" </w:instrText>
      </w:r>
      <w:r>
        <w:fldChar w:fldCharType="end"/>
      </w:r>
      <w:r w:rsidR="00C04F09">
        <w:t xml:space="preserve">“ </w:t>
      </w:r>
      <w:r w:rsidR="004B3256">
        <w:t xml:space="preserve">eng an die </w:t>
      </w:r>
      <w:r w:rsidR="00C04F09">
        <w:t xml:space="preserve">Zigeunermusik </w:t>
      </w:r>
      <w:r w:rsidR="004B3256">
        <w:t>a</w:t>
      </w:r>
      <w:r w:rsidR="004B3256">
        <w:t>n</w:t>
      </w:r>
      <w:r w:rsidR="004B3256">
        <w:t>lehnte</w:t>
      </w:r>
      <w:r w:rsidR="00C04F09">
        <w:t>, wollte die Besonderheiten dieser Musik</w:t>
      </w:r>
      <w:r w:rsidR="009C627C">
        <w:t>richtung</w:t>
      </w:r>
      <w:r w:rsidR="00C04F09">
        <w:t xml:space="preserve"> seinen Zeitgenossen nahebringen; </w:t>
      </w:r>
      <w:r w:rsidR="00205E57">
        <w:t xml:space="preserve">das war </w:t>
      </w:r>
      <w:r w:rsidR="00C04F09">
        <w:t xml:space="preserve">umso nötiger, als </w:t>
      </w:r>
      <w:r w:rsidR="00044487">
        <w:t xml:space="preserve">ihre </w:t>
      </w:r>
      <w:r w:rsidR="00C04F09">
        <w:t xml:space="preserve">Andersartigkeit damals nicht als </w:t>
      </w:r>
      <w:r w:rsidR="00C04F09">
        <w:lastRenderedPageBreak/>
        <w:t xml:space="preserve">Reichtum verstanden wurde, sondern zeitgenössischen Musikern </w:t>
      </w:r>
      <w:r w:rsidR="00245409">
        <w:t xml:space="preserve">oft </w:t>
      </w:r>
      <w:r w:rsidR="004C44AB">
        <w:t>schlicht</w:t>
      </w:r>
      <w:r w:rsidR="00245409">
        <w:t xml:space="preserve"> als falsch galt.</w:t>
      </w:r>
      <w:r w:rsidR="00245409">
        <w:rPr>
          <w:rStyle w:val="Funotenzeichen"/>
        </w:rPr>
        <w:footnoteReference w:id="477"/>
      </w:r>
      <w:r w:rsidR="00B93B09">
        <w:t xml:space="preserve"> Obwohl Liszts Darstellung seine Bewunderung für die Zigeune</w:t>
      </w:r>
      <w:r w:rsidR="00B93B09">
        <w:t>r</w:t>
      </w:r>
      <w:r w:rsidR="00B93B09">
        <w:t xml:space="preserve">musik </w:t>
      </w:r>
      <w:r w:rsidR="003A2504">
        <w:t xml:space="preserve">deutlich </w:t>
      </w:r>
      <w:r w:rsidR="00006431">
        <w:t>werden lässt</w:t>
      </w:r>
      <w:r w:rsidR="00B93B09">
        <w:t xml:space="preserve">, enthält sie </w:t>
      </w:r>
      <w:r w:rsidR="00006431">
        <w:t xml:space="preserve">zugleich </w:t>
      </w:r>
      <w:r w:rsidR="001944FD">
        <w:t xml:space="preserve">viele </w:t>
      </w:r>
      <w:r w:rsidR="00B93B09">
        <w:t>Klischees</w:t>
      </w:r>
      <w:r w:rsidR="00006431">
        <w:t xml:space="preserve"> und Annahmen</w:t>
      </w:r>
      <w:r w:rsidR="00B93B09">
        <w:t xml:space="preserve">, die damalige Vorurteile gegenüber </w:t>
      </w:r>
      <w:r w:rsidR="001944FD">
        <w:t xml:space="preserve">den </w:t>
      </w:r>
      <w:r w:rsidR="00B93B09">
        <w:t>Roma widerspiegeln</w:t>
      </w:r>
      <w:r w:rsidR="00006431">
        <w:t>.</w:t>
      </w:r>
    </w:p>
    <w:p w:rsidR="00E948E6" w:rsidRDefault="001F4BE2">
      <w:pPr>
        <w:pStyle w:val="Text"/>
      </w:pPr>
      <w:r>
        <w:t>E</w:t>
      </w:r>
      <w:r w:rsidR="00633048">
        <w:t xml:space="preserve">ine Musikrichtung ist mehr </w:t>
      </w:r>
      <w:r w:rsidR="00B70C16">
        <w:t xml:space="preserve">als nur </w:t>
      </w:r>
      <w:r w:rsidR="00633048">
        <w:t xml:space="preserve">ein bestimmter </w:t>
      </w:r>
      <w:r w:rsidR="00B70C16">
        <w:t>Stil und darf nicht auf diesen reduziert werden</w:t>
      </w:r>
      <w:r>
        <w:t>.</w:t>
      </w:r>
      <w:r>
        <w:rPr>
          <w:rStyle w:val="Funotenzeichen"/>
        </w:rPr>
        <w:footnoteReference w:id="478"/>
      </w:r>
      <w:r w:rsidR="00B70C16">
        <w:t xml:space="preserve"> </w:t>
      </w:r>
      <w:r w:rsidR="00930174">
        <w:t>Tatsächlich</w:t>
      </w:r>
      <w:r w:rsidR="00B70C16">
        <w:t xml:space="preserve"> beschränkt sich die Liszt</w:t>
      </w:r>
      <w:r w:rsidR="00072835">
        <w:t>’</w:t>
      </w:r>
      <w:r w:rsidR="00B70C16">
        <w:t xml:space="preserve">sche </w:t>
      </w:r>
      <w:r w:rsidR="00374050">
        <w:t>Darste</w:t>
      </w:r>
      <w:r w:rsidR="00374050">
        <w:t>l</w:t>
      </w:r>
      <w:r w:rsidR="00374050">
        <w:t xml:space="preserve">lung </w:t>
      </w:r>
      <w:r w:rsidR="006579D3">
        <w:t xml:space="preserve">in diesem Kapitel </w:t>
      </w:r>
      <w:r w:rsidR="00A91F8B">
        <w:t xml:space="preserve">vorwiegend </w:t>
      </w:r>
      <w:r w:rsidR="00B70C16">
        <w:t xml:space="preserve">auf </w:t>
      </w:r>
      <w:r w:rsidR="00C37B97">
        <w:t xml:space="preserve">die </w:t>
      </w:r>
      <w:r w:rsidR="00374050">
        <w:t>allgemeinen Prinzipien der Zigeune</w:t>
      </w:r>
      <w:r w:rsidR="00374050">
        <w:t>r</w:t>
      </w:r>
      <w:r w:rsidR="00374050">
        <w:t>musik</w:t>
      </w:r>
      <w:r>
        <w:t xml:space="preserve">, </w:t>
      </w:r>
      <w:r w:rsidR="00374050">
        <w:t xml:space="preserve">allerdings </w:t>
      </w:r>
      <w:r>
        <w:t>verbunden mit Informationen über Lebensweise und vermein</w:t>
      </w:r>
      <w:r>
        <w:t>t</w:t>
      </w:r>
      <w:r>
        <w:t>lichen Charakter der Zigeuner, die von Liszt zur Erklärung ihrer Musik herang</w:t>
      </w:r>
      <w:r>
        <w:t>e</w:t>
      </w:r>
      <w:r>
        <w:t>zogen werden.</w:t>
      </w:r>
      <w:r w:rsidR="00B70C16">
        <w:t xml:space="preserve"> </w:t>
      </w:r>
      <w:r>
        <w:t xml:space="preserve">Die folgende </w:t>
      </w:r>
      <w:r w:rsidR="00832495">
        <w:t xml:space="preserve">Darstellung </w:t>
      </w:r>
      <w:r w:rsidR="00374050">
        <w:t>betrachtet die Liszt</w:t>
      </w:r>
      <w:r w:rsidR="00072835">
        <w:t>’</w:t>
      </w:r>
      <w:r w:rsidR="00374050">
        <w:t xml:space="preserve">schen Aussagen zu den Prinzipien der </w:t>
      </w:r>
      <w:r w:rsidR="00D11423">
        <w:t>Harmonik</w:t>
      </w:r>
      <w:r w:rsidR="005D7996">
        <w:fldChar w:fldCharType="begin"/>
      </w:r>
      <w:r w:rsidR="00960D60">
        <w:instrText xml:space="preserve"> XE "</w:instrText>
      </w:r>
      <w:r w:rsidR="00960D60" w:rsidRPr="00B00B8F">
        <w:instrText>Harmonik</w:instrText>
      </w:r>
      <w:r w:rsidR="00960D60">
        <w:instrText xml:space="preserve">" </w:instrText>
      </w:r>
      <w:r w:rsidR="005D7996">
        <w:fldChar w:fldCharType="end"/>
      </w:r>
      <w:r w:rsidR="00D11423">
        <w:t>, Rhythmik</w:t>
      </w:r>
      <w:r w:rsidR="005D7996">
        <w:fldChar w:fldCharType="begin"/>
      </w:r>
      <w:r w:rsidR="00960D60">
        <w:instrText xml:space="preserve"> XE "</w:instrText>
      </w:r>
      <w:r w:rsidR="00960D60" w:rsidRPr="00903706">
        <w:instrText>Rhythmik</w:instrText>
      </w:r>
      <w:r w:rsidR="00960D60">
        <w:instrText xml:space="preserve">" </w:instrText>
      </w:r>
      <w:r w:rsidR="005D7996">
        <w:fldChar w:fldCharType="end"/>
      </w:r>
      <w:r w:rsidR="00D11423">
        <w:t>, Melodik</w:t>
      </w:r>
      <w:r w:rsidR="005D7996">
        <w:fldChar w:fldCharType="begin"/>
      </w:r>
      <w:r w:rsidR="00960D60">
        <w:instrText xml:space="preserve"> XE "</w:instrText>
      </w:r>
      <w:r w:rsidR="00960D60" w:rsidRPr="002B086A">
        <w:instrText>Melodik</w:instrText>
      </w:r>
      <w:r w:rsidR="00960D60">
        <w:instrText xml:space="preserve">" </w:instrText>
      </w:r>
      <w:r w:rsidR="005D7996">
        <w:fldChar w:fldCharType="end"/>
      </w:r>
      <w:r w:rsidR="00D11423">
        <w:t>, Besetz</w:t>
      </w:r>
      <w:r>
        <w:t>ung</w:t>
      </w:r>
      <w:r w:rsidR="005D7996">
        <w:fldChar w:fldCharType="begin"/>
      </w:r>
      <w:r w:rsidR="00960D60">
        <w:instrText xml:space="preserve"> XE "</w:instrText>
      </w:r>
      <w:r w:rsidR="00960D60" w:rsidRPr="0012400C">
        <w:instrText>Besetzung (Musik)</w:instrText>
      </w:r>
      <w:r w:rsidR="00960D60">
        <w:instrText xml:space="preserve">" </w:instrText>
      </w:r>
      <w:r w:rsidR="005D7996">
        <w:fldChar w:fldCharType="end"/>
      </w:r>
      <w:r>
        <w:t xml:space="preserve"> und</w:t>
      </w:r>
      <w:r w:rsidR="00C608D5">
        <w:t xml:space="preserve"> Auffü</w:t>
      </w:r>
      <w:r w:rsidR="00C608D5">
        <w:t>h</w:t>
      </w:r>
      <w:r w:rsidR="00C608D5">
        <w:t>rungspraxis</w:t>
      </w:r>
      <w:r w:rsidR="005D7996">
        <w:fldChar w:fldCharType="begin"/>
      </w:r>
      <w:r w:rsidR="00960D60">
        <w:instrText xml:space="preserve"> XE "</w:instrText>
      </w:r>
      <w:r w:rsidR="00960D60" w:rsidRPr="00A656AE">
        <w:instrText>Aufführungspraxis</w:instrText>
      </w:r>
      <w:r w:rsidR="00960D60">
        <w:instrText xml:space="preserve">" </w:instrText>
      </w:r>
      <w:r w:rsidR="005D7996">
        <w:fldChar w:fldCharType="end"/>
      </w:r>
      <w:r>
        <w:t xml:space="preserve"> </w:t>
      </w:r>
      <w:r w:rsidR="00374050">
        <w:t>als Merkmal</w:t>
      </w:r>
      <w:r w:rsidR="00B1304B">
        <w:t>sregeln</w:t>
      </w:r>
      <w:r w:rsidR="00374050">
        <w:t xml:space="preserve">. Sie </w:t>
      </w:r>
      <w:r w:rsidR="00A91F8B">
        <w:t xml:space="preserve">analysiert </w:t>
      </w:r>
      <w:r w:rsidR="00374050">
        <w:t>diese Prinzipien der Zigeunerm</w:t>
      </w:r>
      <w:r w:rsidR="00374050">
        <w:t>u</w:t>
      </w:r>
      <w:r w:rsidR="00374050">
        <w:t xml:space="preserve">sik als </w:t>
      </w:r>
      <w:r w:rsidR="00B13C55">
        <w:t xml:space="preserve">einen allgemeinen </w:t>
      </w:r>
      <w:r w:rsidR="00374050">
        <w:t>Stil</w:t>
      </w:r>
      <w:r w:rsidR="00B13C55">
        <w:t xml:space="preserve">, der </w:t>
      </w:r>
      <w:r w:rsidR="00A91F8B">
        <w:t xml:space="preserve">von Liszt </w:t>
      </w:r>
      <w:r w:rsidR="00B13C55">
        <w:t>einer ganzen Musikrichtung zug</w:t>
      </w:r>
      <w:r w:rsidR="00B13C55">
        <w:t>e</w:t>
      </w:r>
      <w:r w:rsidR="00B13C55">
        <w:t xml:space="preserve">schrieben wird (in Wirklichkeit dürfte die </w:t>
      </w:r>
      <w:r w:rsidR="00A91F8B">
        <w:t xml:space="preserve">damalige </w:t>
      </w:r>
      <w:r w:rsidR="00B13C55">
        <w:t>Zigeunermusik heterogen</w:t>
      </w:r>
      <w:r w:rsidR="00930174">
        <w:t>er</w:t>
      </w:r>
      <w:r w:rsidR="00B13C55">
        <w:t xml:space="preserve"> gewesen sein und verschiedene Stile </w:t>
      </w:r>
      <w:r w:rsidR="00E656AB">
        <w:t xml:space="preserve">besessen </w:t>
      </w:r>
      <w:r w:rsidR="00B13C55">
        <w:t>haben). Dies ist möglich, indem das allgemeine Schema ‚</w:t>
      </w:r>
      <w:r w:rsidR="00516047">
        <w:t>Musik</w:t>
      </w:r>
      <w:r w:rsidR="00B13C55">
        <w:t>‘ als Grundlage genommen, dabei aber nur solche Merkmalsregeln verwendet werden, die sich auf eine ganze Musikrichtung bezi</w:t>
      </w:r>
      <w:r w:rsidR="00B13C55">
        <w:t>e</w:t>
      </w:r>
      <w:r w:rsidR="00B13C55">
        <w:t>hen lassen.</w:t>
      </w:r>
    </w:p>
    <w:p w:rsidR="00410578" w:rsidRDefault="00180706">
      <w:pPr>
        <w:pStyle w:val="Text"/>
      </w:pPr>
      <w:r>
        <w:t>Die hier vorgestellte Interpretation</w:t>
      </w:r>
      <w:r w:rsidR="00832495">
        <w:t xml:space="preserve"> </w:t>
      </w:r>
      <w:r>
        <w:t xml:space="preserve">modelliert </w:t>
      </w:r>
      <w:r w:rsidR="00E656AB">
        <w:t xml:space="preserve">nur Ausschnitte </w:t>
      </w:r>
      <w:r>
        <w:t>der Liszt</w:t>
      </w:r>
      <w:r w:rsidR="00072835">
        <w:t>’</w:t>
      </w:r>
      <w:r>
        <w:t xml:space="preserve">schen Interpretation. Sie kann diese nicht vollständig wiedergeben, und auch die gewählten Aspekte werden meist in gegenüber dem Originaltext leicht veränderter Form erzeugt. </w:t>
      </w:r>
      <w:r w:rsidR="004F3D04">
        <w:t xml:space="preserve">Grundsätzlich kann bei einer solchen Darstellung der Genauigkeitsgrad bestimmt werden; durch die Annahme </w:t>
      </w:r>
      <w:r w:rsidR="003E0E01">
        <w:t>weiterer Interpretat</w:t>
      </w:r>
      <w:r w:rsidR="003E0E01">
        <w:t>i</w:t>
      </w:r>
      <w:r w:rsidR="003E0E01">
        <w:t>onsschritte und Elemente des Hintergrundwissens</w:t>
      </w:r>
      <w:r w:rsidR="004F3D04">
        <w:t xml:space="preserve"> </w:t>
      </w:r>
      <w:r w:rsidR="003E0E01">
        <w:t>könnte eine genauere Ann</w:t>
      </w:r>
      <w:r w:rsidR="003E0E01">
        <w:t>ä</w:t>
      </w:r>
      <w:r w:rsidR="003E0E01">
        <w:t>herung erreicht werden.</w:t>
      </w:r>
    </w:p>
    <w:p w:rsidR="005B09ED" w:rsidRDefault="00410578">
      <w:pPr>
        <w:pStyle w:val="Text"/>
      </w:pPr>
      <w:r>
        <w:t xml:space="preserve">Beim Nachvollzug der Interpretation </w:t>
      </w:r>
      <w:r w:rsidR="00072835">
        <w:t xml:space="preserve">von Liszt </w:t>
      </w:r>
      <w:r>
        <w:t>sind Merkmalsregeln und Ergebnisse so eng wie möglich am Text orientiert; Elemente des Hintergrun</w:t>
      </w:r>
      <w:r>
        <w:t>d</w:t>
      </w:r>
      <w:r>
        <w:t xml:space="preserve">wissens werden bei Bedarf angenommen, um die Erzeugung der Ergebnisse zu ermöglichen. </w:t>
      </w:r>
      <w:r w:rsidR="00B13C55">
        <w:t>Wo längere Passagen direkt übernommen werden können, werden Ausdrucksweise und Schreibung beibehalten; wo sich nur Annäherungen erg</w:t>
      </w:r>
      <w:r w:rsidR="00B13C55">
        <w:t>e</w:t>
      </w:r>
      <w:r w:rsidR="00B13C55">
        <w:t>ben, werden moderne Formulierungen gewählt.</w:t>
      </w:r>
    </w:p>
    <w:p w:rsidR="00E948E6" w:rsidRPr="001A5B35" w:rsidRDefault="00E948E6" w:rsidP="00C86029">
      <w:pPr>
        <w:pStyle w:val="ZitatAbsto"/>
      </w:pPr>
      <w:r w:rsidRPr="001A5B35">
        <w:t>„[I]hr Modulationssystem [beruht] auf einer Art gänzlicher Verneinung jedes bestimmten derartigen Systems“</w:t>
      </w:r>
      <w:r w:rsidR="008940CC" w:rsidRPr="001A5B35">
        <w:t xml:space="preserve"> (160)</w:t>
      </w:r>
      <w:r w:rsidRPr="001A5B35">
        <w:t>. „Alles ist gut, Alles erlaubt, wenn es ihnen gefällt. Sie scheuen vor keiner musikalischen Kühnheit zurück, wenn sie nur ihrem kühnen Trieb entspricht, wenn sie eine treue Spiegelung ihres W</w:t>
      </w:r>
      <w:r w:rsidRPr="001A5B35">
        <w:t>e</w:t>
      </w:r>
      <w:r w:rsidRPr="001A5B35">
        <w:t>sens in ihr erkennen.“</w:t>
      </w:r>
      <w:r w:rsidR="008940CC" w:rsidRPr="001A5B35">
        <w:t xml:space="preserve"> (161)</w:t>
      </w:r>
    </w:p>
    <w:p w:rsidR="00E948E6" w:rsidRPr="001A5B35" w:rsidRDefault="00E948E6" w:rsidP="00C86029">
      <w:pPr>
        <w:pStyle w:val="ZitatMitte"/>
      </w:pPr>
      <w:r w:rsidRPr="001A5B35">
        <w:t>„Übergangsakkorde sind, mit wenigen Ausnahmen bei dem kecken Ergre</w:t>
      </w:r>
      <w:r w:rsidRPr="001A5B35">
        <w:t>i</w:t>
      </w:r>
      <w:r w:rsidRPr="001A5B35">
        <w:t>fen einer Tonalität nach der andern in der ächten Zigeunermusik ein ungekan</w:t>
      </w:r>
      <w:r w:rsidRPr="001A5B35">
        <w:t>n</w:t>
      </w:r>
      <w:r w:rsidRPr="001A5B35">
        <w:t>ter Luxus.“</w:t>
      </w:r>
      <w:r w:rsidR="008940CC" w:rsidRPr="001A5B35">
        <w:t xml:space="preserve"> (161f)</w:t>
      </w:r>
    </w:p>
    <w:p w:rsidR="005D1F4D" w:rsidRPr="001A5B35" w:rsidRDefault="005D1F4D" w:rsidP="00C86029">
      <w:pPr>
        <w:pStyle w:val="ZitatMitte"/>
      </w:pPr>
      <w:r w:rsidRPr="001A5B35">
        <w:t>„[Der Zigeuner lässt] sich ebenso aus einem Seelenzustand in den andren o</w:t>
      </w:r>
      <w:r w:rsidR="008940CC" w:rsidRPr="001A5B35">
        <w:t>hne jede Vermittlung hinreißen“ (162).</w:t>
      </w:r>
    </w:p>
    <w:p w:rsidR="0035282C" w:rsidRPr="001A5B35" w:rsidRDefault="008940CC" w:rsidP="00C86029">
      <w:pPr>
        <w:pStyle w:val="ZitatMitte"/>
      </w:pPr>
      <w:r w:rsidRPr="001A5B35">
        <w:lastRenderedPageBreak/>
        <w:t>„Ihre Mollscala enthält meistens die übermäßige Quarte, die verminderte Sexte, die große, übermäßige Septime.</w:t>
      </w:r>
      <w:r w:rsidR="0035282C" w:rsidRPr="001A5B35">
        <w:t xml:space="preserve"> Durch die übermäßige Quarte erhalten die Harmonien oft einen seltsamen Schimmer, ja einen blendenden Glanz.</w:t>
      </w:r>
      <w:r w:rsidRPr="001A5B35">
        <w:t>“ (163)</w:t>
      </w:r>
    </w:p>
    <w:p w:rsidR="00E948E6" w:rsidRPr="001A5B35" w:rsidRDefault="00935E13" w:rsidP="00C86029">
      <w:pPr>
        <w:pStyle w:val="ZitatMitte"/>
      </w:pPr>
      <w:r w:rsidRPr="001A5B35">
        <w:t xml:space="preserve">„Was ihn </w:t>
      </w:r>
      <w:r w:rsidR="00233675" w:rsidRPr="001A5B35">
        <w:t xml:space="preserve">[den gebildeten Musiker] </w:t>
      </w:r>
      <w:r w:rsidRPr="001A5B35">
        <w:t>mehr als alles Andre für diese Musik einnimmt ist die Freiheit, der Reichtum, die Mannichfaltigkeit und Geschme</w:t>
      </w:r>
      <w:r w:rsidRPr="001A5B35">
        <w:t>i</w:t>
      </w:r>
      <w:r w:rsidRPr="001A5B35">
        <w:t>digkeit ihrer Rhythmen, wie sie in demselben Grade nirgend anderswo vorha</w:t>
      </w:r>
      <w:r w:rsidRPr="001A5B35">
        <w:t>n</w:t>
      </w:r>
      <w:r w:rsidRPr="001A5B35">
        <w:t>den sind. Sie wechseln unaufhörlich, verwick</w:t>
      </w:r>
      <w:r w:rsidR="00FB5475" w:rsidRPr="001A5B35">
        <w:t>eln, kreuzen, superponiren sich</w:t>
      </w:r>
      <w:r w:rsidR="003B1167" w:rsidRPr="001A5B35">
        <w:t>, und schmiegen sich den verschiedensten Nüancen des Ausdrucks von der wi</w:t>
      </w:r>
      <w:r w:rsidR="003B1167" w:rsidRPr="001A5B35">
        <w:t>l</w:t>
      </w:r>
      <w:r w:rsidR="003B1167" w:rsidRPr="001A5B35">
        <w:t>desten Heftigkeit bis zur einwiegendsten Dolcezza, bis zum weichsten Smo</w:t>
      </w:r>
      <w:r w:rsidR="003B1167" w:rsidRPr="001A5B35">
        <w:t>r</w:t>
      </w:r>
      <w:r w:rsidR="003B1167" w:rsidRPr="001A5B35">
        <w:t xml:space="preserve">zando an, </w:t>
      </w:r>
      <w:r w:rsidR="00FF0C00" w:rsidRPr="001A5B35">
        <w:t xml:space="preserve">von kriegerischer Bewegung zum Tanz, </w:t>
      </w:r>
      <w:r w:rsidR="00E44C5D" w:rsidRPr="001A5B35">
        <w:t>vom Triumphmarsch zum Leich</w:t>
      </w:r>
      <w:r w:rsidR="0084706F" w:rsidRPr="001A5B35">
        <w:t>e</w:t>
      </w:r>
      <w:r w:rsidR="00E44C5D" w:rsidRPr="001A5B35">
        <w:t>nzug, von dem im Mondschein auf Wiesen geschlungenen Elfenreigen zum bacchischen Gesang übergehend.</w:t>
      </w:r>
      <w:r w:rsidR="00FB5475" w:rsidRPr="001A5B35">
        <w:t>“</w:t>
      </w:r>
      <w:r w:rsidR="00B153B8" w:rsidRPr="001A5B35">
        <w:t xml:space="preserve"> (164</w:t>
      </w:r>
      <w:r w:rsidR="00E44C5D" w:rsidRPr="001A5B35">
        <w:t>f)</w:t>
      </w:r>
    </w:p>
    <w:p w:rsidR="00E44C5D" w:rsidRDefault="00161E94" w:rsidP="00C86029">
      <w:pPr>
        <w:pStyle w:val="ZitatMitte"/>
      </w:pPr>
      <w:r w:rsidRPr="001A5B35">
        <w:t>„Diese Rhythmen […] gehen anmutig oder kraftvoll von binärer zu tern</w:t>
      </w:r>
      <w:r w:rsidRPr="001A5B35">
        <w:t>ä</w:t>
      </w:r>
      <w:r w:rsidRPr="001A5B35">
        <w:t>rer Bewegung über, jenachdem wildbewegte oder gemilderte Eindrücke es e</w:t>
      </w:r>
      <w:r w:rsidRPr="001A5B35">
        <w:t>r</w:t>
      </w:r>
      <w:r w:rsidRPr="001A5B35">
        <w:t>fordern, jenachdem sie die Sturzfluth der Leidenschaften und ihr wirbelndes Auftürmen oder die weiche Rast der Seele schildern.</w:t>
      </w:r>
      <w:r w:rsidR="004C65F4" w:rsidRPr="001A5B35">
        <w:t>“</w:t>
      </w:r>
      <w:r w:rsidR="00413EFE" w:rsidRPr="001A5B35">
        <w:t xml:space="preserve"> (165)</w:t>
      </w:r>
    </w:p>
    <w:p w:rsidR="006639C3" w:rsidRDefault="00052728" w:rsidP="00C86029">
      <w:pPr>
        <w:pStyle w:val="ZitatMitte"/>
      </w:pPr>
      <w:r>
        <w:t>„Dagegen ist [die] Verschiedenheit [der Rhythmen] unendlich […]. Reic</w:t>
      </w:r>
      <w:r>
        <w:t>h</w:t>
      </w:r>
      <w:r>
        <w:t xml:space="preserve">thum des Rhythmus </w:t>
      </w:r>
      <w:r w:rsidRPr="001A5B35">
        <w:t>[…]</w:t>
      </w:r>
      <w:r>
        <w:t>. Diese rhythmische Fülle ist unberechenbar.“</w:t>
      </w:r>
    </w:p>
    <w:p w:rsidR="004C65F4" w:rsidRDefault="004C65F4" w:rsidP="00C86029">
      <w:pPr>
        <w:pStyle w:val="ZitatMitte"/>
      </w:pPr>
      <w:r w:rsidRPr="001A5B35">
        <w:t xml:space="preserve">„Dieser Zug </w:t>
      </w:r>
      <w:r w:rsidR="009F35D5" w:rsidRPr="001A5B35">
        <w:t xml:space="preserve">[die große rhythmische Fülle] </w:t>
      </w:r>
      <w:r w:rsidRPr="001A5B35">
        <w:t>ist um so bemerkenswerther, als d</w:t>
      </w:r>
      <w:r w:rsidR="0043056C" w:rsidRPr="001A5B35">
        <w:t>ie Originalität andrer national</w:t>
      </w:r>
      <w:r w:rsidRPr="001A5B35">
        <w:t xml:space="preserve">er Musikstücke oft grade in der Einförmigkeit ihres Rhythmus </w:t>
      </w:r>
      <w:r w:rsidR="003E0044" w:rsidRPr="001A5B35">
        <w:t>besteht, durch welche sich das in ihnen herrschende Gefühl o</w:t>
      </w:r>
      <w:r w:rsidR="003E0044" w:rsidRPr="001A5B35">
        <w:t>f</w:t>
      </w:r>
      <w:r w:rsidR="003E0044" w:rsidRPr="001A5B35">
        <w:t>fenbart.</w:t>
      </w:r>
      <w:r w:rsidR="00413EFE" w:rsidRPr="001A5B35">
        <w:t xml:space="preserve"> Übrigens ist diese V</w:t>
      </w:r>
      <w:r w:rsidR="00D36C0F" w:rsidRPr="001A5B35">
        <w:t>erschiedenheit sehr begreiflich, wenn man b</w:t>
      </w:r>
      <w:r w:rsidR="00D36C0F" w:rsidRPr="001A5B35">
        <w:t>e</w:t>
      </w:r>
      <w:r w:rsidR="00D36C0F" w:rsidRPr="001A5B35">
        <w:t>denkt, daß der Zigeuner die Intensität der Leidenschaftlichkeit reproduzirt, mit welcher er sich oft innerhalb eines sehr engen Zeitraums den entgegengeset</w:t>
      </w:r>
      <w:r w:rsidR="00D36C0F" w:rsidRPr="001A5B35">
        <w:t>z</w:t>
      </w:r>
      <w:r w:rsidR="00D36C0F" w:rsidRPr="001A5B35">
        <w:t>testen, widersprechendsten Eindrücken hingiebt, in Folge seine</w:t>
      </w:r>
      <w:r w:rsidR="00792900">
        <w:t>s</w:t>
      </w:r>
      <w:r w:rsidR="00D36C0F" w:rsidRPr="001A5B35">
        <w:t xml:space="preserve"> fortwähre</w:t>
      </w:r>
      <w:r w:rsidR="00D36C0F" w:rsidRPr="001A5B35">
        <w:t>n</w:t>
      </w:r>
      <w:r w:rsidR="00D36C0F" w:rsidRPr="001A5B35">
        <w:t>den Zusammenlebens mit der Natur und ihren wechseln</w:t>
      </w:r>
      <w:r w:rsidR="0084706F" w:rsidRPr="001A5B35">
        <w:t>d</w:t>
      </w:r>
      <w:r w:rsidR="00D36C0F" w:rsidRPr="001A5B35">
        <w:t xml:space="preserve">en Bildern, ganz im Gegensatz zu andren Völkern, die nur </w:t>
      </w:r>
      <w:r w:rsidR="00D36C0F" w:rsidRPr="001A5B35">
        <w:rPr>
          <w:spacing w:val="20"/>
        </w:rPr>
        <w:t>eine</w:t>
      </w:r>
      <w:r w:rsidR="00D36C0F" w:rsidRPr="001A5B35">
        <w:t xml:space="preserve"> Leidenschaft, nur </w:t>
      </w:r>
      <w:r w:rsidR="00D36C0F" w:rsidRPr="001A5B35">
        <w:rPr>
          <w:spacing w:val="20"/>
        </w:rPr>
        <w:t>ein</w:t>
      </w:r>
      <w:r w:rsidR="00D36C0F" w:rsidRPr="001A5B35">
        <w:t xml:space="preserve"> Gefühl, </w:t>
      </w:r>
      <w:r w:rsidR="00F13EE4" w:rsidRPr="001A5B35">
        <w:t xml:space="preserve">nur </w:t>
      </w:r>
      <w:r w:rsidR="00F13EE4" w:rsidRPr="001A5B35">
        <w:rPr>
          <w:spacing w:val="20"/>
        </w:rPr>
        <w:t>eine</w:t>
      </w:r>
      <w:r w:rsidR="00F13EE4" w:rsidRPr="001A5B35">
        <w:t xml:space="preserve"> bei ihnen vorherrschende Form der Seelenstimmung in Tönen wiederz</w:t>
      </w:r>
      <w:r w:rsidR="00F13EE4" w:rsidRPr="001A5B35">
        <w:t>u</w:t>
      </w:r>
      <w:r w:rsidR="00F13EE4" w:rsidRPr="001A5B35">
        <w:t>geben sich gedrungen fühlen.</w:t>
      </w:r>
      <w:r w:rsidR="003E0044" w:rsidRPr="001A5B35">
        <w:t>“</w:t>
      </w:r>
      <w:r w:rsidR="00413EFE" w:rsidRPr="001A5B35">
        <w:t xml:space="preserve"> (166</w:t>
      </w:r>
      <w:r w:rsidR="001B3044" w:rsidRPr="001A5B35">
        <w:t>f</w:t>
      </w:r>
      <w:r w:rsidR="00413EFE" w:rsidRPr="001A5B35">
        <w:t>)</w:t>
      </w:r>
    </w:p>
    <w:p w:rsidR="00E44EFA" w:rsidRPr="001A5B35" w:rsidRDefault="00E44EFA" w:rsidP="00C86029">
      <w:pPr>
        <w:pStyle w:val="ZitatMitte"/>
      </w:pPr>
      <w:r w:rsidRPr="001A5B35">
        <w:t>„</w:t>
      </w:r>
      <w:r>
        <w:t>Dieser vielgestaltigen Üppigkeit der Rhythmen entspricht andererseits die Überfülle von Ornamenten</w:t>
      </w:r>
      <w:r w:rsidR="005D7996">
        <w:fldChar w:fldCharType="begin"/>
      </w:r>
      <w:r w:rsidR="000B6F61">
        <w:instrText xml:space="preserve"> XE "</w:instrText>
      </w:r>
      <w:r w:rsidR="000B6F61" w:rsidRPr="00C25F33">
        <w:instrText>Ornament</w:instrText>
      </w:r>
      <w:r w:rsidR="000B6F61">
        <w:instrText xml:space="preserve">" </w:instrText>
      </w:r>
      <w:r w:rsidR="005D7996">
        <w:fldChar w:fldCharType="end"/>
      </w:r>
      <w:r>
        <w:t xml:space="preserve">, mit welcher der Künstler […] das Thema immer schmückt und verziert […] mit einem solchen Überstrom </w:t>
      </w:r>
      <w:r w:rsidR="001C2208">
        <w:t>von Läufen, Vo</w:t>
      </w:r>
      <w:r w:rsidR="001C2208">
        <w:t>r</w:t>
      </w:r>
      <w:r w:rsidR="001C2208">
        <w:t>schlägen, Tonleitern, Arpeggien, diatonischen und chromatischen Passagen, Tongruppen und Gruppettchen“</w:t>
      </w:r>
    </w:p>
    <w:p w:rsidR="00F13EE4" w:rsidRPr="001A5B35" w:rsidRDefault="001B3044" w:rsidP="00C86029">
      <w:pPr>
        <w:pStyle w:val="ZitatMitte"/>
      </w:pPr>
      <w:r w:rsidRPr="001A5B35">
        <w:t>„</w:t>
      </w:r>
      <w:r w:rsidR="0088229D" w:rsidRPr="001A5B35">
        <w:t>Die Zigeuner sind unübertreffliche Meister in dem Talent dem Ohr alle Genüsse zu ber</w:t>
      </w:r>
      <w:r w:rsidR="00F86F58" w:rsidRPr="001A5B35">
        <w:t>ei</w:t>
      </w:r>
      <w:r w:rsidR="0088229D" w:rsidRPr="001A5B35">
        <w:t>ten und zu geben, welche die maurische Architectur dem A</w:t>
      </w:r>
      <w:r w:rsidR="0088229D" w:rsidRPr="001A5B35">
        <w:t>u</w:t>
      </w:r>
      <w:r w:rsidR="0088229D" w:rsidRPr="001A5B35">
        <w:t>ge bot, wenn sie auf jeden Ziegel ein Gedicht in Miniatur zeichnete.</w:t>
      </w:r>
      <w:r w:rsidR="0074103E" w:rsidRPr="001A5B35">
        <w:t xml:space="preserve"> Hier wie dort genügt ein enger Raum zur Entwicklung ei</w:t>
      </w:r>
      <w:r w:rsidR="008B2907" w:rsidRPr="001A5B35">
        <w:t>ne</w:t>
      </w:r>
      <w:r w:rsidR="0074103E" w:rsidRPr="001A5B35">
        <w:t>r Menge von Linien die sich kreuzen un</w:t>
      </w:r>
      <w:r w:rsidR="007F4DD6" w:rsidRPr="001A5B35">
        <w:t>d</w:t>
      </w:r>
      <w:r w:rsidR="0074103E" w:rsidRPr="001A5B35">
        <w:t xml:space="preserve"> durchbrechen, sich suchen und verfolgen, sich berühren, drängen und wieder trennen, […] immer aber ein bezauberndes Ganze bilden</w:t>
      </w:r>
      <w:r w:rsidR="0088229D" w:rsidRPr="001A5B35">
        <w:t>“</w:t>
      </w:r>
      <w:r w:rsidR="00A1169A" w:rsidRPr="001A5B35">
        <w:t xml:space="preserve"> (169</w:t>
      </w:r>
      <w:r w:rsidR="0088229D" w:rsidRPr="001A5B35">
        <w:t>f)</w:t>
      </w:r>
      <w:r w:rsidR="0074103E" w:rsidRPr="001A5B35">
        <w:t>.</w:t>
      </w:r>
    </w:p>
    <w:p w:rsidR="0094599F" w:rsidRPr="001A5B35" w:rsidRDefault="0094599F" w:rsidP="00C86029">
      <w:pPr>
        <w:pStyle w:val="ZitatMitte"/>
      </w:pPr>
      <w:r w:rsidRPr="001A5B35">
        <w:t>„Das Überwiegen der Fiorituren […] macht den ersten Geiger nothwen</w:t>
      </w:r>
      <w:r w:rsidR="00294949">
        <w:softHyphen/>
      </w:r>
      <w:r w:rsidRPr="001A5B35">
        <w:t xml:space="preserve">digerweise zur </w:t>
      </w:r>
      <w:r w:rsidR="0084706F" w:rsidRPr="001A5B35">
        <w:t>H</w:t>
      </w:r>
      <w:r w:rsidRPr="001A5B35">
        <w:t>auptperson des Orchesters</w:t>
      </w:r>
      <w:r w:rsidR="008D7BBB" w:rsidRPr="001A5B35">
        <w:t>, welches im Grunde nur da ist um ihn zu unterstützen, die Klangmassen zu verstärken, den Rhythmus schä</w:t>
      </w:r>
      <w:r w:rsidR="0084706F" w:rsidRPr="001A5B35">
        <w:t>r</w:t>
      </w:r>
      <w:r w:rsidR="008D7BBB" w:rsidRPr="001A5B35">
        <w:t>fer hervorzuheben und die Redeblumen seiner Improvisation zu schattieren und zu färben.</w:t>
      </w:r>
      <w:r w:rsidR="00796B4A" w:rsidRPr="001A5B35">
        <w:t xml:space="preserve"> So ist er es auch der über das Tempo entscheidet</w:t>
      </w:r>
      <w:r w:rsidRPr="001A5B35">
        <w:t>“</w:t>
      </w:r>
      <w:r w:rsidR="008D7BBB" w:rsidRPr="001A5B35">
        <w:t xml:space="preserve"> (170)</w:t>
      </w:r>
      <w:r w:rsidR="00796B4A" w:rsidRPr="001A5B35">
        <w:t>.</w:t>
      </w:r>
    </w:p>
    <w:p w:rsidR="00B90BD0" w:rsidRPr="001A5B35" w:rsidRDefault="00BE2355" w:rsidP="00C86029">
      <w:pPr>
        <w:pStyle w:val="ZitatMitte"/>
      </w:pPr>
      <w:r w:rsidRPr="001A5B35">
        <w:t>„Der Zigeunervirtuose suchte eine Form die allem Ungestüm seiner Lu</w:t>
      </w:r>
      <w:r w:rsidRPr="001A5B35">
        <w:t>s</w:t>
      </w:r>
      <w:r w:rsidRPr="001A5B35">
        <w:t xml:space="preserve">tigkeit übereinstimmte und seiner Trauer den klagendsten Ausdruck verliehe. </w:t>
      </w:r>
      <w:r w:rsidRPr="001A5B35">
        <w:lastRenderedPageBreak/>
        <w:t>Diese beiden Gefühlsströmungen haben in den beiden, an</w:t>
      </w:r>
      <w:r w:rsidR="00124337" w:rsidRPr="001A5B35">
        <w:t>f</w:t>
      </w:r>
      <w:r w:rsidRPr="001A5B35">
        <w:t>angs ernsten dann lebhaften Tanzweisen ihr Bet</w:t>
      </w:r>
      <w:r w:rsidR="00124337" w:rsidRPr="001A5B35">
        <w:t>t</w:t>
      </w:r>
      <w:r w:rsidRPr="001A5B35">
        <w:t xml:space="preserve"> gefunden.“</w:t>
      </w:r>
      <w:r w:rsidR="006D121D" w:rsidRPr="001A5B35">
        <w:t xml:space="preserve"> (</w:t>
      </w:r>
      <w:r w:rsidRPr="001A5B35">
        <w:t>172)</w:t>
      </w:r>
    </w:p>
    <w:p w:rsidR="001E3DFD" w:rsidRPr="001A5B35" w:rsidRDefault="001E3DFD" w:rsidP="00C86029">
      <w:pPr>
        <w:pStyle w:val="ZitatMitte"/>
      </w:pPr>
      <w:r w:rsidRPr="001A5B35">
        <w:t>„Form</w:t>
      </w:r>
      <w:r w:rsidR="004D019B" w:rsidRPr="001A5B35">
        <w:t xml:space="preserve"> [</w:t>
      </w:r>
      <w:r w:rsidR="00124337" w:rsidRPr="001A5B35">
        <w:t>des Tanzes</w:t>
      </w:r>
      <w:r w:rsidR="004D019B" w:rsidRPr="001A5B35">
        <w:t xml:space="preserve">], die man jetzt </w:t>
      </w:r>
      <w:r w:rsidRPr="001A5B35">
        <w:t>‚Ungarischer</w:t>
      </w:r>
      <w:r w:rsidR="004D019B" w:rsidRPr="001A5B35">
        <w:t>‘ zu nenne</w:t>
      </w:r>
      <w:r w:rsidR="00124337" w:rsidRPr="001A5B35">
        <w:t>n</w:t>
      </w:r>
      <w:r w:rsidR="004D019B" w:rsidRPr="001A5B35">
        <w:t xml:space="preserve"> übereing</w:t>
      </w:r>
      <w:r w:rsidR="004D019B" w:rsidRPr="001A5B35">
        <w:t>e</w:t>
      </w:r>
      <w:r w:rsidR="004D019B" w:rsidRPr="001A5B35">
        <w:t>kommen ist, unter welcher man ein in zwei Theile zerfallendes Stück versteht, [dabei geht ein] langsame[r] Tanz dem lebhaften voraus[…]“ (172).</w:t>
      </w:r>
      <w:r w:rsidRPr="001A5B35">
        <w:t xml:space="preserve"> </w:t>
      </w:r>
      <w:r w:rsidR="004D019B" w:rsidRPr="001A5B35">
        <w:t>„</w:t>
      </w:r>
      <w:r w:rsidRPr="001A5B35">
        <w:t>Das ist sehr langsamem Tempo gehende Stück heißt Lassan […]. Unter der Bene</w:t>
      </w:r>
      <w:r w:rsidRPr="001A5B35">
        <w:t>n</w:t>
      </w:r>
      <w:r w:rsidRPr="001A5B35">
        <w:t xml:space="preserve">nung Frischka […] </w:t>
      </w:r>
      <w:r w:rsidR="004D019B" w:rsidRPr="001A5B35">
        <w:t>begreift man die zweite Hälfte der Hongroise</w:t>
      </w:r>
      <w:r w:rsidR="009109E5" w:rsidRPr="001A5B35">
        <w:t xml:space="preserve">, die in sehr schnellem Takt plötzlich oder allmählig zu einem </w:t>
      </w:r>
      <w:r w:rsidR="00C84C77" w:rsidRPr="001A5B35">
        <w:t>Rhythmus sich steigert, de</w:t>
      </w:r>
      <w:r w:rsidR="00C84C77" w:rsidRPr="001A5B35">
        <w:t>s</w:t>
      </w:r>
      <w:r w:rsidR="00C84C77" w:rsidRPr="001A5B35">
        <w:t>sen Raserei und hinreißende Gewalt kein auf unsren fashionablen Bällen übl</w:t>
      </w:r>
      <w:r w:rsidR="00C84C77" w:rsidRPr="001A5B35">
        <w:t>i</w:t>
      </w:r>
      <w:r w:rsidR="00C84C77" w:rsidRPr="001A5B35">
        <w:t>cher Tanz gleichkommt.“ (173)</w:t>
      </w:r>
    </w:p>
    <w:p w:rsidR="00421075" w:rsidRPr="001A5B35" w:rsidRDefault="00421075" w:rsidP="00C86029">
      <w:pPr>
        <w:pStyle w:val="ZitatMitte"/>
      </w:pPr>
      <w:r w:rsidRPr="001A5B35">
        <w:t>„In Geige und Cymbal ruht das Hauptintresse des Zigeunerorchesters, die andren Instrumen</w:t>
      </w:r>
      <w:r w:rsidR="00C44DE1" w:rsidRPr="001A5B35">
        <w:t>t</w:t>
      </w:r>
      <w:r w:rsidRPr="001A5B35">
        <w:t>e dienen nur zur Verdopplun</w:t>
      </w:r>
      <w:r w:rsidR="00A4370E" w:rsidRPr="001A5B35">
        <w:t>g</w:t>
      </w:r>
      <w:r w:rsidRPr="001A5B35">
        <w:t xml:space="preserve"> der Harmonie, zum Markiren des Rhythmus, zu Begleitung. Meistens sind es einige Holz- und Messing-Instrumente, ein Violoncell, ein Contrabaß und soviel zweite Geigen wie mö</w:t>
      </w:r>
      <w:r w:rsidRPr="001A5B35">
        <w:t>g</w:t>
      </w:r>
      <w:r w:rsidRPr="001A5B35">
        <w:t>lich. Die erste Geige durchläu</w:t>
      </w:r>
      <w:r w:rsidR="0084706F" w:rsidRPr="001A5B35">
        <w:t>f</w:t>
      </w:r>
      <w:r w:rsidR="00D65069" w:rsidRPr="001A5B35">
        <w:t>t alle Schlingwege der L</w:t>
      </w:r>
      <w:r w:rsidRPr="001A5B35">
        <w:t xml:space="preserve">aune </w:t>
      </w:r>
      <w:r w:rsidR="00D65069" w:rsidRPr="001A5B35">
        <w:t>d</w:t>
      </w:r>
      <w:r w:rsidRPr="001A5B35">
        <w:t>es Virtuo</w:t>
      </w:r>
      <w:r w:rsidR="00900A3F" w:rsidRPr="001A5B35">
        <w:t>s</w:t>
      </w:r>
      <w:r w:rsidRPr="001A5B35">
        <w:t xml:space="preserve">en. Des Cymbalisten Rolle ist es diesen Lauf zu rhythmisiren, Beschleunigung und Verzögerung, Energie oder Weichheit </w:t>
      </w:r>
      <w:r w:rsidR="00971AF3" w:rsidRPr="001A5B35">
        <w:t>d</w:t>
      </w:r>
      <w:r w:rsidRPr="001A5B35">
        <w:t>es Tak</w:t>
      </w:r>
      <w:r w:rsidR="00971AF3" w:rsidRPr="001A5B35">
        <w:t>t</w:t>
      </w:r>
      <w:r w:rsidRPr="001A5B35">
        <w:t>es hervorzuheben.“</w:t>
      </w:r>
      <w:r w:rsidR="00A4370E" w:rsidRPr="001A5B35">
        <w:t xml:space="preserve"> (181)</w:t>
      </w:r>
    </w:p>
    <w:p w:rsidR="000064E8" w:rsidRPr="001A5B35" w:rsidRDefault="000064E8" w:rsidP="00C86029">
      <w:pPr>
        <w:pStyle w:val="ZitatMitte"/>
      </w:pPr>
      <w:r w:rsidRPr="001A5B35">
        <w:t>„[Der Cymbalist] teilt mit dem ersten Geiger das Vorrecht, gewisse Pass</w:t>
      </w:r>
      <w:r w:rsidRPr="001A5B35">
        <w:t>a</w:t>
      </w:r>
      <w:r w:rsidRPr="001A5B35">
        <w:t>gen zu entwickeln, gewisse Entwicklungen jenachdem er sie improvisirt, nach Gutdünken auszudehnen. Sie sind die Solisten der Bande.“ (182)</w:t>
      </w:r>
    </w:p>
    <w:p w:rsidR="00B13C55" w:rsidRDefault="00653ED6" w:rsidP="00B5079B">
      <w:pPr>
        <w:pStyle w:val="ZitatAbstu"/>
      </w:pPr>
      <w:r w:rsidRPr="001A5B35">
        <w:t>„Die Zigeunerkunst gehört mehr als jede andre dem Gebiete der Improvis</w:t>
      </w:r>
      <w:r w:rsidRPr="001A5B35">
        <w:t>a</w:t>
      </w:r>
      <w:r w:rsidRPr="001A5B35">
        <w:t>tion an“ (182)</w:t>
      </w:r>
      <w:r w:rsidR="005374FD" w:rsidRPr="001A5B35">
        <w:t>.</w:t>
      </w:r>
    </w:p>
    <w:p w:rsidR="00413EFE" w:rsidRDefault="00516047" w:rsidP="00B5079B">
      <w:pPr>
        <w:pStyle w:val="Interpretation1Zeile"/>
      </w:pPr>
      <w:r>
        <w:t>Artefakt</w:t>
      </w:r>
      <w:r w:rsidR="001A5B35">
        <w:t xml:space="preserve">schema </w:t>
      </w:r>
      <w:r w:rsidR="00AE3078">
        <w:t>‚</w:t>
      </w:r>
      <w:r>
        <w:t>Musik</w:t>
      </w:r>
      <w:r w:rsidR="00AE3078">
        <w:t>‘</w:t>
      </w:r>
    </w:p>
    <w:p w:rsidR="00413EFE" w:rsidRDefault="00163568" w:rsidP="00B5079B">
      <w:pPr>
        <w:pStyle w:val="Interpretation"/>
      </w:pPr>
      <w:r>
        <w:rPr>
          <w:i/>
        </w:rPr>
        <w:t>U</w:t>
      </w:r>
      <w:r>
        <w:t>(</w:t>
      </w:r>
      <w:r>
        <w:rPr>
          <w:i/>
        </w:rPr>
        <w:t>B</w:t>
      </w:r>
      <w:r w:rsidRPr="00F20FC6">
        <w:rPr>
          <w:vertAlign w:val="subscript"/>
        </w:rPr>
        <w:t>1</w:t>
      </w:r>
      <w:r>
        <w:t>): ‚</w:t>
      </w:r>
      <w:r w:rsidR="00FA430C">
        <w:t xml:space="preserve">Umgang mit Modulationen‘, </w:t>
      </w:r>
      <w:r w:rsidR="00FA430C">
        <w:rPr>
          <w:i/>
        </w:rPr>
        <w:t>V</w:t>
      </w:r>
      <w:r w:rsidR="00FA430C">
        <w:t>(</w:t>
      </w:r>
      <w:r w:rsidR="00FA430C">
        <w:rPr>
          <w:i/>
        </w:rPr>
        <w:t>B</w:t>
      </w:r>
      <w:r w:rsidR="00FA430C" w:rsidRPr="00F20FC6">
        <w:rPr>
          <w:vertAlign w:val="subscript"/>
        </w:rPr>
        <w:t>1</w:t>
      </w:r>
      <w:r w:rsidR="00FA430C">
        <w:t>): ‚wird nicht durch ein Modulation</w:t>
      </w:r>
      <w:r w:rsidR="00FA430C">
        <w:t>s</w:t>
      </w:r>
      <w:r w:rsidR="00FA430C">
        <w:t>system geregelt</w:t>
      </w:r>
      <w:r w:rsidR="001A5B35">
        <w:t>;</w:t>
      </w:r>
      <w:r w:rsidR="00FA430C">
        <w:t xml:space="preserve"> alles ist erlaubt</w:t>
      </w:r>
      <w:r w:rsidR="001A5B35">
        <w:t>;</w:t>
      </w:r>
      <w:r w:rsidR="00FA430C">
        <w:t xml:space="preserve"> </w:t>
      </w:r>
      <w:r w:rsidR="00C269EA">
        <w:t>kühn</w:t>
      </w:r>
      <w:r w:rsidR="00FA430C">
        <w:t>‘</w:t>
      </w:r>
    </w:p>
    <w:p w:rsidR="00FA430C" w:rsidRDefault="00FA430C" w:rsidP="00B5079B">
      <w:pPr>
        <w:pStyle w:val="Interpretation"/>
      </w:pPr>
      <w:r>
        <w:rPr>
          <w:i/>
        </w:rPr>
        <w:t>H</w:t>
      </w:r>
      <w:r w:rsidRPr="00F20FC6">
        <w:rPr>
          <w:vertAlign w:val="subscript"/>
        </w:rPr>
        <w:t>1</w:t>
      </w:r>
      <w:r>
        <w:t>: ‚Die Zigeuner haben einen kühnen Trieb und ein kühnes Wesen‘</w:t>
      </w:r>
      <w:r w:rsidR="0097169D">
        <w:rPr>
          <w:rStyle w:val="Funotenzeichen"/>
        </w:rPr>
        <w:footnoteReference w:id="479"/>
      </w:r>
    </w:p>
    <w:p w:rsidR="002128CD" w:rsidRDefault="002128CD" w:rsidP="00B5079B">
      <w:pPr>
        <w:pStyle w:val="Formel"/>
      </w:pPr>
      <w:r>
        <w:rPr>
          <w:i/>
          <w:iCs/>
        </w:rPr>
        <w:t>B</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vertAlign w:val="subscript"/>
        </w:rPr>
        <w:t>1</w:t>
      </w:r>
      <w:r>
        <w:t xml:space="preserve"> </w:t>
      </w:r>
      <w:r w:rsidR="002434D2">
        <w:rPr>
          <w:rFonts w:ascii="Cambria Math" w:eastAsia="Arial Unicode MS" w:hAnsi="Cambria Math" w:cs="Cambria Math"/>
          <w:color w:val="000000" w:themeColor="text1"/>
        </w:rPr>
        <w:t>⤳</w:t>
      </w:r>
      <w:r w:rsidR="006639C3">
        <w:rPr>
          <w:vertAlign w:val="subscript"/>
        </w:rPr>
        <w:t>A</w:t>
      </w:r>
      <w:r w:rsidR="00AF1E55">
        <w:rPr>
          <w:vertAlign w:val="subscript"/>
        </w:rPr>
        <w:t>ss</w:t>
      </w:r>
      <w:r>
        <w:t xml:space="preserve">  </w:t>
      </w:r>
      <w:r>
        <w:rPr>
          <w:i/>
          <w:iCs/>
        </w:rPr>
        <w:t>Er</w:t>
      </w:r>
      <w:r>
        <w:rPr>
          <w:vertAlign w:val="subscript"/>
        </w:rPr>
        <w:t>1</w:t>
      </w:r>
    </w:p>
    <w:p w:rsidR="00FA430C" w:rsidRDefault="00FA430C" w:rsidP="00B5079B">
      <w:pPr>
        <w:pStyle w:val="Interpretation"/>
      </w:pPr>
      <w:r>
        <w:rPr>
          <w:i/>
        </w:rPr>
        <w:t>Er</w:t>
      </w:r>
      <w:r w:rsidRPr="00F20FC6">
        <w:rPr>
          <w:vertAlign w:val="subscript"/>
        </w:rPr>
        <w:t>1</w:t>
      </w:r>
      <w:r>
        <w:t xml:space="preserve">: ‚Zigeunermusiker schrecken vor keiner Kühnheit zurück, </w:t>
      </w:r>
      <w:r w:rsidR="0047789F">
        <w:t>wenn</w:t>
      </w:r>
      <w:r>
        <w:t xml:space="preserve"> diese ihrem kühnen Trieb entspricht und eine Spiegelung ihres kühnen Wesens ist‘</w:t>
      </w:r>
    </w:p>
    <w:p w:rsidR="00786CF0" w:rsidRDefault="00786CF0" w:rsidP="00B5079B">
      <w:pPr>
        <w:pStyle w:val="Interpretation"/>
      </w:pPr>
      <w:r>
        <w:rPr>
          <w:i/>
        </w:rPr>
        <w:t>U</w:t>
      </w:r>
      <w:r>
        <w:t>(</w:t>
      </w:r>
      <w:r>
        <w:rPr>
          <w:i/>
        </w:rPr>
        <w:t>B</w:t>
      </w:r>
      <w:r>
        <w:rPr>
          <w:vertAlign w:val="subscript"/>
        </w:rPr>
        <w:t>2</w:t>
      </w:r>
      <w:r>
        <w:t xml:space="preserve">): ‚Übergangsakkorde bei Modulationen‘, </w:t>
      </w:r>
      <w:r>
        <w:rPr>
          <w:i/>
        </w:rPr>
        <w:t>V</w:t>
      </w:r>
      <w:r>
        <w:t>(</w:t>
      </w:r>
      <w:r>
        <w:rPr>
          <w:i/>
        </w:rPr>
        <w:t>B</w:t>
      </w:r>
      <w:r>
        <w:rPr>
          <w:vertAlign w:val="subscript"/>
        </w:rPr>
        <w:t>2</w:t>
      </w:r>
      <w:r>
        <w:t>): ‚</w:t>
      </w:r>
      <w:r w:rsidR="007B3E22">
        <w:t>werden praktisch nie angewandt</w:t>
      </w:r>
      <w:r>
        <w:t>‘</w:t>
      </w:r>
    </w:p>
    <w:p w:rsidR="00786CF0" w:rsidRDefault="00786CF0" w:rsidP="00B5079B">
      <w:pPr>
        <w:pStyle w:val="Interpretation"/>
      </w:pPr>
      <w:r>
        <w:rPr>
          <w:i/>
        </w:rPr>
        <w:t>H</w:t>
      </w:r>
      <w:r>
        <w:rPr>
          <w:vertAlign w:val="subscript"/>
        </w:rPr>
        <w:t>2</w:t>
      </w:r>
      <w:r>
        <w:t>: ‚Der Zigeuner lässt sich aus einem Seelenzustand in den andren ohne jede Vermittlung hinreißen‘</w:t>
      </w:r>
    </w:p>
    <w:p w:rsidR="00786CF0" w:rsidRDefault="00786CF0" w:rsidP="00B5079B">
      <w:pPr>
        <w:pStyle w:val="Formel"/>
      </w:pPr>
      <w:r>
        <w:rPr>
          <w:i/>
          <w:iCs/>
        </w:rPr>
        <w:t>B</w:t>
      </w:r>
      <w:r>
        <w:rPr>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vertAlign w:val="subscript"/>
        </w:rPr>
        <w:t>2</w:t>
      </w:r>
      <w:r>
        <w:t xml:space="preserve"> </w:t>
      </w:r>
      <w:r w:rsidR="002434D2">
        <w:rPr>
          <w:rFonts w:ascii="Cambria Math" w:eastAsia="Arial Unicode MS" w:hAnsi="Cambria Math" w:cs="Cambria Math"/>
          <w:color w:val="000000" w:themeColor="text1"/>
        </w:rPr>
        <w:t>⤳</w:t>
      </w:r>
      <w:r w:rsidR="0027071E">
        <w:rPr>
          <w:vertAlign w:val="subscript"/>
        </w:rPr>
        <w:t>A</w:t>
      </w:r>
      <w:r w:rsidR="00AF1E55">
        <w:rPr>
          <w:vertAlign w:val="subscript"/>
        </w:rPr>
        <w:t>ss</w:t>
      </w:r>
      <w:r>
        <w:t xml:space="preserve">  </w:t>
      </w:r>
      <w:r>
        <w:rPr>
          <w:i/>
          <w:iCs/>
        </w:rPr>
        <w:t>Er</w:t>
      </w:r>
      <w:r>
        <w:rPr>
          <w:vertAlign w:val="subscript"/>
        </w:rPr>
        <w:t>2</w:t>
      </w:r>
    </w:p>
    <w:p w:rsidR="00786CF0" w:rsidRDefault="00786CF0" w:rsidP="00B5079B">
      <w:pPr>
        <w:pStyle w:val="Interpretation"/>
      </w:pPr>
      <w:r>
        <w:rPr>
          <w:i/>
        </w:rPr>
        <w:lastRenderedPageBreak/>
        <w:t>Er</w:t>
      </w:r>
      <w:r>
        <w:rPr>
          <w:vertAlign w:val="subscript"/>
        </w:rPr>
        <w:t>2</w:t>
      </w:r>
      <w:r>
        <w:t>: ‚</w:t>
      </w:r>
      <w:r w:rsidR="0027071E">
        <w:t>Ebenso</w:t>
      </w:r>
      <w:r w:rsidR="007B3E22">
        <w:t xml:space="preserve"> </w:t>
      </w:r>
      <w:r w:rsidR="0027071E">
        <w:t xml:space="preserve">wie </w:t>
      </w:r>
      <w:r w:rsidR="007B3E22">
        <w:t>Übergangsakkorde bei Modulationen praktisch nie angewandt</w:t>
      </w:r>
      <w:r w:rsidR="0027071E">
        <w:t xml:space="preserve"> werden, lässt sich der Zigeuner aus einem Seelenzustand in den andren ohne jede Vermittlung hinreißen</w:t>
      </w:r>
      <w:r w:rsidR="007B3E22">
        <w:t>‘</w:t>
      </w:r>
    </w:p>
    <w:p w:rsidR="00473887" w:rsidRDefault="0053019D" w:rsidP="00B5079B">
      <w:pPr>
        <w:pStyle w:val="Interpretation"/>
      </w:pPr>
      <w:r>
        <w:rPr>
          <w:i/>
        </w:rPr>
        <w:t>U</w:t>
      </w:r>
      <w:r>
        <w:t>(</w:t>
      </w:r>
      <w:r>
        <w:rPr>
          <w:i/>
        </w:rPr>
        <w:t>B</w:t>
      </w:r>
      <w:r>
        <w:rPr>
          <w:vertAlign w:val="subscript"/>
        </w:rPr>
        <w:t>3</w:t>
      </w:r>
      <w:r>
        <w:t>): ‚Mollscala‘,</w:t>
      </w:r>
      <w:r w:rsidR="002F1700">
        <w:t xml:space="preserve"> </w:t>
      </w:r>
      <w:r w:rsidR="002F1700">
        <w:rPr>
          <w:i/>
        </w:rPr>
        <w:t>V</w:t>
      </w:r>
      <w:r w:rsidR="002F1700">
        <w:t>(</w:t>
      </w:r>
      <w:r w:rsidR="002F1700">
        <w:rPr>
          <w:i/>
        </w:rPr>
        <w:t>B</w:t>
      </w:r>
      <w:r w:rsidR="002F1700">
        <w:rPr>
          <w:vertAlign w:val="subscript"/>
        </w:rPr>
        <w:t>3</w:t>
      </w:r>
      <w:r w:rsidR="002F1700">
        <w:t xml:space="preserve">): </w:t>
      </w:r>
      <w:r>
        <w:t>‚enthält meistens die übermäßige Quarte, die vermi</w:t>
      </w:r>
      <w:r>
        <w:t>n</w:t>
      </w:r>
      <w:r>
        <w:t>derte Sexte, die große, übermäßige Septime‘</w:t>
      </w:r>
    </w:p>
    <w:p w:rsidR="0053019D" w:rsidRDefault="0053019D" w:rsidP="00B5079B">
      <w:pPr>
        <w:pStyle w:val="Formel"/>
      </w:pPr>
      <w:r>
        <w:rPr>
          <w:i/>
          <w:iCs/>
        </w:rPr>
        <w:t>B</w:t>
      </w:r>
      <w:r>
        <w:rPr>
          <w:vertAlign w:val="subscript"/>
        </w:rPr>
        <w:t>3</w:t>
      </w:r>
      <w:r>
        <w:t xml:space="preserve"> </w:t>
      </w:r>
      <w:r w:rsidR="002434D2">
        <w:rPr>
          <w:rFonts w:ascii="Cambria Math" w:eastAsia="Arial Unicode MS" w:hAnsi="Cambria Math" w:cs="Cambria Math"/>
          <w:color w:val="000000" w:themeColor="text1"/>
        </w:rPr>
        <w:t>⤳</w:t>
      </w:r>
      <w:r w:rsidR="00EE63C8">
        <w:rPr>
          <w:vertAlign w:val="subscript"/>
        </w:rPr>
        <w:t>Edr</w:t>
      </w:r>
      <w:r>
        <w:t xml:space="preserve"> </w:t>
      </w:r>
      <w:r w:rsidR="00EE63C8">
        <w:t xml:space="preserve"> </w:t>
      </w:r>
      <w:r>
        <w:rPr>
          <w:i/>
          <w:iCs/>
        </w:rPr>
        <w:t>Er</w:t>
      </w:r>
      <w:r w:rsidR="00B65F88">
        <w:rPr>
          <w:vertAlign w:val="subscript"/>
        </w:rPr>
        <w:t>3</w:t>
      </w:r>
      <w:r w:rsidR="00B65F88">
        <w:t xml:space="preserve">, </w:t>
      </w:r>
      <w:r w:rsidR="00B65F88">
        <w:rPr>
          <w:i/>
          <w:iCs/>
        </w:rPr>
        <w:t>Er</w:t>
      </w:r>
      <w:r w:rsidR="00B65F88">
        <w:rPr>
          <w:vertAlign w:val="subscript"/>
        </w:rPr>
        <w:t>4</w:t>
      </w:r>
    </w:p>
    <w:p w:rsidR="008C1DAB" w:rsidRDefault="0053019D" w:rsidP="00B5079B">
      <w:pPr>
        <w:pStyle w:val="Interpretation"/>
      </w:pPr>
      <w:r>
        <w:rPr>
          <w:i/>
        </w:rPr>
        <w:t>Er</w:t>
      </w:r>
      <w:r w:rsidR="00B65F88">
        <w:rPr>
          <w:vertAlign w:val="subscript"/>
        </w:rPr>
        <w:t>3</w:t>
      </w:r>
      <w:r>
        <w:t xml:space="preserve"> (</w:t>
      </w:r>
      <w:r w:rsidR="002409A0">
        <w:t>e</w:t>
      </w:r>
      <w:r>
        <w:t>): ‚</w:t>
      </w:r>
      <w:r w:rsidR="008C1DAB">
        <w:t>Die Harmonien haben oft einen seltsame</w:t>
      </w:r>
      <w:r w:rsidR="008D2A90">
        <w:t>n</w:t>
      </w:r>
      <w:r w:rsidR="008C1DAB">
        <w:t xml:space="preserve"> Schimmer‘</w:t>
      </w:r>
    </w:p>
    <w:p w:rsidR="00560907" w:rsidRDefault="00560907" w:rsidP="00B5079B">
      <w:pPr>
        <w:pStyle w:val="InterpretationletzteZeile"/>
      </w:pPr>
      <w:r>
        <w:rPr>
          <w:i/>
        </w:rPr>
        <w:t>Er</w:t>
      </w:r>
      <w:r w:rsidR="00B65F88">
        <w:rPr>
          <w:vertAlign w:val="subscript"/>
        </w:rPr>
        <w:t>4</w:t>
      </w:r>
      <w:r>
        <w:t xml:space="preserve"> (e): ‚Die Harmonien haben oft einen blendenden Glanz‘</w:t>
      </w:r>
    </w:p>
    <w:p w:rsidR="00702CC5" w:rsidRPr="00702CC5" w:rsidRDefault="00560907" w:rsidP="00B5079B">
      <w:pPr>
        <w:pStyle w:val="Text"/>
        <w:ind w:firstLine="0"/>
      </w:pPr>
      <w:r>
        <w:t>Diese Eindrücke</w:t>
      </w:r>
      <w:r w:rsidR="007244BE">
        <w:t xml:space="preserve"> </w:t>
      </w:r>
      <w:r>
        <w:t xml:space="preserve">werden </w:t>
      </w:r>
      <w:r w:rsidR="007244BE">
        <w:t>als Proposition formuliert, wobei eine Steigerung zw</w:t>
      </w:r>
      <w:r w:rsidR="007244BE">
        <w:t>i</w:t>
      </w:r>
      <w:r w:rsidR="007244BE">
        <w:t xml:space="preserve">schen </w:t>
      </w:r>
      <w:r>
        <w:t xml:space="preserve">ihnen </w:t>
      </w:r>
      <w:r w:rsidR="007244BE">
        <w:t xml:space="preserve">eingeführt und mit Hilfe von </w:t>
      </w:r>
      <w:r w:rsidR="007244BE">
        <w:rPr>
          <w:i/>
          <w:iCs/>
        </w:rPr>
        <w:t>B</w:t>
      </w:r>
      <w:r w:rsidR="007244BE">
        <w:rPr>
          <w:vertAlign w:val="subscript"/>
        </w:rPr>
        <w:t>3</w:t>
      </w:r>
      <w:r w:rsidR="007244BE">
        <w:t xml:space="preserve"> </w:t>
      </w:r>
      <w:r w:rsidR="00F66295">
        <w:t xml:space="preserve">zudem </w:t>
      </w:r>
      <w:r w:rsidR="007244BE">
        <w:t>eine Ursache postuliert wird:</w:t>
      </w:r>
    </w:p>
    <w:p w:rsidR="00561B46" w:rsidRDefault="00561B46" w:rsidP="00B5079B">
      <w:pPr>
        <w:pStyle w:val="Interpretation1Zeile"/>
      </w:pPr>
      <w:r>
        <w:rPr>
          <w:i/>
        </w:rPr>
        <w:t>H</w:t>
      </w:r>
      <w:r>
        <w:rPr>
          <w:vertAlign w:val="subscript"/>
        </w:rPr>
        <w:t>3</w:t>
      </w:r>
      <w:r>
        <w:t>: ‚</w:t>
      </w:r>
      <w:r w:rsidR="00560907">
        <w:t xml:space="preserve">Der Eindruck „blendender </w:t>
      </w:r>
      <w:r>
        <w:t xml:space="preserve">Glanz“ </w:t>
      </w:r>
      <w:r w:rsidR="007244BE">
        <w:t xml:space="preserve">kann als Verstärkung </w:t>
      </w:r>
      <w:r w:rsidR="00560907">
        <w:t xml:space="preserve">des </w:t>
      </w:r>
      <w:r w:rsidR="007244BE">
        <w:t xml:space="preserve">Eindrucks </w:t>
      </w:r>
      <w:r w:rsidR="000A1775">
        <w:t>„</w:t>
      </w:r>
      <w:r w:rsidR="00560907">
        <w:t xml:space="preserve">seltsamer </w:t>
      </w:r>
      <w:r>
        <w:t>Schimmer“</w:t>
      </w:r>
      <w:r w:rsidR="007244BE">
        <w:t xml:space="preserve"> </w:t>
      </w:r>
      <w:r w:rsidR="00560907">
        <w:t xml:space="preserve">aufgefasst </w:t>
      </w:r>
      <w:r w:rsidR="007244BE">
        <w:t>werden</w:t>
      </w:r>
      <w:r>
        <w:t>‘</w:t>
      </w:r>
      <w:r w:rsidR="006E5D68">
        <w:rPr>
          <w:rStyle w:val="Funotenzeichen"/>
        </w:rPr>
        <w:footnoteReference w:id="480"/>
      </w:r>
    </w:p>
    <w:p w:rsidR="008C1DAB" w:rsidRDefault="008C1DAB" w:rsidP="00B5079B">
      <w:pPr>
        <w:pStyle w:val="Formel"/>
      </w:pPr>
      <w:r>
        <w:rPr>
          <w:i/>
          <w:iCs/>
        </w:rPr>
        <w:t>B</w:t>
      </w:r>
      <w:r>
        <w:rPr>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B65F88">
        <w:rPr>
          <w:vertAlign w:val="subscript"/>
        </w:rPr>
        <w:t>3</w:t>
      </w:r>
      <w:r>
        <w:t xml:space="preserve"> </w:t>
      </w:r>
      <w:r w:rsidR="00560907">
        <w:rPr>
          <w:rFonts w:ascii="Cambria Math" w:hAnsi="Cambria Math" w:cs="Cambria Math"/>
          <w:color w:val="000000" w:themeColor="text1"/>
        </w:rPr>
        <w:t>∧</w:t>
      </w:r>
      <w:r w:rsidR="00560907">
        <w:rPr>
          <w:rFonts w:cs="Times New Roman"/>
          <w:color w:val="000000" w:themeColor="text1"/>
        </w:rPr>
        <w:t xml:space="preserve"> </w:t>
      </w:r>
      <w:r w:rsidR="00560907">
        <w:rPr>
          <w:i/>
          <w:iCs/>
        </w:rPr>
        <w:t>Er</w:t>
      </w:r>
      <w:r w:rsidR="00B65F88">
        <w:rPr>
          <w:vertAlign w:val="subscript"/>
        </w:rPr>
        <w:t>4</w:t>
      </w:r>
      <w:r w:rsidR="00560907">
        <w:t xml:space="preserve"> </w:t>
      </w:r>
      <w:r w:rsidR="00561B46">
        <w:rPr>
          <w:rFonts w:ascii="Cambria Math" w:hAnsi="Cambria Math" w:cs="Cambria Math"/>
          <w:color w:val="000000" w:themeColor="text1"/>
        </w:rPr>
        <w:t>∧</w:t>
      </w:r>
      <w:r w:rsidR="00561B46">
        <w:rPr>
          <w:rFonts w:cs="Times New Roman"/>
          <w:color w:val="000000" w:themeColor="text1"/>
        </w:rPr>
        <w:t xml:space="preserve"> </w:t>
      </w:r>
      <w:r w:rsidR="00561B46">
        <w:rPr>
          <w:i/>
          <w:iCs/>
        </w:rPr>
        <w:t>H</w:t>
      </w:r>
      <w:r w:rsidR="00561B46">
        <w:rPr>
          <w:vertAlign w:val="subscript"/>
        </w:rPr>
        <w:t>3</w:t>
      </w:r>
      <w:r w:rsidR="00561B46">
        <w:t xml:space="preserve"> </w:t>
      </w:r>
      <w:r w:rsidR="002434D2">
        <w:rPr>
          <w:rFonts w:ascii="Cambria Math" w:eastAsia="Arial Unicode MS" w:hAnsi="Cambria Math" w:cs="Cambria Math"/>
          <w:color w:val="000000" w:themeColor="text1"/>
        </w:rPr>
        <w:t>⤳</w:t>
      </w:r>
      <w:r w:rsidR="00EE63C8">
        <w:rPr>
          <w:vertAlign w:val="subscript"/>
        </w:rPr>
        <w:t>Abd</w:t>
      </w:r>
      <w:r>
        <w:t xml:space="preserve"> </w:t>
      </w:r>
      <w:r w:rsidR="00EE63C8">
        <w:t xml:space="preserve"> </w:t>
      </w:r>
      <w:r>
        <w:rPr>
          <w:i/>
          <w:iCs/>
        </w:rPr>
        <w:t>Er</w:t>
      </w:r>
      <w:r w:rsidR="00B65F88">
        <w:rPr>
          <w:vertAlign w:val="subscript"/>
        </w:rPr>
        <w:t>5</w:t>
      </w:r>
    </w:p>
    <w:p w:rsidR="008C1DAB" w:rsidRDefault="008C1DAB" w:rsidP="00B5079B">
      <w:pPr>
        <w:pStyle w:val="Interpretation"/>
      </w:pPr>
      <w:r>
        <w:rPr>
          <w:i/>
        </w:rPr>
        <w:t>Er</w:t>
      </w:r>
      <w:r w:rsidR="00B65F88">
        <w:rPr>
          <w:vertAlign w:val="subscript"/>
        </w:rPr>
        <w:t>5</w:t>
      </w:r>
      <w:r>
        <w:t>: ‚Durch die übermäßige Quarte erhalten die Harmoni</w:t>
      </w:r>
      <w:r w:rsidR="00702CC5">
        <w:t>en oft einen seltsamen Schimmer</w:t>
      </w:r>
      <w:r w:rsidR="00103C2A">
        <w:t>, ja</w:t>
      </w:r>
      <w:r w:rsidR="00702CC5">
        <w:t xml:space="preserve"> </w:t>
      </w:r>
      <w:r>
        <w:t>einen blendenden Glanz‘</w:t>
      </w:r>
    </w:p>
    <w:p w:rsidR="004C6BFB" w:rsidRDefault="00233675" w:rsidP="00B5079B">
      <w:pPr>
        <w:pStyle w:val="Interpretation"/>
      </w:pPr>
      <w:r>
        <w:rPr>
          <w:i/>
        </w:rPr>
        <w:t>U</w:t>
      </w:r>
      <w:r>
        <w:t>(</w:t>
      </w:r>
      <w:r>
        <w:rPr>
          <w:i/>
        </w:rPr>
        <w:t>B</w:t>
      </w:r>
      <w:r>
        <w:rPr>
          <w:vertAlign w:val="subscript"/>
        </w:rPr>
        <w:t>4</w:t>
      </w:r>
      <w:r w:rsidR="00977F65">
        <w:t>): ‚Rhythmen</w:t>
      </w:r>
      <w:r>
        <w:t xml:space="preserve">‘, </w:t>
      </w:r>
      <w:r>
        <w:rPr>
          <w:i/>
        </w:rPr>
        <w:t>V</w:t>
      </w:r>
      <w:r>
        <w:t>(</w:t>
      </w:r>
      <w:r>
        <w:rPr>
          <w:i/>
        </w:rPr>
        <w:t>B</w:t>
      </w:r>
      <w:r>
        <w:rPr>
          <w:vertAlign w:val="subscript"/>
        </w:rPr>
        <w:t>4</w:t>
      </w:r>
      <w:r>
        <w:t>): ‚frei</w:t>
      </w:r>
      <w:r w:rsidR="001A5B35">
        <w:t>;</w:t>
      </w:r>
      <w:r>
        <w:t xml:space="preserve"> reich</w:t>
      </w:r>
      <w:r w:rsidR="001A5B35">
        <w:t>;</w:t>
      </w:r>
      <w:r>
        <w:t xml:space="preserve"> mannigfaltig</w:t>
      </w:r>
      <w:r w:rsidR="001A5B35">
        <w:t>;</w:t>
      </w:r>
      <w:r>
        <w:t xml:space="preserve"> geschmeidig‘</w:t>
      </w:r>
      <w:r w:rsidR="004C6BFB">
        <w:rPr>
          <w:rStyle w:val="Funotenzeichen"/>
        </w:rPr>
        <w:footnoteReference w:id="481"/>
      </w:r>
    </w:p>
    <w:p w:rsidR="008C1DAB" w:rsidRDefault="004C6BFB" w:rsidP="00B5079B">
      <w:pPr>
        <w:pStyle w:val="Interpretation"/>
      </w:pPr>
      <w:r>
        <w:rPr>
          <w:i/>
        </w:rPr>
        <w:t>U</w:t>
      </w:r>
      <w:r>
        <w:t>(</w:t>
      </w:r>
      <w:r>
        <w:rPr>
          <w:i/>
        </w:rPr>
        <w:t>B</w:t>
      </w:r>
      <w:r>
        <w:rPr>
          <w:vertAlign w:val="subscript"/>
        </w:rPr>
        <w:t>5</w:t>
      </w:r>
      <w:r>
        <w:t xml:space="preserve">): ‚Verhältnis der Rhythmen zueinander‘, </w:t>
      </w:r>
      <w:r>
        <w:rPr>
          <w:i/>
        </w:rPr>
        <w:t>V</w:t>
      </w:r>
      <w:r>
        <w:t>(</w:t>
      </w:r>
      <w:r>
        <w:rPr>
          <w:i/>
        </w:rPr>
        <w:t>B</w:t>
      </w:r>
      <w:r w:rsidR="007B783E">
        <w:rPr>
          <w:vertAlign w:val="subscript"/>
        </w:rPr>
        <w:t>5</w:t>
      </w:r>
      <w:r w:rsidR="001A5B35">
        <w:t xml:space="preserve">): ‚wechseln unaufhörlich; verwickeln sich; kreuzen sich; </w:t>
      </w:r>
      <w:r>
        <w:t>superponiren sich‘</w:t>
      </w:r>
    </w:p>
    <w:p w:rsidR="004C6BFB" w:rsidRDefault="0059466C" w:rsidP="00B5079B">
      <w:pPr>
        <w:pStyle w:val="Interpretation"/>
      </w:pPr>
      <w:r>
        <w:rPr>
          <w:i/>
        </w:rPr>
        <w:t>U</w:t>
      </w:r>
      <w:r>
        <w:t>(</w:t>
      </w:r>
      <w:r>
        <w:rPr>
          <w:i/>
        </w:rPr>
        <w:t>B</w:t>
      </w:r>
      <w:r>
        <w:rPr>
          <w:vertAlign w:val="subscript"/>
        </w:rPr>
        <w:t>6</w:t>
      </w:r>
      <w:r>
        <w:t xml:space="preserve">): ‚Verhältnis der Rhythmen zum Ausdruck der Musik‘, </w:t>
      </w:r>
      <w:r>
        <w:rPr>
          <w:i/>
        </w:rPr>
        <w:t>V</w:t>
      </w:r>
      <w:r>
        <w:t>(</w:t>
      </w:r>
      <w:r>
        <w:rPr>
          <w:i/>
        </w:rPr>
        <w:t>B</w:t>
      </w:r>
      <w:r>
        <w:rPr>
          <w:vertAlign w:val="subscript"/>
        </w:rPr>
        <w:t>6</w:t>
      </w:r>
      <w:r>
        <w:t>): ‚</w:t>
      </w:r>
      <w:r w:rsidR="00BA31B1">
        <w:t>schmiegen sich den verschiedensten Nüancen des Ausdrucks von der wildesten Heftigkeit bis zur einwiegendsten Dolcezza, bis zum weichsten Smorzando an, von krieg</w:t>
      </w:r>
      <w:r w:rsidR="00BA31B1">
        <w:t>e</w:t>
      </w:r>
      <w:r w:rsidR="00BA31B1">
        <w:t>rischer Bewegung zum Tanz, vom Triumphmarsch zum Leichenzug, von dem im Mondschein auf Wiesen geschlungenen Elfenreigen zum bacchischen Gesang übergehend</w:t>
      </w:r>
      <w:r>
        <w:t>‘</w:t>
      </w:r>
    </w:p>
    <w:p w:rsidR="006639C3" w:rsidRDefault="006639C3" w:rsidP="00B5079B">
      <w:pPr>
        <w:pStyle w:val="Formel"/>
      </w:pPr>
      <w:r>
        <w:rPr>
          <w:i/>
          <w:iCs/>
        </w:rPr>
        <w:t>B</w:t>
      </w:r>
      <w:r>
        <w:rPr>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5</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6</w:t>
      </w:r>
      <w:r>
        <w:t xml:space="preserve">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sidR="00B65F88">
        <w:rPr>
          <w:vertAlign w:val="subscript"/>
        </w:rPr>
        <w:t>6</w:t>
      </w:r>
    </w:p>
    <w:p w:rsidR="006639C3" w:rsidRDefault="006639C3" w:rsidP="00B5079B">
      <w:pPr>
        <w:pStyle w:val="Interpretation"/>
      </w:pPr>
      <w:r>
        <w:rPr>
          <w:i/>
        </w:rPr>
        <w:t>Er</w:t>
      </w:r>
      <w:r w:rsidR="00B65F88">
        <w:rPr>
          <w:vertAlign w:val="subscript"/>
        </w:rPr>
        <w:t>6</w:t>
      </w:r>
      <w:r>
        <w:t>:</w:t>
      </w:r>
      <w:r>
        <w:tab/>
        <w:t>‚Die Rhythmik</w:t>
      </w:r>
      <w:r w:rsidR="005D7996">
        <w:fldChar w:fldCharType="begin"/>
      </w:r>
      <w:r w:rsidR="00960D60">
        <w:instrText xml:space="preserve"> XE "</w:instrText>
      </w:r>
      <w:r w:rsidR="00960D60" w:rsidRPr="00903706">
        <w:instrText>Rhythmik</w:instrText>
      </w:r>
      <w:r w:rsidR="00960D60">
        <w:instrText xml:space="preserve">" </w:instrText>
      </w:r>
      <w:r w:rsidR="005D7996">
        <w:fldChar w:fldCharType="end"/>
      </w:r>
      <w:r>
        <w:t xml:space="preserve"> der Zigeunermusik zeigt </w:t>
      </w:r>
      <w:r w:rsidR="00052728">
        <w:t>unendliche Verschiedenheit, Reic</w:t>
      </w:r>
      <w:r w:rsidR="00052728">
        <w:t>h</w:t>
      </w:r>
      <w:r w:rsidR="00052728">
        <w:t>tum und unberechenbare Fülle</w:t>
      </w:r>
      <w:r w:rsidR="00786CF0">
        <w:t>‘</w:t>
      </w:r>
    </w:p>
    <w:p w:rsidR="00786CF0" w:rsidRDefault="00786CF0" w:rsidP="00B5079B">
      <w:pPr>
        <w:pStyle w:val="Interpretation"/>
      </w:pPr>
      <w:r>
        <w:rPr>
          <w:i/>
        </w:rPr>
        <w:lastRenderedPageBreak/>
        <w:t>U</w:t>
      </w:r>
      <w:r>
        <w:t>(</w:t>
      </w:r>
      <w:r>
        <w:rPr>
          <w:i/>
        </w:rPr>
        <w:t>B</w:t>
      </w:r>
      <w:r w:rsidR="00B65F88">
        <w:rPr>
          <w:vertAlign w:val="subscript"/>
        </w:rPr>
        <w:t>7</w:t>
      </w:r>
      <w:r>
        <w:t xml:space="preserve">): ‚Übergänge zwischen Grundrhythmen‘, </w:t>
      </w:r>
      <w:r>
        <w:rPr>
          <w:i/>
        </w:rPr>
        <w:t>V</w:t>
      </w:r>
      <w:r>
        <w:t>(</w:t>
      </w:r>
      <w:r>
        <w:rPr>
          <w:i/>
        </w:rPr>
        <w:t>B</w:t>
      </w:r>
      <w:r>
        <w:rPr>
          <w:vertAlign w:val="subscript"/>
        </w:rPr>
        <w:t>7</w:t>
      </w:r>
      <w:r>
        <w:t>): ‚gehen anmutig oder kraftvoll von binärer zu ternärer Bewegung über‘</w:t>
      </w:r>
    </w:p>
    <w:p w:rsidR="007C1899" w:rsidRDefault="007C1899" w:rsidP="00B5079B">
      <w:pPr>
        <w:pStyle w:val="Interpretation"/>
      </w:pPr>
      <w:r>
        <w:rPr>
          <w:i/>
        </w:rPr>
        <w:t>H</w:t>
      </w:r>
      <w:r>
        <w:rPr>
          <w:vertAlign w:val="subscript"/>
        </w:rPr>
        <w:t>4</w:t>
      </w:r>
      <w:r w:rsidR="00516047">
        <w:t xml:space="preserve"> [zum Schema]:</w:t>
      </w:r>
      <w:r>
        <w:t xml:space="preserve"> ‚</w:t>
      </w:r>
      <w:r w:rsidR="00E1307D">
        <w:t>W</w:t>
      </w:r>
      <w:r>
        <w:t xml:space="preserve">ildbewegte Eindrücke </w:t>
      </w:r>
      <w:r w:rsidR="00E1307D">
        <w:t xml:space="preserve">erfordern binäre Rhythmen, die </w:t>
      </w:r>
      <w:r w:rsidR="00052728">
        <w:t>d</w:t>
      </w:r>
      <w:r>
        <w:t>ie Sturzfluth der Leidenschaften und ihr wirbelndes Auftürmen schildern</w:t>
      </w:r>
      <w:r w:rsidR="00E1307D">
        <w:t>. Gemi</w:t>
      </w:r>
      <w:r w:rsidR="00E1307D">
        <w:t>l</w:t>
      </w:r>
      <w:r w:rsidR="00E1307D">
        <w:t>derte Eindrücke erfordern ternäre Rhythmen</w:t>
      </w:r>
      <w:r>
        <w:t xml:space="preserve">, </w:t>
      </w:r>
      <w:r w:rsidR="00E1307D">
        <w:t xml:space="preserve">die </w:t>
      </w:r>
      <w:r w:rsidR="002E6A3A">
        <w:t xml:space="preserve">die weiche </w:t>
      </w:r>
      <w:r>
        <w:t>Rast der Seele schildern</w:t>
      </w:r>
      <w:r w:rsidR="002E6A3A">
        <w:t>‘</w:t>
      </w:r>
    </w:p>
    <w:p w:rsidR="007C1899" w:rsidRDefault="007C1899" w:rsidP="00B5079B">
      <w:pPr>
        <w:pStyle w:val="Formel"/>
      </w:pPr>
      <w:r>
        <w:rPr>
          <w:i/>
          <w:iCs/>
        </w:rPr>
        <w:t>B</w:t>
      </w:r>
      <w:r w:rsidR="00CB038D">
        <w:rPr>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CB038D">
        <w:rPr>
          <w:vertAlign w:val="subscript"/>
        </w:rPr>
        <w:t>4</w:t>
      </w:r>
      <w:r>
        <w:t xml:space="preserve"> </w:t>
      </w:r>
      <w:r w:rsidR="002434D2">
        <w:rPr>
          <w:rFonts w:ascii="Cambria Math" w:eastAsia="Arial Unicode MS" w:hAnsi="Cambria Math" w:cs="Cambria Math"/>
          <w:color w:val="000000" w:themeColor="text1"/>
        </w:rPr>
        <w:t>⤳</w:t>
      </w:r>
      <w:r w:rsidR="00EE63C8">
        <w:rPr>
          <w:vertAlign w:val="subscript"/>
        </w:rPr>
        <w:t>Ded</w:t>
      </w:r>
      <w:r>
        <w:t xml:space="preserve"> </w:t>
      </w:r>
      <w:r w:rsidR="00EE63C8">
        <w:t xml:space="preserve"> </w:t>
      </w:r>
      <w:r>
        <w:rPr>
          <w:i/>
          <w:iCs/>
        </w:rPr>
        <w:t>Er</w:t>
      </w:r>
      <w:r w:rsidR="00B65F88">
        <w:rPr>
          <w:vertAlign w:val="subscript"/>
        </w:rPr>
        <w:t>7</w:t>
      </w:r>
    </w:p>
    <w:p w:rsidR="006E5D68" w:rsidRPr="00CB038D" w:rsidRDefault="007C1899" w:rsidP="00B5079B">
      <w:pPr>
        <w:pStyle w:val="Interpretation"/>
      </w:pPr>
      <w:r>
        <w:rPr>
          <w:i/>
        </w:rPr>
        <w:t>Er</w:t>
      </w:r>
      <w:r w:rsidR="00B65F88">
        <w:rPr>
          <w:vertAlign w:val="subscript"/>
        </w:rPr>
        <w:t>7</w:t>
      </w:r>
      <w:r w:rsidR="00B77C02">
        <w:t>:</w:t>
      </w:r>
      <w:r w:rsidR="00B77C02">
        <w:tab/>
      </w:r>
      <w:r>
        <w:t>‚</w:t>
      </w:r>
      <w:r w:rsidR="00CB038D">
        <w:t xml:space="preserve">Die Rhythmen gehen anmutig oder kraftvoll </w:t>
      </w:r>
      <w:r w:rsidR="00CB038D" w:rsidRPr="00CB038D">
        <w:t>von binärer zu ternärer Bew</w:t>
      </w:r>
      <w:r w:rsidR="00CB038D" w:rsidRPr="00CB038D">
        <w:t>e</w:t>
      </w:r>
      <w:r w:rsidR="00CB038D" w:rsidRPr="00CB038D">
        <w:t>gung über, jenachdem wildbewegte oder gemilderte Eindrücke es erfordern, jenachdem sie die Sturzfluth der Leidenschaften und ihr wirbelndes Auftürmen oder die weiche Rast der Seele schildern</w:t>
      </w:r>
      <w:r w:rsidR="00CB038D">
        <w:t>‘</w:t>
      </w:r>
    </w:p>
    <w:p w:rsidR="00B722D8" w:rsidRDefault="00B722D8" w:rsidP="00B5079B">
      <w:pPr>
        <w:pStyle w:val="Interpretation"/>
      </w:pPr>
      <w:r>
        <w:rPr>
          <w:i/>
        </w:rPr>
        <w:t>H</w:t>
      </w:r>
      <w:r>
        <w:rPr>
          <w:vertAlign w:val="subscript"/>
        </w:rPr>
        <w:t>5</w:t>
      </w:r>
      <w:r w:rsidR="00516047">
        <w:t xml:space="preserve"> [zum Schema]: </w:t>
      </w:r>
      <w:r>
        <w:t>‚Die Originalität nationaler Musikstücke</w:t>
      </w:r>
      <w:r w:rsidR="00410578">
        <w:rPr>
          <w:rStyle w:val="Funotenzeichen"/>
        </w:rPr>
        <w:footnoteReference w:id="482"/>
      </w:r>
      <w:r w:rsidR="00180706">
        <w:t xml:space="preserve"> </w:t>
      </w:r>
      <w:r w:rsidR="00410578">
        <w:t xml:space="preserve">besteht </w:t>
      </w:r>
      <w:r>
        <w:t xml:space="preserve">oft </w:t>
      </w:r>
      <w:r w:rsidR="00410578">
        <w:t xml:space="preserve">grade </w:t>
      </w:r>
      <w:r>
        <w:t>in der Einförmigkeit ihres Rhythmus, durch welche sich das in ihnen herrsche</w:t>
      </w:r>
      <w:r>
        <w:t>n</w:t>
      </w:r>
      <w:r>
        <w:t>de Gefühl offenbart‘</w:t>
      </w:r>
    </w:p>
    <w:p w:rsidR="00B722D8" w:rsidRDefault="00B722D8" w:rsidP="00B5079B">
      <w:pPr>
        <w:pStyle w:val="Formel"/>
      </w:pPr>
      <w:r>
        <w:rPr>
          <w:i/>
          <w:iCs/>
        </w:rPr>
        <w:t>Er</w:t>
      </w:r>
      <w:r w:rsidR="00B65F88">
        <w:rPr>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vertAlign w:val="subscript"/>
        </w:rPr>
        <w:t>5</w:t>
      </w:r>
      <w:r>
        <w:t xml:space="preserve"> </w:t>
      </w:r>
      <w:r w:rsidR="002434D2">
        <w:rPr>
          <w:rFonts w:ascii="Cambria Math" w:eastAsia="Arial Unicode MS" w:hAnsi="Cambria Math" w:cs="Cambria Math"/>
          <w:color w:val="000000" w:themeColor="text1"/>
        </w:rPr>
        <w:t>⤳</w:t>
      </w:r>
      <w:r w:rsidR="00EE63C8">
        <w:rPr>
          <w:vertAlign w:val="subscript"/>
        </w:rPr>
        <w:t>Ded</w:t>
      </w:r>
      <w:r>
        <w:t xml:space="preserve"> </w:t>
      </w:r>
      <w:r w:rsidR="00EE63C8">
        <w:t xml:space="preserve"> </w:t>
      </w:r>
      <w:r>
        <w:rPr>
          <w:i/>
          <w:iCs/>
        </w:rPr>
        <w:t>Er</w:t>
      </w:r>
      <w:r w:rsidR="00B65F88">
        <w:rPr>
          <w:vertAlign w:val="subscript"/>
        </w:rPr>
        <w:t>8</w:t>
      </w:r>
    </w:p>
    <w:p w:rsidR="007F4DD6" w:rsidRDefault="000F577A" w:rsidP="00B5079B">
      <w:pPr>
        <w:pStyle w:val="Interpretation"/>
      </w:pPr>
      <w:r>
        <w:rPr>
          <w:i/>
        </w:rPr>
        <w:t>Er</w:t>
      </w:r>
      <w:r w:rsidR="00B65F88">
        <w:rPr>
          <w:vertAlign w:val="subscript"/>
        </w:rPr>
        <w:t>8</w:t>
      </w:r>
      <w:r w:rsidR="00B77C02">
        <w:t>:</w:t>
      </w:r>
      <w:r w:rsidR="00A70A0A">
        <w:t xml:space="preserve"> </w:t>
      </w:r>
      <w:r>
        <w:t xml:space="preserve">‚Die Zigeunermusik steht bezüglich </w:t>
      </w:r>
      <w:r w:rsidR="00410578">
        <w:t xml:space="preserve">des Rhythmus </w:t>
      </w:r>
      <w:r>
        <w:t>im Gegensatz zu anderen nationalen Musikstücken, die oft durch Einförmigkeit des Rhythmus geken</w:t>
      </w:r>
      <w:r>
        <w:t>n</w:t>
      </w:r>
      <w:r>
        <w:t>zeichnet sind‘</w:t>
      </w:r>
    </w:p>
    <w:p w:rsidR="000F577A" w:rsidRDefault="00180706" w:rsidP="00B5079B">
      <w:pPr>
        <w:pStyle w:val="Interpretation"/>
      </w:pPr>
      <w:r>
        <w:rPr>
          <w:i/>
        </w:rPr>
        <w:t>H</w:t>
      </w:r>
      <w:r>
        <w:rPr>
          <w:vertAlign w:val="subscript"/>
        </w:rPr>
        <w:t>6</w:t>
      </w:r>
      <w:r w:rsidR="008652B3">
        <w:t>:</w:t>
      </w:r>
      <w:r w:rsidR="00A70A0A">
        <w:t xml:space="preserve"> </w:t>
      </w:r>
      <w:r w:rsidR="008652B3">
        <w:t>‚</w:t>
      </w:r>
      <w:r w:rsidR="00966AF1">
        <w:t xml:space="preserve">Die Zigeuner geben sich </w:t>
      </w:r>
      <w:r w:rsidR="00F62544">
        <w:t>oft innerhalb eines sehr engen Zeitraums den en</w:t>
      </w:r>
      <w:r w:rsidR="00F62544">
        <w:t>t</w:t>
      </w:r>
      <w:r w:rsidR="00F62544">
        <w:t>gegengesetztesten, widerspre</w:t>
      </w:r>
      <w:r w:rsidR="003D5B46">
        <w:t>chendsten Eindrücken hin</w:t>
      </w:r>
      <w:r w:rsidR="00F62544">
        <w:t xml:space="preserve">, in Folge </w:t>
      </w:r>
      <w:r w:rsidR="00886CB1">
        <w:t xml:space="preserve">ihres </w:t>
      </w:r>
      <w:r w:rsidR="00F62544">
        <w:t>fortwä</w:t>
      </w:r>
      <w:r w:rsidR="00F62544">
        <w:t>h</w:t>
      </w:r>
      <w:r w:rsidR="00F62544">
        <w:t xml:space="preserve">renden Zusammenlebens mit der Natur und ihren wechselnden Bildern, ganz im Gegensatz zu andren Völkern, die nur </w:t>
      </w:r>
      <w:r w:rsidR="00F62544" w:rsidRPr="00D36C0F">
        <w:rPr>
          <w:spacing w:val="20"/>
        </w:rPr>
        <w:t>eine</w:t>
      </w:r>
      <w:r w:rsidR="00F62544">
        <w:t xml:space="preserve"> Leidenschaft, nur </w:t>
      </w:r>
      <w:r w:rsidR="00F62544" w:rsidRPr="00D36C0F">
        <w:rPr>
          <w:spacing w:val="20"/>
        </w:rPr>
        <w:t>ein</w:t>
      </w:r>
      <w:r w:rsidR="00F62544">
        <w:t xml:space="preserve"> Gefühl, nur </w:t>
      </w:r>
      <w:r w:rsidR="00F62544" w:rsidRPr="00D36C0F">
        <w:rPr>
          <w:spacing w:val="20"/>
        </w:rPr>
        <w:t>eine</w:t>
      </w:r>
      <w:r w:rsidR="00F62544">
        <w:t xml:space="preserve"> bei ihnen vorherrschende Form</w:t>
      </w:r>
      <w:r w:rsidR="00966AF1">
        <w:t xml:space="preserve"> haben</w:t>
      </w:r>
      <w:r w:rsidR="00F62544">
        <w:t>‘</w:t>
      </w:r>
    </w:p>
    <w:p w:rsidR="00180706" w:rsidRDefault="00180706" w:rsidP="00B5079B">
      <w:pPr>
        <w:pStyle w:val="Formel"/>
      </w:pPr>
      <w:r>
        <w:rPr>
          <w:i/>
          <w:iCs/>
        </w:rPr>
        <w:t>Er</w:t>
      </w:r>
      <w:r w:rsidR="00B65F88">
        <w:rPr>
          <w:vertAlign w:val="subscript"/>
        </w:rPr>
        <w:t>6</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B65F88">
        <w:rPr>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vertAlign w:val="subscript"/>
        </w:rPr>
        <w:t>6</w:t>
      </w:r>
      <w:r>
        <w:t xml:space="preserve"> </w:t>
      </w:r>
      <w:r w:rsidR="002434D2">
        <w:rPr>
          <w:rFonts w:ascii="Cambria Math" w:eastAsia="Arial Unicode MS" w:hAnsi="Cambria Math" w:cs="Cambria Math"/>
          <w:color w:val="000000" w:themeColor="text1"/>
        </w:rPr>
        <w:t>⤳</w:t>
      </w:r>
      <w:r w:rsidR="00EE63C8">
        <w:rPr>
          <w:vertAlign w:val="subscript"/>
        </w:rPr>
        <w:t>Ded</w:t>
      </w:r>
      <w:r>
        <w:t xml:space="preserve"> </w:t>
      </w:r>
      <w:r w:rsidR="00EE63C8">
        <w:t xml:space="preserve"> </w:t>
      </w:r>
      <w:r>
        <w:rPr>
          <w:i/>
          <w:iCs/>
        </w:rPr>
        <w:t>Er</w:t>
      </w:r>
      <w:r w:rsidR="00B65F88">
        <w:rPr>
          <w:vertAlign w:val="subscript"/>
        </w:rPr>
        <w:t>9</w:t>
      </w:r>
    </w:p>
    <w:p w:rsidR="00B77C02" w:rsidRDefault="00180706" w:rsidP="00B5079B">
      <w:pPr>
        <w:pStyle w:val="Interpretation"/>
      </w:pPr>
      <w:r>
        <w:rPr>
          <w:i/>
        </w:rPr>
        <w:t>Er</w:t>
      </w:r>
      <w:r w:rsidR="00B65F88">
        <w:rPr>
          <w:vertAlign w:val="subscript"/>
        </w:rPr>
        <w:t>9</w:t>
      </w:r>
      <w:r>
        <w:t>:</w:t>
      </w:r>
      <w:r w:rsidR="00A70A0A">
        <w:t xml:space="preserve"> </w:t>
      </w:r>
      <w:r>
        <w:t xml:space="preserve">‚Der Unterschied zwischen </w:t>
      </w:r>
      <w:r w:rsidR="00410578">
        <w:t xml:space="preserve">dem Reichtum des Rhythmus </w:t>
      </w:r>
      <w:r w:rsidR="00745B7A">
        <w:t xml:space="preserve">der </w:t>
      </w:r>
      <w:r>
        <w:t>Zigeunerm</w:t>
      </w:r>
      <w:r>
        <w:t>u</w:t>
      </w:r>
      <w:r>
        <w:t xml:space="preserve">sik und </w:t>
      </w:r>
      <w:r w:rsidR="00745B7A">
        <w:t>der Einförmigkeit des Rhythmus anderer nationaler</w:t>
      </w:r>
      <w:r>
        <w:t xml:space="preserve"> Musik</w:t>
      </w:r>
      <w:r w:rsidR="00745B7A">
        <w:t>stücke</w:t>
      </w:r>
      <w:r>
        <w:t xml:space="preserve"> ist sehr begreiflich, wenn man bedenkt, daß der Zigeuner die Intensität der Leide</w:t>
      </w:r>
      <w:r>
        <w:t>n</w:t>
      </w:r>
      <w:r>
        <w:t>schaftlichkeit reproduzirt, mit welcher er sich oft innerhalb eines sehr engen Zeitraums den entgegengesetztesten, widersprechendsten Eindrücken hingiebt, in Folge seine fortwährenden Zusammenlebens mit der Natur und ihren wec</w:t>
      </w:r>
      <w:r>
        <w:t>h</w:t>
      </w:r>
      <w:r>
        <w:t xml:space="preserve">selnden Bildern, ganz im Gegensatz zu andren Völkern, die nur </w:t>
      </w:r>
      <w:r w:rsidRPr="00D36C0F">
        <w:rPr>
          <w:spacing w:val="20"/>
        </w:rPr>
        <w:t>eine</w:t>
      </w:r>
      <w:r>
        <w:t xml:space="preserve"> Leide</w:t>
      </w:r>
      <w:r>
        <w:t>n</w:t>
      </w:r>
      <w:r>
        <w:t xml:space="preserve">schaft, nur </w:t>
      </w:r>
      <w:r w:rsidRPr="00D36C0F">
        <w:rPr>
          <w:spacing w:val="20"/>
        </w:rPr>
        <w:t>ein</w:t>
      </w:r>
      <w:r>
        <w:t xml:space="preserve"> Gefühl, nur </w:t>
      </w:r>
      <w:r w:rsidRPr="00D36C0F">
        <w:rPr>
          <w:spacing w:val="20"/>
        </w:rPr>
        <w:t>eine</w:t>
      </w:r>
      <w:r>
        <w:t xml:space="preserve"> bei ihnen vorherrschende Form der Seele</w:t>
      </w:r>
      <w:r>
        <w:t>n</w:t>
      </w:r>
      <w:r>
        <w:t>stimmung in Tönen wied</w:t>
      </w:r>
      <w:r w:rsidR="00C917FD">
        <w:t>erzugeben sich gedrungen fühlen</w:t>
      </w:r>
      <w:r>
        <w:t>‘</w:t>
      </w:r>
    </w:p>
    <w:p w:rsidR="001C2208" w:rsidRDefault="001C2208" w:rsidP="00B5079B">
      <w:pPr>
        <w:pStyle w:val="Interpretation"/>
      </w:pPr>
      <w:r>
        <w:rPr>
          <w:i/>
        </w:rPr>
        <w:t>U</w:t>
      </w:r>
      <w:r>
        <w:t>(</w:t>
      </w:r>
      <w:r>
        <w:rPr>
          <w:i/>
        </w:rPr>
        <w:t>B</w:t>
      </w:r>
      <w:r>
        <w:rPr>
          <w:vertAlign w:val="subscript"/>
        </w:rPr>
        <w:t>8</w:t>
      </w:r>
      <w:r>
        <w:t>):</w:t>
      </w:r>
      <w:r w:rsidR="00A70A0A">
        <w:t xml:space="preserve"> </w:t>
      </w:r>
      <w:r>
        <w:t xml:space="preserve">‚Umgang mit dem Thema‘, </w:t>
      </w:r>
      <w:r>
        <w:rPr>
          <w:i/>
        </w:rPr>
        <w:t>V</w:t>
      </w:r>
      <w:r>
        <w:t>(</w:t>
      </w:r>
      <w:r>
        <w:rPr>
          <w:i/>
        </w:rPr>
        <w:t>B</w:t>
      </w:r>
      <w:r>
        <w:rPr>
          <w:vertAlign w:val="subscript"/>
        </w:rPr>
        <w:t>8</w:t>
      </w:r>
      <w:r>
        <w:t>): ‚wird immer mit einer Überfülle von Ornamenten verziert‘</w:t>
      </w:r>
    </w:p>
    <w:p w:rsidR="001C2208" w:rsidRDefault="001C2208" w:rsidP="00B5079B">
      <w:pPr>
        <w:pStyle w:val="Interpretation"/>
      </w:pPr>
      <w:r>
        <w:rPr>
          <w:i/>
        </w:rPr>
        <w:lastRenderedPageBreak/>
        <w:t>U</w:t>
      </w:r>
      <w:r>
        <w:t>(</w:t>
      </w:r>
      <w:r>
        <w:rPr>
          <w:i/>
        </w:rPr>
        <w:t>B</w:t>
      </w:r>
      <w:r>
        <w:rPr>
          <w:vertAlign w:val="subscript"/>
        </w:rPr>
        <w:t>9</w:t>
      </w:r>
      <w:r>
        <w:t>):</w:t>
      </w:r>
      <w:r w:rsidR="00A70A0A">
        <w:t xml:space="preserve"> </w:t>
      </w:r>
      <w:r>
        <w:t xml:space="preserve">‚Arten von </w:t>
      </w:r>
      <w:r w:rsidR="00AF1E55">
        <w:t>Ornamenten</w:t>
      </w:r>
      <w:r>
        <w:t xml:space="preserve">‘, </w:t>
      </w:r>
      <w:r>
        <w:rPr>
          <w:i/>
        </w:rPr>
        <w:t>V</w:t>
      </w:r>
      <w:r>
        <w:t>(</w:t>
      </w:r>
      <w:r>
        <w:rPr>
          <w:i/>
        </w:rPr>
        <w:t>B</w:t>
      </w:r>
      <w:r>
        <w:rPr>
          <w:vertAlign w:val="subscript"/>
        </w:rPr>
        <w:t>9</w:t>
      </w:r>
      <w:r>
        <w:t>): ‚Überstrom von Läufen, Vorschläge, Tonleitern, Arpeggien, diatonische und chromatische Passagen, Tongruppen und Gruppettchen‘</w:t>
      </w:r>
    </w:p>
    <w:p w:rsidR="001C2208" w:rsidRDefault="001C2208" w:rsidP="00B5079B">
      <w:pPr>
        <w:pStyle w:val="Formel"/>
      </w:pPr>
      <w:r>
        <w:rPr>
          <w:i/>
          <w:iCs/>
        </w:rPr>
        <w:t>B</w:t>
      </w:r>
      <w:r>
        <w:rPr>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9</w:t>
      </w:r>
      <w:r w:rsidR="00AF1E55" w:rsidRPr="00AF1E55">
        <w:rPr>
          <w:i/>
          <w:iCs/>
        </w:rPr>
        <w:t xml:space="preserve"> </w:t>
      </w:r>
      <w:r w:rsidR="00AF1E55">
        <w:rPr>
          <w:rFonts w:ascii="Cambria Math" w:hAnsi="Cambria Math" w:cs="Cambria Math"/>
          <w:color w:val="000000" w:themeColor="text1"/>
        </w:rPr>
        <w:t>∧</w:t>
      </w:r>
      <w:r w:rsidR="00AF1E55">
        <w:rPr>
          <w:rFonts w:cs="Times New Roman"/>
          <w:color w:val="000000" w:themeColor="text1"/>
        </w:rPr>
        <w:t xml:space="preserve"> </w:t>
      </w:r>
      <w:r w:rsidR="00AF1E55">
        <w:rPr>
          <w:i/>
          <w:iCs/>
        </w:rPr>
        <w:t>Er</w:t>
      </w:r>
      <w:r w:rsidR="00AF1E55">
        <w:rPr>
          <w:iCs/>
          <w:vertAlign w:val="subscript"/>
        </w:rPr>
        <w:t>6</w:t>
      </w:r>
      <w:r>
        <w:t xml:space="preserve"> </w:t>
      </w:r>
      <w:r w:rsidR="002434D2">
        <w:rPr>
          <w:rFonts w:ascii="Cambria Math" w:eastAsia="Arial Unicode MS" w:hAnsi="Cambria Math" w:cs="Cambria Math"/>
          <w:color w:val="000000" w:themeColor="text1"/>
        </w:rPr>
        <w:t>⤳</w:t>
      </w:r>
      <w:r>
        <w:rPr>
          <w:vertAlign w:val="subscript"/>
        </w:rPr>
        <w:t>Ass</w:t>
      </w:r>
      <w:r>
        <w:t xml:space="preserve">  </w:t>
      </w:r>
      <w:r>
        <w:rPr>
          <w:i/>
          <w:iCs/>
        </w:rPr>
        <w:t>Er</w:t>
      </w:r>
      <w:r>
        <w:rPr>
          <w:vertAlign w:val="subscript"/>
        </w:rPr>
        <w:t>10</w:t>
      </w:r>
    </w:p>
    <w:p w:rsidR="001C2208" w:rsidRDefault="001C2208" w:rsidP="00B5079B">
      <w:pPr>
        <w:pStyle w:val="Interpretation"/>
      </w:pPr>
      <w:r>
        <w:rPr>
          <w:i/>
        </w:rPr>
        <w:t>Er</w:t>
      </w:r>
      <w:r>
        <w:rPr>
          <w:vertAlign w:val="subscript"/>
        </w:rPr>
        <w:t>10</w:t>
      </w:r>
      <w:r>
        <w:t>:</w:t>
      </w:r>
      <w:r w:rsidR="00A70A0A">
        <w:t xml:space="preserve"> </w:t>
      </w:r>
      <w:r>
        <w:t>‚Der vielgestaltigen Üppigkeit der Rhythmen entspricht die Überfülle von Ornamenten, mit welcher der Künstler das Thema immer schmückt und ve</w:t>
      </w:r>
      <w:r>
        <w:t>r</w:t>
      </w:r>
      <w:r>
        <w:t>ziert‘</w:t>
      </w:r>
    </w:p>
    <w:p w:rsidR="00C917FD" w:rsidRDefault="00C917FD" w:rsidP="00B5079B">
      <w:pPr>
        <w:pStyle w:val="Interpretation"/>
      </w:pPr>
      <w:r>
        <w:rPr>
          <w:i/>
        </w:rPr>
        <w:t>H</w:t>
      </w:r>
      <w:r>
        <w:rPr>
          <w:vertAlign w:val="subscript"/>
        </w:rPr>
        <w:t>7</w:t>
      </w:r>
      <w:r>
        <w:t>:</w:t>
      </w:r>
      <w:r w:rsidR="00A70A0A">
        <w:t xml:space="preserve"> </w:t>
      </w:r>
      <w:r>
        <w:t>‚Die maurische Architectur zeichnet auf jeden Ziegel ein Gedicht in Mini</w:t>
      </w:r>
      <w:r>
        <w:t>a</w:t>
      </w:r>
      <w:r>
        <w:t>tur. Dabei genügt ein enger Raum zur Entwicklung einer Menge von Linien die sich kreuzen und durchbrechen, sich suchen und verfolgen, sich berühren, drä</w:t>
      </w:r>
      <w:r>
        <w:t>n</w:t>
      </w:r>
      <w:r>
        <w:t>gen und wieder trennen, immer aber ein bezauberndes Ganze bilden‘</w:t>
      </w:r>
    </w:p>
    <w:p w:rsidR="00C917FD" w:rsidRDefault="00C917FD" w:rsidP="00B5079B">
      <w:pPr>
        <w:pStyle w:val="Interpretation"/>
      </w:pPr>
      <w:r>
        <w:rPr>
          <w:i/>
        </w:rPr>
        <w:t>H</w:t>
      </w:r>
      <w:r>
        <w:rPr>
          <w:vertAlign w:val="subscript"/>
        </w:rPr>
        <w:t>8</w:t>
      </w:r>
      <w:r>
        <w:t>:</w:t>
      </w:r>
      <w:r w:rsidR="00A70A0A">
        <w:t xml:space="preserve"> </w:t>
      </w:r>
      <w:r>
        <w:t xml:space="preserve">‚Die in </w:t>
      </w:r>
      <w:r>
        <w:rPr>
          <w:i/>
        </w:rPr>
        <w:t>H</w:t>
      </w:r>
      <w:r>
        <w:rPr>
          <w:vertAlign w:val="subscript"/>
        </w:rPr>
        <w:t>7</w:t>
      </w:r>
      <w:r>
        <w:t xml:space="preserve"> beschriebene Eigenschaft der maurischen Architektur bereitet dem Auge Genüsse‘</w:t>
      </w:r>
    </w:p>
    <w:p w:rsidR="00C917FD" w:rsidRDefault="00AF1E55" w:rsidP="00B5079B">
      <w:pPr>
        <w:pStyle w:val="Formel"/>
      </w:pPr>
      <w:r>
        <w:rPr>
          <w:i/>
          <w:iCs/>
        </w:rPr>
        <w:t>B</w:t>
      </w:r>
      <w:r>
        <w:rPr>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5</w:t>
      </w:r>
      <w:r w:rsidRPr="00AF1E55">
        <w:rPr>
          <w:i/>
          <w:iCs/>
        </w:rP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6</w:t>
      </w:r>
      <w:r w:rsidRPr="00AF1E55">
        <w:rPr>
          <w:i/>
          <w:iCs/>
        </w:rP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9</w:t>
      </w:r>
      <w:r w:rsidRPr="00AF1E55">
        <w:rPr>
          <w:i/>
          <w:iCs/>
        </w:rP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6</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10</w:t>
      </w:r>
      <w:r>
        <w:t xml:space="preserve"> </w:t>
      </w:r>
      <w:r>
        <w:rPr>
          <w:rFonts w:ascii="Cambria Math" w:hAnsi="Cambria Math" w:cs="Cambria Math"/>
          <w:color w:val="000000" w:themeColor="text1"/>
        </w:rPr>
        <w:t>∧</w:t>
      </w:r>
      <w:r>
        <w:rPr>
          <w:rFonts w:cs="Times New Roman"/>
          <w:color w:val="000000" w:themeColor="text1"/>
        </w:rPr>
        <w:t xml:space="preserve"> </w:t>
      </w:r>
      <w:r w:rsidR="00C917FD">
        <w:rPr>
          <w:i/>
          <w:iCs/>
        </w:rPr>
        <w:t>H</w:t>
      </w:r>
      <w:r w:rsidR="00C917FD">
        <w:rPr>
          <w:vertAlign w:val="subscript"/>
        </w:rPr>
        <w:t>7</w:t>
      </w:r>
      <w:r w:rsidR="00C917FD">
        <w:t xml:space="preserve"> </w:t>
      </w:r>
      <w:r w:rsidR="00C917FD">
        <w:rPr>
          <w:rFonts w:ascii="Cambria Math" w:hAnsi="Cambria Math" w:cs="Cambria Math"/>
          <w:color w:val="000000" w:themeColor="text1"/>
        </w:rPr>
        <w:t>∧</w:t>
      </w:r>
      <w:r w:rsidR="00C917FD">
        <w:rPr>
          <w:rFonts w:cs="Times New Roman"/>
          <w:color w:val="000000" w:themeColor="text1"/>
        </w:rPr>
        <w:t xml:space="preserve"> </w:t>
      </w:r>
      <w:r w:rsidR="00C917FD">
        <w:rPr>
          <w:i/>
          <w:iCs/>
        </w:rPr>
        <w:t>H</w:t>
      </w:r>
      <w:r w:rsidR="00C917FD">
        <w:rPr>
          <w:vertAlign w:val="subscript"/>
        </w:rPr>
        <w:t>8</w:t>
      </w:r>
      <w:r w:rsidR="00C917FD">
        <w:t xml:space="preserve"> </w:t>
      </w:r>
      <w:r w:rsidR="002434D2">
        <w:rPr>
          <w:rFonts w:ascii="Cambria Math" w:eastAsia="Arial Unicode MS" w:hAnsi="Cambria Math" w:cs="Cambria Math"/>
          <w:color w:val="000000" w:themeColor="text1"/>
        </w:rPr>
        <w:t>⤳</w:t>
      </w:r>
      <w:r w:rsidR="00EE63C8">
        <w:rPr>
          <w:vertAlign w:val="subscript"/>
        </w:rPr>
        <w:t>Ass</w:t>
      </w:r>
      <w:r w:rsidR="00C917FD">
        <w:t xml:space="preserve"> </w:t>
      </w:r>
      <w:r w:rsidR="00EE63C8">
        <w:t xml:space="preserve"> </w:t>
      </w:r>
      <w:r w:rsidR="00C917FD">
        <w:rPr>
          <w:i/>
          <w:iCs/>
        </w:rPr>
        <w:t>Er</w:t>
      </w:r>
      <w:r w:rsidR="00E44EFA">
        <w:rPr>
          <w:vertAlign w:val="subscript"/>
        </w:rPr>
        <w:t>1</w:t>
      </w:r>
      <w:r w:rsidR="001C2208">
        <w:rPr>
          <w:vertAlign w:val="subscript"/>
        </w:rPr>
        <w:t>1</w:t>
      </w:r>
    </w:p>
    <w:p w:rsidR="00F96DCC" w:rsidRDefault="00C917FD" w:rsidP="00B5079B">
      <w:pPr>
        <w:pStyle w:val="Interpretation"/>
      </w:pPr>
      <w:r>
        <w:rPr>
          <w:i/>
        </w:rPr>
        <w:t>Er</w:t>
      </w:r>
      <w:r w:rsidR="00E44EFA">
        <w:rPr>
          <w:vertAlign w:val="subscript"/>
        </w:rPr>
        <w:t>1</w:t>
      </w:r>
      <w:r w:rsidR="001C2208">
        <w:rPr>
          <w:vertAlign w:val="subscript"/>
        </w:rPr>
        <w:t>1</w:t>
      </w:r>
      <w:r>
        <w:t>:</w:t>
      </w:r>
      <w:r w:rsidR="00A70A0A">
        <w:t xml:space="preserve"> </w:t>
      </w:r>
      <w:r>
        <w:t>‚Die Musik der Zigeuner bereitet dem Ohr alle Genüsse, welche die maur</w:t>
      </w:r>
      <w:r>
        <w:t>i</w:t>
      </w:r>
      <w:r>
        <w:t>sche Architectur dem Auge bot, wenn sie auf jeden Ziegel ein Gedicht in Mini</w:t>
      </w:r>
      <w:r>
        <w:t>a</w:t>
      </w:r>
      <w:r>
        <w:t>tur zeichnete. Hier wie dort genügt ein enger Raum zur Entwicklung einer Me</w:t>
      </w:r>
      <w:r>
        <w:t>n</w:t>
      </w:r>
      <w:r>
        <w:t>ge von Linien die sich kreuzen und durchbrechen, sich suchen und verfolgen, sich berühren, drängen und wieder trennen,</w:t>
      </w:r>
      <w:r w:rsidR="00886CB1">
        <w:t xml:space="preserve"> </w:t>
      </w:r>
      <w:r>
        <w:t>immer aber ein bezauberndes Ganze bilden‘</w:t>
      </w:r>
    </w:p>
    <w:p w:rsidR="00B27194" w:rsidRDefault="00B27194" w:rsidP="00B5079B">
      <w:pPr>
        <w:pStyle w:val="Interpretation"/>
      </w:pPr>
      <w:r>
        <w:rPr>
          <w:i/>
        </w:rPr>
        <w:t>U</w:t>
      </w:r>
      <w:r>
        <w:t>(</w:t>
      </w:r>
      <w:r>
        <w:rPr>
          <w:i/>
        </w:rPr>
        <w:t>B</w:t>
      </w:r>
      <w:r w:rsidR="00AF1E55">
        <w:rPr>
          <w:vertAlign w:val="subscript"/>
        </w:rPr>
        <w:t>10</w:t>
      </w:r>
      <w:r>
        <w:t>):</w:t>
      </w:r>
      <w:r w:rsidR="00A70A0A">
        <w:t xml:space="preserve"> </w:t>
      </w:r>
      <w:r>
        <w:t xml:space="preserve">‚Führung der </w:t>
      </w:r>
      <w:r w:rsidR="002524D1">
        <w:t xml:space="preserve">ersten </w:t>
      </w:r>
      <w:r w:rsidR="00B122E4">
        <w:t>Solo</w:t>
      </w:r>
      <w:r>
        <w:t xml:space="preserve">stimme‘, </w:t>
      </w:r>
      <w:r>
        <w:rPr>
          <w:i/>
        </w:rPr>
        <w:t>V</w:t>
      </w:r>
      <w:r>
        <w:t>(</w:t>
      </w:r>
      <w:r>
        <w:rPr>
          <w:i/>
        </w:rPr>
        <w:t>B</w:t>
      </w:r>
      <w:r w:rsidR="00AF1E55">
        <w:rPr>
          <w:vertAlign w:val="subscript"/>
        </w:rPr>
        <w:t>10</w:t>
      </w:r>
      <w:r>
        <w:t>): ‚es überwiegen Fiorituren [</w:t>
      </w:r>
      <w:r w:rsidR="00407FFE">
        <w:t>Verzierungen</w:t>
      </w:r>
      <w:r>
        <w:t>]‘</w:t>
      </w:r>
    </w:p>
    <w:p w:rsidR="00407FFE" w:rsidRDefault="00407FFE" w:rsidP="00B5079B">
      <w:pPr>
        <w:pStyle w:val="Formel"/>
      </w:pPr>
      <w:r>
        <w:rPr>
          <w:i/>
          <w:iCs/>
        </w:rPr>
        <w:t>B</w:t>
      </w:r>
      <w:r w:rsidR="00AF1E55">
        <w:rPr>
          <w:vertAlign w:val="subscript"/>
        </w:rPr>
        <w:t>10</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AF1E55">
        <w:rPr>
          <w:vertAlign w:val="subscript"/>
        </w:rPr>
        <w:t>11</w:t>
      </w:r>
      <w:r>
        <w:t xml:space="preserve"> </w:t>
      </w:r>
      <w:r w:rsidR="002434D2">
        <w:rPr>
          <w:rFonts w:ascii="Cambria Math" w:eastAsia="Arial Unicode MS" w:hAnsi="Cambria Math" w:cs="Cambria Math"/>
          <w:color w:val="000000" w:themeColor="text1"/>
        </w:rPr>
        <w:t>⤳</w:t>
      </w:r>
      <w:r w:rsidR="00EE63C8">
        <w:rPr>
          <w:vertAlign w:val="subscript"/>
        </w:rPr>
        <w:t>Ass</w:t>
      </w:r>
      <w:r>
        <w:t xml:space="preserve"> </w:t>
      </w:r>
      <w:r w:rsidR="00EE63C8">
        <w:t xml:space="preserve"> </w:t>
      </w:r>
      <w:r>
        <w:rPr>
          <w:i/>
          <w:iCs/>
        </w:rPr>
        <w:t>Er</w:t>
      </w:r>
      <w:r w:rsidR="00575EC8">
        <w:rPr>
          <w:vertAlign w:val="subscript"/>
        </w:rPr>
        <w:t>1</w:t>
      </w:r>
      <w:r w:rsidR="00AF1E55">
        <w:rPr>
          <w:vertAlign w:val="subscript"/>
        </w:rPr>
        <w:t>2</w:t>
      </w:r>
    </w:p>
    <w:p w:rsidR="00B27194" w:rsidRDefault="00B27194" w:rsidP="00B5079B">
      <w:pPr>
        <w:pStyle w:val="Interpretation"/>
      </w:pPr>
      <w:r>
        <w:rPr>
          <w:i/>
        </w:rPr>
        <w:t>Er</w:t>
      </w:r>
      <w:r w:rsidR="00575EC8">
        <w:rPr>
          <w:vertAlign w:val="subscript"/>
        </w:rPr>
        <w:t>1</w:t>
      </w:r>
      <w:r w:rsidR="00AF1E55">
        <w:rPr>
          <w:vertAlign w:val="subscript"/>
        </w:rPr>
        <w:t>2</w:t>
      </w:r>
      <w:r>
        <w:t>:</w:t>
      </w:r>
      <w:r w:rsidR="00A70A0A">
        <w:t xml:space="preserve"> </w:t>
      </w:r>
      <w:r>
        <w:t xml:space="preserve">‚Das Überwiegen der Fiorituren </w:t>
      </w:r>
      <w:r w:rsidR="00407FFE">
        <w:t>knüpft diese Kunst fühlbar an einen orie</w:t>
      </w:r>
      <w:r w:rsidR="00407FFE">
        <w:t>n</w:t>
      </w:r>
      <w:r w:rsidR="00407FFE">
        <w:t>talischen Ursprung‘</w:t>
      </w:r>
    </w:p>
    <w:p w:rsidR="002524D1" w:rsidRDefault="002524D1" w:rsidP="00B5079B">
      <w:pPr>
        <w:pStyle w:val="Interpretation"/>
      </w:pPr>
      <w:r>
        <w:rPr>
          <w:i/>
        </w:rPr>
        <w:t>U</w:t>
      </w:r>
      <w:r>
        <w:t>(</w:t>
      </w:r>
      <w:r>
        <w:rPr>
          <w:i/>
        </w:rPr>
        <w:t>B</w:t>
      </w:r>
      <w:r w:rsidR="00155E00">
        <w:rPr>
          <w:vertAlign w:val="subscript"/>
        </w:rPr>
        <w:t>11</w:t>
      </w:r>
      <w:r>
        <w:t>):</w:t>
      </w:r>
      <w:r w:rsidR="00A70A0A">
        <w:t xml:space="preserve"> </w:t>
      </w:r>
      <w:r>
        <w:t xml:space="preserve">‚Aufgabenverteilung zwischen den Instrumenten‘, </w:t>
      </w:r>
      <w:r>
        <w:rPr>
          <w:i/>
        </w:rPr>
        <w:t>V</w:t>
      </w:r>
      <w:r>
        <w:t>(</w:t>
      </w:r>
      <w:r>
        <w:rPr>
          <w:i/>
        </w:rPr>
        <w:t>B</w:t>
      </w:r>
      <w:r w:rsidR="00155E00">
        <w:rPr>
          <w:vertAlign w:val="subscript"/>
        </w:rPr>
        <w:t>11</w:t>
      </w:r>
      <w:r>
        <w:t>): ‚Geige und Cymbal sind Solisten‘, ‚die andren Instrumente dienen zur Verdopplung der Harmonie, zum Markiren des Rhythmus, zu Begleitung‘</w:t>
      </w:r>
      <w:r w:rsidR="00904442">
        <w:rPr>
          <w:rStyle w:val="Funotenzeichen"/>
        </w:rPr>
        <w:footnoteReference w:id="483"/>
      </w:r>
    </w:p>
    <w:p w:rsidR="006F7BEC" w:rsidRDefault="006F7BEC" w:rsidP="00B5079B">
      <w:pPr>
        <w:pStyle w:val="Interpretation"/>
      </w:pPr>
      <w:r>
        <w:rPr>
          <w:i/>
        </w:rPr>
        <w:t>U</w:t>
      </w:r>
      <w:r>
        <w:t>(</w:t>
      </w:r>
      <w:r>
        <w:rPr>
          <w:i/>
        </w:rPr>
        <w:t>B</w:t>
      </w:r>
      <w:r w:rsidR="002524D1">
        <w:rPr>
          <w:vertAlign w:val="subscript"/>
        </w:rPr>
        <w:t>1</w:t>
      </w:r>
      <w:r w:rsidR="00155E00">
        <w:rPr>
          <w:vertAlign w:val="subscript"/>
        </w:rPr>
        <w:t>2</w:t>
      </w:r>
      <w:r>
        <w:t>):</w:t>
      </w:r>
      <w:r w:rsidR="00A70A0A">
        <w:t xml:space="preserve"> </w:t>
      </w:r>
      <w:r>
        <w:t xml:space="preserve">‚Rollenverteilung unter den Solisten‘, </w:t>
      </w:r>
      <w:r>
        <w:rPr>
          <w:i/>
        </w:rPr>
        <w:t>V</w:t>
      </w:r>
      <w:r>
        <w:t>(</w:t>
      </w:r>
      <w:r>
        <w:rPr>
          <w:i/>
        </w:rPr>
        <w:t>B</w:t>
      </w:r>
      <w:r w:rsidR="002524D1">
        <w:rPr>
          <w:vertAlign w:val="subscript"/>
        </w:rPr>
        <w:t>1</w:t>
      </w:r>
      <w:r w:rsidR="00155E00">
        <w:rPr>
          <w:vertAlign w:val="subscript"/>
        </w:rPr>
        <w:t>2</w:t>
      </w:r>
      <w:r>
        <w:t>): ‚Die erste Geige durc</w:t>
      </w:r>
      <w:r>
        <w:t>h</w:t>
      </w:r>
      <w:r>
        <w:t>läuft alle Schlingwege der Laune des Virtuosen. Des Cymbalisten Rolle ist es diesen Lauf zu rhythmisiren, Beschleunigung und Verzögerung, Energie oder Weichheit des Taktes hervorzuheben‘</w:t>
      </w:r>
      <w:r w:rsidR="00904442">
        <w:rPr>
          <w:rStyle w:val="Funotenzeichen"/>
        </w:rPr>
        <w:footnoteReference w:id="484"/>
      </w:r>
    </w:p>
    <w:p w:rsidR="00F96DCC" w:rsidRDefault="00F96DCC" w:rsidP="00B5079B">
      <w:pPr>
        <w:pStyle w:val="Interpretation"/>
      </w:pPr>
      <w:r>
        <w:rPr>
          <w:i/>
        </w:rPr>
        <w:t>U</w:t>
      </w:r>
      <w:r>
        <w:t>(</w:t>
      </w:r>
      <w:r>
        <w:rPr>
          <w:i/>
        </w:rPr>
        <w:t>B</w:t>
      </w:r>
      <w:r w:rsidR="00B27194">
        <w:rPr>
          <w:vertAlign w:val="subscript"/>
        </w:rPr>
        <w:t>1</w:t>
      </w:r>
      <w:r w:rsidR="00155E00">
        <w:rPr>
          <w:vertAlign w:val="subscript"/>
        </w:rPr>
        <w:t>3</w:t>
      </w:r>
      <w:r>
        <w:t>):</w:t>
      </w:r>
      <w:r w:rsidR="00A70A0A">
        <w:t xml:space="preserve"> </w:t>
      </w:r>
      <w:r>
        <w:t xml:space="preserve">‚Verhältnis </w:t>
      </w:r>
      <w:r w:rsidR="008B0D58">
        <w:t xml:space="preserve">des ersten Geigers </w:t>
      </w:r>
      <w:r>
        <w:t xml:space="preserve">zum Rest des Orchesters‘, </w:t>
      </w:r>
      <w:r>
        <w:rPr>
          <w:i/>
        </w:rPr>
        <w:t>V</w:t>
      </w:r>
      <w:r>
        <w:t>(</w:t>
      </w:r>
      <w:r>
        <w:rPr>
          <w:i/>
        </w:rPr>
        <w:t>B</w:t>
      </w:r>
      <w:r w:rsidR="00B27194">
        <w:rPr>
          <w:vertAlign w:val="subscript"/>
        </w:rPr>
        <w:t>1</w:t>
      </w:r>
      <w:r w:rsidR="00155E00">
        <w:rPr>
          <w:vertAlign w:val="subscript"/>
        </w:rPr>
        <w:t>3</w:t>
      </w:r>
      <w:r>
        <w:t>): ‚Das Orchester ist im Grunde nur da</w:t>
      </w:r>
      <w:r w:rsidR="00EC0930">
        <w:t xml:space="preserve">, </w:t>
      </w:r>
      <w:r>
        <w:t xml:space="preserve">um ihn zu unterstützen, die Klangmassen zu verstärken, den Rhythmus schärfer hervorzuheben und die Redeblumen seiner </w:t>
      </w:r>
      <w:r>
        <w:lastRenderedPageBreak/>
        <w:t>Improvisation zu schattieren und zu färben. Der Hauptsolist entscheidet über das Tempo‘</w:t>
      </w:r>
    </w:p>
    <w:p w:rsidR="00B122E4" w:rsidRDefault="00B122E4" w:rsidP="00B5079B">
      <w:pPr>
        <w:pStyle w:val="Formel"/>
      </w:pPr>
      <w:r>
        <w:rPr>
          <w:i/>
          <w:iCs/>
        </w:rPr>
        <w:t>B</w:t>
      </w:r>
      <w:r w:rsidR="00155E00">
        <w:rPr>
          <w:vertAlign w:val="subscript"/>
        </w:rPr>
        <w:t>10</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sidR="00155E00">
        <w:rPr>
          <w:vertAlign w:val="subscript"/>
        </w:rPr>
        <w:t>11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1</w:t>
      </w:r>
      <w:r w:rsidR="00155E00">
        <w:rPr>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vertAlign w:val="subscript"/>
        </w:rPr>
        <w:t>1</w:t>
      </w:r>
      <w:r w:rsidR="00155E00">
        <w:rPr>
          <w:vertAlign w:val="subscript"/>
        </w:rPr>
        <w:t>3</w:t>
      </w:r>
      <w:r>
        <w:t xml:space="preserve"> </w:t>
      </w:r>
      <w:r w:rsidR="002434D2">
        <w:rPr>
          <w:rFonts w:ascii="Cambria Math" w:eastAsia="Arial Unicode MS" w:hAnsi="Cambria Math" w:cs="Cambria Math"/>
          <w:color w:val="000000" w:themeColor="text1"/>
        </w:rPr>
        <w:t>⤳</w:t>
      </w:r>
      <w:r w:rsidR="00EE63C8">
        <w:rPr>
          <w:vertAlign w:val="subscript"/>
        </w:rPr>
        <w:t>Abd</w:t>
      </w:r>
      <w:r w:rsidR="002423D3">
        <w:t xml:space="preserve"> </w:t>
      </w:r>
      <w:r w:rsidR="00EE63C8">
        <w:t xml:space="preserve"> </w:t>
      </w:r>
      <w:r>
        <w:rPr>
          <w:i/>
          <w:iCs/>
        </w:rPr>
        <w:t>Er</w:t>
      </w:r>
      <w:r w:rsidR="0068539F">
        <w:rPr>
          <w:vertAlign w:val="subscript"/>
        </w:rPr>
        <w:t>1</w:t>
      </w:r>
      <w:r w:rsidR="00155E00">
        <w:rPr>
          <w:vertAlign w:val="subscript"/>
        </w:rPr>
        <w:t>3</w:t>
      </w:r>
    </w:p>
    <w:p w:rsidR="00F96DCC" w:rsidRDefault="0068539F" w:rsidP="00B5079B">
      <w:pPr>
        <w:pStyle w:val="Interpretation"/>
      </w:pPr>
      <w:r>
        <w:rPr>
          <w:i/>
        </w:rPr>
        <w:t>Er</w:t>
      </w:r>
      <w:r>
        <w:rPr>
          <w:vertAlign w:val="subscript"/>
        </w:rPr>
        <w:t>1</w:t>
      </w:r>
      <w:r w:rsidR="00155E00">
        <w:rPr>
          <w:vertAlign w:val="subscript"/>
        </w:rPr>
        <w:t>3</w:t>
      </w:r>
      <w:r>
        <w:t>:</w:t>
      </w:r>
      <w:r w:rsidR="00A70A0A">
        <w:t xml:space="preserve"> </w:t>
      </w:r>
      <w:r>
        <w:t>‚</w:t>
      </w:r>
      <w:r w:rsidR="00F96DCC">
        <w:t>Das Überwiegen der Fiorituren macht den ersten Geiger nothwen</w:t>
      </w:r>
      <w:r w:rsidR="00294949">
        <w:softHyphen/>
      </w:r>
      <w:r w:rsidR="00F96DCC">
        <w:t>diger</w:t>
      </w:r>
      <w:r w:rsidR="00294949">
        <w:softHyphen/>
      </w:r>
      <w:r w:rsidR="00F96DCC">
        <w:t>weise zur Hauptperson des Orchesters, welches im Grunde nur da ist um ihn zu unterstützen, die Klangmassen zu verstärken, den Rhythmus schärfer hervorz</w:t>
      </w:r>
      <w:r w:rsidR="00F96DCC">
        <w:t>u</w:t>
      </w:r>
      <w:r w:rsidR="00F96DCC">
        <w:t>heben und die Redeblumen seiner Improvisation zu schattieren und zu färben. So ist er es auch der über das Tempo entscheidet</w:t>
      </w:r>
      <w:r w:rsidR="00B27194">
        <w:t>‘</w:t>
      </w:r>
      <w:r w:rsidR="002423D3">
        <w:rPr>
          <w:rStyle w:val="Funotenzeichen"/>
        </w:rPr>
        <w:footnoteReference w:id="485"/>
      </w:r>
    </w:p>
    <w:p w:rsidR="000D3DAF" w:rsidRDefault="00FC5654" w:rsidP="00B5079B">
      <w:pPr>
        <w:pStyle w:val="Interpretation"/>
      </w:pPr>
      <w:r>
        <w:rPr>
          <w:i/>
        </w:rPr>
        <w:t>U</w:t>
      </w:r>
      <w:r>
        <w:t>(</w:t>
      </w:r>
      <w:r>
        <w:rPr>
          <w:i/>
        </w:rPr>
        <w:t>B</w:t>
      </w:r>
      <w:r>
        <w:rPr>
          <w:vertAlign w:val="subscript"/>
        </w:rPr>
        <w:t>1</w:t>
      </w:r>
      <w:r w:rsidR="00155E00">
        <w:rPr>
          <w:vertAlign w:val="subscript"/>
        </w:rPr>
        <w:t>4</w:t>
      </w:r>
      <w:r>
        <w:t>): ‚</w:t>
      </w:r>
      <w:r w:rsidR="00215B1A">
        <w:t xml:space="preserve">grundlegender </w:t>
      </w:r>
      <w:r>
        <w:t xml:space="preserve">Aufbau </w:t>
      </w:r>
      <w:r w:rsidR="007D3650">
        <w:t xml:space="preserve">eines Typs von Musikstück </w:t>
      </w:r>
      <w:r w:rsidR="00545611">
        <w:t xml:space="preserve">(der </w:t>
      </w:r>
      <w:r>
        <w:t>„Ungarische</w:t>
      </w:r>
      <w:r w:rsidR="002247D9">
        <w:t xml:space="preserve"> Tanz</w:t>
      </w:r>
      <w:r>
        <w:t>“</w:t>
      </w:r>
      <w:r w:rsidR="00545611">
        <w:t>)</w:t>
      </w:r>
      <w:r>
        <w:t xml:space="preserve">‘, </w:t>
      </w:r>
      <w:r>
        <w:rPr>
          <w:i/>
        </w:rPr>
        <w:t>V</w:t>
      </w:r>
      <w:r>
        <w:t>(</w:t>
      </w:r>
      <w:r>
        <w:rPr>
          <w:i/>
        </w:rPr>
        <w:t>B</w:t>
      </w:r>
      <w:r w:rsidR="000D3DAF">
        <w:rPr>
          <w:vertAlign w:val="subscript"/>
        </w:rPr>
        <w:t>1</w:t>
      </w:r>
      <w:r w:rsidR="00155E00">
        <w:rPr>
          <w:vertAlign w:val="subscript"/>
        </w:rPr>
        <w:t>4</w:t>
      </w:r>
      <w:r>
        <w:t>): ‚</w:t>
      </w:r>
      <w:r w:rsidR="000D3DAF">
        <w:t>zerfällt in zwei Teile</w:t>
      </w:r>
      <w:r w:rsidR="00C74E26">
        <w:t xml:space="preserve">; </w:t>
      </w:r>
      <w:r w:rsidR="000D3DAF">
        <w:t>ein langsamer Tanz geht einem lebhaften voraus‘</w:t>
      </w:r>
    </w:p>
    <w:p w:rsidR="000D3DAF" w:rsidRDefault="000D3DAF" w:rsidP="00B5079B">
      <w:pPr>
        <w:pStyle w:val="Interpretation"/>
      </w:pPr>
      <w:r>
        <w:rPr>
          <w:i/>
        </w:rPr>
        <w:t>U</w:t>
      </w:r>
      <w:r>
        <w:t>(</w:t>
      </w:r>
      <w:r>
        <w:rPr>
          <w:i/>
        </w:rPr>
        <w:t>B</w:t>
      </w:r>
      <w:r>
        <w:rPr>
          <w:vertAlign w:val="subscript"/>
        </w:rPr>
        <w:t>1</w:t>
      </w:r>
      <w:r w:rsidR="00155E00">
        <w:rPr>
          <w:vertAlign w:val="subscript"/>
        </w:rPr>
        <w:t>5</w:t>
      </w:r>
      <w:r>
        <w:t xml:space="preserve">): ‚erster Teil </w:t>
      </w:r>
      <w:r w:rsidR="002247D9">
        <w:t>eines Typs von Musikstück (der „Ungarische Tanz“)</w:t>
      </w:r>
      <w:r w:rsidR="00545611">
        <w:t>‘</w:t>
      </w:r>
      <w:r>
        <w:t xml:space="preserve">, </w:t>
      </w:r>
      <w:r>
        <w:rPr>
          <w:i/>
        </w:rPr>
        <w:t>V</w:t>
      </w:r>
      <w:r>
        <w:t>(</w:t>
      </w:r>
      <w:r>
        <w:rPr>
          <w:i/>
        </w:rPr>
        <w:t>B</w:t>
      </w:r>
      <w:r>
        <w:rPr>
          <w:vertAlign w:val="subscript"/>
        </w:rPr>
        <w:t>1</w:t>
      </w:r>
      <w:r w:rsidR="00155E00">
        <w:rPr>
          <w:vertAlign w:val="subscript"/>
        </w:rPr>
        <w:t>5</w:t>
      </w:r>
      <w:r>
        <w:t>): ‚heißt „Lassan“</w:t>
      </w:r>
      <w:r w:rsidR="00C74E26">
        <w:t xml:space="preserve">; </w:t>
      </w:r>
      <w:r>
        <w:t>geht in sehr langsamem Tempo‘</w:t>
      </w:r>
    </w:p>
    <w:p w:rsidR="009B3225" w:rsidRDefault="002128CD" w:rsidP="00B5079B">
      <w:pPr>
        <w:pStyle w:val="Formel"/>
      </w:pPr>
      <w:r>
        <w:rPr>
          <w:i/>
          <w:iCs/>
        </w:rPr>
        <w:t>B</w:t>
      </w:r>
      <w:r>
        <w:rPr>
          <w:vertAlign w:val="subscript"/>
        </w:rPr>
        <w:t>1</w:t>
      </w:r>
      <w:r w:rsidR="00155E00">
        <w:rPr>
          <w:vertAlign w:val="subscript"/>
        </w:rPr>
        <w:t>5</w:t>
      </w:r>
      <w:r w:rsidR="009B3225">
        <w:t xml:space="preserve"> </w:t>
      </w:r>
      <w:r w:rsidR="002434D2">
        <w:rPr>
          <w:rFonts w:ascii="Cambria Math" w:eastAsia="Arial Unicode MS" w:hAnsi="Cambria Math" w:cs="Cambria Math"/>
          <w:color w:val="000000" w:themeColor="text1"/>
        </w:rPr>
        <w:t>⤳</w:t>
      </w:r>
      <w:r w:rsidR="00155E00">
        <w:rPr>
          <w:vertAlign w:val="subscript"/>
        </w:rPr>
        <w:t>Ass</w:t>
      </w:r>
      <w:r w:rsidR="009B3225">
        <w:t xml:space="preserve"> </w:t>
      </w:r>
      <w:r w:rsidR="00EE63C8">
        <w:t xml:space="preserve"> </w:t>
      </w:r>
      <w:r w:rsidR="009B3225">
        <w:rPr>
          <w:i/>
          <w:iCs/>
        </w:rPr>
        <w:t>Er</w:t>
      </w:r>
      <w:r w:rsidR="009B3225">
        <w:rPr>
          <w:vertAlign w:val="subscript"/>
        </w:rPr>
        <w:t>1</w:t>
      </w:r>
      <w:r w:rsidR="00155E00">
        <w:rPr>
          <w:vertAlign w:val="subscript"/>
        </w:rPr>
        <w:t>4</w:t>
      </w:r>
    </w:p>
    <w:p w:rsidR="009B3225" w:rsidRDefault="009B3225" w:rsidP="00B5079B">
      <w:pPr>
        <w:pStyle w:val="Interpretation"/>
      </w:pPr>
      <w:r>
        <w:rPr>
          <w:i/>
        </w:rPr>
        <w:t>Er</w:t>
      </w:r>
      <w:r w:rsidR="002524D1">
        <w:rPr>
          <w:vertAlign w:val="subscript"/>
        </w:rPr>
        <w:t>1</w:t>
      </w:r>
      <w:r w:rsidR="00155E00">
        <w:rPr>
          <w:vertAlign w:val="subscript"/>
        </w:rPr>
        <w:t>4</w:t>
      </w:r>
      <w:r>
        <w:t>: ‚Der erste Teil des „Ungarischen“ drückt Trauer auf klagendste Weise aus‘</w:t>
      </w:r>
    </w:p>
    <w:p w:rsidR="002128CD" w:rsidRDefault="002128CD" w:rsidP="00B5079B">
      <w:pPr>
        <w:pStyle w:val="Interpretation"/>
      </w:pPr>
      <w:r>
        <w:rPr>
          <w:i/>
        </w:rPr>
        <w:t>U</w:t>
      </w:r>
      <w:r>
        <w:t>(</w:t>
      </w:r>
      <w:r>
        <w:rPr>
          <w:i/>
        </w:rPr>
        <w:t>B</w:t>
      </w:r>
      <w:r>
        <w:rPr>
          <w:vertAlign w:val="subscript"/>
        </w:rPr>
        <w:t>1</w:t>
      </w:r>
      <w:r w:rsidR="00155E00">
        <w:rPr>
          <w:vertAlign w:val="subscript"/>
        </w:rPr>
        <w:t>6</w:t>
      </w:r>
      <w:r>
        <w:t>): ‚</w:t>
      </w:r>
      <w:r w:rsidR="002247D9">
        <w:t>zweiter Teil eines Typs von Musikstück (der „Ungarische Tanz“)</w:t>
      </w:r>
      <w:r>
        <w:t xml:space="preserve">‘, </w:t>
      </w:r>
      <w:r>
        <w:rPr>
          <w:i/>
        </w:rPr>
        <w:t>V</w:t>
      </w:r>
      <w:r>
        <w:t>(</w:t>
      </w:r>
      <w:r>
        <w:rPr>
          <w:i/>
        </w:rPr>
        <w:t>B</w:t>
      </w:r>
      <w:r>
        <w:rPr>
          <w:vertAlign w:val="subscript"/>
        </w:rPr>
        <w:t>1</w:t>
      </w:r>
      <w:r w:rsidR="00155E00">
        <w:rPr>
          <w:vertAlign w:val="subscript"/>
        </w:rPr>
        <w:t>6</w:t>
      </w:r>
      <w:r>
        <w:t>): ‚heißt „Frischka“; geht in sehr schnellem Takt; steigert sich plötzlich oder allmählig zu einem sehr schnellen, mitreißenden Rhythmus‘</w:t>
      </w:r>
    </w:p>
    <w:p w:rsidR="002524D1" w:rsidRDefault="002524D1" w:rsidP="00B5079B">
      <w:pPr>
        <w:pStyle w:val="Formel"/>
      </w:pPr>
      <w:r>
        <w:rPr>
          <w:i/>
          <w:iCs/>
        </w:rPr>
        <w:t>B</w:t>
      </w:r>
      <w:r>
        <w:rPr>
          <w:iCs/>
          <w:vertAlign w:val="subscript"/>
        </w:rPr>
        <w:t>1</w:t>
      </w:r>
      <w:r w:rsidR="00155E00">
        <w:rPr>
          <w:iCs/>
          <w:vertAlign w:val="subscript"/>
        </w:rPr>
        <w:t>6</w:t>
      </w:r>
      <w:r>
        <w:t xml:space="preserve"> </w:t>
      </w:r>
      <w:r w:rsidR="002434D2">
        <w:rPr>
          <w:rFonts w:ascii="Cambria Math" w:eastAsia="Arial Unicode MS" w:hAnsi="Cambria Math" w:cs="Cambria Math"/>
          <w:color w:val="000000" w:themeColor="text1"/>
        </w:rPr>
        <w:t>⤳</w:t>
      </w:r>
      <w:r w:rsidR="00155E00">
        <w:rPr>
          <w:vertAlign w:val="subscript"/>
        </w:rPr>
        <w:t>Ass</w:t>
      </w:r>
      <w:r>
        <w:t xml:space="preserve"> </w:t>
      </w:r>
      <w:r w:rsidR="00EE63C8">
        <w:t xml:space="preserve"> </w:t>
      </w:r>
      <w:r>
        <w:rPr>
          <w:i/>
          <w:iCs/>
        </w:rPr>
        <w:t>Er</w:t>
      </w:r>
      <w:r>
        <w:rPr>
          <w:vertAlign w:val="subscript"/>
        </w:rPr>
        <w:t>1</w:t>
      </w:r>
      <w:r w:rsidR="00155E00">
        <w:rPr>
          <w:vertAlign w:val="subscript"/>
        </w:rPr>
        <w:t>5</w:t>
      </w:r>
    </w:p>
    <w:p w:rsidR="00155E00" w:rsidRDefault="00155E00" w:rsidP="00B5079B">
      <w:pPr>
        <w:pStyle w:val="Interpretation"/>
        <w:rPr>
          <w:i/>
        </w:rPr>
      </w:pPr>
      <w:r>
        <w:rPr>
          <w:i/>
        </w:rPr>
        <w:t>Er</w:t>
      </w:r>
      <w:r>
        <w:rPr>
          <w:vertAlign w:val="subscript"/>
        </w:rPr>
        <w:t>15</w:t>
      </w:r>
      <w:r>
        <w:t>: ‚Der zweite Teil des „Ungarischen“ drückt Ungestüm der Lustigkeit aus‘</w:t>
      </w:r>
    </w:p>
    <w:p w:rsidR="0085274F" w:rsidRDefault="0085274F" w:rsidP="00B5079B">
      <w:pPr>
        <w:pStyle w:val="Formel"/>
      </w:pPr>
      <w:r>
        <w:rPr>
          <w:i/>
          <w:iCs/>
        </w:rPr>
        <w:t>B</w:t>
      </w:r>
      <w:r>
        <w:rPr>
          <w:vertAlign w:val="subscript"/>
        </w:rPr>
        <w:t>1</w:t>
      </w:r>
      <w:r w:rsidR="00155E00">
        <w:rPr>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1</w:t>
      </w:r>
      <w:r w:rsidR="00155E00">
        <w:rPr>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1</w:t>
      </w:r>
      <w:r w:rsidR="00155E00">
        <w:rPr>
          <w:vertAlign w:val="subscript"/>
        </w:rPr>
        <w:t>5</w:t>
      </w:r>
      <w:r w:rsidR="00010D55">
        <w:t xml:space="preserve"> </w:t>
      </w:r>
      <w:r w:rsidR="00010D55">
        <w:rPr>
          <w:rFonts w:ascii="Cambria Math" w:hAnsi="Cambria Math" w:cs="Cambria Math"/>
          <w:color w:val="000000" w:themeColor="text1"/>
        </w:rPr>
        <w:t>∧</w:t>
      </w:r>
      <w:r w:rsidR="00010D55">
        <w:rPr>
          <w:rFonts w:cs="Times New Roman"/>
          <w:color w:val="000000" w:themeColor="text1"/>
        </w:rPr>
        <w:t xml:space="preserve"> </w:t>
      </w:r>
      <w:r w:rsidR="00AF3EA8">
        <w:rPr>
          <w:i/>
          <w:iCs/>
        </w:rPr>
        <w:t>H</w:t>
      </w:r>
      <w:r w:rsidR="00AF3EA8">
        <w:rPr>
          <w:vertAlign w:val="subscript"/>
        </w:rPr>
        <w:t>6</w:t>
      </w:r>
      <w:r>
        <w:t xml:space="preserve"> </w:t>
      </w:r>
      <w:r w:rsidR="002434D2">
        <w:rPr>
          <w:rFonts w:ascii="Cambria Math" w:eastAsia="Arial Unicode MS" w:hAnsi="Cambria Math" w:cs="Cambria Math"/>
          <w:color w:val="000000" w:themeColor="text1"/>
        </w:rPr>
        <w:t>⤳</w:t>
      </w:r>
      <w:r w:rsidR="00EE63C8">
        <w:rPr>
          <w:vertAlign w:val="subscript"/>
        </w:rPr>
        <w:t>Abd</w:t>
      </w:r>
      <w:r>
        <w:t xml:space="preserve"> </w:t>
      </w:r>
      <w:r w:rsidR="00EE63C8">
        <w:t xml:space="preserve"> </w:t>
      </w:r>
      <w:r>
        <w:rPr>
          <w:i/>
          <w:iCs/>
        </w:rPr>
        <w:t>Er</w:t>
      </w:r>
      <w:r>
        <w:rPr>
          <w:vertAlign w:val="subscript"/>
        </w:rPr>
        <w:t>1</w:t>
      </w:r>
      <w:r w:rsidR="00155E00">
        <w:rPr>
          <w:vertAlign w:val="subscript"/>
        </w:rPr>
        <w:t>6</w:t>
      </w:r>
    </w:p>
    <w:p w:rsidR="00707F86" w:rsidRDefault="0085274F" w:rsidP="00B5079B">
      <w:pPr>
        <w:pStyle w:val="Interpretation"/>
      </w:pPr>
      <w:r>
        <w:rPr>
          <w:i/>
        </w:rPr>
        <w:t>Er</w:t>
      </w:r>
      <w:r>
        <w:rPr>
          <w:vertAlign w:val="subscript"/>
        </w:rPr>
        <w:t>1</w:t>
      </w:r>
      <w:r w:rsidR="00155E00">
        <w:rPr>
          <w:vertAlign w:val="subscript"/>
        </w:rPr>
        <w:t>6</w:t>
      </w:r>
      <w:r>
        <w:t>: ‚</w:t>
      </w:r>
      <w:r w:rsidR="00707F86">
        <w:t>Der Zigeunervirtuose suchte eine Form die allem Ungestüm seiner Lusti</w:t>
      </w:r>
      <w:r w:rsidR="00707F86">
        <w:t>g</w:t>
      </w:r>
      <w:r w:rsidR="00707F86">
        <w:t>keit übereinstimmte und seiner Trauer den klagendsten Ausdruck verliehe. Diese beiden Gefühlsströmungen haben in den beiden, anfangs ernsten dann lebhaften Tanzweisen ihr Bett gefunden‘</w:t>
      </w:r>
    </w:p>
    <w:p w:rsidR="00155E00" w:rsidRDefault="00155E00" w:rsidP="00B5079B">
      <w:pPr>
        <w:pStyle w:val="Formel"/>
      </w:pPr>
      <w:r>
        <w:rPr>
          <w:i/>
          <w:iCs/>
        </w:rPr>
        <w:lastRenderedPageBreak/>
        <w:t>B</w:t>
      </w:r>
      <w:r>
        <w:rPr>
          <w:iCs/>
          <w:vertAlign w:val="subscript"/>
        </w:rPr>
        <w:t>16</w:t>
      </w:r>
      <w:r>
        <w:t xml:space="preserve"> </w:t>
      </w:r>
      <w:r w:rsidR="002434D2">
        <w:rPr>
          <w:rFonts w:ascii="Cambria Math" w:eastAsia="Arial Unicode MS" w:hAnsi="Cambria Math" w:cs="Cambria Math"/>
          <w:color w:val="000000" w:themeColor="text1"/>
        </w:rPr>
        <w:t>⤳</w:t>
      </w:r>
      <w:r w:rsidR="00F411E5">
        <w:rPr>
          <w:vertAlign w:val="subscript"/>
        </w:rPr>
        <w:t>Ass</w:t>
      </w:r>
      <w:r>
        <w:t xml:space="preserve">  </w:t>
      </w:r>
      <w:r>
        <w:rPr>
          <w:i/>
          <w:iCs/>
        </w:rPr>
        <w:t>Er</w:t>
      </w:r>
      <w:r>
        <w:rPr>
          <w:vertAlign w:val="subscript"/>
        </w:rPr>
        <w:t>17</w:t>
      </w:r>
    </w:p>
    <w:p w:rsidR="00155E00" w:rsidRDefault="00155E00" w:rsidP="00B5079B">
      <w:pPr>
        <w:pStyle w:val="Interpretation"/>
      </w:pPr>
      <w:r>
        <w:rPr>
          <w:i/>
        </w:rPr>
        <w:t>Er</w:t>
      </w:r>
      <w:r>
        <w:rPr>
          <w:vertAlign w:val="subscript"/>
        </w:rPr>
        <w:t>17</w:t>
      </w:r>
      <w:r>
        <w:t>: ‚Der Raserei und hinreißenden Gewalt des Rhythmus, zu dem sich die Frischka steigert, kommt kein auf unsren fashionablen Bällen üblicher Tanz gleich‘</w:t>
      </w:r>
    </w:p>
    <w:p w:rsidR="00B64C1E" w:rsidRDefault="00B64C1E" w:rsidP="00B5079B">
      <w:pPr>
        <w:pStyle w:val="Interpretation"/>
      </w:pPr>
      <w:r>
        <w:rPr>
          <w:i/>
        </w:rPr>
        <w:t>U</w:t>
      </w:r>
      <w:r>
        <w:t>(</w:t>
      </w:r>
      <w:r>
        <w:rPr>
          <w:i/>
        </w:rPr>
        <w:t>B</w:t>
      </w:r>
      <w:r>
        <w:rPr>
          <w:vertAlign w:val="subscript"/>
        </w:rPr>
        <w:t>1</w:t>
      </w:r>
      <w:r w:rsidR="003328B4">
        <w:rPr>
          <w:vertAlign w:val="subscript"/>
        </w:rPr>
        <w:t>7</w:t>
      </w:r>
      <w:r>
        <w:t>): ‚Besetzung</w:t>
      </w:r>
      <w:r w:rsidR="005D7996">
        <w:fldChar w:fldCharType="begin"/>
      </w:r>
      <w:r w:rsidR="00960D60">
        <w:instrText xml:space="preserve"> XE "</w:instrText>
      </w:r>
      <w:r w:rsidR="00960D60" w:rsidRPr="00C208A8">
        <w:instrText>Besetzung (Musik)</w:instrText>
      </w:r>
      <w:r w:rsidR="00960D60">
        <w:instrText xml:space="preserve">" </w:instrText>
      </w:r>
      <w:r w:rsidR="005D7996">
        <w:fldChar w:fldCharType="end"/>
      </w:r>
      <w:r>
        <w:t xml:space="preserve">‘, </w:t>
      </w:r>
      <w:r>
        <w:rPr>
          <w:i/>
        </w:rPr>
        <w:t>V</w:t>
      </w:r>
      <w:r>
        <w:t>(</w:t>
      </w:r>
      <w:r>
        <w:rPr>
          <w:i/>
        </w:rPr>
        <w:t>B</w:t>
      </w:r>
      <w:r>
        <w:rPr>
          <w:vertAlign w:val="subscript"/>
        </w:rPr>
        <w:t>1</w:t>
      </w:r>
      <w:r w:rsidR="003328B4">
        <w:rPr>
          <w:vertAlign w:val="subscript"/>
        </w:rPr>
        <w:t>7</w:t>
      </w:r>
      <w:r>
        <w:t>): ‚Erste Geige, Cymbal, einige Holz- und Messing-Instrumente, ein Violoncell, ein Contrabaß und soviel zweite Geigen wie mö</w:t>
      </w:r>
      <w:r>
        <w:t>g</w:t>
      </w:r>
      <w:r>
        <w:t>lich‘</w:t>
      </w:r>
      <w:r w:rsidR="00FC35F1">
        <w:rPr>
          <w:rStyle w:val="Funotenzeichen"/>
        </w:rPr>
        <w:footnoteReference w:id="486"/>
      </w:r>
    </w:p>
    <w:p w:rsidR="0025476B" w:rsidRDefault="0025476B" w:rsidP="00B5079B">
      <w:pPr>
        <w:pStyle w:val="Interpretation"/>
      </w:pPr>
      <w:r>
        <w:rPr>
          <w:i/>
        </w:rPr>
        <w:t>U</w:t>
      </w:r>
      <w:r>
        <w:t>(</w:t>
      </w:r>
      <w:r>
        <w:rPr>
          <w:i/>
        </w:rPr>
        <w:t>B</w:t>
      </w:r>
      <w:r>
        <w:rPr>
          <w:vertAlign w:val="subscript"/>
        </w:rPr>
        <w:t>18</w:t>
      </w:r>
      <w:r>
        <w:t xml:space="preserve">): ‚Solisten‘, </w:t>
      </w:r>
      <w:r>
        <w:rPr>
          <w:i/>
        </w:rPr>
        <w:t>V</w:t>
      </w:r>
      <w:r>
        <w:t>(</w:t>
      </w:r>
      <w:r>
        <w:rPr>
          <w:i/>
        </w:rPr>
        <w:t>B</w:t>
      </w:r>
      <w:r>
        <w:rPr>
          <w:vertAlign w:val="subscript"/>
        </w:rPr>
        <w:t>18</w:t>
      </w:r>
      <w:r>
        <w:t>): ‚Erster Geiger und Cymbalist‘</w:t>
      </w:r>
    </w:p>
    <w:p w:rsidR="0025476B" w:rsidRDefault="0025476B" w:rsidP="00B5079B">
      <w:pPr>
        <w:pStyle w:val="Interpretation"/>
      </w:pPr>
      <w:r>
        <w:rPr>
          <w:i/>
        </w:rPr>
        <w:t>U</w:t>
      </w:r>
      <w:r>
        <w:t>(</w:t>
      </w:r>
      <w:r>
        <w:rPr>
          <w:i/>
        </w:rPr>
        <w:t>B</w:t>
      </w:r>
      <w:r>
        <w:rPr>
          <w:vertAlign w:val="subscript"/>
        </w:rPr>
        <w:t>19</w:t>
      </w:r>
      <w:r>
        <w:t xml:space="preserve">): ‚Aufteilung der Aufgaben zwischen den Solisten‘, </w:t>
      </w:r>
      <w:r>
        <w:rPr>
          <w:i/>
        </w:rPr>
        <w:t>V</w:t>
      </w:r>
      <w:r>
        <w:t>(</w:t>
      </w:r>
      <w:r>
        <w:rPr>
          <w:i/>
        </w:rPr>
        <w:t>B</w:t>
      </w:r>
      <w:r>
        <w:rPr>
          <w:vertAlign w:val="subscript"/>
        </w:rPr>
        <w:t>19</w:t>
      </w:r>
      <w:r>
        <w:t>): ‚Geiger i</w:t>
      </w:r>
      <w:r>
        <w:t>m</w:t>
      </w:r>
      <w:r>
        <w:t>provisiert frei nach Laune des Virtuosen, Cymbalist rhythmisiert und hebt den Takt hervor‘</w:t>
      </w:r>
    </w:p>
    <w:p w:rsidR="00B64C1E" w:rsidRDefault="00B64C1E" w:rsidP="00B5079B">
      <w:pPr>
        <w:pStyle w:val="Interpretation"/>
      </w:pPr>
      <w:r>
        <w:rPr>
          <w:i/>
        </w:rPr>
        <w:t>U</w:t>
      </w:r>
      <w:r>
        <w:t>(</w:t>
      </w:r>
      <w:r>
        <w:rPr>
          <w:i/>
        </w:rPr>
        <w:t>B</w:t>
      </w:r>
      <w:r w:rsidR="0025476B">
        <w:rPr>
          <w:vertAlign w:val="subscript"/>
        </w:rPr>
        <w:t>20</w:t>
      </w:r>
      <w:r>
        <w:t xml:space="preserve">): ‚Vorrechte der Solisten‘, </w:t>
      </w:r>
      <w:r>
        <w:rPr>
          <w:i/>
        </w:rPr>
        <w:t>V</w:t>
      </w:r>
      <w:r>
        <w:t>(</w:t>
      </w:r>
      <w:r>
        <w:rPr>
          <w:i/>
        </w:rPr>
        <w:t>B</w:t>
      </w:r>
      <w:r w:rsidR="0025476B">
        <w:rPr>
          <w:vertAlign w:val="subscript"/>
        </w:rPr>
        <w:t>20</w:t>
      </w:r>
      <w:r>
        <w:t>): ‚können Passagen improvisierend en</w:t>
      </w:r>
      <w:r>
        <w:t>t</w:t>
      </w:r>
      <w:r>
        <w:t>wickeln und dabei nach Gutdünken ausdehnen‘</w:t>
      </w:r>
    </w:p>
    <w:p w:rsidR="00E06F7C" w:rsidRDefault="00FC35F1" w:rsidP="00B5079B">
      <w:pPr>
        <w:pStyle w:val="Formel"/>
      </w:pPr>
      <w:r>
        <w:rPr>
          <w:i/>
          <w:iCs/>
        </w:rPr>
        <w:t>B</w:t>
      </w:r>
      <w:r w:rsidR="00DA3176">
        <w:rPr>
          <w:vertAlign w:val="subscript"/>
        </w:rPr>
        <w:t>19</w:t>
      </w:r>
      <w:r w:rsidR="00DA3176">
        <w:t xml:space="preserve"> </w:t>
      </w:r>
      <w:r w:rsidR="00DA3176">
        <w:rPr>
          <w:rFonts w:ascii="Cambria Math" w:hAnsi="Cambria Math" w:cs="Cambria Math"/>
          <w:color w:val="000000" w:themeColor="text1"/>
        </w:rPr>
        <w:t>∧</w:t>
      </w:r>
      <w:r w:rsidR="00DA3176">
        <w:rPr>
          <w:rFonts w:cs="Times New Roman"/>
          <w:color w:val="000000" w:themeColor="text1"/>
        </w:rPr>
        <w:t xml:space="preserve"> </w:t>
      </w:r>
      <w:r w:rsidR="00E50C26">
        <w:rPr>
          <w:i/>
          <w:iCs/>
        </w:rPr>
        <w:t>B</w:t>
      </w:r>
      <w:r w:rsidR="00DA3176">
        <w:rPr>
          <w:vertAlign w:val="subscript"/>
        </w:rPr>
        <w:t>20</w:t>
      </w:r>
      <w:r w:rsidR="00E06F7C">
        <w:t xml:space="preserve"> </w:t>
      </w:r>
      <w:r w:rsidR="002434D2">
        <w:rPr>
          <w:rFonts w:ascii="Cambria Math" w:eastAsia="Arial Unicode MS" w:hAnsi="Cambria Math" w:cs="Cambria Math"/>
          <w:color w:val="000000" w:themeColor="text1"/>
        </w:rPr>
        <w:t>⤳</w:t>
      </w:r>
      <w:r w:rsidR="0025476B">
        <w:rPr>
          <w:vertAlign w:val="subscript"/>
        </w:rPr>
        <w:t>De</w:t>
      </w:r>
      <w:r w:rsidR="00EE63C8">
        <w:rPr>
          <w:vertAlign w:val="subscript"/>
        </w:rPr>
        <w:t>d</w:t>
      </w:r>
      <w:r w:rsidR="00E06F7C">
        <w:t xml:space="preserve"> </w:t>
      </w:r>
      <w:r w:rsidR="00EE63C8">
        <w:t xml:space="preserve"> </w:t>
      </w:r>
      <w:r w:rsidR="00E06F7C">
        <w:rPr>
          <w:i/>
          <w:iCs/>
        </w:rPr>
        <w:t>Er</w:t>
      </w:r>
      <w:r w:rsidR="00E06F7C">
        <w:rPr>
          <w:vertAlign w:val="subscript"/>
        </w:rPr>
        <w:t>1</w:t>
      </w:r>
      <w:r w:rsidR="006D7F6F">
        <w:rPr>
          <w:vertAlign w:val="subscript"/>
        </w:rPr>
        <w:t>8</w:t>
      </w:r>
    </w:p>
    <w:p w:rsidR="008C1DAB" w:rsidRDefault="008A19CF" w:rsidP="00B5079B">
      <w:pPr>
        <w:pStyle w:val="InterpretationletzteZeile"/>
      </w:pPr>
      <w:r>
        <w:rPr>
          <w:i/>
        </w:rPr>
        <w:t>Er</w:t>
      </w:r>
      <w:r w:rsidR="00F107BC">
        <w:rPr>
          <w:vertAlign w:val="subscript"/>
        </w:rPr>
        <w:t>1</w:t>
      </w:r>
      <w:r w:rsidR="006D7F6F">
        <w:rPr>
          <w:vertAlign w:val="subscript"/>
        </w:rPr>
        <w:t>8</w:t>
      </w:r>
      <w:r>
        <w:t>:</w:t>
      </w:r>
      <w:r w:rsidR="00F107BC">
        <w:t xml:space="preserve"> ‚</w:t>
      </w:r>
      <w:r w:rsidRPr="008A19CF">
        <w:t xml:space="preserve"> </w:t>
      </w:r>
      <w:r w:rsidRPr="009B5DFB">
        <w:t>Die Zigeunerkunst gehört dem Gebiete der Improvisation an</w:t>
      </w:r>
      <w:r>
        <w:t>‘</w:t>
      </w:r>
    </w:p>
    <w:p w:rsidR="006903A3" w:rsidRDefault="003F2DEB" w:rsidP="00B5079B">
      <w:pPr>
        <w:pStyle w:val="Zwischenberschrift"/>
      </w:pPr>
      <w:r w:rsidRPr="003F2DEB">
        <w:t>Anmerkung</w:t>
      </w:r>
      <w:r w:rsidR="006903A3">
        <w:t>en</w:t>
      </w:r>
    </w:p>
    <w:p w:rsidR="006903A3" w:rsidRDefault="006903A3" w:rsidP="00B5079B">
      <w:pPr>
        <w:pStyle w:val="Text"/>
        <w:ind w:firstLine="0"/>
      </w:pPr>
      <w:r>
        <w:t>(1)</w:t>
      </w:r>
      <w:r>
        <w:tab/>
        <w:t xml:space="preserve">Dies ist nur ein kleiner Ausschnitt aus der gesamten Interpretation. Liszt schließt an die Beschreibung der </w:t>
      </w:r>
      <w:r w:rsidR="00B1304B">
        <w:t xml:space="preserve">von ihm angenommenen </w:t>
      </w:r>
      <w:r>
        <w:t>Merkmal</w:t>
      </w:r>
      <w:r w:rsidR="00B1304B">
        <w:t>sregeln</w:t>
      </w:r>
      <w:r>
        <w:t xml:space="preserve"> oft seitenlange Interpretationen an, die meist stark metaphorisch geprägt sind. Die Auswahl erfolgte nach dem Prinzip, deutlich formulierte Angaben zu Merkmal</w:t>
      </w:r>
      <w:r w:rsidR="00B1304B">
        <w:t>s</w:t>
      </w:r>
      <w:r w:rsidR="00B1304B">
        <w:t>regeln</w:t>
      </w:r>
      <w:r>
        <w:t xml:space="preserve"> und einige darauf direkt aufbauende Schlüsse, Eindrücke und Wertungen (als Ergebnisse) einzubeziehen. </w:t>
      </w:r>
      <w:r w:rsidR="00F30DE6">
        <w:t>Je weiter sich die Erörterungen von den Mer</w:t>
      </w:r>
      <w:r w:rsidR="00F30DE6">
        <w:t>k</w:t>
      </w:r>
      <w:r w:rsidR="00F30DE6">
        <w:t>mal</w:t>
      </w:r>
      <w:r w:rsidR="00B1304B">
        <w:t>sregeln</w:t>
      </w:r>
      <w:r w:rsidR="00F30DE6">
        <w:t xml:space="preserve"> entfernen, desto mehr implizites Hintergrundwissen müsste ang</w:t>
      </w:r>
      <w:r w:rsidR="00F30DE6">
        <w:t>e</w:t>
      </w:r>
      <w:r w:rsidR="00F30DE6">
        <w:t xml:space="preserve">nommen werden. Die </w:t>
      </w:r>
      <w:r w:rsidR="00356782">
        <w:t xml:space="preserve">gesamte </w:t>
      </w:r>
      <w:r w:rsidR="00F30DE6">
        <w:t>Liszt</w:t>
      </w:r>
      <w:r w:rsidR="00072835">
        <w:t>’</w:t>
      </w:r>
      <w:r w:rsidR="00F30DE6">
        <w:t>sche Interpretation ist ein Beispiel für das Übergewicht von Interpretationsprozess gegenüber Merkmalsprozess: Die hä</w:t>
      </w:r>
      <w:r w:rsidR="00F30DE6">
        <w:t>u</w:t>
      </w:r>
      <w:r w:rsidR="00F30DE6">
        <w:t>fig auf subjektiven Eindrücken basierende Erzeugung immer neuer, oft stark metaphorischer Formulierungen der Interpretation überwiegt gegenüber dem genauen Hinschauen auf die Merkmal</w:t>
      </w:r>
      <w:r w:rsidR="00B1304B">
        <w:t>sregeln</w:t>
      </w:r>
      <w:r w:rsidR="00F30DE6">
        <w:t xml:space="preserve"> des Stils, von denen nur einige recht allgemeine als Grundlage verwendet werden.</w:t>
      </w:r>
    </w:p>
    <w:p w:rsidR="00180706" w:rsidRDefault="00180706">
      <w:pPr>
        <w:pStyle w:val="Text"/>
      </w:pPr>
      <w:r>
        <w:t>(2)</w:t>
      </w:r>
      <w:r>
        <w:tab/>
        <w:t>An einigen Stellen ist die Annäherung an die entsprechenden Sätze der Liszt</w:t>
      </w:r>
      <w:r w:rsidR="00072835">
        <w:t>’</w:t>
      </w:r>
      <w:r>
        <w:t xml:space="preserve">schen Interpretation enger, an anderen </w:t>
      </w:r>
      <w:r w:rsidR="0096493E">
        <w:t>weniger eng</w:t>
      </w:r>
      <w:r>
        <w:t>. Wo eine Annäherung bis zu genauen Formulierungen möglich ist, wurden diese (inklusive der Schre</w:t>
      </w:r>
      <w:r>
        <w:t>i</w:t>
      </w:r>
      <w:r>
        <w:t>bung) übernommen. Auch dort sind jedoch teilweise Veränderungen vorg</w:t>
      </w:r>
      <w:r>
        <w:t>e</w:t>
      </w:r>
      <w:r>
        <w:t>nommen, etwa wenn im Originaltext Bezüge auf hier nicht einbezogene Textte</w:t>
      </w:r>
      <w:r>
        <w:t>i</w:t>
      </w:r>
      <w:r>
        <w:t>le vorkommen.</w:t>
      </w:r>
    </w:p>
    <w:p w:rsidR="003F2DEB" w:rsidRDefault="006903A3">
      <w:pPr>
        <w:pStyle w:val="Text"/>
      </w:pPr>
      <w:r>
        <w:lastRenderedPageBreak/>
        <w:t>(</w:t>
      </w:r>
      <w:r w:rsidR="004F3D04">
        <w:t>3</w:t>
      </w:r>
      <w:r>
        <w:t>)</w:t>
      </w:r>
      <w:r>
        <w:tab/>
      </w:r>
      <w:r w:rsidR="0049687E">
        <w:t xml:space="preserve">Manche </w:t>
      </w:r>
      <w:r w:rsidR="003F2DEB" w:rsidRPr="003F2DEB">
        <w:rPr>
          <w:i/>
        </w:rPr>
        <w:t>H</w:t>
      </w:r>
      <w:r w:rsidR="003F2DEB">
        <w:t xml:space="preserve">-Elemente sind </w:t>
      </w:r>
      <w:r w:rsidR="003678EF">
        <w:t>in der Liszt</w:t>
      </w:r>
      <w:r w:rsidR="00072835">
        <w:t>’</w:t>
      </w:r>
      <w:r w:rsidR="003678EF">
        <w:t xml:space="preserve">schen Interpretation </w:t>
      </w:r>
      <w:r w:rsidR="003F2DEB">
        <w:t>explizit</w:t>
      </w:r>
      <w:r w:rsidR="003678EF">
        <w:t xml:space="preserve"> </w:t>
      </w:r>
      <w:r w:rsidR="0049687E">
        <w:t xml:space="preserve">im Text genannt </w:t>
      </w:r>
      <w:r w:rsidR="003678EF">
        <w:t xml:space="preserve">(z.B. </w:t>
      </w:r>
      <w:r w:rsidR="003678EF">
        <w:rPr>
          <w:i/>
          <w:iCs/>
        </w:rPr>
        <w:t>H</w:t>
      </w:r>
      <w:r w:rsidR="003678EF">
        <w:rPr>
          <w:iCs/>
          <w:vertAlign w:val="subscript"/>
        </w:rPr>
        <w:t>2</w:t>
      </w:r>
      <w:r w:rsidR="003678EF">
        <w:t>)</w:t>
      </w:r>
      <w:r w:rsidR="003F2DEB">
        <w:t xml:space="preserve">, </w:t>
      </w:r>
      <w:r w:rsidR="003678EF">
        <w:t xml:space="preserve">andere </w:t>
      </w:r>
      <w:r w:rsidR="0049687E">
        <w:t>ergeben sich durch Umformungen aus Formuli</w:t>
      </w:r>
      <w:r w:rsidR="0049687E">
        <w:t>e</w:t>
      </w:r>
      <w:r w:rsidR="0049687E">
        <w:t xml:space="preserve">rungen </w:t>
      </w:r>
      <w:r w:rsidR="003678EF">
        <w:t xml:space="preserve">(z.B. </w:t>
      </w:r>
      <w:r w:rsidR="003678EF">
        <w:rPr>
          <w:i/>
          <w:iCs/>
        </w:rPr>
        <w:t>H</w:t>
      </w:r>
      <w:r w:rsidR="003678EF">
        <w:rPr>
          <w:iCs/>
          <w:vertAlign w:val="subscript"/>
        </w:rPr>
        <w:t>1</w:t>
      </w:r>
      <w:r w:rsidR="003678EF">
        <w:t>)</w:t>
      </w:r>
      <w:r w:rsidR="002169EB">
        <w:t xml:space="preserve">. Viele werden jedoch als implizit verwendet angenommen, um die Formulierungen herleiten zu können (z.B. </w:t>
      </w:r>
      <w:r w:rsidR="002169EB">
        <w:rPr>
          <w:i/>
          <w:iCs/>
        </w:rPr>
        <w:t>H</w:t>
      </w:r>
      <w:r w:rsidR="002169EB">
        <w:rPr>
          <w:iCs/>
          <w:vertAlign w:val="subscript"/>
        </w:rPr>
        <w:t>3</w:t>
      </w:r>
      <w:r w:rsidR="002169EB">
        <w:t xml:space="preserve"> und </w:t>
      </w:r>
      <w:r w:rsidR="002169EB">
        <w:rPr>
          <w:i/>
          <w:iCs/>
        </w:rPr>
        <w:t>H</w:t>
      </w:r>
      <w:r w:rsidR="002169EB">
        <w:rPr>
          <w:iCs/>
          <w:vertAlign w:val="subscript"/>
        </w:rPr>
        <w:t>4</w:t>
      </w:r>
      <w:r w:rsidR="002169EB">
        <w:t>); es wird davon ausg</w:t>
      </w:r>
      <w:r w:rsidR="002169EB">
        <w:t>e</w:t>
      </w:r>
      <w:r w:rsidR="002169EB">
        <w:t>gangen, dass viele Voraussetzungen für eine gegebene Interpretation implizit bleiben, weil es die Interpretation in die Länge ziehen würde, sie explizit zu fo</w:t>
      </w:r>
      <w:r w:rsidR="002169EB">
        <w:t>r</w:t>
      </w:r>
      <w:r w:rsidR="002169EB">
        <w:t xml:space="preserve">mulieren. Weitere Gründe können sein, dass die Zustimmung des </w:t>
      </w:r>
      <w:r w:rsidR="00C75387">
        <w:t>Stilwahrne</w:t>
      </w:r>
      <w:r w:rsidR="00C75387">
        <w:t>h</w:t>
      </w:r>
      <w:r w:rsidR="00C75387">
        <w:t>mer</w:t>
      </w:r>
      <w:r w:rsidR="002169EB">
        <w:t xml:space="preserve">s vorausgesetzt wird, </w:t>
      </w:r>
      <w:r w:rsidR="002B52FC">
        <w:t>dass umgekehrt über möglicherweise kontroverse Vo</w:t>
      </w:r>
      <w:r w:rsidR="002B52FC">
        <w:t>r</w:t>
      </w:r>
      <w:r w:rsidR="002B52FC">
        <w:t xml:space="preserve">annahmen hinweggegangen werden soll (evt. </w:t>
      </w:r>
      <w:r w:rsidR="002B52FC">
        <w:rPr>
          <w:i/>
          <w:iCs/>
        </w:rPr>
        <w:t>H</w:t>
      </w:r>
      <w:r w:rsidR="002B52FC">
        <w:rPr>
          <w:iCs/>
          <w:vertAlign w:val="subscript"/>
        </w:rPr>
        <w:t>4</w:t>
      </w:r>
      <w:r w:rsidR="002B52FC">
        <w:t xml:space="preserve">) oder </w:t>
      </w:r>
      <w:r w:rsidR="002169EB">
        <w:t>dass es sich um nicht r</w:t>
      </w:r>
      <w:r w:rsidR="002169EB">
        <w:t>e</w:t>
      </w:r>
      <w:r w:rsidR="002169EB">
        <w:t>flektierte Angewohnheiten der Sprachverwendung handelt (</w:t>
      </w:r>
      <w:r w:rsidR="002169EB">
        <w:rPr>
          <w:i/>
          <w:iCs/>
        </w:rPr>
        <w:t>H</w:t>
      </w:r>
      <w:r w:rsidR="002169EB">
        <w:rPr>
          <w:iCs/>
          <w:vertAlign w:val="subscript"/>
        </w:rPr>
        <w:t>3</w:t>
      </w:r>
      <w:r w:rsidR="002169EB">
        <w:t>)</w:t>
      </w:r>
      <w:r w:rsidR="002B52FC">
        <w:t>.</w:t>
      </w:r>
    </w:p>
    <w:p w:rsidR="002E5C24" w:rsidRDefault="00A525E0">
      <w:pPr>
        <w:pStyle w:val="Text"/>
      </w:pPr>
      <w:r>
        <w:t>(</w:t>
      </w:r>
      <w:r w:rsidR="004F3D04">
        <w:t>4</w:t>
      </w:r>
      <w:r>
        <w:t>)</w:t>
      </w:r>
      <w:r>
        <w:tab/>
        <w:t>Bei der Formulierung von Merkmalsregeln sind oft Umformungen n</w:t>
      </w:r>
      <w:r>
        <w:t>ö</w:t>
      </w:r>
      <w:r>
        <w:t>tig, die die Aussagen der Interpretationen in Formulierungen der Schemaorte (</w:t>
      </w:r>
      <w:r w:rsidR="00801637">
        <w:t>gegebenenfalls</w:t>
      </w:r>
      <w:r>
        <w:t xml:space="preserve"> mit Zusatzbedingungen) und in Eigenschaften, die dafür ve</w:t>
      </w:r>
      <w:r>
        <w:t>r</w:t>
      </w:r>
      <w:r w:rsidR="0090762F">
        <w:t>langt werden, verwandeln</w:t>
      </w:r>
      <w:r>
        <w:t>. Dabei ist auf möglichst genaue semantische Überei</w:t>
      </w:r>
      <w:r>
        <w:t>n</w:t>
      </w:r>
      <w:r>
        <w:t xml:space="preserve">stimmung zu achten. Beispielsweise kann bei der Formulierung von </w:t>
      </w:r>
      <w:r>
        <w:rPr>
          <w:i/>
          <w:iCs/>
        </w:rPr>
        <w:t>B</w:t>
      </w:r>
      <w:r>
        <w:rPr>
          <w:iCs/>
          <w:vertAlign w:val="subscript"/>
        </w:rPr>
        <w:t>4</w:t>
      </w:r>
      <w:r>
        <w:t xml:space="preserve"> </w:t>
      </w:r>
      <w:r w:rsidR="00977F65">
        <w:t>‚</w:t>
      </w:r>
      <w:r>
        <w:t>Rhyt</w:t>
      </w:r>
      <w:r>
        <w:t>h</w:t>
      </w:r>
      <w:r w:rsidR="00977F65">
        <w:t>men‘</w:t>
      </w:r>
      <w:r>
        <w:t xml:space="preserve"> als Schemaort genommen werden. Die </w:t>
      </w:r>
      <w:r w:rsidR="007B783E">
        <w:t xml:space="preserve">verlangten </w:t>
      </w:r>
      <w:r>
        <w:t xml:space="preserve">Eigenschaften sind in einer Aussage über die </w:t>
      </w:r>
      <w:r w:rsidR="00B078B6">
        <w:t xml:space="preserve">Reaktion gebildeter Musiker auf diese Eigenschaften </w:t>
      </w:r>
      <w:r>
        <w:t>ve</w:t>
      </w:r>
      <w:r>
        <w:t>r</w:t>
      </w:r>
      <w:r>
        <w:t>steckt und substantiviert. Aus der Aussage gelöst und in Attributform gebracht, können sie als verlangte Eigenschaften angegeben werden.</w:t>
      </w:r>
    </w:p>
    <w:p w:rsidR="00D2554C" w:rsidRDefault="006D75B4">
      <w:pPr>
        <w:pStyle w:val="Titel3"/>
      </w:pPr>
      <w:bookmarkStart w:id="381" w:name="_Ref261331554"/>
      <w:bookmarkStart w:id="382" w:name="_Toc325456793"/>
      <w:bookmarkStart w:id="383" w:name="Bewegungsstil"/>
      <w:bookmarkEnd w:id="380"/>
      <w:r>
        <w:t>Bewegungsstile</w:t>
      </w:r>
      <w:bookmarkEnd w:id="381"/>
      <w:bookmarkEnd w:id="382"/>
    </w:p>
    <w:p w:rsidR="00DC6E80" w:rsidRDefault="005D7996" w:rsidP="0026433C">
      <w:pPr>
        <w:pStyle w:val="Text"/>
        <w:ind w:firstLine="0"/>
      </w:pPr>
      <w:r>
        <w:fldChar w:fldCharType="begin"/>
      </w:r>
      <w:r w:rsidR="00E3706C">
        <w:instrText xml:space="preserve"> XE "Bewegungsstil" \r "Bewegungsstil" </w:instrText>
      </w:r>
      <w:r>
        <w:fldChar w:fldCharType="end"/>
      </w:r>
      <w:r>
        <w:fldChar w:fldCharType="begin"/>
      </w:r>
      <w:r w:rsidR="00E3706C">
        <w:instrText xml:space="preserve"> XE "Laufstil" \r "Bewegungsstil" </w:instrText>
      </w:r>
      <w:r>
        <w:fldChar w:fldCharType="end"/>
      </w:r>
      <w:r>
        <w:fldChar w:fldCharType="begin"/>
      </w:r>
      <w:r w:rsidR="00E3706C">
        <w:instrText xml:space="preserve"> XE "Gehstil" \r "Bewegungsstil" </w:instrText>
      </w:r>
      <w:r>
        <w:fldChar w:fldCharType="end"/>
      </w:r>
      <w:r>
        <w:fldChar w:fldCharType="begin"/>
      </w:r>
      <w:r w:rsidR="00E3706C">
        <w:instrText xml:space="preserve"> XE "Fortbewegungsstil" \r "Bewegungsstil" </w:instrText>
      </w:r>
      <w:r>
        <w:fldChar w:fldCharType="end"/>
      </w:r>
      <w:r>
        <w:fldChar w:fldCharType="begin"/>
      </w:r>
      <w:r w:rsidR="00E3706C">
        <w:instrText xml:space="preserve"> XE "Sportstil" \r "Bewegungsstil" </w:instrText>
      </w:r>
      <w:r>
        <w:fldChar w:fldCharType="end"/>
      </w:r>
      <w:r>
        <w:fldChar w:fldCharType="begin"/>
      </w:r>
      <w:r w:rsidR="00067D9E">
        <w:instrText xml:space="preserve"> XE "Verhaltensstil (Beispiele)" \r "Bewegungsstil" </w:instrText>
      </w:r>
      <w:r>
        <w:fldChar w:fldCharType="end"/>
      </w:r>
      <w:r w:rsidR="00DC6E80">
        <w:t>Stile bei Bewegungsschemata (darunter Fortbewegungs- und Sport</w:t>
      </w:r>
      <w:r w:rsidR="00B632BA">
        <w:t>stile</w:t>
      </w:r>
      <w:r w:rsidR="00DC6E80">
        <w:t>) gehören zu den Bereichen, in denen Eindrücke eine wichtige Rolle bei der Interpretation spielen.</w:t>
      </w:r>
      <w:r w:rsidR="00096ADA" w:rsidRPr="00096ADA">
        <w:t xml:space="preserve"> </w:t>
      </w:r>
      <w:r w:rsidR="00096ADA">
        <w:t>Eindrücke sind charakteristisch für Stile, bei denen ein erheblicher Teil der Merkmalsregeln nicht-propositional repräse</w:t>
      </w:r>
      <w:r w:rsidR="00FE0DE7">
        <w:t>ntiert ist.</w:t>
      </w:r>
      <w:r w:rsidR="002F184C">
        <w:t xml:space="preserve"> </w:t>
      </w:r>
      <w:r w:rsidR="0052086E">
        <w:t xml:space="preserve">Unter „Eindruck“ </w:t>
      </w:r>
      <w:r w:rsidR="002F184C">
        <w:t>wird</w:t>
      </w:r>
      <w:r w:rsidR="0052086E">
        <w:t xml:space="preserve"> eine nicht-propositionale </w:t>
      </w:r>
      <w:r w:rsidR="000623FF">
        <w:t xml:space="preserve">mentale </w:t>
      </w:r>
      <w:r w:rsidR="0052086E">
        <w:t>Repräsentation</w:t>
      </w:r>
      <w:r>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fldChar w:fldCharType="end"/>
      </w:r>
      <w:r w:rsidR="0052086E">
        <w:t xml:space="preserve"> verstanden, die durch die Wahrneh</w:t>
      </w:r>
      <w:r w:rsidR="000F048A">
        <w:t xml:space="preserve">mung eines Phänomens entsteht (vgl. Abschnitt </w:t>
      </w:r>
      <w:r>
        <w:fldChar w:fldCharType="begin"/>
      </w:r>
      <w:r w:rsidR="000F048A">
        <w:instrText xml:space="preserve"> REF _Ref253668018 \r \h </w:instrText>
      </w:r>
      <w:r>
        <w:fldChar w:fldCharType="separate"/>
      </w:r>
      <w:r w:rsidR="001231D3">
        <w:t>6.2.2</w:t>
      </w:r>
      <w:r>
        <w:fldChar w:fldCharType="end"/>
      </w:r>
      <w:r w:rsidR="000F048A">
        <w:t>, (3))</w:t>
      </w:r>
      <w:r w:rsidR="00705151">
        <w:t>; für unser Modell handelt es sich bei dem Phänomen jeweils um</w:t>
      </w:r>
      <w:r w:rsidR="0052086E">
        <w:t xml:space="preserve"> einen Stil.</w:t>
      </w:r>
    </w:p>
    <w:p w:rsidR="00DC6E80" w:rsidRDefault="000E63CE" w:rsidP="00096ADA">
      <w:pPr>
        <w:pStyle w:val="Text"/>
      </w:pPr>
      <w:r>
        <w:t xml:space="preserve">Ein </w:t>
      </w:r>
      <w:r w:rsidR="00EC360C">
        <w:t xml:space="preserve">Lauf- und </w:t>
      </w:r>
      <w:r>
        <w:t>Gehstil</w:t>
      </w:r>
      <w:r w:rsidR="00EC360C">
        <w:t xml:space="preserve"> </w:t>
      </w:r>
      <w:r>
        <w:t xml:space="preserve">kann den Eindruck hervorrufen, </w:t>
      </w:r>
      <w:r w:rsidR="00DC6E80">
        <w:t>‚elegant‘</w:t>
      </w:r>
      <w:r>
        <w:t xml:space="preserve"> oder ‚schleppend‘ zu sein</w:t>
      </w:r>
      <w:r w:rsidR="00096ADA">
        <w:t>.</w:t>
      </w:r>
      <w:r w:rsidR="004A0D0B">
        <w:rPr>
          <w:rStyle w:val="Funotenzeichen"/>
        </w:rPr>
        <w:footnoteReference w:id="487"/>
      </w:r>
      <w:r w:rsidR="00096ADA">
        <w:t xml:space="preserve"> Solche Eindrücke </w:t>
      </w:r>
      <w:r w:rsidR="00DC6E80">
        <w:t>können sich, je nach Beschreibungsg</w:t>
      </w:r>
      <w:r w:rsidR="00DC6E80">
        <w:t>e</w:t>
      </w:r>
      <w:r w:rsidR="00DC6E80">
        <w:t>nauigkeit auf der Ebene der Merkmalsregeln, aus einer Merkmalsregel direkt ergeben</w:t>
      </w:r>
      <w:r w:rsidR="00096ADA">
        <w:t xml:space="preserve">, sofern diese für </w:t>
      </w:r>
      <w:r w:rsidR="00DC6E80">
        <w:t>den jeweiligen Bewegungsablauf oder einen substantie</w:t>
      </w:r>
      <w:r w:rsidR="00DC6E80">
        <w:t>l</w:t>
      </w:r>
      <w:r w:rsidR="00DC6E80">
        <w:t xml:space="preserve">len Teil davon </w:t>
      </w:r>
      <w:r w:rsidR="00096ADA">
        <w:t>die Eigenschaft ‚elegant‘ bzw. ‚holprig‘ verlangt. Dieselben Ei</w:t>
      </w:r>
      <w:r w:rsidR="00096ADA">
        <w:t>n</w:t>
      </w:r>
      <w:r w:rsidR="00096ADA">
        <w:t>drücke könn</w:t>
      </w:r>
      <w:r w:rsidR="006D75B4">
        <w:t>e</w:t>
      </w:r>
      <w:r w:rsidR="00096ADA">
        <w:t xml:space="preserve">n auch </w:t>
      </w:r>
      <w:r w:rsidR="00DC6E80">
        <w:t>aus mehreren Merkmalsregeln erzeugt werden. So kann etwa bei einem Laufstil eine große Schrittlänge in Kombination mit einem elast</w:t>
      </w:r>
      <w:r w:rsidR="00DC6E80">
        <w:t>i</w:t>
      </w:r>
      <w:r w:rsidR="00DC6E80">
        <w:t xml:space="preserve">schen Auftreten, einem </w:t>
      </w:r>
      <w:r w:rsidR="00DE56CF">
        <w:t xml:space="preserve">gewissen Mitfedern von Knien und Oberkörper, </w:t>
      </w:r>
      <w:r w:rsidR="00DC6E80">
        <w:t xml:space="preserve">einem fließenden Übergang der einzelnen Bewegungsphasen und einer </w:t>
      </w:r>
      <w:r w:rsidR="00DE56CF">
        <w:t>abgerunde</w:t>
      </w:r>
      <w:r w:rsidR="008C79D8">
        <w:t>ten</w:t>
      </w:r>
      <w:r w:rsidR="00DC6E80">
        <w:t xml:space="preserve"> Gesamtbewegung </w:t>
      </w:r>
      <w:r w:rsidR="00B632BA">
        <w:t>den Eindruck ‚elegant‘</w:t>
      </w:r>
      <w:r w:rsidR="00DC6E80">
        <w:t xml:space="preserve"> erzeugen:</w:t>
      </w:r>
    </w:p>
    <w:p w:rsidR="00161CF4" w:rsidRPr="00161CF4" w:rsidRDefault="00161CF4" w:rsidP="0026433C">
      <w:pPr>
        <w:pStyle w:val="Interpretation1Zeile"/>
      </w:pPr>
      <w:r>
        <w:lastRenderedPageBreak/>
        <w:t>Verhaltensschema ‚</w:t>
      </w:r>
      <w:r w:rsidR="00EC360C">
        <w:t>Laufen</w:t>
      </w:r>
      <w:r>
        <w:t>‘</w:t>
      </w:r>
    </w:p>
    <w:p w:rsidR="009B6106" w:rsidRDefault="00B51F5F" w:rsidP="0026433C">
      <w:pPr>
        <w:pStyle w:val="Interpretation"/>
      </w:pPr>
      <w:r>
        <w:rPr>
          <w:i/>
        </w:rPr>
        <w:t>U</w:t>
      </w:r>
      <w:r>
        <w:t>(</w:t>
      </w:r>
      <w:r w:rsidR="009B6106">
        <w:rPr>
          <w:i/>
        </w:rPr>
        <w:t>B</w:t>
      </w:r>
      <w:r w:rsidR="009B6106">
        <w:rPr>
          <w:vertAlign w:val="subscript"/>
        </w:rPr>
        <w:t>1</w:t>
      </w:r>
      <w:r>
        <w:t>):</w:t>
      </w:r>
      <w:r w:rsidR="009B6106">
        <w:t xml:space="preserve"> </w:t>
      </w:r>
      <w:r w:rsidR="00B632BA">
        <w:t>‚Schrittlänge‘</w:t>
      </w:r>
      <w:r w:rsidR="009B6106">
        <w:t>,</w:t>
      </w:r>
      <w:r>
        <w:t xml:space="preserve"> </w:t>
      </w:r>
      <w:r>
        <w:rPr>
          <w:i/>
        </w:rPr>
        <w:t>V</w:t>
      </w:r>
      <w:r>
        <w:t>(</w:t>
      </w:r>
      <w:r>
        <w:rPr>
          <w:i/>
        </w:rPr>
        <w:t>B</w:t>
      </w:r>
      <w:r>
        <w:rPr>
          <w:vertAlign w:val="subscript"/>
        </w:rPr>
        <w:t>1</w:t>
      </w:r>
      <w:r>
        <w:t>): ‚</w:t>
      </w:r>
      <w:r w:rsidR="00B632BA">
        <w:t>groß‘</w:t>
      </w:r>
    </w:p>
    <w:p w:rsidR="009B6106" w:rsidRDefault="00B51F5F" w:rsidP="0026433C">
      <w:pPr>
        <w:pStyle w:val="Interpretation"/>
      </w:pPr>
      <w:r>
        <w:rPr>
          <w:i/>
        </w:rPr>
        <w:t>U</w:t>
      </w:r>
      <w:r>
        <w:t>(</w:t>
      </w:r>
      <w:r>
        <w:rPr>
          <w:i/>
        </w:rPr>
        <w:t>B</w:t>
      </w:r>
      <w:r>
        <w:rPr>
          <w:vertAlign w:val="subscript"/>
        </w:rPr>
        <w:t>2</w:t>
      </w:r>
      <w:r>
        <w:t>): ‚</w:t>
      </w:r>
      <w:r w:rsidR="009B6106">
        <w:t>Auftreten</w:t>
      </w:r>
      <w:r w:rsidR="00B632BA">
        <w:t>‘</w:t>
      </w:r>
      <w:r w:rsidR="009B6106">
        <w:t>,</w:t>
      </w:r>
      <w:r>
        <w:rPr>
          <w:i/>
        </w:rPr>
        <w:t xml:space="preserve"> V</w:t>
      </w:r>
      <w:r>
        <w:t>(</w:t>
      </w:r>
      <w:r>
        <w:rPr>
          <w:i/>
        </w:rPr>
        <w:t>B</w:t>
      </w:r>
      <w:r>
        <w:rPr>
          <w:vertAlign w:val="subscript"/>
        </w:rPr>
        <w:t>2</w:t>
      </w:r>
      <w:r>
        <w:t>): ‚</w:t>
      </w:r>
      <w:r w:rsidR="009B6106">
        <w:t>elastisch</w:t>
      </w:r>
      <w:r w:rsidR="001C5967">
        <w:t xml:space="preserve">; </w:t>
      </w:r>
      <w:r w:rsidR="000D7472">
        <w:t>leichtes Einknicken in den Knien‘</w:t>
      </w:r>
    </w:p>
    <w:p w:rsidR="00E64E4E" w:rsidRDefault="00E64E4E" w:rsidP="0026433C">
      <w:pPr>
        <w:pStyle w:val="Interpretation"/>
      </w:pPr>
      <w:r>
        <w:rPr>
          <w:i/>
        </w:rPr>
        <w:t>U</w:t>
      </w:r>
      <w:r>
        <w:t>(</w:t>
      </w:r>
      <w:r>
        <w:rPr>
          <w:i/>
        </w:rPr>
        <w:t>B</w:t>
      </w:r>
      <w:r>
        <w:rPr>
          <w:vertAlign w:val="subscript"/>
        </w:rPr>
        <w:t>3</w:t>
      </w:r>
      <w:r>
        <w:t xml:space="preserve">): ‚Bewegung des Oberkörpers‘, </w:t>
      </w:r>
      <w:r>
        <w:rPr>
          <w:i/>
        </w:rPr>
        <w:t>V</w:t>
      </w:r>
      <w:r>
        <w:t>(</w:t>
      </w:r>
      <w:r>
        <w:rPr>
          <w:i/>
        </w:rPr>
        <w:t>B</w:t>
      </w:r>
      <w:r>
        <w:rPr>
          <w:vertAlign w:val="subscript"/>
        </w:rPr>
        <w:t>3</w:t>
      </w:r>
      <w:r>
        <w:t xml:space="preserve">): ‚leichtes Vorkippen beim </w:t>
      </w:r>
      <w:r w:rsidR="00B8316A">
        <w:t>Auftr</w:t>
      </w:r>
      <w:r w:rsidR="00B8316A">
        <w:t>e</w:t>
      </w:r>
      <w:r w:rsidR="00B8316A">
        <w:t>ten‘</w:t>
      </w:r>
    </w:p>
    <w:p w:rsidR="009B6106" w:rsidRDefault="00B51F5F" w:rsidP="0026433C">
      <w:pPr>
        <w:pStyle w:val="Interpretation"/>
      </w:pPr>
      <w:r>
        <w:rPr>
          <w:i/>
        </w:rPr>
        <w:t>U</w:t>
      </w:r>
      <w:r>
        <w:t>(</w:t>
      </w:r>
      <w:r>
        <w:rPr>
          <w:i/>
        </w:rPr>
        <w:t>B</w:t>
      </w:r>
      <w:r w:rsidR="00B8316A">
        <w:rPr>
          <w:vertAlign w:val="subscript"/>
        </w:rPr>
        <w:t>4</w:t>
      </w:r>
      <w:r>
        <w:t>): ‚</w:t>
      </w:r>
      <w:r w:rsidR="009B6106">
        <w:t>einzelne Bewegungsphasen</w:t>
      </w:r>
      <w:r w:rsidR="00B632BA">
        <w:t>‘</w:t>
      </w:r>
      <w:r w:rsidR="009B6106">
        <w:t>,</w:t>
      </w:r>
      <w:r>
        <w:t xml:space="preserve"> </w:t>
      </w:r>
      <w:r>
        <w:rPr>
          <w:i/>
        </w:rPr>
        <w:t>V</w:t>
      </w:r>
      <w:r>
        <w:t>(</w:t>
      </w:r>
      <w:r>
        <w:rPr>
          <w:i/>
        </w:rPr>
        <w:t>B</w:t>
      </w:r>
      <w:r w:rsidR="00B8316A">
        <w:rPr>
          <w:vertAlign w:val="subscript"/>
        </w:rPr>
        <w:t>4</w:t>
      </w:r>
      <w:r>
        <w:t>): ‚</w:t>
      </w:r>
      <w:r w:rsidR="009B6106">
        <w:t>fließend</w:t>
      </w:r>
      <w:r w:rsidR="00B632BA">
        <w:t>‘</w:t>
      </w:r>
    </w:p>
    <w:p w:rsidR="009B6106" w:rsidRDefault="00B51F5F" w:rsidP="0026433C">
      <w:pPr>
        <w:pStyle w:val="Interpretation"/>
      </w:pPr>
      <w:r>
        <w:rPr>
          <w:i/>
        </w:rPr>
        <w:t>U</w:t>
      </w:r>
      <w:r>
        <w:t>(</w:t>
      </w:r>
      <w:r>
        <w:rPr>
          <w:i/>
        </w:rPr>
        <w:t>B</w:t>
      </w:r>
      <w:r w:rsidR="00B8316A">
        <w:rPr>
          <w:vertAlign w:val="subscript"/>
        </w:rPr>
        <w:t>5</w:t>
      </w:r>
      <w:r>
        <w:t>): ‚</w:t>
      </w:r>
      <w:r w:rsidR="009B6106">
        <w:t>Übergang zwischen den Bewegungsphasen</w:t>
      </w:r>
      <w:r w:rsidR="00B632BA">
        <w:t>‘</w:t>
      </w:r>
      <w:r>
        <w:t xml:space="preserve">, </w:t>
      </w:r>
      <w:r>
        <w:rPr>
          <w:i/>
        </w:rPr>
        <w:t>V</w:t>
      </w:r>
      <w:r>
        <w:t>(</w:t>
      </w:r>
      <w:r>
        <w:rPr>
          <w:i/>
        </w:rPr>
        <w:t>B</w:t>
      </w:r>
      <w:r w:rsidR="00B8316A">
        <w:rPr>
          <w:vertAlign w:val="subscript"/>
        </w:rPr>
        <w:t>5</w:t>
      </w:r>
      <w:r>
        <w:t>): ‚</w:t>
      </w:r>
      <w:r w:rsidR="009B6106">
        <w:t>fließend</w:t>
      </w:r>
      <w:r w:rsidR="00B632BA">
        <w:t>‘</w:t>
      </w:r>
    </w:p>
    <w:p w:rsidR="009B6106" w:rsidRDefault="00B51F5F" w:rsidP="0026433C">
      <w:pPr>
        <w:pStyle w:val="Interpretation"/>
      </w:pPr>
      <w:r>
        <w:rPr>
          <w:i/>
        </w:rPr>
        <w:t>U</w:t>
      </w:r>
      <w:r>
        <w:t>(</w:t>
      </w:r>
      <w:r>
        <w:rPr>
          <w:i/>
        </w:rPr>
        <w:t>B</w:t>
      </w:r>
      <w:r w:rsidR="00B8316A">
        <w:rPr>
          <w:vertAlign w:val="subscript"/>
        </w:rPr>
        <w:t>6</w:t>
      </w:r>
      <w:r>
        <w:t>): ‚</w:t>
      </w:r>
      <w:r w:rsidR="009B6106">
        <w:t xml:space="preserve">Bewegungslinien </w:t>
      </w:r>
      <w:r w:rsidR="00B632BA">
        <w:t xml:space="preserve">von </w:t>
      </w:r>
      <w:r w:rsidR="009B6106">
        <w:t>Fuß</w:t>
      </w:r>
      <w:r w:rsidR="00B632BA">
        <w:t xml:space="preserve"> und</w:t>
      </w:r>
      <w:r w:rsidR="009B6106">
        <w:t xml:space="preserve"> Knie</w:t>
      </w:r>
      <w:r w:rsidR="00B632BA">
        <w:t>‘</w:t>
      </w:r>
      <w:r>
        <w:t xml:space="preserve">, </w:t>
      </w:r>
      <w:r>
        <w:rPr>
          <w:i/>
        </w:rPr>
        <w:t>V</w:t>
      </w:r>
      <w:r>
        <w:t>(</w:t>
      </w:r>
      <w:r>
        <w:rPr>
          <w:i/>
        </w:rPr>
        <w:t>B</w:t>
      </w:r>
      <w:r w:rsidR="00B8316A">
        <w:rPr>
          <w:vertAlign w:val="subscript"/>
        </w:rPr>
        <w:t>6</w:t>
      </w:r>
      <w:r>
        <w:t>): ‚</w:t>
      </w:r>
      <w:r w:rsidR="009B6106">
        <w:t>abgerundet</w:t>
      </w:r>
      <w:r w:rsidR="00B632BA">
        <w:t>‘</w:t>
      </w:r>
    </w:p>
    <w:p w:rsidR="009B6106" w:rsidRDefault="009B6106" w:rsidP="0026433C">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 xml:space="preserve">∧ </w:t>
      </w:r>
      <w:r>
        <w:rPr>
          <w:i/>
          <w:iCs/>
        </w:rPr>
        <w:t>B</w:t>
      </w:r>
      <w:r>
        <w:rPr>
          <w:iCs/>
          <w:vertAlign w:val="subscript"/>
        </w:rPr>
        <w:t>3</w:t>
      </w:r>
      <w:r>
        <w:t xml:space="preserve"> </w:t>
      </w:r>
      <w:r>
        <w:rPr>
          <w:rFonts w:ascii="Cambria Math" w:hAnsi="Cambria Math" w:cs="Cambria Math"/>
          <w:color w:val="000000" w:themeColor="text1"/>
        </w:rPr>
        <w:t xml:space="preserve">∧ </w:t>
      </w:r>
      <w:r>
        <w:rPr>
          <w:i/>
          <w:iCs/>
        </w:rPr>
        <w:t>B</w:t>
      </w:r>
      <w:r>
        <w:rPr>
          <w:iCs/>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rPr>
        <w:t>B</w:t>
      </w:r>
      <w:r>
        <w:rPr>
          <w:iCs/>
          <w:vertAlign w:val="subscript"/>
        </w:rPr>
        <w:t>5</w:t>
      </w:r>
      <w:r w:rsidRPr="009F112E">
        <w:rPr>
          <w:rFonts w:eastAsia="Arial Unicode MS" w:cs="Times New Roman"/>
          <w:color w:val="000000" w:themeColor="text1"/>
        </w:rPr>
        <w:t xml:space="preserve"> </w:t>
      </w:r>
      <w:r w:rsidR="00B8316A">
        <w:rPr>
          <w:rFonts w:ascii="Cambria Math" w:hAnsi="Cambria Math" w:cs="Cambria Math"/>
          <w:color w:val="000000" w:themeColor="text1"/>
        </w:rPr>
        <w:t>∧</w:t>
      </w:r>
      <w:r w:rsidR="00B8316A">
        <w:rPr>
          <w:rFonts w:cs="Times New Roman"/>
          <w:color w:val="000000" w:themeColor="text1"/>
        </w:rPr>
        <w:t xml:space="preserve"> </w:t>
      </w:r>
      <w:r w:rsidR="00B8316A">
        <w:rPr>
          <w:i/>
        </w:rPr>
        <w:t>B</w:t>
      </w:r>
      <w:r w:rsidR="00B8316A">
        <w:rPr>
          <w:iCs/>
          <w:vertAlign w:val="subscript"/>
        </w:rPr>
        <w:t>6</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EE63C8">
        <w:rPr>
          <w:vertAlign w:val="subscript"/>
        </w:rPr>
        <w:t>Edr</w:t>
      </w:r>
      <w:r>
        <w:t xml:space="preserve"> </w:t>
      </w:r>
      <w:r w:rsidR="00EE63C8">
        <w:t xml:space="preserve"> </w:t>
      </w:r>
      <w:r>
        <w:rPr>
          <w:i/>
          <w:iCs/>
        </w:rPr>
        <w:t>Er</w:t>
      </w:r>
      <w:r>
        <w:rPr>
          <w:vertAlign w:val="subscript"/>
        </w:rPr>
        <w:t>1</w:t>
      </w:r>
      <w:r w:rsidR="00467CD1">
        <w:t xml:space="preserve">, </w:t>
      </w:r>
      <w:r w:rsidR="00467CD1">
        <w:rPr>
          <w:i/>
          <w:iCs/>
        </w:rPr>
        <w:t>Er</w:t>
      </w:r>
      <w:r w:rsidR="00467CD1">
        <w:rPr>
          <w:vertAlign w:val="subscript"/>
        </w:rPr>
        <w:t>2</w:t>
      </w:r>
    </w:p>
    <w:p w:rsidR="009B6106" w:rsidRDefault="009B6106" w:rsidP="0026433C">
      <w:pPr>
        <w:pStyle w:val="Interpretation"/>
      </w:pPr>
      <w:r>
        <w:rPr>
          <w:i/>
        </w:rPr>
        <w:t>Er</w:t>
      </w:r>
      <w:r>
        <w:rPr>
          <w:vertAlign w:val="subscript"/>
        </w:rPr>
        <w:t>1</w:t>
      </w:r>
      <w:r w:rsidR="00C74E26">
        <w:t xml:space="preserve"> (e):</w:t>
      </w:r>
      <w:r>
        <w:t xml:space="preserve"> ‚elegant‘</w:t>
      </w:r>
    </w:p>
    <w:p w:rsidR="00467CD1" w:rsidRDefault="00467CD1" w:rsidP="0026433C">
      <w:pPr>
        <w:pStyle w:val="InterpretationletzteZeile"/>
      </w:pPr>
      <w:r>
        <w:rPr>
          <w:i/>
        </w:rPr>
        <w:t>Er</w:t>
      </w:r>
      <w:r>
        <w:rPr>
          <w:vertAlign w:val="subscript"/>
        </w:rPr>
        <w:t>2</w:t>
      </w:r>
      <w:r w:rsidR="00C74E26">
        <w:t xml:space="preserve"> (e):</w:t>
      </w:r>
      <w:r>
        <w:t xml:space="preserve"> ‚Das Laufen fällt dem </w:t>
      </w:r>
      <w:r w:rsidR="0085753F">
        <w:t xml:space="preserve">SN </w:t>
      </w:r>
      <w:r>
        <w:t>leicht‘</w:t>
      </w:r>
    </w:p>
    <w:p w:rsidR="00315376" w:rsidRDefault="00161CF4" w:rsidP="0026433C">
      <w:pPr>
        <w:pStyle w:val="Text"/>
        <w:ind w:firstLine="0"/>
      </w:pPr>
      <w:r>
        <w:t>Warum wird diese Kombination von Merkmalsregeln als ‚elegant‘ empfunden? Einzelne Merkmalsregeln wären mit anderen, gegensätzlichen Eindrücken ko</w:t>
      </w:r>
      <w:r>
        <w:t>m</w:t>
      </w:r>
      <w:r>
        <w:t xml:space="preserve">patibel; so könnten </w:t>
      </w:r>
      <w:r>
        <w:rPr>
          <w:i/>
          <w:iCs/>
        </w:rPr>
        <w:t>B</w:t>
      </w:r>
      <w:r>
        <w:rPr>
          <w:vertAlign w:val="subscript"/>
        </w:rPr>
        <w:t>1</w:t>
      </w:r>
      <w:r>
        <w:t xml:space="preserve"> und </w:t>
      </w:r>
      <w:r>
        <w:rPr>
          <w:i/>
          <w:iCs/>
        </w:rPr>
        <w:t>B</w:t>
      </w:r>
      <w:r>
        <w:rPr>
          <w:vertAlign w:val="subscript"/>
        </w:rPr>
        <w:t>2</w:t>
      </w:r>
      <w:r>
        <w:t xml:space="preserve"> in einem Stil mit dem Eindruck ‚schleppend‘ vo</w:t>
      </w:r>
      <w:r>
        <w:t>r</w:t>
      </w:r>
      <w:r>
        <w:t xml:space="preserve">kommen. </w:t>
      </w:r>
      <w:r>
        <w:rPr>
          <w:i/>
          <w:iCs/>
        </w:rPr>
        <w:t>B</w:t>
      </w:r>
      <w:r w:rsidR="00B8316A">
        <w:rPr>
          <w:vertAlign w:val="subscript"/>
        </w:rPr>
        <w:t>4</w:t>
      </w:r>
      <w:r>
        <w:t xml:space="preserve"> könnte in einem Stil mit dem Eindruck ‚holprig‘ vorkommen, wenn </w:t>
      </w:r>
      <w:r>
        <w:rPr>
          <w:i/>
          <w:iCs/>
        </w:rPr>
        <w:t>V</w:t>
      </w:r>
      <w:r>
        <w:t>(</w:t>
      </w:r>
      <w:r>
        <w:rPr>
          <w:i/>
          <w:iCs/>
        </w:rPr>
        <w:t>B</w:t>
      </w:r>
      <w:r w:rsidR="00B8316A">
        <w:rPr>
          <w:vertAlign w:val="subscript"/>
        </w:rPr>
        <w:t>5</w:t>
      </w:r>
      <w:r>
        <w:t>) ‚unregelmäßig‘ spez</w:t>
      </w:r>
      <w:r w:rsidR="002E3ECA">
        <w:t>ifizieren würde, und umgekehrt.</w:t>
      </w:r>
      <w:r w:rsidR="000D7472">
        <w:t xml:space="preserve"> </w:t>
      </w:r>
      <w:r w:rsidR="00E64E4E">
        <w:t>Für e</w:t>
      </w:r>
      <w:r w:rsidR="000D7472">
        <w:t xml:space="preserve">inige verlangte Eigenschaften (z.B. ‚fließend‘, ‚abgerundet‘) </w:t>
      </w:r>
      <w:r w:rsidR="00E64E4E">
        <w:t xml:space="preserve">kann postuliert werden, dass sie </w:t>
      </w:r>
      <w:r w:rsidR="000D7472">
        <w:t xml:space="preserve">– </w:t>
      </w:r>
      <w:r w:rsidR="00E64E4E">
        <w:t xml:space="preserve">auch </w:t>
      </w:r>
      <w:r w:rsidR="000D7472">
        <w:t>ohne Berücksichtigung der Realisierungsstellen, an denen sie auftreten, und anderer Merkmalsregeln –</w:t>
      </w:r>
      <w:r w:rsidR="00E64E4E">
        <w:t xml:space="preserve"> </w:t>
      </w:r>
      <w:r w:rsidR="000D7472">
        <w:t xml:space="preserve">mit dem entstehenden Eindruck </w:t>
      </w:r>
      <w:r w:rsidR="00E64E4E">
        <w:t>in einem unmittelb</w:t>
      </w:r>
      <w:r w:rsidR="00E64E4E">
        <w:t>a</w:t>
      </w:r>
      <w:r w:rsidR="00E64E4E">
        <w:t xml:space="preserve">ren Verhältnis stehen. Betrachtet man nur sie, könnte es so scheinen, </w:t>
      </w:r>
      <w:r w:rsidR="000D7472">
        <w:t xml:space="preserve">als sei </w:t>
      </w:r>
      <w:r w:rsidR="00E64E4E">
        <w:t xml:space="preserve">der Eindruck ‚elegant‘ nur </w:t>
      </w:r>
      <w:r w:rsidR="000D7472">
        <w:t>eine Zusammenfassung für die verlangten Eigenschaften</w:t>
      </w:r>
      <w:r w:rsidR="00E64E4E">
        <w:t xml:space="preserve"> an den einzelnen Realisierungsstellen</w:t>
      </w:r>
      <w:r w:rsidR="000D7472">
        <w:t xml:space="preserve">. Allerdings </w:t>
      </w:r>
      <w:r w:rsidR="00E64E4E">
        <w:t xml:space="preserve">finden sich auch </w:t>
      </w:r>
      <w:r w:rsidR="000D7472">
        <w:t>andere Mer</w:t>
      </w:r>
      <w:r w:rsidR="000D7472">
        <w:t>k</w:t>
      </w:r>
      <w:r w:rsidR="000D7472">
        <w:t>malsregeln</w:t>
      </w:r>
      <w:r w:rsidR="00E64E4E">
        <w:t>, bei denen</w:t>
      </w:r>
      <w:r w:rsidR="000D7472">
        <w:t xml:space="preserve"> die verlangten Eigenschaften</w:t>
      </w:r>
      <w:r w:rsidR="00E64E4E">
        <w:t xml:space="preserve"> in keinem direkten Verhäl</w:t>
      </w:r>
      <w:r w:rsidR="00E64E4E">
        <w:t>t</w:t>
      </w:r>
      <w:r w:rsidR="00E64E4E">
        <w:t>nis zum entstehenden Eindruck stehen (‚groß‘) oder sogar diesem entgegenz</w:t>
      </w:r>
      <w:r w:rsidR="00E64E4E">
        <w:t>u</w:t>
      </w:r>
      <w:r w:rsidR="00E64E4E">
        <w:t>wirken scheinen (‚leichtes Einknicken in den Knien‘</w:t>
      </w:r>
      <w:r w:rsidR="00315376">
        <w:t>, ‚leichtes Vorkippen beim Auftreten‘</w:t>
      </w:r>
      <w:r w:rsidR="00E64E4E">
        <w:t>)</w:t>
      </w:r>
      <w:r w:rsidR="00315376">
        <w:t>. Bei diesen ergibt sich erst unter Berücksichtigung der Realisierung</w:t>
      </w:r>
      <w:r w:rsidR="00315376">
        <w:t>s</w:t>
      </w:r>
      <w:r w:rsidR="00315376">
        <w:t>stellen, für die sie verlangt sind, und/oder anderer Merkmalsregeln der Beitra</w:t>
      </w:r>
      <w:r w:rsidR="001635E8">
        <w:t>g zum Eindruck ‚elegant‘: E</w:t>
      </w:r>
      <w:r w:rsidR="00315376">
        <w:t>ine ‚große‘ Schrittlänge</w:t>
      </w:r>
      <w:r w:rsidR="00B8316A">
        <w:t>, ‚leichtes Einknicken in den Knien‘ beim Auftreten und ‚leichtes Vorkippen beim Auftreten‘</w:t>
      </w:r>
      <w:r w:rsidR="00315376">
        <w:t xml:space="preserve"> </w:t>
      </w:r>
      <w:r w:rsidR="00B8316A">
        <w:t>im Bewegung</w:t>
      </w:r>
      <w:r w:rsidR="00B8316A">
        <w:t>s</w:t>
      </w:r>
      <w:r w:rsidR="00B8316A">
        <w:t xml:space="preserve">ablauf des Oberkörpers können </w:t>
      </w:r>
      <w:r w:rsidR="00315376">
        <w:t xml:space="preserve">in Kombination mit </w:t>
      </w:r>
      <w:r w:rsidR="00B8316A">
        <w:t>fließenden Bewegungsa</w:t>
      </w:r>
      <w:r w:rsidR="00B8316A">
        <w:t>b</w:t>
      </w:r>
      <w:r w:rsidR="00B8316A">
        <w:t>läufen (</w:t>
      </w:r>
      <w:r w:rsidR="00B8316A">
        <w:rPr>
          <w:i/>
          <w:iCs/>
        </w:rPr>
        <w:t>B</w:t>
      </w:r>
      <w:r w:rsidR="00B8316A">
        <w:rPr>
          <w:vertAlign w:val="subscript"/>
        </w:rPr>
        <w:t>4</w:t>
      </w:r>
      <w:r w:rsidR="00B8316A">
        <w:t xml:space="preserve"> und </w:t>
      </w:r>
      <w:r w:rsidR="00B8316A">
        <w:rPr>
          <w:i/>
          <w:iCs/>
        </w:rPr>
        <w:t>B</w:t>
      </w:r>
      <w:r w:rsidR="00B8316A">
        <w:rPr>
          <w:vertAlign w:val="subscript"/>
        </w:rPr>
        <w:t>5</w:t>
      </w:r>
      <w:r w:rsidR="00B8316A">
        <w:t>) und elastischem Auftreten (</w:t>
      </w:r>
      <w:r w:rsidR="00B8316A">
        <w:rPr>
          <w:i/>
          <w:iCs/>
        </w:rPr>
        <w:t>B</w:t>
      </w:r>
      <w:r w:rsidR="00B8316A">
        <w:rPr>
          <w:vertAlign w:val="subscript"/>
        </w:rPr>
        <w:t>2</w:t>
      </w:r>
      <w:r w:rsidR="00B8316A">
        <w:t>) zum Eindruck ‚elegant‘ be</w:t>
      </w:r>
      <w:r w:rsidR="00B8316A">
        <w:t>i</w:t>
      </w:r>
      <w:r w:rsidR="00B8316A">
        <w:t>tragen oder zumindest mit diesem kompatibel sein.</w:t>
      </w:r>
    </w:p>
    <w:p w:rsidR="00161CF4" w:rsidRDefault="00161CF4" w:rsidP="00161CF4">
      <w:pPr>
        <w:pStyle w:val="Text"/>
      </w:pPr>
      <w:r>
        <w:t xml:space="preserve">Es kommt also auf die Kombination </w:t>
      </w:r>
      <w:r w:rsidR="00B8316A">
        <w:t xml:space="preserve">verschiedener </w:t>
      </w:r>
      <w:r>
        <w:t xml:space="preserve">Merkmalsregeln an. </w:t>
      </w:r>
      <w:r w:rsidR="002E3ECA">
        <w:t>Er</w:t>
      </w:r>
      <w:r w:rsidR="002E3ECA">
        <w:t>s</w:t>
      </w:r>
      <w:r w:rsidR="002E3ECA">
        <w:t xml:space="preserve">tens </w:t>
      </w:r>
      <w:r>
        <w:t xml:space="preserve">gibt es offenbar bestimmte Realisierungsstellen, die </w:t>
      </w:r>
      <w:r w:rsidR="002E3ECA">
        <w:t xml:space="preserve">für </w:t>
      </w:r>
      <w:r>
        <w:t xml:space="preserve">die Erzeugung </w:t>
      </w:r>
      <w:r w:rsidR="002E3ECA">
        <w:t>b</w:t>
      </w:r>
      <w:r w:rsidR="002E3ECA">
        <w:t>e</w:t>
      </w:r>
      <w:r w:rsidR="002E3ECA">
        <w:t xml:space="preserve">stimmter </w:t>
      </w:r>
      <w:r>
        <w:t>Eindr</w:t>
      </w:r>
      <w:r w:rsidR="002E3ECA">
        <w:t>ü</w:t>
      </w:r>
      <w:r>
        <w:t>ck</w:t>
      </w:r>
      <w:r w:rsidR="002E3ECA">
        <w:t>e</w:t>
      </w:r>
      <w:r>
        <w:t xml:space="preserve"> </w:t>
      </w:r>
      <w:r w:rsidR="002E3ECA">
        <w:t>besonders relevant sind (z.B. dürfte das Verhältnis Schrit</w:t>
      </w:r>
      <w:r w:rsidR="002E3ECA">
        <w:t>t</w:t>
      </w:r>
      <w:r w:rsidR="002E3ECA">
        <w:t>höhe zu Schrittlänge wichtiger für den Eindruck ‚elegant‘ sein als die Schrittfr</w:t>
      </w:r>
      <w:r w:rsidR="002E3ECA">
        <w:t>e</w:t>
      </w:r>
      <w:r w:rsidR="002E3ECA">
        <w:t>quenz). Zweitens erzeugen nur bestimmte Kombinationen von verlangten Eigenschaften für diese Realisierungsstellen den entsprechenden Eindruck. We</w:t>
      </w:r>
      <w:r w:rsidR="002E3ECA">
        <w:t>l</w:t>
      </w:r>
      <w:r w:rsidR="002E3ECA">
        <w:t>che Kombinationen dies sind, kann nicht mit einem generellen Prinzip angeg</w:t>
      </w:r>
      <w:r w:rsidR="002E3ECA">
        <w:t>e</w:t>
      </w:r>
      <w:r w:rsidR="002E3ECA">
        <w:lastRenderedPageBreak/>
        <w:t xml:space="preserve">ben werden. </w:t>
      </w:r>
      <w:r w:rsidR="00D72576">
        <w:t xml:space="preserve">Für die Entstehung eines Eindrucks </w:t>
      </w:r>
      <w:r w:rsidR="002E3ECA">
        <w:t xml:space="preserve">gibt </w:t>
      </w:r>
      <w:r w:rsidR="00D72576">
        <w:t xml:space="preserve">es </w:t>
      </w:r>
      <w:r w:rsidR="002E3ECA">
        <w:t>sich gegenseitig unte</w:t>
      </w:r>
      <w:r w:rsidR="002E3ECA">
        <w:t>r</w:t>
      </w:r>
      <w:r w:rsidR="002E3ECA">
        <w:t>stützende oder blockierende Kombinationen von</w:t>
      </w:r>
      <w:r w:rsidR="00100AA6">
        <w:t xml:space="preserve"> verlangten Eigenschaften; </w:t>
      </w:r>
      <w:r w:rsidR="002E3ECA">
        <w:t>a</w:t>
      </w:r>
      <w:r w:rsidR="002E3ECA">
        <w:t>l</w:t>
      </w:r>
      <w:r w:rsidR="002E3ECA">
        <w:t>lein oder in Kombination mit anderen Merkmalsregeln notwendige oder verhi</w:t>
      </w:r>
      <w:r w:rsidR="002E3ECA">
        <w:t>n</w:t>
      </w:r>
      <w:r w:rsidR="002E3ECA">
        <w:t>dernde</w:t>
      </w:r>
      <w:r w:rsidR="00100AA6" w:rsidRPr="00100AA6">
        <w:t xml:space="preserve"> </w:t>
      </w:r>
      <w:r w:rsidR="00100AA6">
        <w:t>verlangte Eigenschaften</w:t>
      </w:r>
      <w:r w:rsidR="002E3ECA">
        <w:t>; usw.</w:t>
      </w:r>
    </w:p>
    <w:p w:rsidR="00106A3E" w:rsidRDefault="00D72576" w:rsidP="00161CF4">
      <w:pPr>
        <w:pStyle w:val="Text"/>
      </w:pPr>
      <w:r>
        <w:t xml:space="preserve">Aufgrund dieser Komplexität könnte man versucht sein, die Entstehung von Eindrücken </w:t>
      </w:r>
      <w:r w:rsidR="00F64664">
        <w:t xml:space="preserve">bei bestimmten Stilen wie beispielsweise Bewegungsstilen als </w:t>
      </w:r>
      <w:r>
        <w:t>holistischen Prozess</w:t>
      </w:r>
      <w:r w:rsidR="005D7996">
        <w:fldChar w:fldCharType="begin"/>
      </w:r>
      <w:r w:rsidR="00D32BFE">
        <w:instrText xml:space="preserve"> XE "</w:instrText>
      </w:r>
      <w:r w:rsidR="00D32BFE" w:rsidRPr="000C6F2A">
        <w:instrText>Holismus</w:instrText>
      </w:r>
      <w:r w:rsidR="00D32BFE">
        <w:instrText xml:space="preserve">" </w:instrText>
      </w:r>
      <w:r w:rsidR="005D7996">
        <w:fldChar w:fldCharType="end"/>
      </w:r>
      <w:r>
        <w:t xml:space="preserve"> zu beschreiben, bei dem der Eindruck aus der Gesamtheit des Stils hervorgeht, ohne dass die einzelnen Merkmalsregeln dies erklären könnten.</w:t>
      </w:r>
      <w:r w:rsidR="00F64664">
        <w:rPr>
          <w:rStyle w:val="Funotenzeichen"/>
        </w:rPr>
        <w:footnoteReference w:id="488"/>
      </w:r>
      <w:r>
        <w:t xml:space="preserve"> Dagegen spricht allerdings, </w:t>
      </w:r>
      <w:r w:rsidR="00013B84">
        <w:t>dass durch die Ersetzungsprobe</w:t>
      </w:r>
      <w:r w:rsidR="005D7996">
        <w:fldChar w:fldCharType="begin"/>
      </w:r>
      <w:r w:rsidR="008342F3">
        <w:instrText xml:space="preserve"> XE "</w:instrText>
      </w:r>
      <w:r w:rsidR="008342F3" w:rsidRPr="007F490C">
        <w:rPr>
          <w:szCs w:val="17"/>
        </w:rPr>
        <w:instrText>Ersetzungsprobe</w:instrText>
      </w:r>
      <w:r w:rsidR="008342F3">
        <w:instrText xml:space="preserve">" </w:instrText>
      </w:r>
      <w:r w:rsidR="005D7996">
        <w:fldChar w:fldCharType="end"/>
      </w:r>
      <w:r w:rsidR="00013B84">
        <w:rPr>
          <w:rStyle w:val="Funotenzeichen"/>
        </w:rPr>
        <w:footnoteReference w:id="489"/>
      </w:r>
      <w:r w:rsidR="00013B84">
        <w:t xml:space="preserve"> g</w:t>
      </w:r>
      <w:r w:rsidR="00013B84">
        <w:t>e</w:t>
      </w:r>
      <w:r w:rsidR="00013B84">
        <w:t>zeigt werden kann, welche Merkmalsregeln für die Entstehung eines best</w:t>
      </w:r>
      <w:r w:rsidR="001635E8">
        <w:t>immten Eindrucks notwendig sind,</w:t>
      </w:r>
      <w:r w:rsidR="00013B84">
        <w:t xml:space="preserve"> welche nicht notwendig sind</w:t>
      </w:r>
      <w:r w:rsidR="001635E8">
        <w:t>, aber zur Entstehung beitragen,</w:t>
      </w:r>
      <w:r w:rsidR="00013B84">
        <w:t xml:space="preserve"> welche den entstehenden Eindruck eher abschwächen und welc</w:t>
      </w:r>
      <w:r w:rsidR="00106A3E">
        <w:t>he seine Entstehung verhindern.</w:t>
      </w:r>
    </w:p>
    <w:p w:rsidR="00DB106A" w:rsidRDefault="00106A3E" w:rsidP="00161CF4">
      <w:pPr>
        <w:pStyle w:val="Text"/>
      </w:pPr>
      <w:r>
        <w:t xml:space="preserve">Dass die Entstehung von Eindrücken </w:t>
      </w:r>
      <w:r w:rsidR="001E4324">
        <w:t xml:space="preserve">bei Stil </w:t>
      </w:r>
      <w:r>
        <w:t>auf den ersten Blick als holist</w:t>
      </w:r>
      <w:r>
        <w:t>i</w:t>
      </w:r>
      <w:r>
        <w:t>scher</w:t>
      </w:r>
      <w:r w:rsidR="00013B84">
        <w:t xml:space="preserve"> Prozess</w:t>
      </w:r>
      <w:r w:rsidR="005D7996">
        <w:fldChar w:fldCharType="begin"/>
      </w:r>
      <w:r w:rsidR="00D32BFE">
        <w:instrText xml:space="preserve"> XE "</w:instrText>
      </w:r>
      <w:r w:rsidR="00D32BFE" w:rsidRPr="00D2229F">
        <w:instrText>Holismus</w:instrText>
      </w:r>
      <w:r w:rsidR="00D32BFE">
        <w:instrText xml:space="preserve">" </w:instrText>
      </w:r>
      <w:r w:rsidR="005D7996">
        <w:fldChar w:fldCharType="end"/>
      </w:r>
      <w:r>
        <w:t xml:space="preserve"> erscheint</w:t>
      </w:r>
      <w:r w:rsidR="00013B84">
        <w:t xml:space="preserve">, der nicht genauer aufgeschlüsselt werden kann, </w:t>
      </w:r>
      <w:r w:rsidR="00807CEF">
        <w:t xml:space="preserve">hat mit </w:t>
      </w:r>
      <w:r w:rsidR="005623A7">
        <w:t xml:space="preserve">mehreren </w:t>
      </w:r>
      <w:r w:rsidR="00807CEF">
        <w:t>Einschränkungen zu tun, die die analytische Erfassung der Entstehung von Eindrücken schwierig machen:</w:t>
      </w:r>
    </w:p>
    <w:p w:rsidR="00807CEF" w:rsidRDefault="00807CEF" w:rsidP="00161CF4">
      <w:pPr>
        <w:pStyle w:val="Text"/>
      </w:pPr>
      <w:r>
        <w:t>(1)</w:t>
      </w:r>
      <w:r>
        <w:tab/>
      </w:r>
      <w:r w:rsidR="00C35584">
        <w:t>Im Gegensatz zu den logischen Schluss</w:t>
      </w:r>
      <w:r w:rsidR="00943DDC">
        <w:t>verfahren</w:t>
      </w:r>
      <w:r w:rsidR="005D7996">
        <w:fldChar w:fldCharType="begin"/>
      </w:r>
      <w:r w:rsidR="00511EA9">
        <w:instrText xml:space="preserve"> XE "</w:instrText>
      </w:r>
      <w:r w:rsidR="00511EA9" w:rsidRPr="006A27B6">
        <w:instrText>Schlussverfahren</w:instrText>
      </w:r>
      <w:r w:rsidR="006C0F83">
        <w:instrText xml:space="preserve">, </w:instrText>
      </w:r>
      <w:r w:rsidR="006C0F83" w:rsidRPr="006A27B6">
        <w:instrText>logische</w:instrText>
      </w:r>
      <w:r w:rsidR="00511EA9">
        <w:instrText xml:space="preserve">" </w:instrText>
      </w:r>
      <w:r w:rsidR="005D7996">
        <w:fldChar w:fldCharType="end"/>
      </w:r>
      <w:r w:rsidR="00C35584">
        <w:t xml:space="preserve"> kann keine Methode der Erzeugung von Eindrücken </w:t>
      </w:r>
      <w:r w:rsidR="00764893">
        <w:t xml:space="preserve">aus </w:t>
      </w:r>
      <w:r w:rsidR="001E6D1A">
        <w:t xml:space="preserve">einer bestimmten Menge von </w:t>
      </w:r>
      <w:r w:rsidR="00764893">
        <w:t>Merkmalsr</w:t>
      </w:r>
      <w:r w:rsidR="00764893">
        <w:t>e</w:t>
      </w:r>
      <w:r w:rsidR="00764893">
        <w:t xml:space="preserve">geln </w:t>
      </w:r>
      <w:r w:rsidR="00C35584">
        <w:t xml:space="preserve">angegeben werden. </w:t>
      </w:r>
      <w:r>
        <w:t>Es ist daher bei der Betrachtung einer fiktiv konstruie</w:t>
      </w:r>
      <w:r>
        <w:t>r</w:t>
      </w:r>
      <w:r>
        <w:t xml:space="preserve">ten Interpretation auch nicht </w:t>
      </w:r>
      <w:r w:rsidR="00C35584">
        <w:t xml:space="preserve">immer </w:t>
      </w:r>
      <w:r>
        <w:t>möglich, plausible von unplausiblen Eindr</w:t>
      </w:r>
      <w:r>
        <w:t>ü</w:t>
      </w:r>
      <w:r>
        <w:lastRenderedPageBreak/>
        <w:t xml:space="preserve">cken zu unterscheiden. Ebenso ist es bei einer tatsächlichen Interpretation nicht </w:t>
      </w:r>
      <w:r w:rsidR="00C35584">
        <w:t>immer möglich</w:t>
      </w:r>
      <w:r>
        <w:t xml:space="preserve">, vorherzusagen, welche stilistischen Eindrücke </w:t>
      </w:r>
      <w:r w:rsidR="00C35584">
        <w:t xml:space="preserve">wahrscheinlich </w:t>
      </w:r>
      <w:r>
        <w:t xml:space="preserve">auch bei anderen Stilinterpreten </w:t>
      </w:r>
      <w:r w:rsidR="001E4324">
        <w:t>auftreten werden</w:t>
      </w:r>
      <w:r w:rsidR="00C35584">
        <w:t>.</w:t>
      </w:r>
    </w:p>
    <w:p w:rsidR="001E4324" w:rsidRDefault="001E4324" w:rsidP="00161CF4">
      <w:pPr>
        <w:pStyle w:val="Text"/>
      </w:pPr>
      <w:r>
        <w:t>(2)</w:t>
      </w:r>
      <w:r>
        <w:tab/>
        <w:t>Die Menge von Merkmalsregeln, die in die Entstehung eines Ei</w:t>
      </w:r>
      <w:r>
        <w:t>n</w:t>
      </w:r>
      <w:r>
        <w:t>drucks eingeht, ist oft nicht präzise abgrenzbar.</w:t>
      </w:r>
      <w:r w:rsidR="00F3489F">
        <w:t xml:space="preserve"> Im oben angegebenen Beispiel </w:t>
      </w:r>
      <w:r w:rsidR="000B751C">
        <w:t xml:space="preserve">ist </w:t>
      </w:r>
      <w:r w:rsidR="00F3489F">
        <w:t xml:space="preserve">bei </w:t>
      </w:r>
      <w:r w:rsidR="00F3489F">
        <w:rPr>
          <w:i/>
          <w:iCs/>
        </w:rPr>
        <w:t>B</w:t>
      </w:r>
      <w:r w:rsidR="00F3489F">
        <w:rPr>
          <w:vertAlign w:val="subscript"/>
        </w:rPr>
        <w:t>2</w:t>
      </w:r>
      <w:r w:rsidR="00F3489F">
        <w:t xml:space="preserve"> und </w:t>
      </w:r>
      <w:r w:rsidR="00F3489F">
        <w:rPr>
          <w:i/>
          <w:iCs/>
        </w:rPr>
        <w:t>B</w:t>
      </w:r>
      <w:r w:rsidR="00F3489F">
        <w:rPr>
          <w:vertAlign w:val="subscript"/>
        </w:rPr>
        <w:t>3</w:t>
      </w:r>
      <w:r w:rsidR="00F3489F">
        <w:t xml:space="preserve"> </w:t>
      </w:r>
      <w:r w:rsidR="000B751C">
        <w:t xml:space="preserve">unklar, ob sie an der Entstehung von </w:t>
      </w:r>
      <w:r w:rsidR="000B751C">
        <w:rPr>
          <w:i/>
          <w:iCs/>
        </w:rPr>
        <w:t>Er</w:t>
      </w:r>
      <w:r w:rsidR="000B751C">
        <w:rPr>
          <w:vertAlign w:val="subscript"/>
        </w:rPr>
        <w:t>1</w:t>
      </w:r>
      <w:r w:rsidR="000B751C">
        <w:t xml:space="preserve"> beteiligt sind</w:t>
      </w:r>
      <w:r w:rsidR="00F3489F">
        <w:t xml:space="preserve">, </w:t>
      </w:r>
      <w:r w:rsidR="000B751C">
        <w:t>nicht beteiligt sind oder diese sogar behindern. Häufig lässt sich für einige Merkmal</w:t>
      </w:r>
      <w:r w:rsidR="000B751C">
        <w:t>s</w:t>
      </w:r>
      <w:r w:rsidR="000B751C">
        <w:t>regeln mit großer Sicherheit eine Aussage machen, für andere ist die Zuordnung unklar.</w:t>
      </w:r>
      <w:r w:rsidR="00641B14">
        <w:t xml:space="preserve"> Weder </w:t>
      </w:r>
      <w:r w:rsidR="003C7B98">
        <w:t xml:space="preserve">durch den </w:t>
      </w:r>
      <w:r w:rsidR="00641B14">
        <w:t>Abgleich der Merkmalsregeln mit den entstehenden Ergebnissen bei einer vorliegenden (nachvollzogenen oder konstruierten) Inte</w:t>
      </w:r>
      <w:r w:rsidR="00641B14">
        <w:t>r</w:t>
      </w:r>
      <w:r w:rsidR="00641B14">
        <w:t>pretation noch durch Introspektion bei einer gerade ablaufenden Stilinterpret</w:t>
      </w:r>
      <w:r w:rsidR="00641B14">
        <w:t>a</w:t>
      </w:r>
      <w:r w:rsidR="00641B14">
        <w:t>tion (bei der vielleicht einige der Merkmal</w:t>
      </w:r>
      <w:r w:rsidR="006679B4">
        <w:t>sregeln</w:t>
      </w:r>
      <w:r w:rsidR="00641B14">
        <w:t>, die den Eindruck mit erze</w:t>
      </w:r>
      <w:r w:rsidR="00641B14">
        <w:t>u</w:t>
      </w:r>
      <w:r w:rsidR="00641B14">
        <w:t xml:space="preserve">gen, nicht bewusst wahrgenommen werden) </w:t>
      </w:r>
      <w:r w:rsidR="003C7B98">
        <w:t>ist eine vollständige Klärung mö</w:t>
      </w:r>
      <w:r w:rsidR="003C7B98">
        <w:t>g</w:t>
      </w:r>
      <w:r w:rsidR="003C7B98">
        <w:t>lich.</w:t>
      </w:r>
    </w:p>
    <w:p w:rsidR="00BD0BE1" w:rsidRDefault="00E67355" w:rsidP="00F861EF">
      <w:pPr>
        <w:pStyle w:val="Text"/>
      </w:pPr>
      <w:r>
        <w:t>(3)</w:t>
      </w:r>
      <w:r>
        <w:tab/>
        <w:t xml:space="preserve">Es </w:t>
      </w:r>
      <w:r w:rsidR="0029447C">
        <w:t xml:space="preserve">lässt sich </w:t>
      </w:r>
      <w:r w:rsidR="00F861EF">
        <w:t xml:space="preserve">meist nicht </w:t>
      </w:r>
      <w:r w:rsidR="0029447C">
        <w:t xml:space="preserve">genau nachvollziehen, wie ein </w:t>
      </w:r>
      <w:r>
        <w:t xml:space="preserve">Eindruck </w:t>
      </w:r>
      <w:r w:rsidR="00F861EF">
        <w:t xml:space="preserve">aus den Merkmalsregeln </w:t>
      </w:r>
      <w:r>
        <w:t>entsteht.</w:t>
      </w:r>
      <w:r w:rsidR="00F861EF">
        <w:t xml:space="preserve"> Im obigen Beispiel ist klar, dass die Eigenschaften ‚elastisch‘, ‚fließend‘ und ‚abgerundet‘ in einem Zusammenhang mit dem Ei</w:t>
      </w:r>
      <w:r w:rsidR="00F861EF">
        <w:t>n</w:t>
      </w:r>
      <w:r w:rsidR="00F861EF">
        <w:t>druck ‚elegant‘ stehen.</w:t>
      </w:r>
      <w:r w:rsidR="00447034">
        <w:t xml:space="preserve"> </w:t>
      </w:r>
      <w:r w:rsidR="00BD0BE1">
        <w:t>Bis zu einem gewissen Grad hängt die Entstehung des Eindrucks aber auch von den Realisierungsstellen, für die diese Eigenschafte</w:t>
      </w:r>
      <w:r w:rsidR="002E241F">
        <w:t xml:space="preserve">n verlangt werden, ab: Wäre beispielsweise </w:t>
      </w:r>
      <w:r w:rsidR="00BD0BE1">
        <w:t xml:space="preserve">die Stellung der Wirbelsäule ‚elastisch‘, würde der </w:t>
      </w:r>
      <w:r w:rsidR="0085753F">
        <w:t xml:space="preserve">SN </w:t>
      </w:r>
      <w:r w:rsidR="00BD0BE1">
        <w:t xml:space="preserve">den Rücken nicht </w:t>
      </w:r>
      <w:r w:rsidR="001C5967">
        <w:t xml:space="preserve">stabil </w:t>
      </w:r>
      <w:r w:rsidR="00BD0BE1">
        <w:t xml:space="preserve">halten und dies würde </w:t>
      </w:r>
      <w:r w:rsidR="001C5967">
        <w:t xml:space="preserve">wohl </w:t>
      </w:r>
      <w:r w:rsidR="00BD0BE1">
        <w:t>nicht elegant aussehen. Bei der Eigenschaft ‚groß‘ ist die Abhängigkeit von der Realisierung</w:t>
      </w:r>
      <w:r w:rsidR="00BD0BE1">
        <w:t>s</w:t>
      </w:r>
      <w:r w:rsidR="00BD0BE1">
        <w:t>stelle noch eindeutiger: Eine große Schrittlänge kann zu einem eleganten G</w:t>
      </w:r>
      <w:r w:rsidR="00BD0BE1">
        <w:t>e</w:t>
      </w:r>
      <w:r w:rsidR="00BD0BE1">
        <w:t xml:space="preserve">samteindruck beitragen; </w:t>
      </w:r>
      <w:r w:rsidR="008B6F67">
        <w:t>eine große Armbewegung beim Laufen würde ihn eher beeinträchtigen.</w:t>
      </w:r>
    </w:p>
    <w:p w:rsidR="00DB106A" w:rsidRDefault="008B6F67" w:rsidP="008857F3">
      <w:pPr>
        <w:pStyle w:val="Text"/>
      </w:pPr>
      <w:r>
        <w:t>(4)</w:t>
      </w:r>
      <w:r>
        <w:tab/>
      </w:r>
      <w:r w:rsidR="008857F3">
        <w:t xml:space="preserve">Wie bestimmte Eindrücke aus bestimmten Merkmalsregeln entstehen, muss ebenfalls von Fall zu Fall geprüft werden. So entsteht </w:t>
      </w:r>
      <w:r w:rsidR="00475992">
        <w:t xml:space="preserve">etwa </w:t>
      </w:r>
      <w:r w:rsidR="008857F3">
        <w:t>der Eindruck ‚elegant‘ sicher nicht ohne eine gewisse Konventionalisierung</w:t>
      </w:r>
      <w:r w:rsidR="005D7996">
        <w:fldChar w:fldCharType="begin"/>
      </w:r>
      <w:r w:rsidR="00F835EC">
        <w:instrText xml:space="preserve"> XE "</w:instrText>
      </w:r>
      <w:r w:rsidR="00F835EC" w:rsidRPr="0080587D">
        <w:instrText>Konventionalisierung</w:instrText>
      </w:r>
      <w:r w:rsidR="00F835EC">
        <w:instrText xml:space="preserve">" </w:instrText>
      </w:r>
      <w:r w:rsidR="005D7996">
        <w:fldChar w:fldCharType="end"/>
      </w:r>
      <w:r w:rsidR="008857F3">
        <w:t>, die eine bestim</w:t>
      </w:r>
      <w:r w:rsidR="008857F3">
        <w:t>m</w:t>
      </w:r>
      <w:r w:rsidR="008857F3">
        <w:t xml:space="preserve">te Eindrucksklasse bestimmt und diese unter dem Begriff </w:t>
      </w:r>
      <w:r w:rsidR="00CD38F7">
        <w:t>‚</w:t>
      </w:r>
      <w:r w:rsidR="008857F3">
        <w:t>elegant</w:t>
      </w:r>
      <w:r w:rsidR="00CD38F7">
        <w:t>‘</w:t>
      </w:r>
      <w:r w:rsidR="008857F3">
        <w:t xml:space="preserve"> zusamme</w:t>
      </w:r>
      <w:r w:rsidR="008857F3">
        <w:t>n</w:t>
      </w:r>
      <w:r w:rsidR="008857F3">
        <w:t>fasst. Es spielt also auch die Begriffsbildung und die damit mögliche Kommun</w:t>
      </w:r>
      <w:r w:rsidR="008857F3">
        <w:t>i</w:t>
      </w:r>
      <w:r w:rsidR="008857F3">
        <w:t>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rsidR="008857F3">
        <w:t xml:space="preserve"> über Eindrücke eine Rolle. Trotzdem ist es sehr wahrscheinlich, dass ein Eindruck </w:t>
      </w:r>
      <w:r w:rsidR="00283FB7">
        <w:t xml:space="preserve">ähnlich dem dann als </w:t>
      </w:r>
      <w:r w:rsidR="008857F3">
        <w:t>‚elegant</w:t>
      </w:r>
      <w:r w:rsidR="00F17184">
        <w:t>‘</w:t>
      </w:r>
      <w:r w:rsidR="008857F3">
        <w:t xml:space="preserve"> </w:t>
      </w:r>
      <w:r w:rsidR="00F17184">
        <w:t xml:space="preserve">wiedergegebenen </w:t>
      </w:r>
      <w:r w:rsidR="008857F3">
        <w:t>auch bereits vorb</w:t>
      </w:r>
      <w:r w:rsidR="008857F3">
        <w:t>e</w:t>
      </w:r>
      <w:r w:rsidR="008857F3">
        <w:t xml:space="preserve">grifflich entstehen kann; der Begriff ermöglicht den Zugriff </w:t>
      </w:r>
      <w:r w:rsidR="006129F8">
        <w:t xml:space="preserve">auf </w:t>
      </w:r>
      <w:r w:rsidR="008857F3">
        <w:t>und die Konven</w:t>
      </w:r>
      <w:r w:rsidR="006E0DA4">
        <w:softHyphen/>
      </w:r>
      <w:r w:rsidR="008857F3">
        <w:t>tionali</w:t>
      </w:r>
      <w:r w:rsidR="006E0DA4">
        <w:softHyphen/>
      </w:r>
      <w:r w:rsidR="008857F3">
        <w:t xml:space="preserve">sierung von Eindrücken, aber </w:t>
      </w:r>
      <w:r w:rsidR="00DB106A">
        <w:t>er erzeugt sie nicht</w:t>
      </w:r>
      <w:r w:rsidR="008857F3">
        <w:t xml:space="preserve">. </w:t>
      </w:r>
      <w:r w:rsidR="00DB106A">
        <w:t xml:space="preserve">Selbst wenn man dies annehmen würde, müsste man immer noch erklären, wie die Zugriffsweise auf konkrete Eigenschaften des betrachteten Phänomens funktioniert, egal ob diese Zugriffsweise nun vollständig im Begriff enthalten </w:t>
      </w:r>
      <w:r w:rsidR="00F02630">
        <w:t xml:space="preserve">ist </w:t>
      </w:r>
      <w:r w:rsidR="00DB106A">
        <w:t xml:space="preserve">oder ob </w:t>
      </w:r>
      <w:r w:rsidR="00A67363">
        <w:t>dieser</w:t>
      </w:r>
      <w:r w:rsidR="00DB106A">
        <w:t xml:space="preserve"> nur </w:t>
      </w:r>
      <w:r w:rsidR="00F02630">
        <w:t xml:space="preserve">die Verbindung zu einer sprachlichen Bezeichnung </w:t>
      </w:r>
      <w:r w:rsidR="00A67363">
        <w:t>herstellt</w:t>
      </w:r>
      <w:r w:rsidR="00F02630">
        <w:t>.</w:t>
      </w:r>
    </w:p>
    <w:p w:rsidR="00F9012F" w:rsidRDefault="0041512D" w:rsidP="00F9012F">
      <w:pPr>
        <w:pStyle w:val="Text"/>
      </w:pPr>
      <w:r>
        <w:t>Stilistische Eindrücke können nur auf den Merkmalsregeln beruhen, da a</w:t>
      </w:r>
      <w:r>
        <w:t>n</w:t>
      </w:r>
      <w:r>
        <w:t xml:space="preserve">dere Eigenschaften der betrachteten Phänomene nicht zum Stil gehören. (Sie können auch in die Interpretation einbezogen werden, gehören dann aber zum Hintergrundwissen.) </w:t>
      </w:r>
      <w:r w:rsidR="00F9012F">
        <w:t>Vermutlich können Eindrücke entstehen, wenn Eige</w:t>
      </w:r>
      <w:r w:rsidR="00F9012F">
        <w:t>n</w:t>
      </w:r>
      <w:r w:rsidR="00F9012F">
        <w:t>schaften</w:t>
      </w:r>
    </w:p>
    <w:p w:rsidR="00F9012F" w:rsidRDefault="00F9012F" w:rsidP="0026433C">
      <w:pPr>
        <w:pStyle w:val="Text"/>
        <w:ind w:firstLine="0"/>
      </w:pPr>
      <w:r>
        <w:lastRenderedPageBreak/>
        <w:t>–</w:t>
      </w:r>
      <w:r>
        <w:tab/>
        <w:t xml:space="preserve">Relationen zueinander aufweisen (z.B. </w:t>
      </w:r>
      <w:r w:rsidR="00F92E55">
        <w:t xml:space="preserve">übereinstimmend, </w:t>
      </w:r>
      <w:r>
        <w:t>ähnlich oder w</w:t>
      </w:r>
      <w:r>
        <w:t>i</w:t>
      </w:r>
      <w:r>
        <w:t>dersprüchlich sind);</w:t>
      </w:r>
    </w:p>
    <w:p w:rsidR="00F92E55" w:rsidRDefault="00F92E55" w:rsidP="0026433C">
      <w:pPr>
        <w:pStyle w:val="Text"/>
        <w:ind w:firstLine="0"/>
      </w:pPr>
      <w:r>
        <w:t>–</w:t>
      </w:r>
      <w:r>
        <w:tab/>
        <w:t>durch bestimmte Eigenschaften voneinander ableitbar sind (z.B. hinterlässt eine ‚fließende‘ Bewegung eine ‚abgerundete‘ Spur);</w:t>
      </w:r>
    </w:p>
    <w:p w:rsidR="00F9012F" w:rsidRDefault="00F9012F" w:rsidP="0026433C">
      <w:pPr>
        <w:pStyle w:val="Text"/>
        <w:ind w:firstLine="0"/>
      </w:pPr>
      <w:r>
        <w:t>–</w:t>
      </w:r>
      <w:r>
        <w:tab/>
        <w:t xml:space="preserve">demselben </w:t>
      </w:r>
      <w:r w:rsidR="00F92E55">
        <w:t>oder angrenzenden Bereichen in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F92E55">
        <w:t xml:space="preserve"> oder Lebenswelt zuz</w:t>
      </w:r>
      <w:r w:rsidR="00F92E55">
        <w:t>u</w:t>
      </w:r>
      <w:r w:rsidR="00F92E55">
        <w:t>ordnen sind;</w:t>
      </w:r>
    </w:p>
    <w:p w:rsidR="00F92E55" w:rsidRDefault="00F92E55" w:rsidP="0026433C">
      <w:pPr>
        <w:pStyle w:val="Text"/>
        <w:ind w:firstLine="0"/>
      </w:pPr>
      <w:r>
        <w:t>–</w:t>
      </w:r>
      <w:r>
        <w:tab/>
        <w:t>usw.</w:t>
      </w:r>
    </w:p>
    <w:p w:rsidR="005B15B5" w:rsidRDefault="005A30D3" w:rsidP="005A30D3">
      <w:pPr>
        <w:pStyle w:val="Text"/>
      </w:pPr>
      <w:r>
        <w:t>Dazu kommt</w:t>
      </w:r>
      <w:r w:rsidR="00F92E55">
        <w:t xml:space="preserve"> noch </w:t>
      </w:r>
      <w:r w:rsidR="005B15B5">
        <w:t xml:space="preserve">die Bezugnahme </w:t>
      </w:r>
      <w:r>
        <w:t xml:space="preserve">auf die </w:t>
      </w:r>
      <w:r w:rsidR="005F647E">
        <w:t>Anwendungsbedingung</w:t>
      </w:r>
      <w:r w:rsidR="00F92E55">
        <w:t>en</w:t>
      </w:r>
      <w:r>
        <w:t xml:space="preserve"> und die Relationen, die sich daraus zwischen verschiedenen Merkmalsregeln ergeben, </w:t>
      </w:r>
      <w:r w:rsidR="00EA4A49">
        <w:t>beispielsweise</w:t>
      </w:r>
      <w:r>
        <w:t xml:space="preserve"> wenn bei einem Bild ‚</w:t>
      </w:r>
      <w:r w:rsidR="006454B0">
        <w:t xml:space="preserve">detaillierte </w:t>
      </w:r>
      <w:r>
        <w:t xml:space="preserve">Darstellung‘ </w:t>
      </w:r>
      <w:r w:rsidR="006454B0">
        <w:t xml:space="preserve">von </w:t>
      </w:r>
      <w:r>
        <w:t>‚</w:t>
      </w:r>
      <w:r w:rsidR="006454B0">
        <w:t>Lebewesen</w:t>
      </w:r>
      <w:r>
        <w:t>‘</w:t>
      </w:r>
      <w:r w:rsidR="006454B0">
        <w:t xml:space="preserve"> und</w:t>
      </w:r>
      <w:r>
        <w:t xml:space="preserve"> ‚</w:t>
      </w:r>
      <w:r w:rsidR="00547828">
        <w:t xml:space="preserve">angedeutete </w:t>
      </w:r>
      <w:r>
        <w:t xml:space="preserve">Darstellung‘ </w:t>
      </w:r>
      <w:r w:rsidR="006454B0">
        <w:t xml:space="preserve">von </w:t>
      </w:r>
      <w:r>
        <w:t>‚</w:t>
      </w:r>
      <w:r w:rsidR="006454B0">
        <w:t xml:space="preserve">nicht-belebten </w:t>
      </w:r>
      <w:r w:rsidR="00547828">
        <w:t>Elementen</w:t>
      </w:r>
      <w:r w:rsidR="006454B0">
        <w:t xml:space="preserve">‘ </w:t>
      </w:r>
      <w:r>
        <w:t>gegeben ist.</w:t>
      </w:r>
    </w:p>
    <w:p w:rsidR="00CC2091" w:rsidRDefault="00CC2091" w:rsidP="005A30D3">
      <w:pPr>
        <w:pStyle w:val="Text"/>
      </w:pPr>
      <w:r>
        <w:t>Aus denselben Beziehungen können mit entsprechenden Operationen auch Proposition</w:t>
      </w:r>
      <w:r w:rsidR="00FC3D1C">
        <w:t>sannahmen</w:t>
      </w:r>
      <w:r>
        <w:t xml:space="preserve"> und Gefühle erzeugt werden. </w:t>
      </w:r>
      <w:r w:rsidR="00C92BB6">
        <w:t>Dabei wechselt allerdings die Entstehungsweise nicht so stark wie bei den Eindrücken; sowohl bei Prop</w:t>
      </w:r>
      <w:r w:rsidR="00C92BB6">
        <w:t>o</w:t>
      </w:r>
      <w:r w:rsidR="00C92BB6">
        <w:t>sition</w:t>
      </w:r>
      <w:r w:rsidR="00FC3D1C">
        <w:t>sannahme</w:t>
      </w:r>
      <w:r w:rsidR="00C92BB6">
        <w:t>n als auch bei Gefühlen lassen sich Prinzipien dafür angeben, welche Proposition</w:t>
      </w:r>
      <w:r w:rsidR="00FC3D1C">
        <w:t>sannahme</w:t>
      </w:r>
      <w:r w:rsidR="00C92BB6">
        <w:t>n oder Gefühle aus einer bestimmten Konstellation entsteht.</w:t>
      </w:r>
    </w:p>
    <w:p w:rsidR="000F06FB" w:rsidRDefault="000F06FB" w:rsidP="00F9012F">
      <w:pPr>
        <w:pStyle w:val="Text"/>
      </w:pPr>
      <w:r>
        <w:t>(5)</w:t>
      </w:r>
      <w:r>
        <w:tab/>
        <w:t>Eindrücke haben oft ein Element der Perspektivität: Bestimmte Eige</w:t>
      </w:r>
      <w:r>
        <w:t>n</w:t>
      </w:r>
      <w:r>
        <w:t>schaften des Phänomens werden hervorgehoben, andere abgeschwächt oder ganz ignoriert; bestimmte Relationen (z.B. Ähnlichkeiten oder Gegensätze) werden in der Vordergrund gestellt, andere übergangen. Dadurch erhalten Eindrücke auch einen stärker subjektiven Charakter als die meisten andere</w:t>
      </w:r>
      <w:r w:rsidR="00FD35EC">
        <w:t>n</w:t>
      </w:r>
      <w:r>
        <w:t xml:space="preserve"> Ergebnisse von I</w:t>
      </w:r>
      <w:r>
        <w:t>n</w:t>
      </w:r>
      <w:r>
        <w:t xml:space="preserve">terpretationen. Andere </w:t>
      </w:r>
      <w:r w:rsidR="00FD35EC">
        <w:t xml:space="preserve">Interpreten </w:t>
      </w:r>
      <w:r>
        <w:t xml:space="preserve">können </w:t>
      </w:r>
      <w:r w:rsidR="00FD35EC">
        <w:t xml:space="preserve">sie </w:t>
      </w:r>
      <w:r w:rsidR="00A448FF">
        <w:t xml:space="preserve">manchmal </w:t>
      </w:r>
      <w:r>
        <w:t>nicht nachvollziehen</w:t>
      </w:r>
      <w:r w:rsidR="00A448FF">
        <w:t xml:space="preserve">; oder sie können </w:t>
      </w:r>
      <w:r>
        <w:t xml:space="preserve">sie </w:t>
      </w:r>
      <w:r w:rsidR="00FD35EC">
        <w:t xml:space="preserve">durch Einstellung </w:t>
      </w:r>
      <w:r>
        <w:t xml:space="preserve">auf die Perspektive </w:t>
      </w:r>
      <w:r w:rsidR="00FD35EC">
        <w:t xml:space="preserve">des ersten Interpreten nachvollziehen, </w:t>
      </w:r>
      <w:r w:rsidR="00A448FF">
        <w:t xml:space="preserve">wären aber </w:t>
      </w:r>
      <w:r w:rsidR="00FD35EC">
        <w:t xml:space="preserve">von allein </w:t>
      </w:r>
      <w:r w:rsidR="00A448FF">
        <w:t>nicht zu diesem Eindruck gelangt.</w:t>
      </w:r>
    </w:p>
    <w:p w:rsidR="00E7452D" w:rsidRDefault="00E7452D" w:rsidP="00F9012F">
      <w:pPr>
        <w:pStyle w:val="Text"/>
      </w:pPr>
      <w:r>
        <w:t xml:space="preserve">Hier lohnt sich ein kurzer Rückblick auf die Analyse von </w:t>
      </w:r>
      <w:r w:rsidR="00DB7919">
        <w:t>Paul Frankls</w:t>
      </w:r>
      <w:r w:rsidR="005D7996">
        <w:fldChar w:fldCharType="begin"/>
      </w:r>
      <w:r w:rsidR="000E216C">
        <w:instrText xml:space="preserve"> XE "</w:instrText>
      </w:r>
      <w:r w:rsidR="000E216C" w:rsidRPr="00C834D3">
        <w:instrText>Frankl, Paul</w:instrText>
      </w:r>
      <w:r w:rsidR="000E216C">
        <w:instrText xml:space="preserve">" </w:instrText>
      </w:r>
      <w:r w:rsidR="005D7996">
        <w:fldChar w:fldCharType="end"/>
      </w:r>
      <w:r w:rsidR="00DB7919">
        <w:t xml:space="preserve"> Sti</w:t>
      </w:r>
      <w:r w:rsidR="00DB7919">
        <w:t>l</w:t>
      </w:r>
      <w:r w:rsidR="00DB7919">
        <w:t>interpretation der Ste-Chapelle</w:t>
      </w:r>
      <w:r w:rsidR="005D7996">
        <w:fldChar w:fldCharType="begin"/>
      </w:r>
      <w:r w:rsidR="00F00986">
        <w:instrText xml:space="preserve"> XE "</w:instrText>
      </w:r>
      <w:r w:rsidR="00F00986" w:rsidRPr="00A338E3">
        <w:rPr>
          <w:szCs w:val="22"/>
        </w:rPr>
        <w:instrText>Ste-Chapelle (Paris)</w:instrText>
      </w:r>
      <w:r w:rsidR="00F00986">
        <w:instrText xml:space="preserve">" </w:instrText>
      </w:r>
      <w:r w:rsidR="005D7996">
        <w:fldChar w:fldCharType="end"/>
      </w:r>
      <w:r>
        <w:t xml:space="preserve"> (vgl. Abschnitt </w:t>
      </w:r>
      <w:r w:rsidR="005D7996">
        <w:fldChar w:fldCharType="begin"/>
      </w:r>
      <w:r>
        <w:instrText xml:space="preserve"> REF _Ref254004896 \r \h </w:instrText>
      </w:r>
      <w:r w:rsidR="005D7996">
        <w:fldChar w:fldCharType="separate"/>
      </w:r>
      <w:r w:rsidR="001231D3">
        <w:t>7.1.3</w:t>
      </w:r>
      <w:r w:rsidR="005D7996">
        <w:fldChar w:fldCharType="end"/>
      </w:r>
      <w:r>
        <w:t xml:space="preserve">). Der Eindruck </w:t>
      </w:r>
      <w:r>
        <w:rPr>
          <w:i/>
          <w:iCs/>
        </w:rPr>
        <w:t>Er</w:t>
      </w:r>
      <w:r>
        <w:rPr>
          <w:iCs/>
          <w:vertAlign w:val="subscript"/>
        </w:rPr>
        <w:t>2</w:t>
      </w:r>
      <w:r>
        <w:t xml:space="preserve"> war dort: ‚Die Gurte verbinden die Joche‘. Dieser Eindruck entsteht vermutlich aus der Ähnlichkeit der Gurte (die sich zwischen den Jochen befinden) mit den Ri</w:t>
      </w:r>
      <w:r>
        <w:t>p</w:t>
      </w:r>
      <w:r>
        <w:t>pen (die sich innerhalb der Joche befinden) sowie aus dem Schmalerwerden der Gurte nach der Mitte zu. Beides schränkt die trennende Funktion der Gurte, wie sie etwa in der Romanik auftritt, stark ein. Dennoch sind die Gurte sichtbar, verschwinden auch nach der Mitte nicht ganz und befinden sich auf der Grenzl</w:t>
      </w:r>
      <w:r>
        <w:t>i</w:t>
      </w:r>
      <w:r>
        <w:t>nie zwischen zwei Jochen. Frankl gelangt hier also durch eine subjektive G</w:t>
      </w:r>
      <w:r>
        <w:t>e</w:t>
      </w:r>
      <w:r>
        <w:t>wichtung von Eigenschaften – Betonung bestimmter Aspekte und Vernachläss</w:t>
      </w:r>
      <w:r>
        <w:t>i</w:t>
      </w:r>
      <w:r>
        <w:t xml:space="preserve">gung anderer – sowie durch eine Perspektivierung – nämlich den Vergleich mit der Romanik, deren Gurte stärker ausgeprägt sind als die Joche und sich nicht verschmälern – </w:t>
      </w:r>
      <w:r w:rsidR="00175618">
        <w:t xml:space="preserve">zu diesem Eindruck. </w:t>
      </w:r>
      <w:r w:rsidR="00CC2091">
        <w:t xml:space="preserve">Ähnliches gilt für die Entstehung der </w:t>
      </w:r>
      <w:r w:rsidR="00175618">
        <w:t>Ei</w:t>
      </w:r>
      <w:r w:rsidR="00175618">
        <w:t>n</w:t>
      </w:r>
      <w:r w:rsidR="00175618">
        <w:t xml:space="preserve">drücke </w:t>
      </w:r>
      <w:r w:rsidR="00175618">
        <w:rPr>
          <w:i/>
          <w:iCs/>
        </w:rPr>
        <w:t>Er</w:t>
      </w:r>
      <w:r w:rsidR="00175618">
        <w:rPr>
          <w:iCs/>
          <w:vertAlign w:val="subscript"/>
        </w:rPr>
        <w:t>3</w:t>
      </w:r>
      <w:r w:rsidR="00CC2091">
        <w:t xml:space="preserve"> bis</w:t>
      </w:r>
      <w:r w:rsidR="00175618">
        <w:t xml:space="preserve"> </w:t>
      </w:r>
      <w:r w:rsidR="00175618">
        <w:rPr>
          <w:i/>
          <w:iCs/>
        </w:rPr>
        <w:t>Er</w:t>
      </w:r>
      <w:r w:rsidR="00175618">
        <w:rPr>
          <w:iCs/>
          <w:vertAlign w:val="subscript"/>
        </w:rPr>
        <w:t>5</w:t>
      </w:r>
      <w:r w:rsidR="00175618">
        <w:t>.</w:t>
      </w:r>
    </w:p>
    <w:p w:rsidR="0026433C" w:rsidRDefault="00C92BB6" w:rsidP="0026433C">
      <w:pPr>
        <w:pStyle w:val="Text"/>
      </w:pPr>
      <w:r>
        <w:t>(6)</w:t>
      </w:r>
      <w:r>
        <w:tab/>
        <w:t xml:space="preserve">Die Offenheit der Entstehungsprinzipien: Durch den </w:t>
      </w:r>
      <w:r w:rsidR="00C75387">
        <w:t>Stilwahrnehmer</w:t>
      </w:r>
      <w:r>
        <w:t xml:space="preserve"> können weitere Prinzipien entdeckt und für die Entstehung von Eindrücken genutzt werden.</w:t>
      </w:r>
    </w:p>
    <w:p w:rsidR="00C92BB6" w:rsidRDefault="00C92BB6" w:rsidP="0026433C">
      <w:pPr>
        <w:pStyle w:val="Text"/>
      </w:pPr>
      <w:r>
        <w:lastRenderedPageBreak/>
        <w:t xml:space="preserve">Nach diesen allgemeinen </w:t>
      </w:r>
      <w:r w:rsidR="00695498">
        <w:t>B</w:t>
      </w:r>
      <w:r>
        <w:t>emerkungen verwundert es nicht, dass eine stili</w:t>
      </w:r>
      <w:r>
        <w:t>s</w:t>
      </w:r>
      <w:r>
        <w:t xml:space="preserve">tische Interpretation, die stark auf Eindrücken beruht, </w:t>
      </w:r>
      <w:r w:rsidR="008852C5">
        <w:t xml:space="preserve">noch mehr Freiheitsgrade besitzt als andere stilistische Interpretationen. </w:t>
      </w:r>
      <w:r w:rsidR="00695498">
        <w:t xml:space="preserve">Die Konstruktion einer </w:t>
      </w:r>
      <w:r w:rsidR="008852C5">
        <w:t>Interpr</w:t>
      </w:r>
      <w:r w:rsidR="008852C5">
        <w:t>e</w:t>
      </w:r>
      <w:r w:rsidR="008852C5">
        <w:t>tation dieses Typs wird daher notwendig recht willkürlich sein. Wir versuchen es trotzdem und konstruieren einen Gehstil und eine Interpretation dazu:</w:t>
      </w:r>
    </w:p>
    <w:p w:rsidR="00702733" w:rsidRDefault="00702733" w:rsidP="0026433C">
      <w:pPr>
        <w:pStyle w:val="Interpretation1Zeile"/>
      </w:pPr>
      <w:r>
        <w:t>Verhaltensschema ‚Gehen‘</w:t>
      </w:r>
    </w:p>
    <w:p w:rsidR="00702733" w:rsidRDefault="00702733" w:rsidP="0026433C">
      <w:pPr>
        <w:pStyle w:val="Interpretation"/>
      </w:pPr>
      <w:r>
        <w:rPr>
          <w:i/>
        </w:rPr>
        <w:t>U</w:t>
      </w:r>
      <w:r>
        <w:t>(</w:t>
      </w:r>
      <w:r>
        <w:rPr>
          <w:i/>
        </w:rPr>
        <w:t>B</w:t>
      </w:r>
      <w:r w:rsidRPr="00F20FC6">
        <w:rPr>
          <w:vertAlign w:val="subscript"/>
        </w:rPr>
        <w:t>1</w:t>
      </w:r>
      <w:r>
        <w:t xml:space="preserve">): ‚durchschnittliche Schrittlänge‘, </w:t>
      </w:r>
      <w:r>
        <w:rPr>
          <w:i/>
        </w:rPr>
        <w:t>V</w:t>
      </w:r>
      <w:r>
        <w:t>(</w:t>
      </w:r>
      <w:r>
        <w:rPr>
          <w:i/>
        </w:rPr>
        <w:t>B</w:t>
      </w:r>
      <w:r w:rsidRPr="00F20FC6">
        <w:rPr>
          <w:vertAlign w:val="subscript"/>
        </w:rPr>
        <w:t>1</w:t>
      </w:r>
      <w:r>
        <w:t>): ‚90 cm‘</w:t>
      </w:r>
    </w:p>
    <w:p w:rsidR="00702733" w:rsidRDefault="00702733" w:rsidP="0026433C">
      <w:pPr>
        <w:pStyle w:val="Interpretation"/>
      </w:pPr>
      <w:r>
        <w:rPr>
          <w:i/>
        </w:rPr>
        <w:t>U</w:t>
      </w:r>
      <w:r>
        <w:t>(</w:t>
      </w:r>
      <w:r>
        <w:rPr>
          <w:i/>
        </w:rPr>
        <w:t>B</w:t>
      </w:r>
      <w:r>
        <w:rPr>
          <w:vertAlign w:val="subscript"/>
        </w:rPr>
        <w:t>2</w:t>
      </w:r>
      <w:r>
        <w:t xml:space="preserve">): ‚höchster Punkt der Fußbewegung‘, </w:t>
      </w:r>
      <w:r>
        <w:rPr>
          <w:i/>
        </w:rPr>
        <w:t>V</w:t>
      </w:r>
      <w:r>
        <w:t>(</w:t>
      </w:r>
      <w:r>
        <w:rPr>
          <w:i/>
        </w:rPr>
        <w:t>B</w:t>
      </w:r>
      <w:r>
        <w:rPr>
          <w:vertAlign w:val="subscript"/>
        </w:rPr>
        <w:t>2</w:t>
      </w:r>
      <w:r w:rsidR="00AB0117">
        <w:t>): ‚durchschnittlich 5</w:t>
      </w:r>
      <w:r>
        <w:t xml:space="preserve"> cm‘</w:t>
      </w:r>
    </w:p>
    <w:p w:rsidR="00702733" w:rsidRDefault="00702733" w:rsidP="0026433C">
      <w:pPr>
        <w:pStyle w:val="Interpretation"/>
      </w:pPr>
      <w:r>
        <w:rPr>
          <w:i/>
        </w:rPr>
        <w:t>U</w:t>
      </w:r>
      <w:r>
        <w:t>(</w:t>
      </w:r>
      <w:r>
        <w:rPr>
          <w:i/>
        </w:rPr>
        <w:t>B</w:t>
      </w:r>
      <w:r>
        <w:rPr>
          <w:vertAlign w:val="subscript"/>
        </w:rPr>
        <w:t>3</w:t>
      </w:r>
      <w:r>
        <w:t xml:space="preserve">): ‚Schrittfrequenz‘, </w:t>
      </w:r>
      <w:r>
        <w:rPr>
          <w:i/>
        </w:rPr>
        <w:t>V</w:t>
      </w:r>
      <w:r>
        <w:t>(</w:t>
      </w:r>
      <w:r>
        <w:rPr>
          <w:i/>
        </w:rPr>
        <w:t>B</w:t>
      </w:r>
      <w:r>
        <w:rPr>
          <w:vertAlign w:val="subscript"/>
        </w:rPr>
        <w:t>3</w:t>
      </w:r>
      <w:r>
        <w:t>): ‚1,5/s‘</w:t>
      </w:r>
    </w:p>
    <w:p w:rsidR="00702733" w:rsidRDefault="00702733" w:rsidP="0026433C">
      <w:pPr>
        <w:pStyle w:val="Interpretation"/>
        <w:rPr>
          <w:i/>
        </w:rPr>
      </w:pPr>
      <w:r>
        <w:rPr>
          <w:i/>
        </w:rPr>
        <w:t>U</w:t>
      </w:r>
      <w:r>
        <w:t>(</w:t>
      </w:r>
      <w:r>
        <w:rPr>
          <w:i/>
        </w:rPr>
        <w:t>B</w:t>
      </w:r>
      <w:r>
        <w:rPr>
          <w:vertAlign w:val="subscript"/>
        </w:rPr>
        <w:t>4</w:t>
      </w:r>
      <w:r>
        <w:t xml:space="preserve">): ‚Hebewinkel des Fußes‘, </w:t>
      </w:r>
      <w:r>
        <w:rPr>
          <w:i/>
        </w:rPr>
        <w:t>V</w:t>
      </w:r>
      <w:r>
        <w:t>(</w:t>
      </w:r>
      <w:r>
        <w:rPr>
          <w:i/>
        </w:rPr>
        <w:t>B</w:t>
      </w:r>
      <w:r>
        <w:rPr>
          <w:vertAlign w:val="subscript"/>
        </w:rPr>
        <w:t>4</w:t>
      </w:r>
      <w:r>
        <w:t>): ‚</w:t>
      </w:r>
      <w:r w:rsidR="00E7051C">
        <w:t xml:space="preserve">Winkel von </w:t>
      </w:r>
      <w:r>
        <w:t xml:space="preserve">80° </w:t>
      </w:r>
      <w:r w:rsidR="00E7051C">
        <w:t xml:space="preserve">zwischen Boden vor </w:t>
      </w:r>
      <w:r w:rsidR="00C52720">
        <w:t>dem Fuß und Hebelinie des Fußes</w:t>
      </w:r>
      <w:r>
        <w:t>‘</w:t>
      </w:r>
    </w:p>
    <w:p w:rsidR="00702733" w:rsidRDefault="00702733" w:rsidP="0026433C">
      <w:pPr>
        <w:pStyle w:val="Interpretation"/>
      </w:pPr>
      <w:r>
        <w:rPr>
          <w:i/>
        </w:rPr>
        <w:t>U</w:t>
      </w:r>
      <w:r>
        <w:t>(</w:t>
      </w:r>
      <w:r>
        <w:rPr>
          <w:i/>
        </w:rPr>
        <w:t>B</w:t>
      </w:r>
      <w:r>
        <w:rPr>
          <w:vertAlign w:val="subscript"/>
        </w:rPr>
        <w:t>5</w:t>
      </w:r>
      <w:r>
        <w:t xml:space="preserve">): ‚Heben des Fußes‘, </w:t>
      </w:r>
      <w:r>
        <w:rPr>
          <w:i/>
        </w:rPr>
        <w:t>V</w:t>
      </w:r>
      <w:r>
        <w:t>(</w:t>
      </w:r>
      <w:r>
        <w:rPr>
          <w:i/>
        </w:rPr>
        <w:t>B</w:t>
      </w:r>
      <w:r>
        <w:rPr>
          <w:vertAlign w:val="subscript"/>
        </w:rPr>
        <w:t>5</w:t>
      </w:r>
      <w:r>
        <w:t xml:space="preserve">): ‚Anheben der gesamten </w:t>
      </w:r>
      <w:r w:rsidR="00E7051C">
        <w:t xml:space="preserve">Fußfläche </w:t>
      </w:r>
      <w:r>
        <w:t>gleichze</w:t>
      </w:r>
      <w:r>
        <w:t>i</w:t>
      </w:r>
      <w:r>
        <w:t>tig</w:t>
      </w:r>
      <w:r w:rsidR="001C5967">
        <w:t xml:space="preserve">; </w:t>
      </w:r>
      <w:r>
        <w:t>schwerfällig‘</w:t>
      </w:r>
    </w:p>
    <w:p w:rsidR="00702733" w:rsidRDefault="00702733" w:rsidP="0026433C">
      <w:pPr>
        <w:pStyle w:val="Interpretation"/>
      </w:pPr>
      <w:r>
        <w:rPr>
          <w:i/>
        </w:rPr>
        <w:t>U</w:t>
      </w:r>
      <w:r>
        <w:t>(</w:t>
      </w:r>
      <w:r>
        <w:rPr>
          <w:i/>
        </w:rPr>
        <w:t>B</w:t>
      </w:r>
      <w:r>
        <w:rPr>
          <w:vertAlign w:val="subscript"/>
        </w:rPr>
        <w:t>6</w:t>
      </w:r>
      <w:r>
        <w:t xml:space="preserve">): ‚Aufsetzwinkel des Fußes‘, </w:t>
      </w:r>
      <w:r>
        <w:rPr>
          <w:i/>
        </w:rPr>
        <w:t>V</w:t>
      </w:r>
      <w:r>
        <w:t>(</w:t>
      </w:r>
      <w:r>
        <w:rPr>
          <w:i/>
        </w:rPr>
        <w:t>B</w:t>
      </w:r>
      <w:r>
        <w:rPr>
          <w:vertAlign w:val="subscript"/>
        </w:rPr>
        <w:t>6</w:t>
      </w:r>
      <w:r>
        <w:t>): ‚85° mit hinterer Bodenfläche‘</w:t>
      </w:r>
    </w:p>
    <w:p w:rsidR="00702733" w:rsidRDefault="00702733" w:rsidP="0026433C">
      <w:pPr>
        <w:pStyle w:val="Interpretation"/>
      </w:pPr>
      <w:r>
        <w:rPr>
          <w:i/>
        </w:rPr>
        <w:t>U</w:t>
      </w:r>
      <w:r>
        <w:t>(</w:t>
      </w:r>
      <w:r>
        <w:rPr>
          <w:i/>
        </w:rPr>
        <w:t>B</w:t>
      </w:r>
      <w:r>
        <w:rPr>
          <w:vertAlign w:val="subscript"/>
        </w:rPr>
        <w:t>7</w:t>
      </w:r>
      <w:r>
        <w:t xml:space="preserve">): ‚Kopfneigung‘; </w:t>
      </w:r>
      <w:r>
        <w:rPr>
          <w:i/>
        </w:rPr>
        <w:t>V</w:t>
      </w:r>
      <w:r>
        <w:t>(</w:t>
      </w:r>
      <w:r>
        <w:rPr>
          <w:i/>
        </w:rPr>
        <w:t>B</w:t>
      </w:r>
      <w:r>
        <w:rPr>
          <w:vertAlign w:val="subscript"/>
        </w:rPr>
        <w:t>7</w:t>
      </w:r>
      <w:r>
        <w:t>): ‚durchschnittlich 15 % nach vorne‘</w:t>
      </w:r>
    </w:p>
    <w:p w:rsidR="00702733" w:rsidRDefault="00702733" w:rsidP="0026433C">
      <w:pPr>
        <w:pStyle w:val="Interpretation"/>
      </w:pPr>
      <w:r>
        <w:rPr>
          <w:i/>
        </w:rPr>
        <w:t>U</w:t>
      </w:r>
      <w:r>
        <w:t>(</w:t>
      </w:r>
      <w:r>
        <w:rPr>
          <w:i/>
        </w:rPr>
        <w:t>B</w:t>
      </w:r>
      <w:r>
        <w:rPr>
          <w:vertAlign w:val="subscript"/>
        </w:rPr>
        <w:t>8</w:t>
      </w:r>
      <w:r>
        <w:t xml:space="preserve">): ‚Aufsetzen des Fußes‘, </w:t>
      </w:r>
      <w:r>
        <w:rPr>
          <w:i/>
        </w:rPr>
        <w:t>V</w:t>
      </w:r>
      <w:r>
        <w:t>(</w:t>
      </w:r>
      <w:r>
        <w:rPr>
          <w:i/>
        </w:rPr>
        <w:t>B</w:t>
      </w:r>
      <w:r>
        <w:rPr>
          <w:vertAlign w:val="subscript"/>
        </w:rPr>
        <w:t>8</w:t>
      </w:r>
      <w:r>
        <w:t>): ‚schwerfällig</w:t>
      </w:r>
      <w:r w:rsidR="001C5967">
        <w:t xml:space="preserve">; </w:t>
      </w:r>
      <w:r>
        <w:t>mit der gesamten Bodenfl</w:t>
      </w:r>
      <w:r>
        <w:t>ä</w:t>
      </w:r>
      <w:r>
        <w:t>che gleichzeitig</w:t>
      </w:r>
      <w:r w:rsidR="001C5967">
        <w:t xml:space="preserve">; </w:t>
      </w:r>
      <w:r>
        <w:t>mit einem knallenden Geräusch‘</w:t>
      </w:r>
    </w:p>
    <w:p w:rsidR="00702733" w:rsidRDefault="00702733" w:rsidP="0026433C">
      <w:pPr>
        <w:pStyle w:val="Interpretation"/>
      </w:pPr>
      <w:r>
        <w:rPr>
          <w:i/>
        </w:rPr>
        <w:t>U</w:t>
      </w:r>
      <w:r>
        <w:t>(</w:t>
      </w:r>
      <w:r>
        <w:rPr>
          <w:i/>
        </w:rPr>
        <w:t>B</w:t>
      </w:r>
      <w:r>
        <w:rPr>
          <w:vertAlign w:val="subscript"/>
        </w:rPr>
        <w:t>9</w:t>
      </w:r>
      <w:r>
        <w:t xml:space="preserve">): ‚Verhältnis zwischen Bewegung der beiden Beine‘, </w:t>
      </w:r>
      <w:r>
        <w:rPr>
          <w:i/>
        </w:rPr>
        <w:t>V</w:t>
      </w:r>
      <w:r>
        <w:t>(</w:t>
      </w:r>
      <w:r>
        <w:rPr>
          <w:i/>
        </w:rPr>
        <w:t>B</w:t>
      </w:r>
      <w:r>
        <w:rPr>
          <w:vertAlign w:val="subscript"/>
        </w:rPr>
        <w:t>9</w:t>
      </w:r>
      <w:r>
        <w:t>): ‚(zeitversetzt) übereinstimmend mit Abweichungen &lt; 5 cm‘</w:t>
      </w:r>
    </w:p>
    <w:p w:rsidR="00702733" w:rsidRDefault="00702733" w:rsidP="0026433C">
      <w:pPr>
        <w:pStyle w:val="Interpretation"/>
      </w:pPr>
      <w:r>
        <w:rPr>
          <w:i/>
        </w:rPr>
        <w:t>U</w:t>
      </w:r>
      <w:r>
        <w:t>(</w:t>
      </w:r>
      <w:r>
        <w:rPr>
          <w:i/>
        </w:rPr>
        <w:t>B</w:t>
      </w:r>
      <w:r w:rsidRPr="00F20FC6">
        <w:rPr>
          <w:vertAlign w:val="subscript"/>
        </w:rPr>
        <w:t>1</w:t>
      </w:r>
      <w:r>
        <w:rPr>
          <w:vertAlign w:val="subscript"/>
        </w:rPr>
        <w:t>0</w:t>
      </w:r>
      <w:r>
        <w:t xml:space="preserve">): ‚Form der Gesamtbewegung‘, </w:t>
      </w:r>
      <w:r>
        <w:rPr>
          <w:i/>
        </w:rPr>
        <w:t>V</w:t>
      </w:r>
      <w:r>
        <w:t>(</w:t>
      </w:r>
      <w:r>
        <w:rPr>
          <w:i/>
        </w:rPr>
        <w:t>B</w:t>
      </w:r>
      <w:r w:rsidRPr="00F20FC6">
        <w:rPr>
          <w:vertAlign w:val="subscript"/>
        </w:rPr>
        <w:t>1</w:t>
      </w:r>
      <w:r>
        <w:rPr>
          <w:vertAlign w:val="subscript"/>
        </w:rPr>
        <w:t>0</w:t>
      </w:r>
      <w:r>
        <w:t>): ‚[geometrische Beschreibung oder Zeichnung einer geometrischen Figur, die der Grundbewegung entspricht]‘</w:t>
      </w:r>
    </w:p>
    <w:p w:rsidR="00702733" w:rsidRDefault="00702733" w:rsidP="0026433C">
      <w:pPr>
        <w:pStyle w:val="Interpretation"/>
      </w:pPr>
      <w:r>
        <w:rPr>
          <w:i/>
        </w:rPr>
        <w:t>U</w:t>
      </w:r>
      <w:r>
        <w:t>(</w:t>
      </w:r>
      <w:r>
        <w:rPr>
          <w:i/>
        </w:rPr>
        <w:t>B</w:t>
      </w:r>
      <w:r w:rsidRPr="00F20FC6">
        <w:rPr>
          <w:vertAlign w:val="subscript"/>
        </w:rPr>
        <w:t>1</w:t>
      </w:r>
      <w:r>
        <w:rPr>
          <w:vertAlign w:val="subscript"/>
        </w:rPr>
        <w:t>1</w:t>
      </w:r>
      <w:r>
        <w:t xml:space="preserve">): ‚durch die gesamte Körperbewegung erzeugter Eindruck‘, </w:t>
      </w:r>
      <w:r>
        <w:rPr>
          <w:i/>
        </w:rPr>
        <w:t>V</w:t>
      </w:r>
      <w:r>
        <w:t>(</w:t>
      </w:r>
      <w:r>
        <w:rPr>
          <w:i/>
        </w:rPr>
        <w:t>B</w:t>
      </w:r>
      <w:r w:rsidRPr="00F20FC6">
        <w:rPr>
          <w:vertAlign w:val="subscript"/>
        </w:rPr>
        <w:t>1</w:t>
      </w:r>
      <w:r>
        <w:rPr>
          <w:vertAlign w:val="subscript"/>
        </w:rPr>
        <w:t>1</w:t>
      </w:r>
      <w:r>
        <w:t>): ‚schwerfällig‘</w:t>
      </w:r>
    </w:p>
    <w:p w:rsidR="00702733" w:rsidRDefault="00702733" w:rsidP="0026433C">
      <w:pPr>
        <w:pStyle w:val="Interpretation"/>
      </w:pPr>
      <w:r>
        <w:rPr>
          <w:i/>
        </w:rPr>
        <w:t>U</w:t>
      </w:r>
      <w:r>
        <w:t>(</w:t>
      </w:r>
      <w:r>
        <w:rPr>
          <w:i/>
        </w:rPr>
        <w:t>B</w:t>
      </w:r>
      <w:r w:rsidRPr="00F20FC6">
        <w:rPr>
          <w:vertAlign w:val="subscript"/>
        </w:rPr>
        <w:t>1</w:t>
      </w:r>
      <w:r>
        <w:rPr>
          <w:vertAlign w:val="subscript"/>
        </w:rPr>
        <w:t>2</w:t>
      </w:r>
      <w:r>
        <w:t xml:space="preserve">): ‚Fußstellung‘, </w:t>
      </w:r>
      <w:r>
        <w:rPr>
          <w:i/>
        </w:rPr>
        <w:t>V</w:t>
      </w:r>
      <w:r>
        <w:t>(</w:t>
      </w:r>
      <w:r>
        <w:rPr>
          <w:i/>
        </w:rPr>
        <w:t>B</w:t>
      </w:r>
      <w:r w:rsidRPr="00F20FC6">
        <w:rPr>
          <w:vertAlign w:val="subscript"/>
        </w:rPr>
        <w:t>1</w:t>
      </w:r>
      <w:r>
        <w:rPr>
          <w:vertAlign w:val="subscript"/>
        </w:rPr>
        <w:t>2</w:t>
      </w:r>
      <w:r>
        <w:t>): ‚leicht nach außen abgewinkelt‘</w:t>
      </w:r>
    </w:p>
    <w:p w:rsidR="00702733" w:rsidRDefault="00702733" w:rsidP="0026433C">
      <w:pPr>
        <w:pStyle w:val="Interpretation"/>
      </w:pPr>
      <w:r>
        <w:rPr>
          <w:i/>
        </w:rPr>
        <w:t>U</w:t>
      </w:r>
      <w:r>
        <w:t>(</w:t>
      </w:r>
      <w:r>
        <w:rPr>
          <w:i/>
        </w:rPr>
        <w:t>B</w:t>
      </w:r>
      <w:r w:rsidRPr="00F20FC6">
        <w:rPr>
          <w:vertAlign w:val="subscript"/>
        </w:rPr>
        <w:t>1</w:t>
      </w:r>
      <w:r>
        <w:rPr>
          <w:vertAlign w:val="subscript"/>
        </w:rPr>
        <w:t>3</w:t>
      </w:r>
      <w:r>
        <w:t xml:space="preserve">): ‚Körperhaltung beim Gehen‘, </w:t>
      </w:r>
      <w:r>
        <w:rPr>
          <w:i/>
        </w:rPr>
        <w:t>V</w:t>
      </w:r>
      <w:r>
        <w:t>(</w:t>
      </w:r>
      <w:r>
        <w:rPr>
          <w:i/>
        </w:rPr>
        <w:t>B</w:t>
      </w:r>
      <w:r w:rsidRPr="00F20FC6">
        <w:rPr>
          <w:vertAlign w:val="subscript"/>
        </w:rPr>
        <w:t>1</w:t>
      </w:r>
      <w:r>
        <w:rPr>
          <w:vertAlign w:val="subscript"/>
        </w:rPr>
        <w:t>3</w:t>
      </w:r>
      <w:r>
        <w:t>): ‚Wirbelsäule 3° gegenüber der Vertikalen nach vorne geneigt‘</w:t>
      </w:r>
    </w:p>
    <w:p w:rsidR="00702733" w:rsidRDefault="00702733" w:rsidP="0026433C">
      <w:pPr>
        <w:pStyle w:val="InterpretationletzteZeile"/>
      </w:pPr>
      <w:r>
        <w:rPr>
          <w:i/>
        </w:rPr>
        <w:t>U</w:t>
      </w:r>
      <w:r>
        <w:t>(</w:t>
      </w:r>
      <w:r>
        <w:rPr>
          <w:i/>
        </w:rPr>
        <w:t>B</w:t>
      </w:r>
      <w:r w:rsidRPr="00F20FC6">
        <w:rPr>
          <w:vertAlign w:val="subscript"/>
        </w:rPr>
        <w:t>1</w:t>
      </w:r>
      <w:r>
        <w:rPr>
          <w:vertAlign w:val="subscript"/>
        </w:rPr>
        <w:t>4</w:t>
      </w:r>
      <w:r>
        <w:t xml:space="preserve">): ‚Veränderung der Körperhaltung während des Schritts‘, </w:t>
      </w:r>
      <w:r>
        <w:rPr>
          <w:i/>
        </w:rPr>
        <w:t>V</w:t>
      </w:r>
      <w:r>
        <w:t>(</w:t>
      </w:r>
      <w:r>
        <w:rPr>
          <w:i/>
        </w:rPr>
        <w:t>B</w:t>
      </w:r>
      <w:r w:rsidRPr="00F20FC6">
        <w:rPr>
          <w:vertAlign w:val="subscript"/>
        </w:rPr>
        <w:t>1</w:t>
      </w:r>
      <w:r>
        <w:rPr>
          <w:vertAlign w:val="subscript"/>
        </w:rPr>
        <w:t>4</w:t>
      </w:r>
      <w:r>
        <w:t>): ‚beim Aufsetzen des Fußes leichte Krümmung der Wirbelsäule und Vorbeugen des Kopfes um 5°, danach beim Durchdrücken des Beins Durchdrücken der Wirbe</w:t>
      </w:r>
      <w:r>
        <w:t>l</w:t>
      </w:r>
      <w:r>
        <w:t>säule und Aufrichten des Kopfes</w:t>
      </w:r>
      <w:r w:rsidR="001C5967">
        <w:t>; b</w:t>
      </w:r>
      <w:r>
        <w:t>eim Aufsetzen des Fußes seitliche Neigung in die Richtung des aufgesetzten Fußes um 3°‘</w:t>
      </w:r>
    </w:p>
    <w:p w:rsidR="00702733" w:rsidRDefault="00702733" w:rsidP="0026433C">
      <w:pPr>
        <w:pStyle w:val="Text"/>
        <w:ind w:firstLine="0"/>
      </w:pPr>
      <w:r>
        <w:t>Bei solchen Stilen ist vermutlich ein Teil der Merkmalsregeln nicht-propositional repräsentiert</w:t>
      </w:r>
      <w:r w:rsidR="005D7996">
        <w:fldChar w:fldCharType="begin"/>
      </w:r>
      <w:r w:rsidR="00F86698">
        <w:instrText xml:space="preserve"> XE "</w:instrText>
      </w:r>
      <w:r w:rsidR="00F86698" w:rsidRPr="00943E02">
        <w:instrText>mentale Repräsentation:</w:instrText>
      </w:r>
      <w:r w:rsidR="00F86698">
        <w:instrText>nicht-</w:instrText>
      </w:r>
      <w:r w:rsidR="00F86698" w:rsidRPr="00943E02">
        <w:instrText>propositionale</w:instrText>
      </w:r>
      <w:r w:rsidR="00F86698">
        <w:instrText xml:space="preserve">" </w:instrText>
      </w:r>
      <w:r w:rsidR="005D7996">
        <w:fldChar w:fldCharType="end"/>
      </w:r>
      <w:r>
        <w:t>. Zwar können wir beobachtbare Merkmal</w:t>
      </w:r>
      <w:r w:rsidR="006679B4">
        <w:t>sregeln</w:t>
      </w:r>
      <w:r>
        <w:t xml:space="preserve"> durchaus als Sätze wiedergeben; sie werden jedoch anders wahrgenommen und vermutlich auch nicht in propositionaler Form gespeichert, Beispielsweise könnten Schrittlänge </w:t>
      </w:r>
      <w:r>
        <w:lastRenderedPageBreak/>
        <w:t>und -höhe (</w:t>
      </w:r>
      <w:r>
        <w:rPr>
          <w:i/>
          <w:iCs/>
        </w:rPr>
        <w:t>B</w:t>
      </w:r>
      <w:r w:rsidRPr="00F20FC6">
        <w:rPr>
          <w:iCs/>
          <w:vertAlign w:val="subscript"/>
        </w:rPr>
        <w:t>1</w:t>
      </w:r>
      <w:r>
        <w:t xml:space="preserve"> und </w:t>
      </w:r>
      <w:r>
        <w:rPr>
          <w:i/>
          <w:iCs/>
        </w:rPr>
        <w:t>B</w:t>
      </w:r>
      <w:r>
        <w:rPr>
          <w:iCs/>
          <w:vertAlign w:val="subscript"/>
        </w:rPr>
        <w:t>2</w:t>
      </w:r>
      <w:r>
        <w:t xml:space="preserve">) als </w:t>
      </w:r>
      <w:r w:rsidR="00A76659">
        <w:t>mentale</w:t>
      </w:r>
      <w:r>
        <w:t xml:space="preserve"> Bilder</w:t>
      </w:r>
      <w:r w:rsidR="005D7996">
        <w:fldChar w:fldCharType="begin"/>
      </w:r>
      <w:r w:rsidR="0025273E">
        <w:instrText xml:space="preserve"> XE "</w:instrText>
      </w:r>
      <w:r w:rsidR="0025273E" w:rsidRPr="00D10EB7">
        <w:instrText>Bilder:mentale</w:instrText>
      </w:r>
      <w:r w:rsidR="0025273E">
        <w:instrText xml:space="preserve">" </w:instrText>
      </w:r>
      <w:r w:rsidR="005D7996">
        <w:fldChar w:fldCharType="end"/>
      </w:r>
      <w:r>
        <w:t>,</w:t>
      </w:r>
      <w:r>
        <w:rPr>
          <w:rStyle w:val="Funotenzeichen"/>
        </w:rPr>
        <w:footnoteReference w:id="490"/>
      </w:r>
      <w:r>
        <w:t xml:space="preserve"> Schrittfrequenz und Haltungsverä</w:t>
      </w:r>
      <w:r>
        <w:t>n</w:t>
      </w:r>
      <w:r>
        <w:t>derungen während des Schritts (</w:t>
      </w:r>
      <w:r>
        <w:rPr>
          <w:i/>
          <w:iCs/>
        </w:rPr>
        <w:t>B</w:t>
      </w:r>
      <w:r>
        <w:rPr>
          <w:iCs/>
          <w:vertAlign w:val="subscript"/>
        </w:rPr>
        <w:t>3</w:t>
      </w:r>
      <w:r>
        <w:t xml:space="preserve"> und </w:t>
      </w:r>
      <w:r>
        <w:rPr>
          <w:i/>
          <w:iCs/>
        </w:rPr>
        <w:t>B</w:t>
      </w:r>
      <w:r>
        <w:rPr>
          <w:iCs/>
          <w:vertAlign w:val="subscript"/>
        </w:rPr>
        <w:t>14</w:t>
      </w:r>
      <w:r>
        <w:t xml:space="preserve">) als </w:t>
      </w:r>
      <w:r w:rsidR="00DC41A4">
        <w:t xml:space="preserve">mentale </w:t>
      </w:r>
      <w:r>
        <w:t>Film</w:t>
      </w:r>
      <w:r w:rsidR="00A76659">
        <w:t>e</w:t>
      </w:r>
      <w:r w:rsidR="005D7996">
        <w:fldChar w:fldCharType="begin"/>
      </w:r>
      <w:r w:rsidR="001A68FF">
        <w:instrText xml:space="preserve"> XE "</w:instrText>
      </w:r>
      <w:r w:rsidR="001A68FF" w:rsidRPr="003315E2">
        <w:instrText>Filme:mentale</w:instrText>
      </w:r>
      <w:r w:rsidR="001A68FF">
        <w:instrText xml:space="preserve">" </w:instrText>
      </w:r>
      <w:r w:rsidR="005D7996">
        <w:fldChar w:fldCharType="end"/>
      </w:r>
      <w:r>
        <w:rPr>
          <w:rStyle w:val="Funotenzeichen"/>
        </w:rPr>
        <w:footnoteReference w:id="491"/>
      </w:r>
      <w:r>
        <w:t xml:space="preserve"> abgespeichert werden. Die Form der Gesamtbewegung (</w:t>
      </w:r>
      <w:r>
        <w:rPr>
          <w:i/>
          <w:iCs/>
        </w:rPr>
        <w:t>B</w:t>
      </w:r>
      <w:r w:rsidRPr="00F20FC6">
        <w:rPr>
          <w:iCs/>
          <w:vertAlign w:val="subscript"/>
        </w:rPr>
        <w:t>1</w:t>
      </w:r>
      <w:r>
        <w:rPr>
          <w:iCs/>
          <w:vertAlign w:val="subscript"/>
        </w:rPr>
        <w:t>0</w:t>
      </w:r>
      <w:r>
        <w:t xml:space="preserve">) könnte als </w:t>
      </w:r>
      <w:r w:rsidR="00A76659">
        <w:t xml:space="preserve">mentales </w:t>
      </w:r>
      <w:r>
        <w:t>Bild, aber auch als Schema, als Bild mit „Mark</w:t>
      </w:r>
      <w:r w:rsidR="00312BF3">
        <w:softHyphen/>
      </w:r>
      <w:r>
        <w:t>ups“ (Hinweisen auf spezifische Eigenscha</w:t>
      </w:r>
      <w:r>
        <w:t>f</w:t>
      </w:r>
      <w:r>
        <w:t xml:space="preserve">ten) oder als </w:t>
      </w:r>
      <w:r w:rsidR="00A76659">
        <w:t xml:space="preserve">mentaler </w:t>
      </w:r>
      <w:r>
        <w:t>Film gespeichert sein.</w:t>
      </w:r>
    </w:p>
    <w:p w:rsidR="00702733" w:rsidRDefault="00702733" w:rsidP="00702733">
      <w:pPr>
        <w:pStyle w:val="Text"/>
      </w:pPr>
      <w:r>
        <w:t xml:space="preserve">Details der Bewegung wie </w:t>
      </w:r>
      <w:r>
        <w:rPr>
          <w:i/>
          <w:iCs/>
        </w:rPr>
        <w:t>B</w:t>
      </w:r>
      <w:r>
        <w:rPr>
          <w:iCs/>
          <w:vertAlign w:val="subscript"/>
        </w:rPr>
        <w:t>4</w:t>
      </w:r>
      <w:r>
        <w:t xml:space="preserve">, </w:t>
      </w:r>
      <w:r>
        <w:rPr>
          <w:i/>
          <w:iCs/>
        </w:rPr>
        <w:t>B</w:t>
      </w:r>
      <w:r>
        <w:rPr>
          <w:iCs/>
          <w:vertAlign w:val="subscript"/>
        </w:rPr>
        <w:t>5</w:t>
      </w:r>
      <w:r>
        <w:t xml:space="preserve">, </w:t>
      </w:r>
      <w:r>
        <w:rPr>
          <w:i/>
          <w:iCs/>
        </w:rPr>
        <w:t>B</w:t>
      </w:r>
      <w:r>
        <w:rPr>
          <w:iCs/>
          <w:vertAlign w:val="subscript"/>
        </w:rPr>
        <w:t>6</w:t>
      </w:r>
      <w:r>
        <w:t xml:space="preserve">, </w:t>
      </w:r>
      <w:r>
        <w:rPr>
          <w:i/>
          <w:iCs/>
        </w:rPr>
        <w:t>B</w:t>
      </w:r>
      <w:r>
        <w:rPr>
          <w:iCs/>
          <w:vertAlign w:val="subscript"/>
        </w:rPr>
        <w:t>7</w:t>
      </w:r>
      <w:r>
        <w:t xml:space="preserve">, </w:t>
      </w:r>
      <w:r>
        <w:rPr>
          <w:i/>
          <w:iCs/>
        </w:rPr>
        <w:t>B</w:t>
      </w:r>
      <w:r>
        <w:rPr>
          <w:iCs/>
          <w:vertAlign w:val="subscript"/>
        </w:rPr>
        <w:t>9</w:t>
      </w:r>
      <w:r>
        <w:t xml:space="preserve"> und </w:t>
      </w:r>
      <w:r>
        <w:rPr>
          <w:i/>
          <w:iCs/>
        </w:rPr>
        <w:t>B</w:t>
      </w:r>
      <w:r>
        <w:rPr>
          <w:iCs/>
          <w:vertAlign w:val="subscript"/>
        </w:rPr>
        <w:t>12</w:t>
      </w:r>
      <w:r>
        <w:t xml:space="preserve"> könnten als Details des </w:t>
      </w:r>
      <w:r w:rsidR="000A31F7">
        <w:t xml:space="preserve">mentalen </w:t>
      </w:r>
      <w:r>
        <w:t>Films repräsentiert sein, möglich</w:t>
      </w:r>
      <w:r w:rsidR="00AB0117">
        <w:t>erweise versehen mit einem „Mark</w:t>
      </w:r>
      <w:r w:rsidR="00312BF3">
        <w:softHyphen/>
      </w:r>
      <w:r w:rsidR="00AB0117">
        <w:t>up“</w:t>
      </w:r>
      <w:r>
        <w:t>, einer Markierung in dem Film, die das Bewusstsein bei seinem Ablauf auf bestimmte Details hinweist. Denkbar wäre auch, dass sie in propositionaler Form repräsentiert</w:t>
      </w:r>
      <w:r w:rsidR="005D7996">
        <w:fldChar w:fldCharType="begin"/>
      </w:r>
      <w:r w:rsidR="00F86698">
        <w:instrText xml:space="preserve"> XE "</w:instrText>
      </w:r>
      <w:r w:rsidR="00F86698" w:rsidRPr="00943E02">
        <w:instrText>mentale Repräsentation:propositionale</w:instrText>
      </w:r>
      <w:r w:rsidR="00F86698">
        <w:instrText xml:space="preserve">" </w:instrText>
      </w:r>
      <w:r w:rsidR="005D7996">
        <w:fldChar w:fldCharType="end"/>
      </w:r>
      <w:r>
        <w:t xml:space="preserve"> sind. Dagegen könnten Merkmalsregeln wie </w:t>
      </w:r>
      <w:r>
        <w:rPr>
          <w:i/>
          <w:iCs/>
        </w:rPr>
        <w:t>B</w:t>
      </w:r>
      <w:r>
        <w:rPr>
          <w:iCs/>
          <w:vertAlign w:val="subscript"/>
        </w:rPr>
        <w:t>8</w:t>
      </w:r>
      <w:r>
        <w:t xml:space="preserve"> und </w:t>
      </w:r>
      <w:r>
        <w:rPr>
          <w:i/>
          <w:iCs/>
        </w:rPr>
        <w:t>B</w:t>
      </w:r>
      <w:r>
        <w:rPr>
          <w:iCs/>
          <w:vertAlign w:val="subscript"/>
        </w:rPr>
        <w:t>11</w:t>
      </w:r>
      <w:r>
        <w:t xml:space="preserve"> durchaus als Propositionen repräsentiert sein. Denkbar wäre aber auch, dass </w:t>
      </w:r>
      <w:r w:rsidR="004402F0">
        <w:t xml:space="preserve">beispielsweise </w:t>
      </w:r>
      <w:r>
        <w:t xml:space="preserve">‚schwerfällig‘ als Eigenschaft des Aufsetzens des Fußes in </w:t>
      </w:r>
      <w:r>
        <w:rPr>
          <w:i/>
          <w:iCs/>
        </w:rPr>
        <w:t>B</w:t>
      </w:r>
      <w:r>
        <w:rPr>
          <w:iCs/>
          <w:vertAlign w:val="subscript"/>
        </w:rPr>
        <w:t>8</w:t>
      </w:r>
      <w:r>
        <w:t xml:space="preserve"> und </w:t>
      </w:r>
      <w:r>
        <w:rPr>
          <w:i/>
          <w:iCs/>
        </w:rPr>
        <w:t>B</w:t>
      </w:r>
      <w:r>
        <w:rPr>
          <w:iCs/>
          <w:vertAlign w:val="subscript"/>
        </w:rPr>
        <w:t>2</w:t>
      </w:r>
      <w:r>
        <w:t xml:space="preserve"> in Form eines visuellen Eindrucks gespeichert ist, der etwa mit einem Gefühl gekoppelt sein könnte und erst bei Reflexion diese</w:t>
      </w:r>
      <w:r w:rsidR="006679B4">
        <w:t>r</w:t>
      </w:r>
      <w:r>
        <w:t xml:space="preserve"> Merkmals</w:t>
      </w:r>
      <w:r w:rsidR="006679B4">
        <w:t>regel</w:t>
      </w:r>
      <w:r>
        <w:t xml:space="preserve"> in propos</w:t>
      </w:r>
      <w:r>
        <w:t>i</w:t>
      </w:r>
      <w:r>
        <w:t>tionale Form übertragen wird.</w:t>
      </w:r>
    </w:p>
    <w:p w:rsidR="001F608F" w:rsidRDefault="00702733">
      <w:pPr>
        <w:pStyle w:val="Text"/>
      </w:pPr>
      <w:r>
        <w:t>Bezogen auf dieses in ganz verschiedenen Formen Repräsentierte muss j</w:t>
      </w:r>
      <w:r>
        <w:t>e</w:t>
      </w:r>
      <w:r>
        <w:t>doch immer auch repräsentiert sein, dass es jeweils für einen bestimmten Sch</w:t>
      </w:r>
      <w:r>
        <w:t>e</w:t>
      </w:r>
      <w:r>
        <w:t>maort (</w:t>
      </w:r>
      <w:r w:rsidR="00801637">
        <w:t xml:space="preserve">gegebenenfalls </w:t>
      </w:r>
      <w:r>
        <w:t>unter bestimmten Zusatzbedingungen) verlangt wird. Nur dann handelt es sich um die Repräsentation einer Merkmalsregel; ander</w:t>
      </w:r>
      <w:r>
        <w:t>n</w:t>
      </w:r>
      <w:r>
        <w:t xml:space="preserve">falls wäre nicht erkannt, dass </w:t>
      </w:r>
      <w:r w:rsidR="00323941">
        <w:t xml:space="preserve">zum Beispiel </w:t>
      </w:r>
      <w:r>
        <w:t xml:space="preserve">die Gesamtbewegung des Fußes nicht nur aufgrund bestimmter Straßenbedingungen oder einer spontanen Eingebung des </w:t>
      </w:r>
      <w:r w:rsidR="0085753F">
        <w:t xml:space="preserve">SN </w:t>
      </w:r>
      <w:r>
        <w:t>mit den festgestellten Eigenschaften auftritt, sondern dass das Vorha</w:t>
      </w:r>
      <w:r>
        <w:t>n</w:t>
      </w:r>
      <w:r>
        <w:t>densein dieser Eigenschaften ein stilistisches Merkmal d</w:t>
      </w:r>
      <w:r w:rsidR="006679B4">
        <w:t>arstellt, das auf eine Merkmalsregel hinweist.</w:t>
      </w:r>
    </w:p>
    <w:p w:rsidR="00D2554C" w:rsidRPr="00BE2C53" w:rsidRDefault="00BE2C53" w:rsidP="0026433C">
      <w:pPr>
        <w:pStyle w:val="Zwischenberschrift"/>
      </w:pPr>
      <w:r w:rsidRPr="00BE2C53">
        <w:t>I</w:t>
      </w:r>
      <w:r w:rsidR="0026433C">
        <w:t>nterpretation</w:t>
      </w:r>
    </w:p>
    <w:p w:rsidR="00BE2C53" w:rsidRDefault="00BE2C53" w:rsidP="0026433C">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rPr>
        <w:t>B</w:t>
      </w:r>
      <w:r>
        <w:rPr>
          <w:iCs/>
          <w:vertAlign w:val="subscript"/>
        </w:rPr>
        <w:t>11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EE63C8">
        <w:rPr>
          <w:vertAlign w:val="subscript"/>
        </w:rPr>
        <w:t>Edr</w:t>
      </w:r>
      <w:r>
        <w:t xml:space="preserve"> </w:t>
      </w:r>
      <w:r w:rsidR="00EE63C8">
        <w:t xml:space="preserve"> </w:t>
      </w:r>
      <w:r>
        <w:rPr>
          <w:i/>
          <w:iCs/>
        </w:rPr>
        <w:t>Er</w:t>
      </w:r>
      <w:r>
        <w:rPr>
          <w:vertAlign w:val="subscript"/>
        </w:rPr>
        <w:t>1</w:t>
      </w:r>
    </w:p>
    <w:p w:rsidR="00BE2C53" w:rsidRDefault="00544D89" w:rsidP="0026433C">
      <w:pPr>
        <w:pStyle w:val="InterpretationletzteZeile"/>
      </w:pPr>
      <w:r>
        <w:rPr>
          <w:i/>
        </w:rPr>
        <w:t>Er</w:t>
      </w:r>
      <w:r>
        <w:rPr>
          <w:vertAlign w:val="subscript"/>
        </w:rPr>
        <w:t>1</w:t>
      </w:r>
      <w:r w:rsidR="000C41E1">
        <w:t xml:space="preserve"> (e):</w:t>
      </w:r>
      <w:r>
        <w:t xml:space="preserve"> ‚schleppend‘</w:t>
      </w:r>
    </w:p>
    <w:p w:rsidR="000C050F" w:rsidRDefault="008A07B2" w:rsidP="0026433C">
      <w:pPr>
        <w:pStyle w:val="Text"/>
        <w:ind w:firstLine="0"/>
      </w:pPr>
      <w:r>
        <w:t>A</w:t>
      </w:r>
      <w:r w:rsidR="000C050F">
        <w:t xml:space="preserve">uch durch Hinzuziehung von Hintergrundwissen </w:t>
      </w:r>
      <w:r>
        <w:t xml:space="preserve">können </w:t>
      </w:r>
      <w:r w:rsidR="000C050F">
        <w:t>Ergebnis</w:t>
      </w:r>
      <w:r>
        <w:t>se</w:t>
      </w:r>
      <w:r w:rsidR="000C050F">
        <w:t xml:space="preserve"> gewo</w:t>
      </w:r>
      <w:r w:rsidR="000C050F">
        <w:t>n</w:t>
      </w:r>
      <w:r w:rsidR="000C050F">
        <w:t>nen werden</w:t>
      </w:r>
      <w:r>
        <w:t>. Dies kann etwa folgendermaßen ablaufen:</w:t>
      </w:r>
    </w:p>
    <w:p w:rsidR="00544D89" w:rsidRDefault="00544D89" w:rsidP="0026433C">
      <w:pPr>
        <w:pStyle w:val="Interpretation1Zeile"/>
      </w:pPr>
      <w:r>
        <w:rPr>
          <w:i/>
        </w:rPr>
        <w:t>H</w:t>
      </w:r>
      <w:r>
        <w:rPr>
          <w:vertAlign w:val="subscript"/>
        </w:rPr>
        <w:t>1</w:t>
      </w:r>
      <w:r w:rsidR="00516047">
        <w:t xml:space="preserve"> [zum Schema]</w:t>
      </w:r>
      <w:r>
        <w:t xml:space="preserve">: ‚Ein Gang, bei dem die Beine </w:t>
      </w:r>
      <w:r w:rsidR="003D380D">
        <w:t xml:space="preserve">in Relation zur Schrittlänge </w:t>
      </w:r>
      <w:r>
        <w:t>wenig gehoben werden, der Körper hin- und herwackelt und der Kopf bei jedem Schritt etwas nickt, wird als entenähnlich empfunden und daher als „Watsche</w:t>
      </w:r>
      <w:r>
        <w:t>l</w:t>
      </w:r>
      <w:r>
        <w:t>gang“ bezeichnet‘</w:t>
      </w:r>
    </w:p>
    <w:p w:rsidR="00544D89" w:rsidRDefault="00544D89" w:rsidP="0026433C">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12</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14</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rPr>
        <w:t>H</w:t>
      </w:r>
      <w:r>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EE63C8">
        <w:rPr>
          <w:vertAlign w:val="subscript"/>
        </w:rPr>
        <w:t>Ded</w:t>
      </w:r>
      <w:r>
        <w:t xml:space="preserve"> </w:t>
      </w:r>
      <w:r w:rsidR="00EE63C8">
        <w:t xml:space="preserve"> </w:t>
      </w:r>
      <w:r>
        <w:rPr>
          <w:i/>
          <w:iCs/>
        </w:rPr>
        <w:t>Er</w:t>
      </w:r>
      <w:r w:rsidR="005073A0">
        <w:rPr>
          <w:vertAlign w:val="subscript"/>
        </w:rPr>
        <w:t>2</w:t>
      </w:r>
    </w:p>
    <w:p w:rsidR="00544D89" w:rsidRDefault="005073A0" w:rsidP="00B4304B">
      <w:pPr>
        <w:pStyle w:val="Interpretation"/>
      </w:pPr>
      <w:r>
        <w:rPr>
          <w:i/>
        </w:rPr>
        <w:lastRenderedPageBreak/>
        <w:t>Er</w:t>
      </w:r>
      <w:r>
        <w:rPr>
          <w:vertAlign w:val="subscript"/>
        </w:rPr>
        <w:t>2</w:t>
      </w:r>
      <w:r>
        <w:t xml:space="preserve"> ‚</w:t>
      </w:r>
      <w:r w:rsidR="003B7668">
        <w:t>Der Gang ist ein „</w:t>
      </w:r>
      <w:r>
        <w:t>Watschelgang</w:t>
      </w:r>
      <w:r w:rsidR="0043455C">
        <w:t>“</w:t>
      </w:r>
      <w:r w:rsidR="00477F13">
        <w:t>‘</w:t>
      </w:r>
    </w:p>
    <w:p w:rsidR="000C050F" w:rsidRDefault="000C050F" w:rsidP="0026433C">
      <w:pPr>
        <w:pStyle w:val="Formel"/>
      </w:pPr>
      <w:r>
        <w:rPr>
          <w:i/>
          <w:iCs/>
        </w:rPr>
        <w:t>B</w:t>
      </w:r>
      <w:r>
        <w:rPr>
          <w:iCs/>
          <w:vertAlign w:val="subscript"/>
        </w:rPr>
        <w:t>7</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2</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EE63C8">
        <w:rPr>
          <w:vertAlign w:val="subscript"/>
        </w:rPr>
        <w:t>Edr</w:t>
      </w:r>
      <w:r>
        <w:t xml:space="preserve"> </w:t>
      </w:r>
      <w:r w:rsidR="00EE63C8">
        <w:t xml:space="preserve"> </w:t>
      </w:r>
      <w:r>
        <w:rPr>
          <w:i/>
          <w:iCs/>
        </w:rPr>
        <w:t>Er</w:t>
      </w:r>
      <w:r>
        <w:rPr>
          <w:vertAlign w:val="subscript"/>
        </w:rPr>
        <w:t>3</w:t>
      </w:r>
    </w:p>
    <w:p w:rsidR="005073A0" w:rsidRDefault="000C050F" w:rsidP="00B4304B">
      <w:pPr>
        <w:pStyle w:val="Interpretation"/>
      </w:pPr>
      <w:r>
        <w:rPr>
          <w:i/>
        </w:rPr>
        <w:t>Er</w:t>
      </w:r>
      <w:r>
        <w:rPr>
          <w:vertAlign w:val="subscript"/>
        </w:rPr>
        <w:t>3</w:t>
      </w:r>
      <w:r w:rsidR="000C41E1">
        <w:t xml:space="preserve"> (e):</w:t>
      </w:r>
      <w:r>
        <w:t xml:space="preserve"> ‚verhuscht‘</w:t>
      </w:r>
    </w:p>
    <w:p w:rsidR="006F1A89" w:rsidRDefault="006F1A89" w:rsidP="00B4304B">
      <w:pPr>
        <w:pStyle w:val="Interpretation"/>
      </w:pPr>
      <w:r>
        <w:rPr>
          <w:i/>
        </w:rPr>
        <w:t>H</w:t>
      </w:r>
      <w:r>
        <w:rPr>
          <w:vertAlign w:val="subscript"/>
        </w:rPr>
        <w:t>2</w:t>
      </w:r>
      <w:r w:rsidR="00516047">
        <w:t xml:space="preserve"> [zum Schema]</w:t>
      </w:r>
      <w:r w:rsidR="004734A9">
        <w:t>: ‚Ein schwerfälliger, verhuschter, „watschelnder“ Gang wirkt wenig selbstbewusst und kann soziale Nachteile verursachen‘</w:t>
      </w:r>
    </w:p>
    <w:p w:rsidR="006F1A89" w:rsidRDefault="006F1A89" w:rsidP="0026433C">
      <w:pPr>
        <w:pStyle w:val="Formel"/>
      </w:pPr>
      <w:r>
        <w:rPr>
          <w:i/>
          <w:iCs/>
        </w:rPr>
        <w:t>Er</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 xml:space="preserve">2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3</w:t>
      </w:r>
      <w:r w:rsidRPr="009F112E">
        <w:rPr>
          <w:rFonts w:eastAsia="Arial Unicode M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1</w:t>
      </w:r>
      <w:r w:rsidR="00E06E68" w:rsidRPr="00E06E68">
        <w:rPr>
          <w:rFonts w:eastAsia="Arial Unicode MS" w:cs="Arial Unicode MS"/>
          <w:color w:val="000000" w:themeColor="text1"/>
        </w:rPr>
        <w:t xml:space="preserve"> </w:t>
      </w:r>
      <w:r w:rsidR="002434D2">
        <w:rPr>
          <w:rFonts w:ascii="Cambria Math" w:eastAsia="Arial Unicode MS" w:hAnsi="Cambria Math" w:cs="Cambria Math"/>
          <w:color w:val="000000" w:themeColor="text1"/>
        </w:rPr>
        <w:t>⤳</w:t>
      </w:r>
      <w:r w:rsidR="00EE63C8">
        <w:rPr>
          <w:vertAlign w:val="subscript"/>
        </w:rPr>
        <w:t>Gfr</w:t>
      </w:r>
      <w:r>
        <w:t xml:space="preserve"> </w:t>
      </w:r>
      <w:r w:rsidR="00EE63C8">
        <w:t xml:space="preserve"> </w:t>
      </w:r>
      <w:r>
        <w:rPr>
          <w:i/>
          <w:iCs/>
        </w:rPr>
        <w:t>Er</w:t>
      </w:r>
      <w:r>
        <w:rPr>
          <w:vertAlign w:val="subscript"/>
        </w:rPr>
        <w:t>4</w:t>
      </w:r>
    </w:p>
    <w:p w:rsidR="006F1A89" w:rsidRDefault="006F1A89" w:rsidP="00B4304B">
      <w:pPr>
        <w:pStyle w:val="Interpretation"/>
      </w:pPr>
      <w:r>
        <w:rPr>
          <w:i/>
        </w:rPr>
        <w:t>Er</w:t>
      </w:r>
      <w:r>
        <w:rPr>
          <w:vertAlign w:val="subscript"/>
        </w:rPr>
        <w:t>4</w:t>
      </w:r>
      <w:r w:rsidR="00CD68CC">
        <w:t xml:space="preserve"> (g):</w:t>
      </w:r>
      <w:r>
        <w:t xml:space="preserve"> ‚Mitleid</w:t>
      </w:r>
      <w:r w:rsidR="004734A9">
        <w:t xml:space="preserve"> </w:t>
      </w:r>
      <w:r w:rsidR="00723BFD">
        <w:t>(</w:t>
      </w:r>
      <w:r w:rsidR="004734A9">
        <w:t>mit dem S</w:t>
      </w:r>
      <w:r w:rsidR="005A2878">
        <w:t>N</w:t>
      </w:r>
      <w:r w:rsidR="00723BFD">
        <w:t>)</w:t>
      </w:r>
      <w:r w:rsidR="00CD68CC">
        <w:t>‘</w:t>
      </w:r>
    </w:p>
    <w:p w:rsidR="003D380D" w:rsidRDefault="003D380D" w:rsidP="0026433C">
      <w:pPr>
        <w:pStyle w:val="Formel"/>
      </w:pPr>
      <w:r>
        <w:rPr>
          <w:i/>
          <w:iCs/>
        </w:rPr>
        <w:t>B</w:t>
      </w:r>
      <w:r>
        <w:rPr>
          <w:iCs/>
          <w:vertAlign w:val="subscript"/>
        </w:rPr>
        <w:t>8</w:t>
      </w:r>
      <w:r>
        <w:t xml:space="preserve"> </w:t>
      </w:r>
      <w:r w:rsidR="002434D2">
        <w:rPr>
          <w:rFonts w:ascii="Cambria Math" w:eastAsia="Arial Unicode MS" w:hAnsi="Cambria Math" w:cs="Cambria Math"/>
          <w:color w:val="000000" w:themeColor="text1"/>
        </w:rPr>
        <w:t>⤳</w:t>
      </w:r>
      <w:r w:rsidR="00EE63C8">
        <w:rPr>
          <w:vertAlign w:val="subscript"/>
        </w:rPr>
        <w:t>Edr</w:t>
      </w:r>
      <w:r>
        <w:t xml:space="preserve"> </w:t>
      </w:r>
      <w:r w:rsidR="00EE63C8">
        <w:t xml:space="preserve"> </w:t>
      </w:r>
      <w:r>
        <w:rPr>
          <w:i/>
          <w:iCs/>
        </w:rPr>
        <w:t>Er</w:t>
      </w:r>
      <w:r>
        <w:rPr>
          <w:vertAlign w:val="subscript"/>
        </w:rPr>
        <w:t>5</w:t>
      </w:r>
    </w:p>
    <w:p w:rsidR="003B7668" w:rsidRDefault="003D380D" w:rsidP="00B4304B">
      <w:pPr>
        <w:pStyle w:val="Interpretation"/>
      </w:pPr>
      <w:r>
        <w:rPr>
          <w:i/>
        </w:rPr>
        <w:t>Er</w:t>
      </w:r>
      <w:r>
        <w:rPr>
          <w:vertAlign w:val="subscript"/>
        </w:rPr>
        <w:t>5</w:t>
      </w:r>
      <w:r w:rsidR="00477F13">
        <w:t xml:space="preserve"> (e):</w:t>
      </w:r>
      <w:r>
        <w:t xml:space="preserve"> ‚Der </w:t>
      </w:r>
      <w:r w:rsidR="0085753F">
        <w:t xml:space="preserve">SN </w:t>
      </w:r>
      <w:r w:rsidR="00C838C3">
        <w:t>kann seine Bewegungen beim Aufsetzen des Fußes nicht vol</w:t>
      </w:r>
      <w:r w:rsidR="00C838C3">
        <w:t>l</w:t>
      </w:r>
      <w:r w:rsidR="00C838C3">
        <w:t>ständig kontrollieren‘</w:t>
      </w:r>
    </w:p>
    <w:p w:rsidR="00C838C3" w:rsidRDefault="00C838C3" w:rsidP="0026433C">
      <w:pPr>
        <w:pStyle w:val="Formel"/>
      </w:pPr>
      <w:r>
        <w:rPr>
          <w:i/>
          <w:iCs/>
        </w:rPr>
        <w:t>Er</w:t>
      </w:r>
      <w:r>
        <w:rPr>
          <w:iCs/>
          <w:vertAlign w:val="subscript"/>
        </w:rPr>
        <w:t>5</w:t>
      </w:r>
      <w:r>
        <w:t xml:space="preserve"> </w:t>
      </w:r>
      <w:r w:rsidR="002434D2">
        <w:rPr>
          <w:rFonts w:ascii="Cambria Math" w:eastAsia="Arial Unicode MS" w:hAnsi="Cambria Math" w:cs="Cambria Math"/>
          <w:color w:val="000000" w:themeColor="text1"/>
        </w:rPr>
        <w:t>⤳</w:t>
      </w:r>
      <w:r w:rsidR="00EE63C8">
        <w:rPr>
          <w:vertAlign w:val="subscript"/>
        </w:rPr>
        <w:t>Ind</w:t>
      </w:r>
      <w:r>
        <w:t xml:space="preserve"> </w:t>
      </w:r>
      <w:r w:rsidR="00EE63C8">
        <w:t xml:space="preserve"> </w:t>
      </w:r>
      <w:r>
        <w:rPr>
          <w:i/>
          <w:iCs/>
        </w:rPr>
        <w:t>Er</w:t>
      </w:r>
      <w:r>
        <w:rPr>
          <w:vertAlign w:val="subscript"/>
        </w:rPr>
        <w:t>6</w:t>
      </w:r>
    </w:p>
    <w:p w:rsidR="00C838C3" w:rsidRDefault="00C838C3" w:rsidP="00B4304B">
      <w:pPr>
        <w:pStyle w:val="Interpretation"/>
      </w:pPr>
      <w:r>
        <w:rPr>
          <w:i/>
        </w:rPr>
        <w:t>Er</w:t>
      </w:r>
      <w:r>
        <w:rPr>
          <w:vertAlign w:val="subscript"/>
        </w:rPr>
        <w:t>6</w:t>
      </w:r>
      <w:r>
        <w:t xml:space="preserve">: ‚Der </w:t>
      </w:r>
      <w:r w:rsidR="0085753F">
        <w:t xml:space="preserve">SN </w:t>
      </w:r>
      <w:r>
        <w:t>kann seine Körperbewegungen nicht vollständig kontrollieren‘</w:t>
      </w:r>
    </w:p>
    <w:p w:rsidR="00320D38" w:rsidRDefault="00320D38" w:rsidP="00B4304B">
      <w:pPr>
        <w:pStyle w:val="Interpretation"/>
        <w:rPr>
          <w:i/>
        </w:rPr>
      </w:pPr>
      <w:r>
        <w:rPr>
          <w:i/>
        </w:rPr>
        <w:t>H</w:t>
      </w:r>
      <w:r>
        <w:rPr>
          <w:vertAlign w:val="subscript"/>
        </w:rPr>
        <w:t>3</w:t>
      </w:r>
      <w:r w:rsidR="00516047">
        <w:t xml:space="preserve"> [zum Schema]:</w:t>
      </w:r>
      <w:r>
        <w:t xml:space="preserve"> ‚Eine Verletzung an Fuß, Bein oder Hüfte führt meist dazu, dass die Bewegung der Beine nicht mehr übereinstimmt (Humpeln)‘</w:t>
      </w:r>
    </w:p>
    <w:p w:rsidR="00477F13" w:rsidRDefault="00477F13" w:rsidP="0026433C">
      <w:pPr>
        <w:pStyle w:val="Formel"/>
      </w:pPr>
      <w:r>
        <w:rPr>
          <w:i/>
          <w:iCs/>
        </w:rPr>
        <w:t>B</w:t>
      </w:r>
      <w:r>
        <w:rPr>
          <w:iCs/>
          <w:vertAlign w:val="subscript"/>
        </w:rPr>
        <w:t>9</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 xml:space="preserve">3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 xml:space="preserve">6 </w:t>
      </w:r>
      <w:r w:rsidR="002434D2">
        <w:rPr>
          <w:rFonts w:ascii="Cambria Math" w:eastAsia="Arial Unicode MS" w:hAnsi="Cambria Math" w:cs="Cambria Math"/>
          <w:color w:val="000000" w:themeColor="text1"/>
        </w:rPr>
        <w:t>⤳</w:t>
      </w:r>
      <w:r>
        <w:rPr>
          <w:vertAlign w:val="subscript"/>
        </w:rPr>
        <w:t>Ded</w:t>
      </w:r>
      <w:r>
        <w:t xml:space="preserve">  </w:t>
      </w:r>
      <w:r>
        <w:rPr>
          <w:i/>
          <w:iCs/>
        </w:rPr>
        <w:t>Er</w:t>
      </w:r>
      <w:r>
        <w:rPr>
          <w:vertAlign w:val="subscript"/>
        </w:rPr>
        <w:t>7</w:t>
      </w:r>
    </w:p>
    <w:p w:rsidR="00320D38" w:rsidRPr="00320D38" w:rsidRDefault="00320D38" w:rsidP="00B4304B">
      <w:pPr>
        <w:pStyle w:val="Interpretation"/>
      </w:pPr>
      <w:r>
        <w:rPr>
          <w:i/>
        </w:rPr>
        <w:t>Er</w:t>
      </w:r>
      <w:r w:rsidR="00C52F85">
        <w:rPr>
          <w:vertAlign w:val="subscript"/>
        </w:rPr>
        <w:t>7</w:t>
      </w:r>
      <w:r>
        <w:t>: ‚Es liegt vermutlich keine Verletzung an Fuß, Bein oder Hüfte vor‘</w:t>
      </w:r>
    </w:p>
    <w:p w:rsidR="00C838C3" w:rsidRDefault="00C838C3" w:rsidP="00B4304B">
      <w:pPr>
        <w:pStyle w:val="Interpretation"/>
      </w:pPr>
      <w:r>
        <w:rPr>
          <w:i/>
        </w:rPr>
        <w:t>H</w:t>
      </w:r>
      <w:r w:rsidR="00320D38">
        <w:rPr>
          <w:vertAlign w:val="subscript"/>
        </w:rPr>
        <w:t>4</w:t>
      </w:r>
      <w:r>
        <w:t>: ‚Es gibt Krankheiten und Behinderungen, die zu einer Beeinträchtigung der Kontrolle der Körperbewegung führen‘</w:t>
      </w:r>
    </w:p>
    <w:p w:rsidR="00C838C3" w:rsidRDefault="00C52F85" w:rsidP="0026433C">
      <w:pPr>
        <w:pStyle w:val="Formel"/>
      </w:pPr>
      <w:r>
        <w:rPr>
          <w:i/>
          <w:iCs/>
        </w:rPr>
        <w:t>B</w:t>
      </w:r>
      <w:r>
        <w:rPr>
          <w:iCs/>
          <w:vertAlign w:val="subscript"/>
        </w:rPr>
        <w:t>5</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11</w:t>
      </w:r>
      <w:r>
        <w:t xml:space="preserve"> </w:t>
      </w:r>
      <w:r>
        <w:rPr>
          <w:rFonts w:ascii="Cambria Math" w:hAnsi="Cambria Math" w:cs="Cambria Math"/>
          <w:color w:val="000000" w:themeColor="text1"/>
        </w:rPr>
        <w:t>∧</w:t>
      </w:r>
      <w:r>
        <w:rPr>
          <w:rFonts w:cs="Times New Roman"/>
          <w:color w:val="000000" w:themeColor="text1"/>
        </w:rPr>
        <w:t xml:space="preserve"> </w:t>
      </w:r>
      <w:r w:rsidR="00C838C3">
        <w:rPr>
          <w:i/>
          <w:iCs/>
        </w:rPr>
        <w:t>H</w:t>
      </w:r>
      <w:r>
        <w:rPr>
          <w:iCs/>
          <w:vertAlign w:val="subscript"/>
        </w:rPr>
        <w:t>4</w:t>
      </w:r>
      <w:r w:rsidR="00C838C3">
        <w:t xml:space="preserve"> </w:t>
      </w:r>
      <w:r w:rsidR="00C838C3">
        <w:rPr>
          <w:rFonts w:ascii="Cambria Math" w:hAnsi="Cambria Math" w:cs="Cambria Math"/>
          <w:color w:val="000000" w:themeColor="text1"/>
        </w:rPr>
        <w:t>∧</w:t>
      </w:r>
      <w:r w:rsidR="00C838C3">
        <w:rPr>
          <w:rFonts w:cs="Times New Roman"/>
          <w:color w:val="000000" w:themeColor="text1"/>
        </w:rPr>
        <w:t xml:space="preserve"> </w:t>
      </w:r>
      <w:r w:rsidR="00C838C3">
        <w:rPr>
          <w:i/>
          <w:iCs/>
        </w:rPr>
        <w:t>Er</w:t>
      </w:r>
      <w:r>
        <w:rPr>
          <w:iCs/>
          <w:vertAlign w:val="subscript"/>
        </w:rPr>
        <w:t>2</w:t>
      </w:r>
      <w:r w:rsidR="00C838C3">
        <w:rPr>
          <w:iCs/>
          <w:vertAlign w:val="subscript"/>
        </w:rP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 xml:space="preserve">6 </w:t>
      </w:r>
      <w:r>
        <w:rPr>
          <w:rFonts w:ascii="Cambria Math" w:hAnsi="Cambria Math" w:cs="Cambria Math"/>
          <w:color w:val="000000" w:themeColor="text1"/>
        </w:rPr>
        <w:t>∧</w:t>
      </w:r>
      <w:r>
        <w:rPr>
          <w:rFonts w:cs="Times New Roman"/>
          <w:color w:val="000000" w:themeColor="text1"/>
        </w:rPr>
        <w:t xml:space="preserve"> </w:t>
      </w:r>
      <w:r>
        <w:rPr>
          <w:i/>
          <w:iCs/>
        </w:rPr>
        <w:t>Er</w:t>
      </w:r>
      <w:r>
        <w:rPr>
          <w:iCs/>
          <w:vertAlign w:val="subscript"/>
        </w:rPr>
        <w:t xml:space="preserve">7 </w:t>
      </w:r>
      <w:r w:rsidR="002434D2">
        <w:rPr>
          <w:rFonts w:ascii="Cambria Math" w:eastAsia="Arial Unicode MS" w:hAnsi="Cambria Math" w:cs="Cambria Math"/>
          <w:color w:val="000000" w:themeColor="text1"/>
        </w:rPr>
        <w:t>⤳</w:t>
      </w:r>
      <w:r w:rsidR="00477F13">
        <w:rPr>
          <w:vertAlign w:val="subscript"/>
        </w:rPr>
        <w:t>Ab</w:t>
      </w:r>
      <w:r w:rsidR="00F676B4">
        <w:rPr>
          <w:vertAlign w:val="subscript"/>
        </w:rPr>
        <w:t>d</w:t>
      </w:r>
      <w:r w:rsidR="00C838C3">
        <w:t xml:space="preserve"> </w:t>
      </w:r>
      <w:r w:rsidR="00F676B4">
        <w:t xml:space="preserve"> </w:t>
      </w:r>
      <w:r w:rsidR="00C838C3">
        <w:rPr>
          <w:i/>
          <w:iCs/>
        </w:rPr>
        <w:t>Er</w:t>
      </w:r>
      <w:r>
        <w:rPr>
          <w:vertAlign w:val="subscript"/>
        </w:rPr>
        <w:t>8</w:t>
      </w:r>
    </w:p>
    <w:p w:rsidR="00C838C3" w:rsidRDefault="00C838C3" w:rsidP="00B4304B">
      <w:pPr>
        <w:pStyle w:val="Interpretation"/>
      </w:pPr>
      <w:r>
        <w:rPr>
          <w:i/>
        </w:rPr>
        <w:t>Er</w:t>
      </w:r>
      <w:r w:rsidR="00C52F85">
        <w:rPr>
          <w:vertAlign w:val="subscript"/>
        </w:rPr>
        <w:t>8</w:t>
      </w:r>
      <w:r>
        <w:t>: ‚</w:t>
      </w:r>
      <w:r w:rsidR="00C52F85">
        <w:t xml:space="preserve">Die Schwerfälligkeit und der „Watschelgang“ könnten auf eine </w:t>
      </w:r>
      <w:r>
        <w:t xml:space="preserve">Krankheit </w:t>
      </w:r>
      <w:r w:rsidR="00C52F85">
        <w:t>oder Behinderung zurückzuführen sein‘</w:t>
      </w:r>
    </w:p>
    <w:p w:rsidR="00C838C3" w:rsidRDefault="00C838C3" w:rsidP="00B4304B">
      <w:pPr>
        <w:pStyle w:val="Interpretation"/>
      </w:pPr>
      <w:r>
        <w:rPr>
          <w:i/>
        </w:rPr>
        <w:t>H</w:t>
      </w:r>
      <w:r w:rsidR="00C52F85">
        <w:rPr>
          <w:vertAlign w:val="subscript"/>
        </w:rPr>
        <w:t>5</w:t>
      </w:r>
      <w:r>
        <w:t xml:space="preserve">: ‚Menschen mit </w:t>
      </w:r>
      <w:r w:rsidR="006A50CA">
        <w:t xml:space="preserve">[Krankheit </w:t>
      </w:r>
      <w:r w:rsidR="006A50CA" w:rsidRPr="006A50CA">
        <w:rPr>
          <w:i/>
        </w:rPr>
        <w:t>x</w:t>
      </w:r>
      <w:r w:rsidR="006A50CA">
        <w:t>]</w:t>
      </w:r>
      <w:r w:rsidR="006A50CA">
        <w:rPr>
          <w:rStyle w:val="Funotenzeichen"/>
        </w:rPr>
        <w:footnoteReference w:id="492"/>
      </w:r>
      <w:r w:rsidR="006A50CA">
        <w:t xml:space="preserve"> </w:t>
      </w:r>
      <w:r w:rsidR="00247E4B">
        <w:t>bewegen sich oft auf [Erinnerung an eine bestimmte prototypisch gespeicherte Gehbewegung]‘</w:t>
      </w:r>
    </w:p>
    <w:p w:rsidR="00247E4B" w:rsidRDefault="00247E4B" w:rsidP="0026433C">
      <w:pPr>
        <w:pStyle w:val="Formel"/>
      </w:pPr>
      <w:r>
        <w:rPr>
          <w:i/>
          <w:iCs/>
        </w:rPr>
        <w:t>Er</w:t>
      </w:r>
      <w:r>
        <w:rPr>
          <w:iCs/>
          <w:vertAlign w:val="subscript"/>
        </w:rPr>
        <w:t>8</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 xml:space="preserve">5 </w:t>
      </w:r>
      <w:r w:rsidR="002434D2">
        <w:rPr>
          <w:rFonts w:ascii="Cambria Math" w:eastAsia="Arial Unicode MS" w:hAnsi="Cambria Math" w:cs="Cambria Math"/>
          <w:color w:val="000000" w:themeColor="text1"/>
        </w:rPr>
        <w:t>⤳</w:t>
      </w:r>
      <w:r w:rsidR="00D13BCD">
        <w:rPr>
          <w:vertAlign w:val="subscript"/>
        </w:rPr>
        <w:t>Ded</w:t>
      </w:r>
      <w:r>
        <w:t xml:space="preserve"> </w:t>
      </w:r>
      <w:r w:rsidR="00F676B4">
        <w:t xml:space="preserve"> </w:t>
      </w:r>
      <w:r>
        <w:rPr>
          <w:i/>
          <w:iCs/>
        </w:rPr>
        <w:t>Er</w:t>
      </w:r>
      <w:r w:rsidR="008A4DE0">
        <w:rPr>
          <w:vertAlign w:val="subscript"/>
        </w:rPr>
        <w:t>9</w:t>
      </w:r>
    </w:p>
    <w:p w:rsidR="00247E4B" w:rsidRDefault="00247E4B" w:rsidP="00B4304B">
      <w:pPr>
        <w:pStyle w:val="InterpretationletzteZeile"/>
      </w:pPr>
      <w:r>
        <w:rPr>
          <w:i/>
        </w:rPr>
        <w:t>Er</w:t>
      </w:r>
      <w:r>
        <w:rPr>
          <w:vertAlign w:val="subscript"/>
        </w:rPr>
        <w:t>9</w:t>
      </w:r>
      <w:r w:rsidR="00477F13">
        <w:t>:</w:t>
      </w:r>
      <w:r>
        <w:t xml:space="preserve"> ‚Möglicherweise leidet der </w:t>
      </w:r>
      <w:r w:rsidR="006C1B4A">
        <w:t xml:space="preserve">SN </w:t>
      </w:r>
      <w:r>
        <w:t xml:space="preserve">an </w:t>
      </w:r>
      <w:r w:rsidR="004D1667">
        <w:t xml:space="preserve">[Krankheit </w:t>
      </w:r>
      <w:r w:rsidR="004D1667" w:rsidRPr="006A50CA">
        <w:rPr>
          <w:i/>
        </w:rPr>
        <w:t>x</w:t>
      </w:r>
      <w:r w:rsidR="004D1667">
        <w:t>]</w:t>
      </w:r>
      <w:r>
        <w:t>‘</w:t>
      </w:r>
    </w:p>
    <w:p w:rsidR="006D75B4" w:rsidRDefault="00DD3B36" w:rsidP="00B4304B">
      <w:pPr>
        <w:pStyle w:val="Text"/>
        <w:ind w:firstLine="0"/>
      </w:pPr>
      <w:r>
        <w:t xml:space="preserve">Hier wird </w:t>
      </w:r>
      <w:r w:rsidR="00AC6E73">
        <w:t>beispielhaft</w:t>
      </w:r>
      <w:r>
        <w:t xml:space="preserve"> deutlich, wie die </w:t>
      </w:r>
      <w:r w:rsidR="004875C4">
        <w:t>Suche nach relevantem Hintergrundwi</w:t>
      </w:r>
      <w:r w:rsidR="004875C4">
        <w:t>s</w:t>
      </w:r>
      <w:r w:rsidR="004875C4">
        <w:t>sen durch die erzeugten Ergebnisse der Interpretation bestimmt</w:t>
      </w:r>
      <w:r w:rsidR="00FC7CCD">
        <w:t xml:space="preserve"> wird</w:t>
      </w:r>
      <w:r w:rsidR="008A4DE0">
        <w:t>:</w:t>
      </w:r>
      <w:r w:rsidR="00FC7CCD">
        <w:rPr>
          <w:rStyle w:val="Funotenzeichen"/>
        </w:rPr>
        <w:footnoteReference w:id="493"/>
      </w:r>
      <w:r w:rsidR="004875C4">
        <w:t xml:space="preserve"> </w:t>
      </w:r>
      <w:r w:rsidR="008A4DE0">
        <w:t xml:space="preserve">Die </w:t>
      </w:r>
      <w:r w:rsidR="008A4DE0">
        <w:lastRenderedPageBreak/>
        <w:t xml:space="preserve">spezifische, bildlich gespeicherte Erinnerung </w:t>
      </w:r>
      <w:r w:rsidR="006679B4">
        <w:rPr>
          <w:i/>
          <w:iCs/>
        </w:rPr>
        <w:t>H</w:t>
      </w:r>
      <w:r w:rsidR="006679B4">
        <w:rPr>
          <w:vertAlign w:val="subscript"/>
        </w:rPr>
        <w:t>5</w:t>
      </w:r>
      <w:r w:rsidR="006679B4">
        <w:t xml:space="preserve"> </w:t>
      </w:r>
      <w:r w:rsidR="008A4DE0">
        <w:t xml:space="preserve">wird durch die in </w:t>
      </w:r>
      <w:r w:rsidR="008A4DE0">
        <w:rPr>
          <w:i/>
          <w:iCs/>
        </w:rPr>
        <w:t>Er</w:t>
      </w:r>
      <w:r w:rsidR="008A4DE0">
        <w:rPr>
          <w:vertAlign w:val="subscript"/>
        </w:rPr>
        <w:t>8</w:t>
      </w:r>
      <w:r w:rsidR="008A4DE0">
        <w:t xml:space="preserve"> gewonn</w:t>
      </w:r>
      <w:r w:rsidR="008A4DE0">
        <w:t>e</w:t>
      </w:r>
      <w:r w:rsidR="008A4DE0">
        <w:t xml:space="preserve">ne Hypothese einer Krankheit als relevantes Hintergrundwissen aufgerufen und </w:t>
      </w:r>
      <w:r w:rsidR="00E97262">
        <w:t xml:space="preserve">erzeugt dann durch Vergleich </w:t>
      </w:r>
      <w:r w:rsidR="008A4DE0">
        <w:t xml:space="preserve">mit </w:t>
      </w:r>
      <w:r w:rsidR="00E97262">
        <w:t xml:space="preserve">den in </w:t>
      </w:r>
      <w:r w:rsidR="008A4DE0">
        <w:rPr>
          <w:i/>
          <w:iCs/>
        </w:rPr>
        <w:t>Er</w:t>
      </w:r>
      <w:r w:rsidR="008A4DE0">
        <w:rPr>
          <w:vertAlign w:val="subscript"/>
        </w:rPr>
        <w:t>8</w:t>
      </w:r>
      <w:r w:rsidR="008A4DE0">
        <w:t xml:space="preserve"> </w:t>
      </w:r>
      <w:r w:rsidR="00E97262">
        <w:t>genannten Kennzeichen das Erge</w:t>
      </w:r>
      <w:r w:rsidR="00E97262">
        <w:t>b</w:t>
      </w:r>
      <w:r w:rsidR="00E97262">
        <w:t xml:space="preserve">nis </w:t>
      </w:r>
      <w:r w:rsidR="00E97262">
        <w:rPr>
          <w:i/>
          <w:iCs/>
        </w:rPr>
        <w:t>Er</w:t>
      </w:r>
      <w:r w:rsidR="00E97262">
        <w:rPr>
          <w:vertAlign w:val="subscript"/>
        </w:rPr>
        <w:t>9</w:t>
      </w:r>
      <w:r w:rsidR="008A4DE0">
        <w:t>.</w:t>
      </w:r>
    </w:p>
    <w:p w:rsidR="00106975" w:rsidRDefault="00695498" w:rsidP="00106975">
      <w:pPr>
        <w:pStyle w:val="Titel3"/>
      </w:pPr>
      <w:bookmarkStart w:id="384" w:name="_Ref254550232"/>
      <w:bookmarkStart w:id="385" w:name="_Ref261797270"/>
      <w:bookmarkStart w:id="386" w:name="_Toc325456794"/>
      <w:bookmarkStart w:id="387" w:name="Bildstil2"/>
      <w:bookmarkEnd w:id="383"/>
      <w:r>
        <w:t>Ein ägyptischer Bildsti</w:t>
      </w:r>
      <w:bookmarkEnd w:id="384"/>
      <w:r w:rsidR="001C7DD1">
        <w:t>l</w:t>
      </w:r>
      <w:bookmarkEnd w:id="385"/>
      <w:bookmarkEnd w:id="386"/>
    </w:p>
    <w:p w:rsidR="001635E8" w:rsidRDefault="005D7996" w:rsidP="00B4304B">
      <w:pPr>
        <w:pStyle w:val="Text"/>
        <w:ind w:firstLine="0"/>
      </w:pPr>
      <w:r>
        <w:fldChar w:fldCharType="begin"/>
      </w:r>
      <w:r w:rsidR="00496B8B">
        <w:instrText xml:space="preserve"> XE "</w:instrText>
      </w:r>
      <w:r w:rsidR="00496B8B" w:rsidRPr="001D62C6">
        <w:instrText>Bildstil</w:instrText>
      </w:r>
      <w:r w:rsidR="00496B8B">
        <w:instrText xml:space="preserve">" \r "Bildstil2" </w:instrText>
      </w:r>
      <w:r>
        <w:fldChar w:fldCharType="end"/>
      </w:r>
      <w:r>
        <w:fldChar w:fldCharType="begin"/>
      </w:r>
      <w:r w:rsidR="000449D3">
        <w:instrText xml:space="preserve"> XE "ägyptische Malerei" \r "Bildstil2" </w:instrText>
      </w:r>
      <w:r>
        <w:fldChar w:fldCharType="end"/>
      </w:r>
      <w:r>
        <w:fldChar w:fldCharType="begin"/>
      </w:r>
      <w:r w:rsidR="00496B8B">
        <w:instrText xml:space="preserve"> XE "Nofretete (Grab)" \r "Bildstil2" </w:instrText>
      </w:r>
      <w:r>
        <w:fldChar w:fldCharType="end"/>
      </w:r>
      <w:r w:rsidR="001635E8">
        <w:t>Z</w:t>
      </w:r>
      <w:r w:rsidR="008D653A">
        <w:t xml:space="preserve">um </w:t>
      </w:r>
      <w:r w:rsidR="00106975">
        <w:t xml:space="preserve">Grab der Königin </w:t>
      </w:r>
      <w:r w:rsidR="00EE2ADF">
        <w:t xml:space="preserve">Nofretete </w:t>
      </w:r>
      <w:r w:rsidR="001635E8">
        <w:t>im Tal der Königinnen bemerkt die Belser Stilgeschichte:</w:t>
      </w:r>
      <w:r w:rsidR="001635E8">
        <w:rPr>
          <w:rStyle w:val="Funotenzeichen"/>
        </w:rPr>
        <w:footnoteReference w:id="494"/>
      </w:r>
    </w:p>
    <w:p w:rsidR="00106975" w:rsidRDefault="00106975" w:rsidP="001635E8">
      <w:pPr>
        <w:pStyle w:val="Zitat"/>
      </w:pPr>
      <w:r>
        <w:t>Hier sind in einigen Bildnissen der Königin nicht nur die Plissees des durc</w:t>
      </w:r>
      <w:r>
        <w:t>h</w:t>
      </w:r>
      <w:r>
        <w:t>scheinenden Gewandes mit malerischen Mitteln wiedergegeben, sondern sogar Schattierungen, wenngleich nicht folgerichtig durchgeführt, so doch beobac</w:t>
      </w:r>
      <w:r>
        <w:t>h</w:t>
      </w:r>
      <w:r>
        <w:t>tet und angedeutet. Die Bilder der Göttinnen hat der Maler von dieser Neu</w:t>
      </w:r>
      <w:r>
        <w:t>e</w:t>
      </w:r>
      <w:r>
        <w:t>rung ausgeschlossen, wohl wissend, daß die Schattenmalerei die Figuren in eine zeithaft-subjektive Sphäre hineinzieht, die dem Bereich des Göttlichen nicht angemessen ist.</w:t>
      </w:r>
    </w:p>
    <w:p w:rsidR="00AE3078" w:rsidRPr="00AE3078" w:rsidRDefault="00334857" w:rsidP="00B4304B">
      <w:pPr>
        <w:pStyle w:val="Interpretation1Zeile"/>
      </w:pPr>
      <w:r>
        <w:t>Artefakt</w:t>
      </w:r>
      <w:r w:rsidR="00AE3078">
        <w:t>schema ‚</w:t>
      </w:r>
      <w:r w:rsidR="00127F58">
        <w:t>darstellendes Bild</w:t>
      </w:r>
      <w:r w:rsidR="00AE3078">
        <w:t>‘</w:t>
      </w:r>
      <w:bookmarkStart w:id="388" w:name="_Ref261706220"/>
      <w:r>
        <w:rPr>
          <w:rStyle w:val="Funotenzeichen"/>
          <w:iCs w:val="0"/>
        </w:rPr>
        <w:footnoteReference w:id="495"/>
      </w:r>
      <w:bookmarkEnd w:id="388"/>
    </w:p>
    <w:p w:rsidR="006E7E7D" w:rsidRDefault="00827D98" w:rsidP="00B4304B">
      <w:pPr>
        <w:pStyle w:val="Interpretation"/>
      </w:pPr>
      <w:r>
        <w:rPr>
          <w:i/>
        </w:rPr>
        <w:t>U</w:t>
      </w:r>
      <w:r>
        <w:t>(</w:t>
      </w:r>
      <w:r>
        <w:rPr>
          <w:i/>
        </w:rPr>
        <w:t>B</w:t>
      </w:r>
      <w:r w:rsidRPr="00F20FC6">
        <w:rPr>
          <w:vertAlign w:val="subscript"/>
        </w:rPr>
        <w:t>1</w:t>
      </w:r>
      <w:r>
        <w:t>):</w:t>
      </w:r>
      <w:r w:rsidR="00516047">
        <w:t xml:space="preserve"> </w:t>
      </w:r>
      <w:r w:rsidR="00E75091">
        <w:t>Darstellung (</w:t>
      </w:r>
      <w:r w:rsidR="006E7E7D">
        <w:t>des durchscheinenden Gewands der Königin</w:t>
      </w:r>
      <w:r w:rsidR="00E75091">
        <w:t>)</w:t>
      </w:r>
      <w:r>
        <w:t>‘</w:t>
      </w:r>
      <w:r w:rsidR="006E7E7D">
        <w:t>,</w:t>
      </w:r>
      <w:r>
        <w:t xml:space="preserve"> </w:t>
      </w:r>
      <w:r>
        <w:rPr>
          <w:i/>
        </w:rPr>
        <w:t>V</w:t>
      </w:r>
      <w:r>
        <w:t>(</w:t>
      </w:r>
      <w:r>
        <w:rPr>
          <w:i/>
        </w:rPr>
        <w:t>B</w:t>
      </w:r>
      <w:r w:rsidRPr="00F20FC6">
        <w:rPr>
          <w:vertAlign w:val="subscript"/>
        </w:rPr>
        <w:t>1</w:t>
      </w:r>
      <w:r>
        <w:t>): ‚</w:t>
      </w:r>
      <w:r w:rsidR="00E75091">
        <w:t>Pli</w:t>
      </w:r>
      <w:r w:rsidR="00E75091">
        <w:t>s</w:t>
      </w:r>
      <w:r w:rsidR="00E75091">
        <w:t>sees</w:t>
      </w:r>
      <w:r w:rsidR="00E75091">
        <w:rPr>
          <w:rStyle w:val="Funotenzeichen"/>
        </w:rPr>
        <w:footnoteReference w:id="496"/>
      </w:r>
      <w:r w:rsidR="00E75091">
        <w:t xml:space="preserve"> </w:t>
      </w:r>
      <w:r w:rsidR="00EC1354">
        <w:t>mit malerischen Mitteln</w:t>
      </w:r>
      <w:r w:rsidR="00E75091">
        <w:t xml:space="preserve"> wiedergegeben;</w:t>
      </w:r>
      <w:r w:rsidR="00EC1354">
        <w:t xml:space="preserve"> Andeutung von </w:t>
      </w:r>
      <w:r w:rsidR="006E7E7D">
        <w:t>Schattierungen</w:t>
      </w:r>
      <w:r>
        <w:t>‘</w:t>
      </w:r>
    </w:p>
    <w:p w:rsidR="006E7E7D" w:rsidRDefault="00827D98" w:rsidP="00B4304B">
      <w:pPr>
        <w:pStyle w:val="Interpretation"/>
      </w:pPr>
      <w:r>
        <w:rPr>
          <w:i/>
        </w:rPr>
        <w:t>U</w:t>
      </w:r>
      <w:r>
        <w:t>(</w:t>
      </w:r>
      <w:r>
        <w:rPr>
          <w:i/>
        </w:rPr>
        <w:t>B</w:t>
      </w:r>
      <w:r>
        <w:rPr>
          <w:vertAlign w:val="subscript"/>
        </w:rPr>
        <w:t>2</w:t>
      </w:r>
      <w:r>
        <w:t>):</w:t>
      </w:r>
      <w:r w:rsidR="00516047">
        <w:t xml:space="preserve"> </w:t>
      </w:r>
      <w:r>
        <w:t>‚</w:t>
      </w:r>
      <w:r w:rsidR="00E75091">
        <w:t>Darstellung</w:t>
      </w:r>
      <w:r w:rsidR="00433491">
        <w:t xml:space="preserve"> </w:t>
      </w:r>
      <w:r w:rsidR="00E75091">
        <w:t>(</w:t>
      </w:r>
      <w:r w:rsidR="00433491">
        <w:t xml:space="preserve">der </w:t>
      </w:r>
      <w:r w:rsidR="006E7E7D">
        <w:t>Göttinnen</w:t>
      </w:r>
      <w:r w:rsidR="00E75091">
        <w:t>)</w:t>
      </w:r>
      <w:r>
        <w:t>‘</w:t>
      </w:r>
      <w:r w:rsidR="006E7E7D">
        <w:t>,</w:t>
      </w:r>
      <w:r>
        <w:t xml:space="preserve"> </w:t>
      </w:r>
      <w:r>
        <w:rPr>
          <w:i/>
        </w:rPr>
        <w:t>V</w:t>
      </w:r>
      <w:r>
        <w:t>(</w:t>
      </w:r>
      <w:r>
        <w:rPr>
          <w:i/>
        </w:rPr>
        <w:t>B</w:t>
      </w:r>
      <w:r>
        <w:rPr>
          <w:vertAlign w:val="subscript"/>
        </w:rPr>
        <w:t>2</w:t>
      </w:r>
      <w:r>
        <w:t xml:space="preserve">): ‚keine </w:t>
      </w:r>
      <w:r w:rsidR="00EC1354">
        <w:t>Darstellung der Plissees mit malerischen Mitteln</w:t>
      </w:r>
      <w:r w:rsidR="00E75091">
        <w:t xml:space="preserve">; keine </w:t>
      </w:r>
      <w:r>
        <w:t xml:space="preserve">Andeutung von </w:t>
      </w:r>
      <w:r w:rsidR="006E7E7D">
        <w:t>Schattierungen</w:t>
      </w:r>
      <w:r>
        <w:t>‘</w:t>
      </w:r>
    </w:p>
    <w:p w:rsidR="00B16D4C" w:rsidRDefault="006E7E7D" w:rsidP="00B4304B">
      <w:pPr>
        <w:pStyle w:val="Interpretation"/>
      </w:pPr>
      <w:r>
        <w:rPr>
          <w:i/>
        </w:rPr>
        <w:t>H</w:t>
      </w:r>
      <w:r>
        <w:rPr>
          <w:vertAlign w:val="subscript"/>
        </w:rPr>
        <w:t>1</w:t>
      </w:r>
      <w:r w:rsidR="00516047">
        <w:rPr>
          <w:vertAlign w:val="subscript"/>
        </w:rPr>
        <w:t xml:space="preserve"> </w:t>
      </w:r>
      <w:r w:rsidR="00516047">
        <w:t xml:space="preserve">[zum Schema]: </w:t>
      </w:r>
      <w:r w:rsidR="00827D98">
        <w:t>‚</w:t>
      </w:r>
      <w:r>
        <w:t xml:space="preserve">Die Darstellung von Plissees mit malerischen Mitteln und </w:t>
      </w:r>
      <w:r w:rsidR="00E75091">
        <w:t>Andeutung</w:t>
      </w:r>
      <w:r w:rsidR="00827D98">
        <w:t xml:space="preserve"> </w:t>
      </w:r>
      <w:r>
        <w:t xml:space="preserve">von Schattierungen </w:t>
      </w:r>
      <w:r w:rsidR="00827D98">
        <w:t xml:space="preserve">sind </w:t>
      </w:r>
      <w:r>
        <w:t>zu diesem Zeitpunkt eine Neu</w:t>
      </w:r>
      <w:r w:rsidR="00827D98">
        <w:t>erung in der ägyptischen Malerei‘</w:t>
      </w:r>
    </w:p>
    <w:p w:rsidR="00827D98" w:rsidRDefault="00827D98" w:rsidP="00B4304B">
      <w:pPr>
        <w:pStyle w:val="Formel"/>
      </w:pPr>
      <w:r>
        <w:rPr>
          <w:i/>
          <w:iCs/>
        </w:rPr>
        <w:t>B</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B</w:t>
      </w:r>
      <w:r>
        <w:rPr>
          <w:iCs/>
          <w:vertAlign w:val="subscript"/>
        </w:rPr>
        <w:t>2</w:t>
      </w:r>
      <w:r>
        <w:rPr>
          <w:rFont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rPr>
        <w:t>H</w:t>
      </w:r>
      <w:r>
        <w:rPr>
          <w:iCs/>
          <w:vertAlign w:val="subscript"/>
        </w:rPr>
        <w:t>1</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F676B4">
        <w:rPr>
          <w:vertAlign w:val="subscript"/>
        </w:rPr>
        <w:t>Ded</w:t>
      </w:r>
      <w:r>
        <w:t xml:space="preserve"> </w:t>
      </w:r>
      <w:r w:rsidR="00F676B4">
        <w:t xml:space="preserve"> </w:t>
      </w:r>
      <w:r>
        <w:rPr>
          <w:i/>
          <w:iCs/>
        </w:rPr>
        <w:t>Er</w:t>
      </w:r>
      <w:r>
        <w:rPr>
          <w:vertAlign w:val="subscript"/>
        </w:rPr>
        <w:t>1</w:t>
      </w:r>
    </w:p>
    <w:p w:rsidR="00631181" w:rsidRDefault="00827D98" w:rsidP="00B4304B">
      <w:pPr>
        <w:pStyle w:val="Interpretation"/>
      </w:pPr>
      <w:r>
        <w:rPr>
          <w:i/>
        </w:rPr>
        <w:t>Er</w:t>
      </w:r>
      <w:r>
        <w:rPr>
          <w:vertAlign w:val="subscript"/>
        </w:rPr>
        <w:t>1</w:t>
      </w:r>
      <w:r>
        <w:t>:</w:t>
      </w:r>
      <w:r w:rsidR="00516047">
        <w:t xml:space="preserve"> </w:t>
      </w:r>
      <w:r>
        <w:t>‚</w:t>
      </w:r>
      <w:r w:rsidR="00433491">
        <w:t xml:space="preserve">Der Künstler hat </w:t>
      </w:r>
      <w:r>
        <w:t xml:space="preserve">die </w:t>
      </w:r>
      <w:r w:rsidR="00433491">
        <w:t>Neuerung</w:t>
      </w:r>
      <w:r>
        <w:t>en, Plissees mit malerischen Mitteln darz</w:t>
      </w:r>
      <w:r>
        <w:t>u</w:t>
      </w:r>
      <w:r>
        <w:t xml:space="preserve">stellen und Schattierungen anzudeuten, </w:t>
      </w:r>
      <w:r w:rsidR="00433491">
        <w:t>in den Darstellungen der Königin ve</w:t>
      </w:r>
      <w:r w:rsidR="00433491">
        <w:t>r</w:t>
      </w:r>
      <w:r w:rsidR="00433491">
        <w:t xml:space="preserve">wendet, aber nicht in </w:t>
      </w:r>
      <w:r>
        <w:t>den Darstellungen der Göttinnen‘</w:t>
      </w:r>
    </w:p>
    <w:p w:rsidR="00F159C4" w:rsidRDefault="00F159C4" w:rsidP="00B4304B">
      <w:pPr>
        <w:pStyle w:val="Interpretation"/>
      </w:pPr>
      <w:r>
        <w:rPr>
          <w:i/>
        </w:rPr>
        <w:t>H</w:t>
      </w:r>
      <w:r>
        <w:rPr>
          <w:vertAlign w:val="subscript"/>
        </w:rPr>
        <w:t>2</w:t>
      </w:r>
      <w:r w:rsidR="00516047">
        <w:t xml:space="preserve"> [zum Schema]: </w:t>
      </w:r>
      <w:r w:rsidR="00827D98">
        <w:t>‚</w:t>
      </w:r>
      <w:r w:rsidR="00EC1354">
        <w:t xml:space="preserve">Plastische Herausarbeitung der Plissees und die Darstellung </w:t>
      </w:r>
      <w:r>
        <w:t xml:space="preserve">von Schatten verweisen auf </w:t>
      </w:r>
      <w:r w:rsidR="00EC1354">
        <w:t xml:space="preserve">den Blickwinkel auf das Dargestellte und damit die subjektive Perspektive des Beobachtenden sowie auf </w:t>
      </w:r>
      <w:r>
        <w:t>konkrete Beleuchtungsve</w:t>
      </w:r>
      <w:r>
        <w:t>r</w:t>
      </w:r>
      <w:r>
        <w:t>hältnisse und damit auf d</w:t>
      </w:r>
      <w:r w:rsidR="00827D98">
        <w:t>en Tageszeitpunkt‘</w:t>
      </w:r>
    </w:p>
    <w:p w:rsidR="00433491" w:rsidRDefault="00F159C4" w:rsidP="00B4304B">
      <w:pPr>
        <w:pStyle w:val="Interpretation"/>
      </w:pPr>
      <w:r>
        <w:rPr>
          <w:i/>
        </w:rPr>
        <w:lastRenderedPageBreak/>
        <w:t>H</w:t>
      </w:r>
      <w:r>
        <w:rPr>
          <w:vertAlign w:val="subscript"/>
        </w:rPr>
        <w:t>3</w:t>
      </w:r>
      <w:r>
        <w:t>:</w:t>
      </w:r>
      <w:r w:rsidR="00516047">
        <w:t xml:space="preserve"> </w:t>
      </w:r>
      <w:r w:rsidR="00827D98">
        <w:t>‚</w:t>
      </w:r>
      <w:r>
        <w:t>Die göttliche Sphäre steht im Gegensatz zur irdischen Sphäre, in ihr kann es weder eine subjektive Perspektive</w:t>
      </w:r>
      <w:r w:rsidRPr="00F159C4">
        <w:t xml:space="preserve"> </w:t>
      </w:r>
      <w:r w:rsidR="00827D98">
        <w:t>de</w:t>
      </w:r>
      <w:r w:rsidR="002031D5">
        <w:t>s Beobachtenden noch Zeit geben</w:t>
      </w:r>
      <w:r w:rsidR="00827D98">
        <w:t>‘</w:t>
      </w:r>
    </w:p>
    <w:p w:rsidR="00827D98" w:rsidRDefault="00827D98" w:rsidP="00B4304B">
      <w:pPr>
        <w:pStyle w:val="Formel"/>
      </w:pPr>
      <w:r>
        <w:rPr>
          <w:i/>
          <w:iCs/>
        </w:rPr>
        <w:t>Er</w:t>
      </w:r>
      <w:r>
        <w:rPr>
          <w:iCs/>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Pr>
          <w:iCs/>
          <w:vertAlign w:val="subscript"/>
        </w:rPr>
        <w:t>2</w:t>
      </w:r>
      <w:r>
        <w:rPr>
          <w:rFonts w:cs="Times New Roman"/>
          <w:color w:val="000000" w:themeColor="text1"/>
        </w:rPr>
        <w:t xml:space="preserve"> </w:t>
      </w:r>
      <w:r>
        <w:rPr>
          <w:rFonts w:ascii="Cambria Math" w:hAnsi="Cambria Math" w:cs="Cambria Math"/>
          <w:color w:val="000000" w:themeColor="text1"/>
        </w:rPr>
        <w:t>∧</w:t>
      </w:r>
      <w:r>
        <w:rPr>
          <w:rFonts w:cs="Times New Roman"/>
          <w:color w:val="000000" w:themeColor="text1"/>
        </w:rPr>
        <w:t xml:space="preserve"> </w:t>
      </w:r>
      <w:r>
        <w:rPr>
          <w:i/>
        </w:rPr>
        <w:t>H</w:t>
      </w:r>
      <w:r>
        <w:rPr>
          <w:iCs/>
          <w:vertAlign w:val="subscript"/>
        </w:rPr>
        <w:t>3</w:t>
      </w:r>
      <w:r w:rsidR="00E06E68" w:rsidRPr="00E06E68">
        <w:rPr>
          <w:rFonts w:eastAsia="Arial Unicode MS" w:cs="Arial Unicode MS" w:hint="eastAsia"/>
          <w:color w:val="000000" w:themeColor="text1"/>
        </w:rPr>
        <w:t xml:space="preserve"> </w:t>
      </w:r>
      <w:r w:rsidR="002434D2">
        <w:rPr>
          <w:rFonts w:ascii="Cambria Math" w:eastAsia="Arial Unicode MS" w:hAnsi="Cambria Math" w:cs="Cambria Math"/>
          <w:color w:val="000000" w:themeColor="text1"/>
        </w:rPr>
        <w:t>⤳</w:t>
      </w:r>
      <w:r w:rsidR="00E75091">
        <w:rPr>
          <w:vertAlign w:val="subscript"/>
        </w:rPr>
        <w:t>Abd</w:t>
      </w:r>
      <w:r>
        <w:t xml:space="preserve"> </w:t>
      </w:r>
      <w:r w:rsidR="00F676B4">
        <w:t xml:space="preserve"> </w:t>
      </w:r>
      <w:r>
        <w:rPr>
          <w:i/>
          <w:iCs/>
        </w:rPr>
        <w:t>Er</w:t>
      </w:r>
      <w:r>
        <w:rPr>
          <w:vertAlign w:val="subscript"/>
        </w:rPr>
        <w:t>2</w:t>
      </w:r>
      <w:r w:rsidR="00F676B4" w:rsidRPr="00F676B4">
        <w:rPr>
          <w:iCs/>
        </w:rPr>
        <w:t xml:space="preserve">, </w:t>
      </w:r>
      <w:r w:rsidR="00F676B4">
        <w:rPr>
          <w:i/>
          <w:iCs/>
        </w:rPr>
        <w:t>Er</w:t>
      </w:r>
      <w:r w:rsidR="00F676B4">
        <w:rPr>
          <w:vertAlign w:val="subscript"/>
        </w:rPr>
        <w:t>3</w:t>
      </w:r>
    </w:p>
    <w:p w:rsidR="00827D98" w:rsidRDefault="00827D98" w:rsidP="00B4304B">
      <w:pPr>
        <w:pStyle w:val="Interpretation"/>
      </w:pPr>
      <w:r>
        <w:rPr>
          <w:i/>
        </w:rPr>
        <w:t>Er</w:t>
      </w:r>
      <w:r w:rsidR="00E75091">
        <w:rPr>
          <w:vertAlign w:val="subscript"/>
        </w:rPr>
        <w:t>2</w:t>
      </w:r>
      <w:r>
        <w:t>:</w:t>
      </w:r>
      <w:r w:rsidR="00516047">
        <w:t xml:space="preserve"> </w:t>
      </w:r>
      <w:r w:rsidR="00543868">
        <w:t>‚Der Künstler hat die Neuerung</w:t>
      </w:r>
      <w:r>
        <w:t>, Plissees mit malerischen Mitteln wiederz</w:t>
      </w:r>
      <w:r>
        <w:t>u</w:t>
      </w:r>
      <w:r>
        <w:t>geben und Schattierungen anzudeuten, für die Königin angewandt, weil er e</w:t>
      </w:r>
      <w:r>
        <w:t>r</w:t>
      </w:r>
      <w:r>
        <w:t>kannt hat, dass sie zur irdischen Sphäre</w:t>
      </w:r>
      <w:r w:rsidR="00011A37">
        <w:t xml:space="preserve"> passen</w:t>
      </w:r>
      <w:r>
        <w:t>‘</w:t>
      </w:r>
    </w:p>
    <w:p w:rsidR="00827D98" w:rsidRDefault="00827D98" w:rsidP="00B4304B">
      <w:pPr>
        <w:pStyle w:val="InterpretationletzteZeile"/>
      </w:pPr>
      <w:r>
        <w:rPr>
          <w:i/>
        </w:rPr>
        <w:t>Er</w:t>
      </w:r>
      <w:r w:rsidR="00E75091">
        <w:rPr>
          <w:vertAlign w:val="subscript"/>
        </w:rPr>
        <w:t>3</w:t>
      </w:r>
      <w:r>
        <w:t>:</w:t>
      </w:r>
      <w:r w:rsidR="00516047">
        <w:t xml:space="preserve"> </w:t>
      </w:r>
      <w:r w:rsidR="00543868">
        <w:t>‚Der Künstler hat die Neuerung</w:t>
      </w:r>
      <w:r>
        <w:t>, Plissees mit malerischen Mitteln wiederz</w:t>
      </w:r>
      <w:r>
        <w:t>u</w:t>
      </w:r>
      <w:r>
        <w:t>geben und Schattierungen anzudeuten, für die Göttinnen nicht angewandt, weil er erkannt hat, dass sie zu</w:t>
      </w:r>
      <w:r w:rsidR="008D653A">
        <w:t>r göttlichen Sphä</w:t>
      </w:r>
      <w:r w:rsidR="00011A37">
        <w:t>re</w:t>
      </w:r>
      <w:r w:rsidR="00011A37" w:rsidRPr="00011A37">
        <w:t xml:space="preserve"> </w:t>
      </w:r>
      <w:r w:rsidR="00011A37">
        <w:t>nicht passen</w:t>
      </w:r>
      <w:r>
        <w:t>‘</w:t>
      </w:r>
    </w:p>
    <w:p w:rsidR="0020473D" w:rsidRDefault="00F159C4" w:rsidP="00B4304B">
      <w:pPr>
        <w:pStyle w:val="Text"/>
        <w:ind w:firstLine="0"/>
      </w:pPr>
      <w:r>
        <w:t xml:space="preserve">Der Nachvollzug der </w:t>
      </w:r>
      <w:r w:rsidR="00FA078D">
        <w:t xml:space="preserve">einzelnen </w:t>
      </w:r>
      <w:r w:rsidR="006D1E65">
        <w:t>Interpretations</w:t>
      </w:r>
      <w:r>
        <w:t>schritte zeigt, dass andere Inte</w:t>
      </w:r>
      <w:r>
        <w:t>r</w:t>
      </w:r>
      <w:r>
        <w:t xml:space="preserve">pretationen möglich gewesen wären, </w:t>
      </w:r>
      <w:r w:rsidR="009C5755">
        <w:t xml:space="preserve">wenn anderes Hintergrundwissen </w:t>
      </w:r>
      <w:r w:rsidR="00C44B5A">
        <w:t>hinzug</w:t>
      </w:r>
      <w:r w:rsidR="00C44B5A">
        <w:t>e</w:t>
      </w:r>
      <w:r w:rsidR="00C44B5A">
        <w:t>zog</w:t>
      </w:r>
      <w:r w:rsidR="006139CB">
        <w:t>e</w:t>
      </w:r>
      <w:r w:rsidR="009C5755">
        <w:t xml:space="preserve">n worden wäre. </w:t>
      </w:r>
      <w:r w:rsidR="00C44B5A">
        <w:t xml:space="preserve">Nehmen wir als </w:t>
      </w:r>
      <w:r w:rsidR="00C44B5A">
        <w:rPr>
          <w:i/>
          <w:iCs/>
        </w:rPr>
        <w:t>H</w:t>
      </w:r>
      <w:r w:rsidR="00C44B5A">
        <w:rPr>
          <w:vertAlign w:val="subscript"/>
        </w:rPr>
        <w:t>2</w:t>
      </w:r>
      <w:r w:rsidR="001635E8">
        <w:t xml:space="preserve"> </w:t>
      </w:r>
      <w:r w:rsidR="001635E8">
        <w:rPr>
          <w:rFonts w:cs="Times New Roman"/>
        </w:rPr>
        <w:t>‚</w:t>
      </w:r>
      <w:r>
        <w:t xml:space="preserve">Neuerungen </w:t>
      </w:r>
      <w:r w:rsidR="00C44B5A">
        <w:t xml:space="preserve">sind </w:t>
      </w:r>
      <w:r>
        <w:t>etwas Unsicheres und Unerprobtes</w:t>
      </w:r>
      <w:r w:rsidR="001635E8">
        <w:rPr>
          <w:rFonts w:cs="Times New Roman"/>
        </w:rPr>
        <w:t>‘ an.</w:t>
      </w:r>
      <w:r>
        <w:t xml:space="preserve"> </w:t>
      </w:r>
      <w:r w:rsidR="00C44B5A">
        <w:t xml:space="preserve">In diesem Fall könnte geschlossen werden, dass sie </w:t>
      </w:r>
      <w:r w:rsidR="00245245">
        <w:t>besser</w:t>
      </w:r>
      <w:r w:rsidR="00C44B5A">
        <w:t xml:space="preserve"> </w:t>
      </w:r>
      <w:r>
        <w:t>z</w:t>
      </w:r>
      <w:r>
        <w:t>u</w:t>
      </w:r>
      <w:r>
        <w:t>nächst in der irdischen Sphäre der Königin angewandt werden</w:t>
      </w:r>
      <w:r w:rsidR="00C44B5A">
        <w:t xml:space="preserve"> </w:t>
      </w:r>
      <w:r w:rsidR="00C44B5A">
        <w:rPr>
          <w:rFonts w:cs="Times New Roman"/>
        </w:rPr>
        <w:t>–</w:t>
      </w:r>
      <w:r w:rsidR="00C44B5A">
        <w:t xml:space="preserve"> mit dem Göttl</w:t>
      </w:r>
      <w:r w:rsidR="00C44B5A">
        <w:t>i</w:t>
      </w:r>
      <w:r w:rsidR="00C44B5A">
        <w:t xml:space="preserve">chen experimentiert man nicht! Oder als </w:t>
      </w:r>
      <w:r w:rsidR="00C44B5A">
        <w:rPr>
          <w:i/>
          <w:iCs/>
        </w:rPr>
        <w:t>H</w:t>
      </w:r>
      <w:r w:rsidR="00C44B5A">
        <w:rPr>
          <w:vertAlign w:val="subscript"/>
        </w:rPr>
        <w:t>2</w:t>
      </w:r>
      <w:r w:rsidR="00C44B5A">
        <w:t xml:space="preserve"> wird </w:t>
      </w:r>
      <w:r w:rsidR="006139CB">
        <w:t xml:space="preserve">angenommen: </w:t>
      </w:r>
      <w:r w:rsidR="001635E8">
        <w:rPr>
          <w:rFonts w:cs="Times New Roman"/>
        </w:rPr>
        <w:t>‚</w:t>
      </w:r>
      <w:r w:rsidR="006139CB">
        <w:t>Die entspr</w:t>
      </w:r>
      <w:r w:rsidR="006139CB">
        <w:t>e</w:t>
      </w:r>
      <w:r w:rsidR="006139CB">
        <w:t xml:space="preserve">chenden </w:t>
      </w:r>
      <w:r w:rsidR="00C44B5A">
        <w:t>Neuerungen</w:t>
      </w:r>
      <w:r w:rsidR="006139CB">
        <w:t xml:space="preserve"> werden, </w:t>
      </w:r>
      <w:r>
        <w:t xml:space="preserve">da </w:t>
      </w:r>
      <w:r w:rsidR="006139CB">
        <w:t xml:space="preserve">sie </w:t>
      </w:r>
      <w:r>
        <w:t xml:space="preserve">noch nicht allgemein verbreitet </w:t>
      </w:r>
      <w:r w:rsidR="006139CB">
        <w:t xml:space="preserve">sind, </w:t>
      </w:r>
      <w:r>
        <w:t>als subjektive Zutat des Künstlers empfunden</w:t>
      </w:r>
      <w:r w:rsidR="001635E8">
        <w:rPr>
          <w:rFonts w:cs="Times New Roman"/>
        </w:rPr>
        <w:t>‘.</w:t>
      </w:r>
      <w:r w:rsidR="006139CB">
        <w:t xml:space="preserve"> Eine solche wäre</w:t>
      </w:r>
      <w:r w:rsidR="00C44B5A">
        <w:t xml:space="preserve"> </w:t>
      </w:r>
      <w:r>
        <w:t>der göttlichen Sphäre gegenüber vermessen</w:t>
      </w:r>
      <w:r w:rsidR="001635E8">
        <w:t>.</w:t>
      </w:r>
      <w:r w:rsidR="0020473D">
        <w:t xml:space="preserve"> </w:t>
      </w:r>
      <w:r w:rsidR="00C44B5A">
        <w:t xml:space="preserve">In beiden Fällen würde die </w:t>
      </w:r>
      <w:r w:rsidR="00FA078D">
        <w:t xml:space="preserve">Interpretation </w:t>
      </w:r>
      <w:r w:rsidR="00C44B5A">
        <w:t xml:space="preserve">bis zu </w:t>
      </w:r>
      <w:r w:rsidR="00F47C88">
        <w:rPr>
          <w:i/>
          <w:iCs/>
        </w:rPr>
        <w:t>Er</w:t>
      </w:r>
      <w:r w:rsidR="00C44B5A">
        <w:rPr>
          <w:vertAlign w:val="subscript"/>
        </w:rPr>
        <w:t>1</w:t>
      </w:r>
      <w:r w:rsidR="00C44B5A">
        <w:t xml:space="preserve"> wie oben verlaufen und danach auf abweichendem Weg zu einer Erklärung des Gegensatzes von </w:t>
      </w:r>
      <w:r w:rsidR="00C44B5A">
        <w:rPr>
          <w:i/>
          <w:iCs/>
        </w:rPr>
        <w:t>B</w:t>
      </w:r>
      <w:r w:rsidR="00C44B5A">
        <w:rPr>
          <w:vertAlign w:val="subscript"/>
        </w:rPr>
        <w:t>1</w:t>
      </w:r>
      <w:r w:rsidR="00C44B5A">
        <w:t xml:space="preserve"> und </w:t>
      </w:r>
      <w:r w:rsidR="00C44B5A">
        <w:rPr>
          <w:i/>
          <w:iCs/>
        </w:rPr>
        <w:t>B</w:t>
      </w:r>
      <w:r w:rsidR="00C44B5A">
        <w:rPr>
          <w:vertAlign w:val="subscript"/>
        </w:rPr>
        <w:t>2</w:t>
      </w:r>
      <w:r w:rsidR="00C44B5A">
        <w:t xml:space="preserve"> gelangen. </w:t>
      </w:r>
      <w:r w:rsidR="009C5755">
        <w:t>Welche</w:t>
      </w:r>
      <w:r w:rsidR="00C44B5A">
        <w:t xml:space="preserve"> </w:t>
      </w:r>
      <w:r w:rsidR="0020473D">
        <w:t>Ergebnisse entstehen</w:t>
      </w:r>
      <w:r w:rsidR="00C44B5A">
        <w:t>, hängt davon ab, welche</w:t>
      </w:r>
      <w:r w:rsidR="009C5755">
        <w:t xml:space="preserve"> Hintergrundelemen</w:t>
      </w:r>
      <w:r w:rsidR="00C44B5A">
        <w:t>te</w:t>
      </w:r>
      <w:r w:rsidR="009C5755">
        <w:t xml:space="preserve"> </w:t>
      </w:r>
      <w:r w:rsidR="009C5755" w:rsidRPr="009C5755">
        <w:rPr>
          <w:i/>
        </w:rPr>
        <w:t>H</w:t>
      </w:r>
      <w:r w:rsidR="009C5755">
        <w:t xml:space="preserve"> </w:t>
      </w:r>
      <w:r w:rsidR="00263C23">
        <w:t xml:space="preserve">dem Interpretierenden </w:t>
      </w:r>
      <w:r w:rsidR="0020473D">
        <w:t>zuerst einfa</w:t>
      </w:r>
      <w:r w:rsidR="0020473D">
        <w:t>l</w:t>
      </w:r>
      <w:r w:rsidR="0020473D">
        <w:t xml:space="preserve">len oder </w:t>
      </w:r>
      <w:r w:rsidR="00C44B5A">
        <w:t>am plausibel</w:t>
      </w:r>
      <w:r w:rsidR="0020473D">
        <w:t>sten erscheinen.</w:t>
      </w:r>
    </w:p>
    <w:p w:rsidR="00F159C4" w:rsidRDefault="00F47C88" w:rsidP="00106975">
      <w:pPr>
        <w:pStyle w:val="Text"/>
      </w:pPr>
      <w:r>
        <w:t>Es kann vermutet werden, dass i</w:t>
      </w:r>
      <w:r w:rsidR="00263C23">
        <w:t xml:space="preserve">n vielen Fällen das erste als ausreichend plausibel empfundene Element des Hintergrundwissens </w:t>
      </w:r>
      <w:r>
        <w:t>für die Interpretation verwendet wird</w:t>
      </w:r>
      <w:r w:rsidR="00263C23">
        <w:t xml:space="preserve">, </w:t>
      </w:r>
      <w:r>
        <w:t>weil damit das beobachtete Phänomen (hier der als erklärung</w:t>
      </w:r>
      <w:r>
        <w:t>s</w:t>
      </w:r>
      <w:r>
        <w:t xml:space="preserve">bedürftig empfundene Gegensatz zwischen </w:t>
      </w:r>
      <w:r>
        <w:rPr>
          <w:i/>
          <w:iCs/>
        </w:rPr>
        <w:t>B</w:t>
      </w:r>
      <w:r>
        <w:rPr>
          <w:vertAlign w:val="subscript"/>
        </w:rPr>
        <w:t>1</w:t>
      </w:r>
      <w:r>
        <w:t xml:space="preserve"> und </w:t>
      </w:r>
      <w:r>
        <w:rPr>
          <w:i/>
          <w:iCs/>
        </w:rPr>
        <w:t>B</w:t>
      </w:r>
      <w:r>
        <w:rPr>
          <w:vertAlign w:val="subscript"/>
        </w:rPr>
        <w:t>2</w:t>
      </w:r>
      <w:r>
        <w:t>) erklärt ist. Wenige Stili</w:t>
      </w:r>
      <w:r>
        <w:t>n</w:t>
      </w:r>
      <w:r>
        <w:t xml:space="preserve">terpretationen </w:t>
      </w:r>
      <w:r w:rsidR="0020473D">
        <w:t xml:space="preserve">dürften </w:t>
      </w:r>
      <w:r>
        <w:t>so gründlich vor</w:t>
      </w:r>
      <w:r w:rsidR="0020473D">
        <w:t>gehen</w:t>
      </w:r>
      <w:r>
        <w:t xml:space="preserve">, </w:t>
      </w:r>
      <w:r w:rsidR="0020473D">
        <w:t>mehrere alternative</w:t>
      </w:r>
      <w:r>
        <w:t xml:space="preserve"> Erklärungen </w:t>
      </w:r>
      <w:r w:rsidR="0020473D">
        <w:t xml:space="preserve">zu suchen </w:t>
      </w:r>
      <w:r>
        <w:t xml:space="preserve">und die plausibelste </w:t>
      </w:r>
      <w:r w:rsidR="0020473D">
        <w:t>auszuwählen</w:t>
      </w:r>
      <w:r>
        <w:t xml:space="preserve">. Es spielt also eine entscheidende Rolle, </w:t>
      </w:r>
      <w:r w:rsidR="00263C23">
        <w:t>welches Hintergrundwissen dem/der Interpretieren</w:t>
      </w:r>
      <w:r>
        <w:t xml:space="preserve">den </w:t>
      </w:r>
      <w:r w:rsidR="00F31FA7">
        <w:t xml:space="preserve">zuerst </w:t>
      </w:r>
      <w:r>
        <w:t xml:space="preserve">einfällt. </w:t>
      </w:r>
      <w:r w:rsidR="00263C23">
        <w:t xml:space="preserve">Dadurch entsteht die </w:t>
      </w:r>
      <w:r w:rsidR="00F31FA7">
        <w:t xml:space="preserve">bekannte </w:t>
      </w:r>
      <w:r w:rsidR="00263C23">
        <w:t xml:space="preserve">Abhängigkeit </w:t>
      </w:r>
      <w:r w:rsidR="00F31FA7">
        <w:t>des Interpretierens</w:t>
      </w:r>
      <w:r w:rsidR="00263C23">
        <w:t xml:space="preserve"> von der m</w:t>
      </w:r>
      <w:r w:rsidR="00263C23">
        <w:t>o</w:t>
      </w:r>
      <w:r w:rsidR="00263C23">
        <w:t>menta</w:t>
      </w:r>
      <w:r>
        <w:t xml:space="preserve">nen Stimmung, </w:t>
      </w:r>
      <w:r w:rsidR="00F31FA7">
        <w:t xml:space="preserve">Kontexteinflüssen und </w:t>
      </w:r>
      <w:r w:rsidR="00263C23">
        <w:t>subjekti</w:t>
      </w:r>
      <w:r w:rsidR="00F31FA7">
        <w:t>ven Interessen</w:t>
      </w:r>
      <w:r w:rsidR="004024F0">
        <w:t>.</w:t>
      </w:r>
    </w:p>
    <w:p w:rsidR="00C2706C" w:rsidRDefault="004024F0" w:rsidP="00B4304B">
      <w:pPr>
        <w:pStyle w:val="Zwischenberschrift"/>
      </w:pPr>
      <w:r w:rsidRPr="004024F0">
        <w:t>Anmerkung zur Abgrenzu</w:t>
      </w:r>
      <w:r w:rsidR="001571AF">
        <w:t>ng von Stil bei der Bildanalyse</w:t>
      </w:r>
    </w:p>
    <w:p w:rsidR="00D2554C" w:rsidRDefault="0034713F" w:rsidP="00B4304B">
      <w:pPr>
        <w:pStyle w:val="Text"/>
        <w:ind w:firstLine="0"/>
      </w:pPr>
      <w:r>
        <w:t xml:space="preserve">In vielen Analysen von Kunstwerken wird die stilistische Analyse nicht von der Analyse des Inhalts getrennt. Im vorliegenden Fall wäre es </w:t>
      </w:r>
      <w:r w:rsidR="009F4490">
        <w:t>eine Frage des I</w:t>
      </w:r>
      <w:r w:rsidR="009F4490">
        <w:t>n</w:t>
      </w:r>
      <w:r w:rsidR="009F4490">
        <w:t>halts, was dargestellt wird. Schwieriger zu entscheiden ist die stilistische Rel</w:t>
      </w:r>
      <w:r w:rsidR="009F4490">
        <w:t>e</w:t>
      </w:r>
      <w:r w:rsidR="009F4490">
        <w:t>vanz etwa für die Anordnung der Figuren auf dem Bild: Diese kann als reine Bildkomposition dem Stil zugerechnet werden, oft wird sie aber auch inhaltlich relevante Aspekte haben. Allgemein gilt, dass je nach Betrachtungsweise die Grenze von Stil unterschiedlich gezogen werden kann, je nachdem, wie Schema und inhaltliche sowie funktionale Bedingungen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9F4490">
        <w:t xml:space="preserve"> </w:t>
      </w:r>
      <w:r w:rsidR="004024F0">
        <w:t xml:space="preserve">festgelegt </w:t>
      </w:r>
      <w:r w:rsidR="009F4490">
        <w:t xml:space="preserve">werden. Dies gilt </w:t>
      </w:r>
      <w:r w:rsidR="004024F0">
        <w:t xml:space="preserve">in </w:t>
      </w:r>
      <w:r w:rsidR="004024F0">
        <w:lastRenderedPageBreak/>
        <w:t xml:space="preserve">allen Bereichen von Stil </w:t>
      </w:r>
      <w:r w:rsidR="009F4490">
        <w:t xml:space="preserve">(vgl. Abschnitt </w:t>
      </w:r>
      <w:r w:rsidR="005D7996">
        <w:fldChar w:fldCharType="begin"/>
      </w:r>
      <w:r w:rsidR="009F4490">
        <w:instrText xml:space="preserve"> REF _Ref233636622 \r \h </w:instrText>
      </w:r>
      <w:r w:rsidR="005D7996">
        <w:fldChar w:fldCharType="separate"/>
      </w:r>
      <w:r w:rsidR="001231D3">
        <w:t>8.2.3</w:t>
      </w:r>
      <w:r w:rsidR="005D7996">
        <w:fldChar w:fldCharType="end"/>
      </w:r>
      <w:r w:rsidR="00776D02">
        <w:t xml:space="preserve">; Beispiele für </w:t>
      </w:r>
      <w:r w:rsidR="005776AB">
        <w:t>den Bereich der da</w:t>
      </w:r>
      <w:r w:rsidR="005776AB">
        <w:t>r</w:t>
      </w:r>
      <w:r w:rsidR="005776AB">
        <w:t xml:space="preserve">stellenden </w:t>
      </w:r>
      <w:r w:rsidR="00776D02">
        <w:t>Bilder</w:t>
      </w:r>
      <w:r w:rsidR="005D7996">
        <w:fldChar w:fldCharType="begin"/>
      </w:r>
      <w:r w:rsidR="0025273E">
        <w:instrText xml:space="preserve"> XE "</w:instrText>
      </w:r>
      <w:r w:rsidR="0025273E" w:rsidRPr="00891BA7">
        <w:instrText>Bilder:darstellende</w:instrText>
      </w:r>
      <w:r w:rsidR="0025273E">
        <w:instrText xml:space="preserve">" </w:instrText>
      </w:r>
      <w:r w:rsidR="005D7996">
        <w:fldChar w:fldCharType="end"/>
      </w:r>
      <w:r w:rsidR="00776D02">
        <w:t xml:space="preserve"> finden sich in Abschnitt </w:t>
      </w:r>
      <w:r w:rsidR="005D7996">
        <w:fldChar w:fldCharType="begin"/>
      </w:r>
      <w:r w:rsidR="00776D02">
        <w:instrText xml:space="preserve"> REF _Ref263947078 \r \h </w:instrText>
      </w:r>
      <w:r w:rsidR="005D7996">
        <w:fldChar w:fldCharType="separate"/>
      </w:r>
      <w:r w:rsidR="001231D3">
        <w:t>2.7</w:t>
      </w:r>
      <w:r w:rsidR="005D7996">
        <w:fldChar w:fldCharType="end"/>
      </w:r>
      <w:r w:rsidR="004024F0">
        <w:t>). Es ist jedoch nicht jede solche Festlegung gleichermaßen plausibel.</w:t>
      </w:r>
    </w:p>
    <w:p w:rsidR="00D2554C" w:rsidRDefault="00D2554C">
      <w:pPr>
        <w:pStyle w:val="Titel3"/>
      </w:pPr>
      <w:bookmarkStart w:id="389" w:name="_Ref256495882"/>
      <w:bookmarkStart w:id="390" w:name="_Toc325456795"/>
      <w:bookmarkStart w:id="391" w:name="Bankraub"/>
      <w:bookmarkEnd w:id="387"/>
      <w:r>
        <w:t>Ein Stil bei Bankraub</w:t>
      </w:r>
      <w:bookmarkEnd w:id="389"/>
      <w:bookmarkEnd w:id="390"/>
    </w:p>
    <w:p w:rsidR="00D2554C" w:rsidRDefault="005D7996" w:rsidP="00935BF2">
      <w:pPr>
        <w:pStyle w:val="Text"/>
        <w:ind w:firstLine="0"/>
      </w:pPr>
      <w:r>
        <w:fldChar w:fldCharType="begin"/>
      </w:r>
      <w:r w:rsidR="00936345">
        <w:instrText xml:space="preserve"> XE "Bankraubstil" \r "Bankraub" </w:instrText>
      </w:r>
      <w:r>
        <w:fldChar w:fldCharType="end"/>
      </w:r>
      <w:r>
        <w:fldChar w:fldCharType="begin"/>
      </w:r>
      <w:r w:rsidR="00067D9E">
        <w:instrText xml:space="preserve"> XE "Verhaltensstil (Beispiele)" \r "Bankraub" </w:instrText>
      </w:r>
      <w:r>
        <w:fldChar w:fldCharType="end"/>
      </w:r>
      <w:r w:rsidR="00651939">
        <w:t>Stile können bei jedem Verhalten, Artefakt oder Text auftreten, wenn sich ein Schema dafür finden lässt. Aus der gewaltigen Anzahl sich ergebender Stilbere</w:t>
      </w:r>
      <w:r w:rsidR="00651939">
        <w:t>i</w:t>
      </w:r>
      <w:r w:rsidR="00651939">
        <w:t xml:space="preserve">che sei als letztes Beispiel ein Stil bei </w:t>
      </w:r>
      <w:r w:rsidR="00D2554C">
        <w:t>Bank</w:t>
      </w:r>
      <w:r w:rsidR="00935166">
        <w:t xml:space="preserve">raub </w:t>
      </w:r>
      <w:r w:rsidR="00651939">
        <w:t>herausgegriffen. Solche Stile h</w:t>
      </w:r>
      <w:r w:rsidR="00651939">
        <w:t>a</w:t>
      </w:r>
      <w:r w:rsidR="00651939">
        <w:t xml:space="preserve">ben </w:t>
      </w:r>
      <w:r w:rsidR="00935166">
        <w:t xml:space="preserve">erhebliche praktische </w:t>
      </w:r>
      <w:r w:rsidR="00FE1E8B">
        <w:t>Relevanz</w:t>
      </w:r>
      <w:r w:rsidR="00935166">
        <w:t>, da sie in der Kriminalistik</w:t>
      </w:r>
      <w:r>
        <w:fldChar w:fldCharType="begin"/>
      </w:r>
      <w:r w:rsidR="00447625">
        <w:instrText xml:space="preserve"> XE "</w:instrText>
      </w:r>
      <w:r w:rsidR="00447625" w:rsidRPr="003E7FDE">
        <w:instrText>Kriminalistik</w:instrText>
      </w:r>
      <w:r w:rsidR="00447625">
        <w:instrText xml:space="preserve">" </w:instrText>
      </w:r>
      <w:r>
        <w:fldChar w:fldCharType="end"/>
      </w:r>
      <w:r w:rsidR="00935166">
        <w:t xml:space="preserve"> zu Hypothesen über die Täterschaft verwendet werden. </w:t>
      </w:r>
      <w:r w:rsidR="00D2554C">
        <w:t>Mit eine</w:t>
      </w:r>
      <w:r w:rsidR="00E97262">
        <w:t>r</w:t>
      </w:r>
      <w:r w:rsidR="00D2554C">
        <w:t xml:space="preserve"> Merkmal</w:t>
      </w:r>
      <w:r w:rsidR="00E97262">
        <w:t>sregel</w:t>
      </w:r>
      <w:r w:rsidR="00D2554C">
        <w:t xml:space="preserve">, nämlich der möglichen Geiselnahme, haben wir uns bereits in Abschnitt </w:t>
      </w:r>
      <w:r>
        <w:fldChar w:fldCharType="begin"/>
      </w:r>
      <w:r w:rsidR="00D2554C">
        <w:instrText xml:space="preserve"> REF _Ref225339965 \r \h </w:instrText>
      </w:r>
      <w:r>
        <w:fldChar w:fldCharType="separate"/>
      </w:r>
      <w:r w:rsidR="001231D3">
        <w:t>2.8</w:t>
      </w:r>
      <w:r>
        <w:fldChar w:fldCharType="end"/>
      </w:r>
      <w:r w:rsidR="00D2554C">
        <w:t xml:space="preserve"> beschäftigt. Ste</w:t>
      </w:r>
      <w:r w:rsidR="00D2554C">
        <w:t>l</w:t>
      </w:r>
      <w:r w:rsidR="00D2554C">
        <w:t xml:space="preserve">len wir uns </w:t>
      </w:r>
      <w:r w:rsidR="00356782">
        <w:t xml:space="preserve">einen </w:t>
      </w:r>
      <w:r w:rsidR="00D2554C">
        <w:t xml:space="preserve">Stil vor, den </w:t>
      </w:r>
      <w:r w:rsidR="00651939">
        <w:t>ein</w:t>
      </w:r>
      <w:r w:rsidR="00D2554C">
        <w:t xml:space="preserve"> Team von Bankräubern </w:t>
      </w:r>
      <w:r w:rsidR="00651939">
        <w:t xml:space="preserve">(das zusammen als </w:t>
      </w:r>
      <w:r w:rsidR="0085753F">
        <w:t xml:space="preserve">SN </w:t>
      </w:r>
      <w:r w:rsidR="00651939">
        <w:t>angesehen wird) bei einem Banküberfall zeigt</w:t>
      </w:r>
      <w:r w:rsidR="00D2554C">
        <w:t>:</w:t>
      </w:r>
    </w:p>
    <w:p w:rsidR="00AE3078" w:rsidRDefault="00AE3078" w:rsidP="00935BF2">
      <w:pPr>
        <w:pStyle w:val="Interpretation1Zeile"/>
      </w:pPr>
      <w:r>
        <w:t>Verhaltensschema ‚Bankraub‘</w:t>
      </w:r>
    </w:p>
    <w:p w:rsidR="00D2554C" w:rsidRDefault="00453826" w:rsidP="00935BF2">
      <w:pPr>
        <w:pStyle w:val="Interpretation"/>
      </w:pPr>
      <w:r>
        <w:rPr>
          <w:i/>
        </w:rPr>
        <w:t>U</w:t>
      </w:r>
      <w:r>
        <w:t>(</w:t>
      </w:r>
      <w:r>
        <w:rPr>
          <w:i/>
        </w:rPr>
        <w:t>B</w:t>
      </w:r>
      <w:r w:rsidRPr="00F20FC6">
        <w:rPr>
          <w:vertAlign w:val="subscript"/>
        </w:rPr>
        <w:t>1</w:t>
      </w:r>
      <w:r>
        <w:t>): ‚</w:t>
      </w:r>
      <w:r w:rsidR="00D2554C">
        <w:t>Planung und Vorbereitung</w:t>
      </w:r>
      <w:r w:rsidR="007F194E">
        <w:t>‘</w:t>
      </w:r>
      <w:r w:rsidR="00D2554C">
        <w:t xml:space="preserve">, </w:t>
      </w:r>
      <w:r w:rsidR="007F194E">
        <w:rPr>
          <w:i/>
        </w:rPr>
        <w:t>V</w:t>
      </w:r>
      <w:r>
        <w:t>(</w:t>
      </w:r>
      <w:r>
        <w:rPr>
          <w:i/>
        </w:rPr>
        <w:t>B</w:t>
      </w:r>
      <w:r w:rsidRPr="00F20FC6">
        <w:rPr>
          <w:vertAlign w:val="subscript"/>
        </w:rPr>
        <w:t>1</w:t>
      </w:r>
      <w:r>
        <w:t>): ‚</w:t>
      </w:r>
      <w:r w:rsidR="00D2554C">
        <w:t>sehr gründlich (Bestandteile der Vorbereitung: Erkundung der Ortsverhältnisse; Informationen über Anzahl, Alter und Geschlecht der Bankangestellten und ihren Arbeitsrhythmus; Anfert</w:t>
      </w:r>
      <w:r w:rsidR="00D2554C">
        <w:t>i</w:t>
      </w:r>
      <w:r w:rsidR="00D2554C">
        <w:t>gen eines Ablaufplans; Festlegen und Abfahren mehrerer Fluchtrouten; Durc</w:t>
      </w:r>
      <w:r w:rsidR="00D2554C">
        <w:t>h</w:t>
      </w:r>
      <w:r w:rsidR="00D2554C">
        <w:t>führen einer Probe in einem Lagerhaus)</w:t>
      </w:r>
      <w:r w:rsidR="007F194E">
        <w:t>‘</w:t>
      </w:r>
    </w:p>
    <w:p w:rsidR="00D2554C" w:rsidRDefault="007F194E" w:rsidP="00935BF2">
      <w:pPr>
        <w:pStyle w:val="Interpretation"/>
      </w:pPr>
      <w:r>
        <w:rPr>
          <w:i/>
        </w:rPr>
        <w:t>U</w:t>
      </w:r>
      <w:r>
        <w:t>(</w:t>
      </w:r>
      <w:r>
        <w:rPr>
          <w:i/>
        </w:rPr>
        <w:t>B</w:t>
      </w:r>
      <w:r>
        <w:rPr>
          <w:vertAlign w:val="subscript"/>
        </w:rPr>
        <w:t>2</w:t>
      </w:r>
      <w:r>
        <w:t>): ‚</w:t>
      </w:r>
      <w:r w:rsidR="00D2554C">
        <w:t>Lage der überfallenen Bank</w:t>
      </w:r>
      <w:r>
        <w:t>‘</w:t>
      </w:r>
      <w:r w:rsidR="00D2554C">
        <w:t xml:space="preserve">, </w:t>
      </w:r>
      <w:r>
        <w:rPr>
          <w:i/>
        </w:rPr>
        <w:t>V</w:t>
      </w:r>
      <w:r>
        <w:t>(</w:t>
      </w:r>
      <w:r>
        <w:rPr>
          <w:i/>
        </w:rPr>
        <w:t>B</w:t>
      </w:r>
      <w:r>
        <w:rPr>
          <w:vertAlign w:val="subscript"/>
        </w:rPr>
        <w:t>2</w:t>
      </w:r>
      <w:r>
        <w:t>): ‚</w:t>
      </w:r>
      <w:r w:rsidR="00D2554C">
        <w:t>Bank in einem kleinen Dorf mit großem Einzugsbereich</w:t>
      </w:r>
      <w:r>
        <w:t>‘</w:t>
      </w:r>
    </w:p>
    <w:p w:rsidR="00D2554C" w:rsidRDefault="007F194E" w:rsidP="00935BF2">
      <w:pPr>
        <w:pStyle w:val="Interpretation"/>
      </w:pPr>
      <w:r>
        <w:rPr>
          <w:i/>
        </w:rPr>
        <w:t>U</w:t>
      </w:r>
      <w:r>
        <w:t>(</w:t>
      </w:r>
      <w:r>
        <w:rPr>
          <w:i/>
        </w:rPr>
        <w:t>B</w:t>
      </w:r>
      <w:r>
        <w:rPr>
          <w:vertAlign w:val="subscript"/>
        </w:rPr>
        <w:t>3</w:t>
      </w:r>
      <w:r>
        <w:t>): ‚</w:t>
      </w:r>
      <w:r w:rsidR="00D2554C">
        <w:t>Zeitpunkt der Ausführung</w:t>
      </w:r>
      <w:r>
        <w:t>‘</w:t>
      </w:r>
      <w:r w:rsidR="00D2554C">
        <w:t xml:space="preserve">, </w:t>
      </w:r>
      <w:r>
        <w:rPr>
          <w:i/>
        </w:rPr>
        <w:t>V</w:t>
      </w:r>
      <w:r>
        <w:t>(</w:t>
      </w:r>
      <w:r>
        <w:rPr>
          <w:i/>
        </w:rPr>
        <w:t>B</w:t>
      </w:r>
      <w:r>
        <w:rPr>
          <w:vertAlign w:val="subscript"/>
        </w:rPr>
        <w:t>3</w:t>
      </w:r>
      <w:r>
        <w:t>): ‚</w:t>
      </w:r>
      <w:r w:rsidR="00D2554C">
        <w:t>abends kurz vor Geschäftsschluss</w:t>
      </w:r>
      <w:r>
        <w:t>‘</w:t>
      </w:r>
    </w:p>
    <w:p w:rsidR="00D2554C" w:rsidRDefault="007F194E" w:rsidP="00935BF2">
      <w:pPr>
        <w:pStyle w:val="Interpretation"/>
        <w:rPr>
          <w:i/>
        </w:rPr>
      </w:pPr>
      <w:r>
        <w:rPr>
          <w:i/>
        </w:rPr>
        <w:t>U</w:t>
      </w:r>
      <w:r>
        <w:t>(</w:t>
      </w:r>
      <w:r>
        <w:rPr>
          <w:i/>
        </w:rPr>
        <w:t>B</w:t>
      </w:r>
      <w:r>
        <w:rPr>
          <w:vertAlign w:val="subscript"/>
        </w:rPr>
        <w:t>4</w:t>
      </w:r>
      <w:r>
        <w:t>): ‚</w:t>
      </w:r>
      <w:r w:rsidR="00D2554C">
        <w:t>Art des Teams</w:t>
      </w:r>
      <w:r>
        <w:t>‘</w:t>
      </w:r>
      <w:r w:rsidR="00D2554C">
        <w:t xml:space="preserve">, </w:t>
      </w:r>
      <w:r>
        <w:rPr>
          <w:i/>
        </w:rPr>
        <w:t>V</w:t>
      </w:r>
      <w:r>
        <w:t>(</w:t>
      </w:r>
      <w:r>
        <w:rPr>
          <w:i/>
        </w:rPr>
        <w:t>B</w:t>
      </w:r>
      <w:r>
        <w:rPr>
          <w:vertAlign w:val="subscript"/>
        </w:rPr>
        <w:t>4</w:t>
      </w:r>
      <w:r>
        <w:t>): ‚</w:t>
      </w:r>
      <w:r w:rsidR="000972A3">
        <w:t>Drei-Mann-Team (</w:t>
      </w:r>
      <w:r w:rsidR="00D2554C">
        <w:t>Anführer, der die Befehle g</w:t>
      </w:r>
      <w:r w:rsidR="000972A3">
        <w:t xml:space="preserve">ibt und das Geld einsammelt; </w:t>
      </w:r>
      <w:r w:rsidR="00D2554C">
        <w:t>Bewaffneter, der ihm dabei Rückendeckung gibt und das Bankpersonal b</w:t>
      </w:r>
      <w:r w:rsidR="000972A3">
        <w:t xml:space="preserve">edroht; </w:t>
      </w:r>
      <w:r w:rsidR="00D2554C">
        <w:t>Fahrer des Fluchtautos)</w:t>
      </w:r>
      <w:r>
        <w:t>‘</w:t>
      </w:r>
    </w:p>
    <w:p w:rsidR="00D2554C" w:rsidRDefault="007F194E" w:rsidP="00935BF2">
      <w:pPr>
        <w:pStyle w:val="Interpretation"/>
      </w:pPr>
      <w:r>
        <w:rPr>
          <w:i/>
        </w:rPr>
        <w:t>U</w:t>
      </w:r>
      <w:r>
        <w:t>(</w:t>
      </w:r>
      <w:r>
        <w:rPr>
          <w:i/>
        </w:rPr>
        <w:t>B</w:t>
      </w:r>
      <w:r>
        <w:rPr>
          <w:vertAlign w:val="subscript"/>
        </w:rPr>
        <w:t>5</w:t>
      </w:r>
      <w:r>
        <w:t>): ‚</w:t>
      </w:r>
      <w:r w:rsidR="00D2554C">
        <w:t>Kleidung</w:t>
      </w:r>
      <w:r>
        <w:t>‘</w:t>
      </w:r>
      <w:r w:rsidR="00D2554C">
        <w:t xml:space="preserve">, </w:t>
      </w:r>
      <w:r>
        <w:rPr>
          <w:i/>
        </w:rPr>
        <w:t>V</w:t>
      </w:r>
      <w:r>
        <w:t>(</w:t>
      </w:r>
      <w:r>
        <w:rPr>
          <w:i/>
        </w:rPr>
        <w:t>B</w:t>
      </w:r>
      <w:r>
        <w:rPr>
          <w:vertAlign w:val="subscript"/>
        </w:rPr>
        <w:t>5</w:t>
      </w:r>
      <w:r>
        <w:t>): ‚</w:t>
      </w:r>
      <w:r w:rsidR="00D2554C">
        <w:t>gewöhnliche Straßenkleidung (Jeans, Pullover, J</w:t>
      </w:r>
      <w:r w:rsidR="00D2554C">
        <w:t>a</w:t>
      </w:r>
      <w:r w:rsidR="00D2554C">
        <w:t>cken)</w:t>
      </w:r>
      <w:r>
        <w:t>‘</w:t>
      </w:r>
    </w:p>
    <w:p w:rsidR="00D2554C" w:rsidRDefault="007F194E" w:rsidP="00935BF2">
      <w:pPr>
        <w:pStyle w:val="Interpretation"/>
      </w:pPr>
      <w:r>
        <w:rPr>
          <w:i/>
        </w:rPr>
        <w:t>U</w:t>
      </w:r>
      <w:r>
        <w:t>(</w:t>
      </w:r>
      <w:r>
        <w:rPr>
          <w:i/>
        </w:rPr>
        <w:t>B</w:t>
      </w:r>
      <w:r>
        <w:rPr>
          <w:vertAlign w:val="subscript"/>
        </w:rPr>
        <w:t>6</w:t>
      </w:r>
      <w:r>
        <w:t>): ‚</w:t>
      </w:r>
      <w:r w:rsidR="00D2554C">
        <w:t>Vermummung</w:t>
      </w:r>
      <w:r>
        <w:t>‘</w:t>
      </w:r>
      <w:r w:rsidR="00D2554C">
        <w:t xml:space="preserve">, </w:t>
      </w:r>
      <w:r>
        <w:rPr>
          <w:i/>
        </w:rPr>
        <w:t>V</w:t>
      </w:r>
      <w:r>
        <w:t>(</w:t>
      </w:r>
      <w:r>
        <w:rPr>
          <w:i/>
        </w:rPr>
        <w:t>B</w:t>
      </w:r>
      <w:r>
        <w:rPr>
          <w:vertAlign w:val="subscript"/>
        </w:rPr>
        <w:t>6</w:t>
      </w:r>
      <w:r>
        <w:t>): ‚</w:t>
      </w:r>
      <w:r w:rsidR="003A6A56">
        <w:t xml:space="preserve">mit </w:t>
      </w:r>
      <w:r w:rsidR="00D2554C">
        <w:t>Skimasken</w:t>
      </w:r>
      <w:r>
        <w:t>‘</w:t>
      </w:r>
    </w:p>
    <w:p w:rsidR="00D2554C" w:rsidRDefault="007F194E" w:rsidP="00935BF2">
      <w:pPr>
        <w:pStyle w:val="Interpretation"/>
      </w:pPr>
      <w:r>
        <w:rPr>
          <w:i/>
        </w:rPr>
        <w:t>U</w:t>
      </w:r>
      <w:r>
        <w:t>(</w:t>
      </w:r>
      <w:r>
        <w:rPr>
          <w:i/>
        </w:rPr>
        <w:t>B</w:t>
      </w:r>
      <w:r>
        <w:rPr>
          <w:vertAlign w:val="subscript"/>
        </w:rPr>
        <w:t>7</w:t>
      </w:r>
      <w:r>
        <w:t>): ‚</w:t>
      </w:r>
      <w:r w:rsidR="00D2554C">
        <w:t>Zeitaufwand bei störungsfreiem Ablauf</w:t>
      </w:r>
      <w:r>
        <w:t>‘</w:t>
      </w:r>
      <w:r w:rsidR="00D2554C">
        <w:t xml:space="preserve">, </w:t>
      </w:r>
      <w:r>
        <w:rPr>
          <w:i/>
        </w:rPr>
        <w:t>V</w:t>
      </w:r>
      <w:r>
        <w:t>(</w:t>
      </w:r>
      <w:r>
        <w:rPr>
          <w:i/>
        </w:rPr>
        <w:t>B</w:t>
      </w:r>
      <w:r>
        <w:rPr>
          <w:vertAlign w:val="subscript"/>
        </w:rPr>
        <w:t>7</w:t>
      </w:r>
      <w:r>
        <w:t>): ‚</w:t>
      </w:r>
      <w:r w:rsidR="00D2554C">
        <w:t>5 min.</w:t>
      </w:r>
      <w:r>
        <w:t>‘</w:t>
      </w:r>
    </w:p>
    <w:p w:rsidR="00D2554C" w:rsidRDefault="007F194E" w:rsidP="00935BF2">
      <w:pPr>
        <w:pStyle w:val="Interpretation"/>
      </w:pPr>
      <w:r>
        <w:rPr>
          <w:i/>
        </w:rPr>
        <w:t>U</w:t>
      </w:r>
      <w:r>
        <w:t>(</w:t>
      </w:r>
      <w:r>
        <w:rPr>
          <w:i/>
        </w:rPr>
        <w:t>B</w:t>
      </w:r>
      <w:r>
        <w:rPr>
          <w:vertAlign w:val="subscript"/>
        </w:rPr>
        <w:t>8</w:t>
      </w:r>
      <w:r>
        <w:t>): ‚</w:t>
      </w:r>
      <w:r w:rsidR="00D2554C">
        <w:t>Entfernung der nächstgelegene Polizeistation</w:t>
      </w:r>
      <w:r>
        <w:t>‘</w:t>
      </w:r>
      <w:r w:rsidR="00D2554C">
        <w:t xml:space="preserve">, </w:t>
      </w:r>
      <w:r>
        <w:rPr>
          <w:i/>
        </w:rPr>
        <w:t>V</w:t>
      </w:r>
      <w:r>
        <w:t>(</w:t>
      </w:r>
      <w:r>
        <w:rPr>
          <w:i/>
        </w:rPr>
        <w:t>B</w:t>
      </w:r>
      <w:r>
        <w:rPr>
          <w:vertAlign w:val="subscript"/>
        </w:rPr>
        <w:t>8</w:t>
      </w:r>
      <w:r>
        <w:t>): ‚</w:t>
      </w:r>
      <w:r w:rsidR="00D2554C">
        <w:t>1 km (ca. 3 min. Autofahrt im Ort)</w:t>
      </w:r>
      <w:r>
        <w:t>‘</w:t>
      </w:r>
    </w:p>
    <w:p w:rsidR="00D2554C" w:rsidRDefault="007F194E" w:rsidP="00935BF2">
      <w:pPr>
        <w:pStyle w:val="Interpretation"/>
      </w:pPr>
      <w:r>
        <w:rPr>
          <w:i/>
        </w:rPr>
        <w:t>U</w:t>
      </w:r>
      <w:r>
        <w:t>(</w:t>
      </w:r>
      <w:r>
        <w:rPr>
          <w:i/>
        </w:rPr>
        <w:t>B</w:t>
      </w:r>
      <w:r>
        <w:rPr>
          <w:vertAlign w:val="subscript"/>
        </w:rPr>
        <w:t>9</w:t>
      </w:r>
      <w:r>
        <w:t>): ‚</w:t>
      </w:r>
      <w:r w:rsidR="00D2554C">
        <w:t>Bewaffnung</w:t>
      </w:r>
      <w:r>
        <w:t>‘</w:t>
      </w:r>
      <w:r w:rsidR="00D2554C">
        <w:t xml:space="preserve">, </w:t>
      </w:r>
      <w:r>
        <w:rPr>
          <w:i/>
        </w:rPr>
        <w:t>V</w:t>
      </w:r>
      <w:r>
        <w:t>(</w:t>
      </w:r>
      <w:r>
        <w:rPr>
          <w:i/>
        </w:rPr>
        <w:t>B</w:t>
      </w:r>
      <w:r>
        <w:rPr>
          <w:vertAlign w:val="subscript"/>
        </w:rPr>
        <w:t>9</w:t>
      </w:r>
      <w:r>
        <w:t>): ‚</w:t>
      </w:r>
      <w:r w:rsidR="00B94739">
        <w:t xml:space="preserve">3 Pistolen und eine </w:t>
      </w:r>
      <w:r w:rsidR="005175B4">
        <w:t>Rauchgranate</w:t>
      </w:r>
      <w:r>
        <w:t>‘</w:t>
      </w:r>
    </w:p>
    <w:p w:rsidR="00D2554C" w:rsidRDefault="007F194E" w:rsidP="00935BF2">
      <w:pPr>
        <w:pStyle w:val="Interpretation"/>
      </w:pPr>
      <w:r>
        <w:rPr>
          <w:i/>
        </w:rPr>
        <w:t>U</w:t>
      </w:r>
      <w:r>
        <w:t>(</w:t>
      </w:r>
      <w:r>
        <w:rPr>
          <w:i/>
        </w:rPr>
        <w:t>B</w:t>
      </w:r>
      <w:r w:rsidRPr="00F20FC6">
        <w:rPr>
          <w:vertAlign w:val="subscript"/>
        </w:rPr>
        <w:t>1</w:t>
      </w:r>
      <w:r>
        <w:rPr>
          <w:vertAlign w:val="subscript"/>
        </w:rPr>
        <w:t>2</w:t>
      </w:r>
      <w:r>
        <w:t>): ‚</w:t>
      </w:r>
      <w:r w:rsidR="00D2554C">
        <w:t>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rsidR="00D2554C">
        <w:t xml:space="preserve"> innerhalb des Teams</w:t>
      </w:r>
      <w:r>
        <w:t>‘</w:t>
      </w:r>
      <w:r w:rsidR="00D2554C">
        <w:t xml:space="preserve">, </w:t>
      </w:r>
      <w:r>
        <w:rPr>
          <w:i/>
        </w:rPr>
        <w:t>V</w:t>
      </w:r>
      <w:r>
        <w:t>(</w:t>
      </w:r>
      <w:r>
        <w:rPr>
          <w:i/>
        </w:rPr>
        <w:t>B</w:t>
      </w:r>
      <w:r w:rsidRPr="00F20FC6">
        <w:rPr>
          <w:vertAlign w:val="subscript"/>
        </w:rPr>
        <w:t>1</w:t>
      </w:r>
      <w:r>
        <w:rPr>
          <w:vertAlign w:val="subscript"/>
        </w:rPr>
        <w:t>2</w:t>
      </w:r>
      <w:r>
        <w:t>): ‚</w:t>
      </w:r>
      <w:r w:rsidR="00D2554C">
        <w:t>keine verbale Komm</w:t>
      </w:r>
      <w:r w:rsidR="00D2554C">
        <w:t>u</w:t>
      </w:r>
      <w:r w:rsidR="00D2554C">
        <w:t>nika</w:t>
      </w:r>
      <w:r w:rsidR="00651939">
        <w:t>tion, kurze Gesten (z.B. Signal ‚Herkommen!‘</w:t>
      </w:r>
      <w:r w:rsidR="00D2554C">
        <w:t>)</w:t>
      </w:r>
      <w:r>
        <w:t>‘</w:t>
      </w:r>
    </w:p>
    <w:p w:rsidR="00D2554C" w:rsidRDefault="007F194E" w:rsidP="00935BF2">
      <w:pPr>
        <w:pStyle w:val="Interpretation"/>
      </w:pPr>
      <w:r>
        <w:rPr>
          <w:i/>
        </w:rPr>
        <w:t>U</w:t>
      </w:r>
      <w:r>
        <w:t>(</w:t>
      </w:r>
      <w:r>
        <w:rPr>
          <w:i/>
        </w:rPr>
        <w:t>B</w:t>
      </w:r>
      <w:r w:rsidRPr="00F20FC6">
        <w:rPr>
          <w:vertAlign w:val="subscript"/>
        </w:rPr>
        <w:t>1</w:t>
      </w:r>
      <w:r>
        <w:rPr>
          <w:vertAlign w:val="subscript"/>
        </w:rPr>
        <w:t>3</w:t>
      </w:r>
      <w:r>
        <w:t>): ‚</w:t>
      </w:r>
      <w:r w:rsidR="00D2554C">
        <w:t>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rsidR="00D2554C">
        <w:t xml:space="preserve"> mit den Bankangestellten</w:t>
      </w:r>
      <w:r>
        <w:t>‘</w:t>
      </w:r>
      <w:r w:rsidR="00D2554C">
        <w:t xml:space="preserve">, </w:t>
      </w:r>
      <w:r>
        <w:rPr>
          <w:i/>
        </w:rPr>
        <w:t>V</w:t>
      </w:r>
      <w:r>
        <w:t>(</w:t>
      </w:r>
      <w:r>
        <w:rPr>
          <w:i/>
        </w:rPr>
        <w:t>B</w:t>
      </w:r>
      <w:r w:rsidRPr="00F20FC6">
        <w:rPr>
          <w:vertAlign w:val="subscript"/>
        </w:rPr>
        <w:t>1</w:t>
      </w:r>
      <w:r>
        <w:rPr>
          <w:vertAlign w:val="subscript"/>
        </w:rPr>
        <w:t>3</w:t>
      </w:r>
      <w:r>
        <w:t>): ‚</w:t>
      </w:r>
      <w:r w:rsidR="00D2554C">
        <w:t>kurz, formelhaft, bedrohlich</w:t>
      </w:r>
      <w:r>
        <w:t>‘</w:t>
      </w:r>
    </w:p>
    <w:p w:rsidR="00651939" w:rsidRDefault="00651939" w:rsidP="00935BF2">
      <w:pPr>
        <w:pStyle w:val="Interpretation"/>
        <w:rPr>
          <w:i/>
        </w:rPr>
      </w:pPr>
      <w:r>
        <w:rPr>
          <w:i/>
        </w:rPr>
        <w:lastRenderedPageBreak/>
        <w:t>U</w:t>
      </w:r>
      <w:r>
        <w:t>(</w:t>
      </w:r>
      <w:r>
        <w:rPr>
          <w:i/>
        </w:rPr>
        <w:t>B</w:t>
      </w:r>
      <w:r w:rsidRPr="00F20FC6">
        <w:rPr>
          <w:vertAlign w:val="subscript"/>
        </w:rPr>
        <w:t>1</w:t>
      </w:r>
      <w:r>
        <w:rPr>
          <w:vertAlign w:val="subscript"/>
        </w:rPr>
        <w:t>4</w:t>
      </w:r>
      <w:r>
        <w:t>):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xml:space="preserve"> mit der Polizei‘, </w:t>
      </w:r>
      <w:r>
        <w:rPr>
          <w:i/>
        </w:rPr>
        <w:t>V</w:t>
      </w:r>
      <w:r>
        <w:t>(</w:t>
      </w:r>
      <w:r>
        <w:rPr>
          <w:i/>
        </w:rPr>
        <w:t>B</w:t>
      </w:r>
      <w:r w:rsidRPr="00F20FC6">
        <w:rPr>
          <w:vertAlign w:val="subscript"/>
        </w:rPr>
        <w:t>1</w:t>
      </w:r>
      <w:r>
        <w:rPr>
          <w:vertAlign w:val="subscript"/>
        </w:rPr>
        <w:t>4</w:t>
      </w:r>
      <w:r>
        <w:t>): ‚keine‘</w:t>
      </w:r>
      <w:r>
        <w:rPr>
          <w:rStyle w:val="Funotenzeichen"/>
        </w:rPr>
        <w:footnoteReference w:id="497"/>
      </w:r>
    </w:p>
    <w:p w:rsidR="00D2554C" w:rsidRDefault="007F194E" w:rsidP="00935BF2">
      <w:pPr>
        <w:pStyle w:val="InterpretationletzteZeile"/>
      </w:pPr>
      <w:r>
        <w:rPr>
          <w:i/>
        </w:rPr>
        <w:t>U</w:t>
      </w:r>
      <w:r>
        <w:t>(</w:t>
      </w:r>
      <w:r>
        <w:rPr>
          <w:i/>
        </w:rPr>
        <w:t>B</w:t>
      </w:r>
      <w:r w:rsidRPr="00F20FC6">
        <w:rPr>
          <w:vertAlign w:val="subscript"/>
        </w:rPr>
        <w:t>1</w:t>
      </w:r>
      <w:r w:rsidR="00651939">
        <w:rPr>
          <w:vertAlign w:val="subscript"/>
        </w:rPr>
        <w:t>5</w:t>
      </w:r>
      <w:r>
        <w:t>): ‚</w:t>
      </w:r>
      <w:r w:rsidR="00D2554C">
        <w:t>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rsidR="00D2554C">
        <w:t xml:space="preserve"> mit der Öffentlichkeit</w:t>
      </w:r>
      <w:r>
        <w:t>‘</w:t>
      </w:r>
      <w:r w:rsidR="00D2554C">
        <w:t xml:space="preserve">, </w:t>
      </w:r>
      <w:r>
        <w:rPr>
          <w:i/>
        </w:rPr>
        <w:t>V</w:t>
      </w:r>
      <w:r>
        <w:t>(</w:t>
      </w:r>
      <w:r>
        <w:rPr>
          <w:i/>
        </w:rPr>
        <w:t>B</w:t>
      </w:r>
      <w:r w:rsidRPr="00F20FC6">
        <w:rPr>
          <w:vertAlign w:val="subscript"/>
        </w:rPr>
        <w:t>1</w:t>
      </w:r>
      <w:r w:rsidR="00651939">
        <w:rPr>
          <w:vertAlign w:val="subscript"/>
        </w:rPr>
        <w:t>5</w:t>
      </w:r>
      <w:r>
        <w:t>): ‚keine‘</w:t>
      </w:r>
      <w:r w:rsidR="00D2554C">
        <w:rPr>
          <w:rStyle w:val="Funotenzeichen"/>
        </w:rPr>
        <w:footnoteReference w:id="498"/>
      </w:r>
    </w:p>
    <w:p w:rsidR="00D2554C" w:rsidRDefault="00935BF2" w:rsidP="00935BF2">
      <w:pPr>
        <w:pStyle w:val="Zwischenberschrift"/>
      </w:pPr>
      <w:r>
        <w:t>Interpretation</w:t>
      </w:r>
    </w:p>
    <w:p w:rsidR="00B10F0A" w:rsidRDefault="00B10F0A" w:rsidP="00935BF2">
      <w:pPr>
        <w:pStyle w:val="Interpretation"/>
        <w:rPr>
          <w:i/>
        </w:rPr>
      </w:pPr>
      <w:r>
        <w:rPr>
          <w:i/>
        </w:rPr>
        <w:t>H</w:t>
      </w:r>
      <w:r>
        <w:rPr>
          <w:vertAlign w:val="subscript"/>
        </w:rPr>
        <w:t>1</w:t>
      </w:r>
      <w:r w:rsidR="00516047">
        <w:t xml:space="preserve"> [zum Schema]:</w:t>
      </w:r>
      <w:r>
        <w:t xml:space="preserve"> ‚Bei einem Bankraub besteht die Gefahr, dass die Polizei zu Beginn informiert wird, ohne dass die Bankräuber dies merken (etwa durch e</w:t>
      </w:r>
      <w:r>
        <w:t>i</w:t>
      </w:r>
      <w:r>
        <w:t>nen Bankangestellten oder durch Personen außerhalb der Bank)‘</w:t>
      </w:r>
    </w:p>
    <w:p w:rsidR="00CC755B" w:rsidRDefault="00B10F0A" w:rsidP="00935BF2">
      <w:pPr>
        <w:pStyle w:val="Formel"/>
      </w:pPr>
      <w:r>
        <w:rPr>
          <w:i/>
          <w:iCs/>
        </w:rPr>
        <w:t>H</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sidR="00CC755B">
        <w:rPr>
          <w:i/>
          <w:iCs/>
        </w:rPr>
        <w:t>B</w:t>
      </w:r>
      <w:r w:rsidR="00CC755B">
        <w:rPr>
          <w:vertAlign w:val="subscript"/>
        </w:rPr>
        <w:t>7</w:t>
      </w:r>
      <w:r w:rsidR="00CC755B">
        <w:t xml:space="preserve"> </w:t>
      </w:r>
      <w:r w:rsidR="00CC755B">
        <w:rPr>
          <w:rFonts w:ascii="Cambria Math" w:hAnsi="Cambria Math" w:cs="Cambria Math"/>
          <w:color w:val="000000" w:themeColor="text1"/>
        </w:rPr>
        <w:t>∧</w:t>
      </w:r>
      <w:r w:rsidR="00CC755B">
        <w:rPr>
          <w:rFonts w:cs="Times New Roman"/>
          <w:color w:val="000000" w:themeColor="text1"/>
        </w:rPr>
        <w:t xml:space="preserve"> </w:t>
      </w:r>
      <w:r w:rsidR="00CC755B">
        <w:rPr>
          <w:i/>
          <w:iCs/>
        </w:rPr>
        <w:t>B</w:t>
      </w:r>
      <w:r w:rsidR="00CC755B">
        <w:rPr>
          <w:iCs/>
          <w:vertAlign w:val="subscript"/>
        </w:rPr>
        <w:t>8</w:t>
      </w:r>
      <w:r w:rsidR="00CC755B">
        <w:t xml:space="preserve"> </w:t>
      </w:r>
      <w:r w:rsidR="002434D2">
        <w:rPr>
          <w:rFonts w:ascii="Cambria Math" w:eastAsia="Arial Unicode MS" w:hAnsi="Cambria Math" w:cs="Cambria Math"/>
          <w:color w:val="000000" w:themeColor="text1"/>
        </w:rPr>
        <w:t>⤳</w:t>
      </w:r>
      <w:r>
        <w:rPr>
          <w:vertAlign w:val="subscript"/>
        </w:rPr>
        <w:t>Ded</w:t>
      </w:r>
      <w:r w:rsidR="00CC755B">
        <w:t xml:space="preserve"> </w:t>
      </w:r>
      <w:r w:rsidR="00F676B4">
        <w:t xml:space="preserve"> </w:t>
      </w:r>
      <w:r w:rsidR="00CC755B">
        <w:rPr>
          <w:i/>
          <w:iCs/>
        </w:rPr>
        <w:t>Er</w:t>
      </w:r>
      <w:r w:rsidR="00CC755B">
        <w:rPr>
          <w:vertAlign w:val="subscript"/>
        </w:rPr>
        <w:t>1</w:t>
      </w:r>
    </w:p>
    <w:p w:rsidR="00D2554C" w:rsidRDefault="00856C2B" w:rsidP="00935BF2">
      <w:pPr>
        <w:pStyle w:val="Interpretation"/>
      </w:pPr>
      <w:r>
        <w:rPr>
          <w:i/>
        </w:rPr>
        <w:t>Er</w:t>
      </w:r>
      <w:r w:rsidR="00D2554C">
        <w:rPr>
          <w:vertAlign w:val="subscript"/>
        </w:rPr>
        <w:t>1</w:t>
      </w:r>
      <w:r w:rsidR="00B10F0A">
        <w:t xml:space="preserve">: </w:t>
      </w:r>
      <w:r w:rsidR="007C5F8A">
        <w:t>‚</w:t>
      </w:r>
      <w:r w:rsidR="00372999">
        <w:t>Auch</w:t>
      </w:r>
      <w:r w:rsidR="00D2554C">
        <w:t xml:space="preserve"> bei störungsfreiem Ablauf des Plans </w:t>
      </w:r>
      <w:r w:rsidR="00B10F0A">
        <w:t>besteht die Gefahr</w:t>
      </w:r>
      <w:r w:rsidR="00D2554C">
        <w:t>, dass die Pol</w:t>
      </w:r>
      <w:r w:rsidR="00D2554C">
        <w:t>i</w:t>
      </w:r>
      <w:r w:rsidR="00D2554C">
        <w:t>zei vor B</w:t>
      </w:r>
      <w:r w:rsidR="00937C2A">
        <w:t>eend</w:t>
      </w:r>
      <w:r w:rsidR="00B10F0A">
        <w:t>ig</w:t>
      </w:r>
      <w:r w:rsidR="00937C2A">
        <w:t>ung des Bankraubs eintrifft</w:t>
      </w:r>
      <w:r w:rsidR="007279F3">
        <w:t>‘</w:t>
      </w:r>
    </w:p>
    <w:p w:rsidR="00D2554C" w:rsidRDefault="00D2554C" w:rsidP="00935BF2">
      <w:pPr>
        <w:pStyle w:val="Interpretation"/>
      </w:pPr>
      <w:r>
        <w:rPr>
          <w:i/>
        </w:rPr>
        <w:t>H</w:t>
      </w:r>
      <w:r w:rsidR="00B10F0A">
        <w:rPr>
          <w:vertAlign w:val="subscript"/>
        </w:rPr>
        <w:t>2</w:t>
      </w:r>
      <w:r w:rsidR="00B10F0A">
        <w:t xml:space="preserve">: </w:t>
      </w:r>
      <w:r w:rsidR="007C5F8A">
        <w:t>‚</w:t>
      </w:r>
      <w:r>
        <w:t>Wenn bei einer gesetzwidrigen Handlung die Polizei vor Beend</w:t>
      </w:r>
      <w:r w:rsidR="00B10F0A">
        <w:t>ig</w:t>
      </w:r>
      <w:r>
        <w:t>ung der Handlung eintrifft, hat dies für die Ausführend</w:t>
      </w:r>
      <w:r w:rsidR="007C5F8A">
        <w:t>en der Handlung negative Fo</w:t>
      </w:r>
      <w:r w:rsidR="007C5F8A">
        <w:t>l</w:t>
      </w:r>
      <w:r w:rsidR="007C5F8A">
        <w:t>gen‘</w:t>
      </w:r>
    </w:p>
    <w:p w:rsidR="00D2554C" w:rsidRDefault="00D2554C" w:rsidP="00935BF2">
      <w:pPr>
        <w:pStyle w:val="Interpretation"/>
      </w:pPr>
      <w:r>
        <w:rPr>
          <w:i/>
        </w:rPr>
        <w:t>H</w:t>
      </w:r>
      <w:r w:rsidR="00B10F0A">
        <w:rPr>
          <w:vertAlign w:val="subscript"/>
        </w:rPr>
        <w:t>3</w:t>
      </w:r>
      <w:r w:rsidR="00E226A7">
        <w:t xml:space="preserve"> [zum Schema]:</w:t>
      </w:r>
      <w:r w:rsidR="00B10F0A">
        <w:t xml:space="preserve"> </w:t>
      </w:r>
      <w:r w:rsidR="007C5F8A">
        <w:t>‚</w:t>
      </w:r>
      <w:r>
        <w:t xml:space="preserve">Bankraub </w:t>
      </w:r>
      <w:r w:rsidR="007C5F8A">
        <w:t>ist eine gesetzwidrige Handlung‘</w:t>
      </w:r>
    </w:p>
    <w:p w:rsidR="00D2554C" w:rsidRDefault="00D2554C" w:rsidP="00935BF2">
      <w:pPr>
        <w:pStyle w:val="Interpretation"/>
      </w:pPr>
      <w:r>
        <w:rPr>
          <w:i/>
        </w:rPr>
        <w:t>H</w:t>
      </w:r>
      <w:r w:rsidR="00B10F0A">
        <w:rPr>
          <w:vertAlign w:val="subscript"/>
        </w:rPr>
        <w:t>4</w:t>
      </w:r>
      <w:r w:rsidR="00B10F0A">
        <w:t xml:space="preserve">: </w:t>
      </w:r>
      <w:r w:rsidR="007C5F8A">
        <w:t>‚</w:t>
      </w:r>
      <w:r>
        <w:t xml:space="preserve">Wenn </w:t>
      </w:r>
      <w:r w:rsidR="00F64664">
        <w:t>eine Handlung</w:t>
      </w:r>
      <w:r w:rsidR="006C0DA5">
        <w:t xml:space="preserve"> </w:t>
      </w:r>
      <w:r w:rsidR="00F64664">
        <w:t xml:space="preserve">so geplant ist, </w:t>
      </w:r>
      <w:r>
        <w:t xml:space="preserve">dass </w:t>
      </w:r>
      <w:r w:rsidR="00372999">
        <w:t>auch</w:t>
      </w:r>
      <w:r>
        <w:t xml:space="preserve"> bei störungsfreiem Ablauf mit negativen Folgen zu rechnen ist, </w:t>
      </w:r>
      <w:r w:rsidR="006C0DA5">
        <w:t xml:space="preserve">und dies vermeidbar wäre, </w:t>
      </w:r>
      <w:r w:rsidR="00300126">
        <w:t>zeigen</w:t>
      </w:r>
      <w:r>
        <w:t xml:space="preserve"> die Pl</w:t>
      </w:r>
      <w:r>
        <w:t>a</w:t>
      </w:r>
      <w:r>
        <w:t>nenden eine hohe Risikobereitschaft</w:t>
      </w:r>
      <w:r w:rsidR="007C5F8A">
        <w:t>‘</w:t>
      </w:r>
      <w:r>
        <w:rPr>
          <w:rStyle w:val="Funotenzeichen"/>
        </w:rPr>
        <w:footnoteReference w:id="499"/>
      </w:r>
    </w:p>
    <w:p w:rsidR="00CA0CDC" w:rsidRDefault="00CA0CDC" w:rsidP="00935BF2">
      <w:pPr>
        <w:pStyle w:val="Interpretation"/>
        <w:rPr>
          <w:i/>
        </w:rPr>
      </w:pPr>
      <w:r>
        <w:rPr>
          <w:i/>
        </w:rPr>
        <w:t>H</w:t>
      </w:r>
      <w:r>
        <w:rPr>
          <w:vertAlign w:val="subscript"/>
        </w:rPr>
        <w:t>5</w:t>
      </w:r>
      <w:r>
        <w:t>: ‚Es gibt Banken, die mehr als drei Minuten Autofahrt von der nächsten Pol</w:t>
      </w:r>
      <w:r>
        <w:t>i</w:t>
      </w:r>
      <w:r>
        <w:t>zeistation entfernt sind‘</w:t>
      </w:r>
    </w:p>
    <w:p w:rsidR="00856C2B" w:rsidRDefault="00856C2B" w:rsidP="00935BF2">
      <w:pPr>
        <w:pStyle w:val="Formel"/>
      </w:pPr>
      <w:r>
        <w:rPr>
          <w:i/>
          <w:iCs/>
        </w:rPr>
        <w:t>Er</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B10F0A">
        <w:rPr>
          <w:iCs/>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B10F0A">
        <w:rPr>
          <w:iCs/>
          <w:vertAlign w:val="subscript"/>
        </w:rPr>
        <w:t>3</w:t>
      </w:r>
      <w:r w:rsidR="00CA0CDC">
        <w:t xml:space="preserve"> </w:t>
      </w:r>
      <w:r w:rsidR="00CA0CDC">
        <w:rPr>
          <w:rFonts w:ascii="Cambria Math" w:hAnsi="Cambria Math" w:cs="Cambria Math"/>
          <w:color w:val="000000" w:themeColor="text1"/>
        </w:rPr>
        <w:t>∧</w:t>
      </w:r>
      <w:r w:rsidR="00CA0CDC">
        <w:rPr>
          <w:rFonts w:cs="Times New Roman"/>
          <w:color w:val="000000" w:themeColor="text1"/>
        </w:rPr>
        <w:t xml:space="preserve"> </w:t>
      </w:r>
      <w:r w:rsidR="00CA0CDC">
        <w:rPr>
          <w:i/>
          <w:iCs/>
        </w:rPr>
        <w:t>H</w:t>
      </w:r>
      <w:r w:rsidR="00CA0CDC">
        <w:rPr>
          <w:iCs/>
          <w:vertAlign w:val="subscript"/>
        </w:rPr>
        <w:t>4</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CA0CDC">
        <w:rPr>
          <w:iCs/>
          <w:vertAlign w:val="subscript"/>
        </w:rPr>
        <w:t>5</w:t>
      </w:r>
      <w:r>
        <w:t xml:space="preserve"> </w:t>
      </w:r>
      <w:r w:rsidR="002434D2">
        <w:rPr>
          <w:rFonts w:ascii="Cambria Math" w:eastAsia="Arial Unicode MS" w:hAnsi="Cambria Math" w:cs="Cambria Math"/>
          <w:color w:val="000000" w:themeColor="text1"/>
        </w:rPr>
        <w:t>⤳</w:t>
      </w:r>
      <w:r w:rsidR="00F676B4">
        <w:rPr>
          <w:vertAlign w:val="subscript"/>
        </w:rPr>
        <w:t>Ded</w:t>
      </w:r>
      <w:r>
        <w:t xml:space="preserve"> </w:t>
      </w:r>
      <w:r w:rsidR="00F676B4">
        <w:t xml:space="preserve"> </w:t>
      </w:r>
      <w:r>
        <w:rPr>
          <w:i/>
          <w:iCs/>
        </w:rPr>
        <w:t>Er</w:t>
      </w:r>
      <w:r>
        <w:rPr>
          <w:vertAlign w:val="subscript"/>
        </w:rPr>
        <w:t>2</w:t>
      </w:r>
    </w:p>
    <w:p w:rsidR="00D2554C" w:rsidRDefault="00856C2B" w:rsidP="00935BF2">
      <w:pPr>
        <w:pStyle w:val="Interpretation"/>
      </w:pPr>
      <w:r>
        <w:rPr>
          <w:i/>
        </w:rPr>
        <w:t>Er</w:t>
      </w:r>
      <w:r w:rsidR="00D2554C">
        <w:rPr>
          <w:vertAlign w:val="subscript"/>
        </w:rPr>
        <w:t>2</w:t>
      </w:r>
      <w:r w:rsidR="00B10F0A">
        <w:t xml:space="preserve">: </w:t>
      </w:r>
      <w:r w:rsidR="007C5F8A">
        <w:t>‚</w:t>
      </w:r>
      <w:r w:rsidR="0085753F">
        <w:t xml:space="preserve">SN </w:t>
      </w:r>
      <w:r w:rsidR="00D2554C">
        <w:t>ha</w:t>
      </w:r>
      <w:r w:rsidR="0053030C">
        <w:t>t</w:t>
      </w:r>
      <w:r w:rsidR="00D2554C">
        <w:t xml:space="preserve"> eine hohe Risikobereitschaft</w:t>
      </w:r>
      <w:r w:rsidR="007C5F8A">
        <w:t>‘</w:t>
      </w:r>
    </w:p>
    <w:p w:rsidR="00D2554C" w:rsidRDefault="00D2554C" w:rsidP="00935BF2">
      <w:pPr>
        <w:pStyle w:val="Interpretation"/>
      </w:pPr>
      <w:r>
        <w:rPr>
          <w:i/>
        </w:rPr>
        <w:t>H</w:t>
      </w:r>
      <w:r w:rsidR="00CA0CDC">
        <w:rPr>
          <w:vertAlign w:val="subscript"/>
        </w:rPr>
        <w:t>6</w:t>
      </w:r>
      <w:r w:rsidR="00B10F0A">
        <w:t xml:space="preserve">: </w:t>
      </w:r>
      <w:r w:rsidR="007C5F8A">
        <w:t>‚</w:t>
      </w:r>
      <w:r w:rsidR="00C1558C">
        <w:t>K</w:t>
      </w:r>
      <w:r>
        <w:t>urz vor Geschäftsschluss sind im Regelfall überdurchschnittlich viele Pe</w:t>
      </w:r>
      <w:r>
        <w:t>r</w:t>
      </w:r>
      <w:r>
        <w:t xml:space="preserve">sonen in </w:t>
      </w:r>
      <w:r w:rsidR="00E226A7">
        <w:t xml:space="preserve">einer </w:t>
      </w:r>
      <w:r>
        <w:t>Bank</w:t>
      </w:r>
      <w:r w:rsidR="007C5F8A">
        <w:t>‘</w:t>
      </w:r>
    </w:p>
    <w:p w:rsidR="00856C2B" w:rsidRDefault="00856C2B" w:rsidP="00935BF2">
      <w:pPr>
        <w:pStyle w:val="Formel"/>
      </w:pPr>
      <w:r>
        <w:rPr>
          <w:i/>
          <w:iCs/>
        </w:rPr>
        <w:t>B</w:t>
      </w:r>
      <w:r>
        <w:rPr>
          <w:vertAlign w:val="subscript"/>
        </w:rPr>
        <w:t>3</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CA0CDC">
        <w:rPr>
          <w:iCs/>
          <w:vertAlign w:val="subscript"/>
        </w:rPr>
        <w:t>6</w:t>
      </w:r>
      <w:r>
        <w:t xml:space="preserve"> </w:t>
      </w:r>
      <w:r w:rsidR="002434D2">
        <w:rPr>
          <w:rFonts w:ascii="Cambria Math" w:eastAsia="Arial Unicode MS" w:hAnsi="Cambria Math" w:cs="Cambria Math"/>
          <w:color w:val="000000" w:themeColor="text1"/>
        </w:rPr>
        <w:t>⤳</w:t>
      </w:r>
      <w:r w:rsidR="00F676B4">
        <w:rPr>
          <w:vertAlign w:val="subscript"/>
        </w:rPr>
        <w:t>Ded</w:t>
      </w:r>
      <w:r>
        <w:t xml:space="preserve"> </w:t>
      </w:r>
      <w:r w:rsidR="00F676B4">
        <w:t xml:space="preserve"> </w:t>
      </w:r>
      <w:r>
        <w:rPr>
          <w:i/>
          <w:iCs/>
        </w:rPr>
        <w:t>Er</w:t>
      </w:r>
      <w:r>
        <w:rPr>
          <w:vertAlign w:val="subscript"/>
        </w:rPr>
        <w:t>3</w:t>
      </w:r>
    </w:p>
    <w:p w:rsidR="00856C2B" w:rsidRDefault="00856C2B" w:rsidP="00935BF2">
      <w:pPr>
        <w:pStyle w:val="Interpretation"/>
      </w:pPr>
      <w:r>
        <w:rPr>
          <w:i/>
        </w:rPr>
        <w:t>Er</w:t>
      </w:r>
      <w:r>
        <w:rPr>
          <w:vertAlign w:val="subscript"/>
        </w:rPr>
        <w:t>3</w:t>
      </w:r>
      <w:r w:rsidR="00B10F0A">
        <w:t xml:space="preserve">: </w:t>
      </w:r>
      <w:r>
        <w:t>‚Zum Zeitpunkt des Banküberfalls werden vermutlich überdurchschnittlich viele Personen in der Bank sein‘</w:t>
      </w:r>
    </w:p>
    <w:p w:rsidR="00372999" w:rsidRDefault="00372999" w:rsidP="00935BF2">
      <w:pPr>
        <w:pStyle w:val="Interpretation"/>
      </w:pPr>
      <w:r>
        <w:rPr>
          <w:i/>
        </w:rPr>
        <w:lastRenderedPageBreak/>
        <w:t>H</w:t>
      </w:r>
      <w:r w:rsidR="00CA0CDC">
        <w:rPr>
          <w:vertAlign w:val="subscript"/>
        </w:rPr>
        <w:t>7</w:t>
      </w:r>
      <w:r w:rsidR="00E226A7">
        <w:t xml:space="preserve"> [zum Schema]:</w:t>
      </w:r>
      <w:r w:rsidR="00B10F0A">
        <w:t xml:space="preserve"> </w:t>
      </w:r>
      <w:r>
        <w:t>‚Wenn bei einem Bankraub damit zu rechnen ist, dass die Polizei vor der Beendigung eintrifft, die Bankräuber sich dieses Risikos bewusst und bewaffnet sind, sind sie vermutlich zu einer Geiselnahme bereit‘</w:t>
      </w:r>
    </w:p>
    <w:p w:rsidR="00372999" w:rsidRDefault="00372999" w:rsidP="00935BF2">
      <w:pPr>
        <w:pStyle w:val="Formel"/>
      </w:pPr>
      <w:r>
        <w:rPr>
          <w:i/>
          <w:iCs/>
        </w:rPr>
        <w:t>B</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Pr>
          <w:vertAlign w:val="subscript"/>
        </w:rPr>
        <w:t>1</w:t>
      </w:r>
      <w:r>
        <w:t xml:space="preserve"> </w:t>
      </w:r>
      <w:r>
        <w:rPr>
          <w:rFonts w:ascii="Cambria Math" w:hAnsi="Cambria Math" w:cs="Cambria Math"/>
          <w:color w:val="000000" w:themeColor="text1"/>
        </w:rPr>
        <w:t>∧</w:t>
      </w:r>
      <w:r>
        <w:rPr>
          <w:rFonts w:cs="Times New Roman"/>
          <w:color w:val="000000" w:themeColor="text1"/>
        </w:rPr>
        <w:t xml:space="preserve"> </w:t>
      </w:r>
      <w:r>
        <w:rPr>
          <w:i/>
          <w:iCs/>
        </w:rPr>
        <w:t>H</w:t>
      </w:r>
      <w:r w:rsidR="00CA0CDC">
        <w:rPr>
          <w:iCs/>
          <w:vertAlign w:val="subscript"/>
        </w:rPr>
        <w:t>7</w:t>
      </w:r>
      <w:r>
        <w:t xml:space="preserve"> </w:t>
      </w:r>
      <w:r w:rsidR="002434D2">
        <w:rPr>
          <w:rFonts w:ascii="Cambria Math" w:eastAsia="Arial Unicode MS" w:hAnsi="Cambria Math" w:cs="Cambria Math"/>
          <w:color w:val="000000" w:themeColor="text1"/>
        </w:rPr>
        <w:t>⤳</w:t>
      </w:r>
      <w:r w:rsidR="00F676B4">
        <w:rPr>
          <w:vertAlign w:val="subscript"/>
        </w:rPr>
        <w:t>Ded</w:t>
      </w:r>
      <w:r>
        <w:t xml:space="preserve"> </w:t>
      </w:r>
      <w:r w:rsidR="00F676B4">
        <w:t xml:space="preserve"> </w:t>
      </w:r>
      <w:r>
        <w:rPr>
          <w:i/>
          <w:iCs/>
        </w:rPr>
        <w:t>Er</w:t>
      </w:r>
      <w:r>
        <w:rPr>
          <w:vertAlign w:val="subscript"/>
        </w:rPr>
        <w:t>4</w:t>
      </w:r>
    </w:p>
    <w:p w:rsidR="00372999" w:rsidRDefault="00372999" w:rsidP="00935BF2">
      <w:pPr>
        <w:pStyle w:val="Interpretation"/>
      </w:pPr>
      <w:r>
        <w:rPr>
          <w:i/>
        </w:rPr>
        <w:t>Er</w:t>
      </w:r>
      <w:r>
        <w:rPr>
          <w:vertAlign w:val="subscript"/>
        </w:rPr>
        <w:t>4</w:t>
      </w:r>
      <w:r w:rsidR="00B10F0A">
        <w:t xml:space="preserve">: </w:t>
      </w:r>
      <w:r>
        <w:t>‚Die Bankräuber sind vermutlich zu einer Geiselnahme bereit‘</w:t>
      </w:r>
    </w:p>
    <w:p w:rsidR="00D2554C" w:rsidRDefault="00D2554C" w:rsidP="00935BF2">
      <w:pPr>
        <w:pStyle w:val="Interpretation"/>
      </w:pPr>
      <w:r>
        <w:rPr>
          <w:i/>
        </w:rPr>
        <w:t>H</w:t>
      </w:r>
      <w:r w:rsidR="00CA0CDC">
        <w:rPr>
          <w:vertAlign w:val="subscript"/>
        </w:rPr>
        <w:t>8</w:t>
      </w:r>
      <w:r w:rsidR="00CA0CDC">
        <w:t xml:space="preserve"> </w:t>
      </w:r>
      <w:r w:rsidR="00E226A7">
        <w:t>[zum Schema]:</w:t>
      </w:r>
      <w:r w:rsidR="00B10F0A">
        <w:t xml:space="preserve"> </w:t>
      </w:r>
      <w:r w:rsidR="007C5F8A">
        <w:t>‚</w:t>
      </w:r>
      <w:r>
        <w:t>Beim polizeilichen Zugriff können unbeteiligte Person</w:t>
      </w:r>
      <w:r w:rsidR="00EC4394">
        <w:t>en in der Bank gefährdet werden</w:t>
      </w:r>
      <w:r w:rsidR="007C5F8A">
        <w:t>‘</w:t>
      </w:r>
    </w:p>
    <w:p w:rsidR="00CC755B" w:rsidRDefault="00CC755B" w:rsidP="00935BF2">
      <w:pPr>
        <w:pStyle w:val="Interpretation"/>
      </w:pPr>
      <w:r>
        <w:rPr>
          <w:i/>
        </w:rPr>
        <w:t>H</w:t>
      </w:r>
      <w:r w:rsidR="00CA0CDC">
        <w:rPr>
          <w:vertAlign w:val="subscript"/>
        </w:rPr>
        <w:t>9</w:t>
      </w:r>
      <w:r w:rsidR="00CA0CDC">
        <w:t xml:space="preserve"> </w:t>
      </w:r>
      <w:r w:rsidR="00E226A7">
        <w:t>[zum Schema]:</w:t>
      </w:r>
      <w:r w:rsidR="00B10F0A">
        <w:t xml:space="preserve"> </w:t>
      </w:r>
      <w:r>
        <w:t>Bewaffnung der Bankräuber vergrößert die Gefährdung von Personen in der Bank, insbesondere im Fall eines polizeilichen Zugriffs‘</w:t>
      </w:r>
    </w:p>
    <w:p w:rsidR="00372999" w:rsidRDefault="00372999" w:rsidP="00935BF2">
      <w:pPr>
        <w:pStyle w:val="Interpretation"/>
      </w:pPr>
      <w:r>
        <w:rPr>
          <w:i/>
        </w:rPr>
        <w:t>H</w:t>
      </w:r>
      <w:r w:rsidR="00CA0CDC">
        <w:rPr>
          <w:vertAlign w:val="subscript"/>
        </w:rPr>
        <w:t>10</w:t>
      </w:r>
      <w:r w:rsidR="00CA0CDC">
        <w:t xml:space="preserve"> </w:t>
      </w:r>
      <w:r w:rsidR="00E226A7">
        <w:t>[zum Schema]:</w:t>
      </w:r>
      <w:r w:rsidR="00B10F0A">
        <w:t xml:space="preserve"> </w:t>
      </w:r>
      <w:r>
        <w:t>‚Eine Geiselnahme vergrößert die Gefährdung von Personen in der Bank‘</w:t>
      </w:r>
    </w:p>
    <w:p w:rsidR="007279F3" w:rsidRDefault="00996B85" w:rsidP="00935BF2">
      <w:pPr>
        <w:pStyle w:val="Formel"/>
      </w:pPr>
      <w:r>
        <w:rPr>
          <w:i/>
          <w:iCs/>
        </w:rPr>
        <w:t>B</w:t>
      </w:r>
      <w:r>
        <w:rPr>
          <w:vertAlign w:val="subscript"/>
        </w:rPr>
        <w:t>9</w:t>
      </w:r>
      <w:r>
        <w:t xml:space="preserve"> </w:t>
      </w:r>
      <w:r>
        <w:rPr>
          <w:rFonts w:ascii="Cambria Math" w:hAnsi="Cambria Math" w:cs="Cambria Math"/>
          <w:color w:val="000000" w:themeColor="text1"/>
        </w:rPr>
        <w:t>∧</w:t>
      </w:r>
      <w:r>
        <w:t xml:space="preserve"> </w:t>
      </w:r>
      <w:r w:rsidR="007279F3">
        <w:rPr>
          <w:i/>
          <w:iCs/>
        </w:rPr>
        <w:t>Er</w:t>
      </w:r>
      <w:r w:rsidR="007279F3">
        <w:rPr>
          <w:vertAlign w:val="subscript"/>
        </w:rPr>
        <w:t>1</w:t>
      </w:r>
      <w:r w:rsidR="007279F3">
        <w:t xml:space="preserve"> </w:t>
      </w:r>
      <w:r w:rsidR="007279F3">
        <w:rPr>
          <w:rFonts w:ascii="Cambria Math" w:hAnsi="Cambria Math" w:cs="Cambria Math"/>
          <w:color w:val="000000" w:themeColor="text1"/>
        </w:rPr>
        <w:t>∧</w:t>
      </w:r>
      <w:r w:rsidR="007279F3">
        <w:rPr>
          <w:rFonts w:cs="Times New Roman"/>
          <w:color w:val="000000" w:themeColor="text1"/>
        </w:rPr>
        <w:t xml:space="preserve"> </w:t>
      </w:r>
      <w:r w:rsidR="007279F3">
        <w:rPr>
          <w:i/>
          <w:iCs/>
        </w:rPr>
        <w:t>Er</w:t>
      </w:r>
      <w:r w:rsidR="007279F3">
        <w:rPr>
          <w:vertAlign w:val="subscript"/>
        </w:rPr>
        <w:t>3</w:t>
      </w:r>
      <w:r w:rsidR="007279F3">
        <w:t xml:space="preserve"> </w:t>
      </w:r>
      <w:r w:rsidR="007279F3">
        <w:rPr>
          <w:rFonts w:ascii="Cambria Math" w:hAnsi="Cambria Math" w:cs="Cambria Math"/>
          <w:color w:val="000000" w:themeColor="text1"/>
        </w:rPr>
        <w:t>∧</w:t>
      </w:r>
      <w:r w:rsidR="007279F3">
        <w:rPr>
          <w:rFonts w:cs="Times New Roman"/>
          <w:color w:val="000000" w:themeColor="text1"/>
        </w:rPr>
        <w:t xml:space="preserve"> </w:t>
      </w:r>
      <w:r w:rsidR="00B94739">
        <w:rPr>
          <w:i/>
          <w:iCs/>
        </w:rPr>
        <w:t>Er</w:t>
      </w:r>
      <w:r w:rsidR="00B94739">
        <w:rPr>
          <w:vertAlign w:val="subscript"/>
        </w:rPr>
        <w:t>4</w:t>
      </w:r>
      <w:r w:rsidR="00B94739">
        <w:t xml:space="preserve"> </w:t>
      </w:r>
      <w:r w:rsidR="00B94739">
        <w:rPr>
          <w:rFonts w:ascii="Cambria Math" w:hAnsi="Cambria Math" w:cs="Cambria Math"/>
          <w:color w:val="000000" w:themeColor="text1"/>
        </w:rPr>
        <w:t>∧</w:t>
      </w:r>
      <w:r w:rsidR="00B94739">
        <w:rPr>
          <w:rFonts w:cs="Times New Roman"/>
          <w:color w:val="000000" w:themeColor="text1"/>
        </w:rPr>
        <w:t xml:space="preserve"> </w:t>
      </w:r>
      <w:r w:rsidR="007279F3">
        <w:rPr>
          <w:i/>
          <w:iCs/>
        </w:rPr>
        <w:t>H</w:t>
      </w:r>
      <w:r w:rsidR="00CA0CDC">
        <w:rPr>
          <w:iCs/>
          <w:vertAlign w:val="subscript"/>
        </w:rPr>
        <w:t>8</w:t>
      </w:r>
      <w:r w:rsidR="007279F3">
        <w:t xml:space="preserve"> </w:t>
      </w:r>
      <w:r w:rsidR="007279F3">
        <w:rPr>
          <w:rFonts w:ascii="Cambria Math" w:hAnsi="Cambria Math" w:cs="Cambria Math"/>
          <w:color w:val="000000" w:themeColor="text1"/>
        </w:rPr>
        <w:t>∧</w:t>
      </w:r>
      <w:r w:rsidR="007279F3">
        <w:rPr>
          <w:rFonts w:cs="Times New Roman"/>
          <w:color w:val="000000" w:themeColor="text1"/>
        </w:rPr>
        <w:t xml:space="preserve"> </w:t>
      </w:r>
      <w:r w:rsidR="007279F3">
        <w:rPr>
          <w:i/>
          <w:iCs/>
        </w:rPr>
        <w:t>H</w:t>
      </w:r>
      <w:r w:rsidR="00CA0CDC">
        <w:rPr>
          <w:iCs/>
          <w:vertAlign w:val="subscript"/>
        </w:rPr>
        <w:t>9</w:t>
      </w:r>
      <w:r w:rsidR="007279F3">
        <w:t xml:space="preserve"> </w:t>
      </w:r>
      <w:r w:rsidR="00372999">
        <w:rPr>
          <w:rFonts w:ascii="Cambria Math" w:hAnsi="Cambria Math" w:cs="Cambria Math"/>
          <w:color w:val="000000" w:themeColor="text1"/>
        </w:rPr>
        <w:t>∧</w:t>
      </w:r>
      <w:r w:rsidR="00372999">
        <w:rPr>
          <w:rFonts w:cs="Times New Roman"/>
          <w:color w:val="000000" w:themeColor="text1"/>
        </w:rPr>
        <w:t xml:space="preserve"> </w:t>
      </w:r>
      <w:r w:rsidR="00372999">
        <w:rPr>
          <w:i/>
          <w:iCs/>
        </w:rPr>
        <w:t>H</w:t>
      </w:r>
      <w:r w:rsidR="00CA0CDC">
        <w:rPr>
          <w:iCs/>
          <w:vertAlign w:val="subscript"/>
        </w:rPr>
        <w:t>10</w:t>
      </w:r>
      <w:r w:rsidR="00372999">
        <w:t xml:space="preserve"> </w:t>
      </w:r>
      <w:r w:rsidR="002434D2">
        <w:rPr>
          <w:rFonts w:ascii="Cambria Math" w:eastAsia="Arial Unicode MS" w:hAnsi="Cambria Math" w:cs="Cambria Math"/>
          <w:color w:val="000000" w:themeColor="text1"/>
        </w:rPr>
        <w:t>⤳</w:t>
      </w:r>
      <w:r w:rsidR="00F676B4">
        <w:rPr>
          <w:vertAlign w:val="subscript"/>
        </w:rPr>
        <w:t>Ded</w:t>
      </w:r>
      <w:r w:rsidR="007279F3">
        <w:t xml:space="preserve"> </w:t>
      </w:r>
      <w:r w:rsidR="00F676B4">
        <w:t xml:space="preserve"> </w:t>
      </w:r>
      <w:r w:rsidR="007279F3">
        <w:rPr>
          <w:i/>
          <w:iCs/>
        </w:rPr>
        <w:t>Er</w:t>
      </w:r>
      <w:r w:rsidR="00372999">
        <w:rPr>
          <w:vertAlign w:val="subscript"/>
        </w:rPr>
        <w:t>5</w:t>
      </w:r>
    </w:p>
    <w:p w:rsidR="002D19E0" w:rsidRDefault="002D19E0" w:rsidP="00935BF2">
      <w:pPr>
        <w:pStyle w:val="Interpretation"/>
      </w:pPr>
      <w:r>
        <w:rPr>
          <w:i/>
        </w:rPr>
        <w:t>Er</w:t>
      </w:r>
      <w:r w:rsidR="003B470A">
        <w:rPr>
          <w:vertAlign w:val="subscript"/>
        </w:rPr>
        <w:t>5</w:t>
      </w:r>
      <w:r w:rsidR="00B10F0A">
        <w:t xml:space="preserve">: </w:t>
      </w:r>
      <w:r>
        <w:t xml:space="preserve">‚Die Planenden haben eine hohe Bereitschaft zur Gefährdung </w:t>
      </w:r>
      <w:r w:rsidR="00B94739">
        <w:t>der Personen in der Bank</w:t>
      </w:r>
      <w:r>
        <w:t>‘</w:t>
      </w:r>
    </w:p>
    <w:p w:rsidR="00D2554C" w:rsidRDefault="00D2554C" w:rsidP="00935BF2">
      <w:pPr>
        <w:pStyle w:val="Interpretation"/>
      </w:pPr>
      <w:r>
        <w:rPr>
          <w:i/>
        </w:rPr>
        <w:t>H</w:t>
      </w:r>
      <w:r w:rsidR="00B10F0A">
        <w:rPr>
          <w:vertAlign w:val="subscript"/>
        </w:rPr>
        <w:t>1</w:t>
      </w:r>
      <w:r w:rsidR="00CA0CDC">
        <w:rPr>
          <w:vertAlign w:val="subscript"/>
        </w:rPr>
        <w:t>1</w:t>
      </w:r>
      <w:r w:rsidR="00E226A7">
        <w:t xml:space="preserve"> [zum Schema]:</w:t>
      </w:r>
      <w:r w:rsidR="00B10F0A">
        <w:t xml:space="preserve"> </w:t>
      </w:r>
      <w:r w:rsidR="007C5F8A">
        <w:t>‚</w:t>
      </w:r>
      <w:r w:rsidR="005066B7">
        <w:t xml:space="preserve">Kennzeichen </w:t>
      </w:r>
      <w:r w:rsidR="006E2B72">
        <w:t xml:space="preserve">von Professionalität beim Bankraub </w:t>
      </w:r>
      <w:r>
        <w:t xml:space="preserve">sind: </w:t>
      </w:r>
      <w:r w:rsidR="00B94739">
        <w:t>gründliche</w:t>
      </w:r>
      <w:r>
        <w:t xml:space="preserve"> Vorbereitung, </w:t>
      </w:r>
      <w:r w:rsidR="003A6A56">
        <w:t xml:space="preserve">unauffällige Kleidung, </w:t>
      </w:r>
      <w:r w:rsidR="00451E32">
        <w:t xml:space="preserve">Vermummung, </w:t>
      </w:r>
      <w:r w:rsidR="006E2B72">
        <w:t xml:space="preserve">angemessene </w:t>
      </w:r>
      <w:r>
        <w:t>Bewaffnung, effektive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kein</w:t>
      </w:r>
      <w:r w:rsidR="00B76E2A">
        <w:t xml:space="preserve">e Provokation </w:t>
      </w:r>
      <w:r>
        <w:t xml:space="preserve">der </w:t>
      </w:r>
      <w:r w:rsidR="00B94739">
        <w:t xml:space="preserve">Polizei oder der </w:t>
      </w:r>
      <w:r>
        <w:t>Öffentlichkeit, …</w:t>
      </w:r>
      <w:r w:rsidR="007C5F8A">
        <w:t>‘</w:t>
      </w:r>
    </w:p>
    <w:p w:rsidR="00D2554C" w:rsidRPr="00DD0752" w:rsidRDefault="006E2B72" w:rsidP="00935BF2">
      <w:pPr>
        <w:pStyle w:val="Interpretation"/>
      </w:pPr>
      <w:r>
        <w:rPr>
          <w:i/>
        </w:rPr>
        <w:t>H</w:t>
      </w:r>
      <w:r w:rsidR="00B10F0A">
        <w:rPr>
          <w:vertAlign w:val="subscript"/>
        </w:rPr>
        <w:t>1</w:t>
      </w:r>
      <w:r w:rsidR="00CA0CDC">
        <w:rPr>
          <w:vertAlign w:val="subscript"/>
        </w:rPr>
        <w:t>2</w:t>
      </w:r>
      <w:r w:rsidR="00E226A7">
        <w:t xml:space="preserve"> [zum Schema]:</w:t>
      </w:r>
      <w:r w:rsidR="00B10F0A">
        <w:t xml:space="preserve"> </w:t>
      </w:r>
      <w:r>
        <w:t xml:space="preserve">‚Drei Pistolen und eine </w:t>
      </w:r>
      <w:r w:rsidR="005175B4">
        <w:t>Rauch</w:t>
      </w:r>
      <w:r>
        <w:t>granate (für den Fall der Flucht) sind eine angemessene B</w:t>
      </w:r>
      <w:r w:rsidR="00E226A7">
        <w:t>ewaffnung für einen Bankraub</w:t>
      </w:r>
      <w:r>
        <w:t>‘</w:t>
      </w:r>
    </w:p>
    <w:p w:rsidR="00372999" w:rsidRDefault="00372999" w:rsidP="00935BF2">
      <w:pPr>
        <w:pStyle w:val="Formel"/>
      </w:pPr>
      <w:r>
        <w:rPr>
          <w:i/>
          <w:iCs/>
        </w:rPr>
        <w:t>B</w:t>
      </w:r>
      <w:r w:rsidR="00406691">
        <w:rPr>
          <w:vertAlign w:val="subscript"/>
        </w:rPr>
        <w:t>1</w:t>
      </w:r>
      <w:r>
        <w:t xml:space="preserve"> </w:t>
      </w:r>
      <w:r w:rsidR="003A6A56">
        <w:rPr>
          <w:rFonts w:ascii="Cambria Math" w:hAnsi="Cambria Math" w:cs="Cambria Math"/>
          <w:color w:val="000000" w:themeColor="text1"/>
        </w:rPr>
        <w:t>∧</w:t>
      </w:r>
      <w:r w:rsidR="003A6A56">
        <w:t xml:space="preserve"> </w:t>
      </w:r>
      <w:r w:rsidR="003A6A56">
        <w:rPr>
          <w:i/>
          <w:iCs/>
        </w:rPr>
        <w:t>B</w:t>
      </w:r>
      <w:r w:rsidR="003A6A56">
        <w:rPr>
          <w:vertAlign w:val="subscript"/>
        </w:rPr>
        <w:t>5</w:t>
      </w:r>
      <w:r w:rsidR="003A6A56">
        <w:t xml:space="preserve"> </w:t>
      </w:r>
      <w:r w:rsidR="00451E32">
        <w:rPr>
          <w:rFonts w:ascii="Cambria Math" w:hAnsi="Cambria Math" w:cs="Cambria Math"/>
          <w:color w:val="000000" w:themeColor="text1"/>
        </w:rPr>
        <w:t>∧</w:t>
      </w:r>
      <w:r w:rsidR="00451E32">
        <w:t xml:space="preserve"> </w:t>
      </w:r>
      <w:r w:rsidR="00451E32">
        <w:rPr>
          <w:i/>
          <w:iCs/>
        </w:rPr>
        <w:t>B</w:t>
      </w:r>
      <w:r w:rsidR="00451E32">
        <w:rPr>
          <w:vertAlign w:val="subscript"/>
        </w:rPr>
        <w:t>6</w:t>
      </w:r>
      <w:r w:rsidR="00451E32">
        <w:t xml:space="preserve"> </w:t>
      </w:r>
      <w:r>
        <w:rPr>
          <w:rFonts w:ascii="Cambria Math" w:hAnsi="Cambria Math" w:cs="Cambria Math"/>
          <w:color w:val="000000" w:themeColor="text1"/>
        </w:rPr>
        <w:t>∧</w:t>
      </w:r>
      <w:r>
        <w:t xml:space="preserve"> </w:t>
      </w:r>
      <w:r w:rsidR="003B470A">
        <w:rPr>
          <w:i/>
          <w:iCs/>
        </w:rPr>
        <w:t>B</w:t>
      </w:r>
      <w:r w:rsidR="00406691">
        <w:rPr>
          <w:vertAlign w:val="subscript"/>
        </w:rPr>
        <w:t>9</w:t>
      </w:r>
      <w:r>
        <w:t xml:space="preserve"> </w:t>
      </w:r>
      <w:r w:rsidR="003B470A">
        <w:rPr>
          <w:rFonts w:ascii="Cambria Math" w:hAnsi="Cambria Math" w:cs="Cambria Math"/>
          <w:color w:val="000000" w:themeColor="text1"/>
        </w:rPr>
        <w:t>∧</w:t>
      </w:r>
      <w:r w:rsidR="003B470A">
        <w:rPr>
          <w:rFonts w:cs="Times New Roman"/>
          <w:color w:val="000000" w:themeColor="text1"/>
        </w:rPr>
        <w:t xml:space="preserve"> </w:t>
      </w:r>
      <w:r w:rsidR="003B470A">
        <w:rPr>
          <w:i/>
          <w:iCs/>
        </w:rPr>
        <w:t>B</w:t>
      </w:r>
      <w:r w:rsidR="003B470A">
        <w:rPr>
          <w:vertAlign w:val="subscript"/>
        </w:rPr>
        <w:t>12</w:t>
      </w:r>
      <w:r w:rsidR="003B470A">
        <w:t xml:space="preserve"> </w:t>
      </w:r>
      <w:r>
        <w:rPr>
          <w:rFonts w:ascii="Cambria Math" w:hAnsi="Cambria Math" w:cs="Cambria Math"/>
          <w:color w:val="000000" w:themeColor="text1"/>
        </w:rPr>
        <w:t>∧</w:t>
      </w:r>
      <w:r>
        <w:rPr>
          <w:rFonts w:cs="Times New Roman"/>
          <w:color w:val="000000" w:themeColor="text1"/>
        </w:rPr>
        <w:t xml:space="preserve"> </w:t>
      </w:r>
      <w:r>
        <w:rPr>
          <w:i/>
          <w:iCs/>
        </w:rPr>
        <w:t>Er</w:t>
      </w:r>
      <w:r w:rsidR="00406691">
        <w:rPr>
          <w:vertAlign w:val="subscript"/>
        </w:rPr>
        <w:t>13</w:t>
      </w:r>
      <w:r>
        <w:t xml:space="preserve"> </w:t>
      </w:r>
      <w:r>
        <w:rPr>
          <w:rFonts w:ascii="Cambria Math" w:hAnsi="Cambria Math" w:cs="Cambria Math"/>
          <w:color w:val="000000" w:themeColor="text1"/>
        </w:rPr>
        <w:t>∧</w:t>
      </w:r>
      <w:r>
        <w:rPr>
          <w:rFonts w:cs="Times New Roman"/>
          <w:color w:val="000000" w:themeColor="text1"/>
        </w:rPr>
        <w:t xml:space="preserve"> </w:t>
      </w:r>
      <w:r w:rsidR="00406691">
        <w:rPr>
          <w:i/>
          <w:iCs/>
        </w:rPr>
        <w:t>B</w:t>
      </w:r>
      <w:r w:rsidR="00406691">
        <w:rPr>
          <w:iCs/>
          <w:vertAlign w:val="subscript"/>
        </w:rPr>
        <w:t>14</w:t>
      </w:r>
      <w:r w:rsidR="003B470A">
        <w:t xml:space="preserve"> </w:t>
      </w:r>
      <w:r w:rsidR="003B470A">
        <w:rPr>
          <w:rFonts w:ascii="Cambria Math" w:hAnsi="Cambria Math" w:cs="Cambria Math"/>
          <w:color w:val="000000" w:themeColor="text1"/>
        </w:rPr>
        <w:t>∧</w:t>
      </w:r>
      <w:r w:rsidR="003B470A">
        <w:rPr>
          <w:rFonts w:cs="Times New Roman"/>
          <w:color w:val="000000" w:themeColor="text1"/>
        </w:rPr>
        <w:t xml:space="preserve"> </w:t>
      </w:r>
      <w:r w:rsidR="003B470A">
        <w:rPr>
          <w:i/>
          <w:iCs/>
        </w:rPr>
        <w:t>B</w:t>
      </w:r>
      <w:r w:rsidR="003B470A">
        <w:rPr>
          <w:iCs/>
          <w:vertAlign w:val="subscript"/>
        </w:rPr>
        <w:t>15</w:t>
      </w:r>
      <w:r w:rsidR="003B470A">
        <w:t xml:space="preserve"> </w:t>
      </w:r>
      <w:r w:rsidR="000E5D13">
        <w:rPr>
          <w:rFonts w:ascii="Cambria Math" w:hAnsi="Cambria Math" w:cs="Cambria Math"/>
          <w:color w:val="000000" w:themeColor="text1"/>
        </w:rPr>
        <w:t>∧</w:t>
      </w:r>
      <w:r w:rsidR="000E5D13">
        <w:rPr>
          <w:rFonts w:cs="Times New Roman"/>
          <w:color w:val="000000" w:themeColor="text1"/>
        </w:rPr>
        <w:t xml:space="preserve"> </w:t>
      </w:r>
      <w:r w:rsidR="000E5D13">
        <w:rPr>
          <w:i/>
          <w:iCs/>
        </w:rPr>
        <w:t>H</w:t>
      </w:r>
      <w:r w:rsidR="00B10F0A">
        <w:rPr>
          <w:iCs/>
          <w:vertAlign w:val="subscript"/>
        </w:rPr>
        <w:t>1</w:t>
      </w:r>
      <w:r w:rsidR="00CA0CDC">
        <w:rPr>
          <w:iCs/>
          <w:vertAlign w:val="subscript"/>
        </w:rPr>
        <w:t>1</w:t>
      </w:r>
      <w:r w:rsidR="000E5D13">
        <w:t xml:space="preserve"> </w:t>
      </w:r>
      <w:r w:rsidR="000E5D13">
        <w:rPr>
          <w:rFonts w:ascii="Cambria Math" w:hAnsi="Cambria Math" w:cs="Cambria Math"/>
          <w:color w:val="000000" w:themeColor="text1"/>
        </w:rPr>
        <w:t>∧</w:t>
      </w:r>
      <w:r w:rsidR="000E5D13">
        <w:rPr>
          <w:rFonts w:cs="Times New Roman"/>
          <w:color w:val="000000" w:themeColor="text1"/>
        </w:rPr>
        <w:t xml:space="preserve"> </w:t>
      </w:r>
      <w:r w:rsidR="000E5D13">
        <w:rPr>
          <w:i/>
          <w:iCs/>
        </w:rPr>
        <w:t>H</w:t>
      </w:r>
      <w:r w:rsidR="00B10F0A">
        <w:rPr>
          <w:iCs/>
          <w:vertAlign w:val="subscript"/>
        </w:rPr>
        <w:t>1</w:t>
      </w:r>
      <w:r w:rsidR="00CA0CDC">
        <w:rPr>
          <w:iCs/>
          <w:vertAlign w:val="subscript"/>
        </w:rPr>
        <w:t>2</w:t>
      </w:r>
      <w:r w:rsidR="000E5D13">
        <w:t xml:space="preserve"> </w:t>
      </w:r>
      <w:r w:rsidR="002434D2">
        <w:rPr>
          <w:rFonts w:ascii="Cambria Math" w:eastAsia="Arial Unicode MS" w:hAnsi="Cambria Math" w:cs="Cambria Math"/>
          <w:color w:val="000000" w:themeColor="text1"/>
        </w:rPr>
        <w:t>⤳</w:t>
      </w:r>
      <w:r w:rsidR="00F676B4">
        <w:rPr>
          <w:vertAlign w:val="subscript"/>
        </w:rPr>
        <w:t>Ded</w:t>
      </w:r>
      <w:r>
        <w:t xml:space="preserve"> </w:t>
      </w:r>
      <w:r w:rsidR="00F676B4">
        <w:t xml:space="preserve"> </w:t>
      </w:r>
      <w:r>
        <w:rPr>
          <w:i/>
          <w:iCs/>
        </w:rPr>
        <w:t>Er</w:t>
      </w:r>
      <w:r w:rsidR="006E2B72">
        <w:rPr>
          <w:vertAlign w:val="subscript"/>
        </w:rPr>
        <w:t>6</w:t>
      </w:r>
    </w:p>
    <w:p w:rsidR="00D2554C" w:rsidRDefault="006E2B72" w:rsidP="00935BF2">
      <w:pPr>
        <w:pStyle w:val="Interpretation"/>
      </w:pPr>
      <w:r>
        <w:rPr>
          <w:i/>
        </w:rPr>
        <w:t>Er</w:t>
      </w:r>
      <w:r w:rsidR="00D2554C">
        <w:rPr>
          <w:vertAlign w:val="subscript"/>
        </w:rPr>
        <w:t>6</w:t>
      </w:r>
      <w:r w:rsidR="00B10F0A">
        <w:t xml:space="preserve">: </w:t>
      </w:r>
      <w:r w:rsidR="007C5F8A">
        <w:t>‚</w:t>
      </w:r>
      <w:r w:rsidR="00372999">
        <w:t xml:space="preserve">Die Bankräuber </w:t>
      </w:r>
      <w:r w:rsidR="00B94739">
        <w:t>agieren professionell</w:t>
      </w:r>
      <w:r w:rsidR="007C5F8A">
        <w:t>‘</w:t>
      </w:r>
    </w:p>
    <w:p w:rsidR="00B94739" w:rsidRDefault="00B94739" w:rsidP="00935BF2">
      <w:pPr>
        <w:pStyle w:val="Formel"/>
      </w:pPr>
      <w:r>
        <w:rPr>
          <w:i/>
          <w:iCs/>
        </w:rPr>
        <w:t>Er</w:t>
      </w:r>
      <w:r>
        <w:rPr>
          <w:iCs/>
          <w:vertAlign w:val="subscript"/>
        </w:rPr>
        <w:t>6</w:t>
      </w:r>
      <w:r>
        <w:t xml:space="preserve"> </w:t>
      </w:r>
      <w:r w:rsidR="002434D2">
        <w:rPr>
          <w:rFonts w:ascii="Cambria Math" w:eastAsia="Arial Unicode MS" w:hAnsi="Cambria Math" w:cs="Cambria Math"/>
          <w:color w:val="000000" w:themeColor="text1"/>
        </w:rPr>
        <w:t>⤳</w:t>
      </w:r>
      <w:r>
        <w:rPr>
          <w:vertAlign w:val="subscript"/>
        </w:rPr>
        <w:t>Ind</w:t>
      </w:r>
      <w:r>
        <w:t xml:space="preserve">  </w:t>
      </w:r>
      <w:r>
        <w:rPr>
          <w:i/>
          <w:iCs/>
        </w:rPr>
        <w:t>Er</w:t>
      </w:r>
      <w:r>
        <w:rPr>
          <w:vertAlign w:val="subscript"/>
        </w:rPr>
        <w:t>6</w:t>
      </w:r>
    </w:p>
    <w:p w:rsidR="00B94739" w:rsidRDefault="00B94739" w:rsidP="00935BF2">
      <w:pPr>
        <w:pStyle w:val="InterpretationletzteZeile"/>
      </w:pPr>
      <w:r>
        <w:rPr>
          <w:i/>
        </w:rPr>
        <w:t>Er</w:t>
      </w:r>
      <w:r>
        <w:rPr>
          <w:vertAlign w:val="subscript"/>
        </w:rPr>
        <w:t>7</w:t>
      </w:r>
      <w:r>
        <w:t xml:space="preserve">: ‚Die Bankräuber sind </w:t>
      </w:r>
      <w:r w:rsidR="007E1666">
        <w:t xml:space="preserve">wahrscheinlich </w:t>
      </w:r>
      <w:r>
        <w:t>Profis</w:t>
      </w:r>
      <w:r w:rsidR="007E1666">
        <w:t xml:space="preserve"> (Berufsverbrecher, die bereits mehrere Taten begangen haben)</w:t>
      </w:r>
      <w:r>
        <w:t>‘</w:t>
      </w:r>
    </w:p>
    <w:p w:rsidR="00996CFD" w:rsidRPr="00996CFD" w:rsidRDefault="00996CFD" w:rsidP="00935BF2">
      <w:pPr>
        <w:pStyle w:val="Text"/>
        <w:ind w:firstLine="0"/>
      </w:pPr>
      <w:r>
        <w:t>Im Folgenden werden anhand des Beispiels mehrere technische Punkte der Th</w:t>
      </w:r>
      <w:r>
        <w:t>e</w:t>
      </w:r>
      <w:r w:rsidR="00935BF2">
        <w:t>orie erläutert.</w:t>
      </w:r>
    </w:p>
    <w:p w:rsidR="002B0470" w:rsidRPr="003554B4" w:rsidRDefault="00935BF2" w:rsidP="00935BF2">
      <w:pPr>
        <w:pStyle w:val="Zwischenberschrift"/>
      </w:pPr>
      <w:r>
        <w:t xml:space="preserve">Die </w:t>
      </w:r>
      <w:r w:rsidR="00786CA8">
        <w:t>Suchmethoden für relevantes Hintergrundwissen</w:t>
      </w:r>
    </w:p>
    <w:p w:rsidR="00E6159C" w:rsidRDefault="002B0470" w:rsidP="00935BF2">
      <w:pPr>
        <w:pStyle w:val="Text"/>
        <w:ind w:firstLine="0"/>
      </w:pPr>
      <w:r>
        <w:t xml:space="preserve">Wir wollen </w:t>
      </w:r>
      <w:r w:rsidR="00786CA8">
        <w:t xml:space="preserve">an diesem Beispiel mögliche </w:t>
      </w:r>
      <w:r w:rsidR="00D25257">
        <w:t>Suchmethoden</w:t>
      </w:r>
      <w:r w:rsidR="00786CA8">
        <w:t xml:space="preserve"> bei der </w:t>
      </w:r>
      <w:r>
        <w:t>Hinzuziehung von Hintergrundwissen</w:t>
      </w:r>
      <w:r w:rsidR="0033159D">
        <w:t xml:space="preserve"> untersu</w:t>
      </w:r>
      <w:r>
        <w:t>chen</w:t>
      </w:r>
      <w:r w:rsidR="00786CA8">
        <w:t>, die im Modell als eine Funktionsmenge simuliert werden.</w:t>
      </w:r>
      <w:r w:rsidR="00786CA8" w:rsidRPr="00786CA8">
        <w:rPr>
          <w:rStyle w:val="Funotenzeichen"/>
        </w:rPr>
        <w:footnoteReference w:id="500"/>
      </w:r>
      <w:r>
        <w:t xml:space="preserve"> Betrachten wir dazu, wie man von </w:t>
      </w:r>
      <w:r w:rsidR="0033159D">
        <w:rPr>
          <w:i/>
          <w:iCs/>
        </w:rPr>
        <w:t>Er</w:t>
      </w:r>
      <w:r>
        <w:rPr>
          <w:vertAlign w:val="subscript"/>
        </w:rPr>
        <w:t>1</w:t>
      </w:r>
      <w:r>
        <w:t xml:space="preserve"> zu </w:t>
      </w:r>
      <w:r w:rsidR="0033159D">
        <w:rPr>
          <w:i/>
          <w:iCs/>
        </w:rPr>
        <w:t>Er</w:t>
      </w:r>
      <w:r>
        <w:rPr>
          <w:vertAlign w:val="subscript"/>
        </w:rPr>
        <w:t>2</w:t>
      </w:r>
      <w:r>
        <w:t xml:space="preserve"> gelangt. </w:t>
      </w:r>
      <w:r w:rsidR="00E6159C">
        <w:t xml:space="preserve">Halten wir zunächst fest, dass </w:t>
      </w:r>
      <w:r w:rsidR="0033159D">
        <w:rPr>
          <w:i/>
          <w:iCs/>
        </w:rPr>
        <w:t>Er</w:t>
      </w:r>
      <w:r w:rsidR="00E6159C">
        <w:rPr>
          <w:vertAlign w:val="subscript"/>
        </w:rPr>
        <w:t>2</w:t>
      </w:r>
      <w:r w:rsidR="00E6159C">
        <w:t xml:space="preserve"> sicherlich ein interessantes Ergebni</w:t>
      </w:r>
      <w:r w:rsidR="00023869">
        <w:t>s für viele Stili</w:t>
      </w:r>
      <w:r w:rsidR="00023869">
        <w:t>n</w:t>
      </w:r>
      <w:r w:rsidR="00023869">
        <w:lastRenderedPageBreak/>
        <w:t>terpreten ist.</w:t>
      </w:r>
      <w:r w:rsidR="00023869">
        <w:rPr>
          <w:rStyle w:val="Funotenzeichen"/>
        </w:rPr>
        <w:footnoteReference w:id="501"/>
      </w:r>
      <w:r w:rsidR="00023869">
        <w:t xml:space="preserve"> </w:t>
      </w:r>
      <w:r w:rsidR="00E6159C">
        <w:t xml:space="preserve">Aber woher weiß die Interpretierende, dass sie in mehreren Schritten </w:t>
      </w:r>
      <w:r w:rsidR="00E6159C">
        <w:rPr>
          <w:rFonts w:cs="Times New Roman"/>
        </w:rPr>
        <w:t>–</w:t>
      </w:r>
      <w:r w:rsidR="00E6159C">
        <w:t xml:space="preserve"> nachdem </w:t>
      </w:r>
      <w:r w:rsidR="00E6159C">
        <w:rPr>
          <w:i/>
          <w:iCs/>
        </w:rPr>
        <w:t>H</w:t>
      </w:r>
      <w:r w:rsidR="00E6159C">
        <w:rPr>
          <w:vertAlign w:val="subscript"/>
        </w:rPr>
        <w:t>2</w:t>
      </w:r>
      <w:r w:rsidR="00FA0AEB">
        <w:t>,</w:t>
      </w:r>
      <w:r w:rsidR="00E6159C">
        <w:t xml:space="preserve"> </w:t>
      </w:r>
      <w:r w:rsidR="00E6159C">
        <w:rPr>
          <w:i/>
          <w:iCs/>
        </w:rPr>
        <w:t>H</w:t>
      </w:r>
      <w:r w:rsidR="00E6159C">
        <w:rPr>
          <w:vertAlign w:val="subscript"/>
        </w:rPr>
        <w:t>3</w:t>
      </w:r>
      <w:r w:rsidR="000972A3">
        <w:t>,</w:t>
      </w:r>
      <w:r w:rsidR="00FA0AEB">
        <w:t xml:space="preserve"> </w:t>
      </w:r>
      <w:r w:rsidR="00FA0AEB">
        <w:rPr>
          <w:i/>
          <w:iCs/>
        </w:rPr>
        <w:t>H</w:t>
      </w:r>
      <w:r w:rsidR="00FA0AEB">
        <w:rPr>
          <w:vertAlign w:val="subscript"/>
        </w:rPr>
        <w:t>4</w:t>
      </w:r>
      <w:r w:rsidR="00FA0AEB">
        <w:t xml:space="preserve"> </w:t>
      </w:r>
      <w:r w:rsidR="000972A3">
        <w:t xml:space="preserve">und </w:t>
      </w:r>
      <w:r w:rsidR="000972A3">
        <w:rPr>
          <w:i/>
          <w:iCs/>
        </w:rPr>
        <w:t>H</w:t>
      </w:r>
      <w:r w:rsidR="000972A3">
        <w:rPr>
          <w:vertAlign w:val="subscript"/>
        </w:rPr>
        <w:t>5</w:t>
      </w:r>
      <w:r w:rsidR="000972A3">
        <w:t xml:space="preserve"> </w:t>
      </w:r>
      <w:r w:rsidR="00E6159C">
        <w:t xml:space="preserve">hinzugezogen wurden </w:t>
      </w:r>
      <w:r w:rsidR="00E6159C">
        <w:rPr>
          <w:rFonts w:cs="Times New Roman"/>
        </w:rPr>
        <w:t>–</w:t>
      </w:r>
      <w:r w:rsidR="00E6159C">
        <w:t xml:space="preserve"> zu einem int</w:t>
      </w:r>
      <w:r w:rsidR="00E6159C">
        <w:t>e</w:t>
      </w:r>
      <w:r w:rsidR="00E6159C">
        <w:t>ressanten Ergebnis kommen wird</w:t>
      </w:r>
      <w:r w:rsidR="00C21BA9">
        <w:t>? Hier sind grundsätzlich zwei Erklärungen möglich:</w:t>
      </w:r>
    </w:p>
    <w:p w:rsidR="00C21BA9" w:rsidRDefault="00C21BA9" w:rsidP="00935BF2">
      <w:pPr>
        <w:pStyle w:val="Text"/>
        <w:rPr>
          <w:rFonts w:cs="Times New Roman"/>
        </w:rPr>
      </w:pPr>
      <w:r>
        <w:t>(1)</w:t>
      </w:r>
      <w:r>
        <w:tab/>
      </w:r>
      <w:r w:rsidR="00C42BA7" w:rsidRPr="005A6380">
        <w:rPr>
          <w:i/>
        </w:rPr>
        <w:t xml:space="preserve">Die Wissensraumsuche orientiert sich </w:t>
      </w:r>
      <w:r w:rsidR="000972A3">
        <w:rPr>
          <w:i/>
        </w:rPr>
        <w:t>am unmittelbaren Interesse.</w:t>
      </w:r>
      <w:r w:rsidR="00C42BA7">
        <w:t xml:space="preserve"> Ban</w:t>
      </w:r>
      <w:r w:rsidR="00C42BA7">
        <w:t>k</w:t>
      </w:r>
      <w:r w:rsidR="00C42BA7">
        <w:t xml:space="preserve">raub würde als Element der Kategorie </w:t>
      </w:r>
      <w:r w:rsidR="006A2A2F">
        <w:t>‚</w:t>
      </w:r>
      <w:r w:rsidR="00C42BA7">
        <w:rPr>
          <w:rFonts w:cs="Times New Roman"/>
        </w:rPr>
        <w:t>gesetzwidrige Handlung</w:t>
      </w:r>
      <w:r w:rsidR="006A2A2F">
        <w:rPr>
          <w:rFonts w:cs="Times New Roman"/>
        </w:rPr>
        <w:t>‘</w:t>
      </w:r>
      <w:r w:rsidR="00C42BA7">
        <w:rPr>
          <w:rFonts w:cs="Times New Roman"/>
        </w:rPr>
        <w:t xml:space="preserve"> aufgefasst, weil die Interpretierende ein Interesse an dieser Kategorie von Handlungen hat. Nun könnte eine Suche in demjenigen </w:t>
      </w:r>
      <w:r w:rsidR="00295429">
        <w:rPr>
          <w:rFonts w:cs="Times New Roman"/>
        </w:rPr>
        <w:t>B</w:t>
      </w:r>
      <w:r w:rsidR="00C42BA7">
        <w:rPr>
          <w:rFonts w:cs="Times New Roman"/>
        </w:rPr>
        <w:t>ereich des Wissensraums stattfinden, der sich mit gesetzwidrigen Handlungen befasst</w:t>
      </w:r>
      <w:r w:rsidR="006A2A2F">
        <w:rPr>
          <w:rFonts w:cs="Times New Roman"/>
        </w:rPr>
        <w:t xml:space="preserve">; </w:t>
      </w:r>
      <w:r w:rsidR="00C42BA7">
        <w:rPr>
          <w:rFonts w:cs="Times New Roman"/>
        </w:rPr>
        <w:t xml:space="preserve">durch die in </w:t>
      </w:r>
      <w:r w:rsidR="001F22A9">
        <w:rPr>
          <w:i/>
          <w:iCs/>
        </w:rPr>
        <w:t>Er</w:t>
      </w:r>
      <w:r w:rsidR="00C42BA7">
        <w:rPr>
          <w:vertAlign w:val="subscript"/>
        </w:rPr>
        <w:t>1</w:t>
      </w:r>
      <w:r w:rsidR="00C42BA7">
        <w:rPr>
          <w:rFonts w:cs="Times New Roman"/>
        </w:rPr>
        <w:t xml:space="preserve"> gegebene Information, nämlich dass hier das Eintreffen der Polizei vor Beendigung der gesetzwidrigen Handlung in Kauf genommen wird</w:t>
      </w:r>
      <w:r w:rsidR="00937C2A">
        <w:rPr>
          <w:rFonts w:cs="Times New Roman"/>
        </w:rPr>
        <w:t>, obwohl es vermeidbar wär</w:t>
      </w:r>
      <w:r w:rsidR="001A6B48">
        <w:rPr>
          <w:rFonts w:cs="Times New Roman"/>
        </w:rPr>
        <w:t>e</w:t>
      </w:r>
      <w:r w:rsidR="006A2A2F">
        <w:rPr>
          <w:rFonts w:cs="Times New Roman"/>
        </w:rPr>
        <w:t>, wird das Int</w:t>
      </w:r>
      <w:r w:rsidR="006A2A2F">
        <w:rPr>
          <w:rFonts w:cs="Times New Roman"/>
        </w:rPr>
        <w:t>e</w:t>
      </w:r>
      <w:r w:rsidR="006A2A2F">
        <w:rPr>
          <w:rFonts w:cs="Times New Roman"/>
        </w:rPr>
        <w:t xml:space="preserve">resse auf </w:t>
      </w:r>
      <w:r w:rsidR="006A2A2F">
        <w:rPr>
          <w:i/>
        </w:rPr>
        <w:t>H</w:t>
      </w:r>
      <w:r w:rsidR="006A2A2F">
        <w:rPr>
          <w:vertAlign w:val="subscript"/>
        </w:rPr>
        <w:t>2</w:t>
      </w:r>
      <w:r w:rsidR="006A2A2F">
        <w:rPr>
          <w:rFonts w:cs="Times New Roman"/>
        </w:rPr>
        <w:t xml:space="preserve"> und </w:t>
      </w:r>
      <w:r w:rsidR="006A2A2F">
        <w:rPr>
          <w:i/>
        </w:rPr>
        <w:t>H</w:t>
      </w:r>
      <w:r w:rsidR="006A2A2F">
        <w:rPr>
          <w:vertAlign w:val="subscript"/>
        </w:rPr>
        <w:t>3</w:t>
      </w:r>
      <w:r w:rsidR="006A2A2F">
        <w:rPr>
          <w:rFonts w:cs="Times New Roman"/>
        </w:rPr>
        <w:t xml:space="preserve"> gelenkt</w:t>
      </w:r>
      <w:r w:rsidR="001A6B48">
        <w:rPr>
          <w:rFonts w:cs="Times New Roman"/>
        </w:rPr>
        <w:t>.</w:t>
      </w:r>
      <w:r w:rsidR="006F3450">
        <w:rPr>
          <w:rFonts w:cs="Times New Roman"/>
        </w:rPr>
        <w:t xml:space="preserve"> </w:t>
      </w:r>
      <w:r w:rsidR="006A2A2F">
        <w:rPr>
          <w:rFonts w:cs="Times New Roman"/>
        </w:rPr>
        <w:t>Nun richtet sich das Interesse der Interpretiere</w:t>
      </w:r>
      <w:r w:rsidR="006A2A2F">
        <w:rPr>
          <w:rFonts w:cs="Times New Roman"/>
        </w:rPr>
        <w:t>n</w:t>
      </w:r>
      <w:r w:rsidR="006A2A2F">
        <w:rPr>
          <w:rFonts w:cs="Times New Roman"/>
        </w:rPr>
        <w:t xml:space="preserve">den ausgehend von </w:t>
      </w:r>
      <w:r w:rsidR="006A2A2F">
        <w:rPr>
          <w:i/>
          <w:iCs/>
        </w:rPr>
        <w:t>Er</w:t>
      </w:r>
      <w:r w:rsidR="006A2A2F">
        <w:rPr>
          <w:vertAlign w:val="subscript"/>
        </w:rPr>
        <w:t>1</w:t>
      </w:r>
      <w:r w:rsidR="006A2A2F">
        <w:rPr>
          <w:rFonts w:cs="Times New Roman"/>
        </w:rPr>
        <w:t xml:space="preserve">, </w:t>
      </w:r>
      <w:r w:rsidR="006A2A2F">
        <w:rPr>
          <w:i/>
        </w:rPr>
        <w:t>H</w:t>
      </w:r>
      <w:r w:rsidR="006A2A2F">
        <w:rPr>
          <w:vertAlign w:val="subscript"/>
        </w:rPr>
        <w:t>2</w:t>
      </w:r>
      <w:r w:rsidR="006A2A2F">
        <w:rPr>
          <w:rFonts w:cs="Times New Roman"/>
        </w:rPr>
        <w:t xml:space="preserve"> und </w:t>
      </w:r>
      <w:r w:rsidR="006A2A2F">
        <w:rPr>
          <w:i/>
        </w:rPr>
        <w:t>H</w:t>
      </w:r>
      <w:r w:rsidR="006A2A2F">
        <w:rPr>
          <w:vertAlign w:val="subscript"/>
        </w:rPr>
        <w:t>3</w:t>
      </w:r>
      <w:r w:rsidR="006A2A2F">
        <w:rPr>
          <w:rFonts w:cs="Times New Roman"/>
        </w:rPr>
        <w:t xml:space="preserve"> auf das Eingehen von Risiken; </w:t>
      </w:r>
      <w:r w:rsidR="00295429">
        <w:rPr>
          <w:rFonts w:cs="Times New Roman"/>
        </w:rPr>
        <w:t xml:space="preserve">eine Suche hierzu </w:t>
      </w:r>
      <w:r w:rsidR="006A2A2F">
        <w:rPr>
          <w:rFonts w:cs="Times New Roman"/>
        </w:rPr>
        <w:t xml:space="preserve">im </w:t>
      </w:r>
      <w:r w:rsidR="00295429">
        <w:rPr>
          <w:rFonts w:cs="Times New Roman"/>
        </w:rPr>
        <w:t>Bereich</w:t>
      </w:r>
      <w:r w:rsidR="006A2A2F">
        <w:rPr>
          <w:rFonts w:cs="Times New Roman"/>
        </w:rPr>
        <w:t xml:space="preserve"> ‚Psychologie</w:t>
      </w:r>
      <w:r w:rsidR="005D7996">
        <w:rPr>
          <w:rFonts w:cs="Times New Roman"/>
        </w:rPr>
        <w:fldChar w:fldCharType="begin"/>
      </w:r>
      <w:r w:rsidR="00923CFC">
        <w:instrText xml:space="preserve"> XE "</w:instrText>
      </w:r>
      <w:r w:rsidR="00923CFC" w:rsidRPr="00DF6CA9">
        <w:rPr>
          <w:szCs w:val="17"/>
        </w:rPr>
        <w:instrText>Psychologie</w:instrText>
      </w:r>
      <w:r w:rsidR="00923CFC">
        <w:instrText xml:space="preserve">" </w:instrText>
      </w:r>
      <w:r w:rsidR="005D7996">
        <w:rPr>
          <w:rFonts w:cs="Times New Roman"/>
        </w:rPr>
        <w:fldChar w:fldCharType="end"/>
      </w:r>
      <w:r w:rsidR="006A2A2F">
        <w:rPr>
          <w:rFonts w:cs="Times New Roman"/>
        </w:rPr>
        <w:t xml:space="preserve">‘ </w:t>
      </w:r>
      <w:r w:rsidR="00295429">
        <w:rPr>
          <w:rFonts w:cs="Times New Roman"/>
        </w:rPr>
        <w:t xml:space="preserve">führt zu </w:t>
      </w:r>
      <w:r w:rsidR="00295429">
        <w:rPr>
          <w:i/>
        </w:rPr>
        <w:t>H</w:t>
      </w:r>
      <w:r w:rsidR="00295429">
        <w:rPr>
          <w:vertAlign w:val="subscript"/>
        </w:rPr>
        <w:t>4</w:t>
      </w:r>
      <w:r w:rsidR="00295429">
        <w:rPr>
          <w:rFonts w:cs="Times New Roman"/>
        </w:rPr>
        <w:t>. Nun interessiert die Interpretiere</w:t>
      </w:r>
      <w:r w:rsidR="00295429">
        <w:rPr>
          <w:rFonts w:cs="Times New Roman"/>
        </w:rPr>
        <w:t>n</w:t>
      </w:r>
      <w:r w:rsidR="00295429">
        <w:rPr>
          <w:rFonts w:cs="Times New Roman"/>
        </w:rPr>
        <w:t xml:space="preserve">de die Frage, ob es sich um ein vermeidbares Risiko handelte; im Wissensraum zu ‚Banken‘ findet sich </w:t>
      </w:r>
      <w:r w:rsidR="00295429">
        <w:rPr>
          <w:i/>
        </w:rPr>
        <w:t>H</w:t>
      </w:r>
      <w:r w:rsidR="00295429">
        <w:rPr>
          <w:vertAlign w:val="subscript"/>
        </w:rPr>
        <w:t>5</w:t>
      </w:r>
      <w:r w:rsidR="00295429">
        <w:rPr>
          <w:rFonts w:cs="Times New Roman"/>
        </w:rPr>
        <w:t xml:space="preserve">, so dass nun </w:t>
      </w:r>
      <w:r w:rsidR="00295429">
        <w:rPr>
          <w:i/>
        </w:rPr>
        <w:t>Er</w:t>
      </w:r>
      <w:r w:rsidR="00295429">
        <w:rPr>
          <w:vertAlign w:val="subscript"/>
        </w:rPr>
        <w:t>2</w:t>
      </w:r>
      <w:r w:rsidR="00295429">
        <w:rPr>
          <w:rFonts w:cs="Times New Roman"/>
        </w:rPr>
        <w:t xml:space="preserve"> gebildet werden kann.</w:t>
      </w:r>
    </w:p>
    <w:p w:rsidR="007E1666" w:rsidRDefault="001A6B48" w:rsidP="00935BF2">
      <w:pPr>
        <w:pStyle w:val="Text"/>
        <w:rPr>
          <w:rFonts w:cs="Times New Roman"/>
        </w:rPr>
      </w:pPr>
      <w:r>
        <w:rPr>
          <w:rFonts w:cs="Times New Roman"/>
        </w:rPr>
        <w:t>(2)</w:t>
      </w:r>
      <w:r>
        <w:rPr>
          <w:rFonts w:cs="Times New Roman"/>
        </w:rPr>
        <w:tab/>
      </w:r>
      <w:r w:rsidRPr="009B17A0">
        <w:rPr>
          <w:rFonts w:cs="Times New Roman"/>
          <w:i/>
        </w:rPr>
        <w:t>Die Wissensraumsuche orientiert sich an der Relevanz des möglichen E</w:t>
      </w:r>
      <w:r w:rsidRPr="009B17A0">
        <w:rPr>
          <w:rFonts w:cs="Times New Roman"/>
          <w:i/>
        </w:rPr>
        <w:t>r</w:t>
      </w:r>
      <w:r w:rsidRPr="009B17A0">
        <w:rPr>
          <w:rFonts w:cs="Times New Roman"/>
          <w:i/>
        </w:rPr>
        <w:t>gebnisses</w:t>
      </w:r>
      <w:r w:rsidR="005A6380" w:rsidRPr="009B17A0">
        <w:rPr>
          <w:rFonts w:cs="Times New Roman"/>
          <w:i/>
        </w:rPr>
        <w:t>.</w:t>
      </w:r>
      <w:r w:rsidR="005A6380">
        <w:rPr>
          <w:rFonts w:cs="Times New Roman"/>
        </w:rPr>
        <w:t xml:space="preserve"> In diesem Fall gäbe es </w:t>
      </w:r>
      <w:r>
        <w:rPr>
          <w:rFonts w:cs="Times New Roman"/>
        </w:rPr>
        <w:t>heuristische Regeln, die es ermöglichen, zu rel</w:t>
      </w:r>
      <w:r>
        <w:rPr>
          <w:rFonts w:cs="Times New Roman"/>
        </w:rPr>
        <w:t>e</w:t>
      </w:r>
      <w:r>
        <w:rPr>
          <w:rFonts w:cs="Times New Roman"/>
        </w:rPr>
        <w:t>vanten Ergebnissen hinzuführen, indem sie die dafür nötigen Elemente des Wi</w:t>
      </w:r>
      <w:r>
        <w:rPr>
          <w:rFonts w:cs="Times New Roman"/>
        </w:rPr>
        <w:t>s</w:t>
      </w:r>
      <w:r>
        <w:rPr>
          <w:rFonts w:cs="Times New Roman"/>
        </w:rPr>
        <w:t xml:space="preserve">sensraums hinzuziehen. </w:t>
      </w:r>
      <w:r w:rsidR="00BB511E">
        <w:rPr>
          <w:rFonts w:cs="Times New Roman"/>
        </w:rPr>
        <w:t xml:space="preserve">Die Regel müsste </w:t>
      </w:r>
      <w:r w:rsidR="002244F4">
        <w:rPr>
          <w:i/>
          <w:iCs/>
        </w:rPr>
        <w:t>Er</w:t>
      </w:r>
      <w:r w:rsidR="002244F4">
        <w:rPr>
          <w:vertAlign w:val="subscript"/>
        </w:rPr>
        <w:t>2</w:t>
      </w:r>
      <w:r w:rsidR="002244F4">
        <w:rPr>
          <w:rFonts w:cs="Times New Roman"/>
        </w:rPr>
        <w:t xml:space="preserve"> g</w:t>
      </w:r>
      <w:r w:rsidR="00F75E33">
        <w:rPr>
          <w:rFonts w:cs="Times New Roman"/>
        </w:rPr>
        <w:t>ewissermaßen ‚vorausahnen‘</w:t>
      </w:r>
      <w:r w:rsidR="00BB511E">
        <w:rPr>
          <w:rFonts w:cs="Times New Roman"/>
        </w:rPr>
        <w:t xml:space="preserve">, indem sie an Hinweisen erkennt, dass sich in bereits vorhandenen Elementen eine Information zu einem bestimmten Wissensbereich versteckt. Im konkreten Fall ist das schließlich erreichte Ergebnis die Risikobereitschaft der Bankräuber; die heuristische Regel könnte etwa erkennen, dass in </w:t>
      </w:r>
      <w:r w:rsidR="00331F1D">
        <w:rPr>
          <w:i/>
          <w:iCs/>
        </w:rPr>
        <w:t>Er</w:t>
      </w:r>
      <w:r w:rsidR="00BB511E">
        <w:rPr>
          <w:vertAlign w:val="subscript"/>
        </w:rPr>
        <w:t>1</w:t>
      </w:r>
      <w:r w:rsidR="00BB511E">
        <w:rPr>
          <w:rFonts w:cs="Times New Roman"/>
        </w:rPr>
        <w:t xml:space="preserve"> ein </w:t>
      </w:r>
      <w:r w:rsidR="005A6065">
        <w:rPr>
          <w:rFonts w:cs="Times New Roman"/>
        </w:rPr>
        <w:t>‚</w:t>
      </w:r>
      <w:r w:rsidR="00BB511E">
        <w:rPr>
          <w:rFonts w:cs="Times New Roman"/>
        </w:rPr>
        <w:t>risikoreiches Ve</w:t>
      </w:r>
      <w:r w:rsidR="00BB511E">
        <w:rPr>
          <w:rFonts w:cs="Times New Roman"/>
        </w:rPr>
        <w:t>r</w:t>
      </w:r>
      <w:r w:rsidR="00BB511E">
        <w:rPr>
          <w:rFonts w:cs="Times New Roman"/>
        </w:rPr>
        <w:t>halten</w:t>
      </w:r>
      <w:r w:rsidR="005A6065">
        <w:rPr>
          <w:rFonts w:cs="Times New Roman"/>
        </w:rPr>
        <w:t>‘</w:t>
      </w:r>
      <w:r w:rsidR="00BB511E">
        <w:rPr>
          <w:rFonts w:cs="Times New Roman"/>
        </w:rPr>
        <w:t xml:space="preserve"> beschrieben wird, und nach entsprechenden Elementen im Wissensraum suchen, wobei sie </w:t>
      </w:r>
      <w:r w:rsidR="00BB511E">
        <w:rPr>
          <w:i/>
          <w:iCs/>
        </w:rPr>
        <w:t>H</w:t>
      </w:r>
      <w:r w:rsidR="007E1666">
        <w:rPr>
          <w:vertAlign w:val="subscript"/>
        </w:rPr>
        <w:t>4</w:t>
      </w:r>
      <w:r w:rsidR="00BB511E">
        <w:rPr>
          <w:rFonts w:cs="Times New Roman"/>
        </w:rPr>
        <w:t xml:space="preserve"> </w:t>
      </w:r>
      <w:r w:rsidR="007E1666">
        <w:rPr>
          <w:rFonts w:cs="Times New Roman"/>
        </w:rPr>
        <w:t xml:space="preserve">findet. </w:t>
      </w:r>
      <w:r w:rsidR="007E1666">
        <w:rPr>
          <w:i/>
          <w:iCs/>
        </w:rPr>
        <w:t>H</w:t>
      </w:r>
      <w:r w:rsidR="007E1666">
        <w:rPr>
          <w:vertAlign w:val="subscript"/>
        </w:rPr>
        <w:t>2</w:t>
      </w:r>
      <w:r w:rsidR="007E1666">
        <w:rPr>
          <w:rFonts w:cs="Times New Roman"/>
        </w:rPr>
        <w:t xml:space="preserve"> und </w:t>
      </w:r>
      <w:r w:rsidR="007E1666">
        <w:rPr>
          <w:i/>
          <w:iCs/>
        </w:rPr>
        <w:t>H</w:t>
      </w:r>
      <w:r w:rsidR="007E1666">
        <w:rPr>
          <w:vertAlign w:val="subscript"/>
        </w:rPr>
        <w:t>3</w:t>
      </w:r>
      <w:r w:rsidR="007E1666">
        <w:rPr>
          <w:rFonts w:cs="Times New Roman"/>
        </w:rPr>
        <w:t xml:space="preserve"> schaffen den Übergang; sie können be</w:t>
      </w:r>
      <w:r w:rsidR="007E1666">
        <w:rPr>
          <w:rFonts w:cs="Times New Roman"/>
        </w:rPr>
        <w:t>i</w:t>
      </w:r>
      <w:r w:rsidR="007E1666">
        <w:rPr>
          <w:rFonts w:cs="Times New Roman"/>
        </w:rPr>
        <w:t xml:space="preserve">spielsweise gefunden werden, indem </w:t>
      </w:r>
      <w:r w:rsidR="005A6065">
        <w:rPr>
          <w:rFonts w:cs="Times New Roman"/>
        </w:rPr>
        <w:t xml:space="preserve">im Wissen zum Schema ‚Bankraub‘ nach Informationen </w:t>
      </w:r>
      <w:r w:rsidR="007E1666">
        <w:rPr>
          <w:rFonts w:cs="Times New Roman"/>
        </w:rPr>
        <w:t xml:space="preserve">zu </w:t>
      </w:r>
      <w:r w:rsidR="002244F4">
        <w:rPr>
          <w:rFonts w:cs="Times New Roman"/>
        </w:rPr>
        <w:t xml:space="preserve">‚Risiken‘ gesucht und </w:t>
      </w:r>
      <w:r w:rsidR="002244F4">
        <w:rPr>
          <w:i/>
          <w:iCs/>
        </w:rPr>
        <w:t>H</w:t>
      </w:r>
      <w:r w:rsidR="002244F4">
        <w:rPr>
          <w:vertAlign w:val="subscript"/>
        </w:rPr>
        <w:t>3</w:t>
      </w:r>
      <w:r w:rsidR="002244F4">
        <w:rPr>
          <w:rFonts w:cs="Times New Roman"/>
        </w:rPr>
        <w:t xml:space="preserve"> gefunden wird, woraufhin im Wissen zu ‚gesetzwidrigen Handlungen‘ allgemein überprüft wird, welche Bedingungen für dieses Risiko gelten, und </w:t>
      </w:r>
      <w:r w:rsidR="002244F4">
        <w:rPr>
          <w:i/>
          <w:iCs/>
        </w:rPr>
        <w:t>H</w:t>
      </w:r>
      <w:r w:rsidR="002244F4">
        <w:rPr>
          <w:vertAlign w:val="subscript"/>
        </w:rPr>
        <w:t>2</w:t>
      </w:r>
      <w:r w:rsidR="002244F4">
        <w:rPr>
          <w:rFonts w:cs="Times New Roman"/>
        </w:rPr>
        <w:t xml:space="preserve"> gefunden wird. Um zu überprüfen, ob das ve</w:t>
      </w:r>
      <w:r w:rsidR="002244F4">
        <w:rPr>
          <w:rFonts w:cs="Times New Roman"/>
        </w:rPr>
        <w:t>r</w:t>
      </w:r>
      <w:r w:rsidR="002244F4">
        <w:rPr>
          <w:rFonts w:cs="Times New Roman"/>
        </w:rPr>
        <w:t xml:space="preserve">mutete Risiko auch wirklich vorliegt, wird nun die Vermeidbarkeit des Risikos geprüft, und es wird </w:t>
      </w:r>
      <w:r w:rsidR="002244F4">
        <w:rPr>
          <w:i/>
          <w:iCs/>
        </w:rPr>
        <w:t>H</w:t>
      </w:r>
      <w:r w:rsidR="002244F4">
        <w:rPr>
          <w:vertAlign w:val="subscript"/>
        </w:rPr>
        <w:t>5</w:t>
      </w:r>
      <w:r w:rsidR="002244F4">
        <w:rPr>
          <w:rFonts w:cs="Times New Roman"/>
        </w:rPr>
        <w:t xml:space="preserve"> gefunden, woraufhin </w:t>
      </w:r>
      <w:r w:rsidR="002244F4">
        <w:rPr>
          <w:i/>
          <w:iCs/>
        </w:rPr>
        <w:t>Er</w:t>
      </w:r>
      <w:r w:rsidR="002244F4">
        <w:rPr>
          <w:vertAlign w:val="subscript"/>
        </w:rPr>
        <w:t>2</w:t>
      </w:r>
      <w:r w:rsidR="002244F4">
        <w:rPr>
          <w:rFonts w:cs="Times New Roman"/>
        </w:rPr>
        <w:t>, das vorher nur vermutet we</w:t>
      </w:r>
      <w:r w:rsidR="002244F4">
        <w:rPr>
          <w:rFonts w:cs="Times New Roman"/>
        </w:rPr>
        <w:t>r</w:t>
      </w:r>
      <w:r w:rsidR="002244F4">
        <w:rPr>
          <w:rFonts w:cs="Times New Roman"/>
        </w:rPr>
        <w:t>den konnte, deduktiv abgeleitet wird.</w:t>
      </w:r>
    </w:p>
    <w:p w:rsidR="00257325" w:rsidRDefault="00BB511E" w:rsidP="00763790">
      <w:pPr>
        <w:pStyle w:val="Text"/>
        <w:rPr>
          <w:rFonts w:cs="Times New Roman"/>
        </w:rPr>
      </w:pPr>
      <w:r>
        <w:rPr>
          <w:rFonts w:cs="Times New Roman"/>
        </w:rPr>
        <w:t xml:space="preserve">Möglich wäre auch, dass erkannt wird, dass es sich um ein </w:t>
      </w:r>
      <w:r w:rsidR="006C0DA5">
        <w:rPr>
          <w:rFonts w:cs="Times New Roman"/>
        </w:rPr>
        <w:t xml:space="preserve">psychologisch </w:t>
      </w:r>
      <w:r>
        <w:rPr>
          <w:rFonts w:cs="Times New Roman"/>
        </w:rPr>
        <w:t>r</w:t>
      </w:r>
      <w:r>
        <w:rPr>
          <w:rFonts w:cs="Times New Roman"/>
        </w:rPr>
        <w:t>e</w:t>
      </w:r>
      <w:r>
        <w:rPr>
          <w:rFonts w:cs="Times New Roman"/>
        </w:rPr>
        <w:t>levantes Verhal</w:t>
      </w:r>
      <w:r w:rsidR="007E1666">
        <w:rPr>
          <w:rFonts w:cs="Times New Roman"/>
        </w:rPr>
        <w:t>t</w:t>
      </w:r>
      <w:r>
        <w:rPr>
          <w:rFonts w:cs="Times New Roman"/>
        </w:rPr>
        <w:t xml:space="preserve">en handelt. In diesem Fall würde nicht das konkrete Ergebnis </w:t>
      </w:r>
      <w:r w:rsidR="001929B8">
        <w:rPr>
          <w:i/>
          <w:iCs/>
        </w:rPr>
        <w:t>Er</w:t>
      </w:r>
      <w:r>
        <w:rPr>
          <w:vertAlign w:val="subscript"/>
        </w:rPr>
        <w:t>2</w:t>
      </w:r>
      <w:r>
        <w:rPr>
          <w:rFonts w:cs="Times New Roman"/>
        </w:rPr>
        <w:t xml:space="preserve">, wohl aber der Bereich dieses Ergebnisses, </w:t>
      </w:r>
      <w:r w:rsidR="006C0DA5">
        <w:rPr>
          <w:rFonts w:cs="Times New Roman"/>
        </w:rPr>
        <w:t>die Psychologie</w:t>
      </w:r>
      <w:r w:rsidR="005D7996">
        <w:rPr>
          <w:rFonts w:cs="Times New Roman"/>
        </w:rPr>
        <w:fldChar w:fldCharType="begin"/>
      </w:r>
      <w:r w:rsidR="00923CFC">
        <w:instrText xml:space="preserve"> XE "</w:instrText>
      </w:r>
      <w:r w:rsidR="00923CFC" w:rsidRPr="00DF6CA9">
        <w:rPr>
          <w:szCs w:val="17"/>
        </w:rPr>
        <w:instrText>Psychologie</w:instrText>
      </w:r>
      <w:r w:rsidR="00923CFC">
        <w:instrText xml:space="preserve">" </w:instrText>
      </w:r>
      <w:r w:rsidR="005D7996">
        <w:rPr>
          <w:rFonts w:cs="Times New Roman"/>
        </w:rPr>
        <w:fldChar w:fldCharType="end"/>
      </w:r>
      <w:r w:rsidR="00257325">
        <w:rPr>
          <w:rFonts w:cs="Times New Roman"/>
        </w:rPr>
        <w:t xml:space="preserve">, </w:t>
      </w:r>
      <w:r w:rsidR="000E440B">
        <w:rPr>
          <w:rFonts w:cs="Times New Roman"/>
        </w:rPr>
        <w:t xml:space="preserve">gewissermaßen </w:t>
      </w:r>
      <w:r w:rsidR="00257325">
        <w:rPr>
          <w:rFonts w:cs="Times New Roman"/>
        </w:rPr>
        <w:t xml:space="preserve">vorausgeahnt. Allerdings ergäbe sich </w:t>
      </w:r>
      <w:r w:rsidR="001929B8">
        <w:rPr>
          <w:rFonts w:cs="Times New Roman"/>
        </w:rPr>
        <w:t xml:space="preserve">daraus keine direkte </w:t>
      </w:r>
      <w:r w:rsidR="00257325">
        <w:rPr>
          <w:rFonts w:cs="Times New Roman"/>
        </w:rPr>
        <w:t xml:space="preserve">Suchmöglichkeit für </w:t>
      </w:r>
      <w:r w:rsidR="00257325">
        <w:rPr>
          <w:i/>
          <w:iCs/>
        </w:rPr>
        <w:lastRenderedPageBreak/>
        <w:t>H</w:t>
      </w:r>
      <w:r w:rsidR="001929B8">
        <w:rPr>
          <w:vertAlign w:val="subscript"/>
        </w:rPr>
        <w:t>4</w:t>
      </w:r>
      <w:r w:rsidR="00257325">
        <w:rPr>
          <w:rFonts w:cs="Times New Roman"/>
        </w:rPr>
        <w:t xml:space="preserve">; es könnte </w:t>
      </w:r>
      <w:r w:rsidR="001929B8">
        <w:rPr>
          <w:rFonts w:cs="Times New Roman"/>
        </w:rPr>
        <w:t xml:space="preserve">aber </w:t>
      </w:r>
      <w:r w:rsidR="00257325">
        <w:rPr>
          <w:rFonts w:cs="Times New Roman"/>
        </w:rPr>
        <w:t>etwa zusätzlich erkannt werden, dass es sich beim beschri</w:t>
      </w:r>
      <w:r w:rsidR="00257325">
        <w:rPr>
          <w:rFonts w:cs="Times New Roman"/>
        </w:rPr>
        <w:t>e</w:t>
      </w:r>
      <w:r w:rsidR="00257325">
        <w:rPr>
          <w:rFonts w:cs="Times New Roman"/>
        </w:rPr>
        <w:t xml:space="preserve">benen Verhalten um ein solches mit </w:t>
      </w:r>
      <w:r w:rsidR="002244F4">
        <w:rPr>
          <w:rFonts w:cs="Times New Roman"/>
        </w:rPr>
        <w:t>‚</w:t>
      </w:r>
      <w:r w:rsidR="00257325">
        <w:rPr>
          <w:rFonts w:cs="Times New Roman"/>
        </w:rPr>
        <w:t>negativen Folgen</w:t>
      </w:r>
      <w:r w:rsidR="002244F4">
        <w:rPr>
          <w:rFonts w:cs="Times New Roman"/>
        </w:rPr>
        <w:t>‘</w:t>
      </w:r>
      <w:r w:rsidR="00257325">
        <w:rPr>
          <w:rFonts w:cs="Times New Roman"/>
        </w:rPr>
        <w:t xml:space="preserve"> handelt, und dass sich daraus interessante Konsequenzen für </w:t>
      </w:r>
      <w:r w:rsidR="006C0DA5">
        <w:rPr>
          <w:rFonts w:cs="Times New Roman"/>
        </w:rPr>
        <w:t xml:space="preserve">die Psychologie </w:t>
      </w:r>
      <w:r w:rsidR="00257325">
        <w:rPr>
          <w:rFonts w:cs="Times New Roman"/>
        </w:rPr>
        <w:t>der Han</w:t>
      </w:r>
      <w:r w:rsidR="001929B8">
        <w:rPr>
          <w:rFonts w:cs="Times New Roman"/>
        </w:rPr>
        <w:t>d</w:t>
      </w:r>
      <w:r w:rsidR="00257325">
        <w:rPr>
          <w:rFonts w:cs="Times New Roman"/>
        </w:rPr>
        <w:t xml:space="preserve">elnden ergeben könnten. Auf dieser Basis </w:t>
      </w:r>
      <w:r w:rsidR="001929B8">
        <w:rPr>
          <w:rFonts w:cs="Times New Roman"/>
        </w:rPr>
        <w:t xml:space="preserve">würde </w:t>
      </w:r>
      <w:r w:rsidR="00257325">
        <w:rPr>
          <w:rFonts w:cs="Times New Roman"/>
        </w:rPr>
        <w:t xml:space="preserve">dann nach Elementen mit Informationen zu Handlungen mit </w:t>
      </w:r>
      <w:r w:rsidR="002244F4">
        <w:rPr>
          <w:rFonts w:cs="Times New Roman"/>
        </w:rPr>
        <w:t>‚</w:t>
      </w:r>
      <w:r w:rsidR="00257325">
        <w:rPr>
          <w:rFonts w:cs="Times New Roman"/>
        </w:rPr>
        <w:t>negativen Folgen</w:t>
      </w:r>
      <w:r w:rsidR="002244F4">
        <w:rPr>
          <w:rFonts w:cs="Times New Roman"/>
        </w:rPr>
        <w:t>‘</w:t>
      </w:r>
      <w:r w:rsidR="00257325">
        <w:rPr>
          <w:rFonts w:cs="Times New Roman"/>
        </w:rPr>
        <w:t xml:space="preserve"> gesucht werden, die zudem zum Inhalt von </w:t>
      </w:r>
      <w:r w:rsidR="001929B8">
        <w:rPr>
          <w:i/>
          <w:iCs/>
        </w:rPr>
        <w:t>Er</w:t>
      </w:r>
      <w:r w:rsidR="00257325">
        <w:rPr>
          <w:vertAlign w:val="subscript"/>
        </w:rPr>
        <w:t>1</w:t>
      </w:r>
      <w:r w:rsidR="00257325">
        <w:rPr>
          <w:rFonts w:cs="Times New Roman"/>
        </w:rPr>
        <w:t xml:space="preserve"> passen, wodurch </w:t>
      </w:r>
      <w:r w:rsidR="00257325">
        <w:rPr>
          <w:i/>
          <w:iCs/>
        </w:rPr>
        <w:t>H</w:t>
      </w:r>
      <w:r w:rsidR="001929B8">
        <w:rPr>
          <w:vertAlign w:val="subscript"/>
        </w:rPr>
        <w:t>2</w:t>
      </w:r>
      <w:r w:rsidR="00257325">
        <w:rPr>
          <w:rFonts w:cs="Times New Roman"/>
        </w:rPr>
        <w:t xml:space="preserve"> gefunden würde.</w:t>
      </w:r>
      <w:r w:rsidR="001929B8">
        <w:rPr>
          <w:rFonts w:cs="Times New Roman"/>
        </w:rPr>
        <w:t xml:space="preserve"> </w:t>
      </w:r>
      <w:r w:rsidR="001929B8">
        <w:rPr>
          <w:i/>
          <w:iCs/>
        </w:rPr>
        <w:t>H</w:t>
      </w:r>
      <w:r w:rsidR="001929B8">
        <w:rPr>
          <w:vertAlign w:val="subscript"/>
        </w:rPr>
        <w:t>3</w:t>
      </w:r>
      <w:r w:rsidR="001929B8">
        <w:rPr>
          <w:rFonts w:cs="Times New Roman"/>
        </w:rPr>
        <w:t xml:space="preserve"> ergibt sich als Verbindung zw</w:t>
      </w:r>
      <w:r w:rsidR="001929B8">
        <w:rPr>
          <w:rFonts w:cs="Times New Roman"/>
        </w:rPr>
        <w:t>i</w:t>
      </w:r>
      <w:r w:rsidR="001929B8">
        <w:rPr>
          <w:rFonts w:cs="Times New Roman"/>
        </w:rPr>
        <w:t xml:space="preserve">schen </w:t>
      </w:r>
      <w:r w:rsidR="001929B8">
        <w:rPr>
          <w:i/>
          <w:iCs/>
        </w:rPr>
        <w:t>Er</w:t>
      </w:r>
      <w:r w:rsidR="001929B8">
        <w:rPr>
          <w:vertAlign w:val="subscript"/>
        </w:rPr>
        <w:t>1</w:t>
      </w:r>
      <w:r w:rsidR="001929B8">
        <w:rPr>
          <w:rFonts w:cs="Times New Roman"/>
        </w:rPr>
        <w:t xml:space="preserve"> und </w:t>
      </w:r>
      <w:r w:rsidR="001929B8">
        <w:rPr>
          <w:i/>
          <w:iCs/>
        </w:rPr>
        <w:t>H</w:t>
      </w:r>
      <w:r w:rsidR="001929B8">
        <w:rPr>
          <w:vertAlign w:val="subscript"/>
        </w:rPr>
        <w:t>2</w:t>
      </w:r>
      <w:r w:rsidR="001929B8">
        <w:rPr>
          <w:rFonts w:cs="Times New Roman"/>
        </w:rPr>
        <w:t xml:space="preserve">. Nun kann im Wissensbereich </w:t>
      </w:r>
      <w:r w:rsidR="000E440B">
        <w:rPr>
          <w:rFonts w:cs="Times New Roman"/>
        </w:rPr>
        <w:t>„</w:t>
      </w:r>
      <w:r w:rsidR="001929B8">
        <w:rPr>
          <w:rFonts w:cs="Times New Roman"/>
        </w:rPr>
        <w:t>Handlungsdispositionen</w:t>
      </w:r>
      <w:r w:rsidR="000E440B">
        <w:rPr>
          <w:rFonts w:cs="Times New Roman"/>
        </w:rPr>
        <w:t>“</w:t>
      </w:r>
      <w:r w:rsidR="001929B8">
        <w:rPr>
          <w:rFonts w:cs="Times New Roman"/>
        </w:rPr>
        <w:t xml:space="preserve"> g</w:t>
      </w:r>
      <w:r w:rsidR="001929B8">
        <w:rPr>
          <w:rFonts w:cs="Times New Roman"/>
        </w:rPr>
        <w:t>e</w:t>
      </w:r>
      <w:r w:rsidR="001929B8">
        <w:rPr>
          <w:rFonts w:cs="Times New Roman"/>
        </w:rPr>
        <w:t>sucht werden, welche</w:t>
      </w:r>
      <w:r w:rsidR="006C0DA5">
        <w:rPr>
          <w:rFonts w:cs="Times New Roman"/>
        </w:rPr>
        <w:t>s</w:t>
      </w:r>
      <w:r w:rsidR="001929B8">
        <w:rPr>
          <w:rFonts w:cs="Times New Roman"/>
        </w:rPr>
        <w:t xml:space="preserve"> </w:t>
      </w:r>
      <w:r w:rsidR="006C0DA5">
        <w:rPr>
          <w:rFonts w:cs="Times New Roman"/>
        </w:rPr>
        <w:t>psychologische Profil sich ergibt</w:t>
      </w:r>
      <w:r w:rsidR="001929B8">
        <w:rPr>
          <w:rFonts w:cs="Times New Roman"/>
        </w:rPr>
        <w:t xml:space="preserve">, wenn negative Folgen in Kauf genommen werden, wodurch </w:t>
      </w:r>
      <w:r w:rsidR="001929B8">
        <w:rPr>
          <w:i/>
          <w:iCs/>
        </w:rPr>
        <w:t>H</w:t>
      </w:r>
      <w:r w:rsidR="001929B8">
        <w:rPr>
          <w:vertAlign w:val="subscript"/>
        </w:rPr>
        <w:t>4</w:t>
      </w:r>
      <w:r w:rsidR="001929B8">
        <w:rPr>
          <w:rFonts w:cs="Times New Roman"/>
        </w:rPr>
        <w:t xml:space="preserve"> gefunden wird.</w:t>
      </w:r>
      <w:r w:rsidR="006C0DA5">
        <w:rPr>
          <w:rFonts w:cs="Times New Roman"/>
        </w:rPr>
        <w:t xml:space="preserve"> Aus dem Wissen zur psychologischen Eigenschaft ‚Risikobereitschaft‘ wird die Vermeidbarkeit als relevant</w:t>
      </w:r>
      <w:r w:rsidR="008C7728">
        <w:rPr>
          <w:rFonts w:cs="Times New Roman"/>
        </w:rPr>
        <w:t xml:space="preserve"> erkannt, zu deren Überprüfung beim betrach</w:t>
      </w:r>
      <w:r w:rsidR="000E440B">
        <w:rPr>
          <w:rFonts w:cs="Times New Roman"/>
        </w:rPr>
        <w:t>teten Verhalten wird Wi</w:t>
      </w:r>
      <w:r w:rsidR="000E440B">
        <w:rPr>
          <w:rFonts w:cs="Times New Roman"/>
        </w:rPr>
        <w:t>s</w:t>
      </w:r>
      <w:r w:rsidR="000E440B">
        <w:rPr>
          <w:rFonts w:cs="Times New Roman"/>
        </w:rPr>
        <w:t>sen zu „</w:t>
      </w:r>
      <w:r w:rsidR="008C7728">
        <w:rPr>
          <w:rFonts w:cs="Times New Roman"/>
        </w:rPr>
        <w:t>Banken</w:t>
      </w:r>
      <w:r w:rsidR="000E440B">
        <w:rPr>
          <w:rFonts w:cs="Times New Roman"/>
        </w:rPr>
        <w:t>“</w:t>
      </w:r>
      <w:r w:rsidR="008C7728">
        <w:rPr>
          <w:rFonts w:cs="Times New Roman"/>
        </w:rPr>
        <w:t xml:space="preserve"> (oder </w:t>
      </w:r>
      <w:r w:rsidR="000E440B">
        <w:rPr>
          <w:rFonts w:cs="Times New Roman"/>
        </w:rPr>
        <w:t>„</w:t>
      </w:r>
      <w:r w:rsidR="008C7728">
        <w:rPr>
          <w:rFonts w:cs="Times New Roman"/>
        </w:rPr>
        <w:t>Banküberfällen</w:t>
      </w:r>
      <w:r w:rsidR="000E440B">
        <w:rPr>
          <w:rFonts w:cs="Times New Roman"/>
        </w:rPr>
        <w:t>“</w:t>
      </w:r>
      <w:r w:rsidR="008C7728">
        <w:rPr>
          <w:rFonts w:cs="Times New Roman"/>
        </w:rPr>
        <w:t xml:space="preserve">) gesucht, wobei sich </w:t>
      </w:r>
      <w:r w:rsidR="006C0DA5">
        <w:rPr>
          <w:i/>
          <w:iCs/>
        </w:rPr>
        <w:t>H</w:t>
      </w:r>
      <w:r w:rsidR="006C0DA5">
        <w:rPr>
          <w:vertAlign w:val="subscript"/>
        </w:rPr>
        <w:t>5</w:t>
      </w:r>
      <w:r w:rsidR="006C0DA5">
        <w:rPr>
          <w:rFonts w:cs="Times New Roman"/>
        </w:rPr>
        <w:t xml:space="preserve"> </w:t>
      </w:r>
      <w:r w:rsidR="008C7728">
        <w:rPr>
          <w:rFonts w:cs="Times New Roman"/>
        </w:rPr>
        <w:t xml:space="preserve">findet und </w:t>
      </w:r>
      <w:r w:rsidR="008C7728">
        <w:rPr>
          <w:i/>
          <w:iCs/>
        </w:rPr>
        <w:t>Er</w:t>
      </w:r>
      <w:r w:rsidR="008C7728">
        <w:rPr>
          <w:vertAlign w:val="subscript"/>
        </w:rPr>
        <w:t>2</w:t>
      </w:r>
      <w:r w:rsidR="008C7728">
        <w:rPr>
          <w:rFonts w:cs="Times New Roman"/>
        </w:rPr>
        <w:t xml:space="preserve"> geschlossen werden kann.</w:t>
      </w:r>
    </w:p>
    <w:p w:rsidR="00023483" w:rsidRDefault="00C53ECE" w:rsidP="00257325">
      <w:r>
        <w:t xml:space="preserve">Beide Suchmethoden sind denkbar, wobei deutlich geworden sein dürfte, dass die in </w:t>
      </w:r>
      <w:r w:rsidR="00257325">
        <w:t>(2) beschriebene holistische Methode</w:t>
      </w:r>
      <w:r w:rsidR="005D7996">
        <w:fldChar w:fldCharType="begin"/>
      </w:r>
      <w:r w:rsidR="00D32BFE">
        <w:instrText xml:space="preserve"> XE "</w:instrText>
      </w:r>
      <w:r w:rsidR="00D32BFE" w:rsidRPr="00ED666A">
        <w:instrText>Holismus</w:instrText>
      </w:r>
      <w:r w:rsidR="00D32BFE">
        <w:instrText xml:space="preserve">" </w:instrText>
      </w:r>
      <w:r w:rsidR="005D7996">
        <w:fldChar w:fldCharType="end"/>
      </w:r>
      <w:r w:rsidR="00257325">
        <w:t>, die das Ergebnis gewisserm</w:t>
      </w:r>
      <w:r w:rsidR="00257325">
        <w:t>a</w:t>
      </w:r>
      <w:r w:rsidR="00257325">
        <w:t>ßen vorausahnt (</w:t>
      </w:r>
      <w:r w:rsidR="00023483">
        <w:t xml:space="preserve">wofür erforderlich ist, dass sie den vorhandenen Input, hier </w:t>
      </w:r>
      <w:r w:rsidR="00023483">
        <w:rPr>
          <w:i/>
          <w:iCs/>
        </w:rPr>
        <w:t>Er</w:t>
      </w:r>
      <w:r w:rsidR="00023483">
        <w:rPr>
          <w:vertAlign w:val="subscript"/>
        </w:rPr>
        <w:t>1</w:t>
      </w:r>
      <w:r w:rsidR="00023483">
        <w:t xml:space="preserve">, einem konkreten Wissensbereich wie </w:t>
      </w:r>
      <w:r w:rsidR="000E440B">
        <w:t>„</w:t>
      </w:r>
      <w:r w:rsidR="00023483">
        <w:t>Risikobereitschaft</w:t>
      </w:r>
      <w:r w:rsidR="000E440B">
        <w:t>“</w:t>
      </w:r>
      <w:r w:rsidR="00023483">
        <w:t xml:space="preserve"> oder zumindest </w:t>
      </w:r>
      <w:r w:rsidR="000E440B">
        <w:t>„</w:t>
      </w:r>
      <w:r w:rsidR="00023483">
        <w:t>Ps</w:t>
      </w:r>
      <w:r w:rsidR="00023483">
        <w:t>y</w:t>
      </w:r>
      <w:r w:rsidR="00023483">
        <w:t>chologie</w:t>
      </w:r>
      <w:r w:rsidR="005D7996">
        <w:fldChar w:fldCharType="begin"/>
      </w:r>
      <w:r w:rsidR="00923CFC">
        <w:instrText xml:space="preserve"> XE "</w:instrText>
      </w:r>
      <w:r w:rsidR="00923CFC" w:rsidRPr="00DF6CA9">
        <w:rPr>
          <w:szCs w:val="17"/>
        </w:rPr>
        <w:instrText>Psychologie</w:instrText>
      </w:r>
      <w:r w:rsidR="00923CFC">
        <w:instrText xml:space="preserve">" </w:instrText>
      </w:r>
      <w:r w:rsidR="005D7996">
        <w:fldChar w:fldCharType="end"/>
      </w:r>
      <w:r w:rsidR="000E440B">
        <w:t>“</w:t>
      </w:r>
      <w:r w:rsidR="00023483">
        <w:t xml:space="preserve"> zuordnen kann), eine leistungsfähigere Heuristik voraussetzt. Dies ist aber durchaus möglich; </w:t>
      </w:r>
      <w:r w:rsidR="00257325">
        <w:t xml:space="preserve">Menschen scheinen oft die Fähigkeit zu haben, sich </w:t>
      </w:r>
      <w:r w:rsidR="00023483">
        <w:t xml:space="preserve">in ihrem Denken </w:t>
      </w:r>
      <w:r w:rsidR="00257325">
        <w:t xml:space="preserve">von </w:t>
      </w:r>
      <w:r w:rsidR="00023483">
        <w:t xml:space="preserve">erstaunlich treffsicheren </w:t>
      </w:r>
      <w:r w:rsidR="00257325">
        <w:t>Intuitionen über mögliche Ergebni</w:t>
      </w:r>
      <w:r w:rsidR="00257325">
        <w:t>s</w:t>
      </w:r>
      <w:r w:rsidR="00257325">
        <w:t>se leiten zu lassen</w:t>
      </w:r>
      <w:r w:rsidR="00A75A5A">
        <w:t xml:space="preserve">, </w:t>
      </w:r>
      <w:r w:rsidR="00023483">
        <w:t xml:space="preserve">mit </w:t>
      </w:r>
      <w:r w:rsidR="00A75A5A">
        <w:t xml:space="preserve">deren Hilfe sie dann präzise Herleitungen </w:t>
      </w:r>
      <w:r w:rsidR="00023483">
        <w:t>‚rückwärts‘ vom Ergebnis her konstruieren können. In jedem Fall dürfte deutlich geworden sein, dass für einen Interpretationsschritt oft mehrere Suchvorgänge im Wissen</w:t>
      </w:r>
      <w:r w:rsidR="00023483">
        <w:t>s</w:t>
      </w:r>
      <w:r w:rsidR="00023483">
        <w:t xml:space="preserve">raum erforderlich sind, wobei Zwischenergebnisse </w:t>
      </w:r>
      <w:r w:rsidR="007822E0">
        <w:t xml:space="preserve">entstehen </w:t>
      </w:r>
      <w:r w:rsidR="00023483">
        <w:t>(</w:t>
      </w:r>
      <w:r w:rsidR="00237776">
        <w:t xml:space="preserve">diese haben </w:t>
      </w:r>
      <w:r w:rsidR="00023483">
        <w:t xml:space="preserve">bei (1) </w:t>
      </w:r>
      <w:r w:rsidR="00237776">
        <w:t xml:space="preserve">die </w:t>
      </w:r>
      <w:r w:rsidR="00023483">
        <w:t xml:space="preserve">Form von </w:t>
      </w:r>
      <w:r w:rsidR="00237776">
        <w:t>einem neuen Interesseschwerpunkt</w:t>
      </w:r>
      <w:r w:rsidR="00023483">
        <w:t xml:space="preserve">, bei (2) </w:t>
      </w:r>
      <w:r w:rsidR="00237776">
        <w:t xml:space="preserve">die </w:t>
      </w:r>
      <w:r w:rsidR="00023483">
        <w:t>Form von eine</w:t>
      </w:r>
      <w:r w:rsidR="00237776">
        <w:t>m</w:t>
      </w:r>
      <w:r w:rsidR="007822E0">
        <w:t xml:space="preserve"> </w:t>
      </w:r>
      <w:r w:rsidR="00237776">
        <w:t xml:space="preserve">neuen </w:t>
      </w:r>
      <w:r w:rsidR="007822E0">
        <w:t>Wissensbereich, für den ein Ergebnis vorausgeahnt wird).</w:t>
      </w:r>
    </w:p>
    <w:p w:rsidR="00D2554C" w:rsidRPr="00E926D9" w:rsidRDefault="00E926D9" w:rsidP="00763790">
      <w:pPr>
        <w:pStyle w:val="Zwischenberschrift"/>
      </w:pPr>
      <w:r w:rsidRPr="00E926D9">
        <w:t>Allgemeine Interpretation vs. Stilinterpretation</w:t>
      </w:r>
    </w:p>
    <w:p w:rsidR="00D2554C" w:rsidRDefault="00D2554C" w:rsidP="00763790">
      <w:pPr>
        <w:pStyle w:val="Text"/>
        <w:ind w:firstLine="0"/>
      </w:pPr>
      <w:r>
        <w:t xml:space="preserve">An dem </w:t>
      </w:r>
      <w:r w:rsidR="004D67BB">
        <w:t>betrachteten Bankraub-Beispiel</w:t>
      </w:r>
      <w:r>
        <w:t xml:space="preserve"> läss</w:t>
      </w:r>
      <w:r w:rsidR="00EF48A4">
        <w:t>t sich auch eine Sch</w:t>
      </w:r>
      <w:r>
        <w:t>w</w:t>
      </w:r>
      <w:r w:rsidR="00EF48A4">
        <w:t>i</w:t>
      </w:r>
      <w:r>
        <w:t xml:space="preserve">erigkeit bei der Formulierung von Merkmalsregeln demonstrieren, die auftritt, wenn nur eine Realisierung zur Verfügung </w:t>
      </w:r>
      <w:r w:rsidR="00996CFD">
        <w:t>steht</w:t>
      </w:r>
      <w:r>
        <w:t>.</w:t>
      </w:r>
      <w:r w:rsidR="00996CFD">
        <w:rPr>
          <w:rStyle w:val="Funotenzeichen"/>
        </w:rPr>
        <w:footnoteReference w:id="502"/>
      </w:r>
      <w:r>
        <w:t xml:space="preserve"> Einige der oben genannten Merkmalsregeln sind für einen Stil vermutlich bereits zu genau: </w:t>
      </w:r>
      <w:r>
        <w:rPr>
          <w:i/>
          <w:iCs/>
        </w:rPr>
        <w:t>B</w:t>
      </w:r>
      <w:r>
        <w:rPr>
          <w:vertAlign w:val="subscript"/>
        </w:rPr>
        <w:t>7</w:t>
      </w:r>
      <w:r>
        <w:t xml:space="preserve"> und </w:t>
      </w:r>
      <w:r>
        <w:rPr>
          <w:i/>
          <w:iCs/>
        </w:rPr>
        <w:t>B</w:t>
      </w:r>
      <w:r>
        <w:rPr>
          <w:vertAlign w:val="subscript"/>
        </w:rPr>
        <w:t>8</w:t>
      </w:r>
      <w:r>
        <w:t xml:space="preserve"> beziehen sich wah</w:t>
      </w:r>
      <w:r>
        <w:t>r</w:t>
      </w:r>
      <w:r>
        <w:t xml:space="preserve">scheinlich teilweise auf Merkmale der konkreten Situation, geben also nicht nur stilistische </w:t>
      </w:r>
      <w:r w:rsidR="00B93566">
        <w:t xml:space="preserve">Merkmale </w:t>
      </w:r>
      <w:r>
        <w:t xml:space="preserve">wieder; </w:t>
      </w:r>
      <w:r w:rsidR="005042AE">
        <w:t xml:space="preserve">dafür </w:t>
      </w:r>
      <w:r>
        <w:t>müssten sie allgemeiner formuliert werden (et</w:t>
      </w:r>
      <w:r w:rsidR="000E440B">
        <w:t>wa ‚rasche Durchführung‘ oder ‚</w:t>
      </w:r>
      <w:r>
        <w:t xml:space="preserve">die Fahrtzeit von der nächsten </w:t>
      </w:r>
      <w:r w:rsidR="009B0BC0">
        <w:t>Polizeistation kann kürzer sein</w:t>
      </w:r>
      <w:r>
        <w:t xml:space="preserve"> als die voraussichtliche Durchführungszeit</w:t>
      </w:r>
      <w:r w:rsidR="000E440B">
        <w:t>‘</w:t>
      </w:r>
      <w:r>
        <w:t>). Bei</w:t>
      </w:r>
      <w:r>
        <w:rPr>
          <w:i/>
          <w:iCs/>
        </w:rPr>
        <w:t xml:space="preserve"> B</w:t>
      </w:r>
      <w:r>
        <w:rPr>
          <w:vertAlign w:val="subscript"/>
        </w:rPr>
        <w:t>9</w:t>
      </w:r>
      <w:r>
        <w:t xml:space="preserve"> könnte die genaue Bewaffnung von Kontextumständen abhängig sein (etwa der Anzahl der Angestellten der Bank oder der Besatzungsstärke der nächsten Polizeistation), in diesem Fall müsste die Formulierung allgemeiner (z.B. als </w:t>
      </w:r>
      <w:r w:rsidR="000E440B">
        <w:t>‚</w:t>
      </w:r>
      <w:r>
        <w:t>mittelschwere B</w:t>
      </w:r>
      <w:r>
        <w:t>e</w:t>
      </w:r>
      <w:r>
        <w:lastRenderedPageBreak/>
        <w:t>waffnung</w:t>
      </w:r>
      <w:r w:rsidR="000E440B">
        <w:t>‘</w:t>
      </w:r>
      <w:r>
        <w:t>) oder mit Fallunterscheidungen (</w:t>
      </w:r>
      <w:r w:rsidR="000E440B">
        <w:t>‚</w:t>
      </w:r>
      <w:r>
        <w:t>unter den Umständen […], 3 Pist</w:t>
      </w:r>
      <w:r>
        <w:t>o</w:t>
      </w:r>
      <w:r>
        <w:t xml:space="preserve">len, eine </w:t>
      </w:r>
      <w:r w:rsidR="005175B4">
        <w:t>Rauch</w:t>
      </w:r>
      <w:r>
        <w:t>granate</w:t>
      </w:r>
      <w:r w:rsidR="000E440B">
        <w:t>‘</w:t>
      </w:r>
      <w:r>
        <w:t>) formuliert werden.</w:t>
      </w:r>
    </w:p>
    <w:p w:rsidR="00996CFD" w:rsidRDefault="00D2554C">
      <w:pPr>
        <w:pStyle w:val="Text"/>
      </w:pPr>
      <w:r>
        <w:t>Solche Formulierungen sind allerdings oft erst präzise möglich, wenn me</w:t>
      </w:r>
      <w:r>
        <w:t>h</w:t>
      </w:r>
      <w:r>
        <w:t xml:space="preserve">rere Realisierungen vorliegen. Solange nur eine </w:t>
      </w:r>
      <w:r w:rsidR="005D7814">
        <w:t>zum Auslesen der Merkmalsr</w:t>
      </w:r>
      <w:r w:rsidR="005D7814">
        <w:t>e</w:t>
      </w:r>
      <w:r w:rsidR="005D7814">
        <w:t xml:space="preserve">geln </w:t>
      </w:r>
      <w:r>
        <w:t>herangezogen werden kann, ist es daher manchmal nur möglich, entweder eine solche allgemeine Formulierung spekulativ aufzustellen, oder bei einer an die konkrete Realisierung angelehnten Formulierung zu bleiben, die dann geg</w:t>
      </w:r>
      <w:r>
        <w:t>e</w:t>
      </w:r>
      <w:r>
        <w:t>benenfalls erweitert werden kann.</w:t>
      </w:r>
    </w:p>
    <w:p w:rsidR="002464B7" w:rsidRDefault="002464B7" w:rsidP="002464B7">
      <w:pPr>
        <w:pStyle w:val="Text"/>
      </w:pPr>
      <w:r>
        <w:t xml:space="preserve">Manchmal kann zwischen </w:t>
      </w:r>
      <w:r w:rsidR="00996CFD">
        <w:t>verschiedene</w:t>
      </w:r>
      <w:r>
        <w:t>n</w:t>
      </w:r>
      <w:r w:rsidR="00996CFD">
        <w:t xml:space="preserve"> Beschreibungsweisen gewählt we</w:t>
      </w:r>
      <w:r w:rsidR="00996CFD">
        <w:t>r</w:t>
      </w:r>
      <w:r w:rsidR="00996CFD">
        <w:t xml:space="preserve">den, um eine über die vorliegende Realisierung hinaus gültige Merkmalsregel zu finden. </w:t>
      </w:r>
      <w:r>
        <w:t xml:space="preserve">Beispielsweise bezeichnet in </w:t>
      </w:r>
      <w:r>
        <w:rPr>
          <w:i/>
          <w:iCs/>
        </w:rPr>
        <w:t>B</w:t>
      </w:r>
      <w:r>
        <w:rPr>
          <w:iCs/>
          <w:vertAlign w:val="subscript"/>
        </w:rPr>
        <w:t xml:space="preserve">3 </w:t>
      </w:r>
      <w:r>
        <w:t xml:space="preserve">‚abends kurz vor Geschäftsschluss‘ </w:t>
      </w:r>
      <w:r w:rsidR="00D2554C">
        <w:t>keine spezielle Uhrzeit, sondern macht e</w:t>
      </w:r>
      <w:r w:rsidR="00260A12">
        <w:t>ine Angabe relativ zum Schließzeitpunkt</w:t>
      </w:r>
      <w:r w:rsidR="00D2554C">
        <w:t xml:space="preserve"> der Bank; es wird also </w:t>
      </w:r>
      <w:r>
        <w:t>angenommen</w:t>
      </w:r>
      <w:r w:rsidR="00D2554C">
        <w:t xml:space="preserve">, dass </w:t>
      </w:r>
      <w:r>
        <w:t xml:space="preserve">der ‚Zeitpunkt der Ausführung‘ im Stil relativ zum Geschäftsschluss festgelegt ist. Es hätte auch </w:t>
      </w:r>
      <w:r w:rsidR="00080FD2">
        <w:t xml:space="preserve">der </w:t>
      </w:r>
      <w:r>
        <w:t>absolut</w:t>
      </w:r>
      <w:r w:rsidR="00080FD2">
        <w:t xml:space="preserve">e Zeitpunkt in die verlangten Eigenschaften geschrieben werden können, beispielsweise </w:t>
      </w:r>
      <w:r>
        <w:t>‚17.50 Uhr‘. Die relative Angabe ist jedoch insofern plausibler, als sich der Zei</w:t>
      </w:r>
      <w:r>
        <w:t>t</w:t>
      </w:r>
      <w:r>
        <w:t>punkt nahe an einem durch den Kontext bestimmten Zeitpunkt, nämlich dem Geschäftsschluss um 18.</w:t>
      </w:r>
      <w:r w:rsidR="00080FD2">
        <w:t>00 Uhr, befindet. Dies macht es plausibel, dass diese Nähe eine durch den Stil festgelegte Relation ist, während der absolute Zei</w:t>
      </w:r>
      <w:r w:rsidR="00080FD2">
        <w:t>t</w:t>
      </w:r>
      <w:r w:rsidR="00080FD2">
        <w:t>punkt des Überfalls durch den absoluten Zeitpunkt des Geschäftsschluss</w:t>
      </w:r>
      <w:r w:rsidR="00A76AFE">
        <w:t>es</w:t>
      </w:r>
      <w:r w:rsidR="00080FD2">
        <w:t>, also eine Kontextbedingung, festgelegt ist.</w:t>
      </w:r>
    </w:p>
    <w:p w:rsidR="002464B7" w:rsidRDefault="00080FD2" w:rsidP="002464B7">
      <w:pPr>
        <w:pStyle w:val="Text"/>
      </w:pPr>
      <w:r>
        <w:t>In die kriminalistische</w:t>
      </w:r>
      <w:r w:rsidR="005D7996">
        <w:fldChar w:fldCharType="begin"/>
      </w:r>
      <w:r w:rsidR="00447625">
        <w:instrText xml:space="preserve"> XE "</w:instrText>
      </w:r>
      <w:r w:rsidR="00447625" w:rsidRPr="000D2E5B">
        <w:instrText>Kriminalistik</w:instrText>
      </w:r>
      <w:r w:rsidR="00447625">
        <w:instrText xml:space="preserve">" </w:instrText>
      </w:r>
      <w:r w:rsidR="005D7996">
        <w:fldChar w:fldCharType="end"/>
      </w:r>
      <w:r>
        <w:t xml:space="preserve"> Untersuchung würden alle als relevant erscheinenden Eigenschaften der Realisierung, also des konkreten Bankraubs, einbezogen. In eine stilistische Betrachtung fallen dagegen nur die Merkmal</w:t>
      </w:r>
      <w:r w:rsidR="005066B7">
        <w:t>sregeln</w:t>
      </w:r>
      <w:r>
        <w:t>, die sich (ohne Änderung des Stils) wiederholen; sofern sie korrekt ausgelesen werden und sich der Stil nicht ändert, sind diese Merkmal</w:t>
      </w:r>
      <w:r w:rsidR="005066B7">
        <w:t>sregeln</w:t>
      </w:r>
      <w:r>
        <w:t xml:space="preserve"> beim nächsten Überfall dess</w:t>
      </w:r>
      <w:r w:rsidR="005066B7">
        <w:t>elben Teams wieder zu erwarten. (Sie können aber natürlich zu mehr oder minder abweichenden stilistischen Merkmalen an der Realisierung führen, da dies durch die Bedingungen der Situation der Schemaausführung bestimmt wird.)</w:t>
      </w:r>
    </w:p>
    <w:p w:rsidR="00321E8D" w:rsidRDefault="00D2554C" w:rsidP="00934F61">
      <w:pPr>
        <w:pStyle w:val="Text"/>
      </w:pPr>
      <w:r>
        <w:t xml:space="preserve">Für </w:t>
      </w:r>
      <w:r>
        <w:rPr>
          <w:i/>
          <w:iCs/>
        </w:rPr>
        <w:t>B</w:t>
      </w:r>
      <w:r>
        <w:rPr>
          <w:vertAlign w:val="subscript"/>
        </w:rPr>
        <w:t>13</w:t>
      </w:r>
      <w:r>
        <w:t xml:space="preserve"> gilt ebenfalls, dass bei einem anderen Bankraub (aufgrund anderer Umstände) teilweise andere Inhalte zu kommunizieren sein könnten, die aber, sofern </w:t>
      </w:r>
      <w:r w:rsidR="005066B7">
        <w:t xml:space="preserve">die </w:t>
      </w:r>
      <w:r>
        <w:t>Merkmal</w:t>
      </w:r>
      <w:r w:rsidR="005066B7">
        <w:t>sregel</w:t>
      </w:r>
      <w:r>
        <w:t xml:space="preserve"> ri</w:t>
      </w:r>
      <w:r w:rsidR="006A3ADF">
        <w:t>chtig erkannt wurde, ebenfalls ‚</w:t>
      </w:r>
      <w:r>
        <w:t>kurz</w:t>
      </w:r>
      <w:r w:rsidR="006A3ADF">
        <w:t>‘</w:t>
      </w:r>
      <w:r>
        <w:t xml:space="preserve">, </w:t>
      </w:r>
      <w:r w:rsidR="006A3ADF">
        <w:t>‚</w:t>
      </w:r>
      <w:r>
        <w:t>formelhaft</w:t>
      </w:r>
      <w:r w:rsidR="006A3ADF">
        <w:t>‘</w:t>
      </w:r>
      <w:r>
        <w:t xml:space="preserve"> und </w:t>
      </w:r>
      <w:r w:rsidR="006A3ADF">
        <w:t>‚</w:t>
      </w:r>
      <w:r>
        <w:t>bedrohlich</w:t>
      </w:r>
      <w:r w:rsidR="006A3ADF">
        <w:t>‘</w:t>
      </w:r>
      <w:r>
        <w:t xml:space="preserve"> kommuniziert würden. Hier wird deutlich, dass Merkmal</w:t>
      </w:r>
      <w:r w:rsidR="005066B7">
        <w:t>sr</w:t>
      </w:r>
      <w:r w:rsidR="005066B7">
        <w:t>e</w:t>
      </w:r>
      <w:r w:rsidR="005066B7">
        <w:t>geln</w:t>
      </w:r>
      <w:r>
        <w:t xml:space="preserve"> bereits </w:t>
      </w:r>
      <w:r w:rsidR="005066B7">
        <w:t>etwas Abstraktes sind</w:t>
      </w:r>
      <w:r>
        <w:t>: Der a</w:t>
      </w:r>
      <w:r w:rsidR="00996CFD">
        <w:t>uf den ersten Blick mögliche Ei</w:t>
      </w:r>
      <w:r>
        <w:t>ndruck, hier werde ganz allgemein die konkrete Realisierung interpretiert, täuscht.</w:t>
      </w:r>
    </w:p>
    <w:p w:rsidR="00447786" w:rsidRDefault="00ED2B71">
      <w:pPr>
        <w:pStyle w:val="Text"/>
      </w:pPr>
      <w:r>
        <w:t>Daraus lässt sich eine Unterscheidung bezüglich des Umgangs mit der in einer Realisierung enthaltenen Information</w:t>
      </w:r>
      <w:r>
        <w:rPr>
          <w:rStyle w:val="Funotenzeichen"/>
        </w:rPr>
        <w:footnoteReference w:id="503"/>
      </w:r>
      <w:r w:rsidR="00447786">
        <w:t xml:space="preserve"> treffen:</w:t>
      </w:r>
    </w:p>
    <w:p w:rsidR="00447786" w:rsidRDefault="00447786" w:rsidP="00763790">
      <w:pPr>
        <w:pStyle w:val="Text"/>
      </w:pPr>
      <w:r>
        <w:t>(1)</w:t>
      </w:r>
      <w:r>
        <w:tab/>
      </w:r>
      <w:r w:rsidRPr="00447786">
        <w:rPr>
          <w:i/>
        </w:rPr>
        <w:t>Informationsbezogene Interpretation:</w:t>
      </w:r>
      <w:r>
        <w:t xml:space="preserve"> </w:t>
      </w:r>
      <w:r w:rsidR="0074382B">
        <w:t>Der Versuch, Information</w:t>
      </w:r>
      <w:r w:rsidR="00ED2B71">
        <w:t xml:space="preserve">en </w:t>
      </w:r>
      <w:r w:rsidR="0074382B">
        <w:t xml:space="preserve">aus einer </w:t>
      </w:r>
      <w:r>
        <w:t xml:space="preserve">oder mehreren </w:t>
      </w:r>
      <w:r w:rsidR="0074382B">
        <w:t>Realisierung</w:t>
      </w:r>
      <w:r>
        <w:t>en</w:t>
      </w:r>
      <w:r w:rsidR="0074382B">
        <w:t xml:space="preserve"> zu gewinnen, </w:t>
      </w:r>
      <w:r w:rsidR="00ED2B71">
        <w:t xml:space="preserve">ist ein bezüglich Operationen und Ergebnissen eingeschränkter Teil der </w:t>
      </w:r>
      <w:r w:rsidR="0074382B" w:rsidRPr="0074382B">
        <w:rPr>
          <w:i/>
        </w:rPr>
        <w:t>Interpretation</w:t>
      </w:r>
      <w:r w:rsidR="0074382B">
        <w:t xml:space="preserve"> </w:t>
      </w:r>
      <w:r>
        <w:t>der Realisierung(en).</w:t>
      </w:r>
      <w:r w:rsidRPr="00447786">
        <w:t xml:space="preserve"> </w:t>
      </w:r>
      <w:r>
        <w:lastRenderedPageBreak/>
        <w:t>Welche Einschränkungen vorgenommen werden, hängt dabei von den Anford</w:t>
      </w:r>
      <w:r>
        <w:t>e</w:t>
      </w:r>
      <w:r>
        <w:t>rungen ab, die an Information gestellt werden.</w:t>
      </w:r>
    </w:p>
    <w:p w:rsidR="0074382B" w:rsidRDefault="00447786" w:rsidP="00763790">
      <w:pPr>
        <w:pStyle w:val="Text"/>
      </w:pPr>
      <w:r>
        <w:t>(2)</w:t>
      </w:r>
      <w:r>
        <w:tab/>
      </w:r>
      <w:r w:rsidRPr="00447786">
        <w:rPr>
          <w:i/>
        </w:rPr>
        <w:t xml:space="preserve">Informationsbezogene </w:t>
      </w:r>
      <w:r>
        <w:rPr>
          <w:i/>
        </w:rPr>
        <w:t>Stili</w:t>
      </w:r>
      <w:r w:rsidRPr="00447786">
        <w:rPr>
          <w:i/>
        </w:rPr>
        <w:t>nterpretation:</w:t>
      </w:r>
      <w:r>
        <w:t xml:space="preserve"> Der</w:t>
      </w:r>
      <w:r w:rsidR="0074382B">
        <w:t xml:space="preserve"> </w:t>
      </w:r>
      <w:r>
        <w:t>Versuch, Informationen aus den Merkmal</w:t>
      </w:r>
      <w:r w:rsidR="005066B7">
        <w:t>sregeln, die aus einer oder mehreren</w:t>
      </w:r>
      <w:r>
        <w:t xml:space="preserve"> Realisierungen </w:t>
      </w:r>
      <w:r w:rsidR="005066B7">
        <w:t xml:space="preserve">ausgelesen wurden, </w:t>
      </w:r>
      <w:r>
        <w:t xml:space="preserve">ist ein bezüglich Operationen und Ergebnissen eingeschränkter Teil der </w:t>
      </w:r>
      <w:r>
        <w:rPr>
          <w:i/>
        </w:rPr>
        <w:t>Stili</w:t>
      </w:r>
      <w:r w:rsidRPr="0074382B">
        <w:rPr>
          <w:i/>
        </w:rPr>
        <w:t>nterpretation</w:t>
      </w:r>
      <w:r>
        <w:rPr>
          <w:i/>
        </w:rPr>
        <w:t>.</w:t>
      </w:r>
      <w:r>
        <w:t xml:space="preserve"> Welche Einschränkungen vorgenommen werden, hängt dabei von den Anforderungen ab, die an Information gestellt werden. Größtmögliche Objektivität wird erreicht, indem als Ergebnisse nur Proposition</w:t>
      </w:r>
      <w:r w:rsidR="00FC3D1C">
        <w:t>sannahme</w:t>
      </w:r>
      <w:r>
        <w:t>n und als Operationen nur die Deduktion zugelassen wird.</w:t>
      </w:r>
    </w:p>
    <w:p w:rsidR="0074382B" w:rsidRDefault="00D2554C">
      <w:pPr>
        <w:pStyle w:val="Text"/>
      </w:pPr>
      <w:r>
        <w:t>Diese Unterscheidung hat bei literarischen Texten oder anderen Kunstwe</w:t>
      </w:r>
      <w:r>
        <w:t>r</w:t>
      </w:r>
      <w:r>
        <w:t>ken eine besondere Relevanz, da es bei diesen eine Tradition der Interpretation gibt</w:t>
      </w:r>
      <w:r w:rsidR="0074382B">
        <w:t xml:space="preserve">, die alle Aspekte des jeweiligen Kunstwerks und nicht nur den Stil umfasst, insbesondere auch den Inhalt des Texts oder </w:t>
      </w:r>
      <w:r w:rsidR="009B0BC0">
        <w:t xml:space="preserve">einer bildlichen Darstellung sowie gegebenenfalls die Funktion </w:t>
      </w:r>
      <w:r w:rsidR="0074382B">
        <w:t>mit einbezieht</w:t>
      </w:r>
      <w:r>
        <w:t>. Auch dort werden stilistische A</w:t>
      </w:r>
      <w:r>
        <w:t>s</w:t>
      </w:r>
      <w:r>
        <w:t>pekte in eine Gesamtinterpretation mit einbezogen</w:t>
      </w:r>
      <w:r w:rsidR="0074382B">
        <w:t>, aber eben auch Aspekte, von denen angenommen wird, dass sie nur dem individuellen Kunstwerk zukommen.</w:t>
      </w:r>
    </w:p>
    <w:p w:rsidR="00D935A3" w:rsidRDefault="0074382B">
      <w:pPr>
        <w:pStyle w:val="Text"/>
      </w:pPr>
      <w:r>
        <w:t xml:space="preserve">Auch bei nicht-künstlerischen Realisierungen kann zwischen allgemeiner und stilistischer Interpretation unterschieden werden. </w:t>
      </w:r>
      <w:r w:rsidR="00D2554C">
        <w:t>So kann der obige Ban</w:t>
      </w:r>
      <w:r w:rsidR="00D2554C">
        <w:t>k</w:t>
      </w:r>
      <w:r w:rsidR="00D2554C">
        <w:t xml:space="preserve">raub für sich stehend </w:t>
      </w:r>
      <w:r>
        <w:t>auf Informationen untersucht werden, die sich aus ihm gewinnen lassen; dabei werden auch alle vermutlich nur dieser Realisierung z</w:t>
      </w:r>
      <w:r>
        <w:t>u</w:t>
      </w:r>
      <w:r>
        <w:t xml:space="preserve">kommenden Aspekte mit einbezogen, etwa </w:t>
      </w:r>
      <w:r w:rsidR="00D2554C">
        <w:t xml:space="preserve">umfangreiche </w:t>
      </w:r>
      <w:r>
        <w:t xml:space="preserve">Fakten </w:t>
      </w:r>
      <w:r w:rsidR="00D2554C">
        <w:t>über den Ort des Geschehens, die Angestellten der Bank, die genaue Tageszeit (inkl. Sonne</w:t>
      </w:r>
      <w:r w:rsidR="00D2554C">
        <w:t>n</w:t>
      </w:r>
      <w:r w:rsidR="00D2554C">
        <w:t>stand und Beleuchtungssituati</w:t>
      </w:r>
      <w:r>
        <w:t>on am Tatort)</w:t>
      </w:r>
      <w:r w:rsidR="00D2554C">
        <w:t xml:space="preserve"> und vieles mehr. Alle diese U</w:t>
      </w:r>
      <w:r w:rsidR="00D2554C">
        <w:t>m</w:t>
      </w:r>
      <w:r w:rsidR="00D2554C">
        <w:t>stände würden, falls nötig, in einer kriminalistischen</w:t>
      </w:r>
      <w:r w:rsidR="005D7996">
        <w:fldChar w:fldCharType="begin"/>
      </w:r>
      <w:r w:rsidR="00447625">
        <w:instrText xml:space="preserve"> XE "</w:instrText>
      </w:r>
      <w:r w:rsidR="00447625" w:rsidRPr="00B02A14">
        <w:instrText>Kriminalistik</w:instrText>
      </w:r>
      <w:r w:rsidR="00447625">
        <w:instrText xml:space="preserve">" </w:instrText>
      </w:r>
      <w:r w:rsidR="005D7996">
        <w:fldChar w:fldCharType="end"/>
      </w:r>
      <w:r w:rsidR="00D2554C">
        <w:t xml:space="preserve"> Untersuchung mit einbez</w:t>
      </w:r>
      <w:r w:rsidR="00D2554C">
        <w:t>o</w:t>
      </w:r>
      <w:r w:rsidR="00D2554C">
        <w:t xml:space="preserve">gen, wenn es um die Suche nach Informationen über die Täter geht. Die </w:t>
      </w:r>
      <w:r>
        <w:t>stilist</w:t>
      </w:r>
      <w:r>
        <w:t>i</w:t>
      </w:r>
      <w:r>
        <w:t>sche Interpretation dagegen würde verwendet</w:t>
      </w:r>
      <w:r w:rsidR="00D2554C">
        <w:t xml:space="preserve">, um Vorhersagen für den nächsten Bankraub des Trios </w:t>
      </w:r>
      <w:r>
        <w:t xml:space="preserve">zu machen oder </w:t>
      </w:r>
      <w:r w:rsidR="00E926D9">
        <w:t>ihm frühere</w:t>
      </w:r>
      <w:r>
        <w:t xml:space="preserve"> Bankraube </w:t>
      </w:r>
      <w:r w:rsidR="00E926D9">
        <w:t>zuzuordnen.</w:t>
      </w:r>
    </w:p>
    <w:p w:rsidR="00F2066F" w:rsidRDefault="0055064F" w:rsidP="00F2066F">
      <w:pPr>
        <w:pStyle w:val="Titel2"/>
      </w:pPr>
      <w:bookmarkStart w:id="392" w:name="_Ref248043700"/>
      <w:bookmarkStart w:id="393" w:name="_Ref254354608"/>
      <w:bookmarkStart w:id="394" w:name="_Ref315201331"/>
      <w:bookmarkStart w:id="395" w:name="_Toc325456796"/>
      <w:bookmarkEnd w:id="391"/>
      <w:r>
        <w:t xml:space="preserve">Die Funktionen des </w:t>
      </w:r>
      <w:r w:rsidR="007803C6">
        <w:t>Interpretation</w:t>
      </w:r>
      <w:bookmarkEnd w:id="392"/>
      <w:bookmarkEnd w:id="393"/>
      <w:r>
        <w:t>sprozesses</w:t>
      </w:r>
      <w:bookmarkEnd w:id="394"/>
      <w:bookmarkEnd w:id="395"/>
    </w:p>
    <w:p w:rsidR="008A3B35" w:rsidRDefault="0077610D" w:rsidP="00763790">
      <w:pPr>
        <w:pStyle w:val="Text"/>
        <w:ind w:firstLine="0"/>
        <w:rPr>
          <w:color w:val="000000" w:themeColor="text1"/>
        </w:rPr>
      </w:pPr>
      <w:r>
        <w:rPr>
          <w:color w:val="000000" w:themeColor="text1"/>
        </w:rPr>
        <w:t xml:space="preserve">In unserem Modell wird </w:t>
      </w:r>
      <w:r w:rsidR="00F74F6E">
        <w:rPr>
          <w:color w:val="000000" w:themeColor="text1"/>
        </w:rPr>
        <w:t xml:space="preserve">die Interpretation </w:t>
      </w:r>
      <w:r>
        <w:rPr>
          <w:color w:val="000000" w:themeColor="text1"/>
        </w:rPr>
        <w:t xml:space="preserve">als </w:t>
      </w:r>
      <w:r w:rsidR="008A3B35">
        <w:rPr>
          <w:color w:val="000000" w:themeColor="text1"/>
        </w:rPr>
        <w:t xml:space="preserve">Prozess </w:t>
      </w:r>
      <w:r>
        <w:rPr>
          <w:color w:val="000000" w:themeColor="text1"/>
        </w:rPr>
        <w:t>modelliert</w:t>
      </w:r>
      <w:r w:rsidR="008A3B35">
        <w:rPr>
          <w:color w:val="000000" w:themeColor="text1"/>
        </w:rPr>
        <w:t xml:space="preserve">, in dem </w:t>
      </w:r>
      <w:r>
        <w:rPr>
          <w:color w:val="000000" w:themeColor="text1"/>
        </w:rPr>
        <w:t xml:space="preserve">aus einer Menge von </w:t>
      </w:r>
      <w:r w:rsidR="008A3B35">
        <w:rPr>
          <w:color w:val="000000" w:themeColor="text1"/>
        </w:rPr>
        <w:t xml:space="preserve">Merkmalsregeln </w:t>
      </w:r>
      <w:r w:rsidRPr="00B04998">
        <w:rPr>
          <w:i/>
          <w:iCs/>
          <w:color w:val="000000" w:themeColor="text1"/>
        </w:rPr>
        <w:t>B</w:t>
      </w:r>
      <w:r>
        <w:rPr>
          <w:color w:val="000000" w:themeColor="text1"/>
        </w:rPr>
        <w:t xml:space="preserve"> eine Menge von Ergebnissen der Interpret</w:t>
      </w:r>
      <w:r>
        <w:rPr>
          <w:color w:val="000000" w:themeColor="text1"/>
        </w:rPr>
        <w:t>a</w:t>
      </w:r>
      <w:r>
        <w:rPr>
          <w:color w:val="000000" w:themeColor="text1"/>
        </w:rPr>
        <w:t xml:space="preserve">tion </w:t>
      </w:r>
      <w:r w:rsidRPr="0077610D">
        <w:rPr>
          <w:i/>
          <w:color w:val="000000" w:themeColor="text1"/>
        </w:rPr>
        <w:t>I</w:t>
      </w:r>
      <w:r>
        <w:rPr>
          <w:color w:val="000000" w:themeColor="text1"/>
        </w:rPr>
        <w:t xml:space="preserve"> </w:t>
      </w:r>
      <w:r w:rsidR="008A3B35">
        <w:rPr>
          <w:color w:val="000000" w:themeColor="text1"/>
        </w:rPr>
        <w:t xml:space="preserve">gewonnen </w:t>
      </w:r>
      <w:r>
        <w:rPr>
          <w:color w:val="000000" w:themeColor="text1"/>
        </w:rPr>
        <w:t>wird</w:t>
      </w:r>
      <w:r w:rsidR="008A3B35">
        <w:rPr>
          <w:color w:val="000000" w:themeColor="text1"/>
        </w:rPr>
        <w:t>.</w:t>
      </w:r>
      <w:r w:rsidR="00F74F6E" w:rsidRPr="00F74F6E">
        <w:rPr>
          <w:color w:val="000000" w:themeColor="text1"/>
        </w:rPr>
        <w:t xml:space="preserve"> </w:t>
      </w:r>
      <w:r w:rsidR="000E5A10">
        <w:rPr>
          <w:color w:val="000000" w:themeColor="text1"/>
        </w:rPr>
        <w:t>In</w:t>
      </w:r>
      <w:r w:rsidR="00F74F6E">
        <w:rPr>
          <w:color w:val="000000" w:themeColor="text1"/>
        </w:rPr>
        <w:t xml:space="preserve"> Abschnitt </w:t>
      </w:r>
      <w:r w:rsidR="005D7996">
        <w:rPr>
          <w:color w:val="000000" w:themeColor="text1"/>
        </w:rPr>
        <w:fldChar w:fldCharType="begin"/>
      </w:r>
      <w:r w:rsidR="000E5A10">
        <w:rPr>
          <w:color w:val="000000" w:themeColor="text1"/>
        </w:rPr>
        <w:instrText xml:space="preserve"> REF _Ref255407192 \r \h </w:instrText>
      </w:r>
      <w:r w:rsidR="005D7996">
        <w:rPr>
          <w:color w:val="000000" w:themeColor="text1"/>
        </w:rPr>
      </w:r>
      <w:r w:rsidR="005D7996">
        <w:rPr>
          <w:color w:val="000000" w:themeColor="text1"/>
        </w:rPr>
        <w:fldChar w:fldCharType="separate"/>
      </w:r>
      <w:r w:rsidR="001231D3">
        <w:rPr>
          <w:color w:val="000000" w:themeColor="text1"/>
        </w:rPr>
        <w:t>7.1</w:t>
      </w:r>
      <w:r w:rsidR="005D7996">
        <w:rPr>
          <w:color w:val="000000" w:themeColor="text1"/>
        </w:rPr>
        <w:fldChar w:fldCharType="end"/>
      </w:r>
      <w:r w:rsidR="000E5A10">
        <w:rPr>
          <w:color w:val="000000" w:themeColor="text1"/>
        </w:rPr>
        <w:t xml:space="preserve"> </w:t>
      </w:r>
      <w:r w:rsidR="00F74F6E">
        <w:rPr>
          <w:color w:val="000000" w:themeColor="text1"/>
        </w:rPr>
        <w:t>wurden einige Beispielinterpretationen dargestellt</w:t>
      </w:r>
      <w:r w:rsidR="000C5B72">
        <w:rPr>
          <w:color w:val="000000" w:themeColor="text1"/>
        </w:rPr>
        <w:t xml:space="preserve">, die </w:t>
      </w:r>
      <w:r w:rsidR="00F74F6E">
        <w:rPr>
          <w:color w:val="000000" w:themeColor="text1"/>
        </w:rPr>
        <w:t>als Ergebnis des Interpretationsprozesses betrachtet werden</w:t>
      </w:r>
      <w:r w:rsidR="000C5B72">
        <w:rPr>
          <w:color w:val="000000" w:themeColor="text1"/>
        </w:rPr>
        <w:t xml:space="preserve"> kö</w:t>
      </w:r>
      <w:r w:rsidR="000C5B72">
        <w:rPr>
          <w:color w:val="000000" w:themeColor="text1"/>
        </w:rPr>
        <w:t>n</w:t>
      </w:r>
      <w:r w:rsidR="000C5B72">
        <w:rPr>
          <w:color w:val="000000" w:themeColor="text1"/>
        </w:rPr>
        <w:t>nen</w:t>
      </w:r>
      <w:r w:rsidR="00F74F6E">
        <w:rPr>
          <w:color w:val="000000" w:themeColor="text1"/>
        </w:rPr>
        <w:t>.</w:t>
      </w:r>
    </w:p>
    <w:p w:rsidR="005E2C76" w:rsidRDefault="000C5B72" w:rsidP="008075F9">
      <w:pPr>
        <w:pStyle w:val="Text"/>
        <w:rPr>
          <w:color w:val="000000" w:themeColor="text1"/>
        </w:rPr>
      </w:pPr>
      <w:r>
        <w:rPr>
          <w:color w:val="000000" w:themeColor="text1"/>
        </w:rPr>
        <w:t xml:space="preserve">In diesem Abschnitt wird der </w:t>
      </w:r>
      <w:r w:rsidR="00C157F8">
        <w:rPr>
          <w:color w:val="000000" w:themeColor="text1"/>
        </w:rPr>
        <w:t>Interpretationsprozess</w:t>
      </w:r>
      <w:r>
        <w:rPr>
          <w:color w:val="000000" w:themeColor="text1"/>
        </w:rPr>
        <w:t xml:space="preserve"> mit </w:t>
      </w:r>
      <w:r w:rsidR="00C157F8">
        <w:rPr>
          <w:color w:val="000000" w:themeColor="text1"/>
        </w:rPr>
        <w:t xml:space="preserve">Hilfe von </w:t>
      </w:r>
      <w:r w:rsidR="00F74F6E">
        <w:rPr>
          <w:color w:val="000000" w:themeColor="text1"/>
        </w:rPr>
        <w:t>Funkt</w:t>
      </w:r>
      <w:r w:rsidR="00F74F6E">
        <w:rPr>
          <w:color w:val="000000" w:themeColor="text1"/>
        </w:rPr>
        <w:t>i</w:t>
      </w:r>
      <w:r w:rsidR="00F74F6E">
        <w:rPr>
          <w:color w:val="000000" w:themeColor="text1"/>
        </w:rPr>
        <w:t xml:space="preserve">onen </w:t>
      </w:r>
      <w:r>
        <w:rPr>
          <w:color w:val="000000" w:themeColor="text1"/>
        </w:rPr>
        <w:t>modelliert</w:t>
      </w:r>
      <w:r w:rsidR="00C157F8">
        <w:rPr>
          <w:color w:val="000000" w:themeColor="text1"/>
        </w:rPr>
        <w:t>. Die Darstellung</w:t>
      </w:r>
      <w:r w:rsidR="00AB0D6A">
        <w:rPr>
          <w:color w:val="000000" w:themeColor="text1"/>
        </w:rPr>
        <w:t>sweise</w:t>
      </w:r>
      <w:r w:rsidR="00C157F8">
        <w:rPr>
          <w:color w:val="000000" w:themeColor="text1"/>
        </w:rPr>
        <w:t xml:space="preserve"> </w:t>
      </w:r>
      <w:r w:rsidR="00AB0D6A">
        <w:rPr>
          <w:color w:val="000000" w:themeColor="text1"/>
        </w:rPr>
        <w:t xml:space="preserve">entspricht der </w:t>
      </w:r>
      <w:r w:rsidR="00C157F8">
        <w:rPr>
          <w:color w:val="000000" w:themeColor="text1"/>
        </w:rPr>
        <w:t xml:space="preserve">in Kapitel 5 </w:t>
      </w:r>
      <w:r w:rsidR="00AB0D6A">
        <w:rPr>
          <w:color w:val="000000" w:themeColor="text1"/>
        </w:rPr>
        <w:t xml:space="preserve">für den Merkmalsprozess </w:t>
      </w:r>
      <w:r w:rsidR="00C157F8">
        <w:rPr>
          <w:color w:val="000000" w:themeColor="text1"/>
        </w:rPr>
        <w:t>gegebenen</w:t>
      </w:r>
      <w:r w:rsidR="00AB0D6A">
        <w:rPr>
          <w:color w:val="000000" w:themeColor="text1"/>
        </w:rPr>
        <w:t xml:space="preserve">. In Abschnitt </w:t>
      </w:r>
      <w:r w:rsidR="005D7996">
        <w:rPr>
          <w:color w:val="000000" w:themeColor="text1"/>
        </w:rPr>
        <w:fldChar w:fldCharType="begin"/>
      </w:r>
      <w:r w:rsidR="00AB0D6A">
        <w:rPr>
          <w:color w:val="000000" w:themeColor="text1"/>
        </w:rPr>
        <w:instrText xml:space="preserve"> REF _Ref254267254 \r \h </w:instrText>
      </w:r>
      <w:r w:rsidR="005D7996">
        <w:rPr>
          <w:color w:val="000000" w:themeColor="text1"/>
        </w:rPr>
      </w:r>
      <w:r w:rsidR="005D7996">
        <w:rPr>
          <w:color w:val="000000" w:themeColor="text1"/>
        </w:rPr>
        <w:fldChar w:fldCharType="separate"/>
      </w:r>
      <w:r w:rsidR="001231D3">
        <w:rPr>
          <w:color w:val="000000" w:themeColor="text1"/>
        </w:rPr>
        <w:t>7.3</w:t>
      </w:r>
      <w:r w:rsidR="005D7996">
        <w:rPr>
          <w:color w:val="000000" w:themeColor="text1"/>
        </w:rPr>
        <w:fldChar w:fldCharType="end"/>
      </w:r>
      <w:r w:rsidR="00AB0D6A">
        <w:rPr>
          <w:color w:val="000000" w:themeColor="text1"/>
        </w:rPr>
        <w:t xml:space="preserve"> werden dann die beiden Prozesse</w:t>
      </w:r>
      <w:r w:rsidR="001B609A">
        <w:rPr>
          <w:color w:val="000000" w:themeColor="text1"/>
        </w:rPr>
        <w:t xml:space="preserve"> miteinander verknüpft.</w:t>
      </w:r>
    </w:p>
    <w:p w:rsidR="005E2C76" w:rsidRDefault="005E2C76" w:rsidP="005E2C76">
      <w:pPr>
        <w:pStyle w:val="Titel3"/>
      </w:pPr>
      <w:bookmarkStart w:id="396" w:name="_Ref255767436"/>
      <w:bookmarkStart w:id="397" w:name="_Toc325456797"/>
      <w:bookmarkStart w:id="398" w:name="Interpretation2"/>
      <w:r>
        <w:lastRenderedPageBreak/>
        <w:t>Die Funktion Interpretation</w:t>
      </w:r>
      <w:bookmarkEnd w:id="396"/>
      <w:bookmarkEnd w:id="397"/>
    </w:p>
    <w:p w:rsidR="009C1611" w:rsidRDefault="005D7996" w:rsidP="00763790">
      <w:pPr>
        <w:pStyle w:val="Text"/>
        <w:ind w:firstLine="0"/>
        <w:rPr>
          <w:color w:val="000000" w:themeColor="text1"/>
        </w:rPr>
      </w:pPr>
      <w:r>
        <w:fldChar w:fldCharType="begin"/>
      </w:r>
      <w:r w:rsidR="007247A5">
        <w:instrText xml:space="preserve"> XE "</w:instrText>
      </w:r>
      <w:r w:rsidR="007247A5" w:rsidRPr="00ED5C87">
        <w:instrText>Interpretation</w:instrText>
      </w:r>
      <w:r w:rsidR="00794B5E">
        <w:instrText>:</w:instrText>
      </w:r>
      <w:r w:rsidR="00794B5E" w:rsidRPr="00794B5E">
        <w:rPr>
          <w:i/>
        </w:rPr>
        <w:instrText>Funktion</w:instrText>
      </w:r>
      <w:r w:rsidR="007247A5">
        <w:instrText xml:space="preserve">" \r "Interpretation2" </w:instrText>
      </w:r>
      <w:r>
        <w:fldChar w:fldCharType="end"/>
      </w:r>
      <w:r w:rsidR="009C1611">
        <w:rPr>
          <w:color w:val="000000" w:themeColor="text1"/>
        </w:rPr>
        <w:t xml:space="preserve">Die Funktion </w:t>
      </w:r>
      <w:r w:rsidR="009C1611" w:rsidRPr="00C35EA1">
        <w:rPr>
          <w:i/>
          <w:color w:val="000000" w:themeColor="text1"/>
        </w:rPr>
        <w:t>Interpretation</w:t>
      </w:r>
      <w:r w:rsidR="009C1611">
        <w:rPr>
          <w:color w:val="000000" w:themeColor="text1"/>
        </w:rPr>
        <w:t xml:space="preserve"> modelliert den Prozess der stilistischen Interpretat</w:t>
      </w:r>
      <w:r w:rsidR="009C1611">
        <w:rPr>
          <w:color w:val="000000" w:themeColor="text1"/>
        </w:rPr>
        <w:t>i</w:t>
      </w:r>
      <w:r w:rsidR="009C1611">
        <w:rPr>
          <w:color w:val="000000" w:themeColor="text1"/>
        </w:rPr>
        <w:t xml:space="preserve">on. Sie wird beim </w:t>
      </w:r>
      <w:r w:rsidR="00663B18">
        <w:t xml:space="preserve">Wahrnehmen </w:t>
      </w:r>
      <w:r w:rsidR="009C1611">
        <w:rPr>
          <w:color w:val="000000" w:themeColor="text1"/>
        </w:rPr>
        <w:t>eines Stils nach dem</w:t>
      </w:r>
      <w:r w:rsidR="00014934">
        <w:rPr>
          <w:color w:val="000000" w:themeColor="text1"/>
        </w:rPr>
        <w:t xml:space="preserve"> Merkmalsprozess aufger</w:t>
      </w:r>
      <w:r w:rsidR="00014934">
        <w:rPr>
          <w:color w:val="000000" w:themeColor="text1"/>
        </w:rPr>
        <w:t>u</w:t>
      </w:r>
      <w:r w:rsidR="00014934">
        <w:rPr>
          <w:color w:val="000000" w:themeColor="text1"/>
        </w:rPr>
        <w:t xml:space="preserve">fen und erhält dessen Rückgabewert, die Menge von Merkmalsregeln </w:t>
      </w:r>
      <w:r w:rsidR="00014934" w:rsidRPr="00014934">
        <w:rPr>
          <w:i/>
          <w:color w:val="000000" w:themeColor="text1"/>
        </w:rPr>
        <w:t>B</w:t>
      </w:r>
      <w:r w:rsidR="00014934">
        <w:rPr>
          <w:color w:val="000000" w:themeColor="text1"/>
        </w:rPr>
        <w:t>, als P</w:t>
      </w:r>
      <w:r w:rsidR="00014934">
        <w:rPr>
          <w:color w:val="000000" w:themeColor="text1"/>
        </w:rPr>
        <w:t>a</w:t>
      </w:r>
      <w:r w:rsidR="00014934">
        <w:rPr>
          <w:color w:val="000000" w:themeColor="text1"/>
        </w:rPr>
        <w:t>rameter. Sie kann auch beim</w:t>
      </w:r>
      <w:r w:rsidR="002473EA">
        <w:rPr>
          <w:color w:val="000000" w:themeColor="text1"/>
        </w:rPr>
        <w:t xml:space="preserve"> Anwenden</w:t>
      </w:r>
      <w:r w:rsidR="00014934">
        <w:rPr>
          <w:color w:val="000000" w:themeColor="text1"/>
        </w:rPr>
        <w:t xml:space="preserve"> eines Stils aufgerufen werden, um eine probeweise erzeugte Menge von Merkmalsregeln mit intendierten Interpretat</w:t>
      </w:r>
      <w:r w:rsidR="00014934">
        <w:rPr>
          <w:color w:val="000000" w:themeColor="text1"/>
        </w:rPr>
        <w:t>i</w:t>
      </w:r>
      <w:r w:rsidR="00014934">
        <w:rPr>
          <w:color w:val="000000" w:themeColor="text1"/>
        </w:rPr>
        <w:t xml:space="preserve">onsergebnissen abzugleichen. </w:t>
      </w:r>
      <w:r w:rsidR="000642B6">
        <w:rPr>
          <w:color w:val="000000" w:themeColor="text1"/>
        </w:rPr>
        <w:t>(Vgl. zu den Aufruf</w:t>
      </w:r>
      <w:r w:rsidR="00A96A8E">
        <w:rPr>
          <w:color w:val="000000" w:themeColor="text1"/>
        </w:rPr>
        <w:t xml:space="preserve">möglichkeiten </w:t>
      </w:r>
      <w:r w:rsidR="000642B6">
        <w:rPr>
          <w:color w:val="000000" w:themeColor="text1"/>
        </w:rPr>
        <w:t xml:space="preserve">der </w:t>
      </w:r>
      <w:r w:rsidR="00014934">
        <w:rPr>
          <w:color w:val="000000" w:themeColor="text1"/>
        </w:rPr>
        <w:t xml:space="preserve">Funktion </w:t>
      </w:r>
      <w:r w:rsidR="00014934" w:rsidRPr="00C35EA1">
        <w:rPr>
          <w:i/>
          <w:color w:val="000000" w:themeColor="text1"/>
        </w:rPr>
        <w:t>Interpretation</w:t>
      </w:r>
      <w:r w:rsidR="00014934">
        <w:rPr>
          <w:color w:val="000000" w:themeColor="text1"/>
        </w:rPr>
        <w:t xml:space="preserve"> Abschnitt </w:t>
      </w:r>
      <w:r>
        <w:rPr>
          <w:color w:val="000000" w:themeColor="text1"/>
        </w:rPr>
        <w:fldChar w:fldCharType="begin"/>
      </w:r>
      <w:r w:rsidR="00CA7317">
        <w:rPr>
          <w:color w:val="000000" w:themeColor="text1"/>
        </w:rPr>
        <w:instrText xml:space="preserve"> REF _Ref254267254 \r \h </w:instrText>
      </w:r>
      <w:r>
        <w:rPr>
          <w:color w:val="000000" w:themeColor="text1"/>
        </w:rPr>
      </w:r>
      <w:r>
        <w:rPr>
          <w:color w:val="000000" w:themeColor="text1"/>
        </w:rPr>
        <w:fldChar w:fldCharType="separate"/>
      </w:r>
      <w:r w:rsidR="001231D3">
        <w:rPr>
          <w:color w:val="000000" w:themeColor="text1"/>
        </w:rPr>
        <w:t>7.3</w:t>
      </w:r>
      <w:r>
        <w:rPr>
          <w:color w:val="000000" w:themeColor="text1"/>
        </w:rPr>
        <w:fldChar w:fldCharType="end"/>
      </w:r>
      <w:r w:rsidR="00014934">
        <w:rPr>
          <w:color w:val="000000" w:themeColor="text1"/>
        </w:rPr>
        <w:t>.)</w:t>
      </w:r>
    </w:p>
    <w:p w:rsidR="00E3403A" w:rsidRDefault="00C10B73" w:rsidP="008075F9">
      <w:pPr>
        <w:pStyle w:val="Text"/>
        <w:rPr>
          <w:color w:val="000000" w:themeColor="text1"/>
        </w:rPr>
      </w:pPr>
      <w:r>
        <w:rPr>
          <w:color w:val="000000" w:themeColor="text1"/>
        </w:rPr>
        <w:t>Grob zusammengefasst, bildet die Funktion die Potenzmengen</w:t>
      </w:r>
      <w:r w:rsidR="005D7996">
        <w:rPr>
          <w:color w:val="000000" w:themeColor="text1"/>
        </w:rPr>
        <w:fldChar w:fldCharType="begin"/>
      </w:r>
      <w:r w:rsidR="001C24C2">
        <w:instrText xml:space="preserve"> XE "</w:instrText>
      </w:r>
      <w:r w:rsidR="001C24C2" w:rsidRPr="00B06548">
        <w:instrText>Potenzmenge</w:instrText>
      </w:r>
      <w:r w:rsidR="001C24C2">
        <w:instrText xml:space="preserve">" </w:instrText>
      </w:r>
      <w:r w:rsidR="005D7996">
        <w:rPr>
          <w:color w:val="000000" w:themeColor="text1"/>
        </w:rPr>
        <w:fldChar w:fldCharType="end"/>
      </w:r>
      <w:r>
        <w:rPr>
          <w:color w:val="000000" w:themeColor="text1"/>
        </w:rPr>
        <w:t xml:space="preserve"> (das heißt Mengen aller Teilmengen) für Merkmalsregeln, bereits erzeugte Ergebnisse und relevantes Hintergrundwissen</w:t>
      </w:r>
      <w:r w:rsidR="007C0842">
        <w:rPr>
          <w:color w:val="000000" w:themeColor="text1"/>
        </w:rPr>
        <w:t>.</w:t>
      </w:r>
      <w:r>
        <w:rPr>
          <w:color w:val="000000" w:themeColor="text1"/>
        </w:rPr>
        <w:t xml:space="preserve"> </w:t>
      </w:r>
      <w:r w:rsidR="001C1DFF">
        <w:rPr>
          <w:color w:val="000000" w:themeColor="text1"/>
        </w:rPr>
        <w:t xml:space="preserve">Dann ruft sie </w:t>
      </w:r>
      <w:r>
        <w:rPr>
          <w:color w:val="000000" w:themeColor="text1"/>
        </w:rPr>
        <w:t xml:space="preserve">die Funktion </w:t>
      </w:r>
      <w:r w:rsidRPr="00C35EA1">
        <w:rPr>
          <w:i/>
          <w:color w:val="000000" w:themeColor="text1"/>
        </w:rPr>
        <w:t>Ergebnisse</w:t>
      </w:r>
      <w:r>
        <w:rPr>
          <w:color w:val="000000" w:themeColor="text1"/>
        </w:rPr>
        <w:t xml:space="preserve"> für jede mögliche Kombination einer Teilmenge der Merkmalsregeln mit einer Teilmenge der Ergebnisse </w:t>
      </w:r>
      <w:r w:rsidR="001C1DFF">
        <w:rPr>
          <w:color w:val="000000" w:themeColor="text1"/>
        </w:rPr>
        <w:t xml:space="preserve">und </w:t>
      </w:r>
      <w:r>
        <w:rPr>
          <w:color w:val="000000" w:themeColor="text1"/>
        </w:rPr>
        <w:t>einer Teilmenge des rel</w:t>
      </w:r>
      <w:r w:rsidR="001C1DFF">
        <w:rPr>
          <w:color w:val="000000" w:themeColor="text1"/>
        </w:rPr>
        <w:t>evanten Hintergrundwissens auf. Die Kombinationen werden erzeugt, indem die Elemente der Potenzmengen</w:t>
      </w:r>
      <w:r w:rsidR="005D7996">
        <w:rPr>
          <w:color w:val="000000" w:themeColor="text1"/>
        </w:rPr>
        <w:fldChar w:fldCharType="begin"/>
      </w:r>
      <w:r w:rsidR="001C24C2">
        <w:instrText xml:space="preserve"> XE "</w:instrText>
      </w:r>
      <w:r w:rsidR="001C24C2" w:rsidRPr="00B06548">
        <w:instrText>Potenzmenge</w:instrText>
      </w:r>
      <w:r w:rsidR="001C24C2">
        <w:instrText xml:space="preserve">" </w:instrText>
      </w:r>
      <w:r w:rsidR="005D7996">
        <w:rPr>
          <w:color w:val="000000" w:themeColor="text1"/>
        </w:rPr>
        <w:fldChar w:fldCharType="end"/>
      </w:r>
      <w:r w:rsidR="001C1DFF">
        <w:rPr>
          <w:color w:val="000000" w:themeColor="text1"/>
        </w:rPr>
        <w:t xml:space="preserve"> von Merkmalsregeln, Ergebnissen und relevantem Hintergrundwissen in ineinander</w:t>
      </w:r>
      <w:r w:rsidR="00C804EF">
        <w:rPr>
          <w:color w:val="000000" w:themeColor="text1"/>
        </w:rPr>
        <w:softHyphen/>
      </w:r>
      <w:r w:rsidR="001C1DFF">
        <w:rPr>
          <w:color w:val="000000" w:themeColor="text1"/>
        </w:rPr>
        <w:t>geschachtelten Schleifen nacheinander durchgegangen werden</w:t>
      </w:r>
      <w:r w:rsidR="007C0842">
        <w:rPr>
          <w:color w:val="000000" w:themeColor="text1"/>
        </w:rPr>
        <w:t>. Das relevante Hintergrundwissen, für das die Potenzmenge</w:t>
      </w:r>
      <w:r w:rsidR="005D7996">
        <w:rPr>
          <w:color w:val="000000" w:themeColor="text1"/>
        </w:rPr>
        <w:fldChar w:fldCharType="begin"/>
      </w:r>
      <w:r w:rsidR="001C24C2">
        <w:instrText xml:space="preserve"> XE "</w:instrText>
      </w:r>
      <w:r w:rsidR="001C24C2" w:rsidRPr="00A52EAF">
        <w:instrText>Potenzmenge</w:instrText>
      </w:r>
      <w:r w:rsidR="001C24C2">
        <w:instrText xml:space="preserve">" </w:instrText>
      </w:r>
      <w:r w:rsidR="005D7996">
        <w:rPr>
          <w:color w:val="000000" w:themeColor="text1"/>
        </w:rPr>
        <w:fldChar w:fldCharType="end"/>
      </w:r>
      <w:r w:rsidR="007C0842">
        <w:rPr>
          <w:color w:val="000000" w:themeColor="text1"/>
        </w:rPr>
        <w:t xml:space="preserve"> gebildet wird, enthält das für das Schema relevante Hintergrundwissen und variiert ansonsten in Abhängigkeit von den betrachteten Teilmengen von </w:t>
      </w:r>
      <w:r w:rsidR="00B95307">
        <w:t>Merkmals</w:t>
      </w:r>
      <w:r w:rsidR="007C0842">
        <w:rPr>
          <w:color w:val="000000" w:themeColor="text1"/>
        </w:rPr>
        <w:t>regeln und Ergebnissen.</w:t>
      </w:r>
    </w:p>
    <w:p w:rsidR="009C1611" w:rsidRDefault="00E3403A" w:rsidP="008075F9">
      <w:pPr>
        <w:pStyle w:val="Text"/>
        <w:rPr>
          <w:color w:val="000000" w:themeColor="text1"/>
        </w:rPr>
      </w:pPr>
      <w:r>
        <w:rPr>
          <w:color w:val="000000" w:themeColor="text1"/>
        </w:rPr>
        <w:t xml:space="preserve">Dieser Prozess wird so lange wiederholt, bis keine neuen Ergebnisse mehr erzeugt werden. Dann werden die </w:t>
      </w:r>
      <w:r w:rsidR="002119D6">
        <w:rPr>
          <w:color w:val="000000" w:themeColor="text1"/>
        </w:rPr>
        <w:t xml:space="preserve">Ergebnisse </w:t>
      </w:r>
      <w:r>
        <w:rPr>
          <w:color w:val="000000" w:themeColor="text1"/>
        </w:rPr>
        <w:t xml:space="preserve">sortiert und </w:t>
      </w:r>
      <w:r w:rsidR="002119D6">
        <w:rPr>
          <w:color w:val="000000" w:themeColor="text1"/>
        </w:rPr>
        <w:t xml:space="preserve">in der Variablen </w:t>
      </w:r>
      <w:r w:rsidR="002119D6" w:rsidRPr="002119D6">
        <w:rPr>
          <w:i/>
          <w:color w:val="000000" w:themeColor="text1"/>
        </w:rPr>
        <w:t>I</w:t>
      </w:r>
      <w:r w:rsidR="002119D6">
        <w:rPr>
          <w:color w:val="000000" w:themeColor="text1"/>
        </w:rPr>
        <w:t xml:space="preserve"> </w:t>
      </w:r>
      <w:r>
        <w:rPr>
          <w:color w:val="000000" w:themeColor="text1"/>
        </w:rPr>
        <w:t>z</w:t>
      </w:r>
      <w:r>
        <w:rPr>
          <w:color w:val="000000" w:themeColor="text1"/>
        </w:rPr>
        <w:t>u</w:t>
      </w:r>
      <w:r>
        <w:rPr>
          <w:color w:val="000000" w:themeColor="text1"/>
        </w:rPr>
        <w:t>rückgegeben.</w:t>
      </w:r>
    </w:p>
    <w:p w:rsidR="008075F9" w:rsidRPr="00184BB3" w:rsidRDefault="008075F9" w:rsidP="00763790">
      <w:pPr>
        <w:pStyle w:val="Text"/>
        <w:keepNext/>
        <w:spacing w:before="360"/>
        <w:ind w:firstLine="0"/>
        <w:jc w:val="left"/>
        <w:rPr>
          <w:color w:val="000000" w:themeColor="text1"/>
          <w:lang w:val="en-US"/>
        </w:rPr>
      </w:pPr>
      <w:r w:rsidRPr="00184BB3">
        <w:rPr>
          <w:color w:val="000000" w:themeColor="text1"/>
          <w:lang w:val="en-US"/>
        </w:rPr>
        <w:t>function Interpretation (</w:t>
      </w:r>
      <w:r w:rsidRPr="00184BB3">
        <w:rPr>
          <w:i/>
          <w:iCs/>
          <w:color w:val="000000" w:themeColor="text1"/>
          <w:lang w:val="en-US"/>
        </w:rPr>
        <w:t>B</w:t>
      </w:r>
      <w:r w:rsidRPr="00184BB3">
        <w:rPr>
          <w:color w:val="000000" w:themeColor="text1"/>
          <w:lang w:val="en-US"/>
        </w:rPr>
        <w:t>,</w:t>
      </w:r>
      <w:r w:rsidR="00730B77" w:rsidRPr="00184BB3">
        <w:rPr>
          <w:color w:val="000000" w:themeColor="text1"/>
          <w:lang w:val="en-US"/>
        </w:rPr>
        <w:t xml:space="preserve"> </w:t>
      </w:r>
      <w:r w:rsidR="00730B77" w:rsidRPr="00184BB3">
        <w:rPr>
          <w:i/>
          <w:color w:val="000000" w:themeColor="text1"/>
          <w:lang w:val="en-US"/>
        </w:rPr>
        <w:t>S</w:t>
      </w:r>
      <w:r w:rsidR="00771D3B" w:rsidRPr="00184BB3">
        <w:rPr>
          <w:i/>
          <w:color w:val="000000" w:themeColor="text1"/>
          <w:lang w:val="en-US"/>
        </w:rPr>
        <w:t>*</w:t>
      </w:r>
      <w:r w:rsidRPr="00184BB3">
        <w:rPr>
          <w:color w:val="000000" w:themeColor="text1"/>
          <w:lang w:val="en-US"/>
        </w:rPr>
        <w:t>)</w:t>
      </w:r>
    </w:p>
    <w:p w:rsidR="008075F9" w:rsidRPr="00184BB3" w:rsidRDefault="008075F9" w:rsidP="0018515D">
      <w:pPr>
        <w:pStyle w:val="Text"/>
        <w:ind w:firstLine="0"/>
        <w:jc w:val="left"/>
        <w:rPr>
          <w:color w:val="000000" w:themeColor="text1"/>
          <w:lang w:val="en-US"/>
        </w:rPr>
      </w:pPr>
      <w:r w:rsidRPr="00184BB3">
        <w:rPr>
          <w:color w:val="000000" w:themeColor="text1"/>
          <w:lang w:val="en-US"/>
        </w:rPr>
        <w:t xml:space="preserve">   </w:t>
      </w:r>
      <w:r w:rsidRPr="00184BB3">
        <w:rPr>
          <w:i/>
          <w:color w:val="000000" w:themeColor="text1"/>
          <w:lang w:val="en-US"/>
        </w:rPr>
        <w:t>E</w:t>
      </w:r>
      <w:r w:rsidR="00F5567C" w:rsidRPr="00184BB3">
        <w:rPr>
          <w:i/>
          <w:color w:val="000000" w:themeColor="text1"/>
          <w:lang w:val="en-US"/>
        </w:rPr>
        <w:t>r</w:t>
      </w:r>
      <w:r w:rsidR="005068B8" w:rsidRPr="00184BB3">
        <w:rPr>
          <w:color w:val="000000" w:themeColor="text1"/>
          <w:lang w:val="en-US"/>
        </w:rPr>
        <w:t>,</w:t>
      </w:r>
      <w:r w:rsidR="005068B8" w:rsidRPr="00184BB3">
        <w:rPr>
          <w:i/>
          <w:color w:val="000000" w:themeColor="text1"/>
          <w:lang w:val="en-US"/>
        </w:rPr>
        <w:t xml:space="preserve"> So</w:t>
      </w:r>
      <w:r w:rsidR="00226472" w:rsidRPr="00184BB3">
        <w:rPr>
          <w:i/>
          <w:color w:val="000000" w:themeColor="text1"/>
          <w:lang w:val="en-US"/>
        </w:rPr>
        <w:t xml:space="preserve"> </w:t>
      </w:r>
      <w:r w:rsidR="00480A9E" w:rsidRPr="00184BB3">
        <w:rPr>
          <w:color w:val="000000" w:themeColor="text1"/>
          <w:lang w:val="en-US"/>
        </w:rPr>
        <w:t>:</w:t>
      </w:r>
      <w:r w:rsidRPr="00184BB3">
        <w:rPr>
          <w:color w:val="000000" w:themeColor="text1"/>
          <w:lang w:val="en-US"/>
        </w:rPr>
        <w:t xml:space="preserve">= </w:t>
      </w:r>
      <w:r w:rsidRPr="00DB2911">
        <w:rPr>
          <w:color w:val="000000" w:themeColor="text1"/>
          <w:position w:val="-6"/>
        </w:rPr>
        <w:object w:dxaOrig="260" w:dyaOrig="279">
          <v:shape id="_x0000_i1050" type="#_x0000_t75" style="width:14pt;height:13.6pt" o:ole="">
            <v:imagedata r:id="rId70" o:title=""/>
          </v:shape>
          <o:OLEObject Type="Embed" ProgID="Equation.3" ShapeID="_x0000_i1050" DrawAspect="Content" ObjectID="_1460983891" r:id="rId71"/>
        </w:object>
      </w:r>
    </w:p>
    <w:p w:rsidR="00FB5B2E" w:rsidRPr="00184BB3" w:rsidRDefault="00C04FA4" w:rsidP="0018515D">
      <w:pPr>
        <w:pStyle w:val="Text"/>
        <w:ind w:firstLine="0"/>
        <w:jc w:val="left"/>
        <w:rPr>
          <w:lang w:val="en-US"/>
        </w:rPr>
      </w:pPr>
      <w:r w:rsidRPr="00184BB3">
        <w:rPr>
          <w:lang w:val="en-US"/>
        </w:rPr>
        <w:t xml:space="preserve">   </w:t>
      </w:r>
      <w:r w:rsidRPr="00184BB3">
        <w:rPr>
          <w:i/>
          <w:lang w:val="en-US"/>
        </w:rPr>
        <w:t>Z</w:t>
      </w:r>
      <w:r w:rsidRPr="00184BB3">
        <w:rPr>
          <w:lang w:val="en-US"/>
        </w:rPr>
        <w:t xml:space="preserve"> = &lt;</w:t>
      </w:r>
      <w:r w:rsidR="00837C36" w:rsidRPr="00184BB3">
        <w:rPr>
          <w:i/>
          <w:color w:val="000000" w:themeColor="text1"/>
          <w:lang w:val="en-US"/>
        </w:rPr>
        <w:t>w</w:t>
      </w:r>
      <w:r w:rsidR="00837C36" w:rsidRPr="00184BB3">
        <w:rPr>
          <w:color w:val="000000" w:themeColor="text1"/>
          <w:lang w:val="en-US"/>
        </w:rPr>
        <w:t xml:space="preserve">, </w:t>
      </w:r>
      <w:r w:rsidR="00837C36" w:rsidRPr="00184BB3">
        <w:rPr>
          <w:i/>
          <w:color w:val="000000" w:themeColor="text1"/>
          <w:lang w:val="en-US"/>
        </w:rPr>
        <w:t>x</w:t>
      </w:r>
      <w:r w:rsidR="00837C36" w:rsidRPr="00184BB3">
        <w:rPr>
          <w:color w:val="000000" w:themeColor="text1"/>
          <w:lang w:val="en-US"/>
        </w:rPr>
        <w:t xml:space="preserve">, </w:t>
      </w:r>
      <w:r w:rsidR="00837C36" w:rsidRPr="00184BB3">
        <w:rPr>
          <w:i/>
          <w:color w:val="000000" w:themeColor="text1"/>
          <w:lang w:val="en-US"/>
        </w:rPr>
        <w:t>y</w:t>
      </w:r>
      <w:r w:rsidR="00837C36" w:rsidRPr="00184BB3">
        <w:rPr>
          <w:color w:val="000000" w:themeColor="text1"/>
          <w:lang w:val="en-US"/>
        </w:rPr>
        <w:t xml:space="preserve">, </w:t>
      </w:r>
      <w:r w:rsidR="00837C36" w:rsidRPr="00184BB3">
        <w:rPr>
          <w:i/>
          <w:color w:val="000000" w:themeColor="text1"/>
          <w:lang w:val="en-US"/>
        </w:rPr>
        <w:t>z</w:t>
      </w:r>
      <w:r w:rsidRPr="00184BB3">
        <w:rPr>
          <w:lang w:val="en-US"/>
        </w:rPr>
        <w:t>&gt; :=</w:t>
      </w:r>
      <w:r w:rsidR="00FB5B2E" w:rsidRPr="00184BB3">
        <w:rPr>
          <w:lang w:val="en-US"/>
        </w:rPr>
        <w:t xml:space="preserve"> </w:t>
      </w:r>
      <w:r w:rsidRPr="00184BB3">
        <w:rPr>
          <w:lang w:val="en-US"/>
        </w:rPr>
        <w:t>&lt;</w:t>
      </w:r>
      <w:r w:rsidR="00FB5B2E" w:rsidRPr="00184BB3">
        <w:rPr>
          <w:lang w:val="en-US"/>
        </w:rPr>
        <w:t>0</w:t>
      </w:r>
      <w:r w:rsidRPr="00184BB3">
        <w:rPr>
          <w:lang w:val="en-US"/>
        </w:rPr>
        <w:t>, 0, 0, 0&gt;</w:t>
      </w:r>
    </w:p>
    <w:p w:rsidR="00226472" w:rsidRPr="00184BB3" w:rsidRDefault="00837C36" w:rsidP="0018515D">
      <w:pPr>
        <w:pStyle w:val="Text"/>
        <w:ind w:firstLine="0"/>
        <w:jc w:val="left"/>
        <w:rPr>
          <w:lang w:val="en-US"/>
        </w:rPr>
      </w:pPr>
      <w:r w:rsidRPr="00184BB3">
        <w:rPr>
          <w:lang w:val="en-US"/>
        </w:rPr>
        <w:t xml:space="preserve">   </w:t>
      </w:r>
      <w:r w:rsidRPr="00184BB3">
        <w:rPr>
          <w:i/>
          <w:lang w:val="en-US"/>
        </w:rPr>
        <w:t>G</w:t>
      </w:r>
      <w:r w:rsidR="00D85A75" w:rsidRPr="00184BB3">
        <w:rPr>
          <w:lang w:val="en-US"/>
        </w:rPr>
        <w:t xml:space="preserve"> </w:t>
      </w:r>
      <w:r w:rsidRPr="00184BB3">
        <w:rPr>
          <w:lang w:val="en-US"/>
        </w:rPr>
        <w:t xml:space="preserve">= </w:t>
      </w:r>
      <w:r w:rsidR="00863B70">
        <w:rPr>
          <w:lang w:val="it-IT"/>
        </w:rPr>
        <w:t>{&lt;</w:t>
      </w:r>
      <w:r w:rsidR="00863B70">
        <w:rPr>
          <w:i/>
          <w:lang w:val="it-IT"/>
        </w:rPr>
        <w:t>W</w:t>
      </w:r>
      <w:r w:rsidR="00863B70">
        <w:rPr>
          <w:lang w:val="it-IT"/>
        </w:rPr>
        <w:t xml:space="preserve">, </w:t>
      </w:r>
      <w:r w:rsidR="00863B70">
        <w:rPr>
          <w:i/>
          <w:lang w:val="it-IT"/>
        </w:rPr>
        <w:t>S</w:t>
      </w:r>
      <w:r w:rsidR="00863B70">
        <w:rPr>
          <w:lang w:val="it-IT"/>
        </w:rPr>
        <w:t>,</w:t>
      </w:r>
      <w:r w:rsidR="00863B70" w:rsidRPr="004E0380">
        <w:rPr>
          <w:i/>
          <w:lang w:val="it-IT"/>
        </w:rPr>
        <w:t xml:space="preserve"> </w:t>
      </w:r>
      <w:r w:rsidR="00863B70">
        <w:rPr>
          <w:i/>
          <w:lang w:val="it-IT"/>
        </w:rPr>
        <w:t>i</w:t>
      </w:r>
      <w:r w:rsidR="00863B70">
        <w:rPr>
          <w:lang w:val="it-IT"/>
        </w:rPr>
        <w:t xml:space="preserve">&gt;} </w:t>
      </w:r>
      <w:r w:rsidR="00D85A75" w:rsidRPr="00184BB3">
        <w:rPr>
          <w:color w:val="000000" w:themeColor="text1"/>
          <w:lang w:val="en-US"/>
        </w:rPr>
        <w:t xml:space="preserve">:= </w:t>
      </w:r>
      <w:r w:rsidR="00D85A75" w:rsidRPr="00DB2911">
        <w:rPr>
          <w:color w:val="000000" w:themeColor="text1"/>
          <w:position w:val="-6"/>
        </w:rPr>
        <w:object w:dxaOrig="260" w:dyaOrig="279">
          <v:shape id="_x0000_i1051" type="#_x0000_t75" style="width:14pt;height:13.6pt" o:ole="">
            <v:imagedata r:id="rId70" o:title=""/>
          </v:shape>
          <o:OLEObject Type="Embed" ProgID="Equation.3" ShapeID="_x0000_i1051" DrawAspect="Content" ObjectID="_1460983892" r:id="rId72"/>
        </w:object>
      </w:r>
    </w:p>
    <w:p w:rsidR="00597D23" w:rsidRDefault="00597D23" w:rsidP="001641E2">
      <w:pPr>
        <w:pStyle w:val="Text"/>
        <w:ind w:hanging="369"/>
        <w:jc w:val="left"/>
      </w:pPr>
      <w:r w:rsidRPr="00184BB3">
        <w:rPr>
          <w:sz w:val="16"/>
          <w:szCs w:val="16"/>
          <w:lang w:val="en-US"/>
        </w:rPr>
        <w:t xml:space="preserve"> </w:t>
      </w:r>
      <w:r w:rsidRPr="0018515D">
        <w:rPr>
          <w:sz w:val="16"/>
          <w:szCs w:val="16"/>
        </w:rPr>
        <w:t>5</w:t>
      </w:r>
      <w:r>
        <w:tab/>
      </w:r>
      <w:r w:rsidRPr="00597D23">
        <w:t xml:space="preserve">   </w:t>
      </w:r>
      <w:r w:rsidRPr="00663726">
        <w:rPr>
          <w:i/>
        </w:rPr>
        <w:t>H</w:t>
      </w:r>
      <w:r w:rsidRPr="00663726">
        <w:t xml:space="preserve"> := </w:t>
      </w:r>
      <w:r>
        <w:t>Hintergrundwissen</w:t>
      </w:r>
      <w:r w:rsidRPr="00026FBB">
        <w:t>_zusammenstellen</w:t>
      </w:r>
      <w:r>
        <w:t xml:space="preserve"> ()</w:t>
      </w:r>
    </w:p>
    <w:p w:rsidR="008075F9" w:rsidRPr="00184BB3" w:rsidRDefault="00B84480" w:rsidP="0018515D">
      <w:pPr>
        <w:pStyle w:val="Text"/>
        <w:ind w:firstLine="0"/>
        <w:jc w:val="left"/>
      </w:pPr>
      <w:r w:rsidRPr="00284D8D">
        <w:t xml:space="preserve">   </w:t>
      </w:r>
      <w:r w:rsidRPr="00184BB3">
        <w:rPr>
          <w:i/>
        </w:rPr>
        <w:t>Op</w:t>
      </w:r>
      <w:r w:rsidRPr="00184BB3">
        <w:t xml:space="preserve"> := </w:t>
      </w:r>
      <w:r w:rsidR="00543A5D" w:rsidRPr="00184BB3">
        <w:t xml:space="preserve">{Ded, Ind, Abd, </w:t>
      </w:r>
      <w:r w:rsidR="00E10977" w:rsidRPr="00184BB3">
        <w:t xml:space="preserve">Ass, </w:t>
      </w:r>
      <w:r w:rsidR="00EE4794" w:rsidRPr="00184BB3">
        <w:t xml:space="preserve">Bed, </w:t>
      </w:r>
      <w:r w:rsidR="00E10977" w:rsidRPr="00184BB3">
        <w:t>G</w:t>
      </w:r>
      <w:r w:rsidR="00A34BB6" w:rsidRPr="00184BB3">
        <w:t>f</w:t>
      </w:r>
      <w:r w:rsidR="00E10977" w:rsidRPr="00184BB3">
        <w:t>r</w:t>
      </w:r>
      <w:r w:rsidR="00A34BB6" w:rsidRPr="00184BB3">
        <w:t>, Edr</w:t>
      </w:r>
      <w:r w:rsidR="00543A5D" w:rsidRPr="00184BB3">
        <w:t>}</w:t>
      </w:r>
    </w:p>
    <w:p w:rsidR="00597D23" w:rsidRDefault="00597D23" w:rsidP="0018515D">
      <w:pPr>
        <w:pStyle w:val="Text"/>
        <w:ind w:firstLine="0"/>
        <w:jc w:val="left"/>
        <w:rPr>
          <w:iCs/>
          <w:color w:val="000000" w:themeColor="text1"/>
        </w:rPr>
      </w:pPr>
      <w:r w:rsidRPr="00184BB3">
        <w:rPr>
          <w:color w:val="000000" w:themeColor="text1"/>
        </w:rPr>
        <w:t xml:space="preserve">   </w:t>
      </w:r>
      <w:r w:rsidRPr="006F7056">
        <w:rPr>
          <w:i/>
        </w:rPr>
        <w:t>R</w:t>
      </w:r>
      <w:r w:rsidRPr="006F7056">
        <w:t xml:space="preserve"> := Relevantes_Hintergrundwissen (</w:t>
      </w:r>
      <w:r w:rsidRPr="006F7056">
        <w:rPr>
          <w:i/>
          <w:color w:val="000000" w:themeColor="text1"/>
        </w:rPr>
        <w:t>S*</w:t>
      </w:r>
      <w:r w:rsidRPr="006F7056">
        <w:rPr>
          <w:color w:val="000000" w:themeColor="text1"/>
        </w:rPr>
        <w:t xml:space="preserve">, </w:t>
      </w:r>
      <w:r w:rsidRPr="006F7056">
        <w:rPr>
          <w:i/>
          <w:color w:val="000000" w:themeColor="text1"/>
        </w:rPr>
        <w:t>H</w:t>
      </w:r>
      <w:r w:rsidRPr="006F7056">
        <w:rPr>
          <w:color w:val="000000" w:themeColor="text1"/>
        </w:rPr>
        <w:t>)</w:t>
      </w:r>
    </w:p>
    <w:p w:rsidR="00E03862" w:rsidRPr="00E16065" w:rsidRDefault="00E03862" w:rsidP="0018515D">
      <w:pPr>
        <w:pStyle w:val="Text"/>
        <w:ind w:firstLine="0"/>
        <w:jc w:val="left"/>
        <w:rPr>
          <w:color w:val="000000" w:themeColor="text1"/>
          <w:lang w:val="en-US"/>
        </w:rPr>
      </w:pPr>
      <w:r w:rsidRPr="00A96A8E">
        <w:rPr>
          <w:iCs/>
          <w:color w:val="000000" w:themeColor="text1"/>
        </w:rPr>
        <w:t xml:space="preserve">   </w:t>
      </w:r>
      <w:r w:rsidRPr="00E16065">
        <w:rPr>
          <w:i/>
          <w:iCs/>
          <w:color w:val="000000" w:themeColor="text1"/>
          <w:lang w:val="en-US"/>
        </w:rPr>
        <w:t>P</w:t>
      </w:r>
      <w:r w:rsidRPr="00E16065">
        <w:rPr>
          <w:color w:val="000000" w:themeColor="text1"/>
          <w:lang w:val="en-US"/>
        </w:rPr>
        <w:t xml:space="preserve"> := </w:t>
      </w:r>
      <w:r w:rsidR="00D5472C" w:rsidRPr="00FF7A83">
        <w:rPr>
          <w:rFonts w:ascii="Cambria Math" w:eastAsia="Arial Unicode MS" w:hAnsi="Cambria Math" w:cs="Arial Unicode MS"/>
          <w:lang w:val="en-US"/>
        </w:rPr>
        <w:t>℘</w:t>
      </w:r>
      <w:r w:rsidRPr="00E16065">
        <w:rPr>
          <w:color w:val="000000" w:themeColor="text1"/>
          <w:lang w:val="en-US"/>
        </w:rPr>
        <w:t>(</w:t>
      </w:r>
      <w:r w:rsidRPr="00E16065">
        <w:rPr>
          <w:i/>
          <w:color w:val="000000" w:themeColor="text1"/>
          <w:lang w:val="en-US"/>
        </w:rPr>
        <w:t>B</w:t>
      </w:r>
      <w:r w:rsidRPr="00E16065">
        <w:rPr>
          <w:color w:val="000000" w:themeColor="text1"/>
          <w:lang w:val="en-US"/>
        </w:rPr>
        <w:t>)</w:t>
      </w:r>
    </w:p>
    <w:p w:rsidR="007E1665" w:rsidRPr="00E16065" w:rsidRDefault="007E1665" w:rsidP="0018515D">
      <w:pPr>
        <w:pStyle w:val="Text"/>
        <w:ind w:firstLine="0"/>
        <w:jc w:val="left"/>
        <w:rPr>
          <w:color w:val="000000" w:themeColor="text1"/>
          <w:lang w:val="en-US"/>
        </w:rPr>
      </w:pPr>
      <w:r w:rsidRPr="00E16065">
        <w:rPr>
          <w:color w:val="000000" w:themeColor="text1"/>
          <w:lang w:val="en-US"/>
        </w:rPr>
        <w:t xml:space="preserve">   write </w:t>
      </w:r>
      <w:r w:rsidR="00D676FC">
        <w:rPr>
          <w:color w:val="000000" w:themeColor="text1"/>
          <w:lang w:val="en-US"/>
        </w:rPr>
        <w:t>(</w:t>
      </w:r>
      <w:r w:rsidR="00D77D7B" w:rsidRPr="00E16065">
        <w:rPr>
          <w:i/>
          <w:color w:val="000000" w:themeColor="text1"/>
          <w:lang w:val="en-US"/>
        </w:rPr>
        <w:t>So</w:t>
      </w:r>
      <w:r w:rsidR="00D77D7B" w:rsidRPr="00E16065">
        <w:rPr>
          <w:color w:val="000000" w:themeColor="text1"/>
          <w:lang w:val="en-US"/>
        </w:rPr>
        <w:t>(</w:t>
      </w:r>
      <w:r w:rsidR="00D77D7B" w:rsidRPr="00E16065">
        <w:rPr>
          <w:i/>
          <w:color w:val="000000" w:themeColor="text1"/>
          <w:lang w:val="en-US"/>
        </w:rPr>
        <w:t>S*</w:t>
      </w:r>
      <w:r w:rsidR="00D77D7B" w:rsidRPr="00E16065">
        <w:rPr>
          <w:color w:val="000000" w:themeColor="text1"/>
          <w:lang w:val="en-US"/>
        </w:rPr>
        <w:t xml:space="preserve">) </w:t>
      </w:r>
      <w:r w:rsidRPr="00E16065">
        <w:rPr>
          <w:color w:val="000000" w:themeColor="text1"/>
          <w:lang w:val="en-US"/>
        </w:rPr>
        <w:t>“</w:t>
      </w:r>
      <w:r w:rsidR="0070712C" w:rsidRPr="00E16065">
        <w:rPr>
          <w:color w:val="000000" w:themeColor="text1"/>
          <w:lang w:val="en-US"/>
        </w:rPr>
        <w:t>:</w:t>
      </w:r>
      <w:r w:rsidR="000B5A30">
        <w:rPr>
          <w:color w:val="000000" w:themeColor="text1"/>
          <w:lang w:val="en-US"/>
        </w:rPr>
        <w:t xml:space="preserve"> </w:t>
      </w:r>
      <w:r w:rsidR="000B5A30" w:rsidRPr="000B5A30">
        <w:rPr>
          <w:lang w:val="en-US"/>
        </w:rPr>
        <w:t>‚</w:t>
      </w:r>
      <w:r w:rsidRPr="00E16065">
        <w:rPr>
          <w:color w:val="000000" w:themeColor="text1"/>
          <w:lang w:val="en-US"/>
        </w:rPr>
        <w:t xml:space="preserve">” </w:t>
      </w:r>
      <w:r w:rsidR="00E367BB" w:rsidRPr="00E16065">
        <w:rPr>
          <w:i/>
          <w:color w:val="000000" w:themeColor="text1"/>
          <w:lang w:val="en-US"/>
        </w:rPr>
        <w:t>N</w:t>
      </w:r>
      <w:r w:rsidR="00E367BB" w:rsidRPr="00E16065">
        <w:rPr>
          <w:color w:val="000000" w:themeColor="text1"/>
          <w:lang w:val="en-US"/>
        </w:rPr>
        <w:t>(</w:t>
      </w:r>
      <w:r w:rsidR="00E367BB" w:rsidRPr="00E16065">
        <w:rPr>
          <w:i/>
          <w:color w:val="000000" w:themeColor="text1"/>
          <w:lang w:val="en-US"/>
        </w:rPr>
        <w:t>S*</w:t>
      </w:r>
      <w:r w:rsidR="00E367BB" w:rsidRPr="00E16065">
        <w:rPr>
          <w:color w:val="000000" w:themeColor="text1"/>
          <w:lang w:val="en-US"/>
        </w:rPr>
        <w:t>)</w:t>
      </w:r>
      <w:r w:rsidR="0070712C" w:rsidRPr="00E16065">
        <w:rPr>
          <w:color w:val="000000" w:themeColor="text1"/>
          <w:lang w:val="en-US"/>
        </w:rPr>
        <w:t xml:space="preserve"> </w:t>
      </w:r>
      <w:r w:rsidR="00C55E61" w:rsidRPr="00E16065">
        <w:rPr>
          <w:color w:val="000000" w:themeColor="text1"/>
          <w:lang w:val="en-US"/>
        </w:rPr>
        <w:t>“</w:t>
      </w:r>
      <w:r w:rsidR="000B5A30" w:rsidRPr="00853F46">
        <w:rPr>
          <w:lang w:val="en-US"/>
        </w:rPr>
        <w:t>‘</w:t>
      </w:r>
      <w:r w:rsidR="0070712C" w:rsidRPr="00E16065">
        <w:rPr>
          <w:color w:val="000000" w:themeColor="text1"/>
          <w:lang w:val="en-US"/>
        </w:rPr>
        <w:t>&lt;</w:t>
      </w:r>
      <w:r w:rsidR="00591948" w:rsidRPr="00E16065">
        <w:rPr>
          <w:color w:val="000000" w:themeColor="text1"/>
          <w:lang w:val="en-US"/>
        </w:rPr>
        <w:t>br</w:t>
      </w:r>
      <w:r w:rsidR="0070712C" w:rsidRPr="00E16065">
        <w:rPr>
          <w:color w:val="000000" w:themeColor="text1"/>
          <w:lang w:val="en-US"/>
        </w:rPr>
        <w:t>&gt;</w:t>
      </w:r>
      <w:r w:rsidR="00C55E61" w:rsidRPr="00E16065">
        <w:rPr>
          <w:color w:val="000000" w:themeColor="text1"/>
          <w:lang w:val="en-US"/>
        </w:rPr>
        <w:t>”</w:t>
      </w:r>
      <w:r w:rsidR="00D676FC">
        <w:rPr>
          <w:color w:val="000000" w:themeColor="text1"/>
          <w:lang w:val="en-US"/>
        </w:rPr>
        <w:t>)</w:t>
      </w:r>
    </w:p>
    <w:p w:rsidR="00597D23" w:rsidRPr="00DB6E14" w:rsidRDefault="00597D23" w:rsidP="001641E2">
      <w:pPr>
        <w:pStyle w:val="Text"/>
        <w:ind w:hanging="369"/>
        <w:jc w:val="left"/>
      </w:pPr>
      <w:r w:rsidRPr="0018515D">
        <w:rPr>
          <w:sz w:val="16"/>
          <w:szCs w:val="16"/>
        </w:rPr>
        <w:t>10</w:t>
      </w:r>
      <w:r w:rsidRPr="00DB6E14">
        <w:tab/>
      </w:r>
      <w:r w:rsidRPr="00DB6E14">
        <w:rPr>
          <w:color w:val="000000" w:themeColor="text1"/>
        </w:rPr>
        <w:t xml:space="preserve">   do</w:t>
      </w:r>
    </w:p>
    <w:p w:rsidR="008075F9" w:rsidRPr="00436CAE" w:rsidRDefault="008075F9" w:rsidP="0018515D">
      <w:pPr>
        <w:pStyle w:val="Text"/>
        <w:ind w:firstLine="0"/>
        <w:jc w:val="left"/>
        <w:rPr>
          <w:iCs/>
          <w:color w:val="000000" w:themeColor="text1"/>
        </w:rPr>
      </w:pPr>
      <w:r w:rsidRPr="00DB6E14">
        <w:rPr>
          <w:iCs/>
          <w:color w:val="000000" w:themeColor="text1"/>
        </w:rPr>
        <w:t xml:space="preserve">      </w:t>
      </w:r>
      <w:r w:rsidRPr="00436CAE">
        <w:rPr>
          <w:i/>
          <w:iCs/>
          <w:color w:val="000000" w:themeColor="text1"/>
        </w:rPr>
        <w:t>E</w:t>
      </w:r>
      <w:r w:rsidR="00F5567C" w:rsidRPr="00436CAE">
        <w:rPr>
          <w:i/>
          <w:iCs/>
          <w:color w:val="000000" w:themeColor="text1"/>
        </w:rPr>
        <w:t>r</w:t>
      </w:r>
      <w:r w:rsidRPr="00436CAE">
        <w:rPr>
          <w:i/>
          <w:iCs/>
          <w:color w:val="000000" w:themeColor="text1"/>
        </w:rPr>
        <w:t>'</w:t>
      </w:r>
      <w:r w:rsidRPr="00436CAE">
        <w:rPr>
          <w:color w:val="000000" w:themeColor="text1"/>
        </w:rPr>
        <w:t xml:space="preserve"> :=</w:t>
      </w:r>
      <w:r w:rsidRPr="00436CAE">
        <w:rPr>
          <w:i/>
          <w:color w:val="000000" w:themeColor="text1"/>
        </w:rPr>
        <w:t xml:space="preserve"> E</w:t>
      </w:r>
      <w:r w:rsidR="00F5567C" w:rsidRPr="00436CAE">
        <w:rPr>
          <w:i/>
          <w:color w:val="000000" w:themeColor="text1"/>
        </w:rPr>
        <w:t>r</w:t>
      </w:r>
    </w:p>
    <w:p w:rsidR="008075F9" w:rsidRPr="00ED5155" w:rsidRDefault="008075F9" w:rsidP="0018515D">
      <w:pPr>
        <w:pStyle w:val="Text"/>
        <w:ind w:firstLine="0"/>
        <w:jc w:val="left"/>
        <w:rPr>
          <w:color w:val="000000" w:themeColor="text1"/>
        </w:rPr>
      </w:pPr>
      <w:r w:rsidRPr="00ED5155">
        <w:rPr>
          <w:color w:val="000000" w:themeColor="text1"/>
        </w:rPr>
        <w:t xml:space="preserve">   </w:t>
      </w:r>
      <w:r w:rsidRPr="00ED5155">
        <w:rPr>
          <w:iCs/>
          <w:color w:val="000000" w:themeColor="text1"/>
        </w:rPr>
        <w:t xml:space="preserve">   </w:t>
      </w:r>
      <w:r w:rsidRPr="00ED5155">
        <w:rPr>
          <w:i/>
          <w:iCs/>
          <w:color w:val="000000" w:themeColor="text1"/>
        </w:rPr>
        <w:t>Q</w:t>
      </w:r>
      <w:r w:rsidRPr="00ED5155">
        <w:rPr>
          <w:color w:val="000000" w:themeColor="text1"/>
        </w:rPr>
        <w:t xml:space="preserve"> := </w:t>
      </w:r>
      <w:r w:rsidR="00D5472C" w:rsidRPr="00754FC1">
        <w:rPr>
          <w:rFonts w:ascii="Cambria Math" w:eastAsia="Arial Unicode MS" w:hAnsi="Cambria Math" w:cs="Arial Unicode MS"/>
        </w:rPr>
        <w:t>℘</w:t>
      </w:r>
      <w:r w:rsidRPr="00ED5155">
        <w:rPr>
          <w:color w:val="000000" w:themeColor="text1"/>
        </w:rPr>
        <w:t>(</w:t>
      </w:r>
      <w:r w:rsidRPr="00ED5155">
        <w:rPr>
          <w:i/>
          <w:color w:val="000000" w:themeColor="text1"/>
        </w:rPr>
        <w:t>E</w:t>
      </w:r>
      <w:r w:rsidR="00F5567C" w:rsidRPr="00ED5155">
        <w:rPr>
          <w:i/>
          <w:color w:val="000000" w:themeColor="text1"/>
        </w:rPr>
        <w:t>r</w:t>
      </w:r>
      <w:r w:rsidRPr="00ED5155">
        <w:rPr>
          <w:color w:val="000000" w:themeColor="text1"/>
        </w:rPr>
        <w:t>)</w:t>
      </w:r>
    </w:p>
    <w:p w:rsidR="00597D23" w:rsidRPr="00282961" w:rsidRDefault="00597D23" w:rsidP="0018515D">
      <w:pPr>
        <w:pStyle w:val="Text"/>
        <w:ind w:firstLine="0"/>
        <w:jc w:val="left"/>
        <w:rPr>
          <w:color w:val="000000" w:themeColor="text1"/>
          <w:lang w:val="en-US"/>
        </w:rPr>
      </w:pPr>
      <w:r w:rsidRPr="00542ACB">
        <w:rPr>
          <w:color w:val="000000" w:themeColor="text1"/>
        </w:rPr>
        <w:t xml:space="preserve">      </w:t>
      </w:r>
      <w:r w:rsidRPr="00282961">
        <w:rPr>
          <w:color w:val="000000" w:themeColor="text1"/>
          <w:lang w:val="en-US"/>
        </w:rPr>
        <w:t xml:space="preserve">for </w:t>
      </w:r>
      <w:r w:rsidRPr="00282961">
        <w:rPr>
          <w:i/>
          <w:color w:val="000000" w:themeColor="text1"/>
          <w:lang w:val="en-US"/>
        </w:rPr>
        <w:t>i</w:t>
      </w:r>
      <w:r w:rsidRPr="00282961">
        <w:rPr>
          <w:color w:val="000000" w:themeColor="text1"/>
          <w:lang w:val="en-US"/>
        </w:rPr>
        <w:t xml:space="preserve"> := 1 to |</w:t>
      </w:r>
      <w:r w:rsidRPr="00282961">
        <w:rPr>
          <w:i/>
          <w:color w:val="000000" w:themeColor="text1"/>
          <w:lang w:val="en-US"/>
        </w:rPr>
        <w:t>P</w:t>
      </w:r>
      <w:r w:rsidRPr="00282961">
        <w:rPr>
          <w:color w:val="000000" w:themeColor="text1"/>
          <w:lang w:val="en-US"/>
        </w:rPr>
        <w:t>|</w:t>
      </w:r>
    </w:p>
    <w:p w:rsidR="001C7E94" w:rsidRPr="00282961" w:rsidRDefault="001C7E94" w:rsidP="0018515D">
      <w:pPr>
        <w:pStyle w:val="Text"/>
        <w:ind w:firstLine="0"/>
        <w:jc w:val="left"/>
        <w:rPr>
          <w:color w:val="000000" w:themeColor="text1"/>
          <w:lang w:val="en-US"/>
        </w:rPr>
      </w:pPr>
      <w:r w:rsidRPr="00282961">
        <w:rPr>
          <w:color w:val="000000" w:themeColor="text1"/>
          <w:lang w:val="en-US"/>
        </w:rPr>
        <w:t xml:space="preserve">         for </w:t>
      </w:r>
      <w:r w:rsidRPr="00282961">
        <w:rPr>
          <w:i/>
          <w:color w:val="000000" w:themeColor="text1"/>
          <w:lang w:val="en-US"/>
        </w:rPr>
        <w:t>j</w:t>
      </w:r>
      <w:r w:rsidRPr="00282961">
        <w:rPr>
          <w:color w:val="000000" w:themeColor="text1"/>
          <w:lang w:val="en-US"/>
        </w:rPr>
        <w:t xml:space="preserve"> := 1 to |</w:t>
      </w:r>
      <w:r w:rsidRPr="00282961">
        <w:rPr>
          <w:i/>
          <w:color w:val="000000" w:themeColor="text1"/>
          <w:lang w:val="en-US"/>
        </w:rPr>
        <w:t>Q</w:t>
      </w:r>
      <w:r w:rsidRPr="00282961">
        <w:rPr>
          <w:color w:val="000000" w:themeColor="text1"/>
          <w:lang w:val="en-US"/>
        </w:rPr>
        <w:t>|</w:t>
      </w:r>
    </w:p>
    <w:p w:rsidR="00597D23" w:rsidRPr="00783E5E" w:rsidRDefault="00597D23" w:rsidP="001641E2">
      <w:pPr>
        <w:pStyle w:val="Text"/>
        <w:ind w:hanging="369"/>
        <w:jc w:val="left"/>
      </w:pPr>
      <w:r w:rsidRPr="0018515D">
        <w:rPr>
          <w:sz w:val="16"/>
          <w:szCs w:val="16"/>
        </w:rPr>
        <w:t>15</w:t>
      </w:r>
      <w:r w:rsidRPr="00783E5E">
        <w:tab/>
      </w:r>
      <w:r w:rsidRPr="00783E5E">
        <w:rPr>
          <w:color w:val="000000" w:themeColor="text1"/>
        </w:rPr>
        <w:t xml:space="preserve">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r>
                  <m:rPr>
                    <m:nor/>
                  </m:rPr>
                  <w:rPr>
                    <w:rFonts w:cs="Times New Roman"/>
                    <w:i/>
                  </w:rPr>
                  <m:t>j</m:t>
                </m:r>
              </m:sub>
            </m:sSub>
          </m:sub>
        </m:sSub>
      </m:oMath>
      <w:r w:rsidRPr="00783E5E">
        <w:rPr>
          <w:color w:val="000000" w:themeColor="text1"/>
        </w:rPr>
        <w:t xml:space="preserve"> := </w:t>
      </w:r>
      <w:r w:rsidR="00D5472C" w:rsidRPr="00D5472C">
        <w:rPr>
          <w:rFonts w:ascii="Cambria Math" w:eastAsia="Arial Unicode MS" w:hAnsi="Cambria Math" w:cs="Arial Unicode MS"/>
        </w:rPr>
        <w:t>℘</w:t>
      </w:r>
      <w:r w:rsidRPr="00783E5E">
        <w:rPr>
          <w:color w:val="000000" w:themeColor="text1"/>
        </w:rPr>
        <w:t>(</w:t>
      </w:r>
      <w:r w:rsidRPr="00783E5E">
        <w:rPr>
          <w:i/>
          <w:color w:val="000000" w:themeColor="text1"/>
        </w:rPr>
        <w:t>R</w:t>
      </w:r>
      <w:r w:rsidRPr="00783E5E">
        <w:rPr>
          <w:color w:val="000000" w:themeColor="text1"/>
        </w:rPr>
        <w:t xml:space="preserve"> </w:t>
      </w:r>
      <w:r w:rsidR="00E535E0" w:rsidRPr="00E535E0">
        <w:rPr>
          <w:rFonts w:ascii="Cambria Math" w:eastAsia="Arial Unicode MS" w:hAnsi="Cambria Math" w:cs="Arial Unicode MS"/>
          <w:color w:val="000000" w:themeColor="text1"/>
        </w:rPr>
        <w:t>∪</w:t>
      </w:r>
      <w:r w:rsidRPr="00783E5E">
        <w:rPr>
          <w:color w:val="000000" w:themeColor="text1"/>
        </w:rPr>
        <w:t xml:space="preserve"> Relevantes_Hintergrundwissen (</w:t>
      </w:r>
      <w:r w:rsidRPr="00783E5E">
        <w:rPr>
          <w:i/>
          <w:color w:val="000000" w:themeColor="text1"/>
        </w:rPr>
        <w:t>P</w:t>
      </w:r>
      <w:r w:rsidRPr="00783E5E">
        <w:rPr>
          <w:i/>
          <w:color w:val="000000" w:themeColor="text1"/>
          <w:vertAlign w:val="subscript"/>
        </w:rPr>
        <w:t>i</w:t>
      </w:r>
      <w:r w:rsidRPr="00783E5E">
        <w:rPr>
          <w:color w:val="000000" w:themeColor="text1"/>
        </w:rPr>
        <w:t xml:space="preserve"> </w:t>
      </w:r>
      <w:r w:rsidR="00E535E0" w:rsidRPr="00E535E0">
        <w:rPr>
          <w:rFonts w:ascii="Cambria Math" w:eastAsia="Arial Unicode MS" w:hAnsi="Cambria Math" w:cs="Arial Unicode MS"/>
          <w:color w:val="000000" w:themeColor="text1"/>
        </w:rPr>
        <w:t>∪</w:t>
      </w:r>
      <w:r w:rsidRPr="00783E5E">
        <w:rPr>
          <w:color w:val="000000" w:themeColor="text1"/>
        </w:rPr>
        <w:t xml:space="preserve"> </w:t>
      </w:r>
      <w:r w:rsidRPr="00783E5E">
        <w:rPr>
          <w:i/>
          <w:color w:val="000000" w:themeColor="text1"/>
        </w:rPr>
        <w:t>Q</w:t>
      </w:r>
      <w:r w:rsidRPr="00783E5E">
        <w:rPr>
          <w:i/>
          <w:color w:val="000000" w:themeColor="text1"/>
          <w:vertAlign w:val="subscript"/>
        </w:rPr>
        <w:t>j</w:t>
      </w:r>
      <w:r w:rsidRPr="00783E5E">
        <w:rPr>
          <w:color w:val="000000" w:themeColor="text1"/>
        </w:rPr>
        <w:t xml:space="preserve">, </w:t>
      </w:r>
      <w:r w:rsidRPr="00783E5E">
        <w:rPr>
          <w:i/>
          <w:color w:val="000000" w:themeColor="text1"/>
        </w:rPr>
        <w:t>H</w:t>
      </w:r>
      <w:r w:rsidRPr="00783E5E">
        <w:rPr>
          <w:color w:val="000000" w:themeColor="text1"/>
        </w:rPr>
        <w:t>))</w:t>
      </w:r>
    </w:p>
    <w:p w:rsidR="006E00C9" w:rsidRPr="00945CAE" w:rsidRDefault="006E00C9" w:rsidP="0018515D">
      <w:pPr>
        <w:pStyle w:val="Text"/>
        <w:ind w:firstLine="0"/>
        <w:jc w:val="left"/>
        <w:rPr>
          <w:color w:val="000000" w:themeColor="text1"/>
          <w:lang w:val="en-US"/>
        </w:rPr>
      </w:pPr>
      <w:r w:rsidRPr="00783E5E">
        <w:rPr>
          <w:color w:val="000000" w:themeColor="text1"/>
        </w:rPr>
        <w:t xml:space="preserve">         </w:t>
      </w:r>
      <w:r w:rsidRPr="00945CAE">
        <w:rPr>
          <w:color w:val="000000" w:themeColor="text1"/>
          <w:lang w:val="en-US"/>
        </w:rPr>
        <w:t>end</w:t>
      </w:r>
    </w:p>
    <w:p w:rsidR="006E00C9" w:rsidRDefault="006E00C9" w:rsidP="0018515D">
      <w:pPr>
        <w:pStyle w:val="Text"/>
        <w:ind w:firstLine="0"/>
        <w:jc w:val="left"/>
        <w:rPr>
          <w:color w:val="000000" w:themeColor="text1"/>
          <w:lang w:val="en-US"/>
        </w:rPr>
      </w:pPr>
      <w:r w:rsidRPr="00945CAE">
        <w:rPr>
          <w:color w:val="000000" w:themeColor="text1"/>
          <w:lang w:val="en-US"/>
        </w:rPr>
        <w:t xml:space="preserve">      end</w:t>
      </w:r>
    </w:p>
    <w:p w:rsidR="00597D23" w:rsidRPr="00945CAE" w:rsidRDefault="00597D23" w:rsidP="0018515D">
      <w:pPr>
        <w:pStyle w:val="Text"/>
        <w:ind w:firstLine="0"/>
        <w:jc w:val="left"/>
        <w:rPr>
          <w:color w:val="000000" w:themeColor="text1"/>
          <w:lang w:val="en-US"/>
        </w:rPr>
      </w:pPr>
      <w:r w:rsidRPr="00E03862">
        <w:rPr>
          <w:color w:val="000000" w:themeColor="text1"/>
          <w:lang w:val="en-US"/>
        </w:rPr>
        <w:t xml:space="preserve">      </w:t>
      </w:r>
      <w:r w:rsidRPr="00DB2911">
        <w:rPr>
          <w:color w:val="000000" w:themeColor="text1"/>
          <w:lang w:val="en-US"/>
        </w:rPr>
        <w:t xml:space="preserve">for </w:t>
      </w:r>
      <w:r w:rsidRPr="00DB2911">
        <w:rPr>
          <w:i/>
          <w:color w:val="000000" w:themeColor="text1"/>
          <w:lang w:val="en-US"/>
        </w:rPr>
        <w:t>i</w:t>
      </w:r>
      <w:r w:rsidRPr="00DB2911">
        <w:rPr>
          <w:color w:val="000000" w:themeColor="text1"/>
          <w:lang w:val="en-US"/>
        </w:rPr>
        <w:t xml:space="preserve"> := 1 to |</w:t>
      </w:r>
      <w:r w:rsidRPr="00DB2911">
        <w:rPr>
          <w:i/>
          <w:color w:val="000000" w:themeColor="text1"/>
          <w:lang w:val="en-US"/>
        </w:rPr>
        <w:t>P</w:t>
      </w:r>
      <w:r w:rsidRPr="00DB2911">
        <w:rPr>
          <w:color w:val="000000" w:themeColor="text1"/>
          <w:lang w:val="en-US"/>
        </w:rPr>
        <w:t>|</w:t>
      </w:r>
    </w:p>
    <w:p w:rsidR="00F02918" w:rsidRDefault="00F02918" w:rsidP="0018515D">
      <w:pPr>
        <w:pStyle w:val="Text"/>
        <w:ind w:firstLine="0"/>
        <w:jc w:val="left"/>
        <w:rPr>
          <w:color w:val="000000" w:themeColor="text1"/>
          <w:lang w:val="en-US"/>
        </w:rPr>
      </w:pPr>
      <w:r w:rsidRPr="0072651B">
        <w:rPr>
          <w:color w:val="000000" w:themeColor="text1"/>
          <w:lang w:val="en-US"/>
        </w:rPr>
        <w:lastRenderedPageBreak/>
        <w:t xml:space="preserve">         </w:t>
      </w:r>
      <w:r w:rsidRPr="009433BD">
        <w:rPr>
          <w:color w:val="000000" w:themeColor="text1"/>
          <w:lang w:val="en-US"/>
        </w:rPr>
        <w:t xml:space="preserve">if </w:t>
      </w:r>
      <w:r w:rsidR="00557C80">
        <w:rPr>
          <w:color w:val="000000" w:themeColor="text1"/>
          <w:lang w:val="en-US"/>
        </w:rPr>
        <w:t>Interesse</w:t>
      </w:r>
      <w:r w:rsidR="0072651B" w:rsidRPr="009433BD">
        <w:rPr>
          <w:color w:val="000000" w:themeColor="text1"/>
          <w:lang w:val="en-US"/>
        </w:rPr>
        <w:t xml:space="preserve"> </w:t>
      </w:r>
      <w:r w:rsidR="00DF36E8">
        <w:rPr>
          <w:color w:val="000000" w:themeColor="text1"/>
          <w:lang w:val="en-US"/>
        </w:rPr>
        <w:t>(</w:t>
      </w:r>
      <w:r w:rsidR="00DF36E8" w:rsidRPr="00AF1A40">
        <w:rPr>
          <w:i/>
          <w:color w:val="000000" w:themeColor="text1"/>
          <w:lang w:val="en-US"/>
        </w:rPr>
        <w:t>P</w:t>
      </w:r>
      <w:r w:rsidR="00DF36E8" w:rsidRPr="00AF1A40">
        <w:rPr>
          <w:i/>
          <w:color w:val="000000" w:themeColor="text1"/>
          <w:vertAlign w:val="subscript"/>
          <w:lang w:val="en-US"/>
        </w:rPr>
        <w:t>i</w:t>
      </w:r>
      <w:r w:rsidR="00DF36E8">
        <w:rPr>
          <w:color w:val="000000" w:themeColor="text1"/>
          <w:lang w:val="en-US"/>
        </w:rPr>
        <w:t xml:space="preserve">) </w:t>
      </w:r>
      <w:r w:rsidRPr="009433BD">
        <w:rPr>
          <w:color w:val="000000" w:themeColor="text1"/>
          <w:lang w:val="en-US"/>
        </w:rPr>
        <w:t>= 1</w:t>
      </w:r>
    </w:p>
    <w:p w:rsidR="00A30D7E" w:rsidRPr="00597D23" w:rsidRDefault="00A30D7E" w:rsidP="004B4730">
      <w:pPr>
        <w:pStyle w:val="Text"/>
        <w:ind w:hanging="369"/>
        <w:jc w:val="left"/>
        <w:rPr>
          <w:lang w:val="en-US"/>
        </w:rPr>
      </w:pPr>
      <w:r w:rsidRPr="0018515D">
        <w:rPr>
          <w:sz w:val="16"/>
          <w:szCs w:val="16"/>
          <w:lang w:val="en-US"/>
        </w:rPr>
        <w:t>20</w:t>
      </w:r>
      <w:r w:rsidRPr="00597D23">
        <w:rPr>
          <w:lang w:val="en-US"/>
        </w:rPr>
        <w:tab/>
      </w:r>
      <w:r w:rsidRPr="009433BD">
        <w:rPr>
          <w:color w:val="000000" w:themeColor="text1"/>
          <w:lang w:val="en-US"/>
        </w:rPr>
        <w:t xml:space="preserve">            for </w:t>
      </w:r>
      <w:r w:rsidRPr="009433BD">
        <w:rPr>
          <w:i/>
          <w:color w:val="000000" w:themeColor="text1"/>
          <w:lang w:val="en-US"/>
        </w:rPr>
        <w:t>j</w:t>
      </w:r>
      <w:r w:rsidRPr="009433BD">
        <w:rPr>
          <w:color w:val="000000" w:themeColor="text1"/>
          <w:lang w:val="en-US"/>
        </w:rPr>
        <w:t xml:space="preserve"> := 1 to |</w:t>
      </w:r>
      <w:r w:rsidRPr="009433BD">
        <w:rPr>
          <w:i/>
          <w:color w:val="000000" w:themeColor="text1"/>
          <w:lang w:val="en-US"/>
        </w:rPr>
        <w:t>Q</w:t>
      </w:r>
      <w:r w:rsidRPr="009433BD">
        <w:rPr>
          <w:color w:val="000000" w:themeColor="text1"/>
          <w:lang w:val="en-US"/>
        </w:rPr>
        <w:t>|</w:t>
      </w:r>
    </w:p>
    <w:p w:rsidR="00F02918" w:rsidRPr="007A623E" w:rsidRDefault="00F02918" w:rsidP="0018515D">
      <w:pPr>
        <w:pStyle w:val="Text"/>
        <w:ind w:firstLine="0"/>
        <w:jc w:val="left"/>
        <w:rPr>
          <w:color w:val="000000" w:themeColor="text1"/>
          <w:lang w:val="en-US"/>
        </w:rPr>
      </w:pPr>
      <w:r w:rsidRPr="007A623E">
        <w:rPr>
          <w:color w:val="000000" w:themeColor="text1"/>
          <w:lang w:val="en-US"/>
        </w:rPr>
        <w:t xml:space="preserve">               if </w:t>
      </w:r>
      <w:r w:rsidR="007A623E" w:rsidRPr="007A623E">
        <w:rPr>
          <w:color w:val="000000" w:themeColor="text1"/>
          <w:lang w:val="en-US"/>
        </w:rPr>
        <w:t>(</w:t>
      </w:r>
      <w:r w:rsidR="00557C80">
        <w:rPr>
          <w:color w:val="000000" w:themeColor="text1"/>
          <w:lang w:val="en-US"/>
        </w:rPr>
        <w:t>Interesse</w:t>
      </w:r>
      <w:r w:rsidR="00D353D6" w:rsidRPr="007A623E">
        <w:rPr>
          <w:color w:val="000000" w:themeColor="text1"/>
          <w:lang w:val="en-US"/>
        </w:rPr>
        <w:t xml:space="preserve"> </w:t>
      </w:r>
      <w:r w:rsidR="00DF36E8" w:rsidRPr="007A623E">
        <w:rPr>
          <w:color w:val="000000" w:themeColor="text1"/>
          <w:lang w:val="en-US"/>
        </w:rPr>
        <w:t>(</w:t>
      </w:r>
      <w:r w:rsidR="00DF36E8" w:rsidRPr="007A623E">
        <w:rPr>
          <w:i/>
          <w:color w:val="000000" w:themeColor="text1"/>
          <w:lang w:val="en-US"/>
        </w:rPr>
        <w:t>Q</w:t>
      </w:r>
      <w:r w:rsidR="00DF36E8" w:rsidRPr="007A623E">
        <w:rPr>
          <w:i/>
          <w:color w:val="000000" w:themeColor="text1"/>
          <w:vertAlign w:val="subscript"/>
          <w:lang w:val="en-US"/>
        </w:rPr>
        <w:t>j</w:t>
      </w:r>
      <w:r w:rsidR="00DF36E8" w:rsidRPr="007A623E">
        <w:rPr>
          <w:color w:val="000000" w:themeColor="text1"/>
          <w:lang w:val="en-US"/>
        </w:rPr>
        <w:t xml:space="preserve">) </w:t>
      </w:r>
      <w:r w:rsidRPr="007A623E">
        <w:rPr>
          <w:color w:val="000000" w:themeColor="text1"/>
          <w:lang w:val="en-US"/>
        </w:rPr>
        <w:t>= 1</w:t>
      </w:r>
      <w:r w:rsidR="007A623E" w:rsidRPr="007A623E">
        <w:rPr>
          <w:color w:val="000000" w:themeColor="text1"/>
          <w:lang w:val="en-US"/>
        </w:rPr>
        <w:t xml:space="preserve">) </w:t>
      </w:r>
      <w:r w:rsidR="003B3E92" w:rsidRPr="00CC5CB4">
        <w:rPr>
          <w:rFonts w:ascii="Cambria Math" w:hAnsi="Cambria Math" w:cs="Cambria Math"/>
          <w:color w:val="000000" w:themeColor="text1"/>
          <w:lang w:val="en-US"/>
        </w:rPr>
        <w:t>∧</w:t>
      </w:r>
      <w:r w:rsidR="007A623E" w:rsidRPr="007A623E">
        <w:rPr>
          <w:color w:val="000000" w:themeColor="text1"/>
          <w:lang w:val="en-US"/>
        </w:rPr>
        <w:t xml:space="preserve"> ((</w:t>
      </w:r>
      <w:r w:rsidR="007A623E" w:rsidRPr="007A623E">
        <w:rPr>
          <w:i/>
          <w:color w:val="000000" w:themeColor="text1"/>
          <w:lang w:val="en-US"/>
        </w:rPr>
        <w:t>P</w:t>
      </w:r>
      <w:r w:rsidR="007A623E" w:rsidRPr="007A623E">
        <w:rPr>
          <w:i/>
          <w:color w:val="000000" w:themeColor="text1"/>
          <w:vertAlign w:val="subscript"/>
          <w:lang w:val="en-US"/>
        </w:rPr>
        <w:t>i</w:t>
      </w:r>
      <w:r w:rsidR="007A623E" w:rsidRPr="007A623E">
        <w:rPr>
          <w:color w:val="000000" w:themeColor="text1"/>
          <w:lang w:val="en-US"/>
        </w:rPr>
        <w:t xml:space="preserve"> </w:t>
      </w:r>
      <w:r w:rsidR="007A623E" w:rsidRPr="00E535E0">
        <w:rPr>
          <w:rFonts w:ascii="Cambria Math" w:eastAsia="Arial Unicode MS" w:hAnsi="Cambria Math" w:cs="Arial Unicode MS"/>
          <w:color w:val="000000" w:themeColor="text1"/>
          <w:lang w:val="en-US"/>
        </w:rPr>
        <w:t>∪</w:t>
      </w:r>
      <w:r w:rsidR="007A623E" w:rsidRPr="007A623E">
        <w:rPr>
          <w:color w:val="000000" w:themeColor="text1"/>
          <w:lang w:val="en-US"/>
        </w:rPr>
        <w:t xml:space="preserve"> </w:t>
      </w:r>
      <w:r w:rsidR="007A623E" w:rsidRPr="007A623E">
        <w:rPr>
          <w:i/>
          <w:color w:val="000000" w:themeColor="text1"/>
          <w:lang w:val="en-US"/>
        </w:rPr>
        <w:t>Q</w:t>
      </w:r>
      <w:r w:rsidR="007A623E" w:rsidRPr="007A623E">
        <w:rPr>
          <w:i/>
          <w:color w:val="000000" w:themeColor="text1"/>
          <w:vertAlign w:val="subscript"/>
          <w:lang w:val="en-US"/>
        </w:rPr>
        <w:t>j</w:t>
      </w:r>
      <w:r w:rsidR="007A623E" w:rsidRPr="007A623E">
        <w:rPr>
          <w:color w:val="000000" w:themeColor="text1"/>
          <w:lang w:val="en-US"/>
        </w:rPr>
        <w:t xml:space="preserve">) </w:t>
      </w:r>
      <w:r w:rsidR="007A623E" w:rsidRPr="007A623E">
        <w:rPr>
          <w:rFonts w:eastAsia="Arial Unicode MS" w:cs="Times New Roman"/>
          <w:color w:val="000000" w:themeColor="text1"/>
          <w:lang w:val="en-US"/>
        </w:rPr>
        <w:t>≠</w:t>
      </w:r>
      <w:r w:rsidR="007A623E">
        <w:rPr>
          <w:color w:val="000000" w:themeColor="text1"/>
          <w:lang w:val="en-US"/>
        </w:rPr>
        <w:t xml:space="preserve"> </w:t>
      </w:r>
      <w:r w:rsidR="007A623E" w:rsidRPr="00DB2911">
        <w:rPr>
          <w:color w:val="000000" w:themeColor="text1"/>
          <w:position w:val="-6"/>
        </w:rPr>
        <w:object w:dxaOrig="260" w:dyaOrig="279">
          <v:shape id="_x0000_i1052" type="#_x0000_t75" style="width:14pt;height:13.6pt" o:ole="">
            <v:imagedata r:id="rId70" o:title=""/>
          </v:shape>
          <o:OLEObject Type="Embed" ProgID="Equation.3" ShapeID="_x0000_i1052" DrawAspect="Content" ObjectID="_1460983893" r:id="rId73"/>
        </w:object>
      </w:r>
      <w:r w:rsidR="003E5230">
        <w:rPr>
          <w:color w:val="000000" w:themeColor="text1"/>
          <w:lang w:val="en-US"/>
        </w:rPr>
        <w:t>)</w:t>
      </w:r>
    </w:p>
    <w:p w:rsidR="003871FE" w:rsidRPr="009433BD" w:rsidRDefault="00F02918" w:rsidP="0018515D">
      <w:pPr>
        <w:pStyle w:val="Text"/>
        <w:ind w:firstLine="0"/>
        <w:jc w:val="left"/>
        <w:rPr>
          <w:color w:val="000000" w:themeColor="text1"/>
          <w:lang w:val="en-US"/>
        </w:rPr>
      </w:pPr>
      <w:r w:rsidRPr="007A623E">
        <w:rPr>
          <w:color w:val="000000" w:themeColor="text1"/>
          <w:lang w:val="en-US"/>
        </w:rPr>
        <w:t xml:space="preserve">      </w:t>
      </w:r>
      <w:r w:rsidR="003871FE" w:rsidRPr="007A623E">
        <w:rPr>
          <w:color w:val="000000" w:themeColor="text1"/>
          <w:lang w:val="en-US"/>
        </w:rPr>
        <w:t xml:space="preserve">            </w:t>
      </w:r>
      <w:r w:rsidR="003871FE" w:rsidRPr="009433BD">
        <w:rPr>
          <w:color w:val="000000" w:themeColor="text1"/>
          <w:lang w:val="en-US"/>
        </w:rPr>
        <w:t xml:space="preserve">for </w:t>
      </w:r>
      <w:r w:rsidR="003871FE" w:rsidRPr="009433BD">
        <w:rPr>
          <w:i/>
          <w:color w:val="000000" w:themeColor="text1"/>
          <w:lang w:val="en-US"/>
        </w:rPr>
        <w:t>k</w:t>
      </w:r>
      <w:r w:rsidR="003871FE" w:rsidRPr="009433BD">
        <w:rPr>
          <w:color w:val="000000" w:themeColor="text1"/>
          <w:lang w:val="en-US"/>
        </w:rPr>
        <w:t xml:space="preserve"> := 1 to |</w:t>
      </w:r>
      <m:oMath>
        <m:sSub>
          <m:sSubPr>
            <m:ctrlPr>
              <w:rPr>
                <w:rFonts w:ascii="Cambria Math" w:hAnsi="Cambria Math" w:cs="Times New Roman"/>
                <w:i/>
              </w:rPr>
            </m:ctrlPr>
          </m:sSubPr>
          <m:e>
            <m:r>
              <m:rPr>
                <m:nor/>
              </m:rPr>
              <w:rPr>
                <w:rFonts w:cs="Times New Roman"/>
                <w:i/>
                <w:lang w:val="en-US"/>
              </w:rPr>
              <m:t>R</m:t>
            </m:r>
          </m:e>
          <m:sub>
            <m:sSub>
              <m:sSubPr>
                <m:ctrlPr>
                  <w:rPr>
                    <w:rFonts w:ascii="Cambria Math" w:hAnsi="Cambria Math" w:cs="Times New Roman"/>
                    <w:i/>
                  </w:rPr>
                </m:ctrlPr>
              </m:sSubPr>
              <m:e>
                <m:r>
                  <m:rPr>
                    <m:nor/>
                  </m:rPr>
                  <w:rPr>
                    <w:rFonts w:cs="Times New Roman"/>
                    <w:i/>
                    <w:lang w:val="en-US"/>
                  </w:rPr>
                  <m:t>i</m:t>
                </m:r>
              </m:e>
              <m:sub>
                <m:r>
                  <m:rPr>
                    <m:nor/>
                  </m:rPr>
                  <w:rPr>
                    <w:rFonts w:cs="Times New Roman"/>
                    <w:i/>
                    <w:lang w:val="en-US"/>
                  </w:rPr>
                  <m:t>j</m:t>
                </m:r>
              </m:sub>
            </m:sSub>
          </m:sub>
        </m:sSub>
      </m:oMath>
      <w:r w:rsidR="003871FE" w:rsidRPr="009433BD">
        <w:rPr>
          <w:color w:val="000000" w:themeColor="text1"/>
          <w:lang w:val="en-US"/>
        </w:rPr>
        <w:t>|</w:t>
      </w:r>
    </w:p>
    <w:p w:rsidR="00F02918" w:rsidRPr="00DD36E3" w:rsidRDefault="00F02918" w:rsidP="0018515D">
      <w:pPr>
        <w:pStyle w:val="Text"/>
        <w:ind w:firstLine="0"/>
        <w:jc w:val="left"/>
        <w:rPr>
          <w:color w:val="000000" w:themeColor="text1"/>
          <w:lang w:val="en-US"/>
        </w:rPr>
      </w:pPr>
      <w:r w:rsidRPr="009433BD">
        <w:rPr>
          <w:color w:val="000000" w:themeColor="text1"/>
          <w:lang w:val="en-US"/>
        </w:rPr>
        <w:t xml:space="preserve">                     </w:t>
      </w:r>
      <w:r w:rsidRPr="00DD36E3">
        <w:rPr>
          <w:color w:val="000000" w:themeColor="text1"/>
          <w:lang w:val="en-US"/>
        </w:rPr>
        <w:t xml:space="preserve">if </w:t>
      </w:r>
      <w:r w:rsidR="00557C80">
        <w:rPr>
          <w:color w:val="000000" w:themeColor="text1"/>
          <w:lang w:val="en-US"/>
        </w:rPr>
        <w:t>Interesse</w:t>
      </w:r>
      <w:r w:rsidR="00D353D6" w:rsidRPr="00DD36E3">
        <w:rPr>
          <w:color w:val="000000" w:themeColor="text1"/>
          <w:lang w:val="en-US"/>
        </w:rPr>
        <w:t xml:space="preserve"> </w:t>
      </w:r>
      <w:r w:rsidR="00DF36E8" w:rsidRPr="00DD36E3">
        <w:rPr>
          <w:color w:val="000000" w:themeColor="text1"/>
          <w:lang w:val="en-US"/>
        </w:rPr>
        <w:t>(</w:t>
      </w:r>
      <m:oMath>
        <m:sSub>
          <m:sSubPr>
            <m:ctrlPr>
              <w:rPr>
                <w:rFonts w:ascii="Cambria Math" w:hAnsi="Cambria Math" w:cs="Times New Roman"/>
                <w:i/>
              </w:rPr>
            </m:ctrlPr>
          </m:sSubPr>
          <m:e>
            <m:r>
              <m:rPr>
                <m:nor/>
              </m:rPr>
              <w:rPr>
                <w:rFonts w:cs="Times New Roman"/>
                <w:i/>
                <w:lang w:val="en-US"/>
              </w:rPr>
              <m:t>R</m:t>
            </m:r>
          </m:e>
          <m:sub>
            <m:sSub>
              <m:sSubPr>
                <m:ctrlPr>
                  <w:rPr>
                    <w:rFonts w:ascii="Cambria Math" w:hAnsi="Cambria Math" w:cs="Times New Roman"/>
                    <w:i/>
                  </w:rPr>
                </m:ctrlPr>
              </m:sSubPr>
              <m:e>
                <m:r>
                  <m:rPr>
                    <m:nor/>
                  </m:rPr>
                  <w:rPr>
                    <w:rFonts w:cs="Times New Roman"/>
                    <w:i/>
                    <w:lang w:val="en-US"/>
                  </w:rPr>
                  <m:t>i</m:t>
                </m:r>
              </m:e>
              <m:sub>
                <m:sSub>
                  <m:sSubPr>
                    <m:ctrlPr>
                      <w:rPr>
                        <w:rFonts w:ascii="Cambria Math" w:hAnsi="Cambria Math" w:cs="Times New Roman"/>
                        <w:i/>
                      </w:rPr>
                    </m:ctrlPr>
                  </m:sSubPr>
                  <m:e>
                    <m:r>
                      <m:rPr>
                        <m:nor/>
                      </m:rPr>
                      <w:rPr>
                        <w:rFonts w:cs="Times New Roman"/>
                        <w:i/>
                        <w:lang w:val="en-US"/>
                      </w:rPr>
                      <m:t>j</m:t>
                    </m:r>
                  </m:e>
                  <m:sub>
                    <m:r>
                      <m:rPr>
                        <m:nor/>
                      </m:rPr>
                      <w:rPr>
                        <w:rFonts w:cs="Times New Roman"/>
                        <w:i/>
                        <w:szCs w:val="20"/>
                        <w:lang w:val="en-US"/>
                      </w:rPr>
                      <m:t>k</m:t>
                    </m:r>
                  </m:sub>
                </m:sSub>
              </m:sub>
            </m:sSub>
          </m:sub>
        </m:sSub>
      </m:oMath>
      <w:r w:rsidR="00DF36E8" w:rsidRPr="00DD36E3">
        <w:rPr>
          <w:color w:val="000000" w:themeColor="text1"/>
          <w:lang w:val="en-US"/>
        </w:rPr>
        <w:t xml:space="preserve">) </w:t>
      </w:r>
      <w:r w:rsidRPr="00DD36E3">
        <w:rPr>
          <w:color w:val="000000" w:themeColor="text1"/>
          <w:lang w:val="en-US"/>
        </w:rPr>
        <w:t>= 1</w:t>
      </w:r>
    </w:p>
    <w:p w:rsidR="0069232A" w:rsidRDefault="00F02918" w:rsidP="0018515D">
      <w:pPr>
        <w:pStyle w:val="Text"/>
        <w:ind w:firstLine="0"/>
        <w:jc w:val="left"/>
        <w:rPr>
          <w:color w:val="000000" w:themeColor="text1"/>
        </w:rPr>
      </w:pPr>
      <w:r w:rsidRPr="00E16065">
        <w:rPr>
          <w:color w:val="000000" w:themeColor="text1"/>
          <w:lang w:val="en-US"/>
        </w:rPr>
        <w:t xml:space="preserve">         </w:t>
      </w:r>
      <w:r w:rsidR="0089466E" w:rsidRPr="00E16065">
        <w:rPr>
          <w:color w:val="000000" w:themeColor="text1"/>
          <w:lang w:val="en-US"/>
        </w:rPr>
        <w:t xml:space="preserve">   </w:t>
      </w:r>
      <w:r w:rsidR="0069232A" w:rsidRPr="00E16065">
        <w:rPr>
          <w:color w:val="000000" w:themeColor="text1"/>
          <w:lang w:val="en-US"/>
        </w:rPr>
        <w:t xml:space="preserve">            </w:t>
      </w:r>
      <w:r w:rsidR="0069232A" w:rsidRPr="00DA074B">
        <w:rPr>
          <w:i/>
          <w:color w:val="000000" w:themeColor="text1"/>
        </w:rPr>
        <w:t>E</w:t>
      </w:r>
      <w:r w:rsidR="00F5567C">
        <w:rPr>
          <w:i/>
          <w:color w:val="000000" w:themeColor="text1"/>
        </w:rPr>
        <w:t>r</w:t>
      </w:r>
      <w:r w:rsidR="00436A6E">
        <w:rPr>
          <w:color w:val="000000" w:themeColor="text1"/>
        </w:rPr>
        <w:t xml:space="preserve">, </w:t>
      </w:r>
      <w:r w:rsidR="00436A6E">
        <w:rPr>
          <w:i/>
          <w:color w:val="000000" w:themeColor="text1"/>
        </w:rPr>
        <w:t>G</w:t>
      </w:r>
      <w:r w:rsidR="00436A6E" w:rsidRPr="002B57F2">
        <w:rPr>
          <w:color w:val="000000" w:themeColor="text1"/>
        </w:rPr>
        <w:t>,</w:t>
      </w:r>
      <w:r w:rsidR="00436A6E" w:rsidRPr="002B57F2">
        <w:rPr>
          <w:i/>
          <w:color w:val="000000" w:themeColor="text1"/>
        </w:rPr>
        <w:t xml:space="preserve"> </w:t>
      </w:r>
      <w:r w:rsidR="00436A6E">
        <w:rPr>
          <w:i/>
          <w:color w:val="000000" w:themeColor="text1"/>
        </w:rPr>
        <w:t xml:space="preserve">Z </w:t>
      </w:r>
      <w:r w:rsidR="0069232A" w:rsidRPr="00DA074B">
        <w:rPr>
          <w:color w:val="000000" w:themeColor="text1"/>
        </w:rPr>
        <w:t xml:space="preserve">:= </w:t>
      </w:r>
      <w:r w:rsidR="00350DF9">
        <w:rPr>
          <w:color w:val="000000" w:themeColor="text1"/>
        </w:rPr>
        <w:t>Ergebnisse</w:t>
      </w:r>
      <w:r w:rsidR="0069232A" w:rsidRPr="00DA074B">
        <w:rPr>
          <w:color w:val="000000" w:themeColor="text1"/>
        </w:rPr>
        <w:t xml:space="preserve"> (</w:t>
      </w:r>
      <w:r w:rsidR="0069232A" w:rsidRPr="00DA074B">
        <w:rPr>
          <w:i/>
          <w:color w:val="000000" w:themeColor="text1"/>
        </w:rPr>
        <w:t>P</w:t>
      </w:r>
      <w:r w:rsidR="0069232A" w:rsidRPr="00DA074B">
        <w:rPr>
          <w:i/>
          <w:color w:val="000000" w:themeColor="text1"/>
          <w:vertAlign w:val="subscript"/>
        </w:rPr>
        <w:t>i</w:t>
      </w:r>
      <w:r w:rsidR="0069232A" w:rsidRPr="00DA074B">
        <w:rPr>
          <w:color w:val="000000" w:themeColor="text1"/>
        </w:rPr>
        <w:t xml:space="preserve">, </w:t>
      </w:r>
      <w:r w:rsidR="0069232A" w:rsidRPr="00DA074B">
        <w:rPr>
          <w:i/>
          <w:color w:val="000000" w:themeColor="text1"/>
        </w:rPr>
        <w:t>Q</w:t>
      </w:r>
      <w:r w:rsidR="0069232A" w:rsidRPr="00DA074B">
        <w:rPr>
          <w:i/>
          <w:color w:val="000000" w:themeColor="text1"/>
          <w:vertAlign w:val="subscript"/>
        </w:rPr>
        <w:t>j</w:t>
      </w:r>
      <w:r w:rsidR="0069232A" w:rsidRPr="00DA074B">
        <w:rPr>
          <w:color w:val="000000" w:themeColor="text1"/>
        </w:rPr>
        <w:t xml:space="preserve">,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sSub>
                  <m:sSubPr>
                    <m:ctrlPr>
                      <w:rPr>
                        <w:rFonts w:ascii="Cambria Math" w:hAnsi="Cambria Math" w:cs="Times New Roman"/>
                        <w:i/>
                      </w:rPr>
                    </m:ctrlPr>
                  </m:sSubPr>
                  <m:e>
                    <m:r>
                      <m:rPr>
                        <m:nor/>
                      </m:rPr>
                      <w:rPr>
                        <w:rFonts w:cs="Times New Roman"/>
                        <w:i/>
                      </w:rPr>
                      <m:t>j</m:t>
                    </m:r>
                  </m:e>
                  <m:sub>
                    <m:r>
                      <m:rPr>
                        <m:nor/>
                      </m:rPr>
                      <w:rPr>
                        <w:rFonts w:cs="Times New Roman"/>
                        <w:i/>
                        <w:szCs w:val="20"/>
                      </w:rPr>
                      <m:t>k</m:t>
                    </m:r>
                  </m:sub>
                </m:sSub>
              </m:sub>
            </m:sSub>
          </m:sub>
        </m:sSub>
      </m:oMath>
      <w:r w:rsidR="0069232A" w:rsidRPr="00DA074B">
        <w:rPr>
          <w:color w:val="000000" w:themeColor="text1"/>
        </w:rPr>
        <w:t xml:space="preserve">, </w:t>
      </w:r>
      <w:r w:rsidR="005B7A82" w:rsidRPr="005B7A82">
        <w:rPr>
          <w:i/>
          <w:color w:val="000000" w:themeColor="text1"/>
        </w:rPr>
        <w:t>E</w:t>
      </w:r>
      <w:r w:rsidR="00F5567C">
        <w:rPr>
          <w:i/>
          <w:color w:val="000000" w:themeColor="text1"/>
        </w:rPr>
        <w:t>r</w:t>
      </w:r>
      <w:r w:rsidR="005B7A82">
        <w:rPr>
          <w:color w:val="000000" w:themeColor="text1"/>
        </w:rPr>
        <w:t xml:space="preserve">, </w:t>
      </w:r>
      <w:r w:rsidR="00B81370" w:rsidRPr="00DA074B">
        <w:rPr>
          <w:i/>
          <w:color w:val="000000" w:themeColor="text1"/>
        </w:rPr>
        <w:t>O</w:t>
      </w:r>
      <w:r w:rsidR="00B81370">
        <w:rPr>
          <w:i/>
          <w:color w:val="000000" w:themeColor="text1"/>
        </w:rPr>
        <w:t>p</w:t>
      </w:r>
      <w:r w:rsidR="00B81370">
        <w:rPr>
          <w:color w:val="000000" w:themeColor="text1"/>
        </w:rPr>
        <w:t xml:space="preserve">, </w:t>
      </w:r>
      <w:r w:rsidR="00480A9E">
        <w:rPr>
          <w:i/>
          <w:color w:val="000000" w:themeColor="text1"/>
        </w:rPr>
        <w:t>G</w:t>
      </w:r>
      <w:r w:rsidR="00480A9E" w:rsidRPr="002B57F2">
        <w:rPr>
          <w:color w:val="000000" w:themeColor="text1"/>
        </w:rPr>
        <w:t>,</w:t>
      </w:r>
      <w:r w:rsidR="00480A9E" w:rsidRPr="002B57F2">
        <w:rPr>
          <w:i/>
          <w:color w:val="000000" w:themeColor="text1"/>
        </w:rPr>
        <w:t xml:space="preserve"> </w:t>
      </w:r>
      <w:r w:rsidR="00CF729A">
        <w:rPr>
          <w:i/>
          <w:color w:val="000000" w:themeColor="text1"/>
        </w:rPr>
        <w:t>Z</w:t>
      </w:r>
      <w:r w:rsidR="0069232A" w:rsidRPr="00DA074B">
        <w:rPr>
          <w:color w:val="000000" w:themeColor="text1"/>
        </w:rPr>
        <w:t>)</w:t>
      </w:r>
    </w:p>
    <w:p w:rsidR="00654363" w:rsidRPr="00060D51" w:rsidRDefault="00654363" w:rsidP="004B4730">
      <w:pPr>
        <w:pStyle w:val="Text"/>
        <w:ind w:hanging="369"/>
        <w:jc w:val="left"/>
        <w:rPr>
          <w:color w:val="000000" w:themeColor="text1"/>
          <w:lang w:val="en-US"/>
        </w:rPr>
      </w:pPr>
      <w:r w:rsidRPr="0018515D">
        <w:rPr>
          <w:sz w:val="16"/>
          <w:szCs w:val="16"/>
          <w:lang w:val="en-US"/>
        </w:rPr>
        <w:t>25</w:t>
      </w:r>
      <w:r w:rsidRPr="00060D51">
        <w:rPr>
          <w:lang w:val="en-US"/>
        </w:rPr>
        <w:tab/>
      </w:r>
      <w:r w:rsidRPr="00155D62">
        <w:rPr>
          <w:color w:val="000000" w:themeColor="text1"/>
          <w:lang w:val="en-US"/>
        </w:rPr>
        <w:t xml:space="preserve">                     </w:t>
      </w:r>
      <w:r w:rsidRPr="00AE6D35">
        <w:rPr>
          <w:color w:val="000000" w:themeColor="text1"/>
          <w:lang w:val="en-US"/>
        </w:rPr>
        <w:t>end</w:t>
      </w:r>
    </w:p>
    <w:p w:rsidR="00F02918" w:rsidRPr="00AE6D35" w:rsidRDefault="00F02918" w:rsidP="0018515D">
      <w:pPr>
        <w:pStyle w:val="Text"/>
        <w:ind w:firstLine="0"/>
        <w:jc w:val="left"/>
        <w:rPr>
          <w:color w:val="000000" w:themeColor="text1"/>
          <w:lang w:val="en-US"/>
        </w:rPr>
      </w:pPr>
      <w:r w:rsidRPr="0072651B">
        <w:rPr>
          <w:color w:val="000000" w:themeColor="text1"/>
          <w:lang w:val="en-US"/>
        </w:rPr>
        <w:t xml:space="preserve">                  </w:t>
      </w:r>
      <w:r w:rsidRPr="00AE6D35">
        <w:rPr>
          <w:color w:val="000000" w:themeColor="text1"/>
          <w:lang w:val="en-US"/>
        </w:rPr>
        <w:t>end</w:t>
      </w:r>
    </w:p>
    <w:p w:rsidR="00F02918" w:rsidRPr="00AE6D35" w:rsidRDefault="00F02918" w:rsidP="0018515D">
      <w:pPr>
        <w:pStyle w:val="Text"/>
        <w:ind w:firstLine="0"/>
        <w:jc w:val="left"/>
        <w:rPr>
          <w:color w:val="000000" w:themeColor="text1"/>
          <w:lang w:val="en-US"/>
        </w:rPr>
      </w:pPr>
      <w:r w:rsidRPr="0072651B">
        <w:rPr>
          <w:color w:val="000000" w:themeColor="text1"/>
          <w:lang w:val="en-US"/>
        </w:rPr>
        <w:t xml:space="preserve">               </w:t>
      </w:r>
      <w:r w:rsidRPr="00AE6D35">
        <w:rPr>
          <w:color w:val="000000" w:themeColor="text1"/>
          <w:lang w:val="en-US"/>
        </w:rPr>
        <w:t>end</w:t>
      </w:r>
    </w:p>
    <w:p w:rsidR="0089466E" w:rsidRPr="00060D51" w:rsidRDefault="0089466E" w:rsidP="0018515D">
      <w:pPr>
        <w:pStyle w:val="Text"/>
        <w:ind w:firstLine="0"/>
        <w:jc w:val="left"/>
        <w:rPr>
          <w:color w:val="000000" w:themeColor="text1"/>
          <w:lang w:val="en-US"/>
        </w:rPr>
      </w:pPr>
      <w:r w:rsidRPr="0072651B">
        <w:rPr>
          <w:color w:val="000000" w:themeColor="text1"/>
          <w:lang w:val="en-US"/>
        </w:rPr>
        <w:t xml:space="preserve">            </w:t>
      </w:r>
      <w:r w:rsidRPr="00060D51">
        <w:rPr>
          <w:color w:val="000000" w:themeColor="text1"/>
          <w:lang w:val="en-US"/>
        </w:rPr>
        <w:t>end</w:t>
      </w:r>
    </w:p>
    <w:p w:rsidR="008075F9" w:rsidRDefault="00654363" w:rsidP="0018515D">
      <w:pPr>
        <w:pStyle w:val="Text"/>
        <w:ind w:firstLine="0"/>
        <w:jc w:val="left"/>
        <w:rPr>
          <w:color w:val="000000" w:themeColor="text1"/>
          <w:lang w:val="en-US"/>
        </w:rPr>
      </w:pPr>
      <w:r>
        <w:rPr>
          <w:color w:val="000000" w:themeColor="text1"/>
          <w:lang w:val="en-US"/>
        </w:rPr>
        <w:t xml:space="preserve">   </w:t>
      </w:r>
      <w:r w:rsidR="008075F9" w:rsidRPr="00060D51">
        <w:rPr>
          <w:color w:val="000000" w:themeColor="text1"/>
          <w:lang w:val="en-US"/>
        </w:rPr>
        <w:t xml:space="preserve">      </w:t>
      </w:r>
      <w:r w:rsidR="008075F9" w:rsidRPr="00445E88">
        <w:rPr>
          <w:color w:val="000000" w:themeColor="text1"/>
          <w:lang w:val="en-US"/>
        </w:rPr>
        <w:t>end</w:t>
      </w:r>
    </w:p>
    <w:p w:rsidR="00654363" w:rsidRPr="00060D51" w:rsidRDefault="00654363" w:rsidP="004B4730">
      <w:pPr>
        <w:pStyle w:val="Text"/>
        <w:ind w:hanging="369"/>
        <w:jc w:val="left"/>
        <w:rPr>
          <w:color w:val="000000" w:themeColor="text1"/>
          <w:lang w:val="en-US"/>
        </w:rPr>
      </w:pPr>
      <w:r w:rsidRPr="0018515D">
        <w:rPr>
          <w:sz w:val="16"/>
          <w:szCs w:val="16"/>
          <w:lang w:val="en-US"/>
        </w:rPr>
        <w:t>30</w:t>
      </w:r>
      <w:r w:rsidRPr="00060D51">
        <w:rPr>
          <w:lang w:val="en-US"/>
        </w:rPr>
        <w:tab/>
      </w:r>
      <w:r w:rsidRPr="00060D51">
        <w:rPr>
          <w:color w:val="000000" w:themeColor="text1"/>
          <w:lang w:val="en-US"/>
        </w:rPr>
        <w:t xml:space="preserve">      end</w:t>
      </w:r>
    </w:p>
    <w:p w:rsidR="008075F9" w:rsidRPr="00445E88" w:rsidRDefault="008075F9" w:rsidP="0018515D">
      <w:pPr>
        <w:pStyle w:val="Text"/>
        <w:ind w:firstLine="0"/>
        <w:jc w:val="left"/>
        <w:rPr>
          <w:color w:val="000000" w:themeColor="text1"/>
          <w:lang w:val="en-US"/>
        </w:rPr>
      </w:pPr>
      <w:r w:rsidRPr="00445E88">
        <w:rPr>
          <w:color w:val="000000" w:themeColor="text1"/>
          <w:lang w:val="en-US"/>
        </w:rPr>
        <w:t xml:space="preserve">   while </w:t>
      </w:r>
      <w:r w:rsidRPr="00445E88">
        <w:rPr>
          <w:i/>
          <w:color w:val="000000" w:themeColor="text1"/>
          <w:lang w:val="en-US"/>
        </w:rPr>
        <w:t>E</w:t>
      </w:r>
      <w:r w:rsidR="00F5567C">
        <w:rPr>
          <w:i/>
          <w:color w:val="000000" w:themeColor="text1"/>
          <w:lang w:val="en-US"/>
        </w:rPr>
        <w:t>r</w:t>
      </w:r>
      <w:r w:rsidRPr="00445E88">
        <w:rPr>
          <w:color w:val="000000" w:themeColor="text1"/>
          <w:lang w:val="en-US"/>
        </w:rPr>
        <w:t xml:space="preserve"> </w:t>
      </w:r>
      <w:r w:rsidRPr="00445E88">
        <w:rPr>
          <w:rFonts w:eastAsia="Arial Unicode MS" w:cs="Times New Roman"/>
          <w:color w:val="000000" w:themeColor="text1"/>
          <w:lang w:val="en-US"/>
        </w:rPr>
        <w:t>≠</w:t>
      </w:r>
      <w:r w:rsidRPr="00445E88">
        <w:rPr>
          <w:color w:val="000000" w:themeColor="text1"/>
          <w:lang w:val="en-US"/>
        </w:rPr>
        <w:t xml:space="preserve"> </w:t>
      </w:r>
      <w:r w:rsidRPr="00445E88">
        <w:rPr>
          <w:i/>
          <w:color w:val="000000" w:themeColor="text1"/>
          <w:lang w:val="en-US"/>
        </w:rPr>
        <w:t>E</w:t>
      </w:r>
      <w:r w:rsidR="00F5567C">
        <w:rPr>
          <w:i/>
          <w:color w:val="000000" w:themeColor="text1"/>
          <w:lang w:val="en-US"/>
        </w:rPr>
        <w:t>r</w:t>
      </w:r>
      <w:r w:rsidRPr="00445E88">
        <w:rPr>
          <w:i/>
          <w:color w:val="000000" w:themeColor="text1"/>
          <w:lang w:val="en-US"/>
        </w:rPr>
        <w:t>'</w:t>
      </w:r>
    </w:p>
    <w:p w:rsidR="00AE6D35" w:rsidRPr="00AF1A40" w:rsidRDefault="00AE6D35" w:rsidP="0018515D">
      <w:pPr>
        <w:pStyle w:val="Text"/>
        <w:ind w:firstLine="0"/>
        <w:jc w:val="left"/>
        <w:rPr>
          <w:color w:val="000000" w:themeColor="text1"/>
          <w:lang w:val="en-US"/>
        </w:rPr>
      </w:pPr>
      <w:r w:rsidRPr="00445E88">
        <w:rPr>
          <w:color w:val="000000" w:themeColor="text1"/>
          <w:lang w:val="en-US"/>
        </w:rPr>
        <w:t xml:space="preserve">   </w:t>
      </w:r>
      <w:r w:rsidRPr="00AF1A40">
        <w:rPr>
          <w:color w:val="000000" w:themeColor="text1"/>
          <w:lang w:val="en-US"/>
        </w:rPr>
        <w:t xml:space="preserve">for </w:t>
      </w:r>
      <w:r w:rsidRPr="00AF1A40">
        <w:rPr>
          <w:i/>
          <w:color w:val="000000" w:themeColor="text1"/>
          <w:lang w:val="en-US"/>
        </w:rPr>
        <w:t>h</w:t>
      </w:r>
      <w:r w:rsidRPr="00AF1A40">
        <w:rPr>
          <w:color w:val="000000" w:themeColor="text1"/>
          <w:lang w:val="en-US"/>
        </w:rPr>
        <w:t xml:space="preserve"> := 1 to |</w:t>
      </w:r>
      <w:r w:rsidRPr="00AF1A40">
        <w:rPr>
          <w:i/>
          <w:color w:val="000000" w:themeColor="text1"/>
          <w:lang w:val="en-US"/>
        </w:rPr>
        <w:t>E</w:t>
      </w:r>
      <w:r w:rsidR="00F5567C">
        <w:rPr>
          <w:i/>
          <w:color w:val="000000" w:themeColor="text1"/>
          <w:lang w:val="en-US"/>
        </w:rPr>
        <w:t>r</w:t>
      </w:r>
      <w:r w:rsidRPr="00AF1A40">
        <w:rPr>
          <w:color w:val="000000" w:themeColor="text1"/>
          <w:lang w:val="en-US"/>
        </w:rPr>
        <w:t>|</w:t>
      </w:r>
    </w:p>
    <w:p w:rsidR="00F37E37" w:rsidRDefault="00F37E37" w:rsidP="0018515D">
      <w:pPr>
        <w:pStyle w:val="Text"/>
        <w:ind w:firstLine="0"/>
        <w:jc w:val="left"/>
        <w:rPr>
          <w:color w:val="000000" w:themeColor="text1"/>
          <w:lang w:val="en-US"/>
        </w:rPr>
      </w:pPr>
      <w:r w:rsidRPr="00AF1A40">
        <w:rPr>
          <w:color w:val="000000" w:themeColor="text1"/>
          <w:lang w:val="en-US"/>
        </w:rPr>
        <w:t xml:space="preserve">      </w:t>
      </w:r>
      <w:r w:rsidRPr="00AF1A40">
        <w:rPr>
          <w:i/>
          <w:color w:val="000000" w:themeColor="text1"/>
          <w:lang w:val="en-US"/>
        </w:rPr>
        <w:t>S</w:t>
      </w:r>
      <w:r w:rsidR="00A109A6" w:rsidRPr="00AF1A40">
        <w:rPr>
          <w:i/>
          <w:color w:val="000000" w:themeColor="text1"/>
          <w:lang w:val="en-US"/>
        </w:rPr>
        <w:t>o</w:t>
      </w:r>
      <w:r w:rsidRPr="00AF1A40">
        <w:rPr>
          <w:color w:val="000000" w:themeColor="text1"/>
          <w:lang w:val="en-US"/>
        </w:rPr>
        <w:t xml:space="preserve"> := </w:t>
      </w:r>
      <w:r w:rsidRPr="00AF1A40">
        <w:rPr>
          <w:i/>
          <w:color w:val="000000" w:themeColor="text1"/>
          <w:lang w:val="en-US"/>
        </w:rPr>
        <w:t>S</w:t>
      </w:r>
      <w:r w:rsidR="00A109A6" w:rsidRPr="00AF1A40">
        <w:rPr>
          <w:i/>
          <w:color w:val="000000" w:themeColor="text1"/>
          <w:lang w:val="en-US"/>
        </w:rPr>
        <w:t>o</w:t>
      </w:r>
      <w:r w:rsidRPr="00AF1A40">
        <w:rPr>
          <w:color w:val="000000" w:themeColor="text1"/>
          <w:lang w:val="en-US"/>
        </w:rPr>
        <w:t xml:space="preserve"> </w:t>
      </w:r>
      <w:r w:rsidR="00E535E0" w:rsidRPr="00E535E0">
        <w:rPr>
          <w:rFonts w:ascii="Cambria Math" w:eastAsia="Arial Unicode MS" w:hAnsi="Cambria Math" w:cs="Arial Unicode MS"/>
          <w:color w:val="000000" w:themeColor="text1"/>
          <w:lang w:val="en-US"/>
        </w:rPr>
        <w:t>∪</w:t>
      </w:r>
      <w:r w:rsidRPr="00D609CB">
        <w:rPr>
          <w:color w:val="000000" w:themeColor="text1"/>
          <w:lang w:val="en-US"/>
        </w:rPr>
        <w:t xml:space="preserve"> </w:t>
      </w:r>
      <w:r w:rsidR="00D609CB">
        <w:rPr>
          <w:color w:val="000000" w:themeColor="text1"/>
          <w:lang w:val="en-US"/>
        </w:rPr>
        <w:t>{</w:t>
      </w:r>
      <w:r w:rsidRPr="00AF1A40">
        <w:rPr>
          <w:color w:val="000000" w:themeColor="text1"/>
          <w:lang w:val="en-US"/>
        </w:rPr>
        <w:t xml:space="preserve">Sorte </w:t>
      </w:r>
      <w:r w:rsidR="00C50AB8" w:rsidRPr="00AF1A40">
        <w:rPr>
          <w:color w:val="000000" w:themeColor="text1"/>
          <w:lang w:val="en-US"/>
        </w:rPr>
        <w:t>(</w:t>
      </w:r>
      <w:r w:rsidR="00C50AB8" w:rsidRPr="00AF1A40">
        <w:rPr>
          <w:i/>
          <w:color w:val="000000" w:themeColor="text1"/>
          <w:lang w:val="en-US"/>
        </w:rPr>
        <w:t>E</w:t>
      </w:r>
      <w:r w:rsidR="00F5567C">
        <w:rPr>
          <w:i/>
          <w:color w:val="000000" w:themeColor="text1"/>
          <w:lang w:val="en-US"/>
        </w:rPr>
        <w:t>r</w:t>
      </w:r>
      <w:r w:rsidR="00C50AB8" w:rsidRPr="00AF1A40">
        <w:rPr>
          <w:i/>
          <w:color w:val="000000" w:themeColor="text1"/>
          <w:vertAlign w:val="subscript"/>
          <w:lang w:val="en-US"/>
        </w:rPr>
        <w:t>h</w:t>
      </w:r>
      <w:r w:rsidR="00C50AB8" w:rsidRPr="00AF1A40">
        <w:rPr>
          <w:color w:val="000000" w:themeColor="text1"/>
          <w:lang w:val="en-US"/>
        </w:rPr>
        <w:t>)</w:t>
      </w:r>
      <w:r w:rsidR="00D609CB">
        <w:rPr>
          <w:color w:val="000000" w:themeColor="text1"/>
          <w:lang w:val="en-US"/>
        </w:rPr>
        <w:t>}</w:t>
      </w:r>
    </w:p>
    <w:p w:rsidR="00654363" w:rsidRPr="00AF1A40" w:rsidRDefault="00654363" w:rsidP="0018515D">
      <w:pPr>
        <w:pStyle w:val="Text"/>
        <w:ind w:firstLine="0"/>
        <w:jc w:val="left"/>
        <w:rPr>
          <w:color w:val="000000" w:themeColor="text1"/>
          <w:lang w:val="en-US"/>
        </w:rPr>
      </w:pPr>
      <w:r w:rsidRPr="00C50AB8">
        <w:rPr>
          <w:color w:val="000000" w:themeColor="text1"/>
          <w:lang w:val="en-US"/>
        </w:rPr>
        <w:t xml:space="preserve">   </w:t>
      </w:r>
      <w:r>
        <w:rPr>
          <w:color w:val="000000" w:themeColor="text1"/>
          <w:lang w:val="en-US"/>
        </w:rPr>
        <w:t>end</w:t>
      </w:r>
    </w:p>
    <w:p w:rsidR="00AE6D35" w:rsidRPr="00ED5155" w:rsidRDefault="00A1079E" w:rsidP="004B4730">
      <w:pPr>
        <w:pStyle w:val="Text"/>
        <w:ind w:hanging="369"/>
        <w:jc w:val="left"/>
        <w:rPr>
          <w:color w:val="000000" w:themeColor="text1"/>
          <w:lang w:val="en-US"/>
        </w:rPr>
      </w:pPr>
      <w:r w:rsidRPr="0018515D">
        <w:rPr>
          <w:sz w:val="16"/>
          <w:szCs w:val="16"/>
          <w:lang w:val="en-US"/>
        </w:rPr>
        <w:t>3</w:t>
      </w:r>
      <w:r w:rsidR="00AE6D35" w:rsidRPr="0018515D">
        <w:rPr>
          <w:sz w:val="16"/>
          <w:szCs w:val="16"/>
          <w:lang w:val="en-US"/>
        </w:rPr>
        <w:t>5</w:t>
      </w:r>
      <w:r w:rsidR="00AE6D35" w:rsidRPr="00ED5155">
        <w:rPr>
          <w:lang w:val="en-US"/>
        </w:rPr>
        <w:tab/>
      </w:r>
      <w:r w:rsidR="00654363" w:rsidRPr="00ED5155">
        <w:rPr>
          <w:color w:val="000000" w:themeColor="text1"/>
          <w:lang w:val="en-US"/>
        </w:rPr>
        <w:t xml:space="preserve">   for </w:t>
      </w:r>
      <w:r w:rsidR="00654363" w:rsidRPr="00ED5155">
        <w:rPr>
          <w:i/>
          <w:color w:val="000000" w:themeColor="text1"/>
          <w:lang w:val="en-US"/>
        </w:rPr>
        <w:t>k</w:t>
      </w:r>
      <w:r w:rsidR="00654363" w:rsidRPr="00ED5155">
        <w:rPr>
          <w:color w:val="000000" w:themeColor="text1"/>
          <w:lang w:val="en-US"/>
        </w:rPr>
        <w:t xml:space="preserve"> := 1 to |</w:t>
      </w:r>
      <w:r w:rsidR="00654363" w:rsidRPr="00ED5155">
        <w:rPr>
          <w:i/>
          <w:color w:val="000000" w:themeColor="text1"/>
          <w:lang w:val="en-US"/>
        </w:rPr>
        <w:t>So</w:t>
      </w:r>
      <w:r w:rsidR="00654363" w:rsidRPr="00ED5155">
        <w:rPr>
          <w:color w:val="000000" w:themeColor="text1"/>
          <w:lang w:val="en-US"/>
        </w:rPr>
        <w:t>|</w:t>
      </w:r>
    </w:p>
    <w:p w:rsidR="00EF50D1" w:rsidRPr="00445E88" w:rsidRDefault="00EF50D1" w:rsidP="0018515D">
      <w:pPr>
        <w:pStyle w:val="Text"/>
        <w:ind w:firstLine="0"/>
        <w:jc w:val="left"/>
        <w:rPr>
          <w:color w:val="000000" w:themeColor="text1"/>
        </w:rPr>
      </w:pPr>
      <w:r w:rsidRPr="00ED5155">
        <w:rPr>
          <w:color w:val="000000" w:themeColor="text1"/>
          <w:lang w:val="en-US"/>
        </w:rPr>
        <w:t xml:space="preserve">      </w:t>
      </w:r>
      <m:oMath>
        <m:sSup>
          <m:sSupPr>
            <m:ctrlPr>
              <w:rPr>
                <w:rFonts w:ascii="Cambria Math" w:hAnsi="Cambria Math"/>
                <w:i/>
                <w:color w:val="000000" w:themeColor="text1"/>
              </w:rPr>
            </m:ctrlPr>
          </m:sSupPr>
          <m:e>
            <m:r>
              <m:rPr>
                <m:nor/>
              </m:rPr>
              <w:rPr>
                <w:rFonts w:cs="Times New Roman"/>
                <w:i/>
                <w:color w:val="000000" w:themeColor="text1"/>
              </w:rPr>
              <m:t>Er</m:t>
            </m:r>
          </m:e>
          <m:sup>
            <m:sSub>
              <m:sSubPr>
                <m:ctrlPr>
                  <w:rPr>
                    <w:rFonts w:ascii="Cambria Math" w:hAnsi="Cambria Math"/>
                    <w:i/>
                    <w:color w:val="000000" w:themeColor="text1"/>
                  </w:rPr>
                </m:ctrlPr>
              </m:sSubPr>
              <m:e>
                <m:r>
                  <m:rPr>
                    <m:nor/>
                  </m:rPr>
                  <w:rPr>
                    <w:rFonts w:cs="Times New Roman"/>
                    <w:i/>
                    <w:color w:val="000000" w:themeColor="text1"/>
                  </w:rPr>
                  <m:t>So</m:t>
                </m:r>
              </m:e>
              <m:sub>
                <m:r>
                  <m:rPr>
                    <m:nor/>
                  </m:rPr>
                  <w:rPr>
                    <w:rFonts w:cs="Times New Roman"/>
                    <w:i/>
                    <w:color w:val="000000" w:themeColor="text1"/>
                  </w:rPr>
                  <m:t>k</m:t>
                </m:r>
              </m:sub>
            </m:sSub>
          </m:sup>
        </m:sSup>
      </m:oMath>
      <w:r w:rsidRPr="00445E88">
        <w:rPr>
          <w:color w:val="000000" w:themeColor="text1"/>
        </w:rPr>
        <w:t xml:space="preserve"> := {</w:t>
      </w:r>
      <w:r w:rsidRPr="00445E88">
        <w:rPr>
          <w:i/>
          <w:color w:val="000000" w:themeColor="text1"/>
        </w:rPr>
        <w:t>x</w:t>
      </w:r>
      <w:r w:rsidRPr="00445E88">
        <w:rPr>
          <w:color w:val="000000" w:themeColor="text1"/>
        </w:rPr>
        <w:t xml:space="preserve"> </w:t>
      </w:r>
      <w:r w:rsidR="00E235A0" w:rsidRPr="00E235A0">
        <w:rPr>
          <w:rFonts w:ascii="Cambria Math" w:eastAsia="Arial Unicode MS" w:hAnsi="Cambria Math" w:cs="Arial Unicode MS"/>
          <w:color w:val="000000" w:themeColor="text1"/>
        </w:rPr>
        <w:t>∊</w:t>
      </w:r>
      <w:r w:rsidRPr="00445E88">
        <w:rPr>
          <w:color w:val="000000" w:themeColor="text1"/>
        </w:rPr>
        <w:t xml:space="preserve"> </w:t>
      </w:r>
      <w:r w:rsidRPr="00445E88">
        <w:rPr>
          <w:i/>
          <w:color w:val="000000" w:themeColor="text1"/>
        </w:rPr>
        <w:t>E</w:t>
      </w:r>
      <w:r w:rsidR="00F5567C">
        <w:rPr>
          <w:i/>
          <w:color w:val="000000" w:themeColor="text1"/>
        </w:rPr>
        <w:t>r</w:t>
      </w:r>
      <w:r w:rsidRPr="00445E88">
        <w:rPr>
          <w:color w:val="000000" w:themeColor="text1"/>
        </w:rPr>
        <w:t xml:space="preserve"> | Sorte (</w:t>
      </w:r>
      <w:r w:rsidRPr="00445E88">
        <w:rPr>
          <w:i/>
          <w:color w:val="000000" w:themeColor="text1"/>
        </w:rPr>
        <w:t>x</w:t>
      </w:r>
      <w:r w:rsidRPr="00445E88">
        <w:rPr>
          <w:color w:val="000000" w:themeColor="text1"/>
        </w:rPr>
        <w:t xml:space="preserve">) = </w:t>
      </w:r>
      <w:r w:rsidRPr="00445E88">
        <w:rPr>
          <w:i/>
          <w:color w:val="000000" w:themeColor="text1"/>
        </w:rPr>
        <w:t>S</w:t>
      </w:r>
      <w:r w:rsidR="00A109A6" w:rsidRPr="00445E88">
        <w:rPr>
          <w:i/>
          <w:color w:val="000000" w:themeColor="text1"/>
        </w:rPr>
        <w:t>o</w:t>
      </w:r>
      <w:r w:rsidRPr="00445E88">
        <w:rPr>
          <w:i/>
          <w:color w:val="000000" w:themeColor="text1"/>
          <w:vertAlign w:val="subscript"/>
        </w:rPr>
        <w:t>k</w:t>
      </w:r>
      <w:r w:rsidRPr="00445E88">
        <w:rPr>
          <w:color w:val="000000" w:themeColor="text1"/>
        </w:rPr>
        <w:t>}</w:t>
      </w:r>
    </w:p>
    <w:p w:rsidR="00AE6D35" w:rsidRPr="00E16065" w:rsidRDefault="00AE6D35" w:rsidP="0018515D">
      <w:pPr>
        <w:pStyle w:val="Text"/>
        <w:ind w:firstLine="0"/>
        <w:jc w:val="left"/>
        <w:rPr>
          <w:color w:val="000000" w:themeColor="text1"/>
        </w:rPr>
      </w:pPr>
      <w:r w:rsidRPr="00445E88">
        <w:rPr>
          <w:color w:val="000000" w:themeColor="text1"/>
        </w:rPr>
        <w:t xml:space="preserve">   </w:t>
      </w:r>
      <w:r w:rsidRPr="00E16065">
        <w:rPr>
          <w:color w:val="000000" w:themeColor="text1"/>
        </w:rPr>
        <w:t>end</w:t>
      </w:r>
    </w:p>
    <w:p w:rsidR="00EF50D1" w:rsidRPr="00DD6502" w:rsidRDefault="00EF50D1" w:rsidP="0018515D">
      <w:pPr>
        <w:pStyle w:val="Text"/>
        <w:ind w:firstLine="0"/>
        <w:jc w:val="left"/>
        <w:rPr>
          <w:color w:val="000000" w:themeColor="text1"/>
        </w:rPr>
      </w:pPr>
      <w:r w:rsidRPr="00DD6502">
        <w:rPr>
          <w:color w:val="000000" w:themeColor="text1"/>
        </w:rPr>
        <w:t xml:space="preserve">   </w:t>
      </w:r>
      <w:r w:rsidRPr="00DD6502">
        <w:rPr>
          <w:i/>
          <w:color w:val="000000" w:themeColor="text1"/>
        </w:rPr>
        <w:t>I</w:t>
      </w:r>
      <w:r w:rsidRPr="00DD6502">
        <w:rPr>
          <w:color w:val="000000" w:themeColor="text1"/>
        </w:rPr>
        <w:t xml:space="preserve"> := &lt;</w:t>
      </w:r>
      <m:oMath>
        <m:sSup>
          <m:sSupPr>
            <m:ctrlPr>
              <w:rPr>
                <w:rFonts w:ascii="Cambria Math" w:hAnsi="Cambria Math"/>
                <w:i/>
                <w:color w:val="000000" w:themeColor="text1"/>
              </w:rPr>
            </m:ctrlPr>
          </m:sSupPr>
          <m:e>
            <m:r>
              <m:rPr>
                <m:nor/>
              </m:rPr>
              <w:rPr>
                <w:rFonts w:cs="Times New Roman"/>
                <w:i/>
                <w:color w:val="000000" w:themeColor="text1"/>
              </w:rPr>
              <m:t>Er</m:t>
            </m:r>
          </m:e>
          <m:sup>
            <m:sSub>
              <m:sSubPr>
                <m:ctrlPr>
                  <w:rPr>
                    <w:rFonts w:ascii="Cambria Math" w:hAnsi="Cambria Math"/>
                    <w:i/>
                    <w:color w:val="000000" w:themeColor="text1"/>
                  </w:rPr>
                </m:ctrlPr>
              </m:sSubPr>
              <m:e>
                <m:r>
                  <m:rPr>
                    <m:nor/>
                  </m:rPr>
                  <w:rPr>
                    <w:rFonts w:cs="Times New Roman"/>
                    <w:i/>
                    <w:color w:val="000000" w:themeColor="text1"/>
                  </w:rPr>
                  <m:t>So</m:t>
                </m:r>
              </m:e>
              <m:sub>
                <m:r>
                  <m:rPr>
                    <m:nor/>
                  </m:rPr>
                  <w:rPr>
                    <w:rFonts w:cs="Times New Roman"/>
                    <w:color w:val="000000" w:themeColor="text1"/>
                  </w:rPr>
                  <m:t>1</m:t>
                </m:r>
              </m:sub>
            </m:sSub>
          </m:sup>
        </m:sSup>
      </m:oMath>
      <w:r w:rsidRPr="00DD6502">
        <w:rPr>
          <w:color w:val="000000" w:themeColor="text1"/>
        </w:rPr>
        <w:t xml:space="preserve">, </w:t>
      </w:r>
      <w:r w:rsidR="004C7C7A" w:rsidRPr="00DD6502">
        <w:rPr>
          <w:color w:val="000000" w:themeColor="text1"/>
        </w:rPr>
        <w:t>…</w:t>
      </w:r>
      <w:r w:rsidRPr="00DD6502">
        <w:rPr>
          <w:color w:val="000000" w:themeColor="text1"/>
        </w:rPr>
        <w:t xml:space="preserve">, </w:t>
      </w:r>
      <m:oMath>
        <m:sSup>
          <m:sSupPr>
            <m:ctrlPr>
              <w:rPr>
                <w:rFonts w:ascii="Cambria Math" w:hAnsi="Cambria Math"/>
                <w:i/>
                <w:color w:val="000000" w:themeColor="text1"/>
              </w:rPr>
            </m:ctrlPr>
          </m:sSupPr>
          <m:e>
            <m:r>
              <m:rPr>
                <m:nor/>
              </m:rPr>
              <w:rPr>
                <w:rFonts w:cs="Times New Roman"/>
                <w:i/>
                <w:color w:val="000000" w:themeColor="text1"/>
              </w:rPr>
              <m:t>Er</m:t>
            </m:r>
          </m:e>
          <m:sup>
            <m:sSub>
              <m:sSubPr>
                <m:ctrlPr>
                  <w:rPr>
                    <w:rFonts w:ascii="Cambria Math" w:hAnsi="Cambria Math"/>
                    <w:i/>
                    <w:color w:val="000000" w:themeColor="text1"/>
                  </w:rPr>
                </m:ctrlPr>
              </m:sSubPr>
              <m:e>
                <m:r>
                  <m:rPr>
                    <m:nor/>
                  </m:rPr>
                  <w:rPr>
                    <w:rFonts w:cs="Times New Roman"/>
                    <w:i/>
                    <w:color w:val="000000" w:themeColor="text1"/>
                  </w:rPr>
                  <m:t>So</m:t>
                </m:r>
              </m:e>
              <m:sub>
                <m:r>
                  <m:rPr>
                    <m:nor/>
                  </m:rPr>
                  <w:rPr>
                    <w:rFonts w:cs="Times New Roman"/>
                    <w:color w:val="000000" w:themeColor="text1"/>
                  </w:rPr>
                  <m:t>|</m:t>
                </m:r>
                <m:r>
                  <m:rPr>
                    <m:nor/>
                  </m:rPr>
                  <w:rPr>
                    <w:rFonts w:cs="Times New Roman"/>
                    <w:i/>
                    <w:color w:val="000000" w:themeColor="text1"/>
                  </w:rPr>
                  <m:t>So</m:t>
                </m:r>
                <m:r>
                  <m:rPr>
                    <m:nor/>
                  </m:rPr>
                  <w:rPr>
                    <w:rFonts w:cs="Times New Roman"/>
                    <w:color w:val="000000" w:themeColor="text1"/>
                  </w:rPr>
                  <m:t>|</m:t>
                </m:r>
              </m:sub>
            </m:sSub>
          </m:sup>
        </m:sSup>
      </m:oMath>
      <w:r w:rsidRPr="00DD6502">
        <w:rPr>
          <w:color w:val="000000" w:themeColor="text1"/>
        </w:rPr>
        <w:t>&gt;</w:t>
      </w:r>
    </w:p>
    <w:p w:rsidR="00654363" w:rsidRPr="00F4161F" w:rsidRDefault="00654363" w:rsidP="0018515D">
      <w:pPr>
        <w:pStyle w:val="Text"/>
        <w:ind w:firstLine="0"/>
        <w:jc w:val="left"/>
        <w:rPr>
          <w:color w:val="000000" w:themeColor="text1"/>
        </w:rPr>
      </w:pPr>
      <w:r w:rsidRPr="00DD6502">
        <w:rPr>
          <w:color w:val="000000" w:themeColor="text1"/>
        </w:rPr>
        <w:t xml:space="preserve">   </w:t>
      </w:r>
      <w:r w:rsidRPr="00F4161F">
        <w:rPr>
          <w:color w:val="000000" w:themeColor="text1"/>
        </w:rPr>
        <w:t xml:space="preserve">return </w:t>
      </w:r>
      <w:r w:rsidRPr="00F4161F">
        <w:rPr>
          <w:i/>
          <w:color w:val="000000" w:themeColor="text1"/>
        </w:rPr>
        <w:t>I</w:t>
      </w:r>
    </w:p>
    <w:p w:rsidR="00AE6D35" w:rsidRPr="00F4161F" w:rsidRDefault="00A1079E" w:rsidP="004B4730">
      <w:pPr>
        <w:pStyle w:val="Text"/>
        <w:ind w:hanging="369"/>
        <w:jc w:val="left"/>
        <w:rPr>
          <w:color w:val="000000" w:themeColor="text1"/>
        </w:rPr>
      </w:pPr>
      <w:r w:rsidRPr="00F4161F">
        <w:rPr>
          <w:sz w:val="16"/>
          <w:szCs w:val="16"/>
        </w:rPr>
        <w:t>4</w:t>
      </w:r>
      <w:r w:rsidR="00AE6D35" w:rsidRPr="00F4161F">
        <w:rPr>
          <w:sz w:val="16"/>
          <w:szCs w:val="16"/>
        </w:rPr>
        <w:t>0</w:t>
      </w:r>
      <w:r w:rsidR="00AE6D35" w:rsidRPr="00F4161F">
        <w:tab/>
      </w:r>
      <w:r w:rsidR="00654363" w:rsidRPr="00F4161F">
        <w:rPr>
          <w:color w:val="000000" w:themeColor="text1"/>
        </w:rPr>
        <w:t>end function</w:t>
      </w:r>
    </w:p>
    <w:p w:rsidR="00E713D6" w:rsidRPr="00F4161F" w:rsidRDefault="00093341" w:rsidP="00763790">
      <w:pPr>
        <w:pStyle w:val="Zwischenberschrift"/>
        <w:spacing w:before="360"/>
      </w:pPr>
      <w:r w:rsidRPr="00F4161F">
        <w:t>Erläuterung</w:t>
      </w:r>
    </w:p>
    <w:p w:rsidR="007D2BD3" w:rsidRDefault="007D2BD3" w:rsidP="00763790">
      <w:pPr>
        <w:pStyle w:val="Text"/>
        <w:ind w:firstLine="0"/>
      </w:pPr>
      <w:r>
        <w:t xml:space="preserve">Zeile </w:t>
      </w:r>
      <w:r w:rsidR="005C2120">
        <w:t xml:space="preserve">1 </w:t>
      </w:r>
      <w:r>
        <w:t xml:space="preserve">gibt den </w:t>
      </w:r>
      <w:r w:rsidR="000E70F9">
        <w:t>N</w:t>
      </w:r>
      <w:r>
        <w:t xml:space="preserve">amen der Funktion an, die als Parameter </w:t>
      </w:r>
      <w:r w:rsidR="007F6CB8">
        <w:rPr>
          <w:i/>
          <w:iCs/>
        </w:rPr>
        <w:t>B</w:t>
      </w:r>
      <w:r>
        <w:t xml:space="preserve">, eine Menge </w:t>
      </w:r>
      <w:r w:rsidR="007F6CB8">
        <w:t>von Merkmalsregeln</w:t>
      </w:r>
      <w:r>
        <w:t>,</w:t>
      </w:r>
      <w:r w:rsidR="007F6CB8">
        <w:t xml:space="preserve"> und </w:t>
      </w:r>
      <w:r w:rsidR="007F6CB8" w:rsidRPr="007F6CB8">
        <w:rPr>
          <w:i/>
        </w:rPr>
        <w:t>S*</w:t>
      </w:r>
      <w:r w:rsidR="007F6CB8">
        <w:t>, die Angabe des Schemas</w:t>
      </w:r>
      <w:r>
        <w:t xml:space="preserve"> dieses Stils</w:t>
      </w:r>
      <w:r w:rsidR="007B0B6A">
        <w:t>,</w:t>
      </w:r>
      <w:r>
        <w:t xml:space="preserve"> erhält.</w:t>
      </w:r>
    </w:p>
    <w:p w:rsidR="00B52840" w:rsidRDefault="005C2120" w:rsidP="007F6CB8">
      <w:pPr>
        <w:pStyle w:val="Text"/>
      </w:pPr>
      <w:r>
        <w:t xml:space="preserve">In </w:t>
      </w:r>
      <w:r w:rsidR="007D2BD3">
        <w:t xml:space="preserve">Zeile </w:t>
      </w:r>
      <w:r>
        <w:t xml:space="preserve">2 </w:t>
      </w:r>
      <w:r w:rsidR="007D2BD3">
        <w:t xml:space="preserve">werden die Mengen </w:t>
      </w:r>
      <w:r w:rsidR="007D2BD3" w:rsidRPr="007D2BD3">
        <w:rPr>
          <w:i/>
        </w:rPr>
        <w:t>E</w:t>
      </w:r>
      <w:r w:rsidR="00436CAE">
        <w:rPr>
          <w:i/>
        </w:rPr>
        <w:t>r</w:t>
      </w:r>
      <w:r w:rsidR="007D2BD3">
        <w:t xml:space="preserve"> </w:t>
      </w:r>
      <w:r w:rsidR="00C50AB8">
        <w:t xml:space="preserve">und </w:t>
      </w:r>
      <w:r w:rsidR="00C50AB8" w:rsidRPr="00C50AB8">
        <w:rPr>
          <w:i/>
        </w:rPr>
        <w:t>S</w:t>
      </w:r>
      <w:r w:rsidR="00A109A6">
        <w:rPr>
          <w:i/>
        </w:rPr>
        <w:t>o</w:t>
      </w:r>
      <w:r w:rsidR="00C50AB8">
        <w:t xml:space="preserve"> </w:t>
      </w:r>
      <w:r w:rsidR="00263422">
        <w:t>als leere</w:t>
      </w:r>
      <w:r w:rsidR="007D2BD3">
        <w:t xml:space="preserve"> Menge</w:t>
      </w:r>
      <w:r w:rsidR="00263422">
        <w:t>n</w:t>
      </w:r>
      <w:r w:rsidR="007D2BD3">
        <w:t xml:space="preserve"> </w:t>
      </w:r>
      <w:r w:rsidR="00263422">
        <w:t>definiert</w:t>
      </w:r>
      <w:r w:rsidR="007D2BD3">
        <w:t>.</w:t>
      </w:r>
      <w:r w:rsidR="009D4A50" w:rsidRPr="009D4A50">
        <w:rPr>
          <w:color w:val="000000" w:themeColor="text1"/>
        </w:rPr>
        <w:t xml:space="preserve"> </w:t>
      </w:r>
      <w:r w:rsidR="009D4A50">
        <w:rPr>
          <w:color w:val="000000" w:themeColor="text1"/>
        </w:rPr>
        <w:t xml:space="preserve">(Siehe </w:t>
      </w:r>
      <w:r w:rsidR="00B0734F">
        <w:rPr>
          <w:color w:val="000000" w:themeColor="text1"/>
        </w:rPr>
        <w:t xml:space="preserve">unten, </w:t>
      </w:r>
      <w:r w:rsidR="009D4A50" w:rsidRPr="009D4A50">
        <w:rPr>
          <w:i/>
          <w:color w:val="000000" w:themeColor="text1"/>
        </w:rPr>
        <w:t>Anmerkung</w:t>
      </w:r>
      <w:r w:rsidR="00505C6E">
        <w:rPr>
          <w:i/>
          <w:color w:val="000000" w:themeColor="text1"/>
        </w:rPr>
        <w:t xml:space="preserve"> </w:t>
      </w:r>
      <w:r w:rsidR="009D4A50" w:rsidRPr="009D4A50">
        <w:rPr>
          <w:i/>
          <w:color w:val="000000" w:themeColor="text1"/>
        </w:rPr>
        <w:t>zur Syntax</w:t>
      </w:r>
      <w:r w:rsidR="005D7996">
        <w:rPr>
          <w:i/>
          <w:color w:val="000000" w:themeColor="text1"/>
        </w:rPr>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rPr>
          <w:i/>
          <w:color w:val="000000" w:themeColor="text1"/>
        </w:rPr>
        <w:fldChar w:fldCharType="end"/>
      </w:r>
      <w:r w:rsidR="00B0734F">
        <w:rPr>
          <w:i/>
          <w:color w:val="000000" w:themeColor="text1"/>
        </w:rPr>
        <w:t xml:space="preserve"> (2)</w:t>
      </w:r>
      <w:r w:rsidR="009D4A50">
        <w:rPr>
          <w:color w:val="000000" w:themeColor="text1"/>
        </w:rPr>
        <w:t>.)</w:t>
      </w:r>
    </w:p>
    <w:p w:rsidR="0083619D" w:rsidRDefault="0083619D" w:rsidP="007F6CB8">
      <w:pPr>
        <w:pStyle w:val="Text"/>
        <w:rPr>
          <w:color w:val="000000" w:themeColor="text1"/>
        </w:rPr>
      </w:pPr>
      <w:r>
        <w:t>Zeile 3 definiert</w:t>
      </w:r>
      <w:r w:rsidR="0074156E">
        <w:t xml:space="preserve"> </w:t>
      </w:r>
      <w:r w:rsidR="001D0E54">
        <w:t xml:space="preserve">die </w:t>
      </w:r>
      <w:r w:rsidR="001D0E54">
        <w:rPr>
          <w:color w:val="000000" w:themeColor="text1"/>
        </w:rPr>
        <w:t>4-Tupel</w:t>
      </w:r>
      <w:r w:rsidR="001D0E54">
        <w:t>-Variable</w:t>
      </w:r>
      <w:r w:rsidR="005D7996">
        <w:fldChar w:fldCharType="begin"/>
      </w:r>
      <w:r w:rsidR="001F13E4">
        <w:instrText xml:space="preserve"> XE "</w:instrText>
      </w:r>
      <w:r w:rsidR="001F13E4" w:rsidRPr="009A0312">
        <w:rPr>
          <w:color w:val="000000" w:themeColor="text1"/>
        </w:rPr>
        <w:instrText>Tupel-Variable</w:instrText>
      </w:r>
      <w:r w:rsidR="001F13E4">
        <w:instrText xml:space="preserve">" </w:instrText>
      </w:r>
      <w:r w:rsidR="005D7996">
        <w:fldChar w:fldCharType="end"/>
      </w:r>
      <w:r w:rsidR="001D0E54">
        <w:t xml:space="preserve"> </w:t>
      </w:r>
      <w:r w:rsidRPr="0083619D">
        <w:rPr>
          <w:i/>
          <w:color w:val="000000" w:themeColor="text1"/>
        </w:rPr>
        <w:t>Z</w:t>
      </w:r>
      <w:r>
        <w:rPr>
          <w:color w:val="000000" w:themeColor="text1"/>
        </w:rPr>
        <w:t xml:space="preserve"> </w:t>
      </w:r>
      <w:r w:rsidR="003F66F3">
        <w:rPr>
          <w:color w:val="000000" w:themeColor="text1"/>
        </w:rPr>
        <w:t>der Zähler für geschriebene Eleme</w:t>
      </w:r>
      <w:r w:rsidR="003F66F3">
        <w:rPr>
          <w:color w:val="000000" w:themeColor="text1"/>
        </w:rPr>
        <w:t>n</w:t>
      </w:r>
      <w:r w:rsidR="003F66F3">
        <w:rPr>
          <w:color w:val="000000" w:themeColor="text1"/>
        </w:rPr>
        <w:t xml:space="preserve">te (vgl. </w:t>
      </w:r>
      <w:r w:rsidR="00436CAE">
        <w:rPr>
          <w:color w:val="000000" w:themeColor="text1"/>
        </w:rPr>
        <w:t xml:space="preserve">Abschnitt </w:t>
      </w:r>
      <w:r w:rsidR="005D7996">
        <w:rPr>
          <w:color w:val="000000" w:themeColor="text1"/>
        </w:rPr>
        <w:fldChar w:fldCharType="begin"/>
      </w:r>
      <w:r w:rsidR="00436CAE">
        <w:rPr>
          <w:color w:val="000000" w:themeColor="text1"/>
        </w:rPr>
        <w:instrText xml:space="preserve"> REF _Ref258410988 \r \h </w:instrText>
      </w:r>
      <w:r w:rsidR="005D7996">
        <w:rPr>
          <w:color w:val="000000" w:themeColor="text1"/>
        </w:rPr>
      </w:r>
      <w:r w:rsidR="005D7996">
        <w:rPr>
          <w:color w:val="000000" w:themeColor="text1"/>
        </w:rPr>
        <w:fldChar w:fldCharType="separate"/>
      </w:r>
      <w:r w:rsidR="001231D3">
        <w:rPr>
          <w:color w:val="000000" w:themeColor="text1"/>
        </w:rPr>
        <w:t>7.2.4</w:t>
      </w:r>
      <w:r w:rsidR="005D7996">
        <w:rPr>
          <w:color w:val="000000" w:themeColor="text1"/>
        </w:rPr>
        <w:fldChar w:fldCharType="end"/>
      </w:r>
      <w:r w:rsidR="00436CAE">
        <w:rPr>
          <w:color w:val="000000" w:themeColor="text1"/>
        </w:rPr>
        <w:t xml:space="preserve">, </w:t>
      </w:r>
      <w:r w:rsidR="003F66F3">
        <w:t xml:space="preserve">Funktion </w:t>
      </w:r>
      <w:r w:rsidR="003F66F3" w:rsidRPr="00C35EA1">
        <w:rPr>
          <w:i/>
        </w:rPr>
        <w:t>Interpretation</w:t>
      </w:r>
      <w:r w:rsidR="00445E88">
        <w:rPr>
          <w:i/>
        </w:rPr>
        <w:t>sschritt</w:t>
      </w:r>
      <w:r w:rsidR="003F66F3" w:rsidRPr="00C35EA1">
        <w:rPr>
          <w:i/>
        </w:rPr>
        <w:t>_schreiben</w:t>
      </w:r>
      <w:r w:rsidR="003F66F3">
        <w:rPr>
          <w:color w:val="000000" w:themeColor="text1"/>
        </w:rPr>
        <w:t xml:space="preserve">) </w:t>
      </w:r>
      <w:r>
        <w:rPr>
          <w:color w:val="000000" w:themeColor="text1"/>
        </w:rPr>
        <w:t xml:space="preserve">mit </w:t>
      </w:r>
      <w:r w:rsidR="001D0E54">
        <w:rPr>
          <w:color w:val="000000" w:themeColor="text1"/>
        </w:rPr>
        <w:t xml:space="preserve">den </w:t>
      </w:r>
      <w:r w:rsidR="00ED25AD">
        <w:rPr>
          <w:color w:val="000000" w:themeColor="text1"/>
        </w:rPr>
        <w:t>Ko</w:t>
      </w:r>
      <w:r w:rsidR="00ED25AD">
        <w:rPr>
          <w:color w:val="000000" w:themeColor="text1"/>
        </w:rPr>
        <w:t>m</w:t>
      </w:r>
      <w:r w:rsidR="00ED25AD">
        <w:rPr>
          <w:color w:val="000000" w:themeColor="text1"/>
        </w:rPr>
        <w:t>ponenten</w:t>
      </w:r>
      <w:r w:rsidR="003E4FCF">
        <w:rPr>
          <w:color w:val="000000" w:themeColor="text1"/>
        </w:rPr>
        <w:t>n</w:t>
      </w:r>
      <w:r w:rsidR="001D0E54">
        <w:rPr>
          <w:color w:val="000000" w:themeColor="text1"/>
        </w:rPr>
        <w:t>amen</w:t>
      </w:r>
      <w:r w:rsidR="005D7996">
        <w:rPr>
          <w:color w:val="000000" w:themeColor="text1"/>
        </w:rPr>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rPr>
          <w:color w:val="000000" w:themeColor="text1"/>
        </w:rPr>
        <w:fldChar w:fldCharType="end"/>
      </w:r>
      <w:r w:rsidR="001D0E54">
        <w:rPr>
          <w:color w:val="000000" w:themeColor="text1"/>
        </w:rPr>
        <w:t xml:space="preserve"> </w:t>
      </w:r>
      <w:r w:rsidR="00B04312" w:rsidRPr="00B04312">
        <w:rPr>
          <w:i/>
          <w:color w:val="000000" w:themeColor="text1"/>
        </w:rPr>
        <w:t>w</w:t>
      </w:r>
      <w:r w:rsidR="00B04312" w:rsidRPr="00B04312">
        <w:rPr>
          <w:color w:val="000000" w:themeColor="text1"/>
        </w:rPr>
        <w:t xml:space="preserve">, </w:t>
      </w:r>
      <w:r w:rsidR="00B04312" w:rsidRPr="00B04312">
        <w:rPr>
          <w:i/>
          <w:color w:val="000000" w:themeColor="text1"/>
        </w:rPr>
        <w:t>x</w:t>
      </w:r>
      <w:r w:rsidR="00B04312" w:rsidRPr="00B04312">
        <w:rPr>
          <w:color w:val="000000" w:themeColor="text1"/>
        </w:rPr>
        <w:t xml:space="preserve">, </w:t>
      </w:r>
      <w:r w:rsidR="00B04312" w:rsidRPr="00B04312">
        <w:rPr>
          <w:i/>
          <w:color w:val="000000" w:themeColor="text1"/>
        </w:rPr>
        <w:t>y</w:t>
      </w:r>
      <w:r w:rsidR="00B04312" w:rsidRPr="00B04312">
        <w:rPr>
          <w:color w:val="000000" w:themeColor="text1"/>
        </w:rPr>
        <w:t xml:space="preserve">, </w:t>
      </w:r>
      <w:r w:rsidR="00B04312" w:rsidRPr="00B04312">
        <w:rPr>
          <w:i/>
          <w:color w:val="000000" w:themeColor="text1"/>
        </w:rPr>
        <w:t>z</w:t>
      </w:r>
      <w:r w:rsidR="001D0E54">
        <w:rPr>
          <w:color w:val="000000" w:themeColor="text1"/>
        </w:rPr>
        <w:t xml:space="preserve">. </w:t>
      </w:r>
      <w:r w:rsidR="00567B3F">
        <w:rPr>
          <w:color w:val="000000" w:themeColor="text1"/>
        </w:rPr>
        <w:t xml:space="preserve">(Siehe </w:t>
      </w:r>
      <w:r w:rsidR="00B0734F">
        <w:rPr>
          <w:color w:val="000000" w:themeColor="text1"/>
        </w:rPr>
        <w:t xml:space="preserve">Abschnitt </w:t>
      </w:r>
      <w:r w:rsidR="005D7996">
        <w:rPr>
          <w:color w:val="000000" w:themeColor="text1"/>
        </w:rPr>
        <w:fldChar w:fldCharType="begin"/>
      </w:r>
      <w:r w:rsidR="00B0734F">
        <w:rPr>
          <w:color w:val="000000" w:themeColor="text1"/>
        </w:rPr>
        <w:instrText xml:space="preserve"> REF _Ref212110965 \r \h </w:instrText>
      </w:r>
      <w:r w:rsidR="005D7996">
        <w:rPr>
          <w:color w:val="000000" w:themeColor="text1"/>
        </w:rPr>
      </w:r>
      <w:r w:rsidR="005D7996">
        <w:rPr>
          <w:color w:val="000000" w:themeColor="text1"/>
        </w:rPr>
        <w:fldChar w:fldCharType="separate"/>
      </w:r>
      <w:r w:rsidR="001231D3">
        <w:rPr>
          <w:color w:val="000000" w:themeColor="text1"/>
        </w:rPr>
        <w:t>5.2.2</w:t>
      </w:r>
      <w:r w:rsidR="005D7996">
        <w:rPr>
          <w:color w:val="000000" w:themeColor="text1"/>
        </w:rPr>
        <w:fldChar w:fldCharType="end"/>
      </w:r>
      <w:r w:rsidR="00B0734F">
        <w:rPr>
          <w:color w:val="000000" w:themeColor="text1"/>
        </w:rPr>
        <w:t xml:space="preserve">, </w:t>
      </w:r>
      <w:r w:rsidR="008710BB">
        <w:rPr>
          <w:color w:val="000000" w:themeColor="text1"/>
        </w:rPr>
        <w:t xml:space="preserve">Unterabschnitt </w:t>
      </w:r>
      <w:r w:rsidR="00567B3F" w:rsidRPr="009D4A50">
        <w:rPr>
          <w:i/>
          <w:color w:val="000000" w:themeColor="text1"/>
        </w:rPr>
        <w:t>Anmerkung zur Syntax</w:t>
      </w:r>
      <w:r w:rsidR="005D7996">
        <w:rPr>
          <w:i/>
          <w:color w:val="000000" w:themeColor="text1"/>
        </w:rPr>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rPr>
          <w:i/>
          <w:color w:val="000000" w:themeColor="text1"/>
        </w:rPr>
        <w:fldChar w:fldCharType="end"/>
      </w:r>
      <w:r w:rsidR="00B0734F">
        <w:rPr>
          <w:i/>
          <w:color w:val="000000" w:themeColor="text1"/>
        </w:rPr>
        <w:t xml:space="preserve"> (1)</w:t>
      </w:r>
      <w:r w:rsidR="00567B3F">
        <w:rPr>
          <w:color w:val="000000" w:themeColor="text1"/>
        </w:rPr>
        <w:t>.)</w:t>
      </w:r>
    </w:p>
    <w:p w:rsidR="00597D23" w:rsidRDefault="00206A78" w:rsidP="0074156E">
      <w:pPr>
        <w:pStyle w:val="Text"/>
        <w:rPr>
          <w:lang w:val="it-IT"/>
        </w:rPr>
      </w:pPr>
      <w:r>
        <w:t xml:space="preserve">In </w:t>
      </w:r>
      <w:r w:rsidR="003E4FCF">
        <w:t xml:space="preserve">Zeile 4 wird die Menge </w:t>
      </w:r>
      <w:r w:rsidR="003E4FCF" w:rsidRPr="00917B43">
        <w:rPr>
          <w:i/>
        </w:rPr>
        <w:t>G</w:t>
      </w:r>
      <w:r w:rsidR="003E4FCF">
        <w:t xml:space="preserve"> definiert, in die </w:t>
      </w:r>
      <w:r w:rsidR="00597D23">
        <w:t xml:space="preserve">in der Funktion </w:t>
      </w:r>
      <w:r w:rsidR="00597D23" w:rsidRPr="00C35EA1">
        <w:rPr>
          <w:i/>
        </w:rPr>
        <w:t>Interpretation</w:t>
      </w:r>
      <w:r w:rsidR="00445E88">
        <w:rPr>
          <w:i/>
        </w:rPr>
        <w:t>s</w:t>
      </w:r>
      <w:r w:rsidR="00445E88">
        <w:rPr>
          <w:i/>
        </w:rPr>
        <w:t>schritt</w:t>
      </w:r>
      <w:r w:rsidR="00597D23" w:rsidRPr="00C35EA1">
        <w:rPr>
          <w:i/>
        </w:rPr>
        <w:t>_schreiben</w:t>
      </w:r>
      <w:r w:rsidR="00597D23">
        <w:t xml:space="preserve"> </w:t>
      </w:r>
      <w:r w:rsidR="003E4FCF">
        <w:t xml:space="preserve">die geschriebenen Elemente </w:t>
      </w:r>
      <w:r w:rsidR="00597D23">
        <w:t xml:space="preserve">als 3-Tupel </w:t>
      </w:r>
      <w:r w:rsidR="003E4FCF">
        <w:t xml:space="preserve">gespeichert werden. </w:t>
      </w:r>
      <w:r w:rsidR="007765B7">
        <w:t xml:space="preserve">Es </w:t>
      </w:r>
      <w:r w:rsidR="00597D23">
        <w:t xml:space="preserve">wird </w:t>
      </w:r>
      <w:r w:rsidR="007765B7">
        <w:t>definiert</w:t>
      </w:r>
      <w:r w:rsidR="00597D23">
        <w:t>,</w:t>
      </w:r>
      <w:r w:rsidR="007765B7">
        <w:t xml:space="preserve"> </w:t>
      </w:r>
      <w:r w:rsidR="00597D23">
        <w:t xml:space="preserve">dass </w:t>
      </w:r>
      <w:r w:rsidR="007765B7">
        <w:t xml:space="preserve">auf die </w:t>
      </w:r>
      <w:r w:rsidR="00ED25AD">
        <w:t>Komponenten</w:t>
      </w:r>
      <w:r w:rsidR="007765B7">
        <w:t xml:space="preserve"> </w:t>
      </w:r>
      <w:r w:rsidR="001F472A">
        <w:t>je</w:t>
      </w:r>
      <w:r w:rsidR="007765B7">
        <w:t>des</w:t>
      </w:r>
      <w:r w:rsidR="001F472A">
        <w:t xml:space="preserve"> 3-Tupels in </w:t>
      </w:r>
      <w:r w:rsidR="001F472A" w:rsidRPr="001F472A">
        <w:rPr>
          <w:i/>
        </w:rPr>
        <w:t>G</w:t>
      </w:r>
      <w:r w:rsidR="001F472A">
        <w:t xml:space="preserve"> mit den </w:t>
      </w:r>
      <w:r w:rsidR="00ED25AD">
        <w:rPr>
          <w:color w:val="000000" w:themeColor="text1"/>
        </w:rPr>
        <w:t>Komp</w:t>
      </w:r>
      <w:r w:rsidR="00ED25AD">
        <w:rPr>
          <w:color w:val="000000" w:themeColor="text1"/>
        </w:rPr>
        <w:t>o</w:t>
      </w:r>
      <w:r w:rsidR="00ED25AD">
        <w:rPr>
          <w:color w:val="000000" w:themeColor="text1"/>
        </w:rPr>
        <w:t>nentennamen</w:t>
      </w:r>
      <w:r w:rsidR="005D7996">
        <w:rPr>
          <w:color w:val="000000" w:themeColor="text1"/>
        </w:rPr>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rPr>
          <w:color w:val="000000" w:themeColor="text1"/>
        </w:rPr>
        <w:fldChar w:fldCharType="end"/>
      </w:r>
      <w:r w:rsidR="001F472A">
        <w:t xml:space="preserve"> </w:t>
      </w:r>
      <w:r w:rsidR="007765B7">
        <w:rPr>
          <w:i/>
          <w:lang w:val="it-IT"/>
        </w:rPr>
        <w:t>W</w:t>
      </w:r>
      <w:r w:rsidR="007765B7">
        <w:rPr>
          <w:lang w:val="it-IT"/>
        </w:rPr>
        <w:t xml:space="preserve">, </w:t>
      </w:r>
      <w:r w:rsidR="007765B7">
        <w:rPr>
          <w:i/>
          <w:lang w:val="it-IT"/>
        </w:rPr>
        <w:t>S</w:t>
      </w:r>
      <w:r w:rsidR="001F472A">
        <w:rPr>
          <w:lang w:val="it-IT"/>
        </w:rPr>
        <w:t>,</w:t>
      </w:r>
      <w:r w:rsidR="007765B7" w:rsidRPr="004E0380">
        <w:rPr>
          <w:i/>
          <w:lang w:val="it-IT"/>
        </w:rPr>
        <w:t xml:space="preserve"> </w:t>
      </w:r>
      <w:r w:rsidR="007765B7">
        <w:rPr>
          <w:i/>
          <w:lang w:val="it-IT"/>
        </w:rPr>
        <w:t>i</w:t>
      </w:r>
      <w:r w:rsidR="007765B7">
        <w:rPr>
          <w:lang w:val="it-IT"/>
        </w:rPr>
        <w:t xml:space="preserve"> zugegriffen</w:t>
      </w:r>
      <w:r w:rsidR="00597D23">
        <w:rPr>
          <w:lang w:val="it-IT"/>
        </w:rPr>
        <w:t xml:space="preserve"> werden kann</w:t>
      </w:r>
      <w:r w:rsidR="007765B7">
        <w:rPr>
          <w:lang w:val="it-IT"/>
        </w:rPr>
        <w:t>.</w:t>
      </w:r>
      <w:r w:rsidR="001F472A">
        <w:rPr>
          <w:lang w:val="it-IT"/>
        </w:rPr>
        <w:t xml:space="preserve"> Wie auch sonst üblich, wird dabei das einzelne Element durch einen Index angegeben; auf die </w:t>
      </w:r>
      <w:r w:rsidR="00ED25AD">
        <w:rPr>
          <w:lang w:val="it-IT"/>
        </w:rPr>
        <w:t>Komponenten</w:t>
      </w:r>
      <w:r w:rsidR="001F472A">
        <w:rPr>
          <w:lang w:val="it-IT"/>
        </w:rPr>
        <w:t xml:space="preserve"> des </w:t>
      </w:r>
      <w:r w:rsidR="001F472A" w:rsidRPr="001F472A">
        <w:rPr>
          <w:i/>
          <w:lang w:val="it-IT"/>
        </w:rPr>
        <w:t>i</w:t>
      </w:r>
      <w:r w:rsidR="001F472A">
        <w:rPr>
          <w:lang w:val="it-IT"/>
        </w:rPr>
        <w:t xml:space="preserve">ten Elements in </w:t>
      </w:r>
      <w:r w:rsidR="001F472A" w:rsidRPr="001F472A">
        <w:rPr>
          <w:i/>
          <w:lang w:val="it-IT"/>
        </w:rPr>
        <w:t>G</w:t>
      </w:r>
      <w:r w:rsidR="001F472A">
        <w:rPr>
          <w:lang w:val="it-IT"/>
        </w:rPr>
        <w:t xml:space="preserve"> wird also zugegriffen mit </w:t>
      </w:r>
      <w:r w:rsidR="001F472A">
        <w:rPr>
          <w:i/>
          <w:lang w:val="it-IT"/>
        </w:rPr>
        <w:t>W</w:t>
      </w:r>
      <w:r w:rsidR="001F472A" w:rsidRPr="007765B7">
        <w:t>(</w:t>
      </w:r>
      <w:r w:rsidR="001F472A" w:rsidRPr="007765B7">
        <w:rPr>
          <w:i/>
        </w:rPr>
        <w:t>G</w:t>
      </w:r>
      <w:r w:rsidR="001F472A">
        <w:rPr>
          <w:i/>
          <w:vertAlign w:val="subscript"/>
          <w:lang w:val="it-IT"/>
        </w:rPr>
        <w:t>x</w:t>
      </w:r>
      <w:r w:rsidR="001F472A" w:rsidRPr="007765B7">
        <w:t>)</w:t>
      </w:r>
      <w:r w:rsidR="001F472A">
        <w:rPr>
          <w:lang w:val="it-IT"/>
        </w:rPr>
        <w:t>,</w:t>
      </w:r>
      <w:r w:rsidR="001F472A" w:rsidRPr="001F472A">
        <w:rPr>
          <w:i/>
          <w:lang w:val="it-IT"/>
        </w:rPr>
        <w:t xml:space="preserve"> </w:t>
      </w:r>
      <w:r w:rsidR="001F472A">
        <w:rPr>
          <w:i/>
          <w:lang w:val="it-IT"/>
        </w:rPr>
        <w:t>S</w:t>
      </w:r>
      <w:r w:rsidR="001F472A" w:rsidRPr="007765B7">
        <w:t>(</w:t>
      </w:r>
      <w:r w:rsidR="001F472A" w:rsidRPr="007765B7">
        <w:rPr>
          <w:i/>
        </w:rPr>
        <w:t>G</w:t>
      </w:r>
      <w:r w:rsidR="001F472A">
        <w:rPr>
          <w:i/>
          <w:vertAlign w:val="subscript"/>
          <w:lang w:val="it-IT"/>
        </w:rPr>
        <w:t>x</w:t>
      </w:r>
      <w:r w:rsidR="001F472A" w:rsidRPr="007765B7">
        <w:t>)</w:t>
      </w:r>
      <w:r w:rsidR="001F472A">
        <w:t xml:space="preserve">, </w:t>
      </w:r>
      <w:r w:rsidR="001F472A">
        <w:rPr>
          <w:i/>
          <w:lang w:val="it-IT"/>
        </w:rPr>
        <w:t>i</w:t>
      </w:r>
      <w:r w:rsidR="001F472A" w:rsidRPr="007765B7">
        <w:t>(</w:t>
      </w:r>
      <w:r w:rsidR="001F472A" w:rsidRPr="007765B7">
        <w:rPr>
          <w:i/>
        </w:rPr>
        <w:t>G</w:t>
      </w:r>
      <w:r w:rsidR="001F472A">
        <w:rPr>
          <w:i/>
          <w:vertAlign w:val="subscript"/>
          <w:lang w:val="it-IT"/>
        </w:rPr>
        <w:t>x</w:t>
      </w:r>
      <w:r w:rsidR="001F472A" w:rsidRPr="007765B7">
        <w:t>)</w:t>
      </w:r>
      <w:r w:rsidR="001F472A">
        <w:t>.</w:t>
      </w:r>
    </w:p>
    <w:p w:rsidR="007D2BD3" w:rsidRDefault="007D2BD3" w:rsidP="007F6CB8">
      <w:pPr>
        <w:pStyle w:val="Text"/>
      </w:pPr>
      <w:r>
        <w:t xml:space="preserve">In Zeile </w:t>
      </w:r>
      <w:r w:rsidR="00597D23">
        <w:t>5</w:t>
      </w:r>
      <w:r w:rsidR="005C2120">
        <w:t xml:space="preserve"> </w:t>
      </w:r>
      <w:r w:rsidRPr="007D2BD3">
        <w:t xml:space="preserve">wird die Funktion </w:t>
      </w:r>
      <w:r w:rsidRPr="00C35EA1">
        <w:rPr>
          <w:i/>
        </w:rPr>
        <w:t>Hintergrundwissen_zusammenstellen</w:t>
      </w:r>
      <w:r w:rsidRPr="007D2BD3">
        <w:t xml:space="preserve"> aufger</w:t>
      </w:r>
      <w:r w:rsidRPr="007D2BD3">
        <w:t>u</w:t>
      </w:r>
      <w:r w:rsidRPr="007D2BD3">
        <w:t>fen</w:t>
      </w:r>
      <w:r w:rsidR="0083191D">
        <w:t xml:space="preserve"> </w:t>
      </w:r>
      <w:r w:rsidR="0083191D" w:rsidRPr="007D2BD3">
        <w:t>(Erläuterung s. unten)</w:t>
      </w:r>
      <w:r w:rsidR="0083191D">
        <w:t xml:space="preserve">. </w:t>
      </w:r>
      <w:r>
        <w:t>Diese Funktion benötigt keine Parameter.</w:t>
      </w:r>
      <w:r w:rsidR="0083191D" w:rsidRPr="0083191D">
        <w:t xml:space="preserve"> </w:t>
      </w:r>
      <w:r w:rsidR="0083191D">
        <w:t>Ihr Rüc</w:t>
      </w:r>
      <w:r w:rsidR="0083191D">
        <w:t>k</w:t>
      </w:r>
      <w:r w:rsidR="0083191D">
        <w:t>ga</w:t>
      </w:r>
      <w:r w:rsidR="003D0053">
        <w:t>bewert wird in die Variable</w:t>
      </w:r>
      <w:r w:rsidR="0083191D">
        <w:t xml:space="preserve"> </w:t>
      </w:r>
      <w:r w:rsidR="0083191D">
        <w:rPr>
          <w:i/>
        </w:rPr>
        <w:t>H</w:t>
      </w:r>
      <w:r w:rsidR="0083191D">
        <w:t xml:space="preserve"> gespeichert.</w:t>
      </w:r>
    </w:p>
    <w:p w:rsidR="0083191D" w:rsidRPr="00A30D7E" w:rsidRDefault="0083191D" w:rsidP="007F6CB8">
      <w:pPr>
        <w:pStyle w:val="Text"/>
      </w:pPr>
      <w:r>
        <w:lastRenderedPageBreak/>
        <w:t xml:space="preserve">In Zeile </w:t>
      </w:r>
      <w:r w:rsidR="00A30D7E">
        <w:t>6</w:t>
      </w:r>
      <w:r w:rsidR="005C2120">
        <w:t xml:space="preserve"> </w:t>
      </w:r>
      <w:r>
        <w:t>wird die Funktion</w:t>
      </w:r>
      <w:r w:rsidR="00A30D7E">
        <w:t xml:space="preserve">smenge </w:t>
      </w:r>
      <w:r w:rsidR="00A30D7E" w:rsidRPr="00A30D7E">
        <w:rPr>
          <w:i/>
        </w:rPr>
        <w:t>Op</w:t>
      </w:r>
      <w:r w:rsidR="00A30D7E">
        <w:t xml:space="preserve"> der Operationen definiert (Erläut</w:t>
      </w:r>
      <w:r w:rsidR="00A30D7E">
        <w:t>e</w:t>
      </w:r>
      <w:r w:rsidR="00A30D7E">
        <w:t>rung s. unten).</w:t>
      </w:r>
    </w:p>
    <w:p w:rsidR="00B06577" w:rsidRDefault="00B06577" w:rsidP="00C64F41">
      <w:pPr>
        <w:pStyle w:val="Text"/>
      </w:pPr>
      <w:r>
        <w:t xml:space="preserve">In Zeile </w:t>
      </w:r>
      <w:r w:rsidR="00A30D7E">
        <w:t>7</w:t>
      </w:r>
      <w:r w:rsidR="005C2120">
        <w:t xml:space="preserve"> </w:t>
      </w:r>
      <w:r>
        <w:t xml:space="preserve">wird die Funktion </w:t>
      </w:r>
      <w:r w:rsidRPr="00C35EA1">
        <w:rPr>
          <w:i/>
        </w:rPr>
        <w:t>Relevantes_Hintergrundwissen</w:t>
      </w:r>
      <w:r>
        <w:t xml:space="preserve"> aufgerufen</w:t>
      </w:r>
      <w:r w:rsidR="0036218B">
        <w:rPr>
          <w:color w:val="000000" w:themeColor="text1"/>
        </w:rPr>
        <w:t xml:space="preserve"> (vgl. Abschnitt </w:t>
      </w:r>
      <w:r w:rsidR="005D7996">
        <w:rPr>
          <w:color w:val="000000" w:themeColor="text1"/>
        </w:rPr>
        <w:fldChar w:fldCharType="begin"/>
      </w:r>
      <w:r w:rsidR="0036218B">
        <w:rPr>
          <w:color w:val="000000" w:themeColor="text1"/>
        </w:rPr>
        <w:instrText xml:space="preserve"> REF _Ref255309936 \r \h </w:instrText>
      </w:r>
      <w:r w:rsidR="005D7996">
        <w:rPr>
          <w:color w:val="000000" w:themeColor="text1"/>
        </w:rPr>
      </w:r>
      <w:r w:rsidR="005D7996">
        <w:rPr>
          <w:color w:val="000000" w:themeColor="text1"/>
        </w:rPr>
        <w:fldChar w:fldCharType="separate"/>
      </w:r>
      <w:r w:rsidR="001231D3">
        <w:rPr>
          <w:color w:val="000000" w:themeColor="text1"/>
        </w:rPr>
        <w:t>7.2.2</w:t>
      </w:r>
      <w:r w:rsidR="005D7996">
        <w:rPr>
          <w:color w:val="000000" w:themeColor="text1"/>
        </w:rPr>
        <w:fldChar w:fldCharType="end"/>
      </w:r>
      <w:r w:rsidR="0036218B">
        <w:rPr>
          <w:color w:val="000000" w:themeColor="text1"/>
        </w:rPr>
        <w:t>)</w:t>
      </w:r>
      <w:r>
        <w:t xml:space="preserve">, der </w:t>
      </w:r>
      <w:r w:rsidRPr="00B06577">
        <w:rPr>
          <w:i/>
        </w:rPr>
        <w:t>S*</w:t>
      </w:r>
      <w:r>
        <w:t xml:space="preserve">, die Angabe des Schemas des Stils, und </w:t>
      </w:r>
      <w:r w:rsidRPr="00B06577">
        <w:rPr>
          <w:i/>
        </w:rPr>
        <w:t>H</w:t>
      </w:r>
      <w:r>
        <w:t xml:space="preserve">, die Menge des Hintergrundwissens, als Parameter übergeben werden. </w:t>
      </w:r>
      <w:r w:rsidR="00C64F41">
        <w:t>Ihr Rü</w:t>
      </w:r>
      <w:r w:rsidR="003D0053">
        <w:t>ckgabewert wird in die Variable</w:t>
      </w:r>
      <w:r w:rsidR="00C64F41">
        <w:t xml:space="preserve"> </w:t>
      </w:r>
      <w:r w:rsidR="00C64F41">
        <w:rPr>
          <w:i/>
        </w:rPr>
        <w:t>R</w:t>
      </w:r>
      <w:r w:rsidR="00C64F41">
        <w:t xml:space="preserve"> gespeichert. </w:t>
      </w:r>
      <w:r>
        <w:t>(Hier wird in einem ersten Schritt Hinte</w:t>
      </w:r>
      <w:r>
        <w:t>r</w:t>
      </w:r>
      <w:r>
        <w:t xml:space="preserve">grundwissen zum Schema des Stils </w:t>
      </w:r>
      <w:r w:rsidR="00F5411E">
        <w:t>gesucht</w:t>
      </w:r>
      <w:r w:rsidR="00BA5E5B">
        <w:t>.</w:t>
      </w:r>
      <w:r>
        <w:t>)</w:t>
      </w:r>
      <w:r w:rsidR="00BA5E5B">
        <w:rPr>
          <w:rStyle w:val="Funotenzeichen"/>
        </w:rPr>
        <w:footnoteReference w:id="504"/>
      </w:r>
    </w:p>
    <w:p w:rsidR="00FC0AFF" w:rsidRDefault="00FC0AFF" w:rsidP="007F6CB8">
      <w:pPr>
        <w:pStyle w:val="Text"/>
      </w:pPr>
      <w:r w:rsidRPr="00FC0AFF">
        <w:t xml:space="preserve">In Zeile </w:t>
      </w:r>
      <w:r w:rsidR="00F5411E">
        <w:t>8</w:t>
      </w:r>
      <w:r w:rsidR="005C2120">
        <w:t xml:space="preserve"> </w:t>
      </w:r>
      <w:r w:rsidRPr="00FC0AFF">
        <w:t>wird die Potenzmenge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rsidRPr="00FC0AFF">
        <w:t xml:space="preserve"> </w:t>
      </w:r>
      <w:r w:rsidRPr="00B06577">
        <w:rPr>
          <w:rFonts w:ascii="Cambria Math" w:eastAsia="Arial Unicode MS" w:hAnsi="Cambria Math" w:cs="Arial Unicode MS"/>
        </w:rPr>
        <w:t>℘</w:t>
      </w:r>
      <w:r w:rsidRPr="00FC0AFF">
        <w:t xml:space="preserve"> der Menge </w:t>
      </w:r>
      <w:r w:rsidRPr="00FC0AFF">
        <w:rPr>
          <w:i/>
          <w:color w:val="000000" w:themeColor="text1"/>
        </w:rPr>
        <w:t>B</w:t>
      </w:r>
      <w:r w:rsidRPr="00FC0AFF">
        <w:t xml:space="preserve"> der Merkmalsregeln gebi</w:t>
      </w:r>
      <w:r w:rsidRPr="00FC0AFF">
        <w:t>l</w:t>
      </w:r>
      <w:r w:rsidRPr="00FC0AFF">
        <w:t>det</w:t>
      </w:r>
      <w:r w:rsidR="00DB0613" w:rsidRPr="00DB0613">
        <w:t xml:space="preserve"> </w:t>
      </w:r>
      <w:r w:rsidR="00DB0613">
        <w:t xml:space="preserve">und in die Variable </w:t>
      </w:r>
      <w:r w:rsidR="00DB0613">
        <w:rPr>
          <w:i/>
          <w:color w:val="000000" w:themeColor="text1"/>
        </w:rPr>
        <w:t>P</w:t>
      </w:r>
      <w:r w:rsidR="00DB0613">
        <w:t xml:space="preserve"> gespeichert</w:t>
      </w:r>
      <w:r w:rsidRPr="00FC0AFF">
        <w:t>.</w:t>
      </w:r>
    </w:p>
    <w:p w:rsidR="000066C7" w:rsidRPr="00FC0AFF" w:rsidRDefault="00F5411E" w:rsidP="007F6CB8">
      <w:pPr>
        <w:pStyle w:val="Text"/>
      </w:pPr>
      <w:r>
        <w:t xml:space="preserve">In </w:t>
      </w:r>
      <w:r w:rsidR="007E1665">
        <w:t xml:space="preserve">Zeile </w:t>
      </w:r>
      <w:r>
        <w:t>9</w:t>
      </w:r>
      <w:r w:rsidR="007E1665">
        <w:t xml:space="preserve"> </w:t>
      </w:r>
      <w:r>
        <w:t xml:space="preserve">werden </w:t>
      </w:r>
      <w:r w:rsidR="00FF661F">
        <w:t xml:space="preserve">mit Hilfe der </w:t>
      </w:r>
      <w:r w:rsidR="00A30D7E">
        <w:t xml:space="preserve">Funktion </w:t>
      </w:r>
      <w:r w:rsidR="00FF661F" w:rsidRPr="00C35EA1">
        <w:rPr>
          <w:i/>
        </w:rPr>
        <w:t>write</w:t>
      </w:r>
      <w:r w:rsidR="00BE4F09" w:rsidRPr="00BE4F09">
        <w:rPr>
          <w:rStyle w:val="Funotenzeichen"/>
        </w:rPr>
        <w:footnoteReference w:id="505"/>
      </w:r>
      <w:r w:rsidR="00BE4F09">
        <w:t xml:space="preserve"> </w:t>
      </w:r>
      <w:r w:rsidRPr="00F5411E">
        <w:rPr>
          <w:i/>
          <w:color w:val="000000" w:themeColor="text1"/>
        </w:rPr>
        <w:t>So</w:t>
      </w:r>
      <w:r w:rsidRPr="00F5411E">
        <w:rPr>
          <w:color w:val="000000" w:themeColor="text1"/>
        </w:rPr>
        <w:t>(</w:t>
      </w:r>
      <w:r w:rsidRPr="00F5411E">
        <w:rPr>
          <w:i/>
          <w:color w:val="000000" w:themeColor="text1"/>
        </w:rPr>
        <w:t>S*</w:t>
      </w:r>
      <w:r w:rsidRPr="00F5411E">
        <w:rPr>
          <w:color w:val="000000" w:themeColor="text1"/>
        </w:rPr>
        <w:t>),</w:t>
      </w:r>
      <w:r>
        <w:t xml:space="preserve"> </w:t>
      </w:r>
      <w:r w:rsidR="00D77D7B">
        <w:t xml:space="preserve">die Sorte des Schemas </w:t>
      </w:r>
      <w:r w:rsidR="00D77D7B" w:rsidRPr="00FF661F">
        <w:rPr>
          <w:i/>
        </w:rPr>
        <w:t>S*</w:t>
      </w:r>
      <w:r>
        <w:t>, und hinter einen Doppelpunkt in einfache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w:t>
      </w:r>
      <w:r>
        <w:rPr>
          <w:i/>
          <w:color w:val="000000" w:themeColor="text1"/>
        </w:rPr>
        <w:t>N</w:t>
      </w:r>
      <w:r w:rsidRPr="00F5411E">
        <w:rPr>
          <w:color w:val="000000" w:themeColor="text1"/>
        </w:rPr>
        <w:t>(</w:t>
      </w:r>
      <w:r w:rsidRPr="00F5411E">
        <w:rPr>
          <w:i/>
          <w:color w:val="000000" w:themeColor="text1"/>
        </w:rPr>
        <w:t>S*</w:t>
      </w:r>
      <w:r w:rsidRPr="00F5411E">
        <w:rPr>
          <w:color w:val="000000" w:themeColor="text1"/>
        </w:rPr>
        <w:t>)</w:t>
      </w:r>
      <w:r>
        <w:rPr>
          <w:color w:val="000000" w:themeColor="text1"/>
        </w:rPr>
        <w:t xml:space="preserve">, der Name des Schemas </w:t>
      </w:r>
      <w:r w:rsidRPr="00FF661F">
        <w:rPr>
          <w:i/>
        </w:rPr>
        <w:t>S*</w:t>
      </w:r>
      <w:r>
        <w:rPr>
          <w:color w:val="000000" w:themeColor="text1"/>
        </w:rPr>
        <w:t>,</w:t>
      </w:r>
      <w:r>
        <w:t xml:space="preserve"> </w:t>
      </w:r>
      <w:r w:rsidR="00D77D7B">
        <w:t>geschrieben</w:t>
      </w:r>
      <w:r w:rsidR="00BE4F09">
        <w:t>.</w:t>
      </w:r>
      <w:r w:rsidR="00093768">
        <w:rPr>
          <w:rStyle w:val="Funotenzeichen"/>
        </w:rPr>
        <w:footnoteReference w:id="506"/>
      </w:r>
      <w:r w:rsidR="00093768">
        <w:t xml:space="preserve"> </w:t>
      </w:r>
      <w:r w:rsidR="00BE4F09">
        <w:t xml:space="preserve">Danach wird eine neue </w:t>
      </w:r>
      <w:r w:rsidR="00FF661F">
        <w:t>Zeile begonnen.</w:t>
      </w:r>
    </w:p>
    <w:p w:rsidR="000066C7" w:rsidRDefault="00AC6C92" w:rsidP="007F6CB8">
      <w:pPr>
        <w:pStyle w:val="Text"/>
      </w:pPr>
      <w:r>
        <w:t xml:space="preserve">In </w:t>
      </w:r>
      <w:r w:rsidR="00A666BE">
        <w:t xml:space="preserve">Zeile </w:t>
      </w:r>
      <w:r w:rsidR="00EE197B">
        <w:t>10</w:t>
      </w:r>
      <w:r w:rsidR="005C2120">
        <w:t xml:space="preserve"> </w:t>
      </w:r>
      <w:r>
        <w:t xml:space="preserve">wird </w:t>
      </w:r>
      <w:r w:rsidR="00826BB0">
        <w:t>eine</w:t>
      </w:r>
      <w:r w:rsidR="00A666BE">
        <w:t xml:space="preserve"> do-while-Schleife</w:t>
      </w:r>
      <w:r>
        <w:t xml:space="preserve"> begonnen</w:t>
      </w:r>
      <w:r w:rsidR="00A666BE">
        <w:t>.</w:t>
      </w:r>
    </w:p>
    <w:p w:rsidR="0083191D" w:rsidRDefault="00BE0874" w:rsidP="007F6CB8">
      <w:pPr>
        <w:pStyle w:val="Text"/>
      </w:pPr>
      <w:r>
        <w:t xml:space="preserve">In Zeile </w:t>
      </w:r>
      <w:r w:rsidR="00EE197B">
        <w:t>11</w:t>
      </w:r>
      <w:r w:rsidR="005C2120">
        <w:t xml:space="preserve"> </w:t>
      </w:r>
      <w:r>
        <w:t xml:space="preserve">wird </w:t>
      </w:r>
      <w:r>
        <w:rPr>
          <w:i/>
          <w:color w:val="000000" w:themeColor="text1"/>
        </w:rPr>
        <w:t>E</w:t>
      </w:r>
      <w:r w:rsidR="00436CAE">
        <w:rPr>
          <w:i/>
          <w:color w:val="000000" w:themeColor="text1"/>
        </w:rPr>
        <w:t>r</w:t>
      </w:r>
      <w:r>
        <w:t xml:space="preserve">, die Menge der erzeugten Ergebnisse, als </w:t>
      </w:r>
      <w:r>
        <w:rPr>
          <w:i/>
          <w:color w:val="000000" w:themeColor="text1"/>
        </w:rPr>
        <w:t>E</w:t>
      </w:r>
      <w:r w:rsidR="00436CAE">
        <w:rPr>
          <w:i/>
          <w:color w:val="000000" w:themeColor="text1"/>
        </w:rPr>
        <w:t>r</w:t>
      </w:r>
      <w:r>
        <w:rPr>
          <w:i/>
          <w:color w:val="000000" w:themeColor="text1"/>
        </w:rPr>
        <w:t>'</w:t>
      </w:r>
      <w:r>
        <w:t xml:space="preserve"> abgespe</w:t>
      </w:r>
      <w:r>
        <w:t>i</w:t>
      </w:r>
      <w:r>
        <w:t>chert, damit später überprüft werden kann, ob neue Ergebnisse hinzugekommen sind.</w:t>
      </w:r>
    </w:p>
    <w:p w:rsidR="00BE0874" w:rsidRPr="00DB0613" w:rsidRDefault="00BE0874" w:rsidP="007F6CB8">
      <w:pPr>
        <w:pStyle w:val="Text"/>
      </w:pPr>
      <w:r>
        <w:t xml:space="preserve">In Zeile </w:t>
      </w:r>
      <w:r w:rsidR="00EE197B">
        <w:t>12</w:t>
      </w:r>
      <w:r w:rsidR="005C2120">
        <w:t xml:space="preserve"> </w:t>
      </w:r>
      <w:r>
        <w:t>wird die Potenzmenge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t xml:space="preserve"> </w:t>
      </w:r>
      <w:r w:rsidR="00A968AE" w:rsidRPr="00FC0AFF">
        <w:t xml:space="preserve">der Menge </w:t>
      </w:r>
      <w:r w:rsidR="00A968AE">
        <w:rPr>
          <w:i/>
          <w:color w:val="000000" w:themeColor="text1"/>
        </w:rPr>
        <w:t>E</w:t>
      </w:r>
      <w:r w:rsidR="00436CAE">
        <w:rPr>
          <w:i/>
          <w:color w:val="000000" w:themeColor="text1"/>
        </w:rPr>
        <w:t>r</w:t>
      </w:r>
      <w:r w:rsidR="00A968AE" w:rsidRPr="00FC0AFF">
        <w:t xml:space="preserve"> der </w:t>
      </w:r>
      <w:r w:rsidR="00A968AE">
        <w:t xml:space="preserve">Ergebnisse </w:t>
      </w:r>
      <w:r w:rsidR="00A968AE" w:rsidRPr="00FC0AFF">
        <w:t>gebildet</w:t>
      </w:r>
      <w:r w:rsidR="00DB0613">
        <w:t xml:space="preserve"> und in die Variable </w:t>
      </w:r>
      <w:r w:rsidR="00DB0613">
        <w:rPr>
          <w:i/>
          <w:color w:val="000000" w:themeColor="text1"/>
        </w:rPr>
        <w:t>Q</w:t>
      </w:r>
      <w:r w:rsidR="00DB0613">
        <w:t xml:space="preserve"> gespeichert</w:t>
      </w:r>
      <w:r w:rsidR="00A968AE" w:rsidRPr="00FC0AFF">
        <w:t>.</w:t>
      </w:r>
    </w:p>
    <w:p w:rsidR="00A968AE" w:rsidRPr="00DB0613" w:rsidRDefault="00A968AE" w:rsidP="00A968AE">
      <w:pPr>
        <w:pStyle w:val="Text"/>
      </w:pPr>
      <w:r w:rsidRPr="00DB0613">
        <w:t xml:space="preserve">Zeile </w:t>
      </w:r>
      <w:r w:rsidR="005C2120">
        <w:t>1</w:t>
      </w:r>
      <w:r w:rsidR="00EE197B">
        <w:t>3</w:t>
      </w:r>
      <w:r w:rsidR="005C2120">
        <w:t xml:space="preserve"> </w:t>
      </w:r>
      <w:r w:rsidRPr="00DB0613">
        <w:t xml:space="preserve">gibt an, dass die eingerückt folgende Schleife für die Variable </w:t>
      </w:r>
      <w:r w:rsidRPr="00DB0613">
        <w:rPr>
          <w:i/>
          <w:iCs/>
        </w:rPr>
        <w:t>i</w:t>
      </w:r>
      <w:r w:rsidRPr="00DB0613">
        <w:t xml:space="preserve"> von 1 bis zur Anzahl der Elemente von </w:t>
      </w:r>
      <w:r w:rsidRPr="00DB0613">
        <w:rPr>
          <w:i/>
          <w:iCs/>
        </w:rPr>
        <w:t>P</w:t>
      </w:r>
      <w:r w:rsidRPr="00DB0613">
        <w:t xml:space="preserve"> ausgeführt wird.</w:t>
      </w:r>
    </w:p>
    <w:p w:rsidR="00DB0613" w:rsidRDefault="00DB0613" w:rsidP="00DB0613">
      <w:pPr>
        <w:pStyle w:val="Text"/>
      </w:pPr>
      <w:r w:rsidRPr="00DB0613">
        <w:t xml:space="preserve">Zeile </w:t>
      </w:r>
      <w:r w:rsidR="005C2120">
        <w:t>1</w:t>
      </w:r>
      <w:r w:rsidR="00EE197B">
        <w:t>4</w:t>
      </w:r>
      <w:r w:rsidR="005C2120">
        <w:t xml:space="preserve"> </w:t>
      </w:r>
      <w:r w:rsidRPr="00DB0613">
        <w:t xml:space="preserve">gibt an, dass die eingerückt folgende Schleife für die Variable </w:t>
      </w:r>
      <w:r w:rsidRPr="00DB0613">
        <w:rPr>
          <w:i/>
          <w:iCs/>
        </w:rPr>
        <w:t>j</w:t>
      </w:r>
      <w:r w:rsidRPr="00DB0613">
        <w:t xml:space="preserve"> von 1 bis zur Anzahl der Elemente von </w:t>
      </w:r>
      <w:r w:rsidRPr="00DB0613">
        <w:rPr>
          <w:i/>
          <w:iCs/>
        </w:rPr>
        <w:t>Q</w:t>
      </w:r>
      <w:r w:rsidRPr="00DB0613">
        <w:t xml:space="preserve"> ausgeführt wird.</w:t>
      </w:r>
    </w:p>
    <w:p w:rsidR="00DC6C70" w:rsidRPr="00DC6C70" w:rsidRDefault="00DC6C70" w:rsidP="00DC6C70">
      <w:pPr>
        <w:pStyle w:val="Text"/>
      </w:pPr>
      <w:r>
        <w:t xml:space="preserve">In Zeile </w:t>
      </w:r>
      <w:r w:rsidR="00255C70">
        <w:t>1</w:t>
      </w:r>
      <w:r w:rsidR="00EE197B">
        <w:t>5</w:t>
      </w:r>
      <w:r w:rsidR="00255C70">
        <w:t xml:space="preserve"> </w:t>
      </w:r>
      <w:r>
        <w:t xml:space="preserve">wird die Funktion </w:t>
      </w:r>
      <w:r w:rsidRPr="00C35EA1">
        <w:rPr>
          <w:i/>
          <w:color w:val="000000" w:themeColor="text1"/>
        </w:rPr>
        <w:t>Relevantes_Hintergrundwissen</w:t>
      </w:r>
      <w:r>
        <w:rPr>
          <w:color w:val="000000" w:themeColor="text1"/>
        </w:rPr>
        <w:t xml:space="preserve"> aufgerufen</w:t>
      </w:r>
      <w:r w:rsidR="0036218B">
        <w:rPr>
          <w:color w:val="000000" w:themeColor="text1"/>
        </w:rPr>
        <w:t xml:space="preserve"> (vgl. Abschnitt </w:t>
      </w:r>
      <w:r w:rsidR="005D7996">
        <w:rPr>
          <w:color w:val="000000" w:themeColor="text1"/>
        </w:rPr>
        <w:fldChar w:fldCharType="begin"/>
      </w:r>
      <w:r w:rsidR="0036218B">
        <w:rPr>
          <w:color w:val="000000" w:themeColor="text1"/>
        </w:rPr>
        <w:instrText xml:space="preserve"> REF _Ref255309936 \r \h </w:instrText>
      </w:r>
      <w:r w:rsidR="005D7996">
        <w:rPr>
          <w:color w:val="000000" w:themeColor="text1"/>
        </w:rPr>
      </w:r>
      <w:r w:rsidR="005D7996">
        <w:rPr>
          <w:color w:val="000000" w:themeColor="text1"/>
        </w:rPr>
        <w:fldChar w:fldCharType="separate"/>
      </w:r>
      <w:r w:rsidR="001231D3">
        <w:rPr>
          <w:color w:val="000000" w:themeColor="text1"/>
        </w:rPr>
        <w:t>7.2.2</w:t>
      </w:r>
      <w:r w:rsidR="005D7996">
        <w:rPr>
          <w:color w:val="000000" w:themeColor="text1"/>
        </w:rPr>
        <w:fldChar w:fldCharType="end"/>
      </w:r>
      <w:r w:rsidR="0036218B">
        <w:rPr>
          <w:color w:val="000000" w:themeColor="text1"/>
        </w:rPr>
        <w:t>)</w:t>
      </w:r>
      <w:r>
        <w:rPr>
          <w:color w:val="000000" w:themeColor="text1"/>
        </w:rPr>
        <w:t xml:space="preserve">, </w:t>
      </w:r>
      <w:r>
        <w:t xml:space="preserve">der die Vereinigungsmenge aus </w:t>
      </w:r>
      <w:r w:rsidRPr="00DC6C70">
        <w:rPr>
          <w:i/>
          <w:color w:val="000000" w:themeColor="text1"/>
        </w:rPr>
        <w:t>P</w:t>
      </w:r>
      <w:r w:rsidRPr="00DC6C70">
        <w:rPr>
          <w:i/>
          <w:color w:val="000000" w:themeColor="text1"/>
          <w:vertAlign w:val="subscript"/>
        </w:rPr>
        <w:t>i</w:t>
      </w:r>
      <w:r>
        <w:t xml:space="preserve">, dem </w:t>
      </w:r>
      <w:r w:rsidRPr="00DC6C70">
        <w:rPr>
          <w:i/>
        </w:rPr>
        <w:t>i</w:t>
      </w:r>
      <w:r>
        <w:t>ten Element der Potenzmenge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t xml:space="preserve"> der Merkmalsregeln</w:t>
      </w:r>
      <w:r w:rsidR="002040FC">
        <w:t xml:space="preserve"> </w:t>
      </w:r>
      <w:r w:rsidR="002040FC">
        <w:rPr>
          <w:color w:val="000000" w:themeColor="text1"/>
        </w:rPr>
        <w:t xml:space="preserve">(also einer bestimmten Teilmenge von </w:t>
      </w:r>
      <w:r w:rsidR="002040FC">
        <w:rPr>
          <w:i/>
          <w:color w:val="000000" w:themeColor="text1"/>
        </w:rPr>
        <w:t>B</w:t>
      </w:r>
      <w:r w:rsidR="002040FC">
        <w:rPr>
          <w:color w:val="000000" w:themeColor="text1"/>
        </w:rPr>
        <w:t>)</w:t>
      </w:r>
      <w:r>
        <w:t xml:space="preserve">, mit </w:t>
      </w:r>
      <w:r>
        <w:rPr>
          <w:i/>
          <w:color w:val="000000" w:themeColor="text1"/>
        </w:rPr>
        <w:t>Q</w:t>
      </w:r>
      <w:r w:rsidR="005C2120">
        <w:rPr>
          <w:i/>
          <w:color w:val="000000" w:themeColor="text1"/>
          <w:vertAlign w:val="subscript"/>
        </w:rPr>
        <w:t>j</w:t>
      </w:r>
      <w:r>
        <w:t xml:space="preserve">, dem </w:t>
      </w:r>
      <w:r w:rsidRPr="00DC6C70">
        <w:rPr>
          <w:i/>
        </w:rPr>
        <w:t>j</w:t>
      </w:r>
      <w:r>
        <w:t>ten Element der Potenzmenge der erzeugten Elemente</w:t>
      </w:r>
      <w:r w:rsidR="002040FC">
        <w:t xml:space="preserve"> </w:t>
      </w:r>
      <w:r w:rsidR="002040FC">
        <w:rPr>
          <w:color w:val="000000" w:themeColor="text1"/>
        </w:rPr>
        <w:t>(also einer b</w:t>
      </w:r>
      <w:r w:rsidR="002040FC">
        <w:rPr>
          <w:color w:val="000000" w:themeColor="text1"/>
        </w:rPr>
        <w:t>e</w:t>
      </w:r>
      <w:r w:rsidR="002040FC">
        <w:rPr>
          <w:color w:val="000000" w:themeColor="text1"/>
        </w:rPr>
        <w:t xml:space="preserve">stimmten Teilmenge von </w:t>
      </w:r>
      <w:r w:rsidR="000B7C0F">
        <w:rPr>
          <w:i/>
          <w:color w:val="000000" w:themeColor="text1"/>
        </w:rPr>
        <w:t>E</w:t>
      </w:r>
      <w:r w:rsidR="00436CAE">
        <w:rPr>
          <w:i/>
          <w:color w:val="000000" w:themeColor="text1"/>
        </w:rPr>
        <w:t>r</w:t>
      </w:r>
      <w:r w:rsidR="002040FC">
        <w:rPr>
          <w:color w:val="000000" w:themeColor="text1"/>
        </w:rPr>
        <w:t>)</w:t>
      </w:r>
      <w:r>
        <w:t xml:space="preserve">, sowie </w:t>
      </w:r>
      <w:r w:rsidRPr="00B06577">
        <w:rPr>
          <w:i/>
        </w:rPr>
        <w:t>H</w:t>
      </w:r>
      <w:r>
        <w:t xml:space="preserve">, die Menge des Hintergrundwissens, als Parameter übergeben werden. Ihr Rückgabewert wird mit </w:t>
      </w:r>
      <w:r w:rsidR="005C2120" w:rsidRPr="005C2120">
        <w:rPr>
          <w:i/>
        </w:rPr>
        <w:t>R</w:t>
      </w:r>
      <w:r w:rsidR="005C2120">
        <w:t xml:space="preserve"> vereinigt, das bereits das Hintergrundwissen </w:t>
      </w:r>
      <w:r w:rsidR="00EE197B">
        <w:t>zum Schema enthält (vgl. Zeile 7</w:t>
      </w:r>
      <w:r w:rsidR="005C2120">
        <w:t xml:space="preserve">), und in die Variable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r>
                  <m:rPr>
                    <m:nor/>
                  </m:rPr>
                  <w:rPr>
                    <w:rFonts w:cs="Times New Roman"/>
                    <w:i/>
                  </w:rPr>
                  <m:t>j</m:t>
                </m:r>
              </m:sub>
            </m:sSub>
          </m:sub>
        </m:sSub>
      </m:oMath>
      <w:r w:rsidR="005C2120">
        <w:t xml:space="preserve"> gespeichert. Diese Variable enthält somit das für </w:t>
      </w:r>
      <w:r w:rsidR="005C2120" w:rsidRPr="00DC6C70">
        <w:rPr>
          <w:i/>
          <w:color w:val="000000" w:themeColor="text1"/>
        </w:rPr>
        <w:t>P</w:t>
      </w:r>
      <w:r w:rsidR="005C2120" w:rsidRPr="00DC6C70">
        <w:rPr>
          <w:i/>
          <w:color w:val="000000" w:themeColor="text1"/>
          <w:vertAlign w:val="subscript"/>
        </w:rPr>
        <w:t>i</w:t>
      </w:r>
      <w:r w:rsidR="005C2120">
        <w:t xml:space="preserve"> und </w:t>
      </w:r>
      <w:r w:rsidR="005C2120">
        <w:rPr>
          <w:i/>
          <w:color w:val="000000" w:themeColor="text1"/>
        </w:rPr>
        <w:t>Q</w:t>
      </w:r>
      <w:r w:rsidR="005C2120">
        <w:rPr>
          <w:i/>
          <w:color w:val="000000" w:themeColor="text1"/>
          <w:vertAlign w:val="subscript"/>
        </w:rPr>
        <w:t>j</w:t>
      </w:r>
      <w:r w:rsidR="005C2120">
        <w:t xml:space="preserve"> relevante Hinte</w:t>
      </w:r>
      <w:r w:rsidR="005C2120">
        <w:t>r</w:t>
      </w:r>
      <w:r w:rsidR="005C2120">
        <w:t xml:space="preserve">grundwissen </w:t>
      </w:r>
      <w:r w:rsidR="002040FC">
        <w:t xml:space="preserve">zusammen </w:t>
      </w:r>
      <w:r w:rsidR="005C2120">
        <w:t>mit dem Hintergrundwissen zum Schema, von dem angenommen wird, dass es immer relevant ist.</w:t>
      </w:r>
      <w:r w:rsidR="00566C14">
        <w:rPr>
          <w:rStyle w:val="Funotenzeichen"/>
        </w:rPr>
        <w:footnoteReference w:id="507"/>
      </w:r>
    </w:p>
    <w:p w:rsidR="003043C9" w:rsidRPr="0071334B" w:rsidRDefault="003043C9" w:rsidP="003043C9">
      <w:pPr>
        <w:pStyle w:val="Text"/>
      </w:pPr>
      <w:r w:rsidRPr="0071334B">
        <w:lastRenderedPageBreak/>
        <w:t xml:space="preserve">In Zeile </w:t>
      </w:r>
      <w:r w:rsidR="00EE197B">
        <w:t>16</w:t>
      </w:r>
      <w:r>
        <w:t xml:space="preserve"> </w:t>
      </w:r>
      <w:r w:rsidRPr="0071334B">
        <w:t xml:space="preserve">wird die for-Schleife aus Zeile </w:t>
      </w:r>
      <w:r w:rsidR="00D770B4">
        <w:t>14</w:t>
      </w:r>
      <w:r>
        <w:t xml:space="preserve"> </w:t>
      </w:r>
      <w:r w:rsidRPr="0071334B">
        <w:t>beendet.</w:t>
      </w:r>
    </w:p>
    <w:p w:rsidR="003043C9" w:rsidRPr="0071334B" w:rsidRDefault="003043C9" w:rsidP="003043C9">
      <w:pPr>
        <w:pStyle w:val="Text"/>
      </w:pPr>
      <w:r w:rsidRPr="0071334B">
        <w:t xml:space="preserve">In Zeile </w:t>
      </w:r>
      <w:r w:rsidR="00EE197B">
        <w:t>17</w:t>
      </w:r>
      <w:r>
        <w:t xml:space="preserve"> </w:t>
      </w:r>
      <w:r w:rsidRPr="0071334B">
        <w:t xml:space="preserve">wird die for-Schleife aus Zeile </w:t>
      </w:r>
      <w:r w:rsidR="00D770B4">
        <w:t>13</w:t>
      </w:r>
      <w:r>
        <w:t xml:space="preserve"> </w:t>
      </w:r>
      <w:r w:rsidRPr="0071334B">
        <w:t>beendet.</w:t>
      </w:r>
    </w:p>
    <w:p w:rsidR="00AA6166" w:rsidRDefault="00AA6166" w:rsidP="00AA6166">
      <w:pPr>
        <w:pStyle w:val="Text"/>
      </w:pPr>
      <w:r w:rsidRPr="00DB0613">
        <w:t xml:space="preserve">Zeile </w:t>
      </w:r>
      <w:r w:rsidR="00D770B4">
        <w:t>18</w:t>
      </w:r>
      <w:r>
        <w:t xml:space="preserve"> </w:t>
      </w:r>
      <w:r w:rsidRPr="00DB0613">
        <w:t xml:space="preserve">gibt an, dass die eingerückt folgende Schleife für die Variable </w:t>
      </w:r>
      <w:r w:rsidRPr="00DB0613">
        <w:rPr>
          <w:i/>
          <w:iCs/>
        </w:rPr>
        <w:t>i</w:t>
      </w:r>
      <w:r w:rsidRPr="00DB0613">
        <w:t xml:space="preserve"> von 1 bis zur Anzahl der Elemente von </w:t>
      </w:r>
      <w:r w:rsidRPr="00DB0613">
        <w:rPr>
          <w:i/>
          <w:iCs/>
        </w:rPr>
        <w:t>P</w:t>
      </w:r>
      <w:r w:rsidRPr="00DB0613">
        <w:t xml:space="preserve"> ausgeführt wird.</w:t>
      </w:r>
    </w:p>
    <w:p w:rsidR="00D770B4" w:rsidRPr="00DB0613" w:rsidRDefault="00D770B4" w:rsidP="00AA6166">
      <w:pPr>
        <w:pStyle w:val="Text"/>
      </w:pPr>
      <w:r>
        <w:t xml:space="preserve">Zeile 19 gibt an, dass die eingerückt </w:t>
      </w:r>
      <w:r w:rsidR="002A01D7">
        <w:t>folgenden Anweisungen ausgeführt werden</w:t>
      </w:r>
      <w:r>
        <w:t xml:space="preserve">, wenn </w:t>
      </w:r>
      <w:r w:rsidRPr="00D770B4">
        <w:rPr>
          <w:color w:val="000000" w:themeColor="text1"/>
        </w:rPr>
        <w:t xml:space="preserve">Interesse </w:t>
      </w:r>
      <w:r>
        <w:rPr>
          <w:color w:val="000000" w:themeColor="text1"/>
        </w:rPr>
        <w:t xml:space="preserve">an </w:t>
      </w:r>
      <w:r w:rsidRPr="00D770B4">
        <w:rPr>
          <w:i/>
          <w:color w:val="000000" w:themeColor="text1"/>
        </w:rPr>
        <w:t>P</w:t>
      </w:r>
      <w:r w:rsidRPr="00D770B4">
        <w:rPr>
          <w:i/>
          <w:color w:val="000000" w:themeColor="text1"/>
          <w:vertAlign w:val="subscript"/>
        </w:rPr>
        <w:t>i</w:t>
      </w:r>
      <w:r w:rsidRPr="00D770B4">
        <w:rPr>
          <w:color w:val="000000" w:themeColor="text1"/>
        </w:rPr>
        <w:t xml:space="preserve"> </w:t>
      </w:r>
      <w:r>
        <w:rPr>
          <w:color w:val="000000" w:themeColor="text1"/>
        </w:rPr>
        <w:t xml:space="preserve">besteht (Erläuterung zur Funktion </w:t>
      </w:r>
      <w:r w:rsidRPr="00D770B4">
        <w:rPr>
          <w:i/>
          <w:color w:val="000000" w:themeColor="text1"/>
        </w:rPr>
        <w:t>Interesse</w:t>
      </w:r>
      <w:r>
        <w:rPr>
          <w:color w:val="000000" w:themeColor="text1"/>
        </w:rPr>
        <w:t xml:space="preserve"> s. u</w:t>
      </w:r>
      <w:r>
        <w:rPr>
          <w:color w:val="000000" w:themeColor="text1"/>
        </w:rPr>
        <w:t>n</w:t>
      </w:r>
      <w:r>
        <w:rPr>
          <w:color w:val="000000" w:themeColor="text1"/>
        </w:rPr>
        <w:t>ten).</w:t>
      </w:r>
    </w:p>
    <w:p w:rsidR="00AA6166" w:rsidRDefault="00AA6166" w:rsidP="00AA6166">
      <w:pPr>
        <w:pStyle w:val="Text"/>
      </w:pPr>
      <w:r w:rsidRPr="00DB0613">
        <w:t xml:space="preserve">Zeile </w:t>
      </w:r>
      <w:r w:rsidR="00D770B4">
        <w:t>20</w:t>
      </w:r>
      <w:r>
        <w:t xml:space="preserve"> </w:t>
      </w:r>
      <w:r w:rsidRPr="00DB0613">
        <w:t xml:space="preserve">gibt an, dass die eingerückt folgende Schleife für die Variable </w:t>
      </w:r>
      <w:r w:rsidRPr="00DB0613">
        <w:rPr>
          <w:i/>
          <w:iCs/>
        </w:rPr>
        <w:t>j</w:t>
      </w:r>
      <w:r w:rsidRPr="00DB0613">
        <w:t xml:space="preserve"> von 1 bis zur Anzahl der Elemente von </w:t>
      </w:r>
      <w:r w:rsidRPr="00DB0613">
        <w:rPr>
          <w:i/>
          <w:iCs/>
        </w:rPr>
        <w:t>Q</w:t>
      </w:r>
      <w:r w:rsidRPr="00DB0613">
        <w:t xml:space="preserve"> ausgeführt wird.</w:t>
      </w:r>
    </w:p>
    <w:p w:rsidR="00D770B4" w:rsidRDefault="00D770B4" w:rsidP="00AA6166">
      <w:pPr>
        <w:pStyle w:val="Text"/>
      </w:pPr>
      <w:r>
        <w:t xml:space="preserve">Zeile 21 gibt an, dass die eingerückt </w:t>
      </w:r>
      <w:r w:rsidR="002A01D7">
        <w:t>folgenden Anweisungen ausgeführt werden</w:t>
      </w:r>
      <w:r>
        <w:t xml:space="preserve">, wenn </w:t>
      </w:r>
      <w:r w:rsidRPr="00D770B4">
        <w:rPr>
          <w:color w:val="000000" w:themeColor="text1"/>
        </w:rPr>
        <w:t xml:space="preserve">Interesse </w:t>
      </w:r>
      <w:r>
        <w:rPr>
          <w:color w:val="000000" w:themeColor="text1"/>
        </w:rPr>
        <w:t xml:space="preserve">an </w:t>
      </w:r>
      <w:r>
        <w:rPr>
          <w:i/>
          <w:color w:val="000000" w:themeColor="text1"/>
        </w:rPr>
        <w:t>Q</w:t>
      </w:r>
      <w:r>
        <w:rPr>
          <w:i/>
          <w:color w:val="000000" w:themeColor="text1"/>
          <w:vertAlign w:val="subscript"/>
        </w:rPr>
        <w:t>j</w:t>
      </w:r>
      <w:r w:rsidRPr="00D770B4">
        <w:rPr>
          <w:color w:val="000000" w:themeColor="text1"/>
        </w:rPr>
        <w:t xml:space="preserve"> </w:t>
      </w:r>
      <w:r>
        <w:rPr>
          <w:color w:val="000000" w:themeColor="text1"/>
        </w:rPr>
        <w:t xml:space="preserve">besteht und die </w:t>
      </w:r>
      <w:r w:rsidR="008C3E70">
        <w:rPr>
          <w:color w:val="000000" w:themeColor="text1"/>
        </w:rPr>
        <w:t>Vereinigungs</w:t>
      </w:r>
      <w:r>
        <w:rPr>
          <w:color w:val="000000" w:themeColor="text1"/>
        </w:rPr>
        <w:t xml:space="preserve">menge von </w:t>
      </w:r>
      <w:r w:rsidRPr="00D770B4">
        <w:rPr>
          <w:i/>
          <w:color w:val="000000" w:themeColor="text1"/>
        </w:rPr>
        <w:t>P</w:t>
      </w:r>
      <w:r w:rsidRPr="00D770B4">
        <w:rPr>
          <w:i/>
          <w:color w:val="000000" w:themeColor="text1"/>
          <w:vertAlign w:val="subscript"/>
        </w:rPr>
        <w:t>i</w:t>
      </w:r>
      <w:r>
        <w:rPr>
          <w:color w:val="000000" w:themeColor="text1"/>
        </w:rPr>
        <w:t xml:space="preserve"> und </w:t>
      </w:r>
      <w:r>
        <w:rPr>
          <w:i/>
          <w:color w:val="000000" w:themeColor="text1"/>
        </w:rPr>
        <w:t>Q</w:t>
      </w:r>
      <w:r>
        <w:rPr>
          <w:i/>
          <w:color w:val="000000" w:themeColor="text1"/>
          <w:vertAlign w:val="subscript"/>
        </w:rPr>
        <w:t>j</w:t>
      </w:r>
      <w:r>
        <w:rPr>
          <w:color w:val="000000" w:themeColor="text1"/>
        </w:rPr>
        <w:t xml:space="preserve"> nicht leer ist.</w:t>
      </w:r>
      <w:bookmarkStart w:id="399" w:name="_Ref261433374"/>
      <w:r>
        <w:rPr>
          <w:rStyle w:val="Funotenzeichen"/>
          <w:color w:val="000000" w:themeColor="text1"/>
        </w:rPr>
        <w:footnoteReference w:id="508"/>
      </w:r>
      <w:bookmarkEnd w:id="399"/>
    </w:p>
    <w:p w:rsidR="00AA6166" w:rsidRDefault="00AA6166" w:rsidP="00AA6166">
      <w:pPr>
        <w:pStyle w:val="Text"/>
      </w:pPr>
      <w:r w:rsidRPr="00DB0613">
        <w:t xml:space="preserve">Zeile </w:t>
      </w:r>
      <w:r w:rsidR="00D770B4">
        <w:t>22</w:t>
      </w:r>
      <w:r>
        <w:t xml:space="preserve"> </w:t>
      </w:r>
      <w:r w:rsidRPr="00DB0613">
        <w:t xml:space="preserve">gibt an, dass die eingerückt folgende Schleife für die Variable </w:t>
      </w:r>
      <w:r w:rsidR="00D770B4">
        <w:rPr>
          <w:i/>
          <w:iCs/>
        </w:rPr>
        <w:t>k</w:t>
      </w:r>
      <w:r w:rsidRPr="00DB0613">
        <w:t xml:space="preserve"> von 1 bis zur Anzahl der Elemente von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r>
                  <m:rPr>
                    <m:nor/>
                  </m:rPr>
                  <w:rPr>
                    <w:rFonts w:cs="Times New Roman"/>
                    <w:i/>
                  </w:rPr>
                  <m:t>j</m:t>
                </m:r>
              </m:sub>
            </m:sSub>
          </m:sub>
        </m:sSub>
      </m:oMath>
      <w:r w:rsidRPr="00DB0613">
        <w:t xml:space="preserve"> ausgeführt wird.</w:t>
      </w:r>
    </w:p>
    <w:p w:rsidR="00D770B4" w:rsidRPr="00DB0613" w:rsidRDefault="00D770B4" w:rsidP="00AA6166">
      <w:pPr>
        <w:pStyle w:val="Text"/>
      </w:pPr>
      <w:r>
        <w:t xml:space="preserve">Zeile 23 gibt an, dass die eingerückt </w:t>
      </w:r>
      <w:r w:rsidR="002A01D7">
        <w:t>folgenden Anweisungen ausgeführt werden</w:t>
      </w:r>
      <w:r>
        <w:t xml:space="preserve">, wenn </w:t>
      </w:r>
      <w:r w:rsidRPr="00D770B4">
        <w:rPr>
          <w:color w:val="000000" w:themeColor="text1"/>
        </w:rPr>
        <w:t xml:space="preserve">Interesse </w:t>
      </w:r>
      <w:r>
        <w:rPr>
          <w:color w:val="000000" w:themeColor="text1"/>
        </w:rPr>
        <w:t xml:space="preserve">an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sSub>
                  <m:sSubPr>
                    <m:ctrlPr>
                      <w:rPr>
                        <w:rFonts w:ascii="Cambria Math" w:hAnsi="Cambria Math" w:cs="Times New Roman"/>
                        <w:i/>
                      </w:rPr>
                    </m:ctrlPr>
                  </m:sSubPr>
                  <m:e>
                    <m:r>
                      <m:rPr>
                        <m:nor/>
                      </m:rPr>
                      <w:rPr>
                        <w:rFonts w:cs="Times New Roman"/>
                        <w:i/>
                      </w:rPr>
                      <m:t>j</m:t>
                    </m:r>
                  </m:e>
                  <m:sub>
                    <m:r>
                      <m:rPr>
                        <m:nor/>
                      </m:rPr>
                      <w:rPr>
                        <w:rFonts w:cs="Times New Roman"/>
                        <w:i/>
                        <w:szCs w:val="20"/>
                      </w:rPr>
                      <m:t>k</m:t>
                    </m:r>
                  </m:sub>
                </m:sSub>
              </m:sub>
            </m:sSub>
          </m:sub>
        </m:sSub>
      </m:oMath>
      <w:r w:rsidRPr="00D770B4">
        <w:rPr>
          <w:color w:val="000000" w:themeColor="text1"/>
        </w:rPr>
        <w:t xml:space="preserve"> </w:t>
      </w:r>
      <w:r>
        <w:rPr>
          <w:color w:val="000000" w:themeColor="text1"/>
        </w:rPr>
        <w:t>besteht.</w:t>
      </w:r>
    </w:p>
    <w:p w:rsidR="00DB0613" w:rsidRDefault="006F3868" w:rsidP="00DB0613">
      <w:pPr>
        <w:pStyle w:val="Text"/>
      </w:pPr>
      <w:r>
        <w:lastRenderedPageBreak/>
        <w:t xml:space="preserve">In </w:t>
      </w:r>
      <w:r w:rsidR="00BE39A4">
        <w:t xml:space="preserve">Zeile </w:t>
      </w:r>
      <w:r w:rsidR="0059679E">
        <w:t>24</w:t>
      </w:r>
      <w:r w:rsidR="0070683C">
        <w:t xml:space="preserve"> </w:t>
      </w:r>
      <w:r w:rsidR="00BE39A4">
        <w:t xml:space="preserve">wird die Funktion </w:t>
      </w:r>
      <w:r w:rsidR="00350DF9" w:rsidRPr="00C35EA1">
        <w:rPr>
          <w:i/>
        </w:rPr>
        <w:t>Ergebnisse</w:t>
      </w:r>
      <w:r w:rsidR="00BE39A4">
        <w:t xml:space="preserve"> aufgerufen</w:t>
      </w:r>
      <w:r w:rsidR="00B8448D">
        <w:t xml:space="preserve"> (vgl. Abschnitt </w:t>
      </w:r>
      <w:r w:rsidR="005D7996">
        <w:fldChar w:fldCharType="begin"/>
      </w:r>
      <w:r w:rsidR="00B8448D">
        <w:instrText xml:space="preserve"> REF _Ref254694742 \r \h </w:instrText>
      </w:r>
      <w:r w:rsidR="005D7996">
        <w:fldChar w:fldCharType="separate"/>
      </w:r>
      <w:r w:rsidR="001231D3">
        <w:t>7.2.3</w:t>
      </w:r>
      <w:r w:rsidR="005D7996">
        <w:fldChar w:fldCharType="end"/>
      </w:r>
      <w:r w:rsidR="00B8448D">
        <w:t>)</w:t>
      </w:r>
      <w:r w:rsidR="003F66F3">
        <w:t xml:space="preserve">. </w:t>
      </w:r>
      <w:r w:rsidR="005B7A82">
        <w:t>Die</w:t>
      </w:r>
      <w:r w:rsidR="00BE39A4">
        <w:t xml:space="preserve"> Funktion </w:t>
      </w:r>
      <w:r w:rsidR="005B7A82">
        <w:t xml:space="preserve">erhält die </w:t>
      </w:r>
      <w:r w:rsidR="00BE39A4">
        <w:t xml:space="preserve">folgenden Parameter: </w:t>
      </w:r>
      <w:r w:rsidR="00BE39A4" w:rsidRPr="00DA074B">
        <w:rPr>
          <w:i/>
          <w:color w:val="000000" w:themeColor="text1"/>
        </w:rPr>
        <w:t>P</w:t>
      </w:r>
      <w:r w:rsidR="00BE39A4" w:rsidRPr="00DA074B">
        <w:rPr>
          <w:i/>
          <w:color w:val="000000" w:themeColor="text1"/>
          <w:vertAlign w:val="subscript"/>
        </w:rPr>
        <w:t>i</w:t>
      </w:r>
      <w:r w:rsidR="00BE39A4" w:rsidRPr="00DA074B">
        <w:rPr>
          <w:color w:val="000000" w:themeColor="text1"/>
        </w:rPr>
        <w:t>,</w:t>
      </w:r>
      <w:r w:rsidR="00BE39A4">
        <w:rPr>
          <w:color w:val="000000" w:themeColor="text1"/>
        </w:rPr>
        <w:t xml:space="preserve"> </w:t>
      </w:r>
      <w:r w:rsidR="002040FC">
        <w:t>das</w:t>
      </w:r>
      <w:r w:rsidR="0070683C">
        <w:t xml:space="preserve"> </w:t>
      </w:r>
      <w:r w:rsidR="0070683C" w:rsidRPr="00DC6C70">
        <w:rPr>
          <w:i/>
        </w:rPr>
        <w:t>i</w:t>
      </w:r>
      <w:r w:rsidR="002040FC">
        <w:t>te</w:t>
      </w:r>
      <w:r w:rsidR="0070683C">
        <w:t xml:space="preserve"> Element der Poten</w:t>
      </w:r>
      <w:r w:rsidR="0070683C">
        <w:t>z</w:t>
      </w:r>
      <w:r w:rsidR="0070683C">
        <w:t>menge</w:t>
      </w:r>
      <w:r w:rsidR="005D7996">
        <w:fldChar w:fldCharType="begin"/>
      </w:r>
      <w:r w:rsidR="001C24C2">
        <w:instrText xml:space="preserve"> XE "</w:instrText>
      </w:r>
      <w:r w:rsidR="001C24C2" w:rsidRPr="00A52EAF">
        <w:instrText>Potenzmenge</w:instrText>
      </w:r>
      <w:r w:rsidR="001C24C2">
        <w:instrText xml:space="preserve">" </w:instrText>
      </w:r>
      <w:r w:rsidR="005D7996">
        <w:fldChar w:fldCharType="end"/>
      </w:r>
      <w:r w:rsidR="0070683C">
        <w:t xml:space="preserve"> der </w:t>
      </w:r>
      <w:r w:rsidR="00BE39A4">
        <w:rPr>
          <w:color w:val="000000" w:themeColor="text1"/>
        </w:rPr>
        <w:t xml:space="preserve">Menge der Merkmalsregeln </w:t>
      </w:r>
      <w:r w:rsidR="00BE39A4" w:rsidRPr="00BE39A4">
        <w:rPr>
          <w:i/>
          <w:color w:val="000000" w:themeColor="text1"/>
        </w:rPr>
        <w:t>B</w:t>
      </w:r>
      <w:r w:rsidR="0070683C">
        <w:rPr>
          <w:color w:val="000000" w:themeColor="text1"/>
        </w:rPr>
        <w:t xml:space="preserve"> (</w:t>
      </w:r>
      <w:r w:rsidR="002040FC">
        <w:rPr>
          <w:color w:val="000000" w:themeColor="text1"/>
        </w:rPr>
        <w:t>also eine</w:t>
      </w:r>
      <w:r w:rsidR="0070683C">
        <w:rPr>
          <w:color w:val="000000" w:themeColor="text1"/>
        </w:rPr>
        <w:t xml:space="preserve"> bestimm</w:t>
      </w:r>
      <w:r w:rsidR="002040FC">
        <w:rPr>
          <w:color w:val="000000" w:themeColor="text1"/>
        </w:rPr>
        <w:t>te</w:t>
      </w:r>
      <w:r w:rsidR="0070683C">
        <w:rPr>
          <w:color w:val="000000" w:themeColor="text1"/>
        </w:rPr>
        <w:t xml:space="preserve"> Teilmenge von </w:t>
      </w:r>
      <w:r w:rsidR="0070683C">
        <w:rPr>
          <w:i/>
          <w:color w:val="000000" w:themeColor="text1"/>
        </w:rPr>
        <w:t>B</w:t>
      </w:r>
      <w:r w:rsidR="00196215">
        <w:rPr>
          <w:color w:val="000000" w:themeColor="text1"/>
        </w:rPr>
        <w:t>);</w:t>
      </w:r>
      <w:r w:rsidR="00BE39A4">
        <w:rPr>
          <w:color w:val="000000" w:themeColor="text1"/>
        </w:rPr>
        <w:t xml:space="preserve"> </w:t>
      </w:r>
      <w:r w:rsidR="00BE39A4" w:rsidRPr="00DA074B">
        <w:rPr>
          <w:i/>
          <w:color w:val="000000" w:themeColor="text1"/>
        </w:rPr>
        <w:t>Q</w:t>
      </w:r>
      <w:r w:rsidR="00BE39A4" w:rsidRPr="00DA074B">
        <w:rPr>
          <w:i/>
          <w:color w:val="000000" w:themeColor="text1"/>
          <w:vertAlign w:val="subscript"/>
        </w:rPr>
        <w:t>j</w:t>
      </w:r>
      <w:r w:rsidR="00BE39A4" w:rsidRPr="00DA074B">
        <w:rPr>
          <w:color w:val="000000" w:themeColor="text1"/>
        </w:rPr>
        <w:t>,</w:t>
      </w:r>
      <w:r w:rsidR="00BE39A4">
        <w:rPr>
          <w:color w:val="000000" w:themeColor="text1"/>
        </w:rPr>
        <w:t xml:space="preserve"> </w:t>
      </w:r>
      <w:r w:rsidR="002040FC">
        <w:t xml:space="preserve">das </w:t>
      </w:r>
      <w:r w:rsidR="0070683C">
        <w:rPr>
          <w:i/>
        </w:rPr>
        <w:t>j</w:t>
      </w:r>
      <w:r w:rsidR="002040FC">
        <w:t>te</w:t>
      </w:r>
      <w:r w:rsidR="0070683C">
        <w:t xml:space="preserve"> Element der Potenzmenge der </w:t>
      </w:r>
      <w:r w:rsidR="0070683C">
        <w:rPr>
          <w:color w:val="000000" w:themeColor="text1"/>
        </w:rPr>
        <w:t xml:space="preserve">Menge der vor dem aktuellen </w:t>
      </w:r>
      <w:r w:rsidR="007F02CB">
        <w:rPr>
          <w:color w:val="000000" w:themeColor="text1"/>
        </w:rPr>
        <w:t xml:space="preserve">Durchlauf </w:t>
      </w:r>
      <w:r w:rsidR="0070683C">
        <w:rPr>
          <w:color w:val="000000" w:themeColor="text1"/>
        </w:rPr>
        <w:t xml:space="preserve">der do-while-Schleife erzeugten Ergebnisse </w:t>
      </w:r>
      <w:r w:rsidR="0070683C">
        <w:rPr>
          <w:i/>
          <w:color w:val="000000" w:themeColor="text1"/>
        </w:rPr>
        <w:t>Q</w:t>
      </w:r>
      <w:r w:rsidR="0070683C">
        <w:rPr>
          <w:color w:val="000000" w:themeColor="text1"/>
        </w:rPr>
        <w:t xml:space="preserve"> </w:t>
      </w:r>
      <w:r w:rsidR="002040FC">
        <w:rPr>
          <w:color w:val="000000" w:themeColor="text1"/>
        </w:rPr>
        <w:t>(also eine</w:t>
      </w:r>
      <w:r w:rsidR="0070683C">
        <w:rPr>
          <w:color w:val="000000" w:themeColor="text1"/>
        </w:rPr>
        <w:t xml:space="preserve"> </w:t>
      </w:r>
      <w:r w:rsidR="002040FC">
        <w:rPr>
          <w:color w:val="000000" w:themeColor="text1"/>
        </w:rPr>
        <w:t>bestimmte</w:t>
      </w:r>
      <w:r w:rsidR="0070683C">
        <w:rPr>
          <w:color w:val="000000" w:themeColor="text1"/>
        </w:rPr>
        <w:t xml:space="preserve"> Teilmenge von </w:t>
      </w:r>
      <w:r w:rsidR="0070683C">
        <w:rPr>
          <w:i/>
          <w:color w:val="000000" w:themeColor="text1"/>
        </w:rPr>
        <w:t>Q</w:t>
      </w:r>
      <w:r w:rsidR="0070683C">
        <w:rPr>
          <w:color w:val="000000" w:themeColor="text1"/>
        </w:rPr>
        <w:t>)</w:t>
      </w:r>
      <w:r w:rsidR="002040FC">
        <w:rPr>
          <w:color w:val="000000" w:themeColor="text1"/>
        </w:rPr>
        <w:t xml:space="preserve">;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sSub>
                  <m:sSubPr>
                    <m:ctrlPr>
                      <w:rPr>
                        <w:rFonts w:ascii="Cambria Math" w:hAnsi="Cambria Math" w:cs="Times New Roman"/>
                        <w:i/>
                      </w:rPr>
                    </m:ctrlPr>
                  </m:sSubPr>
                  <m:e>
                    <m:r>
                      <m:rPr>
                        <m:nor/>
                      </m:rPr>
                      <w:rPr>
                        <w:rFonts w:cs="Times New Roman"/>
                        <w:i/>
                      </w:rPr>
                      <m:t>j</m:t>
                    </m:r>
                  </m:e>
                  <m:sub>
                    <m:r>
                      <m:rPr>
                        <m:nor/>
                      </m:rPr>
                      <w:rPr>
                        <w:rFonts w:cs="Times New Roman"/>
                        <w:i/>
                        <w:szCs w:val="20"/>
                      </w:rPr>
                      <m:t>k</m:t>
                    </m:r>
                  </m:sub>
                </m:sSub>
              </m:sub>
            </m:sSub>
          </m:sub>
        </m:sSub>
      </m:oMath>
      <w:r w:rsidR="002040FC">
        <w:rPr>
          <w:color w:val="000000" w:themeColor="text1"/>
        </w:rPr>
        <w:t xml:space="preserve">, </w:t>
      </w:r>
      <w:r w:rsidR="002040FC">
        <w:t xml:space="preserve">das </w:t>
      </w:r>
      <w:r w:rsidR="006A2465" w:rsidRPr="006A2465">
        <w:rPr>
          <w:i/>
        </w:rPr>
        <w:t>k</w:t>
      </w:r>
      <w:r w:rsidR="006A2465">
        <w:t xml:space="preserve">te Element der Potenzmenge der Menge des für </w:t>
      </w:r>
      <w:r w:rsidR="002040FC" w:rsidRPr="00DC6C70">
        <w:rPr>
          <w:i/>
          <w:color w:val="000000" w:themeColor="text1"/>
        </w:rPr>
        <w:t>P</w:t>
      </w:r>
      <w:r w:rsidR="002040FC" w:rsidRPr="00DC6C70">
        <w:rPr>
          <w:i/>
          <w:color w:val="000000" w:themeColor="text1"/>
          <w:vertAlign w:val="subscript"/>
        </w:rPr>
        <w:t>i</w:t>
      </w:r>
      <w:r w:rsidR="002040FC">
        <w:t xml:space="preserve"> und </w:t>
      </w:r>
      <w:r w:rsidR="002040FC">
        <w:rPr>
          <w:i/>
          <w:color w:val="000000" w:themeColor="text1"/>
        </w:rPr>
        <w:t>Q</w:t>
      </w:r>
      <w:r w:rsidR="002040FC">
        <w:rPr>
          <w:i/>
          <w:color w:val="000000" w:themeColor="text1"/>
          <w:vertAlign w:val="subscript"/>
        </w:rPr>
        <w:t>j</w:t>
      </w:r>
      <w:r w:rsidR="002040FC">
        <w:t xml:space="preserve"> relevante</w:t>
      </w:r>
      <w:r w:rsidR="006A2465">
        <w:t>n</w:t>
      </w:r>
      <w:r w:rsidR="002040FC">
        <w:t xml:space="preserve"> Hintergrundwissen</w:t>
      </w:r>
      <w:r w:rsidR="00196215">
        <w:t>s</w:t>
      </w:r>
      <w:r w:rsidR="002040FC">
        <w:t xml:space="preserve"> zusammen mit dem Hintergrundwissen zum Schema;</w:t>
      </w:r>
      <w:r w:rsidR="005B7A82" w:rsidRPr="00DA074B">
        <w:rPr>
          <w:color w:val="000000" w:themeColor="text1"/>
        </w:rPr>
        <w:t xml:space="preserve"> </w:t>
      </w:r>
      <w:r w:rsidR="005B7A82">
        <w:rPr>
          <w:color w:val="000000" w:themeColor="text1"/>
        </w:rPr>
        <w:t>die Menge der Ergebnisse</w:t>
      </w:r>
      <w:r w:rsidR="00196215" w:rsidRPr="00196215">
        <w:rPr>
          <w:i/>
          <w:color w:val="000000" w:themeColor="text1"/>
        </w:rPr>
        <w:t xml:space="preserve"> </w:t>
      </w:r>
      <w:r w:rsidR="00196215">
        <w:rPr>
          <w:i/>
          <w:color w:val="000000" w:themeColor="text1"/>
        </w:rPr>
        <w:t>Er</w:t>
      </w:r>
      <w:r w:rsidR="005B7A82">
        <w:t>;</w:t>
      </w:r>
      <w:r w:rsidR="00BE39A4" w:rsidRPr="00DA074B">
        <w:rPr>
          <w:color w:val="000000" w:themeColor="text1"/>
        </w:rPr>
        <w:t xml:space="preserve"> </w:t>
      </w:r>
      <w:r w:rsidR="00BE39A4">
        <w:rPr>
          <w:color w:val="000000" w:themeColor="text1"/>
        </w:rPr>
        <w:t>die Menge der Operationen</w:t>
      </w:r>
      <w:r w:rsidR="00196215" w:rsidRPr="00196215">
        <w:rPr>
          <w:i/>
          <w:color w:val="000000" w:themeColor="text1"/>
        </w:rPr>
        <w:t xml:space="preserve"> </w:t>
      </w:r>
      <w:r w:rsidR="00196215" w:rsidRPr="00DA074B">
        <w:rPr>
          <w:i/>
          <w:color w:val="000000" w:themeColor="text1"/>
        </w:rPr>
        <w:t>Op</w:t>
      </w:r>
      <w:r w:rsidR="005B7A82">
        <w:t>; die Menge der geschriebenen Ergebnisse</w:t>
      </w:r>
      <w:r w:rsidR="00196215" w:rsidRPr="00196215">
        <w:rPr>
          <w:i/>
          <w:color w:val="000000" w:themeColor="text1"/>
        </w:rPr>
        <w:t xml:space="preserve"> </w:t>
      </w:r>
      <w:r w:rsidR="00196215">
        <w:rPr>
          <w:i/>
          <w:color w:val="000000" w:themeColor="text1"/>
        </w:rPr>
        <w:t>G</w:t>
      </w:r>
      <w:r w:rsidR="00196215">
        <w:t>;</w:t>
      </w:r>
      <w:r w:rsidR="005B7A82">
        <w:t xml:space="preserve"> die Zähler für geschriebene Ergebnisse</w:t>
      </w:r>
      <w:r w:rsidR="00196215" w:rsidRPr="00196215">
        <w:rPr>
          <w:i/>
          <w:color w:val="000000" w:themeColor="text1"/>
        </w:rPr>
        <w:t xml:space="preserve"> </w:t>
      </w:r>
      <w:r w:rsidR="00196215">
        <w:rPr>
          <w:i/>
          <w:color w:val="000000" w:themeColor="text1"/>
        </w:rPr>
        <w:t>Z</w:t>
      </w:r>
      <w:r w:rsidR="005B7A82">
        <w:t>.</w:t>
      </w:r>
    </w:p>
    <w:p w:rsidR="006E7A00" w:rsidRDefault="006E7A00" w:rsidP="00DB0613">
      <w:pPr>
        <w:pStyle w:val="Text"/>
      </w:pPr>
      <w:r>
        <w:t>Die Funktion gibt drei Werte zurück, die in entsprechende Variablen g</w:t>
      </w:r>
      <w:r>
        <w:t>e</w:t>
      </w:r>
      <w:r>
        <w:t>speichert werden (</w:t>
      </w:r>
      <w:r w:rsidR="00505C6E">
        <w:t xml:space="preserve">siehe </w:t>
      </w:r>
      <w:r>
        <w:t xml:space="preserve">unten, </w:t>
      </w:r>
      <w:r w:rsidRPr="00D0093F">
        <w:rPr>
          <w:i/>
        </w:rPr>
        <w:t>Anmerkung zur Syntax</w:t>
      </w:r>
      <w:r w:rsidR="005D7996">
        <w:rPr>
          <w:i/>
        </w:rPr>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rPr>
          <w:i/>
        </w:rPr>
        <w:fldChar w:fldCharType="end"/>
      </w:r>
      <w:r w:rsidR="00505C6E">
        <w:rPr>
          <w:i/>
        </w:rPr>
        <w:t xml:space="preserve"> (2)</w:t>
      </w:r>
      <w:r w:rsidR="008A42D2">
        <w:t>):</w:t>
      </w:r>
      <w:r>
        <w:t xml:space="preserve"> Die Menge der E</w:t>
      </w:r>
      <w:r>
        <w:t>r</w:t>
      </w:r>
      <w:r>
        <w:t xml:space="preserve">gebnisse </w:t>
      </w:r>
      <w:r w:rsidRPr="003F66F3">
        <w:rPr>
          <w:i/>
        </w:rPr>
        <w:t>E</w:t>
      </w:r>
      <w:r w:rsidR="008655FF">
        <w:rPr>
          <w:i/>
        </w:rPr>
        <w:t>r</w:t>
      </w:r>
      <w:r w:rsidR="00196215">
        <w:t>,</w:t>
      </w:r>
      <w:r>
        <w:t xml:space="preserve"> die Menge der geschriebenen Ergebnisse </w:t>
      </w:r>
      <w:r w:rsidRPr="005B7A82">
        <w:rPr>
          <w:i/>
        </w:rPr>
        <w:t>G</w:t>
      </w:r>
      <w:r w:rsidR="00196215">
        <w:t xml:space="preserve"> und </w:t>
      </w:r>
      <w:r>
        <w:t>die Zähler für g</w:t>
      </w:r>
      <w:r>
        <w:t>e</w:t>
      </w:r>
      <w:r>
        <w:t xml:space="preserve">schriebene Ergebnisse </w:t>
      </w:r>
      <w:r w:rsidRPr="005B7A82">
        <w:rPr>
          <w:i/>
        </w:rPr>
        <w:t>Z</w:t>
      </w:r>
      <w:r>
        <w:t>.</w:t>
      </w:r>
    </w:p>
    <w:p w:rsidR="0071334B" w:rsidRPr="0071334B" w:rsidRDefault="0071334B" w:rsidP="0071334B">
      <w:pPr>
        <w:pStyle w:val="Text"/>
      </w:pPr>
      <w:r w:rsidRPr="0071334B">
        <w:t xml:space="preserve">In Zeile </w:t>
      </w:r>
      <w:r w:rsidR="005B7A82">
        <w:t>2</w:t>
      </w:r>
      <w:r w:rsidR="00654363">
        <w:t>5</w:t>
      </w:r>
      <w:r w:rsidR="00085728">
        <w:t xml:space="preserve"> </w:t>
      </w:r>
      <w:r w:rsidRPr="0071334B">
        <w:t xml:space="preserve">wird die </w:t>
      </w:r>
      <w:r w:rsidR="007F02CB">
        <w:t>if-Anweisung</w:t>
      </w:r>
      <w:r w:rsidRPr="0071334B">
        <w:t xml:space="preserve"> aus Zeile </w:t>
      </w:r>
      <w:r w:rsidR="005B7A82">
        <w:t>23</w:t>
      </w:r>
      <w:r w:rsidR="00A937DD">
        <w:t xml:space="preserve"> </w:t>
      </w:r>
      <w:r w:rsidRPr="0071334B">
        <w:t>beendet.</w:t>
      </w:r>
    </w:p>
    <w:p w:rsidR="0071334B" w:rsidRDefault="0071334B" w:rsidP="0071334B">
      <w:pPr>
        <w:pStyle w:val="Text"/>
      </w:pPr>
      <w:r w:rsidRPr="0071334B">
        <w:t xml:space="preserve">In Zeile </w:t>
      </w:r>
      <w:r w:rsidR="005B7A82">
        <w:t>2</w:t>
      </w:r>
      <w:r w:rsidR="00654363">
        <w:t>6</w:t>
      </w:r>
      <w:r w:rsidR="006F3868">
        <w:t xml:space="preserve"> </w:t>
      </w:r>
      <w:r w:rsidRPr="0071334B">
        <w:t xml:space="preserve">wird die for-Schleife aus Zeile </w:t>
      </w:r>
      <w:r w:rsidR="005B7A82">
        <w:t>22</w:t>
      </w:r>
      <w:r w:rsidR="00A937DD">
        <w:t xml:space="preserve"> </w:t>
      </w:r>
      <w:r w:rsidRPr="0071334B">
        <w:t>beendet.</w:t>
      </w:r>
    </w:p>
    <w:p w:rsidR="00A937DD" w:rsidRDefault="00A937DD" w:rsidP="00A937DD">
      <w:pPr>
        <w:pStyle w:val="Text"/>
      </w:pPr>
      <w:r w:rsidRPr="0071334B">
        <w:t xml:space="preserve">In Zeile </w:t>
      </w:r>
      <w:r w:rsidR="005B7A82">
        <w:t>2</w:t>
      </w:r>
      <w:r w:rsidR="00654363">
        <w:t>7</w:t>
      </w:r>
      <w:r>
        <w:t xml:space="preserve"> </w:t>
      </w:r>
      <w:r w:rsidRPr="0071334B">
        <w:t xml:space="preserve">wird die </w:t>
      </w:r>
      <w:r w:rsidR="007F02CB">
        <w:t>if-Anweisung</w:t>
      </w:r>
      <w:r w:rsidRPr="0071334B">
        <w:t xml:space="preserve"> aus Zeile </w:t>
      </w:r>
      <w:r w:rsidR="005B7A82">
        <w:t>21</w:t>
      </w:r>
      <w:r>
        <w:t xml:space="preserve"> </w:t>
      </w:r>
      <w:r w:rsidRPr="0071334B">
        <w:t>beendet.</w:t>
      </w:r>
    </w:p>
    <w:p w:rsidR="005B7A82" w:rsidRPr="0071334B" w:rsidRDefault="005B7A82" w:rsidP="005B7A82">
      <w:pPr>
        <w:pStyle w:val="Text"/>
      </w:pPr>
      <w:r w:rsidRPr="0071334B">
        <w:t xml:space="preserve">In Zeile </w:t>
      </w:r>
      <w:r>
        <w:t>2</w:t>
      </w:r>
      <w:r w:rsidR="00654363">
        <w:t>8</w:t>
      </w:r>
      <w:r>
        <w:t xml:space="preserve"> </w:t>
      </w:r>
      <w:r w:rsidRPr="0071334B">
        <w:t xml:space="preserve">wird die for-Schleife aus Zeile </w:t>
      </w:r>
      <w:r>
        <w:t xml:space="preserve">20 </w:t>
      </w:r>
      <w:r w:rsidRPr="0071334B">
        <w:t>beendet.</w:t>
      </w:r>
    </w:p>
    <w:p w:rsidR="005B7A82" w:rsidRDefault="005B7A82" w:rsidP="005B7A82">
      <w:pPr>
        <w:pStyle w:val="Text"/>
      </w:pPr>
      <w:r w:rsidRPr="0071334B">
        <w:t xml:space="preserve">In Zeile </w:t>
      </w:r>
      <w:r w:rsidR="00654363">
        <w:t>29</w:t>
      </w:r>
      <w:r>
        <w:t xml:space="preserve"> </w:t>
      </w:r>
      <w:r w:rsidRPr="0071334B">
        <w:t xml:space="preserve">wird die </w:t>
      </w:r>
      <w:r w:rsidR="007F02CB">
        <w:t>if-Anweisung</w:t>
      </w:r>
      <w:r w:rsidRPr="0071334B">
        <w:t xml:space="preserve"> aus Zeile </w:t>
      </w:r>
      <w:r>
        <w:t xml:space="preserve">19 </w:t>
      </w:r>
      <w:r w:rsidRPr="0071334B">
        <w:t>beendet.</w:t>
      </w:r>
    </w:p>
    <w:p w:rsidR="005B7A82" w:rsidRPr="0071334B" w:rsidRDefault="005B7A82" w:rsidP="005B7A82">
      <w:pPr>
        <w:pStyle w:val="Text"/>
      </w:pPr>
      <w:r w:rsidRPr="0071334B">
        <w:t xml:space="preserve">In Zeile </w:t>
      </w:r>
      <w:r>
        <w:t>3</w:t>
      </w:r>
      <w:r w:rsidR="00654363">
        <w:t>0</w:t>
      </w:r>
      <w:r>
        <w:t xml:space="preserve"> </w:t>
      </w:r>
      <w:r w:rsidRPr="0071334B">
        <w:t xml:space="preserve">wird die for-Schleife aus Zeile </w:t>
      </w:r>
      <w:r>
        <w:t xml:space="preserve">18 </w:t>
      </w:r>
      <w:r w:rsidRPr="0071334B">
        <w:t>beendet.</w:t>
      </w:r>
    </w:p>
    <w:p w:rsidR="00FF7380" w:rsidRDefault="00FF7380" w:rsidP="00FF7380">
      <w:pPr>
        <w:pStyle w:val="Text"/>
      </w:pPr>
      <w:r w:rsidRPr="0071334B">
        <w:t xml:space="preserve">In Zeile </w:t>
      </w:r>
      <w:r w:rsidR="005B7A82">
        <w:t>3</w:t>
      </w:r>
      <w:r w:rsidR="00654363">
        <w:t>1</w:t>
      </w:r>
      <w:r w:rsidR="006F3868">
        <w:t xml:space="preserve"> </w:t>
      </w:r>
      <w:r w:rsidRPr="0071334B">
        <w:t xml:space="preserve">wird die </w:t>
      </w:r>
      <w:r>
        <w:t>do-while</w:t>
      </w:r>
      <w:r w:rsidRPr="0071334B">
        <w:t xml:space="preserve">-Schleife aus Zeile </w:t>
      </w:r>
      <w:r w:rsidR="005B7A82">
        <w:t>10</w:t>
      </w:r>
      <w:r w:rsidR="00A937DD">
        <w:t xml:space="preserve"> </w:t>
      </w:r>
      <w:r w:rsidR="006F3868">
        <w:t xml:space="preserve">beendet. Die Schleife wird wiederholt, </w:t>
      </w:r>
      <w:r w:rsidR="00370DD2">
        <w:t>wenn im letzten Durchlauf</w:t>
      </w:r>
      <w:r w:rsidR="00D04572">
        <w:t xml:space="preserve"> </w:t>
      </w:r>
      <w:r w:rsidR="00370DD2">
        <w:t xml:space="preserve">neue Ergebnisse zu </w:t>
      </w:r>
      <w:r w:rsidR="006F3868" w:rsidRPr="006F3868">
        <w:rPr>
          <w:i/>
        </w:rPr>
        <w:t>E</w:t>
      </w:r>
      <w:r w:rsidR="008655FF">
        <w:rPr>
          <w:i/>
        </w:rPr>
        <w:t>r</w:t>
      </w:r>
      <w:r w:rsidR="00370DD2">
        <w:t xml:space="preserve"> dazugeko</w:t>
      </w:r>
      <w:r w:rsidR="00370DD2">
        <w:t>m</w:t>
      </w:r>
      <w:r w:rsidR="00370DD2">
        <w:t xml:space="preserve">men sind </w:t>
      </w:r>
      <w:r w:rsidR="006F3868">
        <w:t xml:space="preserve">(vgl. Zeile </w:t>
      </w:r>
      <w:r w:rsidR="00370DD2">
        <w:t>11</w:t>
      </w:r>
      <w:r w:rsidR="006F3868">
        <w:t>).</w:t>
      </w:r>
      <w:r w:rsidR="00370DD2">
        <w:t xml:space="preserve"> Sie wird </w:t>
      </w:r>
      <w:r w:rsidR="00B63C1A">
        <w:t>somit</w:t>
      </w:r>
      <w:r w:rsidR="00370DD2">
        <w:t xml:space="preserve"> </w:t>
      </w:r>
      <w:r w:rsidR="00E1742E">
        <w:t>nicht mehr wiederholt</w:t>
      </w:r>
      <w:r w:rsidR="00370DD2">
        <w:t>, wenn entweder keine neuen Ergebnisse erzeugt wurden oder wenn an allen neuen Ergebnissen kein Interesse bestand.</w:t>
      </w:r>
      <w:r w:rsidR="009C4FA2">
        <w:rPr>
          <w:rStyle w:val="Funotenzeichen"/>
        </w:rPr>
        <w:footnoteReference w:id="509"/>
      </w:r>
    </w:p>
    <w:p w:rsidR="00FB6618" w:rsidRDefault="00FB6618" w:rsidP="00FB6618">
      <w:pPr>
        <w:pStyle w:val="Text"/>
      </w:pPr>
      <w:r w:rsidRPr="00DB0613">
        <w:t xml:space="preserve">Zeile </w:t>
      </w:r>
      <w:r w:rsidR="00370DD2">
        <w:t>3</w:t>
      </w:r>
      <w:r w:rsidR="00654363">
        <w:t>2</w:t>
      </w:r>
      <w:r>
        <w:t xml:space="preserve"> </w:t>
      </w:r>
      <w:r w:rsidRPr="00DB0613">
        <w:t xml:space="preserve">gibt an, dass die eingerückt folgende Schleife für die Variable </w:t>
      </w:r>
      <w:r>
        <w:rPr>
          <w:i/>
          <w:iCs/>
        </w:rPr>
        <w:t>h</w:t>
      </w:r>
      <w:r w:rsidRPr="00DB0613">
        <w:t xml:space="preserve"> von 1 bis zur Anzahl der Elemente von </w:t>
      </w:r>
      <w:r w:rsidR="00370DD2">
        <w:rPr>
          <w:i/>
          <w:iCs/>
        </w:rPr>
        <w:t>E</w:t>
      </w:r>
      <w:r w:rsidR="00196215">
        <w:rPr>
          <w:i/>
          <w:iCs/>
        </w:rPr>
        <w:t>r</w:t>
      </w:r>
      <w:r w:rsidRPr="00DB0613">
        <w:t xml:space="preserve"> ausgeführt wird.</w:t>
      </w:r>
    </w:p>
    <w:p w:rsidR="00FB6618" w:rsidRPr="00DB0613" w:rsidRDefault="00370DD2" w:rsidP="00FB6618">
      <w:pPr>
        <w:pStyle w:val="Text"/>
      </w:pPr>
      <w:r>
        <w:t>In Zeile 3</w:t>
      </w:r>
      <w:r w:rsidR="00654363">
        <w:t>3</w:t>
      </w:r>
      <w:r w:rsidR="00FB6618">
        <w:t xml:space="preserve"> wird die Funktion </w:t>
      </w:r>
      <w:r w:rsidR="00FB6618" w:rsidRPr="00C35EA1">
        <w:rPr>
          <w:i/>
        </w:rPr>
        <w:t>Sorte</w:t>
      </w:r>
      <w:r w:rsidR="00FB6618">
        <w:t xml:space="preserve"> aufgerufen</w:t>
      </w:r>
      <w:r w:rsidR="00776629">
        <w:t xml:space="preserve"> (Erläuterung s. unten)</w:t>
      </w:r>
      <w:r w:rsidR="00FB6618">
        <w:t xml:space="preserve">, der das </w:t>
      </w:r>
      <w:r w:rsidR="00FB6618" w:rsidRPr="00FB6618">
        <w:rPr>
          <w:i/>
        </w:rPr>
        <w:t>h</w:t>
      </w:r>
      <w:r w:rsidR="00FB6618">
        <w:t xml:space="preserve">te Element von </w:t>
      </w:r>
      <w:r w:rsidR="00FB6618" w:rsidRPr="00FB6618">
        <w:rPr>
          <w:i/>
        </w:rPr>
        <w:t>E</w:t>
      </w:r>
      <w:r w:rsidR="00196215">
        <w:rPr>
          <w:i/>
        </w:rPr>
        <w:t>r</w:t>
      </w:r>
      <w:r w:rsidR="00422AD2">
        <w:t xml:space="preserve">, der Menge der erzeugten Ergebnisse, </w:t>
      </w:r>
      <w:r w:rsidR="00FB6618">
        <w:t xml:space="preserve">als Parameter übergeben wird. Ihr Rückgabewert, die Sorte von </w:t>
      </w:r>
      <w:r w:rsidR="00FB6618" w:rsidRPr="00FB6618">
        <w:rPr>
          <w:i/>
          <w:color w:val="000000" w:themeColor="text1"/>
        </w:rPr>
        <w:t>E</w:t>
      </w:r>
      <w:r w:rsidR="00196215">
        <w:rPr>
          <w:i/>
          <w:color w:val="000000" w:themeColor="text1"/>
        </w:rPr>
        <w:t>r</w:t>
      </w:r>
      <w:r w:rsidR="00FB6618" w:rsidRPr="00FB6618">
        <w:rPr>
          <w:i/>
          <w:color w:val="000000" w:themeColor="text1"/>
          <w:vertAlign w:val="subscript"/>
        </w:rPr>
        <w:t>h</w:t>
      </w:r>
      <w:r w:rsidR="00FB6618">
        <w:t xml:space="preserve">, wird mit </w:t>
      </w:r>
      <w:r w:rsidR="00263422">
        <w:t xml:space="preserve">der Menge </w:t>
      </w:r>
      <w:r w:rsidR="003D0053" w:rsidRPr="00FB6618">
        <w:rPr>
          <w:i/>
        </w:rPr>
        <w:t>S</w:t>
      </w:r>
      <w:r w:rsidR="00A109A6">
        <w:rPr>
          <w:i/>
        </w:rPr>
        <w:t>o</w:t>
      </w:r>
      <w:r w:rsidR="00422AD2">
        <w:t xml:space="preserve">, </w:t>
      </w:r>
      <w:r w:rsidR="00263422">
        <w:t xml:space="preserve">die </w:t>
      </w:r>
      <w:r w:rsidR="00422AD2">
        <w:t xml:space="preserve">die bisher gefundenen Sorten enthält, </w:t>
      </w:r>
      <w:r w:rsidR="003D0053">
        <w:t xml:space="preserve">vereinigt und </w:t>
      </w:r>
      <w:r w:rsidR="00263422">
        <w:t xml:space="preserve">wiederum </w:t>
      </w:r>
      <w:r w:rsidR="003D0053">
        <w:t xml:space="preserve">in </w:t>
      </w:r>
      <w:r w:rsidR="00FB6618" w:rsidRPr="00FB6618">
        <w:rPr>
          <w:i/>
        </w:rPr>
        <w:t>S</w:t>
      </w:r>
      <w:r w:rsidR="00A109A6">
        <w:rPr>
          <w:i/>
        </w:rPr>
        <w:t>o</w:t>
      </w:r>
      <w:r w:rsidR="00FB6618">
        <w:t xml:space="preserve"> </w:t>
      </w:r>
      <w:r w:rsidR="003D0053">
        <w:t>gespe</w:t>
      </w:r>
      <w:r w:rsidR="003D0053">
        <w:t>i</w:t>
      </w:r>
      <w:r w:rsidR="003D0053">
        <w:t>chert</w:t>
      </w:r>
      <w:r w:rsidR="00FB6618">
        <w:t>.</w:t>
      </w:r>
      <w:r w:rsidR="00422AD2">
        <w:t xml:space="preserve"> (Diese Schleife speichert also alle bei den Ergebnissen der Interpretation vorkommenden Sorten in </w:t>
      </w:r>
      <w:r w:rsidR="00422AD2" w:rsidRPr="00422AD2">
        <w:rPr>
          <w:i/>
        </w:rPr>
        <w:t>S</w:t>
      </w:r>
      <w:r w:rsidR="00A109A6">
        <w:rPr>
          <w:i/>
        </w:rPr>
        <w:t>o</w:t>
      </w:r>
      <w:r w:rsidR="00422AD2">
        <w:t>.)</w:t>
      </w:r>
    </w:p>
    <w:p w:rsidR="00422AD2" w:rsidRPr="0071334B" w:rsidRDefault="00422AD2" w:rsidP="00422AD2">
      <w:pPr>
        <w:pStyle w:val="Text"/>
      </w:pPr>
      <w:r w:rsidRPr="0071334B">
        <w:t xml:space="preserve">In Zeile </w:t>
      </w:r>
      <w:r w:rsidR="00370DD2">
        <w:t>3</w:t>
      </w:r>
      <w:r w:rsidR="00654363">
        <w:t>4</w:t>
      </w:r>
      <w:r>
        <w:t xml:space="preserve"> </w:t>
      </w:r>
      <w:r w:rsidRPr="0071334B">
        <w:t xml:space="preserve">wird die for-Schleife aus Zeile </w:t>
      </w:r>
      <w:r w:rsidR="00370DD2">
        <w:t>3</w:t>
      </w:r>
      <w:r w:rsidR="00654363">
        <w:t>2</w:t>
      </w:r>
      <w:r>
        <w:t xml:space="preserve"> </w:t>
      </w:r>
      <w:r w:rsidRPr="0071334B">
        <w:t>beendet.</w:t>
      </w:r>
    </w:p>
    <w:p w:rsidR="00422AD2" w:rsidRDefault="00422AD2" w:rsidP="00422AD2">
      <w:pPr>
        <w:pStyle w:val="Text"/>
      </w:pPr>
      <w:r w:rsidRPr="00DB0613">
        <w:t xml:space="preserve">Zeile </w:t>
      </w:r>
      <w:r w:rsidR="00370DD2">
        <w:t>3</w:t>
      </w:r>
      <w:r w:rsidR="00654363">
        <w:t>5</w:t>
      </w:r>
      <w:r>
        <w:t xml:space="preserve"> </w:t>
      </w:r>
      <w:r w:rsidRPr="00DB0613">
        <w:t xml:space="preserve">gibt an, dass die eingerückt folgende Schleife für die Variable </w:t>
      </w:r>
      <w:r>
        <w:rPr>
          <w:i/>
          <w:iCs/>
        </w:rPr>
        <w:t>k</w:t>
      </w:r>
      <w:r w:rsidRPr="00DB0613">
        <w:t xml:space="preserve"> von 1 bis zur Anzahl der Elemente von </w:t>
      </w:r>
      <w:r>
        <w:rPr>
          <w:i/>
          <w:iCs/>
        </w:rPr>
        <w:t>S</w:t>
      </w:r>
      <w:r w:rsidR="00A109A6">
        <w:rPr>
          <w:i/>
          <w:iCs/>
        </w:rPr>
        <w:t>o</w:t>
      </w:r>
      <w:r w:rsidRPr="00DB0613">
        <w:t xml:space="preserve"> ausgeführt wird.</w:t>
      </w:r>
    </w:p>
    <w:p w:rsidR="00422AD2" w:rsidRDefault="00422AD2" w:rsidP="00422AD2">
      <w:pPr>
        <w:pStyle w:val="Text"/>
      </w:pPr>
      <w:r>
        <w:t xml:space="preserve">In Zeile </w:t>
      </w:r>
      <w:r w:rsidR="00370DD2">
        <w:t>3</w:t>
      </w:r>
      <w:r w:rsidR="00654363">
        <w:t>6</w:t>
      </w:r>
      <w:r>
        <w:t xml:space="preserve"> wird die Klasse aller Elemente aus </w:t>
      </w:r>
      <w:r>
        <w:rPr>
          <w:i/>
        </w:rPr>
        <w:t>E</w:t>
      </w:r>
      <w:r w:rsidR="00196215">
        <w:rPr>
          <w:i/>
        </w:rPr>
        <w:t>r</w:t>
      </w:r>
      <w:r>
        <w:t xml:space="preserve"> mit der Sorte </w:t>
      </w:r>
      <w:r w:rsidRPr="00AB6B08">
        <w:rPr>
          <w:i/>
          <w:color w:val="000000" w:themeColor="text1"/>
        </w:rPr>
        <w:t>S</w:t>
      </w:r>
      <w:r w:rsidR="00A109A6">
        <w:rPr>
          <w:i/>
          <w:color w:val="000000" w:themeColor="text1"/>
        </w:rPr>
        <w:t>o</w:t>
      </w:r>
      <w:r w:rsidRPr="00AB6B08">
        <w:rPr>
          <w:i/>
          <w:color w:val="000000" w:themeColor="text1"/>
          <w:vertAlign w:val="subscript"/>
        </w:rPr>
        <w:t>k</w:t>
      </w:r>
      <w:r>
        <w:t xml:space="preserve"> gebildet und in die Variable </w:t>
      </w:r>
      <m:oMath>
        <m:sSup>
          <m:sSupPr>
            <m:ctrlPr>
              <w:rPr>
                <w:rFonts w:ascii="Cambria Math" w:hAnsi="Cambria Math"/>
                <w:i/>
                <w:color w:val="000000" w:themeColor="text1"/>
              </w:rPr>
            </m:ctrlPr>
          </m:sSupPr>
          <m:e>
            <m:r>
              <m:rPr>
                <m:nor/>
              </m:rPr>
              <w:rPr>
                <w:rFonts w:cs="Times New Roman"/>
                <w:i/>
                <w:color w:val="000000" w:themeColor="text1"/>
              </w:rPr>
              <m:t>Er</m:t>
            </m:r>
          </m:e>
          <m:sup>
            <m:sSub>
              <m:sSubPr>
                <m:ctrlPr>
                  <w:rPr>
                    <w:rFonts w:ascii="Cambria Math" w:hAnsi="Cambria Math"/>
                    <w:i/>
                    <w:color w:val="000000" w:themeColor="text1"/>
                  </w:rPr>
                </m:ctrlPr>
              </m:sSubPr>
              <m:e>
                <m:r>
                  <m:rPr>
                    <m:nor/>
                  </m:rPr>
                  <w:rPr>
                    <w:rFonts w:cs="Times New Roman"/>
                    <w:i/>
                    <w:color w:val="000000" w:themeColor="text1"/>
                  </w:rPr>
                  <m:t>So</m:t>
                </m:r>
              </m:e>
              <m:sub>
                <m:r>
                  <m:rPr>
                    <m:nor/>
                  </m:rPr>
                  <w:rPr>
                    <w:rFonts w:cs="Times New Roman"/>
                    <w:i/>
                    <w:color w:val="000000" w:themeColor="text1"/>
                  </w:rPr>
                  <m:t>k</m:t>
                </m:r>
              </m:sub>
            </m:sSub>
          </m:sup>
        </m:sSup>
      </m:oMath>
      <w:r w:rsidR="006D58A6">
        <w:t xml:space="preserve"> </w:t>
      </w:r>
      <w:r>
        <w:t>gespeichert.</w:t>
      </w:r>
    </w:p>
    <w:p w:rsidR="00422AD2" w:rsidRPr="0071334B" w:rsidRDefault="00422AD2" w:rsidP="00422AD2">
      <w:pPr>
        <w:pStyle w:val="Text"/>
      </w:pPr>
      <w:r w:rsidRPr="0071334B">
        <w:t xml:space="preserve">In Zeile </w:t>
      </w:r>
      <w:r w:rsidR="00370DD2">
        <w:t>3</w:t>
      </w:r>
      <w:r w:rsidR="00654363">
        <w:t>7</w:t>
      </w:r>
      <w:r>
        <w:t xml:space="preserve"> </w:t>
      </w:r>
      <w:r w:rsidRPr="0071334B">
        <w:t xml:space="preserve">wird die for-Schleife aus Zeile </w:t>
      </w:r>
      <w:r w:rsidR="00370DD2">
        <w:t>3</w:t>
      </w:r>
      <w:r w:rsidR="00654363">
        <w:t>5</w:t>
      </w:r>
      <w:r>
        <w:t xml:space="preserve"> </w:t>
      </w:r>
      <w:r w:rsidRPr="0071334B">
        <w:t>beendet.</w:t>
      </w:r>
    </w:p>
    <w:p w:rsidR="00B36F8F" w:rsidRDefault="00422AD2" w:rsidP="00B36F8F">
      <w:pPr>
        <w:pStyle w:val="Text"/>
        <w:rPr>
          <w:color w:val="000000" w:themeColor="text1"/>
        </w:rPr>
      </w:pPr>
      <w:r>
        <w:t xml:space="preserve">In Zeile </w:t>
      </w:r>
      <w:r w:rsidR="00370DD2">
        <w:t>3</w:t>
      </w:r>
      <w:r w:rsidR="00654363">
        <w:t>8</w:t>
      </w:r>
      <w:r w:rsidR="00B36F8F">
        <w:t xml:space="preserve"> werden </w:t>
      </w:r>
      <w:r>
        <w:t xml:space="preserve">die </w:t>
      </w:r>
      <w:r w:rsidR="00437F43" w:rsidRPr="00AB6B08">
        <w:rPr>
          <w:i/>
          <w:color w:val="000000" w:themeColor="text1"/>
        </w:rPr>
        <w:t>S</w:t>
      </w:r>
      <w:r w:rsidR="00A109A6">
        <w:rPr>
          <w:i/>
          <w:color w:val="000000" w:themeColor="text1"/>
        </w:rPr>
        <w:t>o</w:t>
      </w:r>
      <w:r w:rsidR="00437F43" w:rsidRPr="00437F43">
        <w:rPr>
          <w:color w:val="000000" w:themeColor="text1"/>
          <w:vertAlign w:val="subscript"/>
        </w:rPr>
        <w:t>1</w:t>
      </w:r>
      <w:r w:rsidR="00437F43">
        <w:t xml:space="preserve"> bis </w:t>
      </w:r>
      <w:r w:rsidR="00437F43" w:rsidRPr="00AB6B08">
        <w:rPr>
          <w:i/>
          <w:color w:val="000000" w:themeColor="text1"/>
        </w:rPr>
        <w:t>S</w:t>
      </w:r>
      <w:r w:rsidR="00A109A6">
        <w:rPr>
          <w:i/>
          <w:color w:val="000000" w:themeColor="text1"/>
        </w:rPr>
        <w:t>o</w:t>
      </w:r>
      <w:r w:rsidR="00515495">
        <w:rPr>
          <w:i/>
          <w:color w:val="000000" w:themeColor="text1"/>
          <w:vertAlign w:val="subscript"/>
        </w:rPr>
        <w:t>|So|</w:t>
      </w:r>
      <w:r w:rsidR="00515495">
        <w:t xml:space="preserve"> </w:t>
      </w:r>
      <w:r w:rsidR="00437F43">
        <w:t xml:space="preserve">in </w:t>
      </w:r>
      <w:r w:rsidR="00370DD2">
        <w:t xml:space="preserve">die </w:t>
      </w:r>
      <w:r w:rsidR="00437F43">
        <w:t>einzelne</w:t>
      </w:r>
      <w:r w:rsidR="00370DD2">
        <w:t>n</w:t>
      </w:r>
      <w:r w:rsidR="00437F43">
        <w:t xml:space="preserve"> </w:t>
      </w:r>
      <w:r w:rsidR="008F4516">
        <w:t>Komponenten</w:t>
      </w:r>
      <w:r w:rsidR="00437F43">
        <w:t xml:space="preserve"> der </w:t>
      </w:r>
      <w:r w:rsidR="008F4516">
        <w:t>Tupelv</w:t>
      </w:r>
      <w:r w:rsidR="00437F43">
        <w:t xml:space="preserve">ariable </w:t>
      </w:r>
      <w:r w:rsidR="00B36F8F" w:rsidRPr="00B36F8F">
        <w:rPr>
          <w:i/>
          <w:color w:val="000000" w:themeColor="text1"/>
        </w:rPr>
        <w:t>I</w:t>
      </w:r>
      <w:r w:rsidR="00B36F8F">
        <w:rPr>
          <w:color w:val="000000" w:themeColor="text1"/>
        </w:rPr>
        <w:t xml:space="preserve"> gespeichert. </w:t>
      </w:r>
      <w:r w:rsidR="00437F43">
        <w:rPr>
          <w:color w:val="000000" w:themeColor="text1"/>
        </w:rPr>
        <w:t xml:space="preserve">Die Variable wird </w:t>
      </w:r>
      <w:r w:rsidR="008F4516">
        <w:rPr>
          <w:color w:val="000000" w:themeColor="text1"/>
        </w:rPr>
        <w:t>dabei</w:t>
      </w:r>
      <w:r w:rsidR="000A21CC">
        <w:rPr>
          <w:color w:val="000000" w:themeColor="text1"/>
        </w:rPr>
        <w:t xml:space="preserve"> </w:t>
      </w:r>
      <w:r w:rsidR="00437F43">
        <w:rPr>
          <w:color w:val="000000" w:themeColor="text1"/>
        </w:rPr>
        <w:t>als |</w:t>
      </w:r>
      <w:r w:rsidR="00437F43" w:rsidRPr="00437F43">
        <w:rPr>
          <w:i/>
          <w:color w:val="000000" w:themeColor="text1"/>
        </w:rPr>
        <w:t>S</w:t>
      </w:r>
      <w:r w:rsidR="00643AA4">
        <w:rPr>
          <w:i/>
          <w:color w:val="000000" w:themeColor="text1"/>
        </w:rPr>
        <w:t>o</w:t>
      </w:r>
      <w:r w:rsidR="00437F43">
        <w:rPr>
          <w:color w:val="000000" w:themeColor="text1"/>
        </w:rPr>
        <w:t>|-</w:t>
      </w:r>
      <w:r w:rsidR="00370DD2">
        <w:rPr>
          <w:color w:val="000000" w:themeColor="text1"/>
        </w:rPr>
        <w:t xml:space="preserve">Tupel </w:t>
      </w:r>
      <w:r w:rsidR="00437F43">
        <w:rPr>
          <w:color w:val="000000" w:themeColor="text1"/>
        </w:rPr>
        <w:t xml:space="preserve">definiert, </w:t>
      </w:r>
      <w:r w:rsidR="00437F43">
        <w:rPr>
          <w:color w:val="000000" w:themeColor="text1"/>
        </w:rPr>
        <w:lastRenderedPageBreak/>
        <w:t xml:space="preserve">also als </w:t>
      </w:r>
      <w:r w:rsidR="00370DD2">
        <w:rPr>
          <w:color w:val="000000" w:themeColor="text1"/>
        </w:rPr>
        <w:t xml:space="preserve">Tupel mit einer Anzahl an </w:t>
      </w:r>
      <w:r w:rsidR="008F4516">
        <w:rPr>
          <w:color w:val="000000" w:themeColor="text1"/>
        </w:rPr>
        <w:t>Komponenten</w:t>
      </w:r>
      <w:r w:rsidR="00370DD2">
        <w:rPr>
          <w:color w:val="000000" w:themeColor="text1"/>
        </w:rPr>
        <w:t xml:space="preserve">, die </w:t>
      </w:r>
      <w:r w:rsidR="00437F43">
        <w:rPr>
          <w:color w:val="000000" w:themeColor="text1"/>
        </w:rPr>
        <w:t xml:space="preserve">der Anzahl </w:t>
      </w:r>
      <w:r w:rsidR="00370DD2">
        <w:rPr>
          <w:color w:val="000000" w:themeColor="text1"/>
        </w:rPr>
        <w:t xml:space="preserve">der Sorten der Ergebnisse in </w:t>
      </w:r>
      <w:r w:rsidR="00437F43" w:rsidRPr="00437F43">
        <w:rPr>
          <w:i/>
          <w:color w:val="000000" w:themeColor="text1"/>
        </w:rPr>
        <w:t>E</w:t>
      </w:r>
      <w:r w:rsidR="00196215">
        <w:rPr>
          <w:i/>
          <w:color w:val="000000" w:themeColor="text1"/>
        </w:rPr>
        <w:t>r</w:t>
      </w:r>
      <w:r w:rsidR="00437F43">
        <w:rPr>
          <w:color w:val="000000" w:themeColor="text1"/>
        </w:rPr>
        <w:t xml:space="preserve"> </w:t>
      </w:r>
      <w:r w:rsidR="00370DD2">
        <w:rPr>
          <w:color w:val="000000" w:themeColor="text1"/>
        </w:rPr>
        <w:t>entspricht</w:t>
      </w:r>
      <w:r w:rsidR="00437F43">
        <w:rPr>
          <w:color w:val="000000" w:themeColor="text1"/>
        </w:rPr>
        <w:t>.</w:t>
      </w:r>
      <w:r w:rsidR="001E28FD">
        <w:rPr>
          <w:color w:val="000000" w:themeColor="text1"/>
        </w:rPr>
        <w:t xml:space="preserve"> </w:t>
      </w:r>
      <w:r w:rsidR="001E28FD" w:rsidRPr="00B36F8F">
        <w:rPr>
          <w:i/>
          <w:color w:val="000000" w:themeColor="text1"/>
        </w:rPr>
        <w:t>I</w:t>
      </w:r>
      <w:r w:rsidR="001E28FD">
        <w:rPr>
          <w:color w:val="000000" w:themeColor="text1"/>
        </w:rPr>
        <w:t xml:space="preserve"> enthält </w:t>
      </w:r>
      <w:r w:rsidR="000A21CC">
        <w:rPr>
          <w:color w:val="000000" w:themeColor="text1"/>
        </w:rPr>
        <w:t xml:space="preserve">somit </w:t>
      </w:r>
      <w:r w:rsidR="001E28FD">
        <w:rPr>
          <w:color w:val="000000" w:themeColor="text1"/>
        </w:rPr>
        <w:t>die Interpretationsergebnisse nach Sorten geordnet.</w:t>
      </w:r>
    </w:p>
    <w:p w:rsidR="00BB0411" w:rsidRDefault="00BB0411" w:rsidP="00BB0411">
      <w:pPr>
        <w:pStyle w:val="Text"/>
      </w:pPr>
      <w:r>
        <w:t xml:space="preserve">In Zeile </w:t>
      </w:r>
      <w:r w:rsidR="00654363">
        <w:t>39</w:t>
      </w:r>
      <w:r>
        <w:t xml:space="preserve"> wird </w:t>
      </w:r>
      <w:r>
        <w:rPr>
          <w:i/>
          <w:iCs/>
        </w:rPr>
        <w:t>I</w:t>
      </w:r>
      <w:r>
        <w:t xml:space="preserve"> zurückgegeben.</w:t>
      </w:r>
    </w:p>
    <w:p w:rsidR="00BB0411" w:rsidRDefault="00BB0411" w:rsidP="00BB0411">
      <w:pPr>
        <w:pStyle w:val="Text"/>
      </w:pPr>
      <w:r>
        <w:t xml:space="preserve">In Zeile </w:t>
      </w:r>
      <w:r w:rsidR="00370DD2">
        <w:t>4</w:t>
      </w:r>
      <w:r w:rsidR="00654363">
        <w:t>0</w:t>
      </w:r>
      <w:r>
        <w:t xml:space="preserve"> wird die Funktion beendet.</w:t>
      </w:r>
    </w:p>
    <w:p w:rsidR="006F3868" w:rsidRPr="004C7C7A" w:rsidRDefault="0050610D" w:rsidP="00763790">
      <w:pPr>
        <w:pStyle w:val="Zwischenberschrift"/>
      </w:pPr>
      <w:r>
        <w:t>Variante</w:t>
      </w:r>
    </w:p>
    <w:p w:rsidR="009B3F06" w:rsidRDefault="004C7C7A" w:rsidP="00AB20AF">
      <w:pPr>
        <w:pStyle w:val="Text"/>
        <w:ind w:firstLine="0"/>
      </w:pPr>
      <w:r>
        <w:t xml:space="preserve">Eine </w:t>
      </w:r>
      <w:r w:rsidR="00451BE4">
        <w:t xml:space="preserve">einfachere und </w:t>
      </w:r>
      <w:r w:rsidR="00B04998">
        <w:t>kürzere</w:t>
      </w:r>
      <w:r>
        <w:t xml:space="preserve"> Darstellung </w:t>
      </w:r>
      <w:r w:rsidR="00451BE4">
        <w:t>ist möglich</w:t>
      </w:r>
      <w:r>
        <w:t xml:space="preserve">, wenn auf die </w:t>
      </w:r>
      <w:r w:rsidR="002C5AF8">
        <w:t xml:space="preserve">Bildung der </w:t>
      </w:r>
      <w:r>
        <w:t xml:space="preserve">Sortenmenge </w:t>
      </w:r>
      <w:r w:rsidRPr="004C7C7A">
        <w:rPr>
          <w:i/>
        </w:rPr>
        <w:t>S</w:t>
      </w:r>
      <w:r w:rsidR="00643AA4">
        <w:rPr>
          <w:i/>
        </w:rPr>
        <w:t>o</w:t>
      </w:r>
      <w:r>
        <w:t xml:space="preserve"> </w:t>
      </w:r>
      <w:r w:rsidR="00891E78">
        <w:t>(Zeile</w:t>
      </w:r>
      <w:r w:rsidR="002A1425">
        <w:t> </w:t>
      </w:r>
      <w:r w:rsidR="000A21CC">
        <w:t>3</w:t>
      </w:r>
      <w:r w:rsidR="00654363">
        <w:t>2</w:t>
      </w:r>
      <w:r w:rsidR="00451BE4">
        <w:t>-</w:t>
      </w:r>
      <w:r w:rsidR="000A21CC">
        <w:t>3</w:t>
      </w:r>
      <w:r w:rsidR="00654363">
        <w:t>4</w:t>
      </w:r>
      <w:r w:rsidR="00451BE4">
        <w:t>) verzichtet</w:t>
      </w:r>
      <w:r>
        <w:t xml:space="preserve"> und </w:t>
      </w:r>
      <w:r w:rsidR="005941BF">
        <w:t xml:space="preserve">nur von Ergebnissen der Sorten </w:t>
      </w:r>
      <w:r w:rsidR="00195DF6">
        <w:t xml:space="preserve">p, g und e </w:t>
      </w:r>
      <w:r w:rsidR="00026ECA">
        <w:t>ausgegangen wird;</w:t>
      </w:r>
      <w:r w:rsidR="005941BF">
        <w:t xml:space="preserve"> </w:t>
      </w:r>
      <w:r>
        <w:t>statt die Sortenmenge abzuarbeiten</w:t>
      </w:r>
      <w:r w:rsidR="00891E78">
        <w:t xml:space="preserve"> (Zeile </w:t>
      </w:r>
      <w:r w:rsidR="000A21CC">
        <w:t>3</w:t>
      </w:r>
      <w:r w:rsidR="00654363">
        <w:t>5</w:t>
      </w:r>
      <w:r w:rsidR="000A21CC">
        <w:t>-3</w:t>
      </w:r>
      <w:r w:rsidR="00654363">
        <w:t>7</w:t>
      </w:r>
      <w:r w:rsidR="00451BE4">
        <w:t>)</w:t>
      </w:r>
      <w:r w:rsidR="00026ECA">
        <w:t>, können nacheinander die Klassen für die drei Sorten gebildet und in die Varia</w:t>
      </w:r>
      <w:r w:rsidR="00026ECA">
        <w:t>b</w:t>
      </w:r>
      <w:r w:rsidR="00026ECA">
        <w:t xml:space="preserve">len </w:t>
      </w:r>
      <m:oMath>
        <m:sSup>
          <m:sSupPr>
            <m:ctrlPr>
              <w:rPr>
                <w:rFonts w:ascii="Cambria Math" w:hAnsi="Cambria Math"/>
                <w:i/>
              </w:rPr>
            </m:ctrlPr>
          </m:sSupPr>
          <m:e>
            <m:r>
              <m:rPr>
                <m:nor/>
              </m:rPr>
              <w:rPr>
                <w:rFonts w:cs="Times New Roman"/>
                <w:i/>
              </w:rPr>
              <m:t>Er</m:t>
            </m:r>
          </m:e>
          <m:sup>
            <m:r>
              <m:rPr>
                <m:nor/>
              </m:rPr>
              <w:rPr>
                <w:rFonts w:cs="Times New Roman"/>
                <w:i/>
              </w:rPr>
              <m:t xml:space="preserve"> p</m:t>
            </m:r>
          </m:sup>
        </m:sSup>
      </m:oMath>
      <w:r w:rsidR="00026ECA">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g</m:t>
            </m:r>
          </m:sup>
        </m:sSup>
      </m:oMath>
      <w:r w:rsidR="00026ECA">
        <w:rPr>
          <w:color w:val="000000" w:themeColor="text1"/>
          <w:position w:val="-14"/>
        </w:rPr>
        <w:t xml:space="preserve"> </w:t>
      </w:r>
      <w:r w:rsidR="00026ECA">
        <w:rPr>
          <w:color w:val="000000" w:themeColor="text1"/>
        </w:rPr>
        <w:t>und</w:t>
      </w:r>
      <w:r w:rsidR="00026ECA" w:rsidRPr="004C7C7A">
        <w:rPr>
          <w:color w:val="000000" w:themeColor="text1"/>
        </w:rP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e</m:t>
            </m:r>
          </m:sup>
        </m:sSup>
      </m:oMath>
      <w:r w:rsidR="00026ECA">
        <w:t xml:space="preserve"> gespeichert werden</w:t>
      </w:r>
      <w:r w:rsidR="00451BE4">
        <w:t>. Zwei for-Schleifen können wegfallen.</w:t>
      </w:r>
    </w:p>
    <w:p w:rsidR="0050610D" w:rsidRPr="00944E18" w:rsidRDefault="0050610D" w:rsidP="00AB20AF">
      <w:pPr>
        <w:pStyle w:val="Text"/>
        <w:spacing w:before="240"/>
        <w:ind w:firstLine="0"/>
        <w:jc w:val="left"/>
        <w:rPr>
          <w:color w:val="000000" w:themeColor="text1"/>
        </w:rPr>
      </w:pPr>
      <w: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p</m:t>
            </m:r>
          </m:sup>
        </m:sSup>
      </m:oMath>
      <w:r w:rsidRPr="004C7C7A">
        <w:rPr>
          <w:color w:val="000000" w:themeColor="text1"/>
        </w:rPr>
        <w:t xml:space="preserve"> := {</w:t>
      </w:r>
      <w:r w:rsidRPr="004C7C7A">
        <w:rPr>
          <w:i/>
          <w:color w:val="000000" w:themeColor="text1"/>
        </w:rPr>
        <w:t>x</w:t>
      </w:r>
      <w:r w:rsidRPr="004C7C7A">
        <w:rPr>
          <w:color w:val="000000" w:themeColor="text1"/>
        </w:rPr>
        <w:t xml:space="preserve"> </w:t>
      </w:r>
      <w:r w:rsidR="00E235A0" w:rsidRPr="00E235A0">
        <w:rPr>
          <w:rFonts w:ascii="Cambria Math" w:eastAsia="Arial Unicode MS" w:hAnsi="Cambria Math" w:cs="Arial Unicode MS"/>
          <w:color w:val="000000" w:themeColor="text1"/>
        </w:rPr>
        <w:t>∊</w:t>
      </w:r>
      <w:r w:rsidRPr="004C7C7A">
        <w:rPr>
          <w:color w:val="000000" w:themeColor="text1"/>
        </w:rPr>
        <w:t xml:space="preserve"> </w:t>
      </w:r>
      <w:r w:rsidRPr="004C7C7A">
        <w:rPr>
          <w:i/>
          <w:color w:val="000000" w:themeColor="text1"/>
        </w:rPr>
        <w:t>E</w:t>
      </w:r>
      <w:r w:rsidRPr="004C7C7A">
        <w:rPr>
          <w:color w:val="000000" w:themeColor="text1"/>
        </w:rPr>
        <w:t xml:space="preserve"> | Sorte (</w:t>
      </w:r>
      <w:r w:rsidRPr="004C7C7A">
        <w:rPr>
          <w:i/>
          <w:color w:val="000000" w:themeColor="text1"/>
        </w:rPr>
        <w:t>x</w:t>
      </w:r>
      <w:r w:rsidRPr="004C7C7A">
        <w:rPr>
          <w:color w:val="000000" w:themeColor="text1"/>
        </w:rPr>
        <w:t xml:space="preserve">) = </w:t>
      </w:r>
      <w:r w:rsidR="00944E18" w:rsidRPr="0021789B">
        <w:rPr>
          <w:color w:val="000000" w:themeColor="text1"/>
        </w:rPr>
        <w:t>“</w:t>
      </w:r>
      <w:r w:rsidR="00944E18">
        <w:rPr>
          <w:color w:val="000000" w:themeColor="text1"/>
        </w:rPr>
        <w:t>p</w:t>
      </w:r>
      <w:r w:rsidR="00944E18" w:rsidRPr="00C06F76">
        <w:rPr>
          <w:color w:val="000000" w:themeColor="text1"/>
        </w:rPr>
        <w:t>”</w:t>
      </w:r>
      <w:r w:rsidRPr="004C7C7A">
        <w:rPr>
          <w:color w:val="000000" w:themeColor="text1"/>
        </w:rPr>
        <w:t>}</w:t>
      </w:r>
    </w:p>
    <w:p w:rsidR="0050610D" w:rsidRDefault="0050610D" w:rsidP="007103E7">
      <w:pPr>
        <w:pStyle w:val="Text"/>
        <w:ind w:firstLine="0"/>
        <w:jc w:val="left"/>
        <w:rPr>
          <w:color w:val="000000" w:themeColor="text1"/>
        </w:rPr>
      </w:pPr>
      <w:r w:rsidRPr="004C7C7A">
        <w:rPr>
          <w:color w:val="000000" w:themeColor="text1"/>
        </w:rP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g</m:t>
            </m:r>
          </m:sup>
        </m:sSup>
      </m:oMath>
      <w:r w:rsidRPr="00070E6F">
        <w:rPr>
          <w:color w:val="000000" w:themeColor="text1"/>
        </w:rPr>
        <w:t xml:space="preserve"> := {</w:t>
      </w:r>
      <w:r w:rsidRPr="00070E6F">
        <w:rPr>
          <w:i/>
          <w:color w:val="000000" w:themeColor="text1"/>
        </w:rPr>
        <w:t>x</w:t>
      </w:r>
      <w:r w:rsidRPr="00070E6F">
        <w:rPr>
          <w:color w:val="000000" w:themeColor="text1"/>
        </w:rPr>
        <w:t xml:space="preserve"> </w:t>
      </w:r>
      <w:r w:rsidR="00E235A0" w:rsidRPr="00E235A0">
        <w:rPr>
          <w:rFonts w:ascii="Cambria Math" w:eastAsia="Arial Unicode MS" w:hAnsi="Cambria Math" w:cs="Arial Unicode MS"/>
          <w:color w:val="000000" w:themeColor="text1"/>
        </w:rPr>
        <w:t>∊</w:t>
      </w:r>
      <w:r w:rsidRPr="00070E6F">
        <w:rPr>
          <w:color w:val="000000" w:themeColor="text1"/>
        </w:rPr>
        <w:t xml:space="preserve"> </w:t>
      </w:r>
      <w:r w:rsidRPr="00070E6F">
        <w:rPr>
          <w:i/>
          <w:color w:val="000000" w:themeColor="text1"/>
        </w:rPr>
        <w:t>E</w:t>
      </w:r>
      <w:r w:rsidRPr="00070E6F">
        <w:rPr>
          <w:color w:val="000000" w:themeColor="text1"/>
        </w:rPr>
        <w:t xml:space="preserve"> | Sorte (</w:t>
      </w:r>
      <w:r w:rsidRPr="00070E6F">
        <w:rPr>
          <w:i/>
          <w:color w:val="000000" w:themeColor="text1"/>
        </w:rPr>
        <w:t>x</w:t>
      </w:r>
      <w:r w:rsidRPr="00070E6F">
        <w:rPr>
          <w:color w:val="000000" w:themeColor="text1"/>
        </w:rPr>
        <w:t xml:space="preserve">) = </w:t>
      </w:r>
      <w:r w:rsidR="00944E18" w:rsidRPr="0021789B">
        <w:rPr>
          <w:color w:val="000000" w:themeColor="text1"/>
        </w:rPr>
        <w:t>“</w:t>
      </w:r>
      <w:r w:rsidR="00944E18">
        <w:rPr>
          <w:color w:val="000000" w:themeColor="text1"/>
        </w:rPr>
        <w:t>g</w:t>
      </w:r>
      <w:r w:rsidR="00944E18" w:rsidRPr="00C06F76">
        <w:rPr>
          <w:color w:val="000000" w:themeColor="text1"/>
        </w:rPr>
        <w:t>”</w:t>
      </w:r>
      <w:r w:rsidRPr="00070E6F">
        <w:rPr>
          <w:color w:val="000000" w:themeColor="text1"/>
        </w:rPr>
        <w:t>}</w:t>
      </w:r>
    </w:p>
    <w:p w:rsidR="00654363" w:rsidRPr="00070E6F" w:rsidRDefault="00243290" w:rsidP="007103E7">
      <w:pPr>
        <w:pStyle w:val="Text"/>
        <w:ind w:firstLine="0"/>
        <w:jc w:val="left"/>
        <w:rPr>
          <w:color w:val="000000" w:themeColor="text1"/>
        </w:rPr>
      </w:pPr>
      <w:r>
        <w:rPr>
          <w:color w:val="000000" w:themeColor="text1"/>
        </w:rP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e</m:t>
            </m:r>
          </m:sup>
        </m:sSup>
      </m:oMath>
      <w:r w:rsidR="00654363" w:rsidRPr="00070E6F">
        <w:rPr>
          <w:color w:val="000000" w:themeColor="text1"/>
        </w:rPr>
        <w:t xml:space="preserve"> := {</w:t>
      </w:r>
      <w:r w:rsidR="00654363" w:rsidRPr="00070E6F">
        <w:rPr>
          <w:i/>
          <w:color w:val="000000" w:themeColor="text1"/>
        </w:rPr>
        <w:t>x</w:t>
      </w:r>
      <w:r w:rsidR="00654363" w:rsidRPr="00070E6F">
        <w:rPr>
          <w:color w:val="000000" w:themeColor="text1"/>
        </w:rPr>
        <w:t xml:space="preserve"> </w:t>
      </w:r>
      <w:r w:rsidR="00E235A0" w:rsidRPr="00E235A0">
        <w:rPr>
          <w:rFonts w:ascii="Cambria Math" w:eastAsia="Arial Unicode MS" w:hAnsi="Cambria Math" w:cs="Arial Unicode MS"/>
          <w:color w:val="000000" w:themeColor="text1"/>
        </w:rPr>
        <w:t>∊</w:t>
      </w:r>
      <w:r w:rsidR="00654363" w:rsidRPr="00070E6F">
        <w:rPr>
          <w:color w:val="000000" w:themeColor="text1"/>
        </w:rPr>
        <w:t xml:space="preserve"> </w:t>
      </w:r>
      <w:r w:rsidR="00654363" w:rsidRPr="00070E6F">
        <w:rPr>
          <w:i/>
          <w:color w:val="000000" w:themeColor="text1"/>
        </w:rPr>
        <w:t>E</w:t>
      </w:r>
      <w:r w:rsidR="00654363" w:rsidRPr="00070E6F">
        <w:rPr>
          <w:color w:val="000000" w:themeColor="text1"/>
        </w:rPr>
        <w:t xml:space="preserve"> | Sorte (</w:t>
      </w:r>
      <w:r w:rsidR="00654363" w:rsidRPr="00070E6F">
        <w:rPr>
          <w:i/>
          <w:color w:val="000000" w:themeColor="text1"/>
        </w:rPr>
        <w:t>x</w:t>
      </w:r>
      <w:r w:rsidR="00654363" w:rsidRPr="00070E6F">
        <w:rPr>
          <w:color w:val="000000" w:themeColor="text1"/>
        </w:rPr>
        <w:t xml:space="preserve">) = </w:t>
      </w:r>
      <w:r w:rsidR="00944E18" w:rsidRPr="0021789B">
        <w:rPr>
          <w:color w:val="000000" w:themeColor="text1"/>
        </w:rPr>
        <w:t>“</w:t>
      </w:r>
      <w:r w:rsidR="00944E18">
        <w:rPr>
          <w:color w:val="000000" w:themeColor="text1"/>
        </w:rPr>
        <w:t>e</w:t>
      </w:r>
      <w:r w:rsidR="00944E18" w:rsidRPr="00C06F76">
        <w:rPr>
          <w:color w:val="000000" w:themeColor="text1"/>
        </w:rPr>
        <w:t>”</w:t>
      </w:r>
      <w:r w:rsidR="00654363" w:rsidRPr="00070E6F">
        <w:rPr>
          <w:color w:val="000000" w:themeColor="text1"/>
        </w:rPr>
        <w:t>}</w:t>
      </w:r>
    </w:p>
    <w:p w:rsidR="004C7C7A" w:rsidRPr="004C7C7A" w:rsidRDefault="000A21CC" w:rsidP="0060435C">
      <w:pPr>
        <w:pStyle w:val="Text"/>
        <w:ind w:hanging="369"/>
        <w:jc w:val="left"/>
        <w:rPr>
          <w:color w:val="000000" w:themeColor="text1"/>
        </w:rPr>
      </w:pPr>
      <w:r w:rsidRPr="007103E7">
        <w:rPr>
          <w:sz w:val="16"/>
          <w:szCs w:val="16"/>
        </w:rPr>
        <w:t>3</w:t>
      </w:r>
      <w:r w:rsidR="004C7C7A" w:rsidRPr="007103E7">
        <w:rPr>
          <w:sz w:val="16"/>
          <w:szCs w:val="16"/>
        </w:rPr>
        <w:t>5</w:t>
      </w:r>
      <w:r w:rsidR="004C7C7A" w:rsidRPr="004C7C7A">
        <w:tab/>
      </w:r>
      <w:r w:rsidR="00654363" w:rsidRPr="00070E6F">
        <w:rPr>
          <w:color w:val="000000" w:themeColor="text1"/>
        </w:rPr>
        <w:t xml:space="preserve">   </w:t>
      </w:r>
      <w:r w:rsidR="00654363" w:rsidRPr="002C5AF8">
        <w:rPr>
          <w:i/>
          <w:color w:val="000000" w:themeColor="text1"/>
        </w:rPr>
        <w:t>I</w:t>
      </w:r>
      <w:r w:rsidR="00654363" w:rsidRPr="002C5AF8">
        <w:rPr>
          <w:color w:val="000000" w:themeColor="text1"/>
        </w:rPr>
        <w:t xml:space="preserve"> := &lt;</w:t>
      </w:r>
      <m:oMath>
        <m:sSup>
          <m:sSupPr>
            <m:ctrlPr>
              <w:rPr>
                <w:rFonts w:ascii="Cambria Math" w:hAnsi="Cambria Math"/>
                <w:i/>
              </w:rPr>
            </m:ctrlPr>
          </m:sSupPr>
          <m:e>
            <m:r>
              <m:rPr>
                <m:nor/>
              </m:rPr>
              <w:rPr>
                <w:rFonts w:cs="Times New Roman"/>
                <w:i/>
              </w:rPr>
              <m:t>Er</m:t>
            </m:r>
          </m:e>
          <m:sup>
            <m:r>
              <m:rPr>
                <m:nor/>
              </m:rPr>
              <w:rPr>
                <w:rFonts w:cs="Times New Roman"/>
                <w:i/>
              </w:rPr>
              <m:t xml:space="preserve"> p</m:t>
            </m:r>
          </m:sup>
        </m:sSup>
      </m:oMath>
      <w:r w:rsidR="00DD6502">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g</m:t>
            </m:r>
          </m:sup>
        </m:sSup>
      </m:oMath>
      <w:r w:rsidR="00DD6502">
        <w:rPr>
          <w:color w:val="000000" w:themeColor="text1"/>
        </w:rPr>
        <w:t>,</w:t>
      </w:r>
      <w:r w:rsidR="00DD6502" w:rsidRPr="004C7C7A">
        <w:rPr>
          <w:color w:val="000000" w:themeColor="text1"/>
        </w:rP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e</m:t>
            </m:r>
          </m:sup>
        </m:sSup>
      </m:oMath>
      <w:r w:rsidR="00654363" w:rsidRPr="002C5AF8">
        <w:rPr>
          <w:color w:val="000000" w:themeColor="text1"/>
        </w:rPr>
        <w:t>&gt;</w:t>
      </w:r>
    </w:p>
    <w:p w:rsidR="004C7C7A" w:rsidRPr="002C5AF8" w:rsidRDefault="004C7C7A" w:rsidP="007103E7">
      <w:pPr>
        <w:pStyle w:val="Text"/>
        <w:ind w:firstLine="0"/>
        <w:jc w:val="left"/>
        <w:rPr>
          <w:color w:val="000000" w:themeColor="text1"/>
        </w:rPr>
      </w:pPr>
      <w:r w:rsidRPr="002C5AF8">
        <w:rPr>
          <w:color w:val="000000" w:themeColor="text1"/>
        </w:rPr>
        <w:t xml:space="preserve">   return </w:t>
      </w:r>
      <w:r w:rsidRPr="002C5AF8">
        <w:rPr>
          <w:i/>
          <w:color w:val="000000" w:themeColor="text1"/>
        </w:rPr>
        <w:t>I</w:t>
      </w:r>
    </w:p>
    <w:p w:rsidR="004C7C7A" w:rsidRDefault="0050610D" w:rsidP="007103E7">
      <w:pPr>
        <w:pStyle w:val="Text"/>
        <w:ind w:firstLine="0"/>
        <w:jc w:val="left"/>
      </w:pPr>
      <w:r>
        <w:t>end function</w:t>
      </w:r>
    </w:p>
    <w:p w:rsidR="00DB0613" w:rsidRDefault="002C5AF8" w:rsidP="00AB20AF">
      <w:pPr>
        <w:pStyle w:val="Text"/>
        <w:spacing w:before="240"/>
        <w:ind w:firstLine="0"/>
      </w:pPr>
      <w:r>
        <w:t>Diese Variante hat allerdings den Nachteil, weniger flexibel zu sein: Wenn neue Sorten hinzukommen sollen, muss der 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t xml:space="preserve"> verändert werden, während sie in der allgemeinen Variante bei der Bildung der Sortenmenge automatisch erfasst werden.</w:t>
      </w:r>
    </w:p>
    <w:p w:rsidR="0050610D" w:rsidRPr="0050610D" w:rsidRDefault="00F676C8" w:rsidP="00AB20AF">
      <w:pPr>
        <w:pStyle w:val="Zwischenberschrift"/>
      </w:pPr>
      <w:r>
        <w:t xml:space="preserve">Erläuterung </w:t>
      </w:r>
      <w:r w:rsidR="006854B2">
        <w:t>der</w:t>
      </w:r>
      <w:r>
        <w:t xml:space="preserve"> Variante</w:t>
      </w:r>
    </w:p>
    <w:p w:rsidR="0050610D" w:rsidRDefault="0050610D" w:rsidP="00AB20AF">
      <w:pPr>
        <w:pStyle w:val="Text"/>
        <w:ind w:firstLine="0"/>
      </w:pPr>
      <w:r>
        <w:t xml:space="preserve">In Zeile </w:t>
      </w:r>
      <w:r w:rsidR="000A21CC">
        <w:t>3</w:t>
      </w:r>
      <w:r w:rsidR="00654363">
        <w:t>2</w:t>
      </w:r>
      <w:r>
        <w:t xml:space="preserve"> wird die Klasse aller Ergebnisse, die der Sorte </w:t>
      </w:r>
      <w:r w:rsidRPr="006F3868">
        <w:rPr>
          <w:i/>
        </w:rPr>
        <w:t>p</w:t>
      </w:r>
      <w:r>
        <w:t xml:space="preserve"> (Proposition</w:t>
      </w:r>
      <w:r w:rsidR="00FC3D1C">
        <w:t>sanna</w:t>
      </w:r>
      <w:r w:rsidR="00FC3D1C">
        <w:t>h</w:t>
      </w:r>
      <w:r w:rsidR="00FC3D1C">
        <w:t>me</w:t>
      </w:r>
      <w:r>
        <w:t xml:space="preserve">) angehören, gebildet und in die Variable </w:t>
      </w:r>
      <m:oMath>
        <m:sSup>
          <m:sSupPr>
            <m:ctrlPr>
              <w:rPr>
                <w:rFonts w:ascii="Cambria Math" w:hAnsi="Cambria Math"/>
                <w:i/>
              </w:rPr>
            </m:ctrlPr>
          </m:sSupPr>
          <m:e>
            <m:r>
              <m:rPr>
                <m:nor/>
              </m:rPr>
              <w:rPr>
                <w:rFonts w:cs="Times New Roman"/>
                <w:i/>
              </w:rPr>
              <m:t>Er</m:t>
            </m:r>
          </m:e>
          <m:sup>
            <m:r>
              <m:rPr>
                <m:nor/>
              </m:rPr>
              <w:rPr>
                <w:rFonts w:cs="Times New Roman"/>
                <w:i/>
              </w:rPr>
              <m:t xml:space="preserve"> p</m:t>
            </m:r>
          </m:sup>
        </m:sSup>
      </m:oMath>
      <w:r>
        <w:t xml:space="preserve"> gespeichert.</w:t>
      </w:r>
    </w:p>
    <w:p w:rsidR="0050610D" w:rsidRDefault="0050610D" w:rsidP="0050610D">
      <w:pPr>
        <w:pStyle w:val="Text"/>
      </w:pPr>
      <w:r>
        <w:t xml:space="preserve">In Zeile </w:t>
      </w:r>
      <w:r w:rsidR="000A21CC">
        <w:t>3</w:t>
      </w:r>
      <w:r w:rsidR="00654363">
        <w:t>3</w:t>
      </w:r>
      <w:r>
        <w:t xml:space="preserve"> wird die Klasse aller Ergebnisse, die der Sorte </w:t>
      </w:r>
      <w:r>
        <w:rPr>
          <w:i/>
          <w:color w:val="000000" w:themeColor="text1"/>
        </w:rPr>
        <w:t>g</w:t>
      </w:r>
      <w:r>
        <w:t xml:space="preserve"> (Gefühl) ang</w:t>
      </w:r>
      <w:r>
        <w:t>e</w:t>
      </w:r>
      <w:r>
        <w:t xml:space="preserve">hören, gebildet und in die Variable </w:t>
      </w:r>
      <m:oMath>
        <m:sSup>
          <m:sSupPr>
            <m:ctrlPr>
              <w:rPr>
                <w:rFonts w:ascii="Cambria Math" w:hAnsi="Cambria Math"/>
                <w:i/>
              </w:rPr>
            </m:ctrlPr>
          </m:sSupPr>
          <m:e>
            <m:r>
              <m:rPr>
                <m:nor/>
              </m:rPr>
              <w:rPr>
                <w:rFonts w:cs="Times New Roman"/>
                <w:i/>
              </w:rPr>
              <m:t>Er</m:t>
            </m:r>
          </m:e>
          <m:sup>
            <m:r>
              <m:rPr>
                <m:nor/>
              </m:rPr>
              <w:rPr>
                <w:rFonts w:cs="Times New Roman"/>
                <w:i/>
              </w:rPr>
              <m:t xml:space="preserve"> g</m:t>
            </m:r>
          </m:sup>
        </m:sSup>
      </m:oMath>
      <w:r>
        <w:t xml:space="preserve"> gespeichert.</w:t>
      </w:r>
    </w:p>
    <w:p w:rsidR="0050610D" w:rsidRDefault="0050610D" w:rsidP="0050610D">
      <w:pPr>
        <w:pStyle w:val="Text"/>
      </w:pPr>
      <w:r>
        <w:t xml:space="preserve">In Zeile </w:t>
      </w:r>
      <w:r w:rsidR="000A21CC">
        <w:t>3</w:t>
      </w:r>
      <w:r w:rsidR="00654363">
        <w:t>4</w:t>
      </w:r>
      <w:r>
        <w:t xml:space="preserve"> wird die Klasse aller Ergebnisse, die der Sorte </w:t>
      </w:r>
      <w:r w:rsidR="002409A0">
        <w:rPr>
          <w:i/>
          <w:color w:val="000000" w:themeColor="text1"/>
        </w:rPr>
        <w:t>e</w:t>
      </w:r>
      <w:r>
        <w:t xml:space="preserve"> (Eindruck) a</w:t>
      </w:r>
      <w:r>
        <w:t>n</w:t>
      </w:r>
      <w:r>
        <w:t xml:space="preserve">gehören, gebildet und in die Variable </w:t>
      </w:r>
      <m:oMath>
        <m:sSup>
          <m:sSupPr>
            <m:ctrlPr>
              <w:rPr>
                <w:rFonts w:ascii="Cambria Math" w:hAnsi="Cambria Math"/>
                <w:i/>
              </w:rPr>
            </m:ctrlPr>
          </m:sSupPr>
          <m:e>
            <m:r>
              <m:rPr>
                <m:nor/>
              </m:rPr>
              <w:rPr>
                <w:rFonts w:cs="Times New Roman"/>
                <w:i/>
              </w:rPr>
              <m:t>Er</m:t>
            </m:r>
          </m:e>
          <m:sup>
            <m:r>
              <m:rPr>
                <m:nor/>
              </m:rPr>
              <w:rPr>
                <w:rFonts w:cs="Times New Roman"/>
                <w:i/>
              </w:rPr>
              <m:t xml:space="preserve"> e</m:t>
            </m:r>
          </m:sup>
        </m:sSup>
      </m:oMath>
      <w:r w:rsidR="00470628">
        <w:t xml:space="preserve"> </w:t>
      </w:r>
      <w:r>
        <w:t>gespeichert.</w:t>
      </w:r>
    </w:p>
    <w:p w:rsidR="0050610D" w:rsidRDefault="0050610D" w:rsidP="0050610D">
      <w:pPr>
        <w:pStyle w:val="Text"/>
        <w:rPr>
          <w:color w:val="000000" w:themeColor="text1"/>
        </w:rPr>
      </w:pPr>
      <w:r>
        <w:t xml:space="preserve">In Zeile </w:t>
      </w:r>
      <w:r w:rsidR="000A21CC">
        <w:t>3</w:t>
      </w:r>
      <w:r w:rsidR="00654363">
        <w:t>5</w:t>
      </w:r>
      <w:r>
        <w:t xml:space="preserve"> werden </w:t>
      </w:r>
      <m:oMath>
        <m:sSup>
          <m:sSupPr>
            <m:ctrlPr>
              <w:rPr>
                <w:rFonts w:ascii="Cambria Math" w:hAnsi="Cambria Math"/>
                <w:i/>
              </w:rPr>
            </m:ctrlPr>
          </m:sSupPr>
          <m:e>
            <m:r>
              <m:rPr>
                <m:nor/>
              </m:rPr>
              <w:rPr>
                <w:rFonts w:cs="Times New Roman"/>
                <w:i/>
              </w:rPr>
              <m:t>Er</m:t>
            </m:r>
          </m:e>
          <m:sup>
            <m:r>
              <m:rPr>
                <m:nor/>
              </m:rPr>
              <w:rPr>
                <w:rFonts w:cs="Times New Roman"/>
                <w:i/>
              </w:rPr>
              <m:t xml:space="preserve"> p</m:t>
            </m:r>
          </m:sup>
        </m:sSup>
      </m:oMath>
      <w:r w:rsidR="00DD6502">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g</m:t>
            </m:r>
          </m:sup>
        </m:sSup>
      </m:oMath>
      <w:r w:rsidR="00DD6502">
        <w:rPr>
          <w:color w:val="000000" w:themeColor="text1"/>
          <w:position w:val="-14"/>
        </w:rPr>
        <w:t xml:space="preserve"> </w:t>
      </w:r>
      <w:r w:rsidR="00DD6502">
        <w:rPr>
          <w:color w:val="000000" w:themeColor="text1"/>
        </w:rPr>
        <w:t>und</w:t>
      </w:r>
      <w:r w:rsidR="00DD6502" w:rsidRPr="004C7C7A">
        <w:rPr>
          <w:color w:val="000000" w:themeColor="text1"/>
        </w:rPr>
        <w:t xml:space="preserve"> </w:t>
      </w:r>
      <m:oMath>
        <m:sSup>
          <m:sSupPr>
            <m:ctrlPr>
              <w:rPr>
                <w:rFonts w:ascii="Cambria Math" w:hAnsi="Cambria Math"/>
                <w:i/>
              </w:rPr>
            </m:ctrlPr>
          </m:sSupPr>
          <m:e>
            <m:r>
              <m:rPr>
                <m:nor/>
              </m:rPr>
              <w:rPr>
                <w:rFonts w:cs="Times New Roman"/>
                <w:i/>
              </w:rPr>
              <m:t>Er</m:t>
            </m:r>
          </m:e>
          <m:sup>
            <m:r>
              <m:rPr>
                <m:nor/>
              </m:rPr>
              <w:rPr>
                <w:rFonts w:cs="Times New Roman"/>
                <w:i/>
              </w:rPr>
              <m:t xml:space="preserve"> e</m:t>
            </m:r>
          </m:sup>
        </m:sSup>
      </m:oMath>
      <w:r w:rsidR="00DD6502">
        <w:t xml:space="preserve"> </w:t>
      </w:r>
      <w:r w:rsidR="00470628">
        <w:rPr>
          <w:color w:val="000000" w:themeColor="text1"/>
        </w:rPr>
        <w:t>i</w:t>
      </w:r>
      <w:r>
        <w:rPr>
          <w:color w:val="000000" w:themeColor="text1"/>
        </w:rPr>
        <w:t xml:space="preserve">n die Tripelvariable </w:t>
      </w:r>
      <w:r w:rsidRPr="00B36F8F">
        <w:rPr>
          <w:i/>
          <w:color w:val="000000" w:themeColor="text1"/>
        </w:rPr>
        <w:t>I</w:t>
      </w:r>
      <w:r>
        <w:rPr>
          <w:color w:val="000000" w:themeColor="text1"/>
        </w:rPr>
        <w:t xml:space="preserve"> gespeichert. </w:t>
      </w:r>
      <w:r w:rsidR="000A21CC" w:rsidRPr="00B36F8F">
        <w:rPr>
          <w:i/>
          <w:color w:val="000000" w:themeColor="text1"/>
        </w:rPr>
        <w:t>I</w:t>
      </w:r>
      <w:r w:rsidR="000A21CC">
        <w:rPr>
          <w:color w:val="000000" w:themeColor="text1"/>
        </w:rPr>
        <w:t xml:space="preserve"> enthält somit die Interpretationsergebnisse nach Sorten geordnet.</w:t>
      </w:r>
    </w:p>
    <w:p w:rsidR="00BB0411" w:rsidRDefault="000A21CC" w:rsidP="00BB0411">
      <w:pPr>
        <w:pStyle w:val="Text"/>
      </w:pPr>
      <w:r>
        <w:t>In Zeile 3</w:t>
      </w:r>
      <w:r w:rsidR="00654363">
        <w:t>6</w:t>
      </w:r>
      <w:r w:rsidR="00BB0411">
        <w:t xml:space="preserve"> wird </w:t>
      </w:r>
      <w:r w:rsidR="00BB0411">
        <w:rPr>
          <w:i/>
          <w:iCs/>
        </w:rPr>
        <w:t>I</w:t>
      </w:r>
      <w:r w:rsidR="00BB0411">
        <w:t xml:space="preserve"> zurückgegeben.</w:t>
      </w:r>
    </w:p>
    <w:p w:rsidR="00BB0411" w:rsidRDefault="000A21CC" w:rsidP="00BB0411">
      <w:pPr>
        <w:pStyle w:val="Text"/>
      </w:pPr>
      <w:r>
        <w:t>In Zeile 3</w:t>
      </w:r>
      <w:r w:rsidR="00654363">
        <w:t>7</w:t>
      </w:r>
      <w:r w:rsidR="00BB0411">
        <w:t xml:space="preserve"> wird die Funktion beendet.</w:t>
      </w:r>
    </w:p>
    <w:p w:rsidR="00D0093F" w:rsidRDefault="00D0093F" w:rsidP="00AB20AF">
      <w:pPr>
        <w:pStyle w:val="Zwischenberschrift"/>
      </w:pPr>
      <w:r w:rsidRPr="00D85FD0">
        <w:t>Anmerkung</w:t>
      </w:r>
      <w:r>
        <w:t xml:space="preserve"> zur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rsidR="00B0734F">
        <w:t xml:space="preserve"> (2)</w:t>
      </w:r>
    </w:p>
    <w:p w:rsidR="00D0093F" w:rsidRDefault="00D0093F" w:rsidP="00AB20AF">
      <w:pPr>
        <w:pStyle w:val="Text"/>
        <w:ind w:firstLine="0"/>
      </w:pPr>
      <w:r>
        <w:t>Die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t xml:space="preserve"> der angenommenen Programmiersprache</w:t>
      </w:r>
      <w:r w:rsidR="005D7996">
        <w:fldChar w:fldCharType="begin"/>
      </w:r>
      <w:r w:rsidR="00D25476">
        <w:instrText xml:space="preserve"> XE "</w:instrText>
      </w:r>
      <w:r w:rsidR="00D25476" w:rsidRPr="00815262">
        <w:instrText>Programmiersprache</w:instrText>
      </w:r>
      <w:r w:rsidR="00D25476">
        <w:instrText xml:space="preserve">" </w:instrText>
      </w:r>
      <w:r w:rsidR="005D7996">
        <w:fldChar w:fldCharType="end"/>
      </w:r>
      <w:r>
        <w:t xml:space="preserve"> erlaubt die </w:t>
      </w:r>
      <w:r w:rsidR="00863B70">
        <w:t>gleichzeitige Zuweisung</w:t>
      </w:r>
      <w:r>
        <w:t xml:space="preserve"> mehrerer </w:t>
      </w:r>
      <w:r w:rsidR="00343F4B">
        <w:t xml:space="preserve">Werte zu </w:t>
      </w:r>
      <w:r>
        <w:t>Variablen</w:t>
      </w:r>
      <w:r w:rsidR="00343F4B">
        <w:t xml:space="preserve"> durch einen Zuweisungsoperator</w:t>
      </w:r>
      <w:r>
        <w:t xml:space="preserve">. </w:t>
      </w:r>
      <w:r w:rsidR="00343F4B" w:rsidRPr="00343F4B">
        <w:rPr>
          <w:i/>
        </w:rPr>
        <w:t>n</w:t>
      </w:r>
      <w:r w:rsidR="00343F4B">
        <w:t xml:space="preserve"> rechts des Zuweisungsoperators stehende Werte werden </w:t>
      </w:r>
      <w:r w:rsidR="00343F4B" w:rsidRPr="00343F4B">
        <w:rPr>
          <w:i/>
        </w:rPr>
        <w:t>n</w:t>
      </w:r>
      <w:r w:rsidR="00343F4B">
        <w:t xml:space="preserve"> links des Zuwe</w:t>
      </w:r>
      <w:r w:rsidR="00343F4B">
        <w:t>i</w:t>
      </w:r>
      <w:r w:rsidR="00343F4B">
        <w:t xml:space="preserve">sungsoperators stehenden Variablen zugewiesen (vgl. Zeile 18, wo die Funktion </w:t>
      </w:r>
      <w:r w:rsidR="00343F4B" w:rsidRPr="00343F4B">
        <w:rPr>
          <w:i/>
        </w:rPr>
        <w:lastRenderedPageBreak/>
        <w:t>Ergebnisse</w:t>
      </w:r>
      <w:r w:rsidR="00343F4B">
        <w:t xml:space="preserve"> drei Werte zurückgibt). Steht rechts nur ein Wert, wird dieser allen links stehenden Variablen zugewiesen. Werte und Variablen werden durch Kommata abgetrennt.</w:t>
      </w:r>
      <w:r w:rsidR="00934F61">
        <w:t xml:space="preserve"> (Vgl. Zeile 2</w:t>
      </w:r>
      <w:r w:rsidR="00B0734F">
        <w:t xml:space="preserve"> der obenstehenden Funktion</w:t>
      </w:r>
      <w:r w:rsidR="00934F61">
        <w:t>.)</w:t>
      </w:r>
    </w:p>
    <w:p w:rsidR="00437F43" w:rsidRDefault="0064074A" w:rsidP="00AB20AF">
      <w:pPr>
        <w:pStyle w:val="Text"/>
        <w:spacing w:before="240"/>
        <w:ind w:firstLine="0"/>
      </w:pPr>
      <w:r>
        <w:t xml:space="preserve">Die </w:t>
      </w:r>
      <w:r w:rsidR="00BD0C23">
        <w:t xml:space="preserve">Funktion </w:t>
      </w:r>
      <w:r w:rsidR="00BD0C23" w:rsidRPr="00C35EA1">
        <w:rPr>
          <w:i/>
        </w:rPr>
        <w:t>Relevantes_Hintergrundwissen</w:t>
      </w:r>
      <w:r w:rsidR="00BD0C23">
        <w:t xml:space="preserve"> wird in Abschnitt </w:t>
      </w:r>
      <w:r w:rsidR="005D7996">
        <w:fldChar w:fldCharType="begin"/>
      </w:r>
      <w:r w:rsidR="00BD0C23">
        <w:instrText xml:space="preserve"> REF _Ref255309936 \r \h </w:instrText>
      </w:r>
      <w:r w:rsidR="005D7996">
        <w:fldChar w:fldCharType="separate"/>
      </w:r>
      <w:r w:rsidR="001231D3">
        <w:t>7.2.2</w:t>
      </w:r>
      <w:r w:rsidR="005D7996">
        <w:fldChar w:fldCharType="end"/>
      </w:r>
      <w:r w:rsidR="00BD0C23">
        <w:t xml:space="preserve">, die </w:t>
      </w:r>
      <w:r>
        <w:t>Funkt</w:t>
      </w:r>
      <w:r>
        <w:t>i</w:t>
      </w:r>
      <w:r>
        <w:t xml:space="preserve">on </w:t>
      </w:r>
      <w:r w:rsidRPr="00C35EA1">
        <w:rPr>
          <w:i/>
        </w:rPr>
        <w:t>Ergebnisse</w:t>
      </w:r>
      <w:r>
        <w:t xml:space="preserve"> in Abschnitt </w:t>
      </w:r>
      <w:r w:rsidR="005D7996">
        <w:fldChar w:fldCharType="begin"/>
      </w:r>
      <w:r>
        <w:instrText xml:space="preserve"> REF _Ref254694742 \r \h </w:instrText>
      </w:r>
      <w:r w:rsidR="005D7996">
        <w:fldChar w:fldCharType="separate"/>
      </w:r>
      <w:r w:rsidR="001231D3">
        <w:t>7.2.3</w:t>
      </w:r>
      <w:r w:rsidR="005D7996">
        <w:fldChar w:fldCharType="end"/>
      </w:r>
      <w:r w:rsidR="00BD0C23">
        <w:t>,</w:t>
      </w:r>
      <w:r>
        <w:t xml:space="preserve"> die Funktion </w:t>
      </w:r>
      <w:r w:rsidR="00470438" w:rsidRPr="00C35EA1">
        <w:rPr>
          <w:i/>
        </w:rPr>
        <w:t>write</w:t>
      </w:r>
      <w:r w:rsidR="00470438">
        <w:t xml:space="preserve"> in Abschnitt </w:t>
      </w:r>
      <w:r w:rsidR="005D7996">
        <w:fldChar w:fldCharType="begin"/>
      </w:r>
      <w:r w:rsidR="00470438">
        <w:instrText xml:space="preserve"> REF _Ref257704652 \r \h </w:instrText>
      </w:r>
      <w:r w:rsidR="005D7996">
        <w:fldChar w:fldCharType="separate"/>
      </w:r>
      <w:r w:rsidR="001231D3">
        <w:t>7.2.4</w:t>
      </w:r>
      <w:r w:rsidR="005D7996">
        <w:fldChar w:fldCharType="end"/>
      </w:r>
      <w:r w:rsidR="00C35EA1">
        <w:t xml:space="preserve"> </w:t>
      </w:r>
      <w:r>
        <w:t xml:space="preserve">erläutert. </w:t>
      </w:r>
      <w:r w:rsidR="00133954">
        <w:t xml:space="preserve">Auf die anderen </w:t>
      </w:r>
      <w:r w:rsidR="00470628">
        <w:t xml:space="preserve">Funktionen </w:t>
      </w:r>
      <w:r w:rsidR="00133954">
        <w:t xml:space="preserve">wird im Folgenden </w:t>
      </w:r>
      <w:r w:rsidR="004F0F1E">
        <w:t>eingegangen.</w:t>
      </w:r>
    </w:p>
    <w:p w:rsidR="008075F9" w:rsidRPr="0072651B" w:rsidRDefault="007D2BD3" w:rsidP="00AB20AF">
      <w:pPr>
        <w:pStyle w:val="Zwischenberschrift"/>
      </w:pPr>
      <w:r w:rsidRPr="0072651B">
        <w:t>Die Funktion Hi</w:t>
      </w:r>
      <w:r w:rsidR="001A73F5">
        <w:t>ntergrundwissen_zusammenstellen</w:t>
      </w:r>
    </w:p>
    <w:p w:rsidR="007D2BD3" w:rsidRDefault="007D2BD3" w:rsidP="00AB20AF">
      <w:pPr>
        <w:pStyle w:val="Text"/>
        <w:ind w:firstLine="0"/>
      </w:pPr>
      <w:r>
        <w:t>Es kann nicht davon ausgegangen werden, dass eine feste Menge von Hinte</w:t>
      </w:r>
      <w:r>
        <w:t>r</w:t>
      </w:r>
      <w:r>
        <w:t xml:space="preserve">grundwissen besteht, die </w:t>
      </w:r>
      <w:r w:rsidR="0097169D">
        <w:t xml:space="preserve">der Stilinterpret </w:t>
      </w:r>
      <w:r>
        <w:t xml:space="preserve">nur </w:t>
      </w:r>
      <w:r w:rsidR="007B7173">
        <w:t xml:space="preserve">abrufen </w:t>
      </w:r>
      <w:r>
        <w:t>muss. In jeder Situation hat ein Individuum anderes Hintergrundwissen zur Verfügung, da wir (durch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anderen Zeichengebrauch und Wahrnehmung) laufend neue Informationen erhalten. Alte Informationen, die nicht mehr unmittelbar zugän</w:t>
      </w:r>
      <w:r>
        <w:t>g</w:t>
      </w:r>
      <w:r>
        <w:t xml:space="preserve">lich gespeichert sind, können wieder zugänglich werden. Andere Informationen können unzugänglich oder ganz vergessen werden. Daher variiert die </w:t>
      </w:r>
      <w:r w:rsidR="00FC4836">
        <w:t>zu ve</w:t>
      </w:r>
      <w:r w:rsidR="00FC4836">
        <w:t>r</w:t>
      </w:r>
      <w:r w:rsidR="00FC4836">
        <w:t>schiedenen Zeitpunkten in verschiedenen Kontexten einem Individuum zur Ve</w:t>
      </w:r>
      <w:r w:rsidR="00FC4836">
        <w:t>r</w:t>
      </w:r>
      <w:r w:rsidR="00FC4836">
        <w:t>fügung stehende Menge von Hintergrundwissen.</w:t>
      </w:r>
    </w:p>
    <w:p w:rsidR="007F6CB8" w:rsidRDefault="00FC4836" w:rsidP="005F5E04">
      <w:pPr>
        <w:pStyle w:val="Text"/>
        <w:rPr>
          <w:color w:val="000000" w:themeColor="text1"/>
        </w:rPr>
      </w:pPr>
      <w:r>
        <w:t xml:space="preserve">Die Funktion simuliert daher einen Prozess, in dem das </w:t>
      </w:r>
      <w:r w:rsidR="0097169D">
        <w:t xml:space="preserve">einem Individuum </w:t>
      </w:r>
      <w:r>
        <w:t xml:space="preserve">für eine </w:t>
      </w:r>
      <w:r w:rsidR="0097169D">
        <w:t>Stili</w:t>
      </w:r>
      <w:r>
        <w:t>nterpretation zur Verfügung stehende Wissen zusamm</w:t>
      </w:r>
      <w:r w:rsidR="003D2396">
        <w:t>e</w:t>
      </w:r>
      <w:r>
        <w:t xml:space="preserve">ngestellt wird, bevor die Interpretation beginnt. Dies ist nicht nur das konkret verfügbare, sondern das prinzipiell durch Suchfunktionen (zu denen auch beispielsweise die Assoziation gehört) zugängliche Wissen. </w:t>
      </w:r>
      <w:r w:rsidR="00822FE8">
        <w:t>Dass dieses nur einmal zusammeng</w:t>
      </w:r>
      <w:r w:rsidR="00822FE8">
        <w:t>e</w:t>
      </w:r>
      <w:r w:rsidR="00822FE8">
        <w:t>stellt wird, erscheint als akzeptable Verein</w:t>
      </w:r>
      <w:r w:rsidR="003D2396">
        <w:t>f</w:t>
      </w:r>
      <w:r w:rsidR="00822FE8">
        <w:t>achung, da während der Stilinte</w:t>
      </w:r>
      <w:r w:rsidR="003D2396">
        <w:t>r</w:t>
      </w:r>
      <w:r w:rsidR="00822FE8">
        <w:t>pr</w:t>
      </w:r>
      <w:r w:rsidR="00822FE8">
        <w:t>e</w:t>
      </w:r>
      <w:r w:rsidR="00822FE8">
        <w:t xml:space="preserve">tation selbst </w:t>
      </w:r>
      <w:r w:rsidR="00B13162">
        <w:t>keine große</w:t>
      </w:r>
      <w:r w:rsidR="00822FE8">
        <w:t xml:space="preserve"> Veränderung im prinzipiell verfügbaren Hintergrun</w:t>
      </w:r>
      <w:r w:rsidR="00822FE8">
        <w:t>d</w:t>
      </w:r>
      <w:r w:rsidR="00822FE8">
        <w:t>wissen zu erwarten ist.</w:t>
      </w:r>
      <w:r w:rsidR="002214F0">
        <w:rPr>
          <w:rStyle w:val="Funotenzeichen"/>
        </w:rPr>
        <w:footnoteReference w:id="510"/>
      </w:r>
    </w:p>
    <w:p w:rsidR="00444435" w:rsidRPr="00BF4A27" w:rsidRDefault="00900DE1" w:rsidP="00AB20AF">
      <w:pPr>
        <w:pStyle w:val="Zwischenberschrift"/>
      </w:pPr>
      <w:bookmarkStart w:id="400" w:name="Funktionsmenge"/>
      <w:r>
        <w:t xml:space="preserve">Die </w:t>
      </w:r>
      <w:r w:rsidR="00444435">
        <w:t>Funktions</w:t>
      </w:r>
      <w:r w:rsidR="00B571E3">
        <w:t>menge Op der Operationen</w:t>
      </w:r>
    </w:p>
    <w:p w:rsidR="00F32D9F" w:rsidRDefault="005D7996" w:rsidP="00AB20AF">
      <w:pPr>
        <w:pStyle w:val="Text"/>
        <w:ind w:firstLine="0"/>
      </w:pPr>
      <w:r>
        <w:fldChar w:fldCharType="begin"/>
      </w:r>
      <w:r w:rsidR="006D15D6">
        <w:instrText xml:space="preserve"> XE "Deduktion" \r "Funktionsmenge" </w:instrText>
      </w:r>
      <w:r>
        <w:fldChar w:fldCharType="end"/>
      </w:r>
      <w:r>
        <w:fldChar w:fldCharType="begin"/>
      </w:r>
      <w:r w:rsidR="006D15D6">
        <w:instrText xml:space="preserve"> XE "Induktion" \r "Funktionsmenge" </w:instrText>
      </w:r>
      <w:r>
        <w:fldChar w:fldCharType="end"/>
      </w:r>
      <w:r>
        <w:fldChar w:fldCharType="begin"/>
      </w:r>
      <w:r w:rsidR="006D15D6">
        <w:instrText xml:space="preserve"> XE "Abduktion" \r "Funktionsmenge" </w:instrText>
      </w:r>
      <w:r>
        <w:fldChar w:fldCharType="end"/>
      </w:r>
      <w:r>
        <w:fldChar w:fldCharType="begin"/>
      </w:r>
      <w:r w:rsidR="006D15D6">
        <w:instrText xml:space="preserve"> XE "Assoziation" \r "Funktionsmenge" </w:instrText>
      </w:r>
      <w:r>
        <w:fldChar w:fldCharType="end"/>
      </w:r>
      <w:r>
        <w:fldChar w:fldCharType="begin"/>
      </w:r>
      <w:r w:rsidR="006D15D6">
        <w:instrText xml:space="preserve"> XE "Bedeutungssuche" \r "Funktionsmenge" </w:instrText>
      </w:r>
      <w:r>
        <w:fldChar w:fldCharType="end"/>
      </w:r>
      <w:r>
        <w:fldChar w:fldCharType="begin"/>
      </w:r>
      <w:r w:rsidR="006D15D6">
        <w:instrText xml:space="preserve"> XE "</w:instrText>
      </w:r>
      <w:r w:rsidR="00806D41">
        <w:instrText>Gefühlsreaktion</w:instrText>
      </w:r>
      <w:r w:rsidR="006D15D6">
        <w:instrText>" \r "</w:instrText>
      </w:r>
      <w:r w:rsidR="00806D41">
        <w:instrText>Funktionsmenge</w:instrText>
      </w:r>
      <w:r w:rsidR="006D15D6">
        <w:instrText xml:space="preserve">" </w:instrText>
      </w:r>
      <w:r>
        <w:fldChar w:fldCharType="end"/>
      </w:r>
      <w:r>
        <w:fldChar w:fldCharType="begin"/>
      </w:r>
      <w:r w:rsidR="006D15D6">
        <w:instrText xml:space="preserve"> XE "Eindrucksreaktion" \r "Funktionsmenge" </w:instrText>
      </w:r>
      <w:r>
        <w:fldChar w:fldCharType="end"/>
      </w:r>
      <w:r w:rsidR="00444435">
        <w:t xml:space="preserve">Die Operationen, die in einer konkreten Stilinterpretation verwendet werden, können in einer Liste angegeben werden. Wir fassen sie zur Menge </w:t>
      </w:r>
      <w:r w:rsidR="00444435">
        <w:rPr>
          <w:i/>
        </w:rPr>
        <w:t>Op</w:t>
      </w:r>
      <w:r w:rsidR="00444435">
        <w:t xml:space="preserve"> zusa</w:t>
      </w:r>
      <w:r w:rsidR="00444435">
        <w:t>m</w:t>
      </w:r>
      <w:r w:rsidR="00444435">
        <w:t>men, um sie bequem aufrufen zu können.</w:t>
      </w:r>
      <w:r w:rsidR="00772F58">
        <w:t xml:space="preserve"> Um eine Funktionsmenge </w:t>
      </w:r>
      <w:r w:rsidR="00772F58" w:rsidRPr="00571F47">
        <w:rPr>
          <w:i/>
        </w:rPr>
        <w:t>Op</w:t>
      </w:r>
      <w:r w:rsidR="00772F58">
        <w:t xml:space="preserve"> zu sp</w:t>
      </w:r>
      <w:r w:rsidR="00772F58">
        <w:t>e</w:t>
      </w:r>
      <w:r w:rsidR="00772F58">
        <w:t>zifizieren, wird zunächst eine Liste der Operationsfunktionen, die zur Anwe</w:t>
      </w:r>
      <w:r w:rsidR="00772F58">
        <w:t>n</w:t>
      </w:r>
      <w:r w:rsidR="00772F58">
        <w:t xml:space="preserve">dung kommen sollen, </w:t>
      </w:r>
      <w:r w:rsidR="00802F48">
        <w:t>aufgestellt</w:t>
      </w:r>
      <w:r w:rsidR="009E1D7E">
        <w:t xml:space="preserve">. </w:t>
      </w:r>
      <w:r w:rsidR="00F32D9F">
        <w:t>Allgemein gilt:</w:t>
      </w:r>
    </w:p>
    <w:p w:rsidR="00FB0C5F" w:rsidRDefault="00F32D9F" w:rsidP="00AB20AF">
      <w:pPr>
        <w:pStyle w:val="Text"/>
        <w:spacing w:before="240"/>
        <w:ind w:firstLine="0"/>
        <w:rPr>
          <w:iCs/>
          <w:vertAlign w:val="subscript"/>
        </w:rPr>
      </w:pPr>
      <w:r>
        <w:t xml:space="preserve">function </w:t>
      </w:r>
      <w:r w:rsidRPr="00772F58">
        <w:rPr>
          <w:i/>
        </w:rPr>
        <w:t>Op</w:t>
      </w:r>
      <w:r w:rsidRPr="00772F58">
        <w:rPr>
          <w:iCs/>
          <w:vertAlign w:val="subscript"/>
        </w:rPr>
        <w:t>1</w:t>
      </w:r>
    </w:p>
    <w:p w:rsidR="00BD3133" w:rsidRDefault="00BD3133" w:rsidP="00AB20AF">
      <w:pPr>
        <w:pStyle w:val="Text"/>
        <w:ind w:firstLine="0"/>
      </w:pPr>
      <w:r>
        <w:t xml:space="preserve">   </w:t>
      </w:r>
      <w:r w:rsidRPr="009E1D7E">
        <w:t>[</w:t>
      </w:r>
      <w:r>
        <w:t>Spezifikation]</w:t>
      </w:r>
    </w:p>
    <w:p w:rsidR="00FB0C5F" w:rsidRDefault="00F32D9F" w:rsidP="00AB20AF">
      <w:pPr>
        <w:pStyle w:val="Text"/>
        <w:ind w:firstLine="0"/>
        <w:rPr>
          <w:iCs/>
          <w:vertAlign w:val="subscript"/>
        </w:rPr>
      </w:pPr>
      <w:r>
        <w:t xml:space="preserve">function </w:t>
      </w:r>
      <w:r w:rsidRPr="00772F58">
        <w:rPr>
          <w:i/>
        </w:rPr>
        <w:t>Op</w:t>
      </w:r>
      <w:r>
        <w:rPr>
          <w:iCs/>
          <w:vertAlign w:val="subscript"/>
        </w:rPr>
        <w:t>2</w:t>
      </w:r>
    </w:p>
    <w:p w:rsidR="00BD3133" w:rsidRDefault="00BD3133" w:rsidP="00AB20AF">
      <w:pPr>
        <w:pStyle w:val="Text"/>
        <w:ind w:firstLine="0"/>
      </w:pPr>
      <w:r>
        <w:t xml:space="preserve">   </w:t>
      </w:r>
      <w:r w:rsidRPr="009E1D7E">
        <w:t>[</w:t>
      </w:r>
      <w:r>
        <w:t>Spezifikation]</w:t>
      </w:r>
    </w:p>
    <w:p w:rsidR="00F32D9F" w:rsidRDefault="00F32D9F" w:rsidP="00AB20AF">
      <w:pPr>
        <w:pStyle w:val="Text"/>
        <w:ind w:firstLine="0"/>
        <w:rPr>
          <w:rFonts w:cs="Times New Roman"/>
          <w:color w:val="000000" w:themeColor="text1"/>
        </w:rPr>
      </w:pPr>
      <w:r w:rsidRPr="000C3B5C">
        <w:tab/>
      </w:r>
      <w:r w:rsidRPr="000C3B5C">
        <w:rPr>
          <w:rFonts w:cs="Times New Roman"/>
          <w:color w:val="000000" w:themeColor="text1"/>
        </w:rPr>
        <w:t>…</w:t>
      </w:r>
    </w:p>
    <w:p w:rsidR="00F32D9F" w:rsidRDefault="00F32D9F" w:rsidP="00AB20AF">
      <w:pPr>
        <w:pStyle w:val="Text"/>
        <w:ind w:firstLine="0"/>
        <w:rPr>
          <w:i/>
          <w:iCs/>
          <w:vertAlign w:val="subscript"/>
        </w:rPr>
      </w:pPr>
      <w:r>
        <w:lastRenderedPageBreak/>
        <w:t xml:space="preserve">function </w:t>
      </w:r>
      <w:r w:rsidRPr="00772F58">
        <w:rPr>
          <w:i/>
        </w:rPr>
        <w:t>Op</w:t>
      </w:r>
      <w:r w:rsidRPr="00F32D9F">
        <w:rPr>
          <w:i/>
          <w:iCs/>
          <w:vertAlign w:val="subscript"/>
        </w:rPr>
        <w:t>n</w:t>
      </w:r>
    </w:p>
    <w:p w:rsidR="00BD3133" w:rsidRDefault="00BD3133" w:rsidP="00AB20AF">
      <w:pPr>
        <w:pStyle w:val="Text"/>
        <w:ind w:firstLine="0"/>
      </w:pPr>
      <w:r>
        <w:t xml:space="preserve">   </w:t>
      </w:r>
      <w:r w:rsidRPr="009E1D7E">
        <w:t>[</w:t>
      </w:r>
      <w:r>
        <w:t>Spezifikation]</w:t>
      </w:r>
    </w:p>
    <w:p w:rsidR="00161AF6" w:rsidRDefault="00161AF6" w:rsidP="00AB20AF">
      <w:pPr>
        <w:pStyle w:val="Text"/>
        <w:spacing w:before="240"/>
        <w:ind w:firstLine="0"/>
      </w:pPr>
      <w:r>
        <w:t xml:space="preserve">Die Operationen werden zur Funktionsmenge </w:t>
      </w:r>
      <w:r w:rsidRPr="00F32D9F">
        <w:rPr>
          <w:i/>
        </w:rPr>
        <w:t>Op</w:t>
      </w:r>
      <w:r w:rsidR="00BD3133">
        <w:t xml:space="preserve"> zusammengefasst</w:t>
      </w:r>
      <w:r>
        <w:t>:</w:t>
      </w:r>
    </w:p>
    <w:p w:rsidR="00161AF6" w:rsidRPr="00772F58" w:rsidRDefault="00161AF6" w:rsidP="00AB20AF">
      <w:pPr>
        <w:pStyle w:val="Formel"/>
      </w:pPr>
      <w:r w:rsidRPr="00772F58">
        <w:rPr>
          <w:i/>
          <w:iCs/>
        </w:rPr>
        <w:t>Op</w:t>
      </w:r>
      <w:r w:rsidRPr="00772F58">
        <w:t xml:space="preserve"> := {</w:t>
      </w:r>
      <w:r w:rsidRPr="00772F58">
        <w:rPr>
          <w:i/>
        </w:rPr>
        <w:t>Op</w:t>
      </w:r>
      <w:r w:rsidRPr="00772F58">
        <w:rPr>
          <w:iCs/>
          <w:vertAlign w:val="subscript"/>
        </w:rPr>
        <w:t>1</w:t>
      </w:r>
      <w:r w:rsidRPr="00772F58">
        <w:t xml:space="preserve">, …, </w:t>
      </w:r>
      <w:r w:rsidRPr="00772F58">
        <w:rPr>
          <w:i/>
        </w:rPr>
        <w:t>Op</w:t>
      </w:r>
      <w:r w:rsidRPr="00772F58">
        <w:rPr>
          <w:i/>
          <w:vertAlign w:val="subscript"/>
        </w:rPr>
        <w:t>n</w:t>
      </w:r>
      <w:r w:rsidRPr="00772F58">
        <w:t>}</w:t>
      </w:r>
    </w:p>
    <w:p w:rsidR="009E1D7E" w:rsidRDefault="009E1D7E" w:rsidP="00AB20AF">
      <w:pPr>
        <w:pStyle w:val="Text"/>
        <w:ind w:firstLine="0"/>
      </w:pPr>
      <w:r>
        <w:t xml:space="preserve">Wir </w:t>
      </w:r>
      <w:r w:rsidR="00AE1DD0">
        <w:t xml:space="preserve">verwenden </w:t>
      </w:r>
      <w:r>
        <w:t xml:space="preserve">die folgenden Operationen (vgl. Abschnitt </w:t>
      </w:r>
      <w:r w:rsidR="005D7996">
        <w:fldChar w:fldCharType="begin"/>
      </w:r>
      <w:r>
        <w:instrText xml:space="preserve"> REF _Ref248036699 \r \h </w:instrText>
      </w:r>
      <w:r w:rsidR="005D7996">
        <w:fldChar w:fldCharType="separate"/>
      </w:r>
      <w:r w:rsidR="001231D3">
        <w:t>6.2.1</w:t>
      </w:r>
      <w:r w:rsidR="005D7996">
        <w:fldChar w:fldCharType="end"/>
      </w:r>
      <w:r>
        <w:t>)</w:t>
      </w:r>
      <w:r w:rsidR="00281469">
        <w:t>:</w:t>
      </w:r>
    </w:p>
    <w:p w:rsidR="00FB0C5F" w:rsidRDefault="009E1D7E" w:rsidP="00AB20AF">
      <w:pPr>
        <w:pStyle w:val="Text"/>
        <w:spacing w:before="240"/>
        <w:ind w:firstLine="0"/>
      </w:pPr>
      <w:r>
        <w:t xml:space="preserve">function </w:t>
      </w:r>
      <w:r w:rsidRPr="009E1D7E">
        <w:t>Ded</w:t>
      </w:r>
    </w:p>
    <w:p w:rsidR="009E1D7E" w:rsidRDefault="00FB0C5F" w:rsidP="00AB20AF">
      <w:pPr>
        <w:pStyle w:val="Text"/>
        <w:ind w:firstLine="0"/>
      </w:pPr>
      <w:r>
        <w:t xml:space="preserve">   </w:t>
      </w:r>
      <w:r w:rsidR="009E1D7E" w:rsidRPr="009E1D7E">
        <w:t>[</w:t>
      </w:r>
      <w:r>
        <w:t xml:space="preserve">Spezifikation der Deduktion; </w:t>
      </w:r>
      <w:r w:rsidR="009E1D7E" w:rsidRPr="009E1D7E">
        <w:t xml:space="preserve">vgl. </w:t>
      </w:r>
      <w:r w:rsidR="009E1D7E">
        <w:t xml:space="preserve">Abschnitt </w:t>
      </w:r>
      <w:r w:rsidR="005D7996">
        <w:fldChar w:fldCharType="begin"/>
      </w:r>
      <w:r w:rsidR="009E1D7E">
        <w:instrText xml:space="preserve"> REF _Ref257706789 \r \h </w:instrText>
      </w:r>
      <w:r w:rsidR="005D7996">
        <w:fldChar w:fldCharType="separate"/>
      </w:r>
      <w:r w:rsidR="001231D3">
        <w:t>6.4.1</w:t>
      </w:r>
      <w:r w:rsidR="005D7996">
        <w:fldChar w:fldCharType="end"/>
      </w:r>
      <w:r w:rsidR="009E1D7E">
        <w:t>]</w:t>
      </w:r>
    </w:p>
    <w:p w:rsidR="00FB0C5F" w:rsidRDefault="00DA0510" w:rsidP="00AB20AF">
      <w:pPr>
        <w:pStyle w:val="Text"/>
        <w:ind w:firstLine="0"/>
      </w:pPr>
      <w:r>
        <w:t>function Ind</w:t>
      </w:r>
    </w:p>
    <w:p w:rsidR="009E1D7E" w:rsidRDefault="00FB0C5F" w:rsidP="00AB20AF">
      <w:pPr>
        <w:pStyle w:val="Text"/>
        <w:ind w:firstLine="0"/>
      </w:pPr>
      <w:r>
        <w:t xml:space="preserve">   </w:t>
      </w:r>
      <w:r w:rsidR="00DA0510" w:rsidRPr="009E1D7E">
        <w:t>[</w:t>
      </w:r>
      <w:r>
        <w:t xml:space="preserve">Spezifikation der Induktion; </w:t>
      </w:r>
      <w:r w:rsidR="00DA0510">
        <w:t xml:space="preserve">vgl. Abschnitt </w:t>
      </w:r>
      <w:r w:rsidR="005D7996">
        <w:fldChar w:fldCharType="begin"/>
      </w:r>
      <w:r w:rsidR="009E1D7E">
        <w:instrText xml:space="preserve"> REF _Ref257116162 \r \h </w:instrText>
      </w:r>
      <w:r w:rsidR="005D7996">
        <w:fldChar w:fldCharType="separate"/>
      </w:r>
      <w:r w:rsidR="001231D3">
        <w:t>6.4.2</w:t>
      </w:r>
      <w:r w:rsidR="005D7996">
        <w:fldChar w:fldCharType="end"/>
      </w:r>
      <w:r w:rsidR="00DA0510">
        <w:t>]</w:t>
      </w:r>
    </w:p>
    <w:p w:rsidR="00FB0C5F" w:rsidRDefault="00DA0510" w:rsidP="00AB20AF">
      <w:pPr>
        <w:pStyle w:val="Text"/>
        <w:ind w:firstLine="0"/>
      </w:pPr>
      <w:r>
        <w:t>function Abd</w:t>
      </w:r>
    </w:p>
    <w:p w:rsidR="009E1D7E" w:rsidRPr="009E1D7E" w:rsidRDefault="00FB0C5F" w:rsidP="00AB20AF">
      <w:pPr>
        <w:pStyle w:val="Text"/>
        <w:ind w:firstLine="0"/>
      </w:pPr>
      <w:r>
        <w:t xml:space="preserve">   </w:t>
      </w:r>
      <w:r w:rsidRPr="009E1D7E">
        <w:t>[</w:t>
      </w:r>
      <w:r>
        <w:t xml:space="preserve">Spezifikation der Abduktion; </w:t>
      </w:r>
      <w:r w:rsidR="00DA0510">
        <w:t xml:space="preserve">vgl. Abschnitt </w:t>
      </w:r>
      <w:r w:rsidR="005D7996">
        <w:fldChar w:fldCharType="begin"/>
      </w:r>
      <w:r w:rsidR="009E1D7E">
        <w:instrText xml:space="preserve"> REF _Ref254853315 \r \h </w:instrText>
      </w:r>
      <w:r w:rsidR="005D7996">
        <w:fldChar w:fldCharType="separate"/>
      </w:r>
      <w:r w:rsidR="001231D3">
        <w:t>6.4.3</w:t>
      </w:r>
      <w:r w:rsidR="005D7996">
        <w:fldChar w:fldCharType="end"/>
      </w:r>
      <w:r w:rsidR="00DA0510">
        <w:t>]</w:t>
      </w:r>
    </w:p>
    <w:p w:rsidR="00FB0C5F" w:rsidRDefault="00DA0510" w:rsidP="00AB20AF">
      <w:pPr>
        <w:pStyle w:val="Text"/>
        <w:tabs>
          <w:tab w:val="clear" w:pos="851"/>
          <w:tab w:val="clear" w:pos="1134"/>
          <w:tab w:val="clear" w:pos="1418"/>
        </w:tabs>
        <w:ind w:firstLine="0"/>
      </w:pPr>
      <w:r>
        <w:t>function A</w:t>
      </w:r>
      <w:r w:rsidR="0038455D">
        <w:t>ss</w:t>
      </w:r>
    </w:p>
    <w:p w:rsidR="009E1D7E" w:rsidRDefault="00FB0C5F" w:rsidP="00AB20AF">
      <w:pPr>
        <w:pStyle w:val="Text"/>
        <w:tabs>
          <w:tab w:val="clear" w:pos="851"/>
          <w:tab w:val="clear" w:pos="1134"/>
          <w:tab w:val="clear" w:pos="1418"/>
        </w:tabs>
        <w:ind w:firstLine="0"/>
      </w:pPr>
      <w:r>
        <w:t xml:space="preserve">   </w:t>
      </w:r>
      <w:r w:rsidRPr="009E1D7E">
        <w:t>[</w:t>
      </w:r>
      <w:r>
        <w:t xml:space="preserve">Spezifikation der Assoziation; </w:t>
      </w:r>
      <w:r w:rsidR="00DA0510">
        <w:t xml:space="preserve">vgl. Abschnitt </w:t>
      </w:r>
      <w:r w:rsidR="005D7996">
        <w:fldChar w:fldCharType="begin"/>
      </w:r>
      <w:r w:rsidR="009E1D7E">
        <w:instrText xml:space="preserve"> REF _Ref257706826 \r \h </w:instrText>
      </w:r>
      <w:r w:rsidR="005D7996">
        <w:fldChar w:fldCharType="separate"/>
      </w:r>
      <w:r w:rsidR="001231D3">
        <w:t>6.4.4</w:t>
      </w:r>
      <w:r w:rsidR="005D7996">
        <w:fldChar w:fldCharType="end"/>
      </w:r>
      <w:r w:rsidR="00DA0510">
        <w:t>]</w:t>
      </w:r>
    </w:p>
    <w:p w:rsidR="0091278C" w:rsidRDefault="0091278C" w:rsidP="00AB20AF">
      <w:pPr>
        <w:pStyle w:val="Text"/>
        <w:tabs>
          <w:tab w:val="clear" w:pos="851"/>
          <w:tab w:val="clear" w:pos="1134"/>
          <w:tab w:val="clear" w:pos="1418"/>
        </w:tabs>
        <w:ind w:firstLine="0"/>
      </w:pPr>
      <w:r>
        <w:t>function Bed</w:t>
      </w:r>
    </w:p>
    <w:p w:rsidR="0091278C" w:rsidRDefault="0091278C" w:rsidP="00AB20AF">
      <w:pPr>
        <w:pStyle w:val="Text"/>
        <w:tabs>
          <w:tab w:val="clear" w:pos="851"/>
          <w:tab w:val="clear" w:pos="1134"/>
          <w:tab w:val="clear" w:pos="1418"/>
        </w:tabs>
        <w:ind w:firstLine="0"/>
      </w:pPr>
      <w:r>
        <w:t xml:space="preserve">   </w:t>
      </w:r>
      <w:r w:rsidRPr="009E1D7E">
        <w:t>[</w:t>
      </w:r>
      <w:r>
        <w:t xml:space="preserve">Spezifikation der Bedeutungssuche; vgl. Abschnitt </w:t>
      </w:r>
      <w:r w:rsidR="005D7996">
        <w:fldChar w:fldCharType="begin"/>
      </w:r>
      <w:r>
        <w:instrText xml:space="preserve"> REF _Ref273281415 \r \h </w:instrText>
      </w:r>
      <w:r w:rsidR="005D7996">
        <w:fldChar w:fldCharType="separate"/>
      </w:r>
      <w:r w:rsidR="001231D3">
        <w:t>6.4.5</w:t>
      </w:r>
      <w:r w:rsidR="005D7996">
        <w:fldChar w:fldCharType="end"/>
      </w:r>
      <w:r>
        <w:t>]</w:t>
      </w:r>
    </w:p>
    <w:p w:rsidR="00FB0C5F" w:rsidRDefault="000B7C0F" w:rsidP="00AB20AF">
      <w:pPr>
        <w:pStyle w:val="Text"/>
        <w:tabs>
          <w:tab w:val="clear" w:pos="851"/>
          <w:tab w:val="clear" w:pos="1134"/>
          <w:tab w:val="clear" w:pos="1418"/>
        </w:tabs>
        <w:ind w:firstLine="0"/>
      </w:pPr>
      <w:r>
        <w:t>function Gfr</w:t>
      </w:r>
    </w:p>
    <w:p w:rsidR="009E1D7E" w:rsidRDefault="00FB0C5F" w:rsidP="00AB20AF">
      <w:pPr>
        <w:pStyle w:val="Text"/>
        <w:tabs>
          <w:tab w:val="clear" w:pos="851"/>
          <w:tab w:val="clear" w:pos="1134"/>
          <w:tab w:val="clear" w:pos="1418"/>
        </w:tabs>
        <w:ind w:firstLine="0"/>
      </w:pPr>
      <w:r>
        <w:t xml:space="preserve">   </w:t>
      </w:r>
      <w:r w:rsidRPr="009E1D7E">
        <w:t>[</w:t>
      </w:r>
      <w:r>
        <w:t xml:space="preserve">Spezifikation der </w:t>
      </w:r>
      <w:r w:rsidR="0038455D">
        <w:t xml:space="preserve">Gefühlsreaktion; vgl. Abschnitt </w:t>
      </w:r>
      <w:r w:rsidR="005D7996">
        <w:fldChar w:fldCharType="begin"/>
      </w:r>
      <w:r w:rsidR="009E1D7E">
        <w:instrText xml:space="preserve"> REF _Ref256417074 \r \h </w:instrText>
      </w:r>
      <w:r w:rsidR="005D7996">
        <w:fldChar w:fldCharType="separate"/>
      </w:r>
      <w:r w:rsidR="001231D3">
        <w:t>6.4.6</w:t>
      </w:r>
      <w:r w:rsidR="005D7996">
        <w:fldChar w:fldCharType="end"/>
      </w:r>
      <w:r w:rsidR="0038455D">
        <w:t>]</w:t>
      </w:r>
    </w:p>
    <w:p w:rsidR="00FB0C5F" w:rsidRDefault="0038455D" w:rsidP="00AB20AF">
      <w:pPr>
        <w:pStyle w:val="Text"/>
        <w:tabs>
          <w:tab w:val="clear" w:pos="851"/>
          <w:tab w:val="clear" w:pos="1134"/>
          <w:tab w:val="clear" w:pos="1418"/>
        </w:tabs>
        <w:ind w:firstLine="0"/>
      </w:pPr>
      <w:r>
        <w:t xml:space="preserve">function </w:t>
      </w:r>
      <w:r w:rsidR="000B7C0F">
        <w:t>Edr</w:t>
      </w:r>
    </w:p>
    <w:p w:rsidR="009E1D7E" w:rsidRDefault="00FB0C5F" w:rsidP="00AB20AF">
      <w:pPr>
        <w:pStyle w:val="Text"/>
        <w:tabs>
          <w:tab w:val="clear" w:pos="851"/>
          <w:tab w:val="clear" w:pos="1134"/>
          <w:tab w:val="clear" w:pos="1418"/>
        </w:tabs>
        <w:ind w:firstLine="0"/>
      </w:pPr>
      <w:r>
        <w:t xml:space="preserve">   </w:t>
      </w:r>
      <w:r w:rsidR="0038455D" w:rsidRPr="009E1D7E">
        <w:t>[</w:t>
      </w:r>
      <w:r>
        <w:t xml:space="preserve">Spezifikation der </w:t>
      </w:r>
      <w:r w:rsidR="0038455D">
        <w:t xml:space="preserve">Eindrucksreaktion; vgl. Abschnitt </w:t>
      </w:r>
      <w:r w:rsidR="005D7996">
        <w:fldChar w:fldCharType="begin"/>
      </w:r>
      <w:r w:rsidR="009E1D7E">
        <w:instrText xml:space="preserve"> REF _Ref257706841 \r \h </w:instrText>
      </w:r>
      <w:r w:rsidR="005D7996">
        <w:fldChar w:fldCharType="separate"/>
      </w:r>
      <w:r w:rsidR="001231D3">
        <w:t>6.4.7</w:t>
      </w:r>
      <w:r w:rsidR="005D7996">
        <w:fldChar w:fldCharType="end"/>
      </w:r>
      <w:r>
        <w:t>]</w:t>
      </w:r>
    </w:p>
    <w:p w:rsidR="00772F58" w:rsidRDefault="00772F58" w:rsidP="00AB20AF">
      <w:pPr>
        <w:pStyle w:val="Text"/>
        <w:spacing w:before="240"/>
        <w:ind w:firstLine="0"/>
      </w:pPr>
      <w:r>
        <w:t xml:space="preserve">Die einzelnen Operationsfunktionen </w:t>
      </w:r>
      <w:r w:rsidR="00281469">
        <w:t xml:space="preserve">müssen nicht innerhalb des Stilmodells definiert werden, sie werden als verfügbar </w:t>
      </w:r>
      <w:r>
        <w:t>angenommen</w:t>
      </w:r>
      <w:r w:rsidR="00281469">
        <w:t xml:space="preserve">. </w:t>
      </w:r>
      <w:r w:rsidR="005B69FE">
        <w:t>B</w:t>
      </w:r>
      <w:r w:rsidR="00802F48">
        <w:t>ei Operationen wie Deduktion</w:t>
      </w:r>
      <w:r w:rsidR="009F3781">
        <w:t>,</w:t>
      </w:r>
      <w:r w:rsidR="00802F48">
        <w:t xml:space="preserve"> Gefühlsreaktion</w:t>
      </w:r>
      <w:r w:rsidR="005B69FE">
        <w:t xml:space="preserve"> </w:t>
      </w:r>
      <w:r w:rsidR="009F3781">
        <w:t xml:space="preserve">usw. </w:t>
      </w:r>
      <w:r w:rsidR="005B69FE">
        <w:t xml:space="preserve">handelt es sich </w:t>
      </w:r>
      <w:r w:rsidR="00802F48">
        <w:t xml:space="preserve">um Arten, auf einen kognitiven Input durch Erzeugung eines (kognitiven oder </w:t>
      </w:r>
      <w:r w:rsidR="000623FF">
        <w:t>emotionalen</w:t>
      </w:r>
      <w:r w:rsidR="00802F48">
        <w:t>) Zustands zu reagi</w:t>
      </w:r>
      <w:r w:rsidR="00802F48">
        <w:t>e</w:t>
      </w:r>
      <w:r w:rsidR="00802F48">
        <w:t xml:space="preserve">ren, die nicht auf den Bereich der Stiltheorie beschränkt sind. Die Funktionen selbst können </w:t>
      </w:r>
      <w:r w:rsidR="00F32D9F">
        <w:t>somit</w:t>
      </w:r>
      <w:r w:rsidR="00802F48">
        <w:t xml:space="preserve"> als global verfügbar verstanden werden. (Alternativ könnte eine Funktion </w:t>
      </w:r>
      <w:r w:rsidR="00802F48">
        <w:rPr>
          <w:i/>
        </w:rPr>
        <w:t>Operationen</w:t>
      </w:r>
      <w:r w:rsidR="00802F48" w:rsidRPr="00444435">
        <w:rPr>
          <w:i/>
        </w:rPr>
        <w:t>_zusammenstellen</w:t>
      </w:r>
      <w:r w:rsidR="00802F48">
        <w:t xml:space="preserve"> angenommen werden, die am A</w:t>
      </w:r>
      <w:r w:rsidR="00802F48">
        <w:t>n</w:t>
      </w:r>
      <w:r w:rsidR="00802F48">
        <w:t xml:space="preserve">fang der Funktion </w:t>
      </w:r>
      <w:r w:rsidR="00802F48" w:rsidRPr="00802F48">
        <w:rPr>
          <w:i/>
        </w:rPr>
        <w:t>Interpretation</w:t>
      </w:r>
      <w:r w:rsidR="00802F48">
        <w:t xml:space="preserve"> aufgerufen wird</w:t>
      </w:r>
      <w:r w:rsidR="009E1D7E">
        <w:t xml:space="preserve"> und die Menge der verfügbaren Operationen zurückgibt</w:t>
      </w:r>
      <w:r w:rsidR="00802F48">
        <w:t>.)</w:t>
      </w:r>
    </w:p>
    <w:p w:rsidR="00F32D9F" w:rsidRDefault="00BD3133" w:rsidP="00F32D9F">
      <w:pPr>
        <w:pStyle w:val="Text"/>
        <w:ind w:left="454" w:hanging="454"/>
      </w:pPr>
      <w:r>
        <w:t xml:space="preserve">Die </w:t>
      </w:r>
      <w:r w:rsidR="00161AF6">
        <w:t>Funktionsmenge</w:t>
      </w:r>
      <w:r w:rsidR="00FB0C5F">
        <w:t xml:space="preserve"> </w:t>
      </w:r>
      <w:r>
        <w:t>ist</w:t>
      </w:r>
      <w:r w:rsidR="00161AF6">
        <w:t>:</w:t>
      </w:r>
    </w:p>
    <w:p w:rsidR="00F32D9F" w:rsidRPr="00336DDE" w:rsidRDefault="00F32D9F" w:rsidP="00AB20AF">
      <w:pPr>
        <w:pStyle w:val="Formel"/>
      </w:pPr>
      <w:r w:rsidRPr="00336DDE">
        <w:rPr>
          <w:i/>
        </w:rPr>
        <w:t>Op</w:t>
      </w:r>
      <w:r w:rsidR="00E10977" w:rsidRPr="00336DDE">
        <w:t xml:space="preserve"> := {Ded, Ind, Abd, Ass, </w:t>
      </w:r>
      <w:r w:rsidR="0091278C" w:rsidRPr="00336DDE">
        <w:t xml:space="preserve">Bed, </w:t>
      </w:r>
      <w:r w:rsidR="00E10977" w:rsidRPr="00336DDE">
        <w:t>G</w:t>
      </w:r>
      <w:r w:rsidR="00A34BB6" w:rsidRPr="00336DDE">
        <w:t>f</w:t>
      </w:r>
      <w:r w:rsidR="00E10977" w:rsidRPr="00336DDE">
        <w:t>r</w:t>
      </w:r>
      <w:r w:rsidR="00A34BB6" w:rsidRPr="00336DDE">
        <w:t xml:space="preserve">, </w:t>
      </w:r>
      <w:r w:rsidR="00D604FA" w:rsidRPr="00336DDE">
        <w:t>Edr</w:t>
      </w:r>
      <w:r w:rsidRPr="00336DDE">
        <w:t>}</w:t>
      </w:r>
    </w:p>
    <w:p w:rsidR="003124BB" w:rsidRDefault="008A42D2" w:rsidP="00AB20AF">
      <w:pPr>
        <w:pStyle w:val="Text"/>
        <w:ind w:firstLine="0"/>
      </w:pPr>
      <w:r>
        <w:t xml:space="preserve">Auch die </w:t>
      </w:r>
      <w:r w:rsidR="003124BB">
        <w:t xml:space="preserve">Funktionsmengen </w:t>
      </w:r>
      <w:r>
        <w:t xml:space="preserve">sind </w:t>
      </w:r>
      <w:r w:rsidR="003124BB">
        <w:t>geordnet</w:t>
      </w:r>
      <w:r>
        <w:t>e Mengen</w:t>
      </w:r>
      <w:r w:rsidR="005D7996">
        <w:fldChar w:fldCharType="begin"/>
      </w:r>
      <w:r w:rsidR="00C2705E">
        <w:instrText xml:space="preserve"> XE "</w:instrText>
      </w:r>
      <w:r w:rsidR="00C2705E" w:rsidRPr="00417490">
        <w:instrText>Menge, geordnete</w:instrText>
      </w:r>
      <w:r w:rsidR="00C2705E">
        <w:instrText xml:space="preserve">" </w:instrText>
      </w:r>
      <w:r w:rsidR="005D7996">
        <w:fldChar w:fldCharType="end"/>
      </w:r>
      <w:r w:rsidR="00A34BB6">
        <w:t>.</w:t>
      </w:r>
      <w:r>
        <w:rPr>
          <w:rStyle w:val="Funotenzeichen"/>
        </w:rPr>
        <w:footnoteReference w:id="511"/>
      </w:r>
      <w:r w:rsidR="00A34BB6">
        <w:t xml:space="preserve"> </w:t>
      </w:r>
      <w:r w:rsidR="003124BB">
        <w:t xml:space="preserve">Die </w:t>
      </w:r>
      <w:r w:rsidR="003124BB" w:rsidRPr="003124BB">
        <w:rPr>
          <w:i/>
        </w:rPr>
        <w:t>k</w:t>
      </w:r>
      <w:r w:rsidR="003124BB">
        <w:t xml:space="preserve">te Funktion der Funktionsmenge </w:t>
      </w:r>
      <w:r w:rsidR="003124BB" w:rsidRPr="003124BB">
        <w:rPr>
          <w:i/>
        </w:rPr>
        <w:t>Op</w:t>
      </w:r>
      <w:r w:rsidR="003124BB">
        <w:t xml:space="preserve"> wird aufgerufen als </w:t>
      </w:r>
      <w:r w:rsidR="003124BB" w:rsidRPr="00772F58">
        <w:rPr>
          <w:i/>
        </w:rPr>
        <w:t>Op</w:t>
      </w:r>
      <w:r w:rsidR="003124BB" w:rsidRPr="003124BB">
        <w:rPr>
          <w:i/>
          <w:iCs/>
          <w:vertAlign w:val="subscript"/>
        </w:rPr>
        <w:t>k</w:t>
      </w:r>
      <w:r w:rsidR="003124BB">
        <w:t>.</w:t>
      </w:r>
    </w:p>
    <w:p w:rsidR="005B69FE" w:rsidRDefault="00E0248A" w:rsidP="005B69FE">
      <w:pPr>
        <w:pStyle w:val="Text"/>
      </w:pPr>
      <w:r>
        <w:t xml:space="preserve">Jede </w:t>
      </w:r>
      <w:r w:rsidR="005B69FE">
        <w:t xml:space="preserve">Operationsfunktion </w:t>
      </w:r>
      <w:r>
        <w:t xml:space="preserve">erzeugt </w:t>
      </w:r>
      <w:r w:rsidR="005B69FE">
        <w:t>aus dem Input</w:t>
      </w:r>
      <w:r>
        <w:t>, der ihr beim Aufruf als P</w:t>
      </w:r>
      <w:r>
        <w:t>a</w:t>
      </w:r>
      <w:r>
        <w:t>rameter übergeben wird,</w:t>
      </w:r>
      <w:r w:rsidR="005B69FE">
        <w:t xml:space="preserve"> entsprechend </w:t>
      </w:r>
      <w:r w:rsidR="000E45FB">
        <w:t xml:space="preserve">ihrem </w:t>
      </w:r>
      <w:r w:rsidR="00525883">
        <w:t>Operationstyp (Deduktion, Indu</w:t>
      </w:r>
      <w:r w:rsidR="00525883">
        <w:t>k</w:t>
      </w:r>
      <w:r w:rsidR="00525883">
        <w:t>tion,</w:t>
      </w:r>
      <w:r w:rsidR="005B69FE">
        <w:t xml:space="preserve"> …)</w:t>
      </w:r>
      <w:r>
        <w:t xml:space="preserve"> einen Output, den sie zurückgibt</w:t>
      </w:r>
      <w:r w:rsidR="005B69FE">
        <w:t>.</w:t>
      </w:r>
      <w:r w:rsidR="00B76F44">
        <w:rPr>
          <w:rStyle w:val="Funotenzeichen"/>
        </w:rPr>
        <w:footnoteReference w:id="512"/>
      </w:r>
      <w:r w:rsidR="009F3781">
        <w:t xml:space="preserve"> </w:t>
      </w:r>
      <w:r w:rsidR="005B69FE">
        <w:t>Es wird spezifiziert, dass nur E</w:t>
      </w:r>
      <w:r w:rsidR="005B69FE">
        <w:t>r</w:t>
      </w:r>
      <w:r w:rsidR="005B69FE">
        <w:lastRenderedPageBreak/>
        <w:t>zeugungsprozesse vollzogen werden, die alle Elemente des Inputs verwenden. Diese Spezifikation dient der Redundanzvermeidung, da die Operation</w:t>
      </w:r>
      <w:r w:rsidR="0087251F">
        <w:t>sfunktion</w:t>
      </w:r>
      <w:r w:rsidR="005B69FE">
        <w:t xml:space="preserve"> sowieso für jede Teilmengen des Inputs einmal aufgerufen wird. Operation</w:t>
      </w:r>
      <w:r w:rsidR="005B69FE">
        <w:t>s</w:t>
      </w:r>
      <w:r w:rsidR="005B69FE">
        <w:t>funktionen müssen zudem einen Mechanismus besitzen, der das ‚Aufhängen‘ der Funktion durch die Erzeugung immer weiterer Ergebnisse oder auch durch en</w:t>
      </w:r>
      <w:r w:rsidR="005B69FE">
        <w:t>d</w:t>
      </w:r>
      <w:r w:rsidR="005B69FE">
        <w:t>lose Suche nach Ergebnissen verhindert. Eine Operationsfunktion muss also prinzipiell die Suche abbrechen können, bevor alle Möglichkeiten der Ergebni</w:t>
      </w:r>
      <w:r w:rsidR="005B69FE">
        <w:t>s</w:t>
      </w:r>
      <w:r w:rsidR="005B69FE">
        <w:t>erzeugung aus dem Input überprüft wurden. Dies könnte nach einem Zeitlimit (wenn ein Zeitgeber vorhanden ist) oder nach einem Limit an Rechenschritten erfolgen.</w:t>
      </w:r>
    </w:p>
    <w:bookmarkEnd w:id="400"/>
    <w:p w:rsidR="00BF4A27" w:rsidRPr="00BF4A27" w:rsidRDefault="00470B9F" w:rsidP="00AB20AF">
      <w:pPr>
        <w:pStyle w:val="Zwischenberschrift"/>
      </w:pPr>
      <w:r>
        <w:t>Die Funktion Sorte</w:t>
      </w:r>
    </w:p>
    <w:p w:rsidR="008763DF" w:rsidRDefault="00470B9F" w:rsidP="00AB20AF">
      <w:pPr>
        <w:pStyle w:val="Text"/>
        <w:ind w:firstLine="0"/>
      </w:pPr>
      <w:r>
        <w:t xml:space="preserve">Die Funktion </w:t>
      </w:r>
      <w:r>
        <w:rPr>
          <w:i/>
        </w:rPr>
        <w:t>Sorte</w:t>
      </w:r>
      <w:r>
        <w:t xml:space="preserve"> erhält als Parameter ein Ergebnis </w:t>
      </w:r>
      <w:r w:rsidR="007111F6">
        <w:t xml:space="preserve">und liefert </w:t>
      </w:r>
      <w:r>
        <w:t>die Sorte dieses Ergebnisses zurück. Die gefundenen Sorten werden in die Sorten</w:t>
      </w:r>
      <w:r w:rsidR="001D2B3D">
        <w:t>menge</w:t>
      </w:r>
      <w:r>
        <w:t xml:space="preserve"> </w:t>
      </w:r>
      <w:r w:rsidRPr="00470B9F">
        <w:rPr>
          <w:i/>
        </w:rPr>
        <w:t>So</w:t>
      </w:r>
      <w:r>
        <w:t xml:space="preserve"> g</w:t>
      </w:r>
      <w:r>
        <w:t>e</w:t>
      </w:r>
      <w:r>
        <w:t>schrieben.</w:t>
      </w:r>
      <w:r w:rsidR="008763DF">
        <w:t xml:space="preserve"> Geht man davon aus, dass die Funktion </w:t>
      </w:r>
      <w:r w:rsidR="008763DF" w:rsidRPr="008763DF">
        <w:rPr>
          <w:i/>
        </w:rPr>
        <w:t>Sorte</w:t>
      </w:r>
      <w:r w:rsidR="008763DF">
        <w:t xml:space="preserve"> zuverlässig alle denkb</w:t>
      </w:r>
      <w:r w:rsidR="008763DF">
        <w:t>a</w:t>
      </w:r>
      <w:r w:rsidR="008763DF">
        <w:t>ren Sorten findet, ergibt sich die korrekte Sorten</w:t>
      </w:r>
      <w:r w:rsidR="001D2B3D">
        <w:t>menge</w:t>
      </w:r>
      <w:r w:rsidR="008763DF">
        <w:t xml:space="preserve"> </w:t>
      </w:r>
      <w:r w:rsidR="008763DF" w:rsidRPr="008763DF">
        <w:rPr>
          <w:i/>
        </w:rPr>
        <w:t>So</w:t>
      </w:r>
      <w:r w:rsidR="008763DF">
        <w:t>.</w:t>
      </w:r>
      <w:r w:rsidR="005D6779">
        <w:rPr>
          <w:rStyle w:val="Funotenzeichen"/>
        </w:rPr>
        <w:footnoteReference w:id="513"/>
      </w:r>
    </w:p>
    <w:p w:rsidR="005235ED" w:rsidRDefault="005235ED" w:rsidP="005235ED">
      <w:pPr>
        <w:pStyle w:val="Text"/>
      </w:pPr>
      <w:r>
        <w:t xml:space="preserve">Prinzipiell </w:t>
      </w:r>
      <w:r w:rsidR="005B33D0">
        <w:t xml:space="preserve">setzt das Modell damit </w:t>
      </w:r>
      <w:r>
        <w:t xml:space="preserve">keine </w:t>
      </w:r>
      <w:r w:rsidR="005B33D0">
        <w:t xml:space="preserve">feste </w:t>
      </w:r>
      <w:r>
        <w:t xml:space="preserve">Liste von Sorten </w:t>
      </w:r>
      <w:r w:rsidR="005B33D0">
        <w:t xml:space="preserve">voraus; es ist jederzeit möglich, dass bei der Interpretation Interpretationsergebnisse bisher unbekannter Sorten erzeugt werden (was natürlich voraussetzt, dass zumindest eine der angewandten Operationen dazu in der Lage ist). </w:t>
      </w:r>
      <w:r>
        <w:t>Dies</w:t>
      </w:r>
      <w:r w:rsidR="005B33D0">
        <w:t xml:space="preserve">e Offenheit </w:t>
      </w:r>
      <w:r>
        <w:t>soll einerseits auf der Beschreibungsebene</w:t>
      </w:r>
      <w:r w:rsidR="005D7996">
        <w:fldChar w:fldCharType="begin"/>
      </w:r>
      <w:r w:rsidR="000623C8">
        <w:instrText xml:space="preserve"> XE "</w:instrText>
      </w:r>
      <w:r w:rsidR="000623C8" w:rsidRPr="00D31CD7">
        <w:rPr>
          <w:szCs w:val="17"/>
        </w:rPr>
        <w:instrText>Beschreibungsebene</w:instrText>
      </w:r>
      <w:r w:rsidR="00F815B0">
        <w:rPr>
          <w:szCs w:val="17"/>
        </w:rPr>
        <w:instrText xml:space="preserve"> (</w:instrText>
      </w:r>
      <w:r w:rsidR="00DE32C1">
        <w:rPr>
          <w:szCs w:val="17"/>
        </w:rPr>
        <w:instrText>Wissenschaftstheorie</w:instrText>
      </w:r>
      <w:r w:rsidR="00F815B0">
        <w:rPr>
          <w:szCs w:val="17"/>
        </w:rPr>
        <w:instrText>)</w:instrText>
      </w:r>
      <w:r w:rsidR="000623C8">
        <w:instrText xml:space="preserve">" </w:instrText>
      </w:r>
      <w:r w:rsidR="005D7996">
        <w:fldChar w:fldCharType="end"/>
      </w:r>
      <w:r>
        <w:t xml:space="preserve"> die </w:t>
      </w:r>
      <w:r w:rsidR="00A72A12">
        <w:t>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A72A12">
        <w:t xml:space="preserve"> </w:t>
      </w:r>
      <w:r>
        <w:t xml:space="preserve">flexibel halten, </w:t>
      </w:r>
      <w:r w:rsidR="001770C8">
        <w:t xml:space="preserve">indem </w:t>
      </w:r>
      <w:r>
        <w:t>weitere Sorten leicht hinzugefügt werden können, wenn die Erkenntnisse the</w:t>
      </w:r>
      <w:r>
        <w:t>o</w:t>
      </w:r>
      <w:r>
        <w:t>retischer oder empirischer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xml:space="preserve"> dies nahelegen. Auch bezogen auf die Objektebene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t xml:space="preserve"> soll die Sortenmenge als offen gelten: Von Stil</w:t>
      </w:r>
      <w:r w:rsidR="00817459">
        <w:t>benutzern</w:t>
      </w:r>
      <w:r>
        <w:t xml:space="preserve"> können neue Sorten von Interpretationsergebnissen erzeugt werden, sei es durch den</w:t>
      </w:r>
      <w:r w:rsidR="00817459" w:rsidRPr="00817459">
        <w:t xml:space="preserve"> </w:t>
      </w:r>
      <w:r w:rsidR="00817459">
        <w:t>Stilanwender</w:t>
      </w:r>
      <w:r>
        <w:t>, der bei der Konstruktion der Realisierung ihre Entstehung (a</w:t>
      </w:r>
      <w:r>
        <w:t>b</w:t>
      </w:r>
      <w:r>
        <w:t xml:space="preserve">sichtlich oder unabsichtlich) vorwegnimmt und entsprechende Merkmalsregeln verwendet, oder durch den </w:t>
      </w:r>
      <w:r w:rsidR="00817459">
        <w:t>Stilwahrnehmer</w:t>
      </w:r>
      <w:r>
        <w:t>, der sie in der Interpretation entw</w:t>
      </w:r>
      <w:r>
        <w:t>i</w:t>
      </w:r>
      <w:r>
        <w:t>ckelt.</w:t>
      </w:r>
    </w:p>
    <w:p w:rsidR="008763DF" w:rsidRDefault="008763DF" w:rsidP="008763DF">
      <w:pPr>
        <w:pStyle w:val="Text"/>
      </w:pPr>
      <w:r>
        <w:t>Für die Arbeit mit Beispielen kann es allerdings hilfreich sein, eine Liste von Sorten aufzustellen:</w:t>
      </w:r>
    </w:p>
    <w:p w:rsidR="008763DF" w:rsidRDefault="008763DF" w:rsidP="00CB6723">
      <w:pPr>
        <w:pStyle w:val="Formel"/>
      </w:pPr>
      <w:r w:rsidRPr="00CB6723">
        <w:rPr>
          <w:i/>
        </w:rPr>
        <w:t>So</w:t>
      </w:r>
      <w:r w:rsidRPr="00CB6723">
        <w:rPr>
          <w:i/>
          <w:iCs/>
          <w:vertAlign w:val="subscript"/>
        </w:rPr>
        <w:t>1</w:t>
      </w:r>
      <w:r w:rsidR="00CB6723">
        <w:rPr>
          <w:iCs/>
          <w:vertAlign w:val="subscript"/>
        </w:rPr>
        <w:br/>
      </w:r>
      <w:r w:rsidRPr="00CB6723">
        <w:rPr>
          <w:i/>
        </w:rPr>
        <w:t>So</w:t>
      </w:r>
      <w:r w:rsidRPr="00CB6723">
        <w:rPr>
          <w:i/>
          <w:iCs/>
          <w:vertAlign w:val="subscript"/>
        </w:rPr>
        <w:t>2</w:t>
      </w:r>
      <w:r w:rsidR="00CB6723">
        <w:rPr>
          <w:iCs/>
          <w:vertAlign w:val="subscript"/>
        </w:rPr>
        <w:br/>
      </w:r>
      <w:r>
        <w:t>…</w:t>
      </w:r>
      <w:r w:rsidR="00CB6723">
        <w:br/>
      </w:r>
      <w:r w:rsidRPr="00CB6723">
        <w:rPr>
          <w:i/>
        </w:rPr>
        <w:t>So</w:t>
      </w:r>
      <w:r w:rsidRPr="00CB6723">
        <w:rPr>
          <w:i/>
          <w:vertAlign w:val="subscript"/>
        </w:rPr>
        <w:t>n</w:t>
      </w:r>
    </w:p>
    <w:p w:rsidR="008763DF" w:rsidRDefault="008763DF" w:rsidP="0075233C">
      <w:pPr>
        <w:pStyle w:val="Text"/>
        <w:ind w:firstLine="0"/>
      </w:pPr>
      <w:r>
        <w:lastRenderedPageBreak/>
        <w:t>Diese we</w:t>
      </w:r>
      <w:r w:rsidR="005235ED">
        <w:t>rden zur Sorten</w:t>
      </w:r>
      <w:r w:rsidR="00195DF6">
        <w:t>menge</w:t>
      </w:r>
      <w:r w:rsidRPr="000C3B5C">
        <w:t xml:space="preserve"> </w:t>
      </w:r>
      <w:r w:rsidRPr="000C3B5C">
        <w:rPr>
          <w:i/>
        </w:rPr>
        <w:t>So</w:t>
      </w:r>
      <w:r w:rsidRPr="000C3B5C">
        <w:t xml:space="preserve"> zusammengefasst:</w:t>
      </w:r>
    </w:p>
    <w:p w:rsidR="008763DF" w:rsidRDefault="008763DF" w:rsidP="0075233C">
      <w:pPr>
        <w:pStyle w:val="Formel"/>
      </w:pPr>
      <w:r w:rsidRPr="0004521A">
        <w:rPr>
          <w:i/>
        </w:rPr>
        <w:t>S</w:t>
      </w:r>
      <w:r>
        <w:rPr>
          <w:i/>
        </w:rPr>
        <w:t>o</w:t>
      </w:r>
      <w:r>
        <w:t xml:space="preserve"> := {</w:t>
      </w:r>
      <w:r>
        <w:rPr>
          <w:i/>
        </w:rPr>
        <w:t>So</w:t>
      </w:r>
      <w:r>
        <w:rPr>
          <w:iCs/>
          <w:vertAlign w:val="subscript"/>
        </w:rPr>
        <w:t>1</w:t>
      </w:r>
      <w:r>
        <w:t xml:space="preserve">, </w:t>
      </w:r>
      <w:r>
        <w:rPr>
          <w:i/>
        </w:rPr>
        <w:t>So</w:t>
      </w:r>
      <w:r>
        <w:rPr>
          <w:iCs/>
          <w:vertAlign w:val="subscript"/>
        </w:rPr>
        <w:t>2</w:t>
      </w:r>
      <w:r>
        <w:t>, …,</w:t>
      </w:r>
      <w:r w:rsidRPr="000C3B5C">
        <w:rPr>
          <w:i/>
        </w:rPr>
        <w:t xml:space="preserve"> </w:t>
      </w:r>
      <w:r>
        <w:rPr>
          <w:i/>
        </w:rPr>
        <w:t>So</w:t>
      </w:r>
      <w:r w:rsidRPr="000C3B5C">
        <w:rPr>
          <w:i/>
          <w:vertAlign w:val="subscript"/>
        </w:rPr>
        <w:t>n</w:t>
      </w:r>
      <w:r>
        <w:t>}</w:t>
      </w:r>
    </w:p>
    <w:p w:rsidR="008763DF" w:rsidRDefault="008763DF" w:rsidP="0075233C">
      <w:pPr>
        <w:pStyle w:val="Text"/>
        <w:ind w:firstLine="0"/>
      </w:pPr>
      <w:r>
        <w:t>Wird die Definition einer neuen Sorte nötig, wird diese einfach der Liste hinz</w:t>
      </w:r>
      <w:r>
        <w:t>u</w:t>
      </w:r>
      <w:r>
        <w:t>gefügt.</w:t>
      </w:r>
    </w:p>
    <w:p w:rsidR="008763DF" w:rsidRDefault="005235ED" w:rsidP="008763DF">
      <w:pPr>
        <w:pStyle w:val="Text"/>
      </w:pPr>
      <w:r>
        <w:t xml:space="preserve">Für die Konstruktion der Beispiele in den Abschnitten </w:t>
      </w:r>
      <w:r w:rsidR="005D7996">
        <w:fldChar w:fldCharType="begin"/>
      </w:r>
      <w:r>
        <w:instrText xml:space="preserve"> REF _Ref254339704 \r \h </w:instrText>
      </w:r>
      <w:r w:rsidR="005D7996">
        <w:fldChar w:fldCharType="separate"/>
      </w:r>
      <w:r w:rsidR="001231D3">
        <w:t>6.3</w:t>
      </w:r>
      <w:r w:rsidR="005D7996">
        <w:fldChar w:fldCharType="end"/>
      </w:r>
      <w:r>
        <w:t xml:space="preserve">, </w:t>
      </w:r>
      <w:r w:rsidR="005D7996">
        <w:fldChar w:fldCharType="begin"/>
      </w:r>
      <w:r w:rsidR="00FE3966">
        <w:instrText xml:space="preserve"> REF _Ref259795418 \r \h </w:instrText>
      </w:r>
      <w:r w:rsidR="005D7996">
        <w:fldChar w:fldCharType="separate"/>
      </w:r>
      <w:r w:rsidR="001231D3">
        <w:t>6.4</w:t>
      </w:r>
      <w:r w:rsidR="005D7996">
        <w:fldChar w:fldCharType="end"/>
      </w:r>
      <w:r w:rsidR="00FE3966">
        <w:t xml:space="preserve"> </w:t>
      </w:r>
      <w:r>
        <w:t xml:space="preserve">und </w:t>
      </w:r>
      <w:r w:rsidR="005D7996">
        <w:fldChar w:fldCharType="begin"/>
      </w:r>
      <w:r>
        <w:instrText xml:space="preserve"> REF _Ref255407192 \r \h </w:instrText>
      </w:r>
      <w:r w:rsidR="005D7996">
        <w:fldChar w:fldCharType="separate"/>
      </w:r>
      <w:r w:rsidR="001231D3">
        <w:t>7.1</w:t>
      </w:r>
      <w:r w:rsidR="005D7996">
        <w:fldChar w:fldCharType="end"/>
      </w:r>
      <w:r>
        <w:t xml:space="preserve"> wu</w:t>
      </w:r>
      <w:r>
        <w:t>r</w:t>
      </w:r>
      <w:r>
        <w:t>de die folgende Liste von Sorten angenommen:</w:t>
      </w:r>
    </w:p>
    <w:p w:rsidR="008763DF" w:rsidRPr="00175216" w:rsidRDefault="008763DF" w:rsidP="00CB6723">
      <w:pPr>
        <w:pStyle w:val="Formel"/>
      </w:pPr>
      <w:r w:rsidRPr="00CB6723">
        <w:t>p</w:t>
      </w:r>
      <w:r w:rsidR="00426511" w:rsidRPr="00CB6723">
        <w:t xml:space="preserve"> = Proposition</w:t>
      </w:r>
      <w:r w:rsidR="00FC3D1C" w:rsidRPr="00CB6723">
        <w:t>sannahme</w:t>
      </w:r>
      <w:r w:rsidR="00CB6723">
        <w:br/>
      </w:r>
      <w:r w:rsidRPr="00CB6723">
        <w:t>g</w:t>
      </w:r>
      <w:r w:rsidR="00426511" w:rsidRPr="00CB6723">
        <w:t xml:space="preserve"> = Gefühl</w:t>
      </w:r>
      <w:r w:rsidR="00CB6723">
        <w:br/>
      </w:r>
      <w:r w:rsidRPr="00CB6723">
        <w:t>e</w:t>
      </w:r>
      <w:r w:rsidR="00426511">
        <w:t xml:space="preserve"> = </w:t>
      </w:r>
      <w:r w:rsidRPr="00175216">
        <w:t>Eindruck</w:t>
      </w:r>
    </w:p>
    <w:p w:rsidR="008763DF" w:rsidRDefault="00BD3133" w:rsidP="00CB6723">
      <w:pPr>
        <w:pStyle w:val="Text"/>
        <w:ind w:firstLine="0"/>
      </w:pPr>
      <w:r>
        <w:t xml:space="preserve">Die </w:t>
      </w:r>
      <w:r w:rsidR="008763DF">
        <w:t>Sorten</w:t>
      </w:r>
      <w:r w:rsidR="00195DF6">
        <w:t>menge</w:t>
      </w:r>
      <w:r w:rsidR="00FB0C5F">
        <w:t xml:space="preserve"> </w:t>
      </w:r>
      <w:r>
        <w:t>ist</w:t>
      </w:r>
      <w:r w:rsidR="00FB0C5F">
        <w:t>:</w:t>
      </w:r>
    </w:p>
    <w:p w:rsidR="008763DF" w:rsidRDefault="008763DF" w:rsidP="00CB6723">
      <w:pPr>
        <w:pStyle w:val="Formel"/>
      </w:pPr>
      <w:r w:rsidRPr="0004521A">
        <w:rPr>
          <w:i/>
        </w:rPr>
        <w:t>S</w:t>
      </w:r>
      <w:r>
        <w:rPr>
          <w:i/>
        </w:rPr>
        <w:t>o</w:t>
      </w:r>
      <w:r>
        <w:t xml:space="preserve"> := </w:t>
      </w:r>
      <w:r w:rsidR="001D2B3D">
        <w:t>{</w:t>
      </w:r>
      <w:r w:rsidR="001D2B3D" w:rsidRPr="0021789B">
        <w:rPr>
          <w:color w:val="000000" w:themeColor="text1"/>
        </w:rPr>
        <w:t>“</w:t>
      </w:r>
      <w:r w:rsidR="001D2B3D">
        <w:rPr>
          <w:color w:val="000000" w:themeColor="text1"/>
        </w:rPr>
        <w:t>p</w:t>
      </w:r>
      <w:r w:rsidR="001D2B3D" w:rsidRPr="00C06F76">
        <w:rPr>
          <w:color w:val="000000" w:themeColor="text1"/>
        </w:rPr>
        <w:t>”</w:t>
      </w:r>
      <w:r w:rsidR="001D2B3D">
        <w:t xml:space="preserve">, </w:t>
      </w:r>
      <w:r w:rsidR="001D2B3D" w:rsidRPr="0021789B">
        <w:rPr>
          <w:color w:val="000000" w:themeColor="text1"/>
        </w:rPr>
        <w:t>“</w:t>
      </w:r>
      <w:r w:rsidR="001D2B3D">
        <w:rPr>
          <w:color w:val="000000" w:themeColor="text1"/>
        </w:rPr>
        <w:t>g</w:t>
      </w:r>
      <w:r w:rsidR="001D2B3D" w:rsidRPr="00C06F76">
        <w:rPr>
          <w:color w:val="000000" w:themeColor="text1"/>
        </w:rPr>
        <w:t>”</w:t>
      </w:r>
      <w:r w:rsidR="001D2B3D">
        <w:t xml:space="preserve">, </w:t>
      </w:r>
      <w:r w:rsidR="001D2B3D" w:rsidRPr="0021789B">
        <w:rPr>
          <w:color w:val="000000" w:themeColor="text1"/>
        </w:rPr>
        <w:t>“</w:t>
      </w:r>
      <w:r w:rsidR="001D2B3D">
        <w:t>e</w:t>
      </w:r>
      <w:r w:rsidR="001D2B3D" w:rsidRPr="00C06F76">
        <w:rPr>
          <w:color w:val="000000" w:themeColor="text1"/>
        </w:rPr>
        <w:t>”</w:t>
      </w:r>
      <w:r w:rsidR="001D2B3D">
        <w:t>}</w:t>
      </w:r>
    </w:p>
    <w:p w:rsidR="00C950B8" w:rsidRDefault="008763DF" w:rsidP="00CB6723">
      <w:pPr>
        <w:pStyle w:val="Text"/>
        <w:ind w:firstLine="0"/>
      </w:pPr>
      <w:r>
        <w:t xml:space="preserve">In der </w:t>
      </w:r>
      <w:r w:rsidR="001770C8">
        <w:t xml:space="preserve">oben </w:t>
      </w:r>
      <w:r>
        <w:t xml:space="preserve">angegebenen </w:t>
      </w:r>
      <w:r w:rsidRPr="00183F54">
        <w:t>Variante</w:t>
      </w:r>
      <w:r>
        <w:t xml:space="preserve"> zur Funktion </w:t>
      </w:r>
      <w:r w:rsidRPr="00470B9F">
        <w:rPr>
          <w:i/>
        </w:rPr>
        <w:t>Interpretation</w:t>
      </w:r>
      <w:r>
        <w:t xml:space="preserve"> wird diese </w:t>
      </w:r>
      <w:r w:rsidR="005235ED">
        <w:t xml:space="preserve">Liste von Sorten </w:t>
      </w:r>
      <w:r>
        <w:t xml:space="preserve">als gegeben angenommen und auf die Funktion </w:t>
      </w:r>
      <w:r w:rsidRPr="00470B9F">
        <w:rPr>
          <w:i/>
        </w:rPr>
        <w:t>Sorte</w:t>
      </w:r>
      <w:r>
        <w:t xml:space="preserve"> verzichtet.</w:t>
      </w:r>
    </w:p>
    <w:p w:rsidR="0072651B" w:rsidRPr="00557C80" w:rsidRDefault="0072651B" w:rsidP="00CB6723">
      <w:pPr>
        <w:pStyle w:val="Zwischenberschrift"/>
      </w:pPr>
      <w:r w:rsidRPr="0072651B">
        <w:t>Die Funktion</w:t>
      </w:r>
      <w:r w:rsidRPr="00557C80">
        <w:t xml:space="preserve"> </w:t>
      </w:r>
      <w:r w:rsidR="00557C80" w:rsidRPr="00925D9C">
        <w:t>Interesse</w:t>
      </w:r>
    </w:p>
    <w:p w:rsidR="00D353D6" w:rsidRDefault="00430C8F" w:rsidP="00CB6723">
      <w:pPr>
        <w:pStyle w:val="Text"/>
        <w:ind w:firstLine="0"/>
      </w:pPr>
      <w:r>
        <w:t xml:space="preserve">Die Funktion </w:t>
      </w:r>
      <w:r w:rsidR="00557C80">
        <w:rPr>
          <w:i/>
        </w:rPr>
        <w:t xml:space="preserve">Interesse </w:t>
      </w:r>
      <w:r>
        <w:t xml:space="preserve">wird an verschiedenen Stellen in der Funktion </w:t>
      </w:r>
      <w:r w:rsidRPr="004E15B2">
        <w:rPr>
          <w:i/>
        </w:rPr>
        <w:t>Interpret</w:t>
      </w:r>
      <w:r w:rsidRPr="004E15B2">
        <w:rPr>
          <w:i/>
        </w:rPr>
        <w:t>a</w:t>
      </w:r>
      <w:r w:rsidRPr="004E15B2">
        <w:rPr>
          <w:i/>
        </w:rPr>
        <w:t>tion</w:t>
      </w:r>
      <w:r>
        <w:t xml:space="preserve"> und der Funktion </w:t>
      </w:r>
      <w:r w:rsidRPr="004E15B2">
        <w:rPr>
          <w:i/>
        </w:rPr>
        <w:t>Ergebnisse</w:t>
      </w:r>
      <w:r>
        <w:t xml:space="preserve"> (</w:t>
      </w:r>
      <w:r w:rsidR="008710BB">
        <w:t xml:space="preserve">siehe </w:t>
      </w:r>
      <w:r>
        <w:t>Abschnitt</w:t>
      </w:r>
      <w:r w:rsidR="008710BB">
        <w:t xml:space="preserve"> </w:t>
      </w:r>
      <w:r w:rsidR="005D7996">
        <w:fldChar w:fldCharType="begin"/>
      </w:r>
      <w:r w:rsidR="008710BB">
        <w:instrText xml:space="preserve"> REF _Ref254694742 \r \h </w:instrText>
      </w:r>
      <w:r w:rsidR="005D7996">
        <w:fldChar w:fldCharType="separate"/>
      </w:r>
      <w:r w:rsidR="001231D3">
        <w:t>7.2.3</w:t>
      </w:r>
      <w:r w:rsidR="005D7996">
        <w:fldChar w:fldCharType="end"/>
      </w:r>
      <w:r>
        <w:t>) aufgerufen. Sie erhält als Parameter einen Input, den sie daraufhin überprüft, ob der</w:t>
      </w:r>
      <w:r w:rsidR="00DD45B2">
        <w:t xml:space="preserve"> SW </w:t>
      </w:r>
      <w:r w:rsidR="00557C80">
        <w:t xml:space="preserve">daran </w:t>
      </w:r>
      <w:r w:rsidR="00557C80" w:rsidRPr="00557C80">
        <w:rPr>
          <w:color w:val="000000" w:themeColor="text1"/>
        </w:rPr>
        <w:t>Intere</w:t>
      </w:r>
      <w:r w:rsidR="00557C80" w:rsidRPr="00557C80">
        <w:rPr>
          <w:color w:val="000000" w:themeColor="text1"/>
        </w:rPr>
        <w:t>s</w:t>
      </w:r>
      <w:r w:rsidR="00557C80" w:rsidRPr="00557C80">
        <w:rPr>
          <w:color w:val="000000" w:themeColor="text1"/>
        </w:rPr>
        <w:t>se</w:t>
      </w:r>
      <w:r>
        <w:t xml:space="preserve"> </w:t>
      </w:r>
      <w:r w:rsidR="00557C80">
        <w:t xml:space="preserve">hat oder </w:t>
      </w:r>
      <w:r>
        <w:t>nicht. Ihre Rückgabe besteht aus einem der Werte 1 (</w:t>
      </w:r>
      <w:r w:rsidR="00557C80" w:rsidRPr="00557C80">
        <w:rPr>
          <w:color w:val="000000" w:themeColor="text1"/>
        </w:rPr>
        <w:t>Interesse</w:t>
      </w:r>
      <w:r>
        <w:t xml:space="preserve">) oder 0 (kein </w:t>
      </w:r>
      <w:r w:rsidR="00557C80" w:rsidRPr="00557C80">
        <w:rPr>
          <w:color w:val="000000" w:themeColor="text1"/>
        </w:rPr>
        <w:t>Interesse</w:t>
      </w:r>
      <w:r>
        <w:t xml:space="preserve">). Als Input kann sie </w:t>
      </w:r>
      <w:r w:rsidR="008524F8">
        <w:t xml:space="preserve">Mengen verschiedener Sorten verarbeiten, </w:t>
      </w:r>
      <w:r w:rsidR="00F11386">
        <w:t>zumindest gehören dazu</w:t>
      </w:r>
      <w:r w:rsidR="008524F8">
        <w:t xml:space="preserve"> Mengen von </w:t>
      </w:r>
      <w:r>
        <w:t xml:space="preserve">Merkmalsregeln, von </w:t>
      </w:r>
      <w:r w:rsidR="008524F8">
        <w:t>Ergebnissen, von Hintergrundwissen und von Operationen.</w:t>
      </w:r>
    </w:p>
    <w:p w:rsidR="004539F4" w:rsidRDefault="00D353D6">
      <w:pPr>
        <w:pStyle w:val="Text"/>
      </w:pPr>
      <w:r>
        <w:t xml:space="preserve">Die Funktion simuliert </w:t>
      </w:r>
      <w:r w:rsidR="00557C80">
        <w:t>das Interesse des S</w:t>
      </w:r>
      <w:r w:rsidR="00DD45B2">
        <w:t>W</w:t>
      </w:r>
      <w:r w:rsidR="00C02D32">
        <w:t xml:space="preserve">, </w:t>
      </w:r>
      <w:r w:rsidR="00557C80">
        <w:t xml:space="preserve">das </w:t>
      </w:r>
      <w:r w:rsidR="00C02D32">
        <w:t xml:space="preserve">verschiedene Ursachen haben kann: </w:t>
      </w:r>
      <w:r w:rsidR="00557C80">
        <w:t xml:space="preserve">Momentane Ziele, frühere Prägungen und Erfahrungen, Prägnanz </w:t>
      </w:r>
      <w:r w:rsidR="004E15B2">
        <w:t>des Wahrgenommenen</w:t>
      </w:r>
      <w:r w:rsidR="00C02D32">
        <w:t xml:space="preserve">, </w:t>
      </w:r>
      <w:r w:rsidR="004E15B2">
        <w:t>automatische Aufmerksamkeitsmus</w:t>
      </w:r>
      <w:r w:rsidR="00557C80">
        <w:t xml:space="preserve">ter und </w:t>
      </w:r>
      <w:r w:rsidR="004E15B2">
        <w:t>bewusste Lenkung de</w:t>
      </w:r>
      <w:r w:rsidR="00557C80">
        <w:t>s</w:t>
      </w:r>
      <w:r w:rsidR="004E15B2">
        <w:t xml:space="preserve"> </w:t>
      </w:r>
      <w:r w:rsidR="00557C80">
        <w:t xml:space="preserve">Interesses </w:t>
      </w:r>
      <w:r w:rsidR="004E15B2">
        <w:t>sind einige der denkbaren Mechanismen.</w:t>
      </w:r>
      <w:r w:rsidR="00F11386">
        <w:t xml:space="preserve"> </w:t>
      </w:r>
      <w:r w:rsidR="002A54DC">
        <w:t xml:space="preserve">Innerhalb des Interpretationsprozesses </w:t>
      </w:r>
      <w:r w:rsidR="00F11386">
        <w:t xml:space="preserve">bestimmt die Funktion, </w:t>
      </w:r>
      <w:r w:rsidR="00A21887">
        <w:t>welchen Weg die Interpretat</w:t>
      </w:r>
      <w:r w:rsidR="00A21887">
        <w:t>i</w:t>
      </w:r>
      <w:r w:rsidR="00A21887">
        <w:t xml:space="preserve">on geht. </w:t>
      </w:r>
      <w:r w:rsidR="004539F4">
        <w:t>Ihre Einführung hat mehrere wichtige Konsequenzen:</w:t>
      </w:r>
    </w:p>
    <w:p w:rsidR="004539F4" w:rsidRDefault="004539F4" w:rsidP="004539F4">
      <w:pPr>
        <w:pStyle w:val="Text"/>
      </w:pPr>
      <w:r>
        <w:t>(1) Realistische Interpretationsverläufe entstehen</w:t>
      </w:r>
      <w:r w:rsidR="00221579">
        <w:t>,</w:t>
      </w:r>
      <w:r>
        <w:t xml:space="preserve"> (2) tatsächliche Interpr</w:t>
      </w:r>
      <w:r>
        <w:t>e</w:t>
      </w:r>
      <w:r>
        <w:t>tationen können nachvollzogen werden</w:t>
      </w:r>
      <w:r w:rsidR="00221579">
        <w:t>,</w:t>
      </w:r>
      <w:r>
        <w:t xml:space="preserve"> (3) nichtendende Interpretationen we</w:t>
      </w:r>
      <w:r>
        <w:t>r</w:t>
      </w:r>
      <w:r>
        <w:t>den verhindert</w:t>
      </w:r>
      <w:r w:rsidR="00221579">
        <w:t xml:space="preserve"> und</w:t>
      </w:r>
      <w:r>
        <w:t xml:space="preserve"> (4) ergebnislose Interpretationen werden ermöglicht.</w:t>
      </w:r>
    </w:p>
    <w:p w:rsidR="00A21887" w:rsidRDefault="00914080">
      <w:pPr>
        <w:pStyle w:val="Text"/>
      </w:pPr>
      <w:r>
        <w:t xml:space="preserve">Zu </w:t>
      </w:r>
      <w:r w:rsidR="004539F4">
        <w:t>(1)</w:t>
      </w:r>
      <w:r>
        <w:t>:</w:t>
      </w:r>
      <w:r>
        <w:tab/>
      </w:r>
      <w:r w:rsidR="00F11386">
        <w:t xml:space="preserve">Ohne </w:t>
      </w:r>
      <w:r w:rsidR="004539F4">
        <w:t xml:space="preserve">diese Funktion </w:t>
      </w:r>
      <w:r w:rsidR="00A21887">
        <w:t xml:space="preserve">würde </w:t>
      </w:r>
      <w:r w:rsidR="00F11386">
        <w:t>der Interpretationsprozess</w:t>
      </w:r>
      <w:r w:rsidR="004539F4">
        <w:t xml:space="preserve"> </w:t>
      </w:r>
      <w:r w:rsidR="00F11386">
        <w:t>gewisse</w:t>
      </w:r>
      <w:r w:rsidR="00F11386">
        <w:t>r</w:t>
      </w:r>
      <w:r w:rsidR="00F11386">
        <w:t xml:space="preserve">maßen </w:t>
      </w:r>
      <w:r w:rsidR="00A21887" w:rsidRPr="00A21887">
        <w:rPr>
          <w:i/>
        </w:rPr>
        <w:t>brute force</w:t>
      </w:r>
      <w:r w:rsidR="00A21887">
        <w:t xml:space="preserve"> </w:t>
      </w:r>
      <w:r w:rsidR="00F11386">
        <w:t xml:space="preserve">vonstatten gehen: </w:t>
      </w:r>
      <w:r w:rsidR="00A21887">
        <w:t xml:space="preserve">Es würden </w:t>
      </w:r>
      <w:r w:rsidR="00F11386">
        <w:t xml:space="preserve">zu jedem Zeitpunkt </w:t>
      </w:r>
      <w:r w:rsidR="00A21887">
        <w:t>alle Tei</w:t>
      </w:r>
      <w:r w:rsidR="00A21887">
        <w:t>l</w:t>
      </w:r>
      <w:r w:rsidR="00A21887">
        <w:t xml:space="preserve">mengen von Merkmalsregeln, alle Teilmengen von </w:t>
      </w:r>
      <w:r w:rsidR="00F11386">
        <w:t>Ergebnissen, alle Teilmengen von Hintergrundwissen und alle Teilmengen von Operationen berücksichtigt sowie alle neu erzeugten Ergebnisse der Ergebnismenge hinzugefügt und in der Ausgabe geschrieben. Dies hätte aber mit tatsächlichen Interpretationen wenig zu tun, da diese immer einem oder mehreren Wegen folgen und an einigen Ste</w:t>
      </w:r>
      <w:r w:rsidR="00F11386">
        <w:t>l</w:t>
      </w:r>
      <w:r w:rsidR="00F11386">
        <w:t>len weiter in die Möglichkeiten der Ergebniserzeugung vordringen, während sie andere Interpretationspfade unberücksichtigt lassen.</w:t>
      </w:r>
    </w:p>
    <w:p w:rsidR="004539F4" w:rsidRDefault="00914080">
      <w:pPr>
        <w:pStyle w:val="Text"/>
      </w:pPr>
      <w:r>
        <w:lastRenderedPageBreak/>
        <w:t xml:space="preserve">Zu </w:t>
      </w:r>
      <w:r w:rsidR="004539F4">
        <w:t>(2)</w:t>
      </w:r>
      <w:r>
        <w:t>:</w:t>
      </w:r>
      <w:r>
        <w:tab/>
      </w:r>
      <w:r w:rsidR="004539F4">
        <w:t>Mit Hilfe dieser Funktion kann flexibel bestimmten Interpretat</w:t>
      </w:r>
      <w:r w:rsidR="004539F4">
        <w:t>i</w:t>
      </w:r>
      <w:r w:rsidR="004539F4">
        <w:t>onspfaden gefolgt werden, während andere, ebenfalls mögliche, ignoriert we</w:t>
      </w:r>
      <w:r w:rsidR="004539F4">
        <w:t>r</w:t>
      </w:r>
      <w:r w:rsidR="004539F4">
        <w:t xml:space="preserve">den. Tatsächliche Interpretationen können damit nachvollzogen werden (wie es beispielsweise in </w:t>
      </w:r>
      <w:r w:rsidR="008710BB">
        <w:t xml:space="preserve">den </w:t>
      </w:r>
      <w:r w:rsidR="004539F4">
        <w:t>Abschnitt</w:t>
      </w:r>
      <w:r w:rsidR="008710BB">
        <w:t>en</w:t>
      </w:r>
      <w:r w:rsidR="004539F4">
        <w:t xml:space="preserve"> </w:t>
      </w:r>
      <w:r w:rsidR="005D7996">
        <w:fldChar w:fldCharType="begin"/>
      </w:r>
      <w:r w:rsidR="004539F4">
        <w:instrText xml:space="preserve"> REF _Ref254004896 \r \h </w:instrText>
      </w:r>
      <w:r w:rsidR="005D7996">
        <w:fldChar w:fldCharType="separate"/>
      </w:r>
      <w:r w:rsidR="001231D3">
        <w:t>7.1.3</w:t>
      </w:r>
      <w:r w:rsidR="005D7996">
        <w:fldChar w:fldCharType="end"/>
      </w:r>
      <w:r w:rsidR="004539F4">
        <w:t xml:space="preserve"> und </w:t>
      </w:r>
      <w:r w:rsidR="005D7996">
        <w:fldChar w:fldCharType="begin"/>
      </w:r>
      <w:r w:rsidR="004539F4">
        <w:instrText xml:space="preserve"> REF _Ref254550229 \r \h </w:instrText>
      </w:r>
      <w:r w:rsidR="005D7996">
        <w:fldChar w:fldCharType="separate"/>
      </w:r>
      <w:r w:rsidR="001231D3">
        <w:t>7.1.5</w:t>
      </w:r>
      <w:r w:rsidR="005D7996">
        <w:fldChar w:fldCharType="end"/>
      </w:r>
      <w:r w:rsidR="004539F4">
        <w:t xml:space="preserve"> geschieht)</w:t>
      </w:r>
      <w:r w:rsidR="00A42506">
        <w:t xml:space="preserve">. Ohne die Funktion </w:t>
      </w:r>
      <w:r w:rsidR="00557C80" w:rsidRPr="00557C80">
        <w:rPr>
          <w:i/>
          <w:color w:val="000000" w:themeColor="text1"/>
        </w:rPr>
        <w:t>Interesse</w:t>
      </w:r>
      <w:r w:rsidR="00557C80">
        <w:t xml:space="preserve"> </w:t>
      </w:r>
      <w:r w:rsidR="00A42506">
        <w:t>müsste</w:t>
      </w:r>
      <w:r w:rsidR="004539F4">
        <w:t xml:space="preserve"> </w:t>
      </w:r>
      <w:r w:rsidR="00A42506">
        <w:t>dazu angenommen werden, dass tatsächlich nur die empirisch vorgefundenen Interpretationswege möglich und (für einen bestimmten S</w:t>
      </w:r>
      <w:r w:rsidR="00DD45B2">
        <w:t>W</w:t>
      </w:r>
      <w:r w:rsidR="00A42506">
        <w:t>) keine anderen Ergebnisse erzeugbar wären, was oft sehr unplausibel wäre.</w:t>
      </w:r>
    </w:p>
    <w:p w:rsidR="004539F4" w:rsidRDefault="00914080">
      <w:pPr>
        <w:pStyle w:val="Text"/>
      </w:pPr>
      <w:r>
        <w:t xml:space="preserve">Zu </w:t>
      </w:r>
      <w:r w:rsidR="004539F4">
        <w:t>(3)</w:t>
      </w:r>
      <w:r>
        <w:t>:</w:t>
      </w:r>
      <w:r>
        <w:tab/>
      </w:r>
      <w:r w:rsidR="00A42506">
        <w:t>Ab einer bestimmten Menge erzeugter Ergebnisse und relevanten Hintergrundwissens wird es immer wahrscheinlicher, dass die Stilinterpretation gar nicht mehr zum Stillstand kommt, da die Menge sich ergebender Interpret</w:t>
      </w:r>
      <w:r w:rsidR="00A42506">
        <w:t>a</w:t>
      </w:r>
      <w:r w:rsidR="00A42506">
        <w:t xml:space="preserve">tionspfade immer weiter ansteigt. Die Funktion </w:t>
      </w:r>
      <w:r w:rsidR="00557C80" w:rsidRPr="00557C80">
        <w:rPr>
          <w:i/>
          <w:color w:val="000000" w:themeColor="text1"/>
        </w:rPr>
        <w:t>Interesse</w:t>
      </w:r>
      <w:r w:rsidR="00A42506">
        <w:t xml:space="preserve"> garantiert, dass Stili</w:t>
      </w:r>
      <w:r w:rsidR="00A42506">
        <w:t>n</w:t>
      </w:r>
      <w:r w:rsidR="00A42506">
        <w:t>terpretationen beendet werden können; allerdings erzwingt sie kein Ende (the</w:t>
      </w:r>
      <w:r w:rsidR="00A42506">
        <w:t>o</w:t>
      </w:r>
      <w:r w:rsidR="00A42506">
        <w:t>retisch ist eine immer weiterlaufende Stilinterpretation denkbar).</w:t>
      </w:r>
    </w:p>
    <w:p w:rsidR="008B3CD1" w:rsidRDefault="00914080">
      <w:pPr>
        <w:pStyle w:val="Text"/>
      </w:pPr>
      <w:r>
        <w:t xml:space="preserve">Zu </w:t>
      </w:r>
      <w:r w:rsidR="004539F4">
        <w:t>(</w:t>
      </w:r>
      <w:r w:rsidR="00A368F6">
        <w:t>4</w:t>
      </w:r>
      <w:r w:rsidR="004539F4">
        <w:t>)</w:t>
      </w:r>
      <w:r>
        <w:t>:</w:t>
      </w:r>
      <w:r>
        <w:tab/>
      </w:r>
      <w:r w:rsidR="00711203">
        <w:t xml:space="preserve">Es </w:t>
      </w:r>
      <w:r w:rsidR="00A368F6">
        <w:t xml:space="preserve">erscheint plausibel, </w:t>
      </w:r>
      <w:r w:rsidR="00711203">
        <w:t xml:space="preserve">dass </w:t>
      </w:r>
      <w:r w:rsidR="00C704AE">
        <w:t xml:space="preserve">ein </w:t>
      </w:r>
      <w:r w:rsidR="00663B18">
        <w:t xml:space="preserve">wahrgenommener </w:t>
      </w:r>
      <w:r w:rsidR="00C704AE">
        <w:t>Stil</w:t>
      </w:r>
      <w:r w:rsidR="00711203">
        <w:t xml:space="preserve"> nur </w:t>
      </w:r>
      <w:r w:rsidR="00C704AE">
        <w:t xml:space="preserve">aus einer </w:t>
      </w:r>
      <w:r w:rsidR="00711203">
        <w:t xml:space="preserve">Menge von Merkmalsregeln </w:t>
      </w:r>
      <w:r w:rsidR="00A368F6">
        <w:t>bestehen kann</w:t>
      </w:r>
      <w:r w:rsidR="00711203">
        <w:t xml:space="preserve">. In der Funktion </w:t>
      </w:r>
      <w:r w:rsidR="001500F6">
        <w:rPr>
          <w:i/>
        </w:rPr>
        <w:t>Stil_wahrnehmen</w:t>
      </w:r>
      <w:r w:rsidR="00711203">
        <w:t xml:space="preserve"> (vgl. Abschnitt</w:t>
      </w:r>
      <w:r w:rsidR="00C75395">
        <w:t xml:space="preserve"> </w:t>
      </w:r>
      <w:r w:rsidR="005D7996">
        <w:fldChar w:fldCharType="begin"/>
      </w:r>
      <w:r w:rsidR="00C75395">
        <w:instrText xml:space="preserve"> REF _Ref261443737 \r \h </w:instrText>
      </w:r>
      <w:r w:rsidR="005D7996">
        <w:fldChar w:fldCharType="separate"/>
      </w:r>
      <w:r w:rsidR="001231D3">
        <w:t>7.3.2</w:t>
      </w:r>
      <w:r w:rsidR="005D7996">
        <w:fldChar w:fldCharType="end"/>
      </w:r>
      <w:r w:rsidR="00711203">
        <w:t xml:space="preserve">) wird die Funktion </w:t>
      </w:r>
      <w:r w:rsidR="00711203" w:rsidRPr="00711203">
        <w:rPr>
          <w:i/>
        </w:rPr>
        <w:t>Interpretation</w:t>
      </w:r>
      <w:r w:rsidR="00711203">
        <w:t xml:space="preserve"> jedoch obligatorisch au</w:t>
      </w:r>
      <w:r w:rsidR="00711203">
        <w:t>f</w:t>
      </w:r>
      <w:r w:rsidR="00711203">
        <w:t xml:space="preserve">gerufen. </w:t>
      </w:r>
      <w:r w:rsidR="00A368F6">
        <w:t>Wenn d</w:t>
      </w:r>
      <w:r w:rsidR="00711203">
        <w:t xml:space="preserve">ie Funktion </w:t>
      </w:r>
      <w:r w:rsidR="00557C80" w:rsidRPr="00557C80">
        <w:rPr>
          <w:i/>
          <w:color w:val="000000" w:themeColor="text1"/>
        </w:rPr>
        <w:t>Interesse</w:t>
      </w:r>
      <w:r w:rsidR="00557C80">
        <w:t xml:space="preserve"> </w:t>
      </w:r>
      <w:r w:rsidR="00A368F6">
        <w:t xml:space="preserve">für jede Teilmenge von </w:t>
      </w:r>
      <w:r w:rsidR="00A368F6" w:rsidRPr="00C704AE">
        <w:rPr>
          <w:i/>
        </w:rPr>
        <w:t>B</w:t>
      </w:r>
      <w:r w:rsidR="00A368F6">
        <w:t xml:space="preserve"> (oder alternativ für jedes Element, das aus dieser entstehen könnte) den Wert 0 (= kein Intere</w:t>
      </w:r>
      <w:r w:rsidR="00A368F6">
        <w:t>s</w:t>
      </w:r>
      <w:r w:rsidR="00A368F6">
        <w:t xml:space="preserve">se) zurückgibt, gibt die Funktion </w:t>
      </w:r>
      <w:r w:rsidR="00C704AE" w:rsidRPr="00A368F6">
        <w:rPr>
          <w:i/>
        </w:rPr>
        <w:t>Interpretation</w:t>
      </w:r>
      <w:r w:rsidR="00C704AE">
        <w:t xml:space="preserve"> </w:t>
      </w:r>
      <w:r w:rsidR="00A368F6">
        <w:t xml:space="preserve">schließlich </w:t>
      </w:r>
      <w:r w:rsidR="00C704AE" w:rsidRPr="00C704AE">
        <w:rPr>
          <w:i/>
        </w:rPr>
        <w:t>I</w:t>
      </w:r>
      <w:r w:rsidR="00C704AE">
        <w:t xml:space="preserve"> als leere Menge </w:t>
      </w:r>
      <w:r w:rsidR="00A368F6">
        <w:t>zurück</w:t>
      </w:r>
      <w:r w:rsidR="001500B5">
        <w:t>.</w:t>
      </w:r>
      <w:r w:rsidR="00A368F6">
        <w:t xml:space="preserve"> </w:t>
      </w:r>
    </w:p>
    <w:p w:rsidR="00E87490" w:rsidRDefault="00937153" w:rsidP="00782302">
      <w:pPr>
        <w:pStyle w:val="Text"/>
      </w:pPr>
      <w:r>
        <w:t xml:space="preserve">Eine ergebnislose Interpretation könnte auch simuliert werden, indem die </w:t>
      </w:r>
      <w:r w:rsidR="008B3CD1">
        <w:t xml:space="preserve">Funktion </w:t>
      </w:r>
      <w:r w:rsidR="00557C80" w:rsidRPr="00557C80">
        <w:rPr>
          <w:i/>
          <w:color w:val="000000" w:themeColor="text1"/>
        </w:rPr>
        <w:t>Interesse</w:t>
      </w:r>
      <w:r w:rsidR="00557C80">
        <w:t xml:space="preserve"> </w:t>
      </w:r>
      <w:r w:rsidR="008B3CD1">
        <w:t xml:space="preserve">in der übergeordneten Funktion </w:t>
      </w:r>
      <w:r w:rsidR="001500F6">
        <w:rPr>
          <w:i/>
        </w:rPr>
        <w:t>Stil_wahrnehmen</w:t>
      </w:r>
      <w:r w:rsidR="008B3CD1">
        <w:t xml:space="preserve"> aufgerufen</w:t>
      </w:r>
      <w:r w:rsidR="00735EA9">
        <w:t xml:space="preserve"> und </w:t>
      </w:r>
      <w:r>
        <w:t xml:space="preserve">nur bei Rückgabewert 1 </w:t>
      </w:r>
      <w:r w:rsidR="00735EA9">
        <w:t xml:space="preserve">die Funktion </w:t>
      </w:r>
      <w:r w:rsidR="00735EA9" w:rsidRPr="001500B5">
        <w:rPr>
          <w:i/>
        </w:rPr>
        <w:t>Interpretation</w:t>
      </w:r>
      <w:r w:rsidR="00735EA9">
        <w:t xml:space="preserve"> aufgerufen </w:t>
      </w:r>
      <w:r w:rsidR="001500B5">
        <w:t>wird</w:t>
      </w:r>
      <w:r w:rsidR="00735EA9">
        <w:t xml:space="preserve">. </w:t>
      </w:r>
      <w:r w:rsidR="001500B5">
        <w:t xml:space="preserve">Die </w:t>
      </w:r>
      <w:r w:rsidR="00357540">
        <w:t xml:space="preserve">Interpretation </w:t>
      </w:r>
      <w:r w:rsidR="001500B5">
        <w:t xml:space="preserve">würde somit </w:t>
      </w:r>
      <w:r w:rsidR="00357540">
        <w:t xml:space="preserve">einfach </w:t>
      </w:r>
      <w:r w:rsidR="001500B5">
        <w:t xml:space="preserve">wegfallen, wenn der </w:t>
      </w:r>
      <w:r w:rsidR="0085753F">
        <w:t xml:space="preserve">SN </w:t>
      </w:r>
      <w:r w:rsidR="001500B5">
        <w:t xml:space="preserve">nicht bereit ist, dem Interpretationsprozess </w:t>
      </w:r>
      <w:r w:rsidR="00557C80" w:rsidRPr="00557C80">
        <w:rPr>
          <w:color w:val="000000" w:themeColor="text1"/>
        </w:rPr>
        <w:t>Interesse</w:t>
      </w:r>
      <w:r w:rsidR="00557C80">
        <w:t xml:space="preserve"> </w:t>
      </w:r>
      <w:r w:rsidR="001500B5">
        <w:t xml:space="preserve">zu widmen. </w:t>
      </w:r>
      <w:r w:rsidR="002A3EB7">
        <w:t xml:space="preserve">Dies würde </w:t>
      </w:r>
      <w:r w:rsidR="001500B5">
        <w:t xml:space="preserve">allerdings </w:t>
      </w:r>
      <w:r w:rsidR="002A3EB7">
        <w:t>eine falsche Vorstellung von Interpretati</w:t>
      </w:r>
      <w:r w:rsidR="001500B5">
        <w:t>on als einem</w:t>
      </w:r>
      <w:r w:rsidR="002A3EB7">
        <w:t xml:space="preserve"> getrennten Vorgangs nahe legen (wie sie </w:t>
      </w:r>
      <w:r w:rsidR="00557C80">
        <w:t>tatsächlich</w:t>
      </w:r>
      <w:r w:rsidR="002A3EB7">
        <w:t xml:space="preserve"> durch unser Modell </w:t>
      </w:r>
      <w:r w:rsidR="001500B5">
        <w:t xml:space="preserve">nahegelegt wird, das </w:t>
      </w:r>
      <w:r w:rsidR="002A3EB7">
        <w:t xml:space="preserve">die beiden Prozesse aus Gründen der </w:t>
      </w:r>
      <w:r w:rsidR="00E87490">
        <w:t xml:space="preserve">Übersichtlichkeit </w:t>
      </w:r>
      <w:r w:rsidR="002A3EB7">
        <w:t xml:space="preserve">getrennt </w:t>
      </w:r>
      <w:r w:rsidR="001500B5">
        <w:t>behandelt)</w:t>
      </w:r>
      <w:r w:rsidR="00E87490">
        <w:t>.</w:t>
      </w:r>
    </w:p>
    <w:p w:rsidR="001D0350" w:rsidRDefault="002A3EB7">
      <w:pPr>
        <w:pStyle w:val="Text"/>
      </w:pPr>
      <w:r>
        <w:t xml:space="preserve">In der Realität kann nur selten eine </w:t>
      </w:r>
      <w:r w:rsidR="004C2299">
        <w:t xml:space="preserve">größere </w:t>
      </w:r>
      <w:r>
        <w:t xml:space="preserve">Menge von Merkmalsregeln </w:t>
      </w:r>
      <w:r w:rsidR="00782302">
        <w:t xml:space="preserve">ausgelesen werden, ohne dass </w:t>
      </w:r>
      <w:r w:rsidR="00DC39DC">
        <w:t>Propositionen</w:t>
      </w:r>
      <w:r w:rsidR="001500B5">
        <w:t xml:space="preserve">, Gefühle oder Eindrücke entstehen. </w:t>
      </w:r>
      <w:r w:rsidR="00FC657B">
        <w:t>Gewöhnlich fallen uns bereits bei</w:t>
      </w:r>
      <w:r w:rsidR="006B25B0">
        <w:t>m Auslesen</w:t>
      </w:r>
      <w:r w:rsidR="004C2299">
        <w:t xml:space="preserve"> von </w:t>
      </w:r>
      <w:r w:rsidR="00FC657B">
        <w:t>Merkmal</w:t>
      </w:r>
      <w:r w:rsidR="006B25B0">
        <w:t>sregeln</w:t>
      </w:r>
      <w:r w:rsidR="004C2299">
        <w:t xml:space="preserve"> </w:t>
      </w:r>
      <w:r w:rsidR="006B25B0">
        <w:t xml:space="preserve">(die von der Wahrnehmung der Merkmale nicht getrennt werden kann, da ohne Auslesen der Merkmalsregeln nicht festgestellt werden kann, welche Regelmäßigkeiten der Realisierung stilistisch relevant sind) </w:t>
      </w:r>
      <w:r w:rsidR="00FC657B">
        <w:t>Zusammenhänge zwischen ihnen, Gründe für ihr Auftreten usw. auf und wir reagieren mit Gedanken, Überlegungen, G</w:t>
      </w:r>
      <w:r w:rsidR="00FC657B">
        <w:t>e</w:t>
      </w:r>
      <w:r w:rsidR="00FC657B">
        <w:t xml:space="preserve">fühlen, Eindrücken oder Spekulationen </w:t>
      </w:r>
      <w:r w:rsidR="006B25B0">
        <w:t xml:space="preserve">auf sie, ohne dass dies vom Feststellen </w:t>
      </w:r>
      <w:r w:rsidR="00FC657B">
        <w:t>der Merkmal</w:t>
      </w:r>
      <w:r w:rsidR="006B25B0">
        <w:t>sregeln</w:t>
      </w:r>
      <w:r w:rsidR="00FC657B">
        <w:t xml:space="preserve"> getrennt werden </w:t>
      </w:r>
      <w:r w:rsidR="00557C80">
        <w:t>kann</w:t>
      </w:r>
      <w:r w:rsidR="00FC657B">
        <w:t xml:space="preserve">. </w:t>
      </w:r>
      <w:r w:rsidR="005A0C5F">
        <w:t>Zudem können nicht nur einzelne Merkmal</w:t>
      </w:r>
      <w:r w:rsidR="006B25B0">
        <w:t>sregeln</w:t>
      </w:r>
      <w:r w:rsidR="005A0C5F">
        <w:t xml:space="preserve">, sondern auch mehrere gemeinsam zum Ausgangspunkt solcher Prozesse werden. </w:t>
      </w:r>
      <w:r w:rsidR="00782302">
        <w:t>E</w:t>
      </w:r>
      <w:r w:rsidR="00735EA9">
        <w:t xml:space="preserve">s </w:t>
      </w:r>
      <w:r w:rsidR="00E87490">
        <w:t xml:space="preserve">erscheint </w:t>
      </w:r>
      <w:r w:rsidR="00FC657B">
        <w:t xml:space="preserve">daher </w:t>
      </w:r>
      <w:r w:rsidR="00E87490">
        <w:t>plausibel</w:t>
      </w:r>
      <w:r w:rsidR="00735EA9">
        <w:t xml:space="preserve">, dass </w:t>
      </w:r>
      <w:r w:rsidR="00B81396">
        <w:t>es kein pauschales Übe</w:t>
      </w:r>
      <w:r w:rsidR="00B81396">
        <w:t>r</w:t>
      </w:r>
      <w:r w:rsidR="00B81396">
        <w:t xml:space="preserve">springen der Interpretation geben kann: Vielmehr muss </w:t>
      </w:r>
      <w:r w:rsidR="004C2299">
        <w:t xml:space="preserve">der </w:t>
      </w:r>
      <w:r w:rsidR="00B81396">
        <w:t xml:space="preserve">in </w:t>
      </w:r>
      <w:r w:rsidR="004C2299">
        <w:t xml:space="preserve">der </w:t>
      </w:r>
      <w:r w:rsidR="00B81396">
        <w:t xml:space="preserve">Funktion </w:t>
      </w:r>
      <w:r w:rsidR="00557C80" w:rsidRPr="004C2299">
        <w:rPr>
          <w:i/>
        </w:rPr>
        <w:t>Interesse</w:t>
      </w:r>
      <w:r w:rsidR="00557C80">
        <w:t xml:space="preserve"> </w:t>
      </w:r>
      <w:r w:rsidR="00B81396">
        <w:t>im Interpretationsprozess entweder für jede Teilmenge der (im Mer</w:t>
      </w:r>
      <w:r w:rsidR="00B81396">
        <w:t>k</w:t>
      </w:r>
      <w:r w:rsidR="00B81396">
        <w:t xml:space="preserve">malsprozess bereits ausgelesenen) Merkmalsregeln feststellen, dass </w:t>
      </w:r>
      <w:r w:rsidR="00BD27F6">
        <w:t xml:space="preserve">ihnen kein Interesse gewidmet </w:t>
      </w:r>
      <w:r w:rsidR="00B81396">
        <w:t xml:space="preserve">wird; oder die daraus erzeugbaren Ergebnisse müssen </w:t>
      </w:r>
      <w:r w:rsidR="00BD27F6">
        <w:t xml:space="preserve">einzeln </w:t>
      </w:r>
      <w:r w:rsidR="00B03918">
        <w:lastRenderedPageBreak/>
        <w:t xml:space="preserve">als uninteressant </w:t>
      </w:r>
      <w:r w:rsidR="00BD27F6">
        <w:t>zurückgewiesen werden</w:t>
      </w:r>
      <w:r w:rsidR="00B81396">
        <w:t xml:space="preserve">. Ist dies der Fall, wird </w:t>
      </w:r>
      <w:r w:rsidR="00B81396" w:rsidRPr="00B81396">
        <w:rPr>
          <w:i/>
        </w:rPr>
        <w:t>I</w:t>
      </w:r>
      <w:r w:rsidR="00B81396">
        <w:t xml:space="preserve"> als leere Menge zurückgegeben.</w:t>
      </w:r>
    </w:p>
    <w:p w:rsidR="007A6573" w:rsidRDefault="00914080">
      <w:pPr>
        <w:pStyle w:val="Text"/>
      </w:pPr>
      <w:r>
        <w:t xml:space="preserve">Obwohl die im Verlauf der Interpretation durch die Funktion </w:t>
      </w:r>
      <w:r w:rsidR="00B03918">
        <w:rPr>
          <w:i/>
        </w:rPr>
        <w:t xml:space="preserve">Interesse </w:t>
      </w:r>
      <w:r>
        <w:t>g</w:t>
      </w:r>
      <w:r>
        <w:t>e</w:t>
      </w:r>
      <w:r>
        <w:t xml:space="preserve">troffenen Entscheidungen nicht modelliert werden können – sie gehört zu den Bereichen, in denen die Vagheit dominiert (vgl. </w:t>
      </w:r>
      <w:r w:rsidR="005D7996">
        <w:fldChar w:fldCharType="begin"/>
      </w:r>
      <w:r>
        <w:instrText xml:space="preserve"> REF _Ref223865720 \r \h </w:instrText>
      </w:r>
      <w:r w:rsidR="005D7996">
        <w:fldChar w:fldCharType="separate"/>
      </w:r>
      <w:r w:rsidR="001231D3">
        <w:t>9.5</w:t>
      </w:r>
      <w:r w:rsidR="005D7996">
        <w:fldChar w:fldCharType="end"/>
      </w:r>
      <w:r>
        <w:t xml:space="preserve">) –, könnten durch empirische Forschungen </w:t>
      </w:r>
      <w:r w:rsidR="007A6573">
        <w:t>Aussagen etwa darüber gemacht werden,</w:t>
      </w:r>
    </w:p>
    <w:p w:rsidR="007A6573" w:rsidRDefault="007A6573" w:rsidP="007F376B">
      <w:pPr>
        <w:pStyle w:val="Text"/>
        <w:ind w:firstLine="0"/>
      </w:pPr>
      <w:r>
        <w:t>–</w:t>
      </w:r>
      <w:r>
        <w:tab/>
        <w:t>welche Muster sich in den von der Interpretation gegangenen Wegen häufig zeigen;</w:t>
      </w:r>
    </w:p>
    <w:p w:rsidR="007A6573" w:rsidRDefault="007A6573" w:rsidP="007F376B">
      <w:pPr>
        <w:pStyle w:val="Text"/>
        <w:ind w:firstLine="0"/>
      </w:pPr>
      <w:r>
        <w:t>–</w:t>
      </w:r>
      <w:r>
        <w:tab/>
        <w:t>welche spezifischen Bedingungen, die je nach Stilbereich, Stilinterpret, Ko</w:t>
      </w:r>
      <w:r>
        <w:t>n</w:t>
      </w:r>
      <w:r>
        <w:t>text usw. variieren können, den Verlauf beeinflussen;</w:t>
      </w:r>
    </w:p>
    <w:p w:rsidR="007A6573" w:rsidRDefault="007A6573" w:rsidP="007F376B">
      <w:pPr>
        <w:pStyle w:val="Text"/>
        <w:ind w:firstLine="0"/>
      </w:pPr>
      <w:r>
        <w:t>–</w:t>
      </w:r>
      <w:r>
        <w:tab/>
        <w:t xml:space="preserve">unter welchen Bedingungen sich </w:t>
      </w:r>
      <w:r w:rsidR="006B2103">
        <w:t>Interesse</w:t>
      </w:r>
      <w:r w:rsidR="00E86A8F">
        <w:t>ns</w:t>
      </w:r>
      <w:r>
        <w:t>muster innerhalb der Interpr</w:t>
      </w:r>
      <w:r>
        <w:t>e</w:t>
      </w:r>
      <w:r>
        <w:t>tation konstant halten oder verändern;</w:t>
      </w:r>
    </w:p>
    <w:p w:rsidR="00914080" w:rsidRDefault="007A6573" w:rsidP="007F376B">
      <w:pPr>
        <w:pStyle w:val="Text"/>
        <w:ind w:firstLine="0"/>
      </w:pPr>
      <w:r>
        <w:t>–</w:t>
      </w:r>
      <w:r>
        <w:tab/>
        <w:t>usw.</w:t>
      </w:r>
    </w:p>
    <w:p w:rsidR="00BD0C23" w:rsidRDefault="00BD0C23" w:rsidP="00BD0C23">
      <w:pPr>
        <w:pStyle w:val="Titel3"/>
      </w:pPr>
      <w:bookmarkStart w:id="401" w:name="_Ref255309936"/>
      <w:bookmarkStart w:id="402" w:name="_Toc325456798"/>
      <w:bookmarkStart w:id="403" w:name="Hintergrundwissen2"/>
      <w:bookmarkEnd w:id="398"/>
      <w:r>
        <w:t>Relevantes Hintergrundwissen</w:t>
      </w:r>
      <w:bookmarkEnd w:id="401"/>
      <w:bookmarkEnd w:id="402"/>
    </w:p>
    <w:p w:rsidR="00BD0C23" w:rsidRDefault="005D7996" w:rsidP="007F376B">
      <w:pPr>
        <w:pStyle w:val="Text"/>
        <w:ind w:firstLine="0"/>
      </w:pPr>
      <w:r>
        <w:fldChar w:fldCharType="begin"/>
      </w:r>
      <w:r w:rsidR="00571C64">
        <w:instrText xml:space="preserve"> XE "Hintergrundwissen:</w:instrText>
      </w:r>
      <w:r w:rsidR="00571C64" w:rsidRPr="00571C64">
        <w:rPr>
          <w:i/>
        </w:rPr>
        <w:instrText>Funktion</w:instrText>
      </w:r>
      <w:r w:rsidR="00571C64">
        <w:instrText>" \r "Hintergrundwissen</w:instrText>
      </w:r>
      <w:r w:rsidR="006F149F">
        <w:instrText>2</w:instrText>
      </w:r>
      <w:r w:rsidR="00571C64">
        <w:instrText xml:space="preserve">" </w:instrText>
      </w:r>
      <w:r>
        <w:fldChar w:fldCharType="end"/>
      </w:r>
      <w:r w:rsidR="00BD0C23">
        <w:t xml:space="preserve">Die Funktion </w:t>
      </w:r>
      <w:r w:rsidR="00BD0C23" w:rsidRPr="00337D36">
        <w:rPr>
          <w:i/>
        </w:rPr>
        <w:t>Relevantes_Hintergrundwissen</w:t>
      </w:r>
      <w:r w:rsidR="00BD0C23">
        <w:t xml:space="preserve"> wird innerhalb der Funktion </w:t>
      </w:r>
      <w:r w:rsidR="00BD0C23" w:rsidRPr="00337D36">
        <w:rPr>
          <w:i/>
        </w:rPr>
        <w:t>Inte</w:t>
      </w:r>
      <w:r w:rsidR="00BD0C23" w:rsidRPr="00337D36">
        <w:rPr>
          <w:i/>
        </w:rPr>
        <w:t>r</w:t>
      </w:r>
      <w:r w:rsidR="00BD0C23" w:rsidRPr="00337D36">
        <w:rPr>
          <w:i/>
        </w:rPr>
        <w:t>pretation</w:t>
      </w:r>
      <w:r w:rsidR="00BD0C23">
        <w:t xml:space="preserve"> aufgerufen. Sie dient dazu, das zur Verfügung stehende Hintergrun</w:t>
      </w:r>
      <w:r w:rsidR="00BD0C23">
        <w:t>d</w:t>
      </w:r>
      <w:r w:rsidR="00BD0C23">
        <w:t>wissen nach Elementen zu durchsuchen, die für die Interpretation vielverspr</w:t>
      </w:r>
      <w:r w:rsidR="00BD0C23">
        <w:t>e</w:t>
      </w:r>
      <w:r w:rsidR="00BD0C23">
        <w:t xml:space="preserve">chend sind. Dafür werden Suchfunktionen angenommen, die nach verschiedenen Prinzipien vorgehen. Das gewonnene Hintergrundwissen wird als relevantes Hintergrundwissen </w:t>
      </w:r>
      <w:r w:rsidR="00BD0C23" w:rsidRPr="0095318E">
        <w:rPr>
          <w:i/>
        </w:rPr>
        <w:t>R</w:t>
      </w:r>
      <w:r w:rsidR="00BD0C23">
        <w:t xml:space="preserve"> zurückgegeben.</w:t>
      </w:r>
    </w:p>
    <w:p w:rsidR="00BD0C23" w:rsidRPr="000B4C2D" w:rsidRDefault="00BD0C23" w:rsidP="007F376B">
      <w:pPr>
        <w:pStyle w:val="Text"/>
        <w:keepNext/>
        <w:spacing w:before="360"/>
        <w:ind w:firstLine="0"/>
        <w:jc w:val="left"/>
        <w:rPr>
          <w:iCs/>
        </w:rPr>
      </w:pPr>
      <w:r w:rsidRPr="000B4C2D">
        <w:t>function Relevantes_Hintergrundwissen (</w:t>
      </w:r>
      <w:r w:rsidRPr="000B4C2D">
        <w:rPr>
          <w:i/>
          <w:iCs/>
        </w:rPr>
        <w:t>X</w:t>
      </w:r>
      <w:r w:rsidRPr="000B4C2D">
        <w:t xml:space="preserve">, </w:t>
      </w:r>
      <w:r w:rsidRPr="000B4C2D">
        <w:rPr>
          <w:i/>
          <w:iCs/>
        </w:rPr>
        <w:t>H</w:t>
      </w:r>
      <w:r w:rsidRPr="000B4C2D">
        <w:rPr>
          <w:iCs/>
        </w:rPr>
        <w:t>)</w:t>
      </w:r>
    </w:p>
    <w:p w:rsidR="00BD0C23" w:rsidRPr="00AA025E" w:rsidRDefault="00BD0C23" w:rsidP="007103E7">
      <w:pPr>
        <w:pStyle w:val="Text"/>
        <w:ind w:firstLine="0"/>
        <w:jc w:val="left"/>
        <w:rPr>
          <w:iCs/>
        </w:rPr>
      </w:pPr>
      <w:r w:rsidRPr="000B4C2D">
        <w:rPr>
          <w:iCs/>
        </w:rPr>
        <w:t xml:space="preserve">   </w:t>
      </w:r>
      <w:r w:rsidRPr="00AA025E">
        <w:rPr>
          <w:i/>
          <w:iCs/>
        </w:rPr>
        <w:t>Su</w:t>
      </w:r>
      <w:r w:rsidRPr="00AA025E">
        <w:rPr>
          <w:iCs/>
        </w:rPr>
        <w:t xml:space="preserve"> := Suchmethoden_zusammenstellen ()</w:t>
      </w:r>
    </w:p>
    <w:p w:rsidR="00BD0C23" w:rsidRPr="00AA025E" w:rsidRDefault="00BD0C23" w:rsidP="007103E7">
      <w:pPr>
        <w:pStyle w:val="Text"/>
        <w:ind w:firstLine="0"/>
        <w:jc w:val="left"/>
        <w:rPr>
          <w:i/>
          <w:iCs/>
        </w:rPr>
      </w:pPr>
      <w:r w:rsidRPr="00AA025E">
        <w:rPr>
          <w:iCs/>
        </w:rPr>
        <w:t xml:space="preserve">   </w:t>
      </w:r>
      <w:r w:rsidRPr="00AA025E">
        <w:rPr>
          <w:i/>
          <w:iCs/>
        </w:rPr>
        <w:t>R</w:t>
      </w:r>
      <w:r w:rsidRPr="00AA025E">
        <w:rPr>
          <w:iCs/>
        </w:rPr>
        <w:t xml:space="preserve"> := </w:t>
      </w:r>
      <w:r w:rsidRPr="00DB2911">
        <w:rPr>
          <w:color w:val="000000" w:themeColor="text1"/>
          <w:position w:val="-6"/>
          <w:sz w:val="18"/>
          <w:szCs w:val="18"/>
        </w:rPr>
        <w:object w:dxaOrig="260" w:dyaOrig="279">
          <v:shape id="_x0000_i1053" type="#_x0000_t75" style="width:14pt;height:13.6pt" o:ole="">
            <v:imagedata r:id="rId70" o:title=""/>
          </v:shape>
          <o:OLEObject Type="Embed" ProgID="Equation.3" ShapeID="_x0000_i1053" DrawAspect="Content" ObjectID="_1460983894" r:id="rId74"/>
        </w:object>
      </w:r>
    </w:p>
    <w:p w:rsidR="00BD0C23" w:rsidRPr="00436A6E" w:rsidRDefault="00BD0C23" w:rsidP="007103E7">
      <w:pPr>
        <w:pStyle w:val="Text"/>
        <w:ind w:firstLine="0"/>
        <w:jc w:val="left"/>
      </w:pPr>
      <w:r w:rsidRPr="00436A6E">
        <w:t xml:space="preserve">   for </w:t>
      </w:r>
      <w:r w:rsidRPr="00436A6E">
        <w:rPr>
          <w:i/>
        </w:rPr>
        <w:t>i</w:t>
      </w:r>
      <w:r w:rsidRPr="00436A6E">
        <w:t xml:space="preserve"> := 1 to |</w:t>
      </w:r>
      <w:r w:rsidRPr="00436A6E">
        <w:rPr>
          <w:i/>
        </w:rPr>
        <w:t>Su</w:t>
      </w:r>
      <w:r w:rsidRPr="00436A6E">
        <w:t>|</w:t>
      </w:r>
    </w:p>
    <w:p w:rsidR="00BD0C23" w:rsidRPr="005B042E" w:rsidRDefault="00BD0C23" w:rsidP="00093A2E">
      <w:pPr>
        <w:pStyle w:val="Text"/>
        <w:ind w:hanging="369"/>
        <w:jc w:val="left"/>
        <w:rPr>
          <w:color w:val="000000" w:themeColor="text1"/>
          <w:lang w:val="en-US"/>
        </w:rPr>
      </w:pPr>
      <w:r w:rsidRPr="007103E7">
        <w:rPr>
          <w:sz w:val="16"/>
          <w:szCs w:val="16"/>
        </w:rPr>
        <w:t xml:space="preserve"> </w:t>
      </w:r>
      <w:r w:rsidRPr="007103E7">
        <w:rPr>
          <w:sz w:val="16"/>
          <w:szCs w:val="16"/>
          <w:lang w:val="en-US"/>
        </w:rPr>
        <w:t>5</w:t>
      </w:r>
      <w:r w:rsidRPr="005B042E">
        <w:rPr>
          <w:lang w:val="en-US"/>
        </w:rPr>
        <w:tab/>
        <w:t xml:space="preserve">      </w:t>
      </w:r>
      <w:r w:rsidRPr="00F710FF">
        <w:rPr>
          <w:i/>
          <w:lang w:val="en-US"/>
        </w:rPr>
        <w:t>R</w:t>
      </w:r>
      <w:r w:rsidRPr="00F710FF">
        <w:rPr>
          <w:lang w:val="en-US"/>
        </w:rPr>
        <w:t xml:space="preserve"> := </w:t>
      </w:r>
      <w:r w:rsidRPr="00F710FF">
        <w:rPr>
          <w:i/>
          <w:lang w:val="en-US"/>
        </w:rPr>
        <w:t>R</w:t>
      </w:r>
      <w:r w:rsidRPr="00F710FF">
        <w:rPr>
          <w:lang w:val="en-US"/>
        </w:rPr>
        <w:t xml:space="preserve"> </w:t>
      </w:r>
      <w:r w:rsidR="00E535E0" w:rsidRPr="00E535E0">
        <w:rPr>
          <w:rFonts w:ascii="Cambria Math" w:eastAsia="Arial Unicode MS" w:hAnsi="Cambria Math" w:cs="Arial Unicode MS"/>
          <w:color w:val="000000" w:themeColor="text1"/>
          <w:lang w:val="en-US"/>
        </w:rPr>
        <w:t>∪</w:t>
      </w:r>
      <w:r w:rsidRPr="009F112E">
        <w:rPr>
          <w:rFonts w:eastAsia="Arial Unicode MS" w:cs="Times New Roman"/>
          <w:lang w:val="en-US"/>
        </w:rPr>
        <w:t xml:space="preserve"> </w:t>
      </w:r>
      <w:r w:rsidRPr="00F710FF">
        <w:rPr>
          <w:i/>
          <w:lang w:val="en-US"/>
        </w:rPr>
        <w:t>Su</w:t>
      </w:r>
      <w:r w:rsidRPr="00F710FF">
        <w:rPr>
          <w:i/>
          <w:vertAlign w:val="subscript"/>
          <w:lang w:val="en-US"/>
        </w:rPr>
        <w:t>i</w:t>
      </w:r>
      <w:r w:rsidRPr="00F710FF">
        <w:rPr>
          <w:lang w:val="en-US"/>
        </w:rPr>
        <w:t xml:space="preserve"> (</w:t>
      </w:r>
      <w:r>
        <w:rPr>
          <w:i/>
          <w:lang w:val="en-US"/>
        </w:rPr>
        <w:t>X</w:t>
      </w:r>
      <w:r w:rsidR="00903328">
        <w:rPr>
          <w:lang w:val="en-US"/>
        </w:rPr>
        <w:t xml:space="preserve">, </w:t>
      </w:r>
      <w:r w:rsidR="00903328" w:rsidRPr="00903328">
        <w:rPr>
          <w:i/>
          <w:lang w:val="en-US"/>
        </w:rPr>
        <w:t>H</w:t>
      </w:r>
      <w:r w:rsidR="00903328">
        <w:rPr>
          <w:lang w:val="en-US"/>
        </w:rPr>
        <w:t>)</w:t>
      </w:r>
    </w:p>
    <w:p w:rsidR="00BD0C23" w:rsidRPr="00436A6E" w:rsidRDefault="00BD0C23" w:rsidP="007103E7">
      <w:pPr>
        <w:pStyle w:val="Text"/>
        <w:ind w:firstLine="0"/>
        <w:jc w:val="left"/>
        <w:rPr>
          <w:color w:val="000000" w:themeColor="text1"/>
          <w:lang w:val="en-US"/>
        </w:rPr>
      </w:pPr>
      <w:r>
        <w:rPr>
          <w:color w:val="000000" w:themeColor="text1"/>
          <w:lang w:val="en-US"/>
        </w:rPr>
        <w:t xml:space="preserve">   </w:t>
      </w:r>
      <w:r w:rsidRPr="00436A6E">
        <w:rPr>
          <w:color w:val="000000" w:themeColor="text1"/>
          <w:lang w:val="en-US"/>
        </w:rPr>
        <w:t>end</w:t>
      </w:r>
    </w:p>
    <w:p w:rsidR="00BD0C23" w:rsidRPr="00436A6E" w:rsidRDefault="00BD0C23" w:rsidP="007103E7">
      <w:pPr>
        <w:pStyle w:val="Text"/>
        <w:ind w:firstLine="0"/>
        <w:jc w:val="left"/>
        <w:rPr>
          <w:lang w:val="en-US"/>
        </w:rPr>
      </w:pPr>
      <w:r w:rsidRPr="00436A6E">
        <w:rPr>
          <w:lang w:val="en-US"/>
        </w:rPr>
        <w:t xml:space="preserve">   return </w:t>
      </w:r>
      <w:r w:rsidRPr="00436A6E">
        <w:rPr>
          <w:i/>
          <w:lang w:val="en-US"/>
        </w:rPr>
        <w:t>R</w:t>
      </w:r>
    </w:p>
    <w:p w:rsidR="00BD0C23" w:rsidRDefault="00BD0C23" w:rsidP="007F376B">
      <w:pPr>
        <w:pStyle w:val="Text"/>
        <w:ind w:firstLine="0"/>
        <w:jc w:val="left"/>
      </w:pPr>
      <w:r w:rsidRPr="00F710FF">
        <w:t>end function</w:t>
      </w:r>
    </w:p>
    <w:p w:rsidR="00BD0C23" w:rsidRPr="004C7C7A" w:rsidRDefault="00093341" w:rsidP="007F376B">
      <w:pPr>
        <w:pStyle w:val="Zwischenberschrift"/>
        <w:spacing w:before="360"/>
      </w:pPr>
      <w:r>
        <w:t>Erläuterung</w:t>
      </w:r>
    </w:p>
    <w:p w:rsidR="00BD0C23" w:rsidRDefault="00BD0C23" w:rsidP="007F376B">
      <w:pPr>
        <w:pStyle w:val="Text"/>
        <w:ind w:firstLine="0"/>
      </w:pPr>
      <w:r>
        <w:t xml:space="preserve">Zeile 1 gibt den Namen der Funktion an und die Parameter, die ihr übergeben werden: </w:t>
      </w:r>
      <w:r>
        <w:rPr>
          <w:i/>
          <w:color w:val="000000" w:themeColor="text1"/>
        </w:rPr>
        <w:t>X</w:t>
      </w:r>
      <w:r>
        <w:t xml:space="preserve">, die Menge der Elemente, zu denen relevantes Hintergrundwissen gesucht werden soll, und </w:t>
      </w:r>
      <w:r>
        <w:rPr>
          <w:i/>
          <w:color w:val="000000" w:themeColor="text1"/>
        </w:rPr>
        <w:t>H</w:t>
      </w:r>
      <w:r>
        <w:t xml:space="preserve">, die Menge des Hintergrundwissens. (Für </w:t>
      </w:r>
      <w:r>
        <w:rPr>
          <w:i/>
        </w:rPr>
        <w:t>X</w:t>
      </w:r>
      <w:r>
        <w:t xml:space="preserve"> wird keine Sortenbeschränkung spezifiziert; auf jeden Fall muss die Funktion mit Merkmalsregeln, Ergebnisse</w:t>
      </w:r>
      <w:r w:rsidR="00E535E0">
        <w:t>n</w:t>
      </w:r>
      <w:r>
        <w:t xml:space="preserve"> und Schemata umgehen können.)</w:t>
      </w:r>
    </w:p>
    <w:p w:rsidR="00BD0C23" w:rsidRDefault="00BD0C23" w:rsidP="00BD0C23">
      <w:pPr>
        <w:pStyle w:val="Text"/>
      </w:pPr>
      <w:r>
        <w:t xml:space="preserve">In Zeile 2 </w:t>
      </w:r>
      <w:r w:rsidRPr="007D2BD3">
        <w:t xml:space="preserve">wird die Funktion </w:t>
      </w:r>
      <w:r w:rsidRPr="00337D36">
        <w:rPr>
          <w:i/>
        </w:rPr>
        <w:t>Suchmethoden_zusammenstellen</w:t>
      </w:r>
      <w:r w:rsidRPr="007D2BD3">
        <w:t xml:space="preserve"> aufgerufen, die </w:t>
      </w:r>
      <w:r>
        <w:t xml:space="preserve">die zur Verfügung stehenden Suchmethoden des Individuums zusammenstellt </w:t>
      </w:r>
      <w:r w:rsidRPr="007D2BD3">
        <w:lastRenderedPageBreak/>
        <w:t>(Erläuterung s. unten)</w:t>
      </w:r>
      <w:r>
        <w:t>. Diese Funktion benötigt keine Parameter.</w:t>
      </w:r>
      <w:r w:rsidRPr="0083191D">
        <w:t xml:space="preserve"> </w:t>
      </w:r>
      <w:r>
        <w:t>Ihr Rückg</w:t>
      </w:r>
      <w:r>
        <w:t>a</w:t>
      </w:r>
      <w:r>
        <w:t xml:space="preserve">bewert wird in die Variable </w:t>
      </w:r>
      <w:r>
        <w:rPr>
          <w:i/>
        </w:rPr>
        <w:t>Su</w:t>
      </w:r>
      <w:r>
        <w:t xml:space="preserve"> gespeichert.</w:t>
      </w:r>
    </w:p>
    <w:p w:rsidR="00BD0C23" w:rsidRDefault="00BD0C23" w:rsidP="00BD0C23">
      <w:pPr>
        <w:pStyle w:val="Text"/>
      </w:pPr>
      <w:r>
        <w:t xml:space="preserve">In Zeile 3 wird die Menge </w:t>
      </w:r>
      <w:r>
        <w:rPr>
          <w:i/>
        </w:rPr>
        <w:t>R</w:t>
      </w:r>
      <w:r>
        <w:t xml:space="preserve"> als leere Menge definiert.</w:t>
      </w:r>
    </w:p>
    <w:p w:rsidR="00BD0C23" w:rsidRDefault="00BD0C23" w:rsidP="00BD0C23">
      <w:pPr>
        <w:pStyle w:val="Text"/>
      </w:pPr>
      <w:r w:rsidRPr="00DB0613">
        <w:t xml:space="preserve">Zeile </w:t>
      </w:r>
      <w:r>
        <w:t xml:space="preserve">4 </w:t>
      </w:r>
      <w:r w:rsidRPr="00DB0613">
        <w:t xml:space="preserve">gibt an, dass die eingerückt folgende Schleife für die Variable </w:t>
      </w:r>
      <w:r>
        <w:rPr>
          <w:i/>
          <w:iCs/>
        </w:rPr>
        <w:t>i</w:t>
      </w:r>
      <w:r w:rsidRPr="00DB0613">
        <w:t xml:space="preserve"> von 1 bis zur Anzahl der Elemente von </w:t>
      </w:r>
      <w:r>
        <w:rPr>
          <w:i/>
          <w:iCs/>
        </w:rPr>
        <w:t>Su</w:t>
      </w:r>
      <w:r w:rsidRPr="00DB0613">
        <w:t xml:space="preserve"> ausgeführt wird.</w:t>
      </w:r>
    </w:p>
    <w:p w:rsidR="00BD0C23" w:rsidRDefault="00BD0C23" w:rsidP="00BD0C23">
      <w:pPr>
        <w:pStyle w:val="Text"/>
      </w:pPr>
      <w:r>
        <w:t xml:space="preserve">In Zeile 5 wird die </w:t>
      </w:r>
      <w:r>
        <w:rPr>
          <w:i/>
          <w:iCs/>
        </w:rPr>
        <w:t>i</w:t>
      </w:r>
      <w:r>
        <w:t xml:space="preserve">te Suchmethode aufgerufen, der als Parameter </w:t>
      </w:r>
      <w:r>
        <w:rPr>
          <w:i/>
          <w:color w:val="000000" w:themeColor="text1"/>
        </w:rPr>
        <w:t>X</w:t>
      </w:r>
      <w:r>
        <w:t xml:space="preserve"> übe</w:t>
      </w:r>
      <w:r>
        <w:t>r</w:t>
      </w:r>
      <w:r>
        <w:t xml:space="preserve">geben wird. Ihr Rückgabewert wird mit der Menge </w:t>
      </w:r>
      <w:r w:rsidRPr="00263422">
        <w:rPr>
          <w:i/>
        </w:rPr>
        <w:t>R</w:t>
      </w:r>
      <w:r>
        <w:t xml:space="preserve">, die das bisher gefundene relevante Hintergrundwissen enthält, vereinigt und wiederum in </w:t>
      </w:r>
      <w:r w:rsidRPr="00263422">
        <w:rPr>
          <w:i/>
        </w:rPr>
        <w:t>R</w:t>
      </w:r>
      <w:r>
        <w:t xml:space="preserve"> gespeichert.</w:t>
      </w:r>
    </w:p>
    <w:p w:rsidR="00BD0C23" w:rsidRDefault="00BD0C23" w:rsidP="00BD0C23">
      <w:pPr>
        <w:pStyle w:val="Text"/>
        <w:rPr>
          <w:color w:val="000000" w:themeColor="text1"/>
        </w:rPr>
      </w:pPr>
      <w:r>
        <w:rPr>
          <w:color w:val="000000" w:themeColor="text1"/>
        </w:rPr>
        <w:t>In Zeile 6 wird die for-Schleife aus Zeile 4 beendet.</w:t>
      </w:r>
    </w:p>
    <w:p w:rsidR="00BD0C23" w:rsidRPr="0017233E" w:rsidRDefault="00BD0C23" w:rsidP="00BD0C23">
      <w:pPr>
        <w:pStyle w:val="Text"/>
        <w:rPr>
          <w:color w:val="000000" w:themeColor="text1"/>
        </w:rPr>
      </w:pPr>
      <w:r>
        <w:rPr>
          <w:color w:val="000000" w:themeColor="text1"/>
        </w:rPr>
        <w:t xml:space="preserve">In Zeile 7 wird </w:t>
      </w:r>
      <w:r>
        <w:rPr>
          <w:i/>
          <w:color w:val="000000" w:themeColor="text1"/>
        </w:rPr>
        <w:t>R</w:t>
      </w:r>
      <w:r>
        <w:rPr>
          <w:color w:val="000000" w:themeColor="text1"/>
        </w:rPr>
        <w:t xml:space="preserve"> zurückgegeben.</w:t>
      </w:r>
    </w:p>
    <w:p w:rsidR="00BD0C23" w:rsidRDefault="00BD0C23" w:rsidP="00BD0C23">
      <w:pPr>
        <w:pStyle w:val="Text"/>
        <w:rPr>
          <w:color w:val="000000" w:themeColor="text1"/>
        </w:rPr>
      </w:pPr>
      <w:r>
        <w:rPr>
          <w:color w:val="000000" w:themeColor="text1"/>
        </w:rPr>
        <w:t>In Zeile 8 wird die Funktion beendet.</w:t>
      </w:r>
    </w:p>
    <w:p w:rsidR="00BD0C23" w:rsidRPr="00BF4A27" w:rsidRDefault="00BD0C23" w:rsidP="007F376B">
      <w:pPr>
        <w:pStyle w:val="Zwischenberschrift"/>
        <w:spacing w:before="360"/>
      </w:pPr>
      <w:r>
        <w:t>Die Funktionsmenge Su der Suchmethoden</w:t>
      </w:r>
    </w:p>
    <w:p w:rsidR="00903328" w:rsidRDefault="00BD0C23" w:rsidP="007F376B">
      <w:pPr>
        <w:pStyle w:val="Text"/>
        <w:ind w:firstLine="0"/>
      </w:pPr>
      <w:r>
        <w:t xml:space="preserve">Die Suchmethoden, die in einer konkreten Stilinterpretation verwendet werden, können in einer Liste angegeben werden. </w:t>
      </w:r>
      <w:r w:rsidR="00903328">
        <w:t xml:space="preserve">Sie erhalten als Parameter eine Menge </w:t>
      </w:r>
      <w:r w:rsidR="00903328" w:rsidRPr="00903328">
        <w:rPr>
          <w:i/>
        </w:rPr>
        <w:t>X</w:t>
      </w:r>
      <w:r w:rsidR="00903328">
        <w:t xml:space="preserve"> von Elementen, die verschiedenen Sorten angehören können (es kann sich um Merkmalsregeln, Propositionsannahmen, Gefühle oder Eindrücke handeln), und eine Menge von Hintergrundwissen </w:t>
      </w:r>
      <w:r w:rsidR="00903328" w:rsidRPr="00903328">
        <w:rPr>
          <w:i/>
        </w:rPr>
        <w:t>H</w:t>
      </w:r>
      <w:r w:rsidR="00903328">
        <w:t xml:space="preserve">. Sie durchsuchen das Hintergrundwissen nach </w:t>
      </w:r>
      <w:r w:rsidR="008C3BEC" w:rsidRPr="00D73630">
        <w:rPr>
          <w:i/>
        </w:rPr>
        <w:t>H</w:t>
      </w:r>
      <w:r w:rsidR="008C3BEC">
        <w:t>-</w:t>
      </w:r>
      <w:r w:rsidR="00903328">
        <w:t xml:space="preserve">Elementen, die </w:t>
      </w:r>
      <w:r w:rsidR="001A471E">
        <w:t xml:space="preserve">einen Bezug zu </w:t>
      </w:r>
      <w:r w:rsidR="00903328" w:rsidRPr="00903328">
        <w:rPr>
          <w:i/>
        </w:rPr>
        <w:t>X</w:t>
      </w:r>
      <w:r w:rsidR="00903328">
        <w:t xml:space="preserve"> </w:t>
      </w:r>
      <w:r w:rsidR="001A471E">
        <w:t>aufweisen</w:t>
      </w:r>
      <w:r w:rsidR="00903328">
        <w:t xml:space="preserve">, und liefern eine Teilmenge von </w:t>
      </w:r>
      <w:r w:rsidR="00903328" w:rsidRPr="00903328">
        <w:rPr>
          <w:i/>
        </w:rPr>
        <w:t>H</w:t>
      </w:r>
      <w:r w:rsidR="00903328">
        <w:t xml:space="preserve"> zurück, die auch leer sein kann.</w:t>
      </w:r>
      <w:r w:rsidR="001A471E">
        <w:t xml:space="preserve"> Dieser Bezug zu </w:t>
      </w:r>
      <w:r w:rsidR="001A471E" w:rsidRPr="001A471E">
        <w:rPr>
          <w:i/>
        </w:rPr>
        <w:t>X</w:t>
      </w:r>
      <w:r w:rsidR="001A471E">
        <w:t xml:space="preserve"> kann nach speziellen Relevanzkriterien eingeschätzt werden, oder es wird nur allgemein nach Bezügen gesucht. Sofern diese allgemeinen Kriterien (insbesondere der Umgang mit den Parametern) gewährleistet sind, können die Funktionen unterschiedlich spezif</w:t>
      </w:r>
      <w:r w:rsidR="001A471E">
        <w:t>i</w:t>
      </w:r>
      <w:r w:rsidR="001A471E">
        <w:t>ziert sein.</w:t>
      </w:r>
    </w:p>
    <w:p w:rsidR="00BD0C23" w:rsidRDefault="00BD0C23" w:rsidP="00BD0C23">
      <w:pPr>
        <w:pStyle w:val="Text"/>
      </w:pPr>
      <w:r>
        <w:t xml:space="preserve">Wir fassen </w:t>
      </w:r>
      <w:r w:rsidR="00903328">
        <w:t xml:space="preserve">die Suchmethoden </w:t>
      </w:r>
      <w:r>
        <w:t xml:space="preserve">zur Menge </w:t>
      </w:r>
      <w:r>
        <w:rPr>
          <w:i/>
        </w:rPr>
        <w:t>Su</w:t>
      </w:r>
      <w:r>
        <w:t xml:space="preserve"> zusammen, um sie bequem au</w:t>
      </w:r>
      <w:r>
        <w:t>f</w:t>
      </w:r>
      <w:r>
        <w:t>rufen zu können. Allgemein gilt:</w:t>
      </w:r>
    </w:p>
    <w:p w:rsidR="00BD0C23" w:rsidRDefault="00BD0C23" w:rsidP="00241966">
      <w:pPr>
        <w:pStyle w:val="Text"/>
        <w:spacing w:before="240"/>
        <w:ind w:firstLine="0"/>
      </w:pPr>
      <w:r>
        <w:t xml:space="preserve">function </w:t>
      </w:r>
      <w:r>
        <w:rPr>
          <w:i/>
        </w:rPr>
        <w:t>Su</w:t>
      </w:r>
      <w:r w:rsidRPr="00772F58">
        <w:rPr>
          <w:iCs/>
          <w:vertAlign w:val="subscript"/>
        </w:rPr>
        <w:t>1</w:t>
      </w:r>
    </w:p>
    <w:p w:rsidR="00BD0C23" w:rsidRDefault="00BD0C23" w:rsidP="00241966">
      <w:pPr>
        <w:pStyle w:val="Text"/>
        <w:ind w:firstLine="0"/>
      </w:pPr>
      <w:r>
        <w:t xml:space="preserve">   </w:t>
      </w:r>
      <w:r w:rsidRPr="009E1D7E">
        <w:t>[</w:t>
      </w:r>
      <w:r>
        <w:t>Spezifikation]</w:t>
      </w:r>
    </w:p>
    <w:p w:rsidR="00BD0C23" w:rsidRDefault="00BD0C23" w:rsidP="00241966">
      <w:pPr>
        <w:pStyle w:val="Text"/>
        <w:ind w:firstLine="0"/>
        <w:rPr>
          <w:iCs/>
          <w:vertAlign w:val="subscript"/>
        </w:rPr>
      </w:pPr>
      <w:r>
        <w:t xml:space="preserve">function </w:t>
      </w:r>
      <w:r>
        <w:rPr>
          <w:i/>
        </w:rPr>
        <w:t>Su</w:t>
      </w:r>
      <w:r>
        <w:rPr>
          <w:iCs/>
          <w:vertAlign w:val="subscript"/>
        </w:rPr>
        <w:t>2</w:t>
      </w:r>
    </w:p>
    <w:p w:rsidR="00BD0C23" w:rsidRDefault="00BD0C23" w:rsidP="00241966">
      <w:pPr>
        <w:pStyle w:val="Text"/>
        <w:ind w:firstLine="0"/>
      </w:pPr>
      <w:r>
        <w:t xml:space="preserve">   </w:t>
      </w:r>
      <w:r w:rsidRPr="009E1D7E">
        <w:t>[</w:t>
      </w:r>
      <w:r>
        <w:t>Spezifikation]</w:t>
      </w:r>
    </w:p>
    <w:p w:rsidR="00BD0C23" w:rsidRPr="000C3B5C" w:rsidRDefault="00BD0C23" w:rsidP="00241966">
      <w:pPr>
        <w:pStyle w:val="Text"/>
        <w:ind w:firstLine="0"/>
      </w:pPr>
      <w:r w:rsidRPr="000C3B5C">
        <w:tab/>
      </w:r>
      <w:r w:rsidRPr="000C3B5C">
        <w:rPr>
          <w:rFonts w:cs="Times New Roman"/>
          <w:color w:val="000000" w:themeColor="text1"/>
        </w:rPr>
        <w:t>…</w:t>
      </w:r>
    </w:p>
    <w:p w:rsidR="00BD0C23" w:rsidRDefault="00BD0C23" w:rsidP="00241966">
      <w:pPr>
        <w:pStyle w:val="Text"/>
        <w:ind w:firstLine="0"/>
        <w:rPr>
          <w:i/>
          <w:iCs/>
          <w:vertAlign w:val="subscript"/>
        </w:rPr>
      </w:pPr>
      <w:r>
        <w:t xml:space="preserve">function </w:t>
      </w:r>
      <w:r>
        <w:rPr>
          <w:i/>
        </w:rPr>
        <w:t>Su</w:t>
      </w:r>
      <w:r w:rsidRPr="00F32D9F">
        <w:rPr>
          <w:i/>
          <w:iCs/>
          <w:vertAlign w:val="subscript"/>
        </w:rPr>
        <w:t>n</w:t>
      </w:r>
    </w:p>
    <w:p w:rsidR="00BD0C23" w:rsidRDefault="00BD0C23" w:rsidP="00241966">
      <w:pPr>
        <w:pStyle w:val="Text"/>
        <w:spacing w:after="240"/>
        <w:ind w:firstLine="0"/>
      </w:pPr>
      <w:r>
        <w:t xml:space="preserve">   </w:t>
      </w:r>
      <w:r w:rsidRPr="009E1D7E">
        <w:t>[</w:t>
      </w:r>
      <w:r>
        <w:t>Spezifikation]</w:t>
      </w:r>
    </w:p>
    <w:p w:rsidR="00BD0C23" w:rsidRDefault="00BD0C23" w:rsidP="00241966">
      <w:pPr>
        <w:pStyle w:val="Text"/>
        <w:ind w:firstLine="0"/>
      </w:pPr>
      <w:r>
        <w:t xml:space="preserve">Die Operationen werden zur Funktionsmenge </w:t>
      </w:r>
      <w:r>
        <w:rPr>
          <w:i/>
        </w:rPr>
        <w:t>Su</w:t>
      </w:r>
      <w:r>
        <w:t xml:space="preserve"> zusammengefasst:</w:t>
      </w:r>
    </w:p>
    <w:p w:rsidR="00BD0C23" w:rsidRPr="00772F58" w:rsidRDefault="00BD0C23" w:rsidP="00241966">
      <w:pPr>
        <w:pStyle w:val="Formel"/>
      </w:pPr>
      <w:r>
        <w:rPr>
          <w:i/>
          <w:iCs/>
        </w:rPr>
        <w:t>Su</w:t>
      </w:r>
      <w:r w:rsidRPr="00772F58">
        <w:t xml:space="preserve"> := {</w:t>
      </w:r>
      <w:r>
        <w:rPr>
          <w:i/>
        </w:rPr>
        <w:t>Su</w:t>
      </w:r>
      <w:r w:rsidRPr="00772F58">
        <w:rPr>
          <w:iCs/>
          <w:vertAlign w:val="subscript"/>
        </w:rPr>
        <w:t>1</w:t>
      </w:r>
      <w:r w:rsidRPr="00772F58">
        <w:t xml:space="preserve">, …, </w:t>
      </w:r>
      <w:r>
        <w:rPr>
          <w:i/>
        </w:rPr>
        <w:t>Su</w:t>
      </w:r>
      <w:r w:rsidRPr="00772F58">
        <w:rPr>
          <w:i/>
          <w:vertAlign w:val="subscript"/>
        </w:rPr>
        <w:t>n</w:t>
      </w:r>
      <w:r w:rsidRPr="00772F58">
        <w:t>}</w:t>
      </w:r>
    </w:p>
    <w:p w:rsidR="00BD0C23" w:rsidRDefault="00BD0C23" w:rsidP="00241966">
      <w:pPr>
        <w:pStyle w:val="Text"/>
        <w:ind w:firstLine="0"/>
      </w:pPr>
      <w:r>
        <w:t>Im der vorliegenden Formulierung des Modells werden keine Suchmethoden spezifiziert. Während wir bei de</w:t>
      </w:r>
      <w:r w:rsidR="008C3BEC">
        <w:t>r</w:t>
      </w:r>
      <w:r>
        <w:t xml:space="preserve"> </w:t>
      </w:r>
      <w:r w:rsidR="008C3BEC">
        <w:t xml:space="preserve">Funktionsmenge der </w:t>
      </w:r>
      <w:r>
        <w:t>Operationen (vgl. A</w:t>
      </w:r>
      <w:r>
        <w:t>b</w:t>
      </w:r>
      <w:r>
        <w:t xml:space="preserve">schnitt </w:t>
      </w:r>
      <w:r w:rsidR="005D7996">
        <w:fldChar w:fldCharType="begin"/>
      </w:r>
      <w:r>
        <w:instrText xml:space="preserve"> REF _Ref255767436 \r \h </w:instrText>
      </w:r>
      <w:r w:rsidR="005D7996">
        <w:fldChar w:fldCharType="separate"/>
      </w:r>
      <w:r w:rsidR="001231D3">
        <w:t>7.2.1</w:t>
      </w:r>
      <w:r w:rsidR="005D7996">
        <w:fldChar w:fldCharType="end"/>
      </w:r>
      <w:r>
        <w:t xml:space="preserve">, </w:t>
      </w:r>
      <w:r w:rsidR="00633DA0">
        <w:t xml:space="preserve">Unterabschnitt </w:t>
      </w:r>
      <w:r w:rsidRPr="00633DA0">
        <w:rPr>
          <w:i/>
        </w:rPr>
        <w:t>Die Funktionsmenge Op der Operationen</w:t>
      </w:r>
      <w:r w:rsidRPr="0067006D">
        <w:t>)</w:t>
      </w:r>
      <w:r w:rsidR="008C3BEC">
        <w:t>,</w:t>
      </w:r>
      <w:r>
        <w:t xml:space="preserve"> die </w:t>
      </w:r>
      <w:r w:rsidR="008C3BEC">
        <w:t xml:space="preserve">prinzipiell ebenfalls </w:t>
      </w:r>
      <w:r>
        <w:t xml:space="preserve">offen </w:t>
      </w:r>
      <w:r w:rsidR="008C3BEC">
        <w:t>ist</w:t>
      </w:r>
      <w:r>
        <w:t xml:space="preserve">, für die hier vorliegende Darstellung des Modells </w:t>
      </w:r>
      <w:r w:rsidR="00DE4E09">
        <w:lastRenderedPageBreak/>
        <w:t xml:space="preserve">sieben </w:t>
      </w:r>
      <w:r>
        <w:t xml:space="preserve">Operationen </w:t>
      </w:r>
      <w:r w:rsidR="008C3BEC">
        <w:t>spezifizieren</w:t>
      </w:r>
      <w:r>
        <w:t xml:space="preserve">, verzichten wir bei den Suchfunktionen auf </w:t>
      </w:r>
      <w:r w:rsidR="008C3BEC">
        <w:t>eine solche Spezifikation</w:t>
      </w:r>
      <w:r>
        <w:t>. Es wird vielmehr angenommen, dass jedem Individ</w:t>
      </w:r>
      <w:r>
        <w:t>u</w:t>
      </w:r>
      <w:r>
        <w:t xml:space="preserve">um Suchmethoden zur Verfügung stehen; diese werden zu Beginn der Funktion </w:t>
      </w:r>
      <w:r w:rsidRPr="00E63AE6">
        <w:rPr>
          <w:i/>
        </w:rPr>
        <w:t>Relevantes_Hintergrundwissen</w:t>
      </w:r>
      <w:r>
        <w:t xml:space="preserve"> durch die Funktion </w:t>
      </w:r>
      <w:r w:rsidRPr="00E63AE6">
        <w:rPr>
          <w:i/>
        </w:rPr>
        <w:t>Suchmeth</w:t>
      </w:r>
      <w:r w:rsidRPr="00E63AE6">
        <w:rPr>
          <w:i/>
        </w:rPr>
        <w:t>o</w:t>
      </w:r>
      <w:r w:rsidRPr="00E63AE6">
        <w:rPr>
          <w:i/>
        </w:rPr>
        <w:t>den_zusammenstellen</w:t>
      </w:r>
      <w:r>
        <w:t xml:space="preserve"> in der Menge </w:t>
      </w:r>
      <w:r w:rsidRPr="00E63AE6">
        <w:rPr>
          <w:i/>
        </w:rPr>
        <w:t>Su</w:t>
      </w:r>
      <w:r>
        <w:t xml:space="preserve"> zusammengefasst.</w:t>
      </w:r>
    </w:p>
    <w:p w:rsidR="00BD0C23" w:rsidRPr="00444435" w:rsidRDefault="00591237" w:rsidP="00241966">
      <w:pPr>
        <w:pStyle w:val="Zwischenberschrift"/>
      </w:pPr>
      <w:r>
        <w:t xml:space="preserve">Die </w:t>
      </w:r>
      <w:r w:rsidR="00BD0C23" w:rsidRPr="00444435">
        <w:t>Funktion Suchmethoden_zusammenstellen</w:t>
      </w:r>
    </w:p>
    <w:p w:rsidR="00BD0C23" w:rsidRDefault="00BD0C23" w:rsidP="00241966">
      <w:pPr>
        <w:pStyle w:val="Text"/>
        <w:ind w:firstLine="0"/>
      </w:pPr>
      <w:r>
        <w:t>Diese Funktion erzeugt eine Menge von Suchmethoden.</w:t>
      </w:r>
      <w:r w:rsidRPr="00444435">
        <w:t xml:space="preserve"> </w:t>
      </w:r>
      <w:r>
        <w:t xml:space="preserve">Sie stellt alle dem </w:t>
      </w:r>
      <w:r w:rsidR="00C75387">
        <w:t>Sti</w:t>
      </w:r>
      <w:r w:rsidR="00C75387">
        <w:t>l</w:t>
      </w:r>
      <w:r w:rsidR="00C75387">
        <w:t>wahrnehmer</w:t>
      </w:r>
      <w:r>
        <w:t xml:space="preserve"> zum Zeitpunkt der Stilinterpretation zur Verfügung stehenden Suchfunktionen zur Menge </w:t>
      </w:r>
      <w:r w:rsidRPr="00444435">
        <w:rPr>
          <w:i/>
        </w:rPr>
        <w:t>Su</w:t>
      </w:r>
      <w:r>
        <w:t xml:space="preserve"> zusammen.</w:t>
      </w:r>
    </w:p>
    <w:p w:rsidR="00BD0C23" w:rsidRDefault="00BD0C23" w:rsidP="00BD0C23">
      <w:pPr>
        <w:pStyle w:val="Text"/>
      </w:pPr>
      <w:r>
        <w:t>Wie können solche Suchfunktionen funktionieren? Einige Möglichkeiten sind:</w:t>
      </w:r>
    </w:p>
    <w:p w:rsidR="00BD0C23" w:rsidRDefault="00BD0C23" w:rsidP="00BD0C23">
      <w:pPr>
        <w:pStyle w:val="Text"/>
      </w:pPr>
      <w:r>
        <w:t>(1)</w:t>
      </w:r>
      <w:r>
        <w:tab/>
        <w:t xml:space="preserve">Die Elemente des Inputs (Merkmalsregeln und Ergebnisse) werden auf teilweise Übereinstimmung mit </w:t>
      </w:r>
      <w:r w:rsidRPr="00D73630">
        <w:rPr>
          <w:i/>
        </w:rPr>
        <w:t>H</w:t>
      </w:r>
      <w:r>
        <w:t>-Elementen überprüft;</w:t>
      </w:r>
    </w:p>
    <w:p w:rsidR="00BD0C23" w:rsidRDefault="00BD0C23" w:rsidP="00BD0C23">
      <w:pPr>
        <w:pStyle w:val="Text"/>
      </w:pPr>
      <w:r>
        <w:t>(2)</w:t>
      </w:r>
      <w:r>
        <w:tab/>
        <w:t>es wird nach Schlüsselbegriffen oder semantischen Markern gesucht, die den Input auf bestimmte Bereiche des Hintergrundwissens beziehen;</w:t>
      </w:r>
    </w:p>
    <w:p w:rsidR="00BD0C23" w:rsidRDefault="00BD0C23" w:rsidP="00BD0C23">
      <w:pPr>
        <w:pStyle w:val="Text"/>
      </w:pPr>
      <w:r>
        <w:t>(3)</w:t>
      </w:r>
      <w:r>
        <w:tab/>
        <w:t>es werden heuristische Regeln angewandt, die den Bezug zu bestim</w:t>
      </w:r>
      <w:r>
        <w:t>m</w:t>
      </w:r>
      <w:r>
        <w:t>ten Bereichen des Hintergrundwissens herstellen (beispielsweise könnte eine Regel auffällige Verhaltensweisen auf den Bereich des psychologischen Wissens beziehen);</w:t>
      </w:r>
    </w:p>
    <w:p w:rsidR="00BD0C23" w:rsidRDefault="00BD0C23" w:rsidP="00BD0C23">
      <w:pPr>
        <w:pStyle w:val="Text"/>
      </w:pPr>
      <w:r>
        <w:t>(4)</w:t>
      </w:r>
      <w:r>
        <w:tab/>
        <w:t xml:space="preserve">es können </w:t>
      </w:r>
      <w:r w:rsidRPr="00D73630">
        <w:rPr>
          <w:i/>
        </w:rPr>
        <w:t>H</w:t>
      </w:r>
      <w:r>
        <w:t>-Elemente gesucht werden, die die Form einer Implikat</w:t>
      </w:r>
      <w:r>
        <w:t>i</w:t>
      </w:r>
      <w:r>
        <w:t>on (Regel) besitzen und deren Vordersatz einem Element im Input entspricht (Modus ponens);</w:t>
      </w:r>
    </w:p>
    <w:p w:rsidR="00BD0C23" w:rsidRDefault="00BD0C23" w:rsidP="00BD0C23">
      <w:pPr>
        <w:pStyle w:val="Text"/>
      </w:pPr>
      <w:r>
        <w:t>(5)</w:t>
      </w:r>
      <w:r>
        <w:tab/>
        <w:t xml:space="preserve">es können </w:t>
      </w:r>
      <w:r w:rsidRPr="00D73630">
        <w:rPr>
          <w:i/>
        </w:rPr>
        <w:t>H</w:t>
      </w:r>
      <w:r>
        <w:t>-Elemente gesucht werden, die die Form einer Implikat</w:t>
      </w:r>
      <w:r>
        <w:t>i</w:t>
      </w:r>
      <w:r>
        <w:t>on (Regel) besitzen und deren Nachsatz durch ein Element im Input verneint wird (Modus tollens);</w:t>
      </w:r>
    </w:p>
    <w:p w:rsidR="00BD0C23" w:rsidRDefault="00BD0C23" w:rsidP="00BD0C23">
      <w:pPr>
        <w:pStyle w:val="Text"/>
      </w:pPr>
      <w:r>
        <w:t>(6)</w:t>
      </w:r>
      <w:r>
        <w:tab/>
        <w:t xml:space="preserve">es können </w:t>
      </w:r>
      <w:r w:rsidRPr="00D73630">
        <w:rPr>
          <w:i/>
        </w:rPr>
        <w:t>H</w:t>
      </w:r>
      <w:r>
        <w:t>-Elemente gesucht werden, die die Form einer Implikat</w:t>
      </w:r>
      <w:r>
        <w:t>i</w:t>
      </w:r>
      <w:r>
        <w:t>on besitzen und (aufgrund von Teilübereinstimmungen oder semantischen Z</w:t>
      </w:r>
      <w:r>
        <w:t>u</w:t>
      </w:r>
      <w:r>
        <w:t>ordnungen) einem Element im Input zugeordnet werden können, das innerhalb der Operationen (etwa durch die Anwendung logischer Schlussregeln wie Und-Einfügung, Oder-Beseitigung usw.) voraussichtlich so umgeformt werden kann, dass es dem Vordersatz der Implikation entspricht;</w:t>
      </w:r>
    </w:p>
    <w:p w:rsidR="00BD0C23" w:rsidRDefault="00BD0C23" w:rsidP="00BD0C23">
      <w:pPr>
        <w:pStyle w:val="Text"/>
      </w:pPr>
      <w:r>
        <w:t>(7)</w:t>
      </w:r>
      <w:r>
        <w:tab/>
        <w:t>entsprechend (6), wobei die Umformung eines Elements des Inputs den Nachsatz der Implikation verneint;</w:t>
      </w:r>
    </w:p>
    <w:p w:rsidR="00BD0C23" w:rsidRDefault="00BD0C23" w:rsidP="00BD0C23">
      <w:pPr>
        <w:pStyle w:val="Text"/>
      </w:pPr>
      <w:r>
        <w:t>(8)</w:t>
      </w:r>
      <w:r>
        <w:tab/>
        <w:t>ein Element des Inputs fällt unter eine Regel im Hintergrundwissen;</w:t>
      </w:r>
    </w:p>
    <w:p w:rsidR="00BD0C23" w:rsidRDefault="00BD0C23" w:rsidP="00BD0C23">
      <w:pPr>
        <w:pStyle w:val="Text"/>
      </w:pPr>
      <w:r>
        <w:t>(9)</w:t>
      </w:r>
      <w:r>
        <w:tab/>
        <w:t>es könnte gezielt nach Metawissen gesucht werden, das Bezüge zw</w:t>
      </w:r>
      <w:r>
        <w:t>i</w:t>
      </w:r>
      <w:r>
        <w:t>schen Inputelementen und bestimmten Bereichen des Hintergrundwissens he</w:t>
      </w:r>
      <w:r>
        <w:t>r</w:t>
      </w:r>
      <w:r>
        <w:t>stellt (z.B. Wissen darüber, dass bestimmte Merkmale eines Artefakts oft die Zuordnung zu handwerklichen Traditionen ermöglichen, oder dass bestimmte Merkmale eines Texts psychologische Rückschlüsse erlauben), und die darin genannten Bereiche des Hintergrundwissens entweder vollständig ins relevante Hintergrundwissen übernommen oder mit Hilfe einer anderen Suchfunk</w:t>
      </w:r>
      <w:r w:rsidR="00D2583A">
        <w:t>tion weiter spezifiziert werden.</w:t>
      </w:r>
    </w:p>
    <w:p w:rsidR="00BD0C23" w:rsidRDefault="00BD0C23" w:rsidP="00241966">
      <w:pPr>
        <w:pStyle w:val="Text"/>
        <w:spacing w:before="240"/>
        <w:ind w:firstLine="0"/>
      </w:pPr>
      <w:r>
        <w:lastRenderedPageBreak/>
        <w:t>Schon diese provisorische Aufzählung verdeutlicht die Breite der denkbaren Suchmethoden.</w:t>
      </w:r>
      <w:r w:rsidR="008C3BEC">
        <w:rPr>
          <w:rStyle w:val="Funotenzeichen"/>
        </w:rPr>
        <w:footnoteReference w:id="514"/>
      </w:r>
      <w:r>
        <w:t xml:space="preserve"> Diese Suchmethoden sind hier für die Stilinterpretation fo</w:t>
      </w:r>
      <w:r>
        <w:t>r</w:t>
      </w:r>
      <w:r>
        <w:t>muliert; sie treten jedoch in entsprechend abgewandelter Form bei jeder Inte</w:t>
      </w:r>
      <w:r>
        <w:t>r</w:t>
      </w:r>
      <w:r>
        <w:t>pretation und vermutlich auch bei anderen Prozessen de</w:t>
      </w:r>
      <w:r w:rsidR="003D26AF">
        <w:t>s</w:t>
      </w:r>
      <w:r>
        <w:t xml:space="preserve"> Zeichen</w:t>
      </w:r>
      <w:r w:rsidR="003D26AF">
        <w:t>empfangs</w:t>
      </w:r>
      <w:r>
        <w:t xml:space="preserve"> auf, bei denen </w:t>
      </w:r>
      <w:r w:rsidR="003D26AF">
        <w:t xml:space="preserve">die Zeicheninhalte </w:t>
      </w:r>
      <w:r>
        <w:t>erst durch die Hinzuziehung von Hintergrundwi</w:t>
      </w:r>
      <w:r>
        <w:t>s</w:t>
      </w:r>
      <w:r>
        <w:t xml:space="preserve">sen gewonnen werden </w:t>
      </w:r>
      <w:r w:rsidR="003D26AF">
        <w:t>müssen</w:t>
      </w:r>
      <w:r>
        <w:t>. Ihre Untersuchung gehört daher auch nicht zur Stiltheorie, sondern bleibt allgemeineren Untersuchungen zur Hinzuziehung von Hintergrundwissen in kognitiven Prozessen vorbehalten. Durch psycholog</w:t>
      </w:r>
      <w:r>
        <w:t>i</w:t>
      </w:r>
      <w:r>
        <w:t>sche oder kognitionswissenschaftliche Untersuchungen könnten einzelne Suc</w:t>
      </w:r>
      <w:r>
        <w:t>h</w:t>
      </w:r>
      <w:r>
        <w:t>methoden empirisch überprüft werden.</w:t>
      </w:r>
      <w:bookmarkEnd w:id="403"/>
    </w:p>
    <w:p w:rsidR="005E2C76" w:rsidRDefault="005E2C76" w:rsidP="005E2C76">
      <w:pPr>
        <w:pStyle w:val="Titel3"/>
      </w:pPr>
      <w:bookmarkStart w:id="404" w:name="_Ref254694742"/>
      <w:bookmarkStart w:id="405" w:name="_Toc325456799"/>
      <w:bookmarkStart w:id="406" w:name="Ergebnisse3"/>
      <w:r>
        <w:t xml:space="preserve">Die </w:t>
      </w:r>
      <w:r w:rsidR="0061705E">
        <w:t>Funktion Ergebnisse</w:t>
      </w:r>
      <w:bookmarkEnd w:id="404"/>
      <w:bookmarkEnd w:id="405"/>
    </w:p>
    <w:p w:rsidR="00D35A1D" w:rsidRDefault="005D7996" w:rsidP="00241966">
      <w:pPr>
        <w:pStyle w:val="Text"/>
        <w:ind w:firstLine="0"/>
      </w:pPr>
      <w:r>
        <w:fldChar w:fldCharType="begin"/>
      </w:r>
      <w:r w:rsidR="00571C64">
        <w:instrText xml:space="preserve"> XE "</w:instrText>
      </w:r>
      <w:r w:rsidR="003B27F5">
        <w:instrText xml:space="preserve">Ergebnisse </w:instrText>
      </w:r>
      <w:r w:rsidR="00571C64">
        <w:instrText>(der Interpretation):</w:instrText>
      </w:r>
      <w:r w:rsidR="00571C64" w:rsidRPr="00571C64">
        <w:rPr>
          <w:i/>
        </w:rPr>
        <w:instrText>Funktion</w:instrText>
      </w:r>
      <w:r w:rsidR="00571C64">
        <w:instrText>" \r "Ergebnisse</w:instrText>
      </w:r>
      <w:r w:rsidR="003B27F5">
        <w:instrText>3</w:instrText>
      </w:r>
      <w:r w:rsidR="00571C64">
        <w:instrText xml:space="preserve">" </w:instrText>
      </w:r>
      <w:r>
        <w:fldChar w:fldCharType="end"/>
      </w:r>
      <w:r w:rsidR="00141F9B">
        <w:t>D</w:t>
      </w:r>
      <w:r w:rsidR="00A96A8E">
        <w:t xml:space="preserve">ie eigentliche Erzeugung </w:t>
      </w:r>
      <w:r w:rsidR="00141F9B">
        <w:t xml:space="preserve">von </w:t>
      </w:r>
      <w:r w:rsidR="00A96A8E">
        <w:t>Ergebnisse</w:t>
      </w:r>
      <w:r w:rsidR="00141F9B">
        <w:t xml:space="preserve">n wird nicht in der Funktion </w:t>
      </w:r>
      <w:r w:rsidR="00141F9B" w:rsidRPr="00571F47">
        <w:rPr>
          <w:i/>
        </w:rPr>
        <w:t>Interpr</w:t>
      </w:r>
      <w:r w:rsidR="00141F9B" w:rsidRPr="00571F47">
        <w:rPr>
          <w:i/>
        </w:rPr>
        <w:t>e</w:t>
      </w:r>
      <w:r w:rsidR="00141F9B" w:rsidRPr="00571F47">
        <w:rPr>
          <w:i/>
        </w:rPr>
        <w:t>tation</w:t>
      </w:r>
      <w:r w:rsidR="00141F9B">
        <w:t xml:space="preserve"> vorgenommen; dafür wird die Funktion </w:t>
      </w:r>
      <w:r w:rsidR="00141F9B" w:rsidRPr="00571F47">
        <w:rPr>
          <w:i/>
        </w:rPr>
        <w:t>Ergebnisse</w:t>
      </w:r>
      <w:r w:rsidR="00141F9B">
        <w:t xml:space="preserve"> aufgerufen. </w:t>
      </w:r>
      <w:r w:rsidR="00F519C2">
        <w:t xml:space="preserve">Dieser wird eine Menge von Merkmalsregeln, eine Menge von Ergebnissen und eine Menge von </w:t>
      </w:r>
      <w:r w:rsidR="00D35A1D">
        <w:t xml:space="preserve">relevantem </w:t>
      </w:r>
      <w:r w:rsidR="00F519C2">
        <w:t>Hintergrundwissen als auszuwertender ‚Input‘ übergeben. A</w:t>
      </w:r>
      <w:r w:rsidR="00F519C2">
        <w:t>u</w:t>
      </w:r>
      <w:r w:rsidR="00F519C2">
        <w:t xml:space="preserve">ßerdem wird ihr eine Menge von Operationen übergeben, die auf diesen Input anzuwenden sind. Sie muss keine Teilmengen des Inputs bilden, da </w:t>
      </w:r>
      <w:r w:rsidR="00D35A1D">
        <w:t>in der Fun</w:t>
      </w:r>
      <w:r w:rsidR="00D35A1D">
        <w:t>k</w:t>
      </w:r>
      <w:r w:rsidR="00D35A1D">
        <w:t xml:space="preserve">tion </w:t>
      </w:r>
      <w:r w:rsidR="00D35A1D" w:rsidRPr="00571F47">
        <w:rPr>
          <w:i/>
        </w:rPr>
        <w:t>Interpretation</w:t>
      </w:r>
      <w:r w:rsidR="00D35A1D">
        <w:t xml:space="preserve"> bereits alle</w:t>
      </w:r>
      <w:r w:rsidR="00F519C2">
        <w:t xml:space="preserve"> möglichen Kombinationen </w:t>
      </w:r>
      <w:r w:rsidR="00D35A1D">
        <w:t>von Teilmengen von Merkmalsregeln, Ergebnissen und relevantem Hintergrundwissen gebildet we</w:t>
      </w:r>
      <w:r w:rsidR="00D35A1D">
        <w:t>r</w:t>
      </w:r>
      <w:r w:rsidR="00D35A1D">
        <w:t xml:space="preserve">den. Daher wird in der Funktion </w:t>
      </w:r>
      <w:r w:rsidR="00D35A1D" w:rsidRPr="00571F47">
        <w:rPr>
          <w:i/>
        </w:rPr>
        <w:t>Ergebnisse</w:t>
      </w:r>
      <w:r w:rsidR="00D35A1D">
        <w:t xml:space="preserve"> nur noch jede Operation einmal auf den Input angewandt und </w:t>
      </w:r>
      <w:r w:rsidR="00342E38">
        <w:t xml:space="preserve">die erzeugten Ergebnisse </w:t>
      </w:r>
      <w:r w:rsidR="00510732">
        <w:t xml:space="preserve">zur </w:t>
      </w:r>
      <w:r w:rsidR="00D35A1D">
        <w:t xml:space="preserve">Menge </w:t>
      </w:r>
      <w:r w:rsidR="00D35A1D" w:rsidRPr="00D35A1D">
        <w:rPr>
          <w:i/>
        </w:rPr>
        <w:t>E</w:t>
      </w:r>
      <w:r w:rsidR="00510732">
        <w:rPr>
          <w:i/>
        </w:rPr>
        <w:t>r</w:t>
      </w:r>
      <w:r w:rsidR="00D35A1D">
        <w:t xml:space="preserve"> </w:t>
      </w:r>
      <w:r w:rsidR="00510732">
        <w:t>hinzugefügt.</w:t>
      </w:r>
    </w:p>
    <w:p w:rsidR="00D35A1D" w:rsidRDefault="00D35A1D" w:rsidP="001D0350">
      <w:pPr>
        <w:pStyle w:val="Text"/>
      </w:pPr>
      <w:r>
        <w:t xml:space="preserve">Außerdem </w:t>
      </w:r>
      <w:r w:rsidR="008F4122">
        <w:t xml:space="preserve">kann </w:t>
      </w:r>
      <w:r>
        <w:t>jede</w:t>
      </w:r>
      <w:r w:rsidR="008F4122">
        <w:t xml:space="preserve">r Interpretationsschritt </w:t>
      </w:r>
      <w:r>
        <w:t xml:space="preserve">mittels der Funktion </w:t>
      </w:r>
      <w:r w:rsidR="00D9589E" w:rsidRPr="008F4122">
        <w:rPr>
          <w:i/>
        </w:rPr>
        <w:t>Interpr</w:t>
      </w:r>
      <w:r w:rsidR="00D9589E" w:rsidRPr="008F4122">
        <w:rPr>
          <w:i/>
        </w:rPr>
        <w:t>e</w:t>
      </w:r>
      <w:r w:rsidR="00D9589E" w:rsidRPr="008F4122">
        <w:rPr>
          <w:i/>
        </w:rPr>
        <w:t>tationsschritt_schreiben</w:t>
      </w:r>
      <w:r w:rsidR="00D9589E">
        <w:t xml:space="preserve"> </w:t>
      </w:r>
      <w:r w:rsidR="008F4122">
        <w:t>ausgegeben werden</w:t>
      </w:r>
      <w:r w:rsidR="00D9589E">
        <w:t xml:space="preserve"> (siehe Abschnitt </w:t>
      </w:r>
      <w:r w:rsidR="005D7996">
        <w:fldChar w:fldCharType="begin"/>
      </w:r>
      <w:r w:rsidR="00D9589E">
        <w:instrText xml:space="preserve"> REF _Ref258410988 \r \h </w:instrText>
      </w:r>
      <w:r w:rsidR="005D7996">
        <w:fldChar w:fldCharType="separate"/>
      </w:r>
      <w:r w:rsidR="001231D3">
        <w:t>7.2.4</w:t>
      </w:r>
      <w:r w:rsidR="005D7996">
        <w:fldChar w:fldCharType="end"/>
      </w:r>
      <w:r w:rsidR="00D9589E">
        <w:t>).</w:t>
      </w:r>
    </w:p>
    <w:p w:rsidR="008075F9" w:rsidRPr="00680CCF" w:rsidRDefault="008075F9" w:rsidP="00241966">
      <w:pPr>
        <w:pStyle w:val="Text"/>
        <w:keepNext/>
        <w:spacing w:before="360"/>
        <w:ind w:firstLine="0"/>
        <w:jc w:val="left"/>
        <w:rPr>
          <w:color w:val="000000" w:themeColor="text1"/>
        </w:rPr>
      </w:pPr>
      <w:r w:rsidRPr="00680CCF">
        <w:rPr>
          <w:color w:val="000000" w:themeColor="text1"/>
        </w:rPr>
        <w:t xml:space="preserve">function </w:t>
      </w:r>
      <w:r w:rsidR="00DA074B" w:rsidRPr="00680CCF">
        <w:rPr>
          <w:color w:val="000000" w:themeColor="text1"/>
        </w:rPr>
        <w:t>Ergebnis</w:t>
      </w:r>
      <w:r w:rsidR="00350DF9" w:rsidRPr="00680CCF">
        <w:rPr>
          <w:color w:val="000000" w:themeColor="text1"/>
        </w:rPr>
        <w:t xml:space="preserve">se </w:t>
      </w:r>
      <w:r w:rsidRPr="00680CCF">
        <w:rPr>
          <w:color w:val="000000" w:themeColor="text1"/>
        </w:rPr>
        <w:t>(</w:t>
      </w:r>
      <w:r w:rsidRPr="00680CCF">
        <w:rPr>
          <w:i/>
          <w:color w:val="000000" w:themeColor="text1"/>
        </w:rPr>
        <w:t>P</w:t>
      </w:r>
      <w:r w:rsidRPr="00680CCF">
        <w:rPr>
          <w:color w:val="000000" w:themeColor="text1"/>
        </w:rPr>
        <w:t xml:space="preserve">, </w:t>
      </w:r>
      <w:r w:rsidRPr="00680CCF">
        <w:rPr>
          <w:i/>
          <w:color w:val="000000" w:themeColor="text1"/>
        </w:rPr>
        <w:t>Q</w:t>
      </w:r>
      <w:r w:rsidRPr="00680CCF">
        <w:rPr>
          <w:color w:val="000000" w:themeColor="text1"/>
        </w:rPr>
        <w:t xml:space="preserve">, </w:t>
      </w:r>
      <w:r w:rsidR="00EE1B14" w:rsidRPr="00680CCF">
        <w:rPr>
          <w:i/>
          <w:color w:val="000000" w:themeColor="text1"/>
        </w:rPr>
        <w:t>R</w:t>
      </w:r>
      <w:r w:rsidRPr="00680CCF">
        <w:rPr>
          <w:color w:val="000000" w:themeColor="text1"/>
        </w:rPr>
        <w:t xml:space="preserve">, </w:t>
      </w:r>
      <w:r w:rsidR="00193187" w:rsidRPr="00193187">
        <w:rPr>
          <w:i/>
          <w:color w:val="000000" w:themeColor="text1"/>
        </w:rPr>
        <w:t>E</w:t>
      </w:r>
      <w:r w:rsidR="00510732">
        <w:rPr>
          <w:i/>
          <w:color w:val="000000" w:themeColor="text1"/>
        </w:rPr>
        <w:t>r</w:t>
      </w:r>
      <w:r w:rsidR="00193187" w:rsidRPr="00680CCF">
        <w:rPr>
          <w:color w:val="000000" w:themeColor="text1"/>
        </w:rPr>
        <w:t>,</w:t>
      </w:r>
      <w:r w:rsidR="00193187" w:rsidRPr="00DA074B">
        <w:rPr>
          <w:i/>
          <w:color w:val="000000" w:themeColor="text1"/>
        </w:rPr>
        <w:t xml:space="preserve"> </w:t>
      </w:r>
      <w:r w:rsidR="00B81370" w:rsidRPr="00DA074B">
        <w:rPr>
          <w:i/>
          <w:color w:val="000000" w:themeColor="text1"/>
        </w:rPr>
        <w:t>O</w:t>
      </w:r>
      <w:r w:rsidR="00B81370">
        <w:rPr>
          <w:i/>
          <w:color w:val="000000" w:themeColor="text1"/>
        </w:rPr>
        <w:t>p</w:t>
      </w:r>
      <w:r w:rsidR="00B81370" w:rsidRPr="00680CCF">
        <w:rPr>
          <w:color w:val="000000" w:themeColor="text1"/>
        </w:rPr>
        <w:t>,</w:t>
      </w:r>
      <w:r w:rsidR="00B81370">
        <w:rPr>
          <w:i/>
          <w:color w:val="000000" w:themeColor="text1"/>
        </w:rPr>
        <w:t xml:space="preserve"> </w:t>
      </w:r>
      <w:r w:rsidR="00B7370D">
        <w:rPr>
          <w:i/>
          <w:color w:val="000000" w:themeColor="text1"/>
        </w:rPr>
        <w:t>G</w:t>
      </w:r>
      <w:r w:rsidR="00B7370D" w:rsidRPr="00680CCF">
        <w:rPr>
          <w:color w:val="000000" w:themeColor="text1"/>
        </w:rPr>
        <w:t>,</w:t>
      </w:r>
      <w:r w:rsidR="00B7370D">
        <w:rPr>
          <w:color w:val="000000" w:themeColor="text1"/>
        </w:rPr>
        <w:t xml:space="preserve"> </w:t>
      </w:r>
      <w:r w:rsidR="00790EC1">
        <w:rPr>
          <w:i/>
          <w:color w:val="000000" w:themeColor="text1"/>
        </w:rPr>
        <w:t>Z</w:t>
      </w:r>
      <w:r w:rsidR="00F30B7B" w:rsidRPr="00680CCF">
        <w:rPr>
          <w:color w:val="000000" w:themeColor="text1"/>
        </w:rPr>
        <w:t>)</w:t>
      </w:r>
    </w:p>
    <w:p w:rsidR="008075F9" w:rsidRPr="002B5093" w:rsidRDefault="008075F9" w:rsidP="007C6E09">
      <w:pPr>
        <w:pStyle w:val="Text"/>
        <w:ind w:firstLine="0"/>
        <w:jc w:val="left"/>
        <w:rPr>
          <w:color w:val="000000" w:themeColor="text1"/>
          <w:lang w:val="en-US"/>
        </w:rPr>
      </w:pPr>
      <w:r w:rsidRPr="00680CCF">
        <w:rPr>
          <w:color w:val="000000" w:themeColor="text1"/>
        </w:rPr>
        <w:t xml:space="preserve">   </w:t>
      </w:r>
      <w:r w:rsidRPr="002B5093">
        <w:rPr>
          <w:color w:val="000000" w:themeColor="text1"/>
          <w:lang w:val="en-US"/>
        </w:rPr>
        <w:t xml:space="preserve">for </w:t>
      </w:r>
      <w:r w:rsidRPr="002B5093">
        <w:rPr>
          <w:i/>
          <w:color w:val="000000" w:themeColor="text1"/>
          <w:lang w:val="en-US"/>
        </w:rPr>
        <w:t>h</w:t>
      </w:r>
      <w:r w:rsidRPr="002B5093">
        <w:rPr>
          <w:color w:val="000000" w:themeColor="text1"/>
          <w:lang w:val="en-US"/>
        </w:rPr>
        <w:t xml:space="preserve"> := 1 to |</w:t>
      </w:r>
      <w:r w:rsidRPr="002B5093">
        <w:rPr>
          <w:i/>
          <w:color w:val="000000" w:themeColor="text1"/>
          <w:lang w:val="en-US"/>
        </w:rPr>
        <w:t>Op</w:t>
      </w:r>
      <w:r w:rsidRPr="002B5093">
        <w:rPr>
          <w:color w:val="000000" w:themeColor="text1"/>
          <w:lang w:val="en-US"/>
        </w:rPr>
        <w:t>|</w:t>
      </w:r>
    </w:p>
    <w:p w:rsidR="00FE4C97" w:rsidRDefault="00FE4C97" w:rsidP="007C6E09">
      <w:pPr>
        <w:pStyle w:val="Text"/>
        <w:ind w:firstLine="0"/>
        <w:jc w:val="left"/>
        <w:rPr>
          <w:color w:val="000000" w:themeColor="text1"/>
          <w:lang w:val="en-US"/>
        </w:rPr>
      </w:pPr>
      <w:r w:rsidRPr="002B5093">
        <w:rPr>
          <w:color w:val="000000" w:themeColor="text1"/>
          <w:lang w:val="en-US"/>
        </w:rPr>
        <w:t xml:space="preserve">      </w:t>
      </w:r>
      <w:r w:rsidRPr="009433BD">
        <w:rPr>
          <w:color w:val="000000" w:themeColor="text1"/>
          <w:lang w:val="en-US"/>
        </w:rPr>
        <w:t xml:space="preserve">if </w:t>
      </w:r>
      <w:r w:rsidR="006B2103">
        <w:rPr>
          <w:color w:val="000000" w:themeColor="text1"/>
          <w:lang w:val="en-US"/>
        </w:rPr>
        <w:t>Interesse</w:t>
      </w:r>
      <w:r w:rsidR="0072651B" w:rsidRPr="009433BD">
        <w:rPr>
          <w:color w:val="000000" w:themeColor="text1"/>
          <w:lang w:val="en-US"/>
        </w:rPr>
        <w:t xml:space="preserve"> </w:t>
      </w:r>
      <w:r w:rsidR="00881A80">
        <w:rPr>
          <w:color w:val="000000" w:themeColor="text1"/>
          <w:lang w:val="en-US"/>
        </w:rPr>
        <w:t>(</w:t>
      </w:r>
      <w:r w:rsidR="00881A80" w:rsidRPr="00026313">
        <w:rPr>
          <w:i/>
          <w:color w:val="000000" w:themeColor="text1"/>
          <w:lang w:val="en-US"/>
        </w:rPr>
        <w:t>Op</w:t>
      </w:r>
      <w:r w:rsidR="00881A80" w:rsidRPr="00026313">
        <w:rPr>
          <w:i/>
          <w:color w:val="000000" w:themeColor="text1"/>
          <w:vertAlign w:val="subscript"/>
          <w:lang w:val="en-US"/>
        </w:rPr>
        <w:t>h</w:t>
      </w:r>
      <w:r w:rsidR="00881A80">
        <w:rPr>
          <w:color w:val="000000" w:themeColor="text1"/>
          <w:lang w:val="en-US"/>
        </w:rPr>
        <w:t xml:space="preserve">) </w:t>
      </w:r>
      <w:r w:rsidRPr="009433BD">
        <w:rPr>
          <w:color w:val="000000" w:themeColor="text1"/>
          <w:lang w:val="en-US"/>
        </w:rPr>
        <w:t>= 1</w:t>
      </w:r>
    </w:p>
    <w:p w:rsidR="00A32F6A" w:rsidRPr="00FE6390" w:rsidRDefault="00026313" w:rsidP="007C6E09">
      <w:pPr>
        <w:pStyle w:val="Text"/>
        <w:ind w:firstLine="0"/>
        <w:jc w:val="left"/>
        <w:rPr>
          <w:color w:val="000000" w:themeColor="text1"/>
        </w:rPr>
      </w:pPr>
      <w:r w:rsidRPr="0021347F">
        <w:rPr>
          <w:color w:val="000000" w:themeColor="text1"/>
          <w:lang w:val="en-US"/>
        </w:rPr>
        <w:t xml:space="preserve">         </w:t>
      </w:r>
      <w:r w:rsidRPr="00FE6390">
        <w:rPr>
          <w:i/>
          <w:color w:val="000000" w:themeColor="text1"/>
        </w:rPr>
        <w:t>E</w:t>
      </w:r>
      <w:r w:rsidR="00510732">
        <w:rPr>
          <w:i/>
          <w:color w:val="000000" w:themeColor="text1"/>
        </w:rPr>
        <w:t>r</w:t>
      </w:r>
      <w:r w:rsidRPr="00FE6390">
        <w:rPr>
          <w:i/>
          <w:color w:val="000000" w:themeColor="text1"/>
        </w:rPr>
        <w:t>*</w:t>
      </w:r>
      <w:r w:rsidRPr="00FE6390">
        <w:rPr>
          <w:color w:val="000000" w:themeColor="text1"/>
        </w:rPr>
        <w:t xml:space="preserve"> := </w:t>
      </w:r>
      <w:r w:rsidRPr="00FE6390">
        <w:rPr>
          <w:i/>
          <w:color w:val="000000" w:themeColor="text1"/>
        </w:rPr>
        <w:t>Op</w:t>
      </w:r>
      <w:r w:rsidRPr="00FE6390">
        <w:rPr>
          <w:i/>
          <w:color w:val="000000" w:themeColor="text1"/>
          <w:vertAlign w:val="subscript"/>
        </w:rPr>
        <w:t>h</w:t>
      </w:r>
      <w:r w:rsidRPr="00FE6390">
        <w:rPr>
          <w:color w:val="000000" w:themeColor="text1"/>
        </w:rPr>
        <w:t xml:space="preserve"> (</w:t>
      </w:r>
      <w:r w:rsidR="00D9382F" w:rsidRPr="00FE6390">
        <w:rPr>
          <w:i/>
          <w:color w:val="000000" w:themeColor="text1"/>
        </w:rPr>
        <w:t>P</w:t>
      </w:r>
      <w:r w:rsidR="00D9382F" w:rsidRPr="00FE6390">
        <w:rPr>
          <w:color w:val="000000" w:themeColor="text1"/>
        </w:rPr>
        <w:t xml:space="preserve">, </w:t>
      </w:r>
      <w:r w:rsidR="00D9382F" w:rsidRPr="00FE6390">
        <w:rPr>
          <w:i/>
          <w:color w:val="000000" w:themeColor="text1"/>
        </w:rPr>
        <w:t>Q</w:t>
      </w:r>
      <w:r w:rsidR="00D9382F" w:rsidRPr="00FE6390">
        <w:rPr>
          <w:color w:val="000000" w:themeColor="text1"/>
        </w:rPr>
        <w:t xml:space="preserve">, </w:t>
      </w:r>
      <w:r w:rsidR="00D9382F" w:rsidRPr="00FE6390">
        <w:rPr>
          <w:i/>
          <w:color w:val="000000" w:themeColor="text1"/>
        </w:rPr>
        <w:t>R</w:t>
      </w:r>
      <w:r w:rsidRPr="00FE6390">
        <w:rPr>
          <w:color w:val="000000" w:themeColor="text1"/>
        </w:rPr>
        <w:t xml:space="preserve">) \ </w:t>
      </w:r>
      <w:r w:rsidRPr="00FE6390">
        <w:rPr>
          <w:i/>
          <w:color w:val="000000" w:themeColor="text1"/>
        </w:rPr>
        <w:t>E</w:t>
      </w:r>
      <w:r w:rsidR="00510732">
        <w:rPr>
          <w:i/>
          <w:color w:val="000000" w:themeColor="text1"/>
        </w:rPr>
        <w:t>r</w:t>
      </w:r>
    </w:p>
    <w:p w:rsidR="008E5A5C" w:rsidRPr="00FE6390" w:rsidRDefault="008E5A5C" w:rsidP="00F53BF4">
      <w:pPr>
        <w:pStyle w:val="Text"/>
        <w:ind w:hanging="369"/>
        <w:jc w:val="left"/>
        <w:rPr>
          <w:color w:val="000000" w:themeColor="text1"/>
        </w:rPr>
      </w:pPr>
      <w:r w:rsidRPr="007C6E09">
        <w:rPr>
          <w:sz w:val="16"/>
          <w:szCs w:val="16"/>
        </w:rPr>
        <w:t xml:space="preserve"> 5</w:t>
      </w:r>
      <w:r w:rsidRPr="00FE6390">
        <w:tab/>
      </w:r>
      <w:r w:rsidR="00B42F1E" w:rsidRPr="00FE6390">
        <w:rPr>
          <w:color w:val="000000" w:themeColor="text1"/>
        </w:rPr>
        <w:t xml:space="preserve">         for </w:t>
      </w:r>
      <w:r w:rsidR="00B42F1E" w:rsidRPr="00FE6390">
        <w:rPr>
          <w:i/>
          <w:color w:val="000000" w:themeColor="text1"/>
        </w:rPr>
        <w:t>k</w:t>
      </w:r>
      <w:r w:rsidR="00B42F1E" w:rsidRPr="00FE6390">
        <w:rPr>
          <w:color w:val="000000" w:themeColor="text1"/>
        </w:rPr>
        <w:t xml:space="preserve"> := 1 to |</w:t>
      </w:r>
      <w:r w:rsidR="00B42F1E" w:rsidRPr="00FE6390">
        <w:rPr>
          <w:i/>
          <w:color w:val="000000" w:themeColor="text1"/>
        </w:rPr>
        <w:t>E</w:t>
      </w:r>
      <w:r w:rsidR="00510732">
        <w:rPr>
          <w:i/>
          <w:color w:val="000000" w:themeColor="text1"/>
        </w:rPr>
        <w:t>r</w:t>
      </w:r>
      <w:r w:rsidR="00B42F1E" w:rsidRPr="00FE6390">
        <w:rPr>
          <w:i/>
          <w:color w:val="000000" w:themeColor="text1"/>
        </w:rPr>
        <w:t>*</w:t>
      </w:r>
      <w:r w:rsidR="00B42F1E" w:rsidRPr="00FE6390">
        <w:rPr>
          <w:color w:val="000000" w:themeColor="text1"/>
        </w:rPr>
        <w:t>|</w:t>
      </w:r>
    </w:p>
    <w:p w:rsidR="00B42F1E" w:rsidRPr="00FE6390" w:rsidRDefault="00B42F1E" w:rsidP="007C6E09">
      <w:pPr>
        <w:pStyle w:val="Text"/>
        <w:ind w:firstLine="0"/>
        <w:jc w:val="left"/>
        <w:rPr>
          <w:color w:val="000000" w:themeColor="text1"/>
        </w:rPr>
      </w:pPr>
      <w:r w:rsidRPr="00FE6390">
        <w:rPr>
          <w:color w:val="000000" w:themeColor="text1"/>
        </w:rPr>
        <w:t xml:space="preserve">            if </w:t>
      </w:r>
      <w:r w:rsidR="006B2103" w:rsidRPr="00FE6390">
        <w:rPr>
          <w:color w:val="000000" w:themeColor="text1"/>
        </w:rPr>
        <w:t>Interesse</w:t>
      </w:r>
      <w:r w:rsidRPr="00FE6390">
        <w:rPr>
          <w:color w:val="000000" w:themeColor="text1"/>
        </w:rPr>
        <w:t xml:space="preserve"> (</w:t>
      </w:r>
      <w:r w:rsidRPr="00FE6390">
        <w:rPr>
          <w:i/>
          <w:color w:val="000000" w:themeColor="text1"/>
        </w:rPr>
        <w:t>E</w:t>
      </w:r>
      <w:r w:rsidR="00510732">
        <w:rPr>
          <w:i/>
          <w:color w:val="000000" w:themeColor="text1"/>
        </w:rPr>
        <w:t>r</w:t>
      </w:r>
      <w:r w:rsidR="00232CC1" w:rsidRPr="00FE6390">
        <w:rPr>
          <w:i/>
          <w:color w:val="000000" w:themeColor="text1"/>
        </w:rPr>
        <w:t>*</w:t>
      </w:r>
      <w:r w:rsidRPr="00FE6390">
        <w:rPr>
          <w:i/>
          <w:color w:val="000000" w:themeColor="text1"/>
          <w:vertAlign w:val="subscript"/>
        </w:rPr>
        <w:t>k</w:t>
      </w:r>
      <w:r w:rsidRPr="00FE6390">
        <w:rPr>
          <w:color w:val="000000" w:themeColor="text1"/>
        </w:rPr>
        <w:t>) = 0</w:t>
      </w:r>
    </w:p>
    <w:p w:rsidR="00A32F6A" w:rsidRPr="00AD317A" w:rsidRDefault="00A32F6A" w:rsidP="007C6E09">
      <w:pPr>
        <w:pStyle w:val="Text"/>
        <w:ind w:firstLine="0"/>
        <w:jc w:val="left"/>
        <w:rPr>
          <w:color w:val="000000" w:themeColor="text1"/>
        </w:rPr>
      </w:pPr>
      <w:r w:rsidRPr="00FE6390">
        <w:rPr>
          <w:color w:val="000000" w:themeColor="text1"/>
        </w:rPr>
        <w:t xml:space="preserve">               </w:t>
      </w:r>
      <w:r w:rsidRPr="00AD317A">
        <w:rPr>
          <w:i/>
          <w:color w:val="000000" w:themeColor="text1"/>
        </w:rPr>
        <w:t>E</w:t>
      </w:r>
      <w:r w:rsidR="00510732">
        <w:rPr>
          <w:i/>
          <w:color w:val="000000" w:themeColor="text1"/>
        </w:rPr>
        <w:t>r</w:t>
      </w:r>
      <w:r w:rsidRPr="00AD317A">
        <w:rPr>
          <w:i/>
          <w:color w:val="000000" w:themeColor="text1"/>
        </w:rPr>
        <w:t>*</w:t>
      </w:r>
      <w:r w:rsidRPr="00AD317A">
        <w:rPr>
          <w:color w:val="000000" w:themeColor="text1"/>
        </w:rPr>
        <w:t xml:space="preserve"> := </w:t>
      </w:r>
      <w:r w:rsidRPr="00AD317A">
        <w:rPr>
          <w:i/>
          <w:color w:val="000000" w:themeColor="text1"/>
        </w:rPr>
        <w:t>E</w:t>
      </w:r>
      <w:r w:rsidR="00510732">
        <w:rPr>
          <w:i/>
          <w:color w:val="000000" w:themeColor="text1"/>
        </w:rPr>
        <w:t>r</w:t>
      </w:r>
      <w:r w:rsidRPr="00AD317A">
        <w:rPr>
          <w:i/>
          <w:color w:val="000000" w:themeColor="text1"/>
        </w:rPr>
        <w:t>*</w:t>
      </w:r>
      <w:r w:rsidRPr="00AD317A">
        <w:rPr>
          <w:color w:val="000000" w:themeColor="text1"/>
        </w:rPr>
        <w:t xml:space="preserve"> \ </w:t>
      </w:r>
      <w:r w:rsidR="001D0627">
        <w:rPr>
          <w:color w:val="000000" w:themeColor="text1"/>
        </w:rPr>
        <w:t>{</w:t>
      </w:r>
      <w:r w:rsidRPr="00AD317A">
        <w:rPr>
          <w:i/>
          <w:color w:val="000000" w:themeColor="text1"/>
        </w:rPr>
        <w:t>E</w:t>
      </w:r>
      <w:r w:rsidR="00510732">
        <w:rPr>
          <w:i/>
          <w:color w:val="000000" w:themeColor="text1"/>
        </w:rPr>
        <w:t>r</w:t>
      </w:r>
      <w:r w:rsidR="00232CC1" w:rsidRPr="00FE6390">
        <w:rPr>
          <w:i/>
          <w:color w:val="000000" w:themeColor="text1"/>
        </w:rPr>
        <w:t>*</w:t>
      </w:r>
      <w:r w:rsidRPr="00AD317A">
        <w:rPr>
          <w:i/>
          <w:color w:val="000000" w:themeColor="text1"/>
          <w:vertAlign w:val="subscript"/>
        </w:rPr>
        <w:t>k</w:t>
      </w:r>
      <w:r w:rsidR="001D0627">
        <w:rPr>
          <w:color w:val="000000" w:themeColor="text1"/>
        </w:rPr>
        <w:t>}</w:t>
      </w:r>
    </w:p>
    <w:p w:rsidR="00A32F6A" w:rsidRPr="00AD317A" w:rsidRDefault="00A32F6A" w:rsidP="007C6E09">
      <w:pPr>
        <w:pStyle w:val="Text"/>
        <w:ind w:firstLine="0"/>
        <w:jc w:val="left"/>
        <w:rPr>
          <w:color w:val="000000" w:themeColor="text1"/>
        </w:rPr>
      </w:pPr>
      <w:r w:rsidRPr="00AD317A">
        <w:rPr>
          <w:color w:val="000000" w:themeColor="text1"/>
        </w:rPr>
        <w:t xml:space="preserve">            end</w:t>
      </w:r>
    </w:p>
    <w:p w:rsidR="00A32F6A" w:rsidRDefault="00A32F6A" w:rsidP="007C6E09">
      <w:pPr>
        <w:pStyle w:val="Text"/>
        <w:ind w:firstLine="0"/>
        <w:jc w:val="left"/>
        <w:rPr>
          <w:color w:val="000000" w:themeColor="text1"/>
        </w:rPr>
      </w:pPr>
      <w:r w:rsidRPr="00AD317A">
        <w:rPr>
          <w:color w:val="000000" w:themeColor="text1"/>
        </w:rPr>
        <w:t xml:space="preserve">         end</w:t>
      </w:r>
    </w:p>
    <w:p w:rsidR="008E5A5C" w:rsidRPr="003F66F3" w:rsidRDefault="008E5A5C" w:rsidP="00F53BF4">
      <w:pPr>
        <w:pStyle w:val="Text"/>
        <w:ind w:hanging="369"/>
        <w:jc w:val="left"/>
        <w:rPr>
          <w:color w:val="000000" w:themeColor="text1"/>
        </w:rPr>
      </w:pPr>
      <w:r w:rsidRPr="007C6E09">
        <w:rPr>
          <w:sz w:val="16"/>
          <w:szCs w:val="16"/>
        </w:rPr>
        <w:t>10</w:t>
      </w:r>
      <w:r w:rsidRPr="008E5A5C">
        <w:tab/>
      </w:r>
      <w:r w:rsidR="00193187" w:rsidRPr="00EA2FEC">
        <w:rPr>
          <w:color w:val="000000" w:themeColor="text1"/>
        </w:rPr>
        <w:t xml:space="preserve">         </w:t>
      </w:r>
      <w:r w:rsidR="00193187">
        <w:rPr>
          <w:color w:val="000000" w:themeColor="text1"/>
        </w:rPr>
        <w:t>if</w:t>
      </w:r>
      <w:r w:rsidR="00193187" w:rsidRPr="00402D7E">
        <w:rPr>
          <w:color w:val="000000" w:themeColor="text1"/>
        </w:rPr>
        <w:t xml:space="preserve"> </w:t>
      </w:r>
      <w:r w:rsidR="00CC33F5" w:rsidRPr="008D4114">
        <w:t>(</w:t>
      </w:r>
      <w:r w:rsidR="00193187" w:rsidRPr="00402D7E">
        <w:rPr>
          <w:i/>
          <w:color w:val="000000" w:themeColor="text1"/>
        </w:rPr>
        <w:t>E</w:t>
      </w:r>
      <w:r w:rsidR="00510732">
        <w:rPr>
          <w:i/>
          <w:color w:val="000000" w:themeColor="text1"/>
        </w:rPr>
        <w:t>r</w:t>
      </w:r>
      <w:r w:rsidR="00193187" w:rsidRPr="00402D7E">
        <w:rPr>
          <w:i/>
          <w:color w:val="000000" w:themeColor="text1"/>
        </w:rPr>
        <w:t>*</w:t>
      </w:r>
      <w:r w:rsidR="00193187" w:rsidRPr="00402D7E">
        <w:rPr>
          <w:color w:val="000000" w:themeColor="text1"/>
        </w:rPr>
        <w:t xml:space="preserve"> </w:t>
      </w:r>
      <w:r w:rsidR="00193187" w:rsidRPr="00402D7E">
        <w:rPr>
          <w:rFonts w:eastAsia="Arial Unicode MS" w:cs="Times New Roman"/>
          <w:color w:val="000000" w:themeColor="text1"/>
        </w:rPr>
        <w:t>≠</w:t>
      </w:r>
      <w:r w:rsidR="00193187" w:rsidRPr="00402D7E">
        <w:rPr>
          <w:color w:val="000000" w:themeColor="text1"/>
        </w:rPr>
        <w:t xml:space="preserve"> </w:t>
      </w:r>
      <w:r w:rsidR="00193187" w:rsidRPr="00913424">
        <w:rPr>
          <w:color w:val="000000" w:themeColor="text1"/>
          <w:position w:val="-6"/>
        </w:rPr>
        <w:object w:dxaOrig="260" w:dyaOrig="279">
          <v:shape id="_x0000_i1054" type="#_x0000_t75" style="width:14pt;height:13.6pt" o:ole="">
            <v:imagedata r:id="rId70" o:title=""/>
          </v:shape>
          <o:OLEObject Type="Embed" ProgID="Equation.3" ShapeID="_x0000_i1054" DrawAspect="Content" ObjectID="_1460983895" r:id="rId75"/>
        </w:object>
      </w:r>
      <w:r w:rsidR="00CC33F5" w:rsidRPr="008D4114">
        <w:t xml:space="preserve">) </w:t>
      </w:r>
      <w:r w:rsidR="00CC33F5" w:rsidRPr="008D4114">
        <w:rPr>
          <w:rFonts w:ascii="Cambria Math" w:hAnsi="Cambria Math" w:cs="Cambria Math"/>
          <w:color w:val="000000" w:themeColor="text1"/>
        </w:rPr>
        <w:t>∧</w:t>
      </w:r>
      <w:r w:rsidR="00CC33F5" w:rsidRPr="008D4114">
        <w:t xml:space="preserve"> (</w:t>
      </w:r>
      <w:r w:rsidR="00CC33F5">
        <w:t>Auswahl {0, 1} = 1)</w:t>
      </w:r>
    </w:p>
    <w:p w:rsidR="00EA2FEC" w:rsidRDefault="00B90EEC" w:rsidP="007C6E09">
      <w:pPr>
        <w:pStyle w:val="Text"/>
        <w:ind w:firstLine="0"/>
        <w:jc w:val="left"/>
        <w:rPr>
          <w:color w:val="000000" w:themeColor="text1"/>
        </w:rPr>
      </w:pPr>
      <w:r>
        <w:rPr>
          <w:color w:val="000000" w:themeColor="text1"/>
        </w:rPr>
        <w:t xml:space="preserve">   </w:t>
      </w:r>
      <w:r w:rsidR="00EA2FEC" w:rsidRPr="00EA2FEC">
        <w:rPr>
          <w:color w:val="000000" w:themeColor="text1"/>
        </w:rPr>
        <w:t xml:space="preserve">         </w:t>
      </w:r>
      <w:r w:rsidR="00943242" w:rsidRPr="00943242">
        <w:rPr>
          <w:i/>
          <w:color w:val="000000" w:themeColor="text1"/>
        </w:rPr>
        <w:t>G</w:t>
      </w:r>
      <w:r w:rsidR="00943242">
        <w:rPr>
          <w:color w:val="000000" w:themeColor="text1"/>
        </w:rPr>
        <w:t xml:space="preserve">, </w:t>
      </w:r>
      <w:r w:rsidR="00943242">
        <w:rPr>
          <w:i/>
          <w:color w:val="000000" w:themeColor="text1"/>
        </w:rPr>
        <w:t>Z</w:t>
      </w:r>
      <w:r w:rsidR="00943242">
        <w:rPr>
          <w:color w:val="000000" w:themeColor="text1"/>
        </w:rPr>
        <w:t xml:space="preserve"> := </w:t>
      </w:r>
      <w:r w:rsidR="00EA2FEC" w:rsidRPr="00EA2FEC">
        <w:rPr>
          <w:color w:val="000000" w:themeColor="text1"/>
        </w:rPr>
        <w:t>Interpretation</w:t>
      </w:r>
      <w:r w:rsidR="00445E88" w:rsidRPr="00445E88">
        <w:t>sschritt</w:t>
      </w:r>
      <w:r w:rsidR="00EA2FEC" w:rsidRPr="00EA2FEC">
        <w:rPr>
          <w:color w:val="000000" w:themeColor="text1"/>
        </w:rPr>
        <w:t>_schreiben (</w:t>
      </w:r>
      <w:r w:rsidR="00EA2FEC" w:rsidRPr="00680CCF">
        <w:rPr>
          <w:i/>
          <w:color w:val="000000" w:themeColor="text1"/>
        </w:rPr>
        <w:t>P</w:t>
      </w:r>
      <w:r w:rsidR="00EA2FEC" w:rsidRPr="00680CCF">
        <w:rPr>
          <w:color w:val="000000" w:themeColor="text1"/>
        </w:rPr>
        <w:t xml:space="preserve">, </w:t>
      </w:r>
      <w:r w:rsidR="00EA2FEC" w:rsidRPr="00680CCF">
        <w:rPr>
          <w:i/>
          <w:color w:val="000000" w:themeColor="text1"/>
        </w:rPr>
        <w:t>Q</w:t>
      </w:r>
      <w:r w:rsidR="00EA2FEC" w:rsidRPr="00680CCF">
        <w:rPr>
          <w:color w:val="000000" w:themeColor="text1"/>
        </w:rPr>
        <w:t xml:space="preserve">, </w:t>
      </w:r>
      <w:r w:rsidR="00EA2FEC" w:rsidRPr="00680CCF">
        <w:rPr>
          <w:i/>
          <w:color w:val="000000" w:themeColor="text1"/>
        </w:rPr>
        <w:t>R</w:t>
      </w:r>
      <w:r w:rsidR="00EA2FEC" w:rsidRPr="00680CCF">
        <w:rPr>
          <w:color w:val="000000" w:themeColor="text1"/>
        </w:rPr>
        <w:t>,</w:t>
      </w:r>
      <w:r w:rsidR="00EA2FEC">
        <w:rPr>
          <w:color w:val="000000" w:themeColor="text1"/>
        </w:rPr>
        <w:t xml:space="preserve"> </w:t>
      </w:r>
      <w:r w:rsidR="00EA2FEC" w:rsidRPr="00EA2FEC">
        <w:rPr>
          <w:i/>
          <w:color w:val="000000" w:themeColor="text1"/>
        </w:rPr>
        <w:t>E</w:t>
      </w:r>
      <w:r w:rsidR="00510732">
        <w:rPr>
          <w:i/>
          <w:color w:val="000000" w:themeColor="text1"/>
        </w:rPr>
        <w:t>r</w:t>
      </w:r>
      <w:r w:rsidR="00EA2FEC" w:rsidRPr="00EA2FEC">
        <w:rPr>
          <w:i/>
          <w:color w:val="000000" w:themeColor="text1"/>
        </w:rPr>
        <w:t>*</w:t>
      </w:r>
      <w:r w:rsidR="00B624A9" w:rsidRPr="00680CCF">
        <w:rPr>
          <w:color w:val="000000" w:themeColor="text1"/>
        </w:rPr>
        <w:t>,</w:t>
      </w:r>
      <w:r w:rsidR="00B624A9" w:rsidRPr="00B7370D">
        <w:rPr>
          <w:i/>
          <w:color w:val="000000" w:themeColor="text1"/>
        </w:rPr>
        <w:t xml:space="preserve"> </w:t>
      </w:r>
      <w:r w:rsidR="00B624A9" w:rsidRPr="00146081">
        <w:rPr>
          <w:i/>
          <w:color w:val="000000" w:themeColor="text1"/>
        </w:rPr>
        <w:t>Op</w:t>
      </w:r>
      <w:r w:rsidR="00B624A9" w:rsidRPr="00146081">
        <w:rPr>
          <w:i/>
          <w:color w:val="000000" w:themeColor="text1"/>
          <w:vertAlign w:val="subscript"/>
        </w:rPr>
        <w:t>h</w:t>
      </w:r>
      <w:r w:rsidR="008C7DDB" w:rsidRPr="00680CCF">
        <w:rPr>
          <w:color w:val="000000" w:themeColor="text1"/>
        </w:rPr>
        <w:t>,</w:t>
      </w:r>
      <w:r w:rsidR="008C7DDB">
        <w:rPr>
          <w:color w:val="000000" w:themeColor="text1"/>
        </w:rPr>
        <w:t xml:space="preserve"> </w:t>
      </w:r>
      <w:r w:rsidR="00480A9E">
        <w:rPr>
          <w:i/>
          <w:color w:val="000000" w:themeColor="text1"/>
        </w:rPr>
        <w:t>G</w:t>
      </w:r>
      <w:r w:rsidR="00480A9E" w:rsidRPr="00680CCF">
        <w:rPr>
          <w:color w:val="000000" w:themeColor="text1"/>
        </w:rPr>
        <w:t>,</w:t>
      </w:r>
      <w:r w:rsidR="00480A9E">
        <w:rPr>
          <w:color w:val="000000" w:themeColor="text1"/>
        </w:rPr>
        <w:t xml:space="preserve"> </w:t>
      </w:r>
      <w:r w:rsidR="00790EC1">
        <w:rPr>
          <w:i/>
          <w:color w:val="000000" w:themeColor="text1"/>
        </w:rPr>
        <w:t>Z</w:t>
      </w:r>
      <w:r w:rsidR="00EA2FEC">
        <w:rPr>
          <w:color w:val="000000" w:themeColor="text1"/>
        </w:rPr>
        <w:t>)</w:t>
      </w:r>
    </w:p>
    <w:p w:rsidR="00B90EEC" w:rsidRDefault="00B90EEC" w:rsidP="007C6E09">
      <w:pPr>
        <w:pStyle w:val="Text"/>
        <w:ind w:firstLine="0"/>
        <w:jc w:val="left"/>
        <w:rPr>
          <w:color w:val="000000" w:themeColor="text1"/>
        </w:rPr>
      </w:pPr>
      <w:r>
        <w:rPr>
          <w:color w:val="000000" w:themeColor="text1"/>
        </w:rPr>
        <w:t xml:space="preserve">         </w:t>
      </w:r>
      <w:r w:rsidRPr="00E16065">
        <w:rPr>
          <w:color w:val="000000" w:themeColor="text1"/>
        </w:rPr>
        <w:t>end</w:t>
      </w:r>
    </w:p>
    <w:p w:rsidR="00DF7079" w:rsidRPr="00E16065" w:rsidRDefault="00DF7079" w:rsidP="007C6E09">
      <w:pPr>
        <w:pStyle w:val="Text"/>
        <w:ind w:firstLine="0"/>
        <w:jc w:val="left"/>
        <w:rPr>
          <w:color w:val="000000" w:themeColor="text1"/>
        </w:rPr>
      </w:pPr>
      <w:r w:rsidRPr="00E16065">
        <w:rPr>
          <w:color w:val="000000" w:themeColor="text1"/>
        </w:rPr>
        <w:t xml:space="preserve">         </w:t>
      </w:r>
      <w:r w:rsidRPr="00E16065">
        <w:rPr>
          <w:i/>
          <w:color w:val="000000" w:themeColor="text1"/>
        </w:rPr>
        <w:t xml:space="preserve">Er </w:t>
      </w:r>
      <w:r w:rsidRPr="00E16065">
        <w:rPr>
          <w:color w:val="000000" w:themeColor="text1"/>
        </w:rPr>
        <w:t xml:space="preserve">:= </w:t>
      </w:r>
      <w:r w:rsidRPr="00E16065">
        <w:rPr>
          <w:i/>
          <w:color w:val="000000" w:themeColor="text1"/>
        </w:rPr>
        <w:t>Er</w:t>
      </w:r>
      <w:r w:rsidRPr="00E16065">
        <w:rPr>
          <w:color w:val="000000" w:themeColor="text1"/>
        </w:rPr>
        <w:t xml:space="preserve"> </w:t>
      </w:r>
      <w:r w:rsidRPr="00E009F6">
        <w:rPr>
          <w:rFonts w:ascii="Cambria Math" w:eastAsia="Arial Unicode MS" w:hAnsi="Cambria Math" w:cs="Arial Unicode MS"/>
          <w:color w:val="000000" w:themeColor="text1"/>
        </w:rPr>
        <w:t>∪</w:t>
      </w:r>
      <w:r w:rsidRPr="00E16065">
        <w:rPr>
          <w:color w:val="000000" w:themeColor="text1"/>
        </w:rPr>
        <w:t xml:space="preserve"> </w:t>
      </w:r>
      <w:r w:rsidRPr="00E16065">
        <w:rPr>
          <w:i/>
          <w:color w:val="000000" w:themeColor="text1"/>
        </w:rPr>
        <w:t>Er*</w:t>
      </w:r>
    </w:p>
    <w:p w:rsidR="008E5A5C" w:rsidRPr="008801FB" w:rsidRDefault="008E5A5C" w:rsidP="007C6E09">
      <w:pPr>
        <w:pStyle w:val="Text"/>
        <w:ind w:firstLine="0"/>
        <w:jc w:val="left"/>
        <w:rPr>
          <w:color w:val="000000" w:themeColor="text1"/>
        </w:rPr>
      </w:pPr>
      <w:r w:rsidRPr="008801FB">
        <w:rPr>
          <w:color w:val="000000" w:themeColor="text1"/>
        </w:rPr>
        <w:lastRenderedPageBreak/>
        <w:t xml:space="preserve">      end</w:t>
      </w:r>
    </w:p>
    <w:p w:rsidR="00017F51" w:rsidRPr="008801FB" w:rsidRDefault="00017F51" w:rsidP="00AA51D9">
      <w:pPr>
        <w:pStyle w:val="Text"/>
        <w:ind w:hanging="369"/>
        <w:jc w:val="left"/>
        <w:rPr>
          <w:color w:val="000000" w:themeColor="text1"/>
        </w:rPr>
      </w:pPr>
      <w:r w:rsidRPr="008801FB">
        <w:rPr>
          <w:sz w:val="16"/>
          <w:szCs w:val="16"/>
        </w:rPr>
        <w:t>15</w:t>
      </w:r>
      <w:r w:rsidRPr="008801FB">
        <w:tab/>
      </w:r>
      <w:r w:rsidRPr="008801FB">
        <w:rPr>
          <w:color w:val="000000" w:themeColor="text1"/>
        </w:rPr>
        <w:t xml:space="preserve">   end</w:t>
      </w:r>
    </w:p>
    <w:p w:rsidR="00017F51" w:rsidRPr="00155D62" w:rsidRDefault="00017F51" w:rsidP="007C6E09">
      <w:pPr>
        <w:pStyle w:val="Text"/>
        <w:tabs>
          <w:tab w:val="clear" w:pos="851"/>
          <w:tab w:val="clear" w:pos="1134"/>
          <w:tab w:val="clear" w:pos="1418"/>
        </w:tabs>
        <w:ind w:firstLine="0"/>
        <w:jc w:val="left"/>
        <w:rPr>
          <w:color w:val="000000" w:themeColor="text1"/>
          <w:lang w:val="en-US"/>
        </w:rPr>
      </w:pPr>
      <w:r w:rsidRPr="008801FB">
        <w:rPr>
          <w:color w:val="000000" w:themeColor="text1"/>
        </w:rPr>
        <w:t xml:space="preserve">   </w:t>
      </w:r>
      <w:r w:rsidRPr="00155D62">
        <w:rPr>
          <w:color w:val="000000" w:themeColor="text1"/>
          <w:lang w:val="en-US"/>
        </w:rPr>
        <w:t xml:space="preserve">return </w:t>
      </w:r>
      <w:r w:rsidRPr="00155D62">
        <w:rPr>
          <w:i/>
          <w:color w:val="000000" w:themeColor="text1"/>
          <w:lang w:val="en-US"/>
        </w:rPr>
        <w:t>E</w:t>
      </w:r>
      <w:r w:rsidR="00510732">
        <w:rPr>
          <w:i/>
          <w:color w:val="000000" w:themeColor="text1"/>
          <w:lang w:val="en-US"/>
        </w:rPr>
        <w:t>r</w:t>
      </w:r>
      <w:r w:rsidRPr="00155D62">
        <w:rPr>
          <w:color w:val="000000" w:themeColor="text1"/>
          <w:lang w:val="en-US"/>
        </w:rPr>
        <w:t xml:space="preserve">, </w:t>
      </w:r>
      <w:r w:rsidRPr="00155D62">
        <w:rPr>
          <w:i/>
          <w:color w:val="000000" w:themeColor="text1"/>
          <w:lang w:val="en-US"/>
        </w:rPr>
        <w:t>G</w:t>
      </w:r>
      <w:r w:rsidRPr="00155D62">
        <w:rPr>
          <w:color w:val="000000" w:themeColor="text1"/>
          <w:lang w:val="en-US"/>
        </w:rPr>
        <w:t xml:space="preserve">, </w:t>
      </w:r>
      <w:r w:rsidRPr="00155D62">
        <w:rPr>
          <w:i/>
          <w:color w:val="000000" w:themeColor="text1"/>
          <w:lang w:val="en-US"/>
        </w:rPr>
        <w:t>Z</w:t>
      </w:r>
    </w:p>
    <w:p w:rsidR="008075F9" w:rsidRPr="008801FB" w:rsidRDefault="008075F9" w:rsidP="007C6E09">
      <w:pPr>
        <w:pStyle w:val="Text"/>
        <w:ind w:firstLine="0"/>
        <w:jc w:val="left"/>
        <w:rPr>
          <w:color w:val="000000" w:themeColor="text1"/>
          <w:lang w:val="en-US"/>
        </w:rPr>
      </w:pPr>
      <w:r w:rsidRPr="008801FB">
        <w:rPr>
          <w:color w:val="000000" w:themeColor="text1"/>
          <w:lang w:val="en-US"/>
        </w:rPr>
        <w:t>end function</w:t>
      </w:r>
    </w:p>
    <w:p w:rsidR="00A9679B" w:rsidRPr="00047C51" w:rsidRDefault="00A9679B" w:rsidP="00241966">
      <w:pPr>
        <w:pStyle w:val="Zwischenberschrift"/>
        <w:spacing w:before="360"/>
      </w:pPr>
      <w:r w:rsidRPr="00047C51">
        <w:t>Erläuterung</w:t>
      </w:r>
    </w:p>
    <w:p w:rsidR="00B86D1F" w:rsidRDefault="00AD31CD" w:rsidP="00241966">
      <w:pPr>
        <w:pStyle w:val="Text"/>
        <w:ind w:firstLine="0"/>
      </w:pPr>
      <w:r>
        <w:t xml:space="preserve">Zeile 1 </w:t>
      </w:r>
      <w:r w:rsidR="00A9679B">
        <w:t xml:space="preserve">gibt den Namen der Funktion an und die Parameter, die ihr übergeben werden: </w:t>
      </w:r>
      <w:r w:rsidR="00A9679B" w:rsidRPr="00DA074B">
        <w:rPr>
          <w:i/>
          <w:color w:val="000000" w:themeColor="text1"/>
        </w:rPr>
        <w:t>P</w:t>
      </w:r>
      <w:r w:rsidR="00A9679B" w:rsidRPr="00DA074B">
        <w:rPr>
          <w:color w:val="000000" w:themeColor="text1"/>
        </w:rPr>
        <w:t>,</w:t>
      </w:r>
      <w:r w:rsidR="00A9679B">
        <w:rPr>
          <w:color w:val="000000" w:themeColor="text1"/>
        </w:rPr>
        <w:t xml:space="preserve"> eine Teilmenge der Merkmalsregeln; </w:t>
      </w:r>
      <w:r w:rsidR="00A9679B" w:rsidRPr="00DA074B">
        <w:rPr>
          <w:i/>
          <w:color w:val="000000" w:themeColor="text1"/>
        </w:rPr>
        <w:t>Q</w:t>
      </w:r>
      <w:r w:rsidR="00A9679B" w:rsidRPr="00DA074B">
        <w:rPr>
          <w:color w:val="000000" w:themeColor="text1"/>
        </w:rPr>
        <w:t>,</w:t>
      </w:r>
      <w:r w:rsidR="00A9679B">
        <w:rPr>
          <w:color w:val="000000" w:themeColor="text1"/>
        </w:rPr>
        <w:t xml:space="preserve"> eine Teilmenge der </w:t>
      </w:r>
      <w:r w:rsidR="00DB7B8A">
        <w:rPr>
          <w:color w:val="000000" w:themeColor="text1"/>
        </w:rPr>
        <w:t xml:space="preserve">(vor dem aktuellen Durchlauf der do-while-Schleife in der Funktion </w:t>
      </w:r>
      <w:r w:rsidR="00DB7B8A" w:rsidRPr="00DB7B8A">
        <w:rPr>
          <w:i/>
          <w:color w:val="000000" w:themeColor="text1"/>
        </w:rPr>
        <w:t>Interpretation</w:t>
      </w:r>
      <w:r w:rsidR="00DB7B8A">
        <w:rPr>
          <w:color w:val="000000" w:themeColor="text1"/>
        </w:rPr>
        <w:t>) e</w:t>
      </w:r>
      <w:r w:rsidR="00DB7B8A">
        <w:rPr>
          <w:color w:val="000000" w:themeColor="text1"/>
        </w:rPr>
        <w:t>r</w:t>
      </w:r>
      <w:r w:rsidR="00DB7B8A">
        <w:rPr>
          <w:color w:val="000000" w:themeColor="text1"/>
        </w:rPr>
        <w:t xml:space="preserve">zeugten </w:t>
      </w:r>
      <w:r w:rsidR="00A9679B">
        <w:rPr>
          <w:color w:val="000000" w:themeColor="text1"/>
        </w:rPr>
        <w:t xml:space="preserve">Ergebnisse; </w:t>
      </w:r>
      <w:r w:rsidR="00B86D1F">
        <w:rPr>
          <w:i/>
          <w:color w:val="000000" w:themeColor="text1"/>
        </w:rPr>
        <w:t>R</w:t>
      </w:r>
      <w:r w:rsidR="00A9679B" w:rsidRPr="00DA074B">
        <w:rPr>
          <w:color w:val="000000" w:themeColor="text1"/>
        </w:rPr>
        <w:t xml:space="preserve">, </w:t>
      </w:r>
      <w:r w:rsidR="007A511D">
        <w:rPr>
          <w:color w:val="000000" w:themeColor="text1"/>
        </w:rPr>
        <w:t xml:space="preserve">das </w:t>
      </w:r>
      <w:r w:rsidR="00B86D1F">
        <w:rPr>
          <w:color w:val="000000" w:themeColor="text1"/>
        </w:rPr>
        <w:t xml:space="preserve">für </w:t>
      </w:r>
      <w:r w:rsidR="00B86D1F">
        <w:rPr>
          <w:i/>
          <w:color w:val="000000" w:themeColor="text1"/>
        </w:rPr>
        <w:t>P</w:t>
      </w:r>
      <w:r w:rsidR="00B86D1F">
        <w:rPr>
          <w:color w:val="000000" w:themeColor="text1"/>
        </w:rPr>
        <w:t xml:space="preserve"> und </w:t>
      </w:r>
      <w:r w:rsidR="00B86D1F">
        <w:rPr>
          <w:i/>
          <w:color w:val="000000" w:themeColor="text1"/>
        </w:rPr>
        <w:t>Q</w:t>
      </w:r>
      <w:r w:rsidR="00B86D1F">
        <w:rPr>
          <w:color w:val="000000" w:themeColor="text1"/>
        </w:rPr>
        <w:t xml:space="preserve"> relevant</w:t>
      </w:r>
      <w:r w:rsidR="007A511D">
        <w:rPr>
          <w:color w:val="000000" w:themeColor="text1"/>
        </w:rPr>
        <w:t>e Hintergrundwissen</w:t>
      </w:r>
      <w:r w:rsidR="00B86D1F">
        <w:rPr>
          <w:color w:val="000000" w:themeColor="text1"/>
        </w:rPr>
        <w:t xml:space="preserve">; </w:t>
      </w:r>
      <w:r w:rsidR="0071175A">
        <w:rPr>
          <w:i/>
          <w:color w:val="000000" w:themeColor="text1"/>
        </w:rPr>
        <w:t>E</w:t>
      </w:r>
      <w:r w:rsidR="00510732">
        <w:rPr>
          <w:i/>
          <w:color w:val="000000" w:themeColor="text1"/>
        </w:rPr>
        <w:t>r</w:t>
      </w:r>
      <w:r w:rsidR="007A511D" w:rsidRPr="00DA074B">
        <w:rPr>
          <w:color w:val="000000" w:themeColor="text1"/>
        </w:rPr>
        <w:t xml:space="preserve">, </w:t>
      </w:r>
      <w:r w:rsidR="007A511D">
        <w:rPr>
          <w:color w:val="000000" w:themeColor="text1"/>
        </w:rPr>
        <w:t xml:space="preserve">die </w:t>
      </w:r>
      <w:r w:rsidR="0071175A">
        <w:rPr>
          <w:color w:val="000000" w:themeColor="text1"/>
        </w:rPr>
        <w:t xml:space="preserve">Menge der </w:t>
      </w:r>
      <w:r w:rsidR="00DB7B8A">
        <w:rPr>
          <w:color w:val="000000" w:themeColor="text1"/>
        </w:rPr>
        <w:t xml:space="preserve">bisher erzeugten </w:t>
      </w:r>
      <w:r w:rsidR="00D0160D">
        <w:rPr>
          <w:color w:val="000000" w:themeColor="text1"/>
        </w:rPr>
        <w:t xml:space="preserve">Ergebnisse; </w:t>
      </w:r>
      <w:r w:rsidR="007A511D" w:rsidRPr="00DA074B">
        <w:rPr>
          <w:i/>
          <w:color w:val="000000" w:themeColor="text1"/>
        </w:rPr>
        <w:t>Op</w:t>
      </w:r>
      <w:r w:rsidR="007A511D" w:rsidRPr="00DA074B">
        <w:rPr>
          <w:color w:val="000000" w:themeColor="text1"/>
        </w:rPr>
        <w:t xml:space="preserve">, </w:t>
      </w:r>
      <w:r w:rsidR="007A511D">
        <w:rPr>
          <w:color w:val="000000" w:themeColor="text1"/>
        </w:rPr>
        <w:t>die Menge der Operationsfunkti</w:t>
      </w:r>
      <w:r w:rsidR="007A511D">
        <w:rPr>
          <w:color w:val="000000" w:themeColor="text1"/>
        </w:rPr>
        <w:t>o</w:t>
      </w:r>
      <w:r w:rsidR="007A511D">
        <w:rPr>
          <w:color w:val="000000" w:themeColor="text1"/>
        </w:rPr>
        <w:t>nen</w:t>
      </w:r>
      <w:r w:rsidR="00D0160D">
        <w:rPr>
          <w:color w:val="000000" w:themeColor="text1"/>
        </w:rPr>
        <w:t>;</w:t>
      </w:r>
      <w:r w:rsidR="00D0160D" w:rsidRPr="00D0160D">
        <w:rPr>
          <w:i/>
          <w:color w:val="000000" w:themeColor="text1"/>
        </w:rPr>
        <w:t xml:space="preserve"> </w:t>
      </w:r>
      <w:r w:rsidR="00D0160D">
        <w:rPr>
          <w:i/>
          <w:color w:val="000000" w:themeColor="text1"/>
        </w:rPr>
        <w:t>G</w:t>
      </w:r>
      <w:r w:rsidR="00D0160D">
        <w:t xml:space="preserve">, die Menge der geschriebenen Ergebnisse; </w:t>
      </w:r>
      <w:r w:rsidR="00D0160D">
        <w:rPr>
          <w:i/>
          <w:color w:val="000000" w:themeColor="text1"/>
        </w:rPr>
        <w:t>Z</w:t>
      </w:r>
      <w:r w:rsidR="00D0160D">
        <w:t>, die Zähler für geschriebene Ergebnisse.</w:t>
      </w:r>
      <w:r w:rsidR="00D9382F">
        <w:rPr>
          <w:rStyle w:val="Funotenzeichen"/>
        </w:rPr>
        <w:footnoteReference w:id="515"/>
      </w:r>
    </w:p>
    <w:p w:rsidR="00486CA3" w:rsidRDefault="00486CA3" w:rsidP="00486CA3">
      <w:pPr>
        <w:pStyle w:val="Text"/>
      </w:pPr>
      <w:r w:rsidRPr="00DB0613">
        <w:t xml:space="preserve">Zeile </w:t>
      </w:r>
      <w:r w:rsidR="00AD31CD">
        <w:t xml:space="preserve">2 </w:t>
      </w:r>
      <w:r w:rsidRPr="00DB0613">
        <w:t xml:space="preserve">gibt an, dass die eingerückt folgende Schleife für die Variable </w:t>
      </w:r>
      <w:r>
        <w:rPr>
          <w:i/>
          <w:iCs/>
        </w:rPr>
        <w:t>h</w:t>
      </w:r>
      <w:r w:rsidRPr="00DB0613">
        <w:t xml:space="preserve"> von 1 bis zur Anzahl der Elemente von </w:t>
      </w:r>
      <w:r>
        <w:rPr>
          <w:i/>
          <w:iCs/>
        </w:rPr>
        <w:t>Op</w:t>
      </w:r>
      <w:r w:rsidRPr="00DB0613">
        <w:t xml:space="preserve"> ausgeführt wird.</w:t>
      </w:r>
    </w:p>
    <w:p w:rsidR="00D9382F" w:rsidRDefault="00D9382F" w:rsidP="00486CA3">
      <w:pPr>
        <w:pStyle w:val="Text"/>
      </w:pPr>
      <w:r>
        <w:t xml:space="preserve">Zeile 3 </w:t>
      </w:r>
      <w:r w:rsidR="00510210">
        <w:t xml:space="preserve">gibt an, dass </w:t>
      </w:r>
      <w:r w:rsidR="00510210" w:rsidRPr="00DB0613">
        <w:t xml:space="preserve">die eingerückt </w:t>
      </w:r>
      <w:r w:rsidR="004D6CB3">
        <w:t>folgenden Anweisungen ausgeführt we</w:t>
      </w:r>
      <w:r w:rsidR="004D6CB3">
        <w:t>r</w:t>
      </w:r>
      <w:r w:rsidR="004D6CB3">
        <w:t>den</w:t>
      </w:r>
      <w:r w:rsidR="00510210">
        <w:t xml:space="preserve">, wenn </w:t>
      </w:r>
      <w:r>
        <w:t xml:space="preserve">Interesse an </w:t>
      </w:r>
      <w:r w:rsidRPr="00D9382F">
        <w:rPr>
          <w:i/>
          <w:color w:val="000000" w:themeColor="text1"/>
        </w:rPr>
        <w:t>Op</w:t>
      </w:r>
      <w:r w:rsidRPr="00D9382F">
        <w:rPr>
          <w:i/>
          <w:color w:val="000000" w:themeColor="text1"/>
          <w:vertAlign w:val="subscript"/>
        </w:rPr>
        <w:t>h</w:t>
      </w:r>
      <w:r>
        <w:t xml:space="preserve"> besteht.</w:t>
      </w:r>
      <w:r w:rsidR="00510210">
        <w:t xml:space="preserve"> Da die Funktion </w:t>
      </w:r>
      <w:r w:rsidR="00510210" w:rsidRPr="00510210">
        <w:rPr>
          <w:i/>
        </w:rPr>
        <w:t>Interesse</w:t>
      </w:r>
      <w:r w:rsidR="00510210">
        <w:t xml:space="preserve"> sich jeweils auf den Kontext ihres Aufrufs bezieht, </w:t>
      </w:r>
      <w:r w:rsidR="00BB70CB">
        <w:t xml:space="preserve">wird hier nicht allgemein das Interesse für die Funktion </w:t>
      </w:r>
      <w:r w:rsidR="00BB70CB" w:rsidRPr="00D9382F">
        <w:rPr>
          <w:i/>
          <w:color w:val="000000" w:themeColor="text1"/>
        </w:rPr>
        <w:t>Op</w:t>
      </w:r>
      <w:r w:rsidR="00BB70CB" w:rsidRPr="00D9382F">
        <w:rPr>
          <w:i/>
          <w:color w:val="000000" w:themeColor="text1"/>
          <w:vertAlign w:val="subscript"/>
        </w:rPr>
        <w:t>h</w:t>
      </w:r>
      <w:r w:rsidR="00BB70CB">
        <w:t xml:space="preserve"> geprüft, sondern ob </w:t>
      </w:r>
      <w:r w:rsidR="00510210">
        <w:t>zum konkreten Interpretationszeitpunkt Interesse am Aufruf der Funktion besteht.</w:t>
      </w:r>
      <w:r w:rsidR="00510210">
        <w:rPr>
          <w:rStyle w:val="Funotenzeichen"/>
        </w:rPr>
        <w:footnoteReference w:id="516"/>
      </w:r>
    </w:p>
    <w:p w:rsidR="00D9382F" w:rsidRDefault="00D9382F" w:rsidP="00486CA3">
      <w:pPr>
        <w:pStyle w:val="Text"/>
        <w:rPr>
          <w:color w:val="000000" w:themeColor="text1"/>
        </w:rPr>
      </w:pPr>
      <w:r>
        <w:t xml:space="preserve">In Zeile 4 wird die </w:t>
      </w:r>
      <w:r w:rsidRPr="00D9382F">
        <w:rPr>
          <w:i/>
        </w:rPr>
        <w:t>h</w:t>
      </w:r>
      <w:r>
        <w:t xml:space="preserve">te Funktion aus </w:t>
      </w:r>
      <w:r w:rsidRPr="00D9382F">
        <w:rPr>
          <w:i/>
        </w:rPr>
        <w:t>Op</w:t>
      </w:r>
      <w:r>
        <w:t xml:space="preserve"> aufgerufen. Sie erhält als Parameter </w:t>
      </w:r>
      <w:r w:rsidRPr="00D9382F">
        <w:rPr>
          <w:i/>
          <w:color w:val="000000" w:themeColor="text1"/>
        </w:rPr>
        <w:t>P</w:t>
      </w:r>
      <w:r w:rsidRPr="00D9382F">
        <w:rPr>
          <w:color w:val="000000" w:themeColor="text1"/>
        </w:rPr>
        <w:t xml:space="preserve">, </w:t>
      </w:r>
      <w:r w:rsidRPr="00D9382F">
        <w:rPr>
          <w:i/>
          <w:color w:val="000000" w:themeColor="text1"/>
        </w:rPr>
        <w:t>Q</w:t>
      </w:r>
      <w:r>
        <w:rPr>
          <w:color w:val="000000" w:themeColor="text1"/>
        </w:rPr>
        <w:t xml:space="preserve"> und</w:t>
      </w:r>
      <w:r w:rsidRPr="00D9382F">
        <w:rPr>
          <w:color w:val="000000" w:themeColor="text1"/>
        </w:rPr>
        <w:t xml:space="preserve"> </w:t>
      </w:r>
      <w:r w:rsidRPr="00D9382F">
        <w:rPr>
          <w:i/>
          <w:color w:val="000000" w:themeColor="text1"/>
        </w:rPr>
        <w:t>R</w:t>
      </w:r>
      <w:r>
        <w:rPr>
          <w:color w:val="000000" w:themeColor="text1"/>
        </w:rPr>
        <w:t xml:space="preserve"> und liefert die aus diesen erzeugten Ergebnisse zurück, die in </w:t>
      </w:r>
      <w:r w:rsidR="00DE4E09">
        <w:rPr>
          <w:i/>
          <w:color w:val="000000" w:themeColor="text1"/>
        </w:rPr>
        <w:t>Er</w:t>
      </w:r>
      <w:r>
        <w:rPr>
          <w:i/>
          <w:color w:val="000000" w:themeColor="text1"/>
        </w:rPr>
        <w:t>*</w:t>
      </w:r>
      <w:r>
        <w:rPr>
          <w:color w:val="000000" w:themeColor="text1"/>
        </w:rPr>
        <w:t xml:space="preserve"> gespeichert werden, sofern sie noch nicht in </w:t>
      </w:r>
      <w:r w:rsidRPr="00D9382F">
        <w:rPr>
          <w:i/>
          <w:color w:val="000000" w:themeColor="text1"/>
        </w:rPr>
        <w:t>E</w:t>
      </w:r>
      <w:r w:rsidR="00510732">
        <w:rPr>
          <w:i/>
          <w:color w:val="000000" w:themeColor="text1"/>
        </w:rPr>
        <w:t>r</w:t>
      </w:r>
      <w:r w:rsidR="00510732">
        <w:rPr>
          <w:color w:val="000000" w:themeColor="text1"/>
        </w:rPr>
        <w:t xml:space="preserve"> </w:t>
      </w:r>
      <w:r>
        <w:rPr>
          <w:color w:val="000000" w:themeColor="text1"/>
        </w:rPr>
        <w:t>enthalten sind.</w:t>
      </w:r>
      <w:r>
        <w:rPr>
          <w:rStyle w:val="Funotenzeichen"/>
          <w:color w:val="000000" w:themeColor="text1"/>
        </w:rPr>
        <w:footnoteReference w:id="517"/>
      </w:r>
    </w:p>
    <w:p w:rsidR="00510210" w:rsidRDefault="00510210" w:rsidP="00510210">
      <w:pPr>
        <w:pStyle w:val="Text"/>
      </w:pPr>
      <w:r w:rsidRPr="00DB0613">
        <w:t xml:space="preserve">Zeile </w:t>
      </w:r>
      <w:r w:rsidR="00BB70CB">
        <w:t>5</w:t>
      </w:r>
      <w:r>
        <w:t xml:space="preserve"> </w:t>
      </w:r>
      <w:r w:rsidRPr="00DB0613">
        <w:t xml:space="preserve">gibt an, dass die eingerückt folgende Schleife für die Variable </w:t>
      </w:r>
      <w:r>
        <w:rPr>
          <w:i/>
          <w:iCs/>
        </w:rPr>
        <w:t>k</w:t>
      </w:r>
      <w:r w:rsidRPr="00DB0613">
        <w:t xml:space="preserve"> von 1 bis zur Anzahl der Elemente von </w:t>
      </w:r>
      <w:r w:rsidRPr="00FE6390">
        <w:rPr>
          <w:i/>
          <w:color w:val="000000" w:themeColor="text1"/>
        </w:rPr>
        <w:t>E</w:t>
      </w:r>
      <w:r w:rsidR="00510732">
        <w:rPr>
          <w:i/>
          <w:color w:val="000000" w:themeColor="text1"/>
        </w:rPr>
        <w:t>r</w:t>
      </w:r>
      <w:r w:rsidRPr="00FE6390">
        <w:rPr>
          <w:i/>
          <w:color w:val="000000" w:themeColor="text1"/>
        </w:rPr>
        <w:t>*</w:t>
      </w:r>
      <w:r w:rsidRPr="00DB0613">
        <w:t xml:space="preserve"> ausgeführt wird.</w:t>
      </w:r>
    </w:p>
    <w:p w:rsidR="00D9382F" w:rsidRDefault="00BB70CB" w:rsidP="00486CA3">
      <w:pPr>
        <w:pStyle w:val="Text"/>
      </w:pPr>
      <w:r>
        <w:t xml:space="preserve">Zeile 6 gibt an, dass </w:t>
      </w:r>
      <w:r w:rsidRPr="00DB0613">
        <w:t xml:space="preserve">die eingerückt </w:t>
      </w:r>
      <w:r w:rsidR="003370D4">
        <w:t>folgende Anweisung</w:t>
      </w:r>
      <w:r w:rsidRPr="00DB0613">
        <w:t xml:space="preserve"> </w:t>
      </w:r>
      <w:r>
        <w:t xml:space="preserve">ausgeführt wird, wenn </w:t>
      </w:r>
      <w:r w:rsidR="00232CC1">
        <w:t xml:space="preserve">kein </w:t>
      </w:r>
      <w:r>
        <w:t xml:space="preserve">Interesse an </w:t>
      </w:r>
      <w:r w:rsidR="00232CC1" w:rsidRPr="00FE6390">
        <w:rPr>
          <w:i/>
          <w:color w:val="000000" w:themeColor="text1"/>
        </w:rPr>
        <w:t>E</w:t>
      </w:r>
      <w:r w:rsidR="00510732">
        <w:rPr>
          <w:i/>
          <w:color w:val="000000" w:themeColor="text1"/>
        </w:rPr>
        <w:t>r</w:t>
      </w:r>
      <w:r w:rsidR="00232CC1" w:rsidRPr="00FE6390">
        <w:rPr>
          <w:i/>
          <w:color w:val="000000" w:themeColor="text1"/>
        </w:rPr>
        <w:t>*</w:t>
      </w:r>
      <w:r w:rsidR="00232CC1">
        <w:rPr>
          <w:i/>
          <w:color w:val="000000" w:themeColor="text1"/>
          <w:vertAlign w:val="subscript"/>
        </w:rPr>
        <w:t>k</w:t>
      </w:r>
      <w:r>
        <w:t xml:space="preserve"> besteht.</w:t>
      </w:r>
    </w:p>
    <w:p w:rsidR="00510210" w:rsidRDefault="00232CC1" w:rsidP="00486CA3">
      <w:pPr>
        <w:pStyle w:val="Text"/>
      </w:pPr>
      <w:r>
        <w:t xml:space="preserve">In Zeile 7 wird </w:t>
      </w:r>
      <w:r w:rsidRPr="00FE6390">
        <w:rPr>
          <w:i/>
          <w:color w:val="000000" w:themeColor="text1"/>
        </w:rPr>
        <w:t>E</w:t>
      </w:r>
      <w:r w:rsidR="00510732">
        <w:rPr>
          <w:i/>
          <w:color w:val="000000" w:themeColor="text1"/>
        </w:rPr>
        <w:t>r</w:t>
      </w:r>
      <w:r w:rsidRPr="00FE6390">
        <w:rPr>
          <w:i/>
          <w:color w:val="000000" w:themeColor="text1"/>
        </w:rPr>
        <w:t>*</w:t>
      </w:r>
      <w:r>
        <w:rPr>
          <w:i/>
          <w:color w:val="000000" w:themeColor="text1"/>
          <w:vertAlign w:val="subscript"/>
        </w:rPr>
        <w:t>k</w:t>
      </w:r>
      <w:r>
        <w:t xml:space="preserve"> aus </w:t>
      </w:r>
      <w:r w:rsidRPr="00FE6390">
        <w:rPr>
          <w:i/>
          <w:color w:val="000000" w:themeColor="text1"/>
        </w:rPr>
        <w:t>E</w:t>
      </w:r>
      <w:r w:rsidR="00510732">
        <w:rPr>
          <w:i/>
          <w:color w:val="000000" w:themeColor="text1"/>
        </w:rPr>
        <w:t>r</w:t>
      </w:r>
      <w:r w:rsidRPr="00FE6390">
        <w:rPr>
          <w:i/>
          <w:color w:val="000000" w:themeColor="text1"/>
        </w:rPr>
        <w:t>*</w:t>
      </w:r>
      <w:r>
        <w:t xml:space="preserve"> ausgeschlossen.</w:t>
      </w:r>
    </w:p>
    <w:p w:rsidR="00232CC1" w:rsidRPr="0071334B" w:rsidRDefault="00232CC1" w:rsidP="00232CC1">
      <w:pPr>
        <w:pStyle w:val="Text"/>
      </w:pPr>
      <w:r w:rsidRPr="0071334B">
        <w:lastRenderedPageBreak/>
        <w:t xml:space="preserve">In Zeile </w:t>
      </w:r>
      <w:r>
        <w:t xml:space="preserve">8 </w:t>
      </w:r>
      <w:r w:rsidRPr="0071334B">
        <w:t xml:space="preserve">wird die </w:t>
      </w:r>
      <w:r w:rsidR="007F02CB">
        <w:t>if-Anweisung</w:t>
      </w:r>
      <w:r w:rsidRPr="0071334B">
        <w:t xml:space="preserve"> aus Zeile </w:t>
      </w:r>
      <w:r>
        <w:t xml:space="preserve">6 </w:t>
      </w:r>
      <w:r w:rsidRPr="0071334B">
        <w:t>beendet.</w:t>
      </w:r>
    </w:p>
    <w:p w:rsidR="00232CC1" w:rsidRDefault="00232CC1" w:rsidP="00232CC1">
      <w:pPr>
        <w:pStyle w:val="Text"/>
      </w:pPr>
      <w:r w:rsidRPr="0071334B">
        <w:t xml:space="preserve">In Zeile </w:t>
      </w:r>
      <w:r>
        <w:t xml:space="preserve">9 </w:t>
      </w:r>
      <w:r w:rsidRPr="0071334B">
        <w:t xml:space="preserve">wird die for-Schleife aus Zeile </w:t>
      </w:r>
      <w:r>
        <w:t xml:space="preserve">5 </w:t>
      </w:r>
      <w:r w:rsidRPr="0071334B">
        <w:t>beendet.</w:t>
      </w:r>
    </w:p>
    <w:p w:rsidR="00616F1A" w:rsidRDefault="005B6931" w:rsidP="00486CA3">
      <w:pPr>
        <w:pStyle w:val="Text"/>
        <w:rPr>
          <w:iCs/>
        </w:rPr>
      </w:pPr>
      <w:r>
        <w:t xml:space="preserve">Zeile 10 </w:t>
      </w:r>
      <w:r w:rsidR="00616F1A">
        <w:rPr>
          <w:iCs/>
        </w:rPr>
        <w:t xml:space="preserve">gibt an, dass die eingerückt </w:t>
      </w:r>
      <w:r w:rsidR="00E32CFA">
        <w:t>folgenden Anweisungen ausgeführt werden</w:t>
      </w:r>
      <w:r w:rsidR="00616F1A">
        <w:rPr>
          <w:iCs/>
        </w:rPr>
        <w:t xml:space="preserve">, wenn </w:t>
      </w:r>
      <w:r w:rsidR="00616F1A" w:rsidRPr="00685B0A">
        <w:rPr>
          <w:i/>
          <w:color w:val="000000" w:themeColor="text1"/>
        </w:rPr>
        <w:t>E</w:t>
      </w:r>
      <w:r w:rsidR="00510732">
        <w:rPr>
          <w:i/>
          <w:color w:val="000000" w:themeColor="text1"/>
        </w:rPr>
        <w:t>r</w:t>
      </w:r>
      <w:r w:rsidR="00616F1A" w:rsidRPr="00685B0A">
        <w:rPr>
          <w:i/>
          <w:color w:val="000000" w:themeColor="text1"/>
        </w:rPr>
        <w:t>*</w:t>
      </w:r>
      <w:r w:rsidR="00616F1A">
        <w:rPr>
          <w:iCs/>
        </w:rPr>
        <w:t xml:space="preserve"> nicht leer ist</w:t>
      </w:r>
      <w:r w:rsidR="00CC33F5">
        <w:rPr>
          <w:iCs/>
        </w:rPr>
        <w:t xml:space="preserve"> und wenn sich der Interpret dafür entscheidet, den aktuellen Interp</w:t>
      </w:r>
      <w:r w:rsidR="00DC5087">
        <w:rPr>
          <w:iCs/>
        </w:rPr>
        <w:t xml:space="preserve">retationsschritt zu schreiben. </w:t>
      </w:r>
      <w:r w:rsidR="00CC33F5">
        <w:rPr>
          <w:iCs/>
        </w:rPr>
        <w:t xml:space="preserve">Dieser Entscheidungsvorgang wird mit Hilfe der Funktion </w:t>
      </w:r>
      <w:r w:rsidR="00CC33F5" w:rsidRPr="00CC33F5">
        <w:rPr>
          <w:i/>
          <w:iCs/>
        </w:rPr>
        <w:t>Auswahl</w:t>
      </w:r>
      <w:r w:rsidR="00CC33F5">
        <w:rPr>
          <w:iCs/>
        </w:rPr>
        <w:t xml:space="preserve"> </w:t>
      </w:r>
      <w:r w:rsidR="00DC5087">
        <w:rPr>
          <w:iCs/>
        </w:rPr>
        <w:t xml:space="preserve">(vgl. Abschnitt </w:t>
      </w:r>
      <w:r w:rsidR="005D7996">
        <w:rPr>
          <w:iCs/>
        </w:rPr>
        <w:fldChar w:fldCharType="begin"/>
      </w:r>
      <w:r w:rsidR="00DC5087">
        <w:rPr>
          <w:iCs/>
        </w:rPr>
        <w:instrText xml:space="preserve"> REF _Ref212110965 \r \h </w:instrText>
      </w:r>
      <w:r w:rsidR="005D7996">
        <w:rPr>
          <w:iCs/>
        </w:rPr>
      </w:r>
      <w:r w:rsidR="005D7996">
        <w:rPr>
          <w:iCs/>
        </w:rPr>
        <w:fldChar w:fldCharType="separate"/>
      </w:r>
      <w:r w:rsidR="001231D3">
        <w:rPr>
          <w:iCs/>
        </w:rPr>
        <w:t>5.2.2</w:t>
      </w:r>
      <w:r w:rsidR="005D7996">
        <w:rPr>
          <w:iCs/>
        </w:rPr>
        <w:fldChar w:fldCharType="end"/>
      </w:r>
      <w:r w:rsidR="00DC5087">
        <w:rPr>
          <w:iCs/>
        </w:rPr>
        <w:t xml:space="preserve">) </w:t>
      </w:r>
      <w:r w:rsidR="00CC33F5">
        <w:rPr>
          <w:iCs/>
        </w:rPr>
        <w:t>simuliert, die eine Entscheidung zwisch</w:t>
      </w:r>
      <w:r w:rsidR="007F0B42">
        <w:rPr>
          <w:iCs/>
        </w:rPr>
        <w:t>en 0 und 1 trifft; 0 steht für eine Entscheidung gegen die Ausgabe des Interpretationsschritts, 1 für eine Entscheidung für die Ausga</w:t>
      </w:r>
      <w:r w:rsidR="00DC5087">
        <w:rPr>
          <w:iCs/>
        </w:rPr>
        <w:t>be des Interpretationsschritts.</w:t>
      </w:r>
    </w:p>
    <w:p w:rsidR="005B6931" w:rsidRDefault="005B6931" w:rsidP="00486CA3">
      <w:pPr>
        <w:pStyle w:val="Text"/>
        <w:rPr>
          <w:iCs/>
        </w:rPr>
      </w:pPr>
      <w:r>
        <w:rPr>
          <w:iCs/>
        </w:rPr>
        <w:t xml:space="preserve">In Zeile 11 wird die Funktion </w:t>
      </w:r>
      <w:r w:rsidRPr="005B6931">
        <w:rPr>
          <w:i/>
          <w:iCs/>
        </w:rPr>
        <w:t>Interpretationsschritt_schreiben</w:t>
      </w:r>
      <w:r>
        <w:rPr>
          <w:iCs/>
        </w:rPr>
        <w:t xml:space="preserve"> aufgerufen (vgl. nächster Abschnitt). </w:t>
      </w:r>
      <w:r w:rsidR="00D0160D">
        <w:rPr>
          <w:iCs/>
        </w:rPr>
        <w:t xml:space="preserve">Ebenso wie bereits die Funktion </w:t>
      </w:r>
      <w:r w:rsidR="00D0160D" w:rsidRPr="005B6931">
        <w:rPr>
          <w:i/>
          <w:iCs/>
        </w:rPr>
        <w:t>Ergebnisse</w:t>
      </w:r>
      <w:r w:rsidR="00D0160D">
        <w:rPr>
          <w:iCs/>
        </w:rPr>
        <w:t xml:space="preserve"> erhält sie </w:t>
      </w:r>
      <w:r>
        <w:rPr>
          <w:iCs/>
        </w:rPr>
        <w:t xml:space="preserve">als Parameter </w:t>
      </w:r>
      <w:r w:rsidR="00D0160D" w:rsidRPr="00680CCF">
        <w:rPr>
          <w:i/>
          <w:color w:val="000000" w:themeColor="text1"/>
        </w:rPr>
        <w:t>P</w:t>
      </w:r>
      <w:r w:rsidR="00D0160D" w:rsidRPr="00680CCF">
        <w:rPr>
          <w:color w:val="000000" w:themeColor="text1"/>
        </w:rPr>
        <w:t xml:space="preserve">, </w:t>
      </w:r>
      <w:r w:rsidR="00D0160D" w:rsidRPr="00680CCF">
        <w:rPr>
          <w:i/>
          <w:color w:val="000000" w:themeColor="text1"/>
        </w:rPr>
        <w:t>Q</w:t>
      </w:r>
      <w:r w:rsidR="00D0160D" w:rsidRPr="00680CCF">
        <w:rPr>
          <w:color w:val="000000" w:themeColor="text1"/>
        </w:rPr>
        <w:t xml:space="preserve">, </w:t>
      </w:r>
      <w:r w:rsidR="00D0160D" w:rsidRPr="00680CCF">
        <w:rPr>
          <w:i/>
          <w:color w:val="000000" w:themeColor="text1"/>
        </w:rPr>
        <w:t>R</w:t>
      </w:r>
      <w:r w:rsidR="00D0160D" w:rsidRPr="00680CCF">
        <w:rPr>
          <w:color w:val="000000" w:themeColor="text1"/>
        </w:rPr>
        <w:t xml:space="preserve">, </w:t>
      </w:r>
      <w:r w:rsidR="00D0160D">
        <w:rPr>
          <w:i/>
          <w:color w:val="000000" w:themeColor="text1"/>
        </w:rPr>
        <w:t>G</w:t>
      </w:r>
      <w:r w:rsidR="00D0160D">
        <w:rPr>
          <w:color w:val="000000" w:themeColor="text1"/>
        </w:rPr>
        <w:t xml:space="preserve"> und </w:t>
      </w:r>
      <w:r w:rsidR="00D0160D">
        <w:rPr>
          <w:i/>
          <w:color w:val="000000" w:themeColor="text1"/>
        </w:rPr>
        <w:t>Z</w:t>
      </w:r>
      <w:r w:rsidR="00D0160D">
        <w:rPr>
          <w:iCs/>
        </w:rPr>
        <w:t xml:space="preserve">, abweichend von dieser erhält sie die </w:t>
      </w:r>
      <w:r>
        <w:rPr>
          <w:iCs/>
        </w:rPr>
        <w:t>im aktue</w:t>
      </w:r>
      <w:r>
        <w:rPr>
          <w:iCs/>
        </w:rPr>
        <w:t>l</w:t>
      </w:r>
      <w:r>
        <w:rPr>
          <w:iCs/>
        </w:rPr>
        <w:t xml:space="preserve">len Interpretationsschritt erzeugten Ergebnisse </w:t>
      </w:r>
      <w:r w:rsidR="00D0160D" w:rsidRPr="00685B0A">
        <w:rPr>
          <w:i/>
          <w:color w:val="000000" w:themeColor="text1"/>
        </w:rPr>
        <w:t>E</w:t>
      </w:r>
      <w:r w:rsidR="00510732">
        <w:rPr>
          <w:i/>
          <w:color w:val="000000" w:themeColor="text1"/>
        </w:rPr>
        <w:t>r</w:t>
      </w:r>
      <w:r w:rsidR="00D0160D" w:rsidRPr="00685B0A">
        <w:rPr>
          <w:i/>
          <w:color w:val="000000" w:themeColor="text1"/>
        </w:rPr>
        <w:t>*</w:t>
      </w:r>
      <w:r w:rsidR="00D0160D">
        <w:rPr>
          <w:iCs/>
        </w:rPr>
        <w:t xml:space="preserve"> und nur die Operation</w:t>
      </w:r>
      <w:r w:rsidR="00D0160D">
        <w:rPr>
          <w:iCs/>
        </w:rPr>
        <w:t>s</w:t>
      </w:r>
      <w:r w:rsidR="00D0160D">
        <w:rPr>
          <w:iCs/>
        </w:rPr>
        <w:t xml:space="preserve">funktion </w:t>
      </w:r>
      <w:r w:rsidR="00D0160D">
        <w:rPr>
          <w:i/>
          <w:color w:val="000000" w:themeColor="text1"/>
        </w:rPr>
        <w:t>Op</w:t>
      </w:r>
      <w:r w:rsidR="00D0160D">
        <w:rPr>
          <w:i/>
          <w:color w:val="000000" w:themeColor="text1"/>
          <w:vertAlign w:val="subscript"/>
        </w:rPr>
        <w:t>h</w:t>
      </w:r>
      <w:r>
        <w:rPr>
          <w:iCs/>
        </w:rPr>
        <w:t xml:space="preserve">. </w:t>
      </w:r>
      <w:r w:rsidR="006E7A00">
        <w:rPr>
          <w:iCs/>
        </w:rPr>
        <w:t>(</w:t>
      </w:r>
      <w:r>
        <w:rPr>
          <w:iCs/>
        </w:rPr>
        <w:t>Als „Interpretationsschritt“ wird eine Anwendung einer Oper</w:t>
      </w:r>
      <w:r>
        <w:rPr>
          <w:iCs/>
        </w:rPr>
        <w:t>a</w:t>
      </w:r>
      <w:r>
        <w:rPr>
          <w:iCs/>
        </w:rPr>
        <w:t xml:space="preserve">tionsfunktion </w:t>
      </w:r>
      <w:r w:rsidR="006E7A00">
        <w:rPr>
          <w:iCs/>
        </w:rPr>
        <w:t xml:space="preserve">bezeichnet.) Sie gibt </w:t>
      </w:r>
      <w:r w:rsidR="006E7A00">
        <w:rPr>
          <w:i/>
          <w:color w:val="000000" w:themeColor="text1"/>
        </w:rPr>
        <w:t>G</w:t>
      </w:r>
      <w:r w:rsidR="006E7A00">
        <w:rPr>
          <w:color w:val="000000" w:themeColor="text1"/>
        </w:rPr>
        <w:t xml:space="preserve"> und </w:t>
      </w:r>
      <w:r w:rsidR="006E7A00">
        <w:rPr>
          <w:i/>
          <w:color w:val="000000" w:themeColor="text1"/>
        </w:rPr>
        <w:t>Z</w:t>
      </w:r>
      <w:r w:rsidR="006E7A00">
        <w:rPr>
          <w:iCs/>
        </w:rPr>
        <w:t xml:space="preserve"> zurück.</w:t>
      </w:r>
    </w:p>
    <w:p w:rsidR="00275549" w:rsidRDefault="00DF7079" w:rsidP="00275549">
      <w:pPr>
        <w:pStyle w:val="Text"/>
        <w:rPr>
          <w:color w:val="000000" w:themeColor="text1"/>
        </w:rPr>
      </w:pPr>
      <w:r>
        <w:rPr>
          <w:color w:val="000000" w:themeColor="text1"/>
        </w:rPr>
        <w:t>In Zeile 12</w:t>
      </w:r>
      <w:r w:rsidR="00275549">
        <w:rPr>
          <w:color w:val="000000" w:themeColor="text1"/>
        </w:rPr>
        <w:t xml:space="preserve"> wird die if-Anweisung aus Zeile 10 beendet.</w:t>
      </w:r>
    </w:p>
    <w:p w:rsidR="00DF7079" w:rsidRDefault="00DF7079" w:rsidP="00DF7079">
      <w:pPr>
        <w:pStyle w:val="Text"/>
      </w:pPr>
      <w:r>
        <w:t>In Zeile 13 werden die im aktuellen Interpretationsschritt erzeugten Erge</w:t>
      </w:r>
      <w:r>
        <w:t>b</w:t>
      </w:r>
      <w:r>
        <w:t xml:space="preserve">nisse </w:t>
      </w:r>
      <w:r w:rsidRPr="005B7A82">
        <w:rPr>
          <w:i/>
        </w:rPr>
        <w:t>E</w:t>
      </w:r>
      <w:r>
        <w:rPr>
          <w:i/>
        </w:rPr>
        <w:t>r*</w:t>
      </w:r>
      <w:r>
        <w:t xml:space="preserve"> zur Menge der Ergebnisse </w:t>
      </w:r>
      <w:r w:rsidRPr="005B7A82">
        <w:rPr>
          <w:i/>
        </w:rPr>
        <w:t>E</w:t>
      </w:r>
      <w:r>
        <w:rPr>
          <w:i/>
        </w:rPr>
        <w:t>r</w:t>
      </w:r>
      <w:r>
        <w:t xml:space="preserve"> hinzugefügt.</w:t>
      </w:r>
    </w:p>
    <w:p w:rsidR="00C428D7" w:rsidRDefault="00C428D7" w:rsidP="00861342">
      <w:pPr>
        <w:pStyle w:val="Text"/>
        <w:rPr>
          <w:color w:val="000000" w:themeColor="text1"/>
        </w:rPr>
      </w:pPr>
      <w:r>
        <w:rPr>
          <w:color w:val="000000" w:themeColor="text1"/>
        </w:rPr>
        <w:t>In Zeile 1</w:t>
      </w:r>
      <w:r w:rsidR="00D0160D">
        <w:rPr>
          <w:color w:val="000000" w:themeColor="text1"/>
        </w:rPr>
        <w:t>4</w:t>
      </w:r>
      <w:r>
        <w:rPr>
          <w:color w:val="000000" w:themeColor="text1"/>
        </w:rPr>
        <w:t xml:space="preserve"> wird die </w:t>
      </w:r>
      <w:r w:rsidR="007F02CB">
        <w:rPr>
          <w:color w:val="000000" w:themeColor="text1"/>
        </w:rPr>
        <w:t>if-Anweisung</w:t>
      </w:r>
      <w:r>
        <w:rPr>
          <w:color w:val="000000" w:themeColor="text1"/>
        </w:rPr>
        <w:t xml:space="preserve"> aus Zeile </w:t>
      </w:r>
      <w:r w:rsidR="005B6931">
        <w:rPr>
          <w:color w:val="000000" w:themeColor="text1"/>
        </w:rPr>
        <w:t>3</w:t>
      </w:r>
      <w:r>
        <w:rPr>
          <w:color w:val="000000" w:themeColor="text1"/>
        </w:rPr>
        <w:t xml:space="preserve"> beendet.</w:t>
      </w:r>
    </w:p>
    <w:p w:rsidR="00C428D7" w:rsidRDefault="00C428D7" w:rsidP="00861342">
      <w:pPr>
        <w:pStyle w:val="Text"/>
        <w:rPr>
          <w:color w:val="000000" w:themeColor="text1"/>
        </w:rPr>
      </w:pPr>
      <w:r>
        <w:rPr>
          <w:color w:val="000000" w:themeColor="text1"/>
        </w:rPr>
        <w:t>In Zeile 1</w:t>
      </w:r>
      <w:r w:rsidR="00D0160D">
        <w:rPr>
          <w:color w:val="000000" w:themeColor="text1"/>
        </w:rPr>
        <w:t>5</w:t>
      </w:r>
      <w:r>
        <w:rPr>
          <w:color w:val="000000" w:themeColor="text1"/>
        </w:rPr>
        <w:t xml:space="preserve"> wird die for-Schleife aus Zeile 2 beendet.</w:t>
      </w:r>
    </w:p>
    <w:p w:rsidR="00C428D7" w:rsidRPr="0017233E" w:rsidRDefault="00C428D7" w:rsidP="00861342">
      <w:pPr>
        <w:pStyle w:val="Text"/>
        <w:rPr>
          <w:color w:val="000000" w:themeColor="text1"/>
        </w:rPr>
      </w:pPr>
      <w:r>
        <w:rPr>
          <w:color w:val="000000" w:themeColor="text1"/>
        </w:rPr>
        <w:t>In Zeile 1</w:t>
      </w:r>
      <w:r w:rsidR="00D0160D">
        <w:rPr>
          <w:color w:val="000000" w:themeColor="text1"/>
        </w:rPr>
        <w:t>6</w:t>
      </w:r>
      <w:r>
        <w:rPr>
          <w:color w:val="000000" w:themeColor="text1"/>
        </w:rPr>
        <w:t xml:space="preserve"> </w:t>
      </w:r>
      <w:r w:rsidR="005B6931">
        <w:rPr>
          <w:color w:val="000000" w:themeColor="text1"/>
        </w:rPr>
        <w:t xml:space="preserve">werden </w:t>
      </w:r>
      <w:r w:rsidR="005B6931" w:rsidRPr="005B6931">
        <w:rPr>
          <w:i/>
          <w:color w:val="000000" w:themeColor="text1"/>
        </w:rPr>
        <w:t>E</w:t>
      </w:r>
      <w:r w:rsidR="00510732">
        <w:rPr>
          <w:i/>
          <w:color w:val="000000" w:themeColor="text1"/>
        </w:rPr>
        <w:t>r</w:t>
      </w:r>
      <w:r w:rsidR="005B6931" w:rsidRPr="005B6931">
        <w:rPr>
          <w:color w:val="000000" w:themeColor="text1"/>
        </w:rPr>
        <w:t xml:space="preserve">, </w:t>
      </w:r>
      <w:r w:rsidR="005B6931" w:rsidRPr="005B6931">
        <w:rPr>
          <w:i/>
          <w:color w:val="000000" w:themeColor="text1"/>
        </w:rPr>
        <w:t>G</w:t>
      </w:r>
      <w:r w:rsidR="005B6931" w:rsidRPr="005B6931">
        <w:rPr>
          <w:color w:val="000000" w:themeColor="text1"/>
        </w:rPr>
        <w:t xml:space="preserve"> und </w:t>
      </w:r>
      <w:r w:rsidR="005B6931" w:rsidRPr="005B6931">
        <w:rPr>
          <w:i/>
          <w:color w:val="000000" w:themeColor="text1"/>
        </w:rPr>
        <w:t>Z</w:t>
      </w:r>
      <w:r>
        <w:rPr>
          <w:color w:val="000000" w:themeColor="text1"/>
        </w:rPr>
        <w:t xml:space="preserve"> zurückgegeben.</w:t>
      </w:r>
    </w:p>
    <w:p w:rsidR="00BB3ECE" w:rsidRPr="00DD36E3" w:rsidRDefault="00C428D7" w:rsidP="008F52BF">
      <w:pPr>
        <w:pStyle w:val="Text"/>
      </w:pPr>
      <w:r>
        <w:rPr>
          <w:color w:val="000000" w:themeColor="text1"/>
        </w:rPr>
        <w:t>In Zeile 1</w:t>
      </w:r>
      <w:r w:rsidR="00D0160D">
        <w:rPr>
          <w:color w:val="000000" w:themeColor="text1"/>
        </w:rPr>
        <w:t>7</w:t>
      </w:r>
      <w:r>
        <w:rPr>
          <w:color w:val="000000" w:themeColor="text1"/>
        </w:rPr>
        <w:t xml:space="preserve"> wird die Funktion beendet.</w:t>
      </w:r>
      <w:bookmarkEnd w:id="406"/>
    </w:p>
    <w:p w:rsidR="004F0F1E" w:rsidRDefault="004F0F1E" w:rsidP="004F0F1E">
      <w:pPr>
        <w:pStyle w:val="Titel3"/>
      </w:pPr>
      <w:bookmarkStart w:id="407" w:name="_Ref257704652"/>
      <w:bookmarkStart w:id="408" w:name="_Ref258410988"/>
      <w:bookmarkStart w:id="409" w:name="_Toc325456800"/>
      <w:bookmarkStart w:id="410" w:name="Ausgabe2"/>
      <w:r>
        <w:t xml:space="preserve">Die </w:t>
      </w:r>
      <w:r w:rsidR="00834D05">
        <w:t xml:space="preserve">Ausgabe der </w:t>
      </w:r>
      <w:bookmarkEnd w:id="407"/>
      <w:r w:rsidR="00470438">
        <w:t>Interpretation</w:t>
      </w:r>
      <w:bookmarkEnd w:id="408"/>
      <w:bookmarkEnd w:id="409"/>
    </w:p>
    <w:p w:rsidR="006E35EC" w:rsidRDefault="005D7996" w:rsidP="00B20C09">
      <w:pPr>
        <w:pStyle w:val="Text"/>
        <w:ind w:firstLine="0"/>
        <w:rPr>
          <w:color w:val="000000" w:themeColor="text1"/>
        </w:rPr>
      </w:pPr>
      <w:r>
        <w:fldChar w:fldCharType="begin"/>
      </w:r>
      <w:r w:rsidR="00794B5E">
        <w:instrText xml:space="preserve"> XE "Ausgabe (der Interpretation):</w:instrText>
      </w:r>
      <w:r w:rsidR="00794B5E" w:rsidRPr="00571C64">
        <w:rPr>
          <w:i/>
        </w:rPr>
        <w:instrText>Funktion</w:instrText>
      </w:r>
      <w:r w:rsidR="00794B5E">
        <w:instrText>" \r "Ausgabe</w:instrText>
      </w:r>
      <w:r w:rsidR="00A0425E">
        <w:instrText>2</w:instrText>
      </w:r>
      <w:r w:rsidR="00794B5E">
        <w:instrText xml:space="preserve">" </w:instrText>
      </w:r>
      <w:r>
        <w:fldChar w:fldCharType="end"/>
      </w:r>
      <w:r w:rsidR="00B57E38">
        <w:rPr>
          <w:color w:val="000000" w:themeColor="text1"/>
        </w:rPr>
        <w:t xml:space="preserve">Die folgende </w:t>
      </w:r>
      <w:r w:rsidR="00320080">
        <w:rPr>
          <w:color w:val="000000" w:themeColor="text1"/>
        </w:rPr>
        <w:t>Funktion</w:t>
      </w:r>
      <w:r w:rsidR="00B57E38">
        <w:rPr>
          <w:color w:val="000000" w:themeColor="text1"/>
        </w:rPr>
        <w:t xml:space="preserve"> gibt den jeweiligen Interpretationsschritt aus. </w:t>
      </w:r>
      <w:r w:rsidR="00191085">
        <w:rPr>
          <w:color w:val="000000" w:themeColor="text1"/>
        </w:rPr>
        <w:t>Als „Inte</w:t>
      </w:r>
      <w:r w:rsidR="00191085">
        <w:rPr>
          <w:color w:val="000000" w:themeColor="text1"/>
        </w:rPr>
        <w:t>r</w:t>
      </w:r>
      <w:r w:rsidR="00191085">
        <w:rPr>
          <w:color w:val="000000" w:themeColor="text1"/>
        </w:rPr>
        <w:t>pretationsschritt“ wird dabei eine Anwendung einer Operation auf einen b</w:t>
      </w:r>
      <w:r w:rsidR="00191085">
        <w:rPr>
          <w:color w:val="000000" w:themeColor="text1"/>
        </w:rPr>
        <w:t>e</w:t>
      </w:r>
      <w:r w:rsidR="00191085">
        <w:rPr>
          <w:color w:val="000000" w:themeColor="text1"/>
        </w:rPr>
        <w:t xml:space="preserve">stimmten Input bezeichnet. </w:t>
      </w:r>
      <w:r w:rsidR="00320080">
        <w:rPr>
          <w:color w:val="000000" w:themeColor="text1"/>
        </w:rPr>
        <w:t>Die Funktion</w:t>
      </w:r>
      <w:r w:rsidR="00B57E38">
        <w:rPr>
          <w:color w:val="000000" w:themeColor="text1"/>
        </w:rPr>
        <w:t xml:space="preserve"> schreibt </w:t>
      </w:r>
      <w:r w:rsidR="007D6EC3">
        <w:rPr>
          <w:color w:val="000000" w:themeColor="text1"/>
        </w:rPr>
        <w:t xml:space="preserve">damit nach und nach die </w:t>
      </w:r>
      <w:r w:rsidR="00B57E38">
        <w:rPr>
          <w:color w:val="000000" w:themeColor="text1"/>
        </w:rPr>
        <w:t>I</w:t>
      </w:r>
      <w:r w:rsidR="00B57E38">
        <w:rPr>
          <w:color w:val="000000" w:themeColor="text1"/>
        </w:rPr>
        <w:t>n</w:t>
      </w:r>
      <w:r w:rsidR="00B57E38">
        <w:rPr>
          <w:color w:val="000000" w:themeColor="text1"/>
        </w:rPr>
        <w:t xml:space="preserve">terpretation </w:t>
      </w:r>
      <w:r w:rsidR="007D6EC3">
        <w:rPr>
          <w:color w:val="000000" w:themeColor="text1"/>
        </w:rPr>
        <w:t xml:space="preserve">auf. </w:t>
      </w:r>
      <w:r w:rsidR="00320080">
        <w:rPr>
          <w:color w:val="000000" w:themeColor="text1"/>
        </w:rPr>
        <w:t>Die sich ergebende</w:t>
      </w:r>
      <w:r w:rsidR="007D6EC3">
        <w:rPr>
          <w:color w:val="000000" w:themeColor="text1"/>
        </w:rPr>
        <w:t xml:space="preserve"> Darstellung entspricht den </w:t>
      </w:r>
      <w:r w:rsidR="00B57E38">
        <w:rPr>
          <w:color w:val="000000" w:themeColor="text1"/>
        </w:rPr>
        <w:t>Beispiele</w:t>
      </w:r>
      <w:r w:rsidR="007D6EC3">
        <w:rPr>
          <w:color w:val="000000" w:themeColor="text1"/>
        </w:rPr>
        <w:t>n</w:t>
      </w:r>
      <w:r w:rsidR="00B57E38">
        <w:rPr>
          <w:color w:val="000000" w:themeColor="text1"/>
        </w:rPr>
        <w:t xml:space="preserve"> in den Abschnitten </w:t>
      </w:r>
      <w:r>
        <w:rPr>
          <w:color w:val="000000" w:themeColor="text1"/>
        </w:rPr>
        <w:fldChar w:fldCharType="begin"/>
      </w:r>
      <w:r w:rsidR="00B57E38">
        <w:rPr>
          <w:color w:val="000000" w:themeColor="text1"/>
        </w:rPr>
        <w:instrText xml:space="preserve"> REF _Ref254339704 \r \h </w:instrText>
      </w:r>
      <w:r>
        <w:rPr>
          <w:color w:val="000000" w:themeColor="text1"/>
        </w:rPr>
      </w:r>
      <w:r>
        <w:rPr>
          <w:color w:val="000000" w:themeColor="text1"/>
        </w:rPr>
        <w:fldChar w:fldCharType="separate"/>
      </w:r>
      <w:r w:rsidR="001231D3">
        <w:rPr>
          <w:color w:val="000000" w:themeColor="text1"/>
        </w:rPr>
        <w:t>6.3</w:t>
      </w:r>
      <w:r>
        <w:rPr>
          <w:color w:val="000000" w:themeColor="text1"/>
        </w:rPr>
        <w:fldChar w:fldCharType="end"/>
      </w:r>
      <w:r w:rsidR="00033387">
        <w:rPr>
          <w:color w:val="000000" w:themeColor="text1"/>
        </w:rPr>
        <w:t xml:space="preserve">, </w:t>
      </w:r>
      <w:r>
        <w:rPr>
          <w:color w:val="000000" w:themeColor="text1"/>
        </w:rPr>
        <w:fldChar w:fldCharType="begin"/>
      </w:r>
      <w:r w:rsidR="00033387">
        <w:rPr>
          <w:color w:val="000000" w:themeColor="text1"/>
        </w:rPr>
        <w:instrText xml:space="preserve"> REF _Ref259795418 \r \h </w:instrText>
      </w:r>
      <w:r>
        <w:rPr>
          <w:color w:val="000000" w:themeColor="text1"/>
        </w:rPr>
      </w:r>
      <w:r>
        <w:rPr>
          <w:color w:val="000000" w:themeColor="text1"/>
        </w:rPr>
        <w:fldChar w:fldCharType="separate"/>
      </w:r>
      <w:r w:rsidR="001231D3">
        <w:rPr>
          <w:color w:val="000000" w:themeColor="text1"/>
        </w:rPr>
        <w:t>6.4</w:t>
      </w:r>
      <w:r>
        <w:rPr>
          <w:color w:val="000000" w:themeColor="text1"/>
        </w:rPr>
        <w:fldChar w:fldCharType="end"/>
      </w:r>
      <w:r w:rsidR="00B57E38">
        <w:rPr>
          <w:color w:val="000000" w:themeColor="text1"/>
        </w:rPr>
        <w:t xml:space="preserve"> und </w:t>
      </w:r>
      <w:r>
        <w:rPr>
          <w:color w:val="000000" w:themeColor="text1"/>
        </w:rPr>
        <w:fldChar w:fldCharType="begin"/>
      </w:r>
      <w:r w:rsidR="00B57E38">
        <w:rPr>
          <w:color w:val="000000" w:themeColor="text1"/>
        </w:rPr>
        <w:instrText xml:space="preserve"> REF _Ref255407192 \r \h </w:instrText>
      </w:r>
      <w:r>
        <w:rPr>
          <w:color w:val="000000" w:themeColor="text1"/>
        </w:rPr>
      </w:r>
      <w:r>
        <w:rPr>
          <w:color w:val="000000" w:themeColor="text1"/>
        </w:rPr>
        <w:fldChar w:fldCharType="separate"/>
      </w:r>
      <w:r w:rsidR="001231D3">
        <w:rPr>
          <w:color w:val="000000" w:themeColor="text1"/>
        </w:rPr>
        <w:t>7.1</w:t>
      </w:r>
      <w:r>
        <w:rPr>
          <w:color w:val="000000" w:themeColor="text1"/>
        </w:rPr>
        <w:fldChar w:fldCharType="end"/>
      </w:r>
      <w:r w:rsidR="00B57E38">
        <w:rPr>
          <w:color w:val="000000" w:themeColor="text1"/>
        </w:rPr>
        <w:t xml:space="preserve">. (Die Angabe des Schemas </w:t>
      </w:r>
      <w:r w:rsidR="007D6EC3">
        <w:rPr>
          <w:color w:val="000000" w:themeColor="text1"/>
        </w:rPr>
        <w:t>als erste Zeile der Au</w:t>
      </w:r>
      <w:r w:rsidR="007D6EC3">
        <w:rPr>
          <w:color w:val="000000" w:themeColor="text1"/>
        </w:rPr>
        <w:t>s</w:t>
      </w:r>
      <w:r w:rsidR="007D6EC3">
        <w:rPr>
          <w:color w:val="000000" w:themeColor="text1"/>
        </w:rPr>
        <w:t xml:space="preserve">gabe </w:t>
      </w:r>
      <w:r w:rsidR="00B57E38">
        <w:rPr>
          <w:color w:val="000000" w:themeColor="text1"/>
        </w:rPr>
        <w:t xml:space="preserve">ist bereits in der Funktion </w:t>
      </w:r>
      <w:r w:rsidR="00B57E38" w:rsidRPr="00B57E38">
        <w:rPr>
          <w:i/>
          <w:color w:val="000000" w:themeColor="text1"/>
        </w:rPr>
        <w:t>Interpretation</w:t>
      </w:r>
      <w:r w:rsidR="00DA701F">
        <w:rPr>
          <w:color w:val="000000" w:themeColor="text1"/>
        </w:rPr>
        <w:t>, Zeile</w:t>
      </w:r>
      <w:r w:rsidR="00ED16B3">
        <w:rPr>
          <w:color w:val="000000" w:themeColor="text1"/>
        </w:rPr>
        <w:t xml:space="preserve"> 9</w:t>
      </w:r>
      <w:r w:rsidR="00B57E38">
        <w:rPr>
          <w:color w:val="000000" w:themeColor="text1"/>
        </w:rPr>
        <w:t>, erfolgt.)</w:t>
      </w:r>
      <w:r w:rsidR="00813E1A">
        <w:rPr>
          <w:color w:val="000000" w:themeColor="text1"/>
        </w:rPr>
        <w:t xml:space="preserve"> </w:t>
      </w:r>
      <w:r w:rsidR="00B81370">
        <w:rPr>
          <w:color w:val="000000" w:themeColor="text1"/>
        </w:rPr>
        <w:t>Die Ausgab</w:t>
      </w:r>
      <w:r w:rsidR="00B81370">
        <w:rPr>
          <w:color w:val="000000" w:themeColor="text1"/>
        </w:rPr>
        <w:t>e</w:t>
      </w:r>
      <w:r w:rsidR="00B81370">
        <w:rPr>
          <w:color w:val="000000" w:themeColor="text1"/>
        </w:rPr>
        <w:t xml:space="preserve">funktion </w:t>
      </w:r>
      <w:r w:rsidR="00813E1A">
        <w:rPr>
          <w:color w:val="000000" w:themeColor="text1"/>
        </w:rPr>
        <w:t xml:space="preserve">stellt </w:t>
      </w:r>
      <w:r w:rsidR="00FA74D4">
        <w:rPr>
          <w:color w:val="000000" w:themeColor="text1"/>
        </w:rPr>
        <w:t>damit</w:t>
      </w:r>
      <w:r w:rsidR="00813E1A">
        <w:rPr>
          <w:color w:val="000000" w:themeColor="text1"/>
        </w:rPr>
        <w:t xml:space="preserve"> den Zusammenhang her </w:t>
      </w:r>
      <w:r w:rsidR="00B81370">
        <w:rPr>
          <w:color w:val="000000" w:themeColor="text1"/>
        </w:rPr>
        <w:t>zwischen dem Interpretationspr</w:t>
      </w:r>
      <w:r w:rsidR="00B81370">
        <w:rPr>
          <w:color w:val="000000" w:themeColor="text1"/>
        </w:rPr>
        <w:t>o</w:t>
      </w:r>
      <w:r w:rsidR="00B81370">
        <w:rPr>
          <w:color w:val="000000" w:themeColor="text1"/>
        </w:rPr>
        <w:t xml:space="preserve">zess und den für Interpretationen </w:t>
      </w:r>
      <w:r w:rsidR="00813E1A">
        <w:rPr>
          <w:color w:val="000000" w:themeColor="text1"/>
        </w:rPr>
        <w:t>an</w:t>
      </w:r>
      <w:r w:rsidR="00B81370">
        <w:rPr>
          <w:color w:val="000000" w:themeColor="text1"/>
        </w:rPr>
        <w:t>gegebenen Beispielen</w:t>
      </w:r>
      <w:r w:rsidR="00813E1A">
        <w:rPr>
          <w:color w:val="000000" w:themeColor="text1"/>
        </w:rPr>
        <w:t>, deren Erzeugbarkeit sie nachweist</w:t>
      </w:r>
      <w:r w:rsidR="00B81370">
        <w:rPr>
          <w:color w:val="000000" w:themeColor="text1"/>
        </w:rPr>
        <w:t>.</w:t>
      </w:r>
      <w:r w:rsidR="006E35EC">
        <w:rPr>
          <w:rStyle w:val="Funotenzeichen"/>
          <w:color w:val="000000" w:themeColor="text1"/>
        </w:rPr>
        <w:footnoteReference w:id="518"/>
      </w:r>
    </w:p>
    <w:p w:rsidR="0006461E" w:rsidRDefault="00CF3FF4" w:rsidP="00EA2FEC">
      <w:pPr>
        <w:pStyle w:val="Text"/>
        <w:rPr>
          <w:color w:val="000000" w:themeColor="text1"/>
        </w:rPr>
      </w:pPr>
      <w:r>
        <w:rPr>
          <w:color w:val="000000" w:themeColor="text1"/>
        </w:rPr>
        <w:lastRenderedPageBreak/>
        <w:t xml:space="preserve">Die Funktion </w:t>
      </w:r>
      <w:r w:rsidRPr="00CF3FF4">
        <w:rPr>
          <w:i/>
          <w:color w:val="000000" w:themeColor="text1"/>
        </w:rPr>
        <w:t>Interpretation</w:t>
      </w:r>
      <w:r>
        <w:rPr>
          <w:color w:val="000000" w:themeColor="text1"/>
        </w:rPr>
        <w:t xml:space="preserve"> kann auch beim</w:t>
      </w:r>
      <w:r w:rsidR="002473EA">
        <w:rPr>
          <w:color w:val="000000" w:themeColor="text1"/>
        </w:rPr>
        <w:t xml:space="preserve"> Anwenden</w:t>
      </w:r>
      <w:r>
        <w:rPr>
          <w:color w:val="000000" w:themeColor="text1"/>
        </w:rPr>
        <w:t xml:space="preserve"> eines Stils aufger</w:t>
      </w:r>
      <w:r>
        <w:rPr>
          <w:color w:val="000000" w:themeColor="text1"/>
        </w:rPr>
        <w:t>u</w:t>
      </w:r>
      <w:r>
        <w:rPr>
          <w:color w:val="000000" w:themeColor="text1"/>
        </w:rPr>
        <w:t xml:space="preserve">fen werden, um einen Stil an eine angestrebte Interpretation anzunähern. </w:t>
      </w:r>
      <w:r w:rsidR="005C7D4B">
        <w:rPr>
          <w:color w:val="000000" w:themeColor="text1"/>
        </w:rPr>
        <w:t xml:space="preserve">Es kann davon ausgegangen werden, dass eine Ausgabe der Interpretation </w:t>
      </w:r>
      <w:r w:rsidR="0086257B">
        <w:rPr>
          <w:color w:val="000000" w:themeColor="text1"/>
        </w:rPr>
        <w:t>gewöh</w:t>
      </w:r>
      <w:r w:rsidR="0086257B">
        <w:rPr>
          <w:color w:val="000000" w:themeColor="text1"/>
        </w:rPr>
        <w:t>n</w:t>
      </w:r>
      <w:r w:rsidR="0086257B">
        <w:rPr>
          <w:color w:val="000000" w:themeColor="text1"/>
        </w:rPr>
        <w:t xml:space="preserve">lich </w:t>
      </w:r>
      <w:r w:rsidR="005C7D4B">
        <w:rPr>
          <w:color w:val="000000" w:themeColor="text1"/>
        </w:rPr>
        <w:t>beim</w:t>
      </w:r>
      <w:r>
        <w:rPr>
          <w:color w:val="000000" w:themeColor="text1"/>
        </w:rPr>
        <w:t xml:space="preserve"> </w:t>
      </w:r>
      <w:r w:rsidR="00663B18">
        <w:t>Wahrnehmen</w:t>
      </w:r>
      <w:r>
        <w:rPr>
          <w:color w:val="000000" w:themeColor="text1"/>
        </w:rPr>
        <w:t xml:space="preserve"> eines Stils stattfindet; allerdings ist es </w:t>
      </w:r>
      <w:r w:rsidR="0055617E">
        <w:rPr>
          <w:color w:val="000000" w:themeColor="text1"/>
        </w:rPr>
        <w:t>denkbar</w:t>
      </w:r>
      <w:r>
        <w:rPr>
          <w:color w:val="000000" w:themeColor="text1"/>
        </w:rPr>
        <w:t>, dass auch beim</w:t>
      </w:r>
      <w:r w:rsidR="002473EA">
        <w:rPr>
          <w:color w:val="000000" w:themeColor="text1"/>
        </w:rPr>
        <w:t xml:space="preserve"> Anwenden</w:t>
      </w:r>
      <w:r>
        <w:rPr>
          <w:color w:val="000000" w:themeColor="text1"/>
        </w:rPr>
        <w:t xml:space="preserve"> eine Ausgabe stattfindet, etwa wenn über </w:t>
      </w:r>
      <w:r w:rsidR="00B078B6">
        <w:rPr>
          <w:color w:val="000000" w:themeColor="text1"/>
        </w:rPr>
        <w:t xml:space="preserve">Bedeutungen oder Eindrücke </w:t>
      </w:r>
      <w:r>
        <w:rPr>
          <w:color w:val="000000" w:themeColor="text1"/>
        </w:rPr>
        <w:t xml:space="preserve">eines </w:t>
      </w:r>
      <w:r w:rsidR="00B078B6">
        <w:rPr>
          <w:color w:val="000000" w:themeColor="text1"/>
        </w:rPr>
        <w:t xml:space="preserve">vorgestellten </w:t>
      </w:r>
      <w:r>
        <w:rPr>
          <w:color w:val="000000" w:themeColor="text1"/>
        </w:rPr>
        <w:t>Stils gesprochen wird</w:t>
      </w:r>
      <w:r w:rsidR="00506CC3">
        <w:rPr>
          <w:color w:val="000000" w:themeColor="text1"/>
        </w:rPr>
        <w:t>, bevor die Realisierung e</w:t>
      </w:r>
      <w:r w:rsidR="00506CC3">
        <w:rPr>
          <w:color w:val="000000" w:themeColor="text1"/>
        </w:rPr>
        <w:t>r</w:t>
      </w:r>
      <w:r w:rsidR="00506CC3">
        <w:rPr>
          <w:color w:val="000000" w:themeColor="text1"/>
        </w:rPr>
        <w:t>zeugt wird</w:t>
      </w:r>
      <w:r>
        <w:rPr>
          <w:color w:val="000000" w:themeColor="text1"/>
        </w:rPr>
        <w:t>.</w:t>
      </w:r>
      <w:r w:rsidR="00506CC3">
        <w:rPr>
          <w:rStyle w:val="Funotenzeichen"/>
          <w:color w:val="000000" w:themeColor="text1"/>
        </w:rPr>
        <w:footnoteReference w:id="519"/>
      </w:r>
    </w:p>
    <w:p w:rsidR="00EA2FEC" w:rsidRDefault="00EA2FEC" w:rsidP="00B20C09">
      <w:pPr>
        <w:pStyle w:val="Text"/>
        <w:keepNext/>
        <w:spacing w:before="360"/>
        <w:ind w:firstLine="0"/>
        <w:jc w:val="left"/>
        <w:rPr>
          <w:color w:val="000000" w:themeColor="text1"/>
        </w:rPr>
      </w:pPr>
      <w:r w:rsidRPr="004F0F1E">
        <w:rPr>
          <w:color w:val="000000" w:themeColor="text1"/>
        </w:rPr>
        <w:t>function Interpretation</w:t>
      </w:r>
      <w:r w:rsidR="00445E88" w:rsidRPr="00445E88">
        <w:t>sschritt</w:t>
      </w:r>
      <w:r w:rsidRPr="004F0F1E">
        <w:rPr>
          <w:color w:val="000000" w:themeColor="text1"/>
        </w:rPr>
        <w:t>_schreiben (</w:t>
      </w:r>
      <w:r w:rsidRPr="004F0F1E">
        <w:rPr>
          <w:i/>
          <w:color w:val="000000" w:themeColor="text1"/>
        </w:rPr>
        <w:t>P</w:t>
      </w:r>
      <w:r w:rsidRPr="004F0F1E">
        <w:rPr>
          <w:color w:val="000000" w:themeColor="text1"/>
        </w:rPr>
        <w:t xml:space="preserve">, </w:t>
      </w:r>
      <w:r w:rsidRPr="004F0F1E">
        <w:rPr>
          <w:i/>
          <w:color w:val="000000" w:themeColor="text1"/>
        </w:rPr>
        <w:t>Q</w:t>
      </w:r>
      <w:r w:rsidRPr="004F0F1E">
        <w:rPr>
          <w:color w:val="000000" w:themeColor="text1"/>
        </w:rPr>
        <w:t xml:space="preserve">, </w:t>
      </w:r>
      <w:r w:rsidRPr="004F0F1E">
        <w:rPr>
          <w:i/>
          <w:color w:val="000000" w:themeColor="text1"/>
        </w:rPr>
        <w:t>R</w:t>
      </w:r>
      <w:r w:rsidRPr="004F0F1E">
        <w:rPr>
          <w:color w:val="000000" w:themeColor="text1"/>
        </w:rPr>
        <w:t xml:space="preserve">, </w:t>
      </w:r>
      <w:r w:rsidR="00F5567C">
        <w:rPr>
          <w:i/>
          <w:color w:val="000000" w:themeColor="text1"/>
        </w:rPr>
        <w:t>Er*</w:t>
      </w:r>
      <w:r w:rsidR="008C7DDB" w:rsidRPr="004F0F1E">
        <w:rPr>
          <w:color w:val="000000" w:themeColor="text1"/>
        </w:rPr>
        <w:t xml:space="preserve">, </w:t>
      </w:r>
      <w:r w:rsidR="00B624A9" w:rsidRPr="004F0F1E">
        <w:rPr>
          <w:i/>
          <w:color w:val="000000" w:themeColor="text1"/>
        </w:rPr>
        <w:t>Op</w:t>
      </w:r>
      <w:r w:rsidR="00B624A9" w:rsidRPr="004F0F1E">
        <w:rPr>
          <w:i/>
          <w:color w:val="000000" w:themeColor="text1"/>
          <w:vertAlign w:val="subscript"/>
        </w:rPr>
        <w:t>h</w:t>
      </w:r>
      <w:r w:rsidR="00B624A9" w:rsidRPr="004F0F1E">
        <w:rPr>
          <w:color w:val="000000" w:themeColor="text1"/>
        </w:rPr>
        <w:t>,</w:t>
      </w:r>
      <w:r w:rsidR="00B624A9" w:rsidRPr="004F0F1E">
        <w:rPr>
          <w:i/>
          <w:color w:val="000000" w:themeColor="text1"/>
        </w:rPr>
        <w:t xml:space="preserve"> </w:t>
      </w:r>
      <w:r w:rsidR="00480A9E" w:rsidRPr="004F0F1E">
        <w:rPr>
          <w:i/>
          <w:color w:val="000000" w:themeColor="text1"/>
        </w:rPr>
        <w:t>G</w:t>
      </w:r>
      <w:r w:rsidR="00480A9E" w:rsidRPr="004F0F1E">
        <w:rPr>
          <w:color w:val="000000" w:themeColor="text1"/>
        </w:rPr>
        <w:t xml:space="preserve">, </w:t>
      </w:r>
      <w:r w:rsidR="00CF729A">
        <w:rPr>
          <w:i/>
          <w:color w:val="000000" w:themeColor="text1"/>
        </w:rPr>
        <w:t>Z</w:t>
      </w:r>
      <w:r w:rsidRPr="004F0F1E">
        <w:rPr>
          <w:color w:val="000000" w:themeColor="text1"/>
        </w:rPr>
        <w:t>)</w:t>
      </w:r>
    </w:p>
    <w:p w:rsidR="00943242" w:rsidRDefault="00DE7829" w:rsidP="007C6E09">
      <w:pPr>
        <w:pStyle w:val="Text"/>
        <w:ind w:firstLine="0"/>
        <w:jc w:val="left"/>
        <w:rPr>
          <w:color w:val="000000" w:themeColor="text1"/>
          <w:position w:val="-6"/>
        </w:rPr>
      </w:pPr>
      <w:r>
        <w:rPr>
          <w:color w:val="000000" w:themeColor="text1"/>
        </w:rPr>
        <w:t xml:space="preserve">  </w:t>
      </w:r>
      <w:r w:rsidRPr="00DE7829">
        <w:rPr>
          <w:color w:val="000000" w:themeColor="text1"/>
        </w:rPr>
        <w:t xml:space="preserve"> </w:t>
      </w:r>
      <w:r w:rsidR="00D836E9" w:rsidRPr="002A7646">
        <w:rPr>
          <w:i/>
          <w:color w:val="000000" w:themeColor="text1"/>
        </w:rPr>
        <w:t>B</w:t>
      </w:r>
      <w:r w:rsidR="00D836E9" w:rsidRPr="002A7646">
        <w:rPr>
          <w:i/>
          <w:color w:val="000000" w:themeColor="text1"/>
          <w:vertAlign w:val="superscript"/>
        </w:rPr>
        <w:t>G</w:t>
      </w:r>
      <w:r w:rsidRPr="00943242">
        <w:rPr>
          <w:color w:val="000000" w:themeColor="text1"/>
        </w:rPr>
        <w:t xml:space="preserve">, </w:t>
      </w:r>
      <w:r w:rsidR="00D836E9" w:rsidRPr="002A7646">
        <w:rPr>
          <w:i/>
          <w:color w:val="000000" w:themeColor="text1"/>
        </w:rPr>
        <w:t>Er</w:t>
      </w:r>
      <w:r w:rsidR="00D836E9" w:rsidRPr="002A7646">
        <w:rPr>
          <w:i/>
          <w:color w:val="000000" w:themeColor="text1"/>
          <w:vertAlign w:val="superscript"/>
        </w:rPr>
        <w:t>G</w:t>
      </w:r>
      <w:r w:rsidRPr="00943242">
        <w:rPr>
          <w:color w:val="000000" w:themeColor="text1"/>
        </w:rPr>
        <w:t xml:space="preserve">, </w:t>
      </w:r>
      <w:r w:rsidR="00C24417" w:rsidRPr="00C24417">
        <w:rPr>
          <w:i/>
          <w:color w:val="000000" w:themeColor="text1"/>
        </w:rPr>
        <w:t>Er</w:t>
      </w:r>
      <w:r w:rsidR="00C24417" w:rsidRPr="00C24417">
        <w:rPr>
          <w:color w:val="000000" w:themeColor="text1"/>
          <w:vertAlign w:val="subscript"/>
        </w:rPr>
        <w:t>(f)</w:t>
      </w:r>
      <w:r w:rsidR="00C24417" w:rsidRPr="00C24417">
        <w:rPr>
          <w:i/>
          <w:color w:val="000000" w:themeColor="text1"/>
          <w:vertAlign w:val="superscript"/>
        </w:rPr>
        <w:t>G</w:t>
      </w:r>
      <w:r w:rsidR="00C24417" w:rsidRPr="00943242">
        <w:rPr>
          <w:color w:val="000000" w:themeColor="text1"/>
        </w:rPr>
        <w:t>,</w:t>
      </w:r>
      <w:r w:rsidR="00C24417" w:rsidRPr="002A7646">
        <w:rPr>
          <w:i/>
          <w:color w:val="000000" w:themeColor="text1"/>
        </w:rPr>
        <w:t xml:space="preserve"> </w:t>
      </w:r>
      <w:r w:rsidR="00D836E9" w:rsidRPr="002A7646">
        <w:rPr>
          <w:i/>
          <w:color w:val="000000" w:themeColor="text1"/>
        </w:rPr>
        <w:t>H</w:t>
      </w:r>
      <w:r w:rsidR="00D836E9" w:rsidRPr="002A7646">
        <w:rPr>
          <w:i/>
          <w:color w:val="000000" w:themeColor="text1"/>
          <w:vertAlign w:val="superscript"/>
        </w:rPr>
        <w:t>G</w:t>
      </w:r>
      <w:r w:rsidRPr="00943242">
        <w:rPr>
          <w:color w:val="000000" w:themeColor="text1"/>
        </w:rPr>
        <w:t xml:space="preserve"> := </w:t>
      </w:r>
      <w:r w:rsidRPr="00913424">
        <w:rPr>
          <w:color w:val="000000" w:themeColor="text1"/>
          <w:position w:val="-6"/>
        </w:rPr>
        <w:object w:dxaOrig="260" w:dyaOrig="279">
          <v:shape id="_x0000_i1055" type="#_x0000_t75" style="width:14pt;height:13.6pt" o:ole="">
            <v:imagedata r:id="rId70" o:title=""/>
          </v:shape>
          <o:OLEObject Type="Embed" ProgID="Equation.3" ShapeID="_x0000_i1055" DrawAspect="Content" ObjectID="_1460983896" r:id="rId76"/>
        </w:object>
      </w:r>
    </w:p>
    <w:p w:rsidR="00C858B1" w:rsidRDefault="00C858B1" w:rsidP="007C6E09">
      <w:pPr>
        <w:pStyle w:val="Text"/>
        <w:ind w:firstLine="0"/>
        <w:jc w:val="left"/>
        <w:rPr>
          <w:color w:val="000000" w:themeColor="text1"/>
        </w:rPr>
      </w:pPr>
      <w:r>
        <w:rPr>
          <w:color w:val="000000" w:themeColor="text1"/>
        </w:rPr>
        <w:t xml:space="preserve">   </w:t>
      </w:r>
      <w:r w:rsidRPr="00837C36">
        <w:rPr>
          <w:i/>
          <w:color w:val="000000" w:themeColor="text1"/>
        </w:rPr>
        <w:t>w</w:t>
      </w:r>
      <w:r>
        <w:rPr>
          <w:color w:val="000000" w:themeColor="text1"/>
        </w:rPr>
        <w:t xml:space="preserve">, </w:t>
      </w:r>
      <w:r w:rsidRPr="00837C36">
        <w:rPr>
          <w:i/>
          <w:color w:val="000000" w:themeColor="text1"/>
        </w:rPr>
        <w:t>x</w:t>
      </w:r>
      <w:r>
        <w:rPr>
          <w:color w:val="000000" w:themeColor="text1"/>
        </w:rPr>
        <w:t xml:space="preserve">, </w:t>
      </w:r>
      <w:r w:rsidRPr="00837C36">
        <w:rPr>
          <w:i/>
          <w:color w:val="000000" w:themeColor="text1"/>
        </w:rPr>
        <w:t>y</w:t>
      </w:r>
      <w:r>
        <w:rPr>
          <w:color w:val="000000" w:themeColor="text1"/>
        </w:rPr>
        <w:t xml:space="preserve">, </w:t>
      </w:r>
      <w:r w:rsidRPr="00837C36">
        <w:rPr>
          <w:i/>
          <w:color w:val="000000" w:themeColor="text1"/>
        </w:rPr>
        <w:t>z</w:t>
      </w:r>
      <w:r>
        <w:rPr>
          <w:color w:val="000000" w:themeColor="text1"/>
        </w:rPr>
        <w:t xml:space="preserve"> := </w:t>
      </w:r>
      <w:r w:rsidRPr="00837C36">
        <w:rPr>
          <w:i/>
          <w:color w:val="000000" w:themeColor="text1"/>
        </w:rPr>
        <w:t>w</w:t>
      </w:r>
      <w:r w:rsidRPr="00837C36">
        <w:rPr>
          <w:color w:val="000000" w:themeColor="text1"/>
        </w:rPr>
        <w:t>(</w:t>
      </w:r>
      <w:r w:rsidRPr="00837C36">
        <w:rPr>
          <w:i/>
          <w:color w:val="000000" w:themeColor="text1"/>
        </w:rPr>
        <w:t>Z</w:t>
      </w:r>
      <w:r w:rsidRPr="00837C36">
        <w:rPr>
          <w:color w:val="000000" w:themeColor="text1"/>
        </w:rPr>
        <w:t>)</w:t>
      </w:r>
      <w:r>
        <w:rPr>
          <w:color w:val="000000" w:themeColor="text1"/>
        </w:rPr>
        <w:t xml:space="preserve">, </w:t>
      </w:r>
      <w:r w:rsidRPr="00837C36">
        <w:rPr>
          <w:i/>
          <w:color w:val="000000" w:themeColor="text1"/>
        </w:rPr>
        <w:t>x</w:t>
      </w:r>
      <w:r w:rsidRPr="00837C36">
        <w:rPr>
          <w:color w:val="000000" w:themeColor="text1"/>
        </w:rPr>
        <w:t>(</w:t>
      </w:r>
      <w:r w:rsidRPr="00837C36">
        <w:rPr>
          <w:i/>
          <w:color w:val="000000" w:themeColor="text1"/>
        </w:rPr>
        <w:t>Z</w:t>
      </w:r>
      <w:r w:rsidRPr="00837C36">
        <w:rPr>
          <w:color w:val="000000" w:themeColor="text1"/>
        </w:rPr>
        <w:t>)</w:t>
      </w:r>
      <w:r>
        <w:rPr>
          <w:color w:val="000000" w:themeColor="text1"/>
        </w:rPr>
        <w:t xml:space="preserve">, </w:t>
      </w:r>
      <w:r w:rsidRPr="00837C36">
        <w:rPr>
          <w:i/>
          <w:color w:val="000000" w:themeColor="text1"/>
        </w:rPr>
        <w:t>y</w:t>
      </w:r>
      <w:r w:rsidRPr="00837C36">
        <w:rPr>
          <w:color w:val="000000" w:themeColor="text1"/>
        </w:rPr>
        <w:t>(</w:t>
      </w:r>
      <w:r w:rsidRPr="00837C36">
        <w:rPr>
          <w:i/>
          <w:color w:val="000000" w:themeColor="text1"/>
        </w:rPr>
        <w:t>Z</w:t>
      </w:r>
      <w:r w:rsidRPr="00837C36">
        <w:rPr>
          <w:color w:val="000000" w:themeColor="text1"/>
        </w:rPr>
        <w:t>)</w:t>
      </w:r>
      <w:r>
        <w:rPr>
          <w:color w:val="000000" w:themeColor="text1"/>
        </w:rPr>
        <w:t xml:space="preserve">, </w:t>
      </w:r>
      <w:r w:rsidRPr="00837C36">
        <w:rPr>
          <w:i/>
          <w:color w:val="000000" w:themeColor="text1"/>
        </w:rPr>
        <w:t>z</w:t>
      </w:r>
      <w:r w:rsidRPr="00837C36">
        <w:rPr>
          <w:color w:val="000000" w:themeColor="text1"/>
        </w:rPr>
        <w:t>(</w:t>
      </w:r>
      <w:r w:rsidRPr="00837C36">
        <w:rPr>
          <w:i/>
          <w:color w:val="000000" w:themeColor="text1"/>
        </w:rPr>
        <w:t>Z</w:t>
      </w:r>
      <w:r w:rsidRPr="00837C36">
        <w:rPr>
          <w:color w:val="000000" w:themeColor="text1"/>
        </w:rPr>
        <w:t>)</w:t>
      </w:r>
    </w:p>
    <w:p w:rsidR="00A831A5" w:rsidRPr="00AE73EE" w:rsidRDefault="00A831A5" w:rsidP="007C6E09">
      <w:pPr>
        <w:pStyle w:val="Text"/>
        <w:ind w:firstLine="0"/>
        <w:jc w:val="left"/>
        <w:rPr>
          <w:color w:val="000000" w:themeColor="text1"/>
          <w:lang w:val="en-US"/>
        </w:rPr>
      </w:pPr>
      <w:r w:rsidRPr="005754E6">
        <w:rPr>
          <w:color w:val="000000" w:themeColor="text1"/>
        </w:rPr>
        <w:t xml:space="preserve">   </w:t>
      </w:r>
      <w:r w:rsidRPr="0043046D">
        <w:rPr>
          <w:color w:val="000000" w:themeColor="text1"/>
          <w:lang w:val="en-US"/>
        </w:rPr>
        <w:t xml:space="preserve">for </w:t>
      </w:r>
      <w:r>
        <w:rPr>
          <w:i/>
          <w:color w:val="000000" w:themeColor="text1"/>
          <w:lang w:val="en-US"/>
        </w:rPr>
        <w:t>n</w:t>
      </w:r>
      <w:r w:rsidRPr="0043046D">
        <w:rPr>
          <w:color w:val="000000" w:themeColor="text1"/>
          <w:lang w:val="en-US"/>
        </w:rPr>
        <w:t xml:space="preserve"> := 1 to |</w:t>
      </w:r>
      <w:r w:rsidRPr="0043046D">
        <w:rPr>
          <w:i/>
          <w:color w:val="000000" w:themeColor="text1"/>
          <w:lang w:val="en-US"/>
        </w:rPr>
        <w:t>P</w:t>
      </w:r>
      <w:r w:rsidRPr="0043046D">
        <w:rPr>
          <w:color w:val="000000" w:themeColor="text1"/>
          <w:lang w:val="en-US"/>
        </w:rPr>
        <w:t>|</w:t>
      </w:r>
    </w:p>
    <w:p w:rsidR="00E713D6" w:rsidRPr="0043046D" w:rsidRDefault="00C209A0" w:rsidP="007152CF">
      <w:pPr>
        <w:pStyle w:val="Text"/>
        <w:ind w:hanging="369"/>
        <w:jc w:val="left"/>
        <w:rPr>
          <w:color w:val="000000" w:themeColor="text1"/>
          <w:lang w:val="en-US"/>
        </w:rPr>
      </w:pPr>
      <w:r w:rsidRPr="007C6E09">
        <w:rPr>
          <w:sz w:val="16"/>
          <w:szCs w:val="16"/>
          <w:lang w:val="en-US"/>
        </w:rPr>
        <w:t xml:space="preserve"> </w:t>
      </w:r>
      <w:r w:rsidR="00E713D6" w:rsidRPr="007C6E09">
        <w:rPr>
          <w:sz w:val="16"/>
          <w:szCs w:val="16"/>
          <w:lang w:val="en-US"/>
        </w:rPr>
        <w:t>5</w:t>
      </w:r>
      <w:r w:rsidR="00E713D6" w:rsidRPr="0043046D">
        <w:rPr>
          <w:lang w:val="en-US"/>
        </w:rPr>
        <w:tab/>
      </w:r>
      <w:r w:rsidR="00A831A5" w:rsidRPr="004C1F33">
        <w:rPr>
          <w:color w:val="000000" w:themeColor="text1"/>
          <w:lang w:val="en-US"/>
        </w:rPr>
        <w:t xml:space="preserve">      </w:t>
      </w:r>
      <w:r w:rsidR="00A831A5">
        <w:rPr>
          <w:i/>
          <w:color w:val="000000" w:themeColor="text1"/>
          <w:lang w:val="en-US"/>
        </w:rPr>
        <w:t>k</w:t>
      </w:r>
      <w:r w:rsidR="00A831A5">
        <w:rPr>
          <w:color w:val="000000" w:themeColor="text1"/>
          <w:lang w:val="en-US"/>
        </w:rPr>
        <w:t xml:space="preserve"> := |</w:t>
      </w:r>
      <w:r w:rsidR="00A831A5">
        <w:rPr>
          <w:i/>
          <w:color w:val="000000" w:themeColor="text1"/>
          <w:lang w:val="en-US"/>
        </w:rPr>
        <w:t>B</w:t>
      </w:r>
      <w:r w:rsidR="00A831A5" w:rsidRPr="002A7646">
        <w:rPr>
          <w:i/>
          <w:color w:val="000000" w:themeColor="text1"/>
          <w:vertAlign w:val="superscript"/>
          <w:lang w:val="en-US"/>
        </w:rPr>
        <w:t>G</w:t>
      </w:r>
      <w:r w:rsidR="00A831A5">
        <w:rPr>
          <w:color w:val="000000" w:themeColor="text1"/>
          <w:lang w:val="en-US"/>
        </w:rPr>
        <w:t>|</w:t>
      </w:r>
    </w:p>
    <w:p w:rsidR="008B2921" w:rsidRPr="00C06F76" w:rsidRDefault="008B2921" w:rsidP="007C6E09">
      <w:pPr>
        <w:pStyle w:val="Text"/>
        <w:ind w:firstLine="0"/>
        <w:jc w:val="left"/>
        <w:rPr>
          <w:i/>
          <w:color w:val="000000" w:themeColor="text1"/>
          <w:lang w:val="en-US"/>
        </w:rPr>
      </w:pPr>
      <w:r w:rsidRPr="00C06F76">
        <w:rPr>
          <w:color w:val="000000" w:themeColor="text1"/>
          <w:lang w:val="en-US"/>
        </w:rPr>
        <w:t xml:space="preserve">      for </w:t>
      </w:r>
      <w:r>
        <w:rPr>
          <w:i/>
          <w:color w:val="000000" w:themeColor="text1"/>
          <w:lang w:val="en-US"/>
        </w:rPr>
        <w:t>m</w:t>
      </w:r>
      <w:r w:rsidRPr="00C06F76">
        <w:rPr>
          <w:color w:val="000000" w:themeColor="text1"/>
          <w:lang w:val="en-US"/>
        </w:rPr>
        <w:t xml:space="preserve"> := 1 to |</w:t>
      </w:r>
      <w:r w:rsidRPr="00C06F76">
        <w:rPr>
          <w:i/>
          <w:color w:val="000000" w:themeColor="text1"/>
          <w:lang w:val="en-US"/>
        </w:rPr>
        <w:t>G</w:t>
      </w:r>
      <w:r w:rsidRPr="00C06F76">
        <w:rPr>
          <w:color w:val="000000" w:themeColor="text1"/>
          <w:lang w:val="en-US"/>
        </w:rPr>
        <w:t>|</w:t>
      </w:r>
    </w:p>
    <w:p w:rsidR="008B2921" w:rsidRPr="008B2921" w:rsidRDefault="008B2921" w:rsidP="007C6E09">
      <w:pPr>
        <w:pStyle w:val="Text"/>
        <w:ind w:firstLine="0"/>
        <w:jc w:val="left"/>
        <w:rPr>
          <w:color w:val="000000" w:themeColor="text1"/>
          <w:lang w:val="en-US"/>
        </w:rPr>
      </w:pPr>
      <w:r w:rsidRPr="008B2921">
        <w:rPr>
          <w:color w:val="000000" w:themeColor="text1"/>
          <w:lang w:val="en-US"/>
        </w:rPr>
        <w:t xml:space="preserve">         if </w:t>
      </w:r>
      <w:r w:rsidR="00D31490" w:rsidRPr="008B2921">
        <w:rPr>
          <w:color w:val="000000" w:themeColor="text1"/>
          <w:lang w:val="en-US"/>
        </w:rPr>
        <w:t>(</w:t>
      </w:r>
      <w:r w:rsidR="00D31490" w:rsidRPr="008B2921">
        <w:rPr>
          <w:i/>
          <w:color w:val="000000" w:themeColor="text1"/>
          <w:lang w:val="en-US"/>
        </w:rPr>
        <w:t>P</w:t>
      </w:r>
      <w:r w:rsidR="00D31490" w:rsidRPr="008B2921">
        <w:rPr>
          <w:i/>
          <w:color w:val="000000" w:themeColor="text1"/>
          <w:vertAlign w:val="subscript"/>
          <w:lang w:val="en-US"/>
        </w:rPr>
        <w:t>n</w:t>
      </w:r>
      <w:r w:rsidR="00D31490" w:rsidRPr="008B2921">
        <w:rPr>
          <w:color w:val="000000" w:themeColor="text1"/>
          <w:lang w:val="en-US"/>
        </w:rPr>
        <w:t xml:space="preserve"> = </w:t>
      </w:r>
      <w:r w:rsidR="00D31490" w:rsidRPr="008B2921">
        <w:rPr>
          <w:i/>
          <w:color w:val="000000" w:themeColor="text1"/>
          <w:lang w:val="en-US"/>
        </w:rPr>
        <w:t>W</w:t>
      </w:r>
      <w:r w:rsidR="00D31490" w:rsidRPr="008B2921">
        <w:rPr>
          <w:color w:val="000000" w:themeColor="text1"/>
          <w:lang w:val="en-US"/>
        </w:rPr>
        <w:t>(</w:t>
      </w:r>
      <w:r w:rsidR="00D31490" w:rsidRPr="008B2921">
        <w:rPr>
          <w:i/>
          <w:color w:val="000000" w:themeColor="text1"/>
          <w:lang w:val="en-US"/>
        </w:rPr>
        <w:t>G</w:t>
      </w:r>
      <w:r w:rsidR="00D31490" w:rsidRPr="008B2921">
        <w:rPr>
          <w:i/>
          <w:color w:val="000000" w:themeColor="text1"/>
          <w:vertAlign w:val="subscript"/>
          <w:lang w:val="en-US"/>
        </w:rPr>
        <w:t>m</w:t>
      </w:r>
      <w:r w:rsidR="00D31490" w:rsidRPr="008B2921">
        <w:rPr>
          <w:color w:val="000000" w:themeColor="text1"/>
          <w:lang w:val="en-US"/>
        </w:rPr>
        <w:t>))</w:t>
      </w:r>
      <w:r w:rsidRPr="008B2921">
        <w:rPr>
          <w:color w:val="000000" w:themeColor="text1"/>
          <w:lang w:val="en-US"/>
        </w:rPr>
        <w:t xml:space="preserve"> </w:t>
      </w:r>
      <w:r w:rsidR="003B3E92" w:rsidRPr="00CC5CB4">
        <w:rPr>
          <w:rFonts w:ascii="Cambria Math" w:hAnsi="Cambria Math" w:cs="Cambria Math"/>
          <w:color w:val="000000" w:themeColor="text1"/>
          <w:lang w:val="en-US"/>
        </w:rPr>
        <w:t>∧</w:t>
      </w:r>
      <w:r w:rsidRPr="008B2921">
        <w:rPr>
          <w:color w:val="000000" w:themeColor="text1"/>
          <w:lang w:val="en-US"/>
        </w:rPr>
        <w:t xml:space="preserve"> </w:t>
      </w:r>
      <w:r w:rsidR="00D31490" w:rsidRPr="008B2921">
        <w:rPr>
          <w:color w:val="000000" w:themeColor="text1"/>
          <w:lang w:val="en-US"/>
        </w:rPr>
        <w:t>(</w:t>
      </w:r>
      <w:r w:rsidR="00D31490" w:rsidRPr="00735333">
        <w:rPr>
          <w:i/>
          <w:color w:val="000000" w:themeColor="text1"/>
          <w:lang w:val="en-US"/>
        </w:rPr>
        <w:t>S</w:t>
      </w:r>
      <w:r w:rsidR="00D31490" w:rsidRPr="008B2921">
        <w:rPr>
          <w:color w:val="000000" w:themeColor="text1"/>
          <w:lang w:val="en-US"/>
        </w:rPr>
        <w:t>(</w:t>
      </w:r>
      <w:r w:rsidR="00D31490" w:rsidRPr="008B2921">
        <w:rPr>
          <w:i/>
          <w:color w:val="000000" w:themeColor="text1"/>
          <w:lang w:val="en-US"/>
        </w:rPr>
        <w:t>G</w:t>
      </w:r>
      <w:r w:rsidR="00D31490" w:rsidRPr="008B2921">
        <w:rPr>
          <w:i/>
          <w:color w:val="000000" w:themeColor="text1"/>
          <w:vertAlign w:val="subscript"/>
          <w:lang w:val="en-US"/>
        </w:rPr>
        <w:t>m</w:t>
      </w:r>
      <w:r w:rsidR="00D31490" w:rsidRPr="008B2921">
        <w:rPr>
          <w:color w:val="000000" w:themeColor="text1"/>
          <w:lang w:val="en-US"/>
        </w:rPr>
        <w:t>) = “B”)</w:t>
      </w:r>
    </w:p>
    <w:p w:rsidR="008B2921" w:rsidRPr="0043046D" w:rsidRDefault="008B2921" w:rsidP="007C6E09">
      <w:pPr>
        <w:pStyle w:val="Text"/>
        <w:ind w:firstLine="0"/>
        <w:jc w:val="left"/>
        <w:rPr>
          <w:color w:val="000000" w:themeColor="text1"/>
          <w:lang w:val="en-US"/>
        </w:rPr>
      </w:pPr>
      <w:r w:rsidRPr="008B2921">
        <w:rPr>
          <w:color w:val="000000" w:themeColor="text1"/>
          <w:lang w:val="en-US"/>
        </w:rPr>
        <w:t xml:space="preserve">            </w:t>
      </w:r>
      <w:r w:rsidRPr="008B2921">
        <w:rPr>
          <w:i/>
          <w:color w:val="000000" w:themeColor="text1"/>
          <w:lang w:val="en-US"/>
        </w:rPr>
        <w:t xml:space="preserve"> </w:t>
      </w:r>
      <w:r>
        <w:rPr>
          <w:i/>
          <w:color w:val="000000" w:themeColor="text1"/>
          <w:lang w:val="en-US"/>
        </w:rPr>
        <w:t>B</w:t>
      </w:r>
      <w:r w:rsidRPr="00D836E9">
        <w:rPr>
          <w:i/>
          <w:color w:val="000000" w:themeColor="text1"/>
          <w:vertAlign w:val="superscript"/>
          <w:lang w:val="en-US"/>
        </w:rPr>
        <w:t>G</w:t>
      </w:r>
      <w:r w:rsidRPr="0043046D">
        <w:rPr>
          <w:color w:val="000000" w:themeColor="text1"/>
          <w:lang w:val="en-US"/>
        </w:rPr>
        <w:t xml:space="preserve"> := </w:t>
      </w:r>
      <w:r>
        <w:rPr>
          <w:i/>
          <w:color w:val="000000" w:themeColor="text1"/>
          <w:lang w:val="en-US"/>
        </w:rPr>
        <w:t>B</w:t>
      </w:r>
      <w:r w:rsidRPr="00D836E9">
        <w:rPr>
          <w:i/>
          <w:color w:val="000000" w:themeColor="text1"/>
          <w:vertAlign w:val="superscript"/>
          <w:lang w:val="en-US"/>
        </w:rPr>
        <w:t>G</w:t>
      </w:r>
      <w:r w:rsidRPr="0043046D">
        <w:rPr>
          <w:color w:val="000000" w:themeColor="text1"/>
          <w:lang w:val="en-US"/>
        </w:rPr>
        <w:t xml:space="preserve"> </w:t>
      </w:r>
      <w:r w:rsidR="00E235A0" w:rsidRPr="00E535E0">
        <w:rPr>
          <w:rFonts w:ascii="Cambria Math" w:eastAsia="Arial Unicode MS" w:hAnsi="Cambria Math" w:cs="Arial Unicode MS"/>
          <w:color w:val="000000" w:themeColor="text1"/>
          <w:lang w:val="en-US"/>
        </w:rPr>
        <w:t>∪</w:t>
      </w:r>
      <w:r w:rsidRPr="008E5E7B">
        <w:rPr>
          <w:color w:val="000000" w:themeColor="text1"/>
          <w:lang w:val="en-US"/>
        </w:rPr>
        <w:t xml:space="preserve"> </w:t>
      </w:r>
      <w:r w:rsidR="006F63AE" w:rsidRPr="008E5E7B">
        <w:rPr>
          <w:color w:val="000000" w:themeColor="text1"/>
          <w:lang w:val="en-US"/>
        </w:rPr>
        <w:t>{</w:t>
      </w:r>
      <w:r>
        <w:rPr>
          <w:i/>
          <w:color w:val="000000" w:themeColor="text1"/>
          <w:lang w:val="en-US"/>
        </w:rPr>
        <w:t>i</w:t>
      </w:r>
      <w:r>
        <w:rPr>
          <w:color w:val="000000" w:themeColor="text1"/>
          <w:lang w:val="en-US"/>
        </w:rPr>
        <w:t>(</w:t>
      </w:r>
      <w:r w:rsidRPr="00AA2A6A">
        <w:rPr>
          <w:i/>
          <w:color w:val="000000" w:themeColor="text1"/>
          <w:lang w:val="en-US"/>
        </w:rPr>
        <w:t>G</w:t>
      </w:r>
      <w:r>
        <w:rPr>
          <w:i/>
          <w:color w:val="000000" w:themeColor="text1"/>
          <w:vertAlign w:val="subscript"/>
          <w:lang w:val="en-US"/>
        </w:rPr>
        <w:t>m</w:t>
      </w:r>
      <w:r>
        <w:rPr>
          <w:color w:val="000000" w:themeColor="text1"/>
          <w:lang w:val="en-US"/>
        </w:rPr>
        <w:t>)</w:t>
      </w:r>
      <w:r w:rsidR="006F63AE">
        <w:rPr>
          <w:color w:val="000000" w:themeColor="text1"/>
          <w:lang w:val="en-US"/>
        </w:rPr>
        <w:t>}</w:t>
      </w:r>
    </w:p>
    <w:p w:rsidR="008B2921" w:rsidRDefault="008B2921" w:rsidP="007C6E09">
      <w:pPr>
        <w:pStyle w:val="Text"/>
        <w:ind w:firstLine="0"/>
        <w:jc w:val="left"/>
        <w:rPr>
          <w:color w:val="000000" w:themeColor="text1"/>
          <w:lang w:val="en-US"/>
        </w:rPr>
      </w:pPr>
      <w:r w:rsidRPr="0043046D">
        <w:rPr>
          <w:color w:val="000000" w:themeColor="text1"/>
          <w:lang w:val="en-US"/>
        </w:rPr>
        <w:t xml:space="preserve">         </w:t>
      </w:r>
      <w:r>
        <w:rPr>
          <w:color w:val="000000" w:themeColor="text1"/>
          <w:lang w:val="en-US"/>
        </w:rPr>
        <w:t>end</w:t>
      </w:r>
    </w:p>
    <w:p w:rsidR="008B2921" w:rsidRPr="0095340D" w:rsidRDefault="008B2921" w:rsidP="007152CF">
      <w:pPr>
        <w:pStyle w:val="Text"/>
        <w:ind w:hanging="369"/>
        <w:jc w:val="left"/>
        <w:rPr>
          <w:color w:val="000000" w:themeColor="text1"/>
          <w:lang w:val="en-US"/>
        </w:rPr>
      </w:pPr>
      <w:r w:rsidRPr="007C6E09">
        <w:rPr>
          <w:sz w:val="16"/>
          <w:szCs w:val="16"/>
          <w:lang w:val="en-US"/>
        </w:rPr>
        <w:t>1</w:t>
      </w:r>
      <w:r w:rsidR="00E9110F" w:rsidRPr="007C6E09">
        <w:rPr>
          <w:sz w:val="16"/>
          <w:szCs w:val="16"/>
          <w:lang w:val="en-US"/>
        </w:rPr>
        <w:t>0</w:t>
      </w:r>
      <w:r w:rsidRPr="0095340D">
        <w:rPr>
          <w:lang w:val="en-US"/>
        </w:rPr>
        <w:tab/>
      </w:r>
      <w:r w:rsidRPr="0095340D">
        <w:rPr>
          <w:color w:val="000000" w:themeColor="text1"/>
          <w:lang w:val="en-US"/>
        </w:rPr>
        <w:t xml:space="preserve">      end</w:t>
      </w:r>
    </w:p>
    <w:p w:rsidR="00C209A0" w:rsidRDefault="00C209A0" w:rsidP="007C6E09">
      <w:pPr>
        <w:pStyle w:val="Text"/>
        <w:ind w:firstLine="0"/>
        <w:jc w:val="left"/>
        <w:rPr>
          <w:color w:val="000000" w:themeColor="text1"/>
          <w:lang w:val="en-US"/>
        </w:rPr>
      </w:pPr>
      <w:r w:rsidRPr="0043046D">
        <w:rPr>
          <w:color w:val="000000" w:themeColor="text1"/>
          <w:lang w:val="en-US"/>
        </w:rPr>
        <w:t xml:space="preserve">      if </w:t>
      </w:r>
      <w:r w:rsidR="008B2921" w:rsidRPr="007C1F6A">
        <w:rPr>
          <w:i/>
          <w:color w:val="000000" w:themeColor="text1"/>
          <w:lang w:val="en-US"/>
        </w:rPr>
        <w:t>k</w:t>
      </w:r>
      <w:r w:rsidR="008B2921" w:rsidRPr="007C1F6A">
        <w:rPr>
          <w:color w:val="000000" w:themeColor="text1"/>
          <w:lang w:val="en-US"/>
        </w:rPr>
        <w:t xml:space="preserve"> = |</w:t>
      </w:r>
      <w:r w:rsidR="008B2921" w:rsidRPr="007C1F6A">
        <w:rPr>
          <w:i/>
          <w:color w:val="000000" w:themeColor="text1"/>
          <w:lang w:val="en-US"/>
        </w:rPr>
        <w:t>B</w:t>
      </w:r>
      <w:r w:rsidR="008B2921" w:rsidRPr="007C1F6A">
        <w:rPr>
          <w:i/>
          <w:color w:val="000000" w:themeColor="text1"/>
          <w:vertAlign w:val="superscript"/>
          <w:lang w:val="en-US"/>
        </w:rPr>
        <w:t>G</w:t>
      </w:r>
      <w:r w:rsidR="008B2921" w:rsidRPr="007C1F6A">
        <w:rPr>
          <w:color w:val="000000" w:themeColor="text1"/>
          <w:lang w:val="en-US"/>
        </w:rPr>
        <w:t>|</w:t>
      </w:r>
    </w:p>
    <w:p w:rsidR="0011668E" w:rsidRPr="0043046D" w:rsidRDefault="0011668E" w:rsidP="000573CA">
      <w:pPr>
        <w:pStyle w:val="Text"/>
        <w:ind w:firstLine="0"/>
        <w:jc w:val="left"/>
        <w:rPr>
          <w:color w:val="000000" w:themeColor="text1"/>
          <w:lang w:val="en-US"/>
        </w:rPr>
      </w:pPr>
      <w:r w:rsidRPr="0043046D">
        <w:rPr>
          <w:color w:val="000000" w:themeColor="text1"/>
          <w:lang w:val="en-US"/>
        </w:rPr>
        <w:t xml:space="preserve">  </w:t>
      </w:r>
      <w:r w:rsidR="00FC45D7" w:rsidRPr="0043046D">
        <w:rPr>
          <w:color w:val="000000" w:themeColor="text1"/>
          <w:lang w:val="en-US"/>
        </w:rPr>
        <w:t xml:space="preserve">   </w:t>
      </w:r>
      <w:r w:rsidRPr="0043046D">
        <w:rPr>
          <w:color w:val="000000" w:themeColor="text1"/>
          <w:lang w:val="en-US"/>
        </w:rPr>
        <w:t xml:space="preserve">    </w:t>
      </w:r>
      <w:r w:rsidR="008B2921">
        <w:rPr>
          <w:i/>
          <w:color w:val="000000" w:themeColor="text1"/>
          <w:lang w:val="en-US"/>
        </w:rPr>
        <w:t>w</w:t>
      </w:r>
      <w:r w:rsidRPr="0043046D">
        <w:rPr>
          <w:color w:val="000000" w:themeColor="text1"/>
          <w:lang w:val="en-US"/>
        </w:rPr>
        <w:t xml:space="preserve"> := </w:t>
      </w:r>
      <w:r w:rsidRPr="0043046D">
        <w:rPr>
          <w:i/>
          <w:color w:val="000000" w:themeColor="text1"/>
          <w:lang w:val="en-US"/>
        </w:rPr>
        <w:t>w</w:t>
      </w:r>
      <w:r w:rsidRPr="0043046D">
        <w:rPr>
          <w:color w:val="000000" w:themeColor="text1"/>
          <w:lang w:val="en-US"/>
        </w:rPr>
        <w:t xml:space="preserve"> + 1</w:t>
      </w:r>
    </w:p>
    <w:p w:rsidR="00EA2FEC" w:rsidRPr="00432C7E" w:rsidRDefault="00FC45D7" w:rsidP="000573CA">
      <w:pPr>
        <w:pStyle w:val="Text"/>
        <w:ind w:left="851" w:hanging="851"/>
        <w:jc w:val="left"/>
        <w:rPr>
          <w:color w:val="000000" w:themeColor="text1"/>
          <w:lang w:val="en-US"/>
        </w:rPr>
      </w:pPr>
      <w:r w:rsidRPr="0043046D">
        <w:rPr>
          <w:color w:val="000000" w:themeColor="text1"/>
          <w:lang w:val="en-US"/>
        </w:rPr>
        <w:t xml:space="preserve">  </w:t>
      </w:r>
      <w:r w:rsidR="00E713D6" w:rsidRPr="0043046D">
        <w:rPr>
          <w:color w:val="000000" w:themeColor="text1"/>
          <w:lang w:val="en-US"/>
        </w:rPr>
        <w:t xml:space="preserve">   </w:t>
      </w:r>
      <w:r w:rsidR="00FF7C39" w:rsidRPr="0043046D">
        <w:rPr>
          <w:color w:val="000000" w:themeColor="text1"/>
          <w:lang w:val="en-US"/>
        </w:rPr>
        <w:t xml:space="preserve"> </w:t>
      </w:r>
      <w:r w:rsidR="00EA2FEC" w:rsidRPr="0043046D">
        <w:rPr>
          <w:color w:val="000000" w:themeColor="text1"/>
          <w:lang w:val="en-US"/>
        </w:rPr>
        <w:t xml:space="preserve">   </w:t>
      </w:r>
      <w:r w:rsidR="00EA2FEC" w:rsidRPr="00432C7E">
        <w:rPr>
          <w:color w:val="000000" w:themeColor="text1"/>
          <w:lang w:val="en-US"/>
        </w:rPr>
        <w:t xml:space="preserve">write </w:t>
      </w:r>
      <w:r w:rsidR="00D676FC">
        <w:rPr>
          <w:color w:val="000000" w:themeColor="text1"/>
          <w:lang w:val="en-US"/>
        </w:rPr>
        <w:t>(</w:t>
      </w:r>
      <w:r w:rsidR="00EA2FEC" w:rsidRPr="00432C7E">
        <w:rPr>
          <w:color w:val="000000" w:themeColor="text1"/>
          <w:lang w:val="en-US"/>
        </w:rPr>
        <w:t>“</w:t>
      </w:r>
      <w:r w:rsidR="00EA2FEC" w:rsidRPr="00432C7E">
        <w:rPr>
          <w:i/>
          <w:color w:val="000000" w:themeColor="text1"/>
          <w:lang w:val="en-US"/>
        </w:rPr>
        <w:t>U</w:t>
      </w:r>
      <w:r w:rsidR="00EA2FEC" w:rsidRPr="00432C7E">
        <w:rPr>
          <w:color w:val="000000" w:themeColor="text1"/>
          <w:lang w:val="en-US"/>
        </w:rPr>
        <w:t>(</w:t>
      </w:r>
      <w:r w:rsidR="00EA2FEC" w:rsidRPr="00432C7E">
        <w:rPr>
          <w:i/>
          <w:color w:val="000000" w:themeColor="text1"/>
          <w:lang w:val="en-US"/>
        </w:rPr>
        <w:t>B</w:t>
      </w:r>
      <w:r w:rsidR="00700247" w:rsidRPr="00700247">
        <w:rPr>
          <w:color w:val="000000" w:themeColor="text1"/>
          <w:lang w:val="en-US"/>
        </w:rPr>
        <w:t>&lt;sub&gt;</w:t>
      </w:r>
      <w:r w:rsidR="006E110A" w:rsidRPr="00432C7E">
        <w:rPr>
          <w:color w:val="000000" w:themeColor="text1"/>
          <w:lang w:val="en-US"/>
        </w:rPr>
        <w:t>”</w:t>
      </w:r>
      <w:r w:rsidR="00700247" w:rsidRPr="00700247">
        <w:rPr>
          <w:color w:val="000000" w:themeColor="text1"/>
          <w:lang w:val="en-US"/>
        </w:rPr>
        <w:t xml:space="preserve"> </w:t>
      </w:r>
      <w:r w:rsidR="00700247" w:rsidRPr="00700247">
        <w:rPr>
          <w:i/>
          <w:color w:val="000000" w:themeColor="text1"/>
          <w:lang w:val="en-US"/>
        </w:rPr>
        <w:t>w</w:t>
      </w:r>
      <w:r w:rsidR="00700247" w:rsidRPr="00700247">
        <w:rPr>
          <w:color w:val="000000" w:themeColor="text1"/>
          <w:lang w:val="en-US"/>
        </w:rPr>
        <w:t xml:space="preserve"> </w:t>
      </w:r>
      <w:r w:rsidR="0088351B" w:rsidRPr="00432C7E">
        <w:rPr>
          <w:color w:val="000000" w:themeColor="text1"/>
          <w:lang w:val="en-US"/>
        </w:rPr>
        <w:t>“</w:t>
      </w:r>
      <w:r w:rsidR="00700247" w:rsidRPr="00700247">
        <w:rPr>
          <w:color w:val="000000" w:themeColor="text1"/>
          <w:lang w:val="en-US"/>
        </w:rPr>
        <w:t>&lt;/sub&gt;</w:t>
      </w:r>
      <w:r w:rsidR="00EA2FEC" w:rsidRPr="00432C7E">
        <w:rPr>
          <w:color w:val="000000" w:themeColor="text1"/>
          <w:lang w:val="en-US"/>
        </w:rPr>
        <w:t>):</w:t>
      </w:r>
      <w:r w:rsidR="00853F46">
        <w:rPr>
          <w:color w:val="000000" w:themeColor="text1"/>
          <w:lang w:val="en-US"/>
        </w:rPr>
        <w:t> </w:t>
      </w:r>
      <w:r w:rsidR="00640FE5" w:rsidRPr="00640FE5">
        <w:rPr>
          <w:lang w:val="en-US"/>
        </w:rPr>
        <w:t>‚</w:t>
      </w:r>
      <w:r w:rsidR="00EA2FEC" w:rsidRPr="00432C7E">
        <w:rPr>
          <w:color w:val="000000" w:themeColor="text1"/>
          <w:lang w:val="en-US"/>
        </w:rPr>
        <w:t xml:space="preserve">” </w:t>
      </w:r>
      <w:r w:rsidR="00EA2FEC" w:rsidRPr="00432C7E">
        <w:rPr>
          <w:i/>
          <w:color w:val="000000" w:themeColor="text1"/>
          <w:lang w:val="en-US"/>
        </w:rPr>
        <w:t>U</w:t>
      </w:r>
      <w:r w:rsidR="00EA2FEC" w:rsidRPr="00432C7E">
        <w:rPr>
          <w:color w:val="000000" w:themeColor="text1"/>
          <w:lang w:val="en-US"/>
        </w:rPr>
        <w:t>(</w:t>
      </w:r>
      <w:r w:rsidR="00EA2FEC" w:rsidRPr="00432C7E">
        <w:rPr>
          <w:i/>
          <w:color w:val="000000" w:themeColor="text1"/>
          <w:lang w:val="en-US"/>
        </w:rPr>
        <w:t>P</w:t>
      </w:r>
      <w:r w:rsidR="00AF5258">
        <w:rPr>
          <w:i/>
          <w:color w:val="000000" w:themeColor="text1"/>
          <w:vertAlign w:val="subscript"/>
          <w:lang w:val="en-US"/>
        </w:rPr>
        <w:t>n</w:t>
      </w:r>
      <w:r w:rsidR="00EA2FEC" w:rsidRPr="00432C7E">
        <w:rPr>
          <w:color w:val="000000" w:themeColor="text1"/>
          <w:lang w:val="en-US"/>
        </w:rPr>
        <w:t>) “</w:t>
      </w:r>
      <w:r w:rsidR="00853F46" w:rsidRPr="00853F46">
        <w:rPr>
          <w:lang w:val="en-US"/>
        </w:rPr>
        <w:t>‘</w:t>
      </w:r>
      <w:r w:rsidR="00EA2FEC" w:rsidRPr="00432C7E">
        <w:rPr>
          <w:color w:val="000000" w:themeColor="text1"/>
          <w:lang w:val="en-US"/>
        </w:rPr>
        <w:t>,</w:t>
      </w:r>
      <w:r w:rsidR="00853F46">
        <w:rPr>
          <w:color w:val="000000" w:themeColor="text1"/>
          <w:lang w:val="en-US"/>
        </w:rPr>
        <w:t> </w:t>
      </w:r>
      <w:r w:rsidR="00EA2FEC" w:rsidRPr="00432C7E">
        <w:rPr>
          <w:i/>
          <w:color w:val="000000" w:themeColor="text1"/>
          <w:lang w:val="en-US"/>
        </w:rPr>
        <w:t>V</w:t>
      </w:r>
      <w:r w:rsidR="00EA2FEC" w:rsidRPr="00432C7E">
        <w:rPr>
          <w:color w:val="000000" w:themeColor="text1"/>
          <w:lang w:val="en-US"/>
        </w:rPr>
        <w:t>(</w:t>
      </w:r>
      <w:r w:rsidR="00EA2FEC" w:rsidRPr="00432C7E">
        <w:rPr>
          <w:i/>
          <w:color w:val="000000" w:themeColor="text1"/>
          <w:lang w:val="en-US"/>
        </w:rPr>
        <w:t>B</w:t>
      </w:r>
      <w:r w:rsidR="00700247" w:rsidRPr="00700247">
        <w:rPr>
          <w:color w:val="000000" w:themeColor="text1"/>
          <w:lang w:val="en-US"/>
        </w:rPr>
        <w:t>&lt;sub&gt;</w:t>
      </w:r>
      <w:r w:rsidR="0088351B" w:rsidRPr="00432C7E">
        <w:rPr>
          <w:color w:val="000000" w:themeColor="text1"/>
          <w:lang w:val="en-US"/>
        </w:rPr>
        <w:t>”</w:t>
      </w:r>
      <w:r w:rsidR="00700247" w:rsidRPr="00700247">
        <w:rPr>
          <w:color w:val="000000" w:themeColor="text1"/>
          <w:lang w:val="en-US"/>
        </w:rPr>
        <w:t xml:space="preserve"> </w:t>
      </w:r>
      <w:r w:rsidR="00700247" w:rsidRPr="00700247">
        <w:rPr>
          <w:i/>
          <w:color w:val="000000" w:themeColor="text1"/>
          <w:lang w:val="en-US"/>
        </w:rPr>
        <w:t>w</w:t>
      </w:r>
      <w:r w:rsidR="00700247" w:rsidRPr="00700247">
        <w:rPr>
          <w:color w:val="000000" w:themeColor="text1"/>
          <w:lang w:val="en-US"/>
        </w:rPr>
        <w:t xml:space="preserve"> </w:t>
      </w:r>
      <w:r w:rsidR="0088351B" w:rsidRPr="00432C7E">
        <w:rPr>
          <w:color w:val="000000" w:themeColor="text1"/>
          <w:lang w:val="en-US"/>
        </w:rPr>
        <w:t>“</w:t>
      </w:r>
      <w:r w:rsidR="00700247" w:rsidRPr="00700247">
        <w:rPr>
          <w:color w:val="000000" w:themeColor="text1"/>
          <w:lang w:val="en-US"/>
        </w:rPr>
        <w:t>&lt;/sub&gt;</w:t>
      </w:r>
      <w:r w:rsidR="00EA2FEC" w:rsidRPr="00432C7E">
        <w:rPr>
          <w:color w:val="000000" w:themeColor="text1"/>
          <w:lang w:val="en-US"/>
        </w:rPr>
        <w:t>):</w:t>
      </w:r>
      <w:r w:rsidR="00853F46">
        <w:rPr>
          <w:color w:val="000000" w:themeColor="text1"/>
          <w:lang w:val="en-US"/>
        </w:rPr>
        <w:t> </w:t>
      </w:r>
      <w:r w:rsidR="00640FE5" w:rsidRPr="00640FE5">
        <w:rPr>
          <w:lang w:val="en-US"/>
        </w:rPr>
        <w:t>‚</w:t>
      </w:r>
      <w:r w:rsidR="00EA2FEC" w:rsidRPr="00432C7E">
        <w:rPr>
          <w:color w:val="000000" w:themeColor="text1"/>
          <w:lang w:val="en-US"/>
        </w:rPr>
        <w:t xml:space="preserve">” </w:t>
      </w:r>
      <w:r w:rsidR="00EA2FEC" w:rsidRPr="00432C7E">
        <w:rPr>
          <w:i/>
          <w:color w:val="000000" w:themeColor="text1"/>
          <w:lang w:val="en-US"/>
        </w:rPr>
        <w:t>V</w:t>
      </w:r>
      <w:r w:rsidR="00EA2FEC" w:rsidRPr="00432C7E">
        <w:rPr>
          <w:color w:val="000000" w:themeColor="text1"/>
          <w:lang w:val="en-US"/>
        </w:rPr>
        <w:t>(</w:t>
      </w:r>
      <w:r w:rsidR="00EA2FEC" w:rsidRPr="00432C7E">
        <w:rPr>
          <w:i/>
          <w:color w:val="000000" w:themeColor="text1"/>
          <w:lang w:val="en-US"/>
        </w:rPr>
        <w:t>P</w:t>
      </w:r>
      <w:r w:rsidR="00AF5258">
        <w:rPr>
          <w:i/>
          <w:color w:val="000000" w:themeColor="text1"/>
          <w:vertAlign w:val="subscript"/>
          <w:lang w:val="en-US"/>
        </w:rPr>
        <w:t>n</w:t>
      </w:r>
      <w:r w:rsidR="00EA2FEC" w:rsidRPr="00432C7E">
        <w:rPr>
          <w:color w:val="000000" w:themeColor="text1"/>
          <w:lang w:val="en-US"/>
        </w:rPr>
        <w:t>) “</w:t>
      </w:r>
      <w:r w:rsidR="00853F46" w:rsidRPr="00853F46">
        <w:rPr>
          <w:lang w:val="en-US"/>
        </w:rPr>
        <w:t>‘</w:t>
      </w:r>
      <w:r w:rsidR="00EA2FEC" w:rsidRPr="00432C7E">
        <w:rPr>
          <w:color w:val="000000" w:themeColor="text1"/>
          <w:lang w:val="en-US"/>
        </w:rPr>
        <w:t>,</w:t>
      </w:r>
      <w:r w:rsidR="00853F46">
        <w:rPr>
          <w:color w:val="000000" w:themeColor="text1"/>
          <w:lang w:val="en-US"/>
        </w:rPr>
        <w:t> </w:t>
      </w:r>
      <w:r w:rsidR="00EA2FEC" w:rsidRPr="00432C7E">
        <w:rPr>
          <w:i/>
          <w:color w:val="000000" w:themeColor="text1"/>
          <w:lang w:val="en-US"/>
        </w:rPr>
        <w:t>w</w:t>
      </w:r>
      <w:r w:rsidR="00EA2FEC" w:rsidRPr="00432C7E">
        <w:rPr>
          <w:color w:val="000000" w:themeColor="text1"/>
          <w:lang w:val="en-US"/>
        </w:rPr>
        <w:t>(</w:t>
      </w:r>
      <w:r w:rsidR="00EA2FEC" w:rsidRPr="00432C7E">
        <w:rPr>
          <w:i/>
          <w:color w:val="000000" w:themeColor="text1"/>
          <w:lang w:val="en-US"/>
        </w:rPr>
        <w:t>B</w:t>
      </w:r>
      <w:r w:rsidR="00700247" w:rsidRPr="00700247">
        <w:rPr>
          <w:color w:val="000000" w:themeColor="text1"/>
          <w:lang w:val="en-US"/>
        </w:rPr>
        <w:t>&lt;sub&gt;</w:t>
      </w:r>
      <w:r w:rsidR="0088351B" w:rsidRPr="00432C7E">
        <w:rPr>
          <w:color w:val="000000" w:themeColor="text1"/>
          <w:lang w:val="en-US"/>
        </w:rPr>
        <w:t>”</w:t>
      </w:r>
      <w:r w:rsidR="00700247" w:rsidRPr="00700247">
        <w:rPr>
          <w:color w:val="000000" w:themeColor="text1"/>
          <w:lang w:val="en-US"/>
        </w:rPr>
        <w:t xml:space="preserve"> </w:t>
      </w:r>
      <w:r w:rsidR="00700247" w:rsidRPr="00700247">
        <w:rPr>
          <w:i/>
          <w:color w:val="000000" w:themeColor="text1"/>
          <w:lang w:val="en-US"/>
        </w:rPr>
        <w:t>w</w:t>
      </w:r>
      <w:r w:rsidR="00700247" w:rsidRPr="00700247">
        <w:rPr>
          <w:color w:val="000000" w:themeColor="text1"/>
          <w:lang w:val="en-US"/>
        </w:rPr>
        <w:t xml:space="preserve"> </w:t>
      </w:r>
      <w:r w:rsidR="0088351B" w:rsidRPr="00432C7E">
        <w:rPr>
          <w:color w:val="000000" w:themeColor="text1"/>
          <w:lang w:val="en-US"/>
        </w:rPr>
        <w:t>“</w:t>
      </w:r>
      <w:r w:rsidR="00700247" w:rsidRPr="00700247">
        <w:rPr>
          <w:color w:val="000000" w:themeColor="text1"/>
          <w:lang w:val="en-US"/>
        </w:rPr>
        <w:t>&lt;/sub&gt;</w:t>
      </w:r>
      <w:r w:rsidR="00853F46">
        <w:rPr>
          <w:color w:val="000000" w:themeColor="text1"/>
          <w:lang w:val="en-US"/>
        </w:rPr>
        <w:t>): </w:t>
      </w:r>
      <w:r w:rsidR="00EA2FEC" w:rsidRPr="00432C7E">
        <w:rPr>
          <w:color w:val="000000" w:themeColor="text1"/>
          <w:lang w:val="en-US"/>
        </w:rPr>
        <w:t xml:space="preserve">” </w:t>
      </w:r>
      <w:r w:rsidR="006067B5">
        <w:rPr>
          <w:i/>
          <w:color w:val="000000" w:themeColor="text1"/>
          <w:lang w:val="en-US"/>
        </w:rPr>
        <w:t>w</w:t>
      </w:r>
      <w:r w:rsidR="00EA2FEC" w:rsidRPr="00432C7E">
        <w:rPr>
          <w:color w:val="000000" w:themeColor="text1"/>
          <w:lang w:val="en-US"/>
        </w:rPr>
        <w:t>(</w:t>
      </w:r>
      <w:r w:rsidR="00EA2FEC" w:rsidRPr="00432C7E">
        <w:rPr>
          <w:i/>
          <w:color w:val="000000" w:themeColor="text1"/>
          <w:lang w:val="en-US"/>
        </w:rPr>
        <w:t>P</w:t>
      </w:r>
      <w:r w:rsidR="00AF5258">
        <w:rPr>
          <w:i/>
          <w:color w:val="000000" w:themeColor="text1"/>
          <w:vertAlign w:val="subscript"/>
          <w:lang w:val="en-US"/>
        </w:rPr>
        <w:t>n</w:t>
      </w:r>
      <w:r w:rsidR="00EA2FEC" w:rsidRPr="00432C7E">
        <w:rPr>
          <w:color w:val="000000" w:themeColor="text1"/>
          <w:lang w:val="en-US"/>
        </w:rPr>
        <w:t>) “,</w:t>
      </w:r>
      <w:r w:rsidR="00853F46">
        <w:rPr>
          <w:color w:val="000000" w:themeColor="text1"/>
          <w:lang w:val="en-US"/>
        </w:rPr>
        <w:t> </w:t>
      </w:r>
      <w:r w:rsidR="00EA2FEC" w:rsidRPr="00432C7E">
        <w:rPr>
          <w:i/>
          <w:color w:val="000000" w:themeColor="text1"/>
          <w:lang w:val="en-US"/>
        </w:rPr>
        <w:t>p</w:t>
      </w:r>
      <w:r w:rsidR="00EA2FEC" w:rsidRPr="00432C7E">
        <w:rPr>
          <w:color w:val="000000" w:themeColor="text1"/>
          <w:lang w:val="en-US"/>
        </w:rPr>
        <w:t>(</w:t>
      </w:r>
      <w:r w:rsidR="00EA2FEC" w:rsidRPr="00432C7E">
        <w:rPr>
          <w:i/>
          <w:color w:val="000000" w:themeColor="text1"/>
          <w:lang w:val="en-US"/>
        </w:rPr>
        <w:t>B</w:t>
      </w:r>
      <w:r w:rsidR="00700247" w:rsidRPr="00700247">
        <w:rPr>
          <w:color w:val="000000" w:themeColor="text1"/>
          <w:lang w:val="en-US"/>
        </w:rPr>
        <w:t>&lt;sub&gt;</w:t>
      </w:r>
      <w:r w:rsidR="0088351B" w:rsidRPr="00432C7E">
        <w:rPr>
          <w:color w:val="000000" w:themeColor="text1"/>
          <w:lang w:val="en-US"/>
        </w:rPr>
        <w:t>”</w:t>
      </w:r>
      <w:r w:rsidR="00700247" w:rsidRPr="00700247">
        <w:rPr>
          <w:color w:val="000000" w:themeColor="text1"/>
          <w:lang w:val="en-US"/>
        </w:rPr>
        <w:t xml:space="preserve"> </w:t>
      </w:r>
      <w:r w:rsidR="00700247" w:rsidRPr="00700247">
        <w:rPr>
          <w:i/>
          <w:color w:val="000000" w:themeColor="text1"/>
          <w:lang w:val="en-US"/>
        </w:rPr>
        <w:t>w</w:t>
      </w:r>
      <w:r w:rsidR="00700247" w:rsidRPr="00700247">
        <w:rPr>
          <w:color w:val="000000" w:themeColor="text1"/>
          <w:lang w:val="en-US"/>
        </w:rPr>
        <w:t xml:space="preserve"> </w:t>
      </w:r>
      <w:r w:rsidR="0088351B" w:rsidRPr="00432C7E">
        <w:rPr>
          <w:color w:val="000000" w:themeColor="text1"/>
          <w:lang w:val="en-US"/>
        </w:rPr>
        <w:t>“</w:t>
      </w:r>
      <w:r w:rsidR="00700247" w:rsidRPr="00700247">
        <w:rPr>
          <w:color w:val="000000" w:themeColor="text1"/>
          <w:lang w:val="en-US"/>
        </w:rPr>
        <w:t>&lt;/sub&gt;</w:t>
      </w:r>
      <w:r w:rsidR="00853F46">
        <w:rPr>
          <w:color w:val="000000" w:themeColor="text1"/>
          <w:lang w:val="en-US"/>
        </w:rPr>
        <w:t>): </w:t>
      </w:r>
      <w:r w:rsidR="00EA2FEC" w:rsidRPr="00432C7E">
        <w:rPr>
          <w:color w:val="000000" w:themeColor="text1"/>
          <w:lang w:val="en-US"/>
        </w:rPr>
        <w:t xml:space="preserve">” </w:t>
      </w:r>
      <w:r w:rsidR="006067B5">
        <w:rPr>
          <w:i/>
          <w:color w:val="000000" w:themeColor="text1"/>
          <w:lang w:val="en-US"/>
        </w:rPr>
        <w:t>p</w:t>
      </w:r>
      <w:r w:rsidR="00EA2FEC" w:rsidRPr="00432C7E">
        <w:rPr>
          <w:color w:val="000000" w:themeColor="text1"/>
          <w:lang w:val="en-US"/>
        </w:rPr>
        <w:t>(</w:t>
      </w:r>
      <w:r w:rsidR="00EA2FEC" w:rsidRPr="00432C7E">
        <w:rPr>
          <w:i/>
          <w:color w:val="000000" w:themeColor="text1"/>
          <w:lang w:val="en-US"/>
        </w:rPr>
        <w:t>P</w:t>
      </w:r>
      <w:r w:rsidR="00AF5258">
        <w:rPr>
          <w:i/>
          <w:color w:val="000000" w:themeColor="text1"/>
          <w:vertAlign w:val="subscript"/>
          <w:lang w:val="en-US"/>
        </w:rPr>
        <w:t>n</w:t>
      </w:r>
      <w:r w:rsidR="00EA2FEC" w:rsidRPr="00432C7E">
        <w:rPr>
          <w:color w:val="000000" w:themeColor="text1"/>
          <w:lang w:val="en-US"/>
        </w:rPr>
        <w:t xml:space="preserve">) </w:t>
      </w:r>
      <w:r w:rsidR="0088351B" w:rsidRPr="00432C7E">
        <w:rPr>
          <w:color w:val="000000" w:themeColor="text1"/>
          <w:lang w:val="en-US"/>
        </w:rPr>
        <w:t>“</w:t>
      </w:r>
      <w:r w:rsidR="00EA2FEC" w:rsidRPr="00432C7E">
        <w:rPr>
          <w:color w:val="000000" w:themeColor="text1"/>
          <w:lang w:val="en-US"/>
        </w:rPr>
        <w:t>&lt;</w:t>
      </w:r>
      <w:r w:rsidR="00591948">
        <w:rPr>
          <w:color w:val="000000" w:themeColor="text1"/>
          <w:lang w:val="en-US"/>
        </w:rPr>
        <w:t>br</w:t>
      </w:r>
      <w:r w:rsidR="00EA2FEC" w:rsidRPr="00432C7E">
        <w:rPr>
          <w:color w:val="000000" w:themeColor="text1"/>
          <w:lang w:val="en-US"/>
        </w:rPr>
        <w:t>&gt;</w:t>
      </w:r>
      <w:r w:rsidR="0088351B" w:rsidRPr="00432C7E">
        <w:rPr>
          <w:color w:val="000000" w:themeColor="text1"/>
          <w:lang w:val="en-US"/>
        </w:rPr>
        <w:t>”</w:t>
      </w:r>
      <w:r w:rsidR="00D676FC">
        <w:rPr>
          <w:color w:val="000000" w:themeColor="text1"/>
          <w:lang w:val="en-US"/>
        </w:rPr>
        <w:t>)</w:t>
      </w:r>
    </w:p>
    <w:p w:rsidR="0010463E" w:rsidRPr="007F565F" w:rsidRDefault="0010463E" w:rsidP="007C6E09">
      <w:pPr>
        <w:pStyle w:val="Text"/>
        <w:ind w:firstLine="0"/>
        <w:jc w:val="left"/>
        <w:rPr>
          <w:color w:val="000000" w:themeColor="text1"/>
          <w:lang w:val="en-US"/>
        </w:rPr>
      </w:pPr>
      <w:r w:rsidRPr="00C06F76">
        <w:rPr>
          <w:color w:val="000000" w:themeColor="text1"/>
          <w:lang w:val="en-US"/>
        </w:rPr>
        <w:t xml:space="preserve">     </w:t>
      </w:r>
      <w:r w:rsidR="00E713D6" w:rsidRPr="00C06F76">
        <w:rPr>
          <w:color w:val="000000" w:themeColor="text1"/>
          <w:lang w:val="en-US"/>
        </w:rPr>
        <w:t xml:space="preserve">   </w:t>
      </w:r>
      <w:r w:rsidRPr="00C06F76">
        <w:rPr>
          <w:color w:val="000000" w:themeColor="text1"/>
          <w:lang w:val="en-US"/>
        </w:rPr>
        <w:t xml:space="preserve"> </w:t>
      </w:r>
      <w:r w:rsidRPr="008E5E7B">
        <w:rPr>
          <w:i/>
          <w:color w:val="000000" w:themeColor="text1"/>
          <w:lang w:val="en-US"/>
        </w:rPr>
        <w:t>G</w:t>
      </w:r>
      <w:r w:rsidRPr="008E5E7B">
        <w:rPr>
          <w:color w:val="000000" w:themeColor="text1"/>
          <w:lang w:val="en-US"/>
        </w:rPr>
        <w:t xml:space="preserve"> := </w:t>
      </w:r>
      <w:r w:rsidRPr="008E5E7B">
        <w:rPr>
          <w:i/>
          <w:color w:val="000000" w:themeColor="text1"/>
          <w:lang w:val="en-US"/>
        </w:rPr>
        <w:t>G</w:t>
      </w:r>
      <w:r w:rsidRPr="008E5E7B">
        <w:rPr>
          <w:color w:val="000000" w:themeColor="text1"/>
          <w:lang w:val="en-US"/>
        </w:rPr>
        <w:t xml:space="preserve"> </w:t>
      </w:r>
      <w:r w:rsidR="00E235A0" w:rsidRPr="008E5E7B">
        <w:rPr>
          <w:rFonts w:ascii="Cambria Math" w:eastAsia="Arial Unicode MS" w:hAnsi="Cambria Math" w:cs="Arial Unicode MS"/>
          <w:color w:val="000000" w:themeColor="text1"/>
          <w:lang w:val="en-US"/>
        </w:rPr>
        <w:t>∪</w:t>
      </w:r>
      <w:r w:rsidR="006F63AE" w:rsidRPr="008E5E7B">
        <w:rPr>
          <w:color w:val="000000" w:themeColor="text1"/>
          <w:lang w:val="en-US"/>
        </w:rPr>
        <w:t xml:space="preserve"> {</w:t>
      </w:r>
      <w:r w:rsidR="00956D11" w:rsidRPr="008E5E7B">
        <w:rPr>
          <w:color w:val="000000" w:themeColor="text1"/>
          <w:lang w:val="en-US"/>
        </w:rPr>
        <w:t>&lt;</w:t>
      </w:r>
      <w:r w:rsidR="00956D11" w:rsidRPr="008E5E7B">
        <w:rPr>
          <w:i/>
          <w:color w:val="000000" w:themeColor="text1"/>
          <w:lang w:val="en-US"/>
        </w:rPr>
        <w:t>P</w:t>
      </w:r>
      <w:r w:rsidR="00AF5258" w:rsidRPr="008E5E7B">
        <w:rPr>
          <w:i/>
          <w:color w:val="000000" w:themeColor="text1"/>
          <w:vertAlign w:val="subscript"/>
          <w:lang w:val="en-US"/>
        </w:rPr>
        <w:t>n</w:t>
      </w:r>
      <w:r w:rsidR="00956D11" w:rsidRPr="008E5E7B">
        <w:rPr>
          <w:color w:val="000000" w:themeColor="text1"/>
          <w:lang w:val="en-US"/>
        </w:rPr>
        <w:t xml:space="preserve">, </w:t>
      </w:r>
      <w:r w:rsidR="00A831A5" w:rsidRPr="008E5E7B">
        <w:rPr>
          <w:color w:val="000000" w:themeColor="text1"/>
          <w:lang w:val="en-US"/>
        </w:rPr>
        <w:t xml:space="preserve">“B”, </w:t>
      </w:r>
      <w:r w:rsidR="00956D11" w:rsidRPr="008E5E7B">
        <w:rPr>
          <w:i/>
          <w:color w:val="000000" w:themeColor="text1"/>
          <w:lang w:val="en-US"/>
        </w:rPr>
        <w:t>w</w:t>
      </w:r>
      <w:r w:rsidR="00956D11" w:rsidRPr="008E5E7B">
        <w:rPr>
          <w:color w:val="000000" w:themeColor="text1"/>
          <w:lang w:val="en-US"/>
        </w:rPr>
        <w:t>&gt;</w:t>
      </w:r>
      <w:r w:rsidR="006F63AE" w:rsidRPr="008E5E7B">
        <w:rPr>
          <w:color w:val="000000" w:themeColor="text1"/>
          <w:lang w:val="en-US"/>
        </w:rPr>
        <w:t>}</w:t>
      </w:r>
    </w:p>
    <w:p w:rsidR="00A831A5" w:rsidRPr="007F565F" w:rsidRDefault="00A831A5" w:rsidP="007152CF">
      <w:pPr>
        <w:pStyle w:val="Text"/>
        <w:ind w:hanging="369"/>
        <w:jc w:val="left"/>
        <w:rPr>
          <w:color w:val="000000" w:themeColor="text1"/>
          <w:lang w:val="en-US"/>
        </w:rPr>
      </w:pPr>
      <w:r w:rsidRPr="000573CA">
        <w:rPr>
          <w:sz w:val="16"/>
          <w:szCs w:val="16"/>
          <w:lang w:val="en-US"/>
        </w:rPr>
        <w:t>15</w:t>
      </w:r>
      <w:r w:rsidRPr="007F565F">
        <w:rPr>
          <w:lang w:val="en-US"/>
        </w:rPr>
        <w:tab/>
      </w:r>
      <w:r w:rsidRPr="007F565F">
        <w:rPr>
          <w:color w:val="000000" w:themeColor="text1"/>
          <w:lang w:val="en-US"/>
        </w:rPr>
        <w:t xml:space="preserve">      end</w:t>
      </w:r>
    </w:p>
    <w:p w:rsidR="00FF7C39" w:rsidRPr="007F565F" w:rsidRDefault="00FF7C39" w:rsidP="007C6E09">
      <w:pPr>
        <w:pStyle w:val="Text"/>
        <w:ind w:firstLine="0"/>
        <w:jc w:val="left"/>
        <w:rPr>
          <w:color w:val="000000" w:themeColor="text1"/>
          <w:lang w:val="en-US"/>
        </w:rPr>
      </w:pPr>
      <w:r w:rsidRPr="007F565F">
        <w:rPr>
          <w:color w:val="000000" w:themeColor="text1"/>
          <w:lang w:val="en-US"/>
        </w:rPr>
        <w:t xml:space="preserve">   end</w:t>
      </w:r>
    </w:p>
    <w:p w:rsidR="0011668E" w:rsidRPr="007F565F" w:rsidRDefault="0011668E" w:rsidP="007C6E09">
      <w:pPr>
        <w:pStyle w:val="Text"/>
        <w:ind w:firstLine="0"/>
        <w:jc w:val="left"/>
        <w:rPr>
          <w:color w:val="000000" w:themeColor="text1"/>
          <w:lang w:val="en-US"/>
        </w:rPr>
      </w:pPr>
      <w:r w:rsidRPr="007F565F">
        <w:rPr>
          <w:color w:val="000000" w:themeColor="text1"/>
          <w:lang w:val="en-US"/>
        </w:rPr>
        <w:t xml:space="preserve">   for </w:t>
      </w:r>
      <w:r w:rsidR="00AF5258" w:rsidRPr="007F565F">
        <w:rPr>
          <w:i/>
          <w:color w:val="000000" w:themeColor="text1"/>
          <w:lang w:val="en-US"/>
        </w:rPr>
        <w:t>n</w:t>
      </w:r>
      <w:r w:rsidRPr="007F565F">
        <w:rPr>
          <w:color w:val="000000" w:themeColor="text1"/>
          <w:lang w:val="en-US"/>
        </w:rPr>
        <w:t xml:space="preserve"> := 1 to |</w:t>
      </w:r>
      <w:r w:rsidRPr="007F565F">
        <w:rPr>
          <w:i/>
          <w:color w:val="000000" w:themeColor="text1"/>
          <w:lang w:val="en-US"/>
        </w:rPr>
        <w:t>Q</w:t>
      </w:r>
      <w:r w:rsidRPr="007F565F">
        <w:rPr>
          <w:color w:val="000000" w:themeColor="text1"/>
          <w:lang w:val="en-US"/>
        </w:rPr>
        <w:t>|</w:t>
      </w:r>
    </w:p>
    <w:p w:rsidR="004C1F33" w:rsidRPr="007F565F" w:rsidRDefault="004C1F33" w:rsidP="007C6E09">
      <w:pPr>
        <w:pStyle w:val="Text"/>
        <w:ind w:firstLine="0"/>
        <w:jc w:val="left"/>
        <w:rPr>
          <w:color w:val="000000" w:themeColor="text1"/>
          <w:lang w:val="en-US"/>
        </w:rPr>
      </w:pPr>
      <w:r w:rsidRPr="007F565F">
        <w:rPr>
          <w:color w:val="000000" w:themeColor="text1"/>
          <w:lang w:val="en-US"/>
        </w:rPr>
        <w:t xml:space="preserve">      </w:t>
      </w:r>
      <w:r w:rsidRPr="007F565F">
        <w:rPr>
          <w:i/>
          <w:color w:val="000000" w:themeColor="text1"/>
          <w:lang w:val="en-US"/>
        </w:rPr>
        <w:t>k</w:t>
      </w:r>
      <w:r w:rsidRPr="007F565F">
        <w:rPr>
          <w:color w:val="000000" w:themeColor="text1"/>
          <w:lang w:val="en-US"/>
        </w:rPr>
        <w:t xml:space="preserve"> := |</w:t>
      </w:r>
      <w:r w:rsidRPr="007F565F">
        <w:rPr>
          <w:i/>
          <w:color w:val="000000" w:themeColor="text1"/>
          <w:lang w:val="en-US"/>
        </w:rPr>
        <w:t>Er</w:t>
      </w:r>
      <w:r w:rsidRPr="007F565F">
        <w:rPr>
          <w:i/>
          <w:color w:val="000000" w:themeColor="text1"/>
          <w:vertAlign w:val="superscript"/>
          <w:lang w:val="en-US"/>
        </w:rPr>
        <w:t>G</w:t>
      </w:r>
      <w:r w:rsidRPr="007F565F">
        <w:rPr>
          <w:color w:val="000000" w:themeColor="text1"/>
          <w:lang w:val="en-US"/>
        </w:rPr>
        <w:t>|</w:t>
      </w:r>
      <w:r w:rsidR="00304C42" w:rsidRPr="007F565F">
        <w:rPr>
          <w:color w:val="000000" w:themeColor="text1"/>
          <w:lang w:val="en-US"/>
        </w:rPr>
        <w:t xml:space="preserve"> + |</w:t>
      </w:r>
      <w:r w:rsidR="00304C42" w:rsidRPr="007F565F">
        <w:rPr>
          <w:i/>
          <w:color w:val="000000" w:themeColor="text1"/>
          <w:lang w:val="en-US"/>
        </w:rPr>
        <w:t>Er</w:t>
      </w:r>
      <w:r w:rsidR="00304C42" w:rsidRPr="007F565F">
        <w:rPr>
          <w:color w:val="000000" w:themeColor="text1"/>
          <w:vertAlign w:val="subscript"/>
          <w:lang w:val="en-US"/>
        </w:rPr>
        <w:t>(f)</w:t>
      </w:r>
      <w:r w:rsidR="00304C42" w:rsidRPr="007F565F">
        <w:rPr>
          <w:i/>
          <w:color w:val="000000" w:themeColor="text1"/>
          <w:vertAlign w:val="superscript"/>
          <w:lang w:val="en-US"/>
        </w:rPr>
        <w:t>G</w:t>
      </w:r>
      <w:r w:rsidR="00304C42" w:rsidRPr="007F565F">
        <w:rPr>
          <w:color w:val="000000" w:themeColor="text1"/>
          <w:lang w:val="en-US"/>
        </w:rPr>
        <w:t>|</w:t>
      </w:r>
    </w:p>
    <w:p w:rsidR="0068628C" w:rsidRPr="00557C80" w:rsidRDefault="0068628C" w:rsidP="007C6E09">
      <w:pPr>
        <w:pStyle w:val="Text"/>
        <w:ind w:firstLine="0"/>
        <w:jc w:val="left"/>
        <w:rPr>
          <w:color w:val="000000" w:themeColor="text1"/>
          <w:lang w:val="en-US"/>
        </w:rPr>
      </w:pPr>
      <w:r w:rsidRPr="007F565F">
        <w:rPr>
          <w:color w:val="000000" w:themeColor="text1"/>
          <w:lang w:val="en-US"/>
        </w:rPr>
        <w:t xml:space="preserve">      </w:t>
      </w:r>
      <w:r w:rsidRPr="00557C80">
        <w:rPr>
          <w:color w:val="000000" w:themeColor="text1"/>
          <w:lang w:val="en-US"/>
        </w:rPr>
        <w:t xml:space="preserve">for </w:t>
      </w:r>
      <w:r w:rsidR="00AF5258" w:rsidRPr="00557C80">
        <w:rPr>
          <w:i/>
          <w:color w:val="000000" w:themeColor="text1"/>
          <w:lang w:val="en-US"/>
        </w:rPr>
        <w:t>m</w:t>
      </w:r>
      <w:r w:rsidRPr="00557C80">
        <w:rPr>
          <w:color w:val="000000" w:themeColor="text1"/>
          <w:lang w:val="en-US"/>
        </w:rPr>
        <w:t xml:space="preserve"> := 1 to |</w:t>
      </w:r>
      <w:r w:rsidRPr="00557C80">
        <w:rPr>
          <w:i/>
          <w:color w:val="000000" w:themeColor="text1"/>
          <w:lang w:val="en-US"/>
        </w:rPr>
        <w:t>G</w:t>
      </w:r>
      <w:r w:rsidRPr="00557C80">
        <w:rPr>
          <w:color w:val="000000" w:themeColor="text1"/>
          <w:lang w:val="en-US"/>
        </w:rPr>
        <w:t>|</w:t>
      </w:r>
    </w:p>
    <w:p w:rsidR="0068628C" w:rsidRPr="00D31490" w:rsidRDefault="00E9110F" w:rsidP="007152CF">
      <w:pPr>
        <w:pStyle w:val="Text"/>
        <w:ind w:hanging="369"/>
        <w:jc w:val="left"/>
        <w:rPr>
          <w:color w:val="000000" w:themeColor="text1"/>
          <w:lang w:val="en-US"/>
        </w:rPr>
      </w:pPr>
      <w:r w:rsidRPr="000573CA">
        <w:rPr>
          <w:sz w:val="16"/>
          <w:szCs w:val="16"/>
          <w:lang w:val="en-US"/>
        </w:rPr>
        <w:t>20</w:t>
      </w:r>
      <w:r w:rsidR="00227971" w:rsidRPr="00D31490">
        <w:rPr>
          <w:lang w:val="en-US"/>
        </w:rPr>
        <w:tab/>
      </w:r>
      <w:r w:rsidR="00227971" w:rsidRPr="00D31490">
        <w:rPr>
          <w:color w:val="000000" w:themeColor="text1"/>
          <w:lang w:val="en-US"/>
        </w:rPr>
        <w:t xml:space="preserve">         if </w:t>
      </w:r>
      <w:r w:rsidR="00D31490" w:rsidRPr="00D31490">
        <w:rPr>
          <w:color w:val="000000" w:themeColor="text1"/>
          <w:lang w:val="en-US"/>
        </w:rPr>
        <w:t>(</w:t>
      </w:r>
      <w:r w:rsidR="00D31490" w:rsidRPr="00D31490">
        <w:rPr>
          <w:i/>
          <w:color w:val="000000" w:themeColor="text1"/>
          <w:lang w:val="en-US"/>
        </w:rPr>
        <w:t>Q</w:t>
      </w:r>
      <w:r w:rsidR="00D31490" w:rsidRPr="00D31490">
        <w:rPr>
          <w:i/>
          <w:color w:val="000000" w:themeColor="text1"/>
          <w:vertAlign w:val="subscript"/>
          <w:lang w:val="en-US"/>
        </w:rPr>
        <w:t>n</w:t>
      </w:r>
      <w:r w:rsidR="00D31490" w:rsidRPr="00D31490">
        <w:rPr>
          <w:color w:val="000000" w:themeColor="text1"/>
          <w:lang w:val="en-US"/>
        </w:rPr>
        <w:t xml:space="preserve"> = </w:t>
      </w:r>
      <w:r w:rsidR="00D31490" w:rsidRPr="00D31490">
        <w:rPr>
          <w:i/>
          <w:color w:val="000000" w:themeColor="text1"/>
          <w:lang w:val="en-US"/>
        </w:rPr>
        <w:t>W</w:t>
      </w:r>
      <w:r w:rsidR="00D31490" w:rsidRPr="00D31490">
        <w:rPr>
          <w:color w:val="000000" w:themeColor="text1"/>
          <w:lang w:val="en-US"/>
        </w:rPr>
        <w:t>(</w:t>
      </w:r>
      <w:r w:rsidR="00D31490" w:rsidRPr="00D31490">
        <w:rPr>
          <w:i/>
          <w:color w:val="000000" w:themeColor="text1"/>
          <w:lang w:val="en-US"/>
        </w:rPr>
        <w:t>G</w:t>
      </w:r>
      <w:r w:rsidR="00D31490" w:rsidRPr="00D31490">
        <w:rPr>
          <w:i/>
          <w:color w:val="000000" w:themeColor="text1"/>
          <w:vertAlign w:val="subscript"/>
          <w:lang w:val="en-US"/>
        </w:rPr>
        <w:t>m</w:t>
      </w:r>
      <w:r w:rsidR="00D31490" w:rsidRPr="00D31490">
        <w:rPr>
          <w:color w:val="000000" w:themeColor="text1"/>
          <w:lang w:val="en-US"/>
        </w:rPr>
        <w:t xml:space="preserve">)) </w:t>
      </w:r>
      <w:r w:rsidR="003B3E92" w:rsidRPr="00D31490">
        <w:rPr>
          <w:rFonts w:ascii="Cambria Math" w:hAnsi="Cambria Math" w:cs="Cambria Math"/>
          <w:color w:val="000000" w:themeColor="text1"/>
          <w:lang w:val="en-US"/>
        </w:rPr>
        <w:t>∧</w:t>
      </w:r>
      <w:r w:rsidR="00FB6EAC" w:rsidRPr="00D31490">
        <w:rPr>
          <w:color w:val="000000" w:themeColor="text1"/>
          <w:lang w:val="en-US"/>
        </w:rPr>
        <w:t xml:space="preserve"> </w:t>
      </w:r>
      <w:r w:rsidR="00D31490" w:rsidRPr="00D31490">
        <w:rPr>
          <w:color w:val="000000" w:themeColor="text1"/>
          <w:lang w:val="en-US"/>
        </w:rPr>
        <w:t>(</w:t>
      </w:r>
      <w:r w:rsidR="00D31490" w:rsidRPr="00D31490">
        <w:rPr>
          <w:i/>
          <w:color w:val="000000" w:themeColor="text1"/>
          <w:lang w:val="en-US"/>
        </w:rPr>
        <w:t>S</w:t>
      </w:r>
      <w:r w:rsidR="00D31490" w:rsidRPr="00D31490">
        <w:rPr>
          <w:color w:val="000000" w:themeColor="text1"/>
          <w:lang w:val="en-US"/>
        </w:rPr>
        <w:t>(</w:t>
      </w:r>
      <w:r w:rsidR="00D31490" w:rsidRPr="00D31490">
        <w:rPr>
          <w:i/>
          <w:color w:val="000000" w:themeColor="text1"/>
          <w:lang w:val="en-US"/>
        </w:rPr>
        <w:t>G</w:t>
      </w:r>
      <w:r w:rsidR="00D31490" w:rsidRPr="00D31490">
        <w:rPr>
          <w:i/>
          <w:color w:val="000000" w:themeColor="text1"/>
          <w:vertAlign w:val="subscript"/>
          <w:lang w:val="en-US"/>
        </w:rPr>
        <w:t>m</w:t>
      </w:r>
      <w:r w:rsidR="00D31490">
        <w:rPr>
          <w:color w:val="000000" w:themeColor="text1"/>
          <w:lang w:val="en-US"/>
        </w:rPr>
        <w:t xml:space="preserve">) = </w:t>
      </w:r>
      <w:r w:rsidR="00D31490" w:rsidRPr="00D31490">
        <w:rPr>
          <w:color w:val="000000" w:themeColor="text1"/>
          <w:lang w:val="en-US"/>
        </w:rPr>
        <w:t>“Er”)</w:t>
      </w:r>
    </w:p>
    <w:p w:rsidR="0068628C" w:rsidRPr="00976F82" w:rsidRDefault="0068628C" w:rsidP="007C6E09">
      <w:pPr>
        <w:pStyle w:val="Text"/>
        <w:ind w:firstLine="0"/>
        <w:jc w:val="left"/>
        <w:rPr>
          <w:color w:val="000000" w:themeColor="text1"/>
          <w:lang w:val="en-US"/>
        </w:rPr>
      </w:pPr>
      <w:r w:rsidRPr="00D31490">
        <w:rPr>
          <w:color w:val="000000" w:themeColor="text1"/>
          <w:lang w:val="en-US"/>
        </w:rPr>
        <w:t xml:space="preserve">            </w:t>
      </w:r>
      <w:r w:rsidR="006C7287" w:rsidRPr="00976F82">
        <w:rPr>
          <w:i/>
          <w:color w:val="000000" w:themeColor="text1"/>
          <w:lang w:val="en-US"/>
        </w:rPr>
        <w:t>Er</w:t>
      </w:r>
      <w:r w:rsidR="006C7287" w:rsidRPr="00976F82">
        <w:rPr>
          <w:i/>
          <w:color w:val="000000" w:themeColor="text1"/>
          <w:vertAlign w:val="superscript"/>
          <w:lang w:val="en-US"/>
        </w:rPr>
        <w:t>G</w:t>
      </w:r>
      <w:r w:rsidRPr="00976F82">
        <w:rPr>
          <w:color w:val="000000" w:themeColor="text1"/>
          <w:lang w:val="en-US"/>
        </w:rPr>
        <w:t xml:space="preserve"> := </w:t>
      </w:r>
      <w:r w:rsidR="006C7287" w:rsidRPr="00976F82">
        <w:rPr>
          <w:i/>
          <w:color w:val="000000" w:themeColor="text1"/>
          <w:lang w:val="en-US"/>
        </w:rPr>
        <w:t>Er</w:t>
      </w:r>
      <w:r w:rsidR="006C7287" w:rsidRPr="00976F82">
        <w:rPr>
          <w:i/>
          <w:color w:val="000000" w:themeColor="text1"/>
          <w:vertAlign w:val="superscript"/>
          <w:lang w:val="en-US"/>
        </w:rPr>
        <w:t>G</w:t>
      </w:r>
      <w:r w:rsidRPr="00976F82">
        <w:rPr>
          <w:color w:val="000000" w:themeColor="text1"/>
          <w:lang w:val="en-US"/>
        </w:rPr>
        <w:t xml:space="preserve"> </w:t>
      </w:r>
      <w:r w:rsidR="00E235A0" w:rsidRPr="00976F82">
        <w:rPr>
          <w:rFonts w:ascii="Cambria Math" w:eastAsia="Arial Unicode MS" w:hAnsi="Cambria Math" w:cs="Arial Unicode MS"/>
          <w:color w:val="000000" w:themeColor="text1"/>
          <w:lang w:val="en-US"/>
        </w:rPr>
        <w:t>∪</w:t>
      </w:r>
      <w:r w:rsidR="00AB1002" w:rsidRPr="00976F82">
        <w:rPr>
          <w:i/>
          <w:color w:val="000000" w:themeColor="text1"/>
          <w:lang w:val="en-US"/>
        </w:rPr>
        <w:t xml:space="preserve"> </w:t>
      </w:r>
      <w:r w:rsidR="006F63AE" w:rsidRPr="00976F82">
        <w:rPr>
          <w:color w:val="000000" w:themeColor="text1"/>
          <w:lang w:val="en-US"/>
        </w:rPr>
        <w:t>{</w:t>
      </w:r>
      <w:r w:rsidR="00D836E9" w:rsidRPr="00976F82">
        <w:rPr>
          <w:i/>
          <w:color w:val="000000" w:themeColor="text1"/>
          <w:lang w:val="en-US"/>
        </w:rPr>
        <w:t>i</w:t>
      </w:r>
      <w:r w:rsidR="006C7287" w:rsidRPr="00976F82">
        <w:rPr>
          <w:color w:val="000000" w:themeColor="text1"/>
          <w:lang w:val="en-US"/>
        </w:rPr>
        <w:t>(</w:t>
      </w:r>
      <w:r w:rsidR="006C7287" w:rsidRPr="00976F82">
        <w:rPr>
          <w:i/>
          <w:color w:val="000000" w:themeColor="text1"/>
          <w:lang w:val="en-US"/>
        </w:rPr>
        <w:t>G</w:t>
      </w:r>
      <w:r w:rsidR="00AF5258" w:rsidRPr="00976F82">
        <w:rPr>
          <w:i/>
          <w:color w:val="000000" w:themeColor="text1"/>
          <w:vertAlign w:val="subscript"/>
          <w:lang w:val="en-US"/>
        </w:rPr>
        <w:t>m</w:t>
      </w:r>
      <w:r w:rsidR="006C7287" w:rsidRPr="00976F82">
        <w:rPr>
          <w:color w:val="000000" w:themeColor="text1"/>
          <w:lang w:val="en-US"/>
        </w:rPr>
        <w:t>)</w:t>
      </w:r>
      <w:r w:rsidR="006F63AE" w:rsidRPr="00976F82">
        <w:rPr>
          <w:color w:val="000000" w:themeColor="text1"/>
          <w:lang w:val="en-US"/>
        </w:rPr>
        <w:t>}</w:t>
      </w:r>
    </w:p>
    <w:p w:rsidR="00F72EA1" w:rsidRDefault="00F72EA1" w:rsidP="007C6E09">
      <w:pPr>
        <w:pStyle w:val="Text"/>
        <w:ind w:firstLine="0"/>
        <w:jc w:val="left"/>
        <w:rPr>
          <w:color w:val="000000" w:themeColor="text1"/>
          <w:lang w:val="en-US"/>
        </w:rPr>
      </w:pPr>
      <w:r w:rsidRPr="00976F82">
        <w:rPr>
          <w:color w:val="000000" w:themeColor="text1"/>
          <w:lang w:val="en-US"/>
        </w:rPr>
        <w:t xml:space="preserve">         </w:t>
      </w:r>
      <w:r>
        <w:rPr>
          <w:color w:val="000000" w:themeColor="text1"/>
          <w:lang w:val="en-US"/>
        </w:rPr>
        <w:t>end</w:t>
      </w:r>
    </w:p>
    <w:p w:rsidR="00A831A5" w:rsidRDefault="00A831A5" w:rsidP="007C6E09">
      <w:pPr>
        <w:pStyle w:val="Text"/>
        <w:ind w:firstLine="0"/>
        <w:jc w:val="left"/>
        <w:rPr>
          <w:color w:val="000000" w:themeColor="text1"/>
          <w:lang w:val="en-US"/>
        </w:rPr>
      </w:pPr>
      <w:r w:rsidRPr="00C24417">
        <w:rPr>
          <w:color w:val="000000" w:themeColor="text1"/>
          <w:lang w:val="en-US"/>
        </w:rPr>
        <w:t xml:space="preserve">         if </w:t>
      </w:r>
      <w:r w:rsidR="00D31490" w:rsidRPr="00C24417">
        <w:rPr>
          <w:color w:val="000000" w:themeColor="text1"/>
          <w:lang w:val="en-US"/>
        </w:rPr>
        <w:t>(</w:t>
      </w:r>
      <w:r w:rsidR="00D31490" w:rsidRPr="00C24417">
        <w:rPr>
          <w:i/>
          <w:color w:val="000000" w:themeColor="text1"/>
          <w:lang w:val="en-US"/>
        </w:rPr>
        <w:t>Q</w:t>
      </w:r>
      <w:r w:rsidR="00D31490" w:rsidRPr="00C24417">
        <w:rPr>
          <w:i/>
          <w:color w:val="000000" w:themeColor="text1"/>
          <w:vertAlign w:val="subscript"/>
          <w:lang w:val="en-US"/>
        </w:rPr>
        <w:t>n</w:t>
      </w:r>
      <w:r w:rsidR="00D31490" w:rsidRPr="00C24417">
        <w:rPr>
          <w:color w:val="000000" w:themeColor="text1"/>
          <w:lang w:val="en-US"/>
        </w:rPr>
        <w:t xml:space="preserve"> = </w:t>
      </w:r>
      <w:r w:rsidR="00D31490" w:rsidRPr="00C24417">
        <w:rPr>
          <w:i/>
          <w:color w:val="000000" w:themeColor="text1"/>
          <w:lang w:val="en-US"/>
        </w:rPr>
        <w:t>W</w:t>
      </w:r>
      <w:r w:rsidR="00D31490" w:rsidRPr="00C24417">
        <w:rPr>
          <w:color w:val="000000" w:themeColor="text1"/>
          <w:lang w:val="en-US"/>
        </w:rPr>
        <w:t>(</w:t>
      </w:r>
      <w:r w:rsidR="00D31490" w:rsidRPr="00C24417">
        <w:rPr>
          <w:i/>
          <w:color w:val="000000" w:themeColor="text1"/>
          <w:lang w:val="en-US"/>
        </w:rPr>
        <w:t>G</w:t>
      </w:r>
      <w:r w:rsidR="00D31490" w:rsidRPr="00C24417">
        <w:rPr>
          <w:i/>
          <w:color w:val="000000" w:themeColor="text1"/>
          <w:vertAlign w:val="subscript"/>
          <w:lang w:val="en-US"/>
        </w:rPr>
        <w:t>m</w:t>
      </w:r>
      <w:r w:rsidR="00D31490" w:rsidRPr="00C24417">
        <w:rPr>
          <w:color w:val="000000" w:themeColor="text1"/>
          <w:lang w:val="en-US"/>
        </w:rPr>
        <w:t>))</w:t>
      </w:r>
      <w:r w:rsidRPr="00C24417">
        <w:rPr>
          <w:color w:val="000000" w:themeColor="text1"/>
          <w:lang w:val="en-US"/>
        </w:rPr>
        <w:t xml:space="preserve"> </w:t>
      </w:r>
      <w:r w:rsidR="003B3E92" w:rsidRPr="00CC5CB4">
        <w:rPr>
          <w:rFonts w:ascii="Cambria Math" w:hAnsi="Cambria Math" w:cs="Cambria Math"/>
          <w:color w:val="000000" w:themeColor="text1"/>
          <w:lang w:val="en-US"/>
        </w:rPr>
        <w:t>∧</w:t>
      </w:r>
      <w:r w:rsidRPr="00C24417">
        <w:rPr>
          <w:color w:val="000000" w:themeColor="text1"/>
          <w:lang w:val="en-US"/>
        </w:rPr>
        <w:t xml:space="preserve"> </w:t>
      </w:r>
      <w:r w:rsidR="00D31490" w:rsidRPr="00C24417">
        <w:rPr>
          <w:color w:val="000000" w:themeColor="text1"/>
          <w:lang w:val="en-US"/>
        </w:rPr>
        <w:t>(</w:t>
      </w:r>
      <w:r w:rsidR="00D31490" w:rsidRPr="00C24417">
        <w:rPr>
          <w:i/>
          <w:color w:val="000000" w:themeColor="text1"/>
          <w:lang w:val="en-US"/>
        </w:rPr>
        <w:t>S</w:t>
      </w:r>
      <w:r w:rsidR="00D31490" w:rsidRPr="00C24417">
        <w:rPr>
          <w:color w:val="000000" w:themeColor="text1"/>
          <w:lang w:val="en-US"/>
        </w:rPr>
        <w:t>(</w:t>
      </w:r>
      <w:r w:rsidR="00D31490" w:rsidRPr="00C24417">
        <w:rPr>
          <w:i/>
          <w:color w:val="000000" w:themeColor="text1"/>
          <w:lang w:val="en-US"/>
        </w:rPr>
        <w:t>G</w:t>
      </w:r>
      <w:r w:rsidR="00D31490" w:rsidRPr="00C24417">
        <w:rPr>
          <w:i/>
          <w:color w:val="000000" w:themeColor="text1"/>
          <w:vertAlign w:val="subscript"/>
          <w:lang w:val="en-US"/>
        </w:rPr>
        <w:t>m</w:t>
      </w:r>
      <w:r w:rsidR="00D31490" w:rsidRPr="00C24417">
        <w:rPr>
          <w:color w:val="000000" w:themeColor="text1"/>
          <w:lang w:val="en-US"/>
        </w:rPr>
        <w:t>) = “Er</w:t>
      </w:r>
      <w:r w:rsidR="00D31490" w:rsidRPr="00C24417">
        <w:rPr>
          <w:color w:val="000000" w:themeColor="text1"/>
          <w:vertAlign w:val="subscript"/>
          <w:lang w:val="en-US"/>
        </w:rPr>
        <w:t>(f)</w:t>
      </w:r>
      <w:r w:rsidR="00D31490" w:rsidRPr="00C24417">
        <w:rPr>
          <w:color w:val="000000" w:themeColor="text1"/>
          <w:lang w:val="en-US"/>
        </w:rPr>
        <w:t>”)</w:t>
      </w:r>
    </w:p>
    <w:p w:rsidR="00C24417" w:rsidRPr="00455138" w:rsidRDefault="00C24417" w:rsidP="007C6E09">
      <w:pPr>
        <w:pStyle w:val="Text"/>
        <w:ind w:firstLine="0"/>
        <w:jc w:val="left"/>
        <w:rPr>
          <w:color w:val="000000" w:themeColor="text1"/>
          <w:lang w:val="en-US"/>
        </w:rPr>
      </w:pPr>
      <w:r w:rsidRPr="005754E6">
        <w:rPr>
          <w:color w:val="000000" w:themeColor="text1"/>
          <w:lang w:val="en-US"/>
        </w:rPr>
        <w:lastRenderedPageBreak/>
        <w:t xml:space="preserve">            </w:t>
      </w:r>
      <w:r w:rsidRPr="00455138">
        <w:rPr>
          <w:i/>
          <w:color w:val="000000" w:themeColor="text1"/>
          <w:lang w:val="en-US"/>
        </w:rPr>
        <w:t>Er</w:t>
      </w:r>
      <w:r w:rsidRPr="00455138">
        <w:rPr>
          <w:color w:val="000000" w:themeColor="text1"/>
          <w:vertAlign w:val="subscript"/>
          <w:lang w:val="en-US"/>
        </w:rPr>
        <w:t>(f)</w:t>
      </w:r>
      <w:r w:rsidRPr="00455138">
        <w:rPr>
          <w:i/>
          <w:color w:val="000000" w:themeColor="text1"/>
          <w:vertAlign w:val="superscript"/>
          <w:lang w:val="en-US"/>
        </w:rPr>
        <w:t>G</w:t>
      </w:r>
      <w:r w:rsidRPr="00455138">
        <w:rPr>
          <w:color w:val="000000" w:themeColor="text1"/>
          <w:lang w:val="en-US"/>
        </w:rPr>
        <w:t xml:space="preserve"> := </w:t>
      </w:r>
      <w:r w:rsidRPr="00455138">
        <w:rPr>
          <w:i/>
          <w:color w:val="000000" w:themeColor="text1"/>
          <w:lang w:val="en-US"/>
        </w:rPr>
        <w:t>Er</w:t>
      </w:r>
      <w:r w:rsidRPr="00455138">
        <w:rPr>
          <w:color w:val="000000" w:themeColor="text1"/>
          <w:vertAlign w:val="subscript"/>
          <w:lang w:val="en-US"/>
        </w:rPr>
        <w:t>(f)</w:t>
      </w:r>
      <w:r w:rsidRPr="00455138">
        <w:rPr>
          <w:i/>
          <w:color w:val="000000" w:themeColor="text1"/>
          <w:vertAlign w:val="superscript"/>
          <w:lang w:val="en-US"/>
        </w:rPr>
        <w:t>G</w:t>
      </w:r>
      <w:r w:rsidRPr="00455138">
        <w:rPr>
          <w:color w:val="000000" w:themeColor="text1"/>
          <w:lang w:val="en-US"/>
        </w:rPr>
        <w:t xml:space="preserve"> </w:t>
      </w:r>
      <w:r w:rsidR="00E235A0" w:rsidRPr="00455138">
        <w:rPr>
          <w:rFonts w:ascii="Cambria Math" w:eastAsia="Arial Unicode MS" w:hAnsi="Cambria Math" w:cs="Arial Unicode MS"/>
          <w:color w:val="000000" w:themeColor="text1"/>
          <w:lang w:val="en-US"/>
        </w:rPr>
        <w:t>∪</w:t>
      </w:r>
      <w:r w:rsidRPr="00455138">
        <w:rPr>
          <w:i/>
          <w:color w:val="000000" w:themeColor="text1"/>
          <w:lang w:val="en-US"/>
        </w:rPr>
        <w:t xml:space="preserve"> </w:t>
      </w:r>
      <w:r w:rsidR="006F63AE" w:rsidRPr="00455138">
        <w:rPr>
          <w:color w:val="000000" w:themeColor="text1"/>
          <w:lang w:val="en-US"/>
        </w:rPr>
        <w:t>{</w:t>
      </w:r>
      <w:r w:rsidRPr="00455138">
        <w:rPr>
          <w:i/>
          <w:color w:val="000000" w:themeColor="text1"/>
          <w:lang w:val="en-US"/>
        </w:rPr>
        <w:t>i</w:t>
      </w:r>
      <w:r w:rsidRPr="00455138">
        <w:rPr>
          <w:color w:val="000000" w:themeColor="text1"/>
          <w:lang w:val="en-US"/>
        </w:rPr>
        <w:t>(</w:t>
      </w:r>
      <w:r w:rsidRPr="00455138">
        <w:rPr>
          <w:i/>
          <w:color w:val="000000" w:themeColor="text1"/>
          <w:lang w:val="en-US"/>
        </w:rPr>
        <w:t>G</w:t>
      </w:r>
      <w:r w:rsidRPr="00455138">
        <w:rPr>
          <w:i/>
          <w:color w:val="000000" w:themeColor="text1"/>
          <w:vertAlign w:val="subscript"/>
          <w:lang w:val="en-US"/>
        </w:rPr>
        <w:t>m</w:t>
      </w:r>
      <w:r w:rsidRPr="00455138">
        <w:rPr>
          <w:color w:val="000000" w:themeColor="text1"/>
          <w:lang w:val="en-US"/>
        </w:rPr>
        <w:t>)</w:t>
      </w:r>
      <w:r w:rsidR="006F63AE" w:rsidRPr="00455138">
        <w:rPr>
          <w:color w:val="000000" w:themeColor="text1"/>
          <w:lang w:val="en-US"/>
        </w:rPr>
        <w:t>}</w:t>
      </w:r>
    </w:p>
    <w:p w:rsidR="000428CF" w:rsidRPr="00245409" w:rsidRDefault="000428CF" w:rsidP="008801FB">
      <w:pPr>
        <w:pStyle w:val="Text"/>
        <w:ind w:hanging="369"/>
        <w:jc w:val="left"/>
        <w:rPr>
          <w:color w:val="000000" w:themeColor="text1"/>
          <w:lang w:val="en-US"/>
        </w:rPr>
      </w:pPr>
      <w:r w:rsidRPr="000573CA">
        <w:rPr>
          <w:sz w:val="16"/>
          <w:szCs w:val="16"/>
          <w:lang w:val="en-US"/>
        </w:rPr>
        <w:t>25</w:t>
      </w:r>
      <w:r w:rsidRPr="00245409">
        <w:rPr>
          <w:lang w:val="en-US"/>
        </w:rPr>
        <w:tab/>
        <w:t xml:space="preserve">   </w:t>
      </w:r>
      <w:r w:rsidRPr="00245409">
        <w:rPr>
          <w:color w:val="000000" w:themeColor="text1"/>
          <w:lang w:val="en-US"/>
        </w:rPr>
        <w:t xml:space="preserve">      end</w:t>
      </w:r>
    </w:p>
    <w:p w:rsidR="008D35AB" w:rsidRPr="00245409" w:rsidRDefault="00F72EA1" w:rsidP="007C6E09">
      <w:pPr>
        <w:pStyle w:val="Text"/>
        <w:ind w:firstLine="0"/>
        <w:jc w:val="left"/>
        <w:rPr>
          <w:color w:val="000000" w:themeColor="text1"/>
          <w:lang w:val="en-US"/>
        </w:rPr>
      </w:pPr>
      <w:r w:rsidRPr="00245409">
        <w:rPr>
          <w:color w:val="000000" w:themeColor="text1"/>
          <w:lang w:val="en-US"/>
        </w:rPr>
        <w:t xml:space="preserve">      end</w:t>
      </w:r>
    </w:p>
    <w:p w:rsidR="004C1F33" w:rsidRPr="00245409" w:rsidRDefault="004C1F33" w:rsidP="007C6E09">
      <w:pPr>
        <w:pStyle w:val="Text"/>
        <w:ind w:firstLine="0"/>
        <w:jc w:val="left"/>
        <w:rPr>
          <w:i/>
          <w:color w:val="000000" w:themeColor="text1"/>
          <w:vertAlign w:val="superscript"/>
          <w:lang w:val="en-US"/>
        </w:rPr>
      </w:pPr>
      <w:r w:rsidRPr="00245409">
        <w:rPr>
          <w:color w:val="000000" w:themeColor="text1"/>
          <w:lang w:val="en-US"/>
        </w:rPr>
        <w:t xml:space="preserve">      if </w:t>
      </w:r>
      <w:r w:rsidRPr="00245409">
        <w:rPr>
          <w:i/>
          <w:color w:val="000000" w:themeColor="text1"/>
          <w:lang w:val="en-US"/>
        </w:rPr>
        <w:t>k</w:t>
      </w:r>
      <w:r w:rsidRPr="00245409">
        <w:rPr>
          <w:color w:val="000000" w:themeColor="text1"/>
          <w:lang w:val="en-US"/>
        </w:rPr>
        <w:t xml:space="preserve"> = </w:t>
      </w:r>
      <w:r w:rsidR="00304C42" w:rsidRPr="00245409">
        <w:rPr>
          <w:color w:val="000000" w:themeColor="text1"/>
          <w:lang w:val="en-US"/>
        </w:rPr>
        <w:t>|</w:t>
      </w:r>
      <w:r w:rsidR="00304C42" w:rsidRPr="00245409">
        <w:rPr>
          <w:i/>
          <w:color w:val="000000" w:themeColor="text1"/>
          <w:lang w:val="en-US"/>
        </w:rPr>
        <w:t>Er</w:t>
      </w:r>
      <w:r w:rsidR="00304C42" w:rsidRPr="00245409">
        <w:rPr>
          <w:i/>
          <w:color w:val="000000" w:themeColor="text1"/>
          <w:vertAlign w:val="superscript"/>
          <w:lang w:val="en-US"/>
        </w:rPr>
        <w:t>G</w:t>
      </w:r>
      <w:r w:rsidR="00304C42" w:rsidRPr="00245409">
        <w:rPr>
          <w:color w:val="000000" w:themeColor="text1"/>
          <w:lang w:val="en-US"/>
        </w:rPr>
        <w:t>| + |</w:t>
      </w:r>
      <w:r w:rsidR="00304C42" w:rsidRPr="00245409">
        <w:rPr>
          <w:i/>
          <w:color w:val="000000" w:themeColor="text1"/>
          <w:lang w:val="en-US"/>
        </w:rPr>
        <w:t>Er</w:t>
      </w:r>
      <w:r w:rsidR="00304C42" w:rsidRPr="00245409">
        <w:rPr>
          <w:color w:val="000000" w:themeColor="text1"/>
          <w:vertAlign w:val="subscript"/>
          <w:lang w:val="en-US"/>
        </w:rPr>
        <w:t>(f)</w:t>
      </w:r>
      <w:r w:rsidR="00304C42" w:rsidRPr="00245409">
        <w:rPr>
          <w:i/>
          <w:color w:val="000000" w:themeColor="text1"/>
          <w:vertAlign w:val="superscript"/>
          <w:lang w:val="en-US"/>
        </w:rPr>
        <w:t>G</w:t>
      </w:r>
      <w:r w:rsidR="00304C42" w:rsidRPr="00245409">
        <w:rPr>
          <w:color w:val="000000" w:themeColor="text1"/>
          <w:lang w:val="en-US"/>
        </w:rPr>
        <w:t>|</w:t>
      </w:r>
    </w:p>
    <w:p w:rsidR="004C1F33" w:rsidRDefault="004C1F33" w:rsidP="007C6E09">
      <w:pPr>
        <w:pStyle w:val="Text"/>
        <w:ind w:firstLine="0"/>
        <w:jc w:val="left"/>
        <w:rPr>
          <w:color w:val="000000" w:themeColor="text1"/>
        </w:rPr>
      </w:pPr>
      <w:r w:rsidRPr="00245409">
        <w:rPr>
          <w:color w:val="000000" w:themeColor="text1"/>
          <w:lang w:val="en-US"/>
        </w:rPr>
        <w:t xml:space="preserve">         </w:t>
      </w:r>
      <w:r w:rsidRPr="004C1F33">
        <w:rPr>
          <w:i/>
          <w:color w:val="000000" w:themeColor="text1"/>
        </w:rPr>
        <w:t>x</w:t>
      </w:r>
      <w:r w:rsidRPr="004C1F33">
        <w:rPr>
          <w:color w:val="000000" w:themeColor="text1"/>
        </w:rPr>
        <w:t xml:space="preserve"> := </w:t>
      </w:r>
      <w:r w:rsidRPr="004C1F33">
        <w:rPr>
          <w:i/>
          <w:color w:val="000000" w:themeColor="text1"/>
        </w:rPr>
        <w:t>x</w:t>
      </w:r>
      <w:r w:rsidRPr="004C1F33">
        <w:rPr>
          <w:color w:val="000000" w:themeColor="text1"/>
        </w:rPr>
        <w:t xml:space="preserve"> + 1</w:t>
      </w:r>
    </w:p>
    <w:p w:rsidR="00F32DFD" w:rsidRDefault="004C1F33" w:rsidP="007C6E09">
      <w:pPr>
        <w:pStyle w:val="Text"/>
        <w:ind w:firstLine="0"/>
        <w:jc w:val="left"/>
        <w:rPr>
          <w:color w:val="000000" w:themeColor="text1"/>
        </w:rPr>
      </w:pPr>
      <w:r w:rsidRPr="004C1F33">
        <w:rPr>
          <w:color w:val="000000" w:themeColor="text1"/>
        </w:rPr>
        <w:t xml:space="preserve">         write </w:t>
      </w:r>
      <w:r w:rsidR="00D676FC">
        <w:rPr>
          <w:color w:val="000000" w:themeColor="text1"/>
        </w:rPr>
        <w:t>(</w:t>
      </w:r>
      <w:r w:rsidRPr="004C1F33">
        <w:rPr>
          <w:color w:val="000000" w:themeColor="text1"/>
        </w:rPr>
        <w:t>“</w:t>
      </w:r>
      <w:r w:rsidRPr="004C1F33">
        <w:rPr>
          <w:i/>
          <w:color w:val="000000" w:themeColor="text1"/>
        </w:rPr>
        <w:t>Er</w:t>
      </w:r>
      <w:r w:rsidRPr="004C1F33">
        <w:rPr>
          <w:color w:val="000000" w:themeColor="text1"/>
          <w:vertAlign w:val="subscript"/>
        </w:rPr>
        <w:t>(f)</w:t>
      </w:r>
      <w:r w:rsidRPr="004C1F33">
        <w:rPr>
          <w:color w:val="000000" w:themeColor="text1"/>
        </w:rPr>
        <w:t>&lt;sub&gt;</w:t>
      </w:r>
      <w:r w:rsidR="0088351B" w:rsidRPr="004C1F33">
        <w:rPr>
          <w:color w:val="000000" w:themeColor="text1"/>
        </w:rPr>
        <w:t>”</w:t>
      </w:r>
      <w:r w:rsidRPr="004C1F33">
        <w:rPr>
          <w:color w:val="000000" w:themeColor="text1"/>
        </w:rPr>
        <w:t xml:space="preserve"> </w:t>
      </w:r>
      <w:r w:rsidRPr="004C1F33">
        <w:rPr>
          <w:i/>
          <w:color w:val="000000" w:themeColor="text1"/>
        </w:rPr>
        <w:t xml:space="preserve">x </w:t>
      </w:r>
      <w:r w:rsidR="0088351B" w:rsidRPr="004C1F33">
        <w:rPr>
          <w:color w:val="000000" w:themeColor="text1"/>
        </w:rPr>
        <w:t>“</w:t>
      </w:r>
      <w:r w:rsidRPr="004C1F33">
        <w:rPr>
          <w:color w:val="000000" w:themeColor="text1"/>
        </w:rPr>
        <w:t>&lt;/sub&gt;: </w:t>
      </w:r>
      <w:r w:rsidRPr="004C1F33">
        <w:t>‚</w:t>
      </w:r>
      <w:r w:rsidRPr="004C1F33">
        <w:rPr>
          <w:color w:val="000000" w:themeColor="text1"/>
        </w:rPr>
        <w:t xml:space="preserve">” </w:t>
      </w:r>
      <w:r w:rsidRPr="004C1F33">
        <w:rPr>
          <w:i/>
          <w:color w:val="000000" w:themeColor="text1"/>
        </w:rPr>
        <w:t>Q</w:t>
      </w:r>
      <w:r w:rsidRPr="004C1F33">
        <w:rPr>
          <w:i/>
          <w:color w:val="000000" w:themeColor="text1"/>
          <w:vertAlign w:val="subscript"/>
        </w:rPr>
        <w:t>n</w:t>
      </w:r>
      <w:r w:rsidRPr="004C1F33">
        <w:rPr>
          <w:color w:val="000000" w:themeColor="text1"/>
        </w:rPr>
        <w:t xml:space="preserve"> “</w:t>
      </w:r>
      <w:r w:rsidRPr="004C1F33">
        <w:t>‘</w:t>
      </w:r>
      <w:r w:rsidRPr="004C1F33">
        <w:rPr>
          <w:color w:val="000000" w:themeColor="text1"/>
        </w:rPr>
        <w:t>&lt;br&gt;</w:t>
      </w:r>
      <w:r w:rsidR="009A11D7" w:rsidRPr="004C1F33">
        <w:rPr>
          <w:color w:val="000000" w:themeColor="text1"/>
        </w:rPr>
        <w:t>”</w:t>
      </w:r>
      <w:r w:rsidR="00D676FC">
        <w:rPr>
          <w:color w:val="000000" w:themeColor="text1"/>
        </w:rPr>
        <w:t>)</w:t>
      </w:r>
    </w:p>
    <w:p w:rsidR="000428CF" w:rsidRPr="00245409" w:rsidRDefault="000428CF" w:rsidP="008801FB">
      <w:pPr>
        <w:pStyle w:val="Text"/>
        <w:ind w:hanging="369"/>
        <w:jc w:val="left"/>
        <w:rPr>
          <w:color w:val="000000" w:themeColor="text1"/>
        </w:rPr>
      </w:pPr>
      <w:r w:rsidRPr="000573CA">
        <w:rPr>
          <w:sz w:val="16"/>
          <w:szCs w:val="16"/>
        </w:rPr>
        <w:t>30</w:t>
      </w:r>
      <w:r w:rsidRPr="00245409">
        <w:tab/>
      </w:r>
      <w:r w:rsidRPr="00245409">
        <w:rPr>
          <w:color w:val="000000" w:themeColor="text1"/>
        </w:rPr>
        <w:t xml:space="preserve">         </w:t>
      </w:r>
      <w:r w:rsidR="00793EC1" w:rsidRPr="00831D41">
        <w:rPr>
          <w:i/>
          <w:color w:val="000000" w:themeColor="text1"/>
        </w:rPr>
        <w:t>G</w:t>
      </w:r>
      <w:r w:rsidR="00793EC1" w:rsidRPr="00831D41">
        <w:rPr>
          <w:color w:val="000000" w:themeColor="text1"/>
        </w:rPr>
        <w:t xml:space="preserve"> := </w:t>
      </w:r>
      <w:r w:rsidR="00793EC1" w:rsidRPr="00831D41">
        <w:rPr>
          <w:i/>
          <w:color w:val="000000" w:themeColor="text1"/>
        </w:rPr>
        <w:t>G</w:t>
      </w:r>
      <w:r w:rsidR="00793EC1" w:rsidRPr="00831D41">
        <w:rPr>
          <w:color w:val="000000" w:themeColor="text1"/>
        </w:rPr>
        <w:t xml:space="preserve"> </w:t>
      </w:r>
      <w:r w:rsidR="00E235A0" w:rsidRPr="00E009F6">
        <w:rPr>
          <w:rFonts w:ascii="Cambria Math" w:eastAsia="Arial Unicode MS" w:hAnsi="Cambria Math" w:cs="Arial Unicode MS"/>
          <w:color w:val="000000" w:themeColor="text1"/>
        </w:rPr>
        <w:t>∪</w:t>
      </w:r>
      <w:r w:rsidRPr="00245409">
        <w:rPr>
          <w:color w:val="000000" w:themeColor="text1"/>
        </w:rPr>
        <w:t xml:space="preserve"> </w:t>
      </w:r>
      <w:r w:rsidR="006F63AE">
        <w:rPr>
          <w:color w:val="000000" w:themeColor="text1"/>
        </w:rPr>
        <w:t>{</w:t>
      </w:r>
      <w:r w:rsidRPr="00245409">
        <w:rPr>
          <w:color w:val="000000" w:themeColor="text1"/>
        </w:rPr>
        <w:t>&lt;</w:t>
      </w:r>
      <w:r w:rsidRPr="00245409">
        <w:rPr>
          <w:i/>
          <w:color w:val="000000" w:themeColor="text1"/>
        </w:rPr>
        <w:t>Q</w:t>
      </w:r>
      <w:r w:rsidRPr="00245409">
        <w:rPr>
          <w:i/>
          <w:color w:val="000000" w:themeColor="text1"/>
          <w:vertAlign w:val="subscript"/>
        </w:rPr>
        <w:t>n</w:t>
      </w:r>
      <w:r w:rsidRPr="00245409">
        <w:rPr>
          <w:color w:val="000000" w:themeColor="text1"/>
        </w:rPr>
        <w:t>, “Er</w:t>
      </w:r>
      <w:r w:rsidRPr="00245409">
        <w:rPr>
          <w:color w:val="000000" w:themeColor="text1"/>
          <w:vertAlign w:val="subscript"/>
        </w:rPr>
        <w:t>(f)</w:t>
      </w:r>
      <w:r w:rsidRPr="00245409">
        <w:rPr>
          <w:color w:val="000000" w:themeColor="text1"/>
        </w:rPr>
        <w:t xml:space="preserve">”, </w:t>
      </w:r>
      <w:r w:rsidRPr="00245409">
        <w:rPr>
          <w:i/>
          <w:color w:val="000000" w:themeColor="text1"/>
        </w:rPr>
        <w:t>x</w:t>
      </w:r>
      <w:r w:rsidRPr="00245409">
        <w:rPr>
          <w:color w:val="000000" w:themeColor="text1"/>
        </w:rPr>
        <w:t>&gt;</w:t>
      </w:r>
      <w:r w:rsidR="006F63AE">
        <w:rPr>
          <w:color w:val="000000" w:themeColor="text1"/>
        </w:rPr>
        <w:t>}</w:t>
      </w:r>
    </w:p>
    <w:p w:rsidR="00F72EA1" w:rsidRPr="00455138" w:rsidRDefault="00F72EA1" w:rsidP="007C6E09">
      <w:pPr>
        <w:pStyle w:val="Text"/>
        <w:ind w:firstLine="0"/>
        <w:jc w:val="left"/>
        <w:rPr>
          <w:color w:val="000000" w:themeColor="text1"/>
          <w:lang w:val="en-US"/>
        </w:rPr>
      </w:pPr>
      <w:r w:rsidRPr="00245409">
        <w:rPr>
          <w:color w:val="000000" w:themeColor="text1"/>
        </w:rPr>
        <w:t xml:space="preserve">      </w:t>
      </w:r>
      <w:r w:rsidRPr="00455138">
        <w:rPr>
          <w:color w:val="000000" w:themeColor="text1"/>
          <w:lang w:val="en-US"/>
        </w:rPr>
        <w:t>end</w:t>
      </w:r>
    </w:p>
    <w:p w:rsidR="000428CF" w:rsidRPr="0043046D" w:rsidRDefault="000428CF" w:rsidP="007C6E09">
      <w:pPr>
        <w:pStyle w:val="Text"/>
        <w:ind w:firstLine="0"/>
        <w:jc w:val="left"/>
        <w:rPr>
          <w:color w:val="000000" w:themeColor="text1"/>
          <w:lang w:val="en-US"/>
        </w:rPr>
      </w:pPr>
      <w:r w:rsidRPr="00455138">
        <w:rPr>
          <w:color w:val="000000" w:themeColor="text1"/>
          <w:lang w:val="en-US"/>
        </w:rPr>
        <w:t xml:space="preserve">   </w:t>
      </w:r>
      <w:r>
        <w:rPr>
          <w:color w:val="000000" w:themeColor="text1"/>
          <w:lang w:val="en-US"/>
        </w:rPr>
        <w:t>end</w:t>
      </w:r>
    </w:p>
    <w:p w:rsidR="00EA2FEC" w:rsidRDefault="00EA2FEC" w:rsidP="007C6E09">
      <w:pPr>
        <w:pStyle w:val="Text"/>
        <w:ind w:firstLine="0"/>
        <w:jc w:val="left"/>
        <w:rPr>
          <w:color w:val="000000" w:themeColor="text1"/>
          <w:lang w:val="en-US"/>
        </w:rPr>
      </w:pPr>
      <w:r>
        <w:rPr>
          <w:color w:val="000000" w:themeColor="text1"/>
          <w:lang w:val="en-US"/>
        </w:rPr>
        <w:t xml:space="preserve">   for </w:t>
      </w:r>
      <w:r w:rsidR="00AF5258">
        <w:rPr>
          <w:i/>
          <w:color w:val="000000" w:themeColor="text1"/>
          <w:lang w:val="en-US"/>
        </w:rPr>
        <w:t>n</w:t>
      </w:r>
      <w:r w:rsidRPr="009433BD">
        <w:rPr>
          <w:color w:val="000000" w:themeColor="text1"/>
          <w:lang w:val="en-US"/>
        </w:rPr>
        <w:t xml:space="preserve"> := 1 to |</w:t>
      </w:r>
      <w:r>
        <w:rPr>
          <w:i/>
          <w:color w:val="000000" w:themeColor="text1"/>
          <w:lang w:val="en-US"/>
        </w:rPr>
        <w:t>R</w:t>
      </w:r>
      <w:r w:rsidRPr="009433BD">
        <w:rPr>
          <w:color w:val="000000" w:themeColor="text1"/>
          <w:lang w:val="en-US"/>
        </w:rPr>
        <w:t>|</w:t>
      </w:r>
    </w:p>
    <w:p w:rsidR="00B97A9C" w:rsidRDefault="00B97A9C" w:rsidP="007C6E09">
      <w:pPr>
        <w:pStyle w:val="Text"/>
        <w:ind w:firstLine="0"/>
        <w:jc w:val="left"/>
        <w:rPr>
          <w:color w:val="000000" w:themeColor="text1"/>
          <w:lang w:val="en-US"/>
        </w:rPr>
      </w:pPr>
      <w:r w:rsidRPr="004C1F33">
        <w:rPr>
          <w:color w:val="000000" w:themeColor="text1"/>
          <w:lang w:val="en-US"/>
        </w:rPr>
        <w:t xml:space="preserve">      </w:t>
      </w:r>
      <w:r>
        <w:rPr>
          <w:i/>
          <w:color w:val="000000" w:themeColor="text1"/>
          <w:lang w:val="en-US"/>
        </w:rPr>
        <w:t>k</w:t>
      </w:r>
      <w:r>
        <w:rPr>
          <w:color w:val="000000" w:themeColor="text1"/>
          <w:lang w:val="en-US"/>
        </w:rPr>
        <w:t xml:space="preserve"> := |</w:t>
      </w:r>
      <w:r>
        <w:rPr>
          <w:i/>
          <w:color w:val="000000" w:themeColor="text1"/>
          <w:lang w:val="en-US"/>
        </w:rPr>
        <w:t>H</w:t>
      </w:r>
      <w:r w:rsidRPr="002A7646">
        <w:rPr>
          <w:i/>
          <w:color w:val="000000" w:themeColor="text1"/>
          <w:vertAlign w:val="superscript"/>
          <w:lang w:val="en-US"/>
        </w:rPr>
        <w:t>G</w:t>
      </w:r>
      <w:r>
        <w:rPr>
          <w:color w:val="000000" w:themeColor="text1"/>
          <w:lang w:val="en-US"/>
        </w:rPr>
        <w:t>|</w:t>
      </w:r>
    </w:p>
    <w:p w:rsidR="000428CF" w:rsidRPr="0095340D" w:rsidRDefault="00BE6BF8" w:rsidP="008801FB">
      <w:pPr>
        <w:pStyle w:val="Text"/>
        <w:ind w:hanging="369"/>
        <w:jc w:val="left"/>
        <w:rPr>
          <w:color w:val="000000" w:themeColor="text1"/>
          <w:lang w:val="en-US"/>
        </w:rPr>
      </w:pPr>
      <w:r w:rsidRPr="000573CA">
        <w:rPr>
          <w:sz w:val="16"/>
          <w:szCs w:val="16"/>
          <w:lang w:val="en-US"/>
        </w:rPr>
        <w:t>35</w:t>
      </w:r>
      <w:r w:rsidR="000428CF" w:rsidRPr="0095340D">
        <w:rPr>
          <w:lang w:val="en-US"/>
        </w:rPr>
        <w:tab/>
      </w:r>
      <w:r w:rsidR="000428CF">
        <w:rPr>
          <w:color w:val="000000" w:themeColor="text1"/>
          <w:lang w:val="en-US"/>
        </w:rPr>
        <w:t xml:space="preserve">      for </w:t>
      </w:r>
      <w:r w:rsidR="000428CF">
        <w:rPr>
          <w:i/>
          <w:color w:val="000000" w:themeColor="text1"/>
          <w:lang w:val="en-US"/>
        </w:rPr>
        <w:t>m</w:t>
      </w:r>
      <w:r w:rsidR="000428CF">
        <w:rPr>
          <w:color w:val="000000" w:themeColor="text1"/>
          <w:lang w:val="en-US"/>
        </w:rPr>
        <w:t xml:space="preserve"> := 1 to |</w:t>
      </w:r>
      <w:r w:rsidR="000428CF" w:rsidRPr="0068628C">
        <w:rPr>
          <w:i/>
          <w:color w:val="000000" w:themeColor="text1"/>
          <w:lang w:val="en-US"/>
        </w:rPr>
        <w:t>G</w:t>
      </w:r>
      <w:r w:rsidR="000428CF">
        <w:rPr>
          <w:color w:val="000000" w:themeColor="text1"/>
          <w:lang w:val="en-US"/>
        </w:rPr>
        <w:t>|</w:t>
      </w:r>
    </w:p>
    <w:p w:rsidR="00B97A9C" w:rsidRPr="00324010" w:rsidRDefault="00B97A9C" w:rsidP="007C6E09">
      <w:pPr>
        <w:pStyle w:val="Text"/>
        <w:ind w:firstLine="0"/>
        <w:jc w:val="left"/>
        <w:rPr>
          <w:color w:val="000000" w:themeColor="text1"/>
          <w:lang w:val="en-US"/>
        </w:rPr>
      </w:pPr>
      <w:r>
        <w:rPr>
          <w:color w:val="000000" w:themeColor="text1"/>
          <w:lang w:val="en-US"/>
        </w:rPr>
        <w:t xml:space="preserve">         if </w:t>
      </w:r>
      <w:r w:rsidR="00F4501A">
        <w:rPr>
          <w:color w:val="000000" w:themeColor="text1"/>
          <w:lang w:val="en-US"/>
        </w:rPr>
        <w:t>(</w:t>
      </w:r>
      <w:r w:rsidR="00F4501A">
        <w:rPr>
          <w:i/>
          <w:color w:val="000000" w:themeColor="text1"/>
          <w:lang w:val="en-US"/>
        </w:rPr>
        <w:t>R</w:t>
      </w:r>
      <w:r w:rsidR="00F4501A">
        <w:rPr>
          <w:i/>
          <w:color w:val="000000" w:themeColor="text1"/>
          <w:vertAlign w:val="subscript"/>
          <w:lang w:val="en-US"/>
        </w:rPr>
        <w:t>n</w:t>
      </w:r>
      <w:r w:rsidR="00F4501A">
        <w:rPr>
          <w:color w:val="000000" w:themeColor="text1"/>
          <w:lang w:val="en-US"/>
        </w:rPr>
        <w:t xml:space="preserve"> = </w:t>
      </w:r>
      <w:r w:rsidR="00F4501A">
        <w:rPr>
          <w:i/>
          <w:color w:val="000000" w:themeColor="text1"/>
          <w:lang w:val="en-US"/>
        </w:rPr>
        <w:t>W</w:t>
      </w:r>
      <w:r w:rsidR="00F4501A">
        <w:rPr>
          <w:color w:val="000000" w:themeColor="text1"/>
          <w:lang w:val="en-US"/>
        </w:rPr>
        <w:t>(</w:t>
      </w:r>
      <w:r w:rsidR="00F4501A" w:rsidRPr="00AA2A6A">
        <w:rPr>
          <w:i/>
          <w:color w:val="000000" w:themeColor="text1"/>
          <w:lang w:val="en-US"/>
        </w:rPr>
        <w:t>G</w:t>
      </w:r>
      <w:r w:rsidR="00F4501A">
        <w:rPr>
          <w:i/>
          <w:color w:val="000000" w:themeColor="text1"/>
          <w:vertAlign w:val="subscript"/>
          <w:lang w:val="en-US"/>
        </w:rPr>
        <w:t>m</w:t>
      </w:r>
      <w:r w:rsidR="00F4501A">
        <w:rPr>
          <w:color w:val="000000" w:themeColor="text1"/>
          <w:lang w:val="en-US"/>
        </w:rPr>
        <w:t>))</w:t>
      </w:r>
      <w:r w:rsidR="00C21869" w:rsidRPr="008B2921">
        <w:rPr>
          <w:color w:val="000000" w:themeColor="text1"/>
          <w:lang w:val="en-US"/>
        </w:rPr>
        <w:t xml:space="preserve"> </w:t>
      </w:r>
      <w:r w:rsidR="003B3E92" w:rsidRPr="00CC5CB4">
        <w:rPr>
          <w:rFonts w:ascii="Cambria Math" w:hAnsi="Cambria Math" w:cs="Cambria Math"/>
          <w:color w:val="000000" w:themeColor="text1"/>
          <w:lang w:val="en-US"/>
        </w:rPr>
        <w:t>∧</w:t>
      </w:r>
      <w:r w:rsidR="00F4501A" w:rsidRPr="00F4501A">
        <w:rPr>
          <w:color w:val="000000" w:themeColor="text1"/>
          <w:lang w:val="en-US"/>
        </w:rPr>
        <w:t xml:space="preserve"> </w:t>
      </w:r>
      <w:r w:rsidR="00F4501A" w:rsidRPr="008B2921">
        <w:rPr>
          <w:color w:val="000000" w:themeColor="text1"/>
          <w:lang w:val="en-US"/>
        </w:rPr>
        <w:t>(</w:t>
      </w:r>
      <w:r w:rsidR="00F4501A" w:rsidRPr="008B2921">
        <w:rPr>
          <w:i/>
          <w:color w:val="000000" w:themeColor="text1"/>
          <w:lang w:val="en-US"/>
        </w:rPr>
        <w:t>S</w:t>
      </w:r>
      <w:r w:rsidR="00F4501A" w:rsidRPr="008B2921">
        <w:rPr>
          <w:color w:val="000000" w:themeColor="text1"/>
          <w:lang w:val="en-US"/>
        </w:rPr>
        <w:t>(</w:t>
      </w:r>
      <w:r w:rsidR="00F4501A" w:rsidRPr="008B2921">
        <w:rPr>
          <w:i/>
          <w:color w:val="000000" w:themeColor="text1"/>
          <w:lang w:val="en-US"/>
        </w:rPr>
        <w:t>G</w:t>
      </w:r>
      <w:r w:rsidR="00F4501A" w:rsidRPr="008B2921">
        <w:rPr>
          <w:i/>
          <w:color w:val="000000" w:themeColor="text1"/>
          <w:vertAlign w:val="subscript"/>
          <w:lang w:val="en-US"/>
        </w:rPr>
        <w:t>m</w:t>
      </w:r>
      <w:r w:rsidR="00F4501A" w:rsidRPr="008B2921">
        <w:rPr>
          <w:color w:val="000000" w:themeColor="text1"/>
          <w:lang w:val="en-US"/>
        </w:rPr>
        <w:t>) = “</w:t>
      </w:r>
      <w:r w:rsidR="00F4501A">
        <w:rPr>
          <w:color w:val="000000" w:themeColor="text1"/>
          <w:lang w:val="en-US"/>
        </w:rPr>
        <w:t>H</w:t>
      </w:r>
      <w:r w:rsidR="00F4501A" w:rsidRPr="008B2921">
        <w:rPr>
          <w:color w:val="000000" w:themeColor="text1"/>
          <w:lang w:val="en-US"/>
        </w:rPr>
        <w:t>”)</w:t>
      </w:r>
    </w:p>
    <w:p w:rsidR="00B97A9C" w:rsidRDefault="00B97A9C" w:rsidP="007C6E09">
      <w:pPr>
        <w:pStyle w:val="Text"/>
        <w:ind w:firstLine="0"/>
        <w:jc w:val="left"/>
        <w:rPr>
          <w:color w:val="000000" w:themeColor="text1"/>
          <w:lang w:val="en-US"/>
        </w:rPr>
      </w:pPr>
      <w:r>
        <w:rPr>
          <w:color w:val="000000" w:themeColor="text1"/>
          <w:lang w:val="en-US"/>
        </w:rPr>
        <w:t xml:space="preserve">            </w:t>
      </w:r>
      <w:r>
        <w:rPr>
          <w:i/>
          <w:color w:val="000000" w:themeColor="text1"/>
          <w:lang w:val="en-US"/>
        </w:rPr>
        <w:t>H</w:t>
      </w:r>
      <w:r w:rsidRPr="006C7287">
        <w:rPr>
          <w:i/>
          <w:color w:val="000000" w:themeColor="text1"/>
          <w:vertAlign w:val="superscript"/>
          <w:lang w:val="en-US"/>
        </w:rPr>
        <w:t>G</w:t>
      </w:r>
      <w:r>
        <w:rPr>
          <w:color w:val="000000" w:themeColor="text1"/>
          <w:lang w:val="en-US"/>
        </w:rPr>
        <w:t xml:space="preserve"> := </w:t>
      </w:r>
      <w:r>
        <w:rPr>
          <w:i/>
          <w:color w:val="000000" w:themeColor="text1"/>
          <w:lang w:val="en-US"/>
        </w:rPr>
        <w:t>H</w:t>
      </w:r>
      <w:r w:rsidRPr="006C7287">
        <w:rPr>
          <w:i/>
          <w:color w:val="000000" w:themeColor="text1"/>
          <w:vertAlign w:val="superscript"/>
          <w:lang w:val="en-US"/>
        </w:rPr>
        <w:t>G</w:t>
      </w:r>
      <w:r>
        <w:rPr>
          <w:color w:val="000000" w:themeColor="text1"/>
          <w:lang w:val="en-US"/>
        </w:rPr>
        <w:t xml:space="preserve"> </w:t>
      </w:r>
      <w:r w:rsidR="00E235A0" w:rsidRPr="00E535E0">
        <w:rPr>
          <w:rFonts w:ascii="Cambria Math" w:eastAsia="Arial Unicode MS" w:hAnsi="Cambria Math" w:cs="Arial Unicode MS"/>
          <w:color w:val="000000" w:themeColor="text1"/>
          <w:lang w:val="en-US"/>
        </w:rPr>
        <w:t>∪</w:t>
      </w:r>
      <w:r w:rsidRPr="009F112E">
        <w:rPr>
          <w:rFonts w:eastAsia="Arial Unicode MS" w:cs="Times New Roman"/>
          <w:color w:val="000000" w:themeColor="text1"/>
          <w:lang w:val="en-US"/>
        </w:rPr>
        <w:t xml:space="preserve"> </w:t>
      </w:r>
      <w:r w:rsidR="006F63AE" w:rsidRPr="008E5E7B">
        <w:rPr>
          <w:color w:val="000000" w:themeColor="text1"/>
          <w:lang w:val="en-US"/>
        </w:rPr>
        <w:t>{</w:t>
      </w:r>
      <w:r>
        <w:rPr>
          <w:i/>
          <w:color w:val="000000" w:themeColor="text1"/>
          <w:lang w:val="en-US"/>
        </w:rPr>
        <w:t>i</w:t>
      </w:r>
      <w:r>
        <w:rPr>
          <w:color w:val="000000" w:themeColor="text1"/>
          <w:lang w:val="en-US"/>
        </w:rPr>
        <w:t>(</w:t>
      </w:r>
      <w:r w:rsidRPr="00AA2A6A">
        <w:rPr>
          <w:i/>
          <w:color w:val="000000" w:themeColor="text1"/>
          <w:lang w:val="en-US"/>
        </w:rPr>
        <w:t>G</w:t>
      </w:r>
      <w:r>
        <w:rPr>
          <w:i/>
          <w:color w:val="000000" w:themeColor="text1"/>
          <w:vertAlign w:val="subscript"/>
          <w:lang w:val="en-US"/>
        </w:rPr>
        <w:t>m</w:t>
      </w:r>
      <w:r>
        <w:rPr>
          <w:color w:val="000000" w:themeColor="text1"/>
          <w:lang w:val="en-US"/>
        </w:rPr>
        <w:t>)</w:t>
      </w:r>
      <w:r w:rsidR="006F63AE" w:rsidRPr="008E5E7B">
        <w:rPr>
          <w:color w:val="000000" w:themeColor="text1"/>
          <w:lang w:val="en-US"/>
        </w:rPr>
        <w:t>}</w:t>
      </w:r>
    </w:p>
    <w:p w:rsidR="000428CF" w:rsidRDefault="000428CF" w:rsidP="007C6E09">
      <w:pPr>
        <w:pStyle w:val="Text"/>
        <w:ind w:firstLine="0"/>
        <w:jc w:val="left"/>
        <w:rPr>
          <w:color w:val="000000" w:themeColor="text1"/>
          <w:lang w:val="en-US"/>
        </w:rPr>
      </w:pPr>
      <w:r>
        <w:rPr>
          <w:color w:val="000000" w:themeColor="text1"/>
          <w:lang w:val="en-US"/>
        </w:rPr>
        <w:t xml:space="preserve">         end</w:t>
      </w:r>
    </w:p>
    <w:p w:rsidR="00B97A9C" w:rsidRDefault="00B97A9C" w:rsidP="007C6E09">
      <w:pPr>
        <w:pStyle w:val="Text"/>
        <w:ind w:firstLine="0"/>
        <w:jc w:val="left"/>
        <w:rPr>
          <w:color w:val="000000" w:themeColor="text1"/>
          <w:lang w:val="en-US"/>
        </w:rPr>
      </w:pPr>
      <w:r>
        <w:rPr>
          <w:color w:val="000000" w:themeColor="text1"/>
          <w:lang w:val="en-US"/>
        </w:rPr>
        <w:t xml:space="preserve">      end</w:t>
      </w:r>
    </w:p>
    <w:p w:rsidR="000428CF" w:rsidRPr="0095340D" w:rsidRDefault="000428CF" w:rsidP="008801FB">
      <w:pPr>
        <w:pStyle w:val="Text"/>
        <w:ind w:hanging="369"/>
        <w:jc w:val="left"/>
        <w:rPr>
          <w:color w:val="000000" w:themeColor="text1"/>
          <w:lang w:val="en-US"/>
        </w:rPr>
      </w:pPr>
      <w:r w:rsidRPr="000573CA">
        <w:rPr>
          <w:sz w:val="16"/>
          <w:szCs w:val="16"/>
          <w:lang w:val="en-US"/>
        </w:rPr>
        <w:t>4</w:t>
      </w:r>
      <w:r w:rsidR="00BE6BF8" w:rsidRPr="000573CA">
        <w:rPr>
          <w:sz w:val="16"/>
          <w:szCs w:val="16"/>
          <w:lang w:val="en-US"/>
        </w:rPr>
        <w:t>0</w:t>
      </w:r>
      <w:r w:rsidRPr="0095340D">
        <w:rPr>
          <w:lang w:val="en-US"/>
        </w:rPr>
        <w:tab/>
      </w:r>
      <w:r w:rsidRPr="004C1F33">
        <w:rPr>
          <w:color w:val="000000" w:themeColor="text1"/>
          <w:lang w:val="en-US"/>
        </w:rPr>
        <w:t xml:space="preserve">      </w:t>
      </w:r>
      <w:r>
        <w:rPr>
          <w:color w:val="000000" w:themeColor="text1"/>
          <w:lang w:val="en-US"/>
        </w:rPr>
        <w:t xml:space="preserve">if </w:t>
      </w:r>
      <w:r>
        <w:rPr>
          <w:i/>
          <w:color w:val="000000" w:themeColor="text1"/>
          <w:lang w:val="en-US"/>
        </w:rPr>
        <w:t>k</w:t>
      </w:r>
      <w:r>
        <w:rPr>
          <w:color w:val="000000" w:themeColor="text1"/>
          <w:lang w:val="en-US"/>
        </w:rPr>
        <w:t xml:space="preserve"> := |</w:t>
      </w:r>
      <w:r>
        <w:rPr>
          <w:i/>
          <w:color w:val="000000" w:themeColor="text1"/>
          <w:lang w:val="en-US"/>
        </w:rPr>
        <w:t>H</w:t>
      </w:r>
      <w:r w:rsidRPr="002A7646">
        <w:rPr>
          <w:i/>
          <w:color w:val="000000" w:themeColor="text1"/>
          <w:vertAlign w:val="superscript"/>
          <w:lang w:val="en-US"/>
        </w:rPr>
        <w:t>G</w:t>
      </w:r>
      <w:r>
        <w:rPr>
          <w:color w:val="000000" w:themeColor="text1"/>
          <w:lang w:val="en-US"/>
        </w:rPr>
        <w:t>|</w:t>
      </w:r>
    </w:p>
    <w:p w:rsidR="001C53FF" w:rsidRDefault="001C53FF" w:rsidP="007C6E09">
      <w:pPr>
        <w:pStyle w:val="Text"/>
        <w:ind w:firstLine="0"/>
        <w:jc w:val="left"/>
        <w:rPr>
          <w:color w:val="000000" w:themeColor="text1"/>
          <w:lang w:val="en-US"/>
        </w:rPr>
      </w:pPr>
      <w:r>
        <w:rPr>
          <w:color w:val="000000" w:themeColor="text1"/>
          <w:lang w:val="en-US"/>
        </w:rPr>
        <w:t xml:space="preserve">   </w:t>
      </w:r>
      <w:r w:rsidRPr="00EA2FEC">
        <w:rPr>
          <w:color w:val="000000" w:themeColor="text1"/>
          <w:lang w:val="en-US"/>
        </w:rPr>
        <w:t xml:space="preserve">      </w:t>
      </w:r>
      <w:r w:rsidRPr="00432C7E">
        <w:rPr>
          <w:i/>
          <w:color w:val="000000" w:themeColor="text1"/>
          <w:lang w:val="en-US"/>
        </w:rPr>
        <w:t>y</w:t>
      </w:r>
      <w:r w:rsidRPr="00432C7E">
        <w:rPr>
          <w:color w:val="000000" w:themeColor="text1"/>
          <w:lang w:val="en-US"/>
        </w:rPr>
        <w:t xml:space="preserve"> := </w:t>
      </w:r>
      <w:r w:rsidRPr="00432C7E">
        <w:rPr>
          <w:i/>
          <w:color w:val="000000" w:themeColor="text1"/>
          <w:lang w:val="en-US"/>
        </w:rPr>
        <w:t>y</w:t>
      </w:r>
      <w:r w:rsidRPr="00432C7E">
        <w:rPr>
          <w:color w:val="000000" w:themeColor="text1"/>
          <w:lang w:val="en-US"/>
        </w:rPr>
        <w:t xml:space="preserve"> + 1</w:t>
      </w:r>
    </w:p>
    <w:p w:rsidR="00162AA1" w:rsidRPr="005A6B82" w:rsidRDefault="00162AA1" w:rsidP="007C6E09">
      <w:pPr>
        <w:pStyle w:val="Text"/>
        <w:ind w:firstLine="0"/>
        <w:jc w:val="left"/>
        <w:rPr>
          <w:color w:val="000000" w:themeColor="text1"/>
          <w:lang w:val="en-US"/>
        </w:rPr>
      </w:pPr>
      <w:r w:rsidRPr="00CC327A">
        <w:rPr>
          <w:color w:val="000000" w:themeColor="text1"/>
          <w:lang w:val="en-US"/>
        </w:rPr>
        <w:t xml:space="preserve">         write </w:t>
      </w:r>
      <w:r w:rsidR="00D676FC">
        <w:rPr>
          <w:color w:val="000000" w:themeColor="text1"/>
          <w:lang w:val="en-US"/>
        </w:rPr>
        <w:t>(</w:t>
      </w:r>
      <w:r w:rsidRPr="00CC327A">
        <w:rPr>
          <w:color w:val="000000" w:themeColor="text1"/>
          <w:lang w:val="en-US"/>
        </w:rPr>
        <w:t>“</w:t>
      </w:r>
      <w:r>
        <w:rPr>
          <w:i/>
          <w:color w:val="000000" w:themeColor="text1"/>
          <w:lang w:val="en-US"/>
        </w:rPr>
        <w:t>H</w:t>
      </w:r>
      <w:r w:rsidRPr="00853F46">
        <w:rPr>
          <w:color w:val="000000" w:themeColor="text1"/>
          <w:lang w:val="en-US"/>
        </w:rPr>
        <w:t>&lt;sub&gt;</w:t>
      </w:r>
      <w:r w:rsidR="009A11D7" w:rsidRPr="00CC327A">
        <w:rPr>
          <w:color w:val="000000" w:themeColor="text1"/>
          <w:lang w:val="en-US"/>
        </w:rPr>
        <w:t>”</w:t>
      </w:r>
      <w:r w:rsidRPr="00853F46">
        <w:rPr>
          <w:color w:val="000000" w:themeColor="text1"/>
          <w:lang w:val="en-US"/>
        </w:rPr>
        <w:t xml:space="preserve"> </w:t>
      </w:r>
      <w:r>
        <w:rPr>
          <w:i/>
          <w:color w:val="000000" w:themeColor="text1"/>
          <w:lang w:val="en-US"/>
        </w:rPr>
        <w:t>y</w:t>
      </w:r>
      <w:r w:rsidRPr="00853F46">
        <w:rPr>
          <w:i/>
          <w:color w:val="000000" w:themeColor="text1"/>
          <w:lang w:val="en-US"/>
        </w:rPr>
        <w:t xml:space="preserve"> </w:t>
      </w:r>
      <w:r w:rsidR="009A11D7" w:rsidRPr="00CC327A">
        <w:rPr>
          <w:color w:val="000000" w:themeColor="text1"/>
          <w:lang w:val="en-US"/>
        </w:rPr>
        <w:t>“</w:t>
      </w:r>
      <w:r w:rsidRPr="00853F46">
        <w:rPr>
          <w:color w:val="000000" w:themeColor="text1"/>
          <w:lang w:val="en-US"/>
        </w:rPr>
        <w:t>&lt;/sub&gt;</w:t>
      </w:r>
      <w:r w:rsidRPr="00CC327A">
        <w:rPr>
          <w:color w:val="000000" w:themeColor="text1"/>
          <w:lang w:val="en-US"/>
        </w:rPr>
        <w:t>:</w:t>
      </w:r>
      <w:r>
        <w:rPr>
          <w:color w:val="000000" w:themeColor="text1"/>
          <w:lang w:val="en-US"/>
        </w:rPr>
        <w:t> </w:t>
      </w:r>
      <w:r w:rsidRPr="00CC327A">
        <w:rPr>
          <w:lang w:val="en-US"/>
        </w:rPr>
        <w:t>‚</w:t>
      </w:r>
      <w:r w:rsidRPr="00CC327A">
        <w:rPr>
          <w:color w:val="000000" w:themeColor="text1"/>
          <w:lang w:val="en-US"/>
        </w:rPr>
        <w:t xml:space="preserve">” </w:t>
      </w:r>
      <w:r>
        <w:rPr>
          <w:i/>
          <w:color w:val="000000" w:themeColor="text1"/>
          <w:lang w:val="en-US"/>
        </w:rPr>
        <w:t>R</w:t>
      </w:r>
      <w:r w:rsidR="00AF5258">
        <w:rPr>
          <w:i/>
          <w:color w:val="000000" w:themeColor="text1"/>
          <w:vertAlign w:val="subscript"/>
          <w:lang w:val="en-US"/>
        </w:rPr>
        <w:t>n</w:t>
      </w:r>
      <w:r w:rsidRPr="00CC327A">
        <w:rPr>
          <w:color w:val="000000" w:themeColor="text1"/>
          <w:lang w:val="en-US"/>
        </w:rPr>
        <w:t xml:space="preserve"> “</w:t>
      </w:r>
      <w:r w:rsidRPr="00853F46">
        <w:rPr>
          <w:lang w:val="en-US"/>
        </w:rPr>
        <w:t>‘</w:t>
      </w:r>
      <w:r w:rsidRPr="00CC327A">
        <w:rPr>
          <w:color w:val="000000" w:themeColor="text1"/>
          <w:lang w:val="en-US"/>
        </w:rPr>
        <w:t>&lt;</w:t>
      </w:r>
      <w:r w:rsidR="00591948">
        <w:rPr>
          <w:color w:val="000000" w:themeColor="text1"/>
          <w:lang w:val="en-US"/>
        </w:rPr>
        <w:t>br</w:t>
      </w:r>
      <w:r w:rsidRPr="00CC327A">
        <w:rPr>
          <w:color w:val="000000" w:themeColor="text1"/>
          <w:lang w:val="en-US"/>
        </w:rPr>
        <w:t>&gt;</w:t>
      </w:r>
      <w:r w:rsidR="009A11D7" w:rsidRPr="00CC327A">
        <w:rPr>
          <w:color w:val="000000" w:themeColor="text1"/>
          <w:lang w:val="en-US"/>
        </w:rPr>
        <w:t>”</w:t>
      </w:r>
      <w:r w:rsidR="00D676FC">
        <w:rPr>
          <w:color w:val="000000" w:themeColor="text1"/>
          <w:lang w:val="en-US"/>
        </w:rPr>
        <w:t>)</w:t>
      </w:r>
    </w:p>
    <w:p w:rsidR="000428CF" w:rsidRPr="00282961" w:rsidRDefault="000428CF" w:rsidP="007C6E09">
      <w:pPr>
        <w:pStyle w:val="Text"/>
        <w:ind w:firstLine="0"/>
        <w:jc w:val="left"/>
        <w:rPr>
          <w:color w:val="000000" w:themeColor="text1"/>
          <w:lang w:val="en-US"/>
        </w:rPr>
      </w:pPr>
      <w:r w:rsidRPr="005A6B82">
        <w:rPr>
          <w:color w:val="000000" w:themeColor="text1"/>
          <w:lang w:val="en-US"/>
        </w:rPr>
        <w:t xml:space="preserve">         </w:t>
      </w:r>
      <w:r w:rsidRPr="00282961">
        <w:rPr>
          <w:i/>
          <w:color w:val="000000" w:themeColor="text1"/>
          <w:lang w:val="en-US"/>
        </w:rPr>
        <w:t>G</w:t>
      </w:r>
      <w:r w:rsidRPr="00282961">
        <w:rPr>
          <w:color w:val="000000" w:themeColor="text1"/>
          <w:lang w:val="en-US"/>
        </w:rPr>
        <w:t xml:space="preserve"> := </w:t>
      </w:r>
      <w:r w:rsidRPr="00282961">
        <w:rPr>
          <w:i/>
          <w:color w:val="000000" w:themeColor="text1"/>
          <w:lang w:val="en-US"/>
        </w:rPr>
        <w:t>G</w:t>
      </w:r>
      <w:r w:rsidRPr="00282961">
        <w:rPr>
          <w:color w:val="000000" w:themeColor="text1"/>
          <w:lang w:val="en-US"/>
        </w:rPr>
        <w:t xml:space="preserve"> </w:t>
      </w:r>
      <w:r w:rsidR="00E235A0" w:rsidRPr="00E535E0">
        <w:rPr>
          <w:rFonts w:ascii="Cambria Math" w:eastAsia="Arial Unicode MS" w:hAnsi="Cambria Math" w:cs="Arial Unicode MS"/>
          <w:color w:val="000000" w:themeColor="text1"/>
          <w:lang w:val="en-US"/>
        </w:rPr>
        <w:t>∪</w:t>
      </w:r>
      <w:r w:rsidRPr="009F112E">
        <w:rPr>
          <w:rFonts w:eastAsia="Arial Unicode MS" w:cs="Times New Roman"/>
          <w:color w:val="000000" w:themeColor="text1"/>
          <w:lang w:val="en-US"/>
        </w:rPr>
        <w:t xml:space="preserve"> </w:t>
      </w:r>
      <w:r w:rsidR="00A5334D" w:rsidRPr="008E5E7B">
        <w:rPr>
          <w:color w:val="000000" w:themeColor="text1"/>
          <w:lang w:val="en-US"/>
        </w:rPr>
        <w:t>{</w:t>
      </w:r>
      <w:r w:rsidRPr="00282961">
        <w:rPr>
          <w:color w:val="000000" w:themeColor="text1"/>
          <w:lang w:val="en-US"/>
        </w:rPr>
        <w:t>&lt;</w:t>
      </w:r>
      <w:r w:rsidRPr="00282961">
        <w:rPr>
          <w:i/>
          <w:color w:val="000000" w:themeColor="text1"/>
          <w:lang w:val="en-US"/>
        </w:rPr>
        <w:t>R</w:t>
      </w:r>
      <w:r w:rsidRPr="00282961">
        <w:rPr>
          <w:i/>
          <w:color w:val="000000" w:themeColor="text1"/>
          <w:vertAlign w:val="subscript"/>
          <w:lang w:val="en-US"/>
        </w:rPr>
        <w:t>n</w:t>
      </w:r>
      <w:r w:rsidRPr="00282961">
        <w:rPr>
          <w:color w:val="000000" w:themeColor="text1"/>
          <w:lang w:val="en-US"/>
        </w:rPr>
        <w:t xml:space="preserve">, “H”, </w:t>
      </w:r>
      <w:r w:rsidRPr="00282961">
        <w:rPr>
          <w:i/>
          <w:color w:val="000000" w:themeColor="text1"/>
          <w:lang w:val="en-US"/>
        </w:rPr>
        <w:t>y</w:t>
      </w:r>
      <w:r w:rsidRPr="00282961">
        <w:rPr>
          <w:color w:val="000000" w:themeColor="text1"/>
          <w:lang w:val="en-US"/>
        </w:rPr>
        <w:t>&gt;</w:t>
      </w:r>
      <w:r w:rsidR="00A5334D" w:rsidRPr="008E5E7B">
        <w:rPr>
          <w:color w:val="000000" w:themeColor="text1"/>
          <w:lang w:val="en-US"/>
        </w:rPr>
        <w:t>}</w:t>
      </w:r>
    </w:p>
    <w:p w:rsidR="001C53FF" w:rsidRDefault="001C53FF" w:rsidP="007C6E09">
      <w:pPr>
        <w:pStyle w:val="Text"/>
        <w:ind w:firstLine="0"/>
        <w:jc w:val="left"/>
        <w:rPr>
          <w:color w:val="000000" w:themeColor="text1"/>
          <w:lang w:val="en-US"/>
        </w:rPr>
      </w:pPr>
      <w:r w:rsidRPr="00282961">
        <w:rPr>
          <w:color w:val="000000" w:themeColor="text1"/>
          <w:lang w:val="en-US"/>
        </w:rPr>
        <w:t xml:space="preserve">      </w:t>
      </w:r>
      <w:r>
        <w:rPr>
          <w:color w:val="000000" w:themeColor="text1"/>
          <w:lang w:val="en-US"/>
        </w:rPr>
        <w:t>end</w:t>
      </w:r>
    </w:p>
    <w:p w:rsidR="000428CF" w:rsidRPr="0095340D" w:rsidRDefault="00BE6BF8" w:rsidP="008801FB">
      <w:pPr>
        <w:pStyle w:val="Text"/>
        <w:ind w:hanging="369"/>
        <w:jc w:val="left"/>
        <w:rPr>
          <w:color w:val="000000" w:themeColor="text1"/>
          <w:lang w:val="en-US"/>
        </w:rPr>
      </w:pPr>
      <w:r w:rsidRPr="000573CA">
        <w:rPr>
          <w:sz w:val="16"/>
          <w:szCs w:val="16"/>
          <w:lang w:val="en-US"/>
        </w:rPr>
        <w:t>45</w:t>
      </w:r>
      <w:r w:rsidR="000428CF" w:rsidRPr="0095340D">
        <w:rPr>
          <w:lang w:val="en-US"/>
        </w:rPr>
        <w:tab/>
      </w:r>
      <w:r w:rsidR="000428CF" w:rsidRPr="0095340D">
        <w:rPr>
          <w:color w:val="000000" w:themeColor="text1"/>
          <w:lang w:val="en-US"/>
        </w:rPr>
        <w:t xml:space="preserve">   end</w:t>
      </w:r>
    </w:p>
    <w:p w:rsidR="000414BE" w:rsidRPr="000414BE" w:rsidRDefault="000414BE" w:rsidP="007C6E09">
      <w:pPr>
        <w:pStyle w:val="Text"/>
        <w:ind w:firstLine="0"/>
        <w:jc w:val="left"/>
        <w:rPr>
          <w:color w:val="000000" w:themeColor="text1"/>
        </w:rPr>
      </w:pPr>
      <w:r w:rsidRPr="008801FB">
        <w:rPr>
          <w:color w:val="000000" w:themeColor="text1"/>
          <w:lang w:val="en-US"/>
        </w:rPr>
        <w:t xml:space="preserve">   </w:t>
      </w:r>
      <w:r w:rsidRPr="000414BE">
        <w:rPr>
          <w:color w:val="000000" w:themeColor="text1"/>
        </w:rPr>
        <w:t>write (“</w:t>
      </w:r>
      <w:r w:rsidRPr="000414BE">
        <w:rPr>
          <w:rFonts w:eastAsia="Times New Roman" w:cs="Times New Roman"/>
        </w:rPr>
        <w:t>&amp;nbsp;&amp;nbsp;&amp;nbsp;&amp;nbsp;&amp;nbsp;</w:t>
      </w:r>
      <w:r w:rsidRPr="000414BE">
        <w:rPr>
          <w:color w:val="000000" w:themeColor="text1"/>
        </w:rPr>
        <w:t>”)</w:t>
      </w:r>
    </w:p>
    <w:p w:rsidR="0043046D" w:rsidRPr="000414BE" w:rsidRDefault="0043046D" w:rsidP="007C6E09">
      <w:pPr>
        <w:pStyle w:val="Text"/>
        <w:ind w:firstLine="0"/>
        <w:jc w:val="left"/>
        <w:rPr>
          <w:color w:val="000000" w:themeColor="text1"/>
        </w:rPr>
      </w:pPr>
      <w:r w:rsidRPr="000414BE">
        <w:rPr>
          <w:color w:val="000000" w:themeColor="text1"/>
        </w:rPr>
        <w:t xml:space="preserve">   </w:t>
      </w:r>
      <w:r w:rsidR="00D836E9" w:rsidRPr="000414BE">
        <w:rPr>
          <w:i/>
          <w:color w:val="000000" w:themeColor="text1"/>
        </w:rPr>
        <w:t>B</w:t>
      </w:r>
      <w:r w:rsidR="00D836E9" w:rsidRPr="000414BE">
        <w:rPr>
          <w:i/>
          <w:color w:val="000000" w:themeColor="text1"/>
          <w:vertAlign w:val="superscript"/>
        </w:rPr>
        <w:t>G</w:t>
      </w:r>
      <w:r w:rsidRPr="000414BE">
        <w:rPr>
          <w:color w:val="000000" w:themeColor="text1"/>
        </w:rPr>
        <w:t xml:space="preserve"> := Sortieren (</w:t>
      </w:r>
      <w:r w:rsidR="00D836E9" w:rsidRPr="000414BE">
        <w:rPr>
          <w:i/>
          <w:color w:val="000000" w:themeColor="text1"/>
        </w:rPr>
        <w:t>B</w:t>
      </w:r>
      <w:r w:rsidR="00D836E9" w:rsidRPr="000414BE">
        <w:rPr>
          <w:i/>
          <w:color w:val="000000" w:themeColor="text1"/>
          <w:vertAlign w:val="superscript"/>
        </w:rPr>
        <w:t>G</w:t>
      </w:r>
      <w:r w:rsidRPr="000414BE">
        <w:rPr>
          <w:color w:val="000000" w:themeColor="text1"/>
        </w:rPr>
        <w:t>)</w:t>
      </w:r>
    </w:p>
    <w:p w:rsidR="00773E0D" w:rsidRPr="0043046D" w:rsidRDefault="00773E0D" w:rsidP="007C6E09">
      <w:pPr>
        <w:pStyle w:val="Text"/>
        <w:ind w:firstLine="0"/>
        <w:jc w:val="left"/>
        <w:rPr>
          <w:color w:val="000000" w:themeColor="text1"/>
          <w:lang w:val="en-US"/>
        </w:rPr>
      </w:pPr>
      <w:r w:rsidRPr="005754E6">
        <w:rPr>
          <w:color w:val="000000" w:themeColor="text1"/>
        </w:rPr>
        <w:t xml:space="preserve">   </w:t>
      </w:r>
      <w:r w:rsidRPr="008B2921">
        <w:rPr>
          <w:color w:val="000000" w:themeColor="text1"/>
          <w:lang w:val="en-US"/>
        </w:rPr>
        <w:t xml:space="preserve">for </w:t>
      </w:r>
      <w:r w:rsidRPr="008B2921">
        <w:rPr>
          <w:i/>
          <w:color w:val="000000" w:themeColor="text1"/>
          <w:lang w:val="en-US"/>
        </w:rPr>
        <w:t>n</w:t>
      </w:r>
      <w:r w:rsidRPr="008B2921">
        <w:rPr>
          <w:color w:val="000000" w:themeColor="text1"/>
          <w:lang w:val="en-US"/>
        </w:rPr>
        <w:t xml:space="preserve"> := 1 to |</w:t>
      </w:r>
      <w:r w:rsidRPr="008B2921">
        <w:rPr>
          <w:i/>
          <w:color w:val="000000" w:themeColor="text1"/>
          <w:lang w:val="en-US"/>
        </w:rPr>
        <w:t>B</w:t>
      </w:r>
      <w:r w:rsidRPr="008B2921">
        <w:rPr>
          <w:i/>
          <w:color w:val="000000" w:themeColor="text1"/>
          <w:vertAlign w:val="superscript"/>
          <w:lang w:val="en-US"/>
        </w:rPr>
        <w:t>G</w:t>
      </w:r>
      <w:r w:rsidRPr="008B2921">
        <w:rPr>
          <w:color w:val="000000" w:themeColor="text1"/>
          <w:lang w:val="en-US"/>
        </w:rPr>
        <w:t>|</w:t>
      </w:r>
    </w:p>
    <w:p w:rsidR="005A0131" w:rsidRPr="008B2921" w:rsidRDefault="005A0131" w:rsidP="007C6E09">
      <w:pPr>
        <w:pStyle w:val="Text"/>
        <w:ind w:firstLine="0"/>
        <w:jc w:val="left"/>
        <w:rPr>
          <w:color w:val="000000" w:themeColor="text1"/>
          <w:lang w:val="en-US"/>
        </w:rPr>
      </w:pPr>
      <w:r w:rsidRPr="008B2921">
        <w:rPr>
          <w:color w:val="000000" w:themeColor="text1"/>
          <w:lang w:val="en-US"/>
        </w:rPr>
        <w:t xml:space="preserve">      write </w:t>
      </w:r>
      <w:r w:rsidR="00D676FC">
        <w:rPr>
          <w:color w:val="000000" w:themeColor="text1"/>
          <w:lang w:val="en-US"/>
        </w:rPr>
        <w:t>(</w:t>
      </w:r>
      <w:r w:rsidRPr="008B2921">
        <w:rPr>
          <w:color w:val="000000" w:themeColor="text1"/>
          <w:lang w:val="en-US"/>
        </w:rPr>
        <w:t>“</w:t>
      </w:r>
      <w:r w:rsidRPr="008B2921">
        <w:rPr>
          <w:i/>
          <w:color w:val="000000" w:themeColor="text1"/>
          <w:lang w:val="en-US"/>
        </w:rPr>
        <w:t>B</w:t>
      </w:r>
      <w:r w:rsidRPr="008B2921">
        <w:rPr>
          <w:color w:val="000000" w:themeColor="text1"/>
          <w:lang w:val="en-US"/>
        </w:rPr>
        <w:t>&lt;sub&gt;</w:t>
      </w:r>
      <w:r w:rsidR="009A11D7" w:rsidRPr="008B2921">
        <w:rPr>
          <w:color w:val="000000" w:themeColor="text1"/>
          <w:lang w:val="en-US"/>
        </w:rPr>
        <w:t>”</w:t>
      </w:r>
      <w:r w:rsidRPr="008B2921">
        <w:rPr>
          <w:color w:val="000000" w:themeColor="text1"/>
          <w:lang w:val="en-US"/>
        </w:rPr>
        <w:t xml:space="preserve"> </w:t>
      </w:r>
      <w:r w:rsidR="00D836E9" w:rsidRPr="008B2921">
        <w:rPr>
          <w:i/>
          <w:color w:val="000000" w:themeColor="text1"/>
          <w:lang w:val="en-US"/>
        </w:rPr>
        <w:t>B</w:t>
      </w:r>
      <w:r w:rsidR="00D836E9" w:rsidRPr="008B2921">
        <w:rPr>
          <w:i/>
          <w:color w:val="000000" w:themeColor="text1"/>
          <w:vertAlign w:val="superscript"/>
          <w:lang w:val="en-US"/>
        </w:rPr>
        <w:t>G</w:t>
      </w:r>
      <w:r w:rsidR="00AF5258" w:rsidRPr="008B2921">
        <w:rPr>
          <w:i/>
          <w:color w:val="000000" w:themeColor="text1"/>
          <w:vertAlign w:val="subscript"/>
          <w:lang w:val="en-US"/>
        </w:rPr>
        <w:t>n</w:t>
      </w:r>
      <w:r w:rsidR="009A11D7">
        <w:rPr>
          <w:color w:val="000000" w:themeColor="text1"/>
          <w:lang w:val="en-US"/>
        </w:rPr>
        <w:t xml:space="preserve"> </w:t>
      </w:r>
      <w:r w:rsidR="009A11D7" w:rsidRPr="008B2921">
        <w:rPr>
          <w:color w:val="000000" w:themeColor="text1"/>
          <w:lang w:val="en-US"/>
        </w:rPr>
        <w:t>“</w:t>
      </w:r>
      <w:r w:rsidR="009A11D7">
        <w:rPr>
          <w:color w:val="000000" w:themeColor="text1"/>
          <w:lang w:val="en-US"/>
        </w:rPr>
        <w:t>&lt;/sub&gt;</w:t>
      </w:r>
      <w:r w:rsidRPr="008B2921">
        <w:rPr>
          <w:color w:val="000000" w:themeColor="text1"/>
          <w:lang w:val="en-US"/>
        </w:rPr>
        <w:t xml:space="preserve"> </w:t>
      </w:r>
      <w:r w:rsidR="003B3E92" w:rsidRPr="00CC5CB4">
        <w:rPr>
          <w:rFonts w:ascii="Cambria Math" w:hAnsi="Cambria Math" w:cs="Cambria Math"/>
          <w:color w:val="000000" w:themeColor="text1"/>
          <w:lang w:val="en-US"/>
        </w:rPr>
        <w:t>∧</w:t>
      </w:r>
      <w:r w:rsidRPr="008B2921">
        <w:rPr>
          <w:position w:val="-4"/>
          <w:lang w:val="en-US"/>
        </w:rPr>
        <w:t xml:space="preserve"> </w:t>
      </w:r>
      <w:r w:rsidRPr="008B2921">
        <w:rPr>
          <w:color w:val="000000" w:themeColor="text1"/>
          <w:lang w:val="en-US"/>
        </w:rPr>
        <w:t>”</w:t>
      </w:r>
      <w:r w:rsidR="00D676FC">
        <w:rPr>
          <w:color w:val="000000" w:themeColor="text1"/>
          <w:lang w:val="en-US"/>
        </w:rPr>
        <w:t>)</w:t>
      </w:r>
    </w:p>
    <w:p w:rsidR="00773E0D" w:rsidRPr="0095340D" w:rsidRDefault="00773E0D" w:rsidP="008801FB">
      <w:pPr>
        <w:pStyle w:val="Text"/>
        <w:ind w:hanging="369"/>
        <w:jc w:val="left"/>
        <w:rPr>
          <w:color w:val="000000" w:themeColor="text1"/>
          <w:lang w:val="en-US"/>
        </w:rPr>
      </w:pPr>
      <w:r w:rsidRPr="000573CA">
        <w:rPr>
          <w:sz w:val="16"/>
          <w:szCs w:val="16"/>
          <w:lang w:val="en-US"/>
        </w:rPr>
        <w:t>5</w:t>
      </w:r>
      <w:r w:rsidR="00BE6BF8" w:rsidRPr="000573CA">
        <w:rPr>
          <w:sz w:val="16"/>
          <w:szCs w:val="16"/>
          <w:lang w:val="en-US"/>
        </w:rPr>
        <w:t>0</w:t>
      </w:r>
      <w:r w:rsidRPr="0095340D">
        <w:rPr>
          <w:lang w:val="en-US"/>
        </w:rPr>
        <w:tab/>
      </w:r>
      <w:r w:rsidR="00F44C3D" w:rsidRPr="008B2921">
        <w:rPr>
          <w:color w:val="000000" w:themeColor="text1"/>
          <w:lang w:val="en-US"/>
        </w:rPr>
        <w:t xml:space="preserve">   </w:t>
      </w:r>
      <w:r w:rsidR="00F44C3D" w:rsidRPr="004F6512">
        <w:rPr>
          <w:color w:val="000000" w:themeColor="text1"/>
          <w:lang w:val="en-US"/>
        </w:rPr>
        <w:t>end</w:t>
      </w:r>
    </w:p>
    <w:p w:rsidR="00F44C3D" w:rsidRDefault="00F44C3D" w:rsidP="007C6E09">
      <w:pPr>
        <w:pStyle w:val="Text"/>
        <w:ind w:firstLine="0"/>
        <w:jc w:val="left"/>
        <w:rPr>
          <w:color w:val="000000" w:themeColor="text1"/>
          <w:lang w:val="en-US"/>
        </w:rPr>
      </w:pPr>
      <w:r w:rsidRPr="004F6512">
        <w:rPr>
          <w:color w:val="000000" w:themeColor="text1"/>
          <w:lang w:val="en-US"/>
        </w:rPr>
        <w:t xml:space="preserve">   for </w:t>
      </w:r>
      <w:r w:rsidRPr="004F6512">
        <w:rPr>
          <w:i/>
          <w:color w:val="000000" w:themeColor="text1"/>
          <w:lang w:val="en-US"/>
        </w:rPr>
        <w:t>n</w:t>
      </w:r>
      <w:r w:rsidRPr="004F6512">
        <w:rPr>
          <w:color w:val="000000" w:themeColor="text1"/>
          <w:lang w:val="en-US"/>
        </w:rPr>
        <w:t xml:space="preserve"> := 1 to (|</w:t>
      </w:r>
      <w:r w:rsidRPr="004F6512">
        <w:rPr>
          <w:i/>
          <w:color w:val="000000" w:themeColor="text1"/>
          <w:lang w:val="en-US"/>
        </w:rPr>
        <w:t>P</w:t>
      </w:r>
      <w:r w:rsidRPr="004F6512">
        <w:rPr>
          <w:color w:val="000000" w:themeColor="text1"/>
          <w:lang w:val="en-US"/>
        </w:rPr>
        <w:t xml:space="preserve">| </w:t>
      </w:r>
      <w:r w:rsidRPr="004F6512">
        <w:rPr>
          <w:rFonts w:cs="Times New Roman"/>
          <w:color w:val="000000" w:themeColor="text1"/>
          <w:lang w:val="en-US"/>
        </w:rPr>
        <w:t xml:space="preserve">− </w:t>
      </w:r>
      <w:r w:rsidRPr="004F6512">
        <w:rPr>
          <w:color w:val="000000" w:themeColor="text1"/>
          <w:lang w:val="en-US"/>
        </w:rPr>
        <w:t>|</w:t>
      </w:r>
      <w:r w:rsidRPr="004F6512">
        <w:rPr>
          <w:i/>
          <w:color w:val="000000" w:themeColor="text1"/>
          <w:lang w:val="en-US"/>
        </w:rPr>
        <w:t>B</w:t>
      </w:r>
      <w:r w:rsidRPr="004F6512">
        <w:rPr>
          <w:i/>
          <w:color w:val="000000" w:themeColor="text1"/>
          <w:vertAlign w:val="superscript"/>
          <w:lang w:val="en-US"/>
        </w:rPr>
        <w:t>G</w:t>
      </w:r>
      <w:r w:rsidRPr="004F6512">
        <w:rPr>
          <w:color w:val="000000" w:themeColor="text1"/>
          <w:lang w:val="en-US"/>
        </w:rPr>
        <w:t>|)</w:t>
      </w:r>
    </w:p>
    <w:p w:rsidR="005A0131" w:rsidRDefault="005A0131" w:rsidP="007C6E09">
      <w:pPr>
        <w:pStyle w:val="Text"/>
        <w:ind w:firstLine="0"/>
        <w:jc w:val="left"/>
        <w:rPr>
          <w:color w:val="000000" w:themeColor="text1"/>
          <w:lang w:val="en-US"/>
        </w:rPr>
      </w:pPr>
      <w:r w:rsidRPr="004F6512">
        <w:rPr>
          <w:color w:val="000000" w:themeColor="text1"/>
          <w:lang w:val="en-US"/>
        </w:rPr>
        <w:t xml:space="preserve">      </w:t>
      </w:r>
      <w:r w:rsidRPr="008B2921">
        <w:rPr>
          <w:color w:val="000000" w:themeColor="text1"/>
          <w:lang w:val="en-US"/>
        </w:rPr>
        <w:t xml:space="preserve">write </w:t>
      </w:r>
      <w:r w:rsidR="00D676FC">
        <w:rPr>
          <w:color w:val="000000" w:themeColor="text1"/>
          <w:lang w:val="en-US"/>
        </w:rPr>
        <w:t>(</w:t>
      </w:r>
      <w:r w:rsidRPr="008B2921">
        <w:rPr>
          <w:color w:val="000000" w:themeColor="text1"/>
          <w:lang w:val="en-US"/>
        </w:rPr>
        <w:t>“</w:t>
      </w:r>
      <w:r w:rsidRPr="008B2921">
        <w:rPr>
          <w:i/>
          <w:color w:val="000000" w:themeColor="text1"/>
          <w:lang w:val="en-US"/>
        </w:rPr>
        <w:t>B</w:t>
      </w:r>
      <w:r w:rsidRPr="008B2921">
        <w:rPr>
          <w:color w:val="000000" w:themeColor="text1"/>
          <w:lang w:val="en-US"/>
        </w:rPr>
        <w:t>&lt;sub&gt;</w:t>
      </w:r>
      <w:r w:rsidR="009A11D7" w:rsidRPr="008B2921">
        <w:rPr>
          <w:color w:val="000000" w:themeColor="text1"/>
          <w:lang w:val="en-US"/>
        </w:rPr>
        <w:t>”</w:t>
      </w:r>
      <w:r w:rsidRPr="008B2921">
        <w:rPr>
          <w:color w:val="000000" w:themeColor="text1"/>
          <w:lang w:val="en-US"/>
        </w:rPr>
        <w:t xml:space="preserve"> </w:t>
      </w:r>
      <w:r w:rsidR="003768FC" w:rsidRPr="008B2921">
        <w:rPr>
          <w:color w:val="000000" w:themeColor="text1"/>
          <w:lang w:val="en-US"/>
        </w:rPr>
        <w:t>(</w:t>
      </w:r>
      <w:r w:rsidRPr="008B2921">
        <w:rPr>
          <w:i/>
          <w:color w:val="000000" w:themeColor="text1"/>
          <w:lang w:val="en-US"/>
        </w:rPr>
        <w:t>w</w:t>
      </w:r>
      <w:r w:rsidRPr="008B2921">
        <w:rPr>
          <w:color w:val="000000" w:themeColor="text1"/>
          <w:lang w:val="en-US"/>
        </w:rPr>
        <w:t xml:space="preserve"> </w:t>
      </w:r>
      <w:r w:rsidR="003768FC" w:rsidRPr="008B2921">
        <w:rPr>
          <w:rFonts w:cs="Times New Roman"/>
          <w:color w:val="000000" w:themeColor="text1"/>
          <w:lang w:val="en-US"/>
        </w:rPr>
        <w:t>−</w:t>
      </w:r>
      <w:r w:rsidRPr="008B2921">
        <w:rPr>
          <w:color w:val="000000" w:themeColor="text1"/>
          <w:lang w:val="en-US"/>
        </w:rPr>
        <w:t xml:space="preserve"> </w:t>
      </w:r>
      <w:r w:rsidR="003768FC" w:rsidRPr="008B2921">
        <w:rPr>
          <w:color w:val="000000" w:themeColor="text1"/>
          <w:lang w:val="en-US"/>
        </w:rPr>
        <w:t>(|</w:t>
      </w:r>
      <w:r w:rsidR="003768FC" w:rsidRPr="008B2921">
        <w:rPr>
          <w:i/>
          <w:color w:val="000000" w:themeColor="text1"/>
          <w:lang w:val="en-US"/>
        </w:rPr>
        <w:t>P</w:t>
      </w:r>
      <w:r w:rsidR="003768FC" w:rsidRPr="008B2921">
        <w:rPr>
          <w:color w:val="000000" w:themeColor="text1"/>
          <w:lang w:val="en-US"/>
        </w:rPr>
        <w:t xml:space="preserve">| </w:t>
      </w:r>
      <w:r w:rsidR="003768FC" w:rsidRPr="008B2921">
        <w:rPr>
          <w:rFonts w:cs="Times New Roman"/>
          <w:color w:val="000000" w:themeColor="text1"/>
          <w:lang w:val="en-US"/>
        </w:rPr>
        <w:t xml:space="preserve">− </w:t>
      </w:r>
      <w:r w:rsidR="003768FC" w:rsidRPr="008B2921">
        <w:rPr>
          <w:color w:val="000000" w:themeColor="text1"/>
          <w:lang w:val="en-US"/>
        </w:rPr>
        <w:t>|</w:t>
      </w:r>
      <w:r w:rsidR="003768FC" w:rsidRPr="008B2921">
        <w:rPr>
          <w:i/>
          <w:color w:val="000000" w:themeColor="text1"/>
          <w:lang w:val="en-US"/>
        </w:rPr>
        <w:t>B</w:t>
      </w:r>
      <w:r w:rsidR="003768FC" w:rsidRPr="008B2921">
        <w:rPr>
          <w:i/>
          <w:color w:val="000000" w:themeColor="text1"/>
          <w:vertAlign w:val="superscript"/>
          <w:lang w:val="en-US"/>
        </w:rPr>
        <w:t>G</w:t>
      </w:r>
      <w:r w:rsidR="003768FC" w:rsidRPr="008B2921">
        <w:rPr>
          <w:color w:val="000000" w:themeColor="text1"/>
          <w:lang w:val="en-US"/>
        </w:rPr>
        <w:t>|)</w:t>
      </w:r>
      <w:r w:rsidR="00CE3988" w:rsidRPr="008B2921">
        <w:rPr>
          <w:color w:val="000000" w:themeColor="text1"/>
          <w:lang w:val="en-US"/>
        </w:rPr>
        <w:t>)</w:t>
      </w:r>
      <w:r w:rsidRPr="008B2921">
        <w:rPr>
          <w:color w:val="000000" w:themeColor="text1"/>
          <w:lang w:val="en-US"/>
        </w:rPr>
        <w:t xml:space="preserve"> + </w:t>
      </w:r>
      <w:r w:rsidR="00AF5258" w:rsidRPr="008B2921">
        <w:rPr>
          <w:i/>
          <w:color w:val="000000" w:themeColor="text1"/>
          <w:lang w:val="en-US"/>
        </w:rPr>
        <w:t>n</w:t>
      </w:r>
      <w:r w:rsidRPr="008B2921">
        <w:rPr>
          <w:color w:val="000000" w:themeColor="text1"/>
          <w:lang w:val="en-US"/>
        </w:rPr>
        <w:t xml:space="preserve"> </w:t>
      </w:r>
      <w:r w:rsidR="009A11D7" w:rsidRPr="008B2921">
        <w:rPr>
          <w:color w:val="000000" w:themeColor="text1"/>
          <w:lang w:val="en-US"/>
        </w:rPr>
        <w:t>“</w:t>
      </w:r>
      <w:r w:rsidRPr="008B2921">
        <w:rPr>
          <w:color w:val="000000" w:themeColor="text1"/>
          <w:lang w:val="en-US"/>
        </w:rPr>
        <w:t xml:space="preserve">&lt;/sub&gt; </w:t>
      </w:r>
      <w:r w:rsidR="003B3E92" w:rsidRPr="00CC5CB4">
        <w:rPr>
          <w:rFonts w:ascii="Cambria Math" w:hAnsi="Cambria Math" w:cs="Cambria Math"/>
          <w:color w:val="000000" w:themeColor="text1"/>
          <w:lang w:val="en-US"/>
        </w:rPr>
        <w:t>∧</w:t>
      </w:r>
      <w:r w:rsidRPr="008B2921">
        <w:rPr>
          <w:position w:val="-4"/>
          <w:lang w:val="en-US"/>
        </w:rPr>
        <w:t xml:space="preserve"> </w:t>
      </w:r>
      <w:r w:rsidRPr="008B2921">
        <w:rPr>
          <w:color w:val="000000" w:themeColor="text1"/>
          <w:lang w:val="en-US"/>
        </w:rPr>
        <w:t>”</w:t>
      </w:r>
      <w:r w:rsidR="00D676FC">
        <w:rPr>
          <w:color w:val="000000" w:themeColor="text1"/>
          <w:lang w:val="en-US"/>
        </w:rPr>
        <w:t>)</w:t>
      </w:r>
    </w:p>
    <w:p w:rsidR="00773E0D" w:rsidRPr="008F0315" w:rsidRDefault="00773E0D" w:rsidP="007C6E09">
      <w:pPr>
        <w:pStyle w:val="Text"/>
        <w:ind w:firstLine="0"/>
        <w:jc w:val="left"/>
        <w:rPr>
          <w:color w:val="000000" w:themeColor="text1"/>
          <w:lang w:val="en-US"/>
        </w:rPr>
      </w:pPr>
      <w:r w:rsidRPr="00AE73EE">
        <w:rPr>
          <w:color w:val="000000" w:themeColor="text1"/>
          <w:lang w:val="en-US"/>
        </w:rPr>
        <w:t xml:space="preserve">   </w:t>
      </w:r>
      <w:r w:rsidRPr="008F0315">
        <w:rPr>
          <w:color w:val="000000" w:themeColor="text1"/>
          <w:lang w:val="en-US"/>
        </w:rPr>
        <w:t>end</w:t>
      </w:r>
    </w:p>
    <w:p w:rsidR="0043046D" w:rsidRPr="008F0315" w:rsidRDefault="0043046D" w:rsidP="007C6E09">
      <w:pPr>
        <w:pStyle w:val="Text"/>
        <w:ind w:firstLine="0"/>
        <w:jc w:val="left"/>
        <w:rPr>
          <w:color w:val="000000" w:themeColor="text1"/>
          <w:lang w:val="en-US"/>
        </w:rPr>
      </w:pPr>
      <w:r w:rsidRPr="008F0315">
        <w:rPr>
          <w:color w:val="000000" w:themeColor="text1"/>
          <w:lang w:val="en-US"/>
        </w:rPr>
        <w:t xml:space="preserve">   </w:t>
      </w:r>
      <w:r w:rsidR="00D836E9" w:rsidRPr="008F0315">
        <w:rPr>
          <w:i/>
          <w:color w:val="000000" w:themeColor="text1"/>
          <w:lang w:val="en-US"/>
        </w:rPr>
        <w:t>Er</w:t>
      </w:r>
      <w:r w:rsidR="00D836E9" w:rsidRPr="008F0315">
        <w:rPr>
          <w:i/>
          <w:color w:val="000000" w:themeColor="text1"/>
          <w:vertAlign w:val="superscript"/>
          <w:lang w:val="en-US"/>
        </w:rPr>
        <w:t>G</w:t>
      </w:r>
      <w:r w:rsidRPr="008F0315">
        <w:rPr>
          <w:color w:val="000000" w:themeColor="text1"/>
          <w:lang w:val="en-US"/>
        </w:rPr>
        <w:t xml:space="preserve"> := Sortieren (</w:t>
      </w:r>
      <w:r w:rsidR="00D836E9" w:rsidRPr="008F0315">
        <w:rPr>
          <w:i/>
          <w:color w:val="000000" w:themeColor="text1"/>
          <w:lang w:val="en-US"/>
        </w:rPr>
        <w:t>Er</w:t>
      </w:r>
      <w:r w:rsidR="00D836E9" w:rsidRPr="008F0315">
        <w:rPr>
          <w:i/>
          <w:color w:val="000000" w:themeColor="text1"/>
          <w:vertAlign w:val="superscript"/>
          <w:lang w:val="en-US"/>
        </w:rPr>
        <w:t>G</w:t>
      </w:r>
      <w:r w:rsidRPr="008F0315">
        <w:rPr>
          <w:color w:val="000000" w:themeColor="text1"/>
          <w:lang w:val="en-US"/>
        </w:rPr>
        <w:t>)</w:t>
      </w:r>
    </w:p>
    <w:p w:rsidR="00BE6BF8" w:rsidRPr="008F0315" w:rsidRDefault="00BE6BF8" w:rsidP="008801FB">
      <w:pPr>
        <w:pStyle w:val="Text"/>
        <w:ind w:hanging="369"/>
        <w:jc w:val="left"/>
        <w:rPr>
          <w:color w:val="000000" w:themeColor="text1"/>
          <w:lang w:val="en-US"/>
        </w:rPr>
      </w:pPr>
      <w:r w:rsidRPr="008F0315">
        <w:rPr>
          <w:sz w:val="16"/>
          <w:szCs w:val="16"/>
          <w:lang w:val="en-US"/>
        </w:rPr>
        <w:t>55</w:t>
      </w:r>
      <w:r w:rsidRPr="008F0315">
        <w:rPr>
          <w:lang w:val="en-US"/>
        </w:rPr>
        <w:tab/>
      </w:r>
      <w:r w:rsidR="00F44C3D" w:rsidRPr="008F0315">
        <w:rPr>
          <w:color w:val="000000" w:themeColor="text1"/>
          <w:lang w:val="en-US"/>
        </w:rPr>
        <w:t xml:space="preserve">   for </w:t>
      </w:r>
      <w:r w:rsidR="00F44C3D" w:rsidRPr="008F0315">
        <w:rPr>
          <w:i/>
          <w:color w:val="000000" w:themeColor="text1"/>
          <w:lang w:val="en-US"/>
        </w:rPr>
        <w:t>n</w:t>
      </w:r>
      <w:r w:rsidR="00F44C3D" w:rsidRPr="008F0315">
        <w:rPr>
          <w:color w:val="000000" w:themeColor="text1"/>
          <w:lang w:val="en-US"/>
        </w:rPr>
        <w:t xml:space="preserve"> := 1 to |</w:t>
      </w:r>
      <w:r w:rsidR="00F44C3D" w:rsidRPr="008F0315">
        <w:rPr>
          <w:i/>
          <w:color w:val="000000" w:themeColor="text1"/>
          <w:lang w:val="en-US"/>
        </w:rPr>
        <w:t>Er</w:t>
      </w:r>
      <w:r w:rsidR="00F44C3D" w:rsidRPr="008F0315">
        <w:rPr>
          <w:i/>
          <w:color w:val="000000" w:themeColor="text1"/>
          <w:vertAlign w:val="superscript"/>
          <w:lang w:val="en-US"/>
        </w:rPr>
        <w:t>G</w:t>
      </w:r>
      <w:r w:rsidR="00F44C3D" w:rsidRPr="008F0315">
        <w:rPr>
          <w:color w:val="000000" w:themeColor="text1"/>
          <w:lang w:val="en-US"/>
        </w:rPr>
        <w:t>|</w:t>
      </w:r>
    </w:p>
    <w:p w:rsidR="00F44C3D" w:rsidRPr="008F0315" w:rsidRDefault="00F44C3D" w:rsidP="007C6E09">
      <w:pPr>
        <w:pStyle w:val="Text"/>
        <w:ind w:firstLine="0"/>
        <w:jc w:val="left"/>
        <w:rPr>
          <w:color w:val="000000" w:themeColor="text1"/>
          <w:lang w:val="en-US"/>
        </w:rPr>
      </w:pPr>
      <w:r w:rsidRPr="008F0315">
        <w:rPr>
          <w:color w:val="000000" w:themeColor="text1"/>
          <w:lang w:val="en-US"/>
        </w:rPr>
        <w:t xml:space="preserve">      write (“</w:t>
      </w:r>
      <w:r w:rsidRPr="008F0315">
        <w:rPr>
          <w:i/>
          <w:color w:val="000000" w:themeColor="text1"/>
          <w:lang w:val="en-US"/>
        </w:rPr>
        <w:t>Er</w:t>
      </w:r>
      <w:r w:rsidRPr="008F0315">
        <w:rPr>
          <w:color w:val="000000" w:themeColor="text1"/>
          <w:lang w:val="en-US"/>
        </w:rPr>
        <w:t xml:space="preserve">&lt;sub&gt;” </w:t>
      </w:r>
      <w:r w:rsidRPr="008F0315">
        <w:rPr>
          <w:i/>
          <w:color w:val="000000" w:themeColor="text1"/>
          <w:lang w:val="en-US"/>
        </w:rPr>
        <w:t>Er</w:t>
      </w:r>
      <w:r w:rsidRPr="008F0315">
        <w:rPr>
          <w:i/>
          <w:color w:val="000000" w:themeColor="text1"/>
          <w:vertAlign w:val="superscript"/>
          <w:lang w:val="en-US"/>
        </w:rPr>
        <w:t>G</w:t>
      </w:r>
      <w:r w:rsidRPr="008F0315">
        <w:rPr>
          <w:i/>
          <w:color w:val="000000" w:themeColor="text1"/>
          <w:vertAlign w:val="subscript"/>
          <w:lang w:val="en-US"/>
        </w:rPr>
        <w:t>n</w:t>
      </w:r>
      <w:r w:rsidRPr="008F0315">
        <w:rPr>
          <w:color w:val="000000" w:themeColor="text1"/>
          <w:lang w:val="en-US"/>
        </w:rPr>
        <w:t xml:space="preserve"> “&lt;/sub&gt; </w:t>
      </w:r>
      <w:r w:rsidRPr="008F0315">
        <w:rPr>
          <w:rFonts w:ascii="Cambria Math" w:hAnsi="Cambria Math" w:cs="Cambria Math"/>
          <w:color w:val="000000" w:themeColor="text1"/>
          <w:lang w:val="en-US"/>
        </w:rPr>
        <w:t>∧</w:t>
      </w:r>
      <w:r w:rsidRPr="008F0315">
        <w:rPr>
          <w:position w:val="-4"/>
          <w:lang w:val="en-US"/>
        </w:rPr>
        <w:t xml:space="preserve"> </w:t>
      </w:r>
      <w:r w:rsidRPr="008F0315">
        <w:rPr>
          <w:color w:val="000000" w:themeColor="text1"/>
          <w:lang w:val="en-US"/>
        </w:rPr>
        <w:t>”)</w:t>
      </w:r>
    </w:p>
    <w:p w:rsidR="001C53FF" w:rsidRPr="008F0315" w:rsidRDefault="001C53FF" w:rsidP="007C6E09">
      <w:pPr>
        <w:pStyle w:val="Text"/>
        <w:ind w:firstLine="0"/>
        <w:jc w:val="left"/>
        <w:rPr>
          <w:color w:val="000000" w:themeColor="text1"/>
          <w:lang w:val="en-US"/>
        </w:rPr>
      </w:pPr>
      <w:r w:rsidRPr="008F0315">
        <w:rPr>
          <w:color w:val="000000" w:themeColor="text1"/>
          <w:lang w:val="en-US"/>
        </w:rPr>
        <w:t xml:space="preserve">   end</w:t>
      </w:r>
    </w:p>
    <w:p w:rsidR="00C24417" w:rsidRPr="00C24417" w:rsidRDefault="00C24417" w:rsidP="007C6E09">
      <w:pPr>
        <w:pStyle w:val="Text"/>
        <w:ind w:firstLine="0"/>
        <w:jc w:val="left"/>
        <w:rPr>
          <w:color w:val="000000" w:themeColor="text1"/>
        </w:rPr>
      </w:pPr>
      <w:r w:rsidRPr="008F0315">
        <w:rPr>
          <w:color w:val="000000" w:themeColor="text1"/>
          <w:lang w:val="en-US"/>
        </w:rPr>
        <w:t xml:space="preserve">   </w:t>
      </w:r>
      <w:r w:rsidRPr="00C24417">
        <w:rPr>
          <w:i/>
          <w:color w:val="000000" w:themeColor="text1"/>
        </w:rPr>
        <w:t>Er</w:t>
      </w:r>
      <w:r w:rsidRPr="00C24417">
        <w:rPr>
          <w:color w:val="000000" w:themeColor="text1"/>
          <w:vertAlign w:val="subscript"/>
        </w:rPr>
        <w:t>(f)</w:t>
      </w:r>
      <w:r w:rsidRPr="00C24417">
        <w:rPr>
          <w:i/>
          <w:color w:val="000000" w:themeColor="text1"/>
          <w:vertAlign w:val="superscript"/>
        </w:rPr>
        <w:t>G</w:t>
      </w:r>
      <w:r w:rsidRPr="00C24417">
        <w:rPr>
          <w:color w:val="000000" w:themeColor="text1"/>
        </w:rPr>
        <w:t xml:space="preserve"> := Sortieren (</w:t>
      </w:r>
      <w:r w:rsidRPr="00C24417">
        <w:rPr>
          <w:i/>
          <w:color w:val="000000" w:themeColor="text1"/>
        </w:rPr>
        <w:t>Er</w:t>
      </w:r>
      <w:r w:rsidRPr="00C24417">
        <w:rPr>
          <w:color w:val="000000" w:themeColor="text1"/>
          <w:vertAlign w:val="subscript"/>
        </w:rPr>
        <w:t>(f)</w:t>
      </w:r>
      <w:r w:rsidRPr="00C24417">
        <w:rPr>
          <w:i/>
          <w:color w:val="000000" w:themeColor="text1"/>
          <w:vertAlign w:val="superscript"/>
        </w:rPr>
        <w:t>G</w:t>
      </w:r>
      <w:r w:rsidRPr="00C24417">
        <w:rPr>
          <w:color w:val="000000" w:themeColor="text1"/>
        </w:rPr>
        <w:t>)</w:t>
      </w:r>
    </w:p>
    <w:p w:rsidR="00C24417" w:rsidRPr="00C24417" w:rsidRDefault="00C24417" w:rsidP="007C6E09">
      <w:pPr>
        <w:pStyle w:val="Text"/>
        <w:ind w:firstLine="0"/>
        <w:jc w:val="left"/>
        <w:rPr>
          <w:color w:val="000000" w:themeColor="text1"/>
          <w:lang w:val="en-US"/>
        </w:rPr>
      </w:pPr>
      <w:r w:rsidRPr="008F0315">
        <w:rPr>
          <w:color w:val="000000" w:themeColor="text1"/>
        </w:rPr>
        <w:t xml:space="preserve">   </w:t>
      </w:r>
      <w:r w:rsidRPr="00C24417">
        <w:rPr>
          <w:color w:val="000000" w:themeColor="text1"/>
          <w:lang w:val="en-US"/>
        </w:rPr>
        <w:t xml:space="preserve">for </w:t>
      </w:r>
      <w:r w:rsidRPr="00C24417">
        <w:rPr>
          <w:i/>
          <w:color w:val="000000" w:themeColor="text1"/>
          <w:lang w:val="en-US"/>
        </w:rPr>
        <w:t>n</w:t>
      </w:r>
      <w:r w:rsidRPr="00C24417">
        <w:rPr>
          <w:color w:val="000000" w:themeColor="text1"/>
          <w:lang w:val="en-US"/>
        </w:rPr>
        <w:t xml:space="preserve"> := 1 to |</w:t>
      </w:r>
      <w:r w:rsidRPr="00C24417">
        <w:rPr>
          <w:i/>
          <w:color w:val="000000" w:themeColor="text1"/>
          <w:lang w:val="en-US"/>
        </w:rPr>
        <w:t>Er</w:t>
      </w:r>
      <w:r w:rsidRPr="00C24417">
        <w:rPr>
          <w:color w:val="000000" w:themeColor="text1"/>
          <w:vertAlign w:val="subscript"/>
          <w:lang w:val="en-US"/>
        </w:rPr>
        <w:t>(f)</w:t>
      </w:r>
      <w:r w:rsidRPr="00C24417">
        <w:rPr>
          <w:i/>
          <w:color w:val="000000" w:themeColor="text1"/>
          <w:vertAlign w:val="superscript"/>
          <w:lang w:val="en-US"/>
        </w:rPr>
        <w:t>G</w:t>
      </w:r>
      <w:r w:rsidRPr="00C24417">
        <w:rPr>
          <w:color w:val="000000" w:themeColor="text1"/>
          <w:lang w:val="en-US"/>
        </w:rPr>
        <w:t>|</w:t>
      </w:r>
    </w:p>
    <w:p w:rsidR="00227971" w:rsidRPr="00B416E3" w:rsidRDefault="00BE6BF8" w:rsidP="008801FB">
      <w:pPr>
        <w:pStyle w:val="Text"/>
        <w:ind w:hanging="369"/>
        <w:jc w:val="left"/>
        <w:rPr>
          <w:color w:val="000000" w:themeColor="text1"/>
        </w:rPr>
      </w:pPr>
      <w:r w:rsidRPr="000573CA">
        <w:rPr>
          <w:sz w:val="16"/>
          <w:szCs w:val="16"/>
        </w:rPr>
        <w:t>60</w:t>
      </w:r>
      <w:r w:rsidR="00227971" w:rsidRPr="00B416E3">
        <w:tab/>
      </w:r>
      <w:r w:rsidR="00F44C3D" w:rsidRPr="00B416E3">
        <w:rPr>
          <w:color w:val="000000" w:themeColor="text1"/>
        </w:rPr>
        <w:t xml:space="preserve">      </w:t>
      </w:r>
      <w:r w:rsidR="00F44C3D" w:rsidRPr="00C24417">
        <w:rPr>
          <w:color w:val="000000" w:themeColor="text1"/>
        </w:rPr>
        <w:t xml:space="preserve">write </w:t>
      </w:r>
      <w:r w:rsidR="00F44C3D">
        <w:rPr>
          <w:color w:val="000000" w:themeColor="text1"/>
        </w:rPr>
        <w:t>(</w:t>
      </w:r>
      <w:r w:rsidR="00F44C3D" w:rsidRPr="00C24417">
        <w:rPr>
          <w:color w:val="000000" w:themeColor="text1"/>
        </w:rPr>
        <w:t>“</w:t>
      </w:r>
      <w:r w:rsidR="00F44C3D" w:rsidRPr="00C24417">
        <w:rPr>
          <w:i/>
          <w:color w:val="000000" w:themeColor="text1"/>
        </w:rPr>
        <w:t>Er</w:t>
      </w:r>
      <w:r w:rsidR="00F44C3D" w:rsidRPr="00C24417">
        <w:rPr>
          <w:color w:val="000000" w:themeColor="text1"/>
          <w:vertAlign w:val="subscript"/>
        </w:rPr>
        <w:t>(f)</w:t>
      </w:r>
      <w:r w:rsidR="00F44C3D" w:rsidRPr="00C24417">
        <w:rPr>
          <w:color w:val="000000" w:themeColor="text1"/>
        </w:rPr>
        <w:t xml:space="preserve">&lt;sub&gt;” </w:t>
      </w:r>
      <w:r w:rsidR="00F44C3D" w:rsidRPr="00C24417">
        <w:rPr>
          <w:i/>
          <w:color w:val="000000" w:themeColor="text1"/>
        </w:rPr>
        <w:t>Er</w:t>
      </w:r>
      <w:r w:rsidR="00F44C3D" w:rsidRPr="00C24417">
        <w:rPr>
          <w:color w:val="000000" w:themeColor="text1"/>
          <w:vertAlign w:val="subscript"/>
        </w:rPr>
        <w:t>(f)</w:t>
      </w:r>
      <w:r w:rsidR="00F44C3D" w:rsidRPr="00C24417">
        <w:rPr>
          <w:i/>
          <w:color w:val="000000" w:themeColor="text1"/>
          <w:vertAlign w:val="superscript"/>
        </w:rPr>
        <w:t>G</w:t>
      </w:r>
      <w:r w:rsidR="00F44C3D" w:rsidRPr="00C24417">
        <w:rPr>
          <w:i/>
          <w:color w:val="000000" w:themeColor="text1"/>
          <w:vertAlign w:val="subscript"/>
        </w:rPr>
        <w:t>n</w:t>
      </w:r>
      <w:r w:rsidR="00F44C3D">
        <w:rPr>
          <w:color w:val="000000" w:themeColor="text1"/>
        </w:rPr>
        <w:t xml:space="preserve"> </w:t>
      </w:r>
      <w:r w:rsidR="00F44C3D" w:rsidRPr="00C24417">
        <w:rPr>
          <w:color w:val="000000" w:themeColor="text1"/>
        </w:rPr>
        <w:t>“</w:t>
      </w:r>
      <w:r w:rsidR="00F44C3D">
        <w:rPr>
          <w:color w:val="000000" w:themeColor="text1"/>
        </w:rPr>
        <w:t>&lt;/sub&gt;</w:t>
      </w:r>
      <w:r w:rsidR="00F44C3D" w:rsidRPr="00C24417">
        <w:rPr>
          <w:color w:val="000000" w:themeColor="text1"/>
        </w:rPr>
        <w:t xml:space="preserve"> </w:t>
      </w:r>
      <w:r w:rsidR="00F44C3D" w:rsidRPr="003B3E92">
        <w:rPr>
          <w:rFonts w:ascii="Cambria Math" w:hAnsi="Cambria Math" w:cs="Cambria Math"/>
          <w:color w:val="000000" w:themeColor="text1"/>
        </w:rPr>
        <w:t>∧</w:t>
      </w:r>
      <w:r w:rsidR="00F44C3D" w:rsidRPr="00C24417">
        <w:rPr>
          <w:position w:val="-4"/>
        </w:rPr>
        <w:t xml:space="preserve"> </w:t>
      </w:r>
      <w:r w:rsidR="00F44C3D" w:rsidRPr="00C24417">
        <w:rPr>
          <w:color w:val="000000" w:themeColor="text1"/>
        </w:rPr>
        <w:t>”</w:t>
      </w:r>
      <w:r w:rsidR="00F44C3D">
        <w:rPr>
          <w:color w:val="000000" w:themeColor="text1"/>
        </w:rPr>
        <w:t>)</w:t>
      </w:r>
    </w:p>
    <w:p w:rsidR="00F44C3D" w:rsidRDefault="00F44C3D" w:rsidP="007C6E09">
      <w:pPr>
        <w:pStyle w:val="Text"/>
        <w:ind w:firstLine="0"/>
        <w:jc w:val="left"/>
        <w:rPr>
          <w:color w:val="000000" w:themeColor="text1"/>
          <w:lang w:val="en-US"/>
        </w:rPr>
      </w:pPr>
      <w:r w:rsidRPr="00B416E3">
        <w:rPr>
          <w:color w:val="000000" w:themeColor="text1"/>
        </w:rPr>
        <w:t xml:space="preserve">   </w:t>
      </w:r>
      <w:r>
        <w:rPr>
          <w:color w:val="000000" w:themeColor="text1"/>
          <w:lang w:val="en-US"/>
        </w:rPr>
        <w:t>end</w:t>
      </w:r>
    </w:p>
    <w:p w:rsidR="00BE6BF8" w:rsidRDefault="00BE6BF8" w:rsidP="007C6E09">
      <w:pPr>
        <w:pStyle w:val="Text"/>
        <w:ind w:firstLine="0"/>
        <w:jc w:val="left"/>
        <w:rPr>
          <w:color w:val="000000" w:themeColor="text1"/>
          <w:lang w:val="en-US"/>
        </w:rPr>
      </w:pPr>
      <w:r w:rsidRPr="00AD317A">
        <w:rPr>
          <w:color w:val="000000" w:themeColor="text1"/>
          <w:lang w:val="en-US"/>
        </w:rPr>
        <w:t xml:space="preserve">   for </w:t>
      </w:r>
      <w:r>
        <w:rPr>
          <w:i/>
          <w:color w:val="000000" w:themeColor="text1"/>
          <w:lang w:val="en-US"/>
        </w:rPr>
        <w:t>n</w:t>
      </w:r>
      <w:r w:rsidRPr="00AD317A">
        <w:rPr>
          <w:color w:val="000000" w:themeColor="text1"/>
          <w:lang w:val="en-US"/>
        </w:rPr>
        <w:t xml:space="preserve"> := 1 to </w:t>
      </w:r>
      <w:r>
        <w:rPr>
          <w:color w:val="000000" w:themeColor="text1"/>
          <w:lang w:val="en-US"/>
        </w:rPr>
        <w:t>(</w:t>
      </w:r>
      <w:r w:rsidRPr="003621D5">
        <w:rPr>
          <w:color w:val="000000" w:themeColor="text1"/>
          <w:lang w:val="en-US"/>
        </w:rPr>
        <w:t>|</w:t>
      </w:r>
      <w:r w:rsidRPr="003621D5">
        <w:rPr>
          <w:i/>
          <w:color w:val="000000" w:themeColor="text1"/>
          <w:lang w:val="en-US"/>
        </w:rPr>
        <w:t>Q</w:t>
      </w:r>
      <w:r w:rsidRPr="003621D5">
        <w:rPr>
          <w:color w:val="000000" w:themeColor="text1"/>
          <w:lang w:val="en-US"/>
        </w:rPr>
        <w:t>|</w:t>
      </w:r>
      <w:r>
        <w:rPr>
          <w:color w:val="000000" w:themeColor="text1"/>
          <w:lang w:val="en-US"/>
        </w:rPr>
        <w:t xml:space="preserve"> </w:t>
      </w:r>
      <w:r w:rsidRPr="003621D5">
        <w:rPr>
          <w:rFonts w:cs="Times New Roman"/>
          <w:color w:val="000000" w:themeColor="text1"/>
          <w:lang w:val="en-US"/>
        </w:rPr>
        <w:t>−</w:t>
      </w:r>
      <w:r>
        <w:rPr>
          <w:rFonts w:cs="Times New Roman"/>
          <w:color w:val="000000" w:themeColor="text1"/>
          <w:lang w:val="en-US"/>
        </w:rPr>
        <w:t xml:space="preserve"> (</w:t>
      </w:r>
      <w:r w:rsidRPr="003621D5">
        <w:rPr>
          <w:color w:val="000000" w:themeColor="text1"/>
          <w:lang w:val="en-US"/>
        </w:rPr>
        <w:t>|</w:t>
      </w:r>
      <w:r w:rsidRPr="00F804D6">
        <w:rPr>
          <w:i/>
          <w:color w:val="000000" w:themeColor="text1"/>
          <w:lang w:val="en-US"/>
        </w:rPr>
        <w:t>Er</w:t>
      </w:r>
      <w:r w:rsidRPr="00F804D6">
        <w:rPr>
          <w:i/>
          <w:color w:val="000000" w:themeColor="text1"/>
          <w:vertAlign w:val="superscript"/>
          <w:lang w:val="en-US"/>
        </w:rPr>
        <w:t>G</w:t>
      </w:r>
      <w:r w:rsidRPr="003621D5">
        <w:rPr>
          <w:color w:val="000000" w:themeColor="text1"/>
          <w:lang w:val="en-US"/>
        </w:rPr>
        <w:t>|</w:t>
      </w:r>
      <w:r>
        <w:rPr>
          <w:color w:val="000000" w:themeColor="text1"/>
          <w:lang w:val="en-US"/>
        </w:rPr>
        <w:t xml:space="preserve"> + </w:t>
      </w:r>
      <w:r w:rsidRPr="00C24417">
        <w:rPr>
          <w:color w:val="000000" w:themeColor="text1"/>
          <w:lang w:val="en-US"/>
        </w:rPr>
        <w:t>|</w:t>
      </w:r>
      <w:r w:rsidRPr="00C24417">
        <w:rPr>
          <w:i/>
          <w:color w:val="000000" w:themeColor="text1"/>
          <w:lang w:val="en-US"/>
        </w:rPr>
        <w:t>Er</w:t>
      </w:r>
      <w:r w:rsidRPr="00C24417">
        <w:rPr>
          <w:color w:val="000000" w:themeColor="text1"/>
          <w:vertAlign w:val="subscript"/>
          <w:lang w:val="en-US"/>
        </w:rPr>
        <w:t>(f)</w:t>
      </w:r>
      <w:r w:rsidRPr="00C24417">
        <w:rPr>
          <w:i/>
          <w:color w:val="000000" w:themeColor="text1"/>
          <w:vertAlign w:val="superscript"/>
          <w:lang w:val="en-US"/>
        </w:rPr>
        <w:t>G</w:t>
      </w:r>
      <w:r w:rsidRPr="00C24417">
        <w:rPr>
          <w:color w:val="000000" w:themeColor="text1"/>
          <w:lang w:val="en-US"/>
        </w:rPr>
        <w:t>|</w:t>
      </w:r>
      <w:r>
        <w:rPr>
          <w:color w:val="000000" w:themeColor="text1"/>
          <w:lang w:val="en-US"/>
        </w:rPr>
        <w:t>)</w:t>
      </w:r>
      <w:r>
        <w:rPr>
          <w:rFonts w:cs="Times New Roman"/>
          <w:color w:val="000000" w:themeColor="text1"/>
          <w:lang w:val="en-US"/>
        </w:rPr>
        <w:t>)</w:t>
      </w:r>
    </w:p>
    <w:p w:rsidR="00EA2FEC" w:rsidRDefault="00EA2FEC" w:rsidP="007C6E09">
      <w:pPr>
        <w:pStyle w:val="Text"/>
        <w:ind w:firstLine="0"/>
        <w:jc w:val="left"/>
        <w:rPr>
          <w:color w:val="000000" w:themeColor="text1"/>
          <w:lang w:val="en-US"/>
        </w:rPr>
      </w:pPr>
      <w:r w:rsidRPr="003621D5">
        <w:rPr>
          <w:color w:val="000000" w:themeColor="text1"/>
          <w:lang w:val="en-US"/>
        </w:rPr>
        <w:t xml:space="preserve">      write </w:t>
      </w:r>
      <w:r w:rsidR="00D676FC">
        <w:rPr>
          <w:color w:val="000000" w:themeColor="text1"/>
          <w:lang w:val="en-US"/>
        </w:rPr>
        <w:t>(</w:t>
      </w:r>
      <w:r w:rsidRPr="003621D5">
        <w:rPr>
          <w:color w:val="000000" w:themeColor="text1"/>
          <w:lang w:val="en-US"/>
        </w:rPr>
        <w:t>“</w:t>
      </w:r>
      <w:r w:rsidRPr="003621D5">
        <w:rPr>
          <w:i/>
          <w:color w:val="000000" w:themeColor="text1"/>
          <w:lang w:val="en-US"/>
        </w:rPr>
        <w:t>Er</w:t>
      </w:r>
      <w:r w:rsidR="00C24417" w:rsidRPr="00C24417">
        <w:rPr>
          <w:color w:val="000000" w:themeColor="text1"/>
          <w:vertAlign w:val="subscript"/>
          <w:lang w:val="en-US"/>
        </w:rPr>
        <w:t>(f)</w:t>
      </w:r>
      <w:r w:rsidRPr="003621D5">
        <w:rPr>
          <w:color w:val="000000" w:themeColor="text1"/>
          <w:lang w:val="en-US"/>
        </w:rPr>
        <w:t>&lt;</w:t>
      </w:r>
      <w:r w:rsidR="003621D5" w:rsidRPr="003621D5">
        <w:rPr>
          <w:color w:val="000000" w:themeColor="text1"/>
          <w:lang w:val="en-US"/>
        </w:rPr>
        <w:t>sub</w:t>
      </w:r>
      <w:r w:rsidRPr="003621D5">
        <w:rPr>
          <w:color w:val="000000" w:themeColor="text1"/>
          <w:lang w:val="en-US"/>
        </w:rPr>
        <w:t>&gt;</w:t>
      </w:r>
      <w:r w:rsidR="009A11D7" w:rsidRPr="003621D5">
        <w:rPr>
          <w:color w:val="000000" w:themeColor="text1"/>
          <w:lang w:val="en-US"/>
        </w:rPr>
        <w:t>”</w:t>
      </w:r>
      <w:r w:rsidRPr="003621D5">
        <w:rPr>
          <w:color w:val="000000" w:themeColor="text1"/>
          <w:lang w:val="en-US"/>
        </w:rPr>
        <w:t xml:space="preserve"> </w:t>
      </w:r>
      <w:r w:rsidR="00CE3988">
        <w:rPr>
          <w:color w:val="000000" w:themeColor="text1"/>
          <w:lang w:val="en-US"/>
        </w:rPr>
        <w:t>(</w:t>
      </w:r>
      <w:r w:rsidR="006644E1" w:rsidRPr="003621D5">
        <w:rPr>
          <w:i/>
          <w:color w:val="000000" w:themeColor="text1"/>
          <w:lang w:val="en-US"/>
        </w:rPr>
        <w:t>x</w:t>
      </w:r>
      <w:r w:rsidRPr="003621D5">
        <w:rPr>
          <w:color w:val="000000" w:themeColor="text1"/>
          <w:lang w:val="en-US"/>
        </w:rPr>
        <w:t xml:space="preserve"> </w:t>
      </w:r>
      <w:r w:rsidRPr="003621D5">
        <w:rPr>
          <w:rFonts w:cs="Times New Roman"/>
          <w:color w:val="000000" w:themeColor="text1"/>
          <w:lang w:val="en-US"/>
        </w:rPr>
        <w:t>−</w:t>
      </w:r>
      <w:r w:rsidRPr="003621D5">
        <w:rPr>
          <w:color w:val="000000" w:themeColor="text1"/>
          <w:lang w:val="en-US"/>
        </w:rPr>
        <w:t xml:space="preserve"> </w:t>
      </w:r>
      <w:r w:rsidR="00CE3988">
        <w:rPr>
          <w:color w:val="000000" w:themeColor="text1"/>
          <w:lang w:val="en-US"/>
        </w:rPr>
        <w:t>(</w:t>
      </w:r>
      <w:r w:rsidRPr="003621D5">
        <w:rPr>
          <w:color w:val="000000" w:themeColor="text1"/>
          <w:lang w:val="en-US"/>
        </w:rPr>
        <w:t>|</w:t>
      </w:r>
      <w:r w:rsidR="006644E1" w:rsidRPr="003621D5">
        <w:rPr>
          <w:i/>
          <w:color w:val="000000" w:themeColor="text1"/>
          <w:lang w:val="en-US"/>
        </w:rPr>
        <w:t>Q</w:t>
      </w:r>
      <w:r w:rsidRPr="003621D5">
        <w:rPr>
          <w:color w:val="000000" w:themeColor="text1"/>
          <w:lang w:val="en-US"/>
        </w:rPr>
        <w:t>|</w:t>
      </w:r>
      <w:r w:rsidR="00CE3988">
        <w:rPr>
          <w:color w:val="000000" w:themeColor="text1"/>
          <w:lang w:val="en-US"/>
        </w:rPr>
        <w:t xml:space="preserve"> </w:t>
      </w:r>
      <w:r w:rsidR="00CE3988" w:rsidRPr="003621D5">
        <w:rPr>
          <w:rFonts w:cs="Times New Roman"/>
          <w:color w:val="000000" w:themeColor="text1"/>
          <w:lang w:val="en-US"/>
        </w:rPr>
        <w:t>−</w:t>
      </w:r>
      <w:r w:rsidR="00CE3988">
        <w:rPr>
          <w:rFonts w:cs="Times New Roman"/>
          <w:color w:val="000000" w:themeColor="text1"/>
          <w:lang w:val="en-US"/>
        </w:rPr>
        <w:t xml:space="preserve"> </w:t>
      </w:r>
      <w:r w:rsidR="00C24417">
        <w:rPr>
          <w:rFonts w:cs="Times New Roman"/>
          <w:color w:val="000000" w:themeColor="text1"/>
          <w:lang w:val="en-US"/>
        </w:rPr>
        <w:t>(</w:t>
      </w:r>
      <w:r w:rsidR="00C24417" w:rsidRPr="003621D5">
        <w:rPr>
          <w:color w:val="000000" w:themeColor="text1"/>
          <w:lang w:val="en-US"/>
        </w:rPr>
        <w:t>|</w:t>
      </w:r>
      <w:r w:rsidR="00CE3988" w:rsidRPr="00F804D6">
        <w:rPr>
          <w:i/>
          <w:color w:val="000000" w:themeColor="text1"/>
          <w:lang w:val="en-US"/>
        </w:rPr>
        <w:t>Er</w:t>
      </w:r>
      <w:r w:rsidR="00CE3988" w:rsidRPr="00F804D6">
        <w:rPr>
          <w:i/>
          <w:color w:val="000000" w:themeColor="text1"/>
          <w:vertAlign w:val="superscript"/>
          <w:lang w:val="en-US"/>
        </w:rPr>
        <w:t>G</w:t>
      </w:r>
      <w:r w:rsidR="00C24417" w:rsidRPr="003621D5">
        <w:rPr>
          <w:color w:val="000000" w:themeColor="text1"/>
          <w:lang w:val="en-US"/>
        </w:rPr>
        <w:t>|</w:t>
      </w:r>
      <w:r w:rsidR="00C24417">
        <w:rPr>
          <w:color w:val="000000" w:themeColor="text1"/>
          <w:lang w:val="en-US"/>
        </w:rPr>
        <w:t xml:space="preserve"> + </w:t>
      </w:r>
      <w:r w:rsidR="00C24417" w:rsidRPr="00C24417">
        <w:rPr>
          <w:color w:val="000000" w:themeColor="text1"/>
          <w:lang w:val="en-US"/>
        </w:rPr>
        <w:t>|</w:t>
      </w:r>
      <w:r w:rsidR="00C24417" w:rsidRPr="00C24417">
        <w:rPr>
          <w:i/>
          <w:color w:val="000000" w:themeColor="text1"/>
          <w:lang w:val="en-US"/>
        </w:rPr>
        <w:t>Er</w:t>
      </w:r>
      <w:r w:rsidR="00C24417" w:rsidRPr="00C24417">
        <w:rPr>
          <w:color w:val="000000" w:themeColor="text1"/>
          <w:vertAlign w:val="subscript"/>
          <w:lang w:val="en-US"/>
        </w:rPr>
        <w:t>(f)</w:t>
      </w:r>
      <w:r w:rsidR="00C24417" w:rsidRPr="00C24417">
        <w:rPr>
          <w:i/>
          <w:color w:val="000000" w:themeColor="text1"/>
          <w:vertAlign w:val="superscript"/>
          <w:lang w:val="en-US"/>
        </w:rPr>
        <w:t>G</w:t>
      </w:r>
      <w:r w:rsidR="00C24417" w:rsidRPr="00C24417">
        <w:rPr>
          <w:color w:val="000000" w:themeColor="text1"/>
          <w:lang w:val="en-US"/>
        </w:rPr>
        <w:t>|</w:t>
      </w:r>
      <w:r w:rsidR="00C24417">
        <w:rPr>
          <w:color w:val="000000" w:themeColor="text1"/>
          <w:lang w:val="en-US"/>
        </w:rPr>
        <w:t>))</w:t>
      </w:r>
      <w:r w:rsidR="00CE3988">
        <w:rPr>
          <w:rFonts w:cs="Times New Roman"/>
          <w:color w:val="000000" w:themeColor="text1"/>
          <w:lang w:val="en-US"/>
        </w:rPr>
        <w:t>)</w:t>
      </w:r>
      <w:r w:rsidRPr="003621D5">
        <w:rPr>
          <w:color w:val="000000" w:themeColor="text1"/>
          <w:lang w:val="en-US"/>
        </w:rPr>
        <w:t xml:space="preserve"> + </w:t>
      </w:r>
      <w:r w:rsidR="00AF5258">
        <w:rPr>
          <w:i/>
          <w:color w:val="000000" w:themeColor="text1"/>
          <w:lang w:val="en-US"/>
        </w:rPr>
        <w:t>n</w:t>
      </w:r>
      <w:r w:rsidRPr="003621D5">
        <w:rPr>
          <w:color w:val="000000" w:themeColor="text1"/>
          <w:lang w:val="en-US"/>
        </w:rPr>
        <w:t xml:space="preserve"> </w:t>
      </w:r>
      <w:r w:rsidR="009A11D7" w:rsidRPr="00BF62E4">
        <w:rPr>
          <w:color w:val="000000" w:themeColor="text1"/>
          <w:lang w:val="en-US"/>
        </w:rPr>
        <w:t>“</w:t>
      </w:r>
      <w:r w:rsidRPr="003621D5">
        <w:rPr>
          <w:color w:val="000000" w:themeColor="text1"/>
          <w:lang w:val="en-US"/>
        </w:rPr>
        <w:t>&lt;/</w:t>
      </w:r>
      <w:r w:rsidR="001A342E" w:rsidRPr="003621D5">
        <w:rPr>
          <w:color w:val="000000" w:themeColor="text1"/>
          <w:lang w:val="en-US"/>
        </w:rPr>
        <w:t>sub</w:t>
      </w:r>
      <w:r w:rsidR="009A11D7">
        <w:rPr>
          <w:color w:val="000000" w:themeColor="text1"/>
          <w:lang w:val="en-US"/>
        </w:rPr>
        <w:t>&gt;</w:t>
      </w:r>
      <w:r w:rsidR="00BF62E4">
        <w:rPr>
          <w:color w:val="000000" w:themeColor="text1"/>
          <w:lang w:val="en-US"/>
        </w:rPr>
        <w:t xml:space="preserve"> </w:t>
      </w:r>
      <w:r w:rsidR="003B3E92" w:rsidRPr="00CC5CB4">
        <w:rPr>
          <w:rFonts w:ascii="Cambria Math" w:hAnsi="Cambria Math" w:cs="Cambria Math"/>
          <w:color w:val="000000" w:themeColor="text1"/>
          <w:lang w:val="en-US"/>
        </w:rPr>
        <w:t>∧</w:t>
      </w:r>
      <w:r w:rsidR="00BF62E4" w:rsidRPr="0070712C">
        <w:rPr>
          <w:position w:val="-4"/>
          <w:lang w:val="en-US"/>
        </w:rPr>
        <w:t xml:space="preserve"> </w:t>
      </w:r>
      <w:r w:rsidR="00BF62E4" w:rsidRPr="00BF62E4">
        <w:rPr>
          <w:color w:val="000000" w:themeColor="text1"/>
          <w:lang w:val="en-US"/>
        </w:rPr>
        <w:t>”</w:t>
      </w:r>
      <w:r w:rsidR="00D676FC">
        <w:rPr>
          <w:color w:val="000000" w:themeColor="text1"/>
          <w:lang w:val="en-US"/>
        </w:rPr>
        <w:t>)</w:t>
      </w:r>
    </w:p>
    <w:p w:rsidR="005A0131" w:rsidRPr="00C06F76" w:rsidRDefault="005A0131" w:rsidP="007C6E09">
      <w:pPr>
        <w:pStyle w:val="Text"/>
        <w:ind w:firstLine="0"/>
        <w:jc w:val="left"/>
        <w:rPr>
          <w:color w:val="000000" w:themeColor="text1"/>
          <w:lang w:val="en-US"/>
        </w:rPr>
      </w:pPr>
      <w:r>
        <w:rPr>
          <w:color w:val="000000" w:themeColor="text1"/>
          <w:lang w:val="en-US"/>
        </w:rPr>
        <w:t xml:space="preserve">   </w:t>
      </w:r>
      <w:r w:rsidRPr="00C06F76">
        <w:rPr>
          <w:color w:val="000000" w:themeColor="text1"/>
          <w:lang w:val="en-US"/>
        </w:rPr>
        <w:t>end</w:t>
      </w:r>
    </w:p>
    <w:p w:rsidR="00BF62E4" w:rsidRPr="008B2921" w:rsidRDefault="001C53FF" w:rsidP="00856CFE">
      <w:pPr>
        <w:pStyle w:val="Text"/>
        <w:ind w:hanging="369"/>
        <w:jc w:val="left"/>
        <w:rPr>
          <w:color w:val="000000" w:themeColor="text1"/>
          <w:lang w:val="en-US"/>
        </w:rPr>
      </w:pPr>
      <w:r w:rsidRPr="000573CA">
        <w:rPr>
          <w:sz w:val="16"/>
          <w:szCs w:val="16"/>
          <w:lang w:val="en-US"/>
        </w:rPr>
        <w:t>6</w:t>
      </w:r>
      <w:r w:rsidR="00BE6BF8" w:rsidRPr="000573CA">
        <w:rPr>
          <w:sz w:val="16"/>
          <w:szCs w:val="16"/>
          <w:lang w:val="en-US"/>
        </w:rPr>
        <w:t>5</w:t>
      </w:r>
      <w:r w:rsidR="00BF62E4" w:rsidRPr="008B2921">
        <w:rPr>
          <w:lang w:val="en-US"/>
        </w:rPr>
        <w:tab/>
      </w:r>
      <w:r w:rsidR="00631AAF" w:rsidRPr="00AB1002">
        <w:rPr>
          <w:color w:val="000000" w:themeColor="text1"/>
          <w:lang w:val="en-US"/>
        </w:rPr>
        <w:t xml:space="preserve">   </w:t>
      </w:r>
      <w:r w:rsidR="00631AAF">
        <w:rPr>
          <w:i/>
          <w:color w:val="000000" w:themeColor="text1"/>
          <w:lang w:val="en-US"/>
        </w:rPr>
        <w:t>H</w:t>
      </w:r>
      <w:r w:rsidR="00631AAF" w:rsidRPr="00D836E9">
        <w:rPr>
          <w:i/>
          <w:color w:val="000000" w:themeColor="text1"/>
          <w:vertAlign w:val="superscript"/>
          <w:lang w:val="en-US"/>
        </w:rPr>
        <w:t>G</w:t>
      </w:r>
      <w:r w:rsidR="00631AAF" w:rsidRPr="00AB1002">
        <w:rPr>
          <w:color w:val="000000" w:themeColor="text1"/>
          <w:lang w:val="en-US"/>
        </w:rPr>
        <w:t xml:space="preserve"> := Sortieren (</w:t>
      </w:r>
      <w:r w:rsidR="00631AAF">
        <w:rPr>
          <w:i/>
          <w:color w:val="000000" w:themeColor="text1"/>
          <w:lang w:val="en-US"/>
        </w:rPr>
        <w:t>H</w:t>
      </w:r>
      <w:r w:rsidR="00631AAF" w:rsidRPr="00D836E9">
        <w:rPr>
          <w:i/>
          <w:color w:val="000000" w:themeColor="text1"/>
          <w:vertAlign w:val="superscript"/>
          <w:lang w:val="en-US"/>
        </w:rPr>
        <w:t>G</w:t>
      </w:r>
      <w:r w:rsidR="00631AAF" w:rsidRPr="00AB1002">
        <w:rPr>
          <w:color w:val="000000" w:themeColor="text1"/>
          <w:lang w:val="en-US"/>
        </w:rPr>
        <w:t>)</w:t>
      </w:r>
    </w:p>
    <w:p w:rsidR="00631AAF" w:rsidRDefault="00631AAF" w:rsidP="007C6E09">
      <w:pPr>
        <w:pStyle w:val="Text"/>
        <w:ind w:firstLine="0"/>
        <w:jc w:val="left"/>
        <w:rPr>
          <w:color w:val="000000" w:themeColor="text1"/>
          <w:lang w:val="en-US"/>
        </w:rPr>
      </w:pPr>
      <w:r w:rsidRPr="00AB1002">
        <w:rPr>
          <w:color w:val="000000" w:themeColor="text1"/>
          <w:lang w:val="en-US"/>
        </w:rPr>
        <w:t xml:space="preserve">   </w:t>
      </w:r>
      <w:r w:rsidRPr="00EA2FEC">
        <w:rPr>
          <w:color w:val="000000" w:themeColor="text1"/>
          <w:lang w:val="en-US"/>
        </w:rPr>
        <w:t xml:space="preserve">for </w:t>
      </w:r>
      <w:r>
        <w:rPr>
          <w:i/>
          <w:color w:val="000000" w:themeColor="text1"/>
          <w:lang w:val="en-US"/>
        </w:rPr>
        <w:t>n</w:t>
      </w:r>
      <w:r w:rsidRPr="00EA2FEC">
        <w:rPr>
          <w:color w:val="000000" w:themeColor="text1"/>
          <w:lang w:val="en-US"/>
        </w:rPr>
        <w:t xml:space="preserve"> := 1 to |</w:t>
      </w:r>
      <w:r>
        <w:rPr>
          <w:i/>
          <w:color w:val="000000" w:themeColor="text1"/>
          <w:lang w:val="en-US"/>
        </w:rPr>
        <w:t>H</w:t>
      </w:r>
      <w:r w:rsidRPr="00D836E9">
        <w:rPr>
          <w:i/>
          <w:color w:val="000000" w:themeColor="text1"/>
          <w:vertAlign w:val="superscript"/>
          <w:lang w:val="en-US"/>
        </w:rPr>
        <w:t>G</w:t>
      </w:r>
      <w:r w:rsidRPr="00EA2FEC">
        <w:rPr>
          <w:color w:val="000000" w:themeColor="text1"/>
          <w:lang w:val="en-US"/>
        </w:rPr>
        <w:t>|</w:t>
      </w:r>
    </w:p>
    <w:p w:rsidR="00BE6BF8" w:rsidRDefault="00BE6BF8" w:rsidP="007C6E09">
      <w:pPr>
        <w:pStyle w:val="Text"/>
        <w:ind w:firstLine="0"/>
        <w:jc w:val="left"/>
        <w:rPr>
          <w:color w:val="000000" w:themeColor="text1"/>
          <w:lang w:val="en-US"/>
        </w:rPr>
      </w:pPr>
      <w:r w:rsidRPr="008B2921">
        <w:rPr>
          <w:color w:val="000000" w:themeColor="text1"/>
          <w:lang w:val="en-US"/>
        </w:rPr>
        <w:lastRenderedPageBreak/>
        <w:t xml:space="preserve">      write </w:t>
      </w:r>
      <w:r w:rsidR="00D676FC">
        <w:rPr>
          <w:color w:val="000000" w:themeColor="text1"/>
          <w:lang w:val="en-US"/>
        </w:rPr>
        <w:t>(</w:t>
      </w:r>
      <w:r w:rsidRPr="008B2921">
        <w:rPr>
          <w:color w:val="000000" w:themeColor="text1"/>
          <w:lang w:val="en-US"/>
        </w:rPr>
        <w:t>“</w:t>
      </w:r>
      <w:r w:rsidRPr="008B2921">
        <w:rPr>
          <w:i/>
          <w:color w:val="000000" w:themeColor="text1"/>
          <w:lang w:val="en-US"/>
        </w:rPr>
        <w:t>H</w:t>
      </w:r>
      <w:r w:rsidRPr="008B2921">
        <w:rPr>
          <w:color w:val="000000" w:themeColor="text1"/>
          <w:lang w:val="en-US"/>
        </w:rPr>
        <w:t>&lt;sub&gt;</w:t>
      </w:r>
      <w:r w:rsidR="009A11D7" w:rsidRPr="008B2921">
        <w:rPr>
          <w:color w:val="000000" w:themeColor="text1"/>
          <w:lang w:val="en-US"/>
        </w:rPr>
        <w:t>”</w:t>
      </w:r>
      <w:r w:rsidRPr="008B2921">
        <w:rPr>
          <w:color w:val="000000" w:themeColor="text1"/>
          <w:lang w:val="en-US"/>
        </w:rPr>
        <w:t xml:space="preserve"> </w:t>
      </w:r>
      <w:r w:rsidRPr="008B2921">
        <w:rPr>
          <w:i/>
          <w:color w:val="000000" w:themeColor="text1"/>
          <w:lang w:val="en-US"/>
        </w:rPr>
        <w:t>H</w:t>
      </w:r>
      <w:r w:rsidRPr="008B2921">
        <w:rPr>
          <w:i/>
          <w:color w:val="000000" w:themeColor="text1"/>
          <w:vertAlign w:val="superscript"/>
          <w:lang w:val="en-US"/>
        </w:rPr>
        <w:t>G</w:t>
      </w:r>
      <w:r w:rsidRPr="008B2921">
        <w:rPr>
          <w:i/>
          <w:color w:val="000000" w:themeColor="text1"/>
          <w:vertAlign w:val="subscript"/>
          <w:lang w:val="en-US"/>
        </w:rPr>
        <w:t>n</w:t>
      </w:r>
      <w:r w:rsidRPr="008B32E2">
        <w:rPr>
          <w:color w:val="000000" w:themeColor="text1"/>
          <w:lang w:val="en-US"/>
        </w:rPr>
        <w:t xml:space="preserve"> </w:t>
      </w:r>
      <w:r w:rsidR="009A11D7" w:rsidRPr="008B2921">
        <w:rPr>
          <w:color w:val="000000" w:themeColor="text1"/>
          <w:lang w:val="en-US"/>
        </w:rPr>
        <w:t>“</w:t>
      </w:r>
      <w:r w:rsidR="009A11D7">
        <w:rPr>
          <w:color w:val="000000" w:themeColor="text1"/>
          <w:lang w:val="en-US"/>
        </w:rPr>
        <w:t>&lt;/sub&gt;</w:t>
      </w:r>
      <w:r w:rsidRPr="008B2921">
        <w:rPr>
          <w:color w:val="000000" w:themeColor="text1"/>
          <w:lang w:val="en-US"/>
        </w:rPr>
        <w:t xml:space="preserve"> </w:t>
      </w:r>
      <w:r w:rsidR="003B3E92" w:rsidRPr="00CC5CB4">
        <w:rPr>
          <w:rFonts w:ascii="Cambria Math" w:hAnsi="Cambria Math" w:cs="Cambria Math"/>
          <w:color w:val="000000" w:themeColor="text1"/>
          <w:lang w:val="en-US"/>
        </w:rPr>
        <w:t>∧</w:t>
      </w:r>
      <w:r w:rsidRPr="008B2921">
        <w:rPr>
          <w:position w:val="-4"/>
          <w:lang w:val="en-US"/>
        </w:rPr>
        <w:t xml:space="preserve"> </w:t>
      </w:r>
      <w:r w:rsidRPr="008B2921">
        <w:rPr>
          <w:color w:val="000000" w:themeColor="text1"/>
          <w:lang w:val="en-US"/>
        </w:rPr>
        <w:t>”</w:t>
      </w:r>
      <w:r w:rsidR="00D676FC">
        <w:rPr>
          <w:color w:val="000000" w:themeColor="text1"/>
          <w:lang w:val="en-US"/>
        </w:rPr>
        <w:t>)</w:t>
      </w:r>
    </w:p>
    <w:p w:rsidR="00BF62E4" w:rsidRDefault="00BF62E4" w:rsidP="007C6E09">
      <w:pPr>
        <w:pStyle w:val="Text"/>
        <w:ind w:firstLine="0"/>
        <w:jc w:val="left"/>
        <w:rPr>
          <w:color w:val="000000" w:themeColor="text1"/>
          <w:lang w:val="en-US"/>
        </w:rPr>
      </w:pPr>
      <w:r w:rsidRPr="008B2921">
        <w:rPr>
          <w:color w:val="000000" w:themeColor="text1"/>
          <w:lang w:val="en-US"/>
        </w:rPr>
        <w:t xml:space="preserve">   </w:t>
      </w:r>
      <w:r w:rsidRPr="0070712C">
        <w:rPr>
          <w:color w:val="000000" w:themeColor="text1"/>
          <w:lang w:val="en-US"/>
        </w:rPr>
        <w:t>end</w:t>
      </w:r>
    </w:p>
    <w:p w:rsidR="00EA2FEC" w:rsidRPr="00FA74D4" w:rsidRDefault="00EA2FEC" w:rsidP="007C6E09">
      <w:pPr>
        <w:pStyle w:val="Text"/>
        <w:ind w:firstLine="0"/>
        <w:jc w:val="left"/>
        <w:rPr>
          <w:color w:val="000000" w:themeColor="text1"/>
          <w:lang w:val="en-US"/>
        </w:rPr>
      </w:pPr>
      <w:r w:rsidRPr="00AD317A">
        <w:rPr>
          <w:color w:val="000000" w:themeColor="text1"/>
          <w:lang w:val="en-US"/>
        </w:rPr>
        <w:t xml:space="preserve">   </w:t>
      </w:r>
      <w:r w:rsidRPr="00FA74D4">
        <w:rPr>
          <w:color w:val="000000" w:themeColor="text1"/>
          <w:lang w:val="en-US"/>
        </w:rPr>
        <w:t xml:space="preserve">for </w:t>
      </w:r>
      <w:r w:rsidR="00AF5258">
        <w:rPr>
          <w:i/>
          <w:color w:val="000000" w:themeColor="text1"/>
          <w:lang w:val="en-US"/>
        </w:rPr>
        <w:t>n</w:t>
      </w:r>
      <w:r w:rsidRPr="00FA74D4">
        <w:rPr>
          <w:color w:val="000000" w:themeColor="text1"/>
          <w:lang w:val="en-US"/>
        </w:rPr>
        <w:t xml:space="preserve"> := 1 to </w:t>
      </w:r>
      <w:r w:rsidR="005A0936">
        <w:rPr>
          <w:color w:val="000000" w:themeColor="text1"/>
          <w:lang w:val="en-US"/>
        </w:rPr>
        <w:t>(</w:t>
      </w:r>
      <w:r w:rsidR="005A0936" w:rsidRPr="001A342E">
        <w:rPr>
          <w:color w:val="000000" w:themeColor="text1"/>
          <w:lang w:val="en-US"/>
        </w:rPr>
        <w:t>|</w:t>
      </w:r>
      <w:r w:rsidR="005A0936" w:rsidRPr="001A342E">
        <w:rPr>
          <w:i/>
          <w:color w:val="000000" w:themeColor="text1"/>
          <w:lang w:val="en-US"/>
        </w:rPr>
        <w:t>R</w:t>
      </w:r>
      <w:r w:rsidR="005A0936" w:rsidRPr="001A342E">
        <w:rPr>
          <w:color w:val="000000" w:themeColor="text1"/>
          <w:lang w:val="en-US"/>
        </w:rPr>
        <w:t>|</w:t>
      </w:r>
      <w:r w:rsidR="005A0936">
        <w:rPr>
          <w:color w:val="000000" w:themeColor="text1"/>
          <w:lang w:val="en-US"/>
        </w:rPr>
        <w:t xml:space="preserve"> </w:t>
      </w:r>
      <w:r w:rsidR="005A0936" w:rsidRPr="003621D5">
        <w:rPr>
          <w:rFonts w:cs="Times New Roman"/>
          <w:color w:val="000000" w:themeColor="text1"/>
          <w:lang w:val="en-US"/>
        </w:rPr>
        <w:t>−</w:t>
      </w:r>
      <w:r w:rsidR="005A0936" w:rsidRPr="001A342E">
        <w:rPr>
          <w:color w:val="000000" w:themeColor="text1"/>
          <w:lang w:val="en-US"/>
        </w:rPr>
        <w:t xml:space="preserve"> </w:t>
      </w:r>
      <w:r w:rsidR="005A0936">
        <w:rPr>
          <w:color w:val="000000" w:themeColor="text1"/>
          <w:lang w:val="en-US"/>
        </w:rPr>
        <w:t>|</w:t>
      </w:r>
      <w:r w:rsidR="005A0936" w:rsidRPr="008528D4">
        <w:rPr>
          <w:i/>
          <w:color w:val="000000" w:themeColor="text1"/>
          <w:lang w:val="en-US"/>
        </w:rPr>
        <w:t>H</w:t>
      </w:r>
      <w:r w:rsidR="005A0936" w:rsidRPr="008528D4">
        <w:rPr>
          <w:i/>
          <w:color w:val="000000" w:themeColor="text1"/>
          <w:vertAlign w:val="superscript"/>
          <w:lang w:val="en-US"/>
        </w:rPr>
        <w:t>G</w:t>
      </w:r>
      <w:r w:rsidR="005A0936">
        <w:rPr>
          <w:color w:val="000000" w:themeColor="text1"/>
          <w:lang w:val="en-US"/>
        </w:rPr>
        <w:t>|)</w:t>
      </w:r>
    </w:p>
    <w:p w:rsidR="00196498" w:rsidRPr="0072651B" w:rsidRDefault="00BE6BF8" w:rsidP="00856CFE">
      <w:pPr>
        <w:pStyle w:val="Text"/>
        <w:ind w:hanging="369"/>
        <w:jc w:val="left"/>
        <w:rPr>
          <w:color w:val="000000" w:themeColor="text1"/>
          <w:lang w:val="en-US"/>
        </w:rPr>
      </w:pPr>
      <w:r w:rsidRPr="003B0B79">
        <w:rPr>
          <w:sz w:val="16"/>
          <w:szCs w:val="16"/>
          <w:lang w:val="en-US"/>
        </w:rPr>
        <w:t>70</w:t>
      </w:r>
      <w:r w:rsidR="00196498" w:rsidRPr="0072651B">
        <w:rPr>
          <w:lang w:val="en-US"/>
        </w:rPr>
        <w:tab/>
      </w:r>
      <w:r w:rsidR="006048EA" w:rsidRPr="001A342E">
        <w:rPr>
          <w:color w:val="000000" w:themeColor="text1"/>
          <w:lang w:val="en-US"/>
        </w:rPr>
        <w:t xml:space="preserve">      write </w:t>
      </w:r>
      <w:r w:rsidR="006048EA">
        <w:rPr>
          <w:color w:val="000000" w:themeColor="text1"/>
          <w:lang w:val="en-US"/>
        </w:rPr>
        <w:t>(</w:t>
      </w:r>
      <w:r w:rsidR="006048EA" w:rsidRPr="001A342E">
        <w:rPr>
          <w:color w:val="000000" w:themeColor="text1"/>
          <w:lang w:val="en-US"/>
        </w:rPr>
        <w:t>“</w:t>
      </w:r>
      <w:r w:rsidR="006048EA" w:rsidRPr="001A342E">
        <w:rPr>
          <w:i/>
          <w:color w:val="000000" w:themeColor="text1"/>
          <w:lang w:val="en-US"/>
        </w:rPr>
        <w:t>H</w:t>
      </w:r>
      <w:r w:rsidR="006048EA" w:rsidRPr="001A342E">
        <w:rPr>
          <w:color w:val="000000" w:themeColor="text1"/>
          <w:lang w:val="en-US"/>
        </w:rPr>
        <w:t xml:space="preserve">&lt;sub&gt;” </w:t>
      </w:r>
      <w:r w:rsidR="006048EA">
        <w:rPr>
          <w:color w:val="000000" w:themeColor="text1"/>
          <w:lang w:val="en-US"/>
        </w:rPr>
        <w:t>(</w:t>
      </w:r>
      <w:r w:rsidR="006048EA" w:rsidRPr="001A342E">
        <w:rPr>
          <w:i/>
          <w:color w:val="000000" w:themeColor="text1"/>
          <w:lang w:val="en-US"/>
        </w:rPr>
        <w:t>y</w:t>
      </w:r>
      <w:r w:rsidR="006048EA" w:rsidRPr="001A342E">
        <w:rPr>
          <w:color w:val="000000" w:themeColor="text1"/>
          <w:lang w:val="en-US"/>
        </w:rPr>
        <w:t xml:space="preserve"> </w:t>
      </w:r>
      <w:r w:rsidR="006048EA" w:rsidRPr="003621D5">
        <w:rPr>
          <w:rFonts w:cs="Times New Roman"/>
          <w:color w:val="000000" w:themeColor="text1"/>
          <w:lang w:val="en-US"/>
        </w:rPr>
        <w:t>−</w:t>
      </w:r>
      <w:r w:rsidR="006048EA">
        <w:rPr>
          <w:color w:val="000000" w:themeColor="text1"/>
          <w:lang w:val="en-US"/>
        </w:rPr>
        <w:t xml:space="preserve"> (</w:t>
      </w:r>
      <w:r w:rsidR="006048EA" w:rsidRPr="001A342E">
        <w:rPr>
          <w:color w:val="000000" w:themeColor="text1"/>
          <w:lang w:val="en-US"/>
        </w:rPr>
        <w:t>|</w:t>
      </w:r>
      <w:r w:rsidR="006048EA" w:rsidRPr="001A342E">
        <w:rPr>
          <w:i/>
          <w:color w:val="000000" w:themeColor="text1"/>
          <w:lang w:val="en-US"/>
        </w:rPr>
        <w:t>R</w:t>
      </w:r>
      <w:r w:rsidR="006048EA" w:rsidRPr="001A342E">
        <w:rPr>
          <w:color w:val="000000" w:themeColor="text1"/>
          <w:lang w:val="en-US"/>
        </w:rPr>
        <w:t>|</w:t>
      </w:r>
      <w:r w:rsidR="006048EA">
        <w:rPr>
          <w:color w:val="000000" w:themeColor="text1"/>
          <w:lang w:val="en-US"/>
        </w:rPr>
        <w:t xml:space="preserve"> </w:t>
      </w:r>
      <w:r w:rsidR="006048EA" w:rsidRPr="003621D5">
        <w:rPr>
          <w:rFonts w:cs="Times New Roman"/>
          <w:color w:val="000000" w:themeColor="text1"/>
          <w:lang w:val="en-US"/>
        </w:rPr>
        <w:t>−</w:t>
      </w:r>
      <w:r w:rsidR="006048EA" w:rsidRPr="001A342E">
        <w:rPr>
          <w:color w:val="000000" w:themeColor="text1"/>
          <w:lang w:val="en-US"/>
        </w:rPr>
        <w:t xml:space="preserve"> </w:t>
      </w:r>
      <w:r w:rsidR="006048EA">
        <w:rPr>
          <w:color w:val="000000" w:themeColor="text1"/>
          <w:lang w:val="en-US"/>
        </w:rPr>
        <w:t>|</w:t>
      </w:r>
      <w:r w:rsidR="006048EA" w:rsidRPr="008528D4">
        <w:rPr>
          <w:i/>
          <w:color w:val="000000" w:themeColor="text1"/>
          <w:lang w:val="en-US"/>
        </w:rPr>
        <w:t>H</w:t>
      </w:r>
      <w:r w:rsidR="006048EA" w:rsidRPr="008528D4">
        <w:rPr>
          <w:i/>
          <w:color w:val="000000" w:themeColor="text1"/>
          <w:vertAlign w:val="superscript"/>
          <w:lang w:val="en-US"/>
        </w:rPr>
        <w:t>G</w:t>
      </w:r>
      <w:r w:rsidR="006048EA">
        <w:rPr>
          <w:color w:val="000000" w:themeColor="text1"/>
          <w:lang w:val="en-US"/>
        </w:rPr>
        <w:t>|)</w:t>
      </w:r>
      <w:r w:rsidR="00A0753D">
        <w:rPr>
          <w:color w:val="000000" w:themeColor="text1"/>
          <w:lang w:val="en-US"/>
        </w:rPr>
        <w:t>)</w:t>
      </w:r>
      <w:r w:rsidR="006048EA">
        <w:rPr>
          <w:color w:val="000000" w:themeColor="text1"/>
          <w:lang w:val="en-US"/>
        </w:rPr>
        <w:t xml:space="preserve"> </w:t>
      </w:r>
      <w:r w:rsidR="006048EA" w:rsidRPr="001A342E">
        <w:rPr>
          <w:color w:val="000000" w:themeColor="text1"/>
          <w:lang w:val="en-US"/>
        </w:rPr>
        <w:t xml:space="preserve">+ </w:t>
      </w:r>
      <w:r w:rsidR="006048EA">
        <w:rPr>
          <w:i/>
          <w:color w:val="000000" w:themeColor="text1"/>
          <w:lang w:val="en-US"/>
        </w:rPr>
        <w:t>n</w:t>
      </w:r>
      <w:r w:rsidR="006048EA" w:rsidRPr="001A342E">
        <w:rPr>
          <w:color w:val="000000" w:themeColor="text1"/>
          <w:lang w:val="en-US"/>
        </w:rPr>
        <w:t xml:space="preserve"> “&lt;/sub&gt;</w:t>
      </w:r>
      <w:r w:rsidR="006048EA">
        <w:rPr>
          <w:color w:val="000000" w:themeColor="text1"/>
          <w:lang w:val="en-US"/>
        </w:rPr>
        <w:t xml:space="preserve"> </w:t>
      </w:r>
      <w:r w:rsidR="006048EA" w:rsidRPr="00CC5CB4">
        <w:rPr>
          <w:rFonts w:ascii="Cambria Math" w:hAnsi="Cambria Math" w:cs="Cambria Math"/>
          <w:color w:val="000000" w:themeColor="text1"/>
          <w:lang w:val="en-US"/>
        </w:rPr>
        <w:t>∧</w:t>
      </w:r>
      <w:r w:rsidR="006048EA" w:rsidRPr="008B32E2">
        <w:rPr>
          <w:color w:val="000000" w:themeColor="text1"/>
          <w:lang w:val="en-US"/>
        </w:rPr>
        <w:t xml:space="preserve"> </w:t>
      </w:r>
      <w:r w:rsidR="006048EA" w:rsidRPr="001A342E">
        <w:rPr>
          <w:color w:val="000000" w:themeColor="text1"/>
          <w:lang w:val="en-US"/>
        </w:rPr>
        <w:t>”</w:t>
      </w:r>
      <w:r w:rsidR="006048EA">
        <w:rPr>
          <w:color w:val="000000" w:themeColor="text1"/>
          <w:lang w:val="en-US"/>
        </w:rPr>
        <w:t>)</w:t>
      </w:r>
    </w:p>
    <w:p w:rsidR="006048EA" w:rsidRDefault="006048EA" w:rsidP="007C6E09">
      <w:pPr>
        <w:pStyle w:val="Text"/>
        <w:ind w:firstLine="0"/>
        <w:jc w:val="left"/>
        <w:rPr>
          <w:color w:val="000000" w:themeColor="text1"/>
          <w:lang w:val="en-US"/>
        </w:rPr>
      </w:pPr>
      <w:r w:rsidRPr="0070712C">
        <w:rPr>
          <w:color w:val="000000" w:themeColor="text1"/>
          <w:lang w:val="en-US"/>
        </w:rPr>
        <w:t xml:space="preserve">   end</w:t>
      </w:r>
    </w:p>
    <w:p w:rsidR="008B32E2" w:rsidRDefault="008B32E2" w:rsidP="007C6E09">
      <w:pPr>
        <w:pStyle w:val="Text"/>
        <w:ind w:firstLine="0"/>
        <w:jc w:val="left"/>
        <w:rPr>
          <w:color w:val="000000" w:themeColor="text1"/>
          <w:lang w:val="en-US"/>
        </w:rPr>
      </w:pPr>
      <w:r>
        <w:rPr>
          <w:color w:val="000000" w:themeColor="text1"/>
          <w:lang w:val="en-US"/>
        </w:rPr>
        <w:t xml:space="preserve">   del (2)</w:t>
      </w:r>
    </w:p>
    <w:p w:rsidR="00EA2FEC" w:rsidRDefault="006644E1" w:rsidP="007C6E09">
      <w:pPr>
        <w:pStyle w:val="Text"/>
        <w:ind w:firstLine="0"/>
        <w:jc w:val="left"/>
        <w:rPr>
          <w:color w:val="000000" w:themeColor="text1"/>
          <w:lang w:val="en-US"/>
        </w:rPr>
      </w:pPr>
      <w:r w:rsidRPr="00AD317A">
        <w:rPr>
          <w:color w:val="000000" w:themeColor="text1"/>
          <w:lang w:val="en-US"/>
        </w:rPr>
        <w:t xml:space="preserve">   </w:t>
      </w:r>
      <w:r w:rsidRPr="005B4A88">
        <w:rPr>
          <w:color w:val="000000" w:themeColor="text1"/>
          <w:lang w:val="en-US"/>
        </w:rPr>
        <w:t xml:space="preserve">write </w:t>
      </w:r>
      <w:r w:rsidR="00D676FC">
        <w:rPr>
          <w:color w:val="000000" w:themeColor="text1"/>
          <w:lang w:val="en-US"/>
        </w:rPr>
        <w:t>(</w:t>
      </w:r>
      <w:r w:rsidRPr="005B4A88">
        <w:rPr>
          <w:color w:val="000000" w:themeColor="text1"/>
          <w:lang w:val="en-US"/>
        </w:rPr>
        <w:t>“</w:t>
      </w:r>
      <w:r w:rsidR="002434D2">
        <w:rPr>
          <w:rFonts w:ascii="Cambria Math" w:eastAsia="Arial Unicode MS" w:hAnsi="Cambria Math" w:cs="Cambria Math"/>
          <w:color w:val="000000" w:themeColor="text1"/>
          <w:lang w:val="en-US"/>
        </w:rPr>
        <w:t>⤳</w:t>
      </w:r>
      <w:r w:rsidRPr="005B4A88">
        <w:rPr>
          <w:color w:val="000000" w:themeColor="text1"/>
          <w:lang w:val="en-US"/>
        </w:rPr>
        <w:t>&lt;</w:t>
      </w:r>
      <w:r w:rsidR="001A342E" w:rsidRPr="005B4A88">
        <w:rPr>
          <w:color w:val="000000" w:themeColor="text1"/>
          <w:lang w:val="en-US"/>
        </w:rPr>
        <w:t>sub</w:t>
      </w:r>
      <w:r w:rsidRPr="005B4A88">
        <w:rPr>
          <w:color w:val="000000" w:themeColor="text1"/>
          <w:lang w:val="en-US"/>
        </w:rPr>
        <w:t>&gt;</w:t>
      </w:r>
      <w:r w:rsidR="00E05B08" w:rsidRPr="005B4A88">
        <w:rPr>
          <w:color w:val="000000" w:themeColor="text1"/>
          <w:lang w:val="en-US"/>
        </w:rPr>
        <w:t>”</w:t>
      </w:r>
      <w:r w:rsidRPr="005B4A88">
        <w:rPr>
          <w:color w:val="000000" w:themeColor="text1"/>
          <w:lang w:val="en-US"/>
        </w:rPr>
        <w:t xml:space="preserve"> </w:t>
      </w:r>
      <w:r w:rsidR="005B4A88" w:rsidRPr="005B4A88">
        <w:rPr>
          <w:i/>
          <w:color w:val="000000" w:themeColor="text1"/>
          <w:lang w:val="en-US"/>
        </w:rPr>
        <w:t>Op</w:t>
      </w:r>
      <w:r w:rsidR="005B4A88" w:rsidRPr="005B4A88">
        <w:rPr>
          <w:i/>
          <w:color w:val="000000" w:themeColor="text1"/>
          <w:vertAlign w:val="subscript"/>
          <w:lang w:val="en-US"/>
        </w:rPr>
        <w:t>h</w:t>
      </w:r>
      <w:r w:rsidR="000B7D93">
        <w:rPr>
          <w:color w:val="000000" w:themeColor="text1"/>
          <w:lang w:val="en-US"/>
        </w:rPr>
        <w:t xml:space="preserve"> </w:t>
      </w:r>
      <w:r w:rsidR="00E05B08" w:rsidRPr="005B4A88">
        <w:rPr>
          <w:color w:val="000000" w:themeColor="text1"/>
          <w:lang w:val="en-US"/>
        </w:rPr>
        <w:t>“</w:t>
      </w:r>
      <w:r w:rsidR="005B4A88" w:rsidRPr="005B4A88">
        <w:rPr>
          <w:color w:val="000000" w:themeColor="text1"/>
          <w:lang w:val="en-US"/>
        </w:rPr>
        <w:t>&lt;/sub&gt;</w:t>
      </w:r>
      <w:r w:rsidR="00594968">
        <w:rPr>
          <w:color w:val="000000" w:themeColor="text1"/>
          <w:lang w:val="en-US"/>
        </w:rPr>
        <w:t xml:space="preserve"> </w:t>
      </w:r>
      <w:r w:rsidRPr="005B4A88">
        <w:rPr>
          <w:color w:val="000000" w:themeColor="text1"/>
          <w:lang w:val="en-US"/>
        </w:rPr>
        <w:t>”</w:t>
      </w:r>
      <w:r w:rsidR="00D676FC">
        <w:rPr>
          <w:color w:val="000000" w:themeColor="text1"/>
          <w:lang w:val="en-US"/>
        </w:rPr>
        <w:t>)</w:t>
      </w:r>
    </w:p>
    <w:p w:rsidR="007843FE" w:rsidRPr="005B4A88" w:rsidRDefault="007843FE" w:rsidP="007C6E09">
      <w:pPr>
        <w:pStyle w:val="Text"/>
        <w:ind w:firstLine="0"/>
        <w:jc w:val="left"/>
        <w:rPr>
          <w:color w:val="000000" w:themeColor="text1"/>
          <w:lang w:val="en-US"/>
        </w:rPr>
      </w:pPr>
      <w:r w:rsidRPr="005B4A88">
        <w:rPr>
          <w:color w:val="000000" w:themeColor="text1"/>
          <w:lang w:val="en-US"/>
        </w:rPr>
        <w:t xml:space="preserve">   </w:t>
      </w:r>
      <w:r w:rsidRPr="00FA74D4">
        <w:rPr>
          <w:color w:val="000000" w:themeColor="text1"/>
          <w:lang w:val="en-US"/>
        </w:rPr>
        <w:t xml:space="preserve">for </w:t>
      </w:r>
      <w:r>
        <w:rPr>
          <w:i/>
          <w:color w:val="000000" w:themeColor="text1"/>
          <w:lang w:val="en-US"/>
        </w:rPr>
        <w:t>n</w:t>
      </w:r>
      <w:r w:rsidRPr="00FA74D4">
        <w:rPr>
          <w:color w:val="000000" w:themeColor="text1"/>
          <w:lang w:val="en-US"/>
        </w:rPr>
        <w:t xml:space="preserve"> := 1 to |</w:t>
      </w:r>
      <w:r w:rsidRPr="00E16065">
        <w:rPr>
          <w:i/>
          <w:color w:val="000000" w:themeColor="text1"/>
          <w:lang w:val="en-US"/>
        </w:rPr>
        <w:t>Er*</w:t>
      </w:r>
      <w:r w:rsidRPr="00FA74D4">
        <w:rPr>
          <w:color w:val="000000" w:themeColor="text1"/>
          <w:lang w:val="en-US"/>
        </w:rPr>
        <w:t>|</w:t>
      </w:r>
    </w:p>
    <w:p w:rsidR="00196498" w:rsidRDefault="007843FE" w:rsidP="00856CFE">
      <w:pPr>
        <w:pStyle w:val="Text"/>
        <w:ind w:hanging="369"/>
        <w:jc w:val="left"/>
        <w:rPr>
          <w:color w:val="000000" w:themeColor="text1"/>
          <w:lang w:val="en-US"/>
        </w:rPr>
      </w:pPr>
      <w:r w:rsidRPr="003B0B79">
        <w:rPr>
          <w:sz w:val="16"/>
          <w:szCs w:val="16"/>
          <w:lang w:val="en-US"/>
        </w:rPr>
        <w:t>75</w:t>
      </w:r>
      <w:r w:rsidR="00196498" w:rsidRPr="00C365C9">
        <w:rPr>
          <w:lang w:val="en-US"/>
        </w:rPr>
        <w:tab/>
      </w:r>
      <w:r w:rsidR="00125E51" w:rsidRPr="004F6512">
        <w:rPr>
          <w:color w:val="000000" w:themeColor="text1"/>
          <w:lang w:val="en-US"/>
        </w:rPr>
        <w:t xml:space="preserve">      write </w:t>
      </w:r>
      <w:r w:rsidR="00125E51">
        <w:rPr>
          <w:color w:val="000000" w:themeColor="text1"/>
          <w:lang w:val="en-US"/>
        </w:rPr>
        <w:t>(</w:t>
      </w:r>
      <w:r w:rsidR="00125E51" w:rsidRPr="004F6512">
        <w:rPr>
          <w:color w:val="000000" w:themeColor="text1"/>
          <w:lang w:val="en-US"/>
        </w:rPr>
        <w:t>“</w:t>
      </w:r>
      <w:r w:rsidR="00125E51" w:rsidRPr="004F6512">
        <w:rPr>
          <w:i/>
          <w:color w:val="000000" w:themeColor="text1"/>
          <w:lang w:val="en-US"/>
        </w:rPr>
        <w:t>Er</w:t>
      </w:r>
      <w:r w:rsidR="00125E51" w:rsidRPr="004F6512">
        <w:rPr>
          <w:color w:val="000000" w:themeColor="text1"/>
          <w:lang w:val="en-US"/>
        </w:rPr>
        <w:t xml:space="preserve">&lt;sub&gt;” </w:t>
      </w:r>
      <w:r w:rsidR="00125E51" w:rsidRPr="004F6512">
        <w:rPr>
          <w:i/>
          <w:color w:val="000000" w:themeColor="text1"/>
          <w:lang w:val="en-US"/>
        </w:rPr>
        <w:t>z</w:t>
      </w:r>
      <w:r w:rsidR="00125E51" w:rsidRPr="004F6512">
        <w:rPr>
          <w:color w:val="000000" w:themeColor="text1"/>
          <w:lang w:val="en-US"/>
        </w:rPr>
        <w:t xml:space="preserve"> + </w:t>
      </w:r>
      <w:r w:rsidR="00125E51" w:rsidRPr="004F6512">
        <w:rPr>
          <w:i/>
          <w:color w:val="000000" w:themeColor="text1"/>
          <w:lang w:val="en-US"/>
        </w:rPr>
        <w:t>n</w:t>
      </w:r>
      <w:r w:rsidR="00125E51" w:rsidRPr="004F6512">
        <w:rPr>
          <w:color w:val="000000" w:themeColor="text1"/>
          <w:lang w:val="en-US"/>
        </w:rPr>
        <w:t xml:space="preserve"> “&lt;/sub&gt;</w:t>
      </w:r>
      <w:r w:rsidR="00125E51">
        <w:rPr>
          <w:color w:val="000000" w:themeColor="text1"/>
          <w:lang w:val="en-US"/>
        </w:rPr>
        <w:t xml:space="preserve">, </w:t>
      </w:r>
      <w:r w:rsidR="00125E51" w:rsidRPr="004F6512">
        <w:rPr>
          <w:color w:val="000000" w:themeColor="text1"/>
          <w:lang w:val="en-US"/>
        </w:rPr>
        <w:t>”</w:t>
      </w:r>
      <w:r w:rsidR="00125E51">
        <w:rPr>
          <w:color w:val="000000" w:themeColor="text1"/>
          <w:lang w:val="en-US"/>
        </w:rPr>
        <w:t>)</w:t>
      </w:r>
    </w:p>
    <w:p w:rsidR="00125E51" w:rsidRDefault="00125E51" w:rsidP="007C6E09">
      <w:pPr>
        <w:pStyle w:val="Text"/>
        <w:ind w:firstLine="0"/>
        <w:jc w:val="left"/>
        <w:rPr>
          <w:color w:val="000000" w:themeColor="text1"/>
          <w:lang w:val="en-US"/>
        </w:rPr>
      </w:pPr>
      <w:r>
        <w:rPr>
          <w:color w:val="000000" w:themeColor="text1"/>
          <w:lang w:val="en-US"/>
        </w:rPr>
        <w:t xml:space="preserve">   end</w:t>
      </w:r>
    </w:p>
    <w:p w:rsidR="007843FE" w:rsidRDefault="007843FE" w:rsidP="007C6E09">
      <w:pPr>
        <w:pStyle w:val="Text"/>
        <w:ind w:firstLine="0"/>
        <w:jc w:val="left"/>
        <w:rPr>
          <w:color w:val="000000" w:themeColor="text1"/>
          <w:lang w:val="en-US"/>
        </w:rPr>
      </w:pPr>
      <w:r>
        <w:rPr>
          <w:color w:val="000000" w:themeColor="text1"/>
          <w:lang w:val="en-US"/>
        </w:rPr>
        <w:t xml:space="preserve">   del (2)</w:t>
      </w:r>
    </w:p>
    <w:p w:rsidR="00BE6BF8" w:rsidRDefault="00BE6BF8" w:rsidP="007C6E09">
      <w:pPr>
        <w:pStyle w:val="Text"/>
        <w:ind w:firstLine="0"/>
        <w:jc w:val="left"/>
        <w:rPr>
          <w:color w:val="000000" w:themeColor="text1"/>
          <w:lang w:val="en-US"/>
        </w:rPr>
      </w:pPr>
      <w:r w:rsidRPr="00C365C9">
        <w:rPr>
          <w:color w:val="000000" w:themeColor="text1"/>
          <w:lang w:val="en-US"/>
        </w:rPr>
        <w:t xml:space="preserve">   write </w:t>
      </w:r>
      <w:r w:rsidR="00D676FC">
        <w:rPr>
          <w:color w:val="000000" w:themeColor="text1"/>
          <w:lang w:val="en-US"/>
        </w:rPr>
        <w:t>(</w:t>
      </w:r>
      <w:r w:rsidR="00E05B08" w:rsidRPr="00831D41">
        <w:rPr>
          <w:color w:val="000000" w:themeColor="text1"/>
          <w:lang w:val="en-US"/>
        </w:rPr>
        <w:t>“</w:t>
      </w:r>
      <w:r w:rsidRPr="00C365C9">
        <w:rPr>
          <w:color w:val="000000" w:themeColor="text1"/>
          <w:lang w:val="en-US"/>
        </w:rPr>
        <w:t>&lt;</w:t>
      </w:r>
      <w:r>
        <w:rPr>
          <w:color w:val="000000" w:themeColor="text1"/>
          <w:lang w:val="en-US"/>
        </w:rPr>
        <w:t>br</w:t>
      </w:r>
      <w:r w:rsidRPr="00C365C9">
        <w:rPr>
          <w:color w:val="000000" w:themeColor="text1"/>
          <w:lang w:val="en-US"/>
        </w:rPr>
        <w:t>&gt;</w:t>
      </w:r>
      <w:r w:rsidR="00E05B08" w:rsidRPr="00831D41">
        <w:rPr>
          <w:color w:val="000000" w:themeColor="text1"/>
          <w:lang w:val="en-US"/>
        </w:rPr>
        <w:t>”</w:t>
      </w:r>
      <w:r w:rsidR="00D676FC">
        <w:rPr>
          <w:color w:val="000000" w:themeColor="text1"/>
          <w:lang w:val="en-US"/>
        </w:rPr>
        <w:t>)</w:t>
      </w:r>
    </w:p>
    <w:p w:rsidR="005B775B" w:rsidRDefault="005B775B" w:rsidP="007C6E09">
      <w:pPr>
        <w:pStyle w:val="Text"/>
        <w:ind w:firstLine="0"/>
        <w:jc w:val="left"/>
        <w:rPr>
          <w:color w:val="000000" w:themeColor="text1"/>
          <w:lang w:val="en-US"/>
        </w:rPr>
      </w:pPr>
      <w:r>
        <w:rPr>
          <w:color w:val="000000" w:themeColor="text1"/>
          <w:lang w:val="en-US"/>
        </w:rPr>
        <w:t xml:space="preserve">   for </w:t>
      </w:r>
      <w:r w:rsidR="00AF5258">
        <w:rPr>
          <w:i/>
          <w:color w:val="000000" w:themeColor="text1"/>
          <w:lang w:val="en-US"/>
        </w:rPr>
        <w:t>n</w:t>
      </w:r>
      <w:r w:rsidRPr="009433BD">
        <w:rPr>
          <w:color w:val="000000" w:themeColor="text1"/>
          <w:lang w:val="en-US"/>
        </w:rPr>
        <w:t xml:space="preserve"> := 1 to |</w:t>
      </w:r>
      <w:r w:rsidR="00F5567C" w:rsidRPr="00E16065">
        <w:rPr>
          <w:i/>
          <w:color w:val="000000" w:themeColor="text1"/>
          <w:lang w:val="en-US"/>
        </w:rPr>
        <w:t>Er*</w:t>
      </w:r>
      <w:r w:rsidRPr="009433BD">
        <w:rPr>
          <w:color w:val="000000" w:themeColor="text1"/>
          <w:lang w:val="en-US"/>
        </w:rPr>
        <w:t>|</w:t>
      </w:r>
    </w:p>
    <w:p w:rsidR="00BE6BF8" w:rsidRPr="0021789B" w:rsidRDefault="00BE6BF8" w:rsidP="00856CFE">
      <w:pPr>
        <w:pStyle w:val="Text"/>
        <w:ind w:hanging="369"/>
        <w:jc w:val="left"/>
        <w:rPr>
          <w:color w:val="000000" w:themeColor="text1"/>
        </w:rPr>
      </w:pPr>
      <w:r w:rsidRPr="003B0B79">
        <w:rPr>
          <w:sz w:val="16"/>
          <w:szCs w:val="16"/>
        </w:rPr>
        <w:t>8</w:t>
      </w:r>
      <w:r w:rsidR="007843FE" w:rsidRPr="003B0B79">
        <w:rPr>
          <w:sz w:val="16"/>
          <w:szCs w:val="16"/>
        </w:rPr>
        <w:t>0</w:t>
      </w:r>
      <w:r w:rsidRPr="0021789B">
        <w:tab/>
      </w:r>
      <w:r w:rsidR="00125E51" w:rsidRPr="00125E51">
        <w:rPr>
          <w:color w:val="000000" w:themeColor="text1"/>
        </w:rPr>
        <w:t xml:space="preserve">      </w:t>
      </w:r>
      <w:r w:rsidR="00125E51" w:rsidRPr="00C20145">
        <w:rPr>
          <w:i/>
          <w:color w:val="000000" w:themeColor="text1"/>
        </w:rPr>
        <w:t>z</w:t>
      </w:r>
      <w:r w:rsidR="00125E51" w:rsidRPr="00C20145">
        <w:rPr>
          <w:color w:val="000000" w:themeColor="text1"/>
        </w:rPr>
        <w:t xml:space="preserve"> := </w:t>
      </w:r>
      <w:r w:rsidR="00125E51" w:rsidRPr="00C20145">
        <w:rPr>
          <w:i/>
          <w:color w:val="000000" w:themeColor="text1"/>
        </w:rPr>
        <w:t>z</w:t>
      </w:r>
      <w:r w:rsidR="00125E51" w:rsidRPr="00C20145">
        <w:rPr>
          <w:color w:val="000000" w:themeColor="text1"/>
        </w:rPr>
        <w:t xml:space="preserve"> + 1</w:t>
      </w:r>
    </w:p>
    <w:p w:rsidR="00125E51" w:rsidRDefault="00125E51" w:rsidP="007C6E09">
      <w:pPr>
        <w:pStyle w:val="Text"/>
        <w:ind w:firstLine="0"/>
        <w:jc w:val="left"/>
        <w:rPr>
          <w:color w:val="000000" w:themeColor="text1"/>
        </w:rPr>
      </w:pPr>
      <w:r w:rsidRPr="00C20145">
        <w:rPr>
          <w:color w:val="000000" w:themeColor="text1"/>
        </w:rPr>
        <w:t xml:space="preserve">      </w:t>
      </w:r>
      <w:r w:rsidRPr="00C06F76">
        <w:rPr>
          <w:color w:val="000000" w:themeColor="text1"/>
        </w:rPr>
        <w:t xml:space="preserve">write </w:t>
      </w:r>
      <w:r>
        <w:rPr>
          <w:color w:val="000000" w:themeColor="text1"/>
        </w:rPr>
        <w:t>(</w:t>
      </w:r>
      <w:r w:rsidRPr="00C06F76">
        <w:rPr>
          <w:color w:val="000000" w:themeColor="text1"/>
        </w:rPr>
        <w:t>“</w:t>
      </w:r>
      <w:r w:rsidRPr="00C06F76">
        <w:rPr>
          <w:i/>
          <w:color w:val="000000" w:themeColor="text1"/>
        </w:rPr>
        <w:t>Er</w:t>
      </w:r>
      <w:r w:rsidRPr="00C06F76">
        <w:rPr>
          <w:color w:val="000000" w:themeColor="text1"/>
        </w:rPr>
        <w:t xml:space="preserve">&lt;sub&gt;” </w:t>
      </w:r>
      <w:r w:rsidRPr="00C06F76">
        <w:rPr>
          <w:i/>
          <w:color w:val="000000" w:themeColor="text1"/>
        </w:rPr>
        <w:t xml:space="preserve">z </w:t>
      </w:r>
      <w:r w:rsidRPr="00C06F76">
        <w:rPr>
          <w:color w:val="000000" w:themeColor="text1"/>
        </w:rPr>
        <w:t>“&lt;/sub&gt;”</w:t>
      </w:r>
      <w:r>
        <w:rPr>
          <w:color w:val="000000" w:themeColor="text1"/>
        </w:rPr>
        <w:t>)</w:t>
      </w:r>
    </w:p>
    <w:p w:rsidR="007843FE" w:rsidRDefault="007843FE" w:rsidP="007C6E09">
      <w:pPr>
        <w:pStyle w:val="Text"/>
        <w:ind w:firstLine="0"/>
        <w:jc w:val="left"/>
        <w:rPr>
          <w:color w:val="000000" w:themeColor="text1"/>
        </w:rPr>
      </w:pPr>
      <w:r w:rsidRPr="0021789B">
        <w:rPr>
          <w:color w:val="000000" w:themeColor="text1"/>
        </w:rPr>
        <w:t xml:space="preserve">      if Sorte (</w:t>
      </w:r>
      <w:r>
        <w:rPr>
          <w:i/>
          <w:color w:val="000000" w:themeColor="text1"/>
        </w:rPr>
        <w:t>Er*</w:t>
      </w:r>
      <w:r w:rsidRPr="0021789B">
        <w:rPr>
          <w:i/>
          <w:color w:val="000000" w:themeColor="text1"/>
          <w:vertAlign w:val="subscript"/>
        </w:rPr>
        <w:t>n</w:t>
      </w:r>
      <w:r w:rsidRPr="0021789B">
        <w:rPr>
          <w:color w:val="000000" w:themeColor="text1"/>
        </w:rPr>
        <w:t xml:space="preserve">) </w:t>
      </w:r>
      <w:r w:rsidR="00DC505E" w:rsidRPr="00402D7E">
        <w:rPr>
          <w:rFonts w:eastAsia="Arial Unicode MS" w:cs="Times New Roman"/>
          <w:color w:val="000000" w:themeColor="text1"/>
        </w:rPr>
        <w:t>≠</w:t>
      </w:r>
      <w:r w:rsidR="00241876">
        <w:rPr>
          <w:color w:val="000000" w:themeColor="text1"/>
        </w:rPr>
        <w:t xml:space="preserve"> </w:t>
      </w:r>
      <w:r w:rsidRPr="0021789B">
        <w:rPr>
          <w:color w:val="000000" w:themeColor="text1"/>
        </w:rPr>
        <w:t>“</w:t>
      </w:r>
      <w:r w:rsidR="00DC505E">
        <w:rPr>
          <w:color w:val="000000" w:themeColor="text1"/>
        </w:rPr>
        <w:t>p</w:t>
      </w:r>
      <w:r w:rsidRPr="00C06F76">
        <w:rPr>
          <w:color w:val="000000" w:themeColor="text1"/>
        </w:rPr>
        <w:t>”</w:t>
      </w:r>
    </w:p>
    <w:p w:rsidR="005D692C" w:rsidRPr="0021789B" w:rsidRDefault="008C597B" w:rsidP="007C6E09">
      <w:pPr>
        <w:pStyle w:val="Text"/>
        <w:ind w:firstLine="0"/>
        <w:jc w:val="left"/>
        <w:rPr>
          <w:color w:val="000000" w:themeColor="text1"/>
        </w:rPr>
      </w:pPr>
      <w:r>
        <w:rPr>
          <w:color w:val="000000" w:themeColor="text1"/>
        </w:rPr>
        <w:t xml:space="preserve">         write </w:t>
      </w:r>
      <w:r w:rsidR="00D676FC">
        <w:rPr>
          <w:color w:val="000000" w:themeColor="text1"/>
        </w:rPr>
        <w:t>(</w:t>
      </w:r>
      <w:r>
        <w:rPr>
          <w:color w:val="000000" w:themeColor="text1"/>
        </w:rPr>
        <w:t>“ (</w:t>
      </w:r>
      <w:r w:rsidR="0021789B" w:rsidRPr="00C06F76">
        <w:rPr>
          <w:color w:val="000000" w:themeColor="text1"/>
        </w:rPr>
        <w:t>”</w:t>
      </w:r>
      <w:r w:rsidR="0021789B">
        <w:rPr>
          <w:color w:val="000000" w:themeColor="text1"/>
        </w:rPr>
        <w:t xml:space="preserve"> </w:t>
      </w:r>
      <w:r w:rsidR="0021789B" w:rsidRPr="0021789B">
        <w:rPr>
          <w:color w:val="000000" w:themeColor="text1"/>
        </w:rPr>
        <w:t>Sorte (</w:t>
      </w:r>
      <w:r w:rsidR="00F5567C">
        <w:rPr>
          <w:i/>
          <w:color w:val="000000" w:themeColor="text1"/>
        </w:rPr>
        <w:t>Er*</w:t>
      </w:r>
      <w:r w:rsidR="0021789B" w:rsidRPr="0021789B">
        <w:rPr>
          <w:i/>
          <w:color w:val="000000" w:themeColor="text1"/>
          <w:vertAlign w:val="subscript"/>
        </w:rPr>
        <w:t>n</w:t>
      </w:r>
      <w:r w:rsidR="0021789B" w:rsidRPr="0021789B">
        <w:rPr>
          <w:color w:val="000000" w:themeColor="text1"/>
        </w:rPr>
        <w:t>)</w:t>
      </w:r>
      <w:r w:rsidR="0021789B">
        <w:rPr>
          <w:color w:val="000000" w:themeColor="text1"/>
        </w:rPr>
        <w:t xml:space="preserve"> </w:t>
      </w:r>
      <w:r w:rsidR="0021789B" w:rsidRPr="0021789B">
        <w:rPr>
          <w:color w:val="000000" w:themeColor="text1"/>
        </w:rPr>
        <w:t>“</w:t>
      </w:r>
      <w:r>
        <w:rPr>
          <w:color w:val="000000" w:themeColor="text1"/>
        </w:rPr>
        <w:t>)</w:t>
      </w:r>
      <w:r w:rsidR="0021789B" w:rsidRPr="00C06F76">
        <w:rPr>
          <w:color w:val="000000" w:themeColor="text1"/>
        </w:rPr>
        <w:t>”</w:t>
      </w:r>
      <w:r w:rsidR="00D676FC">
        <w:rPr>
          <w:color w:val="000000" w:themeColor="text1"/>
        </w:rPr>
        <w:t>)</w:t>
      </w:r>
    </w:p>
    <w:p w:rsidR="005D692C" w:rsidRPr="00A44559" w:rsidRDefault="005D692C" w:rsidP="007C6E09">
      <w:pPr>
        <w:pStyle w:val="Text"/>
        <w:ind w:firstLine="0"/>
        <w:jc w:val="left"/>
        <w:rPr>
          <w:color w:val="000000" w:themeColor="text1"/>
        </w:rPr>
      </w:pPr>
      <w:r w:rsidRPr="0021789B">
        <w:rPr>
          <w:color w:val="000000" w:themeColor="text1"/>
        </w:rPr>
        <w:t xml:space="preserve">      </w:t>
      </w:r>
      <w:r w:rsidRPr="00A44559">
        <w:rPr>
          <w:color w:val="000000" w:themeColor="text1"/>
        </w:rPr>
        <w:t>end</w:t>
      </w:r>
    </w:p>
    <w:p w:rsidR="0021789B" w:rsidRPr="007F565F" w:rsidRDefault="007843FE" w:rsidP="00856CFE">
      <w:pPr>
        <w:pStyle w:val="Text"/>
        <w:ind w:hanging="369"/>
        <w:jc w:val="left"/>
        <w:rPr>
          <w:color w:val="000000" w:themeColor="text1"/>
        </w:rPr>
      </w:pPr>
      <w:r w:rsidRPr="003B0B79">
        <w:rPr>
          <w:sz w:val="16"/>
          <w:szCs w:val="16"/>
        </w:rPr>
        <w:t>85</w:t>
      </w:r>
      <w:r w:rsidR="0021789B" w:rsidRPr="007F565F">
        <w:tab/>
      </w:r>
      <w:r w:rsidR="00125E51" w:rsidRPr="00A44559">
        <w:rPr>
          <w:color w:val="000000" w:themeColor="text1"/>
        </w:rPr>
        <w:t xml:space="preserve">      write </w:t>
      </w:r>
      <w:r w:rsidR="00125E51">
        <w:rPr>
          <w:color w:val="000000" w:themeColor="text1"/>
        </w:rPr>
        <w:t>(</w:t>
      </w:r>
      <w:r w:rsidR="00125E51" w:rsidRPr="00C06F76">
        <w:rPr>
          <w:color w:val="000000" w:themeColor="text1"/>
        </w:rPr>
        <w:t>“: </w:t>
      </w:r>
      <w:r w:rsidR="00125E51" w:rsidRPr="00C06F76">
        <w:t>‚</w:t>
      </w:r>
      <w:r w:rsidR="00125E51" w:rsidRPr="00C06F76">
        <w:rPr>
          <w:color w:val="000000" w:themeColor="text1"/>
        </w:rPr>
        <w:t>”</w:t>
      </w:r>
      <w:r w:rsidR="00125E51">
        <w:rPr>
          <w:color w:val="000000" w:themeColor="text1"/>
        </w:rPr>
        <w:t xml:space="preserve"> </w:t>
      </w:r>
      <w:r w:rsidR="00125E51">
        <w:rPr>
          <w:i/>
          <w:color w:val="000000" w:themeColor="text1"/>
        </w:rPr>
        <w:t>Er*</w:t>
      </w:r>
      <w:r w:rsidR="00125E51" w:rsidRPr="00A44559">
        <w:rPr>
          <w:i/>
          <w:color w:val="000000" w:themeColor="text1"/>
          <w:vertAlign w:val="subscript"/>
        </w:rPr>
        <w:t>n</w:t>
      </w:r>
      <w:r w:rsidR="00125E51" w:rsidRPr="00A44559">
        <w:rPr>
          <w:color w:val="000000" w:themeColor="text1"/>
        </w:rPr>
        <w:t xml:space="preserve"> “</w:t>
      </w:r>
      <w:r w:rsidR="00125E51" w:rsidRPr="00A44559">
        <w:t>‘</w:t>
      </w:r>
      <w:r w:rsidR="00125E51" w:rsidRPr="00A44559">
        <w:rPr>
          <w:color w:val="000000" w:themeColor="text1"/>
        </w:rPr>
        <w:t>&lt;br&gt;”</w:t>
      </w:r>
      <w:r w:rsidR="00125E51">
        <w:rPr>
          <w:color w:val="000000" w:themeColor="text1"/>
        </w:rPr>
        <w:t>)</w:t>
      </w:r>
    </w:p>
    <w:p w:rsidR="00125E51" w:rsidRDefault="00125E51" w:rsidP="007C6E09">
      <w:pPr>
        <w:pStyle w:val="Text"/>
        <w:ind w:firstLine="0"/>
        <w:jc w:val="left"/>
        <w:rPr>
          <w:color w:val="000000" w:themeColor="text1"/>
        </w:rPr>
      </w:pPr>
      <w:r w:rsidRPr="00A44559">
        <w:rPr>
          <w:color w:val="000000" w:themeColor="text1"/>
        </w:rPr>
        <w:t xml:space="preserve">     </w:t>
      </w:r>
      <w:r w:rsidRPr="002A7646">
        <w:rPr>
          <w:i/>
          <w:color w:val="000000" w:themeColor="text1"/>
        </w:rPr>
        <w:t>G</w:t>
      </w:r>
      <w:r w:rsidRPr="002A7646">
        <w:rPr>
          <w:color w:val="000000" w:themeColor="text1"/>
        </w:rPr>
        <w:t xml:space="preserve"> := </w:t>
      </w:r>
      <w:r w:rsidRPr="002A7646">
        <w:rPr>
          <w:i/>
          <w:color w:val="000000" w:themeColor="text1"/>
        </w:rPr>
        <w:t>G</w:t>
      </w:r>
      <w:r w:rsidRPr="002A7646">
        <w:rPr>
          <w:color w:val="000000" w:themeColor="text1"/>
        </w:rPr>
        <w:t xml:space="preserve"> </w:t>
      </w:r>
      <w:r w:rsidRPr="00E009F6">
        <w:rPr>
          <w:rFonts w:ascii="Cambria Math" w:eastAsia="Arial Unicode MS" w:hAnsi="Cambria Math" w:cs="Arial Unicode MS"/>
          <w:color w:val="000000" w:themeColor="text1"/>
        </w:rPr>
        <w:t>∪</w:t>
      </w:r>
      <w:r w:rsidRPr="000E6679">
        <w:rPr>
          <w:color w:val="000000" w:themeColor="text1"/>
        </w:rPr>
        <w:t xml:space="preserve"> </w:t>
      </w:r>
      <w:r>
        <w:rPr>
          <w:color w:val="000000" w:themeColor="text1"/>
        </w:rPr>
        <w:t>{</w:t>
      </w:r>
      <w:r w:rsidRPr="002A7646">
        <w:rPr>
          <w:color w:val="000000" w:themeColor="text1"/>
        </w:rPr>
        <w:t>&lt;</w:t>
      </w:r>
      <w:r>
        <w:rPr>
          <w:i/>
          <w:color w:val="000000" w:themeColor="text1"/>
        </w:rPr>
        <w:t>Er*</w:t>
      </w:r>
      <w:r>
        <w:rPr>
          <w:i/>
          <w:color w:val="000000" w:themeColor="text1"/>
          <w:vertAlign w:val="subscript"/>
        </w:rPr>
        <w:t>n</w:t>
      </w:r>
      <w:r w:rsidRPr="002A7646">
        <w:rPr>
          <w:color w:val="000000" w:themeColor="text1"/>
        </w:rPr>
        <w:t xml:space="preserve">, </w:t>
      </w:r>
      <w:r w:rsidRPr="004C1F33">
        <w:rPr>
          <w:color w:val="000000" w:themeColor="text1"/>
        </w:rPr>
        <w:t>“Er”</w:t>
      </w:r>
      <w:r>
        <w:rPr>
          <w:color w:val="000000" w:themeColor="text1"/>
        </w:rPr>
        <w:t xml:space="preserve">, </w:t>
      </w:r>
      <w:r w:rsidRPr="002A7646">
        <w:rPr>
          <w:i/>
          <w:color w:val="000000" w:themeColor="text1"/>
        </w:rPr>
        <w:t>z</w:t>
      </w:r>
      <w:r w:rsidRPr="002A7646">
        <w:rPr>
          <w:color w:val="000000" w:themeColor="text1"/>
        </w:rPr>
        <w:t>&gt;</w:t>
      </w:r>
      <w:r>
        <w:rPr>
          <w:color w:val="000000" w:themeColor="text1"/>
        </w:rPr>
        <w:t>}</w:t>
      </w:r>
    </w:p>
    <w:p w:rsidR="007843FE" w:rsidRDefault="007843FE" w:rsidP="007C6E09">
      <w:pPr>
        <w:pStyle w:val="Text"/>
        <w:ind w:firstLine="0"/>
        <w:jc w:val="left"/>
        <w:rPr>
          <w:color w:val="000000" w:themeColor="text1"/>
        </w:rPr>
      </w:pPr>
      <w:r>
        <w:rPr>
          <w:color w:val="000000" w:themeColor="text1"/>
        </w:rPr>
        <w:t xml:space="preserve">   end</w:t>
      </w:r>
    </w:p>
    <w:p w:rsidR="00943242" w:rsidRPr="00C20145" w:rsidRDefault="00943242" w:rsidP="007C6E09">
      <w:pPr>
        <w:pStyle w:val="Text"/>
        <w:ind w:firstLine="0"/>
        <w:jc w:val="left"/>
        <w:rPr>
          <w:color w:val="000000" w:themeColor="text1"/>
          <w:lang w:val="en-US"/>
        </w:rPr>
      </w:pPr>
      <w:r w:rsidRPr="007F565F">
        <w:rPr>
          <w:color w:val="000000" w:themeColor="text1"/>
        </w:rPr>
        <w:t xml:space="preserve">   </w:t>
      </w:r>
      <w:r w:rsidRPr="00C20145">
        <w:rPr>
          <w:i/>
          <w:color w:val="000000" w:themeColor="text1"/>
          <w:lang w:val="en-US"/>
        </w:rPr>
        <w:t>Z</w:t>
      </w:r>
      <w:r w:rsidRPr="00C20145">
        <w:rPr>
          <w:color w:val="000000" w:themeColor="text1"/>
          <w:lang w:val="en-US"/>
        </w:rPr>
        <w:t xml:space="preserve"> := &lt;</w:t>
      </w:r>
      <w:r w:rsidRPr="00C20145">
        <w:rPr>
          <w:i/>
          <w:color w:val="000000" w:themeColor="text1"/>
          <w:lang w:val="en-US"/>
        </w:rPr>
        <w:t>w</w:t>
      </w:r>
      <w:r w:rsidRPr="00C20145">
        <w:rPr>
          <w:color w:val="000000" w:themeColor="text1"/>
          <w:lang w:val="en-US"/>
        </w:rPr>
        <w:t xml:space="preserve">, </w:t>
      </w:r>
      <w:r w:rsidRPr="00C20145">
        <w:rPr>
          <w:i/>
          <w:color w:val="000000" w:themeColor="text1"/>
          <w:lang w:val="en-US"/>
        </w:rPr>
        <w:t>x</w:t>
      </w:r>
      <w:r w:rsidRPr="00C20145">
        <w:rPr>
          <w:color w:val="000000" w:themeColor="text1"/>
          <w:lang w:val="en-US"/>
        </w:rPr>
        <w:t xml:space="preserve">, </w:t>
      </w:r>
      <w:r w:rsidRPr="00C20145">
        <w:rPr>
          <w:i/>
          <w:color w:val="000000" w:themeColor="text1"/>
          <w:lang w:val="en-US"/>
        </w:rPr>
        <w:t>y</w:t>
      </w:r>
      <w:r w:rsidRPr="00C20145">
        <w:rPr>
          <w:color w:val="000000" w:themeColor="text1"/>
          <w:lang w:val="en-US"/>
        </w:rPr>
        <w:t xml:space="preserve">, </w:t>
      </w:r>
      <w:r w:rsidRPr="00C20145">
        <w:rPr>
          <w:i/>
          <w:color w:val="000000" w:themeColor="text1"/>
          <w:lang w:val="en-US"/>
        </w:rPr>
        <w:t>z</w:t>
      </w:r>
      <w:r w:rsidRPr="00C20145">
        <w:rPr>
          <w:color w:val="000000" w:themeColor="text1"/>
          <w:lang w:val="en-US"/>
        </w:rPr>
        <w:t>&gt;</w:t>
      </w:r>
    </w:p>
    <w:p w:rsidR="0021789B" w:rsidRPr="00B20418" w:rsidRDefault="0021789B" w:rsidP="007C6E09">
      <w:pPr>
        <w:pStyle w:val="Text"/>
        <w:ind w:firstLine="0"/>
        <w:jc w:val="left"/>
        <w:rPr>
          <w:color w:val="000000" w:themeColor="text1"/>
          <w:lang w:val="en-US"/>
        </w:rPr>
      </w:pPr>
      <w:r w:rsidRPr="00C20145">
        <w:rPr>
          <w:color w:val="000000" w:themeColor="text1"/>
          <w:lang w:val="en-US"/>
        </w:rPr>
        <w:t xml:space="preserve">   </w:t>
      </w:r>
      <w:r w:rsidRPr="00B20418">
        <w:rPr>
          <w:color w:val="000000" w:themeColor="text1"/>
          <w:lang w:val="en-US"/>
        </w:rPr>
        <w:t xml:space="preserve">return </w:t>
      </w:r>
      <w:r w:rsidR="00F32DFD" w:rsidRPr="00B20418">
        <w:rPr>
          <w:i/>
          <w:color w:val="000000" w:themeColor="text1"/>
          <w:lang w:val="en-US"/>
        </w:rPr>
        <w:t>G</w:t>
      </w:r>
      <w:r w:rsidRPr="00B20418">
        <w:rPr>
          <w:color w:val="000000" w:themeColor="text1"/>
          <w:lang w:val="en-US"/>
        </w:rPr>
        <w:t xml:space="preserve">, </w:t>
      </w:r>
      <w:r w:rsidRPr="00B20418">
        <w:rPr>
          <w:i/>
          <w:color w:val="000000" w:themeColor="text1"/>
          <w:lang w:val="en-US"/>
        </w:rPr>
        <w:t>Z</w:t>
      </w:r>
    </w:p>
    <w:p w:rsidR="00E713D6" w:rsidRPr="00DB7B8A" w:rsidRDefault="002929E1" w:rsidP="00856CFE">
      <w:pPr>
        <w:pStyle w:val="Text"/>
        <w:ind w:hanging="369"/>
        <w:jc w:val="left"/>
        <w:rPr>
          <w:color w:val="000000" w:themeColor="text1"/>
        </w:rPr>
      </w:pPr>
      <w:r w:rsidRPr="003B0B79">
        <w:rPr>
          <w:sz w:val="16"/>
          <w:szCs w:val="16"/>
        </w:rPr>
        <w:t>9</w:t>
      </w:r>
      <w:r w:rsidR="00125E51" w:rsidRPr="003B0B79">
        <w:rPr>
          <w:sz w:val="16"/>
          <w:szCs w:val="16"/>
        </w:rPr>
        <w:t>0</w:t>
      </w:r>
      <w:r w:rsidR="00125E51" w:rsidRPr="00DB7B8A">
        <w:tab/>
      </w:r>
      <w:r w:rsidR="00125E51" w:rsidRPr="00DB7B8A">
        <w:rPr>
          <w:color w:val="000000" w:themeColor="text1"/>
        </w:rPr>
        <w:t xml:space="preserve">end </w:t>
      </w:r>
      <w:r w:rsidR="00E713D6" w:rsidRPr="00A44559">
        <w:rPr>
          <w:color w:val="000000" w:themeColor="text1"/>
        </w:rPr>
        <w:t>function</w:t>
      </w:r>
    </w:p>
    <w:p w:rsidR="00EB0EF6" w:rsidRPr="00B624A9" w:rsidRDefault="00B624A9" w:rsidP="00B20C09">
      <w:pPr>
        <w:pStyle w:val="Zwischenberschrift"/>
        <w:spacing w:before="360"/>
        <w:rPr>
          <w:rFonts w:cs="Times New Roman"/>
          <w:color w:val="000000" w:themeColor="text1"/>
        </w:rPr>
      </w:pPr>
      <w:r w:rsidRPr="00047C51">
        <w:t>Erläuterung</w:t>
      </w:r>
    </w:p>
    <w:p w:rsidR="00B624A9" w:rsidRDefault="00B624A9" w:rsidP="00B20C09">
      <w:pPr>
        <w:pStyle w:val="Text"/>
        <w:ind w:firstLine="0"/>
      </w:pPr>
      <w:r>
        <w:t xml:space="preserve">Zeile 1 gibt den Namen der Funktion an, die die folgenden Parameter erhält: Die Mengen der im aktuellen Interpretationsschritt verwendeten Merkmalsregeln </w:t>
      </w:r>
      <w:r w:rsidRPr="004F0F1E">
        <w:rPr>
          <w:i/>
          <w:color w:val="000000" w:themeColor="text1"/>
        </w:rPr>
        <w:t>P</w:t>
      </w:r>
      <w:r w:rsidRPr="004F0F1E">
        <w:rPr>
          <w:color w:val="000000" w:themeColor="text1"/>
        </w:rPr>
        <w:t xml:space="preserve">, </w:t>
      </w:r>
      <w:r w:rsidR="00E0035E">
        <w:rPr>
          <w:color w:val="000000" w:themeColor="text1"/>
        </w:rPr>
        <w:t xml:space="preserve">der verwendeten </w:t>
      </w:r>
      <w:r>
        <w:rPr>
          <w:color w:val="000000" w:themeColor="text1"/>
        </w:rPr>
        <w:t xml:space="preserve">Ergebnisse </w:t>
      </w:r>
      <w:r w:rsidRPr="004F0F1E">
        <w:rPr>
          <w:i/>
          <w:color w:val="000000" w:themeColor="text1"/>
        </w:rPr>
        <w:t>Q</w:t>
      </w:r>
      <w:r w:rsidR="00E0035E">
        <w:rPr>
          <w:color w:val="000000" w:themeColor="text1"/>
        </w:rPr>
        <w:t xml:space="preserve">, des verwendeten </w:t>
      </w:r>
      <w:r>
        <w:rPr>
          <w:color w:val="000000" w:themeColor="text1"/>
        </w:rPr>
        <w:t>Hintergrundwissen</w:t>
      </w:r>
      <w:r w:rsidR="00E0035E">
        <w:rPr>
          <w:color w:val="000000" w:themeColor="text1"/>
        </w:rPr>
        <w:t>s</w:t>
      </w:r>
      <w:r>
        <w:rPr>
          <w:color w:val="000000" w:themeColor="text1"/>
        </w:rPr>
        <w:t xml:space="preserve"> </w:t>
      </w:r>
      <w:r w:rsidRPr="004F0F1E">
        <w:rPr>
          <w:i/>
          <w:color w:val="000000" w:themeColor="text1"/>
        </w:rPr>
        <w:t>R</w:t>
      </w:r>
      <w:r>
        <w:rPr>
          <w:color w:val="000000" w:themeColor="text1"/>
        </w:rPr>
        <w:t xml:space="preserve"> sowie </w:t>
      </w:r>
      <w:r w:rsidR="00E0035E">
        <w:rPr>
          <w:color w:val="000000" w:themeColor="text1"/>
        </w:rPr>
        <w:t xml:space="preserve">der </w:t>
      </w:r>
      <w:r>
        <w:rPr>
          <w:color w:val="000000" w:themeColor="text1"/>
        </w:rPr>
        <w:t>erzeugten Ergebnisse</w:t>
      </w:r>
      <w:r w:rsidRPr="004F0F1E">
        <w:rPr>
          <w:color w:val="000000" w:themeColor="text1"/>
        </w:rPr>
        <w:t xml:space="preserve"> </w:t>
      </w:r>
      <w:r w:rsidRPr="004F0F1E">
        <w:rPr>
          <w:i/>
          <w:color w:val="000000" w:themeColor="text1"/>
        </w:rPr>
        <w:t>E</w:t>
      </w:r>
      <w:r w:rsidR="00C57DA7">
        <w:rPr>
          <w:i/>
          <w:color w:val="000000" w:themeColor="text1"/>
        </w:rPr>
        <w:t>r</w:t>
      </w:r>
      <w:r w:rsidRPr="004F0F1E">
        <w:rPr>
          <w:i/>
          <w:color w:val="000000" w:themeColor="text1"/>
        </w:rPr>
        <w:t>*</w:t>
      </w:r>
      <w:r>
        <w:rPr>
          <w:color w:val="000000" w:themeColor="text1"/>
        </w:rPr>
        <w:t xml:space="preserve"> und </w:t>
      </w:r>
      <w:r w:rsidR="00E0035E">
        <w:rPr>
          <w:color w:val="000000" w:themeColor="text1"/>
        </w:rPr>
        <w:t xml:space="preserve">die </w:t>
      </w:r>
      <w:r>
        <w:rPr>
          <w:color w:val="000000" w:themeColor="text1"/>
        </w:rPr>
        <w:t xml:space="preserve">verwendete </w:t>
      </w:r>
      <w:r w:rsidR="00337D36">
        <w:rPr>
          <w:color w:val="000000" w:themeColor="text1"/>
        </w:rPr>
        <w:t xml:space="preserve">Operationsfunktion </w:t>
      </w:r>
      <w:r w:rsidRPr="004F0F1E">
        <w:rPr>
          <w:i/>
          <w:color w:val="000000" w:themeColor="text1"/>
        </w:rPr>
        <w:t>Op</w:t>
      </w:r>
      <w:r w:rsidRPr="004F0F1E">
        <w:rPr>
          <w:i/>
          <w:color w:val="000000" w:themeColor="text1"/>
          <w:vertAlign w:val="subscript"/>
        </w:rPr>
        <w:t>h</w:t>
      </w:r>
      <w:r>
        <w:rPr>
          <w:color w:val="000000" w:themeColor="text1"/>
        </w:rPr>
        <w:t>.</w:t>
      </w:r>
      <w:r w:rsidRPr="004F0F1E">
        <w:rPr>
          <w:color w:val="000000" w:themeColor="text1"/>
        </w:rPr>
        <w:t xml:space="preserve"> </w:t>
      </w:r>
      <w:r w:rsidR="00E0035E">
        <w:rPr>
          <w:color w:val="000000" w:themeColor="text1"/>
        </w:rPr>
        <w:t>A</w:t>
      </w:r>
      <w:r w:rsidR="00E0035E">
        <w:rPr>
          <w:color w:val="000000" w:themeColor="text1"/>
        </w:rPr>
        <w:t>u</w:t>
      </w:r>
      <w:r w:rsidR="00E0035E">
        <w:rPr>
          <w:color w:val="000000" w:themeColor="text1"/>
        </w:rPr>
        <w:t xml:space="preserve">ßerdem die Menge der bereits geschriebenen Elemente </w:t>
      </w:r>
      <w:r w:rsidRPr="004F0F1E">
        <w:rPr>
          <w:i/>
          <w:color w:val="000000" w:themeColor="text1"/>
        </w:rPr>
        <w:t>G</w:t>
      </w:r>
      <w:r w:rsidR="00E0035E">
        <w:rPr>
          <w:color w:val="000000" w:themeColor="text1"/>
        </w:rPr>
        <w:t xml:space="preserve"> sowie</w:t>
      </w:r>
      <w:r w:rsidRPr="004F0F1E">
        <w:rPr>
          <w:color w:val="000000" w:themeColor="text1"/>
        </w:rPr>
        <w:t xml:space="preserve"> </w:t>
      </w:r>
      <w:r w:rsidR="00E0035E">
        <w:rPr>
          <w:color w:val="000000" w:themeColor="text1"/>
        </w:rPr>
        <w:t xml:space="preserve">die </w:t>
      </w:r>
      <w:r w:rsidR="00791184">
        <w:rPr>
          <w:color w:val="000000" w:themeColor="text1"/>
        </w:rPr>
        <w:t xml:space="preserve">in dem 4-Tupel </w:t>
      </w:r>
      <w:r w:rsidR="00791184" w:rsidRPr="00791184">
        <w:rPr>
          <w:i/>
          <w:color w:val="000000" w:themeColor="text1"/>
        </w:rPr>
        <w:t>Z</w:t>
      </w:r>
      <w:r w:rsidR="00791184">
        <w:rPr>
          <w:color w:val="000000" w:themeColor="text1"/>
        </w:rPr>
        <w:t xml:space="preserve"> zusammengefassten </w:t>
      </w:r>
      <w:r w:rsidR="00E0035E">
        <w:rPr>
          <w:color w:val="000000" w:themeColor="text1"/>
        </w:rPr>
        <w:t xml:space="preserve">Zähler </w:t>
      </w:r>
      <w:r w:rsidR="00791184">
        <w:rPr>
          <w:color w:val="000000" w:themeColor="text1"/>
        </w:rPr>
        <w:t xml:space="preserve">für die </w:t>
      </w:r>
      <w:r w:rsidR="00E0035E">
        <w:t xml:space="preserve">geschriebenen Merkmalsregeln, </w:t>
      </w:r>
      <w:r w:rsidR="007221EE">
        <w:rPr>
          <w:color w:val="000000" w:themeColor="text1"/>
        </w:rPr>
        <w:t xml:space="preserve">die </w:t>
      </w:r>
      <w:r w:rsidR="007221EE">
        <w:t xml:space="preserve">geschriebenen </w:t>
      </w:r>
      <w:r w:rsidR="00F943B3">
        <w:t xml:space="preserve">früheren </w:t>
      </w:r>
      <w:r w:rsidR="00E0035E">
        <w:t xml:space="preserve">Ergebnisse, </w:t>
      </w:r>
      <w:r w:rsidR="007221EE">
        <w:rPr>
          <w:color w:val="000000" w:themeColor="text1"/>
        </w:rPr>
        <w:t xml:space="preserve">die </w:t>
      </w:r>
      <w:r w:rsidR="007221EE">
        <w:t xml:space="preserve">geschriebenen </w:t>
      </w:r>
      <w:r w:rsidR="00F943B3">
        <w:t>Elemente des Hinte</w:t>
      </w:r>
      <w:r w:rsidR="00F943B3">
        <w:t>r</w:t>
      </w:r>
      <w:r w:rsidR="00F943B3">
        <w:t xml:space="preserve">grundwissens und </w:t>
      </w:r>
      <w:r w:rsidR="007221EE">
        <w:rPr>
          <w:color w:val="000000" w:themeColor="text1"/>
        </w:rPr>
        <w:t xml:space="preserve">die </w:t>
      </w:r>
      <w:r w:rsidR="007221EE">
        <w:t xml:space="preserve">geschriebenen neuen </w:t>
      </w:r>
      <w:r w:rsidR="00F943B3">
        <w:t>Ergebnisse.</w:t>
      </w:r>
    </w:p>
    <w:p w:rsidR="001F468D" w:rsidRDefault="001F468D" w:rsidP="00B624A9">
      <w:pPr>
        <w:pStyle w:val="Text"/>
      </w:pPr>
      <w:r>
        <w:rPr>
          <w:color w:val="000000" w:themeColor="text1"/>
        </w:rPr>
        <w:t>In Zeile 2</w:t>
      </w:r>
      <w:r w:rsidRPr="00DE7829">
        <w:rPr>
          <w:color w:val="000000" w:themeColor="text1"/>
        </w:rPr>
        <w:t xml:space="preserve"> </w:t>
      </w:r>
      <w:r>
        <w:t xml:space="preserve">werden die Mengen </w:t>
      </w:r>
      <w:r w:rsidRPr="002A7646">
        <w:rPr>
          <w:i/>
          <w:color w:val="000000" w:themeColor="text1"/>
        </w:rPr>
        <w:t>B</w:t>
      </w:r>
      <w:r w:rsidRPr="002A7646">
        <w:rPr>
          <w:i/>
          <w:color w:val="000000" w:themeColor="text1"/>
          <w:vertAlign w:val="superscript"/>
        </w:rPr>
        <w:t>G</w:t>
      </w:r>
      <w:r w:rsidRPr="00943242">
        <w:rPr>
          <w:color w:val="000000" w:themeColor="text1"/>
        </w:rPr>
        <w:t xml:space="preserve">, </w:t>
      </w:r>
      <w:r w:rsidRPr="002A7646">
        <w:rPr>
          <w:i/>
          <w:color w:val="000000" w:themeColor="text1"/>
        </w:rPr>
        <w:t>Er</w:t>
      </w:r>
      <w:r w:rsidRPr="002A7646">
        <w:rPr>
          <w:i/>
          <w:color w:val="000000" w:themeColor="text1"/>
          <w:vertAlign w:val="superscript"/>
        </w:rPr>
        <w:t>G</w:t>
      </w:r>
      <w:r w:rsidRPr="00943242">
        <w:rPr>
          <w:color w:val="000000" w:themeColor="text1"/>
        </w:rPr>
        <w:t xml:space="preserve">, </w:t>
      </w:r>
      <w:r w:rsidR="00DE4E09" w:rsidRPr="00C24417">
        <w:rPr>
          <w:i/>
          <w:color w:val="000000" w:themeColor="text1"/>
        </w:rPr>
        <w:t>Er</w:t>
      </w:r>
      <w:r w:rsidR="00DE4E09" w:rsidRPr="00C24417">
        <w:rPr>
          <w:color w:val="000000" w:themeColor="text1"/>
          <w:vertAlign w:val="subscript"/>
        </w:rPr>
        <w:t>(f)</w:t>
      </w:r>
      <w:r w:rsidR="00DE4E09" w:rsidRPr="00C24417">
        <w:rPr>
          <w:i/>
          <w:color w:val="000000" w:themeColor="text1"/>
          <w:vertAlign w:val="superscript"/>
        </w:rPr>
        <w:t>G</w:t>
      </w:r>
      <w:r w:rsidR="00DE4E09">
        <w:rPr>
          <w:color w:val="000000" w:themeColor="text1"/>
        </w:rPr>
        <w:t xml:space="preserve">, </w:t>
      </w:r>
      <w:r w:rsidRPr="002A7646">
        <w:rPr>
          <w:i/>
          <w:color w:val="000000" w:themeColor="text1"/>
        </w:rPr>
        <w:t>H</w:t>
      </w:r>
      <w:r w:rsidRPr="002A7646">
        <w:rPr>
          <w:i/>
          <w:color w:val="000000" w:themeColor="text1"/>
          <w:vertAlign w:val="superscript"/>
        </w:rPr>
        <w:t>G</w:t>
      </w:r>
      <w:r w:rsidRPr="00943242">
        <w:rPr>
          <w:color w:val="000000" w:themeColor="text1"/>
        </w:rPr>
        <w:t xml:space="preserve"> </w:t>
      </w:r>
      <w:r>
        <w:t>als leere Mengen definiert.</w:t>
      </w:r>
    </w:p>
    <w:p w:rsidR="00C858B1" w:rsidRPr="0083619D" w:rsidRDefault="00C858B1" w:rsidP="00B624A9">
      <w:pPr>
        <w:pStyle w:val="Text"/>
      </w:pPr>
      <w:r>
        <w:t xml:space="preserve">In Zeile 3 werden </w:t>
      </w:r>
      <w:r w:rsidR="00123FA8">
        <w:t xml:space="preserve">die in </w:t>
      </w:r>
      <w:r w:rsidR="00123FA8" w:rsidRPr="00C858B1">
        <w:rPr>
          <w:i/>
          <w:color w:val="000000" w:themeColor="text1"/>
        </w:rPr>
        <w:t>Z</w:t>
      </w:r>
      <w:r w:rsidR="00123FA8">
        <w:t xml:space="preserve"> gespeicherten Werte, auf die </w:t>
      </w:r>
      <w:r w:rsidR="0083619D">
        <w:t>mit Hilfe der def</w:t>
      </w:r>
      <w:r w:rsidR="0083619D">
        <w:t>i</w:t>
      </w:r>
      <w:r w:rsidR="0083619D">
        <w:t xml:space="preserve">nierten </w:t>
      </w:r>
      <w:r w:rsidR="00ED25AD">
        <w:rPr>
          <w:color w:val="000000" w:themeColor="text1"/>
        </w:rPr>
        <w:t>Komponenten</w:t>
      </w:r>
      <w:r w:rsidR="00814C2F">
        <w:t>namen</w:t>
      </w:r>
      <w:r w:rsidR="005D7996">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fldChar w:fldCharType="end"/>
      </w:r>
      <w:r w:rsidR="00891E78">
        <w:rPr>
          <w:rStyle w:val="Funotenzeichen"/>
        </w:rPr>
        <w:footnoteReference w:id="520"/>
      </w:r>
      <w:r w:rsidR="00814C2F">
        <w:t xml:space="preserve"> </w:t>
      </w:r>
      <w:r w:rsidR="00123FA8">
        <w:t xml:space="preserve">zugegriffen wird, </w:t>
      </w:r>
      <w:r>
        <w:t xml:space="preserve">in die Zählervariablen </w:t>
      </w:r>
      <w:r w:rsidRPr="00837C36">
        <w:rPr>
          <w:i/>
          <w:color w:val="000000" w:themeColor="text1"/>
        </w:rPr>
        <w:t>w</w:t>
      </w:r>
      <w:r>
        <w:rPr>
          <w:color w:val="000000" w:themeColor="text1"/>
        </w:rPr>
        <w:t xml:space="preserve">, </w:t>
      </w:r>
      <w:r w:rsidRPr="00837C36">
        <w:rPr>
          <w:i/>
          <w:color w:val="000000" w:themeColor="text1"/>
        </w:rPr>
        <w:t>x</w:t>
      </w:r>
      <w:r>
        <w:rPr>
          <w:color w:val="000000" w:themeColor="text1"/>
        </w:rPr>
        <w:t xml:space="preserve">, </w:t>
      </w:r>
      <w:r w:rsidRPr="00837C36">
        <w:rPr>
          <w:i/>
          <w:color w:val="000000" w:themeColor="text1"/>
        </w:rPr>
        <w:t>y</w:t>
      </w:r>
      <w:r>
        <w:rPr>
          <w:color w:val="000000" w:themeColor="text1"/>
        </w:rPr>
        <w:t xml:space="preserve">, </w:t>
      </w:r>
      <w:r w:rsidRPr="00837C36">
        <w:rPr>
          <w:i/>
          <w:color w:val="000000" w:themeColor="text1"/>
        </w:rPr>
        <w:t>z</w:t>
      </w:r>
      <w:r>
        <w:rPr>
          <w:color w:val="000000" w:themeColor="text1"/>
        </w:rPr>
        <w:t xml:space="preserve"> gespeichert</w:t>
      </w:r>
      <w:r w:rsidR="007872E2">
        <w:rPr>
          <w:color w:val="000000" w:themeColor="text1"/>
        </w:rPr>
        <w:t>.</w:t>
      </w:r>
    </w:p>
    <w:p w:rsidR="00FC5476" w:rsidRPr="00B20C09" w:rsidRDefault="00FC5476" w:rsidP="00D41B2D">
      <w:pPr>
        <w:pStyle w:val="Text"/>
        <w:keepNext/>
        <w:rPr>
          <w:i/>
        </w:rPr>
      </w:pPr>
      <w:r w:rsidRPr="00B20C09">
        <w:rPr>
          <w:i/>
        </w:rPr>
        <w:lastRenderedPageBreak/>
        <w:t>Die Mer</w:t>
      </w:r>
      <w:r w:rsidR="00B20C09">
        <w:rPr>
          <w:i/>
        </w:rPr>
        <w:t>kmalsregeln werden geschrieben:</w:t>
      </w:r>
    </w:p>
    <w:p w:rsidR="00FA74D4" w:rsidRDefault="00FA74D4" w:rsidP="00FA74D4">
      <w:pPr>
        <w:pStyle w:val="Text"/>
      </w:pPr>
      <w:r w:rsidRPr="00DB0613">
        <w:t xml:space="preserve">Zeile </w:t>
      </w:r>
      <w:r w:rsidR="00195CA1">
        <w:t>4</w:t>
      </w:r>
      <w:r>
        <w:t xml:space="preserve"> </w:t>
      </w:r>
      <w:r w:rsidRPr="00DB0613">
        <w:t xml:space="preserve">gibt an, dass die eingerückt folgende Schleife für die Variable </w:t>
      </w:r>
      <w:r w:rsidR="00AF5258">
        <w:rPr>
          <w:i/>
          <w:iCs/>
        </w:rPr>
        <w:t>n</w:t>
      </w:r>
      <w:r w:rsidRPr="00DB0613">
        <w:t xml:space="preserve"> von 1 bis zur Anzahl der Elemente von </w:t>
      </w:r>
      <w:r w:rsidRPr="00DB0613">
        <w:rPr>
          <w:i/>
          <w:iCs/>
        </w:rPr>
        <w:t>P</w:t>
      </w:r>
      <w:r w:rsidRPr="00DB0613">
        <w:t xml:space="preserve"> ausgeführt wird.</w:t>
      </w:r>
    </w:p>
    <w:p w:rsidR="00195CA1" w:rsidRDefault="00195CA1" w:rsidP="00FA74D4">
      <w:pPr>
        <w:pStyle w:val="Text"/>
      </w:pPr>
      <w:r>
        <w:t xml:space="preserve">In Zeile 5 wird die Anzahl der Elemente von </w:t>
      </w:r>
      <w:r w:rsidRPr="002A7646">
        <w:rPr>
          <w:i/>
          <w:color w:val="000000" w:themeColor="text1"/>
        </w:rPr>
        <w:t>B</w:t>
      </w:r>
      <w:r w:rsidRPr="002A7646">
        <w:rPr>
          <w:i/>
          <w:color w:val="000000" w:themeColor="text1"/>
          <w:vertAlign w:val="superscript"/>
        </w:rPr>
        <w:t>G</w:t>
      </w:r>
      <w:r>
        <w:t xml:space="preserve"> in die Variable </w:t>
      </w:r>
      <w:r w:rsidRPr="00195CA1">
        <w:rPr>
          <w:i/>
        </w:rPr>
        <w:t>k</w:t>
      </w:r>
      <w:r>
        <w:t xml:space="preserve"> gespe</w:t>
      </w:r>
      <w:r>
        <w:t>i</w:t>
      </w:r>
      <w:r>
        <w:t>chert.</w:t>
      </w:r>
    </w:p>
    <w:p w:rsidR="00195CA1" w:rsidRDefault="00195CA1" w:rsidP="00195CA1">
      <w:pPr>
        <w:pStyle w:val="Text"/>
      </w:pPr>
      <w:r>
        <w:t xml:space="preserve">Zeile 6 </w:t>
      </w:r>
      <w:r w:rsidRPr="00DB0613">
        <w:t xml:space="preserve">gibt an, dass die eingerückt folgende Schleife für die Variable </w:t>
      </w:r>
      <w:r>
        <w:rPr>
          <w:i/>
          <w:iCs/>
        </w:rPr>
        <w:t>m</w:t>
      </w:r>
      <w:r w:rsidRPr="00DB0613">
        <w:t xml:space="preserve"> von 1 bis zur Anzahl der Elemente von </w:t>
      </w:r>
      <w:r>
        <w:rPr>
          <w:i/>
          <w:iCs/>
        </w:rPr>
        <w:t>G</w:t>
      </w:r>
      <w:r w:rsidRPr="00DB0613">
        <w:t xml:space="preserve"> ausgeführt wird.</w:t>
      </w:r>
    </w:p>
    <w:p w:rsidR="00195CA1" w:rsidRDefault="00195CA1" w:rsidP="00195CA1">
      <w:pPr>
        <w:pStyle w:val="Text"/>
      </w:pPr>
      <w:r>
        <w:t xml:space="preserve">Zeile 7 gibt an, dass die eingerückt </w:t>
      </w:r>
      <w:r w:rsidR="003370D4">
        <w:t>folgende Anweisung</w:t>
      </w:r>
      <w:r>
        <w:t xml:space="preserve"> ausgeführt wird, wenn</w:t>
      </w:r>
      <w:r w:rsidR="00F014B3">
        <w:t xml:space="preserve"> </w:t>
      </w:r>
      <w:r w:rsidR="00F014B3" w:rsidRPr="000671DE">
        <w:rPr>
          <w:i/>
          <w:color w:val="000000" w:themeColor="text1"/>
        </w:rPr>
        <w:t>P</w:t>
      </w:r>
      <w:r w:rsidR="00F014B3" w:rsidRPr="000671DE">
        <w:rPr>
          <w:i/>
          <w:color w:val="000000" w:themeColor="text1"/>
          <w:vertAlign w:val="subscript"/>
        </w:rPr>
        <w:t>n</w:t>
      </w:r>
      <w:r w:rsidR="00F014B3">
        <w:t xml:space="preserve"> gleich dem </w:t>
      </w:r>
      <w:r w:rsidR="00C27D64">
        <w:t xml:space="preserve">Wert </w:t>
      </w:r>
      <w:r w:rsidR="00F014B3">
        <w:t>de</w:t>
      </w:r>
      <w:r w:rsidR="00C27D64">
        <w:t>s</w:t>
      </w:r>
      <w:r w:rsidR="00F014B3">
        <w:t xml:space="preserve"> </w:t>
      </w:r>
      <w:r w:rsidR="00C27D64">
        <w:t xml:space="preserve">in </w:t>
      </w:r>
      <w:r w:rsidR="00FF1D1C">
        <w:rPr>
          <w:i/>
          <w:color w:val="000000" w:themeColor="text1"/>
        </w:rPr>
        <w:t>G</w:t>
      </w:r>
      <w:r w:rsidR="00FF1D1C">
        <w:rPr>
          <w:i/>
          <w:color w:val="000000" w:themeColor="text1"/>
          <w:vertAlign w:val="subscript"/>
        </w:rPr>
        <w:t>m</w:t>
      </w:r>
      <w:r w:rsidR="00FF1D1C">
        <w:t xml:space="preserve"> </w:t>
      </w:r>
      <w:r w:rsidR="00F014B3">
        <w:t>gespeichert</w:t>
      </w:r>
      <w:r w:rsidR="00C27D64">
        <w:t>en Elements</w:t>
      </w:r>
      <w:r w:rsidR="00F014B3">
        <w:t xml:space="preserve"> </w:t>
      </w:r>
      <w:r w:rsidR="00C27D64">
        <w:t>ist</w:t>
      </w:r>
      <w:r w:rsidR="00F014B3">
        <w:t xml:space="preserve"> und für dieses Element </w:t>
      </w:r>
      <w:r w:rsidR="00FF1D1C">
        <w:t>die Sorte</w:t>
      </w:r>
      <w:r w:rsidR="00C27D64">
        <w:t>nbezeichnung</w:t>
      </w:r>
      <w:r w:rsidR="00FF1D1C">
        <w:t xml:space="preserve"> „B“ </w:t>
      </w:r>
      <w:r w:rsidR="00F014B3">
        <w:t xml:space="preserve">für </w:t>
      </w:r>
      <w:r w:rsidR="00FF1D1C">
        <w:t>Merkmalsregel</w:t>
      </w:r>
      <w:r w:rsidR="00A831A5">
        <w:t>n</w:t>
      </w:r>
      <w:r w:rsidR="00FF1D1C">
        <w:t xml:space="preserve"> </w:t>
      </w:r>
      <w:r w:rsidR="00F014B3">
        <w:t>gespeichert wurde</w:t>
      </w:r>
      <w:r w:rsidR="00C27D64">
        <w:t xml:space="preserve"> (das heißt, wenn </w:t>
      </w:r>
      <w:r w:rsidR="00FF1D1C">
        <w:t xml:space="preserve">eine </w:t>
      </w:r>
      <w:r w:rsidR="00C27D64" w:rsidRPr="000671DE">
        <w:rPr>
          <w:i/>
          <w:color w:val="000000" w:themeColor="text1"/>
        </w:rPr>
        <w:t>P</w:t>
      </w:r>
      <w:r w:rsidR="00C27D64" w:rsidRPr="000671DE">
        <w:rPr>
          <w:i/>
          <w:color w:val="000000" w:themeColor="text1"/>
          <w:vertAlign w:val="subscript"/>
        </w:rPr>
        <w:t>n</w:t>
      </w:r>
      <w:r w:rsidR="00C27D64">
        <w:t xml:space="preserve"> </w:t>
      </w:r>
      <w:r w:rsidR="00F3488E">
        <w:t xml:space="preserve">gleiche </w:t>
      </w:r>
      <w:r w:rsidR="00C27D64">
        <w:t xml:space="preserve">Merkmalsregel </w:t>
      </w:r>
      <w:r w:rsidR="00FF1D1C">
        <w:t xml:space="preserve">bereits geschrieben und als </w:t>
      </w:r>
      <w:r w:rsidR="00FF1D1C">
        <w:rPr>
          <w:i/>
          <w:color w:val="000000" w:themeColor="text1"/>
        </w:rPr>
        <w:t>G</w:t>
      </w:r>
      <w:r w:rsidR="00FF1D1C">
        <w:rPr>
          <w:i/>
          <w:color w:val="000000" w:themeColor="text1"/>
          <w:vertAlign w:val="subscript"/>
        </w:rPr>
        <w:t>m</w:t>
      </w:r>
      <w:r w:rsidR="00FF1D1C">
        <w:t xml:space="preserve"> </w:t>
      </w:r>
      <w:r>
        <w:t>g</w:t>
      </w:r>
      <w:r>
        <w:t>e</w:t>
      </w:r>
      <w:r>
        <w:t>spei</w:t>
      </w:r>
      <w:r w:rsidR="00F014B3">
        <w:t>chert</w:t>
      </w:r>
      <w:r w:rsidR="00C27D64">
        <w:t xml:space="preserve"> wurde)</w:t>
      </w:r>
      <w:r>
        <w:t>.</w:t>
      </w:r>
      <w:r w:rsidR="001F472A">
        <w:rPr>
          <w:rStyle w:val="Funotenzeichen"/>
        </w:rPr>
        <w:footnoteReference w:id="521"/>
      </w:r>
    </w:p>
    <w:p w:rsidR="00195CA1" w:rsidRDefault="00195CA1" w:rsidP="00195CA1">
      <w:pPr>
        <w:pStyle w:val="Text"/>
      </w:pPr>
      <w:r>
        <w:t xml:space="preserve">Zeile 8 fügt </w:t>
      </w:r>
      <w:r w:rsidRPr="00FC5476">
        <w:rPr>
          <w:i/>
          <w:color w:val="000000" w:themeColor="text1"/>
        </w:rPr>
        <w:t>i</w:t>
      </w:r>
      <w:r w:rsidRPr="00FC5476">
        <w:rPr>
          <w:color w:val="000000" w:themeColor="text1"/>
        </w:rPr>
        <w:t>(</w:t>
      </w:r>
      <w:r w:rsidRPr="00FC5476">
        <w:rPr>
          <w:i/>
          <w:color w:val="000000" w:themeColor="text1"/>
        </w:rPr>
        <w:t>G</w:t>
      </w:r>
      <w:r w:rsidRPr="00FC5476">
        <w:rPr>
          <w:i/>
          <w:color w:val="000000" w:themeColor="text1"/>
          <w:vertAlign w:val="subscript"/>
        </w:rPr>
        <w:t>m</w:t>
      </w:r>
      <w:r w:rsidRPr="00FC5476">
        <w:rPr>
          <w:color w:val="000000" w:themeColor="text1"/>
        </w:rPr>
        <w:t>)</w:t>
      </w:r>
      <w:r>
        <w:t xml:space="preserve">, den Index unter dem die Merkmalsregel geschrieben wurde, zur Menge </w:t>
      </w:r>
      <w:r w:rsidRPr="00836B5F">
        <w:rPr>
          <w:i/>
          <w:color w:val="000000" w:themeColor="text1"/>
        </w:rPr>
        <w:t>B</w:t>
      </w:r>
      <w:r w:rsidRPr="00836B5F">
        <w:rPr>
          <w:i/>
          <w:color w:val="000000" w:themeColor="text1"/>
          <w:vertAlign w:val="superscript"/>
        </w:rPr>
        <w:t>G</w:t>
      </w:r>
      <w:r w:rsidR="00FF1D1C">
        <w:t xml:space="preserve"> hinzu.</w:t>
      </w:r>
    </w:p>
    <w:p w:rsidR="00195CA1" w:rsidRPr="0071334B" w:rsidRDefault="00195CA1" w:rsidP="00195CA1">
      <w:pPr>
        <w:pStyle w:val="Text"/>
      </w:pPr>
      <w:r w:rsidRPr="0071334B">
        <w:t xml:space="preserve">In Zeile </w:t>
      </w:r>
      <w:r>
        <w:t xml:space="preserve">9 </w:t>
      </w:r>
      <w:r w:rsidRPr="0071334B">
        <w:t xml:space="preserve">wird die </w:t>
      </w:r>
      <w:r w:rsidR="007F02CB">
        <w:t>if-Anweisung</w:t>
      </w:r>
      <w:r w:rsidRPr="0071334B">
        <w:t xml:space="preserve"> aus Zeile </w:t>
      </w:r>
      <w:r>
        <w:t xml:space="preserve">7 </w:t>
      </w:r>
      <w:r w:rsidRPr="0071334B">
        <w:t>beendet.</w:t>
      </w:r>
    </w:p>
    <w:p w:rsidR="00195CA1" w:rsidRDefault="00195CA1" w:rsidP="00195CA1">
      <w:pPr>
        <w:pStyle w:val="Text"/>
      </w:pPr>
      <w:r w:rsidRPr="0071334B">
        <w:t xml:space="preserve">In Zeile </w:t>
      </w:r>
      <w:r>
        <w:t xml:space="preserve">10 </w:t>
      </w:r>
      <w:r w:rsidRPr="0071334B">
        <w:t xml:space="preserve">wird die for-Schleife aus Zeile </w:t>
      </w:r>
      <w:r>
        <w:t xml:space="preserve">6 </w:t>
      </w:r>
      <w:r w:rsidRPr="0071334B">
        <w:t>beendet.</w:t>
      </w:r>
    </w:p>
    <w:p w:rsidR="00195CA1" w:rsidRDefault="00195CA1" w:rsidP="00195CA1">
      <w:pPr>
        <w:pStyle w:val="Text"/>
      </w:pPr>
      <w:r>
        <w:t xml:space="preserve">Zeile 11 gibt an, dass die eingerückt </w:t>
      </w:r>
      <w:r w:rsidR="00A31AEF">
        <w:t>folgenden Anweisungen ausgeführt werden</w:t>
      </w:r>
      <w:r>
        <w:t xml:space="preserve">, wenn </w:t>
      </w:r>
      <w:r w:rsidRPr="00195CA1">
        <w:rPr>
          <w:i/>
        </w:rPr>
        <w:t>k</w:t>
      </w:r>
      <w:r>
        <w:t xml:space="preserve"> noch gleich der Anzahl der Elemente von </w:t>
      </w:r>
      <w:r w:rsidRPr="002A7646">
        <w:rPr>
          <w:i/>
          <w:color w:val="000000" w:themeColor="text1"/>
        </w:rPr>
        <w:t>B</w:t>
      </w:r>
      <w:r w:rsidRPr="002A7646">
        <w:rPr>
          <w:i/>
          <w:color w:val="000000" w:themeColor="text1"/>
          <w:vertAlign w:val="superscript"/>
        </w:rPr>
        <w:t>G</w:t>
      </w:r>
      <w:r>
        <w:t xml:space="preserve"> ist (also wenn ke</w:t>
      </w:r>
      <w:r>
        <w:t>i</w:t>
      </w:r>
      <w:r>
        <w:t>n</w:t>
      </w:r>
      <w:r w:rsidR="00A25BEE">
        <w:t>e</w:t>
      </w:r>
      <w:r>
        <w:t xml:space="preserve"> bereits geschriebene </w:t>
      </w:r>
      <w:r w:rsidR="00A25BEE">
        <w:t>Merkmalsregel gefunden wurde, die mit der gerade b</w:t>
      </w:r>
      <w:r w:rsidR="00A25BEE">
        <w:t>e</w:t>
      </w:r>
      <w:r w:rsidR="00A25BEE">
        <w:t xml:space="preserve">trachteten Merkmalsregel </w:t>
      </w:r>
      <w:r w:rsidR="00A25BEE">
        <w:rPr>
          <w:i/>
          <w:color w:val="000000" w:themeColor="text1"/>
        </w:rPr>
        <w:t>P</w:t>
      </w:r>
      <w:r w:rsidR="00A25BEE">
        <w:rPr>
          <w:i/>
          <w:color w:val="000000" w:themeColor="text1"/>
          <w:vertAlign w:val="subscript"/>
        </w:rPr>
        <w:t>n</w:t>
      </w:r>
      <w:r w:rsidR="00A25BEE">
        <w:t xml:space="preserve"> übereinstimmt).</w:t>
      </w:r>
    </w:p>
    <w:p w:rsidR="009866EF" w:rsidRDefault="00F943B3" w:rsidP="009866EF">
      <w:pPr>
        <w:pStyle w:val="Text"/>
      </w:pPr>
      <w:r>
        <w:t xml:space="preserve">In Zeile </w:t>
      </w:r>
      <w:r w:rsidR="00C41750">
        <w:t>12</w:t>
      </w:r>
      <w:r>
        <w:t xml:space="preserve"> wird </w:t>
      </w:r>
      <w:r w:rsidRPr="004F0F1E">
        <w:rPr>
          <w:i/>
          <w:color w:val="000000" w:themeColor="text1"/>
        </w:rPr>
        <w:t>w</w:t>
      </w:r>
      <w:r>
        <w:t>, der Zähler für die geschriebenen Merkmalsregeln, um 1 erhöht.</w:t>
      </w:r>
    </w:p>
    <w:p w:rsidR="006067B5" w:rsidRDefault="008005CD" w:rsidP="006067B5">
      <w:pPr>
        <w:pStyle w:val="Text"/>
      </w:pPr>
      <w:r>
        <w:t xml:space="preserve">In Zeile </w:t>
      </w:r>
      <w:r w:rsidR="00C41750">
        <w:t>13</w:t>
      </w:r>
      <w:r w:rsidR="00F943B3">
        <w:t xml:space="preserve"> wird </w:t>
      </w:r>
      <w:r w:rsidR="00960EDC">
        <w:t>mit der</w:t>
      </w:r>
      <w:r w:rsidR="00F943B3">
        <w:t xml:space="preserve"> Funktion </w:t>
      </w:r>
      <w:r w:rsidR="00F943B3" w:rsidRPr="00337D36">
        <w:rPr>
          <w:i/>
        </w:rPr>
        <w:t>write</w:t>
      </w:r>
      <w:r w:rsidR="00F943B3">
        <w:t xml:space="preserve"> die Merkmalsregel </w:t>
      </w:r>
      <w:r w:rsidR="008717C0">
        <w:rPr>
          <w:i/>
          <w:color w:val="000000" w:themeColor="text1"/>
        </w:rPr>
        <w:t>P</w:t>
      </w:r>
      <w:r w:rsidR="008717C0">
        <w:rPr>
          <w:i/>
          <w:color w:val="000000" w:themeColor="text1"/>
          <w:vertAlign w:val="subscript"/>
        </w:rPr>
        <w:t>n</w:t>
      </w:r>
      <w:r w:rsidR="00F943B3">
        <w:t xml:space="preserve"> geschrieben.</w:t>
      </w:r>
      <w:r w:rsidR="00640FE5">
        <w:t xml:space="preserve"> Sie wird als </w:t>
      </w:r>
      <w:r w:rsidR="00640FE5">
        <w:rPr>
          <w:i/>
          <w:color w:val="000000" w:themeColor="text1"/>
        </w:rPr>
        <w:t>B</w:t>
      </w:r>
      <w:r w:rsidR="00640FE5">
        <w:rPr>
          <w:i/>
          <w:color w:val="000000" w:themeColor="text1"/>
          <w:vertAlign w:val="subscript"/>
        </w:rPr>
        <w:t>w</w:t>
      </w:r>
      <w:r w:rsidR="00640FE5">
        <w:t xml:space="preserve"> bezeichnet</w:t>
      </w:r>
      <w:r w:rsidR="00B52840">
        <w:t xml:space="preserve">, wobei </w:t>
      </w:r>
      <w:r w:rsidR="00B52840" w:rsidRPr="00B52840">
        <w:rPr>
          <w:i/>
        </w:rPr>
        <w:t>w</w:t>
      </w:r>
      <w:r w:rsidR="00B52840">
        <w:t xml:space="preserve"> die geschriebenen Merkmalsregeln durc</w:t>
      </w:r>
      <w:r w:rsidR="00B52840">
        <w:t>h</w:t>
      </w:r>
      <w:r w:rsidR="00B52840">
        <w:t>nummeriert;</w:t>
      </w:r>
      <w:r w:rsidR="00640FE5">
        <w:t xml:space="preserve"> </w:t>
      </w:r>
      <w:r w:rsidR="009A3AEC">
        <w:t xml:space="preserve">ihre einzelnen Variablen </w:t>
      </w:r>
      <w:r w:rsidR="00B52840">
        <w:t xml:space="preserve">werden jeweils </w:t>
      </w:r>
      <w:r w:rsidR="00640FE5">
        <w:t>hinter einem Doppelpunkt geschrieben</w:t>
      </w:r>
      <w:r w:rsidR="009A3AEC">
        <w:t xml:space="preserve"> (dabei die Eigenschaften in </w:t>
      </w:r>
      <w:r w:rsidR="009A3AEC" w:rsidRPr="009A3AEC">
        <w:rPr>
          <w:i/>
        </w:rPr>
        <w:t>U</w:t>
      </w:r>
      <w:r w:rsidR="009A3AEC">
        <w:t xml:space="preserve"> und </w:t>
      </w:r>
      <w:r w:rsidR="009A3AEC" w:rsidRPr="009A3AEC">
        <w:rPr>
          <w:i/>
        </w:rPr>
        <w:t>V</w:t>
      </w:r>
      <w:r w:rsidR="009A3AEC">
        <w:t xml:space="preserve"> in einfache Anführungsze</w:t>
      </w:r>
      <w:r w:rsidR="009A3AEC">
        <w:t>i</w:t>
      </w:r>
      <w:r w:rsidR="009A3AEC">
        <w:t>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9A3AEC">
        <w:t>)</w:t>
      </w:r>
      <w:r w:rsidR="00640FE5">
        <w:t xml:space="preserve">. Beispielsweise wird die Merkmalsregel </w:t>
      </w:r>
      <w:r w:rsidR="005B368F">
        <w:t xml:space="preserve">mit </w:t>
      </w:r>
      <w:r w:rsidR="005B368F" w:rsidRPr="005B368F">
        <w:rPr>
          <w:i/>
        </w:rPr>
        <w:t>w</w:t>
      </w:r>
      <w:r w:rsidR="005B368F">
        <w:t xml:space="preserve"> = 1 </w:t>
      </w:r>
      <w:r w:rsidR="00640FE5">
        <w:t>geschrie</w:t>
      </w:r>
      <w:r w:rsidR="006067B5">
        <w:t>ben als:</w:t>
      </w:r>
    </w:p>
    <w:p w:rsidR="006067B5" w:rsidRDefault="006067B5" w:rsidP="00B20C09">
      <w:pPr>
        <w:pStyle w:val="Formel"/>
      </w:pPr>
      <w:r>
        <w:rPr>
          <w:i/>
          <w:iCs/>
        </w:rPr>
        <w:t>U</w:t>
      </w:r>
      <w:r w:rsidRPr="00060E80">
        <w:rPr>
          <w:iCs/>
        </w:rPr>
        <w:t>(</w:t>
      </w:r>
      <w:r>
        <w:rPr>
          <w:i/>
          <w:iCs/>
        </w:rPr>
        <w:t>B</w:t>
      </w:r>
      <w:r>
        <w:rPr>
          <w:vertAlign w:val="subscript"/>
        </w:rPr>
        <w:t>1</w:t>
      </w:r>
      <w:r>
        <w:rPr>
          <w:iCs/>
        </w:rPr>
        <w:t>)</w:t>
      </w:r>
      <w:r>
        <w:t>: ‚</w:t>
      </w:r>
      <w:r w:rsidR="009337F6">
        <w:t>[</w:t>
      </w:r>
      <w:r w:rsidRPr="006067B5">
        <w:rPr>
          <w:i/>
          <w:color w:val="000000" w:themeColor="text1"/>
        </w:rPr>
        <w:t>U</w:t>
      </w:r>
      <w:r w:rsidRPr="006067B5">
        <w:rPr>
          <w:color w:val="000000" w:themeColor="text1"/>
        </w:rPr>
        <w:t>(</w:t>
      </w:r>
      <w:r w:rsidRPr="006067B5">
        <w:rPr>
          <w:i/>
          <w:color w:val="000000" w:themeColor="text1"/>
        </w:rPr>
        <w:t>P</w:t>
      </w:r>
      <w:r w:rsidRPr="006067B5">
        <w:rPr>
          <w:i/>
          <w:color w:val="000000" w:themeColor="text1"/>
          <w:vertAlign w:val="subscript"/>
        </w:rPr>
        <w:t>n</w:t>
      </w:r>
      <w:r w:rsidRPr="006067B5">
        <w:rPr>
          <w:color w:val="000000" w:themeColor="text1"/>
        </w:rPr>
        <w:t>)</w:t>
      </w:r>
      <w:r w:rsidR="009337F6">
        <w:t>]</w:t>
      </w:r>
      <w:r>
        <w:t xml:space="preserve">‘, </w:t>
      </w:r>
      <w:r>
        <w:rPr>
          <w:i/>
          <w:iCs/>
        </w:rPr>
        <w:t>V</w:t>
      </w:r>
      <w:r w:rsidRPr="00060E80">
        <w:rPr>
          <w:iCs/>
        </w:rPr>
        <w:t>(</w:t>
      </w:r>
      <w:r>
        <w:rPr>
          <w:i/>
          <w:iCs/>
        </w:rPr>
        <w:t>B</w:t>
      </w:r>
      <w:r>
        <w:rPr>
          <w:vertAlign w:val="subscript"/>
        </w:rPr>
        <w:t>1</w:t>
      </w:r>
      <w:r>
        <w:rPr>
          <w:iCs/>
        </w:rPr>
        <w:t>):</w:t>
      </w:r>
      <w:r>
        <w:t xml:space="preserve"> ‚</w:t>
      </w:r>
      <w:r w:rsidR="009337F6">
        <w:t>[</w:t>
      </w:r>
      <w:r>
        <w:rPr>
          <w:i/>
          <w:color w:val="000000" w:themeColor="text1"/>
        </w:rPr>
        <w:t>V</w:t>
      </w:r>
      <w:r w:rsidRPr="006067B5">
        <w:rPr>
          <w:color w:val="000000" w:themeColor="text1"/>
        </w:rPr>
        <w:t>(</w:t>
      </w:r>
      <w:r w:rsidRPr="006067B5">
        <w:rPr>
          <w:i/>
          <w:color w:val="000000" w:themeColor="text1"/>
        </w:rPr>
        <w:t>P</w:t>
      </w:r>
      <w:r w:rsidRPr="006067B5">
        <w:rPr>
          <w:i/>
          <w:color w:val="000000" w:themeColor="text1"/>
          <w:vertAlign w:val="subscript"/>
        </w:rPr>
        <w:t>n</w:t>
      </w:r>
      <w:r w:rsidRPr="006067B5">
        <w:rPr>
          <w:color w:val="000000" w:themeColor="text1"/>
        </w:rPr>
        <w:t>)</w:t>
      </w:r>
      <w:r w:rsidR="009337F6">
        <w:rPr>
          <w:color w:val="000000" w:themeColor="text1"/>
        </w:rPr>
        <w:t>]</w:t>
      </w:r>
      <w:r>
        <w:t xml:space="preserve">‘, </w:t>
      </w:r>
      <w:r>
        <w:rPr>
          <w:i/>
          <w:iCs/>
        </w:rPr>
        <w:t>w</w:t>
      </w:r>
      <w:r w:rsidRPr="00060E80">
        <w:rPr>
          <w:iCs/>
        </w:rPr>
        <w:t>(</w:t>
      </w:r>
      <w:r>
        <w:rPr>
          <w:i/>
          <w:iCs/>
        </w:rPr>
        <w:t>B</w:t>
      </w:r>
      <w:r>
        <w:rPr>
          <w:vertAlign w:val="subscript"/>
        </w:rPr>
        <w:t>1</w:t>
      </w:r>
      <w:r>
        <w:rPr>
          <w:iCs/>
        </w:rPr>
        <w:t xml:space="preserve">): </w:t>
      </w:r>
      <w:r w:rsidR="009337F6">
        <w:rPr>
          <w:iCs/>
        </w:rPr>
        <w:t>[</w:t>
      </w:r>
      <w:r>
        <w:rPr>
          <w:i/>
          <w:color w:val="000000" w:themeColor="text1"/>
        </w:rPr>
        <w:t>V</w:t>
      </w:r>
      <w:r w:rsidRPr="006067B5">
        <w:rPr>
          <w:color w:val="000000" w:themeColor="text1"/>
        </w:rPr>
        <w:t>(</w:t>
      </w:r>
      <w:r w:rsidRPr="006067B5">
        <w:rPr>
          <w:i/>
          <w:color w:val="000000" w:themeColor="text1"/>
        </w:rPr>
        <w:t>P</w:t>
      </w:r>
      <w:r w:rsidRPr="006067B5">
        <w:rPr>
          <w:i/>
          <w:color w:val="000000" w:themeColor="text1"/>
          <w:vertAlign w:val="subscript"/>
        </w:rPr>
        <w:t>n</w:t>
      </w:r>
      <w:r w:rsidRPr="006067B5">
        <w:rPr>
          <w:color w:val="000000" w:themeColor="text1"/>
        </w:rPr>
        <w:t>)</w:t>
      </w:r>
      <w:r w:rsidR="009337F6">
        <w:rPr>
          <w:color w:val="000000" w:themeColor="text1"/>
        </w:rPr>
        <w:t>]</w:t>
      </w:r>
      <w:r>
        <w:rPr>
          <w:iCs/>
        </w:rPr>
        <w:t xml:space="preserve">, </w:t>
      </w:r>
      <w:r>
        <w:rPr>
          <w:i/>
          <w:iCs/>
        </w:rPr>
        <w:t>p</w:t>
      </w:r>
      <w:r w:rsidRPr="00060E80">
        <w:rPr>
          <w:iCs/>
        </w:rPr>
        <w:t>(</w:t>
      </w:r>
      <w:r>
        <w:rPr>
          <w:i/>
          <w:iCs/>
        </w:rPr>
        <w:t>B</w:t>
      </w:r>
      <w:r>
        <w:rPr>
          <w:vertAlign w:val="subscript"/>
        </w:rPr>
        <w:t>1</w:t>
      </w:r>
      <w:r>
        <w:rPr>
          <w:iCs/>
        </w:rPr>
        <w:t xml:space="preserve">): </w:t>
      </w:r>
      <w:r w:rsidR="009337F6">
        <w:rPr>
          <w:iCs/>
        </w:rPr>
        <w:t>[</w:t>
      </w:r>
      <w:r>
        <w:rPr>
          <w:i/>
          <w:color w:val="000000" w:themeColor="text1"/>
        </w:rPr>
        <w:t>V</w:t>
      </w:r>
      <w:r w:rsidRPr="006067B5">
        <w:rPr>
          <w:color w:val="000000" w:themeColor="text1"/>
        </w:rPr>
        <w:t>(</w:t>
      </w:r>
      <w:r w:rsidRPr="006067B5">
        <w:rPr>
          <w:i/>
          <w:color w:val="000000" w:themeColor="text1"/>
        </w:rPr>
        <w:t>P</w:t>
      </w:r>
      <w:r w:rsidRPr="006067B5">
        <w:rPr>
          <w:i/>
          <w:color w:val="000000" w:themeColor="text1"/>
          <w:vertAlign w:val="subscript"/>
        </w:rPr>
        <w:t>n</w:t>
      </w:r>
      <w:r w:rsidRPr="006067B5">
        <w:rPr>
          <w:color w:val="000000" w:themeColor="text1"/>
        </w:rPr>
        <w:t>)</w:t>
      </w:r>
      <w:r w:rsidR="009337F6">
        <w:rPr>
          <w:color w:val="000000" w:themeColor="text1"/>
        </w:rPr>
        <w:t>]</w:t>
      </w:r>
    </w:p>
    <w:p w:rsidR="00F943B3" w:rsidRDefault="006067B5" w:rsidP="00B20C09">
      <w:pPr>
        <w:pStyle w:val="Text"/>
        <w:ind w:firstLine="0"/>
      </w:pPr>
      <w:r>
        <w:t>Ein</w:t>
      </w:r>
      <w:r w:rsidR="00CB2A96">
        <w:t>e</w:t>
      </w:r>
      <w:r>
        <w:t xml:space="preserve"> </w:t>
      </w:r>
      <w:r w:rsidR="00CB2A96">
        <w:t xml:space="preserve">geschriebene Merkmalsregel sieht dann </w:t>
      </w:r>
      <w:r w:rsidR="00EA4A49">
        <w:t>beispielsweise</w:t>
      </w:r>
      <w:r w:rsidR="00CB2A96">
        <w:t xml:space="preserve"> </w:t>
      </w:r>
      <w:r>
        <w:t xml:space="preserve">so </w:t>
      </w:r>
      <w:r w:rsidR="00CB2A96">
        <w:t>aus</w:t>
      </w:r>
      <w:r w:rsidR="00561445">
        <w:t xml:space="preserve"> (vgl. A</w:t>
      </w:r>
      <w:r w:rsidR="00561445">
        <w:t>b</w:t>
      </w:r>
      <w:r w:rsidR="00561445">
        <w:t xml:space="preserve">schnitt </w:t>
      </w:r>
      <w:r w:rsidR="005D7996">
        <w:fldChar w:fldCharType="begin"/>
      </w:r>
      <w:r w:rsidR="00561445">
        <w:instrText xml:space="preserve"> REF _Ref258413167 \r \h </w:instrText>
      </w:r>
      <w:r w:rsidR="005D7996">
        <w:fldChar w:fldCharType="separate"/>
      </w:r>
      <w:r w:rsidR="001231D3">
        <w:t>7.1.4</w:t>
      </w:r>
      <w:r w:rsidR="005D7996">
        <w:fldChar w:fldCharType="end"/>
      </w:r>
      <w:r w:rsidR="00561445">
        <w:t>, Variante 10)</w:t>
      </w:r>
      <w:r>
        <w:t>:</w:t>
      </w:r>
    </w:p>
    <w:p w:rsidR="00561445" w:rsidRDefault="00561445" w:rsidP="00B20C09">
      <w:pPr>
        <w:pStyle w:val="Formel"/>
        <w:rPr>
          <w:iCs/>
        </w:rPr>
      </w:pPr>
      <w:r>
        <w:rPr>
          <w:i/>
          <w:iCs/>
        </w:rPr>
        <w:t>U</w:t>
      </w:r>
      <w:r w:rsidRPr="00060E80">
        <w:rPr>
          <w:iCs/>
        </w:rPr>
        <w:t>(</w:t>
      </w:r>
      <w:r>
        <w:rPr>
          <w:i/>
          <w:iCs/>
        </w:rPr>
        <w:t>B</w:t>
      </w:r>
      <w:r>
        <w:rPr>
          <w:vertAlign w:val="subscript"/>
        </w:rPr>
        <w:t>1</w:t>
      </w:r>
      <w:r>
        <w:rPr>
          <w:iCs/>
        </w:rPr>
        <w:t>)</w:t>
      </w:r>
      <w:r>
        <w:t xml:space="preserve">: ‚im Vorteil‘, </w:t>
      </w:r>
      <w:r>
        <w:rPr>
          <w:i/>
          <w:iCs/>
        </w:rPr>
        <w:t>V</w:t>
      </w:r>
      <w:r w:rsidRPr="00060E80">
        <w:rPr>
          <w:iCs/>
        </w:rPr>
        <w:t>(</w:t>
      </w:r>
      <w:r>
        <w:rPr>
          <w:i/>
          <w:iCs/>
        </w:rPr>
        <w:t>B</w:t>
      </w:r>
      <w:r>
        <w:rPr>
          <w:vertAlign w:val="subscript"/>
        </w:rPr>
        <w:t>1</w:t>
      </w:r>
      <w:r>
        <w:rPr>
          <w:iCs/>
        </w:rPr>
        <w:t>):</w:t>
      </w:r>
      <w:r>
        <w:t xml:space="preserve"> ‚aggressiv‘, </w:t>
      </w:r>
      <w:r>
        <w:rPr>
          <w:i/>
          <w:iCs/>
        </w:rPr>
        <w:t>w</w:t>
      </w:r>
      <w:r w:rsidRPr="00060E80">
        <w:rPr>
          <w:iCs/>
        </w:rPr>
        <w:t>(</w:t>
      </w:r>
      <w:r>
        <w:rPr>
          <w:i/>
          <w:iCs/>
        </w:rPr>
        <w:t>B</w:t>
      </w:r>
      <w:r>
        <w:rPr>
          <w:vertAlign w:val="subscript"/>
        </w:rPr>
        <w:t>1</w:t>
      </w:r>
      <w:r>
        <w:rPr>
          <w:iCs/>
        </w:rPr>
        <w:t xml:space="preserve">): 1, </w:t>
      </w:r>
      <w:r>
        <w:rPr>
          <w:i/>
          <w:iCs/>
        </w:rPr>
        <w:t>p</w:t>
      </w:r>
      <w:r w:rsidRPr="00060E80">
        <w:rPr>
          <w:iCs/>
        </w:rPr>
        <w:t>(</w:t>
      </w:r>
      <w:r>
        <w:rPr>
          <w:i/>
          <w:iCs/>
        </w:rPr>
        <w:t>B</w:t>
      </w:r>
      <w:r>
        <w:rPr>
          <w:vertAlign w:val="subscript"/>
        </w:rPr>
        <w:t>1</w:t>
      </w:r>
      <w:r>
        <w:rPr>
          <w:iCs/>
        </w:rPr>
        <w:t>): 2</w:t>
      </w:r>
    </w:p>
    <w:p w:rsidR="005B368F" w:rsidRDefault="005B368F" w:rsidP="00B20C09">
      <w:pPr>
        <w:pStyle w:val="Text"/>
        <w:ind w:firstLine="0"/>
        <w:rPr>
          <w:iCs/>
        </w:rPr>
      </w:pPr>
      <w:r>
        <w:rPr>
          <w:iCs/>
        </w:rPr>
        <w:t>Danach wird eine neue Zeile begonnen.</w:t>
      </w:r>
    </w:p>
    <w:p w:rsidR="0077755D" w:rsidRDefault="008005CD" w:rsidP="009866EF">
      <w:pPr>
        <w:pStyle w:val="Text"/>
      </w:pPr>
      <w:r>
        <w:t xml:space="preserve">In Zeile </w:t>
      </w:r>
      <w:r w:rsidR="00C41750">
        <w:t>14</w:t>
      </w:r>
      <w:r w:rsidR="004D21DE">
        <w:t xml:space="preserve"> wird </w:t>
      </w:r>
      <w:r w:rsidR="004D21DE" w:rsidRPr="004D21DE">
        <w:rPr>
          <w:i/>
          <w:color w:val="000000" w:themeColor="text1"/>
        </w:rPr>
        <w:t>P</w:t>
      </w:r>
      <w:r w:rsidR="004D21DE" w:rsidRPr="004D21DE">
        <w:rPr>
          <w:i/>
          <w:color w:val="000000" w:themeColor="text1"/>
          <w:vertAlign w:val="subscript"/>
        </w:rPr>
        <w:t>n</w:t>
      </w:r>
      <w:r w:rsidR="0070072E">
        <w:t xml:space="preserve">, </w:t>
      </w:r>
      <w:r w:rsidR="00EC22D4">
        <w:t xml:space="preserve">die Sortenbezeichnung </w:t>
      </w:r>
      <w:r w:rsidR="0070072E">
        <w:t>„B“ für Merkmalsregel</w:t>
      </w:r>
      <w:r w:rsidR="00C27D64">
        <w:t>n</w:t>
      </w:r>
      <w:r w:rsidR="0070072E">
        <w:t xml:space="preserve"> </w:t>
      </w:r>
      <w:r w:rsidR="00836B5F">
        <w:t xml:space="preserve">und der </w:t>
      </w:r>
      <w:r w:rsidR="002D3EDF">
        <w:t xml:space="preserve">Zähler </w:t>
      </w:r>
      <w:r w:rsidR="002D3EDF">
        <w:rPr>
          <w:i/>
        </w:rPr>
        <w:t>w</w:t>
      </w:r>
      <w:r w:rsidR="00836B5F">
        <w:t xml:space="preserve">, mit dem </w:t>
      </w:r>
      <w:r w:rsidR="002D3EDF">
        <w:t xml:space="preserve">als Index </w:t>
      </w:r>
      <w:r w:rsidR="00EC22D4">
        <w:t xml:space="preserve">die Merkmalsregel </w:t>
      </w:r>
      <w:r w:rsidR="00836B5F">
        <w:t xml:space="preserve">geschrieben wurde, </w:t>
      </w:r>
      <w:r w:rsidR="00174400">
        <w:t>in einen 3</w:t>
      </w:r>
      <w:r w:rsidR="00785500">
        <w:t xml:space="preserve">-Tupel </w:t>
      </w:r>
      <w:r w:rsidR="00174400">
        <w:t xml:space="preserve">geschrieben </w:t>
      </w:r>
      <w:r w:rsidR="00785500">
        <w:t xml:space="preserve">und zu </w:t>
      </w:r>
      <w:r w:rsidR="004D21DE" w:rsidRPr="004D21DE">
        <w:rPr>
          <w:i/>
        </w:rPr>
        <w:t>G</w:t>
      </w:r>
      <w:r w:rsidR="00785500">
        <w:t xml:space="preserve">, der </w:t>
      </w:r>
      <w:r w:rsidR="004D21DE">
        <w:t xml:space="preserve">Menge der geschriebenen Elemente, </w:t>
      </w:r>
      <w:r w:rsidR="00785500">
        <w:t>hinzug</w:t>
      </w:r>
      <w:r w:rsidR="00785500">
        <w:t>e</w:t>
      </w:r>
      <w:r w:rsidR="00785500">
        <w:t>fügt</w:t>
      </w:r>
      <w:r w:rsidR="004D21DE">
        <w:t>.</w:t>
      </w:r>
      <w:r w:rsidR="00BB7D9D">
        <w:rPr>
          <w:rStyle w:val="Funotenzeichen"/>
        </w:rPr>
        <w:footnoteReference w:id="522"/>
      </w:r>
    </w:p>
    <w:p w:rsidR="00785500" w:rsidRDefault="00785500" w:rsidP="009866EF">
      <w:pPr>
        <w:pStyle w:val="Text"/>
      </w:pPr>
      <w:r>
        <w:lastRenderedPageBreak/>
        <w:t xml:space="preserve">In Zeile </w:t>
      </w:r>
      <w:r w:rsidR="00913EB1">
        <w:t>1</w:t>
      </w:r>
      <w:r w:rsidR="00C41750">
        <w:t>5</w:t>
      </w:r>
      <w:r w:rsidR="00913EB1">
        <w:t xml:space="preserve"> wird </w:t>
      </w:r>
      <w:r w:rsidR="00734475">
        <w:t xml:space="preserve">die </w:t>
      </w:r>
      <w:r w:rsidR="007F02CB">
        <w:t>if-Anweisung</w:t>
      </w:r>
      <w:r w:rsidR="00734475">
        <w:t xml:space="preserve"> aus Zeile 11 beendet.</w:t>
      </w:r>
    </w:p>
    <w:p w:rsidR="00734475" w:rsidRDefault="00734475" w:rsidP="009866EF">
      <w:pPr>
        <w:pStyle w:val="Text"/>
      </w:pPr>
      <w:r>
        <w:t>In Zeile 16 wird die for-Schleife aus Zeile 4 beendet.</w:t>
      </w:r>
    </w:p>
    <w:p w:rsidR="00FC5476" w:rsidRPr="00DC49C3" w:rsidRDefault="00FC5476" w:rsidP="00740226">
      <w:pPr>
        <w:pStyle w:val="Text"/>
        <w:rPr>
          <w:i/>
        </w:rPr>
      </w:pPr>
      <w:r w:rsidRPr="00DC49C3">
        <w:rPr>
          <w:i/>
        </w:rPr>
        <w:t>Die früheren Ergebnisse we</w:t>
      </w:r>
      <w:r w:rsidR="00B20C09">
        <w:rPr>
          <w:i/>
        </w:rPr>
        <w:t>rden geschrieben:</w:t>
      </w:r>
    </w:p>
    <w:p w:rsidR="00C5049B" w:rsidRDefault="00C5049B" w:rsidP="00C5049B">
      <w:pPr>
        <w:pStyle w:val="Text"/>
      </w:pPr>
      <w:r w:rsidRPr="00DB0613">
        <w:t xml:space="preserve">Zeile </w:t>
      </w:r>
      <w:r>
        <w:t>1</w:t>
      </w:r>
      <w:r w:rsidR="00F014B3">
        <w:t>7</w:t>
      </w:r>
      <w:r>
        <w:t xml:space="preserve"> </w:t>
      </w:r>
      <w:r w:rsidRPr="00DB0613">
        <w:t xml:space="preserve">gibt an, dass die eingerückt folgende Schleife für die Variable </w:t>
      </w:r>
      <w:r>
        <w:rPr>
          <w:i/>
          <w:iCs/>
        </w:rPr>
        <w:t>n</w:t>
      </w:r>
      <w:r w:rsidRPr="00DB0613">
        <w:t xml:space="preserve"> von 1 bis zur Anzahl der Elemente von </w:t>
      </w:r>
      <w:r>
        <w:rPr>
          <w:i/>
          <w:iCs/>
        </w:rPr>
        <w:t>Q</w:t>
      </w:r>
      <w:r w:rsidRPr="00DB0613">
        <w:t xml:space="preserve"> ausgeführt wird.</w:t>
      </w:r>
    </w:p>
    <w:p w:rsidR="00F014B3" w:rsidRDefault="00F014B3" w:rsidP="00C5049B">
      <w:pPr>
        <w:pStyle w:val="Text"/>
      </w:pPr>
      <w:r>
        <w:t xml:space="preserve">In Zeile 18 wird die Anzahl der Elemente von </w:t>
      </w:r>
      <w:r>
        <w:rPr>
          <w:i/>
          <w:color w:val="000000" w:themeColor="text1"/>
        </w:rPr>
        <w:t>Er</w:t>
      </w:r>
      <w:r w:rsidRPr="002A7646">
        <w:rPr>
          <w:i/>
          <w:color w:val="000000" w:themeColor="text1"/>
          <w:vertAlign w:val="superscript"/>
        </w:rPr>
        <w:t>G</w:t>
      </w:r>
      <w:r>
        <w:t xml:space="preserve"> </w:t>
      </w:r>
      <w:r w:rsidR="00304C42">
        <w:t>plus der Anzahl der El</w:t>
      </w:r>
      <w:r w:rsidR="00304C42">
        <w:t>e</w:t>
      </w:r>
      <w:r w:rsidR="00304C42">
        <w:t xml:space="preserve">mente von </w:t>
      </w:r>
      <w:r w:rsidR="00304C42">
        <w:rPr>
          <w:i/>
          <w:color w:val="000000" w:themeColor="text1"/>
        </w:rPr>
        <w:t>Er</w:t>
      </w:r>
      <w:r w:rsidR="00304C42" w:rsidRPr="00303262">
        <w:rPr>
          <w:vertAlign w:val="subscript"/>
        </w:rPr>
        <w:t>(f)</w:t>
      </w:r>
      <w:r w:rsidR="00304C42" w:rsidRPr="00836B5F">
        <w:rPr>
          <w:i/>
          <w:color w:val="000000" w:themeColor="text1"/>
          <w:vertAlign w:val="superscript"/>
        </w:rPr>
        <w:t>G</w:t>
      </w:r>
      <w:r w:rsidR="00304C42">
        <w:t xml:space="preserve"> </w:t>
      </w:r>
      <w:r>
        <w:t xml:space="preserve">in die Variable </w:t>
      </w:r>
      <w:r w:rsidRPr="00195CA1">
        <w:rPr>
          <w:i/>
        </w:rPr>
        <w:t>k</w:t>
      </w:r>
      <w:r>
        <w:t xml:space="preserve"> gespeichert.</w:t>
      </w:r>
    </w:p>
    <w:p w:rsidR="00F014B3" w:rsidRDefault="00F014B3" w:rsidP="00F014B3">
      <w:pPr>
        <w:pStyle w:val="Text"/>
      </w:pPr>
      <w:r>
        <w:t xml:space="preserve">Zeile </w:t>
      </w:r>
      <w:r w:rsidR="00B86A19">
        <w:t>19</w:t>
      </w:r>
      <w:r>
        <w:t xml:space="preserve"> </w:t>
      </w:r>
      <w:r w:rsidRPr="00DB0613">
        <w:t xml:space="preserve">gibt an, dass die eingerückt folgende Schleife für die Variable </w:t>
      </w:r>
      <w:r>
        <w:rPr>
          <w:i/>
          <w:iCs/>
        </w:rPr>
        <w:t>m</w:t>
      </w:r>
      <w:r w:rsidRPr="00DB0613">
        <w:t xml:space="preserve"> von 1 bis zur Anzahl der Elemente von </w:t>
      </w:r>
      <w:r>
        <w:rPr>
          <w:i/>
          <w:iCs/>
        </w:rPr>
        <w:t>G</w:t>
      </w:r>
      <w:r w:rsidRPr="00DB0613">
        <w:t xml:space="preserve"> ausgeführt wird.</w:t>
      </w:r>
    </w:p>
    <w:p w:rsidR="00F014B3" w:rsidRDefault="00A831A5" w:rsidP="00F014B3">
      <w:pPr>
        <w:pStyle w:val="Text"/>
      </w:pPr>
      <w:r>
        <w:t xml:space="preserve">Zeile </w:t>
      </w:r>
      <w:r w:rsidR="00B86A19">
        <w:t>20</w:t>
      </w:r>
      <w:r>
        <w:t xml:space="preserve"> gibt an, dass die eingerückt </w:t>
      </w:r>
      <w:r w:rsidR="003370D4">
        <w:t>folgende Anweisung</w:t>
      </w:r>
      <w:r>
        <w:t xml:space="preserve"> ausgeführt wird, wenn </w:t>
      </w:r>
      <w:r>
        <w:rPr>
          <w:i/>
          <w:color w:val="000000" w:themeColor="text1"/>
        </w:rPr>
        <w:t>Q</w:t>
      </w:r>
      <w:r w:rsidRPr="000671DE">
        <w:rPr>
          <w:i/>
          <w:color w:val="000000" w:themeColor="text1"/>
          <w:vertAlign w:val="subscript"/>
        </w:rPr>
        <w:t>n</w:t>
      </w:r>
      <w:r>
        <w:t xml:space="preserve"> gleich dem Wert des in </w:t>
      </w:r>
      <w:r>
        <w:rPr>
          <w:i/>
          <w:color w:val="000000" w:themeColor="text1"/>
        </w:rPr>
        <w:t>G</w:t>
      </w:r>
      <w:r>
        <w:rPr>
          <w:i/>
          <w:color w:val="000000" w:themeColor="text1"/>
          <w:vertAlign w:val="subscript"/>
        </w:rPr>
        <w:t>m</w:t>
      </w:r>
      <w:r>
        <w:t xml:space="preserve"> gespeicherten Elements ist und für dieses Element die Sortenbezeichnung „Er“ für </w:t>
      </w:r>
      <w:r w:rsidR="0028602C">
        <w:t xml:space="preserve">neu erzeugte </w:t>
      </w:r>
      <w:r>
        <w:t xml:space="preserve">Ergebnisse gespeichert wurde (das heißt, wenn ein </w:t>
      </w:r>
      <w:r w:rsidR="007221EE">
        <w:rPr>
          <w:i/>
          <w:color w:val="000000" w:themeColor="text1"/>
        </w:rPr>
        <w:t>Q</w:t>
      </w:r>
      <w:r w:rsidRPr="000671DE">
        <w:rPr>
          <w:i/>
          <w:color w:val="000000" w:themeColor="text1"/>
          <w:vertAlign w:val="subscript"/>
        </w:rPr>
        <w:t>n</w:t>
      </w:r>
      <w:r>
        <w:t xml:space="preserve"> </w:t>
      </w:r>
      <w:r w:rsidR="00F3488E">
        <w:t xml:space="preserve">gleiches </w:t>
      </w:r>
      <w:r>
        <w:t xml:space="preserve">Ergebnis bereits </w:t>
      </w:r>
      <w:r w:rsidR="0063359C">
        <w:t xml:space="preserve">im </w:t>
      </w:r>
      <w:r w:rsidR="0028602C">
        <w:t>Verl</w:t>
      </w:r>
      <w:r w:rsidR="0063359C">
        <w:t>auf der Interpr</w:t>
      </w:r>
      <w:r w:rsidR="0063359C">
        <w:t>e</w:t>
      </w:r>
      <w:r w:rsidR="0063359C">
        <w:t xml:space="preserve">tation als neu erzeugtes Ergebnis </w:t>
      </w:r>
      <w:r>
        <w:t xml:space="preserve">geschrieben und als </w:t>
      </w:r>
      <w:r>
        <w:rPr>
          <w:i/>
          <w:color w:val="000000" w:themeColor="text1"/>
        </w:rPr>
        <w:t>G</w:t>
      </w:r>
      <w:r>
        <w:rPr>
          <w:i/>
          <w:color w:val="000000" w:themeColor="text1"/>
          <w:vertAlign w:val="subscript"/>
        </w:rPr>
        <w:t>m</w:t>
      </w:r>
      <w:r>
        <w:t xml:space="preserve"> gespeichert wurde).</w:t>
      </w:r>
    </w:p>
    <w:p w:rsidR="00F014B3" w:rsidRDefault="00F014B3" w:rsidP="00F014B3">
      <w:pPr>
        <w:pStyle w:val="Text"/>
      </w:pPr>
      <w:r>
        <w:t>Zeile 2</w:t>
      </w:r>
      <w:r w:rsidR="00B86A19">
        <w:t>1</w:t>
      </w:r>
      <w:r>
        <w:t xml:space="preserve"> fügt </w:t>
      </w:r>
      <w:r w:rsidRPr="00FC5476">
        <w:rPr>
          <w:i/>
          <w:color w:val="000000" w:themeColor="text1"/>
        </w:rPr>
        <w:t>i</w:t>
      </w:r>
      <w:r w:rsidRPr="00FC5476">
        <w:rPr>
          <w:color w:val="000000" w:themeColor="text1"/>
        </w:rPr>
        <w:t>(</w:t>
      </w:r>
      <w:r w:rsidRPr="00FC5476">
        <w:rPr>
          <w:i/>
          <w:color w:val="000000" w:themeColor="text1"/>
        </w:rPr>
        <w:t>G</w:t>
      </w:r>
      <w:r w:rsidRPr="00FC5476">
        <w:rPr>
          <w:i/>
          <w:color w:val="000000" w:themeColor="text1"/>
          <w:vertAlign w:val="subscript"/>
        </w:rPr>
        <w:t>m</w:t>
      </w:r>
      <w:r w:rsidRPr="00FC5476">
        <w:rPr>
          <w:color w:val="000000" w:themeColor="text1"/>
        </w:rPr>
        <w:t>)</w:t>
      </w:r>
      <w:r>
        <w:t xml:space="preserve">, den Index unter dem das Ergebnis geschrieben wurde, zur Menge </w:t>
      </w:r>
      <w:r>
        <w:rPr>
          <w:i/>
          <w:color w:val="000000" w:themeColor="text1"/>
        </w:rPr>
        <w:t>Er</w:t>
      </w:r>
      <w:r w:rsidRPr="00836B5F">
        <w:rPr>
          <w:i/>
          <w:color w:val="000000" w:themeColor="text1"/>
          <w:vertAlign w:val="superscript"/>
        </w:rPr>
        <w:t>G</w:t>
      </w:r>
      <w:r>
        <w:t xml:space="preserve"> hinzu. </w:t>
      </w:r>
    </w:p>
    <w:p w:rsidR="00F014B3" w:rsidRDefault="00F014B3" w:rsidP="00F014B3">
      <w:pPr>
        <w:pStyle w:val="Text"/>
      </w:pPr>
      <w:r w:rsidRPr="0071334B">
        <w:t xml:space="preserve">In Zeile </w:t>
      </w:r>
      <w:r>
        <w:t>2</w:t>
      </w:r>
      <w:r w:rsidR="00B86A19">
        <w:t>2</w:t>
      </w:r>
      <w:r>
        <w:t xml:space="preserve"> </w:t>
      </w:r>
      <w:r w:rsidRPr="0071334B">
        <w:t xml:space="preserve">wird die </w:t>
      </w:r>
      <w:r w:rsidR="007F02CB">
        <w:t>if-Anweisung</w:t>
      </w:r>
      <w:r w:rsidRPr="0071334B">
        <w:t xml:space="preserve"> aus Zeile </w:t>
      </w:r>
      <w:r>
        <w:t>2</w:t>
      </w:r>
      <w:r w:rsidR="00B86A19">
        <w:t>0</w:t>
      </w:r>
      <w:r>
        <w:t xml:space="preserve"> </w:t>
      </w:r>
      <w:r w:rsidRPr="0071334B">
        <w:t>beendet.</w:t>
      </w:r>
    </w:p>
    <w:p w:rsidR="00B86A19" w:rsidRDefault="00B86A19" w:rsidP="00B86A19">
      <w:pPr>
        <w:pStyle w:val="Text"/>
      </w:pPr>
      <w:r>
        <w:t xml:space="preserve">Zeile 23 gibt an, dass die eingerückt </w:t>
      </w:r>
      <w:r w:rsidR="003370D4">
        <w:t>folgende Anweisung</w:t>
      </w:r>
      <w:r>
        <w:t xml:space="preserve"> ausgeführt wird, wenn </w:t>
      </w:r>
      <w:r>
        <w:rPr>
          <w:i/>
          <w:color w:val="000000" w:themeColor="text1"/>
        </w:rPr>
        <w:t>Q</w:t>
      </w:r>
      <w:r w:rsidRPr="000671DE">
        <w:rPr>
          <w:i/>
          <w:color w:val="000000" w:themeColor="text1"/>
          <w:vertAlign w:val="subscript"/>
        </w:rPr>
        <w:t>n</w:t>
      </w:r>
      <w:r>
        <w:t xml:space="preserve"> gleich dem Wert des in </w:t>
      </w:r>
      <w:r>
        <w:rPr>
          <w:i/>
          <w:color w:val="000000" w:themeColor="text1"/>
        </w:rPr>
        <w:t>G</w:t>
      </w:r>
      <w:r>
        <w:rPr>
          <w:i/>
          <w:color w:val="000000" w:themeColor="text1"/>
          <w:vertAlign w:val="subscript"/>
        </w:rPr>
        <w:t>m</w:t>
      </w:r>
      <w:r>
        <w:t xml:space="preserve"> gespeicherten Elements ist und für dieses Element die Sortenbezeichnung „Er</w:t>
      </w:r>
      <w:r w:rsidR="00303262" w:rsidRPr="00303262">
        <w:rPr>
          <w:vertAlign w:val="subscript"/>
        </w:rPr>
        <w:t>(f)</w:t>
      </w:r>
      <w:r>
        <w:t xml:space="preserve">“ für </w:t>
      </w:r>
      <w:r w:rsidR="00303262">
        <w:t xml:space="preserve">frühere </w:t>
      </w:r>
      <w:r>
        <w:t xml:space="preserve">Ergebnisse gespeichert wurde (das heißt, wenn ein </w:t>
      </w:r>
      <w:r w:rsidR="007221EE">
        <w:rPr>
          <w:i/>
          <w:color w:val="000000" w:themeColor="text1"/>
        </w:rPr>
        <w:t>Q</w:t>
      </w:r>
      <w:r w:rsidRPr="000671DE">
        <w:rPr>
          <w:i/>
          <w:color w:val="000000" w:themeColor="text1"/>
          <w:vertAlign w:val="subscript"/>
        </w:rPr>
        <w:t>n</w:t>
      </w:r>
      <w:r>
        <w:t xml:space="preserve"> </w:t>
      </w:r>
      <w:r w:rsidR="00F3488E">
        <w:t xml:space="preserve">gleiches </w:t>
      </w:r>
      <w:r>
        <w:t xml:space="preserve">Ergebnis bereits </w:t>
      </w:r>
      <w:r w:rsidR="0063359C">
        <w:t xml:space="preserve">im </w:t>
      </w:r>
      <w:r w:rsidR="0028602C">
        <w:t xml:space="preserve">Verlauf </w:t>
      </w:r>
      <w:r w:rsidR="0063359C">
        <w:t xml:space="preserve">der Interpretation als </w:t>
      </w:r>
      <w:r w:rsidR="0028602C">
        <w:t xml:space="preserve">früher </w:t>
      </w:r>
      <w:r w:rsidR="0063359C">
        <w:t xml:space="preserve">erzeugtes Ergebnis geschrieben </w:t>
      </w:r>
      <w:r>
        <w:t xml:space="preserve">und als </w:t>
      </w:r>
      <w:r>
        <w:rPr>
          <w:i/>
          <w:color w:val="000000" w:themeColor="text1"/>
        </w:rPr>
        <w:t>G</w:t>
      </w:r>
      <w:r>
        <w:rPr>
          <w:i/>
          <w:color w:val="000000" w:themeColor="text1"/>
          <w:vertAlign w:val="subscript"/>
        </w:rPr>
        <w:t>m</w:t>
      </w:r>
      <w:r>
        <w:t xml:space="preserve"> gespeichert wurde).</w:t>
      </w:r>
    </w:p>
    <w:p w:rsidR="00B86A19" w:rsidRDefault="00B86A19" w:rsidP="00B86A19">
      <w:pPr>
        <w:pStyle w:val="Text"/>
      </w:pPr>
      <w:r>
        <w:t xml:space="preserve">Zeile 24 fügt </w:t>
      </w:r>
      <w:r w:rsidRPr="00FC5476">
        <w:rPr>
          <w:i/>
          <w:color w:val="000000" w:themeColor="text1"/>
        </w:rPr>
        <w:t>i</w:t>
      </w:r>
      <w:r w:rsidRPr="00FC5476">
        <w:rPr>
          <w:color w:val="000000" w:themeColor="text1"/>
        </w:rPr>
        <w:t>(</w:t>
      </w:r>
      <w:r w:rsidRPr="00FC5476">
        <w:rPr>
          <w:i/>
          <w:color w:val="000000" w:themeColor="text1"/>
        </w:rPr>
        <w:t>G</w:t>
      </w:r>
      <w:r w:rsidRPr="00FC5476">
        <w:rPr>
          <w:i/>
          <w:color w:val="000000" w:themeColor="text1"/>
          <w:vertAlign w:val="subscript"/>
        </w:rPr>
        <w:t>m</w:t>
      </w:r>
      <w:r w:rsidRPr="00FC5476">
        <w:rPr>
          <w:color w:val="000000" w:themeColor="text1"/>
        </w:rPr>
        <w:t>)</w:t>
      </w:r>
      <w:r>
        <w:t xml:space="preserve">, den Index unter dem das Ergebnis geschrieben wurde, zur Menge </w:t>
      </w:r>
      <w:r>
        <w:rPr>
          <w:i/>
          <w:color w:val="000000" w:themeColor="text1"/>
        </w:rPr>
        <w:t>Er</w:t>
      </w:r>
      <w:r w:rsidR="00303262" w:rsidRPr="00303262">
        <w:rPr>
          <w:vertAlign w:val="subscript"/>
        </w:rPr>
        <w:t>(f)</w:t>
      </w:r>
      <w:r w:rsidRPr="00836B5F">
        <w:rPr>
          <w:i/>
          <w:color w:val="000000" w:themeColor="text1"/>
          <w:vertAlign w:val="superscript"/>
        </w:rPr>
        <w:t>G</w:t>
      </w:r>
      <w:r w:rsidR="00303262">
        <w:t xml:space="preserve"> hinzu.</w:t>
      </w:r>
    </w:p>
    <w:p w:rsidR="00B86A19" w:rsidRDefault="00B86A19" w:rsidP="00B86A19">
      <w:pPr>
        <w:pStyle w:val="Text"/>
      </w:pPr>
      <w:r w:rsidRPr="0071334B">
        <w:t xml:space="preserve">In Zeile </w:t>
      </w:r>
      <w:r>
        <w:t xml:space="preserve">25 </w:t>
      </w:r>
      <w:r w:rsidRPr="0071334B">
        <w:t xml:space="preserve">wird die </w:t>
      </w:r>
      <w:r w:rsidR="007F02CB">
        <w:t>if-Anweisung</w:t>
      </w:r>
      <w:r w:rsidRPr="0071334B">
        <w:t xml:space="preserve"> aus Zeile </w:t>
      </w:r>
      <w:r>
        <w:t xml:space="preserve">23 </w:t>
      </w:r>
      <w:r w:rsidRPr="0071334B">
        <w:t>beendet.</w:t>
      </w:r>
    </w:p>
    <w:p w:rsidR="00F014B3" w:rsidRDefault="00F014B3" w:rsidP="00F014B3">
      <w:pPr>
        <w:pStyle w:val="Text"/>
      </w:pPr>
      <w:r w:rsidRPr="0071334B">
        <w:t xml:space="preserve">In Zeile </w:t>
      </w:r>
      <w:r>
        <w:t>2</w:t>
      </w:r>
      <w:r w:rsidR="00303262">
        <w:t>6</w:t>
      </w:r>
      <w:r>
        <w:t xml:space="preserve"> </w:t>
      </w:r>
      <w:r w:rsidRPr="0071334B">
        <w:t xml:space="preserve">wird die for-Schleife aus Zeile </w:t>
      </w:r>
      <w:r w:rsidR="00B86A19">
        <w:t>19</w:t>
      </w:r>
      <w:r>
        <w:t xml:space="preserve"> </w:t>
      </w:r>
      <w:r w:rsidRPr="0071334B">
        <w:t>beendet.</w:t>
      </w:r>
    </w:p>
    <w:p w:rsidR="00F014B3" w:rsidRPr="00DB0613" w:rsidRDefault="00304C42" w:rsidP="00C5049B">
      <w:pPr>
        <w:pStyle w:val="Text"/>
      </w:pPr>
      <w:r>
        <w:t xml:space="preserve">Zeile 27 gibt an, dass die eingerückt </w:t>
      </w:r>
      <w:r w:rsidR="00A31AEF">
        <w:t>folgenden Anweisungen ausgeführt werden</w:t>
      </w:r>
      <w:r>
        <w:t xml:space="preserve">, wenn </w:t>
      </w:r>
      <w:r w:rsidRPr="00195CA1">
        <w:rPr>
          <w:i/>
        </w:rPr>
        <w:t>k</w:t>
      </w:r>
      <w:r>
        <w:t xml:space="preserve"> noch gleich der Anzahl der Elemente von </w:t>
      </w:r>
      <w:r>
        <w:rPr>
          <w:i/>
          <w:color w:val="000000" w:themeColor="text1"/>
        </w:rPr>
        <w:t>Er</w:t>
      </w:r>
      <w:r w:rsidRPr="002A7646">
        <w:rPr>
          <w:i/>
          <w:color w:val="000000" w:themeColor="text1"/>
          <w:vertAlign w:val="superscript"/>
        </w:rPr>
        <w:t>G</w:t>
      </w:r>
      <w:r>
        <w:t xml:space="preserve"> plus der Anzahl der Elemente von </w:t>
      </w:r>
      <w:r>
        <w:rPr>
          <w:i/>
          <w:color w:val="000000" w:themeColor="text1"/>
        </w:rPr>
        <w:t>Er</w:t>
      </w:r>
      <w:r w:rsidRPr="00303262">
        <w:rPr>
          <w:vertAlign w:val="subscript"/>
        </w:rPr>
        <w:t>(f)</w:t>
      </w:r>
      <w:r w:rsidRPr="00836B5F">
        <w:rPr>
          <w:i/>
          <w:color w:val="000000" w:themeColor="text1"/>
          <w:vertAlign w:val="superscript"/>
        </w:rPr>
        <w:t>G</w:t>
      </w:r>
      <w:r>
        <w:t xml:space="preserve"> ist (also wenn kein bereits geschriebenes Ergebnis g</w:t>
      </w:r>
      <w:r>
        <w:t>e</w:t>
      </w:r>
      <w:r>
        <w:t xml:space="preserve">funden wurde, das mit dem gerade betrachteten Ergebnis </w:t>
      </w:r>
      <w:r>
        <w:rPr>
          <w:i/>
          <w:color w:val="000000" w:themeColor="text1"/>
        </w:rPr>
        <w:t>Q</w:t>
      </w:r>
      <w:r>
        <w:rPr>
          <w:i/>
          <w:color w:val="000000" w:themeColor="text1"/>
          <w:vertAlign w:val="subscript"/>
        </w:rPr>
        <w:t>n</w:t>
      </w:r>
      <w:r>
        <w:t xml:space="preserve"> übereinstimmt).</w:t>
      </w:r>
    </w:p>
    <w:p w:rsidR="00C5049B" w:rsidRDefault="00C5049B" w:rsidP="00C5049B">
      <w:pPr>
        <w:pStyle w:val="Text"/>
      </w:pPr>
      <w:r>
        <w:t xml:space="preserve">In Zeile </w:t>
      </w:r>
      <w:r w:rsidR="006850B1">
        <w:t>2</w:t>
      </w:r>
      <w:r w:rsidR="00304C42">
        <w:t>8</w:t>
      </w:r>
      <w:r>
        <w:t xml:space="preserve"> wird </w:t>
      </w:r>
      <w:r w:rsidR="006850B1">
        <w:rPr>
          <w:i/>
          <w:color w:val="000000" w:themeColor="text1"/>
        </w:rPr>
        <w:t>x</w:t>
      </w:r>
      <w:r>
        <w:t xml:space="preserve">, der Zähler für die geschriebenen </w:t>
      </w:r>
      <w:r w:rsidR="006850B1">
        <w:t>früheren Ergebnisse</w:t>
      </w:r>
      <w:r>
        <w:t>, um 1 erhöht.</w:t>
      </w:r>
    </w:p>
    <w:p w:rsidR="006850B1" w:rsidRDefault="006850B1" w:rsidP="006850B1">
      <w:pPr>
        <w:pStyle w:val="Text"/>
      </w:pPr>
      <w:r>
        <w:t>In Zeile 2</w:t>
      </w:r>
      <w:r w:rsidR="00304C42">
        <w:t>9</w:t>
      </w:r>
      <w:r>
        <w:t xml:space="preserve"> wird </w:t>
      </w:r>
      <w:r w:rsidR="00960EDC">
        <w:t>mit der</w:t>
      </w:r>
      <w:r>
        <w:t xml:space="preserve"> Funktion </w:t>
      </w:r>
      <w:r w:rsidRPr="00337D36">
        <w:rPr>
          <w:i/>
        </w:rPr>
        <w:t>write</w:t>
      </w:r>
      <w:r>
        <w:t xml:space="preserve"> das </w:t>
      </w:r>
      <w:r w:rsidR="008717C0">
        <w:t xml:space="preserve">frühere </w:t>
      </w:r>
      <w:r>
        <w:t xml:space="preserve">Ergebnis </w:t>
      </w:r>
      <w:r w:rsidR="008717C0">
        <w:rPr>
          <w:i/>
          <w:color w:val="000000" w:themeColor="text1"/>
        </w:rPr>
        <w:t>Q</w:t>
      </w:r>
      <w:r w:rsidR="008717C0">
        <w:rPr>
          <w:i/>
          <w:color w:val="000000" w:themeColor="text1"/>
          <w:vertAlign w:val="subscript"/>
        </w:rPr>
        <w:t>n</w:t>
      </w:r>
      <w:r>
        <w:t xml:space="preserve"> geschri</w:t>
      </w:r>
      <w:r>
        <w:t>e</w:t>
      </w:r>
      <w:r>
        <w:t>ben.</w:t>
      </w:r>
      <w:r w:rsidRPr="005B368F">
        <w:t xml:space="preserve"> </w:t>
      </w:r>
      <w:r>
        <w:t xml:space="preserve">Es wird als </w:t>
      </w:r>
      <w:r>
        <w:rPr>
          <w:i/>
          <w:color w:val="000000" w:themeColor="text1"/>
        </w:rPr>
        <w:t>Er</w:t>
      </w:r>
      <w:r w:rsidR="00AA7677" w:rsidRPr="00AA7677">
        <w:rPr>
          <w:color w:val="000000" w:themeColor="text1"/>
          <w:vertAlign w:val="subscript"/>
        </w:rPr>
        <w:t>(f)</w:t>
      </w:r>
      <w:r w:rsidR="00AA7677">
        <w:rPr>
          <w:i/>
          <w:color w:val="000000" w:themeColor="text1"/>
          <w:vertAlign w:val="subscript"/>
        </w:rPr>
        <w:t>x</w:t>
      </w:r>
      <w:r>
        <w:t xml:space="preserve"> bezeichnet, wobei </w:t>
      </w:r>
      <w:r w:rsidR="00631944">
        <w:rPr>
          <w:i/>
        </w:rPr>
        <w:t>x</w:t>
      </w:r>
      <w:r>
        <w:t xml:space="preserve"> die geschriebenen </w:t>
      </w:r>
      <w:r w:rsidR="00631944">
        <w:t xml:space="preserve">früheren Ergebnisse </w:t>
      </w:r>
      <w:r w:rsidR="005D485B">
        <w:t>durchnummeriert, und</w:t>
      </w:r>
      <w:r>
        <w:t xml:space="preserve"> hinter einem Doppelpunkt in einfache Anführungsze</w:t>
      </w:r>
      <w:r>
        <w:t>i</w:t>
      </w:r>
      <w:r>
        <w:t>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geschrieben. Beispielsweise wird das </w:t>
      </w:r>
      <w:r w:rsidR="00631944">
        <w:t xml:space="preserve">frühere </w:t>
      </w:r>
      <w:r>
        <w:t>Ergebnis</w:t>
      </w:r>
      <w:r w:rsidR="009337F6">
        <w:t xml:space="preserve"> </w:t>
      </w:r>
      <w:r w:rsidR="009337F6" w:rsidRPr="005B368F">
        <w:rPr>
          <w:i/>
          <w:color w:val="000000" w:themeColor="text1"/>
        </w:rPr>
        <w:t>Q</w:t>
      </w:r>
      <w:r w:rsidR="009337F6" w:rsidRPr="005B368F">
        <w:rPr>
          <w:i/>
          <w:color w:val="000000" w:themeColor="text1"/>
          <w:vertAlign w:val="subscript"/>
        </w:rPr>
        <w:t>n</w:t>
      </w:r>
      <w:r>
        <w:t xml:space="preserve"> mit </w:t>
      </w:r>
      <w:r>
        <w:rPr>
          <w:i/>
        </w:rPr>
        <w:t>x</w:t>
      </w:r>
      <w:r>
        <w:t xml:space="preserve"> = 1 g</w:t>
      </w:r>
      <w:r>
        <w:t>e</w:t>
      </w:r>
      <w:r>
        <w:t>schrieben als:</w:t>
      </w:r>
    </w:p>
    <w:p w:rsidR="006850B1" w:rsidRDefault="00631944" w:rsidP="00B20C09">
      <w:pPr>
        <w:pStyle w:val="Formel"/>
      </w:pPr>
      <w:r>
        <w:rPr>
          <w:i/>
          <w:color w:val="000000" w:themeColor="text1"/>
        </w:rPr>
        <w:t>Er</w:t>
      </w:r>
      <w:r w:rsidR="00AA7677">
        <w:rPr>
          <w:color w:val="000000" w:themeColor="text1"/>
          <w:vertAlign w:val="subscript"/>
        </w:rPr>
        <w:t>(f)1</w:t>
      </w:r>
      <w:r>
        <w:t>: ‚</w:t>
      </w:r>
      <w:r w:rsidR="009337F6">
        <w:t>[</w:t>
      </w:r>
      <w:r w:rsidR="009337F6" w:rsidRPr="005B368F">
        <w:rPr>
          <w:i/>
          <w:color w:val="000000" w:themeColor="text1"/>
        </w:rPr>
        <w:t>Q</w:t>
      </w:r>
      <w:r w:rsidR="009337F6" w:rsidRPr="005B368F">
        <w:rPr>
          <w:i/>
          <w:color w:val="000000" w:themeColor="text1"/>
          <w:vertAlign w:val="subscript"/>
        </w:rPr>
        <w:t>n</w:t>
      </w:r>
      <w:r w:rsidR="009337F6">
        <w:t>]</w:t>
      </w:r>
      <w:r>
        <w:t>‘</w:t>
      </w:r>
    </w:p>
    <w:p w:rsidR="006850B1" w:rsidRDefault="006850B1" w:rsidP="008767EB">
      <w:pPr>
        <w:pStyle w:val="Text"/>
        <w:ind w:firstLine="0"/>
        <w:rPr>
          <w:iCs/>
        </w:rPr>
      </w:pPr>
      <w:r>
        <w:rPr>
          <w:iCs/>
        </w:rPr>
        <w:t>Danach wird eine neue Zeile begonnen.</w:t>
      </w:r>
    </w:p>
    <w:p w:rsidR="00304C42" w:rsidRDefault="00304C42" w:rsidP="006850B1">
      <w:pPr>
        <w:pStyle w:val="Text"/>
        <w:rPr>
          <w:iCs/>
        </w:rPr>
      </w:pPr>
      <w:r>
        <w:t xml:space="preserve">In Zeile 30 wird </w:t>
      </w:r>
      <w:r>
        <w:rPr>
          <w:i/>
          <w:color w:val="000000" w:themeColor="text1"/>
        </w:rPr>
        <w:t>Q</w:t>
      </w:r>
      <w:r w:rsidRPr="004D21DE">
        <w:rPr>
          <w:i/>
          <w:color w:val="000000" w:themeColor="text1"/>
          <w:vertAlign w:val="subscript"/>
        </w:rPr>
        <w:t>n</w:t>
      </w:r>
      <w:r>
        <w:t xml:space="preserve">, </w:t>
      </w:r>
      <w:r w:rsidR="00EC22D4">
        <w:t xml:space="preserve">die </w:t>
      </w:r>
      <w:r>
        <w:t xml:space="preserve">Sortenbezeichnung </w:t>
      </w:r>
      <w:r w:rsidR="00EC22D4">
        <w:t>„Er</w:t>
      </w:r>
      <w:r w:rsidR="009D7FB3" w:rsidRPr="00303262">
        <w:rPr>
          <w:vertAlign w:val="subscript"/>
        </w:rPr>
        <w:t>(f)</w:t>
      </w:r>
      <w:r w:rsidR="00EC22D4">
        <w:t xml:space="preserve">“ </w:t>
      </w:r>
      <w:r>
        <w:t xml:space="preserve">für </w:t>
      </w:r>
      <w:r w:rsidR="009D7FB3">
        <w:t xml:space="preserve">frühere </w:t>
      </w:r>
      <w:r>
        <w:t xml:space="preserve">Ergebnisse und der Zähler </w:t>
      </w:r>
      <w:r>
        <w:rPr>
          <w:i/>
        </w:rPr>
        <w:t>x</w:t>
      </w:r>
      <w:r>
        <w:t xml:space="preserve">, mit dem als Index </w:t>
      </w:r>
      <w:r w:rsidR="00EC22D4">
        <w:t xml:space="preserve">das Ergebnis </w:t>
      </w:r>
      <w:r>
        <w:t>geschrieben wurde, in einen 3-</w:t>
      </w:r>
      <w:r>
        <w:lastRenderedPageBreak/>
        <w:t xml:space="preserve">Tupel geschrieben und zu </w:t>
      </w:r>
      <w:r w:rsidRPr="004D21DE">
        <w:rPr>
          <w:i/>
        </w:rPr>
        <w:t>G</w:t>
      </w:r>
      <w:r>
        <w:t>, der Menge der geschriebenen Elemente, hinzug</w:t>
      </w:r>
      <w:r>
        <w:t>e</w:t>
      </w:r>
      <w:r>
        <w:t>fügt.</w:t>
      </w:r>
    </w:p>
    <w:p w:rsidR="006850B1" w:rsidRDefault="006850B1" w:rsidP="006850B1">
      <w:pPr>
        <w:pStyle w:val="Text"/>
      </w:pPr>
      <w:r>
        <w:t xml:space="preserve">In Zeile </w:t>
      </w:r>
      <w:r w:rsidR="009F552D">
        <w:t>31</w:t>
      </w:r>
      <w:r>
        <w:t xml:space="preserve"> wird </w:t>
      </w:r>
      <w:r w:rsidR="009F552D">
        <w:t xml:space="preserve">die </w:t>
      </w:r>
      <w:r w:rsidR="007F02CB">
        <w:t>if-Anweisung</w:t>
      </w:r>
      <w:r w:rsidR="009F552D">
        <w:t xml:space="preserve"> aus </w:t>
      </w:r>
      <w:r>
        <w:t>Zeile 2</w:t>
      </w:r>
      <w:r w:rsidR="009F552D">
        <w:t xml:space="preserve">7 </w:t>
      </w:r>
      <w:r>
        <w:t>beendet.</w:t>
      </w:r>
    </w:p>
    <w:p w:rsidR="006850B1" w:rsidRDefault="006850B1" w:rsidP="006850B1">
      <w:pPr>
        <w:pStyle w:val="Text"/>
      </w:pPr>
      <w:r>
        <w:t>In Zeile 3</w:t>
      </w:r>
      <w:r w:rsidR="009F552D">
        <w:t>2</w:t>
      </w:r>
      <w:r>
        <w:t xml:space="preserve"> wird die for-Schleife aus Zeile </w:t>
      </w:r>
      <w:r w:rsidR="002D3EDF">
        <w:t>1</w:t>
      </w:r>
      <w:r w:rsidR="009F552D">
        <w:t>7</w:t>
      </w:r>
      <w:r>
        <w:t xml:space="preserve"> beendet.</w:t>
      </w:r>
    </w:p>
    <w:p w:rsidR="00FC5476" w:rsidRPr="00DC49C3" w:rsidRDefault="00FC5476" w:rsidP="00FC5476">
      <w:pPr>
        <w:pStyle w:val="Text"/>
        <w:rPr>
          <w:i/>
        </w:rPr>
      </w:pPr>
      <w:r w:rsidRPr="00DC49C3">
        <w:rPr>
          <w:i/>
        </w:rPr>
        <w:t>Das Hint</w:t>
      </w:r>
      <w:r w:rsidR="00B20C09">
        <w:rPr>
          <w:i/>
        </w:rPr>
        <w:t>ergrundwissen wird geschrieben:</w:t>
      </w:r>
    </w:p>
    <w:p w:rsidR="00FC5476" w:rsidRDefault="00FC5476" w:rsidP="00FC5476">
      <w:pPr>
        <w:pStyle w:val="Text"/>
      </w:pPr>
      <w:r w:rsidRPr="00DB0613">
        <w:t xml:space="preserve">Zeile </w:t>
      </w:r>
      <w:r>
        <w:t>3</w:t>
      </w:r>
      <w:r w:rsidR="007221EE">
        <w:t>3</w:t>
      </w:r>
      <w:r>
        <w:t xml:space="preserve"> </w:t>
      </w:r>
      <w:r w:rsidRPr="00DB0613">
        <w:t xml:space="preserve">gibt an, dass die eingerückt folgende Schleife für die Variable </w:t>
      </w:r>
      <w:r>
        <w:rPr>
          <w:i/>
          <w:iCs/>
        </w:rPr>
        <w:t>n</w:t>
      </w:r>
      <w:r w:rsidRPr="00DB0613">
        <w:t xml:space="preserve"> von 1 bis zur Anzahl der Elemente von </w:t>
      </w:r>
      <w:r w:rsidR="00631944">
        <w:rPr>
          <w:i/>
          <w:iCs/>
        </w:rPr>
        <w:t>R</w:t>
      </w:r>
      <w:r w:rsidRPr="00DB0613">
        <w:t xml:space="preserve"> ausgeführt wird.</w:t>
      </w:r>
    </w:p>
    <w:p w:rsidR="007221EE" w:rsidRDefault="007221EE" w:rsidP="007221EE">
      <w:pPr>
        <w:pStyle w:val="Text"/>
      </w:pPr>
      <w:r>
        <w:t xml:space="preserve">In Zeile 34 wird die Anzahl der Elemente von </w:t>
      </w:r>
      <w:r>
        <w:rPr>
          <w:i/>
          <w:color w:val="000000" w:themeColor="text1"/>
        </w:rPr>
        <w:t>H</w:t>
      </w:r>
      <w:r w:rsidRPr="002A7646">
        <w:rPr>
          <w:i/>
          <w:color w:val="000000" w:themeColor="text1"/>
          <w:vertAlign w:val="superscript"/>
        </w:rPr>
        <w:t>G</w:t>
      </w:r>
      <w:r>
        <w:t xml:space="preserve"> in die Variable </w:t>
      </w:r>
      <w:r w:rsidRPr="00195CA1">
        <w:rPr>
          <w:i/>
        </w:rPr>
        <w:t>k</w:t>
      </w:r>
      <w:r>
        <w:t xml:space="preserve"> gespe</w:t>
      </w:r>
      <w:r>
        <w:t>i</w:t>
      </w:r>
      <w:r>
        <w:t>chert.</w:t>
      </w:r>
    </w:p>
    <w:p w:rsidR="007221EE" w:rsidRDefault="007221EE" w:rsidP="007221EE">
      <w:pPr>
        <w:pStyle w:val="Text"/>
      </w:pPr>
      <w:r>
        <w:t xml:space="preserve">Zeile 35 </w:t>
      </w:r>
      <w:r w:rsidRPr="00DB0613">
        <w:t xml:space="preserve">gibt an, dass die eingerückt folgende Schleife für die Variable </w:t>
      </w:r>
      <w:r>
        <w:rPr>
          <w:i/>
          <w:iCs/>
        </w:rPr>
        <w:t>m</w:t>
      </w:r>
      <w:r w:rsidRPr="00DB0613">
        <w:t xml:space="preserve"> von 1 bis zur Anzahl der Elemente von </w:t>
      </w:r>
      <w:r>
        <w:rPr>
          <w:i/>
          <w:iCs/>
        </w:rPr>
        <w:t>G</w:t>
      </w:r>
      <w:r w:rsidRPr="00DB0613">
        <w:t xml:space="preserve"> ausgeführt wird.</w:t>
      </w:r>
    </w:p>
    <w:p w:rsidR="007221EE" w:rsidRDefault="007221EE" w:rsidP="007221EE">
      <w:pPr>
        <w:pStyle w:val="Text"/>
      </w:pPr>
      <w:r>
        <w:t xml:space="preserve">Zeile 36 gibt an, dass die eingerückt </w:t>
      </w:r>
      <w:r w:rsidR="003370D4">
        <w:t>folgende Anweisung</w:t>
      </w:r>
      <w:r>
        <w:t xml:space="preserve"> ausgeführt wird, wenn </w:t>
      </w:r>
      <w:r>
        <w:rPr>
          <w:i/>
          <w:color w:val="000000" w:themeColor="text1"/>
        </w:rPr>
        <w:t>R</w:t>
      </w:r>
      <w:r w:rsidRPr="000671DE">
        <w:rPr>
          <w:i/>
          <w:color w:val="000000" w:themeColor="text1"/>
          <w:vertAlign w:val="subscript"/>
        </w:rPr>
        <w:t>n</w:t>
      </w:r>
      <w:r>
        <w:t xml:space="preserve"> gleich dem Wert des in </w:t>
      </w:r>
      <w:r>
        <w:rPr>
          <w:i/>
          <w:color w:val="000000" w:themeColor="text1"/>
        </w:rPr>
        <w:t>G</w:t>
      </w:r>
      <w:r>
        <w:rPr>
          <w:i/>
          <w:color w:val="000000" w:themeColor="text1"/>
          <w:vertAlign w:val="subscript"/>
        </w:rPr>
        <w:t>m</w:t>
      </w:r>
      <w:r>
        <w:t xml:space="preserve"> gespeicherten Elements ist und für dieses Element die Sortenbezeichnung „H“ für Elemente des Hintergrundwissens g</w:t>
      </w:r>
      <w:r>
        <w:t>e</w:t>
      </w:r>
      <w:r>
        <w:t xml:space="preserve">speichert wurde (das heißt, wenn ein </w:t>
      </w:r>
      <w:r>
        <w:rPr>
          <w:i/>
          <w:color w:val="000000" w:themeColor="text1"/>
        </w:rPr>
        <w:t>R</w:t>
      </w:r>
      <w:r w:rsidRPr="000671DE">
        <w:rPr>
          <w:i/>
          <w:color w:val="000000" w:themeColor="text1"/>
          <w:vertAlign w:val="subscript"/>
        </w:rPr>
        <w:t>n</w:t>
      </w:r>
      <w:r>
        <w:t xml:space="preserve"> </w:t>
      </w:r>
      <w:r w:rsidR="00F3488E">
        <w:t xml:space="preserve">gleiches </w:t>
      </w:r>
      <w:r w:rsidR="005A37BD">
        <w:t>Element des Hintergrundwi</w:t>
      </w:r>
      <w:r w:rsidR="005A37BD">
        <w:t>s</w:t>
      </w:r>
      <w:r w:rsidR="005A37BD">
        <w:t xml:space="preserve">sens </w:t>
      </w:r>
      <w:r>
        <w:t xml:space="preserve">bereits im Verlauf der Interpretation geschrieben und als </w:t>
      </w:r>
      <w:r>
        <w:rPr>
          <w:i/>
          <w:color w:val="000000" w:themeColor="text1"/>
        </w:rPr>
        <w:t>G</w:t>
      </w:r>
      <w:r>
        <w:rPr>
          <w:i/>
          <w:color w:val="000000" w:themeColor="text1"/>
          <w:vertAlign w:val="subscript"/>
        </w:rPr>
        <w:t>m</w:t>
      </w:r>
      <w:r>
        <w:t xml:space="preserve"> gespeichert wurde).</w:t>
      </w:r>
    </w:p>
    <w:p w:rsidR="007221EE" w:rsidRDefault="007221EE" w:rsidP="007221EE">
      <w:pPr>
        <w:pStyle w:val="Text"/>
      </w:pPr>
      <w:r>
        <w:t xml:space="preserve">Zeile 37 fügt </w:t>
      </w:r>
      <w:r w:rsidRPr="00FC5476">
        <w:rPr>
          <w:i/>
          <w:color w:val="000000" w:themeColor="text1"/>
        </w:rPr>
        <w:t>i</w:t>
      </w:r>
      <w:r w:rsidRPr="00FC5476">
        <w:rPr>
          <w:color w:val="000000" w:themeColor="text1"/>
        </w:rPr>
        <w:t>(</w:t>
      </w:r>
      <w:r w:rsidRPr="00FC5476">
        <w:rPr>
          <w:i/>
          <w:color w:val="000000" w:themeColor="text1"/>
        </w:rPr>
        <w:t>G</w:t>
      </w:r>
      <w:r w:rsidRPr="00FC5476">
        <w:rPr>
          <w:i/>
          <w:color w:val="000000" w:themeColor="text1"/>
          <w:vertAlign w:val="subscript"/>
        </w:rPr>
        <w:t>m</w:t>
      </w:r>
      <w:r w:rsidRPr="00FC5476">
        <w:rPr>
          <w:color w:val="000000" w:themeColor="text1"/>
        </w:rPr>
        <w:t>)</w:t>
      </w:r>
      <w:r>
        <w:t>, den Index unter dem das Element des Hintergrundwi</w:t>
      </w:r>
      <w:r>
        <w:t>s</w:t>
      </w:r>
      <w:r>
        <w:t xml:space="preserve">sens geschrieben wurde, zur Menge </w:t>
      </w:r>
      <w:r>
        <w:rPr>
          <w:i/>
          <w:color w:val="000000" w:themeColor="text1"/>
        </w:rPr>
        <w:t>H</w:t>
      </w:r>
      <w:r w:rsidRPr="00836B5F">
        <w:rPr>
          <w:i/>
          <w:color w:val="000000" w:themeColor="text1"/>
          <w:vertAlign w:val="superscript"/>
        </w:rPr>
        <w:t>G</w:t>
      </w:r>
      <w:r w:rsidR="00BA20B8">
        <w:t xml:space="preserve"> hinzu.</w:t>
      </w:r>
    </w:p>
    <w:p w:rsidR="007221EE" w:rsidRPr="0071334B" w:rsidRDefault="007221EE" w:rsidP="007221EE">
      <w:pPr>
        <w:pStyle w:val="Text"/>
      </w:pPr>
      <w:r w:rsidRPr="0071334B">
        <w:t xml:space="preserve">In Zeile </w:t>
      </w:r>
      <w:r>
        <w:t xml:space="preserve">38 </w:t>
      </w:r>
      <w:r w:rsidRPr="0071334B">
        <w:t xml:space="preserve">wird die </w:t>
      </w:r>
      <w:r w:rsidR="007F02CB">
        <w:t>if-Anweisung</w:t>
      </w:r>
      <w:r w:rsidRPr="0071334B">
        <w:t xml:space="preserve"> aus Zeile </w:t>
      </w:r>
      <w:r>
        <w:t>3</w:t>
      </w:r>
      <w:r w:rsidR="00F3488E">
        <w:t>6</w:t>
      </w:r>
      <w:r>
        <w:t xml:space="preserve"> </w:t>
      </w:r>
      <w:r w:rsidRPr="0071334B">
        <w:t>beendet.</w:t>
      </w:r>
    </w:p>
    <w:p w:rsidR="007221EE" w:rsidRDefault="007221EE" w:rsidP="007221EE">
      <w:pPr>
        <w:pStyle w:val="Text"/>
      </w:pPr>
      <w:r w:rsidRPr="0071334B">
        <w:t xml:space="preserve">In Zeile </w:t>
      </w:r>
      <w:r>
        <w:t xml:space="preserve">39 </w:t>
      </w:r>
      <w:r w:rsidRPr="0071334B">
        <w:t xml:space="preserve">wird die for-Schleife aus Zeile </w:t>
      </w:r>
      <w:r>
        <w:t>3</w:t>
      </w:r>
      <w:r w:rsidR="00F3488E">
        <w:t>5</w:t>
      </w:r>
      <w:r>
        <w:t xml:space="preserve"> </w:t>
      </w:r>
      <w:r w:rsidRPr="0071334B">
        <w:t>beendet.</w:t>
      </w:r>
    </w:p>
    <w:p w:rsidR="007221EE" w:rsidRDefault="00F3488E" w:rsidP="00FC5476">
      <w:pPr>
        <w:pStyle w:val="Text"/>
      </w:pPr>
      <w:r>
        <w:t xml:space="preserve">Zeile 40 gibt an, dass die eingerückt </w:t>
      </w:r>
      <w:r w:rsidR="00F63F17">
        <w:t>folgenden Anweisungen ausgeführt werden</w:t>
      </w:r>
      <w:r>
        <w:t xml:space="preserve">, wenn </w:t>
      </w:r>
      <w:r w:rsidRPr="00195CA1">
        <w:rPr>
          <w:i/>
        </w:rPr>
        <w:t>k</w:t>
      </w:r>
      <w:r>
        <w:t xml:space="preserve"> noch gleich der Anzahl der Elemente von </w:t>
      </w:r>
      <w:r>
        <w:rPr>
          <w:i/>
          <w:color w:val="000000" w:themeColor="text1"/>
        </w:rPr>
        <w:t>H</w:t>
      </w:r>
      <w:r w:rsidRPr="002A7646">
        <w:rPr>
          <w:i/>
          <w:color w:val="000000" w:themeColor="text1"/>
          <w:vertAlign w:val="superscript"/>
        </w:rPr>
        <w:t>G</w:t>
      </w:r>
      <w:r>
        <w:t xml:space="preserve"> ist (also wenn kein bereits geschriebenes Element des Hintergrundwissens gefunden wurde, das mit </w:t>
      </w:r>
      <w:r w:rsidR="008717C0">
        <w:t xml:space="preserve">dem gerade betrachteten Element des Hintergrundwissens </w:t>
      </w:r>
      <w:r w:rsidR="008717C0">
        <w:rPr>
          <w:i/>
          <w:color w:val="000000" w:themeColor="text1"/>
        </w:rPr>
        <w:t>R</w:t>
      </w:r>
      <w:r>
        <w:rPr>
          <w:i/>
          <w:color w:val="000000" w:themeColor="text1"/>
          <w:vertAlign w:val="subscript"/>
        </w:rPr>
        <w:t>n</w:t>
      </w:r>
      <w:r>
        <w:t xml:space="preserve"> übereinstimmt).</w:t>
      </w:r>
    </w:p>
    <w:p w:rsidR="00FC5476" w:rsidRDefault="00FC5476" w:rsidP="00FC5476">
      <w:pPr>
        <w:pStyle w:val="Text"/>
      </w:pPr>
      <w:r>
        <w:t xml:space="preserve">In Zeile </w:t>
      </w:r>
      <w:r w:rsidR="008717C0">
        <w:t>41</w:t>
      </w:r>
      <w:r>
        <w:t xml:space="preserve"> wird </w:t>
      </w:r>
      <w:r w:rsidR="00631944">
        <w:rPr>
          <w:i/>
          <w:color w:val="000000" w:themeColor="text1"/>
        </w:rPr>
        <w:t>y</w:t>
      </w:r>
      <w:r>
        <w:t xml:space="preserve">, der Zähler für die geschriebenen </w:t>
      </w:r>
      <w:r w:rsidR="00631944">
        <w:t>Elemente des Hinte</w:t>
      </w:r>
      <w:r w:rsidR="00631944">
        <w:t>r</w:t>
      </w:r>
      <w:r w:rsidR="00631944">
        <w:t>grundwissens</w:t>
      </w:r>
      <w:r>
        <w:t>, um 1 erhöht.</w:t>
      </w:r>
    </w:p>
    <w:p w:rsidR="00FC5476" w:rsidRDefault="00FC5476" w:rsidP="00FC5476">
      <w:pPr>
        <w:pStyle w:val="Text"/>
      </w:pPr>
      <w:r>
        <w:t>In Zeile 4</w:t>
      </w:r>
      <w:r w:rsidR="008717C0">
        <w:t>2</w:t>
      </w:r>
      <w:r>
        <w:t xml:space="preserve"> wird </w:t>
      </w:r>
      <w:r w:rsidR="00960EDC">
        <w:t>mit der</w:t>
      </w:r>
      <w:r>
        <w:t xml:space="preserve"> Funktion </w:t>
      </w:r>
      <w:r w:rsidRPr="00337D36">
        <w:rPr>
          <w:i/>
        </w:rPr>
        <w:t>write</w:t>
      </w:r>
      <w:r>
        <w:t xml:space="preserve"> das </w:t>
      </w:r>
      <w:r w:rsidR="004F65A6">
        <w:t>Element des Hintergrundwi</w:t>
      </w:r>
      <w:r w:rsidR="004F65A6">
        <w:t>s</w:t>
      </w:r>
      <w:r w:rsidR="004F65A6">
        <w:t xml:space="preserve">sens </w:t>
      </w:r>
      <w:r w:rsidR="008717C0">
        <w:rPr>
          <w:i/>
          <w:color w:val="000000" w:themeColor="text1"/>
        </w:rPr>
        <w:t>R</w:t>
      </w:r>
      <w:r w:rsidR="008717C0">
        <w:rPr>
          <w:i/>
          <w:color w:val="000000" w:themeColor="text1"/>
          <w:vertAlign w:val="subscript"/>
        </w:rPr>
        <w:t>n</w:t>
      </w:r>
      <w:r>
        <w:t xml:space="preserve"> geschrieben.</w:t>
      </w:r>
      <w:r w:rsidRPr="005B368F">
        <w:t xml:space="preserve"> </w:t>
      </w:r>
      <w:r>
        <w:t xml:space="preserve">Es wird als </w:t>
      </w:r>
      <w:r w:rsidR="00631944">
        <w:rPr>
          <w:i/>
          <w:color w:val="000000" w:themeColor="text1"/>
        </w:rPr>
        <w:t>H</w:t>
      </w:r>
      <w:r w:rsidR="00631944">
        <w:rPr>
          <w:i/>
          <w:color w:val="000000" w:themeColor="text1"/>
          <w:vertAlign w:val="subscript"/>
        </w:rPr>
        <w:t>y</w:t>
      </w:r>
      <w:r>
        <w:t xml:space="preserve"> bezeichnet, wobei </w:t>
      </w:r>
      <w:r w:rsidR="00631944">
        <w:rPr>
          <w:i/>
        </w:rPr>
        <w:t>y</w:t>
      </w:r>
      <w:r>
        <w:t xml:space="preserve"> die geschriebenen </w:t>
      </w:r>
      <w:r w:rsidR="004F65A6">
        <w:t>El</w:t>
      </w:r>
      <w:r w:rsidR="004F65A6">
        <w:t>e</w:t>
      </w:r>
      <w:r w:rsidR="004F65A6">
        <w:t xml:space="preserve">mente des Hintergrundwissens </w:t>
      </w:r>
      <w:r>
        <w:t>durchnumme</w:t>
      </w:r>
      <w:r w:rsidR="005D485B">
        <w:t>riert, und</w:t>
      </w:r>
      <w:r>
        <w:t xml:space="preserve"> hinter einem Doppe</w:t>
      </w:r>
      <w:r>
        <w:t>l</w:t>
      </w:r>
      <w:r>
        <w:t>punkt in einfache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geschrieben. Beispielsweise wird das </w:t>
      </w:r>
      <w:r w:rsidR="004F65A6">
        <w:t>El</w:t>
      </w:r>
      <w:r w:rsidR="004F65A6">
        <w:t>e</w:t>
      </w:r>
      <w:r w:rsidR="004F65A6">
        <w:t xml:space="preserve">ment des Hintergrundwissens </w:t>
      </w:r>
      <w:r w:rsidR="002F2392">
        <w:rPr>
          <w:i/>
          <w:color w:val="000000" w:themeColor="text1"/>
        </w:rPr>
        <w:t>R</w:t>
      </w:r>
      <w:r w:rsidR="002F2392" w:rsidRPr="005B368F">
        <w:rPr>
          <w:i/>
          <w:color w:val="000000" w:themeColor="text1"/>
          <w:vertAlign w:val="subscript"/>
        </w:rPr>
        <w:t>n</w:t>
      </w:r>
      <w:r w:rsidR="002F2392">
        <w:t xml:space="preserve"> </w:t>
      </w:r>
      <w:r>
        <w:t xml:space="preserve">mit </w:t>
      </w:r>
      <w:r w:rsidR="00631944">
        <w:rPr>
          <w:i/>
        </w:rPr>
        <w:t>y</w:t>
      </w:r>
      <w:r>
        <w:t xml:space="preserve"> = 1 geschrieben als:</w:t>
      </w:r>
    </w:p>
    <w:p w:rsidR="00FC5476" w:rsidRDefault="004F65A6" w:rsidP="00B20C09">
      <w:pPr>
        <w:pStyle w:val="Formel"/>
      </w:pPr>
      <w:r>
        <w:rPr>
          <w:i/>
          <w:color w:val="000000" w:themeColor="text1"/>
        </w:rPr>
        <w:t>H</w:t>
      </w:r>
      <w:r w:rsidR="00FC5476" w:rsidRPr="005B368F">
        <w:rPr>
          <w:color w:val="000000" w:themeColor="text1"/>
          <w:vertAlign w:val="subscript"/>
        </w:rPr>
        <w:t>1</w:t>
      </w:r>
      <w:r w:rsidR="00631944">
        <w:t>: ‚</w:t>
      </w:r>
      <w:r w:rsidR="00177CCD">
        <w:t>[</w:t>
      </w:r>
      <w:r w:rsidR="002F2392">
        <w:rPr>
          <w:i/>
          <w:color w:val="000000" w:themeColor="text1"/>
        </w:rPr>
        <w:t>R</w:t>
      </w:r>
      <w:r w:rsidR="002F2392" w:rsidRPr="005B368F">
        <w:rPr>
          <w:i/>
          <w:color w:val="000000" w:themeColor="text1"/>
          <w:vertAlign w:val="subscript"/>
        </w:rPr>
        <w:t>n</w:t>
      </w:r>
      <w:r w:rsidR="00177CCD">
        <w:t>]</w:t>
      </w:r>
      <w:r w:rsidR="00FC5476">
        <w:t>‘</w:t>
      </w:r>
    </w:p>
    <w:p w:rsidR="00FC5476" w:rsidRDefault="00FC5476" w:rsidP="00D17045">
      <w:pPr>
        <w:pStyle w:val="Text"/>
        <w:ind w:firstLine="0"/>
        <w:rPr>
          <w:iCs/>
        </w:rPr>
      </w:pPr>
      <w:r>
        <w:rPr>
          <w:iCs/>
        </w:rPr>
        <w:t>Danac</w:t>
      </w:r>
      <w:r w:rsidR="001C17A5">
        <w:rPr>
          <w:iCs/>
        </w:rPr>
        <w:t>h wird eine neue Zeile begonnen</w:t>
      </w:r>
      <w:r w:rsidR="008742A7">
        <w:rPr>
          <w:iCs/>
        </w:rPr>
        <w:t>.</w:t>
      </w:r>
    </w:p>
    <w:p w:rsidR="00FC5476" w:rsidRDefault="002B177C" w:rsidP="00FC5476">
      <w:pPr>
        <w:pStyle w:val="Text"/>
      </w:pPr>
      <w:r>
        <w:t xml:space="preserve">In Zeile 43 wird </w:t>
      </w:r>
      <w:r w:rsidR="00EC22D4">
        <w:rPr>
          <w:i/>
          <w:color w:val="000000" w:themeColor="text1"/>
        </w:rPr>
        <w:t>R</w:t>
      </w:r>
      <w:r w:rsidRPr="004D21DE">
        <w:rPr>
          <w:i/>
          <w:color w:val="000000" w:themeColor="text1"/>
          <w:vertAlign w:val="subscript"/>
        </w:rPr>
        <w:t>n</w:t>
      </w:r>
      <w:r>
        <w:t xml:space="preserve">, </w:t>
      </w:r>
      <w:r w:rsidR="00EC22D4">
        <w:t xml:space="preserve">die </w:t>
      </w:r>
      <w:r>
        <w:t xml:space="preserve">Sortenbezeichnung </w:t>
      </w:r>
      <w:r w:rsidR="00EC22D4">
        <w:t xml:space="preserve">„H“ </w:t>
      </w:r>
      <w:r>
        <w:t xml:space="preserve">für </w:t>
      </w:r>
      <w:r w:rsidR="00EC22D4">
        <w:t>Elemente des Hinte</w:t>
      </w:r>
      <w:r w:rsidR="00EC22D4">
        <w:t>r</w:t>
      </w:r>
      <w:r w:rsidR="00EC22D4">
        <w:t xml:space="preserve">grundwissens </w:t>
      </w:r>
      <w:r>
        <w:t xml:space="preserve">und der Zähler </w:t>
      </w:r>
      <w:r w:rsidR="00EC22D4">
        <w:rPr>
          <w:i/>
        </w:rPr>
        <w:t>y</w:t>
      </w:r>
      <w:r>
        <w:t xml:space="preserve">, mit dem als Index </w:t>
      </w:r>
      <w:r w:rsidR="00EC22D4">
        <w:t>das Element des Hinte</w:t>
      </w:r>
      <w:r w:rsidR="00EC22D4">
        <w:t>r</w:t>
      </w:r>
      <w:r w:rsidR="00EC22D4">
        <w:t xml:space="preserve">grundwissens </w:t>
      </w:r>
      <w:r>
        <w:t xml:space="preserve">geschrieben wurde, in einen 3-Tupel geschrieben und zu </w:t>
      </w:r>
      <w:r w:rsidRPr="004D21DE">
        <w:rPr>
          <w:i/>
        </w:rPr>
        <w:t>G</w:t>
      </w:r>
      <w:r>
        <w:t>, der Menge der geschriebenen Elemente, hinzugefügt.</w:t>
      </w:r>
    </w:p>
    <w:p w:rsidR="00FC5476" w:rsidRDefault="00631944" w:rsidP="00FC5476">
      <w:pPr>
        <w:pStyle w:val="Text"/>
      </w:pPr>
      <w:r>
        <w:t>In Zeile 4</w:t>
      </w:r>
      <w:r w:rsidR="00EC22D4">
        <w:t>4</w:t>
      </w:r>
      <w:r w:rsidR="00FC5476">
        <w:t xml:space="preserve"> wird </w:t>
      </w:r>
      <w:r w:rsidR="00EC22D4">
        <w:t xml:space="preserve">die </w:t>
      </w:r>
      <w:r w:rsidR="007F02CB">
        <w:t>if-Anweisung</w:t>
      </w:r>
      <w:r w:rsidR="00EC22D4">
        <w:t xml:space="preserve"> aus </w:t>
      </w:r>
      <w:r w:rsidR="00FC5476">
        <w:t xml:space="preserve">Zeile </w:t>
      </w:r>
      <w:r w:rsidR="00EC22D4">
        <w:t>40</w:t>
      </w:r>
      <w:r w:rsidR="00FC5476">
        <w:t xml:space="preserve"> beendet.</w:t>
      </w:r>
    </w:p>
    <w:p w:rsidR="00FC5476" w:rsidRDefault="00631944" w:rsidP="00FC5476">
      <w:pPr>
        <w:pStyle w:val="Text"/>
      </w:pPr>
      <w:r>
        <w:t>In Zeile 4</w:t>
      </w:r>
      <w:r w:rsidR="00EC22D4">
        <w:t>5</w:t>
      </w:r>
      <w:r w:rsidR="00FC5476">
        <w:t xml:space="preserve"> wi</w:t>
      </w:r>
      <w:r w:rsidR="004F65A6">
        <w:t>rd die for-Schleife aus Zeile 3</w:t>
      </w:r>
      <w:r w:rsidR="00EC22D4">
        <w:t>3</w:t>
      </w:r>
      <w:r w:rsidR="00FC5476">
        <w:t xml:space="preserve"> beendet.</w:t>
      </w:r>
    </w:p>
    <w:p w:rsidR="00FC5476" w:rsidRDefault="00FC5476" w:rsidP="006850B1">
      <w:pPr>
        <w:pStyle w:val="Text"/>
        <w:rPr>
          <w:i/>
        </w:rPr>
      </w:pPr>
      <w:r w:rsidRPr="00FC5476">
        <w:rPr>
          <w:i/>
        </w:rPr>
        <w:t>Die Erz</w:t>
      </w:r>
      <w:r w:rsidR="00B20C09">
        <w:rPr>
          <w:i/>
        </w:rPr>
        <w:t>eugungsformel wird geschrieben:</w:t>
      </w:r>
    </w:p>
    <w:p w:rsidR="008742A7" w:rsidRDefault="008742A7" w:rsidP="00640FE5">
      <w:pPr>
        <w:pStyle w:val="Text"/>
      </w:pPr>
      <w:r>
        <w:rPr>
          <w:iCs/>
        </w:rPr>
        <w:lastRenderedPageBreak/>
        <w:t xml:space="preserve">In Zeile 46 werden fünf Leerzeichen geschrieben. </w:t>
      </w:r>
      <w:r>
        <w:t>Das dient der Einrückung der Erzeugungsformel.</w:t>
      </w:r>
      <w:r>
        <w:rPr>
          <w:rStyle w:val="Funotenzeichen"/>
          <w:iCs/>
        </w:rPr>
        <w:footnoteReference w:id="523"/>
      </w:r>
    </w:p>
    <w:p w:rsidR="006A39A2" w:rsidRDefault="006A39A2" w:rsidP="00640FE5">
      <w:pPr>
        <w:pStyle w:val="Text"/>
        <w:rPr>
          <w:color w:val="000000" w:themeColor="text1"/>
        </w:rPr>
      </w:pPr>
      <w:r>
        <w:t>In Zeile 4</w:t>
      </w:r>
      <w:r w:rsidR="008742A7">
        <w:t>7</w:t>
      </w:r>
      <w:r>
        <w:t xml:space="preserve"> wird </w:t>
      </w:r>
      <w:r>
        <w:rPr>
          <w:color w:val="000000" w:themeColor="text1"/>
        </w:rPr>
        <w:t xml:space="preserve">die Funktion </w:t>
      </w:r>
      <w:r w:rsidRPr="00337D36">
        <w:rPr>
          <w:i/>
          <w:color w:val="000000" w:themeColor="text1"/>
        </w:rPr>
        <w:t>Sortieren</w:t>
      </w:r>
      <w:r>
        <w:rPr>
          <w:color w:val="000000" w:themeColor="text1"/>
        </w:rPr>
        <w:t xml:space="preserve"> </w:t>
      </w:r>
      <w:r w:rsidRPr="006A39A2">
        <w:rPr>
          <w:color w:val="000000" w:themeColor="text1"/>
        </w:rPr>
        <w:t>(</w:t>
      </w:r>
      <w:r>
        <w:rPr>
          <w:color w:val="000000" w:themeColor="text1"/>
        </w:rPr>
        <w:t xml:space="preserve">siehe unten) aufgerufen, die die Menge </w:t>
      </w:r>
      <w:r w:rsidRPr="006A39A2">
        <w:rPr>
          <w:i/>
          <w:color w:val="000000" w:themeColor="text1"/>
        </w:rPr>
        <w:t>B</w:t>
      </w:r>
      <w:r w:rsidRPr="006A39A2">
        <w:rPr>
          <w:i/>
          <w:color w:val="000000" w:themeColor="text1"/>
          <w:vertAlign w:val="superscript"/>
        </w:rPr>
        <w:t>G</w:t>
      </w:r>
      <w:r>
        <w:rPr>
          <w:color w:val="000000" w:themeColor="text1"/>
        </w:rPr>
        <w:t xml:space="preserve"> sortiert.</w:t>
      </w:r>
    </w:p>
    <w:p w:rsidR="006A39A2" w:rsidRDefault="006A39A2" w:rsidP="00640FE5">
      <w:pPr>
        <w:pStyle w:val="Text"/>
      </w:pPr>
      <w:r w:rsidRPr="00DB0613">
        <w:t xml:space="preserve">Zeile </w:t>
      </w:r>
      <w:r>
        <w:t>4</w:t>
      </w:r>
      <w:r w:rsidR="008742A7">
        <w:t>8</w:t>
      </w:r>
      <w:r>
        <w:t xml:space="preserve"> </w:t>
      </w:r>
      <w:r w:rsidRPr="00DB0613">
        <w:t xml:space="preserve">gibt an, dass die eingerückt folgende Schleife für die Variable </w:t>
      </w:r>
      <w:r>
        <w:rPr>
          <w:i/>
          <w:iCs/>
        </w:rPr>
        <w:t>n</w:t>
      </w:r>
      <w:r w:rsidRPr="00DB0613">
        <w:t xml:space="preserve"> von 1 bis zur Anzahl der Elemente von </w:t>
      </w:r>
      <w:r w:rsidRPr="006A39A2">
        <w:rPr>
          <w:i/>
          <w:color w:val="000000" w:themeColor="text1"/>
        </w:rPr>
        <w:t>B</w:t>
      </w:r>
      <w:r w:rsidRPr="006A39A2">
        <w:rPr>
          <w:i/>
          <w:color w:val="000000" w:themeColor="text1"/>
          <w:vertAlign w:val="superscript"/>
        </w:rPr>
        <w:t>G</w:t>
      </w:r>
      <w:r w:rsidRPr="00DB0613">
        <w:t xml:space="preserve"> ausgeführt wird.</w:t>
      </w:r>
    </w:p>
    <w:p w:rsidR="006A39A2" w:rsidRDefault="006A39A2" w:rsidP="00640FE5">
      <w:pPr>
        <w:pStyle w:val="Text"/>
      </w:pPr>
      <w:r>
        <w:t>In Zeile 4</w:t>
      </w:r>
      <w:r w:rsidR="008742A7">
        <w:t>9</w:t>
      </w:r>
      <w:r>
        <w:t xml:space="preserve"> wird </w:t>
      </w:r>
      <w:r w:rsidR="00960EDC">
        <w:t>mit der</w:t>
      </w:r>
      <w:r>
        <w:t xml:space="preserve"> Funktion </w:t>
      </w:r>
      <w:r w:rsidRPr="00337D36">
        <w:rPr>
          <w:i/>
        </w:rPr>
        <w:t>write</w:t>
      </w:r>
      <w:r>
        <w:t xml:space="preserve"> der Bezeichner für Merkmalsregeln „</w:t>
      </w:r>
      <w:r>
        <w:rPr>
          <w:i/>
          <w:color w:val="000000" w:themeColor="text1"/>
        </w:rPr>
        <w:t>B</w:t>
      </w:r>
      <w:r>
        <w:t xml:space="preserve">“ mit dem </w:t>
      </w:r>
      <w:r w:rsidRPr="006A39A2">
        <w:rPr>
          <w:i/>
        </w:rPr>
        <w:t>n</w:t>
      </w:r>
      <w:r>
        <w:t xml:space="preserve">ten Element aus </w:t>
      </w:r>
      <w:r w:rsidRPr="006A39A2">
        <w:rPr>
          <w:i/>
          <w:color w:val="000000" w:themeColor="text1"/>
        </w:rPr>
        <w:t>B</w:t>
      </w:r>
      <w:r w:rsidRPr="006A39A2">
        <w:rPr>
          <w:i/>
          <w:color w:val="000000" w:themeColor="text1"/>
          <w:vertAlign w:val="superscript"/>
        </w:rPr>
        <w:t>G</w:t>
      </w:r>
      <w:r>
        <w:t xml:space="preserve"> als Index geschrieben. (Hier werden die b</w:t>
      </w:r>
      <w:r>
        <w:t>e</w:t>
      </w:r>
      <w:r>
        <w:t xml:space="preserve">reits früher geschriebenen Merkmalsregeln mit dem dort verwendeten Index in die Erzeugungsformel eingefügt, </w:t>
      </w:r>
      <w:r w:rsidR="00BA712A">
        <w:t>damit diese richtig zugeordnet sind und nac</w:t>
      </w:r>
      <w:r w:rsidR="00BA712A">
        <w:t>h</w:t>
      </w:r>
      <w:r w:rsidR="00BA712A">
        <w:t>gelesen werden können</w:t>
      </w:r>
      <w:r>
        <w:t>.)</w:t>
      </w:r>
      <w:r w:rsidR="00BA712A">
        <w:t xml:space="preserve"> Danach wird das Zeichen „</w:t>
      </w:r>
      <w:r w:rsidR="005D084A" w:rsidRPr="00E009F6">
        <w:rPr>
          <w:rFonts w:ascii="Cambria Math" w:hAnsi="Cambria Math" w:cs="Cambria Math"/>
          <w:color w:val="000000" w:themeColor="text1"/>
        </w:rPr>
        <w:t>∧</w:t>
      </w:r>
      <w:r w:rsidR="00BA712A">
        <w:t>“ (das logische Und-Zeichen) geschrieben.</w:t>
      </w:r>
    </w:p>
    <w:p w:rsidR="00BA712A" w:rsidRDefault="00BA712A" w:rsidP="00BA712A">
      <w:pPr>
        <w:pStyle w:val="Text"/>
      </w:pPr>
      <w:r w:rsidRPr="0071334B">
        <w:t xml:space="preserve">In Zeile </w:t>
      </w:r>
      <w:r w:rsidR="008742A7">
        <w:t>50</w:t>
      </w:r>
      <w:r>
        <w:t xml:space="preserve"> </w:t>
      </w:r>
      <w:r w:rsidRPr="0071334B">
        <w:t xml:space="preserve">wird die for-Schleife aus Zeile </w:t>
      </w:r>
      <w:r>
        <w:t>4</w:t>
      </w:r>
      <w:r w:rsidR="008C1769">
        <w:t>8</w:t>
      </w:r>
      <w:r>
        <w:t xml:space="preserve"> </w:t>
      </w:r>
      <w:r w:rsidRPr="0071334B">
        <w:t>beendet.</w:t>
      </w:r>
    </w:p>
    <w:p w:rsidR="00640FE5" w:rsidRDefault="00640FE5" w:rsidP="00640FE5">
      <w:pPr>
        <w:pStyle w:val="Text"/>
      </w:pPr>
      <w:r w:rsidRPr="00DB0613">
        <w:t xml:space="preserve">Zeile </w:t>
      </w:r>
      <w:r w:rsidR="008742A7">
        <w:t>51</w:t>
      </w:r>
      <w:r>
        <w:t xml:space="preserve"> </w:t>
      </w:r>
      <w:r w:rsidRPr="00DB0613">
        <w:t xml:space="preserve">gibt an, dass die eingerückt folgende Schleife für die Variable </w:t>
      </w:r>
      <w:r>
        <w:rPr>
          <w:i/>
          <w:iCs/>
        </w:rPr>
        <w:t>n</w:t>
      </w:r>
      <w:r w:rsidRPr="00DB0613">
        <w:t xml:space="preserve"> von 1 bis zu</w:t>
      </w:r>
      <w:r w:rsidR="007879B1">
        <w:t xml:space="preserve"> </w:t>
      </w:r>
      <w:r w:rsidR="007879B1" w:rsidRPr="00401D8A">
        <w:rPr>
          <w:color w:val="000000" w:themeColor="text1"/>
        </w:rPr>
        <w:t>|</w:t>
      </w:r>
      <w:r w:rsidR="007879B1" w:rsidRPr="00401D8A">
        <w:rPr>
          <w:i/>
          <w:color w:val="000000" w:themeColor="text1"/>
        </w:rPr>
        <w:t>P</w:t>
      </w:r>
      <w:r w:rsidR="007879B1" w:rsidRPr="00401D8A">
        <w:rPr>
          <w:color w:val="000000" w:themeColor="text1"/>
        </w:rPr>
        <w:t>|</w:t>
      </w:r>
      <w:r w:rsidR="007879B1">
        <w:rPr>
          <w:color w:val="000000" w:themeColor="text1"/>
        </w:rPr>
        <w:t xml:space="preserve"> </w:t>
      </w:r>
      <w:r w:rsidR="009D0600">
        <w:rPr>
          <w:rFonts w:cs="Times New Roman"/>
          <w:color w:val="000000" w:themeColor="text1"/>
        </w:rPr>
        <w:t>−</w:t>
      </w:r>
      <w:r w:rsidR="007879B1">
        <w:rPr>
          <w:rFonts w:cs="Times New Roman"/>
          <w:color w:val="000000" w:themeColor="text1"/>
        </w:rPr>
        <w:t xml:space="preserve"> </w:t>
      </w:r>
      <w:r w:rsidR="007879B1" w:rsidRPr="00401D8A">
        <w:rPr>
          <w:color w:val="000000" w:themeColor="text1"/>
        </w:rPr>
        <w:t>|</w:t>
      </w:r>
      <w:r w:rsidR="007879B1" w:rsidRPr="006A39A2">
        <w:rPr>
          <w:i/>
          <w:color w:val="000000" w:themeColor="text1"/>
        </w:rPr>
        <w:t>B</w:t>
      </w:r>
      <w:r w:rsidR="007879B1" w:rsidRPr="006A39A2">
        <w:rPr>
          <w:i/>
          <w:color w:val="000000" w:themeColor="text1"/>
          <w:vertAlign w:val="superscript"/>
        </w:rPr>
        <w:t>G</w:t>
      </w:r>
      <w:r w:rsidR="007879B1" w:rsidRPr="00401D8A">
        <w:rPr>
          <w:color w:val="000000" w:themeColor="text1"/>
        </w:rPr>
        <w:t>|</w:t>
      </w:r>
      <w:r w:rsidR="007879B1">
        <w:t xml:space="preserve"> (Anzahl der Elemente der verwendeten Merkmalsregeln </w:t>
      </w:r>
      <w:r>
        <w:rPr>
          <w:i/>
          <w:iCs/>
        </w:rPr>
        <w:t>P</w:t>
      </w:r>
      <w:r w:rsidRPr="00DB0613">
        <w:t xml:space="preserve"> </w:t>
      </w:r>
      <w:r w:rsidR="007879B1">
        <w:t xml:space="preserve">minus Anzahl der Elemente der bereits früher geschriebenen Merkmalsregeln </w:t>
      </w:r>
      <w:r w:rsidR="007879B1" w:rsidRPr="006A39A2">
        <w:rPr>
          <w:i/>
          <w:color w:val="000000" w:themeColor="text1"/>
        </w:rPr>
        <w:t>B</w:t>
      </w:r>
      <w:r w:rsidR="007879B1" w:rsidRPr="006A39A2">
        <w:rPr>
          <w:i/>
          <w:color w:val="000000" w:themeColor="text1"/>
          <w:vertAlign w:val="superscript"/>
        </w:rPr>
        <w:t>G</w:t>
      </w:r>
      <w:r w:rsidR="007879B1">
        <w:t xml:space="preserve">) </w:t>
      </w:r>
      <w:r w:rsidRPr="00DB0613">
        <w:t>ausgeführt wird.</w:t>
      </w:r>
    </w:p>
    <w:p w:rsidR="00640FE5" w:rsidRDefault="00640FE5" w:rsidP="00E26F57">
      <w:pPr>
        <w:pStyle w:val="Text"/>
      </w:pPr>
      <w:r>
        <w:t xml:space="preserve">In Zeile </w:t>
      </w:r>
      <w:r w:rsidR="008742A7">
        <w:t>52</w:t>
      </w:r>
      <w:r>
        <w:t xml:space="preserve"> wird </w:t>
      </w:r>
      <w:r w:rsidR="00960EDC">
        <w:t>mit der</w:t>
      </w:r>
      <w:r>
        <w:t xml:space="preserve"> Funktion </w:t>
      </w:r>
      <w:r w:rsidRPr="00337D36">
        <w:rPr>
          <w:i/>
        </w:rPr>
        <w:t>write</w:t>
      </w:r>
      <w:r>
        <w:t xml:space="preserve"> </w:t>
      </w:r>
      <w:r w:rsidR="004C5240">
        <w:t>der Bezeichner für Merkmalsregeln „</w:t>
      </w:r>
      <w:r w:rsidR="004C5240">
        <w:rPr>
          <w:i/>
          <w:color w:val="000000" w:themeColor="text1"/>
        </w:rPr>
        <w:t>B</w:t>
      </w:r>
      <w:r w:rsidR="004C5240">
        <w:t xml:space="preserve">“ mit einem Index geschrieben, der sich als </w:t>
      </w:r>
      <w:r w:rsidR="001C0C6A">
        <w:rPr>
          <w:color w:val="000000" w:themeColor="text1"/>
        </w:rPr>
        <w:t>(</w:t>
      </w:r>
      <w:r w:rsidR="001C0C6A" w:rsidRPr="00253434">
        <w:rPr>
          <w:i/>
          <w:color w:val="000000" w:themeColor="text1"/>
        </w:rPr>
        <w:t>w</w:t>
      </w:r>
      <w:r w:rsidR="001C0C6A" w:rsidRPr="00253434">
        <w:rPr>
          <w:color w:val="000000" w:themeColor="text1"/>
        </w:rPr>
        <w:t xml:space="preserve"> </w:t>
      </w:r>
      <w:r w:rsidR="001C0C6A" w:rsidRPr="003768FC">
        <w:rPr>
          <w:rFonts w:cs="Times New Roman"/>
          <w:color w:val="000000" w:themeColor="text1"/>
        </w:rPr>
        <w:t>−</w:t>
      </w:r>
      <w:r w:rsidR="001C0C6A" w:rsidRPr="00253434">
        <w:rPr>
          <w:color w:val="000000" w:themeColor="text1"/>
        </w:rPr>
        <w:t xml:space="preserve"> </w:t>
      </w:r>
      <w:r w:rsidR="001C0C6A">
        <w:rPr>
          <w:color w:val="000000" w:themeColor="text1"/>
        </w:rPr>
        <w:t>(</w:t>
      </w:r>
      <w:r w:rsidR="001C0C6A" w:rsidRPr="00401D8A">
        <w:rPr>
          <w:color w:val="000000" w:themeColor="text1"/>
        </w:rPr>
        <w:t>|</w:t>
      </w:r>
      <w:r w:rsidR="001C0C6A" w:rsidRPr="00401D8A">
        <w:rPr>
          <w:i/>
          <w:color w:val="000000" w:themeColor="text1"/>
        </w:rPr>
        <w:t>P</w:t>
      </w:r>
      <w:r w:rsidR="001C0C6A" w:rsidRPr="00401D8A">
        <w:rPr>
          <w:color w:val="000000" w:themeColor="text1"/>
        </w:rPr>
        <w:t>|</w:t>
      </w:r>
      <w:r w:rsidR="001C0C6A">
        <w:rPr>
          <w:color w:val="000000" w:themeColor="text1"/>
        </w:rPr>
        <w:t xml:space="preserve"> </w:t>
      </w:r>
      <w:r w:rsidR="001C0C6A" w:rsidRPr="00CE3988">
        <w:rPr>
          <w:rFonts w:cs="Times New Roman"/>
          <w:color w:val="000000" w:themeColor="text1"/>
        </w:rPr>
        <w:t>−</w:t>
      </w:r>
      <w:r w:rsidR="001C0C6A">
        <w:rPr>
          <w:rFonts w:cs="Times New Roman"/>
          <w:color w:val="000000" w:themeColor="text1"/>
        </w:rPr>
        <w:t xml:space="preserve"> </w:t>
      </w:r>
      <w:r w:rsidR="001C0C6A" w:rsidRPr="00401D8A">
        <w:rPr>
          <w:color w:val="000000" w:themeColor="text1"/>
        </w:rPr>
        <w:t>|</w:t>
      </w:r>
      <w:r w:rsidR="001C0C6A" w:rsidRPr="006A39A2">
        <w:rPr>
          <w:i/>
          <w:color w:val="000000" w:themeColor="text1"/>
        </w:rPr>
        <w:t>B</w:t>
      </w:r>
      <w:r w:rsidR="001C0C6A" w:rsidRPr="006A39A2">
        <w:rPr>
          <w:i/>
          <w:color w:val="000000" w:themeColor="text1"/>
          <w:vertAlign w:val="superscript"/>
        </w:rPr>
        <w:t>G</w:t>
      </w:r>
      <w:r w:rsidR="001C0C6A" w:rsidRPr="00401D8A">
        <w:rPr>
          <w:color w:val="000000" w:themeColor="text1"/>
        </w:rPr>
        <w:t>|</w:t>
      </w:r>
      <w:r w:rsidR="001C0C6A">
        <w:rPr>
          <w:color w:val="000000" w:themeColor="text1"/>
        </w:rPr>
        <w:t>))</w:t>
      </w:r>
      <w:r w:rsidR="001C0C6A" w:rsidRPr="00253434">
        <w:rPr>
          <w:color w:val="000000" w:themeColor="text1"/>
        </w:rPr>
        <w:t xml:space="preserve"> + </w:t>
      </w:r>
      <w:r w:rsidR="001C0C6A">
        <w:rPr>
          <w:i/>
          <w:color w:val="000000" w:themeColor="text1"/>
        </w:rPr>
        <w:t>n</w:t>
      </w:r>
      <w:r w:rsidR="004C5240">
        <w:t xml:space="preserve"> errec</w:t>
      </w:r>
      <w:r w:rsidR="004C5240">
        <w:t>h</w:t>
      </w:r>
      <w:r w:rsidR="004C5240">
        <w:t>net</w:t>
      </w:r>
      <w:r w:rsidR="00E26F57">
        <w:t>: V</w:t>
      </w:r>
      <w:r w:rsidR="004C5240">
        <w:t xml:space="preserve">on </w:t>
      </w:r>
      <w:r w:rsidR="004C5240" w:rsidRPr="004C5240">
        <w:rPr>
          <w:i/>
        </w:rPr>
        <w:t>w</w:t>
      </w:r>
      <w:r w:rsidR="004C5240">
        <w:t xml:space="preserve">, dem Zähler der </w:t>
      </w:r>
      <w:r w:rsidR="001C0C6A">
        <w:t xml:space="preserve">insgesamt </w:t>
      </w:r>
      <w:r w:rsidR="00FE73F3">
        <w:t>geschriebenen</w:t>
      </w:r>
      <w:r w:rsidR="004C5240">
        <w:t xml:space="preserve"> Merkmalsre</w:t>
      </w:r>
      <w:r w:rsidR="00FE73F3">
        <w:t xml:space="preserve">geln, wird die Anzahl der </w:t>
      </w:r>
      <w:r w:rsidR="001C0C6A">
        <w:t xml:space="preserve">im aktuellen </w:t>
      </w:r>
      <w:r w:rsidR="00E26F57">
        <w:t>Funktionsa</w:t>
      </w:r>
      <w:r w:rsidR="001C0C6A">
        <w:t xml:space="preserve">ufruf geschriebenen </w:t>
      </w:r>
      <w:r w:rsidR="00E44682">
        <w:t xml:space="preserve">Merkmalsregeln (die sich errechnet als die Anzahl der insgesamt verwendeten minus der bereits früher geschriebenen) </w:t>
      </w:r>
      <w:r w:rsidR="005A6B63">
        <w:t>abgezogen</w:t>
      </w:r>
      <w:r w:rsidR="00E26F57">
        <w:t xml:space="preserve"> und der Zähler </w:t>
      </w:r>
      <w:r w:rsidR="00E26F57" w:rsidRPr="005A6B63">
        <w:rPr>
          <w:i/>
        </w:rPr>
        <w:t>n</w:t>
      </w:r>
      <w:r w:rsidR="00E26F57">
        <w:t xml:space="preserve"> wieder dazu gezählt. </w:t>
      </w:r>
      <w:r w:rsidR="00DC49C3">
        <w:t>Danach wird „</w:t>
      </w:r>
      <w:r w:rsidR="005D084A" w:rsidRPr="00E009F6">
        <w:rPr>
          <w:rFonts w:ascii="Cambria Math" w:hAnsi="Cambria Math" w:cs="Cambria Math"/>
          <w:color w:val="000000" w:themeColor="text1"/>
        </w:rPr>
        <w:t>∧</w:t>
      </w:r>
      <w:r w:rsidR="00DC49C3">
        <w:t>“ geschrieben.</w:t>
      </w:r>
    </w:p>
    <w:p w:rsidR="00DC49C3" w:rsidRDefault="00DC49C3" w:rsidP="00E26F57">
      <w:pPr>
        <w:pStyle w:val="Text"/>
      </w:pPr>
      <w:r w:rsidRPr="0071334B">
        <w:t xml:space="preserve">In Zeile </w:t>
      </w:r>
      <w:r>
        <w:t>5</w:t>
      </w:r>
      <w:r w:rsidR="008742A7">
        <w:t>3</w:t>
      </w:r>
      <w:r>
        <w:t xml:space="preserve"> </w:t>
      </w:r>
      <w:r w:rsidRPr="0071334B">
        <w:t xml:space="preserve">wird die for-Schleife aus Zeile </w:t>
      </w:r>
      <w:r w:rsidR="008C1769">
        <w:t>51</w:t>
      </w:r>
      <w:r>
        <w:t xml:space="preserve"> </w:t>
      </w:r>
      <w:r w:rsidRPr="0071334B">
        <w:t>beendet.</w:t>
      </w:r>
    </w:p>
    <w:p w:rsidR="00E44682" w:rsidRDefault="005A6B63" w:rsidP="00640FE5">
      <w:pPr>
        <w:pStyle w:val="Text"/>
      </w:pPr>
      <w:r>
        <w:t xml:space="preserve">Beispiel: </w:t>
      </w:r>
      <w:r w:rsidR="00E44682">
        <w:t xml:space="preserve">Für </w:t>
      </w:r>
      <w:r w:rsidR="00E44682" w:rsidRPr="00401D8A">
        <w:rPr>
          <w:color w:val="000000" w:themeColor="text1"/>
        </w:rPr>
        <w:t>|</w:t>
      </w:r>
      <w:r w:rsidR="00E44682">
        <w:rPr>
          <w:i/>
        </w:rPr>
        <w:t>P</w:t>
      </w:r>
      <w:r w:rsidR="00E44682" w:rsidRPr="00401D8A">
        <w:rPr>
          <w:color w:val="000000" w:themeColor="text1"/>
        </w:rPr>
        <w:t>|</w:t>
      </w:r>
      <w:r w:rsidR="00E44682">
        <w:t xml:space="preserve"> = </w:t>
      </w:r>
      <w:r w:rsidR="00E323A6">
        <w:t>3</w:t>
      </w:r>
      <w:r w:rsidR="00E44682">
        <w:t xml:space="preserve"> (es w</w:t>
      </w:r>
      <w:r w:rsidR="0078247C">
        <w:t>e</w:t>
      </w:r>
      <w:r w:rsidR="00E44682">
        <w:t xml:space="preserve">rden </w:t>
      </w:r>
      <w:r w:rsidR="00965E41">
        <w:t>drei</w:t>
      </w:r>
      <w:r w:rsidR="00E44682">
        <w:t xml:space="preserve"> Merkmalsregeln verwendet), |</w:t>
      </w:r>
      <w:r w:rsidR="00E44682" w:rsidRPr="006A39A2">
        <w:rPr>
          <w:i/>
          <w:color w:val="000000" w:themeColor="text1"/>
        </w:rPr>
        <w:t>B</w:t>
      </w:r>
      <w:r w:rsidR="00E44682" w:rsidRPr="006A39A2">
        <w:rPr>
          <w:i/>
          <w:color w:val="000000" w:themeColor="text1"/>
          <w:vertAlign w:val="superscript"/>
        </w:rPr>
        <w:t>G</w:t>
      </w:r>
      <w:r w:rsidR="00E44682">
        <w:t xml:space="preserve">| = </w:t>
      </w:r>
      <w:r w:rsidR="00E323A6">
        <w:t>1</w:t>
      </w:r>
      <w:r w:rsidR="00E44682">
        <w:t xml:space="preserve"> (es wurde </w:t>
      </w:r>
      <w:r w:rsidR="00965E41">
        <w:t>eine dieser</w:t>
      </w:r>
      <w:r w:rsidR="00E44682">
        <w:t xml:space="preserve"> Merkmalsre</w:t>
      </w:r>
      <w:r w:rsidR="001E2D0D">
        <w:t>gel</w:t>
      </w:r>
      <w:r w:rsidR="00965E41">
        <w:t>n</w:t>
      </w:r>
      <w:r w:rsidR="001E2D0D">
        <w:t xml:space="preserve"> früher geschrieben, mit </w:t>
      </w:r>
      <w:r w:rsidR="00E323A6">
        <w:t xml:space="preserve">dem Index </w:t>
      </w:r>
      <w:r w:rsidR="001E2D0D">
        <w:rPr>
          <w:i/>
          <w:color w:val="000000" w:themeColor="text1"/>
        </w:rPr>
        <w:t>B</w:t>
      </w:r>
      <w:r w:rsidR="001E2D0D" w:rsidRPr="006A39A2">
        <w:rPr>
          <w:i/>
          <w:color w:val="000000" w:themeColor="text1"/>
          <w:vertAlign w:val="superscript"/>
        </w:rPr>
        <w:t>G</w:t>
      </w:r>
      <w:r w:rsidR="00E44682">
        <w:rPr>
          <w:color w:val="000000" w:themeColor="text1"/>
        </w:rPr>
        <w:t xml:space="preserve"> = </w:t>
      </w:r>
      <w:r w:rsidR="001E2D0D">
        <w:rPr>
          <w:color w:val="000000" w:themeColor="text1"/>
        </w:rPr>
        <w:t>{2}</w:t>
      </w:r>
      <w:r w:rsidR="00E44682">
        <w:rPr>
          <w:color w:val="000000" w:themeColor="text1"/>
        </w:rPr>
        <w:t xml:space="preserve">), </w:t>
      </w:r>
      <w:r w:rsidR="00E44682" w:rsidRPr="00E44682">
        <w:rPr>
          <w:i/>
          <w:color w:val="000000" w:themeColor="text1"/>
        </w:rPr>
        <w:t>w</w:t>
      </w:r>
      <w:r w:rsidR="00E44682">
        <w:rPr>
          <w:color w:val="000000" w:themeColor="text1"/>
        </w:rPr>
        <w:t xml:space="preserve"> = </w:t>
      </w:r>
      <w:r w:rsidR="001E2D0D">
        <w:rPr>
          <w:color w:val="000000" w:themeColor="text1"/>
        </w:rPr>
        <w:t>1</w:t>
      </w:r>
      <w:r w:rsidR="00CC156D">
        <w:rPr>
          <w:color w:val="000000" w:themeColor="text1"/>
        </w:rPr>
        <w:t>7</w:t>
      </w:r>
      <w:r w:rsidR="00E44682">
        <w:rPr>
          <w:color w:val="000000" w:themeColor="text1"/>
        </w:rPr>
        <w:t xml:space="preserve"> (insgesamt wurden </w:t>
      </w:r>
      <w:r w:rsidR="001E2D0D">
        <w:rPr>
          <w:color w:val="000000" w:themeColor="text1"/>
        </w:rPr>
        <w:t>1</w:t>
      </w:r>
      <w:r w:rsidR="00CC156D">
        <w:rPr>
          <w:color w:val="000000" w:themeColor="text1"/>
        </w:rPr>
        <w:t>7</w:t>
      </w:r>
      <w:r w:rsidR="00E44682">
        <w:rPr>
          <w:color w:val="000000" w:themeColor="text1"/>
        </w:rPr>
        <w:t xml:space="preserve"> Merkmalsregeln geschrieben, inklusive der im aktuellen Funktionsaufruf in Zeile </w:t>
      </w:r>
      <w:r w:rsidR="00547300">
        <w:rPr>
          <w:color w:val="000000" w:themeColor="text1"/>
        </w:rPr>
        <w:t>13</w:t>
      </w:r>
      <w:r w:rsidR="00E44682">
        <w:rPr>
          <w:color w:val="000000" w:themeColor="text1"/>
        </w:rPr>
        <w:t xml:space="preserve"> geschriebenen)</w:t>
      </w:r>
      <w:r w:rsidR="00E44682">
        <w:t>, ergibt sich:</w:t>
      </w:r>
    </w:p>
    <w:p w:rsidR="001E2D0D" w:rsidRDefault="00E44682" w:rsidP="00D17045">
      <w:pPr>
        <w:pStyle w:val="Formel"/>
      </w:pPr>
      <w:r>
        <w:rPr>
          <w:i/>
        </w:rPr>
        <w:t>B</w:t>
      </w:r>
      <w:r w:rsidR="001E2D0D">
        <w:rPr>
          <w:vertAlign w:val="subscript"/>
        </w:rPr>
        <w:t>2</w:t>
      </w:r>
      <w:r>
        <w:t xml:space="preserve"> </w:t>
      </w:r>
      <w:r>
        <w:rPr>
          <w:rFonts w:ascii="Cambria Math" w:hAnsi="Cambria Math" w:cs="Cambria Math"/>
          <w:color w:val="000000" w:themeColor="text1"/>
        </w:rPr>
        <w:t>∧</w:t>
      </w:r>
      <w:r w:rsidR="00F34F86">
        <w:rPr>
          <w:rFonts w:cs="Times New Roman"/>
          <w:color w:val="000000" w:themeColor="text1"/>
        </w:rPr>
        <w:t xml:space="preserve"> </w:t>
      </w:r>
      <w:r w:rsidR="00F34F86">
        <w:rPr>
          <w:i/>
        </w:rPr>
        <w:t>B</w:t>
      </w:r>
      <w:r w:rsidR="00F34F86">
        <w:rPr>
          <w:vertAlign w:val="subscript"/>
        </w:rPr>
        <w:t>16</w:t>
      </w:r>
      <w:r w:rsidR="00F34F86">
        <w:t xml:space="preserve"> </w:t>
      </w:r>
      <w:r w:rsidR="00F34F86">
        <w:rPr>
          <w:rFonts w:ascii="Cambria Math" w:hAnsi="Cambria Math" w:cs="Cambria Math"/>
          <w:color w:val="000000" w:themeColor="text1"/>
        </w:rPr>
        <w:t>∧</w:t>
      </w:r>
      <w:r w:rsidR="00F34F86">
        <w:rPr>
          <w:rFonts w:cs="Times New Roman"/>
          <w:color w:val="000000" w:themeColor="text1"/>
        </w:rPr>
        <w:t xml:space="preserve"> </w:t>
      </w:r>
      <w:r w:rsidR="00F34F86">
        <w:rPr>
          <w:i/>
        </w:rPr>
        <w:t>B</w:t>
      </w:r>
      <w:r w:rsidR="00F34F86">
        <w:rPr>
          <w:vertAlign w:val="subscript"/>
        </w:rPr>
        <w:t>17</w:t>
      </w:r>
      <w:r w:rsidR="00F34F86">
        <w:t xml:space="preserve"> </w:t>
      </w:r>
      <w:r w:rsidR="00F34F86">
        <w:rPr>
          <w:rFonts w:ascii="Cambria Math" w:hAnsi="Cambria Math" w:cs="Cambria Math"/>
          <w:color w:val="000000" w:themeColor="text1"/>
        </w:rPr>
        <w:t>∧</w:t>
      </w:r>
    </w:p>
    <w:p w:rsidR="00DC49C3" w:rsidRDefault="00DC49C3" w:rsidP="00D17045">
      <w:pPr>
        <w:pStyle w:val="Text"/>
        <w:ind w:firstLine="0"/>
        <w:rPr>
          <w:color w:val="000000" w:themeColor="text1"/>
        </w:rPr>
      </w:pPr>
      <w:r>
        <w:t>In Zeile 5</w:t>
      </w:r>
      <w:r w:rsidR="008742A7">
        <w:t>4</w:t>
      </w:r>
      <w:r>
        <w:t xml:space="preserve"> wird </w:t>
      </w:r>
      <w:r>
        <w:rPr>
          <w:color w:val="000000" w:themeColor="text1"/>
        </w:rPr>
        <w:t xml:space="preserve">die Menge </w:t>
      </w:r>
      <w:r>
        <w:rPr>
          <w:i/>
          <w:color w:val="000000" w:themeColor="text1"/>
        </w:rPr>
        <w:t>Er</w:t>
      </w:r>
      <w:r w:rsidRPr="006A39A2">
        <w:rPr>
          <w:i/>
          <w:color w:val="000000" w:themeColor="text1"/>
          <w:vertAlign w:val="superscript"/>
        </w:rPr>
        <w:t>G</w:t>
      </w:r>
      <w:r>
        <w:rPr>
          <w:color w:val="000000" w:themeColor="text1"/>
        </w:rPr>
        <w:t xml:space="preserve"> sortiert.</w:t>
      </w:r>
    </w:p>
    <w:p w:rsidR="00DC49C3" w:rsidRDefault="00DC49C3" w:rsidP="00DC49C3">
      <w:pPr>
        <w:pStyle w:val="Text"/>
      </w:pPr>
      <w:r w:rsidRPr="00DB0613">
        <w:t xml:space="preserve">Zeile </w:t>
      </w:r>
      <w:r>
        <w:t>5</w:t>
      </w:r>
      <w:r w:rsidR="008742A7">
        <w:t>5</w:t>
      </w:r>
      <w:r>
        <w:t xml:space="preserve"> </w:t>
      </w:r>
      <w:r w:rsidRPr="00DB0613">
        <w:t xml:space="preserve">gibt an, dass die eingerückt folgende Schleife für die Variable </w:t>
      </w:r>
      <w:r>
        <w:rPr>
          <w:i/>
          <w:iCs/>
        </w:rPr>
        <w:t>n</w:t>
      </w:r>
      <w:r w:rsidRPr="00DB0613">
        <w:t xml:space="preserve"> von 1 bis zur Anzahl der Elemente von </w:t>
      </w:r>
      <w:r>
        <w:rPr>
          <w:i/>
          <w:color w:val="000000" w:themeColor="text1"/>
        </w:rPr>
        <w:t>Er</w:t>
      </w:r>
      <w:r w:rsidRPr="006A39A2">
        <w:rPr>
          <w:i/>
          <w:color w:val="000000" w:themeColor="text1"/>
          <w:vertAlign w:val="superscript"/>
        </w:rPr>
        <w:t>G</w:t>
      </w:r>
      <w:r w:rsidRPr="00DB0613">
        <w:t xml:space="preserve"> ausgeführt wird.</w:t>
      </w:r>
    </w:p>
    <w:p w:rsidR="00DC49C3" w:rsidRDefault="00DC49C3" w:rsidP="00DC49C3">
      <w:pPr>
        <w:pStyle w:val="Text"/>
      </w:pPr>
      <w:r>
        <w:t>In Zeile 5</w:t>
      </w:r>
      <w:r w:rsidR="008742A7">
        <w:t>6</w:t>
      </w:r>
      <w:r>
        <w:t xml:space="preserve"> wird </w:t>
      </w:r>
      <w:r w:rsidR="00960EDC">
        <w:t>mit der</w:t>
      </w:r>
      <w:r w:rsidR="00337D36">
        <w:t xml:space="preserve"> Funktion </w:t>
      </w:r>
      <w:r w:rsidRPr="00337D36">
        <w:rPr>
          <w:i/>
        </w:rPr>
        <w:t>write</w:t>
      </w:r>
      <w:r>
        <w:t xml:space="preserve"> der Bezeichner für </w:t>
      </w:r>
      <w:r w:rsidR="00960EDC">
        <w:t xml:space="preserve">Ergebnisse </w:t>
      </w:r>
      <w:r>
        <w:t>„</w:t>
      </w:r>
      <w:r>
        <w:rPr>
          <w:i/>
          <w:color w:val="000000" w:themeColor="text1"/>
        </w:rPr>
        <w:t>Er</w:t>
      </w:r>
      <w:r>
        <w:t xml:space="preserve">“ mit dem </w:t>
      </w:r>
      <w:r w:rsidRPr="006A39A2">
        <w:rPr>
          <w:i/>
        </w:rPr>
        <w:t>n</w:t>
      </w:r>
      <w:r>
        <w:t xml:space="preserve">ten Element aus </w:t>
      </w:r>
      <w:r>
        <w:rPr>
          <w:i/>
          <w:color w:val="000000" w:themeColor="text1"/>
        </w:rPr>
        <w:t>Er</w:t>
      </w:r>
      <w:r w:rsidRPr="006A39A2">
        <w:rPr>
          <w:i/>
          <w:color w:val="000000" w:themeColor="text1"/>
          <w:vertAlign w:val="superscript"/>
        </w:rPr>
        <w:t>G</w:t>
      </w:r>
      <w:r>
        <w:t xml:space="preserve"> als Index geschrieben. (Hier werden die bereits </w:t>
      </w:r>
      <w:r w:rsidR="00B422F4">
        <w:t xml:space="preserve">früher erzeugten und gleich geschriebenen </w:t>
      </w:r>
      <w:r>
        <w:t>Ergebnisse</w:t>
      </w:r>
      <w:r w:rsidR="00236CFD">
        <w:t xml:space="preserve"> mit dem dort verwend</w:t>
      </w:r>
      <w:r w:rsidR="00236CFD">
        <w:t>e</w:t>
      </w:r>
      <w:r w:rsidR="00236CFD">
        <w:t xml:space="preserve">ten Index </w:t>
      </w:r>
      <w:r>
        <w:t>in die Erzeugungsformel eingefügt.) Danach wird „</w:t>
      </w:r>
      <w:r w:rsidR="005D084A" w:rsidRPr="00E009F6">
        <w:rPr>
          <w:rFonts w:ascii="Cambria Math" w:hAnsi="Cambria Math" w:cs="Cambria Math"/>
          <w:color w:val="000000" w:themeColor="text1"/>
        </w:rPr>
        <w:t>∧</w:t>
      </w:r>
      <w:r>
        <w:t>“</w:t>
      </w:r>
      <w:r w:rsidR="005A0936">
        <w:t xml:space="preserve"> </w:t>
      </w:r>
      <w:r>
        <w:t>geschrieben.</w:t>
      </w:r>
    </w:p>
    <w:p w:rsidR="00DC49C3" w:rsidRDefault="00DC49C3" w:rsidP="00DC49C3">
      <w:pPr>
        <w:pStyle w:val="Text"/>
      </w:pPr>
      <w:r w:rsidRPr="0071334B">
        <w:t xml:space="preserve">In Zeile </w:t>
      </w:r>
      <w:r>
        <w:t>5</w:t>
      </w:r>
      <w:r w:rsidR="008742A7">
        <w:t>7</w:t>
      </w:r>
      <w:r>
        <w:t xml:space="preserve"> </w:t>
      </w:r>
      <w:r w:rsidRPr="0071334B">
        <w:t xml:space="preserve">wird die for-Schleife aus Zeile </w:t>
      </w:r>
      <w:r>
        <w:t>5</w:t>
      </w:r>
      <w:r w:rsidR="008C1769">
        <w:t>5</w:t>
      </w:r>
      <w:r>
        <w:t xml:space="preserve"> </w:t>
      </w:r>
      <w:r w:rsidRPr="0071334B">
        <w:t>beendet.</w:t>
      </w:r>
    </w:p>
    <w:p w:rsidR="00F12B7C" w:rsidRDefault="00F12B7C" w:rsidP="00F12B7C">
      <w:pPr>
        <w:pStyle w:val="Text"/>
        <w:rPr>
          <w:color w:val="000000" w:themeColor="text1"/>
        </w:rPr>
      </w:pPr>
      <w:r>
        <w:t>In Zeile 5</w:t>
      </w:r>
      <w:r w:rsidR="008742A7">
        <w:t>8</w:t>
      </w:r>
      <w:r>
        <w:t xml:space="preserve"> wird </w:t>
      </w:r>
      <w:r>
        <w:rPr>
          <w:color w:val="000000" w:themeColor="text1"/>
        </w:rPr>
        <w:t xml:space="preserve">die Menge </w:t>
      </w:r>
      <w:r>
        <w:rPr>
          <w:i/>
          <w:color w:val="000000" w:themeColor="text1"/>
        </w:rPr>
        <w:t>Er</w:t>
      </w:r>
      <w:r w:rsidRPr="00F12B7C">
        <w:rPr>
          <w:color w:val="000000" w:themeColor="text1"/>
          <w:vertAlign w:val="subscript"/>
        </w:rPr>
        <w:t>(f)</w:t>
      </w:r>
      <w:r w:rsidRPr="006A39A2">
        <w:rPr>
          <w:i/>
          <w:color w:val="000000" w:themeColor="text1"/>
          <w:vertAlign w:val="superscript"/>
        </w:rPr>
        <w:t>G</w:t>
      </w:r>
      <w:r>
        <w:rPr>
          <w:color w:val="000000" w:themeColor="text1"/>
        </w:rPr>
        <w:t xml:space="preserve"> sortiert.</w:t>
      </w:r>
    </w:p>
    <w:p w:rsidR="00F12B7C" w:rsidRDefault="00F12B7C" w:rsidP="00F12B7C">
      <w:pPr>
        <w:pStyle w:val="Text"/>
      </w:pPr>
      <w:r w:rsidRPr="00DB0613">
        <w:lastRenderedPageBreak/>
        <w:t xml:space="preserve">Zeile </w:t>
      </w:r>
      <w:r>
        <w:t>5</w:t>
      </w:r>
      <w:r w:rsidR="008742A7">
        <w:t>9</w:t>
      </w:r>
      <w:r>
        <w:t xml:space="preserve"> </w:t>
      </w:r>
      <w:r w:rsidRPr="00DB0613">
        <w:t xml:space="preserve">gibt an, dass die eingerückt folgende Schleife für die Variable </w:t>
      </w:r>
      <w:r>
        <w:rPr>
          <w:i/>
          <w:iCs/>
        </w:rPr>
        <w:t>n</w:t>
      </w:r>
      <w:r w:rsidRPr="00DB0613">
        <w:t xml:space="preserve"> von 1 bis zur Anzahl der Elemente von </w:t>
      </w:r>
      <w:r>
        <w:rPr>
          <w:i/>
          <w:color w:val="000000" w:themeColor="text1"/>
        </w:rPr>
        <w:t>Er</w:t>
      </w:r>
      <w:r w:rsidRPr="00F12B7C">
        <w:rPr>
          <w:color w:val="000000" w:themeColor="text1"/>
          <w:vertAlign w:val="subscript"/>
        </w:rPr>
        <w:t>(f)</w:t>
      </w:r>
      <w:r w:rsidRPr="006A39A2">
        <w:rPr>
          <w:i/>
          <w:color w:val="000000" w:themeColor="text1"/>
          <w:vertAlign w:val="superscript"/>
        </w:rPr>
        <w:t>G</w:t>
      </w:r>
      <w:r w:rsidRPr="00DB0613">
        <w:t xml:space="preserve"> ausgeführt wird.</w:t>
      </w:r>
    </w:p>
    <w:p w:rsidR="00F12B7C" w:rsidRDefault="008742A7" w:rsidP="00F12B7C">
      <w:pPr>
        <w:pStyle w:val="Text"/>
      </w:pPr>
      <w:r>
        <w:t>In Zeile 60</w:t>
      </w:r>
      <w:r w:rsidR="00F12B7C">
        <w:t xml:space="preserve"> wird mit der Funktion </w:t>
      </w:r>
      <w:r w:rsidR="00F12B7C" w:rsidRPr="00337D36">
        <w:rPr>
          <w:i/>
        </w:rPr>
        <w:t>write</w:t>
      </w:r>
      <w:r w:rsidR="00F12B7C">
        <w:t xml:space="preserve"> der Bezeichner für früher erzeugte Ergebnisse „</w:t>
      </w:r>
      <w:r w:rsidR="00F12B7C" w:rsidRPr="00C24417">
        <w:rPr>
          <w:i/>
          <w:color w:val="000000" w:themeColor="text1"/>
        </w:rPr>
        <w:t>Er</w:t>
      </w:r>
      <w:r w:rsidR="00F12B7C" w:rsidRPr="00C24417">
        <w:rPr>
          <w:color w:val="000000" w:themeColor="text1"/>
          <w:vertAlign w:val="subscript"/>
        </w:rPr>
        <w:t>(f)</w:t>
      </w:r>
      <w:r w:rsidR="00F12B7C">
        <w:t xml:space="preserve">“ mit dem </w:t>
      </w:r>
      <w:r w:rsidR="00F12B7C" w:rsidRPr="006A39A2">
        <w:rPr>
          <w:i/>
        </w:rPr>
        <w:t>n</w:t>
      </w:r>
      <w:r w:rsidR="00F12B7C">
        <w:t xml:space="preserve">ten Element aus </w:t>
      </w:r>
      <w:r w:rsidR="00F12B7C">
        <w:rPr>
          <w:i/>
          <w:color w:val="000000" w:themeColor="text1"/>
        </w:rPr>
        <w:t>Er</w:t>
      </w:r>
      <w:r w:rsidR="00F12B7C" w:rsidRPr="00F12B7C">
        <w:rPr>
          <w:color w:val="000000" w:themeColor="text1"/>
          <w:vertAlign w:val="subscript"/>
        </w:rPr>
        <w:t>(f)</w:t>
      </w:r>
      <w:r w:rsidR="00F12B7C" w:rsidRPr="006A39A2">
        <w:rPr>
          <w:i/>
          <w:color w:val="000000" w:themeColor="text1"/>
          <w:vertAlign w:val="superscript"/>
        </w:rPr>
        <w:t>G</w:t>
      </w:r>
      <w:r w:rsidR="00F12B7C">
        <w:t xml:space="preserve"> als Index geschrieben. </w:t>
      </w:r>
      <w:r w:rsidR="00B422F4">
        <w:t xml:space="preserve">(Hier werden die bereits früher erzeugten und nicht sofort, sondern erst im weiteren Verlauf der Interpretation geschriebenen Ergebnisse </w:t>
      </w:r>
      <w:r w:rsidR="00F12B7C">
        <w:t>mit dem dort verwendeten Index in die Erzeugungsformel eingefügt.</w:t>
      </w:r>
      <w:r w:rsidR="00B422F4">
        <w:t xml:space="preserve"> Da diese Ergebnisse als „früher e</w:t>
      </w:r>
      <w:r w:rsidR="00B422F4">
        <w:t>r</w:t>
      </w:r>
      <w:r w:rsidR="00B422F4">
        <w:t xml:space="preserve">zeugte“ Ergebnisse geschrieben wurden, </w:t>
      </w:r>
      <w:r w:rsidR="003E58E1">
        <w:t xml:space="preserve">wurden sie nach der entsprechenden </w:t>
      </w:r>
      <w:r w:rsidR="00763351">
        <w:t xml:space="preserve">Nummerierung </w:t>
      </w:r>
      <w:r w:rsidR="003E58E1">
        <w:t>gezählt, mit „(f)“ vor dem Index</w:t>
      </w:r>
      <w:r w:rsidR="00B422F4">
        <w:t>.</w:t>
      </w:r>
      <w:r w:rsidR="00F12B7C">
        <w:t>) Danach wird „</w:t>
      </w:r>
      <w:r w:rsidR="005D084A" w:rsidRPr="00E009F6">
        <w:rPr>
          <w:rFonts w:ascii="Cambria Math" w:hAnsi="Cambria Math" w:cs="Cambria Math"/>
          <w:color w:val="000000" w:themeColor="text1"/>
        </w:rPr>
        <w:t>∧</w:t>
      </w:r>
      <w:r w:rsidR="00F12B7C">
        <w:t>“ geschrieben.</w:t>
      </w:r>
    </w:p>
    <w:p w:rsidR="00F12B7C" w:rsidRDefault="00F12B7C" w:rsidP="00F12B7C">
      <w:pPr>
        <w:pStyle w:val="Text"/>
      </w:pPr>
      <w:r w:rsidRPr="0071334B">
        <w:t xml:space="preserve">In Zeile </w:t>
      </w:r>
      <w:r w:rsidR="00A13222">
        <w:t>61</w:t>
      </w:r>
      <w:r>
        <w:t xml:space="preserve"> </w:t>
      </w:r>
      <w:r w:rsidRPr="0071334B">
        <w:t xml:space="preserve">wird die for-Schleife aus Zeile </w:t>
      </w:r>
      <w:r>
        <w:t>5</w:t>
      </w:r>
      <w:r w:rsidR="00DF5E44">
        <w:t>9</w:t>
      </w:r>
      <w:r>
        <w:t xml:space="preserve"> </w:t>
      </w:r>
      <w:r w:rsidRPr="0071334B">
        <w:t>beendet.</w:t>
      </w:r>
    </w:p>
    <w:p w:rsidR="00DC49C3" w:rsidRDefault="00DC49C3" w:rsidP="00DC49C3">
      <w:pPr>
        <w:pStyle w:val="Text"/>
      </w:pPr>
      <w:r w:rsidRPr="00DB0613">
        <w:t xml:space="preserve">Zeile </w:t>
      </w:r>
      <w:r w:rsidR="00A13222">
        <w:t>62</w:t>
      </w:r>
      <w:r>
        <w:t xml:space="preserve"> </w:t>
      </w:r>
      <w:r w:rsidRPr="00DB0613">
        <w:t xml:space="preserve">gibt an, dass die eingerückt folgende Schleife für die Variable </w:t>
      </w:r>
      <w:r>
        <w:rPr>
          <w:i/>
          <w:iCs/>
        </w:rPr>
        <w:t>n</w:t>
      </w:r>
      <w:r w:rsidRPr="00DB0613">
        <w:t xml:space="preserve"> von 1 bis zu</w:t>
      </w:r>
      <w:r>
        <w:t xml:space="preserve"> </w:t>
      </w:r>
      <w:r w:rsidRPr="00401D8A">
        <w:rPr>
          <w:color w:val="000000" w:themeColor="text1"/>
        </w:rPr>
        <w:t>|</w:t>
      </w:r>
      <w:r w:rsidR="005A0936">
        <w:rPr>
          <w:i/>
          <w:color w:val="000000" w:themeColor="text1"/>
        </w:rPr>
        <w:t>Q</w:t>
      </w:r>
      <w:r w:rsidRPr="00401D8A">
        <w:rPr>
          <w:color w:val="000000" w:themeColor="text1"/>
        </w:rPr>
        <w:t>|</w:t>
      </w:r>
      <w:r>
        <w:rPr>
          <w:color w:val="000000" w:themeColor="text1"/>
        </w:rPr>
        <w:t xml:space="preserve"> </w:t>
      </w:r>
      <w:r w:rsidR="009D0600">
        <w:rPr>
          <w:rFonts w:cs="Times New Roman"/>
          <w:color w:val="000000" w:themeColor="text1"/>
        </w:rPr>
        <w:t>−</w:t>
      </w:r>
      <w:r>
        <w:rPr>
          <w:rFonts w:cs="Times New Roman"/>
          <w:color w:val="000000" w:themeColor="text1"/>
        </w:rPr>
        <w:t xml:space="preserve"> </w:t>
      </w:r>
      <w:r w:rsidR="00091E54">
        <w:rPr>
          <w:rFonts w:cs="Times New Roman"/>
          <w:color w:val="000000" w:themeColor="text1"/>
        </w:rPr>
        <w:t>(</w:t>
      </w:r>
      <w:r w:rsidRPr="00401D8A">
        <w:rPr>
          <w:color w:val="000000" w:themeColor="text1"/>
        </w:rPr>
        <w:t>|</w:t>
      </w:r>
      <w:r w:rsidR="005A0936">
        <w:rPr>
          <w:i/>
          <w:color w:val="000000" w:themeColor="text1"/>
        </w:rPr>
        <w:t>Er</w:t>
      </w:r>
      <w:r w:rsidRPr="006A39A2">
        <w:rPr>
          <w:i/>
          <w:color w:val="000000" w:themeColor="text1"/>
          <w:vertAlign w:val="superscript"/>
        </w:rPr>
        <w:t>G</w:t>
      </w:r>
      <w:r w:rsidRPr="00401D8A">
        <w:rPr>
          <w:color w:val="000000" w:themeColor="text1"/>
        </w:rPr>
        <w:t>|</w:t>
      </w:r>
      <w:r w:rsidR="00091E54">
        <w:rPr>
          <w:color w:val="000000" w:themeColor="text1"/>
        </w:rPr>
        <w:t xml:space="preserve"> + </w:t>
      </w:r>
      <w:r w:rsidR="00091E54" w:rsidRPr="00401D8A">
        <w:rPr>
          <w:color w:val="000000" w:themeColor="text1"/>
        </w:rPr>
        <w:t>|</w:t>
      </w:r>
      <w:r w:rsidR="00091E54">
        <w:rPr>
          <w:i/>
          <w:color w:val="000000" w:themeColor="text1"/>
        </w:rPr>
        <w:t>Er</w:t>
      </w:r>
      <w:r w:rsidR="00091E54" w:rsidRPr="00C24417">
        <w:rPr>
          <w:color w:val="000000" w:themeColor="text1"/>
          <w:vertAlign w:val="subscript"/>
        </w:rPr>
        <w:t>(f)</w:t>
      </w:r>
      <w:r w:rsidR="00091E54" w:rsidRPr="006A39A2">
        <w:rPr>
          <w:i/>
          <w:color w:val="000000" w:themeColor="text1"/>
          <w:vertAlign w:val="superscript"/>
        </w:rPr>
        <w:t>G</w:t>
      </w:r>
      <w:r w:rsidR="00091E54" w:rsidRPr="00401D8A">
        <w:rPr>
          <w:color w:val="000000" w:themeColor="text1"/>
        </w:rPr>
        <w:t>|</w:t>
      </w:r>
      <w:r w:rsidR="00091E54">
        <w:rPr>
          <w:color w:val="000000" w:themeColor="text1"/>
        </w:rPr>
        <w:t>)</w:t>
      </w:r>
      <w:r>
        <w:t xml:space="preserve"> </w:t>
      </w:r>
      <w:r w:rsidR="003069F5">
        <w:t xml:space="preserve">ausgeführt wird </w:t>
      </w:r>
      <w:r>
        <w:t>(</w:t>
      </w:r>
      <w:r w:rsidR="003069F5">
        <w:t xml:space="preserve">hierbei ist </w:t>
      </w:r>
      <w:r w:rsidR="003069F5" w:rsidRPr="00401D8A">
        <w:rPr>
          <w:color w:val="000000" w:themeColor="text1"/>
        </w:rPr>
        <w:t>|</w:t>
      </w:r>
      <w:r w:rsidR="003069F5">
        <w:rPr>
          <w:i/>
          <w:color w:val="000000" w:themeColor="text1"/>
        </w:rPr>
        <w:t>Q</w:t>
      </w:r>
      <w:r w:rsidR="003069F5" w:rsidRPr="00401D8A">
        <w:rPr>
          <w:color w:val="000000" w:themeColor="text1"/>
        </w:rPr>
        <w:t>|</w:t>
      </w:r>
      <w:r w:rsidR="003069F5">
        <w:rPr>
          <w:color w:val="000000" w:themeColor="text1"/>
        </w:rPr>
        <w:t xml:space="preserve"> </w:t>
      </w:r>
      <w:r w:rsidR="003069F5">
        <w:t xml:space="preserve">die Anzahl der verwendeten Ergebnisse, </w:t>
      </w:r>
      <w:r w:rsidR="003069F5" w:rsidRPr="00401D8A">
        <w:rPr>
          <w:color w:val="000000" w:themeColor="text1"/>
        </w:rPr>
        <w:t>|</w:t>
      </w:r>
      <w:r w:rsidR="003069F5">
        <w:rPr>
          <w:i/>
          <w:color w:val="000000" w:themeColor="text1"/>
        </w:rPr>
        <w:t>Er</w:t>
      </w:r>
      <w:r w:rsidR="003069F5" w:rsidRPr="006A39A2">
        <w:rPr>
          <w:i/>
          <w:color w:val="000000" w:themeColor="text1"/>
          <w:vertAlign w:val="superscript"/>
        </w:rPr>
        <w:t>G</w:t>
      </w:r>
      <w:r w:rsidR="003069F5" w:rsidRPr="00401D8A">
        <w:rPr>
          <w:color w:val="000000" w:themeColor="text1"/>
        </w:rPr>
        <w:t>|</w:t>
      </w:r>
      <w:r w:rsidR="003069F5">
        <w:rPr>
          <w:color w:val="000000" w:themeColor="text1"/>
        </w:rPr>
        <w:t xml:space="preserve"> </w:t>
      </w:r>
      <w:r w:rsidR="003069F5">
        <w:t xml:space="preserve">die </w:t>
      </w:r>
      <w:r>
        <w:t xml:space="preserve">Anzahl der </w:t>
      </w:r>
      <w:r w:rsidR="00091E54">
        <w:t xml:space="preserve">früher erzeugten und gleich geschriebenen </w:t>
      </w:r>
      <w:r w:rsidR="005A0936">
        <w:t>Ergebnisse</w:t>
      </w:r>
      <w:r w:rsidR="003069F5">
        <w:t xml:space="preserve">, </w:t>
      </w:r>
      <w:r w:rsidR="00D86AC7" w:rsidRPr="00401D8A">
        <w:rPr>
          <w:color w:val="000000" w:themeColor="text1"/>
        </w:rPr>
        <w:t>|</w:t>
      </w:r>
      <w:r w:rsidR="00091E54">
        <w:rPr>
          <w:i/>
          <w:color w:val="000000" w:themeColor="text1"/>
        </w:rPr>
        <w:t>Er</w:t>
      </w:r>
      <w:r w:rsidR="00091E54" w:rsidRPr="00C24417">
        <w:rPr>
          <w:color w:val="000000" w:themeColor="text1"/>
          <w:vertAlign w:val="subscript"/>
        </w:rPr>
        <w:t>(f)</w:t>
      </w:r>
      <w:r w:rsidR="00091E54" w:rsidRPr="006A39A2">
        <w:rPr>
          <w:i/>
          <w:color w:val="000000" w:themeColor="text1"/>
          <w:vertAlign w:val="superscript"/>
        </w:rPr>
        <w:t>G</w:t>
      </w:r>
      <w:r w:rsidR="00D86AC7" w:rsidRPr="00401D8A">
        <w:rPr>
          <w:color w:val="000000" w:themeColor="text1"/>
        </w:rPr>
        <w:t>|</w:t>
      </w:r>
      <w:r w:rsidR="003069F5">
        <w:t xml:space="preserve"> die Anzahl der früher erzeugten und im we</w:t>
      </w:r>
      <w:r w:rsidR="003069F5">
        <w:t>i</w:t>
      </w:r>
      <w:r w:rsidR="003069F5">
        <w:t>teren Verlauf der Interpretation geschriebenen Ergebnisse)</w:t>
      </w:r>
      <w:r w:rsidRPr="00DB0613">
        <w:t>.</w:t>
      </w:r>
    </w:p>
    <w:p w:rsidR="00DC49C3" w:rsidRDefault="00DC49C3" w:rsidP="00DC49C3">
      <w:pPr>
        <w:pStyle w:val="Text"/>
      </w:pPr>
      <w:r>
        <w:t>In Zeile 6</w:t>
      </w:r>
      <w:r w:rsidR="00A13222">
        <w:t>3</w:t>
      </w:r>
      <w:r>
        <w:t xml:space="preserve"> wird </w:t>
      </w:r>
      <w:r w:rsidR="00960EDC">
        <w:t>mit der</w:t>
      </w:r>
      <w:r>
        <w:t xml:space="preserve"> Funktion </w:t>
      </w:r>
      <w:r w:rsidRPr="00337D36">
        <w:rPr>
          <w:i/>
        </w:rPr>
        <w:t>write</w:t>
      </w:r>
      <w:r>
        <w:t xml:space="preserve"> der Bezeichner für </w:t>
      </w:r>
      <w:r w:rsidR="00B422F4">
        <w:t xml:space="preserve">frühere </w:t>
      </w:r>
      <w:r w:rsidR="005A0936">
        <w:t>Erge</w:t>
      </w:r>
      <w:r w:rsidR="005A0936">
        <w:t>b</w:t>
      </w:r>
      <w:r w:rsidR="005A0936">
        <w:t xml:space="preserve">nisse </w:t>
      </w:r>
      <w:r>
        <w:t>„</w:t>
      </w:r>
      <w:r w:rsidR="005A0936">
        <w:rPr>
          <w:i/>
          <w:color w:val="000000" w:themeColor="text1"/>
        </w:rPr>
        <w:t>Er</w:t>
      </w:r>
      <w:r w:rsidR="00B422F4" w:rsidRPr="00C24417">
        <w:rPr>
          <w:color w:val="000000" w:themeColor="text1"/>
          <w:vertAlign w:val="subscript"/>
        </w:rPr>
        <w:t>(f)</w:t>
      </w:r>
      <w:r>
        <w:t xml:space="preserve">“ mit einem Index geschrieben, der sich als </w:t>
      </w:r>
      <w:r>
        <w:rPr>
          <w:color w:val="000000" w:themeColor="text1"/>
        </w:rPr>
        <w:t>(</w:t>
      </w:r>
      <w:r w:rsidR="005A0936">
        <w:rPr>
          <w:i/>
          <w:color w:val="000000" w:themeColor="text1"/>
        </w:rPr>
        <w:t>x</w:t>
      </w:r>
      <w:r w:rsidRPr="00253434">
        <w:rPr>
          <w:color w:val="000000" w:themeColor="text1"/>
        </w:rPr>
        <w:t xml:space="preserve"> </w:t>
      </w:r>
      <w:r w:rsidRPr="003768FC">
        <w:rPr>
          <w:rFonts w:cs="Times New Roman"/>
          <w:color w:val="000000" w:themeColor="text1"/>
        </w:rPr>
        <w:t>−</w:t>
      </w:r>
      <w:r w:rsidRPr="00253434">
        <w:rPr>
          <w:color w:val="000000" w:themeColor="text1"/>
        </w:rPr>
        <w:t xml:space="preserve"> </w:t>
      </w:r>
      <w:r>
        <w:rPr>
          <w:color w:val="000000" w:themeColor="text1"/>
        </w:rPr>
        <w:t>(</w:t>
      </w:r>
      <w:r w:rsidRPr="00401D8A">
        <w:rPr>
          <w:color w:val="000000" w:themeColor="text1"/>
        </w:rPr>
        <w:t>|</w:t>
      </w:r>
      <w:r w:rsidR="005A0936">
        <w:rPr>
          <w:i/>
          <w:color w:val="000000" w:themeColor="text1"/>
        </w:rPr>
        <w:t>Q</w:t>
      </w:r>
      <w:r w:rsidRPr="00401D8A">
        <w:rPr>
          <w:color w:val="000000" w:themeColor="text1"/>
        </w:rPr>
        <w:t>|</w:t>
      </w:r>
      <w:r>
        <w:rPr>
          <w:color w:val="000000" w:themeColor="text1"/>
        </w:rPr>
        <w:t xml:space="preserve"> </w:t>
      </w:r>
      <w:r w:rsidRPr="00CE3988">
        <w:rPr>
          <w:rFonts w:cs="Times New Roman"/>
          <w:color w:val="000000" w:themeColor="text1"/>
        </w:rPr>
        <w:t>−</w:t>
      </w:r>
      <w:r>
        <w:rPr>
          <w:rFonts w:cs="Times New Roman"/>
          <w:color w:val="000000" w:themeColor="text1"/>
        </w:rPr>
        <w:t xml:space="preserve"> </w:t>
      </w:r>
      <w:r w:rsidR="00CC156D">
        <w:rPr>
          <w:rFonts w:cs="Times New Roman"/>
          <w:color w:val="000000" w:themeColor="text1"/>
        </w:rPr>
        <w:t>(</w:t>
      </w:r>
      <w:r w:rsidR="00CC156D" w:rsidRPr="00401D8A">
        <w:rPr>
          <w:color w:val="000000" w:themeColor="text1"/>
        </w:rPr>
        <w:t>|</w:t>
      </w:r>
      <w:r w:rsidR="00CC156D">
        <w:rPr>
          <w:i/>
          <w:color w:val="000000" w:themeColor="text1"/>
        </w:rPr>
        <w:t>Er</w:t>
      </w:r>
      <w:r w:rsidR="00CC156D" w:rsidRPr="006A39A2">
        <w:rPr>
          <w:i/>
          <w:color w:val="000000" w:themeColor="text1"/>
          <w:vertAlign w:val="superscript"/>
        </w:rPr>
        <w:t>G</w:t>
      </w:r>
      <w:r w:rsidR="00CC156D" w:rsidRPr="00401D8A">
        <w:rPr>
          <w:color w:val="000000" w:themeColor="text1"/>
        </w:rPr>
        <w:t>|</w:t>
      </w:r>
      <w:r w:rsidR="00CC156D">
        <w:rPr>
          <w:color w:val="000000" w:themeColor="text1"/>
        </w:rPr>
        <w:t xml:space="preserve"> + </w:t>
      </w:r>
      <w:r w:rsidR="00CC156D" w:rsidRPr="00401D8A">
        <w:rPr>
          <w:color w:val="000000" w:themeColor="text1"/>
        </w:rPr>
        <w:t>|</w:t>
      </w:r>
      <w:r w:rsidR="00CC156D">
        <w:rPr>
          <w:i/>
          <w:color w:val="000000" w:themeColor="text1"/>
        </w:rPr>
        <w:t>Er</w:t>
      </w:r>
      <w:r w:rsidR="00CC156D" w:rsidRPr="00C24417">
        <w:rPr>
          <w:color w:val="000000" w:themeColor="text1"/>
          <w:vertAlign w:val="subscript"/>
        </w:rPr>
        <w:t>(f)</w:t>
      </w:r>
      <w:r w:rsidR="00CC156D" w:rsidRPr="006A39A2">
        <w:rPr>
          <w:i/>
          <w:color w:val="000000" w:themeColor="text1"/>
          <w:vertAlign w:val="superscript"/>
        </w:rPr>
        <w:t>G</w:t>
      </w:r>
      <w:r w:rsidR="00CC156D" w:rsidRPr="00401D8A">
        <w:rPr>
          <w:color w:val="000000" w:themeColor="text1"/>
        </w:rPr>
        <w:t>|</w:t>
      </w:r>
      <w:r w:rsidR="00CC156D">
        <w:rPr>
          <w:color w:val="000000" w:themeColor="text1"/>
        </w:rPr>
        <w:t>)</w:t>
      </w:r>
      <w:r>
        <w:rPr>
          <w:color w:val="000000" w:themeColor="text1"/>
        </w:rPr>
        <w:t>))</w:t>
      </w:r>
      <w:r w:rsidRPr="00253434">
        <w:rPr>
          <w:color w:val="000000" w:themeColor="text1"/>
        </w:rPr>
        <w:t xml:space="preserve"> + </w:t>
      </w:r>
      <w:r>
        <w:rPr>
          <w:i/>
          <w:color w:val="000000" w:themeColor="text1"/>
        </w:rPr>
        <w:t>n</w:t>
      </w:r>
      <w:r>
        <w:t xml:space="preserve"> errechnet. Danach wird „</w:t>
      </w:r>
      <w:r w:rsidR="005D084A" w:rsidRPr="00E009F6">
        <w:rPr>
          <w:rFonts w:ascii="Cambria Math" w:hAnsi="Cambria Math" w:cs="Cambria Math"/>
          <w:color w:val="000000" w:themeColor="text1"/>
        </w:rPr>
        <w:t>∧</w:t>
      </w:r>
      <w:r>
        <w:t>“ geschrieben.</w:t>
      </w:r>
    </w:p>
    <w:p w:rsidR="00DC49C3" w:rsidRDefault="00DC49C3" w:rsidP="00DC49C3">
      <w:pPr>
        <w:pStyle w:val="Text"/>
      </w:pPr>
      <w:r w:rsidRPr="0071334B">
        <w:t xml:space="preserve">In Zeile </w:t>
      </w:r>
      <w:r w:rsidR="00A13222">
        <w:t>64</w:t>
      </w:r>
      <w:r>
        <w:t xml:space="preserve"> </w:t>
      </w:r>
      <w:r w:rsidRPr="0071334B">
        <w:t xml:space="preserve">wird die for-Schleife aus Zeile </w:t>
      </w:r>
      <w:r w:rsidR="00A13222">
        <w:t>62</w:t>
      </w:r>
      <w:r>
        <w:t xml:space="preserve"> </w:t>
      </w:r>
      <w:r w:rsidRPr="0071334B">
        <w:t>beendet.</w:t>
      </w:r>
    </w:p>
    <w:p w:rsidR="00DC49C3" w:rsidRDefault="00DC49C3" w:rsidP="00DC49C3">
      <w:pPr>
        <w:pStyle w:val="Text"/>
      </w:pPr>
      <w:r>
        <w:t xml:space="preserve">Beispiel: Für </w:t>
      </w:r>
      <w:r w:rsidRPr="00401D8A">
        <w:rPr>
          <w:color w:val="000000" w:themeColor="text1"/>
        </w:rPr>
        <w:t>|</w:t>
      </w:r>
      <w:r w:rsidR="005A0936">
        <w:rPr>
          <w:i/>
        </w:rPr>
        <w:t>Q</w:t>
      </w:r>
      <w:r w:rsidRPr="00401D8A">
        <w:rPr>
          <w:color w:val="000000" w:themeColor="text1"/>
        </w:rPr>
        <w:t>|</w:t>
      </w:r>
      <w:r>
        <w:t xml:space="preserve"> = </w:t>
      </w:r>
      <w:r w:rsidR="00965E41">
        <w:t>4</w:t>
      </w:r>
      <w:r>
        <w:t xml:space="preserve"> (es w</w:t>
      </w:r>
      <w:r w:rsidR="0078247C">
        <w:t>e</w:t>
      </w:r>
      <w:r>
        <w:t xml:space="preserve">rden </w:t>
      </w:r>
      <w:r w:rsidR="00965E41">
        <w:t>vier</w:t>
      </w:r>
      <w:r>
        <w:t xml:space="preserve"> </w:t>
      </w:r>
      <w:r w:rsidR="005A0936">
        <w:t xml:space="preserve">Ergebnisse </w:t>
      </w:r>
      <w:r>
        <w:t xml:space="preserve">verwendet), </w:t>
      </w:r>
      <w:r w:rsidR="00956052">
        <w:t>|</w:t>
      </w:r>
      <w:r w:rsidR="005A0936">
        <w:rPr>
          <w:i/>
          <w:color w:val="000000" w:themeColor="text1"/>
        </w:rPr>
        <w:t>Er</w:t>
      </w:r>
      <w:r w:rsidRPr="006A39A2">
        <w:rPr>
          <w:i/>
          <w:color w:val="000000" w:themeColor="text1"/>
          <w:vertAlign w:val="superscript"/>
        </w:rPr>
        <w:t>G</w:t>
      </w:r>
      <w:r w:rsidR="0078247C">
        <w:t xml:space="preserve">| = 1 (es wurde </w:t>
      </w:r>
      <w:r w:rsidR="00965E41">
        <w:t xml:space="preserve">eines </w:t>
      </w:r>
      <w:r w:rsidR="0078247C">
        <w:t>dieser</w:t>
      </w:r>
      <w:r>
        <w:t xml:space="preserve"> </w:t>
      </w:r>
      <w:r w:rsidR="005A0936">
        <w:t>Ergebnis</w:t>
      </w:r>
      <w:r w:rsidR="0078247C">
        <w:t>se</w:t>
      </w:r>
      <w:r w:rsidR="005A0936">
        <w:t xml:space="preserve"> </w:t>
      </w:r>
      <w:r w:rsidR="0078247C">
        <w:t>im Verlauf der Interpretation als neues Erge</w:t>
      </w:r>
      <w:r w:rsidR="0078247C">
        <w:t>b</w:t>
      </w:r>
      <w:r w:rsidR="0078247C">
        <w:t xml:space="preserve">nis </w:t>
      </w:r>
      <w:r>
        <w:t xml:space="preserve">geschrieben, mit dem Index </w:t>
      </w:r>
      <w:r w:rsidR="00D16777">
        <w:rPr>
          <w:i/>
          <w:color w:val="000000" w:themeColor="text1"/>
        </w:rPr>
        <w:t>Er</w:t>
      </w:r>
      <w:r w:rsidR="00D16777" w:rsidRPr="006A39A2">
        <w:rPr>
          <w:i/>
          <w:color w:val="000000" w:themeColor="text1"/>
          <w:vertAlign w:val="superscript"/>
        </w:rPr>
        <w:t>G</w:t>
      </w:r>
      <w:r>
        <w:rPr>
          <w:color w:val="000000" w:themeColor="text1"/>
        </w:rPr>
        <w:t xml:space="preserve"> = </w:t>
      </w:r>
      <w:r w:rsidR="00D16777">
        <w:rPr>
          <w:color w:val="000000" w:themeColor="text1"/>
        </w:rPr>
        <w:t>{</w:t>
      </w:r>
      <w:r w:rsidR="005A0936">
        <w:rPr>
          <w:color w:val="000000" w:themeColor="text1"/>
        </w:rPr>
        <w:t>7</w:t>
      </w:r>
      <w:r w:rsidR="00D16777">
        <w:rPr>
          <w:color w:val="000000" w:themeColor="text1"/>
        </w:rPr>
        <w:t>}</w:t>
      </w:r>
      <w:r>
        <w:rPr>
          <w:color w:val="000000" w:themeColor="text1"/>
        </w:rPr>
        <w:t xml:space="preserve">), </w:t>
      </w:r>
      <w:r w:rsidR="00956052">
        <w:t>|</w:t>
      </w:r>
      <w:r w:rsidR="00956052">
        <w:rPr>
          <w:i/>
          <w:color w:val="000000" w:themeColor="text1"/>
        </w:rPr>
        <w:t>Er</w:t>
      </w:r>
      <w:r w:rsidR="00956052" w:rsidRPr="00C24417">
        <w:rPr>
          <w:color w:val="000000" w:themeColor="text1"/>
          <w:vertAlign w:val="subscript"/>
        </w:rPr>
        <w:t>(f)</w:t>
      </w:r>
      <w:r w:rsidR="00956052" w:rsidRPr="006A39A2">
        <w:rPr>
          <w:i/>
          <w:color w:val="000000" w:themeColor="text1"/>
          <w:vertAlign w:val="superscript"/>
        </w:rPr>
        <w:t>G</w:t>
      </w:r>
      <w:r w:rsidR="00956052">
        <w:t xml:space="preserve">| = </w:t>
      </w:r>
      <w:r w:rsidR="00F34F86">
        <w:t>2</w:t>
      </w:r>
      <w:r w:rsidR="00956052">
        <w:t xml:space="preserve"> (es wurde</w:t>
      </w:r>
      <w:r w:rsidR="00F34F86">
        <w:t>n</w:t>
      </w:r>
      <w:r w:rsidR="0078247C">
        <w:t xml:space="preserve"> </w:t>
      </w:r>
      <w:r w:rsidR="00965E41">
        <w:t>zwei</w:t>
      </w:r>
      <w:r w:rsidR="00F34F86">
        <w:t xml:space="preserve"> dieser</w:t>
      </w:r>
      <w:r w:rsidR="00956052">
        <w:t xml:space="preserve"> Ergebnis</w:t>
      </w:r>
      <w:r w:rsidR="00F34F86">
        <w:t>se</w:t>
      </w:r>
      <w:r w:rsidR="00956052">
        <w:t xml:space="preserve"> </w:t>
      </w:r>
      <w:r w:rsidR="0078247C">
        <w:t xml:space="preserve">im Verlauf der Interpretation </w:t>
      </w:r>
      <w:r w:rsidR="00956052">
        <w:t xml:space="preserve">als </w:t>
      </w:r>
      <w:r w:rsidR="0078247C">
        <w:t>frühere Ergebnis</w:t>
      </w:r>
      <w:r w:rsidR="00F34F86">
        <w:t>se</w:t>
      </w:r>
      <w:r w:rsidR="0078247C">
        <w:t xml:space="preserve"> </w:t>
      </w:r>
      <w:r w:rsidR="00956052">
        <w:t xml:space="preserve">geschrieben, mit den Indizes </w:t>
      </w:r>
      <w:r w:rsidR="00956052">
        <w:rPr>
          <w:i/>
          <w:color w:val="000000" w:themeColor="text1"/>
        </w:rPr>
        <w:t>Er</w:t>
      </w:r>
      <w:r w:rsidR="00956052" w:rsidRPr="00C24417">
        <w:rPr>
          <w:color w:val="000000" w:themeColor="text1"/>
          <w:vertAlign w:val="subscript"/>
        </w:rPr>
        <w:t>(f)</w:t>
      </w:r>
      <w:r w:rsidR="00956052" w:rsidRPr="006A39A2">
        <w:rPr>
          <w:i/>
          <w:color w:val="000000" w:themeColor="text1"/>
          <w:vertAlign w:val="superscript"/>
        </w:rPr>
        <w:t>G</w:t>
      </w:r>
      <w:r w:rsidR="00956052">
        <w:rPr>
          <w:color w:val="000000" w:themeColor="text1"/>
        </w:rPr>
        <w:t xml:space="preserve"> = {3, 7}), </w:t>
      </w:r>
      <w:r w:rsidR="001E2D0D">
        <w:rPr>
          <w:i/>
          <w:color w:val="000000" w:themeColor="text1"/>
        </w:rPr>
        <w:t>x</w:t>
      </w:r>
      <w:r>
        <w:rPr>
          <w:color w:val="000000" w:themeColor="text1"/>
        </w:rPr>
        <w:t xml:space="preserve"> = </w:t>
      </w:r>
      <w:r w:rsidR="001163F1">
        <w:rPr>
          <w:color w:val="000000" w:themeColor="text1"/>
        </w:rPr>
        <w:t>11</w:t>
      </w:r>
      <w:r>
        <w:rPr>
          <w:color w:val="000000" w:themeColor="text1"/>
        </w:rPr>
        <w:t xml:space="preserve"> (insgesamt wurden </w:t>
      </w:r>
      <w:r w:rsidR="001163F1">
        <w:rPr>
          <w:color w:val="000000" w:themeColor="text1"/>
        </w:rPr>
        <w:t>11</w:t>
      </w:r>
      <w:r>
        <w:rPr>
          <w:color w:val="000000" w:themeColor="text1"/>
        </w:rPr>
        <w:t xml:space="preserve"> </w:t>
      </w:r>
      <w:r w:rsidR="0078247C">
        <w:rPr>
          <w:color w:val="000000" w:themeColor="text1"/>
        </w:rPr>
        <w:t xml:space="preserve">frühere </w:t>
      </w:r>
      <w:r w:rsidR="005A0936">
        <w:rPr>
          <w:color w:val="000000" w:themeColor="text1"/>
        </w:rPr>
        <w:t xml:space="preserve">Ergebnisse </w:t>
      </w:r>
      <w:r>
        <w:rPr>
          <w:color w:val="000000" w:themeColor="text1"/>
        </w:rPr>
        <w:t xml:space="preserve">geschrieben, inklusive der im aktuellen Funktionsaufruf in Zeile </w:t>
      </w:r>
      <w:r w:rsidR="005A0936">
        <w:rPr>
          <w:color w:val="000000" w:themeColor="text1"/>
        </w:rPr>
        <w:t>2</w:t>
      </w:r>
      <w:r w:rsidR="00547300">
        <w:rPr>
          <w:color w:val="000000" w:themeColor="text1"/>
        </w:rPr>
        <w:t>9</w:t>
      </w:r>
      <w:r>
        <w:rPr>
          <w:color w:val="000000" w:themeColor="text1"/>
        </w:rPr>
        <w:t xml:space="preserve"> geschrieb</w:t>
      </w:r>
      <w:r>
        <w:rPr>
          <w:color w:val="000000" w:themeColor="text1"/>
        </w:rPr>
        <w:t>e</w:t>
      </w:r>
      <w:r>
        <w:rPr>
          <w:color w:val="000000" w:themeColor="text1"/>
        </w:rPr>
        <w:t>nen)</w:t>
      </w:r>
      <w:r>
        <w:t>, ergibt sich:</w:t>
      </w:r>
    </w:p>
    <w:p w:rsidR="00DC49C3" w:rsidRDefault="005A0936" w:rsidP="00D17045">
      <w:pPr>
        <w:pStyle w:val="Formel"/>
      </w:pPr>
      <w:r>
        <w:rPr>
          <w:i/>
        </w:rPr>
        <w:t>Er</w:t>
      </w:r>
      <w:r>
        <w:rPr>
          <w:vertAlign w:val="subscript"/>
        </w:rPr>
        <w:t>7</w:t>
      </w:r>
      <w:r w:rsidR="00DC49C3">
        <w:t xml:space="preserve"> </w:t>
      </w:r>
      <w:r w:rsidR="00DC49C3">
        <w:rPr>
          <w:rFonts w:ascii="Cambria Math" w:hAnsi="Cambria Math" w:cs="Cambria Math"/>
          <w:color w:val="000000" w:themeColor="text1"/>
        </w:rPr>
        <w:t>∧</w:t>
      </w:r>
      <w:r w:rsidR="00DC49C3">
        <w:rPr>
          <w:rFonts w:cs="Times New Roman"/>
          <w:color w:val="000000" w:themeColor="text1"/>
        </w:rPr>
        <w:t xml:space="preserve"> </w:t>
      </w:r>
      <w:r w:rsidR="00CC156D">
        <w:rPr>
          <w:i/>
        </w:rPr>
        <w:t>Er</w:t>
      </w:r>
      <w:r w:rsidR="00CC156D">
        <w:rPr>
          <w:vertAlign w:val="subscript"/>
        </w:rPr>
        <w:t>(f)</w:t>
      </w:r>
      <w:r w:rsidR="00956052">
        <w:rPr>
          <w:vertAlign w:val="subscript"/>
        </w:rPr>
        <w:t>3</w:t>
      </w:r>
      <w:r w:rsidR="00CC156D">
        <w:t xml:space="preserve"> </w:t>
      </w:r>
      <w:r w:rsidR="00CC156D">
        <w:rPr>
          <w:rFonts w:ascii="Cambria Math" w:hAnsi="Cambria Math" w:cs="Cambria Math"/>
          <w:color w:val="000000" w:themeColor="text1"/>
        </w:rPr>
        <w:t>∧</w:t>
      </w:r>
      <w:r w:rsidR="00CC156D">
        <w:rPr>
          <w:rFonts w:cs="Times New Roman"/>
          <w:color w:val="000000" w:themeColor="text1"/>
        </w:rPr>
        <w:t xml:space="preserve"> </w:t>
      </w:r>
      <w:r>
        <w:rPr>
          <w:i/>
        </w:rPr>
        <w:t>Er</w:t>
      </w:r>
      <w:r w:rsidR="00CC156D">
        <w:rPr>
          <w:vertAlign w:val="subscript"/>
        </w:rPr>
        <w:t>(f)</w:t>
      </w:r>
      <w:r w:rsidR="00956052">
        <w:rPr>
          <w:vertAlign w:val="subscript"/>
        </w:rPr>
        <w:t>7</w:t>
      </w:r>
      <w:r w:rsidR="00DC49C3">
        <w:t xml:space="preserve"> </w:t>
      </w:r>
      <w:r w:rsidR="00CC156D">
        <w:rPr>
          <w:rFonts w:ascii="Cambria Math" w:hAnsi="Cambria Math" w:cs="Cambria Math"/>
          <w:color w:val="000000" w:themeColor="text1"/>
        </w:rPr>
        <w:t>∧</w:t>
      </w:r>
      <w:r w:rsidR="00CC156D">
        <w:rPr>
          <w:rFonts w:cs="Times New Roman"/>
          <w:color w:val="000000" w:themeColor="text1"/>
        </w:rPr>
        <w:t xml:space="preserve"> </w:t>
      </w:r>
      <w:r w:rsidR="00CC156D">
        <w:rPr>
          <w:i/>
        </w:rPr>
        <w:t>Er</w:t>
      </w:r>
      <w:r w:rsidR="00CC156D">
        <w:rPr>
          <w:vertAlign w:val="subscript"/>
        </w:rPr>
        <w:t>(f)11</w:t>
      </w:r>
      <w:r w:rsidR="00CC156D">
        <w:t xml:space="preserve"> </w:t>
      </w:r>
      <w:r w:rsidR="00DC49C3">
        <w:rPr>
          <w:rFonts w:ascii="Cambria Math" w:hAnsi="Cambria Math" w:cs="Cambria Math"/>
          <w:color w:val="000000" w:themeColor="text1"/>
        </w:rPr>
        <w:t>∧</w:t>
      </w:r>
    </w:p>
    <w:p w:rsidR="005A0936" w:rsidRDefault="005A0936" w:rsidP="00D17045">
      <w:pPr>
        <w:pStyle w:val="Text"/>
        <w:ind w:firstLine="0"/>
        <w:rPr>
          <w:color w:val="000000" w:themeColor="text1"/>
        </w:rPr>
      </w:pPr>
      <w:r>
        <w:t xml:space="preserve">In Zeile </w:t>
      </w:r>
      <w:r w:rsidR="00A13222">
        <w:t>65</w:t>
      </w:r>
      <w:r>
        <w:t xml:space="preserve"> wird </w:t>
      </w:r>
      <w:r>
        <w:rPr>
          <w:color w:val="000000" w:themeColor="text1"/>
        </w:rPr>
        <w:t xml:space="preserve">die Menge </w:t>
      </w:r>
      <w:r w:rsidR="00960EDC">
        <w:rPr>
          <w:i/>
          <w:color w:val="000000" w:themeColor="text1"/>
        </w:rPr>
        <w:t>H</w:t>
      </w:r>
      <w:r w:rsidRPr="006A39A2">
        <w:rPr>
          <w:i/>
          <w:color w:val="000000" w:themeColor="text1"/>
          <w:vertAlign w:val="superscript"/>
        </w:rPr>
        <w:t>G</w:t>
      </w:r>
      <w:r>
        <w:rPr>
          <w:color w:val="000000" w:themeColor="text1"/>
        </w:rPr>
        <w:t xml:space="preserve"> sortiert.</w:t>
      </w:r>
    </w:p>
    <w:p w:rsidR="005A0936" w:rsidRDefault="005A0936" w:rsidP="005A0936">
      <w:pPr>
        <w:pStyle w:val="Text"/>
      </w:pPr>
      <w:r w:rsidRPr="00DB0613">
        <w:t xml:space="preserve">Zeile </w:t>
      </w:r>
      <w:r w:rsidR="00A13222">
        <w:t>66</w:t>
      </w:r>
      <w:r>
        <w:t xml:space="preserve"> </w:t>
      </w:r>
      <w:r w:rsidRPr="00DB0613">
        <w:t xml:space="preserve">gibt an, dass die eingerückt folgende Schleife für die Variable </w:t>
      </w:r>
      <w:r>
        <w:rPr>
          <w:i/>
          <w:iCs/>
        </w:rPr>
        <w:t>n</w:t>
      </w:r>
      <w:r w:rsidRPr="00DB0613">
        <w:t xml:space="preserve"> von 1 bis zur Anzahl der Elemente von </w:t>
      </w:r>
      <w:r w:rsidR="00960EDC">
        <w:rPr>
          <w:i/>
          <w:color w:val="000000" w:themeColor="text1"/>
        </w:rPr>
        <w:t>H</w:t>
      </w:r>
      <w:r w:rsidRPr="006A39A2">
        <w:rPr>
          <w:i/>
          <w:color w:val="000000" w:themeColor="text1"/>
          <w:vertAlign w:val="superscript"/>
        </w:rPr>
        <w:t>G</w:t>
      </w:r>
      <w:r w:rsidRPr="00DB0613">
        <w:t xml:space="preserve"> ausgeführt wird.</w:t>
      </w:r>
    </w:p>
    <w:p w:rsidR="005A0936" w:rsidRDefault="005A0936" w:rsidP="005A0936">
      <w:pPr>
        <w:pStyle w:val="Text"/>
      </w:pPr>
      <w:r>
        <w:t xml:space="preserve">In Zeile </w:t>
      </w:r>
      <w:r w:rsidR="00A13222">
        <w:t>67</w:t>
      </w:r>
      <w:r>
        <w:t xml:space="preserve"> wird </w:t>
      </w:r>
      <w:r w:rsidR="00960EDC">
        <w:t>mit der</w:t>
      </w:r>
      <w:r>
        <w:t xml:space="preserve"> Funktion </w:t>
      </w:r>
      <w:r w:rsidRPr="00337D36">
        <w:rPr>
          <w:i/>
        </w:rPr>
        <w:t>write</w:t>
      </w:r>
      <w:r>
        <w:t xml:space="preserve"> der Bezeichner für </w:t>
      </w:r>
      <w:r w:rsidR="00960EDC">
        <w:t xml:space="preserve">Elemente des Hintergrundwissens </w:t>
      </w:r>
      <w:r>
        <w:t>„</w:t>
      </w:r>
      <w:r w:rsidR="00960EDC">
        <w:rPr>
          <w:i/>
          <w:color w:val="000000" w:themeColor="text1"/>
        </w:rPr>
        <w:t>H</w:t>
      </w:r>
      <w:r>
        <w:t xml:space="preserve">“ mit dem </w:t>
      </w:r>
      <w:r w:rsidRPr="006A39A2">
        <w:rPr>
          <w:i/>
        </w:rPr>
        <w:t>n</w:t>
      </w:r>
      <w:r>
        <w:t xml:space="preserve">ten Element aus </w:t>
      </w:r>
      <w:r w:rsidR="00960EDC">
        <w:rPr>
          <w:i/>
          <w:color w:val="000000" w:themeColor="text1"/>
        </w:rPr>
        <w:t>H</w:t>
      </w:r>
      <w:r w:rsidRPr="006A39A2">
        <w:rPr>
          <w:i/>
          <w:color w:val="000000" w:themeColor="text1"/>
          <w:vertAlign w:val="superscript"/>
        </w:rPr>
        <w:t>G</w:t>
      </w:r>
      <w:r>
        <w:t xml:space="preserve"> als Index geschrieben. (Hier werden die bereits früher geschriebenen </w:t>
      </w:r>
      <w:r w:rsidR="00960EDC">
        <w:t xml:space="preserve">Elemente des Hintergrundwissens </w:t>
      </w:r>
      <w:r>
        <w:t>mit dem dort verwendeten Index in die Erzeugungsformel eingefügt.) Danach wird „</w:t>
      </w:r>
      <w:r w:rsidR="005D084A" w:rsidRPr="00E009F6">
        <w:rPr>
          <w:rFonts w:ascii="Cambria Math" w:hAnsi="Cambria Math" w:cs="Cambria Math"/>
          <w:color w:val="000000" w:themeColor="text1"/>
        </w:rPr>
        <w:t>∧</w:t>
      </w:r>
      <w:r>
        <w:t>“ geschrieben.</w:t>
      </w:r>
    </w:p>
    <w:p w:rsidR="005A0936" w:rsidRDefault="005A0936" w:rsidP="005A0936">
      <w:pPr>
        <w:pStyle w:val="Text"/>
      </w:pPr>
      <w:r w:rsidRPr="0071334B">
        <w:t xml:space="preserve">In Zeile </w:t>
      </w:r>
      <w:r w:rsidR="00DF5E44">
        <w:t>68</w:t>
      </w:r>
      <w:r>
        <w:t xml:space="preserve"> </w:t>
      </w:r>
      <w:r w:rsidRPr="0071334B">
        <w:t xml:space="preserve">wird die for-Schleife aus Zeile </w:t>
      </w:r>
      <w:r w:rsidR="00DF5E44">
        <w:t>66</w:t>
      </w:r>
      <w:r>
        <w:t xml:space="preserve"> </w:t>
      </w:r>
      <w:r w:rsidRPr="0071334B">
        <w:t>beendet.</w:t>
      </w:r>
    </w:p>
    <w:p w:rsidR="005A0936" w:rsidRDefault="005A0936" w:rsidP="005A0936">
      <w:pPr>
        <w:pStyle w:val="Text"/>
      </w:pPr>
      <w:r w:rsidRPr="00DB0613">
        <w:t xml:space="preserve">Zeile </w:t>
      </w:r>
      <w:r w:rsidR="00DF5E44">
        <w:t>69</w:t>
      </w:r>
      <w:r>
        <w:t xml:space="preserve"> </w:t>
      </w:r>
      <w:r w:rsidRPr="00DB0613">
        <w:t xml:space="preserve">gibt an, dass die eingerückt folgende Schleife für die Variable </w:t>
      </w:r>
      <w:r>
        <w:rPr>
          <w:i/>
          <w:iCs/>
        </w:rPr>
        <w:t>n</w:t>
      </w:r>
      <w:r w:rsidRPr="00DB0613">
        <w:t xml:space="preserve"> von 1 bis zu</w:t>
      </w:r>
      <w:r>
        <w:t xml:space="preserve"> </w:t>
      </w:r>
      <w:r w:rsidRPr="00401D8A">
        <w:rPr>
          <w:color w:val="000000" w:themeColor="text1"/>
        </w:rPr>
        <w:t>|</w:t>
      </w:r>
      <w:r w:rsidR="00960EDC">
        <w:rPr>
          <w:i/>
          <w:color w:val="000000" w:themeColor="text1"/>
        </w:rPr>
        <w:t>R</w:t>
      </w:r>
      <w:r w:rsidRPr="00401D8A">
        <w:rPr>
          <w:color w:val="000000" w:themeColor="text1"/>
        </w:rPr>
        <w:t>|</w:t>
      </w:r>
      <w:r>
        <w:rPr>
          <w:color w:val="000000" w:themeColor="text1"/>
        </w:rPr>
        <w:t xml:space="preserve"> </w:t>
      </w:r>
      <w:r w:rsidR="009D0600">
        <w:rPr>
          <w:rFonts w:cs="Times New Roman"/>
          <w:color w:val="000000" w:themeColor="text1"/>
        </w:rPr>
        <w:t>−</w:t>
      </w:r>
      <w:r>
        <w:rPr>
          <w:rFonts w:cs="Times New Roman"/>
          <w:color w:val="000000" w:themeColor="text1"/>
        </w:rPr>
        <w:t xml:space="preserve"> </w:t>
      </w:r>
      <w:r w:rsidRPr="00401D8A">
        <w:rPr>
          <w:color w:val="000000" w:themeColor="text1"/>
        </w:rPr>
        <w:t>|</w:t>
      </w:r>
      <w:r w:rsidR="00960EDC">
        <w:rPr>
          <w:i/>
          <w:color w:val="000000" w:themeColor="text1"/>
        </w:rPr>
        <w:t>H</w:t>
      </w:r>
      <w:r w:rsidRPr="006A39A2">
        <w:rPr>
          <w:i/>
          <w:color w:val="000000" w:themeColor="text1"/>
          <w:vertAlign w:val="superscript"/>
        </w:rPr>
        <w:t>G</w:t>
      </w:r>
      <w:r w:rsidRPr="00401D8A">
        <w:rPr>
          <w:color w:val="000000" w:themeColor="text1"/>
        </w:rPr>
        <w:t>|</w:t>
      </w:r>
      <w:r>
        <w:t xml:space="preserve"> (Anzahl der verwendeten </w:t>
      </w:r>
      <w:r w:rsidR="00960EDC">
        <w:t>Elemente des Hintergrundwi</w:t>
      </w:r>
      <w:r w:rsidR="00960EDC">
        <w:t>s</w:t>
      </w:r>
      <w:r w:rsidR="00960EDC">
        <w:t xml:space="preserve">sens </w:t>
      </w:r>
      <w:r w:rsidR="00E814E3">
        <w:rPr>
          <w:i/>
          <w:iCs/>
        </w:rPr>
        <w:t>R</w:t>
      </w:r>
      <w:r w:rsidRPr="00DB0613">
        <w:t xml:space="preserve"> </w:t>
      </w:r>
      <w:r>
        <w:t xml:space="preserve">minus Anzahl der bereits früher geschriebenen </w:t>
      </w:r>
      <w:r w:rsidR="00960EDC">
        <w:t>Elemente des Hinte</w:t>
      </w:r>
      <w:r w:rsidR="00960EDC">
        <w:t>r</w:t>
      </w:r>
      <w:r w:rsidR="00960EDC">
        <w:t xml:space="preserve">grundwissens </w:t>
      </w:r>
      <w:r w:rsidR="00960EDC">
        <w:rPr>
          <w:i/>
          <w:color w:val="000000" w:themeColor="text1"/>
        </w:rPr>
        <w:t>H</w:t>
      </w:r>
      <w:r w:rsidRPr="006A39A2">
        <w:rPr>
          <w:i/>
          <w:color w:val="000000" w:themeColor="text1"/>
          <w:vertAlign w:val="superscript"/>
        </w:rPr>
        <w:t>G</w:t>
      </w:r>
      <w:r>
        <w:t xml:space="preserve">) </w:t>
      </w:r>
      <w:r w:rsidRPr="00DB0613">
        <w:t>ausgeführt wird.</w:t>
      </w:r>
    </w:p>
    <w:p w:rsidR="005A0936" w:rsidRDefault="00DF5E44" w:rsidP="005A0936">
      <w:pPr>
        <w:pStyle w:val="Text"/>
      </w:pPr>
      <w:r>
        <w:lastRenderedPageBreak/>
        <w:t>In Zeile 70</w:t>
      </w:r>
      <w:r w:rsidR="005A0936">
        <w:t xml:space="preserve"> wird mit der Funktion </w:t>
      </w:r>
      <w:r w:rsidR="005A0936" w:rsidRPr="00337D36">
        <w:rPr>
          <w:i/>
        </w:rPr>
        <w:t>write</w:t>
      </w:r>
      <w:r w:rsidR="005A0936">
        <w:t xml:space="preserve"> der Bezeichner für </w:t>
      </w:r>
      <w:r w:rsidR="00960EDC">
        <w:t xml:space="preserve">Elemente des Hintergrundwissens </w:t>
      </w:r>
      <w:r w:rsidR="005A0936">
        <w:t>„</w:t>
      </w:r>
      <w:r w:rsidR="00960EDC">
        <w:rPr>
          <w:i/>
          <w:color w:val="000000" w:themeColor="text1"/>
        </w:rPr>
        <w:t>H</w:t>
      </w:r>
      <w:r w:rsidR="005A0936">
        <w:t xml:space="preserve">“ mit einem Index geschrieben, der sich als </w:t>
      </w:r>
      <w:r w:rsidR="005A0936">
        <w:rPr>
          <w:color w:val="000000" w:themeColor="text1"/>
        </w:rPr>
        <w:t>(</w:t>
      </w:r>
      <w:r w:rsidR="00960EDC">
        <w:rPr>
          <w:i/>
          <w:color w:val="000000" w:themeColor="text1"/>
        </w:rPr>
        <w:t>y</w:t>
      </w:r>
      <w:r w:rsidR="005A0936" w:rsidRPr="00253434">
        <w:rPr>
          <w:color w:val="000000" w:themeColor="text1"/>
        </w:rPr>
        <w:t xml:space="preserve"> </w:t>
      </w:r>
      <w:r w:rsidR="005A0936" w:rsidRPr="003768FC">
        <w:rPr>
          <w:rFonts w:cs="Times New Roman"/>
          <w:color w:val="000000" w:themeColor="text1"/>
        </w:rPr>
        <w:t>−</w:t>
      </w:r>
      <w:r w:rsidR="005A0936" w:rsidRPr="00253434">
        <w:rPr>
          <w:color w:val="000000" w:themeColor="text1"/>
        </w:rPr>
        <w:t xml:space="preserve"> </w:t>
      </w:r>
      <w:r w:rsidR="005A0936">
        <w:rPr>
          <w:color w:val="000000" w:themeColor="text1"/>
        </w:rPr>
        <w:t>(</w:t>
      </w:r>
      <w:r w:rsidR="005A0936" w:rsidRPr="00401D8A">
        <w:rPr>
          <w:color w:val="000000" w:themeColor="text1"/>
        </w:rPr>
        <w:t>|</w:t>
      </w:r>
      <w:r w:rsidR="00960EDC">
        <w:rPr>
          <w:i/>
          <w:color w:val="000000" w:themeColor="text1"/>
        </w:rPr>
        <w:t>R</w:t>
      </w:r>
      <w:r w:rsidR="005A0936" w:rsidRPr="00401D8A">
        <w:rPr>
          <w:color w:val="000000" w:themeColor="text1"/>
        </w:rPr>
        <w:t>|</w:t>
      </w:r>
      <w:r w:rsidR="005A0936">
        <w:rPr>
          <w:color w:val="000000" w:themeColor="text1"/>
        </w:rPr>
        <w:t xml:space="preserve"> </w:t>
      </w:r>
      <w:r w:rsidR="005A0936" w:rsidRPr="00CE3988">
        <w:rPr>
          <w:rFonts w:cs="Times New Roman"/>
          <w:color w:val="000000" w:themeColor="text1"/>
        </w:rPr>
        <w:t>−</w:t>
      </w:r>
      <w:r w:rsidR="005A0936">
        <w:rPr>
          <w:rFonts w:cs="Times New Roman"/>
          <w:color w:val="000000" w:themeColor="text1"/>
        </w:rPr>
        <w:t xml:space="preserve"> </w:t>
      </w:r>
      <w:r w:rsidR="005A0936" w:rsidRPr="00401D8A">
        <w:rPr>
          <w:color w:val="000000" w:themeColor="text1"/>
        </w:rPr>
        <w:t>|</w:t>
      </w:r>
      <w:r w:rsidR="00960EDC">
        <w:rPr>
          <w:i/>
          <w:color w:val="000000" w:themeColor="text1"/>
        </w:rPr>
        <w:t>H</w:t>
      </w:r>
      <w:r w:rsidR="005A0936" w:rsidRPr="006A39A2">
        <w:rPr>
          <w:i/>
          <w:color w:val="000000" w:themeColor="text1"/>
          <w:vertAlign w:val="superscript"/>
        </w:rPr>
        <w:t>G</w:t>
      </w:r>
      <w:r w:rsidR="005A0936" w:rsidRPr="00401D8A">
        <w:rPr>
          <w:color w:val="000000" w:themeColor="text1"/>
        </w:rPr>
        <w:t>|</w:t>
      </w:r>
      <w:r w:rsidR="005A0936">
        <w:rPr>
          <w:color w:val="000000" w:themeColor="text1"/>
        </w:rPr>
        <w:t>))</w:t>
      </w:r>
      <w:r w:rsidR="005A0936" w:rsidRPr="00253434">
        <w:rPr>
          <w:color w:val="000000" w:themeColor="text1"/>
        </w:rPr>
        <w:t xml:space="preserve"> + </w:t>
      </w:r>
      <w:r w:rsidR="005A0936">
        <w:rPr>
          <w:i/>
          <w:color w:val="000000" w:themeColor="text1"/>
        </w:rPr>
        <w:t>n</w:t>
      </w:r>
      <w:r w:rsidR="005A0936">
        <w:t xml:space="preserve"> errechnet.</w:t>
      </w:r>
      <w:r w:rsidR="00C20145">
        <w:t xml:space="preserve"> Danach wird „</w:t>
      </w:r>
      <w:r w:rsidR="00C20145" w:rsidRPr="00E009F6">
        <w:rPr>
          <w:rFonts w:ascii="Cambria Math" w:hAnsi="Cambria Math" w:cs="Cambria Math"/>
          <w:color w:val="000000" w:themeColor="text1"/>
        </w:rPr>
        <w:t>∧</w:t>
      </w:r>
      <w:r w:rsidR="00C20145">
        <w:t>“ geschrieben.</w:t>
      </w:r>
    </w:p>
    <w:p w:rsidR="00D16777" w:rsidRDefault="00D16777" w:rsidP="005A0936">
      <w:pPr>
        <w:pStyle w:val="Text"/>
      </w:pPr>
      <w:r w:rsidRPr="0071334B">
        <w:t xml:space="preserve">In Zeile </w:t>
      </w:r>
      <w:r>
        <w:t>7</w:t>
      </w:r>
      <w:r w:rsidR="00DF5E44">
        <w:t>1</w:t>
      </w:r>
      <w:r>
        <w:t xml:space="preserve"> </w:t>
      </w:r>
      <w:r w:rsidRPr="0071334B">
        <w:t xml:space="preserve">wird die for-Schleife aus Zeile </w:t>
      </w:r>
      <w:r w:rsidR="00DF5E44">
        <w:t>69</w:t>
      </w:r>
      <w:r>
        <w:t xml:space="preserve"> </w:t>
      </w:r>
      <w:r w:rsidRPr="0071334B">
        <w:t>beendet.</w:t>
      </w:r>
    </w:p>
    <w:p w:rsidR="00C20145" w:rsidRPr="00C20145" w:rsidRDefault="00DF5E44" w:rsidP="00C20145">
      <w:pPr>
        <w:pStyle w:val="Text"/>
      </w:pPr>
      <w:r>
        <w:t>In Zeile 72</w:t>
      </w:r>
      <w:r w:rsidR="00C20145">
        <w:t xml:space="preserve"> wird mit der Funktion </w:t>
      </w:r>
      <w:r w:rsidR="00C20145">
        <w:rPr>
          <w:i/>
        </w:rPr>
        <w:t>del</w:t>
      </w:r>
      <w:r w:rsidR="00C20145">
        <w:t xml:space="preserve"> (Erläuterung s. unten) das zuletzt g</w:t>
      </w:r>
      <w:r w:rsidR="00C20145">
        <w:t>e</w:t>
      </w:r>
      <w:r w:rsidR="00C20145">
        <w:t>schriebene „</w:t>
      </w:r>
      <w:r w:rsidR="00C20145" w:rsidRPr="00E009F6">
        <w:rPr>
          <w:rFonts w:ascii="Cambria Math" w:hAnsi="Cambria Math" w:cs="Cambria Math"/>
          <w:color w:val="000000" w:themeColor="text1"/>
        </w:rPr>
        <w:t>∧</w:t>
      </w:r>
      <w:r w:rsidR="00C20145">
        <w:t>“ und das folgende Leerzeichen gelöscht.</w:t>
      </w:r>
    </w:p>
    <w:p w:rsidR="005A0936" w:rsidRDefault="005A0936" w:rsidP="005A0936">
      <w:pPr>
        <w:pStyle w:val="Text"/>
      </w:pPr>
      <w:r>
        <w:t xml:space="preserve">Beispiel: Für </w:t>
      </w:r>
      <w:r w:rsidRPr="00401D8A">
        <w:rPr>
          <w:color w:val="000000" w:themeColor="text1"/>
        </w:rPr>
        <w:t>|</w:t>
      </w:r>
      <w:r w:rsidR="00D16777">
        <w:rPr>
          <w:i/>
        </w:rPr>
        <w:t>R</w:t>
      </w:r>
      <w:r w:rsidRPr="00401D8A">
        <w:rPr>
          <w:color w:val="000000" w:themeColor="text1"/>
        </w:rPr>
        <w:t>|</w:t>
      </w:r>
      <w:r>
        <w:t xml:space="preserve"> = </w:t>
      </w:r>
      <w:r w:rsidR="00CC156D">
        <w:t>2</w:t>
      </w:r>
      <w:r>
        <w:t xml:space="preserve"> (es w</w:t>
      </w:r>
      <w:r w:rsidR="0078247C">
        <w:t>e</w:t>
      </w:r>
      <w:r>
        <w:t xml:space="preserve">rden </w:t>
      </w:r>
      <w:r w:rsidR="00965E41">
        <w:t>zwei</w:t>
      </w:r>
      <w:r>
        <w:t xml:space="preserve"> </w:t>
      </w:r>
      <w:r w:rsidR="00D16777">
        <w:t xml:space="preserve">Elemente des Hintergrundwissens </w:t>
      </w:r>
      <w:r>
        <w:t>verwendet), |</w:t>
      </w:r>
      <w:r w:rsidR="00D16777">
        <w:rPr>
          <w:i/>
          <w:color w:val="000000" w:themeColor="text1"/>
        </w:rPr>
        <w:t>H</w:t>
      </w:r>
      <w:r w:rsidRPr="006A39A2">
        <w:rPr>
          <w:i/>
          <w:color w:val="000000" w:themeColor="text1"/>
          <w:vertAlign w:val="superscript"/>
        </w:rPr>
        <w:t>G</w:t>
      </w:r>
      <w:r>
        <w:t xml:space="preserve">| = </w:t>
      </w:r>
      <w:r w:rsidR="001163F1">
        <w:t>1</w:t>
      </w:r>
      <w:r>
        <w:t xml:space="preserve"> (es wurde </w:t>
      </w:r>
      <w:r w:rsidR="00965E41">
        <w:t>eines dieser</w:t>
      </w:r>
      <w:r w:rsidR="001163F1">
        <w:t xml:space="preserve"> </w:t>
      </w:r>
      <w:r w:rsidR="00D16777">
        <w:t>Element</w:t>
      </w:r>
      <w:r w:rsidR="00965E41">
        <w:t>e</w:t>
      </w:r>
      <w:r w:rsidR="00D16777">
        <w:t xml:space="preserve"> des Hintergrundwissens </w:t>
      </w:r>
      <w:r>
        <w:t xml:space="preserve">früher geschrieben, mit </w:t>
      </w:r>
      <w:r w:rsidR="001163F1">
        <w:t xml:space="preserve">dem Index </w:t>
      </w:r>
      <w:r w:rsidR="00D16777">
        <w:rPr>
          <w:i/>
          <w:color w:val="000000" w:themeColor="text1"/>
        </w:rPr>
        <w:t>H</w:t>
      </w:r>
      <w:r w:rsidR="00D16777" w:rsidRPr="006A39A2">
        <w:rPr>
          <w:i/>
          <w:color w:val="000000" w:themeColor="text1"/>
          <w:vertAlign w:val="superscript"/>
        </w:rPr>
        <w:t>G</w:t>
      </w:r>
      <w:r>
        <w:rPr>
          <w:color w:val="000000" w:themeColor="text1"/>
        </w:rPr>
        <w:t xml:space="preserve"> = </w:t>
      </w:r>
      <w:r w:rsidR="00D16777">
        <w:rPr>
          <w:color w:val="000000" w:themeColor="text1"/>
        </w:rPr>
        <w:t>{3})</w:t>
      </w:r>
      <w:r>
        <w:rPr>
          <w:color w:val="000000" w:themeColor="text1"/>
        </w:rPr>
        <w:t xml:space="preserve">, </w:t>
      </w:r>
      <w:r w:rsidR="001163F1">
        <w:rPr>
          <w:i/>
          <w:color w:val="000000" w:themeColor="text1"/>
        </w:rPr>
        <w:t>y</w:t>
      </w:r>
      <w:r>
        <w:rPr>
          <w:color w:val="000000" w:themeColor="text1"/>
        </w:rPr>
        <w:t xml:space="preserve"> = </w:t>
      </w:r>
      <w:r w:rsidR="00CC156D">
        <w:rPr>
          <w:color w:val="000000" w:themeColor="text1"/>
        </w:rPr>
        <w:t>8</w:t>
      </w:r>
      <w:r>
        <w:rPr>
          <w:color w:val="000000" w:themeColor="text1"/>
        </w:rPr>
        <w:t xml:space="preserve"> (insgesamt wurden </w:t>
      </w:r>
      <w:r w:rsidR="00CC156D">
        <w:rPr>
          <w:color w:val="000000" w:themeColor="text1"/>
        </w:rPr>
        <w:t>8</w:t>
      </w:r>
      <w:r>
        <w:rPr>
          <w:color w:val="000000" w:themeColor="text1"/>
        </w:rPr>
        <w:t xml:space="preserve"> </w:t>
      </w:r>
      <w:r w:rsidR="00D16777">
        <w:t>El</w:t>
      </w:r>
      <w:r w:rsidR="00D16777">
        <w:t>e</w:t>
      </w:r>
      <w:r w:rsidR="00D16777">
        <w:t xml:space="preserve">mente des Hintergrundwissens </w:t>
      </w:r>
      <w:r>
        <w:rPr>
          <w:color w:val="000000" w:themeColor="text1"/>
        </w:rPr>
        <w:t>geschrieben, inklusive der im aktuellen Funkt</w:t>
      </w:r>
      <w:r>
        <w:rPr>
          <w:color w:val="000000" w:themeColor="text1"/>
        </w:rPr>
        <w:t>i</w:t>
      </w:r>
      <w:r>
        <w:rPr>
          <w:color w:val="000000" w:themeColor="text1"/>
        </w:rPr>
        <w:t xml:space="preserve">onsaufruf in Zeile </w:t>
      </w:r>
      <w:r w:rsidR="00D16777">
        <w:rPr>
          <w:color w:val="000000" w:themeColor="text1"/>
        </w:rPr>
        <w:t>4</w:t>
      </w:r>
      <w:r w:rsidR="00547300">
        <w:rPr>
          <w:color w:val="000000" w:themeColor="text1"/>
        </w:rPr>
        <w:t>2</w:t>
      </w:r>
      <w:r>
        <w:rPr>
          <w:color w:val="000000" w:themeColor="text1"/>
        </w:rPr>
        <w:t xml:space="preserve"> geschriebenen)</w:t>
      </w:r>
      <w:r>
        <w:t>, ergibt sich:</w:t>
      </w:r>
    </w:p>
    <w:p w:rsidR="005A0936" w:rsidRPr="00111987" w:rsidRDefault="00D16777" w:rsidP="00D17045">
      <w:pPr>
        <w:pStyle w:val="Formel"/>
      </w:pPr>
      <w:r w:rsidRPr="00111987">
        <w:rPr>
          <w:i/>
        </w:rPr>
        <w:t>H</w:t>
      </w:r>
      <w:r w:rsidRPr="00111987">
        <w:rPr>
          <w:vertAlign w:val="subscript"/>
        </w:rPr>
        <w:t>3</w:t>
      </w:r>
      <w:r w:rsidR="005A0936" w:rsidRPr="00111987">
        <w:t xml:space="preserve"> </w:t>
      </w:r>
      <w:r w:rsidR="005A0936" w:rsidRPr="00111987">
        <w:rPr>
          <w:rFonts w:ascii="Cambria Math" w:hAnsi="Cambria Math" w:cs="Cambria Math"/>
          <w:color w:val="000000" w:themeColor="text1"/>
        </w:rPr>
        <w:t>∧</w:t>
      </w:r>
      <w:r w:rsidR="005A0936" w:rsidRPr="00111987">
        <w:rPr>
          <w:rFonts w:cs="Times New Roman"/>
          <w:color w:val="000000" w:themeColor="text1"/>
        </w:rPr>
        <w:t xml:space="preserve"> </w:t>
      </w:r>
      <w:r w:rsidRPr="00111987">
        <w:rPr>
          <w:i/>
        </w:rPr>
        <w:t>H</w:t>
      </w:r>
      <w:r w:rsidR="005143D9" w:rsidRPr="00111987">
        <w:rPr>
          <w:vertAlign w:val="subscript"/>
        </w:rPr>
        <w:t>8</w:t>
      </w:r>
    </w:p>
    <w:p w:rsidR="007879B1" w:rsidRPr="00F804D6" w:rsidRDefault="00F804D6" w:rsidP="00D17045">
      <w:pPr>
        <w:pStyle w:val="Text"/>
        <w:ind w:firstLine="0"/>
      </w:pPr>
      <w:r>
        <w:t xml:space="preserve">In Zeile </w:t>
      </w:r>
      <w:r w:rsidR="00AE73EE">
        <w:t>7</w:t>
      </w:r>
      <w:r w:rsidR="00DF5E44">
        <w:t>3</w:t>
      </w:r>
      <w:r>
        <w:t xml:space="preserve"> wird mit der Funktion </w:t>
      </w:r>
      <w:r w:rsidRPr="00337D36">
        <w:rPr>
          <w:i/>
        </w:rPr>
        <w:t>write</w:t>
      </w:r>
      <w:r>
        <w:t xml:space="preserve"> der Operationspfeil „</w:t>
      </w:r>
      <w:r w:rsidR="002434D2">
        <w:rPr>
          <w:rFonts w:ascii="Cambria Math" w:eastAsia="Arial Unicode MS" w:hAnsi="Cambria Math" w:cs="Cambria Math"/>
          <w:color w:val="000000" w:themeColor="text1"/>
        </w:rPr>
        <w:t>⤳</w:t>
      </w:r>
      <w:r>
        <w:t xml:space="preserve">“ </w:t>
      </w:r>
      <w:r w:rsidR="00111987">
        <w:t xml:space="preserve">und tiefgestellt in eckigen Klammern der Operationsname </w:t>
      </w:r>
      <w:r>
        <w:t>geschrieben.</w:t>
      </w:r>
    </w:p>
    <w:p w:rsidR="00E814E3" w:rsidRDefault="00E814E3" w:rsidP="00E814E3">
      <w:pPr>
        <w:pStyle w:val="Text"/>
      </w:pPr>
      <w:r w:rsidRPr="00DB0613">
        <w:t xml:space="preserve">Zeile </w:t>
      </w:r>
      <w:r w:rsidR="00AE73EE">
        <w:t>7</w:t>
      </w:r>
      <w:r w:rsidR="00570716">
        <w:t>4</w:t>
      </w:r>
      <w:r>
        <w:t xml:space="preserve"> </w:t>
      </w:r>
      <w:r w:rsidRPr="00DB0613">
        <w:t xml:space="preserve">gibt an, dass die eingerückt folgende Schleife für die Variable </w:t>
      </w:r>
      <w:r>
        <w:rPr>
          <w:i/>
          <w:iCs/>
        </w:rPr>
        <w:t>n</w:t>
      </w:r>
      <w:r w:rsidRPr="00DB0613">
        <w:t xml:space="preserve"> von 1 bis zur Anzahl der Elemente von </w:t>
      </w:r>
      <w:r w:rsidRPr="00E814E3">
        <w:rPr>
          <w:i/>
          <w:color w:val="000000" w:themeColor="text1"/>
        </w:rPr>
        <w:t>E</w:t>
      </w:r>
      <w:r w:rsidR="00713AB0">
        <w:rPr>
          <w:i/>
          <w:color w:val="000000" w:themeColor="text1"/>
        </w:rPr>
        <w:t>r</w:t>
      </w:r>
      <w:r w:rsidRPr="00E814E3">
        <w:rPr>
          <w:i/>
          <w:color w:val="000000" w:themeColor="text1"/>
        </w:rPr>
        <w:t>*</w:t>
      </w:r>
      <w:r>
        <w:t xml:space="preserve"> </w:t>
      </w:r>
      <w:r w:rsidRPr="00DB0613">
        <w:t>ausgeführt wird.</w:t>
      </w:r>
    </w:p>
    <w:p w:rsidR="00E814E3" w:rsidRDefault="00AE73EE" w:rsidP="00E814E3">
      <w:pPr>
        <w:pStyle w:val="Text"/>
        <w:rPr>
          <w:rFonts w:cs="Times New Roman"/>
          <w:color w:val="000000" w:themeColor="text1"/>
        </w:rPr>
      </w:pPr>
      <w:r>
        <w:t>In Zeile 7</w:t>
      </w:r>
      <w:r w:rsidR="00570716">
        <w:t>5</w:t>
      </w:r>
      <w:r w:rsidR="00E814E3">
        <w:t xml:space="preserve"> wird mit der Funktion </w:t>
      </w:r>
      <w:r w:rsidR="00E814E3" w:rsidRPr="00337D36">
        <w:rPr>
          <w:i/>
        </w:rPr>
        <w:t>write</w:t>
      </w:r>
      <w:r w:rsidR="00E814E3">
        <w:t xml:space="preserve"> der Bezeichner für </w:t>
      </w:r>
      <w:r w:rsidR="005143D9">
        <w:t xml:space="preserve">Ergebnisse </w:t>
      </w:r>
      <w:r w:rsidR="00E814E3">
        <w:t>„</w:t>
      </w:r>
      <w:r w:rsidR="005143D9">
        <w:rPr>
          <w:i/>
          <w:color w:val="000000" w:themeColor="text1"/>
        </w:rPr>
        <w:t>Er</w:t>
      </w:r>
      <w:r w:rsidR="00E814E3">
        <w:t xml:space="preserve">“ mit </w:t>
      </w:r>
      <w:r w:rsidR="00301CE2">
        <w:t xml:space="preserve">einem </w:t>
      </w:r>
      <w:r w:rsidR="00E814E3">
        <w:t xml:space="preserve">Index </w:t>
      </w:r>
      <w:r w:rsidR="00301CE2">
        <w:t xml:space="preserve">geschrieben, der sich als </w:t>
      </w:r>
      <w:r w:rsidR="005143D9">
        <w:rPr>
          <w:i/>
          <w:color w:val="000000" w:themeColor="text1"/>
        </w:rPr>
        <w:t>z</w:t>
      </w:r>
      <w:r w:rsidR="00E814E3" w:rsidRPr="00253434">
        <w:rPr>
          <w:color w:val="000000" w:themeColor="text1"/>
        </w:rPr>
        <w:t xml:space="preserve"> </w:t>
      </w:r>
      <w:r w:rsidR="00301CE2">
        <w:rPr>
          <w:color w:val="000000" w:themeColor="text1"/>
        </w:rPr>
        <w:t xml:space="preserve">+ </w:t>
      </w:r>
      <w:r w:rsidR="00301CE2" w:rsidRPr="00301CE2">
        <w:rPr>
          <w:i/>
          <w:color w:val="000000" w:themeColor="text1"/>
        </w:rPr>
        <w:t>n</w:t>
      </w:r>
      <w:r w:rsidR="00301CE2">
        <w:rPr>
          <w:color w:val="000000" w:themeColor="text1"/>
        </w:rPr>
        <w:t xml:space="preserve"> errechnet</w:t>
      </w:r>
      <w:r w:rsidR="005143D9">
        <w:rPr>
          <w:rFonts w:cs="Times New Roman"/>
          <w:color w:val="000000" w:themeColor="text1"/>
        </w:rPr>
        <w:t>.</w:t>
      </w:r>
    </w:p>
    <w:p w:rsidR="00C20145" w:rsidRDefault="00C20145" w:rsidP="00C20145">
      <w:pPr>
        <w:pStyle w:val="Text"/>
      </w:pPr>
      <w:r w:rsidRPr="0071334B">
        <w:t xml:space="preserve">In Zeile </w:t>
      </w:r>
      <w:r w:rsidR="00570716">
        <w:t>76</w:t>
      </w:r>
      <w:r>
        <w:t xml:space="preserve"> </w:t>
      </w:r>
      <w:r w:rsidRPr="0071334B">
        <w:t xml:space="preserve">wird die for-Schleife aus Zeile </w:t>
      </w:r>
      <w:r>
        <w:t xml:space="preserve">73 </w:t>
      </w:r>
      <w:r w:rsidRPr="0071334B">
        <w:t>beendet.</w:t>
      </w:r>
    </w:p>
    <w:p w:rsidR="00C20145" w:rsidRPr="00C20145" w:rsidRDefault="00570716" w:rsidP="00C20145">
      <w:pPr>
        <w:pStyle w:val="Text"/>
      </w:pPr>
      <w:r>
        <w:t>In Zeile 77</w:t>
      </w:r>
      <w:r w:rsidR="00C20145">
        <w:t xml:space="preserve"> wird mit der Funktion </w:t>
      </w:r>
      <w:r w:rsidR="00C20145">
        <w:rPr>
          <w:i/>
        </w:rPr>
        <w:t>del</w:t>
      </w:r>
      <w:r w:rsidR="00C20145">
        <w:t xml:space="preserve"> (Erläuterung s. unten) das zuletzt g</w:t>
      </w:r>
      <w:r w:rsidR="00C20145">
        <w:t>e</w:t>
      </w:r>
      <w:r w:rsidR="00C20145">
        <w:t>schriebene Komma und das folgende Leerzeichen gelöscht.</w:t>
      </w:r>
    </w:p>
    <w:p w:rsidR="005143D9" w:rsidRDefault="005143D9" w:rsidP="00E814E3">
      <w:pPr>
        <w:pStyle w:val="Text"/>
      </w:pPr>
      <w:r w:rsidRPr="0071334B">
        <w:t xml:space="preserve">In Zeile </w:t>
      </w:r>
      <w:r w:rsidR="00570716">
        <w:t>78</w:t>
      </w:r>
      <w:r>
        <w:t xml:space="preserve"> </w:t>
      </w:r>
      <w:r w:rsidRPr="0071334B">
        <w:t xml:space="preserve">wird </w:t>
      </w:r>
      <w:r>
        <w:t>eine neue Zeile begonnen.</w:t>
      </w:r>
    </w:p>
    <w:p w:rsidR="00E814E3" w:rsidRPr="00301CE2" w:rsidRDefault="00E814E3" w:rsidP="00E814E3">
      <w:pPr>
        <w:pStyle w:val="Text"/>
        <w:rPr>
          <w:color w:val="000000" w:themeColor="text1"/>
        </w:rPr>
      </w:pPr>
      <w:r>
        <w:t xml:space="preserve">Beispiel: Für </w:t>
      </w:r>
      <w:r w:rsidR="00111987" w:rsidRPr="00111987">
        <w:rPr>
          <w:i/>
          <w:color w:val="000000" w:themeColor="text1"/>
        </w:rPr>
        <w:t>Op</w:t>
      </w:r>
      <w:r w:rsidR="00111987" w:rsidRPr="00111987">
        <w:rPr>
          <w:i/>
          <w:color w:val="000000" w:themeColor="text1"/>
          <w:vertAlign w:val="subscript"/>
        </w:rPr>
        <w:t>h</w:t>
      </w:r>
      <w:r w:rsidR="004F4971">
        <w:t xml:space="preserve"> = Ded</w:t>
      </w:r>
      <w:r w:rsidR="00111987">
        <w:t xml:space="preserve">, </w:t>
      </w:r>
      <w:r w:rsidRPr="00401D8A">
        <w:rPr>
          <w:color w:val="000000" w:themeColor="text1"/>
        </w:rPr>
        <w:t>|</w:t>
      </w:r>
      <w:r w:rsidR="005143D9" w:rsidRPr="005143D9">
        <w:rPr>
          <w:i/>
          <w:color w:val="000000" w:themeColor="text1"/>
        </w:rPr>
        <w:t>E</w:t>
      </w:r>
      <w:r w:rsidR="00713AB0">
        <w:rPr>
          <w:i/>
          <w:color w:val="000000" w:themeColor="text1"/>
        </w:rPr>
        <w:t>r</w:t>
      </w:r>
      <w:r w:rsidR="005143D9" w:rsidRPr="005143D9">
        <w:rPr>
          <w:i/>
          <w:color w:val="000000" w:themeColor="text1"/>
        </w:rPr>
        <w:t>*</w:t>
      </w:r>
      <w:r w:rsidRPr="00401D8A">
        <w:rPr>
          <w:color w:val="000000" w:themeColor="text1"/>
        </w:rPr>
        <w:t>|</w:t>
      </w:r>
      <w:r>
        <w:t xml:space="preserve"> = </w:t>
      </w:r>
      <w:r w:rsidR="005143D9">
        <w:t>2</w:t>
      </w:r>
      <w:r>
        <w:t xml:space="preserve"> (es wurden </w:t>
      </w:r>
      <w:r w:rsidR="00965E41">
        <w:t>zwei</w:t>
      </w:r>
      <w:r>
        <w:t xml:space="preserve"> </w:t>
      </w:r>
      <w:r w:rsidR="005C49A8">
        <w:t xml:space="preserve">Ergebnisse erzeugt), </w:t>
      </w:r>
      <w:r w:rsidR="005143D9">
        <w:rPr>
          <w:i/>
          <w:color w:val="000000" w:themeColor="text1"/>
        </w:rPr>
        <w:t>z</w:t>
      </w:r>
      <w:r>
        <w:rPr>
          <w:color w:val="000000" w:themeColor="text1"/>
        </w:rPr>
        <w:t xml:space="preserve"> = </w:t>
      </w:r>
      <w:r w:rsidR="005C49A8">
        <w:rPr>
          <w:color w:val="000000" w:themeColor="text1"/>
        </w:rPr>
        <w:t>1</w:t>
      </w:r>
      <w:r w:rsidR="00301CE2">
        <w:rPr>
          <w:color w:val="000000" w:themeColor="text1"/>
        </w:rPr>
        <w:t>1</w:t>
      </w:r>
      <w:r>
        <w:rPr>
          <w:color w:val="000000" w:themeColor="text1"/>
        </w:rPr>
        <w:t xml:space="preserve"> (</w:t>
      </w:r>
      <w:r w:rsidR="00301CE2">
        <w:rPr>
          <w:color w:val="000000" w:themeColor="text1"/>
        </w:rPr>
        <w:t xml:space="preserve">vor dem aktuellen Funktionsaufruf, dessen Ergebnisse erst in Zeile </w:t>
      </w:r>
      <w:r w:rsidR="00071D9D">
        <w:rPr>
          <w:color w:val="000000" w:themeColor="text1"/>
        </w:rPr>
        <w:t>79</w:t>
      </w:r>
      <w:r w:rsidR="00173346">
        <w:rPr>
          <w:color w:val="000000" w:themeColor="text1"/>
        </w:rPr>
        <w:t>-8</w:t>
      </w:r>
      <w:r w:rsidR="00071D9D">
        <w:rPr>
          <w:color w:val="000000" w:themeColor="text1"/>
        </w:rPr>
        <w:t>7</w:t>
      </w:r>
      <w:r w:rsidR="00301CE2">
        <w:rPr>
          <w:color w:val="000000" w:themeColor="text1"/>
        </w:rPr>
        <w:t xml:space="preserve"> geschrieben werden, wurden 11 Ergebnisse geschrieben) ergibt </w:t>
      </w:r>
      <w:r>
        <w:t>sich:</w:t>
      </w:r>
    </w:p>
    <w:p w:rsidR="00E814E3" w:rsidRPr="00301CE2" w:rsidRDefault="002434D2" w:rsidP="00D17045">
      <w:pPr>
        <w:pStyle w:val="Formel"/>
      </w:pPr>
      <w:r>
        <w:rPr>
          <w:rFonts w:ascii="Cambria Math" w:eastAsia="Arial Unicode MS" w:hAnsi="Cambria Math" w:cs="Cambria Math"/>
          <w:color w:val="000000" w:themeColor="text1"/>
        </w:rPr>
        <w:t>⤳</w:t>
      </w:r>
      <w:r w:rsidR="00F34F86">
        <w:rPr>
          <w:vertAlign w:val="subscript"/>
        </w:rPr>
        <w:t>Ded</w:t>
      </w:r>
      <w:r w:rsidR="005C49A8">
        <w:t xml:space="preserve">  </w:t>
      </w:r>
      <w:r w:rsidR="005C49A8" w:rsidRPr="00301CE2">
        <w:rPr>
          <w:i/>
        </w:rPr>
        <w:t>Er</w:t>
      </w:r>
      <w:r w:rsidR="00E814E3" w:rsidRPr="00301CE2">
        <w:rPr>
          <w:vertAlign w:val="subscript"/>
        </w:rPr>
        <w:t>12</w:t>
      </w:r>
      <w:r w:rsidR="00F34F86">
        <w:t>,</w:t>
      </w:r>
      <w:r w:rsidR="00E814E3" w:rsidRPr="00301CE2">
        <w:rPr>
          <w:rFonts w:cs="Times New Roman"/>
          <w:color w:val="000000" w:themeColor="text1"/>
        </w:rPr>
        <w:t xml:space="preserve"> </w:t>
      </w:r>
      <w:r w:rsidR="005C49A8" w:rsidRPr="00301CE2">
        <w:rPr>
          <w:i/>
        </w:rPr>
        <w:t>Er</w:t>
      </w:r>
      <w:r w:rsidR="00E814E3" w:rsidRPr="00301CE2">
        <w:rPr>
          <w:vertAlign w:val="subscript"/>
        </w:rPr>
        <w:t>13</w:t>
      </w:r>
    </w:p>
    <w:p w:rsidR="003039D8" w:rsidRDefault="003039D8" w:rsidP="00D17045">
      <w:pPr>
        <w:pStyle w:val="Text"/>
        <w:ind w:firstLine="0"/>
      </w:pPr>
      <w:r>
        <w:t>Insgesamt ergibt sich somit die Erzeugungsformel:</w:t>
      </w:r>
    </w:p>
    <w:p w:rsidR="003039D8" w:rsidRPr="00301CE2" w:rsidRDefault="003039D8" w:rsidP="00D17045">
      <w:pPr>
        <w:pStyle w:val="Formel"/>
      </w:pPr>
      <w:r>
        <w:rPr>
          <w:i/>
        </w:rPr>
        <w:t>B</w:t>
      </w:r>
      <w:r>
        <w:rPr>
          <w:vertAlign w:val="subscript"/>
        </w:rPr>
        <w:t>2</w:t>
      </w:r>
      <w:r>
        <w:t xml:space="preserve"> </w:t>
      </w:r>
      <w:r>
        <w:rPr>
          <w:rFonts w:ascii="Cambria Math" w:hAnsi="Cambria Math" w:cs="Cambria Math"/>
          <w:color w:val="000000" w:themeColor="text1"/>
        </w:rPr>
        <w:t>∧</w:t>
      </w:r>
      <w:r>
        <w:rPr>
          <w:rFonts w:cs="Times New Roman"/>
          <w:color w:val="000000" w:themeColor="text1"/>
        </w:rPr>
        <w:t xml:space="preserve"> </w:t>
      </w:r>
      <w:r w:rsidR="00F34F86">
        <w:rPr>
          <w:i/>
        </w:rPr>
        <w:t>B</w:t>
      </w:r>
      <w:r w:rsidR="00F34F86">
        <w:rPr>
          <w:vertAlign w:val="subscript"/>
        </w:rPr>
        <w:t>4</w:t>
      </w:r>
      <w:r w:rsidR="00F34F86">
        <w:t xml:space="preserve"> </w:t>
      </w:r>
      <w:r w:rsidR="00F34F86">
        <w:rPr>
          <w:rFonts w:ascii="Cambria Math" w:hAnsi="Cambria Math" w:cs="Cambria Math"/>
          <w:color w:val="000000" w:themeColor="text1"/>
        </w:rPr>
        <w:t>∧</w:t>
      </w:r>
      <w:r w:rsidR="00F34F86">
        <w:rPr>
          <w:rFonts w:cs="Times New Roman"/>
          <w:color w:val="000000" w:themeColor="text1"/>
        </w:rPr>
        <w:t xml:space="preserve"> </w:t>
      </w:r>
      <w:r>
        <w:rPr>
          <w:i/>
        </w:rPr>
        <w:t>B</w:t>
      </w:r>
      <w:r w:rsidR="00F34F86">
        <w:rPr>
          <w:vertAlign w:val="subscript"/>
        </w:rPr>
        <w:t>16</w:t>
      </w:r>
      <w:r>
        <w:t xml:space="preserve"> </w:t>
      </w:r>
      <w:r>
        <w:rPr>
          <w:rFonts w:ascii="Cambria Math" w:hAnsi="Cambria Math" w:cs="Cambria Math"/>
          <w:color w:val="000000" w:themeColor="text1"/>
        </w:rPr>
        <w:t>∧</w:t>
      </w:r>
      <w:r>
        <w:rPr>
          <w:rFonts w:cs="Times New Roman"/>
          <w:color w:val="000000" w:themeColor="text1"/>
        </w:rPr>
        <w:t xml:space="preserve"> </w:t>
      </w:r>
      <w:r>
        <w:rPr>
          <w:i/>
        </w:rPr>
        <w:t>B</w:t>
      </w:r>
      <w:r>
        <w:rPr>
          <w:vertAlign w:val="subscript"/>
        </w:rPr>
        <w:t>1</w:t>
      </w:r>
      <w:r w:rsidR="0078247C">
        <w:rPr>
          <w:vertAlign w:val="subscript"/>
        </w:rPr>
        <w:t>7</w:t>
      </w:r>
      <w:r>
        <w:t xml:space="preserve"> </w:t>
      </w:r>
      <w:r>
        <w:rPr>
          <w:rFonts w:ascii="Cambria Math" w:hAnsi="Cambria Math" w:cs="Cambria Math"/>
          <w:color w:val="000000" w:themeColor="text1"/>
        </w:rPr>
        <w:t>∧</w:t>
      </w:r>
      <w:r w:rsidRPr="001E2D0D">
        <w:rPr>
          <w:i/>
        </w:rPr>
        <w:t xml:space="preserve"> </w:t>
      </w:r>
      <w:r w:rsidR="0078247C">
        <w:rPr>
          <w:i/>
        </w:rPr>
        <w:t>Er</w:t>
      </w:r>
      <w:r w:rsidR="0078247C">
        <w:rPr>
          <w:vertAlign w:val="subscript"/>
        </w:rPr>
        <w:t>7</w:t>
      </w:r>
      <w:r w:rsidR="0078247C">
        <w:t xml:space="preserve"> </w:t>
      </w:r>
      <w:r w:rsidR="0078247C">
        <w:rPr>
          <w:rFonts w:ascii="Cambria Math" w:hAnsi="Cambria Math" w:cs="Cambria Math"/>
          <w:color w:val="000000" w:themeColor="text1"/>
        </w:rPr>
        <w:t>∧</w:t>
      </w:r>
      <w:r w:rsidR="0078247C">
        <w:rPr>
          <w:rFonts w:cs="Times New Roman"/>
          <w:color w:val="000000" w:themeColor="text1"/>
        </w:rPr>
        <w:t xml:space="preserve"> </w:t>
      </w:r>
      <w:r w:rsidR="0078247C">
        <w:rPr>
          <w:i/>
        </w:rPr>
        <w:t>Er</w:t>
      </w:r>
      <w:r w:rsidR="0078247C">
        <w:rPr>
          <w:vertAlign w:val="subscript"/>
        </w:rPr>
        <w:t>(f)3</w:t>
      </w:r>
      <w:r w:rsidR="0078247C">
        <w:t xml:space="preserve"> </w:t>
      </w:r>
      <w:r w:rsidR="0078247C">
        <w:rPr>
          <w:rFonts w:ascii="Cambria Math" w:hAnsi="Cambria Math" w:cs="Cambria Math"/>
          <w:color w:val="000000" w:themeColor="text1"/>
        </w:rPr>
        <w:t>∧</w:t>
      </w:r>
      <w:r w:rsidR="0078247C">
        <w:rPr>
          <w:rFonts w:cs="Times New Roman"/>
          <w:color w:val="000000" w:themeColor="text1"/>
        </w:rPr>
        <w:t xml:space="preserve"> </w:t>
      </w:r>
      <w:r w:rsidR="0078247C">
        <w:rPr>
          <w:i/>
        </w:rPr>
        <w:t>Er</w:t>
      </w:r>
      <w:r w:rsidR="0078247C">
        <w:rPr>
          <w:vertAlign w:val="subscript"/>
        </w:rPr>
        <w:t>(f)7</w:t>
      </w:r>
      <w:r w:rsidR="0078247C">
        <w:t xml:space="preserve"> </w:t>
      </w:r>
      <w:r w:rsidR="0078247C">
        <w:rPr>
          <w:rFonts w:ascii="Cambria Math" w:hAnsi="Cambria Math" w:cs="Cambria Math"/>
          <w:color w:val="000000" w:themeColor="text1"/>
        </w:rPr>
        <w:t>∧</w:t>
      </w:r>
      <w:r w:rsidR="0078247C">
        <w:rPr>
          <w:rFonts w:cs="Times New Roman"/>
          <w:color w:val="000000" w:themeColor="text1"/>
        </w:rPr>
        <w:t xml:space="preserve"> </w:t>
      </w:r>
      <w:r w:rsidR="0078247C">
        <w:rPr>
          <w:i/>
        </w:rPr>
        <w:t>Er</w:t>
      </w:r>
      <w:r w:rsidR="0078247C">
        <w:rPr>
          <w:vertAlign w:val="subscript"/>
        </w:rPr>
        <w:t>(f)11</w:t>
      </w:r>
      <w:r w:rsidR="0078247C">
        <w:t xml:space="preserve"> </w:t>
      </w:r>
      <w:r w:rsidR="0078247C">
        <w:rPr>
          <w:rFonts w:ascii="Cambria Math" w:hAnsi="Cambria Math" w:cs="Cambria Math"/>
          <w:color w:val="000000" w:themeColor="text1"/>
        </w:rPr>
        <w:t>∧</w:t>
      </w:r>
      <w:r w:rsidR="0078247C">
        <w:t xml:space="preserve"> </w:t>
      </w:r>
      <w:r w:rsidR="00CC156D" w:rsidRPr="00111987">
        <w:rPr>
          <w:i/>
        </w:rPr>
        <w:t>H</w:t>
      </w:r>
      <w:r w:rsidR="00CC156D" w:rsidRPr="00111987">
        <w:rPr>
          <w:vertAlign w:val="subscript"/>
        </w:rPr>
        <w:t>3</w:t>
      </w:r>
      <w:r w:rsidR="00CC156D" w:rsidRPr="00111987">
        <w:t xml:space="preserve"> </w:t>
      </w:r>
      <w:r w:rsidR="00CC156D" w:rsidRPr="00111987">
        <w:rPr>
          <w:rFonts w:ascii="Cambria Math" w:hAnsi="Cambria Math" w:cs="Cambria Math"/>
          <w:color w:val="000000" w:themeColor="text1"/>
        </w:rPr>
        <w:t>∧</w:t>
      </w:r>
      <w:r w:rsidR="00CC156D" w:rsidRPr="00111987">
        <w:rPr>
          <w:rFonts w:cs="Times New Roman"/>
          <w:color w:val="000000" w:themeColor="text1"/>
        </w:rPr>
        <w:t xml:space="preserve"> </w:t>
      </w:r>
      <w:r w:rsidRPr="00111987">
        <w:rPr>
          <w:i/>
        </w:rPr>
        <w:t>H</w:t>
      </w:r>
      <w:r w:rsidR="00CC156D">
        <w:rPr>
          <w:vertAlign w:val="subscript"/>
        </w:rPr>
        <w:t>8</w:t>
      </w:r>
      <w:r>
        <w:t xml:space="preserve"> </w:t>
      </w:r>
      <w:r w:rsidR="002434D2">
        <w:rPr>
          <w:rFonts w:ascii="Cambria Math" w:eastAsia="Arial Unicode MS" w:hAnsi="Cambria Math" w:cs="Cambria Math"/>
          <w:color w:val="000000" w:themeColor="text1"/>
        </w:rPr>
        <w:t>⤳</w:t>
      </w:r>
      <w:r w:rsidR="004F4971">
        <w:rPr>
          <w:vertAlign w:val="subscript"/>
        </w:rPr>
        <w:t>Ded</w:t>
      </w:r>
      <w:r>
        <w:t xml:space="preserve">  </w:t>
      </w:r>
      <w:r w:rsidRPr="00301CE2">
        <w:rPr>
          <w:i/>
        </w:rPr>
        <w:t>Er</w:t>
      </w:r>
      <w:r w:rsidRPr="00301CE2">
        <w:rPr>
          <w:vertAlign w:val="subscript"/>
        </w:rPr>
        <w:t>12</w:t>
      </w:r>
      <w:r>
        <w:rPr>
          <w:rFonts w:cs="Times New Roman"/>
          <w:color w:val="000000" w:themeColor="text1"/>
        </w:rPr>
        <w:t xml:space="preserve">, </w:t>
      </w:r>
      <w:r w:rsidRPr="00301CE2">
        <w:rPr>
          <w:i/>
        </w:rPr>
        <w:t>Er</w:t>
      </w:r>
      <w:r w:rsidRPr="00301CE2">
        <w:rPr>
          <w:vertAlign w:val="subscript"/>
        </w:rPr>
        <w:t>13</w:t>
      </w:r>
    </w:p>
    <w:p w:rsidR="00177CCD" w:rsidRPr="00DC49C3" w:rsidRDefault="00177CCD" w:rsidP="00D17045">
      <w:pPr>
        <w:pStyle w:val="Text"/>
        <w:ind w:firstLine="0"/>
        <w:rPr>
          <w:i/>
        </w:rPr>
      </w:pPr>
      <w:r w:rsidRPr="00DC49C3">
        <w:rPr>
          <w:i/>
        </w:rPr>
        <w:t xml:space="preserve">Die </w:t>
      </w:r>
      <w:r>
        <w:rPr>
          <w:i/>
        </w:rPr>
        <w:t xml:space="preserve">neu erzeugten </w:t>
      </w:r>
      <w:r w:rsidR="00D17045">
        <w:rPr>
          <w:i/>
        </w:rPr>
        <w:t>Ergebnisse werden geschrieben:</w:t>
      </w:r>
    </w:p>
    <w:p w:rsidR="00177CCD" w:rsidRPr="00DB0613" w:rsidRDefault="00177CCD" w:rsidP="00177CCD">
      <w:pPr>
        <w:pStyle w:val="Text"/>
      </w:pPr>
      <w:r w:rsidRPr="00DB0613">
        <w:t xml:space="preserve">Zeile </w:t>
      </w:r>
      <w:r w:rsidR="00570716">
        <w:t>79</w:t>
      </w:r>
      <w:r>
        <w:t xml:space="preserve"> </w:t>
      </w:r>
      <w:r w:rsidRPr="00DB0613">
        <w:t xml:space="preserve">gibt an, dass die eingerückt </w:t>
      </w:r>
      <w:r w:rsidR="007F02CB">
        <w:t>folgende Anweisung</w:t>
      </w:r>
      <w:r w:rsidRPr="00DB0613">
        <w:t xml:space="preserve"> für die Variable </w:t>
      </w:r>
      <w:r>
        <w:rPr>
          <w:i/>
          <w:iCs/>
        </w:rPr>
        <w:t>n</w:t>
      </w:r>
      <w:r w:rsidRPr="00DB0613">
        <w:t xml:space="preserve"> von 1 bis zur Anzahl der Elemente von </w:t>
      </w:r>
      <w:r w:rsidRPr="005143D9">
        <w:rPr>
          <w:i/>
          <w:color w:val="000000" w:themeColor="text1"/>
        </w:rPr>
        <w:t>E</w:t>
      </w:r>
      <w:r w:rsidR="00713AB0">
        <w:rPr>
          <w:i/>
          <w:color w:val="000000" w:themeColor="text1"/>
        </w:rPr>
        <w:t>r</w:t>
      </w:r>
      <w:r w:rsidRPr="005143D9">
        <w:rPr>
          <w:i/>
          <w:color w:val="000000" w:themeColor="text1"/>
        </w:rPr>
        <w:t>*</w:t>
      </w:r>
      <w:r w:rsidRPr="00DB0613">
        <w:t xml:space="preserve"> ausgeführt wird.</w:t>
      </w:r>
    </w:p>
    <w:p w:rsidR="00177CCD" w:rsidRDefault="009D7FB3" w:rsidP="00177CCD">
      <w:pPr>
        <w:pStyle w:val="Text"/>
      </w:pPr>
      <w:r>
        <w:t xml:space="preserve">In Zeile </w:t>
      </w:r>
      <w:r w:rsidR="00570716">
        <w:t>80</w:t>
      </w:r>
      <w:r w:rsidR="00177CCD">
        <w:t xml:space="preserve"> wird </w:t>
      </w:r>
      <w:r w:rsidR="00177CCD">
        <w:rPr>
          <w:i/>
          <w:color w:val="000000" w:themeColor="text1"/>
        </w:rPr>
        <w:t>z</w:t>
      </w:r>
      <w:r w:rsidR="00177CCD">
        <w:t>, der Zähler für die geschriebenen neu erzeugten Ergebni</w:t>
      </w:r>
      <w:r w:rsidR="00177CCD">
        <w:t>s</w:t>
      </w:r>
      <w:r w:rsidR="00177CCD">
        <w:t>se, um 1 erhöht.</w:t>
      </w:r>
    </w:p>
    <w:p w:rsidR="004F4971" w:rsidRDefault="009D7FB3" w:rsidP="00177CCD">
      <w:pPr>
        <w:pStyle w:val="Text"/>
      </w:pPr>
      <w:r>
        <w:t>In Zeile 8</w:t>
      </w:r>
      <w:r w:rsidR="00570716">
        <w:t>1</w:t>
      </w:r>
      <w:r w:rsidR="00177CCD">
        <w:t xml:space="preserve"> wird mit der Funktion </w:t>
      </w:r>
      <w:r w:rsidR="00177CCD" w:rsidRPr="00337D36">
        <w:rPr>
          <w:i/>
        </w:rPr>
        <w:t>write</w:t>
      </w:r>
      <w:r w:rsidR="00177CCD">
        <w:t xml:space="preserve"> </w:t>
      </w:r>
      <w:r w:rsidR="004F4971">
        <w:t>der Bezeichner für neu erzeugte E</w:t>
      </w:r>
      <w:r w:rsidR="004F4971">
        <w:t>r</w:t>
      </w:r>
      <w:r w:rsidR="004F4971">
        <w:t xml:space="preserve">gebnisse „Er“ geschrieben, mit dem Index </w:t>
      </w:r>
      <w:r w:rsidR="004F4971">
        <w:rPr>
          <w:i/>
        </w:rPr>
        <w:t>z</w:t>
      </w:r>
      <w:r w:rsidR="004F4971">
        <w:t xml:space="preserve">, </w:t>
      </w:r>
      <w:r w:rsidR="00173346">
        <w:t xml:space="preserve">der </w:t>
      </w:r>
      <w:r w:rsidR="004F4971">
        <w:t>die geschriebenen neu erzeugten Ergebnisse durchnumme</w:t>
      </w:r>
      <w:r w:rsidR="008C597B">
        <w:t>riert.</w:t>
      </w:r>
    </w:p>
    <w:p w:rsidR="004F4971" w:rsidRDefault="004F4971" w:rsidP="00177CCD">
      <w:pPr>
        <w:pStyle w:val="Text"/>
      </w:pPr>
      <w:r>
        <w:t>Zeile 8</w:t>
      </w:r>
      <w:r w:rsidR="00570716">
        <w:t>2</w:t>
      </w:r>
      <w:r>
        <w:t xml:space="preserve"> gibt an, dass die eingerückt </w:t>
      </w:r>
      <w:r w:rsidR="007F02CB">
        <w:t>folgende Anweisung</w:t>
      </w:r>
      <w:r>
        <w:t xml:space="preserve"> ausgeführt wird, wenn </w:t>
      </w:r>
      <w:r w:rsidRPr="004F4971">
        <w:rPr>
          <w:i/>
          <w:color w:val="000000" w:themeColor="text1"/>
        </w:rPr>
        <w:t>E</w:t>
      </w:r>
      <w:r w:rsidR="00713AB0">
        <w:rPr>
          <w:i/>
          <w:color w:val="000000" w:themeColor="text1"/>
        </w:rPr>
        <w:t>r</w:t>
      </w:r>
      <w:r w:rsidRPr="004F4971">
        <w:rPr>
          <w:i/>
          <w:color w:val="000000" w:themeColor="text1"/>
        </w:rPr>
        <w:t>*</w:t>
      </w:r>
      <w:r w:rsidRPr="004F4971">
        <w:rPr>
          <w:i/>
          <w:color w:val="000000" w:themeColor="text1"/>
          <w:vertAlign w:val="subscript"/>
        </w:rPr>
        <w:t>n</w:t>
      </w:r>
      <w:r>
        <w:t xml:space="preserve"> </w:t>
      </w:r>
      <w:r w:rsidR="004E0CFE">
        <w:t xml:space="preserve">nicht </w:t>
      </w:r>
      <w:r>
        <w:t>die Sorte „</w:t>
      </w:r>
      <w:r w:rsidR="004E0CFE">
        <w:t>p</w:t>
      </w:r>
      <w:r>
        <w:t>“ („</w:t>
      </w:r>
      <w:r w:rsidR="004E0CFE">
        <w:t>Proposition</w:t>
      </w:r>
      <w:r>
        <w:t>“)</w:t>
      </w:r>
      <w:r w:rsidR="0021789B">
        <w:t xml:space="preserve"> hat. (Vgl. zur Funktion </w:t>
      </w:r>
      <w:r w:rsidR="0021789B" w:rsidRPr="00337D36">
        <w:rPr>
          <w:i/>
        </w:rPr>
        <w:t>Sorte</w:t>
      </w:r>
      <w:r w:rsidR="0021789B">
        <w:t xml:space="preserve"> die Erläuterung unter</w:t>
      </w:r>
      <w:r>
        <w:t xml:space="preserve"> </w:t>
      </w:r>
      <w:r w:rsidR="005D7996">
        <w:fldChar w:fldCharType="begin"/>
      </w:r>
      <w:r>
        <w:instrText xml:space="preserve"> REF _Ref255767436 \r \h </w:instrText>
      </w:r>
      <w:r w:rsidR="005D7996">
        <w:fldChar w:fldCharType="separate"/>
      </w:r>
      <w:r w:rsidR="001231D3">
        <w:t>7.2.1</w:t>
      </w:r>
      <w:r w:rsidR="005D7996">
        <w:fldChar w:fldCharType="end"/>
      </w:r>
      <w:r w:rsidR="0021789B">
        <w:t>.)</w:t>
      </w:r>
    </w:p>
    <w:p w:rsidR="0021789B" w:rsidRDefault="0021789B" w:rsidP="0021789B">
      <w:pPr>
        <w:pStyle w:val="Text"/>
      </w:pPr>
      <w:r>
        <w:lastRenderedPageBreak/>
        <w:t>In Zeile 8</w:t>
      </w:r>
      <w:r w:rsidR="00570716">
        <w:t>3</w:t>
      </w:r>
      <w:r>
        <w:t xml:space="preserve"> wird mit Hilfe der Funktion </w:t>
      </w:r>
      <w:r w:rsidRPr="00337D36">
        <w:rPr>
          <w:i/>
        </w:rPr>
        <w:t>write</w:t>
      </w:r>
      <w:r>
        <w:t xml:space="preserve"> die Sorte von </w:t>
      </w:r>
      <w:r w:rsidRPr="004F4971">
        <w:rPr>
          <w:i/>
          <w:color w:val="000000" w:themeColor="text1"/>
        </w:rPr>
        <w:t>E</w:t>
      </w:r>
      <w:r w:rsidR="00713AB0">
        <w:rPr>
          <w:i/>
          <w:color w:val="000000" w:themeColor="text1"/>
        </w:rPr>
        <w:t>r</w:t>
      </w:r>
      <w:r w:rsidRPr="004F4971">
        <w:rPr>
          <w:i/>
          <w:color w:val="000000" w:themeColor="text1"/>
        </w:rPr>
        <w:t>*</w:t>
      </w:r>
      <w:r w:rsidRPr="004F4971">
        <w:rPr>
          <w:i/>
          <w:color w:val="000000" w:themeColor="text1"/>
          <w:vertAlign w:val="subscript"/>
        </w:rPr>
        <w:t>n</w:t>
      </w:r>
      <w:r>
        <w:t xml:space="preserve"> in </w:t>
      </w:r>
      <w:r w:rsidR="008C597B">
        <w:t xml:space="preserve">runde </w:t>
      </w:r>
      <w:r>
        <w:t>Klammern geschrieben.</w:t>
      </w:r>
      <w:r w:rsidR="000C3F59">
        <w:t xml:space="preserve"> (Da die meisten Ergebnisse Proposition</w:t>
      </w:r>
      <w:r w:rsidR="00FC3D1C">
        <w:t>sannahme</w:t>
      </w:r>
      <w:r w:rsidR="000C3F59">
        <w:t xml:space="preserve">n sind, wird </w:t>
      </w:r>
      <w:r w:rsidR="00DC505E">
        <w:t xml:space="preserve">die Sortenangabe </w:t>
      </w:r>
      <w:r w:rsidR="000C3F59">
        <w:t xml:space="preserve">„(p)“ </w:t>
      </w:r>
      <w:r w:rsidR="006C2FD5">
        <w:t>weggelassen</w:t>
      </w:r>
      <w:r w:rsidR="000C3F59">
        <w:t>.)</w:t>
      </w:r>
    </w:p>
    <w:p w:rsidR="0021789B" w:rsidRDefault="0021789B" w:rsidP="00177CCD">
      <w:pPr>
        <w:pStyle w:val="Text"/>
      </w:pPr>
      <w:r>
        <w:t>In Zeile 8</w:t>
      </w:r>
      <w:r w:rsidR="00570716">
        <w:t>4</w:t>
      </w:r>
      <w:r>
        <w:t xml:space="preserve"> wird die </w:t>
      </w:r>
      <w:r w:rsidR="007F02CB">
        <w:t>if-Anweisung</w:t>
      </w:r>
      <w:r>
        <w:t xml:space="preserve"> aus Zeile 8</w:t>
      </w:r>
      <w:r w:rsidR="00570716">
        <w:t>2</w:t>
      </w:r>
      <w:r>
        <w:t xml:space="preserve"> beendet.</w:t>
      </w:r>
    </w:p>
    <w:p w:rsidR="00177CCD" w:rsidRDefault="0021789B" w:rsidP="00177CCD">
      <w:pPr>
        <w:pStyle w:val="Text"/>
      </w:pPr>
      <w:r>
        <w:t>In Zeile 8</w:t>
      </w:r>
      <w:r w:rsidR="00570716">
        <w:t>5</w:t>
      </w:r>
      <w:r>
        <w:t xml:space="preserve"> wird </w:t>
      </w:r>
      <w:r w:rsidR="008C597B">
        <w:t xml:space="preserve">hinter einem Doppelpunkt </w:t>
      </w:r>
      <w:r w:rsidR="00177CCD">
        <w:t xml:space="preserve">das neu erzeugte Ergebnis </w:t>
      </w:r>
      <w:r w:rsidR="00DD2BD4">
        <w:rPr>
          <w:i/>
          <w:color w:val="000000" w:themeColor="text1"/>
        </w:rPr>
        <w:t>E</w:t>
      </w:r>
      <w:r w:rsidR="00713AB0">
        <w:rPr>
          <w:i/>
          <w:color w:val="000000" w:themeColor="text1"/>
        </w:rPr>
        <w:t>r</w:t>
      </w:r>
      <w:r w:rsidR="00DD2BD4" w:rsidRPr="005143D9">
        <w:rPr>
          <w:i/>
          <w:color w:val="000000" w:themeColor="text1"/>
        </w:rPr>
        <w:t>*</w:t>
      </w:r>
      <w:r w:rsidR="00DD2BD4" w:rsidRPr="005B368F">
        <w:rPr>
          <w:i/>
          <w:color w:val="000000" w:themeColor="text1"/>
          <w:vertAlign w:val="subscript"/>
        </w:rPr>
        <w:t>n</w:t>
      </w:r>
      <w:r>
        <w:t xml:space="preserve"> </w:t>
      </w:r>
      <w:r w:rsidR="008C597B">
        <w:t>in einfache</w:t>
      </w:r>
      <w:r>
        <w:t xml:space="preserve">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t xml:space="preserve"> geschrieben. </w:t>
      </w:r>
      <w:r w:rsidR="00177CCD">
        <w:t xml:space="preserve">Beispielsweise wird </w:t>
      </w:r>
      <w:r w:rsidR="008C597B">
        <w:t xml:space="preserve">in </w:t>
      </w:r>
      <w:r w:rsidR="00D82A7B">
        <w:t>Zeile</w:t>
      </w:r>
      <w:r w:rsidR="008C597B">
        <w:t xml:space="preserve"> 8</w:t>
      </w:r>
      <w:r w:rsidR="00C20145">
        <w:t>0</w:t>
      </w:r>
      <w:r w:rsidR="008C597B">
        <w:t xml:space="preserve"> bis 8</w:t>
      </w:r>
      <w:r w:rsidR="00C20145">
        <w:t>4</w:t>
      </w:r>
      <w:r w:rsidR="008C597B">
        <w:t xml:space="preserve"> </w:t>
      </w:r>
      <w:r w:rsidR="00177CCD">
        <w:t xml:space="preserve">das neu erzeugte Ergebnis </w:t>
      </w:r>
      <w:r w:rsidR="00177CCD">
        <w:rPr>
          <w:i/>
          <w:color w:val="000000" w:themeColor="text1"/>
        </w:rPr>
        <w:t>E</w:t>
      </w:r>
      <w:r w:rsidR="00713AB0">
        <w:rPr>
          <w:i/>
          <w:color w:val="000000" w:themeColor="text1"/>
        </w:rPr>
        <w:t>r</w:t>
      </w:r>
      <w:r w:rsidR="00177CCD" w:rsidRPr="005143D9">
        <w:rPr>
          <w:i/>
          <w:color w:val="000000" w:themeColor="text1"/>
        </w:rPr>
        <w:t>*</w:t>
      </w:r>
      <w:r w:rsidR="00177CCD" w:rsidRPr="005B368F">
        <w:rPr>
          <w:i/>
          <w:color w:val="000000" w:themeColor="text1"/>
          <w:vertAlign w:val="subscript"/>
        </w:rPr>
        <w:t>n</w:t>
      </w:r>
      <w:r w:rsidR="00177CCD">
        <w:t xml:space="preserve"> mit </w:t>
      </w:r>
      <w:r w:rsidR="00177CCD">
        <w:rPr>
          <w:i/>
        </w:rPr>
        <w:t>z</w:t>
      </w:r>
      <w:r w:rsidR="00177CCD">
        <w:t xml:space="preserve"> = 1 </w:t>
      </w:r>
      <w:r w:rsidR="008C597B">
        <w:t>und Sorte (</w:t>
      </w:r>
      <w:r w:rsidR="008C597B">
        <w:rPr>
          <w:i/>
          <w:color w:val="000000" w:themeColor="text1"/>
        </w:rPr>
        <w:t>E</w:t>
      </w:r>
      <w:r w:rsidR="00713AB0">
        <w:rPr>
          <w:i/>
          <w:color w:val="000000" w:themeColor="text1"/>
        </w:rPr>
        <w:t>r</w:t>
      </w:r>
      <w:r w:rsidR="008C597B" w:rsidRPr="005143D9">
        <w:rPr>
          <w:i/>
          <w:color w:val="000000" w:themeColor="text1"/>
        </w:rPr>
        <w:t>*</w:t>
      </w:r>
      <w:r w:rsidR="008C597B" w:rsidRPr="005B368F">
        <w:rPr>
          <w:i/>
          <w:color w:val="000000" w:themeColor="text1"/>
          <w:vertAlign w:val="subscript"/>
        </w:rPr>
        <w:t>n</w:t>
      </w:r>
      <w:r w:rsidR="008C597B">
        <w:t xml:space="preserve">) = g </w:t>
      </w:r>
      <w:r w:rsidR="00177CCD">
        <w:t>geschrieben als:</w:t>
      </w:r>
    </w:p>
    <w:p w:rsidR="00177CCD" w:rsidRDefault="006B5ACE" w:rsidP="00CB2DFA">
      <w:pPr>
        <w:pStyle w:val="Formel"/>
      </w:pPr>
      <w:r>
        <w:rPr>
          <w:i/>
          <w:color w:val="000000" w:themeColor="text1"/>
        </w:rPr>
        <w:t>Er</w:t>
      </w:r>
      <w:r w:rsidR="00177CCD" w:rsidRPr="005B368F">
        <w:rPr>
          <w:color w:val="000000" w:themeColor="text1"/>
          <w:vertAlign w:val="subscript"/>
        </w:rPr>
        <w:t>1</w:t>
      </w:r>
      <w:r w:rsidR="008C597B">
        <w:t xml:space="preserve"> (g): ‚</w:t>
      </w:r>
      <w:r w:rsidR="00177CCD">
        <w:t>[</w:t>
      </w:r>
      <w:r w:rsidR="00177CCD">
        <w:rPr>
          <w:i/>
          <w:color w:val="000000" w:themeColor="text1"/>
        </w:rPr>
        <w:t>E</w:t>
      </w:r>
      <w:r w:rsidR="00713AB0">
        <w:rPr>
          <w:i/>
          <w:color w:val="000000" w:themeColor="text1"/>
        </w:rPr>
        <w:t>r</w:t>
      </w:r>
      <w:r w:rsidR="00177CCD" w:rsidRPr="005143D9">
        <w:rPr>
          <w:i/>
          <w:color w:val="000000" w:themeColor="text1"/>
        </w:rPr>
        <w:t>*</w:t>
      </w:r>
      <w:r w:rsidR="00177CCD" w:rsidRPr="005B368F">
        <w:rPr>
          <w:i/>
          <w:color w:val="000000" w:themeColor="text1"/>
          <w:vertAlign w:val="subscript"/>
        </w:rPr>
        <w:t>n</w:t>
      </w:r>
      <w:r w:rsidR="00177CCD">
        <w:t>]‘</w:t>
      </w:r>
    </w:p>
    <w:p w:rsidR="00177CCD" w:rsidRDefault="00177CCD" w:rsidP="008767EB">
      <w:pPr>
        <w:pStyle w:val="Text"/>
        <w:ind w:firstLine="0"/>
        <w:rPr>
          <w:iCs/>
        </w:rPr>
      </w:pPr>
      <w:r>
        <w:rPr>
          <w:iCs/>
        </w:rPr>
        <w:t>Danach wird eine neue Zeile begonnen.</w:t>
      </w:r>
    </w:p>
    <w:p w:rsidR="009D7FB3" w:rsidRDefault="0021789B" w:rsidP="00177CCD">
      <w:pPr>
        <w:pStyle w:val="Text"/>
        <w:rPr>
          <w:iCs/>
        </w:rPr>
      </w:pPr>
      <w:r>
        <w:t>In Zeile 8</w:t>
      </w:r>
      <w:r w:rsidR="00570716">
        <w:t>6</w:t>
      </w:r>
      <w:r w:rsidR="009D7FB3">
        <w:t xml:space="preserve"> wird </w:t>
      </w:r>
      <w:r w:rsidR="009D7FB3">
        <w:rPr>
          <w:i/>
          <w:color w:val="000000" w:themeColor="text1"/>
        </w:rPr>
        <w:t>E</w:t>
      </w:r>
      <w:r w:rsidR="00713AB0">
        <w:rPr>
          <w:i/>
          <w:color w:val="000000" w:themeColor="text1"/>
        </w:rPr>
        <w:t>r</w:t>
      </w:r>
      <w:r w:rsidR="009D7FB3" w:rsidRPr="005143D9">
        <w:rPr>
          <w:i/>
          <w:color w:val="000000" w:themeColor="text1"/>
        </w:rPr>
        <w:t>*</w:t>
      </w:r>
      <w:r w:rsidR="009D7FB3" w:rsidRPr="005B368F">
        <w:rPr>
          <w:i/>
          <w:color w:val="000000" w:themeColor="text1"/>
          <w:vertAlign w:val="subscript"/>
        </w:rPr>
        <w:t>n</w:t>
      </w:r>
      <w:r w:rsidR="009D7FB3">
        <w:t>, die Sortenbezeichnung „Er“ für neu erzeugte Erge</w:t>
      </w:r>
      <w:r w:rsidR="009D7FB3">
        <w:t>b</w:t>
      </w:r>
      <w:r w:rsidR="009D7FB3">
        <w:t xml:space="preserve">nisse und der Zähler </w:t>
      </w:r>
      <w:r w:rsidR="009D7FB3">
        <w:rPr>
          <w:i/>
        </w:rPr>
        <w:t>w</w:t>
      </w:r>
      <w:r w:rsidR="009D7FB3">
        <w:t xml:space="preserve">, mit dem als Index </w:t>
      </w:r>
      <w:r w:rsidR="00DD2BD4">
        <w:t xml:space="preserve">das Ergebnis </w:t>
      </w:r>
      <w:r w:rsidR="009D7FB3">
        <w:t xml:space="preserve">geschrieben wurde, in einen 3-Tupel geschrieben und zu </w:t>
      </w:r>
      <w:r w:rsidR="009D7FB3" w:rsidRPr="004D21DE">
        <w:rPr>
          <w:i/>
        </w:rPr>
        <w:t>G</w:t>
      </w:r>
      <w:r w:rsidR="009D7FB3">
        <w:t>, der Menge der geschriebenen Elemente, hinzugefügt.</w:t>
      </w:r>
    </w:p>
    <w:p w:rsidR="004D6106" w:rsidRDefault="004D6106" w:rsidP="004D6106">
      <w:pPr>
        <w:pStyle w:val="Text"/>
      </w:pPr>
      <w:r w:rsidRPr="0071334B">
        <w:t xml:space="preserve">In Zeile </w:t>
      </w:r>
      <w:r w:rsidR="00570716">
        <w:t>87</w:t>
      </w:r>
      <w:r w:rsidR="009D7FB3">
        <w:t xml:space="preserve"> </w:t>
      </w:r>
      <w:r w:rsidRPr="0071334B">
        <w:t xml:space="preserve">wird die for-Schleife aus Zeile </w:t>
      </w:r>
      <w:r w:rsidR="00570716">
        <w:t>79</w:t>
      </w:r>
      <w:r>
        <w:t xml:space="preserve"> </w:t>
      </w:r>
      <w:r w:rsidRPr="0071334B">
        <w:t>beendet.</w:t>
      </w:r>
    </w:p>
    <w:p w:rsidR="00177CCD" w:rsidRDefault="004D6106" w:rsidP="00640FE5">
      <w:pPr>
        <w:pStyle w:val="Text"/>
      </w:pPr>
      <w:r>
        <w:t xml:space="preserve">In Zeile </w:t>
      </w:r>
      <w:r w:rsidR="00570716">
        <w:t>88</w:t>
      </w:r>
      <w:r>
        <w:t xml:space="preserve"> werden die Zähler</w:t>
      </w:r>
      <w:r w:rsidRPr="002A7646">
        <w:rPr>
          <w:color w:val="000000" w:themeColor="text1"/>
        </w:rPr>
        <w:t xml:space="preserve"> </w:t>
      </w:r>
      <w:r w:rsidRPr="00A30220">
        <w:rPr>
          <w:i/>
          <w:color w:val="000000" w:themeColor="text1"/>
        </w:rPr>
        <w:t>w</w:t>
      </w:r>
      <w:r w:rsidRPr="00A30220">
        <w:rPr>
          <w:color w:val="000000" w:themeColor="text1"/>
        </w:rPr>
        <w:t xml:space="preserve">, </w:t>
      </w:r>
      <w:r w:rsidRPr="00A30220">
        <w:rPr>
          <w:i/>
          <w:color w:val="000000" w:themeColor="text1"/>
        </w:rPr>
        <w:t>x</w:t>
      </w:r>
      <w:r w:rsidRPr="00A30220">
        <w:rPr>
          <w:color w:val="000000" w:themeColor="text1"/>
        </w:rPr>
        <w:t xml:space="preserve">, </w:t>
      </w:r>
      <w:r w:rsidRPr="00A30220">
        <w:rPr>
          <w:i/>
          <w:color w:val="000000" w:themeColor="text1"/>
        </w:rPr>
        <w:t>y</w:t>
      </w:r>
      <w:r>
        <w:rPr>
          <w:color w:val="000000" w:themeColor="text1"/>
        </w:rPr>
        <w:t xml:space="preserve"> und</w:t>
      </w:r>
      <w:r w:rsidRPr="00A30220">
        <w:rPr>
          <w:color w:val="000000" w:themeColor="text1"/>
        </w:rPr>
        <w:t xml:space="preserve"> </w:t>
      </w:r>
      <w:r w:rsidRPr="00A30220">
        <w:rPr>
          <w:i/>
          <w:color w:val="000000" w:themeColor="text1"/>
        </w:rPr>
        <w:t>z</w:t>
      </w:r>
      <w:r>
        <w:t xml:space="preserve"> zur 4-Tupel-Variable</w:t>
      </w:r>
      <w:r w:rsidR="005D7996">
        <w:fldChar w:fldCharType="begin"/>
      </w:r>
      <w:r w:rsidR="001F13E4">
        <w:instrText xml:space="preserve"> XE "</w:instrText>
      </w:r>
      <w:r w:rsidR="001F13E4" w:rsidRPr="009A0312">
        <w:rPr>
          <w:color w:val="000000" w:themeColor="text1"/>
        </w:rPr>
        <w:instrText>Tupel-Variable</w:instrText>
      </w:r>
      <w:r w:rsidR="001F13E4">
        <w:instrText xml:space="preserve">" </w:instrText>
      </w:r>
      <w:r w:rsidR="005D7996">
        <w:fldChar w:fldCharType="end"/>
      </w:r>
      <w:r>
        <w:t xml:space="preserve"> </w:t>
      </w:r>
      <w:r w:rsidRPr="004D6106">
        <w:rPr>
          <w:i/>
        </w:rPr>
        <w:t>Z</w:t>
      </w:r>
      <w:r>
        <w:t xml:space="preserve"> zusa</w:t>
      </w:r>
      <w:r>
        <w:t>m</w:t>
      </w:r>
      <w:r>
        <w:t>mengefasst. (Damit kann sie bequemer zurückgegeben und als Parameter wieder übergeben werden).</w:t>
      </w:r>
    </w:p>
    <w:p w:rsidR="004D6106" w:rsidRDefault="0021789B" w:rsidP="004D6106">
      <w:pPr>
        <w:pStyle w:val="Text"/>
      </w:pPr>
      <w:r>
        <w:t xml:space="preserve">In Zeile </w:t>
      </w:r>
      <w:r w:rsidR="00570716">
        <w:t>89</w:t>
      </w:r>
      <w:r w:rsidR="004D6106">
        <w:t xml:space="preserve"> werden </w:t>
      </w:r>
      <w:r w:rsidR="004D6106" w:rsidRPr="004D6106">
        <w:rPr>
          <w:i/>
        </w:rPr>
        <w:t>G</w:t>
      </w:r>
      <w:r w:rsidR="004D6106">
        <w:t xml:space="preserve"> und </w:t>
      </w:r>
      <w:r w:rsidR="004D6106">
        <w:rPr>
          <w:i/>
          <w:iCs/>
        </w:rPr>
        <w:t>Z</w:t>
      </w:r>
      <w:r w:rsidR="004D6106">
        <w:t xml:space="preserve"> zurückgegeben.</w:t>
      </w:r>
    </w:p>
    <w:p w:rsidR="00E814E3" w:rsidRDefault="0021789B" w:rsidP="004D6106">
      <w:pPr>
        <w:pStyle w:val="Text"/>
      </w:pPr>
      <w:r>
        <w:t xml:space="preserve">In Zeile </w:t>
      </w:r>
      <w:r w:rsidR="00570716">
        <w:t>90</w:t>
      </w:r>
      <w:r w:rsidR="004D6106">
        <w:t xml:space="preserve"> wird die Funktion beendet.</w:t>
      </w:r>
    </w:p>
    <w:p w:rsidR="008A3920" w:rsidRPr="00D35A1D" w:rsidRDefault="00E713D6" w:rsidP="007F67E9">
      <w:pPr>
        <w:pStyle w:val="Zwischenberschrift"/>
        <w:rPr>
          <w:color w:val="000000" w:themeColor="text1"/>
        </w:rPr>
      </w:pPr>
      <w:r>
        <w:t>Die Funktion write</w:t>
      </w:r>
    </w:p>
    <w:p w:rsidR="007472DC" w:rsidRDefault="00E713D6" w:rsidP="007F67E9">
      <w:pPr>
        <w:pStyle w:val="Text"/>
        <w:ind w:firstLine="0"/>
      </w:pPr>
      <w:r>
        <w:t xml:space="preserve">Die </w:t>
      </w:r>
      <w:r w:rsidR="004701FE">
        <w:t>Systemfunktion</w:t>
      </w:r>
      <w:r>
        <w:t xml:space="preserve"> </w:t>
      </w:r>
      <w:r w:rsidRPr="00337D36">
        <w:rPr>
          <w:i/>
        </w:rPr>
        <w:t>write</w:t>
      </w:r>
      <w:r w:rsidR="00D35A1D">
        <w:t xml:space="preserve"> kann als Schreibausgabe auf dem Bildschirm oder auf einem angeschlossenen Drucker verstanden werden</w:t>
      </w:r>
      <w:r w:rsidR="004701FE">
        <w:t xml:space="preserve">. Sie erhält als Parameter eine Folge aus Strings und/oder Variablen. </w:t>
      </w:r>
      <w:r w:rsidR="00FD3AE9">
        <w:t>In Anführungszeichen</w:t>
      </w:r>
      <w:r w:rsidR="005D7996">
        <w:fldChar w:fldCharType="begin"/>
      </w:r>
      <w:r w:rsidR="00A72986">
        <w:instrText xml:space="preserve"> XE "</w:instrText>
      </w:r>
      <w:r w:rsidR="00A72986" w:rsidRPr="00DD2E3B">
        <w:instrText>Anführungszeichen (Verwendungsweise)</w:instrText>
      </w:r>
      <w:r w:rsidR="00A72986">
        <w:instrText xml:space="preserve">" </w:instrText>
      </w:r>
      <w:r w:rsidR="005D7996">
        <w:fldChar w:fldCharType="end"/>
      </w:r>
      <w:r w:rsidR="00FD3AE9">
        <w:t xml:space="preserve"> “ ” gesetzte Strings (Zeichenketten</w:t>
      </w:r>
      <w:r w:rsidR="005D7996">
        <w:fldChar w:fldCharType="begin"/>
      </w:r>
      <w:r w:rsidR="00FC2E2D">
        <w:instrText xml:space="preserve"> XE "</w:instrText>
      </w:r>
      <w:r w:rsidR="00FC2E2D" w:rsidRPr="0051528B">
        <w:instrText>Zeichenkette</w:instrText>
      </w:r>
      <w:r w:rsidR="00FC2E2D">
        <w:instrText xml:space="preserve">" </w:instrText>
      </w:r>
      <w:r w:rsidR="005D7996">
        <w:fldChar w:fldCharType="end"/>
      </w:r>
      <w:r w:rsidR="00FD3AE9">
        <w:t xml:space="preserve">) gibt sie </w:t>
      </w:r>
      <w:r w:rsidR="00AA3B97">
        <w:t xml:space="preserve">einschließlich </w:t>
      </w:r>
      <w:r w:rsidR="007E6E4E">
        <w:t xml:space="preserve">Leerzeichen und Formatierung </w:t>
      </w:r>
      <w:r w:rsidR="00AD7344">
        <w:t>aus</w:t>
      </w:r>
      <w:r w:rsidR="00FD3AE9">
        <w:t>. Bei Variablen wird der Wert der Variablen (ein St</w:t>
      </w:r>
      <w:r w:rsidR="00AD7344">
        <w:t>ring oder eine Zahl) ausgegeben,</w:t>
      </w:r>
      <w:r w:rsidR="00FD3AE9">
        <w:t xml:space="preserve"> Formatierungsbefehle erfolgen in </w:t>
      </w:r>
      <w:r w:rsidR="00DB51AA">
        <w:t xml:space="preserve">spitzen </w:t>
      </w:r>
      <w:r w:rsidR="00FD3AE9">
        <w:t>Klammern.</w:t>
      </w:r>
    </w:p>
    <w:p w:rsidR="00FD3AE9" w:rsidRDefault="00FD3AE9" w:rsidP="00616F1A">
      <w:pPr>
        <w:pStyle w:val="Text"/>
        <w:rPr>
          <w:color w:val="000000" w:themeColor="text1"/>
        </w:rPr>
      </w:pPr>
      <w:r w:rsidRPr="00FD3AE9">
        <w:rPr>
          <w:color w:val="000000" w:themeColor="text1"/>
        </w:rPr>
        <w:t>Die Funktion gib</w:t>
      </w:r>
      <w:r w:rsidR="004B20F3">
        <w:rPr>
          <w:color w:val="000000" w:themeColor="text1"/>
        </w:rPr>
        <w:t>t also beispielsweise in Zeile 29</w:t>
      </w:r>
    </w:p>
    <w:p w:rsidR="004B20F3" w:rsidRDefault="004B20F3" w:rsidP="00CB2DFA">
      <w:pPr>
        <w:pStyle w:val="Formel"/>
      </w:pPr>
      <w:r w:rsidRPr="004C1F33">
        <w:t xml:space="preserve">write </w:t>
      </w:r>
      <w:r w:rsidR="00D676FC">
        <w:t>(</w:t>
      </w:r>
      <w:r w:rsidRPr="004C1F33">
        <w:t>“</w:t>
      </w:r>
      <w:r w:rsidRPr="004C1F33">
        <w:rPr>
          <w:i/>
        </w:rPr>
        <w:t>Er</w:t>
      </w:r>
      <w:r w:rsidRPr="004C1F33">
        <w:rPr>
          <w:vertAlign w:val="subscript"/>
        </w:rPr>
        <w:t>(f)</w:t>
      </w:r>
      <w:r w:rsidRPr="004C1F33">
        <w:t xml:space="preserve">&lt;sub&gt;” </w:t>
      </w:r>
      <w:r w:rsidRPr="004C1F33">
        <w:rPr>
          <w:i/>
        </w:rPr>
        <w:t xml:space="preserve">x </w:t>
      </w:r>
      <w:r w:rsidRPr="004C1F33">
        <w:t xml:space="preserve">“&lt;/sub&gt;: ‚” </w:t>
      </w:r>
      <w:r w:rsidRPr="004C1F33">
        <w:rPr>
          <w:i/>
        </w:rPr>
        <w:t>Q</w:t>
      </w:r>
      <w:r w:rsidRPr="004C1F33">
        <w:rPr>
          <w:i/>
          <w:vertAlign w:val="subscript"/>
        </w:rPr>
        <w:t>n</w:t>
      </w:r>
      <w:r w:rsidRPr="004C1F33">
        <w:t xml:space="preserve"> “‘&lt;br&gt;”</w:t>
      </w:r>
      <w:r w:rsidR="00D676FC">
        <w:t>)</w:t>
      </w:r>
    </w:p>
    <w:p w:rsidR="00FD3AE9" w:rsidRDefault="00FD3AE9" w:rsidP="00CB2DFA">
      <w:pPr>
        <w:pStyle w:val="Text"/>
        <w:ind w:firstLine="0"/>
      </w:pPr>
      <w:r>
        <w:t xml:space="preserve">für </w:t>
      </w:r>
      <w:r w:rsidRPr="00FD3AE9">
        <w:rPr>
          <w:i/>
          <w:color w:val="000000" w:themeColor="text1"/>
        </w:rPr>
        <w:t>Q</w:t>
      </w:r>
      <w:r w:rsidRPr="00FD3AE9">
        <w:rPr>
          <w:i/>
          <w:color w:val="000000" w:themeColor="text1"/>
          <w:vertAlign w:val="subscript"/>
        </w:rPr>
        <w:t>n</w:t>
      </w:r>
      <w:r>
        <w:t xml:space="preserve"> = ‚</w:t>
      </w:r>
      <w:r w:rsidR="0085753F">
        <w:t xml:space="preserve">SN </w:t>
      </w:r>
      <w:r>
        <w:t xml:space="preserve">ist temperamentvoll‘, </w:t>
      </w:r>
      <w:r w:rsidRPr="00FD3AE9">
        <w:rPr>
          <w:i/>
        </w:rPr>
        <w:t>x</w:t>
      </w:r>
      <w:r>
        <w:t xml:space="preserve"> = 7 aus:</w:t>
      </w:r>
    </w:p>
    <w:p w:rsidR="00FD3AE9" w:rsidRDefault="00FD3AE9" w:rsidP="00CB2DFA">
      <w:pPr>
        <w:pStyle w:val="Formel"/>
      </w:pPr>
      <w:r w:rsidRPr="00FD3AE9">
        <w:rPr>
          <w:i/>
          <w:color w:val="000000" w:themeColor="text1"/>
        </w:rPr>
        <w:t>Er</w:t>
      </w:r>
      <w:r w:rsidR="004B20F3">
        <w:rPr>
          <w:color w:val="000000" w:themeColor="text1"/>
          <w:vertAlign w:val="subscript"/>
        </w:rPr>
        <w:t>(f)</w:t>
      </w:r>
      <w:r>
        <w:rPr>
          <w:color w:val="000000" w:themeColor="text1"/>
          <w:vertAlign w:val="subscript"/>
        </w:rPr>
        <w:t>7</w:t>
      </w:r>
      <w:r>
        <w:t>: ‚</w:t>
      </w:r>
      <w:r w:rsidR="0085753F">
        <w:t xml:space="preserve">SN </w:t>
      </w:r>
      <w:r>
        <w:t>ist temperamentvoll‘</w:t>
      </w:r>
    </w:p>
    <w:p w:rsidR="009C1B4A" w:rsidRDefault="006E110A" w:rsidP="00CB2DFA">
      <w:pPr>
        <w:pStyle w:val="Text"/>
        <w:ind w:firstLine="0"/>
      </w:pPr>
      <w:r>
        <w:t xml:space="preserve">Die Ausgabe akzeptiert </w:t>
      </w:r>
      <w:r w:rsidR="00DD5C29">
        <w:t xml:space="preserve">sowohl </w:t>
      </w:r>
      <w:r w:rsidR="00A75D33">
        <w:t>formatierten Text</w:t>
      </w:r>
      <w:r w:rsidR="00DD5C29">
        <w:t xml:space="preserve">, den sie </w:t>
      </w:r>
      <w:r w:rsidR="00FE4803">
        <w:t>einschließlich Form</w:t>
      </w:r>
      <w:r w:rsidR="00FE4803">
        <w:t>a</w:t>
      </w:r>
      <w:r w:rsidR="00FE4803">
        <w:t>tierung ausgibt</w:t>
      </w:r>
      <w:r w:rsidR="00DD5C29">
        <w:t>,</w:t>
      </w:r>
      <w:r w:rsidR="00A75D33">
        <w:t xml:space="preserve"> </w:t>
      </w:r>
      <w:r>
        <w:t xml:space="preserve">als auch </w:t>
      </w:r>
      <w:r w:rsidR="00A75D33">
        <w:t>HTML</w:t>
      </w:r>
      <w:r w:rsidR="00DD5C29">
        <w:t xml:space="preserve">-Befehle, die sie </w:t>
      </w:r>
      <w:r w:rsidR="00FE4803">
        <w:t>interpretiert</w:t>
      </w:r>
      <w:r w:rsidR="00DD5C29">
        <w:t>.</w:t>
      </w:r>
      <w:r w:rsidR="00140BC0">
        <w:rPr>
          <w:rStyle w:val="Funotenzeichen"/>
        </w:rPr>
        <w:footnoteReference w:id="524"/>
      </w:r>
    </w:p>
    <w:p w:rsidR="009C1B4A" w:rsidRPr="009C1B4A" w:rsidRDefault="009C1B4A" w:rsidP="00CB2DFA">
      <w:pPr>
        <w:pStyle w:val="Zwischenberschrift"/>
      </w:pPr>
      <w:r w:rsidRPr="009C1B4A">
        <w:lastRenderedPageBreak/>
        <w:t>Die Funktion del</w:t>
      </w:r>
    </w:p>
    <w:p w:rsidR="00FD3AE9" w:rsidRDefault="00D82E1B" w:rsidP="00470223">
      <w:pPr>
        <w:pStyle w:val="Text"/>
        <w:ind w:firstLine="0"/>
      </w:pPr>
      <w:r>
        <w:t xml:space="preserve">Die Funktion </w:t>
      </w:r>
      <w:r w:rsidRPr="00D82E1B">
        <w:rPr>
          <w:i/>
        </w:rPr>
        <w:t>d</w:t>
      </w:r>
      <w:r w:rsidR="009C1B4A" w:rsidRPr="00D82E1B">
        <w:rPr>
          <w:i/>
        </w:rPr>
        <w:t>el</w:t>
      </w:r>
      <w:r w:rsidR="009C1B4A">
        <w:t xml:space="preserve"> ist ebenfalls eine Systemfunktion, sie erhält eine</w:t>
      </w:r>
      <w:r w:rsidR="00D46AE1">
        <w:t xml:space="preserve"> natürliche Zahl </w:t>
      </w:r>
      <w:r w:rsidR="00D46AE1" w:rsidRPr="00D46AE1">
        <w:rPr>
          <w:i/>
        </w:rPr>
        <w:t>x</w:t>
      </w:r>
      <w:r w:rsidR="00D46AE1">
        <w:t xml:space="preserve"> </w:t>
      </w:r>
      <w:r w:rsidR="00D46AE1" w:rsidRPr="00E235A0">
        <w:rPr>
          <w:rFonts w:ascii="Cambria Math" w:eastAsia="Arial Unicode MS" w:hAnsi="Cambria Math" w:cs="Arial Unicode MS"/>
          <w:color w:val="000000" w:themeColor="text1"/>
        </w:rPr>
        <w:t>∊</w:t>
      </w:r>
      <w:r w:rsidR="00D46AE1">
        <w:t xml:space="preserve"> </w:t>
      </w:r>
      <w:r w:rsidR="00D46AE1">
        <w:rPr>
          <w:rFonts w:ascii="Cambria Math" w:eastAsia="Arial Unicode MS" w:hAnsi="Cambria Math" w:cs="Arial Unicode MS"/>
        </w:rPr>
        <w:t>ℕ</w:t>
      </w:r>
      <w:r w:rsidR="00D46AE1">
        <w:t xml:space="preserve"> als </w:t>
      </w:r>
      <w:r w:rsidR="009C1B4A">
        <w:t xml:space="preserve">Parameter und löscht die zuletzt geschriebenen </w:t>
      </w:r>
      <w:r w:rsidR="009C1B4A" w:rsidRPr="009C1B4A">
        <w:rPr>
          <w:i/>
        </w:rPr>
        <w:t>x</w:t>
      </w:r>
      <w:r w:rsidR="009C1B4A">
        <w:t xml:space="preserve"> Zeichen.</w:t>
      </w:r>
    </w:p>
    <w:p w:rsidR="00C62976" w:rsidRPr="00C62976" w:rsidRDefault="00C62976" w:rsidP="00470223">
      <w:pPr>
        <w:pStyle w:val="Zwischenberschrift"/>
        <w:rPr>
          <w:rFonts w:cs="Times New Roman"/>
          <w:color w:val="000000" w:themeColor="text1"/>
        </w:rPr>
      </w:pPr>
      <w:r w:rsidRPr="00C62976">
        <w:t>Die Funktion Sortieren</w:t>
      </w:r>
    </w:p>
    <w:p w:rsidR="00C57DA7" w:rsidRDefault="00C62976" w:rsidP="00470223">
      <w:pPr>
        <w:pStyle w:val="Text"/>
        <w:ind w:firstLine="0"/>
        <w:rPr>
          <w:color w:val="000000" w:themeColor="text1"/>
        </w:rPr>
      </w:pPr>
      <w:r>
        <w:rPr>
          <w:color w:val="000000" w:themeColor="text1"/>
        </w:rPr>
        <w:t>Hier kann ein beliebiger Sortieralgorithmus verwendet werden, der die Elemente der Menge (natürliche Zahlen) der Größe nach ordnet, beginnend mit dem kleinsten Element.</w:t>
      </w:r>
      <w:r w:rsidR="00656E8A">
        <w:rPr>
          <w:color w:val="000000" w:themeColor="text1"/>
        </w:rPr>
        <w:t xml:space="preserve"> </w:t>
      </w:r>
      <w:r w:rsidR="00C57DA7">
        <w:rPr>
          <w:color w:val="000000" w:themeColor="text1"/>
        </w:rPr>
        <w:t>Da es sich um geordnete Mengen</w:t>
      </w:r>
      <w:r w:rsidR="005D7996">
        <w:rPr>
          <w:color w:val="000000" w:themeColor="text1"/>
        </w:rPr>
        <w:fldChar w:fldCharType="begin"/>
      </w:r>
      <w:r w:rsidR="00C2705E">
        <w:instrText xml:space="preserve"> XE "</w:instrText>
      </w:r>
      <w:r w:rsidR="00C2705E" w:rsidRPr="00417490">
        <w:instrText>Menge, geordnete</w:instrText>
      </w:r>
      <w:r w:rsidR="00C2705E">
        <w:instrText xml:space="preserve">" </w:instrText>
      </w:r>
      <w:r w:rsidR="005D7996">
        <w:rPr>
          <w:color w:val="000000" w:themeColor="text1"/>
        </w:rPr>
        <w:fldChar w:fldCharType="end"/>
      </w:r>
      <w:r w:rsidR="00C57DA7">
        <w:rPr>
          <w:color w:val="000000" w:themeColor="text1"/>
        </w:rPr>
        <w:t xml:space="preserve"> handelt, bleibt die </w:t>
      </w:r>
      <w:r w:rsidR="00656E8A">
        <w:rPr>
          <w:color w:val="000000" w:themeColor="text1"/>
        </w:rPr>
        <w:t>Reihe</w:t>
      </w:r>
      <w:r w:rsidR="00656E8A">
        <w:rPr>
          <w:color w:val="000000" w:themeColor="text1"/>
        </w:rPr>
        <w:t>n</w:t>
      </w:r>
      <w:r w:rsidR="00656E8A">
        <w:rPr>
          <w:color w:val="000000" w:themeColor="text1"/>
        </w:rPr>
        <w:t xml:space="preserve">folge </w:t>
      </w:r>
      <w:r w:rsidR="002A01AA">
        <w:rPr>
          <w:color w:val="000000" w:themeColor="text1"/>
        </w:rPr>
        <w:t xml:space="preserve">anschließend </w:t>
      </w:r>
      <w:r w:rsidR="00C57DA7">
        <w:rPr>
          <w:color w:val="000000" w:themeColor="text1"/>
        </w:rPr>
        <w:t>erhalten.</w:t>
      </w:r>
      <w:r w:rsidR="007C0E36">
        <w:rPr>
          <w:rStyle w:val="Funotenzeichen"/>
          <w:color w:val="000000" w:themeColor="text1"/>
        </w:rPr>
        <w:footnoteReference w:id="525"/>
      </w:r>
    </w:p>
    <w:p w:rsidR="00A30220" w:rsidRPr="00A30220" w:rsidRDefault="00A30220" w:rsidP="00470223">
      <w:pPr>
        <w:pStyle w:val="Zwischenberschrift"/>
      </w:pPr>
      <w:r w:rsidRPr="00A30220">
        <w:t>Zur Notation der Erzeugungsformel:</w:t>
      </w:r>
    </w:p>
    <w:p w:rsidR="003A6668" w:rsidRDefault="00031A40" w:rsidP="00470223">
      <w:pPr>
        <w:pStyle w:val="Text"/>
        <w:ind w:firstLine="0"/>
      </w:pPr>
      <w:r>
        <w:t xml:space="preserve">Die Anwendung einer Operation wird mit Hilfe des Operationspfeils </w:t>
      </w:r>
      <w:r w:rsidR="002434D2">
        <w:rPr>
          <w:rFonts w:ascii="Cambria Math" w:eastAsia="Arial Unicode MS" w:hAnsi="Cambria Math" w:cs="Cambria Math"/>
          <w:color w:val="000000" w:themeColor="text1"/>
        </w:rPr>
        <w:t>⤳</w:t>
      </w:r>
      <w:r>
        <w:t xml:space="preserve"> (zu lesen als: „aus … wird erzeugt …“), an den die verwendete Operationsfunktion als Index geschrieben wird, dargestellt. </w:t>
      </w:r>
      <w:r w:rsidR="003A6668">
        <w:t>Die Operationsfunktionen aus der Me</w:t>
      </w:r>
      <w:r w:rsidR="003A6668">
        <w:t>n</w:t>
      </w:r>
      <w:r w:rsidR="003A6668">
        <w:t xml:space="preserve">ge </w:t>
      </w:r>
      <w:r w:rsidR="003A6668" w:rsidRPr="00487999">
        <w:rPr>
          <w:i/>
        </w:rPr>
        <w:t>Op</w:t>
      </w:r>
      <w:r w:rsidR="003A6668">
        <w:t xml:space="preserve"> haben die Eigenschaft, nur Ergebnisse zurückzugeben, für deren Erze</w:t>
      </w:r>
      <w:r w:rsidR="003A6668">
        <w:t>u</w:t>
      </w:r>
      <w:r w:rsidR="003A6668">
        <w:t xml:space="preserve">gung alle Elemente des Inputs verwendet wurden. </w:t>
      </w:r>
      <w:r>
        <w:t xml:space="preserve">Daher wird </w:t>
      </w:r>
      <w:r w:rsidR="003A6668">
        <w:t xml:space="preserve">das Zeichen </w:t>
      </w:r>
      <w:r>
        <w:rPr>
          <w:rFonts w:ascii="Cambria Math" w:hAnsi="Cambria Math" w:cs="Cambria Math"/>
          <w:color w:val="000000" w:themeColor="text1"/>
        </w:rPr>
        <w:t>∧</w:t>
      </w:r>
      <w:r w:rsidR="003A6668">
        <w:t xml:space="preserve"> zwischen die </w:t>
      </w:r>
      <w:r w:rsidR="00B76F44">
        <w:t>Elemente des Inputs geschrieben.</w:t>
      </w:r>
    </w:p>
    <w:p w:rsidR="003A6668" w:rsidRDefault="00B55755" w:rsidP="00470223">
      <w:pPr>
        <w:pStyle w:val="Formel"/>
      </w:pPr>
      <w:r>
        <w:rPr>
          <w:i/>
        </w:rPr>
        <w:t>p</w:t>
      </w:r>
      <w:r w:rsidR="003A6668">
        <w:t xml:space="preserve"> </w:t>
      </w:r>
      <w:r w:rsidR="00031A40">
        <w:rPr>
          <w:rFonts w:ascii="Cambria Math" w:hAnsi="Cambria Math" w:cs="Cambria Math"/>
          <w:color w:val="000000" w:themeColor="text1"/>
        </w:rPr>
        <w:t>∧</w:t>
      </w:r>
      <w:r w:rsidR="003A6668">
        <w:t xml:space="preserve"> </w:t>
      </w:r>
      <w:r>
        <w:rPr>
          <w:i/>
        </w:rPr>
        <w:t>q</w:t>
      </w:r>
      <w:r w:rsidR="003A6668">
        <w:t xml:space="preserve"> </w:t>
      </w:r>
      <w:r w:rsidR="002434D2">
        <w:rPr>
          <w:rFonts w:ascii="Cambria Math" w:eastAsia="Arial Unicode MS" w:hAnsi="Cambria Math" w:cs="Cambria Math"/>
          <w:color w:val="000000" w:themeColor="text1"/>
        </w:rPr>
        <w:t>⤳</w:t>
      </w:r>
      <w:r w:rsidR="00031A40">
        <w:rPr>
          <w:vertAlign w:val="subscript"/>
        </w:rPr>
        <w:t>Ded</w:t>
      </w:r>
      <w:r w:rsidR="003A6668">
        <w:t xml:space="preserve"> </w:t>
      </w:r>
      <w:r w:rsidR="00031A40">
        <w:t xml:space="preserve"> </w:t>
      </w:r>
      <w:r>
        <w:rPr>
          <w:i/>
        </w:rPr>
        <w:t>r</w:t>
      </w:r>
    </w:p>
    <w:p w:rsidR="003A6668" w:rsidRDefault="00EC017B" w:rsidP="00470223">
      <w:pPr>
        <w:pStyle w:val="Text"/>
        <w:ind w:firstLine="0"/>
      </w:pPr>
      <w:r>
        <w:t>ist somit zu lesen als</w:t>
      </w:r>
      <w:r w:rsidR="00470223">
        <w:t xml:space="preserve"> </w:t>
      </w:r>
      <w:r w:rsidR="003A6668">
        <w:t>„</w:t>
      </w:r>
      <w:r w:rsidR="00EF1202">
        <w:t xml:space="preserve">aus </w:t>
      </w:r>
      <w:r w:rsidR="00B55755">
        <w:rPr>
          <w:i/>
        </w:rPr>
        <w:t>p</w:t>
      </w:r>
      <w:r w:rsidR="00EF1202">
        <w:t xml:space="preserve"> und </w:t>
      </w:r>
      <w:r w:rsidR="00B55755">
        <w:rPr>
          <w:i/>
        </w:rPr>
        <w:t>q</w:t>
      </w:r>
      <w:r w:rsidR="00EF1202">
        <w:t xml:space="preserve"> </w:t>
      </w:r>
      <w:r w:rsidR="00F804D6">
        <w:t xml:space="preserve">wird </w:t>
      </w:r>
      <w:r w:rsidR="00031A40" w:rsidRPr="00031A40">
        <w:rPr>
          <w:i/>
        </w:rPr>
        <w:t>r</w:t>
      </w:r>
      <w:r w:rsidR="00031A40">
        <w:t xml:space="preserve"> </w:t>
      </w:r>
      <w:r w:rsidR="00EF1202">
        <w:t>m</w:t>
      </w:r>
      <w:r w:rsidR="003A6668">
        <w:t xml:space="preserve">it Hilfe der </w:t>
      </w:r>
      <w:r>
        <w:t>Operationsfunktion</w:t>
      </w:r>
      <w:r w:rsidR="00031A40">
        <w:t xml:space="preserve"> ‚Ded‘ (‚Deduktion‘) </w:t>
      </w:r>
      <w:r w:rsidR="003A6668">
        <w:t>erzeugt“</w:t>
      </w:r>
      <w:r w:rsidR="00470223">
        <w:t>.</w:t>
      </w:r>
    </w:p>
    <w:p w:rsidR="00D252EA" w:rsidRDefault="00A30220" w:rsidP="00A30220">
      <w:pPr>
        <w:pStyle w:val="Text"/>
      </w:pPr>
      <w:r>
        <w:t xml:space="preserve">Der </w:t>
      </w:r>
      <w:r w:rsidR="00E7714E">
        <w:t>Operationsp</w:t>
      </w:r>
      <w:r>
        <w:t xml:space="preserve">feil </w:t>
      </w:r>
      <w:r w:rsidR="002434D2">
        <w:rPr>
          <w:rFonts w:ascii="Cambria Math" w:eastAsia="Arial Unicode MS" w:hAnsi="Cambria Math" w:cs="Cambria Math"/>
        </w:rPr>
        <w:t>⤳</w:t>
      </w:r>
      <w:r w:rsidR="00F02D94">
        <w:t xml:space="preserve"> bezeichnet</w:t>
      </w:r>
      <w:r>
        <w:t xml:space="preserve"> einen realen Erzeugungsvorgang und nicht die prinzipielle Erzeugbarkeit, da die Operationen nicht gewährleisten können, dass alle aus der Inputmenge erzeugbaren Elemente wirklich erzeugt werden</w:t>
      </w:r>
      <w:r w:rsidR="00FB21A2">
        <w:t xml:space="preserve">, zumal </w:t>
      </w:r>
      <w:r>
        <w:t xml:space="preserve">in manchen Fällen eine unendliche Menge von </w:t>
      </w:r>
      <w:r w:rsidR="00F02D94">
        <w:t xml:space="preserve">möglichen </w:t>
      </w:r>
      <w:r>
        <w:t>Er</w:t>
      </w:r>
      <w:r w:rsidR="00B11187">
        <w:t>ze</w:t>
      </w:r>
      <w:r w:rsidR="00B11187">
        <w:t>u</w:t>
      </w:r>
      <w:r w:rsidR="00B11187">
        <w:t xml:space="preserve">gungspfaden vorliegen </w:t>
      </w:r>
      <w:r w:rsidR="00FB21A2">
        <w:t>kann</w:t>
      </w:r>
      <w:r w:rsidR="00B11187">
        <w:t>.</w:t>
      </w:r>
    </w:p>
    <w:p w:rsidR="005305A3" w:rsidRDefault="005305A3" w:rsidP="00A30220">
      <w:pPr>
        <w:pStyle w:val="Text"/>
      </w:pPr>
      <w:r>
        <w:t xml:space="preserve">Zwischen die Inputelemente der Operation wird das </w:t>
      </w:r>
      <w:r>
        <w:rPr>
          <w:rFonts w:ascii="Cambria Math" w:hAnsi="Cambria Math" w:cs="Cambria Math"/>
          <w:color w:val="000000" w:themeColor="text1"/>
        </w:rPr>
        <w:t>∧</w:t>
      </w:r>
      <w:r>
        <w:t>-Zeichen gesetzt. Die Operationen erzeugen nur Ergebnisse, für die alle Inputelemente erforderlich sind.</w:t>
      </w:r>
    </w:p>
    <w:p w:rsidR="00103426" w:rsidRDefault="005305A3">
      <w:pPr>
        <w:pStyle w:val="Text"/>
      </w:pPr>
      <w:r>
        <w:t>Zwischen die erzeugten Ergebnisse werden Kommata gesetzt. Die erzeu</w:t>
      </w:r>
      <w:r>
        <w:t>g</w:t>
      </w:r>
      <w:r>
        <w:t xml:space="preserve">ten Ergebnisse sind voneinander logisch unabhängig, daher kann hier weder </w:t>
      </w:r>
      <w:r>
        <w:rPr>
          <w:rFonts w:ascii="Cambria Math" w:hAnsi="Cambria Math" w:cs="Cambria Math"/>
          <w:color w:val="000000" w:themeColor="text1"/>
        </w:rPr>
        <w:t>∧</w:t>
      </w:r>
      <w:r>
        <w:t xml:space="preserve"> noch </w:t>
      </w:r>
      <w:r>
        <w:rPr>
          <w:rFonts w:ascii="Cambria Math" w:hAnsi="Cambria Math" w:cs="Cambria Math"/>
          <w:color w:val="000000" w:themeColor="text1"/>
        </w:rPr>
        <w:t>∨</w:t>
      </w:r>
      <w:r>
        <w:t xml:space="preserve"> gesetzt werden.</w:t>
      </w:r>
      <w:r w:rsidR="000E45FB">
        <w:t xml:space="preserve"> Um auf Klammern verzichten zu können, wird festg</w:t>
      </w:r>
      <w:r w:rsidR="000E45FB">
        <w:t>e</w:t>
      </w:r>
      <w:r w:rsidR="000E45FB">
        <w:t xml:space="preserve">legt, dass </w:t>
      </w:r>
      <w:r w:rsidR="007C2F2D">
        <w:t xml:space="preserve">in der verwendeten Notation </w:t>
      </w:r>
      <w:r w:rsidR="000E45FB">
        <w:t xml:space="preserve">Komma und </w:t>
      </w:r>
      <w:r w:rsidR="000E45FB">
        <w:rPr>
          <w:rFonts w:ascii="Cambria Math" w:hAnsi="Cambria Math" w:cs="Cambria Math"/>
          <w:color w:val="000000" w:themeColor="text1"/>
        </w:rPr>
        <w:t>∧</w:t>
      </w:r>
      <w:r w:rsidR="000E45FB">
        <w:t xml:space="preserve"> </w:t>
      </w:r>
      <w:r w:rsidR="007C2F2D">
        <w:t xml:space="preserve">bei der Auswertung </w:t>
      </w:r>
      <w:r w:rsidR="00CF6A86">
        <w:t>Vo</w:t>
      </w:r>
      <w:r w:rsidR="00CF6A86">
        <w:t>r</w:t>
      </w:r>
      <w:r w:rsidR="00CF6A86">
        <w:t xml:space="preserve">rang vor dem </w:t>
      </w:r>
      <w:r w:rsidR="000E45FB">
        <w:t>Operationspfeil</w:t>
      </w:r>
      <w:r w:rsidR="00CF6A86">
        <w:t xml:space="preserve"> haben</w:t>
      </w:r>
      <w:r w:rsidR="000E45FB">
        <w:t>.</w:t>
      </w:r>
    </w:p>
    <w:p w:rsidR="00103426" w:rsidRPr="00103426" w:rsidRDefault="00103426" w:rsidP="00470223">
      <w:pPr>
        <w:pStyle w:val="Zwischenberschrift"/>
      </w:pPr>
      <w:r w:rsidRPr="00103426">
        <w:t xml:space="preserve">Anmerkung </w:t>
      </w:r>
      <w:r w:rsidR="001571AF">
        <w:t>zur Nummerierung der Ergebnisse</w:t>
      </w:r>
    </w:p>
    <w:p w:rsidR="00910F93" w:rsidRDefault="00103426" w:rsidP="00470223">
      <w:pPr>
        <w:pStyle w:val="Text"/>
        <w:ind w:firstLine="0"/>
      </w:pPr>
      <w:r>
        <w:t xml:space="preserve">Gleich nach der Erzeugung geschriebene </w:t>
      </w:r>
      <w:r w:rsidR="007319C4">
        <w:t>Ergebnisse</w:t>
      </w:r>
      <w:r>
        <w:t xml:space="preserve"> werden nach einer anderen Nummerierung gezählt als früher erzeugte, damals aber nicht geschriebene </w:t>
      </w:r>
      <w:r w:rsidR="007319C4">
        <w:t>E</w:t>
      </w:r>
      <w:r w:rsidR="007319C4">
        <w:t>r</w:t>
      </w:r>
      <w:r w:rsidR="007319C4">
        <w:t>gebnisse</w:t>
      </w:r>
      <w:r>
        <w:t xml:space="preserve">. Die </w:t>
      </w:r>
      <w:r w:rsidR="00910F93">
        <w:t xml:space="preserve">neuen Ergebnisse </w:t>
      </w:r>
      <w:r>
        <w:t>werden einfach durchnummeriert</w:t>
      </w:r>
      <w:r w:rsidR="00910F93">
        <w:t>:</w:t>
      </w:r>
    </w:p>
    <w:p w:rsidR="00910F93" w:rsidRDefault="00910F93" w:rsidP="00470223">
      <w:pPr>
        <w:pStyle w:val="Formel"/>
      </w:pPr>
      <w:r>
        <w:rPr>
          <w:i/>
          <w:iCs/>
        </w:rPr>
        <w:lastRenderedPageBreak/>
        <w:t>Er</w:t>
      </w:r>
      <w:r>
        <w:rPr>
          <w:vertAlign w:val="subscript"/>
        </w:rPr>
        <w:t>1</w:t>
      </w:r>
      <w:r>
        <w:t xml:space="preserve">, </w:t>
      </w:r>
      <w:r>
        <w:rPr>
          <w:i/>
          <w:iCs/>
        </w:rPr>
        <w:t>Er</w:t>
      </w:r>
      <w:r>
        <w:rPr>
          <w:vertAlign w:val="subscript"/>
        </w:rPr>
        <w:t>2</w:t>
      </w:r>
      <w:r>
        <w:t>, …</w:t>
      </w:r>
    </w:p>
    <w:p w:rsidR="00910F93" w:rsidRDefault="00910F93" w:rsidP="00470223">
      <w:pPr>
        <w:pStyle w:val="Text"/>
        <w:ind w:firstLine="0"/>
      </w:pPr>
      <w:r>
        <w:t>D</w:t>
      </w:r>
      <w:r w:rsidR="00103426">
        <w:t xml:space="preserve">ie </w:t>
      </w:r>
      <w:r>
        <w:t>früher erzeugten und noch nicht geschriebenen</w:t>
      </w:r>
      <w:r>
        <w:rPr>
          <w:rStyle w:val="Funotenzeichen"/>
        </w:rPr>
        <w:footnoteReference w:id="526"/>
      </w:r>
      <w:r>
        <w:t xml:space="preserve"> </w:t>
      </w:r>
      <w:r w:rsidR="007319C4">
        <w:t xml:space="preserve">Ergebnisse </w:t>
      </w:r>
      <w:r w:rsidR="00103426">
        <w:t>werden mit einer eigenen Nummerierung mit „(f)“ für „früher erzeugt“ vor dem Index ve</w:t>
      </w:r>
      <w:r w:rsidR="00103426">
        <w:t>r</w:t>
      </w:r>
      <w:r w:rsidR="00103426">
        <w:t>sehen</w:t>
      </w:r>
      <w:r>
        <w:t>:</w:t>
      </w:r>
    </w:p>
    <w:p w:rsidR="00910F93" w:rsidRDefault="00910F93" w:rsidP="00470223">
      <w:pPr>
        <w:pStyle w:val="Formel"/>
      </w:pPr>
      <w:r>
        <w:rPr>
          <w:i/>
          <w:iCs/>
        </w:rPr>
        <w:t>Er</w:t>
      </w:r>
      <w:r>
        <w:rPr>
          <w:vertAlign w:val="subscript"/>
        </w:rPr>
        <w:t>(f)1</w:t>
      </w:r>
      <w:r>
        <w:t xml:space="preserve">, </w:t>
      </w:r>
      <w:r>
        <w:rPr>
          <w:i/>
          <w:iCs/>
        </w:rPr>
        <w:t>Er</w:t>
      </w:r>
      <w:r>
        <w:rPr>
          <w:vertAlign w:val="subscript"/>
        </w:rPr>
        <w:t>(f)2</w:t>
      </w:r>
      <w:r>
        <w:t>, …</w:t>
      </w:r>
    </w:p>
    <w:p w:rsidR="00103426" w:rsidRDefault="00103426" w:rsidP="00470223">
      <w:pPr>
        <w:pStyle w:val="Text"/>
        <w:ind w:firstLine="0"/>
      </w:pPr>
      <w:r>
        <w:t>Gäbe es nur eine Nummerierung, würden zwischen die neu erzeugten Ergebni</w:t>
      </w:r>
      <w:r>
        <w:t>s</w:t>
      </w:r>
      <w:r>
        <w:t xml:space="preserve">se ständig solche </w:t>
      </w:r>
      <w:r w:rsidR="003E7862">
        <w:t>geraten</w:t>
      </w:r>
      <w:r>
        <w:t xml:space="preserve">, die </w:t>
      </w:r>
      <w:r w:rsidR="00910F93">
        <w:t>nur verwendet werden</w:t>
      </w:r>
      <w:r w:rsidR="003E7862">
        <w:t>. Das könnte leicht zu Ve</w:t>
      </w:r>
      <w:r w:rsidR="003E7862">
        <w:t>r</w:t>
      </w:r>
      <w:r w:rsidR="003E7862">
        <w:t>wechslungen führen. Außerdem wäre es nicht mehr möglich, an der Nummeri</w:t>
      </w:r>
      <w:r w:rsidR="003E7862">
        <w:t>e</w:t>
      </w:r>
      <w:r w:rsidR="003E7862">
        <w:t xml:space="preserve">rung zu erkennen, wie viele </w:t>
      </w:r>
      <w:r w:rsidR="00FA0046">
        <w:t xml:space="preserve">neue </w:t>
      </w:r>
      <w:r w:rsidR="003E7862">
        <w:t>Ergebnisse in einem bestimmten (kontinuie</w:t>
      </w:r>
      <w:r w:rsidR="003E7862">
        <w:t>r</w:t>
      </w:r>
      <w:r w:rsidR="003E7862">
        <w:t>lich geschriebenen) Teilabschnitt der Interpretation erzeugt wurden.</w:t>
      </w:r>
      <w:bookmarkEnd w:id="410"/>
    </w:p>
    <w:p w:rsidR="00951AB3" w:rsidRDefault="00115D18" w:rsidP="00951AB3">
      <w:pPr>
        <w:pStyle w:val="Titel2"/>
      </w:pPr>
      <w:bookmarkStart w:id="411" w:name="_Ref254267254"/>
      <w:bookmarkStart w:id="412" w:name="_Ref256411675"/>
      <w:bookmarkStart w:id="413" w:name="_Toc325456801"/>
      <w:r>
        <w:t>An</w:t>
      </w:r>
      <w:r w:rsidR="00B12FB1">
        <w:t xml:space="preserve">wenden </w:t>
      </w:r>
      <w:r w:rsidR="009469B0">
        <w:t xml:space="preserve">und </w:t>
      </w:r>
      <w:r w:rsidR="00B12FB1">
        <w:t xml:space="preserve">Wahrnehmen </w:t>
      </w:r>
      <w:r w:rsidR="009469B0">
        <w:t xml:space="preserve">von </w:t>
      </w:r>
      <w:r w:rsidR="00951AB3">
        <w:t>Stil</w:t>
      </w:r>
      <w:bookmarkEnd w:id="411"/>
      <w:r w:rsidR="009469B0">
        <w:t>en</w:t>
      </w:r>
      <w:bookmarkEnd w:id="412"/>
      <w:bookmarkEnd w:id="413"/>
    </w:p>
    <w:p w:rsidR="009A37B1" w:rsidRDefault="009A37B1" w:rsidP="00B02B6E">
      <w:pPr>
        <w:pStyle w:val="Text"/>
        <w:ind w:firstLine="0"/>
      </w:pPr>
      <w:r>
        <w:t>Bisher hatten wir den Merkmalsprozess und den Interpretationsprozess einzeln betrachtet. In diesem Abschnitt sollen sie miteinander verknüpft werden. Dies geschieht für die</w:t>
      </w:r>
      <w:r w:rsidR="00D31474" w:rsidRPr="00D31474">
        <w:t xml:space="preserve"> </w:t>
      </w:r>
      <w:r w:rsidR="00D31474">
        <w:t xml:space="preserve">Anwenderseite </w:t>
      </w:r>
      <w:r>
        <w:t xml:space="preserve">und für die </w:t>
      </w:r>
      <w:r w:rsidR="00D31474">
        <w:t>Wahrnehmerseite</w:t>
      </w:r>
      <w:r>
        <w:t>.</w:t>
      </w:r>
    </w:p>
    <w:p w:rsidR="0036083B" w:rsidRDefault="003976E8">
      <w:pPr>
        <w:pStyle w:val="Text"/>
      </w:pPr>
      <w:r>
        <w:t>Wenn jemand bei der Erzeugung einer Realisierung absichtlich oder una</w:t>
      </w:r>
      <w:r>
        <w:t>b</w:t>
      </w:r>
      <w:r>
        <w:t xml:space="preserve">sichtlich einem Stil folgt, dann soll dieser Prozess als „Anwenden eines Stils“ bei der Erzeugung einer Realisierung bezeichnet werden. Das Anwenden eines Stils unterscheidet sich vom Einschreiben </w:t>
      </w:r>
      <w:r w:rsidR="00DB41AC">
        <w:t xml:space="preserve">der Merkmalsregeln </w:t>
      </w:r>
      <w:r>
        <w:t xml:space="preserve">dadurch, dass eine angestrebte Interpretation berücksichtigt werden kann </w:t>
      </w:r>
      <w:r w:rsidR="00D74804">
        <w:t xml:space="preserve">(vgl. Abschnitt </w:t>
      </w:r>
      <w:r w:rsidR="005D7996">
        <w:fldChar w:fldCharType="begin"/>
      </w:r>
      <w:r w:rsidR="00D74804">
        <w:instrText xml:space="preserve"> REF _Ref273178329 \r \h </w:instrText>
      </w:r>
      <w:r w:rsidR="005D7996">
        <w:fldChar w:fldCharType="separate"/>
      </w:r>
      <w:r w:rsidR="001231D3">
        <w:t>2.17</w:t>
      </w:r>
      <w:r w:rsidR="005D7996">
        <w:fldChar w:fldCharType="end"/>
      </w:r>
      <w:r w:rsidR="00D74804">
        <w:t>).</w:t>
      </w:r>
    </w:p>
    <w:p w:rsidR="008C4941" w:rsidRDefault="008C4941">
      <w:pPr>
        <w:pStyle w:val="Text"/>
      </w:pPr>
      <w:r>
        <w:t>Wenn jemand einen Stil bei der Erzeugung einer Realisierung absichtlich oder unabsichtlich zur Kenntnis nimmt, dann soll dieser Prozess als „Wahrne</w:t>
      </w:r>
      <w:r>
        <w:t>h</w:t>
      </w:r>
      <w:r>
        <w:t xml:space="preserve">men eines Stils“ an einer Realisierung bezeichnet werden. Das Wahrnehmen eines Stils unterscheidet sich vom Auslesen </w:t>
      </w:r>
      <w:r w:rsidR="00DB41AC">
        <w:t xml:space="preserve">der Merkmalsregeln </w:t>
      </w:r>
      <w:r>
        <w:t>dadurch, dass eine Interpretation stattfindet; es werden dadurch über die Merkmalsregeln hi</w:t>
      </w:r>
      <w:r>
        <w:t>n</w:t>
      </w:r>
      <w:r>
        <w:t>ausgehende Aspekte des Stils berücksichtigt.</w:t>
      </w:r>
    </w:p>
    <w:p w:rsidR="00D74804" w:rsidRDefault="0040362A">
      <w:pPr>
        <w:pStyle w:val="Text"/>
      </w:pPr>
      <w:r>
        <w:t>„</w:t>
      </w:r>
      <w:r w:rsidR="002473EA">
        <w:t>Anwenden</w:t>
      </w:r>
      <w:r>
        <w:t>“</w:t>
      </w:r>
      <w:r w:rsidR="00D74804">
        <w:t xml:space="preserve"> und </w:t>
      </w:r>
      <w:r>
        <w:t>„</w:t>
      </w:r>
      <w:r w:rsidR="005608A8">
        <w:t>Wahrnehmen</w:t>
      </w:r>
      <w:r>
        <w:t>“</w:t>
      </w:r>
      <w:r w:rsidR="00D74804">
        <w:t xml:space="preserve"> </w:t>
      </w:r>
      <w:r>
        <w:t xml:space="preserve">werden somit </w:t>
      </w:r>
      <w:r w:rsidR="00D74804">
        <w:t xml:space="preserve">für absichtliche wie </w:t>
      </w:r>
      <w:r>
        <w:t xml:space="preserve">auch </w:t>
      </w:r>
      <w:r w:rsidR="00D74804">
        <w:t>für unabsichtliche Vorgänge gebraucht; zumindest das</w:t>
      </w:r>
      <w:r w:rsidR="002473EA">
        <w:t xml:space="preserve"> Anwenden</w:t>
      </w:r>
      <w:r w:rsidR="00D74804">
        <w:t xml:space="preserve"> eines Stils, möglicherweise auch das </w:t>
      </w:r>
      <w:r w:rsidR="00D31474">
        <w:t xml:space="preserve">Wahrnehmen </w:t>
      </w:r>
      <w:r w:rsidR="00D74804">
        <w:t xml:space="preserve">kann </w:t>
      </w:r>
      <w:r>
        <w:t xml:space="preserve">zudem </w:t>
      </w:r>
      <w:r w:rsidR="00D74804">
        <w:t xml:space="preserve">unbewusst erfolgen (vgl. Abschnitt </w:t>
      </w:r>
      <w:r w:rsidR="005D7996">
        <w:fldChar w:fldCharType="begin"/>
      </w:r>
      <w:r w:rsidR="00D74804">
        <w:instrText xml:space="preserve"> REF _Ref265829801 \r \h </w:instrText>
      </w:r>
      <w:r w:rsidR="005D7996">
        <w:fldChar w:fldCharType="separate"/>
      </w:r>
      <w:r w:rsidR="001231D3">
        <w:t>8.2.2</w:t>
      </w:r>
      <w:r w:rsidR="005D7996">
        <w:fldChar w:fldCharType="end"/>
      </w:r>
      <w:r w:rsidR="00D74804">
        <w:t xml:space="preserve">). </w:t>
      </w:r>
      <w:r w:rsidR="008C4941">
        <w:t>S</w:t>
      </w:r>
      <w:r w:rsidR="00D74804">
        <w:t>elbst wenn der</w:t>
      </w:r>
      <w:r w:rsidR="00D31474" w:rsidRPr="00D31474">
        <w:t xml:space="preserve"> </w:t>
      </w:r>
      <w:r w:rsidR="00D31474">
        <w:t xml:space="preserve">Stilanwender </w:t>
      </w:r>
      <w:r w:rsidR="00D74804">
        <w:t>(beispielsweise durch Beschrä</w:t>
      </w:r>
      <w:r w:rsidR="00D74804">
        <w:t>n</w:t>
      </w:r>
      <w:r w:rsidR="00D74804">
        <w:t xml:space="preserve">kungen seines Wissens oder seines kulturellen Spielraums) gar nicht wissen </w:t>
      </w:r>
      <w:r w:rsidR="00D74804" w:rsidRPr="00D74804">
        <w:rPr>
          <w:i/>
        </w:rPr>
        <w:t>kann</w:t>
      </w:r>
      <w:r w:rsidR="00D74804">
        <w:t xml:space="preserve">, dass er einen bestimmten Stil </w:t>
      </w:r>
      <w:r w:rsidR="005608A8">
        <w:t>anwendet</w:t>
      </w:r>
      <w:r w:rsidR="00D74804">
        <w:t xml:space="preserve">, </w:t>
      </w:r>
      <w:r w:rsidR="008C4941">
        <w:t>ist dies dennoch der Fall.</w:t>
      </w:r>
    </w:p>
    <w:p w:rsidR="00AC03CB" w:rsidRDefault="00642298">
      <w:pPr>
        <w:pStyle w:val="Text"/>
      </w:pPr>
      <w:r>
        <w:lastRenderedPageBreak/>
        <w:t xml:space="preserve">Davon zu unterscheiden sind die spezifischeren </w:t>
      </w:r>
      <w:r w:rsidR="002C641A">
        <w:t>Vorgänge</w:t>
      </w:r>
      <w:r>
        <w:t xml:space="preserve">, die </w:t>
      </w:r>
      <w:r w:rsidR="001E78F6">
        <w:t xml:space="preserve">beim </w:t>
      </w:r>
      <w:r>
        <w:t>Mer</w:t>
      </w:r>
      <w:r>
        <w:t>k</w:t>
      </w:r>
      <w:r>
        <w:t xml:space="preserve">malsprozess </w:t>
      </w:r>
      <w:r w:rsidR="001E78F6">
        <w:t xml:space="preserve">stattfinden </w:t>
      </w:r>
      <w:r w:rsidR="00AD6D71">
        <w:t>(vgl. Kapitel 5)</w:t>
      </w:r>
      <w:r>
        <w:t>: Das Einschreiben einer Menge von Merkmalsregeln in die Realisierung und das Auslesen einer Menge von Mer</w:t>
      </w:r>
      <w:r>
        <w:t>k</w:t>
      </w:r>
      <w:r>
        <w:t xml:space="preserve">malsregeln aus einer Realisierung. </w:t>
      </w:r>
      <w:r w:rsidR="004D132C">
        <w:t xml:space="preserve">In </w:t>
      </w:r>
      <w:r>
        <w:t>Kapitel 6 und 7</w:t>
      </w:r>
      <w:r w:rsidR="004D132C">
        <w:t xml:space="preserve"> wurde dann der </w:t>
      </w:r>
      <w:r>
        <w:t>Interpret</w:t>
      </w:r>
      <w:r>
        <w:t>a</w:t>
      </w:r>
      <w:r>
        <w:t>tionsprozess untersucht</w:t>
      </w:r>
      <w:r w:rsidR="004D132C">
        <w:t xml:space="preserve">. </w:t>
      </w:r>
      <w:r w:rsidR="00AC03CB">
        <w:t xml:space="preserve">Der Merkmalsprozess und der Interpretationsprozess wurden </w:t>
      </w:r>
      <w:r w:rsidR="004D132C">
        <w:t xml:space="preserve">dabei </w:t>
      </w:r>
      <w:r w:rsidR="00AC03CB">
        <w:t xml:space="preserve">einzeln betrachtet. Beim </w:t>
      </w:r>
      <w:r w:rsidR="00663B18">
        <w:t xml:space="preserve">Wahrnehmen </w:t>
      </w:r>
      <w:r w:rsidR="00AC03CB">
        <w:t xml:space="preserve">von Stilen laufen </w:t>
      </w:r>
      <w:r w:rsidR="001E371F">
        <w:t>gewöh</w:t>
      </w:r>
      <w:r w:rsidR="001E371F">
        <w:t>n</w:t>
      </w:r>
      <w:r w:rsidR="001E371F">
        <w:t xml:space="preserve">lich </w:t>
      </w:r>
      <w:r w:rsidR="00AC03CB">
        <w:t>beide Prozesse ab; auch beim</w:t>
      </w:r>
      <w:r w:rsidR="002473EA">
        <w:t xml:space="preserve"> Anwenden</w:t>
      </w:r>
      <w:r w:rsidR="00AC03CB">
        <w:t xml:space="preserve"> von Stilen kann der </w:t>
      </w:r>
      <w:r w:rsidR="00C75387">
        <w:t>Stilanwender</w:t>
      </w:r>
      <w:r w:rsidR="00AC03CB">
        <w:t xml:space="preserve"> über die Merkmalsregeln selbst hinausgehen und überprüfen, welche </w:t>
      </w:r>
      <w:r w:rsidR="00B078B6">
        <w:t>Erkenn</w:t>
      </w:r>
      <w:r w:rsidR="00B078B6">
        <w:t>t</w:t>
      </w:r>
      <w:r w:rsidR="00B078B6">
        <w:t>nisse</w:t>
      </w:r>
      <w:r w:rsidR="00AC03CB">
        <w:t xml:space="preserve">, Bedeutungen usw. für einen </w:t>
      </w:r>
      <w:r w:rsidR="00C95D7A">
        <w:t>Stilwahrnehmer</w:t>
      </w:r>
      <w:r w:rsidR="00AC03CB">
        <w:t xml:space="preserve"> daraus entstehen können.</w:t>
      </w:r>
    </w:p>
    <w:p w:rsidR="006F1055" w:rsidRDefault="00AC03CB">
      <w:pPr>
        <w:pStyle w:val="Text"/>
      </w:pPr>
      <w:r>
        <w:t xml:space="preserve">Im Folgenden wird dargestellt, </w:t>
      </w:r>
      <w:r w:rsidR="00101831">
        <w:t xml:space="preserve">wie </w:t>
      </w:r>
      <w:r>
        <w:t>Merkmalsprozess und Interpretation</w:t>
      </w:r>
      <w:r>
        <w:t>s</w:t>
      </w:r>
      <w:r>
        <w:t>prozess beim</w:t>
      </w:r>
      <w:r w:rsidR="002473EA">
        <w:t xml:space="preserve"> Anwenden</w:t>
      </w:r>
      <w:r>
        <w:t xml:space="preserve"> und </w:t>
      </w:r>
      <w:r w:rsidR="00663B18">
        <w:t xml:space="preserve">Wahrnehmen </w:t>
      </w:r>
      <w:r>
        <w:t xml:space="preserve">von Stilen </w:t>
      </w:r>
      <w:r w:rsidR="006F1055">
        <w:t>ineinandergreifen. Dies geschieht für</w:t>
      </w:r>
      <w:r w:rsidR="00D31474" w:rsidRPr="00D31474">
        <w:t xml:space="preserve"> </w:t>
      </w:r>
      <w:r w:rsidR="00D31474">
        <w:t>Anwender</w:t>
      </w:r>
      <w:r w:rsidR="006F1055">
        <w:t xml:space="preserve">- und </w:t>
      </w:r>
      <w:r w:rsidR="00D31474">
        <w:t>Wahrnehmer</w:t>
      </w:r>
      <w:r w:rsidR="006F1055">
        <w:t>seite auf unterschiedliche Art:</w:t>
      </w:r>
    </w:p>
    <w:p w:rsidR="00651F6B" w:rsidRDefault="006F1055">
      <w:pPr>
        <w:pStyle w:val="Text"/>
      </w:pPr>
      <w:r>
        <w:t>Für die</w:t>
      </w:r>
      <w:r w:rsidR="00D31474" w:rsidRPr="00D31474">
        <w:t xml:space="preserve"> </w:t>
      </w:r>
      <w:r w:rsidR="00D31474">
        <w:t xml:space="preserve">Anwenderseite </w:t>
      </w:r>
      <w:r>
        <w:t xml:space="preserve">wird die Funktion </w:t>
      </w:r>
      <w:r w:rsidRPr="00337D36">
        <w:rPr>
          <w:i/>
        </w:rPr>
        <w:t>Stil_bereitstellen</w:t>
      </w:r>
      <w:r>
        <w:t xml:space="preserve"> nachgeliefert, die </w:t>
      </w:r>
      <w:r w:rsidR="0087251F">
        <w:t xml:space="preserve">in der Funktion </w:t>
      </w:r>
      <w:r w:rsidRPr="0087251F">
        <w:rPr>
          <w:i/>
        </w:rPr>
        <w:t>Schemaausführung</w:t>
      </w:r>
      <w:r>
        <w:t xml:space="preserve"> (vgl. Abschnitt </w:t>
      </w:r>
      <w:r w:rsidR="005D7996">
        <w:fldChar w:fldCharType="begin"/>
      </w:r>
      <w:r>
        <w:instrText xml:space="preserve"> REF _Ref212110965 \r \h </w:instrText>
      </w:r>
      <w:r w:rsidR="005D7996">
        <w:fldChar w:fldCharType="separate"/>
      </w:r>
      <w:r w:rsidR="001231D3">
        <w:t>5.2.2</w:t>
      </w:r>
      <w:r w:rsidR="005D7996">
        <w:fldChar w:fldCharType="end"/>
      </w:r>
      <w:r w:rsidR="00651F6B">
        <w:t>) aufgerufen wird, dort aber noch nicht dargestellt wurde.</w:t>
      </w:r>
      <w:r w:rsidR="00475919">
        <w:t xml:space="preserve"> Auf der</w:t>
      </w:r>
      <w:r w:rsidR="00D31474" w:rsidRPr="00D31474">
        <w:t xml:space="preserve"> </w:t>
      </w:r>
      <w:r w:rsidR="00D31474">
        <w:t xml:space="preserve">Anwenderseite </w:t>
      </w:r>
      <w:r w:rsidR="00475919">
        <w:t>bleibt damit die Fun</w:t>
      </w:r>
      <w:r w:rsidR="00475919">
        <w:t>k</w:t>
      </w:r>
      <w:r w:rsidR="00475919">
        <w:t xml:space="preserve">tion </w:t>
      </w:r>
      <w:r w:rsidR="00475919" w:rsidRPr="00337D36">
        <w:rPr>
          <w:i/>
        </w:rPr>
        <w:t>Schemaausführung</w:t>
      </w:r>
      <w:r w:rsidR="00475919">
        <w:t xml:space="preserve"> die grundlegende Funktion, die auch als Programm b</w:t>
      </w:r>
      <w:r w:rsidR="00475919">
        <w:t>e</w:t>
      </w:r>
      <w:r w:rsidR="00475919">
        <w:t xml:space="preserve">trachtet werden kann. Sie wird vermutlich von allgemeineren </w:t>
      </w:r>
      <w:r w:rsidR="00816BD4">
        <w:t>Verhaltensproze</w:t>
      </w:r>
      <w:r w:rsidR="00816BD4">
        <w:t>s</w:t>
      </w:r>
      <w:r w:rsidR="00816BD4">
        <w:t xml:space="preserve">sen </w:t>
      </w:r>
      <w:r w:rsidR="00475919">
        <w:t>aufgerufen und daher als Funktion spezifiziert.</w:t>
      </w:r>
    </w:p>
    <w:p w:rsidR="006F1055" w:rsidRDefault="00651F6B">
      <w:pPr>
        <w:pStyle w:val="Text"/>
      </w:pPr>
      <w:r>
        <w:t xml:space="preserve">Für die </w:t>
      </w:r>
      <w:r w:rsidR="00C95D7A">
        <w:t>Wahrnehmer</w:t>
      </w:r>
      <w:r>
        <w:t xml:space="preserve">seite wird die Funktion </w:t>
      </w:r>
      <w:r w:rsidR="001500F6">
        <w:rPr>
          <w:i/>
        </w:rPr>
        <w:t>Stil_wahrnehmen</w:t>
      </w:r>
      <w:r>
        <w:t xml:space="preserve"> dargestellt. Diese Funktion ruft selbst die Funktion </w:t>
      </w:r>
      <w:r w:rsidR="00C95D7A">
        <w:rPr>
          <w:i/>
        </w:rPr>
        <w:t>Merkmalsregeln</w:t>
      </w:r>
      <w:r w:rsidRPr="001F64B6">
        <w:rPr>
          <w:i/>
        </w:rPr>
        <w:t>_auslesen</w:t>
      </w:r>
      <w:r>
        <w:t xml:space="preserve"> auf (vgl. A</w:t>
      </w:r>
      <w:r>
        <w:t>b</w:t>
      </w:r>
      <w:r>
        <w:t xml:space="preserve">schnitt </w:t>
      </w:r>
      <w:r w:rsidR="005D7996">
        <w:fldChar w:fldCharType="begin"/>
      </w:r>
      <w:r>
        <w:instrText xml:space="preserve"> REF _Ref254084330 \r \h </w:instrText>
      </w:r>
      <w:r w:rsidR="005D7996">
        <w:fldChar w:fldCharType="separate"/>
      </w:r>
      <w:r w:rsidR="001231D3">
        <w:t>5.5.3</w:t>
      </w:r>
      <w:r w:rsidR="005D7996">
        <w:fldChar w:fldCharType="end"/>
      </w:r>
      <w:r w:rsidR="00475919">
        <w:t>).</w:t>
      </w:r>
      <w:r>
        <w:t xml:space="preserve"> </w:t>
      </w:r>
      <w:r w:rsidR="00475919">
        <w:t xml:space="preserve">Auf der </w:t>
      </w:r>
      <w:r w:rsidR="00C95D7A">
        <w:t xml:space="preserve">Wahrnehmerseite </w:t>
      </w:r>
      <w:r>
        <w:t xml:space="preserve">ist </w:t>
      </w:r>
      <w:r w:rsidR="00475919">
        <w:t xml:space="preserve">damit die </w:t>
      </w:r>
      <w:r w:rsidR="006F1055">
        <w:t xml:space="preserve">Funktion </w:t>
      </w:r>
      <w:r w:rsidR="001500F6">
        <w:rPr>
          <w:i/>
        </w:rPr>
        <w:t>Stil_wahrnehmen</w:t>
      </w:r>
      <w:r w:rsidR="00475919">
        <w:t xml:space="preserve"> die grundlegende Funktion, die auch als Programm betrachtet werden kann. Auch sie wird vermutlich von allgemeineren Verhaltens</w:t>
      </w:r>
      <w:r w:rsidR="00FC17D4">
        <w:t>prozessen</w:t>
      </w:r>
      <w:r w:rsidR="00475919">
        <w:t xml:space="preserve"> aufgerufen und daher als Funktion spezifiziert.</w:t>
      </w:r>
      <w:r w:rsidR="007C0E36">
        <w:t xml:space="preserve"> Sie erhält als Parameter die Realisierung </w:t>
      </w:r>
      <w:r w:rsidR="007C0E36" w:rsidRPr="007C0E36">
        <w:rPr>
          <w:i/>
        </w:rPr>
        <w:t>R</w:t>
      </w:r>
      <w:r w:rsidR="007C0E36">
        <w:t>, die auf einen Stil zu untersuchen ist.</w:t>
      </w:r>
    </w:p>
    <w:p w:rsidR="00CC7E1D" w:rsidRDefault="00C95D7A">
      <w:pPr>
        <w:pStyle w:val="Text"/>
      </w:pPr>
      <w:r>
        <w:t>Anwender</w:t>
      </w:r>
      <w:r w:rsidR="00475919">
        <w:t xml:space="preserve">- und </w:t>
      </w:r>
      <w:r>
        <w:t xml:space="preserve">Wahrnehmerseite </w:t>
      </w:r>
      <w:r w:rsidR="00475919">
        <w:t xml:space="preserve">unterscheiden sich also bezüglich der </w:t>
      </w:r>
      <w:r w:rsidR="00FC17D4">
        <w:t>Einbettung des Stilprozesses. Das</w:t>
      </w:r>
      <w:r w:rsidR="002473EA">
        <w:t xml:space="preserve"> Anwenden</w:t>
      </w:r>
      <w:r w:rsidR="00FC17D4">
        <w:t xml:space="preserve"> eines Stils findet bei der Ausfü</w:t>
      </w:r>
      <w:r w:rsidR="00FC17D4">
        <w:t>h</w:t>
      </w:r>
      <w:r w:rsidR="00FC17D4">
        <w:t xml:space="preserve">rung eines Schemas statt und ist damit eng verzahnt. Das </w:t>
      </w:r>
      <w:r>
        <w:t xml:space="preserve">Wahrnehmen </w:t>
      </w:r>
      <w:r w:rsidR="00FC17D4">
        <w:t xml:space="preserve">eines Stils stellt dagegen ein eigenes Verhalten dar. Dieser Unterschied gehört zu den </w:t>
      </w:r>
      <w:r w:rsidR="00765B16">
        <w:t>Charakteristika des stilistischen Zeichenprozesses.</w:t>
      </w:r>
    </w:p>
    <w:p w:rsidR="009469B0" w:rsidRDefault="00624A5F" w:rsidP="009469B0">
      <w:pPr>
        <w:pStyle w:val="Titel3"/>
      </w:pPr>
      <w:bookmarkStart w:id="414" w:name="_Ref261443581"/>
      <w:bookmarkStart w:id="415" w:name="_Toc325456802"/>
      <w:bookmarkStart w:id="416" w:name="Anwenden2"/>
      <w:r>
        <w:t xml:space="preserve">Anwenden </w:t>
      </w:r>
      <w:r w:rsidR="00CF3FF4">
        <w:t>eines Stils</w:t>
      </w:r>
      <w:bookmarkEnd w:id="414"/>
      <w:bookmarkEnd w:id="415"/>
    </w:p>
    <w:p w:rsidR="00101831" w:rsidRDefault="005D7996" w:rsidP="00E93C0F">
      <w:pPr>
        <w:pStyle w:val="Text"/>
        <w:ind w:firstLine="0"/>
      </w:pPr>
      <w:r>
        <w:fldChar w:fldCharType="begin"/>
      </w:r>
      <w:r w:rsidR="00DB331C">
        <w:instrText xml:space="preserve"> XE "Anwenden eines Stils</w:instrText>
      </w:r>
      <w:r w:rsidR="000C356B">
        <w:instrText>:</w:instrText>
      </w:r>
      <w:r w:rsidR="000C356B" w:rsidRPr="000C356B">
        <w:rPr>
          <w:i/>
        </w:rPr>
        <w:instrText>Funktion</w:instrText>
      </w:r>
      <w:r w:rsidR="00DB331C">
        <w:instrText xml:space="preserve">" \r "Anwenden2" </w:instrText>
      </w:r>
      <w:r>
        <w:fldChar w:fldCharType="end"/>
      </w:r>
      <w:r w:rsidR="0083064B">
        <w:t xml:space="preserve">Wenn eine Person auf </w:t>
      </w:r>
      <w:r w:rsidR="00235824">
        <w:t xml:space="preserve">der </w:t>
      </w:r>
      <w:r w:rsidR="0083064B">
        <w:t>Grundlage eines Schemas eine Realisierung erzeugt</w:t>
      </w:r>
      <w:r w:rsidR="00B253A8">
        <w:t xml:space="preserve">, kann </w:t>
      </w:r>
      <w:r w:rsidR="004E2049">
        <w:t>diese zum Träger eines Stils werden</w:t>
      </w:r>
      <w:r w:rsidR="004E4AEC">
        <w:t xml:space="preserve">. </w:t>
      </w:r>
      <w:r w:rsidR="00101831">
        <w:t xml:space="preserve">In der Funktion </w:t>
      </w:r>
      <w:r w:rsidR="00101831" w:rsidRPr="001F64B6">
        <w:rPr>
          <w:i/>
        </w:rPr>
        <w:t>Schemaausführung</w:t>
      </w:r>
      <w:r w:rsidR="00101831">
        <w:t xml:space="preserve"> (vgl. Abschnitt </w:t>
      </w:r>
      <w:r>
        <w:fldChar w:fldCharType="begin"/>
      </w:r>
      <w:r w:rsidR="00101831">
        <w:instrText xml:space="preserve"> REF _Ref212110965 \r \h </w:instrText>
      </w:r>
      <w:r>
        <w:fldChar w:fldCharType="separate"/>
      </w:r>
      <w:r w:rsidR="001231D3">
        <w:t>5.2.2</w:t>
      </w:r>
      <w:r>
        <w:fldChar w:fldCharType="end"/>
      </w:r>
      <w:r w:rsidR="00101831">
        <w:t xml:space="preserve">) </w:t>
      </w:r>
      <w:r w:rsidR="0092696F">
        <w:t xml:space="preserve">wird </w:t>
      </w:r>
      <w:r w:rsidR="00101831">
        <w:t xml:space="preserve">die Funktion </w:t>
      </w:r>
      <w:r w:rsidR="00101831" w:rsidRPr="001F64B6">
        <w:rPr>
          <w:i/>
        </w:rPr>
        <w:t>Stil_bereitstellen</w:t>
      </w:r>
      <w:r w:rsidR="00101831">
        <w:t xml:space="preserve"> </w:t>
      </w:r>
      <w:r w:rsidR="0092696F">
        <w:t>aufgerufen</w:t>
      </w:r>
      <w:r w:rsidR="00101831">
        <w:t xml:space="preserve">, die eine Menge von Merkmalsregeln </w:t>
      </w:r>
      <w:r w:rsidR="00101831" w:rsidRPr="00101831">
        <w:rPr>
          <w:i/>
        </w:rPr>
        <w:t>B</w:t>
      </w:r>
      <w:r w:rsidR="00101831">
        <w:t xml:space="preserve"> liefert. Diese Funktion wird in diesem Abschnitt dargestellt.</w:t>
      </w:r>
      <w:r w:rsidR="0019312F">
        <w:t xml:space="preserve"> </w:t>
      </w:r>
      <w:r w:rsidR="00CA1744">
        <w:t xml:space="preserve">Um eine Menge </w:t>
      </w:r>
      <w:r w:rsidR="00CA1744" w:rsidRPr="00CA1744">
        <w:rPr>
          <w:i/>
        </w:rPr>
        <w:t>B</w:t>
      </w:r>
      <w:r w:rsidR="00CA1744">
        <w:t xml:space="preserve"> zu erhalten, die in die Realisierung eingeschrieben werden soll und dem gewählten Schema </w:t>
      </w:r>
      <w:r w:rsidR="00CA1744" w:rsidRPr="00CA1744">
        <w:rPr>
          <w:i/>
        </w:rPr>
        <w:t>S*</w:t>
      </w:r>
      <w:r w:rsidR="00CA1744">
        <w:t xml:space="preserve"> entspricht, kann auf einen gegebenen Stil zurückgegriffen oder eine neue Menge </w:t>
      </w:r>
      <w:r w:rsidR="00CA1744" w:rsidRPr="00CA1744">
        <w:rPr>
          <w:i/>
        </w:rPr>
        <w:t>B</w:t>
      </w:r>
      <w:r w:rsidR="00CA1744">
        <w:t xml:space="preserve"> erzeugt werden, </w:t>
      </w:r>
      <w:r w:rsidR="0019312F">
        <w:t>wofür jeweils Funktionen angenommen werden</w:t>
      </w:r>
      <w:r w:rsidR="00101831">
        <w:t>.</w:t>
      </w:r>
    </w:p>
    <w:p w:rsidR="002F1529" w:rsidRDefault="004E2049" w:rsidP="00B253A8">
      <w:pPr>
        <w:pStyle w:val="Text"/>
      </w:pPr>
      <w:r>
        <w:t>Im vorliegenden Modell wurde Stil in zwei miteinander interagierende Pr</w:t>
      </w:r>
      <w:r>
        <w:t>o</w:t>
      </w:r>
      <w:r>
        <w:t xml:space="preserve">zesse aufgeteilt: Merkmalsprozess und Zeichenprozess. </w:t>
      </w:r>
      <w:r w:rsidR="0019312F">
        <w:t>Untersucht wurde b</w:t>
      </w:r>
      <w:r w:rsidR="0019312F">
        <w:t>e</w:t>
      </w:r>
      <w:r w:rsidR="0019312F">
        <w:lastRenderedPageBreak/>
        <w:t>reits</w:t>
      </w:r>
      <w:r>
        <w:t xml:space="preserve">, wie eine Menge von Merkmalsregeln in eine </w:t>
      </w:r>
      <w:r w:rsidR="00286039">
        <w:t>Realisierung eingeschrieben werden kann</w:t>
      </w:r>
      <w:r w:rsidR="0019312F">
        <w:t xml:space="preserve"> (vgl. </w:t>
      </w:r>
      <w:r w:rsidR="00B96C8A">
        <w:t>Abschnitt</w:t>
      </w:r>
      <w:r w:rsidR="0019312F">
        <w:t xml:space="preserve"> </w:t>
      </w:r>
      <w:r w:rsidR="005D7996">
        <w:fldChar w:fldCharType="begin"/>
      </w:r>
      <w:r w:rsidR="0019312F">
        <w:instrText xml:space="preserve"> REF _Ref212110965 \r \h </w:instrText>
      </w:r>
      <w:r w:rsidR="005D7996">
        <w:fldChar w:fldCharType="separate"/>
      </w:r>
      <w:r w:rsidR="001231D3">
        <w:t>5.2.2</w:t>
      </w:r>
      <w:r w:rsidR="005D7996">
        <w:fldChar w:fldCharType="end"/>
      </w:r>
      <w:r w:rsidR="0019312F">
        <w:t>, Schritt (3) und Abschnitt</w:t>
      </w:r>
      <w:r w:rsidR="00B96C8A">
        <w:t xml:space="preserve"> </w:t>
      </w:r>
      <w:r w:rsidR="005D7996">
        <w:fldChar w:fldCharType="begin"/>
      </w:r>
      <w:r w:rsidR="00B96C8A">
        <w:instrText xml:space="preserve"> REF _Ref255649029 \r \h </w:instrText>
      </w:r>
      <w:r w:rsidR="005D7996">
        <w:fldChar w:fldCharType="separate"/>
      </w:r>
      <w:r w:rsidR="001231D3">
        <w:t>5.4</w:t>
      </w:r>
      <w:r w:rsidR="005D7996">
        <w:fldChar w:fldCharType="end"/>
      </w:r>
      <w:r w:rsidR="00B96C8A">
        <w:t xml:space="preserve">). </w:t>
      </w:r>
      <w:r w:rsidR="00286039">
        <w:t>In der Tre</w:t>
      </w:r>
      <w:r w:rsidR="00286039">
        <w:t>n</w:t>
      </w:r>
      <w:r w:rsidR="00286039">
        <w:t xml:space="preserve">nung im vorliegenden Modell sind </w:t>
      </w:r>
      <w:r w:rsidR="0019312F">
        <w:t xml:space="preserve">allerdings </w:t>
      </w:r>
      <w:r w:rsidR="00286039">
        <w:t>alle Aspekte, die über direkt beschreibbare Merkmal</w:t>
      </w:r>
      <w:r w:rsidR="00DB33A9">
        <w:t>sregeln</w:t>
      </w:r>
      <w:r w:rsidR="00286039">
        <w:t xml:space="preserve"> hinausgehen, in den Interpretationsprozess verl</w:t>
      </w:r>
      <w:r w:rsidR="00286039">
        <w:t>a</w:t>
      </w:r>
      <w:r w:rsidR="00286039">
        <w:t xml:space="preserve">gert worden. </w:t>
      </w:r>
      <w:r w:rsidR="00D520DD">
        <w:t xml:space="preserve">Dazu gehören bereits simple </w:t>
      </w:r>
      <w:r w:rsidR="00286039">
        <w:t>Beziehung</w:t>
      </w:r>
      <w:r w:rsidR="00D520DD">
        <w:t>en</w:t>
      </w:r>
      <w:r w:rsidR="00286039">
        <w:t xml:space="preserve"> zwischen verschiedenen Merkmalsregeln, etwa die Gleichheit der verlangten Eigenschaften bei verschi</w:t>
      </w:r>
      <w:r w:rsidR="00286039">
        <w:t>e</w:t>
      </w:r>
      <w:r w:rsidR="00286039">
        <w:t xml:space="preserve">denen Schemaorten (z.B. </w:t>
      </w:r>
      <w:r w:rsidR="00D520DD">
        <w:t xml:space="preserve">‚riskante‘ Ausführung von </w:t>
      </w:r>
      <w:r w:rsidR="00286039">
        <w:t xml:space="preserve">‚Linksabbiegen‘ </w:t>
      </w:r>
      <w:r w:rsidR="00D520DD">
        <w:t xml:space="preserve">und von </w:t>
      </w:r>
      <w:r w:rsidR="00286039">
        <w:t xml:space="preserve">‚Überholen‘). </w:t>
      </w:r>
      <w:r w:rsidR="00E25E42">
        <w:t xml:space="preserve">Es wäre wenig realistisch, anzunehmen, dass der </w:t>
      </w:r>
      <w:r w:rsidR="00C75387">
        <w:t>Stilanwender</w:t>
      </w:r>
      <w:r w:rsidR="00E25E42">
        <w:t xml:space="preserve"> nicht einmal so einfache Beziehungen berücksichtigen kann, bevor er/sie eine Menge von Merkmalsregeln anwendet.</w:t>
      </w:r>
      <w:r w:rsidR="002C777C">
        <w:t xml:space="preserve"> </w:t>
      </w:r>
      <w:r w:rsidR="00E25E42">
        <w:t xml:space="preserve">Daher </w:t>
      </w:r>
      <w:r w:rsidR="000B237B">
        <w:t xml:space="preserve">kann </w:t>
      </w:r>
      <w:r w:rsidR="00E25E42">
        <w:t>der Interpretationsprozess auch beim</w:t>
      </w:r>
      <w:r w:rsidR="002473EA">
        <w:t xml:space="preserve"> Anwenden</w:t>
      </w:r>
      <w:r w:rsidR="00E25E42">
        <w:t xml:space="preserve"> von Stilen </w:t>
      </w:r>
      <w:r w:rsidR="005502BE">
        <w:t xml:space="preserve">berücksichtigt </w:t>
      </w:r>
      <w:r w:rsidR="00E25E42">
        <w:t>werden</w:t>
      </w:r>
      <w:r w:rsidR="00286039">
        <w:t>.</w:t>
      </w:r>
      <w:r w:rsidR="000B237B">
        <w:t xml:space="preserve"> Es sind somit zwei Fälle zu unterscheiden:</w:t>
      </w:r>
    </w:p>
    <w:p w:rsidR="000B237B" w:rsidRDefault="000B237B" w:rsidP="00B253A8">
      <w:pPr>
        <w:pStyle w:val="Text"/>
      </w:pPr>
      <w:r>
        <w:t>(1)</w:t>
      </w:r>
      <w:r>
        <w:tab/>
      </w:r>
      <w:r w:rsidR="005502BE">
        <w:t>Berücksichti</w:t>
      </w:r>
      <w:r w:rsidR="00527EF6">
        <w:t>gung</w:t>
      </w:r>
      <w:r w:rsidR="005502BE">
        <w:t xml:space="preserve"> </w:t>
      </w:r>
      <w:r>
        <w:t>der Interpretation:</w:t>
      </w:r>
    </w:p>
    <w:p w:rsidR="004E2049" w:rsidRDefault="000B237B" w:rsidP="00B253A8">
      <w:pPr>
        <w:pStyle w:val="Text"/>
      </w:pPr>
      <w:r>
        <w:t xml:space="preserve">In diesem Fall </w:t>
      </w:r>
      <w:r w:rsidR="005502BE">
        <w:t>wird auch beim</w:t>
      </w:r>
      <w:r w:rsidR="002473EA">
        <w:t xml:space="preserve"> Anwenden</w:t>
      </w:r>
      <w:r w:rsidR="005502BE">
        <w:t xml:space="preserve"> von Stil </w:t>
      </w:r>
      <w:r w:rsidR="002F1529">
        <w:t xml:space="preserve">die Interpretation </w:t>
      </w:r>
      <w:r w:rsidR="005502BE">
        <w:t>b</w:t>
      </w:r>
      <w:r w:rsidR="005502BE">
        <w:t>e</w:t>
      </w:r>
      <w:r w:rsidR="005502BE">
        <w:t xml:space="preserve">rücksichtigt. Es </w:t>
      </w:r>
      <w:r w:rsidR="002F1529">
        <w:t xml:space="preserve">sind </w:t>
      </w:r>
      <w:r w:rsidR="00182DC0">
        <w:t>Entitäten</w:t>
      </w:r>
      <w:r w:rsidR="002F1529">
        <w:t xml:space="preserve"> der Sorten </w:t>
      </w:r>
      <w:r w:rsidR="002F1529" w:rsidRPr="002F1529">
        <w:rPr>
          <w:i/>
        </w:rPr>
        <w:t>Sn</w:t>
      </w:r>
      <w:r w:rsidR="002F1529">
        <w:t xml:space="preserve"> gegeben (also in unserem Modell Proposition</w:t>
      </w:r>
      <w:r w:rsidR="00FC3D1C">
        <w:t>sannahme</w:t>
      </w:r>
      <w:r w:rsidR="002F1529">
        <w:t xml:space="preserve">n, Gefühle oder Eindrücke), die als </w:t>
      </w:r>
      <w:r w:rsidR="005502BE">
        <w:t xml:space="preserve">angestrebte </w:t>
      </w:r>
      <w:r w:rsidR="002F1529">
        <w:t>Interpret</w:t>
      </w:r>
      <w:r w:rsidR="002F1529">
        <w:t>a</w:t>
      </w:r>
      <w:r w:rsidR="002F1529">
        <w:t xml:space="preserve">tion </w:t>
      </w:r>
      <w:r w:rsidR="002F1529">
        <w:rPr>
          <w:i/>
        </w:rPr>
        <w:t>I</w:t>
      </w:r>
      <w:r w:rsidR="005502BE">
        <w:rPr>
          <w:i/>
        </w:rPr>
        <w:t>'</w:t>
      </w:r>
      <w:r w:rsidR="002F1529">
        <w:t xml:space="preserve"> </w:t>
      </w:r>
      <w:r w:rsidR="005502BE">
        <w:t xml:space="preserve">zusammengefasst </w:t>
      </w:r>
      <w:r w:rsidR="002F1529">
        <w:t xml:space="preserve">werden. Der Interpretationsprozess läuft nun auf Basis einer provisorischen Menge von Merkmalsregeln ab, um zu überprüfen, ob diese Interpretationsergebnisse tatsächlich erzeugt werden. Danach wird </w:t>
      </w:r>
      <w:r w:rsidR="002F1529" w:rsidRPr="002F1529">
        <w:rPr>
          <w:i/>
        </w:rPr>
        <w:t>B</w:t>
      </w:r>
      <w:r w:rsidR="002F1529">
        <w:t xml:space="preserve"> solange angepasst, bis die </w:t>
      </w:r>
      <w:r w:rsidR="00402E88">
        <w:t>erzeugte Interpretation</w:t>
      </w:r>
      <w:r w:rsidR="002F1529">
        <w:t xml:space="preserve"> </w:t>
      </w:r>
      <w:r w:rsidR="002F1529" w:rsidRPr="002F1529">
        <w:rPr>
          <w:i/>
        </w:rPr>
        <w:t>I</w:t>
      </w:r>
      <w:r w:rsidR="002F1529">
        <w:t xml:space="preserve"> </w:t>
      </w:r>
      <w:r w:rsidR="00402E88">
        <w:t>die angestrebte</w:t>
      </w:r>
      <w:r w:rsidR="000630F8">
        <w:t xml:space="preserve"> Interpretation </w:t>
      </w:r>
      <w:r w:rsidR="000630F8">
        <w:rPr>
          <w:i/>
        </w:rPr>
        <w:t>I'</w:t>
      </w:r>
      <w:r w:rsidR="000630F8">
        <w:t xml:space="preserve"> en</w:t>
      </w:r>
      <w:r w:rsidR="000630F8">
        <w:t>t</w:t>
      </w:r>
      <w:r w:rsidR="000630F8">
        <w:t>hält</w:t>
      </w:r>
      <w:r w:rsidR="002F1529">
        <w:t>.</w:t>
      </w:r>
    </w:p>
    <w:p w:rsidR="00D53869" w:rsidRDefault="00D53869" w:rsidP="00B253A8">
      <w:pPr>
        <w:pStyle w:val="Text"/>
      </w:pPr>
      <w:r>
        <w:t xml:space="preserve">Die Einbeziehung der Interpretation </w:t>
      </w:r>
      <w:r w:rsidR="000630F8">
        <w:t>muss k</w:t>
      </w:r>
      <w:r w:rsidR="000B237B">
        <w:t xml:space="preserve">ein bewusster oder absichtlicher </w:t>
      </w:r>
      <w:r>
        <w:t>Prozess</w:t>
      </w:r>
      <w:r w:rsidR="000630F8">
        <w:t xml:space="preserve"> sein</w:t>
      </w:r>
      <w:r>
        <w:t xml:space="preserve">. Verschiedene Stufen der </w:t>
      </w:r>
      <w:r w:rsidR="0081188E">
        <w:t xml:space="preserve">Bewusstheit und </w:t>
      </w:r>
      <w:r>
        <w:t xml:space="preserve">Absichtlichkeit sind denkbar, von gezielt und reflektiert erzeugten </w:t>
      </w:r>
      <w:r w:rsidR="0081188E">
        <w:t xml:space="preserve">Interpretationsergebnissen (etwa bestimmten </w:t>
      </w:r>
      <w:r w:rsidR="00B078B6">
        <w:t xml:space="preserve">Erkenntnissen </w:t>
      </w:r>
      <w:r w:rsidR="0081188E">
        <w:t xml:space="preserve">und Bedeutungen, die mit dem Stil transportiert werden sollen) über unabsichtliche, aber bewusst wahrgenommene </w:t>
      </w:r>
      <w:r w:rsidR="005125FC">
        <w:t>(etwa wenn ein Tennisspieler</w:t>
      </w:r>
      <w:r w:rsidR="005D7996">
        <w:fldChar w:fldCharType="begin"/>
      </w:r>
      <w:r w:rsidR="00C078A7">
        <w:instrText xml:space="preserve"> XE "</w:instrText>
      </w:r>
      <w:r w:rsidR="00C078A7" w:rsidRPr="00B1281F">
        <w:instrText>Tennis</w:instrText>
      </w:r>
      <w:r w:rsidR="00C078A7">
        <w:instrText xml:space="preserve">" </w:instrText>
      </w:r>
      <w:r w:rsidR="005D7996">
        <w:fldChar w:fldCharType="end"/>
      </w:r>
      <w:r w:rsidR="005125FC">
        <w:t xml:space="preserve"> seine Aggression in einen entsprechenden Stil umsetzt, ohne dies gewollt zu haben) </w:t>
      </w:r>
      <w:r w:rsidR="0081188E">
        <w:t>bis hin zu weitgehend automatisch ablaufenden Proze</w:t>
      </w:r>
      <w:r w:rsidR="0081188E">
        <w:t>s</w:t>
      </w:r>
      <w:r w:rsidR="0081188E">
        <w:t xml:space="preserve">sen (etwa wenn die Merkmalsregeln </w:t>
      </w:r>
      <w:r w:rsidR="005125FC">
        <w:t xml:space="preserve">unbewusst einer momentanen </w:t>
      </w:r>
      <w:r w:rsidR="0081188E">
        <w:t xml:space="preserve">Stimmung </w:t>
      </w:r>
      <w:r w:rsidR="005125FC">
        <w:t xml:space="preserve">gemäß </w:t>
      </w:r>
      <w:r w:rsidR="002F1529">
        <w:t>aneinander angeglichen werden).</w:t>
      </w:r>
      <w:r w:rsidR="00024F7D">
        <w:rPr>
          <w:rStyle w:val="Funotenzeichen"/>
        </w:rPr>
        <w:footnoteReference w:id="527"/>
      </w:r>
    </w:p>
    <w:p w:rsidR="000B237B" w:rsidRDefault="000B237B" w:rsidP="00B253A8">
      <w:pPr>
        <w:pStyle w:val="Text"/>
      </w:pPr>
      <w:r>
        <w:t>(2)</w:t>
      </w:r>
      <w:r>
        <w:tab/>
        <w:t xml:space="preserve">Keine </w:t>
      </w:r>
      <w:r w:rsidR="00C862EE">
        <w:t xml:space="preserve">Berücksichtigung </w:t>
      </w:r>
      <w:r>
        <w:t>der Interpretation:</w:t>
      </w:r>
    </w:p>
    <w:p w:rsidR="002F1529" w:rsidRDefault="000B237B" w:rsidP="00B253A8">
      <w:pPr>
        <w:pStyle w:val="Text"/>
      </w:pPr>
      <w:r>
        <w:t xml:space="preserve">In diesem Fall ist eine Menge von Merkmalsregeln </w:t>
      </w:r>
      <w:r w:rsidRPr="000B237B">
        <w:rPr>
          <w:i/>
        </w:rPr>
        <w:t>B</w:t>
      </w:r>
      <w:r>
        <w:t xml:space="preserve"> bereits gegeben oder wird erzeugt, ohne dass berücksichtigt wird, welche </w:t>
      </w:r>
      <w:r w:rsidR="009A1BE0">
        <w:t xml:space="preserve">Interpretationsergebnisse </w:t>
      </w:r>
      <w:r>
        <w:t>sich beim Stilinterpreten einstellen können.</w:t>
      </w:r>
    </w:p>
    <w:p w:rsidR="007B187F" w:rsidRPr="00042091" w:rsidRDefault="007B187F" w:rsidP="00593282">
      <w:pPr>
        <w:pStyle w:val="Text"/>
        <w:keepNext/>
        <w:spacing w:before="360"/>
        <w:ind w:firstLine="0"/>
        <w:jc w:val="left"/>
      </w:pPr>
      <w:r w:rsidRPr="00042091">
        <w:lastRenderedPageBreak/>
        <w:t>function Stil_</w:t>
      </w:r>
      <w:r w:rsidR="003B4B8C" w:rsidRPr="00042091">
        <w:t xml:space="preserve">bereitstellen </w:t>
      </w:r>
      <w:r w:rsidR="005E329D" w:rsidRPr="00042091">
        <w:t>(</w:t>
      </w:r>
      <w:r w:rsidR="00B94E84" w:rsidRPr="00042091">
        <w:rPr>
          <w:i/>
        </w:rPr>
        <w:t>S</w:t>
      </w:r>
      <w:r w:rsidR="00A92344" w:rsidRPr="00042091">
        <w:rPr>
          <w:i/>
        </w:rPr>
        <w:t>*</w:t>
      </w:r>
      <w:r w:rsidR="000C0381" w:rsidRPr="00042091">
        <w:t>)</w:t>
      </w:r>
    </w:p>
    <w:p w:rsidR="008C2F51" w:rsidRDefault="008C2F51" w:rsidP="005754E6">
      <w:pPr>
        <w:pStyle w:val="Text"/>
        <w:ind w:firstLine="0"/>
        <w:jc w:val="left"/>
      </w:pPr>
      <w:r>
        <w:t xml:space="preserve">   </w:t>
      </w:r>
      <w:r w:rsidRPr="001B411B">
        <w:rPr>
          <w:i/>
        </w:rPr>
        <w:t>B</w:t>
      </w:r>
      <w:r>
        <w:t xml:space="preserve"> </w:t>
      </w:r>
      <w:r w:rsidR="004E0380">
        <w:t>= {</w:t>
      </w:r>
      <w:r w:rsidR="004E0380">
        <w:rPr>
          <w:lang w:val="it-IT"/>
        </w:rPr>
        <w:t>&lt;</w:t>
      </w:r>
      <w:r w:rsidR="004E0380">
        <w:rPr>
          <w:i/>
          <w:lang w:val="it-IT"/>
        </w:rPr>
        <w:t>U</w:t>
      </w:r>
      <w:r w:rsidR="004E0380">
        <w:rPr>
          <w:lang w:val="it-IT"/>
        </w:rPr>
        <w:t xml:space="preserve">, </w:t>
      </w:r>
      <w:r w:rsidR="004E0380">
        <w:rPr>
          <w:i/>
          <w:lang w:val="it-IT"/>
        </w:rPr>
        <w:t>V</w:t>
      </w:r>
      <w:r w:rsidR="004E0380">
        <w:rPr>
          <w:lang w:val="it-IT"/>
        </w:rPr>
        <w:t>,</w:t>
      </w:r>
      <w:r w:rsidR="004E0380" w:rsidRPr="004E0380">
        <w:rPr>
          <w:i/>
          <w:lang w:val="it-IT"/>
        </w:rPr>
        <w:t xml:space="preserve"> </w:t>
      </w:r>
      <w:r w:rsidR="004E0380">
        <w:rPr>
          <w:i/>
          <w:lang w:val="it-IT"/>
        </w:rPr>
        <w:t>w</w:t>
      </w:r>
      <w:r w:rsidR="004E0380">
        <w:rPr>
          <w:lang w:val="it-IT"/>
        </w:rPr>
        <w:t>&gt;</w:t>
      </w:r>
      <w:r w:rsidR="002140E0">
        <w:rPr>
          <w:lang w:val="it-IT"/>
        </w:rPr>
        <w:t>}</w:t>
      </w:r>
      <w:r w:rsidR="00865AE1">
        <w:rPr>
          <w:lang w:val="it-IT"/>
        </w:rPr>
        <w:t xml:space="preserve"> :</w:t>
      </w:r>
      <w:r w:rsidR="004E0380">
        <w:rPr>
          <w:lang w:val="it-IT"/>
        </w:rPr>
        <w:t xml:space="preserve">= </w:t>
      </w:r>
      <w:r w:rsidR="00E4309C">
        <w:t>vorhandener</w:t>
      </w:r>
      <w:r>
        <w:t>_Stil (</w:t>
      </w:r>
      <w:r w:rsidR="004E4AEC" w:rsidRPr="00042091">
        <w:rPr>
          <w:i/>
        </w:rPr>
        <w:t>S*</w:t>
      </w:r>
      <w:r>
        <w:t>)</w:t>
      </w:r>
    </w:p>
    <w:p w:rsidR="001B411B" w:rsidRPr="00042091" w:rsidRDefault="001B411B" w:rsidP="005754E6">
      <w:pPr>
        <w:pStyle w:val="Text"/>
        <w:ind w:firstLine="0"/>
        <w:jc w:val="left"/>
        <w:rPr>
          <w:position w:val="-6"/>
        </w:rPr>
      </w:pPr>
      <w:r w:rsidRPr="00042091">
        <w:t xml:space="preserve">   if </w:t>
      </w:r>
      <w:r w:rsidRPr="00042091">
        <w:rPr>
          <w:i/>
        </w:rPr>
        <w:t>B</w:t>
      </w:r>
      <w:r w:rsidR="006F23EA">
        <w:t xml:space="preserve"> </w:t>
      </w:r>
      <w:r w:rsidRPr="00042091">
        <w:t xml:space="preserve">= </w:t>
      </w:r>
      <w:r w:rsidRPr="007F4805">
        <w:rPr>
          <w:position w:val="-6"/>
        </w:rPr>
        <w:object w:dxaOrig="260" w:dyaOrig="279">
          <v:shape id="_x0000_i1056" type="#_x0000_t75" style="width:14pt;height:13.6pt" o:ole="">
            <v:imagedata r:id="rId25" o:title=""/>
          </v:shape>
          <o:OLEObject Type="Embed" ProgID="Equation.3" ShapeID="_x0000_i1056" DrawAspect="Content" ObjectID="_1460983897" r:id="rId77"/>
        </w:object>
      </w:r>
    </w:p>
    <w:p w:rsidR="001B411B" w:rsidRPr="00042091" w:rsidRDefault="001B411B" w:rsidP="005754E6">
      <w:pPr>
        <w:pStyle w:val="Text"/>
        <w:ind w:firstLine="0"/>
        <w:jc w:val="left"/>
      </w:pPr>
      <w:r w:rsidRPr="00042091">
        <w:t xml:space="preserve">      </w:t>
      </w:r>
      <w:r w:rsidRPr="001B411B">
        <w:rPr>
          <w:i/>
        </w:rPr>
        <w:t>B</w:t>
      </w:r>
      <w:r>
        <w:t xml:space="preserve"> </w:t>
      </w:r>
      <w:r w:rsidR="00FE275B">
        <w:t>= {</w:t>
      </w:r>
      <w:r w:rsidR="00FE275B">
        <w:rPr>
          <w:lang w:val="it-IT"/>
        </w:rPr>
        <w:t>&lt;</w:t>
      </w:r>
      <w:r w:rsidR="00FE275B">
        <w:rPr>
          <w:i/>
          <w:lang w:val="it-IT"/>
        </w:rPr>
        <w:t>U</w:t>
      </w:r>
      <w:r w:rsidR="00FE275B">
        <w:rPr>
          <w:lang w:val="it-IT"/>
        </w:rPr>
        <w:t xml:space="preserve">, </w:t>
      </w:r>
      <w:r w:rsidR="00FE275B">
        <w:rPr>
          <w:i/>
          <w:lang w:val="it-IT"/>
        </w:rPr>
        <w:t>V</w:t>
      </w:r>
      <w:r w:rsidR="00FE275B">
        <w:rPr>
          <w:lang w:val="it-IT"/>
        </w:rPr>
        <w:t>,</w:t>
      </w:r>
      <w:r w:rsidR="00FE275B" w:rsidRPr="004E0380">
        <w:rPr>
          <w:i/>
          <w:lang w:val="it-IT"/>
        </w:rPr>
        <w:t xml:space="preserve"> </w:t>
      </w:r>
      <w:r w:rsidR="00FE275B">
        <w:rPr>
          <w:i/>
          <w:lang w:val="it-IT"/>
        </w:rPr>
        <w:t>w</w:t>
      </w:r>
      <w:r w:rsidR="00FE275B">
        <w:rPr>
          <w:lang w:val="it-IT"/>
        </w:rPr>
        <w:t xml:space="preserve">&gt;} </w:t>
      </w:r>
      <w:r>
        <w:t xml:space="preserve">:= </w:t>
      </w:r>
      <w:r w:rsidR="00A70E04">
        <w:t>Merkmalsregeln</w:t>
      </w:r>
      <w:r>
        <w:t>_erzeugen</w:t>
      </w:r>
      <w:r w:rsidR="00042091" w:rsidRPr="00042091">
        <w:t xml:space="preserve"> (</w:t>
      </w:r>
      <w:r w:rsidR="004E4AEC" w:rsidRPr="00042091">
        <w:rPr>
          <w:i/>
        </w:rPr>
        <w:t>S*</w:t>
      </w:r>
      <w:r w:rsidR="00042091" w:rsidRPr="00042091">
        <w:t>)</w:t>
      </w:r>
    </w:p>
    <w:p w:rsidR="00752282" w:rsidRPr="003B3E92" w:rsidRDefault="00C14B5F" w:rsidP="00BD2604">
      <w:pPr>
        <w:pStyle w:val="Text"/>
        <w:ind w:hanging="369"/>
        <w:jc w:val="left"/>
        <w:rPr>
          <w:color w:val="000000" w:themeColor="text1"/>
          <w:lang w:val="en-US"/>
        </w:rPr>
      </w:pPr>
      <w:r w:rsidRPr="005754E6">
        <w:rPr>
          <w:sz w:val="16"/>
          <w:szCs w:val="16"/>
        </w:rPr>
        <w:t xml:space="preserve"> </w:t>
      </w:r>
      <w:r w:rsidR="00752282" w:rsidRPr="005754E6">
        <w:rPr>
          <w:sz w:val="16"/>
          <w:szCs w:val="16"/>
          <w:lang w:val="en-US"/>
        </w:rPr>
        <w:t>5</w:t>
      </w:r>
      <w:r w:rsidR="00752282" w:rsidRPr="003B3E92">
        <w:rPr>
          <w:lang w:val="en-US"/>
        </w:rPr>
        <w:tab/>
      </w:r>
      <w:r w:rsidR="00752282" w:rsidRPr="003B3E92">
        <w:rPr>
          <w:color w:val="000000" w:themeColor="text1"/>
          <w:lang w:val="en-US"/>
        </w:rPr>
        <w:t xml:space="preserve">   </w:t>
      </w:r>
      <w:r w:rsidR="00752282" w:rsidRPr="003B3E92">
        <w:rPr>
          <w:rFonts w:cs="Times New Roman"/>
          <w:color w:val="000000" w:themeColor="text1"/>
          <w:lang w:val="en-US"/>
        </w:rPr>
        <w:t>end</w:t>
      </w:r>
    </w:p>
    <w:p w:rsidR="0012117C" w:rsidRPr="003B3E92" w:rsidRDefault="0012117C" w:rsidP="005754E6">
      <w:pPr>
        <w:pStyle w:val="Text"/>
        <w:ind w:firstLine="0"/>
        <w:jc w:val="left"/>
        <w:rPr>
          <w:lang w:val="en-US"/>
        </w:rPr>
      </w:pPr>
      <w:r w:rsidRPr="003B3E92">
        <w:rPr>
          <w:lang w:val="en-US"/>
        </w:rPr>
        <w:t xml:space="preserve">   </w:t>
      </w:r>
      <w:r w:rsidRPr="003B3E92">
        <w:rPr>
          <w:i/>
          <w:lang w:val="en-US"/>
        </w:rPr>
        <w:t>I'</w:t>
      </w:r>
      <w:r w:rsidRPr="003B3E92">
        <w:rPr>
          <w:lang w:val="en-US"/>
        </w:rPr>
        <w:t xml:space="preserve"> := angestrebte_Interpretation (</w:t>
      </w:r>
      <w:r w:rsidR="00E25776" w:rsidRPr="003B3E92">
        <w:rPr>
          <w:i/>
          <w:lang w:val="en-US"/>
        </w:rPr>
        <w:t>B</w:t>
      </w:r>
      <w:r w:rsidRPr="003B3E92">
        <w:rPr>
          <w:lang w:val="en-US"/>
        </w:rPr>
        <w:t>)</w:t>
      </w:r>
    </w:p>
    <w:p w:rsidR="00170031" w:rsidRPr="002F5378" w:rsidRDefault="00170031" w:rsidP="005754E6">
      <w:pPr>
        <w:pStyle w:val="Text"/>
        <w:ind w:firstLine="0"/>
        <w:jc w:val="left"/>
        <w:rPr>
          <w:lang w:val="en-US"/>
        </w:rPr>
      </w:pPr>
      <w:r w:rsidRPr="003B3E92">
        <w:rPr>
          <w:lang w:val="en-US"/>
        </w:rPr>
        <w:t xml:space="preserve">   </w:t>
      </w:r>
      <w:r w:rsidRPr="002F5378">
        <w:rPr>
          <w:lang w:val="en-US"/>
        </w:rPr>
        <w:t xml:space="preserve">if </w:t>
      </w:r>
      <w:r w:rsidR="001B411B" w:rsidRPr="002F5378">
        <w:rPr>
          <w:i/>
          <w:lang w:val="en-US"/>
        </w:rPr>
        <w:t>I</w:t>
      </w:r>
      <w:r w:rsidR="00457330" w:rsidRPr="002F5378">
        <w:rPr>
          <w:i/>
          <w:lang w:val="en-US"/>
        </w:rPr>
        <w:t>'</w:t>
      </w:r>
      <w:r w:rsidR="001B411B" w:rsidRPr="002F5378">
        <w:rPr>
          <w:lang w:val="en-US"/>
        </w:rPr>
        <w:t xml:space="preserve"> </w:t>
      </w:r>
      <w:r w:rsidR="00126E01" w:rsidRPr="002F5378">
        <w:rPr>
          <w:rFonts w:eastAsia="Arial Unicode MS" w:cs="Times New Roman"/>
          <w:lang w:val="en-US"/>
        </w:rPr>
        <w:t>≠</w:t>
      </w:r>
      <w:r w:rsidRPr="002F5378">
        <w:rPr>
          <w:lang w:val="en-US"/>
        </w:rPr>
        <w:t xml:space="preserve"> </w:t>
      </w:r>
      <w:r w:rsidRPr="007F4805">
        <w:rPr>
          <w:position w:val="-6"/>
        </w:rPr>
        <w:object w:dxaOrig="260" w:dyaOrig="279">
          <v:shape id="_x0000_i1057" type="#_x0000_t75" style="width:14pt;height:13.6pt" o:ole="">
            <v:imagedata r:id="rId25" o:title=""/>
          </v:shape>
          <o:OLEObject Type="Embed" ProgID="Equation.3" ShapeID="_x0000_i1057" DrawAspect="Content" ObjectID="_1460983898" r:id="rId78"/>
        </w:object>
      </w:r>
    </w:p>
    <w:p w:rsidR="002D4DAB" w:rsidRPr="002F5378" w:rsidRDefault="002D4DAB" w:rsidP="005754E6">
      <w:pPr>
        <w:pStyle w:val="Text"/>
        <w:ind w:firstLine="0"/>
        <w:jc w:val="left"/>
        <w:rPr>
          <w:lang w:val="en-US"/>
        </w:rPr>
      </w:pPr>
      <w:r w:rsidRPr="002F5378">
        <w:rPr>
          <w:lang w:val="en-US"/>
        </w:rPr>
        <w:t xml:space="preserve">      do</w:t>
      </w:r>
    </w:p>
    <w:p w:rsidR="002D4DAB" w:rsidRPr="00184BB3" w:rsidRDefault="002D4DAB" w:rsidP="005754E6">
      <w:pPr>
        <w:pStyle w:val="Text"/>
        <w:ind w:firstLine="0"/>
        <w:jc w:val="left"/>
        <w:rPr>
          <w:lang w:val="en-US"/>
        </w:rPr>
      </w:pPr>
      <w:r w:rsidRPr="002F5378">
        <w:rPr>
          <w:lang w:val="en-US"/>
        </w:rPr>
        <w:t xml:space="preserve">         </w:t>
      </w:r>
      <w:r w:rsidRPr="00184BB3">
        <w:rPr>
          <w:i/>
          <w:lang w:val="en-US"/>
        </w:rPr>
        <w:t>I</w:t>
      </w:r>
      <w:r w:rsidRPr="00184BB3">
        <w:rPr>
          <w:lang w:val="en-US"/>
        </w:rPr>
        <w:t xml:space="preserve"> := </w:t>
      </w:r>
      <w:r w:rsidR="00493EDC" w:rsidRPr="00184BB3">
        <w:rPr>
          <w:lang w:val="en-US"/>
        </w:rPr>
        <w:t>Interpretation</w:t>
      </w:r>
      <w:r w:rsidRPr="00184BB3">
        <w:rPr>
          <w:lang w:val="en-US"/>
        </w:rPr>
        <w:t xml:space="preserve"> (</w:t>
      </w:r>
      <w:r w:rsidRPr="00184BB3">
        <w:rPr>
          <w:i/>
          <w:iCs/>
          <w:lang w:val="en-US"/>
        </w:rPr>
        <w:t>B</w:t>
      </w:r>
      <w:r w:rsidR="00A92344" w:rsidRPr="00184BB3">
        <w:rPr>
          <w:lang w:val="en-US"/>
        </w:rPr>
        <w:t xml:space="preserve">, </w:t>
      </w:r>
      <w:r w:rsidR="00A92344" w:rsidRPr="00184BB3">
        <w:rPr>
          <w:i/>
          <w:lang w:val="en-US"/>
        </w:rPr>
        <w:t>S*</w:t>
      </w:r>
      <w:r w:rsidR="00A92344" w:rsidRPr="00184BB3">
        <w:rPr>
          <w:lang w:val="en-US"/>
        </w:rPr>
        <w:t>)</w:t>
      </w:r>
    </w:p>
    <w:p w:rsidR="00752282" w:rsidRPr="00752282" w:rsidRDefault="00C14B5F" w:rsidP="00BD2604">
      <w:pPr>
        <w:pStyle w:val="Text"/>
        <w:ind w:hanging="369"/>
        <w:jc w:val="left"/>
        <w:rPr>
          <w:color w:val="000000" w:themeColor="text1"/>
        </w:rPr>
      </w:pPr>
      <w:r w:rsidRPr="005754E6">
        <w:rPr>
          <w:sz w:val="16"/>
          <w:szCs w:val="16"/>
        </w:rPr>
        <w:t>10</w:t>
      </w:r>
      <w:r w:rsidR="00752282" w:rsidRPr="00752282">
        <w:tab/>
        <w:t xml:space="preserve">         </w:t>
      </w:r>
      <w:r w:rsidR="00752282" w:rsidRPr="00752282">
        <w:rPr>
          <w:i/>
        </w:rPr>
        <w:t>B</w:t>
      </w:r>
      <w:r w:rsidR="00752282" w:rsidRPr="00752282">
        <w:t xml:space="preserve"> := Merkmalsregeln_</w:t>
      </w:r>
      <w:r w:rsidR="00C50004">
        <w:t>anpassen</w:t>
      </w:r>
      <w:r w:rsidR="00752282" w:rsidRPr="00752282">
        <w:t xml:space="preserve"> (</w:t>
      </w:r>
      <w:r w:rsidR="00EE7C50" w:rsidRPr="00752282">
        <w:rPr>
          <w:i/>
        </w:rPr>
        <w:t>B</w:t>
      </w:r>
      <w:r w:rsidR="00EE7C50">
        <w:t xml:space="preserve">, </w:t>
      </w:r>
      <w:r w:rsidR="00752282" w:rsidRPr="00752282">
        <w:rPr>
          <w:i/>
        </w:rPr>
        <w:t>I</w:t>
      </w:r>
      <w:r w:rsidR="00752282" w:rsidRPr="00752282">
        <w:t xml:space="preserve">, </w:t>
      </w:r>
      <w:r w:rsidR="00752282" w:rsidRPr="00752282">
        <w:rPr>
          <w:i/>
        </w:rPr>
        <w:t>I'</w:t>
      </w:r>
      <w:r w:rsidR="00752282" w:rsidRPr="00752282">
        <w:t>)</w:t>
      </w:r>
    </w:p>
    <w:p w:rsidR="002D4DAB" w:rsidRPr="002F5378" w:rsidRDefault="002D4DAB" w:rsidP="005754E6">
      <w:pPr>
        <w:pStyle w:val="Text"/>
        <w:ind w:firstLine="0"/>
        <w:jc w:val="left"/>
        <w:rPr>
          <w:lang w:val="en-US"/>
        </w:rPr>
      </w:pPr>
      <w:r w:rsidRPr="00752282">
        <w:t xml:space="preserve">      </w:t>
      </w:r>
      <w:r w:rsidRPr="002F5378">
        <w:rPr>
          <w:lang w:val="en-US"/>
        </w:rPr>
        <w:t xml:space="preserve">while </w:t>
      </w:r>
      <w:r w:rsidRPr="002F5378">
        <w:rPr>
          <w:i/>
          <w:lang w:val="en-US"/>
        </w:rPr>
        <w:t>I'</w:t>
      </w:r>
      <w:r w:rsidRPr="002F5378">
        <w:rPr>
          <w:lang w:val="en-US"/>
        </w:rPr>
        <w:t xml:space="preserve"> </w:t>
      </w:r>
      <w:r w:rsidRPr="00A17FB8">
        <w:rPr>
          <w:rFonts w:ascii="Cambria Math" w:eastAsia="Arial Unicode MS" w:hAnsi="Cambria Math" w:cs="Arial Unicode MS"/>
          <w:lang w:val="en-US"/>
        </w:rPr>
        <w:t>⊈</w:t>
      </w:r>
      <w:r w:rsidRPr="002F5378">
        <w:rPr>
          <w:lang w:val="en-US"/>
        </w:rPr>
        <w:t xml:space="preserve"> </w:t>
      </w:r>
      <w:r w:rsidRPr="002F5378">
        <w:rPr>
          <w:i/>
          <w:lang w:val="en-US"/>
        </w:rPr>
        <w:t>I</w:t>
      </w:r>
    </w:p>
    <w:p w:rsidR="005502BE" w:rsidRPr="002F5378" w:rsidRDefault="005502BE" w:rsidP="005754E6">
      <w:pPr>
        <w:pStyle w:val="Text"/>
        <w:ind w:firstLine="0"/>
        <w:jc w:val="left"/>
        <w:rPr>
          <w:lang w:val="en-US"/>
        </w:rPr>
      </w:pPr>
      <w:r w:rsidRPr="002F5378">
        <w:rPr>
          <w:lang w:val="en-US"/>
        </w:rPr>
        <w:t xml:space="preserve">   end</w:t>
      </w:r>
    </w:p>
    <w:p w:rsidR="00126E01" w:rsidRPr="002F5378" w:rsidRDefault="00126E01" w:rsidP="005754E6">
      <w:pPr>
        <w:pStyle w:val="Text"/>
        <w:ind w:firstLine="0"/>
        <w:jc w:val="left"/>
        <w:rPr>
          <w:lang w:val="en-US"/>
        </w:rPr>
      </w:pPr>
      <w:r w:rsidRPr="002F5378">
        <w:rPr>
          <w:lang w:val="en-US"/>
        </w:rPr>
        <w:t xml:space="preserve">   return </w:t>
      </w:r>
      <w:r w:rsidRPr="002F5378">
        <w:rPr>
          <w:i/>
          <w:lang w:val="en-US"/>
        </w:rPr>
        <w:t>B</w:t>
      </w:r>
    </w:p>
    <w:p w:rsidR="00126E01" w:rsidRPr="00D90BAB" w:rsidRDefault="00126E01" w:rsidP="005754E6">
      <w:pPr>
        <w:pStyle w:val="Text"/>
        <w:ind w:firstLine="0"/>
        <w:jc w:val="left"/>
      </w:pPr>
      <w:r w:rsidRPr="00D90BAB">
        <w:t>end function</w:t>
      </w:r>
    </w:p>
    <w:p w:rsidR="003E391D" w:rsidRPr="00D90BAB" w:rsidRDefault="00093341" w:rsidP="00593282">
      <w:pPr>
        <w:pStyle w:val="Zwischenberschrift"/>
        <w:spacing w:before="360"/>
      </w:pPr>
      <w:r>
        <w:t>Erläuterung</w:t>
      </w:r>
    </w:p>
    <w:p w:rsidR="00B0221D" w:rsidRDefault="00B0221D" w:rsidP="00593282">
      <w:pPr>
        <w:pStyle w:val="Text"/>
        <w:ind w:firstLine="0"/>
      </w:pPr>
      <w:r>
        <w:t xml:space="preserve">Zeile 1 gibt den Namen der Funktion an, der als Parameter </w:t>
      </w:r>
      <w:r w:rsidR="0099443F">
        <w:t xml:space="preserve">das Schema </w:t>
      </w:r>
      <w:r w:rsidR="0099443F">
        <w:rPr>
          <w:i/>
          <w:iCs/>
        </w:rPr>
        <w:t>S*</w:t>
      </w:r>
      <w:r w:rsidR="0099443F">
        <w:t>, dem die Realisierung angehört, in die der Stil eingeschrieben werden soll, ü</w:t>
      </w:r>
      <w:r>
        <w:t>bergeben wird.</w:t>
      </w:r>
    </w:p>
    <w:p w:rsidR="00B0221D" w:rsidRDefault="00B0221D" w:rsidP="00B0221D">
      <w:pPr>
        <w:pStyle w:val="Text"/>
      </w:pPr>
      <w:r>
        <w:t xml:space="preserve">In Zeile 2 wird die </w:t>
      </w:r>
      <w:r w:rsidR="0099443F">
        <w:t xml:space="preserve">Funktion </w:t>
      </w:r>
      <w:r w:rsidR="00E4309C" w:rsidRPr="001F64B6">
        <w:rPr>
          <w:i/>
        </w:rPr>
        <w:t>vorhandene</w:t>
      </w:r>
      <w:r w:rsidR="0099443F" w:rsidRPr="001F64B6">
        <w:rPr>
          <w:i/>
        </w:rPr>
        <w:t>r_Stil</w:t>
      </w:r>
      <w:r w:rsidR="0099443F">
        <w:t xml:space="preserve"> aufgerufen</w:t>
      </w:r>
      <w:r w:rsidR="009E7329">
        <w:t xml:space="preserve">, </w:t>
      </w:r>
      <w:r w:rsidR="00402E88">
        <w:t xml:space="preserve">der als Parameter </w:t>
      </w:r>
      <w:r w:rsidR="00402E88">
        <w:rPr>
          <w:i/>
          <w:iCs/>
        </w:rPr>
        <w:t>S*</w:t>
      </w:r>
      <w:r w:rsidR="00402E88">
        <w:t xml:space="preserve"> übergeben wird, </w:t>
      </w:r>
      <w:r w:rsidR="00752282">
        <w:t xml:space="preserve">und ihr Rückgabewert in die </w:t>
      </w:r>
      <w:r w:rsidR="00ED2CBA">
        <w:t xml:space="preserve">Menge </w:t>
      </w:r>
      <w:r w:rsidR="00752282" w:rsidRPr="00752282">
        <w:rPr>
          <w:i/>
        </w:rPr>
        <w:t>B</w:t>
      </w:r>
      <w:r w:rsidR="00752282">
        <w:t xml:space="preserve"> </w:t>
      </w:r>
      <w:r w:rsidR="00ED2CBA">
        <w:t>von 3-Tupeln gespe</w:t>
      </w:r>
      <w:r w:rsidR="00ED2CBA">
        <w:t>i</w:t>
      </w:r>
      <w:r w:rsidR="00ED2CBA">
        <w:t xml:space="preserve">chert wird, als deren </w:t>
      </w:r>
      <w:r w:rsidR="00ED25AD">
        <w:rPr>
          <w:color w:val="000000" w:themeColor="text1"/>
        </w:rPr>
        <w:t>Komponenten</w:t>
      </w:r>
      <w:r w:rsidR="00ED2CBA">
        <w:t>namen</w:t>
      </w:r>
      <w:r w:rsidR="005D7996">
        <w:fldChar w:fldCharType="begin"/>
      </w:r>
      <w:r w:rsidR="001F13E4">
        <w:instrText xml:space="preserve"> XE "</w:instrText>
      </w:r>
      <w:r w:rsidR="001F13E4" w:rsidRPr="00191323">
        <w:rPr>
          <w:lang w:val="it-IT"/>
        </w:rPr>
        <w:instrText>Komponentenname (einer Tupel-Variablen)</w:instrText>
      </w:r>
      <w:r w:rsidR="001F13E4">
        <w:instrText xml:space="preserve">" </w:instrText>
      </w:r>
      <w:r w:rsidR="005D7996">
        <w:fldChar w:fldCharType="end"/>
      </w:r>
      <w:r w:rsidR="00ED2CBA">
        <w:t xml:space="preserve"> </w:t>
      </w:r>
      <w:r w:rsidR="00ED2CBA">
        <w:rPr>
          <w:i/>
          <w:lang w:val="it-IT"/>
        </w:rPr>
        <w:t>U</w:t>
      </w:r>
      <w:r w:rsidR="00ED2CBA">
        <w:rPr>
          <w:lang w:val="it-IT"/>
        </w:rPr>
        <w:t xml:space="preserve">, </w:t>
      </w:r>
      <w:r w:rsidR="00ED2CBA">
        <w:rPr>
          <w:i/>
          <w:lang w:val="it-IT"/>
        </w:rPr>
        <w:t>V</w:t>
      </w:r>
      <w:r w:rsidR="00ED2CBA">
        <w:rPr>
          <w:lang w:val="it-IT"/>
        </w:rPr>
        <w:t>,</w:t>
      </w:r>
      <w:r w:rsidR="00ED2CBA" w:rsidRPr="004E0380">
        <w:rPr>
          <w:i/>
          <w:lang w:val="it-IT"/>
        </w:rPr>
        <w:t xml:space="preserve"> </w:t>
      </w:r>
      <w:r w:rsidR="00ED2CBA">
        <w:rPr>
          <w:i/>
          <w:lang w:val="it-IT"/>
        </w:rPr>
        <w:t>w</w:t>
      </w:r>
      <w:r w:rsidR="00ED2CBA">
        <w:t xml:space="preserve"> definiert werden.</w:t>
      </w:r>
    </w:p>
    <w:p w:rsidR="00752282" w:rsidRDefault="00752282" w:rsidP="00B0221D">
      <w:pPr>
        <w:pStyle w:val="Text"/>
      </w:pPr>
      <w:r w:rsidRPr="00DB0613">
        <w:t xml:space="preserve">Zeile </w:t>
      </w:r>
      <w:r>
        <w:t xml:space="preserve">3 </w:t>
      </w:r>
      <w:r w:rsidRPr="00DB0613">
        <w:t xml:space="preserve">gibt an, dass die eingerückt </w:t>
      </w:r>
      <w:r w:rsidR="007F02CB">
        <w:t>folgende Anweisung</w:t>
      </w:r>
      <w:r w:rsidRPr="00DB0613">
        <w:t xml:space="preserve"> </w:t>
      </w:r>
      <w:r>
        <w:rPr>
          <w:iCs/>
        </w:rPr>
        <w:t xml:space="preserve">ausgeführt wird, wenn </w:t>
      </w:r>
      <w:r w:rsidRPr="00752282">
        <w:rPr>
          <w:i/>
          <w:iCs/>
        </w:rPr>
        <w:t>B</w:t>
      </w:r>
      <w:r>
        <w:rPr>
          <w:iCs/>
        </w:rPr>
        <w:t xml:space="preserve"> leer ist.</w:t>
      </w:r>
    </w:p>
    <w:p w:rsidR="00752282" w:rsidRDefault="00752282" w:rsidP="00752282">
      <w:pPr>
        <w:pStyle w:val="Text"/>
      </w:pPr>
      <w:r>
        <w:t xml:space="preserve">In Zeile 4 wird die Funktion </w:t>
      </w:r>
      <w:r w:rsidRPr="001F64B6">
        <w:rPr>
          <w:i/>
        </w:rPr>
        <w:t>Merkmalsregeln_erzeugen</w:t>
      </w:r>
      <w:r>
        <w:t xml:space="preserve"> aufgerufen</w:t>
      </w:r>
      <w:r w:rsidR="009E7329">
        <w:t xml:space="preserve">, </w:t>
      </w:r>
      <w:r w:rsidR="00402E88">
        <w:t xml:space="preserve">der als Parameter </w:t>
      </w:r>
      <w:r w:rsidR="00402E88">
        <w:rPr>
          <w:i/>
          <w:iCs/>
        </w:rPr>
        <w:t>S*</w:t>
      </w:r>
      <w:r w:rsidR="00402E88">
        <w:t xml:space="preserve"> übergeben wird, </w:t>
      </w:r>
      <w:r>
        <w:t xml:space="preserve">und ihr Rückgabewert in </w:t>
      </w:r>
      <w:r w:rsidRPr="00752282">
        <w:rPr>
          <w:i/>
        </w:rPr>
        <w:t>B</w:t>
      </w:r>
      <w:r>
        <w:t xml:space="preserve"> gespeichert</w:t>
      </w:r>
      <w:r w:rsidR="00ED2CBA">
        <w:t xml:space="preserve"> (siehe Zeile 2)</w:t>
      </w:r>
      <w:r>
        <w:t>.</w:t>
      </w:r>
    </w:p>
    <w:p w:rsidR="00752282" w:rsidRDefault="00752282" w:rsidP="00B0221D">
      <w:pPr>
        <w:pStyle w:val="Text"/>
      </w:pPr>
      <w:r>
        <w:t xml:space="preserve">In Zeile 5 wird die </w:t>
      </w:r>
      <w:r w:rsidR="007F02CB">
        <w:t>if-Anweisung</w:t>
      </w:r>
      <w:r w:rsidRPr="0071334B">
        <w:t xml:space="preserve"> aus Zeile </w:t>
      </w:r>
      <w:r>
        <w:t xml:space="preserve">3 </w:t>
      </w:r>
      <w:r w:rsidRPr="0071334B">
        <w:t>beendet.</w:t>
      </w:r>
    </w:p>
    <w:p w:rsidR="00252549" w:rsidRDefault="00252549" w:rsidP="00252549">
      <w:pPr>
        <w:pStyle w:val="Text"/>
      </w:pPr>
      <w:r>
        <w:t xml:space="preserve">In Zeile 6 wird die Funktion </w:t>
      </w:r>
      <w:r w:rsidRPr="001F64B6">
        <w:rPr>
          <w:i/>
        </w:rPr>
        <w:t>angestrebte_Interpretation</w:t>
      </w:r>
      <w:r>
        <w:t xml:space="preserve"> aufgerufen</w:t>
      </w:r>
      <w:r w:rsidR="00FB7927">
        <w:t>,</w:t>
      </w:r>
      <w:r w:rsidR="00FB7927" w:rsidRPr="00FB7927">
        <w:t xml:space="preserve"> </w:t>
      </w:r>
      <w:r w:rsidR="00402E88">
        <w:t xml:space="preserve">der als Parameter </w:t>
      </w:r>
      <w:r w:rsidR="00BE0F64">
        <w:rPr>
          <w:i/>
          <w:iCs/>
        </w:rPr>
        <w:t>B</w:t>
      </w:r>
      <w:r w:rsidR="00402E88">
        <w:t xml:space="preserve"> übergeben wird, </w:t>
      </w:r>
      <w:r>
        <w:t xml:space="preserve">und ihr Rückgabewert in die Variable </w:t>
      </w:r>
      <w:r>
        <w:rPr>
          <w:i/>
        </w:rPr>
        <w:t>I'</w:t>
      </w:r>
      <w:r>
        <w:t xml:space="preserve"> gespe</w:t>
      </w:r>
      <w:r>
        <w:t>i</w:t>
      </w:r>
      <w:r>
        <w:t>chert.</w:t>
      </w:r>
    </w:p>
    <w:p w:rsidR="00C14B5F" w:rsidRDefault="00C14B5F" w:rsidP="00C14B5F">
      <w:pPr>
        <w:pStyle w:val="Text"/>
      </w:pPr>
      <w:r w:rsidRPr="00DB0613">
        <w:t xml:space="preserve">Zeile </w:t>
      </w:r>
      <w:r>
        <w:t xml:space="preserve">7 </w:t>
      </w:r>
      <w:r w:rsidRPr="00DB0613">
        <w:t xml:space="preserve">gibt an, dass die eingerückt </w:t>
      </w:r>
      <w:r w:rsidR="00F63F17">
        <w:t>folgenden Anweisungen ausgeführt we</w:t>
      </w:r>
      <w:r w:rsidR="00F63F17">
        <w:t>r</w:t>
      </w:r>
      <w:r w:rsidR="00F63F17">
        <w:t>den</w:t>
      </w:r>
      <w:r>
        <w:rPr>
          <w:iCs/>
        </w:rPr>
        <w:t xml:space="preserve">, wenn </w:t>
      </w:r>
      <w:r>
        <w:rPr>
          <w:i/>
          <w:iCs/>
        </w:rPr>
        <w:t>I'</w:t>
      </w:r>
      <w:r>
        <w:rPr>
          <w:iCs/>
        </w:rPr>
        <w:t xml:space="preserve"> nicht leer ist.</w:t>
      </w:r>
    </w:p>
    <w:p w:rsidR="00C14B5F" w:rsidRDefault="00C14B5F" w:rsidP="00C14B5F">
      <w:pPr>
        <w:pStyle w:val="Text"/>
      </w:pPr>
      <w:r>
        <w:t xml:space="preserve">Zeile 8 </w:t>
      </w:r>
      <w:r w:rsidR="00826BB0">
        <w:t xml:space="preserve">eröffnet eine </w:t>
      </w:r>
      <w:r>
        <w:t>do-while-Schleife.</w:t>
      </w:r>
    </w:p>
    <w:p w:rsidR="00C14B5F" w:rsidRDefault="009E7329" w:rsidP="00C14B5F">
      <w:pPr>
        <w:pStyle w:val="Text"/>
      </w:pPr>
      <w:r>
        <w:t>In Zeile 9 wird die Fun</w:t>
      </w:r>
      <w:r w:rsidR="00402E88">
        <w:t xml:space="preserve">ktion </w:t>
      </w:r>
      <w:r w:rsidR="00402E88" w:rsidRPr="00BA0CE6">
        <w:rPr>
          <w:i/>
        </w:rPr>
        <w:t>Interpretation</w:t>
      </w:r>
      <w:r w:rsidR="00402E88">
        <w:t xml:space="preserve"> aufgerufen, der als Parameter </w:t>
      </w:r>
      <w:r w:rsidR="00402E88" w:rsidRPr="00752282">
        <w:rPr>
          <w:i/>
        </w:rPr>
        <w:t>B</w:t>
      </w:r>
      <w:r w:rsidR="00402E88">
        <w:t xml:space="preserve"> und </w:t>
      </w:r>
      <w:r w:rsidR="00402E88">
        <w:rPr>
          <w:i/>
        </w:rPr>
        <w:t>S*</w:t>
      </w:r>
      <w:r w:rsidR="00402E88">
        <w:t xml:space="preserve"> übergeben werden, und ihr Rückgabewert in die Variable </w:t>
      </w:r>
      <w:r w:rsidR="00402E88">
        <w:rPr>
          <w:i/>
        </w:rPr>
        <w:t>I</w:t>
      </w:r>
      <w:r w:rsidR="00402E88">
        <w:t xml:space="preserve"> gespeichert.</w:t>
      </w:r>
    </w:p>
    <w:p w:rsidR="00402E88" w:rsidRDefault="00402E88" w:rsidP="00402E88">
      <w:pPr>
        <w:pStyle w:val="Text"/>
      </w:pPr>
      <w:r>
        <w:t xml:space="preserve">In Zeile 10 wird die Funktion </w:t>
      </w:r>
      <w:r w:rsidRPr="00BA0CE6">
        <w:rPr>
          <w:i/>
        </w:rPr>
        <w:t>Merkmalsregeln_</w:t>
      </w:r>
      <w:r w:rsidR="00C50004" w:rsidRPr="00BA0CE6">
        <w:rPr>
          <w:i/>
        </w:rPr>
        <w:t>anpassen</w:t>
      </w:r>
      <w:r>
        <w:t xml:space="preserve"> aufgerufen, der als Parameter</w:t>
      </w:r>
      <w:r w:rsidR="00BE0F64">
        <w:t xml:space="preserve"> die Merkmalsregeln</w:t>
      </w:r>
      <w:r w:rsidR="00BE0F64" w:rsidRPr="00BE0F64">
        <w:rPr>
          <w:i/>
        </w:rPr>
        <w:t xml:space="preserve"> </w:t>
      </w:r>
      <w:r w:rsidR="00BE0F64">
        <w:rPr>
          <w:i/>
        </w:rPr>
        <w:t>B</w:t>
      </w:r>
      <w:r w:rsidR="00BE0F64">
        <w:t>,</w:t>
      </w:r>
      <w:r>
        <w:t xml:space="preserve"> die erzeugte Interpretation</w:t>
      </w:r>
      <w:r w:rsidR="00BE0F64">
        <w:t xml:space="preserve"> </w:t>
      </w:r>
      <w:r w:rsidR="00BE0F64">
        <w:rPr>
          <w:i/>
        </w:rPr>
        <w:t>I</w:t>
      </w:r>
      <w:r>
        <w:t xml:space="preserve"> und die ang</w:t>
      </w:r>
      <w:r>
        <w:t>e</w:t>
      </w:r>
      <w:r>
        <w:t>strebte Interpretation</w:t>
      </w:r>
      <w:r w:rsidR="00BE0F64">
        <w:t xml:space="preserve"> </w:t>
      </w:r>
      <w:r w:rsidR="00BE0F64">
        <w:rPr>
          <w:i/>
        </w:rPr>
        <w:t>I'</w:t>
      </w:r>
      <w:r>
        <w:t xml:space="preserve"> übergeben werden, und ihr Rückgabewert in die Variable </w:t>
      </w:r>
      <w:r w:rsidR="000F750E">
        <w:rPr>
          <w:i/>
        </w:rPr>
        <w:t>B</w:t>
      </w:r>
      <w:r>
        <w:t xml:space="preserve"> gespeichert.</w:t>
      </w:r>
    </w:p>
    <w:p w:rsidR="000F750E" w:rsidRDefault="000F750E" w:rsidP="000F750E">
      <w:pPr>
        <w:pStyle w:val="Text"/>
      </w:pPr>
      <w:r w:rsidRPr="0071334B">
        <w:lastRenderedPageBreak/>
        <w:t xml:space="preserve">In Zeile </w:t>
      </w:r>
      <w:r>
        <w:t xml:space="preserve">11 </w:t>
      </w:r>
      <w:r w:rsidRPr="0071334B">
        <w:t xml:space="preserve">wird die </w:t>
      </w:r>
      <w:r>
        <w:t>do-while</w:t>
      </w:r>
      <w:r w:rsidRPr="0071334B">
        <w:t xml:space="preserve">-Schleife aus Zeile </w:t>
      </w:r>
      <w:r>
        <w:t xml:space="preserve">8 beendet. Die Schleife wird wiederholt, </w:t>
      </w:r>
      <w:r w:rsidR="00FC7678">
        <w:t xml:space="preserve">solange </w:t>
      </w:r>
      <w:r w:rsidR="00FC7678">
        <w:rPr>
          <w:i/>
        </w:rPr>
        <w:t>I'</w:t>
      </w:r>
      <w:r w:rsidR="00FC7678">
        <w:t>, die angestrebte Interpretation, keine Teilmenge der e</w:t>
      </w:r>
      <w:r w:rsidR="00FC7678">
        <w:t>r</w:t>
      </w:r>
      <w:r w:rsidR="00FC7678">
        <w:t xml:space="preserve">zeugten </w:t>
      </w:r>
      <w:r>
        <w:t>Interpretation</w:t>
      </w:r>
      <w:r w:rsidR="00FC7678">
        <w:t xml:space="preserve"> </w:t>
      </w:r>
      <w:r w:rsidR="00FC7678">
        <w:rPr>
          <w:i/>
        </w:rPr>
        <w:t>I</w:t>
      </w:r>
      <w:r>
        <w:t xml:space="preserve"> </w:t>
      </w:r>
      <w:r w:rsidR="00FC7678">
        <w:t>ist</w:t>
      </w:r>
      <w:r>
        <w:t>.</w:t>
      </w:r>
    </w:p>
    <w:p w:rsidR="000F750E" w:rsidRDefault="000F750E" w:rsidP="000F750E">
      <w:pPr>
        <w:pStyle w:val="Text"/>
      </w:pPr>
      <w:r w:rsidRPr="0071334B">
        <w:t xml:space="preserve">In Zeile </w:t>
      </w:r>
      <w:r>
        <w:t xml:space="preserve">12 wird die </w:t>
      </w:r>
      <w:r w:rsidR="007F02CB">
        <w:t>if-Anweisung</w:t>
      </w:r>
      <w:r w:rsidRPr="0071334B">
        <w:t xml:space="preserve"> aus Zeile </w:t>
      </w:r>
      <w:r>
        <w:t xml:space="preserve">7 </w:t>
      </w:r>
      <w:r w:rsidRPr="0071334B">
        <w:t>beendet.</w:t>
      </w:r>
    </w:p>
    <w:p w:rsidR="000F750E" w:rsidRDefault="000F750E" w:rsidP="000F750E">
      <w:pPr>
        <w:pStyle w:val="Text"/>
      </w:pPr>
      <w:r>
        <w:t xml:space="preserve">In Zeile 13 wird </w:t>
      </w:r>
      <w:r>
        <w:rPr>
          <w:i/>
          <w:iCs/>
        </w:rPr>
        <w:t>B</w:t>
      </w:r>
      <w:r>
        <w:t xml:space="preserve"> zurückgegeben.</w:t>
      </w:r>
    </w:p>
    <w:p w:rsidR="00752282" w:rsidRDefault="000F750E" w:rsidP="00B0221D">
      <w:pPr>
        <w:pStyle w:val="Text"/>
      </w:pPr>
      <w:r>
        <w:t>In Zeile 14 wird die Funktion beendet.</w:t>
      </w:r>
    </w:p>
    <w:p w:rsidR="00326229" w:rsidRPr="00045830" w:rsidRDefault="00326229" w:rsidP="00AC225D">
      <w:pPr>
        <w:pStyle w:val="Zwischenberschrift"/>
      </w:pPr>
      <w:r w:rsidRPr="00045830">
        <w:t>Alternative</w:t>
      </w:r>
      <w:r w:rsidR="00D37801" w:rsidRPr="00045830">
        <w:t>n</w:t>
      </w:r>
    </w:p>
    <w:p w:rsidR="00326229" w:rsidRPr="00EF6AA5" w:rsidRDefault="00EF6AA5" w:rsidP="00AC225D">
      <w:pPr>
        <w:pStyle w:val="Text"/>
        <w:ind w:firstLine="0"/>
      </w:pPr>
      <w:r>
        <w:t>(1)</w:t>
      </w:r>
      <w:r>
        <w:tab/>
      </w:r>
      <w:r w:rsidR="00CA7779">
        <w:t xml:space="preserve">Ein </w:t>
      </w:r>
      <w:r w:rsidR="00326229" w:rsidRPr="00EF6AA5">
        <w:t xml:space="preserve">Schwellenwert </w:t>
      </w:r>
      <w:r w:rsidRPr="00EF6AA5">
        <w:rPr>
          <w:i/>
        </w:rPr>
        <w:t>s</w:t>
      </w:r>
      <w:r>
        <w:t xml:space="preserve"> </w:t>
      </w:r>
      <w:r w:rsidR="00CA7779">
        <w:t>für die verlangte Annäherung an die angestrebte Inte</w:t>
      </w:r>
      <w:r w:rsidR="00CA7779">
        <w:t>r</w:t>
      </w:r>
      <w:r w:rsidR="00CA7779">
        <w:t xml:space="preserve">pretation </w:t>
      </w:r>
      <w:r w:rsidR="00CA7779" w:rsidRPr="00CA7779">
        <w:rPr>
          <w:i/>
        </w:rPr>
        <w:t>I'</w:t>
      </w:r>
      <w:r w:rsidR="00CA7779">
        <w:t xml:space="preserve"> könnte festgelegt werden. </w:t>
      </w:r>
      <w:r>
        <w:t xml:space="preserve">Dieser </w:t>
      </w:r>
      <w:r w:rsidR="00CA7779">
        <w:t xml:space="preserve">kann </w:t>
      </w:r>
      <w:r>
        <w:t>entweder als Parameter übe</w:t>
      </w:r>
      <w:r>
        <w:t>r</w:t>
      </w:r>
      <w:r>
        <w:t xml:space="preserve">geben </w:t>
      </w:r>
      <w:r w:rsidR="00CA7779">
        <w:t xml:space="preserve">oder in </w:t>
      </w:r>
      <w:r>
        <w:t xml:space="preserve">einer Funktion </w:t>
      </w:r>
      <w:r w:rsidRPr="00BA0CE6">
        <w:rPr>
          <w:i/>
        </w:rPr>
        <w:t>Schwellenwert_erzeugen</w:t>
      </w:r>
      <w:r>
        <w:t xml:space="preserve"> festgelegt werden. Die Bedingung in Zeile </w:t>
      </w:r>
      <w:r w:rsidR="00F94BE5">
        <w:t>11</w:t>
      </w:r>
      <w:r>
        <w:t xml:space="preserve"> </w:t>
      </w:r>
      <w:r w:rsidR="00CA7779">
        <w:t>ist dann</w:t>
      </w:r>
      <w:r>
        <w:t>:</w:t>
      </w:r>
    </w:p>
    <w:p w:rsidR="00326229" w:rsidRPr="00EF6AA5" w:rsidRDefault="00326229" w:rsidP="00AC225D">
      <w:pPr>
        <w:pStyle w:val="Formel"/>
      </w:pPr>
      <w:r w:rsidRPr="00EF6AA5">
        <w:t xml:space="preserve">while </w:t>
      </w:r>
      <w:r w:rsidR="00D37801">
        <w:t>|</w:t>
      </w:r>
      <w:r w:rsidRPr="00EF6AA5">
        <w:rPr>
          <w:i/>
        </w:rPr>
        <w:t>I'</w:t>
      </w:r>
      <w:r w:rsidRPr="00EF6AA5">
        <w:t xml:space="preserve"> </w:t>
      </w:r>
      <w:r w:rsidR="00EF6AA5">
        <w:t xml:space="preserve">\ </w:t>
      </w:r>
      <w:r w:rsidRPr="00EF6AA5">
        <w:rPr>
          <w:i/>
        </w:rPr>
        <w:t>I</w:t>
      </w:r>
      <w:r w:rsidR="00D37801">
        <w:t xml:space="preserve">| </w:t>
      </w:r>
      <w:r w:rsidRPr="00EF6AA5">
        <w:t xml:space="preserve">&gt; </w:t>
      </w:r>
      <w:r w:rsidRPr="00EF6AA5">
        <w:rPr>
          <w:i/>
        </w:rPr>
        <w:t>s</w:t>
      </w:r>
    </w:p>
    <w:p w:rsidR="00326229" w:rsidRPr="00EF6AA5" w:rsidRDefault="007E2442" w:rsidP="00AC225D">
      <w:pPr>
        <w:pStyle w:val="Text"/>
        <w:ind w:firstLine="0"/>
      </w:pPr>
      <w:r>
        <w:t>B</w:t>
      </w:r>
      <w:r w:rsidR="00EF6AA5">
        <w:t xml:space="preserve">ei </w:t>
      </w:r>
      <w:r w:rsidR="00EF6AA5" w:rsidRPr="00EF6AA5">
        <w:rPr>
          <w:i/>
        </w:rPr>
        <w:t>s</w:t>
      </w:r>
      <w:r w:rsidR="00EF6AA5">
        <w:t xml:space="preserve"> = 2 </w:t>
      </w:r>
      <w:r>
        <w:t xml:space="preserve">ist </w:t>
      </w:r>
      <w:r w:rsidR="00EF6AA5">
        <w:t xml:space="preserve">das Fehlen von zwei Ergebnissen der angestrebten Interpretation </w:t>
      </w:r>
      <w:r w:rsidR="00EF6AA5" w:rsidRPr="00EF6AA5">
        <w:rPr>
          <w:i/>
        </w:rPr>
        <w:t>I'</w:t>
      </w:r>
      <w:r w:rsidR="00EF6AA5">
        <w:t xml:space="preserve"> in der tatsächlichen Interpretation </w:t>
      </w:r>
      <w:r w:rsidR="00EF6AA5" w:rsidRPr="00EF6AA5">
        <w:rPr>
          <w:i/>
        </w:rPr>
        <w:t>I</w:t>
      </w:r>
      <w:r w:rsidR="00EF6AA5">
        <w:t xml:space="preserve"> erlaubt.</w:t>
      </w:r>
    </w:p>
    <w:p w:rsidR="00D37801" w:rsidRPr="00CA7779" w:rsidRDefault="00EF6AA5" w:rsidP="001B52FF">
      <w:pPr>
        <w:pStyle w:val="Text"/>
      </w:pPr>
      <w:r>
        <w:t>(2)</w:t>
      </w:r>
      <w:r>
        <w:tab/>
        <w:t xml:space="preserve">Es könnte auf einer Übereinstimmung </w:t>
      </w:r>
      <w:r w:rsidR="00CA7779">
        <w:t xml:space="preserve">von </w:t>
      </w:r>
      <w:r w:rsidR="00CA7779" w:rsidRPr="00CA7779">
        <w:rPr>
          <w:i/>
        </w:rPr>
        <w:t>I'</w:t>
      </w:r>
      <w:r w:rsidR="00CA7779">
        <w:t xml:space="preserve"> und </w:t>
      </w:r>
      <w:r w:rsidR="00CA7779" w:rsidRPr="00CA7779">
        <w:rPr>
          <w:i/>
        </w:rPr>
        <w:t>I</w:t>
      </w:r>
      <w:r w:rsidR="00CA7779">
        <w:t xml:space="preserve"> </w:t>
      </w:r>
      <w:r>
        <w:t>bestanden werden.</w:t>
      </w:r>
      <w:r w:rsidR="00D37801">
        <w:t xml:space="preserve"> </w:t>
      </w:r>
      <w:r w:rsidR="00D37801" w:rsidRPr="00CA7779">
        <w:t xml:space="preserve">Zeile </w:t>
      </w:r>
      <w:r w:rsidR="00F94BE5">
        <w:t>11</w:t>
      </w:r>
      <w:r w:rsidR="00D37801" w:rsidRPr="00CA7779">
        <w:t xml:space="preserve"> </w:t>
      </w:r>
      <w:r w:rsidR="00CA7779">
        <w:t>wäre dann:</w:t>
      </w:r>
    </w:p>
    <w:p w:rsidR="00D37801" w:rsidRPr="003718B6" w:rsidRDefault="00D37801" w:rsidP="00AC225D">
      <w:pPr>
        <w:pStyle w:val="Formel"/>
      </w:pPr>
      <w:r w:rsidRPr="00CA7779">
        <w:t xml:space="preserve">while </w:t>
      </w:r>
      <w:r w:rsidRPr="00CA7779">
        <w:rPr>
          <w:i/>
        </w:rPr>
        <w:t>I'</w:t>
      </w:r>
      <w:r w:rsidRPr="00CA7779">
        <w:t xml:space="preserve"> </w:t>
      </w:r>
      <w:r w:rsidRPr="00CA7779">
        <w:rPr>
          <w:rFonts w:eastAsia="Arial Unicode MS" w:cs="Times New Roman"/>
        </w:rPr>
        <w:t>≠</w:t>
      </w:r>
      <w:r w:rsidRPr="00CA7779">
        <w:t xml:space="preserve"> </w:t>
      </w:r>
      <w:r w:rsidRPr="00CA7779">
        <w:rPr>
          <w:i/>
        </w:rPr>
        <w:t>I</w:t>
      </w:r>
    </w:p>
    <w:p w:rsidR="00D37801" w:rsidRDefault="00EF6AA5" w:rsidP="00AC225D">
      <w:pPr>
        <w:pStyle w:val="Text"/>
        <w:ind w:firstLine="0"/>
      </w:pPr>
      <w:r>
        <w:t xml:space="preserve">Das erscheint </w:t>
      </w:r>
      <w:r w:rsidR="00D37801">
        <w:t xml:space="preserve">als eine sehr harte Bedingung; es dürfte schwierig und in vielen Fällen ganz unmöglich sein, eine Menge von Merkmalsregeln zu finden, die </w:t>
      </w:r>
      <w:r w:rsidR="00D37801" w:rsidRPr="00D37801">
        <w:rPr>
          <w:i/>
        </w:rPr>
        <w:t>nur</w:t>
      </w:r>
      <w:r w:rsidR="00D37801">
        <w:t xml:space="preserve"> eine angestrebte Menge von Interpretationsergebnissen erlaubt.</w:t>
      </w:r>
      <w:r w:rsidR="00D37801">
        <w:rPr>
          <w:rStyle w:val="Funotenzeichen"/>
        </w:rPr>
        <w:footnoteReference w:id="528"/>
      </w:r>
    </w:p>
    <w:p w:rsidR="00D37801" w:rsidRPr="00B73673" w:rsidRDefault="00D37801" w:rsidP="001B52FF">
      <w:pPr>
        <w:pStyle w:val="Text"/>
      </w:pPr>
      <w:r>
        <w:t>(3)</w:t>
      </w:r>
      <w:r>
        <w:tab/>
      </w:r>
      <w:r w:rsidR="00CA7779">
        <w:t xml:space="preserve">Auch in diesem Fall kann ein Schwellenwert festgelegt werden. </w:t>
      </w:r>
      <w:r w:rsidR="00CA7779" w:rsidRPr="00B73673">
        <w:t xml:space="preserve">Zeile </w:t>
      </w:r>
      <w:r w:rsidR="00F94BE5" w:rsidRPr="00B73673">
        <w:t>11</w:t>
      </w:r>
      <w:r w:rsidR="00CA7779" w:rsidRPr="00B73673">
        <w:t xml:space="preserve"> wäre dann:</w:t>
      </w:r>
    </w:p>
    <w:p w:rsidR="00CA7779" w:rsidRPr="00336DDE" w:rsidRDefault="00CA7779" w:rsidP="00AC225D">
      <w:pPr>
        <w:pStyle w:val="Formel"/>
      </w:pPr>
      <w:r w:rsidRPr="00336DDE">
        <w:t xml:space="preserve">while </w:t>
      </w:r>
      <w:r w:rsidR="00B5400F" w:rsidRPr="00336DDE">
        <w:t>(</w:t>
      </w:r>
      <w:r w:rsidRPr="00336DDE">
        <w:t>|</w:t>
      </w:r>
      <w:r w:rsidRPr="00336DDE">
        <w:rPr>
          <w:i/>
        </w:rPr>
        <w:t>I'</w:t>
      </w:r>
      <w:r w:rsidRPr="00336DDE">
        <w:t xml:space="preserve"> \ </w:t>
      </w:r>
      <w:r w:rsidRPr="00336DDE">
        <w:rPr>
          <w:i/>
        </w:rPr>
        <w:t>I</w:t>
      </w:r>
      <w:r w:rsidRPr="00336DDE">
        <w:t>|</w:t>
      </w:r>
      <w:r w:rsidR="00B5400F" w:rsidRPr="00336DDE">
        <w:t xml:space="preserve"> &gt; </w:t>
      </w:r>
      <w:r w:rsidR="00B5400F" w:rsidRPr="00336DDE">
        <w:rPr>
          <w:i/>
        </w:rPr>
        <w:t>s</w:t>
      </w:r>
      <w:r w:rsidR="00B5400F" w:rsidRPr="00336DDE">
        <w:t>)</w:t>
      </w:r>
      <w:r w:rsidRPr="00336DDE">
        <w:t xml:space="preserve"> </w:t>
      </w:r>
      <w:r w:rsidR="00967619" w:rsidRPr="00336DDE">
        <w:rPr>
          <w:rFonts w:ascii="Cambria Math" w:hAnsi="Cambria Math" w:cs="Cambria Math"/>
          <w:color w:val="000000" w:themeColor="text1"/>
        </w:rPr>
        <w:t>∨</w:t>
      </w:r>
      <w:r w:rsidRPr="00336DDE">
        <w:t xml:space="preserve"> </w:t>
      </w:r>
      <w:r w:rsidR="00B5400F" w:rsidRPr="00336DDE">
        <w:t>(</w:t>
      </w:r>
      <w:r w:rsidRPr="00336DDE">
        <w:t>|</w:t>
      </w:r>
      <w:r w:rsidRPr="00336DDE">
        <w:rPr>
          <w:i/>
        </w:rPr>
        <w:t>I</w:t>
      </w:r>
      <w:r w:rsidRPr="00336DDE">
        <w:t xml:space="preserve"> \ </w:t>
      </w:r>
      <w:r w:rsidRPr="00336DDE">
        <w:rPr>
          <w:i/>
        </w:rPr>
        <w:t>I'</w:t>
      </w:r>
      <w:r w:rsidR="00B5400F" w:rsidRPr="00336DDE">
        <w:t xml:space="preserve">| &gt; </w:t>
      </w:r>
      <w:r w:rsidR="00B5400F" w:rsidRPr="00336DDE">
        <w:rPr>
          <w:i/>
        </w:rPr>
        <w:t>s</w:t>
      </w:r>
      <w:r w:rsidR="00B5400F" w:rsidRPr="00336DDE">
        <w:t>)</w:t>
      </w:r>
    </w:p>
    <w:p w:rsidR="00752282" w:rsidRPr="00752282" w:rsidRDefault="00752282" w:rsidP="00AC225D">
      <w:pPr>
        <w:pStyle w:val="Zwischenberschrift"/>
      </w:pPr>
      <w:r w:rsidRPr="00752282">
        <w:t xml:space="preserve">Die Funktion </w:t>
      </w:r>
      <w:r w:rsidR="00E4309C" w:rsidRPr="00E4309C">
        <w:t>vorhandener</w:t>
      </w:r>
      <w:r w:rsidRPr="00752282">
        <w:t>_Stil</w:t>
      </w:r>
    </w:p>
    <w:p w:rsidR="007E2442" w:rsidRDefault="00752282" w:rsidP="00AC225D">
      <w:pPr>
        <w:pStyle w:val="Text"/>
        <w:ind w:firstLine="0"/>
      </w:pPr>
      <w:r>
        <w:t>Die</w:t>
      </w:r>
      <w:r w:rsidR="00FC444A">
        <w:t>se</w:t>
      </w:r>
      <w:r>
        <w:t xml:space="preserve"> Funktion sucht zu </w:t>
      </w:r>
      <w:r>
        <w:rPr>
          <w:i/>
          <w:iCs/>
        </w:rPr>
        <w:t>S*</w:t>
      </w:r>
      <w:r>
        <w:t xml:space="preserve"> einen Stil, der vom </w:t>
      </w:r>
      <w:r w:rsidR="00C75387">
        <w:t>Stilanwender</w:t>
      </w:r>
      <w:r>
        <w:t xml:space="preserve"> bei Schemaausfü</w:t>
      </w:r>
      <w:r>
        <w:t>h</w:t>
      </w:r>
      <w:r>
        <w:t xml:space="preserve">rungen des Schemas </w:t>
      </w:r>
      <w:r>
        <w:rPr>
          <w:i/>
          <w:iCs/>
        </w:rPr>
        <w:t>S*</w:t>
      </w:r>
      <w:r>
        <w:t xml:space="preserve"> angewandt wird, und gibt diesen als Menge von Mer</w:t>
      </w:r>
      <w:r>
        <w:t>k</w:t>
      </w:r>
      <w:r>
        <w:t>malsregeln zurück. Findet sie keinen Stil, gibt sie die leere Menge zurück.</w:t>
      </w:r>
      <w:r w:rsidR="00597AF5">
        <w:rPr>
          <w:rStyle w:val="Funotenzeichen"/>
        </w:rPr>
        <w:footnoteReference w:id="529"/>
      </w:r>
    </w:p>
    <w:p w:rsidR="007F323F" w:rsidRPr="00B041DF" w:rsidRDefault="007F323F" w:rsidP="00AC225D">
      <w:pPr>
        <w:pStyle w:val="Zwischenberschrift"/>
      </w:pPr>
      <w:r w:rsidRPr="00B041DF">
        <w:t xml:space="preserve">Die Funktion </w:t>
      </w:r>
      <w:r w:rsidR="00A70E04">
        <w:t>Merkmalsregeln</w:t>
      </w:r>
      <w:r w:rsidRPr="00B041DF">
        <w:t>_erzeugen</w:t>
      </w:r>
    </w:p>
    <w:p w:rsidR="007F323F" w:rsidRDefault="007F323F" w:rsidP="00AC225D">
      <w:pPr>
        <w:pStyle w:val="Text"/>
        <w:ind w:firstLine="0"/>
      </w:pPr>
      <w:r>
        <w:t xml:space="preserve">Diese Funktion erzeugt zu </w:t>
      </w:r>
      <w:r>
        <w:rPr>
          <w:i/>
          <w:iCs/>
        </w:rPr>
        <w:t>S*</w:t>
      </w:r>
      <w:r>
        <w:t xml:space="preserve"> eine Menge von Merkmalsregeln. Sie simuliert damit den Prozess der Entstehung eines Stils, der dem Individuum zuvor noch </w:t>
      </w:r>
      <w:r>
        <w:lastRenderedPageBreak/>
        <w:t>nicht zur Verfügung stand. Es braucht sich nicht um einen neuen Stil zu ha</w:t>
      </w:r>
      <w:r>
        <w:t>n</w:t>
      </w:r>
      <w:r>
        <w:t>deln; denkbar ist auch die Übernahme eines Stils einer anderen Person. Meist wird es sich um eine Mischung aus neuen und (mehr oder minder abgewandelt) übernommenen Merkmalsregeln handeln. Die Funktion gehört zu denjenigen Bereichen der Stiltheorie, für die keine genaue Formalisierung</w:t>
      </w:r>
      <w:r w:rsidR="005D7996">
        <w:fldChar w:fldCharType="begin"/>
      </w:r>
      <w:r w:rsidR="00D25476">
        <w:instrText xml:space="preserve"> XE "</w:instrText>
      </w:r>
      <w:r w:rsidR="00D25476" w:rsidRPr="00815262">
        <w:instrText>Formalisierung</w:instrText>
      </w:r>
      <w:r w:rsidR="00D25476">
        <w:instrText xml:space="preserve">" </w:instrText>
      </w:r>
      <w:r w:rsidR="005D7996">
        <w:fldChar w:fldCharType="end"/>
      </w:r>
      <w:r>
        <w:t xml:space="preserve"> sinnvoll ist, weil es dafür zahlreiche unterschiedliche Möglichkeiten gibt. Zu jeder gegebenen Menge von Mechanismen der Stilentstehung können zudem prinzipiell weitere gefunden werden; es handelt sich </w:t>
      </w:r>
      <w:r w:rsidR="00C55984">
        <w:t xml:space="preserve">bei der Stilentstehung </w:t>
      </w:r>
      <w:r>
        <w:t>um einen offenen Vo</w:t>
      </w:r>
      <w:r>
        <w:t>r</w:t>
      </w:r>
      <w:r>
        <w:t>gang.</w:t>
      </w:r>
    </w:p>
    <w:p w:rsidR="006F23EA" w:rsidRPr="00752282" w:rsidRDefault="006F23EA" w:rsidP="00AC225D">
      <w:pPr>
        <w:pStyle w:val="Zwischenberschrift"/>
      </w:pPr>
      <w:r w:rsidRPr="00752282">
        <w:t xml:space="preserve">Die Funktion </w:t>
      </w:r>
      <w:r>
        <w:t>angestrebte_Interpretation</w:t>
      </w:r>
    </w:p>
    <w:p w:rsidR="008775D1" w:rsidRDefault="00E25776" w:rsidP="00AC225D">
      <w:pPr>
        <w:pStyle w:val="Text"/>
        <w:ind w:firstLine="0"/>
      </w:pPr>
      <w:r>
        <w:t xml:space="preserve">Diese Funktion sucht zu </w:t>
      </w:r>
      <w:r>
        <w:rPr>
          <w:i/>
          <w:iCs/>
        </w:rPr>
        <w:t>B</w:t>
      </w:r>
      <w:r>
        <w:t xml:space="preserve"> eine Interpretation, die vom </w:t>
      </w:r>
      <w:r w:rsidR="00C75387">
        <w:t>Stilanwender</w:t>
      </w:r>
      <w:r>
        <w:t xml:space="preserve"> angestrebt wird. Findet sie keine Interpretation, gibt sie die leere Menge zurück.</w:t>
      </w:r>
    </w:p>
    <w:p w:rsidR="008775D1" w:rsidRPr="00752282" w:rsidRDefault="00752282" w:rsidP="00AC225D">
      <w:pPr>
        <w:pStyle w:val="Zwischenberschrift"/>
      </w:pPr>
      <w:r w:rsidRPr="00752282">
        <w:t>Die F</w:t>
      </w:r>
      <w:r w:rsidR="008775D1" w:rsidRPr="00752282">
        <w:t>un</w:t>
      </w:r>
      <w:r w:rsidRPr="00752282">
        <w:t>k</w:t>
      </w:r>
      <w:r w:rsidR="008775D1" w:rsidRPr="00752282">
        <w:t xml:space="preserve">tion </w:t>
      </w:r>
      <w:r w:rsidR="00C55984">
        <w:t>Merkmalsregeln</w:t>
      </w:r>
      <w:r w:rsidR="008775D1" w:rsidRPr="00752282">
        <w:rPr>
          <w:rFonts w:cs="Times New Roman"/>
        </w:rPr>
        <w:t>_</w:t>
      </w:r>
      <w:r w:rsidR="00C50004">
        <w:rPr>
          <w:rFonts w:cs="Times New Roman"/>
        </w:rPr>
        <w:t>anpassen</w:t>
      </w:r>
    </w:p>
    <w:p w:rsidR="00C37152" w:rsidRDefault="008775D1" w:rsidP="00AC225D">
      <w:pPr>
        <w:pStyle w:val="Text"/>
        <w:ind w:firstLine="0"/>
      </w:pPr>
      <w:r>
        <w:t xml:space="preserve">Diese Funktion </w:t>
      </w:r>
      <w:r w:rsidR="00EE7C50">
        <w:t xml:space="preserve">erhält als Parameter die </w:t>
      </w:r>
      <w:r>
        <w:t xml:space="preserve">Menge von Merkmalsregeln </w:t>
      </w:r>
      <w:r w:rsidR="004D3486" w:rsidRPr="004D3486">
        <w:rPr>
          <w:i/>
        </w:rPr>
        <w:t>B</w:t>
      </w:r>
      <w:r w:rsidR="00EE7C50">
        <w:t xml:space="preserve">, die aus </w:t>
      </w:r>
      <w:r w:rsidR="00EE7C50" w:rsidRPr="004D3486">
        <w:rPr>
          <w:i/>
        </w:rPr>
        <w:t>B</w:t>
      </w:r>
      <w:r w:rsidR="00EE7C50">
        <w:t xml:space="preserve"> erzeugte Interpretation </w:t>
      </w:r>
      <w:r w:rsidR="00EE7C50" w:rsidRPr="00EE7C50">
        <w:rPr>
          <w:i/>
        </w:rPr>
        <w:t>I</w:t>
      </w:r>
      <w:r w:rsidR="00EE7C50">
        <w:t xml:space="preserve"> und die angestrebte Interpretation </w:t>
      </w:r>
      <w:r w:rsidR="00EE7C50">
        <w:rPr>
          <w:i/>
        </w:rPr>
        <w:t>I</w:t>
      </w:r>
      <w:r>
        <w:rPr>
          <w:i/>
        </w:rPr>
        <w:t>'</w:t>
      </w:r>
      <w:r w:rsidR="00EE7C50">
        <w:t xml:space="preserve">. Sie </w:t>
      </w:r>
      <w:r w:rsidR="00C37152">
        <w:t xml:space="preserve">gleicht </w:t>
      </w:r>
      <w:r w:rsidR="00EE7C50">
        <w:rPr>
          <w:i/>
        </w:rPr>
        <w:t>I</w:t>
      </w:r>
      <w:r w:rsidR="00EE7C50">
        <w:t xml:space="preserve"> an </w:t>
      </w:r>
      <w:r w:rsidR="00EE7C50">
        <w:rPr>
          <w:i/>
        </w:rPr>
        <w:t>I'</w:t>
      </w:r>
      <w:r w:rsidR="00EE7C50">
        <w:t xml:space="preserve"> an</w:t>
      </w:r>
      <w:r w:rsidR="00C37152">
        <w:t>, indem sie</w:t>
      </w:r>
    </w:p>
    <w:p w:rsidR="00C37152" w:rsidRDefault="00C37152" w:rsidP="00F0754F">
      <w:pPr>
        <w:pStyle w:val="Text"/>
      </w:pPr>
      <w:r>
        <w:t>(1)</w:t>
      </w:r>
      <w:r>
        <w:tab/>
      </w:r>
      <w:r>
        <w:rPr>
          <w:i/>
        </w:rPr>
        <w:t>I</w:t>
      </w:r>
      <w:r>
        <w:t xml:space="preserve"> und </w:t>
      </w:r>
      <w:r>
        <w:rPr>
          <w:i/>
        </w:rPr>
        <w:t>I'</w:t>
      </w:r>
      <w:r>
        <w:t xml:space="preserve"> vergleicht und Abweichungen feststellt;</w:t>
      </w:r>
    </w:p>
    <w:p w:rsidR="00C37152" w:rsidRDefault="00C37152" w:rsidP="00F0754F">
      <w:pPr>
        <w:pStyle w:val="Text"/>
      </w:pPr>
      <w:r>
        <w:t>(2)</w:t>
      </w:r>
      <w:r>
        <w:tab/>
        <w:t xml:space="preserve">die Merkmalsregeln oder Kombinationen von Merkmalsregeln in </w:t>
      </w:r>
      <w:r w:rsidRPr="00C37152">
        <w:rPr>
          <w:i/>
        </w:rPr>
        <w:t>B</w:t>
      </w:r>
      <w:r>
        <w:t xml:space="preserve"> zu identifizieren versucht, die die Abweichungen bewirken;</w:t>
      </w:r>
    </w:p>
    <w:p w:rsidR="00C37152" w:rsidRDefault="00C37152" w:rsidP="00F0754F">
      <w:pPr>
        <w:pStyle w:val="Text"/>
      </w:pPr>
      <w:r>
        <w:t>(3)</w:t>
      </w:r>
      <w:r>
        <w:tab/>
        <w:t>überprüft, welche Änderungen dieser Merkmalsregeln oder Kombin</w:t>
      </w:r>
      <w:r>
        <w:t>a</w:t>
      </w:r>
      <w:r>
        <w:t>tionen von Merkmalsregeln voraussichtlich eine Verringerung der Abweichu</w:t>
      </w:r>
      <w:r>
        <w:t>n</w:t>
      </w:r>
      <w:r>
        <w:t>gen bewirken;</w:t>
      </w:r>
    </w:p>
    <w:p w:rsidR="00C37152" w:rsidRDefault="00C37152" w:rsidP="00F0754F">
      <w:pPr>
        <w:pStyle w:val="Text"/>
      </w:pPr>
      <w:r>
        <w:t>(4)</w:t>
      </w:r>
      <w:r>
        <w:tab/>
        <w:t>die Änderungen vornimmt (wobei sie bei Konflikten überprüft, we</w:t>
      </w:r>
      <w:r>
        <w:t>l</w:t>
      </w:r>
      <w:r>
        <w:t>che Veränderung aussichtsreicher ist);</w:t>
      </w:r>
    </w:p>
    <w:p w:rsidR="00C37152" w:rsidRDefault="00C37152" w:rsidP="00F0754F">
      <w:pPr>
        <w:pStyle w:val="Text"/>
      </w:pPr>
      <w:r>
        <w:t>(5)</w:t>
      </w:r>
      <w:r>
        <w:tab/>
        <w:t>die dabei insgesamt vorgenommenen Änderungen möglichst gering zu halten versucht.</w:t>
      </w:r>
    </w:p>
    <w:p w:rsidR="008775D1" w:rsidRDefault="00C37152" w:rsidP="001B52FF">
      <w:pPr>
        <w:pStyle w:val="Text"/>
      </w:pPr>
      <w:r>
        <w:t xml:space="preserve">Dabei können in (3) ganz unterschiedliche Prinzipien verwendet werden: Verstärkung </w:t>
      </w:r>
      <w:r w:rsidR="00663EE7">
        <w:t xml:space="preserve">oder Abschwächung </w:t>
      </w:r>
      <w:r w:rsidR="009256C2">
        <w:t>der Auswirkung einer Merkmalsregel</w:t>
      </w:r>
      <w:r w:rsidR="00443FCC">
        <w:t xml:space="preserve">; </w:t>
      </w:r>
      <w:r w:rsidR="00F72C5A">
        <w:t>Entfe</w:t>
      </w:r>
      <w:r w:rsidR="00F72C5A">
        <w:t>r</w:t>
      </w:r>
      <w:r w:rsidR="00F72C5A">
        <w:t xml:space="preserve">nung </w:t>
      </w:r>
      <w:r w:rsidR="00443FCC">
        <w:t>störender Merkmalsregeln oder Einfügung von neuen; Abänderung von Merkmalsregeln, so dass sich bestimmte Ergebnisse nun daraus erzeugen lassen oder nicht mehr erzeugen lassen; Verallgemeinerung (durch Streichung von E</w:t>
      </w:r>
      <w:r w:rsidR="00443FCC">
        <w:t>i</w:t>
      </w:r>
      <w:r w:rsidR="00443FCC">
        <w:t>genschaften) oder Spezialisierung (durch Einfügung von Eigenschaften) der Anwendungs</w:t>
      </w:r>
      <w:r w:rsidR="00A26E5E">
        <w:t>bedingungen</w:t>
      </w:r>
      <w:r w:rsidR="00443FCC">
        <w:t xml:space="preserve"> oder der verlangten Eigenschaften, um die Erzeugung bestimmter Ergebnisse, die auf Begrenzungen des Anwendungsbereichs oder der Ausprägungsvielfalt des Merkmals beruhen, zu ermöglichen oder zu verhindern; </w:t>
      </w:r>
      <w:r w:rsidR="00C50004">
        <w:t>usw.</w:t>
      </w:r>
      <w:r w:rsidR="00443FCC">
        <w:t xml:space="preserve"> </w:t>
      </w:r>
    </w:p>
    <w:p w:rsidR="00F824F3" w:rsidRPr="0076428F" w:rsidRDefault="00A62E4D" w:rsidP="00AC225D">
      <w:pPr>
        <w:pStyle w:val="Text"/>
        <w:spacing w:before="240"/>
        <w:ind w:firstLine="0"/>
      </w:pPr>
      <w:r>
        <w:t xml:space="preserve">Die Aufteilung in die Funktionen </w:t>
      </w:r>
      <w:r w:rsidR="00E0304E">
        <w:rPr>
          <w:i/>
        </w:rPr>
        <w:t>Merkmalsregeln</w:t>
      </w:r>
      <w:r w:rsidR="00C50004" w:rsidRPr="00B041DF">
        <w:rPr>
          <w:i/>
        </w:rPr>
        <w:t>_erzeugen</w:t>
      </w:r>
      <w:r w:rsidR="00C50004">
        <w:t xml:space="preserve"> </w:t>
      </w:r>
      <w:r>
        <w:t xml:space="preserve">und </w:t>
      </w:r>
      <w:r w:rsidRPr="00C50004">
        <w:rPr>
          <w:i/>
        </w:rPr>
        <w:t>Merkmalsr</w:t>
      </w:r>
      <w:r w:rsidRPr="00C50004">
        <w:rPr>
          <w:i/>
        </w:rPr>
        <w:t>e</w:t>
      </w:r>
      <w:r w:rsidRPr="00C50004">
        <w:rPr>
          <w:i/>
        </w:rPr>
        <w:t>geln_</w:t>
      </w:r>
      <w:r w:rsidR="00C50004">
        <w:rPr>
          <w:i/>
        </w:rPr>
        <w:t>anpassen</w:t>
      </w:r>
      <w:r>
        <w:t xml:space="preserve"> </w:t>
      </w:r>
      <w:r w:rsidR="009353E8">
        <w:t>entspricht vermutlich nicht der kognitiven Realität des Prozesses, in der hier eher ein holistischer Prozess</w:t>
      </w:r>
      <w:r w:rsidR="005D7996">
        <w:fldChar w:fldCharType="begin"/>
      </w:r>
      <w:r w:rsidR="00D32BFE">
        <w:instrText xml:space="preserve"> XE "</w:instrText>
      </w:r>
      <w:r w:rsidR="00D32BFE" w:rsidRPr="00D2229F">
        <w:instrText>Holismus</w:instrText>
      </w:r>
      <w:r w:rsidR="00D32BFE">
        <w:instrText xml:space="preserve">" </w:instrText>
      </w:r>
      <w:r w:rsidR="005D7996">
        <w:fldChar w:fldCharType="end"/>
      </w:r>
      <w:r w:rsidR="009353E8">
        <w:t xml:space="preserve"> stattfinden dürfte. </w:t>
      </w:r>
      <w:r w:rsidR="008775D1">
        <w:t xml:space="preserve">Aus Gründen der </w:t>
      </w:r>
      <w:r w:rsidR="008775D1">
        <w:lastRenderedPageBreak/>
        <w:t xml:space="preserve">Vereinfachung wird angenommen, dass die Menge </w:t>
      </w:r>
      <w:r w:rsidR="008775D1" w:rsidRPr="008775D1">
        <w:rPr>
          <w:i/>
        </w:rPr>
        <w:t>B</w:t>
      </w:r>
      <w:r w:rsidR="008775D1">
        <w:t xml:space="preserve"> der Merkmalsregel</w:t>
      </w:r>
      <w:r w:rsidR="0092696F">
        <w:t>n vol</w:t>
      </w:r>
      <w:r w:rsidR="0092696F">
        <w:t>l</w:t>
      </w:r>
      <w:r w:rsidR="0092696F">
        <w:t xml:space="preserve">ständig aufgestellt wird, bevor überprüft werden kann, wie nahe die sich daraus ergebende Interpretation </w:t>
      </w:r>
      <w:r w:rsidR="0092696F">
        <w:rPr>
          <w:i/>
        </w:rPr>
        <w:t>I</w:t>
      </w:r>
      <w:r w:rsidR="0092696F">
        <w:t xml:space="preserve"> an der beabsichtigten Interpretation </w:t>
      </w:r>
      <w:r w:rsidR="0092696F">
        <w:rPr>
          <w:i/>
        </w:rPr>
        <w:t>I</w:t>
      </w:r>
      <w:r w:rsidR="00C827AF">
        <w:rPr>
          <w:i/>
        </w:rPr>
        <w:t>'</w:t>
      </w:r>
      <w:r w:rsidR="0092696F">
        <w:t xml:space="preserve"> ist. In der Re</w:t>
      </w:r>
      <w:r w:rsidR="0092696F">
        <w:t>a</w:t>
      </w:r>
      <w:r w:rsidR="0092696F">
        <w:t xml:space="preserve">lität </w:t>
      </w:r>
      <w:r w:rsidR="00C827AF">
        <w:t>wird vermutlich die angestrebte Interpretation gleich bei der Erzeugung der Merkmalsregeln berücksichtigt; diese werden von Anfang an auf die gewünsc</w:t>
      </w:r>
      <w:r w:rsidR="00C827AF">
        <w:t>h</w:t>
      </w:r>
      <w:r w:rsidR="00C827AF">
        <w:t xml:space="preserve">ten Effekte hin konstruiert. Ist eine Reihe von Merkmalsregeln erzeugt, werden diese weiter mit Blick auf </w:t>
      </w:r>
      <w:r w:rsidR="00C827AF">
        <w:rPr>
          <w:i/>
        </w:rPr>
        <w:t>I'</w:t>
      </w:r>
      <w:r w:rsidR="00C827AF">
        <w:t xml:space="preserve"> optimiert. </w:t>
      </w:r>
      <w:r w:rsidR="008775D1">
        <w:t xml:space="preserve">Ähnlich wie bei der </w:t>
      </w:r>
      <w:r w:rsidR="00834C46">
        <w:t>Schemaausführung</w:t>
      </w:r>
      <w:r w:rsidR="008775D1">
        <w:t xml:space="preserve"> (vgl. Abschnitt </w:t>
      </w:r>
      <w:r w:rsidR="005D7996">
        <w:fldChar w:fldCharType="begin"/>
      </w:r>
      <w:r w:rsidR="008775D1">
        <w:instrText xml:space="preserve"> REF _Ref212110965 \r \h </w:instrText>
      </w:r>
      <w:r w:rsidR="005D7996">
        <w:fldChar w:fldCharType="separate"/>
      </w:r>
      <w:r w:rsidR="001231D3">
        <w:t>5.2.2</w:t>
      </w:r>
      <w:r w:rsidR="005D7996">
        <w:fldChar w:fldCharType="end"/>
      </w:r>
      <w:r w:rsidR="008775D1">
        <w:t>) wird also auch hier eine Schematisierung eines Prozesses vorgenommen, der tatsächlich durch Hin- und Herspringen zwischen den ve</w:t>
      </w:r>
      <w:r w:rsidR="008775D1">
        <w:t>r</w:t>
      </w:r>
      <w:r w:rsidR="008775D1">
        <w:t>schiedenen Schritten eine kompliziertere Form annehmen kann, wodurch sich jedoch an dem grundsätzlichen Sachverhalt nichts ändert.</w:t>
      </w:r>
    </w:p>
    <w:p w:rsidR="00870D5D" w:rsidRPr="00870D5D" w:rsidRDefault="00623ECF" w:rsidP="001B52FF">
      <w:pPr>
        <w:pStyle w:val="Text"/>
      </w:pPr>
      <w:r>
        <w:t xml:space="preserve">Eine </w:t>
      </w:r>
      <w:r w:rsidR="00555591">
        <w:t xml:space="preserve">Menge </w:t>
      </w:r>
      <w:r w:rsidR="00555591" w:rsidRPr="00555591">
        <w:rPr>
          <w:i/>
        </w:rPr>
        <w:t>B</w:t>
      </w:r>
      <w:r>
        <w:t xml:space="preserve">, die von der Funktion </w:t>
      </w:r>
      <w:r w:rsidRPr="00623ECF">
        <w:rPr>
          <w:i/>
        </w:rPr>
        <w:t>Stil_bereitstellen</w:t>
      </w:r>
      <w:r>
        <w:t xml:space="preserve"> zurückgegeben wird, ist ein Stil, der in einem stilistischen Zeichenprozess angewandt wird und soll daher als „</w:t>
      </w:r>
      <w:r w:rsidRPr="00623ECF">
        <w:t>Anwenderstil</w:t>
      </w:r>
      <w:r w:rsidR="005D7996">
        <w:fldChar w:fldCharType="begin"/>
      </w:r>
      <w:r w:rsidR="002B7A78">
        <w:instrText xml:space="preserve"> XE "</w:instrText>
      </w:r>
      <w:r w:rsidR="002B7A78" w:rsidRPr="000166F4">
        <w:instrText>Anwenderstil</w:instrText>
      </w:r>
      <w:r w:rsidR="002B7A78">
        <w:instrText xml:space="preserve">" </w:instrText>
      </w:r>
      <w:r w:rsidR="005D7996">
        <w:fldChar w:fldCharType="end"/>
      </w:r>
      <w:r>
        <w:t xml:space="preserve">“ bezeichnet werden. Zusammen mit einer </w:t>
      </w:r>
      <w:r w:rsidR="00555591">
        <w:t>angestrebte</w:t>
      </w:r>
      <w:r w:rsidR="00143689">
        <w:t>n</w:t>
      </w:r>
      <w:r w:rsidR="00555591">
        <w:t xml:space="preserve"> Interpretation </w:t>
      </w:r>
      <w:r w:rsidR="00555591" w:rsidRPr="00555591">
        <w:rPr>
          <w:i/>
        </w:rPr>
        <w:t>I</w:t>
      </w:r>
      <w:r w:rsidR="00555591">
        <w:rPr>
          <w:i/>
        </w:rPr>
        <w:t>'</w:t>
      </w:r>
      <w:r w:rsidR="00555591">
        <w:t xml:space="preserve"> </w:t>
      </w:r>
      <w:r>
        <w:t>handelt es sich um einen „</w:t>
      </w:r>
      <w:r w:rsidR="00827395">
        <w:t>interpretierten</w:t>
      </w:r>
      <w:r w:rsidRPr="00623ECF">
        <w:t xml:space="preserve"> A</w:t>
      </w:r>
      <w:r w:rsidR="00CE42A8" w:rsidRPr="00623ECF">
        <w:t>nwenderstil</w:t>
      </w:r>
      <w:bookmarkStart w:id="417" w:name="_Ref261883164"/>
      <w:r w:rsidR="005D7996">
        <w:fldChar w:fldCharType="begin"/>
      </w:r>
      <w:r w:rsidR="002B7A78">
        <w:instrText xml:space="preserve"> XE "</w:instrText>
      </w:r>
      <w:r w:rsidR="002B7A78" w:rsidRPr="00E547B7">
        <w:instrText>Anwenderstil</w:instrText>
      </w:r>
      <w:r w:rsidR="00154E52">
        <w:instrText>:</w:instrText>
      </w:r>
      <w:r w:rsidR="00F557C0" w:rsidRPr="00E547B7">
        <w:instrText>interpretierter</w:instrText>
      </w:r>
      <w:r w:rsidR="002B7A78">
        <w:instrText xml:space="preserve">" </w:instrText>
      </w:r>
      <w:r w:rsidR="005D7996">
        <w:fldChar w:fldCharType="end"/>
      </w:r>
      <w:r>
        <w:t>“</w:t>
      </w:r>
      <w:r w:rsidR="001D49E8">
        <w:t>.</w:t>
      </w:r>
      <w:r w:rsidR="00CE42A8">
        <w:rPr>
          <w:rStyle w:val="Funotenzeichen"/>
        </w:rPr>
        <w:footnoteReference w:id="530"/>
      </w:r>
      <w:bookmarkEnd w:id="417"/>
      <w:r w:rsidR="00CE42A8">
        <w:t xml:space="preserve"> </w:t>
      </w:r>
      <w:r w:rsidR="00555591">
        <w:t xml:space="preserve">Der </w:t>
      </w:r>
      <w:r w:rsidR="00017D4D">
        <w:t xml:space="preserve">„interpretierte </w:t>
      </w:r>
      <w:r w:rsidR="00CE42A8" w:rsidRPr="00CE42A8">
        <w:t>Anwenderstil</w:t>
      </w:r>
      <w:r w:rsidR="00017D4D">
        <w:t>“</w:t>
      </w:r>
      <w:r w:rsidR="00CE42A8">
        <w:t xml:space="preserve"> </w:t>
      </w:r>
      <w:r w:rsidR="00555591">
        <w:t xml:space="preserve">wurde hier nicht in eine Variable </w:t>
      </w:r>
      <w:r w:rsidR="00555591" w:rsidRPr="00017D4D">
        <w:rPr>
          <w:i/>
        </w:rPr>
        <w:t>St</w:t>
      </w:r>
      <w:r w:rsidR="00555591">
        <w:t xml:space="preserve"> gespeichert, wie es im nächsten Abschnitt </w:t>
      </w:r>
      <w:r w:rsidR="00017D4D">
        <w:t xml:space="preserve">beim „interpretierten Wahrnehmerstil“ geschieht, </w:t>
      </w:r>
      <w:r w:rsidR="00555591">
        <w:t xml:space="preserve">da keine Weiterverarbeitung </w:t>
      </w:r>
      <w:r w:rsidR="000D6CB4">
        <w:t>vorgenommen wird</w:t>
      </w:r>
      <w:r w:rsidR="00992F81">
        <w:t>.</w:t>
      </w:r>
      <w:bookmarkEnd w:id="416"/>
    </w:p>
    <w:p w:rsidR="009469B0" w:rsidRDefault="00976F82" w:rsidP="009469B0">
      <w:pPr>
        <w:pStyle w:val="Titel3"/>
      </w:pPr>
      <w:bookmarkStart w:id="418" w:name="_Ref261443737"/>
      <w:bookmarkStart w:id="419" w:name="_Toc325456803"/>
      <w:bookmarkStart w:id="420" w:name="Wahrnehmen2"/>
      <w:r>
        <w:t>Wahrnehmen</w:t>
      </w:r>
      <w:r w:rsidR="00CF3FF4">
        <w:t xml:space="preserve"> eines Stils</w:t>
      </w:r>
      <w:bookmarkEnd w:id="418"/>
      <w:bookmarkEnd w:id="419"/>
    </w:p>
    <w:p w:rsidR="00955A8A" w:rsidRDefault="005D7996" w:rsidP="00AC225D">
      <w:pPr>
        <w:pStyle w:val="Text"/>
        <w:ind w:firstLine="0"/>
      </w:pPr>
      <w:r>
        <w:fldChar w:fldCharType="begin"/>
      </w:r>
      <w:r w:rsidR="00DB331C">
        <w:instrText xml:space="preserve"> XE "Wahrnehmen eines Stils</w:instrText>
      </w:r>
      <w:r w:rsidR="000C356B">
        <w:instrText>:</w:instrText>
      </w:r>
      <w:r w:rsidR="000C356B" w:rsidRPr="000C356B">
        <w:rPr>
          <w:i/>
        </w:rPr>
        <w:instrText>Funktion</w:instrText>
      </w:r>
      <w:r w:rsidR="00DB331C">
        <w:instrText xml:space="preserve">" \r "Wahrnehmen2" </w:instrText>
      </w:r>
      <w:r>
        <w:fldChar w:fldCharType="end"/>
      </w:r>
      <w:r w:rsidR="00854A12">
        <w:t>Zum</w:t>
      </w:r>
      <w:r w:rsidR="00673284">
        <w:t xml:space="preserve"> </w:t>
      </w:r>
      <w:r w:rsidR="00854A12">
        <w:t>Wahrnehmen</w:t>
      </w:r>
      <w:r w:rsidR="00673284">
        <w:t xml:space="preserve"> eines Stils gehört sowohl das </w:t>
      </w:r>
      <w:r w:rsidR="00DB33A9">
        <w:t xml:space="preserve">Auslesen </w:t>
      </w:r>
      <w:r w:rsidR="00AD6036">
        <w:t xml:space="preserve">von </w:t>
      </w:r>
      <w:r w:rsidR="00673284">
        <w:t>Merkmal</w:t>
      </w:r>
      <w:r w:rsidR="00DB33A9">
        <w:t>sregeln</w:t>
      </w:r>
      <w:r w:rsidR="00673284">
        <w:t xml:space="preserve"> als auch die Gewinnung von Informationen</w:t>
      </w:r>
      <w:r w:rsidR="00507F2A">
        <w:t xml:space="preserve"> </w:t>
      </w:r>
      <w:r w:rsidR="00673284">
        <w:t xml:space="preserve">aus diesen. Diese beiden Vorgänge sind im Merkmalsprozess </w:t>
      </w:r>
      <w:r w:rsidR="00752282">
        <w:t xml:space="preserve">(in der Funktion </w:t>
      </w:r>
      <w:r w:rsidR="00752282" w:rsidRPr="00AF360A">
        <w:rPr>
          <w:i/>
        </w:rPr>
        <w:t>Merkmalsregeln</w:t>
      </w:r>
      <w:r w:rsidR="001421D5" w:rsidRPr="00AF360A">
        <w:rPr>
          <w:i/>
        </w:rPr>
        <w:t>_auslesen</w:t>
      </w:r>
      <w:r w:rsidR="001421D5">
        <w:t>; vgl. A</w:t>
      </w:r>
      <w:r w:rsidR="001421D5">
        <w:t>b</w:t>
      </w:r>
      <w:r w:rsidR="001421D5">
        <w:t xml:space="preserve">schnitt </w:t>
      </w:r>
      <w:r>
        <w:fldChar w:fldCharType="begin"/>
      </w:r>
      <w:r w:rsidR="001421D5">
        <w:instrText xml:space="preserve"> REF _Ref254084330 \r \h </w:instrText>
      </w:r>
      <w:r>
        <w:fldChar w:fldCharType="separate"/>
      </w:r>
      <w:r w:rsidR="001231D3">
        <w:t>5.5.3</w:t>
      </w:r>
      <w:r>
        <w:fldChar w:fldCharType="end"/>
      </w:r>
      <w:r w:rsidR="001421D5">
        <w:t xml:space="preserve">) und </w:t>
      </w:r>
      <w:r w:rsidR="00673284">
        <w:t xml:space="preserve">im Interpretationsprozess </w:t>
      </w:r>
      <w:r w:rsidR="001421D5">
        <w:t xml:space="preserve">(in der Funktion </w:t>
      </w:r>
      <w:r w:rsidR="001421D5" w:rsidRPr="00AF360A">
        <w:rPr>
          <w:i/>
        </w:rPr>
        <w:t>Interpretation</w:t>
      </w:r>
      <w:r w:rsidR="001421D5">
        <w:t xml:space="preserve">; vgl. Abschnitt </w:t>
      </w:r>
      <w:r>
        <w:fldChar w:fldCharType="begin"/>
      </w:r>
      <w:r w:rsidR="001421D5">
        <w:instrText xml:space="preserve"> REF _Ref255767436 \r \h </w:instrText>
      </w:r>
      <w:r>
        <w:fldChar w:fldCharType="separate"/>
      </w:r>
      <w:r w:rsidR="001231D3">
        <w:t>7.2.1</w:t>
      </w:r>
      <w:r>
        <w:fldChar w:fldCharType="end"/>
      </w:r>
      <w:r w:rsidR="001421D5">
        <w:t xml:space="preserve">) </w:t>
      </w:r>
      <w:r w:rsidR="00673284">
        <w:t>modelliert</w:t>
      </w:r>
      <w:r w:rsidR="001421D5">
        <w:t xml:space="preserve"> worden. Wir nehmen daher eine Funktion </w:t>
      </w:r>
      <w:r w:rsidR="001500F6">
        <w:rPr>
          <w:i/>
        </w:rPr>
        <w:t>Stil_wahr</w:t>
      </w:r>
      <w:r w:rsidR="00AB2823">
        <w:rPr>
          <w:i/>
        </w:rPr>
        <w:softHyphen/>
      </w:r>
      <w:r w:rsidR="001500F6">
        <w:rPr>
          <w:i/>
        </w:rPr>
        <w:t>nehmen</w:t>
      </w:r>
      <w:r w:rsidR="001421D5">
        <w:t xml:space="preserve"> an, die beide Funktionen aufruft. Sie stellt damit auf der </w:t>
      </w:r>
      <w:r w:rsidR="00C95D7A">
        <w:t>Wahrnehme</w:t>
      </w:r>
      <w:r w:rsidR="00C95D7A">
        <w:t>r</w:t>
      </w:r>
      <w:r w:rsidR="00C95D7A">
        <w:t xml:space="preserve">seite </w:t>
      </w:r>
      <w:r w:rsidR="001421D5">
        <w:t>die Verbindung zwischen Merkmals- und Interpretationsprozess her.</w:t>
      </w:r>
      <w:r w:rsidR="0076428F">
        <w:t xml:space="preserve"> Sie wird von einem allgemeineren Verhaltensprozess aufgerufen und gibt die Paarv</w:t>
      </w:r>
      <w:r w:rsidR="0076428F">
        <w:t>a</w:t>
      </w:r>
      <w:r w:rsidR="0076428F">
        <w:t>riable</w:t>
      </w:r>
      <w:r>
        <w:fldChar w:fldCharType="begin"/>
      </w:r>
      <w:r w:rsidR="00D84336">
        <w:instrText xml:space="preserve"> XE "</w:instrText>
      </w:r>
      <w:r w:rsidR="00D84336" w:rsidRPr="00AB3E17">
        <w:instrText>Paarvariable</w:instrText>
      </w:r>
      <w:r w:rsidR="00D84336">
        <w:instrText xml:space="preserve">" </w:instrText>
      </w:r>
      <w:r>
        <w:fldChar w:fldCharType="end"/>
      </w:r>
      <w:r w:rsidR="0076428F">
        <w:t xml:space="preserve"> </w:t>
      </w:r>
      <w:r w:rsidR="00955A8A">
        <w:rPr>
          <w:i/>
        </w:rPr>
        <w:t>St</w:t>
      </w:r>
      <w:r w:rsidR="00955A8A">
        <w:t xml:space="preserve"> </w:t>
      </w:r>
      <w:r w:rsidR="0076428F">
        <w:t>zurück, die eine Menge von Merkmalsregeln mit einer zugehörigen I</w:t>
      </w:r>
      <w:r w:rsidR="0076428F">
        <w:t>n</w:t>
      </w:r>
      <w:r w:rsidR="0076428F">
        <w:t>terpretation enthält.</w:t>
      </w:r>
    </w:p>
    <w:p w:rsidR="00D2554C" w:rsidRPr="00B95307" w:rsidRDefault="00FC5459" w:rsidP="00AC225D">
      <w:pPr>
        <w:pStyle w:val="Text"/>
        <w:keepNext/>
        <w:spacing w:before="360"/>
        <w:ind w:firstLine="0"/>
        <w:jc w:val="left"/>
      </w:pPr>
      <w:r w:rsidRPr="00B95307">
        <w:lastRenderedPageBreak/>
        <w:t xml:space="preserve">function </w:t>
      </w:r>
      <w:r w:rsidR="001500F6">
        <w:t>Stil_wahrnehmen</w:t>
      </w:r>
      <w:r w:rsidR="00D2554C" w:rsidRPr="00B95307">
        <w:t xml:space="preserve"> (</w:t>
      </w:r>
      <w:r w:rsidR="00D2554C" w:rsidRPr="00B95307">
        <w:rPr>
          <w:i/>
        </w:rPr>
        <w:t>R</w:t>
      </w:r>
      <w:r w:rsidR="00D2554C" w:rsidRPr="00B95307">
        <w:t>)</w:t>
      </w:r>
    </w:p>
    <w:p w:rsidR="0036432A" w:rsidRPr="00ED2CBA" w:rsidRDefault="00410490" w:rsidP="00A12D70">
      <w:pPr>
        <w:pStyle w:val="Text"/>
        <w:ind w:firstLine="0"/>
        <w:jc w:val="left"/>
      </w:pPr>
      <w:r>
        <w:rPr>
          <w:lang w:val="it-IT"/>
        </w:rPr>
        <w:t xml:space="preserve">   </w:t>
      </w:r>
      <w:r w:rsidR="0036432A" w:rsidRPr="00ED2CBA">
        <w:rPr>
          <w:i/>
        </w:rPr>
        <w:t>S*</w:t>
      </w:r>
      <w:r w:rsidR="0036432A" w:rsidRPr="00ED2CBA">
        <w:t xml:space="preserve"> </w:t>
      </w:r>
      <w:r w:rsidR="00BE4F09" w:rsidRPr="00ED2CBA">
        <w:t xml:space="preserve">= </w:t>
      </w:r>
      <w:r>
        <w:rPr>
          <w:lang w:val="it-IT"/>
        </w:rPr>
        <w:t>&lt;</w:t>
      </w:r>
      <w:r w:rsidRPr="0065440B">
        <w:rPr>
          <w:i/>
          <w:lang w:val="it-IT"/>
        </w:rPr>
        <w:t>N</w:t>
      </w:r>
      <w:r>
        <w:rPr>
          <w:lang w:val="it-IT"/>
        </w:rPr>
        <w:t xml:space="preserve">, </w:t>
      </w:r>
      <w:r>
        <w:rPr>
          <w:i/>
          <w:lang w:val="it-IT"/>
        </w:rPr>
        <w:t>So</w:t>
      </w:r>
      <w:r>
        <w:rPr>
          <w:lang w:val="it-IT"/>
        </w:rPr>
        <w:t>, {&lt;</w:t>
      </w:r>
      <w:r>
        <w:rPr>
          <w:i/>
          <w:lang w:val="it-IT"/>
        </w:rPr>
        <w:t>Ob</w:t>
      </w:r>
      <w:r>
        <w:rPr>
          <w:lang w:val="it-IT"/>
        </w:rPr>
        <w:t xml:space="preserve">, </w:t>
      </w:r>
      <w:r>
        <w:rPr>
          <w:i/>
          <w:lang w:val="it-IT"/>
        </w:rPr>
        <w:t>Zb</w:t>
      </w:r>
      <w:r>
        <w:rPr>
          <w:lang w:val="it-IT"/>
        </w:rPr>
        <w:t>&gt;}&gt;</w:t>
      </w:r>
      <w:r w:rsidR="00BE4F09" w:rsidRPr="00ED2CBA">
        <w:t xml:space="preserve"> </w:t>
      </w:r>
      <w:r w:rsidR="0036432A" w:rsidRPr="00ED2CBA">
        <w:t>:= Schema (</w:t>
      </w:r>
      <w:r w:rsidR="005238AF" w:rsidRPr="00ED2CBA">
        <w:rPr>
          <w:i/>
        </w:rPr>
        <w:t>R</w:t>
      </w:r>
      <w:r w:rsidR="0036432A" w:rsidRPr="00ED2CBA">
        <w:t>)</w:t>
      </w:r>
    </w:p>
    <w:p w:rsidR="00D2554C" w:rsidRDefault="00D2554C" w:rsidP="00A12D70">
      <w:pPr>
        <w:pStyle w:val="Text"/>
        <w:ind w:firstLine="0"/>
        <w:jc w:val="left"/>
      </w:pPr>
      <w:r w:rsidRPr="00ED2CBA">
        <w:t xml:space="preserve">   </w:t>
      </w:r>
      <w:r w:rsidRPr="0048665F">
        <w:rPr>
          <w:i/>
        </w:rPr>
        <w:t>B</w:t>
      </w:r>
      <w:r w:rsidRPr="0048665F">
        <w:t xml:space="preserve"> := </w:t>
      </w:r>
      <w:r w:rsidR="00752282">
        <w:t>Merkmalsregeln</w:t>
      </w:r>
      <w:r w:rsidR="00EB6978">
        <w:t xml:space="preserve">_auslesen </w:t>
      </w:r>
      <w:r w:rsidRPr="0048665F">
        <w:t>(</w:t>
      </w:r>
      <w:r w:rsidRPr="0048665F">
        <w:rPr>
          <w:i/>
        </w:rPr>
        <w:t>R</w:t>
      </w:r>
      <w:r w:rsidR="0036432A">
        <w:t xml:space="preserve">, </w:t>
      </w:r>
      <w:r w:rsidR="0036432A">
        <w:rPr>
          <w:i/>
        </w:rPr>
        <w:t>S*</w:t>
      </w:r>
      <w:r w:rsidR="0036432A">
        <w:t>)</w:t>
      </w:r>
    </w:p>
    <w:p w:rsidR="00D2554C" w:rsidRDefault="00D2554C" w:rsidP="00A12D70">
      <w:pPr>
        <w:pStyle w:val="Text"/>
        <w:ind w:firstLine="0"/>
        <w:jc w:val="left"/>
        <w:rPr>
          <w:lang w:val="en-US"/>
        </w:rPr>
      </w:pPr>
      <w:r w:rsidRPr="00336DDE">
        <w:t xml:space="preserve">   </w:t>
      </w:r>
      <w:r w:rsidR="009756B8" w:rsidRPr="00F710FF">
        <w:rPr>
          <w:i/>
          <w:lang w:val="en-US"/>
        </w:rPr>
        <w:t>I</w:t>
      </w:r>
      <w:r w:rsidRPr="00F710FF">
        <w:rPr>
          <w:lang w:val="en-US"/>
        </w:rPr>
        <w:t xml:space="preserve"> := </w:t>
      </w:r>
      <w:r w:rsidR="00EA1FB0" w:rsidRPr="00F710FF">
        <w:rPr>
          <w:lang w:val="en-US"/>
        </w:rPr>
        <w:t>Interpretation</w:t>
      </w:r>
      <w:r w:rsidRPr="00F710FF">
        <w:rPr>
          <w:lang w:val="en-US"/>
        </w:rPr>
        <w:t xml:space="preserve"> (</w:t>
      </w:r>
      <w:r w:rsidRPr="00F710FF">
        <w:rPr>
          <w:i/>
          <w:iCs/>
          <w:lang w:val="en-US"/>
        </w:rPr>
        <w:t>B</w:t>
      </w:r>
      <w:r w:rsidR="0036432A" w:rsidRPr="00F710FF">
        <w:rPr>
          <w:lang w:val="en-US"/>
        </w:rPr>
        <w:t xml:space="preserve">, </w:t>
      </w:r>
      <w:r w:rsidR="0036432A" w:rsidRPr="00F710FF">
        <w:rPr>
          <w:i/>
          <w:lang w:val="en-US"/>
        </w:rPr>
        <w:t>S*</w:t>
      </w:r>
      <w:r w:rsidR="0036432A" w:rsidRPr="00F710FF">
        <w:rPr>
          <w:lang w:val="en-US"/>
        </w:rPr>
        <w:t>)</w:t>
      </w:r>
    </w:p>
    <w:p w:rsidR="00C86944" w:rsidRPr="00752282" w:rsidRDefault="00C14B5F" w:rsidP="00BD2604">
      <w:pPr>
        <w:pStyle w:val="Text"/>
        <w:ind w:hanging="369"/>
        <w:jc w:val="left"/>
        <w:rPr>
          <w:color w:val="000000" w:themeColor="text1"/>
          <w:lang w:val="en-US"/>
        </w:rPr>
      </w:pPr>
      <w:r w:rsidRPr="00A12D70">
        <w:rPr>
          <w:sz w:val="16"/>
          <w:szCs w:val="16"/>
          <w:lang w:val="en-US"/>
        </w:rPr>
        <w:t xml:space="preserve"> </w:t>
      </w:r>
      <w:r w:rsidR="00C86944" w:rsidRPr="00A12D70">
        <w:rPr>
          <w:sz w:val="16"/>
          <w:szCs w:val="16"/>
          <w:lang w:val="en-US"/>
        </w:rPr>
        <w:t>5</w:t>
      </w:r>
      <w:r w:rsidR="00C86944" w:rsidRPr="00752282">
        <w:rPr>
          <w:lang w:val="en-US"/>
        </w:rPr>
        <w:tab/>
      </w:r>
      <w:r w:rsidR="00C86944" w:rsidRPr="00752282">
        <w:rPr>
          <w:color w:val="000000" w:themeColor="text1"/>
          <w:lang w:val="en-US"/>
        </w:rPr>
        <w:t xml:space="preserve">   </w:t>
      </w:r>
      <w:r w:rsidR="00C86944" w:rsidRPr="00706A0F">
        <w:rPr>
          <w:i/>
          <w:lang w:val="en-US"/>
        </w:rPr>
        <w:t>St</w:t>
      </w:r>
      <w:r w:rsidR="00D83D78">
        <w:rPr>
          <w:lang w:val="en-US"/>
        </w:rPr>
        <w:t xml:space="preserve"> :</w:t>
      </w:r>
      <w:r w:rsidR="00C86944" w:rsidRPr="00706A0F">
        <w:rPr>
          <w:lang w:val="en-US"/>
        </w:rPr>
        <w:t>= &lt;</w:t>
      </w:r>
      <w:r w:rsidR="00C86944" w:rsidRPr="00706A0F">
        <w:rPr>
          <w:i/>
          <w:lang w:val="en-US"/>
        </w:rPr>
        <w:t>B</w:t>
      </w:r>
      <w:r w:rsidR="00C86944" w:rsidRPr="00706A0F">
        <w:rPr>
          <w:lang w:val="en-US"/>
        </w:rPr>
        <w:t xml:space="preserve">, </w:t>
      </w:r>
      <w:r w:rsidR="00C86944">
        <w:rPr>
          <w:i/>
          <w:lang w:val="en-US"/>
        </w:rPr>
        <w:t>I</w:t>
      </w:r>
      <w:r w:rsidR="00C86944" w:rsidRPr="00706A0F">
        <w:rPr>
          <w:lang w:val="en-US"/>
        </w:rPr>
        <w:t>&gt;</w:t>
      </w:r>
    </w:p>
    <w:p w:rsidR="005D1A99" w:rsidRPr="008801FB" w:rsidRDefault="005D1A99" w:rsidP="00A12D70">
      <w:pPr>
        <w:pStyle w:val="Text"/>
        <w:ind w:firstLine="0"/>
        <w:jc w:val="left"/>
      </w:pPr>
      <w:r w:rsidRPr="00706A0F">
        <w:rPr>
          <w:lang w:val="en-US"/>
        </w:rPr>
        <w:t xml:space="preserve">   </w:t>
      </w:r>
      <w:r w:rsidRPr="008801FB">
        <w:t xml:space="preserve">return </w:t>
      </w:r>
      <w:r w:rsidRPr="008801FB">
        <w:rPr>
          <w:i/>
        </w:rPr>
        <w:t>St</w:t>
      </w:r>
    </w:p>
    <w:p w:rsidR="00D2554C" w:rsidRPr="00F4161F" w:rsidRDefault="00D2554C" w:rsidP="00A12D70">
      <w:pPr>
        <w:pStyle w:val="Text"/>
        <w:ind w:firstLine="0"/>
        <w:jc w:val="left"/>
      </w:pPr>
      <w:r w:rsidRPr="00F4161F">
        <w:t>end function</w:t>
      </w:r>
    </w:p>
    <w:p w:rsidR="0076428F" w:rsidRPr="00F4161F" w:rsidRDefault="00093341" w:rsidP="00AC225D">
      <w:pPr>
        <w:pStyle w:val="Zwischenberschrift"/>
        <w:spacing w:before="360"/>
      </w:pPr>
      <w:r w:rsidRPr="00F4161F">
        <w:t>Erläuterung</w:t>
      </w:r>
    </w:p>
    <w:p w:rsidR="00E0096A" w:rsidRDefault="00E0096A" w:rsidP="00AC225D">
      <w:pPr>
        <w:pStyle w:val="Text"/>
        <w:ind w:firstLine="0"/>
      </w:pPr>
      <w:r>
        <w:t xml:space="preserve">Zeile 1 gibt den Namen der Funktion an, der als Parameter </w:t>
      </w:r>
      <w:r>
        <w:rPr>
          <w:i/>
          <w:iCs/>
        </w:rPr>
        <w:t>R</w:t>
      </w:r>
      <w:r>
        <w:t>, die Realisierung, übergeben wird.</w:t>
      </w:r>
    </w:p>
    <w:p w:rsidR="00E0096A" w:rsidRDefault="00E0096A" w:rsidP="00E0096A">
      <w:pPr>
        <w:pStyle w:val="Text"/>
      </w:pPr>
      <w:r>
        <w:t xml:space="preserve">In Zeile 2 wird die Funktion </w:t>
      </w:r>
      <w:r w:rsidRPr="00BA0CE6">
        <w:rPr>
          <w:i/>
        </w:rPr>
        <w:t>Schema</w:t>
      </w:r>
      <w:r>
        <w:t xml:space="preserve"> </w:t>
      </w:r>
      <w:r w:rsidR="00B25A91">
        <w:t xml:space="preserve">(vgl. nächster Abschnitt) </w:t>
      </w:r>
      <w:r>
        <w:t xml:space="preserve">aufgerufen, der als Parameter </w:t>
      </w:r>
      <w:r>
        <w:rPr>
          <w:i/>
          <w:iCs/>
        </w:rPr>
        <w:t>R</w:t>
      </w:r>
      <w:r>
        <w:t xml:space="preserve"> übergeben wird, und ihr Rückgabewert in die Variable </w:t>
      </w:r>
      <w:r>
        <w:rPr>
          <w:i/>
        </w:rPr>
        <w:t>S*</w:t>
      </w:r>
      <w:r>
        <w:t xml:space="preserve"> gespeichert.</w:t>
      </w:r>
    </w:p>
    <w:p w:rsidR="00E0096A" w:rsidRDefault="00E0096A" w:rsidP="00E0096A">
      <w:pPr>
        <w:pStyle w:val="Text"/>
      </w:pPr>
      <w:r>
        <w:t xml:space="preserve">In Zeile 3 wird die Funktion </w:t>
      </w:r>
      <w:r w:rsidRPr="00BA0CE6">
        <w:rPr>
          <w:i/>
        </w:rPr>
        <w:t>Merkmalsregeln_auslesen</w:t>
      </w:r>
      <w:r>
        <w:t xml:space="preserve"> </w:t>
      </w:r>
      <w:r w:rsidR="00B25A91">
        <w:t xml:space="preserve">(vgl. Abschnitt </w:t>
      </w:r>
      <w:r w:rsidR="005D7996">
        <w:fldChar w:fldCharType="begin"/>
      </w:r>
      <w:r w:rsidR="00B25A91">
        <w:instrText xml:space="preserve"> REF _Ref254084330 \r \h </w:instrText>
      </w:r>
      <w:r w:rsidR="005D7996">
        <w:fldChar w:fldCharType="separate"/>
      </w:r>
      <w:r w:rsidR="001231D3">
        <w:t>5.5.3</w:t>
      </w:r>
      <w:r w:rsidR="005D7996">
        <w:fldChar w:fldCharType="end"/>
      </w:r>
      <w:r w:rsidR="00B25A91">
        <w:t>) aufgerufen</w:t>
      </w:r>
      <w:r>
        <w:t xml:space="preserve">, der als Parameter </w:t>
      </w:r>
      <w:r>
        <w:rPr>
          <w:i/>
          <w:iCs/>
        </w:rPr>
        <w:t>R</w:t>
      </w:r>
      <w:r>
        <w:t xml:space="preserve">, die Realisierung, und </w:t>
      </w:r>
      <w:r>
        <w:rPr>
          <w:i/>
          <w:iCs/>
        </w:rPr>
        <w:t>S*</w:t>
      </w:r>
      <w:r>
        <w:t xml:space="preserve">, das Schema, dem die Realisierung angehört, übergeben werden, und ihr Rückgabewert in die Variable </w:t>
      </w:r>
      <w:r w:rsidRPr="00752282">
        <w:rPr>
          <w:i/>
        </w:rPr>
        <w:t>B</w:t>
      </w:r>
      <w:r>
        <w:t xml:space="preserve"> gespeichert.</w:t>
      </w:r>
    </w:p>
    <w:p w:rsidR="00E0096A" w:rsidRDefault="00E0096A" w:rsidP="00E0096A">
      <w:pPr>
        <w:pStyle w:val="Text"/>
      </w:pPr>
      <w:r>
        <w:t xml:space="preserve">In Zeile 4 wird die Funktion </w:t>
      </w:r>
      <w:r w:rsidRPr="00BA0CE6">
        <w:rPr>
          <w:i/>
        </w:rPr>
        <w:t>Interpretation</w:t>
      </w:r>
      <w:r>
        <w:t xml:space="preserve"> </w:t>
      </w:r>
      <w:r w:rsidR="00B25A91">
        <w:t xml:space="preserve">(vgl. Abschnitt </w:t>
      </w:r>
      <w:r w:rsidR="005D7996">
        <w:fldChar w:fldCharType="begin"/>
      </w:r>
      <w:r w:rsidR="00B25A91">
        <w:instrText xml:space="preserve"> REF _Ref255767436 \r \h </w:instrText>
      </w:r>
      <w:r w:rsidR="005D7996">
        <w:fldChar w:fldCharType="separate"/>
      </w:r>
      <w:r w:rsidR="001231D3">
        <w:t>7.2.1</w:t>
      </w:r>
      <w:r w:rsidR="005D7996">
        <w:fldChar w:fldCharType="end"/>
      </w:r>
      <w:r w:rsidR="00B25A91">
        <w:t xml:space="preserve">) </w:t>
      </w:r>
      <w:r>
        <w:t>aufger</w:t>
      </w:r>
      <w:r>
        <w:t>u</w:t>
      </w:r>
      <w:r>
        <w:t>fen,</w:t>
      </w:r>
      <w:r w:rsidRPr="00FB7927">
        <w:t xml:space="preserve"> </w:t>
      </w:r>
      <w:r>
        <w:t xml:space="preserve">der als Parameter </w:t>
      </w:r>
      <w:r>
        <w:rPr>
          <w:i/>
          <w:iCs/>
        </w:rPr>
        <w:t>B</w:t>
      </w:r>
      <w:r>
        <w:t xml:space="preserve">, die Menge der Merkmalsregeln, und </w:t>
      </w:r>
      <w:r>
        <w:rPr>
          <w:i/>
          <w:iCs/>
        </w:rPr>
        <w:t>S*</w:t>
      </w:r>
      <w:r>
        <w:t xml:space="preserve"> übergeben we</w:t>
      </w:r>
      <w:r>
        <w:t>r</w:t>
      </w:r>
      <w:r>
        <w:t xml:space="preserve">den, und ihr Rückgabewert in die Variable </w:t>
      </w:r>
      <w:r>
        <w:rPr>
          <w:i/>
        </w:rPr>
        <w:t>I</w:t>
      </w:r>
      <w:r>
        <w:t xml:space="preserve"> gespeichert.</w:t>
      </w:r>
    </w:p>
    <w:p w:rsidR="00E0096A" w:rsidRDefault="00E0096A" w:rsidP="00E0096A">
      <w:pPr>
        <w:pStyle w:val="Text"/>
      </w:pPr>
      <w:r>
        <w:t>In Zeile 5 wird die Paarvariable</w:t>
      </w:r>
      <w:r w:rsidR="005D7996">
        <w:fldChar w:fldCharType="begin"/>
      </w:r>
      <w:r w:rsidR="00D84336">
        <w:instrText xml:space="preserve"> XE "</w:instrText>
      </w:r>
      <w:r w:rsidR="00D84336" w:rsidRPr="00AB3E17">
        <w:instrText>Paarvariable</w:instrText>
      </w:r>
      <w:r w:rsidR="00D84336">
        <w:instrText xml:space="preserve">" </w:instrText>
      </w:r>
      <w:r w:rsidR="005D7996">
        <w:fldChar w:fldCharType="end"/>
      </w:r>
      <w:r>
        <w:t xml:space="preserve"> </w:t>
      </w:r>
      <w:r w:rsidRPr="00E0096A">
        <w:rPr>
          <w:i/>
        </w:rPr>
        <w:t>St</w:t>
      </w:r>
      <w:r>
        <w:t xml:space="preserve"> definiert</w:t>
      </w:r>
      <w:r w:rsidRPr="00DB0613">
        <w:t xml:space="preserve">, </w:t>
      </w:r>
      <w:r w:rsidR="00B83E53">
        <w:t xml:space="preserve">deren erste </w:t>
      </w:r>
      <w:r w:rsidR="00ED25AD">
        <w:t xml:space="preserve">Komponente </w:t>
      </w:r>
      <w:r w:rsidR="00B83E53">
        <w:t xml:space="preserve">die Menge der Merkmalsregeln </w:t>
      </w:r>
      <w:r w:rsidR="00B83E53">
        <w:rPr>
          <w:i/>
          <w:iCs/>
        </w:rPr>
        <w:t>B</w:t>
      </w:r>
      <w:r w:rsidR="00B83E53">
        <w:t xml:space="preserve"> und deren zweite </w:t>
      </w:r>
      <w:r w:rsidR="00ED25AD">
        <w:t xml:space="preserve">Komponente </w:t>
      </w:r>
      <w:r w:rsidR="00B83E53">
        <w:t xml:space="preserve">die Interpretation </w:t>
      </w:r>
      <w:r w:rsidR="00B83E53" w:rsidRPr="00B83E53">
        <w:rPr>
          <w:i/>
        </w:rPr>
        <w:t>I</w:t>
      </w:r>
      <w:r w:rsidR="00B83E53">
        <w:t xml:space="preserve"> enthält.</w:t>
      </w:r>
    </w:p>
    <w:p w:rsidR="00E0096A" w:rsidRDefault="00E0096A" w:rsidP="00E0096A">
      <w:pPr>
        <w:pStyle w:val="Text"/>
      </w:pPr>
      <w:r>
        <w:t xml:space="preserve">In Zeile </w:t>
      </w:r>
      <w:r w:rsidR="00B83E53">
        <w:t>6</w:t>
      </w:r>
      <w:r>
        <w:t xml:space="preserve"> wird </w:t>
      </w:r>
      <w:r w:rsidR="00B83E53">
        <w:rPr>
          <w:i/>
          <w:iCs/>
        </w:rPr>
        <w:t>St</w:t>
      </w:r>
      <w:r>
        <w:t xml:space="preserve"> zurückgegeben.</w:t>
      </w:r>
    </w:p>
    <w:p w:rsidR="00E0096A" w:rsidRPr="00045830" w:rsidRDefault="00E0096A" w:rsidP="00E0096A">
      <w:pPr>
        <w:pStyle w:val="Text"/>
      </w:pPr>
      <w:r>
        <w:t xml:space="preserve">In Zeile </w:t>
      </w:r>
      <w:r w:rsidR="00B83E53">
        <w:t>7</w:t>
      </w:r>
      <w:r>
        <w:t xml:space="preserve"> wird die Funktion beendet.</w:t>
      </w:r>
    </w:p>
    <w:p w:rsidR="0069639F" w:rsidRPr="00E0096A" w:rsidRDefault="0069639F" w:rsidP="00AC225D">
      <w:pPr>
        <w:pStyle w:val="Text"/>
        <w:spacing w:before="240"/>
        <w:ind w:firstLine="0"/>
      </w:pPr>
      <w:r>
        <w:t xml:space="preserve">Der Input der Funktion, die Variable </w:t>
      </w:r>
      <w:r w:rsidRPr="00C00413">
        <w:rPr>
          <w:i/>
        </w:rPr>
        <w:t>R</w:t>
      </w:r>
      <w:r>
        <w:t>, kann auch mehrere Realisierungen en</w:t>
      </w:r>
      <w:r>
        <w:t>t</w:t>
      </w:r>
      <w:r>
        <w:t xml:space="preserve">halten. Werden mehrere Stile gleichzeitig untersucht, nehmen wir einfach an, dass die betrachteten Realisierungen in eine Variable </w:t>
      </w:r>
      <w:r w:rsidRPr="0043614B">
        <w:rPr>
          <w:i/>
        </w:rPr>
        <w:t>R</w:t>
      </w:r>
      <w:r>
        <w:t xml:space="preserve"> zusammengefügt we</w:t>
      </w:r>
      <w:r>
        <w:t>r</w:t>
      </w:r>
      <w:r>
        <w:t>den.</w:t>
      </w:r>
      <w:r>
        <w:rPr>
          <w:rStyle w:val="Funotenzeichen"/>
        </w:rPr>
        <w:footnoteReference w:id="531"/>
      </w:r>
    </w:p>
    <w:p w:rsidR="00D02FAD" w:rsidRDefault="0069639F">
      <w:pPr>
        <w:pStyle w:val="Text"/>
      </w:pPr>
      <w:r>
        <w:t>Der Output der Funktion, d</w:t>
      </w:r>
      <w:r w:rsidR="009A1757">
        <w:t xml:space="preserve">ie </w:t>
      </w:r>
      <w:r w:rsidR="00610D6F">
        <w:t xml:space="preserve">Variable </w:t>
      </w:r>
      <w:r w:rsidR="00610D6F" w:rsidRPr="00610D6F">
        <w:rPr>
          <w:i/>
        </w:rPr>
        <w:t>St</w:t>
      </w:r>
      <w:r>
        <w:t xml:space="preserve">, </w:t>
      </w:r>
      <w:r w:rsidR="00C95D7A">
        <w:t>beinhaltet die Resultate de</w:t>
      </w:r>
      <w:r w:rsidR="007B7A3D">
        <w:t>r beim Wahrnehmen von Stil ablaufenden Zeichenprozesse</w:t>
      </w:r>
      <w:r w:rsidR="00A927C6">
        <w:t>, nämlich</w:t>
      </w:r>
      <w:r w:rsidR="007B7A3D">
        <w:t xml:space="preserve"> </w:t>
      </w:r>
      <w:r w:rsidR="00C95D7A">
        <w:t xml:space="preserve">eine Menge an Merkmalsregeln </w:t>
      </w:r>
      <w:r w:rsidR="00C95D7A" w:rsidRPr="00C95D7A">
        <w:rPr>
          <w:i/>
        </w:rPr>
        <w:t>B</w:t>
      </w:r>
      <w:r w:rsidR="00C95D7A">
        <w:t xml:space="preserve"> und eine Interpretation</w:t>
      </w:r>
      <w:r w:rsidR="007B7A3D">
        <w:t xml:space="preserve"> </w:t>
      </w:r>
      <w:r w:rsidR="007B7A3D" w:rsidRPr="007B7A3D">
        <w:rPr>
          <w:i/>
        </w:rPr>
        <w:t>I</w:t>
      </w:r>
      <w:r w:rsidR="00A05AF9">
        <w:t>.</w:t>
      </w:r>
      <w:r w:rsidR="00B70C8D">
        <w:t xml:space="preserve"> </w:t>
      </w:r>
      <w:r w:rsidR="00C95D7A">
        <w:t xml:space="preserve">Dabei </w:t>
      </w:r>
      <w:r w:rsidR="00D02FAD">
        <w:t xml:space="preserve">ist </w:t>
      </w:r>
      <w:r w:rsidR="00C95D7A" w:rsidRPr="00C95D7A">
        <w:rPr>
          <w:i/>
        </w:rPr>
        <w:t>B</w:t>
      </w:r>
      <w:r w:rsidR="00C95D7A">
        <w:t xml:space="preserve"> </w:t>
      </w:r>
      <w:r w:rsidR="00D02FAD">
        <w:t>ein</w:t>
      </w:r>
      <w:r w:rsidR="00A359F8">
        <w:t>e Menge von Mer</w:t>
      </w:r>
      <w:r w:rsidR="00A359F8">
        <w:t>k</w:t>
      </w:r>
      <w:r w:rsidR="00A359F8">
        <w:t xml:space="preserve">malsregeln, die aufgrund </w:t>
      </w:r>
      <w:r w:rsidR="00D02FAD">
        <w:t xml:space="preserve">der </w:t>
      </w:r>
      <w:r w:rsidR="00C95D7A">
        <w:t>Wahrnehmung stilistische</w:t>
      </w:r>
      <w:r w:rsidR="00854A12">
        <w:t>r</w:t>
      </w:r>
      <w:r w:rsidR="00C95D7A">
        <w:t xml:space="preserve"> Merkmale (dem Ze</w:t>
      </w:r>
      <w:r w:rsidR="00C95D7A">
        <w:t>i</w:t>
      </w:r>
      <w:r w:rsidR="00C95D7A">
        <w:t>chenträger des stilistischen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rsidR="00C95D7A">
        <w:t xml:space="preserve">) </w:t>
      </w:r>
      <w:r w:rsidR="00A359F8">
        <w:t xml:space="preserve">aus </w:t>
      </w:r>
      <w:r w:rsidR="00D02FAD" w:rsidRPr="00D02FAD">
        <w:rPr>
          <w:i/>
        </w:rPr>
        <w:t>R</w:t>
      </w:r>
      <w:r w:rsidR="00D02FAD">
        <w:t xml:space="preserve"> </w:t>
      </w:r>
      <w:r w:rsidR="00A359F8">
        <w:t>ausgelesen wurden</w:t>
      </w:r>
      <w:r w:rsidR="00D02FAD">
        <w:t>,</w:t>
      </w:r>
      <w:r w:rsidR="00C95D7A">
        <w:t xml:space="preserve"> und </w:t>
      </w:r>
      <w:r w:rsidR="00A05AF9" w:rsidRPr="007B7A3D">
        <w:rPr>
          <w:i/>
        </w:rPr>
        <w:t>I</w:t>
      </w:r>
      <w:r w:rsidR="00A05AF9">
        <w:t xml:space="preserve"> eine Me</w:t>
      </w:r>
      <w:r w:rsidR="00A05AF9">
        <w:t>n</w:t>
      </w:r>
      <w:r w:rsidR="00A05AF9">
        <w:t>ge von Ergebnissen, die in einer Stilinterpretation erzeugt wurden.</w:t>
      </w:r>
      <w:r w:rsidR="00A05AF9">
        <w:rPr>
          <w:rStyle w:val="Funotenzeichen"/>
        </w:rPr>
        <w:footnoteReference w:id="532"/>
      </w:r>
      <w:r w:rsidR="00A05AF9">
        <w:t xml:space="preserve"> </w:t>
      </w:r>
      <w:r w:rsidR="00D02FAD">
        <w:t>Die Varia</w:t>
      </w:r>
      <w:r w:rsidR="00D02FAD">
        <w:t>b</w:t>
      </w:r>
      <w:r w:rsidR="00D02FAD">
        <w:t xml:space="preserve">le </w:t>
      </w:r>
      <w:r w:rsidR="00D02FAD" w:rsidRPr="00D02FAD">
        <w:rPr>
          <w:i/>
        </w:rPr>
        <w:t>St</w:t>
      </w:r>
      <w:r w:rsidR="00D02FAD">
        <w:t xml:space="preserve"> </w:t>
      </w:r>
      <w:r w:rsidR="00610D6F">
        <w:t xml:space="preserve">umfasst </w:t>
      </w:r>
      <w:r w:rsidR="00D02FAD">
        <w:t>somit alles</w:t>
      </w:r>
      <w:r w:rsidR="00610D6F">
        <w:t>, was in einem Stilbetrachter bei</w:t>
      </w:r>
      <w:r w:rsidR="00854A12">
        <w:t xml:space="preserve">m Wahrnehmen </w:t>
      </w:r>
      <w:r w:rsidR="00D02FAD">
        <w:t>eines Stils entsteht.</w:t>
      </w:r>
    </w:p>
    <w:p w:rsidR="00827395" w:rsidRDefault="00827395" w:rsidP="00507C64">
      <w:pPr>
        <w:pStyle w:val="Text"/>
      </w:pPr>
      <w:r>
        <w:lastRenderedPageBreak/>
        <w:t xml:space="preserve">Eine Menge </w:t>
      </w:r>
      <w:r w:rsidRPr="00555591">
        <w:rPr>
          <w:i/>
        </w:rPr>
        <w:t>B</w:t>
      </w:r>
      <w:r>
        <w:t xml:space="preserve">, die von der Funktion </w:t>
      </w:r>
      <w:r w:rsidRPr="00623ECF">
        <w:rPr>
          <w:i/>
        </w:rPr>
        <w:t>Stil_</w:t>
      </w:r>
      <w:r w:rsidR="001D49E8">
        <w:rPr>
          <w:i/>
        </w:rPr>
        <w:t>auslesen</w:t>
      </w:r>
      <w:r>
        <w:t xml:space="preserve"> </w:t>
      </w:r>
      <w:r w:rsidR="001D49E8">
        <w:t xml:space="preserve">erzeugt wurde, ist ein Stil, der </w:t>
      </w:r>
      <w:r w:rsidR="00451F4E">
        <w:t xml:space="preserve">bei der Betrachtung einer Realisierung wahrgenommen wird, </w:t>
      </w:r>
      <w:r>
        <w:t>und soll daher als „</w:t>
      </w:r>
      <w:r w:rsidR="001D49E8">
        <w:t>Wahrnehmerstil</w:t>
      </w:r>
      <w:r w:rsidR="005D7996">
        <w:fldChar w:fldCharType="begin"/>
      </w:r>
      <w:r w:rsidR="002B7A78">
        <w:instrText xml:space="preserve"> XE "</w:instrText>
      </w:r>
      <w:r w:rsidR="002B7A78" w:rsidRPr="00CF4E55">
        <w:instrText>Wahrnehmerstil</w:instrText>
      </w:r>
      <w:r w:rsidR="002B7A78">
        <w:instrText xml:space="preserve">" </w:instrText>
      </w:r>
      <w:r w:rsidR="005D7996">
        <w:fldChar w:fldCharType="end"/>
      </w:r>
      <w:r>
        <w:t xml:space="preserve">“ bezeichnet werden. Zusammen mit einer </w:t>
      </w:r>
      <w:r w:rsidR="001D49E8">
        <w:t xml:space="preserve">daraus erzeugten </w:t>
      </w:r>
      <w:r>
        <w:t xml:space="preserve">Interpretation </w:t>
      </w:r>
      <w:r w:rsidRPr="00555591">
        <w:rPr>
          <w:i/>
        </w:rPr>
        <w:t>I</w:t>
      </w:r>
      <w:r>
        <w:t xml:space="preserve"> handelt es sich um einen „interpretierten</w:t>
      </w:r>
      <w:r w:rsidRPr="00623ECF">
        <w:t xml:space="preserve"> </w:t>
      </w:r>
      <w:r w:rsidR="001D49E8">
        <w:t>Wahrnehmerstil</w:t>
      </w:r>
      <w:r w:rsidR="005D7996">
        <w:fldChar w:fldCharType="begin"/>
      </w:r>
      <w:r w:rsidR="002B7A78">
        <w:instrText xml:space="preserve"> XE "</w:instrText>
      </w:r>
      <w:r w:rsidR="002B7A78" w:rsidRPr="00516127">
        <w:instrText>Wahrnehmerstil</w:instrText>
      </w:r>
      <w:r w:rsidR="00534F7E">
        <w:instrText>:</w:instrText>
      </w:r>
      <w:r w:rsidR="00534F7E" w:rsidRPr="00516127">
        <w:instrText>interpretierter</w:instrText>
      </w:r>
      <w:r w:rsidR="002B7A78">
        <w:instrText xml:space="preserve">" </w:instrText>
      </w:r>
      <w:r w:rsidR="005D7996">
        <w:fldChar w:fldCharType="end"/>
      </w:r>
      <w:r>
        <w:t>“</w:t>
      </w:r>
      <w:r w:rsidR="001D49E8">
        <w:t>.</w:t>
      </w:r>
      <w:r>
        <w:rPr>
          <w:rStyle w:val="Funotenzeichen"/>
        </w:rPr>
        <w:footnoteReference w:id="533"/>
      </w:r>
      <w:r w:rsidR="00A05AF9" w:rsidRPr="00A05AF9">
        <w:t xml:space="preserve"> </w:t>
      </w:r>
      <w:r w:rsidR="00A05AF9">
        <w:t xml:space="preserve">Die </w:t>
      </w:r>
      <w:r w:rsidR="00A359F8">
        <w:t xml:space="preserve">von der Funktion </w:t>
      </w:r>
      <w:r w:rsidR="00336DDE" w:rsidRPr="00336DDE">
        <w:rPr>
          <w:i/>
        </w:rPr>
        <w:t>Stil_wahrnehmen</w:t>
      </w:r>
      <w:r w:rsidR="00336DDE">
        <w:t xml:space="preserve"> </w:t>
      </w:r>
      <w:r w:rsidR="00A359F8">
        <w:t xml:space="preserve">zurückgegebene </w:t>
      </w:r>
      <w:r w:rsidR="00A05AF9">
        <w:t xml:space="preserve">Variable </w:t>
      </w:r>
      <w:r w:rsidR="00A359F8" w:rsidRPr="003F5A1D">
        <w:rPr>
          <w:i/>
        </w:rPr>
        <w:t>St</w:t>
      </w:r>
      <w:r w:rsidR="00A05AF9" w:rsidRPr="00A05AF9">
        <w:t xml:space="preserve"> </w:t>
      </w:r>
      <w:r w:rsidR="00A05AF9">
        <w:t>enthält s</w:t>
      </w:r>
      <w:r w:rsidR="00A05AF9">
        <w:t>o</w:t>
      </w:r>
      <w:r w:rsidR="00A05AF9">
        <w:t>mit einen interpretierten Wahrnehmerstil.</w:t>
      </w:r>
    </w:p>
    <w:p w:rsidR="00CD7217" w:rsidRDefault="00B25A91" w:rsidP="00CD7217">
      <w:pPr>
        <w:pStyle w:val="Titel3"/>
      </w:pPr>
      <w:bookmarkStart w:id="421" w:name="_Ref269048814"/>
      <w:bookmarkStart w:id="422" w:name="_Toc325456804"/>
      <w:bookmarkStart w:id="423" w:name="Schema4"/>
      <w:r>
        <w:t>Die Funktion Schema</w:t>
      </w:r>
      <w:bookmarkEnd w:id="421"/>
      <w:bookmarkEnd w:id="422"/>
    </w:p>
    <w:p w:rsidR="00507C64" w:rsidRDefault="005D7996" w:rsidP="00AC225D">
      <w:pPr>
        <w:pStyle w:val="Text"/>
        <w:ind w:firstLine="0"/>
      </w:pPr>
      <w:r>
        <w:fldChar w:fldCharType="begin"/>
      </w:r>
      <w:r w:rsidR="000C356B">
        <w:instrText xml:space="preserve"> XE "Schema:</w:instrText>
      </w:r>
      <w:r w:rsidR="000C356B" w:rsidRPr="00571C64">
        <w:rPr>
          <w:i/>
        </w:rPr>
        <w:instrText>Funktion</w:instrText>
      </w:r>
      <w:r w:rsidR="000C356B">
        <w:instrText xml:space="preserve">" \r "Schema4" </w:instrText>
      </w:r>
      <w:r>
        <w:fldChar w:fldCharType="end"/>
      </w:r>
      <w:r w:rsidR="008B2986">
        <w:t xml:space="preserve">Beim </w:t>
      </w:r>
      <w:r w:rsidR="00663B18">
        <w:t xml:space="preserve">Wahrnehmen </w:t>
      </w:r>
      <w:r w:rsidR="008B2986">
        <w:t xml:space="preserve">eines Stils </w:t>
      </w:r>
      <w:r w:rsidR="007A0716">
        <w:t xml:space="preserve">(s. letzter Abschnitt) </w:t>
      </w:r>
      <w:r w:rsidR="008B2986">
        <w:t>wird das Schema der Real</w:t>
      </w:r>
      <w:r w:rsidR="008B2986">
        <w:t>i</w:t>
      </w:r>
      <w:r w:rsidR="008B2986">
        <w:t>sierung benötigt</w:t>
      </w:r>
      <w:r w:rsidR="007A0716">
        <w:t xml:space="preserve">. Dieses ist sowohl für das Auslesen der </w:t>
      </w:r>
      <w:r w:rsidR="008B2986">
        <w:t xml:space="preserve">Merkmalsregeln </w:t>
      </w:r>
      <w:r w:rsidR="007A0716">
        <w:t xml:space="preserve">als auch für die Interpretation erforderlich. </w:t>
      </w:r>
      <w:r w:rsidR="00380F2D">
        <w:t xml:space="preserve">Wir benötigen daher eine Funktion, die zu einer beliebigen Realisierung </w:t>
      </w:r>
      <w:r w:rsidR="00380F2D" w:rsidRPr="00380F2D">
        <w:rPr>
          <w:i/>
        </w:rPr>
        <w:t>R</w:t>
      </w:r>
      <w:r w:rsidR="00380F2D">
        <w:t xml:space="preserve"> das Schema </w:t>
      </w:r>
      <w:r w:rsidR="00380F2D" w:rsidRPr="00380F2D">
        <w:rPr>
          <w:i/>
        </w:rPr>
        <w:t>S*</w:t>
      </w:r>
      <w:r w:rsidR="00380F2D">
        <w:t xml:space="preserve"> findet, dem diese angehört.</w:t>
      </w:r>
    </w:p>
    <w:p w:rsidR="00507C64" w:rsidRDefault="00507C64" w:rsidP="00AC225D">
      <w:pPr>
        <w:pStyle w:val="Text"/>
        <w:keepNext/>
        <w:spacing w:before="360"/>
        <w:ind w:firstLine="0"/>
        <w:jc w:val="left"/>
      </w:pPr>
      <w:r w:rsidRPr="00AA025E">
        <w:t>function Schema (</w:t>
      </w:r>
      <w:r>
        <w:rPr>
          <w:i/>
        </w:rPr>
        <w:t>R</w:t>
      </w:r>
      <w:r w:rsidRPr="00AA025E">
        <w:t>)</w:t>
      </w:r>
    </w:p>
    <w:p w:rsidR="00507C64" w:rsidRPr="009610B4" w:rsidRDefault="00507C64" w:rsidP="00A068B7">
      <w:pPr>
        <w:pStyle w:val="Text"/>
        <w:ind w:firstLine="0"/>
        <w:jc w:val="left"/>
      </w:pPr>
      <w:r w:rsidRPr="00B04998">
        <w:rPr>
          <w:color w:val="000000" w:themeColor="text1"/>
        </w:rPr>
        <w:t xml:space="preserve">   </w:t>
      </w:r>
      <w:r w:rsidRPr="009610B4">
        <w:rPr>
          <w:i/>
          <w:color w:val="000000" w:themeColor="text1"/>
        </w:rPr>
        <w:t>S</w:t>
      </w:r>
      <w:r w:rsidR="00EF743C">
        <w:rPr>
          <w:i/>
          <w:color w:val="000000" w:themeColor="text1"/>
        </w:rPr>
        <w:t>'</w:t>
      </w:r>
      <w:r w:rsidRPr="009610B4">
        <w:rPr>
          <w:color w:val="000000" w:themeColor="text1"/>
        </w:rPr>
        <w:t xml:space="preserve"> := </w:t>
      </w:r>
      <w:r w:rsidRPr="00DB2911">
        <w:rPr>
          <w:color w:val="000000" w:themeColor="text1"/>
          <w:position w:val="-6"/>
        </w:rPr>
        <w:object w:dxaOrig="260" w:dyaOrig="279">
          <v:shape id="_x0000_i1058" type="#_x0000_t75" style="width:14pt;height:13.6pt" o:ole="">
            <v:imagedata r:id="rId70" o:title=""/>
          </v:shape>
          <o:OLEObject Type="Embed" ProgID="Equation.3" ShapeID="_x0000_i1058" DrawAspect="Content" ObjectID="_1460983899" r:id="rId79"/>
        </w:object>
      </w:r>
    </w:p>
    <w:p w:rsidR="00507C64" w:rsidRPr="009610B4" w:rsidRDefault="004654AA" w:rsidP="00A068B7">
      <w:pPr>
        <w:pStyle w:val="Text"/>
        <w:ind w:left="567" w:hanging="567"/>
        <w:jc w:val="left"/>
      </w:pPr>
      <w:r>
        <w:rPr>
          <w:lang w:val="it-IT"/>
        </w:rPr>
        <w:t xml:space="preserve">   </w:t>
      </w:r>
      <w:r w:rsidRPr="00D85A75">
        <w:rPr>
          <w:i/>
        </w:rPr>
        <w:t>S</w:t>
      </w:r>
      <w:r>
        <w:rPr>
          <w:lang w:val="it-IT"/>
        </w:rPr>
        <w:t xml:space="preserve"> = </w:t>
      </w:r>
      <w:r>
        <w:t>{</w:t>
      </w:r>
      <w:r>
        <w:rPr>
          <w:lang w:val="it-IT"/>
        </w:rPr>
        <w:t>&lt;</w:t>
      </w:r>
      <w:r w:rsidRPr="0065440B">
        <w:rPr>
          <w:i/>
          <w:lang w:val="it-IT"/>
        </w:rPr>
        <w:t>N</w:t>
      </w:r>
      <w:r>
        <w:rPr>
          <w:lang w:val="it-IT"/>
        </w:rPr>
        <w:t xml:space="preserve">, </w:t>
      </w:r>
      <w:r>
        <w:rPr>
          <w:i/>
          <w:lang w:val="it-IT"/>
        </w:rPr>
        <w:t>So</w:t>
      </w:r>
      <w:r>
        <w:rPr>
          <w:lang w:val="it-IT"/>
        </w:rPr>
        <w:t xml:space="preserve">, </w:t>
      </w:r>
      <w:r>
        <w:rPr>
          <w:i/>
          <w:lang w:val="it-IT"/>
        </w:rPr>
        <w:t>O</w:t>
      </w:r>
      <w:r>
        <w:rPr>
          <w:lang w:val="it-IT"/>
        </w:rPr>
        <w:t xml:space="preserve">&gt;} = </w:t>
      </w:r>
      <w:r>
        <w:t>{</w:t>
      </w:r>
      <w:r>
        <w:rPr>
          <w:lang w:val="it-IT"/>
        </w:rPr>
        <w:t>&lt;</w:t>
      </w:r>
      <w:r w:rsidRPr="0065440B">
        <w:rPr>
          <w:i/>
          <w:lang w:val="it-IT"/>
        </w:rPr>
        <w:t>N</w:t>
      </w:r>
      <w:r>
        <w:rPr>
          <w:lang w:val="it-IT"/>
        </w:rPr>
        <w:t xml:space="preserve">, </w:t>
      </w:r>
      <w:r>
        <w:rPr>
          <w:i/>
          <w:lang w:val="it-IT"/>
        </w:rPr>
        <w:t>So</w:t>
      </w:r>
      <w:r>
        <w:rPr>
          <w:lang w:val="it-IT"/>
        </w:rPr>
        <w:t>, {&lt;</w:t>
      </w:r>
      <w:r>
        <w:rPr>
          <w:i/>
          <w:lang w:val="it-IT"/>
        </w:rPr>
        <w:t>Ob</w:t>
      </w:r>
      <w:r>
        <w:rPr>
          <w:lang w:val="it-IT"/>
        </w:rPr>
        <w:t xml:space="preserve">, </w:t>
      </w:r>
      <w:r>
        <w:rPr>
          <w:i/>
          <w:lang w:val="it-IT"/>
        </w:rPr>
        <w:t>Zb</w:t>
      </w:r>
      <w:r>
        <w:rPr>
          <w:lang w:val="it-IT"/>
        </w:rPr>
        <w:t xml:space="preserve">&gt;}&gt;} := </w:t>
      </w:r>
      <w:r w:rsidRPr="009610B4">
        <w:t>Schem</w:t>
      </w:r>
      <w:r w:rsidRPr="009610B4">
        <w:t>a</w:t>
      </w:r>
      <w:r w:rsidRPr="009610B4">
        <w:t>ta_zusammenstellen ()</w:t>
      </w:r>
    </w:p>
    <w:p w:rsidR="00507C64" w:rsidRPr="00C234FD" w:rsidRDefault="00507C64" w:rsidP="00A068B7">
      <w:pPr>
        <w:pStyle w:val="Text"/>
        <w:ind w:firstLine="0"/>
        <w:jc w:val="left"/>
        <w:rPr>
          <w:lang w:val="en-US"/>
        </w:rPr>
      </w:pPr>
      <w:r w:rsidRPr="00D36DE4">
        <w:t xml:space="preserve">   </w:t>
      </w:r>
      <w:r w:rsidRPr="00C234FD">
        <w:rPr>
          <w:lang w:val="en-US"/>
        </w:rPr>
        <w:t xml:space="preserve">for </w:t>
      </w:r>
      <w:r w:rsidRPr="00C234FD">
        <w:rPr>
          <w:i/>
          <w:lang w:val="en-US"/>
        </w:rPr>
        <w:t>i</w:t>
      </w:r>
      <w:r w:rsidRPr="00C234FD">
        <w:rPr>
          <w:lang w:val="en-US"/>
        </w:rPr>
        <w:t xml:space="preserve"> := 1 to |</w:t>
      </w:r>
      <w:r w:rsidRPr="00C234FD">
        <w:rPr>
          <w:i/>
          <w:lang w:val="en-US"/>
        </w:rPr>
        <w:t>S</w:t>
      </w:r>
      <w:r w:rsidRPr="00C234FD">
        <w:rPr>
          <w:lang w:val="en-US"/>
        </w:rPr>
        <w:t>|</w:t>
      </w:r>
    </w:p>
    <w:p w:rsidR="00DA05F5" w:rsidRPr="00752282" w:rsidRDefault="00887B9A" w:rsidP="001B5B3C">
      <w:pPr>
        <w:pStyle w:val="Text"/>
        <w:ind w:hanging="369"/>
        <w:jc w:val="left"/>
        <w:rPr>
          <w:color w:val="000000" w:themeColor="text1"/>
          <w:lang w:val="en-US"/>
        </w:rPr>
      </w:pPr>
      <w:r w:rsidRPr="00A068B7">
        <w:rPr>
          <w:sz w:val="16"/>
          <w:szCs w:val="16"/>
          <w:lang w:val="en-US"/>
        </w:rPr>
        <w:t xml:space="preserve"> </w:t>
      </w:r>
      <w:r w:rsidR="00DA05F5" w:rsidRPr="00A068B7">
        <w:rPr>
          <w:sz w:val="16"/>
          <w:szCs w:val="16"/>
          <w:lang w:val="en-US"/>
        </w:rPr>
        <w:t>5</w:t>
      </w:r>
      <w:r w:rsidR="00DA05F5" w:rsidRPr="00752282">
        <w:rPr>
          <w:lang w:val="en-US"/>
        </w:rPr>
        <w:tab/>
      </w:r>
      <w:r w:rsidR="00DA05F5">
        <w:rPr>
          <w:lang w:val="en-US"/>
        </w:rPr>
        <w:t xml:space="preserve">      </w:t>
      </w:r>
      <w:r w:rsidR="00DA05F5">
        <w:rPr>
          <w:i/>
          <w:lang w:val="en-US"/>
        </w:rPr>
        <w:t>R</w:t>
      </w:r>
      <w:r w:rsidR="00EF743C">
        <w:rPr>
          <w:i/>
          <w:lang w:val="en-US"/>
        </w:rPr>
        <w:t>'</w:t>
      </w:r>
      <w:r w:rsidR="00DA05F5">
        <w:rPr>
          <w:lang w:val="en-US"/>
        </w:rPr>
        <w:t xml:space="preserve"> := </w:t>
      </w:r>
      <w:r w:rsidR="00DA05F5" w:rsidRPr="00B100AE">
        <w:rPr>
          <w:i/>
          <w:lang w:val="en-US"/>
        </w:rPr>
        <w:t>R</w:t>
      </w:r>
    </w:p>
    <w:p w:rsidR="00507C64" w:rsidRDefault="00507C64" w:rsidP="00A068B7">
      <w:pPr>
        <w:pStyle w:val="Text"/>
        <w:ind w:firstLine="0"/>
        <w:jc w:val="left"/>
        <w:rPr>
          <w:lang w:val="en-US"/>
        </w:rPr>
      </w:pPr>
      <w:r w:rsidRPr="006D08D4">
        <w:rPr>
          <w:lang w:val="en-US"/>
        </w:rPr>
        <w:t xml:space="preserve">      for </w:t>
      </w:r>
      <w:r>
        <w:rPr>
          <w:i/>
          <w:lang w:val="en-US"/>
        </w:rPr>
        <w:t>j</w:t>
      </w:r>
      <w:r w:rsidRPr="006D08D4">
        <w:rPr>
          <w:lang w:val="en-US"/>
        </w:rPr>
        <w:t xml:space="preserve"> := 1 to |</w:t>
      </w:r>
      <w:r w:rsidRPr="007F1142">
        <w:rPr>
          <w:i/>
          <w:lang w:val="en-US"/>
        </w:rPr>
        <w:t>O</w:t>
      </w:r>
      <w:r w:rsidRPr="007F1142">
        <w:rPr>
          <w:lang w:val="en-US"/>
        </w:rPr>
        <w:t>(</w:t>
      </w:r>
      <w:r w:rsidRPr="007F1142">
        <w:rPr>
          <w:i/>
          <w:lang w:val="en-US"/>
        </w:rPr>
        <w:t>S</w:t>
      </w:r>
      <w:r w:rsidRPr="007F1142">
        <w:rPr>
          <w:i/>
          <w:vertAlign w:val="subscript"/>
          <w:lang w:val="en-US"/>
        </w:rPr>
        <w:t>i</w:t>
      </w:r>
      <w:r w:rsidRPr="007F1142">
        <w:rPr>
          <w:lang w:val="en-US"/>
        </w:rPr>
        <w:t>)</w:t>
      </w:r>
      <w:r w:rsidRPr="006D08D4">
        <w:rPr>
          <w:lang w:val="en-US"/>
        </w:rPr>
        <w:t>|</w:t>
      </w:r>
    </w:p>
    <w:p w:rsidR="00113457" w:rsidRPr="002D53E0" w:rsidRDefault="00113457" w:rsidP="00A068B7">
      <w:pPr>
        <w:pStyle w:val="Text"/>
        <w:ind w:firstLine="0"/>
        <w:jc w:val="left"/>
      </w:pPr>
      <w:r w:rsidRPr="00C234FD">
        <w:rPr>
          <w:lang w:val="en-US"/>
        </w:rPr>
        <w:t xml:space="preserve">         </w:t>
      </w:r>
      <w:r w:rsidR="00EA455F" w:rsidRPr="002D53E0">
        <w:rPr>
          <w:i/>
        </w:rPr>
        <w:t>A</w:t>
      </w:r>
      <w:r w:rsidRPr="002D53E0">
        <w:rPr>
          <w:i/>
        </w:rPr>
        <w:t>b</w:t>
      </w:r>
      <w:r w:rsidRPr="002D53E0">
        <w:t xml:space="preserve"> := </w:t>
      </w:r>
      <w:r w:rsidRPr="002D53E0">
        <w:rPr>
          <w:i/>
        </w:rPr>
        <w:t>Ob</w:t>
      </w:r>
      <w:r w:rsidRPr="002D53E0">
        <w:t>(</w:t>
      </w:r>
      <w:r w:rsidRPr="002D53E0">
        <w:rPr>
          <w:i/>
        </w:rPr>
        <w:t>O</w:t>
      </w:r>
      <w:r w:rsidRPr="002D53E0">
        <w:rPr>
          <w:i/>
          <w:vertAlign w:val="subscript"/>
        </w:rPr>
        <w:t>j</w:t>
      </w:r>
      <w:r w:rsidRPr="002D53E0">
        <w:t>(</w:t>
      </w:r>
      <w:r w:rsidRPr="002D53E0">
        <w:rPr>
          <w:i/>
        </w:rPr>
        <w:t>S</w:t>
      </w:r>
      <w:r w:rsidRPr="002D53E0">
        <w:rPr>
          <w:i/>
          <w:vertAlign w:val="subscript"/>
        </w:rPr>
        <w:t>i</w:t>
      </w:r>
      <w:r w:rsidRPr="002D53E0">
        <w:t>))</w:t>
      </w:r>
    </w:p>
    <w:p w:rsidR="00507C64" w:rsidRPr="00542ACB" w:rsidRDefault="00507C64" w:rsidP="00A068B7">
      <w:pPr>
        <w:pStyle w:val="Text"/>
        <w:ind w:firstLine="0"/>
        <w:jc w:val="left"/>
        <w:rPr>
          <w:lang w:val="en-US"/>
        </w:rPr>
      </w:pPr>
      <w:r w:rsidRPr="002D53E0">
        <w:t xml:space="preserve">         </w:t>
      </w:r>
      <w:r w:rsidRPr="002D53E0">
        <w:rPr>
          <w:i/>
        </w:rPr>
        <w:t>A</w:t>
      </w:r>
      <w:r w:rsidRPr="002D53E0">
        <w:t xml:space="preserve"> := {</w:t>
      </w:r>
      <w:r w:rsidRPr="002D53E0">
        <w:rPr>
          <w:i/>
        </w:rPr>
        <w:t>x</w:t>
      </w:r>
      <w:r w:rsidRPr="002D53E0">
        <w:rPr>
          <w:color w:val="000000" w:themeColor="text1"/>
        </w:rPr>
        <w:t xml:space="preserve"> </w:t>
      </w:r>
      <w:r w:rsidR="00E235A0" w:rsidRPr="002D53E0">
        <w:rPr>
          <w:rFonts w:ascii="Cambria Math" w:eastAsia="Arial Unicode MS" w:hAnsi="Cambria Math" w:cs="Arial Unicode MS"/>
          <w:color w:val="000000" w:themeColor="text1"/>
        </w:rPr>
        <w:t>∊</w:t>
      </w:r>
      <w:r w:rsidRPr="002D53E0">
        <w:rPr>
          <w:rFonts w:cs="Times New Roman"/>
        </w:rPr>
        <w:t xml:space="preserve"> </w:t>
      </w:r>
      <w:r w:rsidRPr="002D53E0">
        <w:rPr>
          <w:i/>
        </w:rPr>
        <w:t>M</w:t>
      </w:r>
      <w:r w:rsidR="003C7A60" w:rsidRPr="002D53E0">
        <w:rPr>
          <w:i/>
          <w:vertAlign w:val="subscript"/>
        </w:rPr>
        <w:t>Al</w:t>
      </w:r>
      <w:r w:rsidR="006311B2" w:rsidRPr="002D53E0">
        <w:rPr>
          <w:i/>
          <w:vertAlign w:val="subscript"/>
        </w:rPr>
        <w:t>t</w:t>
      </w:r>
      <w:r w:rsidRPr="002D53E0">
        <w:t xml:space="preserve"> | </w:t>
      </w:r>
      <w:r w:rsidR="00EA455F" w:rsidRPr="002D53E0">
        <w:rPr>
          <w:i/>
        </w:rPr>
        <w:t>A</w:t>
      </w:r>
      <w:r w:rsidR="004654AA" w:rsidRPr="002D53E0">
        <w:rPr>
          <w:i/>
        </w:rPr>
        <w:t>b</w:t>
      </w:r>
      <w:r w:rsidR="004654AA" w:rsidRPr="002D53E0">
        <w:rPr>
          <w:vertAlign w:val="subscript"/>
        </w:rPr>
        <w:t>1</w:t>
      </w:r>
      <w:r w:rsidR="001E76D2" w:rsidRPr="002D53E0">
        <w:t>(</w:t>
      </w:r>
      <w:r w:rsidR="001E76D2" w:rsidRPr="002D53E0">
        <w:rPr>
          <w:i/>
        </w:rPr>
        <w:t>x</w:t>
      </w:r>
      <w:r w:rsidR="001E76D2" w:rsidRPr="002D53E0">
        <w:t xml:space="preserve">) </w:t>
      </w:r>
      <w:r w:rsidR="001E76D2" w:rsidRPr="002D53E0">
        <w:rPr>
          <w:rFonts w:ascii="Cambria Math" w:hAnsi="Cambria Math" w:cs="Cambria Math"/>
          <w:color w:val="000000" w:themeColor="text1"/>
        </w:rPr>
        <w:t>∧</w:t>
      </w:r>
      <w:r w:rsidR="001E76D2" w:rsidRPr="002D53E0">
        <w:t xml:space="preserve"> … </w:t>
      </w:r>
      <w:r w:rsidR="001E76D2" w:rsidRPr="00542ACB">
        <w:rPr>
          <w:rFonts w:ascii="Cambria Math" w:hAnsi="Cambria Math" w:cs="Cambria Math"/>
          <w:color w:val="000000" w:themeColor="text1"/>
          <w:lang w:val="en-US"/>
        </w:rPr>
        <w:t>∧</w:t>
      </w:r>
      <w:r w:rsidR="001E76D2" w:rsidRPr="00542ACB">
        <w:rPr>
          <w:lang w:val="en-US"/>
        </w:rPr>
        <w:t xml:space="preserve"> </w:t>
      </w:r>
      <w:r w:rsidR="00EA455F" w:rsidRPr="00542ACB">
        <w:rPr>
          <w:i/>
          <w:lang w:val="en-US"/>
        </w:rPr>
        <w:t>A</w:t>
      </w:r>
      <w:r w:rsidR="00113457" w:rsidRPr="00542ACB">
        <w:rPr>
          <w:i/>
          <w:lang w:val="en-US"/>
        </w:rPr>
        <w:t>b</w:t>
      </w:r>
      <w:r w:rsidR="00113457" w:rsidRPr="00542ACB">
        <w:rPr>
          <w:i/>
          <w:vertAlign w:val="subscript"/>
          <w:lang w:val="en-US"/>
        </w:rPr>
        <w:t>|</w:t>
      </w:r>
      <w:r w:rsidR="00EA455F" w:rsidRPr="00542ACB">
        <w:rPr>
          <w:i/>
          <w:vertAlign w:val="subscript"/>
          <w:lang w:val="en-US"/>
        </w:rPr>
        <w:t>A</w:t>
      </w:r>
      <w:r w:rsidR="00113457" w:rsidRPr="00542ACB">
        <w:rPr>
          <w:i/>
          <w:vertAlign w:val="subscript"/>
          <w:lang w:val="en-US"/>
        </w:rPr>
        <w:t>b|</w:t>
      </w:r>
      <w:r w:rsidR="001E76D2" w:rsidRPr="00542ACB">
        <w:rPr>
          <w:lang w:val="en-US"/>
        </w:rPr>
        <w:t>(</w:t>
      </w:r>
      <w:r w:rsidR="001E76D2" w:rsidRPr="00542ACB">
        <w:rPr>
          <w:i/>
          <w:lang w:val="en-US"/>
        </w:rPr>
        <w:t>x</w:t>
      </w:r>
      <w:r w:rsidR="001E76D2" w:rsidRPr="00542ACB">
        <w:rPr>
          <w:lang w:val="en-US"/>
        </w:rPr>
        <w:t>)</w:t>
      </w:r>
      <w:r w:rsidRPr="00542ACB">
        <w:rPr>
          <w:lang w:val="en-US"/>
        </w:rPr>
        <w:t>}</w:t>
      </w:r>
    </w:p>
    <w:p w:rsidR="00507C64" w:rsidRDefault="00507C64" w:rsidP="00A068B7">
      <w:pPr>
        <w:pStyle w:val="Text"/>
        <w:ind w:firstLine="0"/>
        <w:jc w:val="left"/>
        <w:rPr>
          <w:lang w:val="en-US"/>
        </w:rPr>
      </w:pPr>
      <w:r w:rsidRPr="00542ACB">
        <w:rPr>
          <w:lang w:val="en-US"/>
        </w:rPr>
        <w:t xml:space="preserve">         </w:t>
      </w:r>
      <w:r w:rsidRPr="0006190B">
        <w:rPr>
          <w:lang w:val="en-US"/>
        </w:rPr>
        <w:t xml:space="preserve">for </w:t>
      </w:r>
      <w:r w:rsidRPr="0006190B">
        <w:rPr>
          <w:i/>
          <w:lang w:val="en-US"/>
        </w:rPr>
        <w:t>k</w:t>
      </w:r>
      <w:r w:rsidRPr="0006190B">
        <w:rPr>
          <w:lang w:val="en-US"/>
        </w:rPr>
        <w:t xml:space="preserve"> := 1 to |</w:t>
      </w:r>
      <w:r w:rsidRPr="0006190B">
        <w:rPr>
          <w:i/>
          <w:lang w:val="en-US"/>
        </w:rPr>
        <w:t>R</w:t>
      </w:r>
      <w:r w:rsidRPr="0006190B">
        <w:rPr>
          <w:lang w:val="en-US"/>
        </w:rPr>
        <w:t>|</w:t>
      </w:r>
    </w:p>
    <w:p w:rsidR="000D5E77" w:rsidRPr="0006190B" w:rsidRDefault="000D5E77" w:rsidP="001B5B3C">
      <w:pPr>
        <w:pStyle w:val="Text"/>
        <w:ind w:hanging="369"/>
        <w:jc w:val="left"/>
        <w:rPr>
          <w:color w:val="000000" w:themeColor="text1"/>
          <w:lang w:val="en-US"/>
        </w:rPr>
      </w:pPr>
      <w:r w:rsidRPr="003B2E6F">
        <w:rPr>
          <w:sz w:val="16"/>
          <w:szCs w:val="16"/>
          <w:lang w:val="en-US"/>
        </w:rPr>
        <w:t>10</w:t>
      </w:r>
      <w:r w:rsidRPr="0006190B">
        <w:rPr>
          <w:lang w:val="en-US"/>
        </w:rPr>
        <w:tab/>
        <w:t xml:space="preserve">            if </w:t>
      </w:r>
      <w:r w:rsidRPr="0006190B">
        <w:rPr>
          <w:i/>
          <w:lang w:val="en-US"/>
        </w:rPr>
        <w:t>R</w:t>
      </w:r>
      <w:r w:rsidRPr="0006190B">
        <w:rPr>
          <w:i/>
          <w:vertAlign w:val="subscript"/>
          <w:lang w:val="en-US"/>
        </w:rPr>
        <w:t>k</w:t>
      </w:r>
      <w:r w:rsidRPr="0006190B">
        <w:rPr>
          <w:lang w:val="en-US"/>
        </w:rPr>
        <w:t xml:space="preserve"> </w:t>
      </w:r>
      <w:r w:rsidR="00E235A0" w:rsidRPr="00EF743C">
        <w:rPr>
          <w:rFonts w:ascii="Cambria Math" w:eastAsia="Arial Unicode MS" w:hAnsi="Cambria Math" w:cs="Arial Unicode MS"/>
          <w:color w:val="000000" w:themeColor="text1"/>
          <w:lang w:val="en-US"/>
        </w:rPr>
        <w:t>∊</w:t>
      </w:r>
      <w:r w:rsidRPr="0006190B">
        <w:rPr>
          <w:lang w:val="en-US"/>
        </w:rPr>
        <w:t xml:space="preserve"> </w:t>
      </w:r>
      <w:r w:rsidRPr="0006190B">
        <w:rPr>
          <w:i/>
          <w:iCs/>
          <w:lang w:val="en-US"/>
        </w:rPr>
        <w:t>A</w:t>
      </w:r>
    </w:p>
    <w:p w:rsidR="000D5E77" w:rsidRPr="0006190B" w:rsidRDefault="000D5E77" w:rsidP="00A068B7">
      <w:pPr>
        <w:pStyle w:val="Text"/>
        <w:ind w:firstLine="0"/>
        <w:jc w:val="left"/>
        <w:rPr>
          <w:lang w:val="en-US"/>
        </w:rPr>
      </w:pPr>
      <w:r w:rsidRPr="0006190B">
        <w:rPr>
          <w:lang w:val="en-US"/>
        </w:rPr>
        <w:t xml:space="preserve">               </w:t>
      </w:r>
      <w:r w:rsidR="00EF743C">
        <w:rPr>
          <w:i/>
          <w:lang w:val="en-US"/>
        </w:rPr>
        <w:t>R'</w:t>
      </w:r>
      <w:r w:rsidRPr="0006190B">
        <w:rPr>
          <w:i/>
          <w:lang w:val="en-US"/>
        </w:rPr>
        <w:t xml:space="preserve"> </w:t>
      </w:r>
      <w:r w:rsidRPr="0006190B">
        <w:rPr>
          <w:lang w:val="en-US"/>
        </w:rPr>
        <w:t xml:space="preserve">:= </w:t>
      </w:r>
      <w:r w:rsidR="00EF743C">
        <w:rPr>
          <w:i/>
          <w:lang w:val="en-US"/>
        </w:rPr>
        <w:t>R'</w:t>
      </w:r>
      <w:r w:rsidRPr="0006190B">
        <w:rPr>
          <w:i/>
          <w:lang w:val="en-US"/>
        </w:rPr>
        <w:t xml:space="preserve"> </w:t>
      </w:r>
      <w:r w:rsidRPr="0006190B">
        <w:rPr>
          <w:lang w:val="en-US"/>
        </w:rPr>
        <w:t xml:space="preserve">\ </w:t>
      </w:r>
      <w:r w:rsidR="00F94BE5">
        <w:rPr>
          <w:lang w:val="en-US"/>
        </w:rPr>
        <w:t>{</w:t>
      </w:r>
      <w:r w:rsidR="00EF743C">
        <w:rPr>
          <w:i/>
          <w:lang w:val="en-US"/>
        </w:rPr>
        <w:t>R'</w:t>
      </w:r>
      <w:r w:rsidRPr="0006190B">
        <w:rPr>
          <w:i/>
          <w:vertAlign w:val="subscript"/>
          <w:lang w:val="en-US"/>
        </w:rPr>
        <w:t>k</w:t>
      </w:r>
      <w:r w:rsidR="00F94BE5">
        <w:rPr>
          <w:lang w:val="en-US"/>
        </w:rPr>
        <w:t>}</w:t>
      </w:r>
    </w:p>
    <w:p w:rsidR="00507C64" w:rsidRDefault="00507C64" w:rsidP="00A068B7">
      <w:pPr>
        <w:pStyle w:val="Text"/>
        <w:ind w:firstLine="0"/>
        <w:jc w:val="left"/>
        <w:rPr>
          <w:lang w:val="en-US"/>
        </w:rPr>
      </w:pPr>
      <w:r w:rsidRPr="0006190B">
        <w:rPr>
          <w:lang w:val="en-US"/>
        </w:rPr>
        <w:t xml:space="preserve">            </w:t>
      </w:r>
      <w:r>
        <w:rPr>
          <w:lang w:val="en-US"/>
        </w:rPr>
        <w:t>end</w:t>
      </w:r>
    </w:p>
    <w:p w:rsidR="00507C64" w:rsidRDefault="00507C64" w:rsidP="00A068B7">
      <w:pPr>
        <w:pStyle w:val="Text"/>
        <w:ind w:firstLine="0"/>
        <w:jc w:val="left"/>
        <w:rPr>
          <w:lang w:val="en-US"/>
        </w:rPr>
      </w:pPr>
      <w:r>
        <w:rPr>
          <w:lang w:val="en-US"/>
        </w:rPr>
        <w:t xml:space="preserve">         end</w:t>
      </w:r>
    </w:p>
    <w:p w:rsidR="00507C64" w:rsidRDefault="00507C64" w:rsidP="00A068B7">
      <w:pPr>
        <w:pStyle w:val="Text"/>
        <w:ind w:firstLine="0"/>
        <w:jc w:val="left"/>
        <w:rPr>
          <w:lang w:val="en-US"/>
        </w:rPr>
      </w:pPr>
      <w:r>
        <w:rPr>
          <w:lang w:val="en-US"/>
        </w:rPr>
        <w:t xml:space="preserve">      end</w:t>
      </w:r>
    </w:p>
    <w:p w:rsidR="00887B9A" w:rsidRPr="00752282" w:rsidRDefault="00887B9A" w:rsidP="001B5B3C">
      <w:pPr>
        <w:pStyle w:val="Text"/>
        <w:ind w:hanging="369"/>
        <w:jc w:val="left"/>
        <w:rPr>
          <w:color w:val="000000" w:themeColor="text1"/>
          <w:lang w:val="en-US"/>
        </w:rPr>
      </w:pPr>
      <w:r w:rsidRPr="003B2E6F">
        <w:rPr>
          <w:sz w:val="16"/>
          <w:szCs w:val="16"/>
          <w:lang w:val="en-US"/>
        </w:rPr>
        <w:t>15</w:t>
      </w:r>
      <w:r w:rsidRPr="00752282">
        <w:rPr>
          <w:lang w:val="en-US"/>
        </w:rPr>
        <w:tab/>
      </w:r>
      <w:r w:rsidR="000D5E77" w:rsidRPr="007F1142">
        <w:rPr>
          <w:lang w:val="en-US"/>
        </w:rPr>
        <w:t xml:space="preserve">   </w:t>
      </w:r>
      <w:r w:rsidR="000D5E77">
        <w:rPr>
          <w:lang w:val="en-US"/>
        </w:rPr>
        <w:t xml:space="preserve">   if </w:t>
      </w:r>
      <w:r w:rsidR="00EF743C">
        <w:rPr>
          <w:i/>
          <w:lang w:val="en-US"/>
        </w:rPr>
        <w:t>R'</w:t>
      </w:r>
      <w:r w:rsidR="000D5E77">
        <w:rPr>
          <w:lang w:val="en-US"/>
        </w:rPr>
        <w:t xml:space="preserve"> </w:t>
      </w:r>
      <w:r w:rsidR="000D5E77" w:rsidRPr="00706A0F">
        <w:rPr>
          <w:lang w:val="en-US"/>
        </w:rPr>
        <w:t xml:space="preserve">= </w:t>
      </w:r>
      <w:r w:rsidR="000D5E77" w:rsidRPr="007F4805">
        <w:rPr>
          <w:position w:val="-6"/>
        </w:rPr>
        <w:object w:dxaOrig="260" w:dyaOrig="279">
          <v:shape id="_x0000_i1059" type="#_x0000_t75" style="width:14pt;height:13.6pt" o:ole="">
            <v:imagedata r:id="rId25" o:title=""/>
          </v:shape>
          <o:OLEObject Type="Embed" ProgID="Equation.3" ShapeID="_x0000_i1059" DrawAspect="Content" ObjectID="_1460983900" r:id="rId80"/>
        </w:object>
      </w:r>
    </w:p>
    <w:p w:rsidR="000D5E77" w:rsidRDefault="000D5E77" w:rsidP="00A068B7">
      <w:pPr>
        <w:pStyle w:val="Text"/>
        <w:ind w:firstLine="0"/>
        <w:jc w:val="left"/>
        <w:rPr>
          <w:lang w:val="en-US"/>
        </w:rPr>
      </w:pPr>
      <w:r w:rsidRPr="007F1142">
        <w:rPr>
          <w:lang w:val="en-US"/>
        </w:rPr>
        <w:t xml:space="preserve">      </w:t>
      </w:r>
      <w:r>
        <w:rPr>
          <w:lang w:val="en-US"/>
        </w:rPr>
        <w:t xml:space="preserve">   </w:t>
      </w:r>
      <w:r w:rsidR="00EF743C" w:rsidRPr="00EF743C">
        <w:rPr>
          <w:i/>
          <w:color w:val="000000" w:themeColor="text1"/>
          <w:lang w:val="en-US"/>
        </w:rPr>
        <w:t>S'</w:t>
      </w:r>
      <w:r>
        <w:rPr>
          <w:i/>
          <w:lang w:val="en-US"/>
        </w:rPr>
        <w:t xml:space="preserve"> </w:t>
      </w:r>
      <w:r>
        <w:rPr>
          <w:lang w:val="en-US"/>
        </w:rPr>
        <w:t xml:space="preserve">:= </w:t>
      </w:r>
      <w:r w:rsidR="00EF743C" w:rsidRPr="00EF743C">
        <w:rPr>
          <w:i/>
          <w:color w:val="000000" w:themeColor="text1"/>
          <w:lang w:val="en-US"/>
        </w:rPr>
        <w:t>S'</w:t>
      </w:r>
      <w:r>
        <w:rPr>
          <w:lang w:val="en-US"/>
        </w:rPr>
        <w:t xml:space="preserve"> </w:t>
      </w:r>
      <w:r w:rsidR="00E235A0" w:rsidRPr="00E535E0">
        <w:rPr>
          <w:rFonts w:ascii="Cambria Math" w:eastAsia="Arial Unicode MS" w:hAnsi="Cambria Math" w:cs="Arial Unicode MS"/>
          <w:color w:val="000000" w:themeColor="text1"/>
          <w:lang w:val="en-US"/>
        </w:rPr>
        <w:t>∪</w:t>
      </w:r>
      <w:r w:rsidRPr="00D609CB">
        <w:rPr>
          <w:lang w:val="en-US"/>
        </w:rPr>
        <w:t xml:space="preserve"> </w:t>
      </w:r>
      <w:r w:rsidR="00D609CB">
        <w:rPr>
          <w:lang w:val="en-US"/>
        </w:rPr>
        <w:t>{</w:t>
      </w:r>
      <w:r>
        <w:rPr>
          <w:i/>
          <w:lang w:val="en-US"/>
        </w:rPr>
        <w:t>S</w:t>
      </w:r>
      <w:r>
        <w:rPr>
          <w:i/>
          <w:vertAlign w:val="subscript"/>
          <w:lang w:val="en-US"/>
        </w:rPr>
        <w:t>i</w:t>
      </w:r>
      <w:r w:rsidR="00D609CB">
        <w:rPr>
          <w:lang w:val="en-US"/>
        </w:rPr>
        <w:t>}</w:t>
      </w:r>
    </w:p>
    <w:p w:rsidR="00507C64" w:rsidRDefault="00507C64" w:rsidP="00A068B7">
      <w:pPr>
        <w:pStyle w:val="Text"/>
        <w:ind w:firstLine="0"/>
        <w:jc w:val="left"/>
        <w:rPr>
          <w:lang w:val="en-US"/>
        </w:rPr>
      </w:pPr>
      <w:r>
        <w:rPr>
          <w:lang w:val="en-US"/>
        </w:rPr>
        <w:t xml:space="preserve">      end</w:t>
      </w:r>
    </w:p>
    <w:p w:rsidR="00507C64" w:rsidRDefault="00507C64" w:rsidP="00A068B7">
      <w:pPr>
        <w:pStyle w:val="Text"/>
        <w:ind w:firstLine="0"/>
        <w:jc w:val="left"/>
        <w:rPr>
          <w:lang w:val="en-US"/>
        </w:rPr>
      </w:pPr>
      <w:r>
        <w:rPr>
          <w:lang w:val="en-US"/>
        </w:rPr>
        <w:t xml:space="preserve">   end</w:t>
      </w:r>
    </w:p>
    <w:p w:rsidR="00507C64" w:rsidRPr="00EF743C" w:rsidRDefault="00BD5A40" w:rsidP="00A068B7">
      <w:pPr>
        <w:pStyle w:val="Text"/>
        <w:ind w:firstLine="0"/>
        <w:jc w:val="left"/>
        <w:rPr>
          <w:lang w:val="en-US"/>
        </w:rPr>
      </w:pPr>
      <w:r w:rsidRPr="00EF743C">
        <w:rPr>
          <w:lang w:val="en-US"/>
        </w:rPr>
        <w:t xml:space="preserve">   </w:t>
      </w:r>
      <w:r w:rsidRPr="00EF743C">
        <w:rPr>
          <w:i/>
          <w:lang w:val="en-US"/>
        </w:rPr>
        <w:t>S</w:t>
      </w:r>
      <w:r w:rsidR="00EF743C" w:rsidRPr="00EF743C">
        <w:rPr>
          <w:i/>
          <w:lang w:val="en-US"/>
        </w:rPr>
        <w:t>*</w:t>
      </w:r>
      <w:r w:rsidRPr="00EF743C">
        <w:rPr>
          <w:lang w:val="en-US"/>
        </w:rPr>
        <w:t xml:space="preserve"> := Auswahl (</w:t>
      </w:r>
      <w:r w:rsidRPr="00EF743C">
        <w:rPr>
          <w:i/>
          <w:lang w:val="en-US"/>
        </w:rPr>
        <w:t>S</w:t>
      </w:r>
      <w:r w:rsidR="00EF743C" w:rsidRPr="00EF743C">
        <w:rPr>
          <w:i/>
          <w:lang w:val="en-US"/>
        </w:rPr>
        <w:t>'</w:t>
      </w:r>
      <w:r w:rsidRPr="00EF743C">
        <w:rPr>
          <w:lang w:val="en-US"/>
        </w:rPr>
        <w:t>)</w:t>
      </w:r>
    </w:p>
    <w:p w:rsidR="00887B9A" w:rsidRPr="00F4161F" w:rsidRDefault="00887B9A" w:rsidP="001B5B3C">
      <w:pPr>
        <w:pStyle w:val="Text"/>
        <w:ind w:hanging="369"/>
        <w:jc w:val="left"/>
        <w:rPr>
          <w:color w:val="000000" w:themeColor="text1"/>
        </w:rPr>
      </w:pPr>
      <w:r w:rsidRPr="00F4161F">
        <w:rPr>
          <w:sz w:val="16"/>
          <w:szCs w:val="16"/>
        </w:rPr>
        <w:t>20</w:t>
      </w:r>
      <w:r w:rsidRPr="00F4161F">
        <w:tab/>
      </w:r>
      <w:r w:rsidR="00BD5A40" w:rsidRPr="00F4161F">
        <w:t xml:space="preserve">   return </w:t>
      </w:r>
      <w:r w:rsidR="00EF743C" w:rsidRPr="00F4161F">
        <w:rPr>
          <w:i/>
        </w:rPr>
        <w:t>S*</w:t>
      </w:r>
    </w:p>
    <w:p w:rsidR="00507C64" w:rsidRPr="00F4161F" w:rsidRDefault="00BD5A40" w:rsidP="00A068B7">
      <w:pPr>
        <w:pStyle w:val="Text"/>
        <w:ind w:firstLine="0"/>
        <w:jc w:val="left"/>
      </w:pPr>
      <w:r w:rsidRPr="00F4161F">
        <w:t>end function</w:t>
      </w:r>
    </w:p>
    <w:p w:rsidR="00507C64" w:rsidRPr="00F4161F" w:rsidRDefault="00093341" w:rsidP="00AC225D">
      <w:pPr>
        <w:pStyle w:val="Zwischenberschrift"/>
        <w:spacing w:before="360"/>
      </w:pPr>
      <w:r w:rsidRPr="00F4161F">
        <w:lastRenderedPageBreak/>
        <w:t>Erläuterung</w:t>
      </w:r>
    </w:p>
    <w:p w:rsidR="00507C64" w:rsidRDefault="00507C64" w:rsidP="00AC225D">
      <w:pPr>
        <w:pStyle w:val="Text"/>
        <w:ind w:firstLine="0"/>
      </w:pPr>
      <w:r>
        <w:t xml:space="preserve">Zeile 1 gibt den Namen der Funktion an, der als Parameter die Realisierung </w:t>
      </w:r>
      <w:r>
        <w:rPr>
          <w:i/>
          <w:iCs/>
        </w:rPr>
        <w:t>R</w:t>
      </w:r>
      <w:r>
        <w:t xml:space="preserve"> übergeben wird.</w:t>
      </w:r>
    </w:p>
    <w:p w:rsidR="00507C64" w:rsidRDefault="00507C64" w:rsidP="00507C64">
      <w:pPr>
        <w:pStyle w:val="Text"/>
      </w:pPr>
      <w:r>
        <w:t xml:space="preserve">In Zeile 2 wird die Menge </w:t>
      </w:r>
      <w:r w:rsidR="00EF743C" w:rsidRPr="009610B4">
        <w:rPr>
          <w:i/>
          <w:color w:val="000000" w:themeColor="text1"/>
        </w:rPr>
        <w:t>S</w:t>
      </w:r>
      <w:r w:rsidR="00EF743C">
        <w:rPr>
          <w:i/>
          <w:color w:val="000000" w:themeColor="text1"/>
        </w:rPr>
        <w:t>'</w:t>
      </w:r>
      <w:r w:rsidR="00EF743C">
        <w:t xml:space="preserve"> a</w:t>
      </w:r>
      <w:r>
        <w:t>ls leere Menge definiert.</w:t>
      </w:r>
    </w:p>
    <w:p w:rsidR="00507C64" w:rsidRDefault="00507C64" w:rsidP="00507C64">
      <w:pPr>
        <w:pStyle w:val="Text"/>
      </w:pPr>
      <w:r>
        <w:t xml:space="preserve">In Zeile 3 wird die Funktion </w:t>
      </w:r>
      <w:r w:rsidRPr="00BA0CE6">
        <w:rPr>
          <w:i/>
        </w:rPr>
        <w:t>Schemata_zusammenstellen</w:t>
      </w:r>
      <w:r w:rsidRPr="007D2BD3">
        <w:t xml:space="preserve"> aufgerufen, die </w:t>
      </w:r>
      <w:r>
        <w:t xml:space="preserve">die dem Individuum bekannten Schemata zusammenstellt </w:t>
      </w:r>
      <w:r w:rsidRPr="007D2BD3">
        <w:t>(Erläuterung s. unten)</w:t>
      </w:r>
      <w:r>
        <w:t>. Diese Funktion benötigt keine Parameter.</w:t>
      </w:r>
      <w:r w:rsidRPr="0083191D">
        <w:t xml:space="preserve"> </w:t>
      </w:r>
      <w:r>
        <w:t xml:space="preserve">Ihr Rückgabewert wird in die Variable </w:t>
      </w:r>
      <w:r w:rsidR="00CA2AE7">
        <w:rPr>
          <w:i/>
        </w:rPr>
        <w:t>S</w:t>
      </w:r>
      <w:r>
        <w:t xml:space="preserve"> gespeichert.</w:t>
      </w:r>
    </w:p>
    <w:p w:rsidR="00507C64" w:rsidRDefault="00507C64" w:rsidP="00507C64">
      <w:pPr>
        <w:pStyle w:val="Text"/>
      </w:pPr>
      <w:r w:rsidRPr="00DB0613">
        <w:t xml:space="preserve">Zeile </w:t>
      </w:r>
      <w:r>
        <w:t xml:space="preserve">4 </w:t>
      </w:r>
      <w:r w:rsidRPr="00DB0613">
        <w:t xml:space="preserve">gibt an, dass die eingerückt folgende Schleife für die Variable </w:t>
      </w:r>
      <w:r w:rsidRPr="00DB0613">
        <w:rPr>
          <w:i/>
          <w:iCs/>
        </w:rPr>
        <w:t>i</w:t>
      </w:r>
      <w:r w:rsidRPr="00DB0613">
        <w:t xml:space="preserve"> von 1 bis zur Anzahl der Elemente von </w:t>
      </w:r>
      <w:r>
        <w:rPr>
          <w:i/>
          <w:iCs/>
        </w:rPr>
        <w:t>S</w:t>
      </w:r>
      <w:r w:rsidRPr="00DB0613">
        <w:t xml:space="preserve"> ausgeführt wird.</w:t>
      </w:r>
    </w:p>
    <w:p w:rsidR="00507C64" w:rsidRDefault="00507C64" w:rsidP="00507C64">
      <w:pPr>
        <w:pStyle w:val="Text"/>
      </w:pPr>
      <w:r>
        <w:t xml:space="preserve">In Zeile 5 wird </w:t>
      </w:r>
      <w:r w:rsidRPr="00E04BD7">
        <w:rPr>
          <w:i/>
        </w:rPr>
        <w:t>R</w:t>
      </w:r>
      <w:r>
        <w:t xml:space="preserve"> in die Variable </w:t>
      </w:r>
      <w:r w:rsidR="00EF743C">
        <w:rPr>
          <w:i/>
          <w:color w:val="000000" w:themeColor="text1"/>
        </w:rPr>
        <w:t>R'</w:t>
      </w:r>
      <w:r>
        <w:t xml:space="preserve"> gespeichert.</w:t>
      </w:r>
    </w:p>
    <w:p w:rsidR="00507C64" w:rsidRDefault="00507C64" w:rsidP="00507C64">
      <w:pPr>
        <w:pStyle w:val="Text"/>
      </w:pPr>
      <w:r w:rsidRPr="00DB0613">
        <w:t xml:space="preserve">Zeile </w:t>
      </w:r>
      <w:r>
        <w:t xml:space="preserve">6 </w:t>
      </w:r>
      <w:r w:rsidRPr="00DB0613">
        <w:t xml:space="preserve">gibt an, dass die eingerückt folgende Schleife für die Variable </w:t>
      </w:r>
      <w:r>
        <w:rPr>
          <w:i/>
          <w:iCs/>
        </w:rPr>
        <w:t>j</w:t>
      </w:r>
      <w:r w:rsidRPr="00DB0613">
        <w:t xml:space="preserve"> von 1 bis zur Anzahl der Elemente von</w:t>
      </w:r>
      <w:r w:rsidRPr="00AC5D96">
        <w:rPr>
          <w:i/>
        </w:rPr>
        <w:t xml:space="preserve"> O</w:t>
      </w:r>
      <w:r w:rsidRPr="00AC5D96">
        <w:t>(</w:t>
      </w:r>
      <w:r w:rsidRPr="00AC5D96">
        <w:rPr>
          <w:i/>
        </w:rPr>
        <w:t>S</w:t>
      </w:r>
      <w:r w:rsidRPr="00AC5D96">
        <w:rPr>
          <w:i/>
          <w:vertAlign w:val="subscript"/>
        </w:rPr>
        <w:t>i</w:t>
      </w:r>
      <w:r w:rsidRPr="00AC5D96">
        <w:t>)</w:t>
      </w:r>
      <w:r>
        <w:t xml:space="preserve">, der Menge der Schemaorte des Schemas </w:t>
      </w:r>
      <w:r w:rsidR="00E423D0" w:rsidRPr="00AC5D96">
        <w:rPr>
          <w:i/>
        </w:rPr>
        <w:t>S</w:t>
      </w:r>
      <w:r w:rsidR="00E423D0" w:rsidRPr="00AC5D96">
        <w:rPr>
          <w:i/>
          <w:vertAlign w:val="subscript"/>
        </w:rPr>
        <w:t>i</w:t>
      </w:r>
      <w:r>
        <w:t xml:space="preserve">, </w:t>
      </w:r>
      <w:r w:rsidRPr="00DB0613">
        <w:t>ausgeführt wird.</w:t>
      </w:r>
    </w:p>
    <w:p w:rsidR="00CA2AE7" w:rsidRDefault="00CA2AE7" w:rsidP="00507C64">
      <w:pPr>
        <w:pStyle w:val="Text"/>
      </w:pPr>
      <w:r>
        <w:t xml:space="preserve">In Zeile 7 wird </w:t>
      </w:r>
      <w:r w:rsidRPr="00113457">
        <w:rPr>
          <w:i/>
        </w:rPr>
        <w:t>Ob</w:t>
      </w:r>
      <w:r w:rsidRPr="00113457">
        <w:t>(</w:t>
      </w:r>
      <w:r w:rsidRPr="00113457">
        <w:rPr>
          <w:i/>
        </w:rPr>
        <w:t>O</w:t>
      </w:r>
      <w:r w:rsidRPr="00113457">
        <w:rPr>
          <w:i/>
          <w:vertAlign w:val="subscript"/>
        </w:rPr>
        <w:t>j</w:t>
      </w:r>
      <w:r w:rsidRPr="00113457">
        <w:t>(</w:t>
      </w:r>
      <w:r w:rsidRPr="00113457">
        <w:rPr>
          <w:i/>
        </w:rPr>
        <w:t>S</w:t>
      </w:r>
      <w:r w:rsidRPr="00113457">
        <w:rPr>
          <w:i/>
          <w:vertAlign w:val="subscript"/>
        </w:rPr>
        <w:t>i</w:t>
      </w:r>
      <w:r w:rsidRPr="00113457">
        <w:t>))</w:t>
      </w:r>
      <w:r w:rsidR="00E423D0">
        <w:t xml:space="preserve">, die Schemaortbedingungen des </w:t>
      </w:r>
      <w:r w:rsidR="00E423D0" w:rsidRPr="00E423D0">
        <w:t>Schemaorts</w:t>
      </w:r>
      <w:r w:rsidR="00E423D0">
        <w:rPr>
          <w:i/>
        </w:rPr>
        <w:t xml:space="preserve"> </w:t>
      </w:r>
      <w:r w:rsidR="00E423D0" w:rsidRPr="00113457">
        <w:rPr>
          <w:i/>
        </w:rPr>
        <w:t>O</w:t>
      </w:r>
      <w:r w:rsidR="00E423D0" w:rsidRPr="00113457">
        <w:rPr>
          <w:i/>
          <w:vertAlign w:val="subscript"/>
        </w:rPr>
        <w:t>j</w:t>
      </w:r>
      <w:r w:rsidR="00E423D0">
        <w:rPr>
          <w:i/>
        </w:rPr>
        <w:t xml:space="preserve"> </w:t>
      </w:r>
      <w:r w:rsidR="00E423D0">
        <w:t xml:space="preserve">von </w:t>
      </w:r>
      <w:r w:rsidR="00E423D0" w:rsidRPr="00113457">
        <w:rPr>
          <w:i/>
        </w:rPr>
        <w:t>S</w:t>
      </w:r>
      <w:r w:rsidR="00E423D0" w:rsidRPr="00113457">
        <w:rPr>
          <w:i/>
          <w:vertAlign w:val="subscript"/>
        </w:rPr>
        <w:t>i</w:t>
      </w:r>
      <w:r w:rsidR="00E423D0">
        <w:t xml:space="preserve">, </w:t>
      </w:r>
      <w:r>
        <w:t xml:space="preserve">in die Variable </w:t>
      </w:r>
      <w:r w:rsidRPr="00CA2AE7">
        <w:rPr>
          <w:i/>
        </w:rPr>
        <w:t>Ab</w:t>
      </w:r>
      <w:r>
        <w:t xml:space="preserve"> für die Alternativenbedingungen gespeichert.</w:t>
      </w:r>
    </w:p>
    <w:p w:rsidR="00507C64" w:rsidRDefault="00506D11" w:rsidP="00507C64">
      <w:pPr>
        <w:pStyle w:val="Text"/>
      </w:pPr>
      <w:r>
        <w:t xml:space="preserve">In Zeile </w:t>
      </w:r>
      <w:r w:rsidR="004C1357">
        <w:t>8</w:t>
      </w:r>
      <w:r w:rsidR="00507C64">
        <w:t xml:space="preserve"> wird eine </w:t>
      </w:r>
      <w:r w:rsidR="00721558">
        <w:rPr>
          <w:iCs/>
        </w:rPr>
        <w:t>Alter</w:t>
      </w:r>
      <w:r w:rsidR="00721558">
        <w:rPr>
          <w:iCs/>
        </w:rPr>
        <w:softHyphen/>
        <w:t>nativen</w:t>
      </w:r>
      <w:r w:rsidR="00721558">
        <w:rPr>
          <w:iCs/>
        </w:rPr>
        <w:softHyphen/>
        <w:t>klasse</w:t>
      </w:r>
      <w:r w:rsidR="00507C64">
        <w:rPr>
          <w:iCs/>
        </w:rPr>
        <w:t xml:space="preserve"> </w:t>
      </w:r>
      <w:r w:rsidR="00507C64">
        <w:rPr>
          <w:i/>
        </w:rPr>
        <w:t>A</w:t>
      </w:r>
      <w:r w:rsidR="00507C64">
        <w:t xml:space="preserve"> gebildet, die aus allen </w:t>
      </w:r>
      <w:r w:rsidR="00DA05F5">
        <w:t xml:space="preserve">Elementen des </w:t>
      </w:r>
      <w:r w:rsidR="00A12367">
        <w:t>Möglichkeitsraum</w:t>
      </w:r>
      <w:r w:rsidR="00DA05F5">
        <w:t>s</w:t>
      </w:r>
      <w:r w:rsidR="00A12367">
        <w:t xml:space="preserve"> der </w:t>
      </w:r>
      <w:r w:rsidR="003C7A60">
        <w:t>Alternativen</w:t>
      </w:r>
      <w:r w:rsidR="00331BF8">
        <w:t xml:space="preserve"> </w:t>
      </w:r>
      <w:r w:rsidR="00507C64">
        <w:t xml:space="preserve">besteht, </w:t>
      </w:r>
      <w:r w:rsidR="00CA2AE7">
        <w:t xml:space="preserve">die alle Eigenschaften aus </w:t>
      </w:r>
      <w:r w:rsidR="00CA2AE7" w:rsidRPr="00CA2AE7">
        <w:rPr>
          <w:i/>
        </w:rPr>
        <w:t>Ab</w:t>
      </w:r>
      <w:r w:rsidR="00CA2AE7">
        <w:t xml:space="preserve"> besitzen, also </w:t>
      </w:r>
      <w:r w:rsidR="00507C64">
        <w:t xml:space="preserve">die </w:t>
      </w:r>
      <w:r w:rsidR="00CA2AE7">
        <w:t>Alternativenbedingungen erfüllen.</w:t>
      </w:r>
    </w:p>
    <w:p w:rsidR="00506D11" w:rsidRDefault="00506D11" w:rsidP="00506D11">
      <w:pPr>
        <w:pStyle w:val="Text"/>
      </w:pPr>
      <w:r w:rsidRPr="00DB0613">
        <w:t xml:space="preserve">Zeile </w:t>
      </w:r>
      <w:r w:rsidR="004C1357">
        <w:t>9</w:t>
      </w:r>
      <w:r>
        <w:t xml:space="preserve"> </w:t>
      </w:r>
      <w:r w:rsidRPr="00DB0613">
        <w:t xml:space="preserve">gibt an, dass die eingerückt folgende Schleife für die Variable </w:t>
      </w:r>
      <w:r>
        <w:rPr>
          <w:i/>
          <w:iCs/>
        </w:rPr>
        <w:t>k</w:t>
      </w:r>
      <w:r w:rsidRPr="00DB0613">
        <w:t xml:space="preserve"> von 1 bis zur Anzahl der Elemente von </w:t>
      </w:r>
      <w:r>
        <w:rPr>
          <w:i/>
          <w:iCs/>
        </w:rPr>
        <w:t>R</w:t>
      </w:r>
      <w:r w:rsidRPr="00DB0613">
        <w:t xml:space="preserve"> ausgeführt wird.</w:t>
      </w:r>
    </w:p>
    <w:p w:rsidR="00507C64" w:rsidRDefault="00507C64" w:rsidP="00507C64">
      <w:pPr>
        <w:pStyle w:val="Text"/>
      </w:pPr>
      <w:r w:rsidRPr="00DB0613">
        <w:t xml:space="preserve">Zeile </w:t>
      </w:r>
      <w:r w:rsidR="004C1357">
        <w:t>10</w:t>
      </w:r>
      <w:r>
        <w:t xml:space="preserve"> </w:t>
      </w:r>
      <w:r w:rsidRPr="00DB0613">
        <w:t xml:space="preserve">gibt an, dass die eingerückt </w:t>
      </w:r>
      <w:r w:rsidR="007F02CB">
        <w:t>folgende Anweisung</w:t>
      </w:r>
      <w:r w:rsidRPr="00DB0613">
        <w:t xml:space="preserve"> </w:t>
      </w:r>
      <w:r>
        <w:rPr>
          <w:iCs/>
        </w:rPr>
        <w:t xml:space="preserve">ausgeführt wird, wenn </w:t>
      </w:r>
      <w:r w:rsidRPr="006619C1">
        <w:rPr>
          <w:i/>
        </w:rPr>
        <w:t>R</w:t>
      </w:r>
      <w:r w:rsidRPr="006619C1">
        <w:rPr>
          <w:i/>
          <w:vertAlign w:val="subscript"/>
        </w:rPr>
        <w:t>k</w:t>
      </w:r>
      <w:r>
        <w:rPr>
          <w:iCs/>
        </w:rPr>
        <w:t xml:space="preserve">, also die </w:t>
      </w:r>
      <w:r w:rsidRPr="006619C1">
        <w:rPr>
          <w:i/>
          <w:iCs/>
        </w:rPr>
        <w:t>k</w:t>
      </w:r>
      <w:r>
        <w:rPr>
          <w:iCs/>
        </w:rPr>
        <w:t xml:space="preserve">te Realisierungsstelle, Element der in Zeile 8 gebildeten </w:t>
      </w:r>
      <w:r w:rsidR="00721558">
        <w:rPr>
          <w:iCs/>
        </w:rPr>
        <w:t>Alter</w:t>
      </w:r>
      <w:r w:rsidR="00721558">
        <w:rPr>
          <w:iCs/>
        </w:rPr>
        <w:softHyphen/>
        <w:t>nativen</w:t>
      </w:r>
      <w:r w:rsidR="00721558">
        <w:rPr>
          <w:iCs/>
        </w:rPr>
        <w:softHyphen/>
        <w:t>klasse</w:t>
      </w:r>
      <w:r>
        <w:rPr>
          <w:iCs/>
        </w:rPr>
        <w:t xml:space="preserve"> ist.</w:t>
      </w:r>
    </w:p>
    <w:p w:rsidR="00507C64" w:rsidRDefault="00507C64" w:rsidP="00507C64">
      <w:pPr>
        <w:pStyle w:val="Text"/>
      </w:pPr>
      <w:r>
        <w:t>In Zeile 1</w:t>
      </w:r>
      <w:r w:rsidR="004C1357">
        <w:t>1</w:t>
      </w:r>
      <w:r>
        <w:t xml:space="preserve"> wird die </w:t>
      </w:r>
      <w:r w:rsidRPr="00C5385D">
        <w:rPr>
          <w:i/>
        </w:rPr>
        <w:t>k</w:t>
      </w:r>
      <w:r>
        <w:t xml:space="preserve">te Realisierungsstelle aus </w:t>
      </w:r>
      <w:r w:rsidR="00EF743C">
        <w:rPr>
          <w:i/>
          <w:color w:val="000000" w:themeColor="text1"/>
        </w:rPr>
        <w:t>R'</w:t>
      </w:r>
      <w:r>
        <w:t xml:space="preserve"> entfernt.</w:t>
      </w:r>
    </w:p>
    <w:p w:rsidR="00507C64" w:rsidRPr="0071334B" w:rsidRDefault="00507C64" w:rsidP="00507C64">
      <w:pPr>
        <w:pStyle w:val="Text"/>
      </w:pPr>
      <w:r w:rsidRPr="0071334B">
        <w:t xml:space="preserve">In Zeile </w:t>
      </w:r>
      <w:r>
        <w:t>1</w:t>
      </w:r>
      <w:r w:rsidR="004C1357">
        <w:t>2</w:t>
      </w:r>
      <w:r>
        <w:t xml:space="preserve"> </w:t>
      </w:r>
      <w:r w:rsidRPr="0071334B">
        <w:t xml:space="preserve">wird die </w:t>
      </w:r>
      <w:r w:rsidR="007F02CB">
        <w:t>if-Anweisung</w:t>
      </w:r>
      <w:r w:rsidRPr="0071334B">
        <w:t xml:space="preserve"> aus Zeile </w:t>
      </w:r>
      <w:r w:rsidR="004C1357">
        <w:t>10</w:t>
      </w:r>
      <w:r>
        <w:t xml:space="preserve"> </w:t>
      </w:r>
      <w:r w:rsidRPr="0071334B">
        <w:t>beendet.</w:t>
      </w:r>
    </w:p>
    <w:p w:rsidR="00507C64" w:rsidRDefault="00507C64" w:rsidP="00507C64">
      <w:pPr>
        <w:pStyle w:val="Text"/>
      </w:pPr>
      <w:r w:rsidRPr="0071334B">
        <w:t xml:space="preserve">In Zeile </w:t>
      </w:r>
      <w:r w:rsidR="004C1357">
        <w:t>13</w:t>
      </w:r>
      <w:r>
        <w:t xml:space="preserve"> </w:t>
      </w:r>
      <w:r w:rsidRPr="0071334B">
        <w:t xml:space="preserve">wird die for-Schleife aus Zeile </w:t>
      </w:r>
      <w:r w:rsidR="004C1357">
        <w:t xml:space="preserve">9 </w:t>
      </w:r>
      <w:r w:rsidRPr="0071334B">
        <w:t>beendet.</w:t>
      </w:r>
    </w:p>
    <w:p w:rsidR="00507C64" w:rsidRPr="0071334B" w:rsidRDefault="00507C64" w:rsidP="00507C64">
      <w:pPr>
        <w:pStyle w:val="Text"/>
      </w:pPr>
      <w:r w:rsidRPr="0071334B">
        <w:t xml:space="preserve">In Zeile </w:t>
      </w:r>
      <w:r>
        <w:t>1</w:t>
      </w:r>
      <w:r w:rsidR="004C1357">
        <w:t>4</w:t>
      </w:r>
      <w:r>
        <w:t xml:space="preserve"> </w:t>
      </w:r>
      <w:r w:rsidRPr="0071334B">
        <w:t xml:space="preserve">wird die for-Schleife aus Zeile </w:t>
      </w:r>
      <w:r>
        <w:t xml:space="preserve">6 </w:t>
      </w:r>
      <w:r w:rsidRPr="0071334B">
        <w:t>beendet.</w:t>
      </w:r>
    </w:p>
    <w:p w:rsidR="00507C64" w:rsidRDefault="00507C64" w:rsidP="00507C64">
      <w:pPr>
        <w:pStyle w:val="Text"/>
      </w:pPr>
      <w:r w:rsidRPr="00DB0613">
        <w:t xml:space="preserve">Zeile </w:t>
      </w:r>
      <w:r>
        <w:t>1</w:t>
      </w:r>
      <w:r w:rsidR="004C1357">
        <w:t>5</w:t>
      </w:r>
      <w:r>
        <w:t xml:space="preserve"> </w:t>
      </w:r>
      <w:r w:rsidRPr="00DB0613">
        <w:t xml:space="preserve">gibt an, dass die eingerückt </w:t>
      </w:r>
      <w:r w:rsidR="007F02CB">
        <w:t>folgende Anweisung</w:t>
      </w:r>
      <w:r w:rsidRPr="00DB0613">
        <w:t xml:space="preserve"> </w:t>
      </w:r>
      <w:r>
        <w:rPr>
          <w:iCs/>
        </w:rPr>
        <w:t xml:space="preserve">ausgeführt wird, wenn </w:t>
      </w:r>
      <w:r w:rsidR="00EF743C">
        <w:rPr>
          <w:i/>
          <w:color w:val="000000" w:themeColor="text1"/>
        </w:rPr>
        <w:t>R'</w:t>
      </w:r>
      <w:r>
        <w:rPr>
          <w:iCs/>
        </w:rPr>
        <w:t xml:space="preserve"> gleich der leeren Menge ist, das heißt, wenn alle Realisierungsstellen aus der in </w:t>
      </w:r>
      <w:r w:rsidR="00EF743C">
        <w:rPr>
          <w:i/>
          <w:color w:val="000000" w:themeColor="text1"/>
        </w:rPr>
        <w:t>R'</w:t>
      </w:r>
      <w:r>
        <w:rPr>
          <w:iCs/>
        </w:rPr>
        <w:t xml:space="preserve"> abgespeicherten Kopie der Realisierun</w:t>
      </w:r>
      <w:r w:rsidR="004C1357">
        <w:rPr>
          <w:iCs/>
        </w:rPr>
        <w:t>g entfernt wurden (vgl. Zeile 11</w:t>
      </w:r>
      <w:r>
        <w:rPr>
          <w:iCs/>
        </w:rPr>
        <w:t>).</w:t>
      </w:r>
    </w:p>
    <w:p w:rsidR="00507C64" w:rsidRDefault="00507C64" w:rsidP="00507C64">
      <w:pPr>
        <w:pStyle w:val="Text"/>
      </w:pPr>
      <w:r>
        <w:t>In Zeile 1</w:t>
      </w:r>
      <w:r w:rsidR="004C1357">
        <w:t>6</w:t>
      </w:r>
      <w:r>
        <w:t xml:space="preserve"> wird </w:t>
      </w:r>
      <w:r w:rsidRPr="00570A4D">
        <w:rPr>
          <w:i/>
        </w:rPr>
        <w:t>S</w:t>
      </w:r>
      <w:r w:rsidRPr="00570A4D">
        <w:rPr>
          <w:i/>
          <w:vertAlign w:val="subscript"/>
        </w:rPr>
        <w:t>i</w:t>
      </w:r>
      <w:r>
        <w:t xml:space="preserve">, das gerade untersuchte Schema, der Menge </w:t>
      </w:r>
      <w:r w:rsidR="00EF743C" w:rsidRPr="009610B4">
        <w:rPr>
          <w:i/>
          <w:color w:val="000000" w:themeColor="text1"/>
        </w:rPr>
        <w:t>S</w:t>
      </w:r>
      <w:r w:rsidR="00EF743C">
        <w:rPr>
          <w:i/>
          <w:color w:val="000000" w:themeColor="text1"/>
        </w:rPr>
        <w:t>'</w:t>
      </w:r>
      <w:r>
        <w:t xml:space="preserve"> der Sch</w:t>
      </w:r>
      <w:r>
        <w:t>e</w:t>
      </w:r>
      <w:r>
        <w:t>mata hinzugefügt, denen die Realisierung angehören könnte, da für jede Realisi</w:t>
      </w:r>
      <w:r>
        <w:t>e</w:t>
      </w:r>
      <w:r>
        <w:t xml:space="preserve">rungsstelle ein </w:t>
      </w:r>
      <w:r w:rsidR="00B910FC">
        <w:t xml:space="preserve">passender </w:t>
      </w:r>
      <w:r>
        <w:t>Schemaort dieses Schemas gefunden wurde</w:t>
      </w:r>
      <w:r w:rsidR="00E009F6">
        <w:t>.</w:t>
      </w:r>
    </w:p>
    <w:p w:rsidR="00507C64" w:rsidRPr="0071334B" w:rsidRDefault="00507C64" w:rsidP="00507C64">
      <w:pPr>
        <w:pStyle w:val="Text"/>
      </w:pPr>
      <w:r w:rsidRPr="0071334B">
        <w:t xml:space="preserve">In Zeile </w:t>
      </w:r>
      <w:r>
        <w:t>1</w:t>
      </w:r>
      <w:r w:rsidR="004C1357">
        <w:t>7</w:t>
      </w:r>
      <w:r>
        <w:t xml:space="preserve"> </w:t>
      </w:r>
      <w:r w:rsidRPr="0071334B">
        <w:t xml:space="preserve">wird die </w:t>
      </w:r>
      <w:r w:rsidR="007F02CB">
        <w:t>if-Anweisung</w:t>
      </w:r>
      <w:r w:rsidRPr="0071334B">
        <w:t xml:space="preserve"> aus Zeile </w:t>
      </w:r>
      <w:r w:rsidR="004C1357">
        <w:t>15</w:t>
      </w:r>
      <w:r>
        <w:t xml:space="preserve"> </w:t>
      </w:r>
      <w:r w:rsidRPr="0071334B">
        <w:t>beendet.</w:t>
      </w:r>
    </w:p>
    <w:p w:rsidR="00507C64" w:rsidRDefault="00507C64" w:rsidP="00507C64">
      <w:pPr>
        <w:pStyle w:val="Text"/>
      </w:pPr>
      <w:r w:rsidRPr="0071334B">
        <w:t xml:space="preserve">In Zeile </w:t>
      </w:r>
      <w:r>
        <w:t>1</w:t>
      </w:r>
      <w:r w:rsidR="004C1357">
        <w:t>8</w:t>
      </w:r>
      <w:r>
        <w:t xml:space="preserve"> </w:t>
      </w:r>
      <w:r w:rsidRPr="0071334B">
        <w:t xml:space="preserve">wird die for-Schleife aus Zeile </w:t>
      </w:r>
      <w:r>
        <w:t xml:space="preserve">4 </w:t>
      </w:r>
      <w:r w:rsidRPr="0071334B">
        <w:t>beendet.</w:t>
      </w:r>
    </w:p>
    <w:p w:rsidR="00507C64" w:rsidRDefault="00507C64" w:rsidP="00507C64">
      <w:pPr>
        <w:pStyle w:val="Text"/>
      </w:pPr>
      <w:r>
        <w:rPr>
          <w:iCs/>
        </w:rPr>
        <w:t xml:space="preserve">In Zeile </w:t>
      </w:r>
      <w:r w:rsidR="00EF743C">
        <w:rPr>
          <w:iCs/>
        </w:rPr>
        <w:t>19</w:t>
      </w:r>
      <w:r>
        <w:rPr>
          <w:iCs/>
        </w:rPr>
        <w:t xml:space="preserve"> wird die Funktion</w:t>
      </w:r>
      <w:r w:rsidRPr="00DF13E1">
        <w:t xml:space="preserve"> </w:t>
      </w:r>
      <w:r w:rsidR="00831930">
        <w:rPr>
          <w:i/>
        </w:rPr>
        <w:t>Auswahl</w:t>
      </w:r>
      <w:r w:rsidRPr="00DF13E1">
        <w:t xml:space="preserve"> </w:t>
      </w:r>
      <w:r>
        <w:t>aufgerufen</w:t>
      </w:r>
      <w:r w:rsidR="00EF743C">
        <w:t xml:space="preserve"> </w:t>
      </w:r>
      <w:r>
        <w:t>(Erläuterung s. unten)</w:t>
      </w:r>
      <w:r w:rsidR="00EF743C">
        <w:t xml:space="preserve">, die ein Element aus </w:t>
      </w:r>
      <w:r w:rsidR="00EF743C" w:rsidRPr="009610B4">
        <w:rPr>
          <w:i/>
          <w:color w:val="000000" w:themeColor="text1"/>
        </w:rPr>
        <w:t>S</w:t>
      </w:r>
      <w:r w:rsidR="00EF743C">
        <w:rPr>
          <w:i/>
          <w:color w:val="000000" w:themeColor="text1"/>
        </w:rPr>
        <w:t>'</w:t>
      </w:r>
      <w:r w:rsidR="00EF743C">
        <w:t xml:space="preserve"> auswählt; ihr Rückgabewert wird in die Variable </w:t>
      </w:r>
      <w:r w:rsidR="00983EB6">
        <w:rPr>
          <w:i/>
        </w:rPr>
        <w:t>S</w:t>
      </w:r>
      <w:r w:rsidR="00983EB6" w:rsidRPr="00570A4D">
        <w:rPr>
          <w:i/>
        </w:rPr>
        <w:t>*</w:t>
      </w:r>
      <w:r w:rsidR="00983EB6">
        <w:t xml:space="preserve"> </w:t>
      </w:r>
      <w:r w:rsidR="00EF743C">
        <w:t>gespe</w:t>
      </w:r>
      <w:r w:rsidR="00EF743C">
        <w:t>i</w:t>
      </w:r>
      <w:r w:rsidR="00EF743C">
        <w:t>chert</w:t>
      </w:r>
      <w:r>
        <w:t>.</w:t>
      </w:r>
      <w:r w:rsidR="00983EB6">
        <w:t xml:space="preserve"> (Man beachte, dass</w:t>
      </w:r>
      <w:r w:rsidR="00EF743C">
        <w:t xml:space="preserve"> </w:t>
      </w:r>
      <w:r w:rsidR="00EF743C" w:rsidRPr="009610B4">
        <w:rPr>
          <w:i/>
          <w:color w:val="000000" w:themeColor="text1"/>
        </w:rPr>
        <w:t>S</w:t>
      </w:r>
      <w:r w:rsidR="00EF743C">
        <w:rPr>
          <w:i/>
          <w:color w:val="000000" w:themeColor="text1"/>
        </w:rPr>
        <w:t>'</w:t>
      </w:r>
      <w:r w:rsidR="00983EB6">
        <w:t xml:space="preserve"> </w:t>
      </w:r>
      <w:r w:rsidR="00EF743C">
        <w:t>eine Menge</w:t>
      </w:r>
      <w:r w:rsidR="00691F83">
        <w:t>nvariable</w:t>
      </w:r>
      <w:r w:rsidR="00EF743C">
        <w:t xml:space="preserve"> </w:t>
      </w:r>
      <w:r w:rsidR="00691F83">
        <w:t>ist, die 3-Tupel enthält, wä</w:t>
      </w:r>
      <w:r w:rsidR="00691F83">
        <w:t>h</w:t>
      </w:r>
      <w:r w:rsidR="00691F83">
        <w:t xml:space="preserve">rend </w:t>
      </w:r>
      <w:r w:rsidR="00983EB6">
        <w:rPr>
          <w:i/>
        </w:rPr>
        <w:t>S</w:t>
      </w:r>
      <w:r w:rsidR="00983EB6" w:rsidRPr="00570A4D">
        <w:rPr>
          <w:i/>
        </w:rPr>
        <w:t>*</w:t>
      </w:r>
      <w:r w:rsidR="00983EB6">
        <w:t xml:space="preserve"> </w:t>
      </w:r>
      <w:r w:rsidR="00EF743C">
        <w:t>eine 3-Tupel-Variable</w:t>
      </w:r>
      <w:r w:rsidR="005D7996">
        <w:fldChar w:fldCharType="begin"/>
      </w:r>
      <w:r w:rsidR="001F13E4">
        <w:instrText xml:space="preserve"> XE "</w:instrText>
      </w:r>
      <w:r w:rsidR="001F13E4" w:rsidRPr="009A0312">
        <w:rPr>
          <w:color w:val="000000" w:themeColor="text1"/>
        </w:rPr>
        <w:instrText>Tupel-Variable</w:instrText>
      </w:r>
      <w:r w:rsidR="001F13E4">
        <w:instrText xml:space="preserve">" </w:instrText>
      </w:r>
      <w:r w:rsidR="005D7996">
        <w:fldChar w:fldCharType="end"/>
      </w:r>
      <w:r w:rsidR="00EF743C">
        <w:t xml:space="preserve"> ist</w:t>
      </w:r>
      <w:r w:rsidR="00691F83">
        <w:t>.)</w:t>
      </w:r>
    </w:p>
    <w:p w:rsidR="00507C64" w:rsidRDefault="004C1357" w:rsidP="00507C64">
      <w:pPr>
        <w:pStyle w:val="Text"/>
      </w:pPr>
      <w:r>
        <w:t>In Zeile 2</w:t>
      </w:r>
      <w:r w:rsidR="00691F83">
        <w:t>0</w:t>
      </w:r>
      <w:r w:rsidR="00507C64">
        <w:t xml:space="preserve"> wird </w:t>
      </w:r>
      <w:r w:rsidR="00507C64">
        <w:rPr>
          <w:i/>
          <w:iCs/>
        </w:rPr>
        <w:t>S*</w:t>
      </w:r>
      <w:r w:rsidR="00507C64">
        <w:t xml:space="preserve"> zurückgegeben.</w:t>
      </w:r>
    </w:p>
    <w:p w:rsidR="00507C64" w:rsidRDefault="00691F83" w:rsidP="00507C64">
      <w:pPr>
        <w:pStyle w:val="Text"/>
      </w:pPr>
      <w:r>
        <w:t>In Zeile 21</w:t>
      </w:r>
      <w:r w:rsidR="00507C64">
        <w:t xml:space="preserve"> wird die Funktion beendet.</w:t>
      </w:r>
    </w:p>
    <w:p w:rsidR="00507C64" w:rsidRDefault="00507C64" w:rsidP="00336DDE">
      <w:pPr>
        <w:pStyle w:val="Zwischenberschrift"/>
      </w:pPr>
      <w:r w:rsidRPr="00E60286">
        <w:lastRenderedPageBreak/>
        <w:t>Die Funktion Schemata_zusammenstellen</w:t>
      </w:r>
    </w:p>
    <w:p w:rsidR="00A14D36" w:rsidRPr="00336DDE" w:rsidRDefault="000C74BF" w:rsidP="00336DDE">
      <w:pPr>
        <w:pStyle w:val="Text"/>
        <w:ind w:firstLine="0"/>
      </w:pPr>
      <w:r>
        <w:t xml:space="preserve">Vgl. Erläuterung in Abschnitt </w:t>
      </w:r>
      <w:r w:rsidR="005D7996">
        <w:fldChar w:fldCharType="begin"/>
      </w:r>
      <w:r>
        <w:instrText xml:space="preserve"> REF _Ref212110965 \r \h </w:instrText>
      </w:r>
      <w:r w:rsidR="005D7996">
        <w:fldChar w:fldCharType="separate"/>
      </w:r>
      <w:r w:rsidR="001231D3">
        <w:t>5.2.2</w:t>
      </w:r>
      <w:r w:rsidR="005D7996">
        <w:fldChar w:fldCharType="end"/>
      </w:r>
      <w:r>
        <w:t>.</w:t>
      </w:r>
    </w:p>
    <w:p w:rsidR="008956A5" w:rsidRPr="00DF13E1" w:rsidRDefault="008956A5" w:rsidP="00336DDE">
      <w:pPr>
        <w:pStyle w:val="Zwischenberschrift"/>
      </w:pPr>
      <w:r w:rsidRPr="00DF13E1">
        <w:t xml:space="preserve">Die Funktion </w:t>
      </w:r>
      <w:r w:rsidR="00831930">
        <w:t>Auswahl</w:t>
      </w:r>
    </w:p>
    <w:p w:rsidR="00831930" w:rsidRDefault="00831930" w:rsidP="00336DDE">
      <w:pPr>
        <w:pStyle w:val="Text"/>
        <w:ind w:firstLine="0"/>
      </w:pPr>
      <w:r>
        <w:t xml:space="preserve">Die Funktion </w:t>
      </w:r>
      <w:r w:rsidRPr="003F15BF">
        <w:rPr>
          <w:i/>
        </w:rPr>
        <w:t>Auswahl</w:t>
      </w:r>
      <w:r>
        <w:t xml:space="preserve"> wählt aus einer Menge von Elementen, die ihr als Param</w:t>
      </w:r>
      <w:r>
        <w:t>e</w:t>
      </w:r>
      <w:r>
        <w:t xml:space="preserve">ter übergeben wird, ein Element aus (vgl. auch Abschnitt </w:t>
      </w:r>
      <w:r w:rsidR="005D7996">
        <w:fldChar w:fldCharType="begin"/>
      </w:r>
      <w:r>
        <w:instrText xml:space="preserve"> REF _Ref212110965 \r \h </w:instrText>
      </w:r>
      <w:r w:rsidR="005D7996">
        <w:fldChar w:fldCharType="separate"/>
      </w:r>
      <w:r w:rsidR="001231D3">
        <w:t>5.2.2</w:t>
      </w:r>
      <w:r w:rsidR="005D7996">
        <w:fldChar w:fldCharType="end"/>
      </w:r>
      <w:r>
        <w:t>).</w:t>
      </w:r>
    </w:p>
    <w:p w:rsidR="00507C64" w:rsidRPr="009365C7" w:rsidRDefault="00831930">
      <w:pPr>
        <w:pStyle w:val="Text"/>
        <w:rPr>
          <w:szCs w:val="20"/>
        </w:rPr>
      </w:pPr>
      <w:r>
        <w:t xml:space="preserve">Hier wird die Funktion </w:t>
      </w:r>
      <w:r w:rsidR="004E5AC3">
        <w:t xml:space="preserve">aufgerufen, wenn es mehrere Schemata gibt, </w:t>
      </w:r>
      <w:r w:rsidR="009F181A">
        <w:t xml:space="preserve">die nach dem Abgleich aller Realisierungsstellen von </w:t>
      </w:r>
      <w:r w:rsidR="009F181A" w:rsidRPr="009F181A">
        <w:rPr>
          <w:i/>
        </w:rPr>
        <w:t>R</w:t>
      </w:r>
      <w:r w:rsidR="009F181A">
        <w:t xml:space="preserve"> mit den Schemaorten noch im Rennen sind. </w:t>
      </w:r>
      <w:r>
        <w:t xml:space="preserve">Die Entscheidung </w:t>
      </w:r>
      <w:r w:rsidR="00F760B6">
        <w:t xml:space="preserve">wird dann nach </w:t>
      </w:r>
      <w:r>
        <w:t>dem Kontext getroffen</w:t>
      </w:r>
      <w:r w:rsidR="00F760B6">
        <w:t xml:space="preserve"> oder es werden </w:t>
      </w:r>
      <w:r>
        <w:t>weitere Informationen gesucht</w:t>
      </w:r>
      <w:r w:rsidR="00F760B6">
        <w:t xml:space="preserve">, </w:t>
      </w:r>
      <w:r>
        <w:t>beispielsweise indem jemand gefragt wird.</w:t>
      </w:r>
      <w:r w:rsidR="00F760B6">
        <w:rPr>
          <w:rStyle w:val="Funotenzeichen"/>
        </w:rPr>
        <w:footnoteReference w:id="534"/>
      </w:r>
      <w:bookmarkEnd w:id="420"/>
    </w:p>
    <w:p w:rsidR="00204F7D" w:rsidRDefault="007019BA" w:rsidP="007019BA">
      <w:pPr>
        <w:pStyle w:val="Titel3"/>
      </w:pPr>
      <w:bookmarkStart w:id="424" w:name="_Ref259267296"/>
      <w:bookmarkStart w:id="425" w:name="_Toc325456805"/>
      <w:bookmarkEnd w:id="423"/>
      <w:r>
        <w:t xml:space="preserve">Die Rückwirkung </w:t>
      </w:r>
      <w:r w:rsidR="00204F7D">
        <w:t>des Interpretationsprozesses auf den Merkmalsprozess</w:t>
      </w:r>
      <w:bookmarkEnd w:id="424"/>
      <w:bookmarkEnd w:id="425"/>
    </w:p>
    <w:p w:rsidR="00E06DDB" w:rsidRDefault="00E06DDB" w:rsidP="00336DDE">
      <w:pPr>
        <w:pStyle w:val="Text"/>
        <w:ind w:firstLine="0"/>
      </w:pPr>
      <w:r>
        <w:t xml:space="preserve">Es wurde bereits betont, dass Interpretationsprozess und Merkmalsprozess </w:t>
      </w:r>
      <w:r w:rsidR="00F876BF">
        <w:t>i</w:t>
      </w:r>
      <w:r w:rsidR="00F876BF">
        <w:t>n</w:t>
      </w:r>
      <w:r w:rsidR="00F876BF">
        <w:t>teragieren</w:t>
      </w:r>
      <w:r>
        <w:t>.</w:t>
      </w:r>
      <w:r w:rsidR="007C0E36">
        <w:rPr>
          <w:rStyle w:val="Funotenzeichen"/>
        </w:rPr>
        <w:footnoteReference w:id="535"/>
      </w:r>
      <w:r>
        <w:t xml:space="preserve"> Beim</w:t>
      </w:r>
      <w:r w:rsidR="002473EA">
        <w:t xml:space="preserve"> Anwenden</w:t>
      </w:r>
      <w:r>
        <w:t xml:space="preserve"> wird bei der Erzeugung der Merkmalsregeln die angestrebte Interpretation ständig berücksichtigt (vgl. Abschnitt</w:t>
      </w:r>
      <w:r w:rsidR="00CB7B3C">
        <w:t xml:space="preserve"> </w:t>
      </w:r>
      <w:r w:rsidR="005D7996">
        <w:fldChar w:fldCharType="begin"/>
      </w:r>
      <w:r w:rsidR="00CB7B3C">
        <w:instrText xml:space="preserve"> REF _Ref261443581 \r \h </w:instrText>
      </w:r>
      <w:r w:rsidR="005D7996">
        <w:fldChar w:fldCharType="separate"/>
      </w:r>
      <w:r w:rsidR="001231D3">
        <w:t>7.3.1</w:t>
      </w:r>
      <w:r w:rsidR="005D7996">
        <w:fldChar w:fldCharType="end"/>
      </w:r>
      <w:r>
        <w:t xml:space="preserve">); dieser Prozess findet vermutlich parallel und in Interaktion mit der Einschreibung der Merkmalsregeln in die Realisierung statt (in Abschnitt </w:t>
      </w:r>
      <w:r w:rsidR="005D7996">
        <w:fldChar w:fldCharType="begin"/>
      </w:r>
      <w:r>
        <w:instrText xml:space="preserve"> REF _Ref212110965 \r \h </w:instrText>
      </w:r>
      <w:r w:rsidR="005D7996">
        <w:fldChar w:fldCharType="separate"/>
      </w:r>
      <w:r w:rsidR="001231D3">
        <w:t>5.2.2</w:t>
      </w:r>
      <w:r w:rsidR="005D7996">
        <w:fldChar w:fldCharType="end"/>
      </w:r>
      <w:r w:rsidR="00F876BF">
        <w:t xml:space="preserve"> wurde dieser Ablauf aus Gründen der analytischen Klarheit in einzelne Schritte unterteilt</w:t>
      </w:r>
      <w:r>
        <w:t>).</w:t>
      </w:r>
      <w:r w:rsidR="00F876BF">
        <w:t xml:space="preserve"> Beim </w:t>
      </w:r>
      <w:r w:rsidR="00663B18">
        <w:t xml:space="preserve">Wahrnehmen </w:t>
      </w:r>
      <w:r w:rsidR="00F876BF">
        <w:t>von Stilen ist es plausibel, dass die Interpretation beginnt, wenn eine gewisse Anzahl an Merkmalsregeln ausgelesen ist, und dass dann nach B</w:t>
      </w:r>
      <w:r w:rsidR="00F876BF">
        <w:t>e</w:t>
      </w:r>
      <w:r w:rsidR="00F876BF">
        <w:t>darf weitere Merkmalsregeln ausgelesen werden. Dies wurde wiederum verei</w:t>
      </w:r>
      <w:r w:rsidR="00F876BF">
        <w:t>n</w:t>
      </w:r>
      <w:r w:rsidR="00F876BF">
        <w:t>facht dargestellt, um zu vermeiden, dass immer zwischen den beiden Prozessen hin- und hergesprungen werden muss.</w:t>
      </w:r>
    </w:p>
    <w:p w:rsidR="00F876BF" w:rsidRDefault="00F876BF">
      <w:pPr>
        <w:pStyle w:val="Text"/>
      </w:pPr>
      <w:r>
        <w:t>Sowohl beim</w:t>
      </w:r>
      <w:r w:rsidR="002473EA">
        <w:t xml:space="preserve"> Anwenden</w:t>
      </w:r>
      <w:r>
        <w:t xml:space="preserve"> als auch beim </w:t>
      </w:r>
      <w:r w:rsidR="00663B18">
        <w:t xml:space="preserve">Wahrnehmen </w:t>
      </w:r>
      <w:r>
        <w:t>von Stilen rechtfertigt sich die vereinfachte Darstellung zum einen durch die größere analytische Kla</w:t>
      </w:r>
      <w:r>
        <w:t>r</w:t>
      </w:r>
      <w:r>
        <w:t>heit – es kann zwar eine allgemeine Darstellung für die Prozesse, aber nicht für die genaue Art ihrer Interaktion gegeben werden –, zum anderen dadurch, dass tatsächlich ein solcher getrennter Ablauf möglich ist; dies ist der einfachste Fall. In komplexeren Fällen kommt es zu einem Zurückspringen in den Merkmal</w:t>
      </w:r>
      <w:r>
        <w:t>s</w:t>
      </w:r>
      <w:r>
        <w:t>prozess während</w:t>
      </w:r>
      <w:r w:rsidR="00EE46FC">
        <w:t xml:space="preserve"> </w:t>
      </w:r>
      <w:r>
        <w:t>des Interpretationsprozesses</w:t>
      </w:r>
      <w:r w:rsidR="00EE46FC">
        <w:t>, um ausgehend von den erzeugten Ergebnissen nach weiteren Merkmalen zu suchen</w:t>
      </w:r>
      <w:r>
        <w:t>.</w:t>
      </w:r>
    </w:p>
    <w:p w:rsidR="00E3356B" w:rsidRDefault="00F876BF">
      <w:pPr>
        <w:pStyle w:val="Text"/>
      </w:pPr>
      <w:r>
        <w:lastRenderedPageBreak/>
        <w:t xml:space="preserve">Im Folgenden soll exemplarisch eine </w:t>
      </w:r>
      <w:r w:rsidR="001F246B">
        <w:t xml:space="preserve">einfache </w:t>
      </w:r>
      <w:r>
        <w:t xml:space="preserve">Art der </w:t>
      </w:r>
      <w:r w:rsidR="001F246B">
        <w:t xml:space="preserve">Rückwirkung </w:t>
      </w:r>
      <w:r>
        <w:t>darg</w:t>
      </w:r>
      <w:r>
        <w:t>e</w:t>
      </w:r>
      <w:r>
        <w:t>stellt werden: Dabei werden die nicht für die Interpretation verwendeten Mer</w:t>
      </w:r>
      <w:r>
        <w:t>k</w:t>
      </w:r>
      <w:r>
        <w:t xml:space="preserve">malsregeln, </w:t>
      </w:r>
      <w:r w:rsidR="006B2103">
        <w:t xml:space="preserve">denen </w:t>
      </w:r>
      <w:r>
        <w:t xml:space="preserve">nicht speziell </w:t>
      </w:r>
      <w:r w:rsidR="006B2103">
        <w:t xml:space="preserve">Interesse </w:t>
      </w:r>
      <w:r>
        <w:t xml:space="preserve">gewidmet wird, aus </w:t>
      </w:r>
      <w:r w:rsidRPr="00F876BF">
        <w:rPr>
          <w:i/>
        </w:rPr>
        <w:t>B</w:t>
      </w:r>
      <w:r>
        <w:t xml:space="preserve"> entfernt.</w:t>
      </w:r>
      <w:r w:rsidR="0080147D">
        <w:t xml:space="preserve"> Diese Variante geht davon aus, dass wir isolierte Merkmal</w:t>
      </w:r>
      <w:r w:rsidR="00DB33A9">
        <w:t>sregeln</w:t>
      </w:r>
      <w:r w:rsidR="0080147D">
        <w:t xml:space="preserve"> von Stilen, aus denen sich nichts entnehmen lässt und die in keinem Zusammenhang zu anderen Merk</w:t>
      </w:r>
      <w:r w:rsidR="00BD2604">
        <w:softHyphen/>
      </w:r>
      <w:r w:rsidR="0080147D">
        <w:t xml:space="preserve">malen stehen, nur dann berücksichtigen, wenn sie </w:t>
      </w:r>
      <w:r w:rsidR="006B2103">
        <w:t xml:space="preserve">auffällig oder ungewöhnlich genug sind, um </w:t>
      </w:r>
      <w:r w:rsidR="0080147D">
        <w:t xml:space="preserve">auch einzeln unser </w:t>
      </w:r>
      <w:r w:rsidR="006B2103">
        <w:t>Interesse zu wecken</w:t>
      </w:r>
      <w:r w:rsidR="0080147D">
        <w:t>.</w:t>
      </w:r>
      <w:r w:rsidR="009D6A35">
        <w:rPr>
          <w:rStyle w:val="Funotenzeichen"/>
        </w:rPr>
        <w:footnoteReference w:id="536"/>
      </w:r>
    </w:p>
    <w:p w:rsidR="00204F7D" w:rsidRPr="00E3356B" w:rsidRDefault="00E3356B" w:rsidP="00336DDE">
      <w:pPr>
        <w:pStyle w:val="Zwischenberschrift"/>
      </w:pPr>
      <w:r w:rsidRPr="00E3356B">
        <w:t>Variante</w:t>
      </w:r>
      <w:r>
        <w:t xml:space="preserve"> des Interpretationsprozesses mit Reduzierung von B</w:t>
      </w:r>
      <w:r w:rsidRPr="00E3356B">
        <w:t>:</w:t>
      </w:r>
    </w:p>
    <w:p w:rsidR="00872C99" w:rsidRDefault="00544EB0" w:rsidP="00336DDE">
      <w:pPr>
        <w:pStyle w:val="Text"/>
        <w:ind w:firstLine="0"/>
      </w:pPr>
      <w:r>
        <w:t xml:space="preserve">In der Funktion </w:t>
      </w:r>
      <w:r w:rsidRPr="0093421A">
        <w:rPr>
          <w:i/>
        </w:rPr>
        <w:t>Ergebnisse</w:t>
      </w:r>
      <w:r>
        <w:t xml:space="preserve"> </w:t>
      </w:r>
      <w:r w:rsidR="00CF0254">
        <w:t xml:space="preserve">werden </w:t>
      </w:r>
      <w:r w:rsidR="00941BD9">
        <w:t xml:space="preserve">die </w:t>
      </w:r>
      <w:r w:rsidR="00140F19">
        <w:t xml:space="preserve">im jeweiligen Interpretationsschritt </w:t>
      </w:r>
      <w:r w:rsidR="00941BD9">
        <w:t>ve</w:t>
      </w:r>
      <w:r w:rsidR="00941BD9">
        <w:t>r</w:t>
      </w:r>
      <w:r w:rsidR="00941BD9">
        <w:t>wendeten Merkmalsregeln</w:t>
      </w:r>
      <w:r w:rsidR="00140F19">
        <w:t xml:space="preserve"> </w:t>
      </w:r>
      <w:r w:rsidR="00140F19" w:rsidRPr="00680CCF">
        <w:rPr>
          <w:i/>
          <w:color w:val="000000" w:themeColor="text1"/>
        </w:rPr>
        <w:t>P</w:t>
      </w:r>
      <w:r w:rsidR="00941BD9">
        <w:t xml:space="preserve">, sofern </w:t>
      </w:r>
      <w:r w:rsidR="00941BD9" w:rsidRPr="00402D7E">
        <w:rPr>
          <w:i/>
          <w:color w:val="000000" w:themeColor="text1"/>
        </w:rPr>
        <w:t>E</w:t>
      </w:r>
      <w:r w:rsidR="007C0E36">
        <w:rPr>
          <w:i/>
          <w:color w:val="000000" w:themeColor="text1"/>
        </w:rPr>
        <w:t>r</w:t>
      </w:r>
      <w:r w:rsidR="00941BD9" w:rsidRPr="00402D7E">
        <w:rPr>
          <w:i/>
          <w:color w:val="000000" w:themeColor="text1"/>
        </w:rPr>
        <w:t>*</w:t>
      </w:r>
      <w:r w:rsidR="00941BD9" w:rsidRPr="00402D7E">
        <w:rPr>
          <w:color w:val="000000" w:themeColor="text1"/>
        </w:rPr>
        <w:t xml:space="preserve"> </w:t>
      </w:r>
      <w:r w:rsidR="00941BD9" w:rsidRPr="00402D7E">
        <w:rPr>
          <w:rFonts w:eastAsia="Arial Unicode MS" w:cs="Times New Roman"/>
          <w:color w:val="000000" w:themeColor="text1"/>
        </w:rPr>
        <w:t>≠</w:t>
      </w:r>
      <w:r w:rsidR="00941BD9" w:rsidRPr="00402D7E">
        <w:rPr>
          <w:color w:val="000000" w:themeColor="text1"/>
        </w:rPr>
        <w:t xml:space="preserve"> </w:t>
      </w:r>
      <w:r w:rsidR="00941BD9" w:rsidRPr="00913424">
        <w:rPr>
          <w:color w:val="000000" w:themeColor="text1"/>
          <w:position w:val="-6"/>
        </w:rPr>
        <w:object w:dxaOrig="260" w:dyaOrig="279">
          <v:shape id="_x0000_i1060" type="#_x0000_t75" style="width:14pt;height:13.6pt" o:ole="">
            <v:imagedata r:id="rId70" o:title=""/>
          </v:shape>
          <o:OLEObject Type="Embed" ProgID="Equation.3" ShapeID="_x0000_i1060" DrawAspect="Content" ObjectID="_1460983901" r:id="rId81"/>
        </w:object>
      </w:r>
      <w:r w:rsidR="00941BD9">
        <w:t xml:space="preserve"> ist, in die Menge </w:t>
      </w:r>
      <w:r w:rsidR="002A7646" w:rsidRPr="002A7646">
        <w:rPr>
          <w:i/>
          <w:color w:val="000000" w:themeColor="text1"/>
        </w:rPr>
        <w:t>B</w:t>
      </w:r>
      <w:r w:rsidR="002A7646" w:rsidRPr="002A7646">
        <w:rPr>
          <w:i/>
          <w:color w:val="000000" w:themeColor="text1"/>
          <w:vertAlign w:val="superscript"/>
        </w:rPr>
        <w:t>+</w:t>
      </w:r>
      <w:r w:rsidR="00941BD9">
        <w:t xml:space="preserve"> geschrieben</w:t>
      </w:r>
      <w:r w:rsidR="00CF0254">
        <w:t>, die</w:t>
      </w:r>
      <w:r w:rsidR="00941BD9">
        <w:t xml:space="preserve"> als Parameter an die Funktion übergeben und von ihr wieder zurückgegeben </w:t>
      </w:r>
      <w:r w:rsidR="00CF0254">
        <w:t>wird</w:t>
      </w:r>
      <w:r w:rsidR="00941BD9">
        <w:t>.</w:t>
      </w:r>
    </w:p>
    <w:p w:rsidR="00872C99" w:rsidRDefault="00872C99" w:rsidP="00704402">
      <w:pPr>
        <w:pStyle w:val="Text"/>
        <w:keepNext/>
        <w:spacing w:before="360"/>
        <w:ind w:firstLine="0"/>
        <w:jc w:val="left"/>
        <w:rPr>
          <w:color w:val="000000" w:themeColor="text1"/>
        </w:rPr>
      </w:pPr>
      <w:r w:rsidRPr="00680CCF">
        <w:rPr>
          <w:color w:val="000000" w:themeColor="text1"/>
        </w:rPr>
        <w:t>function Ergebnisse (</w:t>
      </w:r>
      <w:r w:rsidRPr="00680CCF">
        <w:rPr>
          <w:i/>
          <w:color w:val="000000" w:themeColor="text1"/>
        </w:rPr>
        <w:t>P</w:t>
      </w:r>
      <w:r w:rsidRPr="00680CCF">
        <w:rPr>
          <w:color w:val="000000" w:themeColor="text1"/>
        </w:rPr>
        <w:t xml:space="preserve">, </w:t>
      </w:r>
      <w:r w:rsidRPr="00680CCF">
        <w:rPr>
          <w:i/>
          <w:color w:val="000000" w:themeColor="text1"/>
        </w:rPr>
        <w:t>Q</w:t>
      </w:r>
      <w:r w:rsidRPr="00680CCF">
        <w:rPr>
          <w:color w:val="000000" w:themeColor="text1"/>
        </w:rPr>
        <w:t xml:space="preserve">, </w:t>
      </w:r>
      <w:r w:rsidRPr="00680CCF">
        <w:rPr>
          <w:i/>
          <w:color w:val="000000" w:themeColor="text1"/>
        </w:rPr>
        <w:t>R</w:t>
      </w:r>
      <w:r w:rsidRPr="00680CCF">
        <w:rPr>
          <w:color w:val="000000" w:themeColor="text1"/>
        </w:rPr>
        <w:t xml:space="preserve">, </w:t>
      </w:r>
      <w:r w:rsidR="002504C6">
        <w:rPr>
          <w:i/>
          <w:color w:val="000000" w:themeColor="text1"/>
        </w:rPr>
        <w:t>E</w:t>
      </w:r>
      <w:r w:rsidR="007C0E36">
        <w:rPr>
          <w:i/>
          <w:color w:val="000000" w:themeColor="text1"/>
        </w:rPr>
        <w:t>r</w:t>
      </w:r>
      <w:r w:rsidR="002504C6" w:rsidRPr="00680CCF">
        <w:rPr>
          <w:color w:val="000000" w:themeColor="text1"/>
        </w:rPr>
        <w:t>,</w:t>
      </w:r>
      <w:r w:rsidR="002504C6">
        <w:rPr>
          <w:color w:val="000000" w:themeColor="text1"/>
        </w:rPr>
        <w:t xml:space="preserve"> </w:t>
      </w:r>
      <w:r w:rsidRPr="00DA074B">
        <w:rPr>
          <w:i/>
          <w:color w:val="000000" w:themeColor="text1"/>
        </w:rPr>
        <w:t>O</w:t>
      </w:r>
      <w:r>
        <w:rPr>
          <w:i/>
          <w:color w:val="000000" w:themeColor="text1"/>
        </w:rPr>
        <w:t>p</w:t>
      </w:r>
      <w:r w:rsidRPr="00680CCF">
        <w:rPr>
          <w:color w:val="000000" w:themeColor="text1"/>
        </w:rPr>
        <w:t>,</w:t>
      </w:r>
      <w:r>
        <w:rPr>
          <w:i/>
          <w:color w:val="000000" w:themeColor="text1"/>
        </w:rPr>
        <w:t xml:space="preserve"> G</w:t>
      </w:r>
      <w:r w:rsidRPr="00680CCF">
        <w:rPr>
          <w:color w:val="000000" w:themeColor="text1"/>
        </w:rPr>
        <w:t>,</w:t>
      </w:r>
      <w:r>
        <w:rPr>
          <w:color w:val="000000" w:themeColor="text1"/>
        </w:rPr>
        <w:t xml:space="preserve"> </w:t>
      </w:r>
      <w:r>
        <w:rPr>
          <w:i/>
          <w:color w:val="000000" w:themeColor="text1"/>
        </w:rPr>
        <w:t>Z</w:t>
      </w:r>
      <w:r>
        <w:rPr>
          <w:color w:val="000000" w:themeColor="text1"/>
        </w:rPr>
        <w:t xml:space="preserve">, </w:t>
      </w:r>
      <w:r w:rsidRPr="002A7646">
        <w:rPr>
          <w:i/>
          <w:color w:val="000000" w:themeColor="text1"/>
        </w:rPr>
        <w:t>B</w:t>
      </w:r>
      <w:r w:rsidRPr="002A7646">
        <w:rPr>
          <w:i/>
          <w:color w:val="000000" w:themeColor="text1"/>
          <w:vertAlign w:val="superscript"/>
        </w:rPr>
        <w:t>+</w:t>
      </w:r>
      <w:r>
        <w:rPr>
          <w:color w:val="000000" w:themeColor="text1"/>
        </w:rPr>
        <w:t>)</w:t>
      </w:r>
    </w:p>
    <w:p w:rsidR="00872C99" w:rsidRDefault="00984F61" w:rsidP="00984F61">
      <w:pPr>
        <w:pStyle w:val="Text"/>
        <w:keepNext/>
        <w:ind w:firstLine="0"/>
        <w:jc w:val="left"/>
      </w:pPr>
      <w:r>
        <w:rPr>
          <w:color w:val="000000" w:themeColor="text1"/>
        </w:rPr>
        <w:t xml:space="preserve">   </w:t>
      </w:r>
      <w:r w:rsidR="00872C99" w:rsidRPr="004C1651">
        <w:rPr>
          <w:color w:val="000000" w:themeColor="text1"/>
        </w:rPr>
        <w:t>…</w:t>
      </w:r>
    </w:p>
    <w:p w:rsidR="00193187" w:rsidRPr="00445E88" w:rsidRDefault="00193187" w:rsidP="00BD2604">
      <w:pPr>
        <w:pStyle w:val="Text"/>
        <w:ind w:hanging="369"/>
        <w:jc w:val="left"/>
        <w:rPr>
          <w:color w:val="000000" w:themeColor="text1"/>
        </w:rPr>
      </w:pPr>
      <w:r w:rsidRPr="000A351F">
        <w:rPr>
          <w:sz w:val="16"/>
          <w:szCs w:val="16"/>
        </w:rPr>
        <w:t>10</w:t>
      </w:r>
      <w:r w:rsidRPr="00445E88">
        <w:tab/>
      </w:r>
      <w:r w:rsidRPr="00EA2FEC">
        <w:rPr>
          <w:color w:val="000000" w:themeColor="text1"/>
        </w:rPr>
        <w:t xml:space="preserve">         </w:t>
      </w:r>
      <w:r>
        <w:rPr>
          <w:color w:val="000000" w:themeColor="text1"/>
        </w:rPr>
        <w:t>if</w:t>
      </w:r>
      <w:r w:rsidRPr="00402D7E">
        <w:rPr>
          <w:color w:val="000000" w:themeColor="text1"/>
        </w:rPr>
        <w:t xml:space="preserve"> </w:t>
      </w:r>
      <w:r w:rsidR="000E0006">
        <w:rPr>
          <w:color w:val="000000" w:themeColor="text1"/>
        </w:rPr>
        <w:t>(</w:t>
      </w:r>
      <w:r w:rsidRPr="00402D7E">
        <w:rPr>
          <w:i/>
          <w:color w:val="000000" w:themeColor="text1"/>
        </w:rPr>
        <w:t>E</w:t>
      </w:r>
      <w:r w:rsidR="007C0E36">
        <w:rPr>
          <w:i/>
          <w:color w:val="000000" w:themeColor="text1"/>
        </w:rPr>
        <w:t>r</w:t>
      </w:r>
      <w:r w:rsidRPr="00402D7E">
        <w:rPr>
          <w:i/>
          <w:color w:val="000000" w:themeColor="text1"/>
        </w:rPr>
        <w:t>*</w:t>
      </w:r>
      <w:r w:rsidRPr="00402D7E">
        <w:rPr>
          <w:color w:val="000000" w:themeColor="text1"/>
        </w:rPr>
        <w:t xml:space="preserve"> </w:t>
      </w:r>
      <w:r w:rsidRPr="00402D7E">
        <w:rPr>
          <w:rFonts w:eastAsia="Arial Unicode MS" w:cs="Times New Roman"/>
          <w:color w:val="000000" w:themeColor="text1"/>
        </w:rPr>
        <w:t>≠</w:t>
      </w:r>
      <w:r w:rsidRPr="00402D7E">
        <w:rPr>
          <w:color w:val="000000" w:themeColor="text1"/>
        </w:rPr>
        <w:t xml:space="preserve"> </w:t>
      </w:r>
      <w:r w:rsidRPr="00913424">
        <w:rPr>
          <w:color w:val="000000" w:themeColor="text1"/>
          <w:position w:val="-6"/>
        </w:rPr>
        <w:object w:dxaOrig="260" w:dyaOrig="279">
          <v:shape id="_x0000_i1061" type="#_x0000_t75" style="width:14pt;height:13.6pt" o:ole="">
            <v:imagedata r:id="rId70" o:title=""/>
          </v:shape>
          <o:OLEObject Type="Embed" ProgID="Equation.3" ShapeID="_x0000_i1061" DrawAspect="Content" ObjectID="_1460983902" r:id="rId82"/>
        </w:object>
      </w:r>
      <w:r w:rsidR="00DC5087">
        <w:t>)</w:t>
      </w:r>
      <w:r w:rsidR="00DC5087" w:rsidRPr="008D4114">
        <w:t xml:space="preserve"> </w:t>
      </w:r>
      <w:r w:rsidR="00DC5087" w:rsidRPr="008D4114">
        <w:rPr>
          <w:rFonts w:ascii="Cambria Math" w:hAnsi="Cambria Math" w:cs="Cambria Math"/>
          <w:color w:val="000000" w:themeColor="text1"/>
        </w:rPr>
        <w:t>∧</w:t>
      </w:r>
      <w:r w:rsidR="00DC5087" w:rsidRPr="008D4114">
        <w:t xml:space="preserve"> (</w:t>
      </w:r>
      <w:r w:rsidR="00DC5087">
        <w:t>Auswahl {0, 1} = 1)</w:t>
      </w:r>
    </w:p>
    <w:p w:rsidR="00872C99" w:rsidRDefault="00872C99" w:rsidP="000A351F">
      <w:pPr>
        <w:pStyle w:val="Text"/>
        <w:ind w:firstLine="0"/>
        <w:jc w:val="left"/>
        <w:rPr>
          <w:color w:val="000000" w:themeColor="text1"/>
        </w:rPr>
      </w:pPr>
      <w:r>
        <w:rPr>
          <w:color w:val="000000" w:themeColor="text1"/>
        </w:rPr>
        <w:t xml:space="preserve">   </w:t>
      </w:r>
      <w:r w:rsidRPr="00EA2FEC">
        <w:rPr>
          <w:color w:val="000000" w:themeColor="text1"/>
        </w:rPr>
        <w:t xml:space="preserve">         </w:t>
      </w:r>
      <w:r w:rsidRPr="00943242">
        <w:rPr>
          <w:i/>
          <w:color w:val="000000" w:themeColor="text1"/>
        </w:rPr>
        <w:t>G</w:t>
      </w:r>
      <w:r>
        <w:rPr>
          <w:color w:val="000000" w:themeColor="text1"/>
        </w:rPr>
        <w:t xml:space="preserve">, </w:t>
      </w:r>
      <w:r>
        <w:rPr>
          <w:i/>
          <w:color w:val="000000" w:themeColor="text1"/>
        </w:rPr>
        <w:t>Z</w:t>
      </w:r>
      <w:r>
        <w:rPr>
          <w:color w:val="000000" w:themeColor="text1"/>
        </w:rPr>
        <w:t xml:space="preserve"> := </w:t>
      </w:r>
      <w:r w:rsidRPr="00EA2FEC">
        <w:rPr>
          <w:color w:val="000000" w:themeColor="text1"/>
        </w:rPr>
        <w:t>Interpretation</w:t>
      </w:r>
      <w:r w:rsidR="00445E88" w:rsidRPr="00445E88">
        <w:t>sschritt</w:t>
      </w:r>
      <w:r w:rsidRPr="00EA2FEC">
        <w:rPr>
          <w:color w:val="000000" w:themeColor="text1"/>
        </w:rPr>
        <w:t>_schreiben (</w:t>
      </w:r>
      <w:r w:rsidRPr="00680CCF">
        <w:rPr>
          <w:i/>
          <w:color w:val="000000" w:themeColor="text1"/>
        </w:rPr>
        <w:t>P</w:t>
      </w:r>
      <w:r w:rsidRPr="00680CCF">
        <w:rPr>
          <w:color w:val="000000" w:themeColor="text1"/>
        </w:rPr>
        <w:t xml:space="preserve">, </w:t>
      </w:r>
      <w:r w:rsidRPr="00680CCF">
        <w:rPr>
          <w:i/>
          <w:color w:val="000000" w:themeColor="text1"/>
        </w:rPr>
        <w:t>Q</w:t>
      </w:r>
      <w:r w:rsidRPr="00680CCF">
        <w:rPr>
          <w:color w:val="000000" w:themeColor="text1"/>
        </w:rPr>
        <w:t xml:space="preserve">, </w:t>
      </w:r>
      <w:r w:rsidRPr="00680CCF">
        <w:rPr>
          <w:i/>
          <w:color w:val="000000" w:themeColor="text1"/>
        </w:rPr>
        <w:t>R</w:t>
      </w:r>
      <w:r w:rsidRPr="00680CCF">
        <w:rPr>
          <w:color w:val="000000" w:themeColor="text1"/>
        </w:rPr>
        <w:t>,</w:t>
      </w:r>
      <w:r>
        <w:rPr>
          <w:color w:val="000000" w:themeColor="text1"/>
        </w:rPr>
        <w:t xml:space="preserve"> </w:t>
      </w:r>
      <w:r w:rsidRPr="00EA2FEC">
        <w:rPr>
          <w:i/>
          <w:color w:val="000000" w:themeColor="text1"/>
        </w:rPr>
        <w:t>E</w:t>
      </w:r>
      <w:r w:rsidR="007C0E36">
        <w:rPr>
          <w:i/>
          <w:color w:val="000000" w:themeColor="text1"/>
        </w:rPr>
        <w:t>r</w:t>
      </w:r>
      <w:r w:rsidRPr="00EA2FEC">
        <w:rPr>
          <w:i/>
          <w:color w:val="000000" w:themeColor="text1"/>
        </w:rPr>
        <w:t>*</w:t>
      </w:r>
      <w:r w:rsidRPr="00680CCF">
        <w:rPr>
          <w:color w:val="000000" w:themeColor="text1"/>
        </w:rPr>
        <w:t>,</w:t>
      </w:r>
      <w:r w:rsidRPr="00B7370D">
        <w:rPr>
          <w:i/>
          <w:color w:val="000000" w:themeColor="text1"/>
        </w:rPr>
        <w:t xml:space="preserve"> </w:t>
      </w:r>
      <w:r w:rsidRPr="00146081">
        <w:rPr>
          <w:i/>
          <w:color w:val="000000" w:themeColor="text1"/>
        </w:rPr>
        <w:t>Op</w:t>
      </w:r>
      <w:r w:rsidRPr="00146081">
        <w:rPr>
          <w:i/>
          <w:color w:val="000000" w:themeColor="text1"/>
          <w:vertAlign w:val="subscript"/>
        </w:rPr>
        <w:t>h</w:t>
      </w:r>
      <w:r w:rsidRPr="00680CCF">
        <w:rPr>
          <w:color w:val="000000" w:themeColor="text1"/>
        </w:rPr>
        <w:t>,</w:t>
      </w:r>
      <w:r>
        <w:rPr>
          <w:color w:val="000000" w:themeColor="text1"/>
        </w:rPr>
        <w:t xml:space="preserve"> </w:t>
      </w:r>
      <w:r>
        <w:rPr>
          <w:i/>
          <w:color w:val="000000" w:themeColor="text1"/>
        </w:rPr>
        <w:t>G</w:t>
      </w:r>
      <w:r w:rsidRPr="00680CCF">
        <w:rPr>
          <w:color w:val="000000" w:themeColor="text1"/>
        </w:rPr>
        <w:t>,</w:t>
      </w:r>
      <w:r>
        <w:rPr>
          <w:color w:val="000000" w:themeColor="text1"/>
        </w:rPr>
        <w:t xml:space="preserve"> </w:t>
      </w:r>
      <w:r>
        <w:rPr>
          <w:i/>
          <w:color w:val="000000" w:themeColor="text1"/>
        </w:rPr>
        <w:t>Z</w:t>
      </w:r>
      <w:r>
        <w:rPr>
          <w:color w:val="000000" w:themeColor="text1"/>
        </w:rPr>
        <w:t>)</w:t>
      </w:r>
    </w:p>
    <w:p w:rsidR="000E0006" w:rsidRPr="00621342" w:rsidRDefault="000E0006" w:rsidP="000A351F">
      <w:pPr>
        <w:pStyle w:val="Text"/>
        <w:ind w:firstLine="0"/>
        <w:jc w:val="left"/>
        <w:rPr>
          <w:color w:val="000000" w:themeColor="text1"/>
        </w:rPr>
      </w:pPr>
      <w:r>
        <w:rPr>
          <w:color w:val="000000" w:themeColor="text1"/>
        </w:rPr>
        <w:t xml:space="preserve">   </w:t>
      </w:r>
      <w:r w:rsidRPr="00D35456">
        <w:rPr>
          <w:color w:val="000000" w:themeColor="text1"/>
        </w:rPr>
        <w:t xml:space="preserve">      </w:t>
      </w:r>
      <w:r w:rsidRPr="00621342">
        <w:rPr>
          <w:color w:val="000000" w:themeColor="text1"/>
        </w:rPr>
        <w:t>end</w:t>
      </w:r>
    </w:p>
    <w:p w:rsidR="00193187" w:rsidRPr="00621342" w:rsidRDefault="00E53632" w:rsidP="000A351F">
      <w:pPr>
        <w:pStyle w:val="Text"/>
        <w:ind w:firstLine="0"/>
        <w:jc w:val="left"/>
        <w:rPr>
          <w:i/>
          <w:color w:val="000000" w:themeColor="text1"/>
        </w:rPr>
      </w:pPr>
      <w:r w:rsidRPr="00621342">
        <w:rPr>
          <w:color w:val="000000" w:themeColor="text1"/>
        </w:rPr>
        <w:t xml:space="preserve">         </w:t>
      </w:r>
      <w:r w:rsidRPr="00621342">
        <w:rPr>
          <w:i/>
          <w:color w:val="000000" w:themeColor="text1"/>
        </w:rPr>
        <w:t>E</w:t>
      </w:r>
      <w:r w:rsidR="007C0E36" w:rsidRPr="00621342">
        <w:rPr>
          <w:i/>
          <w:color w:val="000000" w:themeColor="text1"/>
        </w:rPr>
        <w:t>r</w:t>
      </w:r>
      <w:r w:rsidRPr="00621342">
        <w:rPr>
          <w:i/>
          <w:color w:val="000000" w:themeColor="text1"/>
        </w:rPr>
        <w:t xml:space="preserve"> </w:t>
      </w:r>
      <w:r w:rsidRPr="00621342">
        <w:rPr>
          <w:color w:val="000000" w:themeColor="text1"/>
        </w:rPr>
        <w:t xml:space="preserve">:= </w:t>
      </w:r>
      <w:r w:rsidRPr="00621342">
        <w:rPr>
          <w:i/>
          <w:color w:val="000000" w:themeColor="text1"/>
        </w:rPr>
        <w:t>E</w:t>
      </w:r>
      <w:r w:rsidR="007C0E36" w:rsidRPr="00621342">
        <w:rPr>
          <w:i/>
          <w:color w:val="000000" w:themeColor="text1"/>
        </w:rPr>
        <w:t>r</w:t>
      </w:r>
      <w:r w:rsidRPr="00621342">
        <w:rPr>
          <w:color w:val="000000" w:themeColor="text1"/>
        </w:rPr>
        <w:t xml:space="preserve"> </w:t>
      </w:r>
      <w:r w:rsidR="00E235A0" w:rsidRPr="00621342">
        <w:rPr>
          <w:rFonts w:ascii="Cambria Math" w:eastAsia="Arial Unicode MS" w:hAnsi="Cambria Math" w:cs="Arial Unicode MS"/>
          <w:color w:val="000000" w:themeColor="text1"/>
        </w:rPr>
        <w:t>∪</w:t>
      </w:r>
      <w:r w:rsidRPr="00621342">
        <w:rPr>
          <w:color w:val="000000" w:themeColor="text1"/>
        </w:rPr>
        <w:t xml:space="preserve"> </w:t>
      </w:r>
      <w:r w:rsidRPr="00621342">
        <w:rPr>
          <w:i/>
          <w:color w:val="000000" w:themeColor="text1"/>
        </w:rPr>
        <w:t>E</w:t>
      </w:r>
      <w:r w:rsidR="007C0E36" w:rsidRPr="00621342">
        <w:rPr>
          <w:i/>
          <w:color w:val="000000" w:themeColor="text1"/>
        </w:rPr>
        <w:t>r</w:t>
      </w:r>
      <w:r w:rsidRPr="00621342">
        <w:rPr>
          <w:i/>
          <w:color w:val="000000" w:themeColor="text1"/>
        </w:rPr>
        <w:t>*</w:t>
      </w:r>
    </w:p>
    <w:p w:rsidR="000E0006" w:rsidRPr="002D53E0" w:rsidRDefault="000E0006" w:rsidP="000A351F">
      <w:pPr>
        <w:pStyle w:val="Text"/>
        <w:ind w:firstLine="0"/>
        <w:jc w:val="left"/>
        <w:rPr>
          <w:color w:val="000000" w:themeColor="text1"/>
        </w:rPr>
      </w:pPr>
      <w:r w:rsidRPr="00621342">
        <w:rPr>
          <w:color w:val="000000" w:themeColor="text1"/>
        </w:rPr>
        <w:t xml:space="preserve">         </w:t>
      </w:r>
      <w:r w:rsidRPr="002D53E0">
        <w:rPr>
          <w:color w:val="000000" w:themeColor="text1"/>
        </w:rPr>
        <w:t xml:space="preserve">if </w:t>
      </w:r>
      <w:r w:rsidRPr="002D53E0">
        <w:rPr>
          <w:i/>
          <w:color w:val="000000" w:themeColor="text1"/>
        </w:rPr>
        <w:t>Er*</w:t>
      </w:r>
      <w:r w:rsidRPr="002D53E0">
        <w:rPr>
          <w:color w:val="000000" w:themeColor="text1"/>
        </w:rPr>
        <w:t xml:space="preserve"> </w:t>
      </w:r>
      <w:r w:rsidRPr="002D53E0">
        <w:rPr>
          <w:rFonts w:eastAsia="Arial Unicode MS" w:cs="Times New Roman"/>
          <w:color w:val="000000" w:themeColor="text1"/>
        </w:rPr>
        <w:t>≠</w:t>
      </w:r>
      <w:r w:rsidRPr="002D53E0">
        <w:rPr>
          <w:color w:val="000000" w:themeColor="text1"/>
        </w:rPr>
        <w:t xml:space="preserve"> </w:t>
      </w:r>
      <w:r w:rsidRPr="00913424">
        <w:rPr>
          <w:color w:val="000000" w:themeColor="text1"/>
          <w:position w:val="-6"/>
        </w:rPr>
        <w:object w:dxaOrig="260" w:dyaOrig="279">
          <v:shape id="_x0000_i1062" type="#_x0000_t75" style="width:14pt;height:13.6pt" o:ole="">
            <v:imagedata r:id="rId70" o:title=""/>
          </v:shape>
          <o:OLEObject Type="Embed" ProgID="Equation.3" ShapeID="_x0000_i1062" DrawAspect="Content" ObjectID="_1460983903" r:id="rId83"/>
        </w:object>
      </w:r>
    </w:p>
    <w:p w:rsidR="00702FB4" w:rsidRPr="00184BB3" w:rsidRDefault="00702FB4" w:rsidP="00BD2604">
      <w:pPr>
        <w:pStyle w:val="Text"/>
        <w:ind w:hanging="369"/>
        <w:jc w:val="left"/>
        <w:rPr>
          <w:color w:val="000000" w:themeColor="text1"/>
          <w:lang w:val="en-US"/>
        </w:rPr>
      </w:pPr>
      <w:r w:rsidRPr="00184BB3">
        <w:rPr>
          <w:sz w:val="16"/>
          <w:szCs w:val="16"/>
          <w:lang w:val="en-US"/>
        </w:rPr>
        <w:t>15</w:t>
      </w:r>
      <w:r w:rsidRPr="00184BB3">
        <w:rPr>
          <w:lang w:val="en-US"/>
        </w:rPr>
        <w:tab/>
      </w:r>
      <w:r w:rsidR="000E0006" w:rsidRPr="00184BB3">
        <w:rPr>
          <w:color w:val="000000" w:themeColor="text1"/>
          <w:lang w:val="en-US"/>
        </w:rPr>
        <w:t xml:space="preserve">            </w:t>
      </w:r>
      <w:r w:rsidR="000E0006" w:rsidRPr="00184BB3">
        <w:rPr>
          <w:i/>
          <w:color w:val="000000" w:themeColor="text1"/>
          <w:lang w:val="en-US"/>
        </w:rPr>
        <w:t>B</w:t>
      </w:r>
      <w:r w:rsidR="000E0006" w:rsidRPr="00184BB3">
        <w:rPr>
          <w:i/>
          <w:color w:val="000000" w:themeColor="text1"/>
          <w:vertAlign w:val="superscript"/>
          <w:lang w:val="en-US"/>
        </w:rPr>
        <w:t>+</w:t>
      </w:r>
      <w:r w:rsidR="000E0006" w:rsidRPr="00184BB3">
        <w:rPr>
          <w:color w:val="000000" w:themeColor="text1"/>
          <w:lang w:val="en-US"/>
        </w:rPr>
        <w:t xml:space="preserve"> := </w:t>
      </w:r>
      <w:r w:rsidR="000E0006" w:rsidRPr="00184BB3">
        <w:rPr>
          <w:i/>
          <w:color w:val="000000" w:themeColor="text1"/>
          <w:lang w:val="en-US"/>
        </w:rPr>
        <w:t>B</w:t>
      </w:r>
      <w:r w:rsidR="000E0006" w:rsidRPr="00184BB3">
        <w:rPr>
          <w:i/>
          <w:color w:val="000000" w:themeColor="text1"/>
          <w:vertAlign w:val="superscript"/>
          <w:lang w:val="en-US"/>
        </w:rPr>
        <w:t>+</w:t>
      </w:r>
      <w:r w:rsidR="000E0006" w:rsidRPr="00184BB3">
        <w:rPr>
          <w:color w:val="000000" w:themeColor="text1"/>
          <w:lang w:val="en-US"/>
        </w:rPr>
        <w:t xml:space="preserve"> </w:t>
      </w:r>
      <w:r w:rsidR="000E0006" w:rsidRPr="00184BB3">
        <w:rPr>
          <w:rFonts w:ascii="Cambria Math" w:eastAsia="Arial Unicode MS" w:hAnsi="Cambria Math" w:cs="Arial Unicode MS"/>
          <w:color w:val="000000" w:themeColor="text1"/>
          <w:lang w:val="en-US"/>
        </w:rPr>
        <w:t>∪</w:t>
      </w:r>
      <w:r w:rsidR="000E0006" w:rsidRPr="00184BB3">
        <w:rPr>
          <w:color w:val="000000" w:themeColor="text1"/>
          <w:lang w:val="en-US"/>
        </w:rPr>
        <w:t xml:space="preserve"> </w:t>
      </w:r>
      <w:r w:rsidR="000E0006" w:rsidRPr="00184BB3">
        <w:rPr>
          <w:i/>
          <w:color w:val="000000" w:themeColor="text1"/>
          <w:lang w:val="en-US"/>
        </w:rPr>
        <w:t>P</w:t>
      </w:r>
    </w:p>
    <w:p w:rsidR="000E0006" w:rsidRPr="000E0006" w:rsidRDefault="000E0006" w:rsidP="000A351F">
      <w:pPr>
        <w:pStyle w:val="Text"/>
        <w:ind w:firstLine="0"/>
        <w:jc w:val="left"/>
        <w:rPr>
          <w:color w:val="000000" w:themeColor="text1"/>
          <w:lang w:val="en-US"/>
        </w:rPr>
      </w:pPr>
      <w:r w:rsidRPr="00184BB3">
        <w:rPr>
          <w:color w:val="000000" w:themeColor="text1"/>
          <w:lang w:val="en-US"/>
        </w:rPr>
        <w:t xml:space="preserve">         </w:t>
      </w:r>
      <w:r w:rsidRPr="000E0006">
        <w:rPr>
          <w:color w:val="000000" w:themeColor="text1"/>
          <w:lang w:val="en-US"/>
        </w:rPr>
        <w:t>end</w:t>
      </w:r>
    </w:p>
    <w:p w:rsidR="00872C99" w:rsidRDefault="00872C99" w:rsidP="000A351F">
      <w:pPr>
        <w:pStyle w:val="Text"/>
        <w:ind w:firstLine="0"/>
        <w:jc w:val="left"/>
        <w:rPr>
          <w:color w:val="000000" w:themeColor="text1"/>
          <w:lang w:val="en-US"/>
        </w:rPr>
      </w:pPr>
      <w:r w:rsidRPr="000E0006">
        <w:rPr>
          <w:color w:val="000000" w:themeColor="text1"/>
          <w:lang w:val="en-US"/>
        </w:rPr>
        <w:t xml:space="preserve">      </w:t>
      </w:r>
      <w:r w:rsidRPr="00C06F76">
        <w:rPr>
          <w:color w:val="000000" w:themeColor="text1"/>
          <w:lang w:val="en-US"/>
        </w:rPr>
        <w:t>end</w:t>
      </w:r>
    </w:p>
    <w:p w:rsidR="00872C99" w:rsidRPr="00C06F76" w:rsidRDefault="00702FB4" w:rsidP="000A351F">
      <w:pPr>
        <w:pStyle w:val="Text"/>
        <w:ind w:firstLine="0"/>
        <w:jc w:val="left"/>
        <w:rPr>
          <w:color w:val="000000" w:themeColor="text1"/>
          <w:lang w:val="en-US"/>
        </w:rPr>
      </w:pPr>
      <w:r>
        <w:rPr>
          <w:color w:val="000000" w:themeColor="text1"/>
          <w:lang w:val="en-US"/>
        </w:rPr>
        <w:t xml:space="preserve">  </w:t>
      </w:r>
      <w:r w:rsidRPr="00C06F76">
        <w:rPr>
          <w:color w:val="000000" w:themeColor="text1"/>
          <w:lang w:val="en-US"/>
        </w:rPr>
        <w:t xml:space="preserve"> end</w:t>
      </w:r>
    </w:p>
    <w:p w:rsidR="00872C99" w:rsidRPr="002D53E0" w:rsidRDefault="00872C99" w:rsidP="000A351F">
      <w:pPr>
        <w:pStyle w:val="Text"/>
        <w:ind w:firstLine="0"/>
        <w:jc w:val="left"/>
        <w:rPr>
          <w:color w:val="000000" w:themeColor="text1"/>
        </w:rPr>
      </w:pPr>
      <w:r w:rsidRPr="00D35456">
        <w:rPr>
          <w:color w:val="000000" w:themeColor="text1"/>
          <w:lang w:val="en-US"/>
        </w:rPr>
        <w:t xml:space="preserve">   </w:t>
      </w:r>
      <w:r w:rsidRPr="002D53E0">
        <w:rPr>
          <w:color w:val="000000" w:themeColor="text1"/>
        </w:rPr>
        <w:t xml:space="preserve">return </w:t>
      </w:r>
      <w:r w:rsidRPr="002D53E0">
        <w:rPr>
          <w:i/>
          <w:color w:val="000000" w:themeColor="text1"/>
        </w:rPr>
        <w:t>E</w:t>
      </w:r>
      <w:r w:rsidR="00275549" w:rsidRPr="002D53E0">
        <w:rPr>
          <w:i/>
          <w:color w:val="000000" w:themeColor="text1"/>
        </w:rPr>
        <w:t>r</w:t>
      </w:r>
      <w:r w:rsidRPr="002D53E0">
        <w:rPr>
          <w:color w:val="000000" w:themeColor="text1"/>
        </w:rPr>
        <w:t xml:space="preserve">, </w:t>
      </w:r>
      <w:r w:rsidRPr="002D53E0">
        <w:rPr>
          <w:i/>
          <w:color w:val="000000" w:themeColor="text1"/>
        </w:rPr>
        <w:t>G</w:t>
      </w:r>
      <w:r w:rsidRPr="002D53E0">
        <w:rPr>
          <w:color w:val="000000" w:themeColor="text1"/>
        </w:rPr>
        <w:t xml:space="preserve">, </w:t>
      </w:r>
      <w:r w:rsidRPr="002D53E0">
        <w:rPr>
          <w:i/>
          <w:color w:val="000000" w:themeColor="text1"/>
        </w:rPr>
        <w:t>Z</w:t>
      </w:r>
      <w:r w:rsidRPr="002D53E0">
        <w:rPr>
          <w:color w:val="000000" w:themeColor="text1"/>
        </w:rPr>
        <w:t>,</w:t>
      </w:r>
      <w:r w:rsidRPr="002D53E0">
        <w:rPr>
          <w:i/>
          <w:color w:val="000000" w:themeColor="text1"/>
        </w:rPr>
        <w:t xml:space="preserve"> B</w:t>
      </w:r>
      <w:r w:rsidRPr="002D53E0">
        <w:rPr>
          <w:i/>
          <w:color w:val="000000" w:themeColor="text1"/>
          <w:vertAlign w:val="superscript"/>
        </w:rPr>
        <w:t>+</w:t>
      </w:r>
    </w:p>
    <w:p w:rsidR="00FC35BF" w:rsidRPr="0057450C" w:rsidRDefault="00FC35BF" w:rsidP="00BD2604">
      <w:pPr>
        <w:pStyle w:val="Text"/>
        <w:ind w:hanging="369"/>
        <w:jc w:val="left"/>
      </w:pPr>
      <w:r w:rsidRPr="0057450C">
        <w:rPr>
          <w:sz w:val="16"/>
          <w:szCs w:val="16"/>
        </w:rPr>
        <w:t>20</w:t>
      </w:r>
      <w:r w:rsidRPr="0057450C">
        <w:tab/>
      </w:r>
      <w:r w:rsidRPr="0057450C">
        <w:rPr>
          <w:color w:val="000000" w:themeColor="text1"/>
        </w:rPr>
        <w:t>end function</w:t>
      </w:r>
    </w:p>
    <w:p w:rsidR="00544EB0" w:rsidRDefault="00702FB4" w:rsidP="00704402">
      <w:pPr>
        <w:pStyle w:val="Text"/>
        <w:spacing w:before="360"/>
        <w:ind w:firstLine="0"/>
      </w:pPr>
      <w:r>
        <w:t xml:space="preserve">In der Funktion </w:t>
      </w:r>
      <w:r w:rsidR="00941BD9" w:rsidRPr="0093421A">
        <w:rPr>
          <w:i/>
        </w:rPr>
        <w:t>Interpretation</w:t>
      </w:r>
      <w:r w:rsidR="00941BD9">
        <w:t xml:space="preserve"> </w:t>
      </w:r>
      <w:r w:rsidR="00140F19">
        <w:t xml:space="preserve">wird </w:t>
      </w:r>
      <w:r w:rsidR="004D7F39">
        <w:t xml:space="preserve">die Menge </w:t>
      </w:r>
      <w:r w:rsidR="00941BD9" w:rsidRPr="00941BD9">
        <w:rPr>
          <w:i/>
          <w:color w:val="000000" w:themeColor="text1"/>
        </w:rPr>
        <w:t>B*</w:t>
      </w:r>
      <w:r w:rsidR="00941BD9" w:rsidRPr="00941BD9">
        <w:rPr>
          <w:color w:val="000000" w:themeColor="text1"/>
        </w:rPr>
        <w:t xml:space="preserve"> </w:t>
      </w:r>
      <w:r w:rsidR="00CF0254">
        <w:t>der nicht verwendeten Mer</w:t>
      </w:r>
      <w:r w:rsidR="00CF0254">
        <w:t>k</w:t>
      </w:r>
      <w:r w:rsidR="00CF0254">
        <w:t xml:space="preserve">malsregeln gebildet; für jedes Element dieser Menge wird überprüft, ob </w:t>
      </w:r>
      <w:r w:rsidR="00ED2F01">
        <w:t>der</w:t>
      </w:r>
      <w:r w:rsidR="00DD45B2">
        <w:t xml:space="preserve"> SW </w:t>
      </w:r>
      <w:r w:rsidR="00CF0254">
        <w:t xml:space="preserve">ihm dennoch </w:t>
      </w:r>
      <w:r w:rsidR="00ED2F01">
        <w:t>Interesse widmet</w:t>
      </w:r>
      <w:r w:rsidR="00CF0254">
        <w:t xml:space="preserve">, andernfalls wird es aus </w:t>
      </w:r>
      <w:r w:rsidR="00CF0254" w:rsidRPr="00CF0254">
        <w:rPr>
          <w:i/>
        </w:rPr>
        <w:t>B</w:t>
      </w:r>
      <w:r w:rsidR="00872C99">
        <w:t xml:space="preserve"> entfernt. </w:t>
      </w:r>
      <w:r w:rsidR="004D7F39">
        <w:t xml:space="preserve">Danach </w:t>
      </w:r>
      <w:r w:rsidR="00140F19">
        <w:t xml:space="preserve">wird </w:t>
      </w:r>
      <w:r w:rsidR="004D7F39">
        <w:t xml:space="preserve">die nunmehr reduzierte Menge </w:t>
      </w:r>
      <w:r w:rsidR="004D7F39" w:rsidRPr="00CF0254">
        <w:rPr>
          <w:i/>
        </w:rPr>
        <w:t>B</w:t>
      </w:r>
      <w:r w:rsidR="004D7F39">
        <w:t xml:space="preserve"> </w:t>
      </w:r>
      <w:r w:rsidR="00140F19">
        <w:t xml:space="preserve">mit </w:t>
      </w:r>
      <w:r w:rsidR="004D7F39" w:rsidRPr="004D7F39">
        <w:rPr>
          <w:i/>
        </w:rPr>
        <w:t>I</w:t>
      </w:r>
      <w:r w:rsidR="004D7F39">
        <w:t xml:space="preserve"> zu </w:t>
      </w:r>
      <w:r w:rsidRPr="00702FB4">
        <w:rPr>
          <w:i/>
        </w:rPr>
        <w:t>St</w:t>
      </w:r>
      <w:r>
        <w:t xml:space="preserve"> </w:t>
      </w:r>
      <w:r w:rsidR="004D7F39">
        <w:t xml:space="preserve">zusammengefasst und </w:t>
      </w:r>
      <w:r>
        <w:t>zurückgeg</w:t>
      </w:r>
      <w:r>
        <w:t>e</w:t>
      </w:r>
      <w:r>
        <w:t>ben.</w:t>
      </w:r>
    </w:p>
    <w:p w:rsidR="00FB0D03" w:rsidRPr="00B04998" w:rsidRDefault="00FB0D03" w:rsidP="00704402">
      <w:pPr>
        <w:pStyle w:val="Text"/>
        <w:keepNext/>
        <w:spacing w:before="360"/>
        <w:ind w:firstLine="0"/>
        <w:jc w:val="left"/>
        <w:rPr>
          <w:color w:val="000000" w:themeColor="text1"/>
        </w:rPr>
      </w:pPr>
      <w:r w:rsidRPr="00B04998">
        <w:rPr>
          <w:color w:val="000000" w:themeColor="text1"/>
        </w:rPr>
        <w:lastRenderedPageBreak/>
        <w:t>function Interpretation (</w:t>
      </w:r>
      <w:r w:rsidRPr="00B04998">
        <w:rPr>
          <w:i/>
          <w:iCs/>
          <w:color w:val="000000" w:themeColor="text1"/>
        </w:rPr>
        <w:t>B</w:t>
      </w:r>
      <w:r w:rsidRPr="00B04998">
        <w:rPr>
          <w:color w:val="000000" w:themeColor="text1"/>
        </w:rPr>
        <w:t xml:space="preserve">, </w:t>
      </w:r>
      <w:r w:rsidRPr="00B04998">
        <w:rPr>
          <w:i/>
          <w:color w:val="000000" w:themeColor="text1"/>
        </w:rPr>
        <w:t>S*</w:t>
      </w:r>
      <w:r w:rsidRPr="00B04998">
        <w:rPr>
          <w:color w:val="000000" w:themeColor="text1"/>
        </w:rPr>
        <w:t>)</w:t>
      </w:r>
    </w:p>
    <w:p w:rsidR="00FB0D03" w:rsidRDefault="00FB0D03" w:rsidP="00F01A65">
      <w:pPr>
        <w:pStyle w:val="Text"/>
        <w:ind w:firstLine="0"/>
        <w:jc w:val="left"/>
        <w:rPr>
          <w:color w:val="000000" w:themeColor="text1"/>
        </w:rPr>
      </w:pPr>
      <w:r w:rsidRPr="00B04998">
        <w:rPr>
          <w:color w:val="000000" w:themeColor="text1"/>
        </w:rPr>
        <w:t xml:space="preserve">   </w:t>
      </w:r>
      <w:r w:rsidRPr="002B57F2">
        <w:rPr>
          <w:i/>
          <w:color w:val="000000" w:themeColor="text1"/>
        </w:rPr>
        <w:t>E</w:t>
      </w:r>
      <w:r w:rsidR="00275549">
        <w:rPr>
          <w:i/>
          <w:color w:val="000000" w:themeColor="text1"/>
        </w:rPr>
        <w:t>r</w:t>
      </w:r>
      <w:r w:rsidRPr="002B57F2">
        <w:rPr>
          <w:color w:val="000000" w:themeColor="text1"/>
        </w:rPr>
        <w:t>,</w:t>
      </w:r>
      <w:r w:rsidRPr="002B57F2">
        <w:rPr>
          <w:i/>
          <w:color w:val="000000" w:themeColor="text1"/>
        </w:rPr>
        <w:t xml:space="preserve"> </w:t>
      </w:r>
      <w:r>
        <w:rPr>
          <w:i/>
          <w:color w:val="000000" w:themeColor="text1"/>
        </w:rPr>
        <w:t>So</w:t>
      </w:r>
      <w:r w:rsidRPr="002B57F2">
        <w:rPr>
          <w:color w:val="000000" w:themeColor="text1"/>
        </w:rPr>
        <w:t>,</w:t>
      </w:r>
      <w:r w:rsidRPr="002B57F2">
        <w:rPr>
          <w:i/>
          <w:color w:val="000000" w:themeColor="text1"/>
        </w:rPr>
        <w:t xml:space="preserve"> </w:t>
      </w:r>
      <w:r w:rsidR="00C827AF" w:rsidRPr="002A7646">
        <w:rPr>
          <w:i/>
          <w:color w:val="000000" w:themeColor="text1"/>
        </w:rPr>
        <w:t>B</w:t>
      </w:r>
      <w:r w:rsidR="00C827AF" w:rsidRPr="002A7646">
        <w:rPr>
          <w:i/>
          <w:color w:val="000000" w:themeColor="text1"/>
          <w:vertAlign w:val="superscript"/>
        </w:rPr>
        <w:t>+</w:t>
      </w:r>
      <w:r w:rsidR="00123DFB">
        <w:rPr>
          <w:color w:val="000000" w:themeColor="text1"/>
        </w:rPr>
        <w:t xml:space="preserve"> </w:t>
      </w:r>
      <w:r>
        <w:rPr>
          <w:color w:val="000000" w:themeColor="text1"/>
        </w:rPr>
        <w:t>:</w:t>
      </w:r>
      <w:r w:rsidRPr="002B57F2">
        <w:rPr>
          <w:color w:val="000000" w:themeColor="text1"/>
        </w:rPr>
        <w:t xml:space="preserve">= </w:t>
      </w:r>
      <w:r w:rsidRPr="00DB2911">
        <w:rPr>
          <w:color w:val="000000" w:themeColor="text1"/>
          <w:position w:val="-6"/>
        </w:rPr>
        <w:object w:dxaOrig="260" w:dyaOrig="279">
          <v:shape id="_x0000_i1063" type="#_x0000_t75" style="width:14pt;height:13.6pt" o:ole="">
            <v:imagedata r:id="rId70" o:title=""/>
          </v:shape>
          <o:OLEObject Type="Embed" ProgID="Equation.3" ShapeID="_x0000_i1063" DrawAspect="Content" ObjectID="_1460983904" r:id="rId84"/>
        </w:object>
      </w:r>
    </w:p>
    <w:p w:rsidR="00123DFB" w:rsidRPr="004C1651" w:rsidRDefault="00F01A65" w:rsidP="00F01A65">
      <w:pPr>
        <w:pStyle w:val="Text"/>
        <w:ind w:firstLine="0"/>
        <w:jc w:val="left"/>
      </w:pPr>
      <w:r>
        <w:rPr>
          <w:color w:val="000000" w:themeColor="text1"/>
        </w:rPr>
        <w:t xml:space="preserve">   </w:t>
      </w:r>
      <w:r w:rsidR="00123DFB" w:rsidRPr="004C1651">
        <w:rPr>
          <w:color w:val="000000" w:themeColor="text1"/>
        </w:rPr>
        <w:t>…</w:t>
      </w:r>
    </w:p>
    <w:p w:rsidR="002A7646" w:rsidRDefault="002A7646" w:rsidP="00F01A65">
      <w:pPr>
        <w:pStyle w:val="Text"/>
        <w:ind w:firstLine="0"/>
        <w:jc w:val="left"/>
        <w:rPr>
          <w:color w:val="000000" w:themeColor="text1"/>
        </w:rPr>
      </w:pPr>
      <w:r w:rsidRPr="002A7646">
        <w:rPr>
          <w:color w:val="000000" w:themeColor="text1"/>
        </w:rPr>
        <w:t xml:space="preserve">                        </w:t>
      </w:r>
      <w:r w:rsidRPr="00DA074B">
        <w:rPr>
          <w:i/>
          <w:color w:val="000000" w:themeColor="text1"/>
        </w:rPr>
        <w:t>E</w:t>
      </w:r>
      <w:r w:rsidR="00275549">
        <w:rPr>
          <w:i/>
          <w:color w:val="000000" w:themeColor="text1"/>
        </w:rPr>
        <w:t>r</w:t>
      </w:r>
      <w:r>
        <w:rPr>
          <w:color w:val="000000" w:themeColor="text1"/>
        </w:rPr>
        <w:t xml:space="preserve">, </w:t>
      </w:r>
      <w:r>
        <w:rPr>
          <w:i/>
          <w:color w:val="000000" w:themeColor="text1"/>
        </w:rPr>
        <w:t>G</w:t>
      </w:r>
      <w:r w:rsidRPr="002B57F2">
        <w:rPr>
          <w:color w:val="000000" w:themeColor="text1"/>
        </w:rPr>
        <w:t>,</w:t>
      </w:r>
      <w:r w:rsidRPr="002B57F2">
        <w:rPr>
          <w:i/>
          <w:color w:val="000000" w:themeColor="text1"/>
        </w:rPr>
        <w:t xml:space="preserve"> </w:t>
      </w:r>
      <w:r>
        <w:rPr>
          <w:i/>
          <w:color w:val="000000" w:themeColor="text1"/>
        </w:rPr>
        <w:t>Z</w:t>
      </w:r>
      <w:r w:rsidRPr="002B57F2">
        <w:rPr>
          <w:color w:val="000000" w:themeColor="text1"/>
        </w:rPr>
        <w:t>,</w:t>
      </w:r>
      <w:r>
        <w:rPr>
          <w:color w:val="000000" w:themeColor="text1"/>
        </w:rPr>
        <w:t xml:space="preserve"> </w:t>
      </w:r>
      <w:r w:rsidR="00C827AF" w:rsidRPr="002A7646">
        <w:rPr>
          <w:i/>
          <w:color w:val="000000" w:themeColor="text1"/>
        </w:rPr>
        <w:t>B</w:t>
      </w:r>
      <w:r w:rsidR="00C827AF" w:rsidRPr="002A7646">
        <w:rPr>
          <w:i/>
          <w:color w:val="000000" w:themeColor="text1"/>
          <w:vertAlign w:val="superscript"/>
        </w:rPr>
        <w:t>+</w:t>
      </w:r>
      <w:r w:rsidRPr="002A7646">
        <w:rPr>
          <w:color w:val="000000" w:themeColor="text1"/>
        </w:rPr>
        <w:t xml:space="preserve"> := </w:t>
      </w:r>
      <w:r>
        <w:rPr>
          <w:color w:val="000000" w:themeColor="text1"/>
        </w:rPr>
        <w:t>Ergebnisse</w:t>
      </w:r>
      <w:r w:rsidRPr="00DA074B">
        <w:rPr>
          <w:color w:val="000000" w:themeColor="text1"/>
        </w:rPr>
        <w:t xml:space="preserve"> (</w:t>
      </w:r>
      <w:r w:rsidRPr="00DA074B">
        <w:rPr>
          <w:i/>
          <w:color w:val="000000" w:themeColor="text1"/>
        </w:rPr>
        <w:t>P</w:t>
      </w:r>
      <w:r w:rsidRPr="00DA074B">
        <w:rPr>
          <w:i/>
          <w:color w:val="000000" w:themeColor="text1"/>
          <w:vertAlign w:val="subscript"/>
        </w:rPr>
        <w:t>i</w:t>
      </w:r>
      <w:r w:rsidRPr="00DA074B">
        <w:rPr>
          <w:color w:val="000000" w:themeColor="text1"/>
        </w:rPr>
        <w:t xml:space="preserve">, </w:t>
      </w:r>
      <w:r w:rsidRPr="00DA074B">
        <w:rPr>
          <w:i/>
          <w:color w:val="000000" w:themeColor="text1"/>
        </w:rPr>
        <w:t>Q</w:t>
      </w:r>
      <w:r w:rsidRPr="00DA074B">
        <w:rPr>
          <w:i/>
          <w:color w:val="000000" w:themeColor="text1"/>
          <w:vertAlign w:val="subscript"/>
        </w:rPr>
        <w:t>j</w:t>
      </w:r>
      <w:r w:rsidRPr="00DA074B">
        <w:rPr>
          <w:color w:val="000000" w:themeColor="text1"/>
        </w:rPr>
        <w:t xml:space="preserve">, </w:t>
      </w:r>
      <m:oMath>
        <m:sSub>
          <m:sSubPr>
            <m:ctrlPr>
              <w:rPr>
                <w:rFonts w:ascii="Cambria Math" w:hAnsi="Cambria Math" w:cs="Times New Roman"/>
                <w:i/>
              </w:rPr>
            </m:ctrlPr>
          </m:sSubPr>
          <m:e>
            <m:r>
              <m:rPr>
                <m:nor/>
              </m:rPr>
              <w:rPr>
                <w:rFonts w:cs="Times New Roman"/>
                <w:i/>
              </w:rPr>
              <m:t>R</m:t>
            </m:r>
          </m:e>
          <m:sub>
            <m:sSub>
              <m:sSubPr>
                <m:ctrlPr>
                  <w:rPr>
                    <w:rFonts w:ascii="Cambria Math" w:hAnsi="Cambria Math" w:cs="Times New Roman"/>
                    <w:i/>
                  </w:rPr>
                </m:ctrlPr>
              </m:sSubPr>
              <m:e>
                <m:r>
                  <m:rPr>
                    <m:nor/>
                  </m:rPr>
                  <w:rPr>
                    <w:rFonts w:cs="Times New Roman"/>
                    <w:i/>
                  </w:rPr>
                  <m:t>i</m:t>
                </m:r>
              </m:e>
              <m:sub>
                <m:sSub>
                  <m:sSubPr>
                    <m:ctrlPr>
                      <w:rPr>
                        <w:rFonts w:ascii="Cambria Math" w:hAnsi="Cambria Math" w:cs="Times New Roman"/>
                        <w:i/>
                      </w:rPr>
                    </m:ctrlPr>
                  </m:sSubPr>
                  <m:e>
                    <m:r>
                      <m:rPr>
                        <m:nor/>
                      </m:rPr>
                      <w:rPr>
                        <w:rFonts w:cs="Times New Roman"/>
                        <w:i/>
                      </w:rPr>
                      <m:t>j</m:t>
                    </m:r>
                  </m:e>
                  <m:sub>
                    <m:r>
                      <m:rPr>
                        <m:nor/>
                      </m:rPr>
                      <w:rPr>
                        <w:rFonts w:cs="Times New Roman"/>
                        <w:i/>
                        <w:szCs w:val="20"/>
                      </w:rPr>
                      <m:t>k</m:t>
                    </m:r>
                  </m:sub>
                </m:sSub>
              </m:sub>
            </m:sSub>
          </m:sub>
        </m:sSub>
      </m:oMath>
      <w:r w:rsidRPr="00DA074B">
        <w:rPr>
          <w:color w:val="000000" w:themeColor="text1"/>
        </w:rPr>
        <w:t xml:space="preserve">, </w:t>
      </w:r>
      <w:r w:rsidR="00DF7070">
        <w:rPr>
          <w:i/>
          <w:color w:val="000000" w:themeColor="text1"/>
        </w:rPr>
        <w:t>E</w:t>
      </w:r>
      <w:r w:rsidR="00275549">
        <w:rPr>
          <w:i/>
          <w:color w:val="000000" w:themeColor="text1"/>
        </w:rPr>
        <w:t>r</w:t>
      </w:r>
      <w:r w:rsidR="00DF7070">
        <w:rPr>
          <w:color w:val="000000" w:themeColor="text1"/>
        </w:rPr>
        <w:t xml:space="preserve">, </w:t>
      </w:r>
      <w:r w:rsidRPr="00DA074B">
        <w:rPr>
          <w:i/>
          <w:color w:val="000000" w:themeColor="text1"/>
        </w:rPr>
        <w:t>O</w:t>
      </w:r>
      <w:r>
        <w:rPr>
          <w:i/>
          <w:color w:val="000000" w:themeColor="text1"/>
        </w:rPr>
        <w:t>p</w:t>
      </w:r>
      <w:r>
        <w:rPr>
          <w:color w:val="000000" w:themeColor="text1"/>
        </w:rPr>
        <w:t xml:space="preserve">, </w:t>
      </w:r>
      <w:r>
        <w:rPr>
          <w:i/>
          <w:color w:val="000000" w:themeColor="text1"/>
        </w:rPr>
        <w:t>G</w:t>
      </w:r>
      <w:r w:rsidRPr="002B57F2">
        <w:rPr>
          <w:color w:val="000000" w:themeColor="text1"/>
        </w:rPr>
        <w:t>,</w:t>
      </w:r>
      <w:r w:rsidRPr="002B57F2">
        <w:rPr>
          <w:i/>
          <w:color w:val="000000" w:themeColor="text1"/>
        </w:rPr>
        <w:t xml:space="preserve"> </w:t>
      </w:r>
      <w:r>
        <w:rPr>
          <w:i/>
          <w:color w:val="000000" w:themeColor="text1"/>
        </w:rPr>
        <w:t>Z</w:t>
      </w:r>
      <w:r w:rsidR="00A93BDE" w:rsidRPr="002B57F2">
        <w:rPr>
          <w:color w:val="000000" w:themeColor="text1"/>
        </w:rPr>
        <w:t>,</w:t>
      </w:r>
      <w:r w:rsidR="00A93BDE" w:rsidRPr="00A93BDE">
        <w:rPr>
          <w:i/>
          <w:color w:val="000000" w:themeColor="text1"/>
        </w:rPr>
        <w:t xml:space="preserve"> </w:t>
      </w:r>
      <w:r w:rsidR="00C827AF" w:rsidRPr="002A7646">
        <w:rPr>
          <w:i/>
          <w:color w:val="000000" w:themeColor="text1"/>
        </w:rPr>
        <w:t>B</w:t>
      </w:r>
      <w:r w:rsidR="00C827AF" w:rsidRPr="002A7646">
        <w:rPr>
          <w:i/>
          <w:color w:val="000000" w:themeColor="text1"/>
          <w:vertAlign w:val="superscript"/>
        </w:rPr>
        <w:t>+</w:t>
      </w:r>
      <w:r w:rsidRPr="00DA074B">
        <w:rPr>
          <w:color w:val="000000" w:themeColor="text1"/>
        </w:rPr>
        <w:t>)</w:t>
      </w:r>
    </w:p>
    <w:p w:rsidR="002A7646" w:rsidRDefault="00F01A65" w:rsidP="00F01A65">
      <w:pPr>
        <w:pStyle w:val="Text"/>
        <w:ind w:firstLine="0"/>
        <w:jc w:val="left"/>
        <w:rPr>
          <w:lang w:val="en-US"/>
        </w:rPr>
      </w:pPr>
      <w:r>
        <w:rPr>
          <w:color w:val="000000" w:themeColor="text1"/>
        </w:rPr>
        <w:t xml:space="preserve">   </w:t>
      </w:r>
      <w:r w:rsidR="002A7646" w:rsidRPr="00663726">
        <w:rPr>
          <w:color w:val="000000" w:themeColor="text1"/>
          <w:lang w:val="en-US"/>
        </w:rPr>
        <w:t>…</w:t>
      </w:r>
    </w:p>
    <w:p w:rsidR="00DF7070" w:rsidRPr="00663726" w:rsidRDefault="00DF7070" w:rsidP="00F01A65">
      <w:pPr>
        <w:pStyle w:val="Text"/>
        <w:ind w:firstLine="0"/>
        <w:jc w:val="left"/>
        <w:rPr>
          <w:color w:val="000000" w:themeColor="text1"/>
          <w:lang w:val="en-US"/>
        </w:rPr>
      </w:pPr>
      <w:r w:rsidRPr="00663726">
        <w:rPr>
          <w:color w:val="000000" w:themeColor="text1"/>
          <w:lang w:val="en-US"/>
        </w:rPr>
        <w:t xml:space="preserve">   </w:t>
      </w:r>
      <w:r w:rsidRPr="00663726">
        <w:rPr>
          <w:i/>
          <w:color w:val="000000" w:themeColor="text1"/>
          <w:lang w:val="en-US"/>
        </w:rPr>
        <w:t>B*</w:t>
      </w:r>
      <w:r w:rsidRPr="00663726">
        <w:rPr>
          <w:color w:val="000000" w:themeColor="text1"/>
          <w:lang w:val="en-US"/>
        </w:rPr>
        <w:t xml:space="preserve"> := </w:t>
      </w:r>
      <w:r w:rsidRPr="00663726">
        <w:rPr>
          <w:i/>
          <w:color w:val="000000" w:themeColor="text1"/>
          <w:lang w:val="en-US"/>
        </w:rPr>
        <w:t>B</w:t>
      </w:r>
      <w:r w:rsidRPr="00663726">
        <w:rPr>
          <w:color w:val="000000" w:themeColor="text1"/>
          <w:lang w:val="en-US"/>
        </w:rPr>
        <w:t xml:space="preserve"> \ </w:t>
      </w:r>
      <w:r w:rsidRPr="00663726">
        <w:rPr>
          <w:i/>
          <w:color w:val="000000" w:themeColor="text1"/>
          <w:lang w:val="en-US"/>
        </w:rPr>
        <w:t>B</w:t>
      </w:r>
      <w:r w:rsidRPr="00663726">
        <w:rPr>
          <w:i/>
          <w:color w:val="000000" w:themeColor="text1"/>
          <w:vertAlign w:val="superscript"/>
          <w:lang w:val="en-US"/>
        </w:rPr>
        <w:t>+</w:t>
      </w:r>
    </w:p>
    <w:p w:rsidR="00123DFB" w:rsidRPr="00663726" w:rsidRDefault="00A1079E" w:rsidP="009E3408">
      <w:pPr>
        <w:pStyle w:val="Text"/>
        <w:ind w:hanging="369"/>
        <w:jc w:val="left"/>
        <w:rPr>
          <w:lang w:val="en-US"/>
        </w:rPr>
      </w:pPr>
      <w:r w:rsidRPr="00F01A65">
        <w:rPr>
          <w:sz w:val="16"/>
          <w:szCs w:val="16"/>
          <w:lang w:val="en-US"/>
        </w:rPr>
        <w:t>4</w:t>
      </w:r>
      <w:r w:rsidR="00123DFB" w:rsidRPr="00F01A65">
        <w:rPr>
          <w:sz w:val="16"/>
          <w:szCs w:val="16"/>
          <w:lang w:val="en-US"/>
        </w:rPr>
        <w:t>0</w:t>
      </w:r>
      <w:r w:rsidR="00123DFB" w:rsidRPr="00663726">
        <w:rPr>
          <w:lang w:val="en-US"/>
        </w:rPr>
        <w:tab/>
      </w:r>
      <w:r w:rsidR="00DF7070" w:rsidRPr="00663726">
        <w:rPr>
          <w:color w:val="000000" w:themeColor="text1"/>
          <w:lang w:val="en-US"/>
        </w:rPr>
        <w:t xml:space="preserve">   for </w:t>
      </w:r>
      <w:r w:rsidR="00DF7070" w:rsidRPr="00663726">
        <w:rPr>
          <w:i/>
          <w:color w:val="000000" w:themeColor="text1"/>
          <w:lang w:val="en-US"/>
        </w:rPr>
        <w:t>i</w:t>
      </w:r>
      <w:r w:rsidR="00DF7070" w:rsidRPr="00663726">
        <w:rPr>
          <w:color w:val="000000" w:themeColor="text1"/>
          <w:lang w:val="en-US"/>
        </w:rPr>
        <w:t xml:space="preserve"> := 1 to |</w:t>
      </w:r>
      <w:r w:rsidR="00DF7070" w:rsidRPr="00663726">
        <w:rPr>
          <w:i/>
          <w:color w:val="000000" w:themeColor="text1"/>
          <w:lang w:val="en-US"/>
        </w:rPr>
        <w:t>B*</w:t>
      </w:r>
      <w:r w:rsidR="00DF7070" w:rsidRPr="00663726">
        <w:rPr>
          <w:color w:val="000000" w:themeColor="text1"/>
          <w:lang w:val="en-US"/>
        </w:rPr>
        <w:t>|</w:t>
      </w:r>
    </w:p>
    <w:p w:rsidR="00123DFB" w:rsidRDefault="00123DFB" w:rsidP="00F01A65">
      <w:pPr>
        <w:pStyle w:val="Text"/>
        <w:ind w:firstLine="0"/>
        <w:jc w:val="left"/>
        <w:rPr>
          <w:color w:val="000000" w:themeColor="text1"/>
          <w:lang w:val="en-US"/>
        </w:rPr>
      </w:pPr>
      <w:r w:rsidRPr="00663726">
        <w:rPr>
          <w:color w:val="000000" w:themeColor="text1"/>
          <w:lang w:val="en-US"/>
        </w:rPr>
        <w:t xml:space="preserve">      </w:t>
      </w:r>
      <w:r>
        <w:rPr>
          <w:color w:val="000000" w:themeColor="text1"/>
          <w:lang w:val="en-US"/>
        </w:rPr>
        <w:t xml:space="preserve">if </w:t>
      </w:r>
      <w:r w:rsidR="00ED2F01">
        <w:rPr>
          <w:color w:val="000000" w:themeColor="text1"/>
          <w:lang w:val="en-US"/>
        </w:rPr>
        <w:t>Interesse</w:t>
      </w:r>
      <w:r>
        <w:rPr>
          <w:color w:val="000000" w:themeColor="text1"/>
          <w:lang w:val="en-US"/>
        </w:rPr>
        <w:t xml:space="preserve"> (</w:t>
      </w:r>
      <w:r w:rsidRPr="001E027F">
        <w:rPr>
          <w:i/>
          <w:color w:val="000000" w:themeColor="text1"/>
          <w:lang w:val="en-US"/>
        </w:rPr>
        <w:t>B</w:t>
      </w:r>
      <w:r>
        <w:rPr>
          <w:i/>
          <w:color w:val="000000" w:themeColor="text1"/>
          <w:lang w:val="en-US"/>
        </w:rPr>
        <w:t>*</w:t>
      </w:r>
      <w:r>
        <w:rPr>
          <w:i/>
          <w:color w:val="000000" w:themeColor="text1"/>
          <w:vertAlign w:val="subscript"/>
          <w:lang w:val="en-US"/>
        </w:rPr>
        <w:t>i</w:t>
      </w:r>
      <w:r>
        <w:rPr>
          <w:color w:val="000000" w:themeColor="text1"/>
          <w:lang w:val="en-US"/>
        </w:rPr>
        <w:t>) = 0</w:t>
      </w:r>
    </w:p>
    <w:p w:rsidR="00123DFB" w:rsidRDefault="00123DFB" w:rsidP="00F01A65">
      <w:pPr>
        <w:pStyle w:val="Text"/>
        <w:ind w:firstLine="0"/>
        <w:jc w:val="left"/>
        <w:rPr>
          <w:color w:val="000000" w:themeColor="text1"/>
          <w:lang w:val="en-US"/>
        </w:rPr>
      </w:pPr>
      <w:r>
        <w:rPr>
          <w:color w:val="000000" w:themeColor="text1"/>
          <w:lang w:val="en-US"/>
        </w:rPr>
        <w:t xml:space="preserve">         </w:t>
      </w:r>
      <w:r w:rsidRPr="001E027F">
        <w:rPr>
          <w:i/>
          <w:color w:val="000000" w:themeColor="text1"/>
          <w:lang w:val="en-US"/>
        </w:rPr>
        <w:t>B</w:t>
      </w:r>
      <w:r>
        <w:rPr>
          <w:color w:val="000000" w:themeColor="text1"/>
          <w:lang w:val="en-US"/>
        </w:rPr>
        <w:t xml:space="preserve"> := </w:t>
      </w:r>
      <w:r w:rsidRPr="001E027F">
        <w:rPr>
          <w:i/>
          <w:color w:val="000000" w:themeColor="text1"/>
          <w:lang w:val="en-US"/>
        </w:rPr>
        <w:t>B</w:t>
      </w:r>
      <w:r>
        <w:rPr>
          <w:color w:val="000000" w:themeColor="text1"/>
          <w:lang w:val="en-US"/>
        </w:rPr>
        <w:t xml:space="preserve"> \ </w:t>
      </w:r>
      <w:r w:rsidR="002D14F8" w:rsidRPr="000414BE">
        <w:rPr>
          <w:color w:val="000000" w:themeColor="text1"/>
          <w:lang w:val="en-US"/>
        </w:rPr>
        <w:t>{</w:t>
      </w:r>
      <w:r w:rsidRPr="001E027F">
        <w:rPr>
          <w:i/>
          <w:color w:val="000000" w:themeColor="text1"/>
          <w:lang w:val="en-US"/>
        </w:rPr>
        <w:t>B</w:t>
      </w:r>
      <w:r>
        <w:rPr>
          <w:i/>
          <w:color w:val="000000" w:themeColor="text1"/>
          <w:lang w:val="en-US"/>
        </w:rPr>
        <w:t>*</w:t>
      </w:r>
      <w:r>
        <w:rPr>
          <w:i/>
          <w:color w:val="000000" w:themeColor="text1"/>
          <w:vertAlign w:val="subscript"/>
          <w:lang w:val="en-US"/>
        </w:rPr>
        <w:t>i</w:t>
      </w:r>
      <w:r w:rsidR="002D14F8" w:rsidRPr="000414BE">
        <w:rPr>
          <w:color w:val="000000" w:themeColor="text1"/>
          <w:lang w:val="en-US"/>
        </w:rPr>
        <w:t>}</w:t>
      </w:r>
    </w:p>
    <w:p w:rsidR="00123DFB" w:rsidRDefault="00123DFB" w:rsidP="00F01A65">
      <w:pPr>
        <w:pStyle w:val="Text"/>
        <w:ind w:firstLine="0"/>
        <w:jc w:val="left"/>
        <w:rPr>
          <w:color w:val="000000" w:themeColor="text1"/>
          <w:lang w:val="en-US"/>
        </w:rPr>
      </w:pPr>
      <w:r>
        <w:rPr>
          <w:color w:val="000000" w:themeColor="text1"/>
          <w:lang w:val="en-US"/>
        </w:rPr>
        <w:t xml:space="preserve">      end</w:t>
      </w:r>
    </w:p>
    <w:p w:rsidR="00DF7070" w:rsidRDefault="00DF7070" w:rsidP="00F01A65">
      <w:pPr>
        <w:pStyle w:val="Text"/>
        <w:ind w:firstLine="0"/>
        <w:jc w:val="left"/>
        <w:rPr>
          <w:color w:val="000000" w:themeColor="text1"/>
          <w:lang w:val="en-US"/>
        </w:rPr>
      </w:pPr>
      <w:r>
        <w:rPr>
          <w:color w:val="000000" w:themeColor="text1"/>
          <w:lang w:val="en-US"/>
        </w:rPr>
        <w:t xml:space="preserve">   end</w:t>
      </w:r>
    </w:p>
    <w:p w:rsidR="00702FB4" w:rsidRPr="00441628" w:rsidRDefault="00A1079E" w:rsidP="009E3408">
      <w:pPr>
        <w:pStyle w:val="Text"/>
        <w:ind w:hanging="369"/>
        <w:jc w:val="left"/>
        <w:rPr>
          <w:lang w:val="en-US"/>
        </w:rPr>
      </w:pPr>
      <w:r w:rsidRPr="00F01A65">
        <w:rPr>
          <w:sz w:val="16"/>
          <w:szCs w:val="16"/>
          <w:lang w:val="en-US"/>
        </w:rPr>
        <w:t>4</w:t>
      </w:r>
      <w:r w:rsidR="00702FB4" w:rsidRPr="00F01A65">
        <w:rPr>
          <w:sz w:val="16"/>
          <w:szCs w:val="16"/>
          <w:lang w:val="en-US"/>
        </w:rPr>
        <w:t>5</w:t>
      </w:r>
      <w:r w:rsidR="00702FB4" w:rsidRPr="00441628">
        <w:rPr>
          <w:lang w:val="en-US"/>
        </w:rPr>
        <w:tab/>
      </w:r>
      <w:r w:rsidR="00DF7070" w:rsidRPr="00752282">
        <w:rPr>
          <w:color w:val="000000" w:themeColor="text1"/>
          <w:lang w:val="en-US"/>
        </w:rPr>
        <w:t xml:space="preserve">   </w:t>
      </w:r>
      <w:r w:rsidR="00DF7070" w:rsidRPr="00706A0F">
        <w:rPr>
          <w:i/>
          <w:lang w:val="en-US"/>
        </w:rPr>
        <w:t>St</w:t>
      </w:r>
      <w:r w:rsidR="00DF7070" w:rsidRPr="00706A0F">
        <w:rPr>
          <w:lang w:val="en-US"/>
        </w:rPr>
        <w:t xml:space="preserve"> := &lt;</w:t>
      </w:r>
      <w:r w:rsidR="00DF7070" w:rsidRPr="001E027F">
        <w:rPr>
          <w:i/>
          <w:color w:val="000000" w:themeColor="text1"/>
          <w:lang w:val="en-US"/>
        </w:rPr>
        <w:t>B</w:t>
      </w:r>
      <w:r w:rsidR="00DF7070" w:rsidRPr="00706A0F">
        <w:rPr>
          <w:lang w:val="en-US"/>
        </w:rPr>
        <w:t xml:space="preserve">, </w:t>
      </w:r>
      <w:r w:rsidR="00DF7070">
        <w:rPr>
          <w:i/>
          <w:lang w:val="en-US"/>
        </w:rPr>
        <w:t>I</w:t>
      </w:r>
      <w:r w:rsidR="00DF7070" w:rsidRPr="00706A0F">
        <w:rPr>
          <w:lang w:val="en-US"/>
        </w:rPr>
        <w:t>&gt;</w:t>
      </w:r>
    </w:p>
    <w:p w:rsidR="00123DFB" w:rsidRPr="00155D62" w:rsidRDefault="00123DFB" w:rsidP="00F01A65">
      <w:pPr>
        <w:pStyle w:val="Text"/>
        <w:ind w:firstLine="0"/>
        <w:jc w:val="left"/>
        <w:rPr>
          <w:color w:val="000000" w:themeColor="text1"/>
        </w:rPr>
      </w:pPr>
      <w:r>
        <w:rPr>
          <w:color w:val="000000" w:themeColor="text1"/>
          <w:lang w:val="en-US"/>
        </w:rPr>
        <w:t xml:space="preserve">   </w:t>
      </w:r>
      <w:r w:rsidRPr="00155D62">
        <w:rPr>
          <w:color w:val="000000" w:themeColor="text1"/>
        </w:rPr>
        <w:t xml:space="preserve">return </w:t>
      </w:r>
      <w:r w:rsidRPr="00155D62">
        <w:rPr>
          <w:i/>
          <w:color w:val="000000" w:themeColor="text1"/>
        </w:rPr>
        <w:t>St</w:t>
      </w:r>
    </w:p>
    <w:p w:rsidR="00FB0D03" w:rsidRDefault="00FB0D03" w:rsidP="00704402">
      <w:pPr>
        <w:pStyle w:val="Text"/>
        <w:ind w:firstLine="0"/>
        <w:jc w:val="left"/>
      </w:pPr>
      <w:r w:rsidRPr="00790EC1">
        <w:rPr>
          <w:color w:val="000000" w:themeColor="text1"/>
        </w:rPr>
        <w:t>end function</w:t>
      </w:r>
    </w:p>
    <w:p w:rsidR="00FB0D03" w:rsidRDefault="004D7F39" w:rsidP="00704402">
      <w:pPr>
        <w:pStyle w:val="Text"/>
        <w:spacing w:before="360"/>
        <w:ind w:firstLine="0"/>
        <w:rPr>
          <w:color w:val="000000" w:themeColor="text1"/>
          <w:szCs w:val="20"/>
        </w:rPr>
      </w:pPr>
      <w:r>
        <w:t xml:space="preserve">Für die Funktionen </w:t>
      </w:r>
      <w:r w:rsidRPr="0093421A">
        <w:rPr>
          <w:i/>
        </w:rPr>
        <w:t>Stil_bereitstellen</w:t>
      </w:r>
      <w:r>
        <w:t xml:space="preserve"> und </w:t>
      </w:r>
      <w:r w:rsidR="001500F6">
        <w:rPr>
          <w:i/>
        </w:rPr>
        <w:t>Stil_wahrnehmen</w:t>
      </w:r>
      <w:r>
        <w:t xml:space="preserve"> ergeben sich kleinere Anpassungen:</w:t>
      </w:r>
    </w:p>
    <w:p w:rsidR="004D7F39" w:rsidRDefault="004D7F39" w:rsidP="00704402">
      <w:pPr>
        <w:pStyle w:val="Text"/>
        <w:keepNext/>
        <w:spacing w:before="360"/>
        <w:ind w:firstLine="0"/>
        <w:jc w:val="left"/>
        <w:rPr>
          <w:lang w:val="en-US"/>
        </w:rPr>
      </w:pPr>
      <w:r w:rsidRPr="00441628">
        <w:rPr>
          <w:lang w:val="en-US"/>
        </w:rPr>
        <w:t>function Stil_bereitstellen (</w:t>
      </w:r>
      <w:r w:rsidRPr="00441628">
        <w:rPr>
          <w:i/>
          <w:lang w:val="en-US"/>
        </w:rPr>
        <w:t>S*</w:t>
      </w:r>
      <w:r w:rsidRPr="00441628">
        <w:rPr>
          <w:lang w:val="en-US"/>
        </w:rPr>
        <w:t>)</w:t>
      </w:r>
    </w:p>
    <w:p w:rsidR="004D7F39" w:rsidRPr="00441628" w:rsidRDefault="00455138" w:rsidP="00F01A65">
      <w:pPr>
        <w:pStyle w:val="Text"/>
        <w:ind w:firstLine="0"/>
        <w:jc w:val="left"/>
        <w:rPr>
          <w:color w:val="000000" w:themeColor="text1"/>
          <w:lang w:val="en-US"/>
        </w:rPr>
      </w:pPr>
      <w:r>
        <w:rPr>
          <w:color w:val="000000" w:themeColor="text1"/>
          <w:lang w:val="en-US"/>
        </w:rPr>
        <w:t xml:space="preserve">   </w:t>
      </w:r>
      <w:r w:rsidR="004D7F39" w:rsidRPr="00441628">
        <w:rPr>
          <w:color w:val="000000" w:themeColor="text1"/>
          <w:lang w:val="en-US"/>
        </w:rPr>
        <w:t>…</w:t>
      </w:r>
    </w:p>
    <w:p w:rsidR="004D7F39" w:rsidRPr="00126E01" w:rsidRDefault="004D7F39" w:rsidP="00F01A65">
      <w:pPr>
        <w:pStyle w:val="Text"/>
        <w:ind w:firstLine="0"/>
        <w:jc w:val="left"/>
        <w:rPr>
          <w:lang w:val="en-US"/>
        </w:rPr>
      </w:pPr>
      <w:r w:rsidRPr="0012117C">
        <w:rPr>
          <w:lang w:val="en-US"/>
        </w:rPr>
        <w:t xml:space="preserve">   </w:t>
      </w:r>
      <w:r w:rsidRPr="00126E01">
        <w:rPr>
          <w:lang w:val="en-US"/>
        </w:rPr>
        <w:t xml:space="preserve">if </w:t>
      </w:r>
      <w:r w:rsidR="008D100B" w:rsidRPr="009365C7">
        <w:rPr>
          <w:i/>
          <w:lang w:val="en-US"/>
        </w:rPr>
        <w:t>I'</w:t>
      </w:r>
      <w:r>
        <w:rPr>
          <w:lang w:val="en-US"/>
        </w:rPr>
        <w:t xml:space="preserve"> </w:t>
      </w:r>
      <w:r w:rsidRPr="00126E01">
        <w:rPr>
          <w:rFonts w:eastAsia="Arial Unicode MS" w:cs="Times New Roman"/>
          <w:lang w:val="en-US"/>
        </w:rPr>
        <w:t>≠</w:t>
      </w:r>
      <w:r w:rsidRPr="00126E01">
        <w:rPr>
          <w:lang w:val="en-US"/>
        </w:rPr>
        <w:t xml:space="preserve"> </w:t>
      </w:r>
      <w:r w:rsidRPr="007F4805">
        <w:rPr>
          <w:position w:val="-6"/>
        </w:rPr>
        <w:object w:dxaOrig="260" w:dyaOrig="279">
          <v:shape id="_x0000_i1064" type="#_x0000_t75" style="width:14pt;height:13.6pt" o:ole="">
            <v:imagedata r:id="rId25" o:title=""/>
          </v:shape>
          <o:OLEObject Type="Embed" ProgID="Equation.3" ShapeID="_x0000_i1064" DrawAspect="Content" ObjectID="_1460983905" r:id="rId85"/>
        </w:object>
      </w:r>
    </w:p>
    <w:p w:rsidR="004D7F39" w:rsidRDefault="004D7F39" w:rsidP="00F01A65">
      <w:pPr>
        <w:pStyle w:val="Text"/>
        <w:ind w:firstLine="0"/>
        <w:jc w:val="left"/>
        <w:rPr>
          <w:lang w:val="en-US"/>
        </w:rPr>
      </w:pPr>
      <w:r w:rsidRPr="0012117C">
        <w:rPr>
          <w:lang w:val="en-US"/>
        </w:rPr>
        <w:t xml:space="preserve">      </w:t>
      </w:r>
      <w:r w:rsidRPr="003E391D">
        <w:rPr>
          <w:lang w:val="en-US"/>
        </w:rPr>
        <w:t>do</w:t>
      </w:r>
    </w:p>
    <w:p w:rsidR="008D100B" w:rsidRPr="003E391D" w:rsidRDefault="008D100B" w:rsidP="00F01A65">
      <w:pPr>
        <w:pStyle w:val="Text"/>
        <w:ind w:firstLine="0"/>
        <w:jc w:val="left"/>
        <w:rPr>
          <w:lang w:val="en-US"/>
        </w:rPr>
      </w:pPr>
      <w:r w:rsidRPr="00436A6E">
        <w:rPr>
          <w:lang w:val="en-US"/>
        </w:rPr>
        <w:t xml:space="preserve">         </w:t>
      </w:r>
      <w:r>
        <w:rPr>
          <w:i/>
          <w:iCs/>
          <w:lang w:val="en-US"/>
        </w:rPr>
        <w:t>St</w:t>
      </w:r>
      <w:r w:rsidRPr="004D7F39">
        <w:rPr>
          <w:lang w:val="en-US"/>
        </w:rPr>
        <w:t xml:space="preserve"> </w:t>
      </w:r>
      <w:r>
        <w:rPr>
          <w:lang w:val="en-US"/>
        </w:rPr>
        <w:t xml:space="preserve">= </w:t>
      </w:r>
      <w:r w:rsidRPr="00706A0F">
        <w:rPr>
          <w:lang w:val="en-US"/>
        </w:rPr>
        <w:t>&lt;</w:t>
      </w:r>
      <w:r w:rsidRPr="00706A0F">
        <w:rPr>
          <w:i/>
          <w:lang w:val="en-US"/>
        </w:rPr>
        <w:t>B</w:t>
      </w:r>
      <w:r w:rsidRPr="00706A0F">
        <w:rPr>
          <w:lang w:val="en-US"/>
        </w:rPr>
        <w:t xml:space="preserve">, </w:t>
      </w:r>
      <w:r>
        <w:rPr>
          <w:i/>
          <w:lang w:val="en-US"/>
        </w:rPr>
        <w:t>I</w:t>
      </w:r>
      <w:r w:rsidRPr="00706A0F">
        <w:rPr>
          <w:lang w:val="en-US"/>
        </w:rPr>
        <w:t>&gt;</w:t>
      </w:r>
      <w:r>
        <w:rPr>
          <w:lang w:val="en-US"/>
        </w:rPr>
        <w:t xml:space="preserve"> </w:t>
      </w:r>
      <w:r w:rsidRPr="004D7F39">
        <w:rPr>
          <w:lang w:val="en-US"/>
        </w:rPr>
        <w:t>:= Interpretation (</w:t>
      </w:r>
      <w:r w:rsidRPr="004D7F39">
        <w:rPr>
          <w:i/>
          <w:iCs/>
          <w:lang w:val="en-US"/>
        </w:rPr>
        <w:t>B</w:t>
      </w:r>
      <w:r w:rsidRPr="004D7F39">
        <w:rPr>
          <w:lang w:val="en-US"/>
        </w:rPr>
        <w:t xml:space="preserve">, </w:t>
      </w:r>
      <w:r w:rsidRPr="004D7F39">
        <w:rPr>
          <w:i/>
          <w:lang w:val="en-US"/>
        </w:rPr>
        <w:t>S*</w:t>
      </w:r>
      <w:r w:rsidRPr="004D7F39">
        <w:rPr>
          <w:lang w:val="en-US"/>
        </w:rPr>
        <w:t>)</w:t>
      </w:r>
    </w:p>
    <w:p w:rsidR="00457330" w:rsidRPr="008D100B" w:rsidRDefault="00457330" w:rsidP="009E3408">
      <w:pPr>
        <w:pStyle w:val="Text"/>
        <w:ind w:hanging="369"/>
        <w:jc w:val="left"/>
        <w:rPr>
          <w:color w:val="000000" w:themeColor="text1"/>
        </w:rPr>
      </w:pPr>
      <w:r w:rsidRPr="00F01A65">
        <w:rPr>
          <w:sz w:val="16"/>
          <w:szCs w:val="16"/>
        </w:rPr>
        <w:t>10</w:t>
      </w:r>
      <w:r w:rsidRPr="008D100B">
        <w:tab/>
      </w:r>
      <w:r w:rsidR="008D100B" w:rsidRPr="008D100B">
        <w:t xml:space="preserve">         </w:t>
      </w:r>
      <w:r w:rsidR="008D100B">
        <w:rPr>
          <w:i/>
        </w:rPr>
        <w:t>B</w:t>
      </w:r>
      <w:r w:rsidR="008D100B" w:rsidRPr="00752282">
        <w:t xml:space="preserve"> := Merkmalsregeln_</w:t>
      </w:r>
      <w:r w:rsidR="008D100B">
        <w:t>anpassen</w:t>
      </w:r>
      <w:r w:rsidR="008D100B" w:rsidRPr="00752282">
        <w:t xml:space="preserve"> (</w:t>
      </w:r>
      <w:r w:rsidR="008D100B" w:rsidRPr="00752282">
        <w:rPr>
          <w:i/>
        </w:rPr>
        <w:t>B</w:t>
      </w:r>
      <w:r w:rsidR="008D100B">
        <w:t xml:space="preserve">, </w:t>
      </w:r>
      <w:r w:rsidR="008D100B" w:rsidRPr="00752282">
        <w:rPr>
          <w:i/>
        </w:rPr>
        <w:t>I</w:t>
      </w:r>
      <w:r w:rsidR="008D100B" w:rsidRPr="004D7F39">
        <w:t>(</w:t>
      </w:r>
      <w:r w:rsidR="008D100B" w:rsidRPr="004D7F39">
        <w:rPr>
          <w:i/>
          <w:iCs/>
        </w:rPr>
        <w:t>St</w:t>
      </w:r>
      <w:r w:rsidR="008D100B" w:rsidRPr="004D7F39">
        <w:t>)</w:t>
      </w:r>
      <w:r w:rsidR="008D100B" w:rsidRPr="00752282">
        <w:t xml:space="preserve">, </w:t>
      </w:r>
      <w:r w:rsidR="008D100B" w:rsidRPr="00752282">
        <w:rPr>
          <w:i/>
        </w:rPr>
        <w:t>I'</w:t>
      </w:r>
      <w:r w:rsidR="008D100B" w:rsidRPr="00752282">
        <w:t>)</w:t>
      </w:r>
    </w:p>
    <w:p w:rsidR="004D7F39" w:rsidRPr="009365C7" w:rsidRDefault="004D7F39" w:rsidP="00F01A65">
      <w:pPr>
        <w:pStyle w:val="Text"/>
        <w:ind w:firstLine="0"/>
        <w:jc w:val="left"/>
        <w:rPr>
          <w:lang w:val="en-US"/>
        </w:rPr>
      </w:pPr>
      <w:r w:rsidRPr="00457330">
        <w:t xml:space="preserve">      </w:t>
      </w:r>
      <w:r w:rsidRPr="009365C7">
        <w:rPr>
          <w:lang w:val="en-US"/>
        </w:rPr>
        <w:t xml:space="preserve">while </w:t>
      </w:r>
      <w:r w:rsidRPr="009365C7">
        <w:rPr>
          <w:i/>
          <w:lang w:val="en-US"/>
        </w:rPr>
        <w:t>I'</w:t>
      </w:r>
      <w:r w:rsidRPr="009365C7">
        <w:rPr>
          <w:lang w:val="en-US"/>
        </w:rPr>
        <w:t xml:space="preserve"> </w:t>
      </w:r>
      <w:r w:rsidRPr="00E05FD7">
        <w:rPr>
          <w:rFonts w:ascii="Cambria Math" w:eastAsia="Arial Unicode MS" w:hAnsi="Cambria Math" w:cs="Arial Unicode MS"/>
          <w:lang w:val="en-US"/>
        </w:rPr>
        <w:t>⊈</w:t>
      </w:r>
      <w:r w:rsidRPr="009365C7">
        <w:rPr>
          <w:lang w:val="en-US"/>
        </w:rPr>
        <w:t xml:space="preserve"> </w:t>
      </w:r>
      <w:r w:rsidRPr="009365C7">
        <w:rPr>
          <w:i/>
          <w:lang w:val="en-US"/>
        </w:rPr>
        <w:t>I</w:t>
      </w:r>
      <w:r w:rsidRPr="004D7F39">
        <w:rPr>
          <w:lang w:val="en-US"/>
        </w:rPr>
        <w:t>(</w:t>
      </w:r>
      <w:r>
        <w:rPr>
          <w:i/>
          <w:iCs/>
          <w:lang w:val="en-US"/>
        </w:rPr>
        <w:t>St</w:t>
      </w:r>
      <w:r>
        <w:rPr>
          <w:lang w:val="en-US"/>
        </w:rPr>
        <w:t>)</w:t>
      </w:r>
    </w:p>
    <w:p w:rsidR="004D7F39" w:rsidRPr="00457330" w:rsidRDefault="004D7F39" w:rsidP="00F01A65">
      <w:pPr>
        <w:pStyle w:val="Text"/>
        <w:ind w:firstLine="0"/>
        <w:jc w:val="left"/>
        <w:rPr>
          <w:lang w:val="en-US"/>
        </w:rPr>
      </w:pPr>
      <w:r w:rsidRPr="00457330">
        <w:rPr>
          <w:lang w:val="en-US"/>
        </w:rPr>
        <w:t xml:space="preserve">   end</w:t>
      </w:r>
    </w:p>
    <w:p w:rsidR="004D7F39" w:rsidRDefault="004D7F39" w:rsidP="00F01A65">
      <w:pPr>
        <w:pStyle w:val="Text"/>
        <w:ind w:firstLine="0"/>
        <w:jc w:val="left"/>
        <w:rPr>
          <w:i/>
          <w:lang w:val="en-US"/>
        </w:rPr>
      </w:pPr>
      <w:r w:rsidRPr="00457330">
        <w:rPr>
          <w:lang w:val="en-US"/>
        </w:rPr>
        <w:t xml:space="preserve">   </w:t>
      </w:r>
      <w:r w:rsidRPr="002D4DAB">
        <w:rPr>
          <w:lang w:val="en-US"/>
        </w:rPr>
        <w:t xml:space="preserve">return </w:t>
      </w:r>
      <w:r w:rsidRPr="002D4DAB">
        <w:rPr>
          <w:i/>
          <w:lang w:val="en-US"/>
        </w:rPr>
        <w:t>B</w:t>
      </w:r>
    </w:p>
    <w:p w:rsidR="008D100B" w:rsidRDefault="008D100B" w:rsidP="00F01A65">
      <w:pPr>
        <w:pStyle w:val="Text"/>
        <w:ind w:firstLine="0"/>
        <w:jc w:val="left"/>
        <w:rPr>
          <w:i/>
          <w:lang w:val="en-US"/>
        </w:rPr>
      </w:pPr>
      <w:r w:rsidRPr="00441628">
        <w:rPr>
          <w:lang w:val="en-US"/>
        </w:rPr>
        <w:t>end function</w:t>
      </w:r>
    </w:p>
    <w:p w:rsidR="00FB0D03" w:rsidRPr="00162BAD" w:rsidRDefault="00FB0D03" w:rsidP="00704402">
      <w:pPr>
        <w:pStyle w:val="Text"/>
        <w:keepNext/>
        <w:spacing w:before="360"/>
        <w:ind w:firstLine="0"/>
        <w:jc w:val="left"/>
        <w:rPr>
          <w:lang w:val="en-US"/>
        </w:rPr>
      </w:pPr>
      <w:r w:rsidRPr="00162BAD">
        <w:rPr>
          <w:lang w:val="en-US"/>
        </w:rPr>
        <w:t xml:space="preserve">function </w:t>
      </w:r>
      <w:r w:rsidR="001500F6">
        <w:rPr>
          <w:lang w:val="en-US"/>
        </w:rPr>
        <w:t>Stil_wahrnehmen</w:t>
      </w:r>
      <w:r w:rsidRPr="00162BAD">
        <w:rPr>
          <w:lang w:val="en-US"/>
        </w:rPr>
        <w:t xml:space="preserve"> (</w:t>
      </w:r>
      <w:r w:rsidRPr="00162BAD">
        <w:rPr>
          <w:i/>
          <w:lang w:val="en-US"/>
        </w:rPr>
        <w:t>R</w:t>
      </w:r>
      <w:r w:rsidRPr="00162BAD">
        <w:rPr>
          <w:lang w:val="en-US"/>
        </w:rPr>
        <w:t>)</w:t>
      </w:r>
    </w:p>
    <w:p w:rsidR="00FB0D03" w:rsidRPr="004D7F39" w:rsidRDefault="0038766B" w:rsidP="00455138">
      <w:pPr>
        <w:pStyle w:val="Text"/>
        <w:ind w:firstLine="0"/>
        <w:jc w:val="left"/>
      </w:pPr>
      <w:r>
        <w:rPr>
          <w:lang w:val="it-IT"/>
        </w:rPr>
        <w:t xml:space="preserve">   </w:t>
      </w:r>
      <w:r w:rsidRPr="00ED2CBA">
        <w:rPr>
          <w:i/>
        </w:rPr>
        <w:t>S*</w:t>
      </w:r>
      <w:r w:rsidRPr="00ED2CBA">
        <w:t xml:space="preserve"> = </w:t>
      </w:r>
      <w:r>
        <w:rPr>
          <w:lang w:val="it-IT"/>
        </w:rPr>
        <w:t>&lt;</w:t>
      </w:r>
      <w:r w:rsidRPr="0065440B">
        <w:rPr>
          <w:i/>
          <w:lang w:val="it-IT"/>
        </w:rPr>
        <w:t>N</w:t>
      </w:r>
      <w:r>
        <w:rPr>
          <w:lang w:val="it-IT"/>
        </w:rPr>
        <w:t xml:space="preserve">, </w:t>
      </w:r>
      <w:r>
        <w:rPr>
          <w:i/>
          <w:lang w:val="it-IT"/>
        </w:rPr>
        <w:t>So</w:t>
      </w:r>
      <w:r>
        <w:rPr>
          <w:lang w:val="it-IT"/>
        </w:rPr>
        <w:t>, {&lt;</w:t>
      </w:r>
      <w:r>
        <w:rPr>
          <w:i/>
          <w:lang w:val="it-IT"/>
        </w:rPr>
        <w:t>Ob</w:t>
      </w:r>
      <w:r>
        <w:rPr>
          <w:lang w:val="it-IT"/>
        </w:rPr>
        <w:t xml:space="preserve">, </w:t>
      </w:r>
      <w:r>
        <w:rPr>
          <w:i/>
          <w:lang w:val="it-IT"/>
        </w:rPr>
        <w:t>Zb</w:t>
      </w:r>
      <w:r>
        <w:rPr>
          <w:lang w:val="it-IT"/>
        </w:rPr>
        <w:t>&gt;}&gt;</w:t>
      </w:r>
      <w:r w:rsidRPr="00ED2CBA">
        <w:t xml:space="preserve"> := Schema (</w:t>
      </w:r>
      <w:r w:rsidRPr="00ED2CBA">
        <w:rPr>
          <w:i/>
        </w:rPr>
        <w:t>R</w:t>
      </w:r>
      <w:r w:rsidRPr="00ED2CBA">
        <w:t>)</w:t>
      </w:r>
    </w:p>
    <w:p w:rsidR="00FB0D03" w:rsidRPr="004D7F39" w:rsidRDefault="00FB0D03" w:rsidP="00455138">
      <w:pPr>
        <w:pStyle w:val="Text"/>
        <w:ind w:firstLine="0"/>
        <w:jc w:val="left"/>
      </w:pPr>
      <w:r w:rsidRPr="004D7F39">
        <w:t xml:space="preserve">   </w:t>
      </w:r>
      <w:r w:rsidRPr="004D7F39">
        <w:rPr>
          <w:i/>
        </w:rPr>
        <w:t>B</w:t>
      </w:r>
      <w:r w:rsidRPr="004D7F39">
        <w:t xml:space="preserve"> := Merkmalsregeln_auslesen (</w:t>
      </w:r>
      <w:r w:rsidRPr="004D7F39">
        <w:rPr>
          <w:i/>
        </w:rPr>
        <w:t>R</w:t>
      </w:r>
      <w:r w:rsidRPr="004D7F39">
        <w:t xml:space="preserve">, </w:t>
      </w:r>
      <w:r w:rsidRPr="004D7F39">
        <w:rPr>
          <w:i/>
        </w:rPr>
        <w:t>S*</w:t>
      </w:r>
      <w:r w:rsidRPr="004D7F39">
        <w:t>)</w:t>
      </w:r>
    </w:p>
    <w:p w:rsidR="00FB0D03" w:rsidRPr="004D7F39" w:rsidRDefault="00FB0D03" w:rsidP="00455138">
      <w:pPr>
        <w:pStyle w:val="Text"/>
        <w:ind w:firstLine="0"/>
        <w:jc w:val="left"/>
        <w:rPr>
          <w:lang w:val="en-US"/>
        </w:rPr>
      </w:pPr>
      <w:r w:rsidRPr="004D7F39">
        <w:t xml:space="preserve">   </w:t>
      </w:r>
      <w:r w:rsidR="000425F5" w:rsidRPr="004D7F39">
        <w:rPr>
          <w:i/>
          <w:lang w:val="en-US"/>
        </w:rPr>
        <w:t>St</w:t>
      </w:r>
      <w:r w:rsidRPr="004D7F39">
        <w:rPr>
          <w:lang w:val="en-US"/>
        </w:rPr>
        <w:t xml:space="preserve"> := Interpretation (</w:t>
      </w:r>
      <w:r w:rsidRPr="004D7F39">
        <w:rPr>
          <w:i/>
          <w:iCs/>
          <w:lang w:val="en-US"/>
        </w:rPr>
        <w:t>B</w:t>
      </w:r>
      <w:r w:rsidRPr="004D7F39">
        <w:rPr>
          <w:lang w:val="en-US"/>
        </w:rPr>
        <w:t xml:space="preserve">, </w:t>
      </w:r>
      <w:r w:rsidRPr="004D7F39">
        <w:rPr>
          <w:i/>
          <w:lang w:val="en-US"/>
        </w:rPr>
        <w:t>S*</w:t>
      </w:r>
      <w:r w:rsidRPr="004D7F39">
        <w:rPr>
          <w:lang w:val="en-US"/>
        </w:rPr>
        <w:t>)</w:t>
      </w:r>
    </w:p>
    <w:p w:rsidR="00FB0D03" w:rsidRPr="004D7F39" w:rsidRDefault="00FB0D03" w:rsidP="009E3408">
      <w:pPr>
        <w:pStyle w:val="Text"/>
        <w:ind w:hanging="369"/>
        <w:jc w:val="left"/>
        <w:rPr>
          <w:color w:val="000000" w:themeColor="text1"/>
          <w:lang w:val="en-US"/>
        </w:rPr>
      </w:pPr>
      <w:r w:rsidRPr="00455138">
        <w:rPr>
          <w:sz w:val="16"/>
          <w:szCs w:val="16"/>
          <w:lang w:val="en-US"/>
        </w:rPr>
        <w:t xml:space="preserve"> 5</w:t>
      </w:r>
      <w:r w:rsidRPr="004D7F39">
        <w:rPr>
          <w:lang w:val="en-US"/>
        </w:rPr>
        <w:tab/>
      </w:r>
      <w:r w:rsidR="000425F5" w:rsidRPr="004D7F39">
        <w:rPr>
          <w:lang w:val="en-US"/>
        </w:rPr>
        <w:t xml:space="preserve">   return </w:t>
      </w:r>
      <w:r w:rsidR="000425F5" w:rsidRPr="004D7F39">
        <w:rPr>
          <w:i/>
          <w:lang w:val="en-US"/>
        </w:rPr>
        <w:t>St</w:t>
      </w:r>
    </w:p>
    <w:p w:rsidR="00642298" w:rsidRDefault="00FB0D03" w:rsidP="00455138">
      <w:pPr>
        <w:pStyle w:val="Text"/>
        <w:ind w:firstLine="0"/>
        <w:jc w:val="left"/>
      </w:pPr>
      <w:r w:rsidRPr="004D7F39">
        <w:t>end function</w:t>
      </w:r>
    </w:p>
    <w:p w:rsidR="00F00861" w:rsidRDefault="00F00861" w:rsidP="00F00861">
      <w:pPr>
        <w:pStyle w:val="Titel3"/>
      </w:pPr>
      <w:bookmarkStart w:id="426" w:name="_Ref261879934"/>
      <w:bookmarkStart w:id="427" w:name="_Toc325456806"/>
      <w:bookmarkStart w:id="428" w:name="Stildefinition2"/>
      <w:r>
        <w:t>Was definiert einen bestimmten Stil?</w:t>
      </w:r>
      <w:bookmarkEnd w:id="426"/>
      <w:bookmarkEnd w:id="427"/>
    </w:p>
    <w:p w:rsidR="00F00861" w:rsidRDefault="005D7996" w:rsidP="00704402">
      <w:pPr>
        <w:pStyle w:val="Text"/>
        <w:ind w:firstLine="0"/>
      </w:pPr>
      <w:r>
        <w:fldChar w:fldCharType="begin"/>
      </w:r>
      <w:r w:rsidR="009D0EC5">
        <w:instrText xml:space="preserve"> XE "Stil:</w:instrText>
      </w:r>
      <w:r w:rsidR="009D0EC5" w:rsidRPr="0073281C">
        <w:rPr>
          <w:i/>
        </w:rPr>
        <w:instrText>Definition</w:instrText>
      </w:r>
      <w:r w:rsidR="009D0EC5">
        <w:instrText xml:space="preserve">" \r "Stildefinition2" </w:instrText>
      </w:r>
      <w:r>
        <w:fldChar w:fldCharType="end"/>
      </w:r>
      <w:r w:rsidR="00F00861">
        <w:t>Ist die Paarvariable</w:t>
      </w:r>
      <w:r>
        <w:fldChar w:fldCharType="begin"/>
      </w:r>
      <w:r w:rsidR="00D84336">
        <w:instrText xml:space="preserve"> XE "</w:instrText>
      </w:r>
      <w:r w:rsidR="00D84336" w:rsidRPr="00AB3E17">
        <w:instrText>Paarvariable</w:instrText>
      </w:r>
      <w:r w:rsidR="00D84336">
        <w:instrText xml:space="preserve">" </w:instrText>
      </w:r>
      <w:r>
        <w:fldChar w:fldCharType="end"/>
      </w:r>
      <w:r w:rsidR="00F00861">
        <w:t xml:space="preserve"> </w:t>
      </w:r>
      <w:r w:rsidR="00F00861">
        <w:rPr>
          <w:i/>
        </w:rPr>
        <w:t>St</w:t>
      </w:r>
      <w:r w:rsidR="00F00861">
        <w:t xml:space="preserve"> als Stil aufzufassen? </w:t>
      </w:r>
      <w:r w:rsidR="002D20B9">
        <w:t xml:space="preserve">Wenn nicht, was enthält sie sonst? </w:t>
      </w:r>
      <w:r w:rsidR="00F00861">
        <w:t>Zwei Ansätze sind möglich:</w:t>
      </w:r>
    </w:p>
    <w:p w:rsidR="00F00861" w:rsidRDefault="00F00861" w:rsidP="00F00861">
      <w:pPr>
        <w:pStyle w:val="Text"/>
      </w:pPr>
      <w:r>
        <w:lastRenderedPageBreak/>
        <w:t xml:space="preserve">(1) </w:t>
      </w:r>
      <w:r>
        <w:tab/>
        <w:t>Dagegen spricht, dass sie nicht nur die Merkmalsregeln enthält, die e</w:t>
      </w:r>
      <w:r>
        <w:t>i</w:t>
      </w:r>
      <w:r>
        <w:t>nen Stil bereits vollständig definieren, sondern auch eine Interpretation; Stile können in unendlich vielen unterschiedlichen Arten interpretiert werden. Alle</w:t>
      </w:r>
      <w:r>
        <w:t>r</w:t>
      </w:r>
      <w:r>
        <w:t>dings werden viele dieser Interpretationen Ähnlichkeiten aufweisen, die kleiner oder größer sein können.</w:t>
      </w:r>
    </w:p>
    <w:p w:rsidR="00F00861" w:rsidRDefault="00F00861" w:rsidP="00F00861">
      <w:pPr>
        <w:pStyle w:val="Text"/>
      </w:pPr>
      <w:r>
        <w:t>(2)</w:t>
      </w:r>
      <w:r>
        <w:tab/>
        <w:t>Dafür spricht, dass Merkmal</w:t>
      </w:r>
      <w:r w:rsidR="00DB33A9">
        <w:t>sregeln</w:t>
      </w:r>
      <w:r>
        <w:t xml:space="preserve"> und ihre Interpretation eng z</w:t>
      </w:r>
      <w:r>
        <w:t>u</w:t>
      </w:r>
      <w:r>
        <w:t xml:space="preserve">sammengehören. In der Praxis enthalten praktisch alle Mengen </w:t>
      </w:r>
      <w:r w:rsidRPr="00D240C4">
        <w:rPr>
          <w:i/>
        </w:rPr>
        <w:t>B</w:t>
      </w:r>
      <w:r>
        <w:t xml:space="preserve"> verschiedene Regelmäßigkeiten, Relationen und Muster innerhalb der Merkmalsregeln, die es möglich machen, Erge</w:t>
      </w:r>
      <w:r w:rsidR="0011250E">
        <w:t xml:space="preserve">bnisse aus ihnen zu erzeugen. Wenn wir </w:t>
      </w:r>
      <w:r w:rsidR="00E22CAE">
        <w:t xml:space="preserve">über Stile </w:t>
      </w:r>
      <w:r w:rsidR="0011250E">
        <w:t>spr</w:t>
      </w:r>
      <w:r w:rsidR="0011250E">
        <w:t>e</w:t>
      </w:r>
      <w:r w:rsidR="0011250E">
        <w:t>chen,</w:t>
      </w:r>
      <w:r>
        <w:t xml:space="preserve"> </w:t>
      </w:r>
      <w:r w:rsidR="00E22CAE">
        <w:t xml:space="preserve">denken </w:t>
      </w:r>
      <w:r w:rsidR="0011250E">
        <w:t xml:space="preserve">wir gewöhnlich </w:t>
      </w:r>
      <w:r>
        <w:t xml:space="preserve">auch </w:t>
      </w:r>
      <w:r w:rsidR="00E22CAE">
        <w:t xml:space="preserve">an </w:t>
      </w:r>
      <w:r>
        <w:t>diese Regelmäßigkeiten und zumindest einen Teil der Erkenntnisse, Gefühle usw., die sich daraus erzeugen lassen.</w:t>
      </w:r>
    </w:p>
    <w:p w:rsidR="00F00861" w:rsidRDefault="00F00861" w:rsidP="00F00861">
      <w:pPr>
        <w:pStyle w:val="Text"/>
      </w:pPr>
      <w:r>
        <w:t>Aus diesen Überlegungen ergeben sich zwei denkbare Positionen:</w:t>
      </w:r>
    </w:p>
    <w:p w:rsidR="00F00861" w:rsidRDefault="00F00861" w:rsidP="00F00861">
      <w:pPr>
        <w:pStyle w:val="Text"/>
      </w:pPr>
      <w:r>
        <w:t>(1)</w:t>
      </w:r>
      <w:r>
        <w:tab/>
        <w:t>Die tatsächlich in einem Stil enthaltene Information ist bereits vol</w:t>
      </w:r>
      <w:r>
        <w:t>l</w:t>
      </w:r>
      <w:r>
        <w:t xml:space="preserve">ständig in der Menge </w:t>
      </w:r>
      <w:r w:rsidRPr="00653820">
        <w:rPr>
          <w:i/>
        </w:rPr>
        <w:t>B</w:t>
      </w:r>
      <w:r>
        <w:t xml:space="preserve"> von Merkmalsregeln gespeichert. Es ist daher, rein tec</w:t>
      </w:r>
      <w:r>
        <w:t>h</w:t>
      </w:r>
      <w:r>
        <w:t xml:space="preserve">nisch gesehen, nicht nötig, eine Interpretation </w:t>
      </w:r>
      <w:r w:rsidRPr="00653820">
        <w:rPr>
          <w:i/>
        </w:rPr>
        <w:t>I</w:t>
      </w:r>
      <w:r>
        <w:t xml:space="preserve"> zu einem bestimmten Stil zu zählen.</w:t>
      </w:r>
    </w:p>
    <w:p w:rsidR="00F00861" w:rsidRDefault="00F00861" w:rsidP="00F00861">
      <w:pPr>
        <w:pStyle w:val="Text"/>
      </w:pPr>
      <w:r>
        <w:t>(2)</w:t>
      </w:r>
      <w:r>
        <w:tab/>
        <w:t>Legen wir den gewöhnlichen Gebrauch des Begriffs ‚Stil‘ zugrunde, umfasst ein Stil zumindest noch Teile dessen, was erst die Interpretation fes</w:t>
      </w:r>
      <w:r>
        <w:t>t</w:t>
      </w:r>
      <w:r>
        <w:t xml:space="preserve">stellt und expliziert, nämlich die feststellbaren Regelmäßigkeiten innerhalb der Merkmalsregeln. Zwar sind diese Regelmäßigkeiten in der Menge </w:t>
      </w:r>
      <w:r w:rsidRPr="00610D6F">
        <w:rPr>
          <w:i/>
        </w:rPr>
        <w:t>B</w:t>
      </w:r>
      <w:r>
        <w:t xml:space="preserve"> schon en</w:t>
      </w:r>
      <w:r>
        <w:t>t</w:t>
      </w:r>
      <w:r>
        <w:t xml:space="preserve">halten, sie werden aber erst durch eine Interpretation </w:t>
      </w:r>
      <w:r w:rsidRPr="00610D6F">
        <w:rPr>
          <w:i/>
        </w:rPr>
        <w:t>I</w:t>
      </w:r>
      <w:r>
        <w:t xml:space="preserve"> expliziert.</w:t>
      </w:r>
    </w:p>
    <w:p w:rsidR="00F00861" w:rsidRDefault="00F00861" w:rsidP="00F00861">
      <w:pPr>
        <w:pStyle w:val="Text"/>
      </w:pPr>
      <w:r>
        <w:t>Ein Stil kann jedoch auch ganz unabhängig von einem konkreten Zeiche</w:t>
      </w:r>
      <w:r>
        <w:t>n</w:t>
      </w:r>
      <w:r>
        <w:t>prozess, in dem er in eine Realisierung eingeschrieben und ausgelesen wird, exi</w:t>
      </w:r>
      <w:r>
        <w:t>s</w:t>
      </w:r>
      <w:r>
        <w:t>tieren. Es handelt sich ja um eine abstrakte Entität, nämlich eine Menge von R</w:t>
      </w:r>
      <w:r>
        <w:t>e</w:t>
      </w:r>
      <w:r>
        <w:t>gelmäßigkeiten der Auswahl (</w:t>
      </w:r>
      <w:r w:rsidR="005D7996">
        <w:fldChar w:fldCharType="begin"/>
      </w:r>
      <w:r>
        <w:instrText xml:space="preserve"> REF _Ref273631801 \r \h </w:instrText>
      </w:r>
      <w:r w:rsidR="005D7996">
        <w:fldChar w:fldCharType="separate"/>
      </w:r>
      <w:r w:rsidR="001231D3">
        <w:t>2.10</w:t>
      </w:r>
      <w:r w:rsidR="005D7996">
        <w:fldChar w:fldCharType="end"/>
      </w:r>
      <w:r>
        <w:t>), die durch Merkmalsregeln beschreibbar sind (</w:t>
      </w:r>
      <w:r w:rsidR="005D7996">
        <w:fldChar w:fldCharType="begin"/>
      </w:r>
      <w:r w:rsidR="004363E7">
        <w:instrText xml:space="preserve"> REF _Ref274036205 \r \h </w:instrText>
      </w:r>
      <w:r w:rsidR="005D7996">
        <w:fldChar w:fldCharType="separate"/>
      </w:r>
      <w:r w:rsidR="001231D3">
        <w:t>2.12</w:t>
      </w:r>
      <w:r w:rsidR="005D7996">
        <w:fldChar w:fldCharType="end"/>
      </w:r>
      <w:r>
        <w:t>) und in verschiedenen Realisierungen (je nach den bei der Schemaausfü</w:t>
      </w:r>
      <w:r>
        <w:t>h</w:t>
      </w:r>
      <w:r>
        <w:t>rung geltenden Bedingungen) unterschiedliche stilistische Merkmale (</w:t>
      </w:r>
      <w:r w:rsidR="005D7996">
        <w:fldChar w:fldCharType="begin"/>
      </w:r>
      <w:r>
        <w:instrText xml:space="preserve"> REF _Ref273631874 \r \h </w:instrText>
      </w:r>
      <w:r w:rsidR="005D7996">
        <w:fldChar w:fldCharType="separate"/>
      </w:r>
      <w:r w:rsidR="001231D3">
        <w:t>2.11</w:t>
      </w:r>
      <w:r w:rsidR="005D7996">
        <w:fldChar w:fldCharType="end"/>
      </w:r>
      <w:r>
        <w:t>) e</w:t>
      </w:r>
      <w:r>
        <w:t>r</w:t>
      </w:r>
      <w:r>
        <w:t>zeugen.</w:t>
      </w:r>
    </w:p>
    <w:p w:rsidR="00F00861" w:rsidRDefault="00F00861" w:rsidP="00215273">
      <w:pPr>
        <w:pStyle w:val="Text"/>
        <w:spacing w:before="240"/>
        <w:ind w:firstLine="0"/>
      </w:pPr>
      <w:r>
        <w:t xml:space="preserve">Klar ist jedenfalls, dass ein Stil in eine Menge von Merkmalsregeln </w:t>
      </w:r>
      <w:r w:rsidRPr="008C6EA5">
        <w:rPr>
          <w:i/>
        </w:rPr>
        <w:t>B</w:t>
      </w:r>
      <w:r>
        <w:t xml:space="preserve"> zusamme</w:t>
      </w:r>
      <w:r>
        <w:t>n</w:t>
      </w:r>
      <w:r>
        <w:t>gefasst werden kann. In dieser Form wird er vom Stilanwender und Stilwah</w:t>
      </w:r>
      <w:r>
        <w:t>r</w:t>
      </w:r>
      <w:r>
        <w:t xml:space="preserve">nehmer übermittelt. Wir haben daher an mehreren Stellen die Menge </w:t>
      </w:r>
      <w:r w:rsidRPr="008C6EA5">
        <w:rPr>
          <w:i/>
        </w:rPr>
        <w:t>B</w:t>
      </w:r>
      <w:r>
        <w:t xml:space="preserve"> als Stil bezeichnet: So gibt die Funktion </w:t>
      </w:r>
      <w:r w:rsidRPr="0093421A">
        <w:rPr>
          <w:i/>
        </w:rPr>
        <w:t>Stil_bereitstellen</w:t>
      </w:r>
      <w:r>
        <w:t xml:space="preserve"> (Abschnitt </w:t>
      </w:r>
      <w:r w:rsidR="005D7996">
        <w:fldChar w:fldCharType="begin"/>
      </w:r>
      <w:r>
        <w:instrText xml:space="preserve"> REF _Ref261443581 \r \h </w:instrText>
      </w:r>
      <w:r w:rsidR="005D7996">
        <w:fldChar w:fldCharType="separate"/>
      </w:r>
      <w:r w:rsidR="001231D3">
        <w:t>7.3.1</w:t>
      </w:r>
      <w:r w:rsidR="005D7996">
        <w:fldChar w:fldCharType="end"/>
      </w:r>
      <w:r>
        <w:t xml:space="preserve">) eine Menge </w:t>
      </w:r>
      <w:r w:rsidRPr="00E4309C">
        <w:rPr>
          <w:i/>
        </w:rPr>
        <w:t>B</w:t>
      </w:r>
      <w:r>
        <w:t xml:space="preserve"> zurück, die dann in die Realisierung eingeschrieben wird. Innerhalb dieser Funktion gibt es die Funktion </w:t>
      </w:r>
      <w:r w:rsidRPr="0093421A">
        <w:rPr>
          <w:i/>
        </w:rPr>
        <w:t>vorhandener_Stil</w:t>
      </w:r>
      <w:r>
        <w:t xml:space="preserve">, die ebenfalls eine Menge </w:t>
      </w:r>
      <w:r w:rsidRPr="00E4309C">
        <w:rPr>
          <w:i/>
        </w:rPr>
        <w:t>B</w:t>
      </w:r>
      <w:r>
        <w:t xml:space="preserve"> z</w:t>
      </w:r>
      <w:r>
        <w:t>u</w:t>
      </w:r>
      <w:r>
        <w:t xml:space="preserve">rückliefert. In diesen beiden Fällen hatten wir </w:t>
      </w:r>
      <w:r w:rsidRPr="00E4309C">
        <w:rPr>
          <w:i/>
        </w:rPr>
        <w:t>B</w:t>
      </w:r>
      <w:r>
        <w:t xml:space="preserve"> als „Stil“ bezeichnet, weil davon ausgegangen werden kann, dass es sich um einen in eine Menge </w:t>
      </w:r>
      <w:r w:rsidRPr="00E4309C">
        <w:rPr>
          <w:i/>
        </w:rPr>
        <w:t>B</w:t>
      </w:r>
      <w:r>
        <w:t xml:space="preserve"> kondensierten tatsächlichen Stil handelt. Dagegen haben wir im Merkmalsprozess nur von „Merkmalen“ gesprochen (z.B. in den Funktionsnamen </w:t>
      </w:r>
      <w:r w:rsidRPr="0093421A">
        <w:rPr>
          <w:i/>
        </w:rPr>
        <w:t>Merkmalsregeln_ein</w:t>
      </w:r>
      <w:r w:rsidR="00EA4A49">
        <w:rPr>
          <w:i/>
        </w:rPr>
        <w:softHyphen/>
      </w:r>
      <w:r w:rsidRPr="0093421A">
        <w:rPr>
          <w:i/>
        </w:rPr>
        <w:t>schreiben</w:t>
      </w:r>
      <w:r>
        <w:t xml:space="preserve"> und </w:t>
      </w:r>
      <w:r w:rsidRPr="0093421A">
        <w:rPr>
          <w:i/>
        </w:rPr>
        <w:t>Merkmalsregeln_auslesen</w:t>
      </w:r>
      <w:r>
        <w:t>), da es sich dort um eine technische U</w:t>
      </w:r>
      <w:r>
        <w:t>n</w:t>
      </w:r>
      <w:r>
        <w:t xml:space="preserve">tersuchung des Einschreibens und Auslesens von Mengen von </w:t>
      </w:r>
      <w:r w:rsidRPr="00670E79">
        <w:rPr>
          <w:i/>
        </w:rPr>
        <w:t>B</w:t>
      </w:r>
      <w:r>
        <w:t xml:space="preserve"> handelt, deren interpretierbare Zusammenhänge keine Rolle spielen.</w:t>
      </w:r>
    </w:p>
    <w:p w:rsidR="00F00861" w:rsidRDefault="00F00861" w:rsidP="00F00861">
      <w:pPr>
        <w:pStyle w:val="Text"/>
      </w:pPr>
      <w:r>
        <w:lastRenderedPageBreak/>
        <w:t>Eine beliebig zusammengestellte Menge von Merkmalsregeln als Stil zu b</w:t>
      </w:r>
      <w:r>
        <w:t>e</w:t>
      </w:r>
      <w:r>
        <w:t>zeichnen, macht jedenfalls keinen Sinn. Tatsächliche Stile sind in der Regel durch eine Vielzahl von Zusammenhängen zwischen den Merkmalsregeln geken</w:t>
      </w:r>
      <w:r>
        <w:t>n</w:t>
      </w:r>
      <w:r>
        <w:t xml:space="preserve">zeichnet. Da jedoch jede Interpretation diese auf etwas andere Weise in eine Menge </w:t>
      </w:r>
      <w:r w:rsidRPr="00670E79">
        <w:rPr>
          <w:i/>
        </w:rPr>
        <w:t>I</w:t>
      </w:r>
      <w:r>
        <w:t xml:space="preserve"> der Interpretationsergebnisse entfaltet, ist eine Paarvariable</w:t>
      </w:r>
      <w:r w:rsidR="005D7996">
        <w:fldChar w:fldCharType="begin"/>
      </w:r>
      <w:r w:rsidR="00D84336">
        <w:instrText xml:space="preserve"> XE "</w:instrText>
      </w:r>
      <w:r w:rsidR="00D84336" w:rsidRPr="00AB3E17">
        <w:instrText>Paarvariable</w:instrText>
      </w:r>
      <w:r w:rsidR="00D84336">
        <w:instrText xml:space="preserve">" </w:instrText>
      </w:r>
      <w:r w:rsidR="005D7996">
        <w:fldChar w:fldCharType="end"/>
      </w:r>
      <w:r>
        <w:t xml:space="preserve"> </w:t>
      </w:r>
      <w:r w:rsidRPr="00670E79">
        <w:rPr>
          <w:i/>
        </w:rPr>
        <w:t>St</w:t>
      </w:r>
      <w:r>
        <w:t xml:space="preserve"> ebenfalls nicht mit einem Stil gleichzusetzen.</w:t>
      </w:r>
    </w:p>
    <w:p w:rsidR="00F00861" w:rsidRDefault="00F00861" w:rsidP="00F00861">
      <w:pPr>
        <w:pStyle w:val="Text"/>
      </w:pPr>
      <w:r>
        <w:t xml:space="preserve">Wir entscheiden uns daher dafür, durchgängig nur </w:t>
      </w:r>
      <w:r w:rsidRPr="000B3BD0">
        <w:rPr>
          <w:i/>
        </w:rPr>
        <w:t>B</w:t>
      </w:r>
      <w:r>
        <w:t xml:space="preserve"> als </w:t>
      </w:r>
      <w:r w:rsidR="002A3765">
        <w:t>einen „</w:t>
      </w:r>
      <w:r>
        <w:t>Stil</w:t>
      </w:r>
      <w:r w:rsidR="002A3765">
        <w:t>“ (in der Verwendungsweise Stil</w:t>
      </w:r>
      <w:r w:rsidR="002A3765" w:rsidRPr="002A3765">
        <w:rPr>
          <w:vertAlign w:val="subscript"/>
        </w:rPr>
        <w:t>b</w:t>
      </w:r>
      <w:r w:rsidR="002A3765">
        <w:t xml:space="preserve">; vgl. Abschnitt </w:t>
      </w:r>
      <w:r w:rsidR="005D7996">
        <w:fldChar w:fldCharType="begin"/>
      </w:r>
      <w:r w:rsidR="002A3765">
        <w:instrText xml:space="preserve"> REF _Ref273637469 \r \h </w:instrText>
      </w:r>
      <w:r w:rsidR="005D7996">
        <w:fldChar w:fldCharType="separate"/>
      </w:r>
      <w:r w:rsidR="001231D3">
        <w:t>2.16</w:t>
      </w:r>
      <w:r w:rsidR="005D7996">
        <w:fldChar w:fldCharType="end"/>
      </w:r>
      <w:r w:rsidR="002A3765">
        <w:t>)</w:t>
      </w:r>
      <w:r>
        <w:t xml:space="preserve"> zu bezeichnen. Bei tatsächlichen Anwendungs- und Wahrnehmungssituationen enthält diese Menge in fast allen Fällen Relationen und weitergehende Zeicheninhalte, da dort nicht eine beliebige Menge von Merkmalsregeln ‚aus der Retorte‘ zusammengestellt wird, sondern eben ein tatsächlicher Stil angewandt oder ausgelesen. Innerhalb des Modells müssen die Funktionen </w:t>
      </w:r>
      <w:r w:rsidRPr="00786D5C">
        <w:rPr>
          <w:i/>
        </w:rPr>
        <w:t>vorhandener_Stil</w:t>
      </w:r>
      <w:r>
        <w:t xml:space="preserve"> oder </w:t>
      </w:r>
      <w:r w:rsidRPr="000B3BD0">
        <w:rPr>
          <w:i/>
        </w:rPr>
        <w:t>Merkmalsregeln_erzeugen</w:t>
      </w:r>
      <w:r>
        <w:t xml:space="preserve"> und gegebenenfalls auch die Berücksichtigung der angestrebten Interpretation </w:t>
      </w:r>
      <w:r w:rsidRPr="00786D5C">
        <w:rPr>
          <w:i/>
        </w:rPr>
        <w:t>I'</w:t>
      </w:r>
      <w:r>
        <w:t xml:space="preserve"> für die erforderliche </w:t>
      </w:r>
      <w:r w:rsidR="004D3F80">
        <w:t xml:space="preserve">Kohärenz </w:t>
      </w:r>
      <w:r>
        <w:t xml:space="preserve">des angewendeten Stils sorgen (vgl. Abschnitt </w:t>
      </w:r>
      <w:r w:rsidR="005D7996">
        <w:fldChar w:fldCharType="begin"/>
      </w:r>
      <w:r>
        <w:instrText xml:space="preserve"> REF _Ref261443581 \r \h </w:instrText>
      </w:r>
      <w:r w:rsidR="005D7996">
        <w:fldChar w:fldCharType="separate"/>
      </w:r>
      <w:r w:rsidR="001231D3">
        <w:t>7.3.1</w:t>
      </w:r>
      <w:r w:rsidR="005D7996">
        <w:fldChar w:fldCharType="end"/>
      </w:r>
      <w:r>
        <w:t>).</w:t>
      </w:r>
    </w:p>
    <w:p w:rsidR="007C057D" w:rsidRDefault="002A3765" w:rsidP="00F00861">
      <w:pPr>
        <w:pStyle w:val="Text"/>
      </w:pPr>
      <w:r>
        <w:t xml:space="preserve">Nicht nur </w:t>
      </w:r>
      <w:r w:rsidR="00A20809">
        <w:t xml:space="preserve">als </w:t>
      </w:r>
      <w:r>
        <w:t>abstrakte Einheit, auch bei</w:t>
      </w:r>
      <w:r w:rsidR="00854A12">
        <w:t xml:space="preserve">m </w:t>
      </w:r>
      <w:r>
        <w:t xml:space="preserve">konkreten </w:t>
      </w:r>
      <w:r w:rsidR="00854A12">
        <w:t xml:space="preserve">Anwenden </w:t>
      </w:r>
      <w:r>
        <w:t xml:space="preserve">oder </w:t>
      </w:r>
      <w:r w:rsidR="00854A12">
        <w:t xml:space="preserve">Wahrnehmen </w:t>
      </w:r>
      <w:r>
        <w:t>sollte unter einem Stil</w:t>
      </w:r>
      <w:r w:rsidRPr="002A3765">
        <w:rPr>
          <w:vertAlign w:val="subscript"/>
        </w:rPr>
        <w:t>b</w:t>
      </w:r>
      <w:r>
        <w:t xml:space="preserve"> nur eine Menge </w:t>
      </w:r>
      <w:r w:rsidRPr="000B3BD0">
        <w:rPr>
          <w:i/>
        </w:rPr>
        <w:t>B</w:t>
      </w:r>
      <w:r>
        <w:t xml:space="preserve"> von Merkmalsregeln verstanden werden. Hier kommt es jedoch im Regelfall auch zu Abweichungen zwischen der angewendeten und der wahrgenommenen Menge </w:t>
      </w:r>
      <w:r w:rsidRPr="002A3765">
        <w:rPr>
          <w:i/>
        </w:rPr>
        <w:t>B</w:t>
      </w:r>
      <w:r>
        <w:t xml:space="preserve">. Um dies zu berücksichtigen, führen wir die </w:t>
      </w:r>
      <w:r w:rsidR="00F00861">
        <w:t>Bezeichnungen „Anwender</w:t>
      </w:r>
      <w:r>
        <w:t>stil“ und „</w:t>
      </w:r>
      <w:r w:rsidR="00561771">
        <w:t>Wahrne</w:t>
      </w:r>
      <w:r w:rsidR="00561771">
        <w:t>h</w:t>
      </w:r>
      <w:r w:rsidR="00561771">
        <w:t>mer</w:t>
      </w:r>
      <w:r>
        <w:t>stil“ ein</w:t>
      </w:r>
      <w:r w:rsidR="007C057D">
        <w:t xml:space="preserve">, die </w:t>
      </w:r>
      <w:r w:rsidR="00F00861">
        <w:t xml:space="preserve">eine </w:t>
      </w:r>
      <w:r w:rsidR="007C057D">
        <w:t xml:space="preserve">Menge </w:t>
      </w:r>
      <w:r w:rsidR="007C057D" w:rsidRPr="007C057D">
        <w:rPr>
          <w:i/>
        </w:rPr>
        <w:t>B</w:t>
      </w:r>
      <w:r w:rsidR="007C057D">
        <w:t xml:space="preserve"> in einer </w:t>
      </w:r>
      <w:r w:rsidR="00F00861">
        <w:t>konkrete</w:t>
      </w:r>
      <w:r w:rsidR="007C057D">
        <w:t>n</w:t>
      </w:r>
      <w:r w:rsidR="00F00861">
        <w:t xml:space="preserve"> Anwendungs- oder Wahrne</w:t>
      </w:r>
      <w:r w:rsidR="00F00861">
        <w:t>h</w:t>
      </w:r>
      <w:r w:rsidR="00F00861">
        <w:t>mungssituation</w:t>
      </w:r>
      <w:r w:rsidR="007C057D">
        <w:t xml:space="preserve"> bezeichnen</w:t>
      </w:r>
      <w:r w:rsidR="00F00861">
        <w:t>.</w:t>
      </w:r>
    </w:p>
    <w:p w:rsidR="007C057D" w:rsidRDefault="007C057D" w:rsidP="00F00861">
      <w:pPr>
        <w:pStyle w:val="Text"/>
      </w:pPr>
      <w:r>
        <w:t xml:space="preserve">Für die Variable </w:t>
      </w:r>
      <w:r w:rsidRPr="007C057D">
        <w:rPr>
          <w:i/>
        </w:rPr>
        <w:t>St</w:t>
      </w:r>
      <w:r>
        <w:t>, die beim Wahrnehmen eines Stils (</w:t>
      </w:r>
      <w:r w:rsidR="005D7996">
        <w:fldChar w:fldCharType="begin"/>
      </w:r>
      <w:r>
        <w:instrText xml:space="preserve"> REF _Ref261443737 \r \h </w:instrText>
      </w:r>
      <w:r w:rsidR="005D7996">
        <w:fldChar w:fldCharType="separate"/>
      </w:r>
      <w:r w:rsidR="001231D3">
        <w:t>7.3.2</w:t>
      </w:r>
      <w:r w:rsidR="005D7996">
        <w:fldChar w:fldCharType="end"/>
      </w:r>
      <w:r>
        <w:t xml:space="preserve">) die Menge </w:t>
      </w:r>
      <w:r w:rsidR="00F00861" w:rsidRPr="000B3BD0">
        <w:rPr>
          <w:i/>
        </w:rPr>
        <w:t>B</w:t>
      </w:r>
      <w:r w:rsidR="00F00861">
        <w:t xml:space="preserve"> </w:t>
      </w:r>
      <w:r>
        <w:t xml:space="preserve">zusammen mit einer Interpretation </w:t>
      </w:r>
      <w:r w:rsidRPr="007C057D">
        <w:rPr>
          <w:i/>
        </w:rPr>
        <w:t>I</w:t>
      </w:r>
      <w:r>
        <w:t xml:space="preserve"> enthält, können wir nun „interpretierter </w:t>
      </w:r>
      <w:r w:rsidR="00A20809">
        <w:t>Wahrnehmerstil</w:t>
      </w:r>
      <w:r>
        <w:t>“ sagen. Beim Anwenden des Stils (</w:t>
      </w:r>
      <w:r w:rsidR="005D7996">
        <w:fldChar w:fldCharType="begin"/>
      </w:r>
      <w:r>
        <w:instrText xml:space="preserve"> REF _Ref261443581 \r \h </w:instrText>
      </w:r>
      <w:r w:rsidR="005D7996">
        <w:fldChar w:fldCharType="separate"/>
      </w:r>
      <w:r w:rsidR="001231D3">
        <w:t>7.3.1</w:t>
      </w:r>
      <w:r w:rsidR="005D7996">
        <w:fldChar w:fldCharType="end"/>
      </w:r>
      <w:r>
        <w:t xml:space="preserve">) hatten wir </w:t>
      </w:r>
      <w:r w:rsidRPr="007C057D">
        <w:rPr>
          <w:i/>
        </w:rPr>
        <w:t>St</w:t>
      </w:r>
      <w:r w:rsidR="004209D5">
        <w:t xml:space="preserve"> </w:t>
      </w:r>
      <w:r>
        <w:t xml:space="preserve">nicht definiert, dort können wir jedoch parallel dazu für die Menge </w:t>
      </w:r>
      <w:r w:rsidRPr="000B3BD0">
        <w:rPr>
          <w:i/>
        </w:rPr>
        <w:t>B</w:t>
      </w:r>
      <w:r>
        <w:t xml:space="preserve"> zusammen mit einer angestrebten Interpretation </w:t>
      </w:r>
      <w:r w:rsidRPr="007C057D">
        <w:rPr>
          <w:i/>
        </w:rPr>
        <w:t>I'</w:t>
      </w:r>
      <w:r>
        <w:t xml:space="preserve"> nun </w:t>
      </w:r>
      <w:r w:rsidR="00F00861">
        <w:t>„interpretierte</w:t>
      </w:r>
      <w:r>
        <w:t>r</w:t>
      </w:r>
      <w:r w:rsidR="00F00861">
        <w:t xml:space="preserve"> </w:t>
      </w:r>
      <w:r w:rsidR="00A20809">
        <w:t>Anwenderstil</w:t>
      </w:r>
      <w:r w:rsidR="00F00861">
        <w:t>“</w:t>
      </w:r>
      <w:r>
        <w:t xml:space="preserve"> sagen.</w:t>
      </w:r>
    </w:p>
    <w:p w:rsidR="00F00861" w:rsidRPr="00642298" w:rsidRDefault="007C057D" w:rsidP="00F00861">
      <w:pPr>
        <w:pStyle w:val="Text"/>
      </w:pPr>
      <w:r>
        <w:t>Im nächsten Abschnitt werden diese Begriffe genauer untersucht.</w:t>
      </w:r>
    </w:p>
    <w:p w:rsidR="004C0E94" w:rsidRDefault="00C038D3" w:rsidP="0062192E">
      <w:pPr>
        <w:pStyle w:val="Titel3"/>
      </w:pPr>
      <w:bookmarkStart w:id="429" w:name="_Ref269151730"/>
      <w:bookmarkStart w:id="430" w:name="_Ref273617215"/>
      <w:bookmarkStart w:id="431" w:name="_Toc325456807"/>
      <w:bookmarkStart w:id="432" w:name="Anwenderstil"/>
      <w:r>
        <w:t>Anwender</w:t>
      </w:r>
      <w:r w:rsidR="004C0E94">
        <w:t>- und</w:t>
      </w:r>
      <w:bookmarkEnd w:id="429"/>
      <w:r>
        <w:t xml:space="preserve"> Wahrnehmerstile</w:t>
      </w:r>
      <w:bookmarkEnd w:id="430"/>
      <w:bookmarkEnd w:id="431"/>
    </w:p>
    <w:p w:rsidR="0019001D" w:rsidRDefault="005D7996" w:rsidP="00215273">
      <w:pPr>
        <w:pStyle w:val="Text"/>
        <w:ind w:firstLine="0"/>
      </w:pPr>
      <w:r>
        <w:fldChar w:fldCharType="begin"/>
      </w:r>
      <w:r w:rsidR="00410F03">
        <w:instrText xml:space="preserve"> XE "Anwenderstil" \r "Anwenderstil" </w:instrText>
      </w:r>
      <w:r>
        <w:fldChar w:fldCharType="end"/>
      </w:r>
      <w:r>
        <w:fldChar w:fldCharType="begin"/>
      </w:r>
      <w:r w:rsidR="00410F03">
        <w:instrText xml:space="preserve"> XE "Wahrnehmerstil" \r "Anwenderstil" </w:instrText>
      </w:r>
      <w:r>
        <w:fldChar w:fldCharType="end"/>
      </w:r>
      <w:r>
        <w:fldChar w:fldCharType="begin"/>
      </w:r>
      <w:r w:rsidR="00410F03">
        <w:instrText xml:space="preserve"> XE "Anwenderstil</w:instrText>
      </w:r>
      <w:r w:rsidR="00154E52">
        <w:instrText>:</w:instrText>
      </w:r>
      <w:r w:rsidR="00534F7E">
        <w:instrText>interpretierter</w:instrText>
      </w:r>
      <w:r w:rsidR="00410F03">
        <w:instrText xml:space="preserve">" \r "Anwenderstil" </w:instrText>
      </w:r>
      <w:r>
        <w:fldChar w:fldCharType="end"/>
      </w:r>
      <w:r>
        <w:fldChar w:fldCharType="begin"/>
      </w:r>
      <w:r w:rsidR="00410F03">
        <w:instrText xml:space="preserve"> XE "Wahrnehmerstil</w:instrText>
      </w:r>
      <w:r w:rsidR="00154E52">
        <w:instrText>:</w:instrText>
      </w:r>
      <w:r w:rsidR="00534F7E">
        <w:instrText>interpretierter</w:instrText>
      </w:r>
      <w:r w:rsidR="00410F03">
        <w:instrText xml:space="preserve">" \r "Anwenderstil" </w:instrText>
      </w:r>
      <w:r>
        <w:fldChar w:fldCharType="end"/>
      </w:r>
      <w:r>
        <w:fldChar w:fldCharType="begin"/>
      </w:r>
      <w:r w:rsidR="00FC2E2D">
        <w:instrText xml:space="preserve"> XE "Zeicheninhalt" \r "Anwenderstil" </w:instrText>
      </w:r>
      <w:r>
        <w:fldChar w:fldCharType="end"/>
      </w:r>
      <w:r w:rsidR="0019001D">
        <w:t>Stil gehört zu den nicht-kodierten Zeichenprozessen. Kodes (Zeichensysteme</w:t>
      </w:r>
      <w:r>
        <w:fldChar w:fldCharType="begin"/>
      </w:r>
      <w:r w:rsidR="00D24142">
        <w:instrText xml:space="preserve"> XE "</w:instrText>
      </w:r>
      <w:r w:rsidR="00D24142" w:rsidRPr="004B350B">
        <w:instrText>Zeichensystem</w:instrText>
      </w:r>
      <w:r w:rsidR="00D24142">
        <w:instrText xml:space="preserve">" </w:instrText>
      </w:r>
      <w:r>
        <w:fldChar w:fldCharType="end"/>
      </w:r>
      <w:r w:rsidR="0019001D">
        <w:t xml:space="preserve">) bestehen aus einem Repertoire an Zeichen mit </w:t>
      </w:r>
      <w:r w:rsidR="006129F8">
        <w:t>konventionalisierten Zeicheni</w:t>
      </w:r>
      <w:r w:rsidR="006129F8">
        <w:t>n</w:t>
      </w:r>
      <w:r w:rsidR="006129F8">
        <w:t>halten</w:t>
      </w:r>
      <w:r w:rsidR="00CA6618">
        <w:t xml:space="preserve"> </w:t>
      </w:r>
      <w:r w:rsidR="006129F8">
        <w:t>(=</w:t>
      </w:r>
      <w:r w:rsidR="00BE5504">
        <w:t> </w:t>
      </w:r>
      <w:r w:rsidR="0019001D">
        <w:t>Bedeutung</w:t>
      </w:r>
      <w:r w:rsidR="006129F8">
        <w:t>en)</w:t>
      </w:r>
      <w:r w:rsidR="0019001D">
        <w:t xml:space="preserve"> sowie aus einer Menge an Kombinationsregeln</w:t>
      </w:r>
      <w:r>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fldChar w:fldCharType="end"/>
      </w:r>
      <w:r w:rsidR="0019001D">
        <w:t xml:space="preserve"> mit A</w:t>
      </w:r>
      <w:r w:rsidR="0019001D">
        <w:t>n</w:t>
      </w:r>
      <w:r w:rsidR="0019001D">
        <w:t>gaben zur semantischen Konstruktion der Gesamtbedeutung de</w:t>
      </w:r>
      <w:r w:rsidR="00E31655">
        <w:t>s</w:t>
      </w:r>
      <w:r w:rsidR="0019001D">
        <w:t xml:space="preserve"> entstehenden Zeichenk</w:t>
      </w:r>
      <w:r w:rsidR="00E31655">
        <w:t>omplexes</w:t>
      </w:r>
      <w:r>
        <w:fldChar w:fldCharType="begin"/>
      </w:r>
      <w:r w:rsidR="00E35B4A">
        <w:instrText xml:space="preserve"> XE "</w:instrText>
      </w:r>
      <w:r w:rsidR="00E35B4A" w:rsidRPr="00B061C7">
        <w:instrText>Zeichenkomplex</w:instrText>
      </w:r>
      <w:r w:rsidR="00E35B4A">
        <w:instrText xml:space="preserve">" </w:instrText>
      </w:r>
      <w:r>
        <w:fldChar w:fldCharType="end"/>
      </w:r>
      <w:r w:rsidR="0019001D">
        <w:t>.</w:t>
      </w:r>
      <w:r w:rsidR="005D6366">
        <w:rPr>
          <w:rStyle w:val="Funotenzeichen"/>
        </w:rPr>
        <w:footnoteReference w:id="537"/>
      </w:r>
      <w:r w:rsidR="0019001D">
        <w:t xml:space="preserve"> Daher ist es bei kodierten Zeichenprozessen, sofern der Kode</w:t>
      </w:r>
      <w:r>
        <w:fldChar w:fldCharType="begin"/>
      </w:r>
      <w:r w:rsidR="00B2444A">
        <w:instrText xml:space="preserve"> XE "</w:instrText>
      </w:r>
      <w:r w:rsidR="00B2444A" w:rsidRPr="00843AC3">
        <w:instrText>Kode</w:instrText>
      </w:r>
      <w:r w:rsidR="00B2444A">
        <w:instrText xml:space="preserve">" </w:instrText>
      </w:r>
      <w:r>
        <w:fldChar w:fldCharType="end"/>
      </w:r>
      <w:r w:rsidR="0019001D">
        <w:t xml:space="preserve"> beiden bekannt ist und der Kanal ausreichend gut funktioniert, </w:t>
      </w:r>
      <w:r w:rsidR="005D6366">
        <w:t>möglich, dass eine Botschaft</w:t>
      </w:r>
      <w:r>
        <w:fldChar w:fldCharType="begin"/>
      </w:r>
      <w:r w:rsidR="0025452C">
        <w:instrText xml:space="preserve"> XE "</w:instrText>
      </w:r>
      <w:r w:rsidR="0025452C" w:rsidRPr="007258AB">
        <w:instrText>Botschaft</w:instrText>
      </w:r>
      <w:r w:rsidR="0025452C">
        <w:instrText xml:space="preserve">:kodierte" </w:instrText>
      </w:r>
      <w:r>
        <w:fldChar w:fldCharType="end"/>
      </w:r>
      <w:r w:rsidR="005D6366">
        <w:t xml:space="preserve"> </w:t>
      </w:r>
      <w:r w:rsidR="0019001D">
        <w:t>verlustfrei vom Sender zum Empfänger übertragen wird.</w:t>
      </w:r>
    </w:p>
    <w:p w:rsidR="00D90BAB" w:rsidRDefault="0019001D" w:rsidP="0019001D">
      <w:pPr>
        <w:pStyle w:val="Text"/>
      </w:pPr>
      <w:r>
        <w:t>Nicht-kodierte Zeichenprozesse können eine solche Übertragungsgenaui</w:t>
      </w:r>
      <w:r>
        <w:t>g</w:t>
      </w:r>
      <w:r>
        <w:t>keit meist nicht gewähr</w:t>
      </w:r>
      <w:r w:rsidR="00CD1B68">
        <w:t xml:space="preserve">leisten; </w:t>
      </w:r>
      <w:r>
        <w:t xml:space="preserve">bei ihnen wird der Prozess der </w:t>
      </w:r>
      <w:r w:rsidR="00C038D3">
        <w:t>Übermittlung der Botschaft</w:t>
      </w:r>
      <w:r w:rsidR="005D7996">
        <w:fldChar w:fldCharType="begin"/>
      </w:r>
      <w:r w:rsidR="0025452C">
        <w:instrText xml:space="preserve"> XE "</w:instrText>
      </w:r>
      <w:r w:rsidR="0025452C" w:rsidRPr="007258AB">
        <w:instrText>Botschaft</w:instrText>
      </w:r>
      <w:r w:rsidR="0025452C">
        <w:instrText xml:space="preserve">" </w:instrText>
      </w:r>
      <w:r w:rsidR="005D7996">
        <w:fldChar w:fldCharType="end"/>
      </w:r>
      <w:r>
        <w:t xml:space="preserve">, der nicht </w:t>
      </w:r>
      <w:r w:rsidR="00C038D3">
        <w:t xml:space="preserve">mit Hilfe von kodierten </w:t>
      </w:r>
      <w:r>
        <w:t xml:space="preserve">Bedeutungen </w:t>
      </w:r>
      <w:r w:rsidR="00C038D3">
        <w:t>erfolg</w:t>
      </w:r>
      <w:r w:rsidR="00933E06">
        <w:t>t</w:t>
      </w:r>
      <w:r>
        <w:t>, durch Fakt</w:t>
      </w:r>
      <w:r>
        <w:t>o</w:t>
      </w:r>
      <w:r>
        <w:lastRenderedPageBreak/>
        <w:t xml:space="preserve">ren </w:t>
      </w:r>
      <w:r w:rsidR="00CD1B68">
        <w:t xml:space="preserve">wie </w:t>
      </w:r>
      <w:r>
        <w:t>Hintergrundwissen, Kontext der</w:t>
      </w:r>
      <w:r w:rsidR="00CD1B68">
        <w:t xml:space="preserve"> Sende- bzw. Empfangssituation und persönliche</w:t>
      </w:r>
      <w:r w:rsidR="00134D80">
        <w:t>s</w:t>
      </w:r>
      <w:r w:rsidR="00CD1B68">
        <w:t xml:space="preserve"> Interesse bei der Interpretation beeinflusst. </w:t>
      </w:r>
      <w:r w:rsidR="00D90BAB">
        <w:t>Daher macht es bei solchen Zeichenprozessen Sinn, Sender- und Empfängerzeichen zu untersche</w:t>
      </w:r>
      <w:r w:rsidR="00D90BAB">
        <w:t>i</w:t>
      </w:r>
      <w:r w:rsidR="00D90BAB">
        <w:t>den.</w:t>
      </w:r>
      <w:bookmarkStart w:id="433" w:name="_Ref267767834"/>
      <w:bookmarkStart w:id="434" w:name="_Ref261902023"/>
      <w:r w:rsidR="00D3709B">
        <w:rPr>
          <w:rStyle w:val="Funotenzeichen"/>
        </w:rPr>
        <w:footnoteReference w:id="538"/>
      </w:r>
      <w:bookmarkEnd w:id="433"/>
      <w:r w:rsidR="0009634C">
        <w:t xml:space="preserve"> </w:t>
      </w:r>
      <w:bookmarkEnd w:id="434"/>
      <w:r w:rsidR="00D31474">
        <w:t xml:space="preserve">In Analogie dazu wollen wir bei Stil von </w:t>
      </w:r>
      <w:r w:rsidR="00327727">
        <w:t>„</w:t>
      </w:r>
      <w:r w:rsidR="00D31474" w:rsidRPr="00327727">
        <w:t>Anwender</w:t>
      </w:r>
      <w:r w:rsidR="00D90BAB" w:rsidRPr="00327727">
        <w:t>stilen</w:t>
      </w:r>
      <w:r w:rsidR="00327727">
        <w:t>“</w:t>
      </w:r>
      <w:r w:rsidR="00D90BAB">
        <w:t xml:space="preserve"> und </w:t>
      </w:r>
      <w:r w:rsidR="00327727">
        <w:t>„</w:t>
      </w:r>
      <w:r w:rsidR="00D31474" w:rsidRPr="00327727">
        <w:t>Wah</w:t>
      </w:r>
      <w:r w:rsidR="00D31474" w:rsidRPr="00327727">
        <w:t>r</w:t>
      </w:r>
      <w:r w:rsidR="00D31474" w:rsidRPr="00327727">
        <w:t>nehmer</w:t>
      </w:r>
      <w:r w:rsidR="00D90BAB" w:rsidRPr="00327727">
        <w:t>stilen</w:t>
      </w:r>
      <w:r w:rsidR="00327727">
        <w:t>“</w:t>
      </w:r>
      <w:r w:rsidR="00D31474">
        <w:t xml:space="preserve"> sprechen, wobei allerdings </w:t>
      </w:r>
      <w:r w:rsidR="00134D80">
        <w:t>die Unterschiede zu beachten sind</w:t>
      </w:r>
      <w:r w:rsidR="00D31474">
        <w:t>, dass (a) Anwenden und Wahrnehmen keine absichtlichen Prozesse sein müssen</w:t>
      </w:r>
      <w:r w:rsidR="00134D80">
        <w:t xml:space="preserve">, während ein Senderzeichen </w:t>
      </w:r>
      <w:r w:rsidR="00370232">
        <w:t>ein</w:t>
      </w:r>
      <w:r w:rsidR="00134D80">
        <w:t xml:space="preserve"> vom Sender beabsichtigte</w:t>
      </w:r>
      <w:r w:rsidR="00370232">
        <w:t>s</w:t>
      </w:r>
      <w:r w:rsidR="00134D80">
        <w:t xml:space="preserve"> Zeichen ist,</w:t>
      </w:r>
      <w:r w:rsidR="00D31474">
        <w:t xml:space="preserve"> und (b) </w:t>
      </w:r>
      <w:r w:rsidR="00134D80">
        <w:t>Stil nur der Zeicheninhalt des stilistischen Zeichens</w:t>
      </w:r>
      <w:r w:rsidR="005D7996">
        <w:fldChar w:fldCharType="begin"/>
      </w:r>
      <w:r w:rsidR="00534F7E">
        <w:instrText xml:space="preserve"> XE "</w:instrText>
      </w:r>
      <w:r w:rsidR="00534F7E" w:rsidRPr="005261FC">
        <w:rPr>
          <w:szCs w:val="17"/>
        </w:rPr>
        <w:instrText>stilistisches Zeichen</w:instrText>
      </w:r>
      <w:r w:rsidR="00534F7E">
        <w:instrText xml:space="preserve">" </w:instrText>
      </w:r>
      <w:r w:rsidR="005D7996">
        <w:fldChar w:fldCharType="end"/>
      </w:r>
      <w:r w:rsidR="00134D80">
        <w:t xml:space="preserve"> ist (vgl. Abschnitt </w:t>
      </w:r>
      <w:r w:rsidR="005D7996">
        <w:fldChar w:fldCharType="begin"/>
      </w:r>
      <w:r w:rsidR="00134D80">
        <w:instrText xml:space="preserve"> REF _Ref273615224 \r \h </w:instrText>
      </w:r>
      <w:r w:rsidR="005D7996">
        <w:fldChar w:fldCharType="separate"/>
      </w:r>
      <w:r w:rsidR="001231D3">
        <w:t>2.16</w:t>
      </w:r>
      <w:r w:rsidR="005D7996">
        <w:fldChar w:fldCharType="end"/>
      </w:r>
      <w:r w:rsidR="00134D80">
        <w:t>).</w:t>
      </w:r>
    </w:p>
    <w:p w:rsidR="00D90BAB" w:rsidRDefault="00215273" w:rsidP="00215273">
      <w:pPr>
        <w:pStyle w:val="Text"/>
        <w:ind w:firstLine="0"/>
      </w:pPr>
      <w:r>
        <w:tab/>
      </w:r>
      <w:r w:rsidR="00D90BAB">
        <w:t xml:space="preserve">Bei Stil führen verschiedene Faktoren zur </w:t>
      </w:r>
      <w:r w:rsidR="00D90BAB" w:rsidRPr="007F54DA">
        <w:rPr>
          <w:i/>
        </w:rPr>
        <w:t xml:space="preserve">Abweichung des </w:t>
      </w:r>
      <w:r w:rsidR="007F54DA" w:rsidRPr="007F54DA">
        <w:rPr>
          <w:i/>
        </w:rPr>
        <w:t xml:space="preserve">Anwenderstils </w:t>
      </w:r>
      <w:r w:rsidR="00D90BAB" w:rsidRPr="007F54DA">
        <w:rPr>
          <w:i/>
        </w:rPr>
        <w:t xml:space="preserve">vom </w:t>
      </w:r>
      <w:r w:rsidR="007F54DA" w:rsidRPr="007F54DA">
        <w:rPr>
          <w:i/>
        </w:rPr>
        <w:t>Wahrnehmers</w:t>
      </w:r>
      <w:r w:rsidR="00D90BAB" w:rsidRPr="007F54DA">
        <w:rPr>
          <w:i/>
        </w:rPr>
        <w:t>til.</w:t>
      </w:r>
      <w:r w:rsidR="00D90BAB">
        <w:t xml:space="preserve"> </w:t>
      </w:r>
      <w:r w:rsidR="007F54DA">
        <w:t xml:space="preserve">Dies sind vor allem </w:t>
      </w:r>
      <w:r w:rsidR="00D90BAB">
        <w:t>Unterschiede</w:t>
      </w:r>
    </w:p>
    <w:p w:rsidR="005A201F" w:rsidRDefault="00A14936" w:rsidP="0019001D">
      <w:pPr>
        <w:pStyle w:val="Text"/>
      </w:pPr>
      <w:r>
        <w:t>(1)</w:t>
      </w:r>
      <w:r>
        <w:tab/>
        <w:t xml:space="preserve">in den Schemata aus der Schemamenge </w:t>
      </w:r>
      <w:r w:rsidRPr="00A14936">
        <w:rPr>
          <w:i/>
        </w:rPr>
        <w:t>S</w:t>
      </w:r>
      <w:r w:rsidR="005A201F">
        <w:t>, die je nach Zeit oder Ort verschieden sein können;</w:t>
      </w:r>
      <w:r w:rsidR="005460A1">
        <w:rPr>
          <w:rStyle w:val="Funotenzeichen"/>
        </w:rPr>
        <w:footnoteReference w:id="539"/>
      </w:r>
    </w:p>
    <w:p w:rsidR="005460A1" w:rsidRDefault="005460A1" w:rsidP="0019001D">
      <w:pPr>
        <w:pStyle w:val="Text"/>
      </w:pPr>
      <w:r>
        <w:t>(2)</w:t>
      </w:r>
      <w:r>
        <w:tab/>
        <w:t xml:space="preserve">in der Aufteilung einer Realisierung </w:t>
      </w:r>
      <w:r w:rsidR="00A14936" w:rsidRPr="00A14936">
        <w:rPr>
          <w:i/>
        </w:rPr>
        <w:t>R</w:t>
      </w:r>
      <w:r w:rsidR="00A14936">
        <w:t xml:space="preserve"> </w:t>
      </w:r>
      <w:r>
        <w:t>in Realisierungsstellen;</w:t>
      </w:r>
      <w:r>
        <w:rPr>
          <w:rStyle w:val="Funotenzeichen"/>
        </w:rPr>
        <w:footnoteReference w:id="540"/>
      </w:r>
    </w:p>
    <w:p w:rsidR="00D33D86" w:rsidRDefault="00D33D86" w:rsidP="0019001D">
      <w:pPr>
        <w:pStyle w:val="Text"/>
      </w:pPr>
      <w:r>
        <w:t>(3)</w:t>
      </w:r>
      <w:r>
        <w:tab/>
        <w:t xml:space="preserve">bei der </w:t>
      </w:r>
      <w:r w:rsidR="003637E2">
        <w:t xml:space="preserve">Bildung bzw. </w:t>
      </w:r>
      <w:r>
        <w:t xml:space="preserve">Rekonstruktion der </w:t>
      </w:r>
      <w:r w:rsidR="00721558">
        <w:t>Alter</w:t>
      </w:r>
      <w:r w:rsidR="00721558">
        <w:softHyphen/>
        <w:t>nativen</w:t>
      </w:r>
      <w:r w:rsidR="00721558">
        <w:softHyphen/>
        <w:t>klasse</w:t>
      </w:r>
      <w:r>
        <w:t>n;</w:t>
      </w:r>
      <w:r>
        <w:rPr>
          <w:rStyle w:val="Funotenzeichen"/>
        </w:rPr>
        <w:footnoteReference w:id="541"/>
      </w:r>
    </w:p>
    <w:p w:rsidR="005A201F" w:rsidRDefault="00A14936" w:rsidP="0019001D">
      <w:pPr>
        <w:pStyle w:val="Text"/>
      </w:pPr>
      <w:r>
        <w:t>(</w:t>
      </w:r>
      <w:r w:rsidR="00D33D86">
        <w:t>4</w:t>
      </w:r>
      <w:r w:rsidR="005A201F">
        <w:t>)</w:t>
      </w:r>
      <w:r w:rsidR="005A201F">
        <w:tab/>
        <w:t>bei bestimmten Eigenschaften von Elementen, die zeit- oder kultu</w:t>
      </w:r>
      <w:r w:rsidR="005A201F">
        <w:t>r</w:t>
      </w:r>
      <w:r w:rsidR="005A201F">
        <w:t>spezifisch sind (etwa 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rsidR="005A201F">
        <w:t>)</w:t>
      </w:r>
      <w:r w:rsidR="00C05939">
        <w:t>.</w:t>
      </w:r>
      <w:r w:rsidR="005A201F">
        <w:rPr>
          <w:rStyle w:val="Funotenzeichen"/>
        </w:rPr>
        <w:footnoteReference w:id="542"/>
      </w:r>
    </w:p>
    <w:p w:rsidR="00C05939" w:rsidRPr="007F54DA" w:rsidRDefault="00215273" w:rsidP="00215273">
      <w:pPr>
        <w:pStyle w:val="Text"/>
        <w:ind w:firstLine="0"/>
      </w:pPr>
      <w:r>
        <w:tab/>
      </w:r>
      <w:r w:rsidR="007F54DA">
        <w:t xml:space="preserve">Zusätzliche Faktoren beeinflussen die </w:t>
      </w:r>
      <w:r w:rsidR="007F54DA" w:rsidRPr="007F54DA">
        <w:rPr>
          <w:i/>
        </w:rPr>
        <w:t xml:space="preserve">Abweichung des </w:t>
      </w:r>
      <w:r w:rsidR="00DF05E5">
        <w:rPr>
          <w:i/>
        </w:rPr>
        <w:t>interpretierten</w:t>
      </w:r>
      <w:r w:rsidR="007F54DA">
        <w:rPr>
          <w:i/>
        </w:rPr>
        <w:t xml:space="preserve"> </w:t>
      </w:r>
      <w:r w:rsidR="007F54DA" w:rsidRPr="007F54DA">
        <w:rPr>
          <w:i/>
        </w:rPr>
        <w:t>A</w:t>
      </w:r>
      <w:r w:rsidR="007F54DA" w:rsidRPr="007F54DA">
        <w:rPr>
          <w:i/>
        </w:rPr>
        <w:t>n</w:t>
      </w:r>
      <w:r w:rsidR="007F54DA" w:rsidRPr="007F54DA">
        <w:rPr>
          <w:i/>
        </w:rPr>
        <w:t xml:space="preserve">wenderstils </w:t>
      </w:r>
      <w:r w:rsidR="007F54DA">
        <w:rPr>
          <w:i/>
        </w:rPr>
        <w:t xml:space="preserve">zum </w:t>
      </w:r>
      <w:r w:rsidR="00DF05E5">
        <w:rPr>
          <w:i/>
        </w:rPr>
        <w:t xml:space="preserve">interpretierten </w:t>
      </w:r>
      <w:r w:rsidR="007F54DA" w:rsidRPr="007F54DA">
        <w:rPr>
          <w:i/>
        </w:rPr>
        <w:t>Wahrnehmerstil</w:t>
      </w:r>
      <w:r w:rsidR="007F54DA">
        <w:rPr>
          <w:i/>
        </w:rPr>
        <w:t>.</w:t>
      </w:r>
      <w:r w:rsidR="007F54DA">
        <w:t xml:space="preserve"> Dies sind vor allem Unterschiede</w:t>
      </w:r>
    </w:p>
    <w:p w:rsidR="0019001D" w:rsidRDefault="00D90BAB" w:rsidP="0019001D">
      <w:pPr>
        <w:pStyle w:val="Text"/>
      </w:pPr>
      <w:r>
        <w:t>(</w:t>
      </w:r>
      <w:r w:rsidR="00DF05E5">
        <w:t>5</w:t>
      </w:r>
      <w:r>
        <w:t>)</w:t>
      </w:r>
      <w:r>
        <w:tab/>
        <w:t>im zur Verfügung stehende</w:t>
      </w:r>
      <w:r w:rsidR="00756E66">
        <w:t>n</w:t>
      </w:r>
      <w:r>
        <w:t xml:space="preserve"> Hintergrundwissen </w:t>
      </w:r>
      <w:r w:rsidRPr="00D90BAB">
        <w:rPr>
          <w:i/>
        </w:rPr>
        <w:t>H</w:t>
      </w:r>
      <w:r>
        <w:t>;</w:t>
      </w:r>
      <w:r w:rsidR="00492DB8">
        <w:rPr>
          <w:rStyle w:val="Funotenzeichen"/>
        </w:rPr>
        <w:footnoteReference w:id="543"/>
      </w:r>
    </w:p>
    <w:p w:rsidR="00D90BAB" w:rsidRDefault="00D90BAB" w:rsidP="0019001D">
      <w:pPr>
        <w:pStyle w:val="Text"/>
      </w:pPr>
      <w:r>
        <w:lastRenderedPageBreak/>
        <w:t>(</w:t>
      </w:r>
      <w:r w:rsidR="00DF05E5">
        <w:t>6</w:t>
      </w:r>
      <w:r>
        <w:t>)</w:t>
      </w:r>
      <w:r>
        <w:tab/>
        <w:t xml:space="preserve">bei den Suchfunktionen </w:t>
      </w:r>
      <w:r w:rsidRPr="00D90BAB">
        <w:rPr>
          <w:i/>
        </w:rPr>
        <w:t>Su</w:t>
      </w:r>
      <w:r>
        <w:t>, mit denen relevantes</w:t>
      </w:r>
      <w:r w:rsidR="00E572A6">
        <w:t xml:space="preserve"> Hintergrundwissen gesucht wird;</w:t>
      </w:r>
      <w:r w:rsidR="00492DB8">
        <w:rPr>
          <w:rStyle w:val="Funotenzeichen"/>
        </w:rPr>
        <w:footnoteReference w:id="544"/>
      </w:r>
    </w:p>
    <w:p w:rsidR="00D90BAB" w:rsidRDefault="00D90BAB" w:rsidP="0019001D">
      <w:pPr>
        <w:pStyle w:val="Text"/>
      </w:pPr>
      <w:r>
        <w:t>(</w:t>
      </w:r>
      <w:r w:rsidR="00DF05E5">
        <w:t>7</w:t>
      </w:r>
      <w:r>
        <w:t>)</w:t>
      </w:r>
      <w:r>
        <w:tab/>
        <w:t xml:space="preserve">in der Steuerung durch die Funktion </w:t>
      </w:r>
      <w:r w:rsidR="00ED2F01">
        <w:rPr>
          <w:i/>
        </w:rPr>
        <w:t>Interesse</w:t>
      </w:r>
      <w:r>
        <w:t>, die bestimmt, welche Wege die Interpretation geht und welche Möglichkeiten nicht weiterverfolgt werden;</w:t>
      </w:r>
      <w:r w:rsidR="00492DB8">
        <w:rPr>
          <w:rStyle w:val="Funotenzeichen"/>
        </w:rPr>
        <w:footnoteReference w:id="545"/>
      </w:r>
    </w:p>
    <w:p w:rsidR="00D90BAB" w:rsidRDefault="00D90BAB" w:rsidP="00B9755E">
      <w:pPr>
        <w:pStyle w:val="Text"/>
      </w:pPr>
      <w:r>
        <w:t>(</w:t>
      </w:r>
      <w:r w:rsidR="00DF05E5">
        <w:t>8</w:t>
      </w:r>
      <w:r>
        <w:t>)</w:t>
      </w:r>
      <w:r>
        <w:tab/>
        <w:t xml:space="preserve">in </w:t>
      </w:r>
      <w:r w:rsidR="002E0554">
        <w:t>dem</w:t>
      </w:r>
      <w:r w:rsidR="00B9755E">
        <w:t xml:space="preserve"> </w:t>
      </w:r>
      <w:r w:rsidR="002E0554">
        <w:t>Einfluss</w:t>
      </w:r>
      <w:r w:rsidR="00B9755E">
        <w:t>, die individuelle Erfahrungen, Veranlagungen und I</w:t>
      </w:r>
      <w:r w:rsidR="00B9755E">
        <w:t>n</w:t>
      </w:r>
      <w:r w:rsidR="00B9755E">
        <w:t xml:space="preserve">teressen auf die </w:t>
      </w:r>
      <w:r w:rsidR="002E0554">
        <w:t>An</w:t>
      </w:r>
      <w:r w:rsidR="00B9755E">
        <w:t>wendung</w:t>
      </w:r>
      <w:r>
        <w:t xml:space="preserve"> </w:t>
      </w:r>
      <w:r w:rsidR="001F1A3D">
        <w:t xml:space="preserve">der </w:t>
      </w:r>
      <w:r>
        <w:t>Operationen</w:t>
      </w:r>
      <w:r w:rsidR="00B9755E">
        <w:t xml:space="preserve"> haben</w:t>
      </w:r>
      <w:r>
        <w:t xml:space="preserve"> (</w:t>
      </w:r>
      <w:r w:rsidR="00A14936">
        <w:t xml:space="preserve">bei den Operationen </w:t>
      </w:r>
      <w:r w:rsidR="00E572A6">
        <w:t>A</w:t>
      </w:r>
      <w:r w:rsidR="00E572A6">
        <w:t>s</w:t>
      </w:r>
      <w:r w:rsidR="00E572A6">
        <w:t>soziat</w:t>
      </w:r>
      <w:r w:rsidR="00A14936">
        <w:t>ion</w:t>
      </w:r>
      <w:r w:rsidR="00B9755E">
        <w:t xml:space="preserve">, </w:t>
      </w:r>
      <w:r w:rsidR="00567D71">
        <w:t>Gefühlsreakti</w:t>
      </w:r>
      <w:r w:rsidR="00A14936">
        <w:t>on und Eindrucksreaktion</w:t>
      </w:r>
      <w:r w:rsidR="003341AF">
        <w:t xml:space="preserve"> beeinflussen solche Einflüsse den gesamten Erzeugungsvorgang, bei der Abduktion beeinflussen sie</w:t>
      </w:r>
      <w:r w:rsidR="00567D71">
        <w:t>, welche Regeln den Interpretierenden einfallen</w:t>
      </w:r>
      <w:r w:rsidR="001F1A3D">
        <w:t xml:space="preserve">, </w:t>
      </w:r>
      <w:r w:rsidR="003341AF">
        <w:t>bei der Bedeutungssuche, welche Bede</w:t>
      </w:r>
      <w:r w:rsidR="003341AF">
        <w:t>u</w:t>
      </w:r>
      <w:r w:rsidR="003341AF">
        <w:t xml:space="preserve">tungen sie finden, </w:t>
      </w:r>
      <w:r w:rsidR="001F1A3D">
        <w:t xml:space="preserve">und </w:t>
      </w:r>
      <w:r w:rsidR="004E5C37">
        <w:t>selbst bei den vergleichsweise objektiven Schlussverfahren</w:t>
      </w:r>
      <w:r w:rsidR="005D7996">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rsidR="005D7996">
        <w:fldChar w:fldCharType="end"/>
      </w:r>
      <w:r w:rsidR="004E5C37">
        <w:t xml:space="preserve"> </w:t>
      </w:r>
      <w:r w:rsidR="001F1A3D">
        <w:t>Deduktion und Induktion</w:t>
      </w:r>
      <w:r w:rsidR="004E5C37">
        <w:t xml:space="preserve"> bestimmen sie, </w:t>
      </w:r>
      <w:r w:rsidR="001F1A3D">
        <w:t xml:space="preserve">welche </w:t>
      </w:r>
      <w:r w:rsidR="004E5C37">
        <w:t xml:space="preserve">aus meist mehreren </w:t>
      </w:r>
      <w:r w:rsidR="003341AF">
        <w:t xml:space="preserve">möglichen </w:t>
      </w:r>
      <w:r w:rsidR="001F1A3D">
        <w:t>Schlüsse</w:t>
      </w:r>
      <w:r w:rsidR="004E5C37">
        <w:t>n</w:t>
      </w:r>
      <w:r w:rsidR="001F1A3D">
        <w:t xml:space="preserve"> </w:t>
      </w:r>
      <w:r w:rsidR="004E5C37">
        <w:t>voll</w:t>
      </w:r>
      <w:r w:rsidR="003341AF">
        <w:t xml:space="preserve">zogen und ob die </w:t>
      </w:r>
      <w:r w:rsidR="004E5C37">
        <w:t>V</w:t>
      </w:r>
      <w:r w:rsidR="00170A98">
        <w:t xml:space="preserve">erfahren </w:t>
      </w:r>
      <w:r w:rsidR="003341AF">
        <w:t>korrekt angewandt werden</w:t>
      </w:r>
      <w:r w:rsidR="00E572A6">
        <w:t>);</w:t>
      </w:r>
      <w:r w:rsidR="00492DB8">
        <w:rPr>
          <w:rStyle w:val="Funotenzeichen"/>
        </w:rPr>
        <w:footnoteReference w:id="546"/>
      </w:r>
    </w:p>
    <w:p w:rsidR="00D90BAB" w:rsidRDefault="00723780" w:rsidP="0019001D">
      <w:pPr>
        <w:pStyle w:val="Text"/>
      </w:pPr>
      <w:r>
        <w:t>(</w:t>
      </w:r>
      <w:r w:rsidR="00DF05E5">
        <w:t>9</w:t>
      </w:r>
      <w:r>
        <w:t>)</w:t>
      </w:r>
      <w:r>
        <w:tab/>
      </w:r>
      <w:r w:rsidR="00B9755E">
        <w:t xml:space="preserve">im Einfluss, den der Kontext der </w:t>
      </w:r>
      <w:r w:rsidR="002E0554">
        <w:t>Anwendungs</w:t>
      </w:r>
      <w:r w:rsidR="00B9755E">
        <w:t xml:space="preserve">- bzw. </w:t>
      </w:r>
      <w:r w:rsidR="002E0554">
        <w:t>Wahrnehmung</w:t>
      </w:r>
      <w:r w:rsidR="002E0554">
        <w:t>s</w:t>
      </w:r>
      <w:r w:rsidR="00B9755E">
        <w:t xml:space="preserve">situation </w:t>
      </w:r>
      <w:r w:rsidR="002E0554">
        <w:t xml:space="preserve">des Stils </w:t>
      </w:r>
      <w:r w:rsidR="00B9755E">
        <w:t xml:space="preserve">auf die </w:t>
      </w:r>
      <w:r w:rsidR="002E0554">
        <w:t>An</w:t>
      </w:r>
      <w:r w:rsidR="00B9755E">
        <w:t xml:space="preserve">wendung der Operationen </w:t>
      </w:r>
      <w:r w:rsidR="00D21B40">
        <w:t>hat</w:t>
      </w:r>
      <w:r w:rsidR="00567D71">
        <w:t xml:space="preserve"> (</w:t>
      </w:r>
      <w:r w:rsidR="001755FE">
        <w:t>die Beeinflussung</w:t>
      </w:r>
      <w:r w:rsidR="001755FE">
        <w:t>s</w:t>
      </w:r>
      <w:r w:rsidR="001755FE">
        <w:t>möglichkeiten sind dieselben wie bei (8)</w:t>
      </w:r>
      <w:r w:rsidR="001F1A3D">
        <w:t>)</w:t>
      </w:r>
      <w:r w:rsidR="00567D71">
        <w:t>.</w:t>
      </w:r>
      <w:r w:rsidR="00492DB8">
        <w:rPr>
          <w:rStyle w:val="Funotenzeichen"/>
        </w:rPr>
        <w:footnoteReference w:id="547"/>
      </w:r>
    </w:p>
    <w:p w:rsidR="00986A2C" w:rsidRDefault="00382A16" w:rsidP="00986A2C">
      <w:pPr>
        <w:pStyle w:val="Text"/>
      </w:pPr>
      <w:r>
        <w:t xml:space="preserve">Der </w:t>
      </w:r>
      <w:r w:rsidR="00800242">
        <w:t>Stilw</w:t>
      </w:r>
      <w:r w:rsidR="002E0554">
        <w:t xml:space="preserve">ahrnehmer </w:t>
      </w:r>
      <w:r>
        <w:t>kan</w:t>
      </w:r>
      <w:r w:rsidR="00F0766B">
        <w:t xml:space="preserve">n versuchen, den </w:t>
      </w:r>
      <w:r w:rsidR="002E0554">
        <w:t xml:space="preserve">Wahrnehmerstil </w:t>
      </w:r>
      <w:r w:rsidR="00F0766B">
        <w:t xml:space="preserve">dadurch dem </w:t>
      </w:r>
      <w:r w:rsidR="002E0554">
        <w:t xml:space="preserve">Anwenderstil </w:t>
      </w:r>
      <w:r>
        <w:t>anzunähern, d</w:t>
      </w:r>
      <w:r w:rsidR="00042FD8">
        <w:t>ass er in den Punkten (1) bis (</w:t>
      </w:r>
      <w:r w:rsidR="00DF05E5">
        <w:t>9</w:t>
      </w:r>
      <w:r>
        <w:t xml:space="preserve">) jeweils die für den </w:t>
      </w:r>
      <w:r w:rsidR="00800242">
        <w:t xml:space="preserve">Stilanwender </w:t>
      </w:r>
      <w:r>
        <w:t>geltenden Bedingungen zu rekonstruieren versucht.</w:t>
      </w:r>
      <w:r w:rsidRPr="00382A16">
        <w:t xml:space="preserve"> </w:t>
      </w:r>
      <w:r>
        <w:t>Dies ist jedoch immer nur begrenzt möglich.</w:t>
      </w:r>
    </w:p>
    <w:p w:rsidR="00C342AB" w:rsidRDefault="00C342AB" w:rsidP="00986A2C">
      <w:pPr>
        <w:pStyle w:val="Text"/>
      </w:pPr>
      <w:r>
        <w:t>Wir fassen die Ergebnisse dieses und des letzten Abschnitts in einer Ergä</w:t>
      </w:r>
      <w:r>
        <w:t>n</w:t>
      </w:r>
      <w:r>
        <w:t xml:space="preserve">zung zu der in </w:t>
      </w:r>
      <w:r w:rsidR="005D7996">
        <w:fldChar w:fldCharType="begin"/>
      </w:r>
      <w:r>
        <w:instrText xml:space="preserve"> REF _Ref273633334 \r \h </w:instrText>
      </w:r>
      <w:r w:rsidR="005D7996">
        <w:fldChar w:fldCharType="separate"/>
      </w:r>
      <w:r w:rsidR="001231D3">
        <w:t>2.16</w:t>
      </w:r>
      <w:r w:rsidR="005D7996">
        <w:fldChar w:fldCharType="end"/>
      </w:r>
      <w:r>
        <w:t xml:space="preserve"> gegebenen Definition zusammen:</w:t>
      </w:r>
    </w:p>
    <w:p w:rsidR="00C342AB" w:rsidRDefault="00C342AB" w:rsidP="008C497B">
      <w:pPr>
        <w:pStyle w:val="Definition"/>
      </w:pPr>
      <w:r w:rsidRPr="00CC6E60">
        <w:t xml:space="preserve">Def. </w:t>
      </w:r>
      <w:r w:rsidRPr="00CC6E60">
        <w:tab/>
      </w:r>
      <w:r w:rsidRPr="004C6F42">
        <w:rPr>
          <w:b/>
        </w:rPr>
        <w:t>Stil</w:t>
      </w:r>
      <w:r w:rsidR="00FF06AD">
        <w:t xml:space="preserve"> (</w:t>
      </w:r>
      <w:r w:rsidRPr="00E62291">
        <w:t>Ergänzung</w:t>
      </w:r>
      <w:r w:rsidR="00FF06AD">
        <w:t>)</w:t>
      </w:r>
      <w:r w:rsidRPr="00361A0F">
        <w:t>:</w:t>
      </w:r>
      <w:r>
        <w:t xml:space="preserve"> Ein </w:t>
      </w:r>
      <w:r w:rsidRPr="008A082F">
        <w:t>Stil</w:t>
      </w:r>
      <w:r w:rsidRPr="008A082F">
        <w:rPr>
          <w:vertAlign w:val="subscript"/>
        </w:rPr>
        <w:t>b</w:t>
      </w:r>
      <w:r>
        <w:t xml:space="preserve"> ist unabhängig von seiner Anwendung auf eine bestimmte Realisierung.</w:t>
      </w:r>
      <w:r w:rsidR="00143689">
        <w:rPr>
          <w:rStyle w:val="Funotenzeichen"/>
        </w:rPr>
        <w:footnoteReference w:id="548"/>
      </w:r>
      <w:r>
        <w:t xml:space="preserve"> Er kann in eine Menge </w:t>
      </w:r>
      <w:r w:rsidRPr="001B16E7">
        <w:rPr>
          <w:i/>
        </w:rPr>
        <w:t>B</w:t>
      </w:r>
      <w:r>
        <w:t xml:space="preserve"> kondensiert und in dieser Form gespeichert oder übermittelt werden, umfasst jedoch fast immer noch weitere Zusammenhänge</w:t>
      </w:r>
      <w:r w:rsidR="00263084">
        <w:t xml:space="preserve"> und</w:t>
      </w:r>
      <w:r w:rsidR="00FF06AD">
        <w:t xml:space="preserve"> Informationen</w:t>
      </w:r>
      <w:r>
        <w:t xml:space="preserve">, die sich erst in einer Interpretation von </w:t>
      </w:r>
      <w:r w:rsidRPr="00561EF4">
        <w:rPr>
          <w:i/>
        </w:rPr>
        <w:t>B</w:t>
      </w:r>
      <w:r>
        <w:t xml:space="preserve"> ergeben. Jede konkrete Interpretation </w:t>
      </w:r>
      <w:r w:rsidRPr="00561EF4">
        <w:rPr>
          <w:i/>
        </w:rPr>
        <w:t>I</w:t>
      </w:r>
      <w:r>
        <w:t xml:space="preserve"> zu einem bestimmten </w:t>
      </w:r>
      <w:r w:rsidRPr="00561EF4">
        <w:rPr>
          <w:i/>
        </w:rPr>
        <w:t>B</w:t>
      </w:r>
      <w:r>
        <w:t xml:space="preserve"> enthält jedoch auch subjektive Aspekte, die nicht zum Stil im engeren Sinn gehören.</w:t>
      </w:r>
    </w:p>
    <w:p w:rsidR="00C342AB" w:rsidRDefault="00C342AB" w:rsidP="008C497B">
      <w:pPr>
        <w:pStyle w:val="Definition"/>
      </w:pPr>
      <w:r>
        <w:t>Def.</w:t>
      </w:r>
      <w:r>
        <w:tab/>
      </w:r>
      <w:r w:rsidR="005D7996">
        <w:fldChar w:fldCharType="begin"/>
      </w:r>
      <w:r w:rsidR="007612F4">
        <w:instrText xml:space="preserve"> XE "Anwenderstil:</w:instrText>
      </w:r>
      <w:r w:rsidR="007612F4" w:rsidRPr="0073281C">
        <w:rPr>
          <w:i/>
        </w:rPr>
        <w:instrText>Definition</w:instrText>
      </w:r>
      <w:r w:rsidR="007612F4">
        <w:instrText xml:space="preserve">" </w:instrText>
      </w:r>
      <w:r w:rsidR="005D7996">
        <w:fldChar w:fldCharType="end"/>
      </w:r>
      <w:r>
        <w:rPr>
          <w:b/>
        </w:rPr>
        <w:t xml:space="preserve">Anwenderstil: </w:t>
      </w:r>
      <w:r>
        <w:t xml:space="preserve">Ein Anwenderstil ist eine Menge von Merkmalsregeln </w:t>
      </w:r>
      <w:r w:rsidRPr="00561EF4">
        <w:rPr>
          <w:i/>
        </w:rPr>
        <w:t>B</w:t>
      </w:r>
      <w:r>
        <w:t xml:space="preserve">, die in einem Zeichenprozess in eine Realisierung eingeschrieben wird. Diese Menge </w:t>
      </w:r>
      <w:r w:rsidRPr="00561EF4">
        <w:rPr>
          <w:i/>
        </w:rPr>
        <w:t>B</w:t>
      </w:r>
      <w:r>
        <w:t xml:space="preserve"> kann im Hinblick auf eine angestrebte Interpretation </w:t>
      </w:r>
      <w:r w:rsidRPr="001B16E7">
        <w:rPr>
          <w:i/>
        </w:rPr>
        <w:t>I</w:t>
      </w:r>
      <w:r>
        <w:rPr>
          <w:i/>
        </w:rPr>
        <w:t>'</w:t>
      </w:r>
      <w:r>
        <w:t xml:space="preserve"> </w:t>
      </w:r>
      <w:r>
        <w:lastRenderedPageBreak/>
        <w:t>entwickelt worden sein.</w:t>
      </w:r>
      <w:r w:rsidR="00971ED1">
        <w:rPr>
          <w:rStyle w:val="Funotenzeichen"/>
        </w:rPr>
        <w:footnoteReference w:id="549"/>
      </w:r>
      <w:r>
        <w:t xml:space="preserve"> – </w:t>
      </w:r>
      <w:r w:rsidRPr="00561EF4">
        <w:rPr>
          <w:i/>
        </w:rPr>
        <w:t>B</w:t>
      </w:r>
      <w:r>
        <w:t xml:space="preserve"> und </w:t>
      </w:r>
      <w:r>
        <w:rPr>
          <w:i/>
        </w:rPr>
        <w:t>I</w:t>
      </w:r>
      <w:r w:rsidR="007A5893">
        <w:rPr>
          <w:i/>
        </w:rPr>
        <w:t>'</w:t>
      </w:r>
      <w:r>
        <w:t xml:space="preserve"> zusammen bilden einen „interpr</w:t>
      </w:r>
      <w:r>
        <w:t>e</w:t>
      </w:r>
      <w:r>
        <w:t xml:space="preserve">tierten Anwenderstil“ </w:t>
      </w:r>
      <w:r w:rsidRPr="003F5A1D">
        <w:rPr>
          <w:i/>
        </w:rPr>
        <w:t>St</w:t>
      </w:r>
      <w:r>
        <w:t xml:space="preserve"> := &lt;</w:t>
      </w:r>
      <w:r w:rsidRPr="00561EF4">
        <w:rPr>
          <w:i/>
        </w:rPr>
        <w:t>B</w:t>
      </w:r>
      <w:r>
        <w:t>,</w:t>
      </w:r>
      <w:r w:rsidR="00854A12">
        <w:t> </w:t>
      </w:r>
      <w:r>
        <w:rPr>
          <w:i/>
        </w:rPr>
        <w:t>I'</w:t>
      </w:r>
      <w:r>
        <w:t>&gt;.</w:t>
      </w:r>
    </w:p>
    <w:p w:rsidR="00747F91" w:rsidRDefault="00C342AB" w:rsidP="008C497B">
      <w:pPr>
        <w:pStyle w:val="Definition"/>
        <w:sectPr w:rsidR="00747F91" w:rsidSect="009C7BEF">
          <w:pgSz w:w="8789" w:h="13325" w:code="9"/>
          <w:pgMar w:top="1134" w:right="851" w:bottom="1418" w:left="1134" w:header="567" w:footer="680" w:gutter="0"/>
          <w:cols w:space="720"/>
          <w:titlePg/>
          <w:docGrid w:linePitch="360"/>
        </w:sectPr>
      </w:pPr>
      <w:r>
        <w:t>Def.</w:t>
      </w:r>
      <w:r>
        <w:tab/>
      </w:r>
      <w:r w:rsidR="005D7996">
        <w:fldChar w:fldCharType="begin"/>
      </w:r>
      <w:r w:rsidR="007612F4">
        <w:instrText xml:space="preserve"> XE "Wahrnehmerstil:</w:instrText>
      </w:r>
      <w:r w:rsidR="007612F4" w:rsidRPr="0073281C">
        <w:rPr>
          <w:i/>
        </w:rPr>
        <w:instrText>Definition</w:instrText>
      </w:r>
      <w:r w:rsidR="007612F4">
        <w:instrText xml:space="preserve">" </w:instrText>
      </w:r>
      <w:r w:rsidR="005D7996">
        <w:fldChar w:fldCharType="end"/>
      </w:r>
      <w:r>
        <w:rPr>
          <w:b/>
        </w:rPr>
        <w:t>Wahrnehmer</w:t>
      </w:r>
      <w:r w:rsidRPr="00561EF4">
        <w:rPr>
          <w:b/>
        </w:rPr>
        <w:t>stil</w:t>
      </w:r>
      <w:r>
        <w:rPr>
          <w:b/>
        </w:rPr>
        <w:t>:</w:t>
      </w:r>
      <w:r>
        <w:t xml:space="preserve"> Ein Wahrnehmerstil ist eine Menge von Merkmalsr</w:t>
      </w:r>
      <w:r>
        <w:t>e</w:t>
      </w:r>
      <w:r>
        <w:t xml:space="preserve">geln </w:t>
      </w:r>
      <w:r w:rsidRPr="00561EF4">
        <w:rPr>
          <w:i/>
        </w:rPr>
        <w:t>B</w:t>
      </w:r>
      <w:r>
        <w:t xml:space="preserve">, die in einem Zeichenprozess aus einer Realisierung ausgelesen wird. Dabei wird zugleich eine Interpretation </w:t>
      </w:r>
      <w:r w:rsidRPr="00CC6E60">
        <w:rPr>
          <w:i/>
        </w:rPr>
        <w:t>I</w:t>
      </w:r>
      <w:r>
        <w:t xml:space="preserve"> vorgenommen, zu der a</w:t>
      </w:r>
      <w:r>
        <w:t>l</w:t>
      </w:r>
      <w:r>
        <w:t xml:space="preserve">le über </w:t>
      </w:r>
      <w:r w:rsidR="00854A12">
        <w:t xml:space="preserve">das Auslesen </w:t>
      </w:r>
      <w:r>
        <w:t>der Merkmalsregeln hinausgehenden Prozesse g</w:t>
      </w:r>
      <w:r>
        <w:t>e</w:t>
      </w:r>
      <w:r>
        <w:t>hören.</w:t>
      </w:r>
      <w:r w:rsidR="00971ED1">
        <w:rPr>
          <w:rStyle w:val="Funotenzeichen"/>
        </w:rPr>
        <w:footnoteReference w:id="550"/>
      </w:r>
      <w:r>
        <w:t xml:space="preserve"> – </w:t>
      </w:r>
      <w:r w:rsidRPr="00561EF4">
        <w:rPr>
          <w:i/>
        </w:rPr>
        <w:t>B</w:t>
      </w:r>
      <w:r>
        <w:t xml:space="preserve"> und </w:t>
      </w:r>
      <w:r>
        <w:rPr>
          <w:i/>
        </w:rPr>
        <w:t>I</w:t>
      </w:r>
      <w:r>
        <w:t xml:space="preserve"> zusammen bilden einen „interpretierten Wahrne</w:t>
      </w:r>
      <w:r>
        <w:t>h</w:t>
      </w:r>
      <w:r>
        <w:t xml:space="preserve">merstil“ </w:t>
      </w:r>
      <w:r w:rsidRPr="003F5A1D">
        <w:rPr>
          <w:i/>
        </w:rPr>
        <w:t>St</w:t>
      </w:r>
      <w:r>
        <w:t xml:space="preserve"> := &lt;</w:t>
      </w:r>
      <w:r w:rsidRPr="00561EF4">
        <w:rPr>
          <w:i/>
        </w:rPr>
        <w:t>B</w:t>
      </w:r>
      <w:r>
        <w:t>,</w:t>
      </w:r>
      <w:r w:rsidR="00854A12">
        <w:t> </w:t>
      </w:r>
      <w:r>
        <w:rPr>
          <w:i/>
        </w:rPr>
        <w:t>I</w:t>
      </w:r>
      <w:r>
        <w:t>&gt;.</w:t>
      </w:r>
      <w:bookmarkEnd w:id="158"/>
      <w:bookmarkEnd w:id="357"/>
      <w:bookmarkEnd w:id="428"/>
      <w:bookmarkEnd w:id="432"/>
    </w:p>
    <w:p w:rsidR="00D2554C" w:rsidRDefault="008A59FF">
      <w:pPr>
        <w:pStyle w:val="Titel"/>
      </w:pPr>
      <w:bookmarkStart w:id="435" w:name="_Ref264295460"/>
      <w:bookmarkStart w:id="436" w:name="_Toc325456808"/>
      <w:r>
        <w:lastRenderedPageBreak/>
        <w:t>Einbettung des Stilmodells</w:t>
      </w:r>
      <w:bookmarkEnd w:id="435"/>
      <w:bookmarkEnd w:id="436"/>
    </w:p>
    <w:p w:rsidR="002F3BC0" w:rsidRPr="00607AF0" w:rsidRDefault="00607AF0" w:rsidP="00215273">
      <w:pPr>
        <w:pStyle w:val="Text"/>
        <w:ind w:firstLine="0"/>
      </w:pPr>
      <w:r>
        <w:t xml:space="preserve">Das Stilmodell, das in Kapitel 4 bis 7 </w:t>
      </w:r>
      <w:r w:rsidR="00CA02DB">
        <w:t xml:space="preserve">entwickelt </w:t>
      </w:r>
      <w:r>
        <w:t xml:space="preserve">wurde, </w:t>
      </w:r>
      <w:r w:rsidR="00612AE2">
        <w:t xml:space="preserve">stellt </w:t>
      </w:r>
      <w:r>
        <w:t>den stilistischen Zeichenprozess</w:t>
      </w:r>
      <w:r w:rsidR="00612AE2">
        <w:t xml:space="preserve"> dar.</w:t>
      </w:r>
      <w:r w:rsidR="00F028B8">
        <w:t xml:space="preserve"> In diesem Kapitel werden ausgehend von diesem Modell verschiedene Überlegungen </w:t>
      </w:r>
      <w:r w:rsidR="003A6687">
        <w:t xml:space="preserve">zu dessen Einbettung angestellt. In Abschnitt </w:t>
      </w:r>
      <w:r w:rsidR="005D7996">
        <w:fldChar w:fldCharType="begin"/>
      </w:r>
      <w:r w:rsidR="003A6687">
        <w:instrText xml:space="preserve"> REF _Ref254783670 \r \h </w:instrText>
      </w:r>
      <w:r w:rsidR="005D7996">
        <w:fldChar w:fldCharType="separate"/>
      </w:r>
      <w:r w:rsidR="001231D3">
        <w:t>8.1</w:t>
      </w:r>
      <w:r w:rsidR="005D7996">
        <w:fldChar w:fldCharType="end"/>
      </w:r>
      <w:r w:rsidR="003A6687">
        <w:t xml:space="preserve"> wird überlegt, wie bereichsspezifische Stiltheorien</w:t>
      </w:r>
      <w:r w:rsidR="005D7996">
        <w:fldChar w:fldCharType="begin"/>
      </w:r>
      <w:r w:rsidR="00616C82">
        <w:instrText xml:space="preserve"> XE "</w:instrText>
      </w:r>
      <w:r w:rsidR="00616C82" w:rsidRPr="000E2EAC">
        <w:instrText>bereichsspezifische Stiltheorien</w:instrText>
      </w:r>
      <w:r w:rsidR="00616C82">
        <w:instrText xml:space="preserve">" </w:instrText>
      </w:r>
      <w:r w:rsidR="005D7996">
        <w:fldChar w:fldCharType="end"/>
      </w:r>
      <w:r w:rsidR="003A6687">
        <w:t xml:space="preserve"> auf der Grundlage der vorg</w:t>
      </w:r>
      <w:r w:rsidR="003A6687">
        <w:t>e</w:t>
      </w:r>
      <w:r w:rsidR="003A6687">
        <w:t xml:space="preserve">stellten allgemeinen Stiltheorie aussehen könnten. Abschnitt </w:t>
      </w:r>
      <w:r w:rsidR="005D7996">
        <w:fldChar w:fldCharType="begin"/>
      </w:r>
      <w:r w:rsidR="003A6687">
        <w:instrText xml:space="preserve"> REF _Ref266001212 \r \h </w:instrText>
      </w:r>
      <w:r w:rsidR="005D7996">
        <w:fldChar w:fldCharType="separate"/>
      </w:r>
      <w:r w:rsidR="001231D3">
        <w:t>8.2</w:t>
      </w:r>
      <w:r w:rsidR="005D7996">
        <w:fldChar w:fldCharType="end"/>
      </w:r>
      <w:r w:rsidR="003A6687">
        <w:t xml:space="preserve"> behandelt den Umgang mit Stilen und die dazu nötigen Kompetenzen. In Abschnitt </w:t>
      </w:r>
      <w:r w:rsidR="005D7996">
        <w:fldChar w:fldCharType="begin"/>
      </w:r>
      <w:r w:rsidR="003A6687">
        <w:instrText xml:space="preserve"> REF _Ref266001175 \r \h </w:instrText>
      </w:r>
      <w:r w:rsidR="005D7996">
        <w:fldChar w:fldCharType="separate"/>
      </w:r>
      <w:r w:rsidR="001231D3">
        <w:t>8.3</w:t>
      </w:r>
      <w:r w:rsidR="005D7996">
        <w:fldChar w:fldCharType="end"/>
      </w:r>
      <w:r w:rsidR="003A6687">
        <w:t xml:space="preserve"> werden Abgrenzungen </w:t>
      </w:r>
      <w:r w:rsidR="00C60443">
        <w:t xml:space="preserve">zwischen verschiedenen Arten von </w:t>
      </w:r>
      <w:r w:rsidR="003A6687">
        <w:t>Stil</w:t>
      </w:r>
      <w:r w:rsidR="00C60443">
        <w:t>en</w:t>
      </w:r>
      <w:r w:rsidR="003A6687">
        <w:t xml:space="preserve"> </w:t>
      </w:r>
      <w:r w:rsidR="00C60443">
        <w:t xml:space="preserve">sowie </w:t>
      </w:r>
      <w:r w:rsidR="003A6687">
        <w:t xml:space="preserve">zwischen </w:t>
      </w:r>
      <w:r w:rsidR="00CF564F">
        <w:t>dem Begriff ‚</w:t>
      </w:r>
      <w:r w:rsidR="003A6687">
        <w:t>Stil</w:t>
      </w:r>
      <w:r w:rsidR="00CF564F">
        <w:t>‘</w:t>
      </w:r>
      <w:r w:rsidR="003A6687">
        <w:t xml:space="preserve"> und </w:t>
      </w:r>
      <w:r w:rsidR="00CF564F">
        <w:t xml:space="preserve">einigen </w:t>
      </w:r>
      <w:r w:rsidR="00C60443">
        <w:t>anderen Begriffen vorgenommen</w:t>
      </w:r>
      <w:r w:rsidR="003A6687">
        <w:t xml:space="preserve">. Schließlich wird in Abschnitt </w:t>
      </w:r>
      <w:r w:rsidR="005D7996">
        <w:fldChar w:fldCharType="begin"/>
      </w:r>
      <w:r w:rsidR="003A6687">
        <w:instrText xml:space="preserve"> REF _Ref266001272 \r \h </w:instrText>
      </w:r>
      <w:r w:rsidR="005D7996">
        <w:fldChar w:fldCharType="separate"/>
      </w:r>
      <w:r w:rsidR="001231D3">
        <w:t>8.4</w:t>
      </w:r>
      <w:r w:rsidR="005D7996">
        <w:fldChar w:fldCharType="end"/>
      </w:r>
      <w:r w:rsidR="003A6687">
        <w:t xml:space="preserve"> die Rolle von Stil in der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rsidR="003A6687">
        <w:t xml:space="preserve"> thematisiert.</w:t>
      </w:r>
    </w:p>
    <w:p w:rsidR="002F3BC0" w:rsidRDefault="002F3BC0" w:rsidP="002F3BC0">
      <w:pPr>
        <w:pStyle w:val="Titel2"/>
      </w:pPr>
      <w:bookmarkStart w:id="437" w:name="_Ref254783670"/>
      <w:bookmarkStart w:id="438" w:name="_Toc325456809"/>
      <w:bookmarkStart w:id="439" w:name="Semiotik"/>
      <w:bookmarkStart w:id="440" w:name="_Ref234463905"/>
      <w:bookmarkStart w:id="441" w:name="_Ref219186566"/>
      <w:r>
        <w:t xml:space="preserve">Semiotische </w:t>
      </w:r>
      <w:r w:rsidR="00A85752">
        <w:t>T</w:t>
      </w:r>
      <w:r>
        <w:t xml:space="preserve">heorien </w:t>
      </w:r>
      <w:r w:rsidR="00A85752">
        <w:t xml:space="preserve">zu </w:t>
      </w:r>
      <w:r>
        <w:t>einzelnen Stilbereichen</w:t>
      </w:r>
      <w:bookmarkEnd w:id="437"/>
      <w:bookmarkEnd w:id="438"/>
    </w:p>
    <w:p w:rsidR="004241B8" w:rsidRDefault="004241B8" w:rsidP="00280129">
      <w:pPr>
        <w:pStyle w:val="Titel3"/>
        <w:spacing w:before="240"/>
      </w:pPr>
      <w:bookmarkStart w:id="442" w:name="_Toc325456810"/>
      <w:r>
        <w:t>Semiotik als Bindeglied zwischen den Einzelwissenschaften</w:t>
      </w:r>
      <w:bookmarkEnd w:id="442"/>
    </w:p>
    <w:p w:rsidR="00E22203" w:rsidRDefault="005D7996" w:rsidP="00280129">
      <w:pPr>
        <w:pStyle w:val="Text"/>
        <w:ind w:firstLine="0"/>
      </w:pPr>
      <w:r>
        <w:fldChar w:fldCharType="begin"/>
      </w:r>
      <w:r w:rsidR="00AA234F">
        <w:instrText xml:space="preserve"> XE "Semiotik" \r "Semiotik" </w:instrText>
      </w:r>
      <w:r>
        <w:fldChar w:fldCharType="end"/>
      </w:r>
      <w:r>
        <w:fldChar w:fldCharType="begin"/>
      </w:r>
      <w:r w:rsidR="00960E83">
        <w:instrText xml:space="preserve"> XE "Grundlagenwissenschaft" \r "Semiotik" </w:instrText>
      </w:r>
      <w:r>
        <w:fldChar w:fldCharType="end"/>
      </w:r>
      <w:r>
        <w:fldChar w:fldCharType="begin"/>
      </w:r>
      <w:r w:rsidR="00960E83">
        <w:instrText xml:space="preserve"> XE "Einzelwissenschaft" \r "Semiotik" </w:instrText>
      </w:r>
      <w:r>
        <w:fldChar w:fldCharType="end"/>
      </w:r>
      <w:r w:rsidR="00E22203">
        <w:t>Die Semiotik ist eine Grundlagenwissenschaft. Ihr Gegenstandsbereich</w:t>
      </w:r>
      <w:r>
        <w:fldChar w:fldCharType="begin"/>
      </w:r>
      <w:r w:rsidR="007924FE">
        <w:instrText xml:space="preserve"> XE "</w:instrText>
      </w:r>
      <w:r w:rsidR="007924FE" w:rsidRPr="00144851">
        <w:instrText>Gegenstandsbereich</w:instrText>
      </w:r>
      <w:r w:rsidR="007924FE">
        <w:instrText xml:space="preserve">" </w:instrText>
      </w:r>
      <w:r>
        <w:fldChar w:fldCharType="end"/>
      </w:r>
      <w:r w:rsidR="00E22203">
        <w:t xml:space="preserve"> im eng</w:t>
      </w:r>
      <w:r w:rsidR="00E22203">
        <w:t>e</w:t>
      </w:r>
      <w:r w:rsidR="00E22203">
        <w:t>ren Sinn sind Zeichen, Zeichenprozesse, Zeichen</w:t>
      </w:r>
      <w:r w:rsidR="000E503D">
        <w:t xml:space="preserve">benutzer </w:t>
      </w:r>
      <w:r w:rsidR="00E22203">
        <w:t>und die Kontexte von Zeichen</w:t>
      </w:r>
      <w:r w:rsidR="000E503D">
        <w:t>gebrauchs</w:t>
      </w:r>
      <w:r w:rsidR="00E22203">
        <w:t>situationen, insofern diese für d</w:t>
      </w:r>
      <w:r w:rsidR="000E503D">
        <w:t>en</w:t>
      </w:r>
      <w:r w:rsidR="00E22203">
        <w:t xml:space="preserve"> Zeichen</w:t>
      </w:r>
      <w:r w:rsidR="000E503D">
        <w:t>gebrauch</w:t>
      </w:r>
      <w:r w:rsidR="00E22203">
        <w:t xml:space="preserve"> relevant sind. Damit ist sie interdisziplinär, da sie die traditionellen, bis heute an den Universitäten und in großen Teilen des Wissenschaftsbetriebs etablierten Disziplinengrenzen überschreitet.</w:t>
      </w:r>
      <w:bookmarkStart w:id="443" w:name="_Ref324749962"/>
      <w:r w:rsidR="009245FD">
        <w:rPr>
          <w:rStyle w:val="Funotenzeichen"/>
        </w:rPr>
        <w:footnoteReference w:id="551"/>
      </w:r>
      <w:bookmarkEnd w:id="443"/>
    </w:p>
    <w:p w:rsidR="0013027A" w:rsidRDefault="00E22203" w:rsidP="002F3BC0">
      <w:pPr>
        <w:pStyle w:val="Text"/>
      </w:pPr>
      <w:r>
        <w:t>Im weiteren Sinn gehören zum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der Semiotik daher alle jene Gegenstandsbereiche</w:t>
      </w:r>
      <w:r w:rsidR="009577FB">
        <w:t xml:space="preserve"> aus Einzel</w:t>
      </w:r>
      <w:r w:rsidR="00465FBB">
        <w:t>wissenschaften</w:t>
      </w:r>
      <w:r>
        <w:t>, in denen Zeichen und Ze</w:t>
      </w:r>
      <w:r>
        <w:t>i</w:t>
      </w:r>
      <w:r>
        <w:t>chenprozesse eine Rolle spielen. Klar ist, dass die Semiotik bezogen auf diese Gegenstandsbereiche keine Gesamtbeschreibung anstrebt; viele Phänomene in diesem umfangreichen Bereich sind eindeutig nichtsemiotisch und interagieren auch nicht mit semiotischen Phänomenen, für diese ist die Semiotik nicht z</w:t>
      </w:r>
      <w:r>
        <w:t>u</w:t>
      </w:r>
      <w:r>
        <w:t xml:space="preserve">ständig. </w:t>
      </w:r>
      <w:r w:rsidR="00287DF1">
        <w:t xml:space="preserve">Allerdings lässt sich dabei eine </w:t>
      </w:r>
      <w:r w:rsidR="009577FB">
        <w:t xml:space="preserve">strenge Trennung </w:t>
      </w:r>
      <w:r>
        <w:t xml:space="preserve">nicht durchhalten: </w:t>
      </w:r>
      <w:r>
        <w:lastRenderedPageBreak/>
        <w:t xml:space="preserve">Dies liegt schon daran, dass </w:t>
      </w:r>
      <w:r w:rsidR="0013027A">
        <w:t>die von der Semiotik untersuchten Phänomene oft in den Einzelwissenschaften gar nicht als Zeichen erkannt wurden (wären sie es, bräuchte es</w:t>
      </w:r>
      <w:r w:rsidR="009577FB">
        <w:t xml:space="preserve"> </w:t>
      </w:r>
      <w:r w:rsidR="0013027A">
        <w:t>keine Semiotik mehr), so dass diese nicht umhin kommt, den G</w:t>
      </w:r>
      <w:r w:rsidR="0013027A">
        <w:t>e</w:t>
      </w:r>
      <w:r w:rsidR="0013027A">
        <w:t>genstandsbereich</w:t>
      </w:r>
      <w:r w:rsidR="005D7996">
        <w:fldChar w:fldCharType="begin"/>
      </w:r>
      <w:r w:rsidR="00FF0C8B">
        <w:instrText xml:space="preserve"> XE "</w:instrText>
      </w:r>
      <w:r w:rsidR="00FF0C8B" w:rsidRPr="00BF23E7">
        <w:instrText>Gegenstandsbereich</w:instrText>
      </w:r>
      <w:r w:rsidR="00FF0C8B">
        <w:instrText xml:space="preserve">" </w:instrText>
      </w:r>
      <w:r w:rsidR="005D7996">
        <w:fldChar w:fldCharType="end"/>
      </w:r>
      <w:r w:rsidR="0013027A">
        <w:t xml:space="preserve"> vieler </w:t>
      </w:r>
      <w:r w:rsidR="009577FB">
        <w:t xml:space="preserve">Einzelwissenschaften </w:t>
      </w:r>
      <w:r w:rsidR="0013027A">
        <w:t>vollständig auf Zeichenphänomene zu durchmustern.</w:t>
      </w:r>
      <w:r w:rsidR="0013027A">
        <w:rPr>
          <w:rStyle w:val="Funotenzeichen"/>
        </w:rPr>
        <w:footnoteReference w:id="552"/>
      </w:r>
      <w:r w:rsidR="00287DF1">
        <w:t xml:space="preserve"> Oft ergeben sich auf semiotischer Grundlage ganz neue Gesichtspunkte für die Forschung.</w:t>
      </w:r>
      <w:r w:rsidR="00287DF1">
        <w:rPr>
          <w:rStyle w:val="Funotenzeichen"/>
        </w:rPr>
        <w:footnoteReference w:id="553"/>
      </w:r>
    </w:p>
    <w:p w:rsidR="00E22203" w:rsidRDefault="00C70979" w:rsidP="002F3BC0">
      <w:pPr>
        <w:pStyle w:val="Text"/>
      </w:pPr>
      <w:r>
        <w:t xml:space="preserve">Dies heißt </w:t>
      </w:r>
      <w:r w:rsidR="00836AF8">
        <w:t>nicht</w:t>
      </w:r>
      <w:r>
        <w:t>, dass die Semiotik die Besonderheiten der von den Einze</w:t>
      </w:r>
      <w:r>
        <w:t>l</w:t>
      </w:r>
      <w:r>
        <w:t>wissenschaften untersuchten Gegenstandsbereiche leugnet. Sie klärt vielmehr die Grundlagen der semiotischen Phänomene; dass diese bereichsspezifische Eige</w:t>
      </w:r>
      <w:r>
        <w:t>n</w:t>
      </w:r>
      <w:r>
        <w:t>schaften aufweisen können, ist dabei zu berücksichtigen.</w:t>
      </w:r>
      <w:r w:rsidR="009245FD">
        <w:rPr>
          <w:rStyle w:val="Funotenzeichen"/>
        </w:rPr>
        <w:footnoteReference w:id="554"/>
      </w:r>
      <w:r>
        <w:t xml:space="preserve"> Allerdings kann oft beobachtet werden, dass die Perspektive, die sich aus der Disziplinentrennung ergibt, die Unterschiedlichkeiten der Gegenstandsbereiche überbetont und die Gemeinsamkeit</w:t>
      </w:r>
      <w:r w:rsidR="00C949D3">
        <w:t>en</w:t>
      </w:r>
      <w:r>
        <w:t xml:space="preserve"> abschwächt oder gar nicht erkennt.</w:t>
      </w:r>
    </w:p>
    <w:p w:rsidR="00C70979" w:rsidRDefault="00C70979" w:rsidP="002F3BC0">
      <w:pPr>
        <w:pStyle w:val="Text"/>
      </w:pPr>
      <w:r>
        <w:t xml:space="preserve">Dies gilt auch </w:t>
      </w:r>
      <w:r w:rsidR="00C949D3">
        <w:t>für das Phänomen Stil. Praktisch alle bislang konstruierten Stiltheorien verwenden in ihren Definitionen bereichsspezifische Terminologie; oft bauen sie dabei so grundlegend auf bereichsspezifischen Konzepten auf, dass eine Verallgemeinerung unmöglich erscheint. Es entsteht überwiegend der Ei</w:t>
      </w:r>
      <w:r w:rsidR="00C949D3">
        <w:t>n</w:t>
      </w:r>
      <w:r w:rsidR="00C949D3">
        <w:t xml:space="preserve">druck, dass man sich </w:t>
      </w:r>
      <w:r w:rsidR="000A6D54">
        <w:t xml:space="preserve">wenig </w:t>
      </w:r>
      <w:r w:rsidR="00C949D3">
        <w:t xml:space="preserve">Gedanken gemacht hat, ob das, was man in einem Bereich </w:t>
      </w:r>
      <w:r w:rsidR="009705FA">
        <w:t xml:space="preserve">mit dem </w:t>
      </w:r>
      <w:r w:rsidR="00F17184">
        <w:t>Wort „</w:t>
      </w:r>
      <w:r w:rsidR="00C949D3">
        <w:t>S</w:t>
      </w:r>
      <w:r w:rsidR="00F17184">
        <w:t>t</w:t>
      </w:r>
      <w:r w:rsidR="00C949D3">
        <w:t>il</w:t>
      </w:r>
      <w:r w:rsidR="00F17184">
        <w:t>“</w:t>
      </w:r>
      <w:r w:rsidR="00C949D3">
        <w:t xml:space="preserve"> </w:t>
      </w:r>
      <w:r w:rsidR="009705FA">
        <w:t>bezeichnet</w:t>
      </w:r>
      <w:r w:rsidR="00C949D3">
        <w:t xml:space="preserve">, nicht vielleicht dasselbe Phänomen (oder ein ähnliches Phänomen) wie das durch </w:t>
      </w:r>
      <w:r w:rsidR="00F17184">
        <w:t>„</w:t>
      </w:r>
      <w:r w:rsidR="00C949D3">
        <w:t>Stil</w:t>
      </w:r>
      <w:r w:rsidR="00F17184">
        <w:t>“</w:t>
      </w:r>
      <w:r w:rsidR="00C949D3">
        <w:t xml:space="preserve"> bezeichnete Phänomen in </w:t>
      </w:r>
      <w:r w:rsidR="008A7BA3">
        <w:t xml:space="preserve">einem anderen </w:t>
      </w:r>
      <w:r w:rsidR="00C949D3">
        <w:t>Bereich sein könnte.</w:t>
      </w:r>
      <w:bookmarkStart w:id="444" w:name="_Ref266616201"/>
      <w:r w:rsidR="00C949D3">
        <w:rPr>
          <w:rStyle w:val="Funotenzeichen"/>
        </w:rPr>
        <w:footnoteReference w:id="555"/>
      </w:r>
      <w:bookmarkEnd w:id="444"/>
      <w:r w:rsidR="00C949D3">
        <w:t xml:space="preserve"> Diese Blindheit ist erstaunlich und spricht </w:t>
      </w:r>
      <w:r w:rsidR="00C949D3">
        <w:lastRenderedPageBreak/>
        <w:t xml:space="preserve">Bände über die </w:t>
      </w:r>
      <w:r w:rsidR="00901957">
        <w:t xml:space="preserve">verhängnisvolle </w:t>
      </w:r>
      <w:r w:rsidR="00C949D3">
        <w:t>Wirkung der Disziplinentrennung in der heut</w:t>
      </w:r>
      <w:r w:rsidR="00C949D3">
        <w:t>i</w:t>
      </w:r>
      <w:r w:rsidR="00C949D3">
        <w:t>gen Wissenschaft.</w:t>
      </w:r>
    </w:p>
    <w:p w:rsidR="00901957" w:rsidRDefault="00901957" w:rsidP="002F3BC0">
      <w:pPr>
        <w:pStyle w:val="Text"/>
      </w:pPr>
      <w:r>
        <w:t xml:space="preserve">Diese Trennung ist mit der hier vorgelegten Stiltheorie obsolet. Es wird in Zukunft darauf zu achten sein, dass ein Stilbegriff unter Rücksichtnahme auf die </w:t>
      </w:r>
      <w:r w:rsidR="00CA3267">
        <w:t xml:space="preserve">Allgemeinheit </w:t>
      </w:r>
      <w:r>
        <w:t>des Phänomens definiert wird.</w:t>
      </w:r>
      <w:r>
        <w:rPr>
          <w:rStyle w:val="Funotenzeichen"/>
        </w:rPr>
        <w:footnoteReference w:id="556"/>
      </w:r>
      <w:r>
        <w:t xml:space="preserve"> </w:t>
      </w:r>
      <w:r w:rsidR="00CA3267">
        <w:t>Das führt direkt zu der Frage, wie mit der bereichsspezifischen Terminologie, die bereits entwickelt wurde, umzugehen ist.</w:t>
      </w:r>
    </w:p>
    <w:p w:rsidR="004241B8" w:rsidRDefault="004241B8" w:rsidP="004241B8">
      <w:pPr>
        <w:pStyle w:val="Titel3"/>
      </w:pPr>
      <w:bookmarkStart w:id="445" w:name="_Toc325456811"/>
      <w:bookmarkStart w:id="446" w:name="bereichsspezifisch"/>
      <w:r>
        <w:t>Anforderungen an bereichsspezifische Stiltheorien</w:t>
      </w:r>
      <w:bookmarkEnd w:id="445"/>
    </w:p>
    <w:p w:rsidR="002F3BC0" w:rsidRDefault="005D7996" w:rsidP="00986A2C">
      <w:pPr>
        <w:pStyle w:val="Text"/>
        <w:ind w:firstLine="0"/>
      </w:pPr>
      <w:r>
        <w:fldChar w:fldCharType="begin"/>
      </w:r>
      <w:r w:rsidR="00996F1B">
        <w:instrText xml:space="preserve"> XE "bereichsspezifische Stiltheorien" \r "bereichsspezifisch" </w:instrText>
      </w:r>
      <w:r>
        <w:fldChar w:fldCharType="end"/>
      </w:r>
      <w:r w:rsidR="002F3BC0">
        <w:t>Die lange Tradition der Stilforschung</w:t>
      </w:r>
      <w:r>
        <w:fldChar w:fldCharType="begin"/>
      </w:r>
      <w:r w:rsidR="00262183">
        <w:instrText xml:space="preserve"> XE "</w:instrText>
      </w:r>
      <w:r w:rsidR="00262183" w:rsidRPr="0078486D">
        <w:instrText>Stilforschung</w:instrText>
      </w:r>
      <w:r w:rsidR="00262183">
        <w:instrText xml:space="preserve">" </w:instrText>
      </w:r>
      <w:r>
        <w:fldChar w:fldCharType="end"/>
      </w:r>
      <w:r w:rsidR="002F3BC0">
        <w:t xml:space="preserve"> in bestimmten Bereichen (z.B. Textstili</w:t>
      </w:r>
      <w:r w:rsidR="002F3BC0">
        <w:t>s</w:t>
      </w:r>
      <w:r w:rsidR="002F3BC0">
        <w:t xml:space="preserve">tik, </w:t>
      </w:r>
      <w:r w:rsidR="00CA02DB">
        <w:t xml:space="preserve">wo der </w:t>
      </w:r>
      <w:r w:rsidR="002F3BC0">
        <w:t xml:space="preserve">Schwerpunkt </w:t>
      </w:r>
      <w:r w:rsidR="000632DD">
        <w:t>meist</w:t>
      </w:r>
      <w:r w:rsidR="00CA02DB">
        <w:t xml:space="preserve"> </w:t>
      </w:r>
      <w:r w:rsidR="002F3BC0">
        <w:t>auf literarischen Texten</w:t>
      </w:r>
      <w:r w:rsidR="00CA02DB">
        <w:t xml:space="preserve"> lag, </w:t>
      </w:r>
      <w:r w:rsidR="002F3BC0">
        <w:t>Kuns</w:t>
      </w:r>
      <w:r w:rsidR="00CA02DB">
        <w:t>t- und Arch</w:t>
      </w:r>
      <w:r w:rsidR="00CA02DB">
        <w:t>i</w:t>
      </w:r>
      <w:r w:rsidR="00CA02DB">
        <w:t>tekturgeschichte</w:t>
      </w:r>
      <w:r w:rsidR="002F3BC0">
        <w:t xml:space="preserve">) hat eine Fülle an Begriffen für spezielle Stilphänomene </w:t>
      </w:r>
      <w:r w:rsidR="00986A2C">
        <w:t>he</w:t>
      </w:r>
      <w:r w:rsidR="00986A2C">
        <w:t>r</w:t>
      </w:r>
      <w:r w:rsidR="00986A2C">
        <w:t>vorgebracht</w:t>
      </w:r>
      <w:r w:rsidR="002F3BC0">
        <w:t xml:space="preserve">. Allzu oft beschränken sich </w:t>
      </w:r>
      <w:r w:rsidR="001122A6">
        <w:t>Werke zum Stil</w:t>
      </w:r>
      <w:r w:rsidR="002F3BC0">
        <w:t xml:space="preserve"> </w:t>
      </w:r>
      <w:r w:rsidR="00CA3267">
        <w:t>nach einer kurzen und stets ungenügenden Stildefinition</w:t>
      </w:r>
      <w:r>
        <w:fldChar w:fldCharType="begin"/>
      </w:r>
      <w:r w:rsidR="00C6415A">
        <w:instrText xml:space="preserve"> XE "</w:instrText>
      </w:r>
      <w:r w:rsidR="00C6415A" w:rsidRPr="00F10689">
        <w:instrText>Stildefinition</w:instrText>
      </w:r>
      <w:r w:rsidR="00C6415A">
        <w:instrText xml:space="preserve">" </w:instrText>
      </w:r>
      <w:r>
        <w:fldChar w:fldCharType="end"/>
      </w:r>
      <w:r w:rsidR="00CA3267">
        <w:t xml:space="preserve"> </w:t>
      </w:r>
      <w:r w:rsidR="002F3BC0">
        <w:t xml:space="preserve">darauf, diese Begriffe aufzuzählen und die damit benannten Phänomene zu beschreiben. Dabei bleibt sowohl die Frage, in welcher Relation diese verschiedenen Phänomene zueinander stehen, als auch, </w:t>
      </w:r>
      <w:r w:rsidR="00CA3267">
        <w:t xml:space="preserve">warum gerade diese und nur diese Phänomene zu </w:t>
      </w:r>
      <w:r w:rsidR="002F3BC0">
        <w:t xml:space="preserve">Stil </w:t>
      </w:r>
      <w:r w:rsidR="00CA3267">
        <w:t>gehören sollen</w:t>
      </w:r>
      <w:r w:rsidR="002F3BC0">
        <w:t>, unbean</w:t>
      </w:r>
      <w:r w:rsidR="002F3BC0">
        <w:t>t</w:t>
      </w:r>
      <w:r w:rsidR="002F3BC0">
        <w:t xml:space="preserve">wortet. – Dennoch sind </w:t>
      </w:r>
      <w:r w:rsidR="009245FD">
        <w:t>solche</w:t>
      </w:r>
      <w:r w:rsidR="002F3BC0">
        <w:t xml:space="preserve"> Begriffe, ob sie nun Stilmittel, </w:t>
      </w:r>
      <w:r w:rsidR="006121F2">
        <w:t>Soziolekte</w:t>
      </w:r>
      <w:r>
        <w:fldChar w:fldCharType="begin"/>
      </w:r>
      <w:r w:rsidR="00F547E6">
        <w:instrText xml:space="preserve"> XE "</w:instrText>
      </w:r>
      <w:r w:rsidR="00F547E6" w:rsidRPr="00496A22">
        <w:instrText>Soziolekt</w:instrText>
      </w:r>
      <w:r w:rsidR="00F547E6">
        <w:instrText xml:space="preserve">" </w:instrText>
      </w:r>
      <w:r>
        <w:fldChar w:fldCharType="end"/>
      </w:r>
      <w:r w:rsidR="002F3BC0">
        <w:t xml:space="preserve">, Sprachebenen oder ähnliches unterscheiden, für </w:t>
      </w:r>
      <w:r w:rsidR="003A0A34">
        <w:t xml:space="preserve">die Beschreibung von Stilen </w:t>
      </w:r>
      <w:r w:rsidR="00CB5AD5">
        <w:t xml:space="preserve">häufig </w:t>
      </w:r>
      <w:r w:rsidR="002F3BC0">
        <w:t>sinnvoll.</w:t>
      </w:r>
    </w:p>
    <w:p w:rsidR="00973494" w:rsidRDefault="002F3BC0" w:rsidP="002F3BC0">
      <w:pPr>
        <w:pStyle w:val="Text"/>
      </w:pPr>
      <w:r>
        <w:t xml:space="preserve">Eine bereichsspezifische semiotische Stiltheorie </w:t>
      </w:r>
      <w:r w:rsidR="00973494">
        <w:t>hat die Verbindung zu lei</w:t>
      </w:r>
      <w:r w:rsidR="00973494">
        <w:t>s</w:t>
      </w:r>
      <w:r w:rsidR="00973494">
        <w:t>ten zwischen</w:t>
      </w:r>
    </w:p>
    <w:p w:rsidR="00973494" w:rsidRDefault="002F3BC0" w:rsidP="002F3BC0">
      <w:pPr>
        <w:pStyle w:val="Text"/>
      </w:pPr>
      <w:r>
        <w:t>(</w:t>
      </w:r>
      <w:r w:rsidR="006E30ED">
        <w:t>a</w:t>
      </w:r>
      <w:r>
        <w:t>)</w:t>
      </w:r>
      <w:r w:rsidR="00973494">
        <w:tab/>
      </w:r>
      <w:r>
        <w:t>der allgemei</w:t>
      </w:r>
      <w:r w:rsidR="00973494">
        <w:t>nen Ebene des Phänomens Stil, einem funktionierenden Zeichenprozess, bei dem Informationen in Realisierungen eingeschrieben und aus ihnen ausgelesen werden;</w:t>
      </w:r>
    </w:p>
    <w:p w:rsidR="00A12F55" w:rsidRDefault="002F3BC0" w:rsidP="002F3BC0">
      <w:pPr>
        <w:pStyle w:val="Text"/>
      </w:pPr>
      <w:r>
        <w:t>(</w:t>
      </w:r>
      <w:r w:rsidR="006E30ED">
        <w:t>b</w:t>
      </w:r>
      <w:r>
        <w:t>)</w:t>
      </w:r>
      <w:r w:rsidR="00973494">
        <w:tab/>
      </w:r>
      <w:r w:rsidR="000A6D54">
        <w:t>bereichsspe</w:t>
      </w:r>
      <w:r w:rsidR="000B3C46">
        <w:t>zifischer Begrifflichkeit</w:t>
      </w:r>
      <w:r>
        <w:t>, die auf Kompatibilität mit de</w:t>
      </w:r>
      <w:r w:rsidR="00A12F55">
        <w:t>r</w:t>
      </w:r>
      <w:r>
        <w:t xml:space="preserve"> al</w:t>
      </w:r>
      <w:r>
        <w:t>l</w:t>
      </w:r>
      <w:r>
        <w:t xml:space="preserve">gemeinen </w:t>
      </w:r>
      <w:r w:rsidR="00A12F55">
        <w:t xml:space="preserve">Darstellung </w:t>
      </w:r>
      <w:r>
        <w:t>über</w:t>
      </w:r>
      <w:r w:rsidR="00A12F55">
        <w:t>prüft</w:t>
      </w:r>
      <w:r w:rsidR="000B3C46">
        <w:t xml:space="preserve">, gegebenenfalls </w:t>
      </w:r>
      <w:r w:rsidR="00A12F55">
        <w:t>geändert</w:t>
      </w:r>
      <w:r>
        <w:t xml:space="preserve"> und auf nunmehr ges</w:t>
      </w:r>
      <w:r>
        <w:t>i</w:t>
      </w:r>
      <w:r>
        <w:t xml:space="preserve">cherter Basis neu </w:t>
      </w:r>
      <w:r w:rsidR="00A12F55">
        <w:t>dargestellt und gegliedert werden muss</w:t>
      </w:r>
      <w:r>
        <w:t>.</w:t>
      </w:r>
    </w:p>
    <w:p w:rsidR="002A64A5" w:rsidRDefault="002F3BC0" w:rsidP="002A64A5">
      <w:pPr>
        <w:pStyle w:val="Text"/>
      </w:pPr>
      <w:r>
        <w:lastRenderedPageBreak/>
        <w:t>Dies gilt unabhängig davon, ob für (</w:t>
      </w:r>
      <w:r w:rsidR="006E30ED">
        <w:t>a</w:t>
      </w:r>
      <w:r>
        <w:t xml:space="preserve">) die hier vorgeschlagene Theorie als angemessen akzeptiert oder eine andere gewählt wird. Bislang wurde dagegen </w:t>
      </w:r>
      <w:r w:rsidR="001122A6">
        <w:t>immer</w:t>
      </w:r>
      <w:r>
        <w:t xml:space="preserve"> bereichsspezifisch vorgegangen, wobei das Zugrundelegen einer allgeme</w:t>
      </w:r>
      <w:r>
        <w:t>i</w:t>
      </w:r>
      <w:r>
        <w:t xml:space="preserve">nen Stiltheorie für unnötig gehalten wurde. Dieser (selten explizit benannte) Verzicht auf die Betrachtung der allgemeinen Ebene </w:t>
      </w:r>
      <w:r w:rsidR="002C1827">
        <w:t>basierte wohl auf der u</w:t>
      </w:r>
      <w:r w:rsidR="002C1827">
        <w:t>n</w:t>
      </w:r>
      <w:r w:rsidR="002C1827">
        <w:t xml:space="preserve">ausgesprochenen Annahme, eine allgemeine </w:t>
      </w:r>
      <w:r>
        <w:t xml:space="preserve">Stiltheorie </w:t>
      </w:r>
      <w:r w:rsidR="002C1827">
        <w:t>sei unmöglich</w:t>
      </w:r>
      <w:r>
        <w:t>, denn dass Stil ein völlig bereichsspezifisches Phänomen sei und keine allgemeinen Chara</w:t>
      </w:r>
      <w:r>
        <w:t>k</w:t>
      </w:r>
      <w:r>
        <w:t xml:space="preserve">teristika </w:t>
      </w:r>
      <w:r w:rsidR="002C1827">
        <w:t>aufweise</w:t>
      </w:r>
      <w:r>
        <w:t>, wurde kaum einmal behauptet und ist ja auch offensichtlich unplausibel. Di</w:t>
      </w:r>
      <w:r w:rsidR="00EE00F7">
        <w:t>e</w:t>
      </w:r>
      <w:r>
        <w:t xml:space="preserve"> Annahme </w:t>
      </w:r>
      <w:r w:rsidR="00EE00F7">
        <w:t xml:space="preserve">der Unmöglichkeit ist </w:t>
      </w:r>
      <w:r>
        <w:t xml:space="preserve">durch die </w:t>
      </w:r>
      <w:r w:rsidR="00EE00F7">
        <w:t xml:space="preserve">hier </w:t>
      </w:r>
      <w:r>
        <w:t>vorgelegte Sti</w:t>
      </w:r>
      <w:r>
        <w:t>l</w:t>
      </w:r>
      <w:r>
        <w:t>theorie widerlegt, so dass für den Anspruch einer umfassenden Klärung eines Stilbereiches (z.B. sprachlichen Stils) in Zukunft in jedem Fall eine Darstellung für (</w:t>
      </w:r>
      <w:r w:rsidR="006E30ED">
        <w:t>a</w:t>
      </w:r>
      <w:r>
        <w:t>), also den Bereich der allgemeinen Stiltheorie,</w:t>
      </w:r>
      <w:r w:rsidR="0077287D">
        <w:t xml:space="preserve"> gewählt werden muss, auf die (</w:t>
      </w:r>
      <w:r w:rsidR="006E30ED">
        <w:t>b</w:t>
      </w:r>
      <w:r>
        <w:t>) dann aufgebaut werden kann.</w:t>
      </w:r>
    </w:p>
    <w:p w:rsidR="006E30ED" w:rsidRDefault="001C16BA" w:rsidP="002A64A5">
      <w:pPr>
        <w:pStyle w:val="Text"/>
      </w:pPr>
      <w:r>
        <w:t xml:space="preserve">Damit eine bereichsspezifische Stiltheorie mit der hier vorgeschlagenen </w:t>
      </w:r>
      <w:r w:rsidR="006E30ED">
        <w:t>al</w:t>
      </w:r>
      <w:r w:rsidR="006E30ED">
        <w:t>l</w:t>
      </w:r>
      <w:r w:rsidR="006E30ED">
        <w:t xml:space="preserve">gemeinen Stiltheorie kompatibel </w:t>
      </w:r>
      <w:r>
        <w:t>ist, muss sie folgende Voraussetzungen erfü</w:t>
      </w:r>
      <w:r>
        <w:t>l</w:t>
      </w:r>
      <w:r>
        <w:t>len:</w:t>
      </w:r>
    </w:p>
    <w:p w:rsidR="006E30ED" w:rsidRDefault="006E30ED" w:rsidP="002F3BC0">
      <w:pPr>
        <w:pStyle w:val="Text"/>
      </w:pPr>
      <w:r>
        <w:t>(1)</w:t>
      </w:r>
      <w:r>
        <w:tab/>
      </w:r>
      <w:r w:rsidR="001C16BA">
        <w:t>Die Theorie muss mit der hier vorgestellten (oder eine</w:t>
      </w:r>
      <w:r w:rsidR="00F41CF3">
        <w:t>r</w:t>
      </w:r>
      <w:r w:rsidR="001C16BA">
        <w:t xml:space="preserve"> vergleichb</w:t>
      </w:r>
      <w:r w:rsidR="001C16BA">
        <w:t>a</w:t>
      </w:r>
      <w:r w:rsidR="001C16BA">
        <w:t>ren) Schemaaufteilung für Verhalten, Artefakte und Texte kompatibel sein (vgl. Abschnitt</w:t>
      </w:r>
      <w:r w:rsidR="007C0E36">
        <w:t xml:space="preserve"> </w:t>
      </w:r>
      <w:r w:rsidR="005D7996">
        <w:fldChar w:fldCharType="begin"/>
      </w:r>
      <w:r w:rsidR="007C0E36">
        <w:instrText xml:space="preserve"> REF _Ref212130496 \r \h </w:instrText>
      </w:r>
      <w:r w:rsidR="005D7996">
        <w:fldChar w:fldCharType="separate"/>
      </w:r>
      <w:r w:rsidR="001231D3">
        <w:t>4.2</w:t>
      </w:r>
      <w:r w:rsidR="005D7996">
        <w:fldChar w:fldCharType="end"/>
      </w:r>
      <w:r w:rsidR="001C16BA">
        <w:t>).</w:t>
      </w:r>
    </w:p>
    <w:p w:rsidR="001C16BA" w:rsidRDefault="001C16BA" w:rsidP="002F3BC0">
      <w:pPr>
        <w:pStyle w:val="Text"/>
      </w:pPr>
      <w:r>
        <w:t>(2)</w:t>
      </w:r>
      <w:r>
        <w:tab/>
        <w:t xml:space="preserve">Sie muss </w:t>
      </w:r>
      <w:r w:rsidR="00F41CF3">
        <w:t xml:space="preserve">mit der Beschreibung von </w:t>
      </w:r>
      <w:r>
        <w:t xml:space="preserve">Stil als Zeichenprozess, bei dem Information in Realisierungen eingeschrieben und aus ihnen </w:t>
      </w:r>
      <w:r w:rsidR="00F41CF3">
        <w:t xml:space="preserve">ausgelesen wird, </w:t>
      </w:r>
      <w:r w:rsidR="00B00F66">
        <w:t>kompatibel</w:t>
      </w:r>
      <w:r w:rsidR="00F41CF3">
        <w:t xml:space="preserve"> sein (statische Auffassungen von Stil als Eigenschaft von Realisi</w:t>
      </w:r>
      <w:r w:rsidR="00F41CF3">
        <w:t>e</w:t>
      </w:r>
      <w:r w:rsidR="00F41CF3">
        <w:t>rungen erfüllen diese Voraussetzung nicht).</w:t>
      </w:r>
    </w:p>
    <w:p w:rsidR="001C16BA" w:rsidRDefault="00F41CF3" w:rsidP="002F3BC0">
      <w:pPr>
        <w:pStyle w:val="Text"/>
      </w:pPr>
      <w:r>
        <w:t>(</w:t>
      </w:r>
      <w:r w:rsidR="00B00F66">
        <w:t>3</w:t>
      </w:r>
      <w:r w:rsidR="001C16BA">
        <w:t>)</w:t>
      </w:r>
      <w:r w:rsidR="001C16BA">
        <w:tab/>
        <w:t xml:space="preserve">Sie muss </w:t>
      </w:r>
      <w:r w:rsidR="00B94DAF">
        <w:t>eine Stilbeschreibung ermöglichen, die Stil in zwei Prozesse unterteilt</w:t>
      </w:r>
      <w:r w:rsidR="004D1D32">
        <w:t>: einen Prozess, in dem Merkmalsregeln</w:t>
      </w:r>
      <w:r w:rsidR="00B94DAF">
        <w:t xml:space="preserve"> in eine Realisierung eing</w:t>
      </w:r>
      <w:r w:rsidR="00B94DAF">
        <w:t>e</w:t>
      </w:r>
      <w:r w:rsidR="00B94DAF">
        <w:t xml:space="preserve">schrieben oder aus ihr ausgelesen werden, und einen Prozess, in dem diese </w:t>
      </w:r>
      <w:r w:rsidR="004D1D32">
        <w:t xml:space="preserve">Merkmalsregeln </w:t>
      </w:r>
      <w:r w:rsidR="00B94DAF">
        <w:t>interpretiert werden.</w:t>
      </w:r>
    </w:p>
    <w:p w:rsidR="00B00F66" w:rsidRDefault="004241B8" w:rsidP="004241B8">
      <w:pPr>
        <w:pStyle w:val="Titel3"/>
      </w:pPr>
      <w:bookmarkStart w:id="447" w:name="_Toc325456812"/>
      <w:r>
        <w:t>Bereichsspezifische Stilphänomene</w:t>
      </w:r>
      <w:bookmarkEnd w:id="447"/>
    </w:p>
    <w:p w:rsidR="00E04E77" w:rsidRDefault="00B94DAF" w:rsidP="002A64A5">
      <w:pPr>
        <w:pStyle w:val="Text"/>
        <w:ind w:firstLine="0"/>
      </w:pPr>
      <w:r>
        <w:t>Erfüllt eine berei</w:t>
      </w:r>
      <w:r w:rsidR="004241B8">
        <w:t>chsspezifische Stiltheorie die im letzten Abschnitt genannten</w:t>
      </w:r>
      <w:r>
        <w:t xml:space="preserve"> Voraussetzungen, kann sie in diesen Punkten auf </w:t>
      </w:r>
      <w:r w:rsidR="004D1D32">
        <w:t xml:space="preserve">der </w:t>
      </w:r>
      <w:r>
        <w:t>Darstellung in der allg</w:t>
      </w:r>
      <w:r>
        <w:t>e</w:t>
      </w:r>
      <w:r>
        <w:t>meinen Stiltheorie aufbauen. Ihre Hauptaufgabe besteht nun darin, sich um b</w:t>
      </w:r>
      <w:r>
        <w:t>e</w:t>
      </w:r>
      <w:r>
        <w:t xml:space="preserve">reichsspezifische Anforderungen zu kümmern: Sie muss </w:t>
      </w:r>
      <w:r w:rsidR="00E04E77">
        <w:t xml:space="preserve">Besonderheiten </w:t>
      </w:r>
      <w:r w:rsidR="003D72EA">
        <w:t xml:space="preserve">des jeweiligen Bereichs </w:t>
      </w:r>
      <w:r w:rsidR="00E04E77">
        <w:t>untersuchen</w:t>
      </w:r>
      <w:r>
        <w:t>, die von der allgemeinen Stiltheorie nicht abg</w:t>
      </w:r>
      <w:r>
        <w:t>e</w:t>
      </w:r>
      <w:r>
        <w:t>deckt werden</w:t>
      </w:r>
      <w:r w:rsidR="002A55C2">
        <w:t>.</w:t>
      </w:r>
      <w:r w:rsidR="00E04E77">
        <w:t xml:space="preserve"> Beispielsweise</w:t>
      </w:r>
      <w:r w:rsidR="00E04E77" w:rsidRPr="00E04E77">
        <w:t xml:space="preserve"> </w:t>
      </w:r>
      <w:r w:rsidR="00E04E77">
        <w:t>wird</w:t>
      </w:r>
    </w:p>
    <w:p w:rsidR="00E04E77" w:rsidRDefault="00E04E77" w:rsidP="000D653A">
      <w:pPr>
        <w:pStyle w:val="Text"/>
        <w:ind w:firstLine="0"/>
      </w:pPr>
      <w:r>
        <w:t>–</w:t>
      </w:r>
      <w:r>
        <w:tab/>
      </w:r>
      <w:r w:rsidR="002A55C2">
        <w:t>die textwissenschaftliche Stiltheorie</w:t>
      </w:r>
      <w:r w:rsidR="005D7996">
        <w:fldChar w:fldCharType="begin"/>
      </w:r>
      <w:r w:rsidR="004C103F">
        <w:instrText xml:space="preserve"> XE "</w:instrText>
      </w:r>
      <w:r w:rsidR="004C103F" w:rsidRPr="00757827">
        <w:instrText>textwissenschaftliche Stiltheorie</w:instrText>
      </w:r>
      <w:r w:rsidR="004C103F">
        <w:instrText xml:space="preserve">" </w:instrText>
      </w:r>
      <w:r w:rsidR="005D7996">
        <w:fldChar w:fldCharType="end"/>
      </w:r>
      <w:r w:rsidR="002A55C2">
        <w:t xml:space="preserve"> </w:t>
      </w:r>
      <w:r w:rsidR="002C1F40">
        <w:t xml:space="preserve">Unterschiede und Bezüge </w:t>
      </w:r>
      <w:r w:rsidR="00DF130D">
        <w:t xml:space="preserve">des </w:t>
      </w:r>
      <w:r w:rsidR="002C1F40">
        <w:t>mündl</w:t>
      </w:r>
      <w:r w:rsidR="002C1F40">
        <w:t>i</w:t>
      </w:r>
      <w:r w:rsidR="002C1F40">
        <w:t>chen und schriftlichen Stilrepertoire</w:t>
      </w:r>
      <w:r w:rsidR="00DF130D">
        <w:t xml:space="preserve">s in den Blick nehmen, für Gattungen beider Ausdrucksweisen wie Gespräch, Streit, Anekdote und Monolog </w:t>
      </w:r>
      <w:r w:rsidR="00962C33">
        <w:t xml:space="preserve">sowie </w:t>
      </w:r>
      <w:r w:rsidR="00DF130D">
        <w:t>Zeitung</w:t>
      </w:r>
      <w:r w:rsidR="00DF130D">
        <w:t>s</w:t>
      </w:r>
      <w:r w:rsidR="00DF130D">
        <w:t>bericht, Erzählung, Brief und Gesetzestext nach stilistischen Besonderheiten suchen</w:t>
      </w:r>
      <w:r w:rsidR="00DF3576">
        <w:t>,</w:t>
      </w:r>
      <w:r w:rsidR="00DF130D">
        <w:rPr>
          <w:rStyle w:val="Funotenzeichen"/>
        </w:rPr>
        <w:footnoteReference w:id="557"/>
      </w:r>
      <w:r w:rsidR="00DF130D">
        <w:t xml:space="preserve"> das Verhältnis von sprachlichem Stil zu systemischer Variation (etwa </w:t>
      </w:r>
      <w:r w:rsidR="00DF130D">
        <w:lastRenderedPageBreak/>
        <w:t>bei Soziolekten und Fachsprachen) klären</w:t>
      </w:r>
      <w:r w:rsidR="00DF130D">
        <w:rPr>
          <w:rStyle w:val="Funotenzeichen"/>
        </w:rPr>
        <w:footnoteReference w:id="558"/>
      </w:r>
      <w:r w:rsidR="00DF3576">
        <w:t xml:space="preserve"> und sich um eine präzise Beschre</w:t>
      </w:r>
      <w:r w:rsidR="00DF3576">
        <w:t>i</w:t>
      </w:r>
      <w:r w:rsidR="00DF3576">
        <w:t>bung der stilistischen Auswirkungen rhetorischer Figuren kümmern;</w:t>
      </w:r>
      <w:r w:rsidR="00DF3576">
        <w:rPr>
          <w:rStyle w:val="Funotenzeichen"/>
        </w:rPr>
        <w:footnoteReference w:id="559"/>
      </w:r>
    </w:p>
    <w:p w:rsidR="002A55C2" w:rsidRDefault="00E04E77" w:rsidP="000D653A">
      <w:pPr>
        <w:pStyle w:val="Text"/>
        <w:ind w:firstLine="0"/>
      </w:pPr>
      <w:r>
        <w:t>–</w:t>
      </w:r>
      <w:r>
        <w:tab/>
        <w:t>die musikwissenschaftliche Stiltheorie</w:t>
      </w:r>
      <w:r w:rsidR="005D7996">
        <w:fldChar w:fldCharType="begin"/>
      </w:r>
      <w:r w:rsidR="004C103F">
        <w:instrText xml:space="preserve"> XE "</w:instrText>
      </w:r>
      <w:r w:rsidR="004C103F" w:rsidRPr="00D06EEA">
        <w:instrText>musikwissenschaftliche Stiltheorie</w:instrText>
      </w:r>
      <w:r w:rsidR="004C103F">
        <w:instrText xml:space="preserve">" </w:instrText>
      </w:r>
      <w:r w:rsidR="005D7996">
        <w:fldChar w:fldCharType="end"/>
      </w:r>
      <w:r>
        <w:t xml:space="preserve"> die Unterscheidung zwischen Ko</w:t>
      </w:r>
      <w:r>
        <w:t>m</w:t>
      </w:r>
      <w:r>
        <w:t>positionsstilen</w:t>
      </w:r>
      <w:r w:rsidR="005D7996">
        <w:fldChar w:fldCharType="begin"/>
      </w:r>
      <w:r w:rsidR="00AD1338">
        <w:instrText xml:space="preserve"> XE "</w:instrText>
      </w:r>
      <w:r w:rsidR="00AD1338" w:rsidRPr="004968AC">
        <w:instrText>Kompositionsstil</w:instrText>
      </w:r>
      <w:r w:rsidR="00AD1338">
        <w:instrText xml:space="preserve">" </w:instrText>
      </w:r>
      <w:r w:rsidR="005D7996">
        <w:fldChar w:fldCharType="end"/>
      </w:r>
      <w:r>
        <w:t xml:space="preserve"> (die sich wiederum in Melodieverwendungsstile</w:t>
      </w:r>
      <w:r w:rsidR="005D7996">
        <w:fldChar w:fldCharType="begin"/>
      </w:r>
      <w:r w:rsidR="00AD1338">
        <w:instrText xml:space="preserve"> XE "</w:instrText>
      </w:r>
      <w:r w:rsidR="00AD1338" w:rsidRPr="00A313D1">
        <w:instrText>Melodik</w:instrText>
      </w:r>
      <w:r w:rsidR="00AD1338">
        <w:instrText xml:space="preserve">" </w:instrText>
      </w:r>
      <w:r w:rsidR="005D7996">
        <w:fldChar w:fldCharType="end"/>
      </w:r>
      <w:r>
        <w:t>, Satztechnikstile</w:t>
      </w:r>
      <w:r w:rsidR="005D7996">
        <w:fldChar w:fldCharType="begin"/>
      </w:r>
      <w:r w:rsidR="00AD1338">
        <w:instrText xml:space="preserve"> XE "</w:instrText>
      </w:r>
      <w:r w:rsidR="00AD1338" w:rsidRPr="00374B85">
        <w:instrText>Satztechnik</w:instrText>
      </w:r>
      <w:r w:rsidR="00AD1338">
        <w:instrText xml:space="preserve">" </w:instrText>
      </w:r>
      <w:r w:rsidR="005D7996">
        <w:fldChar w:fldCharType="end"/>
      </w:r>
      <w:r>
        <w:t>, Harmonisierungsstile</w:t>
      </w:r>
      <w:r w:rsidR="005D7996">
        <w:fldChar w:fldCharType="begin"/>
      </w:r>
      <w:r w:rsidR="00AD1338">
        <w:instrText xml:space="preserve"> XE "</w:instrText>
      </w:r>
      <w:r w:rsidR="00AD1338" w:rsidRPr="00EE6496">
        <w:instrText>Harmonik</w:instrText>
      </w:r>
      <w:r w:rsidR="00AD1338">
        <w:instrText xml:space="preserve">" </w:instrText>
      </w:r>
      <w:r w:rsidR="005D7996">
        <w:fldChar w:fldCharType="end"/>
      </w:r>
      <w:r>
        <w:t>, Orchestrierungsstile</w:t>
      </w:r>
      <w:r w:rsidR="005D7996">
        <w:fldChar w:fldCharType="begin"/>
      </w:r>
      <w:r w:rsidR="00AD1338">
        <w:instrText xml:space="preserve"> XE "</w:instrText>
      </w:r>
      <w:r w:rsidR="00AD1338" w:rsidRPr="007322C1">
        <w:instrText>Orchestrierung</w:instrText>
      </w:r>
      <w:r w:rsidR="00AD1338">
        <w:instrText xml:space="preserve">" </w:instrText>
      </w:r>
      <w:r w:rsidR="005D7996">
        <w:fldChar w:fldCharType="end"/>
      </w:r>
      <w:r>
        <w:t xml:space="preserve"> usw. unterteilen lassen), Notation</w:t>
      </w:r>
      <w:r>
        <w:t>s</w:t>
      </w:r>
      <w:r>
        <w:t>stilen</w:t>
      </w:r>
      <w:r w:rsidR="005D7996">
        <w:fldChar w:fldCharType="begin"/>
      </w:r>
      <w:r w:rsidR="00AD1338">
        <w:instrText xml:space="preserve"> XE "</w:instrText>
      </w:r>
      <w:r w:rsidR="00AD1338" w:rsidRPr="00CB6121">
        <w:instrText>Notation (Musik)</w:instrText>
      </w:r>
      <w:r w:rsidR="00AD1338">
        <w:instrText xml:space="preserve">" </w:instrText>
      </w:r>
      <w:r w:rsidR="005D7996">
        <w:fldChar w:fldCharType="end"/>
      </w:r>
      <w:r>
        <w:t>, Aufführungspraxen</w:t>
      </w:r>
      <w:r w:rsidR="005D7996">
        <w:fldChar w:fldCharType="begin"/>
      </w:r>
      <w:r w:rsidR="00AD1338">
        <w:instrText xml:space="preserve"> XE "</w:instrText>
      </w:r>
      <w:r w:rsidR="00AD1338" w:rsidRPr="00F2757B">
        <w:instrText>Aufführungspraxis</w:instrText>
      </w:r>
      <w:r w:rsidR="00AD1338">
        <w:instrText xml:space="preserve">" </w:instrText>
      </w:r>
      <w:r w:rsidR="005D7996">
        <w:fldChar w:fldCharType="end"/>
      </w:r>
      <w:r>
        <w:t xml:space="preserve"> </w:t>
      </w:r>
      <w:r w:rsidR="00DF130D">
        <w:t xml:space="preserve">und </w:t>
      </w:r>
      <w:r w:rsidR="00AD1338">
        <w:t>S</w:t>
      </w:r>
      <w:r w:rsidR="00DF130D">
        <w:t>tilen</w:t>
      </w:r>
      <w:r w:rsidR="00AD1338">
        <w:t xml:space="preserve"> der musikalischen Interpretation</w:t>
      </w:r>
      <w:r w:rsidR="005D7996">
        <w:fldChar w:fldCharType="begin"/>
      </w:r>
      <w:r w:rsidR="00AD1338">
        <w:instrText xml:space="preserve"> XE "</w:instrText>
      </w:r>
      <w:r w:rsidR="00AD1338" w:rsidRPr="00292B52">
        <w:instrText>Interpretation, musikalische</w:instrText>
      </w:r>
      <w:r w:rsidR="00AD1338">
        <w:instrText xml:space="preserve">" </w:instrText>
      </w:r>
      <w:r w:rsidR="005D7996">
        <w:fldChar w:fldCharType="end"/>
      </w:r>
      <w:r w:rsidR="00DF130D">
        <w:t xml:space="preserve"> </w:t>
      </w:r>
      <w:r>
        <w:t>unte</w:t>
      </w:r>
      <w:r>
        <w:t>r</w:t>
      </w:r>
      <w:r>
        <w:t>scheiden;</w:t>
      </w:r>
    </w:p>
    <w:p w:rsidR="00E04E77" w:rsidRDefault="00E04E77" w:rsidP="000D653A">
      <w:pPr>
        <w:pStyle w:val="Text"/>
        <w:ind w:firstLine="0"/>
      </w:pPr>
      <w:r>
        <w:t>–</w:t>
      </w:r>
      <w:r>
        <w:tab/>
        <w:t xml:space="preserve">die </w:t>
      </w:r>
      <w:r w:rsidR="0036153A">
        <w:t>theaterwissenschaftliche Stiltheorie</w:t>
      </w:r>
      <w:r w:rsidR="005D7996">
        <w:fldChar w:fldCharType="begin"/>
      </w:r>
      <w:r w:rsidR="004C103F">
        <w:instrText xml:space="preserve"> XE "</w:instrText>
      </w:r>
      <w:r w:rsidR="004C103F" w:rsidRPr="00FD2E37">
        <w:instrText>theaterwissenschaftliche Stiltheorie</w:instrText>
      </w:r>
      <w:r w:rsidR="004C103F">
        <w:instrText xml:space="preserve">" </w:instrText>
      </w:r>
      <w:r w:rsidR="005D7996">
        <w:fldChar w:fldCharType="end"/>
      </w:r>
      <w:r w:rsidR="0036153A">
        <w:t xml:space="preserve"> zwischen den Stilen von Theaterm</w:t>
      </w:r>
      <w:r w:rsidR="0036153A">
        <w:t>a</w:t>
      </w:r>
      <w:r w:rsidR="0036153A">
        <w:t>nuskripten, Inszenierungsstilen (also Stilen, die Theaterregisseure beim Insz</w:t>
      </w:r>
      <w:r w:rsidR="0036153A">
        <w:t>e</w:t>
      </w:r>
      <w:r w:rsidR="0036153A">
        <w:t>nieren eines Stücks haben) und Aufführungsstilen unterscheiden (bei denen auch die individuellen und nicht vorgesehenen Aspekte der Aufführung einb</w:t>
      </w:r>
      <w:r w:rsidR="0036153A">
        <w:t>e</w:t>
      </w:r>
      <w:r w:rsidR="0036153A">
        <w:t>zogen werden) und die Besonderheiten untersuchen, die sich für Theaterauffü</w:t>
      </w:r>
      <w:r w:rsidR="0036153A">
        <w:t>h</w:t>
      </w:r>
      <w:r w:rsidR="0036153A">
        <w:t>rungen aus der Vierdimensionalität der Realisierung ergeben</w:t>
      </w:r>
      <w:r w:rsidR="00B80F73">
        <w:t>;</w:t>
      </w:r>
    </w:p>
    <w:p w:rsidR="00AB0F39" w:rsidRDefault="00AB0F39" w:rsidP="000D653A">
      <w:pPr>
        <w:pStyle w:val="Text"/>
        <w:ind w:firstLine="0"/>
      </w:pPr>
      <w:r>
        <w:t>–</w:t>
      </w:r>
      <w:r>
        <w:tab/>
        <w:t>die sozialwissenschaftliche Stiltheorie</w:t>
      </w:r>
      <w:r w:rsidR="005D7996">
        <w:fldChar w:fldCharType="begin"/>
      </w:r>
      <w:r w:rsidR="004C103F">
        <w:instrText xml:space="preserve"> XE "</w:instrText>
      </w:r>
      <w:r w:rsidR="004C103F" w:rsidRPr="00DD3457">
        <w:instrText>sozialwissenschaftliche Stiltheorie</w:instrText>
      </w:r>
      <w:r w:rsidR="004C103F">
        <w:instrText xml:space="preserve">" </w:instrText>
      </w:r>
      <w:r w:rsidR="005D7996">
        <w:fldChar w:fldCharType="end"/>
      </w:r>
      <w:r>
        <w:t xml:space="preserve"> untersuchen, wie </w:t>
      </w:r>
      <w:r w:rsidR="000139BC">
        <w:t>Stile des gesel</w:t>
      </w:r>
      <w:r w:rsidR="000139BC">
        <w:t>l</w:t>
      </w:r>
      <w:r w:rsidR="000139BC">
        <w:t>schaftlichen Auftretens und der sozialen Interaktion mit verwandten Phänom</w:t>
      </w:r>
      <w:r w:rsidR="000139BC">
        <w:t>e</w:t>
      </w:r>
      <w:r w:rsidR="000139BC">
        <w:t>nen wie Habitus zusammenhängen</w:t>
      </w:r>
      <w:r w:rsidR="002C1F40">
        <w:t>,</w:t>
      </w:r>
      <w:r w:rsidR="002C1F40">
        <w:rPr>
          <w:rStyle w:val="Funotenzeichen"/>
        </w:rPr>
        <w:footnoteReference w:id="560"/>
      </w:r>
      <w:r w:rsidR="000139BC">
        <w:t xml:space="preserve"> </w:t>
      </w:r>
      <w:r w:rsidR="002C1F40">
        <w:t>wie Konventionalität und individuelle Abweichung zusammenspielen, wie stilistische Normsetzungsprozesse funkti</w:t>
      </w:r>
      <w:r w:rsidR="002C1F40">
        <w:t>o</w:t>
      </w:r>
      <w:r w:rsidR="002C1F40">
        <w:t xml:space="preserve">nieren und welche Beschränkungen </w:t>
      </w:r>
      <w:r w:rsidR="000139BC">
        <w:t xml:space="preserve">durch </w:t>
      </w:r>
      <w:r w:rsidR="002C1F40">
        <w:t>die materiellen Grundlagen einer G</w:t>
      </w:r>
      <w:r w:rsidR="002C1F40">
        <w:t>e</w:t>
      </w:r>
      <w:r w:rsidR="002C1F40">
        <w:t>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rsidR="002C1F40">
        <w:t xml:space="preserve"> gegeben sind;</w:t>
      </w:r>
    </w:p>
    <w:p w:rsidR="00B80F73" w:rsidRDefault="00B80F73" w:rsidP="000D653A">
      <w:pPr>
        <w:pStyle w:val="Text"/>
        <w:ind w:firstLine="0"/>
      </w:pPr>
      <w:r>
        <w:t>–</w:t>
      </w:r>
      <w:r>
        <w:tab/>
        <w:t xml:space="preserve">die noch wenig entwickelte Stiltheorie von Verhaltensstilen </w:t>
      </w:r>
      <w:r w:rsidR="00AB0F39">
        <w:t>(wie beispiel</w:t>
      </w:r>
      <w:r w:rsidR="00AB0F39">
        <w:t>s</w:t>
      </w:r>
      <w:r w:rsidR="00AB0F39">
        <w:t xml:space="preserve">weise Bewegungsstilen) </w:t>
      </w:r>
      <w:r>
        <w:t xml:space="preserve">sich der Frage widmen, wie biologische und kulturelle </w:t>
      </w:r>
      <w:r w:rsidR="00646F7C">
        <w:t>Bedingungen</w:t>
      </w:r>
      <w:r>
        <w:t xml:space="preserve"> bei der Festlegung von Verhaltensschemata interagieren, die </w:t>
      </w:r>
      <w:r w:rsidR="00AB0F39">
        <w:t xml:space="preserve">die stilistischen Variationsmöglichkeiten </w:t>
      </w:r>
      <w:r w:rsidR="00B84E95">
        <w:t>bestimmen</w:t>
      </w:r>
      <w:r w:rsidR="000139BC">
        <w:t>.</w:t>
      </w:r>
    </w:p>
    <w:p w:rsidR="00B84E95" w:rsidRDefault="00B80F73" w:rsidP="002F3BC0">
      <w:pPr>
        <w:pStyle w:val="Text"/>
      </w:pPr>
      <w:r>
        <w:t xml:space="preserve">Dies sind </w:t>
      </w:r>
      <w:r w:rsidR="00D45E33">
        <w:t xml:space="preserve">nur </w:t>
      </w:r>
      <w:r w:rsidR="00B84E95">
        <w:t xml:space="preserve">einige </w:t>
      </w:r>
      <w:r>
        <w:t>Beispiele</w:t>
      </w:r>
      <w:r w:rsidR="00D45E33">
        <w:t xml:space="preserve"> für die wesentlich größere</w:t>
      </w:r>
      <w:r w:rsidR="00B84E95">
        <w:t xml:space="preserve"> Anzahl an Stilb</w:t>
      </w:r>
      <w:r w:rsidR="00B84E95">
        <w:t>e</w:t>
      </w:r>
      <w:r w:rsidR="00B84E95">
        <w:t xml:space="preserve">reichen und </w:t>
      </w:r>
      <w:r w:rsidR="002C1F40">
        <w:t xml:space="preserve">darin </w:t>
      </w:r>
      <w:r w:rsidR="00D45E33">
        <w:t xml:space="preserve">jeweils zu beachtenden Besonderheiten. Sie </w:t>
      </w:r>
      <w:r w:rsidR="00AB0F39">
        <w:t>zeigen jedoch die Richtung an</w:t>
      </w:r>
      <w:r>
        <w:t xml:space="preserve">, </w:t>
      </w:r>
      <w:r w:rsidR="00D45E33">
        <w:t>wie bei der Entwicklung bereichsspezifischer Stilt</w:t>
      </w:r>
      <w:r w:rsidR="00AB0F39">
        <w:t>heorien vorg</w:t>
      </w:r>
      <w:r w:rsidR="00AB0F39">
        <w:t>e</w:t>
      </w:r>
      <w:r w:rsidR="00AB0F39">
        <w:t xml:space="preserve">gangen werden kann. Damit soll nicht impliziert werden, dass </w:t>
      </w:r>
      <w:r w:rsidR="00B84E95">
        <w:t>die bisherigen Untersuchungen zu solchen Problemen nicht weiter verwendet werden können; in vielen Fällen dürfte dies möglich sein, es muss allerdings die Kompatibilität der Lösungen mit der allgemeinen Stiltheorie überprüft werden. Lösungen, die Stil au</w:t>
      </w:r>
      <w:r w:rsidR="00B12FB1">
        <w:t>f</w:t>
      </w:r>
      <w:r w:rsidR="00B84E95">
        <w:t xml:space="preserve"> eine bestimmte Art definieren, die nur bereichssspezifisch überhaupt Sinn macht, scheiden unter dem Blickwinkel einer allgemeinen Stiltheorie natü</w:t>
      </w:r>
      <w:r w:rsidR="00B84E95">
        <w:t>r</w:t>
      </w:r>
      <w:r w:rsidR="00B84E95">
        <w:t>lich aus. Ebenso ist darauf zu achten, dass die semiotischen Grundlagen des Ph</w:t>
      </w:r>
      <w:r w:rsidR="00B84E95">
        <w:t>ä</w:t>
      </w:r>
      <w:r w:rsidR="00B84E95">
        <w:t>nomens Stil beachtet werden;</w:t>
      </w:r>
      <w:r w:rsidR="00B84E95">
        <w:rPr>
          <w:rStyle w:val="Funotenzeichen"/>
        </w:rPr>
        <w:footnoteReference w:id="561"/>
      </w:r>
      <w:r w:rsidR="00B84E95">
        <w:t xml:space="preserve"> eine Beschreibung, die nicht mit Merkmalen kompatibel ist, die in Form von Regeln die stilistische Information in Realisi</w:t>
      </w:r>
      <w:r w:rsidR="00B84E95">
        <w:t>e</w:t>
      </w:r>
      <w:r w:rsidR="00B84E95">
        <w:t>rungen einschreiben und auslesen, ist mit der hier vorgeschlagenen Stiltheorie nicht kompatibel. Sofern sie nicht auf einer anderen allgemeinen Stiltheorie au</w:t>
      </w:r>
      <w:r w:rsidR="00B84E95">
        <w:t>f</w:t>
      </w:r>
      <w:r w:rsidR="00B84E95">
        <w:t>setzt, hängt eine solche bereichsspezifische Lösung daher ‚in der Luft‘.</w:t>
      </w:r>
    </w:p>
    <w:p w:rsidR="004241B8" w:rsidRDefault="00B84E95" w:rsidP="002F3BC0">
      <w:pPr>
        <w:pStyle w:val="Text"/>
      </w:pPr>
      <w:r>
        <w:lastRenderedPageBreak/>
        <w:t xml:space="preserve">Neben diesen erhöhten Anforderungen an die </w:t>
      </w:r>
      <w:r w:rsidR="000A6D54">
        <w:t>bereichsspe</w:t>
      </w:r>
      <w:r>
        <w:t>zifischen Stilth</w:t>
      </w:r>
      <w:r>
        <w:t>e</w:t>
      </w:r>
      <w:r>
        <w:t>orien ergibt sich jedoch durch die allgemeine Stiltheorie auch eine Entlastung für diese. Die grundsätzliche Funktionsweise des Phänomens braucht nicht mehr beschrieben zu werden; weder die Frage, wie Merkmal</w:t>
      </w:r>
      <w:r w:rsidR="00DB33A9">
        <w:t>sregeln</w:t>
      </w:r>
      <w:r>
        <w:t xml:space="preserve"> in Realisierungen eingeschrieben und (mehr oder minder korrekt) wieder ausgelesen werden kö</w:t>
      </w:r>
      <w:r>
        <w:t>n</w:t>
      </w:r>
      <w:r>
        <w:t xml:space="preserve">nen, noch die Frage, wie die oft weitgehenden </w:t>
      </w:r>
      <w:r w:rsidR="000139BC">
        <w:t>Proposition</w:t>
      </w:r>
      <w:r w:rsidR="00FC3D1C">
        <w:t>sannahme</w:t>
      </w:r>
      <w:r w:rsidR="000139BC">
        <w:t>n, Eindr</w:t>
      </w:r>
      <w:r w:rsidR="000139BC">
        <w:t>ü</w:t>
      </w:r>
      <w:r w:rsidR="000139BC">
        <w:t>cke und Gefühle beim Interpretieren eines Stils gebildet werden, muss in spezie</w:t>
      </w:r>
      <w:r w:rsidR="000139BC">
        <w:t>l</w:t>
      </w:r>
      <w:r w:rsidR="000139BC">
        <w:t>len Stiltheorien geklärt werden. Daher kann die Forschung sich auf bereichssp</w:t>
      </w:r>
      <w:r w:rsidR="000139BC">
        <w:t>e</w:t>
      </w:r>
      <w:r w:rsidR="000139BC">
        <w:t>zifische Besonderheiten konzentrieren, für die oben einige Beispiele genannt wurden.</w:t>
      </w:r>
    </w:p>
    <w:p w:rsidR="004241B8" w:rsidRDefault="004241B8" w:rsidP="004241B8">
      <w:r>
        <w:t>Für Kunst-</w:t>
      </w:r>
      <w:r w:rsidR="005D7996">
        <w:fldChar w:fldCharType="begin"/>
      </w:r>
      <w:r w:rsidR="004C103F">
        <w:instrText xml:space="preserve"> XE "</w:instrText>
      </w:r>
      <w:r w:rsidR="004C103F" w:rsidRPr="000D529E">
        <w:instrText>Kunstwissenschaft</w:instrText>
      </w:r>
      <w:r w:rsidR="004C103F">
        <w:instrText xml:space="preserve">" </w:instrText>
      </w:r>
      <w:r w:rsidR="005D7996">
        <w:fldChar w:fldCharType="end"/>
      </w:r>
      <w:r>
        <w:t>, Literatur-</w:t>
      </w:r>
      <w:r w:rsidR="005D7996">
        <w:fldChar w:fldCharType="begin"/>
      </w:r>
      <w:r w:rsidR="004C103F">
        <w:instrText xml:space="preserve"> XE "</w:instrText>
      </w:r>
      <w:r w:rsidR="004C103F" w:rsidRPr="000810AB">
        <w:instrText>Literaturwissenschaft</w:instrText>
      </w:r>
      <w:r w:rsidR="004C103F">
        <w:instrText xml:space="preserve">" </w:instrText>
      </w:r>
      <w:r w:rsidR="005D7996">
        <w:fldChar w:fldCharType="end"/>
      </w:r>
      <w:r>
        <w:t>, Musikwissenschaft</w:t>
      </w:r>
      <w:r w:rsidR="005D7996">
        <w:fldChar w:fldCharType="begin"/>
      </w:r>
      <w:r w:rsidR="004C103F">
        <w:instrText xml:space="preserve"> XE "</w:instrText>
      </w:r>
      <w:r w:rsidR="004C103F" w:rsidRPr="00475C05">
        <w:instrText>Musikwissenschaft</w:instrText>
      </w:r>
      <w:r w:rsidR="004C103F">
        <w:instrText xml:space="preserve">" </w:instrText>
      </w:r>
      <w:r w:rsidR="005D7996">
        <w:fldChar w:fldCharType="end"/>
      </w:r>
      <w:r>
        <w:t xml:space="preserve"> und teilweise auch die Archite</w:t>
      </w:r>
      <w:r>
        <w:t>k</w:t>
      </w:r>
      <w:r>
        <w:t>turwissenschaft</w:t>
      </w:r>
      <w:r w:rsidR="005D7996">
        <w:fldChar w:fldCharType="begin"/>
      </w:r>
      <w:r w:rsidR="004C103F">
        <w:instrText xml:space="preserve"> XE "</w:instrText>
      </w:r>
      <w:r w:rsidR="004C103F" w:rsidRPr="00C43D7C">
        <w:rPr>
          <w:rFonts w:cs="Times New Roman"/>
        </w:rPr>
        <w:instrText>Architekturwissenschaft</w:instrText>
      </w:r>
      <w:r w:rsidR="004C103F">
        <w:instrText xml:space="preserve">" </w:instrText>
      </w:r>
      <w:r w:rsidR="005D7996">
        <w:fldChar w:fldCharType="end"/>
      </w:r>
      <w:r>
        <w:t xml:space="preserve"> ergibt sich zudem die Besonderheit, dass Stil und ästhetische </w:t>
      </w:r>
      <w:r w:rsidR="005067EC">
        <w:t>Wahrnehmung</w:t>
      </w:r>
      <w:r>
        <w:t xml:space="preserve"> in ihrem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zusammen auftreten und interagi</w:t>
      </w:r>
      <w:r>
        <w:t>e</w:t>
      </w:r>
      <w:r>
        <w:t>ren. Bei beiden handelt es sich um nicht-kodierte Zeichenprozesse mit den dafür charakteristischen Eigenschaften (etwa einem größeren Abweichungsgrad zw</w:t>
      </w:r>
      <w:r>
        <w:t>i</w:t>
      </w:r>
      <w:r>
        <w:t>schen Sender-</w:t>
      </w:r>
      <w:r w:rsidR="005D7996">
        <w:rPr>
          <w:szCs w:val="17"/>
        </w:rPr>
        <w:fldChar w:fldCharType="begin"/>
      </w:r>
      <w:r w:rsidR="00F2338E">
        <w:instrText xml:space="preserve"> XE "Sender</w:instrText>
      </w:r>
      <w:r w:rsidR="00F2338E" w:rsidRPr="0078449A">
        <w:instrText>zeichen</w:instrText>
      </w:r>
      <w:r w:rsidR="00F2338E">
        <w:instrText xml:space="preserve">" </w:instrText>
      </w:r>
      <w:r w:rsidR="005D7996">
        <w:rPr>
          <w:szCs w:val="17"/>
        </w:rPr>
        <w:fldChar w:fldCharType="end"/>
      </w:r>
      <w:r>
        <w:t xml:space="preserve"> und Empfängerzeichen</w:t>
      </w:r>
      <w:r w:rsidR="005D7996">
        <w:rPr>
          <w:szCs w:val="17"/>
        </w:rPr>
        <w:fldChar w:fldCharType="begin"/>
      </w:r>
      <w:r w:rsidR="00F2338E">
        <w:instrText xml:space="preserve"> XE "Empfänger</w:instrText>
      </w:r>
      <w:r w:rsidR="00F2338E" w:rsidRPr="0078449A">
        <w:instrText>zeichen</w:instrText>
      </w:r>
      <w:r w:rsidR="00F2338E">
        <w:instrText xml:space="preserve">" </w:instrText>
      </w:r>
      <w:r w:rsidR="005D7996">
        <w:rPr>
          <w:szCs w:val="17"/>
        </w:rPr>
        <w:fldChar w:fldCharType="end"/>
      </w:r>
      <w:r>
        <w:t xml:space="preserve"> und der Rolle einer intuitiv erlernten nicht-konventionellen </w:t>
      </w:r>
      <w:r w:rsidR="00DE6802">
        <w:t>Wahrnehmungs</w:t>
      </w:r>
      <w:r>
        <w:t>kompetenz)</w:t>
      </w:r>
      <w:r w:rsidR="005067EC">
        <w:t>;</w:t>
      </w:r>
      <w:r>
        <w:t xml:space="preserve"> bei ästhetischen Realisieru</w:t>
      </w:r>
      <w:r>
        <w:t>n</w:t>
      </w:r>
      <w:r>
        <w:t xml:space="preserve">gen </w:t>
      </w:r>
      <w:r w:rsidR="005067EC">
        <w:t xml:space="preserve">treten zudem Stil und ästhetische Wahrnehmung in </w:t>
      </w:r>
      <w:r>
        <w:t>Wechselwirkung mite</w:t>
      </w:r>
      <w:r>
        <w:t>i</w:t>
      </w:r>
      <w:r>
        <w:t>nander. Die genannten Wissenschaften müssen ästhetische Aspekte der Stile in den von ihnen betrachteten Realisierungen beschreiben und umgekehrt den A</w:t>
      </w:r>
      <w:r>
        <w:t>n</w:t>
      </w:r>
      <w:r>
        <w:t>teil des Stils an den ästhetischen Eigenschaften klären</w:t>
      </w:r>
      <w:r w:rsidR="007B5159">
        <w:t xml:space="preserve"> (v</w:t>
      </w:r>
      <w:r w:rsidR="007B5159" w:rsidRPr="00156980">
        <w:rPr>
          <w:szCs w:val="17"/>
        </w:rPr>
        <w:t xml:space="preserve">gl. Abschnitt </w:t>
      </w:r>
      <w:fldSimple w:instr=" REF _Ref237405993 \r \h  \* MERGEFORMAT ">
        <w:r w:rsidR="001231D3" w:rsidRPr="001231D3">
          <w:rPr>
            <w:szCs w:val="17"/>
          </w:rPr>
          <w:t>8.3.7</w:t>
        </w:r>
      </w:fldSimple>
      <w:r w:rsidR="007B5159">
        <w:t>)</w:t>
      </w:r>
      <w:r>
        <w:t>.</w:t>
      </w:r>
    </w:p>
    <w:p w:rsidR="004241B8" w:rsidRDefault="004241B8" w:rsidP="004241B8">
      <w:r>
        <w:t>Durch die Kombination von ästhetischem und stilistischem Zeichenprozess ist mit besonderen Eigenschaften und möglicherweise speziellen Phänomenen zu rechnen, die bei Stilen außerhalb der Unterkategorie aller Realisierungen, die ästhetische Eigenschaften besitzen, nicht vorkommen. Bereichsspezifische Sti</w:t>
      </w:r>
      <w:r>
        <w:t>l</w:t>
      </w:r>
      <w:r>
        <w:t>theorien, deren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ästhetische Realisierungen enthält, müssen sich mit solchen Eigenschaften oder Phänomenen beschäftigen, auf der Ebene der allgemeinen Stiltheorie können sie nicht behandelt werden, schon weil hier kein Platz für die nötige Auseinandersetzung mit der Ästhetik ist.</w:t>
      </w:r>
    </w:p>
    <w:p w:rsidR="004241B8" w:rsidRDefault="004241B8" w:rsidP="004241B8">
      <w:pPr>
        <w:pStyle w:val="Text"/>
      </w:pPr>
      <w:r>
        <w:t>Für eine bereichsspezifische Beschreibung ergibt s</w:t>
      </w:r>
      <w:r w:rsidR="00466729">
        <w:t>ich zudem die Möglic</w:t>
      </w:r>
      <w:r w:rsidR="00466729">
        <w:t>h</w:t>
      </w:r>
      <w:r w:rsidR="00466729">
        <w:t>keit, manch</w:t>
      </w:r>
      <w:r>
        <w:t>e Bereiche der Theorie, die hier bewusst offen gelassen wurden, g</w:t>
      </w:r>
      <w:r>
        <w:t>e</w:t>
      </w:r>
      <w:r>
        <w:t>nauer zu spezifizieren. Dies betrifft beispielsweise die Schemagliederung</w:t>
      </w:r>
      <w:r w:rsidR="005D7996">
        <w:fldChar w:fldCharType="begin"/>
      </w:r>
      <w:r w:rsidR="00D77298">
        <w:instrText xml:space="preserve"> XE "</w:instrText>
      </w:r>
      <w:r w:rsidR="00D77298" w:rsidRPr="00311056">
        <w:instrText>Schemagliederung</w:instrText>
      </w:r>
      <w:r w:rsidR="00D77298">
        <w:instrText xml:space="preserve">" </w:instrText>
      </w:r>
      <w:r w:rsidR="005D7996">
        <w:fldChar w:fldCharType="end"/>
      </w:r>
      <w:r>
        <w:t xml:space="preserve">, die in Abschnitt </w:t>
      </w:r>
      <w:r w:rsidR="005D7996">
        <w:fldChar w:fldCharType="begin"/>
      </w:r>
      <w:r>
        <w:instrText xml:space="preserve"> REF _Ref262119559 \r \h </w:instrText>
      </w:r>
      <w:r w:rsidR="005D7996">
        <w:fldChar w:fldCharType="separate"/>
      </w:r>
      <w:r w:rsidR="001231D3">
        <w:t>2.6</w:t>
      </w:r>
      <w:r w:rsidR="005D7996">
        <w:fldChar w:fldCharType="end"/>
      </w:r>
      <w:r>
        <w:t xml:space="preserve"> eingeführt und in Abschnitt </w:t>
      </w:r>
      <w:r w:rsidR="005D7996">
        <w:fldChar w:fldCharType="begin"/>
      </w:r>
      <w:r>
        <w:instrText xml:space="preserve"> REF _Ref212130496 \r \h </w:instrText>
      </w:r>
      <w:r w:rsidR="005D7996">
        <w:fldChar w:fldCharType="separate"/>
      </w:r>
      <w:r w:rsidR="001231D3">
        <w:t>4.2</w:t>
      </w:r>
      <w:r w:rsidR="005D7996">
        <w:fldChar w:fldCharType="end"/>
      </w:r>
      <w:r>
        <w:t xml:space="preserve"> genauer dargestellt wurde. Diese konnte hier nur allgemein vorgestellt werden; Stiltheorien für einzelne Stilbere</w:t>
      </w:r>
      <w:r>
        <w:t>i</w:t>
      </w:r>
      <w:r>
        <w:t>che – zum Beispiel sprachlichen Stil, Archiekturstil oder Stil in der Musik – kö</w:t>
      </w:r>
      <w:r>
        <w:t>n</w:t>
      </w:r>
      <w:r>
        <w:t>nen hier eine wesentlich genauere Beschreibung vornehmen und mittelfristig eine Schemagliederung ihres Gegenstandsbereichs vorlegen, die die stilrelevanten Unterscheidungen als Schemata, gegebenenfalls Unterschemata</w:t>
      </w:r>
      <w:r w:rsidR="005D7996">
        <w:fldChar w:fldCharType="begin"/>
      </w:r>
      <w:r w:rsidR="00F67AF9">
        <w:instrText xml:space="preserve"> XE "</w:instrText>
      </w:r>
      <w:r w:rsidR="00F67AF9" w:rsidRPr="001310DA">
        <w:instrText>Unterschema</w:instrText>
      </w:r>
      <w:r w:rsidR="00F67AF9">
        <w:instrText xml:space="preserve">" </w:instrText>
      </w:r>
      <w:r w:rsidR="005D7996">
        <w:fldChar w:fldCharType="end"/>
      </w:r>
      <w:r>
        <w:t xml:space="preserve"> und Schemaorte erfasst. Damit wird eine wesentlich genauere Modellierung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t xml:space="preserve"> möglich. Auch für andere Bereiche, etwa die Suche nach relevantem Hintergrundwissen (</w:t>
      </w:r>
      <w:r w:rsidR="005D7996">
        <w:fldChar w:fldCharType="begin"/>
      </w:r>
      <w:r>
        <w:instrText xml:space="preserve"> REF _Ref255309936 \r \h </w:instrText>
      </w:r>
      <w:r w:rsidR="005D7996">
        <w:fldChar w:fldCharType="separate"/>
      </w:r>
      <w:r w:rsidR="001231D3">
        <w:t>7.2.2</w:t>
      </w:r>
      <w:r w:rsidR="005D7996">
        <w:fldChar w:fldCharType="end"/>
      </w:r>
      <w:r>
        <w:t>), könnte eine bereichsspezifische Beschreibung möglicherweise Vorteile bringen.</w:t>
      </w:r>
    </w:p>
    <w:p w:rsidR="004241B8" w:rsidRDefault="004241B8" w:rsidP="004241B8">
      <w:pPr>
        <w:pStyle w:val="Text"/>
      </w:pPr>
      <w:r>
        <w:t>Ähnlich könnte auch die Entstehung von Proposition</w:t>
      </w:r>
      <w:r w:rsidR="00FC3D1C">
        <w:t>sannahme</w:t>
      </w:r>
      <w:r>
        <w:t>n, Eindr</w:t>
      </w:r>
      <w:r>
        <w:t>ü</w:t>
      </w:r>
      <w:r>
        <w:t>cken und Gefühlen (</w:t>
      </w:r>
      <w:r w:rsidR="005D7996">
        <w:fldChar w:fldCharType="begin"/>
      </w:r>
      <w:r w:rsidR="002965A2">
        <w:instrText xml:space="preserve"> REF _Ref253668018 \r \h </w:instrText>
      </w:r>
      <w:r w:rsidR="005D7996">
        <w:fldChar w:fldCharType="separate"/>
      </w:r>
      <w:r w:rsidR="001231D3">
        <w:t>6.2.2</w:t>
      </w:r>
      <w:r w:rsidR="005D7996">
        <w:fldChar w:fldCharType="end"/>
      </w:r>
      <w:r>
        <w:t>) den konkreten Bedingungen im jeweiligen Gege</w:t>
      </w:r>
      <w:r>
        <w:t>n</w:t>
      </w:r>
      <w:r>
        <w:lastRenderedPageBreak/>
        <w:t>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angepasst werden, wobei auch empirische Untersuchungen eing</w:t>
      </w:r>
      <w:r>
        <w:t>e</w:t>
      </w:r>
      <w:r>
        <w:t>bracht werden könnten. Auf der hier gewählten allgemeinen Ebene dagegen mussten für diese Bereiche stark vereinfachte, aufs Wesentliche reduzierte The</w:t>
      </w:r>
      <w:r>
        <w:t>o</w:t>
      </w:r>
      <w:r>
        <w:t>riebausteine verwendet werden. Diese können als Platzhalter für spezifischere bereichsspezifische Theorien betrachtet werden, die an die dort jeweils bereits geleistete Forschung anschließen können.</w:t>
      </w:r>
    </w:p>
    <w:p w:rsidR="00354A21" w:rsidRDefault="00354A21" w:rsidP="00354A21">
      <w:pPr>
        <w:pStyle w:val="Titel3"/>
      </w:pPr>
      <w:bookmarkStart w:id="448" w:name="_Ref268591728"/>
      <w:bookmarkStart w:id="449" w:name="_Toc272223528"/>
      <w:bookmarkStart w:id="450" w:name="_Toc325456813"/>
      <w:r>
        <w:t>Klärungsbedarf durch fehlende Grundlagen</w:t>
      </w:r>
      <w:bookmarkEnd w:id="448"/>
      <w:bookmarkEnd w:id="449"/>
      <w:bookmarkEnd w:id="450"/>
    </w:p>
    <w:p w:rsidR="00354A21" w:rsidRDefault="00354A21" w:rsidP="002965A2">
      <w:pPr>
        <w:pStyle w:val="Text"/>
        <w:ind w:firstLine="0"/>
      </w:pPr>
      <w:r>
        <w:t xml:space="preserve">Auch für die </w:t>
      </w:r>
      <w:r w:rsidR="00CA79D5">
        <w:t>Einzel</w:t>
      </w:r>
      <w:r>
        <w:t>wissenschaften, in deren Bereich solche speziellen Stilthe</w:t>
      </w:r>
      <w:r>
        <w:t>o</w:t>
      </w:r>
      <w:r>
        <w:t xml:space="preserve">rien fallen, ergeben sich gewisse Anforderungen. Insbesondere müssen einige Grundlagen der </w:t>
      </w:r>
      <w:r w:rsidR="00CA79D5">
        <w:t xml:space="preserve">Einzelwissenschaft </w:t>
      </w:r>
      <w:r>
        <w:t>insoweit geklärt sein, dass eine Anknüpfung an die Semiotik als Grundlagenwissenschaft möglich wird. Ist beispielsweise nicht einmal der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semiotisch klar definiert, kann diese A</w:t>
      </w:r>
      <w:r>
        <w:t>n</w:t>
      </w:r>
      <w:r>
        <w:t>knüpfung nicht erfolgen. Als Beispiel dafür, welche Anforderungen, aber auch welche Entwicklungsmöglichkeiten,</w:t>
      </w:r>
      <w:r w:rsidRPr="00FF1A0A">
        <w:t xml:space="preserve"> </w:t>
      </w:r>
      <w:r>
        <w:t>die weit über die Entwicklung einer Stilth</w:t>
      </w:r>
      <w:r>
        <w:t>e</w:t>
      </w:r>
      <w:r>
        <w:t>orie hinausgehen, sich ergeben, sei die Bildwissenschaft</w:t>
      </w:r>
      <w:r w:rsidR="005D7996">
        <w:fldChar w:fldCharType="begin"/>
      </w:r>
      <w:r w:rsidR="0025273E">
        <w:instrText xml:space="preserve"> XE "</w:instrText>
      </w:r>
      <w:r w:rsidR="0025273E" w:rsidRPr="00FB4597">
        <w:instrText>Bildwissenschaft</w:instrText>
      </w:r>
      <w:r w:rsidR="0025273E">
        <w:instrText xml:space="preserve">" </w:instrText>
      </w:r>
      <w:r w:rsidR="005D7996">
        <w:fldChar w:fldCharType="end"/>
      </w:r>
      <w:r>
        <w:t xml:space="preserve"> herausgegriffen.</w:t>
      </w:r>
    </w:p>
    <w:p w:rsidR="00354A21" w:rsidRDefault="00354A21" w:rsidP="00354A21">
      <w:pPr>
        <w:pStyle w:val="Text"/>
      </w:pPr>
      <w:r>
        <w:t>Nach Auffassung des Autors müsste dort zuerst einmal eine allgemeine Grundlegung durch eine sorgfältige und umfassende Theorie des Bildes erfolgen. Bisher ist die Relation von Zeichen zu Nicht-Zeichen bei Bildern</w:t>
      </w:r>
      <w:r w:rsidR="005D7996">
        <w:fldChar w:fldCharType="begin"/>
      </w:r>
      <w:r w:rsidR="0025273E">
        <w:instrText xml:space="preserve"> XE "</w:instrText>
      </w:r>
      <w:r w:rsidR="0025273E" w:rsidRPr="00FA161B">
        <w:instrText>Bilder</w:instrText>
      </w:r>
      <w:r w:rsidR="0025273E">
        <w:instrText xml:space="preserve">" </w:instrText>
      </w:r>
      <w:r w:rsidR="005D7996">
        <w:fldChar w:fldCharType="end"/>
      </w:r>
      <w:r>
        <w:t xml:space="preserve"> nicht geklärt und wird immer wieder Anlass grundlegender Debatten.</w:t>
      </w:r>
      <w:r>
        <w:rPr>
          <w:rStyle w:val="Funotenzeichen"/>
        </w:rPr>
        <w:footnoteReference w:id="562"/>
      </w:r>
      <w:r>
        <w:t xml:space="preserve"> Es besteht offenbar keine Einigkeit darüber, welche Rolle Zeichen in Bildern spielen; dabei werden allerdings die Grundlagen der Semiotik nicht ausreichend beachtet.</w:t>
      </w:r>
      <w:r>
        <w:rPr>
          <w:rStyle w:val="Funotenzeichen"/>
        </w:rPr>
        <w:footnoteReference w:id="563"/>
      </w:r>
    </w:p>
    <w:p w:rsidR="00354A21" w:rsidRDefault="00354A21" w:rsidP="00354A21">
      <w:pPr>
        <w:pStyle w:val="Text"/>
      </w:pPr>
      <w:r>
        <w:t>Noch dramatischer erscheint das Fehlen einer schlüssigen Bilddefinition</w:t>
      </w:r>
      <w:r w:rsidR="005D7996">
        <w:fldChar w:fldCharType="begin"/>
      </w:r>
      <w:r w:rsidR="0073281C">
        <w:instrText xml:space="preserve"> XE "</w:instrText>
      </w:r>
      <w:r w:rsidR="0073281C" w:rsidRPr="008A2FCA">
        <w:instrText>Bilddefinition</w:instrText>
      </w:r>
      <w:r w:rsidR="0073281C">
        <w:instrText xml:space="preserve">" </w:instrText>
      </w:r>
      <w:r w:rsidR="005D7996">
        <w:fldChar w:fldCharType="end"/>
      </w:r>
      <w:r>
        <w:t>, die mit einer klaren Abgenzung arbeitet. So schreiben die Herausgeber eines aktuellen Sammelbands, der Begriff des Bildes sei vieldeutig, weil darunter da</w:t>
      </w:r>
      <w:r>
        <w:t>u</w:t>
      </w:r>
      <w:r>
        <w:t xml:space="preserve">erhafte Artefakte, flüchtige Erscheinungen (wie etwa Schatten) und mentale </w:t>
      </w:r>
      <w:r>
        <w:lastRenderedPageBreak/>
        <w:t>Bilder</w:t>
      </w:r>
      <w:r w:rsidR="005D7996">
        <w:fldChar w:fldCharType="begin"/>
      </w:r>
      <w:r w:rsidR="0025273E">
        <w:instrText xml:space="preserve"> XE "</w:instrText>
      </w:r>
      <w:r w:rsidR="0025273E" w:rsidRPr="00D10EB7">
        <w:instrText>Bilder:mentale</w:instrText>
      </w:r>
      <w:r w:rsidR="0025273E">
        <w:instrText xml:space="preserve">" </w:instrText>
      </w:r>
      <w:r w:rsidR="005D7996">
        <w:fldChar w:fldCharType="end"/>
      </w:r>
      <w:r>
        <w:t xml:space="preserve"> zählten;</w:t>
      </w:r>
      <w:r>
        <w:rPr>
          <w:rStyle w:val="Funotenzeichen"/>
        </w:rPr>
        <w:footnoteReference w:id="564"/>
      </w:r>
      <w:r>
        <w:t xml:space="preserve"> dem ist zu entgegnen, dass gerade das Gemeinsame all dieser </w:t>
      </w:r>
      <w:r w:rsidR="005917D5">
        <w:t xml:space="preserve">Phänomene </w:t>
      </w:r>
      <w:r>
        <w:t xml:space="preserve">ihre Zusammenfassung unter dem Begriff </w:t>
      </w:r>
      <w:r w:rsidR="00C05939">
        <w:t>‚</w:t>
      </w:r>
      <w:r>
        <w:t>Bild</w:t>
      </w:r>
      <w:r w:rsidR="00C05939">
        <w:t>‘</w:t>
      </w:r>
      <w:r>
        <w:t xml:space="preserve"> nahelegt. Dabei ist insbesondere zu untersuchen, in welcher Relation der Bildbegriff zu</w:t>
      </w:r>
      <w:r w:rsidR="0057025E">
        <w:t>m</w:t>
      </w:r>
      <w:r>
        <w:t xml:space="preserve"> </w:t>
      </w:r>
      <w:r w:rsidR="0057025E">
        <w:t>Ikon</w:t>
      </w:r>
      <w:r w:rsidR="005D7996">
        <w:fldChar w:fldCharType="begin"/>
      </w:r>
      <w:r w:rsidR="00C958D6">
        <w:instrText xml:space="preserve"> XE "</w:instrText>
      </w:r>
      <w:r w:rsidR="00C958D6" w:rsidRPr="006369AD">
        <w:instrText>Ikon (Peirce)</w:instrText>
      </w:r>
      <w:r w:rsidR="00C958D6">
        <w:instrText xml:space="preserve">" </w:instrText>
      </w:r>
      <w:r w:rsidR="005D7996">
        <w:fldChar w:fldCharType="end"/>
      </w:r>
      <w:r w:rsidR="0057025E">
        <w:t xml:space="preserve"> (dem auf einer Ähnlichkeitsrelation beruhenden Zeichentyp von Peirce) </w:t>
      </w:r>
      <w:r>
        <w:t xml:space="preserve">steht und inwieweit die Loslösung des Bildbegriffs von </w:t>
      </w:r>
      <w:r w:rsidR="0057025E">
        <w:t>der Bedingung der Ikonizität</w:t>
      </w:r>
      <w:r>
        <w:t>, die im 20. Jahrhundert nicht zuletzt durch die Entwicklung der modernen Kunst</w:t>
      </w:r>
      <w:r w:rsidR="005D7996">
        <w:fldChar w:fldCharType="begin"/>
      </w:r>
      <w:r w:rsidR="00795F2C">
        <w:instrText xml:space="preserve"> XE "</w:instrText>
      </w:r>
      <w:r w:rsidR="00795F2C" w:rsidRPr="00604098">
        <w:instrText>Moderne:künstlerische</w:instrText>
      </w:r>
      <w:r w:rsidR="00795F2C">
        <w:instrText xml:space="preserve">" </w:instrText>
      </w:r>
      <w:r w:rsidR="005D7996">
        <w:fldChar w:fldCharType="end"/>
      </w:r>
      <w:r>
        <w:t xml:space="preserve"> erfolgte, gerechtfertigt ist. Inzwischen </w:t>
      </w:r>
      <w:r w:rsidR="00AE2E9C">
        <w:t xml:space="preserve">sind </w:t>
      </w:r>
      <w:r>
        <w:t>neue Bilddefinition</w:t>
      </w:r>
      <w:r w:rsidR="00AE2E9C">
        <w:t>en</w:t>
      </w:r>
      <w:r>
        <w:t xml:space="preserve"> von Roland Posner </w:t>
      </w:r>
      <w:r w:rsidR="00AE2E9C">
        <w:t xml:space="preserve">und Claus Schlaberg </w:t>
      </w:r>
      <w:r>
        <w:t xml:space="preserve">vorgeschlagen worden, die </w:t>
      </w:r>
      <w:r w:rsidR="00AE2E9C">
        <w:t>als Grundlage einer sy</w:t>
      </w:r>
      <w:r w:rsidR="00AE2E9C">
        <w:t>s</w:t>
      </w:r>
      <w:r w:rsidR="00AE2E9C">
        <w:t xml:space="preserve">tematischen Bildwissenschaft dienen </w:t>
      </w:r>
      <w:r>
        <w:t>könnte</w:t>
      </w:r>
      <w:r w:rsidR="00AE2E9C">
        <w:t>n</w:t>
      </w:r>
      <w:r>
        <w:t>.</w:t>
      </w:r>
      <w:r>
        <w:rPr>
          <w:rStyle w:val="Funotenzeichen"/>
        </w:rPr>
        <w:footnoteReference w:id="565"/>
      </w:r>
    </w:p>
    <w:p w:rsidR="00354A21" w:rsidRDefault="00354A21" w:rsidP="00354A21">
      <w:r>
        <w:t>Die zwei genannten Probleme der Bildwissenschaft</w:t>
      </w:r>
      <w:r w:rsidR="005D7996">
        <w:fldChar w:fldCharType="begin"/>
      </w:r>
      <w:r w:rsidR="0025273E">
        <w:instrText xml:space="preserve"> XE "</w:instrText>
      </w:r>
      <w:r w:rsidR="0025273E" w:rsidRPr="00FB4597">
        <w:instrText>Bildwissenschaft</w:instrText>
      </w:r>
      <w:r w:rsidR="0025273E">
        <w:instrText xml:space="preserve">" </w:instrText>
      </w:r>
      <w:r w:rsidR="005D7996">
        <w:fldChar w:fldCharType="end"/>
      </w:r>
      <w:r>
        <w:t xml:space="preserve"> – der Streit um die Rolle von Zeichen in Bildern und das Fehlen einer allgemein akzeptierten Bilddefinit</w:t>
      </w:r>
      <w:r>
        <w:t>i</w:t>
      </w:r>
      <w:r>
        <w:t>on – wurden hier als Beispiel für die fehlende Grundlegung vieler der Wisse</w:t>
      </w:r>
      <w:r>
        <w:t>n</w:t>
      </w:r>
      <w:r>
        <w:t>schaften, in deren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Stil auftritt, angeführt. Ohne eine solche Grundlegung ist eine systematische Erfassung der Phänomene der </w:t>
      </w:r>
      <w:r w:rsidR="009D43D9">
        <w:t>Objekt</w:t>
      </w:r>
      <w:r>
        <w: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t xml:space="preserve"> aber unmöglich. Nach Auffassung des Verfassers hat hier die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ein</w:t>
      </w:r>
      <w:r>
        <w:t>i</w:t>
      </w:r>
      <w:r>
        <w:t>gen Schaden angerichtet. Bevor bereichsspezifische Stiltheorien aufgestellt we</w:t>
      </w:r>
      <w:r>
        <w:t>r</w:t>
      </w:r>
      <w:r>
        <w:t>den können, muss daher in vielen Fällen noch einige Grundlagenarbeit geleistet werden.</w:t>
      </w:r>
    </w:p>
    <w:p w:rsidR="00D2554C" w:rsidRDefault="006F71D1" w:rsidP="000B67C5">
      <w:pPr>
        <w:pStyle w:val="Titel2"/>
      </w:pPr>
      <w:bookmarkStart w:id="451" w:name="_Ref266001212"/>
      <w:bookmarkStart w:id="452" w:name="_Toc325456814"/>
      <w:bookmarkEnd w:id="439"/>
      <w:bookmarkEnd w:id="446"/>
      <w:r>
        <w:t>Zum Umgang mit Stilen</w:t>
      </w:r>
      <w:bookmarkEnd w:id="440"/>
      <w:bookmarkEnd w:id="451"/>
      <w:bookmarkEnd w:id="452"/>
    </w:p>
    <w:p w:rsidR="006F71D1" w:rsidRPr="006F71D1" w:rsidRDefault="00883826" w:rsidP="00280129">
      <w:pPr>
        <w:pStyle w:val="Titel3"/>
        <w:spacing w:before="240"/>
      </w:pPr>
      <w:bookmarkStart w:id="453" w:name="_Toc325456815"/>
      <w:bookmarkStart w:id="454" w:name="Unterschiedlichkeit"/>
      <w:r>
        <w:t xml:space="preserve">Grad der </w:t>
      </w:r>
      <w:r w:rsidR="00D135D6">
        <w:t xml:space="preserve">Unterschiedlichkeit </w:t>
      </w:r>
      <w:r w:rsidR="006F71D1">
        <w:t>von Stilen</w:t>
      </w:r>
      <w:bookmarkEnd w:id="453"/>
      <w:r>
        <w:t xml:space="preserve"> </w:t>
      </w:r>
    </w:p>
    <w:p w:rsidR="00D2554C" w:rsidRDefault="005D7996" w:rsidP="00DF2B4D">
      <w:pPr>
        <w:pStyle w:val="Text"/>
        <w:ind w:firstLine="0"/>
      </w:pPr>
      <w:r>
        <w:fldChar w:fldCharType="begin"/>
      </w:r>
      <w:r w:rsidR="00362FC7">
        <w:instrText xml:space="preserve"> XE "Unterschiedlichkeit von Stilen" \r "Unterschiedlichkeit" </w:instrText>
      </w:r>
      <w:r>
        <w:fldChar w:fldCharType="end"/>
      </w:r>
      <w:r w:rsidR="00D2554C">
        <w:t xml:space="preserve">Ein Stil wird unserer bisherigen Darstellung nach durch eine festliegende Menge von </w:t>
      </w:r>
      <w:r w:rsidR="00765E66">
        <w:t>Merkmalsregel</w:t>
      </w:r>
      <w:r w:rsidR="00D2554C">
        <w:t xml:space="preserve">n </w:t>
      </w:r>
      <w:r w:rsidR="00D2554C">
        <w:rPr>
          <w:i/>
          <w:iCs/>
        </w:rPr>
        <w:t>B</w:t>
      </w:r>
      <w:r w:rsidR="00D2554C">
        <w:t xml:space="preserve"> beschrieben. Im</w:t>
      </w:r>
      <w:r w:rsidR="00C644E3">
        <w:t xml:space="preserve"> Alltag spricht man jedoch von </w:t>
      </w:r>
      <w:r w:rsidR="00D2554C">
        <w:t xml:space="preserve">einem </w:t>
      </w:r>
      <w:r w:rsidR="00C644E3">
        <w:t>bestimmten Stil</w:t>
      </w:r>
      <w:r w:rsidR="00D2554C">
        <w:t xml:space="preserve"> </w:t>
      </w:r>
      <w:r w:rsidR="00C644E3">
        <w:t xml:space="preserve">mit einem bestimmten Namen </w:t>
      </w:r>
      <w:r w:rsidR="00D2554C">
        <w:t>oft auch innerhalb gewisser Var</w:t>
      </w:r>
      <w:r w:rsidR="00D2554C">
        <w:t>i</w:t>
      </w:r>
      <w:r w:rsidR="00D2554C">
        <w:t xml:space="preserve">ationen bezüglich der </w:t>
      </w:r>
      <w:r w:rsidR="00765E66">
        <w:t>Merkmalsregel</w:t>
      </w:r>
      <w:r w:rsidR="00D2554C">
        <w:t>n</w:t>
      </w:r>
      <w:r w:rsidR="001047C5">
        <w:t xml:space="preserve"> (bzw. </w:t>
      </w:r>
      <w:r w:rsidR="00AB0134">
        <w:t xml:space="preserve">stilistischen </w:t>
      </w:r>
      <w:r w:rsidR="001047C5">
        <w:t>Merkmale, wenn von einer konkreten Realisierung ausgegangen wird)</w:t>
      </w:r>
      <w:r w:rsidR="00D2554C">
        <w:t xml:space="preserve">. Dies macht aus praktischen Gründen Sinn: So lassen sich selbst bei Gebäuden, die sich stilistisch so nahe stehen wie nur möglich, </w:t>
      </w:r>
      <w:r w:rsidR="0023023F">
        <w:t xml:space="preserve">die etwa </w:t>
      </w:r>
      <w:r w:rsidR="00C710FD">
        <w:t xml:space="preserve">von demselben Architekten zur selben Zeit gebaut wurden, oft </w:t>
      </w:r>
      <w:r w:rsidR="00D2554C">
        <w:t xml:space="preserve">noch unterschiedliche </w:t>
      </w:r>
      <w:r w:rsidR="00765E66">
        <w:t>Merkmalsregel</w:t>
      </w:r>
      <w:r w:rsidR="00D2554C">
        <w:t xml:space="preserve">n feststellen, etwa weil bestimmte Elemente (etwa ein Wintergarten oder ein Obergeschoss) an einem Gebäude vorhanden sind und am anderen nicht und sich daher zusätzliche </w:t>
      </w:r>
      <w:r w:rsidR="00765E66">
        <w:t>Merkmalsregel</w:t>
      </w:r>
      <w:r w:rsidR="00D2554C">
        <w:t xml:space="preserve">n formulieren lassen, die sich speziell auf diesen Teil beziehen. </w:t>
      </w:r>
      <w:r w:rsidR="00C710FD">
        <w:t>S</w:t>
      </w:r>
      <w:r w:rsidR="00D2554C">
        <w:t>elbst wenn beide Gebäude bestimmte Elemente besitzen und diese etwas unte</w:t>
      </w:r>
      <w:r w:rsidR="00D2554C">
        <w:t>r</w:t>
      </w:r>
      <w:r w:rsidR="00D2554C">
        <w:t>schiedlich ausgeführt sind, wird häufig noch vom gleichen Stil gesprochen.</w:t>
      </w:r>
    </w:p>
    <w:p w:rsidR="00EF6697" w:rsidRDefault="00D2554C">
      <w:pPr>
        <w:pStyle w:val="Text"/>
      </w:pPr>
      <w:r>
        <w:t xml:space="preserve">Gleichheit von Stilen kann also unterschiedlich definiert werden. Im strengstmöglichen Sinn sind zwei Stile nur gleich, wenn </w:t>
      </w:r>
      <w:r w:rsidR="00296C85">
        <w:t>ihre Merkmalsregelme</w:t>
      </w:r>
      <w:r w:rsidR="00296C85">
        <w:t>n</w:t>
      </w:r>
      <w:r w:rsidR="00296C85">
        <w:t xml:space="preserve">gen </w:t>
      </w:r>
      <w:r w:rsidR="00EF6697">
        <w:rPr>
          <w:i/>
        </w:rPr>
        <w:t>B</w:t>
      </w:r>
      <w:r w:rsidR="00EF6697">
        <w:rPr>
          <w:i/>
          <w:vertAlign w:val="superscript"/>
        </w:rPr>
        <w:t>x</w:t>
      </w:r>
      <w:r>
        <w:t xml:space="preserve"> </w:t>
      </w:r>
      <w:r w:rsidR="00296C85">
        <w:t xml:space="preserve">und </w:t>
      </w:r>
      <w:r w:rsidR="00EF6697">
        <w:rPr>
          <w:i/>
        </w:rPr>
        <w:t>B</w:t>
      </w:r>
      <w:r w:rsidR="00EF6697">
        <w:rPr>
          <w:i/>
          <w:vertAlign w:val="superscript"/>
        </w:rPr>
        <w:t>y</w:t>
      </w:r>
      <w:r>
        <w:t xml:space="preserve"> </w:t>
      </w:r>
      <w:r w:rsidR="00296C85">
        <w:t>gleich sind</w:t>
      </w:r>
      <w:r>
        <w:t xml:space="preserve">. Näher am alltagssprachlichen Sprechen über Stile ist </w:t>
      </w:r>
      <w:r>
        <w:lastRenderedPageBreak/>
        <w:t xml:space="preserve">man allerdings, wenn man für </w:t>
      </w:r>
      <w:r w:rsidR="0023023F">
        <w:t xml:space="preserve">Gleichheit </w:t>
      </w:r>
      <w:r>
        <w:t xml:space="preserve">eine gewisse Abweichung zwischen </w:t>
      </w:r>
      <w:r w:rsidR="00EF6697">
        <w:rPr>
          <w:i/>
        </w:rPr>
        <w:t>B</w:t>
      </w:r>
      <w:r w:rsidR="00EF6697">
        <w:rPr>
          <w:i/>
          <w:vertAlign w:val="superscript"/>
        </w:rPr>
        <w:t>x</w:t>
      </w:r>
      <w:r>
        <w:t xml:space="preserve"> und </w:t>
      </w:r>
      <w:r w:rsidR="00EF6697">
        <w:rPr>
          <w:i/>
        </w:rPr>
        <w:t>B</w:t>
      </w:r>
      <w:r w:rsidR="00EF6697">
        <w:rPr>
          <w:i/>
          <w:vertAlign w:val="superscript"/>
        </w:rPr>
        <w:t>y</w:t>
      </w:r>
      <w:r w:rsidR="00EF6697">
        <w:t xml:space="preserve"> zulässt</w:t>
      </w:r>
      <w:r w:rsidR="00296C85">
        <w:t>.</w:t>
      </w:r>
    </w:p>
    <w:p w:rsidR="00D2554C" w:rsidRDefault="00940338">
      <w:pPr>
        <w:pStyle w:val="Text"/>
      </w:pPr>
      <w:r>
        <w:t>D</w:t>
      </w:r>
      <w:r w:rsidR="00D2554C">
        <w:t xml:space="preserve">ie Abschätzung </w:t>
      </w:r>
      <w:r w:rsidR="00D135D6">
        <w:t>des Grads der Unterschiedlichkeit von Stilen</w:t>
      </w:r>
      <w:r w:rsidR="00296C85">
        <w:t xml:space="preserve">, die wir im Alltag vornehmen, dürfte auf </w:t>
      </w:r>
      <w:r>
        <w:t>unterschiedliche</w:t>
      </w:r>
      <w:r w:rsidR="00296C85">
        <w:t>n</w:t>
      </w:r>
      <w:r>
        <w:t xml:space="preserve"> Aspekte</w:t>
      </w:r>
      <w:r w:rsidR="00296C85">
        <w:t>n beruhen</w:t>
      </w:r>
      <w:r>
        <w:t>:</w:t>
      </w:r>
    </w:p>
    <w:p w:rsidR="002B6219" w:rsidRDefault="00D2554C">
      <w:pPr>
        <w:pStyle w:val="Text"/>
      </w:pPr>
      <w:r>
        <w:t>(1)</w:t>
      </w:r>
      <w:r>
        <w:tab/>
      </w:r>
      <w:r w:rsidR="002B6219">
        <w:t xml:space="preserve">Grundlegend </w:t>
      </w:r>
      <w:r w:rsidR="00B02AC1">
        <w:t>einer Abschätzung ist</w:t>
      </w:r>
      <w:r>
        <w:t xml:space="preserve">, </w:t>
      </w:r>
      <w:r w:rsidR="0023023F">
        <w:t xml:space="preserve">welcher Anteil der </w:t>
      </w:r>
      <w:r w:rsidR="00765E66">
        <w:t>Merkmalsr</w:t>
      </w:r>
      <w:r w:rsidR="00765E66">
        <w:t>e</w:t>
      </w:r>
      <w:r w:rsidR="00765E66">
        <w:t>gel</w:t>
      </w:r>
      <w:r w:rsidR="0060251C">
        <w:t>n sich voneinander unterscheidet</w:t>
      </w:r>
      <w:r>
        <w:t>.</w:t>
      </w:r>
      <w:r w:rsidR="0060030C">
        <w:t xml:space="preserve"> Hat ein Stil mehr Merkmalsregeln als der andere, </w:t>
      </w:r>
      <w:r w:rsidR="0089629D">
        <w:t>fließen diese Merkmalsregeln nicht unbedingt in vollem Ma</w:t>
      </w:r>
      <w:r w:rsidR="002B6219">
        <w:t xml:space="preserve">ße in die </w:t>
      </w:r>
      <w:r w:rsidR="00D135D6">
        <w:t>Unterschiedlichkeits</w:t>
      </w:r>
      <w:r w:rsidR="002B6219">
        <w:t>schätzung ein:</w:t>
      </w:r>
      <w:r w:rsidR="0089629D">
        <w:t xml:space="preserve"> </w:t>
      </w:r>
      <w:r w:rsidR="002B6219">
        <w:t>Da bei jedem Stil nur eine bestimmte B</w:t>
      </w:r>
      <w:r w:rsidR="002B6219">
        <w:t>e</w:t>
      </w:r>
      <w:r w:rsidR="002B6219">
        <w:t xml:space="preserve">schreibungsgenauigkeit vorliegt, können die zusätzlichen Merkmalsregeln als genauere Beschreibung des Stils erscheinen. In </w:t>
      </w:r>
      <w:r w:rsidR="00086315">
        <w:t xml:space="preserve">diesem Fall </w:t>
      </w:r>
      <w:r w:rsidR="002B6219">
        <w:t xml:space="preserve">werden sie keinen oder nur einen geringen </w:t>
      </w:r>
      <w:r w:rsidR="00D135D6">
        <w:t>Unterschied</w:t>
      </w:r>
      <w:r w:rsidR="002B6219">
        <w:t xml:space="preserve"> bewirken.</w:t>
      </w:r>
    </w:p>
    <w:p w:rsidR="008E0788" w:rsidRDefault="00940338" w:rsidP="003C20C6">
      <w:pPr>
        <w:pStyle w:val="Text"/>
      </w:pPr>
      <w:r>
        <w:t>(2)</w:t>
      </w:r>
      <w:r>
        <w:tab/>
      </w:r>
      <w:r w:rsidR="00D135D6">
        <w:t xml:space="preserve">Allerdings </w:t>
      </w:r>
      <w:r w:rsidR="008E0788">
        <w:t xml:space="preserve">haben nicht alle Merkmalsregeln die gleiche Wichtigkeit </w:t>
      </w:r>
      <w:r w:rsidR="00C644E3">
        <w:t xml:space="preserve">für einen Stil. </w:t>
      </w:r>
      <w:r w:rsidR="00D135D6">
        <w:t xml:space="preserve">Zum einen unterscheiden </w:t>
      </w:r>
      <w:r w:rsidR="00E16184">
        <w:t xml:space="preserve">sie sich </w:t>
      </w:r>
      <w:r w:rsidR="00D135D6">
        <w:t xml:space="preserve">bezüglich ihrer Auffälligkeit; </w:t>
      </w:r>
      <w:r w:rsidR="00FB2818">
        <w:t>ve</w:t>
      </w:r>
      <w:r w:rsidR="00FB2818">
        <w:t>r</w:t>
      </w:r>
      <w:r w:rsidR="00FB2818">
        <w:t>mutlich bestimmt der Grad der Auffälligkeit eine</w:t>
      </w:r>
      <w:r w:rsidR="00E16184">
        <w:t>r</w:t>
      </w:r>
      <w:r w:rsidR="00FB2818">
        <w:t xml:space="preserve"> Merkmals</w:t>
      </w:r>
      <w:r w:rsidR="00E16184">
        <w:t xml:space="preserve">regel </w:t>
      </w:r>
      <w:r w:rsidR="00FB2818">
        <w:t>in der Regel auch den Grad der Unterschiedlichkeit, der sich aus dem Fehlen de</w:t>
      </w:r>
      <w:r w:rsidR="00E16184">
        <w:t>r</w:t>
      </w:r>
      <w:r w:rsidR="00FB2818">
        <w:t xml:space="preserve"> Merkmal</w:t>
      </w:r>
      <w:r w:rsidR="00FB2818">
        <w:t>s</w:t>
      </w:r>
      <w:r w:rsidR="00E16184">
        <w:t>regel</w:t>
      </w:r>
      <w:r w:rsidR="00FB2818">
        <w:t xml:space="preserve"> ergibt. </w:t>
      </w:r>
      <w:r w:rsidR="00D310F3">
        <w:t>Zum ande</w:t>
      </w:r>
      <w:r w:rsidR="00E16184">
        <w:t>ren können Merkmalsregel</w:t>
      </w:r>
      <w:r w:rsidR="00E17E81">
        <w:t>n</w:t>
      </w:r>
      <w:r w:rsidR="00D310F3">
        <w:t xml:space="preserve"> auch als ‚zentral‘ oder ‚wen</w:t>
      </w:r>
      <w:r w:rsidR="00D310F3">
        <w:t>i</w:t>
      </w:r>
      <w:r w:rsidR="00D310F3">
        <w:t>ger zentral‘ für einen Stil empfunden werden: Beispielsweise kann eine Mer</w:t>
      </w:r>
      <w:r w:rsidR="00D310F3">
        <w:t>k</w:t>
      </w:r>
      <w:r w:rsidR="00D310F3">
        <w:t>malsregel einen geringeren Unterschied machen, als ihrem Auffälligkeitsgrad entspr</w:t>
      </w:r>
      <w:r w:rsidR="003C20C6">
        <w:t>icht, wenn sie eine hinzugefügt wirkende</w:t>
      </w:r>
      <w:r w:rsidR="00D310F3">
        <w:t>, als oberflächlich betrachtete Eigenschaft spezifiziert.</w:t>
      </w:r>
      <w:r w:rsidR="00D310F3">
        <w:rPr>
          <w:rStyle w:val="Funotenzeichen"/>
        </w:rPr>
        <w:footnoteReference w:id="566"/>
      </w:r>
      <w:r w:rsidR="00D310F3">
        <w:t xml:space="preserve"> Andere Merkmal</w:t>
      </w:r>
      <w:r w:rsidR="00E16184">
        <w:t>sregeln</w:t>
      </w:r>
      <w:r w:rsidR="00D310F3">
        <w:t xml:space="preserve"> können als sehr wichtig em</w:t>
      </w:r>
      <w:r w:rsidR="00D310F3">
        <w:t>p</w:t>
      </w:r>
      <w:r w:rsidR="00D310F3">
        <w:t>funden wer</w:t>
      </w:r>
      <w:r w:rsidR="003C20C6">
        <w:t>den, obwohl sie wenig auffallen.</w:t>
      </w:r>
      <w:r w:rsidR="003C20C6">
        <w:rPr>
          <w:rStyle w:val="Funotenzeichen"/>
        </w:rPr>
        <w:footnoteReference w:id="567"/>
      </w:r>
    </w:p>
    <w:p w:rsidR="000D3DB1" w:rsidRDefault="00D56CF3" w:rsidP="003C20C6">
      <w:pPr>
        <w:pStyle w:val="Text"/>
      </w:pPr>
      <w:r>
        <w:t>(3)</w:t>
      </w:r>
      <w:r>
        <w:tab/>
        <w:t>Der Grad der Unterschiedlichkeit der Merkmalsregeln</w:t>
      </w:r>
      <w:r w:rsidR="00E35690">
        <w:t xml:space="preserve"> spielt ebenfalls eine Rolle. </w:t>
      </w:r>
      <w:r w:rsidR="00112E2B">
        <w:t xml:space="preserve">Sind die verlangten Eigenschaften </w:t>
      </w:r>
      <w:r w:rsidR="00B02AC1">
        <w:t>(ganz oder teilweise) gleich</w:t>
      </w:r>
      <w:r w:rsidR="00112E2B">
        <w:t xml:space="preserve">, kommt es </w:t>
      </w:r>
      <w:r w:rsidR="003C20C6">
        <w:t>oft zur Wahrnehmung einer Ähnlichkeit zwischen den Merkmalsr</w:t>
      </w:r>
      <w:r w:rsidR="003C20C6">
        <w:t>e</w:t>
      </w:r>
      <w:r w:rsidR="003C20C6">
        <w:t xml:space="preserve">geln. </w:t>
      </w:r>
      <w:r w:rsidR="00112E2B">
        <w:t xml:space="preserve">Wie ähnlich die Merkmalsregeln wirken, hängt allerdings davon ab, wie ähnlich die </w:t>
      </w:r>
      <w:r w:rsidR="002B6D91">
        <w:t>Anwendungsbedingungen</w:t>
      </w:r>
      <w:r w:rsidR="00112E2B">
        <w:t xml:space="preserve"> sind. Hier sind mehrere Fälle zu unte</w:t>
      </w:r>
      <w:r w:rsidR="00112E2B">
        <w:t>r</w:t>
      </w:r>
      <w:r w:rsidR="00112E2B">
        <w:t>scheiden:</w:t>
      </w:r>
    </w:p>
    <w:p w:rsidR="00994143" w:rsidRDefault="000D3DB1" w:rsidP="003C20C6">
      <w:pPr>
        <w:pStyle w:val="Text"/>
      </w:pPr>
      <w:r>
        <w:t>(a)</w:t>
      </w:r>
      <w:r>
        <w:tab/>
        <w:t xml:space="preserve">Wenn </w:t>
      </w:r>
      <w:r w:rsidR="003C20C6">
        <w:t xml:space="preserve">die </w:t>
      </w:r>
      <w:r w:rsidR="002B6D91">
        <w:t>Anwendungsbedingungen</w:t>
      </w:r>
      <w:r w:rsidR="003C20C6">
        <w:t xml:space="preserve"> gleich </w:t>
      </w:r>
      <w:r>
        <w:t>sind, führen Übereinsti</w:t>
      </w:r>
      <w:r>
        <w:t>m</w:t>
      </w:r>
      <w:r>
        <w:t>mungen bei den verlangten Eigenschaften direkt zu einer Ähnlichkeit der Merkmalsregeln.</w:t>
      </w:r>
    </w:p>
    <w:p w:rsidR="0016072B" w:rsidRDefault="00994143" w:rsidP="003C20C6">
      <w:pPr>
        <w:pStyle w:val="Text"/>
      </w:pPr>
      <w:r>
        <w:lastRenderedPageBreak/>
        <w:t>(b)</w:t>
      </w:r>
      <w:r>
        <w:tab/>
        <w:t xml:space="preserve">Wenn die </w:t>
      </w:r>
      <w:r w:rsidR="002B6D91">
        <w:t>Anwendungsbedingungen</w:t>
      </w:r>
      <w:r w:rsidR="000D3DB1">
        <w:t xml:space="preserve"> </w:t>
      </w:r>
      <w:r>
        <w:t>denselben Schemaort, aber unte</w:t>
      </w:r>
      <w:r>
        <w:t>r</w:t>
      </w:r>
      <w:r>
        <w:t>schiedliche Zusatzeigenschaften</w:t>
      </w:r>
      <w:r w:rsidR="005D7996">
        <w:fldChar w:fldCharType="begin"/>
      </w:r>
      <w:r w:rsidR="00D6214C">
        <w:instrText xml:space="preserve"> XE "</w:instrText>
      </w:r>
      <w:r w:rsidR="00D6214C" w:rsidRPr="0034482F">
        <w:instrText>Eigenschaften:Zusatzeigenschaften</w:instrText>
      </w:r>
      <w:r w:rsidR="00D6214C">
        <w:instrText xml:space="preserve">" </w:instrText>
      </w:r>
      <w:r w:rsidR="005D7996">
        <w:fldChar w:fldCharType="end"/>
      </w:r>
      <w:r>
        <w:t xml:space="preserve"> spezifizieren, </w:t>
      </w:r>
      <w:r w:rsidR="000D3DB1">
        <w:t xml:space="preserve">wird </w:t>
      </w:r>
      <w:r>
        <w:t xml:space="preserve">der </w:t>
      </w:r>
      <w:r w:rsidR="000D3DB1">
        <w:t>Effekt etwas abg</w:t>
      </w:r>
      <w:r w:rsidR="000D3DB1">
        <w:t>e</w:t>
      </w:r>
      <w:r w:rsidR="000D3DB1">
        <w:t>sch</w:t>
      </w:r>
      <w:r w:rsidR="003F0102">
        <w:t>w</w:t>
      </w:r>
      <w:r w:rsidR="000D3DB1">
        <w:t>ächt.</w:t>
      </w:r>
      <w:r>
        <w:rPr>
          <w:rStyle w:val="Funotenzeichen"/>
        </w:rPr>
        <w:footnoteReference w:id="568"/>
      </w:r>
    </w:p>
    <w:p w:rsidR="00334BD8" w:rsidRDefault="0016072B" w:rsidP="003C20C6">
      <w:pPr>
        <w:pStyle w:val="Text"/>
      </w:pPr>
      <w:r>
        <w:t>(c)</w:t>
      </w:r>
      <w:r>
        <w:tab/>
        <w:t xml:space="preserve">Eine noch stärkere Abschwächung ergibt sich, wenn die </w:t>
      </w:r>
      <w:r w:rsidR="002B6D91">
        <w:t>Anwendung</w:t>
      </w:r>
      <w:r w:rsidR="002B6D91">
        <w:t>s</w:t>
      </w:r>
      <w:r w:rsidR="002B6D91">
        <w:t>bedingungen</w:t>
      </w:r>
      <w:r>
        <w:t xml:space="preserve"> verschiedene Schemaorte spezifizieren, die aber miteinander z</w:t>
      </w:r>
      <w:r>
        <w:t>u</w:t>
      </w:r>
      <w:r>
        <w:t>sammenhängen (beispielsweise weil es sich um Schemaorte desselben Typs oder bei einem um eine Unterkategorie des anderen handelt)</w:t>
      </w:r>
      <w:r w:rsidR="00C76F13">
        <w:t>.</w:t>
      </w:r>
      <w:r>
        <w:t xml:space="preserve"> </w:t>
      </w:r>
      <w:r w:rsidR="000D3DB1">
        <w:t>Der Grad der Abschw</w:t>
      </w:r>
      <w:r w:rsidR="000D3DB1">
        <w:t>ä</w:t>
      </w:r>
      <w:r w:rsidR="000D3DB1">
        <w:t xml:space="preserve">chung </w:t>
      </w:r>
      <w:r>
        <w:t>der Übereinstimmung der verlangten Eigenschaften hängt hier einerseits von den Relationen zwischen den beteiligten Schemaorten innerhalb des Sch</w:t>
      </w:r>
      <w:r>
        <w:t>e</w:t>
      </w:r>
      <w:r>
        <w:t xml:space="preserve">mas ab, andererseits davon, ob die </w:t>
      </w:r>
      <w:r w:rsidR="00334BD8">
        <w:t xml:space="preserve">Relationen zwischen den </w:t>
      </w:r>
      <w:r w:rsidR="000D3DB1">
        <w:t>verlangten Eige</w:t>
      </w:r>
      <w:r w:rsidR="000D3DB1">
        <w:t>n</w:t>
      </w:r>
      <w:r w:rsidR="000D3DB1">
        <w:t xml:space="preserve">schaften </w:t>
      </w:r>
      <w:r w:rsidR="00334BD8">
        <w:t xml:space="preserve">und den jeweils spezifizierten Schemaorten </w:t>
      </w:r>
      <w:r>
        <w:t xml:space="preserve">unterschiedlich sind </w:t>
      </w:r>
      <w:r w:rsidR="00334BD8">
        <w:t>(be</w:t>
      </w:r>
      <w:r w:rsidR="00334BD8">
        <w:t>i</w:t>
      </w:r>
      <w:r w:rsidR="00334BD8">
        <w:t xml:space="preserve">spielsweise </w:t>
      </w:r>
      <w:r>
        <w:t xml:space="preserve">können dieselben verlangten Eigenschaften für einen Schemaort </w:t>
      </w:r>
      <w:r w:rsidR="00C76F13">
        <w:t xml:space="preserve">als </w:t>
      </w:r>
      <w:r w:rsidR="00BB234A">
        <w:t xml:space="preserve">sinnvoll </w:t>
      </w:r>
      <w:r w:rsidR="00C76F13">
        <w:t xml:space="preserve">gelten und für den anderen nicht oder </w:t>
      </w:r>
      <w:r w:rsidR="009A22E1">
        <w:t xml:space="preserve">bei einem der Schemaorte </w:t>
      </w:r>
      <w:r w:rsidR="00402353">
        <w:t>üblich und beim anderen ungewöhnlich sein</w:t>
      </w:r>
      <w:r w:rsidR="00112A6A">
        <w:t xml:space="preserve">, wodurch sich </w:t>
      </w:r>
      <w:r w:rsidR="00C76F13">
        <w:t xml:space="preserve">jeweils </w:t>
      </w:r>
      <w:r w:rsidR="00112A6A">
        <w:t>der Abstand zw</w:t>
      </w:r>
      <w:r w:rsidR="00112A6A">
        <w:t>i</w:t>
      </w:r>
      <w:r w:rsidR="00112A6A">
        <w:t>schen den Merkmalsregeln vergrößert).</w:t>
      </w:r>
      <w:r w:rsidR="00334BD8">
        <w:rPr>
          <w:rStyle w:val="Funotenzeichen"/>
        </w:rPr>
        <w:footnoteReference w:id="569"/>
      </w:r>
    </w:p>
    <w:p w:rsidR="003C20C6" w:rsidRDefault="0016072B">
      <w:pPr>
        <w:pStyle w:val="Text"/>
      </w:pPr>
      <w:r>
        <w:t>(c</w:t>
      </w:r>
      <w:r w:rsidR="00334BD8">
        <w:t>)</w:t>
      </w:r>
      <w:r w:rsidR="00334BD8">
        <w:tab/>
        <w:t xml:space="preserve">Wenn die </w:t>
      </w:r>
      <w:r w:rsidR="002B6D91">
        <w:t>Anwendungsbedingungen</w:t>
      </w:r>
      <w:r w:rsidR="00334BD8">
        <w:t xml:space="preserve"> </w:t>
      </w:r>
      <w:r>
        <w:t xml:space="preserve">ganz </w:t>
      </w:r>
      <w:r w:rsidR="00334BD8">
        <w:t xml:space="preserve">verschieden sind, </w:t>
      </w:r>
      <w:r w:rsidR="00BE1CF1">
        <w:t>können Übereinstimmungen bei den verlangten Eigenschaften ebenfalls zu einer Äh</w:t>
      </w:r>
      <w:r w:rsidR="00BE1CF1">
        <w:t>n</w:t>
      </w:r>
      <w:r w:rsidR="00BE1CF1">
        <w:t xml:space="preserve">lichkeit der Merkmalsregeln führen. </w:t>
      </w:r>
      <w:r>
        <w:t>Auch in diesem Fall</w:t>
      </w:r>
      <w:r w:rsidR="00BE1CF1">
        <w:t xml:space="preserve"> hängt die sich ergebe</w:t>
      </w:r>
      <w:r w:rsidR="00BE1CF1">
        <w:t>n</w:t>
      </w:r>
      <w:r w:rsidR="00BE1CF1">
        <w:t xml:space="preserve">de Ähnlichkeit mit den Relationen zusammen, die zwischen den </w:t>
      </w:r>
      <w:r w:rsidR="002B6D91">
        <w:t>Anwendung</w:t>
      </w:r>
      <w:r w:rsidR="002B6D91">
        <w:t>s</w:t>
      </w:r>
      <w:r w:rsidR="002B6D91">
        <w:t>bedingungen</w:t>
      </w:r>
      <w:r>
        <w:t xml:space="preserve">, </w:t>
      </w:r>
      <w:r w:rsidR="00BE1CF1">
        <w:t>insbesondere zwischen den darin spezifizierten Schemaorten, b</w:t>
      </w:r>
      <w:r w:rsidR="00BE1CF1">
        <w:t>e</w:t>
      </w:r>
      <w:r w:rsidR="00BE1CF1">
        <w:t>stehen.</w:t>
      </w:r>
      <w:r w:rsidR="00C80F5B">
        <w:rPr>
          <w:rStyle w:val="Funotenzeichen"/>
        </w:rPr>
        <w:footnoteReference w:id="570"/>
      </w:r>
    </w:p>
    <w:p w:rsidR="00FF325B" w:rsidRDefault="008B433F" w:rsidP="00FF325B">
      <w:pPr>
        <w:pStyle w:val="Text"/>
      </w:pPr>
      <w:r>
        <w:lastRenderedPageBreak/>
        <w:t>(e)</w:t>
      </w:r>
      <w:r>
        <w:tab/>
      </w:r>
      <w:r w:rsidR="00CD6DF9">
        <w:t xml:space="preserve">Sogar bei </w:t>
      </w:r>
      <w:r>
        <w:t>Stile</w:t>
      </w:r>
      <w:r w:rsidR="00CD6DF9">
        <w:t xml:space="preserve">n, die </w:t>
      </w:r>
      <w:r>
        <w:t xml:space="preserve">verschiedenen Schemata </w:t>
      </w:r>
      <w:r w:rsidR="00CD6DF9">
        <w:t>angehören, können Äh</w:t>
      </w:r>
      <w:r w:rsidR="00CD6DF9">
        <w:t>n</w:t>
      </w:r>
      <w:r w:rsidR="00CD6DF9">
        <w:t>lichkeiten festgestellt werden.</w:t>
      </w:r>
      <w:r w:rsidR="00E22F20">
        <w:rPr>
          <w:rStyle w:val="Funotenzeichen"/>
        </w:rPr>
        <w:footnoteReference w:id="571"/>
      </w:r>
      <w:r w:rsidR="00CD6DF9">
        <w:t xml:space="preserve"> Die verlangten Eigenschaften können auch hier identisch sein</w:t>
      </w:r>
      <w:r w:rsidR="00C20753">
        <w:t xml:space="preserve">; die </w:t>
      </w:r>
      <w:r w:rsidR="002B6D91">
        <w:t>Anwendungsbedingungen</w:t>
      </w:r>
      <w:r w:rsidR="00CD6DF9">
        <w:t xml:space="preserve"> sind </w:t>
      </w:r>
      <w:r w:rsidR="00C20753">
        <w:t xml:space="preserve">dagegen </w:t>
      </w:r>
      <w:r w:rsidR="00CD6DF9">
        <w:t>zwang</w:t>
      </w:r>
      <w:r w:rsidR="0048040C">
        <w:t>släufig ve</w:t>
      </w:r>
      <w:r w:rsidR="0048040C">
        <w:t>r</w:t>
      </w:r>
      <w:r w:rsidR="0048040C">
        <w:t>schieden, da Schemaorte verschiedener Schemata</w:t>
      </w:r>
      <w:r w:rsidR="00CD6DF9">
        <w:t xml:space="preserve"> </w:t>
      </w:r>
      <w:r w:rsidR="00B02AC1">
        <w:t>immer</w:t>
      </w:r>
      <w:r w:rsidR="00CD6DF9">
        <w:t xml:space="preserve"> unterschiedlich intensional definiert sind.</w:t>
      </w:r>
      <w:r w:rsidR="00B02AC1">
        <w:t xml:space="preserve"> Dennoch können Übereinstimmungen bei den ve</w:t>
      </w:r>
      <w:r w:rsidR="00B02AC1">
        <w:t>r</w:t>
      </w:r>
      <w:r w:rsidR="00B02AC1">
        <w:t xml:space="preserve">langten Eigenschaften auch </w:t>
      </w:r>
      <w:r w:rsidR="00C20753">
        <w:t>hier den Eindruck von Ähnlichkeiten erzeugen</w:t>
      </w:r>
      <w:r w:rsidR="00B02AC1">
        <w:t>. T</w:t>
      </w:r>
      <w:r w:rsidR="00C20753">
        <w:t>a</w:t>
      </w:r>
      <w:r w:rsidR="00C20753">
        <w:t>t</w:t>
      </w:r>
      <w:r w:rsidR="00C20753">
        <w:t xml:space="preserve">sächlich </w:t>
      </w:r>
      <w:r w:rsidR="0048040C">
        <w:t xml:space="preserve">gibt es zahlreiche Beschreibungen schemaübergreifender Stile, </w:t>
      </w:r>
      <w:r w:rsidR="00C20753">
        <w:t xml:space="preserve">etwa </w:t>
      </w:r>
      <w:r w:rsidR="0048040C">
        <w:t xml:space="preserve">bei künstlerischen </w:t>
      </w:r>
      <w:r w:rsidR="00C20753">
        <w:t>Epochenstilen</w:t>
      </w:r>
      <w:r w:rsidR="0048040C">
        <w:t xml:space="preserve"> wie „Spätgotik“ oder „Rococco“, bei wiederholt auftretenden Entwicklungsphasen wie „Klassizismus“, „Manierismus“ oder „Realismus“ und bei speziellen </w:t>
      </w:r>
      <w:r w:rsidR="00B02AC1">
        <w:t xml:space="preserve">handwerklichen oder künstlerischen </w:t>
      </w:r>
      <w:r w:rsidR="0048040C">
        <w:t xml:space="preserve">Schulen wie „Louis-seize“ oder </w:t>
      </w:r>
      <w:r w:rsidR="00B02AC1">
        <w:t>„</w:t>
      </w:r>
      <w:r w:rsidR="0048040C">
        <w:t>Expressionismus“.</w:t>
      </w:r>
      <w:r w:rsidR="00FF325B">
        <w:t xml:space="preserve"> Solche Kategorisierungen von Stilen b</w:t>
      </w:r>
      <w:r w:rsidR="00FF325B">
        <w:t>e</w:t>
      </w:r>
      <w:r w:rsidR="00FF325B">
        <w:t xml:space="preserve">ruhen auf </w:t>
      </w:r>
      <w:r w:rsidR="008E22F2">
        <w:t xml:space="preserve">Übereinstimmungen von Merkmalsregeln, bei denen </w:t>
      </w:r>
      <w:r w:rsidR="00FF325B">
        <w:t xml:space="preserve">Gleichheit oder Ähnlichkeit der verlangten Eigenschaften </w:t>
      </w:r>
      <w:r w:rsidR="008E22F2">
        <w:t xml:space="preserve">vorliegt, während die </w:t>
      </w:r>
      <w:r w:rsidR="002B6D91">
        <w:t>Anwendungsb</w:t>
      </w:r>
      <w:r w:rsidR="002B6D91">
        <w:t>e</w:t>
      </w:r>
      <w:r w:rsidR="002B6D91">
        <w:t>dingungen</w:t>
      </w:r>
      <w:r w:rsidR="008E22F2">
        <w:t xml:space="preserve"> </w:t>
      </w:r>
      <w:r w:rsidR="00B02AC1">
        <w:t xml:space="preserve">entweder ganz </w:t>
      </w:r>
      <w:r w:rsidR="008E22F2">
        <w:t xml:space="preserve">verschieden </w:t>
      </w:r>
      <w:r w:rsidR="00B02AC1">
        <w:t>sind</w:t>
      </w:r>
      <w:r w:rsidR="008E22F2">
        <w:rPr>
          <w:rStyle w:val="Funotenzeichen"/>
        </w:rPr>
        <w:footnoteReference w:id="572"/>
      </w:r>
      <w:r w:rsidR="008E22F2">
        <w:t xml:space="preserve"> </w:t>
      </w:r>
      <w:r w:rsidR="00B02AC1">
        <w:t xml:space="preserve">oder </w:t>
      </w:r>
      <w:r w:rsidR="008E22F2">
        <w:t>vergleichbare Schemaorte der jeweiligen Schemata spezifizieren.</w:t>
      </w:r>
      <w:r w:rsidR="008E22F2">
        <w:rPr>
          <w:rStyle w:val="Funotenzeichen"/>
        </w:rPr>
        <w:footnoteReference w:id="573"/>
      </w:r>
    </w:p>
    <w:p w:rsidR="002D12A5" w:rsidRDefault="00B02AC1" w:rsidP="00AF61D2">
      <w:pPr>
        <w:pStyle w:val="Text"/>
      </w:pPr>
      <w:r>
        <w:t>(4)</w:t>
      </w:r>
      <w:r>
        <w:tab/>
        <w:t xml:space="preserve">Sind die verlangten Eigenschaften </w:t>
      </w:r>
      <w:r w:rsidR="00FD34F4">
        <w:t>zweier Merkmalsregeln der betrac</w:t>
      </w:r>
      <w:r w:rsidR="00FD34F4">
        <w:t>h</w:t>
      </w:r>
      <w:r w:rsidR="00FD34F4">
        <w:t xml:space="preserve">teten Stile </w:t>
      </w:r>
      <w:r>
        <w:t xml:space="preserve">nicht (ganz oder teilweise) gleich, können </w:t>
      </w:r>
      <w:r w:rsidR="00CD6E6A">
        <w:t>dennoch</w:t>
      </w:r>
      <w:r>
        <w:t xml:space="preserve"> Beziehungen zw</w:t>
      </w:r>
      <w:r>
        <w:t>i</w:t>
      </w:r>
      <w:r>
        <w:t xml:space="preserve">schen den verlangten Eigenschaften </w:t>
      </w:r>
      <w:r w:rsidR="00FD34F4">
        <w:t>vorliegen, die den Eindruck der Nähe erze</w:t>
      </w:r>
      <w:r w:rsidR="00FD34F4">
        <w:t>u</w:t>
      </w:r>
      <w:r w:rsidR="00FD34F4">
        <w:t xml:space="preserve">gen. </w:t>
      </w:r>
      <w:r w:rsidR="00CD6E6A">
        <w:t xml:space="preserve">Beispielsweise können die Eigenschaften </w:t>
      </w:r>
      <w:r w:rsidR="002D12A5">
        <w:t xml:space="preserve">selbst </w:t>
      </w:r>
      <w:r w:rsidR="00CD6E6A">
        <w:t>aufeinander bezogen we</w:t>
      </w:r>
      <w:r w:rsidR="00CD6E6A">
        <w:t>r</w:t>
      </w:r>
      <w:r w:rsidR="00CD6E6A">
        <w:t>den</w:t>
      </w:r>
      <w:r w:rsidR="00CD6E6A">
        <w:rPr>
          <w:rStyle w:val="Funotenzeichen"/>
        </w:rPr>
        <w:footnoteReference w:id="574"/>
      </w:r>
      <w:r w:rsidR="00CD6E6A">
        <w:t xml:space="preserve"> </w:t>
      </w:r>
      <w:r w:rsidR="002D12A5">
        <w:t xml:space="preserve">oder es können ihnen aufgrund von Weltbereichen, auf die sie Bezug </w:t>
      </w:r>
      <w:r w:rsidR="002D12A5">
        <w:lastRenderedPageBreak/>
        <w:t>nehmen, Entfernungen zugeordnet werden</w:t>
      </w:r>
      <w:r w:rsidR="004E583B">
        <w:t>;</w:t>
      </w:r>
      <w:r w:rsidR="002D12A5">
        <w:rPr>
          <w:rStyle w:val="Funotenzeichen"/>
        </w:rPr>
        <w:footnoteReference w:id="575"/>
      </w:r>
      <w:r w:rsidR="004E583B">
        <w:t xml:space="preserve"> sind mehrere Weltbereiche bete</w:t>
      </w:r>
      <w:r w:rsidR="004E583B">
        <w:t>i</w:t>
      </w:r>
      <w:r w:rsidR="004E583B">
        <w:t>ligt, kann der Abstand aufgrund einer Ontologie</w:t>
      </w:r>
      <w:r w:rsidR="005D7996">
        <w:fldChar w:fldCharType="begin"/>
      </w:r>
      <w:r w:rsidR="00295552">
        <w:instrText xml:space="preserve"> XE "</w:instrText>
      </w:r>
      <w:r w:rsidR="00295552" w:rsidRPr="007E1A6B">
        <w:instrText>Ontologie</w:instrText>
      </w:r>
      <w:r w:rsidR="00295552">
        <w:instrText xml:space="preserve">" </w:instrText>
      </w:r>
      <w:r w:rsidR="005D7996">
        <w:fldChar w:fldCharType="end"/>
      </w:r>
      <w:r w:rsidR="004E583B">
        <w:t xml:space="preserve"> abgeschätzt werden.</w:t>
      </w:r>
      <w:bookmarkStart w:id="455" w:name="_Ref265447306"/>
      <w:r w:rsidR="004E583B">
        <w:rPr>
          <w:rStyle w:val="Funotenzeichen"/>
        </w:rPr>
        <w:footnoteReference w:id="576"/>
      </w:r>
      <w:bookmarkEnd w:id="455"/>
    </w:p>
    <w:p w:rsidR="002D12A5" w:rsidRDefault="002D12A5" w:rsidP="00AF61D2">
      <w:pPr>
        <w:pStyle w:val="Text"/>
      </w:pPr>
      <w:r>
        <w:t>(</w:t>
      </w:r>
      <w:r w:rsidR="007A7DBE">
        <w:t>5</w:t>
      </w:r>
      <w:r>
        <w:t>)</w:t>
      </w:r>
      <w:r>
        <w:tab/>
        <w:t xml:space="preserve">Oft nehmen Merkmalsregeln mit Hilfe sowohl der </w:t>
      </w:r>
      <w:r w:rsidR="002B6D91">
        <w:t>Anwendungsb</w:t>
      </w:r>
      <w:r w:rsidR="002B6D91">
        <w:t>e</w:t>
      </w:r>
      <w:r w:rsidR="002B6D91">
        <w:t>dingungen</w:t>
      </w:r>
      <w:r>
        <w:t xml:space="preserve"> als auch der verlangten Eigenschaften auf einen Weltbereich Bezug;</w:t>
      </w:r>
      <w:r w:rsidR="004E583B">
        <w:rPr>
          <w:rStyle w:val="Funotenzeichen"/>
        </w:rPr>
        <w:footnoteReference w:id="577"/>
      </w:r>
      <w:r>
        <w:t xml:space="preserve"> auch in diesem Fall kann der Abstand verschiedener Merkmalsregeln voneina</w:t>
      </w:r>
      <w:r>
        <w:t>n</w:t>
      </w:r>
      <w:r>
        <w:t xml:space="preserve">der </w:t>
      </w:r>
      <w:r w:rsidR="00D47AD4">
        <w:t>mit Hilfe einer Ontologie</w:t>
      </w:r>
      <w:r w:rsidR="005D7996">
        <w:fldChar w:fldCharType="begin"/>
      </w:r>
      <w:r w:rsidR="00295552">
        <w:instrText xml:space="preserve"> XE "</w:instrText>
      </w:r>
      <w:r w:rsidR="00295552" w:rsidRPr="007E1A6B">
        <w:instrText>Ontologie</w:instrText>
      </w:r>
      <w:r w:rsidR="00295552">
        <w:instrText xml:space="preserve">" </w:instrText>
      </w:r>
      <w:r w:rsidR="005D7996">
        <w:fldChar w:fldCharType="end"/>
      </w:r>
      <w:r w:rsidR="00D47AD4">
        <w:t xml:space="preserve"> aufgrund des Abstands der Weltbereiche vone</w:t>
      </w:r>
      <w:r w:rsidR="00D47AD4">
        <w:t>i</w:t>
      </w:r>
      <w:r w:rsidR="00D47AD4">
        <w:t>nander abgeschätzt werden.</w:t>
      </w:r>
    </w:p>
    <w:p w:rsidR="00C739F7" w:rsidRDefault="00C739F7" w:rsidP="00C739F7">
      <w:pPr>
        <w:pStyle w:val="Text"/>
      </w:pPr>
      <w:r>
        <w:t>(6)</w:t>
      </w:r>
      <w:r>
        <w:tab/>
        <w:t xml:space="preserve">In all den genannten Fällen tragen Ähnlichkeiten der </w:t>
      </w:r>
      <w:r w:rsidR="002B6D91">
        <w:t>Anwendungsb</w:t>
      </w:r>
      <w:r w:rsidR="002B6D91">
        <w:t>e</w:t>
      </w:r>
      <w:r w:rsidR="002B6D91">
        <w:t>dingungen</w:t>
      </w:r>
      <w:r>
        <w:t xml:space="preserve"> zusätzlich zur wahrgenommenen Ähnlichkeit der Merkmalsregeln b</w:t>
      </w:r>
      <w:r w:rsidR="00B82BCC">
        <w:t>ei, wenn ausreichend große Ähnlichkeiten der verlangten Eigenschaften geg</w:t>
      </w:r>
      <w:r w:rsidR="00B82BCC">
        <w:t>e</w:t>
      </w:r>
      <w:r w:rsidR="00B82BCC">
        <w:t>ben sind.</w:t>
      </w:r>
      <w:r w:rsidR="007A773F">
        <w:rPr>
          <w:rStyle w:val="Funotenzeichen"/>
        </w:rPr>
        <w:footnoteReference w:id="578"/>
      </w:r>
      <w:r w:rsidR="00B82BCC">
        <w:t xml:space="preserve"> </w:t>
      </w:r>
      <w:r w:rsidR="007A773F">
        <w:t>(</w:t>
      </w:r>
      <w:r w:rsidR="00B82BCC">
        <w:t xml:space="preserve">Ähnlichkeiten der </w:t>
      </w:r>
      <w:r w:rsidR="002B6D91">
        <w:t>Anwendungsbedingungen</w:t>
      </w:r>
      <w:r w:rsidR="00B82BCC">
        <w:t xml:space="preserve"> allein </w:t>
      </w:r>
      <w:r w:rsidR="007A773F">
        <w:t>d</w:t>
      </w:r>
      <w:r w:rsidR="00B82BCC">
        <w:t xml:space="preserve">agegen </w:t>
      </w:r>
      <w:r w:rsidR="007A773F">
        <w:t xml:space="preserve">können zwar eine gewisse </w:t>
      </w:r>
      <w:r w:rsidR="00B82BCC">
        <w:t>Nähe der Merkmalsre</w:t>
      </w:r>
      <w:r w:rsidR="007A773F">
        <w:t>geln erzeugen, aber diese überträgt sich nicht auf die Stile und kommt daher hier nicht in Betracht.)</w:t>
      </w:r>
      <w:r w:rsidR="007A773F">
        <w:rPr>
          <w:rStyle w:val="Funotenzeichen"/>
        </w:rPr>
        <w:footnoteReference w:id="579"/>
      </w:r>
    </w:p>
    <w:p w:rsidR="00C20753" w:rsidRDefault="002D12A5" w:rsidP="00AF61D2">
      <w:pPr>
        <w:pStyle w:val="Text"/>
      </w:pPr>
      <w:r>
        <w:t xml:space="preserve">Auf diese Weise entstehende Ähnlichkeiten </w:t>
      </w:r>
      <w:r w:rsidR="00CB6E59">
        <w:t>zwischen einzelnen Merkmal</w:t>
      </w:r>
      <w:r w:rsidR="00CB6E59">
        <w:t>s</w:t>
      </w:r>
      <w:r w:rsidR="00CB6E59">
        <w:t xml:space="preserve">regeln </w:t>
      </w:r>
      <w:r>
        <w:t xml:space="preserve">werden dann entsprechend </w:t>
      </w:r>
      <w:r w:rsidR="00FD34F4">
        <w:t xml:space="preserve">der Wichtigkeit der </w:t>
      </w:r>
      <w:r>
        <w:t xml:space="preserve">jeweiligen </w:t>
      </w:r>
      <w:r w:rsidR="00FD34F4">
        <w:t>Merkmalsregeln in den jeweiligen Stilen – (vgl. Punkt (2) –</w:t>
      </w:r>
      <w:r>
        <w:t xml:space="preserve"> </w:t>
      </w:r>
      <w:r w:rsidR="00FD34F4">
        <w:t>als Ähnlichkeiten der Stile wahrg</w:t>
      </w:r>
      <w:r w:rsidR="00FD34F4">
        <w:t>e</w:t>
      </w:r>
      <w:r w:rsidR="00FD34F4">
        <w:t>nommen.</w:t>
      </w:r>
    </w:p>
    <w:p w:rsidR="0062427D" w:rsidRDefault="00CB6E59" w:rsidP="00C739F7">
      <w:pPr>
        <w:pStyle w:val="Text"/>
      </w:pPr>
      <w:r>
        <w:lastRenderedPageBreak/>
        <w:t>(7)</w:t>
      </w:r>
      <w:r>
        <w:tab/>
      </w:r>
      <w:r w:rsidR="00BA7BFB">
        <w:t>Auch die Interpretation von Stilen geht in die Betrachtung ihrer Äh</w:t>
      </w:r>
      <w:r w:rsidR="00BA7BFB">
        <w:t>n</w:t>
      </w:r>
      <w:r w:rsidR="00BA7BFB">
        <w:t>lichkeit bzw. Unterschied</w:t>
      </w:r>
      <w:r w:rsidR="0062427D">
        <w:t>lichkeit ein:</w:t>
      </w:r>
      <w:r w:rsidR="00BA7BFB">
        <w:t xml:space="preserve"> Je größer die Unterschiede der Interpret</w:t>
      </w:r>
      <w:r w:rsidR="00BA7BFB">
        <w:t>a</w:t>
      </w:r>
      <w:r w:rsidR="00BA7BFB">
        <w:t xml:space="preserve">tion, die sich aus Stilen ergeben, desto unterschiedlicher die Stile. </w:t>
      </w:r>
      <w:r w:rsidR="0062427D">
        <w:t xml:space="preserve">Dabei macht </w:t>
      </w:r>
      <w:r w:rsidR="00BA7BFB">
        <w:t xml:space="preserve">das Fehlen oder Hinzukommen </w:t>
      </w:r>
      <w:r w:rsidR="0062427D">
        <w:t xml:space="preserve">eines </w:t>
      </w:r>
      <w:r w:rsidR="00BA7BFB">
        <w:t>Interpretationsergebnis</w:t>
      </w:r>
      <w:r w:rsidR="0062427D">
        <w:t>ses</w:t>
      </w:r>
      <w:r w:rsidR="00BA7BFB">
        <w:t xml:space="preserve"> einen umso größeren Unterschied, umso </w:t>
      </w:r>
      <w:r w:rsidR="0062427D">
        <w:t>wichtiger diese Interpretation</w:t>
      </w:r>
      <w:r w:rsidR="00BA7BFB">
        <w:t xml:space="preserve"> für den Stil </w:t>
      </w:r>
      <w:r w:rsidR="0062427D">
        <w:t>e</w:t>
      </w:r>
      <w:r w:rsidR="0062427D">
        <w:t>r</w:t>
      </w:r>
      <w:r w:rsidR="0062427D">
        <w:t>scheint.</w:t>
      </w:r>
    </w:p>
    <w:p w:rsidR="00D41B98" w:rsidRDefault="00BA7BFB" w:rsidP="00C739F7">
      <w:pPr>
        <w:pStyle w:val="Text"/>
      </w:pPr>
      <w:r>
        <w:t xml:space="preserve">Allerdings können Interpretationen sehr subjektiv sein. </w:t>
      </w:r>
      <w:r w:rsidR="0062427D">
        <w:t>Einige Operatio</w:t>
      </w:r>
      <w:r w:rsidR="00D41B98">
        <w:t>nen</w:t>
      </w:r>
      <w:r w:rsidR="0062427D">
        <w:t xml:space="preserve"> erzeugen Interpretationsergebnisse, die nur beschränkt intersubjektiv nachvol</w:t>
      </w:r>
      <w:r w:rsidR="0062427D">
        <w:t>l</w:t>
      </w:r>
      <w:r w:rsidR="0062427D">
        <w:t xml:space="preserve">ziehbar sind, etwa Assoziationen, Gefühle und Eindrücke. Zwar können auch solche Ergebnisse </w:t>
      </w:r>
      <w:r w:rsidR="00D41B98">
        <w:t xml:space="preserve">prinzipiell in verschiedenen Interpretationen gleich oder </w:t>
      </w:r>
      <w:r w:rsidR="0062427D">
        <w:t>äh</w:t>
      </w:r>
      <w:r w:rsidR="0062427D">
        <w:t>n</w:t>
      </w:r>
      <w:r w:rsidR="0062427D">
        <w:t>li</w:t>
      </w:r>
      <w:r w:rsidR="00D41B98">
        <w:t>ch</w:t>
      </w:r>
      <w:r w:rsidR="0062427D">
        <w:t xml:space="preserve"> erzeugt werden; </w:t>
      </w:r>
      <w:r w:rsidR="00D41B98">
        <w:t>es treten jedoch aufgrund der Freiheit innerhalb der Oper</w:t>
      </w:r>
      <w:r w:rsidR="00D41B98">
        <w:t>a</w:t>
      </w:r>
      <w:r w:rsidR="00D41B98">
        <w:t xml:space="preserve">tionsanwendungen und beim Ablauf der Operation insgesamt, die sich aus der Anwendung der Funktion </w:t>
      </w:r>
      <w:r w:rsidR="00D41B98" w:rsidRPr="00D41B98">
        <w:rPr>
          <w:i/>
        </w:rPr>
        <w:t xml:space="preserve">Interesse </w:t>
      </w:r>
      <w:r w:rsidR="00D41B98">
        <w:t>ergibt, stets Abweichungen zwischen ve</w:t>
      </w:r>
      <w:r w:rsidR="00D41B98">
        <w:t>r</w:t>
      </w:r>
      <w:r w:rsidR="00D41B98">
        <w:t>schiedenen Operationen auf. D</w:t>
      </w:r>
      <w:r w:rsidR="008E5303">
        <w:t>iese vergrößern sich um</w:t>
      </w:r>
      <w:r w:rsidR="00D41B98">
        <w:t>so mehr, je weiter sich die Interpretationen von den Merkmalsregeln entfernen.</w:t>
      </w:r>
    </w:p>
    <w:p w:rsidR="00DC2B83" w:rsidRDefault="00BA7BFB" w:rsidP="00C739F7">
      <w:pPr>
        <w:pStyle w:val="Text"/>
      </w:pPr>
      <w:r>
        <w:t xml:space="preserve">Bei der Ähnlichkeitsabschätzung können Ergebnisse von Interpretationen </w:t>
      </w:r>
      <w:r w:rsidR="0026208C">
        <w:t>entsprechend ihrer vermuteten</w:t>
      </w:r>
      <w:r w:rsidR="00D41B98">
        <w:t xml:space="preserve"> intersubjektiven Plausibilität </w:t>
      </w:r>
      <w:r>
        <w:t>berücksichtigt we</w:t>
      </w:r>
      <w:r>
        <w:t>r</w:t>
      </w:r>
      <w:r>
        <w:t xml:space="preserve">den, </w:t>
      </w:r>
      <w:r w:rsidR="00D41B98">
        <w:t xml:space="preserve">wobei </w:t>
      </w:r>
      <w:r w:rsidR="00DC2B83">
        <w:t xml:space="preserve">(a) </w:t>
      </w:r>
      <w:r w:rsidR="0026208C">
        <w:t xml:space="preserve">die Anzahl </w:t>
      </w:r>
      <w:r w:rsidR="00DC2B83">
        <w:t xml:space="preserve">der </w:t>
      </w:r>
      <w:r w:rsidR="00D41B98">
        <w:t xml:space="preserve">für ihre Erzeugung </w:t>
      </w:r>
      <w:r w:rsidR="0026208C">
        <w:t>(</w:t>
      </w:r>
      <w:r w:rsidR="00D41B98">
        <w:t>ausgehend von den Mer</w:t>
      </w:r>
      <w:r w:rsidR="00D41B98">
        <w:t>k</w:t>
      </w:r>
      <w:r w:rsidR="00D41B98">
        <w:t>malsregeln</w:t>
      </w:r>
      <w:r w:rsidR="0026208C">
        <w:t>)</w:t>
      </w:r>
      <w:r w:rsidR="00D41B98">
        <w:t xml:space="preserve"> </w:t>
      </w:r>
      <w:r w:rsidR="003F0102">
        <w:t xml:space="preserve">erfolgten </w:t>
      </w:r>
      <w:r w:rsidR="00DC2B83">
        <w:t>Anwendungen von</w:t>
      </w:r>
      <w:r w:rsidR="00D41B98">
        <w:t xml:space="preserve"> Operationen</w:t>
      </w:r>
      <w:r w:rsidR="00DC2B83">
        <w:t>, also der ‚Abstand‘ der Ergebnisse von den Merkmalsregeln, und (b) die verwendeten Operationen und deren</w:t>
      </w:r>
      <w:r w:rsidR="0026208C">
        <w:t xml:space="preserve"> </w:t>
      </w:r>
      <w:r w:rsidR="003F0102">
        <w:t>Intersubjektivität (</w:t>
      </w:r>
      <w:r w:rsidR="00DC2B83">
        <w:t>wobei beispielsweise eine Deduktion als stärker inte</w:t>
      </w:r>
      <w:r w:rsidR="00DC2B83">
        <w:t>r</w:t>
      </w:r>
      <w:r w:rsidR="00DC2B83">
        <w:t>subjektiv nachvollziehbar gelten wird als eine Assoziation</w:t>
      </w:r>
      <w:r w:rsidR="003F0102">
        <w:t>)</w:t>
      </w:r>
      <w:r w:rsidR="00DC2B83">
        <w:t xml:space="preserve">, </w:t>
      </w:r>
      <w:r w:rsidR="0026208C">
        <w:t>berücksichtigt we</w:t>
      </w:r>
      <w:r w:rsidR="0026208C">
        <w:t>r</w:t>
      </w:r>
      <w:r w:rsidR="0026208C">
        <w:t>den können.</w:t>
      </w:r>
    </w:p>
    <w:p w:rsidR="0026208C" w:rsidRDefault="00DC2B83" w:rsidP="00C739F7">
      <w:pPr>
        <w:pStyle w:val="Text"/>
      </w:pPr>
      <w:r>
        <w:t xml:space="preserve">Zusammenfassend lässt sich sagen, dass </w:t>
      </w:r>
      <w:r w:rsidR="0026208C">
        <w:t>Interpretation</w:t>
      </w:r>
      <w:r>
        <w:t>en zweier oder me</w:t>
      </w:r>
      <w:r>
        <w:t>h</w:t>
      </w:r>
      <w:r>
        <w:t>rerer Stile</w:t>
      </w:r>
      <w:r w:rsidR="0026208C">
        <w:t xml:space="preserve"> in die </w:t>
      </w:r>
      <w:r>
        <w:t>Schätzung des Grads der Ähnlichkeit dieser Stile eingehen kö</w:t>
      </w:r>
      <w:r>
        <w:t>n</w:t>
      </w:r>
      <w:r>
        <w:t xml:space="preserve">nen, dass sie aber </w:t>
      </w:r>
      <w:r w:rsidR="00E95214">
        <w:t>sicherlich schwächer berücksichtigt werden als die Merkmal</w:t>
      </w:r>
      <w:r w:rsidR="00E95214">
        <w:t>s</w:t>
      </w:r>
      <w:r w:rsidR="00E95214">
        <w:t>regeln selbst.</w:t>
      </w:r>
    </w:p>
    <w:p w:rsidR="0008128E" w:rsidRDefault="00FE4F71" w:rsidP="00AF61D2">
      <w:pPr>
        <w:pStyle w:val="Text"/>
      </w:pPr>
      <w:r>
        <w:t xml:space="preserve">Abschließend kann man überlegen, ob man für die Unterschiedlichkeit von Stilen eine Formel finden könnte. Oben wurden die Faktoren </w:t>
      </w:r>
      <w:r w:rsidR="00FB6557">
        <w:t xml:space="preserve">(1) bis (7) </w:t>
      </w:r>
      <w:r>
        <w:t>b</w:t>
      </w:r>
      <w:r>
        <w:t>e</w:t>
      </w:r>
      <w:r>
        <w:t xml:space="preserve">schrieben; könnten diese quantifiziert und </w:t>
      </w:r>
      <w:r w:rsidR="0008128E">
        <w:t xml:space="preserve">eine Gesamtwirkung ausgerechnet werden? </w:t>
      </w:r>
      <w:r w:rsidR="004E1A2C">
        <w:t xml:space="preserve">Die Antwort ist sicherlich nein, </w:t>
      </w:r>
      <w:r w:rsidR="008322EC">
        <w:t>aus folgenden Gründen:</w:t>
      </w:r>
    </w:p>
    <w:p w:rsidR="00CD6F6F" w:rsidRDefault="0008128E" w:rsidP="00AF61D2">
      <w:pPr>
        <w:pStyle w:val="Text"/>
      </w:pPr>
      <w:r>
        <w:t>(a)</w:t>
      </w:r>
      <w:r>
        <w:tab/>
        <w:t>Die einzelnen Faktoren dürften schon jeder für sich genommen schwer zu</w:t>
      </w:r>
      <w:r w:rsidR="00CD6F6F">
        <w:t xml:space="preserve"> quant</w:t>
      </w:r>
      <w:r w:rsidR="002C5FA8">
        <w:t>ifizieren sein. Es gibt beispie</w:t>
      </w:r>
      <w:r w:rsidR="00CD6F6F">
        <w:t>l</w:t>
      </w:r>
      <w:r w:rsidR="002C5FA8">
        <w:t>s</w:t>
      </w:r>
      <w:r w:rsidR="00CD6F6F">
        <w:t>weise sicher kein präzises Maß dafür, wie wichtig eine Merkmalsregel in einem Stil ist.</w:t>
      </w:r>
    </w:p>
    <w:p w:rsidR="00FB6557" w:rsidRDefault="00CD6F6F" w:rsidP="00AF61D2">
      <w:pPr>
        <w:pStyle w:val="Text"/>
      </w:pPr>
      <w:r>
        <w:t>(b)</w:t>
      </w:r>
      <w:r>
        <w:tab/>
        <w:t>Die einzelnen Faktoren können in Relation zueinander nicht quantif</w:t>
      </w:r>
      <w:r>
        <w:t>i</w:t>
      </w:r>
      <w:r>
        <w:t>ziert werden. Ob eher die relative Anzahl der abweichenden Merkmalsregeln beachtet wird – also (1) – oder ob die Wichtigkeit der Merkmalsregeln stärker einbezogen wird – also (2) –, wird variieren.</w:t>
      </w:r>
    </w:p>
    <w:p w:rsidR="00CD6F6F" w:rsidRDefault="00CD6F6F" w:rsidP="00AF61D2">
      <w:pPr>
        <w:pStyle w:val="Text"/>
      </w:pPr>
      <w:r>
        <w:t>(c)</w:t>
      </w:r>
      <w:r>
        <w:tab/>
      </w:r>
      <w:r w:rsidR="00794B91">
        <w:t>Es gibt keine Garantie dafür, dass stets alle sieben Faktoren beachtet werden. Beispielsweise kann nur Gleichheit zwischen verlangten Eigenschaften beachtet und weniger direkte Beziehungen – also (4) – als unzuverlässig zurüc</w:t>
      </w:r>
      <w:r w:rsidR="00794B91">
        <w:t>k</w:t>
      </w:r>
      <w:r w:rsidR="00794B91">
        <w:t xml:space="preserve">gewiesen werden, oder es wird auf die Einbeziehung von Interpretationen – also </w:t>
      </w:r>
      <w:r w:rsidR="00794B91">
        <w:lastRenderedPageBreak/>
        <w:t>(7) – verzichtet, wenn gar keine vorliegen oder die vorliegenden als zu subjektiv erscheinen.</w:t>
      </w:r>
    </w:p>
    <w:p w:rsidR="00794B91" w:rsidRDefault="00726947" w:rsidP="00AF61D2">
      <w:pPr>
        <w:pStyle w:val="Text"/>
      </w:pPr>
      <w:r>
        <w:t>(d)</w:t>
      </w:r>
      <w:r>
        <w:tab/>
      </w:r>
      <w:r w:rsidR="001850A3">
        <w:t xml:space="preserve">Für manche der genannten Faktoren gibt es </w:t>
      </w:r>
      <w:r>
        <w:t>Alternativen: Beispiel</w:t>
      </w:r>
      <w:r>
        <w:t>s</w:t>
      </w:r>
      <w:r>
        <w:t xml:space="preserve">weise können Stile </w:t>
      </w:r>
      <w:r w:rsidR="001850A3">
        <w:t>in Kategorien eingeteilt werden, die mit einer Menge von Merkmalsregeln definiert werden, die als notwendig und hinreichend angesehen werden. In diesem Fall wird eine Veränderung innerhalb der Kategorie noch als gleicher Stil gerechnet, während das Fehlen nur einer Merkmalsregel aus dieser Menge zu einem anderen Stil füht. Auch wenn dieser andere Stil nun wieder nach den Kriterien (1) bis (7) auf seine Unterschiedlichkeit vom ersten geprüft we</w:t>
      </w:r>
      <w:r w:rsidR="001850A3">
        <w:t>r</w:t>
      </w:r>
      <w:r w:rsidR="001850A3">
        <w:t>den kann, bleibt doch die definierte Kategoriengrenze hier ein zusätzlicher Fa</w:t>
      </w:r>
      <w:r w:rsidR="001850A3">
        <w:t>k</w:t>
      </w:r>
      <w:r w:rsidR="001850A3">
        <w:t xml:space="preserve">tor, der manche Veränderungen verstärkt und andere verringert. Ebenso können bezüglich der Interpretationen – also (7) – bestimmte </w:t>
      </w:r>
      <w:r w:rsidR="00E83E68">
        <w:t>Interpretationsergebnisse</w:t>
      </w:r>
      <w:r w:rsidR="001850A3">
        <w:t xml:space="preserve"> als entscheidend für den Stil </w:t>
      </w:r>
      <w:r w:rsidR="00187360">
        <w:t>gelten</w:t>
      </w:r>
      <w:r w:rsidR="001850A3">
        <w:t xml:space="preserve">; fehlen sie (möglicherweise aufgrund </w:t>
      </w:r>
      <w:r w:rsidR="00187360">
        <w:t xml:space="preserve">nur </w:t>
      </w:r>
      <w:r w:rsidR="001850A3">
        <w:t>geringer Veränderungen in der Merkmalsmenge), wird der Stil als entscheidend verändert angesehen.</w:t>
      </w:r>
    </w:p>
    <w:p w:rsidR="006A2AAB" w:rsidRDefault="006A2AAB" w:rsidP="00AF61D2">
      <w:pPr>
        <w:pStyle w:val="Text"/>
      </w:pPr>
      <w:r>
        <w:t>(e)</w:t>
      </w:r>
      <w:r>
        <w:tab/>
        <w:t xml:space="preserve">Zweck und Kontext der Abschätzung können eine Rolle spielen. </w:t>
      </w:r>
      <w:r w:rsidR="007353CD">
        <w:t>We</w:t>
      </w:r>
      <w:r w:rsidR="007353CD">
        <w:t>r</w:t>
      </w:r>
      <w:r w:rsidR="007353CD">
        <w:t xml:space="preserve">den beispielsweise die Stile von Gebäuden für stadtplanerische Zwecke in ihrer Unterschiedlichkeit abgeschätzt, wird möglicherweise auf bestimmte Teile der Interpretation, insbesondere auf erzeugte ästhetische Eindrücke, ein größeres Gewicht gelegt werden als auf andere Teile der Interpretation, beispielsweise auf erkennbare Unterschiede im Alter, und auf Teile der Merkmalsregeln, etwa auf die Konstruktionsweise. In diesem Fall wird </w:t>
      </w:r>
      <w:r w:rsidR="00DA05D9">
        <w:t>die Absicht</w:t>
      </w:r>
      <w:r w:rsidR="007353CD">
        <w:t>, ein einheitliches oder kontrastreiches Straßenbild zu schaffen, die Unterschiedlichkeitsschätzung b</w:t>
      </w:r>
      <w:r w:rsidR="007353CD">
        <w:t>e</w:t>
      </w:r>
      <w:r w:rsidR="007353CD">
        <w:t xml:space="preserve">einflussen. </w:t>
      </w:r>
      <w:r w:rsidR="00DA05D9">
        <w:t>Umgekehrt könnte ein Wissenschaftler dazu neigen, kleine Unte</w:t>
      </w:r>
      <w:r w:rsidR="00DA05D9">
        <w:t>r</w:t>
      </w:r>
      <w:r w:rsidR="00DA05D9">
        <w:t>schiede der Stile überzubetonen, um möglichst genaues Fachwissen zu demons</w:t>
      </w:r>
      <w:r w:rsidR="00DA05D9">
        <w:t>t</w:t>
      </w:r>
      <w:r w:rsidR="00DA05D9">
        <w:t>rieren; Ähnlichkeiten des Äußeren, die verschiedene Epochen oder Traditionen verbinden, wird er möglicherweise weniger berücksichtigen als der Laie.</w:t>
      </w:r>
    </w:p>
    <w:p w:rsidR="00EE5474" w:rsidRDefault="008322EC">
      <w:pPr>
        <w:pStyle w:val="Text"/>
      </w:pPr>
      <w:r>
        <w:t xml:space="preserve">Aus den unter (a) bis (e) genannten Gründen ist es </w:t>
      </w:r>
      <w:r w:rsidR="004E1A2C">
        <w:t xml:space="preserve">nicht </w:t>
      </w:r>
      <w:r w:rsidR="00EE5474">
        <w:t>möglich</w:t>
      </w:r>
      <w:r w:rsidR="004E1A2C">
        <w:t>, eine Formel für die Einschätzung von Gleichheit, Ähnlichkeit und allgemein für die Entfernung verschieden</w:t>
      </w:r>
      <w:r>
        <w:t xml:space="preserve">er Stile voneinander anzugeben. Es verwundert daher nicht, dass </w:t>
      </w:r>
      <w:r w:rsidR="004E1A2C">
        <w:t>solche Einschätzungen auch in der normalsprachlichen Verwendung und in den Fachdiskussionen über Stil stark variieren.</w:t>
      </w:r>
      <w:r>
        <w:t xml:space="preserve"> Es handelt sich um einen Aspekt der Stiltheorie, bei dem nicht in der Theorie selbst</w:t>
      </w:r>
      <w:r w:rsidR="001D2552">
        <w:t xml:space="preserve"> (etwa aufgrund fe</w:t>
      </w:r>
      <w:r w:rsidR="001D2552">
        <w:t>h</w:t>
      </w:r>
      <w:r w:rsidR="001D2552">
        <w:t>lender empirischer Erkenntnisse)</w:t>
      </w:r>
      <w:r>
        <w:t>, sondern im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Vagheit herrscht.</w:t>
      </w:r>
      <w:r>
        <w:rPr>
          <w:rStyle w:val="Funotenzeichen"/>
        </w:rPr>
        <w:footnoteReference w:id="580"/>
      </w:r>
    </w:p>
    <w:p w:rsidR="000D3DB1" w:rsidRDefault="001D2552">
      <w:pPr>
        <w:pStyle w:val="Text"/>
      </w:pPr>
      <w:r>
        <w:t xml:space="preserve">Eine Abschätzung wird jedoch umso präziser sein, je mehr der Faktoren </w:t>
      </w:r>
      <w:r w:rsidR="008322EC">
        <w:t>(1) bis (7) beachtet werden</w:t>
      </w:r>
      <w:r>
        <w:t>.</w:t>
      </w:r>
    </w:p>
    <w:p w:rsidR="00D2554C" w:rsidRDefault="00D2554C" w:rsidP="006F71D1">
      <w:pPr>
        <w:pStyle w:val="Titel3"/>
      </w:pPr>
      <w:bookmarkStart w:id="456" w:name="_Ref265829801"/>
      <w:bookmarkStart w:id="457" w:name="_Toc325456816"/>
      <w:bookmarkStart w:id="458" w:name="Absichtlichkeit"/>
      <w:bookmarkEnd w:id="454"/>
      <w:r>
        <w:lastRenderedPageBreak/>
        <w:t xml:space="preserve">Absichtlichkeit </w:t>
      </w:r>
      <w:r w:rsidR="00A00BFF">
        <w:t xml:space="preserve">und </w:t>
      </w:r>
      <w:r w:rsidR="00541A29">
        <w:t xml:space="preserve">Bewusstheit von </w:t>
      </w:r>
      <w:r>
        <w:t>Stilen</w:t>
      </w:r>
      <w:bookmarkEnd w:id="456"/>
      <w:bookmarkEnd w:id="457"/>
    </w:p>
    <w:p w:rsidR="00A00BFF" w:rsidRDefault="005D7996" w:rsidP="00DF2B4D">
      <w:pPr>
        <w:pStyle w:val="Text"/>
        <w:ind w:firstLine="0"/>
      </w:pPr>
      <w:r>
        <w:fldChar w:fldCharType="begin"/>
      </w:r>
      <w:r w:rsidR="003C2036">
        <w:instrText xml:space="preserve"> XE "Absichtlichkeit von Stil" \r "Absichtlichkeit"</w:instrText>
      </w:r>
      <w:r w:rsidR="00362FC7">
        <w:instrText xml:space="preserve"> </w:instrText>
      </w:r>
      <w:r>
        <w:fldChar w:fldCharType="end"/>
      </w:r>
      <w:r>
        <w:fldChar w:fldCharType="begin"/>
      </w:r>
      <w:r w:rsidR="003C2036">
        <w:instrText xml:space="preserve"> XE "Bewusstheit von Stil" \r "Absichtlichkeit"</w:instrText>
      </w:r>
      <w:r w:rsidR="00362FC7">
        <w:instrText xml:space="preserve"> </w:instrText>
      </w:r>
      <w:r>
        <w:fldChar w:fldCharType="end"/>
      </w:r>
      <w:r w:rsidR="00A00BFF">
        <w:t xml:space="preserve">Das stilistische Zeichen wird nicht immer </w:t>
      </w:r>
      <w:r w:rsidR="001A66EC">
        <w:t xml:space="preserve">absichtlich und bewusst </w:t>
      </w:r>
      <w:r w:rsidR="00BD327C">
        <w:t>erzeugt</w:t>
      </w:r>
      <w:r w:rsidR="00A00BFF">
        <w:t>. Hä</w:t>
      </w:r>
      <w:r w:rsidR="00A00BFF">
        <w:t>u</w:t>
      </w:r>
      <w:r w:rsidR="00A00BFF">
        <w:t xml:space="preserve">fig sind die Merkmalsregeln, die </w:t>
      </w:r>
      <w:r w:rsidR="0004162E">
        <w:t xml:space="preserve">eingeschrieben </w:t>
      </w:r>
      <w:r w:rsidR="00A00BFF">
        <w:t>werden, alles andere als ein a</w:t>
      </w:r>
      <w:r w:rsidR="00A00BFF">
        <w:t>b</w:t>
      </w:r>
      <w:r w:rsidR="00A00BFF">
        <w:t>sichtlich gesendeter Zeicheninhalt; sie können auf Gewohnheit, Erziehung, Soz</w:t>
      </w:r>
      <w:r w:rsidR="00A00BFF">
        <w:t>i</w:t>
      </w:r>
      <w:r w:rsidR="00A00BFF">
        <w:t xml:space="preserve">alisation, </w:t>
      </w:r>
      <w:r w:rsidR="000C208C">
        <w:t xml:space="preserve">Persönlichkeit </w:t>
      </w:r>
      <w:r w:rsidR="00A00BFF">
        <w:t xml:space="preserve">oder anderen Faktoren beruhen. Damit machen sie diese jedoch auch für den </w:t>
      </w:r>
      <w:r w:rsidR="00C75387">
        <w:t>Stilwahrnehmer</w:t>
      </w:r>
      <w:r w:rsidR="00A00BFF">
        <w:t xml:space="preserve"> zugänglich – nicht zuletzt deshalb ist Stil so interessant für uns und genauso relevant im Alltag wie in Kunst und Forschung.</w:t>
      </w:r>
    </w:p>
    <w:p w:rsidR="00A00BFF" w:rsidRDefault="00A00BFF" w:rsidP="00A00BFF">
      <w:pPr>
        <w:pStyle w:val="Text"/>
      </w:pPr>
      <w:r>
        <w:t>Auch das Verhalten selbst, bei dem Stil entsteht, muss nicht bewusst oder gar absichtlich sein</w:t>
      </w:r>
      <w:r w:rsidR="001A66EC">
        <w:t>. Zwar treten viele Stile bei Handlungen auf, also bei absich</w:t>
      </w:r>
      <w:r w:rsidR="001A66EC">
        <w:t>t</w:t>
      </w:r>
      <w:r w:rsidR="001A66EC">
        <w:t xml:space="preserve">lichem Verhalten; dies heißt jedoch noch nicht, dass die Stile selbst absichtlich </w:t>
      </w:r>
      <w:r w:rsidR="00573FDD">
        <w:t xml:space="preserve">erzeugt </w:t>
      </w:r>
      <w:r w:rsidR="001A66EC">
        <w:t>werden, also Teil der Handlung sind</w:t>
      </w:r>
      <w:r w:rsidR="00E21AC3">
        <w:t xml:space="preserve">. </w:t>
      </w:r>
      <w:r>
        <w:t>Und schließlich ist auch das Ausl</w:t>
      </w:r>
      <w:r>
        <w:t>e</w:t>
      </w:r>
      <w:r>
        <w:t xml:space="preserve">sen </w:t>
      </w:r>
      <w:r w:rsidR="001A66EC">
        <w:t>oft k</w:t>
      </w:r>
      <w:r>
        <w:t xml:space="preserve">ein </w:t>
      </w:r>
      <w:r w:rsidR="001A66EC">
        <w:t>absichtlich</w:t>
      </w:r>
      <w:r>
        <w:t xml:space="preserve"> vorgenommener Prozess; ohne es zu wollen, nehmen wir oft bei der Wahrnehmung eines Verhaltens, eines Artefakts oder eines Textes einen Stil wahr.</w:t>
      </w:r>
    </w:p>
    <w:p w:rsidR="00A00BFF" w:rsidRDefault="00A00BFF" w:rsidP="00A00BFF">
      <w:pPr>
        <w:pStyle w:val="Text"/>
      </w:pPr>
      <w:r>
        <w:t>Dies liegt daran, dass wir bei der Wahrnehmung sowieso eine Analyse der Realisierung vornehmen müssen, um zu den Schemata und Schemaorten zu g</w:t>
      </w:r>
      <w:r>
        <w:t>e</w:t>
      </w:r>
      <w:r>
        <w:t>langen, die es bestimmen. Würden wir diesen Prozess nicht durchführen, wären wir mit einem bunten Mischmasch von Eindrücken konfrontiert, ohne zu ve</w:t>
      </w:r>
      <w:r>
        <w:t>r</w:t>
      </w:r>
      <w:r>
        <w:t>stehen, worum es sich handelt, wie dies etwa in einer völlig ungewohnten Umg</w:t>
      </w:r>
      <w:r>
        <w:t>e</w:t>
      </w:r>
      <w:r>
        <w:t xml:space="preserve">bung für kurze Zeit der Fall sein kann. Bei diesem </w:t>
      </w:r>
      <w:r w:rsidR="00D44A81">
        <w:t xml:space="preserve">Ausleseprozess </w:t>
      </w:r>
      <w:r>
        <w:t>schließen wir automatisch aus den Eigenschaften der vorgefundenen Elemente auf die Schem</w:t>
      </w:r>
      <w:r>
        <w:t>a</w:t>
      </w:r>
      <w:r>
        <w:t>ta und Schemaorte, denen sie angehören. Dabei müssen wir notwendig zwischen den für die genannten Klassifikationen notwendigen Eigenschaften und zusätzl</w:t>
      </w:r>
      <w:r>
        <w:t>i</w:t>
      </w:r>
      <w:r>
        <w:t>chen Eigenschaften unterscheiden, die die Elemente besitzen. Sollten diese z</w:t>
      </w:r>
      <w:r>
        <w:t>u</w:t>
      </w:r>
      <w:r>
        <w:t xml:space="preserve">sätzlichen Eigenschaften sich wiederholen und somit </w:t>
      </w:r>
      <w:r w:rsidR="00C56022">
        <w:t xml:space="preserve">Spuren einer regelbasierten Auswahl erkennbar </w:t>
      </w:r>
      <w:r>
        <w:t>werden, können wir meist gar nicht anders, als diese wah</w:t>
      </w:r>
      <w:r>
        <w:t>r</w:t>
      </w:r>
      <w:r>
        <w:t xml:space="preserve">zunehmen. Stil ist deshalb ein so natürliches Mittel des </w:t>
      </w:r>
      <w:r w:rsidR="002C6FE8">
        <w:t xml:space="preserve">Mitteilens </w:t>
      </w:r>
      <w:r>
        <w:t>wie des Ve</w:t>
      </w:r>
      <w:r>
        <w:t>r</w:t>
      </w:r>
      <w:r>
        <w:t xml:space="preserve">stehens für uns, weil wir bei der notwendig kategorisierenden Wahrnehmung auch </w:t>
      </w:r>
      <w:r w:rsidR="00767661">
        <w:t xml:space="preserve">die </w:t>
      </w:r>
      <w:r>
        <w:t>nicht kategoriell notwendigen Unterschiede wahrnehmen, ja wahrne</w:t>
      </w:r>
      <w:r>
        <w:t>h</w:t>
      </w:r>
      <w:r>
        <w:t>men müssen, um sie von den anderen trennen und damit überhaupt erst etwas Bestimmtes wahrnehmen zu können. Stil ist somit ein Zeichen, das wir bei der ganz normalen Wahrnehmung ‚mitbekommen‘.</w:t>
      </w:r>
    </w:p>
    <w:p w:rsidR="00D2304E" w:rsidRDefault="002B3C16">
      <w:pPr>
        <w:pStyle w:val="Text"/>
      </w:pPr>
      <w:r>
        <w:t>Zunächst ist zu betonen, dass Stile</w:t>
      </w:r>
      <w:r w:rsidR="00FA43D0">
        <w:t xml:space="preserve"> </w:t>
      </w:r>
      <w:r>
        <w:t>absichtlich oder unabsichtlich sein kö</w:t>
      </w:r>
      <w:r>
        <w:t>n</w:t>
      </w:r>
      <w:r>
        <w:t>nen</w:t>
      </w:r>
      <w:r w:rsidR="00FA43D0">
        <w:t>, was manchmal geleugnet wird.</w:t>
      </w:r>
      <w:r w:rsidR="00246C99">
        <w:rPr>
          <w:rStyle w:val="Funotenzeichen"/>
        </w:rPr>
        <w:footnoteReference w:id="581"/>
      </w:r>
      <w:r>
        <w:t xml:space="preserve"> </w:t>
      </w:r>
      <w:r w:rsidR="00094B7A">
        <w:t>Der „</w:t>
      </w:r>
      <w:r w:rsidR="00D2554C">
        <w:t>bürokratische Stil</w:t>
      </w:r>
      <w:r w:rsidR="00094B7A">
        <w:t>“</w:t>
      </w:r>
      <w:r w:rsidR="00D2554C">
        <w:t xml:space="preserve"> eines Bürokraten ist wohl meist nicht</w:t>
      </w:r>
      <w:r w:rsidR="00094B7A">
        <w:t xml:space="preserve"> beabsichtigt, </w:t>
      </w:r>
      <w:r w:rsidR="00D2554C">
        <w:t>der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D2554C">
        <w:t xml:space="preserve"> eines Jugendlichen, der renommi</w:t>
      </w:r>
      <w:r w:rsidR="00D2554C">
        <w:t>e</w:t>
      </w:r>
      <w:r w:rsidR="00D2554C">
        <w:t xml:space="preserve">ren will, </w:t>
      </w:r>
      <w:r w:rsidR="00FA43D0">
        <w:t>dagegen schon</w:t>
      </w:r>
      <w:r w:rsidR="00094B7A">
        <w:t>. Dazwischen gibt es aber auch Abstufungen. Beispiel</w:t>
      </w:r>
      <w:r w:rsidR="00094B7A">
        <w:t>s</w:t>
      </w:r>
      <w:r w:rsidR="00094B7A">
        <w:t xml:space="preserve">weise bilden </w:t>
      </w:r>
      <w:r w:rsidR="00D2554C">
        <w:t xml:space="preserve">Künstler über Jahre </w:t>
      </w:r>
      <w:r w:rsidR="00094B7A">
        <w:t xml:space="preserve">oder Jahrzehnte </w:t>
      </w:r>
      <w:r w:rsidR="00D2554C">
        <w:t>ihren Stil heraus</w:t>
      </w:r>
      <w:r w:rsidR="00094B7A">
        <w:t>; es ist dabei oft schwer zu sagen, was davon absichtlich und unabsichtlich</w:t>
      </w:r>
      <w:r w:rsidR="00E40F46">
        <w:t xml:space="preserve"> erfolgt</w:t>
      </w:r>
      <w:r w:rsidR="00094B7A">
        <w:t xml:space="preserve">, </w:t>
      </w:r>
      <w:r w:rsidR="00E40F46">
        <w:t>welcher Anteil auf Entscheidungen und</w:t>
      </w:r>
      <w:r w:rsidR="00D2554C">
        <w:t xml:space="preserve"> </w:t>
      </w:r>
      <w:r w:rsidR="00E40F46">
        <w:t xml:space="preserve">welcher auf </w:t>
      </w:r>
      <w:r w:rsidR="00D2554C">
        <w:t>Anla</w:t>
      </w:r>
      <w:r w:rsidR="00E40F46">
        <w:t>gen, spezifischer Weltwah</w:t>
      </w:r>
      <w:r w:rsidR="00E40F46">
        <w:t>r</w:t>
      </w:r>
      <w:r w:rsidR="00E40F46">
        <w:lastRenderedPageBreak/>
        <w:t xml:space="preserve">nehmung und </w:t>
      </w:r>
      <w:r w:rsidR="00D2554C">
        <w:t>Übernahme von Lehrern oder Kollegen</w:t>
      </w:r>
      <w:r w:rsidR="00E40F46">
        <w:t xml:space="preserve"> beruht.</w:t>
      </w:r>
      <w:r w:rsidR="00D2554C">
        <w:t xml:space="preserve"> </w:t>
      </w:r>
      <w:r w:rsidR="00246C99">
        <w:t xml:space="preserve">Die meisten </w:t>
      </w:r>
      <w:r w:rsidR="00D2554C">
        <w:t>Künstl</w:t>
      </w:r>
      <w:r w:rsidR="00246C99">
        <w:t>er haben ihren Stil nicht bewusst erzeugt</w:t>
      </w:r>
      <w:r w:rsidR="00D2554C">
        <w:t xml:space="preserve">, </w:t>
      </w:r>
      <w:r w:rsidR="00246C99">
        <w:t>aber eigenständige Entwicklu</w:t>
      </w:r>
      <w:r w:rsidR="00246C99">
        <w:t>n</w:t>
      </w:r>
      <w:r w:rsidR="00246C99">
        <w:t xml:space="preserve">gen ihres Stils, die sich beispielsweise aus den Einflüssen, denen sie ausgesetzt waren, ergaben, zugelassen oder gezielt </w:t>
      </w:r>
      <w:r w:rsidR="00D2554C">
        <w:t xml:space="preserve">gefördert. </w:t>
      </w:r>
      <w:r w:rsidR="00246C99">
        <w:t>Solche Fälle</w:t>
      </w:r>
      <w:r w:rsidR="00FA43D0">
        <w:t xml:space="preserve"> </w:t>
      </w:r>
      <w:r w:rsidR="00246C99">
        <w:t>können schwer als absichtlich oder unabsichtlich klassifiziert werden.</w:t>
      </w:r>
    </w:p>
    <w:p w:rsidR="00FA43D0" w:rsidRDefault="00FA43D0">
      <w:pPr>
        <w:pStyle w:val="Text"/>
      </w:pPr>
      <w:r>
        <w:t xml:space="preserve">Häufig sind zudem Fälle, in denen ein Teil des Stils beabsichtigt, ein anderer unbeabsichtigt ist. </w:t>
      </w:r>
      <w:r w:rsidR="008A5834">
        <w:t>Jemand kann einen Stil absichtlich erzeugen, dann aber z</w:t>
      </w:r>
      <w:r w:rsidR="008A5834">
        <w:t>u</w:t>
      </w:r>
      <w:r w:rsidR="008A5834">
        <w:t>nehmend die Kontrolle darüber verlieren und schließlich (durch Übertreibungen oder Erstarrung in einem nicht mehr zeitgemäßen Stil) zur Karikatur seiner selbst werden.</w:t>
      </w:r>
      <w:r w:rsidR="008A5834">
        <w:rPr>
          <w:rStyle w:val="Funotenzeichen"/>
        </w:rPr>
        <w:footnoteReference w:id="582"/>
      </w:r>
      <w:r w:rsidR="008A5834">
        <w:t xml:space="preserve"> Die meisten Stile sind nicht vollständig beabsichtigt.</w:t>
      </w:r>
    </w:p>
    <w:p w:rsidR="008A5834" w:rsidRDefault="008A5834">
      <w:pPr>
        <w:pStyle w:val="Text"/>
      </w:pPr>
      <w:r>
        <w:t>Eine weitere Unterscheidung ist zudem relevant: Die zwischen bewu</w:t>
      </w:r>
      <w:r w:rsidR="00663764">
        <w:t>ssten und unbewussten Stilen (oder Bestandteilen von Stilen). Auch wenn wir selten unsere Stile völlig kontrollieren können und daher nur wenige Stile ganz bea</w:t>
      </w:r>
      <w:r w:rsidR="00663764">
        <w:t>b</w:t>
      </w:r>
      <w:r w:rsidR="00663764">
        <w:t>sichtigt sind, ist es doch möglich, sich bewusst zu machen, wie die eigenen Stile auf andere wirken. Beispielsweise kann ein</w:t>
      </w:r>
      <w:r w:rsidR="00916444">
        <w:t>e</w:t>
      </w:r>
      <w:r w:rsidR="00663764">
        <w:t xml:space="preserve"> Schriftsteller</w:t>
      </w:r>
      <w:r w:rsidR="00916444">
        <w:t>in</w:t>
      </w:r>
      <w:r w:rsidR="00663764">
        <w:t xml:space="preserve"> oder ein Schauspieler versuchen, sich </w:t>
      </w:r>
      <w:r w:rsidR="00916444">
        <w:t xml:space="preserve">des eigenen </w:t>
      </w:r>
      <w:r w:rsidR="00663764">
        <w:t xml:space="preserve">Stils und </w:t>
      </w:r>
      <w:r w:rsidR="00907C60">
        <w:t xml:space="preserve">seiner </w:t>
      </w:r>
      <w:r w:rsidR="00663764">
        <w:t xml:space="preserve">Wirkung </w:t>
      </w:r>
      <w:r w:rsidR="00E83E68">
        <w:t xml:space="preserve">auf andere </w:t>
      </w:r>
      <w:r w:rsidR="00663764">
        <w:t>bewusst zu we</w:t>
      </w:r>
      <w:r w:rsidR="00663764">
        <w:t>r</w:t>
      </w:r>
      <w:r w:rsidR="00663764">
        <w:t>den, unpassende Merkmal</w:t>
      </w:r>
      <w:r w:rsidR="00DB33A9">
        <w:t>sregeln</w:t>
      </w:r>
      <w:r w:rsidR="00663764">
        <w:t xml:space="preserve"> zu ändern oder weitere Merkmal</w:t>
      </w:r>
      <w:r w:rsidR="00DB33A9">
        <w:t>sregeln</w:t>
      </w:r>
      <w:r w:rsidR="00663764">
        <w:t xml:space="preserve"> zu ergänzen, um den Stil ‚abzurunden‘. Dies gilt genauso für alltägliche Stile der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rsidR="00663764">
        <w:t xml:space="preserve"> und des Auftretens: Wenn jemand sich des unabsichtlichen Teils seines Stils nicht bewusst ist, merkt man dies oft daran, dass der absichtl</w:t>
      </w:r>
      <w:r w:rsidR="00663764">
        <w:t>i</w:t>
      </w:r>
      <w:r w:rsidR="00663764">
        <w:t>che Teil seines Stils nicht dazu passt.</w:t>
      </w:r>
    </w:p>
    <w:p w:rsidR="00D2554C" w:rsidRDefault="00541A29">
      <w:pPr>
        <w:pStyle w:val="Text"/>
      </w:pPr>
      <w:r>
        <w:t>Welche Teile eines Stils absichtlich und unabsichtlich, bewusst und unb</w:t>
      </w:r>
      <w:r>
        <w:t>e</w:t>
      </w:r>
      <w:r>
        <w:t xml:space="preserve">wusst sind, </w:t>
      </w:r>
      <w:r w:rsidR="006A6226">
        <w:t xml:space="preserve">kann in der Praxis nur aus dem Stil selbst entnommen werden, da </w:t>
      </w:r>
      <w:r>
        <w:t xml:space="preserve">auch </w:t>
      </w:r>
      <w:r w:rsidR="006A6226">
        <w:t xml:space="preserve">der </w:t>
      </w:r>
      <w:r w:rsidR="00C75387">
        <w:t>Stilanwender</w:t>
      </w:r>
      <w:r w:rsidR="006A6226">
        <w:t xml:space="preserve"> diese Information </w:t>
      </w:r>
      <w:r w:rsidR="00E21AC3">
        <w:t xml:space="preserve">nicht immer </w:t>
      </w:r>
      <w:r>
        <w:t>besitzt</w:t>
      </w:r>
      <w:r w:rsidR="006A6226">
        <w:t>.</w:t>
      </w:r>
      <w:r w:rsidR="00E21AC3">
        <w:rPr>
          <w:rStyle w:val="Funotenzeichen"/>
        </w:rPr>
        <w:footnoteReference w:id="583"/>
      </w:r>
      <w:r w:rsidR="006A6226">
        <w:t xml:space="preserve"> </w:t>
      </w:r>
      <w:r>
        <w:t xml:space="preserve">Sie kann in dem </w:t>
      </w:r>
      <w:r w:rsidR="00573FDD">
        <w:t xml:space="preserve">angewendeten </w:t>
      </w:r>
      <w:r>
        <w:t xml:space="preserve">Stil ganz, teilweise oder überhaupt nicht enthalten sein. Der </w:t>
      </w:r>
      <w:r w:rsidR="00C75387">
        <w:t>Sti</w:t>
      </w:r>
      <w:r w:rsidR="00C75387">
        <w:t>l</w:t>
      </w:r>
      <w:r w:rsidR="00C75387">
        <w:t>wahrnehmer</w:t>
      </w:r>
      <w:r>
        <w:t xml:space="preserve"> wird somit innerhalb der Interpretation versuchen, über </w:t>
      </w:r>
      <w:r w:rsidR="006A6226">
        <w:t>Absich</w:t>
      </w:r>
      <w:r w:rsidR="006A6226">
        <w:t>t</w:t>
      </w:r>
      <w:r w:rsidR="006A6226">
        <w:t xml:space="preserve">lichkeit </w:t>
      </w:r>
      <w:r>
        <w:t xml:space="preserve">und </w:t>
      </w:r>
      <w:r w:rsidR="006A6226">
        <w:t xml:space="preserve">Unabsichtlichkeit, Bewusstheit </w:t>
      </w:r>
      <w:r>
        <w:t xml:space="preserve">und </w:t>
      </w:r>
      <w:r w:rsidR="006A6226">
        <w:t xml:space="preserve">Unbewusstheit von Stilen </w:t>
      </w:r>
      <w:r>
        <w:t xml:space="preserve">und </w:t>
      </w:r>
      <w:r w:rsidR="00663764">
        <w:t xml:space="preserve">Bestandteilen von Stilen </w:t>
      </w:r>
      <w:r>
        <w:t xml:space="preserve">zu entscheiden, wobei der Stil </w:t>
      </w:r>
      <w:r w:rsidR="00663764">
        <w:t xml:space="preserve">Hinweise (etwa in Form von Widersprüchen) </w:t>
      </w:r>
      <w:r w:rsidR="006A6226">
        <w:t>gibt</w:t>
      </w:r>
      <w:r w:rsidR="00A903E3">
        <w:t xml:space="preserve"> und </w:t>
      </w:r>
      <w:r w:rsidR="00663764">
        <w:t xml:space="preserve">Hintergrundwissen über den </w:t>
      </w:r>
      <w:r w:rsidR="00C75387">
        <w:t>Stilanwender</w:t>
      </w:r>
      <w:r w:rsidR="00663764">
        <w:t xml:space="preserve"> </w:t>
      </w:r>
      <w:r w:rsidR="006A6226">
        <w:t>hinz</w:t>
      </w:r>
      <w:r w:rsidR="006A6226">
        <w:t>u</w:t>
      </w:r>
      <w:r w:rsidR="006A6226">
        <w:t>gezogen werden kann</w:t>
      </w:r>
      <w:r w:rsidR="00663764">
        <w:t>.</w:t>
      </w:r>
    </w:p>
    <w:p w:rsidR="004F5420" w:rsidRDefault="00D74804">
      <w:pPr>
        <w:pStyle w:val="Text"/>
      </w:pPr>
      <w:r>
        <w:t xml:space="preserve">Auch das </w:t>
      </w:r>
      <w:r w:rsidR="00663B18">
        <w:t xml:space="preserve">Wahrnehmen </w:t>
      </w:r>
      <w:r>
        <w:t>eines Stils kann absichtlich oder unabsichtlich erfo</w:t>
      </w:r>
      <w:r>
        <w:t>l</w:t>
      </w:r>
      <w:r>
        <w:t xml:space="preserve">gen, wobei </w:t>
      </w:r>
      <w:r w:rsidR="004B08C0">
        <w:t xml:space="preserve">oft </w:t>
      </w:r>
      <w:r>
        <w:t xml:space="preserve">Mischformen vorliegen. </w:t>
      </w:r>
      <w:r w:rsidR="00504A86">
        <w:t>Besitzt eine Person eine gewisse Sti</w:t>
      </w:r>
      <w:r w:rsidR="00504A86">
        <w:t>l</w:t>
      </w:r>
      <w:r w:rsidR="00504A86">
        <w:t xml:space="preserve">kompetenz </w:t>
      </w:r>
      <w:r>
        <w:t xml:space="preserve">(vgl. Abschnitt </w:t>
      </w:r>
      <w:r w:rsidR="005D7996">
        <w:fldChar w:fldCharType="begin"/>
      </w:r>
      <w:r>
        <w:instrText xml:space="preserve"> REF _Ref253664986 \r \h </w:instrText>
      </w:r>
      <w:r w:rsidR="005D7996">
        <w:fldChar w:fldCharType="separate"/>
      </w:r>
      <w:r w:rsidR="001231D3">
        <w:t>8.2.4</w:t>
      </w:r>
      <w:r w:rsidR="005D7996">
        <w:fldChar w:fldCharType="end"/>
      </w:r>
      <w:r>
        <w:t>)</w:t>
      </w:r>
      <w:r w:rsidR="00504A86" w:rsidRPr="00504A86">
        <w:t xml:space="preserve"> </w:t>
      </w:r>
      <w:r w:rsidR="00504A86">
        <w:t>bezüglich eines bestimmten Schemas</w:t>
      </w:r>
      <w:r>
        <w:t xml:space="preserve">, </w:t>
      </w:r>
      <w:r w:rsidR="00504A86">
        <w:t>kann sie meist gar nicht umhin, bei der Wahrnehmung einer Realisierung dieses Schemas einen Stil zu erkennen</w:t>
      </w:r>
      <w:r w:rsidR="004F5420">
        <w:t>, und selbst Teile der Interpretation laufen meist absicht</w:t>
      </w:r>
      <w:r w:rsidR="004F5420">
        <w:t>s</w:t>
      </w:r>
      <w:r w:rsidR="004F5420">
        <w:t xml:space="preserve">los ab, etwa das Erkennen </w:t>
      </w:r>
      <w:r w:rsidR="004B08C0">
        <w:t xml:space="preserve">auffälliger </w:t>
      </w:r>
      <w:r w:rsidR="004F5420">
        <w:t xml:space="preserve">Zusammenhänge zwischen den Regeln oder </w:t>
      </w:r>
      <w:r w:rsidR="004F5420">
        <w:lastRenderedPageBreak/>
        <w:t>offensichtlicher Gründe für bestimmte Ausführungsweisen</w:t>
      </w:r>
      <w:r w:rsidR="003D7C78">
        <w:t>. G</w:t>
      </w:r>
      <w:r w:rsidR="00504A86">
        <w:t xml:space="preserve">leichzeitig kann </w:t>
      </w:r>
      <w:r w:rsidR="003D7C78">
        <w:t xml:space="preserve">der </w:t>
      </w:r>
      <w:r w:rsidR="00C75387">
        <w:t>Stilwahrnehmer</w:t>
      </w:r>
      <w:r w:rsidR="003D7C78">
        <w:t xml:space="preserve"> </w:t>
      </w:r>
      <w:r w:rsidR="00504A86">
        <w:t xml:space="preserve">jedoch bestimmen, wie genau </w:t>
      </w:r>
      <w:r w:rsidR="003D7C78">
        <w:t xml:space="preserve">er </w:t>
      </w:r>
      <w:r w:rsidR="004F5420">
        <w:t xml:space="preserve">die </w:t>
      </w:r>
      <w:r w:rsidR="00DB33A9">
        <w:t xml:space="preserve">Merkmale </w:t>
      </w:r>
      <w:r w:rsidR="004F5420">
        <w:t>zur Kenntnis nimmt</w:t>
      </w:r>
      <w:r w:rsidR="00DB33A9">
        <w:t xml:space="preserve"> (</w:t>
      </w:r>
      <w:r w:rsidR="005D7996">
        <w:fldChar w:fldCharType="begin"/>
      </w:r>
      <w:r w:rsidR="00DB33A9">
        <w:instrText xml:space="preserve"> REF _Ref273429486 \r \h </w:instrText>
      </w:r>
      <w:r w:rsidR="005D7996">
        <w:fldChar w:fldCharType="separate"/>
      </w:r>
      <w:r w:rsidR="001231D3">
        <w:t>2.11</w:t>
      </w:r>
      <w:r w:rsidR="005D7996">
        <w:fldChar w:fldCharType="end"/>
      </w:r>
      <w:r w:rsidR="00DB33A9">
        <w:t>) und davon ausgehend die Merkmalsregeln ausliest (</w:t>
      </w:r>
      <w:r w:rsidR="005D7996">
        <w:fldChar w:fldCharType="begin"/>
      </w:r>
      <w:r w:rsidR="00DB33A9">
        <w:instrText xml:space="preserve"> REF _Ref272607625 \r \h </w:instrText>
      </w:r>
      <w:r w:rsidR="005D7996">
        <w:fldChar w:fldCharType="separate"/>
      </w:r>
      <w:r w:rsidR="001231D3">
        <w:t>2.13</w:t>
      </w:r>
      <w:r w:rsidR="005D7996">
        <w:fldChar w:fldCharType="end"/>
      </w:r>
      <w:r w:rsidR="00DB33A9">
        <w:t xml:space="preserve">) </w:t>
      </w:r>
      <w:r w:rsidR="004F5420">
        <w:t>und ob die Interpretation über das automatisch Bemerkte hinaus fortgeführt wird.</w:t>
      </w:r>
      <w:r w:rsidR="00E12FE2">
        <w:rPr>
          <w:rStyle w:val="Funotenzeichen"/>
        </w:rPr>
        <w:footnoteReference w:id="584"/>
      </w:r>
    </w:p>
    <w:p w:rsidR="00D74804" w:rsidRDefault="00D74804">
      <w:pPr>
        <w:pStyle w:val="Text"/>
      </w:pPr>
      <w:r>
        <w:t xml:space="preserve">Schwerer zu entscheiden ist die Frage, ob es unbewusstes </w:t>
      </w:r>
      <w:r w:rsidR="00663B18">
        <w:t xml:space="preserve">Wahrnehmen </w:t>
      </w:r>
      <w:r>
        <w:t>e</w:t>
      </w:r>
      <w:r>
        <w:t>i</w:t>
      </w:r>
      <w:r>
        <w:t xml:space="preserve">nes Stils gibt. </w:t>
      </w:r>
      <w:r w:rsidR="004F5420">
        <w:t xml:space="preserve">Plausibel ist, dass wir auch längere Zeit nach der Wahrnehmung einer Realisierung auf Aspekte von Stilen aufmerksam werden können; allerdings könnte es sein, dass in diesem Fall nur ein Wahrnehmungseindruck gespeichert wurde, den wir wieder aufrufen. </w:t>
      </w:r>
      <w:r w:rsidR="007D0B1E">
        <w:t xml:space="preserve">Zwar können selbstverständlich Eigenschaften einer Realisierung unbewusst wahrgenommen werden (beispielsweise wenn ein Autofahrer riskant fährt und dadurch Angst bei einem Mitfahrer entsteht, noch bevor diesem das Risiko bewusst geworden ist), aber dann handelt es sich nicht um </w:t>
      </w:r>
      <w:r w:rsidR="00854A12">
        <w:t xml:space="preserve">das Wahrnehmen </w:t>
      </w:r>
      <w:r w:rsidR="007D0B1E">
        <w:t>eines Stils, sondern eben nur einer Eigenschaft der Real</w:t>
      </w:r>
      <w:r w:rsidR="007D0B1E">
        <w:t>i</w:t>
      </w:r>
      <w:r w:rsidR="007D0B1E">
        <w:t>sierung ohne Berücksichtigung ihrer Gründe.</w:t>
      </w:r>
      <w:r w:rsidR="004F5420">
        <w:t xml:space="preserve"> </w:t>
      </w:r>
      <w:r w:rsidR="007D0B1E">
        <w:t>Ob Stile zumindest teilweise u</w:t>
      </w:r>
      <w:r w:rsidR="007D0B1E">
        <w:t>n</w:t>
      </w:r>
      <w:r w:rsidR="007D0B1E">
        <w:t xml:space="preserve">bewusst wahrgenommen werden können, </w:t>
      </w:r>
      <w:r w:rsidR="00DE0393">
        <w:t>muss</w:t>
      </w:r>
      <w:r w:rsidR="007D0B1E">
        <w:t xml:space="preserve"> wohl </w:t>
      </w:r>
      <w:r w:rsidR="00DE0393">
        <w:t xml:space="preserve">in </w:t>
      </w:r>
      <w:r w:rsidR="007D0B1E">
        <w:t>empirischen Unters</w:t>
      </w:r>
      <w:r w:rsidR="007D0B1E">
        <w:t>u</w:t>
      </w:r>
      <w:r w:rsidR="007D0B1E">
        <w:t>chung</w:t>
      </w:r>
      <w:r w:rsidR="00DE0393">
        <w:t>en</w:t>
      </w:r>
      <w:r w:rsidR="007D0B1E">
        <w:t xml:space="preserve"> geklärt werden.</w:t>
      </w:r>
    </w:p>
    <w:p w:rsidR="00D2554C" w:rsidRDefault="00D2554C" w:rsidP="006F71D1">
      <w:pPr>
        <w:pStyle w:val="Titel3"/>
      </w:pPr>
      <w:bookmarkStart w:id="459" w:name="_Ref233636622"/>
      <w:bookmarkStart w:id="460" w:name="_Toc325456817"/>
      <w:bookmarkStart w:id="461" w:name="Betrachtungsweise2"/>
      <w:bookmarkEnd w:id="458"/>
      <w:r>
        <w:t>Stil als Betrachtungsweise</w:t>
      </w:r>
      <w:bookmarkEnd w:id="441"/>
      <w:bookmarkEnd w:id="459"/>
      <w:bookmarkEnd w:id="460"/>
    </w:p>
    <w:p w:rsidR="00D2554C" w:rsidRDefault="005D7996" w:rsidP="00DF2B4D">
      <w:pPr>
        <w:pStyle w:val="Text"/>
        <w:ind w:firstLine="0"/>
      </w:pPr>
      <w:r>
        <w:fldChar w:fldCharType="begin"/>
      </w:r>
      <w:r w:rsidR="003C2036">
        <w:instrText xml:space="preserve"> XE "Stil:als Betrachtungsweise" \r "Betrachtungsweise2"</w:instrText>
      </w:r>
      <w:r w:rsidR="00362FC7">
        <w:instrText xml:space="preserve"> </w:instrText>
      </w:r>
      <w:r>
        <w:fldChar w:fldCharType="end"/>
      </w:r>
      <w:r w:rsidR="00D2554C">
        <w:t xml:space="preserve">Stil </w:t>
      </w:r>
      <w:r w:rsidR="007C1153">
        <w:t xml:space="preserve">kann als </w:t>
      </w:r>
      <w:r w:rsidR="00D2554C">
        <w:t xml:space="preserve">eine </w:t>
      </w:r>
      <w:r w:rsidR="00D2554C">
        <w:rPr>
          <w:i/>
        </w:rPr>
        <w:t>Betrachtungsweise</w:t>
      </w:r>
      <w:r w:rsidR="00D2554C">
        <w:t xml:space="preserve"> </w:t>
      </w:r>
      <w:r w:rsidR="00BC1C1B">
        <w:t>verstanden werden</w:t>
      </w:r>
      <w:r w:rsidR="007C1153">
        <w:t xml:space="preserve">, </w:t>
      </w:r>
      <w:r w:rsidR="00D2554C">
        <w:t xml:space="preserve">die man </w:t>
      </w:r>
      <w:r w:rsidR="00E40F46">
        <w:t>auf jeden B</w:t>
      </w:r>
      <w:r w:rsidR="00E40F46">
        <w:t>e</w:t>
      </w:r>
      <w:r w:rsidR="00E40F46">
        <w:t>reich</w:t>
      </w:r>
      <w:r w:rsidR="007C1153">
        <w:t xml:space="preserve"> menschlichen Verhaltens und menschlicher Erzeugnisse anwenden kann.</w:t>
      </w:r>
      <w:r w:rsidR="00F04501">
        <w:rPr>
          <w:rStyle w:val="Funotenzeichen"/>
        </w:rPr>
        <w:footnoteReference w:id="585"/>
      </w:r>
      <w:r w:rsidR="007C1153">
        <w:t xml:space="preserve"> </w:t>
      </w:r>
      <w:r w:rsidR="00D2554C">
        <w:t xml:space="preserve">Überall, wo man Schemata finden kann, mit deren Hilfe </w:t>
      </w:r>
      <w:r w:rsidR="00721558">
        <w:t>Alter</w:t>
      </w:r>
      <w:r w:rsidR="00721558">
        <w:softHyphen/>
        <w:t>nativen</w:t>
      </w:r>
      <w:r w:rsidR="00721558">
        <w:softHyphen/>
        <w:t>klasse</w:t>
      </w:r>
      <w:r w:rsidR="00DF7FE3">
        <w:t xml:space="preserve">n </w:t>
      </w:r>
      <w:r w:rsidR="00D2554C">
        <w:t xml:space="preserve">gebildet werden, kann man Stile erzeugen (indem man nach </w:t>
      </w:r>
      <w:r w:rsidR="00765E66">
        <w:t>Merkmalsregel</w:t>
      </w:r>
      <w:r w:rsidR="00D2554C">
        <w:t xml:space="preserve">n bezüglich dieser </w:t>
      </w:r>
      <w:r w:rsidR="00721558">
        <w:t>Alter</w:t>
      </w:r>
      <w:r w:rsidR="00721558">
        <w:softHyphen/>
        <w:t>nativen</w:t>
      </w:r>
      <w:r w:rsidR="00721558">
        <w:softHyphen/>
        <w:t>klasse</w:t>
      </w:r>
      <w:r w:rsidR="00DF7FE3">
        <w:t xml:space="preserve">n </w:t>
      </w:r>
      <w:r w:rsidR="00D2554C">
        <w:t xml:space="preserve">vorgeht) oder Stile </w:t>
      </w:r>
      <w:r w:rsidR="0085347E">
        <w:t xml:space="preserve">auszulesen </w:t>
      </w:r>
      <w:r w:rsidR="00D2554C">
        <w:t>versuchen.</w:t>
      </w:r>
    </w:p>
    <w:p w:rsidR="00D63773" w:rsidRDefault="00D2554C">
      <w:pPr>
        <w:pStyle w:val="Text"/>
      </w:pPr>
      <w:r>
        <w:t xml:space="preserve">So kann prinzipiell fast überall von „Stil“ gesprochen werden, je nachdem, welches Schema man annimmt (und damit auch: welche </w:t>
      </w:r>
      <w:r w:rsidR="00721558">
        <w:t>Alter</w:t>
      </w:r>
      <w:r w:rsidR="00721558">
        <w:softHyphen/>
        <w:t>nativen</w:t>
      </w:r>
      <w:r w:rsidR="00721558">
        <w:softHyphen/>
        <w:t>klasse</w:t>
      </w:r>
      <w:r w:rsidR="00DF7FE3">
        <w:t xml:space="preserve">n </w:t>
      </w:r>
      <w:r>
        <w:t xml:space="preserve">sich ergeben). Beispielsweise ist die Unterscheidung, ob etwas ein </w:t>
      </w:r>
      <w:r w:rsidR="005E4432">
        <w:t>Gedicht oder ein</w:t>
      </w:r>
      <w:r>
        <w:t xml:space="preserve"> </w:t>
      </w:r>
      <w:r w:rsidR="005E4432">
        <w:t>Prosastück</w:t>
      </w:r>
      <w:r>
        <w:t xml:space="preserve"> ist, normalerweise keine Frage des Stils, sondern eine de</w:t>
      </w:r>
      <w:r w:rsidR="005E4432">
        <w:t>r</w:t>
      </w:r>
      <w:r>
        <w:t xml:space="preserve"> </w:t>
      </w:r>
      <w:r w:rsidR="005E4432">
        <w:t>Gattung</w:t>
      </w:r>
      <w:r w:rsidR="005D7996">
        <w:fldChar w:fldCharType="begin"/>
      </w:r>
      <w:r w:rsidR="00AD1266">
        <w:instrText xml:space="preserve"> XE "</w:instrText>
      </w:r>
      <w:r w:rsidR="00AD1266" w:rsidRPr="000D5A50">
        <w:instrText>Gattung</w:instrText>
      </w:r>
      <w:r w:rsidR="00AD1266">
        <w:instrText xml:space="preserve">" </w:instrText>
      </w:r>
      <w:r w:rsidR="005D7996">
        <w:fldChar w:fldCharType="end"/>
      </w:r>
      <w:r>
        <w:t xml:space="preserve">. Für das Schema </w:t>
      </w:r>
      <w:r w:rsidR="00275549">
        <w:t>‚</w:t>
      </w:r>
      <w:r>
        <w:t>Hochzeitsansprache</w:t>
      </w:r>
      <w:r w:rsidR="00275549">
        <w:t>‘</w:t>
      </w:r>
      <w:r>
        <w:t xml:space="preserve"> kann es jedoch eine Stilentscheidung sein, wel</w:t>
      </w:r>
      <w:r w:rsidR="00D63773">
        <w:t xml:space="preserve">che von beiden Formen man </w:t>
      </w:r>
      <w:r w:rsidR="008203BC">
        <w:t>wählt: Dazu wird der Schemaort ‚</w:t>
      </w:r>
      <w:r w:rsidR="005E4432">
        <w:t xml:space="preserve">literarische Gattung </w:t>
      </w:r>
      <w:r w:rsidR="00D63773">
        <w:t>der Ansprache</w:t>
      </w:r>
      <w:r w:rsidR="008203BC">
        <w:t>‘</w:t>
      </w:r>
      <w:r w:rsidR="00D63773">
        <w:t xml:space="preserve"> angenommen und es wird eine Merkmalsregel form</w:t>
      </w:r>
      <w:r w:rsidR="00D63773">
        <w:t>u</w:t>
      </w:r>
      <w:r w:rsidR="00D63773">
        <w:t xml:space="preserve">liert, die in den </w:t>
      </w:r>
      <w:r w:rsidR="002B6D91">
        <w:t>Anwendungsbedingungen</w:t>
      </w:r>
      <w:r w:rsidR="00D63773">
        <w:t xml:space="preserve"> diesen Schemaort angibt und in den verlangten Eigenschaften </w:t>
      </w:r>
      <w:r w:rsidR="005E4432">
        <w:t xml:space="preserve">die </w:t>
      </w:r>
      <w:r w:rsidR="00D63773">
        <w:t xml:space="preserve">jeweilige </w:t>
      </w:r>
      <w:r w:rsidR="005E4432">
        <w:t>Gattung</w:t>
      </w:r>
      <w:r w:rsidR="00D63773">
        <w:t xml:space="preserve"> spezifiziert.</w:t>
      </w:r>
    </w:p>
    <w:p w:rsidR="007B296B" w:rsidRDefault="00D63773">
      <w:pPr>
        <w:pStyle w:val="Text"/>
      </w:pPr>
      <w:r>
        <w:t>Ebenso ist d</w:t>
      </w:r>
      <w:r w:rsidR="00D2554C">
        <w:t>ie Unterscheidung bei eine</w:t>
      </w:r>
      <w:r>
        <w:t xml:space="preserve">r literarischen Szene zwischen einem </w:t>
      </w:r>
      <w:r w:rsidR="007B296B">
        <w:t>Gewaltexzess</w:t>
      </w:r>
      <w:r w:rsidR="00D2554C">
        <w:t xml:space="preserve"> und </w:t>
      </w:r>
      <w:r>
        <w:t xml:space="preserve">einer </w:t>
      </w:r>
      <w:r w:rsidR="00D2554C">
        <w:t>Kindheitsschilde</w:t>
      </w:r>
      <w:r>
        <w:t>rung</w:t>
      </w:r>
      <w:r w:rsidR="00D2554C">
        <w:t xml:space="preserve"> normalerweise keine des Stils, sondern eine des Inhalts, während man die genaue sprachliche Gestaltung der </w:t>
      </w:r>
      <w:r w:rsidR="00D2554C">
        <w:lastRenderedPageBreak/>
        <w:t xml:space="preserve">Szenen </w:t>
      </w:r>
      <w:r w:rsidR="00067E99">
        <w:t xml:space="preserve">zum Stil zählen </w:t>
      </w:r>
      <w:r w:rsidR="00D2554C">
        <w:t xml:space="preserve">würde. Sie kann jedoch zu einer werden, wenn </w:t>
      </w:r>
      <w:r w:rsidR="008203BC">
        <w:t>beim Schema ‚</w:t>
      </w:r>
      <w:r w:rsidR="007B296B">
        <w:t>Roman</w:t>
      </w:r>
      <w:r w:rsidR="008203BC">
        <w:t>‘</w:t>
      </w:r>
      <w:r w:rsidR="007B296B">
        <w:t xml:space="preserve"> für den </w:t>
      </w:r>
      <w:r w:rsidR="00D2554C">
        <w:t>Schema</w:t>
      </w:r>
      <w:r w:rsidR="007B296B">
        <w:t>ort</w:t>
      </w:r>
      <w:r w:rsidR="008203BC">
        <w:t xml:space="preserve"> ‚</w:t>
      </w:r>
      <w:r w:rsidR="00D2554C">
        <w:t>Eröffnungsszene</w:t>
      </w:r>
      <w:r w:rsidR="008203BC">
        <w:t>‘</w:t>
      </w:r>
      <w:r w:rsidR="00D2554C">
        <w:t xml:space="preserve"> </w:t>
      </w:r>
      <w:r w:rsidR="007B296B">
        <w:t xml:space="preserve">zwischen diesen beiden gewählt wird: Es kann typisch für </w:t>
      </w:r>
      <w:r w:rsidR="00F0636C">
        <w:t>den Erzählstil</w:t>
      </w:r>
      <w:r w:rsidR="005D7996">
        <w:fldChar w:fldCharType="begin"/>
      </w:r>
      <w:r w:rsidR="00DA2FD5">
        <w:instrText xml:space="preserve"> XE "</w:instrText>
      </w:r>
      <w:r w:rsidR="00DA2FD5" w:rsidRPr="00DC1C5A">
        <w:instrText>Erzählstil</w:instrText>
      </w:r>
      <w:r w:rsidR="00DA2FD5">
        <w:instrText xml:space="preserve">" </w:instrText>
      </w:r>
      <w:r w:rsidR="005D7996">
        <w:fldChar w:fldCharType="end"/>
      </w:r>
      <w:r w:rsidR="00F0636C">
        <w:rPr>
          <w:rStyle w:val="Funotenzeichen"/>
        </w:rPr>
        <w:footnoteReference w:id="586"/>
      </w:r>
      <w:r w:rsidR="00F0636C">
        <w:t xml:space="preserve"> einer</w:t>
      </w:r>
      <w:r w:rsidR="007B296B">
        <w:t xml:space="preserve"> Autorin sein, mit einer spektakulär blutigen Szene zu beginnen, und für eine andere, die Geschichte des Protagonisten in der Kindheit beginnen zu lassen.</w:t>
      </w:r>
      <w:r>
        <w:t xml:space="preserve"> Es würde also für</w:t>
      </w:r>
      <w:r w:rsidR="008203BC">
        <w:t xml:space="preserve"> den Sch</w:t>
      </w:r>
      <w:r w:rsidR="008203BC">
        <w:t>e</w:t>
      </w:r>
      <w:r w:rsidR="008203BC">
        <w:t>maort ‚</w:t>
      </w:r>
      <w:r>
        <w:t>Eröffnungsszene</w:t>
      </w:r>
      <w:r w:rsidR="008203BC">
        <w:t>‘ entweder ‚</w:t>
      </w:r>
      <w:r w:rsidR="00DA2FD5">
        <w:t>spektakulär blutige</w:t>
      </w:r>
      <w:r>
        <w:t xml:space="preserve"> </w:t>
      </w:r>
      <w:r w:rsidR="00DA2FD5">
        <w:t>Szene</w:t>
      </w:r>
      <w:r w:rsidR="008203BC">
        <w:t>‘ oder eben ‚</w:t>
      </w:r>
      <w:r>
        <w:t>Kin</w:t>
      </w:r>
      <w:r>
        <w:t>d</w:t>
      </w:r>
      <w:r>
        <w:t>heitsschilderung</w:t>
      </w:r>
      <w:r w:rsidR="008203BC">
        <w:t>‘</w:t>
      </w:r>
      <w:r>
        <w:t xml:space="preserve"> spezifiziert.</w:t>
      </w:r>
    </w:p>
    <w:p w:rsidR="00404032" w:rsidRDefault="00D63773">
      <w:pPr>
        <w:pStyle w:val="Text"/>
      </w:pPr>
      <w:r>
        <w:t xml:space="preserve">Es kommt also, wie die Beispiele zeigen, darauf an, dass eine entsprechende Merkmalsregel formuliert werden kann. </w:t>
      </w:r>
      <w:r w:rsidR="00404032">
        <w:t>Normalerweise betrachtet man die U</w:t>
      </w:r>
      <w:r w:rsidR="00404032">
        <w:t>n</w:t>
      </w:r>
      <w:r w:rsidR="00404032">
        <w:t>terscheidung zwischen verschiedenen Textsorten</w:t>
      </w:r>
      <w:r w:rsidR="005D7996">
        <w:fldChar w:fldCharType="begin"/>
      </w:r>
      <w:r w:rsidR="00A82973">
        <w:instrText xml:space="preserve"> XE "</w:instrText>
      </w:r>
      <w:r w:rsidR="00A82973" w:rsidRPr="002B4DA8">
        <w:instrText>Textsorte</w:instrText>
      </w:r>
      <w:r w:rsidR="00A82973">
        <w:instrText xml:space="preserve">" </w:instrText>
      </w:r>
      <w:r w:rsidR="005D7996">
        <w:fldChar w:fldCharType="end"/>
      </w:r>
      <w:r w:rsidR="00404032">
        <w:t xml:space="preserve"> </w:t>
      </w:r>
      <w:r w:rsidR="00BD20E6">
        <w:t xml:space="preserve">(die im Bereich der Literatur auch „Gattungen“ genannt werden) </w:t>
      </w:r>
      <w:r w:rsidR="00404032">
        <w:t xml:space="preserve">als funktionsabhängig mehr oder minder festgelegt, daher macht es wenig Sinn, sie über einen </w:t>
      </w:r>
      <w:r w:rsidR="00326346">
        <w:t xml:space="preserve">Schemaort </w:t>
      </w:r>
      <w:r w:rsidR="00404032">
        <w:t xml:space="preserve">des </w:t>
      </w:r>
      <w:r w:rsidR="00326346">
        <w:t>allgemeine Schema</w:t>
      </w:r>
      <w:r w:rsidR="00404032">
        <w:t>s</w:t>
      </w:r>
      <w:r w:rsidR="008203BC">
        <w:t xml:space="preserve"> ‚</w:t>
      </w:r>
      <w:r w:rsidR="00326346">
        <w:t>sprachlicher Text</w:t>
      </w:r>
      <w:r w:rsidR="008203BC">
        <w:t>‘</w:t>
      </w:r>
      <w:r w:rsidR="00326346">
        <w:t xml:space="preserve"> </w:t>
      </w:r>
      <w:r w:rsidR="00404032">
        <w:t>zu spezifizieren;</w:t>
      </w:r>
      <w:r w:rsidR="00326346">
        <w:t xml:space="preserve"> </w:t>
      </w:r>
      <w:r w:rsidR="00404032">
        <w:t xml:space="preserve">will man also ein so allgemeines Schema annehmen, kann man die </w:t>
      </w:r>
      <w:r w:rsidR="006F1BE9">
        <w:t xml:space="preserve">Textsorten- oder </w:t>
      </w:r>
      <w:r w:rsidR="005E4432">
        <w:t>Gattungs</w:t>
      </w:r>
      <w:r w:rsidR="00404032">
        <w:t xml:space="preserve">unterscheidung </w:t>
      </w:r>
      <w:r w:rsidR="00326346">
        <w:t>über Unterschema</w:t>
      </w:r>
      <w:r w:rsidR="00404032">
        <w:t>ta</w:t>
      </w:r>
      <w:r w:rsidR="005D7996">
        <w:fldChar w:fldCharType="begin"/>
      </w:r>
      <w:r w:rsidR="00F67AF9">
        <w:instrText xml:space="preserve"> XE "</w:instrText>
      </w:r>
      <w:r w:rsidR="00F67AF9" w:rsidRPr="005C545E">
        <w:instrText>Unterschema</w:instrText>
      </w:r>
      <w:r w:rsidR="00F67AF9">
        <w:instrText xml:space="preserve">" </w:instrText>
      </w:r>
      <w:r w:rsidR="005D7996">
        <w:fldChar w:fldCharType="end"/>
      </w:r>
      <w:r w:rsidR="00404032">
        <w:t xml:space="preserve"> spezifizieren</w:t>
      </w:r>
      <w:r w:rsidR="00326346">
        <w:t xml:space="preserve"> (vgl. Abschnitt</w:t>
      </w:r>
      <w:r w:rsidR="006C3B57">
        <w:t xml:space="preserve"> </w:t>
      </w:r>
      <w:r w:rsidR="005D7996">
        <w:fldChar w:fldCharType="begin"/>
      </w:r>
      <w:r w:rsidR="006C3B57">
        <w:instrText xml:space="preserve"> REF _Ref324923927 \r \h </w:instrText>
      </w:r>
      <w:r w:rsidR="005D7996">
        <w:fldChar w:fldCharType="separate"/>
      </w:r>
      <w:r w:rsidR="001231D3">
        <w:t>4.2.4</w:t>
      </w:r>
      <w:r w:rsidR="005D7996">
        <w:fldChar w:fldCharType="end"/>
      </w:r>
      <w:r w:rsidR="00326346">
        <w:t>)</w:t>
      </w:r>
      <w:r w:rsidR="008203BC">
        <w:t>, oder es wird gleich zw</w:t>
      </w:r>
      <w:r w:rsidR="008203BC">
        <w:t>i</w:t>
      </w:r>
      <w:r w:rsidR="008203BC">
        <w:t>schen ‚</w:t>
      </w:r>
      <w:r w:rsidR="00326346">
        <w:t>Gedicht</w:t>
      </w:r>
      <w:r w:rsidR="008203BC">
        <w:t>‘ und ‚</w:t>
      </w:r>
      <w:r w:rsidR="00326346">
        <w:t>Prosatext</w:t>
      </w:r>
      <w:r w:rsidR="008203BC">
        <w:t>‘</w:t>
      </w:r>
      <w:r w:rsidR="00326346">
        <w:t xml:space="preserve"> als </w:t>
      </w:r>
      <w:r w:rsidR="00404032">
        <w:t>verschiedene</w:t>
      </w:r>
      <w:r w:rsidR="00E40F46">
        <w:t>n</w:t>
      </w:r>
      <w:r w:rsidR="00404032">
        <w:t xml:space="preserve"> </w:t>
      </w:r>
      <w:r w:rsidR="00326346">
        <w:t>Sche</w:t>
      </w:r>
      <w:r w:rsidR="008203BC">
        <w:t>mata unterschieden. Das Schema ‚</w:t>
      </w:r>
      <w:r w:rsidR="00326346">
        <w:t>Hochzeitsansprache</w:t>
      </w:r>
      <w:r w:rsidR="008203BC">
        <w:t>‘</w:t>
      </w:r>
      <w:r w:rsidR="00326346">
        <w:t xml:space="preserve"> </w:t>
      </w:r>
      <w:r w:rsidR="00404032">
        <w:t xml:space="preserve">umfasst jedoch konventionell die Möglichkeit, zwischen </w:t>
      </w:r>
      <w:r w:rsidR="00326346">
        <w:t>verschiedene</w:t>
      </w:r>
      <w:r w:rsidR="00404032">
        <w:t>n</w:t>
      </w:r>
      <w:r w:rsidR="00326346">
        <w:t xml:space="preserve"> </w:t>
      </w:r>
      <w:r w:rsidR="00404032">
        <w:t>Textsorten</w:t>
      </w:r>
      <w:r w:rsidR="005D7996">
        <w:fldChar w:fldCharType="begin"/>
      </w:r>
      <w:r w:rsidR="00A82973">
        <w:instrText xml:space="preserve"> XE "</w:instrText>
      </w:r>
      <w:r w:rsidR="00A82973" w:rsidRPr="002B4DA8">
        <w:instrText>Textsorte</w:instrText>
      </w:r>
      <w:r w:rsidR="00A82973">
        <w:instrText xml:space="preserve">" </w:instrText>
      </w:r>
      <w:r w:rsidR="005D7996">
        <w:fldChar w:fldCharType="end"/>
      </w:r>
      <w:r w:rsidR="00404032">
        <w:t xml:space="preserve"> </w:t>
      </w:r>
      <w:r w:rsidR="00326346">
        <w:t xml:space="preserve">zu </w:t>
      </w:r>
      <w:r w:rsidR="00404032">
        <w:t>wählen</w:t>
      </w:r>
      <w:r w:rsidR="00326346">
        <w:t xml:space="preserve">, daher kann hier ein </w:t>
      </w:r>
      <w:r w:rsidR="00404032">
        <w:t>entspreche</w:t>
      </w:r>
      <w:r w:rsidR="00404032">
        <w:t>n</w:t>
      </w:r>
      <w:r w:rsidR="00404032">
        <w:t>der Schemaort sinnvoll angenommen werden.</w:t>
      </w:r>
    </w:p>
    <w:p w:rsidR="00D63773" w:rsidRDefault="00404032">
      <w:pPr>
        <w:pStyle w:val="Text"/>
      </w:pPr>
      <w:r>
        <w:t>Ebenso ist die Frage, was erzählt wird, normalerweise eine des Inhalts und muss daher über inhaltliche Bedingungen</w:t>
      </w:r>
      <w:r w:rsidR="005D7996">
        <w:fldChar w:fldCharType="begin"/>
      </w:r>
      <w:r w:rsidR="00D92A29">
        <w:instrText xml:space="preserve"> XE "</w:instrText>
      </w:r>
      <w:r w:rsidR="00D92A29" w:rsidRPr="007605F5">
        <w:instrText>inhaltliche Bedingungen</w:instrText>
      </w:r>
      <w:r w:rsidR="00D92A29">
        <w:instrText xml:space="preserve">" </w:instrText>
      </w:r>
      <w:r w:rsidR="005D7996">
        <w:fldChar w:fldCharType="end"/>
      </w:r>
      <w:r>
        <w:t xml:space="preserve"> spezifiziert werden. Definiert man jedoch ein Schema wie </w:t>
      </w:r>
      <w:r w:rsidR="008203BC">
        <w:t>‚</w:t>
      </w:r>
      <w:r>
        <w:t>Roman</w:t>
      </w:r>
      <w:r w:rsidR="008203BC">
        <w:t>‘</w:t>
      </w:r>
      <w:r>
        <w:t xml:space="preserve"> (oder </w:t>
      </w:r>
      <w:r w:rsidR="008203BC">
        <w:t>‚</w:t>
      </w:r>
      <w:r>
        <w:t>Drama</w:t>
      </w:r>
      <w:r w:rsidR="008203BC">
        <w:t>‘</w:t>
      </w:r>
      <w:r>
        <w:t>, usw.) und spezifiziert dafür e</w:t>
      </w:r>
      <w:r>
        <w:t>i</w:t>
      </w:r>
      <w:r>
        <w:t xml:space="preserve">nen speziellen Schemaort </w:t>
      </w:r>
      <w:r w:rsidR="008203BC">
        <w:t>‚</w:t>
      </w:r>
      <w:r>
        <w:t>Eröffnungsszene</w:t>
      </w:r>
      <w:r w:rsidR="008203BC">
        <w:t>‘</w:t>
      </w:r>
      <w:r>
        <w:t xml:space="preserve"> (oder </w:t>
      </w:r>
      <w:r w:rsidR="008203BC">
        <w:t>‚</w:t>
      </w:r>
      <w:r>
        <w:t>Peripetie</w:t>
      </w:r>
      <w:r w:rsidR="008203BC">
        <w:t>‘,</w:t>
      </w:r>
      <w:r>
        <w:t xml:space="preserve"> usw.), dann kann, sofern keine zusätzlichen inhaltlichen Bedingungen spezifiziert werden, auch die Wahl des Inhalts in den verlangten Eigenschaften einer Merkmalsregel spezif</w:t>
      </w:r>
      <w:r>
        <w:t>i</w:t>
      </w:r>
      <w:r>
        <w:t>ziert werden.</w:t>
      </w:r>
    </w:p>
    <w:p w:rsidR="00D2554C" w:rsidRDefault="005E5C10">
      <w:pPr>
        <w:pStyle w:val="Text"/>
      </w:pPr>
      <w:r>
        <w:t xml:space="preserve">Einige weitere Beispiele: Die </w:t>
      </w:r>
      <w:r w:rsidR="00D2554C">
        <w:t>Unterscheidung zwischen zwei beliebigen ve</w:t>
      </w:r>
      <w:r w:rsidR="00D2554C">
        <w:t>r</w:t>
      </w:r>
      <w:r w:rsidR="00D2554C">
        <w:t xml:space="preserve">schiedenen Spielzügen beim </w:t>
      </w:r>
      <w:r w:rsidR="007B296B">
        <w:t xml:space="preserve">Schema </w:t>
      </w:r>
      <w:r w:rsidR="008203BC">
        <w:t>‚</w:t>
      </w:r>
      <w:r w:rsidR="007B296B">
        <w:t>Schach</w:t>
      </w:r>
      <w:r w:rsidR="005D7996">
        <w:fldChar w:fldCharType="begin"/>
      </w:r>
      <w:r w:rsidR="008B1E57">
        <w:instrText xml:space="preserve"> XE "</w:instrText>
      </w:r>
      <w:r w:rsidR="008B1E57" w:rsidRPr="001A402B">
        <w:rPr>
          <w:szCs w:val="17"/>
        </w:rPr>
        <w:instrText>Schach</w:instrText>
      </w:r>
      <w:r w:rsidR="008B1E57">
        <w:instrText xml:space="preserve">" </w:instrText>
      </w:r>
      <w:r w:rsidR="005D7996">
        <w:fldChar w:fldCharType="end"/>
      </w:r>
      <w:r w:rsidR="007B296B">
        <w:t xml:space="preserve"> spielen</w:t>
      </w:r>
      <w:r w:rsidR="008203BC">
        <w:t>‘</w:t>
      </w:r>
      <w:r w:rsidR="007B296B">
        <w:t xml:space="preserve"> </w:t>
      </w:r>
      <w:r w:rsidR="00D2554C">
        <w:t xml:space="preserve">(oder einem anderen Spiel) </w:t>
      </w:r>
      <w:r>
        <w:t xml:space="preserve">ist normalerweise </w:t>
      </w:r>
      <w:r w:rsidR="00D2554C">
        <w:t>keine des Stils</w:t>
      </w:r>
      <w:r>
        <w:t>, sondern eine des Spielverlaufs</w:t>
      </w:r>
      <w:r w:rsidR="00D2554C">
        <w:t xml:space="preserve">; sie wird jedoch </w:t>
      </w:r>
      <w:r w:rsidR="007B296B">
        <w:t xml:space="preserve">für den </w:t>
      </w:r>
      <w:r w:rsidR="00D2554C">
        <w:t>Schema</w:t>
      </w:r>
      <w:r w:rsidR="007B296B">
        <w:t>ort</w:t>
      </w:r>
      <w:r w:rsidR="00D2554C">
        <w:t xml:space="preserve"> </w:t>
      </w:r>
      <w:r w:rsidR="008203BC">
        <w:t>‚</w:t>
      </w:r>
      <w:r w:rsidR="00D2554C">
        <w:t>Spieleröffnung</w:t>
      </w:r>
      <w:r w:rsidR="008203BC">
        <w:t>‘</w:t>
      </w:r>
      <w:r w:rsidR="00D2554C">
        <w:t xml:space="preserve"> zu einer stili</w:t>
      </w:r>
      <w:r>
        <w:t xml:space="preserve">stisch relevanten Entscheidung. Die </w:t>
      </w:r>
      <w:r w:rsidR="00006C52">
        <w:t>exakten Unterschiede zwischen zwei Fahrtrouten ist keine des Stils einer Autofahrerin; es kann jedoch durchaus stilistisch relevant sein, ob sie die Aut</w:t>
      </w:r>
      <w:r w:rsidR="00006C52">
        <w:t>o</w:t>
      </w:r>
      <w:r w:rsidR="00006C52">
        <w:t xml:space="preserve">bahn wählt oder lieber über Landstraßen fährt, wenn es beide Möglichkeiten gibt. </w:t>
      </w:r>
      <w:r w:rsidR="00D2554C">
        <w:t xml:space="preserve">Die Unterscheidung zwischen den </w:t>
      </w:r>
      <w:r w:rsidR="007B296B">
        <w:t xml:space="preserve">Handlungen </w:t>
      </w:r>
      <w:r w:rsidR="008203BC">
        <w:t>‚</w:t>
      </w:r>
      <w:r w:rsidR="00D2554C">
        <w:t>Verfassen eines Textes</w:t>
      </w:r>
      <w:r w:rsidR="008203BC">
        <w:t>‘</w:t>
      </w:r>
      <w:r w:rsidR="00D2554C">
        <w:t xml:space="preserve"> und </w:t>
      </w:r>
      <w:r w:rsidR="008203BC">
        <w:t>‚</w:t>
      </w:r>
      <w:r w:rsidR="00D2554C">
        <w:t xml:space="preserve">mit dem Auto </w:t>
      </w:r>
      <w:r w:rsidR="008203BC">
        <w:t>herum</w:t>
      </w:r>
      <w:r w:rsidR="00D2554C">
        <w:t>fahren</w:t>
      </w:r>
      <w:r w:rsidR="008203BC">
        <w:t>‘</w:t>
      </w:r>
      <w:r w:rsidR="00D2554C">
        <w:t xml:space="preserve"> ist normalerweise keine des Stils (beides sind </w:t>
      </w:r>
      <w:r w:rsidR="007B296B">
        <w:t>ganz unterschiedliche Handlungen, die selbst wiederum einen Stil aufweisen können, nämlich einen Schreib- bzw. einen Fahrstil</w:t>
      </w:r>
      <w:r w:rsidR="005D7996">
        <w:fldChar w:fldCharType="begin"/>
      </w:r>
      <w:r w:rsidR="00062FBE">
        <w:instrText xml:space="preserve"> XE "</w:instrText>
      </w:r>
      <w:r w:rsidR="00062FBE" w:rsidRPr="00D16402">
        <w:instrText>Fahrstil</w:instrText>
      </w:r>
      <w:r w:rsidR="00062FBE">
        <w:instrText xml:space="preserve">" </w:instrText>
      </w:r>
      <w:r w:rsidR="005D7996">
        <w:fldChar w:fldCharType="end"/>
      </w:r>
      <w:r w:rsidR="007B296B">
        <w:t xml:space="preserve">). Wählt </w:t>
      </w:r>
      <w:r w:rsidR="00D2554C">
        <w:t xml:space="preserve">man jedoch </w:t>
      </w:r>
      <w:r w:rsidR="007B296B">
        <w:t xml:space="preserve">den </w:t>
      </w:r>
      <w:r w:rsidR="00D2554C">
        <w:t>Schema</w:t>
      </w:r>
      <w:r w:rsidR="007B296B">
        <w:t>ort</w:t>
      </w:r>
      <w:r w:rsidR="00D2554C">
        <w:t xml:space="preserve"> </w:t>
      </w:r>
      <w:r w:rsidR="008203BC">
        <w:t>‚</w:t>
      </w:r>
      <w:r w:rsidR="00D2554C">
        <w:t>normale Tätigkeit am Wochenende</w:t>
      </w:r>
      <w:r w:rsidR="008203BC">
        <w:t>‘</w:t>
      </w:r>
      <w:r w:rsidR="00D2554C">
        <w:t xml:space="preserve"> </w:t>
      </w:r>
      <w:r w:rsidR="007B296B">
        <w:t xml:space="preserve">des Schemas </w:t>
      </w:r>
      <w:r w:rsidR="008203BC">
        <w:t>‚</w:t>
      </w:r>
      <w:r w:rsidR="007B296B">
        <w:t>Lebensweise</w:t>
      </w:r>
      <w:r w:rsidR="008203BC">
        <w:t>‘</w:t>
      </w:r>
      <w:r w:rsidR="00D2554C">
        <w:t>, dann kann es sich durchaus um eine Stilfrage handeln</w:t>
      </w:r>
      <w:r w:rsidR="002B2A31">
        <w:t>: Ob am Wochenende geschri</w:t>
      </w:r>
      <w:r w:rsidR="002B2A31">
        <w:t>e</w:t>
      </w:r>
      <w:r w:rsidR="002B2A31">
        <w:lastRenderedPageBreak/>
        <w:t xml:space="preserve">ben oder mit dem Auto </w:t>
      </w:r>
      <w:r w:rsidR="004D1D32">
        <w:t xml:space="preserve">herumgefahren </w:t>
      </w:r>
      <w:r w:rsidR="002B2A31">
        <w:t>wird, kann nun zu</w:t>
      </w:r>
      <w:r w:rsidR="00DB33A9">
        <w:t xml:space="preserve"> einer</w:t>
      </w:r>
      <w:r w:rsidR="002B2A31">
        <w:t xml:space="preserve"> Merkmal</w:t>
      </w:r>
      <w:r w:rsidR="00DB33A9">
        <w:t>sregel</w:t>
      </w:r>
      <w:r w:rsidR="002B2A31">
        <w:t xml:space="preserve"> eines Lebensstils</w:t>
      </w:r>
      <w:r w:rsidR="005D7996">
        <w:fldChar w:fldCharType="begin"/>
      </w:r>
      <w:r w:rsidR="00673F18">
        <w:instrText xml:space="preserve"> XE "</w:instrText>
      </w:r>
      <w:r w:rsidR="00673F18" w:rsidRPr="00B41AC9">
        <w:instrText>Lebensstil</w:instrText>
      </w:r>
      <w:r w:rsidR="00673F18">
        <w:instrText xml:space="preserve">" </w:instrText>
      </w:r>
      <w:r w:rsidR="005D7996">
        <w:fldChar w:fldCharType="end"/>
      </w:r>
      <w:r w:rsidR="002B2A31">
        <w:t xml:space="preserve"> werden.</w:t>
      </w:r>
      <w:r w:rsidR="00A4396B">
        <w:rPr>
          <w:rStyle w:val="Funotenzeichen"/>
        </w:rPr>
        <w:footnoteReference w:id="587"/>
      </w:r>
    </w:p>
    <w:p w:rsidR="007E70CF" w:rsidRDefault="008A5172">
      <w:pPr>
        <w:pStyle w:val="Text"/>
      </w:pPr>
      <w:r>
        <w:t>Für alle betrachteten Fälle gilt: Die Voraussetzung dafür, dass ein Unte</w:t>
      </w:r>
      <w:r>
        <w:t>r</w:t>
      </w:r>
      <w:r>
        <w:t xml:space="preserve">schied </w:t>
      </w:r>
      <w:r w:rsidR="00C02BD1">
        <w:t>als stilistischer Unterschied betrachtet</w:t>
      </w:r>
      <w:r>
        <w:t xml:space="preserve"> wird, ist, dass er als Unterschied zweier Merkmalsregeln formuliert </w:t>
      </w:r>
      <w:r w:rsidR="00C02BD1">
        <w:t>werden kann</w:t>
      </w:r>
      <w:r>
        <w:t xml:space="preserve">. </w:t>
      </w:r>
      <w:r w:rsidR="002920AE">
        <w:t xml:space="preserve">Jede Merkmalsregel besteht aus </w:t>
      </w:r>
      <w:r w:rsidR="002B6D91">
        <w:t>Anwendungsbedingungen</w:t>
      </w:r>
      <w:r w:rsidR="002920AE">
        <w:t>, in denen Schemaortbedingungen angegeben sein müssen und darüber hinaus kontextuelle, inhaltliche oder funktionale Bedingu</w:t>
      </w:r>
      <w:r w:rsidR="002920AE">
        <w:t>n</w:t>
      </w:r>
      <w:r w:rsidR="002920AE">
        <w:t>gen</w:t>
      </w:r>
      <w:r w:rsidR="005D7996">
        <w:fldChar w:fldCharType="begin"/>
      </w:r>
      <w:r w:rsidR="00D92A29">
        <w:instrText xml:space="preserve"> XE "</w:instrText>
      </w:r>
      <w:r w:rsidR="00D92A29" w:rsidRPr="00DB4D56">
        <w:instrText>funktionale Bedingungen</w:instrText>
      </w:r>
      <w:r w:rsidR="00D92A29">
        <w:instrText xml:space="preserve">" </w:instrText>
      </w:r>
      <w:r w:rsidR="005D7996">
        <w:fldChar w:fldCharType="end"/>
      </w:r>
      <w:r w:rsidR="002920AE">
        <w:t xml:space="preserve"> angegeben sein können, und verlangten Eigenschaften.</w:t>
      </w:r>
      <w:r w:rsidR="002920AE">
        <w:rPr>
          <w:rStyle w:val="Funotenzeichen"/>
        </w:rPr>
        <w:footnoteReference w:id="588"/>
      </w:r>
      <w:r w:rsidR="002920AE">
        <w:t xml:space="preserve"> Es ist daher nötig, dass es einen Schemaort gibt, für den dann genauere Angaben gemacht werden. Es kann nicht einfach </w:t>
      </w:r>
      <w:r w:rsidR="007E70CF">
        <w:t>bei einem Textstil ein Teil des</w:t>
      </w:r>
      <w:r w:rsidR="002920AE">
        <w:t xml:space="preserve"> </w:t>
      </w:r>
      <w:r>
        <w:t>Inhalt</w:t>
      </w:r>
      <w:r w:rsidR="007E70CF">
        <w:t>s</w:t>
      </w:r>
      <w:r>
        <w:t xml:space="preserve">, bei einer </w:t>
      </w:r>
      <w:r w:rsidR="007E70CF">
        <w:t xml:space="preserve">Autofahrt ein Teil der </w:t>
      </w:r>
      <w:r>
        <w:t xml:space="preserve">Route, bei einem Schachspiel </w:t>
      </w:r>
      <w:r w:rsidR="007E70CF">
        <w:t xml:space="preserve">eine </w:t>
      </w:r>
      <w:r>
        <w:t xml:space="preserve">Abfolge </w:t>
      </w:r>
      <w:r w:rsidR="007E70CF">
        <w:t xml:space="preserve">von </w:t>
      </w:r>
      <w:r>
        <w:t>Spielzüge</w:t>
      </w:r>
      <w:r w:rsidR="007E70CF">
        <w:t>n</w:t>
      </w:r>
      <w:r>
        <w:t xml:space="preserve"> in Mer</w:t>
      </w:r>
      <w:r>
        <w:t>k</w:t>
      </w:r>
      <w:r>
        <w:t xml:space="preserve">malsregeln spezifiziert werden. </w:t>
      </w:r>
      <w:r w:rsidR="00C02BD1">
        <w:t xml:space="preserve">Schließlich </w:t>
      </w:r>
      <w:r w:rsidR="007E70CF">
        <w:t xml:space="preserve">wäre unklar, wie diese </w:t>
      </w:r>
      <w:r w:rsidR="0059760B">
        <w:t>Spezifikati</w:t>
      </w:r>
      <w:r w:rsidR="0059760B">
        <w:t>o</w:t>
      </w:r>
      <w:r w:rsidR="0059760B">
        <w:t>n</w:t>
      </w:r>
      <w:r w:rsidR="007E70CF">
        <w:t>en bei anderen Realisierungen a</w:t>
      </w:r>
      <w:r w:rsidR="00C02BD1">
        <w:t>nzuwenden wären;</w:t>
      </w:r>
      <w:r w:rsidR="007E70CF">
        <w:t xml:space="preserve"> es würde sich also gar nicht um wirkliche Regeln handeln.</w:t>
      </w:r>
      <w:r w:rsidR="00C02BD1">
        <w:t xml:space="preserve"> Was sollte man etwa mit der ‚stilistischen Info</w:t>
      </w:r>
      <w:r w:rsidR="00C02BD1">
        <w:t>r</w:t>
      </w:r>
      <w:r w:rsidR="00C02BD1">
        <w:t>mation‘ anfangen, dass ein Schachspieler eine bestimmte Figur um zwei Felder vorsetzt</w:t>
      </w:r>
      <w:r w:rsidR="001F3E3B">
        <w:t>,</w:t>
      </w:r>
      <w:r w:rsidR="00C02BD1">
        <w:t xml:space="preserve"> </w:t>
      </w:r>
      <w:r w:rsidR="001F3E3B">
        <w:t>d</w:t>
      </w:r>
      <w:r w:rsidR="00C02BD1">
        <w:t>ass ein Schriftsteller einen seiner Helden sterben lässt</w:t>
      </w:r>
      <w:r w:rsidR="001F3E3B">
        <w:t>, o</w:t>
      </w:r>
      <w:r w:rsidR="00C02BD1">
        <w:t>der dass ein Autofahrer von der Autobahn abfährt?</w:t>
      </w:r>
    </w:p>
    <w:p w:rsidR="00C00B2E" w:rsidRDefault="003F5A98" w:rsidP="007E70CF">
      <w:pPr>
        <w:pStyle w:val="Text"/>
      </w:pPr>
      <w:r>
        <w:t xml:space="preserve">Solche Informationen sind </w:t>
      </w:r>
      <w:r w:rsidR="00C02BD1">
        <w:t>keine Merkmal</w:t>
      </w:r>
      <w:r w:rsidR="00DB33A9">
        <w:t>sregeln</w:t>
      </w:r>
      <w:r w:rsidR="00C02BD1">
        <w:t xml:space="preserve">, weil nicht angegeben ist, </w:t>
      </w:r>
      <w:r>
        <w:t xml:space="preserve">unter welchen Bedingungen </w:t>
      </w:r>
      <w:r w:rsidR="002C62B3">
        <w:t xml:space="preserve">die genannten Ereignisse </w:t>
      </w:r>
      <w:r w:rsidR="00C02BD1">
        <w:t xml:space="preserve">vorkommen, und daher keine Regel entsteht. </w:t>
      </w:r>
      <w:r>
        <w:t xml:space="preserve">Solche Ereignisse </w:t>
      </w:r>
      <w:r w:rsidR="00C02BD1">
        <w:t>können in einem Schachspiel, einem Roman oder einer Autofahrt vorkommen; weiß man nicht, wodurch sie veru</w:t>
      </w:r>
      <w:r w:rsidR="00C02BD1">
        <w:t>r</w:t>
      </w:r>
      <w:r w:rsidR="00C02BD1">
        <w:t>sacht wurden, kann man dennoch keine Aussage darüber machen, ob sie in der nächsten Reali</w:t>
      </w:r>
      <w:r w:rsidR="00A20717">
        <w:t>sierung des</w:t>
      </w:r>
      <w:r w:rsidR="00C02BD1">
        <w:t xml:space="preserve">selben </w:t>
      </w:r>
      <w:r w:rsidR="00A20717">
        <w:t>Typs</w:t>
      </w:r>
      <w:r w:rsidR="00C02BD1">
        <w:t xml:space="preserve"> wieder vorkommen werden</w:t>
      </w:r>
      <w:r w:rsidR="00C00B2E">
        <w:t>, und wenn ja, an welcher Stelle der Realisierung dies der Fall sein wird.</w:t>
      </w:r>
    </w:p>
    <w:p w:rsidR="00C00B2E" w:rsidRDefault="00C00B2E" w:rsidP="007E70CF">
      <w:pPr>
        <w:pStyle w:val="Text"/>
      </w:pPr>
      <w:r>
        <w:t>Dies ändert sich, wenn sie als verlangte Eigenschaften für eine Merkmalsr</w:t>
      </w:r>
      <w:r>
        <w:t>e</w:t>
      </w:r>
      <w:r>
        <w:t>gel definiert werden. Dafür ist erforderlich, dass ein Schemaort des jeweils real</w:t>
      </w:r>
      <w:r>
        <w:t>i</w:t>
      </w:r>
      <w:r>
        <w:t xml:space="preserve">sierten Schemas und gegebenenfalls Zusatzbedingungen angegeben werden: Dies könnte beispielsweise </w:t>
      </w:r>
      <w:r w:rsidR="008203BC">
        <w:t>‚</w:t>
      </w:r>
      <w:r w:rsidR="00C02BD1">
        <w:t>Eröffnung</w:t>
      </w:r>
      <w:r w:rsidR="008203BC">
        <w:t>‘</w:t>
      </w:r>
      <w:r w:rsidR="007E70CF">
        <w:t xml:space="preserve"> beim Schema </w:t>
      </w:r>
      <w:r w:rsidR="008203BC">
        <w:t>‚</w:t>
      </w:r>
      <w:r w:rsidR="007E70CF">
        <w:t>Schachspielen</w:t>
      </w:r>
      <w:r w:rsidR="008203BC">
        <w:t>‘</w:t>
      </w:r>
      <w:r w:rsidR="007E70CF">
        <w:t>,</w:t>
      </w:r>
      <w:r w:rsidR="00C02BD1">
        <w:t xml:space="preserve"> </w:t>
      </w:r>
      <w:r w:rsidR="008203BC">
        <w:t>‚</w:t>
      </w:r>
      <w:r w:rsidR="00C02BD1">
        <w:t>Schlussszene</w:t>
      </w:r>
      <w:r w:rsidR="008203BC">
        <w:t>‘</w:t>
      </w:r>
      <w:r w:rsidR="007E70CF">
        <w:t xml:space="preserve"> beim Schema </w:t>
      </w:r>
      <w:r w:rsidR="008203BC">
        <w:t>‚</w:t>
      </w:r>
      <w:r w:rsidR="007E70CF">
        <w:t>Roman</w:t>
      </w:r>
      <w:r w:rsidR="008203BC">
        <w:t>‘</w:t>
      </w:r>
      <w:r w:rsidR="007E70CF">
        <w:t xml:space="preserve"> </w:t>
      </w:r>
      <w:r>
        <w:t xml:space="preserve">und </w:t>
      </w:r>
      <w:r w:rsidR="00C02BD1">
        <w:t>‚Umgang mit Autobahn</w:t>
      </w:r>
      <w:r w:rsidR="00C23040">
        <w:t>staus</w:t>
      </w:r>
      <w:r w:rsidR="00C02BD1">
        <w:t xml:space="preserve"> (bei Ausweichmöglic</w:t>
      </w:r>
      <w:r w:rsidR="00C02BD1">
        <w:t>h</w:t>
      </w:r>
      <w:r w:rsidR="00C02BD1">
        <w:t>keit auf eine Landstraße)‘ beim Schema ‚Autofahren‘</w:t>
      </w:r>
      <w:r>
        <w:t xml:space="preserve"> sein. Nun können die oben genannten Angaben als verlangte Eigenschaften spezifiziert werden, und es en</w:t>
      </w:r>
      <w:r>
        <w:t>t</w:t>
      </w:r>
      <w:r>
        <w:t xml:space="preserve">stehen </w:t>
      </w:r>
      <w:r w:rsidR="005A1FC8">
        <w:t>Merkmalsregeln:</w:t>
      </w:r>
    </w:p>
    <w:p w:rsidR="00C00B2E" w:rsidRDefault="00C00B2E" w:rsidP="0081474C">
      <w:pPr>
        <w:pStyle w:val="Interpretation1Zeile"/>
      </w:pPr>
      <w:r>
        <w:t>Verhaltensschema ‚Schachspielen‘</w:t>
      </w:r>
    </w:p>
    <w:p w:rsidR="00C00B2E" w:rsidRDefault="00C00B2E" w:rsidP="0081474C">
      <w:pPr>
        <w:pStyle w:val="InterpretationletzteZeile"/>
      </w:pPr>
      <w:r>
        <w:rPr>
          <w:i/>
        </w:rPr>
        <w:t>U</w:t>
      </w:r>
      <w:r>
        <w:t>(</w:t>
      </w:r>
      <w:r>
        <w:rPr>
          <w:i/>
        </w:rPr>
        <w:t>B</w:t>
      </w:r>
      <w:r>
        <w:rPr>
          <w:vertAlign w:val="subscript"/>
        </w:rPr>
        <w:t>1</w:t>
      </w:r>
      <w:r>
        <w:t>): ‚</w:t>
      </w:r>
      <w:r w:rsidR="006B31D0">
        <w:t>Eröffnung</w:t>
      </w:r>
      <w:r>
        <w:t xml:space="preserve">‘, </w:t>
      </w:r>
      <w:r>
        <w:rPr>
          <w:i/>
        </w:rPr>
        <w:t>V</w:t>
      </w:r>
      <w:r>
        <w:t>(</w:t>
      </w:r>
      <w:r>
        <w:rPr>
          <w:i/>
        </w:rPr>
        <w:t>B</w:t>
      </w:r>
      <w:r>
        <w:rPr>
          <w:vertAlign w:val="subscript"/>
        </w:rPr>
        <w:t>1</w:t>
      </w:r>
      <w:r>
        <w:t>): ‚</w:t>
      </w:r>
      <w:r w:rsidR="00177A0E">
        <w:t>e2-e4 (Königsbauer um zwei Felder vor)</w:t>
      </w:r>
      <w:r>
        <w:t>‘</w:t>
      </w:r>
    </w:p>
    <w:p w:rsidR="00C00B2E" w:rsidRDefault="00C00B2E" w:rsidP="0081474C">
      <w:pPr>
        <w:pStyle w:val="Interpretation1Zeile"/>
      </w:pPr>
      <w:r>
        <w:t>Textschema ‚Roman‘</w:t>
      </w:r>
    </w:p>
    <w:p w:rsidR="00C00B2E" w:rsidRDefault="00C00B2E" w:rsidP="0081474C">
      <w:pPr>
        <w:pStyle w:val="InterpretationletzteZeile"/>
      </w:pPr>
      <w:r>
        <w:rPr>
          <w:i/>
        </w:rPr>
        <w:lastRenderedPageBreak/>
        <w:t>U</w:t>
      </w:r>
      <w:r>
        <w:t>(</w:t>
      </w:r>
      <w:r>
        <w:rPr>
          <w:i/>
        </w:rPr>
        <w:t>B</w:t>
      </w:r>
      <w:r>
        <w:rPr>
          <w:vertAlign w:val="subscript"/>
        </w:rPr>
        <w:t>1</w:t>
      </w:r>
      <w:r>
        <w:t xml:space="preserve">): ‚Schlussszene‘, </w:t>
      </w:r>
      <w:r>
        <w:rPr>
          <w:i/>
        </w:rPr>
        <w:t>V</w:t>
      </w:r>
      <w:r>
        <w:t>(</w:t>
      </w:r>
      <w:r>
        <w:rPr>
          <w:i/>
        </w:rPr>
        <w:t>B</w:t>
      </w:r>
      <w:r>
        <w:rPr>
          <w:vertAlign w:val="subscript"/>
        </w:rPr>
        <w:t>1</w:t>
      </w:r>
      <w:r>
        <w:t>): ‚einer der Helden stirbt‘</w:t>
      </w:r>
    </w:p>
    <w:p w:rsidR="00C00B2E" w:rsidRDefault="00C00B2E" w:rsidP="0081474C">
      <w:pPr>
        <w:pStyle w:val="Interpretation1Zeile"/>
      </w:pPr>
      <w:r>
        <w:t>Verhaltensschema ‚Autofahren‘</w:t>
      </w:r>
    </w:p>
    <w:p w:rsidR="00C00B2E" w:rsidRDefault="00C00B2E" w:rsidP="0081474C">
      <w:pPr>
        <w:pStyle w:val="InterpretationletzteZeile"/>
      </w:pPr>
      <w:r>
        <w:rPr>
          <w:i/>
        </w:rPr>
        <w:t>U</w:t>
      </w:r>
      <w:r>
        <w:t>(</w:t>
      </w:r>
      <w:r>
        <w:rPr>
          <w:i/>
        </w:rPr>
        <w:t>B</w:t>
      </w:r>
      <w:r>
        <w:rPr>
          <w:vertAlign w:val="subscript"/>
        </w:rPr>
        <w:t>1</w:t>
      </w:r>
      <w:r w:rsidR="00C23040">
        <w:t>): ‚Umgang mit Autobahnstaus</w:t>
      </w:r>
      <w:r>
        <w:t xml:space="preserve"> (bei Ausweichmöglichkeit auf eine Lan</w:t>
      </w:r>
      <w:r>
        <w:t>d</w:t>
      </w:r>
      <w:r>
        <w:t xml:space="preserve">straße)‘, </w:t>
      </w:r>
      <w:r>
        <w:rPr>
          <w:i/>
        </w:rPr>
        <w:t>V</w:t>
      </w:r>
      <w:r>
        <w:t>(</w:t>
      </w:r>
      <w:r>
        <w:rPr>
          <w:i/>
        </w:rPr>
        <w:t>B</w:t>
      </w:r>
      <w:r>
        <w:rPr>
          <w:vertAlign w:val="subscript"/>
        </w:rPr>
        <w:t>1</w:t>
      </w:r>
      <w:r>
        <w:t>): ‚</w:t>
      </w:r>
      <w:r w:rsidR="006B31D0">
        <w:t>Abfahren von der Autobahn auf die Landstraße</w:t>
      </w:r>
      <w:r>
        <w:t>‘</w:t>
      </w:r>
    </w:p>
    <w:p w:rsidR="0017735E" w:rsidRDefault="0017735E" w:rsidP="0081474C">
      <w:pPr>
        <w:pStyle w:val="Text"/>
        <w:ind w:firstLine="0"/>
      </w:pPr>
      <w:r>
        <w:t>Nun können wir auf die anfängliche Überlegung zurückkommen und präzisi</w:t>
      </w:r>
      <w:r>
        <w:t>e</w:t>
      </w:r>
      <w:r>
        <w:t xml:space="preserve">ren, unter welchen Umständen </w:t>
      </w:r>
      <w:r w:rsidR="00582655">
        <w:t>das Auftreten einer Eigenschaft an einem Verha</w:t>
      </w:r>
      <w:r w:rsidR="00582655">
        <w:t>l</w:t>
      </w:r>
      <w:r w:rsidR="00582655">
        <w:t xml:space="preserve">ten, Artefakt oder Text </w:t>
      </w:r>
      <w:r>
        <w:t xml:space="preserve">als stilistisch beschrieben werden kann: Dies gilt immer dann, wenn ein Schema gefunden werden kann, </w:t>
      </w:r>
      <w:r w:rsidR="00582655">
        <w:t>innerhalb dessen ein Schemaort zur Verfügung steht, für den diese Eigenschaft als verlangte Eigenschaft spezif</w:t>
      </w:r>
      <w:r w:rsidR="00582655">
        <w:t>i</w:t>
      </w:r>
      <w:r w:rsidR="00582655">
        <w:t>ziert werden kann.</w:t>
      </w:r>
    </w:p>
    <w:p w:rsidR="00D2554C" w:rsidRDefault="005E4432">
      <w:pPr>
        <w:pStyle w:val="Text"/>
      </w:pPr>
      <w:r>
        <w:t xml:space="preserve">Aber stimmt dies auch mit dem </w:t>
      </w:r>
      <w:r w:rsidR="00D2554C">
        <w:t xml:space="preserve">normalsprachlichen Gebrauch des Begriffs </w:t>
      </w:r>
      <w:r w:rsidR="00F005F4">
        <w:t>‚</w:t>
      </w:r>
      <w:r w:rsidR="00D2554C">
        <w:t>Stil</w:t>
      </w:r>
      <w:r w:rsidR="00F005F4">
        <w:t>‘</w:t>
      </w:r>
      <w:r>
        <w:t xml:space="preserve"> überein? Betrachten wir dazu noch einmal das Textschema ‚</w:t>
      </w:r>
      <w:r w:rsidR="00D2554C">
        <w:t>Hochzeitsa</w:t>
      </w:r>
      <w:r w:rsidR="00D2554C">
        <w:t>n</w:t>
      </w:r>
      <w:r w:rsidR="00D2554C">
        <w:t>sprache</w:t>
      </w:r>
      <w:r>
        <w:t>‘</w:t>
      </w:r>
      <w:r w:rsidR="00D2554C">
        <w:t>. Diese</w:t>
      </w:r>
      <w:r>
        <w:t>s</w:t>
      </w:r>
      <w:r w:rsidR="00D2554C">
        <w:t xml:space="preserve"> altehrwürdige Genre eines mündlich vorgetragenen Texts lässt zahlreiche Möglichkeiten der Variation. </w:t>
      </w:r>
      <w:r>
        <w:t>Wir hatten gesehen, dass es sich bei der Frage, ob in Gedichtform oder in Prosa vorgetragen wird – normalerweise eine Unterscheidung zwischen verschiedenen Genres –, nun um ein</w:t>
      </w:r>
      <w:r w:rsidR="00DB33A9">
        <w:t>e</w:t>
      </w:r>
      <w:r>
        <w:t xml:space="preserve"> Merkmal</w:t>
      </w:r>
      <w:r w:rsidR="00DB33A9">
        <w:t>sregel</w:t>
      </w:r>
      <w:r>
        <w:t xml:space="preserve"> handeln kann. </w:t>
      </w:r>
      <w:r w:rsidR="00D2554C">
        <w:t xml:space="preserve">Interessanterweise gilt </w:t>
      </w:r>
      <w:r>
        <w:t xml:space="preserve">dies </w:t>
      </w:r>
      <w:r w:rsidR="00D2554C">
        <w:t xml:space="preserve">auch </w:t>
      </w:r>
      <w:r>
        <w:t xml:space="preserve">für </w:t>
      </w:r>
      <w:r w:rsidR="00D2554C">
        <w:t xml:space="preserve">die Frage, </w:t>
      </w:r>
      <w:r w:rsidR="00D2554C">
        <w:rPr>
          <w:i/>
          <w:iCs/>
        </w:rPr>
        <w:t xml:space="preserve">worüber </w:t>
      </w:r>
      <w:r w:rsidR="00D2554C">
        <w:t>gespr</w:t>
      </w:r>
      <w:r w:rsidR="00D2554C">
        <w:t>o</w:t>
      </w:r>
      <w:r w:rsidR="00D2554C">
        <w:t>chen wird. Wenn die Vortragende häufiger Hochzeitsansprachen hält und g</w:t>
      </w:r>
      <w:r w:rsidR="00D2554C">
        <w:t>e</w:t>
      </w:r>
      <w:r w:rsidR="00D2554C">
        <w:t xml:space="preserve">wöhnlich </w:t>
      </w:r>
      <w:r w:rsidR="00667381">
        <w:t xml:space="preserve">Anzüglichkeiten vermeidet und stattdessen </w:t>
      </w:r>
      <w:r w:rsidR="00D2554C">
        <w:t xml:space="preserve">auf die Familiengeschichte zu sprechen kommt, bei ihrer neuesten Hochzeitsansprache </w:t>
      </w:r>
      <w:r w:rsidR="00667381">
        <w:t xml:space="preserve">aber </w:t>
      </w:r>
      <w:r w:rsidR="00D2554C">
        <w:t>die Familieng</w:t>
      </w:r>
      <w:r w:rsidR="00D2554C">
        <w:t>e</w:t>
      </w:r>
      <w:r w:rsidR="00D2554C">
        <w:t>schichte völlig ausspart und stattdessen über später zu erwartende Vorgänge im Schlafzimmer spekuliert, würde man sich nicht wundern, wenn ein Hochzeit</w:t>
      </w:r>
      <w:r w:rsidR="00D2554C">
        <w:t>s</w:t>
      </w:r>
      <w:r w:rsidR="00D2554C">
        <w:t>gast sagt: „Das ist aber gar nicht ihr Stil!“ Dieselbe Reaktion könnte auch erfo</w:t>
      </w:r>
      <w:r w:rsidR="00D2554C">
        <w:t>l</w:t>
      </w:r>
      <w:r w:rsidR="00D2554C">
        <w:t>gen, wenn statt der Familiengeschichte die politische Großwetterlage themat</w:t>
      </w:r>
      <w:r w:rsidR="00D2554C">
        <w:t>i</w:t>
      </w:r>
      <w:r w:rsidR="00D2554C">
        <w:t xml:space="preserve">siert </w:t>
      </w:r>
      <w:r w:rsidR="003572AE">
        <w:t>wird</w:t>
      </w:r>
      <w:r w:rsidR="00D2554C">
        <w:t xml:space="preserve">, also zwei gleichermaßen seriöse Themen, so dass es sich nicht </w:t>
      </w:r>
      <w:r w:rsidR="00145655">
        <w:t xml:space="preserve">nur </w:t>
      </w:r>
      <w:r w:rsidR="00D2554C">
        <w:t xml:space="preserve">um eine Frage von ‚hoher vs. </w:t>
      </w:r>
      <w:r w:rsidR="00226598">
        <w:t xml:space="preserve">niederer </w:t>
      </w:r>
      <w:r w:rsidR="00D2554C">
        <w:t>Stil‘ handel</w:t>
      </w:r>
      <w:r>
        <w:t>n kann</w:t>
      </w:r>
      <w:r w:rsidR="00D2554C">
        <w:t>. Tatsächlich kann also jeder Inhalt stilistisch relevant werden, wenn es (1) ein Sc</w:t>
      </w:r>
      <w:r w:rsidR="003F696E">
        <w:t xml:space="preserve">hema </w:t>
      </w:r>
      <w:r w:rsidR="00582655">
        <w:t>mit geeigneten Sch</w:t>
      </w:r>
      <w:r w:rsidR="00582655">
        <w:t>e</w:t>
      </w:r>
      <w:r w:rsidR="00582655">
        <w:t>maorten gibt</w:t>
      </w:r>
      <w:r w:rsidR="003F696E">
        <w:t xml:space="preserve">, </w:t>
      </w:r>
      <w:r w:rsidR="00582655">
        <w:t xml:space="preserve">auf deren </w:t>
      </w:r>
      <w:r w:rsidR="003F696E">
        <w:t xml:space="preserve">Grundlage </w:t>
      </w:r>
      <w:r w:rsidR="00721558">
        <w:t>Alter</w:t>
      </w:r>
      <w:r w:rsidR="00721558">
        <w:softHyphen/>
        <w:t>nativen</w:t>
      </w:r>
      <w:r w:rsidR="00721558">
        <w:softHyphen/>
        <w:t>klasse</w:t>
      </w:r>
      <w:r w:rsidR="003F696E">
        <w:t xml:space="preserve">n </w:t>
      </w:r>
      <w:r w:rsidR="00D2554C">
        <w:t xml:space="preserve">gebildet werden können, und (2) </w:t>
      </w:r>
      <w:r w:rsidR="00765E66">
        <w:t>Merkmalsregel</w:t>
      </w:r>
      <w:r w:rsidR="00D2554C">
        <w:t xml:space="preserve">n feststellbar sind, nach denen der Inhalt aus diesen </w:t>
      </w:r>
      <w:r w:rsidR="00721558">
        <w:t>Alter</w:t>
      </w:r>
      <w:r w:rsidR="00721558">
        <w:softHyphen/>
        <w:t>nativen</w:t>
      </w:r>
      <w:r w:rsidR="00721558">
        <w:softHyphen/>
        <w:t>klasse</w:t>
      </w:r>
      <w:r w:rsidR="003F696E">
        <w:t xml:space="preserve">n </w:t>
      </w:r>
      <w:r w:rsidR="00D2554C">
        <w:t>ausgewählt wurde.</w:t>
      </w:r>
      <w:r w:rsidR="00D2554C">
        <w:rPr>
          <w:rStyle w:val="Funotenzeichen"/>
        </w:rPr>
        <w:footnoteReference w:id="589"/>
      </w:r>
    </w:p>
    <w:p w:rsidR="00F31FA7" w:rsidRDefault="00F31FA7">
      <w:pPr>
        <w:pStyle w:val="Text"/>
      </w:pPr>
      <w:r>
        <w:t xml:space="preserve">Dass </w:t>
      </w:r>
      <w:r w:rsidR="003D0259">
        <w:t xml:space="preserve">alles </w:t>
      </w:r>
      <w:r>
        <w:t>auf die Wahl des Schemas ankommt, zeigt sich beim allgemein</w:t>
      </w:r>
      <w:r>
        <w:t>s</w:t>
      </w:r>
      <w:r>
        <w:t>ten aller Verhaltensstil</w:t>
      </w:r>
      <w:r w:rsidR="003D1359">
        <w:t>e, dem Lebensstil</w:t>
      </w:r>
      <w:r w:rsidR="005D7996">
        <w:fldChar w:fldCharType="begin"/>
      </w:r>
      <w:r w:rsidR="00673F18">
        <w:instrText xml:space="preserve"> XE "</w:instrText>
      </w:r>
      <w:r w:rsidR="00673F18" w:rsidRPr="00B41AC9">
        <w:instrText>Lebensstil</w:instrText>
      </w:r>
      <w:r w:rsidR="00673F18">
        <w:instrText xml:space="preserve">" </w:instrText>
      </w:r>
      <w:r w:rsidR="005D7996">
        <w:fldChar w:fldCharType="end"/>
      </w:r>
      <w:r w:rsidR="003D1359">
        <w:t xml:space="preserve">: Hier können </w:t>
      </w:r>
      <w:r w:rsidR="003D0259">
        <w:t xml:space="preserve">praktisch </w:t>
      </w:r>
      <w:r w:rsidR="003D1359">
        <w:t xml:space="preserve">alle Aspekte des </w:t>
      </w:r>
      <w:r w:rsidR="003D1359">
        <w:lastRenderedPageBreak/>
        <w:t xml:space="preserve">Verhaltens stilistisch relevant sein; beispielsweise kann es nun ein Frage </w:t>
      </w:r>
      <w:r w:rsidR="00DC5546">
        <w:t xml:space="preserve">des </w:t>
      </w:r>
      <w:r w:rsidR="003D1359">
        <w:t xml:space="preserve">Stils sein, </w:t>
      </w:r>
      <w:r w:rsidR="003D0259">
        <w:t xml:space="preserve">über welche Themen eine Schriftstellerin schreibt und </w:t>
      </w:r>
      <w:r w:rsidR="00DC5546">
        <w:t>wen sie heiratet</w:t>
      </w:r>
      <w:r w:rsidR="003D0259">
        <w:t xml:space="preserve"> </w:t>
      </w:r>
      <w:r w:rsidR="00DC5546">
        <w:t>– während es bei Betrachtung des Schreibstils oder des Stil der Hochzeit darauf ankäme, wie diese spezifischeren Schemata jeweils realisiert werden.</w:t>
      </w:r>
    </w:p>
    <w:p w:rsidR="00E160AE" w:rsidRDefault="00DC5546">
      <w:pPr>
        <w:pStyle w:val="Text"/>
      </w:pPr>
      <w:r>
        <w:t xml:space="preserve">Ein allgemeiner Hinweis ist noch angebracht: Zu Anfang der Arbeit wurde wiederholt betont, dass Stil </w:t>
      </w:r>
      <w:r w:rsidR="009F26D8">
        <w:t xml:space="preserve">nicht nur ein Begriff, sondern auch </w:t>
      </w:r>
      <w:r>
        <w:t>ein Phänomen sei (vgl. Abschnitt</w:t>
      </w:r>
      <w:r w:rsidR="009F26D8">
        <w:t xml:space="preserve"> </w:t>
      </w:r>
      <w:r w:rsidR="005D7996">
        <w:fldChar w:fldCharType="begin"/>
      </w:r>
      <w:r w:rsidR="009F26D8">
        <w:instrText xml:space="preserve"> REF _Ref267660778 \r \h </w:instrText>
      </w:r>
      <w:r w:rsidR="005D7996">
        <w:fldChar w:fldCharType="separate"/>
      </w:r>
      <w:r w:rsidR="001231D3">
        <w:t>1.2</w:t>
      </w:r>
      <w:r w:rsidR="005D7996">
        <w:fldChar w:fldCharType="end"/>
      </w:r>
      <w:r>
        <w:t>)</w:t>
      </w:r>
      <w:r w:rsidR="00260004">
        <w:t xml:space="preserve">, womit gemeint war, dass es </w:t>
      </w:r>
      <w:r w:rsidR="001C318F">
        <w:t xml:space="preserve">empirisch feststellbare </w:t>
      </w:r>
      <w:r w:rsidR="00260004">
        <w:t>Kons</w:t>
      </w:r>
      <w:r w:rsidR="00260004">
        <w:t>e</w:t>
      </w:r>
      <w:r w:rsidR="00260004">
        <w:t>quenzen hat</w:t>
      </w:r>
      <w:r>
        <w:t>; wird diese Aussage nun nicht wieder zurückgenommen? Kann e</w:t>
      </w:r>
      <w:r>
        <w:t>t</w:t>
      </w:r>
      <w:r>
        <w:t xml:space="preserve">was, das eine Frage der Betrachtungsweise ist, </w:t>
      </w:r>
      <w:r w:rsidR="001C318F">
        <w:t xml:space="preserve">empirisch feststellbare </w:t>
      </w:r>
      <w:r w:rsidR="00260004">
        <w:t>Kons</w:t>
      </w:r>
      <w:r w:rsidR="00260004">
        <w:t>e</w:t>
      </w:r>
      <w:r w:rsidR="00260004">
        <w:t>quenzen haben</w:t>
      </w:r>
      <w:r>
        <w:t xml:space="preserve">? – Es kann, weil die Betrachtungsweise </w:t>
      </w:r>
      <w:r w:rsidR="00A87153">
        <w:t xml:space="preserve">zu neuer </w:t>
      </w:r>
      <w:r>
        <w:t xml:space="preserve">Informationen </w:t>
      </w:r>
      <w:r w:rsidR="00A87153">
        <w:t xml:space="preserve">führt. Betrachtet man </w:t>
      </w:r>
      <w:r w:rsidR="00E160AE">
        <w:t>die Hochzeitsansprache unter stilistischen Gesichtspun</w:t>
      </w:r>
      <w:r w:rsidR="00E160AE">
        <w:t>k</w:t>
      </w:r>
      <w:r w:rsidR="00E160AE">
        <w:t>ten, kann man möglicherweise etwas über die Vortragende und über die Beso</w:t>
      </w:r>
      <w:r w:rsidR="00E160AE">
        <w:t>n</w:t>
      </w:r>
      <w:r w:rsidR="00E160AE">
        <w:t>derheiten dieser spezifischen Hochzeit erfahren. Dies gelingt einem jedoch nur, wenn man zuvor das richtige Schema und die richtigen Schemaorte zugrunde legt; sonst weiß man ja nicht, welche Alternativen sie überhaupt gehabt hätte, und glaubt vielleicht bei einer in Gedichtform vorgetragenen, mit Anzüglichke</w:t>
      </w:r>
      <w:r w:rsidR="00E160AE">
        <w:t>i</w:t>
      </w:r>
      <w:r w:rsidR="00E160AE">
        <w:t xml:space="preserve">ten versehenen Hochzeitsrede, dies sei im Schema so spezifiziert. Hier ist also die Wahl der richtigen Betrachtungsweise </w:t>
      </w:r>
      <w:r w:rsidR="00275549">
        <w:t>entscheidend</w:t>
      </w:r>
      <w:r w:rsidR="00357115">
        <w:t>, um die Information zu erhalten</w:t>
      </w:r>
      <w:r w:rsidR="00275549">
        <w:t>.</w:t>
      </w:r>
    </w:p>
    <w:p w:rsidR="00E160AE" w:rsidRDefault="002106B9">
      <w:pPr>
        <w:pStyle w:val="Text"/>
      </w:pPr>
      <w:r>
        <w:t>Stil ist also nicht auf der Beschreibungsebene</w:t>
      </w:r>
      <w:r w:rsidR="005D7996">
        <w:fldChar w:fldCharType="begin"/>
      </w:r>
      <w:r w:rsidR="000623C8">
        <w:instrText xml:space="preserve"> XE "</w:instrText>
      </w:r>
      <w:r w:rsidR="000623C8" w:rsidRPr="00D31CD7">
        <w:rPr>
          <w:szCs w:val="17"/>
        </w:rPr>
        <w:instrText>Beschreibungsebene</w:instrText>
      </w:r>
      <w:r w:rsidR="00F815B0">
        <w:rPr>
          <w:szCs w:val="17"/>
        </w:rPr>
        <w:instrText xml:space="preserve"> (</w:instrText>
      </w:r>
      <w:r w:rsidR="00DE32C1">
        <w:rPr>
          <w:szCs w:val="17"/>
        </w:rPr>
        <w:instrText>Wissenschaftstheorie</w:instrText>
      </w:r>
      <w:r w:rsidR="00F815B0">
        <w:instrText>)</w:instrText>
      </w:r>
      <w:r w:rsidR="000623C8">
        <w:instrText xml:space="preserve">" </w:instrText>
      </w:r>
      <w:r w:rsidR="005D7996">
        <w:fldChar w:fldCharType="end"/>
      </w:r>
      <w:r>
        <w:t xml:space="preserve"> eine Frage der Betrachtung</w:t>
      </w:r>
      <w:r>
        <w:t>s</w:t>
      </w:r>
      <w:r>
        <w:t>weise, sondern auf der Objektebene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t>: Man kann nicht Beliebiges unter „Stil“ ve</w:t>
      </w:r>
      <w:r>
        <w:t>r</w:t>
      </w:r>
      <w:r>
        <w:t xml:space="preserve">stehen, aber man kann </w:t>
      </w:r>
      <w:r w:rsidR="00A87153">
        <w:t xml:space="preserve">viele Phänomene (mal mehr, mal weniger sinnvoll) </w:t>
      </w:r>
      <w:r>
        <w:t xml:space="preserve">unter dem Aspekt </w:t>
      </w:r>
      <w:r w:rsidR="00357115">
        <w:t>betrachten</w:t>
      </w:r>
      <w:r>
        <w:t>, was daran Stil ist.</w:t>
      </w:r>
    </w:p>
    <w:p w:rsidR="00466715" w:rsidRDefault="00105554">
      <w:pPr>
        <w:pStyle w:val="Text"/>
      </w:pPr>
      <w:r>
        <w:t xml:space="preserve">Dafür braucht man nicht immer ein exaktes, kulturell </w:t>
      </w:r>
      <w:r w:rsidR="00406A1C">
        <w:t>bereits konventiona</w:t>
      </w:r>
      <w:r w:rsidR="006A02E7">
        <w:softHyphen/>
      </w:r>
      <w:r w:rsidR="00406A1C">
        <w:t xml:space="preserve">lisiertes </w:t>
      </w:r>
      <w:r>
        <w:t>Schema, wie anhand eines letzten Beispiels illustriert werden soll. Eri</w:t>
      </w:r>
      <w:r>
        <w:t>n</w:t>
      </w:r>
      <w:r>
        <w:t xml:space="preserve">nern wir uns an die </w:t>
      </w:r>
      <w:r w:rsidR="0011214B">
        <w:t>Fußnote, in der anlässlich</w:t>
      </w:r>
      <w:r>
        <w:t xml:space="preserve"> </w:t>
      </w:r>
      <w:r w:rsidR="0011214B">
        <w:t>Samuel Wesleys „Style is the dress of thought</w:t>
      </w:r>
      <w:r w:rsidR="005D7996">
        <w:fldChar w:fldCharType="begin"/>
      </w:r>
      <w:r w:rsidR="00502433">
        <w:instrText xml:space="preserve"> XE "</w:instrText>
      </w:r>
      <w:r w:rsidR="00502433" w:rsidRPr="00AF136D">
        <w:instrText>dress of thought (Wesley)</w:instrText>
      </w:r>
      <w:r w:rsidR="00502433">
        <w:instrText xml:space="preserve">" </w:instrText>
      </w:r>
      <w:r w:rsidR="005D7996">
        <w:fldChar w:fldCharType="end"/>
      </w:r>
      <w:r w:rsidR="0011214B">
        <w:t>“</w:t>
      </w:r>
      <w:r>
        <w:t xml:space="preserve"> darauf hingewiesen wurde, dass natürlich auch die Wahl der Sprache eine Frage der Einkleidung des Gedankens ist, dies aber von </w:t>
      </w:r>
      <w:r w:rsidR="0011214B">
        <w:t>Wesley</w:t>
      </w:r>
      <w:r w:rsidR="005D7996">
        <w:fldChar w:fldCharType="begin"/>
      </w:r>
      <w:r w:rsidR="003D45C2">
        <w:instrText xml:space="preserve"> XE "</w:instrText>
      </w:r>
      <w:r w:rsidR="003D45C2" w:rsidRPr="00121A9B">
        <w:rPr>
          <w:szCs w:val="17"/>
        </w:rPr>
        <w:instrText>Wesley, Samuel</w:instrText>
      </w:r>
      <w:r w:rsidR="003D45C2">
        <w:instrText xml:space="preserve">" </w:instrText>
      </w:r>
      <w:r w:rsidR="005D7996">
        <w:fldChar w:fldCharType="end"/>
      </w:r>
      <w:r w:rsidR="0011214B">
        <w:t xml:space="preserve"> und seinen Nachfolgern </w:t>
      </w:r>
      <w:r>
        <w:t>intuitiv ausgeschlossen wurde.</w:t>
      </w:r>
      <w:r w:rsidR="0011214B">
        <w:rPr>
          <w:rStyle w:val="Funotenzeichen"/>
        </w:rPr>
        <w:footnoteReference w:id="590"/>
      </w:r>
      <w:r>
        <w:t xml:space="preserve"> Manchem mag dort der Wide</w:t>
      </w:r>
      <w:r>
        <w:t>r</w:t>
      </w:r>
      <w:r>
        <w:t xml:space="preserve">spruch eingefallen sein, dass ja unter bestimmten Umständen auch die Wahl der Sprache eine Stilfrage ist, etwa wenn man sich im Ausland befindet; </w:t>
      </w:r>
      <w:r w:rsidR="00D34D22">
        <w:t>dann</w:t>
      </w:r>
      <w:r>
        <w:t xml:space="preserve"> kann es durchaus stilistisch relevant sein, ob man sich Mühe gibt, sich in der Sprache der Gastgeber auszudrücken, oder ob man darauf besteht, seine eigene Mutterspr</w:t>
      </w:r>
      <w:r>
        <w:t>a</w:t>
      </w:r>
      <w:r>
        <w:t>che zu sprechen. Dies ist zweifellos richtig; allerdings ist es keine Frage des Stils der jeweiligen sprachlichen Äußerung. Eine sprachliche Äußerung kann man auf ihren Stil untersuchen, ohne Informationen über die Herkunft und die derzeitige Lebenssituation ihres Produzenten besitzen zu müssen. Um d</w:t>
      </w:r>
      <w:r w:rsidR="00AF05D9">
        <w:t>ie Wahl der Spr</w:t>
      </w:r>
      <w:r w:rsidR="00AF05D9">
        <w:t>a</w:t>
      </w:r>
      <w:r w:rsidR="00AF05D9">
        <w:t xml:space="preserve">che als </w:t>
      </w:r>
      <w:r w:rsidR="00DB33A9">
        <w:t xml:space="preserve">Merkmalsregel eines Stils </w:t>
      </w:r>
      <w:r>
        <w:t>darzustellen, muss man vielmehr zunächst ein Schema konstruieren, das allgemeiner ist: Dies kann beispi</w:t>
      </w:r>
      <w:r w:rsidR="00D63773">
        <w:t>elsweise das Sch</w:t>
      </w:r>
      <w:r w:rsidR="00275549">
        <w:t>ema ‚</w:t>
      </w:r>
      <w:r w:rsidR="00D63773">
        <w:t xml:space="preserve">Im Ausland </w:t>
      </w:r>
      <w:r w:rsidR="00CE29C7">
        <w:t>k</w:t>
      </w:r>
      <w:r w:rsidR="00D63773">
        <w:t>ommunizieren</w:t>
      </w:r>
      <w:r w:rsidR="00275549">
        <w:t>‘</w:t>
      </w:r>
      <w:r>
        <w:t xml:space="preserve"> oder auch das allgemeinere Sc</w:t>
      </w:r>
      <w:r w:rsidR="00D63773">
        <w:t xml:space="preserve">hema </w:t>
      </w:r>
      <w:r w:rsidR="00275549">
        <w:t>‚</w:t>
      </w:r>
      <w:r w:rsidR="00D63773">
        <w:t>Sich im Au</w:t>
      </w:r>
      <w:r w:rsidR="00D63773">
        <w:t>s</w:t>
      </w:r>
      <w:r w:rsidR="00D63773">
        <w:t>land aufhalten</w:t>
      </w:r>
      <w:r w:rsidR="00275549">
        <w:t>‘</w:t>
      </w:r>
      <w:r w:rsidR="00466715">
        <w:t xml:space="preserve"> sein.</w:t>
      </w:r>
    </w:p>
    <w:p w:rsidR="00305D04" w:rsidRDefault="00466715" w:rsidP="008651E9">
      <w:pPr>
        <w:pStyle w:val="Text"/>
      </w:pPr>
      <w:r>
        <w:lastRenderedPageBreak/>
        <w:t xml:space="preserve">Diese </w:t>
      </w:r>
      <w:r w:rsidR="00105554">
        <w:t xml:space="preserve">Schemata </w:t>
      </w:r>
      <w:r>
        <w:t>brauchen nicht als kulturell konventionalisiert angeno</w:t>
      </w:r>
      <w:r>
        <w:t>m</w:t>
      </w:r>
      <w:r>
        <w:t>men zu werden, sie können auch spontan vom Individuum konstruiert werden; man betrachtet nun das konkrete Verhalten auf der Grundlage eines (angeno</w:t>
      </w:r>
      <w:r>
        <w:t>m</w:t>
      </w:r>
      <w:r>
        <w:t xml:space="preserve">menen) Schemas, das Verhaltensweisen des Kommunizierens im Ausland </w:t>
      </w:r>
      <w:r w:rsidR="00AD183C">
        <w:t xml:space="preserve">bzw. </w:t>
      </w:r>
      <w:r>
        <w:t>Verhaltensweisen beim Auslandsaufenthalt generell be</w:t>
      </w:r>
      <w:r w:rsidR="00AD183C">
        <w:t xml:space="preserve">trifft. Solange es möglich ist, </w:t>
      </w:r>
      <w:r>
        <w:t>Schemaorte für solche Schemata zu finden und mit Hilfe schemaortdefini</w:t>
      </w:r>
      <w:r>
        <w:t>e</w:t>
      </w:r>
      <w:r>
        <w:t>render Eigenschaften festzulegen, ist diese spontane Konstruktion von Schemata kein Problem. A</w:t>
      </w:r>
      <w:r w:rsidR="00D63773">
        <w:t xml:space="preserve">uf ihrer Grundlage können dann </w:t>
      </w:r>
      <w:r w:rsidR="00275549">
        <w:t>‚</w:t>
      </w:r>
      <w:r>
        <w:t>Stil</w:t>
      </w:r>
      <w:r w:rsidR="00D63773">
        <w:t>e des im Ausland Komm</w:t>
      </w:r>
      <w:r w:rsidR="00D63773">
        <w:t>u</w:t>
      </w:r>
      <w:r w:rsidR="00D63773">
        <w:t>nizierens</w:t>
      </w:r>
      <w:r w:rsidR="00275549">
        <w:t>‘</w:t>
      </w:r>
      <w:r w:rsidR="00D63773">
        <w:t xml:space="preserve"> oder </w:t>
      </w:r>
      <w:r w:rsidR="00275549">
        <w:t>‚</w:t>
      </w:r>
      <w:r w:rsidR="00D63773">
        <w:t>Stile des Auslandsaufenthalts</w:t>
      </w:r>
      <w:r w:rsidR="00275549">
        <w:t>‘</w:t>
      </w:r>
      <w:r>
        <w:t xml:space="preserve"> definiert werden. Bezogen auf solche Stile ist die Wahl der Sprache nun </w:t>
      </w:r>
      <w:r w:rsidR="00DB33A9">
        <w:t xml:space="preserve">eine </w:t>
      </w:r>
      <w:r>
        <w:t>Merkmal</w:t>
      </w:r>
      <w:r w:rsidR="00DB33A9">
        <w:t>sregel</w:t>
      </w:r>
      <w:r>
        <w:t>. Ebenso kann nun auch die Wahl von Kommunikationsthemen eine Frage des Stils sein: Wird viel über Aspekte des eigenen Lands im Vergleich zum Gastland gesprochen, und welche Meinungen äußert man bei solchen Vergleichen? Oder spricht man lieber über politisches Tagesgeschehen oder über anspruchsvolle Themen wie Philos</w:t>
      </w:r>
      <w:r>
        <w:t>o</w:t>
      </w:r>
      <w:r>
        <w:t>phie? Be</w:t>
      </w:r>
      <w:r w:rsidR="00F00B34">
        <w:t>zogen auf eine konkrete Äußerung</w:t>
      </w:r>
      <w:r>
        <w:t xml:space="preserve"> gehört dagegen weder das Zeiche</w:t>
      </w:r>
      <w:r>
        <w:t>n</w:t>
      </w:r>
      <w:r>
        <w:t xml:space="preserve">system, in dem sie kodiert ist (hier </w:t>
      </w:r>
      <w:r w:rsidR="00F00B34">
        <w:t xml:space="preserve">also </w:t>
      </w:r>
      <w:r>
        <w:t xml:space="preserve">die Sprache), zum Stil, noch der Inhalt, der in ihr ausgedrückt wird. Dies macht deutlich, dass dieselben Aspekte einer </w:t>
      </w:r>
      <w:r w:rsidR="00DB33A9">
        <w:t xml:space="preserve">Realisierung als durch eine </w:t>
      </w:r>
      <w:r>
        <w:t>Merkmal</w:t>
      </w:r>
      <w:r w:rsidR="00DB33A9">
        <w:t>sregel</w:t>
      </w:r>
      <w:r>
        <w:t xml:space="preserve"> </w:t>
      </w:r>
      <w:r w:rsidR="00DB33A9">
        <w:t>erzeugt oder nicht durch eine Mer</w:t>
      </w:r>
      <w:r w:rsidR="00DB33A9">
        <w:t>k</w:t>
      </w:r>
      <w:r w:rsidR="00DB33A9">
        <w:t xml:space="preserve">malsregel erzeugt betrachtet werden können </w:t>
      </w:r>
      <w:r w:rsidR="00F00B34">
        <w:t xml:space="preserve">– je nachdem, </w:t>
      </w:r>
      <w:r w:rsidR="00DB33A9">
        <w:t>welches Schema z</w:t>
      </w:r>
      <w:r w:rsidR="00DB33A9">
        <w:t>u</w:t>
      </w:r>
      <w:r w:rsidR="00DB33A9">
        <w:t>grunde gelegt wird</w:t>
      </w:r>
      <w:r w:rsidR="00F00B34">
        <w:t>.</w:t>
      </w:r>
    </w:p>
    <w:p w:rsidR="00D2554C" w:rsidRDefault="00AF20AA" w:rsidP="00EB1E36">
      <w:pPr>
        <w:pStyle w:val="Titel3"/>
      </w:pPr>
      <w:bookmarkStart w:id="462" w:name="_Ref253664986"/>
      <w:bookmarkStart w:id="463" w:name="_Toc325456818"/>
      <w:bookmarkStart w:id="464" w:name="Stilkompetenz"/>
      <w:bookmarkEnd w:id="461"/>
      <w:r>
        <w:t xml:space="preserve">Vorteile von </w:t>
      </w:r>
      <w:r w:rsidR="00F13C80">
        <w:t>Stilkompetenz</w:t>
      </w:r>
      <w:bookmarkEnd w:id="462"/>
      <w:bookmarkEnd w:id="463"/>
    </w:p>
    <w:p w:rsidR="00524813" w:rsidRDefault="005D7996" w:rsidP="0081474C">
      <w:pPr>
        <w:pStyle w:val="Text"/>
        <w:ind w:firstLine="0"/>
      </w:pPr>
      <w:r>
        <w:fldChar w:fldCharType="begin"/>
      </w:r>
      <w:r w:rsidR="003C2036">
        <w:instrText xml:space="preserve"> XE "Stilkompetenz" \r "Stilkompetenz"</w:instrText>
      </w:r>
      <w:r w:rsidR="00362FC7">
        <w:instrText xml:space="preserve"> </w:instrText>
      </w:r>
      <w:r>
        <w:fldChar w:fldCharType="end"/>
      </w:r>
      <w:r>
        <w:fldChar w:fldCharType="begin"/>
      </w:r>
      <w:r w:rsidR="00717590">
        <w:instrText xml:space="preserve"> XE "Wichtigkeit von Stil:für Individuen und Gruppen" \r "Stilkompetenz"</w:instrText>
      </w:r>
      <w:r w:rsidR="00362FC7">
        <w:instrText xml:space="preserve"> </w:instrText>
      </w:r>
      <w:r>
        <w:fldChar w:fldCharType="end"/>
      </w:r>
      <w:r w:rsidR="00524813">
        <w:t>Stil ist der hier vorgestellten Theorie zufolge ein bestimmte</w:t>
      </w:r>
      <w:r w:rsidR="00DD36BC">
        <w:t>r</w:t>
      </w:r>
      <w:r w:rsidR="00524813">
        <w:t xml:space="preserve"> Zeichenprozess</w:t>
      </w:r>
      <w:r w:rsidR="00DD36BC">
        <w:t>typ</w:t>
      </w:r>
      <w:r w:rsidR="00524813">
        <w:t>, die von anderen Zeichenprozessen abgegrenzt werden kann. Nun gibt es jedoch zahlreiche Zeichenpro</w:t>
      </w:r>
      <w:r w:rsidR="00DD36BC">
        <w:t>zesstypen</w:t>
      </w:r>
      <w:r w:rsidR="00524813">
        <w:t xml:space="preserve"> – warum haben wir gerade für diese</w:t>
      </w:r>
      <w:r w:rsidR="00DD36BC">
        <w:t>n</w:t>
      </w:r>
      <w:r w:rsidR="00524813">
        <w:t xml:space="preserve"> einen </w:t>
      </w:r>
      <w:r w:rsidR="00FF7C0C">
        <w:t>e</w:t>
      </w:r>
      <w:r w:rsidR="00FF7C0C">
        <w:t>i</w:t>
      </w:r>
      <w:r w:rsidR="00FF7C0C">
        <w:t xml:space="preserve">genen </w:t>
      </w:r>
      <w:r w:rsidR="00524813">
        <w:t>Begriff?</w:t>
      </w:r>
    </w:p>
    <w:p w:rsidR="00302306" w:rsidRDefault="00FF7C0C">
      <w:pPr>
        <w:pStyle w:val="Text"/>
      </w:pPr>
      <w:r>
        <w:t>Dies hat sicherlich damit zu tun, dass mit Hilfe von Stilen zahlreiche I</w:t>
      </w:r>
      <w:r>
        <w:t>n</w:t>
      </w:r>
      <w:r>
        <w:t xml:space="preserve">formationen übermittelt werden, was in dieser Arbeit an </w:t>
      </w:r>
      <w:r w:rsidR="00F13C80">
        <w:t>vielen</w:t>
      </w:r>
      <w:r>
        <w:t xml:space="preserve"> Beispielen d</w:t>
      </w:r>
      <w:r>
        <w:t>e</w:t>
      </w:r>
      <w:r>
        <w:t xml:space="preserve">monstriert wurde. Oft geschieht diese Übermittlung rasch, automatisch und recht zuverlässig. Eine solche Informationsquelle </w:t>
      </w:r>
      <w:r w:rsidR="00302306">
        <w:t>anzapfen zu können, verschafft einen beachtlichen Wissensvorsprung gegenüber denjenigen, die dies nicht b</w:t>
      </w:r>
      <w:r w:rsidR="00302306">
        <w:t>e</w:t>
      </w:r>
      <w:r w:rsidR="00302306">
        <w:t>herrschen. Hat sich jedoch die Kompetenz de</w:t>
      </w:r>
      <w:r w:rsidR="00663B18">
        <w:t>r</w:t>
      </w:r>
      <w:r w:rsidR="00302306">
        <w:t xml:space="preserve"> Stil</w:t>
      </w:r>
      <w:r w:rsidR="00663B18">
        <w:t>wahrnehmung</w:t>
      </w:r>
      <w:r w:rsidR="00302306">
        <w:t xml:space="preserve"> erst einmal durchgesetzt, gibt es kein Zurück: Sie nicht zu beherrschen, wäre nun ein erhe</w:t>
      </w:r>
      <w:r w:rsidR="00302306">
        <w:t>b</w:t>
      </w:r>
      <w:r w:rsidR="00302306">
        <w:t>licher Nachteil.</w:t>
      </w:r>
    </w:p>
    <w:p w:rsidR="00524813" w:rsidRDefault="00302306">
      <w:pPr>
        <w:pStyle w:val="Text"/>
      </w:pPr>
      <w:r>
        <w:t xml:space="preserve">Dasselbe gilt für die </w:t>
      </w:r>
      <w:r w:rsidR="00573FDD">
        <w:t>Anwenderseite</w:t>
      </w:r>
      <w:r>
        <w:t xml:space="preserve">: Stil kann man nicht abstellen. Wir alle </w:t>
      </w:r>
      <w:r w:rsidR="002473EA">
        <w:t xml:space="preserve">teilen </w:t>
      </w:r>
      <w:r>
        <w:t xml:space="preserve">nolens volens fortwährend </w:t>
      </w:r>
      <w:r w:rsidR="002473EA">
        <w:t xml:space="preserve">auf verschiedenen Kanälen </w:t>
      </w:r>
      <w:r>
        <w:t>stilistische Inform</w:t>
      </w:r>
      <w:r>
        <w:t>a</w:t>
      </w:r>
      <w:r>
        <w:t>tionen</w:t>
      </w:r>
      <w:r w:rsidR="002473EA">
        <w:t xml:space="preserve"> mit</w:t>
      </w:r>
      <w:r>
        <w:t xml:space="preserve">. Es ist besser, diesen Prozess zu beeinflussen zu versuchen und die Kompetenz zu entwickeln, seine Stile entweder (a) zumindest teilweise bewusst kontrollieren zu können oder (b) durch langfristiges Training so umzuändern, dass die </w:t>
      </w:r>
      <w:r w:rsidR="00573FDD">
        <w:t xml:space="preserve">übermittelte </w:t>
      </w:r>
      <w:r>
        <w:t>Information unseren Interessen und Intentionen en</w:t>
      </w:r>
      <w:r>
        <w:t>t</w:t>
      </w:r>
      <w:r>
        <w:t xml:space="preserve">spricht. Wenn dies nicht geht, ist die zweitbeste Lösung, </w:t>
      </w:r>
      <w:r w:rsidR="00F13C80">
        <w:t>die eigenen Stile z</w:t>
      </w:r>
      <w:r w:rsidR="00F13C80">
        <w:t>u</w:t>
      </w:r>
      <w:r w:rsidR="00F13C80">
        <w:lastRenderedPageBreak/>
        <w:t xml:space="preserve">mindest bewusst wahrzunehmen </w:t>
      </w:r>
      <w:r>
        <w:t xml:space="preserve">und </w:t>
      </w:r>
      <w:r w:rsidR="00F13C80">
        <w:t xml:space="preserve">damit </w:t>
      </w:r>
      <w:r>
        <w:t>zu wissen, welche stilistischen I</w:t>
      </w:r>
      <w:r>
        <w:t>n</w:t>
      </w:r>
      <w:r>
        <w:t>formatio</w:t>
      </w:r>
      <w:r w:rsidR="00B10142">
        <w:t xml:space="preserve">nen man gerade </w:t>
      </w:r>
      <w:r w:rsidR="00573FDD">
        <w:t>übermittelt</w:t>
      </w:r>
      <w:r w:rsidR="00B10142">
        <w:t>.</w:t>
      </w:r>
    </w:p>
    <w:p w:rsidR="00E11278" w:rsidRDefault="00F13C80">
      <w:pPr>
        <w:pStyle w:val="Text"/>
      </w:pPr>
      <w:r>
        <w:t>Mit Hilfe von Stilkompetenz</w:t>
      </w:r>
      <w:r w:rsidR="00DA4438">
        <w:rPr>
          <w:rStyle w:val="Funotenzeichen"/>
        </w:rPr>
        <w:footnoteReference w:id="591"/>
      </w:r>
      <w:r>
        <w:t xml:space="preserve"> kann ein Individuum erhebliche Vorteile in der Interaktion mit anderen Individuen </w:t>
      </w:r>
      <w:r w:rsidR="00E11278">
        <w:t>gewinnen</w:t>
      </w:r>
      <w:r>
        <w:t xml:space="preserve">. Kompetenz beim </w:t>
      </w:r>
      <w:r w:rsidR="00663B18">
        <w:t>Wahrne</w:t>
      </w:r>
      <w:r w:rsidR="00663B18">
        <w:t>h</w:t>
      </w:r>
      <w:r w:rsidR="00663B18">
        <w:t xml:space="preserve">men </w:t>
      </w:r>
      <w:r>
        <w:t>von Stilen verschafft dem Individuum zusätzliche Informationen, die es ihm ermöglichen, seine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xml:space="preserve"> </w:t>
      </w:r>
      <w:r w:rsidR="00E11278">
        <w:t xml:space="preserve">und sonstige Interaktion </w:t>
      </w:r>
      <w:r>
        <w:t>zielführen</w:t>
      </w:r>
      <w:r w:rsidR="00E11278">
        <w:t>der zu gestalten. Die ge</w:t>
      </w:r>
      <w:r w:rsidR="00CE29C7">
        <w:t>wonnenen Informationen sind oft</w:t>
      </w:r>
      <w:r w:rsidR="00E11278">
        <w:t xml:space="preserve"> auch darüber hinaus nützlich, etwa bei der Handlungsplanung, der Einschätzung zukünftiger Verhaltenswe</w:t>
      </w:r>
      <w:r w:rsidR="00E11278">
        <w:t>i</w:t>
      </w:r>
      <w:r w:rsidR="00E11278">
        <w:t xml:space="preserve">sen, der Koalitionsbildung </w:t>
      </w:r>
      <w:r>
        <w:t xml:space="preserve">und </w:t>
      </w:r>
      <w:r w:rsidR="00E11278">
        <w:t xml:space="preserve">als wertvolles Gut, das man </w:t>
      </w:r>
      <w:r>
        <w:t>an andere</w:t>
      </w:r>
      <w:r w:rsidR="00E11278">
        <w:t xml:space="preserve"> weiterg</w:t>
      </w:r>
      <w:r w:rsidR="00E11278">
        <w:t>e</w:t>
      </w:r>
      <w:r w:rsidR="00E11278">
        <w:t>ben kann</w:t>
      </w:r>
      <w:r>
        <w:t xml:space="preserve">, </w:t>
      </w:r>
      <w:r w:rsidR="00E11278">
        <w:t xml:space="preserve">um </w:t>
      </w:r>
      <w:r>
        <w:t xml:space="preserve">Informiertheit </w:t>
      </w:r>
      <w:r w:rsidR="00E11278">
        <w:t xml:space="preserve">zu </w:t>
      </w:r>
      <w:r>
        <w:t>zeigen</w:t>
      </w:r>
      <w:r w:rsidR="00E11278">
        <w:t xml:space="preserve">, seine Reputation zu vergrößern oder sie </w:t>
      </w:r>
      <w:r>
        <w:t xml:space="preserve">sich zu Dank </w:t>
      </w:r>
      <w:r w:rsidR="00E11278">
        <w:t xml:space="preserve">zu </w:t>
      </w:r>
      <w:r>
        <w:t>verpflichten.</w:t>
      </w:r>
    </w:p>
    <w:p w:rsidR="00F13C80" w:rsidRDefault="00F13C80">
      <w:pPr>
        <w:pStyle w:val="Text"/>
      </w:pPr>
      <w:r>
        <w:t xml:space="preserve">Konkreter ist der Vorteil, dass sich das Individuum bis zu einem gewissen Grad vor Gefahren – nachteiligen Absichten des Gegenübers – schützen kann; allerdings ist dies ein zweischneidiges Schwert, weil jemand, der sich auf Stile verlässt und </w:t>
      </w:r>
      <w:r w:rsidR="00E11278">
        <w:t>auf ihrer Basis ein Gegenüber als vertrauenswürdig einschätzt, wen</w:t>
      </w:r>
      <w:r w:rsidR="00E11278">
        <w:t>i</w:t>
      </w:r>
      <w:r w:rsidR="00E11278">
        <w:t xml:space="preserve">ger vorsichtig sein wird; diese Bereitschaft kann daher zum Nachteil werden, wenn die eigene </w:t>
      </w:r>
      <w:r w:rsidR="00DA4438">
        <w:t xml:space="preserve">Kompetenz im </w:t>
      </w:r>
      <w:r w:rsidR="00663B18">
        <w:t xml:space="preserve">Wahrnehmen </w:t>
      </w:r>
      <w:r w:rsidR="00DA4438">
        <w:t>von Stilen nicht ausreicht</w:t>
      </w:r>
      <w:r w:rsidR="00E11278">
        <w:t xml:space="preserve"> oder wenn das Gegenüber besser als erwartet im Manipulieren seiner Stile ist.</w:t>
      </w:r>
    </w:p>
    <w:p w:rsidR="00E11278" w:rsidRDefault="00E11278">
      <w:pPr>
        <w:pStyle w:val="Text"/>
      </w:pPr>
      <w:r>
        <w:t>Nicht nur für das Individuum, sondern auch für Gruppen hat Stilkomp</w:t>
      </w:r>
      <w:r>
        <w:t>e</w:t>
      </w:r>
      <w:r>
        <w:t>tenz Vorteile, etwa durch Verbesserung des Gruppenzusammenhalts oder durch Einsparung von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xml:space="preserve"> innerhalb der Gruppe oder mit anderen Gru</w:t>
      </w:r>
      <w:r>
        <w:t>p</w:t>
      </w:r>
      <w:r>
        <w:t>pen, wenn ein Teil der auszutauschenden Information durch Stile übermittelt werden kann.</w:t>
      </w:r>
      <w:r>
        <w:rPr>
          <w:rStyle w:val="Funotenzeichen"/>
        </w:rPr>
        <w:footnoteReference w:id="592"/>
      </w:r>
    </w:p>
    <w:p w:rsidR="00D2554C" w:rsidRDefault="00A9678E">
      <w:pPr>
        <w:pStyle w:val="Text"/>
      </w:pPr>
      <w:r>
        <w:t>Stil hat zudem den Vorteil der Individuenmarkierung und Gruppenzugeh</w:t>
      </w:r>
      <w:r>
        <w:t>ö</w:t>
      </w:r>
      <w:r>
        <w:t>rigkeitsmarkierung: Individuen können anhand ihrer Stile (beispielsweise ihres Gehstils</w:t>
      </w:r>
      <w:r w:rsidR="005D7996">
        <w:fldChar w:fldCharType="begin"/>
      </w:r>
      <w:r w:rsidR="009F796C">
        <w:instrText xml:space="preserve"> XE "</w:instrText>
      </w:r>
      <w:r w:rsidR="009F796C" w:rsidRPr="00CE4033">
        <w:instrText>Gehstil</w:instrText>
      </w:r>
      <w:r w:rsidR="009F796C">
        <w:instrText xml:space="preserve">" </w:instrText>
      </w:r>
      <w:r w:rsidR="005D7996">
        <w:fldChar w:fldCharType="end"/>
      </w:r>
      <w:r w:rsidR="009F796C">
        <w:t xml:space="preserve">; vgl. Abschnitt </w:t>
      </w:r>
      <w:r w:rsidR="005D7996">
        <w:fldChar w:fldCharType="begin"/>
      </w:r>
      <w:r w:rsidR="009F796C">
        <w:instrText xml:space="preserve"> REF _Ref261331554 \r \h </w:instrText>
      </w:r>
      <w:r w:rsidR="005D7996">
        <w:fldChar w:fldCharType="separate"/>
      </w:r>
      <w:r w:rsidR="001231D3">
        <w:t>7.1.6</w:t>
      </w:r>
      <w:r w:rsidR="005D7996">
        <w:fldChar w:fldCharType="end"/>
      </w:r>
      <w:r>
        <w:t>) identifiziert und erinnert werden, ebenso können Gruppenmitglieder, wenn die Gruppe einen eigenen Stil erkannt haben, anhand ihres Stils erkannt werden.</w:t>
      </w:r>
      <w:r w:rsidR="00B432F6">
        <w:t xml:space="preserve"> </w:t>
      </w:r>
      <w:r w:rsidR="009A4989">
        <w:t>Über Stil</w:t>
      </w:r>
      <w:r w:rsidR="00967AFC">
        <w:t>wahrnehmung</w:t>
      </w:r>
      <w:r w:rsidR="009A4989">
        <w:t xml:space="preserve"> bei Tieren und in prähistor</w:t>
      </w:r>
      <w:r w:rsidR="009A4989">
        <w:t>i</w:t>
      </w:r>
      <w:r w:rsidR="009A4989">
        <w:t>schen Zeiten liegen keine gesicherten Erkenntnisse vor, daher ist es müßig, über evolutionäre Vorteile von Stilkompetenz zu spekulieren.</w:t>
      </w:r>
      <w:r w:rsidR="00B416D1">
        <w:t xml:space="preserve"> Allerdings kann verm</w:t>
      </w:r>
      <w:r w:rsidR="00B416D1">
        <w:t>u</w:t>
      </w:r>
      <w:r w:rsidR="00B416D1">
        <w:t xml:space="preserve">tet werden, dass die Fähigkeit der </w:t>
      </w:r>
      <w:r w:rsidR="00B416D1" w:rsidRPr="00B416D1">
        <w:rPr>
          <w:i/>
        </w:rPr>
        <w:t>Zeichenerkennung</w:t>
      </w:r>
      <w:r w:rsidR="00B416D1">
        <w:t>, die die Fähigkeit zur A</w:t>
      </w:r>
      <w:r w:rsidR="00B416D1">
        <w:t>b</w:t>
      </w:r>
      <w:r w:rsidR="00B416D1">
        <w:t>grenzung verschiedener Zeichenprozesstypen und damit auch von Stil vorau</w:t>
      </w:r>
      <w:r w:rsidR="00B416D1">
        <w:t>s</w:t>
      </w:r>
      <w:r w:rsidR="00B416D1">
        <w:t xml:space="preserve">setzt, evolutionär nützlich war. Außerdem </w:t>
      </w:r>
      <w:r w:rsidR="00967AFC">
        <w:t>ist Stil ein Zeichenprozesstyp</w:t>
      </w:r>
      <w:r w:rsidR="009A4989">
        <w:t xml:space="preserve">, </w:t>
      </w:r>
      <w:r w:rsidR="00967AFC">
        <w:t xml:space="preserve">bei dem </w:t>
      </w:r>
      <w:r w:rsidR="00F13A7D">
        <w:t>von Regelanwendungsspuren auf die Regeln geschlossen wird, die sie veru</w:t>
      </w:r>
      <w:r w:rsidR="00F13A7D">
        <w:t>r</w:t>
      </w:r>
      <w:r w:rsidR="00F13A7D">
        <w:t xml:space="preserve">sacht haben </w:t>
      </w:r>
      <w:r w:rsidR="009A4989">
        <w:t>(vgl. Abschnitt</w:t>
      </w:r>
      <w:r w:rsidR="009D695E">
        <w:t xml:space="preserve"> </w:t>
      </w:r>
      <w:r w:rsidR="005D7996">
        <w:fldChar w:fldCharType="begin"/>
      </w:r>
      <w:r w:rsidR="009D695E">
        <w:instrText xml:space="preserve"> REF _Ref272607625 \r \h </w:instrText>
      </w:r>
      <w:r w:rsidR="005D7996">
        <w:fldChar w:fldCharType="separate"/>
      </w:r>
      <w:r w:rsidR="001231D3">
        <w:t>2.13</w:t>
      </w:r>
      <w:r w:rsidR="005D7996">
        <w:fldChar w:fldCharType="end"/>
      </w:r>
      <w:r w:rsidR="009A4989">
        <w:t xml:space="preserve">), </w:t>
      </w:r>
      <w:r w:rsidR="00967AFC">
        <w:t xml:space="preserve">und fällt damit </w:t>
      </w:r>
      <w:r w:rsidR="009A4989">
        <w:t xml:space="preserve">unter die allgemeine Fähigkeit zur </w:t>
      </w:r>
      <w:r w:rsidR="009A4989" w:rsidRPr="00B416D1">
        <w:rPr>
          <w:i/>
        </w:rPr>
        <w:t>Regelerkennung</w:t>
      </w:r>
      <w:r w:rsidR="009A4989">
        <w:t xml:space="preserve"> des Menschen, die </w:t>
      </w:r>
      <w:r w:rsidR="00F13A7D">
        <w:t xml:space="preserve">sicherlich </w:t>
      </w:r>
      <w:r w:rsidR="009A4989">
        <w:t>evolutionär relevant ist.</w:t>
      </w:r>
    </w:p>
    <w:p w:rsidR="00EB1E36" w:rsidRDefault="00DD1642" w:rsidP="00EB1E36">
      <w:pPr>
        <w:pStyle w:val="Titel2"/>
      </w:pPr>
      <w:bookmarkStart w:id="465" w:name="_Ref266001175"/>
      <w:bookmarkStart w:id="466" w:name="_Toc325456819"/>
      <w:bookmarkEnd w:id="464"/>
      <w:r>
        <w:lastRenderedPageBreak/>
        <w:t>Abgrenzungen</w:t>
      </w:r>
      <w:bookmarkEnd w:id="465"/>
      <w:bookmarkEnd w:id="466"/>
    </w:p>
    <w:p w:rsidR="00EB1E36" w:rsidRDefault="00EB1E36" w:rsidP="00280129">
      <w:pPr>
        <w:pStyle w:val="Titel3"/>
        <w:spacing w:before="240"/>
      </w:pPr>
      <w:bookmarkStart w:id="467" w:name="_Ref225393759"/>
      <w:bookmarkStart w:id="468" w:name="_Ref268163246"/>
      <w:bookmarkStart w:id="469" w:name="_Toc325456820"/>
      <w:bookmarkStart w:id="470" w:name="Gruppenstil"/>
      <w:r>
        <w:t xml:space="preserve">Gruppen- und </w:t>
      </w:r>
      <w:bookmarkEnd w:id="467"/>
      <w:r w:rsidR="0071656F">
        <w:t>Individualstile</w:t>
      </w:r>
      <w:bookmarkEnd w:id="468"/>
      <w:bookmarkEnd w:id="469"/>
    </w:p>
    <w:p w:rsidR="00BC0C2E" w:rsidRDefault="005D7996" w:rsidP="007B2845">
      <w:pPr>
        <w:pStyle w:val="Text"/>
        <w:ind w:firstLine="0"/>
      </w:pPr>
      <w:r>
        <w:fldChar w:fldCharType="begin"/>
      </w:r>
      <w:r w:rsidR="00415D12">
        <w:instrText xml:space="preserve"> XE "Gruppenstil" \r "Gruppenstil"</w:instrText>
      </w:r>
      <w:r w:rsidR="00362FC7">
        <w:instrText xml:space="preserve"> </w:instrText>
      </w:r>
      <w:r>
        <w:fldChar w:fldCharType="end"/>
      </w:r>
      <w:r>
        <w:fldChar w:fldCharType="begin"/>
      </w:r>
      <w:r w:rsidR="00415D12">
        <w:instrText xml:space="preserve"> XE "Individualstil" \r "Gruppenstil"</w:instrText>
      </w:r>
      <w:r w:rsidR="00362FC7">
        <w:instrText xml:space="preserve"> </w:instrText>
      </w:r>
      <w:r>
        <w:fldChar w:fldCharType="end"/>
      </w:r>
      <w:r w:rsidR="00EB1E36">
        <w:t xml:space="preserve">Die Unterscheidung zwischen Gruppen- und </w:t>
      </w:r>
      <w:r w:rsidR="0071656F">
        <w:t xml:space="preserve">Individualstilen </w:t>
      </w:r>
      <w:r w:rsidR="00EB1E36">
        <w:t>hat einige Au</w:t>
      </w:r>
      <w:r w:rsidR="00EB1E36">
        <w:t>f</w:t>
      </w:r>
      <w:r w:rsidR="00EB1E36">
        <w:t>merksamkeit auf sich gezogen.</w:t>
      </w:r>
      <w:r w:rsidR="00EB1E36">
        <w:rPr>
          <w:rStyle w:val="Funotenzeichen"/>
        </w:rPr>
        <w:footnoteReference w:id="593"/>
      </w:r>
      <w:r w:rsidR="00EB1E36">
        <w:t xml:space="preserve"> </w:t>
      </w:r>
      <w:r w:rsidR="0071656F">
        <w:t>Manchmal wurden Individualstile dabei als Stile aufgefasst, die eine überdurchschnittliche Eigenständigkeit aufweisen oder b</w:t>
      </w:r>
      <w:r w:rsidR="0071656F">
        <w:t>e</w:t>
      </w:r>
      <w:r w:rsidR="0071656F">
        <w:t>sonders geschlossen erscheinen.</w:t>
      </w:r>
      <w:r w:rsidR="005E1A85">
        <w:rPr>
          <w:rStyle w:val="Funotenzeichen"/>
        </w:rPr>
        <w:footnoteReference w:id="594"/>
      </w:r>
      <w:r w:rsidR="0071656F">
        <w:t xml:space="preserve"> </w:t>
      </w:r>
      <w:r w:rsidR="00BC0C2E">
        <w:t>Dafür muss allerdings klar definiert werden, wann der Stil einer Einzelperson diese besonderen Anforderungen erfüllt, was</w:t>
      </w:r>
      <w:r w:rsidR="00520661">
        <w:t xml:space="preserve"> </w:t>
      </w:r>
      <w:r w:rsidR="00BC0C2E">
        <w:t>schwierig ist und in der Regel normative Bestandteile erhält. Hier wird der B</w:t>
      </w:r>
      <w:r w:rsidR="00BC0C2E">
        <w:t>e</w:t>
      </w:r>
      <w:r w:rsidR="00BC0C2E">
        <w:t>griff daher einfach für jeden Stil einer einzelnen Person verwendet.</w:t>
      </w:r>
      <w:r w:rsidR="00FA43E4">
        <w:rPr>
          <w:rStyle w:val="Funotenzeichen"/>
        </w:rPr>
        <w:footnoteReference w:id="595"/>
      </w:r>
    </w:p>
    <w:p w:rsidR="00520661" w:rsidRDefault="00520661" w:rsidP="00520661">
      <w:pPr>
        <w:pStyle w:val="Text"/>
      </w:pPr>
      <w:r>
        <w:t>Aber was ist ein solcher Stil? Offensichtlich muss er aus mehreren Realisi</w:t>
      </w:r>
      <w:r>
        <w:t>e</w:t>
      </w:r>
      <w:r>
        <w:t xml:space="preserve">rungen eines </w:t>
      </w:r>
      <w:r w:rsidR="00C75387">
        <w:t>Stilanwender</w:t>
      </w:r>
      <w:r>
        <w:t>s zusammengestellt werden. Es wurde bereits e</w:t>
      </w:r>
      <w:r>
        <w:t>r</w:t>
      </w:r>
      <w:r>
        <w:t>wähnt</w:t>
      </w:r>
      <w:r w:rsidR="009A14A2">
        <w:t>,</w:t>
      </w:r>
      <w:r w:rsidR="009A14A2">
        <w:rPr>
          <w:rStyle w:val="Funotenzeichen"/>
        </w:rPr>
        <w:footnoteReference w:id="596"/>
      </w:r>
      <w:r>
        <w:t xml:space="preserve"> dass verschiedene Realisierungen beim </w:t>
      </w:r>
      <w:r w:rsidR="00663B18">
        <w:t xml:space="preserve">Wahrnehmen </w:t>
      </w:r>
      <w:r>
        <w:t>eines Stils zu e</w:t>
      </w:r>
      <w:r>
        <w:t>i</w:t>
      </w:r>
      <w:r>
        <w:t xml:space="preserve">nem Input </w:t>
      </w:r>
      <w:r w:rsidRPr="00E621A5">
        <w:rPr>
          <w:i/>
        </w:rPr>
        <w:t>R</w:t>
      </w:r>
      <w:r>
        <w:t xml:space="preserve"> zusammengefasst werden können, die dann wie eine Realisierung verarbeitet wird. Auf diese Weise </w:t>
      </w:r>
      <w:r w:rsidR="00551F6D">
        <w:t xml:space="preserve">werden </w:t>
      </w:r>
      <w:r>
        <w:t xml:space="preserve">auch </w:t>
      </w:r>
      <w:r w:rsidR="00551F6D">
        <w:t>Individual</w:t>
      </w:r>
      <w:r>
        <w:t>stile</w:t>
      </w:r>
      <w:r w:rsidR="00551F6D">
        <w:t>,</w:t>
      </w:r>
      <w:r>
        <w:t xml:space="preserve"> beispielsweise der Stil eines Architekten</w:t>
      </w:r>
      <w:r w:rsidR="00551F6D">
        <w:t>,</w:t>
      </w:r>
      <w:r>
        <w:t xml:space="preserve"> definiert. Es gibt jedoch auch andere Möglichkeiten: Be</w:t>
      </w:r>
      <w:r>
        <w:t>i</w:t>
      </w:r>
      <w:r>
        <w:t xml:space="preserve">spielsweise </w:t>
      </w:r>
      <w:r w:rsidR="00CE29C7">
        <w:t xml:space="preserve">kann </w:t>
      </w:r>
      <w:r>
        <w:t xml:space="preserve">aus jeder Realisierung einzeln </w:t>
      </w:r>
      <w:r w:rsidR="00CE29C7">
        <w:t xml:space="preserve">eine Menge von Merkmalsregeln </w:t>
      </w:r>
      <w:r w:rsidR="00CE29C7" w:rsidRPr="00CE29C7">
        <w:rPr>
          <w:i/>
        </w:rPr>
        <w:t>B</w:t>
      </w:r>
      <w:r w:rsidR="00CE29C7">
        <w:t xml:space="preserve"> </w:t>
      </w:r>
      <w:r>
        <w:t xml:space="preserve">ausgelesen und </w:t>
      </w:r>
      <w:r w:rsidR="00CE29C7">
        <w:t>dann ein</w:t>
      </w:r>
      <w:r>
        <w:t xml:space="preserve"> Toleranzfaktor </w:t>
      </w:r>
      <w:r w:rsidR="00CE29C7">
        <w:t xml:space="preserve">angenommen </w:t>
      </w:r>
      <w:r w:rsidR="00FB19E4">
        <w:t>werden, der b</w:t>
      </w:r>
      <w:r>
        <w:t>eispiel</w:t>
      </w:r>
      <w:r>
        <w:t>s</w:t>
      </w:r>
      <w:r>
        <w:lastRenderedPageBreak/>
        <w:t xml:space="preserve">weise </w:t>
      </w:r>
      <w:r w:rsidR="00FB19E4">
        <w:t xml:space="preserve">festlegt, dass </w:t>
      </w:r>
      <w:r>
        <w:t xml:space="preserve">alle Merkmalsregeln, die in mindestens </w:t>
      </w:r>
      <w:r w:rsidR="002E63DF">
        <w:t>80 %</w:t>
      </w:r>
      <w:r>
        <w:t xml:space="preserve"> der</w:t>
      </w:r>
      <w:r w:rsidR="00CE29C7">
        <w:t xml:space="preserve"> </w:t>
      </w:r>
      <w:r w:rsidRPr="000A4857">
        <w:rPr>
          <w:i/>
        </w:rPr>
        <w:t>B</w:t>
      </w:r>
      <w:r>
        <w:t xml:space="preserve"> enthalten sind, zum Stil gerechnet werden. Es würde damit angenommen, dass ein</w:t>
      </w:r>
      <w:r w:rsidR="00DB33A9">
        <w:t>e</w:t>
      </w:r>
      <w:r>
        <w:t xml:space="preserve"> Mer</w:t>
      </w:r>
      <w:r>
        <w:t>k</w:t>
      </w:r>
      <w:r>
        <w:t>mal</w:t>
      </w:r>
      <w:r w:rsidR="00DB33A9">
        <w:t>sregel</w:t>
      </w:r>
      <w:r>
        <w:t xml:space="preserve"> auch dann zum Stil eines Architekten gehört, wenn es bei 2 von 10 Realisierungen </w:t>
      </w:r>
      <w:r w:rsidR="00DB33A9">
        <w:t>nicht ausgelesen wurde</w:t>
      </w:r>
      <w:r>
        <w:t>.</w:t>
      </w:r>
      <w:r w:rsidR="00A714BA">
        <w:rPr>
          <w:rStyle w:val="Funotenzeichen"/>
        </w:rPr>
        <w:footnoteReference w:id="597"/>
      </w:r>
    </w:p>
    <w:p w:rsidR="007B2845" w:rsidRDefault="00520661" w:rsidP="007B2845">
      <w:pPr>
        <w:pStyle w:val="Text"/>
      </w:pPr>
      <w:r>
        <w:t xml:space="preserve">Untersucht man in dieser Weise die Realisierungen getrennt, gibt es weitere Möglichkeiten, aus den Ergebnissen einen </w:t>
      </w:r>
      <w:r w:rsidR="00551F6D">
        <w:t xml:space="preserve">Individualstil </w:t>
      </w:r>
      <w:r>
        <w:t>zusammenzustellen: Beispielsweise kann man noch die Auffälligkeit der Merkmal</w:t>
      </w:r>
      <w:r w:rsidR="00DB33A9">
        <w:t>sregeln</w:t>
      </w:r>
      <w:r>
        <w:t xml:space="preserve"> mit einb</w:t>
      </w:r>
      <w:r>
        <w:t>e</w:t>
      </w:r>
      <w:r>
        <w:t xml:space="preserve">ziehen und für die Aufnahme in den </w:t>
      </w:r>
      <w:r w:rsidR="00551F6D">
        <w:t xml:space="preserve">Individualstil </w:t>
      </w:r>
      <w:r>
        <w:t>die Häufigkeit mit der Auffä</w:t>
      </w:r>
      <w:r>
        <w:t>l</w:t>
      </w:r>
      <w:r>
        <w:t>ligkeit multiplizieren</w:t>
      </w:r>
      <w:r w:rsidR="009A14A2">
        <w:t>; eine auffälligere Merkmalsregel würde dann in den Stil aufgenommen, auch wenn sie seltener an den Realisierungen auftritt</w:t>
      </w:r>
      <w:r>
        <w:t xml:space="preserve">. Solche Beschreibungen, die auf die Zusammenfassung verschiedener Realisierungen zu einem untersuchten </w:t>
      </w:r>
      <w:r w:rsidRPr="009A14A2">
        <w:rPr>
          <w:i/>
        </w:rPr>
        <w:t>R</w:t>
      </w:r>
      <w:r>
        <w:t xml:space="preserve"> </w:t>
      </w:r>
      <w:r w:rsidR="009A14A2">
        <w:t xml:space="preserve">verzichten, </w:t>
      </w:r>
      <w:r>
        <w:t xml:space="preserve">haben </w:t>
      </w:r>
      <w:r w:rsidR="009A14A2">
        <w:t xml:space="preserve">einen </w:t>
      </w:r>
      <w:r>
        <w:t xml:space="preserve">Nachteil: Man </w:t>
      </w:r>
      <w:r w:rsidR="009A14A2">
        <w:t>erhält Verdopp</w:t>
      </w:r>
      <w:r w:rsidR="009A14A2">
        <w:t>e</w:t>
      </w:r>
      <w:r w:rsidR="009A14A2">
        <w:t xml:space="preserve">lungen durch ähnliche Merkmalsregeln, während bei der </w:t>
      </w:r>
      <w:r>
        <w:t xml:space="preserve">Zusammenfassung zu einer Realisierung </w:t>
      </w:r>
      <w:r w:rsidR="009A14A2">
        <w:t>allgemeinere Merkmalsregeln gebildet werden.</w:t>
      </w:r>
      <w:bookmarkStart w:id="471" w:name="_Ref268165210"/>
      <w:r w:rsidR="00285550">
        <w:rPr>
          <w:rStyle w:val="Funotenzeichen"/>
        </w:rPr>
        <w:footnoteReference w:id="598"/>
      </w:r>
      <w:bookmarkEnd w:id="471"/>
      <w:r w:rsidR="009A14A2">
        <w:t xml:space="preserve"> Ein Unte</w:t>
      </w:r>
      <w:r w:rsidR="009A14A2">
        <w:t>r</w:t>
      </w:r>
      <w:r w:rsidR="009A14A2">
        <w:t>schied, der aber nicht unbedingt ein Nachteil sein muss, besteht darin, dass sich für die Anwendungswahrscheinlichkeit nun Werte für die einzelnen Realisieru</w:t>
      </w:r>
      <w:r w:rsidR="009A14A2">
        <w:t>n</w:t>
      </w:r>
      <w:r w:rsidR="009A14A2">
        <w:t>gen ergeben, während bei der Zusammenfassung zu einer Realisierung über diese gemittelte Werte entstehen.</w:t>
      </w:r>
    </w:p>
    <w:p w:rsidR="00D350BB" w:rsidRDefault="00520661" w:rsidP="007B2845">
      <w:pPr>
        <w:pStyle w:val="Text"/>
      </w:pPr>
      <w:r>
        <w:t>Was sind Gruppenstile? – Auf den ersten Blick scheint der B</w:t>
      </w:r>
      <w:r w:rsidR="00D350BB">
        <w:t>egriff gar nicht nötig zu sein, denn es gibt die Möglichkeiten, Stile von Gruppen wie Stile von Individuen zu behandeln:</w:t>
      </w:r>
    </w:p>
    <w:p w:rsidR="00520661" w:rsidRDefault="00D350BB" w:rsidP="00EB1E36">
      <w:pPr>
        <w:pStyle w:val="Text"/>
      </w:pPr>
      <w:r>
        <w:t>(1)</w:t>
      </w:r>
      <w:r>
        <w:tab/>
      </w:r>
      <w:r w:rsidR="00D13844">
        <w:t>E</w:t>
      </w:r>
      <w:r w:rsidR="00EB1E36">
        <w:t xml:space="preserve">ine Menge von </w:t>
      </w:r>
      <w:r w:rsidR="00765E66">
        <w:t>Merkmalsregel</w:t>
      </w:r>
      <w:r w:rsidR="00EB1E36">
        <w:t xml:space="preserve">n </w:t>
      </w:r>
      <w:r w:rsidR="00EB1E36">
        <w:rPr>
          <w:i/>
        </w:rPr>
        <w:t>B</w:t>
      </w:r>
      <w:r w:rsidR="00EB1E36">
        <w:t>, die in unserem Modell als Stil b</w:t>
      </w:r>
      <w:r w:rsidR="00EB1E36">
        <w:t>e</w:t>
      </w:r>
      <w:r w:rsidR="00EB1E36">
        <w:t xml:space="preserve">zeichnet wird, </w:t>
      </w:r>
      <w:r w:rsidR="00D13844">
        <w:t xml:space="preserve">kann </w:t>
      </w:r>
      <w:r w:rsidR="00EB1E36">
        <w:t xml:space="preserve">von einer Einzelperson, von mehreren Personen oder auch von großen Gruppen </w:t>
      </w:r>
      <w:r w:rsidR="00806289">
        <w:t xml:space="preserve">angewandt </w:t>
      </w:r>
      <w:r w:rsidR="00EB1E36">
        <w:t>werden.</w:t>
      </w:r>
      <w:r w:rsidR="00520661">
        <w:t xml:space="preserve"> Allerdings ist es dann unmöglich, V</w:t>
      </w:r>
      <w:r w:rsidR="00520661">
        <w:t>a</w:t>
      </w:r>
      <w:r w:rsidR="00520661">
        <w:t>rianz innerhalb des Gruppenstils zu beschreiben, die Mitglieder einer Gruppe hätten stets denselben Stil.</w:t>
      </w:r>
    </w:p>
    <w:p w:rsidR="00D350BB" w:rsidRDefault="00D350BB" w:rsidP="00D350BB">
      <w:pPr>
        <w:pStyle w:val="Text"/>
      </w:pPr>
      <w:r>
        <w:t>(2</w:t>
      </w:r>
      <w:r w:rsidR="00AB7E23">
        <w:t>)</w:t>
      </w:r>
      <w:r>
        <w:tab/>
      </w:r>
      <w:r w:rsidR="00AB7E23">
        <w:t xml:space="preserve">Diese Beschreibung kann verfeinert werden, indem ein Gruppenstil </w:t>
      </w:r>
      <w:r>
        <w:t xml:space="preserve">als ein Stil </w:t>
      </w:r>
      <w:r>
        <w:rPr>
          <w:i/>
        </w:rPr>
        <w:t>B</w:t>
      </w:r>
      <w:r>
        <w:t xml:space="preserve"> betrachtet </w:t>
      </w:r>
      <w:r w:rsidR="00AB7E23">
        <w:t>wird</w:t>
      </w:r>
      <w:r>
        <w:t xml:space="preserve">, der die als wesentlich erachteten Merkmalsregeln des Gruppenstils enthält. Dabei wird </w:t>
      </w:r>
      <w:r w:rsidR="00AB7E23">
        <w:t xml:space="preserve">beispielsweise </w:t>
      </w:r>
      <w:r>
        <w:t xml:space="preserve">„Impressionismus“ als Menge </w:t>
      </w:r>
      <w:r>
        <w:rPr>
          <w:i/>
        </w:rPr>
        <w:t>B</w:t>
      </w:r>
      <w:r>
        <w:t xml:space="preserve"> von Merkmalsregeln verstanden, die alle Impressionisten gemeinsam haben, w</w:t>
      </w:r>
      <w:r>
        <w:t>o</w:t>
      </w:r>
      <w:r>
        <w:t xml:space="preserve">bei bei Bedarf in einer zusätzlichen Variablen </w:t>
      </w:r>
      <w:r>
        <w:rPr>
          <w:i/>
        </w:rPr>
        <w:t>x</w:t>
      </w:r>
      <w:r>
        <w:t xml:space="preserve"> die Flexibiliät der Anwendung, </w:t>
      </w:r>
      <w:r>
        <w:lastRenderedPageBreak/>
        <w:t>entweder absolut (</w:t>
      </w:r>
      <w:r>
        <w:rPr>
          <w:i/>
        </w:rPr>
        <w:t>x</w:t>
      </w:r>
      <w:r>
        <w:t xml:space="preserve"> = erlaubte Anzahl von abweichenden Merkmalsregeln) oder relativ (</w:t>
      </w:r>
      <w:r>
        <w:rPr>
          <w:i/>
        </w:rPr>
        <w:t>x</w:t>
      </w:r>
      <w:r>
        <w:t xml:space="preserve"> = erlaubter Anteil der abweichenden Merkmalsregeln), angegeben werden kann. Diese Methode hat den Vorteil, Gruppenstile mit derselben Var</w:t>
      </w:r>
      <w:r>
        <w:t>i</w:t>
      </w:r>
      <w:r>
        <w:t>ablen wie</w:t>
      </w:r>
      <w:r w:rsidR="00AB7E23">
        <w:t xml:space="preserve"> Individualstile zu beschreiben, ohne auszuschließen, dass die Gru</w:t>
      </w:r>
      <w:r w:rsidR="00AB7E23">
        <w:t>p</w:t>
      </w:r>
      <w:r w:rsidR="00AB7E23">
        <w:t>penmitglieder in ihrem Individualstil jeweils weitere Merkmalsregeln</w:t>
      </w:r>
      <w:r>
        <w:t xml:space="preserve"> </w:t>
      </w:r>
      <w:r w:rsidR="00AB7E23">
        <w:t xml:space="preserve">besitzen. </w:t>
      </w:r>
      <w:r>
        <w:t>Diese Beschreibung ist insofern elegant, als Individualstile von anderen Indiv</w:t>
      </w:r>
      <w:r>
        <w:t>i</w:t>
      </w:r>
      <w:r>
        <w:t xml:space="preserve">duen übernommen werden können, wodurch sie zu Gruppenstilen werden. Wenn dabei einzelne Merkmalsregeln ‚unter den Tisch fallen‘, dann sind sie eben in dem gemeinsamen Gruppenstil </w:t>
      </w:r>
      <w:r>
        <w:rPr>
          <w:i/>
        </w:rPr>
        <w:t>B</w:t>
      </w:r>
      <w:r>
        <w:t xml:space="preserve"> nicht mehr enthalten.</w:t>
      </w:r>
    </w:p>
    <w:p w:rsidR="00EB1E36" w:rsidRDefault="00D350BB" w:rsidP="00EB1E36">
      <w:pPr>
        <w:pStyle w:val="Text"/>
      </w:pPr>
      <w:r>
        <w:t>(</w:t>
      </w:r>
      <w:r w:rsidR="00AB7E23">
        <w:t>3</w:t>
      </w:r>
      <w:r>
        <w:t>)</w:t>
      </w:r>
      <w:r>
        <w:tab/>
      </w:r>
      <w:r w:rsidR="00EB1E36">
        <w:t xml:space="preserve">Eine </w:t>
      </w:r>
      <w:r w:rsidR="00AB7E23">
        <w:t xml:space="preserve">technisch aufwendigere </w:t>
      </w:r>
      <w:r w:rsidR="00EB1E36">
        <w:t xml:space="preserve">Alternative </w:t>
      </w:r>
      <w:r w:rsidR="00AB7E23">
        <w:t>ist</w:t>
      </w:r>
      <w:r w:rsidR="00EB1E36">
        <w:t xml:space="preserve">, einen Gruppenstil </w:t>
      </w:r>
      <w:r w:rsidR="00EB1E36">
        <w:rPr>
          <w:i/>
        </w:rPr>
        <w:t>G</w:t>
      </w:r>
      <w:r w:rsidR="00EB1E36">
        <w:t xml:space="preserve"> als Menge von </w:t>
      </w:r>
      <w:r w:rsidR="00EB1E36">
        <w:rPr>
          <w:i/>
        </w:rPr>
        <w:t>B</w:t>
      </w:r>
      <w:r w:rsidR="00EB1E36">
        <w:t xml:space="preserve">, also als Menge von Mengen von </w:t>
      </w:r>
      <w:r w:rsidR="00765E66">
        <w:t>Merkmalsregel</w:t>
      </w:r>
      <w:r w:rsidR="00EB1E36">
        <w:t xml:space="preserve">n, zu definieren. Zusätzlich muss dann </w:t>
      </w:r>
      <w:r w:rsidR="00D13844">
        <w:t xml:space="preserve">allerdings ein Zusammenhang zwischen den in </w:t>
      </w:r>
      <w:r w:rsidR="00EB1E36">
        <w:rPr>
          <w:i/>
        </w:rPr>
        <w:t>G</w:t>
      </w:r>
      <w:r w:rsidR="00EB1E36">
        <w:t xml:space="preserve"> </w:t>
      </w:r>
      <w:r w:rsidR="00D13844">
        <w:t>entha</w:t>
      </w:r>
      <w:r w:rsidR="00D13844">
        <w:t>l</w:t>
      </w:r>
      <w:r w:rsidR="00D13844">
        <w:t>tenen</w:t>
      </w:r>
      <w:r w:rsidR="00EB1E36">
        <w:t xml:space="preserve"> verschiedenen </w:t>
      </w:r>
      <w:r w:rsidR="00D13844">
        <w:t xml:space="preserve">Stilen </w:t>
      </w:r>
      <w:r w:rsidR="00EB1E36">
        <w:rPr>
          <w:i/>
        </w:rPr>
        <w:t>B</w:t>
      </w:r>
      <w:r w:rsidR="00EB1E36">
        <w:t xml:space="preserve"> definiert werden, um zu sichern, dass es sich nicht nur um eine beliebige Menge von Stilen handelt.</w:t>
      </w:r>
      <w:r w:rsidR="00D13844">
        <w:t xml:space="preserve"> </w:t>
      </w:r>
      <w:r w:rsidR="00EB1E36">
        <w:t>Dies kann statistisch</w:t>
      </w:r>
      <w:r w:rsidR="005D7996">
        <w:fldChar w:fldCharType="begin"/>
      </w:r>
      <w:r w:rsidR="003C488B">
        <w:instrText xml:space="preserve"> XE "</w:instrText>
      </w:r>
      <w:r w:rsidR="003C488B" w:rsidRPr="00F86EB0">
        <w:instrText>Statistik</w:instrText>
      </w:r>
      <w:r w:rsidR="003C488B">
        <w:instrText xml:space="preserve">" </w:instrText>
      </w:r>
      <w:r w:rsidR="005D7996">
        <w:fldChar w:fldCharType="end"/>
      </w:r>
      <w:r w:rsidR="00EB1E36">
        <w:t xml:space="preserve"> erfolgen, indem ein Durchschnittsstil </w:t>
      </w:r>
      <w:r w:rsidR="00EB1E36">
        <w:rPr>
          <w:i/>
        </w:rPr>
        <w:t>B</w:t>
      </w:r>
      <w:r w:rsidR="00EB1E36">
        <w:t xml:space="preserve"> und für diesen die erlaubte Standardabweichung (bezogen auf die Anzahl der sich unterscheidenden </w:t>
      </w:r>
      <w:r w:rsidR="00765E66">
        <w:t>Merkmalsregel</w:t>
      </w:r>
      <w:r w:rsidR="00EB1E36">
        <w:t>n) definiert wird. Dieses Verfahren bringt allerdings zwei Schwierigkeiten mit sich: Zum einen muss der Durchschnit</w:t>
      </w:r>
      <w:r w:rsidR="00CA7C73">
        <w:t>t</w:t>
      </w:r>
      <w:r w:rsidR="00EB1E36">
        <w:t>sstil gefunden werden, was präzise nur dann mö</w:t>
      </w:r>
      <w:r w:rsidR="00EB1E36">
        <w:t>g</w:t>
      </w:r>
      <w:r w:rsidR="00EB1E36">
        <w:t xml:space="preserve">lich ist, wenn man bereits </w:t>
      </w:r>
      <w:r w:rsidR="00EB1E36">
        <w:rPr>
          <w:i/>
        </w:rPr>
        <w:t xml:space="preserve">alle </w:t>
      </w:r>
      <w:r w:rsidR="00EB1E36">
        <w:t>Stile des Gruppenstils vollständig untersucht hat. Dadurch würde der praxisrelevante Umgang mit Gruppenstilen erschwer</w:t>
      </w:r>
      <w:r w:rsidR="00F95CA6">
        <w:t>t</w:t>
      </w:r>
      <w:r w:rsidR="00EB1E36">
        <w:t xml:space="preserve">, da es nur bei einer bereits annähernd vollständigen Bekanntheit der zum Gruppenstil gehörigen Stile </w:t>
      </w:r>
      <w:r w:rsidR="0071656F">
        <w:t>möglich wäre</w:t>
      </w:r>
      <w:r w:rsidR="00EB1E36">
        <w:t>, einen Stil relativ zuverlässig auf seine Zugehöri</w:t>
      </w:r>
      <w:r w:rsidR="00EB1E36">
        <w:t>g</w:t>
      </w:r>
      <w:r w:rsidR="00EB1E36">
        <w:t xml:space="preserve">keit zum Gruppenstil zu prüfen. Schwerer als dieses technische Problem wiegt die aus dieser Definition folgende </w:t>
      </w:r>
      <w:r w:rsidR="0071656F">
        <w:t xml:space="preserve">theoretische </w:t>
      </w:r>
      <w:r w:rsidR="00EB1E36">
        <w:t>Möglichkeit beliebig weiter A</w:t>
      </w:r>
      <w:r w:rsidR="00EB1E36">
        <w:t>b</w:t>
      </w:r>
      <w:r w:rsidR="00EB1E36">
        <w:t>weichungen vom Normstil, die intuitiv nicht mit der Vorstellung eines Gruppe</w:t>
      </w:r>
      <w:r w:rsidR="00EB1E36">
        <w:t>n</w:t>
      </w:r>
      <w:r w:rsidR="00EB1E36">
        <w:t>stils übereinstimmt. Man könnte die Definition aber weiter verfeinern, indem man die erlaubte Abweichung begrenzt.</w:t>
      </w:r>
    </w:p>
    <w:p w:rsidR="00EB1E36" w:rsidRDefault="00D350BB" w:rsidP="00EB1E36">
      <w:pPr>
        <w:pStyle w:val="Text"/>
      </w:pPr>
      <w:r>
        <w:t>(</w:t>
      </w:r>
      <w:r w:rsidR="00AB7E23">
        <w:t>4</w:t>
      </w:r>
      <w:r>
        <w:t>)</w:t>
      </w:r>
      <w:r>
        <w:tab/>
      </w:r>
      <w:r w:rsidR="00EB1E36">
        <w:t xml:space="preserve">Eine andere Möglichkeit </w:t>
      </w:r>
      <w:r>
        <w:t>besteht darin</w:t>
      </w:r>
      <w:r w:rsidR="00EB1E36">
        <w:t xml:space="preserve">, notwendige Bedingungen für die Zugehörigkeit eines Stils </w:t>
      </w:r>
      <w:r w:rsidR="00EB1E36">
        <w:rPr>
          <w:i/>
        </w:rPr>
        <w:t>B</w:t>
      </w:r>
      <w:r w:rsidR="00EB1E36">
        <w:t xml:space="preserve"> zu einem Gruppenstil </w:t>
      </w:r>
      <w:r w:rsidR="00EB1E36">
        <w:rPr>
          <w:i/>
        </w:rPr>
        <w:t>G</w:t>
      </w:r>
      <w:r w:rsidR="00EB1E36">
        <w:t xml:space="preserve"> anzunehmen. Dazu könnte die maximale Abweichung (absolut auf die Anzahl oder relativ auf den Anteil der </w:t>
      </w:r>
      <w:r w:rsidR="00765E66">
        <w:t>Merkmalsregel</w:t>
      </w:r>
      <w:r w:rsidR="00EB1E36">
        <w:t xml:space="preserve">n bezogen) gehören, oder es könnten bestimmte </w:t>
      </w:r>
      <w:r w:rsidR="00765E66">
        <w:t>Merkmalsregel</w:t>
      </w:r>
      <w:r w:rsidR="00EB1E36">
        <w:t>n als notwendig verlangt werden. Zusammen würden diese Bedi</w:t>
      </w:r>
      <w:r w:rsidR="00EB1E36">
        <w:t>n</w:t>
      </w:r>
      <w:r w:rsidR="00EB1E36">
        <w:t xml:space="preserve">gungen als hinreichend für die Zugehörigkeit zu </w:t>
      </w:r>
      <w:r w:rsidR="00EB1E36">
        <w:rPr>
          <w:i/>
        </w:rPr>
        <w:t>G</w:t>
      </w:r>
      <w:r w:rsidR="00EB1E36">
        <w:t xml:space="preserve"> gelten. Es ist allerdings eine offene Frage, ob sich für die vielen bereits beschriebenen Gruppenstile </w:t>
      </w:r>
      <w:r w:rsidR="00EB1E36">
        <w:rPr>
          <w:rFonts w:cs="Times New Roman"/>
        </w:rPr>
        <w:t>–</w:t>
      </w:r>
      <w:r w:rsidR="00EB1E36">
        <w:t xml:space="preserve"> etwa künstlerische Schulen wie den „Impressionismus“ </w:t>
      </w:r>
      <w:r w:rsidR="00EB1E36">
        <w:rPr>
          <w:rFonts w:cs="Times New Roman"/>
        </w:rPr>
        <w:t>–</w:t>
      </w:r>
      <w:r w:rsidR="00EB1E36">
        <w:t xml:space="preserve"> solche Bedingungen finden lassen, oder ob Wittgensteins</w:t>
      </w:r>
      <w:r w:rsidR="005D7996">
        <w:fldChar w:fldCharType="begin"/>
      </w:r>
      <w:r w:rsidR="007152D7">
        <w:instrText xml:space="preserve"> XE "</w:instrText>
      </w:r>
      <w:r w:rsidR="007152D7" w:rsidRPr="00B811B3">
        <w:instrText>Wittgenstein, Ludwig</w:instrText>
      </w:r>
      <w:r w:rsidR="007152D7">
        <w:instrText xml:space="preserve">" </w:instrText>
      </w:r>
      <w:r w:rsidR="005D7996">
        <w:fldChar w:fldCharType="end"/>
      </w:r>
      <w:r w:rsidR="00EB1E36">
        <w:t xml:space="preserve"> Hinweis auf die Familienähnlichkeiten</w:t>
      </w:r>
      <w:r w:rsidR="005D7996">
        <w:fldChar w:fldCharType="begin"/>
      </w:r>
      <w:r w:rsidR="007152D7">
        <w:instrText xml:space="preserve"> XE "</w:instrText>
      </w:r>
      <w:r w:rsidR="007152D7" w:rsidRPr="00F92224">
        <w:instrText>Familienähnlichkeit (Wittgenstein)</w:instrText>
      </w:r>
      <w:r w:rsidR="007152D7">
        <w:instrText xml:space="preserve">" </w:instrText>
      </w:r>
      <w:r w:rsidR="005D7996">
        <w:fldChar w:fldCharType="end"/>
      </w:r>
      <w:r w:rsidR="00EB1E36">
        <w:t>,</w:t>
      </w:r>
      <w:r w:rsidR="00EB1E36">
        <w:rPr>
          <w:rStyle w:val="Funotenzeichen"/>
        </w:rPr>
        <w:footnoteReference w:id="599"/>
      </w:r>
      <w:r w:rsidR="00EB1E36">
        <w:t xml:space="preserve"> die einen Begriff gliedern, hier eher zutrifft. Der bisherige Umgang mit Gruppenstilen scheint jedenfalls darauf hinzudeuten, dass es zwar wichtige Kriterien für die Einordnung oder auch die Ausschließung einzelner Stile gibt, notwendige und hinreichende Bedingungen im strengen Sinn dagegen wohl nur selten angewandt werden.</w:t>
      </w:r>
    </w:p>
    <w:p w:rsidR="00EB1E36" w:rsidRDefault="00D350BB" w:rsidP="00EB1E36">
      <w:pPr>
        <w:pStyle w:val="Text"/>
      </w:pPr>
      <w:r>
        <w:lastRenderedPageBreak/>
        <w:t>(</w:t>
      </w:r>
      <w:r w:rsidR="00AB7E23">
        <w:t>5</w:t>
      </w:r>
      <w:r>
        <w:t>)</w:t>
      </w:r>
      <w:r>
        <w:tab/>
      </w:r>
      <w:r w:rsidR="00EB1E36">
        <w:t xml:space="preserve">Als </w:t>
      </w:r>
      <w:r w:rsidR="00AB7E23">
        <w:t>fünfte</w:t>
      </w:r>
      <w:r>
        <w:t xml:space="preserve"> </w:t>
      </w:r>
      <w:r w:rsidR="00EB1E36">
        <w:t xml:space="preserve">Möglichkeit könnten also </w:t>
      </w:r>
      <w:r w:rsidR="00EB1E36">
        <w:rPr>
          <w:i/>
        </w:rPr>
        <w:t xml:space="preserve">Kriterien </w:t>
      </w:r>
      <w:r w:rsidR="00EB1E36">
        <w:t xml:space="preserve">definiert werden. Diese Methode kann präzise gemacht werden, indem das Vorhandensein oder Fehlen von Kriterien für einen Gruppenstil sich auf zwei </w:t>
      </w:r>
      <w:r w:rsidR="00FE4803">
        <w:t>Messvariablen auswirkt</w:t>
      </w:r>
      <w:r w:rsidR="00EB1E36">
        <w:t>, die die Wahrscheinlichkeit der Zugehörigkeit und Nichtzugehörigkeit wiedergeben. Dieses in der Informatik</w:t>
      </w:r>
      <w:r w:rsidR="005D7996">
        <w:fldChar w:fldCharType="begin"/>
      </w:r>
      <w:r w:rsidR="002117F9">
        <w:instrText xml:space="preserve"> XE "</w:instrText>
      </w:r>
      <w:r w:rsidR="002117F9" w:rsidRPr="008605A2">
        <w:instrText>Informatik</w:instrText>
      </w:r>
      <w:r w:rsidR="002117F9">
        <w:instrText xml:space="preserve">" </w:instrText>
      </w:r>
      <w:r w:rsidR="005D7996">
        <w:fldChar w:fldCharType="end"/>
      </w:r>
      <w:r w:rsidR="00EB1E36">
        <w:t xml:space="preserve"> </w:t>
      </w:r>
      <w:r w:rsidR="00FE4803">
        <w:t>bei statistischen Lernverfahren</w:t>
      </w:r>
      <w:r w:rsidR="005D7996">
        <w:fldChar w:fldCharType="begin"/>
      </w:r>
      <w:r w:rsidR="00EE3F41">
        <w:instrText xml:space="preserve"> XE "</w:instrText>
      </w:r>
      <w:r w:rsidR="00EE3F41" w:rsidRPr="00B36130">
        <w:instrText>Statistik:statistische Lernverfahren</w:instrText>
      </w:r>
      <w:r w:rsidR="00EE3F41">
        <w:instrText xml:space="preserve">" </w:instrText>
      </w:r>
      <w:r w:rsidR="005D7996">
        <w:fldChar w:fldCharType="end"/>
      </w:r>
      <w:r w:rsidR="00FE4803">
        <w:t xml:space="preserve"> </w:t>
      </w:r>
      <w:r w:rsidR="00EB1E36">
        <w:t>(im Bereich „</w:t>
      </w:r>
      <w:r w:rsidR="00FE4803">
        <w:t>maschine</w:t>
      </w:r>
      <w:r w:rsidR="00FE4803">
        <w:t>l</w:t>
      </w:r>
      <w:r w:rsidR="00FE4803">
        <w:t>les Lernen“</w:t>
      </w:r>
      <w:r w:rsidR="00EB1E36">
        <w:t xml:space="preserve">) bewährte Verfahren hat den Vorteil, dass es </w:t>
      </w:r>
      <w:r w:rsidR="00EB1E36">
        <w:rPr>
          <w:i/>
        </w:rPr>
        <w:t xml:space="preserve">trainierbar </w:t>
      </w:r>
      <w:r w:rsidR="00EB1E36">
        <w:t xml:space="preserve">ist: Indem für einige Stile die Zugehörigkeit oder Nichtzugehörigkeit zum fraglichen Gruppenstil </w:t>
      </w:r>
      <w:r w:rsidR="002B5DF4" w:rsidRPr="002B5DF4">
        <w:rPr>
          <w:i/>
        </w:rPr>
        <w:t>G</w:t>
      </w:r>
      <w:r w:rsidR="002B5DF4">
        <w:t xml:space="preserve"> </w:t>
      </w:r>
      <w:r w:rsidR="00EB1E36">
        <w:t>angegeben wird, werden die auf diese trainierten Stile zutreffe</w:t>
      </w:r>
      <w:r w:rsidR="00EB1E36">
        <w:t>n</w:t>
      </w:r>
      <w:r w:rsidR="00EB1E36">
        <w:t xml:space="preserve">den Kriterien (die oft als „features“ bezeichnet werden) mit einem Gewicht </w:t>
      </w:r>
      <w:r w:rsidR="0043104E">
        <w:t xml:space="preserve">oder einem Wahrscheinlichkeitswert </w:t>
      </w:r>
      <w:r w:rsidR="00EB1E36">
        <w:t>versehen werden, mit dem sie sich bei zukünft</w:t>
      </w:r>
      <w:r w:rsidR="00EB1E36">
        <w:t>i</w:t>
      </w:r>
      <w:r w:rsidR="00EB1E36">
        <w:t xml:space="preserve">gem Auftreten dann auf die </w:t>
      </w:r>
      <w:r w:rsidR="0043104E">
        <w:t xml:space="preserve">Messvariablen </w:t>
      </w:r>
      <w:r w:rsidR="00EB1E36">
        <w:t>auswirken.</w:t>
      </w:r>
    </w:p>
    <w:p w:rsidR="00DC0502" w:rsidRDefault="00D350BB" w:rsidP="00EB1E36">
      <w:pPr>
        <w:pStyle w:val="Text"/>
      </w:pPr>
      <w:r>
        <w:t>(</w:t>
      </w:r>
      <w:r w:rsidR="00AB7E23">
        <w:t>6</w:t>
      </w:r>
      <w:r>
        <w:t>)</w:t>
      </w:r>
      <w:r>
        <w:tab/>
      </w:r>
      <w:r w:rsidR="002B5DF4">
        <w:t xml:space="preserve">(a) </w:t>
      </w:r>
      <w:r w:rsidR="00DC0502">
        <w:t>Ein</w:t>
      </w:r>
      <w:r w:rsidR="00DB33A9">
        <w:t>e</w:t>
      </w:r>
      <w:r w:rsidR="00DC0502">
        <w:t xml:space="preserve"> </w:t>
      </w:r>
      <w:r>
        <w:t xml:space="preserve">weitere </w:t>
      </w:r>
      <w:r w:rsidR="00DC0502">
        <w:t xml:space="preserve">Möglichkeit </w:t>
      </w:r>
      <w:r w:rsidR="00B268AF">
        <w:t>ist</w:t>
      </w:r>
      <w:r w:rsidR="00DC0502">
        <w:t>, allgemeinere Merkmalsregeln für den Gruppenstil zu formulieren, die die spezifischen Merkmal</w:t>
      </w:r>
      <w:r w:rsidR="00DB33A9">
        <w:t>sregeln</w:t>
      </w:r>
      <w:r w:rsidR="00DC0502">
        <w:t xml:space="preserve"> der </w:t>
      </w:r>
      <w:r w:rsidR="00551F6D">
        <w:t>Individua</w:t>
      </w:r>
      <w:r w:rsidR="00551F6D">
        <w:t>l</w:t>
      </w:r>
      <w:r w:rsidR="00551F6D">
        <w:t xml:space="preserve">stile </w:t>
      </w:r>
      <w:r w:rsidR="00DC0502">
        <w:t>jeweils zusammenfassen, indem auf Besonderheiten verzich</w:t>
      </w:r>
      <w:r w:rsidR="00DB33A9">
        <w:t>t</w:t>
      </w:r>
      <w:r w:rsidR="00DC0502">
        <w:t>et wird</w:t>
      </w:r>
      <w:r w:rsidR="002B5DF4">
        <w:t xml:space="preserve"> und ein Stil </w:t>
      </w:r>
      <w:r w:rsidR="002B5DF4" w:rsidRPr="00DC0502">
        <w:rPr>
          <w:i/>
        </w:rPr>
        <w:t>B</w:t>
      </w:r>
      <w:r w:rsidR="002B5DF4" w:rsidRPr="002B5DF4">
        <w:rPr>
          <w:i/>
          <w:vertAlign w:val="subscript"/>
        </w:rPr>
        <w:t>G</w:t>
      </w:r>
      <w:r w:rsidR="002B5DF4">
        <w:t xml:space="preserve"> erzeugt wird, der die allgemeineren Merkmalsregeln enthält. </w:t>
      </w:r>
      <w:r w:rsidR="00DC0502">
        <w:t>Diese Mö</w:t>
      </w:r>
      <w:r w:rsidR="00DC0502">
        <w:t>g</w:t>
      </w:r>
      <w:r w:rsidR="00DC0502">
        <w:t>lichkeit erfordert es allerdings, die Merkmalsregeln der verschiede</w:t>
      </w:r>
      <w:r w:rsidR="00DB33A9">
        <w:t>n</w:t>
      </w:r>
      <w:r w:rsidR="00DC0502">
        <w:t xml:space="preserve">en </w:t>
      </w:r>
      <w:r w:rsidR="00DC0502" w:rsidRPr="00DC0502">
        <w:rPr>
          <w:i/>
        </w:rPr>
        <w:t>B</w:t>
      </w:r>
      <w:r w:rsidR="00DC0502">
        <w:t xml:space="preserve"> der </w:t>
      </w:r>
      <w:r w:rsidR="00551F6D">
        <w:t>I</w:t>
      </w:r>
      <w:r w:rsidR="00551F6D">
        <w:t>n</w:t>
      </w:r>
      <w:r w:rsidR="00551F6D">
        <w:t xml:space="preserve">dividualstile </w:t>
      </w:r>
      <w:r w:rsidR="00DC0502">
        <w:t>zu verändern</w:t>
      </w:r>
      <w:r w:rsidR="002B5DF4">
        <w:t xml:space="preserve">. (b) </w:t>
      </w:r>
      <w:r w:rsidR="00DC0502">
        <w:t xml:space="preserve">Eine </w:t>
      </w:r>
      <w:r w:rsidR="002B5DF4">
        <w:t xml:space="preserve">schlichte Variante </w:t>
      </w:r>
      <w:r w:rsidR="00DC0502">
        <w:t>besteht darin, die ve</w:t>
      </w:r>
      <w:r w:rsidR="00DC0502">
        <w:t>r</w:t>
      </w:r>
      <w:r w:rsidR="00DC0502">
        <w:t>schied</w:t>
      </w:r>
      <w:r w:rsidR="00663B18">
        <w:t>enen Realisierungen bereits beim Prozess des Wahrnehmens (</w:t>
      </w:r>
      <w:r w:rsidR="005D7996">
        <w:fldChar w:fldCharType="begin"/>
      </w:r>
      <w:r w:rsidR="00663B18">
        <w:instrText xml:space="preserve"> REF _Ref261443737 \r \h </w:instrText>
      </w:r>
      <w:r w:rsidR="005D7996">
        <w:fldChar w:fldCharType="separate"/>
      </w:r>
      <w:r w:rsidR="001231D3">
        <w:t>7.3.2</w:t>
      </w:r>
      <w:r w:rsidR="005D7996">
        <w:fldChar w:fldCharType="end"/>
      </w:r>
      <w:r w:rsidR="00663B18">
        <w:t xml:space="preserve">) </w:t>
      </w:r>
      <w:r w:rsidR="00DC0502">
        <w:t>zu einer zusammenzufassen und als eine zu behandeln</w:t>
      </w:r>
      <w:r w:rsidR="00520661">
        <w:t xml:space="preserve">, </w:t>
      </w:r>
      <w:r w:rsidR="00DC0502">
        <w:t xml:space="preserve">wodurch von vornherein allgemeinere Merkmalsregeln </w:t>
      </w:r>
      <w:r w:rsidR="002B5DF4">
        <w:t xml:space="preserve">für </w:t>
      </w:r>
      <w:r w:rsidR="002B5DF4" w:rsidRPr="00DC0502">
        <w:rPr>
          <w:i/>
        </w:rPr>
        <w:t>B</w:t>
      </w:r>
      <w:r w:rsidR="002B5DF4" w:rsidRPr="002B5DF4">
        <w:rPr>
          <w:i/>
          <w:vertAlign w:val="subscript"/>
        </w:rPr>
        <w:t>G</w:t>
      </w:r>
      <w:r w:rsidR="002B5DF4">
        <w:t xml:space="preserve"> </w:t>
      </w:r>
      <w:r w:rsidR="00DC0502">
        <w:t>entstehen</w:t>
      </w:r>
      <w:r w:rsidR="00285550">
        <w:t>.</w:t>
      </w:r>
      <w:r w:rsidR="00285550">
        <w:rPr>
          <w:rStyle w:val="Funotenzeichen"/>
        </w:rPr>
        <w:footnoteReference w:id="600"/>
      </w:r>
    </w:p>
    <w:p w:rsidR="007B2845" w:rsidRDefault="00AB7E23" w:rsidP="007B2845">
      <w:pPr>
        <w:pStyle w:val="Text"/>
      </w:pPr>
      <w:r>
        <w:t>(7</w:t>
      </w:r>
      <w:r w:rsidR="00D350BB">
        <w:t>)</w:t>
      </w:r>
      <w:r w:rsidR="00D350BB">
        <w:tab/>
        <w:t xml:space="preserve">Schließlich gibt es noch die </w:t>
      </w:r>
      <w:r w:rsidR="005417A5">
        <w:t>Möglichkeit, auf eine präzise Definition zu verzichten, die etwa bei Gruppenstilen mit einer historisch gewachsenen Exte</w:t>
      </w:r>
      <w:r w:rsidR="005417A5">
        <w:t>n</w:t>
      </w:r>
      <w:r w:rsidR="005417A5">
        <w:t>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5417A5">
        <w:t xml:space="preserve"> meist gar nicht möglich ist. Solche Stile können dann über Beispiele b</w:t>
      </w:r>
      <w:r w:rsidR="005417A5">
        <w:t>e</w:t>
      </w:r>
      <w:r w:rsidR="005417A5">
        <w:t>schrieben werden, die sich über die Extension verteilen und versuchen, die w</w:t>
      </w:r>
      <w:r w:rsidR="005417A5">
        <w:t>e</w:t>
      </w:r>
      <w:r w:rsidR="005417A5">
        <w:t>sentliche</w:t>
      </w:r>
      <w:r>
        <w:t xml:space="preserve">n Varianten ungefähr abzudecken; diese werden </w:t>
      </w:r>
      <w:r w:rsidR="002B5DF4">
        <w:t xml:space="preserve">wiederum </w:t>
      </w:r>
      <w:r>
        <w:t xml:space="preserve">in </w:t>
      </w:r>
      <w:r w:rsidRPr="00AB7E23">
        <w:rPr>
          <w:i/>
        </w:rPr>
        <w:t>G</w:t>
      </w:r>
      <w:r>
        <w:t xml:space="preserve"> z</w:t>
      </w:r>
      <w:r>
        <w:t>u</w:t>
      </w:r>
      <w:r>
        <w:t>sammengefasst.</w:t>
      </w:r>
      <w:r w:rsidR="005417A5">
        <w:t xml:space="preserve"> Die Wahl der Beispiele sollte </w:t>
      </w:r>
      <w:r w:rsidR="002B5DF4">
        <w:t>sich</w:t>
      </w:r>
      <w:r w:rsidR="005417A5">
        <w:t xml:space="preserve"> dabei an Wahrnehmungs</w:t>
      </w:r>
      <w:r w:rsidR="00947156">
        <w:softHyphen/>
      </w:r>
      <w:r w:rsidR="005417A5">
        <w:t>kriterien orientieren; sie sollte so erfolgen, dass ein beliebiger gewöhnlich dem Gruppenstil zugeordneter Stil als einem der Beispiele ähnlich oder als Mischung von mehreren von ihnen empfunden wird.</w:t>
      </w:r>
      <w:r w:rsidR="008C6180">
        <w:rPr>
          <w:rStyle w:val="Funotenzeichen"/>
        </w:rPr>
        <w:footnoteReference w:id="601"/>
      </w:r>
    </w:p>
    <w:p w:rsidR="009231C4" w:rsidRDefault="00EB1E36" w:rsidP="007B2845">
      <w:pPr>
        <w:pStyle w:val="Text"/>
      </w:pPr>
      <w:r>
        <w:lastRenderedPageBreak/>
        <w:t>Es gibt also verschiedene Möglichkei</w:t>
      </w:r>
      <w:r w:rsidR="00C9172C">
        <w:t>ten, mit denen der Begriff ‚</w:t>
      </w:r>
      <w:r>
        <w:t>Gruppe</w:t>
      </w:r>
      <w:r>
        <w:t>n</w:t>
      </w:r>
      <w:r>
        <w:t>stil</w:t>
      </w:r>
      <w:r w:rsidR="00C9172C">
        <w:t>‘</w:t>
      </w:r>
      <w:r>
        <w:t xml:space="preserve"> genauer ausgearbeitet werden kann. </w:t>
      </w:r>
      <w:r w:rsidR="00AB7E23">
        <w:t>Für einfachere Anwendungen wird die Alternative (2) vorgeschlagen, die einen Gruppenstil mit Hilfe einer gewöhnl</w:t>
      </w:r>
      <w:r w:rsidR="00AB7E23">
        <w:t>i</w:t>
      </w:r>
      <w:r w:rsidR="00AB7E23">
        <w:t xml:space="preserve">chen Merkmalsmenge </w:t>
      </w:r>
      <w:r w:rsidR="00AB7E23" w:rsidRPr="00AB7E23">
        <w:rPr>
          <w:i/>
        </w:rPr>
        <w:t>B</w:t>
      </w:r>
      <w:r w:rsidR="00AB7E23">
        <w:t xml:space="preserve"> repräsentiert, ohne die Abweichungen innerhalb der Gruppe ganz zu ignorieren. </w:t>
      </w:r>
      <w:r w:rsidR="002B5DF4">
        <w:t xml:space="preserve">In manchen Fällen kann auch die simple Möglichkeit (7b) ausreichend sein. Ist eine genauere </w:t>
      </w:r>
      <w:r w:rsidR="00AB7E23">
        <w:t>Modellierun</w:t>
      </w:r>
      <w:r w:rsidR="002B5DF4">
        <w:t>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2B5DF4">
        <w:t xml:space="preserve"> erforderlich,</w:t>
      </w:r>
      <w:r w:rsidR="00AB7E23">
        <w:t xml:space="preserve"> kann eine der </w:t>
      </w:r>
      <w:r w:rsidR="002B5DF4">
        <w:t xml:space="preserve">anderen Möglichkeiten </w:t>
      </w:r>
      <w:r w:rsidR="00AB7E23">
        <w:t>gewählt werden.</w:t>
      </w:r>
    </w:p>
    <w:p w:rsidR="005B1481" w:rsidRDefault="005B1481" w:rsidP="00EB1E36">
      <w:pPr>
        <w:pStyle w:val="Text"/>
      </w:pPr>
      <w:r>
        <w:t xml:space="preserve">Individual- </w:t>
      </w:r>
      <w:r w:rsidR="009A14A2">
        <w:t xml:space="preserve">und </w:t>
      </w:r>
      <w:r>
        <w:t xml:space="preserve">Gruppenstile dürfen nicht als einer Person bzw. einer Gruppe fest zugehörig betrachtet werden; in vielen Fällen stehen Individuen wie auch Gruppen verschiedene Stile zur Verfügung, die sie anlassbezogen </w:t>
      </w:r>
      <w:r w:rsidR="00060531">
        <w:t>an</w:t>
      </w:r>
      <w:r>
        <w:t>we</w:t>
      </w:r>
      <w:r>
        <w:t>n</w:t>
      </w:r>
      <w:r>
        <w:t>den. Dies ist etwa der Fall bei den klassischen Stil</w:t>
      </w:r>
      <w:r w:rsidR="00613580">
        <w:t>ebenen</w:t>
      </w:r>
      <w:r w:rsidR="005D7996">
        <w:fldChar w:fldCharType="begin"/>
      </w:r>
      <w:r w:rsidR="00226598">
        <w:instrText xml:space="preserve"> XE "</w:instrText>
      </w:r>
      <w:r w:rsidR="00226598" w:rsidRPr="001F5A54">
        <w:instrText>Stil</w:instrText>
      </w:r>
      <w:r w:rsidR="00613580">
        <w:instrText>ebene</w:instrText>
      </w:r>
      <w:r w:rsidR="00226598">
        <w:instrText xml:space="preserve">" </w:instrText>
      </w:r>
      <w:r w:rsidR="005D7996">
        <w:fldChar w:fldCharType="end"/>
      </w:r>
      <w:r>
        <w:t xml:space="preserve"> „hoher“, „mittlerer“ und „niederer Stil“, die für verschiedene Anlässe, also in Abhängigkeit von der Funktion </w:t>
      </w:r>
      <w:r w:rsidR="006D087E">
        <w:t xml:space="preserve">einer </w:t>
      </w:r>
      <w:r>
        <w:t>Realisierung</w:t>
      </w:r>
      <w:r w:rsidR="006D087E">
        <w:t xml:space="preserve"> oder eines Realisierungsstücks</w:t>
      </w:r>
      <w:r>
        <w:t xml:space="preserve">, </w:t>
      </w:r>
      <w:r w:rsidR="00060531">
        <w:t xml:space="preserve">angewandt </w:t>
      </w:r>
      <w:r>
        <w:t>wu</w:t>
      </w:r>
      <w:r>
        <w:t>r</w:t>
      </w:r>
      <w:r>
        <w:t>den.</w:t>
      </w:r>
      <w:r>
        <w:rPr>
          <w:rStyle w:val="Funotenzeichen"/>
        </w:rPr>
        <w:footnoteReference w:id="602"/>
      </w:r>
      <w:r w:rsidR="00FD0D1E">
        <w:t xml:space="preserve"> Allgemein hat die Kunst- und Architekturgeschichte lange Zeit die Ei</w:t>
      </w:r>
      <w:r w:rsidR="00FD0D1E">
        <w:t>n</w:t>
      </w:r>
      <w:r w:rsidR="00FD0D1E">
        <w:t>heitlichkeit der Stile von</w:t>
      </w:r>
      <w:r w:rsidR="00B96CA1">
        <w:t xml:space="preserve"> </w:t>
      </w:r>
      <w:r w:rsidR="00FD0D1E">
        <w:t xml:space="preserve">Schulen und Epochen überbetont und die </w:t>
      </w:r>
      <w:r w:rsidR="00010106">
        <w:t>kontext- und funktionsabhängige</w:t>
      </w:r>
      <w:r w:rsidR="00FD0D1E">
        <w:t xml:space="preserve"> Ausdifferenzie</w:t>
      </w:r>
      <w:r w:rsidR="00010106">
        <w:t>r</w:t>
      </w:r>
      <w:r w:rsidR="00FD0D1E">
        <w:t>ung zu wenig beachtet;</w:t>
      </w:r>
      <w:r w:rsidR="00E57349">
        <w:rPr>
          <w:rStyle w:val="Funotenzeichen"/>
        </w:rPr>
        <w:footnoteReference w:id="603"/>
      </w:r>
      <w:r w:rsidR="00FD0D1E">
        <w:t xml:space="preserve"> sie nahm implizit eine Autonomie der Formentwicklung an und </w:t>
      </w:r>
      <w:r w:rsidR="00805EDA">
        <w:t xml:space="preserve">vermittelte der „interessierten Öffentlichkeit jene </w:t>
      </w:r>
      <w:r w:rsidR="00FD0D1E">
        <w:t>Geschichte d</w:t>
      </w:r>
      <w:r w:rsidR="00805EDA">
        <w:t>er Kunst als System</w:t>
      </w:r>
      <w:r w:rsidR="005D7996">
        <w:fldChar w:fldCharType="begin"/>
      </w:r>
      <w:r w:rsidR="006F0E69">
        <w:instrText xml:space="preserve"> XE "</w:instrText>
      </w:r>
      <w:r w:rsidR="006F0E69" w:rsidRPr="009C4EB7">
        <w:instrText>System</w:instrText>
      </w:r>
      <w:r w:rsidR="006F0E69">
        <w:instrText xml:space="preserve">" </w:instrText>
      </w:r>
      <w:r w:rsidR="005D7996">
        <w:fldChar w:fldCharType="end"/>
      </w:r>
      <w:r w:rsidR="00805EDA">
        <w:t xml:space="preserve"> von Epochen</w:t>
      </w:r>
      <w:r w:rsidR="00FD0D1E">
        <w:t xml:space="preserve"> und Formst</w:t>
      </w:r>
      <w:r w:rsidR="00FD0D1E">
        <w:t>i</w:t>
      </w:r>
      <w:r w:rsidR="00FD0D1E">
        <w:t>len</w:t>
      </w:r>
      <w:r w:rsidR="00805EDA">
        <w:t xml:space="preserve"> […], von der diese heute ungern lassen möchte</w:t>
      </w:r>
      <w:r w:rsidR="00FD0D1E">
        <w:t>“</w:t>
      </w:r>
      <w:r w:rsidR="00D17D0C">
        <w:t xml:space="preserve"> (Borggrefe 2008: </w:t>
      </w:r>
      <w:r w:rsidR="00E57349">
        <w:t>113)</w:t>
      </w:r>
      <w:r w:rsidR="00FD0D1E">
        <w:t>.</w:t>
      </w:r>
      <w:r w:rsidR="00B96CA1">
        <w:rPr>
          <w:rStyle w:val="Funotenzeichen"/>
        </w:rPr>
        <w:footnoteReference w:id="604"/>
      </w:r>
      <w:r w:rsidR="00FD0D1E">
        <w:t xml:space="preserve"> </w:t>
      </w:r>
      <w:r w:rsidR="00805EDA">
        <w:t>Inzwischen hat man erkannt, dass jeder Kunst- oder Bauauftrag Kontextbedi</w:t>
      </w:r>
      <w:r w:rsidR="00805EDA">
        <w:t>n</w:t>
      </w:r>
      <w:r w:rsidR="00805EDA">
        <w:t>gungen</w:t>
      </w:r>
      <w:r w:rsidR="005D7996">
        <w:fldChar w:fldCharType="begin"/>
      </w:r>
      <w:r w:rsidR="00D92A29">
        <w:instrText xml:space="preserve"> XE "</w:instrText>
      </w:r>
      <w:r w:rsidR="00D92A29" w:rsidRPr="00280AB6">
        <w:instrText>Kontextbedingungen</w:instrText>
      </w:r>
      <w:r w:rsidR="00D92A29">
        <w:instrText xml:space="preserve">" </w:instrText>
      </w:r>
      <w:r w:rsidR="005D7996">
        <w:fldChar w:fldCharType="end"/>
      </w:r>
      <w:r w:rsidR="00075590">
        <w:t xml:space="preserve"> (den Umständen des Auftrags)</w:t>
      </w:r>
      <w:r w:rsidR="00805EDA">
        <w:t xml:space="preserve">, </w:t>
      </w:r>
      <w:r w:rsidR="004E37DA">
        <w:t xml:space="preserve">funktionalen Bedingungen </w:t>
      </w:r>
      <w:r w:rsidR="00075590">
        <w:t>(</w:t>
      </w:r>
      <w:r w:rsidR="0037732C">
        <w:t xml:space="preserve">aufgrund der </w:t>
      </w:r>
      <w:r w:rsidR="00075590">
        <w:t xml:space="preserve">beabsichtigten Verwendungsweise) </w:t>
      </w:r>
      <w:r w:rsidR="00805EDA">
        <w:t xml:space="preserve">und oft auch inhaltlichen Bedingungen (vom Auftraggeber </w:t>
      </w:r>
      <w:r w:rsidR="0037732C">
        <w:t xml:space="preserve">gewünschten </w:t>
      </w:r>
      <w:r w:rsidR="00805EDA">
        <w:t>Bedeutungen) unterliegt.</w:t>
      </w:r>
    </w:p>
    <w:p w:rsidR="00CA7C73" w:rsidRDefault="00CA7C73" w:rsidP="00CA7C73">
      <w:pPr>
        <w:pStyle w:val="Titel3"/>
      </w:pPr>
      <w:bookmarkStart w:id="472" w:name="_Ref252580258"/>
      <w:bookmarkStart w:id="473" w:name="_Toc325456821"/>
      <w:bookmarkStart w:id="474" w:name="Genre"/>
      <w:bookmarkEnd w:id="470"/>
      <w:r>
        <w:lastRenderedPageBreak/>
        <w:t>Genre und Richtung</w:t>
      </w:r>
      <w:bookmarkEnd w:id="472"/>
      <w:bookmarkEnd w:id="473"/>
    </w:p>
    <w:p w:rsidR="00431225" w:rsidRDefault="005D7996" w:rsidP="007B2845">
      <w:pPr>
        <w:pStyle w:val="Text"/>
        <w:ind w:firstLine="0"/>
      </w:pPr>
      <w:r>
        <w:fldChar w:fldCharType="begin"/>
      </w:r>
      <w:r w:rsidR="00415D12">
        <w:instrText xml:space="preserve"> XE "Genre" \r "Genre"</w:instrText>
      </w:r>
      <w:r w:rsidR="00362FC7">
        <w:instrText xml:space="preserve"> </w:instrText>
      </w:r>
      <w:r>
        <w:fldChar w:fldCharType="end"/>
      </w:r>
      <w:r>
        <w:fldChar w:fldCharType="begin"/>
      </w:r>
      <w:r w:rsidR="00415D12">
        <w:instrText xml:space="preserve"> XE "Richtung (Kunst)" \r "Genre"</w:instrText>
      </w:r>
      <w:r w:rsidR="00362FC7">
        <w:instrText xml:space="preserve"> </w:instrText>
      </w:r>
      <w:r>
        <w:fldChar w:fldCharType="end"/>
      </w:r>
      <w:r>
        <w:fldChar w:fldCharType="begin"/>
      </w:r>
      <w:r w:rsidR="00415D12">
        <w:instrText xml:space="preserve"> XE "Schule (Kunst, Handwerk)" \r "Genre"</w:instrText>
      </w:r>
      <w:r w:rsidR="00362FC7">
        <w:instrText xml:space="preserve"> </w:instrText>
      </w:r>
      <w:r>
        <w:fldChar w:fldCharType="end"/>
      </w:r>
      <w:r>
        <w:fldChar w:fldCharType="begin"/>
      </w:r>
      <w:r w:rsidR="00415D12">
        <w:instrText xml:space="preserve"> XE "Textsorte" \r "Genre"</w:instrText>
      </w:r>
      <w:r w:rsidR="00362FC7">
        <w:instrText xml:space="preserve"> </w:instrText>
      </w:r>
      <w:r>
        <w:fldChar w:fldCharType="end"/>
      </w:r>
      <w:r>
        <w:fldChar w:fldCharType="begin"/>
      </w:r>
      <w:r w:rsidR="00415D12">
        <w:instrText xml:space="preserve"> XE "Gattung" \r "Genre"</w:instrText>
      </w:r>
      <w:r w:rsidR="00362FC7">
        <w:instrText xml:space="preserve"> </w:instrText>
      </w:r>
      <w:r>
        <w:fldChar w:fldCharType="end"/>
      </w:r>
      <w:r w:rsidR="00CA7C73">
        <w:t xml:space="preserve">Häufig werden auch Genres, </w:t>
      </w:r>
      <w:r w:rsidR="00150418">
        <w:t>Textsorten</w:t>
      </w:r>
      <w:r w:rsidR="00726D40">
        <w:t xml:space="preserve"> (die in der Literatur „G</w:t>
      </w:r>
      <w:r w:rsidR="005109C7">
        <w:t>attungen</w:t>
      </w:r>
      <w:r w:rsidR="00726D40">
        <w:t>“ g</w:t>
      </w:r>
      <w:r w:rsidR="00726D40">
        <w:t>e</w:t>
      </w:r>
      <w:r w:rsidR="00726D40">
        <w:t>nannt werden)</w:t>
      </w:r>
      <w:r w:rsidR="00CA7C73">
        <w:t xml:space="preserve"> und Richtungen</w:t>
      </w:r>
      <w:r w:rsidR="00774980">
        <w:t xml:space="preserve"> (</w:t>
      </w:r>
      <w:r w:rsidR="00726D40">
        <w:t>die auch</w:t>
      </w:r>
      <w:r w:rsidR="00774980">
        <w:t xml:space="preserve"> </w:t>
      </w:r>
      <w:r w:rsidR="00726D40">
        <w:t>„</w:t>
      </w:r>
      <w:r w:rsidR="00774980">
        <w:t>Schulen</w:t>
      </w:r>
      <w:r w:rsidR="00726D40">
        <w:t>“</w:t>
      </w:r>
      <w:r w:rsidR="00774980">
        <w:t xml:space="preserve"> oder </w:t>
      </w:r>
      <w:r w:rsidR="00726D40">
        <w:t>„</w:t>
      </w:r>
      <w:r w:rsidR="00774980">
        <w:t>Traditionen</w:t>
      </w:r>
      <w:r w:rsidR="00726D40">
        <w:t>“</w:t>
      </w:r>
      <w:r w:rsidR="00774980">
        <w:t xml:space="preserve"> genannt werden)</w:t>
      </w:r>
      <w:r w:rsidR="00CA7C73">
        <w:t xml:space="preserve"> </w:t>
      </w:r>
      <w:r w:rsidR="00286B0C">
        <w:t xml:space="preserve">mit Stilen </w:t>
      </w:r>
      <w:r w:rsidR="00C54B63">
        <w:t>assoziiert</w:t>
      </w:r>
      <w:r w:rsidR="00286B0C">
        <w:t>.</w:t>
      </w:r>
      <w:r w:rsidR="00CA7C73">
        <w:t xml:space="preserve"> Dies ist etwa in der Kunst und in der Musik üblich, wo </w:t>
      </w:r>
      <w:r w:rsidR="00774980">
        <w:t xml:space="preserve">ein </w:t>
      </w:r>
      <w:r w:rsidR="008D4B64">
        <w:t xml:space="preserve">bestimmter </w:t>
      </w:r>
      <w:r w:rsidR="00CA7C73">
        <w:t xml:space="preserve">Stil manchmal </w:t>
      </w:r>
      <w:r w:rsidR="00774980">
        <w:t xml:space="preserve">(a) </w:t>
      </w:r>
      <w:r w:rsidR="008D4B64">
        <w:t xml:space="preserve">in Verbindung mit </w:t>
      </w:r>
      <w:r w:rsidR="00395D49">
        <w:t xml:space="preserve">einem </w:t>
      </w:r>
      <w:r w:rsidR="00F005F4">
        <w:t>‚</w:t>
      </w:r>
      <w:r w:rsidR="00774980">
        <w:t>Genre</w:t>
      </w:r>
      <w:r w:rsidR="00F005F4">
        <w:t>‘</w:t>
      </w:r>
      <w:r w:rsidR="008D4B64">
        <w:t>,</w:t>
      </w:r>
      <w:r w:rsidR="00774980">
        <w:t xml:space="preserve"> </w:t>
      </w:r>
      <w:r w:rsidR="00395D49">
        <w:t xml:space="preserve">einer </w:t>
      </w:r>
      <w:r w:rsidR="00F005F4">
        <w:t>‚</w:t>
      </w:r>
      <w:r w:rsidR="00774980">
        <w:t>Gattung</w:t>
      </w:r>
      <w:r w:rsidR="00F005F4">
        <w:t>‘</w:t>
      </w:r>
      <w:r w:rsidR="00774980">
        <w:t xml:space="preserve"> </w:t>
      </w:r>
      <w:r w:rsidR="008D4B64">
        <w:t xml:space="preserve">oder einer </w:t>
      </w:r>
      <w:r w:rsidR="00F005F4">
        <w:t>‚</w:t>
      </w:r>
      <w:r w:rsidR="008D4B64">
        <w:t>Richtung</w:t>
      </w:r>
      <w:r w:rsidR="00F005F4">
        <w:t>‘</w:t>
      </w:r>
      <w:r w:rsidR="00774980">
        <w:t xml:space="preserve"> (</w:t>
      </w:r>
      <w:r w:rsidR="008D4B64">
        <w:t xml:space="preserve">auch </w:t>
      </w:r>
      <w:r w:rsidR="00F005F4">
        <w:t>‚</w:t>
      </w:r>
      <w:r w:rsidR="008D4B64">
        <w:t>Schule</w:t>
      </w:r>
      <w:r w:rsidR="00F005F4">
        <w:t>‘</w:t>
      </w:r>
      <w:r w:rsidR="00774980">
        <w:t xml:space="preserve">, </w:t>
      </w:r>
      <w:r w:rsidR="00F005F4">
        <w:t>‚</w:t>
      </w:r>
      <w:r w:rsidR="00774980">
        <w:t>Traditio</w:t>
      </w:r>
      <w:r w:rsidR="008D4B64">
        <w:t>n</w:t>
      </w:r>
      <w:r w:rsidR="00F005F4">
        <w:t>‘</w:t>
      </w:r>
      <w:r w:rsidR="008D4B64">
        <w:t xml:space="preserve"> usw.</w:t>
      </w:r>
      <w:r w:rsidR="00774980">
        <w:t xml:space="preserve">) </w:t>
      </w:r>
      <w:r w:rsidR="008D4B64">
        <w:t>in Kunst, Handwerk</w:t>
      </w:r>
      <w:r w:rsidR="00A67F26">
        <w:t>, Musik, Literatur</w:t>
      </w:r>
      <w:r w:rsidR="008D4B64">
        <w:t xml:space="preserve"> oder Wissenschaft gebracht </w:t>
      </w:r>
      <w:r w:rsidR="00395D49">
        <w:t>wird</w:t>
      </w:r>
      <w:r w:rsidR="00CA7C73">
        <w:t xml:space="preserve">. </w:t>
      </w:r>
      <w:r w:rsidR="00286B0C">
        <w:t xml:space="preserve">Zusätzlich </w:t>
      </w:r>
      <w:r w:rsidR="00CA7C73">
        <w:t>we</w:t>
      </w:r>
      <w:r w:rsidR="00CA7C73">
        <w:t>r</w:t>
      </w:r>
      <w:r w:rsidR="00CA7C73">
        <w:t xml:space="preserve">den allerdings </w:t>
      </w:r>
      <w:r w:rsidR="00286B0C">
        <w:t xml:space="preserve">(b) </w:t>
      </w:r>
      <w:r w:rsidR="00395D49">
        <w:t xml:space="preserve">praktisch </w:t>
      </w:r>
      <w:r w:rsidR="00CA7C73">
        <w:t xml:space="preserve">immer </w:t>
      </w:r>
      <w:r w:rsidR="00774980">
        <w:t>Stile einzelner historischer Personen,</w:t>
      </w:r>
      <w:r w:rsidR="00CA7C73">
        <w:t xml:space="preserve"> </w:t>
      </w:r>
      <w:r w:rsidR="00395D49">
        <w:t xml:space="preserve">also Individualstile, </w:t>
      </w:r>
      <w:r w:rsidR="008D4B64">
        <w:t xml:space="preserve">anerkannt. In welcher Relation steht dann die Verwendungsweise (a) zum </w:t>
      </w:r>
      <w:r w:rsidR="00F005F4">
        <w:t>Begriff ‚</w:t>
      </w:r>
      <w:r w:rsidR="008D4B64">
        <w:t>Gruppenstil</w:t>
      </w:r>
      <w:r w:rsidR="00F005F4">
        <w:t>‘</w:t>
      </w:r>
      <w:r w:rsidR="008D4B64">
        <w:t xml:space="preserve">? – Hier können </w:t>
      </w:r>
      <w:r w:rsidR="00431225">
        <w:t>zwei Fälle unterschieden werden:</w:t>
      </w:r>
    </w:p>
    <w:p w:rsidR="00CA7C73" w:rsidRDefault="00431225" w:rsidP="00CA7C73">
      <w:pPr>
        <w:pStyle w:val="Text"/>
      </w:pPr>
      <w:r>
        <w:t>(1)</w:t>
      </w:r>
      <w:r>
        <w:tab/>
        <w:t xml:space="preserve">Wenn </w:t>
      </w:r>
      <w:r w:rsidR="00286B0C">
        <w:t xml:space="preserve">mit </w:t>
      </w:r>
      <w:r w:rsidR="0038113E">
        <w:t xml:space="preserve">der Verwendungsweise </w:t>
      </w:r>
      <w:r w:rsidR="00286B0C">
        <w:t xml:space="preserve">(a) </w:t>
      </w:r>
      <w:r>
        <w:t xml:space="preserve">ein Gruppenstil </w:t>
      </w:r>
      <w:r w:rsidR="0038113E">
        <w:t xml:space="preserve">(vgl. Abschnitt </w:t>
      </w:r>
      <w:r w:rsidR="005D7996">
        <w:fldChar w:fldCharType="begin"/>
      </w:r>
      <w:r w:rsidR="0038113E">
        <w:instrText xml:space="preserve"> REF _Ref225393759 \r \h </w:instrText>
      </w:r>
      <w:r w:rsidR="005D7996">
        <w:fldChar w:fldCharType="separate"/>
      </w:r>
      <w:r w:rsidR="001231D3">
        <w:t>8.3.1</w:t>
      </w:r>
      <w:r w:rsidR="005D7996">
        <w:fldChar w:fldCharType="end"/>
      </w:r>
      <w:r w:rsidR="0038113E">
        <w:t xml:space="preserve">) </w:t>
      </w:r>
      <w:r>
        <w:t>gemeint ist</w:t>
      </w:r>
      <w:r w:rsidR="001847DF">
        <w:t xml:space="preserve">, </w:t>
      </w:r>
      <w:r w:rsidR="0038113E">
        <w:t>der bei einem Genre, einer Gattung oder eine</w:t>
      </w:r>
      <w:r w:rsidR="00126D04">
        <w:t>r</w:t>
      </w:r>
      <w:r w:rsidR="0038113E">
        <w:t xml:space="preserve"> Richtung fes</w:t>
      </w:r>
      <w:r w:rsidR="0038113E">
        <w:t>t</w:t>
      </w:r>
      <w:r w:rsidR="0038113E">
        <w:t xml:space="preserve">stellbar ist, </w:t>
      </w:r>
      <w:r w:rsidR="001847DF">
        <w:t xml:space="preserve">stimmt der Gebrauch </w:t>
      </w:r>
      <w:r w:rsidR="00F005F4">
        <w:t>von ‚</w:t>
      </w:r>
      <w:r w:rsidR="001847DF">
        <w:t>Stil</w:t>
      </w:r>
      <w:r w:rsidR="00F005F4">
        <w:t>‘</w:t>
      </w:r>
      <w:r w:rsidR="001847DF">
        <w:t xml:space="preserve"> mit dem hier </w:t>
      </w:r>
      <w:r w:rsidR="00395D49">
        <w:t>entwickelten</w:t>
      </w:r>
      <w:r w:rsidR="00286B0C">
        <w:t xml:space="preserve"> Modell </w:t>
      </w:r>
      <w:r w:rsidR="001847DF">
        <w:t>überein.</w:t>
      </w:r>
      <w:r w:rsidR="00286B0C">
        <w:t xml:space="preserve"> </w:t>
      </w:r>
      <w:r w:rsidR="0038113E">
        <w:t xml:space="preserve">Bei dieser Gebrauchsweise muss jeweils angegeben werden, wie das Verhältnis des jeweiligen Gruppenstils zu anderen Aspekten des </w:t>
      </w:r>
      <w:r w:rsidR="00286B0C">
        <w:t>Genre</w:t>
      </w:r>
      <w:r w:rsidR="0038113E">
        <w:t>s</w:t>
      </w:r>
      <w:r w:rsidR="00286B0C">
        <w:t xml:space="preserve">, </w:t>
      </w:r>
      <w:r w:rsidR="0038113E">
        <w:t xml:space="preserve">der </w:t>
      </w:r>
      <w:r w:rsidR="00286B0C">
        <w:t xml:space="preserve">Gattung oder </w:t>
      </w:r>
      <w:r w:rsidR="0038113E">
        <w:t xml:space="preserve">der (künstlerischen, </w:t>
      </w:r>
      <w:r w:rsidR="00A67F26">
        <w:t xml:space="preserve">musikalischen </w:t>
      </w:r>
      <w:r w:rsidR="0038113E">
        <w:t xml:space="preserve">usw.) </w:t>
      </w:r>
      <w:r w:rsidR="00286B0C">
        <w:t xml:space="preserve">Richtung </w:t>
      </w:r>
      <w:r w:rsidR="0038113E">
        <w:t>ist, dem er zugeordnet wird.</w:t>
      </w:r>
    </w:p>
    <w:p w:rsidR="001847DF" w:rsidRDefault="001847DF" w:rsidP="00CA7C73">
      <w:pPr>
        <w:pStyle w:val="Text"/>
      </w:pPr>
      <w:r>
        <w:t>(2)</w:t>
      </w:r>
      <w:r>
        <w:tab/>
      </w:r>
      <w:r w:rsidR="00286B0C">
        <w:t xml:space="preserve">Wird </w:t>
      </w:r>
      <w:r w:rsidR="00CE4860">
        <w:t>‚</w:t>
      </w:r>
      <w:r w:rsidR="00774980">
        <w:t>Stil</w:t>
      </w:r>
      <w:r w:rsidR="00CE4860">
        <w:t>‘</w:t>
      </w:r>
      <w:r w:rsidR="00774980">
        <w:t xml:space="preserve"> </w:t>
      </w:r>
      <w:r w:rsidR="0038113E">
        <w:t xml:space="preserve">in der Verwendungsweise (a) </w:t>
      </w:r>
      <w:r w:rsidR="00395D49">
        <w:t>mehr oder minder austausc</w:t>
      </w:r>
      <w:r w:rsidR="00395D49">
        <w:t>h</w:t>
      </w:r>
      <w:r w:rsidR="00395D49">
        <w:t xml:space="preserve">bar zu </w:t>
      </w:r>
      <w:r w:rsidR="00F005F4">
        <w:t>‚</w:t>
      </w:r>
      <w:r w:rsidR="00286B0C">
        <w:t>Genre</w:t>
      </w:r>
      <w:r w:rsidR="00F005F4">
        <w:t>‘</w:t>
      </w:r>
      <w:r w:rsidR="00286B0C">
        <w:t xml:space="preserve">, </w:t>
      </w:r>
      <w:r w:rsidR="00F005F4">
        <w:t>‚</w:t>
      </w:r>
      <w:r w:rsidR="00286B0C">
        <w:t>Gattung</w:t>
      </w:r>
      <w:r w:rsidR="00F005F4">
        <w:t>‘</w:t>
      </w:r>
      <w:r w:rsidR="00286B0C">
        <w:t xml:space="preserve"> oder </w:t>
      </w:r>
      <w:r w:rsidR="00F005F4">
        <w:t>‚</w:t>
      </w:r>
      <w:r w:rsidR="00286B0C">
        <w:t>Richtung</w:t>
      </w:r>
      <w:r w:rsidR="00F005F4">
        <w:t>‘</w:t>
      </w:r>
      <w:r w:rsidR="00286B0C">
        <w:t xml:space="preserve"> gebraucht, </w:t>
      </w:r>
      <w:r w:rsidR="009A0E92">
        <w:t xml:space="preserve">muss überprüft werden, wie diese </w:t>
      </w:r>
      <w:r w:rsidR="00CE4860">
        <w:t>Begriffe</w:t>
      </w:r>
      <w:r w:rsidR="009A0E92">
        <w:t xml:space="preserve"> selbst gebraucht </w:t>
      </w:r>
      <w:r w:rsidR="00395D49">
        <w:t>werden</w:t>
      </w:r>
      <w:r w:rsidR="000B7D20">
        <w:t xml:space="preserve">: </w:t>
      </w:r>
      <w:r w:rsidR="00CE4860">
        <w:t xml:space="preserve">In Kontexten, in denen mit ihnen </w:t>
      </w:r>
      <w:r w:rsidR="00126D04">
        <w:t>nur ein Gruppenstil</w:t>
      </w:r>
      <w:r w:rsidR="00395D49">
        <w:t xml:space="preserve"> </w:t>
      </w:r>
      <w:r w:rsidR="0038113E">
        <w:t xml:space="preserve">entsprechend Abschnitt </w:t>
      </w:r>
      <w:r w:rsidR="005D7996">
        <w:fldChar w:fldCharType="begin"/>
      </w:r>
      <w:r w:rsidR="0038113E">
        <w:instrText xml:space="preserve"> REF _Ref225393759 \r \h </w:instrText>
      </w:r>
      <w:r w:rsidR="005D7996">
        <w:fldChar w:fldCharType="separate"/>
      </w:r>
      <w:r w:rsidR="001231D3">
        <w:t>8.3.1</w:t>
      </w:r>
      <w:r w:rsidR="005D7996">
        <w:fldChar w:fldCharType="end"/>
      </w:r>
      <w:r w:rsidR="0038113E">
        <w:t xml:space="preserve"> </w:t>
      </w:r>
      <w:r w:rsidR="00CE4860">
        <w:t xml:space="preserve">bezeichnet </w:t>
      </w:r>
      <w:r w:rsidR="00126D04">
        <w:t>wird</w:t>
      </w:r>
      <w:r w:rsidR="00395D49">
        <w:t xml:space="preserve">, </w:t>
      </w:r>
      <w:r w:rsidR="00126D04">
        <w:t xml:space="preserve">sollte </w:t>
      </w:r>
      <w:r w:rsidR="00395D49">
        <w:t xml:space="preserve">auf </w:t>
      </w:r>
      <w:r w:rsidR="00CE4860">
        <w:t xml:space="preserve">sie </w:t>
      </w:r>
      <w:r w:rsidR="00395D49">
        <w:t>verzic</w:t>
      </w:r>
      <w:r w:rsidR="00395D49">
        <w:t>h</w:t>
      </w:r>
      <w:r w:rsidR="00395D49">
        <w:t xml:space="preserve">tet </w:t>
      </w:r>
      <w:r w:rsidR="00CE4860">
        <w:t xml:space="preserve">und </w:t>
      </w:r>
      <w:r w:rsidR="00126D04">
        <w:t xml:space="preserve">eben </w:t>
      </w:r>
      <w:r w:rsidR="00CE4860">
        <w:t>von ‚</w:t>
      </w:r>
      <w:r w:rsidR="00126D04">
        <w:t>Gruppenstil</w:t>
      </w:r>
      <w:r w:rsidR="00CE4860">
        <w:t xml:space="preserve">‘ gesprochen </w:t>
      </w:r>
      <w:r w:rsidR="00395D49">
        <w:t xml:space="preserve">werden. </w:t>
      </w:r>
      <w:r w:rsidR="009A0E92">
        <w:t xml:space="preserve">Meist werden </w:t>
      </w:r>
      <w:r w:rsidR="00395D49">
        <w:t xml:space="preserve">aber </w:t>
      </w:r>
      <w:r w:rsidR="008544D1">
        <w:t>bei Ve</w:t>
      </w:r>
      <w:r w:rsidR="008544D1">
        <w:t>r</w:t>
      </w:r>
      <w:r w:rsidR="008544D1">
        <w:t xml:space="preserve">wendung von ‚Genre‘, ‚Gattung‘ oder ‚Richtung‘ </w:t>
      </w:r>
      <w:r w:rsidR="009A0E92">
        <w:t xml:space="preserve">weitere Aspekte </w:t>
      </w:r>
      <w:r w:rsidR="008544D1">
        <w:t xml:space="preserve">einbezogen </w:t>
      </w:r>
      <w:r w:rsidR="009A0E92">
        <w:t>(</w:t>
      </w:r>
      <w:r>
        <w:t>zeitliche oder historische Einordnung, Einflüsse</w:t>
      </w:r>
      <w:r w:rsidR="000B7D20">
        <w:t xml:space="preserve">, </w:t>
      </w:r>
      <w:r w:rsidR="00AF086E">
        <w:t xml:space="preserve">theoretische Texte </w:t>
      </w:r>
      <w:r w:rsidR="00395D49">
        <w:t>zum jewe</w:t>
      </w:r>
      <w:r w:rsidR="00395D49">
        <w:t>i</w:t>
      </w:r>
      <w:r w:rsidR="00395D49">
        <w:t>ligen Phänomen</w:t>
      </w:r>
      <w:r w:rsidR="009A0E92">
        <w:t xml:space="preserve"> </w:t>
      </w:r>
      <w:r>
        <w:t>usw.)</w:t>
      </w:r>
      <w:r w:rsidR="00395D49">
        <w:t xml:space="preserve">, </w:t>
      </w:r>
      <w:r w:rsidR="000B7D20">
        <w:t xml:space="preserve">so dass eine </w:t>
      </w:r>
      <w:r w:rsidR="009A0E92">
        <w:t xml:space="preserve">synonyme </w:t>
      </w:r>
      <w:r w:rsidR="000B7D20">
        <w:t xml:space="preserve">Verwendung </w:t>
      </w:r>
      <w:r w:rsidR="00BC4DA8">
        <w:t xml:space="preserve">den Begriff ‚Stil‘ </w:t>
      </w:r>
      <w:r w:rsidR="009A0E92">
        <w:t xml:space="preserve">unscharf </w:t>
      </w:r>
      <w:r w:rsidR="000B7D20">
        <w:t>macht</w:t>
      </w:r>
      <w:r>
        <w:t xml:space="preserve">. </w:t>
      </w:r>
      <w:r w:rsidR="00126D04">
        <w:t xml:space="preserve">In diesem Fall sollte </w:t>
      </w:r>
      <w:r w:rsidR="008544D1">
        <w:t>‚Stil‘ eingeschränkter gebraucht werden.</w:t>
      </w:r>
    </w:p>
    <w:p w:rsidR="00044426" w:rsidRDefault="00F44D80" w:rsidP="00CA7C73">
      <w:pPr>
        <w:pStyle w:val="Text"/>
      </w:pPr>
      <w:r>
        <w:t xml:space="preserve">Der Gebrauch im Sinne von (1) </w:t>
      </w:r>
      <w:r w:rsidR="006B65DD">
        <w:t xml:space="preserve">scheint insgesamt </w:t>
      </w:r>
      <w:r>
        <w:t>der häufigere</w:t>
      </w:r>
      <w:r w:rsidR="006B65DD">
        <w:t xml:space="preserve"> zu sein</w:t>
      </w:r>
      <w:r>
        <w:t xml:space="preserve">: </w:t>
      </w:r>
      <w:r w:rsidR="006B65DD">
        <w:t xml:space="preserve">Dabei </w:t>
      </w:r>
      <w:r>
        <w:t xml:space="preserve">werden Gattung, Genre, Textsorte und vergleichbare Begriffe </w:t>
      </w:r>
      <w:r w:rsidR="006B65DD">
        <w:t>überwi</w:t>
      </w:r>
      <w:r w:rsidR="006B65DD">
        <w:t>e</w:t>
      </w:r>
      <w:r w:rsidR="006B65DD">
        <w:t xml:space="preserve">gend </w:t>
      </w:r>
      <w:r>
        <w:t>historisch, kulturell und</w:t>
      </w:r>
      <w:r w:rsidR="00044426">
        <w:t>/oder</w:t>
      </w:r>
      <w:r>
        <w:t xml:space="preserve"> funktional </w:t>
      </w:r>
      <w:r w:rsidR="006B65DD">
        <w:t>definiert,</w:t>
      </w:r>
      <w:r>
        <w:t xml:space="preserve"> </w:t>
      </w:r>
      <w:r w:rsidR="00044426">
        <w:t xml:space="preserve">wobei </w:t>
      </w:r>
      <w:r>
        <w:t xml:space="preserve">ihnen </w:t>
      </w:r>
      <w:r w:rsidR="006B65DD">
        <w:t>häufig, aber nicht in allen Fällen, ein bestimmter Stil</w:t>
      </w:r>
      <w:r w:rsidR="00245A40">
        <w:t xml:space="preserve"> zugeordnet</w:t>
      </w:r>
      <w:r w:rsidR="00044426">
        <w:t xml:space="preserve"> wird</w:t>
      </w:r>
      <w:r w:rsidR="006B65DD">
        <w:t>. Dieser ist konventi</w:t>
      </w:r>
      <w:r w:rsidR="006B65DD">
        <w:t>o</w:t>
      </w:r>
      <w:r w:rsidR="006B65DD">
        <w:t>nell und kann sogar zur Norm</w:t>
      </w:r>
      <w:r w:rsidR="005D7996">
        <w:fldChar w:fldCharType="begin"/>
      </w:r>
      <w:r w:rsidR="001151DC">
        <w:instrText xml:space="preserve"> XE "</w:instrText>
      </w:r>
      <w:r w:rsidR="001151DC" w:rsidRPr="008B5C3E">
        <w:instrText>Norm</w:instrText>
      </w:r>
      <w:r w:rsidR="001151DC">
        <w:instrText xml:space="preserve">" </w:instrText>
      </w:r>
      <w:r w:rsidR="005D7996">
        <w:fldChar w:fldCharType="end"/>
      </w:r>
      <w:r w:rsidR="006B65DD">
        <w:t xml:space="preserve"> werden, deren Erfüllung als notwendige Bedi</w:t>
      </w:r>
      <w:r w:rsidR="006B65DD">
        <w:t>n</w:t>
      </w:r>
      <w:r w:rsidR="006B65DD">
        <w:t xml:space="preserve">gung für das </w:t>
      </w:r>
      <w:r w:rsidR="00245A40">
        <w:t xml:space="preserve">Erfüllen </w:t>
      </w:r>
      <w:r w:rsidR="006B65DD">
        <w:t>der Gattung, des Genres oder der Textsorte gilt. So könnte man urteilen, da</w:t>
      </w:r>
      <w:r w:rsidR="00F005F4">
        <w:t xml:space="preserve">ss eine Äußerung die Textsorte </w:t>
      </w:r>
      <w:r w:rsidR="00957332">
        <w:t>„</w:t>
      </w:r>
      <w:r w:rsidR="006B65DD">
        <w:t>Trinkspruch</w:t>
      </w:r>
      <w:r w:rsidR="005D7996">
        <w:fldChar w:fldCharType="begin"/>
      </w:r>
      <w:r w:rsidR="00957332">
        <w:instrText xml:space="preserve"> XE "</w:instrText>
      </w:r>
      <w:r w:rsidR="00957332" w:rsidRPr="00715510">
        <w:instrText>Trinkspruch (Textsorte)</w:instrText>
      </w:r>
      <w:r w:rsidR="00957332">
        <w:instrText xml:space="preserve">" </w:instrText>
      </w:r>
      <w:r w:rsidR="005D7996">
        <w:fldChar w:fldCharType="end"/>
      </w:r>
      <w:r w:rsidR="00957332">
        <w:t>“</w:t>
      </w:r>
      <w:r w:rsidR="006B65DD">
        <w:t xml:space="preserve"> verfehlt, wenn sie den Stil eines wissenschaftlichen Artikels besitzt, und umgekehrt.</w:t>
      </w:r>
      <w:r w:rsidR="00044426">
        <w:t xml:space="preserve"> Dennoch ist der Stil hier keine hinreichende Bedingung für die Zugehörigkeit zur Textsorte: Erfolgt die Äußerung in einem ganz unpassenden Kontext oder mit einem ganz unpassenden Inhalt, wird sie trotz passendem Stil nicht der Textsorte </w:t>
      </w:r>
      <w:r w:rsidR="0019622F">
        <w:t>„</w:t>
      </w:r>
      <w:r w:rsidR="00044426">
        <w:t>Trin</w:t>
      </w:r>
      <w:r w:rsidR="00044426">
        <w:t>k</w:t>
      </w:r>
      <w:r w:rsidR="00044426">
        <w:t>spruch</w:t>
      </w:r>
      <w:r w:rsidR="0019622F">
        <w:t>“</w:t>
      </w:r>
      <w:r w:rsidR="00044426">
        <w:t xml:space="preserve"> zugerechnet.</w:t>
      </w:r>
    </w:p>
    <w:p w:rsidR="00F44D80" w:rsidRDefault="006B65DD" w:rsidP="00CA7C73">
      <w:pPr>
        <w:pStyle w:val="Text"/>
      </w:pPr>
      <w:r>
        <w:t xml:space="preserve">Die analytische Trennung zwischen </w:t>
      </w:r>
      <w:r w:rsidR="00044426">
        <w:t xml:space="preserve">Gattungen, Genres und Textsorten, die </w:t>
      </w:r>
      <w:r>
        <w:t>historische, kulturelle und funktionale Aspekte einbe</w:t>
      </w:r>
      <w:r w:rsidR="00044426">
        <w:t>ziehen,</w:t>
      </w:r>
      <w:r>
        <w:t xml:space="preserve"> und einem für sie konventionellen Stil macht </w:t>
      </w:r>
      <w:r w:rsidR="00044426">
        <w:t>daher</w:t>
      </w:r>
      <w:r>
        <w:t xml:space="preserve"> auch dann Sinn, wenn letzterer als notwendiger Bestandteil der ersteren gilt, zum einen aus analytischen Gründen, zum anderen </w:t>
      </w:r>
      <w:r>
        <w:lastRenderedPageBreak/>
        <w:t>weil dies durchaus nicht immer der Fall ist: So kann beispielsweise die Textsorte „Laudatio</w:t>
      </w:r>
      <w:r w:rsidR="005D7996">
        <w:fldChar w:fldCharType="begin"/>
      </w:r>
      <w:r w:rsidR="00957332">
        <w:instrText xml:space="preserve"> XE "</w:instrText>
      </w:r>
      <w:r w:rsidR="00957332" w:rsidRPr="00955CC4">
        <w:instrText>Laudatio (Textsorte)</w:instrText>
      </w:r>
      <w:r w:rsidR="00957332">
        <w:instrText xml:space="preserve">" </w:instrText>
      </w:r>
      <w:r w:rsidR="005D7996">
        <w:fldChar w:fldCharType="end"/>
      </w:r>
      <w:r>
        <w:t>“ von einer flapsig-fröhlichen bis zu einer ernst-wissenschaftlichen Stil</w:t>
      </w:r>
      <w:r w:rsidR="00613580">
        <w:t>ebene</w:t>
      </w:r>
      <w:r w:rsidR="005D7996">
        <w:fldChar w:fldCharType="begin"/>
      </w:r>
      <w:r w:rsidR="00226598">
        <w:instrText xml:space="preserve"> XE "</w:instrText>
      </w:r>
      <w:r w:rsidR="00226598" w:rsidRPr="000A483C">
        <w:instrText>Stil</w:instrText>
      </w:r>
      <w:r w:rsidR="00613580">
        <w:instrText>ebene</w:instrText>
      </w:r>
      <w:r w:rsidR="00226598">
        <w:instrText xml:space="preserve">" </w:instrText>
      </w:r>
      <w:r w:rsidR="005D7996">
        <w:fldChar w:fldCharType="end"/>
      </w:r>
      <w:r>
        <w:t xml:space="preserve"> variieren, </w:t>
      </w:r>
      <w:r w:rsidR="00245A40">
        <w:t>notwendige Bedingungen sind hier (neben Anlass und Fun</w:t>
      </w:r>
      <w:r w:rsidR="00245A40">
        <w:t>k</w:t>
      </w:r>
      <w:r w:rsidR="00245A40">
        <w:t>tion) eher im Inhalt zu suchen, nämlich die positive Bezugnahme auf den G</w:t>
      </w:r>
      <w:r w:rsidR="00245A40">
        <w:t>e</w:t>
      </w:r>
      <w:r w:rsidR="00245A40">
        <w:t>würdigten.</w:t>
      </w:r>
    </w:p>
    <w:p w:rsidR="00820AD2" w:rsidRDefault="00074FBC" w:rsidP="00820AD2">
      <w:pPr>
        <w:pStyle w:val="Titel3"/>
      </w:pPr>
      <w:bookmarkStart w:id="475" w:name="_Ref234948524"/>
      <w:bookmarkStart w:id="476" w:name="_Toc325456822"/>
      <w:bookmarkStart w:id="477" w:name="Verhaltensstil"/>
      <w:bookmarkEnd w:id="474"/>
      <w:r>
        <w:t>Verhaltensstile</w:t>
      </w:r>
      <w:r w:rsidR="00820AD2">
        <w:t xml:space="preserve"> und </w:t>
      </w:r>
      <w:r>
        <w:t>Verhaltensergebnisstile</w:t>
      </w:r>
      <w:bookmarkEnd w:id="475"/>
      <w:bookmarkEnd w:id="476"/>
    </w:p>
    <w:p w:rsidR="00BE2CF2" w:rsidRDefault="005D7996" w:rsidP="007B2845">
      <w:pPr>
        <w:pStyle w:val="Text"/>
        <w:ind w:firstLine="0"/>
      </w:pPr>
      <w:r>
        <w:fldChar w:fldCharType="begin"/>
      </w:r>
      <w:r w:rsidR="002F4417">
        <w:instrText xml:space="preserve"> XE "Verhaltensstil" \r "Verhaltensstil"</w:instrText>
      </w:r>
      <w:r w:rsidR="00362FC7">
        <w:instrText xml:space="preserve"> </w:instrText>
      </w:r>
      <w:r>
        <w:fldChar w:fldCharType="end"/>
      </w:r>
      <w:r>
        <w:fldChar w:fldCharType="begin"/>
      </w:r>
      <w:r w:rsidR="002F4417">
        <w:instrText xml:space="preserve"> XE "Verhaltensergebnisstil" \r "Verhaltensstil"</w:instrText>
      </w:r>
      <w:r w:rsidR="00362FC7">
        <w:instrText xml:space="preserve"> </w:instrText>
      </w:r>
      <w:r>
        <w:fldChar w:fldCharType="end"/>
      </w:r>
      <w:r>
        <w:fldChar w:fldCharType="begin"/>
      </w:r>
      <w:r w:rsidR="00623E65">
        <w:instrText xml:space="preserve"> XE "Verhaltensschema" \r "Verhaltensstil" </w:instrText>
      </w:r>
      <w:r>
        <w:fldChar w:fldCharType="end"/>
      </w:r>
      <w:r>
        <w:fldChar w:fldCharType="begin"/>
      </w:r>
      <w:r w:rsidR="00623E65">
        <w:instrText xml:space="preserve"> XE "Verhaltensergebnisschema" \r "Verhaltensstil" </w:instrText>
      </w:r>
      <w:r>
        <w:fldChar w:fldCharType="end"/>
      </w:r>
      <w:r>
        <w:fldChar w:fldCharType="begin"/>
      </w:r>
      <w:r w:rsidR="00364886">
        <w:instrText xml:space="preserve"> XE "Artefaktschema" \r "Verhaltensstil" </w:instrText>
      </w:r>
      <w:r>
        <w:fldChar w:fldCharType="end"/>
      </w:r>
      <w:r>
        <w:fldChar w:fldCharType="begin"/>
      </w:r>
      <w:r w:rsidR="00A9676D">
        <w:instrText xml:space="preserve"> XE "Textschema" \r "Verhaltensstil" </w:instrText>
      </w:r>
      <w:r>
        <w:fldChar w:fldCharType="end"/>
      </w:r>
      <w:r w:rsidR="00820AD2">
        <w:t xml:space="preserve">Eine weitere </w:t>
      </w:r>
      <w:r w:rsidR="00BE2CF2">
        <w:t xml:space="preserve">durchgehend mögliche </w:t>
      </w:r>
      <w:r w:rsidR="00820AD2">
        <w:t xml:space="preserve">Unterscheidung ist die zwischen Stilen, die sich auf </w:t>
      </w:r>
      <w:r w:rsidR="00C4798E">
        <w:t>ein Verhalten oder aber auf das Ergebnis dieses Verhaltens</w:t>
      </w:r>
      <w:r w:rsidR="00820AD2">
        <w:t xml:space="preserve"> beziehen. Diese Unterscheidung ist vor allem bei Artefakten und Texten wichtig: Dort kann zwischen Stilen, die beim Artefakterzeugungsprozess bzw. beim Texte</w:t>
      </w:r>
      <w:r w:rsidR="00820AD2">
        <w:t>r</w:t>
      </w:r>
      <w:r w:rsidR="00820AD2">
        <w:t>zeugungsprozess auftreten, und Stilen, die beim Artefakt bzw. beim Text selbst auftreten, unterschieden werden.</w:t>
      </w:r>
      <w:r w:rsidR="00BE2CF2">
        <w:t xml:space="preserve"> Die hier vorgestellte Theorie trifft diese Unte</w:t>
      </w:r>
      <w:r w:rsidR="00BE2CF2">
        <w:t>r</w:t>
      </w:r>
      <w:r w:rsidR="00BE2CF2">
        <w:t xml:space="preserve">scheidung anhand der zugrunde gelegten Schemata: </w:t>
      </w:r>
      <w:r w:rsidR="00074FBC">
        <w:t xml:space="preserve">Verhaltensstile </w:t>
      </w:r>
      <w:r w:rsidR="00BE2CF2">
        <w:t xml:space="preserve">basieren auf </w:t>
      </w:r>
      <w:r w:rsidR="00074FBC">
        <w:t>Verhaltens</w:t>
      </w:r>
      <w:r w:rsidR="00396658">
        <w:t>schemata</w:t>
      </w:r>
      <w:r w:rsidR="00BE2CF2">
        <w:t xml:space="preserve">, </w:t>
      </w:r>
      <w:r w:rsidR="00074FBC">
        <w:t>Verhaltense</w:t>
      </w:r>
      <w:r w:rsidR="00BE2CF2">
        <w:t xml:space="preserve">rgebnisstile auf </w:t>
      </w:r>
      <w:r w:rsidR="00074FBC">
        <w:t>Verhaltense</w:t>
      </w:r>
      <w:r w:rsidR="00BE2CF2">
        <w:t>rgebnisschemata.</w:t>
      </w:r>
    </w:p>
    <w:p w:rsidR="00C70EC8" w:rsidRDefault="00BE2CF2" w:rsidP="00BE2CF2">
      <w:pPr>
        <w:pStyle w:val="Text"/>
      </w:pPr>
      <w:r>
        <w:t xml:space="preserve">In Abschnitt </w:t>
      </w:r>
      <w:r w:rsidR="005D7996">
        <w:fldChar w:fldCharType="begin"/>
      </w:r>
      <w:r>
        <w:instrText xml:space="preserve"> REF _Ref212082822 \r \h </w:instrText>
      </w:r>
      <w:r w:rsidR="005D7996">
        <w:fldChar w:fldCharType="separate"/>
      </w:r>
      <w:r w:rsidR="001231D3">
        <w:t>4.2.2</w:t>
      </w:r>
      <w:r w:rsidR="005D7996">
        <w:fldChar w:fldCharType="end"/>
      </w:r>
      <w:r>
        <w:t xml:space="preserve"> waren drei Arten von Schemata unterschieden worden: (1) Verhaltensschemata, (2) Artefaktschemata und (3) Textschemata. Es wurde </w:t>
      </w:r>
      <w:r w:rsidR="00190C6B">
        <w:t xml:space="preserve">dort </w:t>
      </w:r>
      <w:r w:rsidR="00C70EC8">
        <w:t xml:space="preserve">ferner </w:t>
      </w:r>
      <w:r>
        <w:t xml:space="preserve">betont, dass wir Artefakte (und damit auch </w:t>
      </w:r>
      <w:r w:rsidR="003C441F">
        <w:t xml:space="preserve">die Unterkategorie </w:t>
      </w:r>
      <w:r>
        <w:t>Te</w:t>
      </w:r>
      <w:r>
        <w:t>x</w:t>
      </w:r>
      <w:r>
        <w:t xml:space="preserve">te) </w:t>
      </w:r>
      <w:r w:rsidR="00190C6B">
        <w:t xml:space="preserve">gewöhnlich </w:t>
      </w:r>
      <w:r>
        <w:t xml:space="preserve">nach Schemata betrachten, die </w:t>
      </w:r>
      <w:r w:rsidRPr="00BE2CF2">
        <w:t>unabhängig vom Verhalten sind, desse</w:t>
      </w:r>
      <w:r>
        <w:t>n Ergebnis diese Artefakte sind.</w:t>
      </w:r>
      <w:r w:rsidR="003C441F">
        <w:t xml:space="preserve"> (2) ist also keine Unterkategorie von (1), da Artefaktschemata spezifisch </w:t>
      </w:r>
      <w:r w:rsidR="003C441F" w:rsidRPr="003C441F">
        <w:rPr>
          <w:i/>
        </w:rPr>
        <w:t>das Ergebnis artefakterzeugende</w:t>
      </w:r>
      <w:r w:rsidR="00190C6B">
        <w:rPr>
          <w:i/>
        </w:rPr>
        <w:t>n</w:t>
      </w:r>
      <w:r w:rsidR="003C441F" w:rsidRPr="003C441F">
        <w:rPr>
          <w:i/>
        </w:rPr>
        <w:t xml:space="preserve"> Verhaltens</w:t>
      </w:r>
      <w:r w:rsidR="003C441F">
        <w:t xml:space="preserve"> b</w:t>
      </w:r>
      <w:r w:rsidR="003C441F">
        <w:t>e</w:t>
      </w:r>
      <w:r w:rsidR="003C441F">
        <w:t xml:space="preserve">trachten, entsprechend Texte </w:t>
      </w:r>
      <w:r w:rsidR="003C441F" w:rsidRPr="00C70EC8">
        <w:rPr>
          <w:i/>
        </w:rPr>
        <w:t>das Ergebnis texterzeugenden Verhaltens</w:t>
      </w:r>
      <w:r w:rsidR="003C441F">
        <w:t>.</w:t>
      </w:r>
      <w:r>
        <w:t xml:space="preserve"> </w:t>
      </w:r>
      <w:r w:rsidR="003C441F">
        <w:t>(3) ist jedoch eine Unterkategorie von (2): Textschemata sind eine Unterkategorie von Artefaktschemata, da Texte eine Unte</w:t>
      </w:r>
      <w:r w:rsidR="00C70EC8">
        <w:t>rkategorie von Artefakten sind.</w:t>
      </w:r>
    </w:p>
    <w:p w:rsidR="003C441F" w:rsidRDefault="00C70EC8" w:rsidP="00BE2CF2">
      <w:pPr>
        <w:pStyle w:val="Text"/>
      </w:pPr>
      <w:r>
        <w:t>Dagegen ist artefakterzeugendes Verhalten natürlich eine Unterkategorie von Verhalten allgemein, texterzeugendes Verhalten wiederum ist eine Unterk</w:t>
      </w:r>
      <w:r>
        <w:t>a</w:t>
      </w:r>
      <w:r>
        <w:t xml:space="preserve">tegorie von artefakterzeugendem Verhalten. Auch </w:t>
      </w:r>
      <w:r w:rsidR="00BE2CF2">
        <w:t>artefakterzeugendes Verha</w:t>
      </w:r>
      <w:r w:rsidR="00BE2CF2">
        <w:t>l</w:t>
      </w:r>
      <w:r w:rsidR="00BE2CF2">
        <w:t xml:space="preserve">ten und texterzeugendes Verhalten </w:t>
      </w:r>
      <w:r>
        <w:t xml:space="preserve">haben </w:t>
      </w:r>
      <w:r w:rsidR="00BE2CF2">
        <w:t xml:space="preserve">Schemata: </w:t>
      </w:r>
      <w:r w:rsidR="003C441F">
        <w:t>Diese bilden Unterkateg</w:t>
      </w:r>
      <w:r w:rsidR="003C441F">
        <w:t>o</w:t>
      </w:r>
      <w:r w:rsidR="003C441F">
        <w:t xml:space="preserve">rien von (1) und stehen mit (2) und (3) in der Relation </w:t>
      </w:r>
      <w:r w:rsidR="00074FBC">
        <w:t>Verhaltensschemata zu Verhaltensergebnisschemata.</w:t>
      </w:r>
    </w:p>
    <w:p w:rsidR="00747011" w:rsidRDefault="00747011" w:rsidP="00EB1E36">
      <w:pPr>
        <w:pStyle w:val="Text"/>
      </w:pPr>
      <w:r>
        <w:t>Die Unterscheidung zwischen Artefakten und artefakterzeugendem Verha</w:t>
      </w:r>
      <w:r>
        <w:t>l</w:t>
      </w:r>
      <w:r>
        <w:t>ten sowie zwischen Texten und texterzeugendem Verhalten ist kulturell relevant. So ist die Unterscheidung zwischen dem Schreibprozess eines Textes und dem Ergebnis für die Literaturwissenschaft von einigem Interesse;</w:t>
      </w:r>
      <w:r>
        <w:rPr>
          <w:rStyle w:val="Funotenzeichen"/>
        </w:rPr>
        <w:footnoteReference w:id="605"/>
      </w:r>
      <w:r>
        <w:t xml:space="preserve"> auch bei anderen </w:t>
      </w:r>
      <w:r w:rsidR="00DB7F39">
        <w:t>Künsten</w:t>
      </w:r>
      <w:r>
        <w:t xml:space="preserve"> wird </w:t>
      </w:r>
      <w:r w:rsidR="00DB7F39">
        <w:t xml:space="preserve">der Unterscheidung </w:t>
      </w:r>
      <w:r>
        <w:t xml:space="preserve">zwischen </w:t>
      </w:r>
      <w:r w:rsidR="00DB7F39">
        <w:t xml:space="preserve">dem </w:t>
      </w:r>
      <w:r>
        <w:t xml:space="preserve">Schaffensprozess und dessen </w:t>
      </w:r>
      <w:r>
        <w:lastRenderedPageBreak/>
        <w:t xml:space="preserve">Ergebnis, dem </w:t>
      </w:r>
      <w:r>
        <w:rPr>
          <w:rFonts w:cs="Times New Roman"/>
        </w:rPr>
        <w:t>„</w:t>
      </w:r>
      <w:r>
        <w:t>Kunstwerk</w:t>
      </w:r>
      <w:r>
        <w:rPr>
          <w:rFonts w:cs="Times New Roman"/>
        </w:rPr>
        <w:t>“</w:t>
      </w:r>
      <w:r>
        <w:t xml:space="preserve">, </w:t>
      </w:r>
      <w:r w:rsidR="00DB7F39">
        <w:t xml:space="preserve">zunehmend </w:t>
      </w:r>
      <w:r>
        <w:t>Aufmerksamkeit gewidmet</w:t>
      </w:r>
      <w:r w:rsidR="00DB7F39">
        <w:t xml:space="preserve"> und die traditionelle Trennung </w:t>
      </w:r>
      <w:r>
        <w:t>in Frag</w:t>
      </w:r>
      <w:r w:rsidR="00C4798E">
        <w:t>e gestellt.</w:t>
      </w:r>
      <w:r w:rsidR="00C4798E">
        <w:rPr>
          <w:rStyle w:val="Funotenzeichen"/>
        </w:rPr>
        <w:footnoteReference w:id="606"/>
      </w:r>
    </w:p>
    <w:p w:rsidR="005612FA" w:rsidRDefault="0041194B" w:rsidP="00EB1E36">
      <w:pPr>
        <w:pStyle w:val="Text"/>
      </w:pPr>
      <w:r>
        <w:t xml:space="preserve">Zusammengefasst: </w:t>
      </w:r>
      <w:r w:rsidR="005612FA">
        <w:t xml:space="preserve">Bei </w:t>
      </w:r>
      <w:r w:rsidR="002E7D90">
        <w:t>Verhalten</w:t>
      </w:r>
      <w:r w:rsidR="003C441F">
        <w:t xml:space="preserve"> kann </w:t>
      </w:r>
      <w:r w:rsidR="005612FA">
        <w:t xml:space="preserve">generell </w:t>
      </w:r>
      <w:r w:rsidR="003C441F">
        <w:t xml:space="preserve">zwischen Ausführung und Ergebnis unterschieden werden. </w:t>
      </w:r>
      <w:r w:rsidR="00FC7DC5">
        <w:t xml:space="preserve">Wir </w:t>
      </w:r>
      <w:r>
        <w:t xml:space="preserve">sprechen allerdings </w:t>
      </w:r>
      <w:r w:rsidR="00FC7DC5">
        <w:t>statt von Verhaltensau</w:t>
      </w:r>
      <w:r w:rsidR="00FC7DC5">
        <w:t>s</w:t>
      </w:r>
      <w:r w:rsidR="00FC7DC5">
        <w:t xml:space="preserve">führung einfach von Verhalten; die Verhaltensschemata </w:t>
      </w:r>
      <w:r w:rsidR="005612FA">
        <w:t xml:space="preserve">(1) </w:t>
      </w:r>
      <w:r w:rsidR="00FC7DC5">
        <w:t>sind also Verhalten</w:t>
      </w:r>
      <w:r w:rsidR="00FC7DC5">
        <w:t>s</w:t>
      </w:r>
      <w:r w:rsidR="00FC7DC5">
        <w:t>ausführungsschemata. Zu manchen Verhaltensweisen gibt es auch Verhaltense</w:t>
      </w:r>
      <w:r w:rsidR="00FC7DC5">
        <w:t>r</w:t>
      </w:r>
      <w:r w:rsidR="00FC7DC5">
        <w:t xml:space="preserve">gebnisschemata: Zu diesen gehören </w:t>
      </w:r>
      <w:r w:rsidR="00F40A72">
        <w:t xml:space="preserve">(2) </w:t>
      </w:r>
      <w:r w:rsidR="00FC7DC5">
        <w:t xml:space="preserve">Artefaktschemata und </w:t>
      </w:r>
      <w:r w:rsidR="00F40A72">
        <w:t xml:space="preserve">(3) </w:t>
      </w:r>
      <w:r w:rsidR="00FC7DC5">
        <w:t>Textschemata.</w:t>
      </w:r>
    </w:p>
    <w:p w:rsidR="005612FA" w:rsidRDefault="003C441F" w:rsidP="00EB1E36">
      <w:pPr>
        <w:pStyle w:val="Text"/>
      </w:pPr>
      <w:r>
        <w:t xml:space="preserve">Die auf den ersten Blick simple </w:t>
      </w:r>
      <w:r w:rsidR="00092361">
        <w:t>Unterscheidung verkompliziert sich alle</w:t>
      </w:r>
      <w:r w:rsidR="00092361">
        <w:t>r</w:t>
      </w:r>
      <w:r w:rsidR="00092361">
        <w:t xml:space="preserve">dings dadurch, dass das Ergebnis eines Verhaltens </w:t>
      </w:r>
      <w:r w:rsidR="005612FA">
        <w:t xml:space="preserve">generell </w:t>
      </w:r>
      <w:r w:rsidR="00092361">
        <w:t>ein definitorisches Element enthält: Gewöhnlich definieren wir etwa ein Gebäude a</w:t>
      </w:r>
      <w:r w:rsidR="000372F3">
        <w:t>ls Ergebnis eines gebäudeerzeugenden Verhaltens (Bauverhaltens)</w:t>
      </w:r>
      <w:r w:rsidR="00C9172C">
        <w:t xml:space="preserve"> und</w:t>
      </w:r>
      <w:r w:rsidR="000372F3">
        <w:t xml:space="preserve"> würden bei einer genau</w:t>
      </w:r>
      <w:r w:rsidR="000372F3">
        <w:t>e</w:t>
      </w:r>
      <w:r w:rsidR="000372F3">
        <w:t xml:space="preserve">ren Betrachtung </w:t>
      </w:r>
      <w:r w:rsidR="007C18CC">
        <w:t xml:space="preserve">dieses Verhaltens </w:t>
      </w:r>
      <w:r w:rsidR="000372F3">
        <w:t>(etwa der Umweltbilanz eines Bauvorhabens) auch Energieverbrauch, Müllerzeugung, Arbeitsstunden, Lärmbelästigung usw. einbeziehen. Aber natürlich hat ein solches Verhalten (</w:t>
      </w:r>
      <w:r w:rsidR="006E0017">
        <w:t xml:space="preserve">in diesem Fall </w:t>
      </w:r>
      <w:r w:rsidR="000372F3">
        <w:t xml:space="preserve">ein aus koordiniertem Einzelverhalten vieler Individuen bestehendes Gesamtverhalten) </w:t>
      </w:r>
      <w:r w:rsidR="00495F7E">
        <w:t xml:space="preserve">viele </w:t>
      </w:r>
      <w:r w:rsidR="000372F3">
        <w:t xml:space="preserve">weitere Folgen. </w:t>
      </w:r>
      <w:r w:rsidR="00495F7E">
        <w:t>Im Alltag können wir aber immer nur einige Folgen in die Abschätzung der Folgen eines Verhaltens einbeziehen, und s</w:t>
      </w:r>
      <w:r w:rsidR="000372F3">
        <w:t>elbst auf wisse</w:t>
      </w:r>
      <w:r w:rsidR="000372F3">
        <w:t>n</w:t>
      </w:r>
      <w:r w:rsidR="000372F3">
        <w:t>schaftlichem Niveau wissen wir nicht genau, wie weit die Folgen eines Verha</w:t>
      </w:r>
      <w:r w:rsidR="000372F3">
        <w:t>l</w:t>
      </w:r>
      <w:r w:rsidR="000372F3">
        <w:t xml:space="preserve">tens reichen und unter welchen Umständen sie sich immer weiter ausweiten oder aber nach einem gewissen Zeitraum </w:t>
      </w:r>
      <w:r w:rsidR="00250963">
        <w:t>wieder geringer werden.</w:t>
      </w:r>
      <w:r w:rsidR="00250963">
        <w:rPr>
          <w:rStyle w:val="Funotenzeichen"/>
        </w:rPr>
        <w:footnoteReference w:id="607"/>
      </w:r>
    </w:p>
    <w:p w:rsidR="005612FA" w:rsidRDefault="005612FA" w:rsidP="00EB1E36">
      <w:pPr>
        <w:pStyle w:val="Text"/>
      </w:pPr>
      <w:r>
        <w:t xml:space="preserve">Zudem </w:t>
      </w:r>
      <w:r w:rsidR="004350CB">
        <w:t xml:space="preserve">sind </w:t>
      </w:r>
      <w:r w:rsidR="000372F3">
        <w:t xml:space="preserve">Schemata, wie hier verstanden, </w:t>
      </w:r>
      <w:r w:rsidR="004E64F2">
        <w:t>zumindest teilweise kulturell definierte</w:t>
      </w:r>
      <w:r w:rsidR="000372F3">
        <w:t xml:space="preserve"> Einheiten</w:t>
      </w:r>
      <w:r w:rsidR="004350CB">
        <w:t xml:space="preserve"> </w:t>
      </w:r>
      <w:r w:rsidR="004E64F2">
        <w:t xml:space="preserve">(vgl. Abschnitt </w:t>
      </w:r>
      <w:r w:rsidR="005D7996">
        <w:fldChar w:fldCharType="begin"/>
      </w:r>
      <w:r w:rsidR="00A0695B">
        <w:instrText xml:space="preserve"> REF _Ref212082822 \r \h </w:instrText>
      </w:r>
      <w:r w:rsidR="005D7996">
        <w:fldChar w:fldCharType="separate"/>
      </w:r>
      <w:r w:rsidR="001231D3">
        <w:t>4.2.2</w:t>
      </w:r>
      <w:r w:rsidR="005D7996">
        <w:fldChar w:fldCharType="end"/>
      </w:r>
      <w:r w:rsidR="004E64F2">
        <w:t xml:space="preserve">) </w:t>
      </w:r>
      <w:r w:rsidR="004350CB">
        <w:t xml:space="preserve">und es muss daher </w:t>
      </w:r>
      <w:r w:rsidR="004E64F2">
        <w:t xml:space="preserve">auch das </w:t>
      </w:r>
      <w:r w:rsidR="004350CB">
        <w:rPr>
          <w:rFonts w:cs="Times New Roman"/>
        </w:rPr>
        <w:t>„</w:t>
      </w:r>
      <w:r w:rsidR="004350CB">
        <w:t>Erge</w:t>
      </w:r>
      <w:r w:rsidR="004350CB">
        <w:t>b</w:t>
      </w:r>
      <w:r w:rsidR="004350CB">
        <w:t>nis</w:t>
      </w:r>
      <w:r w:rsidR="004350CB">
        <w:rPr>
          <w:rFonts w:cs="Times New Roman"/>
        </w:rPr>
        <w:t>“</w:t>
      </w:r>
      <w:r w:rsidR="004350CB">
        <w:t xml:space="preserve"> </w:t>
      </w:r>
      <w:r w:rsidR="004E64F2">
        <w:t xml:space="preserve">einer schemagebundenen Verhaltensausführung </w:t>
      </w:r>
      <w:r w:rsidR="004350CB">
        <w:t xml:space="preserve">als </w:t>
      </w:r>
      <w:r w:rsidR="004E64F2">
        <w:t xml:space="preserve">teilweise </w:t>
      </w:r>
      <w:r w:rsidR="004350CB">
        <w:t>kulturell defniert verstanden werden.</w:t>
      </w:r>
      <w:r>
        <w:t xml:space="preserve"> </w:t>
      </w:r>
      <w:r w:rsidR="004350CB">
        <w:t xml:space="preserve">Solche Definitionen können sich ändern; so wurden früher dem Verbrauch von Energie und der Umweltverschmutzung als Ergebnis eines Bauprojekts kaum Aufmerksamkeit gewidmet. </w:t>
      </w:r>
      <w:r w:rsidR="00E5750A">
        <w:t>Bei vielen Arten von Ve</w:t>
      </w:r>
      <w:r w:rsidR="00E5750A">
        <w:t>r</w:t>
      </w:r>
      <w:r w:rsidR="00E5750A">
        <w:t xml:space="preserve">halten liegt jedoch keine solche kulturelle Definition vor; </w:t>
      </w:r>
      <w:r>
        <w:t>wir wissen nicht, was als Ergebnis des Verhaltens einer Person, eine Straße entlangzugehen, verstanden werden soll und ob dabei Weiterungen bis hin zur Ablenkung eines zufällig aus dem Fenster schauenden Anwohners einzuschließen sind. Daher macht die D</w:t>
      </w:r>
      <w:r>
        <w:t>e</w:t>
      </w:r>
      <w:r>
        <w:t xml:space="preserve">finition von Ergebnisschemata </w:t>
      </w:r>
      <w:r w:rsidR="00B5598F">
        <w:t>bei manchem</w:t>
      </w:r>
      <w:r w:rsidR="00396658">
        <w:t xml:space="preserve"> Verhalten wenig </w:t>
      </w:r>
      <w:r>
        <w:t xml:space="preserve">Sinn. </w:t>
      </w:r>
      <w:r w:rsidR="00396658">
        <w:t xml:space="preserve">Zudem scheint es so, als würden Verhaltensergebnisse </w:t>
      </w:r>
      <w:r w:rsidR="00B5598F">
        <w:t xml:space="preserve">normalerweise </w:t>
      </w:r>
      <w:r w:rsidR="00396658">
        <w:t>einzeln betrachtet und nicht nach Schemata abgehandelt</w:t>
      </w:r>
      <w:r w:rsidR="00B5598F">
        <w:t xml:space="preserve">, wenn man von den Artefaktschemata und Textschemata einmal absieht; </w:t>
      </w:r>
      <w:r w:rsidR="00396658">
        <w:t xml:space="preserve">im Alltag scheinen Verhaltensergebnisschemata selten vorzukommen. </w:t>
      </w:r>
      <w:r w:rsidR="00B5598F">
        <w:t>So betrachtet die Kriminal</w:t>
      </w:r>
      <w:r w:rsidR="00A67F26">
        <w:t>literatur</w:t>
      </w:r>
      <w:r w:rsidR="005D7996">
        <w:fldChar w:fldCharType="begin"/>
      </w:r>
      <w:r w:rsidR="00447625">
        <w:instrText xml:space="preserve"> XE "</w:instrText>
      </w:r>
      <w:r w:rsidR="00447625" w:rsidRPr="00A94E16">
        <w:instrText>Kriminalliteratur</w:instrText>
      </w:r>
      <w:r w:rsidR="00447625">
        <w:instrText xml:space="preserve">" </w:instrText>
      </w:r>
      <w:r w:rsidR="005D7996">
        <w:fldChar w:fldCharType="end"/>
      </w:r>
      <w:r w:rsidR="00A67F26">
        <w:t xml:space="preserve"> oft die Ergebnisse </w:t>
      </w:r>
      <w:r w:rsidR="003148D9">
        <w:t xml:space="preserve">von Ausführungen </w:t>
      </w:r>
      <w:r w:rsidR="00A67F26">
        <w:t>des</w:t>
      </w:r>
      <w:r w:rsidR="00B5598F">
        <w:t xml:space="preserve"> </w:t>
      </w:r>
      <w:r w:rsidR="00A67F26">
        <w:t>Schemas</w:t>
      </w:r>
      <w:r w:rsidR="00B5598F">
        <w:t xml:space="preserve"> </w:t>
      </w:r>
      <w:r w:rsidR="00A67F26">
        <w:rPr>
          <w:rFonts w:cs="Times New Roman"/>
        </w:rPr>
        <w:t>‚</w:t>
      </w:r>
      <w:r w:rsidR="00B5598F">
        <w:t>Mord</w:t>
      </w:r>
      <w:r w:rsidR="00A67F26">
        <w:rPr>
          <w:rFonts w:cs="Times New Roman"/>
        </w:rPr>
        <w:t>‘</w:t>
      </w:r>
      <w:r w:rsidR="00B5598F">
        <w:rPr>
          <w:rFonts w:cs="Times New Roman"/>
        </w:rPr>
        <w:t>, aber während sich für Mord selbst ein Schema findet (es umfasst die Tötung der Person und die sogenannten „Mor</w:t>
      </w:r>
      <w:r w:rsidR="00B5598F">
        <w:rPr>
          <w:rFonts w:cs="Times New Roman"/>
        </w:rPr>
        <w:t>d</w:t>
      </w:r>
      <w:r w:rsidR="00B5598F">
        <w:rPr>
          <w:rFonts w:cs="Times New Roman"/>
        </w:rPr>
        <w:lastRenderedPageBreak/>
        <w:t>merkmale“) und auch Unterschemata</w:t>
      </w:r>
      <w:r w:rsidR="005D7996">
        <w:rPr>
          <w:rFonts w:cs="Times New Roman"/>
        </w:rPr>
        <w:fldChar w:fldCharType="begin"/>
      </w:r>
      <w:r w:rsidR="00F67AF9">
        <w:instrText xml:space="preserve"> XE "</w:instrText>
      </w:r>
      <w:r w:rsidR="00F67AF9" w:rsidRPr="00D377E4">
        <w:rPr>
          <w:rFonts w:cs="Times New Roman"/>
        </w:rPr>
        <w:instrText>Unterschema</w:instrText>
      </w:r>
      <w:r w:rsidR="00F67AF9">
        <w:instrText xml:space="preserve">" </w:instrText>
      </w:r>
      <w:r w:rsidR="005D7996">
        <w:rPr>
          <w:rFonts w:cs="Times New Roman"/>
        </w:rPr>
        <w:fldChar w:fldCharType="end"/>
      </w:r>
      <w:r w:rsidR="00B5598F">
        <w:rPr>
          <w:rFonts w:cs="Times New Roman"/>
        </w:rPr>
        <w:t xml:space="preserve"> definiert werden können</w:t>
      </w:r>
      <w:r w:rsidR="00A67F26">
        <w:rPr>
          <w:rFonts w:cs="Times New Roman"/>
        </w:rPr>
        <w:t xml:space="preserve"> (‚Eifersucht</w:t>
      </w:r>
      <w:r w:rsidR="00A67F26">
        <w:rPr>
          <w:rFonts w:cs="Times New Roman"/>
        </w:rPr>
        <w:t>s</w:t>
      </w:r>
      <w:r w:rsidR="00A67F26">
        <w:rPr>
          <w:rFonts w:cs="Times New Roman"/>
        </w:rPr>
        <w:t>mord‘, ‚politischer Mord‘, ‚Ehrenmord‘</w:t>
      </w:r>
      <w:r w:rsidR="00B050CA">
        <w:rPr>
          <w:rFonts w:cs="Times New Roman"/>
        </w:rPr>
        <w:t xml:space="preserve"> usw.)</w:t>
      </w:r>
      <w:r w:rsidR="00B5598F">
        <w:rPr>
          <w:rFonts w:cs="Times New Roman"/>
        </w:rPr>
        <w:t>, die typischen Mordweisen z</w:t>
      </w:r>
      <w:r w:rsidR="00B5598F">
        <w:rPr>
          <w:rFonts w:cs="Times New Roman"/>
        </w:rPr>
        <w:t>u</w:t>
      </w:r>
      <w:r w:rsidR="00B5598F">
        <w:rPr>
          <w:rFonts w:cs="Times New Roman"/>
        </w:rPr>
        <w:t>grunde liegen,</w:t>
      </w:r>
      <w:r w:rsidR="00B5598F">
        <w:t xml:space="preserve"> gibt es offenbar keine Schemata für die Ergebnisse.</w:t>
      </w:r>
      <w:r w:rsidR="00B5598F">
        <w:rPr>
          <w:rStyle w:val="Funotenzeichen"/>
        </w:rPr>
        <w:footnoteReference w:id="608"/>
      </w:r>
      <w:r w:rsidR="00B5598F">
        <w:t xml:space="preserve"> Aus diesen</w:t>
      </w:r>
      <w:r>
        <w:t xml:space="preserve"> </w:t>
      </w:r>
      <w:r w:rsidR="00B5598F">
        <w:t xml:space="preserve">Gründen </w:t>
      </w:r>
      <w:r w:rsidR="00C154EB">
        <w:t xml:space="preserve">haben wir (1) nur als Verhaltensausführungsschemata definiert, anstatt eine allgemeinere Definition zu wählen, die </w:t>
      </w:r>
      <w:r>
        <w:t xml:space="preserve">Verhaltensergebnisschemata </w:t>
      </w:r>
      <w:r w:rsidR="00C154EB">
        <w:t>ei</w:t>
      </w:r>
      <w:r w:rsidR="00C154EB">
        <w:t>n</w:t>
      </w:r>
      <w:r w:rsidR="00C154EB">
        <w:t>schließt.</w:t>
      </w:r>
    </w:p>
    <w:p w:rsidR="00820AD2" w:rsidRDefault="00396658" w:rsidP="00EB1E36">
      <w:pPr>
        <w:pStyle w:val="Text"/>
      </w:pPr>
      <w:r>
        <w:t xml:space="preserve">Da wir </w:t>
      </w:r>
      <w:r w:rsidR="005612FA">
        <w:t>(2) und (3) als Unterkategorien von Verhaltensergebnisschemata d</w:t>
      </w:r>
      <w:r w:rsidR="005612FA">
        <w:t>e</w:t>
      </w:r>
      <w:r w:rsidR="005612FA">
        <w:t>finieren</w:t>
      </w:r>
      <w:r>
        <w:t>,</w:t>
      </w:r>
      <w:r w:rsidR="005612FA">
        <w:t xml:space="preserve"> </w:t>
      </w:r>
      <w:r>
        <w:t xml:space="preserve">gleichzeitig aber </w:t>
      </w:r>
      <w:r w:rsidR="005612FA">
        <w:t>aus (1) die Verhaltensergebnisschemata ausschließen</w:t>
      </w:r>
      <w:r w:rsidR="00C154EB">
        <w:t xml:space="preserve">, können wir (2) und (3) wie bereits erläutert </w:t>
      </w:r>
      <w:r>
        <w:t xml:space="preserve">nicht als Unterkategorien von (1) betrachten. Dies ist jedoch ein vergleichsweise geringer Nachteil verglichen </w:t>
      </w:r>
      <w:r w:rsidR="00C154EB">
        <w:t>d</w:t>
      </w:r>
      <w:r w:rsidR="00C154EB">
        <w:t>a</w:t>
      </w:r>
      <w:r w:rsidR="00C154EB">
        <w:t>mit</w:t>
      </w:r>
      <w:r>
        <w:t>, in (1) eine Unzahl an Schemata einzuschließen, die unklar definiert sind und im Alltag kaum eine Rolle spielen.</w:t>
      </w:r>
    </w:p>
    <w:p w:rsidR="00EB1E36" w:rsidRDefault="00EB1E36" w:rsidP="00EB1E36">
      <w:pPr>
        <w:pStyle w:val="Titel3"/>
      </w:pPr>
      <w:bookmarkStart w:id="478" w:name="_Ref260076032"/>
      <w:bookmarkStart w:id="479" w:name="_Toc325456823"/>
      <w:bookmarkStart w:id="480" w:name="Soziolekt"/>
      <w:bookmarkEnd w:id="477"/>
      <w:r>
        <w:t>Soziolekte, Fachsprac</w:t>
      </w:r>
      <w:r w:rsidR="00B87139">
        <w:t xml:space="preserve">hen, </w:t>
      </w:r>
      <w:r w:rsidR="009D3D32">
        <w:t>Sprachebenen</w:t>
      </w:r>
      <w:r w:rsidR="002F4417">
        <w:t>,</w:t>
      </w:r>
      <w:r w:rsidR="002F4417" w:rsidRPr="002F4417">
        <w:t xml:space="preserve"> </w:t>
      </w:r>
      <w:r w:rsidR="002F4417">
        <w:t>Sprachstufen</w:t>
      </w:r>
      <w:r w:rsidR="009D3D32">
        <w:t xml:space="preserve"> </w:t>
      </w:r>
      <w:r w:rsidR="00B87139">
        <w:t>und</w:t>
      </w:r>
      <w:r>
        <w:t xml:space="preserve"> Epochenstile</w:t>
      </w:r>
      <w:bookmarkEnd w:id="478"/>
      <w:bookmarkEnd w:id="479"/>
    </w:p>
    <w:p w:rsidR="00EB1E36" w:rsidRDefault="005D7996" w:rsidP="007B2845">
      <w:pPr>
        <w:pStyle w:val="Text"/>
        <w:ind w:firstLine="0"/>
      </w:pPr>
      <w:r>
        <w:fldChar w:fldCharType="begin"/>
      </w:r>
      <w:r w:rsidR="002F4417">
        <w:instrText xml:space="preserve"> XE "Soziolekt" \r "Soziolekt"</w:instrText>
      </w:r>
      <w:r w:rsidR="009E3151">
        <w:instrText xml:space="preserve"> </w:instrText>
      </w:r>
      <w:r>
        <w:fldChar w:fldCharType="end"/>
      </w:r>
      <w:r>
        <w:fldChar w:fldCharType="begin"/>
      </w:r>
      <w:r w:rsidR="002F4417">
        <w:instrText xml:space="preserve"> XE "Fachsprache" \r "Soziolekt"</w:instrText>
      </w:r>
      <w:r w:rsidR="009E3151">
        <w:instrText xml:space="preserve"> </w:instrText>
      </w:r>
      <w:r>
        <w:fldChar w:fldCharType="end"/>
      </w:r>
      <w:r>
        <w:fldChar w:fldCharType="begin"/>
      </w:r>
      <w:r w:rsidR="002F4417">
        <w:instrText xml:space="preserve"> XE "Sprachebene" \r "Soziolekt"</w:instrText>
      </w:r>
      <w:r w:rsidR="009E3151">
        <w:instrText xml:space="preserve"> </w:instrText>
      </w:r>
      <w:r>
        <w:fldChar w:fldCharType="end"/>
      </w:r>
      <w:r>
        <w:fldChar w:fldCharType="begin"/>
      </w:r>
      <w:r w:rsidR="00740FB8">
        <w:instrText xml:space="preserve"> XE "Register" \r "Soziolekt"</w:instrText>
      </w:r>
      <w:r w:rsidR="009E3151">
        <w:instrText xml:space="preserve"> </w:instrText>
      </w:r>
      <w:r>
        <w:fldChar w:fldCharType="end"/>
      </w:r>
      <w:r>
        <w:fldChar w:fldCharType="begin"/>
      </w:r>
      <w:r w:rsidR="00740FB8">
        <w:instrText xml:space="preserve"> XE "Sprachstufe" \r "Soziolekt"</w:instrText>
      </w:r>
      <w:r w:rsidR="009E3151">
        <w:instrText xml:space="preserve"> </w:instrText>
      </w:r>
      <w:r>
        <w:fldChar w:fldCharType="end"/>
      </w:r>
      <w:r>
        <w:fldChar w:fldCharType="begin"/>
      </w:r>
      <w:r w:rsidR="002F4417">
        <w:instrText xml:space="preserve"> XE "Epochenstil" \r "Soziolekt"</w:instrText>
      </w:r>
      <w:r w:rsidR="009E3151">
        <w:instrText xml:space="preserve"> </w:instrText>
      </w:r>
      <w:r>
        <w:fldChar w:fldCharType="end"/>
      </w:r>
      <w:r w:rsidR="00EA5B6C">
        <w:t>In vielen Büchern über sprachlichen Stil werden</w:t>
      </w:r>
      <w:r w:rsidR="00EB1E36">
        <w:t xml:space="preserve"> Phänomene wie Soziolekte,</w:t>
      </w:r>
      <w:r w:rsidR="00904203">
        <w:rPr>
          <w:rStyle w:val="Funotenzeichen"/>
        </w:rPr>
        <w:footnoteReference w:id="609"/>
      </w:r>
      <w:r w:rsidR="00EB1E36">
        <w:t xml:space="preserve"> Fachsprachen,</w:t>
      </w:r>
      <w:r w:rsidR="00712EEC">
        <w:rPr>
          <w:rStyle w:val="Funotenzeichen"/>
        </w:rPr>
        <w:footnoteReference w:id="610"/>
      </w:r>
      <w:r w:rsidR="00EB1E36">
        <w:t xml:space="preserve"> Sprachebenen</w:t>
      </w:r>
      <w:r w:rsidR="00A67F26">
        <w:t xml:space="preserve"> (Register</w:t>
      </w:r>
      <w:r w:rsidR="006121F2">
        <w:t>)</w:t>
      </w:r>
      <w:r w:rsidR="00EB1E36">
        <w:t>,</w:t>
      </w:r>
      <w:r w:rsidR="00150418">
        <w:rPr>
          <w:rStyle w:val="Funotenzeichen"/>
        </w:rPr>
        <w:footnoteReference w:id="611"/>
      </w:r>
      <w:r w:rsidR="00EB1E36">
        <w:t xml:space="preserve"> Sprachstufen</w:t>
      </w:r>
      <w:r w:rsidR="00712EEC">
        <w:rPr>
          <w:rStyle w:val="Funotenzeichen"/>
        </w:rPr>
        <w:footnoteReference w:id="612"/>
      </w:r>
      <w:r w:rsidR="00EB1E36">
        <w:t xml:space="preserve"> und Epochenstile</w:t>
      </w:r>
      <w:r w:rsidR="00712EEC">
        <w:rPr>
          <w:rStyle w:val="Funotenzeichen"/>
        </w:rPr>
        <w:footnoteReference w:id="613"/>
      </w:r>
      <w:r w:rsidR="00EB1E36">
        <w:t xml:space="preserve"> abgehandelt. In Lexika und Wörterbüchern werden entsprechende Zuordnungen angegeben, wie „umgangssprachlich“ oder „hochsprachlich“ für Sprachebenen, „Kindersprache“, „Hofsprache“, „gebildet“, „</w:t>
      </w:r>
      <w:r w:rsidR="00F55309">
        <w:t>Gauner</w:t>
      </w:r>
      <w:r w:rsidR="00EB1E36">
        <w:t>sprache“ oder „Kartenspi</w:t>
      </w:r>
      <w:r w:rsidR="00EB1E36">
        <w:t>e</w:t>
      </w:r>
      <w:r w:rsidR="00EB1E36">
        <w:t>ler-Jargon“ für Soziolekte, „juristisch“ oder „medizinisch“ für Fachsprachen, „veraltet“ oder „Neubildung“ für Sprachstufen. Meist werden einige dieser Z</w:t>
      </w:r>
      <w:r w:rsidR="00EB1E36">
        <w:t>u</w:t>
      </w:r>
      <w:r w:rsidR="00EB1E36">
        <w:t>ordnungen als „stilistische Information“ gekennzeichnet. Vor allem außerhalb sprachlichen Stils finden sich Kennzeichnungen für Epochenstile wie „barock“ oder „impressionistisch“.</w:t>
      </w:r>
    </w:p>
    <w:p w:rsidR="00A03117" w:rsidRDefault="00EB1E36" w:rsidP="00A03117">
      <w:pPr>
        <w:pStyle w:val="Text"/>
      </w:pPr>
      <w:r>
        <w:lastRenderedPageBreak/>
        <w:t>Die vorliegende Theorie geht einen anderen Weg. Sie zählt solche Charakt</w:t>
      </w:r>
      <w:r>
        <w:t>e</w:t>
      </w:r>
      <w:r>
        <w:t xml:space="preserve">ristika heutiger </w:t>
      </w:r>
      <w:r w:rsidR="00BA6626">
        <w:t>Wörter</w:t>
      </w:r>
      <w:r>
        <w:t>, Sätze oder anderer Elemente zu den „intrinsischen E</w:t>
      </w:r>
      <w:r>
        <w:t>i</w:t>
      </w:r>
      <w:r>
        <w:t>genschaften“ dieser Elemente (im Gegensatz zu den „relationalen Eigenscha</w:t>
      </w:r>
      <w:r>
        <w:t>f</w:t>
      </w:r>
      <w:r>
        <w:t>ten“, die nur im Kontext des jeweiligen Paradigmas oder Syntagmas auftreten). Die Elemente besitzen die jeweilige Eigenschaft, weil sie sich mit dem entspr</w:t>
      </w:r>
      <w:r>
        <w:t>e</w:t>
      </w:r>
      <w:r>
        <w:t>chenden Phänomen in Verbindung</w:t>
      </w:r>
      <w:r w:rsidR="008E5E7B">
        <w:t xml:space="preserve"> bringen lassen.</w:t>
      </w:r>
      <w:r>
        <w:t xml:space="preserve"> Stilistische Regeln können nun auf diesen Eigenschaften operieren, indem sie Elemente nach ihnen auswä</w:t>
      </w:r>
      <w:r>
        <w:t>h</w:t>
      </w:r>
      <w:r>
        <w:t>len. Damit lässt die Theorie offen, welche der entsprechenden Phänomene u</w:t>
      </w:r>
      <w:r>
        <w:t>r</w:t>
      </w:r>
      <w:r>
        <w:t>sprünglich stilistisch sind (etwa Epochenstile</w:t>
      </w:r>
      <w:r w:rsidR="009D3D32">
        <w:t xml:space="preserve"> und Sprachebenen</w:t>
      </w:r>
      <w:r>
        <w:t>)</w:t>
      </w:r>
      <w:r w:rsidR="009D3D32">
        <w:t xml:space="preserve"> und </w:t>
      </w:r>
      <w:r>
        <w:t xml:space="preserve">welche sinnvoller auf andere Art beschrieben werden </w:t>
      </w:r>
      <w:r w:rsidR="009D3D32">
        <w:t>(Soziolekte, Dialekte</w:t>
      </w:r>
      <w:r w:rsidR="005D7996">
        <w:fldChar w:fldCharType="begin"/>
      </w:r>
      <w:r w:rsidR="006B6E9A">
        <w:instrText xml:space="preserve"> XE "</w:instrText>
      </w:r>
      <w:r w:rsidR="006B6E9A" w:rsidRPr="00206AD1">
        <w:instrText>Dialekt</w:instrText>
      </w:r>
      <w:r w:rsidR="006B6E9A">
        <w:instrText xml:space="preserve">" </w:instrText>
      </w:r>
      <w:r w:rsidR="005D7996">
        <w:fldChar w:fldCharType="end"/>
      </w:r>
      <w:r w:rsidR="009D3D32">
        <w:t>, Sprachst</w:t>
      </w:r>
      <w:r w:rsidR="009D3D32">
        <w:t>u</w:t>
      </w:r>
      <w:r w:rsidR="009D3D32">
        <w:t>fen, Fachsprachen)</w:t>
      </w:r>
      <w:r>
        <w:t>.</w:t>
      </w:r>
      <w:r w:rsidR="009D3D32">
        <w:rPr>
          <w:rStyle w:val="Funotenzeichen"/>
        </w:rPr>
        <w:footnoteReference w:id="614"/>
      </w:r>
    </w:p>
    <w:p w:rsidR="00D350BB" w:rsidRDefault="00D350BB" w:rsidP="00A03117">
      <w:pPr>
        <w:pStyle w:val="Text"/>
      </w:pPr>
      <w:r>
        <w:t>Allerdings soll damit nicht geleugnet werden, dass Stile bei solchen Phän</w:t>
      </w:r>
      <w:r>
        <w:t>o</w:t>
      </w:r>
      <w:r>
        <w:t xml:space="preserve">menen eine Rolle spielen. </w:t>
      </w:r>
      <w:r w:rsidR="00816CC1">
        <w:t>So haben Fachsprachen (beispielsweise die Wisse</w:t>
      </w:r>
      <w:r w:rsidR="00816CC1">
        <w:t>n</w:t>
      </w:r>
      <w:r w:rsidR="00816CC1">
        <w:t>schaftssprache) und Soziolekte (beispielsweise subkulturelle</w:t>
      </w:r>
      <w:r w:rsidR="005D7996">
        <w:fldChar w:fldCharType="begin"/>
      </w:r>
      <w:r w:rsidR="0096326C">
        <w:instrText xml:space="preserve"> XE "</w:instrText>
      </w:r>
      <w:r w:rsidR="0096326C" w:rsidRPr="00B519BF">
        <w:instrText>Subkultur</w:instrText>
      </w:r>
      <w:r w:rsidR="0096326C">
        <w:instrText xml:space="preserve">" </w:instrText>
      </w:r>
      <w:r w:rsidR="005D7996">
        <w:fldChar w:fldCharType="end"/>
      </w:r>
      <w:r w:rsidR="00816CC1">
        <w:t xml:space="preserve"> Sprachvarianten)</w:t>
      </w:r>
      <w:r>
        <w:t xml:space="preserve"> mehr oder minder starke stilistische Anteile. Diese können ausgehend vo</w:t>
      </w:r>
      <w:r w:rsidR="00B418E9">
        <w:t>n dem hier vorgestellten Modell</w:t>
      </w:r>
      <w:r>
        <w:t xml:space="preserve"> als </w:t>
      </w:r>
      <w:r w:rsidRPr="00D350BB">
        <w:rPr>
          <w:i/>
        </w:rPr>
        <w:t>Gruppenstile</w:t>
      </w:r>
      <w:r>
        <w:t xml:space="preserve"> beschrieben werden, wofür in A</w:t>
      </w:r>
      <w:r>
        <w:t>b</w:t>
      </w:r>
      <w:r>
        <w:t xml:space="preserve">schnitt </w:t>
      </w:r>
      <w:r w:rsidR="005D7996">
        <w:fldChar w:fldCharType="begin"/>
      </w:r>
      <w:r>
        <w:instrText xml:space="preserve"> REF _Ref268163246 \r \h </w:instrText>
      </w:r>
      <w:r w:rsidR="005D7996">
        <w:fldChar w:fldCharType="separate"/>
      </w:r>
      <w:r w:rsidR="001231D3">
        <w:t>8.3.1</w:t>
      </w:r>
      <w:r w:rsidR="005D7996">
        <w:fldChar w:fldCharType="end"/>
      </w:r>
      <w:r>
        <w:t xml:space="preserve"> verschiedene Möglichkeiten </w:t>
      </w:r>
      <w:r w:rsidR="002B5DF4">
        <w:t>vorgeschlagen wurden.</w:t>
      </w:r>
      <w:r w:rsidR="00E417C2">
        <w:t xml:space="preserve"> Diese Gru</w:t>
      </w:r>
      <w:r w:rsidR="00E417C2">
        <w:t>p</w:t>
      </w:r>
      <w:r w:rsidR="00E417C2">
        <w:t xml:space="preserve">penstile werden als konventionell mit einem der genannten Phänomene (also etwa einem Soziolekt) verbunden betrachtet. Diese Beschreibungsweise macht es möglich, die stilistischen Bestandteile, die bei </w:t>
      </w:r>
      <w:r w:rsidR="00B418E9">
        <w:t>diesen</w:t>
      </w:r>
      <w:r w:rsidR="00E417C2">
        <w:t xml:space="preserve"> Phänomene</w:t>
      </w:r>
      <w:r w:rsidR="00B418E9">
        <w:t>n</w:t>
      </w:r>
      <w:r w:rsidR="00E417C2">
        <w:t xml:space="preserve"> vorliegen, mit dem hier vorgestellten Modell zu beschreiben.</w:t>
      </w:r>
    </w:p>
    <w:p w:rsidR="00762EB9" w:rsidRDefault="002B5DF4" w:rsidP="00EB1E36">
      <w:pPr>
        <w:pStyle w:val="Text"/>
      </w:pPr>
      <w:r>
        <w:t>Zur Abgrenzung ist insbesondere wichtig</w:t>
      </w:r>
      <w:r w:rsidR="00BB0F26">
        <w:t xml:space="preserve">, dass Phänomene der </w:t>
      </w:r>
      <w:r w:rsidR="00BB0F26" w:rsidRPr="00BB0F26">
        <w:rPr>
          <w:i/>
        </w:rPr>
        <w:t>Systemvar</w:t>
      </w:r>
      <w:r w:rsidR="00BB0F26" w:rsidRPr="00BB0F26">
        <w:rPr>
          <w:i/>
        </w:rPr>
        <w:t>i</w:t>
      </w:r>
      <w:r w:rsidR="00BB0F26" w:rsidRPr="00BB0F26">
        <w:rPr>
          <w:i/>
        </w:rPr>
        <w:t>abilität</w:t>
      </w:r>
      <w:r w:rsidR="00BB0F26">
        <w:t xml:space="preserve"> nicht unter Stil fallen. Bei Zeichensystemen gilt, dass Variationen im Zeichenrepertoire (bei einer Sprache also im Wortschatz) oder in den Verwe</w:t>
      </w:r>
      <w:r w:rsidR="00BB0F26">
        <w:t>n</w:t>
      </w:r>
      <w:r w:rsidR="00BB0F26">
        <w:t>dungsregeln (bei einer Sprache also in der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rsidR="00BB0F26">
        <w:t>) nicht stilistisch sind. Es ha</w:t>
      </w:r>
      <w:r w:rsidR="00BB0F26">
        <w:t>n</w:t>
      </w:r>
      <w:r w:rsidR="00BB0F26">
        <w:t>delt sich dann um Varianten des Zeichensystems oder, falls die Abweichung en</w:t>
      </w:r>
      <w:r w:rsidR="00BB0F26">
        <w:t>t</w:t>
      </w:r>
      <w:r w:rsidR="00BB0F26">
        <w:t>sprechend groß ist, um ein anderes Zeichensystem. Oft sind solche Systemvar</w:t>
      </w:r>
      <w:r w:rsidR="00BB0F26">
        <w:t>i</w:t>
      </w:r>
      <w:r w:rsidR="00BB0F26">
        <w:t>anten früher für bloße V</w:t>
      </w:r>
      <w:r w:rsidR="00762EB9">
        <w:t>e</w:t>
      </w:r>
      <w:r w:rsidR="00BB0F26">
        <w:t xml:space="preserve">rwendungsvarianten gehalten worden, </w:t>
      </w:r>
      <w:r w:rsidR="00AE5019">
        <w:t>etwa im Fall schichtspezifischer Sprachvarianten, die inzwischen als Soziolekte erkannt wu</w:t>
      </w:r>
      <w:r w:rsidR="00AE5019">
        <w:t>r</w:t>
      </w:r>
      <w:r w:rsidR="00AE5019">
        <w:t>den. In solchen Fällen ist es begründet, früher unter Stil gezählte Phänomene jetzt als „</w:t>
      </w:r>
      <w:r w:rsidR="00F005F4">
        <w:noBreakHyphen/>
      </w:r>
      <w:r w:rsidR="00AE5019">
        <w:t xml:space="preserve">lekte“, das heißt als </w:t>
      </w:r>
      <w:r w:rsidR="00762EB9">
        <w:t>Systemvarianten, zu beschreiben, wie Georg M</w:t>
      </w:r>
      <w:r w:rsidR="00762EB9">
        <w:t>i</w:t>
      </w:r>
      <w:r w:rsidR="00762EB9">
        <w:t>chel feststellt:</w:t>
      </w:r>
      <w:r w:rsidR="00762EB9">
        <w:rPr>
          <w:rStyle w:val="Funotenzeichen"/>
        </w:rPr>
        <w:footnoteReference w:id="615"/>
      </w:r>
    </w:p>
    <w:p w:rsidR="00BB0F26" w:rsidRDefault="00762EB9" w:rsidP="00762EB9">
      <w:pPr>
        <w:pStyle w:val="Zitat"/>
      </w:pPr>
      <w:r>
        <w:t>Auch eine Zusammenschau der Entwicklungen in der Soziolinguistik […] lässt die Neigung erkennen, nicht von „-stilen“, son</w:t>
      </w:r>
      <w:r w:rsidR="0037138C">
        <w:t>d</w:t>
      </w:r>
      <w:r>
        <w:t>ern von „-lekten“ zu sprechen: Mediolekte, Funktiolekte, Dialekte, Soziolekte usw., was sicherlich nicht ei</w:t>
      </w:r>
      <w:r>
        <w:t>n</w:t>
      </w:r>
      <w:r>
        <w:t>fach als modische Manie abgetan werden kann, son</w:t>
      </w:r>
      <w:r w:rsidR="0037138C">
        <w:t>d</w:t>
      </w:r>
      <w:r>
        <w:t>ern möglicherweise ein R</w:t>
      </w:r>
      <w:r>
        <w:t>e</w:t>
      </w:r>
      <w:r>
        <w:t>flex einer theoriebewußteren Unterscheidung der Arten und Ebenen sprachl</w:t>
      </w:r>
      <w:r>
        <w:t>i</w:t>
      </w:r>
      <w:r>
        <w:t>cher – nicht durchweg „stilistischer“ – Variabilität ist.</w:t>
      </w:r>
    </w:p>
    <w:p w:rsidR="00F02967" w:rsidRDefault="00F02967" w:rsidP="00A03117">
      <w:pPr>
        <w:pStyle w:val="Text"/>
        <w:ind w:firstLine="0"/>
      </w:pPr>
      <w:r>
        <w:lastRenderedPageBreak/>
        <w:t xml:space="preserve">Geringfügige Variation </w:t>
      </w:r>
      <w:r w:rsidR="00FF2665">
        <w:t>der verwendeten Zeichensysteme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t xml:space="preserve"> kann jedoch, ebenso wie solche der verwendeten Schemata,</w:t>
      </w:r>
      <w:r>
        <w:rPr>
          <w:rStyle w:val="Funotenzeichen"/>
        </w:rPr>
        <w:footnoteReference w:id="616"/>
      </w:r>
      <w:r>
        <w:t xml:space="preserve"> durchaus noch als Stil analysiert we</w:t>
      </w:r>
      <w:r>
        <w:t>r</w:t>
      </w:r>
      <w:r>
        <w:t>den. In diesem Fall wird ein beide Varianten übergreifendes Schema und/oder Zeichensystem angenommen, das beide Varianten umfasst. Nun kann die jeweils geltende Variante durch eine Merkmalsregel angegeben werden. –</w:t>
      </w:r>
    </w:p>
    <w:p w:rsidR="00EB1E36" w:rsidRDefault="00F02967" w:rsidP="00EB1E36">
      <w:pPr>
        <w:pStyle w:val="Text"/>
      </w:pPr>
      <w:r>
        <w:t xml:space="preserve">Wichtig ist, dass </w:t>
      </w:r>
      <w:r w:rsidR="00EB1E36">
        <w:t xml:space="preserve">die Annahme von </w:t>
      </w:r>
      <w:r w:rsidR="00765E66">
        <w:t>Merkmalsregel</w:t>
      </w:r>
      <w:r w:rsidR="00EB1E36">
        <w:t xml:space="preserve">n </w:t>
      </w:r>
      <w:r>
        <w:t xml:space="preserve">als Grundlage von </w:t>
      </w:r>
      <w:r w:rsidR="00EB1E36">
        <w:t>Stil</w:t>
      </w:r>
      <w:r>
        <w:t xml:space="preserve"> es ermöglicht</w:t>
      </w:r>
      <w:r w:rsidR="00EB1E36">
        <w:t xml:space="preserve">, zwischen dem eigentlichen Phänomen und seiner stilistischen Verwendung zu unterscheiden. Eine </w:t>
      </w:r>
      <w:r w:rsidR="00765E66">
        <w:t>Merkmalsregel</w:t>
      </w:r>
      <w:r>
        <w:t xml:space="preserve"> etwa, die </w:t>
      </w:r>
      <w:r w:rsidR="005A201F">
        <w:t xml:space="preserve">sogenannte </w:t>
      </w:r>
      <w:r w:rsidR="00F55309">
        <w:t>ga</w:t>
      </w:r>
      <w:r w:rsidR="00F55309">
        <w:t>u</w:t>
      </w:r>
      <w:r w:rsidR="00F55309">
        <w:t>ner</w:t>
      </w:r>
      <w:r>
        <w:t>sprachliche</w:t>
      </w:r>
      <w:r w:rsidR="00EB1E36">
        <w:t xml:space="preserve"> Elemente wählt, kann nur dort angenommen werden, wo die Z</w:t>
      </w:r>
      <w:r w:rsidR="00EB1E36">
        <w:t>u</w:t>
      </w:r>
      <w:r w:rsidR="00EB1E36">
        <w:t xml:space="preserve">ordnung </w:t>
      </w:r>
      <w:r w:rsidR="00E03EA5">
        <w:t xml:space="preserve">der Elemente zum Soziolekt „Gaunersprache“ </w:t>
      </w:r>
      <w:r w:rsidR="00E114FA">
        <w:t>möglich ist</w:t>
      </w:r>
      <w:r w:rsidR="00EB1E36">
        <w:t xml:space="preserve">. </w:t>
      </w:r>
      <w:r w:rsidR="00765E66">
        <w:t>Merkmal</w:t>
      </w:r>
      <w:r w:rsidR="00765E66">
        <w:t>s</w:t>
      </w:r>
      <w:r w:rsidR="00765E66">
        <w:t>regel</w:t>
      </w:r>
      <w:r w:rsidR="00EB1E36">
        <w:t xml:space="preserve">n entstehen erst dann, wenn die </w:t>
      </w:r>
      <w:r w:rsidR="00721558">
        <w:t>Alter</w:t>
      </w:r>
      <w:r w:rsidR="00721558">
        <w:softHyphen/>
        <w:t>nativen</w:t>
      </w:r>
      <w:r w:rsidR="00721558">
        <w:softHyphen/>
        <w:t>klasse</w:t>
      </w:r>
      <w:r w:rsidR="00E114FA">
        <w:t>n</w:t>
      </w:r>
      <w:r>
        <w:t xml:space="preserve"> Elemente mit der E</w:t>
      </w:r>
      <w:r>
        <w:t>i</w:t>
      </w:r>
      <w:r>
        <w:t>genschaft ‚gehört zu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t>/Soziolekt]‘</w:t>
      </w:r>
      <w:r w:rsidR="00EB1E36">
        <w:t xml:space="preserve"> enthalten. So kann man Dialekte oder Soziolekte als Stile analysieren, wenn man sie als Ausdrucksvarianten innerhalb einer Sprache betrachtet. Wenn man sie dagegen als eigenständige Sprachen </w:t>
      </w:r>
      <w:r w:rsidR="00A80B14">
        <w:t>ve</w:t>
      </w:r>
      <w:r w:rsidR="00A80B14">
        <w:t>r</w:t>
      </w:r>
      <w:r w:rsidR="00A80B14">
        <w:t>wendet</w:t>
      </w:r>
      <w:r w:rsidR="00EB1E36">
        <w:t xml:space="preserve">, dann entstehen keine </w:t>
      </w:r>
      <w:r w:rsidR="00765E66">
        <w:t>Merkmalsregel</w:t>
      </w:r>
      <w:r w:rsidR="00EB1E36">
        <w:t>n, die auf die Dialekt</w:t>
      </w:r>
      <w:r w:rsidR="00113A1A">
        <w:t>- oder Soziolekt</w:t>
      </w:r>
      <w:r w:rsidR="00EB1E36">
        <w:t xml:space="preserve">zugehörigkeit (als intrinsische Eigenschaft der ausgewählten Elemente) zurückgreifen, denn diese </w:t>
      </w:r>
      <w:r w:rsidR="00113A1A">
        <w:t>Z</w:t>
      </w:r>
      <w:r w:rsidR="00EB1E36">
        <w:t>ugehörigkeit wird erst aus dialektexterner Perspekt</w:t>
      </w:r>
      <w:r w:rsidR="00EB1E36">
        <w:t>i</w:t>
      </w:r>
      <w:r w:rsidR="00EB1E36">
        <w:t>ve zu einer wahrnehmbaren Eigenschaft. Aus einer internen Perspektive verwe</w:t>
      </w:r>
      <w:r w:rsidR="00EB1E36">
        <w:t>n</w:t>
      </w:r>
      <w:r w:rsidR="00EB1E36">
        <w:t xml:space="preserve">det </w:t>
      </w:r>
      <w:r w:rsidR="00A80B14">
        <w:t xml:space="preserve">man einfach ein bestimmtes Zeichensystem, nämlich den jeweiligen </w:t>
      </w:r>
      <w:r w:rsidR="00EB1E36">
        <w:t>Dialekt oder Soziolekt.</w:t>
      </w:r>
    </w:p>
    <w:p w:rsidR="00EB1E36" w:rsidRDefault="00EB1E36" w:rsidP="00EB1E36">
      <w:pPr>
        <w:pStyle w:val="Text"/>
      </w:pPr>
      <w:r>
        <w:t>Dialekte und Soziolekte sind folglich keine Stile, können aber sehr gut ve</w:t>
      </w:r>
      <w:r>
        <w:t>r</w:t>
      </w:r>
      <w:r>
        <w:t xml:space="preserve">wendet werden, um stilistische Effekte zu erzielen. Voraussetzung dafür ist aber das Entstehen einer </w:t>
      </w:r>
      <w:r w:rsidR="00765E66">
        <w:t>Merkmalsregel</w:t>
      </w:r>
      <w:r>
        <w:t>, die das Element nach dem Kriterium seiner Dialektzugehörigkeit auswählt. Diese Beschreibung ermöglicht genaue Anal</w:t>
      </w:r>
      <w:r>
        <w:t>y</w:t>
      </w:r>
      <w:r>
        <w:t>sen, ohne Absichtlichkeit als Kriterium festzulegen.</w:t>
      </w:r>
      <w:r>
        <w:rPr>
          <w:rStyle w:val="Funotenzeichen"/>
        </w:rPr>
        <w:footnoteReference w:id="617"/>
      </w:r>
      <w:r>
        <w:t xml:space="preserve"> So kann </w:t>
      </w:r>
      <w:r w:rsidR="005067EC">
        <w:t xml:space="preserve">ein angewandter Stil </w:t>
      </w:r>
      <w:r>
        <w:t xml:space="preserve">entsprechende </w:t>
      </w:r>
      <w:r w:rsidR="00765E66">
        <w:t>Merkmalsregel</w:t>
      </w:r>
      <w:r>
        <w:t xml:space="preserve">n enthalten, </w:t>
      </w:r>
      <w:r w:rsidR="005067EC">
        <w:t>während bei</w:t>
      </w:r>
      <w:r w:rsidR="00854A12">
        <w:t xml:space="preserve"> </w:t>
      </w:r>
      <w:r w:rsidR="005067EC">
        <w:t>der Wahrnehmung</w:t>
      </w:r>
      <w:r w:rsidR="00854A12">
        <w:t xml:space="preserve"> der Realisierung</w:t>
      </w:r>
      <w:r w:rsidR="005067EC">
        <w:t xml:space="preserve"> eine </w:t>
      </w:r>
      <w:r>
        <w:t xml:space="preserve">einfache Verwendung </w:t>
      </w:r>
      <w:r w:rsidR="002A40A6">
        <w:t xml:space="preserve">des Dialekts oder Soziolekts </w:t>
      </w:r>
      <w:r w:rsidR="005067EC">
        <w:t>ang</w:t>
      </w:r>
      <w:r w:rsidR="005067EC">
        <w:t>e</w:t>
      </w:r>
      <w:r w:rsidR="005067EC">
        <w:t>nommen wird</w:t>
      </w:r>
      <w:r>
        <w:t>.</w:t>
      </w:r>
      <w:r w:rsidR="00082833">
        <w:t xml:space="preserve"> </w:t>
      </w:r>
      <w:r>
        <w:t xml:space="preserve">Umgekehrt kann der </w:t>
      </w:r>
      <w:r w:rsidR="00CC7A3C">
        <w:t xml:space="preserve">Stilwahrnehmer </w:t>
      </w:r>
      <w:r>
        <w:t xml:space="preserve">entsprechende </w:t>
      </w:r>
      <w:r w:rsidR="00765E66">
        <w:t>Merkmal</w:t>
      </w:r>
      <w:r w:rsidR="00765E66">
        <w:t>s</w:t>
      </w:r>
      <w:r w:rsidR="00765E66">
        <w:t>regel</w:t>
      </w:r>
      <w:r>
        <w:t xml:space="preserve">n konstruieren, </w:t>
      </w:r>
      <w:r w:rsidR="00CC7A3C">
        <w:t xml:space="preserve">auch wenn </w:t>
      </w:r>
      <w:r>
        <w:t xml:space="preserve">auf </w:t>
      </w:r>
      <w:r w:rsidR="00CC7A3C">
        <w:t xml:space="preserve">Anwenderseite </w:t>
      </w:r>
      <w:r>
        <w:t>keine vorhanden waren</w:t>
      </w:r>
      <w:r w:rsidR="0045199E">
        <w:t>.</w:t>
      </w:r>
      <w:r w:rsidR="0045199E">
        <w:rPr>
          <w:rStyle w:val="Funotenzeichen"/>
        </w:rPr>
        <w:footnoteReference w:id="618"/>
      </w:r>
      <w:r w:rsidR="0045199E">
        <w:t xml:space="preserve"> </w:t>
      </w:r>
      <w:r w:rsidR="0045199E">
        <w:lastRenderedPageBreak/>
        <w:t xml:space="preserve">Dieser Effekt kann durch Erwartungen verstärkt werden, etwa wenn jemand, </w:t>
      </w:r>
      <w:r>
        <w:t>der beim Einschalten des Fernsehers eine Komikersendung erwartet und durch Z</w:t>
      </w:r>
      <w:r>
        <w:t>u</w:t>
      </w:r>
      <w:r>
        <w:t>fall einen Dialekt</w:t>
      </w:r>
      <w:r w:rsidR="005D7996">
        <w:fldChar w:fldCharType="begin"/>
      </w:r>
      <w:r w:rsidR="006B6E9A">
        <w:instrText xml:space="preserve"> XE "</w:instrText>
      </w:r>
      <w:r w:rsidR="006B6E9A" w:rsidRPr="009557E9">
        <w:instrText>Dialekt</w:instrText>
      </w:r>
      <w:r w:rsidR="006B6E9A">
        <w:instrText xml:space="preserve">" </w:instrText>
      </w:r>
      <w:r w:rsidR="005D7996">
        <w:fldChar w:fldCharType="end"/>
      </w:r>
      <w:r>
        <w:t xml:space="preserve"> sprechen hört, dies </w:t>
      </w:r>
      <w:r w:rsidR="002A40A6">
        <w:t xml:space="preserve">für einen Moment </w:t>
      </w:r>
      <w:r>
        <w:t>als stilistischen Effekt</w:t>
      </w:r>
      <w:r w:rsidR="0045199E">
        <w:t>, als ein bewusst abweichendes Sprechen der Standardsprache,</w:t>
      </w:r>
      <w:r>
        <w:t xml:space="preserve"> </w:t>
      </w:r>
      <w:r w:rsidR="0045199E">
        <w:t>wahrnimmt.</w:t>
      </w:r>
    </w:p>
    <w:p w:rsidR="00EB1E36" w:rsidRDefault="00EB1E36" w:rsidP="00EB1E36">
      <w:pPr>
        <w:pStyle w:val="Text"/>
      </w:pPr>
      <w:r>
        <w:t xml:space="preserve">Und auch dort, wo die genannten Zuordnungen eindeutig auf frühere Stile verweisen, bietet die Annahme von auf Eigenschaften operierenden </w:t>
      </w:r>
      <w:r w:rsidR="00765E66">
        <w:t>Merkmalsr</w:t>
      </w:r>
      <w:r w:rsidR="00765E66">
        <w:t>e</w:t>
      </w:r>
      <w:r w:rsidR="00765E66">
        <w:t>gel</w:t>
      </w:r>
      <w:r>
        <w:t xml:space="preserve">n einen Vorteil: Sie macht nämlich die Unterschiede zwischen dem früheren Stil und dem heutigen deutlich. So kann die heutige Stilbezeichnung „Early American“ in einem Möbelkatalog verstanden werden als Bezugnahme auf einen konventionalisierten Stil, dessen ursprüngliche </w:t>
      </w:r>
      <w:r w:rsidR="00765E66">
        <w:t>Merkmalsregel</w:t>
      </w:r>
      <w:r>
        <w:t xml:space="preserve">n den </w:t>
      </w:r>
      <w:r w:rsidR="002A40A6">
        <w:t>An</w:t>
      </w:r>
      <w:r>
        <w:t>wendern unter Umständen gar nicht bekannt sind. Der Sti</w:t>
      </w:r>
      <w:r w:rsidR="005A201F">
        <w:t>l operiert auf der verlangten Eigenschaft ‚</w:t>
      </w:r>
      <w:r>
        <w:t>gehört zu Early American</w:t>
      </w:r>
      <w:r w:rsidR="005A201F">
        <w:t>‘</w:t>
      </w:r>
      <w:r>
        <w:t xml:space="preserve">, die bestimmten Elementen </w:t>
      </w:r>
      <w:r w:rsidR="005A201F">
        <w:t>zukommt</w:t>
      </w:r>
      <w:r>
        <w:t xml:space="preserve">. So konnte der ursprüngliche Stil aber natürlich nicht vorgehen; er </w:t>
      </w:r>
      <w:r w:rsidR="001812CF">
        <w:t xml:space="preserve">umfasste </w:t>
      </w:r>
      <w:r>
        <w:t xml:space="preserve">ganz andere </w:t>
      </w:r>
      <w:r w:rsidR="00765E66">
        <w:t>Merkmalsregel</w:t>
      </w:r>
      <w:r>
        <w:t xml:space="preserve">n. Auch die ursprünglichen </w:t>
      </w:r>
      <w:r w:rsidR="0087251F">
        <w:t xml:space="preserve">Interpretationsergebnisse </w:t>
      </w:r>
      <w:r>
        <w:t xml:space="preserve">können nicht mehr </w:t>
      </w:r>
      <w:r w:rsidR="0087251F">
        <w:t xml:space="preserve">erzeugt </w:t>
      </w:r>
      <w:r>
        <w:t xml:space="preserve">werden, denn diese </w:t>
      </w:r>
      <w:r w:rsidR="0087251F">
        <w:t xml:space="preserve">ergeben sich </w:t>
      </w:r>
      <w:r>
        <w:t xml:space="preserve">ja aus den </w:t>
      </w:r>
      <w:r w:rsidR="00765E66">
        <w:t>Mer</w:t>
      </w:r>
      <w:r w:rsidR="00765E66">
        <w:t>k</w:t>
      </w:r>
      <w:r w:rsidR="00765E66">
        <w:t>malsregel</w:t>
      </w:r>
      <w:r>
        <w:t xml:space="preserve">n. Es entstehen ganz andere </w:t>
      </w:r>
      <w:r w:rsidR="00E83E68">
        <w:t>Interpretationsergebnisse</w:t>
      </w:r>
      <w:r>
        <w:t>, etwa der Ei</w:t>
      </w:r>
      <w:r>
        <w:t>n</w:t>
      </w:r>
      <w:r>
        <w:t>druck des Historisierenden, der Traditionsbezogenheit</w:t>
      </w:r>
      <w:r w:rsidR="00C33DE4">
        <w:t xml:space="preserve"> sowie </w:t>
      </w:r>
      <w:r>
        <w:t>der Wertschätzung einer bestimmten Epoche und Region</w:t>
      </w:r>
      <w:r w:rsidR="008E5E7B">
        <w:t>.</w:t>
      </w:r>
    </w:p>
    <w:p w:rsidR="00357115" w:rsidRDefault="00EB1E36" w:rsidP="00357115">
      <w:pPr>
        <w:pStyle w:val="Text"/>
      </w:pPr>
      <w:r>
        <w:t xml:space="preserve">Der Stil besteht nur aus einer einfachen </w:t>
      </w:r>
      <w:r w:rsidR="00765E66">
        <w:t>Merkmalsregel</w:t>
      </w:r>
      <w:r>
        <w:t>, di</w:t>
      </w:r>
      <w:r w:rsidR="005A201F">
        <w:t>e Elemente mit der Eigenschaft ‚</w:t>
      </w:r>
      <w:r>
        <w:t>gehört zu Early American</w:t>
      </w:r>
      <w:r w:rsidR="005A201F">
        <w:t>‘</w:t>
      </w:r>
      <w:r>
        <w:t xml:space="preserve"> auswählt. Dabei bleibt offen, wie sie diese Eigenschaft erhalten haben: es kann sich auch um eine fehlerhafte Zuor</w:t>
      </w:r>
      <w:r>
        <w:t>d</w:t>
      </w:r>
      <w:r>
        <w:t>nung handeln oder um eine verzerrte Variante, ein Klischee. Selbst wenn die Zuordnung der Eigenschaft zu den Elementen korrekt und vollständig ist (ke</w:t>
      </w:r>
      <w:r>
        <w:t>i</w:t>
      </w:r>
      <w:r>
        <w:t>nem E</w:t>
      </w:r>
      <w:r w:rsidR="005A201F">
        <w:t>lement wird die Eigenschaft ‚</w:t>
      </w:r>
      <w:r>
        <w:t>gehört zu Early American</w:t>
      </w:r>
      <w:r w:rsidR="005A201F">
        <w:t>‘</w:t>
      </w:r>
      <w:r>
        <w:t xml:space="preserve"> zu Unrecht zug</w:t>
      </w:r>
      <w:r>
        <w:t>e</w:t>
      </w:r>
      <w:r>
        <w:t>ordnet und keinem Element, das aus diesem Stil stammt, ist sie nicht zugeor</w:t>
      </w:r>
      <w:r>
        <w:t>d</w:t>
      </w:r>
      <w:r>
        <w:t xml:space="preserve">net), kann man nicht einfach von einem konventionalisierten Stil sprechen, da die ursprünglichen </w:t>
      </w:r>
      <w:r w:rsidR="00765E66">
        <w:t>Merkmalsregel</w:t>
      </w:r>
      <w:r>
        <w:t>n verloren sind. Damit wird deutlich, was e</w:t>
      </w:r>
      <w:r>
        <w:t>i</w:t>
      </w:r>
      <w:r>
        <w:t xml:space="preserve">nen lebendigen Stil von einem Stilzitat unterscheidet: der Erhalt der </w:t>
      </w:r>
      <w:r w:rsidR="00765E66">
        <w:t>Merkmal</w:t>
      </w:r>
      <w:r w:rsidR="00765E66">
        <w:t>s</w:t>
      </w:r>
      <w:r w:rsidR="00765E66">
        <w:t>regel</w:t>
      </w:r>
      <w:r>
        <w:t>n.</w:t>
      </w:r>
    </w:p>
    <w:p w:rsidR="005635F0" w:rsidRDefault="00EB1E36" w:rsidP="00EB1E36">
      <w:pPr>
        <w:pStyle w:val="Text"/>
      </w:pPr>
      <w:r>
        <w:t>Das Modell erklärt aber auch, warum es schwer fällt, frühere Stile angeme</w:t>
      </w:r>
      <w:r>
        <w:t>s</w:t>
      </w:r>
      <w:r>
        <w:t>sen zu verstehen: Wenn ich etwa ein kubistisches Bild von Georges Braque</w:t>
      </w:r>
      <w:r w:rsidR="005D7996">
        <w:fldChar w:fldCharType="begin"/>
      </w:r>
      <w:r w:rsidR="00795F2C">
        <w:instrText xml:space="preserve"> XE "</w:instrText>
      </w:r>
      <w:r w:rsidR="00795F2C" w:rsidRPr="000B1DEE">
        <w:instrText>Braque, Georges</w:instrText>
      </w:r>
      <w:r w:rsidR="00795F2C">
        <w:instrText xml:space="preserve">" </w:instrText>
      </w:r>
      <w:r w:rsidR="005D7996">
        <w:fldChar w:fldCharType="end"/>
      </w:r>
      <w:r>
        <w:t xml:space="preserve"> mit einem Zeitungsfetzen sehe, dann kontrastiert die auch heute noch avantgardi</w:t>
      </w:r>
      <w:r>
        <w:t>s</w:t>
      </w:r>
      <w:r>
        <w:t>tisch wirkende Darstellungstechnik mit den fast schon nostalgischen Konnot</w:t>
      </w:r>
      <w:r>
        <w:t>a</w:t>
      </w:r>
      <w:r>
        <w:t>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t>, die</w:t>
      </w:r>
      <w:r w:rsidR="00C9172C">
        <w:t xml:space="preserve"> das Medium </w:t>
      </w:r>
      <w:r>
        <w:t>Zeitung heute hat. Damals war jedoch die Zeitung das modernste Massenmedium</w:t>
      </w:r>
      <w:r w:rsidR="005D7996">
        <w:fldChar w:fldCharType="begin"/>
      </w:r>
      <w:r w:rsidR="00795F2C">
        <w:instrText xml:space="preserve"> XE "</w:instrText>
      </w:r>
      <w:r w:rsidR="00795F2C" w:rsidRPr="00C97AF9">
        <w:instrText>Massenmedium</w:instrText>
      </w:r>
      <w:r w:rsidR="00795F2C">
        <w:instrText xml:space="preserve">" </w:instrText>
      </w:r>
      <w:r w:rsidR="005D7996">
        <w:fldChar w:fldCharType="end"/>
      </w:r>
      <w:r>
        <w:t xml:space="preserve"> und Braque konnte erleben, wie es für Kriegsprop</w:t>
      </w:r>
      <w:r>
        <w:t>a</w:t>
      </w:r>
      <w:r>
        <w:t>ganda genutzt wurde; es hatte also andere 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t xml:space="preserve"> als heute.</w:t>
      </w:r>
      <w:r w:rsidR="00006A5A">
        <w:rPr>
          <w:rStyle w:val="Funotenzeichen"/>
        </w:rPr>
        <w:footnoteReference w:id="619"/>
      </w:r>
      <w:r>
        <w:t xml:space="preserve"> </w:t>
      </w:r>
      <w:r w:rsidR="00E53B9C">
        <w:t>Die dam</w:t>
      </w:r>
      <w:r w:rsidR="00E53B9C">
        <w:t>a</w:t>
      </w:r>
      <w:r w:rsidR="00E53B9C">
        <w:t>ligen</w:t>
      </w:r>
      <w:r>
        <w:t xml:space="preserve"> </w:t>
      </w:r>
      <w:r w:rsidR="00765E66">
        <w:t>Merkmalsregel</w:t>
      </w:r>
      <w:r w:rsidR="00E53B9C">
        <w:t xml:space="preserve">n </w:t>
      </w:r>
      <w:r>
        <w:t>konnte</w:t>
      </w:r>
      <w:r w:rsidR="00202EE3">
        <w:t>n</w:t>
      </w:r>
      <w:r>
        <w:t xml:space="preserve"> </w:t>
      </w:r>
      <w:r w:rsidR="00202EE3">
        <w:t xml:space="preserve">sich auf die </w:t>
      </w:r>
      <w:r>
        <w:t>Konnotatio</w:t>
      </w:r>
      <w:r w:rsidR="00C9172C">
        <w:t>n ‚</w:t>
      </w:r>
      <w:r>
        <w:t>modernes Massenm</w:t>
      </w:r>
      <w:r>
        <w:t>e</w:t>
      </w:r>
      <w:r>
        <w:t>dium</w:t>
      </w:r>
      <w:r w:rsidR="00C9172C">
        <w:t>‘</w:t>
      </w:r>
      <w:r>
        <w:t xml:space="preserve"> </w:t>
      </w:r>
      <w:r w:rsidR="00202EE3">
        <w:t xml:space="preserve">beziehen </w:t>
      </w:r>
      <w:r>
        <w:t xml:space="preserve">und damit Bezüge zu </w:t>
      </w:r>
      <w:r w:rsidR="00D35456">
        <w:t xml:space="preserve">anderen Bildelementen </w:t>
      </w:r>
      <w:r>
        <w:t>herstellen.</w:t>
      </w:r>
    </w:p>
    <w:p w:rsidR="00EB1E36" w:rsidRDefault="00202EE3" w:rsidP="00EB1E36">
      <w:pPr>
        <w:pStyle w:val="Text"/>
      </w:pPr>
      <w:r>
        <w:lastRenderedPageBreak/>
        <w:t>Auch die beim</w:t>
      </w:r>
      <w:r w:rsidR="00DB75CD">
        <w:t xml:space="preserve"> Anwenden</w:t>
      </w:r>
      <w:r>
        <w:t xml:space="preserve"> </w:t>
      </w:r>
      <w:r w:rsidR="00527EF6">
        <w:t>berücksichtigte</w:t>
      </w:r>
      <w:r w:rsidR="00D35456">
        <w:t xml:space="preserve"> </w:t>
      </w:r>
      <w:r>
        <w:t>Interpretation</w:t>
      </w:r>
      <w:r w:rsidR="00527EF6">
        <w:rPr>
          <w:rStyle w:val="Funotenzeichen"/>
        </w:rPr>
        <w:footnoteReference w:id="620"/>
      </w:r>
      <w:r>
        <w:t xml:space="preserve"> kann solche Konnotationen</w:t>
      </w:r>
      <w:r w:rsidR="005D7996">
        <w:fldChar w:fldCharType="begin"/>
      </w:r>
      <w:r w:rsidR="00AD34BE">
        <w:instrText xml:space="preserve"> XE "</w:instrText>
      </w:r>
      <w:r w:rsidR="00AD34BE" w:rsidRPr="009A792E">
        <w:instrText>Konnotation</w:instrText>
      </w:r>
      <w:r w:rsidR="00AD34BE">
        <w:instrText xml:space="preserve">" </w:instrText>
      </w:r>
      <w:r w:rsidR="005D7996">
        <w:fldChar w:fldCharType="end"/>
      </w:r>
      <w:r>
        <w:t xml:space="preserve"> einbeziehen</w:t>
      </w:r>
      <w:r w:rsidR="00CD743E">
        <w:t xml:space="preserve">, etwa wenn </w:t>
      </w:r>
      <w:r w:rsidR="00D35456">
        <w:t>Braque b</w:t>
      </w:r>
      <w:r w:rsidR="00CD743E">
        <w:t xml:space="preserve">eabsichtigte, dass seine </w:t>
      </w:r>
      <w:r w:rsidR="00D35456">
        <w:t>Zeitg</w:t>
      </w:r>
      <w:r w:rsidR="00D35456">
        <w:t>e</w:t>
      </w:r>
      <w:r w:rsidR="00D35456">
        <w:t xml:space="preserve">nossen </w:t>
      </w:r>
      <w:r w:rsidR="00CD743E">
        <w:t xml:space="preserve">den Zusammenhang zwischen der Überlagerung der </w:t>
      </w:r>
      <w:r w:rsidR="00931F6E">
        <w:t>Blickwinkel</w:t>
      </w:r>
      <w:r w:rsidR="006C5DEC">
        <w:t xml:space="preserve"> und Perspektiven</w:t>
      </w:r>
      <w:r w:rsidR="005D7996">
        <w:fldChar w:fldCharType="begin"/>
      </w:r>
      <w:r w:rsidR="006C5DEC">
        <w:instrText xml:space="preserve"> XE "</w:instrText>
      </w:r>
      <w:r w:rsidR="006C5DEC" w:rsidRPr="00534ECC">
        <w:instrText>Perspektive (Bild)</w:instrText>
      </w:r>
      <w:r w:rsidR="006C5DEC">
        <w:instrText xml:space="preserve">" </w:instrText>
      </w:r>
      <w:r w:rsidR="005D7996">
        <w:fldChar w:fldCharType="end"/>
      </w:r>
      <w:r w:rsidR="00CD743E">
        <w:t xml:space="preserve">, die sich im Kubismus ausdrückt, und dem raschen Wechsel der Nachrichten der Zeitung, die damals oft mehrmals am Tag kam, verstanden und sich dazu weitere Gedanken machten. </w:t>
      </w:r>
      <w:r w:rsidR="005635F0">
        <w:t xml:space="preserve">Vor allem aber </w:t>
      </w:r>
      <w:r w:rsidR="00527EF6">
        <w:t xml:space="preserve">führen Unterschiede im </w:t>
      </w:r>
      <w:r w:rsidR="005635F0">
        <w:t xml:space="preserve">Hintergrundwissen </w:t>
      </w:r>
      <w:r w:rsidR="00527EF6">
        <w:t xml:space="preserve">und in den </w:t>
      </w:r>
      <w:r w:rsidR="005635F0">
        <w:t>Suchmethoden,</w:t>
      </w:r>
      <w:r w:rsidR="005635F0">
        <w:rPr>
          <w:rStyle w:val="Funotenzeichen"/>
        </w:rPr>
        <w:footnoteReference w:id="621"/>
      </w:r>
      <w:r w:rsidR="005635F0">
        <w:t xml:space="preserve"> die neben festen kognitiven Zugriffsmöglichkeiten des menschlichen Gehirns</w:t>
      </w:r>
      <w:r w:rsidR="005D7996">
        <w:fldChar w:fldCharType="begin"/>
      </w:r>
      <w:r w:rsidR="00F815B0">
        <w:instrText xml:space="preserve"> XE "</w:instrText>
      </w:r>
      <w:r w:rsidR="00F815B0" w:rsidRPr="00780F62">
        <w:instrText>Gehirn</w:instrText>
      </w:r>
      <w:r w:rsidR="00F815B0">
        <w:instrText xml:space="preserve">" </w:instrText>
      </w:r>
      <w:r w:rsidR="005D7996">
        <w:fldChar w:fldCharType="end"/>
      </w:r>
      <w:r w:rsidR="005635F0">
        <w:t xml:space="preserve"> auch kultur- und zeitspezifisch unterschiedliche Wahrnehmungs- und Denkgewohnheiten beinhalten, </w:t>
      </w:r>
      <w:r w:rsidR="00527EF6">
        <w:t>bei zeitl</w:t>
      </w:r>
      <w:r w:rsidR="00527EF6">
        <w:t>i</w:t>
      </w:r>
      <w:r w:rsidR="00527EF6">
        <w:t>chem, kulturellem oder milieubedingtem</w:t>
      </w:r>
      <w:r w:rsidR="005D7996">
        <w:fldChar w:fldCharType="begin"/>
      </w:r>
      <w:r w:rsidR="002A70CA">
        <w:instrText xml:space="preserve"> XE "</w:instrText>
      </w:r>
      <w:r w:rsidR="002A70CA" w:rsidRPr="00565746">
        <w:instrText>Milieu</w:instrText>
      </w:r>
      <w:r w:rsidR="002A70CA">
        <w:instrText xml:space="preserve">" </w:instrText>
      </w:r>
      <w:r w:rsidR="005D7996">
        <w:fldChar w:fldCharType="end"/>
      </w:r>
      <w:r w:rsidR="00527EF6">
        <w:t xml:space="preserve"> Abstand </w:t>
      </w:r>
      <w:r w:rsidR="005635F0">
        <w:t xml:space="preserve">zu erheblichen Unterschieden </w:t>
      </w:r>
      <w:r w:rsidR="00527EF6">
        <w:t xml:space="preserve">zwischen berücksichtigter und tatsächlicher Interpretation. </w:t>
      </w:r>
      <w:r w:rsidR="00EB1E36">
        <w:t xml:space="preserve">Ein angemessenes Verständnis des Stils ist </w:t>
      </w:r>
      <w:r w:rsidR="00CD743E">
        <w:t xml:space="preserve">somit </w:t>
      </w:r>
      <w:r w:rsidR="00EB1E36">
        <w:t>nur möglich, wenn man auch konnotative Eige</w:t>
      </w:r>
      <w:r w:rsidR="00EB1E36">
        <w:t>n</w:t>
      </w:r>
      <w:r w:rsidR="00EB1E36">
        <w:t>schaften von Elementen rekonstruiert</w:t>
      </w:r>
      <w:r w:rsidR="00CD743E">
        <w:t xml:space="preserve"> und für die Interpretation </w:t>
      </w:r>
      <w:r w:rsidR="00527EF6">
        <w:t>das Hinte</w:t>
      </w:r>
      <w:r w:rsidR="00527EF6">
        <w:t>r</w:t>
      </w:r>
      <w:r w:rsidR="00527EF6">
        <w:t xml:space="preserve">grundwissen und die </w:t>
      </w:r>
      <w:r w:rsidR="00CD743E">
        <w:t>Wahrnehmungs</w:t>
      </w:r>
      <w:r w:rsidR="00527EF6">
        <w:t>- und Denk</w:t>
      </w:r>
      <w:r w:rsidR="00CD743E">
        <w:t>muster der Zeit</w:t>
      </w:r>
      <w:r w:rsidR="00527EF6">
        <w:t>, der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527EF6">
        <w:t xml:space="preserve"> und des Milieus des </w:t>
      </w:r>
      <w:r w:rsidR="00C75387">
        <w:t>Stilanwender</w:t>
      </w:r>
      <w:r w:rsidR="00527EF6">
        <w:t xml:space="preserve">s </w:t>
      </w:r>
      <w:r w:rsidR="00CD743E">
        <w:t>berücksichtigt</w:t>
      </w:r>
      <w:r w:rsidR="00EB1E36">
        <w:t>.</w:t>
      </w:r>
    </w:p>
    <w:p w:rsidR="002D093A" w:rsidRDefault="004869CD" w:rsidP="002D093A">
      <w:pPr>
        <w:pStyle w:val="Titel3"/>
      </w:pPr>
      <w:bookmarkStart w:id="481" w:name="_Ref260667292"/>
      <w:bookmarkStart w:id="482" w:name="_Toc325456824"/>
      <w:bookmarkStart w:id="483" w:name="Kode"/>
      <w:bookmarkEnd w:id="480"/>
      <w:r>
        <w:t>K</w:t>
      </w:r>
      <w:r w:rsidR="002D093A">
        <w:t>odes, Techniken</w:t>
      </w:r>
      <w:r w:rsidR="004D5538">
        <w:t xml:space="preserve"> und Methoden</w:t>
      </w:r>
      <w:bookmarkEnd w:id="481"/>
      <w:bookmarkEnd w:id="482"/>
    </w:p>
    <w:p w:rsidR="002D093A" w:rsidRDefault="005D7996" w:rsidP="00A03117">
      <w:pPr>
        <w:pStyle w:val="Text"/>
        <w:ind w:firstLine="0"/>
      </w:pPr>
      <w:r>
        <w:fldChar w:fldCharType="begin"/>
      </w:r>
      <w:r w:rsidR="00746A41">
        <w:instrText xml:space="preserve"> XE "Kode" \r "Kode"</w:instrText>
      </w:r>
      <w:r w:rsidR="009E3151">
        <w:instrText xml:space="preserve"> </w:instrText>
      </w:r>
      <w:r>
        <w:fldChar w:fldCharType="end"/>
      </w:r>
      <w:r>
        <w:fldChar w:fldCharType="begin"/>
      </w:r>
      <w:r w:rsidR="00746A41">
        <w:instrText xml:space="preserve"> XE "</w:instrText>
      </w:r>
      <w:r w:rsidR="00663952">
        <w:instrText>Technik</w:instrText>
      </w:r>
      <w:r w:rsidR="00746A41">
        <w:instrText>" \r "Kode"</w:instrText>
      </w:r>
      <w:r w:rsidR="009E3151">
        <w:instrText xml:space="preserve"> </w:instrText>
      </w:r>
      <w:r>
        <w:fldChar w:fldCharType="end"/>
      </w:r>
      <w:r>
        <w:fldChar w:fldCharType="begin"/>
      </w:r>
      <w:r w:rsidR="00663952">
        <w:instrText xml:space="preserve"> XE "Methode" \r "Kode"</w:instrText>
      </w:r>
      <w:r w:rsidR="009E3151">
        <w:instrText xml:space="preserve"> </w:instrText>
      </w:r>
      <w:r>
        <w:fldChar w:fldCharType="end"/>
      </w:r>
      <w:r w:rsidR="002D093A">
        <w:t xml:space="preserve">Ähnlich wie bei den im letzten Abschnitt besprochenen Phänomenen könnte es auf den ersten Blick </w:t>
      </w:r>
      <w:r w:rsidR="004D5538">
        <w:t xml:space="preserve">auch bei Kodes (= Zeichensystemen), Techniken und </w:t>
      </w:r>
      <w:r w:rsidR="002D093A">
        <w:t>M</w:t>
      </w:r>
      <w:r w:rsidR="002D093A">
        <w:t>e</w:t>
      </w:r>
      <w:r w:rsidR="002D093A">
        <w:t xml:space="preserve">thoden </w:t>
      </w:r>
      <w:r w:rsidR="000210BF">
        <w:t>so erscheinen, als seien sie im hier vertretenen Stilbegriff enthalten</w:t>
      </w:r>
      <w:r w:rsidR="004869CD">
        <w:t>. I</w:t>
      </w:r>
      <w:r w:rsidR="004869CD">
        <w:t>m</w:t>
      </w:r>
      <w:r w:rsidR="004869CD">
        <w:t>mer wenn etwas auf verschiedene Arten getan werden kann, aber auf eine b</w:t>
      </w:r>
      <w:r w:rsidR="004869CD">
        <w:t>e</w:t>
      </w:r>
      <w:r w:rsidR="004869CD">
        <w:t>stimmte Art getan wird, hätten wir es dann mit einem Stil zu tun.</w:t>
      </w:r>
      <w:r w:rsidR="000210BF">
        <w:rPr>
          <w:rStyle w:val="Funotenzeichen"/>
        </w:rPr>
        <w:footnoteReference w:id="622"/>
      </w:r>
      <w:r w:rsidR="004869CD">
        <w:t xml:space="preserve"> Dies wäre natürlich </w:t>
      </w:r>
      <w:r w:rsidR="004D5538">
        <w:t xml:space="preserve">eine </w:t>
      </w:r>
      <w:r w:rsidR="004869CD">
        <w:t>viel zu allgemein</w:t>
      </w:r>
      <w:r w:rsidR="004D5538">
        <w:t>e Stildefinition</w:t>
      </w:r>
      <w:r>
        <w:fldChar w:fldCharType="begin"/>
      </w:r>
      <w:r w:rsidR="00C6415A">
        <w:instrText xml:space="preserve"> XE "</w:instrText>
      </w:r>
      <w:r w:rsidR="00C6415A" w:rsidRPr="00F10689">
        <w:instrText>Stildefinition</w:instrText>
      </w:r>
      <w:r w:rsidR="00C6415A">
        <w:instrText xml:space="preserve">" </w:instrText>
      </w:r>
      <w:r>
        <w:fldChar w:fldCharType="end"/>
      </w:r>
      <w:r w:rsidR="004869CD">
        <w:t xml:space="preserve">: Jede Einzelsprache wäre dann nur ein </w:t>
      </w:r>
      <w:r w:rsidR="004D5538">
        <w:t xml:space="preserve">bestimmter </w:t>
      </w:r>
      <w:r w:rsidR="004869CD">
        <w:t>Sprach- oder Kommunikationssti</w:t>
      </w:r>
      <w:r w:rsidR="004D5538">
        <w:t>l</w:t>
      </w:r>
      <w:r>
        <w:fldChar w:fldCharType="begin"/>
      </w:r>
      <w:r w:rsidR="00CA2D60">
        <w:instrText xml:space="preserve"> XE "</w:instrText>
      </w:r>
      <w:r w:rsidR="00CA2D60" w:rsidRPr="00A13DE2">
        <w:instrText>Kommunikationsstil</w:instrText>
      </w:r>
      <w:r w:rsidR="00CA2D60">
        <w:instrText xml:space="preserve">" </w:instrText>
      </w:r>
      <w:r>
        <w:fldChar w:fldCharType="end"/>
      </w:r>
      <w:r w:rsidR="004D5538">
        <w:t>,</w:t>
      </w:r>
      <w:r w:rsidR="004869CD">
        <w:t xml:space="preserve"> jede Technik nur ein Pro</w:t>
      </w:r>
      <w:r w:rsidR="004869CD">
        <w:t>b</w:t>
      </w:r>
      <w:r w:rsidR="004869CD">
        <w:t>lemlö</w:t>
      </w:r>
      <w:r w:rsidR="004D5538">
        <w:t>sungsstil, usw</w:t>
      </w:r>
      <w:r w:rsidR="004869CD">
        <w:t>.</w:t>
      </w:r>
    </w:p>
    <w:p w:rsidR="004869CD" w:rsidRDefault="004869CD" w:rsidP="002D093A">
      <w:pPr>
        <w:pStyle w:val="Text"/>
      </w:pPr>
      <w:r>
        <w:t>Andererseits kann die Verwendung eines bestimmten Kodes (etwa des Mo</w:t>
      </w:r>
      <w:r>
        <w:t>r</w:t>
      </w:r>
      <w:r>
        <w:t xml:space="preserve">sealphabets), einer bestimmten Technik (etwa der </w:t>
      </w:r>
      <w:r w:rsidR="00655F8B">
        <w:t>Schlagt</w:t>
      </w:r>
      <w:r>
        <w:t>echnik „Lop“ beim Tennis</w:t>
      </w:r>
      <w:r w:rsidR="005D7996">
        <w:fldChar w:fldCharType="begin"/>
      </w:r>
      <w:r w:rsidR="008B1E57">
        <w:instrText xml:space="preserve"> XE "</w:instrText>
      </w:r>
      <w:r w:rsidR="008B1E57" w:rsidRPr="00B67F84">
        <w:rPr>
          <w:rFonts w:eastAsia="Times New Roman" w:cs="Times New Roman"/>
        </w:rPr>
        <w:instrText>Tennis</w:instrText>
      </w:r>
      <w:r w:rsidR="008B1E57">
        <w:instrText xml:space="preserve">" </w:instrText>
      </w:r>
      <w:r w:rsidR="005D7996">
        <w:fldChar w:fldCharType="end"/>
      </w:r>
      <w:r>
        <w:t>) oder einer bestimmten Methode (etwa der Fahndungsmethode „Raste</w:t>
      </w:r>
      <w:r>
        <w:t>r</w:t>
      </w:r>
      <w:r>
        <w:t>fahndung</w:t>
      </w:r>
      <w:r w:rsidR="005D7996">
        <w:fldChar w:fldCharType="begin"/>
      </w:r>
      <w:r w:rsidR="00C078A7">
        <w:instrText xml:space="preserve"> XE "</w:instrText>
      </w:r>
      <w:r w:rsidR="00C078A7" w:rsidRPr="00F11A2F">
        <w:instrText>Rasterfahndung</w:instrText>
      </w:r>
      <w:r w:rsidR="00C078A7">
        <w:instrText xml:space="preserve">" </w:instrText>
      </w:r>
      <w:r w:rsidR="005D7996">
        <w:fldChar w:fldCharType="end"/>
      </w:r>
      <w:r>
        <w:t>“) tatsächlich eine Frage des Stils sein. Wann ist sie es, wann ist sie es nicht? Und warum sind Kodes, Techniken und Stile nicht überhaupt Stil?</w:t>
      </w:r>
    </w:p>
    <w:p w:rsidR="004D5538" w:rsidRDefault="004869CD" w:rsidP="004D5538">
      <w:pPr>
        <w:pStyle w:val="Text"/>
      </w:pPr>
      <w:r>
        <w:lastRenderedPageBreak/>
        <w:t>Die zweite Frage ist mit dem vorliegenden Modell einfach zu beantworten: Es zeigt, dass ein Stil aus einer Menge von Merkmalsregeln besteht. Diese Regeln nehmen auf Eigenschaften Bezug (sie können also etwa die Verwendung der ‚deutschen Sprache‘ verlangen), aber sie definieren sie nicht. Sie können also weder Definitionen von Signifikanten</w:t>
      </w:r>
      <w:r w:rsidR="005D7996">
        <w:fldChar w:fldCharType="begin"/>
      </w:r>
      <w:r w:rsidR="0025452C">
        <w:instrText xml:space="preserve"> XE "</w:instrText>
      </w:r>
      <w:r w:rsidR="0025452C" w:rsidRPr="00C509B3">
        <w:instrText>Signifikant</w:instrText>
      </w:r>
      <w:r w:rsidR="0025452C">
        <w:instrText xml:space="preserve">" </w:instrText>
      </w:r>
      <w:r w:rsidR="005D7996">
        <w:fldChar w:fldCharType="end"/>
      </w:r>
      <w:r>
        <w:t xml:space="preserve"> und Signifikaten</w:t>
      </w:r>
      <w:r w:rsidR="005D7996">
        <w:fldChar w:fldCharType="begin"/>
      </w:r>
      <w:r w:rsidR="0025452C">
        <w:instrText xml:space="preserve"> XE "</w:instrText>
      </w:r>
      <w:r w:rsidR="0025452C" w:rsidRPr="006106DF">
        <w:instrText>Signifikat</w:instrText>
      </w:r>
      <w:r w:rsidR="0025452C">
        <w:instrText xml:space="preserve">" </w:instrText>
      </w:r>
      <w:r w:rsidR="005D7996">
        <w:fldChar w:fldCharType="end"/>
      </w:r>
      <w:r>
        <w:t xml:space="preserve"> und deren Zuordnung leisten; noch die </w:t>
      </w:r>
      <w:r w:rsidR="004D5538">
        <w:t xml:space="preserve">Beschreibungen </w:t>
      </w:r>
      <w:r>
        <w:t>von Spiel-, Produktions- oder anderen Techn</w:t>
      </w:r>
      <w:r>
        <w:t>i</w:t>
      </w:r>
      <w:r>
        <w:t>ken</w:t>
      </w:r>
      <w:r w:rsidR="004D5538">
        <w:t xml:space="preserve"> festlegen</w:t>
      </w:r>
      <w:r>
        <w:t xml:space="preserve">; noch die </w:t>
      </w:r>
      <w:r w:rsidR="004D5538">
        <w:t>in Methoden enthaltenen Abläufe und Wissensrepe</w:t>
      </w:r>
      <w:r w:rsidR="004D5538">
        <w:t>r</w:t>
      </w:r>
      <w:r w:rsidR="004D5538">
        <w:t>toires definieren.</w:t>
      </w:r>
      <w:r w:rsidR="004D5538" w:rsidRPr="004D5538">
        <w:t xml:space="preserve"> </w:t>
      </w:r>
      <w:r w:rsidR="004D5538">
        <w:t>Sie können auf all dies allerdings Bezug nehmen</w:t>
      </w:r>
      <w:r w:rsidR="002066E1">
        <w:t xml:space="preserve">, indem sie beispielsweise bestimmte </w:t>
      </w:r>
      <w:r w:rsidR="00507BC0">
        <w:t>Signifikate (= Bedeutungen)</w:t>
      </w:r>
      <w:r w:rsidR="00E15636">
        <w:t>, bestimmte Techniken oder bestimmte Methoden in den Merkmalsregeln spezifizieren.</w:t>
      </w:r>
      <w:r w:rsidR="00E15636">
        <w:rPr>
          <w:rStyle w:val="Funotenzeichen"/>
        </w:rPr>
        <w:footnoteReference w:id="623"/>
      </w:r>
    </w:p>
    <w:p w:rsidR="004D5538" w:rsidRDefault="004D5538" w:rsidP="002D093A">
      <w:pPr>
        <w:pStyle w:val="Text"/>
      </w:pPr>
      <w:r>
        <w:t>Stile können also nicht definieren, w</w:t>
      </w:r>
      <w:r w:rsidR="000A2194">
        <w:t>ie man etwas Bestimmtes in einem</w:t>
      </w:r>
      <w:r>
        <w:t xml:space="preserve"> b</w:t>
      </w:r>
      <w:r>
        <w:t>e</w:t>
      </w:r>
      <w:r>
        <w:t xml:space="preserve">stimmten </w:t>
      </w:r>
      <w:r w:rsidR="000A2194">
        <w:t>Kode bezeichnet (Zeichenrepertoire) oder wie man Zeichen miteina</w:t>
      </w:r>
      <w:r w:rsidR="000A2194">
        <w:t>n</w:t>
      </w:r>
      <w:r w:rsidR="000A2194">
        <w:t>der zu wohlgeformten Ausdrücken kombiniert (Kombinationsregeln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rsidR="000A2194">
        <w:t>). S</w:t>
      </w:r>
      <w:r>
        <w:t>ie kö</w:t>
      </w:r>
      <w:r>
        <w:t>n</w:t>
      </w:r>
      <w:r>
        <w:t>nen aber festlegen, dass diese</w:t>
      </w:r>
      <w:r w:rsidR="001403D2">
        <w:t>r</w:t>
      </w:r>
      <w:r>
        <w:t xml:space="preserve"> </w:t>
      </w:r>
      <w:r w:rsidR="001403D2">
        <w:t xml:space="preserve">Kode </w:t>
      </w:r>
      <w:r>
        <w:t>gebraucht wird, und auch spezifizieren, dass in bestimmter Hinsicht von ihren Verwendungsregeln abgewichen wird.</w:t>
      </w:r>
      <w:r w:rsidR="007F342E">
        <w:rPr>
          <w:rStyle w:val="Funotenzeichen"/>
        </w:rPr>
        <w:footnoteReference w:id="624"/>
      </w:r>
    </w:p>
    <w:p w:rsidR="00AF633F" w:rsidRDefault="002066E1" w:rsidP="002066E1">
      <w:pPr>
        <w:pStyle w:val="Text"/>
      </w:pPr>
      <w:r>
        <w:t>Dem gerade Gesagten liegt die Auffassung zugrunde, dass Kodes Zeiche</w:t>
      </w:r>
      <w:r>
        <w:t>n</w:t>
      </w:r>
      <w:r>
        <w:t>systeme</w:t>
      </w:r>
      <w:r w:rsidR="005D7996">
        <w:fldChar w:fldCharType="begin"/>
      </w:r>
      <w:r w:rsidR="00D24142">
        <w:instrText xml:space="preserve"> XE "</w:instrText>
      </w:r>
      <w:r w:rsidR="00D24142" w:rsidRPr="004B350B">
        <w:instrText>Zeichensystem</w:instrText>
      </w:r>
      <w:r w:rsidR="00D24142">
        <w:instrText xml:space="preserve">" </w:instrText>
      </w:r>
      <w:r w:rsidR="005D7996">
        <w:fldChar w:fldCharType="end"/>
      </w:r>
      <w:r>
        <w:t xml:space="preserve"> sind und über ein Zeichenrepertoire sowie eine Menge von </w:t>
      </w:r>
      <w:r w:rsidR="00F06A7B">
        <w:t>Kombinat</w:t>
      </w:r>
      <w:r w:rsidR="00F06A7B">
        <w:t>i</w:t>
      </w:r>
      <w:r w:rsidR="00F06A7B">
        <w:t>onsregeln</w:t>
      </w:r>
      <w:r w:rsidR="005D7996">
        <w:fldChar w:fldCharType="begin"/>
      </w:r>
      <w:r w:rsidR="00F42282">
        <w:instrText xml:space="preserve"> XE "</w:instrText>
      </w:r>
      <w:r w:rsidR="00F42282" w:rsidRPr="00197230">
        <w:rPr>
          <w:rFonts w:eastAsia="Times New Roman" w:cs="Times New Roman"/>
        </w:rPr>
        <w:instrText>Kombinationsregeln</w:instrText>
      </w:r>
      <w:r w:rsidR="00F42282">
        <w:instrText xml:space="preserve">" </w:instrText>
      </w:r>
      <w:r w:rsidR="005D7996">
        <w:fldChar w:fldCharType="end"/>
      </w:r>
      <w:r w:rsidR="00F06A7B">
        <w:t xml:space="preserve"> </w:t>
      </w:r>
      <w:r>
        <w:t>verfügen.</w:t>
      </w:r>
      <w:r>
        <w:rPr>
          <w:rStyle w:val="Funotenzeichen"/>
        </w:rPr>
        <w:footnoteReference w:id="625"/>
      </w:r>
      <w:r>
        <w:t xml:space="preserve"> Betrachtet man </w:t>
      </w:r>
      <w:r w:rsidR="00AF633F">
        <w:t xml:space="preserve">bereits ein </w:t>
      </w:r>
      <w:r>
        <w:t>konventionalisierte</w:t>
      </w:r>
      <w:r w:rsidR="00AF633F">
        <w:t>s</w:t>
      </w:r>
      <w:r>
        <w:t xml:space="preserve"> Regelsy</w:t>
      </w:r>
      <w:r>
        <w:t>s</w:t>
      </w:r>
      <w:r>
        <w:t>tem als Kode,</w:t>
      </w:r>
      <w:r w:rsidR="006552A4">
        <w:t xml:space="preserve"> </w:t>
      </w:r>
      <w:r w:rsidR="0013658D">
        <w:t xml:space="preserve">wie es in manchen semiotischen Darstellungen implizit geschieht, </w:t>
      </w:r>
      <w:r>
        <w:t>so fallen alle konventionalisierten Stile unter diesen Kodebegriff, da Stile als R</w:t>
      </w:r>
      <w:r>
        <w:t>e</w:t>
      </w:r>
      <w:r>
        <w:t xml:space="preserve">gelmengen beschreibbar sind (vgl. </w:t>
      </w:r>
      <w:r w:rsidR="00AF633F">
        <w:t xml:space="preserve">die Defnition in </w:t>
      </w:r>
      <w:r>
        <w:t xml:space="preserve">Abschnitt </w:t>
      </w:r>
      <w:r w:rsidR="005D7996">
        <w:fldChar w:fldCharType="begin"/>
      </w:r>
      <w:r>
        <w:instrText xml:space="preserve"> REF _Ref264295348 \r \h </w:instrText>
      </w:r>
      <w:r w:rsidR="005D7996">
        <w:fldChar w:fldCharType="separate"/>
      </w:r>
      <w:r w:rsidR="001231D3">
        <w:t>2.16</w:t>
      </w:r>
      <w:r w:rsidR="005D7996">
        <w:fldChar w:fldCharType="end"/>
      </w:r>
      <w:r>
        <w:t>).</w:t>
      </w:r>
      <w:r w:rsidR="00E15636" w:rsidRPr="00E15636">
        <w:t xml:space="preserve"> </w:t>
      </w:r>
      <w:r w:rsidR="00F06A7B">
        <w:t xml:space="preserve">Gemäß der klassischen Auffassung wird jedoch </w:t>
      </w:r>
      <w:r w:rsidR="00E15636">
        <w:t>ein Zeichenrepertoire als notwendige</w:t>
      </w:r>
      <w:r w:rsidR="000059E5">
        <w:t>r</w:t>
      </w:r>
      <w:r w:rsidR="00E15636">
        <w:t xml:space="preserve"> B</w:t>
      </w:r>
      <w:r w:rsidR="00E15636">
        <w:t>e</w:t>
      </w:r>
      <w:r w:rsidR="00E15636">
        <w:t>standteil eines Kodes</w:t>
      </w:r>
      <w:r w:rsidR="00F06A7B">
        <w:t xml:space="preserve"> angesehen</w:t>
      </w:r>
      <w:r w:rsidR="00AF633F">
        <w:t xml:space="preserve">. Als Kodes können </w:t>
      </w:r>
      <w:r w:rsidR="00136420">
        <w:t xml:space="preserve">dann </w:t>
      </w:r>
      <w:r w:rsidR="00AF633F">
        <w:t>nur solche Stile aufg</w:t>
      </w:r>
      <w:r w:rsidR="00AF633F">
        <w:t>e</w:t>
      </w:r>
      <w:r w:rsidR="00AF633F">
        <w:t xml:space="preserve">fasst werden, bei denen sich mit </w:t>
      </w:r>
      <w:r w:rsidR="0063218D">
        <w:t xml:space="preserve">den </w:t>
      </w:r>
      <w:r w:rsidR="00AF633F">
        <w:t xml:space="preserve">Merkmalsregeln Bedeutungen verbinden, so dass diese selbst zu Zeichen werden (vgl. Abschnitt </w:t>
      </w:r>
      <w:r w:rsidR="005D7996">
        <w:fldChar w:fldCharType="begin"/>
      </w:r>
      <w:r w:rsidR="00B60CDB">
        <w:instrText xml:space="preserve"> REF _Ref273281415 \r \h </w:instrText>
      </w:r>
      <w:r w:rsidR="005D7996">
        <w:fldChar w:fldCharType="separate"/>
      </w:r>
      <w:r w:rsidR="001231D3">
        <w:t>6.4.5</w:t>
      </w:r>
      <w:r w:rsidR="005D7996">
        <w:fldChar w:fldCharType="end"/>
      </w:r>
      <w:r w:rsidR="00AF633F">
        <w:t>).</w:t>
      </w:r>
    </w:p>
    <w:p w:rsidR="00751578" w:rsidRDefault="00AF633F" w:rsidP="00AF633F">
      <w:pPr>
        <w:pStyle w:val="Text"/>
      </w:pPr>
      <w:r>
        <w:t xml:space="preserve">Zu beachten ist, dass selbst im Fall </w:t>
      </w:r>
      <w:r w:rsidR="00E6454D">
        <w:t xml:space="preserve">konventionalisierter </w:t>
      </w:r>
      <w:r w:rsidR="001C5867">
        <w:t xml:space="preserve">Zeicheninhalte (also </w:t>
      </w:r>
      <w:r>
        <w:t>Bedeutungen</w:t>
      </w:r>
      <w:r w:rsidR="001C5867">
        <w:t>)</w:t>
      </w:r>
      <w:r>
        <w:t xml:space="preserve"> bei bestimmten Merkmalsregeln häufig andere Merkmalsregeln des Stils keine Bedeutungen besitzen werden; in diesem Fall muss zwischen k</w:t>
      </w:r>
      <w:r>
        <w:t>o</w:t>
      </w:r>
      <w:r>
        <w:t>dierten und nicht-kodierten Bestandteilen des Stils unterschieden werden.</w:t>
      </w:r>
    </w:p>
    <w:p w:rsidR="004D5538" w:rsidRPr="000210BF" w:rsidRDefault="004D5538" w:rsidP="002D093A">
      <w:pPr>
        <w:pStyle w:val="Text"/>
      </w:pPr>
      <w:r>
        <w:t>Bei Techniken und Methoden ist die Abgrenzung weniger eindeutig: Ma</w:t>
      </w:r>
      <w:r>
        <w:t>n</w:t>
      </w:r>
      <w:r>
        <w:t>che von ihnen können tatsächlich als Problemlösungsstile begonnen haben; manche können bis heute als solche aufgefasst werden. Besteht eine Technik oder Methode tatsächlich nur aus einer Spezifikation, dass bestimmte Schemao</w:t>
      </w:r>
      <w:r>
        <w:t>r</w:t>
      </w:r>
      <w:r>
        <w:t xml:space="preserve">te eines bestimmten Schemas auf eine bestimmte Weise zu tun </w:t>
      </w:r>
      <w:r w:rsidR="00897B50">
        <w:t>sind</w:t>
      </w:r>
      <w:r>
        <w:t>, die mit Hi</w:t>
      </w:r>
      <w:r>
        <w:t>l</w:t>
      </w:r>
      <w:r>
        <w:t xml:space="preserve">fe von bereits </w:t>
      </w:r>
      <w:r w:rsidR="000210BF">
        <w:t>vorhandenen</w:t>
      </w:r>
      <w:r>
        <w:t xml:space="preserve"> </w:t>
      </w:r>
      <w:r w:rsidRPr="004D5538">
        <w:rPr>
          <w:sz w:val="22"/>
        </w:rPr>
        <w:t>–</w:t>
      </w:r>
      <w:r>
        <w:rPr>
          <w:sz w:val="22"/>
        </w:rPr>
        <w:t xml:space="preserve"> </w:t>
      </w:r>
      <w:r>
        <w:t xml:space="preserve">nicht erst durch die Technik neu zu definierenden </w:t>
      </w:r>
      <w:r w:rsidRPr="004D5538">
        <w:rPr>
          <w:sz w:val="22"/>
        </w:rPr>
        <w:lastRenderedPageBreak/>
        <w:t>–</w:t>
      </w:r>
      <w:r>
        <w:t xml:space="preserve"> Eigenschaften von Elementen der </w:t>
      </w:r>
      <w:r w:rsidR="00721558">
        <w:t>Alter</w:t>
      </w:r>
      <w:r w:rsidR="00721558">
        <w:softHyphen/>
        <w:t>nativen</w:t>
      </w:r>
      <w:r w:rsidR="00721558">
        <w:softHyphen/>
        <w:t>klasse</w:t>
      </w:r>
      <w:r>
        <w:t>n</w:t>
      </w:r>
      <w:r w:rsidR="000210BF">
        <w:t xml:space="preserve"> abgegrenzt </w:t>
      </w:r>
      <w:r w:rsidR="00897B50">
        <w:t>wird</w:t>
      </w:r>
      <w:r w:rsidR="000210BF">
        <w:t>, dann kann man sie tatsächlich als einen Stil beschreiben. Dies stimmt mit dem g</w:t>
      </w:r>
      <w:r w:rsidR="000210BF">
        <w:t>e</w:t>
      </w:r>
      <w:r w:rsidR="000210BF">
        <w:t xml:space="preserve">wöhnlichen Sprachgebrauch überein: So kann man </w:t>
      </w:r>
      <w:r w:rsidR="007C76A2">
        <w:t>etwa</w:t>
      </w:r>
      <w:r w:rsidR="000210BF">
        <w:t xml:space="preserve"> eine Programmiertec</w:t>
      </w:r>
      <w:r w:rsidR="000210BF">
        <w:t>h</w:t>
      </w:r>
      <w:r w:rsidR="000210BF">
        <w:t>nik, die keine Änderungen am Schema ‚Programmieren‘ oder an Programmie</w:t>
      </w:r>
      <w:r w:rsidR="000210BF">
        <w:t>r</w:t>
      </w:r>
      <w:r w:rsidR="000210BF">
        <w:t>sprachen erfordert, durchaus als Programmierstil</w:t>
      </w:r>
      <w:r w:rsidR="005D7996">
        <w:fldChar w:fldCharType="begin"/>
      </w:r>
      <w:r w:rsidR="007E3075">
        <w:instrText xml:space="preserve"> XE "</w:instrText>
      </w:r>
      <w:r w:rsidR="007E3075" w:rsidRPr="001C01BE">
        <w:instrText>Programmierstil</w:instrText>
      </w:r>
      <w:r w:rsidR="007E3075">
        <w:instrText xml:space="preserve">" </w:instrText>
      </w:r>
      <w:r w:rsidR="005D7996">
        <w:fldChar w:fldCharType="end"/>
      </w:r>
      <w:r w:rsidR="000210BF">
        <w:t xml:space="preserve"> bezeichnen. In diesem Fall sind beide Bezeichnungen möglich.</w:t>
      </w:r>
    </w:p>
    <w:p w:rsidR="000210BF" w:rsidRPr="000210BF" w:rsidRDefault="000210BF" w:rsidP="002D093A">
      <w:pPr>
        <w:pStyle w:val="Text"/>
      </w:pPr>
      <w:r w:rsidRPr="000210BF">
        <w:t>Eine Technik oder Methode ist dann kein Stil mehr, wenn</w:t>
      </w:r>
    </w:p>
    <w:p w:rsidR="000210BF" w:rsidRPr="000210BF" w:rsidRDefault="000210BF" w:rsidP="004E7DF2">
      <w:pPr>
        <w:pStyle w:val="Text"/>
        <w:ind w:firstLine="0"/>
      </w:pPr>
      <w:r w:rsidRPr="000210BF">
        <w:t>–</w:t>
      </w:r>
      <w:r w:rsidRPr="000210BF">
        <w:tab/>
        <w:t>sie zu Änderungen am Schema führt (also beispielsweise Schemaorte neu hinzukommen oder verschwinden oder ihre Definitionen abgeändert werden);</w:t>
      </w:r>
    </w:p>
    <w:p w:rsidR="000210BF" w:rsidRPr="000210BF" w:rsidRDefault="000210BF" w:rsidP="004E7DF2">
      <w:pPr>
        <w:pStyle w:val="Text"/>
        <w:ind w:firstLine="0"/>
      </w:pPr>
      <w:r w:rsidRPr="000210BF">
        <w:t>–</w:t>
      </w:r>
      <w:r w:rsidRPr="000210BF">
        <w:tab/>
        <w:t xml:space="preserve">sie Beschreibungen umfasst, </w:t>
      </w:r>
      <w:r w:rsidR="00C41FAD">
        <w:t>die sich nicht auf Merkmalsbeschreibungen</w:t>
      </w:r>
      <w:r w:rsidRPr="000210BF">
        <w:t xml:space="preserve"> (</w:t>
      </w:r>
      <w:r>
        <w:t>also Beschreibungen der Art</w:t>
      </w:r>
      <w:r w:rsidR="008E589A">
        <w:t xml:space="preserve"> „Schemaort </w:t>
      </w:r>
      <w:r w:rsidR="00C41FAD" w:rsidRPr="00C41FAD">
        <w:rPr>
          <w:i/>
        </w:rPr>
        <w:t>x</w:t>
      </w:r>
      <w:r w:rsidR="00C41FAD">
        <w:t xml:space="preserve"> </w:t>
      </w:r>
      <w:r w:rsidR="008E589A">
        <w:t xml:space="preserve">wird </w:t>
      </w:r>
      <w:r w:rsidRPr="000210BF">
        <w:t xml:space="preserve">unter </w:t>
      </w:r>
      <w:r w:rsidR="008E589A">
        <w:t xml:space="preserve">den </w:t>
      </w:r>
      <w:r w:rsidRPr="000210BF">
        <w:t>Zusatzbedingungen</w:t>
      </w:r>
      <w:r w:rsidR="008E589A">
        <w:t xml:space="preserve"> </w:t>
      </w:r>
      <w:r w:rsidR="008E589A">
        <w:rPr>
          <w:i/>
        </w:rPr>
        <w:t>y</w:t>
      </w:r>
      <w:r w:rsidRPr="000210BF">
        <w:t xml:space="preserve"> </w:t>
      </w:r>
      <w:r>
        <w:t xml:space="preserve">mit </w:t>
      </w:r>
      <w:r w:rsidR="008E589A">
        <w:t xml:space="preserve">den </w:t>
      </w:r>
      <w:r>
        <w:t xml:space="preserve">Eigenschaften </w:t>
      </w:r>
      <w:r w:rsidR="008E589A" w:rsidRPr="008E589A">
        <w:rPr>
          <w:i/>
        </w:rPr>
        <w:t>z</w:t>
      </w:r>
      <w:r w:rsidR="008E589A">
        <w:t xml:space="preserve"> </w:t>
      </w:r>
      <w:r w:rsidRPr="000210BF">
        <w:t>ausgefüh</w:t>
      </w:r>
      <w:r>
        <w:t>r</w:t>
      </w:r>
      <w:r w:rsidRPr="000210BF">
        <w:t>t“) reduzieren lässt;</w:t>
      </w:r>
    </w:p>
    <w:p w:rsidR="002D093A" w:rsidRDefault="000210BF" w:rsidP="004E7DF2">
      <w:pPr>
        <w:pStyle w:val="Text"/>
        <w:ind w:firstLine="0"/>
      </w:pPr>
      <w:r w:rsidRPr="000210BF">
        <w:t>–</w:t>
      </w:r>
      <w:r w:rsidRPr="000210BF">
        <w:tab/>
        <w:t xml:space="preserve">sie </w:t>
      </w:r>
      <w:r>
        <w:t>neue Artefakte erzeugt oder vorhandene Artefakte verändert.</w:t>
      </w:r>
    </w:p>
    <w:p w:rsidR="00742DE9" w:rsidRDefault="0031345A" w:rsidP="00EB1E36">
      <w:pPr>
        <w:pStyle w:val="Text"/>
      </w:pPr>
      <w:r>
        <w:t>Kodes, Techniken und Methoden können auf zwei Arten mit Stil zusa</w:t>
      </w:r>
      <w:r>
        <w:t>m</w:t>
      </w:r>
      <w:r>
        <w:t>menhängen</w:t>
      </w:r>
      <w:r w:rsidR="00742DE9">
        <w:t>:</w:t>
      </w:r>
    </w:p>
    <w:p w:rsidR="00742DE9" w:rsidRDefault="00742DE9" w:rsidP="00EB1E36">
      <w:pPr>
        <w:pStyle w:val="Text"/>
      </w:pPr>
      <w:r>
        <w:t>(1)</w:t>
      </w:r>
      <w:r w:rsidRPr="000210BF">
        <w:tab/>
      </w:r>
      <w:r w:rsidR="0031345A">
        <w:t>Sie können als Sc</w:t>
      </w:r>
      <w:r>
        <w:t xml:space="preserve">hema einem Stil zugrundeliegen: Produktions-, </w:t>
      </w:r>
      <w:r w:rsidR="0031345A">
        <w:t>For</w:t>
      </w:r>
      <w:r w:rsidR="0031345A">
        <w:t>t</w:t>
      </w:r>
      <w:r w:rsidR="0031345A">
        <w:t>bewegungs</w:t>
      </w:r>
      <w:r>
        <w:t>- und Kunsttechniken, um nur einige zu nennen, lassen oft genug Spielraum, um sie auf stilistisch unterschiedliche Weise durchzuführen; dasselbe gilt für Kodeverwendungen</w:t>
      </w:r>
      <w:r w:rsidR="00E1159F">
        <w:t xml:space="preserve">, </w:t>
      </w:r>
      <w:r>
        <w:t>für Problemlösungsmethoden usw.;</w:t>
      </w:r>
    </w:p>
    <w:p w:rsidR="0031345A" w:rsidRDefault="00742DE9" w:rsidP="00EB1E36">
      <w:pPr>
        <w:pStyle w:val="Text"/>
      </w:pPr>
      <w:r>
        <w:t>(2)</w:t>
      </w:r>
      <w:r>
        <w:tab/>
        <w:t>auf sie kann in den verlangten Eigenschaften der Merkmalsregeln eines Stils Bezug genommen werden (etwa wenn bei einem Bankraubstil</w:t>
      </w:r>
      <w:r w:rsidR="005D7996">
        <w:fldChar w:fldCharType="begin"/>
      </w:r>
      <w:r w:rsidR="005D557B">
        <w:instrText xml:space="preserve"> XE "</w:instrText>
      </w:r>
      <w:r w:rsidR="005D557B" w:rsidRPr="005E1CE6">
        <w:rPr>
          <w:szCs w:val="17"/>
        </w:rPr>
        <w:instrText>Bankraubstil</w:instrText>
      </w:r>
      <w:r w:rsidR="005D557B">
        <w:instrText xml:space="preserve">" </w:instrText>
      </w:r>
      <w:r w:rsidR="005D7996">
        <w:fldChar w:fldCharType="end"/>
      </w:r>
      <w:r>
        <w:t xml:space="preserve"> </w:t>
      </w:r>
      <w:r w:rsidR="008B76AE">
        <w:t>die ‚</w:t>
      </w:r>
      <w:r>
        <w:t>Flucht</w:t>
      </w:r>
      <w:r w:rsidR="008B76AE">
        <w:t xml:space="preserve">‘ </w:t>
      </w:r>
      <w:r>
        <w:t xml:space="preserve">‚mit dem Auto‘ </w:t>
      </w:r>
      <w:r w:rsidR="008B76AE">
        <w:t xml:space="preserve">erfolgt </w:t>
      </w:r>
      <w:r>
        <w:t>oder wenn bei einem Fahndungsstil bei ‚Verbrechen mit sehr großer möglicher Verdächtigenzahl‘</w:t>
      </w:r>
      <w:r w:rsidR="008B76AE">
        <w:t xml:space="preserve"> ‚Einsatz der </w:t>
      </w:r>
      <w:r>
        <w:t>Rasterfahndung</w:t>
      </w:r>
      <w:r w:rsidR="005D7996">
        <w:fldChar w:fldCharType="begin"/>
      </w:r>
      <w:r w:rsidR="00C078A7">
        <w:instrText xml:space="preserve"> XE "</w:instrText>
      </w:r>
      <w:r w:rsidR="00C078A7" w:rsidRPr="0006124C">
        <w:instrText>Rasterfahndung</w:instrText>
      </w:r>
      <w:r w:rsidR="00C078A7">
        <w:instrText xml:space="preserve">" </w:instrText>
      </w:r>
      <w:r w:rsidR="005D7996">
        <w:fldChar w:fldCharType="end"/>
      </w:r>
      <w:r>
        <w:t xml:space="preserve">‘ </w:t>
      </w:r>
      <w:r w:rsidR="008B76AE">
        <w:t>erfolgt</w:t>
      </w:r>
      <w:r>
        <w:t xml:space="preserve">). </w:t>
      </w:r>
    </w:p>
    <w:p w:rsidR="001E4EA2" w:rsidRDefault="001E4EA2" w:rsidP="001E4EA2">
      <w:pPr>
        <w:pStyle w:val="Titel3"/>
      </w:pPr>
      <w:bookmarkStart w:id="484" w:name="_Ref267238224"/>
      <w:bookmarkStart w:id="485" w:name="_Toc325456825"/>
      <w:bookmarkStart w:id="486" w:name="Rhetorik"/>
      <w:bookmarkEnd w:id="483"/>
      <w:r>
        <w:t xml:space="preserve">Rhetorische </w:t>
      </w:r>
      <w:bookmarkEnd w:id="484"/>
      <w:r w:rsidR="007133F9">
        <w:t>Figuren</w:t>
      </w:r>
      <w:bookmarkEnd w:id="485"/>
    </w:p>
    <w:p w:rsidR="001E4EA2" w:rsidRDefault="005D7996" w:rsidP="004E7DF2">
      <w:pPr>
        <w:pStyle w:val="Text"/>
        <w:ind w:firstLine="0"/>
      </w:pPr>
      <w:r>
        <w:fldChar w:fldCharType="begin"/>
      </w:r>
      <w:r w:rsidR="00663952">
        <w:instrText xml:space="preserve"> XE "Rhetorik" \r "Rhetorik"</w:instrText>
      </w:r>
      <w:r w:rsidR="009E3151">
        <w:instrText xml:space="preserve"> </w:instrText>
      </w:r>
      <w:r>
        <w:fldChar w:fldCharType="end"/>
      </w:r>
      <w:r>
        <w:fldChar w:fldCharType="begin"/>
      </w:r>
      <w:r w:rsidR="00663952">
        <w:instrText xml:space="preserve"> XE "Rhetorische Figur" \r "Rhetorik"</w:instrText>
      </w:r>
      <w:r w:rsidR="009E3151">
        <w:instrText xml:space="preserve"> </w:instrText>
      </w:r>
      <w:r>
        <w:fldChar w:fldCharType="end"/>
      </w:r>
      <w:r>
        <w:fldChar w:fldCharType="begin"/>
      </w:r>
      <w:r w:rsidR="00663952">
        <w:instrText xml:space="preserve"> XE "Stilmittel" \r "Rhetorik"</w:instrText>
      </w:r>
      <w:r w:rsidR="009E3151">
        <w:instrText xml:space="preserve"> </w:instrText>
      </w:r>
      <w:r>
        <w:fldChar w:fldCharType="end"/>
      </w:r>
      <w:r>
        <w:fldChar w:fldCharType="begin"/>
      </w:r>
      <w:r w:rsidR="00663952">
        <w:instrText xml:space="preserve"> XE "Trope" \r "Rhetorik"</w:instrText>
      </w:r>
      <w:r w:rsidR="009E3151">
        <w:instrText xml:space="preserve"> </w:instrText>
      </w:r>
      <w:r>
        <w:fldChar w:fldCharType="end"/>
      </w:r>
      <w:r>
        <w:fldChar w:fldCharType="begin"/>
      </w:r>
      <w:r w:rsidR="00663952">
        <w:instrText xml:space="preserve"> XE "Stilistik" \r "Rhetorik"</w:instrText>
      </w:r>
      <w:r w:rsidR="009E3151">
        <w:instrText xml:space="preserve"> </w:instrText>
      </w:r>
      <w:r>
        <w:fldChar w:fldCharType="end"/>
      </w:r>
      <w:r w:rsidR="001E4EA2">
        <w:t xml:space="preserve">In Rhetorik und Stilistik existieren seit der Antike Listen von „Stilmitteln“, </w:t>
      </w:r>
      <w:r w:rsidR="00430346">
        <w:t xml:space="preserve">die </w:t>
      </w:r>
      <w:r w:rsidR="001E4EA2">
        <w:t xml:space="preserve">auch </w:t>
      </w:r>
      <w:r w:rsidR="00430346">
        <w:t>„</w:t>
      </w:r>
      <w:r w:rsidR="001E4EA2">
        <w:t>rhetorische Mittel</w:t>
      </w:r>
      <w:r w:rsidR="00430346">
        <w:t>“</w:t>
      </w:r>
      <w:r w:rsidR="001E4EA2">
        <w:t xml:space="preserve">, </w:t>
      </w:r>
      <w:r w:rsidR="00430346">
        <w:t>„</w:t>
      </w:r>
      <w:r w:rsidR="001E4EA2">
        <w:t>rhetorische Figuren</w:t>
      </w:r>
      <w:r w:rsidR="00430346">
        <w:t>“</w:t>
      </w:r>
      <w:r w:rsidR="001E4EA2">
        <w:t xml:space="preserve"> oder </w:t>
      </w:r>
      <w:r w:rsidR="00430346">
        <w:t>„</w:t>
      </w:r>
      <w:r w:rsidR="001E4EA2">
        <w:t>Tropen</w:t>
      </w:r>
      <w:r w:rsidR="00430346">
        <w:t>“</w:t>
      </w:r>
      <w:r w:rsidR="001E4EA2">
        <w:t xml:space="preserve"> genannt</w:t>
      </w:r>
      <w:r w:rsidR="00430346">
        <w:t xml:space="preserve"> we</w:t>
      </w:r>
      <w:r w:rsidR="00430346">
        <w:t>r</w:t>
      </w:r>
      <w:r w:rsidR="00430346">
        <w:t>den</w:t>
      </w:r>
      <w:r w:rsidR="001E4EA2">
        <w:t>.</w:t>
      </w:r>
      <w:r w:rsidR="00ED0502">
        <w:rPr>
          <w:rStyle w:val="Funotenzeichen"/>
        </w:rPr>
        <w:footnoteReference w:id="626"/>
      </w:r>
      <w:r w:rsidR="001E4EA2">
        <w:t xml:space="preserve"> Darunter werden spezifische Verwendungsweisen von Sprache gefasst, die vom gewöhnlichen Sprachgebrauch abweichen. Meist sind sie auf der Au</w:t>
      </w:r>
      <w:r w:rsidR="001E4EA2">
        <w:t>s</w:t>
      </w:r>
      <w:r w:rsidR="001E4EA2">
        <w:t>drucksebene</w:t>
      </w:r>
      <w:r>
        <w:fldChar w:fldCharType="begin"/>
      </w:r>
      <w:r w:rsidR="004E4C88">
        <w:instrText xml:space="preserve"> XE "</w:instrText>
      </w:r>
      <w:r w:rsidR="004E4C88" w:rsidRPr="00DA0E29">
        <w:instrText>Ausdrucksebene</w:instrText>
      </w:r>
      <w:r w:rsidR="004E4C88">
        <w:instrText xml:space="preserve">" </w:instrText>
      </w:r>
      <w:r>
        <w:fldChar w:fldCharType="end"/>
      </w:r>
      <w:r w:rsidR="001E4EA2">
        <w:t xml:space="preserve"> durch spezielle, zusätzlich zu den allgemeinen syntaktischen</w:t>
      </w:r>
      <w:r>
        <w:fldChar w:fldCharType="begin"/>
      </w:r>
      <w:r w:rsidR="00DC6AC2">
        <w:instrText xml:space="preserve"> XE "</w:instrText>
      </w:r>
      <w:r w:rsidR="00DC6AC2" w:rsidRPr="00710F66">
        <w:instrText>Syntax</w:instrText>
      </w:r>
      <w:r w:rsidR="00DC6AC2">
        <w:instrText xml:space="preserve">" </w:instrText>
      </w:r>
      <w:r>
        <w:fldChar w:fldCharType="end"/>
      </w:r>
      <w:r w:rsidR="001E4EA2">
        <w:t>, mo</w:t>
      </w:r>
      <w:r w:rsidR="001E4EA2">
        <w:t>r</w:t>
      </w:r>
      <w:r w:rsidR="001E4EA2">
        <w:t>phologischen</w:t>
      </w:r>
      <w:r>
        <w:fldChar w:fldCharType="begin"/>
      </w:r>
      <w:r w:rsidR="00DC6AC2">
        <w:instrText xml:space="preserve"> XE "</w:instrText>
      </w:r>
      <w:r w:rsidR="00DC6AC2" w:rsidRPr="003F6759">
        <w:instrText>Morphologie</w:instrText>
      </w:r>
      <w:r w:rsidR="00CB7900">
        <w:instrText xml:space="preserve"> (Linguistik)</w:instrText>
      </w:r>
      <w:r w:rsidR="00DC6AC2">
        <w:instrText xml:space="preserve">" </w:instrText>
      </w:r>
      <w:r>
        <w:fldChar w:fldCharType="end"/>
      </w:r>
      <w:r w:rsidR="001E4EA2">
        <w:t xml:space="preserve"> und phonologischen</w:t>
      </w:r>
      <w:r>
        <w:fldChar w:fldCharType="begin"/>
      </w:r>
      <w:r w:rsidR="00DC6AC2">
        <w:instrText xml:space="preserve"> XE "</w:instrText>
      </w:r>
      <w:r w:rsidR="00DC6AC2" w:rsidRPr="003F6759">
        <w:instrText>Phonologie</w:instrText>
      </w:r>
      <w:r w:rsidR="00DC6AC2">
        <w:instrText xml:space="preserve">" </w:instrText>
      </w:r>
      <w:r>
        <w:fldChar w:fldCharType="end"/>
      </w:r>
      <w:r w:rsidR="001E4EA2">
        <w:t xml:space="preserve"> Regeln geltende Bedingungen gekennzeic</w:t>
      </w:r>
      <w:r w:rsidR="001E4EA2">
        <w:t>h</w:t>
      </w:r>
      <w:r w:rsidR="001E4EA2">
        <w:t xml:space="preserve">net, mit denen bestimmte </w:t>
      </w:r>
      <w:r w:rsidR="002E7037">
        <w:t xml:space="preserve">Veränderungen </w:t>
      </w:r>
      <w:r w:rsidR="001E4EA2">
        <w:t>auf der Inhaltsseite einhergehen</w:t>
      </w:r>
      <w:r w:rsidR="00997237">
        <w:t xml:space="preserve"> (etwa Abschwächung oder Verstärkung von Bedeutungen oder </w:t>
      </w:r>
      <w:r w:rsidR="00933A7A">
        <w:t>Entstehung</w:t>
      </w:r>
      <w:r w:rsidR="00997237">
        <w:t xml:space="preserve"> von Ko</w:t>
      </w:r>
      <w:r w:rsidR="00997237">
        <w:t>n</w:t>
      </w:r>
      <w:r w:rsidR="00997237">
        <w:t>notationen</w:t>
      </w:r>
      <w:r>
        <w:fldChar w:fldCharType="begin"/>
      </w:r>
      <w:r w:rsidR="00AD34BE">
        <w:instrText xml:space="preserve"> XE "</w:instrText>
      </w:r>
      <w:r w:rsidR="00AD34BE" w:rsidRPr="009A792E">
        <w:instrText>Konnotation</w:instrText>
      </w:r>
      <w:r w:rsidR="00AD34BE">
        <w:instrText xml:space="preserve">" </w:instrText>
      </w:r>
      <w:r>
        <w:fldChar w:fldCharType="end"/>
      </w:r>
      <w:r w:rsidR="00997237">
        <w:t>)</w:t>
      </w:r>
      <w:r w:rsidR="001E4EA2">
        <w:t>. Durch ihren Charakter des Abweichens vom unmarkierten Sprac</w:t>
      </w:r>
      <w:r w:rsidR="001E4EA2">
        <w:t>h</w:t>
      </w:r>
      <w:r w:rsidR="001E4EA2">
        <w:t>gebrauch sind „Stilmittel“ tatsächlich stilistisch besonders auffällig. Der hier vorgelegten Theorie zufolge gibt es aber</w:t>
      </w:r>
      <w:r w:rsidR="00F066E3">
        <w:t xml:space="preserve"> keinen Grund, sie deshalb der Stilistik zuzurechnen; vielmehr handelt es sich um bestimmte</w:t>
      </w:r>
      <w:r w:rsidR="00F21E9A">
        <w:t>, präzise beschreibbare</w:t>
      </w:r>
      <w:r w:rsidR="00F066E3">
        <w:t xml:space="preserve"> </w:t>
      </w:r>
      <w:r w:rsidR="00F066E3">
        <w:lastRenderedPageBreak/>
        <w:t>Sprachverwendungsphänomene, die – vermutlich aufgrund ihrer kalkulierbaren Wirkung auf Leser oder Zuhörer – oft rhetorisch eingesetzt werden.</w:t>
      </w:r>
    </w:p>
    <w:p w:rsidR="001E4EA2" w:rsidRDefault="001E4EA2" w:rsidP="001E4EA2">
      <w:pPr>
        <w:pStyle w:val="Text"/>
      </w:pPr>
      <w:r>
        <w:t xml:space="preserve">Dass rhetorische </w:t>
      </w:r>
      <w:r w:rsidR="00B7294A">
        <w:t>Figuren</w:t>
      </w:r>
      <w:r>
        <w:t xml:space="preserve"> traditionell auch als „Stilmittel“ bezeichnet we</w:t>
      </w:r>
      <w:r>
        <w:t>r</w:t>
      </w:r>
      <w:r>
        <w:t xml:space="preserve">den, dürfte </w:t>
      </w:r>
      <w:r w:rsidR="009D404D">
        <w:t xml:space="preserve">daran liegen, dass sie in der </w:t>
      </w:r>
      <w:r w:rsidR="00D546BA">
        <w:t>Geschichte der Stilistik</w:t>
      </w:r>
      <w:r>
        <w:t xml:space="preserve"> </w:t>
      </w:r>
      <w:r w:rsidR="009D404D">
        <w:t xml:space="preserve">eine sehr wichtige Rolle gespielt haben. Dies </w:t>
      </w:r>
      <w:r>
        <w:t>wiederum kann man darauf zurückführen, dass Sti</w:t>
      </w:r>
      <w:r>
        <w:t>l</w:t>
      </w:r>
      <w:r>
        <w:t xml:space="preserve">mittel einfache, isoliert behandelbare Formen des Umgangs mit Sprache sind, die zudem so auffällig sind, dass ihr Einsatz oder Nicht-Einsatz eine deutliche </w:t>
      </w:r>
      <w:r w:rsidR="00CD05FB">
        <w:t>Au</w:t>
      </w:r>
      <w:r w:rsidR="00CD05FB">
        <w:t>s</w:t>
      </w:r>
      <w:r w:rsidR="00CD05FB">
        <w:t xml:space="preserve">wirkung auf den Stil </w:t>
      </w:r>
      <w:r>
        <w:t xml:space="preserve">hat. Dass gerade rhetorische </w:t>
      </w:r>
      <w:r w:rsidR="00B7294A">
        <w:t xml:space="preserve">Figuren </w:t>
      </w:r>
      <w:r>
        <w:t>als wesentlich für Stil angesehen wurden, ist wohl teilweise auf ein Beobachterproblem der Wisse</w:t>
      </w:r>
      <w:r>
        <w:t>n</w:t>
      </w:r>
      <w:r>
        <w:t xml:space="preserve">schaft zurückzuführen: Auffällige und präzise beschreibbare Phänomene des Gegenstandsbereichs etablieren sich leicht als Kernbestand der </w:t>
      </w:r>
      <w:r w:rsidR="00D546BA">
        <w:t>Forschung zu diesem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w:t>
      </w:r>
      <w:r w:rsidR="00D546BA">
        <w:t xml:space="preserve">Im </w:t>
      </w:r>
      <w:r>
        <w:t xml:space="preserve">Fall der Stilistik </w:t>
      </w:r>
      <w:r w:rsidR="00D546BA">
        <w:t>kommt hinzu, dass die pädag</w:t>
      </w:r>
      <w:r w:rsidR="00D546BA">
        <w:t>o</w:t>
      </w:r>
      <w:r w:rsidR="00D546BA">
        <w:t xml:space="preserve">gische Praxis </w:t>
      </w:r>
      <w:r>
        <w:t>über Jahrtausende eng mit der Beschreibung des Phänomens Stil verbunden war</w:t>
      </w:r>
      <w:r w:rsidR="00B7294A">
        <w:t>;</w:t>
      </w:r>
      <w:r>
        <w:t xml:space="preserve"> </w:t>
      </w:r>
      <w:r w:rsidR="00B7294A">
        <w:t xml:space="preserve">da rhetorische Figuren </w:t>
      </w:r>
      <w:r w:rsidR="00D546BA">
        <w:t xml:space="preserve">gut gelehrt </w:t>
      </w:r>
      <w:r w:rsidR="00B7294A">
        <w:t xml:space="preserve">und angewandt </w:t>
      </w:r>
      <w:r w:rsidR="00D546BA">
        <w:t>werden kö</w:t>
      </w:r>
      <w:r w:rsidR="00D546BA">
        <w:t>n</w:t>
      </w:r>
      <w:r w:rsidR="00D546BA">
        <w:t>nen</w:t>
      </w:r>
      <w:r w:rsidR="00B7294A">
        <w:t>, traten sie im Unterricht gegenüber schwerer beschreibbaren Aspekten von Stil in den Vordergrund</w:t>
      </w:r>
      <w:r>
        <w:t>.</w:t>
      </w:r>
    </w:p>
    <w:p w:rsidR="001E4EA2" w:rsidRDefault="009D7F1A" w:rsidP="001E4EA2">
      <w:pPr>
        <w:pStyle w:val="Titel3"/>
      </w:pPr>
      <w:bookmarkStart w:id="487" w:name="_Ref237405993"/>
      <w:bookmarkStart w:id="488" w:name="_Toc325456826"/>
      <w:bookmarkStart w:id="489" w:name="Ästhetik"/>
      <w:bookmarkEnd w:id="486"/>
      <w:r>
        <w:t xml:space="preserve">Stil und </w:t>
      </w:r>
      <w:r w:rsidR="006552C7">
        <w:t>ästhetische Phänomene</w:t>
      </w:r>
      <w:bookmarkEnd w:id="487"/>
      <w:bookmarkEnd w:id="488"/>
    </w:p>
    <w:p w:rsidR="00C92503" w:rsidRDefault="005D7996" w:rsidP="004E7DF2">
      <w:pPr>
        <w:pStyle w:val="Text"/>
        <w:ind w:firstLine="0"/>
        <w:rPr>
          <w:rFonts w:cs="Times New Roman"/>
        </w:rPr>
      </w:pPr>
      <w:r>
        <w:fldChar w:fldCharType="begin"/>
      </w:r>
      <w:r w:rsidR="00692764">
        <w:instrText xml:space="preserve"> XE "Ästhetik" \r "Ästhetik"</w:instrText>
      </w:r>
      <w:r w:rsidR="009E3151">
        <w:instrText xml:space="preserve"> </w:instrText>
      </w:r>
      <w:r>
        <w:fldChar w:fldCharType="end"/>
      </w:r>
      <w:r w:rsidR="003A6F8A">
        <w:rPr>
          <w:rFonts w:cs="Times New Roman"/>
        </w:rPr>
        <w:t xml:space="preserve">Stil ist oft in engem Zusammenhang mit </w:t>
      </w:r>
      <w:r w:rsidR="006552C7">
        <w:rPr>
          <w:rFonts w:cs="Times New Roman"/>
        </w:rPr>
        <w:t xml:space="preserve">ästhetischen Phänomenen </w:t>
      </w:r>
      <w:r w:rsidR="003A6F8A">
        <w:rPr>
          <w:rFonts w:cs="Times New Roman"/>
        </w:rPr>
        <w:t>diskutiert worden. Dies lag daran, dass die meisten Stiltheoretiker aus Bereichen kamen, die sich mit ästhetischen Artefakten und Texten beschäftigen, nämli</w:t>
      </w:r>
      <w:r w:rsidR="00BF50E0">
        <w:rPr>
          <w:rFonts w:cs="Times New Roman"/>
        </w:rPr>
        <w:t>ch aus der Literatur</w:t>
      </w:r>
      <w:r w:rsidR="00BF50E0">
        <w:rPr>
          <w:rFonts w:cs="Times New Roman"/>
        </w:rPr>
        <w:noBreakHyphen/>
      </w:r>
      <w:r>
        <w:rPr>
          <w:rFonts w:cs="Times New Roman"/>
        </w:rPr>
        <w:fldChar w:fldCharType="begin"/>
      </w:r>
      <w:r w:rsidR="004C103F">
        <w:instrText xml:space="preserve"> XE "</w:instrText>
      </w:r>
      <w:r w:rsidR="004C103F" w:rsidRPr="00A93F8D">
        <w:rPr>
          <w:rFonts w:cs="Times New Roman"/>
        </w:rPr>
        <w:instrText>Literaturwissenschaft</w:instrText>
      </w:r>
      <w:r w:rsidR="004C103F">
        <w:instrText xml:space="preserve">" </w:instrText>
      </w:r>
      <w:r>
        <w:rPr>
          <w:rFonts w:cs="Times New Roman"/>
        </w:rPr>
        <w:fldChar w:fldCharType="end"/>
      </w:r>
      <w:r w:rsidR="00FD67FA">
        <w:rPr>
          <w:rFonts w:cs="Times New Roman"/>
        </w:rPr>
        <w:t>,</w:t>
      </w:r>
      <w:r w:rsidR="003A6F8A">
        <w:rPr>
          <w:rFonts w:cs="Times New Roman"/>
        </w:rPr>
        <w:t xml:space="preserve"> </w:t>
      </w:r>
      <w:r w:rsidR="00FD67FA">
        <w:rPr>
          <w:rFonts w:cs="Times New Roman"/>
        </w:rPr>
        <w:t>Musik</w:t>
      </w:r>
      <w:r w:rsidR="00BF50E0">
        <w:rPr>
          <w:rFonts w:cs="Times New Roman"/>
        </w:rPr>
        <w:noBreakHyphen/>
      </w:r>
      <w:r>
        <w:rPr>
          <w:rFonts w:cs="Times New Roman"/>
        </w:rPr>
        <w:fldChar w:fldCharType="begin"/>
      </w:r>
      <w:r w:rsidR="004C103F">
        <w:instrText xml:space="preserve"> XE "</w:instrText>
      </w:r>
      <w:r w:rsidR="004C103F" w:rsidRPr="00A36280">
        <w:rPr>
          <w:rFonts w:cs="Times New Roman"/>
        </w:rPr>
        <w:instrText>Musikwissenschaft</w:instrText>
      </w:r>
      <w:r w:rsidR="004C103F">
        <w:instrText xml:space="preserve">" </w:instrText>
      </w:r>
      <w:r>
        <w:rPr>
          <w:rFonts w:cs="Times New Roman"/>
        </w:rPr>
        <w:fldChar w:fldCharType="end"/>
      </w:r>
      <w:r w:rsidR="00FD67FA">
        <w:rPr>
          <w:rFonts w:cs="Times New Roman"/>
        </w:rPr>
        <w:t xml:space="preserve"> und </w:t>
      </w:r>
      <w:r w:rsidR="003A6F8A">
        <w:rPr>
          <w:rFonts w:cs="Times New Roman"/>
        </w:rPr>
        <w:t>Kunstwissenschaft</w:t>
      </w:r>
      <w:r>
        <w:rPr>
          <w:rFonts w:cs="Times New Roman"/>
        </w:rPr>
        <w:fldChar w:fldCharType="begin"/>
      </w:r>
      <w:r w:rsidR="009D2C75">
        <w:instrText xml:space="preserve"> XE "</w:instrText>
      </w:r>
      <w:r w:rsidR="009D2C75" w:rsidRPr="007C5736">
        <w:rPr>
          <w:rFonts w:cs="Times New Roman"/>
        </w:rPr>
        <w:instrText>Kunstwissenschaft</w:instrText>
      </w:r>
      <w:r w:rsidR="009D2C75">
        <w:instrText xml:space="preserve">" </w:instrText>
      </w:r>
      <w:r>
        <w:rPr>
          <w:rFonts w:cs="Times New Roman"/>
        </w:rPr>
        <w:fldChar w:fldCharType="end"/>
      </w:r>
      <w:r w:rsidR="003A6F8A">
        <w:rPr>
          <w:rFonts w:cs="Times New Roman"/>
        </w:rPr>
        <w:t xml:space="preserve"> sowie der Architekturwissenschaft</w:t>
      </w:r>
      <w:r>
        <w:rPr>
          <w:rFonts w:cs="Times New Roman"/>
        </w:rPr>
        <w:fldChar w:fldCharType="begin"/>
      </w:r>
      <w:r w:rsidR="004C103F">
        <w:instrText xml:space="preserve"> XE "</w:instrText>
      </w:r>
      <w:r w:rsidR="004C103F" w:rsidRPr="00C43D7C">
        <w:rPr>
          <w:rFonts w:cs="Times New Roman"/>
        </w:rPr>
        <w:instrText>Architekturwissenschaft</w:instrText>
      </w:r>
      <w:r w:rsidR="004C103F">
        <w:instrText xml:space="preserve">" </w:instrText>
      </w:r>
      <w:r>
        <w:rPr>
          <w:rFonts w:cs="Times New Roman"/>
        </w:rPr>
        <w:fldChar w:fldCharType="end"/>
      </w:r>
      <w:r w:rsidR="003A6F8A">
        <w:rPr>
          <w:rFonts w:cs="Times New Roman"/>
        </w:rPr>
        <w:t>.</w:t>
      </w:r>
      <w:r w:rsidR="003A6F8A">
        <w:rPr>
          <w:rStyle w:val="Funotenzeichen"/>
          <w:rFonts w:cs="Times New Roman"/>
        </w:rPr>
        <w:footnoteReference w:id="627"/>
      </w:r>
      <w:r w:rsidR="003A6F8A">
        <w:rPr>
          <w:rFonts w:cs="Times New Roman"/>
        </w:rPr>
        <w:t xml:space="preserve"> </w:t>
      </w:r>
      <w:r w:rsidR="00C92503">
        <w:rPr>
          <w:rFonts w:cs="Times New Roman"/>
        </w:rPr>
        <w:t>Stile gibt es jedoch bei allen Verhaltens</w:t>
      </w:r>
      <w:r w:rsidR="003A1FD3">
        <w:rPr>
          <w:rFonts w:cs="Times New Roman"/>
        </w:rPr>
        <w:noBreakHyphen/>
      </w:r>
      <w:r w:rsidR="00C92503">
        <w:rPr>
          <w:rFonts w:cs="Times New Roman"/>
        </w:rPr>
        <w:t>, Artefakt</w:t>
      </w:r>
      <w:r w:rsidR="003A1FD3">
        <w:rPr>
          <w:rFonts w:cs="Times New Roman"/>
        </w:rPr>
        <w:noBreakHyphen/>
      </w:r>
      <w:r w:rsidR="00C92503">
        <w:rPr>
          <w:rFonts w:cs="Times New Roman"/>
        </w:rPr>
        <w:t xml:space="preserve"> und Textschemata. Da ästh</w:t>
      </w:r>
      <w:r w:rsidR="00C92503">
        <w:rPr>
          <w:rFonts w:cs="Times New Roman"/>
        </w:rPr>
        <w:t>e</w:t>
      </w:r>
      <w:r w:rsidR="00C92503">
        <w:rPr>
          <w:rFonts w:cs="Times New Roman"/>
        </w:rPr>
        <w:t>tische Artefakte</w:t>
      </w:r>
      <w:r w:rsidR="00875D1F">
        <w:rPr>
          <w:rFonts w:cs="Times New Roman"/>
        </w:rPr>
        <w:t>,</w:t>
      </w:r>
      <w:r w:rsidR="00C92503">
        <w:rPr>
          <w:rFonts w:cs="Times New Roman"/>
        </w:rPr>
        <w:t xml:space="preserve"> </w:t>
      </w:r>
      <w:r w:rsidR="00875D1F">
        <w:rPr>
          <w:rFonts w:cs="Times New Roman"/>
        </w:rPr>
        <w:t>ästhetische Texte und ästhetisches Verhalten (sofern man de</w:t>
      </w:r>
      <w:r w:rsidR="00875D1F">
        <w:rPr>
          <w:rFonts w:cs="Times New Roman"/>
        </w:rPr>
        <w:t>s</w:t>
      </w:r>
      <w:r w:rsidR="00875D1F">
        <w:rPr>
          <w:rFonts w:cs="Times New Roman"/>
        </w:rPr>
        <w:t xml:space="preserve">sen Existenz annimmt, </w:t>
      </w:r>
      <w:r w:rsidR="009C5783">
        <w:rPr>
          <w:rFonts w:cs="Times New Roman"/>
        </w:rPr>
        <w:t xml:space="preserve">etwa in Form von </w:t>
      </w:r>
      <w:r w:rsidR="00C92503">
        <w:rPr>
          <w:rFonts w:cs="Times New Roman"/>
        </w:rPr>
        <w:t>Happenings</w:t>
      </w:r>
      <w:r>
        <w:rPr>
          <w:rFonts w:cs="Times New Roman"/>
        </w:rPr>
        <w:fldChar w:fldCharType="begin"/>
      </w:r>
      <w:r w:rsidR="008578F7">
        <w:instrText xml:space="preserve"> XE "</w:instrText>
      </w:r>
      <w:r w:rsidR="008578F7" w:rsidRPr="00C13139">
        <w:rPr>
          <w:rFonts w:cs="Times New Roman"/>
        </w:rPr>
        <w:instrText>Happening</w:instrText>
      </w:r>
      <w:r w:rsidR="008578F7">
        <w:instrText xml:space="preserve">" </w:instrText>
      </w:r>
      <w:r>
        <w:rPr>
          <w:rFonts w:cs="Times New Roman"/>
        </w:rPr>
        <w:fldChar w:fldCharType="end"/>
      </w:r>
      <w:r w:rsidR="009C5783">
        <w:rPr>
          <w:rFonts w:cs="Times New Roman"/>
        </w:rPr>
        <w:t>) jeweils Unterkategorien der Artefakte</w:t>
      </w:r>
      <w:r w:rsidR="00C92503">
        <w:rPr>
          <w:rFonts w:cs="Times New Roman"/>
        </w:rPr>
        <w:t xml:space="preserve">, </w:t>
      </w:r>
      <w:r w:rsidR="009C5783">
        <w:rPr>
          <w:rFonts w:cs="Times New Roman"/>
        </w:rPr>
        <w:t xml:space="preserve">Texte und Verhalten sind, </w:t>
      </w:r>
      <w:r w:rsidR="00C92503">
        <w:rPr>
          <w:rFonts w:cs="Times New Roman"/>
        </w:rPr>
        <w:t>gibt es Stile innerhalb wie außerhalb des Bereichs ästhetischer Realisierungen</w:t>
      </w:r>
      <w:r w:rsidR="005A2D03">
        <w:rPr>
          <w:rFonts w:cs="Times New Roman"/>
        </w:rPr>
        <w:t xml:space="preserve"> (worunter Realisierungen verstanden werden sollen, die unter maßgeblicher Berücksichtigung ästhetischer Aspekte </w:t>
      </w:r>
      <w:r w:rsidR="008868A8">
        <w:rPr>
          <w:rFonts w:cs="Times New Roman"/>
        </w:rPr>
        <w:t xml:space="preserve">erzeugt </w:t>
      </w:r>
      <w:r w:rsidR="005A2D03">
        <w:rPr>
          <w:rFonts w:cs="Times New Roman"/>
        </w:rPr>
        <w:t>und wahrgenommen werden).</w:t>
      </w:r>
    </w:p>
    <w:p w:rsidR="001A241A" w:rsidRDefault="001A241A" w:rsidP="001E4EA2">
      <w:pPr>
        <w:pStyle w:val="Text"/>
        <w:rPr>
          <w:rFonts w:cs="Times New Roman"/>
        </w:rPr>
      </w:pPr>
      <w:r>
        <w:rPr>
          <w:rFonts w:cs="Times New Roman"/>
        </w:rPr>
        <w:t>Es ist allerdings richtig, dass Stil gerade in ästhetischen Realisierungen oft eine wichtige Rolle spielt</w:t>
      </w:r>
      <w:r w:rsidR="005A2D03">
        <w:rPr>
          <w:rFonts w:cs="Times New Roman"/>
        </w:rPr>
        <w:t>.</w:t>
      </w:r>
      <w:r>
        <w:rPr>
          <w:rFonts w:cs="Times New Roman"/>
        </w:rPr>
        <w:t xml:space="preserve"> </w:t>
      </w:r>
      <w:r w:rsidR="005A2D03">
        <w:rPr>
          <w:rFonts w:cs="Times New Roman"/>
        </w:rPr>
        <w:t>Künstler sowie Architekten und Handwerker mit ä</w:t>
      </w:r>
      <w:r w:rsidR="005A2D03">
        <w:rPr>
          <w:rFonts w:cs="Times New Roman"/>
        </w:rPr>
        <w:t>s</w:t>
      </w:r>
      <w:r w:rsidR="005A2D03">
        <w:rPr>
          <w:rFonts w:cs="Times New Roman"/>
        </w:rPr>
        <w:t xml:space="preserve">thetischem Anspruch </w:t>
      </w:r>
      <w:r>
        <w:rPr>
          <w:rFonts w:cs="Times New Roman"/>
        </w:rPr>
        <w:t xml:space="preserve">haben zu allen Zeiten neue Stile entwickelt und nicht nur eine enorme Vielfalt von Individual- und Gruppenstilen, sondern auch besonders durchdachte, interessante und informationsreiche Stile </w:t>
      </w:r>
      <w:r w:rsidR="00523BE5">
        <w:rPr>
          <w:rFonts w:cs="Times New Roman"/>
        </w:rPr>
        <w:t>hervorgebracht</w:t>
      </w:r>
      <w:r>
        <w:rPr>
          <w:rFonts w:cs="Times New Roman"/>
        </w:rPr>
        <w:t xml:space="preserve">. Daher kann es als berechtigt gelten, dass Stile </w:t>
      </w:r>
      <w:r w:rsidR="005A2D03">
        <w:rPr>
          <w:rFonts w:cs="Times New Roman"/>
        </w:rPr>
        <w:t xml:space="preserve">von </w:t>
      </w:r>
      <w:r>
        <w:rPr>
          <w:rFonts w:cs="Times New Roman"/>
        </w:rPr>
        <w:t>ästhetischen Artefakten überpropo</w:t>
      </w:r>
      <w:r>
        <w:rPr>
          <w:rFonts w:cs="Times New Roman"/>
        </w:rPr>
        <w:t>r</w:t>
      </w:r>
      <w:r>
        <w:rPr>
          <w:rFonts w:cs="Times New Roman"/>
        </w:rPr>
        <w:t xml:space="preserve">tionale Aufmerksamkeit </w:t>
      </w:r>
      <w:r w:rsidR="00523BE5">
        <w:rPr>
          <w:rFonts w:cs="Times New Roman"/>
        </w:rPr>
        <w:t>erfahren</w:t>
      </w:r>
      <w:r>
        <w:rPr>
          <w:rFonts w:cs="Times New Roman"/>
        </w:rPr>
        <w:t>. In der wissenschaftlichen Praxis sind sie j</w:t>
      </w:r>
      <w:r>
        <w:rPr>
          <w:rFonts w:cs="Times New Roman"/>
        </w:rPr>
        <w:t>e</w:t>
      </w:r>
      <w:r>
        <w:rPr>
          <w:rFonts w:cs="Times New Roman"/>
        </w:rPr>
        <w:t xml:space="preserve">doch in einem Maß überrepräsentiert, das nicht als angemessen erscheint; einmal </w:t>
      </w:r>
      <w:r>
        <w:rPr>
          <w:rFonts w:cs="Times New Roman"/>
        </w:rPr>
        <w:lastRenderedPageBreak/>
        <w:t xml:space="preserve">abgesehen von </w:t>
      </w:r>
      <w:r w:rsidR="00523BE5">
        <w:rPr>
          <w:rFonts w:cs="Times New Roman"/>
        </w:rPr>
        <w:t xml:space="preserve">einigen Inseln, wie </w:t>
      </w:r>
      <w:r>
        <w:rPr>
          <w:rFonts w:cs="Times New Roman"/>
        </w:rPr>
        <w:t xml:space="preserve">den inzwischen gut erforschten Stilen nicht-literarischer sprachlicher Texte </w:t>
      </w:r>
      <w:r w:rsidR="00523BE5">
        <w:rPr>
          <w:rFonts w:cs="Times New Roman"/>
        </w:rPr>
        <w:t xml:space="preserve">oder den Stilen gesellschaftlichen </w:t>
      </w:r>
      <w:r>
        <w:rPr>
          <w:rFonts w:cs="Times New Roman"/>
        </w:rPr>
        <w:t>Auftretens</w:t>
      </w:r>
      <w:r w:rsidR="00523BE5">
        <w:rPr>
          <w:rFonts w:cs="Times New Roman"/>
        </w:rPr>
        <w:t>, die in einer endlosen Ratgeberliteratur breitgetreten werden</w:t>
      </w:r>
      <w:r>
        <w:rPr>
          <w:rFonts w:cs="Times New Roman"/>
        </w:rPr>
        <w:t xml:space="preserve">, sind nicht-ästhetische Stile </w:t>
      </w:r>
      <w:r w:rsidR="00523BE5">
        <w:rPr>
          <w:rFonts w:cs="Times New Roman"/>
        </w:rPr>
        <w:t xml:space="preserve">meist </w:t>
      </w:r>
      <w:r>
        <w:rPr>
          <w:rFonts w:cs="Times New Roman"/>
        </w:rPr>
        <w:t>vernachlässigt worden. Dies muss die Stilforschung</w:t>
      </w:r>
      <w:r w:rsidR="005D7996">
        <w:rPr>
          <w:rFonts w:cs="Times New Roman"/>
        </w:rPr>
        <w:fldChar w:fldCharType="begin"/>
      </w:r>
      <w:r w:rsidR="00262183">
        <w:instrText xml:space="preserve"> XE "</w:instrText>
      </w:r>
      <w:r w:rsidR="00262183" w:rsidRPr="0078486D">
        <w:instrText>Stilforschung</w:instrText>
      </w:r>
      <w:r w:rsidR="00262183">
        <w:instrText xml:space="preserve">" </w:instrText>
      </w:r>
      <w:r w:rsidR="005D7996">
        <w:rPr>
          <w:rFonts w:cs="Times New Roman"/>
        </w:rPr>
        <w:fldChar w:fldCharType="end"/>
      </w:r>
      <w:r>
        <w:rPr>
          <w:rFonts w:cs="Times New Roman"/>
        </w:rPr>
        <w:t xml:space="preserve"> ändern, wenn sie ein Bild </w:t>
      </w:r>
      <w:r w:rsidR="00523BE5">
        <w:rPr>
          <w:rFonts w:cs="Times New Roman"/>
        </w:rPr>
        <w:t>des Phänomens Stil in seiner ganzen Breite erhalten möchte.</w:t>
      </w:r>
    </w:p>
    <w:p w:rsidR="003170D6" w:rsidRDefault="00C92503" w:rsidP="001E4EA2">
      <w:pPr>
        <w:pStyle w:val="Text"/>
        <w:rPr>
          <w:rFonts w:cs="Times New Roman"/>
        </w:rPr>
      </w:pPr>
      <w:r>
        <w:rPr>
          <w:rFonts w:cs="Times New Roman"/>
        </w:rPr>
        <w:t xml:space="preserve">Was </w:t>
      </w:r>
      <w:r w:rsidR="006552C7">
        <w:rPr>
          <w:rFonts w:cs="Times New Roman"/>
        </w:rPr>
        <w:t>ästhetische Phänomene sind</w:t>
      </w:r>
      <w:r>
        <w:rPr>
          <w:rFonts w:cs="Times New Roman"/>
        </w:rPr>
        <w:t xml:space="preserve">, ist aus semiotischer Sicht </w:t>
      </w:r>
      <w:r w:rsidR="006D337E">
        <w:rPr>
          <w:rFonts w:cs="Times New Roman"/>
        </w:rPr>
        <w:t>wiederholt u</w:t>
      </w:r>
      <w:r w:rsidR="006D337E">
        <w:rPr>
          <w:rFonts w:cs="Times New Roman"/>
        </w:rPr>
        <w:t>n</w:t>
      </w:r>
      <w:r w:rsidR="006D337E">
        <w:rPr>
          <w:rFonts w:cs="Times New Roman"/>
        </w:rPr>
        <w:t>tersucht worden</w:t>
      </w:r>
      <w:r w:rsidR="00523BE5">
        <w:rPr>
          <w:rFonts w:cs="Times New Roman"/>
        </w:rPr>
        <w:t>;</w:t>
      </w:r>
      <w:bookmarkStart w:id="490" w:name="_Ref267052280"/>
      <w:r>
        <w:rPr>
          <w:rStyle w:val="Funotenzeichen"/>
          <w:rFonts w:cs="Times New Roman"/>
        </w:rPr>
        <w:footnoteReference w:id="628"/>
      </w:r>
      <w:bookmarkEnd w:id="490"/>
      <w:r w:rsidR="00557520">
        <w:rPr>
          <w:rFonts w:cs="Times New Roman"/>
        </w:rPr>
        <w:t xml:space="preserve"> </w:t>
      </w:r>
      <w:r w:rsidR="00523BE5">
        <w:rPr>
          <w:rFonts w:cs="Times New Roman"/>
        </w:rPr>
        <w:t xml:space="preserve">und umgekehrt spielten </w:t>
      </w:r>
      <w:r w:rsidR="00557520">
        <w:rPr>
          <w:rFonts w:cs="Times New Roman"/>
        </w:rPr>
        <w:t>Zeichenkonzeptionen in der Ästh</w:t>
      </w:r>
      <w:r w:rsidR="00557520">
        <w:rPr>
          <w:rFonts w:cs="Times New Roman"/>
        </w:rPr>
        <w:t>e</w:t>
      </w:r>
      <w:r w:rsidR="00557520">
        <w:rPr>
          <w:rFonts w:cs="Times New Roman"/>
        </w:rPr>
        <w:t>tik stets eine wichtige Rolle.</w:t>
      </w:r>
      <w:r w:rsidR="00557520">
        <w:rPr>
          <w:rStyle w:val="Funotenzeichen"/>
        </w:rPr>
        <w:footnoteReference w:id="629"/>
      </w:r>
      <w:r w:rsidR="00E301BE">
        <w:rPr>
          <w:rFonts w:cs="Times New Roman"/>
        </w:rPr>
        <w:t xml:space="preserve"> </w:t>
      </w:r>
      <w:r w:rsidR="006D337E">
        <w:rPr>
          <w:rFonts w:cs="Times New Roman"/>
        </w:rPr>
        <w:t>Zwar ist immer wieder bestritten worden, dass die ästhetischen Eigenschaften von Kunstwerken Zeichen sind, allerdings geschah dies aufgrund einer engen Auffassung,</w:t>
      </w:r>
      <w:r w:rsidR="006D337E">
        <w:rPr>
          <w:rStyle w:val="Funotenzeichen"/>
          <w:rFonts w:cs="Times New Roman"/>
        </w:rPr>
        <w:footnoteReference w:id="630"/>
      </w:r>
      <w:r w:rsidR="006D337E">
        <w:rPr>
          <w:rFonts w:cs="Times New Roman"/>
        </w:rPr>
        <w:t xml:space="preserve"> die </w:t>
      </w:r>
      <w:r w:rsidR="003170D6">
        <w:rPr>
          <w:rFonts w:cs="Times New Roman"/>
        </w:rPr>
        <w:t xml:space="preserve">„Zeichen“ mehr oder minder mit „kodiertes Zeichen“ gleichsetzt und </w:t>
      </w:r>
      <w:r w:rsidR="006D337E">
        <w:rPr>
          <w:rFonts w:cs="Times New Roman"/>
        </w:rPr>
        <w:t>die Existenz vieler Arten von nicht-kodierten Zeichen</w:t>
      </w:r>
      <w:r w:rsidR="006D337E">
        <w:rPr>
          <w:rStyle w:val="Funotenzeichen"/>
          <w:rFonts w:cs="Times New Roman"/>
        </w:rPr>
        <w:footnoteReference w:id="631"/>
      </w:r>
      <w:r w:rsidR="006D337E">
        <w:rPr>
          <w:rFonts w:cs="Times New Roman"/>
        </w:rPr>
        <w:t xml:space="preserve"> nicht </w:t>
      </w:r>
      <w:r w:rsidR="003170D6">
        <w:rPr>
          <w:rFonts w:cs="Times New Roman"/>
        </w:rPr>
        <w:t>beachtet.</w:t>
      </w:r>
    </w:p>
    <w:p w:rsidR="006552C7" w:rsidRDefault="003170D6" w:rsidP="001E4EA2">
      <w:pPr>
        <w:pStyle w:val="Text"/>
        <w:rPr>
          <w:rFonts w:cs="Times New Roman"/>
        </w:rPr>
      </w:pPr>
      <w:r>
        <w:rPr>
          <w:rFonts w:cs="Times New Roman"/>
        </w:rPr>
        <w:t>Tatsächlich handelt es sich bei der ästhetischen Wahrnehmung, wie bei jeder Art der Wahrnehmung, um einen Zeichenprozess</w:t>
      </w:r>
      <w:r w:rsidR="00DD36BC">
        <w:rPr>
          <w:rFonts w:cs="Times New Roman"/>
        </w:rPr>
        <w:t>typ</w:t>
      </w:r>
      <w:r>
        <w:rPr>
          <w:rFonts w:cs="Times New Roman"/>
        </w:rPr>
        <w:t xml:space="preserve">; die meisten ästhetischen Zeichen werden zudem auch </w:t>
      </w:r>
      <w:r w:rsidR="00573FDD">
        <w:rPr>
          <w:rFonts w:cs="Times New Roman"/>
        </w:rPr>
        <w:t xml:space="preserve">von jemandem erzeugt </w:t>
      </w:r>
      <w:r>
        <w:rPr>
          <w:rFonts w:cs="Times New Roman"/>
        </w:rPr>
        <w:t>(die ästhetische Wahrne</w:t>
      </w:r>
      <w:r>
        <w:rPr>
          <w:rFonts w:cs="Times New Roman"/>
        </w:rPr>
        <w:t>h</w:t>
      </w:r>
      <w:r>
        <w:rPr>
          <w:rFonts w:cs="Times New Roman"/>
        </w:rPr>
        <w:t xml:space="preserve">mung kann </w:t>
      </w:r>
      <w:r w:rsidR="00523BE5">
        <w:rPr>
          <w:rFonts w:cs="Times New Roman"/>
        </w:rPr>
        <w:t xml:space="preserve">auch </w:t>
      </w:r>
      <w:r>
        <w:rPr>
          <w:rFonts w:cs="Times New Roman"/>
        </w:rPr>
        <w:t xml:space="preserve">dort angewendet werden, wo </w:t>
      </w:r>
      <w:r w:rsidR="00573FDD">
        <w:rPr>
          <w:rFonts w:cs="Times New Roman"/>
        </w:rPr>
        <w:t>dies nicht der Fall ist</w:t>
      </w:r>
      <w:r>
        <w:rPr>
          <w:rFonts w:cs="Times New Roman"/>
        </w:rPr>
        <w:t xml:space="preserve">, etwa auf eine nur nach funktionalen Kriterien gebaute Industrieanlage oder auf ein </w:t>
      </w:r>
      <w:r w:rsidR="006552C7">
        <w:rPr>
          <w:rFonts w:cs="Times New Roman"/>
        </w:rPr>
        <w:t>N</w:t>
      </w:r>
      <w:r w:rsidR="006552C7">
        <w:rPr>
          <w:rFonts w:cs="Times New Roman"/>
        </w:rPr>
        <w:t>a</w:t>
      </w:r>
      <w:r w:rsidR="006552C7">
        <w:rPr>
          <w:rFonts w:cs="Times New Roman"/>
        </w:rPr>
        <w:t xml:space="preserve">turphänomen). Es ergeben sich </w:t>
      </w:r>
      <w:r w:rsidR="00523BE5">
        <w:rPr>
          <w:rFonts w:cs="Times New Roman"/>
        </w:rPr>
        <w:t xml:space="preserve">einige </w:t>
      </w:r>
      <w:r w:rsidR="006552C7">
        <w:rPr>
          <w:rFonts w:cs="Times New Roman"/>
        </w:rPr>
        <w:t>Gemeinsamkeiten zwischen Stil und ä</w:t>
      </w:r>
      <w:r w:rsidR="006552C7">
        <w:rPr>
          <w:rFonts w:cs="Times New Roman"/>
        </w:rPr>
        <w:t>s</w:t>
      </w:r>
      <w:r w:rsidR="006552C7">
        <w:rPr>
          <w:rFonts w:cs="Times New Roman"/>
        </w:rPr>
        <w:t>thetischen Phänomenen:</w:t>
      </w:r>
    </w:p>
    <w:p w:rsidR="00523BE5" w:rsidRDefault="006552C7" w:rsidP="001E4EA2">
      <w:pPr>
        <w:pStyle w:val="Text"/>
        <w:rPr>
          <w:rFonts w:cs="Times New Roman"/>
        </w:rPr>
      </w:pPr>
      <w:r>
        <w:rPr>
          <w:rFonts w:cs="Times New Roman"/>
        </w:rPr>
        <w:t>(1)</w:t>
      </w:r>
      <w:r>
        <w:rPr>
          <w:rFonts w:cs="Times New Roman"/>
        </w:rPr>
        <w:tab/>
        <w:t>Beide sind Zeichen</w:t>
      </w:r>
      <w:r w:rsidR="00DD36BC">
        <w:rPr>
          <w:rFonts w:cs="Times New Roman"/>
        </w:rPr>
        <w:t>prozesstypen</w:t>
      </w:r>
      <w:r w:rsidR="005D7996">
        <w:fldChar w:fldCharType="begin"/>
      </w:r>
      <w:r w:rsidR="00112794">
        <w:instrText xml:space="preserve"> XE "</w:instrText>
      </w:r>
      <w:r w:rsidR="00112794" w:rsidRPr="002D4E66">
        <w:instrText>Stil:als Zeichenprozesstyp</w:instrText>
      </w:r>
      <w:r w:rsidR="00112794">
        <w:instrText>"</w:instrText>
      </w:r>
      <w:r w:rsidR="005D7996">
        <w:fldChar w:fldCharType="end"/>
      </w:r>
      <w:r w:rsidR="00523BE5">
        <w:rPr>
          <w:rFonts w:cs="Times New Roman"/>
        </w:rPr>
        <w:t>, die durch die Angabe spezieller B</w:t>
      </w:r>
      <w:r w:rsidR="00523BE5">
        <w:rPr>
          <w:rFonts w:cs="Times New Roman"/>
        </w:rPr>
        <w:t>e</w:t>
      </w:r>
      <w:r w:rsidR="00523BE5">
        <w:rPr>
          <w:rFonts w:cs="Times New Roman"/>
        </w:rPr>
        <w:t xml:space="preserve">dingungen </w:t>
      </w:r>
      <w:r w:rsidR="00281FE1">
        <w:rPr>
          <w:rFonts w:cs="Times New Roman"/>
        </w:rPr>
        <w:t xml:space="preserve">von anderen </w:t>
      </w:r>
      <w:r w:rsidR="00DD36BC">
        <w:rPr>
          <w:rFonts w:cs="Times New Roman"/>
        </w:rPr>
        <w:t xml:space="preserve">Zeichenprozesstypen </w:t>
      </w:r>
      <w:r w:rsidR="00523BE5">
        <w:rPr>
          <w:rFonts w:cs="Times New Roman"/>
        </w:rPr>
        <w:t>abgrenzbar sind</w:t>
      </w:r>
      <w:r w:rsidR="00281FE1">
        <w:rPr>
          <w:rFonts w:cs="Times New Roman"/>
        </w:rPr>
        <w:t>;</w:t>
      </w:r>
    </w:p>
    <w:p w:rsidR="006552C7" w:rsidRDefault="006552C7" w:rsidP="001E4EA2">
      <w:pPr>
        <w:pStyle w:val="Text"/>
        <w:rPr>
          <w:rFonts w:cs="Times New Roman"/>
        </w:rPr>
      </w:pPr>
      <w:r>
        <w:rPr>
          <w:rFonts w:cs="Times New Roman"/>
        </w:rPr>
        <w:t>(2)</w:t>
      </w:r>
      <w:r>
        <w:rPr>
          <w:rFonts w:cs="Times New Roman"/>
        </w:rPr>
        <w:tab/>
        <w:t xml:space="preserve">bei beiden werden </w:t>
      </w:r>
      <w:r w:rsidR="00AC7B45">
        <w:rPr>
          <w:rFonts w:cs="Times New Roman"/>
        </w:rPr>
        <w:t xml:space="preserve">nicht-kodierte </w:t>
      </w:r>
      <w:r>
        <w:rPr>
          <w:rFonts w:cs="Times New Roman"/>
        </w:rPr>
        <w:t>Zeichen</w:t>
      </w:r>
      <w:r w:rsidR="00AC7B45">
        <w:rPr>
          <w:rFonts w:cs="Times New Roman"/>
        </w:rPr>
        <w:t xml:space="preserve"> </w:t>
      </w:r>
      <w:r w:rsidR="00897154">
        <w:rPr>
          <w:rFonts w:cs="Times New Roman"/>
        </w:rPr>
        <w:t>übermittelt</w:t>
      </w:r>
      <w:r w:rsidR="00AC7B45">
        <w:rPr>
          <w:rFonts w:cs="Times New Roman"/>
        </w:rPr>
        <w:t>;</w:t>
      </w:r>
    </w:p>
    <w:p w:rsidR="00AC7B45" w:rsidRDefault="00AC7B45" w:rsidP="001E4EA2">
      <w:pPr>
        <w:pStyle w:val="Text"/>
        <w:rPr>
          <w:rFonts w:cs="Times New Roman"/>
        </w:rPr>
      </w:pPr>
      <w:r>
        <w:rPr>
          <w:rFonts w:cs="Times New Roman"/>
        </w:rPr>
        <w:t>(3)</w:t>
      </w:r>
      <w:r>
        <w:rPr>
          <w:rFonts w:cs="Times New Roman"/>
        </w:rPr>
        <w:tab/>
        <w:t>für den Empfang von ästhetischen wie von stilistischen Zeichen bedarf es keines auswendiggelernten Repertoires an Zeichen und Verwendungsregeln (also Kodes/Zeichensystem</w:t>
      </w:r>
      <w:r w:rsidR="00F938A4">
        <w:rPr>
          <w:rFonts w:cs="Times New Roman"/>
        </w:rPr>
        <w:t>s</w:t>
      </w:r>
      <w:r>
        <w:rPr>
          <w:rFonts w:cs="Times New Roman"/>
        </w:rPr>
        <w:t>), dafür aber einer gewissen Sensibilität und Erfa</w:t>
      </w:r>
      <w:r>
        <w:rPr>
          <w:rFonts w:cs="Times New Roman"/>
        </w:rPr>
        <w:t>h</w:t>
      </w:r>
      <w:r>
        <w:rPr>
          <w:rFonts w:cs="Times New Roman"/>
        </w:rPr>
        <w:t>rung;</w:t>
      </w:r>
    </w:p>
    <w:p w:rsidR="001F4216" w:rsidRDefault="00AC7B45" w:rsidP="001E4EA2">
      <w:pPr>
        <w:pStyle w:val="Text"/>
        <w:rPr>
          <w:rFonts w:cs="Times New Roman"/>
        </w:rPr>
      </w:pPr>
      <w:r>
        <w:rPr>
          <w:rFonts w:cs="Times New Roman"/>
        </w:rPr>
        <w:t>(4)</w:t>
      </w:r>
      <w:r>
        <w:rPr>
          <w:rFonts w:cs="Times New Roman"/>
        </w:rPr>
        <w:tab/>
        <w:t>bei beiden Phänomenen unterscheiden sich Senderzeichen</w:t>
      </w:r>
      <w:r w:rsidR="005D7996">
        <w:rPr>
          <w:szCs w:val="17"/>
        </w:rPr>
        <w:fldChar w:fldCharType="begin"/>
      </w:r>
      <w:r w:rsidR="00F2338E">
        <w:instrText xml:space="preserve"> XE "Sender</w:instrText>
      </w:r>
      <w:r w:rsidR="00F2338E" w:rsidRPr="0078449A">
        <w:instrText>zeichen</w:instrText>
      </w:r>
      <w:r w:rsidR="00F2338E">
        <w:instrText xml:space="preserve">" </w:instrText>
      </w:r>
      <w:r w:rsidR="005D7996">
        <w:rPr>
          <w:szCs w:val="17"/>
        </w:rPr>
        <w:fldChar w:fldCharType="end"/>
      </w:r>
      <w:r>
        <w:rPr>
          <w:rFonts w:cs="Times New Roman"/>
        </w:rPr>
        <w:t xml:space="preserve"> und Em</w:t>
      </w:r>
      <w:r>
        <w:rPr>
          <w:rFonts w:cs="Times New Roman"/>
        </w:rPr>
        <w:t>p</w:t>
      </w:r>
      <w:r>
        <w:rPr>
          <w:rFonts w:cs="Times New Roman"/>
        </w:rPr>
        <w:t>fängerzeichen</w:t>
      </w:r>
      <w:r w:rsidR="005D7996">
        <w:rPr>
          <w:szCs w:val="17"/>
        </w:rPr>
        <w:fldChar w:fldCharType="begin"/>
      </w:r>
      <w:r w:rsidR="00F2338E">
        <w:instrText xml:space="preserve"> XE "Empfänger</w:instrText>
      </w:r>
      <w:r w:rsidR="00F2338E" w:rsidRPr="0078449A">
        <w:instrText>zeichen</w:instrText>
      </w:r>
      <w:r w:rsidR="00F2338E">
        <w:instrText xml:space="preserve">" </w:instrText>
      </w:r>
      <w:r w:rsidR="005D7996">
        <w:rPr>
          <w:szCs w:val="17"/>
        </w:rPr>
        <w:fldChar w:fldCharType="end"/>
      </w:r>
      <w:r>
        <w:rPr>
          <w:rFonts w:cs="Times New Roman"/>
        </w:rPr>
        <w:t xml:space="preserve"> stärker als bei kodierten (oder einfachen nicht-kodierten) Ze</w:t>
      </w:r>
      <w:r>
        <w:rPr>
          <w:rFonts w:cs="Times New Roman"/>
        </w:rPr>
        <w:t>i</w:t>
      </w:r>
      <w:r>
        <w:rPr>
          <w:rFonts w:cs="Times New Roman"/>
        </w:rPr>
        <w:t xml:space="preserve">chenprozessen, was auch eine stärkere Varianz der </w:t>
      </w:r>
      <w:r w:rsidR="00CC7A3C">
        <w:rPr>
          <w:rFonts w:cs="Times New Roman"/>
        </w:rPr>
        <w:t>zu einem bestimmten Sende</w:t>
      </w:r>
      <w:r w:rsidR="00CC7A3C">
        <w:rPr>
          <w:rFonts w:cs="Times New Roman"/>
        </w:rPr>
        <w:t>r</w:t>
      </w:r>
      <w:r w:rsidR="00CC7A3C">
        <w:rPr>
          <w:rFonts w:cs="Times New Roman"/>
        </w:rPr>
        <w:t xml:space="preserve">zeichen gebildeten </w:t>
      </w:r>
      <w:r>
        <w:rPr>
          <w:rFonts w:cs="Times New Roman"/>
        </w:rPr>
        <w:t>Empfänger</w:t>
      </w:r>
      <w:r w:rsidR="00CC7A3C">
        <w:rPr>
          <w:rFonts w:cs="Times New Roman"/>
        </w:rPr>
        <w:t xml:space="preserve">zeichen </w:t>
      </w:r>
      <w:r>
        <w:rPr>
          <w:rFonts w:cs="Times New Roman"/>
        </w:rPr>
        <w:t>bewirkt.</w:t>
      </w:r>
    </w:p>
    <w:p w:rsidR="002204AA" w:rsidRPr="001F4216" w:rsidRDefault="002204AA" w:rsidP="002204AA">
      <w:pPr>
        <w:pStyle w:val="Text"/>
        <w:rPr>
          <w:rFonts w:cs="Times New Roman"/>
        </w:rPr>
      </w:pPr>
      <w:r>
        <w:rPr>
          <w:rFonts w:cs="Times New Roman"/>
        </w:rPr>
        <w:lastRenderedPageBreak/>
        <w:t>Trotz dieser Gemeinsamkeiten sind Stil und ästhetische Eigenschaften klar unterscheidbare Phänomene. Bei einer gegebenen Realisierung sind stilistische und ästhetische Aspekte nicht deckungsgleich:</w:t>
      </w:r>
    </w:p>
    <w:p w:rsidR="001F4216" w:rsidRPr="001F4216" w:rsidRDefault="007B4F1A" w:rsidP="002204AA">
      <w:pPr>
        <w:pStyle w:val="Text"/>
      </w:pPr>
      <w:r>
        <w:rPr>
          <w:rFonts w:cs="Times New Roman"/>
        </w:rPr>
        <w:t>(a)</w:t>
      </w:r>
      <w:r w:rsidRPr="001F4216">
        <w:rPr>
          <w:rFonts w:cs="Times New Roman"/>
        </w:rPr>
        <w:tab/>
      </w:r>
      <w:r>
        <w:rPr>
          <w:rFonts w:cs="Times New Roman"/>
        </w:rPr>
        <w:t>Die ä</w:t>
      </w:r>
      <w:r>
        <w:t>sthetischen Aspekte einer Realisierung umfassen nicht nur ästh</w:t>
      </w:r>
      <w:r>
        <w:t>e</w:t>
      </w:r>
      <w:r>
        <w:t xml:space="preserve">tische Aspekte des Stils, sondern </w:t>
      </w:r>
      <w:r w:rsidRPr="001F4216">
        <w:t xml:space="preserve">auch </w:t>
      </w:r>
      <w:r>
        <w:t>ästhetische Aspekte</w:t>
      </w:r>
      <w:r w:rsidRPr="001F4216">
        <w:t xml:space="preserve"> des Inhalts und </w:t>
      </w:r>
      <w:r>
        <w:t xml:space="preserve">des Ausdrucks (bei </w:t>
      </w:r>
      <w:r w:rsidR="000E503D">
        <w:t>Zeichengebrauch</w:t>
      </w:r>
      <w:r>
        <w:t>) sowie ästhetische Aspekte, die durch die Funktion bedingt sind: Bei einer Dampfmaschine etwa können Kessel, Röhren und Gestänge sowie Materialien und Bewegungsabläufe stärker ästhetisch wirken als stilistische Aspekte der Ausführung.</w:t>
      </w:r>
    </w:p>
    <w:p w:rsidR="001F4216" w:rsidRPr="001F4216" w:rsidRDefault="001F4216" w:rsidP="001F4216">
      <w:pPr>
        <w:pStyle w:val="Text"/>
      </w:pPr>
      <w:r w:rsidRPr="001F4216">
        <w:rPr>
          <w:rFonts w:cs="Times New Roman"/>
        </w:rPr>
        <w:t>(</w:t>
      </w:r>
      <w:r w:rsidR="000D5E7A">
        <w:rPr>
          <w:rFonts w:cs="Times New Roman"/>
        </w:rPr>
        <w:t>b</w:t>
      </w:r>
      <w:r w:rsidRPr="001F4216">
        <w:rPr>
          <w:rFonts w:cs="Times New Roman"/>
        </w:rPr>
        <w:t>)</w:t>
      </w:r>
      <w:r w:rsidRPr="001F4216">
        <w:rPr>
          <w:rFonts w:cs="Times New Roman"/>
        </w:rPr>
        <w:tab/>
      </w:r>
      <w:r w:rsidR="00603EDA">
        <w:rPr>
          <w:rFonts w:cs="Times New Roman"/>
        </w:rPr>
        <w:t>Bei einer Realisierung mit ästhetischen Aspekten müssen nicht alle Merkmal</w:t>
      </w:r>
      <w:r w:rsidR="00F92585">
        <w:rPr>
          <w:rFonts w:cs="Times New Roman"/>
        </w:rPr>
        <w:t>sregeln</w:t>
      </w:r>
      <w:r w:rsidR="00603EDA">
        <w:rPr>
          <w:rFonts w:cs="Times New Roman"/>
        </w:rPr>
        <w:t xml:space="preserve"> des Stils zu diesen ästhetischen Aspekten gehören. </w:t>
      </w:r>
      <w:r w:rsidRPr="001F4216">
        <w:t xml:space="preserve">Es kann auch Aspekte des Stils geben, die nicht in die </w:t>
      </w:r>
      <w:r w:rsidR="00603EDA">
        <w:t>ästhetische Wirkung eingehen.</w:t>
      </w:r>
      <w:r w:rsidRPr="001F4216">
        <w:t xml:space="preserve"> Stil </w:t>
      </w:r>
      <w:r w:rsidR="00603EDA">
        <w:t xml:space="preserve">kann </w:t>
      </w:r>
      <w:r w:rsidRPr="001F4216">
        <w:t>also auch bei künstlerischen Artefakten nicht ein</w:t>
      </w:r>
      <w:r w:rsidR="00603EDA">
        <w:t xml:space="preserve">fach unter die ästhetischen Eigenschaften gezählt werden. </w:t>
      </w:r>
      <w:r w:rsidRPr="001F4216">
        <w:t>Allerd</w:t>
      </w:r>
      <w:r w:rsidR="009F318C">
        <w:t>i</w:t>
      </w:r>
      <w:r w:rsidRPr="001F4216">
        <w:t xml:space="preserve">ngs hat der Stil </w:t>
      </w:r>
      <w:r w:rsidR="00603EDA">
        <w:t xml:space="preserve">meist </w:t>
      </w:r>
      <w:r w:rsidRPr="001F4216">
        <w:t xml:space="preserve">eine </w:t>
      </w:r>
      <w:r w:rsidR="00603EDA">
        <w:t>wichtige ästhet</w:t>
      </w:r>
      <w:r w:rsidR="00603EDA">
        <w:t>i</w:t>
      </w:r>
      <w:r w:rsidR="00603EDA">
        <w:t xml:space="preserve">sche Funktion; die </w:t>
      </w:r>
      <w:r w:rsidRPr="001F4216">
        <w:t xml:space="preserve">Ästhetik </w:t>
      </w:r>
      <w:r w:rsidR="00603EDA">
        <w:t xml:space="preserve">muss sich </w:t>
      </w:r>
      <w:r w:rsidRPr="001F4216">
        <w:t xml:space="preserve">daher immer </w:t>
      </w:r>
      <w:r w:rsidR="00603EDA">
        <w:t xml:space="preserve">auch </w:t>
      </w:r>
      <w:r w:rsidRPr="001F4216">
        <w:t xml:space="preserve">mit </w:t>
      </w:r>
      <w:r w:rsidR="00603EDA">
        <w:t xml:space="preserve">dem </w:t>
      </w:r>
      <w:r w:rsidRPr="001F4216">
        <w:t xml:space="preserve">Stil </w:t>
      </w:r>
      <w:r w:rsidR="00603EDA">
        <w:t xml:space="preserve">der von ihr untersuchten Realisierungen </w:t>
      </w:r>
      <w:r w:rsidRPr="001F4216">
        <w:t>beschäftigen</w:t>
      </w:r>
      <w:r w:rsidR="00603EDA">
        <w:t>.</w:t>
      </w:r>
    </w:p>
    <w:p w:rsidR="00E16468" w:rsidRDefault="00E16468" w:rsidP="00E16468">
      <w:pPr>
        <w:pStyle w:val="Titel3"/>
      </w:pPr>
      <w:bookmarkStart w:id="491" w:name="_Ref256202619"/>
      <w:bookmarkStart w:id="492" w:name="_Toc325456827"/>
      <w:bookmarkStart w:id="493" w:name="Natur"/>
      <w:bookmarkEnd w:id="489"/>
      <w:r>
        <w:t>Stil</w:t>
      </w:r>
      <w:r w:rsidR="00130ADB">
        <w:t>e</w:t>
      </w:r>
      <w:r>
        <w:t xml:space="preserve"> </w:t>
      </w:r>
      <w:r w:rsidR="00130ADB">
        <w:t>in der Natur?</w:t>
      </w:r>
      <w:bookmarkEnd w:id="491"/>
      <w:bookmarkEnd w:id="492"/>
    </w:p>
    <w:p w:rsidR="00A94394" w:rsidRDefault="005D7996" w:rsidP="00213F14">
      <w:pPr>
        <w:pStyle w:val="Text"/>
        <w:ind w:firstLine="0"/>
      </w:pPr>
      <w:r>
        <w:fldChar w:fldCharType="begin"/>
      </w:r>
      <w:r w:rsidR="00F276A2">
        <w:instrText xml:space="preserve"> XE "Natur" \r "Natur"</w:instrText>
      </w:r>
      <w:r w:rsidR="009E3151">
        <w:instrText xml:space="preserve"> </w:instrText>
      </w:r>
      <w:r>
        <w:fldChar w:fldCharType="end"/>
      </w:r>
      <w:r w:rsidR="003D657C">
        <w:t xml:space="preserve">Bisweilen </w:t>
      </w:r>
      <w:r w:rsidR="00E16468">
        <w:t xml:space="preserve">ist überlegt worden, Stil auf die Natur und ihre </w:t>
      </w:r>
      <w:r w:rsidR="00130ADB">
        <w:t>physikalischen, chem</w:t>
      </w:r>
      <w:r w:rsidR="00130ADB">
        <w:t>i</w:t>
      </w:r>
      <w:r w:rsidR="00130ADB">
        <w:t xml:space="preserve">schen und evolutionären </w:t>
      </w:r>
      <w:r w:rsidR="00E16468">
        <w:t>Gestaltungs</w:t>
      </w:r>
      <w:r w:rsidR="00130ADB">
        <w:t>vorgänge</w:t>
      </w:r>
      <w:r w:rsidR="00E16468">
        <w:t xml:space="preserve"> auszuweiten.</w:t>
      </w:r>
      <w:r w:rsidR="003D657C">
        <w:rPr>
          <w:rStyle w:val="Funotenzeichen"/>
        </w:rPr>
        <w:footnoteReference w:id="632"/>
      </w:r>
      <w:r w:rsidR="00E16468">
        <w:t xml:space="preserve"> Dies führt zu einem sehr allgemeinen Stilbegriff, der jede Art von spezifischer Gestaltung als Stil betrachtet: Dann wären etwa bestimmte Typen von Gesteinsformationen, die auf bestimmte Konstellationen von Umweltbedi</w:t>
      </w:r>
      <w:r w:rsidR="00145BB4">
        <w:t>ngungen zurückgehen, ‚G</w:t>
      </w:r>
      <w:r w:rsidR="00145BB4">
        <w:t>e</w:t>
      </w:r>
      <w:r w:rsidR="00145BB4">
        <w:t>steinsformationsstile‘</w:t>
      </w:r>
      <w:r w:rsidR="00E16468">
        <w:t xml:space="preserve">; bestimmte Formprinzipien bei </w:t>
      </w:r>
      <w:r w:rsidR="00FC2C16">
        <w:t xml:space="preserve">Pflanzen und </w:t>
      </w:r>
      <w:r w:rsidR="00E16468">
        <w:t xml:space="preserve">Tieren </w:t>
      </w:r>
      <w:r w:rsidR="00A94394">
        <w:t>wü</w:t>
      </w:r>
      <w:r w:rsidR="00A94394">
        <w:t>r</w:t>
      </w:r>
      <w:r w:rsidR="00A94394">
        <w:t xml:space="preserve">den als unterschiedliche Stile betrachtet, etwa die </w:t>
      </w:r>
      <w:r w:rsidR="00E16468">
        <w:t xml:space="preserve">Exoskelette </w:t>
      </w:r>
      <w:r w:rsidR="001A168A">
        <w:t>(</w:t>
      </w:r>
      <w:r w:rsidR="00A94394">
        <w:t xml:space="preserve">u.a. </w:t>
      </w:r>
      <w:r w:rsidR="001A168A">
        <w:t xml:space="preserve">bei </w:t>
      </w:r>
      <w:r w:rsidR="00E16468">
        <w:t>Insekten</w:t>
      </w:r>
      <w:r w:rsidR="001A168A">
        <w:t>)</w:t>
      </w:r>
      <w:r w:rsidR="00E16468">
        <w:t xml:space="preserve"> </w:t>
      </w:r>
      <w:r w:rsidR="00A94394">
        <w:t xml:space="preserve">und die Endoskelette </w:t>
      </w:r>
      <w:r w:rsidR="001A168A">
        <w:t>(u</w:t>
      </w:r>
      <w:r w:rsidR="00A94394">
        <w:t xml:space="preserve">.a. </w:t>
      </w:r>
      <w:r w:rsidR="001A168A">
        <w:t xml:space="preserve">bei </w:t>
      </w:r>
      <w:r w:rsidR="00A94394">
        <w:t>Wirbeltiere</w:t>
      </w:r>
      <w:r w:rsidR="001A168A">
        <w:t>n)</w:t>
      </w:r>
      <w:r w:rsidR="00145BB4">
        <w:t xml:space="preserve"> als unterschiedliche ‚Skelettstile‘, und die Keplerschen Gesetze könnten als ‚Himmelskörperbewegungsstil‘ b</w:t>
      </w:r>
      <w:r w:rsidR="00145BB4">
        <w:t>e</w:t>
      </w:r>
      <w:r w:rsidR="00145BB4">
        <w:t>schrieben werden</w:t>
      </w:r>
      <w:r w:rsidR="00A94394">
        <w:t>.</w:t>
      </w:r>
      <w:r w:rsidR="00585C88">
        <w:rPr>
          <w:rStyle w:val="Funotenzeichen"/>
        </w:rPr>
        <w:footnoteReference w:id="633"/>
      </w:r>
      <w:r w:rsidR="00A94394">
        <w:t xml:space="preserve"> </w:t>
      </w:r>
      <w:r w:rsidR="00E16468">
        <w:t xml:space="preserve">Der </w:t>
      </w:r>
      <w:r w:rsidR="00A94394">
        <w:t xml:space="preserve">alltagssprachliche </w:t>
      </w:r>
      <w:r w:rsidR="00E16468">
        <w:t xml:space="preserve">Stilbegriff deckt </w:t>
      </w:r>
      <w:r w:rsidR="00A94394">
        <w:t>diese Verwe</w:t>
      </w:r>
      <w:r w:rsidR="00A94394">
        <w:t>n</w:t>
      </w:r>
      <w:r w:rsidR="00A94394">
        <w:t>dung</w:t>
      </w:r>
      <w:r w:rsidR="00145BB4">
        <w:t>sweise</w:t>
      </w:r>
      <w:r w:rsidR="00A94394">
        <w:t xml:space="preserve"> nicht.</w:t>
      </w:r>
    </w:p>
    <w:p w:rsidR="00E16468" w:rsidRDefault="00A94394" w:rsidP="00E16468">
      <w:pPr>
        <w:pStyle w:val="Text"/>
      </w:pPr>
      <w:r>
        <w:t>Im hier vorgestellten Stilmodell ist die Grundlage für Stilbildung das Vo</w:t>
      </w:r>
      <w:r>
        <w:t>r</w:t>
      </w:r>
      <w:r>
        <w:t>handensein von Schemata, die realisiert werden. Diese werden als Verhalten</w:t>
      </w:r>
      <w:r>
        <w:t>s</w:t>
      </w:r>
      <w:r>
        <w:t>schemata, Artefaktschemata und Textschemata definiert, wobei Artefakte als Ergebnisse artefakterzeugenden Verhaltens (und damit einer Unterkategorie des Verhaltens) und Texte als Unterkategorie von Artefakten</w:t>
      </w:r>
      <w:r w:rsidR="008F62DD" w:rsidRPr="008F62DD">
        <w:t xml:space="preserve"> </w:t>
      </w:r>
      <w:r w:rsidR="008F62DD">
        <w:t>betrachtet werden</w:t>
      </w:r>
      <w:r>
        <w:t xml:space="preserve">, womit auch diese beiden Kategorien eng an Verhalten angebunden sind. </w:t>
      </w:r>
      <w:r w:rsidR="004E7436">
        <w:t xml:space="preserve">Stil </w:t>
      </w:r>
      <w:r w:rsidR="0074451E">
        <w:t>u</w:t>
      </w:r>
      <w:r w:rsidR="0074451E">
        <w:t>m</w:t>
      </w:r>
      <w:r w:rsidR="0074451E">
        <w:t xml:space="preserve">fasst </w:t>
      </w:r>
      <w:r w:rsidR="004E7436">
        <w:t xml:space="preserve">daher nur Gestaltungsweisen </w:t>
      </w:r>
      <w:r w:rsidR="008F62DD">
        <w:t xml:space="preserve">bei </w:t>
      </w:r>
      <w:r w:rsidR="004E7436">
        <w:t xml:space="preserve">schemabasiertem </w:t>
      </w:r>
      <w:r>
        <w:t>Verhalten</w:t>
      </w:r>
      <w:r w:rsidR="008F62DD">
        <w:t xml:space="preserve"> und dessen </w:t>
      </w:r>
      <w:r w:rsidR="008F62DD">
        <w:lastRenderedPageBreak/>
        <w:t>Ergebnissen</w:t>
      </w:r>
      <w:r w:rsidR="004E7436">
        <w:t>.</w:t>
      </w:r>
      <w:r w:rsidR="00B4058E">
        <w:t xml:space="preserve"> </w:t>
      </w:r>
      <w:r w:rsidR="0074451E">
        <w:t xml:space="preserve">Für Gestaltungsweisen in der unbelebten Natur steht der </w:t>
      </w:r>
      <w:r w:rsidR="00025716">
        <w:t>von Go</w:t>
      </w:r>
      <w:r w:rsidR="00025716">
        <w:t>e</w:t>
      </w:r>
      <w:r w:rsidR="00025716">
        <w:t>the</w:t>
      </w:r>
      <w:r w:rsidR="005D7996">
        <w:fldChar w:fldCharType="begin"/>
      </w:r>
      <w:r w:rsidR="00CB7900">
        <w:instrText xml:space="preserve"> XE "</w:instrText>
      </w:r>
      <w:r w:rsidR="00CB7900" w:rsidRPr="001842CB">
        <w:instrText>Goethe, Johann Wolfgang von</w:instrText>
      </w:r>
      <w:r w:rsidR="00CB7900">
        <w:instrText xml:space="preserve">" </w:instrText>
      </w:r>
      <w:r w:rsidR="005D7996">
        <w:fldChar w:fldCharType="end"/>
      </w:r>
      <w:r w:rsidR="00025716">
        <w:t xml:space="preserve"> eingeführte </w:t>
      </w:r>
      <w:r w:rsidR="0074451E">
        <w:t xml:space="preserve">Begriff </w:t>
      </w:r>
      <w:r w:rsidR="00C05939">
        <w:t>‚</w:t>
      </w:r>
      <w:r w:rsidR="0074451E">
        <w:t>Morphologie</w:t>
      </w:r>
      <w:r w:rsidR="005D7996">
        <w:fldChar w:fldCharType="begin"/>
      </w:r>
      <w:r w:rsidR="00025716">
        <w:instrText xml:space="preserve"> XE "</w:instrText>
      </w:r>
      <w:r w:rsidR="00025716" w:rsidRPr="00996F36">
        <w:instrText>Morphologie (Goethe)</w:instrText>
      </w:r>
      <w:r w:rsidR="00025716">
        <w:instrText xml:space="preserve">" </w:instrText>
      </w:r>
      <w:r w:rsidR="005D7996">
        <w:fldChar w:fldCharType="end"/>
      </w:r>
      <w:r w:rsidR="00C05939">
        <w:t>‘</w:t>
      </w:r>
      <w:r w:rsidR="0074451E">
        <w:t xml:space="preserve"> zur Verfügung.</w:t>
      </w:r>
      <w:r w:rsidR="0074451E">
        <w:rPr>
          <w:rStyle w:val="Funotenzeichen"/>
        </w:rPr>
        <w:footnoteReference w:id="634"/>
      </w:r>
    </w:p>
    <w:p w:rsidR="002D5193" w:rsidRDefault="00A94394" w:rsidP="00F6307A">
      <w:pPr>
        <w:pStyle w:val="Text"/>
      </w:pPr>
      <w:r>
        <w:t>Akzeptiert man dieses Abgrenzungskriterium, haben auch Tiere</w:t>
      </w:r>
      <w:r w:rsidR="004A08B0" w:rsidRPr="004A08B0">
        <w:t xml:space="preserve"> </w:t>
      </w:r>
      <w:r w:rsidR="004A08B0">
        <w:t>Stile</w:t>
      </w:r>
      <w:r>
        <w:t>, ins</w:t>
      </w:r>
      <w:r>
        <w:t>o</w:t>
      </w:r>
      <w:r>
        <w:t xml:space="preserve">weit ihr Verhalten schemagebunden </w:t>
      </w:r>
      <w:r w:rsidR="00130ADB">
        <w:t>ist</w:t>
      </w:r>
      <w:r>
        <w:t xml:space="preserve">. Dies muss allerdings ein Schemabegriff sein, der </w:t>
      </w:r>
      <w:r w:rsidR="00130ADB">
        <w:t xml:space="preserve">den </w:t>
      </w:r>
      <w:r>
        <w:t xml:space="preserve">Anforderungen </w:t>
      </w:r>
      <w:r w:rsidR="00130ADB">
        <w:t>des v</w:t>
      </w:r>
      <w:r w:rsidR="004E7436">
        <w:t>orgestellten Stilmodells genügt, wozu</w:t>
      </w:r>
      <w:r w:rsidR="00130ADB">
        <w:t xml:space="preserve"> </w:t>
      </w:r>
      <w:r w:rsidR="004E7436">
        <w:t>insb</w:t>
      </w:r>
      <w:r w:rsidR="004E7436">
        <w:t>e</w:t>
      </w:r>
      <w:r w:rsidR="004E7436">
        <w:t xml:space="preserve">sondere </w:t>
      </w:r>
      <w:r w:rsidR="00130ADB">
        <w:t>eine ausreichend</w:t>
      </w:r>
      <w:r w:rsidR="0007718B">
        <w:t>e</w:t>
      </w:r>
      <w:r w:rsidR="00130ADB">
        <w:t xml:space="preserve"> Unterdeterminierung von Realisierungen durch Schemata</w:t>
      </w:r>
      <w:r w:rsidR="004E7436">
        <w:t xml:space="preserve"> gehört:</w:t>
      </w:r>
      <w:r w:rsidR="00130ADB">
        <w:t xml:space="preserve"> Es müssen mit Hilfe von </w:t>
      </w:r>
      <w:r w:rsidR="00AD2226">
        <w:t>Schemaort-d</w:t>
      </w:r>
      <w:r w:rsidR="00130ADB">
        <w:t>efinierenden Eigenscha</w:t>
      </w:r>
      <w:r w:rsidR="00130ADB">
        <w:t>f</w:t>
      </w:r>
      <w:r w:rsidR="00130ADB">
        <w:t xml:space="preserve">ten </w:t>
      </w:r>
      <w:r w:rsidR="00721558">
        <w:t>Alter</w:t>
      </w:r>
      <w:r w:rsidR="00721558">
        <w:softHyphen/>
        <w:t>nativen</w:t>
      </w:r>
      <w:r w:rsidR="00721558">
        <w:softHyphen/>
        <w:t>klasse</w:t>
      </w:r>
      <w:r w:rsidR="00130ADB">
        <w:t xml:space="preserve">n gebildet werden können, innerhalb </w:t>
      </w:r>
      <w:r w:rsidR="009E6A10">
        <w:t xml:space="preserve">derer </w:t>
      </w:r>
      <w:r w:rsidR="00130ADB">
        <w:t>Variationsmö</w:t>
      </w:r>
      <w:r w:rsidR="00130ADB">
        <w:t>g</w:t>
      </w:r>
      <w:r w:rsidR="00130ADB">
        <w:t>lichkeit besteh</w:t>
      </w:r>
      <w:r w:rsidR="009E6A10">
        <w:t>t</w:t>
      </w:r>
      <w:r w:rsidR="00130ADB">
        <w:t xml:space="preserve">. Damit scheiden zu rigide Schemata aus, da sie </w:t>
      </w:r>
      <w:r w:rsidR="004E7436">
        <w:t>die auf ihnen b</w:t>
      </w:r>
      <w:r w:rsidR="004E7436">
        <w:t>a</w:t>
      </w:r>
      <w:r w:rsidR="004E7436">
        <w:t xml:space="preserve">sierenden </w:t>
      </w:r>
      <w:r w:rsidR="00623B8C">
        <w:t xml:space="preserve">Realisierungen </w:t>
      </w:r>
      <w:r w:rsidR="004E7436">
        <w:t>nicht ausreichend unterdeterminieren.</w:t>
      </w:r>
      <w:r w:rsidR="007266A5">
        <w:t xml:space="preserve"> </w:t>
      </w:r>
      <w:r w:rsidR="000472E3">
        <w:t xml:space="preserve">Bei manchen Tierarten scheinen die Schemata sehr genau das Verhalten festzulegen und wenig Verhaltensspielraum zu lassen; bei anderen dagegen </w:t>
      </w:r>
      <w:r w:rsidR="0041539D">
        <w:t xml:space="preserve">besteht </w:t>
      </w:r>
      <w:r w:rsidR="00B651D1">
        <w:t xml:space="preserve">größerer </w:t>
      </w:r>
      <w:r w:rsidR="0041539D">
        <w:t>Spielraum.</w:t>
      </w:r>
      <w:bookmarkStart w:id="494" w:name="_Ref212123895"/>
    </w:p>
    <w:p w:rsidR="00474D33" w:rsidRDefault="00474D33" w:rsidP="00F6307A">
      <w:pPr>
        <w:pStyle w:val="Text"/>
      </w:pPr>
      <w:r>
        <w:t>Nimmt man artübergreifende Verhaltensschemata (beispielsweise ‚Fortb</w:t>
      </w:r>
      <w:r>
        <w:t>e</w:t>
      </w:r>
      <w:r>
        <w:t>wegung‘, ‚Ernährung‘ oder ‚Jagdverhalten‘) an, kann man zudem artspezifisches Verhalten als Stil beschreiben</w:t>
      </w:r>
      <w:r w:rsidR="00D719EC">
        <w:t>: Es ergeben sich die charakteristischen Fortbew</w:t>
      </w:r>
      <w:r w:rsidR="00D719EC">
        <w:t>e</w:t>
      </w:r>
      <w:r w:rsidR="00D719EC">
        <w:t>gungsstile</w:t>
      </w:r>
      <w:r w:rsidR="005D7996">
        <w:fldChar w:fldCharType="begin"/>
      </w:r>
      <w:r w:rsidR="000313F5">
        <w:instrText xml:space="preserve"> XE "</w:instrText>
      </w:r>
      <w:r w:rsidR="000313F5" w:rsidRPr="004A3F46">
        <w:instrText>Fortbewegungsstil</w:instrText>
      </w:r>
      <w:r w:rsidR="000313F5">
        <w:instrText xml:space="preserve">" </w:instrText>
      </w:r>
      <w:r w:rsidR="005D7996">
        <w:fldChar w:fldCharType="end"/>
      </w:r>
      <w:r w:rsidR="00D719EC">
        <w:t xml:space="preserve"> der Frösche, Krebse, Enten, Antilopen</w:t>
      </w:r>
      <w:r w:rsidR="0092011B">
        <w:t xml:space="preserve"> </w:t>
      </w:r>
      <w:r w:rsidR="00D719EC">
        <w:t>oder die Ernährungsstile</w:t>
      </w:r>
      <w:r w:rsidR="005D7996">
        <w:fldChar w:fldCharType="begin"/>
      </w:r>
      <w:r w:rsidR="007A1F3B">
        <w:instrText xml:space="preserve"> XE "</w:instrText>
      </w:r>
      <w:r w:rsidR="007A1F3B" w:rsidRPr="00A1210C">
        <w:instrText>Ernährungsstil</w:instrText>
      </w:r>
      <w:r w:rsidR="007A1F3B">
        <w:instrText xml:space="preserve">" </w:instrText>
      </w:r>
      <w:r w:rsidR="005D7996">
        <w:fldChar w:fldCharType="end"/>
      </w:r>
      <w:r w:rsidR="00D719EC">
        <w:t xml:space="preserve"> der Kühe, Wölfe, Bienen …</w:t>
      </w:r>
    </w:p>
    <w:p w:rsidR="00EB1E36" w:rsidRDefault="00E8130F" w:rsidP="00EB1E36">
      <w:pPr>
        <w:pStyle w:val="Titel3"/>
      </w:pPr>
      <w:bookmarkStart w:id="495" w:name="_Ref268506459"/>
      <w:bookmarkStart w:id="496" w:name="_Toc325456828"/>
      <w:bookmarkStart w:id="497" w:name="normativ"/>
      <w:bookmarkEnd w:id="493"/>
      <w:bookmarkEnd w:id="494"/>
      <w:r>
        <w:t>Stil als normativer Begriff</w:t>
      </w:r>
      <w:bookmarkEnd w:id="495"/>
      <w:bookmarkEnd w:id="496"/>
    </w:p>
    <w:p w:rsidR="00EB1E36" w:rsidRDefault="005D7996" w:rsidP="00213F14">
      <w:pPr>
        <w:pStyle w:val="Text"/>
        <w:ind w:firstLine="0"/>
      </w:pPr>
      <w:r>
        <w:fldChar w:fldCharType="begin"/>
      </w:r>
      <w:r w:rsidR="00F276A2">
        <w:instrText xml:space="preserve"> XE "Stil:als normativer Begriff" \r "normativ"</w:instrText>
      </w:r>
      <w:r w:rsidR="009E3151">
        <w:instrText xml:space="preserve"> </w:instrText>
      </w:r>
      <w:r>
        <w:fldChar w:fldCharType="end"/>
      </w:r>
      <w:r>
        <w:fldChar w:fldCharType="begin"/>
      </w:r>
      <w:r w:rsidR="0062043C">
        <w:instrText xml:space="preserve"> XE "normative Stilbegriffe" \r "normativ" </w:instrText>
      </w:r>
      <w:r>
        <w:fldChar w:fldCharType="end"/>
      </w:r>
      <w:r w:rsidR="00EB1E36">
        <w:t xml:space="preserve">Neben deskriptiven </w:t>
      </w:r>
      <w:r w:rsidR="004605BF">
        <w:t xml:space="preserve">gibt es auch normative </w:t>
      </w:r>
      <w:r w:rsidR="00CA4A50">
        <w:t>Umgangsweisen mit Stil und norm</w:t>
      </w:r>
      <w:r w:rsidR="00CA4A50">
        <w:t>a</w:t>
      </w:r>
      <w:r w:rsidR="00CA4A50">
        <w:t xml:space="preserve">tive Stilbegriffe. </w:t>
      </w:r>
      <w:r w:rsidR="00EB1E36">
        <w:t>Normativ sind beispielsweise jene Stilratgeber</w:t>
      </w:r>
      <w:r>
        <w:fldChar w:fldCharType="begin"/>
      </w:r>
      <w:r w:rsidR="00E53A24">
        <w:instrText xml:space="preserve"> XE "</w:instrText>
      </w:r>
      <w:r w:rsidR="00E53A24" w:rsidRPr="00736559">
        <w:instrText>Stilratgeber</w:instrText>
      </w:r>
      <w:r w:rsidR="00E53A24">
        <w:instrText xml:space="preserve">" </w:instrText>
      </w:r>
      <w:r>
        <w:fldChar w:fldCharType="end"/>
      </w:r>
      <w:r w:rsidR="00EB1E36">
        <w:t xml:space="preserve">, die seit </w:t>
      </w:r>
      <w:r w:rsidR="004C5D40">
        <w:t>Jahrhu</w:t>
      </w:r>
      <w:r w:rsidR="004C5D40">
        <w:t>n</w:t>
      </w:r>
      <w:r w:rsidR="004C5D40">
        <w:t xml:space="preserve">derten </w:t>
      </w:r>
      <w:r w:rsidR="009875DB">
        <w:t>üblich</w:t>
      </w:r>
      <w:r w:rsidR="00FC050C">
        <w:t xml:space="preserve"> sind</w:t>
      </w:r>
      <w:r w:rsidR="00EB1E36">
        <w:t xml:space="preserve">; sie kamen </w:t>
      </w:r>
      <w:r w:rsidR="00D67EF8">
        <w:t xml:space="preserve">Mitte des </w:t>
      </w:r>
      <w:r w:rsidR="008F2BC4">
        <w:t>zwanzigsten Jahrhundert</w:t>
      </w:r>
      <w:r w:rsidR="00D67EF8">
        <w:t>s</w:t>
      </w:r>
      <w:r w:rsidR="008F2BC4">
        <w:t xml:space="preserve"> </w:t>
      </w:r>
      <w:r w:rsidR="00EB1E36">
        <w:t>aus der Mode</w:t>
      </w:r>
      <w:r w:rsidR="008F2BC4">
        <w:t>,</w:t>
      </w:r>
      <w:r w:rsidR="00EB1E36">
        <w:t xml:space="preserve"> erlebten </w:t>
      </w:r>
      <w:r w:rsidR="008F2BC4">
        <w:t xml:space="preserve">aber </w:t>
      </w:r>
      <w:r w:rsidR="00D67EF8">
        <w:t xml:space="preserve">in den letzten Jahren </w:t>
      </w:r>
      <w:r w:rsidR="00EB1E36">
        <w:t>eine Renaissance.</w:t>
      </w:r>
      <w:r w:rsidR="00EB1E36">
        <w:rPr>
          <w:rStyle w:val="Funotenzeichen"/>
        </w:rPr>
        <w:footnoteReference w:id="635"/>
      </w:r>
      <w:r w:rsidR="00EB1E36">
        <w:t xml:space="preserve"> Sie enthalten Regeln, wie man </w:t>
      </w:r>
      <w:r w:rsidR="006001BF">
        <w:t xml:space="preserve">zu welchem Anlass schreibt, wie man </w:t>
      </w:r>
      <w:r w:rsidR="00EB1E36">
        <w:t xml:space="preserve">sich zu welcher Gelegenheit anzieht, wen man auf welche Art zu grüßen hat, wie man </w:t>
      </w:r>
      <w:r w:rsidR="00B430A7">
        <w:t>status</w:t>
      </w:r>
      <w:r w:rsidR="00EB1E36">
        <w:t xml:space="preserve">fördernd isst, welche Tänze man beherrschen sollte und </w:t>
      </w:r>
      <w:r w:rsidR="003B3462">
        <w:t>zu welcher Gelegenheit man sie tanzt</w:t>
      </w:r>
      <w:r w:rsidR="00EB1E36">
        <w:t xml:space="preserve"> </w:t>
      </w:r>
      <w:r w:rsidR="00EB1E36">
        <w:rPr>
          <w:rFonts w:cs="Times New Roman"/>
        </w:rPr>
        <w:t>–</w:t>
      </w:r>
      <w:r w:rsidR="00EB1E36">
        <w:t xml:space="preserve"> </w:t>
      </w:r>
      <w:r w:rsidR="00305689">
        <w:t xml:space="preserve">also </w:t>
      </w:r>
      <w:r w:rsidR="00EB1E36">
        <w:t>Stile, die mit einer Wertung versehen vermittelt werden.</w:t>
      </w:r>
      <w:r w:rsidR="00C608BF">
        <w:t xml:space="preserve"> Die Normativität kann dabei explizit </w:t>
      </w:r>
      <w:r w:rsidR="00090C2A">
        <w:t>ausgesprochen werden</w:t>
      </w:r>
      <w:r w:rsidR="00EE7D6D">
        <w:t xml:space="preserve">; manchmal wird sie </w:t>
      </w:r>
      <w:r w:rsidR="00090C2A">
        <w:t>aber auch in den Stilb</w:t>
      </w:r>
      <w:r w:rsidR="00090C2A">
        <w:t>e</w:t>
      </w:r>
      <w:r w:rsidR="00090C2A">
        <w:t xml:space="preserve">griff verlegt, indem nur die als richtig behaupteten Stile überhaupt als „Stil“ </w:t>
      </w:r>
      <w:r w:rsidR="001328C4">
        <w:t>b</w:t>
      </w:r>
      <w:r w:rsidR="001328C4">
        <w:t>e</w:t>
      </w:r>
      <w:r w:rsidR="001328C4">
        <w:t>zeichnet</w:t>
      </w:r>
      <w:r w:rsidR="00090C2A">
        <w:t xml:space="preserve"> werden</w:t>
      </w:r>
      <w:r w:rsidR="007A0008">
        <w:t xml:space="preserve"> und die entsprechenden </w:t>
      </w:r>
      <w:r w:rsidR="00CA4A50">
        <w:t xml:space="preserve">Ratgeber </w:t>
      </w:r>
      <w:r w:rsidR="007A0008">
        <w:t xml:space="preserve">sich </w:t>
      </w:r>
      <w:r w:rsidR="00CA4A50">
        <w:t>einfach als Werke über Stil im jeweil</w:t>
      </w:r>
      <w:r w:rsidR="007A0008">
        <w:t xml:space="preserve">igen </w:t>
      </w:r>
      <w:r w:rsidR="00CA4A50">
        <w:t>Bereich</w:t>
      </w:r>
      <w:r w:rsidR="007A0008">
        <w:t xml:space="preserve"> ausgeben</w:t>
      </w:r>
      <w:r w:rsidR="00CA4A50">
        <w:t>.</w:t>
      </w:r>
    </w:p>
    <w:p w:rsidR="00EB1E36" w:rsidRDefault="00EB1E36" w:rsidP="00EB1E36">
      <w:pPr>
        <w:pStyle w:val="Text"/>
      </w:pPr>
      <w:r>
        <w:t xml:space="preserve">Stile können </w:t>
      </w:r>
      <w:r w:rsidR="00AE04D5">
        <w:t xml:space="preserve">als </w:t>
      </w:r>
      <w:r w:rsidR="00D52219">
        <w:t>‚</w:t>
      </w:r>
      <w:r>
        <w:t>richtig</w:t>
      </w:r>
      <w:r w:rsidR="00D52219">
        <w:t>‘</w:t>
      </w:r>
      <w:r>
        <w:t xml:space="preserve"> oder </w:t>
      </w:r>
      <w:r w:rsidR="00D52219">
        <w:t>‚</w:t>
      </w:r>
      <w:r>
        <w:t>falsch</w:t>
      </w:r>
      <w:r w:rsidR="00D52219">
        <w:t>‘</w:t>
      </w:r>
      <w:r w:rsidR="00CD420A">
        <w:t xml:space="preserve"> gelten oder auf einer Wertungsskala (</w:t>
      </w:r>
      <w:r w:rsidR="00AE04D5">
        <w:t>‚</w:t>
      </w:r>
      <w:r>
        <w:t>gut</w:t>
      </w:r>
      <w:r w:rsidR="00AE04D5">
        <w:t>‘</w:t>
      </w:r>
      <w:r>
        <w:t xml:space="preserve"> </w:t>
      </w:r>
      <w:r w:rsidR="00CD420A">
        <w:t xml:space="preserve">– </w:t>
      </w:r>
      <w:r w:rsidR="00AE04D5">
        <w:t>‚</w:t>
      </w:r>
      <w:r>
        <w:t>schlecht</w:t>
      </w:r>
      <w:r w:rsidR="00AE04D5">
        <w:t>‘</w:t>
      </w:r>
      <w:r w:rsidR="00CD420A">
        <w:t xml:space="preserve">) </w:t>
      </w:r>
      <w:r w:rsidR="004F1E68">
        <w:t>an</w:t>
      </w:r>
      <w:r w:rsidR="00CD420A">
        <w:t>geordnet werden</w:t>
      </w:r>
      <w:r>
        <w:t>. Diese normative Dimension des Stils ist eine empirische Frage, die bezogen auf eine bestimmte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Schicht, Subkultur</w:t>
      </w:r>
      <w:r w:rsidR="005D7996">
        <w:fldChar w:fldCharType="begin"/>
      </w:r>
      <w:r w:rsidR="0096326C">
        <w:instrText xml:space="preserve"> XE "</w:instrText>
      </w:r>
      <w:r w:rsidR="0096326C" w:rsidRPr="00EF1830">
        <w:instrText>Subkultur</w:instrText>
      </w:r>
      <w:r w:rsidR="0096326C">
        <w:instrText xml:space="preserve">" </w:instrText>
      </w:r>
      <w:r w:rsidR="005D7996">
        <w:fldChar w:fldCharType="end"/>
      </w:r>
      <w:r>
        <w:t xml:space="preserve"> oder Institution von der Soziologie</w:t>
      </w:r>
      <w:r w:rsidR="005D7996">
        <w:fldChar w:fldCharType="begin"/>
      </w:r>
      <w:r w:rsidR="00866F93">
        <w:instrText xml:space="preserve"> XE "</w:instrText>
      </w:r>
      <w:r w:rsidR="00866F93" w:rsidRPr="005C0A63">
        <w:rPr>
          <w:szCs w:val="17"/>
        </w:rPr>
        <w:instrText>Soziologie</w:instrText>
      </w:r>
      <w:r w:rsidR="00866F93">
        <w:instrText xml:space="preserve">" </w:instrText>
      </w:r>
      <w:r w:rsidR="005D7996">
        <w:fldChar w:fldCharType="end"/>
      </w:r>
      <w:r>
        <w:t xml:space="preserve"> untersucht wird. Auf allgemeiner Ebene kann man nur feststellen, dass es diese Wertungen gibt</w:t>
      </w:r>
      <w:r w:rsidR="00CD420A">
        <w:t>. A</w:t>
      </w:r>
      <w:r>
        <w:t>us der Struktur von Stilen allein lassen sich keine Krite</w:t>
      </w:r>
      <w:r w:rsidR="00FB2DEA">
        <w:t>rien für die Wertung ableiten</w:t>
      </w:r>
      <w:r w:rsidR="00CD420A">
        <w:t>; ma</w:t>
      </w:r>
      <w:r>
        <w:t xml:space="preserve">n muss </w:t>
      </w:r>
      <w:r>
        <w:lastRenderedPageBreak/>
        <w:t>die in der fraglichen Gesellschaft oder Menschengruppe herrschenden Bedi</w:t>
      </w:r>
      <w:r>
        <w:t>n</w:t>
      </w:r>
      <w:r>
        <w:t>gungen einbeziehen.</w:t>
      </w:r>
      <w:r w:rsidR="00551C53">
        <w:rPr>
          <w:rStyle w:val="Funotenzeichen"/>
        </w:rPr>
        <w:footnoteReference w:id="636"/>
      </w:r>
    </w:p>
    <w:p w:rsidR="00EB1E36" w:rsidRDefault="00EB1E36" w:rsidP="00EB1E36">
      <w:pPr>
        <w:pStyle w:val="Text"/>
      </w:pPr>
      <w:r>
        <w:t xml:space="preserve">Bei der Betrachtung der Alltagssprache ist darauf zu achten, dass </w:t>
      </w:r>
      <w:r w:rsidR="00742203">
        <w:t>die</w:t>
      </w:r>
      <w:r>
        <w:t xml:space="preserve"> norm</w:t>
      </w:r>
      <w:r>
        <w:t>a</w:t>
      </w:r>
      <w:r>
        <w:t>tive Verwendung</w:t>
      </w:r>
      <w:r w:rsidR="00742203">
        <w:t>sweise</w:t>
      </w:r>
      <w:r>
        <w:t xml:space="preserve"> des </w:t>
      </w:r>
      <w:r w:rsidR="00733E36">
        <w:t xml:space="preserve">Worts </w:t>
      </w:r>
      <w:r w:rsidR="00742203">
        <w:t>von der deskriptiven unterschieden wird, w</w:t>
      </w:r>
      <w:r w:rsidR="00742203">
        <w:t>o</w:t>
      </w:r>
      <w:r w:rsidR="00742203">
        <w:t xml:space="preserve">bei dies nicht mit dem Vorliegen einer Wertung verwechselt werden darf: In </w:t>
      </w:r>
      <w:r>
        <w:t>„</w:t>
      </w:r>
      <w:r w:rsidR="00742203">
        <w:t xml:space="preserve">er </w:t>
      </w:r>
      <w:r>
        <w:t>hat Stil“</w:t>
      </w:r>
      <w:r w:rsidR="00742203">
        <w:t xml:space="preserve"> liegt die normative Verwendungsweise vor, in </w:t>
      </w:r>
      <w:r>
        <w:t>„</w:t>
      </w:r>
      <w:r w:rsidR="00742203">
        <w:t xml:space="preserve">er </w:t>
      </w:r>
      <w:r>
        <w:t>hat einen guten Stil“</w:t>
      </w:r>
      <w:r w:rsidR="00742203">
        <w:t xml:space="preserve"> die deskriptive, da hier die Wertung explizit im Attribut vorgenommen </w:t>
      </w:r>
      <w:r w:rsidR="00733E36">
        <w:t xml:space="preserve">wird und nicht </w:t>
      </w:r>
      <w:r w:rsidR="001347EC">
        <w:t>in der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1347EC">
        <w:t xml:space="preserve"> des Worts „Stil“ </w:t>
      </w:r>
      <w:r w:rsidR="002257E4">
        <w:t>enthalten ist</w:t>
      </w:r>
      <w:r>
        <w:t>.</w:t>
      </w:r>
      <w:r w:rsidR="00B50886">
        <w:rPr>
          <w:rStyle w:val="Funotenzeichen"/>
        </w:rPr>
        <w:footnoteReference w:id="637"/>
      </w:r>
      <w:r w:rsidR="001347EC">
        <w:t xml:space="preserve"> Im ersten Fall handelt es sich also um einen normativen, im zweiten um einen deskriptiven Stilbegriff.</w:t>
      </w:r>
    </w:p>
    <w:p w:rsidR="00272649" w:rsidRDefault="00272649" w:rsidP="00EB1E36">
      <w:pPr>
        <w:pStyle w:val="Text"/>
      </w:pPr>
      <w:r>
        <w:t>Normativer Gebrauch liegt auch vor, wenn davon die Rede ist, dass eine R</w:t>
      </w:r>
      <w:r>
        <w:t>e</w:t>
      </w:r>
      <w:r>
        <w:t xml:space="preserve">alisierung „stillos“ sei. Diese Bezeichnung wird manchmal </w:t>
      </w:r>
      <w:r w:rsidR="00E352DB">
        <w:t>verwendet</w:t>
      </w:r>
      <w:r>
        <w:t xml:space="preserve">, um einen Stil als schlecht zu kennzeichnen: „Das war eine stillose Bemerkung“. In diesem Fall wird wiederum „Stil haben“ gleich „guten Stil haben“ gesetzt, woraus sich ergibt, dass schlechter </w:t>
      </w:r>
      <w:r w:rsidR="00EA2623">
        <w:t xml:space="preserve">oder mittelmäßiger </w:t>
      </w:r>
      <w:r>
        <w:t>Stil gar kein Stil ist.</w:t>
      </w:r>
      <w:r w:rsidR="00EA2623">
        <w:rPr>
          <w:rStyle w:val="Funotenzeichen"/>
        </w:rPr>
        <w:footnoteReference w:id="638"/>
      </w:r>
      <w:r>
        <w:t xml:space="preserve"> Oft wird die Bezeichnung „stillos“ aber auch wörtlich verwendet: Beispielsweise wird über ein postmodernes Haus ausgesagt, es sei „stillos“ oder es „habe keinen Stil“. </w:t>
      </w:r>
      <w:r w:rsidR="009E04CE">
        <w:t xml:space="preserve">Auch in diesem Fall werden für „Stil haben“ </w:t>
      </w:r>
      <w:r w:rsidR="00CE3856">
        <w:t>normative</w:t>
      </w:r>
      <w:r w:rsidR="009E04CE">
        <w:t xml:space="preserve"> Voraussetzungen gemacht: </w:t>
      </w:r>
      <w:r w:rsidR="00305689">
        <w:t>En</w:t>
      </w:r>
      <w:r w:rsidR="00305689">
        <w:t>t</w:t>
      </w:r>
      <w:r w:rsidR="00305689">
        <w:t xml:space="preserve">weder </w:t>
      </w:r>
      <w:r w:rsidR="009E04CE">
        <w:t>(1) die Zugehörigkeit zu einem bekannten Stil oder (2) eine gewisse G</w:t>
      </w:r>
      <w:r w:rsidR="009E04CE">
        <w:t>e</w:t>
      </w:r>
      <w:r w:rsidR="009E04CE">
        <w:t>schlossenheit des Stils. Bei (1)</w:t>
      </w:r>
      <w:r w:rsidR="00FD07A1">
        <w:t xml:space="preserve"> wird nur als Stil akzeptiert, was einer bereits b</w:t>
      </w:r>
      <w:r w:rsidR="00FD07A1">
        <w:t>e</w:t>
      </w:r>
      <w:r w:rsidR="00FD07A1">
        <w:t>schriebenen Stilkategorie zugeordnet werden kann, und andere Ausführungswe</w:t>
      </w:r>
      <w:r w:rsidR="00FD07A1">
        <w:t>i</w:t>
      </w:r>
      <w:r w:rsidR="00FD07A1">
        <w:t>sen (beispielsweise ein Eklektizismus, der Merkmal</w:t>
      </w:r>
      <w:r w:rsidR="00F92585">
        <w:t>sregeln</w:t>
      </w:r>
      <w:r w:rsidR="00FD07A1">
        <w:t xml:space="preserve"> verschiedener </w:t>
      </w:r>
      <w:r w:rsidR="00CE3856">
        <w:t xml:space="preserve">früherer Stile </w:t>
      </w:r>
      <w:r w:rsidR="00FD07A1">
        <w:t xml:space="preserve">vermischt) als „stillos“ betrachtet. Bei (2) wird ein Stil nur dann als </w:t>
      </w:r>
      <w:r w:rsidR="00FD07A1">
        <w:lastRenderedPageBreak/>
        <w:t>Stil angesehen, wenn sich ausreichend viele Verbindungen zwischen seinen Merkmal</w:t>
      </w:r>
      <w:r w:rsidR="00F92585">
        <w:t>sregeln</w:t>
      </w:r>
      <w:r w:rsidR="00FD07A1">
        <w:t xml:space="preserve"> finden lassen. </w:t>
      </w:r>
      <w:r w:rsidR="00905BAC">
        <w:t>Wiederum wird ein Eklektizismus abgelehnt, in diesem Fall einer, der sich nicht genügend um die Kohärenz der Merkmal</w:t>
      </w:r>
      <w:r w:rsidR="00F92585">
        <w:t>sregeln</w:t>
      </w:r>
      <w:r w:rsidR="00905BAC">
        <w:t xml:space="preserve"> kümmert.</w:t>
      </w:r>
    </w:p>
    <w:p w:rsidR="00905BAC" w:rsidRDefault="00905BAC" w:rsidP="00EB1E36">
      <w:pPr>
        <w:pStyle w:val="Text"/>
      </w:pPr>
      <w:r>
        <w:t xml:space="preserve">Aus Sicht der hier vorgestellten Stiltheorie gibt es </w:t>
      </w:r>
      <w:r w:rsidR="00703782">
        <w:t>natürlich</w:t>
      </w:r>
      <w:r>
        <w:t xml:space="preserve"> auch solche e</w:t>
      </w:r>
      <w:r>
        <w:t>k</w:t>
      </w:r>
      <w:r>
        <w:t>lektischen Stile</w:t>
      </w:r>
      <w:r w:rsidR="00CD4DA8">
        <w:t xml:space="preserve">. Es ist </w:t>
      </w:r>
      <w:r w:rsidR="00444DFE">
        <w:t>im Normalfall un</w:t>
      </w:r>
      <w:r w:rsidR="007D0508">
        <w:t>möglich</w:t>
      </w:r>
      <w:r w:rsidR="00CD4DA8">
        <w:t xml:space="preserve">, ein Schema zu realisieren, </w:t>
      </w:r>
      <w:r w:rsidR="006D552B">
        <w:t xml:space="preserve">ohne dabei einen Stil zu erzeugen. (Eine Ausnahme </w:t>
      </w:r>
      <w:r w:rsidR="000D7E35">
        <w:t xml:space="preserve">liegt vor, </w:t>
      </w:r>
      <w:r w:rsidR="006D552B">
        <w:t xml:space="preserve">wenn ein Schema seine Realisierungen nicht </w:t>
      </w:r>
      <w:r w:rsidR="000D7E35">
        <w:t xml:space="preserve">oder nur so geringfügig </w:t>
      </w:r>
      <w:r w:rsidR="006D552B">
        <w:t>unterdeterminiert</w:t>
      </w:r>
      <w:r w:rsidR="000D7E35">
        <w:t xml:space="preserve">, dass es keine Varianten der Ausführung gibt oder diese nicht ausreichen, um </w:t>
      </w:r>
      <w:r w:rsidR="00CE3856">
        <w:t xml:space="preserve">Merkmalsregeln </w:t>
      </w:r>
      <w:r w:rsidR="000D7E35">
        <w:t>einzuschreiben.)</w:t>
      </w:r>
    </w:p>
    <w:p w:rsidR="00444F5D" w:rsidRDefault="00C257EC" w:rsidP="00EB1E36">
      <w:pPr>
        <w:pStyle w:val="Text"/>
      </w:pPr>
      <w:r>
        <w:t>In der langen Geschichte des Nachdenkens über Stil ist immer wieder ve</w:t>
      </w:r>
      <w:r>
        <w:t>r</w:t>
      </w:r>
      <w:r>
        <w:t xml:space="preserve">sucht worden, </w:t>
      </w:r>
      <w:r w:rsidR="00444F5D">
        <w:t>den Begriff für</w:t>
      </w:r>
      <w:r w:rsidR="001047AC">
        <w:t xml:space="preserve"> besonders schöne, harmonische oder </w:t>
      </w:r>
      <w:r w:rsidR="00444F5D">
        <w:t>bedeutung</w:t>
      </w:r>
      <w:r w:rsidR="00444F5D">
        <w:t>s</w:t>
      </w:r>
      <w:r w:rsidR="00444F5D">
        <w:t>volle Realisierungen zu reservieren.</w:t>
      </w:r>
      <w:r w:rsidR="00444F5D">
        <w:rPr>
          <w:rStyle w:val="Funotenzeichen"/>
        </w:rPr>
        <w:footnoteReference w:id="639"/>
      </w:r>
      <w:r w:rsidR="001047AC">
        <w:t xml:space="preserve"> </w:t>
      </w:r>
      <w:r w:rsidR="00100320">
        <w:t xml:space="preserve">Oft wurde auch verlangt, </w:t>
      </w:r>
      <w:r w:rsidR="00C17A6C">
        <w:t>der Stil müsse zur Funktion der Realisierung oder zum Kontext ihrer Erzeugungssituation passen oder diese sollten aus ihm erkennbar sein (das he</w:t>
      </w:r>
      <w:r w:rsidR="00983FF9">
        <w:t>ißt bezogen auf unser Modell: au</w:t>
      </w:r>
      <w:r w:rsidR="00C17A6C">
        <w:t>s Interpretationsergebnissen relativ leicht erzeugbar sein)</w:t>
      </w:r>
      <w:r w:rsidR="00CF6DA4">
        <w:t>.</w:t>
      </w:r>
      <w:r w:rsidR="001047AC">
        <w:rPr>
          <w:rStyle w:val="Funotenzeichen"/>
        </w:rPr>
        <w:footnoteReference w:id="640"/>
      </w:r>
      <w:r w:rsidR="00F22480">
        <w:t xml:space="preserve"> Sofern </w:t>
      </w:r>
      <w:r w:rsidR="0066188F">
        <w:t>für die deskriptive Verwendung ein</w:t>
      </w:r>
      <w:r w:rsidR="00733E36">
        <w:t>e</w:t>
      </w:r>
      <w:r w:rsidR="0066188F">
        <w:t xml:space="preserve"> alternative </w:t>
      </w:r>
      <w:r w:rsidR="00733E36">
        <w:t xml:space="preserve">Bezeichnung </w:t>
      </w:r>
      <w:r w:rsidR="0066188F">
        <w:t xml:space="preserve">zur Verfügung </w:t>
      </w:r>
      <w:r w:rsidR="00F22480">
        <w:t>stand</w:t>
      </w:r>
      <w:r w:rsidR="0066188F">
        <w:t>, wie beispielsweise in der italienischen Renaissance</w:t>
      </w:r>
      <w:r w:rsidR="005D7996">
        <w:fldChar w:fldCharType="begin"/>
      </w:r>
      <w:r w:rsidR="001A36D0">
        <w:instrText xml:space="preserve"> XE "</w:instrText>
      </w:r>
      <w:r w:rsidR="001A36D0" w:rsidRPr="00EA48DF">
        <w:rPr>
          <w:szCs w:val="17"/>
        </w:rPr>
        <w:instrText>Renaissance</w:instrText>
      </w:r>
      <w:r w:rsidR="001A36D0">
        <w:instrText xml:space="preserve">" </w:instrText>
      </w:r>
      <w:r w:rsidR="005D7996">
        <w:fldChar w:fldCharType="end"/>
      </w:r>
      <w:r w:rsidR="0066188F">
        <w:t xml:space="preserve"> </w:t>
      </w:r>
      <w:r w:rsidR="00733E36">
        <w:t>„</w:t>
      </w:r>
      <w:r w:rsidR="0066188F">
        <w:t>maniera</w:t>
      </w:r>
      <w:r w:rsidR="005D7996">
        <w:fldChar w:fldCharType="begin"/>
      </w:r>
      <w:r w:rsidR="00742D82">
        <w:instrText xml:space="preserve"> XE "</w:instrText>
      </w:r>
      <w:r w:rsidR="00742D82" w:rsidRPr="0036312C">
        <w:instrText>maniera</w:instrText>
      </w:r>
      <w:r w:rsidR="00742D82">
        <w:instrText xml:space="preserve">" </w:instrText>
      </w:r>
      <w:r w:rsidR="005D7996">
        <w:fldChar w:fldCharType="end"/>
      </w:r>
      <w:r w:rsidR="00733E36">
        <w:t>“</w:t>
      </w:r>
      <w:r w:rsidR="0066188F">
        <w:t>, führt</w:t>
      </w:r>
      <w:r w:rsidR="00F22480">
        <w:t>e</w:t>
      </w:r>
      <w:r w:rsidR="0066188F">
        <w:t xml:space="preserve"> dies zu keinen besonderen Problemen</w:t>
      </w:r>
      <w:r w:rsidR="00F22480">
        <w:t xml:space="preserve">, da man </w:t>
      </w:r>
      <w:r w:rsidR="008F48B1">
        <w:t xml:space="preserve">dann </w:t>
      </w:r>
      <w:r w:rsidR="00F22480">
        <w:t>über Stil auch deskriptiv spr</w:t>
      </w:r>
      <w:r w:rsidR="00F22480">
        <w:t>e</w:t>
      </w:r>
      <w:r w:rsidR="00F22480">
        <w:t xml:space="preserve">chen konnte, wenn auch </w:t>
      </w:r>
      <w:r w:rsidR="001347EC">
        <w:t xml:space="preserve">unter </w:t>
      </w:r>
      <w:r w:rsidR="00F22480">
        <w:t>eine</w:t>
      </w:r>
      <w:r w:rsidR="00733E36">
        <w:t>r</w:t>
      </w:r>
      <w:r w:rsidR="00F22480">
        <w:t xml:space="preserve"> anderen </w:t>
      </w:r>
      <w:r w:rsidR="00733E36">
        <w:t>Bezeichnung</w:t>
      </w:r>
      <w:r w:rsidR="0066188F">
        <w:t>.</w:t>
      </w:r>
      <w:bookmarkStart w:id="498" w:name="_Ref271530832"/>
      <w:r w:rsidR="00F22480">
        <w:rPr>
          <w:rStyle w:val="Funotenzeichen"/>
        </w:rPr>
        <w:footnoteReference w:id="641"/>
      </w:r>
      <w:bookmarkEnd w:id="498"/>
    </w:p>
    <w:p w:rsidR="00D2554C" w:rsidRDefault="00D2554C">
      <w:pPr>
        <w:pStyle w:val="Titel2"/>
      </w:pPr>
      <w:bookmarkStart w:id="499" w:name="_Ref266001272"/>
      <w:bookmarkStart w:id="500" w:name="_Toc325456829"/>
      <w:bookmarkStart w:id="501" w:name="Gesellschaft"/>
      <w:bookmarkEnd w:id="497"/>
      <w:r>
        <w:lastRenderedPageBreak/>
        <w:t xml:space="preserve">Stil </w:t>
      </w:r>
      <w:r w:rsidR="00EB1E36">
        <w:t xml:space="preserve">in der </w:t>
      </w:r>
      <w:r>
        <w:t>Gesellschaft</w:t>
      </w:r>
      <w:bookmarkEnd w:id="499"/>
      <w:bookmarkEnd w:id="500"/>
    </w:p>
    <w:p w:rsidR="002F731B" w:rsidRDefault="005D7996" w:rsidP="00213F14">
      <w:pPr>
        <w:pStyle w:val="Text"/>
        <w:ind w:firstLine="0"/>
      </w:pPr>
      <w:r>
        <w:fldChar w:fldCharType="begin"/>
      </w:r>
      <w:r w:rsidR="00DE3610">
        <w:instrText xml:space="preserve"> XE "Gesellschaft" \r "Gesellschaft"</w:instrText>
      </w:r>
      <w:r w:rsidR="009E3151">
        <w:instrText xml:space="preserve"> </w:instrText>
      </w:r>
      <w:r>
        <w:fldChar w:fldCharType="end"/>
      </w:r>
      <w:r w:rsidR="00DA7977">
        <w:t>Stil hat vielfältige Auswirkungen in Gesellschaften. Hier wird zunächst überlegt, warum Stil gesellschaftlich gesehen so wichtig ist (</w:t>
      </w:r>
      <w:r>
        <w:fldChar w:fldCharType="begin"/>
      </w:r>
      <w:r w:rsidR="00DA7977">
        <w:instrText xml:space="preserve"> REF _Ref264885213 \r \h </w:instrText>
      </w:r>
      <w:r>
        <w:fldChar w:fldCharType="separate"/>
      </w:r>
      <w:r w:rsidR="001231D3">
        <w:t>8.4.1</w:t>
      </w:r>
      <w:r>
        <w:fldChar w:fldCharType="end"/>
      </w:r>
      <w:r w:rsidR="00613361">
        <w:t>),</w:t>
      </w:r>
      <w:r w:rsidR="00DA7977">
        <w:t xml:space="preserve"> in der Folge werden einige Aspekte der Wirkung von Stil in der Gesellschaft diskutiert (</w:t>
      </w:r>
      <w:r>
        <w:fldChar w:fldCharType="begin"/>
      </w:r>
      <w:r w:rsidR="00DA7977">
        <w:instrText xml:space="preserve"> REF _Ref264885369 \r \h </w:instrText>
      </w:r>
      <w:r>
        <w:fldChar w:fldCharType="separate"/>
      </w:r>
      <w:r w:rsidR="001231D3">
        <w:t>8.4.2</w:t>
      </w:r>
      <w:r>
        <w:fldChar w:fldCharType="end"/>
      </w:r>
      <w:r w:rsidR="00613361">
        <w:t xml:space="preserve">) und </w:t>
      </w:r>
      <w:r w:rsidR="00DA7977">
        <w:t xml:space="preserve">abschließend wird überlegt, </w:t>
      </w:r>
      <w:r w:rsidR="00613361">
        <w:t xml:space="preserve">welche </w:t>
      </w:r>
      <w:r w:rsidR="00DA7977">
        <w:t xml:space="preserve">Rolle </w:t>
      </w:r>
      <w:r w:rsidR="00613361">
        <w:t xml:space="preserve">Stil im Kapitalismus </w:t>
      </w:r>
      <w:r w:rsidR="00DA7977">
        <w:t>spielt (</w:t>
      </w:r>
      <w:r>
        <w:fldChar w:fldCharType="begin"/>
      </w:r>
      <w:r w:rsidR="00DA7977">
        <w:instrText xml:space="preserve"> REF _Ref264885404 \r \h </w:instrText>
      </w:r>
      <w:r>
        <w:fldChar w:fldCharType="separate"/>
      </w:r>
      <w:r w:rsidR="001231D3">
        <w:t>8.4.3</w:t>
      </w:r>
      <w:r>
        <w:fldChar w:fldCharType="end"/>
      </w:r>
      <w:r w:rsidR="00DA7977">
        <w:t>).</w:t>
      </w:r>
    </w:p>
    <w:p w:rsidR="00B832DF" w:rsidRDefault="00B832DF" w:rsidP="00B832DF">
      <w:pPr>
        <w:pStyle w:val="Titel3"/>
      </w:pPr>
      <w:bookmarkStart w:id="502" w:name="_Ref264885213"/>
      <w:bookmarkStart w:id="503" w:name="_Toc325456830"/>
      <w:bookmarkStart w:id="504" w:name="Wichtigkeit"/>
      <w:r>
        <w:t>Die Wichtigkeit von Stil</w:t>
      </w:r>
      <w:r w:rsidR="008B7B57">
        <w:t xml:space="preserve"> in der Gesellschaft</w:t>
      </w:r>
      <w:bookmarkEnd w:id="502"/>
      <w:bookmarkEnd w:id="503"/>
    </w:p>
    <w:p w:rsidR="0070166E" w:rsidRDefault="005D7996" w:rsidP="00213F14">
      <w:pPr>
        <w:pStyle w:val="Text"/>
        <w:ind w:firstLine="0"/>
      </w:pPr>
      <w:r>
        <w:fldChar w:fldCharType="begin"/>
      </w:r>
      <w:r w:rsidR="00717590">
        <w:instrText xml:space="preserve"> XE "Wichtigkeit von Stil:in der Gesellschaft" \r "Wichtigkeit"</w:instrText>
      </w:r>
      <w:r w:rsidR="009E3151">
        <w:instrText xml:space="preserve"> </w:instrText>
      </w:r>
      <w:r>
        <w:fldChar w:fldCharType="end"/>
      </w:r>
      <w:r w:rsidR="008B7B57">
        <w:t xml:space="preserve">Wir hatten </w:t>
      </w:r>
      <w:r w:rsidR="00D25D14">
        <w:t xml:space="preserve">in </w:t>
      </w:r>
      <w:r w:rsidR="008B7B57">
        <w:t xml:space="preserve">Abschnitt </w:t>
      </w:r>
      <w:r>
        <w:fldChar w:fldCharType="begin"/>
      </w:r>
      <w:r w:rsidR="008B7B57">
        <w:instrText xml:space="preserve"> REF _Ref253664986 \r \h </w:instrText>
      </w:r>
      <w:r>
        <w:fldChar w:fldCharType="separate"/>
      </w:r>
      <w:r w:rsidR="001231D3">
        <w:t>8.2.4</w:t>
      </w:r>
      <w:r>
        <w:fldChar w:fldCharType="end"/>
      </w:r>
      <w:r w:rsidR="008B7B57">
        <w:t xml:space="preserve"> gesehen, dass Stil </w:t>
      </w:r>
      <w:r w:rsidR="007F5CB9">
        <w:t>für das Individuum wichtig ist: Die Fähigkeit zum Umgang mit Stilen verschafft ihm Informationen über andere und ermöglicht es ihm, seine Informationsabgabe an andere besser einzuschä</w:t>
      </w:r>
      <w:r w:rsidR="007F5CB9">
        <w:t>t</w:t>
      </w:r>
      <w:r w:rsidR="007F5CB9">
        <w:t xml:space="preserve">zen und teilweise zu kontrollieren. Darüber </w:t>
      </w:r>
      <w:r w:rsidR="00C95CA0">
        <w:t>hinaus</w:t>
      </w:r>
      <w:r w:rsidR="007F5CB9">
        <w:t xml:space="preserve"> gewinnt Stil jedoch auch eine gesellschaftliche Wichtigkeit: Diese ergibt sich zum einen direkt aus </w:t>
      </w:r>
      <w:r w:rsidR="00FF7C0C">
        <w:t xml:space="preserve">der </w:t>
      </w:r>
      <w:r w:rsidR="007F5CB9">
        <w:t>Rel</w:t>
      </w:r>
      <w:r w:rsidR="007F5CB9">
        <w:t>e</w:t>
      </w:r>
      <w:r w:rsidR="007F5CB9">
        <w:t xml:space="preserve">vanz des Umgangs mit Stilen und der Tatsache, dass diese Kompetenz nicht allen gleichermaßen zur Verfügung steht. </w:t>
      </w:r>
      <w:r w:rsidR="00FF7C0C">
        <w:t xml:space="preserve">Noch wichtiger </w:t>
      </w:r>
      <w:r w:rsidR="007F5CB9">
        <w:t>ist jedoch die Funktion</w:t>
      </w:r>
      <w:r w:rsidR="0070166E">
        <w:t xml:space="preserve">, die Stile zur Anzeige </w:t>
      </w:r>
      <w:r w:rsidR="007F5CB9">
        <w:t>gesellschaftli</w:t>
      </w:r>
      <w:r w:rsidR="0070166E">
        <w:t>cher</w:t>
      </w:r>
      <w:r w:rsidR="007F5CB9">
        <w:t xml:space="preserve"> Unterscheidungen</w:t>
      </w:r>
      <w:r w:rsidR="0070166E">
        <w:t xml:space="preserve"> und Markierung von Gruppenzugehörigkeit haben,</w:t>
      </w:r>
      <w:r w:rsidR="0070166E">
        <w:rPr>
          <w:rStyle w:val="Funotenzeichen"/>
        </w:rPr>
        <w:footnoteReference w:id="642"/>
      </w:r>
      <w:r w:rsidR="0070166E">
        <w:t xml:space="preserve"> wobei sie gleichzeitig der Identitätsbildung und der Angleichung von Verhaltenskonventionen dienen: Nicht mit allen Stilen kann man alles gleich gut machen, und wer die Stile einer Gruppe lernt, lernt dabei meist auch die Verhaltensweisen, für die diese Stile geeignet sind.</w:t>
      </w:r>
    </w:p>
    <w:p w:rsidR="007F5CB9" w:rsidRDefault="0070166E" w:rsidP="00B832DF">
      <w:pPr>
        <w:pStyle w:val="Text"/>
      </w:pPr>
      <w:r>
        <w:t>Werden Stile flexibel gehandhabt, können sie daher auch zur Annäherung und Abgrenzung eingesetzt werden: Hierarchien und Konkurrenzkämpfe inne</w:t>
      </w:r>
      <w:r>
        <w:t>r</w:t>
      </w:r>
      <w:r>
        <w:t>halb von Gruppen können über Stile gesetzt bzw. ausgetragen werden (etwa wenn ältere Mitglieder einer Jugendgruppe den jüngeren ‚zeigen, wie man’s ric</w:t>
      </w:r>
      <w:r>
        <w:t>h</w:t>
      </w:r>
      <w:r>
        <w:t>tig macht‘), Annäherung oder Abgrenzung zwischen Gruppen durch Überna</w:t>
      </w:r>
      <w:r>
        <w:t>h</w:t>
      </w:r>
      <w:r>
        <w:t xml:space="preserve">me von </w:t>
      </w:r>
      <w:r w:rsidR="00F92585">
        <w:t xml:space="preserve">Merkmalsregeln </w:t>
      </w:r>
      <w:r>
        <w:t>der jeweils anderen Gruppe oder Einführung kontrasti</w:t>
      </w:r>
      <w:r>
        <w:t>e</w:t>
      </w:r>
      <w:r>
        <w:t xml:space="preserve">render </w:t>
      </w:r>
      <w:r w:rsidR="00F92585">
        <w:t>M</w:t>
      </w:r>
      <w:r>
        <w:t>erkma</w:t>
      </w:r>
      <w:r w:rsidR="00F92585">
        <w:t>lsregeln</w:t>
      </w:r>
      <w:r>
        <w:t xml:space="preserve"> vollzogen werden.</w:t>
      </w:r>
    </w:p>
    <w:p w:rsidR="00071A97" w:rsidRDefault="004510FD" w:rsidP="00B832DF">
      <w:pPr>
        <w:pStyle w:val="Text"/>
      </w:pPr>
      <w:r>
        <w:t xml:space="preserve">Gunther </w:t>
      </w:r>
      <w:r w:rsidR="00BC7650">
        <w:t>Kress</w:t>
      </w:r>
      <w:r>
        <w:rPr>
          <w:rStyle w:val="Funotenzeichen"/>
        </w:rPr>
        <w:footnoteReference w:id="643"/>
      </w:r>
      <w:r w:rsidR="00BC7650">
        <w:t xml:space="preserve"> betont die Rolle, die </w:t>
      </w:r>
      <w:r w:rsidR="00DA163F">
        <w:t xml:space="preserve">mit Institutionen verbundene </w:t>
      </w:r>
      <w:r w:rsidR="009A09AE">
        <w:t>Sozi</w:t>
      </w:r>
      <w:r w:rsidR="009A09AE">
        <w:t>o</w:t>
      </w:r>
      <w:r w:rsidR="009A09AE">
        <w:t>lekte</w:t>
      </w:r>
      <w:r w:rsidR="005D7996">
        <w:fldChar w:fldCharType="begin"/>
      </w:r>
      <w:r w:rsidR="00F547E6">
        <w:instrText xml:space="preserve"> XE "</w:instrText>
      </w:r>
      <w:r w:rsidR="00F547E6" w:rsidRPr="00496A22">
        <w:instrText>Soziolekt</w:instrText>
      </w:r>
      <w:r w:rsidR="00F547E6">
        <w:instrText xml:space="preserve">" </w:instrText>
      </w:r>
      <w:r w:rsidR="005D7996">
        <w:fldChar w:fldCharType="end"/>
      </w:r>
      <w:r w:rsidR="009A09AE">
        <w:t xml:space="preserve"> und </w:t>
      </w:r>
      <w:r w:rsidR="00DA163F">
        <w:t>Gruppenstile</w:t>
      </w:r>
      <w:bookmarkStart w:id="505" w:name="_Ref262134332"/>
      <w:r w:rsidR="009A09AE">
        <w:rPr>
          <w:rStyle w:val="Funotenzeichen"/>
        </w:rPr>
        <w:footnoteReference w:id="644"/>
      </w:r>
      <w:bookmarkEnd w:id="505"/>
      <w:r w:rsidR="00DA163F">
        <w:t xml:space="preserve"> (Kress spricht von ‚Genres‘) in sozialen Ein- und Au</w:t>
      </w:r>
      <w:r w:rsidR="00DA163F">
        <w:t>s</w:t>
      </w:r>
      <w:r w:rsidR="00DA163F">
        <w:t>schlussprozessen spielen</w:t>
      </w:r>
      <w:r w:rsidR="00BC7650">
        <w:t xml:space="preserve">: Wer den Stil einer bestimmten </w:t>
      </w:r>
      <w:r w:rsidR="00DA163F">
        <w:t xml:space="preserve">Gruppe, </w:t>
      </w:r>
      <w:r w:rsidR="00BC7650">
        <w:t>Institution</w:t>
      </w:r>
      <w:r w:rsidR="00DA163F">
        <w:t>, Schicht, Subkultur</w:t>
      </w:r>
      <w:r w:rsidR="005D7996">
        <w:fldChar w:fldCharType="begin"/>
      </w:r>
      <w:r w:rsidR="0096326C">
        <w:instrText xml:space="preserve"> XE "</w:instrText>
      </w:r>
      <w:r w:rsidR="0096326C" w:rsidRPr="00EF1830">
        <w:instrText>Subkultur</w:instrText>
      </w:r>
      <w:r w:rsidR="0096326C">
        <w:instrText xml:space="preserve">" </w:instrText>
      </w:r>
      <w:r w:rsidR="005D7996">
        <w:fldChar w:fldCharType="end"/>
      </w:r>
      <w:r w:rsidR="00DA163F">
        <w:t xml:space="preserve"> usw. beherrscht</w:t>
      </w:r>
      <w:r w:rsidR="00BC7650">
        <w:t xml:space="preserve"> (etwa der Wissenschaft</w:t>
      </w:r>
      <w:r w:rsidR="00DA163F">
        <w:t>,</w:t>
      </w:r>
      <w:r w:rsidR="00BC7650">
        <w:t xml:space="preserve"> der Medizin</w:t>
      </w:r>
      <w:r w:rsidR="00DA163F">
        <w:t xml:space="preserve"> oder einer Jugendkultur</w:t>
      </w:r>
      <w:r w:rsidR="00BC7650">
        <w:t xml:space="preserve">), wird </w:t>
      </w:r>
      <w:r w:rsidR="00DA163F">
        <w:t xml:space="preserve">als Insider dieser Gruppe betrachtet. Wer einen Text schreibt und sich als </w:t>
      </w:r>
      <w:r w:rsidR="003300BA">
        <w:t xml:space="preserve">Insider oder </w:t>
      </w:r>
      <w:r w:rsidR="00DA163F">
        <w:t>Spezialist</w:t>
      </w:r>
      <w:r w:rsidR="003300BA">
        <w:t xml:space="preserve"> </w:t>
      </w:r>
      <w:r w:rsidR="00DA163F">
        <w:t xml:space="preserve">ausweisen will, tut daher gut daran, </w:t>
      </w:r>
      <w:r w:rsidR="00DA163F">
        <w:lastRenderedPageBreak/>
        <w:t>den jeweiligen Soziolekt</w:t>
      </w:r>
      <w:r w:rsidR="005D7996">
        <w:fldChar w:fldCharType="begin"/>
      </w:r>
      <w:r w:rsidR="00F547E6">
        <w:instrText xml:space="preserve"> XE "</w:instrText>
      </w:r>
      <w:r w:rsidR="00F547E6" w:rsidRPr="002839CF">
        <w:rPr>
          <w:rFonts w:eastAsia="Times New Roman" w:cs="Times New Roman"/>
        </w:rPr>
        <w:instrText>Soziolekt</w:instrText>
      </w:r>
      <w:r w:rsidR="00F547E6">
        <w:instrText xml:space="preserve">" </w:instrText>
      </w:r>
      <w:r w:rsidR="005D7996">
        <w:fldChar w:fldCharType="end"/>
      </w:r>
      <w:r w:rsidR="00DA163F">
        <w:t xml:space="preserve"> </w:t>
      </w:r>
      <w:r w:rsidR="009A09AE">
        <w:t xml:space="preserve">und </w:t>
      </w:r>
      <w:r w:rsidR="00DA163F">
        <w:t xml:space="preserve">Gruppenstil </w:t>
      </w:r>
      <w:r w:rsidR="001812CF">
        <w:t>anzu</w:t>
      </w:r>
      <w:r w:rsidR="00DA163F">
        <w:t xml:space="preserve">wenden, der </w:t>
      </w:r>
      <w:r w:rsidR="009A09AE">
        <w:t xml:space="preserve">vermutlich </w:t>
      </w:r>
      <w:r w:rsidR="00DA163F">
        <w:t>nicht</w:t>
      </w:r>
      <w:r w:rsidR="00320F75">
        <w:t xml:space="preserve"> zuletzt aus diesem gesellschaftl</w:t>
      </w:r>
      <w:r w:rsidR="00DA163F">
        <w:t xml:space="preserve">ichen Kennzeichnungsbedarf entsteht. In </w:t>
      </w:r>
      <w:r w:rsidR="00F61225">
        <w:t xml:space="preserve">der </w:t>
      </w:r>
      <w:r w:rsidR="00DA163F">
        <w:t xml:space="preserve">Literatur </w:t>
      </w:r>
      <w:r w:rsidR="00DF6A19">
        <w:t xml:space="preserve">wird daher seit einigen </w:t>
      </w:r>
      <w:r w:rsidR="00F61225">
        <w:t>Jahrzehnte</w:t>
      </w:r>
      <w:r w:rsidR="00DF6A19">
        <w:t xml:space="preserve">n </w:t>
      </w:r>
      <w:r w:rsidR="0064351D">
        <w:t xml:space="preserve">häufig </w:t>
      </w:r>
      <w:r w:rsidR="00DA163F">
        <w:t>mit Soziolekten, Gruppe</w:t>
      </w:r>
      <w:r w:rsidR="00DA163F">
        <w:t>n</w:t>
      </w:r>
      <w:r w:rsidR="00DA163F">
        <w:t>stilen und Fachdiskursen gearbeitet, um den Autor als fachkundig auszuweisen und dem Leser das Gefühl zu geben, einen authentischen Einblick zu erhalten.</w:t>
      </w:r>
      <w:r w:rsidR="007275BB">
        <w:rPr>
          <w:rStyle w:val="Funotenzeichen"/>
        </w:rPr>
        <w:footnoteReference w:id="645"/>
      </w:r>
    </w:p>
    <w:p w:rsidR="005E09A5" w:rsidRDefault="00071A97" w:rsidP="00B832DF">
      <w:pPr>
        <w:pStyle w:val="Text"/>
      </w:pPr>
      <w:r>
        <w:t>Zwischen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t xml:space="preserve"> und Soziolinguistik besteht ein systematischer Zusa</w:t>
      </w:r>
      <w:r>
        <w:t>m</w:t>
      </w:r>
      <w:r>
        <w:t>menhang, dem einige Aufmerksamkeit gewidmet wurde;</w:t>
      </w:r>
      <w:r>
        <w:rPr>
          <w:rStyle w:val="Funotenzeichen"/>
        </w:rPr>
        <w:footnoteReference w:id="646"/>
      </w:r>
      <w:r>
        <w:t xml:space="preserve"> Soziolekte</w:t>
      </w:r>
      <w:r w:rsidR="005D7996">
        <w:fldChar w:fldCharType="begin"/>
      </w:r>
      <w:r w:rsidR="00F547E6">
        <w:instrText xml:space="preserve"> XE "</w:instrText>
      </w:r>
      <w:r w:rsidR="00F547E6" w:rsidRPr="00496A22">
        <w:instrText>Soziolekt</w:instrText>
      </w:r>
      <w:r w:rsidR="00F547E6">
        <w:instrText xml:space="preserve">" </w:instrText>
      </w:r>
      <w:r w:rsidR="005D7996">
        <w:fldChar w:fldCharType="end"/>
      </w:r>
      <w:r>
        <w:t>, Register, Fachsprachen, institutionenspezifische Ausdruckweisen, Gruppenstile und Su</w:t>
      </w:r>
      <w:r>
        <w:t>b</w:t>
      </w:r>
      <w:r>
        <w:t>kultur</w:t>
      </w:r>
      <w:r w:rsidR="005D7996">
        <w:fldChar w:fldCharType="begin"/>
      </w:r>
      <w:r w:rsidR="0096326C">
        <w:instrText xml:space="preserve"> XE "</w:instrText>
      </w:r>
      <w:r w:rsidR="0096326C" w:rsidRPr="00EF1830">
        <w:instrText>Subkultur</w:instrText>
      </w:r>
      <w:r w:rsidR="0096326C">
        <w:instrText xml:space="preserve">" </w:instrText>
      </w:r>
      <w:r w:rsidR="005D7996">
        <w:fldChar w:fldCharType="end"/>
      </w:r>
      <w:r>
        <w:t>-Jargon sind nur einige Sprachverwendungsphänomene, die ganz oder teilweise unter Stil fallen und nur in Bezug auf eine Gesellschaft und ihre Stru</w:t>
      </w:r>
      <w:r>
        <w:t>k</w:t>
      </w:r>
      <w:r>
        <w:t xml:space="preserve">turen analysiert werden können. </w:t>
      </w:r>
      <w:r w:rsidR="005E09A5">
        <w:t>Ein zentraler Aspekt von Stil ist also die Erze</w:t>
      </w:r>
      <w:r w:rsidR="005E09A5">
        <w:t>u</w:t>
      </w:r>
      <w:r w:rsidR="005E09A5">
        <w:t>gung von Gruppenzusammengehörigkeit</w:t>
      </w:r>
      <w:r w:rsidR="000E704D">
        <w:t>, die Identitätsbildung sowohl in Gru</w:t>
      </w:r>
      <w:r w:rsidR="000E704D">
        <w:t>p</w:t>
      </w:r>
      <w:r w:rsidR="000E704D">
        <w:t>pen als auch für das Individuum: Je vielfältiger und pluralistischer eine Gesel</w:t>
      </w:r>
      <w:r w:rsidR="000E704D">
        <w:t>l</w:t>
      </w:r>
      <w:r w:rsidR="000E704D">
        <w:t>schaft ist, desto wichtiger ist es, mit Stilen eigenen (faktischen oder gewünsch</w:t>
      </w:r>
      <w:r w:rsidR="006D2684">
        <w:softHyphen/>
      </w:r>
      <w:r w:rsidR="000E704D">
        <w:t>ten) Zugehörigkeiten zu signalisieren. So kann sich ein Jugendlicher, wenn er die Stile beherrscht, gleichzeitig auf der Straße als Angehöriger einer Subkultur (z.B. des Hiphop), in der Schule als Angehöriger der Bildungsschicht und in Familie und Bekanntenkreis als Angehöriger seiner Generation (in Abgrenzung zu den Erwachsenen) markieren.</w:t>
      </w:r>
    </w:p>
    <w:p w:rsidR="00E15CBE" w:rsidRDefault="00162BAD" w:rsidP="00B832DF">
      <w:pPr>
        <w:pStyle w:val="Text"/>
      </w:pPr>
      <w:r>
        <w:t>Stil kann zudem auf die Unterscheidung zwischen etablierten Konventionen der Schemaausführung und der Abweichung von diesen Konventionen bezogen werden.</w:t>
      </w:r>
      <w:r w:rsidR="0092011B">
        <w:t xml:space="preserve"> </w:t>
      </w:r>
      <w:r w:rsidR="00E15CBE">
        <w:t>Theodor Adorno</w:t>
      </w:r>
      <w:r w:rsidR="005D7996">
        <w:fldChar w:fldCharType="begin"/>
      </w:r>
      <w:r w:rsidR="006B6E9A">
        <w:instrText xml:space="preserve"> XE "</w:instrText>
      </w:r>
      <w:r w:rsidR="006B6E9A" w:rsidRPr="00D82BE8">
        <w:instrText>Adorno, Theodor</w:instrText>
      </w:r>
      <w:r w:rsidR="006B6E9A">
        <w:instrText xml:space="preserve">" </w:instrText>
      </w:r>
      <w:r w:rsidR="005D7996">
        <w:fldChar w:fldCharType="end"/>
      </w:r>
      <w:r w:rsidR="00E15CBE">
        <w:t xml:space="preserve"> verwendet diese Eigenschaft von Stil in der „Ästhet</w:t>
      </w:r>
      <w:r w:rsidR="00E15CBE">
        <w:t>i</w:t>
      </w:r>
      <w:r w:rsidR="00E15CBE">
        <w:t xml:space="preserve">schen Theorie“ sogar zu einer Definition: „Konventionen im Stande ihrer wie </w:t>
      </w:r>
      <w:r w:rsidR="00E15CBE">
        <w:lastRenderedPageBreak/>
        <w:t>immer schon schwanken Ausgleichung mit dem Subjekt heißen Stil.“</w:t>
      </w:r>
      <w:r w:rsidR="00E15CBE">
        <w:rPr>
          <w:rStyle w:val="Funotenzeichen"/>
        </w:rPr>
        <w:footnoteReference w:id="647"/>
      </w:r>
      <w:r w:rsidR="00E15CBE">
        <w:t xml:space="preserve"> </w:t>
      </w:r>
      <w:r w:rsidR="00C50B3B">
        <w:t xml:space="preserve">Helmut </w:t>
      </w:r>
      <w:r>
        <w:t xml:space="preserve">Viebrock </w:t>
      </w:r>
      <w:r w:rsidR="00643197">
        <w:t xml:space="preserve">erläutert </w:t>
      </w:r>
      <w:r w:rsidR="00E15CBE">
        <w:t xml:space="preserve">dazu </w:t>
      </w:r>
      <w:r w:rsidR="000232FB">
        <w:t xml:space="preserve">mit Blick auf </w:t>
      </w:r>
      <w:r w:rsidR="00643197">
        <w:t xml:space="preserve">die </w:t>
      </w:r>
      <w:r>
        <w:t>Abweichungsstilistik</w:t>
      </w:r>
      <w:r w:rsidR="005D7996">
        <w:fldChar w:fldCharType="begin"/>
      </w:r>
      <w:r w:rsidR="00CB396C">
        <w:instrText xml:space="preserve"> XE "</w:instrText>
      </w:r>
      <w:r w:rsidR="00CB396C" w:rsidRPr="001313E4">
        <w:rPr>
          <w:rFonts w:eastAsia="Times New Roman" w:cs="Times New Roman"/>
        </w:rPr>
        <w:instrText>Abweichungsstilistik</w:instrText>
      </w:r>
      <w:r w:rsidR="00CB396C">
        <w:instrText xml:space="preserve">" </w:instrText>
      </w:r>
      <w:r w:rsidR="005D7996">
        <w:fldChar w:fldCharType="end"/>
      </w:r>
      <w:r>
        <w:t>:</w:t>
      </w:r>
      <w:r w:rsidR="00C41247">
        <w:rPr>
          <w:rStyle w:val="Funotenzeichen"/>
        </w:rPr>
        <w:footnoteReference w:id="648"/>
      </w:r>
    </w:p>
    <w:p w:rsidR="00E15CBE" w:rsidRDefault="00162BAD" w:rsidP="00E15CBE">
      <w:pPr>
        <w:pStyle w:val="Zitat"/>
      </w:pPr>
      <w:r>
        <w:t>Dieser dialektische</w:t>
      </w:r>
      <w:r w:rsidR="005D7996">
        <w:fldChar w:fldCharType="begin"/>
      </w:r>
      <w:r w:rsidR="006B6E9A">
        <w:instrText xml:space="preserve"> XE "</w:instrText>
      </w:r>
      <w:r w:rsidR="006B6E9A" w:rsidRPr="005429C1">
        <w:instrText>Dialektik</w:instrText>
      </w:r>
      <w:r w:rsidR="006B6E9A">
        <w:instrText xml:space="preserve">" </w:instrText>
      </w:r>
      <w:r w:rsidR="005D7996">
        <w:fldChar w:fldCharType="end"/>
      </w:r>
      <w:r>
        <w:t xml:space="preserve"> Stilbegriff besticht als Theorem, indem er zwei gegensätzl</w:t>
      </w:r>
      <w:r>
        <w:t>i</w:t>
      </w:r>
      <w:r>
        <w:t xml:space="preserve">che Stilkonzeptionen der Gegenwart, Stil als beschreibbare Verfahrensweise allgemeiner Art </w:t>
      </w:r>
      <w:r w:rsidR="00E15CBE">
        <w:t>(die für Adorno an der Musik orientiert ist</w:t>
      </w:r>
      <w:r w:rsidR="009E27BD">
        <w:t>)</w:t>
      </w:r>
      <w:r w:rsidR="009D7593">
        <w:t>, und die eigentlich nur als Negation konzipierte Opposition zu ihr miteinander verbindet, Aspe</w:t>
      </w:r>
      <w:r w:rsidR="009D7593">
        <w:t>k</w:t>
      </w:r>
      <w:r w:rsidR="009D7593">
        <w:t>te, denen die Begriffe Norm</w:t>
      </w:r>
      <w:r w:rsidR="005D7996">
        <w:fldChar w:fldCharType="begin"/>
      </w:r>
      <w:r w:rsidR="001151DC">
        <w:instrText xml:space="preserve"> XE "</w:instrText>
      </w:r>
      <w:r w:rsidR="001151DC" w:rsidRPr="005F7AD9">
        <w:instrText>Norm</w:instrText>
      </w:r>
      <w:r w:rsidR="001151DC">
        <w:instrText xml:space="preserve">" </w:instrText>
      </w:r>
      <w:r w:rsidR="005D7996">
        <w:fldChar w:fldCharType="end"/>
      </w:r>
      <w:r w:rsidR="009D7593">
        <w:t xml:space="preserve"> und Derivation homolog sind.</w:t>
      </w:r>
    </w:p>
    <w:p w:rsidR="009D7593" w:rsidRDefault="00B9657F" w:rsidP="00213F14">
      <w:pPr>
        <w:pStyle w:val="Text"/>
        <w:ind w:firstLine="0"/>
      </w:pPr>
      <w:r>
        <w:t>Stil ist insofern gesellschaftlich relevant, als sich auf diesem Terrain viele Kämpfe um Erneuerung abspielen</w:t>
      </w:r>
      <w:r w:rsidR="009E1DE0">
        <w:t xml:space="preserve"> und manchmal vermittelt werden</w:t>
      </w:r>
      <w:r>
        <w:t xml:space="preserve">; häufig gehen solche Arten, bereits bekannte Schemata anders zu realisieren, größeren Veränderungen voraus, die auch die Schemata selbst </w:t>
      </w:r>
      <w:r w:rsidR="00202846">
        <w:t xml:space="preserve">betreffen </w:t>
      </w:r>
      <w:r>
        <w:t>oder gar neue erzeugen. Be</w:t>
      </w:r>
      <w:r>
        <w:t>i</w:t>
      </w:r>
      <w:r>
        <w:t xml:space="preserve">spielsweise fand der Willen zum grundsätzlichen gesellschaftlichen Neuaufbau der </w:t>
      </w:r>
      <w:r w:rsidR="00BF6CD0">
        <w:t>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BF6CD0">
        <w:t xml:space="preserve"> </w:t>
      </w:r>
      <w:r w:rsidR="00202846">
        <w:t>(verstanden als die von etwa 1910 bis 1965</w:t>
      </w:r>
      <w:r w:rsidR="00202846" w:rsidRPr="00202846">
        <w:t xml:space="preserve"> </w:t>
      </w:r>
      <w:r w:rsidR="00202846">
        <w:t>dominierende Periode)</w:t>
      </w:r>
      <w:r>
        <w:t xml:space="preserve"> </w:t>
      </w:r>
      <w:r w:rsidR="00202846">
        <w:t xml:space="preserve">über die unterschiedlichen Erneuerungskonzepte hinweg </w:t>
      </w:r>
      <w:r>
        <w:t xml:space="preserve">ihren Ausdruck in </w:t>
      </w:r>
      <w:r w:rsidR="00202846">
        <w:t>e</w:t>
      </w:r>
      <w:r w:rsidR="00202846">
        <w:t>i</w:t>
      </w:r>
      <w:r w:rsidR="00202846">
        <w:t>nem klar erkennbaren Stil,</w:t>
      </w:r>
      <w:r w:rsidR="00951E65">
        <w:rPr>
          <w:rStyle w:val="Funotenzeichen"/>
        </w:rPr>
        <w:footnoteReference w:id="649"/>
      </w:r>
      <w:r w:rsidR="00202846">
        <w:t xml:space="preserve"> während die danach beginnende Postmodern</w:t>
      </w:r>
      <w:r w:rsidR="00AF7290">
        <w:t>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202846">
        <w:t xml:space="preserve"> ihre </w:t>
      </w:r>
      <w:r w:rsidR="00202846">
        <w:lastRenderedPageBreak/>
        <w:t xml:space="preserve">Betonung der Heteronomie ausdrückte, indem sie den Stilmix </w:t>
      </w:r>
      <w:r w:rsidR="00D84B38">
        <w:t xml:space="preserve">praktizierte und sich eklektisch und rekombinierend bei </w:t>
      </w:r>
      <w:r w:rsidR="00202846">
        <w:t>frühere</w:t>
      </w:r>
      <w:r w:rsidR="00D84B38">
        <w:t>n</w:t>
      </w:r>
      <w:r w:rsidR="00202846">
        <w:t xml:space="preserve"> Stile</w:t>
      </w:r>
      <w:r w:rsidR="00D84B38">
        <w:t>n bediente</w:t>
      </w:r>
      <w:r w:rsidR="00202846">
        <w:t>.</w:t>
      </w:r>
      <w:bookmarkStart w:id="506" w:name="_Ref268631649"/>
      <w:r w:rsidR="009E1DE0">
        <w:rPr>
          <w:rStyle w:val="Funotenzeichen"/>
        </w:rPr>
        <w:footnoteReference w:id="650"/>
      </w:r>
      <w:bookmarkEnd w:id="506"/>
    </w:p>
    <w:p w:rsidR="00EF6468" w:rsidRDefault="00EF6468" w:rsidP="00B832DF">
      <w:pPr>
        <w:pStyle w:val="Text"/>
      </w:pPr>
      <w:r>
        <w:t>Auch für die Unterscheidung zwischen ‚Originalen</w:t>
      </w:r>
      <w:r w:rsidR="005D7996">
        <w:fldChar w:fldCharType="begin"/>
      </w:r>
      <w:r w:rsidR="00E81F48">
        <w:instrText xml:space="preserve"> XE "</w:instrText>
      </w:r>
      <w:r w:rsidR="00E81F48" w:rsidRPr="00D26670">
        <w:instrText>Original</w:instrText>
      </w:r>
      <w:r w:rsidR="00E81F48">
        <w:instrText xml:space="preserve">" </w:instrText>
      </w:r>
      <w:r w:rsidR="005D7996">
        <w:fldChar w:fldCharType="end"/>
      </w:r>
      <w:r>
        <w:t>‘ und ‚Fälschungen</w:t>
      </w:r>
      <w:r w:rsidR="005D7996">
        <w:fldChar w:fldCharType="begin"/>
      </w:r>
      <w:r w:rsidR="00E81F48">
        <w:instrText xml:space="preserve"> XE "</w:instrText>
      </w:r>
      <w:r w:rsidR="00E81F48" w:rsidRPr="004C0677">
        <w:instrText>Fälschung</w:instrText>
      </w:r>
      <w:r w:rsidR="00E81F48">
        <w:instrText xml:space="preserve">" </w:instrText>
      </w:r>
      <w:r w:rsidR="005D7996">
        <w:fldChar w:fldCharType="end"/>
      </w:r>
      <w:r>
        <w:t xml:space="preserve">‘ bei Artefakten oder Texten ist Stil oft von erheblicher </w:t>
      </w:r>
      <w:r w:rsidR="009D404D">
        <w:t>Wichtigkeit</w:t>
      </w:r>
      <w:r>
        <w:t>. Originale sind dadurch gekennzeichnet, dass sie einem bestimmten Produzenten oder einer durch bestimmte Merkmal</w:t>
      </w:r>
      <w:r w:rsidR="00F92585">
        <w:t>sregeln</w:t>
      </w:r>
      <w:r>
        <w:t xml:space="preserve"> gekennzeichneten Produzentengruppe (einem einzelnen Künstler, einer bestimmten Tradition oder Zeitepoche oder einem Unternehmen) zuzuordnen sind, während Fälschungen den Eindruck erwecken möchten, von diesem Produzenten oder dieser Produzentengruppe zu stammen. Da es sehr schwierig ist, Stile exakt nachzumachen, können Experten für das jeweilige Gebiet häufig Fälschungen von Originalen anhand von kleinen </w:t>
      </w:r>
      <w:r w:rsidR="005C0AB2">
        <w:t>Stila</w:t>
      </w:r>
      <w:r w:rsidR="005C0AB2">
        <w:t>b</w:t>
      </w:r>
      <w:r w:rsidR="005C0AB2">
        <w:t>weichungen unterscheiden</w:t>
      </w:r>
      <w:r>
        <w:t>, die der Fälschende übersehen hat oder deren Nac</w:t>
      </w:r>
      <w:r>
        <w:t>h</w:t>
      </w:r>
      <w:r>
        <w:t>ahmung ihm nicht gelang.</w:t>
      </w:r>
      <w:bookmarkStart w:id="507" w:name="_Ref268631735"/>
      <w:r>
        <w:rPr>
          <w:rStyle w:val="Funotenzeichen"/>
        </w:rPr>
        <w:footnoteReference w:id="651"/>
      </w:r>
      <w:bookmarkEnd w:id="507"/>
    </w:p>
    <w:p w:rsidR="00EF6468" w:rsidRDefault="00AF7290" w:rsidP="00B832DF">
      <w:pPr>
        <w:pStyle w:val="Text"/>
      </w:pPr>
      <w:r>
        <w:t>Je vielfältiger und pluralistischer eine Gesellschaft ist, desto wichtiger we</w:t>
      </w:r>
      <w:r>
        <w:t>r</w:t>
      </w:r>
      <w:r>
        <w:t>den Stile, sowohl als individualisierende Ausführungsmuster von allgemeinen Schemata, mit dem das Individuum dem Allgemeinen seine persönlichen Intere</w:t>
      </w:r>
      <w:r>
        <w:t>s</w:t>
      </w:r>
      <w:r>
        <w:t>sen und Vorlieben aufprägen kann, sowie auch als Ausdruck von Ansichten und zur Identifikation mit oder Abgrenzung von Individuen und Gruppen. Es ist daher ganz sicher verfrüht,</w:t>
      </w:r>
      <w:r w:rsidR="00E1440D">
        <w:rPr>
          <w:rStyle w:val="Funotenzeichen"/>
        </w:rPr>
        <w:footnoteReference w:id="652"/>
      </w:r>
      <w:r>
        <w:t xml:space="preserve"> aufgrund der ebenfalls beobachtbaren </w:t>
      </w:r>
      <w:r w:rsidR="00E1440D">
        <w:t xml:space="preserve">globalen </w:t>
      </w:r>
      <w:r>
        <w:t>Hybridisierung das Ende de</w:t>
      </w:r>
      <w:r w:rsidR="00E1440D">
        <w:t>r</w:t>
      </w:r>
      <w:r>
        <w:t xml:space="preserve"> Stil</w:t>
      </w:r>
      <w:r w:rsidR="00E1440D">
        <w:t>e zu verkünden.</w:t>
      </w:r>
    </w:p>
    <w:p w:rsidR="009F3384" w:rsidRDefault="009F3384" w:rsidP="009F3384">
      <w:pPr>
        <w:pStyle w:val="Text"/>
      </w:pPr>
      <w:r>
        <w:t>Zwei weitere Aspekte sind weniger offensichtlich, beeinflussen aber ebe</w:t>
      </w:r>
      <w:r>
        <w:t>n</w:t>
      </w:r>
      <w:r>
        <w:t>falls die Rolle von Stil in der Gesellschaft:</w:t>
      </w:r>
    </w:p>
    <w:p w:rsidR="00555921" w:rsidRDefault="00BF2508" w:rsidP="009F3384">
      <w:pPr>
        <w:pStyle w:val="Text"/>
      </w:pPr>
      <w:r>
        <w:t>(1)</w:t>
      </w:r>
      <w:r>
        <w:tab/>
      </w:r>
      <w:r w:rsidR="009F3384">
        <w:t>Stil entsteht in der Umgangsweise von Individuen mit einem Repe</w:t>
      </w:r>
      <w:r w:rsidR="009F3384">
        <w:t>r</w:t>
      </w:r>
      <w:r w:rsidR="009F3384">
        <w:t>toire an Verhaltens-, Artefakt- und Textschemata. Daher ermöglichen Stilvo</w:t>
      </w:r>
      <w:r w:rsidR="009F3384">
        <w:t>r</w:t>
      </w:r>
      <w:r w:rsidR="009F3384">
        <w:t>gänge auch Veränderung dieser Schemata, und damit gesellschaftliche Veränd</w:t>
      </w:r>
      <w:r w:rsidR="009F3384">
        <w:t>e</w:t>
      </w:r>
      <w:r w:rsidR="009F3384">
        <w:t>rung insgesamt. Im Bereich des Stils ist es möglich, individuelle Lösungen zu finden, seine Haltung zum ausgeführten Schema auszudrücken, Hinweise auf Veränderungspotentiale zu geben, usw. Stellt sich etwas als erfolgreich heraus, kann oft das Schema entsprechend angepasst werden. Auch Schemata untere</w:t>
      </w:r>
      <w:r w:rsidR="009F3384">
        <w:t>i</w:t>
      </w:r>
      <w:r w:rsidR="009F3384">
        <w:t xml:space="preserve">nander können mit Hilfe der auf ihrer Basis entwickelten Stile gegeneinander </w:t>
      </w:r>
      <w:r>
        <w:t xml:space="preserve">antreten; ist es beispielsweise möglich, beim Autofahren </w:t>
      </w:r>
      <w:r w:rsidR="00154EA7">
        <w:t xml:space="preserve">lässiger </w:t>
      </w:r>
      <w:r>
        <w:t xml:space="preserve">auszusehen als beim Benutzen einer Pferdedroschke, </w:t>
      </w:r>
      <w:r w:rsidR="00A15C22">
        <w:t xml:space="preserve">kann das </w:t>
      </w:r>
      <w:r w:rsidR="00555921">
        <w:t xml:space="preserve">Autofahren </w:t>
      </w:r>
      <w:r w:rsidR="00A15C22">
        <w:t>(</w:t>
      </w:r>
      <w:r w:rsidR="004F33A2">
        <w:t xml:space="preserve">sobald </w:t>
      </w:r>
      <w:r w:rsidR="00A15C22">
        <w:t>der A</w:t>
      </w:r>
      <w:r w:rsidR="00A15C22">
        <w:t>n</w:t>
      </w:r>
      <w:r w:rsidR="00A15C22">
        <w:t>fangswiderstand gegen das neue Schema überwunden ist) davon profitieren</w:t>
      </w:r>
      <w:r w:rsidR="00555921">
        <w:t>.</w:t>
      </w:r>
    </w:p>
    <w:p w:rsidR="00BF2508" w:rsidRDefault="00BF2508" w:rsidP="009F3384">
      <w:pPr>
        <w:pStyle w:val="Text"/>
      </w:pPr>
      <w:r>
        <w:lastRenderedPageBreak/>
        <w:t>Diese Effekte machen Stil bezogen auf die verwendeten Schemata – und damit prinzipiell auf alle Bereiche des Verhaltens, der Artefakte und Texte einer Gesellschaft, soweit sie schemabasiert sind – zu einer Metaebene, auf der Refl</w:t>
      </w:r>
      <w:r>
        <w:t>e</w:t>
      </w:r>
      <w:r>
        <w:t>xion stattfinden und Innovation geprüft werden kann. Dies erklärt auch, wieso gesellschaftliche Innovation oft über Stile erprobt, ausgehandelt und von Avan</w:t>
      </w:r>
      <w:r>
        <w:t>t</w:t>
      </w:r>
      <w:r>
        <w:t>garden an den Rest der Gesellschaft vermittelt wird; dies gilt für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t>, Kunst und Politik ebenso wie für alltägliches Verhalten wie Kleidung oder Interaktion.</w:t>
      </w:r>
      <w:r w:rsidR="00555921">
        <w:t xml:space="preserve"> Stile ermöglichen somit ein rasches und, da nicht gleich eine Schemaänderung erfolgt, spielerisches Durchsuchen des Möglichkeitsraums nach neuen Varianten von Verhaltens-, Artefakt- und Textschemata und fördern damit die Veränd</w:t>
      </w:r>
      <w:r w:rsidR="00555921">
        <w:t>e</w:t>
      </w:r>
      <w:r w:rsidR="00555921">
        <w:t>rungsfähigkeit einer Gesellschaft.</w:t>
      </w:r>
    </w:p>
    <w:p w:rsidR="009F3384" w:rsidRDefault="00BF2508" w:rsidP="009F3384">
      <w:pPr>
        <w:pStyle w:val="Text"/>
      </w:pPr>
      <w:r>
        <w:t>(2)</w:t>
      </w:r>
      <w:r>
        <w:tab/>
      </w:r>
      <w:r w:rsidR="009F3384">
        <w:t xml:space="preserve">Relevant ist </w:t>
      </w:r>
      <w:r w:rsidR="00555921">
        <w:t>auch</w:t>
      </w:r>
      <w:r>
        <w:t xml:space="preserve">, </w:t>
      </w:r>
      <w:r w:rsidR="009F3384">
        <w:t xml:space="preserve">dass Stil (als die individuelle Seite der Anwendung von </w:t>
      </w:r>
      <w:r>
        <w:t>Schemata</w:t>
      </w:r>
      <w:r w:rsidR="009F3384">
        <w:t xml:space="preserve">) nur dort überhaupt als Phänomen wahrgenommen werden kann, wo akzeptiert wird, dass es verschiedene Möglichkeiten gibt, </w:t>
      </w:r>
      <w:r>
        <w:t>Schemata</w:t>
      </w:r>
      <w:r w:rsidR="009F3384">
        <w:t xml:space="preserve"> anz</w:t>
      </w:r>
      <w:r w:rsidR="009F3384">
        <w:t>u</w:t>
      </w:r>
      <w:r w:rsidR="009F3384">
        <w:t>wenden.</w:t>
      </w:r>
      <w:r w:rsidR="009F3384">
        <w:rPr>
          <w:rStyle w:val="Funotenzeichen"/>
        </w:rPr>
        <w:footnoteReference w:id="653"/>
      </w:r>
      <w:r w:rsidR="009F3384">
        <w:t xml:space="preserve"> In Gesellschaften, die den Individuen wenig Geltung zusprechen, sondern </w:t>
      </w:r>
      <w:r>
        <w:t xml:space="preserve">in denen </w:t>
      </w:r>
      <w:r w:rsidR="009F3384">
        <w:t xml:space="preserve">nur die </w:t>
      </w:r>
      <w:r>
        <w:t xml:space="preserve">Schemata selbst als wichtig gelten, </w:t>
      </w:r>
      <w:r w:rsidR="009F3384">
        <w:t>können unte</w:t>
      </w:r>
      <w:r w:rsidR="009F3384">
        <w:t>r</w:t>
      </w:r>
      <w:r w:rsidR="009F3384">
        <w:t>schiedliche Arten</w:t>
      </w:r>
      <w:r>
        <w:t xml:space="preserve"> der Schemaausführung </w:t>
      </w:r>
      <w:r w:rsidR="009F3384">
        <w:t xml:space="preserve">nur </w:t>
      </w:r>
      <w:r>
        <w:t xml:space="preserve">in </w:t>
      </w:r>
      <w:r w:rsidR="006D62B0">
        <w:t>‚</w:t>
      </w:r>
      <w:r>
        <w:t>richtig</w:t>
      </w:r>
      <w:r w:rsidR="006D62B0">
        <w:t>‘</w:t>
      </w:r>
      <w:r w:rsidR="009F3384">
        <w:t xml:space="preserve"> </w:t>
      </w:r>
      <w:r>
        <w:t xml:space="preserve">und </w:t>
      </w:r>
      <w:r w:rsidR="006D62B0">
        <w:t>‚</w:t>
      </w:r>
      <w:r>
        <w:t>falsch</w:t>
      </w:r>
      <w:r w:rsidR="006D62B0">
        <w:t>‘</w:t>
      </w:r>
      <w:r w:rsidR="009F3384">
        <w:t xml:space="preserve"> </w:t>
      </w:r>
      <w:r>
        <w:t xml:space="preserve">unterteilt werden. Höchstens kann </w:t>
      </w:r>
      <w:r w:rsidR="00555921">
        <w:t>eine graduelle Wertung danach erfolgen</w:t>
      </w:r>
      <w:r>
        <w:t>, ob die indiv</w:t>
      </w:r>
      <w:r>
        <w:t>i</w:t>
      </w:r>
      <w:r>
        <w:t>duelle Ausführung dem Schema</w:t>
      </w:r>
      <w:r w:rsidR="00555921">
        <w:t>, das als Maß aller</w:t>
      </w:r>
      <w:r>
        <w:t xml:space="preserve"> Dinge gilt, mehr oder minder </w:t>
      </w:r>
      <w:r w:rsidR="00555921">
        <w:t xml:space="preserve">gerecht wird. </w:t>
      </w:r>
      <w:r w:rsidR="009F3384">
        <w:t xml:space="preserve">Wo individueller Spielraum bei der </w:t>
      </w:r>
      <w:r w:rsidR="00C02926">
        <w:t xml:space="preserve">Schemaausführung und der </w:t>
      </w:r>
      <w:r w:rsidR="009F3384">
        <w:t xml:space="preserve">Kodeverwendung nicht </w:t>
      </w:r>
      <w:r w:rsidR="00555921">
        <w:t xml:space="preserve">gedacht werden kann, </w:t>
      </w:r>
      <w:r w:rsidR="009F3384">
        <w:t>können auch keine Stile wahrg</w:t>
      </w:r>
      <w:r w:rsidR="009F3384">
        <w:t>e</w:t>
      </w:r>
      <w:r w:rsidR="009F3384">
        <w:t>nommen und unterschieden werden.</w:t>
      </w:r>
      <w:r w:rsidR="00555921">
        <w:t xml:space="preserve"> Die Ausbreitung von Stilkompetenz und von individuellen Stilen bedingen sich daher gegenseitig und tragen gemeinsam zu einer individuellen Ausdifferenzierung von Gesellschaften bei.</w:t>
      </w:r>
    </w:p>
    <w:p w:rsidR="000210BF" w:rsidRDefault="00B832DF" w:rsidP="00B832DF">
      <w:pPr>
        <w:pStyle w:val="Titel3"/>
      </w:pPr>
      <w:bookmarkStart w:id="508" w:name="_Ref264885369"/>
      <w:bookmarkStart w:id="509" w:name="_Toc325456831"/>
      <w:bookmarkStart w:id="510" w:name="Habitus"/>
      <w:bookmarkEnd w:id="504"/>
      <w:r>
        <w:t>Habitus</w:t>
      </w:r>
      <w:r w:rsidR="002C1F40">
        <w:t xml:space="preserve"> </w:t>
      </w:r>
      <w:r w:rsidR="00C94CEF">
        <w:t>und Identitätsbildung</w:t>
      </w:r>
      <w:bookmarkEnd w:id="508"/>
      <w:bookmarkEnd w:id="509"/>
    </w:p>
    <w:p w:rsidR="001950DA" w:rsidRDefault="005D7996" w:rsidP="00916D84">
      <w:pPr>
        <w:pStyle w:val="Text"/>
        <w:ind w:firstLine="0"/>
      </w:pPr>
      <w:r>
        <w:fldChar w:fldCharType="begin"/>
      </w:r>
      <w:r w:rsidR="008D5AE5">
        <w:instrText xml:space="preserve"> XE "Habitus" \r "Habitus"</w:instrText>
      </w:r>
      <w:r w:rsidR="009E3151">
        <w:instrText xml:space="preserve"> </w:instrText>
      </w:r>
      <w:r>
        <w:fldChar w:fldCharType="end"/>
      </w:r>
      <w:r>
        <w:fldChar w:fldCharType="begin"/>
      </w:r>
      <w:r w:rsidR="008D5AE5">
        <w:instrText xml:space="preserve"> XE "Identitätsbildung" \r "Habitus"</w:instrText>
      </w:r>
      <w:r w:rsidR="009E3151">
        <w:instrText xml:space="preserve"> </w:instrText>
      </w:r>
      <w:r>
        <w:fldChar w:fldCharType="end"/>
      </w:r>
      <w:r>
        <w:fldChar w:fldCharType="begin"/>
      </w:r>
      <w:r w:rsidR="008D5AE5">
        <w:instrText xml:space="preserve"> XE "Schicht, gesellschaftliche" \r "Habitus"</w:instrText>
      </w:r>
      <w:r w:rsidR="009E3151">
        <w:instrText xml:space="preserve"> </w:instrText>
      </w:r>
      <w:r>
        <w:fldChar w:fldCharType="end"/>
      </w:r>
      <w:r>
        <w:fldChar w:fldCharType="begin"/>
      </w:r>
      <w:r w:rsidR="008D5AE5">
        <w:instrText xml:space="preserve"> XE "Klasse, gesellschaftliche" \r "Habitus"</w:instrText>
      </w:r>
      <w:r w:rsidR="009E3151">
        <w:instrText xml:space="preserve"> </w:instrText>
      </w:r>
      <w:r>
        <w:fldChar w:fldCharType="end"/>
      </w:r>
      <w:r w:rsidR="001C6EB9">
        <w:t>In vielen Gesellschaften gibt es unterschiedliche gesellschaftliche Schichten, die über unterschiedli</w:t>
      </w:r>
      <w:r w:rsidR="00D5368B">
        <w:t>c</w:t>
      </w:r>
      <w:r w:rsidR="001C6EB9">
        <w:t>h viel Macht, Einfluss und Handlungsmöglichkeiten verf</w:t>
      </w:r>
      <w:r w:rsidR="001C6EB9">
        <w:t>ü</w:t>
      </w:r>
      <w:r w:rsidR="001C6EB9">
        <w:t>gen. In solchen Gesellschaften spielen Stile oft eine wichtige Rolle bei der Z</w:t>
      </w:r>
      <w:r w:rsidR="001C6EB9">
        <w:t>u</w:t>
      </w:r>
      <w:r w:rsidR="001C6EB9">
        <w:t xml:space="preserve">ordnung zu einer </w:t>
      </w:r>
      <w:r w:rsidR="008F04BB">
        <w:t>sozialen Schicht</w:t>
      </w:r>
      <w:r w:rsidR="001C6EB9">
        <w:t xml:space="preserve">. </w:t>
      </w:r>
      <w:r w:rsidR="001950DA">
        <w:t xml:space="preserve">Stile bilden in diesem Fall Teil des Habitus, mit dem </w:t>
      </w:r>
      <w:r w:rsidR="00B52B51">
        <w:t>Klassen-,</w:t>
      </w:r>
      <w:r w:rsidR="002768E8">
        <w:t xml:space="preserve"> Geschlechts- und Gruppen</w:t>
      </w:r>
      <w:r w:rsidR="001950DA">
        <w:t>zugehörigkeit markiert wird.</w:t>
      </w:r>
      <w:r w:rsidR="00DC0B44">
        <w:rPr>
          <w:rStyle w:val="Funotenzeichen"/>
        </w:rPr>
        <w:footnoteReference w:id="654"/>
      </w:r>
    </w:p>
    <w:p w:rsidR="002768E8" w:rsidRDefault="00AC7357" w:rsidP="000210BF">
      <w:pPr>
        <w:pStyle w:val="Text"/>
      </w:pPr>
      <w:r>
        <w:t xml:space="preserve">Der Begriff </w:t>
      </w:r>
      <w:r w:rsidR="00C05939">
        <w:t>‚</w:t>
      </w:r>
      <w:r w:rsidR="001950DA">
        <w:t>Habitus</w:t>
      </w:r>
      <w:r w:rsidR="00C05939">
        <w:t>‘</w:t>
      </w:r>
      <w:r>
        <w:t xml:space="preserve"> wird in der Soziologie</w:t>
      </w:r>
      <w:r w:rsidR="005D7996">
        <w:fldChar w:fldCharType="begin"/>
      </w:r>
      <w:r w:rsidR="00866F93">
        <w:instrText xml:space="preserve"> XE "</w:instrText>
      </w:r>
      <w:r w:rsidR="00866F93" w:rsidRPr="005C0A63">
        <w:rPr>
          <w:szCs w:val="17"/>
        </w:rPr>
        <w:instrText>Soziologie</w:instrText>
      </w:r>
      <w:r w:rsidR="00866F93">
        <w:instrText xml:space="preserve">" </w:instrText>
      </w:r>
      <w:r w:rsidR="005D7996">
        <w:fldChar w:fldCharType="end"/>
      </w:r>
      <w:r>
        <w:t xml:space="preserve"> schon lange verwendet, be</w:t>
      </w:r>
      <w:r>
        <w:t>i</w:t>
      </w:r>
      <w:r>
        <w:t xml:space="preserve">spielsweise von </w:t>
      </w:r>
      <w:r w:rsidR="00003915">
        <w:t>É</w:t>
      </w:r>
      <w:r>
        <w:t>mile Durkheim</w:t>
      </w:r>
      <w:r w:rsidR="005D7996">
        <w:fldChar w:fldCharType="begin"/>
      </w:r>
      <w:r w:rsidR="002D1DA1">
        <w:instrText xml:space="preserve"> XE "</w:instrText>
      </w:r>
      <w:r w:rsidR="002D1DA1" w:rsidRPr="00810B74">
        <w:instrText>Durkheim, Émile</w:instrText>
      </w:r>
      <w:r w:rsidR="002D1DA1">
        <w:instrText xml:space="preserve">" </w:instrText>
      </w:r>
      <w:r w:rsidR="005D7996">
        <w:fldChar w:fldCharType="end"/>
      </w:r>
      <w:r>
        <w:t>, Max Weber</w:t>
      </w:r>
      <w:r w:rsidR="005D7996">
        <w:fldChar w:fldCharType="begin"/>
      </w:r>
      <w:r w:rsidR="002D1DA1">
        <w:instrText xml:space="preserve"> XE "</w:instrText>
      </w:r>
      <w:r w:rsidR="002D1DA1" w:rsidRPr="005E65D4">
        <w:instrText>Weber, Max</w:instrText>
      </w:r>
      <w:r w:rsidR="002D1DA1">
        <w:instrText xml:space="preserve">" </w:instrText>
      </w:r>
      <w:r w:rsidR="005D7996">
        <w:fldChar w:fldCharType="end"/>
      </w:r>
      <w:r>
        <w:t>, Marcel Mauss</w:t>
      </w:r>
      <w:r w:rsidR="005D7996">
        <w:fldChar w:fldCharType="begin"/>
      </w:r>
      <w:r w:rsidR="002D1DA1">
        <w:instrText xml:space="preserve"> XE "</w:instrText>
      </w:r>
      <w:r w:rsidR="002D1DA1" w:rsidRPr="008F69EE">
        <w:instrText>Mauss, Marcel</w:instrText>
      </w:r>
      <w:r w:rsidR="002D1DA1">
        <w:instrText xml:space="preserve">" </w:instrText>
      </w:r>
      <w:r w:rsidR="005D7996">
        <w:fldChar w:fldCharType="end"/>
      </w:r>
      <w:r>
        <w:t xml:space="preserve"> und Norbert Elias</w:t>
      </w:r>
      <w:r w:rsidR="005D7996">
        <w:fldChar w:fldCharType="begin"/>
      </w:r>
      <w:r w:rsidR="002D1DA1">
        <w:instrText xml:space="preserve"> XE "</w:instrText>
      </w:r>
      <w:r w:rsidR="002D1DA1" w:rsidRPr="007B1BD9">
        <w:instrText>Elias, Norbert</w:instrText>
      </w:r>
      <w:r w:rsidR="002D1DA1">
        <w:instrText xml:space="preserve">" </w:instrText>
      </w:r>
      <w:r w:rsidR="005D7996">
        <w:fldChar w:fldCharType="end"/>
      </w:r>
      <w:r>
        <w:t>;</w:t>
      </w:r>
      <w:r w:rsidR="00E577AC">
        <w:rPr>
          <w:rStyle w:val="Funotenzeichen"/>
        </w:rPr>
        <w:footnoteReference w:id="655"/>
      </w:r>
      <w:r>
        <w:t xml:space="preserve"> Pierre Bourdieu</w:t>
      </w:r>
      <w:r w:rsidR="005D7996">
        <w:fldChar w:fldCharType="begin"/>
      </w:r>
      <w:r w:rsidR="00757970">
        <w:instrText xml:space="preserve"> XE "</w:instrText>
      </w:r>
      <w:r w:rsidR="00757970" w:rsidRPr="007E2E01">
        <w:rPr>
          <w:rFonts w:eastAsia="Times New Roman" w:cs="Times New Roman"/>
        </w:rPr>
        <w:instrText>Bourdieu, Pierre</w:instrText>
      </w:r>
      <w:r w:rsidR="00757970">
        <w:instrText xml:space="preserve">" </w:instrText>
      </w:r>
      <w:r w:rsidR="005D7996">
        <w:fldChar w:fldCharType="end"/>
      </w:r>
      <w:r>
        <w:t xml:space="preserve"> war es jedoch, der die zentrale Rolle des Habitus in str</w:t>
      </w:r>
      <w:r>
        <w:t>a</w:t>
      </w:r>
      <w:r>
        <w:t xml:space="preserve">tifizierten Gesellschaften in ihren unterschiedlichen Aspekten </w:t>
      </w:r>
      <w:r w:rsidR="00B52B51">
        <w:t xml:space="preserve">hervorhob </w:t>
      </w:r>
      <w:r>
        <w:t>und dem Begriff einen systematischen Status in seiner soziologischen Theorie gab.</w:t>
      </w:r>
      <w:r w:rsidR="00E577AC">
        <w:rPr>
          <w:rStyle w:val="Funotenzeichen"/>
        </w:rPr>
        <w:footnoteReference w:id="656"/>
      </w:r>
      <w:r w:rsidR="00E577AC">
        <w:t xml:space="preserve"> </w:t>
      </w:r>
      <w:r>
        <w:lastRenderedPageBreak/>
        <w:t>Bourdieu</w:t>
      </w:r>
      <w:r w:rsidR="005D7996">
        <w:fldChar w:fldCharType="begin"/>
      </w:r>
      <w:r w:rsidR="00757970">
        <w:instrText xml:space="preserve"> XE "</w:instrText>
      </w:r>
      <w:r w:rsidR="00757970" w:rsidRPr="007E2E01">
        <w:rPr>
          <w:rFonts w:eastAsia="Times New Roman" w:cs="Times New Roman"/>
        </w:rPr>
        <w:instrText>Bourdieu, Pierre</w:instrText>
      </w:r>
      <w:r w:rsidR="00757970">
        <w:instrText xml:space="preserve">" </w:instrText>
      </w:r>
      <w:r w:rsidR="005D7996">
        <w:fldChar w:fldCharType="end"/>
      </w:r>
      <w:r>
        <w:t xml:space="preserve"> fasst Habitus als System</w:t>
      </w:r>
      <w:r w:rsidR="005D7996">
        <w:fldChar w:fldCharType="begin"/>
      </w:r>
      <w:r w:rsidR="006F0E69">
        <w:instrText xml:space="preserve"> XE "</w:instrText>
      </w:r>
      <w:r w:rsidR="006F0E69" w:rsidRPr="009C4EB7">
        <w:instrText>System</w:instrText>
      </w:r>
      <w:r w:rsidR="006F0E69">
        <w:instrText xml:space="preserve">" </w:instrText>
      </w:r>
      <w:r w:rsidR="005D7996">
        <w:fldChar w:fldCharType="end"/>
      </w:r>
      <w:r>
        <w:t xml:space="preserve"> dauerhafter </w:t>
      </w:r>
      <w:r w:rsidR="006B0216">
        <w:t>D</w:t>
      </w:r>
      <w:r>
        <w:t>ispositionen auf</w:t>
      </w:r>
      <w:r w:rsidR="006B0216">
        <w:t>, die allerdings weniger als feste Verhaltensdispositionen aufzufassen sind, sondern vielmehr eine Art generative Grammatik</w:t>
      </w:r>
      <w:r w:rsidR="005D7996">
        <w:fldChar w:fldCharType="begin"/>
      </w:r>
      <w:r w:rsidR="009324EE">
        <w:instrText xml:space="preserve"> XE "</w:instrText>
      </w:r>
      <w:r w:rsidR="009324EE" w:rsidRPr="00BE3C41">
        <w:instrText>generative Grammatik</w:instrText>
      </w:r>
      <w:r w:rsidR="009324EE">
        <w:instrText xml:space="preserve">" </w:instrText>
      </w:r>
      <w:r w:rsidR="005D7996">
        <w:fldChar w:fldCharType="end"/>
      </w:r>
      <w:r w:rsidR="006B0216">
        <w:t xml:space="preserve"> bilden, die es dem Individuum ermöglichen, auch auf neue Situationen in einer habitusspezifischen Weise zu reagieren.</w:t>
      </w:r>
      <w:r w:rsidR="006B0216">
        <w:rPr>
          <w:rStyle w:val="Funotenzeichen"/>
        </w:rPr>
        <w:footnoteReference w:id="657"/>
      </w:r>
      <w:r w:rsidR="006B0216">
        <w:t xml:space="preserve"> </w:t>
      </w:r>
      <w:r w:rsidR="002768E8">
        <w:t>Der H</w:t>
      </w:r>
      <w:r w:rsidR="002768E8">
        <w:t>a</w:t>
      </w:r>
      <w:r w:rsidR="002768E8">
        <w:t xml:space="preserve">bitus ist ein Produktionssystem für </w:t>
      </w:r>
      <w:r w:rsidR="008F04BB">
        <w:t>klassen</w:t>
      </w:r>
      <w:r w:rsidR="002768E8">
        <w:t>-, geschlechts- und gruppenspezif</w:t>
      </w:r>
      <w:r w:rsidR="002768E8">
        <w:t>i</w:t>
      </w:r>
      <w:r w:rsidR="002768E8">
        <w:t>sches Verhalten des Individuums: Daher kann das Ergebnis des Habitus, das auf der Oberfläche beobachtete Verhalten, nicht einfach nachgeahmt werden. Me</w:t>
      </w:r>
      <w:r w:rsidR="002768E8">
        <w:t>n</w:t>
      </w:r>
      <w:r w:rsidR="002768E8">
        <w:t>schen, die sich durch angenommene Verhaltensweisen als zugehörig ausweisen wollen (z.B. soziale Aufsteiger), werden als ‚soziale Fälschung</w:t>
      </w:r>
      <w:r w:rsidR="005D7996">
        <w:fldChar w:fldCharType="begin"/>
      </w:r>
      <w:r w:rsidR="00E81F48">
        <w:instrText xml:space="preserve"> XE "</w:instrText>
      </w:r>
      <w:r w:rsidR="00E81F48" w:rsidRPr="004C2DF5">
        <w:instrText>Fälschung</w:instrText>
      </w:r>
      <w:r w:rsidR="00E81F48">
        <w:instrText xml:space="preserve">" </w:instrText>
      </w:r>
      <w:r w:rsidR="005D7996">
        <w:fldChar w:fldCharType="end"/>
      </w:r>
      <w:r w:rsidR="002768E8">
        <w:t>‘ erkannt, während die derselben Schicht Zugehörigen dadurch, dass sie auf neuartige Situationen in der habitusspezifischen Weise reagieren, als solche identifiziert werden, ohne dass dies explizit kommuniziert werden muss.</w:t>
      </w:r>
    </w:p>
    <w:p w:rsidR="002768E8" w:rsidRDefault="002768E8" w:rsidP="000210BF">
      <w:pPr>
        <w:pStyle w:val="Text"/>
      </w:pPr>
      <w:r>
        <w:t xml:space="preserve">Habitus hat daher einiges mit Stil gemeinsam: Auch dieser </w:t>
      </w:r>
      <w:r w:rsidR="00B430A7">
        <w:t>besteht aus</w:t>
      </w:r>
      <w:r w:rsidR="00B3608E">
        <w:t xml:space="preserve"> R</w:t>
      </w:r>
      <w:r w:rsidR="00B3608E">
        <w:t>e</w:t>
      </w:r>
      <w:r w:rsidR="00B3608E">
        <w:t>geln, mit denen</w:t>
      </w:r>
      <w:r>
        <w:t xml:space="preserve"> auf neue </w:t>
      </w:r>
      <w:r w:rsidR="00B430A7">
        <w:t>Situationen reagiert werden kann. Allerdings kann der hier vorgestellten Theorie zufolge ein Stil nur bei der Realisierung eines b</w:t>
      </w:r>
      <w:r w:rsidR="00B430A7">
        <w:t>e</w:t>
      </w:r>
      <w:r w:rsidR="00B430A7">
        <w:t xml:space="preserve">stimmten Schemas angewandt werden, während Habitus schemaübergreifend auf unterschiedliche Verhaltensbereiche wirkt. Ein weiterer Unterschied besteht darin, dass Stile </w:t>
      </w:r>
      <w:r w:rsidR="008F04BB">
        <w:t xml:space="preserve">oft </w:t>
      </w:r>
      <w:r w:rsidR="00B430A7">
        <w:t>übernommen oder gelernt werden können</w:t>
      </w:r>
      <w:r w:rsidR="008F04BB">
        <w:t>, da sie aus einer begrenzten Menge von Merkmalsregeln bestehen, die durchaus erkennbar sind. (Wären sie es nicht, könnten sie nicht vom</w:t>
      </w:r>
      <w:r w:rsidR="0022253A">
        <w:t xml:space="preserve"> Stilanwender und Stilwahrnehmer</w:t>
      </w:r>
      <w:r w:rsidR="008F04BB">
        <w:t xml:space="preserve"> übermittelt werden.)</w:t>
      </w:r>
    </w:p>
    <w:p w:rsidR="007E6986" w:rsidRDefault="008F04BB" w:rsidP="000210BF">
      <w:pPr>
        <w:pStyle w:val="Text"/>
      </w:pPr>
      <w:r>
        <w:t xml:space="preserve">Dagegen kann </w:t>
      </w:r>
      <w:r w:rsidR="002768E8">
        <w:t>Habitus</w:t>
      </w:r>
      <w:r>
        <w:t xml:space="preserve"> nicht einfach </w:t>
      </w:r>
      <w:r w:rsidR="002768E8">
        <w:t xml:space="preserve">gelernt werden, da er als Prägung durch alle bisherigen sozialen Erfahrungen </w:t>
      </w:r>
      <w:r>
        <w:t>entsteht: Habitus ist eine Art ‚ko</w:t>
      </w:r>
      <w:r>
        <w:t>m</w:t>
      </w:r>
      <w:r>
        <w:t>primierte Geschichte‘ der Erfahrungen des Individuums. Gleichartiger Habitus entsteht durch vergleichbare Lebensweise und soziales Umfeld und kann als komprimierte und vermutlich verschlüsselte Speicherung all dieser Erfahrungen im Gehirn</w:t>
      </w:r>
      <w:r w:rsidR="005D7996">
        <w:fldChar w:fldCharType="begin"/>
      </w:r>
      <w:r w:rsidR="00F815B0">
        <w:instrText xml:space="preserve"> XE "</w:instrText>
      </w:r>
      <w:r w:rsidR="00F815B0" w:rsidRPr="00E5137A">
        <w:instrText>Gehirn</w:instrText>
      </w:r>
      <w:r w:rsidR="00F815B0">
        <w:instrText xml:space="preserve">" </w:instrText>
      </w:r>
      <w:r w:rsidR="005D7996">
        <w:fldChar w:fldCharType="end"/>
      </w:r>
      <w:r>
        <w:t xml:space="preserve"> aufgefasst werden. Aufgrund der neurologischen Plastizität des G</w:t>
      </w:r>
      <w:r>
        <w:t>e</w:t>
      </w:r>
      <w:r>
        <w:t>hirns</w:t>
      </w:r>
      <w:r w:rsidR="005D7996">
        <w:fldChar w:fldCharType="begin"/>
      </w:r>
      <w:r w:rsidR="00F815B0">
        <w:instrText xml:space="preserve"> XE "</w:instrText>
      </w:r>
      <w:r w:rsidR="00F815B0" w:rsidRPr="00780F62">
        <w:instrText>Gehirn</w:instrText>
      </w:r>
      <w:r w:rsidR="00F815B0">
        <w:instrText xml:space="preserve">" </w:instrText>
      </w:r>
      <w:r w:rsidR="005D7996">
        <w:fldChar w:fldCharType="end"/>
      </w:r>
      <w:r>
        <w:t xml:space="preserve"> ist es sogar sehr wahrscheinlich, dass das Gehirn selbst </w:t>
      </w:r>
      <w:r w:rsidR="00624DF4">
        <w:t>durch diese Pr</w:t>
      </w:r>
      <w:r w:rsidR="00624DF4">
        <w:t>ä</w:t>
      </w:r>
      <w:r w:rsidR="00624DF4">
        <w:t>gungen verändert wird.</w:t>
      </w:r>
      <w:r w:rsidR="00BD480E">
        <w:t xml:space="preserve"> Eine Übernahme des Habitus ist daher normalerweise nicht möglich.</w:t>
      </w:r>
      <w:r w:rsidR="007E6986">
        <w:t xml:space="preserve"> </w:t>
      </w:r>
      <w:r w:rsidR="00BD480E">
        <w:t>Verglichen damit ist Stil ein relativ einfaches Phänomen, das b</w:t>
      </w:r>
      <w:r w:rsidR="00BD480E">
        <w:t>e</w:t>
      </w:r>
      <w:r w:rsidR="00BD480E">
        <w:t>stimmte Regeln der Auswahl für ein bestimmte</w:t>
      </w:r>
      <w:r w:rsidR="00CA415B">
        <w:t>s</w:t>
      </w:r>
      <w:r w:rsidR="00BD480E">
        <w:t xml:space="preserve"> Schema beinhaltet</w:t>
      </w:r>
      <w:r w:rsidR="007E6986">
        <w:t>.</w:t>
      </w:r>
    </w:p>
    <w:p w:rsidR="00D77D6B" w:rsidRDefault="007E6986" w:rsidP="000210BF">
      <w:pPr>
        <w:pStyle w:val="Text"/>
      </w:pPr>
      <w:r>
        <w:t xml:space="preserve">Gemeinsamkeiten bestehen darin, dass auch Stile </w:t>
      </w:r>
      <w:r w:rsidR="002A01BA">
        <w:t xml:space="preserve">häufig </w:t>
      </w:r>
      <w:r>
        <w:t>die Prägung durch frühere Erfahrungen</w:t>
      </w:r>
      <w:r w:rsidR="002A01BA">
        <w:t>,</w:t>
      </w:r>
      <w:r>
        <w:t xml:space="preserve"> durch soziale Zugehörigkeiten </w:t>
      </w:r>
      <w:r w:rsidR="002A01BA">
        <w:t>und das sich daraus erg</w:t>
      </w:r>
      <w:r w:rsidR="002A01BA">
        <w:t>e</w:t>
      </w:r>
      <w:r w:rsidR="002A01BA">
        <w:t xml:space="preserve">bende Selbstbild </w:t>
      </w:r>
      <w:r>
        <w:t xml:space="preserve">ausdrücken. </w:t>
      </w:r>
      <w:r w:rsidR="002A01BA">
        <w:t>Wir hatten ja bei der Betrachtung des Interpretat</w:t>
      </w:r>
      <w:r w:rsidR="002A01BA">
        <w:t>i</w:t>
      </w:r>
      <w:r w:rsidR="002A01BA">
        <w:t xml:space="preserve">onsprozesses (Kapitel 6 und 7) gesehen, dass </w:t>
      </w:r>
      <w:r w:rsidR="00372406">
        <w:t xml:space="preserve">solche Informationen aus Stilen gewonnen werden können, wenn der </w:t>
      </w:r>
      <w:r w:rsidR="00C75387">
        <w:t>Stilwahrnehmer</w:t>
      </w:r>
      <w:r w:rsidR="00372406">
        <w:t xml:space="preserve"> das nötige Hintergrun</w:t>
      </w:r>
      <w:r w:rsidR="00372406">
        <w:t>d</w:t>
      </w:r>
      <w:r w:rsidR="00372406">
        <w:t xml:space="preserve">wissen besitzt. Dabei kann die Information auf unterschiedliche Art in den Merkmalsregeln enthalten sein; </w:t>
      </w:r>
      <w:r w:rsidR="00277254">
        <w:t>es kann sich auch um Prägungen und komplexe Verhaltensmuster handeln, die nur indirekt, aber doch noch erkennbar, mit ihren Ursachen zusammenhängen. Daher können Stile durchaus die zusammenfasse</w:t>
      </w:r>
      <w:r w:rsidR="00277254">
        <w:t>n</w:t>
      </w:r>
      <w:r w:rsidR="00277254">
        <w:lastRenderedPageBreak/>
        <w:t>de Speicherung und Verschlüsselung bisheriger Erfahrungen ausdrücken, die fü</w:t>
      </w:r>
      <w:r w:rsidR="00D77D6B">
        <w:t>r den Habitus konstitutiv sind.</w:t>
      </w:r>
    </w:p>
    <w:p w:rsidR="00D77D6B" w:rsidRDefault="00D77D6B" w:rsidP="000210BF">
      <w:pPr>
        <w:pStyle w:val="Text"/>
      </w:pPr>
      <w:r>
        <w:t xml:space="preserve">Stile sind jedoch nur Regelmäßigkeiten in konkreten Verhaltensmustern; sie können daher nur die Oberfläche, das Ergebnis des Habitus sein. </w:t>
      </w:r>
      <w:r w:rsidR="00B7206E">
        <w:t>Diesen Z</w:t>
      </w:r>
      <w:r w:rsidR="00B7206E">
        <w:t>u</w:t>
      </w:r>
      <w:r w:rsidR="00B7206E">
        <w:t>sammenhang betont auch Bourdieu</w:t>
      </w:r>
      <w:r w:rsidR="005D7996">
        <w:fldChar w:fldCharType="begin"/>
      </w:r>
      <w:r w:rsidR="00757970">
        <w:instrText xml:space="preserve"> XE "</w:instrText>
      </w:r>
      <w:r w:rsidR="00757970" w:rsidRPr="007E2E01">
        <w:rPr>
          <w:rFonts w:eastAsia="Times New Roman" w:cs="Times New Roman"/>
        </w:rPr>
        <w:instrText>Bourdieu, Pierre</w:instrText>
      </w:r>
      <w:r w:rsidR="00757970">
        <w:instrText xml:space="preserve">" </w:instrText>
      </w:r>
      <w:r w:rsidR="005D7996">
        <w:fldChar w:fldCharType="end"/>
      </w:r>
      <w:r w:rsidR="00B7206E">
        <w:t>, bezieht sich dabei aber auch Lebensstile, also auf Stile bei einem sehr allgemeinen Schema</w:t>
      </w:r>
      <w:r>
        <w:t>: Für ihn drückt wird der Hab</w:t>
      </w:r>
      <w:r>
        <w:t>i</w:t>
      </w:r>
      <w:r>
        <w:t>tus durch die Strukturen einer Gesellschaft, insbesondere die Klassenstruktur, bestimmt und drückt sich selbst wiederum in verschiedenen Lebensstilen aus. Diese haben eine Rückwirkung auf die gesellschaftlichen Strukturen; sie machen diese sichtbar und grenzen die Klassen voneinander in Aktivitäten, Interessen und Sichtweisen ab. Damit verfestigen die durch den Habitus erzeugten Leben</w:t>
      </w:r>
      <w:r>
        <w:t>s</w:t>
      </w:r>
      <w:r>
        <w:t>stile wiederum die Strukturen der Gesellschaft.</w:t>
      </w:r>
      <w:r>
        <w:rPr>
          <w:rStyle w:val="Funotenzeichen"/>
        </w:rPr>
        <w:footnoteReference w:id="658"/>
      </w:r>
      <w:r w:rsidR="00B7206E">
        <w:t xml:space="preserve"> Es ergibt sich eine Kreislauf, in</w:t>
      </w:r>
      <w:r w:rsidR="008457AA">
        <w:t xml:space="preserve"> </w:t>
      </w:r>
      <w:r w:rsidR="00B7206E">
        <w:t xml:space="preserve">dem die gesellschaftliche Struktur den Habitus, der Habitus die Lebensstile und diese wiederum die gesellschaftliche Struktur </w:t>
      </w:r>
      <w:r w:rsidR="008457AA">
        <w:t>bestimmen</w:t>
      </w:r>
      <w:r w:rsidR="00B7206E">
        <w:t>.</w:t>
      </w:r>
      <w:r w:rsidR="00CB5838">
        <w:rPr>
          <w:rStyle w:val="Funotenzeichen"/>
        </w:rPr>
        <w:footnoteReference w:id="659"/>
      </w:r>
    </w:p>
    <w:p w:rsidR="00E577AC" w:rsidRDefault="00E577AC" w:rsidP="000210BF">
      <w:pPr>
        <w:pStyle w:val="Text"/>
      </w:pPr>
      <w:r>
        <w:t>Während Bourdieu</w:t>
      </w:r>
      <w:r w:rsidR="005D7996">
        <w:fldChar w:fldCharType="begin"/>
      </w:r>
      <w:r w:rsidR="00757970">
        <w:instrText xml:space="preserve"> XE "</w:instrText>
      </w:r>
      <w:r w:rsidR="00757970" w:rsidRPr="007E2E01">
        <w:rPr>
          <w:rFonts w:eastAsia="Times New Roman" w:cs="Times New Roman"/>
        </w:rPr>
        <w:instrText>Bourdieu, Pierre</w:instrText>
      </w:r>
      <w:r w:rsidR="00757970">
        <w:instrText xml:space="preserve">" </w:instrText>
      </w:r>
      <w:r w:rsidR="005D7996">
        <w:fldChar w:fldCharType="end"/>
      </w:r>
      <w:r>
        <w:t xml:space="preserve"> vor allem auf Klasse und Geschlecht abhob, wurde sp</w:t>
      </w:r>
      <w:r>
        <w:t>ä</w:t>
      </w:r>
      <w:r>
        <w:t xml:space="preserve">ter versucht, Lebensstile nach anderen Kriterien gesellschaftlich zuzuordnen: So wurden Schemata entwickelt, die Lebensstile, neben der meistens beibehaltenen Achse der vertikalen gesellschaftlichen Gliederung, </w:t>
      </w:r>
      <w:r w:rsidR="000D6835">
        <w:t xml:space="preserve">nach Kriterien wie </w:t>
      </w:r>
      <w:r>
        <w:t>Modern</w:t>
      </w:r>
      <w:r>
        <w:t>i</w:t>
      </w:r>
      <w:r>
        <w:t>tätsgrad und biographischer Perspektive</w:t>
      </w:r>
      <w:r>
        <w:rPr>
          <w:rStyle w:val="Funotenzeichen"/>
        </w:rPr>
        <w:footnoteReference w:id="660"/>
      </w:r>
      <w:r>
        <w:t xml:space="preserve"> </w:t>
      </w:r>
      <w:r w:rsidR="000D6835">
        <w:t>oder Häuslichkeit</w:t>
      </w:r>
      <w:r w:rsidR="000D6835">
        <w:rPr>
          <w:rStyle w:val="Funotenzeichen"/>
        </w:rPr>
        <w:footnoteReference w:id="661"/>
      </w:r>
      <w:r w:rsidR="000D6835">
        <w:t xml:space="preserve"> unterschieden.</w:t>
      </w:r>
      <w:r w:rsidR="007E154A">
        <w:t xml:space="preserve"> Wenig überraschend ist, dass Alter und Familienkontext (Single oder Partne</w:t>
      </w:r>
      <w:r w:rsidR="007E154A">
        <w:t>r</w:t>
      </w:r>
      <w:r w:rsidR="007E154A">
        <w:t>schaft, mit oder ohne Kinder) den Lebensstil</w:t>
      </w:r>
      <w:r w:rsidR="005D7996">
        <w:fldChar w:fldCharType="begin"/>
      </w:r>
      <w:r w:rsidR="00673F18">
        <w:instrText xml:space="preserve"> XE "</w:instrText>
      </w:r>
      <w:r w:rsidR="00673F18" w:rsidRPr="00B41AC9">
        <w:instrText>Lebensstil</w:instrText>
      </w:r>
      <w:r w:rsidR="00673F18">
        <w:instrText xml:space="preserve">" </w:instrText>
      </w:r>
      <w:r w:rsidR="005D7996">
        <w:fldChar w:fldCharType="end"/>
      </w:r>
      <w:r w:rsidR="007E154A">
        <w:t xml:space="preserve"> stark beeinflussen.</w:t>
      </w:r>
      <w:r w:rsidR="007E154A">
        <w:rPr>
          <w:rStyle w:val="Funotenzeichen"/>
        </w:rPr>
        <w:footnoteReference w:id="662"/>
      </w:r>
    </w:p>
    <w:p w:rsidR="00BD480E" w:rsidRDefault="00E577AC" w:rsidP="000210BF">
      <w:pPr>
        <w:pStyle w:val="Text"/>
      </w:pPr>
      <w:r>
        <w:t xml:space="preserve">Was für Lebensstile gesagt wurde, gilt </w:t>
      </w:r>
      <w:r w:rsidR="00471FBA">
        <w:t xml:space="preserve">in geringerem Maß </w:t>
      </w:r>
      <w:r>
        <w:t>auch für speziell</w:t>
      </w:r>
      <w:r w:rsidR="00446A41">
        <w:t>e</w:t>
      </w:r>
      <w:r>
        <w:t>re</w:t>
      </w:r>
      <w:r w:rsidR="00446A41">
        <w:t xml:space="preserve"> </w:t>
      </w:r>
      <w:r w:rsidR="00B7206E">
        <w:t>Stile</w:t>
      </w:r>
      <w:r w:rsidR="00446A41">
        <w:t>: Diese schreiben zahlreiche Informationen über Schichtzugehörigkeit, soziales Milieu</w:t>
      </w:r>
      <w:r w:rsidR="005D7996">
        <w:fldChar w:fldCharType="begin"/>
      </w:r>
      <w:r w:rsidR="002A70CA">
        <w:instrText xml:space="preserve"> XE "</w:instrText>
      </w:r>
      <w:r w:rsidR="002A70CA" w:rsidRPr="00B93568">
        <w:instrText>Milieu</w:instrText>
      </w:r>
      <w:r w:rsidR="002A70CA">
        <w:instrText xml:space="preserve">" </w:instrText>
      </w:r>
      <w:r w:rsidR="005D7996">
        <w:fldChar w:fldCharType="end"/>
      </w:r>
      <w:r w:rsidR="00446A41">
        <w:t>, sexuelle Zuschreibungen, familiäre Verhältnisse und das vorher</w:t>
      </w:r>
      <w:r w:rsidR="00446A41">
        <w:t>r</w:t>
      </w:r>
      <w:r w:rsidR="00446A41">
        <w:t xml:space="preserve">schende Weltbild in die Verhaltensweisen eines Menschen ein. </w:t>
      </w:r>
      <w:r w:rsidR="008457AA">
        <w:t>Solche speziell</w:t>
      </w:r>
      <w:r w:rsidR="008457AA">
        <w:t>e</w:t>
      </w:r>
      <w:r w:rsidR="008457AA">
        <w:t>ren Stile sind vermutlich weniger stark durch den Habitus determiniert als L</w:t>
      </w:r>
      <w:r w:rsidR="008457AA">
        <w:t>e</w:t>
      </w:r>
      <w:r w:rsidR="008457AA">
        <w:t xml:space="preserve">bensstile – beispielsweise enthalten sie mehr individuelle Elemente, darunter auch </w:t>
      </w:r>
      <w:r w:rsidR="00471FBA">
        <w:t>solche</w:t>
      </w:r>
      <w:r w:rsidR="008457AA">
        <w:t>, die bewusst festgelegt sind –</w:t>
      </w:r>
      <w:r w:rsidR="00D84B38">
        <w:t>, enthalten aber auch manche durch den Habitus bestimmten Merkmal</w:t>
      </w:r>
      <w:r w:rsidR="00F92585">
        <w:t>sregeln</w:t>
      </w:r>
      <w:r w:rsidR="00D84B38">
        <w:t xml:space="preserve">. Selbst </w:t>
      </w:r>
      <w:r w:rsidR="008457AA">
        <w:t>Merkmal</w:t>
      </w:r>
      <w:r w:rsidR="00F92585">
        <w:t>sregeln</w:t>
      </w:r>
      <w:r w:rsidR="00D84B38">
        <w:t>, die nicht durch den Habitus bestimmt sind, können dazu beitragen, die schicht- oder milieusp</w:t>
      </w:r>
      <w:r w:rsidR="00D84B38">
        <w:t>e</w:t>
      </w:r>
      <w:r w:rsidR="00D84B38">
        <w:t>zifische</w:t>
      </w:r>
      <w:r w:rsidR="005D7996">
        <w:fldChar w:fldCharType="begin"/>
      </w:r>
      <w:r w:rsidR="002A70CA">
        <w:instrText xml:space="preserve"> XE "</w:instrText>
      </w:r>
      <w:r w:rsidR="002A70CA" w:rsidRPr="00641364">
        <w:instrText>Milieu</w:instrText>
      </w:r>
      <w:r w:rsidR="002A70CA">
        <w:instrText xml:space="preserve">" </w:instrText>
      </w:r>
      <w:r w:rsidR="005D7996">
        <w:fldChar w:fldCharType="end"/>
      </w:r>
      <w:r w:rsidR="008457AA">
        <w:t xml:space="preserve"> </w:t>
      </w:r>
      <w:r w:rsidR="00D84B38">
        <w:t xml:space="preserve">Prägung mitzuteilen, wodurch sie zur Verfestigung dieser Strukturen in der Gesellschaft beitragen können. </w:t>
      </w:r>
    </w:p>
    <w:p w:rsidR="002B71C9" w:rsidRDefault="00D84B38" w:rsidP="000210BF">
      <w:pPr>
        <w:pStyle w:val="Text"/>
      </w:pPr>
      <w:r>
        <w:t>Stile spielen also eine sehr wichtige Rolle bei der Markierung gesellschaftl</w:t>
      </w:r>
      <w:r>
        <w:t>i</w:t>
      </w:r>
      <w:r>
        <w:t xml:space="preserve">cher Unterschiede; ohne sie wäre es kaum möglich, die Trennung der Schichten, Geschlechter, Sphären usw. im Alltag durchzuhalten. Wachleute würden nicht </w:t>
      </w:r>
      <w:r>
        <w:lastRenderedPageBreak/>
        <w:t xml:space="preserve">wissen, wenn sie kritisch zu beäugen haben; </w:t>
      </w:r>
      <w:r w:rsidR="00F61209">
        <w:t xml:space="preserve">Türsteher nicht, wer milieufremd ist und draußen bleiben muss; </w:t>
      </w:r>
      <w:r>
        <w:t xml:space="preserve">Vermieter nicht, wem sie die Wohnung lieber nicht geben, schon um keinen Protest von anderen Mietern hervorzurufen; Eltern nicht, welchen potentiellen Schwiegersohn oder Schwiegertochter sie schon beim ersten Treffen lieber </w:t>
      </w:r>
      <w:r w:rsidR="00F61209">
        <w:t>abweisend behandeln sollten; Berufungskommissi</w:t>
      </w:r>
      <w:r w:rsidR="00F61209">
        <w:t>o</w:t>
      </w:r>
      <w:r w:rsidR="00F61209">
        <w:t xml:space="preserve">nen nicht, wem sie </w:t>
      </w:r>
      <w:r w:rsidR="00F735DF">
        <w:t xml:space="preserve">die </w:t>
      </w:r>
      <w:r w:rsidR="00F61209">
        <w:t>Stelle getrost geben können, weil (abseits konkreter Lei</w:t>
      </w:r>
      <w:r w:rsidR="00F61209">
        <w:t>s</w:t>
      </w:r>
      <w:r w:rsidR="00F61209">
        <w:t>tungen, die ja auch durch Tagesform und andere Zufälle beeinflusst sein können) der bildungsbürgerliche Hintergrund gegeben ist. In stark stratifizierten Gesel</w:t>
      </w:r>
      <w:r w:rsidR="00F61209">
        <w:t>l</w:t>
      </w:r>
      <w:r w:rsidR="00F61209">
        <w:t>schaften spielen solche Fragen eine große Rolle; Stile spielen dann eine wichtige Rolle in der Lösung alltäglicher Orientierungs-, Zuordnungs- und Verteilung</w:t>
      </w:r>
      <w:r w:rsidR="00F61209">
        <w:t>s</w:t>
      </w:r>
      <w:r w:rsidR="00F61209">
        <w:t>fragen.</w:t>
      </w:r>
    </w:p>
    <w:p w:rsidR="00D84B38" w:rsidRDefault="00F61209" w:rsidP="000210BF">
      <w:pPr>
        <w:pStyle w:val="Text"/>
      </w:pPr>
      <w:r>
        <w:t>Daraus ergibt sich</w:t>
      </w:r>
      <w:r w:rsidR="00D84B38">
        <w:t>: Je größer die Unterschiede innerhalb einer Gesellschaft sind, desto wichtiger werden Stile, die diese Unterschiede markieren, damit ihre Erkennung und Festigung ermöglichen und „Betrug“, ein gezieltes Übertreten der Unterscheidungen,</w:t>
      </w:r>
      <w:r w:rsidR="00D84B38">
        <w:rPr>
          <w:rStyle w:val="Funotenzeichen"/>
        </w:rPr>
        <w:footnoteReference w:id="663"/>
      </w:r>
      <w:r w:rsidR="00D84B38">
        <w:t xml:space="preserve"> verhindern. Dies hat allerdings auch eine Kehrseite: Ist der Stil als allgegenwärtiges </w:t>
      </w:r>
      <w:r w:rsidR="00D84B38" w:rsidRPr="00F92585">
        <w:t>Unterscheidungs</w:t>
      </w:r>
      <w:r w:rsidR="00F92585">
        <w:t>kennzeichen</w:t>
      </w:r>
      <w:r w:rsidR="00D84B38" w:rsidRPr="00F92585">
        <w:t xml:space="preserve"> </w:t>
      </w:r>
      <w:r w:rsidR="00D84B38">
        <w:t xml:space="preserve">etabliert, verlässt sich die Gesellschaft </w:t>
      </w:r>
      <w:r w:rsidR="00F92585">
        <w:t xml:space="preserve">in erheblichem Maß </w:t>
      </w:r>
      <w:r w:rsidR="00D84B38">
        <w:t>auf ihn. Wer nun in der Lage ist, einen a</w:t>
      </w:r>
      <w:r w:rsidR="00D84B38">
        <w:t>n</w:t>
      </w:r>
      <w:r w:rsidR="00D84B38">
        <w:t>deren Stil überzeugend anzunehmen, kann die Angehörigkeit zu einer gesel</w:t>
      </w:r>
      <w:r w:rsidR="00D84B38">
        <w:t>l</w:t>
      </w:r>
      <w:r w:rsidR="00D84B38">
        <w:t>schaftlichen Klasse oder Gruppe simulieren, wie eine Reihe von klassischen Hochstaplergeschichten</w:t>
      </w:r>
      <w:r w:rsidR="00D84B38">
        <w:rPr>
          <w:rStyle w:val="Funotenzeichen"/>
        </w:rPr>
        <w:footnoteReference w:id="664"/>
      </w:r>
      <w:r w:rsidR="00D84B38">
        <w:t xml:space="preserve"> zeigen. Sobald die gesellschaftlichen Unterschiede geringer und/oder durchlässiger werden, verliert der Stil als Zuordnungs- und </w:t>
      </w:r>
      <w:r w:rsidR="00D84B38" w:rsidRPr="00F92585">
        <w:t xml:space="preserve">Unterscheidungsmerkmal </w:t>
      </w:r>
      <w:r w:rsidR="00D84B38">
        <w:t>an Relevanz. Kann etwa ein Arbeiterkind zum Arzt aufsteigen, kann ein Bewerber für eine Arztstelle nicht bereits aufgrund se</w:t>
      </w:r>
      <w:r w:rsidR="00D84B38">
        <w:t>i</w:t>
      </w:r>
      <w:r w:rsidR="00D84B38">
        <w:t>nes/ihres nicht-bürgerlichen Habitus als vermutlicher Hochstapler erkannt we</w:t>
      </w:r>
      <w:r w:rsidR="00D84B38">
        <w:t>r</w:t>
      </w:r>
      <w:r w:rsidR="00D84B38">
        <w:t>den. Es muss dann stärker auf Dokumente und Nachweise zurückgegriffen we</w:t>
      </w:r>
      <w:r w:rsidR="00D84B38">
        <w:t>r</w:t>
      </w:r>
      <w:r w:rsidR="00D84B38">
        <w:t>den.</w:t>
      </w:r>
    </w:p>
    <w:p w:rsidR="00A93232" w:rsidRDefault="00A93232" w:rsidP="000210BF">
      <w:pPr>
        <w:pStyle w:val="Text"/>
      </w:pPr>
      <w:r>
        <w:t>Ein weiterer Faktor, der Einfluss auf die Wichtigkeit von Stil in einer G</w:t>
      </w:r>
      <w:r>
        <w:t>e</w:t>
      </w:r>
      <w:r>
        <w:t xml:space="preserve">sellschaft hat, sind die vorherrschenden Kommunikationstypen und die dafür geltenden Konventionen. Wird das gesellschaftliche Aufeinandertreffen von </w:t>
      </w:r>
      <w:r w:rsidR="00155A0E">
        <w:t xml:space="preserve">festgelegten </w:t>
      </w:r>
      <w:r>
        <w:t xml:space="preserve">Höflichkeitsfloskeln </w:t>
      </w:r>
      <w:r w:rsidR="00155A0E">
        <w:t xml:space="preserve">oder leerem </w:t>
      </w:r>
      <w:r>
        <w:t xml:space="preserve">Small-Talk bestimmt, spielen Stile als Informationsträger über das Gegenüber eine </w:t>
      </w:r>
      <w:r w:rsidR="00155A0E">
        <w:t>große</w:t>
      </w:r>
      <w:r>
        <w:t xml:space="preserve"> Rolle. Ist es dagegen ü</w:t>
      </w:r>
      <w:r>
        <w:t>b</w:t>
      </w:r>
      <w:r>
        <w:t>lich, sich selbst beim ersten Gespräch über die jeweiligen Ansichten und Absic</w:t>
      </w:r>
      <w:r>
        <w:t>h</w:t>
      </w:r>
      <w:r>
        <w:lastRenderedPageBreak/>
        <w:t>ten auszutauschen (gehören also beispielsweise Fragen wie „Was studierst du?“</w:t>
      </w:r>
      <w:r w:rsidR="00155A0E">
        <w:t>,</w:t>
      </w:r>
      <w:r>
        <w:t xml:space="preserve"> „Wo wohnst du?“</w:t>
      </w:r>
      <w:r w:rsidR="00155A0E">
        <w:t xml:space="preserve"> und, falls dies weiter weg ist, „Wie kommst du zur Uni?“</w:t>
      </w:r>
      <w:r>
        <w:t xml:space="preserve"> zum Standardrepertoire der ersten fünf Gesprächsminuten), dann sind Stile weniger wichtig, weil man sowieso rasch zu einer </w:t>
      </w:r>
      <w:r w:rsidR="00155A0E">
        <w:t xml:space="preserve">ersten </w:t>
      </w:r>
      <w:r>
        <w:t>sozioökonomischen und psych</w:t>
      </w:r>
      <w:r>
        <w:t>o</w:t>
      </w:r>
      <w:r>
        <w:t>logischen Einschätzung des Gegenübers komm</w:t>
      </w:r>
      <w:r w:rsidR="00155A0E">
        <w:t>t</w:t>
      </w:r>
      <w:r>
        <w:t xml:space="preserve">. </w:t>
      </w:r>
      <w:r w:rsidR="006C2EC3">
        <w:t xml:space="preserve">Dies ist in Deutschland derzeit der Fall; daher wird </w:t>
      </w:r>
      <w:r>
        <w:t xml:space="preserve">Stil </w:t>
      </w:r>
      <w:r w:rsidR="006C2EC3">
        <w:t xml:space="preserve">hier </w:t>
      </w:r>
      <w:r>
        <w:t xml:space="preserve">eher </w:t>
      </w:r>
      <w:r w:rsidR="006C2EC3">
        <w:t>als ein</w:t>
      </w:r>
      <w:r>
        <w:t xml:space="preserve"> </w:t>
      </w:r>
      <w:r w:rsidR="006C2EC3">
        <w:t xml:space="preserve">Aspekt der </w:t>
      </w:r>
      <w:r>
        <w:t>Persönlichkeitsinszenierung</w:t>
      </w:r>
      <w:r w:rsidR="006C2EC3">
        <w:t xml:space="preserve"> eingesetzt</w:t>
      </w:r>
      <w:r>
        <w:t xml:space="preserve">, wenn sich beispielsweise ein Ingenieursstudent beim abendlichen Ausgehen im </w:t>
      </w:r>
      <w:r w:rsidR="0016452C">
        <w:t xml:space="preserve">abgerissenen Punk- oder im düsteren </w:t>
      </w:r>
      <w:r>
        <w:t xml:space="preserve">Gothic-Look präsentiert und damit seinen Musikgeschmack, aber auch etwas von seiner Weltanschauung </w:t>
      </w:r>
      <w:r w:rsidR="0016452C">
        <w:t xml:space="preserve">und seiner Persönlichkeit </w:t>
      </w:r>
      <w:r w:rsidR="00EB05AF">
        <w:t>übermitteln</w:t>
      </w:r>
      <w:r>
        <w:t xml:space="preserve"> möchte. Seinen Beruf und den damit einherg</w:t>
      </w:r>
      <w:r>
        <w:t>e</w:t>
      </w:r>
      <w:r>
        <w:t>henden Status möchte er damit nicht verbergen, sondern durch weitere Facetten ergänzen, die das Gegenüber an ihm wahrnehmen soll.</w:t>
      </w:r>
    </w:p>
    <w:p w:rsidR="00D2554C" w:rsidRDefault="002B71C9">
      <w:pPr>
        <w:pStyle w:val="Text"/>
      </w:pPr>
      <w:r>
        <w:t xml:space="preserve">Eine </w:t>
      </w:r>
      <w:r w:rsidR="000D6CF2">
        <w:t xml:space="preserve">wichtige </w:t>
      </w:r>
      <w:r>
        <w:t xml:space="preserve">Rolle spielen Stile </w:t>
      </w:r>
      <w:r w:rsidR="000D6CF2">
        <w:t xml:space="preserve">daher </w:t>
      </w:r>
      <w:r>
        <w:t>bei der Abgrenzung verschiedener Milieus</w:t>
      </w:r>
      <w:r w:rsidR="005D7996">
        <w:fldChar w:fldCharType="begin"/>
      </w:r>
      <w:r w:rsidR="002A70CA">
        <w:instrText xml:space="preserve"> XE "</w:instrText>
      </w:r>
      <w:r w:rsidR="002A70CA" w:rsidRPr="00D93B15">
        <w:instrText>Milieu</w:instrText>
      </w:r>
      <w:r w:rsidR="002A70CA">
        <w:instrText xml:space="preserve">" </w:instrText>
      </w:r>
      <w:r w:rsidR="005D7996">
        <w:fldChar w:fldCharType="end"/>
      </w:r>
      <w:r>
        <w:t>, Szene</w:t>
      </w:r>
      <w:r w:rsidR="000D6CF2">
        <w:t>n, Subkulturen</w:t>
      </w:r>
      <w:r w:rsidR="005D7996">
        <w:fldChar w:fldCharType="begin"/>
      </w:r>
      <w:r w:rsidR="0096326C">
        <w:instrText xml:space="preserve"> XE "</w:instrText>
      </w:r>
      <w:r w:rsidR="0096326C" w:rsidRPr="00A55252">
        <w:instrText>Subkultur</w:instrText>
      </w:r>
      <w:r w:rsidR="0096326C">
        <w:instrText xml:space="preserve">" </w:instrText>
      </w:r>
      <w:r w:rsidR="005D7996">
        <w:fldChar w:fldCharType="end"/>
      </w:r>
      <w:r w:rsidR="000D6CF2">
        <w:t xml:space="preserve"> usw. voneinander;</w:t>
      </w:r>
      <w:r>
        <w:t xml:space="preserve"> </w:t>
      </w:r>
      <w:r w:rsidR="000D6CF2">
        <w:t xml:space="preserve">aber auch </w:t>
      </w:r>
      <w:r>
        <w:t>unterhalb dieser Strukturebene, in Freundschaftsgruppen, Familien und sogar Partnerschaften können Stile (</w:t>
      </w:r>
      <w:r w:rsidR="000D6CF2">
        <w:t xml:space="preserve">beispielsweise </w:t>
      </w:r>
      <w:r>
        <w:t>Kommunikations</w:t>
      </w:r>
      <w:r w:rsidR="005D7996">
        <w:fldChar w:fldCharType="begin"/>
      </w:r>
      <w:r w:rsidR="00CA2D60">
        <w:instrText xml:space="preserve"> XE "</w:instrText>
      </w:r>
      <w:r w:rsidR="00CA2D60" w:rsidRPr="00FD3179">
        <w:instrText>Kommunikationsstil</w:instrText>
      </w:r>
      <w:r w:rsidR="00CA2D60">
        <w:instrText xml:space="preserve">" </w:instrText>
      </w:r>
      <w:r w:rsidR="005D7996">
        <w:fldChar w:fldCharType="end"/>
      </w:r>
      <w:r>
        <w:t>- und Kleidungsstile</w:t>
      </w:r>
      <w:r w:rsidR="005D7996">
        <w:fldChar w:fldCharType="begin"/>
      </w:r>
      <w:r w:rsidR="00CA2D60">
        <w:instrText xml:space="preserve"> XE "</w:instrText>
      </w:r>
      <w:r w:rsidR="00CA2D60" w:rsidRPr="008C790A">
        <w:instrText>Kleidungsstil</w:instrText>
      </w:r>
      <w:r w:rsidR="00CA2D60">
        <w:instrText xml:space="preserve">" </w:instrText>
      </w:r>
      <w:r w:rsidR="005D7996">
        <w:fldChar w:fldCharType="end"/>
      </w:r>
      <w:r>
        <w:t>) zur Ident</w:t>
      </w:r>
      <w:r>
        <w:t>i</w:t>
      </w:r>
      <w:r>
        <w:t xml:space="preserve">tätsbildung verwendet werden. Umgekehrt </w:t>
      </w:r>
      <w:r w:rsidR="000D6CF2">
        <w:t xml:space="preserve">können </w:t>
      </w:r>
      <w:r>
        <w:t xml:space="preserve">Stile auch oberhalb </w:t>
      </w:r>
      <w:r w:rsidR="000D6CF2">
        <w:t>der Eb</w:t>
      </w:r>
      <w:r w:rsidR="000D6CF2">
        <w:t>e</w:t>
      </w:r>
      <w:r w:rsidR="000D6CF2">
        <w:t xml:space="preserve">ne der sozialen Schicht </w:t>
      </w:r>
      <w:r w:rsidR="00BA67B7">
        <w:t>eine Rolle spielen; auch Verhaltensweisen, die mehr oder minder einer ganzen Gesellschaft zukommen, können durch Stile bestimmt sein; oft werden solche Stile auch verstärkt, entlang gewünschter Abgrenzungen def</w:t>
      </w:r>
      <w:r w:rsidR="00BA67B7">
        <w:t>i</w:t>
      </w:r>
      <w:r w:rsidR="00BA67B7">
        <w:t xml:space="preserve">niert und intern vereinheitlicht, um </w:t>
      </w:r>
      <w:r>
        <w:t xml:space="preserve">für die Markierung nationaler </w:t>
      </w:r>
      <w:r w:rsidR="00C94CEF">
        <w:t>oder ‚völk</w:t>
      </w:r>
      <w:r w:rsidR="00C94CEF">
        <w:t>i</w:t>
      </w:r>
      <w:r w:rsidR="00C94CEF">
        <w:t xml:space="preserve">scher‘ </w:t>
      </w:r>
      <w:r>
        <w:t xml:space="preserve">Zugehörigkeit </w:t>
      </w:r>
      <w:r w:rsidR="00BA67B7">
        <w:t xml:space="preserve">verwendbar zu sein. So wurden von der </w:t>
      </w:r>
      <w:r w:rsidR="00C94CEF">
        <w:t>Völkerpsychol</w:t>
      </w:r>
      <w:r w:rsidR="00C94CEF">
        <w:t>o</w:t>
      </w:r>
      <w:r w:rsidR="00C94CEF">
        <w:t>gie</w:t>
      </w:r>
      <w:r w:rsidR="005D7996">
        <w:fldChar w:fldCharType="begin"/>
      </w:r>
      <w:r w:rsidR="00923CFC">
        <w:instrText xml:space="preserve"> XE "</w:instrText>
      </w:r>
      <w:r w:rsidR="00923CFC" w:rsidRPr="00432DD8">
        <w:instrText>Völkerpsychologie</w:instrText>
      </w:r>
      <w:r w:rsidR="00923CFC">
        <w:instrText xml:space="preserve">" </w:instrText>
      </w:r>
      <w:r w:rsidR="005D7996">
        <w:fldChar w:fldCharType="end"/>
      </w:r>
      <w:r w:rsidR="00C94CEF">
        <w:rPr>
          <w:rStyle w:val="Funotenzeichen"/>
        </w:rPr>
        <w:footnoteReference w:id="665"/>
      </w:r>
      <w:r w:rsidR="00BA67B7">
        <w:t xml:space="preserve"> </w:t>
      </w:r>
      <w:r w:rsidR="00C94CEF">
        <w:t>völkertypische Verhaltens</w:t>
      </w:r>
      <w:r w:rsidR="00BA67B7">
        <w:t>stile</w:t>
      </w:r>
      <w:r w:rsidR="00C94CEF">
        <w:t xml:space="preserve"> </w:t>
      </w:r>
      <w:r w:rsidR="00BA67B7">
        <w:t>konstruiert,</w:t>
      </w:r>
      <w:r w:rsidR="00C94CEF">
        <w:t xml:space="preserve"> um nationale oder </w:t>
      </w:r>
      <w:r w:rsidR="000D6CF2">
        <w:t xml:space="preserve">völkische Identitäten zu stiften. </w:t>
      </w:r>
      <w:r>
        <w:t xml:space="preserve">Stil spielt </w:t>
      </w:r>
      <w:r w:rsidR="00BA67B7">
        <w:t xml:space="preserve">also </w:t>
      </w:r>
      <w:r>
        <w:t xml:space="preserve">eine Rolle von der </w:t>
      </w:r>
      <w:r w:rsidR="00C94CEF">
        <w:t>gesamt</w:t>
      </w:r>
      <w:r>
        <w:t>gesellschaftli</w:t>
      </w:r>
      <w:r w:rsidR="00E453C6">
        <w:t>che</w:t>
      </w:r>
      <w:r w:rsidR="00BA67B7">
        <w:t>n</w:t>
      </w:r>
      <w:r>
        <w:t xml:space="preserve"> Ebene</w:t>
      </w:r>
      <w:r w:rsidR="00C94CEF">
        <w:t xml:space="preserve"> durch alle Strukturebe</w:t>
      </w:r>
      <w:r w:rsidR="00E453C6">
        <w:t>nen hinunter bis zur individ</w:t>
      </w:r>
      <w:r w:rsidR="00C94CEF">
        <w:t>uellen Ebene.</w:t>
      </w:r>
    </w:p>
    <w:p w:rsidR="00D2554C" w:rsidRDefault="00D2554C" w:rsidP="00EB1E36">
      <w:pPr>
        <w:pStyle w:val="Titel3"/>
      </w:pPr>
      <w:bookmarkStart w:id="511" w:name="_Ref264885404"/>
      <w:bookmarkStart w:id="512" w:name="_Toc325456832"/>
      <w:bookmarkStart w:id="513" w:name="Kapitalismus"/>
      <w:bookmarkEnd w:id="510"/>
      <w:r>
        <w:t xml:space="preserve">Stil </w:t>
      </w:r>
      <w:r w:rsidR="00EB1E36">
        <w:t xml:space="preserve">und </w:t>
      </w:r>
      <w:r>
        <w:t>Kapitalismus</w:t>
      </w:r>
      <w:bookmarkEnd w:id="511"/>
      <w:bookmarkEnd w:id="512"/>
    </w:p>
    <w:p w:rsidR="00FC35DC" w:rsidRDefault="005D7996" w:rsidP="00916D84">
      <w:pPr>
        <w:pStyle w:val="Text"/>
        <w:ind w:firstLine="0"/>
      </w:pPr>
      <w:r>
        <w:fldChar w:fldCharType="begin"/>
      </w:r>
      <w:r w:rsidR="00DE3610">
        <w:instrText xml:space="preserve"> XE "Kapitalismus" \r "Kapitalismus"</w:instrText>
      </w:r>
      <w:r w:rsidR="009E3151">
        <w:instrText xml:space="preserve"> </w:instrText>
      </w:r>
      <w:r>
        <w:fldChar w:fldCharType="end"/>
      </w:r>
      <w:r w:rsidR="00E16065">
        <w:t xml:space="preserve">Bei der Produktion für den Markt </w:t>
      </w:r>
      <w:r w:rsidR="00D2554C">
        <w:t>kommt es nicht auf den Gebrauchswert einer Ware an, solange dieser nur vorhanden ist, sondern auf den Tauschwert. Es macht für die Besitzer eines Unternehmens keinen Unterschied, was es prod</w:t>
      </w:r>
      <w:r w:rsidR="00D2554C">
        <w:t>u</w:t>
      </w:r>
      <w:r w:rsidR="00D2554C">
        <w:t xml:space="preserve">ziert, was sich bei der Wahl von Investmentmöglichkeiten </w:t>
      </w:r>
      <w:r w:rsidR="00706A0F">
        <w:t>zeigt</w:t>
      </w:r>
      <w:r w:rsidR="00E16065">
        <w:t>, die den prod</w:t>
      </w:r>
      <w:r w:rsidR="00E16065">
        <w:t>u</w:t>
      </w:r>
      <w:r w:rsidR="00E16065">
        <w:t>zierten Warentyp nicht berücksichtig</w:t>
      </w:r>
      <w:r w:rsidR="004A5D1A">
        <w:t>en</w:t>
      </w:r>
      <w:r w:rsidR="00E16065">
        <w:t>, sondern sich an erwarteten Rückflüssen und Diversifizierung innerhalb</w:t>
      </w:r>
      <w:r w:rsidR="007837CD">
        <w:t xml:space="preserve"> des Portfolios orientier</w:t>
      </w:r>
      <w:r w:rsidR="004A5D1A">
        <w:t>en sollte</w:t>
      </w:r>
      <w:r w:rsidR="00E16065">
        <w:t>.</w:t>
      </w:r>
      <w:r w:rsidR="00E16065">
        <w:rPr>
          <w:rStyle w:val="Funotenzeichen"/>
        </w:rPr>
        <w:footnoteReference w:id="666"/>
      </w:r>
      <w:r w:rsidR="00E16065">
        <w:t xml:space="preserve"> </w:t>
      </w:r>
      <w:r w:rsidR="009C7882">
        <w:t>Gleichzeitig ist es erforderlich, dass die Gebrauch</w:t>
      </w:r>
      <w:r w:rsidR="00AB6BBC">
        <w:t>s</w:t>
      </w:r>
      <w:r w:rsidR="009C7882">
        <w:t>werte von Gütern unterschiedlich sind, damit diese als Waren ausgetauscht werden können.</w:t>
      </w:r>
      <w:r w:rsidR="00AB6BBC">
        <w:rPr>
          <w:rStyle w:val="Funotenzeichen"/>
        </w:rPr>
        <w:footnoteReference w:id="667"/>
      </w:r>
      <w:r w:rsidR="00FC35DC">
        <w:t xml:space="preserve"> Zudem sollten die Güter </w:t>
      </w:r>
      <w:r w:rsidR="00FC35DC">
        <w:lastRenderedPageBreak/>
        <w:t>in der Ausführung unterschiedlich sein, da dies ihre Wiedererkennbarkeit ve</w:t>
      </w:r>
      <w:r w:rsidR="00FC35DC">
        <w:t>r</w:t>
      </w:r>
      <w:r w:rsidR="00FC35DC">
        <w:t xml:space="preserve">bessert und </w:t>
      </w:r>
      <w:r w:rsidR="009D1731">
        <w:t>wirksames Marketing</w:t>
      </w:r>
      <w:r w:rsidR="00FC35DC">
        <w:t xml:space="preserve"> </w:t>
      </w:r>
      <w:r w:rsidR="003301FB">
        <w:t>ermöglicht.</w:t>
      </w:r>
      <w:r w:rsidR="00354B92">
        <w:t xml:space="preserve"> </w:t>
      </w:r>
      <w:r w:rsidR="00B50A99">
        <w:t xml:space="preserve">Der Verwendungszweck und die Funktion von Artefakten </w:t>
      </w:r>
      <w:r w:rsidR="00FC35DC">
        <w:t xml:space="preserve">verlieren </w:t>
      </w:r>
      <w:r w:rsidR="00354B92">
        <w:t xml:space="preserve">somit </w:t>
      </w:r>
      <w:r w:rsidR="00FC35DC">
        <w:t>innerhalb der Produktionsssphäre an Wichtigkeit</w:t>
      </w:r>
      <w:r w:rsidR="00B50A99">
        <w:t xml:space="preserve">, während die Diversität </w:t>
      </w:r>
      <w:r w:rsidR="00FC35DC">
        <w:t>und Wiedererkennbarkeit in den Vorde</w:t>
      </w:r>
      <w:r w:rsidR="00FC35DC">
        <w:t>r</w:t>
      </w:r>
      <w:r w:rsidR="00FC35DC">
        <w:t>grund treten.</w:t>
      </w:r>
    </w:p>
    <w:p w:rsidR="00354B92" w:rsidRDefault="00FC35DC">
      <w:pPr>
        <w:pStyle w:val="Text"/>
      </w:pPr>
      <w:r>
        <w:t xml:space="preserve">Hier kann eine Analogie zur Stilentwicklung gesehen werden. </w:t>
      </w:r>
      <w:r w:rsidR="00D2554C">
        <w:t xml:space="preserve">Es ist </w:t>
      </w:r>
      <w:r>
        <w:t xml:space="preserve">eine auffällige </w:t>
      </w:r>
      <w:r w:rsidR="00D2554C">
        <w:t xml:space="preserve">Parallele, </w:t>
      </w:r>
      <w:r>
        <w:t xml:space="preserve">dass in Handwerk, Design und </w:t>
      </w:r>
      <w:r w:rsidR="00D2554C">
        <w:t>Kunst des kapitalisti</w:t>
      </w:r>
      <w:r w:rsidR="00354B92">
        <w:t xml:space="preserve">schen Zeitalters, </w:t>
      </w:r>
      <w:r w:rsidR="00AB6BBC">
        <w:t>das mit dem ausgehenden 18. Jahrhundert beginnt</w:t>
      </w:r>
      <w:r w:rsidR="00354B92">
        <w:t>,</w:t>
      </w:r>
      <w:r w:rsidR="00D2554C">
        <w:t xml:space="preserve"> zunehmend </w:t>
      </w:r>
      <w:r>
        <w:t>die Funktion (etwa die Nutzbarkeit von Möbeln und Gebäuden</w:t>
      </w:r>
      <w:r w:rsidR="003301FB">
        <w:t>)</w:t>
      </w:r>
      <w:r w:rsidR="003301FB">
        <w:rPr>
          <w:rStyle w:val="Funotenzeichen"/>
        </w:rPr>
        <w:footnoteReference w:id="668"/>
      </w:r>
      <w:r>
        <w:t xml:space="preserve"> </w:t>
      </w:r>
      <w:r w:rsidR="00D2554C">
        <w:t xml:space="preserve">an Relevanz verliert und durch den persönlichen Stil des Künstlers </w:t>
      </w:r>
      <w:r w:rsidR="003301FB">
        <w:t xml:space="preserve">oder der Schule </w:t>
      </w:r>
      <w:r w:rsidR="00D2554C">
        <w:t>–</w:t>
      </w:r>
      <w:r w:rsidR="003301FB">
        <w:t xml:space="preserve"> etwa „Bauhaus“, „Abstrakter Expressionismus“ usw. – </w:t>
      </w:r>
      <w:r w:rsidR="00A87A13">
        <w:t>als wichtigstes</w:t>
      </w:r>
      <w:r w:rsidR="00354B92">
        <w:t xml:space="preserve"> Kriterium </w:t>
      </w:r>
      <w:r w:rsidR="003301FB">
        <w:t>e</w:t>
      </w:r>
      <w:r w:rsidR="003301FB">
        <w:t>r</w:t>
      </w:r>
      <w:r w:rsidR="003301FB">
        <w:t>setzt wird.</w:t>
      </w:r>
      <w:r w:rsidR="003A66BD">
        <w:rPr>
          <w:rStyle w:val="Funotenzeichen"/>
        </w:rPr>
        <w:footnoteReference w:id="669"/>
      </w:r>
    </w:p>
    <w:p w:rsidR="00D2554C" w:rsidRDefault="00354B92">
      <w:pPr>
        <w:pStyle w:val="Text"/>
      </w:pPr>
      <w:r>
        <w:t xml:space="preserve">Eine </w:t>
      </w:r>
      <w:r w:rsidR="003301FB">
        <w:t xml:space="preserve">Repräsentationsfunktion </w:t>
      </w:r>
      <w:r>
        <w:t xml:space="preserve">üben Artefakte und Texte </w:t>
      </w:r>
      <w:r w:rsidR="00A87A13">
        <w:t xml:space="preserve">heute oft weniger </w:t>
      </w:r>
      <w:r>
        <w:t xml:space="preserve">durch ihre </w:t>
      </w:r>
      <w:r w:rsidR="00A87A13">
        <w:t xml:space="preserve">prächtige </w:t>
      </w:r>
      <w:r>
        <w:t>Ausführung oder ihren technischen Anspruch</w:t>
      </w:r>
      <w:r w:rsidR="00A87A13">
        <w:t xml:space="preserve"> als </w:t>
      </w:r>
      <w:r>
        <w:t xml:space="preserve">durch ihren Stil aus, durch den sie einer </w:t>
      </w:r>
      <w:r w:rsidRPr="007E6B9E">
        <w:t>Marke</w:t>
      </w:r>
      <w:r w:rsidR="005D7996">
        <w:rPr>
          <w:i/>
        </w:rPr>
        <w:fldChar w:fldCharType="begin"/>
      </w:r>
      <w:r w:rsidR="007E6B9E">
        <w:instrText xml:space="preserve"> XE "</w:instrText>
      </w:r>
      <w:r w:rsidR="007E6B9E" w:rsidRPr="00624394">
        <w:instrText>Marke</w:instrText>
      </w:r>
      <w:r w:rsidR="007E6B9E">
        <w:instrText xml:space="preserve">" </w:instrText>
      </w:r>
      <w:r w:rsidR="005D7996">
        <w:rPr>
          <w:i/>
        </w:rPr>
        <w:fldChar w:fldCharType="end"/>
      </w:r>
      <w:r>
        <w:t xml:space="preserve"> zugeordnet werden.</w:t>
      </w:r>
      <w:r w:rsidR="003301FB">
        <w:rPr>
          <w:rStyle w:val="Funotenzeichen"/>
        </w:rPr>
        <w:footnoteReference w:id="670"/>
      </w:r>
      <w:r w:rsidR="003301FB">
        <w:t xml:space="preserve"> </w:t>
      </w:r>
      <w:r>
        <w:t xml:space="preserve">Diese Marke kann nun entwickelt werden und macht </w:t>
      </w:r>
      <w:r w:rsidR="006F6EBC">
        <w:t>oft</w:t>
      </w:r>
      <w:r>
        <w:t xml:space="preserve"> einen erheblichen Teil des Werts aus. Dies gilt für Kleider oder Autos ebenso wie für Kunstwerke.</w:t>
      </w:r>
    </w:p>
    <w:p w:rsidR="001E6594" w:rsidRDefault="00854819" w:rsidP="00D8448A">
      <w:pPr>
        <w:pStyle w:val="Text"/>
      </w:pPr>
      <w:r>
        <w:t>In der Kunst, Architektur und Musik führte dies zu einer Auffassung</w:t>
      </w:r>
      <w:r w:rsidR="007120F5">
        <w:t xml:space="preserve">, </w:t>
      </w:r>
      <w:r>
        <w:t>derzufolge möglichst jeder kreativ Arbeitende seinen eigenen Stil haben sollte</w:t>
      </w:r>
      <w:r w:rsidR="00354B92">
        <w:t xml:space="preserve">. </w:t>
      </w:r>
      <w:r w:rsidR="00717EDC" w:rsidRPr="002812CD">
        <w:t>I</w:t>
      </w:r>
      <w:r w:rsidR="00D8448A" w:rsidRPr="002812CD">
        <w:t xml:space="preserve">m 19. Jahrhundert trat </w:t>
      </w:r>
      <w:r w:rsidR="00717EDC" w:rsidRPr="002812CD">
        <w:t>diese</w:t>
      </w:r>
      <w:r w:rsidR="002812CD">
        <w:t>r Stilpluralismus zunächst</w:t>
      </w:r>
      <w:r w:rsidR="00717EDC" w:rsidRPr="002812CD">
        <w:t xml:space="preserve"> </w:t>
      </w:r>
      <w:r w:rsidR="00D8448A" w:rsidRPr="002812CD">
        <w:t xml:space="preserve">in Form des </w:t>
      </w:r>
      <w:r w:rsidR="000377AE">
        <w:t>Historismus</w:t>
      </w:r>
      <w:r w:rsidR="00D8448A" w:rsidRPr="002812CD">
        <w:t xml:space="preserve"> auf</w:t>
      </w:r>
      <w:r w:rsidR="002812CD">
        <w:t xml:space="preserve">, der </w:t>
      </w:r>
      <w:r>
        <w:t xml:space="preserve">frühere </w:t>
      </w:r>
      <w:r w:rsidR="002812CD">
        <w:t xml:space="preserve">Epochen nach eigenen Auffassungen </w:t>
      </w:r>
      <w:r>
        <w:t xml:space="preserve">neu </w:t>
      </w:r>
      <w:r w:rsidR="002812CD">
        <w:t>interpretierte.</w:t>
      </w:r>
      <w:r w:rsidR="002812CD">
        <w:rPr>
          <w:rStyle w:val="Funotenzeichen"/>
        </w:rPr>
        <w:footnoteReference w:id="671"/>
      </w:r>
      <w:r w:rsidR="002812CD">
        <w:t xml:space="preserve"> </w:t>
      </w:r>
      <w:r w:rsidR="001E6594">
        <w:t>Wu</w:t>
      </w:r>
      <w:r w:rsidR="001E6594">
        <w:t>r</w:t>
      </w:r>
      <w:r w:rsidR="001E6594">
        <w:t xml:space="preserve">de der Historismus </w:t>
      </w:r>
      <w:r w:rsidR="00FC35DC">
        <w:t xml:space="preserve">von den Zeitgenossen noch </w:t>
      </w:r>
      <w:r w:rsidR="001E6594">
        <w:t xml:space="preserve">heftig als </w:t>
      </w:r>
      <w:r w:rsidR="00D8448A" w:rsidRPr="002812CD">
        <w:t xml:space="preserve">Orientierungslosigkeit </w:t>
      </w:r>
      <w:r w:rsidR="00AE073E">
        <w:t xml:space="preserve">und bloße Nachahmung früherer Stile </w:t>
      </w:r>
      <w:r w:rsidR="00D8448A" w:rsidRPr="002812CD">
        <w:t>kritisiert</w:t>
      </w:r>
      <w:r w:rsidR="001E6594">
        <w:t>,</w:t>
      </w:r>
      <w:r w:rsidR="00D8448A" w:rsidRPr="002812CD">
        <w:t xml:space="preserve"> </w:t>
      </w:r>
      <w:r w:rsidR="001E6594">
        <w:t xml:space="preserve">begann mit </w:t>
      </w:r>
      <w:r w:rsidR="00D8448A" w:rsidRPr="002812CD">
        <w:t>dem Impressioni</w:t>
      </w:r>
      <w:r w:rsidR="00D8448A" w:rsidRPr="002812CD">
        <w:t>s</w:t>
      </w:r>
      <w:r w:rsidR="00D8448A" w:rsidRPr="002812CD">
        <w:t>mus die ‚Parade der Stile‘, die einander in immer rascherer Fo</w:t>
      </w:r>
      <w:r>
        <w:t xml:space="preserve">lge ablösten und die </w:t>
      </w:r>
      <w:r w:rsidR="00A87A13">
        <w:t xml:space="preserve">Entwicklung in </w:t>
      </w:r>
      <w:r>
        <w:t>Kunst, Musik, Literatur und Architektur</w:t>
      </w:r>
      <w:r w:rsidR="00D8448A" w:rsidRPr="002812CD">
        <w:t xml:space="preserve"> des 20. Jahrhu</w:t>
      </w:r>
      <w:r w:rsidR="00D8448A" w:rsidRPr="002812CD">
        <w:t>n</w:t>
      </w:r>
      <w:r w:rsidR="00D8448A" w:rsidRPr="002812CD">
        <w:t>derts bestimm</w:t>
      </w:r>
      <w:r w:rsidR="001E6594">
        <w:t>t</w:t>
      </w:r>
      <w:r>
        <w:t xml:space="preserve">en. </w:t>
      </w:r>
      <w:r w:rsidR="00AE073E">
        <w:t xml:space="preserve">Konkurrierten </w:t>
      </w:r>
      <w:r>
        <w:t xml:space="preserve">Anfang des 20. Jahrhunderts </w:t>
      </w:r>
      <w:r w:rsidR="00AE073E">
        <w:t>einige oft welta</w:t>
      </w:r>
      <w:r w:rsidR="00AE073E">
        <w:t>n</w:t>
      </w:r>
      <w:r w:rsidR="00AE073E">
        <w:t>schaulich begründete</w:t>
      </w:r>
      <w:r>
        <w:t xml:space="preserve"> </w:t>
      </w:r>
      <w:r w:rsidR="00A87A13">
        <w:t>Avantgarde</w:t>
      </w:r>
      <w:r w:rsidR="00AE073E">
        <w:t>-Stile miteinander, kam es mit dem Siegeszug der Moderne</w:t>
      </w:r>
      <w:r w:rsidR="005D7996">
        <w:fldChar w:fldCharType="begin"/>
      </w:r>
      <w:r w:rsidR="00C365DD">
        <w:instrText xml:space="preserve"> XE "</w:instrText>
      </w:r>
      <w:r w:rsidR="00C365DD" w:rsidRPr="00525ABC">
        <w:instrText>Moderne</w:instrText>
      </w:r>
      <w:r w:rsidR="00C365DD">
        <w:instrText xml:space="preserve">" </w:instrText>
      </w:r>
      <w:r w:rsidR="005D7996">
        <w:fldChar w:fldCharType="end"/>
      </w:r>
      <w:r w:rsidR="00AE073E">
        <w:t xml:space="preserve"> zu </w:t>
      </w:r>
      <w:r w:rsidR="00D8448A" w:rsidRPr="002812CD">
        <w:t>eine</w:t>
      </w:r>
      <w:r w:rsidR="00A87A13">
        <w:t xml:space="preserve">r </w:t>
      </w:r>
      <w:r w:rsidR="00A73050">
        <w:t>immer stärkere</w:t>
      </w:r>
      <w:r w:rsidR="00AE073E">
        <w:t>n</w:t>
      </w:r>
      <w:r w:rsidR="00A73050">
        <w:t xml:space="preserve"> Individualisierung der Stile</w:t>
      </w:r>
      <w:r w:rsidR="00AE073E">
        <w:t xml:space="preserve"> einzelner Künstler.</w:t>
      </w:r>
      <w:r w:rsidR="00AE073E">
        <w:rPr>
          <w:rStyle w:val="Funotenzeichen"/>
        </w:rPr>
        <w:footnoteReference w:id="672"/>
      </w:r>
      <w:r w:rsidR="00AE073E">
        <w:t xml:space="preserve"> In der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rsidR="00AE073E">
        <w:t xml:space="preserve"> drehte sich diese Spirale weiter: Nun wurde die souveräne Beherrschung vieler Stile durch einen Künstler zum Ideal, der diese in einzel</w:t>
      </w:r>
      <w:r w:rsidR="00DB064C">
        <w:t>nen Werken stets neu kombinierte und hybridisierte (mischte</w:t>
      </w:r>
      <w:r w:rsidR="00AE073E">
        <w:t>). Hatte P</w:t>
      </w:r>
      <w:r w:rsidR="00AE073E">
        <w:t>i</w:t>
      </w:r>
      <w:r w:rsidR="00AE073E">
        <w:lastRenderedPageBreak/>
        <w:t>casso</w:t>
      </w:r>
      <w:r w:rsidR="005D7996">
        <w:fldChar w:fldCharType="begin"/>
      </w:r>
      <w:r w:rsidR="00DE3610">
        <w:instrText xml:space="preserve"> XE "</w:instrText>
      </w:r>
      <w:r w:rsidR="00DE3610" w:rsidRPr="00A67B4E">
        <w:instrText>Picasso, Pablo</w:instrText>
      </w:r>
      <w:r w:rsidR="00DE3610">
        <w:instrText xml:space="preserve">" </w:instrText>
      </w:r>
      <w:r w:rsidR="005D7996">
        <w:fldChar w:fldCharType="end"/>
      </w:r>
      <w:r w:rsidR="00AE073E">
        <w:t xml:space="preserve"> (der prototypische „moderne Künstler“) </w:t>
      </w:r>
      <w:r w:rsidR="008C3743">
        <w:t>in seiner künstlerischen Entwic</w:t>
      </w:r>
      <w:r w:rsidR="008C3743">
        <w:t>k</w:t>
      </w:r>
      <w:r w:rsidR="008C3743">
        <w:t>lung nacheinander eine Abfolge von Stilen durchlaufen, die er selbst mit entw</w:t>
      </w:r>
      <w:r w:rsidR="008C3743">
        <w:t>i</w:t>
      </w:r>
      <w:r w:rsidR="008C3743">
        <w:t xml:space="preserve">ckelte, so wurde in der Postmoderne die rasche Aneignung vieler Stile </w:t>
      </w:r>
      <w:r w:rsidR="005C047F">
        <w:t>üblich</w:t>
      </w:r>
      <w:r w:rsidR="008C3743">
        <w:t>, die in derselben Arbeitsperiode und oft sogar in einem Werk angewandt wurden, und deren Kombination und Hybridisierung neue künstlerische Wirkungen he</w:t>
      </w:r>
      <w:r w:rsidR="008C3743">
        <w:t>r</w:t>
      </w:r>
      <w:r w:rsidR="008C3743">
        <w:t>vorbrachten. Die Eigenständigkeit eines Künstlers besteht nun nicht mehr in einem individuellen Stil, sondern in neuen Ideen zur Kombination verschiedener Stile: Diese Kombinationen müssen jedoch ebenso eigenständig sein, um nicht als derivativ zu gelten, wie zuvor die Individualstile, und können daher als „M</w:t>
      </w:r>
      <w:r w:rsidR="008C3743">
        <w:t>e</w:t>
      </w:r>
      <w:r w:rsidR="008C3743">
        <w:t xml:space="preserve">ta-Stile“ </w:t>
      </w:r>
      <w:r w:rsidR="00175279">
        <w:t xml:space="preserve">bezeichnet </w:t>
      </w:r>
      <w:r w:rsidR="008C3743">
        <w:t>werden.</w:t>
      </w:r>
    </w:p>
    <w:p w:rsidR="00747F91" w:rsidRDefault="001E590C" w:rsidP="00B57D01">
      <w:pPr>
        <w:pStyle w:val="Text"/>
        <w:sectPr w:rsidR="00747F91" w:rsidSect="00AE48E3">
          <w:type w:val="continuous"/>
          <w:pgSz w:w="8789" w:h="13325" w:code="9"/>
          <w:pgMar w:top="1134" w:right="851" w:bottom="1418" w:left="1134" w:header="567" w:footer="680" w:gutter="0"/>
          <w:cols w:space="720"/>
          <w:titlePg/>
          <w:docGrid w:linePitch="360"/>
        </w:sectPr>
      </w:pPr>
      <w:r>
        <w:t>Zu</w:t>
      </w:r>
      <w:r w:rsidR="00D8448A" w:rsidRPr="002812CD">
        <w:t xml:space="preserve"> entscheidenden Wertungskriterien </w:t>
      </w:r>
      <w:r>
        <w:t xml:space="preserve">werden </w:t>
      </w:r>
      <w:r w:rsidR="00854819">
        <w:t xml:space="preserve">also </w:t>
      </w:r>
      <w:r w:rsidR="008C3743">
        <w:t xml:space="preserve">zunehmend </w:t>
      </w:r>
      <w:r w:rsidR="00D8448A" w:rsidRPr="002812CD">
        <w:t>die Eige</w:t>
      </w:r>
      <w:r w:rsidR="00D8448A" w:rsidRPr="002812CD">
        <w:t>n</w:t>
      </w:r>
      <w:r w:rsidR="00D8448A" w:rsidRPr="002812CD">
        <w:t>ständigkeit</w:t>
      </w:r>
      <w:r w:rsidR="00854819">
        <w:t xml:space="preserve"> und Wiedererkennbarkeit</w:t>
      </w:r>
      <w:r w:rsidR="00D8448A" w:rsidRPr="002812CD">
        <w:t>.</w:t>
      </w:r>
      <w:r w:rsidR="009C7882">
        <w:t xml:space="preserve"> </w:t>
      </w:r>
      <w:r w:rsidR="00824B50">
        <w:t>Dies lässt sich auf die Relevanz der Ma</w:t>
      </w:r>
      <w:r w:rsidR="00824B50">
        <w:t>r</w:t>
      </w:r>
      <w:r w:rsidR="00824B50">
        <w:t>kenbildung und die Notwendigkeiten der Konkurrenz auf dem Markt beziehen, ebenso wie auf den Kampf um das sogenannte geistige Eigentum,</w:t>
      </w:r>
      <w:r w:rsidR="00824B50">
        <w:rPr>
          <w:rStyle w:val="Funotenzeichen"/>
        </w:rPr>
        <w:footnoteReference w:id="673"/>
      </w:r>
      <w:r w:rsidR="00824B50">
        <w:t xml:space="preserve"> das auf der </w:t>
      </w:r>
      <w:r w:rsidR="00854819">
        <w:t xml:space="preserve">Behauptung der </w:t>
      </w:r>
      <w:r w:rsidR="00824B50">
        <w:t>Abgrenzbarkeit der individuellen geistigen Schöpfung beruht</w:t>
      </w:r>
      <w:r w:rsidR="001E6594">
        <w:t>.</w:t>
      </w:r>
      <w:bookmarkEnd w:id="501"/>
      <w:bookmarkEnd w:id="513"/>
    </w:p>
    <w:p w:rsidR="00D2554C" w:rsidRDefault="00D2554C">
      <w:pPr>
        <w:pStyle w:val="Titel"/>
      </w:pPr>
      <w:bookmarkStart w:id="514" w:name="_Toc325456833"/>
      <w:r>
        <w:lastRenderedPageBreak/>
        <w:t>Wissenschaftstheoretische Überlegungen</w:t>
      </w:r>
      <w:bookmarkEnd w:id="514"/>
    </w:p>
    <w:p w:rsidR="00063472" w:rsidRDefault="00063472" w:rsidP="00916D84">
      <w:pPr>
        <w:pStyle w:val="Text"/>
        <w:ind w:firstLine="0"/>
      </w:pPr>
      <w:r>
        <w:t xml:space="preserve">Die hier vorgestellte Theorie fasst Stil als ein Phänomen auf, das mit Hilfe des </w:t>
      </w:r>
      <w:r w:rsidR="001B1611">
        <w:t>natürlich</w:t>
      </w:r>
      <w:r>
        <w:t xml:space="preserve">sprachlichen Begriffs </w:t>
      </w:r>
      <w:r w:rsidR="00D762AC">
        <w:t>‚Stil‘</w:t>
      </w:r>
      <w:r w:rsidR="00A036E0">
        <w:t xml:space="preserve"> ungefähr richtig erfasst wird</w:t>
      </w:r>
      <w:r w:rsidR="0092011B">
        <w:t xml:space="preserve"> (vgl. Abschnitt </w:t>
      </w:r>
      <w:r w:rsidR="005D7996">
        <w:fldChar w:fldCharType="begin"/>
      </w:r>
      <w:r w:rsidR="0092011B">
        <w:instrText xml:space="preserve"> REF _Ref267660778 \r \h </w:instrText>
      </w:r>
      <w:r w:rsidR="005D7996">
        <w:fldChar w:fldCharType="separate"/>
      </w:r>
      <w:r w:rsidR="001231D3">
        <w:t>1.2</w:t>
      </w:r>
      <w:r w:rsidR="005D7996">
        <w:fldChar w:fldCharType="end"/>
      </w:r>
      <w:r w:rsidR="0092011B">
        <w:t>)</w:t>
      </w:r>
      <w:r w:rsidR="00A036E0">
        <w:t>. Sie modelliert das Phänomen, wobei sie sich bei der Konstruktion des M</w:t>
      </w:r>
      <w:r w:rsidR="00A036E0">
        <w:t>o</w:t>
      </w:r>
      <w:r w:rsidR="00A036E0">
        <w:t>dells an alltagssprachlichen Beispielen orientiert und gelangt dabei zu einer M</w:t>
      </w:r>
      <w:r w:rsidR="00A036E0">
        <w:t>o</w:t>
      </w:r>
      <w:r w:rsidR="00A036E0">
        <w:t>dellierung</w:t>
      </w:r>
      <w:r w:rsidR="005D7996">
        <w:fldChar w:fldCharType="begin"/>
      </w:r>
      <w:r w:rsidR="00C6415A">
        <w:instrText xml:space="preserve"> XE "</w:instrText>
      </w:r>
      <w:r w:rsidR="00C6415A" w:rsidRPr="00A714E8">
        <w:instrText>Modellierung</w:instrText>
      </w:r>
      <w:r w:rsidR="00C6415A">
        <w:instrText xml:space="preserve">" </w:instrText>
      </w:r>
      <w:r w:rsidR="005D7996">
        <w:fldChar w:fldCharType="end"/>
      </w:r>
      <w:r w:rsidR="00A036E0">
        <w:t xml:space="preserve">, die für einen Begriffsinhalt </w:t>
      </w:r>
      <w:r w:rsidR="005B2C35">
        <w:t>(</w:t>
      </w:r>
      <w:r w:rsidR="007C3DC6">
        <w:t>=</w:t>
      </w:r>
      <w:r w:rsidR="001B1611">
        <w:t> </w:t>
      </w:r>
      <w:r w:rsidR="005B2C35">
        <w:t>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5B2C35">
        <w:t xml:space="preserve">) </w:t>
      </w:r>
      <w:r w:rsidR="00A036E0">
        <w:t xml:space="preserve">ungewöhnlich komplex erscheint. </w:t>
      </w:r>
      <w:r>
        <w:t>Sofern sich die Theorie als angemessene Beschreibung des Phänomens Stil erweist</w:t>
      </w:r>
      <w:r w:rsidR="00274676">
        <w:t xml:space="preserve">, </w:t>
      </w:r>
      <w:r w:rsidR="00573AC4">
        <w:t xml:space="preserve">könnte dies </w:t>
      </w:r>
      <w:r w:rsidR="00274676">
        <w:t>Konsequenzen für die Theoriebildung in den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573AC4">
        <w:t>- und Geistes</w:t>
      </w:r>
      <w:r w:rsidR="00274676">
        <w:t>wisssenschaften</w:t>
      </w:r>
      <w:r w:rsidR="00573AC4">
        <w:t xml:space="preserve"> haben</w:t>
      </w:r>
      <w:r w:rsidR="00274676">
        <w:t>.</w:t>
      </w:r>
      <w:r w:rsidR="00F25195">
        <w:t xml:space="preserve"> Darüber wird in diesem Kapitel nachgedacht; es ist </w:t>
      </w:r>
      <w:r w:rsidR="00573AC4">
        <w:t>jedoch</w:t>
      </w:r>
      <w:r w:rsidR="00F25195">
        <w:t xml:space="preserve"> stärke</w:t>
      </w:r>
      <w:r w:rsidR="00573AC4">
        <w:t>r spekulativ als die bisherigen und kann keine gesicherten Ergebnisse vorweisen.</w:t>
      </w:r>
    </w:p>
    <w:p w:rsidR="00C26A0B" w:rsidRDefault="00C26A0B" w:rsidP="00C26A0B">
      <w:pPr>
        <w:pStyle w:val="Titel2"/>
      </w:pPr>
      <w:bookmarkStart w:id="515" w:name="_Ref321764452"/>
      <w:bookmarkStart w:id="516" w:name="_Toc325456834"/>
      <w:bookmarkStart w:id="517" w:name="Begriff"/>
      <w:r>
        <w:t>Begriff und Phänomen</w:t>
      </w:r>
      <w:bookmarkEnd w:id="515"/>
      <w:bookmarkEnd w:id="516"/>
    </w:p>
    <w:p w:rsidR="00C26A0B" w:rsidRDefault="005D7996" w:rsidP="00916D84">
      <w:pPr>
        <w:pStyle w:val="Text"/>
        <w:ind w:firstLine="0"/>
      </w:pPr>
      <w:r>
        <w:fldChar w:fldCharType="begin"/>
      </w:r>
      <w:r w:rsidR="00404D2E">
        <w:instrText xml:space="preserve"> XE "Begriff" \r "Begriff"</w:instrText>
      </w:r>
      <w:r w:rsidR="009E3151">
        <w:instrText xml:space="preserve"> </w:instrText>
      </w:r>
      <w:r>
        <w:fldChar w:fldCharType="end"/>
      </w:r>
      <w:r>
        <w:fldChar w:fldCharType="begin"/>
      </w:r>
      <w:r w:rsidR="00404D2E">
        <w:instrText xml:space="preserve"> XE "Phänomen" \r "Begriff"</w:instrText>
      </w:r>
      <w:r w:rsidR="009E3151">
        <w:instrText xml:space="preserve"> </w:instrText>
      </w:r>
      <w:r>
        <w:fldChar w:fldCharType="end"/>
      </w:r>
      <w:r w:rsidR="00C26A0B">
        <w:t xml:space="preserve">Die für diese Arbeit gewählte Methode </w:t>
      </w:r>
      <w:r w:rsidR="00621127">
        <w:t>bestand</w:t>
      </w:r>
      <w:r w:rsidR="00C26A0B">
        <w:t xml:space="preserve"> darin, einen natürlich</w:t>
      </w:r>
      <w:r w:rsidR="004222AF">
        <w:softHyphen/>
      </w:r>
      <w:r w:rsidR="00C26A0B">
        <w:t>sprach</w:t>
      </w:r>
      <w:r w:rsidR="004222AF">
        <w:softHyphen/>
      </w:r>
      <w:r w:rsidR="00C26A0B">
        <w:t>lichen Begriff zu neh</w:t>
      </w:r>
      <w:r w:rsidR="00316870">
        <w:t xml:space="preserve">men, </w:t>
      </w:r>
      <w:r w:rsidR="0003301B">
        <w:t xml:space="preserve">für den die </w:t>
      </w:r>
      <w:r w:rsidR="00316870">
        <w:t xml:space="preserve">Bezugnahme auf ein </w:t>
      </w:r>
      <w:r w:rsidR="00C26A0B">
        <w:t xml:space="preserve">Phänomen </w:t>
      </w:r>
      <w:r w:rsidR="0003301B">
        <w:t>ang</w:t>
      </w:r>
      <w:r w:rsidR="0003301B">
        <w:t>e</w:t>
      </w:r>
      <w:r w:rsidR="0003301B">
        <w:t xml:space="preserve">nommen </w:t>
      </w:r>
      <w:r w:rsidR="00C26A0B">
        <w:t>wird, und ein Modell dieses Phänomens zu konstruieren, das nun mit Hilfe von präzise konstruierten Beispielen auf die Übereinstimmung seiner A</w:t>
      </w:r>
      <w:r w:rsidR="00C26A0B">
        <w:t>b</w:t>
      </w:r>
      <w:r w:rsidR="00C26A0B">
        <w:t xml:space="preserve">grenzung des </w:t>
      </w:r>
      <w:r w:rsidR="00447FB3">
        <w:t xml:space="preserve">Phänomens </w:t>
      </w:r>
      <w:r w:rsidR="00C26A0B">
        <w:t>mit den Grenzen des natürlichsprachlichen Begriffs überprüft wird.</w:t>
      </w:r>
      <w:r w:rsidR="00C26A0B">
        <w:rPr>
          <w:rStyle w:val="Funotenzeichen"/>
        </w:rPr>
        <w:footnoteReference w:id="674"/>
      </w:r>
    </w:p>
    <w:p w:rsidR="00C26A0B" w:rsidRDefault="00C26A0B" w:rsidP="00C26A0B">
      <w:pPr>
        <w:pStyle w:val="Text"/>
      </w:pPr>
      <w:r>
        <w:t>Ein ähnliches Vorgehen wählen Dan Sperber und Deirdre Wilson in ihrem Buch „Relevance“</w:t>
      </w:r>
      <w:r w:rsidR="0003301B">
        <w:t>, in dem sie eine Theorie der Relevanz entwickeln</w:t>
      </w:r>
      <w:r>
        <w:t>. Ihre B</w:t>
      </w:r>
      <w:r>
        <w:t>e</w:t>
      </w:r>
      <w:r>
        <w:t xml:space="preserve">gründung dafür passt mutatis mutandis auch </w:t>
      </w:r>
      <w:r w:rsidR="0003301B">
        <w:t xml:space="preserve">für die hier </w:t>
      </w:r>
      <w:r w:rsidR="001B24FB">
        <w:t>angewandte Methode</w:t>
      </w:r>
      <w:r w:rsidR="00133C66">
        <w:t>:</w:t>
      </w:r>
      <w:r>
        <w:rPr>
          <w:rStyle w:val="Funotenzeichen"/>
        </w:rPr>
        <w:footnoteReference w:id="675"/>
      </w:r>
    </w:p>
    <w:p w:rsidR="00C26A0B" w:rsidRDefault="00C26A0B" w:rsidP="00C26A0B">
      <w:pPr>
        <w:pStyle w:val="ZitatAbsto"/>
        <w:rPr>
          <w:lang w:val="en-GB"/>
        </w:rPr>
      </w:pPr>
      <w:r>
        <w:rPr>
          <w:lang w:val="en-GB"/>
        </w:rPr>
        <w:t>[W]e would like to make clear what we are trying, and what we are not trying to do. We are not trying to define the ordinary English word ‘relevance’. ‘Rel</w:t>
      </w:r>
      <w:r>
        <w:rPr>
          <w:lang w:val="en-GB"/>
        </w:rPr>
        <w:t>e</w:t>
      </w:r>
      <w:r>
        <w:rPr>
          <w:lang w:val="en-GB"/>
        </w:rPr>
        <w:t>vance’ is a fuzzy term, used differently by different people, or by the same people at different times. It does not have a translation in every human la</w:t>
      </w:r>
      <w:r>
        <w:rPr>
          <w:lang w:val="en-GB"/>
        </w:rPr>
        <w:t>n</w:t>
      </w:r>
      <w:r>
        <w:rPr>
          <w:lang w:val="en-GB"/>
        </w:rPr>
        <w:lastRenderedPageBreak/>
        <w:t>guage. There is no reason to think that a proper semantic analysis of the En</w:t>
      </w:r>
      <w:r>
        <w:rPr>
          <w:lang w:val="en-GB"/>
        </w:rPr>
        <w:t>g</w:t>
      </w:r>
      <w:r>
        <w:rPr>
          <w:lang w:val="en-GB"/>
        </w:rPr>
        <w:t>lish word ‘relevance’ would also characterise a concept of scientific psychology.</w:t>
      </w:r>
    </w:p>
    <w:p w:rsidR="00C26A0B" w:rsidRDefault="00C26A0B" w:rsidP="00C26A0B">
      <w:pPr>
        <w:pStyle w:val="ZitatAbstu"/>
        <w:rPr>
          <w:lang w:val="en-GB"/>
        </w:rPr>
      </w:pPr>
      <w:r>
        <w:rPr>
          <w:lang w:val="en-GB"/>
        </w:rPr>
        <w:t xml:space="preserve">We do believe, though, that scientific psychology needs a concept which is close enough to the ordinary language notion of relevance; in other words, we believe that there is an important psychological property </w:t>
      </w:r>
      <w:r>
        <w:rPr>
          <w:rFonts w:cs="Times New Roman"/>
          <w:lang w:val="en-GB"/>
        </w:rPr>
        <w:t>–</w:t>
      </w:r>
      <w:r>
        <w:rPr>
          <w:lang w:val="en-GB"/>
        </w:rPr>
        <w:t xml:space="preserve"> a property of mental processes </w:t>
      </w:r>
      <w:r>
        <w:rPr>
          <w:rFonts w:cs="Times New Roman"/>
          <w:lang w:val="en-GB"/>
        </w:rPr>
        <w:t>–</w:t>
      </w:r>
      <w:r>
        <w:rPr>
          <w:lang w:val="en-GB"/>
        </w:rPr>
        <w:t xml:space="preserve"> which the ordinary notion of relevance roughly approximates, and which it is therefore appropriate to call relevance too, using the term now in a technical sense. What we are trying to do is to describe this property: that is, to define </w:t>
      </w:r>
      <w:r>
        <w:rPr>
          <w:i/>
          <w:lang w:val="en-GB"/>
        </w:rPr>
        <w:t xml:space="preserve">relevance </w:t>
      </w:r>
      <w:r>
        <w:rPr>
          <w:lang w:val="en-GB"/>
        </w:rPr>
        <w:t>as a useful theoretical concept.</w:t>
      </w:r>
    </w:p>
    <w:p w:rsidR="00C26A0B" w:rsidRDefault="00C26A0B" w:rsidP="00916D84">
      <w:pPr>
        <w:pStyle w:val="Text"/>
        <w:ind w:firstLine="0"/>
      </w:pPr>
      <w:r>
        <w:t xml:space="preserve">Der erste Absatz des Zitats </w:t>
      </w:r>
      <w:r w:rsidR="008A5FA2">
        <w:t>betont, dass eine Definition des englischen Worts „</w:t>
      </w:r>
      <w:r w:rsidR="00C26F03">
        <w:t>relevance</w:t>
      </w:r>
      <w:r w:rsidR="008A5FA2">
        <w:t xml:space="preserve">“ nicht beabsichtigt sei: Dessen semantische Analyse </w:t>
      </w:r>
      <w:r w:rsidR="00CD5418">
        <w:t xml:space="preserve">sei </w:t>
      </w:r>
      <w:r w:rsidR="008A5FA2">
        <w:t xml:space="preserve">nicht </w:t>
      </w:r>
      <w:r w:rsidR="00CD5418">
        <w:t xml:space="preserve">mit dem gleichnamigen </w:t>
      </w:r>
      <w:r w:rsidR="008A5FA2">
        <w:t xml:space="preserve">psychologischen Konzept </w:t>
      </w:r>
      <w:r w:rsidR="00CD5418">
        <w:t>gleichzusetzen</w:t>
      </w:r>
      <w:r w:rsidR="008A5FA2">
        <w:t>.</w:t>
      </w:r>
      <w:r w:rsidR="00CD5418">
        <w:t xml:space="preserve"> </w:t>
      </w:r>
      <w:r>
        <w:t xml:space="preserve">Im zweiten Absatz wird </w:t>
      </w:r>
      <w:r w:rsidR="00CD5418">
        <w:t xml:space="preserve">jedoch </w:t>
      </w:r>
      <w:r w:rsidR="001B24FB">
        <w:t xml:space="preserve">darauf hingewiesen, dass der </w:t>
      </w:r>
      <w:r>
        <w:t>gewöhnliche Begriff von Relevanz („ordinary notion of relevance“)</w:t>
      </w:r>
      <w:r w:rsidR="008A5FA2">
        <w:t xml:space="preserve">, </w:t>
      </w:r>
      <w:r w:rsidR="001B24FB">
        <w:t>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1B24FB">
        <w:t xml:space="preserve"> des </w:t>
      </w:r>
      <w:r w:rsidR="008A5FA2">
        <w:t>natürlichsprachlichen Wort</w:t>
      </w:r>
      <w:r w:rsidR="001B24FB">
        <w:t>s</w:t>
      </w:r>
      <w:r w:rsidR="008A5FA2">
        <w:t>,</w:t>
      </w:r>
      <w:r>
        <w:t xml:space="preserve"> eine Eigenschaft mentaler Prozesse ungefähr annäher</w:t>
      </w:r>
      <w:r w:rsidR="00CD5418">
        <w:t>e</w:t>
      </w:r>
      <w:r>
        <w:t xml:space="preserve"> („roughly appro</w:t>
      </w:r>
      <w:r w:rsidR="009E39E5">
        <w:softHyphen/>
      </w:r>
      <w:r>
        <w:t>ximates“).</w:t>
      </w:r>
    </w:p>
    <w:p w:rsidR="00C26A0B" w:rsidRDefault="00C26A0B" w:rsidP="00C26A0B">
      <w:pPr>
        <w:pStyle w:val="Text"/>
      </w:pPr>
      <w:r>
        <w:t xml:space="preserve">Dies erscheint plausibel. </w:t>
      </w:r>
      <w:r w:rsidR="00CD5418">
        <w:t xml:space="preserve">Dass </w:t>
      </w:r>
      <w:r>
        <w:t xml:space="preserve">Relevanz </w:t>
      </w:r>
      <w:r w:rsidR="00C26F03">
        <w:t xml:space="preserve">oder eben auch </w:t>
      </w:r>
      <w:r>
        <w:t xml:space="preserve">Stil </w:t>
      </w:r>
      <w:r w:rsidR="001B24FB">
        <w:t xml:space="preserve">als Phänomene existieren, </w:t>
      </w:r>
      <w:r w:rsidR="00CD5418">
        <w:t>lässt sich damit begründen, dass sie reale Auswirkungen haben</w:t>
      </w:r>
      <w:r>
        <w:t>.</w:t>
      </w:r>
      <w:r>
        <w:rPr>
          <w:rStyle w:val="Funotenzeichen"/>
        </w:rPr>
        <w:footnoteReference w:id="676"/>
      </w:r>
      <w:r>
        <w:t xml:space="preserve"> Wenn die Begriffe </w:t>
      </w:r>
      <w:r w:rsidR="001B24FB">
        <w:t xml:space="preserve">‚Relevanz‘ und ‚Stil‘ </w:t>
      </w:r>
      <w:r>
        <w:t>oft unscharf („fuzzy“) in ihrer Verwe</w:t>
      </w:r>
      <w:r>
        <w:t>n</w:t>
      </w:r>
      <w:r>
        <w:t xml:space="preserve">dung sind, dann liegt das vermutlich daran, dass es sich um komplizierte, schwer zu erfassende Phänomene handelt, </w:t>
      </w:r>
      <w:r w:rsidR="00C26F03">
        <w:t>worauf auch die Tatsache hinweist</w:t>
      </w:r>
      <w:r>
        <w:t>, dass sie mit einer einfachen Definition nur provisorisch beschrieben werden können und es zu einer sorgfältigen Explikation aufwendiger Theorien bedarf.</w:t>
      </w:r>
    </w:p>
    <w:p w:rsidR="00C26A0B" w:rsidRDefault="00C26A0B" w:rsidP="00C26A0B">
      <w:pPr>
        <w:pStyle w:val="Text"/>
      </w:pPr>
      <w:r>
        <w:t>Über die intensionale Repräsentation dieser Begriffe im Kopf ihrer Benu</w:t>
      </w:r>
      <w:r>
        <w:t>t</w:t>
      </w:r>
      <w:r>
        <w:t>zer kann nach derzeitigem Wissensstand nur spekuliert werden, dass sie wohl einfacher sind, als die hier vorgeschlagene Stiltheorie oder die von Spe</w:t>
      </w:r>
      <w:r>
        <w:t>r</w:t>
      </w:r>
      <w:r>
        <w:t>ber/Wilson vorgeschlagene Relevanztheorie</w:t>
      </w:r>
      <w:r w:rsidR="005D7996">
        <w:fldChar w:fldCharType="begin"/>
      </w:r>
      <w:r w:rsidR="008F01DC">
        <w:instrText xml:space="preserve"> XE "</w:instrText>
      </w:r>
      <w:r w:rsidR="008F01DC" w:rsidRPr="0023780A">
        <w:instrText>Relevanztheorie</w:instrText>
      </w:r>
      <w:r w:rsidR="008F01DC">
        <w:instrText xml:space="preserve">" </w:instrText>
      </w:r>
      <w:r w:rsidR="005D7996">
        <w:fldChar w:fldCharType="end"/>
      </w:r>
      <w:r>
        <w:t>. Sofern diese Theorien nicht übe</w:t>
      </w:r>
      <w:r>
        <w:t>r</w:t>
      </w:r>
      <w:r>
        <w:t xml:space="preserve">komplex geraten sind </w:t>
      </w:r>
      <w:r>
        <w:rPr>
          <w:rFonts w:cs="Times New Roman"/>
        </w:rPr>
        <w:t>–</w:t>
      </w:r>
      <w:r>
        <w:t xml:space="preserve"> wogegen immerhin spricht, dass die reichlich vorhand</w:t>
      </w:r>
      <w:r>
        <w:t>e</w:t>
      </w:r>
      <w:r>
        <w:t xml:space="preserve">nen einfachen Definitionen diese Probleme bislang nicht befriedigend erklären konnten </w:t>
      </w:r>
      <w:r>
        <w:rPr>
          <w:rFonts w:cs="Times New Roman"/>
        </w:rPr>
        <w:t>–</w:t>
      </w:r>
      <w:r>
        <w:t xml:space="preserve">, dann ist zu erwarten, dass die </w:t>
      </w:r>
      <w:r w:rsidR="001B1611">
        <w:t>natürlich</w:t>
      </w:r>
      <w:r>
        <w:t>sprachlichen Begriffe mittels einer gegenüber einer vollständigen Definition vereinfachten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(die etwa mit gespeicherten Beispielen, prototypischen Fällen, einigen notwendigen B</w:t>
      </w:r>
      <w:r>
        <w:t>e</w:t>
      </w:r>
      <w:r>
        <w:t>dingungen und ein paar zusätzlichen Aussagen über die jeweiligen Phänomene arbeiten könnte) auf diese Phänomene zugreifen. Eine präzise Erfassung der Phänomene durch die Begriffe ist somit nicht zu erwarten.</w:t>
      </w:r>
    </w:p>
    <w:p w:rsidR="00C26A0B" w:rsidRDefault="00C26A0B" w:rsidP="00C26A0B">
      <w:pPr>
        <w:pStyle w:val="Text"/>
      </w:pPr>
      <w:r>
        <w:lastRenderedPageBreak/>
        <w:t>Orientiert man sich an den im Umlauf befindlichen alltagssprachlichen Sti</w:t>
      </w:r>
      <w:r>
        <w:t>l</w:t>
      </w:r>
      <w:r>
        <w:t xml:space="preserve">definitionen (etwa derjenigen, Stil sei die „Art und Weise ist, etwas zu tun“) und der Art ihrer Verwendung, so kann man </w:t>
      </w:r>
      <w:r>
        <w:rPr>
          <w:rFonts w:cs="Times New Roman"/>
        </w:rPr>
        <w:t>–</w:t>
      </w:r>
      <w:r>
        <w:t xml:space="preserve"> wiederum spekulativ </w:t>
      </w:r>
      <w:r>
        <w:rPr>
          <w:rFonts w:cs="Times New Roman"/>
        </w:rPr>
        <w:t>–</w:t>
      </w:r>
      <w:r>
        <w:t xml:space="preserve"> vermuten, dass die </w:t>
      </w:r>
      <w:r w:rsidR="001B1611">
        <w:t>I</w:t>
      </w:r>
      <w:r>
        <w:t>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w:t>
      </w:r>
      <w:r w:rsidR="001B1611">
        <w:t xml:space="preserve">des Begriffs </w:t>
      </w:r>
      <w:r>
        <w:t>ähnlich wie diese Definitionen mehr als eine heurist</w:t>
      </w:r>
      <w:r>
        <w:t>i</w:t>
      </w:r>
      <w:r>
        <w:t>sche Zugriffshilfe gebraucht wird, die gewissermaßen einen Eindruck vom Ph</w:t>
      </w:r>
      <w:r>
        <w:t>ä</w:t>
      </w:r>
      <w:r>
        <w:t>nomen gibt und dabei hilft, es zu erkennen, wenn man darauf stößt. So hält sich niemand genau an die Definition der „Art und Weise, etwas zu tun“, die etwa jegliche Technologie mit einschließen würde.</w:t>
      </w:r>
      <w:r w:rsidR="00621127">
        <w:t xml:space="preserve"> </w:t>
      </w:r>
      <w:r>
        <w:t>Bei Definitionen dieser Art zeigt sich, dass sie meist intuitiv treffender gebraucht werden, als sie es bei wörtlicher Anwendung werden müssten. Dies ist ein Hinweis darauf, dass sie die Funktion von ‚Zeigern‘ auf das tatsächliche Phänomen einnehmen, indem sie eine gewisse Intuition ausdrücken, die sie allerdings nich</w:t>
      </w:r>
      <w:r w:rsidR="00E72225">
        <w:t>t genau zu explizieren vermögen. Sie leisten damit eine Verständnishilfe</w:t>
      </w:r>
      <w:r>
        <w:t>, während sie die Abgrenzung von anderen Phänomenen (wie Technologie</w:t>
      </w:r>
      <w:r w:rsidR="00E72225">
        <w:t>n</w:t>
      </w:r>
      <w:r>
        <w:t>)</w:t>
      </w:r>
      <w:r w:rsidR="00E72225">
        <w:t xml:space="preserve"> nicht leisten; da diese </w:t>
      </w:r>
      <w:r>
        <w:t xml:space="preserve">im Weltmodell der Sprachverwender weit genug von Stil entfernt sind, um sowieso nicht damit durcheinander gebracht zu werden, </w:t>
      </w:r>
      <w:r w:rsidR="00E72225">
        <w:t>fällt dies meist gar nicht auf</w:t>
      </w:r>
      <w:r>
        <w:t>.</w:t>
      </w:r>
    </w:p>
    <w:p w:rsidR="00D2554C" w:rsidRDefault="00D2554C" w:rsidP="00605889">
      <w:pPr>
        <w:pStyle w:val="Text"/>
      </w:pPr>
      <w:r>
        <w:t xml:space="preserve">Wenn </w:t>
      </w:r>
      <w:r w:rsidR="002C2A4D">
        <w:t xml:space="preserve">eine semiotische Erklärung </w:t>
      </w:r>
      <w:r w:rsidR="002F5378">
        <w:t xml:space="preserve">von Begriffen wie </w:t>
      </w:r>
      <w:r w:rsidR="00F005F4">
        <w:t>‚</w:t>
      </w:r>
      <w:r>
        <w:t>Stil</w:t>
      </w:r>
      <w:r w:rsidR="00F005F4">
        <w:t>‘</w:t>
      </w:r>
      <w:r w:rsidR="00621127">
        <w:t xml:space="preserve">, </w:t>
      </w:r>
      <w:r w:rsidR="00F005F4">
        <w:t>‚</w:t>
      </w:r>
      <w:r w:rsidR="00621127">
        <w:t>Relevanz</w:t>
      </w:r>
      <w:r w:rsidR="00F005F4">
        <w:t>‘</w:t>
      </w:r>
      <w:r w:rsidR="002C2A4D">
        <w:t xml:space="preserve"> </w:t>
      </w:r>
      <w:r>
        <w:t xml:space="preserve">oder </w:t>
      </w:r>
      <w:r w:rsidR="00621127">
        <w:t xml:space="preserve">auch </w:t>
      </w:r>
      <w:r w:rsidR="00F005F4">
        <w:t>‚</w:t>
      </w:r>
      <w:r>
        <w:t>Macht</w:t>
      </w:r>
      <w:r w:rsidR="00F005F4">
        <w:t>‘</w:t>
      </w:r>
      <w:r w:rsidR="002C2A4D">
        <w:rPr>
          <w:rStyle w:val="Funotenzeichen"/>
        </w:rPr>
        <w:footnoteReference w:id="677"/>
      </w:r>
      <w:r>
        <w:t xml:space="preserve"> </w:t>
      </w:r>
      <w:r w:rsidR="002C2A4D">
        <w:t>versucht wird</w:t>
      </w:r>
      <w:r>
        <w:t xml:space="preserve">, </w:t>
      </w:r>
      <w:r w:rsidR="002F5378">
        <w:t xml:space="preserve">die auch in der Alltagssprache verwendet werden, </w:t>
      </w:r>
      <w:r>
        <w:t xml:space="preserve">dann </w:t>
      </w:r>
      <w:r w:rsidR="002C2A4D">
        <w:t xml:space="preserve">handelt es sich zunächst um eine </w:t>
      </w:r>
      <w:r>
        <w:t>Begriffsexplikati</w:t>
      </w:r>
      <w:r w:rsidR="002C2A4D">
        <w:t>on</w:t>
      </w:r>
      <w:r w:rsidR="005D7996">
        <w:rPr>
          <w:szCs w:val="17"/>
        </w:rPr>
        <w:fldChar w:fldCharType="begin"/>
      </w:r>
      <w:r w:rsidR="00D70D6E">
        <w:instrText xml:space="preserve"> XE "</w:instrText>
      </w:r>
      <w:r w:rsidR="00D70D6E" w:rsidRPr="00A714E8">
        <w:instrText>Begriffsexplikation</w:instrText>
      </w:r>
      <w:r w:rsidR="00D70D6E">
        <w:instrText xml:space="preserve">" </w:instrText>
      </w:r>
      <w:r w:rsidR="005D7996">
        <w:rPr>
          <w:szCs w:val="17"/>
        </w:rPr>
        <w:fldChar w:fldCharType="end"/>
      </w:r>
      <w:r w:rsidR="002C2A4D">
        <w:t>:</w:t>
      </w:r>
      <w:r w:rsidR="0092011B">
        <w:rPr>
          <w:rStyle w:val="Funotenzeichen"/>
        </w:rPr>
        <w:footnoteReference w:id="678"/>
      </w:r>
      <w:r>
        <w:t xml:space="preserve"> </w:t>
      </w:r>
      <w:r w:rsidR="00621127">
        <w:t>D</w:t>
      </w:r>
      <w:r w:rsidR="002C2A4D">
        <w:t xml:space="preserve">ie </w:t>
      </w:r>
      <w:r>
        <w:t xml:space="preserve">Inhaltsseite </w:t>
      </w:r>
      <w:r w:rsidR="00621127">
        <w:t>eines sprachlichen Begriffs</w:t>
      </w:r>
      <w:r w:rsidR="002C2A4D">
        <w:t xml:space="preserve"> </w:t>
      </w:r>
      <w:r w:rsidR="00621127">
        <w:t xml:space="preserve">soll </w:t>
      </w:r>
      <w:r w:rsidR="002C2A4D">
        <w:t>geklärt werden</w:t>
      </w:r>
      <w:r>
        <w:t>.</w:t>
      </w:r>
      <w:r w:rsidR="0092011B">
        <w:t xml:space="preserve"> </w:t>
      </w:r>
      <w:r>
        <w:t xml:space="preserve">Andererseits </w:t>
      </w:r>
      <w:r w:rsidR="002C2A4D">
        <w:t xml:space="preserve">wird jedoch </w:t>
      </w:r>
      <w:r>
        <w:t>semi</w:t>
      </w:r>
      <w:r>
        <w:t>o</w:t>
      </w:r>
      <w:r>
        <w:t>tische Grundlagenforschung</w:t>
      </w:r>
      <w:r w:rsidR="002C2A4D">
        <w:t xml:space="preserve"> betrieben,</w:t>
      </w:r>
      <w:r w:rsidR="002C106D">
        <w:rPr>
          <w:rStyle w:val="Funotenzeichen"/>
        </w:rPr>
        <w:footnoteReference w:id="679"/>
      </w:r>
      <w:r w:rsidR="00A97F42">
        <w:t xml:space="preserve"> da es sich dabei um </w:t>
      </w:r>
      <w:r>
        <w:t>Zeichenphänom</w:t>
      </w:r>
      <w:r>
        <w:t>e</w:t>
      </w:r>
      <w:r>
        <w:t xml:space="preserve">ne </w:t>
      </w:r>
      <w:r w:rsidR="00A171E0">
        <w:t>(oder im Fall von Macht um ein teilweise aus Zeichenphänomenen bestehe</w:t>
      </w:r>
      <w:r w:rsidR="00A171E0">
        <w:t>n</w:t>
      </w:r>
      <w:r w:rsidR="00A171E0">
        <w:t>des Phänomen) handelt.</w:t>
      </w:r>
    </w:p>
    <w:p w:rsidR="00D2554C" w:rsidRDefault="00D2554C">
      <w:pPr>
        <w:pStyle w:val="Text"/>
      </w:pPr>
      <w:r>
        <w:t xml:space="preserve">Die </w:t>
      </w:r>
      <w:r w:rsidR="00B00628">
        <w:t xml:space="preserve">modelltheoretische </w:t>
      </w:r>
      <w:r>
        <w:t>Semantik</w:t>
      </w:r>
      <w:r w:rsidR="005D7996">
        <w:fldChar w:fldCharType="begin"/>
      </w:r>
      <w:r w:rsidR="000623C8">
        <w:instrText xml:space="preserve"> XE "</w:instrText>
      </w:r>
      <w:r w:rsidR="000623C8" w:rsidRPr="001A70AD">
        <w:rPr>
          <w:rFonts w:eastAsia="Times New Roman" w:cs="Times New Roman"/>
        </w:rPr>
        <w:instrText>Semantik</w:instrText>
      </w:r>
      <w:r w:rsidR="00857365">
        <w:rPr>
          <w:rFonts w:eastAsia="Times New Roman" w:cs="Times New Roman"/>
        </w:rPr>
        <w:instrText>:modelltheoretische</w:instrText>
      </w:r>
      <w:r w:rsidR="000623C8">
        <w:instrText xml:space="preserve">" </w:instrText>
      </w:r>
      <w:r w:rsidR="005D7996">
        <w:fldChar w:fldCharType="end"/>
      </w:r>
      <w:r w:rsidR="00DA7A39">
        <w:rPr>
          <w:rStyle w:val="Funotenzeichen"/>
        </w:rPr>
        <w:footnoteReference w:id="680"/>
      </w:r>
      <w:r w:rsidR="00B00628">
        <w:t xml:space="preserve"> </w:t>
      </w:r>
      <w:r>
        <w:t>nimmt an, dass 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t xml:space="preserve"> eines Satzes </w:t>
      </w:r>
      <w:r w:rsidR="00620BDE">
        <w:t>in den Wahrheitsbedingungen besteht</w:t>
      </w:r>
      <w:r>
        <w:t xml:space="preserve">, </w:t>
      </w:r>
      <w:r w:rsidR="00620BDE">
        <w:t xml:space="preserve">die in </w:t>
      </w:r>
      <w:r w:rsidR="00DA7A39">
        <w:t>einer beliebigen</w:t>
      </w:r>
      <w:r w:rsidR="00620BDE">
        <w:t xml:space="preserve"> möglichen Welt</w:t>
      </w:r>
      <w:r>
        <w:t xml:space="preserve"> </w:t>
      </w:r>
      <w:r w:rsidR="00DA7A39">
        <w:t>notwendig und hinreichend dafür sind, dass er für diese Welt wahr ist</w:t>
      </w:r>
      <w:r>
        <w:t>.</w:t>
      </w:r>
      <w:r w:rsidR="00DA7A39">
        <w:rPr>
          <w:rStyle w:val="Funotenzeichen"/>
        </w:rPr>
        <w:footnoteReference w:id="681"/>
      </w:r>
      <w:r>
        <w:t xml:space="preserve"> </w:t>
      </w:r>
      <w:r w:rsidR="00C53AE0">
        <w:t xml:space="preserve">Bezogen auf den Begriff </w:t>
      </w:r>
      <w:r w:rsidR="00F005F4">
        <w:t>‚</w:t>
      </w:r>
      <w:r w:rsidR="00C53AE0">
        <w:t>Stil</w:t>
      </w:r>
      <w:r w:rsidR="00F005F4">
        <w:t xml:space="preserve">‘ </w:t>
      </w:r>
      <w:r w:rsidR="00C53AE0">
        <w:t xml:space="preserve">setzt dies </w:t>
      </w:r>
      <w:r>
        <w:t>eine genaue und vollständige Theorie voraus; andernfalls kann nicht jede</w:t>
      </w:r>
      <w:r w:rsidR="008D006C">
        <w:t>r</w:t>
      </w:r>
      <w:r>
        <w:t xml:space="preserve"> Satz, der diesen Begriff </w:t>
      </w:r>
      <w:r w:rsidR="00B30CAE">
        <w:t>enthält</w:t>
      </w:r>
      <w:r>
        <w:t>, über alle möglichen Welten hinweg in seinem Wahrheitsgehalt überprüf</w:t>
      </w:r>
      <w:r w:rsidR="008D006C">
        <w:t>t werden</w:t>
      </w:r>
      <w:r>
        <w:t xml:space="preserve">. </w:t>
      </w:r>
      <w:r w:rsidR="008D006C">
        <w:t>Ang</w:t>
      </w:r>
      <w:r w:rsidR="008D006C">
        <w:t>e</w:t>
      </w:r>
      <w:r w:rsidR="008D006C">
        <w:t>sichts des Wirrwarrs von Definitionen und der Tatsache, dass auch die besten bisher gefundenen Definitionen die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8D006C">
        <w:t xml:space="preserve"> des natürlichsprachlichen Begriffs verfehlten (vgl. Abschnitt </w:t>
      </w:r>
      <w:r w:rsidR="005D7996">
        <w:fldChar w:fldCharType="begin"/>
      </w:r>
      <w:r w:rsidR="008D006C">
        <w:instrText xml:space="preserve"> REF _Ref260056929 \r \h </w:instrText>
      </w:r>
      <w:r w:rsidR="005D7996">
        <w:fldChar w:fldCharType="separate"/>
      </w:r>
      <w:r w:rsidR="001231D3">
        <w:t>2.1</w:t>
      </w:r>
      <w:r w:rsidR="005D7996">
        <w:fldChar w:fldCharType="end"/>
      </w:r>
      <w:r w:rsidR="008D006C">
        <w:t xml:space="preserve">), kann davon nicht die Rede sein. Insofern </w:t>
      </w:r>
      <w:r>
        <w:t xml:space="preserve">ist die </w:t>
      </w:r>
      <w:r w:rsidR="008D006C">
        <w:t xml:space="preserve">modelltheoretische </w:t>
      </w:r>
      <w:r>
        <w:t xml:space="preserve">Theorie der Semantik ihrem Gehalt nach utopisch: Sie kann zwar definiert werden, tatsächlich könnte sie die Bedeutung von Sätzen aber nur dann korrekt wiedergeben, wenn </w:t>
      </w:r>
      <w:r w:rsidR="00CF770E">
        <w:t xml:space="preserve">für jeden Begriff der natürlichen Sprache eine Definition vorläge, die seinen Inhalt befriedigend zu klären vermöchte. </w:t>
      </w:r>
      <w:r w:rsidR="003E4862">
        <w:t>Auch d</w:t>
      </w:r>
      <w:r w:rsidR="00CF770E">
        <w:t xml:space="preserve">en Begriff </w:t>
      </w:r>
      <w:r w:rsidR="00C05939">
        <w:t>‚</w:t>
      </w:r>
      <w:r w:rsidR="00CF770E">
        <w:t>Macht</w:t>
      </w:r>
      <w:r w:rsidR="00C05939">
        <w:t>‘</w:t>
      </w:r>
      <w:r w:rsidR="00CF770E">
        <w:t xml:space="preserve"> könnte ich, wenn die </w:t>
      </w:r>
      <w:r w:rsidR="003E4862">
        <w:t xml:space="preserve">modelltheoretische </w:t>
      </w:r>
      <w:r w:rsidR="00CF770E">
        <w:t>Semantik</w:t>
      </w:r>
      <w:r w:rsidR="005D7996">
        <w:fldChar w:fldCharType="begin"/>
      </w:r>
      <w:r w:rsidR="00857365">
        <w:instrText xml:space="preserve"> XE "</w:instrText>
      </w:r>
      <w:r w:rsidR="00857365" w:rsidRPr="001A3960">
        <w:instrText>Semantik:modelltheoretische</w:instrText>
      </w:r>
      <w:r w:rsidR="00857365">
        <w:instrText xml:space="preserve">" </w:instrText>
      </w:r>
      <w:r w:rsidR="005D7996">
        <w:fldChar w:fldCharType="end"/>
      </w:r>
      <w:r w:rsidR="00CF770E">
        <w:t xml:space="preserve"> recht </w:t>
      </w:r>
      <w:r w:rsidR="00CF770E">
        <w:lastRenderedPageBreak/>
        <w:t>hätte, nur dann richtig gebrauchen, wenn ich für alle möglichen Welten sagen könnte, was Macht ist und was nicht, was voraussetzt, dass ich eine exakte und nicht von Voraussetzungen der beobachtbaren Welt, die in anderen Welten eve</w:t>
      </w:r>
      <w:r w:rsidR="00CF770E">
        <w:t>n</w:t>
      </w:r>
      <w:r w:rsidR="00CF770E">
        <w:t xml:space="preserve">tuell nicht gegeben sind, abhängige Machtdefinition besäße. Dies könnten also keine ungefähren heuristischen Definitionen sein; sie kämen in ihrem Anspruch </w:t>
      </w:r>
      <w:r w:rsidR="003E4862">
        <w:t xml:space="preserve">vollständigen </w:t>
      </w:r>
      <w:r w:rsidR="00CF770E">
        <w:t>Theorien gleich</w:t>
      </w:r>
      <w:r w:rsidR="003E4862">
        <w:t xml:space="preserve">, die selbst </w:t>
      </w:r>
      <w:r w:rsidR="00AA02AD">
        <w:t xml:space="preserve">diejenigen </w:t>
      </w:r>
      <w:r w:rsidR="003E4862">
        <w:t>Möglichkeiten einbeziehen, die in unserer konkreten Welt nicht gegeben sind</w:t>
      </w:r>
      <w:r w:rsidR="00CF770E">
        <w:t>. Solch anspruchsvolle Defin</w:t>
      </w:r>
      <w:r w:rsidR="00CF770E">
        <w:t>i</w:t>
      </w:r>
      <w:r w:rsidR="00CF770E">
        <w:t>tionen sind jedoch für zahlreiche Begriffe</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rsidR="00CF770E">
        <w:t xml:space="preserve"> der natürlichen Sprache nicht vorha</w:t>
      </w:r>
      <w:r w:rsidR="00CF770E">
        <w:t>n</w:t>
      </w:r>
      <w:r w:rsidR="00CF770E">
        <w:t>den.</w:t>
      </w:r>
    </w:p>
    <w:p w:rsidR="00D2554C" w:rsidRDefault="00D2554C">
      <w:pPr>
        <w:pStyle w:val="Text"/>
      </w:pPr>
      <w:r>
        <w:t xml:space="preserve">Wir benutzen also ständig </w:t>
      </w:r>
      <w:r w:rsidR="00616040">
        <w:t xml:space="preserve">Wörter </w:t>
      </w:r>
      <w:r w:rsidR="008007B7">
        <w:t xml:space="preserve">wie </w:t>
      </w:r>
      <w:r w:rsidR="00616040">
        <w:t>„</w:t>
      </w:r>
      <w:r w:rsidR="008007B7">
        <w:t>Stil</w:t>
      </w:r>
      <w:r w:rsidR="00616040">
        <w:t>“</w:t>
      </w:r>
      <w:r w:rsidR="008007B7">
        <w:t xml:space="preserve">, </w:t>
      </w:r>
      <w:r w:rsidR="00616040">
        <w:t>„</w:t>
      </w:r>
      <w:r w:rsidR="008007B7">
        <w:t>Relevanz</w:t>
      </w:r>
      <w:r w:rsidR="00616040">
        <w:t>“</w:t>
      </w:r>
      <w:r w:rsidR="008007B7">
        <w:t xml:space="preserve"> oder </w:t>
      </w:r>
      <w:r w:rsidR="00616040">
        <w:t>„</w:t>
      </w:r>
      <w:r w:rsidR="008007B7">
        <w:t>Macht</w:t>
      </w:r>
      <w:r w:rsidR="00616040">
        <w:t>“</w:t>
      </w:r>
      <w:r w:rsidR="008007B7">
        <w:t>, d</w:t>
      </w:r>
      <w:r w:rsidR="008007B7">
        <w:t>e</w:t>
      </w:r>
      <w:r w:rsidR="008007B7">
        <w:t xml:space="preserve">ren Bedeutungen natürlichsprachliche </w:t>
      </w:r>
      <w:r>
        <w:t>Begriffe</w:t>
      </w:r>
      <w:r w:rsidR="005D7996">
        <w:fldChar w:fldCharType="begin"/>
      </w:r>
      <w:r w:rsidR="00D77298">
        <w:instrText xml:space="preserve"> XE "</w:instrText>
      </w:r>
      <w:r w:rsidR="00D77298" w:rsidRPr="00D659CD">
        <w:instrText>Begriff, natürlichsprachlicher</w:instrText>
      </w:r>
      <w:r w:rsidR="00D77298">
        <w:instrText xml:space="preserve">" </w:instrText>
      </w:r>
      <w:r w:rsidR="005D7996">
        <w:fldChar w:fldCharType="end"/>
      </w:r>
      <w:r w:rsidR="008007B7">
        <w:t xml:space="preserve"> sind</w:t>
      </w:r>
      <w:r>
        <w:t xml:space="preserve">, </w:t>
      </w:r>
      <w:r w:rsidR="008007B7">
        <w:t xml:space="preserve">für die wir keine </w:t>
      </w:r>
      <w:r>
        <w:t xml:space="preserve">genaue </w:t>
      </w:r>
      <w:r w:rsidR="008007B7">
        <w:t xml:space="preserve">Definition </w:t>
      </w:r>
      <w:r w:rsidR="00AB3BD4">
        <w:t>haben</w:t>
      </w:r>
      <w:r>
        <w:t xml:space="preserve">. Wenn wir Theorien </w:t>
      </w:r>
      <w:r w:rsidR="003E4862">
        <w:t xml:space="preserve">zu </w:t>
      </w:r>
      <w:r w:rsidR="00AB3BD4">
        <w:t xml:space="preserve">solchen </w:t>
      </w:r>
      <w:r>
        <w:t>Begriffe</w:t>
      </w:r>
      <w:r w:rsidR="003E4862">
        <w:t>n</w:t>
      </w:r>
      <w:r w:rsidR="00AB3BD4">
        <w:t xml:space="preserve"> </w:t>
      </w:r>
      <w:r>
        <w:t xml:space="preserve">bilden und uns dabei an die </w:t>
      </w:r>
      <w:r w:rsidR="00AB3BD4">
        <w:t>Verwendung</w:t>
      </w:r>
      <w:r>
        <w:t xml:space="preserve"> in der natürlichen Sprache halten, das heißt im Grunde eine Begriffsexplikation</w:t>
      </w:r>
      <w:r w:rsidR="005D7996">
        <w:rPr>
          <w:szCs w:val="17"/>
        </w:rPr>
        <w:fldChar w:fldCharType="begin"/>
      </w:r>
      <w:r w:rsidR="00D70D6E">
        <w:instrText xml:space="preserve"> XE "</w:instrText>
      </w:r>
      <w:r w:rsidR="00D70D6E" w:rsidRPr="00A714E8">
        <w:instrText>Begriffsexplikation</w:instrText>
      </w:r>
      <w:r w:rsidR="00D70D6E">
        <w:instrText xml:space="preserve">" </w:instrText>
      </w:r>
      <w:r w:rsidR="005D7996">
        <w:rPr>
          <w:szCs w:val="17"/>
        </w:rPr>
        <w:fldChar w:fldCharType="end"/>
      </w:r>
      <w:r>
        <w:t xml:space="preserve"> </w:t>
      </w:r>
      <w:r w:rsidR="00CF770E">
        <w:t>vornehmen</w:t>
      </w:r>
      <w:r>
        <w:t>, versuchen wir etwas zu erreichen, das wir eigen</w:t>
      </w:r>
      <w:r>
        <w:t>t</w:t>
      </w:r>
      <w:r>
        <w:t xml:space="preserve">lich bereits besitzen müssten, um die </w:t>
      </w:r>
      <w:r w:rsidR="00821317">
        <w:t>Wörter</w:t>
      </w:r>
      <w:r w:rsidR="00AB3BD4">
        <w:t xml:space="preserve"> angemessen verwenden und verst</w:t>
      </w:r>
      <w:r w:rsidR="00AB3BD4">
        <w:t>e</w:t>
      </w:r>
      <w:r w:rsidR="00AB3BD4">
        <w:t>hen zu können</w:t>
      </w:r>
      <w:r>
        <w:t>. Das</w:t>
      </w:r>
      <w:r w:rsidR="00882189">
        <w:t>s</w:t>
      </w:r>
      <w:r>
        <w:t xml:space="preserve"> wir dies tun, zeigt sich darin, dass wir uns mit ihrer Hilfe verständigen können: Zwar funktioniert diese Kommunikation</w:t>
      </w:r>
      <w:r w:rsidR="005D7996">
        <w:fldChar w:fldCharType="begin"/>
      </w:r>
      <w:r w:rsidR="00886335">
        <w:instrText xml:space="preserve"> XE "</w:instrText>
      </w:r>
      <w:r w:rsidR="00886335" w:rsidRPr="00716BD7">
        <w:rPr>
          <w:rFonts w:eastAsia="Times New Roman" w:cs="Times New Roman"/>
        </w:rPr>
        <w:instrText>Kommunikation</w:instrText>
      </w:r>
      <w:r w:rsidR="00886335">
        <w:instrText xml:space="preserve">" </w:instrText>
      </w:r>
      <w:r w:rsidR="005D7996">
        <w:fldChar w:fldCharType="end"/>
      </w:r>
      <w:r>
        <w:t xml:space="preserve"> nicht reibung</w:t>
      </w:r>
      <w:r>
        <w:t>s</w:t>
      </w:r>
      <w:r>
        <w:t>los, hätten wir aber keine funktionierenden Begriffe, könnten wir uns auch nicht über Stil oder Macht unterhalten.</w:t>
      </w:r>
    </w:p>
    <w:p w:rsidR="000D2042" w:rsidRDefault="00F33A08">
      <w:pPr>
        <w:pStyle w:val="Text"/>
      </w:pPr>
      <w:r>
        <w:t xml:space="preserve">Nun könnte man annehmen, dass </w:t>
      </w:r>
      <w:r w:rsidR="001F7121">
        <w:t xml:space="preserve">ein Wort </w:t>
      </w:r>
      <w:r w:rsidR="005B2C35">
        <w:t>der natürlichen Sprache, de</w:t>
      </w:r>
      <w:r w:rsidR="001F7121">
        <w:t>ss</w:t>
      </w:r>
      <w:r w:rsidR="005B2C35">
        <w:t xml:space="preserve">en Inhalt ein Begriff ist, </w:t>
      </w:r>
      <w:r w:rsidR="001F7121">
        <w:t xml:space="preserve">zu jedem Zeitpunkt </w:t>
      </w:r>
      <w:r w:rsidR="005B2C35">
        <w:t xml:space="preserve">nur so genau verwendet </w:t>
      </w:r>
      <w:r w:rsidR="001F7121">
        <w:t xml:space="preserve">wird, </w:t>
      </w:r>
      <w:r w:rsidR="005B2C35">
        <w:t xml:space="preserve">wie die </w:t>
      </w:r>
      <w:r w:rsidR="001F7121">
        <w:t xml:space="preserve">besten verfügbaren </w:t>
      </w:r>
      <w:r w:rsidR="005B2C35">
        <w:t>Definition</w:t>
      </w:r>
      <w:r w:rsidR="001F7121">
        <w:t>en</w:t>
      </w:r>
      <w:r w:rsidR="005B2C35">
        <w:t xml:space="preserve"> diese</w:t>
      </w:r>
      <w:r w:rsidR="001F7121">
        <w:t>n</w:t>
      </w:r>
      <w:r w:rsidR="005B2C35">
        <w:t xml:space="preserve"> Begriff</w:t>
      </w:r>
      <w:r w:rsidR="001F7121">
        <w:t xml:space="preserve"> klären</w:t>
      </w:r>
      <w:r w:rsidR="005B2C35">
        <w:t xml:space="preserve">. </w:t>
      </w:r>
      <w:r>
        <w:t xml:space="preserve">Der Versuch, Begriffe wie </w:t>
      </w:r>
      <w:r w:rsidR="005B2C35">
        <w:t>‚</w:t>
      </w:r>
      <w:r>
        <w:t>Stil</w:t>
      </w:r>
      <w:r w:rsidR="005B2C35">
        <w:t>‘</w:t>
      </w:r>
      <w:r>
        <w:t xml:space="preserve"> oder </w:t>
      </w:r>
      <w:r w:rsidR="005B2C35">
        <w:t>‚</w:t>
      </w:r>
      <w:r>
        <w:t>Macht</w:t>
      </w:r>
      <w:r w:rsidR="005B2C35">
        <w:t>‘</w:t>
      </w:r>
      <w:r>
        <w:t xml:space="preserve"> über natürlichsprachliche Beispiele zu klären, </w:t>
      </w:r>
      <w:r w:rsidR="00D417D5">
        <w:t xml:space="preserve">wäre </w:t>
      </w:r>
      <w:r>
        <w:t>dann zi</w:t>
      </w:r>
      <w:r>
        <w:t>r</w:t>
      </w:r>
      <w:r>
        <w:t>kulär</w:t>
      </w:r>
      <w:r w:rsidR="005B2C35">
        <w:t>. Die natürliche Sprache würde kein Wissen enthalten, das wir nicht schon in Form von Begriffs</w:t>
      </w:r>
      <w:r w:rsidR="004F3113">
        <w:t xml:space="preserve">definitionen </w:t>
      </w:r>
      <w:r w:rsidR="005B2C35">
        <w:t>in sie hineingesteckt hätten.</w:t>
      </w:r>
    </w:p>
    <w:p w:rsidR="008D05DF" w:rsidRDefault="008D05DF">
      <w:pPr>
        <w:pStyle w:val="Text"/>
      </w:pPr>
      <w:r>
        <w:t xml:space="preserve">Unterschiedliche Stildefinitionen würden zu </w:t>
      </w:r>
      <w:r w:rsidR="009430CA">
        <w:t xml:space="preserve">ständigen </w:t>
      </w:r>
      <w:r>
        <w:t>Missverständnissen führen</w:t>
      </w:r>
      <w:r w:rsidR="009430CA">
        <w:t xml:space="preserve">, insbesondere müsste die Wahl der Beispiele ständig angefochten werden. </w:t>
      </w:r>
      <w:r>
        <w:t xml:space="preserve">Schon ein oberflächlicher Einblick in die immense Literatur </w:t>
      </w:r>
      <w:r w:rsidR="00C12A0E">
        <w:t>der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C12A0E">
        <w:t xml:space="preserve"> </w:t>
      </w:r>
      <w:r>
        <w:t xml:space="preserve">zeigt, dass die Auffassungen und Definitionen von </w:t>
      </w:r>
      <w:r w:rsidR="00C12A0E">
        <w:t>‚</w:t>
      </w:r>
      <w:r>
        <w:t>Stil</w:t>
      </w:r>
      <w:r w:rsidR="00C12A0E">
        <w:t>‘</w:t>
      </w:r>
      <w:r>
        <w:t>, die dort gegeben we</w:t>
      </w:r>
      <w:r>
        <w:t>r</w:t>
      </w:r>
      <w:r>
        <w:t xml:space="preserve">den, so unterschiedlich sind, dass ihre konsequente Beachtung durch diejenigen, die sie vertreten, zu höchst unterschiedlichen </w:t>
      </w:r>
      <w:r w:rsidR="009430CA">
        <w:t xml:space="preserve">Extensionen </w:t>
      </w:r>
      <w:r>
        <w:t>führen würde. Die Stiltheoretiker könnten sich dann kaum mehr verstehen, zumal sie ja vermutlich andere Begriffe entsprechend in ihrer Verwendung anpassen</w:t>
      </w:r>
      <w:r w:rsidR="003E4862">
        <w:t xml:space="preserve"> müssten</w:t>
      </w:r>
      <w:r>
        <w:t>, um Übe</w:t>
      </w:r>
      <w:r>
        <w:t>r</w:t>
      </w:r>
      <w:r>
        <w:t>lappungen zwischen den Begriffsextensionen zu vermeiden</w:t>
      </w:r>
      <w:r w:rsidR="003E4862">
        <w:t xml:space="preserve"> oder </w:t>
      </w:r>
      <w:r w:rsidR="00D330B0">
        <w:t xml:space="preserve">Lücken </w:t>
      </w:r>
      <w:r w:rsidR="003E4862">
        <w:t>zu schließen</w:t>
      </w:r>
      <w:r>
        <w:t>. Dies würde zu großen Problemen beim Reden über Stil führen, da man einander ständig missverstehen würde. Dennoch reden Stiltheoretiker mi</w:t>
      </w:r>
      <w:r>
        <w:t>t</w:t>
      </w:r>
      <w:r>
        <w:t>einander über Stil anhand von Beispielen, ohne dass stets die Hälfte aufspringt und ruft: „Das ist doch gar kein Stil!“</w:t>
      </w:r>
    </w:p>
    <w:p w:rsidR="00D2554C" w:rsidRDefault="000D2042">
      <w:pPr>
        <w:pStyle w:val="Text"/>
      </w:pPr>
      <w:r>
        <w:t>Diese Probleme zeigen</w:t>
      </w:r>
      <w:r w:rsidR="00D2554C">
        <w:t xml:space="preserve">, dass bestimmte </w:t>
      </w:r>
      <w:r w:rsidR="00E84692">
        <w:t>Wörter</w:t>
      </w:r>
      <w:r w:rsidR="00D2554C">
        <w:t xml:space="preserve"> der natürlichen Sprache o</w:t>
      </w:r>
      <w:r w:rsidR="00D2554C">
        <w:t>f</w:t>
      </w:r>
      <w:r w:rsidR="00D2554C">
        <w:t xml:space="preserve">fenbar Zeichen für Konzepte oder Ideen sind, die hochkomplex sind, wenn man sie genau zu explizieren versucht, trotzdem jedoch von gewöhnlich befähigten Menschen fehlerfrei benutzt werden können. </w:t>
      </w:r>
      <w:r w:rsidR="00B44D9B">
        <w:t xml:space="preserve">Dies ist ein </w:t>
      </w:r>
      <w:r w:rsidR="00BE37FE">
        <w:t>Paradox, das oft nicht in seiner Tragweite erkannt wird.</w:t>
      </w:r>
      <w:r w:rsidR="00D2554C">
        <w:t xml:space="preserve"> Tatsächlich handelt es sich um ein kognitives </w:t>
      </w:r>
      <w:r w:rsidR="00D2554C">
        <w:lastRenderedPageBreak/>
        <w:t xml:space="preserve">Problem: Wir sind in der Lage, schwierige und abstrakte </w:t>
      </w:r>
      <w:r w:rsidR="00911D72">
        <w:t xml:space="preserve">Begriffe </w:t>
      </w:r>
      <w:r w:rsidR="00D2554C">
        <w:t>korrekt anz</w:t>
      </w:r>
      <w:r w:rsidR="00D2554C">
        <w:t>u</w:t>
      </w:r>
      <w:r w:rsidR="00D2554C">
        <w:t xml:space="preserve">wenden, auch wenn wir von </w:t>
      </w:r>
      <w:r w:rsidR="00911D72">
        <w:t>einem analytisch genauen Verständnis ihres B</w:t>
      </w:r>
      <w:r w:rsidR="00911D72">
        <w:t>e</w:t>
      </w:r>
      <w:r w:rsidR="00911D72">
        <w:t>griffsinhalts weit entfernt sind.</w:t>
      </w:r>
    </w:p>
    <w:p w:rsidR="001F3A76" w:rsidRDefault="001F3A76" w:rsidP="001F3A76">
      <w:pPr>
        <w:pStyle w:val="Titel2"/>
      </w:pPr>
      <w:bookmarkStart w:id="518" w:name="_Ref262116772"/>
      <w:bookmarkStart w:id="519" w:name="_Toc325456835"/>
      <w:bookmarkStart w:id="520" w:name="Repräsentation"/>
      <w:bookmarkEnd w:id="517"/>
      <w:r>
        <w:t xml:space="preserve">Überlegungen zur </w:t>
      </w:r>
      <w:r w:rsidR="00C05D9D">
        <w:t xml:space="preserve">mentalen </w:t>
      </w:r>
      <w:r>
        <w:t>Repräsentation</w:t>
      </w:r>
      <w:bookmarkEnd w:id="518"/>
      <w:bookmarkEnd w:id="519"/>
    </w:p>
    <w:p w:rsidR="001F3A76" w:rsidRDefault="005D7996" w:rsidP="00916D84">
      <w:pPr>
        <w:pStyle w:val="Text"/>
        <w:ind w:firstLine="0"/>
      </w:pPr>
      <w:r>
        <w:fldChar w:fldCharType="begin"/>
      </w:r>
      <w:r w:rsidR="00404D2E">
        <w:instrText xml:space="preserve"> XE "mentale Repräsentation" \r "Repräsentation"</w:instrText>
      </w:r>
      <w:r w:rsidR="009E3151">
        <w:instrText xml:space="preserve"> </w:instrText>
      </w:r>
      <w:r>
        <w:fldChar w:fldCharType="end"/>
      </w:r>
      <w:r w:rsidR="001F3A76">
        <w:t xml:space="preserve">In Abschnitt </w:t>
      </w:r>
      <w:r>
        <w:fldChar w:fldCharType="begin"/>
      </w:r>
      <w:r w:rsidR="001F3A76">
        <w:instrText xml:space="preserve"> REF _Ref261962976 \r \h </w:instrText>
      </w:r>
      <w:r>
        <w:fldChar w:fldCharType="separate"/>
      </w:r>
      <w:r w:rsidR="001231D3">
        <w:t>2.2</w:t>
      </w:r>
      <w:r>
        <w:fldChar w:fldCharType="end"/>
      </w:r>
      <w:r w:rsidR="001F3A76">
        <w:t xml:space="preserve"> hatten wir drei Beispiele für Fälle gegeben, die unter viele bish</w:t>
      </w:r>
      <w:r w:rsidR="001F3A76">
        <w:t>e</w:t>
      </w:r>
      <w:r w:rsidR="001F3A76">
        <w:t>rige Stildef</w:t>
      </w:r>
      <w:r w:rsidR="000271C3">
        <w:t>i</w:t>
      </w:r>
      <w:r w:rsidR="001F3A76">
        <w:t>nitionen fallen würden, aber in der alltagssprachlichen Gebrauchswe</w:t>
      </w:r>
      <w:r w:rsidR="001F3A76">
        <w:t>i</w:t>
      </w:r>
      <w:r w:rsidR="001F3A76">
        <w:t xml:space="preserve">se des Begriffs offensichtlich nicht </w:t>
      </w:r>
      <w:r w:rsidR="00C05D9D">
        <w:t xml:space="preserve">eingerechnet </w:t>
      </w:r>
      <w:r w:rsidR="001F3A76">
        <w:t>würden. Dies wird von den en</w:t>
      </w:r>
      <w:r w:rsidR="001F3A76">
        <w:t>t</w:t>
      </w:r>
      <w:r w:rsidR="001F3A76">
        <w:t xml:space="preserve">sprechenden Stiltheorien jedoch nicht als Abweichung vom </w:t>
      </w:r>
      <w:r w:rsidR="00DE31D6">
        <w:t>natürlich</w:t>
      </w:r>
      <w:r w:rsidR="00136592">
        <w:softHyphen/>
      </w:r>
      <w:r w:rsidR="001F3A76">
        <w:t>sprach</w:t>
      </w:r>
      <w:r w:rsidR="00136592">
        <w:softHyphen/>
      </w:r>
      <w:r w:rsidR="001F3A76">
        <w:t xml:space="preserve">lichen Begriff </w:t>
      </w:r>
      <w:r w:rsidR="00F005F4">
        <w:t>‚</w:t>
      </w:r>
      <w:r w:rsidR="001F3A76">
        <w:t>Stil</w:t>
      </w:r>
      <w:r w:rsidR="00F005F4">
        <w:t>‘</w:t>
      </w:r>
      <w:r w:rsidR="001F3A76">
        <w:t xml:space="preserve"> erkannt und in Kauf genommen. Vielmehr werden die Beispiele, anhand derer über Stil gesprochen wird, durchgehend so gewählt, dass die unliebsamen Fälle gar nicht auftreten. Gerade diese (unbewusste) Auswahl der passenden Beispiele lässt vermuten, dass der Einschluss von solchen Beispi</w:t>
      </w:r>
      <w:r w:rsidR="001F3A76">
        <w:t>e</w:t>
      </w:r>
      <w:r w:rsidR="001F3A76">
        <w:t>len keine Absicht war.</w:t>
      </w:r>
    </w:p>
    <w:p w:rsidR="001F3A76" w:rsidRDefault="001F3A76" w:rsidP="001F3A76">
      <w:pPr>
        <w:pStyle w:val="Text"/>
      </w:pPr>
      <w:r>
        <w:t xml:space="preserve">Man definiert den Begriff </w:t>
      </w:r>
      <w:r w:rsidR="00F005F4">
        <w:t>‚</w:t>
      </w:r>
      <w:r>
        <w:t>Stil</w:t>
      </w:r>
      <w:r w:rsidR="00F005F4">
        <w:t>‘</w:t>
      </w:r>
      <w:r w:rsidR="00DE31D6">
        <w:t xml:space="preserve"> </w:t>
      </w:r>
      <w:r>
        <w:t>auf eine Weise, aber benutzt ihn auf eine a</w:t>
      </w:r>
      <w:r>
        <w:t>n</w:t>
      </w:r>
      <w:r>
        <w:t xml:space="preserve">dere, </w:t>
      </w:r>
      <w:r w:rsidRPr="00725CD8">
        <w:rPr>
          <w:i/>
        </w:rPr>
        <w:t xml:space="preserve">die </w:t>
      </w:r>
      <w:r w:rsidR="00725CD8" w:rsidRPr="00725CD8">
        <w:rPr>
          <w:i/>
        </w:rPr>
        <w:t>intersubjektiv übereinstimmt</w:t>
      </w:r>
      <w:r w:rsidRPr="00725CD8">
        <w:rPr>
          <w:i/>
        </w:rPr>
        <w:t>.</w:t>
      </w:r>
      <w:r>
        <w:t xml:space="preserve"> </w:t>
      </w:r>
      <w:r w:rsidR="00725CD8">
        <w:t>W</w:t>
      </w:r>
      <w:r>
        <w:t xml:space="preserve">ohl kaum jemand </w:t>
      </w:r>
      <w:r w:rsidR="00725CD8">
        <w:t>würde in den in A</w:t>
      </w:r>
      <w:r w:rsidR="00725CD8">
        <w:t>b</w:t>
      </w:r>
      <w:r w:rsidR="00725CD8">
        <w:t xml:space="preserve">schnitt </w:t>
      </w:r>
      <w:r w:rsidR="005D7996">
        <w:fldChar w:fldCharType="begin"/>
      </w:r>
      <w:r w:rsidR="00725CD8">
        <w:instrText xml:space="preserve"> REF _Ref261962976 \r \h </w:instrText>
      </w:r>
      <w:r w:rsidR="005D7996">
        <w:fldChar w:fldCharType="separate"/>
      </w:r>
      <w:r w:rsidR="001231D3">
        <w:t>2.2</w:t>
      </w:r>
      <w:r w:rsidR="005D7996">
        <w:fldChar w:fldCharType="end"/>
      </w:r>
      <w:r w:rsidR="00725CD8">
        <w:t xml:space="preserve"> gegebenen Beispielen </w:t>
      </w:r>
      <w:r w:rsidR="00C05D9D">
        <w:t>den Positionen des Begleiters zustimmen</w:t>
      </w:r>
      <w:r w:rsidR="00725CD8">
        <w:t xml:space="preserve"> und damit </w:t>
      </w:r>
      <w:r w:rsidR="00C05D9D">
        <w:t xml:space="preserve">inhaltlich, funktional oder durch das Ziel bedingte Regelmäßigkeiten der Ausführungsweise unter </w:t>
      </w:r>
      <w:r w:rsidR="00F005F4">
        <w:t>‚</w:t>
      </w:r>
      <w:r w:rsidR="00C05D9D">
        <w:t>Stil</w:t>
      </w:r>
      <w:r w:rsidR="00F005F4">
        <w:t>‘</w:t>
      </w:r>
      <w:r w:rsidR="00C05D9D">
        <w:t xml:space="preserve"> rechnen. Dennoch machen sich sehr viele Stildef</w:t>
      </w:r>
      <w:r w:rsidR="00C05D9D">
        <w:t>i</w:t>
      </w:r>
      <w:r w:rsidR="00C05D9D">
        <w:t>nitionen nicht die Mühe, diese Fälle auszuschließen</w:t>
      </w:r>
      <w:r w:rsidR="00D92FAF">
        <w:t>, wenn sie Stil über Muster, Regelmäßigkeiten, Häufigkeiten usw. beschreiben wollen.</w:t>
      </w:r>
    </w:p>
    <w:p w:rsidR="00DE5549" w:rsidRDefault="00295368" w:rsidP="0001078F">
      <w:pPr>
        <w:pStyle w:val="Text"/>
      </w:pPr>
      <w:r w:rsidRPr="00105513">
        <w:t>Somit gelangen s</w:t>
      </w:r>
      <w:r w:rsidR="001F3A76" w:rsidRPr="00105513">
        <w:t>elbst Stiltheoretiker</w:t>
      </w:r>
      <w:r w:rsidR="00D92FAF" w:rsidRPr="00105513">
        <w:t>, die im Vergleich mit anderen Sprac</w:t>
      </w:r>
      <w:r w:rsidR="00D92FAF" w:rsidRPr="00105513">
        <w:t>h</w:t>
      </w:r>
      <w:r w:rsidR="00D92FAF" w:rsidRPr="00105513">
        <w:t>benutzern ein umfangreiches Fachwissen über dieses Phänomen besitzen,</w:t>
      </w:r>
      <w:r w:rsidR="001F3A76" w:rsidRPr="00105513">
        <w:t xml:space="preserve"> </w:t>
      </w:r>
      <w:r w:rsidRPr="00105513">
        <w:t xml:space="preserve">nach jahrelanger </w:t>
      </w:r>
      <w:r w:rsidR="00D92FAF" w:rsidRPr="00105513">
        <w:t xml:space="preserve">Forschung </w:t>
      </w:r>
      <w:r w:rsidR="001F3A76" w:rsidRPr="00105513">
        <w:t xml:space="preserve">zu Definitionen, die gegenüber der von ihnen selbst </w:t>
      </w:r>
      <w:r w:rsidR="00DE5549" w:rsidRPr="00105513">
        <w:t>tä</w:t>
      </w:r>
      <w:r w:rsidR="00DE5549" w:rsidRPr="00105513">
        <w:t>g</w:t>
      </w:r>
      <w:r w:rsidR="00DE5549" w:rsidRPr="00105513">
        <w:t xml:space="preserve">lich </w:t>
      </w:r>
      <w:r w:rsidR="001F3A76" w:rsidRPr="00105513">
        <w:t>gezeigten Anwendungskompetenz stark zurückfallen.</w:t>
      </w:r>
      <w:r w:rsidR="005561F1">
        <w:rPr>
          <w:rStyle w:val="Funotenzeichen"/>
        </w:rPr>
        <w:footnoteReference w:id="682"/>
      </w:r>
      <w:r w:rsidR="0001078F">
        <w:t xml:space="preserve"> Es </w:t>
      </w:r>
      <w:r w:rsidR="001F3A76">
        <w:t xml:space="preserve">erscheint </w:t>
      </w:r>
      <w:r w:rsidR="0001078F">
        <w:t xml:space="preserve">jedoch </w:t>
      </w:r>
      <w:r w:rsidR="001F3A76">
        <w:t>unplausibel, dass wir eine Definition von Stil als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1F3A76">
        <w:t xml:space="preserve"> im Kopf haben, die erheblich komplexer und genauer ist als das, was uns selbst durch sorgfältige Überlegung zugänglich ist. Der Begriff </w:t>
      </w:r>
      <w:r w:rsidR="00F005F4">
        <w:t>‚</w:t>
      </w:r>
      <w:r w:rsidR="001F3A76">
        <w:t>Stil</w:t>
      </w:r>
      <w:r w:rsidR="00F005F4">
        <w:t>‘</w:t>
      </w:r>
      <w:r w:rsidR="001F3A76">
        <w:t xml:space="preserve"> führt daher</w:t>
      </w:r>
      <w:r w:rsidR="00DE5549">
        <w:t xml:space="preserve"> zu Problemen für jede Art von Semantik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rsidR="00DE5549">
        <w:t>, die annimmt, dass wir die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DE5549">
        <w:t xml:space="preserve"> von Begriffen in Form von Intensionen mental speichern, die uns die korrekte Anwendung des Begriffs (das heißt das Erkennen der Phänomene, auf die er zutrifft, also der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DE5549">
        <w:t>) ermöglichen.</w:t>
      </w:r>
    </w:p>
    <w:p w:rsidR="001F3A76" w:rsidRDefault="003D0186" w:rsidP="001F3A76">
      <w:pPr>
        <w:pStyle w:val="Text"/>
      </w:pPr>
      <w:r>
        <w:t xml:space="preserve">Sofern </w:t>
      </w:r>
      <w:r w:rsidR="00DE4BCB">
        <w:t xml:space="preserve">die hier vorgestellte Theorie die Komplexität </w:t>
      </w:r>
      <w:r w:rsidR="00052061">
        <w:t>des mit „Stil“ bezeic</w:t>
      </w:r>
      <w:r w:rsidR="00052061">
        <w:t>h</w:t>
      </w:r>
      <w:r w:rsidR="00052061">
        <w:t xml:space="preserve">neten Phänomens </w:t>
      </w:r>
      <w:r w:rsidR="00DE4BCB">
        <w:t xml:space="preserve">richtig erfasst und sich </w:t>
      </w:r>
      <w:r w:rsidR="001F3A76">
        <w:t xml:space="preserve">nicht eine </w:t>
      </w:r>
      <w:r w:rsidR="0001012F">
        <w:t xml:space="preserve">wesentlich </w:t>
      </w:r>
      <w:r w:rsidR="001F3A76">
        <w:t>einfache</w:t>
      </w:r>
      <w:r w:rsidR="0001012F">
        <w:t>re</w:t>
      </w:r>
      <w:r w:rsidR="001F3A76">
        <w:t xml:space="preserve"> </w:t>
      </w:r>
      <w:r w:rsidR="00C33B3D">
        <w:t>Da</w:t>
      </w:r>
      <w:r w:rsidR="00C33B3D">
        <w:t>r</w:t>
      </w:r>
      <w:r w:rsidR="00C33B3D">
        <w:t xml:space="preserve">stellung </w:t>
      </w:r>
      <w:r w:rsidR="00DE4BCB">
        <w:t>finden lässt</w:t>
      </w:r>
      <w:r>
        <w:t xml:space="preserve">, </w:t>
      </w:r>
      <w:r w:rsidR="00DE4BCB">
        <w:t xml:space="preserve">die </w:t>
      </w:r>
      <w:r w:rsidR="00052061">
        <w:t xml:space="preserve">ausreichend präzise ist, um </w:t>
      </w:r>
      <w:r w:rsidR="000D4E42">
        <w:t>die normalsprachlich gezei</w:t>
      </w:r>
      <w:r w:rsidR="000D4E42">
        <w:t>g</w:t>
      </w:r>
      <w:r w:rsidR="000D4E42">
        <w:t>te Anwendungsk</w:t>
      </w:r>
      <w:r w:rsidR="00B91203">
        <w:t xml:space="preserve">ompetenz </w:t>
      </w:r>
      <w:r w:rsidR="00052061">
        <w:t xml:space="preserve">zu </w:t>
      </w:r>
      <w:r w:rsidR="00B91203">
        <w:t>erklären</w:t>
      </w:r>
      <w:r w:rsidR="00DE4BCB">
        <w:t xml:space="preserve">, so entstehen Probleme für </w:t>
      </w:r>
      <w:r>
        <w:t>Semantik</w:t>
      </w:r>
      <w:r w:rsidR="00B91203">
        <w:t>th</w:t>
      </w:r>
      <w:r w:rsidR="00B91203">
        <w:t>e</w:t>
      </w:r>
      <w:r w:rsidR="00B91203">
        <w:t>orien</w:t>
      </w:r>
      <w:r w:rsidR="001F3A76">
        <w:t xml:space="preserve">, die die vollständige Begriffsintension eines Worts wie </w:t>
      </w:r>
      <w:r w:rsidR="00F005F4">
        <w:t>„</w:t>
      </w:r>
      <w:r w:rsidR="001F3A76">
        <w:t>Stil“ mental speichern wollen. Ob man nun eine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rsidR="001F3A76">
        <w:t xml:space="preserve"> annimmt, die den korrekten Z</w:t>
      </w:r>
      <w:r w:rsidR="001F3A76">
        <w:t>u</w:t>
      </w:r>
      <w:r w:rsidR="001F3A76">
        <w:t>griff auf die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1F3A76">
        <w:t xml:space="preserve"> des Begriffs ermöglicht, oder eine </w:t>
      </w:r>
      <w:r w:rsidR="00F92585">
        <w:t>Definition mit sema</w:t>
      </w:r>
      <w:r w:rsidR="00F92585">
        <w:t>n</w:t>
      </w:r>
      <w:r w:rsidR="00F92585">
        <w:lastRenderedPageBreak/>
        <w:t>tischen Merkmalen</w:t>
      </w:r>
      <w:r w:rsidR="001F3A76">
        <w:t>, die den Begriff durch Abgrenzung von Nachbarbegriffen festlegt: Man müsste zeigen, wie die Komplexität des Phänomens für solche Zwecke reduziert werden könnte, oder sich mit der Postulierung enorm ko</w:t>
      </w:r>
      <w:r w:rsidR="001F3A76">
        <w:t>m</w:t>
      </w:r>
      <w:r w:rsidR="001F3A76">
        <w:t xml:space="preserve">plexer Intensionen oder </w:t>
      </w:r>
      <w:r w:rsidR="00457B25">
        <w:t xml:space="preserve">semantischer </w:t>
      </w:r>
      <w:r w:rsidR="001F3A76">
        <w:t>Merkmale abfinden. Auch die kognitive Semantik</w:t>
      </w:r>
      <w:r w:rsidR="005D7996">
        <w:fldChar w:fldCharType="begin"/>
      </w:r>
      <w:r w:rsidR="000623C8">
        <w:instrText xml:space="preserve"> XE "</w:instrText>
      </w:r>
      <w:r w:rsidR="000623C8" w:rsidRPr="001A70AD">
        <w:rPr>
          <w:rFonts w:eastAsia="Times New Roman" w:cs="Times New Roman"/>
        </w:rPr>
        <w:instrText>Semantik</w:instrText>
      </w:r>
      <w:r w:rsidR="00857365">
        <w:rPr>
          <w:rFonts w:eastAsia="Times New Roman" w:cs="Times New Roman"/>
        </w:rPr>
        <w:instrText>:kognitive</w:instrText>
      </w:r>
      <w:r w:rsidR="000623C8">
        <w:instrText xml:space="preserve">" </w:instrText>
      </w:r>
      <w:r w:rsidR="005D7996">
        <w:fldChar w:fldCharType="end"/>
      </w:r>
      <w:r w:rsidR="001F3A76">
        <w:t>, die die Erzeugung der Bedeutung</w:t>
      </w:r>
      <w:r w:rsidR="005D7996">
        <w:fldChar w:fldCharType="begin"/>
      </w:r>
      <w:r w:rsidR="00ED08E6">
        <w:instrText xml:space="preserve"> XE "</w:instrText>
      </w:r>
      <w:r w:rsidR="00ED08E6" w:rsidRPr="00085C14">
        <w:instrText>Bedeutung</w:instrText>
      </w:r>
      <w:r w:rsidR="00ED08E6">
        <w:instrText xml:space="preserve">" </w:instrText>
      </w:r>
      <w:r w:rsidR="005D7996">
        <w:fldChar w:fldCharType="end"/>
      </w:r>
      <w:r w:rsidR="001F3A76">
        <w:t xml:space="preserve"> teilweise aus der sprachlichen Ebene auf eine postulierte grundlegende Ebene kognitiver Schemata verschiebt, steht nicht viel besser da, denn sie müsste ein Schema postulieren, das ungefähr die Komplexität der in dieser Arbeit vorgestellten Stiltheorie hat, </w:t>
      </w:r>
      <w:r w:rsidR="00457B25">
        <w:t xml:space="preserve">was wenig </w:t>
      </w:r>
      <w:r w:rsidR="001F3A76">
        <w:t>plaus</w:t>
      </w:r>
      <w:r w:rsidR="001F3A76">
        <w:t>i</w:t>
      </w:r>
      <w:r w:rsidR="001F3A76">
        <w:t>bel</w:t>
      </w:r>
      <w:r w:rsidR="00457B25">
        <w:t xml:space="preserve"> erscheint</w:t>
      </w:r>
      <w:r w:rsidR="001F3A76">
        <w:t>.</w:t>
      </w:r>
      <w:r w:rsidR="006D7DEA">
        <w:rPr>
          <w:rStyle w:val="Funotenzeichen"/>
        </w:rPr>
        <w:footnoteReference w:id="683"/>
      </w:r>
    </w:p>
    <w:p w:rsidR="004F7FBE" w:rsidRDefault="001F3A76" w:rsidP="001F3A76">
      <w:pPr>
        <w:pStyle w:val="Text"/>
      </w:pPr>
      <w:r>
        <w:t>Damit spricht einiges dafür, umgekehrt die Wirklichkeit (als die von uns e</w:t>
      </w:r>
      <w:r>
        <w:t>r</w:t>
      </w:r>
      <w:r>
        <w:t>fassbaren Aspekte der Welt) zum bestimmenden Faktor der Semantik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t xml:space="preserve"> zu m</w:t>
      </w:r>
      <w:r>
        <w:t>a</w:t>
      </w:r>
      <w:r>
        <w:t>chen. Die Wortinhalte spiegeln un</w:t>
      </w:r>
      <w:r w:rsidR="00457B25">
        <w:t xml:space="preserve">sere Wirklichkeit wider, nicht: Die </w:t>
      </w:r>
      <w:r>
        <w:t>Wirklic</w:t>
      </w:r>
      <w:r>
        <w:t>h</w:t>
      </w:r>
      <w:r>
        <w:t>keit wird durch unsere Sprache erst konstruiert. Zwar ist diese Wirklichkeit nicht die Welt; die objektive Realität ist uns nur insofern zugänglich, als wir sie durch unsere Sinne</w:t>
      </w:r>
      <w:r w:rsidR="004F7FBE">
        <w:t xml:space="preserve">, </w:t>
      </w:r>
      <w:r>
        <w:t>durch verbesserte Wahrneh</w:t>
      </w:r>
      <w:r w:rsidR="004F7FBE">
        <w:t>mungsinstrumente und durch wisse</w:t>
      </w:r>
      <w:r w:rsidR="004F7FBE">
        <w:t>n</w:t>
      </w:r>
      <w:r w:rsidR="004F7FBE">
        <w:t>schaftlichen Erkenntnisgewinn</w:t>
      </w:r>
      <w:r>
        <w:t xml:space="preserve"> erfassen können. Zusätzlich wird unsere Wah</w:t>
      </w:r>
      <w:r>
        <w:t>r</w:t>
      </w:r>
      <w:r>
        <w:t>nehmung durch Einflüsse aus Gesellschaft</w:t>
      </w:r>
      <w:r w:rsidR="005D7996">
        <w:fldChar w:fldCharType="begin"/>
      </w:r>
      <w:r w:rsidR="00E03D5C">
        <w:instrText xml:space="preserve"> XE "</w:instrText>
      </w:r>
      <w:r w:rsidR="00E03D5C" w:rsidRPr="00835E68">
        <w:instrText>Gesellschaft</w:instrText>
      </w:r>
      <w:r w:rsidR="00E03D5C">
        <w:instrText xml:space="preserve">" </w:instrText>
      </w:r>
      <w:r w:rsidR="005D7996">
        <w:fldChar w:fldCharType="end"/>
      </w:r>
      <w:r>
        <w:t xml:space="preserve"> un</w:t>
      </w:r>
      <w:r w:rsidR="004F7FBE">
        <w:t>d Kultur</w:t>
      </w:r>
      <w:r w:rsidR="005D7996">
        <w:fldChar w:fldCharType="begin"/>
      </w:r>
      <w:r w:rsidR="00E03D5C">
        <w:instrText xml:space="preserve"> XE "</w:instrText>
      </w:r>
      <w:r w:rsidR="00E03D5C" w:rsidRPr="00C1049D">
        <w:instrText>Kultur</w:instrText>
      </w:r>
      <w:r w:rsidR="00E03D5C">
        <w:instrText xml:space="preserve">" </w:instrText>
      </w:r>
      <w:r w:rsidR="005D7996">
        <w:fldChar w:fldCharType="end"/>
      </w:r>
      <w:r w:rsidR="004F7FBE">
        <w:t xml:space="preserve"> erheblich beeinflusst.</w:t>
      </w:r>
    </w:p>
    <w:p w:rsidR="001F3A76" w:rsidRDefault="001F3A76" w:rsidP="001F3A76">
      <w:pPr>
        <w:pStyle w:val="Text"/>
      </w:pPr>
      <w:r>
        <w:t>Dennoch scheint es zumindest einige Begriffe zu geben, die recht präzise mit tatsächlichen Phänomenen korrespondieren und bei denen man davon au</w:t>
      </w:r>
      <w:r>
        <w:t>s</w:t>
      </w:r>
      <w:r>
        <w:t xml:space="preserve">gehen kann, dass </w:t>
      </w:r>
      <w:r w:rsidR="00E240E9">
        <w:t xml:space="preserve">keine </w:t>
      </w:r>
      <w:r>
        <w:t>Begriffsintension im Kopf der Sprachbenutzer gespe</w:t>
      </w:r>
      <w:r>
        <w:t>i</w:t>
      </w:r>
      <w:r>
        <w:t>chert ist</w:t>
      </w:r>
      <w:r w:rsidR="00E240E9">
        <w:t>, die alleine bereits für die feststellbare Anwendungskompetenz au</w:t>
      </w:r>
      <w:r w:rsidR="00E240E9">
        <w:t>s</w:t>
      </w:r>
      <w:r w:rsidR="00E240E9">
        <w:t>reicht</w:t>
      </w:r>
      <w:r>
        <w:t>. Vermutlich funktionie</w:t>
      </w:r>
      <w:r w:rsidR="00DE37AF">
        <w:t>rt</w:t>
      </w:r>
      <w:r>
        <w:t xml:space="preserve"> </w:t>
      </w:r>
      <w:r w:rsidR="00DE37AF">
        <w:t xml:space="preserve">ein </w:t>
      </w:r>
      <w:r>
        <w:t>Begriff</w:t>
      </w:r>
      <w:r w:rsidR="00DE37AF">
        <w:t xml:space="preserve"> wie ‚Stil‘</w:t>
      </w:r>
      <w:r>
        <w:t xml:space="preserve"> daher eher wie ein Marker, der auf ein bestimmtes Phänomen </w:t>
      </w:r>
      <w:r w:rsidR="006C7E88">
        <w:t>zeigt</w:t>
      </w:r>
      <w:r>
        <w:t>. Dies heißt nicht, dass wir dieses Ph</w:t>
      </w:r>
      <w:r>
        <w:t>ä</w:t>
      </w:r>
      <w:r>
        <w:t>nomen richtig und unverzerrt wahrnehmen, wohl aber, dass wir uns intersubje</w:t>
      </w:r>
      <w:r>
        <w:t>k</w:t>
      </w:r>
      <w:r>
        <w:t>tiv über seine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t xml:space="preserve"> verständigen können; wie gezeigt wurde, gibt es im al</w:t>
      </w:r>
      <w:r>
        <w:t>l</w:t>
      </w:r>
      <w:r>
        <w:t>tagssprachlichen Gebrauch viel weniger Zweifel daran, bei welchen Phänomenen es sich um Stil handelt, als in wissenschaftlichen Untersuchungen.</w:t>
      </w:r>
    </w:p>
    <w:p w:rsidR="001F3A76" w:rsidRDefault="001F3A76" w:rsidP="001F3A76">
      <w:pPr>
        <w:pStyle w:val="Text"/>
      </w:pPr>
      <w:r>
        <w:t xml:space="preserve">Wir können </w:t>
      </w:r>
      <w:r w:rsidR="00B95836">
        <w:t>den Begriff ‚</w:t>
      </w:r>
      <w:r>
        <w:t>Stil</w:t>
      </w:r>
      <w:r w:rsidR="00B95836">
        <w:t>‘</w:t>
      </w:r>
      <w:r>
        <w:t xml:space="preserve"> deshalb richtig gebrauchen, weil Stil ein b</w:t>
      </w:r>
      <w:r>
        <w:t>e</w:t>
      </w:r>
      <w:r>
        <w:t>stimmte</w:t>
      </w:r>
      <w:r w:rsidR="008F48B1">
        <w:t>r</w:t>
      </w:r>
      <w:r>
        <w:t>, klar von anderen unterscheidbare</w:t>
      </w:r>
      <w:r w:rsidR="008F48B1">
        <w:t>r</w:t>
      </w:r>
      <w:r>
        <w:t xml:space="preserve"> </w:t>
      </w:r>
      <w:r w:rsidR="008F48B1">
        <w:rPr>
          <w:rFonts w:cs="Times New Roman"/>
        </w:rPr>
        <w:t>Zeichenprozesstyp</w:t>
      </w:r>
      <w:r>
        <w:t xml:space="preserve"> ist; </w:t>
      </w:r>
      <w:r w:rsidR="00B95836">
        <w:t xml:space="preserve">in vielen Sprachen gibt es </w:t>
      </w:r>
      <w:r w:rsidR="00DE31D6">
        <w:t xml:space="preserve">für diesen </w:t>
      </w:r>
      <w:r w:rsidR="008F48B1">
        <w:rPr>
          <w:rFonts w:cs="Times New Roman"/>
        </w:rPr>
        <w:t>Zeichenprozesstyp</w:t>
      </w:r>
      <w:r w:rsidR="008F48B1">
        <w:t xml:space="preserve"> </w:t>
      </w:r>
      <w:r>
        <w:t>(im Gegensatz zu manch and</w:t>
      </w:r>
      <w:r>
        <w:t>e</w:t>
      </w:r>
      <w:r>
        <w:t xml:space="preserve">rem, </w:t>
      </w:r>
      <w:r w:rsidR="008F48B1">
        <w:t xml:space="preserve">der </w:t>
      </w:r>
      <w:r w:rsidR="00DE31D6">
        <w:t>abgegrenzt werden kann</w:t>
      </w:r>
      <w:r>
        <w:t xml:space="preserve">) </w:t>
      </w:r>
      <w:r w:rsidR="00DE31D6">
        <w:t>eigene</w:t>
      </w:r>
      <w:r>
        <w:t xml:space="preserve"> </w:t>
      </w:r>
      <w:r w:rsidR="001B5A08">
        <w:t xml:space="preserve">Bezeichnungen </w:t>
      </w:r>
      <w:r w:rsidR="00B95836">
        <w:t>(dt. „Stil“, engl. „st</w:t>
      </w:r>
      <w:r w:rsidR="00B95836">
        <w:t>y</w:t>
      </w:r>
      <w:r w:rsidR="00B95836">
        <w:t>le“, ital. „stile“ usw.)</w:t>
      </w:r>
      <w:r>
        <w:t xml:space="preserve">, </w:t>
      </w:r>
      <w:r w:rsidR="00C032C8">
        <w:t>weil e</w:t>
      </w:r>
      <w:r w:rsidR="00F67605">
        <w:t>r</w:t>
      </w:r>
      <w:r w:rsidR="00C032C8">
        <w:t xml:space="preserve"> in </w:t>
      </w:r>
      <w:r w:rsidR="00B95836">
        <w:t xml:space="preserve">den entsprechenden </w:t>
      </w:r>
      <w:r w:rsidR="00C032C8">
        <w:t>Gesellschaft</w:t>
      </w:r>
      <w:r w:rsidR="00B95836">
        <w:t>en</w:t>
      </w:r>
      <w:r w:rsidR="00C032C8">
        <w:t xml:space="preserve"> eine große Wichtigkeit erlangt hat.</w:t>
      </w:r>
      <w:r w:rsidR="002122AB">
        <w:rPr>
          <w:rStyle w:val="Funotenzeichen"/>
        </w:rPr>
        <w:footnoteReference w:id="684"/>
      </w:r>
      <w:r>
        <w:t xml:space="preserve"> Damit ist nicht gesagt, dass sich nicht andere Bereiche der </w:t>
      </w:r>
      <w:r w:rsidR="00B95836">
        <w:t>sprach</w:t>
      </w:r>
      <w:r w:rsidR="00E13132">
        <w:t>lichen Inhaltsebene</w:t>
      </w:r>
      <w:r w:rsidR="005D7996">
        <w:fldChar w:fldCharType="begin"/>
      </w:r>
      <w:r w:rsidR="004E4C88">
        <w:instrText xml:space="preserve"> XE "</w:instrText>
      </w:r>
      <w:r w:rsidR="004E4C88" w:rsidRPr="00E10D87">
        <w:rPr>
          <w:rFonts w:eastAsia="Times New Roman" w:cs="Times New Roman"/>
        </w:rPr>
        <w:instrText>Inhaltsebene</w:instrText>
      </w:r>
      <w:r w:rsidR="004E4C88">
        <w:instrText xml:space="preserve">" </w:instrText>
      </w:r>
      <w:r w:rsidR="005D7996">
        <w:fldChar w:fldCharType="end"/>
      </w:r>
      <w:r>
        <w:t xml:space="preserve"> gut mit Hilfe von Merkmalssemantik</w:t>
      </w:r>
      <w:r w:rsidR="005D7996">
        <w:fldChar w:fldCharType="begin"/>
      </w:r>
      <w:r w:rsidR="006C5BD8">
        <w:instrText xml:space="preserve"> XE "</w:instrText>
      </w:r>
      <w:r w:rsidR="006C5BD8" w:rsidRPr="005540C4">
        <w:instrText>Merkmalssemantik</w:instrText>
      </w:r>
      <w:r w:rsidR="006C5BD8">
        <w:instrText xml:space="preserve">" </w:instrText>
      </w:r>
      <w:r w:rsidR="005D7996">
        <w:fldChar w:fldCharType="end"/>
      </w:r>
      <w:r>
        <w:t>, modellthe</w:t>
      </w:r>
      <w:r>
        <w:t>o</w:t>
      </w:r>
      <w:r>
        <w:t>retischer Semantik</w:t>
      </w:r>
      <w:r w:rsidR="005D7996">
        <w:fldChar w:fldCharType="begin"/>
      </w:r>
      <w:r w:rsidR="000623C8">
        <w:instrText xml:space="preserve"> XE "</w:instrText>
      </w:r>
      <w:r w:rsidR="000623C8" w:rsidRPr="001A70AD">
        <w:rPr>
          <w:rFonts w:eastAsia="Times New Roman" w:cs="Times New Roman"/>
        </w:rPr>
        <w:instrText>Semantik</w:instrText>
      </w:r>
      <w:r w:rsidR="00857365">
        <w:rPr>
          <w:rFonts w:eastAsia="Times New Roman" w:cs="Times New Roman"/>
        </w:rPr>
        <w:instrText>:modelltheoretische</w:instrText>
      </w:r>
      <w:r w:rsidR="000623C8">
        <w:instrText xml:space="preserve">" </w:instrText>
      </w:r>
      <w:r w:rsidR="005D7996">
        <w:fldChar w:fldCharType="end"/>
      </w:r>
      <w:r>
        <w:t xml:space="preserve"> oder kognitiver Semantik</w:t>
      </w:r>
      <w:r w:rsidR="005D7996">
        <w:fldChar w:fldCharType="begin"/>
      </w:r>
      <w:r w:rsidR="00857365">
        <w:instrText xml:space="preserve"> XE "</w:instrText>
      </w:r>
      <w:r w:rsidR="00857365" w:rsidRPr="001A70AD">
        <w:rPr>
          <w:rFonts w:eastAsia="Times New Roman" w:cs="Times New Roman"/>
        </w:rPr>
        <w:instrText>Semantik</w:instrText>
      </w:r>
      <w:r w:rsidR="00857365">
        <w:rPr>
          <w:rFonts w:eastAsia="Times New Roman" w:cs="Times New Roman"/>
        </w:rPr>
        <w:instrText>:kognitive</w:instrText>
      </w:r>
      <w:r w:rsidR="00857365">
        <w:instrText xml:space="preserve">" </w:instrText>
      </w:r>
      <w:r w:rsidR="005D7996">
        <w:fldChar w:fldCharType="end"/>
      </w:r>
      <w:r>
        <w:t xml:space="preserve"> beschreiben lassen. Zumindest bei einigen </w:t>
      </w:r>
      <w:r w:rsidR="00B95836">
        <w:t>Begriffen</w:t>
      </w:r>
      <w:r>
        <w:t xml:space="preserve"> wie </w:t>
      </w:r>
      <w:r w:rsidR="00B95836">
        <w:t>‚</w:t>
      </w:r>
      <w:r>
        <w:t>Stil</w:t>
      </w:r>
      <w:r w:rsidR="00B95836">
        <w:t>‘</w:t>
      </w:r>
      <w:r>
        <w:t xml:space="preserve"> ist es jedoch </w:t>
      </w:r>
      <w:r w:rsidR="001C04D5">
        <w:t>plausibler</w:t>
      </w:r>
      <w:r>
        <w:t>, sie als komplexe Phänomene der außersprachlichen Realität zu erklären, die wir in der Wahrnehmung abgre</w:t>
      </w:r>
      <w:r>
        <w:t>n</w:t>
      </w:r>
      <w:r>
        <w:lastRenderedPageBreak/>
        <w:t>zen können, ohne ihre Funktionsweise zu verstehen, also ohne eine Definition oder Beschreibung zu besitzen. Der Begrif</w:t>
      </w:r>
      <w:r w:rsidR="004E5D20">
        <w:t>f selbst ist hier als eine Art Marker</w:t>
      </w:r>
      <w:r>
        <w:t xml:space="preserve"> zu verstehen, der einem bestimmten wahrgenommenen Phänomen zugeordnet wird.</w:t>
      </w:r>
    </w:p>
    <w:p w:rsidR="001F3A76" w:rsidRDefault="001F3A76" w:rsidP="001F3A76">
      <w:pPr>
        <w:pStyle w:val="Text"/>
      </w:pPr>
      <w:r>
        <w:t>Natürlich wird eingewandt werden, nun müsse man ja der Wahrnehmung die komplexe Abgrenzungsaufgabe zuschreiben, die man einer semantische</w:t>
      </w:r>
      <w:r w:rsidR="00023765">
        <w:t>n</w:t>
      </w:r>
      <w:r>
        <w:t xml:space="preserve"> Repräsentation des Wortinhalts nicht zutraue. Dies ist richtig; dennoch ist diese Beschreibung besser zu begründen als die zurückgewiesene</w:t>
      </w:r>
      <w:r w:rsidR="0017172D">
        <w:t>n</w:t>
      </w:r>
      <w:r>
        <w:t>. Zum einen muss die Wahrnehmung nicht die abstrakte Abgrenzungsaufgabe einer Begriffsinte</w:t>
      </w:r>
      <w:r>
        <w:t>n</w:t>
      </w:r>
      <w:r>
        <w:t>sion leisten. Sie braucht keine Theorie zu enthalten, sondern kann sich an b</w:t>
      </w:r>
      <w:r>
        <w:t>e</w:t>
      </w:r>
      <w:r>
        <w:t xml:space="preserve">stimmten </w:t>
      </w:r>
      <w:r w:rsidR="00F92585">
        <w:t xml:space="preserve">Kennzeichen </w:t>
      </w:r>
      <w:r>
        <w:t>des konkret Vorgefundenen orientieren und in verschi</w:t>
      </w:r>
      <w:r>
        <w:t>e</w:t>
      </w:r>
      <w:r>
        <w:t>denen Situationen unterschiedlich vorgehen, um das Phänomen zu erfassen. Sie steht in Interaktion mit der Welt und kann daher auf den Vorteil zurückgreifen, dass Dinge, die kompliziert zu repräsentieren sind, nicht immer kompliziert aussehen; sie braucht Stil nicht zu verstehen, sondern nur zu erkennen.</w:t>
      </w:r>
    </w:p>
    <w:p w:rsidR="001F3A76" w:rsidRDefault="001F3A76" w:rsidP="001F3A76">
      <w:pPr>
        <w:pStyle w:val="Text"/>
      </w:pPr>
      <w:r>
        <w:t xml:space="preserve">Die Wahrnehmung leistet die Abgrenzung vermutlich deshalb so präzise, weil sie viele verschiedene Eigenschaften berücksichtigt, Parallelfälle heranzieht und nicht die Fehler macht, die sich aus einer zu kurz greifenden Interpretation der Welt </w:t>
      </w:r>
      <w:r w:rsidR="006F5153">
        <w:t xml:space="preserve">– </w:t>
      </w:r>
      <w:r>
        <w:t>etwa einer nicht-semiotischen</w:t>
      </w:r>
      <w:r w:rsidR="006F5153">
        <w:t xml:space="preserve"> –</w:t>
      </w:r>
      <w:r>
        <w:t xml:space="preserve"> für wissenschaftliche Theorien </w:t>
      </w:r>
      <w:r w:rsidR="00B82A39">
        <w:t>erg</w:t>
      </w:r>
      <w:r w:rsidR="00B82A39">
        <w:t>e</w:t>
      </w:r>
      <w:r w:rsidR="00B82A39">
        <w:t xml:space="preserve">ben. Während wir in den </w:t>
      </w:r>
      <w:r>
        <w:t>Geisteswissenschaften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t xml:space="preserve"> immer noch nicht soweit sind, dass verschiedene Arten von Zeichenprozessen und deren Kombination als </w:t>
      </w:r>
      <w:r w:rsidR="006F5153">
        <w:t xml:space="preserve">grundlegend für den </w:t>
      </w:r>
      <w:r w:rsidR="00712464">
        <w:t>Gegenstands</w:t>
      </w:r>
      <w:r>
        <w:t>bereich allgemein anerkannt wären, geht unser Wahrnehmungssystem schon seit Jahrtausenden selbstverständlich mit Zeiche</w:t>
      </w:r>
      <w:r>
        <w:t>n</w:t>
      </w:r>
      <w:r>
        <w:t xml:space="preserve">phänomenen um. Dass es dabei inzwischen </w:t>
      </w:r>
      <w:r w:rsidR="006F5153">
        <w:t xml:space="preserve">ausreichend </w:t>
      </w:r>
      <w:r>
        <w:t>präzise ist</w:t>
      </w:r>
      <w:r w:rsidR="006F5153">
        <w:t xml:space="preserve">, um </w:t>
      </w:r>
      <w:r>
        <w:t xml:space="preserve">auch komplexe Phänomene wie Stil richtig </w:t>
      </w:r>
      <w:r w:rsidR="006F5153">
        <w:t>abzugrenzen</w:t>
      </w:r>
      <w:r>
        <w:t xml:space="preserve">, </w:t>
      </w:r>
      <w:r w:rsidR="00A9187F">
        <w:t>könnte insofern</w:t>
      </w:r>
      <w:r>
        <w:t xml:space="preserve"> ein Ergebnis der Evolution sein, </w:t>
      </w:r>
      <w:r w:rsidR="00A9187F">
        <w:t xml:space="preserve">als </w:t>
      </w:r>
      <w:r>
        <w:t xml:space="preserve">eine genaue Wahrnehmung und Abgrenzung von </w:t>
      </w:r>
      <w:r w:rsidR="00A9187F">
        <w:t>ve</w:t>
      </w:r>
      <w:r w:rsidR="00A9187F">
        <w:t>r</w:t>
      </w:r>
      <w:r w:rsidR="00A9187F">
        <w:t xml:space="preserve">schiedenen </w:t>
      </w:r>
      <w:r w:rsidR="00F67605">
        <w:rPr>
          <w:rFonts w:cs="Times New Roman"/>
        </w:rPr>
        <w:t>Zeichenprozesstypen</w:t>
      </w:r>
      <w:r w:rsidR="00F67605">
        <w:t xml:space="preserve"> </w:t>
      </w:r>
      <w:r>
        <w:t xml:space="preserve">einen Vorteil </w:t>
      </w:r>
      <w:r w:rsidR="00A9187F">
        <w:t>dargestellt haben dürfte</w:t>
      </w:r>
      <w:r w:rsidR="00B416D1">
        <w:t xml:space="preserve"> (vgl. Abschnitt </w:t>
      </w:r>
      <w:r w:rsidR="005D7996">
        <w:fldChar w:fldCharType="begin"/>
      </w:r>
      <w:r w:rsidR="00B416D1">
        <w:instrText xml:space="preserve"> REF _Ref253664986 \r \h </w:instrText>
      </w:r>
      <w:r w:rsidR="005D7996">
        <w:fldChar w:fldCharType="separate"/>
      </w:r>
      <w:r w:rsidR="001231D3">
        <w:t>8.2.4</w:t>
      </w:r>
      <w:r w:rsidR="005D7996">
        <w:fldChar w:fldCharType="end"/>
      </w:r>
      <w:r w:rsidR="00B416D1">
        <w:t>)</w:t>
      </w:r>
      <w:r>
        <w:t xml:space="preserve">. Dies gilt </w:t>
      </w:r>
      <w:r w:rsidR="00F67605">
        <w:t xml:space="preserve">zumindest </w:t>
      </w:r>
      <w:r>
        <w:t>in für uns wichtigen Bereichen</w:t>
      </w:r>
      <w:r w:rsidR="00F67605">
        <w:t>,</w:t>
      </w:r>
      <w:r>
        <w:t xml:space="preserve"> </w:t>
      </w:r>
      <w:r w:rsidR="00F67605">
        <w:t xml:space="preserve">sofern </w:t>
      </w:r>
      <w:r>
        <w:t xml:space="preserve">die Eigenschaften und </w:t>
      </w:r>
      <w:r w:rsidR="00F67605">
        <w:t xml:space="preserve">Konsequenzen </w:t>
      </w:r>
      <w:r>
        <w:t xml:space="preserve">des entsprechenden </w:t>
      </w:r>
      <w:r w:rsidR="00F67605">
        <w:rPr>
          <w:rFonts w:cs="Times New Roman"/>
        </w:rPr>
        <w:t>Zeichenprozesstyps</w:t>
      </w:r>
      <w:r w:rsidR="00F67605">
        <w:t xml:space="preserve"> </w:t>
      </w:r>
      <w:r>
        <w:t>and</w:t>
      </w:r>
      <w:r>
        <w:t>e</w:t>
      </w:r>
      <w:r>
        <w:t xml:space="preserve">rer Art sind als die anderer </w:t>
      </w:r>
      <w:r w:rsidR="00F67605">
        <w:rPr>
          <w:rFonts w:cs="Times New Roman"/>
        </w:rPr>
        <w:t>Zeichenprozesstypen</w:t>
      </w:r>
      <w:r>
        <w:t>. Nur wenn man Stil korrekt erkennt, kann man die enthaltenen Informationen über Verhalten, Einstellu</w:t>
      </w:r>
      <w:r>
        <w:t>n</w:t>
      </w:r>
      <w:r>
        <w:t>gen, Herkunft, Herangehensweise, frühere Einflüsse und vermutliches zukünft</w:t>
      </w:r>
      <w:r>
        <w:t>i</w:t>
      </w:r>
      <w:r>
        <w:t xml:space="preserve">ges Verhalten von Menschen </w:t>
      </w:r>
      <w:r w:rsidR="001C5425">
        <w:t>gewinnen</w:t>
      </w:r>
      <w:r w:rsidR="00B416D1">
        <w:t>;</w:t>
      </w:r>
      <w:r>
        <w:t xml:space="preserve"> </w:t>
      </w:r>
      <w:r w:rsidR="00B416D1">
        <w:t>d</w:t>
      </w:r>
      <w:r>
        <w:t>ie Nützlichkeit dieser Erkenntnisse ist offensichtlich.</w:t>
      </w:r>
    </w:p>
    <w:p w:rsidR="001F3A76" w:rsidRDefault="001F3A76" w:rsidP="001F3A76">
      <w:pPr>
        <w:pStyle w:val="Text"/>
      </w:pPr>
      <w:r>
        <w:t xml:space="preserve">Wie aber gelingt es der Wahrnehmung, die Abgrenzung vorzunehmen, wenn sie weder auf Intensionen noch auf </w:t>
      </w:r>
      <w:r w:rsidR="00F92585">
        <w:t xml:space="preserve">semantische </w:t>
      </w:r>
      <w:r>
        <w:t>Merkmale oder Schemata zurückgreifen kann, die diese Abgrenzung explizieren? Vermutlich werden ve</w:t>
      </w:r>
      <w:r>
        <w:t>r</w:t>
      </w:r>
      <w:r>
        <w:t xml:space="preserve">schiedene Eigenschaften des Phänomens – </w:t>
      </w:r>
      <w:r w:rsidR="00EF5358">
        <w:t xml:space="preserve">etwa </w:t>
      </w:r>
      <w:r>
        <w:t>die Art von Informationen, die man aus Stil typischerweise erhält, die Kontexte, in denen er vorkommt, sowie spezifische Eigenschaften von stilistischen Zeichen wie ihre Auswahlbezogenheit – gespeichert und ergeben einen (möglicherweise holistisch</w:t>
      </w:r>
      <w:r w:rsidR="005D7996">
        <w:fldChar w:fldCharType="begin"/>
      </w:r>
      <w:r w:rsidR="00D32BFE">
        <w:instrText xml:space="preserve"> XE "</w:instrText>
      </w:r>
      <w:r w:rsidR="00D32BFE" w:rsidRPr="006F2644">
        <w:instrText>Holismus</w:instrText>
      </w:r>
      <w:r w:rsidR="00D32BFE">
        <w:instrText xml:space="preserve">" </w:instrText>
      </w:r>
      <w:r w:rsidR="005D7996">
        <w:fldChar w:fldCharType="end"/>
      </w:r>
      <w:r>
        <w:t xml:space="preserve"> zu verstehenden) Eindruck des Phänomens. Wenn ein </w:t>
      </w:r>
      <w:r w:rsidR="00B61BFA">
        <w:t xml:space="preserve">beobachteter Zeichenprozess </w:t>
      </w:r>
      <w:r>
        <w:t>einen ähnl</w:t>
      </w:r>
      <w:r>
        <w:t>i</w:t>
      </w:r>
      <w:r>
        <w:t xml:space="preserve">chen Eindruck erzeugt, wird </w:t>
      </w:r>
      <w:r w:rsidR="007A410A">
        <w:t>dies</w:t>
      </w:r>
      <w:r>
        <w:t>e</w:t>
      </w:r>
      <w:r w:rsidR="00AA02AD">
        <w:t>r</w:t>
      </w:r>
      <w:r>
        <w:t xml:space="preserve"> in einem Vergleichsprozess (matching) mit </w:t>
      </w:r>
      <w:r>
        <w:lastRenderedPageBreak/>
        <w:t xml:space="preserve">dem bisher gespeicherten abstrakten Eindrucksmuster </w:t>
      </w:r>
      <w:r w:rsidR="00F005F4">
        <w:t>‚</w:t>
      </w:r>
      <w:r>
        <w:t>Stil</w:t>
      </w:r>
      <w:r w:rsidR="00F005F4">
        <w:t>‘</w:t>
      </w:r>
      <w:r>
        <w:t xml:space="preserve"> abgeglichen. Dies könnte zunächst wie eine Intension</w:t>
      </w:r>
      <w:r w:rsidR="005D7996">
        <w:fldChar w:fldCharType="begin"/>
      </w:r>
      <w:r w:rsidR="003D45C2">
        <w:instrText xml:space="preserve"> XE "</w:instrText>
      </w:r>
      <w:r w:rsidR="003D45C2" w:rsidRPr="0018783F">
        <w:instrText>Intension</w:instrText>
      </w:r>
      <w:r w:rsidR="003D45C2">
        <w:instrText xml:space="preserve">" </w:instrText>
      </w:r>
      <w:r w:rsidR="005D7996">
        <w:fldChar w:fldCharType="end"/>
      </w:r>
      <w:r>
        <w:t xml:space="preserve">, eine </w:t>
      </w:r>
      <w:r w:rsidR="00F92585">
        <w:t xml:space="preserve">Definition über semantische Merkmale </w:t>
      </w:r>
      <w:r>
        <w:t xml:space="preserve">oder ein Schema erscheinen. Doch dieser Vorgang setzt keine grundlegende Analyse voraus (wie sie in der vorliegenden Theorie </w:t>
      </w:r>
      <w:r w:rsidR="0013322E">
        <w:t xml:space="preserve">vorgenommen </w:t>
      </w:r>
      <w:r>
        <w:t>wird), was auch daraus deutlich wird, dass man sich über Randbereiche durchaus streiten kann. Zu betonen ist dagegen, dass die grundsätzlich</w:t>
      </w:r>
      <w:r w:rsidR="000E27B5">
        <w:t xml:space="preserve"> falschen Definitionen </w:t>
      </w:r>
      <w:r>
        <w:t xml:space="preserve">– wie </w:t>
      </w:r>
      <w:r w:rsidR="000E27B5">
        <w:t>die</w:t>
      </w:r>
      <w:r>
        <w:t xml:space="preserve">jenige, </w:t>
      </w:r>
      <w:r w:rsidR="000E27B5">
        <w:t xml:space="preserve">die </w:t>
      </w:r>
      <w:r>
        <w:t>Stil als Regelmäßigkeiten auf der Aus</w:t>
      </w:r>
      <w:r w:rsidR="000E27B5">
        <w:t>druckse</w:t>
      </w:r>
      <w:r>
        <w:t>bene</w:t>
      </w:r>
      <w:r w:rsidR="005D7996">
        <w:fldChar w:fldCharType="begin"/>
      </w:r>
      <w:r w:rsidR="004E4C88">
        <w:instrText xml:space="preserve"> XE "</w:instrText>
      </w:r>
      <w:r w:rsidR="004E4C88" w:rsidRPr="00DA0E29">
        <w:instrText>Ausdrucksebene</w:instrText>
      </w:r>
      <w:r w:rsidR="004E4C88">
        <w:instrText xml:space="preserve">" </w:instrText>
      </w:r>
      <w:r w:rsidR="005D7996">
        <w:fldChar w:fldCharType="end"/>
      </w:r>
      <w:r>
        <w:t xml:space="preserve"> </w:t>
      </w:r>
      <w:r w:rsidR="000E27B5">
        <w:t xml:space="preserve">betrachtet, vgl. Abschnitt </w:t>
      </w:r>
      <w:r w:rsidR="005D7996">
        <w:fldChar w:fldCharType="begin"/>
      </w:r>
      <w:r w:rsidR="000E27B5">
        <w:instrText xml:space="preserve"> REF _Ref260056929 \r \h </w:instrText>
      </w:r>
      <w:r w:rsidR="005D7996">
        <w:fldChar w:fldCharType="separate"/>
      </w:r>
      <w:r w:rsidR="001231D3">
        <w:t>2.1</w:t>
      </w:r>
      <w:r w:rsidR="005D7996">
        <w:fldChar w:fldCharType="end"/>
      </w:r>
      <w:r>
        <w:t xml:space="preserve"> – </w:t>
      </w:r>
      <w:r w:rsidR="000E27B5">
        <w:t xml:space="preserve">in der Praxis des Stilgebrauchs </w:t>
      </w:r>
      <w:r>
        <w:t>nicht vorkommen.</w:t>
      </w:r>
    </w:p>
    <w:p w:rsidR="00D2554C" w:rsidRDefault="001F3A76" w:rsidP="001F3A76">
      <w:pPr>
        <w:pStyle w:val="Text"/>
      </w:pPr>
      <w:r>
        <w:t xml:space="preserve">Diese Überlegungen können hier nicht weiter verfolgt werden, sie haben somit einen vorläufigen </w:t>
      </w:r>
      <w:r w:rsidR="00931175">
        <w:t>Charakter, können aber vielleicht als Anregung für an der Semantik</w:t>
      </w:r>
      <w:r w:rsidR="005D7996">
        <w:fldChar w:fldCharType="begin"/>
      </w:r>
      <w:r w:rsidR="000623C8">
        <w:instrText xml:space="preserve"> XE "</w:instrText>
      </w:r>
      <w:r w:rsidR="000623C8" w:rsidRPr="001A70AD">
        <w:rPr>
          <w:rFonts w:eastAsia="Times New Roman" w:cs="Times New Roman"/>
        </w:rPr>
        <w:instrText>Semantik</w:instrText>
      </w:r>
      <w:r w:rsidR="000623C8">
        <w:instrText xml:space="preserve">" </w:instrText>
      </w:r>
      <w:r w:rsidR="005D7996">
        <w:fldChar w:fldCharType="end"/>
      </w:r>
      <w:r w:rsidR="00931175">
        <w:t xml:space="preserve"> Interessierte dienen.</w:t>
      </w:r>
    </w:p>
    <w:p w:rsidR="00D2554C" w:rsidRDefault="0043114E">
      <w:pPr>
        <w:pStyle w:val="Titel2"/>
      </w:pPr>
      <w:bookmarkStart w:id="521" w:name="_Ref267825153"/>
      <w:bookmarkStart w:id="522" w:name="_Toc325456836"/>
      <w:bookmarkStart w:id="523" w:name="Stilanalyse"/>
      <w:bookmarkStart w:id="524" w:name="Vagheit"/>
      <w:bookmarkEnd w:id="520"/>
      <w:r>
        <w:t>Sind genauere Stilanalysen möglich?</w:t>
      </w:r>
      <w:bookmarkEnd w:id="521"/>
      <w:bookmarkEnd w:id="522"/>
    </w:p>
    <w:p w:rsidR="00FB2C87" w:rsidRDefault="005D7996" w:rsidP="00916D84">
      <w:pPr>
        <w:pStyle w:val="Text"/>
        <w:ind w:firstLine="0"/>
      </w:pPr>
      <w:r>
        <w:fldChar w:fldCharType="begin"/>
      </w:r>
      <w:r w:rsidR="00404D2E">
        <w:instrText xml:space="preserve"> XE "Stilanalyse" \r "Stilanalyse"</w:instrText>
      </w:r>
      <w:r w:rsidR="009E3151">
        <w:instrText xml:space="preserve"> </w:instrText>
      </w:r>
      <w:r>
        <w:fldChar w:fldCharType="end"/>
      </w:r>
      <w:r w:rsidR="00FB2C87">
        <w:t xml:space="preserve">In der </w:t>
      </w:r>
      <w:r w:rsidR="00697406">
        <w:t xml:space="preserve">wissenschaftlichen Beschäftigung mit Stil </w:t>
      </w:r>
      <w:r w:rsidR="00FB2C87">
        <w:t>gibt es</w:t>
      </w:r>
      <w:r w:rsidR="002E2FF2">
        <w:t xml:space="preserve">, neben den </w:t>
      </w:r>
      <w:r w:rsidR="0056677C">
        <w:t xml:space="preserve">hier nicht relevanten </w:t>
      </w:r>
      <w:r w:rsidR="002E2FF2">
        <w:t>normativen Konzeptionen</w:t>
      </w:r>
      <w:r w:rsidR="0056677C">
        <w:t xml:space="preserve"> (vgl. </w:t>
      </w:r>
      <w:r>
        <w:fldChar w:fldCharType="begin"/>
      </w:r>
      <w:r w:rsidR="0056677C">
        <w:instrText xml:space="preserve"> REF _Ref268506459 \r \h </w:instrText>
      </w:r>
      <w:r>
        <w:fldChar w:fldCharType="separate"/>
      </w:r>
      <w:r w:rsidR="001231D3">
        <w:t>8.3.9</w:t>
      </w:r>
      <w:r>
        <w:fldChar w:fldCharType="end"/>
      </w:r>
      <w:r w:rsidR="0056677C">
        <w:t>)</w:t>
      </w:r>
      <w:r w:rsidR="002E2FF2">
        <w:t xml:space="preserve">, </w:t>
      </w:r>
      <w:r w:rsidR="00FB2C87">
        <w:t xml:space="preserve">zwei </w:t>
      </w:r>
      <w:r w:rsidR="002E2FF2">
        <w:t>Herangehensweisen:</w:t>
      </w:r>
    </w:p>
    <w:p w:rsidR="00FB2C87" w:rsidRDefault="00FB2C87">
      <w:pPr>
        <w:pStyle w:val="Text"/>
      </w:pPr>
      <w:r>
        <w:t>(1)</w:t>
      </w:r>
      <w:r>
        <w:tab/>
        <w:t xml:space="preserve">Die </w:t>
      </w:r>
      <w:r w:rsidR="00FA1F56">
        <w:t>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FA1F56">
        <w:t xml:space="preserve"> oder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rsidR="00FA1F56">
        <w:t xml:space="preserve"> als die „Wissenschaft vom Stil“</w:t>
      </w:r>
      <w:r>
        <w:t>, die sich mit den Grundlagen, der Funktionsweise und den Eigenschaften von Stil beschäftigt;</w:t>
      </w:r>
    </w:p>
    <w:p w:rsidR="00D458B9" w:rsidRDefault="00FB2C87" w:rsidP="004E7F9D">
      <w:pPr>
        <w:pStyle w:val="Text"/>
      </w:pPr>
      <w:r>
        <w:t>(2)</w:t>
      </w:r>
      <w:r>
        <w:tab/>
      </w:r>
      <w:r w:rsidR="002E2FF2">
        <w:t xml:space="preserve">Die </w:t>
      </w:r>
      <w:r>
        <w:t xml:space="preserve">Stilanalyse, die sich zum Ziel setzt, für die </w:t>
      </w:r>
      <w:r w:rsidR="007736F6">
        <w:t xml:space="preserve">Untersuchung </w:t>
      </w:r>
      <w:r w:rsidR="000838CA">
        <w:t xml:space="preserve">von </w:t>
      </w:r>
      <w:r>
        <w:t>St</w:t>
      </w:r>
      <w:r>
        <w:t>i</w:t>
      </w:r>
      <w:r>
        <w:t>le</w:t>
      </w:r>
      <w:r w:rsidR="000838CA">
        <w:t xml:space="preserve">n </w:t>
      </w:r>
      <w:r>
        <w:t>ein Instrumentari</w:t>
      </w:r>
      <w:r w:rsidR="000838CA">
        <w:t>um zur Verfügung zu stellen.</w:t>
      </w:r>
      <w:r w:rsidR="007736F6">
        <w:rPr>
          <w:rStyle w:val="Funotenzeichen"/>
        </w:rPr>
        <w:footnoteReference w:id="685"/>
      </w:r>
      <w:r w:rsidR="000838CA">
        <w:t xml:space="preserve"> Die Stilanalyse </w:t>
      </w:r>
      <w:r w:rsidR="003015DD">
        <w:t>ist dabei häufig ambivalent</w:t>
      </w:r>
      <w:r w:rsidR="002E2FF2">
        <w:t xml:space="preserve">: Sie kann als Wissenschaft aufgefasst werden, wenn sie </w:t>
      </w:r>
      <w:r w:rsidR="0056677C">
        <w:t>unte</w:t>
      </w:r>
      <w:r w:rsidR="0056677C">
        <w:t>r</w:t>
      </w:r>
      <w:r w:rsidR="0056677C">
        <w:t>sucht</w:t>
      </w:r>
      <w:r w:rsidR="002E2FF2">
        <w:t xml:space="preserve">, worauf </w:t>
      </w:r>
      <w:r w:rsidR="00CA20F4">
        <w:t xml:space="preserve">Interpretationsergebnisse </w:t>
      </w:r>
      <w:r w:rsidR="0042782A">
        <w:t>beruhen</w:t>
      </w:r>
      <w:r w:rsidR="0056677C">
        <w:t>, indem sie Strukturen in Real</w:t>
      </w:r>
      <w:r w:rsidR="0056677C">
        <w:t>i</w:t>
      </w:r>
      <w:r w:rsidR="0056677C">
        <w:t xml:space="preserve">sierungen mit </w:t>
      </w:r>
      <w:r w:rsidR="00CA20F4">
        <w:t xml:space="preserve">erzeugten Zeicheninhalten oder anderen Reaktionen des </w:t>
      </w:r>
      <w:r w:rsidR="00C75387">
        <w:t>Stilwah</w:t>
      </w:r>
      <w:r w:rsidR="00C75387">
        <w:t>r</w:t>
      </w:r>
      <w:r w:rsidR="00C75387">
        <w:t>nehmer</w:t>
      </w:r>
      <w:r w:rsidR="00CA20F4">
        <w:t>s</w:t>
      </w:r>
      <w:r w:rsidR="0056677C">
        <w:t xml:space="preserve"> in Zusammenhang bringt.</w:t>
      </w:r>
      <w:r w:rsidR="0056677C">
        <w:rPr>
          <w:rStyle w:val="Funotenzeichen"/>
        </w:rPr>
        <w:footnoteReference w:id="686"/>
      </w:r>
      <w:r w:rsidR="0056677C">
        <w:t xml:space="preserve"> Leicht wird daraus jedoch eine Methode für </w:t>
      </w:r>
      <w:r w:rsidR="004A5987">
        <w:t xml:space="preserve">die Wahrnehmung </w:t>
      </w:r>
      <w:r w:rsidR="009720CC">
        <w:t xml:space="preserve">von Stilen </w:t>
      </w:r>
      <w:r w:rsidR="000D5131">
        <w:t xml:space="preserve">(vgl. Abschnitt </w:t>
      </w:r>
      <w:r w:rsidR="005D7996">
        <w:fldChar w:fldCharType="begin"/>
      </w:r>
      <w:r w:rsidR="000D5131">
        <w:instrText xml:space="preserve"> REF _Ref261443737 \r \h </w:instrText>
      </w:r>
      <w:r w:rsidR="005D7996">
        <w:fldChar w:fldCharType="separate"/>
      </w:r>
      <w:r w:rsidR="001231D3">
        <w:t>7.3.2</w:t>
      </w:r>
      <w:r w:rsidR="005D7996">
        <w:fldChar w:fldCharType="end"/>
      </w:r>
      <w:r w:rsidR="000D5131">
        <w:t>)</w:t>
      </w:r>
      <w:r w:rsidR="0056677C">
        <w:t>, bei der demonstriert wird, wie Merkmal</w:t>
      </w:r>
      <w:r w:rsidR="00F92585">
        <w:t>sregeln</w:t>
      </w:r>
      <w:r w:rsidR="0056677C">
        <w:t xml:space="preserve"> erkannt werden können</w:t>
      </w:r>
      <w:r w:rsidR="004E7F9D">
        <w:t xml:space="preserve"> und wie daraus </w:t>
      </w:r>
      <w:r w:rsidR="00A41E76">
        <w:t>in einer Inte</w:t>
      </w:r>
      <w:r w:rsidR="00A41E76">
        <w:t>r</w:t>
      </w:r>
      <w:r w:rsidR="00A41E76">
        <w:t xml:space="preserve">pretation </w:t>
      </w:r>
      <w:r w:rsidR="004E7F9D">
        <w:t>weitergehende Erkenntnisse zu gewinnen sind.</w:t>
      </w:r>
      <w:r w:rsidR="00275155">
        <w:rPr>
          <w:rStyle w:val="Funotenzeichen"/>
        </w:rPr>
        <w:footnoteReference w:id="687"/>
      </w:r>
      <w:r w:rsidR="004E7F9D">
        <w:t xml:space="preserve"> In diesem Fall macht die Stilanalyse </w:t>
      </w:r>
      <w:r w:rsidR="000838CA">
        <w:t>Aussagen auf der Objekteben</w:t>
      </w:r>
      <w:r w:rsidR="004E7F9D">
        <w:t>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rsidR="004E7F9D">
        <w:t xml:space="preserve">: </w:t>
      </w:r>
      <w:r w:rsidR="000838CA">
        <w:t>Wie Stile interpretiert werden, ist Teil des Gegenstandsbereichs von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0838CA">
        <w:t xml:space="preserve"> oder Stilistik</w:t>
      </w:r>
      <w:r w:rsidR="005D7996">
        <w:fldChar w:fldCharType="begin"/>
      </w:r>
      <w:r w:rsidR="00262183">
        <w:instrText xml:space="preserve"> XE "</w:instrText>
      </w:r>
      <w:r w:rsidR="00262183" w:rsidRPr="00FB15A5">
        <w:rPr>
          <w:rFonts w:eastAsia="Times New Roman" w:cs="Times New Roman"/>
        </w:rPr>
        <w:instrText>Stilistik</w:instrText>
      </w:r>
      <w:r w:rsidR="00262183">
        <w:instrText xml:space="preserve">" </w:instrText>
      </w:r>
      <w:r w:rsidR="005D7996">
        <w:fldChar w:fldCharType="end"/>
      </w:r>
      <w:r w:rsidR="000838CA">
        <w:t>.</w:t>
      </w:r>
      <w:r w:rsidR="003015DD">
        <w:t xml:space="preserve"> Es ist </w:t>
      </w:r>
      <w:r w:rsidR="00135923">
        <w:t xml:space="preserve">daher </w:t>
      </w:r>
      <w:r w:rsidR="003015DD">
        <w:t xml:space="preserve">nicht Aufgabe der wissenschaftlichen Beschäftigung mit Stil, Methoden für </w:t>
      </w:r>
      <w:r w:rsidR="00702B34">
        <w:t>das Wah</w:t>
      </w:r>
      <w:r w:rsidR="00702B34">
        <w:t>r</w:t>
      </w:r>
      <w:r w:rsidR="00702B34">
        <w:t xml:space="preserve">nehmen </w:t>
      </w:r>
      <w:r w:rsidR="003015DD">
        <w:t xml:space="preserve">von Stilen vorzuschlagen, </w:t>
      </w:r>
      <w:r w:rsidR="00702B34">
        <w:t xml:space="preserve">bei denen der wahrgenommene Stil </w:t>
      </w:r>
      <w:r w:rsidR="003015DD">
        <w:t xml:space="preserve">möglichst nahe am </w:t>
      </w:r>
      <w:r w:rsidR="00702B34">
        <w:t xml:space="preserve">angewendeten </w:t>
      </w:r>
      <w:r w:rsidR="003015DD">
        <w:t>Stil ist oder möglichst wenig situations- und individuen</w:t>
      </w:r>
      <w:r w:rsidR="00DF0A25">
        <w:softHyphen/>
      </w:r>
      <w:r w:rsidR="003015DD">
        <w:t>abhängig variiert.</w:t>
      </w:r>
    </w:p>
    <w:p w:rsidR="00EF56B6" w:rsidRDefault="00977269">
      <w:pPr>
        <w:pStyle w:val="Text"/>
      </w:pPr>
      <w:r>
        <w:t xml:space="preserve">Die Stilanalyse </w:t>
      </w:r>
      <w:r w:rsidR="002F388E">
        <w:t>bewegt sich also auf einem schmalen Grat zwischen Unte</w:t>
      </w:r>
      <w:r w:rsidR="002F388E">
        <w:t>r</w:t>
      </w:r>
      <w:r w:rsidR="002F388E">
        <w:t xml:space="preserve">suchung </w:t>
      </w:r>
      <w:r w:rsidR="00E92117">
        <w:t xml:space="preserve">der </w:t>
      </w:r>
      <w:r w:rsidR="00CA20F4">
        <w:t xml:space="preserve">Reaktionen beim Wahrnehmen von Stilen </w:t>
      </w:r>
      <w:r w:rsidR="003015DD">
        <w:t>(Rezeptionsanalyse</w:t>
      </w:r>
      <w:r w:rsidR="005D7996">
        <w:fldChar w:fldCharType="begin"/>
      </w:r>
      <w:r w:rsidR="00A73446">
        <w:instrText xml:space="preserve"> XE "</w:instrText>
      </w:r>
      <w:r w:rsidR="00A73446" w:rsidRPr="009B52D3">
        <w:instrText>Rezeptionsanalyse</w:instrText>
      </w:r>
      <w:r w:rsidR="00A73446">
        <w:instrText xml:space="preserve">" </w:instrText>
      </w:r>
      <w:r w:rsidR="005D7996">
        <w:fldChar w:fldCharType="end"/>
      </w:r>
      <w:r w:rsidR="003015DD">
        <w:t xml:space="preserve">) </w:t>
      </w:r>
      <w:r w:rsidR="00E92117">
        <w:t>und Vorschlag zu</w:t>
      </w:r>
      <w:r w:rsidR="00702B34">
        <w:t>m</w:t>
      </w:r>
      <w:r w:rsidR="00E92117">
        <w:t xml:space="preserve"> besseren </w:t>
      </w:r>
      <w:r w:rsidR="00702B34">
        <w:t xml:space="preserve">Wahrnehmen </w:t>
      </w:r>
      <w:r w:rsidR="00E92117">
        <w:t xml:space="preserve">von Stilen. Im ersten Fall </w:t>
      </w:r>
      <w:r w:rsidR="0066306A">
        <w:t xml:space="preserve">befindet </w:t>
      </w:r>
      <w:r w:rsidR="00E92117">
        <w:t xml:space="preserve">sie sich </w:t>
      </w:r>
      <w:r w:rsidR="00E92117">
        <w:lastRenderedPageBreak/>
        <w:t>auf der Beschreibungsebene</w:t>
      </w:r>
      <w:r w:rsidR="005D7996">
        <w:fldChar w:fldCharType="begin"/>
      </w:r>
      <w:r w:rsidR="000623C8">
        <w:instrText xml:space="preserve"> XE "</w:instrText>
      </w:r>
      <w:r w:rsidR="000623C8" w:rsidRPr="00D31CD7">
        <w:rPr>
          <w:szCs w:val="17"/>
        </w:rPr>
        <w:instrText>Beschreibungsebene</w:instrText>
      </w:r>
      <w:r w:rsidR="00F815B0">
        <w:rPr>
          <w:szCs w:val="17"/>
        </w:rPr>
        <w:instrText xml:space="preserve"> (</w:instrText>
      </w:r>
      <w:r w:rsidR="00DE32C1">
        <w:rPr>
          <w:szCs w:val="17"/>
        </w:rPr>
        <w:instrText>Wissenschaftstheorie</w:instrText>
      </w:r>
      <w:r w:rsidR="00F815B0">
        <w:instrText>)</w:instrText>
      </w:r>
      <w:r w:rsidR="000623C8">
        <w:instrText xml:space="preserve">" </w:instrText>
      </w:r>
      <w:r w:rsidR="005D7996">
        <w:fldChar w:fldCharType="end"/>
      </w:r>
      <w:r w:rsidR="00E92117">
        <w:t xml:space="preserve"> und </w:t>
      </w:r>
      <w:r w:rsidR="004F3D11">
        <w:t xml:space="preserve">kann </w:t>
      </w:r>
      <w:r w:rsidR="00E92117">
        <w:t>wissenschaftlich</w:t>
      </w:r>
      <w:r w:rsidR="004F3D11">
        <w:t xml:space="preserve"> sein</w:t>
      </w:r>
      <w:r w:rsidR="00E92117">
        <w:t xml:space="preserve">, im zweiten Fall </w:t>
      </w:r>
      <w:r w:rsidR="0066306A">
        <w:t>befindet</w:t>
      </w:r>
      <w:r w:rsidR="00E92117">
        <w:t xml:space="preserve"> sie sich auf der Gegenstands</w:t>
      </w:r>
      <w:r w:rsidR="000A4607">
        <w:t xml:space="preserve">- </w:t>
      </w:r>
      <w:r w:rsidR="004F3D11">
        <w:t xml:space="preserve">bzw. </w:t>
      </w:r>
      <w:r w:rsidR="000A4607">
        <w:t>Objekt</w:t>
      </w:r>
      <w:r w:rsidR="00E92117">
        <w:t>ebene</w:t>
      </w:r>
      <w:r w:rsidR="005D7996">
        <w:fldChar w:fldCharType="begin"/>
      </w:r>
      <w:r w:rsidR="00FF0C8B">
        <w:instrText xml:space="preserve"> XE "</w:instrText>
      </w:r>
      <w:r w:rsidR="00FF0C8B" w:rsidRPr="00A23307">
        <w:instrText>Objektebene (Wissenschaftstheorie)</w:instrText>
      </w:r>
      <w:r w:rsidR="00FF0C8B">
        <w:instrText xml:space="preserve">" </w:instrText>
      </w:r>
      <w:r w:rsidR="005D7996">
        <w:fldChar w:fldCharType="end"/>
      </w:r>
      <w:r w:rsidR="00E92117">
        <w:t xml:space="preserve"> und kann nicht wisse</w:t>
      </w:r>
      <w:r w:rsidR="00E92117">
        <w:t>n</w:t>
      </w:r>
      <w:r w:rsidR="00E92117">
        <w:t xml:space="preserve">schaftlich sein, auch wenn sie präzise ist und </w:t>
      </w:r>
      <w:r w:rsidR="00872EAE">
        <w:t>gute</w:t>
      </w:r>
      <w:r w:rsidR="00E92117">
        <w:t xml:space="preserve"> Argumente für </w:t>
      </w:r>
      <w:r w:rsidR="001F5CB3">
        <w:t>das vorg</w:t>
      </w:r>
      <w:r w:rsidR="001F5CB3">
        <w:t>e</w:t>
      </w:r>
      <w:r w:rsidR="001F5CB3">
        <w:t>schlagene Vorgehen hat. Bedingt durch die Funktionsweise des stilistischen Ze</w:t>
      </w:r>
      <w:r w:rsidR="001F5CB3">
        <w:t>i</w:t>
      </w:r>
      <w:r w:rsidR="001F5CB3">
        <w:t xml:space="preserve">chenprozesses kommt es </w:t>
      </w:r>
      <w:r w:rsidR="003015DD">
        <w:t xml:space="preserve">notwendigerweise </w:t>
      </w:r>
      <w:r w:rsidR="001F5CB3">
        <w:t xml:space="preserve">zu </w:t>
      </w:r>
      <w:r w:rsidR="00F25537">
        <w:t>Unterschieden</w:t>
      </w:r>
      <w:r w:rsidR="00DC2320">
        <w:t xml:space="preserve"> </w:t>
      </w:r>
      <w:r w:rsidR="00F25537">
        <w:t>zwischen Anwe</w:t>
      </w:r>
      <w:r w:rsidR="00F25537">
        <w:t>n</w:t>
      </w:r>
      <w:r w:rsidR="00F25537">
        <w:t>derstil</w:t>
      </w:r>
      <w:r w:rsidR="005D7996">
        <w:fldChar w:fldCharType="begin"/>
      </w:r>
      <w:r w:rsidR="002B7A78">
        <w:instrText xml:space="preserve"> XE "</w:instrText>
      </w:r>
      <w:r w:rsidR="002B7A78" w:rsidRPr="00542978">
        <w:instrText>Anwenderstil</w:instrText>
      </w:r>
      <w:r w:rsidR="002B7A78">
        <w:instrText xml:space="preserve">" </w:instrText>
      </w:r>
      <w:r w:rsidR="005D7996">
        <w:fldChar w:fldCharType="end"/>
      </w:r>
      <w:r w:rsidR="00F25537">
        <w:t xml:space="preserve"> und Wahrnehmerstil</w:t>
      </w:r>
      <w:r w:rsidR="005D7996">
        <w:fldChar w:fldCharType="begin"/>
      </w:r>
      <w:r w:rsidR="002B7A78">
        <w:instrText xml:space="preserve"> XE "</w:instrText>
      </w:r>
      <w:r w:rsidR="002B7A78" w:rsidRPr="00D03648">
        <w:instrText>Wahrnehmerstil</w:instrText>
      </w:r>
      <w:r w:rsidR="002B7A78">
        <w:instrText xml:space="preserve">" </w:instrText>
      </w:r>
      <w:r w:rsidR="005D7996">
        <w:fldChar w:fldCharType="end"/>
      </w:r>
      <w:r w:rsidR="00F25537">
        <w:t xml:space="preserve"> </w:t>
      </w:r>
      <w:r w:rsidR="001F5CB3">
        <w:t>sowie</w:t>
      </w:r>
      <w:r w:rsidR="0080111B">
        <w:t xml:space="preserve"> </w:t>
      </w:r>
      <w:r w:rsidR="00F25537">
        <w:t xml:space="preserve">zwischen dem Wahrnehmerstil verschiedener Personen </w:t>
      </w:r>
      <w:r w:rsidR="00B83FFF">
        <w:t xml:space="preserve">oder derselben Person in verschiedenen Wahrnehmungssituationen </w:t>
      </w:r>
      <w:r w:rsidR="001F5CB3">
        <w:t xml:space="preserve">(vgl. Abschnitt </w:t>
      </w:r>
      <w:r w:rsidR="005D7996">
        <w:fldChar w:fldCharType="begin"/>
      </w:r>
      <w:r w:rsidR="001F5CB3">
        <w:instrText xml:space="preserve"> REF _Ref269151730 \r \h </w:instrText>
      </w:r>
      <w:r w:rsidR="005D7996">
        <w:fldChar w:fldCharType="separate"/>
      </w:r>
      <w:r w:rsidR="001231D3">
        <w:t>7.3.6</w:t>
      </w:r>
      <w:r w:rsidR="005D7996">
        <w:fldChar w:fldCharType="end"/>
      </w:r>
      <w:r w:rsidR="0080111B">
        <w:t>).</w:t>
      </w:r>
    </w:p>
    <w:p w:rsidR="00D2554C" w:rsidRDefault="00D2554C" w:rsidP="00FB2C87">
      <w:pPr>
        <w:pStyle w:val="Text"/>
      </w:pPr>
      <w:r>
        <w:t xml:space="preserve">Die </w:t>
      </w:r>
      <w:r w:rsidR="00033642">
        <w:t xml:space="preserve">hier vorgestellte </w:t>
      </w:r>
      <w:r>
        <w:t xml:space="preserve">Theorie </w:t>
      </w:r>
      <w:r w:rsidR="00321BC1">
        <w:t xml:space="preserve">wurde daher nicht mit der Absicht entwickelt, </w:t>
      </w:r>
      <w:r w:rsidR="009F4D1E">
        <w:t>genauere</w:t>
      </w:r>
      <w:r>
        <w:t xml:space="preserve"> Stilbeschreibungen </w:t>
      </w:r>
      <w:r w:rsidR="00321BC1">
        <w:t xml:space="preserve">zu </w:t>
      </w:r>
      <w:r>
        <w:t>ermöglichen</w:t>
      </w:r>
      <w:r w:rsidR="00E812B9">
        <w:t xml:space="preserve">, als sie bisher üblich </w:t>
      </w:r>
      <w:r>
        <w:t xml:space="preserve">waren. Sie soll nicht einmal vorhandene Stilbeschreibungen überprüfbar machen. </w:t>
      </w:r>
      <w:r w:rsidRPr="00916D84">
        <w:t>Sie will vie</w:t>
      </w:r>
      <w:r w:rsidRPr="00916D84">
        <w:t>l</w:t>
      </w:r>
      <w:r w:rsidRPr="00916D84">
        <w:t xml:space="preserve">mehr beschreiben, was wir schon immer getan haben, wenn wir Stile </w:t>
      </w:r>
      <w:r w:rsidR="00F77FB5" w:rsidRPr="00916D84">
        <w:t xml:space="preserve">anwenden oder </w:t>
      </w:r>
      <w:r w:rsidR="00F43637" w:rsidRPr="00916D84">
        <w:t>wahrnehmen</w:t>
      </w:r>
      <w:r w:rsidR="00033642" w:rsidRPr="00916D84">
        <w:t>.</w:t>
      </w:r>
      <w:r w:rsidRPr="00916D84">
        <w:t xml:space="preserve"> </w:t>
      </w:r>
      <w:r>
        <w:t xml:space="preserve">Würde eine mit ihrer Hilfe durchgeführte Analyse </w:t>
      </w:r>
      <w:r w:rsidR="009F4D1E">
        <w:t>in jedem Fall</w:t>
      </w:r>
      <w:r w:rsidR="009F4D1E">
        <w:rPr>
          <w:rStyle w:val="Funotenzeichen"/>
        </w:rPr>
        <w:footnoteReference w:id="688"/>
      </w:r>
      <w:r w:rsidR="009F4D1E">
        <w:t xml:space="preserve"> </w:t>
      </w:r>
      <w:r>
        <w:t xml:space="preserve">zu genaueren Ergebnissen kommen als bisherige </w:t>
      </w:r>
      <w:r w:rsidR="00033642">
        <w:t>Stilwahrnehmungen</w:t>
      </w:r>
      <w:r>
        <w:t xml:space="preserve">, hätte sie ihr </w:t>
      </w:r>
      <w:r w:rsidR="00033642">
        <w:t xml:space="preserve">Ziel verfehlt: Sie würde etwas anderes beschreiben als den Prozess des </w:t>
      </w:r>
      <w:r w:rsidR="00F43637">
        <w:t>Wahrnehmen</w:t>
      </w:r>
      <w:r w:rsidR="00033642">
        <w:t>s von Stilen.</w:t>
      </w:r>
    </w:p>
    <w:p w:rsidR="00D2554C" w:rsidRDefault="00D2554C">
      <w:pPr>
        <w:pStyle w:val="Text"/>
      </w:pPr>
      <w:r>
        <w:t xml:space="preserve">Tatsächlich ist die Vagheit von Stil und die Schwierigkeit, sich über Stile und ihre </w:t>
      </w:r>
      <w:r w:rsidR="00F77FB5">
        <w:t xml:space="preserve">Interpretation </w:t>
      </w:r>
      <w:r>
        <w:t>zu einigen, eine der interessantesten Eigenschaften dieses Phänomens und eine der größten Herausforderungen bei seiner Beschreibung. Damit ist es in gewisser Weise typisch für die Geisteswissenschaften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t>, wie in e</w:t>
      </w:r>
      <w:r>
        <w:t>i</w:t>
      </w:r>
      <w:r>
        <w:t>nem kurzen Exkurs gezeigt werden soll.</w:t>
      </w:r>
    </w:p>
    <w:p w:rsidR="00D2554C" w:rsidRDefault="00D2554C">
      <w:pPr>
        <w:pStyle w:val="Text"/>
      </w:pPr>
      <w:r>
        <w:t>Eine Zeitlang wurden in den G</w:t>
      </w:r>
      <w:r w:rsidR="00033642">
        <w:t>eisteswissenschaften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rsidR="00033642">
        <w:t xml:space="preserve"> </w:t>
      </w:r>
      <w:r w:rsidR="00791C97">
        <w:t>Theorien</w:t>
      </w:r>
      <w:r w:rsidR="00033642">
        <w:t xml:space="preserve"> um</w:t>
      </w:r>
      <w:r>
        <w:t xml:space="preserve">so höher bewertet, je präziser </w:t>
      </w:r>
      <w:r w:rsidR="00033642">
        <w:t>ihre Beschreibung des Phänomens war</w:t>
      </w:r>
      <w:r>
        <w:t>. Das geschah aus der richtigen Überlegung heraus, dass die Wissenschaft Präzision verlangt. Je gena</w:t>
      </w:r>
      <w:r>
        <w:t>u</w:t>
      </w:r>
      <w:r>
        <w:t>er eine wissenschaftliche Theorie ist, desto größer ist ihr Erklärungspotential und desto genauer sind auch ihre Vorhersagen, so dass es leichter wird, sie zu widerlegen, und desto ernster muss man die Theorie nehmen, wenn eine solche Widerlegung nicht gelingt.</w:t>
      </w:r>
    </w:p>
    <w:p w:rsidR="00D2554C" w:rsidRDefault="00D2554C">
      <w:pPr>
        <w:pStyle w:val="Text"/>
      </w:pPr>
      <w:r>
        <w:t>Doch in den Geisteswissenschaften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t xml:space="preserve"> sieht die Lage etwas anders aus. Genaue Theorien geraten oft mit den beobachtbaren Phänomenen in einen Widerspruch, der jedoch durch die Postulierung zukünftiger Modifikationen als provisorisch angesehen wird. So nehmen etwa generative Grammatik</w:t>
      </w:r>
      <w:r w:rsidR="005D7996">
        <w:fldChar w:fldCharType="begin"/>
      </w:r>
      <w:r w:rsidR="009324EE">
        <w:instrText xml:space="preserve"> XE "</w:instrText>
      </w:r>
      <w:r w:rsidR="009324EE" w:rsidRPr="003C6180">
        <w:instrText>generative Grammatik</w:instrText>
      </w:r>
      <w:r w:rsidR="009324EE">
        <w:instrText xml:space="preserve">" </w:instrText>
      </w:r>
      <w:r w:rsidR="005D7996">
        <w:fldChar w:fldCharType="end"/>
      </w:r>
      <w:r>
        <w:t>-Modelle eine syntakt</w:t>
      </w:r>
      <w:r>
        <w:t>i</w:t>
      </w:r>
      <w:r>
        <w:t>sche Tiefenstruktur an, aus der sich durch Transformationsregeln</w:t>
      </w:r>
      <w:r w:rsidR="005D7996">
        <w:fldChar w:fldCharType="begin"/>
      </w:r>
      <w:r w:rsidR="009324EE">
        <w:instrText xml:space="preserve"> XE "</w:instrText>
      </w:r>
      <w:r w:rsidR="009324EE" w:rsidRPr="00447F5E">
        <w:instrText>Transformationsregel</w:instrText>
      </w:r>
      <w:r w:rsidR="009324EE">
        <w:instrText xml:space="preserve">" </w:instrText>
      </w:r>
      <w:r w:rsidR="005D7996">
        <w:fldChar w:fldCharType="end"/>
      </w:r>
      <w:r>
        <w:t xml:space="preserve"> alle Oberfl</w:t>
      </w:r>
      <w:r>
        <w:t>ä</w:t>
      </w:r>
      <w:r>
        <w:t xml:space="preserve">chenstrukturen einer Sprache erzeugen lassen sollen. Bislang </w:t>
      </w:r>
      <w:r w:rsidR="00033642">
        <w:t xml:space="preserve">scheint es jedoch noch nicht </w:t>
      </w:r>
      <w:r>
        <w:t>gelungen</w:t>
      </w:r>
      <w:r w:rsidR="00033642">
        <w:t xml:space="preserve"> zu sein</w:t>
      </w:r>
      <w:r>
        <w:t>, für eine Sprache eine Tiefenstruktur und eine Me</w:t>
      </w:r>
      <w:r>
        <w:t>n</w:t>
      </w:r>
      <w:r>
        <w:t>ge an Transformationsregeln</w:t>
      </w:r>
      <w:r w:rsidR="005D7996">
        <w:fldChar w:fldCharType="begin"/>
      </w:r>
      <w:r w:rsidR="009324EE">
        <w:instrText xml:space="preserve"> XE "</w:instrText>
      </w:r>
      <w:r w:rsidR="009324EE" w:rsidRPr="00447F5E">
        <w:instrText>Transformationsregel</w:instrText>
      </w:r>
      <w:r w:rsidR="009324EE">
        <w:instrText xml:space="preserve">" </w:instrText>
      </w:r>
      <w:r w:rsidR="005D7996">
        <w:fldChar w:fldCharType="end"/>
      </w:r>
      <w:r>
        <w:t xml:space="preserve"> zu formulieren, die tatsächlich zur korrekten und </w:t>
      </w:r>
      <w:r>
        <w:lastRenderedPageBreak/>
        <w:t>vollständigen Menge der empirisch beobachtbaren Oberflächenstrukturen dieser Sprache führen</w:t>
      </w:r>
      <w:r w:rsidR="00033642">
        <w:t>.</w:t>
      </w:r>
      <w:r>
        <w:rPr>
          <w:rStyle w:val="Funotenzeichen"/>
        </w:rPr>
        <w:footnoteReference w:id="689"/>
      </w:r>
    </w:p>
    <w:p w:rsidR="00D2554C" w:rsidRDefault="00D2554C">
      <w:pPr>
        <w:pStyle w:val="Text"/>
      </w:pPr>
      <w:r>
        <w:t>Das gilt jedoch nicht als Widerlegung der Theorie, an der immer weiter g</w:t>
      </w:r>
      <w:r>
        <w:t>e</w:t>
      </w:r>
      <w:r>
        <w:t>arbeitet wird – grundsätzlich zu Recht, denn die vorhandenen Modelle können zahlreiche Phänomene der Syntax</w:t>
      </w:r>
      <w:r w:rsidR="005D7996">
        <w:fldChar w:fldCharType="begin"/>
      </w:r>
      <w:r w:rsidR="000623C8">
        <w:instrText xml:space="preserve"> XE "</w:instrText>
      </w:r>
      <w:r w:rsidR="000623C8" w:rsidRPr="00367A05">
        <w:rPr>
          <w:rFonts w:eastAsia="Times New Roman" w:cs="Times New Roman"/>
        </w:rPr>
        <w:instrText>Syntax</w:instrText>
      </w:r>
      <w:r w:rsidR="000623C8">
        <w:instrText xml:space="preserve">" </w:instrText>
      </w:r>
      <w:r w:rsidR="005D7996">
        <w:fldChar w:fldCharType="end"/>
      </w:r>
      <w:r>
        <w:t xml:space="preserve"> erklären. Allerdings wissen wir natürlich nicht, ob sie sie richtig erklären. Sollte es auf Dauer nicht gelingen, die Grundanna</w:t>
      </w:r>
      <w:r>
        <w:t>h</w:t>
      </w:r>
      <w:r>
        <w:t>men der Theorie zu bestätigen und die tatsächliche Menge der Oberfläche</w:t>
      </w:r>
      <w:r>
        <w:t>n</w:t>
      </w:r>
      <w:r>
        <w:t>strukturen korrekt und vollständig zu erzeugen, wird der Status solcher The</w:t>
      </w:r>
      <w:r>
        <w:t>o</w:t>
      </w:r>
      <w:r>
        <w:t>rien problematisch: Einerseits wird man ungern auf sie verzichten wollen; and</w:t>
      </w:r>
      <w:r>
        <w:t>e</w:t>
      </w:r>
      <w:r>
        <w:t>rerseits stimmen ihre Vorhersagen nicht genau mit der Wirklichkeit überein.</w:t>
      </w:r>
    </w:p>
    <w:p w:rsidR="00D2554C" w:rsidRDefault="00D2554C">
      <w:pPr>
        <w:pStyle w:val="Text"/>
      </w:pPr>
      <w:r>
        <w:t>Der wissenschaftstheoretische Vorteil der leichten Widerlegbarkeit geht a</w:t>
      </w:r>
      <w:r>
        <w:t>l</w:t>
      </w:r>
      <w:r>
        <w:t>so teilweise verloren, wenn diese in der Praxis keine Konsequenzen hat. Eine andere Art von Genauigkeit scheint angemessen, nämlich höchstmögliche A</w:t>
      </w:r>
      <w:r>
        <w:t>n</w:t>
      </w:r>
      <w:r>
        <w:t>näherung an die Eigenschaften des Gegenstandsbereichs</w:t>
      </w:r>
      <w:r w:rsidR="005D7996">
        <w:fldChar w:fldCharType="begin"/>
      </w:r>
      <w:r w:rsidR="00FF0C8B">
        <w:instrText xml:space="preserve"> XE "</w:instrText>
      </w:r>
      <w:r w:rsidR="00FF0C8B" w:rsidRPr="009108D6">
        <w:instrText>Gegenstandsbereich</w:instrText>
      </w:r>
      <w:r w:rsidR="00FF0C8B">
        <w:instrText xml:space="preserve">" </w:instrText>
      </w:r>
      <w:r w:rsidR="005D7996">
        <w:fldChar w:fldCharType="end"/>
      </w:r>
      <w:r>
        <w:t>. Das mag als eine Bi</w:t>
      </w:r>
      <w:r>
        <w:t>n</w:t>
      </w:r>
      <w:r>
        <w:t>senweisheit erscheinen. Doch in den Geisteswissenschaften</w:t>
      </w:r>
      <w:r w:rsidR="005D7996">
        <w:fldChar w:fldCharType="begin"/>
      </w:r>
      <w:r w:rsidR="00146B67">
        <w:instrText xml:space="preserve"> XE "</w:instrText>
      </w:r>
      <w:r w:rsidR="00146B67" w:rsidRPr="0011705D">
        <w:rPr>
          <w:szCs w:val="17"/>
        </w:rPr>
        <w:instrText>Geisteswissenschaften</w:instrText>
      </w:r>
      <w:r w:rsidR="00146B67">
        <w:instrText xml:space="preserve">" </w:instrText>
      </w:r>
      <w:r w:rsidR="005D7996">
        <w:fldChar w:fldCharType="end"/>
      </w:r>
      <w:r>
        <w:t xml:space="preserve"> ist der spezifische Charakter des Gegenstandsbereichs, die dort anzutreffende Verbindung aus Präzision und Vagheit,</w:t>
      </w:r>
      <w:r>
        <w:rPr>
          <w:rStyle w:val="Funotenzeichen"/>
        </w:rPr>
        <w:footnoteReference w:id="690"/>
      </w:r>
      <w:r>
        <w:t xml:space="preserve"> selten ganz ernst genommen worden. Die meisten Theorien neigen dazu, entweder die Präzision oder die Vagheit überzubetonen.</w:t>
      </w:r>
    </w:p>
    <w:p w:rsidR="00D2554C" w:rsidRDefault="00D2554C">
      <w:pPr>
        <w:pStyle w:val="Text"/>
      </w:pPr>
      <w:r>
        <w:t>Über den grundsätzlichen Charakter der in den Geisteswissenschaften b</w:t>
      </w:r>
      <w:r>
        <w:t>e</w:t>
      </w:r>
      <w:r>
        <w:t>schriebenen Phänomene ist wenig bekannt.</w:t>
      </w:r>
      <w:r>
        <w:rPr>
          <w:rStyle w:val="Funotenzeichen"/>
        </w:rPr>
        <w:footnoteReference w:id="691"/>
      </w:r>
      <w:r>
        <w:t xml:space="preserve"> Deshalb sind nach wie vor die ve</w:t>
      </w:r>
      <w:r>
        <w:t>r</w:t>
      </w:r>
      <w:r>
        <w:t>schiedensten Vorgehensweisen anzutreffen. Es ist möglich, eine Beschreibung zu liefern, die zwar empirisch genau ist, aber kaum über eine Konstatierung b</w:t>
      </w:r>
      <w:r>
        <w:t>e</w:t>
      </w:r>
      <w:r>
        <w:t>obachtbarer Phänomene hinausgeht; es können aber auch präzise Klassifikati</w:t>
      </w:r>
      <w:r>
        <w:t>o</w:t>
      </w:r>
      <w:r>
        <w:t xml:space="preserve">nen mit genauen Erzeugungsregeln postuliert werden, die dann jedoch in der Praxis mit einiger Großzügigkeit angewandt werden. Überhaupt ist die intuitive Korrektur, der kreative Umgang mit Theorien bei deren Anwendung üblich. Dabei werden alle möglichen Theorien auf alles </w:t>
      </w:r>
      <w:r w:rsidR="00F3785B">
        <w:t>M</w:t>
      </w:r>
      <w:r>
        <w:t>ögliche angewandt; die A</w:t>
      </w:r>
      <w:r>
        <w:t>n</w:t>
      </w:r>
      <w:r>
        <w:t xml:space="preserve">wendung einer Theorie kann geradezu als Kunststück gelten. Doch eine Theorie, </w:t>
      </w:r>
      <w:r>
        <w:lastRenderedPageBreak/>
        <w:t>deren Anwendung mit allzuviel Kreativität</w:t>
      </w:r>
      <w:r w:rsidR="005D7996">
        <w:fldChar w:fldCharType="begin"/>
      </w:r>
      <w:r w:rsidR="00134E70">
        <w:instrText xml:space="preserve"> XE "</w:instrText>
      </w:r>
      <w:r w:rsidR="00134E70" w:rsidRPr="0030047D">
        <w:instrText>Kreativität</w:instrText>
      </w:r>
      <w:r w:rsidR="00134E70">
        <w:instrText xml:space="preserve">" </w:instrText>
      </w:r>
      <w:r w:rsidR="005D7996">
        <w:fldChar w:fldCharType="end"/>
      </w:r>
      <w:r>
        <w:t xml:space="preserve"> und intuitiven Entscheidungen ve</w:t>
      </w:r>
      <w:r>
        <w:t>r</w:t>
      </w:r>
      <w:r>
        <w:t>bunden ist, ist aus wissenschaftstheoretischer Sicht problematisch.</w:t>
      </w:r>
    </w:p>
    <w:p w:rsidR="00D2554C" w:rsidRDefault="00D2554C">
      <w:pPr>
        <w:pStyle w:val="Text"/>
      </w:pPr>
      <w:r>
        <w:t xml:space="preserve">Um zum Stil zurückzukommen: Bei der Beschreibung dieses Phänomens bestünde grundsätzlich die Möglichkeit, eine Theorie so zu gestalten, dass sie über jeden einzelnen Stil präzise Aussagen macht. Eine solche Theorie könnte dann etwa gebraucht werden, einzelne Stile zu analysieren und dabei genauer zu sein als dies bisher der Fall war. Sie würde entscheiden, </w:t>
      </w:r>
      <w:r w:rsidR="00432B98">
        <w:t>welche Merkmale ein Stil besitzt</w:t>
      </w:r>
      <w:r w:rsidR="00930353">
        <w:t xml:space="preserve"> und welche Ergebnisse in </w:t>
      </w:r>
      <w:r w:rsidR="00432B98">
        <w:t xml:space="preserve">einer richtig durchgeführten </w:t>
      </w:r>
      <w:r w:rsidR="00930353">
        <w:t xml:space="preserve">Interpretation </w:t>
      </w:r>
      <w:r w:rsidR="00432B98">
        <w:t>daraus ableitbar sind</w:t>
      </w:r>
      <w:r>
        <w:t>. Die vorliegende Theorie will dies nicht, obwohl man mit ihrer Hilfe durchaus plausiblere von weniger plausiblen Stilbeschreibungen u</w:t>
      </w:r>
      <w:r>
        <w:t>n</w:t>
      </w:r>
      <w:r>
        <w:t>terscheiden kann.</w:t>
      </w:r>
      <w:r w:rsidR="00D526E6">
        <w:rPr>
          <w:rStyle w:val="Funotenzeichen"/>
        </w:rPr>
        <w:footnoteReference w:id="692"/>
      </w:r>
    </w:p>
    <w:p w:rsidR="00D2554C" w:rsidRDefault="00D2554C">
      <w:pPr>
        <w:pStyle w:val="Text"/>
      </w:pPr>
      <w:r>
        <w:t>Die Theorie versucht dabei aber, der beobachtbaren Variabilität der Stilb</w:t>
      </w:r>
      <w:r>
        <w:t>e</w:t>
      </w:r>
      <w:r>
        <w:t xml:space="preserve">schreibungen gerecht zu werden. So kann man im </w:t>
      </w:r>
      <w:r w:rsidR="00FA103D">
        <w:t>Merkmalsprozess</w:t>
      </w:r>
      <w:r>
        <w:t xml:space="preserve"> theoretisch eine gewaltige Menge von </w:t>
      </w:r>
      <w:r w:rsidR="00765E66">
        <w:t>Merkmalsregel</w:t>
      </w:r>
      <w:r>
        <w:t>n erzeugen, die noch die kleinsten R</w:t>
      </w:r>
      <w:r>
        <w:t>e</w:t>
      </w:r>
      <w:r>
        <w:t xml:space="preserve">gelmäßigkeiten (sofern sie bei der Auswahl entstehen) beschreiben. Erst im </w:t>
      </w:r>
      <w:r w:rsidR="00FA103D">
        <w:t xml:space="preserve">Interpretationsprozess </w:t>
      </w:r>
      <w:r>
        <w:t xml:space="preserve">wird klar, welche davon stilistisch relevant sind. Dort gibt es jedoch auch große Variabilität in der Erzeugung </w:t>
      </w:r>
      <w:r w:rsidR="00052CDA">
        <w:t>von Interpretationsergebni</w:t>
      </w:r>
      <w:r w:rsidR="00052CDA">
        <w:t>s</w:t>
      </w:r>
      <w:r w:rsidR="00052CDA">
        <w:t>sen</w:t>
      </w:r>
      <w:r>
        <w:t xml:space="preserve">. Auf diese Art wird eine präzise Beschreibung vorgenommen, wo sie möglich ist: Nämlich im </w:t>
      </w:r>
      <w:r w:rsidR="00A74439">
        <w:t>Merkmalsprozess</w:t>
      </w:r>
      <w:r>
        <w:t xml:space="preserve">, wo der Aufbau der </w:t>
      </w:r>
      <w:r w:rsidR="00765E66">
        <w:t>Merkmalsregel</w:t>
      </w:r>
      <w:r>
        <w:t xml:space="preserve">n sowie </w:t>
      </w:r>
      <w:r w:rsidR="00A74439">
        <w:t xml:space="preserve">die Vorgänge bei ihrem Einschreiben und Auslesen </w:t>
      </w:r>
      <w:r>
        <w:t xml:space="preserve">präzise die Möglichkeiten und Grenzen für den </w:t>
      </w:r>
      <w:r w:rsidR="00A74439">
        <w:t xml:space="preserve">Interpretationsprozess </w:t>
      </w:r>
      <w:r>
        <w:t>abstecken. Damit kann erstmals genau angegeben werden, was stilistisch relevant werden kann und was nicht, und d</w:t>
      </w:r>
      <w:r>
        <w:t>a</w:t>
      </w:r>
      <w:r>
        <w:t>mit insbesondere stilistische Eigenschaften von anderen wie inhaltlich oder funktional</w:t>
      </w:r>
      <w:r w:rsidR="009D1303">
        <w:t xml:space="preserve"> bedingten</w:t>
      </w:r>
      <w:r>
        <w:t xml:space="preserve"> Eigenschaften abgegrenzt werden, was bislang nicht hinre</w:t>
      </w:r>
      <w:r>
        <w:t>i</w:t>
      </w:r>
      <w:r>
        <w:t>chend gelungen ist (vgl. Abschnitt</w:t>
      </w:r>
      <w:r w:rsidR="009D1303">
        <w:t xml:space="preserve"> </w:t>
      </w:r>
      <w:r w:rsidR="005D7996">
        <w:fldChar w:fldCharType="begin"/>
      </w:r>
      <w:r w:rsidR="009D1303">
        <w:instrText xml:space="preserve"> REF _Ref264378576 \r \h </w:instrText>
      </w:r>
      <w:r w:rsidR="005D7996">
        <w:fldChar w:fldCharType="separate"/>
      </w:r>
      <w:r w:rsidR="001231D3">
        <w:t>2.2</w:t>
      </w:r>
      <w:r w:rsidR="005D7996">
        <w:fldChar w:fldCharType="end"/>
      </w:r>
      <w:r>
        <w:t xml:space="preserve">). Die Vorgänge im </w:t>
      </w:r>
      <w:r w:rsidR="00FA103D">
        <w:t>Interpretationsprozess</w:t>
      </w:r>
      <w:r>
        <w:t xml:space="preserve"> lassen dagegen genügend Spielraum, um die beobachtete Vielfalt zu erklären. Hier gibt es keine ‚richtige Lösung‘.</w:t>
      </w:r>
    </w:p>
    <w:p w:rsidR="00D2554C" w:rsidRDefault="00D2554C">
      <w:pPr>
        <w:pStyle w:val="Text"/>
      </w:pPr>
      <w:r>
        <w:t>Um zusammenzufassen: Die Theorie strebt keine genaueren Stilbeschre</w:t>
      </w:r>
      <w:r>
        <w:t>i</w:t>
      </w:r>
      <w:r>
        <w:t xml:space="preserve">bungen an, als sie bislang von Menschen </w:t>
      </w:r>
      <w:r w:rsidR="00854A12">
        <w:t xml:space="preserve">beim Wahrnehmen </w:t>
      </w:r>
      <w:r>
        <w:t xml:space="preserve">von Stilen und </w:t>
      </w:r>
      <w:r w:rsidR="00854A12">
        <w:t xml:space="preserve">beim Austausch </w:t>
      </w:r>
      <w:r>
        <w:t xml:space="preserve">über diese vorgenommen wurden. Sie möchte jedoch so genau wie möglich explizieren, </w:t>
      </w:r>
      <w:r w:rsidR="009C0D1E">
        <w:rPr>
          <w:i/>
          <w:iCs/>
        </w:rPr>
        <w:t xml:space="preserve">in welcher Weise </w:t>
      </w:r>
      <w:r>
        <w:t>Stilbeschreibungen und allgemein die B</w:t>
      </w:r>
      <w:r>
        <w:t>e</w:t>
      </w:r>
      <w:r>
        <w:t xml:space="preserve">schäftigung mit Stilen </w:t>
      </w:r>
      <w:r w:rsidR="009C0D1E">
        <w:t>ablaufen</w:t>
      </w:r>
      <w:r>
        <w:t xml:space="preserve">. Sie will also nicht </w:t>
      </w:r>
      <w:r w:rsidR="009C0D1E">
        <w:t>nur intersubjektiv nachvol</w:t>
      </w:r>
      <w:r w:rsidR="009C0D1E">
        <w:t>l</w:t>
      </w:r>
      <w:r w:rsidR="009C0D1E">
        <w:t xml:space="preserve">ziehbare </w:t>
      </w:r>
      <w:r w:rsidR="00854A12">
        <w:t>Stilw</w:t>
      </w:r>
      <w:r>
        <w:t>ahrnehmung</w:t>
      </w:r>
      <w:r w:rsidR="002A567F">
        <w:t>s- und Beschreibungsweisen</w:t>
      </w:r>
      <w:r w:rsidR="009C0D1E">
        <w:t xml:space="preserve">, sondern das ganze Spektrum der </w:t>
      </w:r>
      <w:r w:rsidR="00F43637">
        <w:t xml:space="preserve">Wahrnehmungsweisen </w:t>
      </w:r>
      <w:r w:rsidR="009C0D1E">
        <w:t xml:space="preserve">von Stil beschreiben. </w:t>
      </w:r>
      <w:r>
        <w:t>Dabei betrachtet sie Stil</w:t>
      </w:r>
      <w:r w:rsidR="00E80B78">
        <w:t xml:space="preserve">, </w:t>
      </w:r>
      <w:r>
        <w:t>wie</w:t>
      </w:r>
      <w:r w:rsidR="00E80B78">
        <w:t xml:space="preserve"> im vorigen Abschnitt erläutert, als ein Phänomen, das nicht erst durch </w:t>
      </w:r>
      <w:r w:rsidR="00E80B78">
        <w:lastRenderedPageBreak/>
        <w:t>den Begriff konstituiert wird, sondern auch unabhängig davon existiert; daher ist es unnötig, zum Verständnis des heute mit dem Begriff ‚Stil‘ bezeichneten Ph</w:t>
      </w:r>
      <w:r w:rsidR="00E80B78">
        <w:t>ä</w:t>
      </w:r>
      <w:r w:rsidR="00E80B78">
        <w:t>nomens die Begriffs</w:t>
      </w:r>
      <w:r w:rsidR="0075007F">
        <w:t>geschichte</w:t>
      </w:r>
      <w:r w:rsidR="00E80B78">
        <w:t xml:space="preserve"> zu untersuchen. </w:t>
      </w:r>
      <w:r w:rsidR="00C02DB7">
        <w:t>Die Theorie geht von der Pr</w:t>
      </w:r>
      <w:r w:rsidR="00C02DB7">
        <w:t>ä</w:t>
      </w:r>
      <w:r w:rsidR="00C02DB7">
        <w:t>misse aus</w:t>
      </w:r>
      <w:r>
        <w:t>, dass wir Phänomene wie beispielsweise bestimmte Arten von Ze</w:t>
      </w:r>
      <w:r>
        <w:t>i</w:t>
      </w:r>
      <w:r>
        <w:t>chenprozessen, die logisch von anderen abgrenzbar sind, ungefähr richtig wah</w:t>
      </w:r>
      <w:r>
        <w:t>r</w:t>
      </w:r>
      <w:r>
        <w:t>nehmen können und dass die Sprache ein geeignetes Mittel ist, um uns über diese Phänomene auszutauschen – und nicht etwa das Mittel, mit de</w:t>
      </w:r>
      <w:r w:rsidR="00806D53">
        <w:t>ss</w:t>
      </w:r>
      <w:r>
        <w:t>en Hilfe wir die uns umgebe</w:t>
      </w:r>
      <w:r w:rsidR="004A11E7">
        <w:t>nde Wirklichkeit erst erzeugen.</w:t>
      </w:r>
    </w:p>
    <w:p w:rsidR="00D2554C" w:rsidRDefault="00D2554C">
      <w:pPr>
        <w:pStyle w:val="Titel2"/>
      </w:pPr>
      <w:bookmarkStart w:id="525" w:name="_Ref214861298"/>
      <w:bookmarkStart w:id="526" w:name="_Toc325456837"/>
      <w:bookmarkStart w:id="527" w:name="Geisteswissenschaften"/>
      <w:bookmarkEnd w:id="523"/>
      <w:r>
        <w:t>Vagheit und Präzision in den Geisteswissenschaften</w:t>
      </w:r>
      <w:bookmarkEnd w:id="525"/>
      <w:bookmarkEnd w:id="526"/>
    </w:p>
    <w:p w:rsidR="00D2554C" w:rsidRDefault="005D7996" w:rsidP="008D0BE9">
      <w:pPr>
        <w:pStyle w:val="Text"/>
        <w:ind w:firstLine="0"/>
      </w:pPr>
      <w:r>
        <w:fldChar w:fldCharType="begin"/>
      </w:r>
      <w:r w:rsidR="00404D2E">
        <w:instrText xml:space="preserve"> XE "Vagheit" \r "Vagheit"</w:instrText>
      </w:r>
      <w:r w:rsidR="009E3151">
        <w:instrText xml:space="preserve"> </w:instrText>
      </w:r>
      <w:r>
        <w:fldChar w:fldCharType="end"/>
      </w:r>
      <w:r>
        <w:fldChar w:fldCharType="begin"/>
      </w:r>
      <w:r w:rsidR="00404D2E">
        <w:instrText xml:space="preserve"> XE "Präzision" \r "Vagheit"</w:instrText>
      </w:r>
      <w:r w:rsidR="009E3151">
        <w:instrText xml:space="preserve"> </w:instrText>
      </w:r>
      <w:r>
        <w:fldChar w:fldCharType="end"/>
      </w:r>
      <w:r>
        <w:fldChar w:fldCharType="begin"/>
      </w:r>
      <w:r w:rsidR="00404D2E">
        <w:instrText xml:space="preserve"> XE "Geisteswissenschaften" \r "Geisteswissenschaften"</w:instrText>
      </w:r>
      <w:r w:rsidR="009E3151">
        <w:instrText xml:space="preserve"> </w:instrText>
      </w:r>
      <w:r>
        <w:fldChar w:fldCharType="end"/>
      </w:r>
      <w:r w:rsidR="00D2554C">
        <w:t>Wie im letzten Abschnitt betont wurde, gab es bisher zwei methodische Haup</w:t>
      </w:r>
      <w:r w:rsidR="00D2554C">
        <w:t>t</w:t>
      </w:r>
      <w:r w:rsidR="00D2554C">
        <w:t>strömungen in den Geisteswissenschaften, die die Vagheit oder die Präzision der Phänomene im Gegenstandsbereich</w:t>
      </w:r>
      <w:r>
        <w:fldChar w:fldCharType="begin"/>
      </w:r>
      <w:r w:rsidR="007924FE">
        <w:instrText xml:space="preserve"> XE "</w:instrText>
      </w:r>
      <w:r w:rsidR="007924FE" w:rsidRPr="00144851">
        <w:instrText>Gegenstandsbereich</w:instrText>
      </w:r>
      <w:r w:rsidR="007924FE">
        <w:instrText xml:space="preserve">" </w:instrText>
      </w:r>
      <w:r>
        <w:fldChar w:fldCharType="end"/>
      </w:r>
      <w:r w:rsidR="00D2554C">
        <w:t xml:space="preserve"> betonten. Beide basieren auf Hypothesen über den Ch</w:t>
      </w:r>
      <w:r w:rsidR="00A9285D">
        <w:t>arakter des Gegenstandsbereichs, die allerdings nicht immer explizit gemacht wurden.</w:t>
      </w:r>
    </w:p>
    <w:p w:rsidR="00D2554C" w:rsidRDefault="00D2554C">
      <w:pPr>
        <w:pStyle w:val="Text"/>
      </w:pPr>
      <w:r>
        <w:t>Die Vagheitshypothese</w:t>
      </w:r>
      <w:r w:rsidR="005D7996">
        <w:fldChar w:fldCharType="begin"/>
      </w:r>
      <w:r w:rsidR="0070014A">
        <w:instrText xml:space="preserve"> XE "</w:instrText>
      </w:r>
      <w:r w:rsidR="0070014A" w:rsidRPr="008D5121">
        <w:instrText>Vagheitshypothese</w:instrText>
      </w:r>
      <w:r w:rsidR="0070014A">
        <w:instrText xml:space="preserve">" </w:instrText>
      </w:r>
      <w:r w:rsidR="005D7996">
        <w:fldChar w:fldCharType="end"/>
      </w:r>
      <w:r>
        <w:t xml:space="preserve"> besagt, dass wir in den Geisteswissenschaften von ganz anderen Funktionsweisen im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ausgehen müssen als in den Naturwissenschaften</w:t>
      </w:r>
      <w:r w:rsidR="005D7996">
        <w:fldChar w:fldCharType="begin"/>
      </w:r>
      <w:r w:rsidR="00946FEC">
        <w:instrText xml:space="preserve"> XE "</w:instrText>
      </w:r>
      <w:r w:rsidR="00946FEC" w:rsidRPr="001B0543">
        <w:instrText>Naturwissenschaften</w:instrText>
      </w:r>
      <w:r w:rsidR="00946FEC">
        <w:instrText xml:space="preserve">" </w:instrText>
      </w:r>
      <w:r w:rsidR="005D7996">
        <w:fldChar w:fldCharType="end"/>
      </w:r>
      <w:r>
        <w:t>; dies impliziert natürlich auch einen anderen Charakter der Theorien. Die Präzisionshypothese</w:t>
      </w:r>
      <w:r w:rsidR="005D7996">
        <w:fldChar w:fldCharType="begin"/>
      </w:r>
      <w:r w:rsidR="0070014A">
        <w:instrText xml:space="preserve"> XE "</w:instrText>
      </w:r>
      <w:r w:rsidR="0070014A" w:rsidRPr="00BD53CB">
        <w:rPr>
          <w:szCs w:val="17"/>
        </w:rPr>
        <w:instrText>Präzisionshypothese</w:instrText>
      </w:r>
      <w:r w:rsidR="0070014A">
        <w:instrText xml:space="preserve">" </w:instrText>
      </w:r>
      <w:r w:rsidR="005D7996">
        <w:fldChar w:fldCharType="end"/>
      </w:r>
      <w:r>
        <w:t xml:space="preserve"> antwortet darauf, dass Wissenschaft möglichst hohe Genauigkeit voraussetzt und die scheinbare Vagheit nur durch den mangelnden Forschungsstand bedingt ist.</w:t>
      </w:r>
      <w:r w:rsidR="00A9285D">
        <w:t xml:space="preserve"> Beide Hypothesen wurden manchmal explizit erläutert – oft in Abgrenzung </w:t>
      </w:r>
      <w:r w:rsidR="003610E0">
        <w:t xml:space="preserve">zur gegenteiligen </w:t>
      </w:r>
      <w:r w:rsidR="00A9285D">
        <w:t>Position, gegen die Argumente angeführt w</w:t>
      </w:r>
      <w:r w:rsidR="003610E0">
        <w:t>u</w:t>
      </w:r>
      <w:r w:rsidR="00A9285D">
        <w:t xml:space="preserve">rden –, </w:t>
      </w:r>
      <w:r w:rsidR="00E30FD5">
        <w:t xml:space="preserve">manchmal blieben </w:t>
      </w:r>
      <w:r w:rsidR="00A9285D">
        <w:t>sie als Grundlage der Wissenschaftsauffassung implizit</w:t>
      </w:r>
      <w:r w:rsidR="00E30FD5">
        <w:t>.</w:t>
      </w:r>
      <w:r w:rsidR="00345EB5">
        <w:rPr>
          <w:rStyle w:val="Funotenzeichen"/>
        </w:rPr>
        <w:footnoteReference w:id="693"/>
      </w:r>
      <w:r w:rsidR="00E30FD5">
        <w:t xml:space="preserve"> Welche Hypothese ein Wissenschaftler annimmt, hängt häufig stark von der wissenschaftlichen Schule ab, durch die er geprägt wurde.</w:t>
      </w:r>
    </w:p>
    <w:p w:rsidR="00D2554C" w:rsidRDefault="00D2554C">
      <w:pPr>
        <w:pStyle w:val="Text"/>
      </w:pPr>
      <w:r>
        <w:t>In der vorliegenden Theorie wird der andersartige Charakter des geisteswi</w:t>
      </w:r>
      <w:r>
        <w:t>s</w:t>
      </w:r>
      <w:r>
        <w:t>senschaftlichen Gegen</w:t>
      </w:r>
      <w:r>
        <w:softHyphen/>
        <w:t>standsbereichs aus der V</w:t>
      </w:r>
      <w:r w:rsidR="002E3205">
        <w:t>agheitshypothese</w:t>
      </w:r>
      <w:r w:rsidR="005D7996">
        <w:fldChar w:fldCharType="begin"/>
      </w:r>
      <w:r w:rsidR="0070014A">
        <w:instrText xml:space="preserve"> XE "</w:instrText>
      </w:r>
      <w:r w:rsidR="0070014A" w:rsidRPr="008D5121">
        <w:instrText>Vagheitshypothese</w:instrText>
      </w:r>
      <w:r w:rsidR="0070014A">
        <w:instrText xml:space="preserve">" </w:instrText>
      </w:r>
      <w:r w:rsidR="005D7996">
        <w:fldChar w:fldCharType="end"/>
      </w:r>
      <w:r w:rsidR="002E3205">
        <w:t xml:space="preserve"> ernst geno</w:t>
      </w:r>
      <w:r w:rsidR="002E3205">
        <w:t>m</w:t>
      </w:r>
      <w:r w:rsidR="002E3205">
        <w:t>men. Nicht alles in d</w:t>
      </w:r>
      <w:r>
        <w:t>iese</w:t>
      </w:r>
      <w:r w:rsidR="002E3205">
        <w:t>m</w:t>
      </w:r>
      <w:r>
        <w:t xml:space="preserve"> Bereich lässt sich mit Regeln beschreiben, an ma</w:t>
      </w:r>
      <w:r>
        <w:t>n</w:t>
      </w:r>
      <w:r>
        <w:t xml:space="preserve">chen Stellen gibt es Spielraum und eine </w:t>
      </w:r>
      <w:r w:rsidR="001E2390">
        <w:t xml:space="preserve">mehr oder minder große </w:t>
      </w:r>
      <w:r>
        <w:t>Variationsbre</w:t>
      </w:r>
      <w:r>
        <w:t>i</w:t>
      </w:r>
      <w:r>
        <w:t>te.</w:t>
      </w:r>
      <w:r>
        <w:rPr>
          <w:rStyle w:val="Funotenzeichen"/>
        </w:rPr>
        <w:footnoteReference w:id="694"/>
      </w:r>
      <w:r>
        <w:t xml:space="preserve"> Für die Beschreibung reicht es auch nicht aus, präzise Regeln zu formu</w:t>
      </w:r>
      <w:r w:rsidR="00F20AB1">
        <w:softHyphen/>
      </w:r>
      <w:r>
        <w:lastRenderedPageBreak/>
        <w:t>lieren und nur für ihre Anwendung eine gewisse Toleranz zu postulieren (ve</w:t>
      </w:r>
      <w:r>
        <w:t>r</w:t>
      </w:r>
      <w:r>
        <w:t>gleichbar etwa der „fuzzy logic“), da dies keine grundsätzlich andersartigen Th</w:t>
      </w:r>
      <w:r>
        <w:t>e</w:t>
      </w:r>
      <w:r>
        <w:t>orien ergibt. So versagten bisherige Stiltheorien aus dem Bereich der Präzision</w:t>
      </w:r>
      <w:r>
        <w:t>s</w:t>
      </w:r>
      <w:r>
        <w:t>hypothese</w:t>
      </w:r>
      <w:r w:rsidR="005D7996">
        <w:fldChar w:fldCharType="begin"/>
      </w:r>
      <w:r w:rsidR="0070014A">
        <w:instrText xml:space="preserve"> XE "</w:instrText>
      </w:r>
      <w:r w:rsidR="0070014A" w:rsidRPr="00BD53CB">
        <w:rPr>
          <w:szCs w:val="17"/>
        </w:rPr>
        <w:instrText>Präzisionshypothese</w:instrText>
      </w:r>
      <w:r w:rsidR="0070014A">
        <w:instrText xml:space="preserve">" </w:instrText>
      </w:r>
      <w:r w:rsidR="005D7996">
        <w:fldChar w:fldCharType="end"/>
      </w:r>
      <w:r>
        <w:t>, weil sie einfache Mechanismen formulieren wollten, die die enorme Bandbreite von Stilphänomenen nicht angemessen beschreiben konnten. Auch die beliebten Klassifikationssysteme, bei denen die Vagheit durch eine (manc</w:t>
      </w:r>
      <w:r>
        <w:t>h</w:t>
      </w:r>
      <w:r>
        <w:t>mal vielfach untergliederte)</w:t>
      </w:r>
      <w:r>
        <w:rPr>
          <w:rStyle w:val="Funotenzeichen"/>
        </w:rPr>
        <w:footnoteReference w:id="695"/>
      </w:r>
      <w:r>
        <w:t xml:space="preserve"> Aufteilung ‚erledigt‘ wird, schaffen keine Abhilfe, sofern das zu beschr</w:t>
      </w:r>
      <w:r w:rsidR="000F53BF">
        <w:t xml:space="preserve">eibende Phänomen nicht zufällig entsprechend </w:t>
      </w:r>
      <w:r>
        <w:t>gegliedert ist.</w:t>
      </w:r>
      <w:r>
        <w:rPr>
          <w:rStyle w:val="Funotenzeichen"/>
        </w:rPr>
        <w:footnoteReference w:id="696"/>
      </w:r>
    </w:p>
    <w:p w:rsidR="00D2554C" w:rsidRDefault="00D2554C">
      <w:pPr>
        <w:pStyle w:val="Text"/>
      </w:pPr>
      <w:r>
        <w:t>Aus der Präzisionshypothese</w:t>
      </w:r>
      <w:r w:rsidR="005D7996">
        <w:fldChar w:fldCharType="begin"/>
      </w:r>
      <w:r w:rsidR="0070014A">
        <w:instrText xml:space="preserve"> XE "</w:instrText>
      </w:r>
      <w:r w:rsidR="0070014A" w:rsidRPr="00BD53CB">
        <w:rPr>
          <w:szCs w:val="17"/>
        </w:rPr>
        <w:instrText>Präzisionshypothese</w:instrText>
      </w:r>
      <w:r w:rsidR="0070014A">
        <w:instrText xml:space="preserve">" </w:instrText>
      </w:r>
      <w:r w:rsidR="005D7996">
        <w:fldChar w:fldCharType="end"/>
      </w:r>
      <w:r>
        <w:t xml:space="preserve"> wird die Erkenntnis übernommen, dass eine angemessene Theorie genau sein muss. Sie darf nicht auf intuitiven Untersche</w:t>
      </w:r>
      <w:r>
        <w:t>i</w:t>
      </w:r>
      <w:r>
        <w:t>dungen aufbauen, insbesondere solchen, die in der Sprache gespeichert sind. So sind manche stilistischen Definitionen zu weit gefasst, dies wird aber nicht b</w:t>
      </w:r>
      <w:r>
        <w:t>e</w:t>
      </w:r>
      <w:r>
        <w:t xml:space="preserve">merkt, weil die Beispiele nicht </w:t>
      </w:r>
      <w:r w:rsidR="00B750FD">
        <w:t>die gesamte Extension</w:t>
      </w:r>
      <w:r w:rsidR="005D7996">
        <w:fldChar w:fldCharType="begin"/>
      </w:r>
      <w:r w:rsidR="003D45C2">
        <w:instrText xml:space="preserve"> XE "</w:instrText>
      </w:r>
      <w:r w:rsidR="003D45C2" w:rsidRPr="0018783F">
        <w:instrText>Extension</w:instrText>
      </w:r>
      <w:r w:rsidR="003D45C2">
        <w:instrText xml:space="preserve">" </w:instrText>
      </w:r>
      <w:r w:rsidR="005D7996">
        <w:fldChar w:fldCharType="end"/>
      </w:r>
      <w:r w:rsidR="00B750FD">
        <w:t xml:space="preserve"> der Definition abdecken, sondern intuitiv </w:t>
      </w:r>
      <w:r>
        <w:t xml:space="preserve">nur aus </w:t>
      </w:r>
      <w:r w:rsidR="00B750FD">
        <w:t xml:space="preserve">jenem </w:t>
      </w:r>
      <w:r w:rsidR="002842F4">
        <w:t>Teil</w:t>
      </w:r>
      <w:r>
        <w:t xml:space="preserve">bereich </w:t>
      </w:r>
      <w:r w:rsidR="00B750FD">
        <w:t xml:space="preserve">der Extension </w:t>
      </w:r>
      <w:r>
        <w:t>genommen werden</w:t>
      </w:r>
      <w:r w:rsidR="002842F4">
        <w:t xml:space="preserve">, </w:t>
      </w:r>
      <w:r w:rsidR="00B750FD">
        <w:t>den wir auch alltagssprachlich als „Stil“ bezeichnen</w:t>
      </w:r>
      <w:r>
        <w:t>.</w:t>
      </w:r>
    </w:p>
    <w:p w:rsidR="00D2554C" w:rsidRDefault="00D2554C">
      <w:pPr>
        <w:pStyle w:val="Text"/>
      </w:pPr>
      <w:r>
        <w:t xml:space="preserve">Die Verbindung beider Hypothesen ist möglich, wenn man einerseits die Anforderungen wissenschaftlichen Denkens auch in den Geisteswissenschaften </w:t>
      </w:r>
      <w:r>
        <w:lastRenderedPageBreak/>
        <w:t>berücksichtigt (dies war eine der zentralen Errungenschaften des Strukturali</w:t>
      </w:r>
      <w:r>
        <w:t>s</w:t>
      </w:r>
      <w:r>
        <w:t>mus</w:t>
      </w:r>
      <w:r w:rsidR="005D7996">
        <w:fldChar w:fldCharType="begin"/>
      </w:r>
      <w:r w:rsidR="000F5037">
        <w:instrText xml:space="preserve"> XE "</w:instrText>
      </w:r>
      <w:r w:rsidR="000F5037" w:rsidRPr="008567DE">
        <w:instrText>Strukturalismus</w:instrText>
      </w:r>
      <w:r w:rsidR="000F5037">
        <w:instrText xml:space="preserve">" </w:instrText>
      </w:r>
      <w:r w:rsidR="005D7996">
        <w:fldChar w:fldCharType="end"/>
      </w:r>
      <w:r>
        <w:t xml:space="preserve"> und der analytischen Philosophie, die jedoch von der Postmoderne</w:t>
      </w:r>
      <w:r w:rsidR="005D7996">
        <w:fldChar w:fldCharType="begin"/>
      </w:r>
      <w:r w:rsidR="00795F2C">
        <w:instrText xml:space="preserve"> XE "</w:instrText>
      </w:r>
      <w:r w:rsidR="00795F2C" w:rsidRPr="00445725">
        <w:instrText>Postmoderne</w:instrText>
      </w:r>
      <w:r w:rsidR="00795F2C">
        <w:instrText xml:space="preserve">" </w:instrText>
      </w:r>
      <w:r w:rsidR="005D7996">
        <w:fldChar w:fldCharType="end"/>
      </w:r>
      <w:r>
        <w:t xml:space="preserve"> wieder aufgegeben wurde). Zugleich muss man den andersartigen Charakter des Gege</w:t>
      </w:r>
      <w:r>
        <w:t>n</w:t>
      </w:r>
      <w:r>
        <w:t>standsbereichs berücksichtigen, indem man Modelle entwickelt, die an den en</w:t>
      </w:r>
      <w:r>
        <w:t>t</w:t>
      </w:r>
      <w:r>
        <w:t>sprechenden Stellen die ‚Vagheit‘, die empirisch feststellbar ist, auch berücksic</w:t>
      </w:r>
      <w:r>
        <w:t>h</w:t>
      </w:r>
      <w:r>
        <w:t>tigt.</w:t>
      </w:r>
      <w:r>
        <w:rPr>
          <w:rStyle w:val="Funotenzeichen"/>
        </w:rPr>
        <w:footnoteReference w:id="697"/>
      </w:r>
    </w:p>
    <w:p w:rsidR="00D2554C" w:rsidRDefault="00D2554C">
      <w:pPr>
        <w:pStyle w:val="Text"/>
      </w:pPr>
      <w:r>
        <w:t xml:space="preserve">Dabei ergibt sich, dass diese scheinbare Vagheit oft als Variationsphänomen präzise gefasst werden kann: </w:t>
      </w:r>
      <w:r w:rsidR="006C6C88">
        <w:t xml:space="preserve">Wird die Beschreibung auf einer hinreichend grundlegenden Ebene gewählt, kann </w:t>
      </w:r>
      <w:r>
        <w:t xml:space="preserve">dennoch eine genaue Beschreibung gegeben werden. Technisch gesprochen ist die (scheinbare) Vagheit eines Phänomens oft Ergebnis einer großen Anzahl von Variablen, die an unterschiedlichen Stellen, oft auch auf unterschiedlichen Ebenen, ineinander greifen. Der menschliche Geist ist offenbar in der Lage, mit solchen Vagheitsphänomenen hervorragend umzugehen; er sieht selbst ein so komplexes Phänomen wie Stil relativ deutlich und ist in der Lage, darüber zu reflektieren, ohne die Funktionsweise im </w:t>
      </w:r>
      <w:r w:rsidR="0011236C">
        <w:t>E</w:t>
      </w:r>
      <w:r>
        <w:t>inze</w:t>
      </w:r>
      <w:r>
        <w:t>l</w:t>
      </w:r>
      <w:r>
        <w:t>nen nachvollzogen zu haben.</w:t>
      </w:r>
    </w:p>
    <w:p w:rsidR="00B56C58" w:rsidRDefault="00D2554C">
      <w:pPr>
        <w:pStyle w:val="Text"/>
      </w:pPr>
      <w:r>
        <w:lastRenderedPageBreak/>
        <w:t xml:space="preserve">Ein Ergebnis der hier geschilderten Herangehensweise sind Theorien, bei denen verschiedene Vorgänge, die eine Reihe von Variablen enthalten, ineinander greifen (im vorliegenden Fall </w:t>
      </w:r>
      <w:r w:rsidR="00FD187C">
        <w:t xml:space="preserve">ist dies beispielsweise bei den </w:t>
      </w:r>
      <w:r w:rsidR="005E5A02">
        <w:t xml:space="preserve">beiden </w:t>
      </w:r>
      <w:r>
        <w:t xml:space="preserve">separat beschreibbaren </w:t>
      </w:r>
      <w:r w:rsidR="005E5A02">
        <w:t>Prozesse</w:t>
      </w:r>
      <w:r w:rsidR="00FD187C">
        <w:t>n</w:t>
      </w:r>
      <w:r>
        <w:t xml:space="preserve">, </w:t>
      </w:r>
      <w:r w:rsidR="005E5A02">
        <w:t xml:space="preserve">Merkmalsprozess und Interpretationsprozess, </w:t>
      </w:r>
      <w:r w:rsidR="00FD187C">
        <w:t xml:space="preserve">der Fall, </w:t>
      </w:r>
      <w:r>
        <w:t xml:space="preserve">die erst zusammen genommen ein angemessenes Stilmodell ergeben). </w:t>
      </w:r>
      <w:r w:rsidR="009F70D2">
        <w:t xml:space="preserve">Oft können die einzelnen Vorgänge dann als </w:t>
      </w:r>
      <w:r>
        <w:t xml:space="preserve">Zeichenprozesse </w:t>
      </w:r>
      <w:r w:rsidR="009F70D2">
        <w:t xml:space="preserve">oder als </w:t>
      </w:r>
      <w:r>
        <w:t xml:space="preserve">regelhafte Prozesse </w:t>
      </w:r>
      <w:r w:rsidR="009F70D2">
        <w:t xml:space="preserve">beschrieben werden. Für die Interaktion </w:t>
      </w:r>
      <w:r w:rsidR="00257F30">
        <w:t xml:space="preserve">solcher </w:t>
      </w:r>
      <w:r w:rsidR="009F70D2">
        <w:t xml:space="preserve">Prozesse lassen sich </w:t>
      </w:r>
      <w:r w:rsidR="00257F30">
        <w:t xml:space="preserve">häufig </w:t>
      </w:r>
      <w:r w:rsidR="009F70D2">
        <w:t>zwar Bedingungen angeben, die sich aus den Prozessen selbst oder durch äußere Anforderungen ergeben, aber kein präziser Ablauf (‚vage‘ Bereiche). D</w:t>
      </w:r>
      <w:r w:rsidR="009F70D2">
        <w:t>a</w:t>
      </w:r>
      <w:r w:rsidR="009F70D2">
        <w:t>zu gehör</w:t>
      </w:r>
      <w:r w:rsidR="00976A5F">
        <w:t>en</w:t>
      </w:r>
      <w:r w:rsidR="009F70D2">
        <w:t xml:space="preserve"> </w:t>
      </w:r>
      <w:r w:rsidR="00B56C58">
        <w:t>in der hier vorgestellten Stiltheorie beispielsweise die Suche nach relevantem Hintergrundwissen</w:t>
      </w:r>
      <w:r w:rsidR="00060CFC">
        <w:t xml:space="preserve"> (vgl. Abschnitt </w:t>
      </w:r>
      <w:r w:rsidR="005D7996">
        <w:fldChar w:fldCharType="begin"/>
      </w:r>
      <w:r w:rsidR="00060CFC">
        <w:instrText xml:space="preserve"> REF _Ref255309936 \r \h </w:instrText>
      </w:r>
      <w:r w:rsidR="005D7996">
        <w:fldChar w:fldCharType="separate"/>
      </w:r>
      <w:r w:rsidR="001231D3">
        <w:t>7.2.2</w:t>
      </w:r>
      <w:r w:rsidR="005D7996">
        <w:fldChar w:fldCharType="end"/>
      </w:r>
      <w:r w:rsidR="00060CFC">
        <w:t>)</w:t>
      </w:r>
      <w:r w:rsidR="00B56C58">
        <w:t xml:space="preserve"> </w:t>
      </w:r>
      <w:r w:rsidR="00976A5F">
        <w:t xml:space="preserve">und </w:t>
      </w:r>
      <w:r w:rsidR="00B56C58">
        <w:t>die Steuerung der I</w:t>
      </w:r>
      <w:r w:rsidR="00B56C58">
        <w:t>n</w:t>
      </w:r>
      <w:r w:rsidR="00B56C58">
        <w:t>terpretation</w:t>
      </w:r>
      <w:r w:rsidR="00221579">
        <w:t xml:space="preserve"> durch die Funktion </w:t>
      </w:r>
      <w:r w:rsidR="00221579" w:rsidRPr="00221579">
        <w:rPr>
          <w:i/>
        </w:rPr>
        <w:t>Interesse</w:t>
      </w:r>
      <w:r w:rsidR="00060CFC">
        <w:t xml:space="preserve"> (</w:t>
      </w:r>
      <w:r w:rsidR="00C93F7D">
        <w:t xml:space="preserve">vgl. Abschnitt </w:t>
      </w:r>
      <w:r w:rsidR="005D7996">
        <w:fldChar w:fldCharType="begin"/>
      </w:r>
      <w:r w:rsidR="00060CFC">
        <w:instrText xml:space="preserve"> REF _Ref255767436 \r \h </w:instrText>
      </w:r>
      <w:r w:rsidR="005D7996">
        <w:fldChar w:fldCharType="separate"/>
      </w:r>
      <w:r w:rsidR="001231D3">
        <w:t>7.2.1</w:t>
      </w:r>
      <w:r w:rsidR="005D7996">
        <w:fldChar w:fldCharType="end"/>
      </w:r>
      <w:r w:rsidR="004E4367">
        <w:t>)</w:t>
      </w:r>
      <w:r w:rsidR="00060CFC">
        <w:t>.</w:t>
      </w:r>
    </w:p>
    <w:p w:rsidR="00D2554C" w:rsidRDefault="00DB3A40">
      <w:pPr>
        <w:pStyle w:val="Text"/>
      </w:pPr>
      <w:r>
        <w:t xml:space="preserve">Für die Theoriebildung bieten sich Prozesstypen an, </w:t>
      </w:r>
      <w:r w:rsidR="00D2554C">
        <w:t>die sich als präzise B</w:t>
      </w:r>
      <w:r w:rsidR="00D2554C">
        <w:t>e</w:t>
      </w:r>
      <w:r w:rsidR="00D2554C">
        <w:t>schreibungselemente in den Geisteswissenschaften bewährt haben (</w:t>
      </w:r>
      <w:r>
        <w:t>neben Ze</w:t>
      </w:r>
      <w:r>
        <w:t>i</w:t>
      </w:r>
      <w:r>
        <w:t xml:space="preserve">chenprozessen sind dies beispielsweise generative Modelle, die </w:t>
      </w:r>
      <w:r w:rsidR="00D2554C">
        <w:t>Grundstrukturen mit einem die beobachtbaren Phänomene generierenden Regelapp</w:t>
      </w:r>
      <w:r>
        <w:t>arat postuli</w:t>
      </w:r>
      <w:r>
        <w:t>e</w:t>
      </w:r>
      <w:r>
        <w:t xml:space="preserve">ren, </w:t>
      </w:r>
      <w:r w:rsidR="00D2554C">
        <w:t>oder Abbildungsvorgänge, wie in der kognitiven Semantik</w:t>
      </w:r>
      <w:r w:rsidR="005D7996">
        <w:fldChar w:fldCharType="begin"/>
      </w:r>
      <w:r w:rsidR="000623C8">
        <w:instrText xml:space="preserve"> XE "</w:instrText>
      </w:r>
      <w:r w:rsidR="000623C8" w:rsidRPr="001A70AD">
        <w:rPr>
          <w:rFonts w:eastAsia="Times New Roman" w:cs="Times New Roman"/>
        </w:rPr>
        <w:instrText>Semantik</w:instrText>
      </w:r>
      <w:r w:rsidR="00857365">
        <w:rPr>
          <w:rFonts w:eastAsia="Times New Roman" w:cs="Times New Roman"/>
        </w:rPr>
        <w:instrText>:kognitive</w:instrText>
      </w:r>
      <w:r w:rsidR="000623C8">
        <w:instrText xml:space="preserve">" </w:instrText>
      </w:r>
      <w:r w:rsidR="005D7996">
        <w:fldChar w:fldCharType="end"/>
      </w:r>
      <w:r w:rsidR="00D2554C">
        <w:t>). Von intuitiven, sich auf das hermeneutische</w:t>
      </w:r>
      <w:r w:rsidR="005D7996">
        <w:fldChar w:fldCharType="begin"/>
      </w:r>
      <w:r w:rsidR="00362558">
        <w:instrText xml:space="preserve"> XE "</w:instrText>
      </w:r>
      <w:r w:rsidR="00362558" w:rsidRPr="009B41D3">
        <w:instrText>Hermeneutik</w:instrText>
      </w:r>
      <w:r w:rsidR="00362558">
        <w:instrText xml:space="preserve">" </w:instrText>
      </w:r>
      <w:r w:rsidR="005D7996">
        <w:fldChar w:fldCharType="end"/>
      </w:r>
      <w:r w:rsidR="00D2554C">
        <w:t xml:space="preserve"> Potential der natürlichen Sprache stützenden B</w:t>
      </w:r>
      <w:r w:rsidR="00D2554C">
        <w:t>e</w:t>
      </w:r>
      <w:r w:rsidR="00D2554C">
        <w:t>schreibungen sollte Abstand genommen werden.</w:t>
      </w:r>
    </w:p>
    <w:p w:rsidR="00D2554C" w:rsidRDefault="00D2554C">
      <w:pPr>
        <w:pStyle w:val="Text"/>
      </w:pPr>
      <w:r>
        <w:t>Zudem muss angegeben sein, wie die verschiedenen postulierten Prozesse ineinander greifen; dabei kann verbleibende Vagheit erklärt werden.</w:t>
      </w:r>
      <w:r>
        <w:rPr>
          <w:rStyle w:val="Funotenzeichen"/>
        </w:rPr>
        <w:footnoteReference w:id="698"/>
      </w:r>
      <w:r>
        <w:t xml:space="preserve"> Es ergibt sich für scheinbar grundlegende Phänomene eine verblüffende Komplexität des Aufbaus. Dagegen „Occams razor</w:t>
      </w:r>
      <w:r w:rsidR="005D7996">
        <w:fldChar w:fldCharType="begin"/>
      </w:r>
      <w:r w:rsidR="00521C74">
        <w:instrText xml:space="preserve"> XE "</w:instrText>
      </w:r>
      <w:r w:rsidR="00521C74" w:rsidRPr="004E11A2">
        <w:instrText>Occams razor</w:instrText>
      </w:r>
      <w:r w:rsidR="00521C74">
        <w:instrText xml:space="preserve">" </w:instrText>
      </w:r>
      <w:r w:rsidR="005D7996">
        <w:fldChar w:fldCharType="end"/>
      </w:r>
      <w:r>
        <w:t>“ – die Forderung nach größtmöglicher Ei</w:t>
      </w:r>
      <w:r>
        <w:t>n</w:t>
      </w:r>
      <w:r>
        <w:t>fachheit – in Stellung zu bringen ist berechtigt; doch die Theorie wird nur dann ‚über die Klinge springen‘, wenn eine einfachere Theorie dasselbe leistet.</w:t>
      </w:r>
    </w:p>
    <w:p w:rsidR="00D2554C" w:rsidRDefault="00D2554C">
      <w:pPr>
        <w:pStyle w:val="Titel2"/>
      </w:pPr>
      <w:bookmarkStart w:id="528" w:name="_Ref223865720"/>
      <w:bookmarkStart w:id="529" w:name="_Toc325456838"/>
      <w:bookmarkEnd w:id="527"/>
      <w:r>
        <w:t>Vagheit und Präzision bei Stil</w:t>
      </w:r>
      <w:bookmarkEnd w:id="528"/>
      <w:bookmarkEnd w:id="529"/>
    </w:p>
    <w:p w:rsidR="00C436B8" w:rsidRDefault="00D2554C" w:rsidP="008D0BE9">
      <w:pPr>
        <w:pStyle w:val="Text"/>
        <w:ind w:firstLine="0"/>
      </w:pPr>
      <w:r>
        <w:t xml:space="preserve">Aus dem oben </w:t>
      </w:r>
      <w:r w:rsidR="00556588">
        <w:t>B</w:t>
      </w:r>
      <w:r>
        <w:t xml:space="preserve">eschriebenen folgt </w:t>
      </w:r>
      <w:r w:rsidR="006D40A8">
        <w:t xml:space="preserve">die </w:t>
      </w:r>
      <w:r>
        <w:t>Forderung nach einer neuen ‚Theorie</w:t>
      </w:r>
      <w:r w:rsidR="00556588">
        <w:t>bi</w:t>
      </w:r>
      <w:r w:rsidR="00556588">
        <w:t>l</w:t>
      </w:r>
      <w:r w:rsidR="00556588">
        <w:t>dungs</w:t>
      </w:r>
      <w:r>
        <w:t>kultur‘ in den Geistes</w:t>
      </w:r>
      <w:r w:rsidR="009D1303">
        <w:t xml:space="preserve">wissenschaften. Diese </w:t>
      </w:r>
      <w:r w:rsidR="00C436B8">
        <w:t>verbindet den Anspruch mö</w:t>
      </w:r>
      <w:r w:rsidR="00C436B8">
        <w:t>g</w:t>
      </w:r>
      <w:r w:rsidR="00C436B8">
        <w:t>lichst weitgehender Beschreibung mit der Aufmerksamkeit auf die Angemesse</w:t>
      </w:r>
      <w:r w:rsidR="00C436B8">
        <w:t>n</w:t>
      </w:r>
      <w:r w:rsidR="00C436B8">
        <w:t>heit der Beschreibung für den Gegenstandsbereich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rsidR="00C436B8">
        <w:t>.</w:t>
      </w:r>
    </w:p>
    <w:p w:rsidR="00D2554C" w:rsidRDefault="00D2554C">
      <w:pPr>
        <w:pStyle w:val="Text"/>
      </w:pPr>
      <w:r>
        <w:t xml:space="preserve">Das Ziel besteht darin, möglichst </w:t>
      </w:r>
      <w:r w:rsidR="00C436B8">
        <w:t xml:space="preserve">tiefgehend und </w:t>
      </w:r>
      <w:r w:rsidR="00C44805">
        <w:t xml:space="preserve">genau den </w:t>
      </w:r>
      <w:r>
        <w:t>Gegenstandsb</w:t>
      </w:r>
      <w:r>
        <w:t>e</w:t>
      </w:r>
      <w:r>
        <w:t>reich</w:t>
      </w:r>
      <w:r w:rsidR="005D7996">
        <w:fldChar w:fldCharType="begin"/>
      </w:r>
      <w:r w:rsidR="007924FE">
        <w:instrText xml:space="preserve"> XE "</w:instrText>
      </w:r>
      <w:r w:rsidR="007924FE" w:rsidRPr="00144851">
        <w:instrText>Gegenstandsbereich</w:instrText>
      </w:r>
      <w:r w:rsidR="007924FE">
        <w:instrText xml:space="preserve">" </w:instrText>
      </w:r>
      <w:r w:rsidR="005D7996">
        <w:fldChar w:fldCharType="end"/>
      </w:r>
      <w:r>
        <w:t xml:space="preserve"> </w:t>
      </w:r>
      <w:r w:rsidR="00C44805">
        <w:t xml:space="preserve">beschreibende </w:t>
      </w:r>
      <w:r>
        <w:t>Theorien zu entwickeln, die aber nicht die Vagheit</w:t>
      </w:r>
      <w:r w:rsidR="00C44805">
        <w:t xml:space="preserve"> im G</w:t>
      </w:r>
      <w:r w:rsidR="00C44805">
        <w:t>e</w:t>
      </w:r>
      <w:r w:rsidR="00C44805">
        <w:lastRenderedPageBreak/>
        <w:t>genstandsbereich übersehen oder glattbügeln</w:t>
      </w:r>
      <w:r>
        <w:t>. Dafür muss man zum einen genau hinschauen, welche Beschreibungsweise jeweils angemessen ist. Zum anderen braucht man Instrumente, um mit Vagheit umzugehen.</w:t>
      </w:r>
    </w:p>
    <w:p w:rsidR="00D2554C" w:rsidRDefault="00D2554C">
      <w:pPr>
        <w:pStyle w:val="Text"/>
      </w:pPr>
      <w:r>
        <w:t xml:space="preserve">In </w:t>
      </w:r>
      <w:r w:rsidR="000F7334">
        <w:t xml:space="preserve">der hier vorgestellten </w:t>
      </w:r>
      <w:r>
        <w:t xml:space="preserve">Theorie </w:t>
      </w:r>
      <w:r w:rsidR="000F7334">
        <w:t>wurde als ein solches Instrument die Da</w:t>
      </w:r>
      <w:r w:rsidR="000F7334">
        <w:t>r</w:t>
      </w:r>
      <w:r w:rsidR="000F7334">
        <w:t xml:space="preserve">stellung der Abläufe mit Hilfe von Programmfunktionen benutzt. Dabei gibt es </w:t>
      </w:r>
      <w:r>
        <w:t xml:space="preserve">Funktionen, </w:t>
      </w:r>
      <w:r w:rsidR="000F7334">
        <w:t>die als Algorithmus</w:t>
      </w:r>
      <w:r w:rsidR="005D7996">
        <w:fldChar w:fldCharType="begin"/>
      </w:r>
      <w:r w:rsidR="00FB6293">
        <w:instrText xml:space="preserve"> XE "</w:instrText>
      </w:r>
      <w:r w:rsidR="00FB6293" w:rsidRPr="001D177D">
        <w:instrText>Algorithmus</w:instrText>
      </w:r>
      <w:r w:rsidR="00FB6293">
        <w:instrText xml:space="preserve">" </w:instrText>
      </w:r>
      <w:r w:rsidR="005D7996">
        <w:fldChar w:fldCharType="end"/>
      </w:r>
      <w:r w:rsidR="000F7334">
        <w:t xml:space="preserve"> dargestellt werden, aber auch solche, </w:t>
      </w:r>
      <w:r>
        <w:t>die vage (</w:t>
      </w:r>
      <w:r w:rsidR="004C5616">
        <w:t>in der Praxis heißt dies oft</w:t>
      </w:r>
      <w:r>
        <w:t xml:space="preserve">: offene, in vielen Varianten </w:t>
      </w:r>
      <w:r w:rsidR="004C5616">
        <w:t>auftretende</w:t>
      </w:r>
      <w:r>
        <w:t xml:space="preserve">) Prozesse </w:t>
      </w:r>
      <w:r w:rsidR="000F7334">
        <w:t>darstellen. Dadurch werden solche Bereiche aus der formalen Darstellung ausg</w:t>
      </w:r>
      <w:r w:rsidR="000F7334">
        <w:t>e</w:t>
      </w:r>
      <w:r w:rsidR="000F7334">
        <w:t>lagert und es kann natürlichsprachlich beschrieben werden</w:t>
      </w:r>
      <w:r>
        <w:t xml:space="preserve">, </w:t>
      </w:r>
      <w:r w:rsidR="000F7334">
        <w:t xml:space="preserve">welche Bedingungen gelten und </w:t>
      </w:r>
      <w:r>
        <w:t xml:space="preserve">welche </w:t>
      </w:r>
      <w:r w:rsidR="000F7334">
        <w:t xml:space="preserve">Varianten </w:t>
      </w:r>
      <w:r>
        <w:t>es dabei vermutlich gibt.</w:t>
      </w:r>
      <w:r w:rsidR="000F7334">
        <w:t xml:space="preserve"> Diese Funktionen b</w:t>
      </w:r>
      <w:r w:rsidR="000F7334">
        <w:t>e</w:t>
      </w:r>
      <w:r w:rsidR="000F7334">
        <w:t>kommen</w:t>
      </w:r>
      <w:r>
        <w:t xml:space="preserve"> Parameter übergeben und </w:t>
      </w:r>
      <w:r w:rsidR="000F7334">
        <w:t xml:space="preserve">liefern </w:t>
      </w:r>
      <w:r>
        <w:t>Wert</w:t>
      </w:r>
      <w:r w:rsidR="000F7334">
        <w:t>e</w:t>
      </w:r>
      <w:r>
        <w:t xml:space="preserve"> zurück</w:t>
      </w:r>
      <w:r w:rsidR="000F7334">
        <w:t>, genau wie präzise def</w:t>
      </w:r>
      <w:r w:rsidR="000F7334">
        <w:t>i</w:t>
      </w:r>
      <w:r w:rsidR="000F7334">
        <w:t>nierte Funktionen. Sie binden</w:t>
      </w:r>
      <w:r>
        <w:t xml:space="preserve"> somit Vagheitsphänomene – etwa solche Bereiche eines Prozesses, in denen es viele Möglichkeiten des Ablaufs gibt, oder solche, bei denen sich nicht analytisch nachvollziehen lässt, wie sie</w:t>
      </w:r>
      <w:r w:rsidR="007C4C02">
        <w:t xml:space="preserve"> ablaufen – in </w:t>
      </w:r>
      <w:r w:rsidR="000F7334">
        <w:t xml:space="preserve">die </w:t>
      </w:r>
      <w:r w:rsidR="007C4C02">
        <w:t>formale Dar</w:t>
      </w:r>
      <w:r>
        <w:t xml:space="preserve">stellung des </w:t>
      </w:r>
      <w:r w:rsidR="007C4C02">
        <w:t>Interpretationsp</w:t>
      </w:r>
      <w:r>
        <w:t>rozesses ein.</w:t>
      </w:r>
    </w:p>
    <w:p w:rsidR="00D2554C" w:rsidRDefault="00D2554C">
      <w:pPr>
        <w:pStyle w:val="Text"/>
      </w:pPr>
      <w:r>
        <w:t xml:space="preserve">Dieses Vorgehen sollte nicht </w:t>
      </w:r>
      <w:r w:rsidR="00352557">
        <w:t xml:space="preserve">bloß </w:t>
      </w:r>
      <w:r>
        <w:t>als ein Eingrenzen des Unverstande</w:t>
      </w:r>
      <w:r w:rsidR="00125DC6">
        <w:t>nen</w:t>
      </w:r>
      <w:r w:rsidR="00352557">
        <w:t xml:space="preserve"> oder</w:t>
      </w:r>
      <w:r w:rsidR="00125DC6">
        <w:t xml:space="preserve"> ein Abtrennen des nicht in die</w:t>
      </w:r>
      <w:r>
        <w:t xml:space="preserve"> </w:t>
      </w:r>
      <w:r w:rsidR="00125DC6">
        <w:t>gewählte formale Darstellungsform P</w:t>
      </w:r>
      <w:r>
        <w:t>asse</w:t>
      </w:r>
      <w:r>
        <w:t>n</w:t>
      </w:r>
      <w:r>
        <w:t>den</w:t>
      </w:r>
      <w:r w:rsidR="00125DC6" w:rsidRPr="00125DC6">
        <w:t xml:space="preserve"> </w:t>
      </w:r>
      <w:r w:rsidR="00125DC6">
        <w:t>verstanden werden</w:t>
      </w:r>
      <w:r>
        <w:t xml:space="preserve">. Vielmehr sind die </w:t>
      </w:r>
      <w:r w:rsidR="00352557">
        <w:t xml:space="preserve">entsprechenden Phänomene als </w:t>
      </w:r>
      <w:r>
        <w:t>Va</w:t>
      </w:r>
      <w:r>
        <w:t>g</w:t>
      </w:r>
      <w:r>
        <w:t xml:space="preserve">heitsphänomene ernst zu nehmen. Dies schließlich natürlich nicht aus, dass sich </w:t>
      </w:r>
      <w:r w:rsidR="00352557">
        <w:t xml:space="preserve">in Zukunft </w:t>
      </w:r>
      <w:r>
        <w:t xml:space="preserve">präzise Darstellungen dafür finden lassen; vielleicht stellt sich heraus, dass die </w:t>
      </w:r>
      <w:r w:rsidR="00352557">
        <w:t>für die entsprechende</w:t>
      </w:r>
      <w:r>
        <w:t xml:space="preserve"> Stelle </w:t>
      </w:r>
      <w:r w:rsidR="00352557">
        <w:t xml:space="preserve">angenommene Vagheit </w:t>
      </w:r>
      <w:r>
        <w:t>überschätzt wurde und es sich genauer klären lässt, was dort geschieht. Stellen, bei denen dies ve</w:t>
      </w:r>
      <w:r>
        <w:t>r</w:t>
      </w:r>
      <w:r>
        <w:t>mutet wird, sollten als nur provisorisch ‚</w:t>
      </w:r>
      <w:r w:rsidR="00D470DB">
        <w:t xml:space="preserve">vage‘ gekennzeichnet werden. Andere </w:t>
      </w:r>
      <w:r>
        <w:t xml:space="preserve">Stellen </w:t>
      </w:r>
      <w:r w:rsidR="00D470DB">
        <w:t xml:space="preserve">dagegen werden </w:t>
      </w:r>
      <w:r>
        <w:t xml:space="preserve">aufgrund theoretischer Überlegungen oder betrachteter Beispiele als vage eingestuft werden; hier handelt es sich </w:t>
      </w:r>
      <w:r w:rsidR="00D470DB">
        <w:t>somit bei der beschri</w:t>
      </w:r>
      <w:r w:rsidR="00D470DB">
        <w:t>e</w:t>
      </w:r>
      <w:r w:rsidR="00D470DB">
        <w:t xml:space="preserve">benen Vorgehensweise nicht um ein </w:t>
      </w:r>
      <w:r>
        <w:t>Eingrenzen des noch Unverstandenen, so</w:t>
      </w:r>
      <w:r>
        <w:t>n</w:t>
      </w:r>
      <w:r>
        <w:t>dern um eine angemessene Beschreibung.</w:t>
      </w:r>
      <w:r w:rsidR="000F7334">
        <w:rPr>
          <w:rStyle w:val="Funotenzeichen"/>
        </w:rPr>
        <w:footnoteReference w:id="699"/>
      </w:r>
    </w:p>
    <w:p w:rsidR="00DC5364" w:rsidRDefault="006057C1">
      <w:pPr>
        <w:pStyle w:val="Text"/>
        <w:rPr>
          <w:rFonts w:cs="Times New Roman"/>
        </w:rPr>
      </w:pPr>
      <w:r>
        <w:rPr>
          <w:rFonts w:cs="Times New Roman"/>
        </w:rPr>
        <w:t xml:space="preserve">Welche Rolle spielt Vagheit beim Phänomen Stil? </w:t>
      </w:r>
      <w:r w:rsidR="00DC5364">
        <w:rPr>
          <w:rFonts w:cs="Times New Roman"/>
        </w:rPr>
        <w:t>Einerseits ist Stil b</w:t>
      </w:r>
      <w:r w:rsidR="00DC5364">
        <w:rPr>
          <w:rFonts w:cs="Times New Roman"/>
        </w:rPr>
        <w:t>e</w:t>
      </w:r>
      <w:r w:rsidR="00DC5364">
        <w:rPr>
          <w:rFonts w:cs="Times New Roman"/>
        </w:rPr>
        <w:t>stimmten allgemeinen Bedingungen unterworfen, die durch das Modell darg</w:t>
      </w:r>
      <w:r w:rsidR="00DC5364">
        <w:rPr>
          <w:rFonts w:cs="Times New Roman"/>
        </w:rPr>
        <w:t>e</w:t>
      </w:r>
      <w:r w:rsidR="00DC5364">
        <w:rPr>
          <w:rFonts w:cs="Times New Roman"/>
        </w:rPr>
        <w:t>stellt werden sollen. Wo diese Bedingungen Spielraum lassen, können die Stil</w:t>
      </w:r>
      <w:r w:rsidR="000472C0">
        <w:rPr>
          <w:rFonts w:cs="Times New Roman"/>
        </w:rPr>
        <w:t>a</w:t>
      </w:r>
      <w:r w:rsidR="000472C0">
        <w:rPr>
          <w:rFonts w:cs="Times New Roman"/>
        </w:rPr>
        <w:t>n</w:t>
      </w:r>
      <w:r w:rsidR="00DC5364">
        <w:rPr>
          <w:rFonts w:cs="Times New Roman"/>
        </w:rPr>
        <w:t>wender weitere Möglichkeiten finden. Dies gilt etwa für die Sorten von Able</w:t>
      </w:r>
      <w:r w:rsidR="00DC5364">
        <w:rPr>
          <w:rFonts w:cs="Times New Roman"/>
        </w:rPr>
        <w:t>i</w:t>
      </w:r>
      <w:r w:rsidR="00DC5364">
        <w:rPr>
          <w:rFonts w:cs="Times New Roman"/>
        </w:rPr>
        <w:t>tungen, die mit Stilen erzeugt werden können.</w:t>
      </w:r>
      <w:r w:rsidR="00BA4DE9">
        <w:rPr>
          <w:rStyle w:val="Funotenzeichen"/>
          <w:rFonts w:cs="Times New Roman"/>
        </w:rPr>
        <w:footnoteReference w:id="700"/>
      </w:r>
      <w:r w:rsidR="00DC5364">
        <w:rPr>
          <w:rFonts w:cs="Times New Roman"/>
        </w:rPr>
        <w:t xml:space="preserve"> Wenn das Modell Offenheit zulässt, ist damit zwar die Vermutung, aber nicht die Behauptung tatsächlicher weiterer Möglichkeiten verbunden. In manchen Fällen könnten andere Ei</w:t>
      </w:r>
      <w:r w:rsidR="00DC5364">
        <w:rPr>
          <w:rFonts w:cs="Times New Roman"/>
        </w:rPr>
        <w:t>n</w:t>
      </w:r>
      <w:r w:rsidR="00DC5364">
        <w:rPr>
          <w:rFonts w:cs="Times New Roman"/>
        </w:rPr>
        <w:t>schränkungen (möglicherweise solche, die nur auf empirischer Ebene festzuste</w:t>
      </w:r>
      <w:r w:rsidR="00DC5364">
        <w:rPr>
          <w:rFonts w:cs="Times New Roman"/>
        </w:rPr>
        <w:t>l</w:t>
      </w:r>
      <w:r w:rsidR="00DC5364">
        <w:rPr>
          <w:rFonts w:cs="Times New Roman"/>
        </w:rPr>
        <w:t>len sind</w:t>
      </w:r>
      <w:r w:rsidR="00851F83">
        <w:rPr>
          <w:rFonts w:cs="Times New Roman"/>
        </w:rPr>
        <w:t>, oder auch solche, die durch theoretische Erwägungen unabhängig vom hier vorgestellten Stilmodell festgestellt werden können</w:t>
      </w:r>
      <w:r w:rsidR="00DC5364">
        <w:rPr>
          <w:rFonts w:cs="Times New Roman"/>
        </w:rPr>
        <w:t xml:space="preserve">) dafür sorgen, dass in </w:t>
      </w:r>
      <w:r w:rsidR="00DC5364">
        <w:rPr>
          <w:rFonts w:cs="Times New Roman"/>
        </w:rPr>
        <w:lastRenderedPageBreak/>
        <w:t>der Praxis keine solchen Erweiterungsmöglichkeiten existieren; dies ist dann jedoch vom Standpunkt des konstruierten allgemeinen Modells aus ein kontingenter Sachver</w:t>
      </w:r>
      <w:r w:rsidR="00851F83">
        <w:rPr>
          <w:rFonts w:cs="Times New Roman"/>
        </w:rPr>
        <w:t>halt. Es wird allerdings angenommen, dass in der Regel dort, wo das Modell Offenheit postuliert, auch tatsächliche Möglichkeiten für Kreativität</w:t>
      </w:r>
      <w:r w:rsidR="005D7996">
        <w:rPr>
          <w:rFonts w:cs="Times New Roman"/>
        </w:rPr>
        <w:fldChar w:fldCharType="begin"/>
      </w:r>
      <w:r w:rsidR="00134E70">
        <w:instrText xml:space="preserve"> XE "</w:instrText>
      </w:r>
      <w:r w:rsidR="00134E70" w:rsidRPr="00AC535C">
        <w:rPr>
          <w:rFonts w:cs="Times New Roman"/>
        </w:rPr>
        <w:instrText>Kreativität</w:instrText>
      </w:r>
      <w:r w:rsidR="00134E70">
        <w:instrText xml:space="preserve">" </w:instrText>
      </w:r>
      <w:r w:rsidR="005D7996">
        <w:rPr>
          <w:rFonts w:cs="Times New Roman"/>
        </w:rPr>
        <w:fldChar w:fldCharType="end"/>
      </w:r>
      <w:r w:rsidR="00851F83">
        <w:rPr>
          <w:rFonts w:cs="Times New Roman"/>
        </w:rPr>
        <w:t xml:space="preserve"> gegeben sind.</w:t>
      </w:r>
    </w:p>
    <w:p w:rsidR="007422DA" w:rsidRDefault="007422DA">
      <w:pPr>
        <w:pStyle w:val="Text"/>
        <w:rPr>
          <w:rFonts w:cs="Times New Roman"/>
        </w:rPr>
      </w:pPr>
      <w:r>
        <w:rPr>
          <w:rFonts w:cs="Times New Roman"/>
        </w:rPr>
        <w:t>Der Beschreibungsirrtum</w:t>
      </w:r>
      <w:r w:rsidR="005D7996">
        <w:rPr>
          <w:rFonts w:cs="Times New Roman"/>
        </w:rPr>
        <w:fldChar w:fldCharType="begin"/>
      </w:r>
      <w:r w:rsidR="008137D5">
        <w:instrText xml:space="preserve"> XE "</w:instrText>
      </w:r>
      <w:r w:rsidR="008137D5" w:rsidRPr="00E22230">
        <w:rPr>
          <w:rFonts w:cs="Times New Roman"/>
        </w:rPr>
        <w:instrText>Beschreibungsirrtum</w:instrText>
      </w:r>
      <w:r w:rsidR="008137D5">
        <w:instrText xml:space="preserve">" </w:instrText>
      </w:r>
      <w:r w:rsidR="005D7996">
        <w:rPr>
          <w:rFonts w:cs="Times New Roman"/>
        </w:rPr>
        <w:fldChar w:fldCharType="end"/>
      </w:r>
      <w:r>
        <w:rPr>
          <w:rFonts w:cs="Times New Roman"/>
        </w:rPr>
        <w:t xml:space="preserve">, nicht die genaue Beschreibung eines Phänomens, sondern die Beschreibung eines möglichst genauen Phänomens zu fordern, </w:t>
      </w:r>
      <w:r w:rsidR="00E77367">
        <w:rPr>
          <w:rFonts w:cs="Times New Roman"/>
        </w:rPr>
        <w:t xml:space="preserve">ist </w:t>
      </w:r>
      <w:r>
        <w:rPr>
          <w:rFonts w:cs="Times New Roman"/>
        </w:rPr>
        <w:t xml:space="preserve">im Bereich der Stilinterpretation </w:t>
      </w:r>
      <w:r w:rsidR="00E77367">
        <w:rPr>
          <w:rFonts w:cs="Times New Roman"/>
        </w:rPr>
        <w:t>besonders verbreitet</w:t>
      </w:r>
      <w:r>
        <w:rPr>
          <w:rFonts w:cs="Times New Roman"/>
        </w:rPr>
        <w:t xml:space="preserve">. </w:t>
      </w:r>
      <w:r w:rsidR="00E77367">
        <w:rPr>
          <w:rFonts w:cs="Times New Roman"/>
        </w:rPr>
        <w:t xml:space="preserve">Häufig wird </w:t>
      </w:r>
      <w:r>
        <w:rPr>
          <w:rFonts w:cs="Times New Roman"/>
        </w:rPr>
        <w:t>gefordert, den Umgang mit Stilen auf eine ‚wissenschaftliche Basis‘ zu stellen, indem man inte</w:t>
      </w:r>
      <w:r>
        <w:rPr>
          <w:rFonts w:cs="Times New Roman"/>
        </w:rPr>
        <w:t>r</w:t>
      </w:r>
      <w:r>
        <w:rPr>
          <w:rFonts w:cs="Times New Roman"/>
        </w:rPr>
        <w:t>subjektiv überprüfbare Methoden der Stilanalyse angibt. So schreibt Bernd Spillner:</w:t>
      </w:r>
      <w:r w:rsidR="00635AB1">
        <w:rPr>
          <w:rStyle w:val="Funotenzeichen"/>
          <w:rFonts w:cs="Times New Roman"/>
        </w:rPr>
        <w:footnoteReference w:id="701"/>
      </w:r>
    </w:p>
    <w:p w:rsidR="00635AB1" w:rsidRDefault="00635AB1" w:rsidP="00635AB1">
      <w:pPr>
        <w:pStyle w:val="Zitat"/>
      </w:pPr>
      <w:r>
        <w:t>Die Anwendbarkeit solcher Methoden [der konkreten Stilanalyse] an einem größeren Corpus unterschiedlicher Texte könnte überzeugender für die vertr</w:t>
      </w:r>
      <w:r>
        <w:t>e</w:t>
      </w:r>
      <w:r>
        <w:t>tene Stilkonzeption sein als theoretische Distinktionen über den Status des Stils. So hätten die Anhänger der Konzeption von Stil als „</w:t>
      </w:r>
      <w:r w:rsidRPr="00635AB1">
        <w:rPr>
          <w:i/>
        </w:rPr>
        <w:t>Auswahl</w:t>
      </w:r>
      <w:r>
        <w:t>“ („Choice“, „Choix“) Verfahren vorschlagen können, wie die konkurrierenden Möglichke</w:t>
      </w:r>
      <w:r>
        <w:t>i</w:t>
      </w:r>
      <w:r>
        <w:t>ten von Grammatik und Lexik zusammengestellt werden können, die dem A</w:t>
      </w:r>
      <w:r>
        <w:t>u</w:t>
      </w:r>
      <w:r>
        <w:t>tor bei der Abfassung eines Textes vom Sprachsystem her (potentiell) zur Ve</w:t>
      </w:r>
      <w:r>
        <w:t>r</w:t>
      </w:r>
      <w:r>
        <w:t>fügung standen. Sie hätten dem Textinterpreten dann methodische Wege ze</w:t>
      </w:r>
      <w:r>
        <w:t>i</w:t>
      </w:r>
      <w:r>
        <w:t xml:space="preserve">gen müssen, wie die stilistischen Markierungen der potentiellen Varianten zu ermitteln sind, wie sie im </w:t>
      </w:r>
      <w:r w:rsidRPr="00635AB1">
        <w:rPr>
          <w:i/>
        </w:rPr>
        <w:t>Vergleich</w:t>
      </w:r>
      <w:r>
        <w:t xml:space="preserve"> zu bewerten sind und welche Hypothesen die „gewählte“ Textfassung im Hinblick auf Intentionen des Autors, mögliche Stileffekte, Wirkungen auf den zeitgenössischen Leser etc. nahelegt. Die Anh</w:t>
      </w:r>
      <w:r>
        <w:t>ä</w:t>
      </w:r>
      <w:r>
        <w:t xml:space="preserve">nger der Auffassung von Stil als </w:t>
      </w:r>
      <w:r w:rsidRPr="00635AB1">
        <w:rPr>
          <w:i/>
        </w:rPr>
        <w:t>Abweichung</w:t>
      </w:r>
      <w:r>
        <w:t xml:space="preserve"> von einer sprachlichen Norm</w:t>
      </w:r>
      <w:r w:rsidR="005D7996">
        <w:fldChar w:fldCharType="begin"/>
      </w:r>
      <w:r w:rsidR="00597B1A">
        <w:instrText xml:space="preserve"> XE "</w:instrText>
      </w:r>
      <w:r w:rsidR="00597B1A" w:rsidRPr="00DD6518">
        <w:instrText>Norm</w:instrText>
      </w:r>
      <w:r w:rsidR="00597B1A">
        <w:instrText xml:space="preserve">" </w:instrText>
      </w:r>
      <w:r w:rsidR="005D7996">
        <w:fldChar w:fldCharType="end"/>
      </w:r>
      <w:r>
        <w:t xml:space="preserve"> („déviance“, „écart“) hätten dem Stilinterpreten mitteilen sollen, wie man </w:t>
      </w:r>
      <w:r w:rsidRPr="00635AB1">
        <w:rPr>
          <w:i/>
        </w:rPr>
        <w:t>die</w:t>
      </w:r>
      <w:r>
        <w:t xml:space="preserve"> zeitgenössische Norm mithilfe von Grammatiken und Wörterbüchern ermi</w:t>
      </w:r>
      <w:r>
        <w:t>t</w:t>
      </w:r>
      <w:r>
        <w:t xml:space="preserve">telt, wie man mit solchen Wortlisten und Strukturbeschreibungen des </w:t>
      </w:r>
      <w:r w:rsidRPr="00635AB1">
        <w:rPr>
          <w:i/>
        </w:rPr>
        <w:t>Sprac</w:t>
      </w:r>
      <w:r w:rsidRPr="00635AB1">
        <w:rPr>
          <w:i/>
        </w:rPr>
        <w:t>h</w:t>
      </w:r>
      <w:r w:rsidRPr="00635AB1">
        <w:rPr>
          <w:i/>
        </w:rPr>
        <w:t>systems</w:t>
      </w:r>
      <w:r w:rsidR="005D7996">
        <w:rPr>
          <w:i/>
        </w:rPr>
        <w:fldChar w:fldCharType="begin"/>
      </w:r>
      <w:r w:rsidR="000623C8">
        <w:instrText xml:space="preserve"> XE "</w:instrText>
      </w:r>
      <w:r w:rsidR="000623C8" w:rsidRPr="000E2D76">
        <w:rPr>
          <w:rFonts w:eastAsia="Times New Roman" w:cs="Times New Roman"/>
        </w:rPr>
        <w:instrText>Sprachsystem</w:instrText>
      </w:r>
      <w:r w:rsidR="000623C8">
        <w:instrText xml:space="preserve">" </w:instrText>
      </w:r>
      <w:r w:rsidR="005D7996">
        <w:rPr>
          <w:i/>
        </w:rPr>
        <w:fldChar w:fldCharType="end"/>
      </w:r>
      <w:r>
        <w:t xml:space="preserve"> im Vergleich eine Abweichung im </w:t>
      </w:r>
      <w:r w:rsidRPr="00635AB1">
        <w:rPr>
          <w:i/>
        </w:rPr>
        <w:t>Text</w:t>
      </w:r>
      <w:r>
        <w:t xml:space="preserve"> feststellt (!?), wie man die stili</w:t>
      </w:r>
      <w:r>
        <w:t>s</w:t>
      </w:r>
      <w:r>
        <w:t>tische Differenzqualität einer Abweichung bestimmt usw.</w:t>
      </w:r>
    </w:p>
    <w:p w:rsidR="00FD607F" w:rsidRDefault="00635AB1" w:rsidP="00FA2CCC">
      <w:pPr>
        <w:pStyle w:val="Text"/>
        <w:ind w:firstLine="0"/>
        <w:rPr>
          <w:rFonts w:cs="Times New Roman"/>
        </w:rPr>
      </w:pPr>
      <w:r>
        <w:rPr>
          <w:rFonts w:cs="Times New Roman"/>
        </w:rPr>
        <w:t xml:space="preserve">Spillner stellt die Forderung auf, dass die Vertreter einer bestimmten Stiltheorie zum Nachweis der Richtigkeit ihrer Theorie </w:t>
      </w:r>
      <w:r w:rsidR="00FD607F">
        <w:rPr>
          <w:rFonts w:cs="Times New Roman"/>
        </w:rPr>
        <w:t xml:space="preserve">sehr </w:t>
      </w:r>
      <w:r>
        <w:rPr>
          <w:rFonts w:cs="Times New Roman"/>
        </w:rPr>
        <w:t xml:space="preserve">präzise Methoden angeben </w:t>
      </w:r>
      <w:r w:rsidR="00FD607F">
        <w:rPr>
          <w:rFonts w:cs="Times New Roman"/>
        </w:rPr>
        <w:t>sollen</w:t>
      </w:r>
      <w:r>
        <w:rPr>
          <w:rFonts w:cs="Times New Roman"/>
        </w:rPr>
        <w:t xml:space="preserve">, mit denen sich auf Basis dieser Theorien bestimmte </w:t>
      </w:r>
      <w:r w:rsidR="00CA20F4">
        <w:rPr>
          <w:rFonts w:cs="Times New Roman"/>
        </w:rPr>
        <w:t xml:space="preserve">Stileffekte </w:t>
      </w:r>
      <w:r>
        <w:rPr>
          <w:rFonts w:cs="Times New Roman"/>
        </w:rPr>
        <w:t xml:space="preserve">erzeugen lassen. Diese Methoden müssen zu intersubjektiv überprüfbaren Ergebnissen führen. </w:t>
      </w:r>
      <w:r w:rsidR="00FD607F">
        <w:rPr>
          <w:rFonts w:cs="Times New Roman"/>
        </w:rPr>
        <w:t>Dieser Anspruch ist normativ: Es wird angenommen, dass diejenige Sti</w:t>
      </w:r>
      <w:r w:rsidR="00FD607F">
        <w:rPr>
          <w:rFonts w:cs="Times New Roman"/>
        </w:rPr>
        <w:t>l</w:t>
      </w:r>
      <w:r w:rsidR="00FD607F">
        <w:rPr>
          <w:rFonts w:cs="Times New Roman"/>
        </w:rPr>
        <w:t>theorie besser ist, die zu einer präzisen Methodik der Stilinterpretation führt. Beschreibungs- und Objektebene</w:t>
      </w:r>
      <w:r w:rsidR="005D7996">
        <w:rPr>
          <w:rFonts w:cs="Times New Roman"/>
        </w:rPr>
        <w:fldChar w:fldCharType="begin"/>
      </w:r>
      <w:r w:rsidR="00FF0C8B">
        <w:instrText xml:space="preserve"> XE "</w:instrText>
      </w:r>
      <w:r w:rsidR="00FF0C8B" w:rsidRPr="00A23307">
        <w:instrText>Objektebene (Wissenschaftstheorie)</w:instrText>
      </w:r>
      <w:r w:rsidR="00FF0C8B">
        <w:instrText xml:space="preserve">" </w:instrText>
      </w:r>
      <w:r w:rsidR="005D7996">
        <w:rPr>
          <w:rFonts w:cs="Times New Roman"/>
        </w:rPr>
        <w:fldChar w:fldCharType="end"/>
      </w:r>
      <w:r w:rsidR="00FD607F">
        <w:rPr>
          <w:rFonts w:cs="Times New Roman"/>
        </w:rPr>
        <w:t xml:space="preserve"> werden </w:t>
      </w:r>
      <w:r w:rsidR="00C528A6">
        <w:rPr>
          <w:rFonts w:cs="Times New Roman"/>
        </w:rPr>
        <w:t xml:space="preserve">dabei </w:t>
      </w:r>
      <w:r w:rsidR="00FD607F">
        <w:rPr>
          <w:rFonts w:cs="Times New Roman"/>
        </w:rPr>
        <w:t>verwechselt</w:t>
      </w:r>
      <w:r w:rsidR="00C528A6">
        <w:rPr>
          <w:rFonts w:cs="Times New Roman"/>
        </w:rPr>
        <w:t>.</w:t>
      </w:r>
      <w:r w:rsidR="00FD607F">
        <w:rPr>
          <w:rFonts w:cs="Times New Roman"/>
        </w:rPr>
        <w:t xml:space="preserve"> Tatsächlich muss von einer Stiltheorie </w:t>
      </w:r>
      <w:r w:rsidR="00C528A6">
        <w:rPr>
          <w:rFonts w:cs="Times New Roman"/>
        </w:rPr>
        <w:t xml:space="preserve">wie von jeder Theorie </w:t>
      </w:r>
      <w:r w:rsidR="00FD607F">
        <w:rPr>
          <w:rFonts w:cs="Times New Roman"/>
        </w:rPr>
        <w:t xml:space="preserve">gefordert werden, dass sie das </w:t>
      </w:r>
      <w:r w:rsidR="00C528A6">
        <w:rPr>
          <w:rFonts w:cs="Times New Roman"/>
        </w:rPr>
        <w:t>unte</w:t>
      </w:r>
      <w:r w:rsidR="00C528A6">
        <w:rPr>
          <w:rFonts w:cs="Times New Roman"/>
        </w:rPr>
        <w:t>r</w:t>
      </w:r>
      <w:r w:rsidR="00C528A6">
        <w:rPr>
          <w:rFonts w:cs="Times New Roman"/>
        </w:rPr>
        <w:t xml:space="preserve">suchte </w:t>
      </w:r>
      <w:r w:rsidR="00FD607F">
        <w:rPr>
          <w:rFonts w:cs="Times New Roman"/>
        </w:rPr>
        <w:t xml:space="preserve">Phänomen möglichst präzise </w:t>
      </w:r>
      <w:r w:rsidR="00C528A6">
        <w:rPr>
          <w:rFonts w:cs="Times New Roman"/>
        </w:rPr>
        <w:t>beschreibt</w:t>
      </w:r>
      <w:r w:rsidR="00FD607F">
        <w:rPr>
          <w:rFonts w:cs="Times New Roman"/>
        </w:rPr>
        <w:t xml:space="preserve">. Wenn sie jedoch für </w:t>
      </w:r>
      <w:r w:rsidR="00C528A6">
        <w:rPr>
          <w:rFonts w:cs="Times New Roman"/>
        </w:rPr>
        <w:t xml:space="preserve">alle aus Stilen ‚korrekterweise‘ ableitbaren </w:t>
      </w:r>
      <w:r w:rsidR="00CA20F4">
        <w:rPr>
          <w:rFonts w:cs="Times New Roman"/>
        </w:rPr>
        <w:t xml:space="preserve">Interpretationsergebnisse </w:t>
      </w:r>
      <w:r w:rsidR="00C528A6">
        <w:rPr>
          <w:rFonts w:cs="Times New Roman"/>
        </w:rPr>
        <w:t xml:space="preserve">eine </w:t>
      </w:r>
      <w:r w:rsidR="00FD607F">
        <w:rPr>
          <w:rFonts w:cs="Times New Roman"/>
        </w:rPr>
        <w:t>präzise M</w:t>
      </w:r>
      <w:r w:rsidR="00FD607F">
        <w:rPr>
          <w:rFonts w:cs="Times New Roman"/>
        </w:rPr>
        <w:t>e</w:t>
      </w:r>
      <w:r w:rsidR="00FD607F">
        <w:rPr>
          <w:rFonts w:cs="Times New Roman"/>
        </w:rPr>
        <w:t xml:space="preserve">thode </w:t>
      </w:r>
      <w:r w:rsidR="00CA20F4">
        <w:rPr>
          <w:rFonts w:cs="Times New Roman"/>
        </w:rPr>
        <w:t>angeben will</w:t>
      </w:r>
      <w:r w:rsidR="00FD607F">
        <w:rPr>
          <w:rFonts w:cs="Times New Roman"/>
        </w:rPr>
        <w:t xml:space="preserve">, während der wirkliche Umgang mit Stilen </w:t>
      </w:r>
      <w:r w:rsidR="00C528A6">
        <w:rPr>
          <w:rFonts w:cs="Times New Roman"/>
        </w:rPr>
        <w:t>im Interpretat</w:t>
      </w:r>
      <w:r w:rsidR="00C528A6">
        <w:rPr>
          <w:rFonts w:cs="Times New Roman"/>
        </w:rPr>
        <w:t>i</w:t>
      </w:r>
      <w:r w:rsidR="00C528A6">
        <w:rPr>
          <w:rFonts w:cs="Times New Roman"/>
        </w:rPr>
        <w:t xml:space="preserve">onsprozess </w:t>
      </w:r>
      <w:r w:rsidR="00FD607F">
        <w:rPr>
          <w:rFonts w:cs="Times New Roman"/>
        </w:rPr>
        <w:t xml:space="preserve">vielfältig </w:t>
      </w:r>
      <w:r w:rsidR="00C528A6">
        <w:rPr>
          <w:rFonts w:cs="Times New Roman"/>
        </w:rPr>
        <w:t xml:space="preserve">ist </w:t>
      </w:r>
      <w:r w:rsidR="00FD607F">
        <w:rPr>
          <w:rFonts w:cs="Times New Roman"/>
        </w:rPr>
        <w:t xml:space="preserve">und keine feste Methode aufweist, dann </w:t>
      </w:r>
      <w:r w:rsidR="00C22217">
        <w:rPr>
          <w:rFonts w:cs="Times New Roman"/>
        </w:rPr>
        <w:t xml:space="preserve">passt </w:t>
      </w:r>
      <w:r w:rsidR="00FD607F">
        <w:rPr>
          <w:rFonts w:cs="Times New Roman"/>
        </w:rPr>
        <w:t xml:space="preserve">eine solche Stiltheorie </w:t>
      </w:r>
      <w:r w:rsidR="00C22217">
        <w:rPr>
          <w:rFonts w:cs="Times New Roman"/>
        </w:rPr>
        <w:t xml:space="preserve">nicht </w:t>
      </w:r>
      <w:r w:rsidR="00C45B99">
        <w:rPr>
          <w:rFonts w:cs="Times New Roman"/>
        </w:rPr>
        <w:t xml:space="preserve">präzise </w:t>
      </w:r>
      <w:r w:rsidR="00C22217">
        <w:rPr>
          <w:rFonts w:cs="Times New Roman"/>
        </w:rPr>
        <w:t xml:space="preserve">zum </w:t>
      </w:r>
      <w:r w:rsidR="00FD607F">
        <w:rPr>
          <w:rFonts w:cs="Times New Roman"/>
        </w:rPr>
        <w:t>Gegenstandsbereich</w:t>
      </w:r>
      <w:r w:rsidR="005D7996">
        <w:rPr>
          <w:rFonts w:cs="Times New Roman"/>
        </w:rPr>
        <w:fldChar w:fldCharType="begin"/>
      </w:r>
      <w:r w:rsidR="007924FE">
        <w:instrText xml:space="preserve"> XE "</w:instrText>
      </w:r>
      <w:r w:rsidR="007924FE" w:rsidRPr="00144851">
        <w:instrText>Gegenstandsbereich</w:instrText>
      </w:r>
      <w:r w:rsidR="007924FE">
        <w:instrText xml:space="preserve">" </w:instrText>
      </w:r>
      <w:r w:rsidR="005D7996">
        <w:rPr>
          <w:rFonts w:cs="Times New Roman"/>
        </w:rPr>
        <w:fldChar w:fldCharType="end"/>
      </w:r>
      <w:r w:rsidR="00C22217">
        <w:rPr>
          <w:rFonts w:cs="Times New Roman"/>
        </w:rPr>
        <w:t>.</w:t>
      </w:r>
    </w:p>
    <w:p w:rsidR="00C528A6" w:rsidRDefault="00C45B99" w:rsidP="008D0BE9">
      <w:pPr>
        <w:pStyle w:val="Text"/>
        <w:rPr>
          <w:rFonts w:cs="Times New Roman"/>
        </w:rPr>
      </w:pPr>
      <w:r>
        <w:rPr>
          <w:rFonts w:cs="Times New Roman"/>
        </w:rPr>
        <w:lastRenderedPageBreak/>
        <w:t xml:space="preserve">Spillner stellt mehrere Methoden </w:t>
      </w:r>
      <w:r w:rsidR="006309D9">
        <w:rPr>
          <w:rFonts w:cs="Times New Roman"/>
        </w:rPr>
        <w:t xml:space="preserve">der Stilanalyse </w:t>
      </w:r>
      <w:r>
        <w:rPr>
          <w:rFonts w:cs="Times New Roman"/>
        </w:rPr>
        <w:t>kurz vor</w:t>
      </w:r>
      <w:r w:rsidR="00C807C4">
        <w:rPr>
          <w:rFonts w:cs="Times New Roman"/>
        </w:rPr>
        <w:t xml:space="preserve">: </w:t>
      </w:r>
      <w:r w:rsidR="00171CC1">
        <w:rPr>
          <w:rFonts w:cs="Times New Roman"/>
        </w:rPr>
        <w:t>Die hermeneut</w:t>
      </w:r>
      <w:r w:rsidR="00171CC1">
        <w:rPr>
          <w:rFonts w:cs="Times New Roman"/>
        </w:rPr>
        <w:t>i</w:t>
      </w:r>
      <w:r w:rsidR="00171CC1">
        <w:rPr>
          <w:rFonts w:cs="Times New Roman"/>
        </w:rPr>
        <w:t>sche</w:t>
      </w:r>
      <w:r w:rsidR="005D7996">
        <w:rPr>
          <w:rFonts w:cs="Times New Roman"/>
        </w:rPr>
        <w:fldChar w:fldCharType="begin"/>
      </w:r>
      <w:r w:rsidR="00921FE4">
        <w:instrText xml:space="preserve"> XE "</w:instrText>
      </w:r>
      <w:r w:rsidR="00921FE4" w:rsidRPr="007804AD">
        <w:rPr>
          <w:rFonts w:cs="Times New Roman"/>
        </w:rPr>
        <w:instrText>Hermeneutik</w:instrText>
      </w:r>
      <w:r w:rsidR="00921FE4">
        <w:instrText xml:space="preserve">" </w:instrText>
      </w:r>
      <w:r w:rsidR="005D7996">
        <w:rPr>
          <w:rFonts w:cs="Times New Roman"/>
        </w:rPr>
        <w:fldChar w:fldCharType="end"/>
      </w:r>
      <w:r w:rsidR="00171CC1">
        <w:rPr>
          <w:rFonts w:cs="Times New Roman"/>
        </w:rPr>
        <w:t xml:space="preserve"> </w:t>
      </w:r>
      <w:r w:rsidR="00EA6BAF">
        <w:rPr>
          <w:rFonts w:cs="Times New Roman"/>
        </w:rPr>
        <w:t>Methode</w:t>
      </w:r>
      <w:r w:rsidR="00171CC1">
        <w:rPr>
          <w:rFonts w:cs="Times New Roman"/>
        </w:rPr>
        <w:t xml:space="preserve"> Spitzers</w:t>
      </w:r>
      <w:r w:rsidR="00EA6BAF">
        <w:rPr>
          <w:rFonts w:cs="Times New Roman"/>
        </w:rPr>
        <w:t>,</w:t>
      </w:r>
      <w:r w:rsidR="00EA6BAF">
        <w:rPr>
          <w:rStyle w:val="Funotenzeichen"/>
          <w:rFonts w:cs="Times New Roman"/>
        </w:rPr>
        <w:footnoteReference w:id="702"/>
      </w:r>
      <w:r w:rsidR="00EA6BAF">
        <w:rPr>
          <w:rFonts w:cs="Times New Roman"/>
        </w:rPr>
        <w:t xml:space="preserve"> über die sich Spillner mokiert, sie bestehe darin, „glä</w:t>
      </w:r>
      <w:r w:rsidR="00EA6BAF">
        <w:rPr>
          <w:rFonts w:cs="Times New Roman"/>
        </w:rPr>
        <w:t>u</w:t>
      </w:r>
      <w:r w:rsidR="00EA6BAF">
        <w:rPr>
          <w:rFonts w:cs="Times New Roman"/>
        </w:rPr>
        <w:t>big auf eine metaphysische Eingebung zu warten“,</w:t>
      </w:r>
      <w:r w:rsidR="0089605D">
        <w:rPr>
          <w:rStyle w:val="Funotenzeichen"/>
          <w:rFonts w:cs="Times New Roman"/>
        </w:rPr>
        <w:footnoteReference w:id="703"/>
      </w:r>
      <w:r w:rsidR="00EA6BAF">
        <w:rPr>
          <w:rFonts w:cs="Times New Roman"/>
        </w:rPr>
        <w:t xml:space="preserve"> die </w:t>
      </w:r>
      <w:r w:rsidR="00E72B8B">
        <w:rPr>
          <w:rFonts w:cs="Times New Roman"/>
        </w:rPr>
        <w:t xml:space="preserve">Stilanalyse innerhalb der </w:t>
      </w:r>
      <w:r w:rsidR="00EA6BAF">
        <w:rPr>
          <w:rFonts w:cs="Times New Roman"/>
        </w:rPr>
        <w:t>„Explication de texte“</w:t>
      </w:r>
      <w:r w:rsidR="0089605D">
        <w:rPr>
          <w:rFonts w:cs="Times New Roman"/>
        </w:rPr>
        <w:t>,</w:t>
      </w:r>
      <w:r w:rsidR="00B156A2">
        <w:rPr>
          <w:rStyle w:val="Funotenzeichen"/>
          <w:rFonts w:cs="Times New Roman"/>
        </w:rPr>
        <w:footnoteReference w:id="704"/>
      </w:r>
      <w:r w:rsidR="00EA6BAF">
        <w:rPr>
          <w:rFonts w:cs="Times New Roman"/>
        </w:rPr>
        <w:t xml:space="preserve"> </w:t>
      </w:r>
      <w:r w:rsidR="00B156A2">
        <w:rPr>
          <w:rFonts w:cs="Times New Roman"/>
        </w:rPr>
        <w:t>Stilvergleich</w:t>
      </w:r>
      <w:r w:rsidR="006309D9">
        <w:rPr>
          <w:rFonts w:cs="Times New Roman"/>
        </w:rPr>
        <w:t>e</w:t>
      </w:r>
      <w:r w:rsidR="006309D9">
        <w:rPr>
          <w:rStyle w:val="Funotenzeichen"/>
          <w:rFonts w:cs="Times New Roman"/>
        </w:rPr>
        <w:footnoteReference w:id="705"/>
      </w:r>
      <w:r w:rsidR="006309D9">
        <w:rPr>
          <w:rFonts w:cs="Times New Roman"/>
        </w:rPr>
        <w:t xml:space="preserve"> </w:t>
      </w:r>
      <w:r w:rsidR="00D203B6">
        <w:rPr>
          <w:rFonts w:cs="Times New Roman"/>
        </w:rPr>
        <w:t xml:space="preserve">und </w:t>
      </w:r>
      <w:r w:rsidR="00EE3F41">
        <w:rPr>
          <w:rFonts w:cs="Times New Roman"/>
        </w:rPr>
        <w:t xml:space="preserve">quantitative </w:t>
      </w:r>
      <w:r w:rsidR="006309D9">
        <w:rPr>
          <w:rFonts w:cs="Times New Roman"/>
        </w:rPr>
        <w:t>Methoden</w:t>
      </w:r>
      <w:r w:rsidR="00E72B8B">
        <w:rPr>
          <w:rFonts w:cs="Times New Roman"/>
        </w:rPr>
        <w:t>.</w:t>
      </w:r>
      <w:r w:rsidR="006309D9">
        <w:rPr>
          <w:rStyle w:val="Funotenzeichen"/>
          <w:rFonts w:cs="Times New Roman"/>
        </w:rPr>
        <w:footnoteReference w:id="706"/>
      </w:r>
      <w:r w:rsidR="00C807C4">
        <w:rPr>
          <w:rFonts w:cs="Times New Roman"/>
        </w:rPr>
        <w:t xml:space="preserve"> Spillner stellt fest, dass die Ergebnisse dieser Methoden in sehr unterschiedlichem Maß intersubjektiv gültig oder auch nur nachvollziehbar sind. Aus Sicht einer theor</w:t>
      </w:r>
      <w:r w:rsidR="00C807C4">
        <w:rPr>
          <w:rFonts w:cs="Times New Roman"/>
        </w:rPr>
        <w:t>e</w:t>
      </w:r>
      <w:r w:rsidR="00C807C4">
        <w:rPr>
          <w:rFonts w:cs="Times New Roman"/>
        </w:rPr>
        <w:t>tischen Beschreibung des Phänomens Stil sind sie jedoch nur verschiedene A</w:t>
      </w:r>
      <w:r w:rsidR="00C807C4">
        <w:rPr>
          <w:rFonts w:cs="Times New Roman"/>
        </w:rPr>
        <w:t>r</w:t>
      </w:r>
      <w:r w:rsidR="00C807C4">
        <w:rPr>
          <w:rFonts w:cs="Times New Roman"/>
        </w:rPr>
        <w:t>ten, Merkmal</w:t>
      </w:r>
      <w:r w:rsidR="00F92585">
        <w:rPr>
          <w:rFonts w:cs="Times New Roman"/>
        </w:rPr>
        <w:t>sregeln</w:t>
      </w:r>
      <w:r w:rsidR="00C807C4">
        <w:rPr>
          <w:rFonts w:cs="Times New Roman"/>
        </w:rPr>
        <w:t xml:space="preserve"> aus einem Stilträger auszulesen und daraus </w:t>
      </w:r>
      <w:r w:rsidR="00D520C4">
        <w:rPr>
          <w:rFonts w:cs="Times New Roman"/>
        </w:rPr>
        <w:t>Interpretation</w:t>
      </w:r>
      <w:r w:rsidR="00D520C4">
        <w:rPr>
          <w:rFonts w:cs="Times New Roman"/>
        </w:rPr>
        <w:t>s</w:t>
      </w:r>
      <w:r w:rsidR="00D520C4">
        <w:rPr>
          <w:rFonts w:cs="Times New Roman"/>
        </w:rPr>
        <w:t xml:space="preserve">ergebnisse </w:t>
      </w:r>
      <w:r w:rsidR="00C807C4">
        <w:rPr>
          <w:rFonts w:cs="Times New Roman"/>
        </w:rPr>
        <w:t>abzuleiten. Eine allgemeine Stiltheorie muss eine Grundlage liefern, auf deren Basis sich alle denkbaren Arten, Stile auszulesen (hier als Merkmal</w:t>
      </w:r>
      <w:r w:rsidR="00C807C4">
        <w:rPr>
          <w:rFonts w:cs="Times New Roman"/>
        </w:rPr>
        <w:t>s</w:t>
      </w:r>
      <w:r w:rsidR="00C807C4">
        <w:rPr>
          <w:rFonts w:cs="Times New Roman"/>
        </w:rPr>
        <w:t xml:space="preserve">prozess modelliert) und </w:t>
      </w:r>
      <w:r w:rsidR="00297483">
        <w:rPr>
          <w:rFonts w:cs="Times New Roman"/>
        </w:rPr>
        <w:t xml:space="preserve">Ergebnisse </w:t>
      </w:r>
      <w:r w:rsidR="00C807C4">
        <w:rPr>
          <w:rFonts w:cs="Times New Roman"/>
        </w:rPr>
        <w:t>aus ihren Merkmal</w:t>
      </w:r>
      <w:r w:rsidR="00F92585">
        <w:rPr>
          <w:rFonts w:cs="Times New Roman"/>
        </w:rPr>
        <w:t>sregeln</w:t>
      </w:r>
      <w:r w:rsidR="00C807C4">
        <w:rPr>
          <w:rFonts w:cs="Times New Roman"/>
        </w:rPr>
        <w:t xml:space="preserve"> zu erzeugen (hier als Interpretationsprozess modelliert), beschreiben lassen. Es handelt sich bei jeder Methode nur um eine bestimmte Art, dies zu tun</w:t>
      </w:r>
      <w:r w:rsidR="00D203B6">
        <w:rPr>
          <w:rFonts w:cs="Times New Roman"/>
        </w:rPr>
        <w:t xml:space="preserve">. Eine Sonderrolle </w:t>
      </w:r>
      <w:r w:rsidR="003A126F">
        <w:rPr>
          <w:rFonts w:cs="Times New Roman"/>
        </w:rPr>
        <w:t xml:space="preserve">nimmt hier </w:t>
      </w:r>
      <w:r w:rsidR="00D203B6">
        <w:rPr>
          <w:rFonts w:cs="Times New Roman"/>
        </w:rPr>
        <w:t xml:space="preserve">die </w:t>
      </w:r>
      <w:r w:rsidR="00054687">
        <w:rPr>
          <w:rFonts w:cs="Times New Roman"/>
        </w:rPr>
        <w:t>Leserbefragung</w:t>
      </w:r>
      <w:r w:rsidR="00E72B8B">
        <w:rPr>
          <w:rStyle w:val="Funotenzeichen"/>
          <w:rFonts w:cs="Times New Roman"/>
        </w:rPr>
        <w:footnoteReference w:id="707"/>
      </w:r>
      <w:r w:rsidR="00054687">
        <w:rPr>
          <w:rFonts w:cs="Times New Roman"/>
        </w:rPr>
        <w:t xml:space="preserve"> ein, die Spillner ebenfalls als Methode der Stilanalyse nennt; sie kann zu wissenschaftlich relevanten empirischen Ergebnissen </w:t>
      </w:r>
      <w:r w:rsidR="003F520C">
        <w:rPr>
          <w:rFonts w:cs="Times New Roman"/>
        </w:rPr>
        <w:t xml:space="preserve">über die </w:t>
      </w:r>
      <w:r w:rsidR="002A567F">
        <w:rPr>
          <w:rFonts w:cs="Times New Roman"/>
        </w:rPr>
        <w:t xml:space="preserve">Wahrnehmung und insbesondere die </w:t>
      </w:r>
      <w:r w:rsidR="003F520C">
        <w:rPr>
          <w:rFonts w:cs="Times New Roman"/>
        </w:rPr>
        <w:t xml:space="preserve">Interpretation eines oder mehrerer Stile durch eine bestimmte Personengruppe </w:t>
      </w:r>
      <w:r w:rsidR="00054687">
        <w:rPr>
          <w:rFonts w:cs="Times New Roman"/>
        </w:rPr>
        <w:t xml:space="preserve">führen, wenn </w:t>
      </w:r>
      <w:r w:rsidR="003F520C">
        <w:rPr>
          <w:rFonts w:cs="Times New Roman"/>
        </w:rPr>
        <w:t>auf Repräsentativität der Probanden für diese Personengruppe geachtet wird.</w:t>
      </w:r>
    </w:p>
    <w:p w:rsidR="003605F0" w:rsidRDefault="00CC66F0" w:rsidP="007422DA">
      <w:pPr>
        <w:pStyle w:val="Text"/>
        <w:rPr>
          <w:rFonts w:cs="Times New Roman"/>
        </w:rPr>
      </w:pPr>
      <w:r>
        <w:rPr>
          <w:rFonts w:cs="Times New Roman"/>
        </w:rPr>
        <w:t>I</w:t>
      </w:r>
      <w:r w:rsidR="00BA4DE9">
        <w:rPr>
          <w:rFonts w:cs="Times New Roman"/>
        </w:rPr>
        <w:t xml:space="preserve">n </w:t>
      </w:r>
      <w:r w:rsidR="00ED5E87">
        <w:rPr>
          <w:rFonts w:cs="Times New Roman"/>
        </w:rPr>
        <w:t xml:space="preserve">der hier entwickelten </w:t>
      </w:r>
      <w:r w:rsidR="00BA4DE9">
        <w:rPr>
          <w:rFonts w:cs="Times New Roman"/>
        </w:rPr>
        <w:t xml:space="preserve">Theorie </w:t>
      </w:r>
      <w:r>
        <w:rPr>
          <w:rFonts w:cs="Times New Roman"/>
        </w:rPr>
        <w:t xml:space="preserve">wird </w:t>
      </w:r>
      <w:r w:rsidR="00ED5E87">
        <w:rPr>
          <w:rFonts w:cs="Times New Roman"/>
        </w:rPr>
        <w:t>eine Modellierung</w:t>
      </w:r>
      <w:r w:rsidR="005D7996">
        <w:rPr>
          <w:rFonts w:cs="Times New Roman"/>
        </w:rPr>
        <w:fldChar w:fldCharType="begin"/>
      </w:r>
      <w:r w:rsidR="00C6415A">
        <w:instrText xml:space="preserve"> XE "</w:instrText>
      </w:r>
      <w:r w:rsidR="00C6415A" w:rsidRPr="00A714E8">
        <w:instrText>Modellierung</w:instrText>
      </w:r>
      <w:r w:rsidR="00C6415A">
        <w:instrText xml:space="preserve">" </w:instrText>
      </w:r>
      <w:r w:rsidR="005D7996">
        <w:rPr>
          <w:rFonts w:cs="Times New Roman"/>
        </w:rPr>
        <w:fldChar w:fldCharType="end"/>
      </w:r>
      <w:r w:rsidR="00ED5E87">
        <w:rPr>
          <w:rFonts w:cs="Times New Roman"/>
        </w:rPr>
        <w:t xml:space="preserve"> der mit Stil z</w:t>
      </w:r>
      <w:r w:rsidR="00ED5E87">
        <w:rPr>
          <w:rFonts w:cs="Times New Roman"/>
        </w:rPr>
        <w:t>u</w:t>
      </w:r>
      <w:r w:rsidR="00ED5E87">
        <w:rPr>
          <w:rFonts w:cs="Times New Roman"/>
        </w:rPr>
        <w:t>sammenhängenden Zeichenprozesse durch Algorithmen</w:t>
      </w:r>
      <w:r w:rsidR="005D7996">
        <w:rPr>
          <w:rFonts w:cs="Times New Roman"/>
        </w:rPr>
        <w:fldChar w:fldCharType="begin"/>
      </w:r>
      <w:r w:rsidR="00CE3787">
        <w:instrText xml:space="preserve"> XE "</w:instrText>
      </w:r>
      <w:r w:rsidR="00CE3787" w:rsidRPr="008000A4">
        <w:instrText>Algorithmus</w:instrText>
      </w:r>
      <w:r w:rsidR="00CE3787">
        <w:instrText xml:space="preserve">" </w:instrText>
      </w:r>
      <w:r w:rsidR="005D7996">
        <w:rPr>
          <w:rFonts w:cs="Times New Roman"/>
        </w:rPr>
        <w:fldChar w:fldCharType="end"/>
      </w:r>
      <w:r w:rsidR="00ED5E87">
        <w:rPr>
          <w:rFonts w:cs="Times New Roman"/>
        </w:rPr>
        <w:t xml:space="preserve"> vorgenommen</w:t>
      </w:r>
      <w:r>
        <w:rPr>
          <w:rFonts w:cs="Times New Roman"/>
        </w:rPr>
        <w:t xml:space="preserve">. </w:t>
      </w:r>
      <w:r w:rsidR="00BA4DE9">
        <w:rPr>
          <w:rFonts w:cs="Times New Roman"/>
        </w:rPr>
        <w:t>D</w:t>
      </w:r>
      <w:r w:rsidR="00BA4DE9">
        <w:rPr>
          <w:rFonts w:cs="Times New Roman"/>
        </w:rPr>
        <w:t>a</w:t>
      </w:r>
      <w:r w:rsidR="00BA4DE9">
        <w:rPr>
          <w:rFonts w:cs="Times New Roman"/>
        </w:rPr>
        <w:t xml:space="preserve">durch können Bereiche, in denen Vagheit vorliegt oder </w:t>
      </w:r>
      <w:r>
        <w:rPr>
          <w:rFonts w:cs="Times New Roman"/>
        </w:rPr>
        <w:t>die Funktionsweise schlicht noch unklar ist</w:t>
      </w:r>
      <w:r w:rsidR="00BA4DE9">
        <w:rPr>
          <w:rFonts w:cs="Times New Roman"/>
        </w:rPr>
        <w:t>, sprachlich beschrieben werden. Diese Beschreibungen sollen durch Angabe der Bedingungen, die an den jeweiligen Stellen jeweils zu gelten haben, die Möglichkeiten eingrenzen.</w:t>
      </w:r>
      <w:r>
        <w:rPr>
          <w:rFonts w:cs="Times New Roman"/>
        </w:rPr>
        <w:t xml:space="preserve"> Sie sagen also nur, was gemacht wird, aber nicht, wie es gemacht wird, und weisen explizit auf Variationsmö</w:t>
      </w:r>
      <w:r>
        <w:rPr>
          <w:rFonts w:cs="Times New Roman"/>
        </w:rPr>
        <w:t>g</w:t>
      </w:r>
      <w:r>
        <w:rPr>
          <w:rFonts w:cs="Times New Roman"/>
        </w:rPr>
        <w:t xml:space="preserve">lichkeiten </w:t>
      </w:r>
      <w:r w:rsidR="003605F0">
        <w:rPr>
          <w:rFonts w:cs="Times New Roman"/>
        </w:rPr>
        <w:t>hin, sofern diese bekannt sind.</w:t>
      </w:r>
    </w:p>
    <w:p w:rsidR="00EA5742" w:rsidRDefault="003605F0" w:rsidP="007422DA">
      <w:pPr>
        <w:pStyle w:val="Text"/>
        <w:rPr>
          <w:rFonts w:cs="Times New Roman"/>
        </w:rPr>
      </w:pPr>
      <w:r>
        <w:rPr>
          <w:rFonts w:cs="Times New Roman"/>
        </w:rPr>
        <w:t xml:space="preserve">Für die vorliegende </w:t>
      </w:r>
      <w:r w:rsidR="00CC66F0">
        <w:rPr>
          <w:rFonts w:cs="Times New Roman"/>
        </w:rPr>
        <w:t>Theorie gilt</w:t>
      </w:r>
      <w:r>
        <w:rPr>
          <w:rFonts w:cs="Times New Roman"/>
        </w:rPr>
        <w:t xml:space="preserve"> somit</w:t>
      </w:r>
      <w:r w:rsidR="00CC66F0">
        <w:rPr>
          <w:rFonts w:cs="Times New Roman"/>
        </w:rPr>
        <w:t>:</w:t>
      </w:r>
    </w:p>
    <w:p w:rsidR="007422DA" w:rsidRDefault="007422DA" w:rsidP="008D0BE9">
      <w:pPr>
        <w:pStyle w:val="Text"/>
        <w:ind w:firstLine="0"/>
        <w:rPr>
          <w:rFonts w:cs="Times New Roman"/>
        </w:rPr>
      </w:pPr>
      <w:r>
        <w:rPr>
          <w:rFonts w:cs="Times New Roman"/>
        </w:rPr>
        <w:lastRenderedPageBreak/>
        <w:t>–</w:t>
      </w:r>
      <w:r>
        <w:rPr>
          <w:rFonts w:cs="Times New Roman"/>
        </w:rPr>
        <w:tab/>
        <w:t xml:space="preserve">Präzision liegt dort vor, wo Prozesse </w:t>
      </w:r>
      <w:r w:rsidR="00CC66F0">
        <w:rPr>
          <w:rFonts w:cs="Times New Roman"/>
        </w:rPr>
        <w:t>durch Algorithmen</w:t>
      </w:r>
      <w:r w:rsidR="005D7996">
        <w:rPr>
          <w:rFonts w:cs="Times New Roman"/>
        </w:rPr>
        <w:fldChar w:fldCharType="begin"/>
      </w:r>
      <w:r w:rsidR="00CE3787">
        <w:instrText xml:space="preserve"> XE "</w:instrText>
      </w:r>
      <w:r w:rsidR="00CE3787" w:rsidRPr="008000A4">
        <w:instrText>Algorithmus</w:instrText>
      </w:r>
      <w:r w:rsidR="00CE3787">
        <w:instrText xml:space="preserve">" </w:instrText>
      </w:r>
      <w:r w:rsidR="005D7996">
        <w:rPr>
          <w:rFonts w:cs="Times New Roman"/>
        </w:rPr>
        <w:fldChar w:fldCharType="end"/>
      </w:r>
      <w:r w:rsidR="00CC66F0">
        <w:rPr>
          <w:rFonts w:cs="Times New Roman"/>
        </w:rPr>
        <w:t xml:space="preserve"> </w:t>
      </w:r>
      <w:r>
        <w:rPr>
          <w:rFonts w:cs="Times New Roman"/>
        </w:rPr>
        <w:t xml:space="preserve">genau </w:t>
      </w:r>
      <w:r w:rsidR="00CC66F0">
        <w:rPr>
          <w:rFonts w:cs="Times New Roman"/>
        </w:rPr>
        <w:t>dargestellt werden</w:t>
      </w:r>
      <w:r>
        <w:rPr>
          <w:rFonts w:cs="Times New Roman"/>
        </w:rPr>
        <w:t>;</w:t>
      </w:r>
      <w:r w:rsidR="00CC66F0">
        <w:rPr>
          <w:rStyle w:val="Funotenzeichen"/>
          <w:rFonts w:cs="Times New Roman"/>
        </w:rPr>
        <w:footnoteReference w:id="708"/>
      </w:r>
    </w:p>
    <w:p w:rsidR="007422DA" w:rsidRDefault="007422DA" w:rsidP="008D0BE9">
      <w:pPr>
        <w:pStyle w:val="Text"/>
        <w:ind w:firstLine="0"/>
        <w:rPr>
          <w:rFonts w:cs="Times New Roman"/>
        </w:rPr>
      </w:pPr>
      <w:r>
        <w:rPr>
          <w:rFonts w:cs="Times New Roman"/>
        </w:rPr>
        <w:t>–</w:t>
      </w:r>
      <w:r>
        <w:rPr>
          <w:rFonts w:cs="Times New Roman"/>
        </w:rPr>
        <w:tab/>
        <w:t xml:space="preserve">Vagheit liegt dort vor, wo </w:t>
      </w:r>
      <w:r w:rsidR="00CC66F0">
        <w:rPr>
          <w:rFonts w:cs="Times New Roman"/>
        </w:rPr>
        <w:t>Prozesse als Funktionen aufgerufen werden, die natürlichsprachlich ausgedrückt sind.</w:t>
      </w:r>
      <w:r w:rsidR="00CC66F0">
        <w:rPr>
          <w:rStyle w:val="Funotenzeichen"/>
          <w:rFonts w:cs="Times New Roman"/>
        </w:rPr>
        <w:footnoteReference w:id="709"/>
      </w:r>
      <w:r w:rsidR="00736F20">
        <w:rPr>
          <w:rFonts w:cs="Times New Roman"/>
        </w:rPr>
        <w:t xml:space="preserve"> Für die Funktionen, die den Input des Modells liefern, gilt dies in geringerem Maß: Diese sind </w:t>
      </w:r>
      <w:r w:rsidR="00D308BE">
        <w:rPr>
          <w:rFonts w:cs="Times New Roman"/>
        </w:rPr>
        <w:t xml:space="preserve">zwar </w:t>
      </w:r>
      <w:r w:rsidR="00736F20">
        <w:rPr>
          <w:rFonts w:cs="Times New Roman"/>
        </w:rPr>
        <w:t xml:space="preserve">natürlichsprachlich formuliert, könnten aber </w:t>
      </w:r>
      <w:r w:rsidR="00D308BE">
        <w:rPr>
          <w:rFonts w:cs="Times New Roman"/>
        </w:rPr>
        <w:t xml:space="preserve">beim Vorliegen einer </w:t>
      </w:r>
      <w:r w:rsidR="00736F20">
        <w:rPr>
          <w:rFonts w:cs="Times New Roman"/>
        </w:rPr>
        <w:t>richtig spezifizierte</w:t>
      </w:r>
      <w:r w:rsidR="00D308BE">
        <w:rPr>
          <w:rFonts w:cs="Times New Roman"/>
        </w:rPr>
        <w:t>n</w:t>
      </w:r>
      <w:r w:rsidR="00736F20">
        <w:rPr>
          <w:rFonts w:cs="Times New Roman"/>
        </w:rPr>
        <w:t xml:space="preserve"> Inputmenge</w:t>
      </w:r>
      <w:r w:rsidR="00D308BE">
        <w:rPr>
          <w:rFonts w:cs="Times New Roman"/>
        </w:rPr>
        <w:t xml:space="preserve"> (beispielsweise von Schemata oder Merkmalsregeln) diese einfach übergeben.</w:t>
      </w:r>
      <w:r w:rsidR="00D308BE">
        <w:rPr>
          <w:rStyle w:val="Funotenzeichen"/>
          <w:rFonts w:cs="Times New Roman"/>
        </w:rPr>
        <w:footnoteReference w:id="710"/>
      </w:r>
    </w:p>
    <w:p w:rsidR="00747F91" w:rsidRDefault="003605F0" w:rsidP="00B57D01">
      <w:pPr>
        <w:pStyle w:val="Text"/>
        <w:sectPr w:rsidR="00747F91" w:rsidSect="00AE48E3">
          <w:type w:val="continuous"/>
          <w:pgSz w:w="8789" w:h="13325" w:code="9"/>
          <w:pgMar w:top="1134" w:right="851" w:bottom="1418" w:left="1134" w:header="567" w:footer="680" w:gutter="0"/>
          <w:cols w:space="720"/>
          <w:titlePg/>
          <w:docGrid w:linePitch="360"/>
        </w:sectPr>
      </w:pPr>
      <w:r>
        <w:t xml:space="preserve">Die </w:t>
      </w:r>
      <w:r w:rsidR="00EE3959">
        <w:t xml:space="preserve">hier </w:t>
      </w:r>
      <w:r>
        <w:t>entwickelte Methode</w:t>
      </w:r>
      <w:r w:rsidR="00EE3959">
        <w:t>, ein Modell mit der Hilfe von Algorithmen</w:t>
      </w:r>
      <w:r w:rsidR="005D7996">
        <w:fldChar w:fldCharType="begin"/>
      </w:r>
      <w:r w:rsidR="00CE3787">
        <w:instrText xml:space="preserve"> XE "</w:instrText>
      </w:r>
      <w:r w:rsidR="00CE3787" w:rsidRPr="008000A4">
        <w:instrText>Algorithmus</w:instrText>
      </w:r>
      <w:r w:rsidR="00CE3787">
        <w:instrText xml:space="preserve">" </w:instrText>
      </w:r>
      <w:r w:rsidR="005D7996">
        <w:fldChar w:fldCharType="end"/>
      </w:r>
      <w:r w:rsidR="00EE3959">
        <w:t xml:space="preserve"> zu konstruieren, die einen Vorgang darstellen, und für die unklaren oder vagen Teile Funktionen einzusetzen, die nicht formal spezifiziert </w:t>
      </w:r>
      <w:r>
        <w:t>sind</w:t>
      </w:r>
      <w:r w:rsidR="00EE3959">
        <w:t xml:space="preserve">, kann auch auf andere Probleme angewandt werden. Eine </w:t>
      </w:r>
      <w:r>
        <w:t xml:space="preserve">denkbare </w:t>
      </w:r>
      <w:r w:rsidR="00EE3959">
        <w:t>Anwendung wäre die Ko</w:t>
      </w:r>
      <w:r w:rsidR="00EE3959">
        <w:t>n</w:t>
      </w:r>
      <w:r w:rsidR="00EE3959">
        <w:t>struktion einer allgemeinen Interpretationstheorie.</w:t>
      </w:r>
      <w:r w:rsidR="00EE3959">
        <w:rPr>
          <w:rStyle w:val="Funotenzeichen"/>
        </w:rPr>
        <w:footnoteReference w:id="711"/>
      </w:r>
      <w:bookmarkEnd w:id="524"/>
    </w:p>
    <w:p w:rsidR="00D2554C" w:rsidRDefault="00580F6A" w:rsidP="00F23C1C">
      <w:pPr>
        <w:pStyle w:val="TitelohneNummer"/>
      </w:pPr>
      <w:bookmarkStart w:id="530" w:name="_Toc325456839"/>
      <w:bookmarkStart w:id="531" w:name="Ausblick"/>
      <w:r>
        <w:lastRenderedPageBreak/>
        <w:t>Ausblick</w:t>
      </w:r>
      <w:bookmarkEnd w:id="530"/>
    </w:p>
    <w:p w:rsidR="00CF4019" w:rsidRDefault="005D7996" w:rsidP="008D0BE9">
      <w:pPr>
        <w:pStyle w:val="Text"/>
        <w:ind w:firstLine="0"/>
      </w:pPr>
      <w:r>
        <w:fldChar w:fldCharType="begin"/>
      </w:r>
      <w:r w:rsidR="00946FEC">
        <w:instrText xml:space="preserve"> XE "</w:instrText>
      </w:r>
      <w:r w:rsidR="00946FEC" w:rsidRPr="002F003D">
        <w:instrText>Geisteswissenschaften</w:instrText>
      </w:r>
      <w:r w:rsidR="00946FEC">
        <w:instrText xml:space="preserve">" \r "Ausblick" </w:instrText>
      </w:r>
      <w:r>
        <w:fldChar w:fldCharType="end"/>
      </w:r>
      <w:r>
        <w:fldChar w:fldCharType="begin"/>
      </w:r>
      <w:r w:rsidR="00946FEC">
        <w:instrText xml:space="preserve"> XE "Sozial</w:instrText>
      </w:r>
      <w:r w:rsidR="00946FEC" w:rsidRPr="002F003D">
        <w:instrText>wissenschaften</w:instrText>
      </w:r>
      <w:r w:rsidR="00946FEC">
        <w:instrText xml:space="preserve">" \r "Ausblick" </w:instrText>
      </w:r>
      <w:r>
        <w:fldChar w:fldCharType="end"/>
      </w:r>
      <w:r>
        <w:fldChar w:fldCharType="begin"/>
      </w:r>
      <w:r w:rsidR="00946FEC">
        <w:instrText xml:space="preserve"> XE "Semiotik" \r "Ausblick" </w:instrText>
      </w:r>
      <w:r>
        <w:fldChar w:fldCharType="end"/>
      </w:r>
      <w:r>
        <w:fldChar w:fldCharType="begin"/>
      </w:r>
      <w:r w:rsidR="00946FEC">
        <w:instrText xml:space="preserve"> XE "Stilistik" \r "Ausblick" </w:instrText>
      </w:r>
      <w:r>
        <w:fldChar w:fldCharType="end"/>
      </w:r>
      <w:r w:rsidR="00CF4019">
        <w:t xml:space="preserve">In der vorliegenden Arbeit wurde </w:t>
      </w:r>
      <w:r w:rsidR="006A7B53">
        <w:t xml:space="preserve">das Phänomen Stil </w:t>
      </w:r>
      <w:r w:rsidR="00C162D2">
        <w:t xml:space="preserve">als Zeichenprozess </w:t>
      </w:r>
      <w:r w:rsidR="006A7B53">
        <w:t>unte</w:t>
      </w:r>
      <w:r w:rsidR="006A7B53">
        <w:t>r</w:t>
      </w:r>
      <w:r w:rsidR="006A7B53">
        <w:t>sucht</w:t>
      </w:r>
      <w:r w:rsidR="00C162D2">
        <w:t xml:space="preserve">; die Funktionsweise dieses Prozesses wurde </w:t>
      </w:r>
      <w:r w:rsidR="00CF4019">
        <w:t xml:space="preserve">in einem Modell </w:t>
      </w:r>
      <w:r w:rsidR="00C162D2">
        <w:t xml:space="preserve">dargestellt und es wurden </w:t>
      </w:r>
      <w:r w:rsidR="00CF4019">
        <w:t xml:space="preserve">Beispiele für Stilinterpretation in unterschiedlichen Bereichen gegeben. Auf der Grundlage dieses Modells wurden dann </w:t>
      </w:r>
      <w:r w:rsidR="00C162D2">
        <w:t>Abgrenzung</w:t>
      </w:r>
      <w:r w:rsidR="00CF4019">
        <w:t>en</w:t>
      </w:r>
      <w:r w:rsidR="00C162D2">
        <w:t xml:space="preserve"> </w:t>
      </w:r>
      <w:r w:rsidR="00CF4019">
        <w:t xml:space="preserve">von </w:t>
      </w:r>
      <w:r w:rsidR="00F005F4">
        <w:t>‚</w:t>
      </w:r>
      <w:r w:rsidR="00C162D2">
        <w:t>Stil</w:t>
      </w:r>
      <w:r w:rsidR="00F005F4">
        <w:t>‘</w:t>
      </w:r>
      <w:r w:rsidR="00C162D2">
        <w:t xml:space="preserve"> zu anderen g</w:t>
      </w:r>
      <w:r w:rsidR="00F73A77">
        <w:t>eistes- und sozialwissenschaftlichen</w:t>
      </w:r>
      <w:r w:rsidR="00C162D2">
        <w:t xml:space="preserve"> Begriffen (wie </w:t>
      </w:r>
      <w:r w:rsidR="00F005F4">
        <w:t>‚</w:t>
      </w:r>
      <w:r w:rsidR="00C162D2">
        <w:t>Gattung</w:t>
      </w:r>
      <w:r>
        <w:fldChar w:fldCharType="begin"/>
      </w:r>
      <w:r w:rsidR="00AD1266">
        <w:instrText xml:space="preserve"> XE "</w:instrText>
      </w:r>
      <w:r w:rsidR="00AD1266" w:rsidRPr="000D5A50">
        <w:instrText>Gattung</w:instrText>
      </w:r>
      <w:r w:rsidR="00AD1266">
        <w:instrText xml:space="preserve">" </w:instrText>
      </w:r>
      <w:r>
        <w:fldChar w:fldCharType="end"/>
      </w:r>
      <w:r w:rsidR="00F005F4">
        <w:t>‘</w:t>
      </w:r>
      <w:r w:rsidR="00C162D2">
        <w:t xml:space="preserve"> oder </w:t>
      </w:r>
      <w:r w:rsidR="00F005F4">
        <w:t>‚</w:t>
      </w:r>
      <w:r w:rsidR="00C162D2">
        <w:t>Habitus</w:t>
      </w:r>
      <w:r w:rsidR="00F005F4">
        <w:t>‘</w:t>
      </w:r>
      <w:r w:rsidR="00C162D2">
        <w:t>)</w:t>
      </w:r>
      <w:r w:rsidR="00CF4019">
        <w:t xml:space="preserve"> vorgenommen, die Rolle von Stil in der Gesellschaft</w:t>
      </w:r>
      <w:r>
        <w:fldChar w:fldCharType="begin"/>
      </w:r>
      <w:r w:rsidR="00E03D5C">
        <w:instrText xml:space="preserve"> XE "</w:instrText>
      </w:r>
      <w:r w:rsidR="00E03D5C" w:rsidRPr="00835E68">
        <w:instrText>Gesellschaft</w:instrText>
      </w:r>
      <w:r w:rsidR="00E03D5C">
        <w:instrText xml:space="preserve">" </w:instrText>
      </w:r>
      <w:r>
        <w:fldChar w:fldCharType="end"/>
      </w:r>
      <w:r w:rsidR="00CF4019">
        <w:t xml:space="preserve"> beleuchtet und einige wissenschaftstheoretische </w:t>
      </w:r>
      <w:r w:rsidR="005B4BAF">
        <w:t>Überlegungen</w:t>
      </w:r>
      <w:r w:rsidR="00CF4019">
        <w:t xml:space="preserve"> angestellt. Es wurde betont, dass die allgemeine semiotische Stiltheorie, die hier entwickelt wurde, zwar den Anspruch hat, für alle Stilbereiche den grundlegenden Zeichenprozess korrekt zu erfassen, es aber auf dieser Basis bereichsspezifische Phänomene gibt, die in entsprechenden Stiltheorien behandelt werden. Bisherige bereichsspez</w:t>
      </w:r>
      <w:r w:rsidR="00AD3BCF">
        <w:t>i</w:t>
      </w:r>
      <w:r w:rsidR="00CF4019">
        <w:t>fische Stiltheorien</w:t>
      </w:r>
      <w:r>
        <w:fldChar w:fldCharType="begin"/>
      </w:r>
      <w:r w:rsidR="00AD3BCF">
        <w:instrText xml:space="preserve"> XE "</w:instrText>
      </w:r>
      <w:r w:rsidR="00AD3BCF" w:rsidRPr="002531BB">
        <w:instrText>bereichsspezifische Stiltheorien</w:instrText>
      </w:r>
      <w:r w:rsidR="00AD3BCF">
        <w:instrText xml:space="preserve">" </w:instrText>
      </w:r>
      <w:r>
        <w:fldChar w:fldCharType="end"/>
      </w:r>
      <w:r w:rsidR="00CF4019">
        <w:t xml:space="preserve"> sollen also nicht durch die vorgestellte Theorie ersetzt werden, a</w:t>
      </w:r>
      <w:r w:rsidR="00CF4019">
        <w:t>l</w:t>
      </w:r>
      <w:r w:rsidR="00CF4019">
        <w:t xml:space="preserve">lerdings dürften in </w:t>
      </w:r>
      <w:r w:rsidR="005B4BAF">
        <w:t xml:space="preserve">manchen </w:t>
      </w:r>
      <w:r w:rsidR="00CF4019">
        <w:t>Fällen Anpassungen erforderlich sein.</w:t>
      </w:r>
    </w:p>
    <w:p w:rsidR="001C682C" w:rsidRDefault="00F6552F" w:rsidP="008D0BE9">
      <w:pPr>
        <w:pStyle w:val="Text"/>
      </w:pPr>
      <w:r>
        <w:t xml:space="preserve">In der </w:t>
      </w:r>
      <w:r w:rsidR="001C682C">
        <w:t xml:space="preserve">in Kapitel 3 vorgenommenen Auseinandersetzung </w:t>
      </w:r>
      <w:r>
        <w:t>mit der Fo</w:t>
      </w:r>
      <w:r>
        <w:t>r</w:t>
      </w:r>
      <w:r>
        <w:t xml:space="preserve">schungsliteratur wurden Ansätze </w:t>
      </w:r>
      <w:r w:rsidR="00580826">
        <w:t>der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rsidR="00580826">
        <w:t xml:space="preserve"> </w:t>
      </w:r>
      <w:r>
        <w:t>vorgestellt, die mit verschi</w:t>
      </w:r>
      <w:r>
        <w:t>e</w:t>
      </w:r>
      <w:r>
        <w:t>denen Stilbegriffen verbunden sind. Einige dieser Ansätze, beispielsweise „Stil als Abweichung“ oder „Stil als Häufigkeit“</w:t>
      </w:r>
      <w:r w:rsidR="004C7AA4">
        <w:t xml:space="preserve"> (Abschnitt </w:t>
      </w:r>
      <w:r w:rsidR="005D7996">
        <w:fldChar w:fldCharType="begin"/>
      </w:r>
      <w:r w:rsidR="004C7AA4">
        <w:instrText xml:space="preserve"> REF _Ref268690378 \r \h </w:instrText>
      </w:r>
      <w:r w:rsidR="005D7996">
        <w:fldChar w:fldCharType="separate"/>
      </w:r>
      <w:r w:rsidR="001231D3">
        <w:t>3.4</w:t>
      </w:r>
      <w:r w:rsidR="005D7996">
        <w:fldChar w:fldCharType="end"/>
      </w:r>
      <w:r w:rsidR="004C7AA4">
        <w:t>)</w:t>
      </w:r>
      <w:r>
        <w:t>, greifen offensichtlich zu kurz: Es gibt auch Stile, die nicht auf Abweichungen basieren, und Häufigke</w:t>
      </w:r>
      <w:r>
        <w:t>i</w:t>
      </w:r>
      <w:r>
        <w:t>ten können nicht allein dem Stil zugeschrieben werden, weil auch andere Fakt</w:t>
      </w:r>
      <w:r>
        <w:t>o</w:t>
      </w:r>
      <w:r>
        <w:t>ren (etwa Funktion und Inhalt) sie beeinflussen.</w:t>
      </w:r>
    </w:p>
    <w:p w:rsidR="00F6552F" w:rsidRDefault="00F6552F">
      <w:pPr>
        <w:pStyle w:val="Text"/>
      </w:pPr>
      <w:r>
        <w:t>Andere Konzeptionen können auf das hier vorgelegte Modell bezogen we</w:t>
      </w:r>
      <w:r>
        <w:t>r</w:t>
      </w:r>
      <w:r>
        <w:t>den</w:t>
      </w:r>
      <w:r w:rsidR="00580826">
        <w:t>, wobei sie jeweils unterschiedliche Aspekte von Stil</w:t>
      </w:r>
      <w:r w:rsidR="00580826" w:rsidRPr="00580826">
        <w:t xml:space="preserve"> </w:t>
      </w:r>
      <w:r w:rsidR="00580826">
        <w:t>erfassen</w:t>
      </w:r>
      <w:r>
        <w:t xml:space="preserve">. So </w:t>
      </w:r>
      <w:r w:rsidR="00580826">
        <w:t xml:space="preserve">lässt sich </w:t>
      </w:r>
      <w:r>
        <w:t xml:space="preserve">„Stil als Auswahl“ </w:t>
      </w:r>
      <w:r w:rsidR="001C682C">
        <w:t>(</w:t>
      </w:r>
      <w:r w:rsidR="005D7996">
        <w:fldChar w:fldCharType="begin"/>
      </w:r>
      <w:r w:rsidR="001C682C">
        <w:instrText xml:space="preserve"> REF _Ref267684998 \r \h </w:instrText>
      </w:r>
      <w:r w:rsidR="005D7996">
        <w:fldChar w:fldCharType="separate"/>
      </w:r>
      <w:r w:rsidR="001231D3">
        <w:t>3.1</w:t>
      </w:r>
      <w:r w:rsidR="005D7996">
        <w:fldChar w:fldCharType="end"/>
      </w:r>
      <w:r w:rsidR="001C682C">
        <w:t xml:space="preserve">) </w:t>
      </w:r>
      <w:r w:rsidR="00580826">
        <w:t xml:space="preserve">– </w:t>
      </w:r>
      <w:r>
        <w:t>sofern man „A</w:t>
      </w:r>
      <w:r w:rsidR="00F9549B">
        <w:t xml:space="preserve">uswahl“ als abstrakten Prozess </w:t>
      </w:r>
      <w:r>
        <w:t xml:space="preserve">und nicht als willentliche </w:t>
      </w:r>
      <w:r w:rsidR="00F9549B">
        <w:t xml:space="preserve">Entscheidung </w:t>
      </w:r>
      <w:r>
        <w:t>versteht</w:t>
      </w:r>
      <w:r w:rsidR="00F9549B">
        <w:t xml:space="preserve"> – auf den Vorgang beziehen</w:t>
      </w:r>
      <w:r>
        <w:t xml:space="preserve">, </w:t>
      </w:r>
      <w:r w:rsidR="00F9549B">
        <w:t xml:space="preserve">in dem </w:t>
      </w:r>
      <w:r>
        <w:t>bei der Ausführung eines Schemas von den verschiedenen zur Verfügung st</w:t>
      </w:r>
      <w:r>
        <w:t>e</w:t>
      </w:r>
      <w:r>
        <w:t xml:space="preserve">henden Möglichkeiten jeweils eine realisiert </w:t>
      </w:r>
      <w:r w:rsidR="00F9549B">
        <w:t>wird</w:t>
      </w:r>
      <w:r>
        <w:t xml:space="preserve">. Dieser Auswahlvorgang </w:t>
      </w:r>
      <w:r w:rsidR="001C682C">
        <w:t xml:space="preserve">wird im Interpretationsprozess zum Ausgangspunkt weitergehender Erkenntnisse; daher macht auch die Redeweise von </w:t>
      </w:r>
      <w:r>
        <w:t>„Stil als Information“ (</w:t>
      </w:r>
      <w:r w:rsidR="005D7996">
        <w:fldChar w:fldCharType="begin"/>
      </w:r>
      <w:r>
        <w:instrText xml:space="preserve"> REF _Ref265831830 \r \h </w:instrText>
      </w:r>
      <w:r w:rsidR="005D7996">
        <w:fldChar w:fldCharType="separate"/>
      </w:r>
      <w:r w:rsidR="001231D3">
        <w:t>3.3</w:t>
      </w:r>
      <w:r w:rsidR="005D7996">
        <w:fldChar w:fldCharType="end"/>
      </w:r>
      <w:r>
        <w:t>)</w:t>
      </w:r>
      <w:r w:rsidR="001C682C">
        <w:t xml:space="preserve"> durchaus Sinn. Es ist jedoch zu beachten, dass die entstehende „Information“ nicht nur Prop</w:t>
      </w:r>
      <w:r w:rsidR="001C682C">
        <w:t>o</w:t>
      </w:r>
      <w:r w:rsidR="001C682C">
        <w:t>sitionsannahmen beinhaltet, sondern auch Eindrücke oder Gefühle</w:t>
      </w:r>
      <w:r w:rsidR="00580826">
        <w:t xml:space="preserve">. Will man Stil über Information beschreiben, sollte man daher einen </w:t>
      </w:r>
      <w:r w:rsidR="001C682C">
        <w:t>weiten In</w:t>
      </w:r>
      <w:r w:rsidR="000271EF">
        <w:t>formations</w:t>
      </w:r>
      <w:r w:rsidR="001C682C">
        <w:t>b</w:t>
      </w:r>
      <w:r w:rsidR="001C682C">
        <w:t>e</w:t>
      </w:r>
      <w:r w:rsidR="001C682C">
        <w:t>griff</w:t>
      </w:r>
      <w:r w:rsidR="005D7996">
        <w:fldChar w:fldCharType="begin"/>
      </w:r>
      <w:r w:rsidR="00E60F05">
        <w:instrText xml:space="preserve"> XE "</w:instrText>
      </w:r>
      <w:r w:rsidR="00E60F05" w:rsidRPr="001E0192">
        <w:instrText>Informationsbegriff</w:instrText>
      </w:r>
      <w:r w:rsidR="00E60F05">
        <w:instrText xml:space="preserve">" </w:instrText>
      </w:r>
      <w:r w:rsidR="005D7996">
        <w:fldChar w:fldCharType="end"/>
      </w:r>
      <w:r w:rsidR="00580826">
        <w:rPr>
          <w:rStyle w:val="Funotenzeichen"/>
        </w:rPr>
        <w:footnoteReference w:id="712"/>
      </w:r>
      <w:r w:rsidR="001C682C">
        <w:t xml:space="preserve"> </w:t>
      </w:r>
      <w:r w:rsidR="00580826">
        <w:t>zugrund</w:t>
      </w:r>
      <w:r w:rsidR="00D85AE0">
        <w:t>e</w:t>
      </w:r>
      <w:r w:rsidR="00580826">
        <w:t xml:space="preserve"> legen.</w:t>
      </w:r>
    </w:p>
    <w:p w:rsidR="006356B0" w:rsidRDefault="00F9549B">
      <w:pPr>
        <w:pStyle w:val="Text"/>
      </w:pPr>
      <w:r>
        <w:t xml:space="preserve">Auch „Stil als Zeichen“ </w:t>
      </w:r>
      <w:r w:rsidR="006356B0">
        <w:t>(</w:t>
      </w:r>
      <w:r w:rsidR="005D7996">
        <w:fldChar w:fldCharType="begin"/>
      </w:r>
      <w:r w:rsidR="006356B0">
        <w:instrText xml:space="preserve"> REF _Ref272936981 \r \h </w:instrText>
      </w:r>
      <w:r w:rsidR="005D7996">
        <w:fldChar w:fldCharType="separate"/>
      </w:r>
      <w:r w:rsidR="001231D3">
        <w:t>3.2</w:t>
      </w:r>
      <w:r w:rsidR="005D7996">
        <w:fldChar w:fldCharType="end"/>
      </w:r>
      <w:r w:rsidR="006356B0">
        <w:t xml:space="preserve">) </w:t>
      </w:r>
      <w:r>
        <w:t>trifft einen wesentlichen Aspekt der hier vo</w:t>
      </w:r>
      <w:r>
        <w:t>r</w:t>
      </w:r>
      <w:r>
        <w:t>gestellten Theorie: Der Merkmalsprozess wurde als indexikalischer Zeichenpr</w:t>
      </w:r>
      <w:r>
        <w:t>o</w:t>
      </w:r>
      <w:r>
        <w:t xml:space="preserve">zess analysiert, während der Interpretationsprozess </w:t>
      </w:r>
      <w:r w:rsidR="00D85AE0">
        <w:t>– sofern man Charles S. Peirce</w:t>
      </w:r>
      <w:r w:rsidR="005D7996">
        <w:fldChar w:fldCharType="begin"/>
      </w:r>
      <w:r w:rsidR="002117F9">
        <w:instrText xml:space="preserve"> XE "</w:instrText>
      </w:r>
      <w:r w:rsidR="002117F9" w:rsidRPr="00426FA1">
        <w:instrText>Peirce, Charles S.</w:instrText>
      </w:r>
      <w:r w:rsidR="002117F9">
        <w:instrText xml:space="preserve">" </w:instrText>
      </w:r>
      <w:r w:rsidR="005D7996">
        <w:fldChar w:fldCharType="end"/>
      </w:r>
      <w:r w:rsidR="00D85AE0">
        <w:t xml:space="preserve"> folgt und logische Schlussverfahren</w:t>
      </w:r>
      <w:r w:rsidR="005D7996">
        <w:fldChar w:fldCharType="begin"/>
      </w:r>
      <w:r w:rsidR="00E60F05">
        <w:instrText xml:space="preserve"> XE "</w:instrText>
      </w:r>
      <w:r w:rsidR="00E60F05" w:rsidRPr="00A91264">
        <w:instrText>Schlussverfahren</w:instrText>
      </w:r>
      <w:r w:rsidR="002117F9">
        <w:instrText>, logische</w:instrText>
      </w:r>
      <w:r w:rsidR="00E60F05">
        <w:instrText xml:space="preserve">" </w:instrText>
      </w:r>
      <w:r w:rsidR="005D7996">
        <w:fldChar w:fldCharType="end"/>
      </w:r>
      <w:r w:rsidR="00D85AE0">
        <w:t xml:space="preserve"> zu den Zeichenprozessen zählt – </w:t>
      </w:r>
      <w:r>
        <w:t xml:space="preserve">aus </w:t>
      </w:r>
      <w:r>
        <w:lastRenderedPageBreak/>
        <w:t xml:space="preserve">einer Reihe unterschiedlicher </w:t>
      </w:r>
      <w:r w:rsidR="006356B0">
        <w:t xml:space="preserve">und miteinander interagierender </w:t>
      </w:r>
      <w:r>
        <w:t>Zeichenprozesse besteht</w:t>
      </w:r>
      <w:r w:rsidR="006356B0">
        <w:t>. Der Ansatz „Stil als Struktur“ (</w:t>
      </w:r>
      <w:r w:rsidR="005D7996">
        <w:fldChar w:fldCharType="begin"/>
      </w:r>
      <w:r w:rsidR="006356B0">
        <w:instrText xml:space="preserve"> REF _Ref267836372 \r \h </w:instrText>
      </w:r>
      <w:r w:rsidR="005D7996">
        <w:fldChar w:fldCharType="separate"/>
      </w:r>
      <w:r w:rsidR="001231D3">
        <w:t>3.6</w:t>
      </w:r>
      <w:r w:rsidR="005D7996">
        <w:fldChar w:fldCharType="end"/>
      </w:r>
      <w:r w:rsidR="006356B0">
        <w:t>) eignet sich, um stilistische Merkm</w:t>
      </w:r>
      <w:r w:rsidR="006356B0">
        <w:t>a</w:t>
      </w:r>
      <w:r w:rsidR="006356B0">
        <w:t>le im engeren Sinn, das heißt die in der Realisierung durch die Anwendung von Merkmalsregeln entstandenen Regelmäßigkeiten</w:t>
      </w:r>
      <w:r w:rsidR="00F92585">
        <w:t xml:space="preserve"> (</w:t>
      </w:r>
      <w:r w:rsidR="005D7996">
        <w:fldChar w:fldCharType="begin"/>
      </w:r>
      <w:r w:rsidR="00F92585">
        <w:instrText xml:space="preserve"> REF _Ref273429486 \r \h </w:instrText>
      </w:r>
      <w:r w:rsidR="005D7996">
        <w:fldChar w:fldCharType="separate"/>
      </w:r>
      <w:r w:rsidR="001231D3">
        <w:t>2.11</w:t>
      </w:r>
      <w:r w:rsidR="005D7996">
        <w:fldChar w:fldCharType="end"/>
      </w:r>
      <w:r w:rsidR="00F92585">
        <w:t>)</w:t>
      </w:r>
      <w:r w:rsidR="006356B0">
        <w:t>, die den Zeichenträger im Merkmalsprozess bilden, zu untersuchen.</w:t>
      </w:r>
    </w:p>
    <w:p w:rsidR="006356B0" w:rsidRDefault="006356B0">
      <w:pPr>
        <w:pStyle w:val="Text"/>
      </w:pPr>
      <w:r>
        <w:t>Wer das hier vorgestellte Stilmodell als angemessene Beschreibung dessen akzeptiert, was bei</w:t>
      </w:r>
      <w:r w:rsidR="00EF1E40">
        <w:t xml:space="preserve">m Anwenden und Wahrnehmen </w:t>
      </w:r>
      <w:r>
        <w:t>von Stilen geschieht, wird daher nicht einen der genannten Ansätze für den allein richtigen halten, sondern ihre jeweiligen Stärken, aber auch Begrenzungen erkennen.</w:t>
      </w:r>
    </w:p>
    <w:p w:rsidR="00611455" w:rsidRDefault="001C682C" w:rsidP="008D0BE9">
      <w:pPr>
        <w:pStyle w:val="Text"/>
      </w:pPr>
      <w:r>
        <w:t xml:space="preserve">Was bleibt noch zu sagen? – </w:t>
      </w:r>
      <w:r w:rsidR="00FB5468">
        <w:t>Ein allgemeiner</w:t>
      </w:r>
      <w:r w:rsidR="0054105E">
        <w:t xml:space="preserve"> Punkt betrifft die </w:t>
      </w:r>
      <w:r w:rsidR="00CC5A96">
        <w:t xml:space="preserve">Wichtigkeit der Semiotik für die </w:t>
      </w:r>
      <w:r w:rsidR="0054105E">
        <w:t xml:space="preserve">hier </w:t>
      </w:r>
      <w:r w:rsidR="00CC5A96">
        <w:t>vorgestellte</w:t>
      </w:r>
      <w:r w:rsidR="0054105E">
        <w:t xml:space="preserve"> Stiltheorie</w:t>
      </w:r>
      <w:r w:rsidR="00CC5A96">
        <w:t xml:space="preserve"> und für die Geistes- und Sozia</w:t>
      </w:r>
      <w:r w:rsidR="00CC5A96">
        <w:t>l</w:t>
      </w:r>
      <w:r w:rsidR="00CC5A96">
        <w:t>wissenschaften insgesamt</w:t>
      </w:r>
      <w:r w:rsidR="0054105E">
        <w:t xml:space="preserve">. </w:t>
      </w:r>
      <w:r w:rsidR="00F92588">
        <w:t xml:space="preserve">Eine allgemeine Stiltheorie mit dem Anspruch, alle alltagssprachlich als „Stil“ bezeichneten Phänomene abzugrenzen und in ihrer Funktionsweise zu erklären, </w:t>
      </w:r>
      <w:r w:rsidR="0054105E">
        <w:t xml:space="preserve">wurde </w:t>
      </w:r>
      <w:r w:rsidR="008B04F9">
        <w:t xml:space="preserve">nach Kenntnis des </w:t>
      </w:r>
      <w:r w:rsidR="00D85AE0">
        <w:t>Verfassers</w:t>
      </w:r>
      <w:r w:rsidR="00E3491B">
        <w:t xml:space="preserve"> – </w:t>
      </w:r>
      <w:r w:rsidR="00C65458">
        <w:t>die ang</w:t>
      </w:r>
      <w:r w:rsidR="00C65458">
        <w:t>e</w:t>
      </w:r>
      <w:r w:rsidR="00C65458">
        <w:t>sichts der Menge an Literatur allerdings notwendigerweise lückenhaft ist</w:t>
      </w:r>
      <w:r w:rsidR="00E3491B">
        <w:t xml:space="preserve"> – </w:t>
      </w:r>
      <w:r w:rsidR="00FC72D8">
        <w:t>bi</w:t>
      </w:r>
      <w:r w:rsidR="00FC72D8">
        <w:t>s</w:t>
      </w:r>
      <w:r w:rsidR="00FC72D8">
        <w:t xml:space="preserve">lang </w:t>
      </w:r>
      <w:r w:rsidR="0054105E">
        <w:t>nicht entwickelt</w:t>
      </w:r>
      <w:r w:rsidR="00444E8F">
        <w:t>. Die Suche nach einer präzisen und vollständigen Definit</w:t>
      </w:r>
      <w:r w:rsidR="00444E8F">
        <w:t>i</w:t>
      </w:r>
      <w:r w:rsidR="00444E8F">
        <w:t xml:space="preserve">on </w:t>
      </w:r>
      <w:r w:rsidR="008B04F9">
        <w:t xml:space="preserve">wurde </w:t>
      </w:r>
      <w:r w:rsidR="001716FE">
        <w:t>in der Stilistik</w:t>
      </w:r>
      <w:r w:rsidR="009F53B5">
        <w:rPr>
          <w:rStyle w:val="Funotenzeichen"/>
        </w:rPr>
        <w:footnoteReference w:id="713"/>
      </w:r>
      <w:r w:rsidR="001716FE">
        <w:t xml:space="preserve"> </w:t>
      </w:r>
      <w:r w:rsidR="00611455">
        <w:t xml:space="preserve">nach </w:t>
      </w:r>
      <w:r w:rsidR="00F909EF">
        <w:t xml:space="preserve">manchen </w:t>
      </w:r>
      <w:r w:rsidR="00611455">
        <w:t>misslungenen Versuchen praktisch aufgegeben und durch die Gewohnheit ersetzt, inkommensurable Definition</w:t>
      </w:r>
      <w:r w:rsidR="006F1D74">
        <w:t>en</w:t>
      </w:r>
      <w:r w:rsidR="00611455">
        <w:t xml:space="preserve"> aneinanderzureihen und dann zur Tagesordnung überzugehen</w:t>
      </w:r>
      <w:r w:rsidR="001716FE">
        <w:t>.</w:t>
      </w:r>
      <w:r w:rsidR="006F1D74">
        <w:rPr>
          <w:rStyle w:val="Funotenzeichen"/>
        </w:rPr>
        <w:footnoteReference w:id="714"/>
      </w:r>
    </w:p>
    <w:p w:rsidR="0054105E" w:rsidRDefault="00611455">
      <w:pPr>
        <w:pStyle w:val="Text"/>
      </w:pPr>
      <w:r>
        <w:t>Warum war eine allgemeine Stiltheorie nun doch möglich?</w:t>
      </w:r>
    </w:p>
    <w:p w:rsidR="00A55A17" w:rsidRDefault="0054105E" w:rsidP="00580F6A">
      <w:pPr>
        <w:pStyle w:val="Text"/>
      </w:pPr>
      <w:r>
        <w:t>Der Ausgangspunkt für die hier entwickelte Theorie war, Stil als ein</w:t>
      </w:r>
      <w:r w:rsidR="00DD36BC">
        <w:t>en</w:t>
      </w:r>
      <w:r>
        <w:t xml:space="preserve"> b</w:t>
      </w:r>
      <w:r>
        <w:t>e</w:t>
      </w:r>
      <w:r>
        <w:t>stimmte</w:t>
      </w:r>
      <w:r w:rsidR="00DD36BC">
        <w:t>n</w:t>
      </w:r>
      <w:r>
        <w:t xml:space="preserve"> Zeichenprozess</w:t>
      </w:r>
      <w:r w:rsidR="00DD36BC">
        <w:t>typ</w:t>
      </w:r>
      <w:r w:rsidR="005D7996">
        <w:fldChar w:fldCharType="begin"/>
      </w:r>
      <w:r w:rsidR="00112794">
        <w:instrText xml:space="preserve"> XE "</w:instrText>
      </w:r>
      <w:r w:rsidR="00112794" w:rsidRPr="002D4E66">
        <w:instrText>Stil:als Zeichenprozesstyp</w:instrText>
      </w:r>
      <w:r w:rsidR="00112794">
        <w:instrText>"</w:instrText>
      </w:r>
      <w:r w:rsidR="005D7996">
        <w:fldChar w:fldCharType="end"/>
      </w:r>
      <w:r w:rsidR="00112794">
        <w:t xml:space="preserve"> zu verstehen, der</w:t>
      </w:r>
      <w:r>
        <w:t xml:space="preserve"> definiert </w:t>
      </w:r>
      <w:r w:rsidR="00DD36BC">
        <w:t xml:space="preserve">und modelliert </w:t>
      </w:r>
      <w:r>
        <w:t xml:space="preserve">werden kann. Damit konnte auf die Theorie der Zeichenprozesse, die </w:t>
      </w:r>
      <w:r w:rsidRPr="0054105E">
        <w:rPr>
          <w:i/>
        </w:rPr>
        <w:t>Semiotik</w:t>
      </w:r>
      <w:r>
        <w:t>, zurüc</w:t>
      </w:r>
      <w:r>
        <w:t>k</w:t>
      </w:r>
      <w:r>
        <w:t>gegriffen werden: Sie stellte die Grundlage für die Untersuchung bereit. Nun konnten die Bedingungen, die einen Zeichenprozess zu einem stilistischen Ze</w:t>
      </w:r>
      <w:r>
        <w:t>i</w:t>
      </w:r>
      <w:r>
        <w:t xml:space="preserve">chenprozess </w:t>
      </w:r>
      <w:r w:rsidR="00A55A17">
        <w:t>machen, untersucht werden.</w:t>
      </w:r>
    </w:p>
    <w:p w:rsidR="00A55A17" w:rsidRDefault="0054105E" w:rsidP="00580F6A">
      <w:pPr>
        <w:pStyle w:val="Text"/>
      </w:pPr>
      <w:r>
        <w:lastRenderedPageBreak/>
        <w:t xml:space="preserve">Wie man gesehen hat, </w:t>
      </w:r>
      <w:r w:rsidR="00A55A17">
        <w:t>ist das immer noch einige Arbeit</w:t>
      </w:r>
      <w:r>
        <w:t>: Stil ist ein relativ komplizierter Zeichen</w:t>
      </w:r>
      <w:r w:rsidR="00366D7F">
        <w:t>prozess</w:t>
      </w:r>
      <w:r w:rsidR="00DD36BC">
        <w:t>typ</w:t>
      </w:r>
      <w:r w:rsidR="00A55A17">
        <w:t>. E</w:t>
      </w:r>
      <w:r w:rsidR="00580F6A">
        <w:t xml:space="preserve">r kann jedoch allgemein beschrieben werden. </w:t>
      </w:r>
      <w:r w:rsidR="00A55A17">
        <w:t xml:space="preserve">Ohne semiotische Grundlegung ist </w:t>
      </w:r>
      <w:r w:rsidR="0019579C">
        <w:t>das aber</w:t>
      </w:r>
      <w:r w:rsidR="00A55A17">
        <w:t xml:space="preserve"> unmöglich. Die bisherige Stilliter</w:t>
      </w:r>
      <w:r w:rsidR="00A55A17">
        <w:t>a</w:t>
      </w:r>
      <w:r w:rsidR="00A55A17">
        <w:t>tur vermittelt einen lebhaften Eindruck davon, wie man s</w:t>
      </w:r>
      <w:r w:rsidR="00EB182F">
        <w:t>ich in Detailfragen</w:t>
      </w:r>
      <w:r w:rsidR="00A55A17">
        <w:t xml:space="preserve"> ve</w:t>
      </w:r>
      <w:r w:rsidR="00A55A17">
        <w:t>r</w:t>
      </w:r>
      <w:r w:rsidR="00A55A17">
        <w:t xml:space="preserve">irren kann, wenn die Grundlagen, die </w:t>
      </w:r>
      <w:r w:rsidR="00366D7F">
        <w:t xml:space="preserve">man zur </w:t>
      </w:r>
      <w:r w:rsidR="00A55A17">
        <w:t xml:space="preserve">Lösung eines wissenschaftlichen Problems </w:t>
      </w:r>
      <w:r w:rsidR="00366D7F">
        <w:t>braucht</w:t>
      </w:r>
      <w:r w:rsidR="00A55A17">
        <w:t xml:space="preserve">, nicht </w:t>
      </w:r>
      <w:r w:rsidR="00E86E3C">
        <w:t xml:space="preserve">vorhanden oder nicht zugänglich </w:t>
      </w:r>
      <w:r w:rsidR="00A55A17">
        <w:t>sind.</w:t>
      </w:r>
    </w:p>
    <w:p w:rsidR="007443ED" w:rsidRDefault="00580F6A" w:rsidP="0091157A">
      <w:pPr>
        <w:pStyle w:val="Text"/>
      </w:pPr>
      <w:r>
        <w:t>Damit hat sich – nicht zum ersten Mal – die Leistungsfähigkeit der Semiotik als Grundlagen</w:t>
      </w:r>
      <w:r w:rsidR="00074592">
        <w:t>wissenschaft</w:t>
      </w:r>
      <w:r w:rsidR="005D7996">
        <w:fldChar w:fldCharType="begin"/>
      </w:r>
      <w:r w:rsidR="00545653">
        <w:instrText xml:space="preserve"> XE "</w:instrText>
      </w:r>
      <w:r w:rsidR="00545653" w:rsidRPr="0077611C">
        <w:instrText>Grundlagenwissenschaft</w:instrText>
      </w:r>
      <w:r w:rsidR="00545653">
        <w:instrText xml:space="preserve">" </w:instrText>
      </w:r>
      <w:r w:rsidR="005D7996">
        <w:fldChar w:fldCharType="end"/>
      </w:r>
      <w:r>
        <w:t xml:space="preserve"> </w:t>
      </w:r>
      <w:r w:rsidR="00C61B5B">
        <w:t xml:space="preserve">der Geistes- und </w:t>
      </w:r>
      <w:r w:rsidR="0019087D">
        <w:t xml:space="preserve">Sozialwissenschaften </w:t>
      </w:r>
      <w:r w:rsidR="00C61B5B">
        <w:t>sowie b</w:t>
      </w:r>
      <w:r w:rsidR="00C61B5B">
        <w:t>e</w:t>
      </w:r>
      <w:r w:rsidR="00C61B5B">
        <w:t xml:space="preserve">stimmter </w:t>
      </w:r>
      <w:r w:rsidR="0019087D">
        <w:t>Naturwissenschaften</w:t>
      </w:r>
      <w:r w:rsidR="005D7996">
        <w:fldChar w:fldCharType="begin"/>
      </w:r>
      <w:r w:rsidR="00946FEC">
        <w:instrText xml:space="preserve"> XE "</w:instrText>
      </w:r>
      <w:r w:rsidR="00946FEC" w:rsidRPr="001B0543">
        <w:instrText>Naturwissenschaften</w:instrText>
      </w:r>
      <w:r w:rsidR="00946FEC">
        <w:instrText xml:space="preserve">" </w:instrText>
      </w:r>
      <w:r w:rsidR="005D7996">
        <w:fldChar w:fldCharType="end"/>
      </w:r>
      <w:r w:rsidR="0019087D">
        <w:rPr>
          <w:rStyle w:val="Funotenzeichen"/>
        </w:rPr>
        <w:footnoteReference w:id="715"/>
      </w:r>
      <w:r w:rsidR="0019087D">
        <w:t xml:space="preserve"> </w:t>
      </w:r>
      <w:r>
        <w:t>erwiesen</w:t>
      </w:r>
      <w:r w:rsidR="00E86E3C">
        <w:t>.</w:t>
      </w:r>
      <w:r>
        <w:t xml:space="preserve"> Die Geschichte der Stilforschung</w:t>
      </w:r>
      <w:r w:rsidR="005D7996">
        <w:fldChar w:fldCharType="begin"/>
      </w:r>
      <w:r w:rsidR="00262183">
        <w:instrText xml:space="preserve"> XE "</w:instrText>
      </w:r>
      <w:r w:rsidR="00262183" w:rsidRPr="0078486D">
        <w:instrText>Stilforschung</w:instrText>
      </w:r>
      <w:r w:rsidR="00262183">
        <w:instrText xml:space="preserve">" </w:instrText>
      </w:r>
      <w:r w:rsidR="005D7996">
        <w:fldChar w:fldCharType="end"/>
      </w:r>
      <w:r>
        <w:t xml:space="preserve"> zeigt</w:t>
      </w:r>
      <w:r w:rsidR="00366D7F">
        <w:t xml:space="preserve"> nach Auffassung des Autors</w:t>
      </w:r>
      <w:r>
        <w:t xml:space="preserve">, dass eine allgemeine Stiltheorie nur auf Grundlage der Semiotik möglich war. </w:t>
      </w:r>
      <w:r w:rsidR="00366D7F">
        <w:t xml:space="preserve">Vermutlich </w:t>
      </w:r>
      <w:r w:rsidR="00361C60">
        <w:t>ist Stil</w:t>
      </w:r>
      <w:r>
        <w:t xml:space="preserve"> hier nicht die Ausna</w:t>
      </w:r>
      <w:r>
        <w:t>h</w:t>
      </w:r>
      <w:r>
        <w:t>me: Viele Probleme des geisteswissenschaftlichen Gegenstandsbereichs können ohne die Semiotik als Grundlagen</w:t>
      </w:r>
      <w:r w:rsidR="00074592">
        <w:t>wissenschaft</w:t>
      </w:r>
      <w:r>
        <w:t xml:space="preserve"> (und nicht als eine bloße</w:t>
      </w:r>
      <w:r w:rsidR="0019579C">
        <w:t xml:space="preserve"> Meth</w:t>
      </w:r>
      <w:r w:rsidR="0019579C">
        <w:t>o</w:t>
      </w:r>
      <w:r w:rsidR="0019579C">
        <w:t xml:space="preserve">de, deren Begrifflichkeit </w:t>
      </w:r>
      <w:r>
        <w:t xml:space="preserve">hier und da </w:t>
      </w:r>
      <w:r w:rsidR="00366D7F">
        <w:t xml:space="preserve">oberflächlich angewandt wird) </w:t>
      </w:r>
      <w:r>
        <w:t>nicht geklärt werden.</w:t>
      </w:r>
      <w:r w:rsidR="0091157A">
        <w:t xml:space="preserve"> </w:t>
      </w:r>
      <w:r w:rsidR="00172C84">
        <w:t xml:space="preserve">Die Folge ist eine weitgehende Stagnation </w:t>
      </w:r>
      <w:r w:rsidR="0091157A">
        <w:t xml:space="preserve">und </w:t>
      </w:r>
      <w:r w:rsidR="00172C84">
        <w:t>sogar eine Reaktionsb</w:t>
      </w:r>
      <w:r w:rsidR="00172C84">
        <w:t>e</w:t>
      </w:r>
      <w:r w:rsidR="00172C84">
        <w:t xml:space="preserve">wegung, die </w:t>
      </w:r>
      <w:r w:rsidR="0091157A">
        <w:t>sich auf überwunden geglaubte vage</w:t>
      </w:r>
      <w:r w:rsidR="00172C84">
        <w:t xml:space="preserve"> Begrifflichkeiten und fachi</w:t>
      </w:r>
      <w:r w:rsidR="00172C84">
        <w:t>n</w:t>
      </w:r>
      <w:r w:rsidR="00172C84">
        <w:t>terne Perspektiven</w:t>
      </w:r>
      <w:r w:rsidR="0091157A">
        <w:t xml:space="preserve"> zurückzieht, oder die Flucht in einen Empirismus, der </w:t>
      </w:r>
      <w:r w:rsidR="007443ED">
        <w:t>au</w:t>
      </w:r>
      <w:r w:rsidR="007443ED">
        <w:t>f</w:t>
      </w:r>
      <w:r w:rsidR="007443ED">
        <w:t xml:space="preserve">grund </w:t>
      </w:r>
      <w:r w:rsidR="0091157A">
        <w:t xml:space="preserve">unzureichender </w:t>
      </w:r>
      <w:r w:rsidR="007443ED">
        <w:t>Theorien gar nicht weiß, was für Effekte er misst.</w:t>
      </w:r>
    </w:p>
    <w:p w:rsidR="0046694C" w:rsidRDefault="0091157A" w:rsidP="0048017A">
      <w:pPr>
        <w:pStyle w:val="Text"/>
        <w:sectPr w:rsidR="0046694C" w:rsidSect="004707D1">
          <w:headerReference w:type="even" r:id="rId86"/>
          <w:headerReference w:type="default" r:id="rId87"/>
          <w:headerReference w:type="first" r:id="rId88"/>
          <w:type w:val="continuous"/>
          <w:pgSz w:w="8789" w:h="13325" w:code="9"/>
          <w:pgMar w:top="1134" w:right="851" w:bottom="1418" w:left="1134" w:header="567" w:footer="680" w:gutter="0"/>
          <w:cols w:space="720"/>
          <w:titlePg/>
          <w:docGrid w:linePitch="360"/>
        </w:sectPr>
      </w:pPr>
      <w:r>
        <w:t xml:space="preserve">Die Semiotik sollte </w:t>
      </w:r>
      <w:r w:rsidR="0019087D">
        <w:t xml:space="preserve">allerdings bedarfsbezogen mit anderen Theorien und Ansätzen kombiniert werden; hier stellt sie beispielsweise nur das </w:t>
      </w:r>
      <w:r w:rsidR="00BA0667">
        <w:t xml:space="preserve">allgemeine Modell eines Zeichenprozesses </w:t>
      </w:r>
      <w:r w:rsidR="0019087D">
        <w:t xml:space="preserve">bereit, </w:t>
      </w:r>
      <w:r w:rsidR="007F56D4">
        <w:t>während die konkreten Prozesse, aus d</w:t>
      </w:r>
      <w:r w:rsidR="007F56D4">
        <w:t>e</w:t>
      </w:r>
      <w:r w:rsidR="007F56D4">
        <w:t xml:space="preserve">nen Merkmalsprozess und </w:t>
      </w:r>
      <w:r w:rsidR="0019087D">
        <w:t>Interpretation</w:t>
      </w:r>
      <w:r w:rsidR="00E730B8">
        <w:t>sprozess</w:t>
      </w:r>
      <w:r w:rsidR="007F56D4">
        <w:t xml:space="preserve"> bestehen,</w:t>
      </w:r>
      <w:r w:rsidR="0019087D">
        <w:t xml:space="preserve"> mit Mitteln der I</w:t>
      </w:r>
      <w:r w:rsidR="0019087D">
        <w:t>n</w:t>
      </w:r>
      <w:r w:rsidR="0019087D">
        <w:t>formatik</w:t>
      </w:r>
      <w:r w:rsidR="005D7996">
        <w:fldChar w:fldCharType="begin"/>
      </w:r>
      <w:r w:rsidR="002117F9">
        <w:instrText xml:space="preserve"> XE "</w:instrText>
      </w:r>
      <w:r w:rsidR="002117F9" w:rsidRPr="008605A2">
        <w:instrText>Informatik</w:instrText>
      </w:r>
      <w:r w:rsidR="002117F9">
        <w:instrText xml:space="preserve">" </w:instrText>
      </w:r>
      <w:r w:rsidR="005D7996">
        <w:fldChar w:fldCharType="end"/>
      </w:r>
      <w:r w:rsidR="0019087D">
        <w:t xml:space="preserve"> modelliert werden. Beschränkt sich die Semiotik immer wieder auf dieselben Unterscheidungen von Zeichentypen</w:t>
      </w:r>
      <w:r w:rsidR="00361C60">
        <w:t xml:space="preserve"> und Modelle von Zeichenproze</w:t>
      </w:r>
      <w:r w:rsidR="00361C60">
        <w:t>s</w:t>
      </w:r>
      <w:r w:rsidR="00361C60">
        <w:t>sen</w:t>
      </w:r>
      <w:r w:rsidR="0019087D">
        <w:t xml:space="preserve">, wie dies </w:t>
      </w:r>
      <w:r w:rsidR="00361C60">
        <w:t xml:space="preserve">manchmal der </w:t>
      </w:r>
      <w:r w:rsidR="0019087D">
        <w:t xml:space="preserve">Fall </w:t>
      </w:r>
      <w:r w:rsidR="00361C60">
        <w:t>ist</w:t>
      </w:r>
      <w:r w:rsidR="0019087D">
        <w:t>, kann sie ihr Potential nicht ausspielen. U</w:t>
      </w:r>
      <w:r w:rsidR="0019087D">
        <w:t>m</w:t>
      </w:r>
      <w:r w:rsidR="0019087D">
        <w:t>gekehrt darf es aber auch keine Verdrängung der Semiotik aus den Universitäten und dem Wissenschaftsbetrieb geben, wie sie sich heute andeutet;</w:t>
      </w:r>
      <w:r w:rsidR="0019579C">
        <w:rPr>
          <w:rStyle w:val="Funotenzeichen"/>
        </w:rPr>
        <w:footnoteReference w:id="716"/>
      </w:r>
      <w:r w:rsidR="0019087D">
        <w:t xml:space="preserve"> dies würde insbesondere für die Geistes- und Sozialwissenschaften zum Verlust einer ihrer wichtigsten Grundlagen</w:t>
      </w:r>
      <w:r w:rsidR="00074592">
        <w:t>wissenschaften</w:t>
      </w:r>
      <w:r w:rsidR="0019087D">
        <w:t xml:space="preserve"> führen</w:t>
      </w:r>
      <w:r w:rsidR="0046694C">
        <w:t>.</w:t>
      </w:r>
      <w:bookmarkEnd w:id="531"/>
    </w:p>
    <w:p w:rsidR="00100546" w:rsidRDefault="00100546" w:rsidP="00100546">
      <w:pPr>
        <w:pStyle w:val="TitelohneNummer"/>
      </w:pPr>
      <w:bookmarkStart w:id="532" w:name="_Toc325456840"/>
      <w:r>
        <w:lastRenderedPageBreak/>
        <w:t>Abbildungen</w:t>
      </w:r>
      <w:bookmarkEnd w:id="532"/>
    </w:p>
    <w:p w:rsidR="001474BA" w:rsidRDefault="005D7996">
      <w:pPr>
        <w:pStyle w:val="Abbildungsverzeichnis"/>
        <w:rPr>
          <w:rFonts w:asciiTheme="minorHAnsi" w:eastAsiaTheme="minorEastAsia" w:hAnsiTheme="minorHAnsi" w:cstheme="minorBidi"/>
          <w:noProof/>
          <w:sz w:val="22"/>
          <w:szCs w:val="22"/>
        </w:rPr>
      </w:pPr>
      <w:r>
        <w:rPr>
          <w:rFonts w:ascii="Times New Roman" w:hAnsi="Times New Roman"/>
          <w:sz w:val="26"/>
        </w:rPr>
        <w:fldChar w:fldCharType="begin"/>
      </w:r>
      <w:r w:rsidR="004C3839">
        <w:rPr>
          <w:rFonts w:ascii="Times New Roman" w:hAnsi="Times New Roman"/>
          <w:sz w:val="26"/>
        </w:rPr>
        <w:instrText xml:space="preserve"> TOC \h \z \t "Beschriftung" \c </w:instrText>
      </w:r>
      <w:r>
        <w:rPr>
          <w:rFonts w:ascii="Times New Roman" w:hAnsi="Times New Roman"/>
          <w:sz w:val="26"/>
        </w:rPr>
        <w:fldChar w:fldCharType="separate"/>
      </w:r>
      <w:hyperlink w:anchor="_Toc323036036" w:history="1">
        <w:r w:rsidR="001474BA" w:rsidRPr="00DA7F3B">
          <w:rPr>
            <w:rStyle w:val="Hyperlink"/>
            <w:noProof/>
          </w:rPr>
          <w:t>Abb. 1</w:t>
        </w:r>
        <w:r w:rsidR="001474BA" w:rsidRPr="00DA7F3B">
          <w:rPr>
            <w:rFonts w:asciiTheme="minorHAnsi" w:eastAsiaTheme="minorEastAsia" w:hAnsiTheme="minorHAnsi" w:cstheme="minorBidi"/>
            <w:noProof/>
            <w:sz w:val="22"/>
            <w:szCs w:val="22"/>
          </w:rPr>
          <w:tab/>
        </w:r>
        <w:r w:rsidR="001474BA" w:rsidRPr="00577B50">
          <w:rPr>
            <w:rStyle w:val="Hyperlink"/>
            <w:noProof/>
          </w:rPr>
          <w:t>Zeichenprozesse beim Anwenden und Wahrnehmen von Stil</w:t>
        </w:r>
        <w:r w:rsidR="001474BA">
          <w:rPr>
            <w:noProof/>
            <w:webHidden/>
          </w:rPr>
          <w:tab/>
        </w:r>
        <w:r>
          <w:rPr>
            <w:noProof/>
            <w:webHidden/>
          </w:rPr>
          <w:fldChar w:fldCharType="begin"/>
        </w:r>
        <w:r w:rsidR="001474BA">
          <w:rPr>
            <w:noProof/>
            <w:webHidden/>
          </w:rPr>
          <w:instrText xml:space="preserve"> PAGEREF _Toc323036036 \h </w:instrText>
        </w:r>
        <w:r>
          <w:rPr>
            <w:noProof/>
            <w:webHidden/>
          </w:rPr>
        </w:r>
        <w:r>
          <w:rPr>
            <w:noProof/>
            <w:webHidden/>
          </w:rPr>
          <w:fldChar w:fldCharType="separate"/>
        </w:r>
        <w:r w:rsidR="001231D3">
          <w:rPr>
            <w:noProof/>
            <w:webHidden/>
          </w:rPr>
          <w:t>91</w:t>
        </w:r>
        <w:r>
          <w:rPr>
            <w:noProof/>
            <w:webHidden/>
          </w:rPr>
          <w:fldChar w:fldCharType="end"/>
        </w:r>
      </w:hyperlink>
    </w:p>
    <w:p w:rsidR="001474BA" w:rsidRDefault="005D7996">
      <w:pPr>
        <w:pStyle w:val="Abbildungsverzeichnis"/>
        <w:rPr>
          <w:rFonts w:asciiTheme="minorHAnsi" w:eastAsiaTheme="minorEastAsia" w:hAnsiTheme="minorHAnsi" w:cstheme="minorBidi"/>
          <w:noProof/>
          <w:sz w:val="22"/>
          <w:szCs w:val="22"/>
        </w:rPr>
      </w:pPr>
      <w:hyperlink w:anchor="_Toc323036037" w:history="1">
        <w:r w:rsidR="001474BA" w:rsidRPr="00DA7F3B">
          <w:rPr>
            <w:rStyle w:val="Hyperlink"/>
            <w:noProof/>
          </w:rPr>
          <w:t>Abb. 2</w:t>
        </w:r>
        <w:r w:rsidR="001474BA" w:rsidRPr="00DA7F3B">
          <w:rPr>
            <w:rFonts w:asciiTheme="minorHAnsi" w:eastAsiaTheme="minorEastAsia" w:hAnsiTheme="minorHAnsi" w:cstheme="minorBidi"/>
            <w:noProof/>
            <w:sz w:val="22"/>
            <w:szCs w:val="22"/>
          </w:rPr>
          <w:tab/>
        </w:r>
        <w:r w:rsidR="001474BA" w:rsidRPr="00577B50">
          <w:rPr>
            <w:rStyle w:val="Hyperlink"/>
            <w:noProof/>
          </w:rPr>
          <w:t>Der Merkmalsprozess</w:t>
        </w:r>
        <w:r w:rsidR="001474BA">
          <w:rPr>
            <w:noProof/>
            <w:webHidden/>
          </w:rPr>
          <w:tab/>
        </w:r>
        <w:r>
          <w:rPr>
            <w:noProof/>
            <w:webHidden/>
          </w:rPr>
          <w:fldChar w:fldCharType="begin"/>
        </w:r>
        <w:r w:rsidR="001474BA">
          <w:rPr>
            <w:noProof/>
            <w:webHidden/>
          </w:rPr>
          <w:instrText xml:space="preserve"> PAGEREF _Toc323036037 \h </w:instrText>
        </w:r>
        <w:r>
          <w:rPr>
            <w:noProof/>
            <w:webHidden/>
          </w:rPr>
        </w:r>
        <w:r>
          <w:rPr>
            <w:noProof/>
            <w:webHidden/>
          </w:rPr>
          <w:fldChar w:fldCharType="separate"/>
        </w:r>
        <w:r w:rsidR="001231D3">
          <w:rPr>
            <w:noProof/>
            <w:webHidden/>
          </w:rPr>
          <w:t>170</w:t>
        </w:r>
        <w:r>
          <w:rPr>
            <w:noProof/>
            <w:webHidden/>
          </w:rPr>
          <w:fldChar w:fldCharType="end"/>
        </w:r>
      </w:hyperlink>
    </w:p>
    <w:p w:rsidR="001474BA" w:rsidRDefault="005D7996">
      <w:pPr>
        <w:pStyle w:val="Abbildungsverzeichnis"/>
        <w:rPr>
          <w:rFonts w:asciiTheme="minorHAnsi" w:eastAsiaTheme="minorEastAsia" w:hAnsiTheme="minorHAnsi" w:cstheme="minorBidi"/>
          <w:noProof/>
          <w:sz w:val="22"/>
          <w:szCs w:val="22"/>
        </w:rPr>
      </w:pPr>
      <w:hyperlink w:anchor="_Toc323036038" w:history="1">
        <w:r w:rsidR="001474BA" w:rsidRPr="00DA7F3B">
          <w:rPr>
            <w:rStyle w:val="Hyperlink"/>
            <w:noProof/>
            <w:lang w:val="en-US"/>
          </w:rPr>
          <w:t>Abb. 3</w:t>
        </w:r>
        <w:r w:rsidR="001474BA" w:rsidRPr="00DA7F3B">
          <w:rPr>
            <w:rFonts w:asciiTheme="minorHAnsi" w:eastAsiaTheme="minorEastAsia" w:hAnsiTheme="minorHAnsi" w:cstheme="minorBidi"/>
            <w:noProof/>
            <w:sz w:val="22"/>
            <w:szCs w:val="22"/>
          </w:rPr>
          <w:tab/>
        </w:r>
        <w:r w:rsidR="001474BA" w:rsidRPr="00577B50">
          <w:rPr>
            <w:rStyle w:val="Hyperlink"/>
            <w:noProof/>
            <w:lang w:val="en-US"/>
          </w:rPr>
          <w:t>Atheneum, New Harmony, IN, USA (1975–1979)</w:t>
        </w:r>
        <w:r w:rsidR="001474BA">
          <w:rPr>
            <w:noProof/>
            <w:webHidden/>
          </w:rPr>
          <w:tab/>
        </w:r>
        <w:r>
          <w:rPr>
            <w:noProof/>
            <w:webHidden/>
          </w:rPr>
          <w:fldChar w:fldCharType="begin"/>
        </w:r>
        <w:r w:rsidR="001474BA">
          <w:rPr>
            <w:noProof/>
            <w:webHidden/>
          </w:rPr>
          <w:instrText xml:space="preserve"> PAGEREF _Toc323036038 \h </w:instrText>
        </w:r>
        <w:r>
          <w:rPr>
            <w:noProof/>
            <w:webHidden/>
          </w:rPr>
        </w:r>
        <w:r>
          <w:rPr>
            <w:noProof/>
            <w:webHidden/>
          </w:rPr>
          <w:fldChar w:fldCharType="separate"/>
        </w:r>
        <w:r w:rsidR="001231D3">
          <w:rPr>
            <w:noProof/>
            <w:webHidden/>
          </w:rPr>
          <w:t>289</w:t>
        </w:r>
        <w:r>
          <w:rPr>
            <w:noProof/>
            <w:webHidden/>
          </w:rPr>
          <w:fldChar w:fldCharType="end"/>
        </w:r>
      </w:hyperlink>
    </w:p>
    <w:p w:rsidR="001474BA" w:rsidRDefault="005D7996">
      <w:pPr>
        <w:pStyle w:val="Abbildungsverzeichnis"/>
        <w:rPr>
          <w:rFonts w:asciiTheme="minorHAnsi" w:eastAsiaTheme="minorEastAsia" w:hAnsiTheme="minorHAnsi" w:cstheme="minorBidi"/>
          <w:noProof/>
          <w:sz w:val="22"/>
          <w:szCs w:val="22"/>
        </w:rPr>
      </w:pPr>
      <w:hyperlink w:anchor="_Toc323036039" w:history="1">
        <w:r w:rsidR="001474BA" w:rsidRPr="00DA7F3B">
          <w:rPr>
            <w:rStyle w:val="Hyperlink"/>
            <w:noProof/>
            <w:lang w:val="en-US"/>
          </w:rPr>
          <w:t xml:space="preserve">Abb. </w:t>
        </w:r>
        <w:r w:rsidR="001474BA" w:rsidRPr="00DA7F3B">
          <w:rPr>
            <w:rStyle w:val="Hyperlink"/>
            <w:noProof/>
          </w:rPr>
          <w:t>4</w:t>
        </w:r>
        <w:r w:rsidR="001474BA" w:rsidRPr="00DA7F3B">
          <w:rPr>
            <w:rFonts w:asciiTheme="minorHAnsi" w:eastAsiaTheme="minorEastAsia" w:hAnsiTheme="minorHAnsi" w:cstheme="minorBidi"/>
            <w:noProof/>
            <w:sz w:val="22"/>
            <w:szCs w:val="22"/>
          </w:rPr>
          <w:tab/>
        </w:r>
        <w:r w:rsidR="001474BA" w:rsidRPr="00577B50">
          <w:rPr>
            <w:rStyle w:val="Hyperlink"/>
            <w:noProof/>
            <w:lang w:val="en-US"/>
          </w:rPr>
          <w:t>Westchester House, Westchester County, NY, USA (1984–1986)</w:t>
        </w:r>
        <w:r w:rsidR="001474BA">
          <w:rPr>
            <w:noProof/>
            <w:webHidden/>
          </w:rPr>
          <w:tab/>
        </w:r>
        <w:r>
          <w:rPr>
            <w:noProof/>
            <w:webHidden/>
          </w:rPr>
          <w:fldChar w:fldCharType="begin"/>
        </w:r>
        <w:r w:rsidR="001474BA">
          <w:rPr>
            <w:noProof/>
            <w:webHidden/>
          </w:rPr>
          <w:instrText xml:space="preserve"> PAGEREF _Toc323036039 \h </w:instrText>
        </w:r>
        <w:r>
          <w:rPr>
            <w:noProof/>
            <w:webHidden/>
          </w:rPr>
        </w:r>
        <w:r>
          <w:rPr>
            <w:noProof/>
            <w:webHidden/>
          </w:rPr>
          <w:fldChar w:fldCharType="separate"/>
        </w:r>
        <w:r w:rsidR="001231D3">
          <w:rPr>
            <w:noProof/>
            <w:webHidden/>
          </w:rPr>
          <w:t>293</w:t>
        </w:r>
        <w:r>
          <w:rPr>
            <w:noProof/>
            <w:webHidden/>
          </w:rPr>
          <w:fldChar w:fldCharType="end"/>
        </w:r>
      </w:hyperlink>
    </w:p>
    <w:p w:rsidR="001474BA" w:rsidRDefault="005D7996">
      <w:pPr>
        <w:pStyle w:val="Abbildungsverzeichnis"/>
        <w:rPr>
          <w:rFonts w:asciiTheme="minorHAnsi" w:eastAsiaTheme="minorEastAsia" w:hAnsiTheme="minorHAnsi" w:cstheme="minorBidi"/>
          <w:noProof/>
          <w:sz w:val="22"/>
          <w:szCs w:val="22"/>
        </w:rPr>
      </w:pPr>
      <w:hyperlink w:anchor="_Toc323036040" w:history="1">
        <w:r w:rsidR="001474BA" w:rsidRPr="00DA7F3B">
          <w:rPr>
            <w:rStyle w:val="Hyperlink"/>
            <w:noProof/>
          </w:rPr>
          <w:t>Abb. 5</w:t>
        </w:r>
        <w:r w:rsidR="001474BA" w:rsidRPr="00DA7F3B">
          <w:rPr>
            <w:rFonts w:asciiTheme="minorHAnsi" w:eastAsiaTheme="minorEastAsia" w:hAnsiTheme="minorHAnsi" w:cstheme="minorBidi"/>
            <w:noProof/>
            <w:sz w:val="22"/>
            <w:szCs w:val="22"/>
          </w:rPr>
          <w:tab/>
        </w:r>
        <w:r w:rsidR="001474BA" w:rsidRPr="00577B50">
          <w:rPr>
            <w:rStyle w:val="Hyperlink"/>
            <w:noProof/>
          </w:rPr>
          <w:t>Das Obergeschoss der Ste-Chapelle, Paris (1244–1248)</w:t>
        </w:r>
        <w:r w:rsidR="001474BA">
          <w:rPr>
            <w:noProof/>
            <w:webHidden/>
          </w:rPr>
          <w:tab/>
        </w:r>
        <w:r>
          <w:rPr>
            <w:noProof/>
            <w:webHidden/>
          </w:rPr>
          <w:fldChar w:fldCharType="begin"/>
        </w:r>
        <w:r w:rsidR="001474BA">
          <w:rPr>
            <w:noProof/>
            <w:webHidden/>
          </w:rPr>
          <w:instrText xml:space="preserve"> PAGEREF _Toc323036040 \h </w:instrText>
        </w:r>
        <w:r>
          <w:rPr>
            <w:noProof/>
            <w:webHidden/>
          </w:rPr>
        </w:r>
        <w:r>
          <w:rPr>
            <w:noProof/>
            <w:webHidden/>
          </w:rPr>
          <w:fldChar w:fldCharType="separate"/>
        </w:r>
        <w:r w:rsidR="001231D3">
          <w:rPr>
            <w:noProof/>
            <w:webHidden/>
          </w:rPr>
          <w:t>299</w:t>
        </w:r>
        <w:r>
          <w:rPr>
            <w:noProof/>
            <w:webHidden/>
          </w:rPr>
          <w:fldChar w:fldCharType="end"/>
        </w:r>
      </w:hyperlink>
    </w:p>
    <w:p w:rsidR="0028289D" w:rsidRDefault="005D7996" w:rsidP="00100546">
      <w:pPr>
        <w:pStyle w:val="TitelohneNummer"/>
      </w:pPr>
      <w:r>
        <w:rPr>
          <w:rFonts w:ascii="Times New Roman" w:eastAsia="Lucida Sans Unicode" w:hAnsi="Times New Roman" w:cs="Tahoma"/>
          <w:color w:val="auto"/>
          <w:sz w:val="26"/>
          <w:szCs w:val="24"/>
        </w:rPr>
        <w:fldChar w:fldCharType="end"/>
      </w:r>
      <w:bookmarkStart w:id="533" w:name="_Toc325456841"/>
      <w:r w:rsidR="00100546">
        <w:t>B</w:t>
      </w:r>
      <w:r w:rsidR="008C367D">
        <w:t>ildnachweis</w:t>
      </w:r>
      <w:bookmarkEnd w:id="533"/>
    </w:p>
    <w:p w:rsidR="00B0362C" w:rsidRPr="00710DB6" w:rsidRDefault="00100546" w:rsidP="0002437F">
      <w:pPr>
        <w:tabs>
          <w:tab w:val="clear" w:pos="851"/>
          <w:tab w:val="left" w:pos="794"/>
        </w:tabs>
        <w:spacing w:before="180" w:after="180"/>
        <w:ind w:left="794" w:hanging="794"/>
      </w:pPr>
      <w:bookmarkStart w:id="534" w:name="Bildnachweis"/>
      <w:bookmarkEnd w:id="534"/>
      <w:r w:rsidRPr="008D59C3">
        <w:t>Abb. </w:t>
      </w:r>
      <w:r w:rsidR="009020DC" w:rsidRPr="008D59C3">
        <w:t>3</w:t>
      </w:r>
      <w:r w:rsidRPr="008D59C3">
        <w:tab/>
      </w:r>
      <w:r w:rsidR="00AC1B2B" w:rsidRPr="008D59C3">
        <w:t xml:space="preserve">© </w:t>
      </w:r>
      <w:r w:rsidR="002C093D" w:rsidRPr="008D59C3">
        <w:t>Mary Ann Sullivan</w:t>
      </w:r>
      <w:r w:rsidR="006E7E97" w:rsidRPr="008D59C3">
        <w:t>, Bluffton University.</w:t>
      </w:r>
      <w:r w:rsidR="00710DB6" w:rsidRPr="008D59C3">
        <w:tab/>
        <w:t xml:space="preserve"> </w:t>
      </w:r>
      <w:r w:rsidR="00710DB6" w:rsidRPr="00710DB6">
        <w:t>http://www.bluffton.edu/~sullivanm/meier/athwhole12.jpg</w:t>
      </w:r>
      <w:r w:rsidR="00710DB6">
        <w:t>; Einsicht am 13.05.2011.</w:t>
      </w:r>
      <w:r w:rsidR="006E7E97" w:rsidRPr="00710DB6">
        <w:t xml:space="preserve"> </w:t>
      </w:r>
      <w:r w:rsidR="00076C0C" w:rsidRPr="00551F6D">
        <w:t>Alle Rechte vorbehalten.</w:t>
      </w:r>
    </w:p>
    <w:p w:rsidR="00B410B6" w:rsidRPr="007D41C2" w:rsidRDefault="00100546" w:rsidP="0002437F">
      <w:pPr>
        <w:tabs>
          <w:tab w:val="clear" w:pos="851"/>
          <w:tab w:val="left" w:pos="794"/>
        </w:tabs>
        <w:spacing w:before="180" w:after="180"/>
        <w:ind w:left="794" w:hanging="794"/>
      </w:pPr>
      <w:r w:rsidRPr="00DA7F3B">
        <w:t>Abb. </w:t>
      </w:r>
      <w:r w:rsidR="009020DC" w:rsidRPr="00DA7F3B">
        <w:t>4</w:t>
      </w:r>
      <w:r w:rsidRPr="00DA7F3B">
        <w:tab/>
      </w:r>
      <w:r w:rsidR="00B3358B" w:rsidRPr="00B410B6">
        <w:t xml:space="preserve">© </w:t>
      </w:r>
      <w:r w:rsidR="00A12E29">
        <w:t>Wolfgang Hoyt/Esto</w:t>
      </w:r>
      <w:r w:rsidR="00710DB6">
        <w:t xml:space="preserve">. </w:t>
      </w:r>
      <w:r w:rsidR="00076C0C" w:rsidRPr="00551F6D">
        <w:t>Alle Rechte vorbehalten.</w:t>
      </w:r>
    </w:p>
    <w:p w:rsidR="0031488A" w:rsidRDefault="00B3358B" w:rsidP="00086C11">
      <w:pPr>
        <w:tabs>
          <w:tab w:val="clear" w:pos="851"/>
          <w:tab w:val="left" w:pos="794"/>
        </w:tabs>
        <w:spacing w:before="180" w:after="180"/>
        <w:ind w:left="794" w:hanging="794"/>
      </w:pPr>
      <w:r w:rsidRPr="00DA7F3B">
        <w:t>Abb. 5</w:t>
      </w:r>
      <w:r w:rsidRPr="00DA7F3B">
        <w:tab/>
      </w:r>
      <w:r w:rsidRPr="00B3358B">
        <w:t>©</w:t>
      </w:r>
      <w:r>
        <w:t xml:space="preserve"> </w:t>
      </w:r>
      <w:r w:rsidRPr="008B1D25">
        <w:t>Didier B, http://commons.wikimedia.org/wiki/File:Sainte_chapelle</w:t>
      </w:r>
      <w:r w:rsidR="000C2B5D">
        <w:br/>
      </w:r>
      <w:r w:rsidRPr="008B1D25">
        <w:t>_-_Upper_level.jpg</w:t>
      </w:r>
      <w:r>
        <w:t xml:space="preserve">; Einsicht am </w:t>
      </w:r>
      <w:r w:rsidR="00B410B6">
        <w:t>13</w:t>
      </w:r>
      <w:r>
        <w:t>.0</w:t>
      </w:r>
      <w:r w:rsidR="00B410B6">
        <w:t>5</w:t>
      </w:r>
      <w:r>
        <w:t>.201</w:t>
      </w:r>
      <w:r w:rsidR="00B410B6">
        <w:t>1</w:t>
      </w:r>
      <w:r>
        <w:t xml:space="preserve">. </w:t>
      </w:r>
      <w:r w:rsidR="00B410B6">
        <w:t>Lizensiert unter Creative Commons Namensnennung-Weitergabe unter gleichen Bedingungen-Lizenz in der Version 2.5 (</w:t>
      </w:r>
      <w:r w:rsidR="00E945CB">
        <w:t>CC BY-SA 2.5)</w:t>
      </w:r>
      <w:r w:rsidR="00B410B6">
        <w:t xml:space="preserve">; </w:t>
      </w:r>
      <w:r w:rsidR="003F5756">
        <w:t xml:space="preserve">der Text der </w:t>
      </w:r>
      <w:r w:rsidR="00B410B6">
        <w:t>Lizenz</w:t>
      </w:r>
      <w:r w:rsidR="00EF517E">
        <w:t xml:space="preserve"> </w:t>
      </w:r>
      <w:r w:rsidR="003F5756">
        <w:t xml:space="preserve">ist </w:t>
      </w:r>
      <w:r w:rsidR="00EF517E">
        <w:t>e</w:t>
      </w:r>
      <w:r w:rsidR="00EF517E">
        <w:t>r</w:t>
      </w:r>
      <w:r w:rsidR="00EF517E">
        <w:t xml:space="preserve">hältlich unter </w:t>
      </w:r>
      <w:r w:rsidR="00E945CB" w:rsidRPr="00E945CB">
        <w:t>http://creativecommons.org/licenses/by-sa/2.5/deed.de</w:t>
      </w:r>
      <w:r w:rsidR="00B410B6">
        <w:t>.</w:t>
      </w:r>
    </w:p>
    <w:p w:rsidR="0031488A" w:rsidRDefault="0031488A" w:rsidP="00086C11">
      <w:pPr>
        <w:tabs>
          <w:tab w:val="clear" w:pos="851"/>
          <w:tab w:val="left" w:pos="794"/>
        </w:tabs>
        <w:spacing w:before="180" w:after="180"/>
        <w:ind w:left="794" w:hanging="794"/>
      </w:pPr>
    </w:p>
    <w:p w:rsidR="00086C11" w:rsidRDefault="00086C11" w:rsidP="00086C11">
      <w:pPr>
        <w:tabs>
          <w:tab w:val="clear" w:pos="851"/>
          <w:tab w:val="left" w:pos="794"/>
        </w:tabs>
        <w:spacing w:before="180" w:after="180"/>
        <w:ind w:left="794" w:hanging="794"/>
        <w:sectPr w:rsidR="00086C11" w:rsidSect="0048017A">
          <w:headerReference w:type="even" r:id="rId89"/>
          <w:headerReference w:type="default" r:id="rId90"/>
          <w:pgSz w:w="8789" w:h="13325" w:code="9"/>
          <w:pgMar w:top="1134" w:right="851" w:bottom="1418" w:left="1134" w:header="567" w:footer="680" w:gutter="0"/>
          <w:cols w:space="720"/>
          <w:titlePg/>
          <w:docGrid w:linePitch="360"/>
        </w:sectPr>
      </w:pPr>
    </w:p>
    <w:p w:rsidR="00AF061D" w:rsidRDefault="00AF061D" w:rsidP="00AF061D">
      <w:pPr>
        <w:pStyle w:val="TitelohneNummer"/>
      </w:pPr>
      <w:bookmarkStart w:id="535" w:name="_Toc325456842"/>
      <w:r>
        <w:lastRenderedPageBreak/>
        <w:t>Abkürzung</w:t>
      </w:r>
      <w:r w:rsidR="00B27668">
        <w:t>en</w:t>
      </w:r>
      <w:bookmarkEnd w:id="535"/>
    </w:p>
    <w:p w:rsidR="00AF061D" w:rsidRPr="00AF061D" w:rsidRDefault="007A41AB" w:rsidP="00086C11">
      <w:pPr>
        <w:pStyle w:val="Text"/>
        <w:tabs>
          <w:tab w:val="clear" w:pos="567"/>
          <w:tab w:val="clear" w:pos="851"/>
          <w:tab w:val="clear" w:pos="1134"/>
          <w:tab w:val="clear" w:pos="1418"/>
          <w:tab w:val="left" w:pos="1701"/>
          <w:tab w:val="right" w:pos="6804"/>
        </w:tabs>
        <w:spacing w:before="120" w:after="120"/>
        <w:ind w:firstLine="0"/>
        <w:rPr>
          <w:i/>
        </w:rPr>
      </w:pPr>
      <w:r>
        <w:rPr>
          <w:i/>
        </w:rPr>
        <w:t>Abkürzung</w:t>
      </w:r>
      <w:r>
        <w:rPr>
          <w:i/>
        </w:rPr>
        <w:tab/>
      </w:r>
      <w:r w:rsidR="00AF061D" w:rsidRPr="00AF061D">
        <w:rPr>
          <w:i/>
        </w:rPr>
        <w:t>steht für</w:t>
      </w:r>
      <w:r>
        <w:rPr>
          <w:i/>
        </w:rPr>
        <w:tab/>
        <w:t>e</w:t>
      </w:r>
      <w:r w:rsidR="00AF061D" w:rsidRPr="00AF061D">
        <w:rPr>
          <w:i/>
        </w:rPr>
        <w:t>ingeführt in Abschnitt</w:t>
      </w:r>
    </w:p>
    <w:p w:rsidR="00AF061D" w:rsidRDefault="007A41AB" w:rsidP="00086C11">
      <w:pPr>
        <w:pStyle w:val="Text"/>
        <w:tabs>
          <w:tab w:val="clear" w:pos="567"/>
          <w:tab w:val="clear" w:pos="851"/>
          <w:tab w:val="clear" w:pos="1134"/>
          <w:tab w:val="clear" w:pos="1418"/>
          <w:tab w:val="left" w:pos="1701"/>
          <w:tab w:val="right" w:pos="6804"/>
        </w:tabs>
        <w:spacing w:before="120" w:after="120"/>
        <w:ind w:firstLine="0"/>
      </w:pPr>
      <w:r>
        <w:t>S</w:t>
      </w:r>
      <w:r w:rsidR="0085753F">
        <w:t>N</w:t>
      </w:r>
      <w:r>
        <w:tab/>
      </w:r>
      <w:r w:rsidR="000C2B5D">
        <w:tab/>
      </w:r>
      <w:r w:rsidR="00CA514C">
        <w:t>Stilanwender</w:t>
      </w:r>
      <w:r>
        <w:tab/>
      </w:r>
      <w:r w:rsidR="005D7996">
        <w:fldChar w:fldCharType="begin"/>
      </w:r>
      <w:r w:rsidR="008F2F54">
        <w:instrText xml:space="preserve"> REF _Ref272757240 \r \h </w:instrText>
      </w:r>
      <w:r w:rsidR="005D7996">
        <w:fldChar w:fldCharType="separate"/>
      </w:r>
      <w:r w:rsidR="001231D3">
        <w:t>6.1.1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S</w:t>
      </w:r>
      <w:r w:rsidR="00CA514C">
        <w:t>W</w:t>
      </w:r>
      <w:r>
        <w:tab/>
      </w:r>
      <w:r w:rsidR="000C2B5D">
        <w:tab/>
      </w:r>
      <w:r w:rsidR="007A41AB">
        <w:t>Stil</w:t>
      </w:r>
      <w:r w:rsidR="00CA514C">
        <w:t>wahrnehmer</w:t>
      </w:r>
      <w:r w:rsidR="007A41AB">
        <w:tab/>
      </w:r>
      <w:r w:rsidR="005D7996">
        <w:fldChar w:fldCharType="begin"/>
      </w:r>
      <w:r w:rsidR="008F2F54">
        <w:instrText xml:space="preserve"> REF _Ref272757240 \r \h </w:instrText>
      </w:r>
      <w:r w:rsidR="005D7996">
        <w:fldChar w:fldCharType="separate"/>
      </w:r>
      <w:r w:rsidR="001231D3">
        <w:t>6.1.1</w:t>
      </w:r>
      <w:r w:rsidR="005D7996">
        <w:fldChar w:fldCharType="end"/>
      </w:r>
    </w:p>
    <w:p w:rsidR="00AF061D" w:rsidRDefault="007A41AB" w:rsidP="00086C11">
      <w:pPr>
        <w:pStyle w:val="Text"/>
        <w:tabs>
          <w:tab w:val="clear" w:pos="567"/>
          <w:tab w:val="clear" w:pos="851"/>
          <w:tab w:val="clear" w:pos="1134"/>
          <w:tab w:val="clear" w:pos="1418"/>
          <w:tab w:val="left" w:pos="1701"/>
          <w:tab w:val="right" w:pos="6804"/>
        </w:tabs>
        <w:spacing w:before="120" w:after="120"/>
        <w:ind w:firstLine="0"/>
      </w:pPr>
      <w:r>
        <w:t>Ded</w:t>
      </w:r>
      <w:r>
        <w:tab/>
      </w:r>
      <w:r w:rsidR="000C2B5D">
        <w:tab/>
      </w:r>
      <w:r w:rsidR="00AF061D">
        <w:t>Deduktion</w:t>
      </w:r>
      <w:r>
        <w:t xml:space="preserve"> [Operation]</w:t>
      </w:r>
      <w:r w:rsidR="00AF061D">
        <w:tab/>
      </w:r>
      <w:r w:rsidR="005D7996">
        <w:fldChar w:fldCharType="begin"/>
      </w:r>
      <w:r w:rsidR="00AF061D">
        <w:instrText xml:space="preserve"> REF _Ref248036699 \r \h </w:instrText>
      </w:r>
      <w:r w:rsidR="005D7996">
        <w:fldChar w:fldCharType="separate"/>
      </w:r>
      <w:r w:rsidR="001231D3">
        <w:t>6.2.1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Ind</w:t>
      </w:r>
      <w:r>
        <w:tab/>
      </w:r>
      <w:r w:rsidR="000C2B5D">
        <w:tab/>
      </w:r>
      <w:r>
        <w:t>Induktion</w:t>
      </w:r>
      <w:r w:rsidR="007A41AB">
        <w:t xml:space="preserve"> [Operation]</w:t>
      </w:r>
      <w:r>
        <w:tab/>
      </w:r>
      <w:r w:rsidR="005D7996">
        <w:fldChar w:fldCharType="begin"/>
      </w:r>
      <w:r>
        <w:instrText xml:space="preserve"> REF _Ref248036699 \r \h </w:instrText>
      </w:r>
      <w:r w:rsidR="005D7996">
        <w:fldChar w:fldCharType="separate"/>
      </w:r>
      <w:r w:rsidR="001231D3">
        <w:t>6.2.1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Abd</w:t>
      </w:r>
      <w:r>
        <w:tab/>
      </w:r>
      <w:r w:rsidR="000C2B5D">
        <w:tab/>
      </w:r>
      <w:r>
        <w:t>Abduktion</w:t>
      </w:r>
      <w:r w:rsidR="007A41AB">
        <w:t xml:space="preserve"> [Operation]</w:t>
      </w:r>
      <w:r>
        <w:tab/>
      </w:r>
      <w:r w:rsidR="005D7996">
        <w:fldChar w:fldCharType="begin"/>
      </w:r>
      <w:r>
        <w:instrText xml:space="preserve"> REF _Ref248036699 \r \h </w:instrText>
      </w:r>
      <w:r w:rsidR="005D7996">
        <w:fldChar w:fldCharType="separate"/>
      </w:r>
      <w:r w:rsidR="001231D3">
        <w:t>6.2.1</w:t>
      </w:r>
      <w:r w:rsidR="005D7996">
        <w:fldChar w:fldCharType="end"/>
      </w:r>
    </w:p>
    <w:p w:rsidR="00CA514C" w:rsidRPr="0038113E" w:rsidRDefault="00CA514C" w:rsidP="00086C11">
      <w:pPr>
        <w:pStyle w:val="Text"/>
        <w:tabs>
          <w:tab w:val="clear" w:pos="567"/>
          <w:tab w:val="clear" w:pos="851"/>
          <w:tab w:val="clear" w:pos="1134"/>
          <w:tab w:val="clear" w:pos="1418"/>
          <w:tab w:val="left" w:pos="1701"/>
          <w:tab w:val="right" w:pos="6804"/>
        </w:tabs>
        <w:spacing w:before="120" w:after="120"/>
        <w:ind w:firstLine="0"/>
      </w:pPr>
      <w:r w:rsidRPr="0038113E">
        <w:t>Ass</w:t>
      </w:r>
      <w:r w:rsidRPr="0038113E">
        <w:tab/>
      </w:r>
      <w:r w:rsidR="000C2B5D">
        <w:tab/>
      </w:r>
      <w:r w:rsidRPr="0038113E">
        <w:t>Assoziation [Operation]</w:t>
      </w:r>
      <w:r w:rsidRPr="0038113E">
        <w:tab/>
      </w:r>
      <w:r w:rsidR="005D7996">
        <w:fldChar w:fldCharType="begin"/>
      </w:r>
      <w:r w:rsidRPr="0038113E">
        <w:instrText xml:space="preserve"> REF _Ref248036699 \r \h </w:instrText>
      </w:r>
      <w:r w:rsidR="005D7996">
        <w:fldChar w:fldCharType="separate"/>
      </w:r>
      <w:r w:rsidR="001231D3">
        <w:t>6.2.1</w:t>
      </w:r>
      <w:r w:rsidR="005D7996">
        <w:fldChar w:fldCharType="end"/>
      </w:r>
    </w:p>
    <w:p w:rsidR="00CA514C" w:rsidRPr="00CA514C" w:rsidRDefault="00CA514C" w:rsidP="00086C11">
      <w:pPr>
        <w:pStyle w:val="Text"/>
        <w:tabs>
          <w:tab w:val="clear" w:pos="567"/>
          <w:tab w:val="clear" w:pos="851"/>
          <w:tab w:val="clear" w:pos="1134"/>
          <w:tab w:val="clear" w:pos="1418"/>
          <w:tab w:val="left" w:pos="1701"/>
          <w:tab w:val="right" w:pos="6804"/>
        </w:tabs>
        <w:spacing w:before="120" w:after="120"/>
        <w:ind w:firstLine="0"/>
      </w:pPr>
      <w:r w:rsidRPr="00CA514C">
        <w:t>Bed</w:t>
      </w:r>
      <w:r w:rsidRPr="00CA514C">
        <w:tab/>
      </w:r>
      <w:r w:rsidR="000C2B5D">
        <w:tab/>
      </w:r>
      <w:r w:rsidRPr="00CA514C">
        <w:t>Bedeutungssuche [Operation]</w:t>
      </w:r>
      <w:r w:rsidRPr="00CA514C">
        <w:tab/>
      </w:r>
      <w:r w:rsidR="005D7996">
        <w:fldChar w:fldCharType="begin"/>
      </w:r>
      <w:r w:rsidRPr="00CA514C">
        <w:instrText xml:space="preserve"> REF _Ref248036699 \r \h </w:instrText>
      </w:r>
      <w:r w:rsidR="005D7996">
        <w:fldChar w:fldCharType="separate"/>
      </w:r>
      <w:r w:rsidR="001231D3">
        <w:t>6.2.1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Gfr</w:t>
      </w:r>
      <w:r>
        <w:tab/>
      </w:r>
      <w:r w:rsidR="000C2B5D">
        <w:tab/>
      </w:r>
      <w:r>
        <w:t>Gefühlsreaktio</w:t>
      </w:r>
      <w:r w:rsidR="007A41AB">
        <w:t>n [Operation]</w:t>
      </w:r>
      <w:r w:rsidR="007A41AB">
        <w:tab/>
      </w:r>
      <w:r w:rsidR="005D7996">
        <w:fldChar w:fldCharType="begin"/>
      </w:r>
      <w:r>
        <w:instrText xml:space="preserve"> REF _Ref248036699 \r \h </w:instrText>
      </w:r>
      <w:r w:rsidR="005D7996">
        <w:fldChar w:fldCharType="separate"/>
      </w:r>
      <w:r w:rsidR="001231D3">
        <w:t>6.2.1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Edr</w:t>
      </w:r>
      <w:r>
        <w:tab/>
      </w:r>
      <w:r w:rsidR="000C2B5D">
        <w:tab/>
      </w:r>
      <w:r>
        <w:t>Eindrucksreaktion</w:t>
      </w:r>
      <w:r w:rsidR="007A41AB">
        <w:t xml:space="preserve"> [Operation]</w:t>
      </w:r>
      <w:r>
        <w:tab/>
      </w:r>
      <w:r w:rsidR="005D7996">
        <w:fldChar w:fldCharType="begin"/>
      </w:r>
      <w:r>
        <w:instrText xml:space="preserve"> REF _Ref248036699 \r \h </w:instrText>
      </w:r>
      <w:r w:rsidR="005D7996">
        <w:fldChar w:fldCharType="separate"/>
      </w:r>
      <w:r w:rsidR="001231D3">
        <w:t>6.2.1</w:t>
      </w:r>
      <w:r w:rsidR="005D7996">
        <w:fldChar w:fldCharType="end"/>
      </w:r>
    </w:p>
    <w:p w:rsidR="00AF061D" w:rsidRDefault="00AF061D" w:rsidP="00086C11">
      <w:pPr>
        <w:pStyle w:val="Text"/>
        <w:tabs>
          <w:tab w:val="clear" w:pos="567"/>
          <w:tab w:val="clear" w:pos="851"/>
          <w:tab w:val="clear" w:pos="1134"/>
          <w:tab w:val="clear" w:pos="1418"/>
          <w:tab w:val="left" w:pos="1701"/>
          <w:tab w:val="right" w:pos="6804"/>
        </w:tabs>
        <w:spacing w:before="120" w:after="120"/>
        <w:ind w:firstLine="0"/>
      </w:pPr>
      <w:r>
        <w:t>p</w:t>
      </w:r>
      <w:r w:rsidR="007A41AB">
        <w:tab/>
      </w:r>
      <w:r w:rsidR="000C2B5D">
        <w:tab/>
      </w:r>
      <w:r w:rsidR="007A41AB">
        <w:t>Propositionsannahme [Ergebnissorte]</w:t>
      </w:r>
      <w:r>
        <w:tab/>
      </w:r>
      <w:r w:rsidR="005D7996">
        <w:fldChar w:fldCharType="begin"/>
      </w:r>
      <w:r w:rsidR="007A41AB">
        <w:instrText xml:space="preserve"> REF _Ref253668018 \r \h </w:instrText>
      </w:r>
      <w:r w:rsidR="005D7996">
        <w:fldChar w:fldCharType="separate"/>
      </w:r>
      <w:r w:rsidR="001231D3">
        <w:t>6.2.2</w:t>
      </w:r>
      <w:r w:rsidR="005D7996">
        <w:fldChar w:fldCharType="end"/>
      </w:r>
    </w:p>
    <w:p w:rsidR="00AF061D" w:rsidRDefault="007A41AB" w:rsidP="00086C11">
      <w:pPr>
        <w:pStyle w:val="Text"/>
        <w:tabs>
          <w:tab w:val="clear" w:pos="567"/>
          <w:tab w:val="clear" w:pos="851"/>
          <w:tab w:val="clear" w:pos="1134"/>
          <w:tab w:val="clear" w:pos="1418"/>
          <w:tab w:val="left" w:pos="1701"/>
          <w:tab w:val="right" w:pos="6804"/>
        </w:tabs>
        <w:spacing w:before="120" w:after="120"/>
        <w:ind w:firstLine="0"/>
      </w:pPr>
      <w:r>
        <w:t>g</w:t>
      </w:r>
      <w:r>
        <w:tab/>
      </w:r>
      <w:r w:rsidR="000C2B5D">
        <w:tab/>
      </w:r>
      <w:r>
        <w:t>G</w:t>
      </w:r>
      <w:r w:rsidR="008F2F54">
        <w:t>efühl</w:t>
      </w:r>
      <w:r>
        <w:t xml:space="preserve"> [Ergebnissorte]</w:t>
      </w:r>
      <w:r w:rsidR="00AF061D">
        <w:tab/>
      </w:r>
      <w:r w:rsidR="005D7996">
        <w:fldChar w:fldCharType="begin"/>
      </w:r>
      <w:r>
        <w:instrText xml:space="preserve"> REF _Ref253668018 \r \h </w:instrText>
      </w:r>
      <w:r w:rsidR="005D7996">
        <w:fldChar w:fldCharType="separate"/>
      </w:r>
      <w:r w:rsidR="001231D3">
        <w:t>6.2.2</w:t>
      </w:r>
      <w:r w:rsidR="005D7996">
        <w:fldChar w:fldCharType="end"/>
      </w:r>
    </w:p>
    <w:p w:rsidR="00086C11" w:rsidRDefault="00AF061D" w:rsidP="00086C11">
      <w:pPr>
        <w:pStyle w:val="Text"/>
        <w:tabs>
          <w:tab w:val="clear" w:pos="567"/>
          <w:tab w:val="clear" w:pos="851"/>
          <w:tab w:val="clear" w:pos="1134"/>
          <w:tab w:val="clear" w:pos="1418"/>
          <w:tab w:val="left" w:pos="1701"/>
          <w:tab w:val="right" w:pos="6804"/>
        </w:tabs>
        <w:spacing w:before="120" w:after="120"/>
        <w:ind w:firstLine="0"/>
      </w:pPr>
      <w:r>
        <w:t>e</w:t>
      </w:r>
      <w:r>
        <w:tab/>
      </w:r>
      <w:r w:rsidR="000C2B5D">
        <w:tab/>
      </w:r>
      <w:r>
        <w:t>Eindruck</w:t>
      </w:r>
      <w:r w:rsidR="007A41AB">
        <w:t xml:space="preserve"> [Ergebnissorte]</w:t>
      </w:r>
      <w:r>
        <w:tab/>
      </w:r>
      <w:r w:rsidR="005D7996">
        <w:fldChar w:fldCharType="begin"/>
      </w:r>
      <w:r w:rsidR="007A41AB">
        <w:instrText xml:space="preserve"> REF _Ref253668018 \r \h </w:instrText>
      </w:r>
      <w:r w:rsidR="005D7996">
        <w:fldChar w:fldCharType="separate"/>
      </w:r>
      <w:r w:rsidR="001231D3">
        <w:t>6.2.2</w:t>
      </w:r>
      <w:r w:rsidR="005D7996">
        <w:fldChar w:fldCharType="end"/>
      </w:r>
    </w:p>
    <w:p w:rsidR="0031488A" w:rsidRDefault="0031488A" w:rsidP="00086C11">
      <w:pPr>
        <w:pStyle w:val="Text"/>
        <w:tabs>
          <w:tab w:val="clear" w:pos="567"/>
          <w:tab w:val="clear" w:pos="851"/>
          <w:tab w:val="clear" w:pos="1134"/>
          <w:tab w:val="clear" w:pos="1418"/>
          <w:tab w:val="left" w:pos="1701"/>
          <w:tab w:val="right" w:pos="6804"/>
        </w:tabs>
        <w:spacing w:before="120" w:after="120"/>
        <w:ind w:firstLine="0"/>
      </w:pPr>
    </w:p>
    <w:p w:rsidR="00086C11" w:rsidRDefault="00086C11" w:rsidP="00FE7C64">
      <w:pPr>
        <w:pStyle w:val="Text"/>
        <w:tabs>
          <w:tab w:val="clear" w:pos="567"/>
          <w:tab w:val="clear" w:pos="851"/>
          <w:tab w:val="clear" w:pos="1134"/>
          <w:tab w:val="clear" w:pos="1418"/>
          <w:tab w:val="left" w:pos="2835"/>
          <w:tab w:val="left" w:pos="7371"/>
        </w:tabs>
        <w:sectPr w:rsidR="00086C11" w:rsidSect="0048017A">
          <w:headerReference w:type="even" r:id="rId91"/>
          <w:headerReference w:type="default" r:id="rId92"/>
          <w:pgSz w:w="8789" w:h="13325" w:code="9"/>
          <w:pgMar w:top="1134" w:right="851" w:bottom="1418" w:left="1134" w:header="567" w:footer="680" w:gutter="0"/>
          <w:cols w:space="720"/>
          <w:titlePg/>
          <w:docGrid w:linePitch="360"/>
        </w:sectPr>
      </w:pPr>
    </w:p>
    <w:p w:rsidR="00D2554C" w:rsidRDefault="00D2554C">
      <w:pPr>
        <w:pStyle w:val="TitelohneNummer"/>
      </w:pPr>
      <w:bookmarkStart w:id="536" w:name="_Toc325456843"/>
      <w:r>
        <w:lastRenderedPageBreak/>
        <w:t>Literatur</w:t>
      </w:r>
      <w:bookmarkEnd w:id="536"/>
    </w:p>
    <w:p w:rsidR="000D6B3B" w:rsidRDefault="00E045CE" w:rsidP="009F0669">
      <w:pPr>
        <w:pStyle w:val="Text"/>
        <w:ind w:left="454" w:hanging="454"/>
      </w:pPr>
      <w:r>
        <w:t>Abraham, Ulf (2009), „Stil als ganzheitliche</w:t>
      </w:r>
      <w:r w:rsidR="00FB4B69">
        <w:t xml:space="preserve"> Kategorie.</w:t>
      </w:r>
      <w:r>
        <w:t xml:space="preserve"> Gestalthaftigkeit“. In: </w:t>
      </w:r>
      <w:r w:rsidRPr="00E53621">
        <w:t>Fix u.a. 2008–2009</w:t>
      </w:r>
      <w:r w:rsidR="009D2CB4">
        <w:t>,</w:t>
      </w:r>
      <w:r w:rsidRPr="00E53621">
        <w:t xml:space="preserve"> </w:t>
      </w:r>
      <w:r w:rsidR="009D2CB4">
        <w:t>Bd. 2:</w:t>
      </w:r>
      <w:r>
        <w:t xml:space="preserve"> 1348-1367.</w:t>
      </w:r>
    </w:p>
    <w:p w:rsidR="00D2554C" w:rsidRPr="00BC548F" w:rsidRDefault="00D2554C" w:rsidP="009F0669">
      <w:pPr>
        <w:pStyle w:val="Text"/>
        <w:ind w:left="454" w:hanging="454"/>
      </w:pPr>
      <w:r>
        <w:t xml:space="preserve">Abraham, Werner (1971), „Stil, Pragmatik und Abweichungsgrammatik“. In: Arnim von Stechow (Hg.), </w:t>
      </w:r>
      <w:r>
        <w:rPr>
          <w:i/>
          <w:iCs/>
        </w:rPr>
        <w:t>Beiträge zur generativen Grammatik. Referate de</w:t>
      </w:r>
      <w:r w:rsidR="0059632E">
        <w:rPr>
          <w:i/>
          <w:iCs/>
        </w:rPr>
        <w:t xml:space="preserve">s 5. Linguistischen Kolloquiums </w:t>
      </w:r>
      <w:r>
        <w:rPr>
          <w:i/>
          <w:iCs/>
        </w:rPr>
        <w:t>Regensburg</w:t>
      </w:r>
      <w:r w:rsidR="0059632E">
        <w:rPr>
          <w:i/>
          <w:iCs/>
        </w:rPr>
        <w:t>,</w:t>
      </w:r>
      <w:r>
        <w:rPr>
          <w:i/>
          <w:iCs/>
        </w:rPr>
        <w:t xml:space="preserve"> 1970. </w:t>
      </w:r>
      <w:r w:rsidRPr="00BC548F">
        <w:t>Braunschweig: Vieweg. 1-13.</w:t>
      </w:r>
    </w:p>
    <w:p w:rsidR="00190B89" w:rsidRPr="00BC548F" w:rsidRDefault="00190B89" w:rsidP="009F0669">
      <w:pPr>
        <w:pStyle w:val="Text"/>
        <w:ind w:left="454" w:hanging="454"/>
        <w:rPr>
          <w:lang w:val="en-US"/>
        </w:rPr>
      </w:pPr>
      <w:r>
        <w:t>Abraham, Werner und Kurt Braunmüller (1971), „Stil, Metapher und Pragm</w:t>
      </w:r>
      <w:r>
        <w:t>a</w:t>
      </w:r>
      <w:r>
        <w:t xml:space="preserve">tik“. </w:t>
      </w:r>
      <w:r w:rsidRPr="00BC548F">
        <w:rPr>
          <w:i/>
          <w:lang w:val="en-US"/>
        </w:rPr>
        <w:t>Lingua</w:t>
      </w:r>
      <w:r w:rsidRPr="00BC548F">
        <w:rPr>
          <w:lang w:val="en-US"/>
        </w:rPr>
        <w:t xml:space="preserve"> 28: 1-47.</w:t>
      </w:r>
    </w:p>
    <w:p w:rsidR="00D642E5" w:rsidRDefault="00D642E5" w:rsidP="009F0669">
      <w:pPr>
        <w:pStyle w:val="Text"/>
        <w:ind w:left="454" w:hanging="454"/>
        <w:rPr>
          <w:lang w:val="en-US"/>
        </w:rPr>
      </w:pPr>
      <w:r w:rsidRPr="00190B89">
        <w:rPr>
          <w:lang w:val="en-US"/>
        </w:rPr>
        <w:t xml:space="preserve">Ackerman, James S. (1962), </w:t>
      </w:r>
      <w:r w:rsidRPr="00190B89">
        <w:rPr>
          <w:rFonts w:eastAsia="Times New Roman" w:cs="Times New Roman"/>
          <w:lang w:val="en-US"/>
        </w:rPr>
        <w:t>„</w:t>
      </w:r>
      <w:r w:rsidRPr="00190B89">
        <w:rPr>
          <w:lang w:val="en-US"/>
        </w:rPr>
        <w:t>A Theory of Style</w:t>
      </w:r>
      <w:r w:rsidRPr="00190B89">
        <w:rPr>
          <w:rFonts w:eastAsia="Times New Roman" w:cs="Times New Roman"/>
          <w:lang w:val="en-US"/>
        </w:rPr>
        <w:t>“</w:t>
      </w:r>
      <w:r w:rsidRPr="00190B89">
        <w:rPr>
          <w:lang w:val="en-US"/>
        </w:rPr>
        <w:t xml:space="preserve">. </w:t>
      </w:r>
      <w:r w:rsidRPr="003E4B25">
        <w:rPr>
          <w:i/>
          <w:lang w:val="en-US"/>
        </w:rPr>
        <w:t>Journal of Aesthetics and Art Criticism</w:t>
      </w:r>
      <w:r>
        <w:rPr>
          <w:lang w:val="en-US"/>
        </w:rPr>
        <w:t xml:space="preserve"> 20: 227-237.</w:t>
      </w:r>
    </w:p>
    <w:p w:rsidR="00512AEA" w:rsidRDefault="00512AEA" w:rsidP="009F0669">
      <w:pPr>
        <w:pStyle w:val="Text"/>
        <w:ind w:left="454" w:hanging="454"/>
        <w:rPr>
          <w:rFonts w:eastAsia="Times New Roman" w:cs="Times New Roman"/>
          <w:lang w:val="en-US"/>
        </w:rPr>
      </w:pPr>
      <w:r w:rsidRPr="0027459F">
        <w:rPr>
          <w:lang w:val="en-US"/>
        </w:rPr>
        <w:t xml:space="preserve">Ackerman, James S. (1963), </w:t>
      </w:r>
      <w:r w:rsidRPr="0027459F">
        <w:rPr>
          <w:rFonts w:eastAsia="Times New Roman" w:cs="Times New Roman"/>
          <w:lang w:val="en-US"/>
        </w:rPr>
        <w:t>„</w:t>
      </w:r>
      <w:r w:rsidRPr="0027459F">
        <w:rPr>
          <w:lang w:val="en-US"/>
        </w:rPr>
        <w:t>Western Art History</w:t>
      </w:r>
      <w:r w:rsidRPr="0027459F">
        <w:rPr>
          <w:rFonts w:eastAsia="Times New Roman" w:cs="Times New Roman"/>
          <w:lang w:val="en-US"/>
        </w:rPr>
        <w:t xml:space="preserve">“. </w:t>
      </w:r>
      <w:r w:rsidRPr="00512AEA">
        <w:rPr>
          <w:rFonts w:eastAsia="Times New Roman" w:cs="Times New Roman"/>
          <w:lang w:val="en-US"/>
        </w:rPr>
        <w:t>In: Ders. und Rhys Carpe</w:t>
      </w:r>
      <w:r w:rsidRPr="00512AEA">
        <w:rPr>
          <w:rFonts w:eastAsia="Times New Roman" w:cs="Times New Roman"/>
          <w:lang w:val="en-US"/>
        </w:rPr>
        <w:t>n</w:t>
      </w:r>
      <w:r w:rsidRPr="00512AEA">
        <w:rPr>
          <w:rFonts w:eastAsia="Times New Roman" w:cs="Times New Roman"/>
          <w:lang w:val="en-US"/>
        </w:rPr>
        <w:t xml:space="preserve">ter (Hg.), Art and Archaeology. </w:t>
      </w:r>
      <w:r w:rsidRPr="0027459F">
        <w:rPr>
          <w:lang w:val="en-US"/>
        </w:rPr>
        <w:t>Englewood Cliffs</w:t>
      </w:r>
      <w:r w:rsidR="007A4AF4" w:rsidRPr="0027459F">
        <w:rPr>
          <w:lang w:val="en-US"/>
        </w:rPr>
        <w:t xml:space="preserve"> N.J.</w:t>
      </w:r>
      <w:r w:rsidRPr="0027459F">
        <w:rPr>
          <w:rFonts w:eastAsia="Times New Roman" w:cs="Times New Roman"/>
          <w:lang w:val="en-US"/>
        </w:rPr>
        <w:t>: Prentice Hall.</w:t>
      </w:r>
    </w:p>
    <w:p w:rsidR="004069C9" w:rsidRDefault="004069C9" w:rsidP="009F0669">
      <w:pPr>
        <w:pStyle w:val="Text"/>
        <w:ind w:left="454" w:hanging="454"/>
      </w:pPr>
      <w:r w:rsidRPr="004069C9">
        <w:rPr>
          <w:lang w:val="en-US"/>
        </w:rPr>
        <w:t xml:space="preserve">Adelson, Dorothy (1943), </w:t>
      </w:r>
      <w:r w:rsidRPr="0027459F">
        <w:rPr>
          <w:rFonts w:eastAsia="Times New Roman" w:cs="Times New Roman"/>
          <w:lang w:val="en-US"/>
        </w:rPr>
        <w:t>„</w:t>
      </w:r>
      <w:r w:rsidRPr="004069C9">
        <w:rPr>
          <w:lang w:val="en-US"/>
        </w:rPr>
        <w:t xml:space="preserve">Proust’s </w:t>
      </w:r>
      <w:r w:rsidR="00FB4B69">
        <w:rPr>
          <w:lang w:val="en-US"/>
        </w:rPr>
        <w:t>E</w:t>
      </w:r>
      <w:r w:rsidRPr="004069C9">
        <w:rPr>
          <w:lang w:val="en-US"/>
        </w:rPr>
        <w:t xml:space="preserve">arlier and </w:t>
      </w:r>
      <w:r w:rsidR="00FB4B69">
        <w:rPr>
          <w:lang w:val="en-US"/>
        </w:rPr>
        <w:t>L</w:t>
      </w:r>
      <w:r w:rsidRPr="004069C9">
        <w:rPr>
          <w:lang w:val="en-US"/>
        </w:rPr>
        <w:t>at</w:t>
      </w:r>
      <w:r>
        <w:rPr>
          <w:lang w:val="en-US"/>
        </w:rPr>
        <w:t xml:space="preserve">er </w:t>
      </w:r>
      <w:r w:rsidR="00FB4B69">
        <w:rPr>
          <w:lang w:val="en-US"/>
        </w:rPr>
        <w:t>S</w:t>
      </w:r>
      <w:r>
        <w:rPr>
          <w:lang w:val="en-US"/>
        </w:rPr>
        <w:t xml:space="preserve">tyles: </w:t>
      </w:r>
      <w:r w:rsidR="006D65A3">
        <w:rPr>
          <w:lang w:val="en-US"/>
        </w:rPr>
        <w:t>A</w:t>
      </w:r>
      <w:r>
        <w:rPr>
          <w:lang w:val="en-US"/>
        </w:rPr>
        <w:t xml:space="preserve"> </w:t>
      </w:r>
      <w:r w:rsidR="00FB4B69">
        <w:rPr>
          <w:lang w:val="en-US"/>
        </w:rPr>
        <w:t>T</w:t>
      </w:r>
      <w:r>
        <w:rPr>
          <w:lang w:val="en-US"/>
        </w:rPr>
        <w:t xml:space="preserve">extual </w:t>
      </w:r>
      <w:r w:rsidR="00FB4B69">
        <w:rPr>
          <w:lang w:val="en-US"/>
        </w:rPr>
        <w:t>C</w:t>
      </w:r>
      <w:r>
        <w:rPr>
          <w:lang w:val="en-US"/>
        </w:rPr>
        <w:t>ompa</w:t>
      </w:r>
      <w:r>
        <w:rPr>
          <w:lang w:val="en-US"/>
        </w:rPr>
        <w:t>r</w:t>
      </w:r>
      <w:r>
        <w:rPr>
          <w:lang w:val="en-US"/>
        </w:rPr>
        <w:t>ison</w:t>
      </w:r>
      <w:r w:rsidRPr="0027459F">
        <w:rPr>
          <w:rFonts w:eastAsia="Times New Roman" w:cs="Times New Roman"/>
          <w:lang w:val="en-US"/>
        </w:rPr>
        <w:t>“</w:t>
      </w:r>
      <w:r>
        <w:rPr>
          <w:lang w:val="en-US"/>
        </w:rPr>
        <w:t>.</w:t>
      </w:r>
      <w:r w:rsidRPr="004069C9">
        <w:rPr>
          <w:lang w:val="en-US"/>
        </w:rPr>
        <w:t xml:space="preserve"> </w:t>
      </w:r>
      <w:r w:rsidRPr="00C461EE">
        <w:rPr>
          <w:i/>
        </w:rPr>
        <w:t>The Romanic Review</w:t>
      </w:r>
      <w:r w:rsidRPr="00C461EE">
        <w:t xml:space="preserve"> 34: 127-138.</w:t>
      </w:r>
    </w:p>
    <w:p w:rsidR="00EF12CA" w:rsidRDefault="00EF12CA" w:rsidP="009F0669">
      <w:pPr>
        <w:pStyle w:val="Text"/>
        <w:ind w:left="454" w:hanging="454"/>
      </w:pPr>
      <w:r>
        <w:t xml:space="preserve">Adelung, Johann Christoph (1789), </w:t>
      </w:r>
      <w:r w:rsidRPr="00EF12CA">
        <w:rPr>
          <w:i/>
        </w:rPr>
        <w:t>Ueber den deutschen Styl.</w:t>
      </w:r>
      <w:r>
        <w:t xml:space="preserve"> 3., v</w:t>
      </w:r>
      <w:r w:rsidR="00AA143B">
        <w:t>erm. und verb. Aufl. 2 Bde. Berlin: Voß</w:t>
      </w:r>
      <w:r>
        <w:t>.</w:t>
      </w:r>
    </w:p>
    <w:p w:rsidR="00657D3C" w:rsidRDefault="00657D3C" w:rsidP="009F0669">
      <w:pPr>
        <w:pStyle w:val="Text"/>
        <w:ind w:left="454" w:hanging="454"/>
      </w:pPr>
      <w:r>
        <w:t xml:space="preserve">Adler, Guido (1911), </w:t>
      </w:r>
      <w:r w:rsidRPr="00657D3C">
        <w:rPr>
          <w:i/>
        </w:rPr>
        <w:t>Der Stil in der Musik.</w:t>
      </w:r>
      <w:r>
        <w:t xml:space="preserve"> Leipzig: </w:t>
      </w:r>
      <w:r w:rsidR="009F1C20">
        <w:t>Breitkopf &amp; Härtel</w:t>
      </w:r>
      <w:r>
        <w:t>.</w:t>
      </w:r>
    </w:p>
    <w:p w:rsidR="00657D3C" w:rsidRDefault="00657D3C" w:rsidP="009F0669">
      <w:pPr>
        <w:pStyle w:val="Text"/>
        <w:ind w:left="454" w:hanging="454"/>
      </w:pPr>
      <w:r>
        <w:t>Adler, Guido (19</w:t>
      </w:r>
      <w:r w:rsidR="0043263D">
        <w:t>24</w:t>
      </w:r>
      <w:r>
        <w:t xml:space="preserve">), </w:t>
      </w:r>
      <w:r w:rsidRPr="00657D3C">
        <w:rPr>
          <w:i/>
        </w:rPr>
        <w:t>Handbuch der Musikgeschichte.</w:t>
      </w:r>
      <w:r>
        <w:t xml:space="preserve"> </w:t>
      </w:r>
      <w:r w:rsidR="0043263D">
        <w:t>Frankfurt a.M.: Frankfurter Verlags-Anstalt.</w:t>
      </w:r>
    </w:p>
    <w:p w:rsidR="00F232D8" w:rsidRPr="00C461EE" w:rsidRDefault="00F232D8" w:rsidP="009F0669">
      <w:pPr>
        <w:pStyle w:val="Text"/>
        <w:ind w:left="454" w:hanging="454"/>
      </w:pPr>
      <w:r>
        <w:t xml:space="preserve">Adorno, Theodor W. (1970), </w:t>
      </w:r>
      <w:r w:rsidRPr="00F232D8">
        <w:rPr>
          <w:i/>
        </w:rPr>
        <w:t>Ästhetische Theorie.</w:t>
      </w:r>
      <w:r>
        <w:t xml:space="preserve"> Frankfurt a.M.: Suhrkamp.</w:t>
      </w:r>
    </w:p>
    <w:p w:rsidR="00D2554C" w:rsidRDefault="00D2554C" w:rsidP="009F0669">
      <w:pPr>
        <w:pStyle w:val="Text"/>
        <w:ind w:left="454" w:hanging="454"/>
      </w:pPr>
      <w:r>
        <w:t xml:space="preserve">Albrecht, Jörn (2000), </w:t>
      </w:r>
      <w:r>
        <w:rPr>
          <w:i/>
          <w:iCs/>
        </w:rPr>
        <w:t xml:space="preserve">Europäischer Strukturalismus. </w:t>
      </w:r>
      <w:r>
        <w:t>2., völlig überarb. Auflage. Tübingen u.a.: Francke.</w:t>
      </w:r>
    </w:p>
    <w:p w:rsidR="00D2554C" w:rsidRPr="00651C14" w:rsidRDefault="00D2554C" w:rsidP="009F0669">
      <w:pPr>
        <w:pStyle w:val="Text"/>
        <w:ind w:left="454" w:hanging="454"/>
      </w:pPr>
      <w:r w:rsidRPr="00651C14">
        <w:t xml:space="preserve">Anderegg, Johannes (1977), </w:t>
      </w:r>
      <w:r w:rsidRPr="00651C14">
        <w:rPr>
          <w:i/>
          <w:iCs/>
        </w:rPr>
        <w:t xml:space="preserve">Literaturwissenschaftliche Stiltheorie. </w:t>
      </w:r>
      <w:r w:rsidRPr="00651C14">
        <w:t>Göttingen: Vandenhoeck &amp; Ruprecht.</w:t>
      </w:r>
    </w:p>
    <w:p w:rsidR="006917A6" w:rsidRPr="005947F0" w:rsidRDefault="006917A6" w:rsidP="009F0669">
      <w:pPr>
        <w:pStyle w:val="Text"/>
        <w:ind w:left="454" w:hanging="454"/>
        <w:rPr>
          <w:lang w:val="en-US"/>
        </w:rPr>
      </w:pPr>
      <w:r w:rsidRPr="00217019">
        <w:rPr>
          <w:lang w:val="en-US"/>
        </w:rPr>
        <w:t xml:space="preserve">Antoine, Gérald (1973), </w:t>
      </w:r>
      <w:r w:rsidRPr="00217019">
        <w:rPr>
          <w:rFonts w:eastAsia="Times New Roman" w:cs="Times New Roman"/>
          <w:lang w:val="en-US"/>
        </w:rPr>
        <w:t>„</w:t>
      </w:r>
      <w:r w:rsidRPr="00217019">
        <w:rPr>
          <w:lang w:val="en-US"/>
        </w:rPr>
        <w:t xml:space="preserve">Pour une stylistique comparative des deux ‚Bérénice‘“. </w:t>
      </w:r>
      <w:r w:rsidRPr="005947F0">
        <w:rPr>
          <w:i/>
          <w:lang w:val="en-US"/>
        </w:rPr>
        <w:t>Travaux de Linguistique et de Littérature</w:t>
      </w:r>
      <w:r w:rsidRPr="005947F0">
        <w:rPr>
          <w:lang w:val="en-US"/>
        </w:rPr>
        <w:t xml:space="preserve"> </w:t>
      </w:r>
      <w:r w:rsidR="000228D7" w:rsidRPr="005947F0">
        <w:rPr>
          <w:i/>
          <w:lang w:val="en-US"/>
        </w:rPr>
        <w:t>de Strasbourg</w:t>
      </w:r>
      <w:r w:rsidR="000228D7" w:rsidRPr="005947F0">
        <w:rPr>
          <w:lang w:val="en-US"/>
        </w:rPr>
        <w:t xml:space="preserve"> </w:t>
      </w:r>
      <w:r w:rsidR="0025008A" w:rsidRPr="005947F0">
        <w:rPr>
          <w:lang w:val="en-US"/>
        </w:rPr>
        <w:t>11</w:t>
      </w:r>
      <w:r w:rsidRPr="005947F0">
        <w:rPr>
          <w:lang w:val="en-US"/>
        </w:rPr>
        <w:t>, 1: 445-461.</w:t>
      </w:r>
    </w:p>
    <w:p w:rsidR="00893CD4" w:rsidRDefault="00893CD4" w:rsidP="00893CD4">
      <w:pPr>
        <w:ind w:left="454" w:hanging="454"/>
        <w:rPr>
          <w:lang w:val="en-US"/>
        </w:rPr>
      </w:pPr>
      <w:r w:rsidRPr="005947F0">
        <w:rPr>
          <w:lang w:val="en-US"/>
        </w:rPr>
        <w:t xml:space="preserve">Arbib, </w:t>
      </w:r>
      <w:r w:rsidR="00F602C2" w:rsidRPr="005947F0">
        <w:rPr>
          <w:lang w:val="en-US"/>
        </w:rPr>
        <w:t xml:space="preserve">Michael (2003), </w:t>
      </w:r>
      <w:r w:rsidR="00F602C2" w:rsidRPr="005947F0">
        <w:rPr>
          <w:rFonts w:eastAsia="Times New Roman" w:cs="Times New Roman"/>
          <w:lang w:val="en-US"/>
        </w:rPr>
        <w:t>„</w:t>
      </w:r>
      <w:r w:rsidRPr="005947F0">
        <w:rPr>
          <w:lang w:val="en-US"/>
        </w:rPr>
        <w:t xml:space="preserve">Schema </w:t>
      </w:r>
      <w:r w:rsidR="00FB4B69" w:rsidRPr="005947F0">
        <w:rPr>
          <w:lang w:val="en-US"/>
        </w:rPr>
        <w:t>T</w:t>
      </w:r>
      <w:r w:rsidRPr="005947F0">
        <w:rPr>
          <w:lang w:val="en-US"/>
        </w:rPr>
        <w:t>heory</w:t>
      </w:r>
      <w:r w:rsidR="00F602C2" w:rsidRPr="005947F0">
        <w:rPr>
          <w:rFonts w:eastAsia="Times New Roman" w:cs="Times New Roman"/>
          <w:lang w:val="en-US"/>
        </w:rPr>
        <w:t>“</w:t>
      </w:r>
      <w:r w:rsidR="00F602C2" w:rsidRPr="005947F0">
        <w:rPr>
          <w:lang w:val="en-US"/>
        </w:rPr>
        <w:t xml:space="preserve">. In: Ders. </w:t>
      </w:r>
      <w:r w:rsidRPr="00893CD4">
        <w:rPr>
          <w:lang w:val="en-US"/>
        </w:rPr>
        <w:t>(</w:t>
      </w:r>
      <w:r w:rsidR="00F602C2">
        <w:rPr>
          <w:lang w:val="en-US"/>
        </w:rPr>
        <w:t>Hg</w:t>
      </w:r>
      <w:r w:rsidRPr="00893CD4">
        <w:rPr>
          <w:lang w:val="en-US"/>
        </w:rPr>
        <w:t xml:space="preserve">.), </w:t>
      </w:r>
      <w:r w:rsidRPr="00F602C2">
        <w:rPr>
          <w:i/>
          <w:lang w:val="en-US"/>
        </w:rPr>
        <w:t xml:space="preserve">The </w:t>
      </w:r>
      <w:r w:rsidR="00FB4B69">
        <w:rPr>
          <w:i/>
          <w:lang w:val="en-US"/>
        </w:rPr>
        <w:t>H</w:t>
      </w:r>
      <w:r w:rsidRPr="00F602C2">
        <w:rPr>
          <w:i/>
          <w:lang w:val="en-US"/>
        </w:rPr>
        <w:t xml:space="preserve">andbook of </w:t>
      </w:r>
      <w:r w:rsidR="00FB4B69">
        <w:rPr>
          <w:i/>
          <w:lang w:val="en-US"/>
        </w:rPr>
        <w:t>B</w:t>
      </w:r>
      <w:r w:rsidRPr="00F602C2">
        <w:rPr>
          <w:i/>
          <w:lang w:val="en-US"/>
        </w:rPr>
        <w:t xml:space="preserve">rain </w:t>
      </w:r>
      <w:r w:rsidR="00FB4B69">
        <w:rPr>
          <w:i/>
          <w:lang w:val="en-US"/>
        </w:rPr>
        <w:t>T</w:t>
      </w:r>
      <w:r w:rsidRPr="00F602C2">
        <w:rPr>
          <w:i/>
          <w:lang w:val="en-US"/>
        </w:rPr>
        <w:t xml:space="preserve">heory and </w:t>
      </w:r>
      <w:r w:rsidR="00FB4B69">
        <w:rPr>
          <w:i/>
          <w:lang w:val="en-US"/>
        </w:rPr>
        <w:t>N</w:t>
      </w:r>
      <w:r w:rsidRPr="00F602C2">
        <w:rPr>
          <w:i/>
          <w:lang w:val="en-US"/>
        </w:rPr>
        <w:t xml:space="preserve">eural </w:t>
      </w:r>
      <w:r w:rsidR="00FB4B69">
        <w:rPr>
          <w:i/>
          <w:lang w:val="en-US"/>
        </w:rPr>
        <w:t>N</w:t>
      </w:r>
      <w:r w:rsidRPr="00F602C2">
        <w:rPr>
          <w:i/>
          <w:lang w:val="en-US"/>
        </w:rPr>
        <w:t>etworks</w:t>
      </w:r>
      <w:r w:rsidR="00F602C2" w:rsidRPr="00F602C2">
        <w:rPr>
          <w:i/>
          <w:lang w:val="en-US"/>
        </w:rPr>
        <w:t>.</w:t>
      </w:r>
      <w:r w:rsidR="00F602C2">
        <w:rPr>
          <w:lang w:val="en-US"/>
        </w:rPr>
        <w:t xml:space="preserve"> 2. Aufl.</w:t>
      </w:r>
      <w:r>
        <w:rPr>
          <w:lang w:val="en-US"/>
        </w:rPr>
        <w:t xml:space="preserve"> </w:t>
      </w:r>
      <w:r w:rsidRPr="00893CD4">
        <w:rPr>
          <w:lang w:val="en-US"/>
        </w:rPr>
        <w:t>Cambridge, MA</w:t>
      </w:r>
      <w:r w:rsidR="00F602C2">
        <w:rPr>
          <w:lang w:val="en-US"/>
        </w:rPr>
        <w:t>: MIT Press. 993-</w:t>
      </w:r>
      <w:r w:rsidRPr="00893CD4">
        <w:rPr>
          <w:lang w:val="en-US"/>
        </w:rPr>
        <w:t>998.</w:t>
      </w:r>
    </w:p>
    <w:p w:rsidR="00F602C2" w:rsidRPr="00F602C2" w:rsidRDefault="00F602C2" w:rsidP="00F602C2">
      <w:pPr>
        <w:ind w:left="454" w:hanging="454"/>
        <w:rPr>
          <w:lang w:val="en-US"/>
        </w:rPr>
      </w:pPr>
      <w:r w:rsidRPr="00F602C2">
        <w:rPr>
          <w:lang w:val="en-US"/>
        </w:rPr>
        <w:t xml:space="preserve">Arbib, Michael, Jeffrey Conklin und Jane Hill (1987), </w:t>
      </w:r>
      <w:r w:rsidRPr="00F602C2">
        <w:rPr>
          <w:i/>
          <w:lang w:val="en-US"/>
        </w:rPr>
        <w:t xml:space="preserve">From </w:t>
      </w:r>
      <w:r w:rsidR="00FB4B69">
        <w:rPr>
          <w:i/>
          <w:lang w:val="en-US"/>
        </w:rPr>
        <w:t>S</w:t>
      </w:r>
      <w:r w:rsidRPr="00F602C2">
        <w:rPr>
          <w:i/>
          <w:lang w:val="en-US"/>
        </w:rPr>
        <w:t xml:space="preserve">chema </w:t>
      </w:r>
      <w:r w:rsidR="00FB4B69">
        <w:rPr>
          <w:i/>
          <w:lang w:val="en-US"/>
        </w:rPr>
        <w:t>T</w:t>
      </w:r>
      <w:r w:rsidRPr="00F602C2">
        <w:rPr>
          <w:i/>
          <w:lang w:val="en-US"/>
        </w:rPr>
        <w:t xml:space="preserve">heory to </w:t>
      </w:r>
      <w:r w:rsidR="00FB4B69">
        <w:rPr>
          <w:i/>
          <w:lang w:val="en-US"/>
        </w:rPr>
        <w:t>L</w:t>
      </w:r>
      <w:r w:rsidRPr="00F602C2">
        <w:rPr>
          <w:i/>
          <w:lang w:val="en-US"/>
        </w:rPr>
        <w:t>anguage.</w:t>
      </w:r>
      <w:r w:rsidRPr="00F602C2">
        <w:rPr>
          <w:lang w:val="en-US"/>
        </w:rPr>
        <w:t xml:space="preserve"> </w:t>
      </w:r>
      <w:r>
        <w:rPr>
          <w:lang w:val="en-US"/>
        </w:rPr>
        <w:t>Oxford: Oxford University Press.</w:t>
      </w:r>
    </w:p>
    <w:p w:rsidR="00B3483F" w:rsidRPr="00833E16" w:rsidRDefault="00B3483F" w:rsidP="009F0669">
      <w:pPr>
        <w:pStyle w:val="Text"/>
        <w:ind w:left="454" w:hanging="454"/>
        <w:rPr>
          <w:rFonts w:eastAsia="Times New Roman" w:cs="Times New Roman"/>
          <w:lang w:val="en-US"/>
        </w:rPr>
      </w:pPr>
      <w:r w:rsidRPr="00B3483F">
        <w:rPr>
          <w:lang w:val="en-US"/>
        </w:rPr>
        <w:t>Ardat, Ahmad K.</w:t>
      </w:r>
      <w:r>
        <w:rPr>
          <w:lang w:val="en-US"/>
        </w:rPr>
        <w:t xml:space="preserve"> (</w:t>
      </w:r>
      <w:r w:rsidRPr="00B3483F">
        <w:rPr>
          <w:lang w:val="en-US"/>
        </w:rPr>
        <w:t>1980</w:t>
      </w:r>
      <w:r>
        <w:rPr>
          <w:lang w:val="en-US"/>
        </w:rPr>
        <w:t xml:space="preserve">), </w:t>
      </w:r>
      <w:r w:rsidRPr="006917A6">
        <w:rPr>
          <w:rFonts w:eastAsia="Times New Roman" w:cs="Times New Roman"/>
          <w:lang w:val="en-US"/>
        </w:rPr>
        <w:t>„</w:t>
      </w:r>
      <w:r>
        <w:rPr>
          <w:rFonts w:eastAsia="Times New Roman" w:cs="Times New Roman"/>
          <w:lang w:val="en-US"/>
        </w:rPr>
        <w:t>The Prose Style of Selected Works by Ernest He</w:t>
      </w:r>
      <w:r>
        <w:rPr>
          <w:rFonts w:eastAsia="Times New Roman" w:cs="Times New Roman"/>
          <w:lang w:val="en-US"/>
        </w:rPr>
        <w:t>m</w:t>
      </w:r>
      <w:r>
        <w:rPr>
          <w:rFonts w:eastAsia="Times New Roman" w:cs="Times New Roman"/>
          <w:lang w:val="en-US"/>
        </w:rPr>
        <w:t>ingway, Sherwood Anderson, and Gertrude Stein</w:t>
      </w:r>
      <w:r w:rsidRPr="00B3483F">
        <w:rPr>
          <w:rFonts w:eastAsia="Times New Roman" w:cs="Times New Roman"/>
          <w:lang w:val="en-US"/>
        </w:rPr>
        <w:t>“</w:t>
      </w:r>
      <w:r>
        <w:rPr>
          <w:rFonts w:eastAsia="Times New Roman" w:cs="Times New Roman"/>
          <w:lang w:val="en-US"/>
        </w:rPr>
        <w:t xml:space="preserve">. </w:t>
      </w:r>
      <w:r w:rsidRPr="00833E16">
        <w:rPr>
          <w:rFonts w:eastAsia="Times New Roman" w:cs="Times New Roman"/>
          <w:i/>
          <w:lang w:val="en-US"/>
        </w:rPr>
        <w:t>Style</w:t>
      </w:r>
      <w:r w:rsidRPr="00833E16">
        <w:rPr>
          <w:rFonts w:eastAsia="Times New Roman" w:cs="Times New Roman"/>
          <w:lang w:val="en-US"/>
        </w:rPr>
        <w:t xml:space="preserve"> 14: 1-21.</w:t>
      </w:r>
    </w:p>
    <w:p w:rsidR="0043594F" w:rsidRDefault="0043594F" w:rsidP="009F0669">
      <w:pPr>
        <w:pStyle w:val="Text"/>
        <w:ind w:left="454" w:hanging="454"/>
        <w:rPr>
          <w:rFonts w:eastAsia="Times New Roman" w:cs="Times New Roman"/>
          <w:lang w:val="en-US"/>
        </w:rPr>
      </w:pPr>
      <w:r w:rsidRPr="0043594F">
        <w:rPr>
          <w:rFonts w:eastAsia="Times New Roman" w:cs="Times New Roman"/>
          <w:lang w:val="en-US"/>
        </w:rPr>
        <w:t xml:space="preserve">Arnheim, </w:t>
      </w:r>
      <w:r w:rsidR="001A77AA">
        <w:rPr>
          <w:rFonts w:eastAsia="Times New Roman" w:cs="Times New Roman"/>
          <w:lang w:val="en-US"/>
        </w:rPr>
        <w:t xml:space="preserve">Rudolf </w:t>
      </w:r>
      <w:r w:rsidRPr="0043594F">
        <w:rPr>
          <w:rFonts w:eastAsia="Times New Roman" w:cs="Times New Roman"/>
          <w:lang w:val="en-US"/>
        </w:rPr>
        <w:t xml:space="preserve">(1954), </w:t>
      </w:r>
      <w:r w:rsidR="001E0A8D">
        <w:rPr>
          <w:rFonts w:eastAsia="Times New Roman" w:cs="Times New Roman"/>
          <w:i/>
          <w:lang w:val="en-US"/>
        </w:rPr>
        <w:t>Art and Visual Perception.</w:t>
      </w:r>
      <w:r>
        <w:rPr>
          <w:rFonts w:eastAsia="Times New Roman" w:cs="Times New Roman"/>
          <w:i/>
          <w:lang w:val="en-US"/>
        </w:rPr>
        <w:t xml:space="preserve"> </w:t>
      </w:r>
      <w:r w:rsidR="006D65A3">
        <w:rPr>
          <w:rFonts w:eastAsia="Times New Roman" w:cs="Times New Roman"/>
          <w:i/>
          <w:lang w:val="en-US"/>
        </w:rPr>
        <w:t>A</w:t>
      </w:r>
      <w:r w:rsidRPr="0043594F">
        <w:rPr>
          <w:i/>
          <w:lang w:val="en-US"/>
        </w:rPr>
        <w:t xml:space="preserve"> Psychology of the Creative Eye.</w:t>
      </w:r>
      <w:r w:rsidRPr="0043594F">
        <w:rPr>
          <w:rFonts w:eastAsia="Times New Roman" w:cs="Times New Roman"/>
          <w:lang w:val="en-US"/>
        </w:rPr>
        <w:t xml:space="preserve"> </w:t>
      </w:r>
      <w:r>
        <w:rPr>
          <w:rFonts w:eastAsia="Times New Roman" w:cs="Times New Roman"/>
          <w:lang w:val="en-US"/>
        </w:rPr>
        <w:t>Berkeley u.a.: University of California Press.</w:t>
      </w:r>
    </w:p>
    <w:p w:rsidR="0017501B" w:rsidRPr="002D53E0" w:rsidRDefault="0017501B" w:rsidP="009F0669">
      <w:pPr>
        <w:pStyle w:val="Text"/>
        <w:ind w:left="454" w:hanging="454"/>
        <w:rPr>
          <w:rFonts w:eastAsia="Times New Roman" w:cs="Times New Roman"/>
        </w:rPr>
      </w:pPr>
      <w:r w:rsidRPr="0017501B">
        <w:rPr>
          <w:lang w:val="en-US"/>
        </w:rPr>
        <w:t xml:space="preserve">Arnheim, Rudolf (1970), </w:t>
      </w:r>
      <w:r w:rsidRPr="0017501B">
        <w:rPr>
          <w:rStyle w:val="citation"/>
          <w:i/>
          <w:iCs/>
          <w:lang w:val="en-US"/>
        </w:rPr>
        <w:t>Visual Thinking</w:t>
      </w:r>
      <w:r w:rsidRPr="0017501B">
        <w:rPr>
          <w:rStyle w:val="citation"/>
          <w:lang w:val="en-US"/>
        </w:rPr>
        <w:t xml:space="preserve">. </w:t>
      </w:r>
      <w:r w:rsidRPr="002D53E0">
        <w:rPr>
          <w:rStyle w:val="citation"/>
        </w:rPr>
        <w:t>London: Faber.</w:t>
      </w:r>
    </w:p>
    <w:p w:rsidR="006A1A26" w:rsidRPr="006A1A26" w:rsidRDefault="006A1A26" w:rsidP="006A1A26">
      <w:pPr>
        <w:pStyle w:val="Text"/>
        <w:ind w:left="454" w:hanging="454"/>
      </w:pPr>
      <w:r w:rsidRPr="00E30C80">
        <w:lastRenderedPageBreak/>
        <w:t xml:space="preserve">Asmuth, Bernhard und Luise Berg-Ehlers (1974), </w:t>
      </w:r>
      <w:r w:rsidRPr="00E30C80">
        <w:rPr>
          <w:i/>
          <w:iCs/>
        </w:rPr>
        <w:t xml:space="preserve">Stilistik. </w:t>
      </w:r>
      <w:r w:rsidRPr="006A1A26">
        <w:t>Düsseldorf: Bertel</w:t>
      </w:r>
      <w:r w:rsidRPr="006A1A26">
        <w:t>s</w:t>
      </w:r>
      <w:r w:rsidRPr="006A1A26">
        <w:t>mann</w:t>
      </w:r>
      <w:r>
        <w:t>-Universitätsverlag</w:t>
      </w:r>
      <w:r w:rsidRPr="006A1A26">
        <w:t>.</w:t>
      </w:r>
    </w:p>
    <w:p w:rsidR="00765CA0" w:rsidRPr="00B751FA" w:rsidRDefault="00765CA0" w:rsidP="009F0669">
      <w:pPr>
        <w:pStyle w:val="Text"/>
        <w:ind w:left="454" w:hanging="454"/>
      </w:pPr>
      <w:r w:rsidRPr="005C5E1A">
        <w:rPr>
          <w:rFonts w:eastAsia="Times New Roman" w:cs="Times New Roman"/>
        </w:rPr>
        <w:t>Assmann, Aleida (1986), „</w:t>
      </w:r>
      <w:r w:rsidRPr="005C5E1A">
        <w:t>‚</w:t>
      </w:r>
      <w:r w:rsidRPr="005C5E1A">
        <w:rPr>
          <w:rFonts w:eastAsia="Times New Roman" w:cs="Times New Roman"/>
        </w:rPr>
        <w:t>Opting in</w:t>
      </w:r>
      <w:r w:rsidRPr="005C5E1A">
        <w:t xml:space="preserve">‘ und ‚opting out‘. </w:t>
      </w:r>
      <w:r>
        <w:t>Konformität und Indiv</w:t>
      </w:r>
      <w:r>
        <w:t>i</w:t>
      </w:r>
      <w:r>
        <w:t xml:space="preserve">dualität in den poetologischen Debatten der englischen Aufklärung“. </w:t>
      </w:r>
      <w:r w:rsidRPr="00B751FA">
        <w:t>In: Gumbrecht u.a. 1986: 127-143.</w:t>
      </w:r>
    </w:p>
    <w:p w:rsidR="001579A0" w:rsidRDefault="001579A0" w:rsidP="009F0669">
      <w:pPr>
        <w:pStyle w:val="Text"/>
        <w:ind w:left="454" w:hanging="454"/>
        <w:rPr>
          <w:lang w:val="en-US"/>
        </w:rPr>
      </w:pPr>
      <w:r>
        <w:t xml:space="preserve">Ast, Friedrich (1808), </w:t>
      </w:r>
      <w:r>
        <w:rPr>
          <w:i/>
          <w:iCs/>
        </w:rPr>
        <w:t>Grundlinien der Grammatik, Hermeneutik und Kritik</w:t>
      </w:r>
      <w:r>
        <w:t xml:space="preserve">. </w:t>
      </w:r>
      <w:r w:rsidRPr="00B751FA">
        <w:rPr>
          <w:lang w:val="en-US"/>
        </w:rPr>
        <w:t>Landshut: Thomann.</w:t>
      </w:r>
    </w:p>
    <w:p w:rsidR="00690779" w:rsidRPr="0014169F" w:rsidRDefault="00690779" w:rsidP="009F0669">
      <w:pPr>
        <w:pStyle w:val="Text"/>
        <w:ind w:left="454" w:hanging="454"/>
      </w:pPr>
      <w:r>
        <w:rPr>
          <w:lang w:val="en-US"/>
        </w:rPr>
        <w:t xml:space="preserve">Backus, John (1978), </w:t>
      </w:r>
      <w:r w:rsidRPr="00690779">
        <w:rPr>
          <w:lang w:val="en-US"/>
        </w:rPr>
        <w:t>„Can Programming Be Liberated from the von Neumann Style? A Functional Style and Its Algebra of Programs“</w:t>
      </w:r>
      <w:r>
        <w:rPr>
          <w:lang w:val="en-US"/>
        </w:rPr>
        <w:t xml:space="preserve">. </w:t>
      </w:r>
      <w:r w:rsidRPr="00690779">
        <w:rPr>
          <w:i/>
          <w:lang w:val="en-US"/>
        </w:rPr>
        <w:t>Communications of the ACM</w:t>
      </w:r>
      <w:r>
        <w:rPr>
          <w:lang w:val="en-US"/>
        </w:rPr>
        <w:t xml:space="preserve"> 21, 8: 613-641. </w:t>
      </w:r>
      <w:r w:rsidRPr="00690779">
        <w:t>Online u</w:t>
      </w:r>
      <w:r>
        <w:t xml:space="preserve">nter: </w:t>
      </w:r>
      <w:r w:rsidRPr="0014169F">
        <w:t>http://dl.acm.org/citation.cfm?id</w:t>
      </w:r>
      <w:r w:rsidR="00F96FEA">
        <w:br/>
      </w:r>
      <w:r w:rsidRPr="0014169F">
        <w:t>=1283933; Einsicht am 16.04.2012.</w:t>
      </w:r>
    </w:p>
    <w:p w:rsidR="0087698F" w:rsidRPr="00CA35F0" w:rsidRDefault="00A85003" w:rsidP="009F0669">
      <w:pPr>
        <w:pStyle w:val="Text"/>
        <w:ind w:left="454" w:hanging="454"/>
        <w:rPr>
          <w:lang w:val="en-US"/>
        </w:rPr>
      </w:pPr>
      <w:r w:rsidRPr="00712825">
        <w:rPr>
          <w:lang w:val="en-US"/>
        </w:rPr>
        <w:t>Bailey, Richard und Dolores Burton</w:t>
      </w:r>
      <w:r w:rsidR="0087698F" w:rsidRPr="00712825">
        <w:rPr>
          <w:lang w:val="en-US"/>
        </w:rPr>
        <w:t xml:space="preserve"> (1968), </w:t>
      </w:r>
      <w:r w:rsidR="0087698F" w:rsidRPr="00712825">
        <w:rPr>
          <w:i/>
          <w:lang w:val="en-US"/>
        </w:rPr>
        <w:t>English Stylistics</w:t>
      </w:r>
      <w:r w:rsidR="001E0A8D">
        <w:rPr>
          <w:i/>
          <w:lang w:val="en-US"/>
        </w:rPr>
        <w:t>.</w:t>
      </w:r>
      <w:r w:rsidR="0087698F" w:rsidRPr="00712825">
        <w:rPr>
          <w:i/>
          <w:lang w:val="en-US"/>
        </w:rPr>
        <w:t xml:space="preserve"> </w:t>
      </w:r>
      <w:r w:rsidR="006D65A3">
        <w:rPr>
          <w:i/>
          <w:lang w:val="en-US"/>
        </w:rPr>
        <w:t>A</w:t>
      </w:r>
      <w:r w:rsidR="0087698F" w:rsidRPr="00712825">
        <w:rPr>
          <w:i/>
          <w:lang w:val="en-US"/>
        </w:rPr>
        <w:t xml:space="preserve"> Bibliography.</w:t>
      </w:r>
      <w:r w:rsidR="0087698F" w:rsidRPr="00712825">
        <w:rPr>
          <w:lang w:val="en-US"/>
        </w:rPr>
        <w:t xml:space="preserve"> </w:t>
      </w:r>
      <w:r w:rsidR="0087698F" w:rsidRPr="00CA35F0">
        <w:rPr>
          <w:lang w:val="en-US"/>
        </w:rPr>
        <w:t>Cambridge</w:t>
      </w:r>
      <w:r w:rsidR="00DD2B71">
        <w:rPr>
          <w:lang w:val="en-US"/>
        </w:rPr>
        <w:t>,</w:t>
      </w:r>
      <w:r w:rsidR="0087698F" w:rsidRPr="00CA35F0">
        <w:rPr>
          <w:lang w:val="en-US"/>
        </w:rPr>
        <w:t xml:space="preserve"> MA: MIT Press.</w:t>
      </w:r>
    </w:p>
    <w:p w:rsidR="00973CA2" w:rsidRPr="002D53E0" w:rsidRDefault="00973CA2" w:rsidP="009F0669">
      <w:pPr>
        <w:pStyle w:val="Text"/>
        <w:ind w:left="454" w:hanging="454"/>
      </w:pPr>
      <w:r w:rsidRPr="00973CA2">
        <w:rPr>
          <w:lang w:val="en-US"/>
        </w:rPr>
        <w:t xml:space="preserve">Bally, Charles (1909), </w:t>
      </w:r>
      <w:r w:rsidRPr="00973CA2">
        <w:rPr>
          <w:i/>
          <w:iCs/>
          <w:lang w:val="en-US"/>
        </w:rPr>
        <w:t>Traité de stylistique française</w:t>
      </w:r>
      <w:r>
        <w:rPr>
          <w:i/>
          <w:iCs/>
          <w:lang w:val="en-US"/>
        </w:rPr>
        <w:t>.</w:t>
      </w:r>
      <w:r>
        <w:rPr>
          <w:iCs/>
          <w:lang w:val="en-US"/>
        </w:rPr>
        <w:t xml:space="preserve"> </w:t>
      </w:r>
      <w:r w:rsidRPr="002D53E0">
        <w:rPr>
          <w:iCs/>
        </w:rPr>
        <w:t>2 Bde. Heidelberg: Winter.</w:t>
      </w:r>
    </w:p>
    <w:p w:rsidR="00816DBE" w:rsidRPr="00816DBE" w:rsidRDefault="00816DBE" w:rsidP="009F0669">
      <w:pPr>
        <w:pStyle w:val="Text"/>
        <w:ind w:left="454" w:hanging="454"/>
      </w:pPr>
      <w:r w:rsidRPr="002D53E0">
        <w:t xml:space="preserve">Balzac, Honoré de (1833), </w:t>
      </w:r>
      <w:r w:rsidRPr="002D53E0">
        <w:rPr>
          <w:i/>
        </w:rPr>
        <w:t>Pathologie de la vie sociale</w:t>
      </w:r>
      <w:r w:rsidR="00C143F0" w:rsidRPr="002D53E0">
        <w:t>.</w:t>
      </w:r>
      <w:r w:rsidRPr="002D53E0">
        <w:t xml:space="preserve"> </w:t>
      </w:r>
      <w:r w:rsidRPr="001A473B">
        <w:rPr>
          <w:lang w:val="en-US"/>
        </w:rPr>
        <w:t xml:space="preserve">Essay 2: </w:t>
      </w:r>
      <w:r w:rsidRPr="001A473B">
        <w:rPr>
          <w:i/>
          <w:lang w:val="en-US"/>
        </w:rPr>
        <w:t>Théorie de la d</w:t>
      </w:r>
      <w:r w:rsidRPr="001A473B">
        <w:rPr>
          <w:i/>
          <w:lang w:val="en-US"/>
        </w:rPr>
        <w:t>e</w:t>
      </w:r>
      <w:r w:rsidRPr="001A473B">
        <w:rPr>
          <w:i/>
          <w:lang w:val="en-US"/>
        </w:rPr>
        <w:t>marche</w:t>
      </w:r>
      <w:r w:rsidRPr="001A473B">
        <w:rPr>
          <w:lang w:val="en-US"/>
        </w:rPr>
        <w:t xml:space="preserve">. </w:t>
      </w:r>
      <w:r w:rsidRPr="002D53E0">
        <w:t>In: Ders.</w:t>
      </w:r>
      <w:r w:rsidR="00A2073D" w:rsidRPr="002D53E0">
        <w:t xml:space="preserve"> (1981)</w:t>
      </w:r>
      <w:r w:rsidRPr="002D53E0">
        <w:t xml:space="preserve">, </w:t>
      </w:r>
      <w:r w:rsidRPr="002D53E0">
        <w:rPr>
          <w:i/>
        </w:rPr>
        <w:t>Comédie Humaine,</w:t>
      </w:r>
      <w:r w:rsidRPr="002D53E0">
        <w:t xml:space="preserve"> Bd. 12. </w:t>
      </w:r>
      <w:r w:rsidRPr="00A64A9C">
        <w:t xml:space="preserve">Paris: </w:t>
      </w:r>
      <w:r w:rsidR="00A62091" w:rsidRPr="00A64A9C">
        <w:t>Gallimard</w:t>
      </w:r>
      <w:r w:rsidRPr="00A64A9C">
        <w:t>.</w:t>
      </w:r>
      <w:r w:rsidR="00A62091" w:rsidRPr="00A64A9C">
        <w:t xml:space="preserve"> </w:t>
      </w:r>
      <w:r w:rsidR="00A62091" w:rsidRPr="00A826D1">
        <w:t xml:space="preserve">Deutsch </w:t>
      </w:r>
      <w:r w:rsidR="004E6C3A" w:rsidRPr="00A826D1">
        <w:t>von Alma Vallazza:</w:t>
      </w:r>
      <w:r w:rsidR="00A62091" w:rsidRPr="00A826D1">
        <w:t xml:space="preserve"> </w:t>
      </w:r>
      <w:r w:rsidR="00A62091" w:rsidRPr="00A826D1">
        <w:rPr>
          <w:i/>
        </w:rPr>
        <w:t>Theorie des Gehens.</w:t>
      </w:r>
      <w:r w:rsidR="00A62091" w:rsidRPr="00A826D1">
        <w:t xml:space="preserve"> </w:t>
      </w:r>
      <w:r w:rsidR="00A62091">
        <w:t>Wien: Edition per procura</w:t>
      </w:r>
      <w:r w:rsidR="004E6C3A">
        <w:t xml:space="preserve"> 1997</w:t>
      </w:r>
      <w:r w:rsidR="00A62091">
        <w:t>.</w:t>
      </w:r>
    </w:p>
    <w:p w:rsidR="008B76CC" w:rsidRPr="008A5824" w:rsidRDefault="008B76CC" w:rsidP="009F0669">
      <w:pPr>
        <w:pStyle w:val="Text"/>
        <w:ind w:left="454" w:hanging="454"/>
      </w:pPr>
      <w:r w:rsidRPr="008A5824">
        <w:t>Balzer, Wolfgang (1997), „Methodenprobleme der Semiotik“. In: Posner u.a</w:t>
      </w:r>
      <w:r w:rsidR="006B1205" w:rsidRPr="008A5824">
        <w:t>.</w:t>
      </w:r>
      <w:r w:rsidRPr="008A5824">
        <w:t xml:space="preserve"> 1997–2004, Bd. 1: 592-603.</w:t>
      </w:r>
    </w:p>
    <w:p w:rsidR="00890A50" w:rsidRDefault="00890A50" w:rsidP="009F0669">
      <w:pPr>
        <w:ind w:left="454" w:hanging="454"/>
      </w:pPr>
      <w:r w:rsidRPr="00890A50">
        <w:t xml:space="preserve">Balzer, Wolfgang (1982), </w:t>
      </w:r>
      <w:r w:rsidRPr="00890A50">
        <w:rPr>
          <w:rFonts w:eastAsia="TimesNRMT-Italic"/>
          <w:i/>
        </w:rPr>
        <w:t>Empirische Theorien. Modelle, Strukturen, Beispiele.</w:t>
      </w:r>
      <w:r w:rsidRPr="00890A50">
        <w:rPr>
          <w:rFonts w:eastAsia="TimesNRMT-Italic"/>
        </w:rPr>
        <w:t xml:space="preserve"> </w:t>
      </w:r>
      <w:r w:rsidRPr="00890A50">
        <w:t>Braunschweig:</w:t>
      </w:r>
      <w:r>
        <w:t xml:space="preserve"> V</w:t>
      </w:r>
      <w:r w:rsidRPr="00890A50">
        <w:t>ieweg.</w:t>
      </w:r>
    </w:p>
    <w:p w:rsidR="009F0669" w:rsidRPr="005947F0" w:rsidRDefault="009F0669" w:rsidP="009F0669">
      <w:pPr>
        <w:ind w:left="454" w:hanging="454"/>
        <w:rPr>
          <w:rFonts w:cs="Times New Roman"/>
        </w:rPr>
      </w:pPr>
      <w:r w:rsidRPr="009F0669">
        <w:rPr>
          <w:rFonts w:eastAsia="TimesNRMT" w:cs="Times New Roman"/>
        </w:rPr>
        <w:t xml:space="preserve">Balzer, Wolfgang (1997), </w:t>
      </w:r>
      <w:r w:rsidRPr="009F0669">
        <w:rPr>
          <w:rFonts w:cs="Times New Roman"/>
          <w:i/>
        </w:rPr>
        <w:t>Die Wissenschaft und ihre Methoden</w:t>
      </w:r>
      <w:r w:rsidR="001E0A8D">
        <w:rPr>
          <w:rFonts w:cs="Times New Roman"/>
          <w:i/>
        </w:rPr>
        <w:t>.</w:t>
      </w:r>
      <w:r w:rsidRPr="009F0669">
        <w:rPr>
          <w:rFonts w:cs="Times New Roman"/>
          <w:i/>
        </w:rPr>
        <w:t xml:space="preserve"> Grunds</w:t>
      </w:r>
      <w:r>
        <w:rPr>
          <w:rFonts w:cs="Times New Roman"/>
          <w:i/>
        </w:rPr>
        <w:t>ä</w:t>
      </w:r>
      <w:r w:rsidRPr="009F0669">
        <w:rPr>
          <w:rFonts w:cs="Times New Roman"/>
          <w:i/>
        </w:rPr>
        <w:t xml:space="preserve">tze der Wissenschaftstheorie. </w:t>
      </w:r>
      <w:r w:rsidRPr="005947F0">
        <w:rPr>
          <w:rFonts w:cs="Times New Roman"/>
          <w:i/>
        </w:rPr>
        <w:t>Ein Lehrbuch.</w:t>
      </w:r>
      <w:r w:rsidRPr="005947F0">
        <w:rPr>
          <w:rFonts w:cs="Times New Roman"/>
        </w:rPr>
        <w:t xml:space="preserve"> </w:t>
      </w:r>
      <w:r w:rsidRPr="005947F0">
        <w:rPr>
          <w:rFonts w:eastAsia="TimesNRMT" w:cs="Times New Roman"/>
        </w:rPr>
        <w:t>Freiburg: Alber.</w:t>
      </w:r>
    </w:p>
    <w:p w:rsidR="00FA3D74" w:rsidRDefault="00FA3D74" w:rsidP="009F0669">
      <w:pPr>
        <w:ind w:left="454" w:hanging="454"/>
        <w:rPr>
          <w:lang w:val="en-US"/>
        </w:rPr>
      </w:pPr>
      <w:r w:rsidRPr="001A473B">
        <w:t xml:space="preserve">Bar-Hillel, Yehoshua und Rudolf Carnap (1953), „Semantic Information“. </w:t>
      </w:r>
      <w:r w:rsidRPr="00FA3D74">
        <w:rPr>
          <w:rFonts w:eastAsia="TimesNRMT-Italic" w:cs="Times New Roman"/>
          <w:i/>
          <w:iCs/>
          <w:lang w:val="en-US"/>
        </w:rPr>
        <w:t>Bri</w:t>
      </w:r>
      <w:r w:rsidRPr="00FA3D74">
        <w:rPr>
          <w:rFonts w:eastAsia="TimesNRMT-Italic" w:cs="Times New Roman"/>
          <w:i/>
          <w:iCs/>
          <w:lang w:val="en-US"/>
        </w:rPr>
        <w:t>t</w:t>
      </w:r>
      <w:r w:rsidRPr="00FA3D74">
        <w:rPr>
          <w:rFonts w:eastAsia="TimesNRMT-Italic" w:cs="Times New Roman"/>
          <w:i/>
          <w:iCs/>
          <w:lang w:val="en-US"/>
        </w:rPr>
        <w:t>ish Journal for the Philosophy of Science</w:t>
      </w:r>
      <w:r w:rsidRPr="00F5453F">
        <w:rPr>
          <w:rFonts w:eastAsia="TimesNRMT-Italic" w:cs="Times New Roman"/>
          <w:iCs/>
          <w:lang w:val="en-US"/>
        </w:rPr>
        <w:t xml:space="preserve"> 4</w:t>
      </w:r>
      <w:r w:rsidRPr="00F5453F">
        <w:rPr>
          <w:rFonts w:cs="Times New Roman"/>
          <w:lang w:val="en-US"/>
        </w:rPr>
        <w:t>:</w:t>
      </w:r>
      <w:r w:rsidRPr="00FA3D74">
        <w:rPr>
          <w:rFonts w:cs="Times New Roman"/>
          <w:lang w:val="en-US"/>
        </w:rPr>
        <w:t xml:space="preserve"> </w:t>
      </w:r>
      <w:r w:rsidRPr="00FA3D74">
        <w:rPr>
          <w:lang w:val="en-US"/>
        </w:rPr>
        <w:t>147-157.</w:t>
      </w:r>
    </w:p>
    <w:p w:rsidR="00E40BC1" w:rsidRDefault="00E40BC1" w:rsidP="009F0669">
      <w:pPr>
        <w:ind w:left="454" w:hanging="454"/>
        <w:rPr>
          <w:lang w:val="en-US"/>
        </w:rPr>
      </w:pPr>
      <w:r>
        <w:rPr>
          <w:lang w:val="en-US"/>
        </w:rPr>
        <w:t xml:space="preserve">Barsalou, Lawrence W. (1999), </w:t>
      </w:r>
      <w:r w:rsidRPr="00712825">
        <w:rPr>
          <w:rFonts w:eastAsia="Times New Roman" w:cs="Times New Roman"/>
          <w:lang w:val="en-US"/>
        </w:rPr>
        <w:t>„</w:t>
      </w:r>
      <w:r>
        <w:rPr>
          <w:lang w:val="en-US"/>
        </w:rPr>
        <w:t>Perceptual Symbol Systems</w:t>
      </w:r>
      <w:r w:rsidRPr="00712825">
        <w:rPr>
          <w:rFonts w:eastAsia="Times New Roman" w:cs="Times New Roman"/>
          <w:lang w:val="en-US"/>
        </w:rPr>
        <w:t>“</w:t>
      </w:r>
      <w:r>
        <w:rPr>
          <w:lang w:val="en-US"/>
        </w:rPr>
        <w:t>.</w:t>
      </w:r>
      <w:r w:rsidRPr="00E40BC1">
        <w:rPr>
          <w:lang w:val="en-US"/>
        </w:rPr>
        <w:t xml:space="preserve"> </w:t>
      </w:r>
      <w:r w:rsidRPr="00E40BC1">
        <w:rPr>
          <w:i/>
          <w:iCs/>
          <w:lang w:val="en-US"/>
        </w:rPr>
        <w:t>Behavioral and Brain Sciences</w:t>
      </w:r>
      <w:r w:rsidRPr="00E40BC1">
        <w:rPr>
          <w:lang w:val="en-US"/>
        </w:rPr>
        <w:t xml:space="preserve"> 22: 577-660.</w:t>
      </w:r>
    </w:p>
    <w:p w:rsidR="005A42F0" w:rsidRPr="00994215" w:rsidRDefault="005A42F0" w:rsidP="009F0669">
      <w:pPr>
        <w:ind w:left="454" w:hanging="454"/>
      </w:pPr>
      <w:r>
        <w:rPr>
          <w:lang w:val="en-US"/>
        </w:rPr>
        <w:t>Baré, F</w:t>
      </w:r>
      <w:r w:rsidRPr="005A42F0">
        <w:rPr>
          <w:iCs/>
          <w:lang w:val="fr-FR"/>
        </w:rPr>
        <w:t>ran</w:t>
      </w:r>
      <w:r w:rsidRPr="005A42F0">
        <w:rPr>
          <w:rFonts w:cs="Times New Roman"/>
          <w:iCs/>
          <w:lang w:val="fr-FR"/>
        </w:rPr>
        <w:t>ç</w:t>
      </w:r>
      <w:r>
        <w:rPr>
          <w:iCs/>
          <w:lang w:val="fr-FR"/>
        </w:rPr>
        <w:t xml:space="preserve">oise (1997), </w:t>
      </w:r>
      <w:r w:rsidRPr="00712825">
        <w:rPr>
          <w:rFonts w:eastAsia="Times New Roman" w:cs="Times New Roman"/>
          <w:lang w:val="en-US"/>
        </w:rPr>
        <w:t>„</w:t>
      </w:r>
      <w:r>
        <w:rPr>
          <w:iCs/>
          <w:lang w:val="fr-FR"/>
        </w:rPr>
        <w:t xml:space="preserve">Sign </w:t>
      </w:r>
      <w:r w:rsidR="006D65A3">
        <w:rPr>
          <w:iCs/>
          <w:lang w:val="fr-FR"/>
        </w:rPr>
        <w:t>C</w:t>
      </w:r>
      <w:r>
        <w:rPr>
          <w:iCs/>
          <w:lang w:val="fr-FR"/>
        </w:rPr>
        <w:t xml:space="preserve">onceptions in </w:t>
      </w:r>
      <w:r w:rsidR="006D65A3">
        <w:rPr>
          <w:iCs/>
          <w:lang w:val="fr-FR"/>
        </w:rPr>
        <w:t>A</w:t>
      </w:r>
      <w:r>
        <w:rPr>
          <w:iCs/>
          <w:lang w:val="fr-FR"/>
        </w:rPr>
        <w:t>esthetics in the Latin Middle Ages</w:t>
      </w:r>
      <w:r w:rsidRPr="00712825">
        <w:rPr>
          <w:rFonts w:eastAsia="Times New Roman" w:cs="Times New Roman"/>
          <w:lang w:val="en-US"/>
        </w:rPr>
        <w:t>“</w:t>
      </w:r>
      <w:r>
        <w:rPr>
          <w:rFonts w:eastAsia="Times New Roman" w:cs="Times New Roman"/>
          <w:lang w:val="en-US"/>
        </w:rPr>
        <w:t xml:space="preserve">. </w:t>
      </w:r>
      <w:r w:rsidRPr="00994215">
        <w:rPr>
          <w:rFonts w:eastAsia="Times New Roman" w:cs="Times New Roman"/>
        </w:rPr>
        <w:t xml:space="preserve">In: </w:t>
      </w:r>
      <w:r w:rsidR="00994215" w:rsidRPr="00353025">
        <w:t>Posner u.a. 1997–2004</w:t>
      </w:r>
      <w:r w:rsidR="00E54E61">
        <w:t>,</w:t>
      </w:r>
      <w:r w:rsidR="00994215" w:rsidRPr="00353025">
        <w:t xml:space="preserve"> Bd. </w:t>
      </w:r>
      <w:r w:rsidR="00994215">
        <w:t>1</w:t>
      </w:r>
      <w:r w:rsidR="00E54E61">
        <w:t>:</w:t>
      </w:r>
      <w:r w:rsidR="00994215">
        <w:t xml:space="preserve"> </w:t>
      </w:r>
      <w:r w:rsidR="00994215" w:rsidRPr="00994215">
        <w:rPr>
          <w:rFonts w:eastAsia="Times New Roman" w:cs="Times New Roman"/>
        </w:rPr>
        <w:t>1022-1029.</w:t>
      </w:r>
    </w:p>
    <w:p w:rsidR="00D642E5" w:rsidRPr="00994215" w:rsidRDefault="00D642E5" w:rsidP="009F0669">
      <w:pPr>
        <w:ind w:left="454" w:hanging="454"/>
        <w:rPr>
          <w:rFonts w:eastAsia="Times New Roman" w:cs="Times New Roman"/>
        </w:rPr>
      </w:pPr>
      <w:r w:rsidRPr="00994215">
        <w:t xml:space="preserve">Bayer, Udo (1989), </w:t>
      </w:r>
      <w:r w:rsidRPr="00994215">
        <w:rPr>
          <w:rFonts w:eastAsia="Times New Roman" w:cs="Times New Roman"/>
        </w:rPr>
        <w:t xml:space="preserve">„Der Begriff des Stils in semiotischer Sicht“. </w:t>
      </w:r>
      <w:r w:rsidRPr="00994215">
        <w:rPr>
          <w:rFonts w:eastAsia="Times New Roman" w:cs="Times New Roman"/>
          <w:i/>
        </w:rPr>
        <w:t xml:space="preserve">Semiosis </w:t>
      </w:r>
      <w:r w:rsidRPr="00994215">
        <w:rPr>
          <w:rFonts w:eastAsia="Times New Roman" w:cs="Times New Roman"/>
        </w:rPr>
        <w:t>14,2: 15-26.</w:t>
      </w:r>
    </w:p>
    <w:p w:rsidR="00071A97" w:rsidRPr="00DE4004" w:rsidRDefault="00071A97" w:rsidP="009F0669">
      <w:pPr>
        <w:pStyle w:val="Text"/>
        <w:ind w:left="454" w:hanging="454"/>
        <w:rPr>
          <w:lang w:val="en-US"/>
        </w:rPr>
      </w:pPr>
      <w:r w:rsidRPr="00994215">
        <w:t xml:space="preserve">Beneš, Eduard und Josef </w:t>
      </w:r>
      <w:r w:rsidRPr="00994215">
        <w:rPr>
          <w:rStyle w:val="Hervorhebung"/>
          <w:i w:val="0"/>
        </w:rPr>
        <w:t>Vachek</w:t>
      </w:r>
      <w:r w:rsidRPr="00994215">
        <w:t xml:space="preserve"> (Hg.)</w:t>
      </w:r>
      <w:r w:rsidR="007B76A9" w:rsidRPr="00994215">
        <w:t xml:space="preserve"> </w:t>
      </w:r>
      <w:r w:rsidR="007B76A9">
        <w:t xml:space="preserve">(1971), </w:t>
      </w:r>
      <w:r w:rsidRPr="007B76A9">
        <w:rPr>
          <w:rStyle w:val="Hervorhebung"/>
        </w:rPr>
        <w:t>Stilistik und Soziolinguistik</w:t>
      </w:r>
      <w:r w:rsidR="007B76A9" w:rsidRPr="007B76A9">
        <w:rPr>
          <w:rStyle w:val="Hervorhebung"/>
        </w:rPr>
        <w:t xml:space="preserve">. </w:t>
      </w:r>
      <w:r w:rsidR="007B76A9" w:rsidRPr="007B76A9">
        <w:rPr>
          <w:i/>
        </w:rPr>
        <w:t>Be</w:t>
      </w:r>
      <w:r w:rsidR="007B76A9" w:rsidRPr="007B76A9">
        <w:rPr>
          <w:i/>
        </w:rPr>
        <w:t>i</w:t>
      </w:r>
      <w:r w:rsidR="007B76A9" w:rsidRPr="007B76A9">
        <w:rPr>
          <w:i/>
        </w:rPr>
        <w:t>träge der Prager Schule zur strukturellen Sprachbetrachtung und Spracherzi</w:t>
      </w:r>
      <w:r w:rsidR="007B76A9" w:rsidRPr="007B76A9">
        <w:rPr>
          <w:i/>
        </w:rPr>
        <w:t>e</w:t>
      </w:r>
      <w:r w:rsidR="007B76A9" w:rsidRPr="007B76A9">
        <w:rPr>
          <w:i/>
        </w:rPr>
        <w:t>hung.</w:t>
      </w:r>
      <w:r w:rsidR="007B76A9">
        <w:t xml:space="preserve"> </w:t>
      </w:r>
      <w:r w:rsidR="007B76A9" w:rsidRPr="00A077A4">
        <w:t xml:space="preserve">2. Aufl. </w:t>
      </w:r>
      <w:r w:rsidR="007B76A9" w:rsidRPr="00DE4004">
        <w:rPr>
          <w:lang w:val="en-US"/>
        </w:rPr>
        <w:t>München: List.</w:t>
      </w:r>
    </w:p>
    <w:p w:rsidR="00B42EB5" w:rsidRPr="00210D4F" w:rsidRDefault="00B42EB5" w:rsidP="009F0669">
      <w:pPr>
        <w:pStyle w:val="Text"/>
        <w:ind w:left="454" w:hanging="454"/>
      </w:pPr>
      <w:r w:rsidRPr="00B42EB5">
        <w:rPr>
          <w:lang w:val="en-US"/>
        </w:rPr>
        <w:t>Bennett, James R. (198</w:t>
      </w:r>
      <w:r w:rsidR="006941A2">
        <w:rPr>
          <w:lang w:val="en-US"/>
        </w:rPr>
        <w:t>6</w:t>
      </w:r>
      <w:r w:rsidRPr="00B42EB5">
        <w:rPr>
          <w:lang w:val="en-US"/>
        </w:rPr>
        <w:t xml:space="preserve">), </w:t>
      </w:r>
      <w:r w:rsidRPr="00B42EB5">
        <w:rPr>
          <w:i/>
          <w:lang w:val="en-US"/>
        </w:rPr>
        <w:t>A Bibliography of Stylistics and Related Criticism, 1967–83.</w:t>
      </w:r>
      <w:r>
        <w:rPr>
          <w:lang w:val="en-US"/>
        </w:rPr>
        <w:t xml:space="preserve"> </w:t>
      </w:r>
      <w:r w:rsidR="006941A2" w:rsidRPr="00210D4F">
        <w:t>New York: Modern Language Association.</w:t>
      </w:r>
    </w:p>
    <w:p w:rsidR="00DC3147" w:rsidRDefault="00DA287E" w:rsidP="00DA287E">
      <w:pPr>
        <w:ind w:left="454" w:hanging="454"/>
      </w:pPr>
      <w:r>
        <w:t>Bense, Max (1954–1960</w:t>
      </w:r>
      <w:r w:rsidR="00DC3147">
        <w:t xml:space="preserve">), </w:t>
      </w:r>
      <w:r w:rsidR="00DC3147">
        <w:rPr>
          <w:i/>
          <w:iCs/>
        </w:rPr>
        <w:t xml:space="preserve">Aesthetica. </w:t>
      </w:r>
      <w:r>
        <w:rPr>
          <w:iCs/>
        </w:rPr>
        <w:t>Bd. 1 (1954)</w:t>
      </w:r>
      <w:r w:rsidR="00153CD1">
        <w:rPr>
          <w:iCs/>
        </w:rPr>
        <w:t>:</w:t>
      </w:r>
      <w:r>
        <w:rPr>
          <w:iCs/>
        </w:rPr>
        <w:t xml:space="preserve"> </w:t>
      </w:r>
      <w:r>
        <w:rPr>
          <w:i/>
          <w:iCs/>
        </w:rPr>
        <w:t>Metaphysische Beobachtungen am Schönen</w:t>
      </w:r>
      <w:r>
        <w:t>. Stuttgart: Deutsche Verlags-Anstalt. Bd. 2 (1956)</w:t>
      </w:r>
      <w:r w:rsidR="00153CD1">
        <w:t>:</w:t>
      </w:r>
      <w:r>
        <w:t xml:space="preserve"> </w:t>
      </w:r>
      <w:r>
        <w:rPr>
          <w:i/>
          <w:iCs/>
        </w:rPr>
        <w:t>Aesthetische Information</w:t>
      </w:r>
      <w:r>
        <w:t>. Baden-Baden: Agis. Bd. 3 (1958)</w:t>
      </w:r>
      <w:r w:rsidR="00153CD1">
        <w:t>:</w:t>
      </w:r>
      <w:r>
        <w:t xml:space="preserve"> </w:t>
      </w:r>
      <w:r>
        <w:rPr>
          <w:i/>
          <w:iCs/>
        </w:rPr>
        <w:t>Ästhetik und Zivilisation. Theorie der ästhetischen Zivilisation</w:t>
      </w:r>
      <w:r>
        <w:t>.</w:t>
      </w:r>
      <w:r w:rsidR="00DC3147">
        <w:t xml:space="preserve"> Baden-Baden: Agis.</w:t>
      </w:r>
      <w:r>
        <w:t xml:space="preserve"> Bd. 4 (1960)</w:t>
      </w:r>
      <w:r w:rsidR="00153CD1">
        <w:t>:</w:t>
      </w:r>
      <w:r>
        <w:t xml:space="preserve"> </w:t>
      </w:r>
      <w:r w:rsidRPr="00DA287E">
        <w:rPr>
          <w:rFonts w:eastAsia="Times New Roman" w:cs="Times New Roman"/>
          <w:i/>
          <w:iCs/>
        </w:rPr>
        <w:t>Pr</w:t>
      </w:r>
      <w:r w:rsidRPr="00DA287E">
        <w:rPr>
          <w:rFonts w:eastAsia="Times New Roman" w:cs="Times New Roman"/>
          <w:i/>
          <w:iCs/>
        </w:rPr>
        <w:t>o</w:t>
      </w:r>
      <w:r w:rsidRPr="00DA287E">
        <w:rPr>
          <w:rFonts w:eastAsia="Times New Roman" w:cs="Times New Roman"/>
          <w:i/>
          <w:iCs/>
        </w:rPr>
        <w:t>grammierung des Schönen. Allgemeine Texttheorie und Textästhetik</w:t>
      </w:r>
      <w:r w:rsidRPr="00DA287E">
        <w:rPr>
          <w:rFonts w:eastAsia="Times New Roman" w:cs="Times New Roman"/>
        </w:rPr>
        <w:t>.</w:t>
      </w:r>
      <w:r w:rsidRPr="00DA287E">
        <w:t xml:space="preserve"> </w:t>
      </w:r>
      <w:r>
        <w:t>Baden-Baden: Agis.</w:t>
      </w:r>
    </w:p>
    <w:p w:rsidR="00DC1035" w:rsidRDefault="00DC1035" w:rsidP="00DC1035">
      <w:pPr>
        <w:ind w:left="454" w:hanging="454"/>
      </w:pPr>
      <w:r>
        <w:lastRenderedPageBreak/>
        <w:t xml:space="preserve">Bense, Max (1969), </w:t>
      </w:r>
      <w:r>
        <w:rPr>
          <w:i/>
          <w:iCs/>
        </w:rPr>
        <w:t>Einführung in die informationstheoretische Ästhetik. Grundl</w:t>
      </w:r>
      <w:r>
        <w:rPr>
          <w:i/>
          <w:iCs/>
        </w:rPr>
        <w:t>e</w:t>
      </w:r>
      <w:r>
        <w:rPr>
          <w:i/>
          <w:iCs/>
        </w:rPr>
        <w:t>gung und Anwendung in der Texttheorie</w:t>
      </w:r>
      <w:r>
        <w:t>. Reinbek: Rowohlt.</w:t>
      </w:r>
    </w:p>
    <w:p w:rsidR="00DC3147" w:rsidRPr="00DE4004" w:rsidRDefault="00DC3147" w:rsidP="009F0669">
      <w:pPr>
        <w:pStyle w:val="Text"/>
        <w:ind w:left="454" w:hanging="454"/>
      </w:pPr>
      <w:r>
        <w:t xml:space="preserve">Bense, Max (1979), </w:t>
      </w:r>
      <w:r>
        <w:rPr>
          <w:i/>
          <w:iCs/>
        </w:rPr>
        <w:t>Die Unwahrscheinlichkeit des Ästhetischen und die semiotische Konzeption der Kunst</w:t>
      </w:r>
      <w:r>
        <w:t>. Baden-Baden: Agis.</w:t>
      </w:r>
    </w:p>
    <w:p w:rsidR="00D2554C" w:rsidRDefault="00D2554C" w:rsidP="009F0669">
      <w:pPr>
        <w:pStyle w:val="Text"/>
        <w:ind w:left="454" w:hanging="454"/>
      </w:pPr>
      <w:r>
        <w:t xml:space="preserve">Bergenholtz, Henning und Joachim Mugdan (1979), </w:t>
      </w:r>
      <w:r>
        <w:rPr>
          <w:i/>
          <w:iCs/>
        </w:rPr>
        <w:t>Einführung in die Morph</w:t>
      </w:r>
      <w:r>
        <w:rPr>
          <w:i/>
          <w:iCs/>
        </w:rPr>
        <w:t>o</w:t>
      </w:r>
      <w:r>
        <w:rPr>
          <w:i/>
          <w:iCs/>
        </w:rPr>
        <w:t xml:space="preserve">logie. </w:t>
      </w:r>
      <w:r>
        <w:t>Stuttgart u.a.: Kohlhammer.</w:t>
      </w:r>
    </w:p>
    <w:p w:rsidR="00192F5D" w:rsidRDefault="00192F5D" w:rsidP="009F0669">
      <w:pPr>
        <w:pStyle w:val="Text"/>
        <w:ind w:left="454" w:hanging="454"/>
      </w:pPr>
      <w:r>
        <w:t xml:space="preserve">Bezzel, Chris (1970), „Grundprobleme einer poetischen Grammatik“. </w:t>
      </w:r>
      <w:r w:rsidRPr="00192F5D">
        <w:rPr>
          <w:i/>
        </w:rPr>
        <w:t>Linguist</w:t>
      </w:r>
      <w:r w:rsidRPr="00192F5D">
        <w:rPr>
          <w:i/>
        </w:rPr>
        <w:t>i</w:t>
      </w:r>
      <w:r w:rsidRPr="00192F5D">
        <w:rPr>
          <w:i/>
        </w:rPr>
        <w:t>sche Berichte</w:t>
      </w:r>
      <w:r>
        <w:t xml:space="preserve"> 9: 1-17.</w:t>
      </w:r>
    </w:p>
    <w:p w:rsidR="004C228E" w:rsidRDefault="004C228E" w:rsidP="009F0669">
      <w:pPr>
        <w:pStyle w:val="Text"/>
        <w:ind w:left="454" w:hanging="454"/>
      </w:pPr>
      <w:r>
        <w:t>Bia</w:t>
      </w:r>
      <w:r>
        <w:rPr>
          <w:rFonts w:cs="Times New Roman"/>
        </w:rPr>
        <w:t>ł</w:t>
      </w:r>
      <w:r>
        <w:t>ostocki, Jan (1961), „Das Modusproblem in den bildenden Künsten. Zur Vorgeschichte und zum Nachleben des ‚Modusbriefes‘ von Nicolas Pou</w:t>
      </w:r>
      <w:r>
        <w:t>s</w:t>
      </w:r>
      <w:r>
        <w:t xml:space="preserve">sin“. </w:t>
      </w:r>
      <w:r w:rsidRPr="004C228E">
        <w:rPr>
          <w:i/>
        </w:rPr>
        <w:t>Zeitschrift für Kunstgeschichte</w:t>
      </w:r>
      <w:r>
        <w:t xml:space="preserve"> 24: </w:t>
      </w:r>
      <w:r w:rsidR="005C09B3">
        <w:t>128</w:t>
      </w:r>
      <w:r>
        <w:t>-</w:t>
      </w:r>
      <w:r w:rsidR="005C09B3">
        <w:t>141</w:t>
      </w:r>
      <w:r>
        <w:t>.</w:t>
      </w:r>
    </w:p>
    <w:p w:rsidR="00D2554C" w:rsidRDefault="00D2554C" w:rsidP="009F0669">
      <w:pPr>
        <w:pStyle w:val="Text"/>
        <w:ind w:left="454" w:hanging="454"/>
      </w:pPr>
      <w:r>
        <w:t>Bia</w:t>
      </w:r>
      <w:r>
        <w:rPr>
          <w:rFonts w:cs="Times New Roman"/>
        </w:rPr>
        <w:t>ł</w:t>
      </w:r>
      <w:r>
        <w:t xml:space="preserve">ostocki, Jan (1981), </w:t>
      </w:r>
      <w:r>
        <w:rPr>
          <w:i/>
          <w:iCs/>
        </w:rPr>
        <w:t xml:space="preserve">Stil und Ikonographie. Studien zur Kunstwissenschaft. </w:t>
      </w:r>
      <w:r w:rsidRPr="001C735D">
        <w:t>Köln: DuMont.</w:t>
      </w:r>
    </w:p>
    <w:p w:rsidR="00D515A2" w:rsidRPr="001C735D" w:rsidRDefault="00D515A2" w:rsidP="009F0669">
      <w:pPr>
        <w:pStyle w:val="Text"/>
        <w:ind w:left="454" w:hanging="454"/>
      </w:pPr>
      <w:r>
        <w:t xml:space="preserve">Bierwisch, Manfred (1965), „Poetik und Linguistik“. </w:t>
      </w:r>
      <w:r w:rsidRPr="00F5453F">
        <w:rPr>
          <w:i/>
        </w:rPr>
        <w:t>Sprache im technischen Zei</w:t>
      </w:r>
      <w:r w:rsidRPr="00F5453F">
        <w:rPr>
          <w:i/>
        </w:rPr>
        <w:t>t</w:t>
      </w:r>
      <w:r w:rsidRPr="00F5453F">
        <w:rPr>
          <w:i/>
        </w:rPr>
        <w:t>alter</w:t>
      </w:r>
      <w:r>
        <w:t xml:space="preserve"> 15: 1258-1273. Erneut in: </w:t>
      </w:r>
      <w:r w:rsidR="00192F5D">
        <w:t>Gunzenhäuser u.a. 1965: 49-65</w:t>
      </w:r>
      <w:r w:rsidR="00192F5D" w:rsidRPr="009A4B77">
        <w:t>.</w:t>
      </w:r>
    </w:p>
    <w:p w:rsidR="00DA163F" w:rsidRDefault="00DA163F" w:rsidP="009F0669">
      <w:pPr>
        <w:pStyle w:val="Text"/>
        <w:ind w:left="454" w:hanging="454"/>
        <w:rPr>
          <w:lang w:val="en-GB"/>
        </w:rPr>
      </w:pPr>
      <w:r w:rsidRPr="00B90F9C">
        <w:t>Birch, David und Michael O’Toole (Hg.)</w:t>
      </w:r>
      <w:r w:rsidR="00B2252E" w:rsidRPr="00B90F9C">
        <w:t xml:space="preserve"> </w:t>
      </w:r>
      <w:r w:rsidR="00B2252E" w:rsidRPr="00621127">
        <w:rPr>
          <w:lang w:val="en-US"/>
        </w:rPr>
        <w:t>(</w:t>
      </w:r>
      <w:r w:rsidR="001226C3" w:rsidRPr="00621127">
        <w:rPr>
          <w:lang w:val="en-US"/>
        </w:rPr>
        <w:t>198</w:t>
      </w:r>
      <w:r w:rsidR="005C09B3" w:rsidRPr="00621127">
        <w:rPr>
          <w:lang w:val="en-US"/>
        </w:rPr>
        <w:t>8</w:t>
      </w:r>
      <w:r w:rsidR="00B2252E" w:rsidRPr="00621127">
        <w:rPr>
          <w:lang w:val="en-US"/>
        </w:rPr>
        <w:t>)</w:t>
      </w:r>
      <w:r w:rsidRPr="00621127">
        <w:rPr>
          <w:lang w:val="en-US"/>
        </w:rPr>
        <w:t>,</w:t>
      </w:r>
      <w:r w:rsidR="00B2252E" w:rsidRPr="00621127">
        <w:rPr>
          <w:lang w:val="en-US"/>
        </w:rPr>
        <w:t xml:space="preserve"> </w:t>
      </w:r>
      <w:r w:rsidRPr="00621127">
        <w:rPr>
          <w:i/>
          <w:lang w:val="en-US"/>
        </w:rPr>
        <w:t>Functions of Style.</w:t>
      </w:r>
      <w:r w:rsidRPr="00621127">
        <w:rPr>
          <w:lang w:val="en-US"/>
        </w:rPr>
        <w:t xml:space="preserve"> </w:t>
      </w:r>
      <w:r w:rsidRPr="00DA163F">
        <w:rPr>
          <w:lang w:val="en-US"/>
        </w:rPr>
        <w:t>London u.a.: Pinter.</w:t>
      </w:r>
    </w:p>
    <w:p w:rsidR="00D2554C" w:rsidRPr="004D63E7" w:rsidRDefault="00D2554C" w:rsidP="009F0669">
      <w:pPr>
        <w:pStyle w:val="Text"/>
        <w:ind w:left="454" w:hanging="454"/>
        <w:rPr>
          <w:lang w:val="en-US"/>
        </w:rPr>
      </w:pPr>
      <w:r>
        <w:rPr>
          <w:lang w:val="en-GB"/>
        </w:rPr>
        <w:t>Bloch, Bernard (1953), „Linguistic Structure and Linguistic Analys</w:t>
      </w:r>
      <w:r w:rsidR="006D65A3">
        <w:rPr>
          <w:lang w:val="en-GB"/>
        </w:rPr>
        <w:t>i</w:t>
      </w:r>
      <w:r>
        <w:rPr>
          <w:lang w:val="en-GB"/>
        </w:rPr>
        <w:t>s“. In:</w:t>
      </w:r>
      <w:r w:rsidR="00A44DB1">
        <w:rPr>
          <w:lang w:val="en-GB"/>
        </w:rPr>
        <w:t xml:space="preserve"> </w:t>
      </w:r>
      <w:r>
        <w:rPr>
          <w:lang w:val="en-GB"/>
        </w:rPr>
        <w:t xml:space="preserve">Archibald </w:t>
      </w:r>
      <w:r w:rsidR="00A44DB1">
        <w:rPr>
          <w:lang w:val="en-GB"/>
        </w:rPr>
        <w:t xml:space="preserve">Hill </w:t>
      </w:r>
      <w:r>
        <w:rPr>
          <w:lang w:val="en-GB"/>
        </w:rPr>
        <w:t xml:space="preserve">(Hg.), </w:t>
      </w:r>
      <w:r>
        <w:rPr>
          <w:i/>
          <w:iCs/>
          <w:lang w:val="en-GB"/>
        </w:rPr>
        <w:t xml:space="preserve">Report of the Fourth Annual Round Table Meeting on Linguistics and Language Teaching. </w:t>
      </w:r>
      <w:r w:rsidRPr="004D63E7">
        <w:rPr>
          <w:lang w:val="en-US"/>
        </w:rPr>
        <w:t>Washington D.C.: Georgetown Unive</w:t>
      </w:r>
      <w:r w:rsidRPr="004D63E7">
        <w:rPr>
          <w:lang w:val="en-US"/>
        </w:rPr>
        <w:t>r</w:t>
      </w:r>
      <w:r w:rsidRPr="004D63E7">
        <w:rPr>
          <w:lang w:val="en-US"/>
        </w:rPr>
        <w:t>sity Press. 40-44.</w:t>
      </w:r>
    </w:p>
    <w:p w:rsidR="007E6BA8" w:rsidRPr="007E6BA8" w:rsidRDefault="007E6BA8" w:rsidP="009F0669">
      <w:pPr>
        <w:pStyle w:val="Text"/>
        <w:ind w:left="454" w:hanging="454"/>
        <w:rPr>
          <w:lang w:val="en-US"/>
        </w:rPr>
      </w:pPr>
      <w:r w:rsidRPr="007E6BA8">
        <w:rPr>
          <w:lang w:val="en-US"/>
        </w:rPr>
        <w:t xml:space="preserve">Bloomfield, Leonard (1933), </w:t>
      </w:r>
      <w:r w:rsidRPr="007E6BA8">
        <w:rPr>
          <w:i/>
          <w:iCs/>
          <w:lang w:val="en-US"/>
        </w:rPr>
        <w:t>Language</w:t>
      </w:r>
      <w:r w:rsidRPr="007E6BA8">
        <w:rPr>
          <w:lang w:val="en-US"/>
        </w:rPr>
        <w:t>. New York: Henry Holt</w:t>
      </w:r>
      <w:r>
        <w:rPr>
          <w:lang w:val="en-US"/>
        </w:rPr>
        <w:t>.</w:t>
      </w:r>
    </w:p>
    <w:p w:rsidR="00A64CE6" w:rsidRPr="0006190B" w:rsidRDefault="00A64CE6" w:rsidP="009F0669">
      <w:pPr>
        <w:pStyle w:val="Text"/>
        <w:ind w:left="454" w:hanging="454"/>
      </w:pPr>
      <w:r w:rsidRPr="00A64CE6">
        <w:t xml:space="preserve">Blumensath, </w:t>
      </w:r>
      <w:r>
        <w:t>Heinz</w:t>
      </w:r>
      <w:r w:rsidRPr="00A64CE6">
        <w:t xml:space="preserve"> (Hg.)</w:t>
      </w:r>
      <w:r>
        <w:t xml:space="preserve"> (1972),</w:t>
      </w:r>
      <w:r w:rsidRPr="00A64CE6">
        <w:t xml:space="preserve"> </w:t>
      </w:r>
      <w:r w:rsidRPr="00A64CE6">
        <w:rPr>
          <w:i/>
          <w:iCs/>
        </w:rPr>
        <w:t xml:space="preserve">Strukturalismus in der Literaturwissenschaft. </w:t>
      </w:r>
      <w:r w:rsidRPr="0006190B">
        <w:t>Köln: Kiepenheuer &amp; Witsch.</w:t>
      </w:r>
    </w:p>
    <w:p w:rsidR="00E84936" w:rsidRPr="00E84936" w:rsidRDefault="00E84936" w:rsidP="009F0669">
      <w:pPr>
        <w:pStyle w:val="Text"/>
        <w:ind w:left="454" w:hanging="454"/>
      </w:pPr>
      <w:r w:rsidRPr="00E84936">
        <w:t>Böhme-Dürr, Karin (1997), „Technische Medien der Semiose“.</w:t>
      </w:r>
      <w:r>
        <w:t xml:space="preserve"> In: </w:t>
      </w:r>
      <w:r w:rsidRPr="00353025">
        <w:t>Posner u.a. 1997–2004</w:t>
      </w:r>
      <w:r>
        <w:t>, Bd. 1: 357-384.</w:t>
      </w:r>
    </w:p>
    <w:p w:rsidR="00F274C4" w:rsidRDefault="00F274C4" w:rsidP="009F0669">
      <w:pPr>
        <w:pStyle w:val="Text"/>
        <w:ind w:left="454" w:hanging="454"/>
        <w:rPr>
          <w:lang w:val="en-GB"/>
        </w:rPr>
      </w:pPr>
      <w:r w:rsidRPr="008E1859">
        <w:rPr>
          <w:lang w:val="en-US"/>
        </w:rPr>
        <w:t xml:space="preserve">Bolinger, Dwight (1975), </w:t>
      </w:r>
      <w:r w:rsidRPr="008E1859">
        <w:rPr>
          <w:i/>
          <w:lang w:val="en-US"/>
        </w:rPr>
        <w:t>Aspects of Language.</w:t>
      </w:r>
      <w:r w:rsidRPr="008E1859">
        <w:rPr>
          <w:lang w:val="en-US"/>
        </w:rPr>
        <w:t xml:space="preserve"> 2., internat. </w:t>
      </w:r>
      <w:r>
        <w:rPr>
          <w:lang w:val="en-GB"/>
        </w:rPr>
        <w:t xml:space="preserve">Aufl. New York: </w:t>
      </w:r>
      <w:r w:rsidRPr="0014193F">
        <w:rPr>
          <w:lang w:val="en-US"/>
        </w:rPr>
        <w:t>Ha</w:t>
      </w:r>
      <w:r w:rsidRPr="0014193F">
        <w:rPr>
          <w:lang w:val="en-US"/>
        </w:rPr>
        <w:t>r</w:t>
      </w:r>
      <w:r w:rsidRPr="0014193F">
        <w:rPr>
          <w:lang w:val="en-US"/>
        </w:rPr>
        <w:t>court Brace Jovanovich.</w:t>
      </w:r>
    </w:p>
    <w:p w:rsidR="00D2554C" w:rsidRPr="0014169F" w:rsidRDefault="00D2554C" w:rsidP="009F0669">
      <w:pPr>
        <w:pStyle w:val="Text"/>
        <w:ind w:left="454" w:hanging="454"/>
      </w:pPr>
      <w:r>
        <w:rPr>
          <w:lang w:val="en-GB"/>
        </w:rPr>
        <w:t xml:space="preserve">Bonnay, Denis und Paul Égré (2006), </w:t>
      </w:r>
      <w:r>
        <w:rPr>
          <w:i/>
          <w:lang w:val="en-GB"/>
        </w:rPr>
        <w:t xml:space="preserve">A </w:t>
      </w:r>
      <w:r w:rsidR="005F0D0F">
        <w:rPr>
          <w:i/>
          <w:lang w:val="en-GB"/>
        </w:rPr>
        <w:t>N</w:t>
      </w:r>
      <w:r>
        <w:rPr>
          <w:i/>
          <w:lang w:val="en-GB"/>
        </w:rPr>
        <w:t>on-</w:t>
      </w:r>
      <w:r w:rsidR="005F0D0F">
        <w:rPr>
          <w:i/>
          <w:lang w:val="en-GB"/>
        </w:rPr>
        <w:t>S</w:t>
      </w:r>
      <w:r>
        <w:rPr>
          <w:i/>
          <w:lang w:val="en-GB"/>
        </w:rPr>
        <w:t>tandard Semantics for Inexact Knowledge with Introspection</w:t>
      </w:r>
      <w:r w:rsidR="001A0778">
        <w:rPr>
          <w:lang w:val="en-GB"/>
        </w:rPr>
        <w:t>. In: Sergei</w:t>
      </w:r>
      <w:r>
        <w:rPr>
          <w:lang w:val="en-GB"/>
        </w:rPr>
        <w:t xml:space="preserve"> Artemov und R</w:t>
      </w:r>
      <w:r w:rsidR="001A0778">
        <w:rPr>
          <w:lang w:val="en-GB"/>
        </w:rPr>
        <w:t>ohit</w:t>
      </w:r>
      <w:r>
        <w:rPr>
          <w:lang w:val="en-GB"/>
        </w:rPr>
        <w:t xml:space="preserve"> Parikh (Hg.), </w:t>
      </w:r>
      <w:r>
        <w:rPr>
          <w:i/>
          <w:lang w:val="en-GB"/>
        </w:rPr>
        <w:t>Proceedings of the ESSLLI 2006 Workshop on Rationality and Knowledge</w:t>
      </w:r>
      <w:r w:rsidR="00A826D1">
        <w:rPr>
          <w:i/>
          <w:lang w:val="en-GB"/>
        </w:rPr>
        <w:t>, Málaga, Spain</w:t>
      </w:r>
      <w:r>
        <w:rPr>
          <w:lang w:val="en-GB"/>
        </w:rPr>
        <w:t>.</w:t>
      </w:r>
      <w:r w:rsidR="00B149D9">
        <w:rPr>
          <w:lang w:val="en-GB"/>
        </w:rPr>
        <w:t xml:space="preserve"> </w:t>
      </w:r>
      <w:r w:rsidR="00B149D9" w:rsidRPr="00B149D9">
        <w:t xml:space="preserve">Online unter: </w:t>
      </w:r>
      <w:r w:rsidR="00B149D9" w:rsidRPr="0014169F">
        <w:t>http://paulegre.free.fr/Papers/main_egrebon</w:t>
      </w:r>
      <w:r w:rsidR="00D41323" w:rsidRPr="0014169F">
        <w:br/>
      </w:r>
      <w:r w:rsidR="00B149D9" w:rsidRPr="0014169F">
        <w:t>nay_3.pdf; Einsicht am 18.01.2012.</w:t>
      </w:r>
    </w:p>
    <w:p w:rsidR="00D2554C" w:rsidRPr="0014169F" w:rsidRDefault="00D2554C" w:rsidP="009F0669">
      <w:pPr>
        <w:pStyle w:val="Text"/>
        <w:ind w:left="454" w:hanging="454"/>
      </w:pPr>
      <w:r>
        <w:rPr>
          <w:lang w:val="en-GB"/>
        </w:rPr>
        <w:t xml:space="preserve">Bonnay, Denis und Paul Égré (2007), </w:t>
      </w:r>
      <w:r>
        <w:rPr>
          <w:i/>
          <w:lang w:val="en-GB"/>
        </w:rPr>
        <w:t>Vagueness and Introspection</w:t>
      </w:r>
      <w:r>
        <w:rPr>
          <w:lang w:val="en-GB"/>
        </w:rPr>
        <w:t xml:space="preserve">. </w:t>
      </w:r>
      <w:r w:rsidR="004A5D1A" w:rsidRPr="004A5D1A">
        <w:t xml:space="preserve">Online unter: </w:t>
      </w:r>
      <w:r w:rsidRPr="0014169F">
        <w:t xml:space="preserve">http://jeannicod.ccsd.cnrs.fr/docs/00/14/14/15/PDF/main_be_vi_1.pdf; Einsicht am </w:t>
      </w:r>
      <w:r w:rsidR="00B149D9" w:rsidRPr="0014169F">
        <w:t>18.01.2012</w:t>
      </w:r>
      <w:r w:rsidRPr="0014169F">
        <w:t>.</w:t>
      </w:r>
    </w:p>
    <w:p w:rsidR="00A868E7" w:rsidRPr="00A868E7" w:rsidRDefault="00A868E7" w:rsidP="009F0669">
      <w:pPr>
        <w:pStyle w:val="Text"/>
        <w:ind w:left="454" w:hanging="454"/>
      </w:pPr>
      <w:r w:rsidRPr="00A868E7">
        <w:t xml:space="preserve">Boom, Holger van den (1983), </w:t>
      </w:r>
      <w:r>
        <w:t>„</w:t>
      </w:r>
      <w:r w:rsidRPr="00A868E7">
        <w:t>Systemhaftigkeit und Kodierung</w:t>
      </w:r>
      <w:r>
        <w:t>“</w:t>
      </w:r>
      <w:r w:rsidRPr="00A868E7">
        <w:t xml:space="preserve">. </w:t>
      </w:r>
      <w:r w:rsidRPr="00A868E7">
        <w:rPr>
          <w:i/>
        </w:rPr>
        <w:t>Zeitschrift für Semiotik</w:t>
      </w:r>
      <w:r>
        <w:t xml:space="preserve"> 5: 420-423.</w:t>
      </w:r>
    </w:p>
    <w:p w:rsidR="00E57349" w:rsidRPr="00590E34" w:rsidRDefault="00E57349" w:rsidP="009F0669">
      <w:pPr>
        <w:pStyle w:val="Text"/>
        <w:ind w:left="454" w:hanging="454"/>
      </w:pPr>
      <w:r>
        <w:t xml:space="preserve">Borggrefe, Heiner (2008), „Stil – Identität – Repräsentation – Kontext“. </w:t>
      </w:r>
      <w:r w:rsidR="00B5077F" w:rsidRPr="00590E34">
        <w:t>In: Hoppe u.a. 2008:</w:t>
      </w:r>
      <w:r w:rsidRPr="00590E34">
        <w:t xml:space="preserve"> 104-132.</w:t>
      </w:r>
    </w:p>
    <w:p w:rsidR="00626941" w:rsidRPr="00346510" w:rsidRDefault="00626941" w:rsidP="009F0669">
      <w:pPr>
        <w:pStyle w:val="Text"/>
        <w:ind w:left="454" w:hanging="454"/>
      </w:pPr>
      <w:r w:rsidRPr="00626941">
        <w:t xml:space="preserve">Bourdieu, Pierre (1970), </w:t>
      </w:r>
      <w:r w:rsidRPr="00626941">
        <w:rPr>
          <w:i/>
        </w:rPr>
        <w:t>Zur Soziologie der symbolischen Formen.</w:t>
      </w:r>
      <w:r w:rsidRPr="00626941">
        <w:t xml:space="preserve"> </w:t>
      </w:r>
      <w:r w:rsidR="00AA143B" w:rsidRPr="00346510">
        <w:t>Frankfurt a.M.: Suhrkamp</w:t>
      </w:r>
      <w:r w:rsidRPr="00346510">
        <w:t>.</w:t>
      </w:r>
    </w:p>
    <w:p w:rsidR="00346510" w:rsidRPr="00581B27" w:rsidRDefault="00346510" w:rsidP="009F0669">
      <w:pPr>
        <w:pStyle w:val="Text"/>
        <w:ind w:left="454" w:hanging="454"/>
        <w:rPr>
          <w:lang w:val="en-US"/>
        </w:rPr>
      </w:pPr>
      <w:r w:rsidRPr="00346510">
        <w:lastRenderedPageBreak/>
        <w:t>Bourdieu, Pierre (</w:t>
      </w:r>
      <w:r>
        <w:t xml:space="preserve">1976), </w:t>
      </w:r>
      <w:r w:rsidRPr="00346510">
        <w:rPr>
          <w:i/>
        </w:rPr>
        <w:t>Entwurf einer Theorie der Praxis auf der ethnologischen Grundlage der kabylischen Gesellschaft.</w:t>
      </w:r>
      <w:r>
        <w:t xml:space="preserve"> </w:t>
      </w:r>
      <w:r w:rsidRPr="00581B27">
        <w:rPr>
          <w:lang w:val="en-US"/>
        </w:rPr>
        <w:t>Frankfurt a.M.: Suhrkamp.</w:t>
      </w:r>
    </w:p>
    <w:p w:rsidR="00CF7054" w:rsidRPr="001A473B" w:rsidRDefault="0062599B" w:rsidP="009F0669">
      <w:pPr>
        <w:pStyle w:val="Text"/>
        <w:ind w:left="454" w:hanging="454"/>
        <w:rPr>
          <w:lang w:val="en-US"/>
        </w:rPr>
      </w:pPr>
      <w:r>
        <w:rPr>
          <w:lang w:val="en-US"/>
        </w:rPr>
        <w:t>Bourdieu, Pierre (1979</w:t>
      </w:r>
      <w:r w:rsidR="00CF7054" w:rsidRPr="00581B27">
        <w:rPr>
          <w:lang w:val="en-US"/>
        </w:rPr>
        <w:t xml:space="preserve">), </w:t>
      </w:r>
      <w:r w:rsidR="000273F6" w:rsidRPr="00581B27">
        <w:rPr>
          <w:i/>
          <w:lang w:val="en-US"/>
        </w:rPr>
        <w:t>La distinction. Critique sociale du jugement.</w:t>
      </w:r>
      <w:r w:rsidR="000273F6" w:rsidRPr="00581B27">
        <w:rPr>
          <w:lang w:val="en-US"/>
        </w:rPr>
        <w:t xml:space="preserve"> </w:t>
      </w:r>
      <w:r w:rsidR="002B6563" w:rsidRPr="001A473B">
        <w:rPr>
          <w:lang w:val="en-US"/>
        </w:rPr>
        <w:t>Paris: M</w:t>
      </w:r>
      <w:r w:rsidR="000273F6" w:rsidRPr="001A473B">
        <w:rPr>
          <w:lang w:val="en-US"/>
        </w:rPr>
        <w:t>in</w:t>
      </w:r>
      <w:r w:rsidR="000273F6" w:rsidRPr="001A473B">
        <w:rPr>
          <w:lang w:val="en-US"/>
        </w:rPr>
        <w:t>u</w:t>
      </w:r>
      <w:r w:rsidR="000273F6" w:rsidRPr="001A473B">
        <w:rPr>
          <w:lang w:val="en-US"/>
        </w:rPr>
        <w:t>it.</w:t>
      </w:r>
    </w:p>
    <w:p w:rsidR="00DB4CAA" w:rsidRPr="00DB4CAA" w:rsidRDefault="00DB4CAA" w:rsidP="009F0669">
      <w:pPr>
        <w:pStyle w:val="Text"/>
        <w:ind w:left="454" w:hanging="454"/>
      </w:pPr>
      <w:r w:rsidRPr="00DB4CAA">
        <w:t xml:space="preserve">Bourdieu, Pierre (1992), </w:t>
      </w:r>
      <w:r w:rsidRPr="00DB4CAA">
        <w:rPr>
          <w:i/>
        </w:rPr>
        <w:t xml:space="preserve">Les règles de l’art. </w:t>
      </w:r>
      <w:r w:rsidRPr="001A473B">
        <w:rPr>
          <w:i/>
          <w:lang w:val="en-US"/>
        </w:rPr>
        <w:t>Genèse et structure du champ littéraire.</w:t>
      </w:r>
      <w:r w:rsidRPr="001A473B">
        <w:rPr>
          <w:lang w:val="en-US"/>
        </w:rPr>
        <w:t xml:space="preserve"> </w:t>
      </w:r>
      <w:r w:rsidRPr="00DB4CAA">
        <w:t xml:space="preserve">Paris: Seuil. Deutsch </w:t>
      </w:r>
      <w:r>
        <w:t xml:space="preserve">von Bernd Schwibs und Achim Russer: </w:t>
      </w:r>
      <w:r w:rsidRPr="00DB4CAA">
        <w:rPr>
          <w:i/>
        </w:rPr>
        <w:t>Die Regeln der Kunst. Genese und Struktur des literarischen Feldes.</w:t>
      </w:r>
      <w:r>
        <w:t xml:space="preserve"> Frankfurt a.M.: Suh</w:t>
      </w:r>
      <w:r>
        <w:t>r</w:t>
      </w:r>
      <w:r>
        <w:t xml:space="preserve">kamp </w:t>
      </w:r>
      <w:r w:rsidRPr="00DB4CAA">
        <w:t>2001</w:t>
      </w:r>
      <w:r>
        <w:t>.</w:t>
      </w:r>
    </w:p>
    <w:p w:rsidR="008F2BC4" w:rsidRDefault="009D1303" w:rsidP="009F0669">
      <w:pPr>
        <w:pStyle w:val="Text"/>
        <w:ind w:left="454" w:hanging="454"/>
      </w:pPr>
      <w:r w:rsidRPr="00DB4CAA">
        <w:t>Bourdieu, Pierre und Loïc J. D. Wacquant (1992),</w:t>
      </w:r>
      <w:r w:rsidRPr="00DB4CAA">
        <w:rPr>
          <w:rStyle w:val="Hervorhebung"/>
        </w:rPr>
        <w:t xml:space="preserve"> </w:t>
      </w:r>
      <w:r w:rsidR="008F2BC4" w:rsidRPr="00DB4CAA">
        <w:rPr>
          <w:rStyle w:val="Hervorhebung"/>
        </w:rPr>
        <w:t>Réponses</w:t>
      </w:r>
      <w:r w:rsidRPr="00DB4CAA">
        <w:rPr>
          <w:rStyle w:val="Hervorhebung"/>
        </w:rPr>
        <w:t>.</w:t>
      </w:r>
      <w:r w:rsidR="008F2BC4" w:rsidRPr="00DB4CAA">
        <w:rPr>
          <w:i/>
        </w:rPr>
        <w:t xml:space="preserve"> Pour une anthrop</w:t>
      </w:r>
      <w:r w:rsidR="008F2BC4" w:rsidRPr="00DB4CAA">
        <w:rPr>
          <w:i/>
        </w:rPr>
        <w:t>o</w:t>
      </w:r>
      <w:r w:rsidR="008F2BC4" w:rsidRPr="00DB4CAA">
        <w:rPr>
          <w:i/>
        </w:rPr>
        <w:t>logie réflexive.</w:t>
      </w:r>
      <w:r w:rsidRPr="00DB4CAA">
        <w:t xml:space="preserve"> </w:t>
      </w:r>
      <w:r w:rsidR="008F2BC4" w:rsidRPr="00BD0C23">
        <w:t>Paris: Seuil</w:t>
      </w:r>
      <w:r w:rsidRPr="00BD0C23">
        <w:t>.</w:t>
      </w:r>
    </w:p>
    <w:p w:rsidR="0006790A" w:rsidRPr="00BD0C23" w:rsidRDefault="0006790A" w:rsidP="009F0669">
      <w:pPr>
        <w:pStyle w:val="Text"/>
        <w:ind w:left="454" w:hanging="454"/>
      </w:pPr>
      <w:r w:rsidRPr="00BD0C23">
        <w:t xml:space="preserve">Braunfels, Wolfgang (1968–1976), </w:t>
      </w:r>
      <w:r w:rsidRPr="00BD0C23">
        <w:rPr>
          <w:i/>
        </w:rPr>
        <w:t>Lexikon der christlichen Ikonographie.</w:t>
      </w:r>
      <w:r w:rsidRPr="00BD0C23">
        <w:t xml:space="preserve"> 8 Bde. Freiburg i.Br. u.a.: Herder.</w:t>
      </w:r>
    </w:p>
    <w:p w:rsidR="00063CD7" w:rsidRPr="00362FC7" w:rsidRDefault="00063CD7" w:rsidP="009F0669">
      <w:pPr>
        <w:pStyle w:val="Text"/>
        <w:ind w:left="454" w:hanging="454"/>
        <w:rPr>
          <w:lang w:val="en-US"/>
        </w:rPr>
      </w:pPr>
      <w:r w:rsidRPr="001A473B">
        <w:rPr>
          <w:lang w:val="en-US"/>
        </w:rPr>
        <w:t>Breuer, Ulrich (2009), „Stil und Individuum (Individualstil)</w:t>
      </w:r>
      <w:r w:rsidR="00CC1C5D" w:rsidRPr="001A473B">
        <w:rPr>
          <w:lang w:val="en-US"/>
        </w:rPr>
        <w:t>“</w:t>
      </w:r>
      <w:r w:rsidRPr="001A473B">
        <w:rPr>
          <w:lang w:val="en-US"/>
        </w:rPr>
        <w:t xml:space="preserve">. </w:t>
      </w:r>
      <w:r w:rsidRPr="00362FC7">
        <w:rPr>
          <w:lang w:val="en-US"/>
        </w:rPr>
        <w:t>In: Fix u.a. 2008–2009</w:t>
      </w:r>
      <w:r w:rsidR="009D2CB4" w:rsidRPr="00362FC7">
        <w:rPr>
          <w:lang w:val="en-US"/>
        </w:rPr>
        <w:t>,</w:t>
      </w:r>
      <w:r w:rsidRPr="00362FC7">
        <w:rPr>
          <w:lang w:val="en-US"/>
        </w:rPr>
        <w:t xml:space="preserve"> </w:t>
      </w:r>
      <w:r w:rsidR="00D80071" w:rsidRPr="00362FC7">
        <w:rPr>
          <w:lang w:val="en-US"/>
        </w:rPr>
        <w:t>Bd. 2</w:t>
      </w:r>
      <w:r w:rsidR="009D2CB4" w:rsidRPr="00362FC7">
        <w:rPr>
          <w:lang w:val="en-US"/>
        </w:rPr>
        <w:t>:</w:t>
      </w:r>
      <w:r w:rsidR="00D80071" w:rsidRPr="00362FC7">
        <w:rPr>
          <w:lang w:val="en-US"/>
        </w:rPr>
        <w:t xml:space="preserve"> </w:t>
      </w:r>
      <w:r w:rsidRPr="00362FC7">
        <w:rPr>
          <w:lang w:val="en-US"/>
        </w:rPr>
        <w:t>1230-1244.</w:t>
      </w:r>
    </w:p>
    <w:p w:rsidR="006C00E5" w:rsidRPr="005C5E1A" w:rsidRDefault="006C00E5" w:rsidP="009F0669">
      <w:pPr>
        <w:pStyle w:val="Text"/>
        <w:ind w:left="454" w:hanging="454"/>
      </w:pPr>
      <w:r>
        <w:rPr>
          <w:lang w:val="en-US"/>
        </w:rPr>
        <w:t>Brooks, Cleanth (</w:t>
      </w:r>
      <w:r w:rsidRPr="006C00E5">
        <w:rPr>
          <w:lang w:val="en-US"/>
        </w:rPr>
        <w:t>1947</w:t>
      </w:r>
      <w:r>
        <w:rPr>
          <w:lang w:val="en-US"/>
        </w:rPr>
        <w:t>),</w:t>
      </w:r>
      <w:r w:rsidRPr="006C00E5">
        <w:rPr>
          <w:lang w:val="en-US"/>
        </w:rPr>
        <w:t xml:space="preserve"> </w:t>
      </w:r>
      <w:r w:rsidR="00D80FC4">
        <w:rPr>
          <w:i/>
          <w:iCs/>
          <w:lang w:val="en-US"/>
        </w:rPr>
        <w:t>The Well Wrought Urn.</w:t>
      </w:r>
      <w:r w:rsidRPr="006C00E5">
        <w:rPr>
          <w:i/>
          <w:iCs/>
          <w:lang w:val="en-US"/>
        </w:rPr>
        <w:t xml:space="preserve"> Studies in the Structure of Poetry</w:t>
      </w:r>
      <w:r>
        <w:rPr>
          <w:i/>
          <w:iCs/>
          <w:lang w:val="en-US"/>
        </w:rPr>
        <w:t>.</w:t>
      </w:r>
      <w:r w:rsidRPr="006C00E5">
        <w:rPr>
          <w:lang w:val="en-US"/>
        </w:rPr>
        <w:t xml:space="preserve"> </w:t>
      </w:r>
      <w:r>
        <w:t>New York: Harcourt Brace.</w:t>
      </w:r>
    </w:p>
    <w:p w:rsidR="00A527DC" w:rsidRDefault="00E53621" w:rsidP="009F0669">
      <w:pPr>
        <w:pStyle w:val="Text"/>
        <w:ind w:left="454" w:hanging="454"/>
      </w:pPr>
      <w:r>
        <w:t>Brückner, Tobias (1990</w:t>
      </w:r>
      <w:r w:rsidR="00A527DC" w:rsidRPr="00A527DC">
        <w:t>), „</w:t>
      </w:r>
      <w:r>
        <w:t xml:space="preserve">Verrät der Text den Verfasser? Die Frage nach dem </w:t>
      </w:r>
      <w:r w:rsidR="00D80FC4">
        <w:t xml:space="preserve">‚philologischen Fingerabdruck‘. </w:t>
      </w:r>
      <w:r>
        <w:t xml:space="preserve">Textvergleich als Beweismittel“. </w:t>
      </w:r>
      <w:r w:rsidRPr="00FF55BC">
        <w:rPr>
          <w:i/>
        </w:rPr>
        <w:t>Krimin</w:t>
      </w:r>
      <w:r w:rsidRPr="00FF55BC">
        <w:rPr>
          <w:i/>
        </w:rPr>
        <w:t>a</w:t>
      </w:r>
      <w:r w:rsidRPr="00FF55BC">
        <w:rPr>
          <w:i/>
        </w:rPr>
        <w:t xml:space="preserve">listik </w:t>
      </w:r>
      <w:r w:rsidR="00A527DC" w:rsidRPr="00FF55BC">
        <w:t>4</w:t>
      </w:r>
      <w:r w:rsidRPr="00FF55BC">
        <w:t>4: 13</w:t>
      </w:r>
      <w:r w:rsidR="00A527DC" w:rsidRPr="00FF55BC">
        <w:t>-</w:t>
      </w:r>
      <w:r w:rsidRPr="00FF55BC">
        <w:t>38</w:t>
      </w:r>
      <w:r w:rsidR="00A527DC" w:rsidRPr="00FF55BC">
        <w:t>.</w:t>
      </w:r>
    </w:p>
    <w:p w:rsidR="00C10033" w:rsidRPr="00C10033" w:rsidRDefault="00C10033" w:rsidP="00C10033">
      <w:pPr>
        <w:pStyle w:val="Text"/>
        <w:ind w:left="454" w:hanging="454"/>
      </w:pPr>
      <w:r w:rsidRPr="005654BF">
        <w:t>Buffon, Georges-Louis Leclerc Comte de (</w:t>
      </w:r>
      <w:r w:rsidR="00B77FD3" w:rsidRPr="005654BF">
        <w:t>1753</w:t>
      </w:r>
      <w:r w:rsidRPr="005654BF">
        <w:t>), „Discours prononcé à l'Aca</w:t>
      </w:r>
      <w:r w:rsidR="00D0297B" w:rsidRPr="005654BF">
        <w:softHyphen/>
      </w:r>
      <w:r w:rsidRPr="005654BF">
        <w:t xml:space="preserve">démie française, le jour de sa réception (le samedi 25 août 1753“. </w:t>
      </w:r>
      <w:r w:rsidRPr="00C10033">
        <w:t>In: Ders.</w:t>
      </w:r>
      <w:r w:rsidR="00BC77D5">
        <w:t xml:space="preserve"> (</w:t>
      </w:r>
      <w:r w:rsidR="00BC77D5" w:rsidRPr="00216912">
        <w:t>1954</w:t>
      </w:r>
      <w:r w:rsidR="00BC77D5">
        <w:t>)</w:t>
      </w:r>
      <w:r w:rsidRPr="00C10033">
        <w:t xml:space="preserve">, </w:t>
      </w:r>
      <w:r w:rsidRPr="00C10033">
        <w:rPr>
          <w:rStyle w:val="Hervorhebung"/>
        </w:rPr>
        <w:t>Œuv</w:t>
      </w:r>
      <w:r w:rsidR="00FA1FFE">
        <w:rPr>
          <w:rStyle w:val="Hervorhebung"/>
        </w:rPr>
        <w:t>r</w:t>
      </w:r>
      <w:r w:rsidRPr="00C10033">
        <w:rPr>
          <w:rStyle w:val="Hervorhebung"/>
        </w:rPr>
        <w:t>es philosophiques de Buffon.</w:t>
      </w:r>
      <w:r w:rsidRPr="00C10033">
        <w:rPr>
          <w:rStyle w:val="Hervorhebung"/>
          <w:i w:val="0"/>
        </w:rPr>
        <w:t xml:space="preserve"> </w:t>
      </w:r>
      <w:r>
        <w:rPr>
          <w:rStyle w:val="Hervorhebung"/>
          <w:i w:val="0"/>
        </w:rPr>
        <w:t xml:space="preserve">Hg. von Jean Piveteau. Paris: </w:t>
      </w:r>
      <w:r w:rsidRPr="001929CA">
        <w:t>Presses Universitaires de France.</w:t>
      </w:r>
      <w:r>
        <w:t xml:space="preserve"> 500-504.</w:t>
      </w:r>
    </w:p>
    <w:p w:rsidR="003349C4" w:rsidRPr="003F0EA6" w:rsidRDefault="003349C4" w:rsidP="009F0669">
      <w:pPr>
        <w:pStyle w:val="Text"/>
        <w:ind w:left="454" w:hanging="454"/>
        <w:rPr>
          <w:lang w:val="en-US"/>
        </w:rPr>
      </w:pPr>
      <w:r w:rsidRPr="003349C4">
        <w:t xml:space="preserve">Bühler, Karl (1960), </w:t>
      </w:r>
      <w:r w:rsidRPr="003349C4">
        <w:rPr>
          <w:i/>
        </w:rPr>
        <w:t>Das Gestaltprinzip im Leben der Menschen und der Tiere.</w:t>
      </w:r>
      <w:r w:rsidRPr="003349C4">
        <w:t xml:space="preserve"> </w:t>
      </w:r>
      <w:r w:rsidRPr="003F0EA6">
        <w:rPr>
          <w:lang w:val="en-US"/>
        </w:rPr>
        <w:t xml:space="preserve">Bern u.a.: </w:t>
      </w:r>
      <w:r w:rsidR="009A7FF5" w:rsidRPr="003F0EA6">
        <w:rPr>
          <w:lang w:val="en-US"/>
        </w:rPr>
        <w:t>Huber</w:t>
      </w:r>
      <w:r w:rsidRPr="003F0EA6">
        <w:rPr>
          <w:lang w:val="en-US"/>
        </w:rPr>
        <w:t>.</w:t>
      </w:r>
    </w:p>
    <w:p w:rsidR="00AA483C" w:rsidRPr="001929CA" w:rsidRDefault="00AA483C" w:rsidP="009F0669">
      <w:pPr>
        <w:pStyle w:val="Text"/>
        <w:ind w:left="454" w:hanging="454"/>
      </w:pPr>
      <w:r w:rsidRPr="003F0EA6">
        <w:rPr>
          <w:lang w:val="en-US"/>
        </w:rPr>
        <w:t xml:space="preserve">Bureau, Conrad (1976), </w:t>
      </w:r>
      <w:r w:rsidRPr="003F0EA6">
        <w:rPr>
          <w:i/>
          <w:lang w:val="en-US"/>
        </w:rPr>
        <w:t>Linguist</w:t>
      </w:r>
      <w:r w:rsidRPr="00B81768">
        <w:rPr>
          <w:i/>
          <w:lang w:val="en-US"/>
        </w:rPr>
        <w:t>ique fonctionnelle et stylistique objective.</w:t>
      </w:r>
      <w:r w:rsidRPr="00B81768">
        <w:rPr>
          <w:lang w:val="en-US"/>
        </w:rPr>
        <w:t xml:space="preserve"> </w:t>
      </w:r>
      <w:r w:rsidRPr="001929CA">
        <w:t>Paris: Presses Universitaires de France.</w:t>
      </w:r>
    </w:p>
    <w:p w:rsidR="004764E5" w:rsidRDefault="004764E5" w:rsidP="009F0669">
      <w:pPr>
        <w:pStyle w:val="Text"/>
        <w:ind w:left="454" w:hanging="454"/>
        <w:rPr>
          <w:lang w:val="en-US"/>
        </w:rPr>
      </w:pPr>
      <w:r w:rsidRPr="004764E5">
        <w:t xml:space="preserve">Busch-Lauer, Ines-Andrea (2009), „Fach- und gruppensprachliche Varietäten und Stil“. </w:t>
      </w:r>
      <w:r w:rsidR="009D2CB4">
        <w:rPr>
          <w:lang w:val="en-US"/>
        </w:rPr>
        <w:t>In: Fix u.a. 2008–2009, Bd. 2:</w:t>
      </w:r>
      <w:r w:rsidRPr="001929CA">
        <w:rPr>
          <w:lang w:val="en-US"/>
        </w:rPr>
        <w:t xml:space="preserve"> </w:t>
      </w:r>
      <w:r>
        <w:rPr>
          <w:lang w:val="en-US"/>
        </w:rPr>
        <w:t>1706-1721.</w:t>
      </w:r>
    </w:p>
    <w:p w:rsidR="00CC614D" w:rsidRPr="005B1854" w:rsidRDefault="00CC614D" w:rsidP="009F0669">
      <w:pPr>
        <w:pStyle w:val="Text"/>
        <w:ind w:left="454" w:hanging="454"/>
      </w:pPr>
      <w:r>
        <w:rPr>
          <w:lang w:val="en-US"/>
        </w:rPr>
        <w:t xml:space="preserve">Calloway, Stephen (Hg.) (2005), </w:t>
      </w:r>
      <w:r w:rsidRPr="00CC614D">
        <w:rPr>
          <w:i/>
          <w:lang w:val="en-US"/>
        </w:rPr>
        <w:t xml:space="preserve">The </w:t>
      </w:r>
      <w:r w:rsidR="005F0D0F">
        <w:rPr>
          <w:i/>
          <w:lang w:val="en-US"/>
        </w:rPr>
        <w:t>E</w:t>
      </w:r>
      <w:r w:rsidRPr="00CC614D">
        <w:rPr>
          <w:i/>
          <w:lang w:val="en-US"/>
        </w:rPr>
        <w:t xml:space="preserve">lements of </w:t>
      </w:r>
      <w:r w:rsidR="005F0D0F">
        <w:rPr>
          <w:i/>
          <w:lang w:val="en-US"/>
        </w:rPr>
        <w:t>S</w:t>
      </w:r>
      <w:r w:rsidRPr="00CC614D">
        <w:rPr>
          <w:i/>
          <w:lang w:val="en-US"/>
        </w:rPr>
        <w:t>tyle</w:t>
      </w:r>
      <w:r w:rsidR="00D80FC4">
        <w:rPr>
          <w:i/>
          <w:lang w:val="en-US"/>
        </w:rPr>
        <w:t>.</w:t>
      </w:r>
      <w:r w:rsidRPr="00CC614D">
        <w:rPr>
          <w:i/>
          <w:lang w:val="en-US"/>
        </w:rPr>
        <w:t xml:space="preserve"> An </w:t>
      </w:r>
      <w:r w:rsidR="005F0D0F">
        <w:rPr>
          <w:i/>
          <w:lang w:val="en-US"/>
        </w:rPr>
        <w:t>E</w:t>
      </w:r>
      <w:r w:rsidRPr="00CC614D">
        <w:rPr>
          <w:i/>
          <w:lang w:val="en-US"/>
        </w:rPr>
        <w:t xml:space="preserve">ncyclopedia of </w:t>
      </w:r>
      <w:r w:rsidR="005F0D0F">
        <w:rPr>
          <w:i/>
          <w:lang w:val="en-US"/>
        </w:rPr>
        <w:t>D</w:t>
      </w:r>
      <w:r w:rsidRPr="00CC614D">
        <w:rPr>
          <w:i/>
          <w:lang w:val="en-US"/>
        </w:rPr>
        <w:t>o</w:t>
      </w:r>
      <w:r w:rsidRPr="00CC614D">
        <w:rPr>
          <w:i/>
          <w:lang w:val="en-US"/>
        </w:rPr>
        <w:t xml:space="preserve">mestic </w:t>
      </w:r>
      <w:r w:rsidR="005F0D0F">
        <w:rPr>
          <w:i/>
          <w:lang w:val="en-US"/>
        </w:rPr>
        <w:t>A</w:t>
      </w:r>
      <w:r w:rsidRPr="00CC614D">
        <w:rPr>
          <w:i/>
          <w:lang w:val="en-US"/>
        </w:rPr>
        <w:t xml:space="preserve">rchitectural </w:t>
      </w:r>
      <w:r w:rsidR="005F0D0F">
        <w:rPr>
          <w:i/>
          <w:lang w:val="en-US"/>
        </w:rPr>
        <w:t>D</w:t>
      </w:r>
      <w:r w:rsidRPr="00CC614D">
        <w:rPr>
          <w:i/>
          <w:lang w:val="en-US"/>
        </w:rPr>
        <w:t>etail.</w:t>
      </w:r>
      <w:r>
        <w:rPr>
          <w:lang w:val="en-US"/>
        </w:rPr>
        <w:t xml:space="preserve"> </w:t>
      </w:r>
      <w:r w:rsidRPr="005B1854">
        <w:t>London: Beazley.</w:t>
      </w:r>
    </w:p>
    <w:p w:rsidR="00295537" w:rsidRPr="005B1854" w:rsidRDefault="00295537" w:rsidP="009F0669">
      <w:pPr>
        <w:pStyle w:val="Text"/>
        <w:ind w:left="454" w:hanging="454"/>
      </w:pPr>
      <w:r w:rsidRPr="0023617A">
        <w:t xml:space="preserve">Carnap, Rudolf (1934), </w:t>
      </w:r>
      <w:r w:rsidRPr="0023617A">
        <w:rPr>
          <w:i/>
          <w:iCs/>
        </w:rPr>
        <w:t>Logische Syntax der Sprache</w:t>
      </w:r>
      <w:r w:rsidRPr="0023617A">
        <w:t xml:space="preserve">. </w:t>
      </w:r>
      <w:r w:rsidR="00787605" w:rsidRPr="005B1854">
        <w:t>Wien u.a.</w:t>
      </w:r>
      <w:r w:rsidRPr="005B1854">
        <w:t>: Springer.</w:t>
      </w:r>
    </w:p>
    <w:p w:rsidR="00D90C73" w:rsidRPr="00D90C73" w:rsidRDefault="00D90C73" w:rsidP="009F0669">
      <w:pPr>
        <w:pStyle w:val="Text"/>
        <w:ind w:left="454" w:hanging="454"/>
        <w:rPr>
          <w:lang w:val="en-US"/>
        </w:rPr>
      </w:pPr>
      <w:r w:rsidRPr="00C53975">
        <w:rPr>
          <w:lang w:val="en-US"/>
        </w:rPr>
        <w:t>Carnap,</w:t>
      </w:r>
      <w:r w:rsidR="00A9285D">
        <w:rPr>
          <w:lang w:val="en-US"/>
        </w:rPr>
        <w:t xml:space="preserve"> Rudolf (1947</w:t>
      </w:r>
      <w:r w:rsidRPr="00C53975">
        <w:rPr>
          <w:lang w:val="en-US"/>
        </w:rPr>
        <w:t>),</w:t>
      </w:r>
      <w:r>
        <w:rPr>
          <w:lang w:val="en-US"/>
        </w:rPr>
        <w:t xml:space="preserve"> </w:t>
      </w:r>
      <w:r w:rsidRPr="00D90C73">
        <w:rPr>
          <w:i/>
          <w:lang w:val="en-US"/>
        </w:rPr>
        <w:t>Meaning and Necessity</w:t>
      </w:r>
      <w:r w:rsidR="00D80FC4">
        <w:rPr>
          <w:i/>
          <w:lang w:val="en-US"/>
        </w:rPr>
        <w:t>.</w:t>
      </w:r>
      <w:r w:rsidRPr="00D90C73">
        <w:rPr>
          <w:i/>
          <w:lang w:val="en-US"/>
        </w:rPr>
        <w:t xml:space="preserve"> A Study in Semantics and Modal Logic.</w:t>
      </w:r>
      <w:r>
        <w:rPr>
          <w:lang w:val="en-US"/>
        </w:rPr>
        <w:t xml:space="preserve"> Chicago: University of Chicago Press.</w:t>
      </w:r>
    </w:p>
    <w:p w:rsidR="00C53975" w:rsidRPr="005B1854" w:rsidRDefault="00C53975" w:rsidP="009F0669">
      <w:pPr>
        <w:ind w:left="454" w:hanging="454"/>
        <w:rPr>
          <w:rFonts w:eastAsia="TimesNRMT"/>
        </w:rPr>
      </w:pPr>
      <w:r w:rsidRPr="00C53975">
        <w:rPr>
          <w:lang w:val="en-US"/>
        </w:rPr>
        <w:t>Carnap,</w:t>
      </w:r>
      <w:r>
        <w:rPr>
          <w:lang w:val="en-US"/>
        </w:rPr>
        <w:t xml:space="preserve"> Rudolf (1959</w:t>
      </w:r>
      <w:r w:rsidR="00314978">
        <w:rPr>
          <w:lang w:val="en-US"/>
        </w:rPr>
        <w:t>a</w:t>
      </w:r>
      <w:r w:rsidRPr="00C53975">
        <w:rPr>
          <w:lang w:val="en-US"/>
        </w:rPr>
        <w:t xml:space="preserve">), </w:t>
      </w:r>
      <w:r w:rsidRPr="00C53975">
        <w:rPr>
          <w:i/>
          <w:iCs/>
          <w:lang w:val="en-US"/>
        </w:rPr>
        <w:t>Introduction to Semantics</w:t>
      </w:r>
      <w:r w:rsidR="00D010AA">
        <w:rPr>
          <w:i/>
          <w:iCs/>
          <w:lang w:val="en-US"/>
        </w:rPr>
        <w:t xml:space="preserve"> </w:t>
      </w:r>
      <w:r w:rsidRPr="00C53975">
        <w:rPr>
          <w:i/>
          <w:iCs/>
          <w:lang w:val="en-US"/>
        </w:rPr>
        <w:t xml:space="preserve">and Formalization of Logic. </w:t>
      </w:r>
      <w:r w:rsidRPr="005B1854">
        <w:rPr>
          <w:rFonts w:eastAsia="TimesNRMT"/>
        </w:rPr>
        <w:t>Cambridge</w:t>
      </w:r>
      <w:r w:rsidR="00DD2B71" w:rsidRPr="005B1854">
        <w:rPr>
          <w:rFonts w:eastAsia="TimesNRMT"/>
        </w:rPr>
        <w:t>,</w:t>
      </w:r>
      <w:r w:rsidRPr="005B1854">
        <w:rPr>
          <w:rFonts w:eastAsia="TimesNRMT"/>
        </w:rPr>
        <w:t xml:space="preserve"> MA: Harvard University Press.</w:t>
      </w:r>
    </w:p>
    <w:p w:rsidR="00314978" w:rsidRDefault="00314978" w:rsidP="009F0669">
      <w:pPr>
        <w:ind w:left="454" w:hanging="454"/>
      </w:pPr>
      <w:r w:rsidRPr="0023617A">
        <w:t xml:space="preserve">Carnap, Rudolf (1959b), </w:t>
      </w:r>
      <w:r w:rsidRPr="0023617A">
        <w:rPr>
          <w:i/>
          <w:iCs/>
        </w:rPr>
        <w:t>Induktive Logik und Wahrscheinlichkeit.</w:t>
      </w:r>
      <w:r w:rsidRPr="0023617A">
        <w:t xml:space="preserve"> </w:t>
      </w:r>
      <w:r>
        <w:t>Bearbeitet von Wolfgang Stegmüller. Wien: Springer.</w:t>
      </w:r>
    </w:p>
    <w:p w:rsidR="00574360" w:rsidRDefault="00574360" w:rsidP="009F0669">
      <w:pPr>
        <w:ind w:left="454" w:hanging="454"/>
      </w:pPr>
      <w:r>
        <w:t xml:space="preserve">Carqué, Bernd (2004), </w:t>
      </w:r>
      <w:r w:rsidRPr="00574360">
        <w:rPr>
          <w:i/>
        </w:rPr>
        <w:t>Stil und Erinnerung. Französische Hofkunst im Jahrhu</w:t>
      </w:r>
      <w:r w:rsidRPr="00574360">
        <w:rPr>
          <w:i/>
        </w:rPr>
        <w:t>n</w:t>
      </w:r>
      <w:r w:rsidRPr="00574360">
        <w:rPr>
          <w:i/>
        </w:rPr>
        <w:t>dert Karls V. und im Zeitalter ihrer Deutung.</w:t>
      </w:r>
      <w:r>
        <w:t xml:space="preserve"> Göttingen: Vandenhoeck &amp; Ruprecht. </w:t>
      </w:r>
      <w:r w:rsidRPr="00083648">
        <w:t>Zugl.: Berlin, Technische Univ., Diss.</w:t>
      </w:r>
    </w:p>
    <w:p w:rsidR="00867D2E" w:rsidRDefault="00867D2E" w:rsidP="009F0669">
      <w:pPr>
        <w:ind w:left="454" w:hanging="454"/>
      </w:pPr>
      <w:r>
        <w:t xml:space="preserve">Carstensen, Broder (1970), „Stil und Norm. Zur Situation der linguistischen Stilistik“. </w:t>
      </w:r>
      <w:r w:rsidRPr="00867D2E">
        <w:rPr>
          <w:i/>
        </w:rPr>
        <w:t>Zeitschrift für Dialektologie und Linguistik</w:t>
      </w:r>
      <w:r>
        <w:t xml:space="preserve"> 37: 258-279.</w:t>
      </w:r>
    </w:p>
    <w:p w:rsidR="00805769" w:rsidRPr="00BD2D85" w:rsidRDefault="00805769" w:rsidP="00805769">
      <w:pPr>
        <w:ind w:left="454" w:hanging="454"/>
        <w:rPr>
          <w:lang w:val="en-US"/>
        </w:rPr>
      </w:pPr>
      <w:r w:rsidRPr="00BE288D">
        <w:lastRenderedPageBreak/>
        <w:t xml:space="preserve">Chan, Chiu-Shui (1994), „Operational Definitions of Style“. </w:t>
      </w:r>
      <w:r w:rsidRPr="00BD2D85">
        <w:rPr>
          <w:i/>
          <w:lang w:val="en-US"/>
        </w:rPr>
        <w:t>Environment and Plannung B: Planning and Design</w:t>
      </w:r>
      <w:r>
        <w:rPr>
          <w:lang w:val="en-US"/>
        </w:rPr>
        <w:t xml:space="preserve"> 21, 2: 223-246.</w:t>
      </w:r>
    </w:p>
    <w:p w:rsidR="007760A8" w:rsidRPr="007760A8" w:rsidRDefault="007760A8" w:rsidP="009F0669">
      <w:pPr>
        <w:ind w:left="454" w:hanging="454"/>
        <w:rPr>
          <w:lang w:val="en-US"/>
        </w:rPr>
      </w:pPr>
      <w:r w:rsidRPr="00086A98">
        <w:rPr>
          <w:lang w:val="en-US"/>
        </w:rPr>
        <w:t xml:space="preserve">Chan, Chiu-Shui (2000), „Can </w:t>
      </w:r>
      <w:r w:rsidR="00320379" w:rsidRPr="00086A98">
        <w:rPr>
          <w:lang w:val="en-US"/>
        </w:rPr>
        <w:t>S</w:t>
      </w:r>
      <w:r w:rsidRPr="00086A98">
        <w:rPr>
          <w:lang w:val="en-US"/>
        </w:rPr>
        <w:t xml:space="preserve">tyle </w:t>
      </w:r>
      <w:r w:rsidR="00320379" w:rsidRPr="00086A98">
        <w:rPr>
          <w:lang w:val="en-US"/>
        </w:rPr>
        <w:t>B</w:t>
      </w:r>
      <w:r w:rsidRPr="00086A98">
        <w:rPr>
          <w:lang w:val="en-US"/>
        </w:rPr>
        <w:t xml:space="preserve">e </w:t>
      </w:r>
      <w:r w:rsidR="00320379" w:rsidRPr="00086A98">
        <w:rPr>
          <w:lang w:val="en-US"/>
        </w:rPr>
        <w:t>M</w:t>
      </w:r>
      <w:r w:rsidRPr="00086A98">
        <w:rPr>
          <w:lang w:val="en-US"/>
        </w:rPr>
        <w:t xml:space="preserve">easured?“ </w:t>
      </w:r>
      <w:r w:rsidRPr="007760A8">
        <w:rPr>
          <w:i/>
          <w:lang w:val="en-US"/>
        </w:rPr>
        <w:t xml:space="preserve">Design </w:t>
      </w:r>
      <w:r w:rsidR="00A1427A">
        <w:rPr>
          <w:i/>
          <w:lang w:val="en-US"/>
        </w:rPr>
        <w:t>S</w:t>
      </w:r>
      <w:r w:rsidRPr="007760A8">
        <w:rPr>
          <w:i/>
          <w:lang w:val="en-US"/>
        </w:rPr>
        <w:t>tudies</w:t>
      </w:r>
      <w:r>
        <w:rPr>
          <w:lang w:val="en-US"/>
        </w:rPr>
        <w:t xml:space="preserve"> 21: 277-291.</w:t>
      </w:r>
    </w:p>
    <w:p w:rsidR="00EF35F1" w:rsidRPr="0059632E" w:rsidRDefault="00EF35F1" w:rsidP="009F0669">
      <w:pPr>
        <w:pStyle w:val="Text"/>
        <w:ind w:left="454" w:hanging="454"/>
        <w:rPr>
          <w:lang w:val="en-US"/>
        </w:rPr>
      </w:pPr>
      <w:r w:rsidRPr="00B416E3">
        <w:rPr>
          <w:lang w:val="en-US"/>
        </w:rPr>
        <w:t xml:space="preserve">Chatman, Seymour (1971), „The Semantics of Style“. </w:t>
      </w:r>
      <w:r w:rsidRPr="0059632E">
        <w:rPr>
          <w:lang w:val="en-US"/>
        </w:rPr>
        <w:t xml:space="preserve">In: Julia Kristeva u.a. (Hg.), </w:t>
      </w:r>
      <w:r w:rsidRPr="0059632E">
        <w:rPr>
          <w:i/>
          <w:lang w:val="en-US"/>
        </w:rPr>
        <w:t>Essays in Semiotics</w:t>
      </w:r>
      <w:r w:rsidR="00EC4FC9" w:rsidRPr="0059632E">
        <w:rPr>
          <w:lang w:val="en-US"/>
        </w:rPr>
        <w:t>.</w:t>
      </w:r>
      <w:r w:rsidRPr="0059632E">
        <w:rPr>
          <w:lang w:val="en-US"/>
        </w:rPr>
        <w:t xml:space="preserve"> </w:t>
      </w:r>
      <w:r w:rsidR="002B08F7">
        <w:rPr>
          <w:lang w:val="en-US"/>
        </w:rPr>
        <w:t>Den Haag u.a.: Mouton</w:t>
      </w:r>
      <w:r w:rsidR="00E84DB1" w:rsidRPr="0059632E">
        <w:rPr>
          <w:lang w:val="en-US"/>
        </w:rPr>
        <w:t>.</w:t>
      </w:r>
      <w:r w:rsidRPr="0059632E">
        <w:rPr>
          <w:lang w:val="en-US"/>
        </w:rPr>
        <w:t xml:space="preserve"> 399-422.</w:t>
      </w:r>
    </w:p>
    <w:p w:rsidR="0092005D" w:rsidRPr="00BD0C23" w:rsidRDefault="0092005D" w:rsidP="009F0669">
      <w:pPr>
        <w:pStyle w:val="Text"/>
        <w:ind w:left="454" w:hanging="454"/>
        <w:rPr>
          <w:lang w:val="en-US"/>
        </w:rPr>
      </w:pPr>
      <w:r w:rsidRPr="0059632E">
        <w:rPr>
          <w:lang w:val="en-US"/>
        </w:rPr>
        <w:t>Chloupek, Jan und Ji</w:t>
      </w:r>
      <w:r w:rsidRPr="00A7533E">
        <w:rPr>
          <w:rFonts w:ascii="Times New Roman" w:hAnsi="Times New Roman" w:cs="Times New Roman"/>
          <w:lang w:val="en-US"/>
        </w:rPr>
        <w:t>ř</w:t>
      </w:r>
      <w:r w:rsidRPr="0059632E">
        <w:rPr>
          <w:lang w:val="en-US"/>
        </w:rPr>
        <w:t xml:space="preserve">í Nekvapil (Hg.) </w:t>
      </w:r>
      <w:r>
        <w:rPr>
          <w:lang w:val="en-US"/>
        </w:rPr>
        <w:t xml:space="preserve">(1993), </w:t>
      </w:r>
      <w:r w:rsidRPr="0092005D">
        <w:rPr>
          <w:i/>
          <w:lang w:val="en-US"/>
        </w:rPr>
        <w:t>Studies in Functional Stylistics.</w:t>
      </w:r>
      <w:r>
        <w:rPr>
          <w:lang w:val="en-US"/>
        </w:rPr>
        <w:t xml:space="preserve"> </w:t>
      </w:r>
      <w:r w:rsidRPr="00BD0C23">
        <w:rPr>
          <w:lang w:val="en-US"/>
        </w:rPr>
        <w:t>Amsterdam: Benjamins.</w:t>
      </w:r>
    </w:p>
    <w:p w:rsidR="00E30FD5" w:rsidRDefault="00E30FD5" w:rsidP="009F0669">
      <w:pPr>
        <w:pStyle w:val="Text"/>
        <w:ind w:left="454" w:hanging="454"/>
        <w:rPr>
          <w:lang w:val="en-US"/>
        </w:rPr>
      </w:pPr>
      <w:r w:rsidRPr="00BD0C23">
        <w:rPr>
          <w:lang w:val="en-US"/>
        </w:rPr>
        <w:t xml:space="preserve">Chomsky, Noam (1957), </w:t>
      </w:r>
      <w:r w:rsidRPr="00BD0C23">
        <w:rPr>
          <w:i/>
          <w:lang w:val="en-US"/>
        </w:rPr>
        <w:t>Syntactic Structures.</w:t>
      </w:r>
      <w:r w:rsidRPr="00BD0C23">
        <w:rPr>
          <w:lang w:val="en-US"/>
        </w:rPr>
        <w:t xml:space="preserve"> </w:t>
      </w:r>
      <w:r w:rsidR="002B08F7" w:rsidRPr="009D549F">
        <w:rPr>
          <w:lang w:val="en-US"/>
        </w:rPr>
        <w:t>Den Haag u.a.: Mouton</w:t>
      </w:r>
      <w:r w:rsidRPr="009D549F">
        <w:rPr>
          <w:lang w:val="en-US"/>
        </w:rPr>
        <w:t>.</w:t>
      </w:r>
    </w:p>
    <w:p w:rsidR="00C24D37" w:rsidRDefault="00C24D37" w:rsidP="009F0669">
      <w:pPr>
        <w:pStyle w:val="Text"/>
        <w:ind w:left="454" w:hanging="454"/>
      </w:pPr>
      <w:r w:rsidRPr="00C936D8">
        <w:t xml:space="preserve">Coseriu, Eugenio </w:t>
      </w:r>
      <w:r>
        <w:t xml:space="preserve">(1973), </w:t>
      </w:r>
      <w:r>
        <w:rPr>
          <w:i/>
          <w:iCs/>
        </w:rPr>
        <w:t>Probleme der strukturellen Semantik</w:t>
      </w:r>
      <w:r>
        <w:t xml:space="preserve">. </w:t>
      </w:r>
      <w:r w:rsidRPr="00C24D37">
        <w:rPr>
          <w:i/>
        </w:rPr>
        <w:t>Vorlesung gehalten im Wintersemester 1965/66 an der Universität Tübingen.</w:t>
      </w:r>
      <w:r>
        <w:t xml:space="preserve"> Tübingen: Unive</w:t>
      </w:r>
      <w:r>
        <w:t>r</w:t>
      </w:r>
      <w:r>
        <w:t>sitätsverlag.</w:t>
      </w:r>
    </w:p>
    <w:p w:rsidR="000602FC" w:rsidRPr="000602FC" w:rsidRDefault="000602FC" w:rsidP="009F0669">
      <w:pPr>
        <w:pStyle w:val="Text"/>
        <w:ind w:left="454" w:hanging="454"/>
      </w:pPr>
      <w:r w:rsidRPr="00C936D8">
        <w:t xml:space="preserve">Coseriu, Eugenio (1992), </w:t>
      </w:r>
      <w:r w:rsidRPr="00C936D8">
        <w:rPr>
          <w:i/>
        </w:rPr>
        <w:t>Einführung in die Allgemeine Sprachwi</w:t>
      </w:r>
      <w:r w:rsidRPr="000602FC">
        <w:rPr>
          <w:i/>
        </w:rPr>
        <w:t>ssenschaft.</w:t>
      </w:r>
      <w:r>
        <w:t xml:space="preserve"> 2. Aufl. Tübingen: Francke (UTB).</w:t>
      </w:r>
    </w:p>
    <w:p w:rsidR="000602FC" w:rsidRDefault="000602FC" w:rsidP="009F0669">
      <w:pPr>
        <w:pStyle w:val="Text"/>
        <w:ind w:left="454" w:hanging="454"/>
      </w:pPr>
      <w:r>
        <w:t xml:space="preserve">Coseriu, Eugenio (1994), </w:t>
      </w:r>
      <w:r>
        <w:rPr>
          <w:i/>
          <w:iCs/>
        </w:rPr>
        <w:t xml:space="preserve">Textlinguistik. Eine Einführung. </w:t>
      </w:r>
      <w:r>
        <w:t xml:space="preserve">3., überarb. und erw. </w:t>
      </w:r>
      <w:r w:rsidRPr="00573AC4">
        <w:t>Aufl. Tübingen u.a.: Francke (UTB).</w:t>
      </w:r>
    </w:p>
    <w:p w:rsidR="0052540C" w:rsidRPr="001231D3" w:rsidRDefault="0052540C" w:rsidP="009F0669">
      <w:pPr>
        <w:pStyle w:val="Text"/>
        <w:ind w:left="454" w:hanging="454"/>
      </w:pPr>
      <w:r w:rsidRPr="001231D3">
        <w:t xml:space="preserve">Coseriu, Eugenio und Horst Geckeler (1981), </w:t>
      </w:r>
      <w:r w:rsidRPr="001231D3">
        <w:rPr>
          <w:i/>
          <w:iCs/>
        </w:rPr>
        <w:t xml:space="preserve">Trends in Structural Semantics. </w:t>
      </w:r>
      <w:r w:rsidRPr="001231D3">
        <w:t>Tübingen: Narr.</w:t>
      </w:r>
    </w:p>
    <w:p w:rsidR="00F61831" w:rsidRDefault="00F61831" w:rsidP="009F0669">
      <w:pPr>
        <w:pStyle w:val="Text"/>
        <w:ind w:left="454" w:hanging="454"/>
        <w:rPr>
          <w:lang w:val="en-US"/>
        </w:rPr>
      </w:pPr>
      <w:r w:rsidRPr="001231D3">
        <w:t xml:space="preserve">Cressot, Marcel (1947), </w:t>
      </w:r>
      <w:r w:rsidRPr="001231D3">
        <w:rPr>
          <w:i/>
        </w:rPr>
        <w:t xml:space="preserve">Le style et ses techniques. </w:t>
      </w:r>
      <w:r w:rsidRPr="00F61831">
        <w:rPr>
          <w:i/>
          <w:lang w:val="en-US"/>
        </w:rPr>
        <w:t>Précis d‘analyse stylistique.</w:t>
      </w:r>
      <w:r w:rsidRPr="00F61831">
        <w:rPr>
          <w:lang w:val="en-US"/>
        </w:rPr>
        <w:t xml:space="preserve"> </w:t>
      </w:r>
      <w:r>
        <w:rPr>
          <w:lang w:val="en-US"/>
        </w:rPr>
        <w:t xml:space="preserve">Paris: </w:t>
      </w:r>
      <w:r w:rsidRPr="005C5E1A">
        <w:rPr>
          <w:lang w:val="en-US"/>
        </w:rPr>
        <w:t>Presses Universitaires de France.</w:t>
      </w:r>
    </w:p>
    <w:p w:rsidR="009A3745" w:rsidRPr="009A3745" w:rsidRDefault="009A3745" w:rsidP="009F0669">
      <w:pPr>
        <w:pStyle w:val="Text"/>
        <w:ind w:left="454" w:hanging="454"/>
        <w:rPr>
          <w:lang w:val="en-US"/>
        </w:rPr>
      </w:pPr>
      <w:r w:rsidRPr="005C5E1A">
        <w:rPr>
          <w:lang w:val="en-US"/>
        </w:rPr>
        <w:t xml:space="preserve">Croce, Benedetto (1902), </w:t>
      </w:r>
      <w:r w:rsidRPr="005C5E1A">
        <w:rPr>
          <w:i/>
          <w:iCs/>
          <w:lang w:val="en-US"/>
        </w:rPr>
        <w:t>L'Estetica come scienza dell'espressione e linguistica generale.</w:t>
      </w:r>
      <w:r w:rsidR="00153CD1" w:rsidRPr="005C5E1A">
        <w:rPr>
          <w:i/>
          <w:iCs/>
          <w:lang w:val="en-US"/>
        </w:rPr>
        <w:t xml:space="preserve"> </w:t>
      </w:r>
      <w:r w:rsidR="00153CD1">
        <w:rPr>
          <w:lang w:val="en-US"/>
        </w:rPr>
        <w:t>Bd. 1:</w:t>
      </w:r>
      <w:r w:rsidR="00153CD1" w:rsidRPr="00153CD1">
        <w:rPr>
          <w:lang w:val="en-US"/>
        </w:rPr>
        <w:t xml:space="preserve"> </w:t>
      </w:r>
      <w:r w:rsidR="00153CD1" w:rsidRPr="00153CD1">
        <w:rPr>
          <w:i/>
          <w:lang w:val="en-US"/>
        </w:rPr>
        <w:t>Teoria.</w:t>
      </w:r>
      <w:r w:rsidR="00153CD1" w:rsidRPr="00153CD1">
        <w:rPr>
          <w:lang w:val="en-US"/>
        </w:rPr>
        <w:t xml:space="preserve"> </w:t>
      </w:r>
      <w:r w:rsidR="00153CD1">
        <w:rPr>
          <w:lang w:val="en-US"/>
        </w:rPr>
        <w:t>Bd. </w:t>
      </w:r>
      <w:r w:rsidR="00153CD1" w:rsidRPr="00153CD1">
        <w:rPr>
          <w:lang w:val="en-US"/>
        </w:rPr>
        <w:t>2</w:t>
      </w:r>
      <w:r w:rsidR="00153CD1">
        <w:rPr>
          <w:lang w:val="en-US"/>
        </w:rPr>
        <w:t>:</w:t>
      </w:r>
      <w:r w:rsidR="00153CD1" w:rsidRPr="00153CD1">
        <w:rPr>
          <w:lang w:val="en-US"/>
        </w:rPr>
        <w:t xml:space="preserve"> </w:t>
      </w:r>
      <w:r w:rsidR="00153CD1" w:rsidRPr="00153CD1">
        <w:rPr>
          <w:i/>
          <w:lang w:val="en-US"/>
        </w:rPr>
        <w:t>Storia.</w:t>
      </w:r>
      <w:r w:rsidR="00153CD1">
        <w:rPr>
          <w:lang w:val="en-US"/>
        </w:rPr>
        <w:t xml:space="preserve"> </w:t>
      </w:r>
      <w:r w:rsidR="00153CD1" w:rsidRPr="00153CD1">
        <w:rPr>
          <w:lang w:val="en-US"/>
        </w:rPr>
        <w:t>Milano: Sandron.</w:t>
      </w:r>
    </w:p>
    <w:p w:rsidR="009A3745" w:rsidRPr="00153CD1" w:rsidRDefault="009A3745" w:rsidP="00A94364">
      <w:pPr>
        <w:pStyle w:val="Text"/>
        <w:ind w:left="454" w:hanging="454"/>
        <w:rPr>
          <w:lang w:val="en-US"/>
        </w:rPr>
      </w:pPr>
      <w:r>
        <w:rPr>
          <w:lang w:val="en-US"/>
        </w:rPr>
        <w:t>Croce, Benedetto (193</w:t>
      </w:r>
      <w:r w:rsidR="00153CD1">
        <w:rPr>
          <w:lang w:val="en-US"/>
        </w:rPr>
        <w:t>7</w:t>
      </w:r>
      <w:r>
        <w:rPr>
          <w:lang w:val="en-US"/>
        </w:rPr>
        <w:t xml:space="preserve">), </w:t>
      </w:r>
      <w:r w:rsidRPr="009A3745">
        <w:rPr>
          <w:i/>
          <w:iCs/>
          <w:lang w:val="en-US"/>
        </w:rPr>
        <w:t>La poesia</w:t>
      </w:r>
      <w:r>
        <w:rPr>
          <w:i/>
          <w:iCs/>
          <w:lang w:val="en-US"/>
        </w:rPr>
        <w:t>.</w:t>
      </w:r>
      <w:r w:rsidR="00153CD1" w:rsidRPr="00153CD1">
        <w:rPr>
          <w:i/>
          <w:lang w:val="en-US"/>
        </w:rPr>
        <w:t xml:space="preserve"> Introduzione alla critica e storia della poesia e della letteratura</w:t>
      </w:r>
      <w:r w:rsidR="00153CD1">
        <w:rPr>
          <w:i/>
          <w:lang w:val="en-US"/>
        </w:rPr>
        <w:t>.</w:t>
      </w:r>
      <w:r w:rsidR="00153CD1">
        <w:rPr>
          <w:lang w:val="en-US"/>
        </w:rPr>
        <w:t xml:space="preserve"> Bari: Laterza.</w:t>
      </w:r>
    </w:p>
    <w:p w:rsidR="00A94364" w:rsidRDefault="00A13CA7" w:rsidP="00A94364">
      <w:pPr>
        <w:pStyle w:val="Text"/>
        <w:ind w:left="454" w:hanging="454"/>
        <w:rPr>
          <w:rStyle w:val="Hervorhebung"/>
          <w:i w:val="0"/>
          <w:lang w:val="en-US"/>
        </w:rPr>
      </w:pPr>
      <w:r w:rsidRPr="00190B89">
        <w:rPr>
          <w:lang w:val="en-US"/>
        </w:rPr>
        <w:t xml:space="preserve">Delaisement, Gérard (1968), </w:t>
      </w:r>
      <w:r w:rsidRPr="00190B89">
        <w:rPr>
          <w:i/>
          <w:lang w:val="en-US"/>
        </w:rPr>
        <w:t>Les techniques de</w:t>
      </w:r>
      <w:r w:rsidR="00C95A89" w:rsidRPr="00190B89">
        <w:rPr>
          <w:i/>
          <w:lang w:val="en-US"/>
        </w:rPr>
        <w:t xml:space="preserve"> l</w:t>
      </w:r>
      <w:r w:rsidRPr="00190B89">
        <w:rPr>
          <w:rStyle w:val="Hervorhebung"/>
          <w:lang w:val="en-US"/>
        </w:rPr>
        <w:t>’explication de textes.</w:t>
      </w:r>
      <w:r w:rsidRPr="00190B89">
        <w:rPr>
          <w:rStyle w:val="Hervorhebung"/>
          <w:i w:val="0"/>
          <w:lang w:val="en-US"/>
        </w:rPr>
        <w:t xml:space="preserve"> </w:t>
      </w:r>
      <w:r w:rsidRPr="005C5E1A">
        <w:rPr>
          <w:rStyle w:val="Hervorhebung"/>
          <w:i w:val="0"/>
          <w:lang w:val="en-US"/>
        </w:rPr>
        <w:t>Paris: Did</w:t>
      </w:r>
      <w:r w:rsidRPr="005C5E1A">
        <w:rPr>
          <w:rStyle w:val="Hervorhebung"/>
          <w:i w:val="0"/>
          <w:lang w:val="en-US"/>
        </w:rPr>
        <w:t>i</w:t>
      </w:r>
      <w:r w:rsidRPr="005C5E1A">
        <w:rPr>
          <w:rStyle w:val="Hervorhebung"/>
          <w:i w:val="0"/>
          <w:lang w:val="en-US"/>
        </w:rPr>
        <w:t>er.</w:t>
      </w:r>
    </w:p>
    <w:p w:rsidR="00886EDF" w:rsidRPr="006340B1" w:rsidRDefault="00886EDF" w:rsidP="00A94364">
      <w:pPr>
        <w:pStyle w:val="Text"/>
        <w:ind w:left="454" w:hanging="454"/>
        <w:rPr>
          <w:rStyle w:val="Hervorhebung"/>
          <w:i w:val="0"/>
          <w:lang w:val="en-US"/>
        </w:rPr>
      </w:pPr>
      <w:r w:rsidRPr="00190B89">
        <w:rPr>
          <w:lang w:val="en-US"/>
        </w:rPr>
        <w:t>D</w:t>
      </w:r>
      <w:r>
        <w:rPr>
          <w:lang w:val="en-US"/>
        </w:rPr>
        <w:t xml:space="preserve">errida, Jacques (1967), </w:t>
      </w:r>
      <w:r w:rsidRPr="00886EDF">
        <w:rPr>
          <w:i/>
          <w:iCs/>
          <w:lang w:val="en-US"/>
        </w:rPr>
        <w:t xml:space="preserve">L'écriture et la </w:t>
      </w:r>
      <w:r>
        <w:rPr>
          <w:i/>
          <w:iCs/>
          <w:lang w:val="en-US"/>
        </w:rPr>
        <w:t>différence</w:t>
      </w:r>
      <w:r>
        <w:rPr>
          <w:lang w:val="en-US"/>
        </w:rPr>
        <w:t>.</w:t>
      </w:r>
      <w:r w:rsidRPr="00886EDF">
        <w:rPr>
          <w:lang w:val="en-US"/>
        </w:rPr>
        <w:t xml:space="preserve"> </w:t>
      </w:r>
      <w:r w:rsidRPr="002D53E0">
        <w:rPr>
          <w:lang w:val="en-US"/>
        </w:rPr>
        <w:t xml:space="preserve">Paris: Seuil. </w:t>
      </w:r>
      <w:r w:rsidR="00DF3A34" w:rsidRPr="00DF3A34">
        <w:t>Deutsch von R</w:t>
      </w:r>
      <w:r w:rsidR="00DF3A34" w:rsidRPr="00DF3A34">
        <w:t>o</w:t>
      </w:r>
      <w:r w:rsidR="00DF3A34" w:rsidRPr="00DF3A34">
        <w:t>dolphe Gasché</w:t>
      </w:r>
      <w:r w:rsidR="00DF3A34">
        <w:t xml:space="preserve"> und </w:t>
      </w:r>
      <w:r w:rsidR="00DF3A34" w:rsidRPr="00DF3A34">
        <w:t xml:space="preserve">Ulrich Köppen: </w:t>
      </w:r>
      <w:r w:rsidR="00DF3A34" w:rsidRPr="00DF3A34">
        <w:rPr>
          <w:i/>
        </w:rPr>
        <w:t>Die Schrift und die Differenz.</w:t>
      </w:r>
      <w:r w:rsidR="00DF3A34" w:rsidRPr="00DF3A34">
        <w:t xml:space="preserve"> </w:t>
      </w:r>
      <w:r w:rsidR="00DF3A34" w:rsidRPr="006340B1">
        <w:rPr>
          <w:lang w:val="en-US"/>
        </w:rPr>
        <w:t>Frankfurt a.M.: Suhrkamp 1972.</w:t>
      </w:r>
    </w:p>
    <w:p w:rsidR="00BA6CDC" w:rsidRPr="006340B1" w:rsidRDefault="00BA6CDC" w:rsidP="00A94364">
      <w:pPr>
        <w:pStyle w:val="Text"/>
        <w:ind w:left="454" w:hanging="454"/>
        <w:rPr>
          <w:rStyle w:val="Hervorhebung"/>
          <w:i w:val="0"/>
          <w:lang w:val="en-US"/>
        </w:rPr>
      </w:pPr>
      <w:r w:rsidRPr="006340B1">
        <w:rPr>
          <w:rStyle w:val="Hervorhebung"/>
          <w:i w:val="0"/>
          <w:lang w:val="en-US"/>
        </w:rPr>
        <w:t xml:space="preserve">Devoto, </w:t>
      </w:r>
      <w:r w:rsidR="00AA5B7F" w:rsidRPr="006340B1">
        <w:rPr>
          <w:rStyle w:val="Hervorhebung"/>
          <w:i w:val="0"/>
          <w:lang w:val="en-US"/>
        </w:rPr>
        <w:t xml:space="preserve">Giacomo (1950), </w:t>
      </w:r>
      <w:r w:rsidR="00AA5B7F" w:rsidRPr="006340B1">
        <w:rPr>
          <w:rStyle w:val="Hervorhebung"/>
          <w:lang w:val="en-US"/>
        </w:rPr>
        <w:t>Studi di stilistica.</w:t>
      </w:r>
      <w:r w:rsidR="00AA5B7F" w:rsidRPr="006340B1">
        <w:rPr>
          <w:rStyle w:val="Hervorhebung"/>
          <w:i w:val="0"/>
          <w:lang w:val="en-US"/>
        </w:rPr>
        <w:t xml:space="preserve"> Florenz: </w:t>
      </w:r>
      <w:r w:rsidR="00AA5B7F" w:rsidRPr="006340B1">
        <w:rPr>
          <w:lang w:val="en-US"/>
        </w:rPr>
        <w:t>Le Monnier</w:t>
      </w:r>
      <w:r w:rsidR="00AA5B7F" w:rsidRPr="006340B1">
        <w:rPr>
          <w:rStyle w:val="Hervorhebung"/>
          <w:i w:val="0"/>
          <w:lang w:val="en-US"/>
        </w:rPr>
        <w:t>.</w:t>
      </w:r>
    </w:p>
    <w:p w:rsidR="00AA5B7F" w:rsidRPr="00AA5B7F" w:rsidRDefault="00AA5B7F" w:rsidP="00AA5B7F">
      <w:pPr>
        <w:pStyle w:val="Text"/>
        <w:ind w:left="454" w:hanging="454"/>
        <w:rPr>
          <w:rStyle w:val="Hervorhebung"/>
          <w:i w:val="0"/>
        </w:rPr>
      </w:pPr>
      <w:r w:rsidRPr="006340B1">
        <w:rPr>
          <w:rStyle w:val="Hervorhebung"/>
          <w:i w:val="0"/>
          <w:lang w:val="en-US"/>
        </w:rPr>
        <w:t xml:space="preserve">Devoto, Giacomo (1962), </w:t>
      </w:r>
      <w:r w:rsidRPr="006340B1">
        <w:rPr>
          <w:rStyle w:val="Hervorhebung"/>
          <w:lang w:val="en-US"/>
        </w:rPr>
        <w:t>Nuovi studi di stilisti</w:t>
      </w:r>
      <w:r w:rsidRPr="00AA5B7F">
        <w:rPr>
          <w:rStyle w:val="Hervorhebung"/>
          <w:lang w:val="en-US"/>
        </w:rPr>
        <w:t>ca.</w:t>
      </w:r>
      <w:r w:rsidRPr="00AA5B7F">
        <w:rPr>
          <w:rStyle w:val="Hervorhebung"/>
          <w:i w:val="0"/>
          <w:lang w:val="en-US"/>
        </w:rPr>
        <w:t xml:space="preserve"> </w:t>
      </w:r>
      <w:r>
        <w:rPr>
          <w:rStyle w:val="Hervorhebung"/>
          <w:i w:val="0"/>
        </w:rPr>
        <w:t>Florenz</w:t>
      </w:r>
      <w:r w:rsidRPr="00AA5B7F">
        <w:rPr>
          <w:rStyle w:val="Hervorhebung"/>
          <w:i w:val="0"/>
        </w:rPr>
        <w:t xml:space="preserve">: </w:t>
      </w:r>
      <w:r w:rsidR="007806A7">
        <w:t>Le Monnier</w:t>
      </w:r>
      <w:r w:rsidRPr="00AA5B7F">
        <w:rPr>
          <w:rStyle w:val="Hervorhebung"/>
          <w:i w:val="0"/>
        </w:rPr>
        <w:t>.</w:t>
      </w:r>
    </w:p>
    <w:p w:rsidR="007A2AE8" w:rsidRPr="00BC548F" w:rsidRDefault="007A2AE8" w:rsidP="00A94364">
      <w:pPr>
        <w:pStyle w:val="Text"/>
        <w:ind w:left="454" w:hanging="454"/>
        <w:rPr>
          <w:rStyle w:val="Hervorhebung"/>
          <w:i w:val="0"/>
        </w:rPr>
      </w:pPr>
      <w:r>
        <w:rPr>
          <w:rStyle w:val="Hervorhebung"/>
          <w:i w:val="0"/>
        </w:rPr>
        <w:t xml:space="preserve">Dittgen, Andrea M. (1989), </w:t>
      </w:r>
      <w:r w:rsidRPr="007A2AE8">
        <w:rPr>
          <w:rStyle w:val="Hervorhebung"/>
        </w:rPr>
        <w:t>Regeln für Abweichungen</w:t>
      </w:r>
      <w:r w:rsidR="00337DEE">
        <w:rPr>
          <w:rStyle w:val="Hervorhebung"/>
        </w:rPr>
        <w:t xml:space="preserve">. </w:t>
      </w:r>
      <w:r w:rsidR="00337DEE">
        <w:rPr>
          <w:i/>
          <w:iCs/>
        </w:rPr>
        <w:t>Funktionale sprachspieler</w:t>
      </w:r>
      <w:r w:rsidR="00337DEE">
        <w:rPr>
          <w:i/>
          <w:iCs/>
        </w:rPr>
        <w:t>i</w:t>
      </w:r>
      <w:r w:rsidR="00337DEE">
        <w:rPr>
          <w:i/>
          <w:iCs/>
        </w:rPr>
        <w:t>sche Abweichungen in Zeitungsüberschriften, Werbeschlagzeilen, Werbesl</w:t>
      </w:r>
      <w:r w:rsidR="00337DEE">
        <w:rPr>
          <w:i/>
          <w:iCs/>
        </w:rPr>
        <w:t>o</w:t>
      </w:r>
      <w:r w:rsidR="00337DEE">
        <w:rPr>
          <w:i/>
          <w:iCs/>
        </w:rPr>
        <w:t>gans, Wandsprüchen und Titeln.</w:t>
      </w:r>
      <w:r w:rsidR="00337DEE">
        <w:rPr>
          <w:rStyle w:val="Hervorhebung"/>
          <w:i w:val="0"/>
        </w:rPr>
        <w:t xml:space="preserve"> Frankfurt a.M.: Lang</w:t>
      </w:r>
      <w:r>
        <w:rPr>
          <w:rStyle w:val="Hervorhebung"/>
          <w:i w:val="0"/>
        </w:rPr>
        <w:t>.</w:t>
      </w:r>
      <w:r w:rsidR="00337DEE" w:rsidRPr="00337DEE">
        <w:t xml:space="preserve"> </w:t>
      </w:r>
      <w:r w:rsidR="00337DEE">
        <w:t>Zugl.: Saarbrücken, Univ., Diss.</w:t>
      </w:r>
    </w:p>
    <w:p w:rsidR="00A13CA7" w:rsidRPr="00CD4157" w:rsidRDefault="00CD4157" w:rsidP="009F0669">
      <w:pPr>
        <w:pStyle w:val="Text"/>
        <w:ind w:left="454" w:hanging="454"/>
        <w:rPr>
          <w:rStyle w:val="Hervorhebung"/>
          <w:i w:val="0"/>
        </w:rPr>
      </w:pPr>
      <w:r w:rsidRPr="00BC548F">
        <w:rPr>
          <w:rStyle w:val="Hervorhebung"/>
          <w:i w:val="0"/>
        </w:rPr>
        <w:t>Dittmar, Norbert (2009a), „Stil und Soz</w:t>
      </w:r>
      <w:r>
        <w:rPr>
          <w:rStyle w:val="Hervorhebung"/>
          <w:i w:val="0"/>
        </w:rPr>
        <w:t xml:space="preserve">ialität (Gruppe, Geschlecht, Alter)“. In: </w:t>
      </w:r>
      <w:r w:rsidRPr="00E53621">
        <w:t>Fix u.a. 2008–2009</w:t>
      </w:r>
      <w:r w:rsidR="009D2CB4">
        <w:t>, Bd. 2:</w:t>
      </w:r>
      <w:r>
        <w:t xml:space="preserve"> 1245-1270.</w:t>
      </w:r>
    </w:p>
    <w:p w:rsidR="007C4886" w:rsidRPr="001929CA" w:rsidRDefault="007C4886" w:rsidP="009F0669">
      <w:pPr>
        <w:pStyle w:val="Text"/>
        <w:ind w:left="454" w:hanging="454"/>
        <w:rPr>
          <w:lang w:val="en-US"/>
        </w:rPr>
      </w:pPr>
      <w:r w:rsidRPr="007C4886">
        <w:rPr>
          <w:rStyle w:val="Hervorhebung"/>
          <w:i w:val="0"/>
        </w:rPr>
        <w:t>Dittmar, Norbert (2009</w:t>
      </w:r>
      <w:r w:rsidR="00CD4157">
        <w:rPr>
          <w:rStyle w:val="Hervorhebung"/>
          <w:i w:val="0"/>
        </w:rPr>
        <w:t>b</w:t>
      </w:r>
      <w:r w:rsidRPr="007C4886">
        <w:rPr>
          <w:rStyle w:val="Hervorhebung"/>
          <w:i w:val="0"/>
        </w:rPr>
        <w:t xml:space="preserve">), </w:t>
      </w:r>
      <w:r w:rsidRPr="007C4886">
        <w:t>„</w:t>
      </w:r>
      <w:r w:rsidRPr="007C4886">
        <w:rPr>
          <w:rStyle w:val="Hervorhebung"/>
          <w:i w:val="0"/>
        </w:rPr>
        <w:t>Varietäten und Stil</w:t>
      </w:r>
      <w:r w:rsidRPr="007C4886">
        <w:t>“</w:t>
      </w:r>
      <w:r w:rsidRPr="007C4886">
        <w:rPr>
          <w:rStyle w:val="Hervorhebung"/>
          <w:i w:val="0"/>
        </w:rPr>
        <w:t>.</w:t>
      </w:r>
      <w:r>
        <w:rPr>
          <w:rStyle w:val="Hervorhebung"/>
          <w:i w:val="0"/>
        </w:rPr>
        <w:t xml:space="preserve"> </w:t>
      </w:r>
      <w:r w:rsidRPr="001929CA">
        <w:rPr>
          <w:rStyle w:val="Hervorhebung"/>
          <w:i w:val="0"/>
          <w:lang w:val="en-US"/>
        </w:rPr>
        <w:t xml:space="preserve">In: </w:t>
      </w:r>
      <w:r w:rsidRPr="001929CA">
        <w:rPr>
          <w:lang w:val="en-US"/>
        </w:rPr>
        <w:t>Fix u.a. 2008–2009</w:t>
      </w:r>
      <w:r w:rsidR="009D2CB4">
        <w:rPr>
          <w:lang w:val="en-US"/>
        </w:rPr>
        <w:t>, Bd. 2:</w:t>
      </w:r>
      <w:r w:rsidRPr="001929CA">
        <w:rPr>
          <w:rStyle w:val="Hervorhebung"/>
          <w:i w:val="0"/>
          <w:lang w:val="en-US"/>
        </w:rPr>
        <w:t xml:space="preserve"> 1669-1690.</w:t>
      </w:r>
    </w:p>
    <w:p w:rsidR="00D2554C" w:rsidRDefault="00D2554C" w:rsidP="009F0669">
      <w:pPr>
        <w:pStyle w:val="Text"/>
        <w:ind w:left="454" w:hanging="454"/>
        <w:rPr>
          <w:lang w:val="en-GB"/>
        </w:rPr>
      </w:pPr>
      <w:r>
        <w:rPr>
          <w:lang w:val="en-GB"/>
        </w:rPr>
        <w:t>Dole</w:t>
      </w:r>
      <w:r>
        <w:rPr>
          <w:rFonts w:cs="Times New Roman"/>
          <w:lang w:val="en-GB"/>
        </w:rPr>
        <w:t>ž</w:t>
      </w:r>
      <w:r>
        <w:rPr>
          <w:lang w:val="en-GB"/>
        </w:rPr>
        <w:t>el, Lubomir (1967), „The Prague School and the Statistical Theory of P</w:t>
      </w:r>
      <w:r>
        <w:rPr>
          <w:lang w:val="en-GB"/>
        </w:rPr>
        <w:t>o</w:t>
      </w:r>
      <w:r>
        <w:rPr>
          <w:lang w:val="en-GB"/>
        </w:rPr>
        <w:t xml:space="preserve">etic Language“. </w:t>
      </w:r>
      <w:r>
        <w:rPr>
          <w:i/>
          <w:iCs/>
          <w:lang w:val="en-GB"/>
        </w:rPr>
        <w:t>Prague Studies in Mathematical Linguistics</w:t>
      </w:r>
      <w:r w:rsidRPr="00997C29">
        <w:rPr>
          <w:iCs/>
          <w:lang w:val="en-GB"/>
        </w:rPr>
        <w:t xml:space="preserve"> 2: </w:t>
      </w:r>
      <w:r>
        <w:rPr>
          <w:lang w:val="en-GB"/>
        </w:rPr>
        <w:t>97</w:t>
      </w:r>
      <w:r w:rsidR="00C94563">
        <w:rPr>
          <w:lang w:val="en-GB"/>
        </w:rPr>
        <w:t>-</w:t>
      </w:r>
      <w:r>
        <w:rPr>
          <w:lang w:val="en-GB"/>
        </w:rPr>
        <w:t>104.</w:t>
      </w:r>
    </w:p>
    <w:p w:rsidR="00D2554C" w:rsidRPr="00C936D8" w:rsidRDefault="00D2554C" w:rsidP="009F0669">
      <w:pPr>
        <w:pStyle w:val="Text"/>
        <w:ind w:left="454" w:hanging="454"/>
        <w:rPr>
          <w:lang w:val="en-US"/>
        </w:rPr>
      </w:pPr>
      <w:r>
        <w:rPr>
          <w:lang w:val="en-GB"/>
        </w:rPr>
        <w:t>Dole</w:t>
      </w:r>
      <w:r>
        <w:rPr>
          <w:rFonts w:cs="Times New Roman"/>
          <w:lang w:val="en-GB"/>
        </w:rPr>
        <w:t>ž</w:t>
      </w:r>
      <w:r>
        <w:rPr>
          <w:lang w:val="en-GB"/>
        </w:rPr>
        <w:t>el, Lubomir and Richard W. Bailey (</w:t>
      </w:r>
      <w:r w:rsidR="00EE3F15">
        <w:rPr>
          <w:lang w:val="en-GB"/>
        </w:rPr>
        <w:t>Hg.</w:t>
      </w:r>
      <w:r>
        <w:rPr>
          <w:lang w:val="en-GB"/>
        </w:rPr>
        <w:t xml:space="preserve">) (1969), </w:t>
      </w:r>
      <w:r>
        <w:rPr>
          <w:i/>
          <w:iCs/>
          <w:lang w:val="en-GB"/>
        </w:rPr>
        <w:t xml:space="preserve">Statistics and Style. </w:t>
      </w:r>
      <w:r w:rsidRPr="00C936D8">
        <w:rPr>
          <w:lang w:val="en-US"/>
        </w:rPr>
        <w:t>New York: Elsevier.</w:t>
      </w:r>
    </w:p>
    <w:p w:rsidR="006E61E3" w:rsidRPr="006E61E3" w:rsidRDefault="006E61E3" w:rsidP="009F0669">
      <w:pPr>
        <w:pStyle w:val="Text"/>
        <w:ind w:left="454" w:hanging="454"/>
        <w:rPr>
          <w:lang w:val="en-US"/>
        </w:rPr>
      </w:pPr>
      <w:r w:rsidRPr="006E61E3">
        <w:rPr>
          <w:lang w:val="en-US"/>
        </w:rPr>
        <w:lastRenderedPageBreak/>
        <w:t>Dole</w:t>
      </w:r>
      <w:r w:rsidRPr="006E61E3">
        <w:rPr>
          <w:rFonts w:cs="Times New Roman"/>
          <w:lang w:val="en-US"/>
        </w:rPr>
        <w:t>ž</w:t>
      </w:r>
      <w:r w:rsidRPr="006E61E3">
        <w:rPr>
          <w:lang w:val="en-US"/>
        </w:rPr>
        <w:t xml:space="preserve">el, Lubomir und </w:t>
      </w:r>
      <w:r w:rsidR="0092005D">
        <w:rPr>
          <w:lang w:val="en-US"/>
        </w:rPr>
        <w:t>Ji</w:t>
      </w:r>
      <w:r w:rsidR="0092005D" w:rsidRPr="00ED021C">
        <w:rPr>
          <w:rFonts w:ascii="Times New Roman" w:hAnsi="Times New Roman" w:cs="Times New Roman"/>
          <w:lang w:val="en-US"/>
        </w:rPr>
        <w:t>ř</w:t>
      </w:r>
      <w:r w:rsidR="0092005D">
        <w:rPr>
          <w:lang w:val="en-US"/>
        </w:rPr>
        <w:t>í</w:t>
      </w:r>
      <w:r w:rsidR="0092005D" w:rsidRPr="004A3135">
        <w:rPr>
          <w:lang w:val="en-US"/>
        </w:rPr>
        <w:t xml:space="preserve"> </w:t>
      </w:r>
      <w:r w:rsidRPr="006E61E3">
        <w:rPr>
          <w:lang w:val="en-US"/>
        </w:rPr>
        <w:t xml:space="preserve">Kraus (1972), „Prague School Stylistics“. </w:t>
      </w:r>
      <w:r w:rsidRPr="006E61E3">
        <w:t xml:space="preserve">In: Braj B. Kachru und Herbert F. Stahlke (Hg), </w:t>
      </w:r>
      <w:r w:rsidRPr="006E61E3">
        <w:rPr>
          <w:i/>
        </w:rPr>
        <w:t>Current Trends in Stylistics.</w:t>
      </w:r>
      <w:r w:rsidRPr="006E61E3">
        <w:t xml:space="preserve"> </w:t>
      </w:r>
      <w:r>
        <w:rPr>
          <w:lang w:val="en-US"/>
        </w:rPr>
        <w:t>Edmo</w:t>
      </w:r>
      <w:r>
        <w:rPr>
          <w:lang w:val="en-US"/>
        </w:rPr>
        <w:t>n</w:t>
      </w:r>
      <w:r>
        <w:rPr>
          <w:lang w:val="en-US"/>
        </w:rPr>
        <w:t>ton: Linguistic Research. 37-48.</w:t>
      </w:r>
    </w:p>
    <w:p w:rsidR="007F3813" w:rsidRPr="007F3813" w:rsidRDefault="007F3813" w:rsidP="009F0669">
      <w:pPr>
        <w:pStyle w:val="Text"/>
        <w:ind w:left="454" w:hanging="454"/>
      </w:pPr>
      <w:r w:rsidRPr="007F3813">
        <w:rPr>
          <w:lang w:val="en-US"/>
        </w:rPr>
        <w:t xml:space="preserve">Dubský, </w:t>
      </w:r>
      <w:r>
        <w:rPr>
          <w:lang w:val="en-US"/>
        </w:rPr>
        <w:t>Josef</w:t>
      </w:r>
      <w:r w:rsidRPr="007F3813">
        <w:rPr>
          <w:lang w:val="en-US"/>
        </w:rPr>
        <w:t xml:space="preserve"> (1972), </w:t>
      </w:r>
      <w:r>
        <w:rPr>
          <w:lang w:val="en-GB"/>
        </w:rPr>
        <w:t>„</w:t>
      </w:r>
      <w:r w:rsidRPr="007F3813">
        <w:rPr>
          <w:lang w:val="en-US"/>
        </w:rPr>
        <w:t>The Prague Conception of Functional Style“.</w:t>
      </w:r>
      <w:r>
        <w:rPr>
          <w:lang w:val="en-US"/>
        </w:rPr>
        <w:t xml:space="preserve"> In: Vilém Fried (Hg.), </w:t>
      </w:r>
      <w:r w:rsidRPr="007F3813">
        <w:rPr>
          <w:i/>
          <w:lang w:val="en-US"/>
        </w:rPr>
        <w:t>The Prague School of Linguistics and Language Teaching.</w:t>
      </w:r>
      <w:r>
        <w:rPr>
          <w:lang w:val="en-US"/>
        </w:rPr>
        <w:t xml:space="preserve"> </w:t>
      </w:r>
      <w:r>
        <w:t>O</w:t>
      </w:r>
      <w:r>
        <w:t>x</w:t>
      </w:r>
      <w:r>
        <w:t>ford</w:t>
      </w:r>
      <w:r w:rsidRPr="007F3813">
        <w:t>: Oxford University Press.</w:t>
      </w:r>
      <w:r>
        <w:t xml:space="preserve"> 112-127.</w:t>
      </w:r>
    </w:p>
    <w:p w:rsidR="00893753" w:rsidRPr="001C3A64" w:rsidRDefault="00893753" w:rsidP="009F0669">
      <w:pPr>
        <w:pStyle w:val="Text"/>
        <w:ind w:left="454" w:hanging="454"/>
      </w:pPr>
      <w:r w:rsidRPr="00893753">
        <w:t xml:space="preserve">Düchting, Hajo (2005), </w:t>
      </w:r>
      <w:r w:rsidRPr="00893753">
        <w:rPr>
          <w:i/>
        </w:rPr>
        <w:t>Wie erkenne ich? Die Kunst des Expressionismus.</w:t>
      </w:r>
      <w:r>
        <w:t xml:space="preserve"> </w:t>
      </w:r>
      <w:r w:rsidRPr="001C3A64">
        <w:t>Stut</w:t>
      </w:r>
      <w:r w:rsidRPr="001C3A64">
        <w:t>t</w:t>
      </w:r>
      <w:r w:rsidRPr="001C3A64">
        <w:t>gart: Belser.</w:t>
      </w:r>
    </w:p>
    <w:p w:rsidR="00066FDF" w:rsidRDefault="00066FDF" w:rsidP="009F0669">
      <w:pPr>
        <w:pStyle w:val="Text"/>
        <w:ind w:left="454" w:hanging="454"/>
      </w:pPr>
      <w:r w:rsidRPr="00066FDF">
        <w:t xml:space="preserve">Dürrenmatt, </w:t>
      </w:r>
      <w:r>
        <w:t xml:space="preserve">Friedrich (1981), </w:t>
      </w:r>
      <w:r>
        <w:rPr>
          <w:i/>
          <w:iCs/>
        </w:rPr>
        <w:t>Labyrinth. Stoffe I–III</w:t>
      </w:r>
      <w:r>
        <w:t>. Zürich: Diogenes.</w:t>
      </w:r>
    </w:p>
    <w:p w:rsidR="00066FDF" w:rsidRPr="00066FDF" w:rsidRDefault="00066FDF" w:rsidP="00066FDF">
      <w:pPr>
        <w:pStyle w:val="Text"/>
        <w:ind w:left="454" w:hanging="454"/>
      </w:pPr>
      <w:r w:rsidRPr="00066FDF">
        <w:t xml:space="preserve">Dürrenmatt, </w:t>
      </w:r>
      <w:r>
        <w:t xml:space="preserve">Friedrich (1990), </w:t>
      </w:r>
      <w:r>
        <w:rPr>
          <w:i/>
          <w:iCs/>
        </w:rPr>
        <w:t>Turmbau. Stoffe IV–IX</w:t>
      </w:r>
      <w:r>
        <w:t>. Zürich: Diogenes.</w:t>
      </w:r>
    </w:p>
    <w:p w:rsidR="00066FDF" w:rsidRDefault="00066FDF" w:rsidP="009F0669">
      <w:pPr>
        <w:pStyle w:val="Text"/>
        <w:ind w:left="454" w:hanging="454"/>
      </w:pPr>
      <w:r w:rsidRPr="00066FDF">
        <w:t xml:space="preserve">Dürrenmatt, </w:t>
      </w:r>
      <w:r>
        <w:t xml:space="preserve">Friedrich (1992), </w:t>
      </w:r>
      <w:r>
        <w:rPr>
          <w:i/>
          <w:iCs/>
        </w:rPr>
        <w:t>Gedankenfuge</w:t>
      </w:r>
      <w:r w:rsidRPr="00066FDF">
        <w:rPr>
          <w:i/>
          <w:iCs/>
        </w:rPr>
        <w:t>.</w:t>
      </w:r>
      <w:r w:rsidRPr="00066FDF">
        <w:rPr>
          <w:i/>
        </w:rPr>
        <w:t xml:space="preserve"> </w:t>
      </w:r>
      <w:r>
        <w:t>Zürich:</w:t>
      </w:r>
      <w:r w:rsidRPr="00066FDF">
        <w:t xml:space="preserve"> </w:t>
      </w:r>
      <w:r>
        <w:t>Diogenes.</w:t>
      </w:r>
    </w:p>
    <w:p w:rsidR="00315228" w:rsidRPr="00A826D1" w:rsidRDefault="00315228" w:rsidP="009F0669">
      <w:pPr>
        <w:pStyle w:val="Text"/>
        <w:ind w:left="454" w:hanging="454"/>
        <w:rPr>
          <w:lang w:val="en-US"/>
        </w:rPr>
      </w:pPr>
      <w:r>
        <w:t xml:space="preserve">Eckardt, Georg (Hg.) (1997), </w:t>
      </w:r>
      <w:r>
        <w:rPr>
          <w:i/>
          <w:iCs/>
        </w:rPr>
        <w:t>Völkerpsychologie</w:t>
      </w:r>
      <w:r w:rsidR="00AB3EF9">
        <w:rPr>
          <w:i/>
          <w:iCs/>
        </w:rPr>
        <w:t>.</w:t>
      </w:r>
      <w:r>
        <w:rPr>
          <w:i/>
          <w:iCs/>
        </w:rPr>
        <w:t xml:space="preserve"> Versuch einer Neuentdeckung.</w:t>
      </w:r>
      <w:r w:rsidRPr="002A2265">
        <w:rPr>
          <w:iCs/>
        </w:rPr>
        <w:t xml:space="preserve"> </w:t>
      </w:r>
      <w:r w:rsidR="002A2265" w:rsidRPr="002A2265">
        <w:t xml:space="preserve">Texte von </w:t>
      </w:r>
      <w:r w:rsidRPr="002A2265">
        <w:t>Lazarus, Steinthal und Wundt.</w:t>
      </w:r>
      <w:r>
        <w:t xml:space="preserve"> </w:t>
      </w:r>
      <w:r w:rsidRPr="00A826D1">
        <w:rPr>
          <w:lang w:val="en-US"/>
        </w:rPr>
        <w:t xml:space="preserve">Weinheim: </w:t>
      </w:r>
      <w:r w:rsidR="002A2265" w:rsidRPr="00A826D1">
        <w:rPr>
          <w:lang w:val="en-US"/>
        </w:rPr>
        <w:t>Beltz</w:t>
      </w:r>
      <w:r w:rsidRPr="00A826D1">
        <w:rPr>
          <w:lang w:val="en-US"/>
        </w:rPr>
        <w:t>.</w:t>
      </w:r>
    </w:p>
    <w:p w:rsidR="008F5DED" w:rsidRDefault="008F5DED" w:rsidP="009F0669">
      <w:pPr>
        <w:pStyle w:val="Text"/>
        <w:ind w:left="454" w:hanging="454"/>
        <w:rPr>
          <w:lang w:val="en-US"/>
        </w:rPr>
      </w:pPr>
      <w:r w:rsidRPr="00A826D1">
        <w:rPr>
          <w:lang w:val="en-US"/>
        </w:rPr>
        <w:t xml:space="preserve">Eckert, Penelope </w:t>
      </w:r>
      <w:r w:rsidR="00DD2B71" w:rsidRPr="00A826D1">
        <w:rPr>
          <w:lang w:val="en-US"/>
        </w:rPr>
        <w:t xml:space="preserve">und John R. Rickford </w:t>
      </w:r>
      <w:r w:rsidRPr="00A826D1">
        <w:rPr>
          <w:lang w:val="en-US"/>
        </w:rPr>
        <w:t xml:space="preserve">(Hg.) (2001), </w:t>
      </w:r>
      <w:r w:rsidRPr="00A826D1">
        <w:rPr>
          <w:i/>
          <w:lang w:val="en-US"/>
        </w:rPr>
        <w:t>Style and sociolin</w:t>
      </w:r>
      <w:r w:rsidRPr="00B751FA">
        <w:rPr>
          <w:i/>
          <w:lang w:val="en-US"/>
        </w:rPr>
        <w:t>guistic variation.</w:t>
      </w:r>
      <w:r w:rsidRPr="00B751FA">
        <w:rPr>
          <w:lang w:val="en-US"/>
        </w:rPr>
        <w:t xml:space="preserve"> </w:t>
      </w:r>
      <w:r w:rsidRPr="00CC1C5D">
        <w:rPr>
          <w:lang w:val="en-US"/>
        </w:rPr>
        <w:t>Cambridge</w:t>
      </w:r>
      <w:r w:rsidR="00DD2B71">
        <w:rPr>
          <w:lang w:val="en-US"/>
        </w:rPr>
        <w:t xml:space="preserve"> GB</w:t>
      </w:r>
      <w:r w:rsidRPr="00CC1C5D">
        <w:rPr>
          <w:lang w:val="en-US"/>
        </w:rPr>
        <w:t>: Cambridge University Press.</w:t>
      </w:r>
    </w:p>
    <w:p w:rsidR="001A77AA" w:rsidRDefault="001A77AA" w:rsidP="009F0669">
      <w:pPr>
        <w:pStyle w:val="Text"/>
        <w:ind w:left="454" w:hanging="454"/>
        <w:rPr>
          <w:lang w:val="en-US"/>
        </w:rPr>
      </w:pPr>
      <w:r>
        <w:rPr>
          <w:lang w:val="en-US"/>
        </w:rPr>
        <w:t xml:space="preserve">Eco, Umberto (1976), </w:t>
      </w:r>
      <w:r w:rsidRPr="001A77AA">
        <w:rPr>
          <w:i/>
          <w:lang w:val="en-US"/>
        </w:rPr>
        <w:t>A Theory of Semiotics.</w:t>
      </w:r>
      <w:r>
        <w:rPr>
          <w:lang w:val="en-US"/>
        </w:rPr>
        <w:t xml:space="preserve"> Bloomington u.a.: Indiana Unive</w:t>
      </w:r>
      <w:r>
        <w:rPr>
          <w:lang w:val="en-US"/>
        </w:rPr>
        <w:t>r</w:t>
      </w:r>
      <w:r>
        <w:rPr>
          <w:lang w:val="en-US"/>
        </w:rPr>
        <w:t>sity Press.</w:t>
      </w:r>
    </w:p>
    <w:p w:rsidR="00353025" w:rsidRDefault="00353025" w:rsidP="009F0669">
      <w:pPr>
        <w:pStyle w:val="Text"/>
        <w:ind w:left="454" w:hanging="454"/>
      </w:pPr>
      <w:r>
        <w:rPr>
          <w:lang w:val="en-US"/>
        </w:rPr>
        <w:t xml:space="preserve">Eco, Umberto (2004), </w:t>
      </w:r>
      <w:r>
        <w:rPr>
          <w:lang w:val="en-GB"/>
        </w:rPr>
        <w:t>„</w:t>
      </w:r>
      <w:r>
        <w:rPr>
          <w:lang w:val="en-US"/>
        </w:rPr>
        <w:t xml:space="preserve">Fakes in </w:t>
      </w:r>
      <w:r w:rsidR="004351BF">
        <w:rPr>
          <w:lang w:val="en-US"/>
        </w:rPr>
        <w:t>A</w:t>
      </w:r>
      <w:r>
        <w:rPr>
          <w:lang w:val="en-US"/>
        </w:rPr>
        <w:t xml:space="preserve">rts and </w:t>
      </w:r>
      <w:r w:rsidR="004351BF">
        <w:rPr>
          <w:lang w:val="en-US"/>
        </w:rPr>
        <w:t>C</w:t>
      </w:r>
      <w:r>
        <w:rPr>
          <w:lang w:val="en-US"/>
        </w:rPr>
        <w:t>rafts</w:t>
      </w:r>
      <w:r>
        <w:rPr>
          <w:lang w:val="en-GB"/>
        </w:rPr>
        <w:t>“</w:t>
      </w:r>
      <w:r>
        <w:rPr>
          <w:lang w:val="en-US"/>
        </w:rPr>
        <w:t xml:space="preserve">. </w:t>
      </w:r>
      <w:r w:rsidRPr="00353025">
        <w:t>In: Posner u.a. 1997–2004</w:t>
      </w:r>
      <w:r w:rsidR="00E54E61">
        <w:t>,</w:t>
      </w:r>
      <w:r w:rsidRPr="00353025">
        <w:t xml:space="preserve"> Bd. </w:t>
      </w:r>
      <w:r>
        <w:t>4</w:t>
      </w:r>
      <w:r w:rsidR="00E54E61">
        <w:t>:</w:t>
      </w:r>
      <w:r>
        <w:t xml:space="preserve"> </w:t>
      </w:r>
      <w:r w:rsidRPr="00353025">
        <w:t>3571-3580.</w:t>
      </w:r>
    </w:p>
    <w:p w:rsidR="0017501B" w:rsidRPr="0047400A" w:rsidRDefault="0017501B" w:rsidP="009F0669">
      <w:pPr>
        <w:pStyle w:val="Text"/>
        <w:ind w:left="454" w:hanging="454"/>
        <w:rPr>
          <w:lang w:val="en-US"/>
        </w:rPr>
      </w:pPr>
      <w:r w:rsidRPr="0017501B">
        <w:rPr>
          <w:lang w:val="en-US"/>
        </w:rPr>
        <w:t xml:space="preserve">Edelman, Gerald </w:t>
      </w:r>
      <w:r>
        <w:rPr>
          <w:lang w:val="en-US"/>
        </w:rPr>
        <w:t xml:space="preserve">M. </w:t>
      </w:r>
      <w:r w:rsidRPr="0017501B">
        <w:rPr>
          <w:lang w:val="en-US"/>
        </w:rPr>
        <w:t>and Giulio Tononi</w:t>
      </w:r>
      <w:r>
        <w:rPr>
          <w:lang w:val="en-US"/>
        </w:rPr>
        <w:t xml:space="preserve"> (2000)</w:t>
      </w:r>
      <w:r w:rsidRPr="0017501B">
        <w:rPr>
          <w:lang w:val="en-US"/>
        </w:rPr>
        <w:t xml:space="preserve">, </w:t>
      </w:r>
      <w:r w:rsidRPr="0017501B">
        <w:rPr>
          <w:i/>
          <w:lang w:val="en-US"/>
        </w:rPr>
        <w:t>A Universe of Consciousness</w:t>
      </w:r>
      <w:r w:rsidR="00912F8B">
        <w:rPr>
          <w:i/>
          <w:lang w:val="en-US"/>
        </w:rPr>
        <w:t>.</w:t>
      </w:r>
      <w:r w:rsidRPr="0017501B">
        <w:rPr>
          <w:i/>
          <w:lang w:val="en-US"/>
        </w:rPr>
        <w:t xml:space="preserve"> How Matter Becomes Imagination.</w:t>
      </w:r>
      <w:r w:rsidRPr="0017501B">
        <w:rPr>
          <w:lang w:val="en-US"/>
        </w:rPr>
        <w:t xml:space="preserve"> </w:t>
      </w:r>
      <w:r w:rsidRPr="0047400A">
        <w:rPr>
          <w:lang w:val="en-US"/>
        </w:rPr>
        <w:t>New York: Basic Books.</w:t>
      </w:r>
    </w:p>
    <w:p w:rsidR="00AE6332" w:rsidRPr="00CD420A" w:rsidRDefault="00AE6332" w:rsidP="009F0669">
      <w:pPr>
        <w:pStyle w:val="Text"/>
        <w:ind w:left="454" w:hanging="454"/>
      </w:pPr>
      <w:r w:rsidRPr="0047400A">
        <w:rPr>
          <w:lang w:val="en-US"/>
        </w:rPr>
        <w:t xml:space="preserve">Eder, Alois (1979), „Perseveration als Stilmittel moderner Prosa. </w:t>
      </w:r>
      <w:r w:rsidRPr="002D53E0">
        <w:t xml:space="preserve">Thonmas Bernhard und seine Nachfolger in der österreichischen Literatur“. </w:t>
      </w:r>
      <w:r w:rsidRPr="00AE6332">
        <w:rPr>
          <w:i/>
        </w:rPr>
        <w:t>Istituto Universitario Orientale. Sezione Germanica. Studi Tedeschi</w:t>
      </w:r>
      <w:r>
        <w:t xml:space="preserve"> 22, 1: 65-100.</w:t>
      </w:r>
    </w:p>
    <w:p w:rsidR="00AE3C89" w:rsidRDefault="00AE3C89" w:rsidP="009F0669">
      <w:pPr>
        <w:pStyle w:val="Text"/>
        <w:ind w:left="454" w:hanging="454"/>
      </w:pPr>
      <w:r>
        <w:rPr>
          <w:iCs/>
        </w:rPr>
        <w:t xml:space="preserve">Ehrenfels, Christian von (1890), </w:t>
      </w:r>
      <w:r w:rsidRPr="00AE3C89">
        <w:rPr>
          <w:iCs/>
        </w:rPr>
        <w:t>„Über Gestaltqualitäten“</w:t>
      </w:r>
      <w:r w:rsidRPr="00AE3C89">
        <w:t xml:space="preserve">. </w:t>
      </w:r>
      <w:r w:rsidRPr="00AE3C89">
        <w:rPr>
          <w:i/>
        </w:rPr>
        <w:t xml:space="preserve">Vierteljahrsschrift für wissenschaftliche Philosophie </w:t>
      </w:r>
      <w:r w:rsidRPr="00AE3C89">
        <w:rPr>
          <w:bCs/>
          <w:i/>
        </w:rPr>
        <w:t>14</w:t>
      </w:r>
      <w:r>
        <w:t>: 249-292.</w:t>
      </w:r>
    </w:p>
    <w:p w:rsidR="00626941" w:rsidRPr="00B6299D" w:rsidRDefault="00FE25C6" w:rsidP="009F0669">
      <w:pPr>
        <w:pStyle w:val="Text"/>
        <w:ind w:left="454" w:hanging="454"/>
        <w:rPr>
          <w:lang w:val="en-US"/>
        </w:rPr>
      </w:pPr>
      <w:r>
        <w:t>Elias, Norbert (1939</w:t>
      </w:r>
      <w:r w:rsidR="00626941">
        <w:t xml:space="preserve">), </w:t>
      </w:r>
      <w:r w:rsidR="00626941" w:rsidRPr="00626941">
        <w:rPr>
          <w:i/>
        </w:rPr>
        <w:t>Über den Prozess der Zivilisation. Soziogenetische und ps</w:t>
      </w:r>
      <w:r w:rsidR="00626941" w:rsidRPr="00626941">
        <w:rPr>
          <w:i/>
        </w:rPr>
        <w:t>y</w:t>
      </w:r>
      <w:r w:rsidR="00626941" w:rsidRPr="00626941">
        <w:rPr>
          <w:i/>
        </w:rPr>
        <w:t>chogenetische Untersuchungen.</w:t>
      </w:r>
      <w:r w:rsidR="00626941">
        <w:t xml:space="preserve"> Bd. 1: </w:t>
      </w:r>
      <w:r w:rsidR="00626941" w:rsidRPr="00626941">
        <w:rPr>
          <w:i/>
        </w:rPr>
        <w:t>Wandlungen des Verhaltens in den weltlichen Oberschichten des Abendlandes.</w:t>
      </w:r>
      <w:r w:rsidR="00AA143B">
        <w:t xml:space="preserve"> </w:t>
      </w:r>
      <w:r>
        <w:t xml:space="preserve">Bd. 2: </w:t>
      </w:r>
      <w:r w:rsidRPr="00FE25C6">
        <w:rPr>
          <w:i/>
        </w:rPr>
        <w:t>Wandlungen der Gesel</w:t>
      </w:r>
      <w:r w:rsidRPr="00FE25C6">
        <w:rPr>
          <w:i/>
        </w:rPr>
        <w:t>l</w:t>
      </w:r>
      <w:r w:rsidRPr="00FE25C6">
        <w:rPr>
          <w:i/>
        </w:rPr>
        <w:t>schaft</w:t>
      </w:r>
      <w:r w:rsidR="00912F8B">
        <w:rPr>
          <w:i/>
        </w:rPr>
        <w:t>.</w:t>
      </w:r>
      <w:r w:rsidRPr="00FE25C6">
        <w:rPr>
          <w:i/>
        </w:rPr>
        <w:t xml:space="preserve"> Entwurf zu einer Theorie der Zivilisation.</w:t>
      </w:r>
      <w:r>
        <w:t xml:space="preserve"> </w:t>
      </w:r>
      <w:r w:rsidRPr="00B6299D">
        <w:rPr>
          <w:lang w:val="en-US"/>
        </w:rPr>
        <w:t>Basel: Haus zum Falken.</w:t>
      </w:r>
    </w:p>
    <w:p w:rsidR="00507D5E" w:rsidRDefault="00507D5E" w:rsidP="009F0669">
      <w:pPr>
        <w:pStyle w:val="Text"/>
        <w:ind w:left="454" w:hanging="454"/>
        <w:rPr>
          <w:lang w:val="en-US"/>
        </w:rPr>
      </w:pPr>
      <w:r w:rsidRPr="00507D5E">
        <w:rPr>
          <w:lang w:val="en-US"/>
        </w:rPr>
        <w:t xml:space="preserve">Ellis, Bret Easton (1991), </w:t>
      </w:r>
      <w:r w:rsidRPr="00507D5E">
        <w:rPr>
          <w:i/>
          <w:lang w:val="en-US"/>
        </w:rPr>
        <w:t>American Psycho</w:t>
      </w:r>
      <w:r w:rsidRPr="00507D5E">
        <w:rPr>
          <w:lang w:val="en-US"/>
        </w:rPr>
        <w:t>. London: P</w:t>
      </w:r>
      <w:r w:rsidR="00A56156">
        <w:rPr>
          <w:lang w:val="en-US"/>
        </w:rPr>
        <w:t>icador</w:t>
      </w:r>
      <w:r w:rsidRPr="00507D5E">
        <w:rPr>
          <w:lang w:val="en-US"/>
        </w:rPr>
        <w:t>.</w:t>
      </w:r>
    </w:p>
    <w:p w:rsidR="00A56156" w:rsidRPr="00507D5E" w:rsidRDefault="00A56156" w:rsidP="00A56156">
      <w:pPr>
        <w:pStyle w:val="Text"/>
        <w:ind w:left="454" w:hanging="454"/>
        <w:rPr>
          <w:lang w:val="en-US"/>
        </w:rPr>
      </w:pPr>
      <w:r>
        <w:rPr>
          <w:lang w:val="en-US"/>
        </w:rPr>
        <w:t>Ellis, Bret Easton (1998</w:t>
      </w:r>
      <w:r w:rsidRPr="00507D5E">
        <w:rPr>
          <w:lang w:val="en-US"/>
        </w:rPr>
        <w:t xml:space="preserve">), </w:t>
      </w:r>
      <w:r w:rsidR="00B44826">
        <w:rPr>
          <w:i/>
          <w:lang w:val="en-US"/>
        </w:rPr>
        <w:t>Glamorama</w:t>
      </w:r>
      <w:r w:rsidRPr="00507D5E">
        <w:rPr>
          <w:lang w:val="en-US"/>
        </w:rPr>
        <w:t>. London: P</w:t>
      </w:r>
      <w:r>
        <w:rPr>
          <w:lang w:val="en-US"/>
        </w:rPr>
        <w:t>icador</w:t>
      </w:r>
      <w:r w:rsidRPr="00507D5E">
        <w:rPr>
          <w:lang w:val="en-US"/>
        </w:rPr>
        <w:t>.</w:t>
      </w:r>
    </w:p>
    <w:p w:rsidR="001840FF" w:rsidRDefault="001840FF" w:rsidP="009F0669">
      <w:pPr>
        <w:pStyle w:val="Text"/>
        <w:ind w:left="454" w:hanging="454"/>
      </w:pPr>
      <w:r>
        <w:t xml:space="preserve">Engel, </w:t>
      </w:r>
      <w:r w:rsidR="006D5766">
        <w:t xml:space="preserve">Andreas und Michael Möhring (1995), „Der Beitrag der </w:t>
      </w:r>
      <w:r w:rsidR="00730AF7">
        <w:t>Sozialwisse</w:t>
      </w:r>
      <w:r w:rsidR="00730AF7">
        <w:t>n</w:t>
      </w:r>
      <w:r w:rsidR="00730AF7">
        <w:t xml:space="preserve">schaftlichen </w:t>
      </w:r>
      <w:r w:rsidR="006D5766">
        <w:t>Informatik zur sozialwissenschaftlichen Modellbildung und Simulation“. In: Gsänger u.a. 1995: 39-59.</w:t>
      </w:r>
    </w:p>
    <w:p w:rsidR="009B7D82" w:rsidRPr="002713E0" w:rsidRDefault="009B7D82" w:rsidP="009F0669">
      <w:pPr>
        <w:pStyle w:val="Text"/>
        <w:ind w:left="454" w:hanging="454"/>
      </w:pPr>
      <w:r w:rsidRPr="009B7D82">
        <w:t xml:space="preserve">Enkvist, Nils E. (1964), </w:t>
      </w:r>
      <w:r>
        <w:t>„</w:t>
      </w:r>
      <w:r w:rsidRPr="009B7D82">
        <w:t>Versuche zu einer Bestimmung des Sprachstils</w:t>
      </w:r>
      <w:r>
        <w:t>“</w:t>
      </w:r>
      <w:r w:rsidRPr="009B7D82">
        <w:t xml:space="preserve">. </w:t>
      </w:r>
      <w:r>
        <w:t xml:space="preserve">In: John Spencer (Hg.), </w:t>
      </w:r>
      <w:r w:rsidRPr="009B7D82">
        <w:rPr>
          <w:i/>
        </w:rPr>
        <w:t>Linguistik und Stil</w:t>
      </w:r>
      <w:r>
        <w:t xml:space="preserve">. </w:t>
      </w:r>
      <w:r w:rsidRPr="009A4B77">
        <w:t>Heidelberg: Quelle &amp; Meyer</w:t>
      </w:r>
      <w:r w:rsidR="00E84DB1" w:rsidRPr="009A4B77">
        <w:t>.</w:t>
      </w:r>
      <w:r w:rsidRPr="009A4B77">
        <w:t xml:space="preserve"> </w:t>
      </w:r>
      <w:r w:rsidRPr="002713E0">
        <w:t>8-54.</w:t>
      </w:r>
    </w:p>
    <w:p w:rsidR="00D2554C" w:rsidRPr="002713E0" w:rsidRDefault="00D2554C" w:rsidP="009F0669">
      <w:pPr>
        <w:pStyle w:val="Text"/>
        <w:ind w:left="454" w:hanging="454"/>
      </w:pPr>
      <w:r w:rsidRPr="002713E0">
        <w:t xml:space="preserve">Enkvist, Nils E. (1973), </w:t>
      </w:r>
      <w:r w:rsidRPr="002713E0">
        <w:rPr>
          <w:i/>
        </w:rPr>
        <w:t>Linguistic Stylistics.</w:t>
      </w:r>
      <w:r w:rsidRPr="002713E0">
        <w:t xml:space="preserve"> </w:t>
      </w:r>
      <w:r w:rsidR="002B08F7">
        <w:t>Den Haag u.a.: Mouton</w:t>
      </w:r>
      <w:r w:rsidRPr="002713E0">
        <w:t>.</w:t>
      </w:r>
    </w:p>
    <w:p w:rsidR="006639F2" w:rsidRPr="002713E0" w:rsidRDefault="006639F2" w:rsidP="009F0669">
      <w:pPr>
        <w:pStyle w:val="Text"/>
        <w:ind w:left="454" w:hanging="454"/>
        <w:rPr>
          <w:lang w:val="en-US"/>
        </w:rPr>
      </w:pPr>
      <w:r>
        <w:t xml:space="preserve">Eyckeler, Franz (1995), </w:t>
      </w:r>
      <w:r w:rsidRPr="00AE6332">
        <w:rPr>
          <w:i/>
        </w:rPr>
        <w:t>Reflexionspoesie, Sprachskepsis, Rhetorik und Poetik in der Prosa Thomas Bernhards.</w:t>
      </w:r>
      <w:r>
        <w:t xml:space="preserve"> </w:t>
      </w:r>
      <w:r w:rsidR="00E40BCE">
        <w:rPr>
          <w:lang w:val="en-US"/>
        </w:rPr>
        <w:t>Berlin: Schmidt</w:t>
      </w:r>
      <w:r w:rsidRPr="002713E0">
        <w:rPr>
          <w:lang w:val="en-US"/>
        </w:rPr>
        <w:t>.</w:t>
      </w:r>
    </w:p>
    <w:p w:rsidR="007B1092" w:rsidRPr="00E30C80" w:rsidRDefault="001226C3" w:rsidP="009F0669">
      <w:pPr>
        <w:pStyle w:val="Text"/>
        <w:ind w:left="454" w:hanging="454"/>
        <w:rPr>
          <w:lang w:val="en-US"/>
        </w:rPr>
      </w:pPr>
      <w:r>
        <w:rPr>
          <w:lang w:val="en-US"/>
        </w:rPr>
        <w:t>Fairclough, Norman (198</w:t>
      </w:r>
      <w:r w:rsidR="005C09B3">
        <w:rPr>
          <w:lang w:val="en-US"/>
        </w:rPr>
        <w:t>8</w:t>
      </w:r>
      <w:r w:rsidR="007B1092" w:rsidRPr="007B1092">
        <w:rPr>
          <w:lang w:val="en-US"/>
        </w:rPr>
        <w:t xml:space="preserve">), „Register, </w:t>
      </w:r>
      <w:r w:rsidR="00566770">
        <w:rPr>
          <w:lang w:val="en-US"/>
        </w:rPr>
        <w:t>P</w:t>
      </w:r>
      <w:r w:rsidR="007B1092" w:rsidRPr="007B1092">
        <w:rPr>
          <w:lang w:val="en-US"/>
        </w:rPr>
        <w:t xml:space="preserve">ower and </w:t>
      </w:r>
      <w:r w:rsidR="00566770">
        <w:rPr>
          <w:lang w:val="en-US"/>
        </w:rPr>
        <w:t>S</w:t>
      </w:r>
      <w:r w:rsidR="007B1092" w:rsidRPr="007B1092">
        <w:rPr>
          <w:lang w:val="en-US"/>
        </w:rPr>
        <w:t>ocio-</w:t>
      </w:r>
      <w:r w:rsidR="00566770">
        <w:rPr>
          <w:lang w:val="en-US"/>
        </w:rPr>
        <w:t>S</w:t>
      </w:r>
      <w:r w:rsidR="007B1092" w:rsidRPr="007B1092">
        <w:rPr>
          <w:lang w:val="en-US"/>
        </w:rPr>
        <w:t xml:space="preserve">emantic </w:t>
      </w:r>
      <w:r w:rsidR="00566770">
        <w:rPr>
          <w:lang w:val="en-US"/>
        </w:rPr>
        <w:t>C</w:t>
      </w:r>
      <w:r w:rsidR="007B1092" w:rsidRPr="007B1092">
        <w:rPr>
          <w:lang w:val="en-US"/>
        </w:rPr>
        <w:t xml:space="preserve">hange“. </w:t>
      </w:r>
      <w:r w:rsidR="007B1092" w:rsidRPr="00E30C80">
        <w:rPr>
          <w:lang w:val="en-US"/>
        </w:rPr>
        <w:t xml:space="preserve">In: Birch </w:t>
      </w:r>
      <w:r w:rsidR="00DA163F" w:rsidRPr="00E30C80">
        <w:rPr>
          <w:lang w:val="en-US"/>
        </w:rPr>
        <w:t>u.a</w:t>
      </w:r>
      <w:r w:rsidR="00B2252E" w:rsidRPr="00E30C80">
        <w:rPr>
          <w:lang w:val="en-US"/>
        </w:rPr>
        <w:t>.</w:t>
      </w:r>
      <w:r w:rsidR="00E84DB1" w:rsidRPr="00E30C80">
        <w:rPr>
          <w:lang w:val="en-US"/>
        </w:rPr>
        <w:t xml:space="preserve"> 198</w:t>
      </w:r>
      <w:r w:rsidR="005C09B3" w:rsidRPr="00E30C80">
        <w:rPr>
          <w:lang w:val="en-US"/>
        </w:rPr>
        <w:t>8</w:t>
      </w:r>
      <w:r w:rsidR="00B2252E" w:rsidRPr="00E30C80">
        <w:rPr>
          <w:lang w:val="en-US"/>
        </w:rPr>
        <w:t xml:space="preserve">: </w:t>
      </w:r>
      <w:r w:rsidR="00490F30" w:rsidRPr="00E30C80">
        <w:rPr>
          <w:lang w:val="en-US"/>
        </w:rPr>
        <w:t>111-125.</w:t>
      </w:r>
    </w:p>
    <w:p w:rsidR="00E40BC1" w:rsidRPr="00E30C80" w:rsidRDefault="00E40BC1" w:rsidP="009F0669">
      <w:pPr>
        <w:pStyle w:val="Text"/>
        <w:ind w:left="454" w:hanging="454"/>
      </w:pPr>
      <w:r w:rsidRPr="00E40BC1">
        <w:rPr>
          <w:lang w:val="en-US"/>
        </w:rPr>
        <w:lastRenderedPageBreak/>
        <w:t xml:space="preserve">Finke, Ronald A. (1989), </w:t>
      </w:r>
      <w:r w:rsidRPr="00E40BC1">
        <w:rPr>
          <w:i/>
          <w:iCs/>
          <w:lang w:val="en-US"/>
        </w:rPr>
        <w:t>Principles of Mental Imagery.</w:t>
      </w:r>
      <w:r w:rsidRPr="00E40BC1">
        <w:rPr>
          <w:lang w:val="en-US"/>
        </w:rPr>
        <w:t xml:space="preserve"> </w:t>
      </w:r>
      <w:r w:rsidRPr="00E30C80">
        <w:t>Cambridge, MA: MIT Press.</w:t>
      </w:r>
    </w:p>
    <w:p w:rsidR="00AA36B3" w:rsidRDefault="00AA36B3" w:rsidP="009F0669">
      <w:pPr>
        <w:pStyle w:val="Text"/>
        <w:ind w:left="454" w:hanging="454"/>
      </w:pPr>
      <w:r>
        <w:t xml:space="preserve">Fix, Ulla (1988), </w:t>
      </w:r>
      <w:r w:rsidR="00503ADF">
        <w:t>„Die Kategorien ‚kommunikativ adäquat‘ und ‚stilistisch ad</w:t>
      </w:r>
      <w:r w:rsidR="00503ADF">
        <w:t>ä</w:t>
      </w:r>
      <w:r w:rsidR="00503ADF">
        <w:t xml:space="preserve">quat‘. Zur Spezifik des Stilistischen in der Kommunikation“. </w:t>
      </w:r>
      <w:r w:rsidR="00503ADF" w:rsidRPr="00503ADF">
        <w:rPr>
          <w:i/>
        </w:rPr>
        <w:t>Zeitschrift für Germanistik</w:t>
      </w:r>
      <w:r w:rsidR="00503ADF">
        <w:t xml:space="preserve"> 9, 3: 332-337.</w:t>
      </w:r>
    </w:p>
    <w:p w:rsidR="006610F2" w:rsidRDefault="006610F2" w:rsidP="009F0669">
      <w:pPr>
        <w:pStyle w:val="Text"/>
        <w:ind w:left="454" w:hanging="454"/>
      </w:pPr>
      <w:r>
        <w:t>Fix, Ulla (1996), „Gestalt und Gestalten. Von der Notwendigkeit der Gestaltk</w:t>
      </w:r>
      <w:r>
        <w:t>a</w:t>
      </w:r>
      <w:r>
        <w:t xml:space="preserve">tegorie für eine das Ästhetische berücksichtigende pragmatische Stilistik“. </w:t>
      </w:r>
      <w:r w:rsidRPr="006610F2">
        <w:rPr>
          <w:i/>
        </w:rPr>
        <w:t>Zeitschrift für Germanistik</w:t>
      </w:r>
      <w:r w:rsidR="009A7FF5" w:rsidRPr="009A7FF5">
        <w:rPr>
          <w:i/>
        </w:rPr>
        <w:t>, N</w:t>
      </w:r>
      <w:r w:rsidRPr="009A7FF5">
        <w:rPr>
          <w:i/>
        </w:rPr>
        <w:t>eue Folge</w:t>
      </w:r>
      <w:r w:rsidR="009A7FF5">
        <w:t xml:space="preserve"> 6, 2</w:t>
      </w:r>
      <w:r>
        <w:t>: 308-323.</w:t>
      </w:r>
    </w:p>
    <w:p w:rsidR="00BF1F9E" w:rsidRDefault="00BF1F9E" w:rsidP="009F0669">
      <w:pPr>
        <w:pStyle w:val="Text"/>
        <w:ind w:left="454" w:hanging="454"/>
      </w:pPr>
      <w:r>
        <w:t xml:space="preserve">Fix, Ulla (2005), „Die stilistische Einheit von Texten – auch ein Textualitätskriterium?“ In: </w:t>
      </w:r>
      <w:r w:rsidR="004E22B4">
        <w:t xml:space="preserve">Ewald Reuter und Tiina Sorvali (Hg.), </w:t>
      </w:r>
      <w:r w:rsidRPr="004E22B4">
        <w:rPr>
          <w:i/>
        </w:rPr>
        <w:t>Satz – Text – Kulturkontrast. Festschrift für Marja-Leena Piitulainen.</w:t>
      </w:r>
      <w:r>
        <w:t xml:space="preserve"> </w:t>
      </w:r>
      <w:r w:rsidR="004E22B4">
        <w:t xml:space="preserve">Frankfurt a.M.: </w:t>
      </w:r>
      <w:r w:rsidR="00E40BCE">
        <w:t>Lang</w:t>
      </w:r>
      <w:r w:rsidR="004E22B4">
        <w:t>. 35-50.</w:t>
      </w:r>
    </w:p>
    <w:p w:rsidR="007A2AE8" w:rsidRDefault="007A2AE8" w:rsidP="009F0669">
      <w:pPr>
        <w:pStyle w:val="Text"/>
        <w:ind w:left="454" w:hanging="454"/>
      </w:pPr>
      <w:r>
        <w:t xml:space="preserve">Fix, Ulla (2007), „Texte zwischen Musterbefolgen und Kreativität“. In: Dies., </w:t>
      </w:r>
      <w:r w:rsidRPr="007A2AE8">
        <w:rPr>
          <w:i/>
        </w:rPr>
        <w:t>Stil – ein sprachliches und soziales Phänomen.</w:t>
      </w:r>
      <w:r w:rsidR="00337DEE">
        <w:rPr>
          <w:i/>
        </w:rPr>
        <w:t xml:space="preserve"> Beiträge zur Stilistik.</w:t>
      </w:r>
      <w:r w:rsidR="00337DEE">
        <w:t xml:space="preserve"> Berlin: Frank </w:t>
      </w:r>
      <w:r w:rsidR="009F1C20">
        <w:t xml:space="preserve">&amp; </w:t>
      </w:r>
      <w:r w:rsidR="00337DEE">
        <w:t>Timme</w:t>
      </w:r>
      <w:r>
        <w:t>. 409-427.</w:t>
      </w:r>
    </w:p>
    <w:p w:rsidR="001103E7" w:rsidRPr="005B1854" w:rsidRDefault="001103E7" w:rsidP="009F0669">
      <w:pPr>
        <w:pStyle w:val="Text"/>
        <w:ind w:left="454" w:hanging="454"/>
        <w:rPr>
          <w:lang w:val="en-US"/>
        </w:rPr>
      </w:pPr>
      <w:r>
        <w:t xml:space="preserve">Fix, Ulla (2009), „Muster und Abweichung in Rhetorik und Stilistik“. </w:t>
      </w:r>
      <w:r w:rsidRPr="005B1854">
        <w:rPr>
          <w:lang w:val="en-US"/>
        </w:rPr>
        <w:t>In: Fix u.a. 2008–2009</w:t>
      </w:r>
      <w:r w:rsidR="009D2CB4" w:rsidRPr="005B1854">
        <w:rPr>
          <w:lang w:val="en-US"/>
        </w:rPr>
        <w:t>, Bd. 2:</w:t>
      </w:r>
      <w:r w:rsidRPr="005B1854">
        <w:rPr>
          <w:lang w:val="en-US"/>
        </w:rPr>
        <w:t xml:space="preserve"> 1300-1315.</w:t>
      </w:r>
    </w:p>
    <w:p w:rsidR="00F14932" w:rsidRDefault="00F14932" w:rsidP="009F0669">
      <w:pPr>
        <w:pStyle w:val="Text"/>
        <w:ind w:left="454" w:hanging="454"/>
      </w:pPr>
      <w:r w:rsidRPr="005B1854">
        <w:rPr>
          <w:lang w:val="en-US"/>
        </w:rPr>
        <w:t xml:space="preserve">Fix, Ulla, Andreas Gardt und Joachim Knape (Hg.) (2008–2009), </w:t>
      </w:r>
      <w:r w:rsidRPr="005B1854">
        <w:rPr>
          <w:i/>
          <w:lang w:val="en-US"/>
        </w:rPr>
        <w:t>Rhetorik und Stylistik</w:t>
      </w:r>
      <w:r w:rsidR="00655D2E" w:rsidRPr="005B1854">
        <w:rPr>
          <w:i/>
          <w:lang w:val="en-US"/>
        </w:rPr>
        <w:t xml:space="preserve"> / Rhetoric and Stylistics</w:t>
      </w:r>
      <w:r w:rsidRPr="005B1854">
        <w:rPr>
          <w:i/>
          <w:lang w:val="en-US"/>
        </w:rPr>
        <w:t xml:space="preserve">. </w:t>
      </w:r>
      <w:r w:rsidRPr="00F14932">
        <w:rPr>
          <w:i/>
        </w:rPr>
        <w:t>Ein internationales Handbuch historischer und systematischer Forschung.</w:t>
      </w:r>
      <w:r>
        <w:t xml:space="preserve"> 2 Bde. Berlin u.a.: de Gruyter.</w:t>
      </w:r>
    </w:p>
    <w:p w:rsidR="002C41CC" w:rsidRDefault="002C41CC" w:rsidP="009F0669">
      <w:pPr>
        <w:pStyle w:val="Text"/>
        <w:ind w:left="454" w:hanging="454"/>
      </w:pPr>
      <w:r>
        <w:t xml:space="preserve">Fludernik, Monika (2006), </w:t>
      </w:r>
      <w:r w:rsidRPr="002C41CC">
        <w:rPr>
          <w:i/>
        </w:rPr>
        <w:t>Einführung in die</w:t>
      </w:r>
      <w:r>
        <w:rPr>
          <w:i/>
        </w:rPr>
        <w:t xml:space="preserve"> </w:t>
      </w:r>
      <w:r w:rsidRPr="002C41CC">
        <w:rPr>
          <w:i/>
        </w:rPr>
        <w:t>Erzähltheorie.</w:t>
      </w:r>
      <w:r>
        <w:t xml:space="preserve"> Darmstadt: Wisse</w:t>
      </w:r>
      <w:r>
        <w:t>n</w:t>
      </w:r>
      <w:r>
        <w:t>schaftliche Buchgesellschaft.</w:t>
      </w:r>
    </w:p>
    <w:p w:rsidR="000D3E8D" w:rsidRPr="006340B1" w:rsidRDefault="000D3E8D" w:rsidP="003B3255">
      <w:pPr>
        <w:pStyle w:val="Text"/>
        <w:ind w:left="454" w:hanging="454"/>
        <w:rPr>
          <w:lang w:val="en-US"/>
        </w:rPr>
      </w:pPr>
      <w:r w:rsidRPr="002C41CC">
        <w:t>Fowler, R</w:t>
      </w:r>
      <w:r w:rsidR="00337DEE" w:rsidRPr="002C41CC">
        <w:t xml:space="preserve">oger (1977), </w:t>
      </w:r>
      <w:r w:rsidR="00337DEE" w:rsidRPr="002C41CC">
        <w:rPr>
          <w:i/>
        </w:rPr>
        <w:t>Linguistics and the Novel.</w:t>
      </w:r>
      <w:r w:rsidR="00337DEE" w:rsidRPr="002C41CC">
        <w:t xml:space="preserve"> </w:t>
      </w:r>
      <w:r w:rsidR="00337DEE" w:rsidRPr="006340B1">
        <w:rPr>
          <w:lang w:val="en-US"/>
        </w:rPr>
        <w:t>London: Methuen.</w:t>
      </w:r>
    </w:p>
    <w:p w:rsidR="003B3255" w:rsidRPr="003B3255" w:rsidRDefault="003B3255" w:rsidP="003B3255">
      <w:pPr>
        <w:pStyle w:val="Text"/>
        <w:ind w:left="454" w:hanging="454"/>
      </w:pPr>
      <w:r w:rsidRPr="003B3255">
        <w:rPr>
          <w:rStyle w:val="ouvrage"/>
          <w:lang w:val="en-US"/>
        </w:rPr>
        <w:t>Foucault</w:t>
      </w:r>
      <w:r>
        <w:rPr>
          <w:rStyle w:val="ouvrage"/>
          <w:lang w:val="en-US"/>
        </w:rPr>
        <w:t xml:space="preserve">, </w:t>
      </w:r>
      <w:r w:rsidRPr="003B3255">
        <w:rPr>
          <w:rStyle w:val="ouvrage"/>
          <w:lang w:val="en-US"/>
        </w:rPr>
        <w:t>Michel</w:t>
      </w:r>
      <w:r>
        <w:rPr>
          <w:rStyle w:val="ouvrage"/>
          <w:lang w:val="en-US"/>
        </w:rPr>
        <w:t xml:space="preserve"> (1966)</w:t>
      </w:r>
      <w:r w:rsidRPr="003B3255">
        <w:rPr>
          <w:rStyle w:val="ouvrage"/>
          <w:lang w:val="en-US"/>
        </w:rPr>
        <w:t xml:space="preserve">, </w:t>
      </w:r>
      <w:r>
        <w:rPr>
          <w:rStyle w:val="HTMLZitat"/>
          <w:lang w:val="fr-FR"/>
        </w:rPr>
        <w:t>Les mots et les choses. Une archéologie des sciences h</w:t>
      </w:r>
      <w:r>
        <w:rPr>
          <w:rStyle w:val="HTMLZitat"/>
          <w:lang w:val="fr-FR"/>
        </w:rPr>
        <w:t>u</w:t>
      </w:r>
      <w:r>
        <w:rPr>
          <w:rStyle w:val="HTMLZitat"/>
          <w:lang w:val="fr-FR"/>
        </w:rPr>
        <w:t>maines</w:t>
      </w:r>
      <w:r>
        <w:rPr>
          <w:rStyle w:val="ouvrage"/>
          <w:lang w:val="en-US"/>
        </w:rPr>
        <w:t>.</w:t>
      </w:r>
      <w:r w:rsidRPr="003B3255">
        <w:rPr>
          <w:rStyle w:val="ouvrage"/>
          <w:lang w:val="en-US"/>
        </w:rPr>
        <w:t xml:space="preserve"> </w:t>
      </w:r>
      <w:r w:rsidRPr="003B3255">
        <w:rPr>
          <w:rStyle w:val="ouvrage"/>
        </w:rPr>
        <w:t xml:space="preserve">Paris: Gallimard. Deutsch von Ulrich Köppen: </w:t>
      </w:r>
      <w:r w:rsidRPr="003B3255">
        <w:rPr>
          <w:i/>
        </w:rPr>
        <w:t>Die Ordnung der Dinge: Eine Archäologie der Humanwissenschaften</w:t>
      </w:r>
      <w:r>
        <w:rPr>
          <w:i/>
        </w:rPr>
        <w:t xml:space="preserve">. </w:t>
      </w:r>
      <w:r>
        <w:t>Frankfurt a.M: Suh</w:t>
      </w:r>
      <w:r>
        <w:t>r</w:t>
      </w:r>
      <w:r>
        <w:t>kamp</w:t>
      </w:r>
      <w:r w:rsidR="00B1193C">
        <w:t xml:space="preserve"> 1971</w:t>
      </w:r>
      <w:r>
        <w:t>.</w:t>
      </w:r>
    </w:p>
    <w:p w:rsidR="00840549" w:rsidRDefault="00840549" w:rsidP="009F0669">
      <w:pPr>
        <w:pStyle w:val="Text"/>
        <w:ind w:left="454" w:hanging="454"/>
      </w:pPr>
      <w:r>
        <w:t>Frank, Helmar (2003), „Semiotik und Informationstheorie“. In: Posner u.a. 1997–2004, Bd. 3: 2418-2437.</w:t>
      </w:r>
    </w:p>
    <w:p w:rsidR="00994215" w:rsidRPr="00994215" w:rsidRDefault="00994215" w:rsidP="009F0669">
      <w:pPr>
        <w:ind w:left="454" w:hanging="454"/>
      </w:pPr>
      <w:r w:rsidRPr="00994215">
        <w:t>Franke, Ursula (1998</w:t>
      </w:r>
      <w:r w:rsidRPr="00994215">
        <w:rPr>
          <w:rFonts w:cs="Times New Roman"/>
        </w:rPr>
        <w:t xml:space="preserve">), „Zeichenkonzeptionen in der Kunstphilosophie und Asthetik </w:t>
      </w:r>
      <w:r w:rsidRPr="00994215">
        <w:rPr>
          <w:rFonts w:eastAsia="TimesNRMT" w:cs="Times New Roman"/>
        </w:rPr>
        <w:t>von der Renaissance bis zum fruhen 19. Jahrhundert“</w:t>
      </w:r>
      <w:r>
        <w:rPr>
          <w:rFonts w:eastAsia="TimesNRMT" w:cs="Times New Roman"/>
        </w:rPr>
        <w:t xml:space="preserve">. In: </w:t>
      </w:r>
      <w:r w:rsidRPr="006B1205">
        <w:t>Posner u.a</w:t>
      </w:r>
      <w:r w:rsidR="006B1205" w:rsidRPr="006B1205">
        <w:t>.</w:t>
      </w:r>
      <w:r w:rsidRPr="006B1205">
        <w:t xml:space="preserve"> 1997–2004, Bd. 2: 1232-1262.</w:t>
      </w:r>
    </w:p>
    <w:p w:rsidR="00D2554C" w:rsidRPr="00620BDE" w:rsidRDefault="00D2554C" w:rsidP="009F0669">
      <w:pPr>
        <w:pStyle w:val="Text"/>
        <w:ind w:left="454" w:hanging="454"/>
        <w:rPr>
          <w:lang w:val="en-US"/>
        </w:rPr>
      </w:pPr>
      <w:r w:rsidRPr="007E6653">
        <w:t xml:space="preserve">Frankl, Paul (1988), </w:t>
      </w:r>
      <w:r w:rsidRPr="007E6653">
        <w:rPr>
          <w:i/>
          <w:iCs/>
        </w:rPr>
        <w:t>Zu Fragen des Stils</w:t>
      </w:r>
      <w:r w:rsidRPr="007E6653">
        <w:t xml:space="preserve">. </w:t>
      </w:r>
      <w:r w:rsidR="002275E2" w:rsidRPr="00620BDE">
        <w:rPr>
          <w:lang w:val="en-US"/>
        </w:rPr>
        <w:t>Leipzig: E.A.Seemann</w:t>
      </w:r>
      <w:r w:rsidRPr="00620BDE">
        <w:rPr>
          <w:lang w:val="en-US"/>
        </w:rPr>
        <w:t>.</w:t>
      </w:r>
    </w:p>
    <w:p w:rsidR="00FA499B" w:rsidRDefault="00FA499B" w:rsidP="00FA499B">
      <w:pPr>
        <w:pStyle w:val="Text"/>
        <w:ind w:left="454" w:hanging="454"/>
        <w:rPr>
          <w:rStyle w:val="mediumb-text"/>
        </w:rPr>
      </w:pPr>
      <w:r w:rsidRPr="00573AC4">
        <w:rPr>
          <w:lang w:val="en-US"/>
        </w:rPr>
        <w:t>Freeman, William T., Joshua B. Tenenbaum und Egon Pasztor (2003), „</w:t>
      </w:r>
      <w:r w:rsidRPr="00573AC4">
        <w:rPr>
          <w:rStyle w:val="Fett"/>
          <w:b w:val="0"/>
          <w:lang w:val="en-US"/>
        </w:rPr>
        <w:t xml:space="preserve">Learning </w:t>
      </w:r>
      <w:r w:rsidR="00566770">
        <w:rPr>
          <w:rStyle w:val="Fett"/>
          <w:b w:val="0"/>
          <w:lang w:val="en-US"/>
        </w:rPr>
        <w:t>S</w:t>
      </w:r>
      <w:r w:rsidRPr="00573AC4">
        <w:rPr>
          <w:rStyle w:val="Fett"/>
          <w:b w:val="0"/>
          <w:lang w:val="en-US"/>
        </w:rPr>
        <w:t xml:space="preserve">tyle </w:t>
      </w:r>
      <w:r w:rsidR="00566770">
        <w:rPr>
          <w:rStyle w:val="Fett"/>
          <w:b w:val="0"/>
          <w:lang w:val="en-US"/>
        </w:rPr>
        <w:t>T</w:t>
      </w:r>
      <w:r w:rsidRPr="00573AC4">
        <w:rPr>
          <w:rStyle w:val="Fett"/>
          <w:b w:val="0"/>
          <w:lang w:val="en-US"/>
        </w:rPr>
        <w:t xml:space="preserve">ranslation for the </w:t>
      </w:r>
      <w:r w:rsidR="00566770">
        <w:rPr>
          <w:rStyle w:val="Fett"/>
          <w:b w:val="0"/>
          <w:lang w:val="en-US"/>
        </w:rPr>
        <w:t>L</w:t>
      </w:r>
      <w:r w:rsidRPr="00573AC4">
        <w:rPr>
          <w:rStyle w:val="Fett"/>
          <w:b w:val="0"/>
          <w:lang w:val="en-US"/>
        </w:rPr>
        <w:t xml:space="preserve">ines of a </w:t>
      </w:r>
      <w:r w:rsidR="00566770">
        <w:rPr>
          <w:rStyle w:val="Fett"/>
          <w:b w:val="0"/>
          <w:lang w:val="en-US"/>
        </w:rPr>
        <w:t>D</w:t>
      </w:r>
      <w:r w:rsidRPr="00573AC4">
        <w:rPr>
          <w:rStyle w:val="Fett"/>
          <w:b w:val="0"/>
          <w:lang w:val="en-US"/>
        </w:rPr>
        <w:t>rawing</w:t>
      </w:r>
      <w:r w:rsidRPr="00573AC4">
        <w:rPr>
          <w:lang w:val="en-US"/>
        </w:rPr>
        <w:t>“</w:t>
      </w:r>
      <w:r w:rsidRPr="00573AC4">
        <w:rPr>
          <w:rStyle w:val="Fett"/>
          <w:b w:val="0"/>
          <w:lang w:val="en-US"/>
        </w:rPr>
        <w:t xml:space="preserve">. </w:t>
      </w:r>
      <w:r w:rsidRPr="00B96CA1">
        <w:rPr>
          <w:rStyle w:val="mediumb-text"/>
          <w:i/>
        </w:rPr>
        <w:t>ACM Transactions on Gr</w:t>
      </w:r>
      <w:r w:rsidRPr="00B96CA1">
        <w:rPr>
          <w:rStyle w:val="mediumb-text"/>
          <w:i/>
        </w:rPr>
        <w:t>a</w:t>
      </w:r>
      <w:r w:rsidRPr="00B96CA1">
        <w:rPr>
          <w:rStyle w:val="mediumb-text"/>
          <w:i/>
        </w:rPr>
        <w:t>phics (TOG)</w:t>
      </w:r>
      <w:r w:rsidRPr="00B96CA1">
        <w:rPr>
          <w:rStyle w:val="mediumb-text"/>
        </w:rPr>
        <w:t xml:space="preserve"> 22, 1: 33-46. </w:t>
      </w:r>
      <w:r w:rsidRPr="00E56013">
        <w:rPr>
          <w:rStyle w:val="mediumb-text"/>
        </w:rPr>
        <w:t>Online unter: http://yuwing.kaist.ac.kr/courses/</w:t>
      </w:r>
      <w:r w:rsidR="0009097E">
        <w:rPr>
          <w:rStyle w:val="mediumb-text"/>
        </w:rPr>
        <w:br/>
      </w:r>
      <w:r w:rsidRPr="00E56013">
        <w:rPr>
          <w:rStyle w:val="mediumb-text"/>
        </w:rPr>
        <w:t>CS770/reading/line-translation_freeman.pdf; Einsicht am 1</w:t>
      </w:r>
      <w:r w:rsidR="001F3A51">
        <w:rPr>
          <w:rStyle w:val="mediumb-text"/>
        </w:rPr>
        <w:t>8</w:t>
      </w:r>
      <w:r w:rsidRPr="00E56013">
        <w:rPr>
          <w:rStyle w:val="mediumb-text"/>
        </w:rPr>
        <w:t>.0</w:t>
      </w:r>
      <w:r w:rsidR="001F3A51">
        <w:rPr>
          <w:rStyle w:val="mediumb-text"/>
        </w:rPr>
        <w:t>1</w:t>
      </w:r>
      <w:r w:rsidRPr="00E56013">
        <w:rPr>
          <w:rStyle w:val="mediumb-text"/>
        </w:rPr>
        <w:t>.201</w:t>
      </w:r>
      <w:r w:rsidR="001F3A51">
        <w:rPr>
          <w:rStyle w:val="mediumb-text"/>
        </w:rPr>
        <w:t>2</w:t>
      </w:r>
      <w:r w:rsidRPr="00E56013">
        <w:rPr>
          <w:rStyle w:val="mediumb-text"/>
        </w:rPr>
        <w:t>.</w:t>
      </w:r>
    </w:p>
    <w:p w:rsidR="00A66615" w:rsidRDefault="00A66615" w:rsidP="00A66615">
      <w:pPr>
        <w:ind w:left="454" w:hanging="454"/>
      </w:pPr>
      <w:r>
        <w:t>Frege, Gottlob (1892), „</w:t>
      </w:r>
      <w:r>
        <w:rPr>
          <w:rFonts w:hint="eastAsia"/>
        </w:rPr>
        <w:t>Ü</w:t>
      </w:r>
      <w:r>
        <w:t xml:space="preserve">ber Sinn und Bedeutung“. </w:t>
      </w:r>
      <w:r w:rsidRPr="00A66615">
        <w:rPr>
          <w:i/>
        </w:rPr>
        <w:t>Zeitschrift fur Philosophie und philosophische Kritik</w:t>
      </w:r>
      <w:r w:rsidRPr="00012DB9">
        <w:t xml:space="preserve"> 100:</w:t>
      </w:r>
      <w:r w:rsidRPr="00012DB9">
        <w:rPr>
          <w:rFonts w:ascii="TimesNRMT-Italic" w:eastAsia="TimesNRMT-Italic" w:cs="TimesNRMT-Italic"/>
          <w:iCs/>
        </w:rPr>
        <w:t xml:space="preserve"> </w:t>
      </w:r>
      <w:r>
        <w:t>25-50. Erneut (mit Originalpaginierung) in: Ders.</w:t>
      </w:r>
      <w:r w:rsidR="0071238D">
        <w:t xml:space="preserve"> (1990)</w:t>
      </w:r>
      <w:r>
        <w:t xml:space="preserve">, </w:t>
      </w:r>
      <w:r w:rsidRPr="00A66615">
        <w:rPr>
          <w:i/>
        </w:rPr>
        <w:t>Kleine Schriften.</w:t>
      </w:r>
      <w:r>
        <w:rPr>
          <w:rFonts w:ascii="TimesNRMT-Italic" w:eastAsia="TimesNRMT-Italic" w:cs="TimesNRMT-Italic"/>
          <w:i/>
          <w:iCs/>
        </w:rPr>
        <w:t xml:space="preserve"> </w:t>
      </w:r>
      <w:r>
        <w:t>Hg. von Ignacio Angelelli.</w:t>
      </w:r>
      <w:r w:rsidR="00250892">
        <w:t xml:space="preserve"> 2. Aufl. Hilde</w:t>
      </w:r>
      <w:r w:rsidR="00250892">
        <w:t>s</w:t>
      </w:r>
      <w:r w:rsidR="00250892">
        <w:t>heim</w:t>
      </w:r>
      <w:r w:rsidR="0071238D">
        <w:t>: Olms.</w:t>
      </w:r>
      <w:r>
        <w:t xml:space="preserve"> 143-162.</w:t>
      </w:r>
    </w:p>
    <w:p w:rsidR="008A234B" w:rsidRDefault="008A234B" w:rsidP="009F0669">
      <w:pPr>
        <w:pStyle w:val="Text"/>
        <w:ind w:left="454" w:hanging="454"/>
      </w:pPr>
      <w:r w:rsidRPr="002A449B">
        <w:lastRenderedPageBreak/>
        <w:t xml:space="preserve">Frey, </w:t>
      </w:r>
      <w:r w:rsidR="002A449B" w:rsidRPr="002A449B">
        <w:rPr>
          <w:rStyle w:val="Hervorhebung"/>
          <w:i w:val="0"/>
        </w:rPr>
        <w:t>Eberhard</w:t>
      </w:r>
      <w:r w:rsidR="002A449B">
        <w:rPr>
          <w:rStyle w:val="Hervorhebung"/>
          <w:i w:val="0"/>
        </w:rPr>
        <w:t xml:space="preserve"> (1970)</w:t>
      </w:r>
      <w:r w:rsidR="002A449B" w:rsidRPr="002A449B">
        <w:rPr>
          <w:rStyle w:val="Hervorhebung"/>
          <w:i w:val="0"/>
        </w:rPr>
        <w:t>,</w:t>
      </w:r>
      <w:r w:rsidR="002A449B" w:rsidRPr="002A449B">
        <w:t xml:space="preserve"> </w:t>
      </w:r>
      <w:r w:rsidR="002A449B">
        <w:rPr>
          <w:rStyle w:val="Hervorhebung"/>
        </w:rPr>
        <w:t>Franz Kafkas</w:t>
      </w:r>
      <w:r w:rsidR="002A449B" w:rsidRPr="002A449B">
        <w:rPr>
          <w:i/>
        </w:rPr>
        <w:t xml:space="preserve"> Erzählstil. Eine Demonstration neuer sti</w:t>
      </w:r>
      <w:r w:rsidR="002A449B" w:rsidRPr="002A449B">
        <w:rPr>
          <w:i/>
        </w:rPr>
        <w:t>l</w:t>
      </w:r>
      <w:r w:rsidR="002A449B" w:rsidRPr="002A449B">
        <w:rPr>
          <w:i/>
        </w:rPr>
        <w:t xml:space="preserve">analytischer Methoden an Kafkas Erzählung </w:t>
      </w:r>
      <w:r w:rsidR="002A449B">
        <w:rPr>
          <w:i/>
        </w:rPr>
        <w:t>„</w:t>
      </w:r>
      <w:r w:rsidR="002A449B" w:rsidRPr="002A449B">
        <w:rPr>
          <w:i/>
        </w:rPr>
        <w:t>Ein Hungerkünstler</w:t>
      </w:r>
      <w:r w:rsidR="002A449B">
        <w:rPr>
          <w:i/>
        </w:rPr>
        <w:t>“</w:t>
      </w:r>
      <w:r w:rsidR="002A449B" w:rsidRPr="002A449B">
        <w:rPr>
          <w:i/>
        </w:rPr>
        <w:t>.</w:t>
      </w:r>
      <w:r w:rsidR="002A449B">
        <w:t xml:space="preserve"> Bern</w:t>
      </w:r>
      <w:r w:rsidR="002C4FE8">
        <w:t xml:space="preserve"> u.a.</w:t>
      </w:r>
      <w:r w:rsidR="002A449B">
        <w:t>: Lang.</w:t>
      </w:r>
    </w:p>
    <w:p w:rsidR="00AA3D6E" w:rsidRDefault="00AA3D6E" w:rsidP="009F0669">
      <w:pPr>
        <w:pStyle w:val="Text"/>
        <w:ind w:left="454" w:hanging="454"/>
      </w:pPr>
      <w:r w:rsidRPr="00AA3D6E">
        <w:rPr>
          <w:rStyle w:val="Hervorhebung"/>
          <w:i w:val="0"/>
        </w:rPr>
        <w:t>Frey</w:t>
      </w:r>
      <w:r w:rsidRPr="00AA3D6E">
        <w:rPr>
          <w:i/>
        </w:rPr>
        <w:t xml:space="preserve">, </w:t>
      </w:r>
      <w:r w:rsidRPr="00AA3D6E">
        <w:rPr>
          <w:rStyle w:val="Hervorhebung"/>
          <w:i w:val="0"/>
        </w:rPr>
        <w:t>Eberhard (1974),</w:t>
      </w:r>
      <w:r w:rsidRPr="00AA3D6E">
        <w:rPr>
          <w:i/>
        </w:rPr>
        <w:t xml:space="preserve"> </w:t>
      </w:r>
      <w:r>
        <w:rPr>
          <w:rStyle w:val="Hervorhebung"/>
          <w:i w:val="0"/>
        </w:rPr>
        <w:t>„R</w:t>
      </w:r>
      <w:r w:rsidRPr="00AA3D6E">
        <w:rPr>
          <w:rStyle w:val="Hervorhebung"/>
          <w:i w:val="0"/>
        </w:rPr>
        <w:t>ezeption literarischer Stilmittel</w:t>
      </w:r>
      <w:r>
        <w:rPr>
          <w:rStyle w:val="Hervorhebung"/>
          <w:i w:val="0"/>
        </w:rPr>
        <w:t xml:space="preserve">. </w:t>
      </w:r>
      <w:r>
        <w:t xml:space="preserve">Beobachtungen am ‚Durchschnittsleser‘“. </w:t>
      </w:r>
      <w:r>
        <w:rPr>
          <w:i/>
        </w:rPr>
        <w:t>LiLi. Z</w:t>
      </w:r>
      <w:r w:rsidRPr="00AA3D6E">
        <w:rPr>
          <w:i/>
        </w:rPr>
        <w:t>eitschrift für Literaturwissenschaft und Lingui</w:t>
      </w:r>
      <w:r w:rsidRPr="00AA3D6E">
        <w:rPr>
          <w:i/>
        </w:rPr>
        <w:t>s</w:t>
      </w:r>
      <w:r w:rsidRPr="00AA3D6E">
        <w:rPr>
          <w:i/>
        </w:rPr>
        <w:t>tik</w:t>
      </w:r>
      <w:r>
        <w:t xml:space="preserve"> 4, 15: 80-94.</w:t>
      </w:r>
    </w:p>
    <w:p w:rsidR="002C4FE8" w:rsidRDefault="002C4FE8" w:rsidP="009F0669">
      <w:pPr>
        <w:pStyle w:val="Text"/>
        <w:ind w:left="454" w:hanging="454"/>
      </w:pPr>
      <w:r>
        <w:t xml:space="preserve">Frey, Eberhard (1975), </w:t>
      </w:r>
      <w:r w:rsidRPr="002C4FE8">
        <w:rPr>
          <w:i/>
        </w:rPr>
        <w:t>Theoretische und praktische Ansätze zur wissenschaftlichen Stilanalyse.</w:t>
      </w:r>
      <w:r>
        <w:t xml:space="preserve"> </w:t>
      </w:r>
      <w:r w:rsidRPr="00980151">
        <w:t>Bern u.a.: Lang.</w:t>
      </w:r>
    </w:p>
    <w:p w:rsidR="00E14FC1" w:rsidRDefault="00E14FC1" w:rsidP="009F0669">
      <w:pPr>
        <w:pStyle w:val="Text"/>
        <w:ind w:left="454" w:hanging="454"/>
      </w:pPr>
      <w:r>
        <w:t xml:space="preserve">Friebel, Volker (2000), </w:t>
      </w:r>
      <w:r>
        <w:rPr>
          <w:i/>
          <w:iCs/>
        </w:rPr>
        <w:t>Innere Bilder. Imaginative Techniken in der Psychother</w:t>
      </w:r>
      <w:r>
        <w:rPr>
          <w:i/>
          <w:iCs/>
        </w:rPr>
        <w:t>a</w:t>
      </w:r>
      <w:r>
        <w:rPr>
          <w:i/>
          <w:iCs/>
        </w:rPr>
        <w:t>pie</w:t>
      </w:r>
      <w:r>
        <w:t>. Düsseldorf: Walter.</w:t>
      </w:r>
    </w:p>
    <w:p w:rsidR="00166387" w:rsidRDefault="00166387" w:rsidP="009F0669">
      <w:pPr>
        <w:pStyle w:val="Text"/>
        <w:ind w:left="454" w:hanging="454"/>
      </w:pPr>
      <w:r>
        <w:t>Fucks,</w:t>
      </w:r>
      <w:r w:rsidR="00526517">
        <w:t xml:space="preserve"> </w:t>
      </w:r>
      <w:r>
        <w:t xml:space="preserve">Wilhelm (1955), </w:t>
      </w:r>
      <w:r w:rsidRPr="00166387">
        <w:rPr>
          <w:i/>
        </w:rPr>
        <w:t>Mathematische Analyse von Sprachelementen, Sprachstil und Sprachen.</w:t>
      </w:r>
      <w:r>
        <w:t xml:space="preserve"> Köln u.a.: Westdeutscher Verlag.</w:t>
      </w:r>
    </w:p>
    <w:p w:rsidR="00E716E4" w:rsidRDefault="001C3A64" w:rsidP="009F0669">
      <w:pPr>
        <w:pStyle w:val="Text"/>
        <w:ind w:left="454" w:hanging="454"/>
      </w:pPr>
      <w:r>
        <w:t>Gadamer, Hans-Georg (1960</w:t>
      </w:r>
      <w:r w:rsidRPr="00C07CE8">
        <w:t>)</w:t>
      </w:r>
      <w:r w:rsidR="00A75A34" w:rsidRPr="00824B50">
        <w:t xml:space="preserve">, </w:t>
      </w:r>
      <w:r w:rsidR="00E716E4" w:rsidRPr="00824B50">
        <w:rPr>
          <w:i/>
        </w:rPr>
        <w:t>Wahrheit und Methode. Grundzüge einer philos</w:t>
      </w:r>
      <w:r w:rsidR="00E716E4" w:rsidRPr="00824B50">
        <w:rPr>
          <w:i/>
        </w:rPr>
        <w:t>o</w:t>
      </w:r>
      <w:r w:rsidR="00E716E4" w:rsidRPr="00824B50">
        <w:rPr>
          <w:i/>
        </w:rPr>
        <w:t>phischen Hermeneutik.</w:t>
      </w:r>
      <w:r w:rsidR="00E716E4" w:rsidRPr="00824B50">
        <w:t xml:space="preserve"> </w:t>
      </w:r>
      <w:r w:rsidR="00A75A34" w:rsidRPr="00824B50">
        <w:t>Tübingen: Mohr.</w:t>
      </w:r>
    </w:p>
    <w:p w:rsidR="0090034E" w:rsidRPr="00643197" w:rsidRDefault="0090034E" w:rsidP="009F0669">
      <w:pPr>
        <w:pStyle w:val="Text"/>
        <w:ind w:left="454" w:hanging="454"/>
        <w:rPr>
          <w:lang w:val="en-US"/>
        </w:rPr>
      </w:pPr>
      <w:r>
        <w:t xml:space="preserve">Gardt, Andreas (2009), </w:t>
      </w:r>
      <w:r w:rsidR="00D82CC7">
        <w:t xml:space="preserve">„Stil und Bedeutung“. </w:t>
      </w:r>
      <w:r w:rsidR="00D82CC7" w:rsidRPr="00643197">
        <w:rPr>
          <w:lang w:val="en-US"/>
        </w:rPr>
        <w:t>In: Fix u.a. 2008–2009</w:t>
      </w:r>
      <w:r w:rsidR="009D2CB4" w:rsidRPr="00643197">
        <w:rPr>
          <w:lang w:val="en-US"/>
        </w:rPr>
        <w:t>, Bd. 2:</w:t>
      </w:r>
      <w:r w:rsidR="00D82CC7" w:rsidRPr="00643197">
        <w:rPr>
          <w:lang w:val="en-US"/>
        </w:rPr>
        <w:t xml:space="preserve"> 1196-1210.</w:t>
      </w:r>
    </w:p>
    <w:p w:rsidR="002E7EFB" w:rsidRPr="00083AF6" w:rsidRDefault="006A2491" w:rsidP="009F0669">
      <w:pPr>
        <w:pStyle w:val="Text"/>
        <w:ind w:left="454" w:hanging="454"/>
      </w:pPr>
      <w:r w:rsidRPr="006A2491">
        <w:rPr>
          <w:lang w:val="en-US"/>
        </w:rPr>
        <w:t xml:space="preserve">Gear, Jane (1989), </w:t>
      </w:r>
      <w:r w:rsidRPr="006A2491">
        <w:rPr>
          <w:i/>
          <w:lang w:val="en-US"/>
        </w:rPr>
        <w:t>Perception and the Evolution of Style</w:t>
      </w:r>
      <w:r w:rsidR="005D1236">
        <w:rPr>
          <w:i/>
          <w:lang w:val="en-US"/>
        </w:rPr>
        <w:t>.</w:t>
      </w:r>
      <w:r w:rsidRPr="006A2491">
        <w:rPr>
          <w:i/>
          <w:lang w:val="en-US"/>
        </w:rPr>
        <w:t xml:space="preserve"> A New Model of Mind.</w:t>
      </w:r>
      <w:r>
        <w:rPr>
          <w:lang w:val="en-US"/>
        </w:rPr>
        <w:t xml:space="preserve"> </w:t>
      </w:r>
      <w:r w:rsidRPr="00083AF6">
        <w:t>London: Routledge.</w:t>
      </w:r>
    </w:p>
    <w:p w:rsidR="0052540C" w:rsidRDefault="0052540C" w:rsidP="009F0669">
      <w:pPr>
        <w:pStyle w:val="Text"/>
        <w:ind w:left="454" w:hanging="454"/>
      </w:pPr>
      <w:r w:rsidRPr="00083AF6">
        <w:t xml:space="preserve">Geckeler, Horst (Hg.) (1978), </w:t>
      </w:r>
      <w:r w:rsidRPr="00083AF6">
        <w:rPr>
          <w:i/>
          <w:iCs/>
        </w:rPr>
        <w:t xml:space="preserve">Strukturelle Bedeutungslehre. </w:t>
      </w:r>
      <w:r>
        <w:t>Darmstadt: Wisse</w:t>
      </w:r>
      <w:r>
        <w:t>n</w:t>
      </w:r>
      <w:r>
        <w:t>schaftliche Buchgesellschaft.</w:t>
      </w:r>
    </w:p>
    <w:p w:rsidR="002C41CC" w:rsidRDefault="002C41CC" w:rsidP="009F0669">
      <w:pPr>
        <w:pStyle w:val="Text"/>
        <w:ind w:left="454" w:hanging="454"/>
      </w:pPr>
      <w:r>
        <w:t xml:space="preserve">Genette, Gérard (1994), </w:t>
      </w:r>
      <w:r>
        <w:rPr>
          <w:i/>
          <w:iCs/>
        </w:rPr>
        <w:t>Die Erzählung</w:t>
      </w:r>
      <w:r>
        <w:t>. München: Fink.</w:t>
      </w:r>
    </w:p>
    <w:p w:rsidR="00E51953" w:rsidRPr="00824B50" w:rsidRDefault="00E51953" w:rsidP="009F0669">
      <w:pPr>
        <w:pStyle w:val="Text"/>
        <w:ind w:left="454" w:hanging="454"/>
      </w:pPr>
      <w:r>
        <w:t xml:space="preserve">Gévaudan, Paul (2008), „Tropen und Figuren“. In: </w:t>
      </w:r>
      <w:r w:rsidRPr="00E53621">
        <w:t>Fix u.a. 2008–2009</w:t>
      </w:r>
      <w:r w:rsidR="009D2CB4">
        <w:t>, Bd. 1:</w:t>
      </w:r>
      <w:r>
        <w:t xml:space="preserve"> 728-742.</w:t>
      </w:r>
    </w:p>
    <w:p w:rsidR="008C205F" w:rsidRDefault="008C205F" w:rsidP="009F0669">
      <w:pPr>
        <w:pStyle w:val="Text"/>
        <w:ind w:left="454" w:hanging="454"/>
      </w:pPr>
      <w:r>
        <w:t>Gläser, Rosemarie (1976), „Die Stilkategorie ‚register‘</w:t>
      </w:r>
      <w:r w:rsidR="009A7FF5">
        <w:t xml:space="preserve"> </w:t>
      </w:r>
      <w:r>
        <w:t xml:space="preserve">in soziolinguistischer Sicht“. </w:t>
      </w:r>
      <w:r w:rsidRPr="008C205F">
        <w:rPr>
          <w:i/>
        </w:rPr>
        <w:t>Zeitschrift für Phonetik, Sprachwissenschaft und Kommunikationsfo</w:t>
      </w:r>
      <w:r w:rsidRPr="008C205F">
        <w:rPr>
          <w:i/>
        </w:rPr>
        <w:t>r</w:t>
      </w:r>
      <w:r w:rsidRPr="008C205F">
        <w:rPr>
          <w:i/>
        </w:rPr>
        <w:t>schung</w:t>
      </w:r>
      <w:r>
        <w:t xml:space="preserve"> 31: 159-169.</w:t>
      </w:r>
    </w:p>
    <w:p w:rsidR="00551C53" w:rsidRDefault="00551C53" w:rsidP="009F0669">
      <w:pPr>
        <w:pStyle w:val="Text"/>
        <w:ind w:left="454" w:hanging="454"/>
      </w:pPr>
      <w:r>
        <w:t>Goethe, Johann Wolfgang von (1789), „Einfache Nachahmung der Natur, M</w:t>
      </w:r>
      <w:r>
        <w:t>a</w:t>
      </w:r>
      <w:r>
        <w:t xml:space="preserve">nier, Stil“. </w:t>
      </w:r>
      <w:r w:rsidR="008343D0" w:rsidRPr="00C62AB8">
        <w:rPr>
          <w:i/>
        </w:rPr>
        <w:t>Teutscher Merkur</w:t>
      </w:r>
      <w:r w:rsidR="008343D0" w:rsidRPr="00C62AB8">
        <w:t>, Februar 1789: 113-120.</w:t>
      </w:r>
    </w:p>
    <w:p w:rsidR="000C2F2C" w:rsidRPr="00E30C80" w:rsidRDefault="000C2F2C" w:rsidP="009F0669">
      <w:pPr>
        <w:pStyle w:val="Text"/>
        <w:ind w:left="454" w:hanging="454"/>
      </w:pPr>
      <w:r w:rsidRPr="000A6381">
        <w:t>Goldmann, Lucien (1970), „Structuralisme génétique et analyse stylistique“.</w:t>
      </w:r>
      <w:r w:rsidR="00E30C80" w:rsidRPr="000A6381">
        <w:t xml:space="preserve"> </w:t>
      </w:r>
      <w:r w:rsidR="00E30C80" w:rsidRPr="00E30C80">
        <w:t xml:space="preserve">In: </w:t>
      </w:r>
      <w:r w:rsidR="00E30C80">
        <w:t xml:space="preserve">Bruno Visentini (Hg.), </w:t>
      </w:r>
      <w:r w:rsidR="00E30C80" w:rsidRPr="00E30C80">
        <w:rPr>
          <w:i/>
        </w:rPr>
        <w:t>Linguaggi nella società e nella tecnica.</w:t>
      </w:r>
      <w:r w:rsidR="00E30C80" w:rsidRPr="00E30C80">
        <w:t xml:space="preserve"> </w:t>
      </w:r>
      <w:r w:rsidR="00E30C80">
        <w:t xml:space="preserve">Mailand: Edizioni di Comunità. </w:t>
      </w:r>
      <w:r w:rsidR="00E30C80" w:rsidRPr="00E30C80">
        <w:t>143-161.</w:t>
      </w:r>
    </w:p>
    <w:p w:rsidR="00A0015E" w:rsidRPr="00C62AB8" w:rsidRDefault="00A0015E" w:rsidP="009F0669">
      <w:pPr>
        <w:pStyle w:val="Text"/>
        <w:ind w:left="454" w:hanging="454"/>
        <w:rPr>
          <w:lang w:val="en-US"/>
        </w:rPr>
      </w:pPr>
      <w:r w:rsidRPr="00A0015E">
        <w:t xml:space="preserve">Gombrich, Ernst H. </w:t>
      </w:r>
      <w:r w:rsidR="00F10576">
        <w:t xml:space="preserve">(1985), </w:t>
      </w:r>
      <w:r>
        <w:t>„Norm und Form. Die Stilkategorien der Kunstg</w:t>
      </w:r>
      <w:r>
        <w:t>e</w:t>
      </w:r>
      <w:r>
        <w:t xml:space="preserve">schichte und ihr Ursprung in den Idealen der Renaissance“. In: Ders., </w:t>
      </w:r>
      <w:r w:rsidRPr="00A0015E">
        <w:rPr>
          <w:i/>
        </w:rPr>
        <w:t>Die Kunst der Renaissance</w:t>
      </w:r>
      <w:r>
        <w:t xml:space="preserve">, Bd. 1: </w:t>
      </w:r>
      <w:r w:rsidRPr="00A0015E">
        <w:rPr>
          <w:i/>
        </w:rPr>
        <w:t>Norm und Form.</w:t>
      </w:r>
      <w:r>
        <w:t xml:space="preserve"> </w:t>
      </w:r>
      <w:r w:rsidRPr="00C62AB8">
        <w:rPr>
          <w:lang w:val="en-US"/>
        </w:rPr>
        <w:t xml:space="preserve">Stuttgart: </w:t>
      </w:r>
      <w:r w:rsidR="009A7FF5">
        <w:rPr>
          <w:lang w:val="en-US"/>
        </w:rPr>
        <w:t>Klett-Cotta</w:t>
      </w:r>
      <w:r w:rsidRPr="00C62AB8">
        <w:rPr>
          <w:lang w:val="en-US"/>
        </w:rPr>
        <w:t>. 108-129.</w:t>
      </w:r>
    </w:p>
    <w:p w:rsidR="008761BB" w:rsidRPr="00C81151" w:rsidRDefault="008761BB" w:rsidP="009F0669">
      <w:pPr>
        <w:pStyle w:val="Text"/>
        <w:ind w:left="454" w:hanging="454"/>
        <w:rPr>
          <w:lang w:val="en-US"/>
        </w:rPr>
      </w:pPr>
      <w:r w:rsidRPr="00C62AB8">
        <w:rPr>
          <w:lang w:val="en-US"/>
        </w:rPr>
        <w:t xml:space="preserve">Goodman, Nelson (1969), </w:t>
      </w:r>
      <w:r w:rsidR="005D1236">
        <w:rPr>
          <w:i/>
          <w:lang w:val="en-US"/>
        </w:rPr>
        <w:t>Languages of Art.</w:t>
      </w:r>
      <w:r w:rsidR="00BC548F">
        <w:rPr>
          <w:i/>
          <w:lang w:val="en-US"/>
        </w:rPr>
        <w:t xml:space="preserve"> An Approach to a Theory of Symbols.</w:t>
      </w:r>
      <w:r w:rsidRPr="00C62AB8">
        <w:rPr>
          <w:lang w:val="en-US"/>
        </w:rPr>
        <w:t xml:space="preserve"> </w:t>
      </w:r>
      <w:r w:rsidRPr="00BC548F">
        <w:t>Oxford: Oxford University Press.</w:t>
      </w:r>
      <w:r w:rsidR="00BC548F" w:rsidRPr="00BC548F">
        <w:t xml:space="preserve"> Deutsch </w:t>
      </w:r>
      <w:r w:rsidR="004E6C3A">
        <w:t>von Bernd Philippi:</w:t>
      </w:r>
      <w:r w:rsidR="00BC548F">
        <w:t xml:space="preserve"> </w:t>
      </w:r>
      <w:r w:rsidR="00BC548F" w:rsidRPr="00BC548F">
        <w:rPr>
          <w:i/>
        </w:rPr>
        <w:t xml:space="preserve">Sprachen der Kunst. </w:t>
      </w:r>
      <w:r w:rsidR="00BC548F" w:rsidRPr="00A139AD">
        <w:rPr>
          <w:i/>
          <w:lang w:val="en-US"/>
        </w:rPr>
        <w:t>Entwurf einer Symboltheorie.</w:t>
      </w:r>
      <w:r w:rsidR="00BC548F" w:rsidRPr="00A139AD">
        <w:rPr>
          <w:lang w:val="en-US"/>
        </w:rPr>
        <w:t xml:space="preserve"> </w:t>
      </w:r>
      <w:r w:rsidR="00BC548F" w:rsidRPr="00C81151">
        <w:rPr>
          <w:lang w:val="en-US"/>
        </w:rPr>
        <w:t>Frankfurt a.M.: Suhrkamp</w:t>
      </w:r>
      <w:r w:rsidR="004E6C3A">
        <w:rPr>
          <w:lang w:val="en-US"/>
        </w:rPr>
        <w:t xml:space="preserve"> </w:t>
      </w:r>
      <w:r w:rsidR="004E6C3A" w:rsidRPr="009D549F">
        <w:rPr>
          <w:lang w:val="en-US"/>
        </w:rPr>
        <w:t>1995</w:t>
      </w:r>
      <w:r w:rsidR="00BC548F" w:rsidRPr="00C81151">
        <w:rPr>
          <w:lang w:val="en-US"/>
        </w:rPr>
        <w:t>.</w:t>
      </w:r>
    </w:p>
    <w:p w:rsidR="005C2A4F" w:rsidRPr="005C2A4F" w:rsidRDefault="005C2A4F" w:rsidP="009F0669">
      <w:pPr>
        <w:pStyle w:val="Text"/>
        <w:ind w:left="454" w:hanging="454"/>
      </w:pPr>
      <w:r w:rsidRPr="00C81151">
        <w:rPr>
          <w:lang w:val="en-US"/>
        </w:rPr>
        <w:t xml:space="preserve">Goodman, Nelson (1978), </w:t>
      </w:r>
      <w:r w:rsidRPr="00C81151">
        <w:rPr>
          <w:i/>
          <w:lang w:val="en-US"/>
        </w:rPr>
        <w:t>Ways of Worldmaking.</w:t>
      </w:r>
      <w:r w:rsidRPr="00C81151">
        <w:rPr>
          <w:lang w:val="en-US"/>
        </w:rPr>
        <w:t xml:space="preserve"> </w:t>
      </w:r>
      <w:r w:rsidRPr="0014025D">
        <w:rPr>
          <w:lang w:val="en-US"/>
        </w:rPr>
        <w:t xml:space="preserve">Indianapolis: Hackett. </w:t>
      </w:r>
      <w:r>
        <w:t xml:space="preserve">Deutsch </w:t>
      </w:r>
      <w:r w:rsidR="004E6C3A">
        <w:t>von Max Looser:</w:t>
      </w:r>
      <w:r>
        <w:t xml:space="preserve"> </w:t>
      </w:r>
      <w:r>
        <w:rPr>
          <w:i/>
          <w:iCs/>
        </w:rPr>
        <w:t>Weisen der Welterzeugung</w:t>
      </w:r>
      <w:r>
        <w:t>. Frankfurt a.M.: Suh</w:t>
      </w:r>
      <w:r>
        <w:t>r</w:t>
      </w:r>
      <w:r>
        <w:t>kamp</w:t>
      </w:r>
      <w:r w:rsidR="004E6C3A">
        <w:t xml:space="preserve"> 1984</w:t>
      </w:r>
      <w:r>
        <w:t>.</w:t>
      </w:r>
    </w:p>
    <w:p w:rsidR="00B13F76" w:rsidRPr="00980151" w:rsidRDefault="00B13F76" w:rsidP="009F0669">
      <w:pPr>
        <w:pStyle w:val="Text"/>
        <w:ind w:left="454" w:hanging="454"/>
      </w:pPr>
      <w:r>
        <w:t xml:space="preserve">Göttert, Karl-Heinz und Oliver Jungen (2004), </w:t>
      </w:r>
      <w:r w:rsidRPr="00B13F76">
        <w:rPr>
          <w:i/>
        </w:rPr>
        <w:t>Einführung in die Stilistik.</w:t>
      </w:r>
      <w:r>
        <w:t xml:space="preserve"> Mü</w:t>
      </w:r>
      <w:r>
        <w:t>n</w:t>
      </w:r>
      <w:r>
        <w:t>chen: Fink.</w:t>
      </w:r>
    </w:p>
    <w:p w:rsidR="00B6397A" w:rsidRPr="002F731B" w:rsidRDefault="00B6397A" w:rsidP="009F0669">
      <w:pPr>
        <w:pStyle w:val="Text"/>
        <w:ind w:left="454" w:hanging="454"/>
      </w:pPr>
      <w:r w:rsidRPr="00B6397A">
        <w:lastRenderedPageBreak/>
        <w:t xml:space="preserve">Göttner, Heide (1973), </w:t>
      </w:r>
      <w:r>
        <w:rPr>
          <w:i/>
          <w:iCs/>
        </w:rPr>
        <w:t>Logik der Interpretation. Analyse einer literaturwisse</w:t>
      </w:r>
      <w:r>
        <w:rPr>
          <w:i/>
          <w:iCs/>
        </w:rPr>
        <w:t>n</w:t>
      </w:r>
      <w:r>
        <w:rPr>
          <w:i/>
          <w:iCs/>
        </w:rPr>
        <w:t>schaftlichen Methode unter kritischer Betrachtung der Hermeneutik</w:t>
      </w:r>
      <w:r>
        <w:t xml:space="preserve">. </w:t>
      </w:r>
      <w:r w:rsidRPr="002F731B">
        <w:t>Mü</w:t>
      </w:r>
      <w:r w:rsidRPr="002F731B">
        <w:t>n</w:t>
      </w:r>
      <w:r w:rsidRPr="002F731B">
        <w:t>chen: Fink.</w:t>
      </w:r>
    </w:p>
    <w:p w:rsidR="00872DCA" w:rsidRPr="002F731B" w:rsidRDefault="00872DCA" w:rsidP="009F0669">
      <w:pPr>
        <w:pStyle w:val="Text"/>
        <w:ind w:left="454" w:hanging="454"/>
        <w:rPr>
          <w:lang w:val="en-US"/>
        </w:rPr>
      </w:pPr>
      <w:r w:rsidRPr="00872DCA">
        <w:t xml:space="preserve">Granger, Gilles-Gaston (1969), </w:t>
      </w:r>
      <w:r w:rsidRPr="00872DCA">
        <w:rPr>
          <w:i/>
        </w:rPr>
        <w:t>Essai d’une philosophie du style.</w:t>
      </w:r>
      <w:r w:rsidRPr="00872DCA">
        <w:t xml:space="preserve"> </w:t>
      </w:r>
      <w:r w:rsidRPr="002F731B">
        <w:rPr>
          <w:lang w:val="en-US"/>
        </w:rPr>
        <w:t>Paris: Armand Colin.</w:t>
      </w:r>
    </w:p>
    <w:p w:rsidR="00D44AF2" w:rsidRPr="00A826D1" w:rsidRDefault="003957B1" w:rsidP="009F0669">
      <w:pPr>
        <w:pStyle w:val="Text"/>
        <w:ind w:left="454" w:hanging="454"/>
      </w:pPr>
      <w:r w:rsidRPr="002C4FE8">
        <w:rPr>
          <w:lang w:val="en-US"/>
        </w:rPr>
        <w:t>Gray, Bennison (1969</w:t>
      </w:r>
      <w:r w:rsidR="00D44AF2" w:rsidRPr="002C4FE8">
        <w:rPr>
          <w:lang w:val="en-US"/>
        </w:rPr>
        <w:t xml:space="preserve">), </w:t>
      </w:r>
      <w:r w:rsidR="004B1414">
        <w:rPr>
          <w:i/>
          <w:lang w:val="en-US"/>
        </w:rPr>
        <w:t>Style.</w:t>
      </w:r>
      <w:r w:rsidRPr="002C4FE8">
        <w:rPr>
          <w:i/>
          <w:lang w:val="en-US"/>
        </w:rPr>
        <w:t xml:space="preserve"> The Problem and Its Solution.</w:t>
      </w:r>
      <w:r w:rsidRPr="002C4FE8">
        <w:rPr>
          <w:lang w:val="en-US"/>
        </w:rPr>
        <w:t xml:space="preserve"> </w:t>
      </w:r>
      <w:r w:rsidR="002B08F7" w:rsidRPr="00A826D1">
        <w:t>Den Haag u.a.: Mo</w:t>
      </w:r>
      <w:r w:rsidR="002B08F7" w:rsidRPr="00A826D1">
        <w:t>u</w:t>
      </w:r>
      <w:r w:rsidR="002B08F7" w:rsidRPr="00A826D1">
        <w:t>ton</w:t>
      </w:r>
      <w:r w:rsidRPr="00A826D1">
        <w:t>.</w:t>
      </w:r>
    </w:p>
    <w:p w:rsidR="003804E2" w:rsidRDefault="003804E2" w:rsidP="009F0669">
      <w:pPr>
        <w:tabs>
          <w:tab w:val="left" w:pos="8931"/>
        </w:tabs>
        <w:ind w:left="454" w:hanging="454"/>
        <w:rPr>
          <w:lang w:val="en-US"/>
        </w:rPr>
      </w:pPr>
      <w:r w:rsidRPr="008D0924">
        <w:rPr>
          <w:lang w:val="en-US"/>
        </w:rPr>
        <w:t xml:space="preserve">Grice, </w:t>
      </w:r>
      <w:r w:rsidR="00501DA2">
        <w:rPr>
          <w:lang w:val="en-US"/>
        </w:rPr>
        <w:t>H.</w:t>
      </w:r>
      <w:r w:rsidRPr="008D0924">
        <w:rPr>
          <w:lang w:val="en-US"/>
        </w:rPr>
        <w:t xml:space="preserve"> P</w:t>
      </w:r>
      <w:r w:rsidR="005B638C">
        <w:rPr>
          <w:lang w:val="en-US"/>
        </w:rPr>
        <w:t>aul</w:t>
      </w:r>
      <w:r w:rsidRPr="008D0924">
        <w:rPr>
          <w:lang w:val="en-US"/>
        </w:rPr>
        <w:t xml:space="preserve"> (1969), „Utterer’s Meaning and Intentions“</w:t>
      </w:r>
      <w:r w:rsidR="005B638C">
        <w:rPr>
          <w:lang w:val="en-US"/>
        </w:rPr>
        <w:t>.</w:t>
      </w:r>
      <w:r w:rsidRPr="008D0924">
        <w:rPr>
          <w:lang w:val="en-US"/>
        </w:rPr>
        <w:t xml:space="preserve"> </w:t>
      </w:r>
      <w:r w:rsidRPr="008D0924">
        <w:rPr>
          <w:i/>
          <w:lang w:val="en-US"/>
        </w:rPr>
        <w:t>Philosophical Review</w:t>
      </w:r>
      <w:r w:rsidRPr="008D0924">
        <w:rPr>
          <w:lang w:val="en-US"/>
        </w:rPr>
        <w:t xml:space="preserve"> 78</w:t>
      </w:r>
      <w:r>
        <w:rPr>
          <w:lang w:val="en-US"/>
        </w:rPr>
        <w:t>:</w:t>
      </w:r>
      <w:r w:rsidRPr="008D0924">
        <w:rPr>
          <w:lang w:val="en-US"/>
        </w:rPr>
        <w:t xml:space="preserve"> 147-177.</w:t>
      </w:r>
    </w:p>
    <w:p w:rsidR="005B638C" w:rsidRDefault="005B638C" w:rsidP="009F0669">
      <w:pPr>
        <w:tabs>
          <w:tab w:val="left" w:pos="8931"/>
        </w:tabs>
        <w:ind w:left="454" w:hanging="454"/>
        <w:rPr>
          <w:lang w:val="en-US"/>
        </w:rPr>
      </w:pPr>
      <w:r w:rsidRPr="008D0924">
        <w:rPr>
          <w:lang w:val="en-US"/>
        </w:rPr>
        <w:t xml:space="preserve">Grice, </w:t>
      </w:r>
      <w:r w:rsidR="00501DA2">
        <w:rPr>
          <w:lang w:val="en-US"/>
        </w:rPr>
        <w:t xml:space="preserve">H. </w:t>
      </w:r>
      <w:r w:rsidRPr="008D0924">
        <w:rPr>
          <w:lang w:val="en-US"/>
        </w:rPr>
        <w:t>P</w:t>
      </w:r>
      <w:r>
        <w:rPr>
          <w:lang w:val="en-US"/>
        </w:rPr>
        <w:t>aul</w:t>
      </w:r>
      <w:r w:rsidRPr="008D0924">
        <w:rPr>
          <w:lang w:val="en-US"/>
        </w:rPr>
        <w:t xml:space="preserve"> (1993), </w:t>
      </w:r>
      <w:r>
        <w:rPr>
          <w:i/>
          <w:lang w:val="en-US"/>
        </w:rPr>
        <w:t>Studies in the Way of Words.</w:t>
      </w:r>
      <w:r w:rsidRPr="008D0924">
        <w:rPr>
          <w:i/>
          <w:lang w:val="en-US"/>
        </w:rPr>
        <w:t xml:space="preserve"> </w:t>
      </w:r>
      <w:r w:rsidRPr="008D0924">
        <w:rPr>
          <w:lang w:val="en-US"/>
        </w:rPr>
        <w:t>Cambridge</w:t>
      </w:r>
      <w:r w:rsidR="00DD2B71">
        <w:rPr>
          <w:lang w:val="en-US"/>
        </w:rPr>
        <w:t>,</w:t>
      </w:r>
      <w:r>
        <w:rPr>
          <w:lang w:val="en-US"/>
        </w:rPr>
        <w:t xml:space="preserve"> MA</w:t>
      </w:r>
      <w:r w:rsidRPr="008D0924">
        <w:rPr>
          <w:lang w:val="en-US"/>
        </w:rPr>
        <w:t>: Harvard University Press</w:t>
      </w:r>
      <w:r>
        <w:rPr>
          <w:lang w:val="en-US"/>
        </w:rPr>
        <w:t>.</w:t>
      </w:r>
    </w:p>
    <w:p w:rsidR="009D6123" w:rsidRDefault="009D6123" w:rsidP="009F0669">
      <w:pPr>
        <w:tabs>
          <w:tab w:val="left" w:pos="8931"/>
        </w:tabs>
        <w:ind w:left="454" w:hanging="454"/>
      </w:pPr>
      <w:r w:rsidRPr="009D6123">
        <w:t xml:space="preserve">Grimm, Christian (1991), </w:t>
      </w:r>
      <w:r w:rsidR="00566770">
        <w:rPr>
          <w:i/>
        </w:rPr>
        <w:t>Zum Mythos Individualstil. M</w:t>
      </w:r>
      <w:r w:rsidRPr="009D6123">
        <w:rPr>
          <w:i/>
        </w:rPr>
        <w:t>ikrostilistische Unters</w:t>
      </w:r>
      <w:r w:rsidRPr="009D6123">
        <w:rPr>
          <w:i/>
        </w:rPr>
        <w:t>u</w:t>
      </w:r>
      <w:r w:rsidRPr="009D6123">
        <w:rPr>
          <w:i/>
        </w:rPr>
        <w:t>chungen zu Thomas Mann.</w:t>
      </w:r>
      <w:r>
        <w:t xml:space="preserve"> Würzburg: Königshausen und Neumann. Zugl.: Würzburg, Univ., Diss., 1989.</w:t>
      </w:r>
    </w:p>
    <w:p w:rsidR="002E3FAF" w:rsidRDefault="002E3FAF" w:rsidP="009F0669">
      <w:pPr>
        <w:tabs>
          <w:tab w:val="left" w:pos="8931"/>
        </w:tabs>
        <w:ind w:left="454" w:hanging="454"/>
      </w:pPr>
      <w:r>
        <w:t xml:space="preserve">Gsänger, Matthias und Jörg Klawitter (Hg.) (1995), </w:t>
      </w:r>
      <w:r w:rsidRPr="002E3FAF">
        <w:rPr>
          <w:i/>
        </w:rPr>
        <w:t>Modellbildung und Simul</w:t>
      </w:r>
      <w:r w:rsidRPr="002E3FAF">
        <w:rPr>
          <w:i/>
        </w:rPr>
        <w:t>a</w:t>
      </w:r>
      <w:r w:rsidRPr="002E3FAF">
        <w:rPr>
          <w:i/>
        </w:rPr>
        <w:t>tion in den Sozialwissenschaften.</w:t>
      </w:r>
      <w:r>
        <w:t xml:space="preserve"> Dettelbach: Röll.</w:t>
      </w:r>
    </w:p>
    <w:p w:rsidR="00867D2E" w:rsidRPr="0059632E" w:rsidRDefault="00867D2E" w:rsidP="009F0669">
      <w:pPr>
        <w:tabs>
          <w:tab w:val="left" w:pos="8931"/>
        </w:tabs>
        <w:ind w:left="454" w:hanging="454"/>
      </w:pPr>
      <w:r w:rsidRPr="00145639">
        <w:t xml:space="preserve">Guiraud, Pierre (1970), </w:t>
      </w:r>
      <w:r w:rsidRPr="00145639">
        <w:rPr>
          <w:i/>
        </w:rPr>
        <w:t>Problèmes et méthodes de la stylistique.</w:t>
      </w:r>
      <w:r w:rsidRPr="00145639">
        <w:t xml:space="preserve"> </w:t>
      </w:r>
      <w:r w:rsidRPr="0059632E">
        <w:t xml:space="preserve">Paris: </w:t>
      </w:r>
      <w:r w:rsidR="003C59D0" w:rsidRPr="001929CA">
        <w:t>Presses Universitaires de France</w:t>
      </w:r>
      <w:r w:rsidRPr="0059632E">
        <w:t>.</w:t>
      </w:r>
    </w:p>
    <w:p w:rsidR="00C123C0" w:rsidRDefault="00C123C0" w:rsidP="009F0669">
      <w:pPr>
        <w:tabs>
          <w:tab w:val="left" w:pos="8931"/>
        </w:tabs>
        <w:ind w:left="454" w:hanging="454"/>
      </w:pPr>
      <w:r>
        <w:t>Gumbrecht, Hans Ulrich (1986),</w:t>
      </w:r>
      <w:r w:rsidR="00A514D5">
        <w:t xml:space="preserve"> </w:t>
      </w:r>
      <w:r w:rsidR="00294C6F">
        <w:t>„Schwindende Stabilität der Wirklichkeit. Eine Geschichte des Stilbegriffs“</w:t>
      </w:r>
      <w:r>
        <w:t>.</w:t>
      </w:r>
      <w:r w:rsidR="00A514D5">
        <w:t xml:space="preserve"> In: </w:t>
      </w:r>
      <w:r w:rsidR="00294C6F">
        <w:t>Ders.</w:t>
      </w:r>
      <w:r w:rsidR="00A514D5">
        <w:t xml:space="preserve"> u.a. 1986: 726-788.</w:t>
      </w:r>
    </w:p>
    <w:p w:rsidR="00254696" w:rsidRDefault="00254696" w:rsidP="009F0669">
      <w:pPr>
        <w:tabs>
          <w:tab w:val="left" w:pos="8931"/>
        </w:tabs>
        <w:ind w:left="454" w:hanging="454"/>
      </w:pPr>
      <w:r>
        <w:t>Gumbrecht, Hans Ulrich und K. Ludwig Pfeiffer (Hg.) (1986), </w:t>
      </w:r>
      <w:r w:rsidR="00566770">
        <w:rPr>
          <w:i/>
          <w:iCs/>
        </w:rPr>
        <w:t>Stil.</w:t>
      </w:r>
      <w:r>
        <w:rPr>
          <w:i/>
          <w:iCs/>
        </w:rPr>
        <w:t xml:space="preserve"> Geschichten und Funktionen eines kulturwissenschaftlichen Diskurselements. </w:t>
      </w:r>
      <w:r w:rsidRPr="002C4072">
        <w:t>Frankfurt a.M.: Suhrkamp.</w:t>
      </w:r>
    </w:p>
    <w:p w:rsidR="00C00523" w:rsidRPr="009D6123" w:rsidRDefault="00C00523" w:rsidP="009F0669">
      <w:pPr>
        <w:tabs>
          <w:tab w:val="left" w:pos="8931"/>
        </w:tabs>
        <w:ind w:left="454" w:hanging="454"/>
      </w:pPr>
      <w:r>
        <w:t xml:space="preserve">Gunzenhäuser, Rul und Helmut Kreuzer (Hg.) (1965), </w:t>
      </w:r>
      <w:r w:rsidRPr="00C458B9">
        <w:rPr>
          <w:i/>
        </w:rPr>
        <w:t>Mathematik und Dic</w:t>
      </w:r>
      <w:r w:rsidRPr="00C458B9">
        <w:rPr>
          <w:i/>
        </w:rPr>
        <w:t>h</w:t>
      </w:r>
      <w:r w:rsidRPr="00C458B9">
        <w:rPr>
          <w:i/>
        </w:rPr>
        <w:t>tung.</w:t>
      </w:r>
      <w:r>
        <w:t xml:space="preserve"> München: Nymphenburger.</w:t>
      </w:r>
    </w:p>
    <w:p w:rsidR="00F00414" w:rsidRDefault="00F00414" w:rsidP="009F0669">
      <w:pPr>
        <w:pStyle w:val="Text"/>
        <w:ind w:left="454" w:hanging="454"/>
      </w:pPr>
      <w:r w:rsidRPr="009A4B77">
        <w:t>Habscheid, Stephan (2003)</w:t>
      </w:r>
      <w:r w:rsidR="00FA5DDE" w:rsidRPr="009A4B77">
        <w:t xml:space="preserve"> (Hg.)</w:t>
      </w:r>
      <w:r w:rsidRPr="009A4B77">
        <w:t xml:space="preserve">, </w:t>
      </w:r>
      <w:r w:rsidRPr="009A4B77">
        <w:rPr>
          <w:i/>
        </w:rPr>
        <w:t>Gruppenstile. Zur sprachlichen Inszenierung sozialer Zu</w:t>
      </w:r>
      <w:r w:rsidRPr="00F00414">
        <w:rPr>
          <w:i/>
        </w:rPr>
        <w:t>gehörigkeit.</w:t>
      </w:r>
      <w:r>
        <w:t xml:space="preserve"> </w:t>
      </w:r>
      <w:r w:rsidRPr="00D47B14">
        <w:t>Bern u.a.: Lang.</w:t>
      </w:r>
    </w:p>
    <w:p w:rsidR="007B5A21" w:rsidRPr="00F6198B" w:rsidRDefault="007B5A21" w:rsidP="009F0669">
      <w:pPr>
        <w:pStyle w:val="Text"/>
        <w:ind w:left="454" w:hanging="454"/>
      </w:pPr>
      <w:r>
        <w:t xml:space="preserve">Hahn, Alois (1986), „Soziologische Relevanzen des Stilbegriffs“. </w:t>
      </w:r>
      <w:r w:rsidRPr="00F6198B">
        <w:t>In: Gumbrecht u.a. 1986: 603-611.</w:t>
      </w:r>
    </w:p>
    <w:p w:rsidR="00354A21" w:rsidRPr="00D47B14" w:rsidRDefault="00354A21" w:rsidP="00354A21">
      <w:pPr>
        <w:pStyle w:val="Text"/>
        <w:ind w:left="454" w:hanging="454"/>
      </w:pPr>
      <w:r>
        <w:t>Halawa, Mark A. (2008</w:t>
      </w:r>
      <w:r w:rsidRPr="00C92B64">
        <w:t>),</w:t>
      </w:r>
      <w:r>
        <w:t xml:space="preserve"> </w:t>
      </w:r>
      <w:r w:rsidRPr="00DC68F2">
        <w:rPr>
          <w:i/>
        </w:rPr>
        <w:t>Wie sind Bilder möglich? Argumente für eine semiotische Fundierung des Bildbegriffs</w:t>
      </w:r>
      <w:r>
        <w:t>. Köln: Halem.</w:t>
      </w:r>
    </w:p>
    <w:p w:rsidR="00354A21" w:rsidRPr="00C92B64" w:rsidRDefault="00354A21" w:rsidP="00354A21">
      <w:pPr>
        <w:pStyle w:val="Text"/>
        <w:ind w:left="454" w:hanging="454"/>
      </w:pPr>
      <w:r w:rsidRPr="00C92B64">
        <w:t xml:space="preserve">Halawa, Mark A. (2009), </w:t>
      </w:r>
      <w:r>
        <w:t>„</w:t>
      </w:r>
      <w:r w:rsidRPr="00C92B64">
        <w:t xml:space="preserve">Widerständigkeit als Quellpunkt der Semiose. </w:t>
      </w:r>
      <w:r>
        <w:t>Mat</w:t>
      </w:r>
      <w:r>
        <w:t>e</w:t>
      </w:r>
      <w:r>
        <w:t xml:space="preserve">rialität, Präsenz und Ereignis in der Semiotik von C.S. Peirce“. </w:t>
      </w:r>
      <w:r>
        <w:rPr>
          <w:i/>
          <w:lang w:val="fr-FR"/>
        </w:rPr>
        <w:t>Kod</w:t>
      </w:r>
      <w:r>
        <w:rPr>
          <w:i/>
          <w:lang w:val="fr-FR"/>
        </w:rPr>
        <w:t>i</w:t>
      </w:r>
      <w:r>
        <w:rPr>
          <w:i/>
          <w:lang w:val="fr-FR"/>
        </w:rPr>
        <w:t xml:space="preserve">kas/Code. Ars Semeiotica 32, 1-2 </w:t>
      </w:r>
      <w:r>
        <w:rPr>
          <w:iCs/>
          <w:lang w:val="fr-FR"/>
        </w:rPr>
        <w:t xml:space="preserve">(Themenheft </w:t>
      </w:r>
      <w:r w:rsidRPr="0038337B">
        <w:rPr>
          <w:i/>
          <w:iCs/>
          <w:lang w:val="fr-FR"/>
        </w:rPr>
        <w:t>Zeichenmat</w:t>
      </w:r>
      <w:r>
        <w:rPr>
          <w:i/>
          <w:iCs/>
          <w:lang w:val="fr-FR"/>
        </w:rPr>
        <w:t>erialität, Körpe</w:t>
      </w:r>
      <w:r>
        <w:rPr>
          <w:i/>
          <w:iCs/>
          <w:lang w:val="fr-FR"/>
        </w:rPr>
        <w:t>r</w:t>
      </w:r>
      <w:r>
        <w:rPr>
          <w:i/>
          <w:iCs/>
          <w:lang w:val="fr-FR"/>
        </w:rPr>
        <w:t>sinn und (sub-)</w:t>
      </w:r>
      <w:r w:rsidRPr="0038337B">
        <w:rPr>
          <w:i/>
          <w:iCs/>
          <w:lang w:val="fr-FR"/>
        </w:rPr>
        <w:t>kulturelle Identität</w:t>
      </w:r>
      <w:r>
        <w:rPr>
          <w:iCs/>
          <w:lang w:val="fr-FR"/>
        </w:rPr>
        <w:t xml:space="preserve">): </w:t>
      </w:r>
      <w:r>
        <w:t>11-24.</w:t>
      </w:r>
    </w:p>
    <w:p w:rsidR="00A81364" w:rsidRPr="00F00414" w:rsidRDefault="001C5B83" w:rsidP="009F0669">
      <w:pPr>
        <w:pStyle w:val="Text"/>
        <w:ind w:left="454" w:hanging="454"/>
        <w:rPr>
          <w:lang w:val="en-US"/>
        </w:rPr>
      </w:pPr>
      <w:r>
        <w:rPr>
          <w:lang w:val="en-US"/>
        </w:rPr>
        <w:t xml:space="preserve">Halliday, </w:t>
      </w:r>
      <w:r w:rsidRPr="002C4FE8">
        <w:rPr>
          <w:lang w:val="en-US"/>
        </w:rPr>
        <w:t xml:space="preserve">Michael </w:t>
      </w:r>
      <w:r>
        <w:rPr>
          <w:lang w:val="en-US"/>
        </w:rPr>
        <w:t>A. </w:t>
      </w:r>
      <w:r w:rsidRPr="002C4FE8">
        <w:rPr>
          <w:lang w:val="en-US"/>
        </w:rPr>
        <w:t>K. (19</w:t>
      </w:r>
      <w:r>
        <w:rPr>
          <w:lang w:val="en-US"/>
        </w:rPr>
        <w:t>71</w:t>
      </w:r>
      <w:r w:rsidRPr="002C4FE8">
        <w:rPr>
          <w:lang w:val="en-US"/>
        </w:rPr>
        <w:t>)</w:t>
      </w:r>
      <w:r>
        <w:rPr>
          <w:lang w:val="en-US"/>
        </w:rPr>
        <w:t xml:space="preserve">, </w:t>
      </w:r>
      <w:r w:rsidRPr="001C5B83">
        <w:rPr>
          <w:lang w:val="en-US"/>
        </w:rPr>
        <w:t>„Linguistic Function and Literary Style</w:t>
      </w:r>
      <w:r>
        <w:rPr>
          <w:lang w:val="en-US"/>
        </w:rPr>
        <w:t>. A</w:t>
      </w:r>
      <w:r w:rsidRPr="001C5B83">
        <w:rPr>
          <w:lang w:val="en-US"/>
        </w:rPr>
        <w:t>n I</w:t>
      </w:r>
      <w:r w:rsidRPr="001C5B83">
        <w:rPr>
          <w:lang w:val="en-US"/>
        </w:rPr>
        <w:t>n</w:t>
      </w:r>
      <w:r w:rsidRPr="001C5B83">
        <w:rPr>
          <w:lang w:val="en-US"/>
        </w:rPr>
        <w:t>quiry into the Language of William Golding</w:t>
      </w:r>
      <w:r>
        <w:rPr>
          <w:lang w:val="en-US"/>
        </w:rPr>
        <w:t>’</w:t>
      </w:r>
      <w:r w:rsidRPr="001C5B83">
        <w:rPr>
          <w:lang w:val="en-US"/>
        </w:rPr>
        <w:t xml:space="preserve">s ‚The Inheritors‘“. </w:t>
      </w:r>
      <w:r>
        <w:rPr>
          <w:lang w:val="en-US"/>
        </w:rPr>
        <w:t>In: Se</w:t>
      </w:r>
      <w:r>
        <w:rPr>
          <w:lang w:val="en-US"/>
        </w:rPr>
        <w:t>y</w:t>
      </w:r>
      <w:r>
        <w:rPr>
          <w:lang w:val="en-US"/>
        </w:rPr>
        <w:t xml:space="preserve">mour Chatman (Hg.) (1971), </w:t>
      </w:r>
      <w:r w:rsidRPr="001C5B83">
        <w:rPr>
          <w:i/>
          <w:lang w:val="en-US"/>
        </w:rPr>
        <w:t xml:space="preserve">Literary </w:t>
      </w:r>
      <w:r w:rsidR="004E05CE">
        <w:rPr>
          <w:i/>
          <w:lang w:val="en-US"/>
        </w:rPr>
        <w:t>S</w:t>
      </w:r>
      <w:r w:rsidRPr="001C5B83">
        <w:rPr>
          <w:i/>
          <w:lang w:val="en-US"/>
        </w:rPr>
        <w:t xml:space="preserve">tyle. A </w:t>
      </w:r>
      <w:r w:rsidR="004E05CE">
        <w:rPr>
          <w:i/>
          <w:lang w:val="en-US"/>
        </w:rPr>
        <w:t>S</w:t>
      </w:r>
      <w:r w:rsidRPr="001C5B83">
        <w:rPr>
          <w:i/>
          <w:lang w:val="en-US"/>
        </w:rPr>
        <w:t>ymposium.</w:t>
      </w:r>
      <w:r>
        <w:rPr>
          <w:lang w:val="en-US"/>
        </w:rPr>
        <w:t xml:space="preserve"> </w:t>
      </w:r>
      <w:r>
        <w:rPr>
          <w:lang w:val="en-GB"/>
        </w:rPr>
        <w:t xml:space="preserve">Oxford: </w:t>
      </w:r>
      <w:r w:rsidRPr="00712825">
        <w:rPr>
          <w:lang w:val="en-US"/>
        </w:rPr>
        <w:t>Oxford University Press. 330-365.</w:t>
      </w:r>
    </w:p>
    <w:p w:rsidR="00D2554C" w:rsidRPr="00C461EE" w:rsidRDefault="00D2554C" w:rsidP="009F0669">
      <w:pPr>
        <w:pStyle w:val="Text"/>
        <w:ind w:left="454" w:hanging="454"/>
        <w:rPr>
          <w:lang w:val="en-US"/>
        </w:rPr>
      </w:pPr>
      <w:r w:rsidRPr="002C4FE8">
        <w:rPr>
          <w:lang w:val="en-US"/>
        </w:rPr>
        <w:t xml:space="preserve">Halliday, Michael </w:t>
      </w:r>
      <w:r w:rsidR="00A81364">
        <w:rPr>
          <w:lang w:val="en-US"/>
        </w:rPr>
        <w:t>A. </w:t>
      </w:r>
      <w:r w:rsidRPr="002C4FE8">
        <w:rPr>
          <w:lang w:val="en-US"/>
        </w:rPr>
        <w:t xml:space="preserve">K. (1985), </w:t>
      </w:r>
      <w:r w:rsidRPr="002C4FE8">
        <w:rPr>
          <w:i/>
          <w:iCs/>
          <w:lang w:val="en-US"/>
        </w:rPr>
        <w:t>An Introduct</w:t>
      </w:r>
      <w:r>
        <w:rPr>
          <w:i/>
          <w:iCs/>
          <w:lang w:val="en-GB"/>
        </w:rPr>
        <w:t xml:space="preserve">ion to Functional Grammar. </w:t>
      </w:r>
      <w:r w:rsidRPr="00C461EE">
        <w:rPr>
          <w:lang w:val="en-US"/>
        </w:rPr>
        <w:t>Lo</w:t>
      </w:r>
      <w:r w:rsidRPr="00C461EE">
        <w:rPr>
          <w:lang w:val="en-US"/>
        </w:rPr>
        <w:t>n</w:t>
      </w:r>
      <w:r w:rsidRPr="00C461EE">
        <w:rPr>
          <w:lang w:val="en-US"/>
        </w:rPr>
        <w:t>don: Arnold.</w:t>
      </w:r>
    </w:p>
    <w:p w:rsidR="00301AB3" w:rsidRDefault="00301AB3" w:rsidP="009F0669">
      <w:pPr>
        <w:pStyle w:val="Text"/>
        <w:ind w:left="454" w:hanging="454"/>
        <w:rPr>
          <w:lang w:val="en-US"/>
        </w:rPr>
      </w:pPr>
      <w:r w:rsidRPr="001D4911">
        <w:rPr>
          <w:lang w:val="en-US"/>
        </w:rPr>
        <w:lastRenderedPageBreak/>
        <w:t>Hatzfeld, Helmut (19</w:t>
      </w:r>
      <w:r>
        <w:rPr>
          <w:lang w:val="en-US"/>
        </w:rPr>
        <w:t>53</w:t>
      </w:r>
      <w:r w:rsidRPr="001D4911">
        <w:rPr>
          <w:lang w:val="en-US"/>
        </w:rPr>
        <w:t xml:space="preserve">), </w:t>
      </w:r>
      <w:r w:rsidRPr="001D4911">
        <w:rPr>
          <w:i/>
          <w:lang w:val="en-US"/>
        </w:rPr>
        <w:t xml:space="preserve">A Critical Bibliography </w:t>
      </w:r>
      <w:r>
        <w:rPr>
          <w:i/>
          <w:lang w:val="en-US"/>
        </w:rPr>
        <w:t>of the New Stylistics Applied to the Romance</w:t>
      </w:r>
      <w:r w:rsidR="00DD7717">
        <w:rPr>
          <w:i/>
          <w:lang w:val="en-US"/>
        </w:rPr>
        <w:t xml:space="preserve"> </w:t>
      </w:r>
      <w:r>
        <w:rPr>
          <w:i/>
          <w:lang w:val="en-US"/>
        </w:rPr>
        <w:t>Literatures (1900</w:t>
      </w:r>
      <w:r w:rsidRPr="001D4911">
        <w:rPr>
          <w:i/>
          <w:lang w:val="en-US"/>
        </w:rPr>
        <w:t>-19</w:t>
      </w:r>
      <w:r>
        <w:rPr>
          <w:i/>
          <w:lang w:val="en-US"/>
        </w:rPr>
        <w:t>52</w:t>
      </w:r>
      <w:r w:rsidRPr="001D4911">
        <w:rPr>
          <w:i/>
          <w:lang w:val="en-US"/>
        </w:rPr>
        <w:t>)</w:t>
      </w:r>
      <w:r>
        <w:rPr>
          <w:lang w:val="en-US"/>
        </w:rPr>
        <w:t xml:space="preserve">. </w:t>
      </w:r>
      <w:r w:rsidR="00B962BD">
        <w:rPr>
          <w:lang w:val="en-US"/>
        </w:rPr>
        <w:t>Chapel Hill: University of North Carolina Press.</w:t>
      </w:r>
    </w:p>
    <w:p w:rsidR="00C95A89" w:rsidRPr="00C95A89" w:rsidRDefault="00C95A89" w:rsidP="009F0669">
      <w:pPr>
        <w:pStyle w:val="Text"/>
        <w:ind w:left="454" w:hanging="454"/>
        <w:rPr>
          <w:lang w:val="en-US"/>
        </w:rPr>
      </w:pPr>
      <w:r w:rsidRPr="00C95A89">
        <w:rPr>
          <w:lang w:val="en-US"/>
        </w:rPr>
        <w:t xml:space="preserve">Hatzfeld, Helmut (1957), </w:t>
      </w:r>
      <w:r w:rsidRPr="00C95A89">
        <w:rPr>
          <w:i/>
          <w:lang w:val="en-US"/>
        </w:rPr>
        <w:t>Initiation à</w:t>
      </w:r>
      <w:r w:rsidRPr="00C95A89">
        <w:rPr>
          <w:lang w:val="en-US"/>
        </w:rPr>
        <w:t xml:space="preserve"> </w:t>
      </w:r>
      <w:r>
        <w:rPr>
          <w:i/>
          <w:lang w:val="en-US"/>
        </w:rPr>
        <w:t>l</w:t>
      </w:r>
      <w:r w:rsidRPr="00C95A89">
        <w:rPr>
          <w:rStyle w:val="Hervorhebung"/>
          <w:lang w:val="en-US"/>
        </w:rPr>
        <w:t>’explication de textes</w:t>
      </w:r>
      <w:r>
        <w:rPr>
          <w:rStyle w:val="Hervorhebung"/>
          <w:lang w:val="en-US"/>
        </w:rPr>
        <w:t xml:space="preserve"> </w:t>
      </w:r>
      <w:r w:rsidRPr="00F721E7">
        <w:rPr>
          <w:rStyle w:val="Hervorhebung"/>
          <w:lang w:val="en-US"/>
        </w:rPr>
        <w:t>français</w:t>
      </w:r>
      <w:r>
        <w:rPr>
          <w:rStyle w:val="Hervorhebung"/>
          <w:lang w:val="en-US"/>
        </w:rPr>
        <w:t xml:space="preserve">. </w:t>
      </w:r>
      <w:r>
        <w:rPr>
          <w:rStyle w:val="Hervorhebung"/>
          <w:i w:val="0"/>
          <w:lang w:val="en-US"/>
        </w:rPr>
        <w:t xml:space="preserve">München: </w:t>
      </w:r>
      <w:r w:rsidRPr="00C461EE">
        <w:rPr>
          <w:lang w:val="en-US"/>
        </w:rPr>
        <w:t>Hueber.</w:t>
      </w:r>
    </w:p>
    <w:p w:rsidR="003F520C" w:rsidRDefault="003F520C" w:rsidP="009F0669">
      <w:pPr>
        <w:pStyle w:val="Text"/>
        <w:ind w:left="454" w:hanging="454"/>
        <w:rPr>
          <w:lang w:val="en-US"/>
        </w:rPr>
      </w:pPr>
      <w:r w:rsidRPr="001D4911">
        <w:rPr>
          <w:lang w:val="en-US"/>
        </w:rPr>
        <w:t xml:space="preserve">Hatzfeld, </w:t>
      </w:r>
      <w:r w:rsidR="001D4911" w:rsidRPr="001D4911">
        <w:rPr>
          <w:lang w:val="en-US"/>
        </w:rPr>
        <w:t xml:space="preserve">Helmut (1966), </w:t>
      </w:r>
      <w:r w:rsidR="001D4911" w:rsidRPr="001D4911">
        <w:rPr>
          <w:i/>
          <w:lang w:val="en-US"/>
        </w:rPr>
        <w:t xml:space="preserve">A Critical Bibliography </w:t>
      </w:r>
      <w:r w:rsidR="001D4911">
        <w:rPr>
          <w:i/>
          <w:lang w:val="en-US"/>
        </w:rPr>
        <w:t xml:space="preserve">of the New Stylistics Applied to the </w:t>
      </w:r>
      <w:r w:rsidR="001D4911" w:rsidRPr="001D4911">
        <w:rPr>
          <w:i/>
          <w:lang w:val="en-US"/>
        </w:rPr>
        <w:t>Romance Literatures (1953-1965)</w:t>
      </w:r>
      <w:r w:rsidR="001D4911">
        <w:rPr>
          <w:lang w:val="en-US"/>
        </w:rPr>
        <w:t>.</w:t>
      </w:r>
      <w:r w:rsidR="001D4911" w:rsidRPr="001D4911">
        <w:rPr>
          <w:lang w:val="en-US"/>
        </w:rPr>
        <w:t xml:space="preserve"> </w:t>
      </w:r>
      <w:r w:rsidR="00301AB3">
        <w:rPr>
          <w:lang w:val="en-US"/>
        </w:rPr>
        <w:t xml:space="preserve">University of North Carolina Press: </w:t>
      </w:r>
      <w:r w:rsidR="00301AB3" w:rsidRPr="001D4911">
        <w:rPr>
          <w:lang w:val="en-US"/>
        </w:rPr>
        <w:t>Chapel Hill.</w:t>
      </w:r>
    </w:p>
    <w:p w:rsidR="00B3483F" w:rsidRDefault="00B3483F" w:rsidP="009F0669">
      <w:pPr>
        <w:pStyle w:val="Text"/>
        <w:ind w:left="454" w:hanging="454"/>
      </w:pPr>
      <w:r w:rsidRPr="00B3483F">
        <w:rPr>
          <w:lang w:val="en-US"/>
        </w:rPr>
        <w:t>Hayes, Curtis W. (</w:t>
      </w:r>
      <w:r w:rsidR="00EA4100">
        <w:rPr>
          <w:lang w:val="en-US"/>
        </w:rPr>
        <w:t>1968</w:t>
      </w:r>
      <w:r w:rsidRPr="00B3483F">
        <w:rPr>
          <w:lang w:val="en-US"/>
        </w:rPr>
        <w:t xml:space="preserve">), „A </w:t>
      </w:r>
      <w:r w:rsidR="00EA4100">
        <w:rPr>
          <w:lang w:val="en-US"/>
        </w:rPr>
        <w:t>Transformation</w:t>
      </w:r>
      <w:r w:rsidR="00054C14">
        <w:rPr>
          <w:lang w:val="en-US"/>
        </w:rPr>
        <w:t>al-Generative Approach to Style.</w:t>
      </w:r>
      <w:r w:rsidR="00EA4100">
        <w:rPr>
          <w:lang w:val="en-US"/>
        </w:rPr>
        <w:t xml:space="preserve"> </w:t>
      </w:r>
      <w:r w:rsidR="00EA4100" w:rsidRPr="00A826D1">
        <w:t>Samuel Johnson and Edwar</w:t>
      </w:r>
      <w:r w:rsidR="00054C14" w:rsidRPr="00A826D1">
        <w:t>d</w:t>
      </w:r>
      <w:r w:rsidR="00EA4100" w:rsidRPr="00A826D1">
        <w:t xml:space="preserve"> Gibbon</w:t>
      </w:r>
      <w:r w:rsidRPr="00A826D1">
        <w:t>“.</w:t>
      </w:r>
      <w:r w:rsidR="00EA4100" w:rsidRPr="00A826D1">
        <w:t xml:space="preserve"> </w:t>
      </w:r>
      <w:r w:rsidRPr="00C461EE">
        <w:rPr>
          <w:i/>
        </w:rPr>
        <w:t>Language</w:t>
      </w:r>
      <w:r w:rsidR="00EA4100" w:rsidRPr="00C461EE">
        <w:rPr>
          <w:i/>
        </w:rPr>
        <w:t xml:space="preserve"> and Style</w:t>
      </w:r>
      <w:r w:rsidRPr="00C461EE">
        <w:t xml:space="preserve"> </w:t>
      </w:r>
      <w:r w:rsidR="00EA4100" w:rsidRPr="00C461EE">
        <w:t>1</w:t>
      </w:r>
      <w:r w:rsidRPr="00C461EE">
        <w:t>: 3</w:t>
      </w:r>
      <w:r w:rsidR="00EA4100" w:rsidRPr="00C461EE">
        <w:t>9</w:t>
      </w:r>
      <w:r w:rsidRPr="00C461EE">
        <w:t>-</w:t>
      </w:r>
      <w:r w:rsidR="00EA4100" w:rsidRPr="00C461EE">
        <w:t>48</w:t>
      </w:r>
      <w:r w:rsidRPr="00C461EE">
        <w:t>.</w:t>
      </w:r>
    </w:p>
    <w:p w:rsidR="001579A0" w:rsidRDefault="001579A0" w:rsidP="009F0669">
      <w:pPr>
        <w:pStyle w:val="Text"/>
        <w:ind w:left="454" w:hanging="454"/>
      </w:pPr>
      <w:r>
        <w:t xml:space="preserve">Heidegger, Martin (1943), </w:t>
      </w:r>
      <w:r>
        <w:rPr>
          <w:i/>
          <w:iCs/>
        </w:rPr>
        <w:t>Vom Wesen der Wahrheit</w:t>
      </w:r>
      <w:r>
        <w:t>. Frankfurt a.M.: Kloste</w:t>
      </w:r>
      <w:r>
        <w:t>r</w:t>
      </w:r>
      <w:r>
        <w:t>mann.</w:t>
      </w:r>
    </w:p>
    <w:p w:rsidR="00C85C6E" w:rsidRDefault="00C85C6E" w:rsidP="009F0669">
      <w:pPr>
        <w:pStyle w:val="Text"/>
        <w:ind w:left="454" w:hanging="454"/>
      </w:pPr>
      <w:r w:rsidRPr="00540D48">
        <w:t xml:space="preserve">Heinz, Rudolf (1986), </w:t>
      </w:r>
      <w:r w:rsidRPr="00540D48">
        <w:rPr>
          <w:i/>
        </w:rPr>
        <w:t>Stil als geisteswis</w:t>
      </w:r>
      <w:r w:rsidRPr="00C85C6E">
        <w:rPr>
          <w:i/>
        </w:rPr>
        <w:t>senschaftliche Kategorie. Problemgeschich</w:t>
      </w:r>
      <w:r w:rsidRPr="00C85C6E">
        <w:rPr>
          <w:i/>
        </w:rPr>
        <w:t>t</w:t>
      </w:r>
      <w:r w:rsidRPr="00C85C6E">
        <w:rPr>
          <w:i/>
        </w:rPr>
        <w:t>liche Untersuchungen zum Stilbegriff im 19. und 20. Jahrhundert</w:t>
      </w:r>
      <w:r>
        <w:t>. Würzburg: Königshausen und Neumann.</w:t>
      </w:r>
    </w:p>
    <w:p w:rsidR="00E716E4" w:rsidRPr="00E716E4" w:rsidRDefault="00E716E4" w:rsidP="009F0669">
      <w:pPr>
        <w:pStyle w:val="Text"/>
        <w:ind w:left="454" w:hanging="454"/>
        <w:rPr>
          <w:i/>
        </w:rPr>
      </w:pPr>
      <w:r>
        <w:t xml:space="preserve">Held, Jutta und Norbert Schneider (2007), </w:t>
      </w:r>
      <w:r w:rsidRPr="00E716E4">
        <w:rPr>
          <w:i/>
        </w:rPr>
        <w:t>Grundzüge der Kunstwissenschaft. Gegenstandsbereiche – Institutionen – Problemfelder.</w:t>
      </w:r>
      <w:r>
        <w:t xml:space="preserve"> Köln u.a.: Böhlau.</w:t>
      </w:r>
    </w:p>
    <w:p w:rsidR="002A5B35" w:rsidRPr="00DF0129" w:rsidRDefault="002A5B35" w:rsidP="009F0669">
      <w:pPr>
        <w:pStyle w:val="Text"/>
        <w:ind w:left="454" w:hanging="454"/>
        <w:rPr>
          <w:rFonts w:cs="Times New Roman"/>
        </w:rPr>
      </w:pPr>
      <w:r>
        <w:t xml:space="preserve">Hess-Lüttich, Ernest W.B. (1976), </w:t>
      </w:r>
      <w:r w:rsidRPr="002A5B35">
        <w:rPr>
          <w:i/>
        </w:rPr>
        <w:t>Texttheorie und Soziolinguistik</w:t>
      </w:r>
      <w:r>
        <w:rPr>
          <w:i/>
        </w:rPr>
        <w:t xml:space="preserve"> – e</w:t>
      </w:r>
      <w:r w:rsidRPr="002A5B35">
        <w:rPr>
          <w:i/>
        </w:rPr>
        <w:t>ine pragm</w:t>
      </w:r>
      <w:r w:rsidRPr="002A5B35">
        <w:rPr>
          <w:i/>
        </w:rPr>
        <w:t>a</w:t>
      </w:r>
      <w:r w:rsidRPr="002A5B35">
        <w:rPr>
          <w:i/>
        </w:rPr>
        <w:t>tische Synthese. Entwürfe zur Anwendung linguistischer Literaturanalyse.</w:t>
      </w:r>
      <w:r>
        <w:t xml:space="preserve"> Bonn, Univ., Diss.</w:t>
      </w:r>
    </w:p>
    <w:p w:rsidR="00DF0129" w:rsidRDefault="00DF0129"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rPr>
          <w:rFonts w:eastAsia="Times New Roman" w:cs="Times New Roman"/>
        </w:rPr>
        <w:t>Hess-Lüttich, Ernest W.B. (1980), „</w:t>
      </w:r>
      <w:r w:rsidRPr="00DF0129">
        <w:rPr>
          <w:rFonts w:eastAsia="Times New Roman" w:cs="Times New Roman"/>
        </w:rPr>
        <w:t xml:space="preserve">Stiltheorie. Zur Verständigung über </w:t>
      </w:r>
      <w:r>
        <w:rPr>
          <w:rFonts w:eastAsia="Times New Roman" w:cs="Times New Roman"/>
        </w:rPr>
        <w:t>‚</w:t>
      </w:r>
      <w:r w:rsidRPr="00DF0129">
        <w:rPr>
          <w:rFonts w:eastAsia="Times New Roman" w:cs="Times New Roman"/>
        </w:rPr>
        <w:t>Stil</w:t>
      </w:r>
      <w:r>
        <w:rPr>
          <w:rFonts w:eastAsia="Times New Roman" w:cs="Times New Roman"/>
        </w:rPr>
        <w:t>‘</w:t>
      </w:r>
      <w:r w:rsidRPr="00DF0129">
        <w:rPr>
          <w:rFonts w:eastAsia="Times New Roman" w:cs="Times New Roman"/>
        </w:rPr>
        <w:t xml:space="preserve"> in der Angewandten Linguistik</w:t>
      </w:r>
      <w:r>
        <w:rPr>
          <w:rFonts w:eastAsia="Times New Roman" w:cs="Times New Roman"/>
        </w:rPr>
        <w:t>“. I</w:t>
      </w:r>
      <w:r w:rsidRPr="00DF0129">
        <w:rPr>
          <w:rFonts w:eastAsia="Times New Roman" w:cs="Times New Roman"/>
        </w:rPr>
        <w:t>n: Wolfgang</w:t>
      </w:r>
      <w:r>
        <w:rPr>
          <w:rFonts w:eastAsia="Times New Roman" w:cs="Times New Roman"/>
        </w:rPr>
        <w:t xml:space="preserve"> </w:t>
      </w:r>
      <w:r w:rsidRPr="00DF0129">
        <w:rPr>
          <w:rFonts w:eastAsia="Times New Roman" w:cs="Times New Roman"/>
        </w:rPr>
        <w:t xml:space="preserve">Kühlwein </w:t>
      </w:r>
      <w:r>
        <w:rPr>
          <w:rFonts w:eastAsia="Times New Roman" w:cs="Times New Roman"/>
        </w:rPr>
        <w:t>und</w:t>
      </w:r>
      <w:r w:rsidRPr="00DF0129">
        <w:rPr>
          <w:rFonts w:eastAsia="Times New Roman" w:cs="Times New Roman"/>
        </w:rPr>
        <w:t xml:space="preserve"> Albert Raasch (</w:t>
      </w:r>
      <w:r>
        <w:rPr>
          <w:rFonts w:eastAsia="Times New Roman" w:cs="Times New Roman"/>
        </w:rPr>
        <w:t>Hg</w:t>
      </w:r>
      <w:r w:rsidRPr="00DF0129">
        <w:rPr>
          <w:rFonts w:eastAsia="Times New Roman" w:cs="Times New Roman"/>
        </w:rPr>
        <w:t xml:space="preserve">.), </w:t>
      </w:r>
      <w:r w:rsidRPr="00DF0129">
        <w:rPr>
          <w:rFonts w:eastAsia="Times New Roman" w:cs="Times New Roman"/>
          <w:i/>
          <w:iCs/>
        </w:rPr>
        <w:t>Angewandte Linguistik. Positionen – Wege</w:t>
      </w:r>
      <w:r>
        <w:rPr>
          <w:rFonts w:eastAsia="Times New Roman" w:cs="Times New Roman"/>
          <w:i/>
          <w:iCs/>
        </w:rPr>
        <w:t xml:space="preserve"> </w:t>
      </w:r>
      <w:r w:rsidRPr="00DF0129">
        <w:rPr>
          <w:rFonts w:eastAsia="Times New Roman" w:cs="Times New Roman"/>
          <w:i/>
          <w:iCs/>
        </w:rPr>
        <w:t>– Perspektiven</w:t>
      </w:r>
      <w:r>
        <w:rPr>
          <w:rFonts w:eastAsia="Times New Roman" w:cs="Times New Roman"/>
        </w:rPr>
        <w:t>.</w:t>
      </w:r>
      <w:r w:rsidRPr="00DF0129">
        <w:rPr>
          <w:rFonts w:eastAsia="Times New Roman" w:cs="Times New Roman"/>
        </w:rPr>
        <w:t xml:space="preserve"> Tübingen: Narr</w:t>
      </w:r>
      <w:r>
        <w:rPr>
          <w:rFonts w:eastAsia="Times New Roman" w:cs="Times New Roman"/>
        </w:rPr>
        <w:t>.</w:t>
      </w:r>
      <w:r w:rsidRPr="00DF0129">
        <w:rPr>
          <w:rFonts w:eastAsia="Times New Roman" w:cs="Times New Roman"/>
        </w:rPr>
        <w:t xml:space="preserve"> 91-112</w:t>
      </w:r>
      <w:r>
        <w:rPr>
          <w:rFonts w:eastAsia="Times New Roman" w:cs="Times New Roman"/>
        </w:rPr>
        <w:t>.</w:t>
      </w:r>
    </w:p>
    <w:p w:rsidR="000F2130" w:rsidRPr="000F2130" w:rsidRDefault="000F2130"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t>Hess-Lüttich, Ernest W.B. (</w:t>
      </w:r>
      <w:r w:rsidRPr="000F2130">
        <w:rPr>
          <w:rFonts w:cs="Times New Roman"/>
        </w:rPr>
        <w:t xml:space="preserve">2000), </w:t>
      </w:r>
      <w:r w:rsidRPr="000F2130">
        <w:rPr>
          <w:rFonts w:eastAsia="Times New Roman" w:cs="Times New Roman"/>
        </w:rPr>
        <w:t xml:space="preserve">„Textsorten alltäglicher Gespräche. Kritische Überlegungen zur Dialogtypologie“. In: Kirsten Adamzik (Hg.), </w:t>
      </w:r>
      <w:r w:rsidRPr="000F2130">
        <w:rPr>
          <w:rFonts w:eastAsia="Times New Roman" w:cs="Times New Roman"/>
          <w:i/>
          <w:iCs/>
        </w:rPr>
        <w:t>Textso</w:t>
      </w:r>
      <w:r w:rsidRPr="000F2130">
        <w:rPr>
          <w:rFonts w:eastAsia="Times New Roman" w:cs="Times New Roman"/>
          <w:i/>
          <w:iCs/>
        </w:rPr>
        <w:t>r</w:t>
      </w:r>
      <w:r w:rsidRPr="000F2130">
        <w:rPr>
          <w:rFonts w:eastAsia="Times New Roman" w:cs="Times New Roman"/>
          <w:i/>
          <w:iCs/>
        </w:rPr>
        <w:t>ten. Reflexionen und Analysen</w:t>
      </w:r>
      <w:r w:rsidRPr="000F2130">
        <w:rPr>
          <w:rFonts w:eastAsia="Times New Roman" w:cs="Times New Roman"/>
        </w:rPr>
        <w:t>, Tübingen: Stauffenburg. 129-153.</w:t>
      </w:r>
    </w:p>
    <w:p w:rsidR="00EE54F7" w:rsidRDefault="00EE54F7"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t>Hess-Lüttich, Ernest W.B. (2003</w:t>
      </w:r>
      <w:r w:rsidRPr="00EE54F7">
        <w:rPr>
          <w:rFonts w:cs="Times New Roman"/>
        </w:rPr>
        <w:t xml:space="preserve">), </w:t>
      </w:r>
      <w:r>
        <w:rPr>
          <w:rFonts w:eastAsia="Times New Roman" w:cs="Times New Roman"/>
        </w:rPr>
        <w:t>„</w:t>
      </w:r>
      <w:r w:rsidRPr="00EE54F7">
        <w:rPr>
          <w:rFonts w:eastAsia="Times New Roman" w:cs="Times New Roman"/>
        </w:rPr>
        <w:t>Fachsprachen als Register</w:t>
      </w:r>
      <w:r>
        <w:rPr>
          <w:rFonts w:eastAsia="Times New Roman" w:cs="Times New Roman"/>
        </w:rPr>
        <w:t>“. I</w:t>
      </w:r>
      <w:r w:rsidRPr="00EE54F7">
        <w:rPr>
          <w:rFonts w:eastAsia="Times New Roman" w:cs="Times New Roman"/>
        </w:rPr>
        <w:t xml:space="preserve">n: Jianhua Zhu </w:t>
      </w:r>
      <w:r>
        <w:rPr>
          <w:rFonts w:eastAsia="Times New Roman" w:cs="Times New Roman"/>
        </w:rPr>
        <w:t>und</w:t>
      </w:r>
      <w:r w:rsidRPr="00EE54F7">
        <w:rPr>
          <w:rFonts w:eastAsia="Times New Roman" w:cs="Times New Roman"/>
        </w:rPr>
        <w:t xml:space="preserve"> Thomas Zimmer (</w:t>
      </w:r>
      <w:r>
        <w:rPr>
          <w:rFonts w:eastAsia="Times New Roman" w:cs="Times New Roman"/>
        </w:rPr>
        <w:t>Hg.</w:t>
      </w:r>
      <w:r w:rsidRPr="00EE54F7">
        <w:rPr>
          <w:rFonts w:eastAsia="Times New Roman" w:cs="Times New Roman"/>
        </w:rPr>
        <w:t xml:space="preserve">), </w:t>
      </w:r>
      <w:r>
        <w:rPr>
          <w:rFonts w:eastAsia="Times New Roman" w:cs="Times New Roman"/>
          <w:i/>
          <w:iCs/>
        </w:rPr>
        <w:t xml:space="preserve">Fachsprachenlinguistik, </w:t>
      </w:r>
      <w:r w:rsidRPr="00EE54F7">
        <w:rPr>
          <w:rFonts w:eastAsia="Times New Roman" w:cs="Times New Roman"/>
          <w:i/>
          <w:iCs/>
        </w:rPr>
        <w:t>Fachsprachendidaktik und i</w:t>
      </w:r>
      <w:r>
        <w:rPr>
          <w:rFonts w:eastAsia="Times New Roman" w:cs="Times New Roman"/>
          <w:i/>
          <w:iCs/>
        </w:rPr>
        <w:t xml:space="preserve">nterkulturelle Kommunikation. </w:t>
      </w:r>
      <w:r w:rsidRPr="00EE54F7">
        <w:rPr>
          <w:rFonts w:eastAsia="Times New Roman" w:cs="Times New Roman"/>
          <w:i/>
          <w:iCs/>
        </w:rPr>
        <w:t>Wirtschaft</w:t>
      </w:r>
      <w:r>
        <w:rPr>
          <w:rFonts w:eastAsia="Times New Roman" w:cs="Times New Roman"/>
          <w:i/>
          <w:iCs/>
        </w:rPr>
        <w:t xml:space="preserve"> </w:t>
      </w:r>
      <w:r w:rsidRPr="00EE54F7">
        <w:rPr>
          <w:rFonts w:eastAsia="Times New Roman" w:cs="Times New Roman"/>
          <w:i/>
          <w:iCs/>
        </w:rPr>
        <w:t>– Technik – Medien</w:t>
      </w:r>
      <w:r>
        <w:rPr>
          <w:rFonts w:eastAsia="Times New Roman" w:cs="Times New Roman"/>
          <w:i/>
          <w:iCs/>
        </w:rPr>
        <w:t xml:space="preserve">. </w:t>
      </w:r>
      <w:r w:rsidRPr="00EE54F7">
        <w:rPr>
          <w:rFonts w:eastAsia="Times New Roman" w:cs="Times New Roman"/>
        </w:rPr>
        <w:t>Fran</w:t>
      </w:r>
      <w:r w:rsidRPr="00EE54F7">
        <w:rPr>
          <w:rFonts w:eastAsia="Times New Roman" w:cs="Times New Roman"/>
        </w:rPr>
        <w:t>k</w:t>
      </w:r>
      <w:r w:rsidRPr="00EE54F7">
        <w:rPr>
          <w:rFonts w:eastAsia="Times New Roman" w:cs="Times New Roman"/>
        </w:rPr>
        <w:t>furt</w:t>
      </w:r>
      <w:r>
        <w:rPr>
          <w:rFonts w:eastAsia="Times New Roman" w:cs="Times New Roman"/>
        </w:rPr>
        <w:t xml:space="preserve"> a.M.: </w:t>
      </w:r>
      <w:r w:rsidRPr="00EE54F7">
        <w:rPr>
          <w:rFonts w:eastAsia="Times New Roman" w:cs="Times New Roman"/>
        </w:rPr>
        <w:t>Lang</w:t>
      </w:r>
      <w:r>
        <w:rPr>
          <w:rFonts w:eastAsia="Times New Roman" w:cs="Times New Roman"/>
        </w:rPr>
        <w:t>.</w:t>
      </w:r>
    </w:p>
    <w:p w:rsidR="008F7383" w:rsidRDefault="008F7383"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t>Hess-Lüttich, Ernest W.B. (2006</w:t>
      </w:r>
      <w:r w:rsidRPr="00EE54F7">
        <w:rPr>
          <w:rFonts w:cs="Times New Roman"/>
        </w:rPr>
        <w:t>)</w:t>
      </w:r>
      <w:r w:rsidRPr="008F7383">
        <w:rPr>
          <w:rFonts w:cs="Times New Roman"/>
        </w:rPr>
        <w:t xml:space="preserve">, </w:t>
      </w:r>
      <w:r>
        <w:rPr>
          <w:rFonts w:eastAsia="Times New Roman" w:cs="Times New Roman"/>
        </w:rPr>
        <w:t>„</w:t>
      </w:r>
      <w:r w:rsidRPr="008F7383">
        <w:rPr>
          <w:rFonts w:eastAsia="Times New Roman" w:cs="Times New Roman"/>
        </w:rPr>
        <w:t>Textbegriffe der Sprach-, Literatur- und Medienwissenschaften im Zeichen technischer</w:t>
      </w:r>
      <w:r>
        <w:rPr>
          <w:rFonts w:eastAsia="Times New Roman" w:cs="Times New Roman"/>
        </w:rPr>
        <w:t xml:space="preserve"> </w:t>
      </w:r>
      <w:r w:rsidRPr="008F7383">
        <w:rPr>
          <w:rFonts w:eastAsia="Times New Roman" w:cs="Times New Roman"/>
        </w:rPr>
        <w:t>Umbrüche</w:t>
      </w:r>
      <w:r>
        <w:rPr>
          <w:rFonts w:eastAsia="Times New Roman" w:cs="Times New Roman"/>
        </w:rPr>
        <w:t>“. I</w:t>
      </w:r>
      <w:r w:rsidRPr="008F7383">
        <w:rPr>
          <w:rFonts w:eastAsia="Times New Roman" w:cs="Times New Roman"/>
        </w:rPr>
        <w:t>n: Franciszek Grucza (</w:t>
      </w:r>
      <w:r>
        <w:rPr>
          <w:rFonts w:eastAsia="Times New Roman" w:cs="Times New Roman"/>
        </w:rPr>
        <w:t>Hg</w:t>
      </w:r>
      <w:r w:rsidRPr="008F7383">
        <w:rPr>
          <w:rFonts w:eastAsia="Times New Roman" w:cs="Times New Roman"/>
        </w:rPr>
        <w:t>.)</w:t>
      </w:r>
      <w:r>
        <w:rPr>
          <w:rFonts w:eastAsia="Times New Roman" w:cs="Times New Roman"/>
        </w:rPr>
        <w:t xml:space="preserve">, </w:t>
      </w:r>
      <w:r w:rsidRPr="008F7383">
        <w:rPr>
          <w:rFonts w:eastAsia="Times New Roman" w:cs="Times New Roman"/>
          <w:i/>
          <w:iCs/>
        </w:rPr>
        <w:t>Texte. Gegenstände germanistischer</w:t>
      </w:r>
      <w:r>
        <w:rPr>
          <w:rFonts w:eastAsia="Times New Roman" w:cs="Times New Roman"/>
          <w:i/>
          <w:iCs/>
        </w:rPr>
        <w:t xml:space="preserve"> </w:t>
      </w:r>
      <w:r w:rsidRPr="008F7383">
        <w:rPr>
          <w:rFonts w:eastAsia="Times New Roman" w:cs="Times New Roman"/>
          <w:i/>
          <w:iCs/>
        </w:rPr>
        <w:t xml:space="preserve">Forschung und Lehre </w:t>
      </w:r>
      <w:r w:rsidR="0019678E">
        <w:rPr>
          <w:rFonts w:eastAsia="Times New Roman" w:cs="Times New Roman"/>
        </w:rPr>
        <w:t>(=</w:t>
      </w:r>
      <w:r w:rsidR="00EB41C9">
        <w:rPr>
          <w:rFonts w:eastAsia="Times New Roman" w:cs="Times New Roman"/>
        </w:rPr>
        <w:t> </w:t>
      </w:r>
      <w:r w:rsidRPr="008F7383">
        <w:rPr>
          <w:rFonts w:eastAsia="Times New Roman" w:cs="Times New Roman"/>
        </w:rPr>
        <w:t>Materialien der Jahrestagung des Verbandes Polnischer</w:t>
      </w:r>
      <w:r>
        <w:rPr>
          <w:rFonts w:eastAsia="Times New Roman" w:cs="Times New Roman"/>
        </w:rPr>
        <w:t xml:space="preserve"> Germanisten in Torun 2006).</w:t>
      </w:r>
      <w:r w:rsidRPr="008F7383">
        <w:rPr>
          <w:rFonts w:eastAsia="Times New Roman" w:cs="Times New Roman"/>
        </w:rPr>
        <w:t xml:space="preserve"> Warszawa: Wydawnictwo Euro-Edukacja</w:t>
      </w:r>
      <w:r>
        <w:rPr>
          <w:rFonts w:eastAsia="Times New Roman" w:cs="Times New Roman"/>
        </w:rPr>
        <w:t xml:space="preserve">. </w:t>
      </w:r>
      <w:r w:rsidRPr="008F7383">
        <w:rPr>
          <w:rFonts w:eastAsia="Times New Roman" w:cs="Times New Roman"/>
        </w:rPr>
        <w:t>177-191</w:t>
      </w:r>
      <w:r>
        <w:rPr>
          <w:rFonts w:eastAsia="Times New Roman" w:cs="Times New Roman"/>
        </w:rPr>
        <w:t>.</w:t>
      </w:r>
    </w:p>
    <w:p w:rsidR="007E2B99" w:rsidRDefault="007E2B99"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rPr>
          <w:rFonts w:eastAsia="Times New Roman" w:cs="Times New Roman"/>
        </w:rPr>
        <w:t xml:space="preserve">Hess-Lüttich, Ernest W.B. und Roland Posner (Hg.) (1990), </w:t>
      </w:r>
      <w:r w:rsidRPr="007F27EA">
        <w:rPr>
          <w:rFonts w:eastAsia="Times New Roman" w:cs="Times New Roman"/>
          <w:i/>
        </w:rPr>
        <w:t>Code-Wechsel. Texte im Medienvergleich.</w:t>
      </w:r>
      <w:r>
        <w:rPr>
          <w:rFonts w:eastAsia="Times New Roman" w:cs="Times New Roman"/>
        </w:rPr>
        <w:t xml:space="preserve"> Opladen: Westdeutscher Verlag.</w:t>
      </w:r>
    </w:p>
    <w:p w:rsidR="00DF092E" w:rsidRPr="001231D3" w:rsidRDefault="00DF092E" w:rsidP="009F0669">
      <w:pPr>
        <w:tabs>
          <w:tab w:val="clear" w:pos="567"/>
          <w:tab w:val="clear" w:pos="851"/>
          <w:tab w:val="clear" w:pos="1134"/>
          <w:tab w:val="clear" w:pos="1418"/>
        </w:tabs>
        <w:autoSpaceDE w:val="0"/>
        <w:autoSpaceDN w:val="0"/>
        <w:adjustRightInd w:val="0"/>
        <w:ind w:left="454" w:hanging="454"/>
        <w:rPr>
          <w:rFonts w:eastAsia="Times New Roman" w:cs="Times New Roman"/>
          <w:lang w:val="en-US"/>
        </w:rPr>
      </w:pPr>
      <w:r>
        <w:rPr>
          <w:rFonts w:eastAsia="Times New Roman" w:cs="Times New Roman"/>
        </w:rPr>
        <w:t xml:space="preserve">Hess-Lüttich, Ernest W.B. und Karin Wenz (Hg.) (2006), </w:t>
      </w:r>
      <w:r w:rsidRPr="00DF092E">
        <w:rPr>
          <w:rFonts w:eastAsia="Times New Roman" w:cs="Times New Roman"/>
          <w:i/>
        </w:rPr>
        <w:t>Stile des Intermedi</w:t>
      </w:r>
      <w:r w:rsidRPr="00DF092E">
        <w:rPr>
          <w:rFonts w:eastAsia="Times New Roman" w:cs="Times New Roman"/>
          <w:i/>
        </w:rPr>
        <w:t>a</w:t>
      </w:r>
      <w:r w:rsidRPr="00DF092E">
        <w:rPr>
          <w:rFonts w:eastAsia="Times New Roman" w:cs="Times New Roman"/>
          <w:i/>
        </w:rPr>
        <w:t>len. Zur Semiotik des Übergangs.</w:t>
      </w:r>
      <w:r>
        <w:rPr>
          <w:rFonts w:eastAsia="Times New Roman" w:cs="Times New Roman"/>
        </w:rPr>
        <w:t xml:space="preserve"> </w:t>
      </w:r>
      <w:r w:rsidRPr="001231D3">
        <w:rPr>
          <w:rFonts w:eastAsia="Times New Roman" w:cs="Times New Roman"/>
          <w:lang w:val="en-US"/>
        </w:rPr>
        <w:t>(=</w:t>
      </w:r>
      <w:r w:rsidR="00EB41C9" w:rsidRPr="001231D3">
        <w:rPr>
          <w:rFonts w:eastAsia="Times New Roman" w:cs="Times New Roman"/>
          <w:lang w:val="en-US"/>
        </w:rPr>
        <w:t> </w:t>
      </w:r>
      <w:r w:rsidRPr="001231D3">
        <w:rPr>
          <w:rFonts w:eastAsia="Times New Roman" w:cs="Times New Roman"/>
          <w:i/>
          <w:lang w:val="en-US"/>
        </w:rPr>
        <w:t>Kodikas/Code</w:t>
      </w:r>
      <w:r w:rsidR="007F27EA" w:rsidRPr="001231D3">
        <w:rPr>
          <w:rFonts w:eastAsia="Times New Roman" w:cs="Times New Roman"/>
          <w:i/>
          <w:lang w:val="en-US"/>
        </w:rPr>
        <w:t>.</w:t>
      </w:r>
      <w:r w:rsidRPr="001231D3">
        <w:rPr>
          <w:rFonts w:eastAsia="Times New Roman" w:cs="Times New Roman"/>
          <w:i/>
          <w:lang w:val="en-US"/>
        </w:rPr>
        <w:t xml:space="preserve"> Ars Semeiotica</w:t>
      </w:r>
      <w:r w:rsidRPr="001231D3">
        <w:rPr>
          <w:rFonts w:eastAsia="Times New Roman" w:cs="Times New Roman"/>
          <w:lang w:val="en-US"/>
        </w:rPr>
        <w:t xml:space="preserve"> 29, 1-3). Tübingen: Narr.</w:t>
      </w:r>
    </w:p>
    <w:p w:rsidR="00BA6CDC" w:rsidRPr="00BA6CDC" w:rsidRDefault="00BA6CDC" w:rsidP="009F0669">
      <w:pPr>
        <w:tabs>
          <w:tab w:val="clear" w:pos="567"/>
          <w:tab w:val="clear" w:pos="851"/>
          <w:tab w:val="clear" w:pos="1134"/>
          <w:tab w:val="clear" w:pos="1418"/>
        </w:tabs>
        <w:autoSpaceDE w:val="0"/>
        <w:autoSpaceDN w:val="0"/>
        <w:adjustRightInd w:val="0"/>
        <w:ind w:left="454" w:hanging="454"/>
        <w:rPr>
          <w:rFonts w:eastAsia="Times New Roman" w:cs="Times New Roman"/>
          <w:lang w:val="en-US"/>
        </w:rPr>
      </w:pPr>
      <w:r>
        <w:rPr>
          <w:rFonts w:eastAsia="Times New Roman" w:cs="Times New Roman"/>
          <w:lang w:val="en-US"/>
        </w:rPr>
        <w:t xml:space="preserve">Hill, Archibald A. (1958), </w:t>
      </w:r>
      <w:r w:rsidRPr="00BA6CDC">
        <w:rPr>
          <w:rFonts w:eastAsia="Times New Roman" w:cs="Times New Roman"/>
          <w:i/>
          <w:lang w:val="en-US"/>
        </w:rPr>
        <w:t>Introduction to Linguistic Structures</w:t>
      </w:r>
      <w:r w:rsidR="004F52C9">
        <w:rPr>
          <w:rFonts w:eastAsia="Times New Roman" w:cs="Times New Roman"/>
          <w:i/>
          <w:lang w:val="en-US"/>
        </w:rPr>
        <w:t>.</w:t>
      </w:r>
      <w:r>
        <w:rPr>
          <w:rFonts w:eastAsia="Times New Roman" w:cs="Times New Roman"/>
          <w:i/>
          <w:lang w:val="en-US"/>
        </w:rPr>
        <w:t xml:space="preserve"> </w:t>
      </w:r>
      <w:r w:rsidRPr="00BA6CDC">
        <w:rPr>
          <w:i/>
          <w:lang w:val="en-US"/>
        </w:rPr>
        <w:t>From Sound to Sentence in English.</w:t>
      </w:r>
      <w:r>
        <w:rPr>
          <w:rFonts w:eastAsia="Times New Roman" w:cs="Times New Roman"/>
          <w:lang w:val="en-US"/>
        </w:rPr>
        <w:t xml:space="preserve"> New York: Harcourt Brace.</w:t>
      </w:r>
    </w:p>
    <w:p w:rsidR="00446ED9" w:rsidRDefault="00446ED9" w:rsidP="009F0669">
      <w:pPr>
        <w:tabs>
          <w:tab w:val="clear" w:pos="567"/>
          <w:tab w:val="clear" w:pos="851"/>
          <w:tab w:val="clear" w:pos="1134"/>
          <w:tab w:val="clear" w:pos="1418"/>
        </w:tabs>
        <w:autoSpaceDE w:val="0"/>
        <w:autoSpaceDN w:val="0"/>
        <w:adjustRightInd w:val="0"/>
        <w:ind w:left="454" w:hanging="454"/>
        <w:rPr>
          <w:rFonts w:eastAsia="Times New Roman" w:cs="Times New Roman"/>
          <w:lang w:val="en-US"/>
        </w:rPr>
      </w:pPr>
      <w:r w:rsidRPr="00446ED9">
        <w:rPr>
          <w:rFonts w:eastAsia="Times New Roman" w:cs="Times New Roman"/>
          <w:lang w:val="en-US"/>
        </w:rPr>
        <w:lastRenderedPageBreak/>
        <w:t xml:space="preserve">Hitchcock, Henry-Russell und Philip Johnson (1932), </w:t>
      </w:r>
      <w:r w:rsidRPr="00446ED9">
        <w:rPr>
          <w:rFonts w:eastAsia="Times New Roman" w:cs="Times New Roman"/>
          <w:i/>
          <w:lang w:val="en-US"/>
        </w:rPr>
        <w:t>The International Style</w:t>
      </w:r>
      <w:r w:rsidR="004F52C9">
        <w:rPr>
          <w:rFonts w:eastAsia="Times New Roman" w:cs="Times New Roman"/>
          <w:i/>
          <w:lang w:val="en-US"/>
        </w:rPr>
        <w:t>.</w:t>
      </w:r>
      <w:r w:rsidRPr="00446ED9">
        <w:rPr>
          <w:rFonts w:eastAsia="Times New Roman" w:cs="Times New Roman"/>
          <w:i/>
          <w:lang w:val="en-US"/>
        </w:rPr>
        <w:t xml:space="preserve"> </w:t>
      </w:r>
      <w:r w:rsidRPr="00D45E33">
        <w:rPr>
          <w:rFonts w:eastAsia="Times New Roman" w:cs="Times New Roman"/>
          <w:i/>
          <w:lang w:val="en-US"/>
        </w:rPr>
        <w:t>Architecture since 1922.</w:t>
      </w:r>
      <w:r w:rsidRPr="00D45E33">
        <w:rPr>
          <w:rFonts w:eastAsia="Times New Roman" w:cs="Times New Roman"/>
          <w:lang w:val="en-US"/>
        </w:rPr>
        <w:t xml:space="preserve"> </w:t>
      </w:r>
      <w:r w:rsidRPr="00646F7C">
        <w:rPr>
          <w:rFonts w:eastAsia="Times New Roman" w:cs="Times New Roman"/>
          <w:lang w:val="en-US"/>
        </w:rPr>
        <w:t xml:space="preserve">New York: </w:t>
      </w:r>
      <w:r w:rsidR="00A204DD">
        <w:rPr>
          <w:rFonts w:eastAsia="Times New Roman" w:cs="Times New Roman"/>
          <w:lang w:val="en-US"/>
        </w:rPr>
        <w:t>Norton</w:t>
      </w:r>
      <w:r w:rsidRPr="00646F7C">
        <w:rPr>
          <w:rFonts w:eastAsia="Times New Roman" w:cs="Times New Roman"/>
          <w:lang w:val="en-US"/>
        </w:rPr>
        <w:t>.</w:t>
      </w:r>
    </w:p>
    <w:p w:rsidR="007E6BA8" w:rsidRPr="00A826D1" w:rsidRDefault="007E6BA8"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rPr>
          <w:rFonts w:eastAsia="Times New Roman" w:cs="Times New Roman"/>
          <w:lang w:val="en-US"/>
        </w:rPr>
        <w:t>Hjelmslev, Louis (1936),</w:t>
      </w:r>
      <w:r w:rsidRPr="007E6BA8">
        <w:rPr>
          <w:i/>
          <w:iCs/>
          <w:lang w:val="en-US"/>
        </w:rPr>
        <w:t xml:space="preserve"> An </w:t>
      </w:r>
      <w:r w:rsidR="00566770">
        <w:rPr>
          <w:i/>
          <w:iCs/>
          <w:lang w:val="en-US"/>
        </w:rPr>
        <w:t>O</w:t>
      </w:r>
      <w:r w:rsidRPr="007E6BA8">
        <w:rPr>
          <w:i/>
          <w:iCs/>
          <w:lang w:val="en-US"/>
        </w:rPr>
        <w:t xml:space="preserve">utline of </w:t>
      </w:r>
      <w:r w:rsidR="00566770">
        <w:rPr>
          <w:i/>
          <w:iCs/>
          <w:lang w:val="en-US"/>
        </w:rPr>
        <w:t>G</w:t>
      </w:r>
      <w:r w:rsidRPr="007E6BA8">
        <w:rPr>
          <w:i/>
          <w:iCs/>
          <w:lang w:val="en-US"/>
        </w:rPr>
        <w:t>lossematics</w:t>
      </w:r>
      <w:r w:rsidRPr="007E6BA8">
        <w:rPr>
          <w:lang w:val="en-US"/>
        </w:rPr>
        <w:t xml:space="preserve">. </w:t>
      </w:r>
      <w:r w:rsidRPr="00A826D1">
        <w:t>Kopenhagen: Levin og Munksgaard.</w:t>
      </w:r>
    </w:p>
    <w:p w:rsidR="007E6BA8" w:rsidRPr="004D63E7" w:rsidRDefault="007E6BA8" w:rsidP="007E6BA8">
      <w:pPr>
        <w:tabs>
          <w:tab w:val="clear" w:pos="567"/>
          <w:tab w:val="clear" w:pos="851"/>
          <w:tab w:val="clear" w:pos="1134"/>
          <w:tab w:val="clear" w:pos="1418"/>
        </w:tabs>
        <w:autoSpaceDE w:val="0"/>
        <w:autoSpaceDN w:val="0"/>
        <w:adjustRightInd w:val="0"/>
        <w:ind w:left="454" w:hanging="454"/>
        <w:rPr>
          <w:rFonts w:eastAsia="Times New Roman" w:cs="Times New Roman"/>
          <w:lang w:val="en-US"/>
        </w:rPr>
      </w:pPr>
      <w:r w:rsidRPr="007E6BA8">
        <w:rPr>
          <w:rFonts w:eastAsia="Times New Roman" w:cs="Times New Roman"/>
        </w:rPr>
        <w:t>Hjelmslev, Louis (19</w:t>
      </w:r>
      <w:r>
        <w:rPr>
          <w:rFonts w:eastAsia="Times New Roman" w:cs="Times New Roman"/>
        </w:rPr>
        <w:t>7</w:t>
      </w:r>
      <w:r w:rsidRPr="007E6BA8">
        <w:rPr>
          <w:rFonts w:eastAsia="Times New Roman" w:cs="Times New Roman"/>
        </w:rPr>
        <w:t xml:space="preserve">4), </w:t>
      </w:r>
      <w:r>
        <w:rPr>
          <w:i/>
          <w:iCs/>
        </w:rPr>
        <w:t>Prolegomena zu einer Sprachtheorie.</w:t>
      </w:r>
      <w:r>
        <w:t xml:space="preserve"> </w:t>
      </w:r>
      <w:r w:rsidRPr="004D63E7">
        <w:rPr>
          <w:lang w:val="en-US"/>
        </w:rPr>
        <w:t>München: Hueber.</w:t>
      </w:r>
    </w:p>
    <w:p w:rsidR="00560AC3" w:rsidRPr="002D53E0" w:rsidRDefault="00560AC3" w:rsidP="009F0669">
      <w:pPr>
        <w:tabs>
          <w:tab w:val="clear" w:pos="567"/>
          <w:tab w:val="clear" w:pos="851"/>
          <w:tab w:val="clear" w:pos="1134"/>
          <w:tab w:val="clear" w:pos="1418"/>
        </w:tabs>
        <w:autoSpaceDE w:val="0"/>
        <w:autoSpaceDN w:val="0"/>
        <w:adjustRightInd w:val="0"/>
        <w:ind w:left="454" w:hanging="454"/>
        <w:rPr>
          <w:rFonts w:eastAsia="Times New Roman" w:cs="Times New Roman"/>
          <w:lang w:val="en-US"/>
        </w:rPr>
      </w:pPr>
      <w:r w:rsidRPr="00560AC3">
        <w:rPr>
          <w:rFonts w:eastAsia="Times New Roman" w:cs="Times New Roman"/>
          <w:lang w:val="en-US"/>
        </w:rPr>
        <w:t xml:space="preserve">Hockett, Charles F. (1958), </w:t>
      </w:r>
      <w:r w:rsidRPr="00560AC3">
        <w:rPr>
          <w:rFonts w:eastAsia="Times New Roman" w:cs="Times New Roman"/>
          <w:i/>
          <w:lang w:val="en-US"/>
        </w:rPr>
        <w:t xml:space="preserve">A </w:t>
      </w:r>
      <w:r w:rsidR="00566770">
        <w:rPr>
          <w:rFonts w:eastAsia="Times New Roman" w:cs="Times New Roman"/>
          <w:i/>
          <w:lang w:val="en-US"/>
        </w:rPr>
        <w:t>C</w:t>
      </w:r>
      <w:r w:rsidRPr="00560AC3">
        <w:rPr>
          <w:rFonts w:eastAsia="Times New Roman" w:cs="Times New Roman"/>
          <w:i/>
          <w:lang w:val="en-US"/>
        </w:rPr>
        <w:t xml:space="preserve">ourse in </w:t>
      </w:r>
      <w:r w:rsidR="00566770">
        <w:rPr>
          <w:rFonts w:eastAsia="Times New Roman" w:cs="Times New Roman"/>
          <w:i/>
          <w:lang w:val="en-US"/>
        </w:rPr>
        <w:t>M</w:t>
      </w:r>
      <w:r w:rsidRPr="00560AC3">
        <w:rPr>
          <w:rFonts w:eastAsia="Times New Roman" w:cs="Times New Roman"/>
          <w:i/>
          <w:lang w:val="en-US"/>
        </w:rPr>
        <w:t xml:space="preserve">odern </w:t>
      </w:r>
      <w:r w:rsidR="00566770">
        <w:rPr>
          <w:rFonts w:eastAsia="Times New Roman" w:cs="Times New Roman"/>
          <w:i/>
          <w:lang w:val="en-US"/>
        </w:rPr>
        <w:t>L</w:t>
      </w:r>
      <w:r w:rsidRPr="00560AC3">
        <w:rPr>
          <w:rFonts w:eastAsia="Times New Roman" w:cs="Times New Roman"/>
          <w:i/>
          <w:lang w:val="en-US"/>
        </w:rPr>
        <w:t>inguistics.</w:t>
      </w:r>
      <w:r w:rsidRPr="00560AC3">
        <w:rPr>
          <w:rFonts w:eastAsia="Times New Roman" w:cs="Times New Roman"/>
          <w:lang w:val="en-US"/>
        </w:rPr>
        <w:t xml:space="preserve"> </w:t>
      </w:r>
      <w:r w:rsidRPr="002D53E0">
        <w:rPr>
          <w:rFonts w:eastAsia="Times New Roman" w:cs="Times New Roman"/>
          <w:lang w:val="en-US"/>
        </w:rPr>
        <w:t xml:space="preserve">New York: </w:t>
      </w:r>
      <w:r w:rsidR="00A204DD" w:rsidRPr="002D53E0">
        <w:rPr>
          <w:rFonts w:eastAsia="Times New Roman" w:cs="Times New Roman"/>
          <w:lang w:val="en-US"/>
        </w:rPr>
        <w:t>Macmi</w:t>
      </w:r>
      <w:r w:rsidR="00A204DD" w:rsidRPr="002D53E0">
        <w:rPr>
          <w:rFonts w:eastAsia="Times New Roman" w:cs="Times New Roman"/>
          <w:lang w:val="en-US"/>
        </w:rPr>
        <w:t>l</w:t>
      </w:r>
      <w:r w:rsidR="00A204DD" w:rsidRPr="002D53E0">
        <w:rPr>
          <w:rFonts w:eastAsia="Times New Roman" w:cs="Times New Roman"/>
          <w:lang w:val="en-US"/>
        </w:rPr>
        <w:t>lan</w:t>
      </w:r>
      <w:r w:rsidRPr="002D53E0">
        <w:rPr>
          <w:rFonts w:eastAsia="Times New Roman" w:cs="Times New Roman"/>
          <w:lang w:val="en-US"/>
        </w:rPr>
        <w:t>.</w:t>
      </w:r>
    </w:p>
    <w:p w:rsidR="00871D57" w:rsidRDefault="00871D57" w:rsidP="009F0669">
      <w:pPr>
        <w:tabs>
          <w:tab w:val="clear" w:pos="567"/>
          <w:tab w:val="clear" w:pos="851"/>
          <w:tab w:val="clear" w:pos="1134"/>
          <w:tab w:val="clear" w:pos="1418"/>
        </w:tabs>
        <w:autoSpaceDE w:val="0"/>
        <w:autoSpaceDN w:val="0"/>
        <w:adjustRightInd w:val="0"/>
        <w:ind w:left="454" w:hanging="454"/>
        <w:rPr>
          <w:rFonts w:eastAsia="Times New Roman" w:cs="Times New Roman"/>
        </w:rPr>
      </w:pPr>
      <w:r>
        <w:rPr>
          <w:rFonts w:eastAsia="Times New Roman" w:cs="Times New Roman"/>
        </w:rPr>
        <w:t xml:space="preserve">Hoffmann, Lothar, Hartwig Kalverkämper und Herbert Ernst Wiegand (Hg.) (1998–1999), </w:t>
      </w:r>
      <w:r>
        <w:rPr>
          <w:rFonts w:eastAsia="Times New Roman" w:cs="Times New Roman"/>
          <w:i/>
        </w:rPr>
        <w:t xml:space="preserve">Fachsprachen / </w:t>
      </w:r>
      <w:r w:rsidRPr="00871D57">
        <w:rPr>
          <w:rFonts w:eastAsia="Times New Roman" w:cs="Times New Roman"/>
          <w:i/>
        </w:rPr>
        <w:t>Languages for Special Purposes. Ein internati</w:t>
      </w:r>
      <w:r w:rsidRPr="00871D57">
        <w:rPr>
          <w:rFonts w:eastAsia="Times New Roman" w:cs="Times New Roman"/>
          <w:i/>
        </w:rPr>
        <w:t>o</w:t>
      </w:r>
      <w:r w:rsidRPr="00871D57">
        <w:rPr>
          <w:rFonts w:eastAsia="Times New Roman" w:cs="Times New Roman"/>
          <w:i/>
        </w:rPr>
        <w:t>nales Handbuch zur Fachsprachenforschung und Terminologiewissenschaft.</w:t>
      </w:r>
      <w:r w:rsidR="000F3068">
        <w:rPr>
          <w:rFonts w:eastAsia="Times New Roman" w:cs="Times New Roman"/>
        </w:rPr>
        <w:t xml:space="preserve"> Berlin u.a.: de Gruyter.</w:t>
      </w:r>
    </w:p>
    <w:p w:rsidR="002D1E7F" w:rsidRDefault="002D1E7F" w:rsidP="009F0669">
      <w:pPr>
        <w:pStyle w:val="Text"/>
        <w:ind w:left="454" w:hanging="454"/>
      </w:pPr>
      <w:r>
        <w:t xml:space="preserve">Hoffmann, Michael (1987), „Zum pragmatischen und operationalen Aspekt der Textkategorie Stil“. </w:t>
      </w:r>
      <w:r w:rsidRPr="002D1E7F">
        <w:rPr>
          <w:i/>
        </w:rPr>
        <w:t>Zeitschrift für Phonetik, Sprachwissenschaft und Ko</w:t>
      </w:r>
      <w:r w:rsidRPr="002D1E7F">
        <w:rPr>
          <w:i/>
        </w:rPr>
        <w:t>m</w:t>
      </w:r>
      <w:r w:rsidRPr="002D1E7F">
        <w:rPr>
          <w:i/>
        </w:rPr>
        <w:t>munikationsforschung</w:t>
      </w:r>
      <w:r>
        <w:t xml:space="preserve"> 40, 1: 68-81.</w:t>
      </w:r>
    </w:p>
    <w:p w:rsidR="004A25BE" w:rsidRDefault="004A25BE" w:rsidP="009F0669">
      <w:pPr>
        <w:pStyle w:val="Text"/>
        <w:ind w:left="454" w:hanging="454"/>
      </w:pPr>
      <w:r>
        <w:t xml:space="preserve">Hoffmann, Michael (1988), „Kommunikativ orientierte linguistische Konzepte in der Stilistik seit der kommunikativ-pragmatischen Wende“. </w:t>
      </w:r>
      <w:r w:rsidRPr="004A25BE">
        <w:rPr>
          <w:i/>
        </w:rPr>
        <w:t>Zeitschrift für Germanistik</w:t>
      </w:r>
      <w:r>
        <w:t xml:space="preserve"> 9, 3: 321-332.</w:t>
      </w:r>
    </w:p>
    <w:p w:rsidR="00F562D2" w:rsidRPr="000A6381" w:rsidRDefault="00F562D2" w:rsidP="009F0669">
      <w:pPr>
        <w:pStyle w:val="Text"/>
        <w:ind w:left="454" w:hanging="454"/>
        <w:rPr>
          <w:lang w:val="en-US"/>
        </w:rPr>
      </w:pPr>
      <w:r>
        <w:t xml:space="preserve">Hoffmann, Michael (2009), „Situation als Kategorie von Rhetorik und Stilistik“. </w:t>
      </w:r>
      <w:r w:rsidRPr="000A6381">
        <w:rPr>
          <w:lang w:val="en-US"/>
        </w:rPr>
        <w:t>In: Fix u.a. 2008–2009</w:t>
      </w:r>
      <w:r w:rsidR="009D2CB4" w:rsidRPr="000A6381">
        <w:rPr>
          <w:lang w:val="en-US"/>
        </w:rPr>
        <w:t>, Bd. 2:</w:t>
      </w:r>
      <w:r w:rsidRPr="000A6381">
        <w:rPr>
          <w:lang w:val="en-US"/>
        </w:rPr>
        <w:t xml:space="preserve"> 1316-1335.</w:t>
      </w:r>
    </w:p>
    <w:p w:rsidR="00B233D3" w:rsidRPr="000C2F2C" w:rsidRDefault="00B233D3" w:rsidP="009F0669">
      <w:pPr>
        <w:pStyle w:val="Text"/>
        <w:ind w:left="454" w:hanging="454"/>
      </w:pPr>
      <w:r w:rsidRPr="00B233D3">
        <w:rPr>
          <w:lang w:val="en-US"/>
        </w:rPr>
        <w:t>Hoover, David L. (2002), „Frequent Word Sequences and Statistical St</w:t>
      </w:r>
      <w:r>
        <w:rPr>
          <w:lang w:val="en-US"/>
        </w:rPr>
        <w:t>ylistics</w:t>
      </w:r>
      <w:r w:rsidRPr="00B233D3">
        <w:rPr>
          <w:lang w:val="en-US"/>
        </w:rPr>
        <w:t>“</w:t>
      </w:r>
      <w:r>
        <w:rPr>
          <w:lang w:val="en-US"/>
        </w:rPr>
        <w:t xml:space="preserve">. </w:t>
      </w:r>
      <w:r w:rsidRPr="000C2F2C">
        <w:rPr>
          <w:i/>
        </w:rPr>
        <w:t>Literary &amp; Linguistic Computing</w:t>
      </w:r>
      <w:r w:rsidRPr="000C2F2C">
        <w:t xml:space="preserve"> 17, 2: 157-180.</w:t>
      </w:r>
    </w:p>
    <w:p w:rsidR="005B1481" w:rsidRDefault="005B1481" w:rsidP="009F0669">
      <w:pPr>
        <w:pStyle w:val="Text"/>
        <w:ind w:left="454" w:hanging="454"/>
      </w:pPr>
      <w:r>
        <w:t xml:space="preserve">Hoppe, Stephan (2008), „Stil als </w:t>
      </w:r>
      <w:r w:rsidRPr="005B1481">
        <w:rPr>
          <w:i/>
        </w:rPr>
        <w:t>Dünne</w:t>
      </w:r>
      <w:r>
        <w:t xml:space="preserve"> oder </w:t>
      </w:r>
      <w:r w:rsidRPr="005B1481">
        <w:rPr>
          <w:i/>
        </w:rPr>
        <w:t>Dichte</w:t>
      </w:r>
      <w:r>
        <w:t xml:space="preserve"> Beschreibung. Eine konstruktivistische Perspektive auf kunstbezogene Stilbeobachtungen uner Berücksichtigung der Bedeutungsdimension“. </w:t>
      </w:r>
      <w:r w:rsidR="00D425CE">
        <w:t>In: Hoppe u.a. 2008</w:t>
      </w:r>
      <w:r w:rsidR="00B5077F">
        <w:t>:</w:t>
      </w:r>
      <w:r w:rsidR="00D425CE">
        <w:t xml:space="preserve"> 48-103.</w:t>
      </w:r>
    </w:p>
    <w:p w:rsidR="00D425CE" w:rsidRDefault="00D425CE" w:rsidP="009F0669">
      <w:pPr>
        <w:pStyle w:val="Text"/>
        <w:ind w:left="454" w:hanging="454"/>
      </w:pPr>
      <w:r w:rsidRPr="005947F0">
        <w:t xml:space="preserve">Hoppe. Stephan u.a. (Hg.) </w:t>
      </w:r>
      <w:r>
        <w:t xml:space="preserve">(2008), </w:t>
      </w:r>
      <w:r w:rsidRPr="00D425CE">
        <w:rPr>
          <w:i/>
        </w:rPr>
        <w:t>Stil als Bedeutung in der nordalpinen Renai</w:t>
      </w:r>
      <w:r w:rsidRPr="00D425CE">
        <w:rPr>
          <w:i/>
        </w:rPr>
        <w:t>s</w:t>
      </w:r>
      <w:r w:rsidRPr="00D425CE">
        <w:rPr>
          <w:i/>
        </w:rPr>
        <w:t>sance. Wiederentdeckung einer methodischen Nachbarschaft.</w:t>
      </w:r>
      <w:r w:rsidR="004F52C9">
        <w:t xml:space="preserve"> </w:t>
      </w:r>
      <w:r>
        <w:t>2. Sigurd-Greven-Kolloquium zur Renaissancefor</w:t>
      </w:r>
      <w:r w:rsidR="004F52C9">
        <w:t>schung.</w:t>
      </w:r>
      <w:r>
        <w:t xml:space="preserve"> Regensburg: Schnell &amp; Steiner.</w:t>
      </w:r>
    </w:p>
    <w:p w:rsidR="00994215" w:rsidRPr="001231D3" w:rsidRDefault="00994215" w:rsidP="009F0669">
      <w:pPr>
        <w:pStyle w:val="Text"/>
        <w:ind w:left="454" w:hanging="454"/>
      </w:pPr>
      <w:r>
        <w:t xml:space="preserve">Hubig, Christoph (1998), „Zeichenkonzeptionen in der Ästhetik vom 19. </w:t>
      </w:r>
      <w:r w:rsidRPr="00664DB3">
        <w:t>Jah</w:t>
      </w:r>
      <w:r w:rsidRPr="00664DB3">
        <w:t>r</w:t>
      </w:r>
      <w:r w:rsidRPr="00664DB3">
        <w:t xml:space="preserve">hundert bis zur Gegenwart“. </w:t>
      </w:r>
      <w:r w:rsidRPr="001231D3">
        <w:t>In: Posner u.a</w:t>
      </w:r>
      <w:r w:rsidR="006B1205" w:rsidRPr="001231D3">
        <w:t>.</w:t>
      </w:r>
      <w:r w:rsidRPr="001231D3">
        <w:t xml:space="preserve"> 1997–2004, Bd. 2:</w:t>
      </w:r>
      <w:r w:rsidR="00CF43BF" w:rsidRPr="001231D3">
        <w:t xml:space="preserve"> 1466-1482</w:t>
      </w:r>
      <w:r w:rsidRPr="001231D3">
        <w:t>.</w:t>
      </w:r>
    </w:p>
    <w:p w:rsidR="00B93298" w:rsidRPr="00B93298" w:rsidRDefault="00B93298" w:rsidP="009F0669">
      <w:pPr>
        <w:pStyle w:val="Text"/>
        <w:ind w:left="454" w:hanging="454"/>
        <w:rPr>
          <w:lang w:val="en-US"/>
        </w:rPr>
      </w:pPr>
      <w:r w:rsidRPr="001231D3">
        <w:t xml:space="preserve">Huysmans, Joris-Karl (1884), </w:t>
      </w:r>
      <w:r w:rsidRPr="001231D3">
        <w:rPr>
          <w:i/>
        </w:rPr>
        <w:t>À rebours.</w:t>
      </w:r>
      <w:r w:rsidRPr="001231D3">
        <w:t xml:space="preserve"> </w:t>
      </w:r>
      <w:r w:rsidRPr="00B93298">
        <w:rPr>
          <w:lang w:val="en-US"/>
        </w:rPr>
        <w:t>Paris: Charpentier.</w:t>
      </w:r>
    </w:p>
    <w:p w:rsidR="00A622FB" w:rsidRPr="009D549F" w:rsidRDefault="00A622FB" w:rsidP="009F0669">
      <w:pPr>
        <w:pStyle w:val="Text"/>
        <w:ind w:left="454" w:hanging="454"/>
        <w:rPr>
          <w:lang w:val="en-US"/>
        </w:rPr>
      </w:pPr>
      <w:r w:rsidRPr="009D549F">
        <w:rPr>
          <w:lang w:val="en-US"/>
        </w:rPr>
        <w:t>Irvine, Judith (2001), „</w:t>
      </w:r>
      <w:r w:rsidR="00542D07" w:rsidRPr="009D549F">
        <w:rPr>
          <w:lang w:val="en-US"/>
        </w:rPr>
        <w:t>‚</w:t>
      </w:r>
      <w:r w:rsidRPr="009D549F">
        <w:rPr>
          <w:lang w:val="en-US"/>
        </w:rPr>
        <w:t>Style</w:t>
      </w:r>
      <w:r w:rsidR="00542D07" w:rsidRPr="009D549F">
        <w:rPr>
          <w:lang w:val="en-US"/>
        </w:rPr>
        <w:t xml:space="preserve">‘ </w:t>
      </w:r>
      <w:r w:rsidRPr="009D549F">
        <w:rPr>
          <w:lang w:val="en-US"/>
        </w:rPr>
        <w:t xml:space="preserve">as </w:t>
      </w:r>
      <w:r w:rsidR="00542D07" w:rsidRPr="009D549F">
        <w:rPr>
          <w:lang w:val="en-US"/>
        </w:rPr>
        <w:t>D</w:t>
      </w:r>
      <w:r w:rsidRPr="009D549F">
        <w:rPr>
          <w:lang w:val="en-US"/>
        </w:rPr>
        <w:t>istinctiveness</w:t>
      </w:r>
      <w:r w:rsidR="00566770">
        <w:rPr>
          <w:lang w:val="en-US"/>
        </w:rPr>
        <w:t>:</w:t>
      </w:r>
      <w:r w:rsidRPr="009D549F">
        <w:rPr>
          <w:lang w:val="en-US"/>
        </w:rPr>
        <w:t xml:space="preserve"> </w:t>
      </w:r>
      <w:r>
        <w:rPr>
          <w:lang w:val="en-US"/>
        </w:rPr>
        <w:t>The Culture and Ideology of Linguistic Differentiation</w:t>
      </w:r>
      <w:r w:rsidRPr="00A622FB">
        <w:rPr>
          <w:lang w:val="en-US"/>
        </w:rPr>
        <w:t>“</w:t>
      </w:r>
      <w:r>
        <w:rPr>
          <w:lang w:val="en-US"/>
        </w:rPr>
        <w:t>.</w:t>
      </w:r>
      <w:r w:rsidR="00471BB0">
        <w:rPr>
          <w:lang w:val="en-US"/>
        </w:rPr>
        <w:t xml:space="preserve"> In: Eckert </w:t>
      </w:r>
      <w:r w:rsidR="00DD2B71">
        <w:rPr>
          <w:lang w:val="en-US"/>
        </w:rPr>
        <w:t xml:space="preserve">u.a. 2001: </w:t>
      </w:r>
      <w:r w:rsidR="00471BB0" w:rsidRPr="009D549F">
        <w:rPr>
          <w:lang w:val="en-US"/>
        </w:rPr>
        <w:t>21-43.</w:t>
      </w:r>
    </w:p>
    <w:p w:rsidR="00225049" w:rsidRPr="002D53E0" w:rsidRDefault="00225049" w:rsidP="009F0669">
      <w:pPr>
        <w:pStyle w:val="Text"/>
        <w:ind w:left="454" w:hanging="454"/>
        <w:rPr>
          <w:lang w:val="en-US"/>
        </w:rPr>
      </w:pPr>
      <w:r w:rsidRPr="00DD2B71">
        <w:rPr>
          <w:lang w:val="en-US"/>
        </w:rPr>
        <w:t>Jakobson, Roman (1960),</w:t>
      </w:r>
      <w:r w:rsidR="00E70416" w:rsidRPr="00DD2B71">
        <w:rPr>
          <w:lang w:val="en-US"/>
        </w:rPr>
        <w:t xml:space="preserve"> „Linguistics and Poetics“. </w:t>
      </w:r>
      <w:r w:rsidR="00E70416" w:rsidRPr="002D53E0">
        <w:rPr>
          <w:lang w:val="en-US"/>
        </w:rPr>
        <w:t>In: Sebeok</w:t>
      </w:r>
      <w:r w:rsidR="001236E1" w:rsidRPr="002D53E0">
        <w:rPr>
          <w:lang w:val="en-US"/>
        </w:rPr>
        <w:t xml:space="preserve"> 1960: </w:t>
      </w:r>
      <w:r w:rsidR="00E70416" w:rsidRPr="002D53E0">
        <w:rPr>
          <w:lang w:val="en-US"/>
        </w:rPr>
        <w:t>350-377.</w:t>
      </w:r>
    </w:p>
    <w:p w:rsidR="00225049" w:rsidRPr="00E17D78" w:rsidRDefault="00225049" w:rsidP="009F0669">
      <w:pPr>
        <w:pStyle w:val="Text"/>
        <w:ind w:left="454" w:hanging="454"/>
      </w:pPr>
      <w:r w:rsidRPr="00C458B9">
        <w:t xml:space="preserve">Jakobson, Roman (1965), </w:t>
      </w:r>
      <w:r w:rsidR="00C458B9" w:rsidRPr="00C458B9">
        <w:t xml:space="preserve">„Poesie der Grammatik und Grammatik der Poesie“. </w:t>
      </w:r>
      <w:r w:rsidR="00C458B9">
        <w:t xml:space="preserve">In: Gunzenhäuser </w:t>
      </w:r>
      <w:r w:rsidR="00C00523">
        <w:t xml:space="preserve">u.a. 1965: </w:t>
      </w:r>
      <w:r w:rsidR="00C458B9" w:rsidRPr="00E17D78">
        <w:t>21-32.</w:t>
      </w:r>
    </w:p>
    <w:p w:rsidR="001D0C3C" w:rsidRPr="008C6BDA" w:rsidRDefault="001D0C3C" w:rsidP="009F0669">
      <w:pPr>
        <w:pStyle w:val="Text"/>
        <w:ind w:left="454" w:hanging="454"/>
      </w:pPr>
      <w:r w:rsidRPr="008C6BDA">
        <w:t xml:space="preserve">Jakobson, Roman </w:t>
      </w:r>
      <w:r w:rsidR="00225049" w:rsidRPr="008C6BDA">
        <w:t xml:space="preserve">und </w:t>
      </w:r>
      <w:r w:rsidR="00C458B9" w:rsidRPr="008C6BDA">
        <w:t xml:space="preserve">Morris </w:t>
      </w:r>
      <w:r w:rsidR="00225049" w:rsidRPr="008C6BDA">
        <w:t xml:space="preserve">Halle </w:t>
      </w:r>
      <w:r w:rsidR="00E36374" w:rsidRPr="008C6BDA">
        <w:t>(1956</w:t>
      </w:r>
      <w:r w:rsidR="00225049" w:rsidRPr="008C6BDA">
        <w:t>)</w:t>
      </w:r>
      <w:r w:rsidR="00D30596" w:rsidRPr="008C6BDA">
        <w:t xml:space="preserve">, </w:t>
      </w:r>
      <w:r w:rsidR="00D30596" w:rsidRPr="008C6BDA">
        <w:rPr>
          <w:i/>
        </w:rPr>
        <w:t>Fundamentals of Language.</w:t>
      </w:r>
      <w:r w:rsidR="00D30596" w:rsidRPr="008C6BDA">
        <w:t xml:space="preserve"> </w:t>
      </w:r>
      <w:r w:rsidR="002B08F7" w:rsidRPr="008C6BDA">
        <w:t>Den Haag u.a.: Mouton</w:t>
      </w:r>
      <w:r w:rsidR="00D30596" w:rsidRPr="008C6BDA">
        <w:t>.</w:t>
      </w:r>
    </w:p>
    <w:p w:rsidR="0055710F" w:rsidRPr="00137D44" w:rsidRDefault="0055710F" w:rsidP="009F0669">
      <w:pPr>
        <w:pStyle w:val="Text"/>
        <w:ind w:left="454" w:hanging="454"/>
      </w:pPr>
      <w:r>
        <w:rPr>
          <w:lang w:val="fr-FR"/>
        </w:rPr>
        <w:t>Jakobson, Roman und Claude Lévi-Strauss (1962), „</w:t>
      </w:r>
      <w:r w:rsidRPr="001434C8">
        <w:t>‚</w:t>
      </w:r>
      <w:r>
        <w:rPr>
          <w:lang w:val="fr-FR"/>
        </w:rPr>
        <w:t>Les Chats</w:t>
      </w:r>
      <w:r w:rsidRPr="001434C8">
        <w:t>‘</w:t>
      </w:r>
      <w:r>
        <w:rPr>
          <w:rFonts w:cs="Times New Roman"/>
          <w:lang w:val="fr-FR"/>
        </w:rPr>
        <w:t xml:space="preserve"> de Charles Ba</w:t>
      </w:r>
      <w:r>
        <w:rPr>
          <w:rFonts w:cs="Times New Roman"/>
          <w:lang w:val="fr-FR"/>
        </w:rPr>
        <w:t>u</w:t>
      </w:r>
      <w:r>
        <w:rPr>
          <w:rFonts w:cs="Times New Roman"/>
          <w:lang w:val="fr-FR"/>
        </w:rPr>
        <w:t xml:space="preserve">delaire“. In: </w:t>
      </w:r>
      <w:r>
        <w:rPr>
          <w:rFonts w:cs="Times New Roman"/>
          <w:i/>
          <w:iCs/>
          <w:lang w:val="fr-FR"/>
        </w:rPr>
        <w:t>L'Homme – Revue française d'anthropologie</w:t>
      </w:r>
      <w:r w:rsidRPr="0055710F">
        <w:rPr>
          <w:rFonts w:cs="Times New Roman"/>
          <w:iCs/>
          <w:lang w:val="fr-FR"/>
        </w:rPr>
        <w:t xml:space="preserve"> 2,</w:t>
      </w:r>
      <w:r>
        <w:rPr>
          <w:rFonts w:cs="Times New Roman"/>
          <w:iCs/>
          <w:lang w:val="fr-FR"/>
        </w:rPr>
        <w:t xml:space="preserve"> </w:t>
      </w:r>
      <w:r w:rsidRPr="0055710F">
        <w:rPr>
          <w:rFonts w:cs="Times New Roman"/>
          <w:iCs/>
          <w:lang w:val="fr-FR"/>
        </w:rPr>
        <w:t xml:space="preserve">1: </w:t>
      </w:r>
      <w:r>
        <w:rPr>
          <w:rFonts w:cs="Times New Roman"/>
          <w:lang w:val="fr-FR"/>
        </w:rPr>
        <w:t xml:space="preserve">5-21. </w:t>
      </w:r>
      <w:r w:rsidR="00D60B41">
        <w:rPr>
          <w:rFonts w:cs="Times New Roman"/>
          <w:lang w:val="en-US"/>
        </w:rPr>
        <w:t xml:space="preserve">Erneut </w:t>
      </w:r>
      <w:r w:rsidRPr="00E70416">
        <w:rPr>
          <w:rFonts w:cs="Times New Roman"/>
          <w:lang w:val="en-US"/>
        </w:rPr>
        <w:t xml:space="preserve">in: Ders. </w:t>
      </w:r>
      <w:r>
        <w:rPr>
          <w:lang w:val="en-GB"/>
        </w:rPr>
        <w:t xml:space="preserve">(1981), </w:t>
      </w:r>
      <w:r>
        <w:rPr>
          <w:i/>
          <w:iCs/>
          <w:lang w:val="en-GB"/>
        </w:rPr>
        <w:t xml:space="preserve">Selected Writings, </w:t>
      </w:r>
      <w:r>
        <w:rPr>
          <w:lang w:val="en-GB"/>
        </w:rPr>
        <w:t xml:space="preserve">Bd. 3: </w:t>
      </w:r>
      <w:r>
        <w:rPr>
          <w:i/>
          <w:iCs/>
          <w:lang w:val="en-GB"/>
        </w:rPr>
        <w:t xml:space="preserve">Poetry of Grammar and Grammar of Poetry. </w:t>
      </w:r>
      <w:r w:rsidR="002B08F7">
        <w:t>Den Haag u.a.: Mouton</w:t>
      </w:r>
      <w:r w:rsidRPr="0055710F">
        <w:t xml:space="preserve">. 447-464. </w:t>
      </w:r>
      <w:r>
        <w:rPr>
          <w:rFonts w:cs="Times New Roman"/>
        </w:rPr>
        <w:t xml:space="preserve">Deutsch </w:t>
      </w:r>
      <w:r w:rsidR="001A463E">
        <w:rPr>
          <w:rFonts w:cs="Times New Roman"/>
        </w:rPr>
        <w:t xml:space="preserve">als: </w:t>
      </w:r>
      <w:r w:rsidR="001A463E">
        <w:t>„</w:t>
      </w:r>
      <w:r w:rsidR="001A463E" w:rsidRPr="001A463E">
        <w:t>‚</w:t>
      </w:r>
      <w:r w:rsidR="001A463E">
        <w:t>Les Chats</w:t>
      </w:r>
      <w:r w:rsidR="001A463E" w:rsidRPr="001A463E">
        <w:t>‘</w:t>
      </w:r>
      <w:r w:rsidR="001A463E">
        <w:t xml:space="preserve"> von Charles Baudelaire“. </w:t>
      </w:r>
      <w:r>
        <w:rPr>
          <w:rFonts w:cs="Times New Roman"/>
          <w:i/>
          <w:iCs/>
        </w:rPr>
        <w:t>Sprache im Technischen Zeitalter</w:t>
      </w:r>
      <w:r w:rsidRPr="0055710F">
        <w:rPr>
          <w:rFonts w:cs="Times New Roman"/>
          <w:iCs/>
        </w:rPr>
        <w:t xml:space="preserve"> 29</w:t>
      </w:r>
      <w:r w:rsidR="004E6C3A">
        <w:rPr>
          <w:rFonts w:cs="Times New Roman"/>
          <w:iCs/>
        </w:rPr>
        <w:t xml:space="preserve"> (</w:t>
      </w:r>
      <w:r w:rsidR="004E6C3A">
        <w:rPr>
          <w:rFonts w:cs="Times New Roman"/>
        </w:rPr>
        <w:t>1969)</w:t>
      </w:r>
      <w:r w:rsidRPr="0055710F">
        <w:rPr>
          <w:rFonts w:cs="Times New Roman"/>
          <w:iCs/>
        </w:rPr>
        <w:t xml:space="preserve">: </w:t>
      </w:r>
      <w:r>
        <w:rPr>
          <w:rFonts w:cs="Times New Roman"/>
        </w:rPr>
        <w:t xml:space="preserve">2-19. </w:t>
      </w:r>
      <w:r w:rsidR="004E6C3A">
        <w:t>E</w:t>
      </w:r>
      <w:r w:rsidR="004E6C3A">
        <w:t>r</w:t>
      </w:r>
      <w:r w:rsidR="004E6C3A">
        <w:lastRenderedPageBreak/>
        <w:t xml:space="preserve">neut </w:t>
      </w:r>
      <w:r w:rsidR="001A463E">
        <w:t>in: Roman Jakobson (1992),</w:t>
      </w:r>
      <w:r>
        <w:t xml:space="preserve"> </w:t>
      </w:r>
      <w:r>
        <w:rPr>
          <w:i/>
          <w:iCs/>
        </w:rPr>
        <w:t xml:space="preserve">Semiotik. Ausgewählte Texte 1919–1982. </w:t>
      </w:r>
      <w:r>
        <w:t>Frankfurt a.M.: Suhrkamp. 206-232.</w:t>
      </w:r>
    </w:p>
    <w:p w:rsidR="00FD64B5" w:rsidRDefault="00FD64B5" w:rsidP="009F0669">
      <w:pPr>
        <w:pStyle w:val="Text"/>
        <w:ind w:left="454" w:hanging="454"/>
      </w:pPr>
      <w:r w:rsidRPr="00137D44">
        <w:t xml:space="preserve">Jodidio, Philip (1995), </w:t>
      </w:r>
      <w:r w:rsidRPr="00137D44">
        <w:rPr>
          <w:i/>
          <w:iCs/>
        </w:rPr>
        <w:t>Richard Meier</w:t>
      </w:r>
      <w:r w:rsidRPr="00137D44">
        <w:t xml:space="preserve">. </w:t>
      </w:r>
      <w:r w:rsidRPr="00FD64B5">
        <w:t>Köln u.a.: Taschen.</w:t>
      </w:r>
    </w:p>
    <w:p w:rsidR="00945EE7" w:rsidRDefault="00945EE7" w:rsidP="009F0669">
      <w:pPr>
        <w:pStyle w:val="Text"/>
        <w:ind w:left="454" w:hanging="454"/>
      </w:pPr>
      <w:r w:rsidRPr="00D41B2D">
        <w:rPr>
          <w:lang w:val="en-US"/>
        </w:rPr>
        <w:t xml:space="preserve">Johansen, </w:t>
      </w:r>
      <w:r w:rsidR="00235AC7" w:rsidRPr="00D41B2D">
        <w:rPr>
          <w:lang w:val="en-US"/>
        </w:rPr>
        <w:t xml:space="preserve">Jørgen </w:t>
      </w:r>
      <w:r w:rsidRPr="00D41B2D">
        <w:rPr>
          <w:lang w:val="en-US"/>
        </w:rPr>
        <w:t xml:space="preserve">Dines (1998), </w:t>
      </w:r>
      <w:r w:rsidR="00235AC7" w:rsidRPr="00D41B2D">
        <w:rPr>
          <w:lang w:val="en-US"/>
        </w:rPr>
        <w:t xml:space="preserve">„Hjelmslev and Glossematics“. </w:t>
      </w:r>
      <w:r w:rsidR="00235AC7" w:rsidRPr="00A63031">
        <w:rPr>
          <w:rFonts w:cs="Times New Roman"/>
        </w:rPr>
        <w:t xml:space="preserve">In: </w:t>
      </w:r>
      <w:r w:rsidR="00235AC7" w:rsidRPr="00A63031">
        <w:t>Posner u.a. 1997–2004, Bd. </w:t>
      </w:r>
      <w:r w:rsidR="00235AC7">
        <w:t>2</w:t>
      </w:r>
      <w:r w:rsidR="00235AC7" w:rsidRPr="00A63031">
        <w:t>:</w:t>
      </w:r>
      <w:r w:rsidR="00235AC7">
        <w:t xml:space="preserve"> </w:t>
      </w:r>
      <w:r>
        <w:t>2272-2289.</w:t>
      </w:r>
    </w:p>
    <w:p w:rsidR="00CA4BCF" w:rsidRPr="00FD64B5" w:rsidRDefault="00CA4BCF" w:rsidP="009F0669">
      <w:pPr>
        <w:pStyle w:val="Text"/>
        <w:ind w:left="454" w:hanging="454"/>
      </w:pPr>
      <w:r>
        <w:t>Jöns, Dietrich (1982), „Der philologische Steckbrief“. In:</w:t>
      </w:r>
      <w:r w:rsidR="00DC34C6">
        <w:t xml:space="preserve"> Rektorat der Univers</w:t>
      </w:r>
      <w:r w:rsidR="00DC34C6">
        <w:t>i</w:t>
      </w:r>
      <w:r w:rsidR="00DC34C6">
        <w:t xml:space="preserve">tät Mannheim </w:t>
      </w:r>
      <w:r>
        <w:t xml:space="preserve">(Hg.), </w:t>
      </w:r>
      <w:r w:rsidRPr="00CA4BCF">
        <w:rPr>
          <w:i/>
        </w:rPr>
        <w:t>Gesellschaft und Universität: Probleme und Perspekt</w:t>
      </w:r>
      <w:r w:rsidRPr="00CA4BCF">
        <w:rPr>
          <w:i/>
        </w:rPr>
        <w:t>i</w:t>
      </w:r>
      <w:r w:rsidRPr="00CA4BCF">
        <w:rPr>
          <w:i/>
        </w:rPr>
        <w:t>ven.</w:t>
      </w:r>
      <w:r w:rsidR="00DC34C6" w:rsidRPr="00DC34C6">
        <w:rPr>
          <w:i/>
        </w:rPr>
        <w:t xml:space="preserve"> Festschrift zur 75-Jahr-Feier der Universität Mannheim.</w:t>
      </w:r>
      <w:r>
        <w:t xml:space="preserve"> Mannheim: </w:t>
      </w:r>
      <w:r w:rsidR="00DC34C6">
        <w:t>Südwestdeutsche Verlagsanstalt</w:t>
      </w:r>
      <w:r>
        <w:t>. 273-287.</w:t>
      </w:r>
    </w:p>
    <w:p w:rsidR="00881E2C" w:rsidRDefault="00881E2C" w:rsidP="009F0669">
      <w:pPr>
        <w:pStyle w:val="Text"/>
        <w:ind w:left="454" w:hanging="454"/>
      </w:pPr>
      <w:r w:rsidRPr="00881E2C">
        <w:t xml:space="preserve">Kant, Immanuel (1800), </w:t>
      </w:r>
      <w:r w:rsidRPr="00881E2C">
        <w:rPr>
          <w:i/>
        </w:rPr>
        <w:t>Logik. Ein Handbuch zu Vorlesungen.</w:t>
      </w:r>
      <w:r>
        <w:t xml:space="preserve"> Königsberg</w:t>
      </w:r>
      <w:r w:rsidR="00566770">
        <w:t>: Nicolovius</w:t>
      </w:r>
      <w:r>
        <w:t xml:space="preserve">. </w:t>
      </w:r>
      <w:r w:rsidRPr="00881E2C">
        <w:t>Online unter: http://www.textlog.de/kant-logik.html</w:t>
      </w:r>
      <w:r w:rsidR="00805671">
        <w:t xml:space="preserve">; Einsicht am </w:t>
      </w:r>
      <w:r w:rsidR="001F3A51" w:rsidRPr="00E56013">
        <w:rPr>
          <w:rStyle w:val="mediumb-text"/>
        </w:rPr>
        <w:t>1</w:t>
      </w:r>
      <w:r w:rsidR="001F3A51">
        <w:rPr>
          <w:rStyle w:val="mediumb-text"/>
        </w:rPr>
        <w:t>8</w:t>
      </w:r>
      <w:r w:rsidR="001F3A51" w:rsidRPr="00E56013">
        <w:rPr>
          <w:rStyle w:val="mediumb-text"/>
        </w:rPr>
        <w:t>.0</w:t>
      </w:r>
      <w:r w:rsidR="001F3A51">
        <w:rPr>
          <w:rStyle w:val="mediumb-text"/>
        </w:rPr>
        <w:t>1</w:t>
      </w:r>
      <w:r w:rsidR="001F3A51" w:rsidRPr="00E56013">
        <w:rPr>
          <w:rStyle w:val="mediumb-text"/>
        </w:rPr>
        <w:t>.201</w:t>
      </w:r>
      <w:r w:rsidR="001F3A51">
        <w:rPr>
          <w:rStyle w:val="mediumb-text"/>
        </w:rPr>
        <w:t>2</w:t>
      </w:r>
      <w:r w:rsidR="00805671">
        <w:t>.</w:t>
      </w:r>
    </w:p>
    <w:p w:rsidR="006B37E7" w:rsidRPr="001231D3" w:rsidRDefault="006B37E7" w:rsidP="009F0669">
      <w:pPr>
        <w:pStyle w:val="Text"/>
        <w:ind w:left="454" w:hanging="454"/>
        <w:rPr>
          <w:lang w:val="en-US"/>
        </w:rPr>
      </w:pPr>
      <w:r>
        <w:t xml:space="preserve">Kastens, Uwe und Hans Kleine Büning (Hg.) (2005), </w:t>
      </w:r>
      <w:r w:rsidRPr="006B37E7">
        <w:rPr>
          <w:i/>
        </w:rPr>
        <w:t>Modellierung. Grundlagen und formale Methoden.</w:t>
      </w:r>
      <w:r>
        <w:t xml:space="preserve"> </w:t>
      </w:r>
      <w:r w:rsidRPr="001231D3">
        <w:rPr>
          <w:lang w:val="en-US"/>
        </w:rPr>
        <w:t>München u.a.: Hanser.</w:t>
      </w:r>
    </w:p>
    <w:p w:rsidR="006F14DE" w:rsidRDefault="006F14DE" w:rsidP="009F0669">
      <w:pPr>
        <w:pStyle w:val="Text"/>
        <w:ind w:left="454" w:hanging="454"/>
      </w:pPr>
      <w:r w:rsidRPr="00F1724F">
        <w:rPr>
          <w:lang w:val="en-US"/>
        </w:rPr>
        <w:t xml:space="preserve">Katz-Gerro, Tally, Sharon Raz und Meir Yaish (2007), „Class, Status and </w:t>
      </w:r>
      <w:r w:rsidRPr="006F14DE">
        <w:rPr>
          <w:lang w:val="en-US"/>
        </w:rPr>
        <w:t>Inte</w:t>
      </w:r>
      <w:r w:rsidRPr="006F14DE">
        <w:rPr>
          <w:lang w:val="en-US"/>
        </w:rPr>
        <w:t>r</w:t>
      </w:r>
      <w:r w:rsidRPr="006F14DE">
        <w:rPr>
          <w:lang w:val="en-US"/>
        </w:rPr>
        <w:t>generational Transmission of Musical Tastes in Israel“.</w:t>
      </w:r>
      <w:r>
        <w:rPr>
          <w:lang w:val="en-US"/>
        </w:rPr>
        <w:t xml:space="preserve"> </w:t>
      </w:r>
      <w:r w:rsidRPr="00BB0F26">
        <w:rPr>
          <w:i/>
        </w:rPr>
        <w:t>Poetics</w:t>
      </w:r>
      <w:r w:rsidRPr="00BB0F26">
        <w:t xml:space="preserve"> 35: 152-167.</w:t>
      </w:r>
    </w:p>
    <w:p w:rsidR="00BE5B91" w:rsidRDefault="00BE5B91" w:rsidP="009F0669">
      <w:pPr>
        <w:pStyle w:val="Text"/>
        <w:ind w:left="454" w:hanging="454"/>
      </w:pPr>
      <w:r>
        <w:t xml:space="preserve">Kaul, Elfriede C. (1990), </w:t>
      </w:r>
      <w:r w:rsidRPr="00BE5B91">
        <w:rPr>
          <w:i/>
        </w:rPr>
        <w:t>Stilproduktion und Stilrezeption.</w:t>
      </w:r>
      <w:r>
        <w:t xml:space="preserve"> </w:t>
      </w:r>
      <w:r w:rsidR="00CD5517">
        <w:t xml:space="preserve">Regensburg: Roderer. </w:t>
      </w:r>
      <w:r>
        <w:t xml:space="preserve">Zugl.: </w:t>
      </w:r>
      <w:r w:rsidR="0001488F">
        <w:t>Gießen, Univ., Diss.</w:t>
      </w:r>
    </w:p>
    <w:p w:rsidR="00AD092E" w:rsidRDefault="00AD092E" w:rsidP="009F0669">
      <w:pPr>
        <w:pStyle w:val="Text"/>
        <w:ind w:left="454" w:hanging="454"/>
      </w:pPr>
      <w:r>
        <w:t xml:space="preserve">Kayser, Wolfgang (1948), </w:t>
      </w:r>
      <w:r w:rsidRPr="00AD092E">
        <w:rPr>
          <w:i/>
        </w:rPr>
        <w:t>Das sprachliche Kunstwerk. Eine Einführung in die Literaturwissenschaft.</w:t>
      </w:r>
      <w:r>
        <w:t xml:space="preserve"> Bern</w:t>
      </w:r>
      <w:r w:rsidR="003D7140">
        <w:t>: Francke</w:t>
      </w:r>
      <w:r>
        <w:t>.</w:t>
      </w:r>
    </w:p>
    <w:p w:rsidR="00DB3950" w:rsidRPr="00BB0F26" w:rsidRDefault="00DB3950" w:rsidP="009F0669">
      <w:pPr>
        <w:pStyle w:val="Text"/>
        <w:ind w:left="454" w:hanging="454"/>
      </w:pPr>
      <w:r>
        <w:t xml:space="preserve">Keller, Rudi (1994), </w:t>
      </w:r>
      <w:r w:rsidRPr="00DB3950">
        <w:rPr>
          <w:i/>
        </w:rPr>
        <w:t>Sprachwandel. Von der unsichtbaren Hand in der Sprache.</w:t>
      </w:r>
      <w:r>
        <w:t xml:space="preserve"> 2., überarb. und erw. Aufl. Tübingen u.a.: </w:t>
      </w:r>
      <w:r w:rsidR="00DD2B71">
        <w:t>Francke</w:t>
      </w:r>
      <w:r>
        <w:t>.</w:t>
      </w:r>
    </w:p>
    <w:p w:rsidR="00A4396B" w:rsidRDefault="00A4396B" w:rsidP="009F0669">
      <w:pPr>
        <w:tabs>
          <w:tab w:val="clear" w:pos="567"/>
          <w:tab w:val="clear" w:pos="851"/>
          <w:tab w:val="clear" w:pos="1134"/>
          <w:tab w:val="clear" w:pos="1418"/>
        </w:tabs>
        <w:autoSpaceDE w:val="0"/>
        <w:autoSpaceDN w:val="0"/>
        <w:adjustRightInd w:val="0"/>
        <w:ind w:left="454" w:hanging="454"/>
        <w:rPr>
          <w:rFonts w:eastAsia="Times New Roman" w:cs="Times New Roman"/>
          <w:iCs/>
        </w:rPr>
      </w:pPr>
      <w:r>
        <w:rPr>
          <w:rFonts w:eastAsia="Times New Roman" w:cs="Times New Roman"/>
          <w:iCs/>
        </w:rPr>
        <w:t xml:space="preserve">Kimminich, Eva (2006), </w:t>
      </w:r>
      <w:r w:rsidR="009440FA">
        <w:rPr>
          <w:rFonts w:eastAsia="Times New Roman" w:cs="Times New Roman"/>
          <w:iCs/>
        </w:rPr>
        <w:t>„</w:t>
      </w:r>
      <w:r>
        <w:rPr>
          <w:rFonts w:eastAsia="Times New Roman" w:cs="Times New Roman"/>
          <w:iCs/>
        </w:rPr>
        <w:t>Jugend + Kultur = Lebensstil. Reflexionen über neue Dimensionen des Zeichengebrauchs</w:t>
      </w:r>
      <w:r w:rsidR="009440FA">
        <w:rPr>
          <w:rFonts w:eastAsia="Times New Roman" w:cs="Times New Roman"/>
          <w:iCs/>
        </w:rPr>
        <w:t>“</w:t>
      </w:r>
      <w:r>
        <w:rPr>
          <w:rFonts w:eastAsia="Times New Roman" w:cs="Times New Roman"/>
          <w:iCs/>
        </w:rPr>
        <w:t xml:space="preserve">. </w:t>
      </w:r>
      <w:r w:rsidR="009440FA">
        <w:rPr>
          <w:rFonts w:eastAsia="Times New Roman" w:cs="Times New Roman"/>
          <w:iCs/>
        </w:rPr>
        <w:t xml:space="preserve">In: </w:t>
      </w:r>
      <w:r w:rsidRPr="0071335B">
        <w:rPr>
          <w:rFonts w:eastAsia="Times New Roman" w:cs="Times New Roman"/>
          <w:i/>
          <w:iCs/>
        </w:rPr>
        <w:t>Stil als Zeichen. Funktionen – Brüche – Inszenierungen. Beiträge des 11. Internationalen Kongresses der Deutschen Gesellschaft für Semiotik (DGS) vom 24.-26. Juni 2005 an der Europa-Universität Viadrina.</w:t>
      </w:r>
      <w:r w:rsidRPr="007A373A">
        <w:rPr>
          <w:rFonts w:eastAsia="Times New Roman" w:cs="Times New Roman"/>
          <w:iCs/>
        </w:rPr>
        <w:t xml:space="preserve"> Frankfurt (Oder)</w:t>
      </w:r>
      <w:r>
        <w:rPr>
          <w:rFonts w:eastAsia="Times New Roman" w:cs="Times New Roman"/>
          <w:iCs/>
        </w:rPr>
        <w:t>: Universitätsschriften. CD-ROM.</w:t>
      </w:r>
    </w:p>
    <w:p w:rsidR="003B2ECD" w:rsidRDefault="003B2ECD" w:rsidP="009F0669">
      <w:pPr>
        <w:tabs>
          <w:tab w:val="clear" w:pos="567"/>
          <w:tab w:val="clear" w:pos="851"/>
          <w:tab w:val="clear" w:pos="1134"/>
          <w:tab w:val="clear" w:pos="1418"/>
        </w:tabs>
        <w:autoSpaceDE w:val="0"/>
        <w:autoSpaceDN w:val="0"/>
        <w:adjustRightInd w:val="0"/>
        <w:ind w:left="454" w:hanging="454"/>
        <w:rPr>
          <w:rFonts w:eastAsia="Times New Roman" w:cs="Times New Roman"/>
          <w:iCs/>
        </w:rPr>
      </w:pPr>
      <w:r>
        <w:rPr>
          <w:rFonts w:eastAsia="Times New Roman" w:cs="Times New Roman"/>
          <w:iCs/>
        </w:rPr>
        <w:t xml:space="preserve">Knape, Joachim (1996), „Figurenlehre“. In: </w:t>
      </w:r>
      <w:r w:rsidR="002F4398" w:rsidRPr="00064B74">
        <w:t xml:space="preserve">Ueding </w:t>
      </w:r>
      <w:r w:rsidR="00CD60C8">
        <w:t>1992–2009</w:t>
      </w:r>
      <w:r w:rsidR="003B78DF">
        <w:t>, Bd. 3: Sp.</w:t>
      </w:r>
      <w:r w:rsidR="002F4398">
        <w:t xml:space="preserve"> </w:t>
      </w:r>
      <w:r>
        <w:rPr>
          <w:rFonts w:eastAsia="Times New Roman" w:cs="Times New Roman"/>
          <w:iCs/>
        </w:rPr>
        <w:t>289-342.</w:t>
      </w:r>
    </w:p>
    <w:p w:rsidR="005E6182" w:rsidRPr="00B81768" w:rsidRDefault="005E6182" w:rsidP="009F0669">
      <w:pPr>
        <w:tabs>
          <w:tab w:val="clear" w:pos="567"/>
          <w:tab w:val="clear" w:pos="851"/>
          <w:tab w:val="clear" w:pos="1134"/>
          <w:tab w:val="clear" w:pos="1418"/>
        </w:tabs>
        <w:autoSpaceDE w:val="0"/>
        <w:autoSpaceDN w:val="0"/>
        <w:adjustRightInd w:val="0"/>
        <w:ind w:left="454" w:hanging="454"/>
        <w:rPr>
          <w:rFonts w:eastAsia="Times New Roman" w:cs="Times New Roman"/>
          <w:iCs/>
          <w:lang w:val="en-US"/>
        </w:rPr>
      </w:pPr>
      <w:r>
        <w:rPr>
          <w:rFonts w:eastAsia="Times New Roman" w:cs="Times New Roman"/>
          <w:iCs/>
        </w:rPr>
        <w:t>Kniffka, Hannes (1992), „Sprachwissenschaftliche Hilfe bei der Täterermit</w:t>
      </w:r>
      <w:r>
        <w:rPr>
          <w:rFonts w:eastAsia="Times New Roman" w:cs="Times New Roman"/>
          <w:iCs/>
        </w:rPr>
        <w:t>t</w:t>
      </w:r>
      <w:r>
        <w:rPr>
          <w:rFonts w:eastAsia="Times New Roman" w:cs="Times New Roman"/>
          <w:iCs/>
        </w:rPr>
        <w:t xml:space="preserve">lung“. In: Günther Grewendorf (Hg.), </w:t>
      </w:r>
      <w:r w:rsidRPr="005E6182">
        <w:rPr>
          <w:rFonts w:eastAsia="Times New Roman" w:cs="Times New Roman"/>
          <w:i/>
          <w:iCs/>
        </w:rPr>
        <w:t>Rechtskultur als Sprachkultur. Zur f</w:t>
      </w:r>
      <w:r w:rsidRPr="005E6182">
        <w:rPr>
          <w:rFonts w:eastAsia="Times New Roman" w:cs="Times New Roman"/>
          <w:i/>
          <w:iCs/>
        </w:rPr>
        <w:t>o</w:t>
      </w:r>
      <w:r w:rsidRPr="005E6182">
        <w:rPr>
          <w:rFonts w:eastAsia="Times New Roman" w:cs="Times New Roman"/>
          <w:i/>
          <w:iCs/>
        </w:rPr>
        <w:t>rensischen Funktion der Sprachanalyse.</w:t>
      </w:r>
      <w:r>
        <w:rPr>
          <w:rFonts w:eastAsia="Times New Roman" w:cs="Times New Roman"/>
          <w:iCs/>
        </w:rPr>
        <w:t xml:space="preserve"> </w:t>
      </w:r>
      <w:r w:rsidRPr="00B81768">
        <w:rPr>
          <w:rFonts w:eastAsia="Times New Roman" w:cs="Times New Roman"/>
          <w:iCs/>
          <w:lang w:val="en-US"/>
        </w:rPr>
        <w:t xml:space="preserve">Frankfurt a.M.: </w:t>
      </w:r>
      <w:r w:rsidR="00DC34C6">
        <w:rPr>
          <w:rFonts w:eastAsia="Times New Roman" w:cs="Times New Roman"/>
          <w:iCs/>
          <w:lang w:val="en-US"/>
        </w:rPr>
        <w:t>Suhrkamp</w:t>
      </w:r>
      <w:r w:rsidRPr="00B81768">
        <w:rPr>
          <w:rFonts w:eastAsia="Times New Roman" w:cs="Times New Roman"/>
          <w:iCs/>
          <w:lang w:val="en-US"/>
        </w:rPr>
        <w:t>. 157-193.</w:t>
      </w:r>
    </w:p>
    <w:p w:rsidR="003D19E7" w:rsidRDefault="003D19E7" w:rsidP="009F0669">
      <w:pPr>
        <w:pStyle w:val="Text"/>
        <w:ind w:left="454" w:hanging="454"/>
        <w:rPr>
          <w:lang w:val="en-US"/>
        </w:rPr>
      </w:pPr>
      <w:r w:rsidRPr="00B81768">
        <w:rPr>
          <w:lang w:val="en-US"/>
        </w:rPr>
        <w:t xml:space="preserve">Koffka, Kurt (1935), </w:t>
      </w:r>
      <w:r w:rsidRPr="00B81768">
        <w:rPr>
          <w:i/>
          <w:iCs/>
          <w:lang w:val="en-US"/>
        </w:rPr>
        <w:t>Principles of Gestalt Psychology.</w:t>
      </w:r>
      <w:r w:rsidR="00577568">
        <w:rPr>
          <w:lang w:val="en-US"/>
        </w:rPr>
        <w:t xml:space="preserve"> New York:</w:t>
      </w:r>
      <w:r w:rsidR="00577568" w:rsidRPr="00577568">
        <w:rPr>
          <w:lang w:val="en-US"/>
        </w:rPr>
        <w:t xml:space="preserve"> </w:t>
      </w:r>
      <w:r w:rsidR="00577568" w:rsidRPr="00B81768">
        <w:rPr>
          <w:lang w:val="en-US"/>
        </w:rPr>
        <w:t>Harcourt</w:t>
      </w:r>
      <w:r w:rsidR="00577568">
        <w:rPr>
          <w:lang w:val="en-US"/>
        </w:rPr>
        <w:t xml:space="preserve"> </w:t>
      </w:r>
      <w:r w:rsidR="00577568" w:rsidRPr="00B81768">
        <w:rPr>
          <w:lang w:val="en-US"/>
        </w:rPr>
        <w:t>Brace</w:t>
      </w:r>
      <w:r w:rsidR="00577568">
        <w:rPr>
          <w:lang w:val="en-US"/>
        </w:rPr>
        <w:t>.</w:t>
      </w:r>
    </w:p>
    <w:p w:rsidR="00DA7911" w:rsidRPr="00DA7911" w:rsidRDefault="00DA7911" w:rsidP="009F0669">
      <w:pPr>
        <w:pStyle w:val="Text"/>
        <w:ind w:left="454" w:hanging="454"/>
      </w:pPr>
      <w:r>
        <w:t xml:space="preserve">Köhler, Reinhard, Gabriel Altmann und Rajmund G. Piotrowski (Hg.) (2005), </w:t>
      </w:r>
      <w:r w:rsidRPr="00DA7911">
        <w:rPr>
          <w:i/>
        </w:rPr>
        <w:t>Quantitative Linguistik. Ein internationales Handbuch.</w:t>
      </w:r>
      <w:r>
        <w:t xml:space="preserve"> Berlin u.a.: de Gruyter.</w:t>
      </w:r>
    </w:p>
    <w:p w:rsidR="005249CE" w:rsidRPr="000C2F2C" w:rsidRDefault="005249CE" w:rsidP="009F0669">
      <w:pPr>
        <w:ind w:left="454" w:hanging="454"/>
        <w:rPr>
          <w:lang w:val="en-US"/>
        </w:rPr>
      </w:pPr>
      <w:r w:rsidRPr="005249CE">
        <w:rPr>
          <w:rFonts w:eastAsia="TimesNRMT" w:cs="Times New Roman"/>
        </w:rPr>
        <w:t>Köhler, Wolfgang (1920),</w:t>
      </w:r>
      <w:r>
        <w:rPr>
          <w:rFonts w:eastAsia="TimesNRMT" w:cs="Times New Roman"/>
        </w:rPr>
        <w:t xml:space="preserve"> </w:t>
      </w:r>
      <w:r w:rsidRPr="005249CE">
        <w:rPr>
          <w:i/>
        </w:rPr>
        <w:t>Die physischen Gestalten in Ruhe und im stationären Zustand.</w:t>
      </w:r>
      <w:r>
        <w:t xml:space="preserve"> </w:t>
      </w:r>
      <w:r w:rsidRPr="000C2F2C">
        <w:rPr>
          <w:lang w:val="en-US"/>
        </w:rPr>
        <w:t>Braunschweig: Vieweg.</w:t>
      </w:r>
    </w:p>
    <w:p w:rsidR="00E6261E" w:rsidRDefault="00E6261E" w:rsidP="009F0669">
      <w:pPr>
        <w:ind w:left="454" w:hanging="454"/>
        <w:rPr>
          <w:rStyle w:val="citation"/>
          <w:lang w:val="en-US"/>
        </w:rPr>
      </w:pPr>
      <w:r w:rsidRPr="000C2F2C">
        <w:rPr>
          <w:rStyle w:val="citation"/>
          <w:lang w:val="en-US"/>
        </w:rPr>
        <w:t>Kolmogor</w:t>
      </w:r>
      <w:r w:rsidRPr="00E6261E">
        <w:rPr>
          <w:rStyle w:val="citation"/>
          <w:lang w:val="en-US"/>
        </w:rPr>
        <w:t>ov, Andrei N.</w:t>
      </w:r>
      <w:r w:rsidR="001F2C4C">
        <w:rPr>
          <w:rStyle w:val="citation"/>
          <w:lang w:val="en-US"/>
        </w:rPr>
        <w:t xml:space="preserve"> (1998),</w:t>
      </w:r>
      <w:r w:rsidRPr="00E6261E">
        <w:rPr>
          <w:rStyle w:val="citation"/>
          <w:lang w:val="en-US"/>
        </w:rPr>
        <w:t xml:space="preserve"> </w:t>
      </w:r>
      <w:r w:rsidRPr="00E6261E">
        <w:rPr>
          <w:rFonts w:cs="Times New Roman"/>
          <w:lang w:val="en-US"/>
        </w:rPr>
        <w:t>„</w:t>
      </w:r>
      <w:r w:rsidRPr="00E6261E">
        <w:rPr>
          <w:rStyle w:val="citation"/>
          <w:lang w:val="en-US"/>
        </w:rPr>
        <w:t>On Tables of Random Numbers</w:t>
      </w:r>
      <w:r w:rsidRPr="00E6261E">
        <w:rPr>
          <w:rStyle w:val="Hervorhebung"/>
          <w:i w:val="0"/>
          <w:lang w:val="en-US"/>
        </w:rPr>
        <w:t>“</w:t>
      </w:r>
      <w:r w:rsidRPr="00E6261E">
        <w:rPr>
          <w:rStyle w:val="citation"/>
          <w:lang w:val="en-US"/>
        </w:rPr>
        <w:t xml:space="preserve">. </w:t>
      </w:r>
      <w:r w:rsidRPr="00E6261E">
        <w:rPr>
          <w:rStyle w:val="citation"/>
          <w:i/>
          <w:iCs/>
          <w:lang w:val="en-US"/>
        </w:rPr>
        <w:t>Theoretical Computer Science</w:t>
      </w:r>
      <w:r w:rsidRPr="00E6261E">
        <w:rPr>
          <w:rStyle w:val="citation"/>
          <w:lang w:val="en-US"/>
        </w:rPr>
        <w:t xml:space="preserve"> </w:t>
      </w:r>
      <w:r w:rsidRPr="00E6261E">
        <w:rPr>
          <w:rStyle w:val="citation"/>
          <w:bCs/>
          <w:lang w:val="en-US"/>
        </w:rPr>
        <w:t>207</w:t>
      </w:r>
      <w:r>
        <w:rPr>
          <w:rStyle w:val="citation"/>
          <w:lang w:val="en-US"/>
        </w:rPr>
        <w:t xml:space="preserve">, </w:t>
      </w:r>
      <w:r w:rsidRPr="00E6261E">
        <w:rPr>
          <w:rStyle w:val="citation"/>
          <w:lang w:val="en-US"/>
        </w:rPr>
        <w:t>2: 387</w:t>
      </w:r>
      <w:r>
        <w:rPr>
          <w:rStyle w:val="citation"/>
          <w:lang w:val="en-US"/>
        </w:rPr>
        <w:t>-</w:t>
      </w:r>
      <w:r w:rsidRPr="00E6261E">
        <w:rPr>
          <w:rStyle w:val="citation"/>
          <w:lang w:val="en-US"/>
        </w:rPr>
        <w:t>395.</w:t>
      </w:r>
      <w:r w:rsidR="001F2C4C">
        <w:rPr>
          <w:rStyle w:val="citation"/>
          <w:lang w:val="en-US"/>
        </w:rPr>
        <w:t xml:space="preserve"> </w:t>
      </w:r>
      <w:r w:rsidR="00BD6313">
        <w:rPr>
          <w:rStyle w:val="citation"/>
          <w:lang w:val="en-US"/>
        </w:rPr>
        <w:t xml:space="preserve">Zuvor </w:t>
      </w:r>
      <w:r w:rsidR="001F2C4C">
        <w:rPr>
          <w:rStyle w:val="citation"/>
          <w:lang w:val="en-US"/>
        </w:rPr>
        <w:t xml:space="preserve">als: </w:t>
      </w:r>
      <w:r w:rsidR="001F2C4C" w:rsidRPr="00E6261E">
        <w:rPr>
          <w:rFonts w:cs="Times New Roman"/>
          <w:lang w:val="en-US"/>
        </w:rPr>
        <w:t>„</w:t>
      </w:r>
      <w:r w:rsidR="001F2C4C" w:rsidRPr="001F2C4C">
        <w:rPr>
          <w:rStyle w:val="citation"/>
          <w:lang w:val="en-US"/>
        </w:rPr>
        <w:t>On Tables of Random Numbers</w:t>
      </w:r>
      <w:r w:rsidR="001F2C4C" w:rsidRPr="00E6261E">
        <w:rPr>
          <w:rStyle w:val="Hervorhebung"/>
          <w:i w:val="0"/>
          <w:lang w:val="en-US"/>
        </w:rPr>
        <w:t>“</w:t>
      </w:r>
      <w:r w:rsidR="001F2C4C" w:rsidRPr="001F2C4C">
        <w:rPr>
          <w:rStyle w:val="citation"/>
          <w:lang w:val="en-US"/>
        </w:rPr>
        <w:t xml:space="preserve">. </w:t>
      </w:r>
      <w:r w:rsidR="001F2C4C" w:rsidRPr="001F2C4C">
        <w:rPr>
          <w:rStyle w:val="citation"/>
          <w:i/>
          <w:iCs/>
          <w:lang w:val="en-US"/>
        </w:rPr>
        <w:t>Sankhy</w:t>
      </w:r>
      <w:r w:rsidR="001F2C4C" w:rsidRPr="00BB7C54">
        <w:rPr>
          <w:rStyle w:val="citation"/>
          <w:rFonts w:ascii="Times New Roman" w:hAnsi="Times New Roman" w:cs="Times New Roman"/>
          <w:i/>
          <w:iCs/>
          <w:lang w:val="en-US"/>
        </w:rPr>
        <w:t>ā</w:t>
      </w:r>
      <w:r w:rsidR="001F2C4C" w:rsidRPr="00221C3C">
        <w:rPr>
          <w:rStyle w:val="citation"/>
          <w:i/>
          <w:iCs/>
          <w:lang w:val="en-US"/>
        </w:rPr>
        <w:t xml:space="preserve"> Series A</w:t>
      </w:r>
      <w:r w:rsidR="001F2C4C">
        <w:rPr>
          <w:rStyle w:val="citation"/>
          <w:lang w:val="en-US"/>
        </w:rPr>
        <w:t>,</w:t>
      </w:r>
      <w:r w:rsidR="001F2C4C" w:rsidRPr="001F2C4C">
        <w:rPr>
          <w:rStyle w:val="citation"/>
          <w:lang w:val="en-US"/>
        </w:rPr>
        <w:t xml:space="preserve"> </w:t>
      </w:r>
      <w:r w:rsidR="001F2C4C" w:rsidRPr="001F2C4C">
        <w:rPr>
          <w:rStyle w:val="citation"/>
          <w:bCs/>
          <w:lang w:val="en-US"/>
        </w:rPr>
        <w:t>25</w:t>
      </w:r>
      <w:r w:rsidR="00BD6313">
        <w:rPr>
          <w:rStyle w:val="citation"/>
          <w:bCs/>
          <w:lang w:val="en-US"/>
        </w:rPr>
        <w:t xml:space="preserve"> (</w:t>
      </w:r>
      <w:r w:rsidR="00BD6313">
        <w:rPr>
          <w:rStyle w:val="citation"/>
          <w:lang w:val="en-US"/>
        </w:rPr>
        <w:t>1963)</w:t>
      </w:r>
      <w:r w:rsidR="001F2C4C">
        <w:rPr>
          <w:rStyle w:val="citation"/>
          <w:lang w:val="en-US"/>
        </w:rPr>
        <w:t>: 369-376.</w:t>
      </w:r>
    </w:p>
    <w:p w:rsidR="00E40BC1" w:rsidRPr="000C2F2C" w:rsidRDefault="00E40BC1" w:rsidP="009F0669">
      <w:pPr>
        <w:ind w:left="454" w:hanging="454"/>
      </w:pPr>
      <w:r w:rsidRPr="00E40BC1">
        <w:rPr>
          <w:lang w:val="en-US"/>
        </w:rPr>
        <w:lastRenderedPageBreak/>
        <w:t xml:space="preserve">Kosslyn, Stephen M. (1983), </w:t>
      </w:r>
      <w:r>
        <w:rPr>
          <w:i/>
          <w:iCs/>
          <w:lang w:val="en-US"/>
        </w:rPr>
        <w:t>Ghosts in the Mind’</w:t>
      </w:r>
      <w:r w:rsidRPr="00E40BC1">
        <w:rPr>
          <w:i/>
          <w:iCs/>
          <w:lang w:val="en-US"/>
        </w:rPr>
        <w:t>s Machine</w:t>
      </w:r>
      <w:r w:rsidR="004F52C9">
        <w:rPr>
          <w:i/>
          <w:iCs/>
          <w:lang w:val="en-US"/>
        </w:rPr>
        <w:t>.</w:t>
      </w:r>
      <w:r w:rsidRPr="00E40BC1">
        <w:rPr>
          <w:i/>
          <w:iCs/>
          <w:lang w:val="en-US"/>
        </w:rPr>
        <w:t xml:space="preserve"> Creating and Using Images in the Brain.</w:t>
      </w:r>
      <w:r w:rsidRPr="00E40BC1">
        <w:rPr>
          <w:lang w:val="en-US"/>
        </w:rPr>
        <w:t xml:space="preserve"> </w:t>
      </w:r>
      <w:r w:rsidRPr="000C2F2C">
        <w:t>New York: Norton.</w:t>
      </w:r>
    </w:p>
    <w:p w:rsidR="00AC7357" w:rsidRDefault="00AC7357" w:rsidP="008531C4">
      <w:pPr>
        <w:ind w:firstLine="0"/>
      </w:pPr>
      <w:r w:rsidRPr="00AC7357">
        <w:t xml:space="preserve">Krais, Beate und Gunter Gebauer (2002), </w:t>
      </w:r>
      <w:r w:rsidRPr="00AC7357">
        <w:rPr>
          <w:i/>
        </w:rPr>
        <w:t>Habitus</w:t>
      </w:r>
      <w:r w:rsidRPr="00AC7357">
        <w:t xml:space="preserve">. </w:t>
      </w:r>
      <w:r w:rsidRPr="005249CE">
        <w:t>Bielefeld: transcript.</w:t>
      </w:r>
    </w:p>
    <w:p w:rsidR="00027390" w:rsidRDefault="00027390" w:rsidP="009F0669">
      <w:pPr>
        <w:ind w:left="454" w:hanging="454"/>
      </w:pPr>
      <w:r>
        <w:t>Krämer, Sybille (1988),</w:t>
      </w:r>
      <w:r w:rsidRPr="00027390">
        <w:t xml:space="preserve"> </w:t>
      </w:r>
      <w:r>
        <w:rPr>
          <w:i/>
          <w:iCs/>
        </w:rPr>
        <w:t>Symbolische Maschinen. Die Idee der Formalisierung im geschichtlichen Abriß.</w:t>
      </w:r>
      <w:r>
        <w:t xml:space="preserve"> </w:t>
      </w:r>
      <w:r w:rsidRPr="00F34C9C">
        <w:t>Darmstadt: Wissenschaftliche Buchgesellschaft.</w:t>
      </w:r>
    </w:p>
    <w:p w:rsidR="00B90D1F" w:rsidRPr="00942C7D" w:rsidRDefault="00B90D1F" w:rsidP="00B90D1F">
      <w:pPr>
        <w:ind w:left="454" w:hanging="454"/>
        <w:rPr>
          <w:lang w:val="en-US"/>
        </w:rPr>
      </w:pPr>
      <w:r w:rsidRPr="009952AA">
        <w:t xml:space="preserve">Krampen, Martin (1979), </w:t>
      </w:r>
      <w:r w:rsidRPr="009952AA">
        <w:rPr>
          <w:i/>
        </w:rPr>
        <w:t>Meaning in the Urban Environment.</w:t>
      </w:r>
      <w:r w:rsidRPr="009952AA">
        <w:t xml:space="preserve"> </w:t>
      </w:r>
      <w:r w:rsidRPr="00846F6C">
        <w:rPr>
          <w:lang w:val="en-US"/>
        </w:rPr>
        <w:t xml:space="preserve">London: Pion. 2. Aufl. </w:t>
      </w:r>
      <w:r>
        <w:rPr>
          <w:lang w:val="en-US"/>
        </w:rPr>
        <w:t xml:space="preserve">London: Routledge </w:t>
      </w:r>
      <w:r w:rsidRPr="00846F6C">
        <w:rPr>
          <w:lang w:val="en-US"/>
        </w:rPr>
        <w:t>200</w:t>
      </w:r>
      <w:r>
        <w:rPr>
          <w:lang w:val="en-US"/>
        </w:rPr>
        <w:t>7</w:t>
      </w:r>
      <w:r w:rsidRPr="00846F6C">
        <w:rPr>
          <w:lang w:val="en-US"/>
        </w:rPr>
        <w:t>.</w:t>
      </w:r>
    </w:p>
    <w:p w:rsidR="008A5824" w:rsidRPr="008531C4" w:rsidRDefault="008A5824" w:rsidP="009F0669">
      <w:pPr>
        <w:ind w:left="454" w:hanging="454"/>
        <w:rPr>
          <w:lang w:val="en-US"/>
        </w:rPr>
      </w:pPr>
      <w:r w:rsidRPr="00B90D1F">
        <w:rPr>
          <w:lang w:val="en-US"/>
        </w:rPr>
        <w:t xml:space="preserve">Krampen, </w:t>
      </w:r>
      <w:r w:rsidR="00A63031" w:rsidRPr="00B90D1F">
        <w:rPr>
          <w:lang w:val="en-US"/>
        </w:rPr>
        <w:t xml:space="preserve">Martin (1997), </w:t>
      </w:r>
      <w:r w:rsidR="00A63031" w:rsidRPr="00B90D1F">
        <w:rPr>
          <w:rFonts w:cs="Times New Roman"/>
          <w:lang w:val="en-US"/>
        </w:rPr>
        <w:t xml:space="preserve">„Models of </w:t>
      </w:r>
      <w:r w:rsidR="00566770" w:rsidRPr="00B90D1F">
        <w:rPr>
          <w:rFonts w:cs="Times New Roman"/>
          <w:lang w:val="en-US"/>
        </w:rPr>
        <w:t>S</w:t>
      </w:r>
      <w:r w:rsidR="00A63031" w:rsidRPr="00B90D1F">
        <w:rPr>
          <w:rFonts w:cs="Times New Roman"/>
          <w:lang w:val="en-US"/>
        </w:rPr>
        <w:t>emiosis</w:t>
      </w:r>
      <w:r w:rsidR="00A63031" w:rsidRPr="00B90D1F">
        <w:rPr>
          <w:rStyle w:val="Hervorhebung"/>
          <w:i w:val="0"/>
          <w:lang w:val="en-US"/>
        </w:rPr>
        <w:t>“</w:t>
      </w:r>
      <w:r w:rsidR="00A63031" w:rsidRPr="00B90D1F">
        <w:rPr>
          <w:rFonts w:cs="Times New Roman"/>
          <w:lang w:val="en-US"/>
        </w:rPr>
        <w:t xml:space="preserve">. </w:t>
      </w:r>
      <w:r w:rsidR="00A63031" w:rsidRPr="008531C4">
        <w:rPr>
          <w:rFonts w:cs="Times New Roman"/>
          <w:lang w:val="en-US"/>
        </w:rPr>
        <w:t xml:space="preserve">In: </w:t>
      </w:r>
      <w:r w:rsidR="00A63031" w:rsidRPr="008531C4">
        <w:rPr>
          <w:lang w:val="en-US"/>
        </w:rPr>
        <w:t xml:space="preserve">Posner u.a. 1997–2004, Bd. 1: </w:t>
      </w:r>
      <w:r w:rsidRPr="008531C4">
        <w:rPr>
          <w:lang w:val="en-US"/>
        </w:rPr>
        <w:t>247-287.</w:t>
      </w:r>
    </w:p>
    <w:p w:rsidR="00DC41A4" w:rsidRPr="00DC41A4" w:rsidRDefault="00DC41A4" w:rsidP="009F0669">
      <w:pPr>
        <w:ind w:left="454" w:hanging="454"/>
        <w:rPr>
          <w:lang w:val="en-US"/>
        </w:rPr>
      </w:pPr>
      <w:r>
        <w:rPr>
          <w:lang w:val="en-US"/>
        </w:rPr>
        <w:t>Krámský, Ji</w:t>
      </w:r>
      <w:r w:rsidRPr="00ED021C">
        <w:rPr>
          <w:rFonts w:ascii="Times New Roman" w:hAnsi="Times New Roman" w:cs="Times New Roman"/>
          <w:lang w:val="en-US"/>
        </w:rPr>
        <w:t>ř</w:t>
      </w:r>
      <w:r>
        <w:rPr>
          <w:lang w:val="en-US"/>
        </w:rPr>
        <w:t xml:space="preserve">í (1983), </w:t>
      </w:r>
      <w:r w:rsidRPr="00DC41A4">
        <w:rPr>
          <w:rFonts w:cs="Times New Roman"/>
          <w:lang w:val="en-US"/>
        </w:rPr>
        <w:t>„</w:t>
      </w:r>
      <w:r w:rsidRPr="00DC41A4">
        <w:rPr>
          <w:rStyle w:val="Hervorhebung"/>
          <w:i w:val="0"/>
          <w:lang w:val="en-US"/>
        </w:rPr>
        <w:t xml:space="preserve">A </w:t>
      </w:r>
      <w:r w:rsidR="00566770">
        <w:rPr>
          <w:rStyle w:val="Hervorhebung"/>
          <w:i w:val="0"/>
          <w:lang w:val="en-US"/>
        </w:rPr>
        <w:t>S</w:t>
      </w:r>
      <w:r w:rsidRPr="00DC41A4">
        <w:rPr>
          <w:rStyle w:val="Hervorhebung"/>
          <w:i w:val="0"/>
          <w:lang w:val="en-US"/>
        </w:rPr>
        <w:t xml:space="preserve">tylostatistical </w:t>
      </w:r>
      <w:r w:rsidR="00566770">
        <w:rPr>
          <w:rStyle w:val="Hervorhebung"/>
          <w:i w:val="0"/>
          <w:lang w:val="en-US"/>
        </w:rPr>
        <w:t>E</w:t>
      </w:r>
      <w:r w:rsidRPr="00DC41A4">
        <w:rPr>
          <w:rStyle w:val="Hervorhebung"/>
          <w:i w:val="0"/>
          <w:lang w:val="en-US"/>
        </w:rPr>
        <w:t xml:space="preserve">xamination of </w:t>
      </w:r>
      <w:r w:rsidR="00566770">
        <w:rPr>
          <w:rStyle w:val="Hervorhebung"/>
          <w:i w:val="0"/>
          <w:lang w:val="en-US"/>
        </w:rPr>
        <w:t>C</w:t>
      </w:r>
      <w:r w:rsidRPr="00DC41A4">
        <w:rPr>
          <w:rStyle w:val="Hervorhebung"/>
          <w:i w:val="0"/>
          <w:lang w:val="en-US"/>
        </w:rPr>
        <w:t>onjunctions</w:t>
      </w:r>
      <w:r w:rsidRPr="00DC41A4">
        <w:rPr>
          <w:lang w:val="en-US"/>
        </w:rPr>
        <w:t xml:space="preserve"> in </w:t>
      </w:r>
      <w:r w:rsidR="00566770">
        <w:rPr>
          <w:lang w:val="en-US"/>
        </w:rPr>
        <w:t>M</w:t>
      </w:r>
      <w:r w:rsidRPr="00DC41A4">
        <w:rPr>
          <w:lang w:val="en-US"/>
        </w:rPr>
        <w:t>o</w:t>
      </w:r>
      <w:r w:rsidRPr="00DC41A4">
        <w:rPr>
          <w:lang w:val="en-US"/>
        </w:rPr>
        <w:t>d</w:t>
      </w:r>
      <w:r w:rsidRPr="00DC41A4">
        <w:rPr>
          <w:lang w:val="en-US"/>
        </w:rPr>
        <w:t>ern English</w:t>
      </w:r>
      <w:r w:rsidRPr="00DC41A4">
        <w:rPr>
          <w:rStyle w:val="Hervorhebung"/>
          <w:i w:val="0"/>
          <w:lang w:val="en-US"/>
        </w:rPr>
        <w:t>“</w:t>
      </w:r>
      <w:r w:rsidRPr="00DC41A4">
        <w:rPr>
          <w:lang w:val="en-US"/>
        </w:rPr>
        <w:t>.</w:t>
      </w:r>
      <w:r>
        <w:rPr>
          <w:lang w:val="en-US"/>
        </w:rPr>
        <w:t xml:space="preserve"> </w:t>
      </w:r>
      <w:r w:rsidRPr="00DC41A4">
        <w:rPr>
          <w:i/>
          <w:lang w:val="en-US"/>
        </w:rPr>
        <w:t>Prague Studies in Mathematical Linguistics</w:t>
      </w:r>
      <w:r w:rsidRPr="00DC41A4">
        <w:rPr>
          <w:lang w:val="en-US"/>
        </w:rPr>
        <w:t xml:space="preserve"> </w:t>
      </w:r>
      <w:r>
        <w:rPr>
          <w:lang w:val="en-US"/>
        </w:rPr>
        <w:t>8: 81-92.</w:t>
      </w:r>
    </w:p>
    <w:p w:rsidR="004A3135" w:rsidRPr="004A3135" w:rsidRDefault="004A3135" w:rsidP="009F0669">
      <w:pPr>
        <w:ind w:left="454" w:hanging="454"/>
        <w:rPr>
          <w:lang w:val="en-US"/>
        </w:rPr>
      </w:pPr>
      <w:r w:rsidRPr="004A3135">
        <w:rPr>
          <w:lang w:val="en-US"/>
        </w:rPr>
        <w:t xml:space="preserve">Kraus, </w:t>
      </w:r>
      <w:r w:rsidR="0092005D">
        <w:rPr>
          <w:lang w:val="en-US"/>
        </w:rPr>
        <w:t>Ji</w:t>
      </w:r>
      <w:r w:rsidR="0092005D" w:rsidRPr="00ED021C">
        <w:rPr>
          <w:rFonts w:ascii="Times New Roman" w:hAnsi="Times New Roman" w:cs="Times New Roman"/>
          <w:lang w:val="en-US"/>
        </w:rPr>
        <w:t>ř</w:t>
      </w:r>
      <w:r w:rsidR="0092005D">
        <w:rPr>
          <w:lang w:val="en-US"/>
        </w:rPr>
        <w:t>í</w:t>
      </w:r>
      <w:r w:rsidR="0092005D" w:rsidRPr="004A3135">
        <w:rPr>
          <w:lang w:val="en-US"/>
        </w:rPr>
        <w:t xml:space="preserve"> </w:t>
      </w:r>
      <w:r w:rsidR="0092005D">
        <w:rPr>
          <w:rFonts w:cs="Times New Roman"/>
          <w:lang w:val="en-US"/>
        </w:rPr>
        <w:t>(1987</w:t>
      </w:r>
      <w:r w:rsidRPr="004A3135">
        <w:rPr>
          <w:rFonts w:cs="Times New Roman"/>
          <w:lang w:val="en-US"/>
        </w:rPr>
        <w:t>), „</w:t>
      </w:r>
      <w:r w:rsidRPr="004A3135">
        <w:rPr>
          <w:lang w:val="en-US"/>
        </w:rPr>
        <w:t xml:space="preserve">On the </w:t>
      </w:r>
      <w:r w:rsidR="00566770">
        <w:rPr>
          <w:rStyle w:val="Hervorhebung"/>
          <w:i w:val="0"/>
          <w:lang w:val="en-US"/>
        </w:rPr>
        <w:t>S</w:t>
      </w:r>
      <w:r w:rsidRPr="004A3135">
        <w:rPr>
          <w:rStyle w:val="Hervorhebung"/>
          <w:i w:val="0"/>
          <w:lang w:val="en-US"/>
        </w:rPr>
        <w:t xml:space="preserve">ociolinguistic </w:t>
      </w:r>
      <w:r w:rsidR="00566770">
        <w:rPr>
          <w:rStyle w:val="Hervorhebung"/>
          <w:i w:val="0"/>
          <w:lang w:val="en-US"/>
        </w:rPr>
        <w:t>A</w:t>
      </w:r>
      <w:r w:rsidRPr="004A3135">
        <w:rPr>
          <w:rStyle w:val="Hervorhebung"/>
          <w:i w:val="0"/>
          <w:lang w:val="en-US"/>
        </w:rPr>
        <w:t>spects</w:t>
      </w:r>
      <w:r w:rsidRPr="004A3135">
        <w:rPr>
          <w:lang w:val="en-US"/>
        </w:rPr>
        <w:t xml:space="preserve"> of the </w:t>
      </w:r>
      <w:r w:rsidR="00566770">
        <w:rPr>
          <w:rStyle w:val="Hervorhebung"/>
          <w:i w:val="0"/>
          <w:lang w:val="en-US"/>
        </w:rPr>
        <w:t>N</w:t>
      </w:r>
      <w:r w:rsidRPr="004A3135">
        <w:rPr>
          <w:rStyle w:val="Hervorhebung"/>
          <w:i w:val="0"/>
          <w:lang w:val="en-US"/>
        </w:rPr>
        <w:t>otion</w:t>
      </w:r>
      <w:r w:rsidRPr="004A3135">
        <w:rPr>
          <w:lang w:val="en-US"/>
        </w:rPr>
        <w:t xml:space="preserve"> of </w:t>
      </w:r>
      <w:r w:rsidR="00566770">
        <w:rPr>
          <w:lang w:val="en-US"/>
        </w:rPr>
        <w:t>F</w:t>
      </w:r>
      <w:r w:rsidRPr="004A3135">
        <w:rPr>
          <w:lang w:val="en-US"/>
        </w:rPr>
        <w:t xml:space="preserve">unctional </w:t>
      </w:r>
      <w:r w:rsidR="00566770">
        <w:rPr>
          <w:lang w:val="en-US"/>
        </w:rPr>
        <w:t>S</w:t>
      </w:r>
      <w:r w:rsidRPr="004A3135">
        <w:rPr>
          <w:lang w:val="en-US"/>
        </w:rPr>
        <w:t>tyle</w:t>
      </w:r>
      <w:r w:rsidRPr="004A3135">
        <w:rPr>
          <w:rStyle w:val="Hervorhebung"/>
          <w:i w:val="0"/>
          <w:lang w:val="en-US"/>
        </w:rPr>
        <w:t>“</w:t>
      </w:r>
      <w:r>
        <w:rPr>
          <w:rStyle w:val="Hervorhebung"/>
          <w:i w:val="0"/>
          <w:lang w:val="en-US"/>
        </w:rPr>
        <w:t xml:space="preserve">. In: Jan </w:t>
      </w:r>
      <w:r w:rsidRPr="004A3135">
        <w:rPr>
          <w:lang w:val="en-US"/>
        </w:rPr>
        <w:t>Chloupek</w:t>
      </w:r>
      <w:r>
        <w:rPr>
          <w:lang w:val="en-US"/>
        </w:rPr>
        <w:t xml:space="preserve"> und</w:t>
      </w:r>
      <w:r w:rsidRPr="004A3135">
        <w:rPr>
          <w:lang w:val="en-US"/>
        </w:rPr>
        <w:t xml:space="preserve"> Ji</w:t>
      </w:r>
      <w:r w:rsidR="00ED021C" w:rsidRPr="00A7533E">
        <w:rPr>
          <w:rFonts w:ascii="Times New Roman" w:hAnsi="Times New Roman" w:cs="Times New Roman"/>
          <w:lang w:val="en-US"/>
        </w:rPr>
        <w:t>ř</w:t>
      </w:r>
      <w:r w:rsidRPr="004A3135">
        <w:rPr>
          <w:lang w:val="en-US"/>
        </w:rPr>
        <w:t xml:space="preserve">í Nekvapil </w:t>
      </w:r>
      <w:r>
        <w:rPr>
          <w:lang w:val="en-US"/>
        </w:rPr>
        <w:t xml:space="preserve">(Hg.), </w:t>
      </w:r>
      <w:r w:rsidRPr="004A3135">
        <w:rPr>
          <w:rStyle w:val="Hervorhebung"/>
          <w:lang w:val="en-US"/>
        </w:rPr>
        <w:t>Reader in Czech Socioli</w:t>
      </w:r>
      <w:r w:rsidRPr="004A3135">
        <w:rPr>
          <w:rStyle w:val="Hervorhebung"/>
          <w:lang w:val="en-US"/>
        </w:rPr>
        <w:t>n</w:t>
      </w:r>
      <w:r w:rsidRPr="004A3135">
        <w:rPr>
          <w:rStyle w:val="Hervorhebung"/>
          <w:lang w:val="en-US"/>
        </w:rPr>
        <w:t>guistics.</w:t>
      </w:r>
      <w:r>
        <w:rPr>
          <w:rStyle w:val="Hervorhebung"/>
          <w:i w:val="0"/>
          <w:lang w:val="en-US"/>
        </w:rPr>
        <w:t xml:space="preserve"> </w:t>
      </w:r>
      <w:r w:rsidR="0092005D">
        <w:rPr>
          <w:rStyle w:val="Hervorhebung"/>
          <w:i w:val="0"/>
          <w:lang w:val="en-US"/>
        </w:rPr>
        <w:t>Amsterdam: Benjamins.</w:t>
      </w:r>
      <w:r w:rsidR="00221C3C">
        <w:rPr>
          <w:rStyle w:val="Hervorhebung"/>
          <w:i w:val="0"/>
          <w:lang w:val="en-US"/>
        </w:rPr>
        <w:t xml:space="preserve"> </w:t>
      </w:r>
      <w:r w:rsidRPr="00C936D8">
        <w:rPr>
          <w:lang w:val="en-US"/>
        </w:rPr>
        <w:t>83-93.</w:t>
      </w:r>
    </w:p>
    <w:p w:rsidR="009F4750" w:rsidRPr="00C936D8" w:rsidRDefault="009F4750" w:rsidP="009F0669">
      <w:pPr>
        <w:pStyle w:val="Text"/>
        <w:ind w:left="454" w:hanging="454"/>
        <w:rPr>
          <w:lang w:val="en-US"/>
        </w:rPr>
      </w:pPr>
      <w:r w:rsidRPr="00C936D8">
        <w:rPr>
          <w:lang w:val="en-US"/>
        </w:rPr>
        <w:t xml:space="preserve">Kraus, </w:t>
      </w:r>
      <w:r w:rsidR="0092005D">
        <w:rPr>
          <w:lang w:val="en-US"/>
        </w:rPr>
        <w:t>Ji</w:t>
      </w:r>
      <w:r w:rsidR="00ED021C" w:rsidRPr="00A7533E">
        <w:rPr>
          <w:rFonts w:ascii="Times New Roman" w:hAnsi="Times New Roman" w:cs="Times New Roman"/>
          <w:lang w:val="en-US"/>
        </w:rPr>
        <w:t>ř</w:t>
      </w:r>
      <w:r w:rsidR="0092005D">
        <w:rPr>
          <w:lang w:val="en-US"/>
        </w:rPr>
        <w:t>í</w:t>
      </w:r>
      <w:r w:rsidR="0092005D" w:rsidRPr="004A3135">
        <w:rPr>
          <w:lang w:val="en-US"/>
        </w:rPr>
        <w:t xml:space="preserve"> </w:t>
      </w:r>
      <w:r w:rsidRPr="00C936D8">
        <w:rPr>
          <w:rFonts w:cs="Times New Roman"/>
          <w:lang w:val="en-US"/>
        </w:rPr>
        <w:t xml:space="preserve">(2008), </w:t>
      </w:r>
      <w:r w:rsidRPr="00C936D8">
        <w:rPr>
          <w:lang w:val="en-US"/>
        </w:rPr>
        <w:t xml:space="preserve">„Structuralist </w:t>
      </w:r>
      <w:r w:rsidR="00123180">
        <w:rPr>
          <w:lang w:val="en-US"/>
        </w:rPr>
        <w:t>C</w:t>
      </w:r>
      <w:r w:rsidRPr="00C936D8">
        <w:rPr>
          <w:lang w:val="en-US"/>
        </w:rPr>
        <w:t xml:space="preserve">onceptions of </w:t>
      </w:r>
      <w:r w:rsidR="00123180">
        <w:rPr>
          <w:lang w:val="en-US"/>
        </w:rPr>
        <w:t>S</w:t>
      </w:r>
      <w:r w:rsidRPr="00C936D8">
        <w:rPr>
          <w:lang w:val="en-US"/>
        </w:rPr>
        <w:t>tyle</w:t>
      </w:r>
      <w:r w:rsidRPr="00C936D8">
        <w:rPr>
          <w:rStyle w:val="Hervorhebung"/>
          <w:i w:val="0"/>
          <w:lang w:val="en-US"/>
        </w:rPr>
        <w:t>“.</w:t>
      </w:r>
      <w:r w:rsidRPr="00C936D8">
        <w:rPr>
          <w:lang w:val="en-US"/>
        </w:rPr>
        <w:t xml:space="preserve"> In: Fix u.a. 2008–2009</w:t>
      </w:r>
      <w:r w:rsidR="009D2CB4" w:rsidRPr="00C936D8">
        <w:rPr>
          <w:lang w:val="en-US"/>
        </w:rPr>
        <w:t>, Bd. 1:</w:t>
      </w:r>
      <w:r w:rsidRPr="00C936D8">
        <w:rPr>
          <w:lang w:val="en-US"/>
        </w:rPr>
        <w:t xml:space="preserve"> 1010-1023.</w:t>
      </w:r>
    </w:p>
    <w:p w:rsidR="00DA163F" w:rsidRDefault="001226C3" w:rsidP="009F0669">
      <w:pPr>
        <w:pStyle w:val="Text"/>
        <w:ind w:left="454" w:hanging="454"/>
        <w:rPr>
          <w:lang w:val="en-US"/>
        </w:rPr>
      </w:pPr>
      <w:r>
        <w:rPr>
          <w:lang w:val="en-US"/>
        </w:rPr>
        <w:t>Kress, Gunther (198</w:t>
      </w:r>
      <w:r w:rsidR="005C09B3">
        <w:rPr>
          <w:lang w:val="en-US"/>
        </w:rPr>
        <w:t>8</w:t>
      </w:r>
      <w:r w:rsidR="00DA163F">
        <w:rPr>
          <w:lang w:val="en-US"/>
        </w:rPr>
        <w:t xml:space="preserve">), </w:t>
      </w:r>
      <w:r w:rsidR="00DA163F" w:rsidRPr="00C463FA">
        <w:rPr>
          <w:lang w:val="en-US"/>
        </w:rPr>
        <w:t>„</w:t>
      </w:r>
      <w:r w:rsidR="00BE3198">
        <w:rPr>
          <w:lang w:val="en-US"/>
        </w:rPr>
        <w:t xml:space="preserve">Textual </w:t>
      </w:r>
      <w:r w:rsidR="00123180">
        <w:rPr>
          <w:lang w:val="en-US"/>
        </w:rPr>
        <w:t>M</w:t>
      </w:r>
      <w:r w:rsidR="00BE3198">
        <w:rPr>
          <w:lang w:val="en-US"/>
        </w:rPr>
        <w:t>atters</w:t>
      </w:r>
      <w:r w:rsidR="007E34D1">
        <w:rPr>
          <w:lang w:val="en-US"/>
        </w:rPr>
        <w:t>.</w:t>
      </w:r>
      <w:r w:rsidR="00BE3198">
        <w:rPr>
          <w:lang w:val="en-US"/>
        </w:rPr>
        <w:t xml:space="preserve"> </w:t>
      </w:r>
      <w:r w:rsidR="00123180">
        <w:rPr>
          <w:lang w:val="en-US"/>
        </w:rPr>
        <w:t>T</w:t>
      </w:r>
      <w:r w:rsidR="00DA163F">
        <w:rPr>
          <w:lang w:val="en-US"/>
        </w:rPr>
        <w:t xml:space="preserve">he </w:t>
      </w:r>
      <w:r w:rsidR="00123180">
        <w:rPr>
          <w:lang w:val="en-US"/>
        </w:rPr>
        <w:t>S</w:t>
      </w:r>
      <w:r w:rsidR="00DA163F">
        <w:rPr>
          <w:lang w:val="en-US"/>
        </w:rPr>
        <w:t xml:space="preserve">ocial </w:t>
      </w:r>
      <w:r w:rsidR="00123180">
        <w:rPr>
          <w:lang w:val="en-US"/>
        </w:rPr>
        <w:t>E</w:t>
      </w:r>
      <w:r w:rsidR="00DA163F">
        <w:rPr>
          <w:lang w:val="en-US"/>
        </w:rPr>
        <w:t xml:space="preserve">ffectiveness of </w:t>
      </w:r>
      <w:r w:rsidR="00123180">
        <w:rPr>
          <w:lang w:val="en-US"/>
        </w:rPr>
        <w:t>S</w:t>
      </w:r>
      <w:r w:rsidR="00DA163F">
        <w:rPr>
          <w:lang w:val="en-US"/>
        </w:rPr>
        <w:t>tyle</w:t>
      </w:r>
      <w:r w:rsidR="00DA163F" w:rsidRPr="00DA163F">
        <w:rPr>
          <w:rStyle w:val="Hervorhebung"/>
          <w:i w:val="0"/>
          <w:lang w:val="en-US"/>
        </w:rPr>
        <w:t>“</w:t>
      </w:r>
      <w:r w:rsidR="00DA163F">
        <w:rPr>
          <w:lang w:val="en-US"/>
        </w:rPr>
        <w:t xml:space="preserve">. In: </w:t>
      </w:r>
      <w:r w:rsidR="00B2252E" w:rsidRPr="001226C3">
        <w:rPr>
          <w:lang w:val="en-US"/>
        </w:rPr>
        <w:t>Birch u.a.</w:t>
      </w:r>
      <w:r w:rsidR="005C09B3">
        <w:rPr>
          <w:lang w:val="en-US"/>
        </w:rPr>
        <w:t xml:space="preserve"> 1988</w:t>
      </w:r>
      <w:r w:rsidR="00B2252E" w:rsidRPr="001226C3">
        <w:rPr>
          <w:lang w:val="en-US"/>
        </w:rPr>
        <w:t>: 126-141.</w:t>
      </w:r>
    </w:p>
    <w:p w:rsidR="00A622FB" w:rsidRPr="003A25D1" w:rsidRDefault="00C43198" w:rsidP="009F0669">
      <w:pPr>
        <w:pStyle w:val="Text"/>
        <w:ind w:left="454" w:hanging="454"/>
        <w:rPr>
          <w:lang w:val="en-US"/>
        </w:rPr>
      </w:pPr>
      <w:r>
        <w:rPr>
          <w:lang w:val="en-US"/>
        </w:rPr>
        <w:t>Kroeber, Alfred L. (1957</w:t>
      </w:r>
      <w:r w:rsidR="00A622FB">
        <w:rPr>
          <w:lang w:val="en-US"/>
        </w:rPr>
        <w:t xml:space="preserve">), </w:t>
      </w:r>
      <w:r w:rsidR="00A622FB" w:rsidRPr="00A622FB">
        <w:rPr>
          <w:i/>
          <w:lang w:val="en-US"/>
        </w:rPr>
        <w:t>Style and Civilizations.</w:t>
      </w:r>
      <w:r w:rsidR="00A622FB">
        <w:rPr>
          <w:lang w:val="en-US"/>
        </w:rPr>
        <w:t xml:space="preserve"> </w:t>
      </w:r>
      <w:r w:rsidR="003A25D1" w:rsidRPr="003A25D1">
        <w:rPr>
          <w:lang w:val="en-US"/>
        </w:rPr>
        <w:t>Ithaca, NY: Cornell Univers</w:t>
      </w:r>
      <w:r w:rsidR="003A25D1" w:rsidRPr="003A25D1">
        <w:rPr>
          <w:lang w:val="en-US"/>
        </w:rPr>
        <w:t>i</w:t>
      </w:r>
      <w:r w:rsidR="003A25D1" w:rsidRPr="003A25D1">
        <w:rPr>
          <w:lang w:val="en-US"/>
        </w:rPr>
        <w:t>ty Press.</w:t>
      </w:r>
    </w:p>
    <w:p w:rsidR="002756FF" w:rsidRDefault="002756FF" w:rsidP="009F0669">
      <w:pPr>
        <w:pStyle w:val="Text"/>
        <w:ind w:left="454" w:hanging="454"/>
      </w:pPr>
      <w:r w:rsidRPr="00A826D1">
        <w:t xml:space="preserve">Krones, </w:t>
      </w:r>
      <w:r w:rsidRPr="002756FF">
        <w:t xml:space="preserve">Hartmut (2009), </w:t>
      </w:r>
      <w:r>
        <w:t xml:space="preserve">„Rhetorik und Stilistik in der Musikwissenschaft“. </w:t>
      </w:r>
      <w:r w:rsidRPr="00941481">
        <w:t>In: Fix u.a. 2008–2009</w:t>
      </w:r>
      <w:r w:rsidR="009D2CB4" w:rsidRPr="00941481">
        <w:t>, Bd. 2:</w:t>
      </w:r>
      <w:r w:rsidRPr="00941481">
        <w:t xml:space="preserve"> 1932-1949.</w:t>
      </w:r>
    </w:p>
    <w:p w:rsidR="003739A5" w:rsidRPr="00941481" w:rsidRDefault="003739A5" w:rsidP="009F0669">
      <w:pPr>
        <w:pStyle w:val="Text"/>
        <w:ind w:left="454" w:hanging="454"/>
      </w:pPr>
      <w:r>
        <w:t xml:space="preserve">Kubczak, Hartmut </w:t>
      </w:r>
      <w:r w:rsidR="003408A3">
        <w:t xml:space="preserve">(1979), </w:t>
      </w:r>
      <w:r w:rsidRPr="003739A5">
        <w:rPr>
          <w:i/>
        </w:rPr>
        <w:t>Was ist ein Soziolekt? Überlegungen zur Symptomfunktion sprachlicher Zeichen unter besonderer Berücksichtigung der diastratischen Dimension.</w:t>
      </w:r>
      <w:r>
        <w:t xml:space="preserve"> </w:t>
      </w:r>
      <w:r w:rsidR="003408A3">
        <w:t>Heidelberg: Winter.</w:t>
      </w:r>
    </w:p>
    <w:p w:rsidR="006A25CA" w:rsidRPr="00941481" w:rsidRDefault="006A25CA" w:rsidP="009F0669">
      <w:pPr>
        <w:pStyle w:val="Text"/>
        <w:ind w:left="454" w:hanging="454"/>
        <w:rPr>
          <w:lang w:val="en-US"/>
        </w:rPr>
      </w:pPr>
      <w:r w:rsidRPr="006A25CA">
        <w:t xml:space="preserve">Kühn, Clemens (1981), </w:t>
      </w:r>
      <w:r w:rsidRPr="006A25CA">
        <w:rPr>
          <w:i/>
        </w:rPr>
        <w:t>Musiklehre. Grundlagen und Erscheinungsformen der abendländischen Musik.</w:t>
      </w:r>
      <w:r>
        <w:t xml:space="preserve"> </w:t>
      </w:r>
      <w:r w:rsidR="00B12851" w:rsidRPr="00941481">
        <w:rPr>
          <w:lang w:val="en-US"/>
        </w:rPr>
        <w:t>Köln</w:t>
      </w:r>
      <w:r w:rsidRPr="00941481">
        <w:rPr>
          <w:lang w:val="en-US"/>
        </w:rPr>
        <w:t>: Laaber.</w:t>
      </w:r>
    </w:p>
    <w:p w:rsidR="00D2554C" w:rsidRPr="001C735D" w:rsidRDefault="00D2554C" w:rsidP="009F0669">
      <w:pPr>
        <w:pStyle w:val="Text"/>
        <w:ind w:left="454" w:hanging="454"/>
      </w:pPr>
      <w:r w:rsidRPr="006A25CA">
        <w:rPr>
          <w:lang w:val="en-US"/>
        </w:rPr>
        <w:t xml:space="preserve">Lakoff, George (1987), </w:t>
      </w:r>
      <w:r w:rsidRPr="006A25CA">
        <w:rPr>
          <w:i/>
          <w:lang w:val="en-US"/>
        </w:rPr>
        <w:t>Women, Fi</w:t>
      </w:r>
      <w:r w:rsidRPr="00E053C5">
        <w:rPr>
          <w:i/>
          <w:lang w:val="en-US"/>
        </w:rPr>
        <w:t>re</w:t>
      </w:r>
      <w:r w:rsidR="003658CD">
        <w:rPr>
          <w:i/>
          <w:lang w:val="en-US"/>
        </w:rPr>
        <w:t>,</w:t>
      </w:r>
      <w:r w:rsidRPr="00E053C5">
        <w:rPr>
          <w:i/>
          <w:lang w:val="en-US"/>
        </w:rPr>
        <w:t xml:space="preserve"> and </w:t>
      </w:r>
      <w:r>
        <w:rPr>
          <w:i/>
          <w:lang w:val="en-GB"/>
        </w:rPr>
        <w:t>Dangerous Things</w:t>
      </w:r>
      <w:r w:rsidR="007E34D1">
        <w:rPr>
          <w:i/>
          <w:lang w:val="en-GB"/>
        </w:rPr>
        <w:t>.</w:t>
      </w:r>
      <w:r>
        <w:rPr>
          <w:i/>
          <w:lang w:val="en-GB"/>
        </w:rPr>
        <w:t xml:space="preserve"> What Categories Reveal about the Mind. </w:t>
      </w:r>
      <w:r w:rsidRPr="001C735D">
        <w:t>Chicago: University of Chicago Press.</w:t>
      </w:r>
    </w:p>
    <w:p w:rsidR="007275BB" w:rsidRPr="006D337E" w:rsidRDefault="007275BB" w:rsidP="009F0669">
      <w:pPr>
        <w:pStyle w:val="Text"/>
        <w:ind w:left="454" w:hanging="454"/>
      </w:pPr>
      <w:r w:rsidRPr="007275BB">
        <w:t>Lang, Ewald (19</w:t>
      </w:r>
      <w:r>
        <w:t xml:space="preserve">80), „Die Sprache Edgar Wibeaus: Gestus, Stil, fingierter Jargon. Eine Studie über Ulrich Plenzdorfs ‚Die neuen Leiden des jungen W.‘“. </w:t>
      </w:r>
      <w:r w:rsidRPr="006D337E">
        <w:rPr>
          <w:i/>
        </w:rPr>
        <w:t>Studia poetica</w:t>
      </w:r>
      <w:r w:rsidRPr="006D337E">
        <w:t xml:space="preserve"> 3 (separatum): 183-241.</w:t>
      </w:r>
    </w:p>
    <w:p w:rsidR="00381A51" w:rsidRPr="00190B89" w:rsidRDefault="00381A51" w:rsidP="009F0669">
      <w:pPr>
        <w:pStyle w:val="Text"/>
        <w:ind w:left="454" w:hanging="454"/>
      </w:pPr>
      <w:r w:rsidRPr="00381A51">
        <w:t xml:space="preserve">Larsen, Svend Erik (1998), </w:t>
      </w:r>
      <w:r>
        <w:t xml:space="preserve">„Ferdinand de Saussure und seine Nachfolger“. </w:t>
      </w:r>
      <w:r w:rsidRPr="00190B89">
        <w:t>In: Posner u.a. 1997–2004, Bd. 2: 2040-2073.</w:t>
      </w:r>
    </w:p>
    <w:p w:rsidR="008A652C" w:rsidRPr="001C3A64" w:rsidRDefault="008A652C" w:rsidP="0005584C">
      <w:pPr>
        <w:pStyle w:val="Text"/>
        <w:ind w:left="454" w:hanging="454"/>
        <w:rPr>
          <w:rFonts w:cs="Times New Roman"/>
        </w:rPr>
      </w:pPr>
      <w:r w:rsidRPr="007A373A">
        <w:rPr>
          <w:rFonts w:cs="Times New Roman"/>
        </w:rPr>
        <w:t xml:space="preserve">Lausberg, </w:t>
      </w:r>
      <w:r>
        <w:rPr>
          <w:rFonts w:cs="Times New Roman"/>
        </w:rPr>
        <w:t xml:space="preserve">Heinrich (1971), </w:t>
      </w:r>
      <w:r w:rsidRPr="008A652C">
        <w:rPr>
          <w:rFonts w:cs="Times New Roman"/>
          <w:i/>
        </w:rPr>
        <w:t>Elemente der literarischen Rhetorik.</w:t>
      </w:r>
      <w:r>
        <w:rPr>
          <w:rFonts w:cs="Times New Roman"/>
        </w:rPr>
        <w:t xml:space="preserve"> </w:t>
      </w:r>
      <w:r w:rsidRPr="001C3A64">
        <w:rPr>
          <w:rFonts w:cs="Times New Roman"/>
        </w:rPr>
        <w:t>4. Aufl. Mü</w:t>
      </w:r>
      <w:r w:rsidRPr="001C3A64">
        <w:rPr>
          <w:rFonts w:cs="Times New Roman"/>
        </w:rPr>
        <w:t>n</w:t>
      </w:r>
      <w:r w:rsidRPr="001C3A64">
        <w:rPr>
          <w:rFonts w:cs="Times New Roman"/>
        </w:rPr>
        <w:t xml:space="preserve">chen: </w:t>
      </w:r>
      <w:r w:rsidR="003A25D1" w:rsidRPr="001C3A64">
        <w:rPr>
          <w:rFonts w:cs="Times New Roman"/>
        </w:rPr>
        <w:t>Hueber</w:t>
      </w:r>
      <w:r w:rsidRPr="001C3A64">
        <w:rPr>
          <w:rFonts w:cs="Times New Roman"/>
        </w:rPr>
        <w:t>.</w:t>
      </w:r>
    </w:p>
    <w:p w:rsidR="00156EE5" w:rsidRPr="00A75EE6" w:rsidRDefault="00156EE5" w:rsidP="0005584C">
      <w:pPr>
        <w:pStyle w:val="Text"/>
        <w:ind w:left="454" w:hanging="454"/>
      </w:pPr>
      <w:r w:rsidRPr="00156EE5">
        <w:rPr>
          <w:rFonts w:cs="Times New Roman"/>
        </w:rPr>
        <w:t xml:space="preserve">Lazarus, Moritz (2003), </w:t>
      </w:r>
      <w:r>
        <w:rPr>
          <w:i/>
          <w:iCs/>
        </w:rPr>
        <w:t>Grundzüge der Völkerpsychologie und Kulturwissenschaft.</w:t>
      </w:r>
      <w:r>
        <w:t xml:space="preserve"> </w:t>
      </w:r>
      <w:r w:rsidRPr="00A75EE6">
        <w:t>Hamburg</w:t>
      </w:r>
      <w:r w:rsidR="0005584C" w:rsidRPr="00A75EE6">
        <w:t>: Meiner.</w:t>
      </w:r>
    </w:p>
    <w:p w:rsidR="00AB3990" w:rsidRPr="00A75EE6" w:rsidRDefault="00AB3990" w:rsidP="0005584C">
      <w:pPr>
        <w:pStyle w:val="Text"/>
        <w:ind w:left="454" w:hanging="454"/>
        <w:rPr>
          <w:rFonts w:cs="Times New Roman"/>
          <w:lang w:val="en-US"/>
        </w:rPr>
      </w:pPr>
      <w:r w:rsidRPr="00AB3990">
        <w:t xml:space="preserve">Leder, Helmut (2002), </w:t>
      </w:r>
      <w:r w:rsidRPr="00AB3990">
        <w:rPr>
          <w:i/>
        </w:rPr>
        <w:t>Explorationen in der Bildästhetik. Vertrautheit, künstler</w:t>
      </w:r>
      <w:r w:rsidRPr="00AB3990">
        <w:rPr>
          <w:i/>
        </w:rPr>
        <w:t>i</w:t>
      </w:r>
      <w:r w:rsidRPr="00AB3990">
        <w:rPr>
          <w:i/>
        </w:rPr>
        <w:t>scher Stil und der Einfluss von Wissen als Determinanten von Präferenzen bei der Kunstbetrachtung.</w:t>
      </w:r>
      <w:r>
        <w:t xml:space="preserve"> </w:t>
      </w:r>
      <w:r w:rsidRPr="00A75EE6">
        <w:rPr>
          <w:lang w:val="en-US"/>
        </w:rPr>
        <w:t>Lengerich: Pabst.</w:t>
      </w:r>
    </w:p>
    <w:p w:rsidR="001C735D" w:rsidRPr="00F1724F" w:rsidRDefault="001C735D" w:rsidP="009F0669">
      <w:pPr>
        <w:pStyle w:val="Text"/>
        <w:ind w:left="454" w:hanging="454"/>
        <w:rPr>
          <w:lang w:val="en-US"/>
        </w:rPr>
      </w:pPr>
      <w:r>
        <w:rPr>
          <w:lang w:val="en-GB"/>
        </w:rPr>
        <w:t xml:space="preserve">Leech, Geoffrey N. and Michael H. Short (1981), </w:t>
      </w:r>
      <w:r>
        <w:rPr>
          <w:i/>
          <w:iCs/>
          <w:lang w:val="en-GB"/>
        </w:rPr>
        <w:t xml:space="preserve">Style in </w:t>
      </w:r>
      <w:r w:rsidR="00123180">
        <w:rPr>
          <w:i/>
          <w:iCs/>
          <w:lang w:val="en-GB"/>
        </w:rPr>
        <w:t>F</w:t>
      </w:r>
      <w:r>
        <w:rPr>
          <w:i/>
          <w:iCs/>
          <w:lang w:val="en-GB"/>
        </w:rPr>
        <w:t>iction</w:t>
      </w:r>
      <w:r w:rsidR="007E34D1">
        <w:rPr>
          <w:i/>
          <w:iCs/>
          <w:lang w:val="en-GB"/>
        </w:rPr>
        <w:t>.</w:t>
      </w:r>
      <w:r>
        <w:rPr>
          <w:i/>
          <w:iCs/>
          <w:lang w:val="en-GB"/>
        </w:rPr>
        <w:t xml:space="preserve"> A </w:t>
      </w:r>
      <w:r w:rsidR="00123180">
        <w:rPr>
          <w:i/>
          <w:iCs/>
          <w:lang w:val="en-GB"/>
        </w:rPr>
        <w:t>L</w:t>
      </w:r>
      <w:r>
        <w:rPr>
          <w:i/>
          <w:iCs/>
          <w:lang w:val="en-GB"/>
        </w:rPr>
        <w:t xml:space="preserve">inguistic </w:t>
      </w:r>
      <w:r w:rsidR="00123180">
        <w:rPr>
          <w:i/>
          <w:iCs/>
          <w:lang w:val="en-GB"/>
        </w:rPr>
        <w:t>I</w:t>
      </w:r>
      <w:r>
        <w:rPr>
          <w:i/>
          <w:iCs/>
          <w:lang w:val="en-GB"/>
        </w:rPr>
        <w:t xml:space="preserve">ntroduction to English </w:t>
      </w:r>
      <w:r w:rsidR="00123180">
        <w:rPr>
          <w:i/>
          <w:iCs/>
          <w:lang w:val="en-GB"/>
        </w:rPr>
        <w:t>F</w:t>
      </w:r>
      <w:r>
        <w:rPr>
          <w:i/>
          <w:iCs/>
          <w:lang w:val="en-GB"/>
        </w:rPr>
        <w:t xml:space="preserve">ictional </w:t>
      </w:r>
      <w:r w:rsidR="00123180">
        <w:rPr>
          <w:i/>
          <w:iCs/>
          <w:lang w:val="en-GB"/>
        </w:rPr>
        <w:t>P</w:t>
      </w:r>
      <w:r>
        <w:rPr>
          <w:i/>
          <w:iCs/>
          <w:lang w:val="en-GB"/>
        </w:rPr>
        <w:t xml:space="preserve">rose. </w:t>
      </w:r>
      <w:r w:rsidRPr="00F1724F">
        <w:rPr>
          <w:lang w:val="en-US"/>
        </w:rPr>
        <w:t>London u.a.: Longman.</w:t>
      </w:r>
    </w:p>
    <w:p w:rsidR="00D46D69" w:rsidRDefault="00D46D69" w:rsidP="009F0669">
      <w:pPr>
        <w:pStyle w:val="Text"/>
        <w:ind w:left="454" w:hanging="454"/>
      </w:pPr>
      <w:r w:rsidRPr="00D46D69">
        <w:rPr>
          <w:lang w:val="en-US"/>
        </w:rPr>
        <w:lastRenderedPageBreak/>
        <w:t xml:space="preserve">Leeuwen, Jan </w:t>
      </w:r>
      <w:r w:rsidR="003D3267" w:rsidRPr="00D46D69">
        <w:rPr>
          <w:lang w:val="en-US"/>
        </w:rPr>
        <w:t xml:space="preserve">van </w:t>
      </w:r>
      <w:r w:rsidRPr="00D46D69">
        <w:rPr>
          <w:lang w:val="en-US"/>
        </w:rPr>
        <w:t xml:space="preserve">(1990), </w:t>
      </w:r>
      <w:r w:rsidRPr="00D46D69">
        <w:rPr>
          <w:i/>
          <w:lang w:val="en-US"/>
        </w:rPr>
        <w:t>Handbook of Theoretical Computer Science.</w:t>
      </w:r>
      <w:r w:rsidRPr="00D46D69">
        <w:rPr>
          <w:lang w:val="en-US"/>
        </w:rPr>
        <w:t xml:space="preserve"> </w:t>
      </w:r>
      <w:r w:rsidRPr="00F1724F">
        <w:t xml:space="preserve">Bd. 2: </w:t>
      </w:r>
      <w:r w:rsidRPr="00F1724F">
        <w:rPr>
          <w:i/>
        </w:rPr>
        <w:t>Formal Models and Semantics.</w:t>
      </w:r>
      <w:r w:rsidRPr="00F1724F">
        <w:t xml:space="preserve"> München: Elsevier.</w:t>
      </w:r>
    </w:p>
    <w:p w:rsidR="00F602C2" w:rsidRDefault="00F602C2" w:rsidP="009F0669">
      <w:pPr>
        <w:pStyle w:val="Text"/>
        <w:ind w:left="454" w:hanging="454"/>
      </w:pPr>
      <w:r>
        <w:t xml:space="preserve">Lenk, Hans (1995), </w:t>
      </w:r>
      <w:r w:rsidRPr="00F602C2">
        <w:rPr>
          <w:i/>
        </w:rPr>
        <w:t>Schemaspiele. Über Schemainterpretationen und Interpretationskonstrukte.</w:t>
      </w:r>
      <w:r>
        <w:t xml:space="preserve"> Frankfurt a.M.: Suhrkamp.</w:t>
      </w:r>
    </w:p>
    <w:p w:rsidR="00F602C2" w:rsidRPr="00F1724F" w:rsidRDefault="00F602C2" w:rsidP="009F0669">
      <w:pPr>
        <w:pStyle w:val="Text"/>
        <w:ind w:left="454" w:hanging="454"/>
      </w:pPr>
      <w:r>
        <w:t xml:space="preserve">Lenk, Hans (2004), </w:t>
      </w:r>
      <w:r w:rsidRPr="00F602C2">
        <w:rPr>
          <w:i/>
        </w:rPr>
        <w:t>Bewusstsein als Schemainterpretation. Ein methodologischer Integrationsansatz.</w:t>
      </w:r>
      <w:r>
        <w:t xml:space="preserve"> Paderborn: mentis.</w:t>
      </w:r>
    </w:p>
    <w:p w:rsidR="00FB42D1" w:rsidRDefault="00FB42D1" w:rsidP="009F0669">
      <w:pPr>
        <w:pStyle w:val="Text"/>
        <w:ind w:left="454" w:hanging="454"/>
      </w:pPr>
      <w:r w:rsidRPr="001C735D">
        <w:rPr>
          <w:rStyle w:val="Hervorhebung"/>
          <w:i w:val="0"/>
        </w:rPr>
        <w:t>Lerchner, Gotthard</w:t>
      </w:r>
      <w:r w:rsidRPr="001C735D">
        <w:rPr>
          <w:i/>
        </w:rPr>
        <w:t xml:space="preserve"> </w:t>
      </w:r>
      <w:r w:rsidRPr="001C735D">
        <w:t xml:space="preserve">(1981), </w:t>
      </w:r>
      <w:r w:rsidR="003A6285" w:rsidRPr="001C735D">
        <w:t>„</w:t>
      </w:r>
      <w:r w:rsidRPr="001C735D">
        <w:rPr>
          <w:rStyle w:val="Hervorhebung"/>
          <w:i w:val="0"/>
        </w:rPr>
        <w:t>Stilistisches und Stil</w:t>
      </w:r>
      <w:r w:rsidR="005F4E60">
        <w:rPr>
          <w:rStyle w:val="Hervorhebung"/>
          <w:i w:val="0"/>
        </w:rPr>
        <w:t xml:space="preserve">. </w:t>
      </w:r>
      <w:r w:rsidRPr="005F4E60">
        <w:t>Ansätze für eine kommunik</w:t>
      </w:r>
      <w:r w:rsidRPr="005F4E60">
        <w:t>a</w:t>
      </w:r>
      <w:r w:rsidRPr="005F4E60">
        <w:t>tive</w:t>
      </w:r>
      <w:r w:rsidR="005F4E60">
        <w:t xml:space="preserve"> </w:t>
      </w:r>
      <w:r w:rsidRPr="003A6285">
        <w:rPr>
          <w:rStyle w:val="Hervorhebung"/>
          <w:i w:val="0"/>
        </w:rPr>
        <w:t>Stiltheorie</w:t>
      </w:r>
      <w:r w:rsidR="003A6285">
        <w:rPr>
          <w:rStyle w:val="Hervorhebung"/>
          <w:i w:val="0"/>
        </w:rPr>
        <w:t>“</w:t>
      </w:r>
      <w:r w:rsidRPr="003A6285">
        <w:rPr>
          <w:i/>
        </w:rPr>
        <w:t xml:space="preserve">. </w:t>
      </w:r>
      <w:r w:rsidR="003A6285" w:rsidRPr="003A6285">
        <w:rPr>
          <w:i/>
        </w:rPr>
        <w:t>Beiträge zur Erforschung der deutschen Sprache</w:t>
      </w:r>
      <w:r w:rsidRPr="00FB42D1">
        <w:rPr>
          <w:i/>
        </w:rPr>
        <w:t xml:space="preserve"> </w:t>
      </w:r>
      <w:r>
        <w:t>1: 85-109.</w:t>
      </w:r>
    </w:p>
    <w:p w:rsidR="00FB42D1" w:rsidRDefault="00FB42D1" w:rsidP="009F0669">
      <w:pPr>
        <w:pStyle w:val="Text"/>
        <w:ind w:left="454" w:hanging="454"/>
      </w:pPr>
      <w:r w:rsidRPr="00FB42D1">
        <w:rPr>
          <w:rStyle w:val="Hervorhebung"/>
          <w:i w:val="0"/>
        </w:rPr>
        <w:t xml:space="preserve">Lerchner, </w:t>
      </w:r>
      <w:r>
        <w:rPr>
          <w:rFonts w:eastAsia="Times New Roman" w:cs="Times New Roman"/>
        </w:rPr>
        <w:t xml:space="preserve">Gotthard (1984b), </w:t>
      </w:r>
      <w:r w:rsidR="003A6285">
        <w:rPr>
          <w:rFonts w:eastAsia="Times New Roman" w:cs="Times New Roman"/>
        </w:rPr>
        <w:t>„</w:t>
      </w:r>
      <w:r w:rsidRPr="003A6285">
        <w:rPr>
          <w:rFonts w:eastAsia="Times New Roman" w:cs="Times New Roman"/>
        </w:rPr>
        <w:t>Konnotative Textpotenz</w:t>
      </w:r>
      <w:r w:rsidR="003A6285">
        <w:rPr>
          <w:rFonts w:eastAsia="Times New Roman" w:cs="Times New Roman"/>
        </w:rPr>
        <w:t>“</w:t>
      </w:r>
      <w:r w:rsidRPr="003A6285">
        <w:rPr>
          <w:rFonts w:eastAsia="Times New Roman" w:cs="Times New Roman"/>
        </w:rPr>
        <w:t>.</w:t>
      </w:r>
      <w:r>
        <w:rPr>
          <w:rFonts w:eastAsia="Times New Roman" w:cs="Times New Roman"/>
        </w:rPr>
        <w:t xml:space="preserve"> </w:t>
      </w:r>
      <w:r w:rsidR="003A6285" w:rsidRPr="003A6285">
        <w:rPr>
          <w:i/>
        </w:rPr>
        <w:t>Beiträge zur Erfo</w:t>
      </w:r>
      <w:r w:rsidR="003A6285" w:rsidRPr="003A6285">
        <w:rPr>
          <w:i/>
        </w:rPr>
        <w:t>r</w:t>
      </w:r>
      <w:r w:rsidR="003A6285" w:rsidRPr="003A6285">
        <w:rPr>
          <w:i/>
        </w:rPr>
        <w:t>schung der deutschen Sprache</w:t>
      </w:r>
      <w:r w:rsidRPr="00FB42D1">
        <w:rPr>
          <w:rFonts w:eastAsia="Times New Roman" w:cs="Times New Roman"/>
          <w:i/>
        </w:rPr>
        <w:t xml:space="preserve"> </w:t>
      </w:r>
      <w:r>
        <w:rPr>
          <w:rFonts w:eastAsia="Times New Roman" w:cs="Times New Roman"/>
        </w:rPr>
        <w:t>4: 39-48.</w:t>
      </w:r>
    </w:p>
    <w:p w:rsidR="007C1324" w:rsidRDefault="007C1324" w:rsidP="009F0669">
      <w:pPr>
        <w:pStyle w:val="Text"/>
        <w:ind w:left="454" w:hanging="454"/>
      </w:pPr>
      <w:r>
        <w:t xml:space="preserve">Lerchner, Gotthard (2002), </w:t>
      </w:r>
      <w:r w:rsidRPr="007C1324">
        <w:rPr>
          <w:i/>
        </w:rPr>
        <w:t>Schriften zum Stil</w:t>
      </w:r>
      <w:r>
        <w:t>. Leipzig: Universitäts-Verlag.</w:t>
      </w:r>
    </w:p>
    <w:p w:rsidR="00C00523" w:rsidRDefault="00C00523" w:rsidP="009F0669">
      <w:pPr>
        <w:pStyle w:val="Text"/>
        <w:ind w:left="454" w:hanging="454"/>
        <w:rPr>
          <w:rFonts w:eastAsia="Times New Roman" w:cs="Times New Roman"/>
        </w:rPr>
      </w:pPr>
      <w:r w:rsidRPr="00D02B69">
        <w:t xml:space="preserve">Levin, Samuel R. (1963), </w:t>
      </w:r>
      <w:r w:rsidRPr="00D02B69">
        <w:rPr>
          <w:rFonts w:eastAsia="Times New Roman" w:cs="Times New Roman"/>
        </w:rPr>
        <w:t xml:space="preserve">„Deviation – Statistical and Determinate – in Poetic Language“. </w:t>
      </w:r>
      <w:r w:rsidRPr="00C00523">
        <w:rPr>
          <w:rFonts w:eastAsia="Times New Roman" w:cs="Times New Roman"/>
          <w:i/>
        </w:rPr>
        <w:t>Lingua</w:t>
      </w:r>
      <w:r w:rsidRPr="00C00523">
        <w:rPr>
          <w:rFonts w:eastAsia="Times New Roman" w:cs="Times New Roman"/>
        </w:rPr>
        <w:t xml:space="preserve"> 12: 276-290. Deutsch als: </w:t>
      </w:r>
      <w:r>
        <w:rPr>
          <w:rFonts w:eastAsia="Times New Roman" w:cs="Times New Roman"/>
        </w:rPr>
        <w:t>„Statistische und determinie</w:t>
      </w:r>
      <w:r>
        <w:rPr>
          <w:rFonts w:eastAsia="Times New Roman" w:cs="Times New Roman"/>
        </w:rPr>
        <w:t>r</w:t>
      </w:r>
      <w:r>
        <w:rPr>
          <w:rFonts w:eastAsia="Times New Roman" w:cs="Times New Roman"/>
        </w:rPr>
        <w:t>te Abweichung in poetischer Sprache“. In: Gunzenhäuser u.a. 1965: 33-47.</w:t>
      </w:r>
    </w:p>
    <w:p w:rsidR="00563522" w:rsidRPr="00C00523" w:rsidRDefault="00563522" w:rsidP="009F0669">
      <w:pPr>
        <w:pStyle w:val="Text"/>
        <w:ind w:left="454" w:hanging="454"/>
      </w:pPr>
      <w:r>
        <w:rPr>
          <w:rFonts w:eastAsia="Times New Roman" w:cs="Times New Roman"/>
        </w:rPr>
        <w:t xml:space="preserve">Levin, Samuel R. (1971), „Die Analyse des ‚Komprimierten‘ Stils in der Poesie“. </w:t>
      </w:r>
      <w:r w:rsidRPr="00CB2FA6">
        <w:rPr>
          <w:rFonts w:eastAsia="Times New Roman" w:cs="Times New Roman"/>
          <w:i/>
        </w:rPr>
        <w:t>LiLi</w:t>
      </w:r>
      <w:r w:rsidR="001D58B8">
        <w:rPr>
          <w:rFonts w:eastAsia="Times New Roman" w:cs="Times New Roman"/>
          <w:i/>
        </w:rPr>
        <w:t xml:space="preserve"> –</w:t>
      </w:r>
      <w:r w:rsidRPr="00CB2FA6">
        <w:rPr>
          <w:rFonts w:eastAsia="Times New Roman" w:cs="Times New Roman"/>
          <w:i/>
        </w:rPr>
        <w:t xml:space="preserve"> Zeitschrift für Literaturwissenschaft und Linguistik</w:t>
      </w:r>
      <w:r>
        <w:rPr>
          <w:rFonts w:eastAsia="Times New Roman" w:cs="Times New Roman"/>
        </w:rPr>
        <w:t xml:space="preserve"> 1, 3: 59-80.</w:t>
      </w:r>
    </w:p>
    <w:p w:rsidR="009A70C8" w:rsidRDefault="009A70C8" w:rsidP="009F0669">
      <w:pPr>
        <w:pStyle w:val="Text"/>
        <w:ind w:left="454" w:hanging="454"/>
      </w:pPr>
      <w:r>
        <w:t xml:space="preserve">Lewin, Kurt (1963), </w:t>
      </w:r>
      <w:r>
        <w:rPr>
          <w:i/>
          <w:iCs/>
        </w:rPr>
        <w:t>Feldtheorie in den Sozialwissenschaften. Ausgewählte theoret</w:t>
      </w:r>
      <w:r>
        <w:rPr>
          <w:i/>
          <w:iCs/>
        </w:rPr>
        <w:t>i</w:t>
      </w:r>
      <w:r>
        <w:rPr>
          <w:i/>
          <w:iCs/>
        </w:rPr>
        <w:t>sche Schriften.</w:t>
      </w:r>
      <w:r>
        <w:t xml:space="preserve"> Huber: Bern.</w:t>
      </w:r>
    </w:p>
    <w:p w:rsidR="00383B57" w:rsidRPr="00581B27" w:rsidRDefault="00383B57" w:rsidP="00383B57">
      <w:pPr>
        <w:ind w:left="454" w:hanging="454"/>
      </w:pPr>
      <w:r w:rsidRPr="00383B57">
        <w:t>Lieb, Hans-Heinrich (1983),</w:t>
      </w:r>
      <w:r>
        <w:t xml:space="preserve"> </w:t>
      </w:r>
      <w:r w:rsidRPr="00383B57">
        <w:rPr>
          <w:rFonts w:eastAsia="TimesNRMT-Italic" w:cs="Times New Roman"/>
          <w:i/>
          <w:iCs/>
        </w:rPr>
        <w:t>Integrational Linguistics</w:t>
      </w:r>
      <w:r w:rsidRPr="00383B57">
        <w:rPr>
          <w:rFonts w:cs="Times New Roman"/>
        </w:rPr>
        <w:t xml:space="preserve">. </w:t>
      </w:r>
      <w:r w:rsidRPr="00581B27">
        <w:rPr>
          <w:rFonts w:cs="Times New Roman"/>
        </w:rPr>
        <w:t xml:space="preserve">Bd. 1: </w:t>
      </w:r>
      <w:r w:rsidRPr="00581B27">
        <w:rPr>
          <w:rFonts w:eastAsia="TimesNRMT-Italic" w:cs="Times New Roman"/>
          <w:i/>
          <w:iCs/>
        </w:rPr>
        <w:t xml:space="preserve">General Outline. </w:t>
      </w:r>
      <w:r w:rsidRPr="00581B27">
        <w:t>Amsterdam u.a.: Benjamins.</w:t>
      </w:r>
    </w:p>
    <w:p w:rsidR="00CC1C5D" w:rsidRDefault="00CC1C5D" w:rsidP="009F0669">
      <w:pPr>
        <w:pStyle w:val="Text"/>
        <w:ind w:left="454" w:hanging="454"/>
      </w:pPr>
      <w:r>
        <w:t xml:space="preserve">Linke, Angelika (2009), „Stil und Kultur“. In: </w:t>
      </w:r>
      <w:r w:rsidR="00D80071">
        <w:t>Fix u.a. 2008–2009</w:t>
      </w:r>
      <w:r w:rsidR="009D2CB4">
        <w:t>, Bd. 2:</w:t>
      </w:r>
      <w:r w:rsidR="00D80071">
        <w:t xml:space="preserve"> 1131-114</w:t>
      </w:r>
      <w:r w:rsidR="00D82CC7">
        <w:t>4</w:t>
      </w:r>
      <w:r w:rsidRPr="00E53621">
        <w:t>.</w:t>
      </w:r>
    </w:p>
    <w:p w:rsidR="007A5803" w:rsidRDefault="007A5803" w:rsidP="009F0669">
      <w:pPr>
        <w:pStyle w:val="Text"/>
        <w:ind w:left="454" w:hanging="454"/>
      </w:pPr>
      <w:r>
        <w:t xml:space="preserve">Link, Godehard (1979), </w:t>
      </w:r>
      <w:r w:rsidRPr="007A5803">
        <w:rPr>
          <w:i/>
        </w:rPr>
        <w:t>Montague-Grammatik. Die logischen Grundlagen.</w:t>
      </w:r>
      <w:r>
        <w:t xml:space="preserve"> Mü</w:t>
      </w:r>
      <w:r>
        <w:t>n</w:t>
      </w:r>
      <w:r>
        <w:t>chen: Fink.</w:t>
      </w:r>
    </w:p>
    <w:p w:rsidR="00664AF1" w:rsidRDefault="00664AF1" w:rsidP="009F0669">
      <w:pPr>
        <w:pStyle w:val="Text"/>
        <w:ind w:left="454" w:hanging="454"/>
      </w:pPr>
      <w:r>
        <w:t>Link-Heer, Ursula (1986), „Maniera. Überlegungen zur Konkurrenz von Manier und Stil (Vasari, Diderot, Goethe)“. In: Gumbrecht u.a. 1986: 93-114.</w:t>
      </w:r>
    </w:p>
    <w:p w:rsidR="002E5C24" w:rsidRDefault="002E5C24" w:rsidP="009F0669">
      <w:pPr>
        <w:pStyle w:val="Text"/>
        <w:ind w:left="454" w:hanging="454"/>
      </w:pPr>
      <w:r w:rsidRPr="00E1440D">
        <w:rPr>
          <w:rFonts w:cs="Times New Roman"/>
        </w:rPr>
        <w:t>Liszt</w:t>
      </w:r>
      <w:r>
        <w:t xml:space="preserve">, Franz (1978), </w:t>
      </w:r>
      <w:r w:rsidRPr="002E5C24">
        <w:rPr>
          <w:i/>
        </w:rPr>
        <w:t>Die Zigeuner und ihre Musik in Ungarn.</w:t>
      </w:r>
      <w:r>
        <w:t xml:space="preserve"> Nachdruck der Ausgabe Leipzig 1883. Hildesheim: Olms.</w:t>
      </w:r>
    </w:p>
    <w:p w:rsidR="003E27B0" w:rsidRPr="008531C4" w:rsidRDefault="003E27B0" w:rsidP="009F0669">
      <w:pPr>
        <w:pStyle w:val="Text"/>
        <w:ind w:left="454" w:hanging="454"/>
        <w:rPr>
          <w:rFonts w:eastAsia="Times New Roman" w:cs="Times New Roman"/>
          <w:iCs/>
          <w:lang w:val="en-US"/>
        </w:rPr>
      </w:pPr>
      <w:r w:rsidRPr="00664DB3">
        <w:rPr>
          <w:lang w:val="en-US"/>
        </w:rPr>
        <w:t xml:space="preserve">Ljungberg, </w:t>
      </w:r>
      <w:r w:rsidRPr="003E27B0">
        <w:rPr>
          <w:lang w:val="en-US"/>
        </w:rPr>
        <w:t>Christina (2006), „The End of Style?“</w:t>
      </w:r>
      <w:r>
        <w:rPr>
          <w:lang w:val="en-US"/>
        </w:rPr>
        <w:t xml:space="preserve"> </w:t>
      </w:r>
      <w:r>
        <w:rPr>
          <w:rFonts w:eastAsia="Times New Roman" w:cs="Times New Roman"/>
          <w:iCs/>
        </w:rPr>
        <w:t xml:space="preserve">In: </w:t>
      </w:r>
      <w:r w:rsidRPr="0071335B">
        <w:rPr>
          <w:rFonts w:eastAsia="Times New Roman" w:cs="Times New Roman"/>
          <w:i/>
          <w:iCs/>
        </w:rPr>
        <w:t>Stil als Zeichen. Funktionen – Brüche – Inszenierungen. Beiträge des 11. Internationalen Kongresses der Deutschen Gesellschaft für Semiotik (DGS) vom 24.-26. Juni 2005 an der Europa-Universität Viadrina.</w:t>
      </w:r>
      <w:r w:rsidRPr="007A373A">
        <w:rPr>
          <w:rFonts w:eastAsia="Times New Roman" w:cs="Times New Roman"/>
          <w:iCs/>
        </w:rPr>
        <w:t xml:space="preserve"> </w:t>
      </w:r>
      <w:r w:rsidRPr="008531C4">
        <w:rPr>
          <w:rFonts w:eastAsia="Times New Roman" w:cs="Times New Roman"/>
          <w:iCs/>
          <w:lang w:val="en-US"/>
        </w:rPr>
        <w:t>Frankfurt (Oder): Universitätsschriften. CD-ROM.</w:t>
      </w:r>
    </w:p>
    <w:p w:rsidR="0060429F" w:rsidRPr="00BA6CDC" w:rsidRDefault="0060429F" w:rsidP="009F0669">
      <w:pPr>
        <w:pStyle w:val="Text"/>
        <w:ind w:left="454" w:hanging="454"/>
      </w:pPr>
      <w:r w:rsidRPr="0060429F">
        <w:rPr>
          <w:rFonts w:eastAsia="Times New Roman" w:cs="Times New Roman"/>
          <w:iCs/>
          <w:lang w:val="en-US"/>
        </w:rPr>
        <w:t xml:space="preserve">Lodge, David (1966), </w:t>
      </w:r>
      <w:r w:rsidRPr="0060429F">
        <w:rPr>
          <w:rFonts w:eastAsia="Times New Roman" w:cs="Times New Roman"/>
          <w:i/>
          <w:iCs/>
          <w:lang w:val="en-US"/>
        </w:rPr>
        <w:t>Language of Fiction</w:t>
      </w:r>
      <w:r w:rsidR="00123180">
        <w:rPr>
          <w:rFonts w:eastAsia="Times New Roman" w:cs="Times New Roman"/>
          <w:i/>
          <w:iCs/>
          <w:lang w:val="en-US"/>
        </w:rPr>
        <w:t>:</w:t>
      </w:r>
      <w:r w:rsidR="00922B72">
        <w:rPr>
          <w:rFonts w:eastAsia="Times New Roman" w:cs="Times New Roman"/>
          <w:i/>
          <w:iCs/>
          <w:lang w:val="en-US"/>
        </w:rPr>
        <w:t xml:space="preserve"> </w:t>
      </w:r>
      <w:r w:rsidR="00922B72" w:rsidRPr="00922B72">
        <w:rPr>
          <w:i/>
          <w:lang w:val="en-US"/>
        </w:rPr>
        <w:t>Essays in Criticism and Verbal Analysis of the English Novel.</w:t>
      </w:r>
      <w:r w:rsidRPr="0060429F">
        <w:rPr>
          <w:rFonts w:eastAsia="Times New Roman" w:cs="Times New Roman"/>
          <w:iCs/>
          <w:lang w:val="en-US"/>
        </w:rPr>
        <w:t xml:space="preserve"> </w:t>
      </w:r>
      <w:r w:rsidRPr="00BA6CDC">
        <w:rPr>
          <w:rFonts w:eastAsia="Times New Roman" w:cs="Times New Roman"/>
          <w:iCs/>
        </w:rPr>
        <w:t xml:space="preserve">London: Routledge </w:t>
      </w:r>
      <w:r w:rsidR="009F1C20">
        <w:t>&amp;</w:t>
      </w:r>
      <w:r w:rsidRPr="00BA6CDC">
        <w:rPr>
          <w:rFonts w:eastAsia="Times New Roman" w:cs="Times New Roman"/>
          <w:iCs/>
        </w:rPr>
        <w:t xml:space="preserve"> Kegan Paul.</w:t>
      </w:r>
    </w:p>
    <w:p w:rsidR="00690520" w:rsidRPr="009F1C20" w:rsidRDefault="00690520" w:rsidP="009F0669">
      <w:pPr>
        <w:pStyle w:val="Text"/>
        <w:ind w:left="454" w:hanging="454"/>
      </w:pPr>
      <w:r w:rsidRPr="009F1C20">
        <w:t>Loos, Adolf</w:t>
      </w:r>
      <w:r w:rsidR="00270655" w:rsidRPr="009F1C20">
        <w:t xml:space="preserve"> </w:t>
      </w:r>
      <w:r w:rsidRPr="009F1C20">
        <w:t>(</w:t>
      </w:r>
      <w:r w:rsidR="00CE08D7" w:rsidRPr="009F1C20">
        <w:t>1908</w:t>
      </w:r>
      <w:r w:rsidRPr="009F1C20">
        <w:t>), „Ornament und Verbrechen“. In: Ders.</w:t>
      </w:r>
      <w:r w:rsidR="00ED71A2">
        <w:t xml:space="preserve"> (</w:t>
      </w:r>
      <w:r w:rsidR="00ED71A2" w:rsidRPr="009F1C20">
        <w:t>1962</w:t>
      </w:r>
      <w:r w:rsidR="00ED71A2">
        <w:t>)</w:t>
      </w:r>
      <w:r w:rsidRPr="009F1C20">
        <w:t xml:space="preserve">, </w:t>
      </w:r>
      <w:r w:rsidRPr="009F1C20">
        <w:rPr>
          <w:i/>
          <w:iCs/>
        </w:rPr>
        <w:t>Sämtliche Schriften in zwei Bänden.</w:t>
      </w:r>
      <w:r w:rsidRPr="009F1C20">
        <w:rPr>
          <w:iCs/>
        </w:rPr>
        <w:t xml:space="preserve"> Bd. 1:</w:t>
      </w:r>
      <w:r w:rsidRPr="009F1C20">
        <w:rPr>
          <w:i/>
          <w:iCs/>
        </w:rPr>
        <w:t xml:space="preserve"> Ins Leere gesprochen. 1897–1900. Trotzdem. 1900–1930</w:t>
      </w:r>
      <w:r w:rsidRPr="009F1C20">
        <w:rPr>
          <w:i/>
        </w:rPr>
        <w:t>.</w:t>
      </w:r>
      <w:r w:rsidRPr="009F1C20">
        <w:t xml:space="preserve"> </w:t>
      </w:r>
      <w:r w:rsidR="006E1411">
        <w:t xml:space="preserve">Hg. von Franz Glück. </w:t>
      </w:r>
      <w:r w:rsidRPr="009F1C20">
        <w:t>Wien u.a.: Herold.</w:t>
      </w:r>
      <w:r w:rsidR="007E34D1">
        <w:t xml:space="preserve"> </w:t>
      </w:r>
      <w:r w:rsidR="006E1411">
        <w:t>276-288.</w:t>
      </w:r>
    </w:p>
    <w:p w:rsidR="00C25F58" w:rsidRPr="009F1C20" w:rsidRDefault="00C25F58" w:rsidP="00C25F58">
      <w:pPr>
        <w:pStyle w:val="Text"/>
        <w:ind w:left="454" w:hanging="454"/>
      </w:pPr>
      <w:r>
        <w:t>Lotman</w:t>
      </w:r>
      <w:r w:rsidR="00D31E15">
        <w:t>, Juri</w:t>
      </w:r>
      <w:r>
        <w:t xml:space="preserve"> M. (1972), </w:t>
      </w:r>
      <w:r>
        <w:rPr>
          <w:i/>
          <w:iCs/>
        </w:rPr>
        <w:t>Die Struktur literarischer Texte</w:t>
      </w:r>
      <w:r>
        <w:t xml:space="preserve">. München: </w:t>
      </w:r>
      <w:r w:rsidR="00510E43">
        <w:t>Fink</w:t>
      </w:r>
      <w:r>
        <w:t>.</w:t>
      </w:r>
    </w:p>
    <w:p w:rsidR="007C0960" w:rsidRDefault="007C0960" w:rsidP="007C0960">
      <w:pPr>
        <w:pStyle w:val="Text"/>
        <w:ind w:left="454" w:hanging="454"/>
        <w:rPr>
          <w:rFonts w:eastAsia="Times New Roman" w:cs="Times New Roman"/>
        </w:rPr>
      </w:pPr>
      <w:r w:rsidRPr="009F1C20">
        <w:rPr>
          <w:rFonts w:eastAsia="Times New Roman" w:cs="Times New Roman"/>
        </w:rPr>
        <w:t>Lotman, Juri M.</w:t>
      </w:r>
      <w:r w:rsidR="00C25F58">
        <w:rPr>
          <w:rFonts w:eastAsia="Times New Roman" w:cs="Times New Roman"/>
        </w:rPr>
        <w:t xml:space="preserve"> </w:t>
      </w:r>
      <w:r w:rsidRPr="009F1C20">
        <w:rPr>
          <w:rFonts w:eastAsia="Times New Roman" w:cs="Times New Roman"/>
        </w:rPr>
        <w:t xml:space="preserve">(1981), </w:t>
      </w:r>
      <w:r w:rsidRPr="009F1C20">
        <w:rPr>
          <w:rFonts w:eastAsia="Times New Roman" w:cs="Times New Roman"/>
          <w:i/>
        </w:rPr>
        <w:t>Kunst als Sprache.</w:t>
      </w:r>
      <w:r w:rsidRPr="009F1C20">
        <w:rPr>
          <w:rFonts w:eastAsia="Times New Roman" w:cs="Times New Roman"/>
        </w:rPr>
        <w:t xml:space="preserve"> Leipzig: Reclam.</w:t>
      </w:r>
    </w:p>
    <w:p w:rsidR="005A7D5B" w:rsidRPr="000B7E8C" w:rsidRDefault="005A7D5B" w:rsidP="009F0669">
      <w:pPr>
        <w:pStyle w:val="Text"/>
        <w:ind w:left="454" w:hanging="454"/>
        <w:rPr>
          <w:lang w:val="en-US"/>
        </w:rPr>
      </w:pPr>
      <w:r>
        <w:t>Lotman</w:t>
      </w:r>
      <w:r w:rsidR="00D31E15">
        <w:t>, Juri</w:t>
      </w:r>
      <w:r>
        <w:t xml:space="preserve"> </w:t>
      </w:r>
      <w:r w:rsidR="00380EFA">
        <w:t>und A</w:t>
      </w:r>
      <w:r w:rsidR="003A25D1">
        <w:t>lexander</w:t>
      </w:r>
      <w:r w:rsidR="00380EFA">
        <w:t xml:space="preserve"> M. Pjatigorskij </w:t>
      </w:r>
      <w:r>
        <w:t xml:space="preserve">(1969), </w:t>
      </w:r>
      <w:r w:rsidR="00380EFA">
        <w:t xml:space="preserve">„Le texte et la fonction“. </w:t>
      </w:r>
      <w:r w:rsidR="00380EFA" w:rsidRPr="000B7E8C">
        <w:rPr>
          <w:i/>
          <w:lang w:val="en-US"/>
        </w:rPr>
        <w:t>Semiotica</w:t>
      </w:r>
      <w:r w:rsidR="00380EFA" w:rsidRPr="000B7E8C">
        <w:rPr>
          <w:lang w:val="en-US"/>
        </w:rPr>
        <w:t xml:space="preserve"> 1, 2: 1969: 205-217.</w:t>
      </w:r>
    </w:p>
    <w:p w:rsidR="002405AC" w:rsidRPr="001C3A64" w:rsidRDefault="002405AC" w:rsidP="009F0669">
      <w:pPr>
        <w:pStyle w:val="Text"/>
        <w:ind w:left="454" w:hanging="454"/>
      </w:pPr>
      <w:r>
        <w:rPr>
          <w:lang w:val="en-US"/>
        </w:rPr>
        <w:lastRenderedPageBreak/>
        <w:t xml:space="preserve">Lowe, David und Robert Matthews (1995), </w:t>
      </w:r>
      <w:r w:rsidRPr="0021510A">
        <w:rPr>
          <w:lang w:val="en-US"/>
        </w:rPr>
        <w:t>„</w:t>
      </w:r>
      <w:r>
        <w:rPr>
          <w:lang w:val="en-US"/>
        </w:rPr>
        <w:t>A Stylometric Analysis by Radial Basis Functions</w:t>
      </w:r>
      <w:r w:rsidRPr="0021510A">
        <w:rPr>
          <w:lang w:val="en-US"/>
        </w:rPr>
        <w:t>“</w:t>
      </w:r>
      <w:r>
        <w:rPr>
          <w:lang w:val="en-US"/>
        </w:rPr>
        <w:t xml:space="preserve">. </w:t>
      </w:r>
      <w:r w:rsidRPr="001C3A64">
        <w:rPr>
          <w:i/>
        </w:rPr>
        <w:t>Computers and the Humanities</w:t>
      </w:r>
      <w:r w:rsidRPr="001C3A64">
        <w:t xml:space="preserve"> 29: 449-461.</w:t>
      </w:r>
    </w:p>
    <w:p w:rsidR="00F47019" w:rsidRPr="001C3A64" w:rsidRDefault="00F47019" w:rsidP="009F0669">
      <w:pPr>
        <w:pStyle w:val="Text"/>
        <w:ind w:left="454" w:hanging="454"/>
      </w:pPr>
      <w:r w:rsidRPr="00F47019">
        <w:t>Lüdtke</w:t>
      </w:r>
      <w:r>
        <w:t xml:space="preserve">, </w:t>
      </w:r>
      <w:r w:rsidRPr="00F47019">
        <w:t>Hartmut</w:t>
      </w:r>
      <w:r>
        <w:t xml:space="preserve"> (2000), </w:t>
      </w:r>
      <w:r>
        <w:rPr>
          <w:i/>
          <w:iCs/>
        </w:rPr>
        <w:t>Zeitverwendung und Lebensstile. Empirische Analysen zum Freizeitverhalten, expressiver Ungleichheit und Lebensqualität in Wes</w:t>
      </w:r>
      <w:r>
        <w:rPr>
          <w:i/>
          <w:iCs/>
        </w:rPr>
        <w:t>t</w:t>
      </w:r>
      <w:r>
        <w:rPr>
          <w:i/>
          <w:iCs/>
        </w:rPr>
        <w:t>deutschland</w:t>
      </w:r>
      <w:r>
        <w:t>. Münster: Lit.</w:t>
      </w:r>
    </w:p>
    <w:p w:rsidR="009D6123" w:rsidRPr="0021510A" w:rsidRDefault="009D6123" w:rsidP="009F0669">
      <w:pPr>
        <w:pStyle w:val="Text"/>
        <w:ind w:left="454" w:hanging="454"/>
        <w:rPr>
          <w:lang w:val="en-US"/>
        </w:rPr>
      </w:pPr>
      <w:r w:rsidRPr="001C3A64">
        <w:t xml:space="preserve">Lüsebrink, Hans-Jürgen (1986), „Leonardo da Vinci – ein Individualstil?“ </w:t>
      </w:r>
      <w:r w:rsidRPr="0021510A">
        <w:rPr>
          <w:lang w:val="en-US"/>
        </w:rPr>
        <w:t>In: Gumbrecht</w:t>
      </w:r>
      <w:r w:rsidR="00254696" w:rsidRPr="0021510A">
        <w:rPr>
          <w:lang w:val="en-US"/>
        </w:rPr>
        <w:t xml:space="preserve"> u.a. 1986: </w:t>
      </w:r>
      <w:r w:rsidRPr="0021510A">
        <w:rPr>
          <w:lang w:val="en-US"/>
        </w:rPr>
        <w:t>447-462.</w:t>
      </w:r>
    </w:p>
    <w:p w:rsidR="00210D4F" w:rsidRDefault="00210D4F" w:rsidP="009F0669">
      <w:pPr>
        <w:pStyle w:val="Text"/>
        <w:ind w:left="454" w:hanging="454"/>
        <w:rPr>
          <w:lang w:val="en-US"/>
        </w:rPr>
      </w:pPr>
      <w:r w:rsidRPr="00210D4F">
        <w:rPr>
          <w:lang w:val="en-US"/>
        </w:rPr>
        <w:t xml:space="preserve">Lyons, John (1977), </w:t>
      </w:r>
      <w:r w:rsidRPr="00210D4F">
        <w:rPr>
          <w:i/>
          <w:lang w:val="en-US"/>
        </w:rPr>
        <w:t>Semantics.</w:t>
      </w:r>
      <w:r w:rsidRPr="00210D4F">
        <w:rPr>
          <w:lang w:val="en-US"/>
        </w:rPr>
        <w:t xml:space="preserve"> 2 Bde. C</w:t>
      </w:r>
      <w:r>
        <w:rPr>
          <w:lang w:val="en-US"/>
        </w:rPr>
        <w:t>ambridge</w:t>
      </w:r>
      <w:r w:rsidR="00BD6313">
        <w:rPr>
          <w:lang w:val="en-US"/>
        </w:rPr>
        <w:t xml:space="preserve"> GB</w:t>
      </w:r>
      <w:r>
        <w:rPr>
          <w:lang w:val="en-US"/>
        </w:rPr>
        <w:t>: Cambridge University Press.</w:t>
      </w:r>
    </w:p>
    <w:p w:rsidR="00602D45" w:rsidRPr="0055560D" w:rsidRDefault="002B6563" w:rsidP="009F0669">
      <w:pPr>
        <w:pStyle w:val="Text"/>
        <w:ind w:left="454" w:hanging="454"/>
      </w:pPr>
      <w:r w:rsidRPr="00210D4F">
        <w:rPr>
          <w:lang w:val="en-US"/>
        </w:rPr>
        <w:t>L</w:t>
      </w:r>
      <w:r>
        <w:rPr>
          <w:lang w:val="en-US"/>
        </w:rPr>
        <w:t xml:space="preserve">yotard, </w:t>
      </w:r>
      <w:r w:rsidRPr="002B6563">
        <w:rPr>
          <w:bCs/>
          <w:lang w:val="en-US"/>
        </w:rPr>
        <w:t>Jean-François</w:t>
      </w:r>
      <w:r>
        <w:rPr>
          <w:lang w:val="en-US"/>
        </w:rPr>
        <w:t xml:space="preserve"> (1979), </w:t>
      </w:r>
      <w:r w:rsidRPr="002B6563">
        <w:rPr>
          <w:i/>
          <w:iCs/>
          <w:lang w:val="en-US"/>
        </w:rPr>
        <w:t>La Condition postmoderne</w:t>
      </w:r>
      <w:r w:rsidR="005B3CDC">
        <w:rPr>
          <w:i/>
          <w:iCs/>
          <w:lang w:val="en-US"/>
        </w:rPr>
        <w:t>.</w:t>
      </w:r>
      <w:r w:rsidRPr="002B6563">
        <w:rPr>
          <w:i/>
          <w:iCs/>
          <w:lang w:val="en-US"/>
        </w:rPr>
        <w:t xml:space="preserve"> </w:t>
      </w:r>
      <w:r w:rsidR="005B3CDC" w:rsidRPr="006340B1">
        <w:rPr>
          <w:i/>
          <w:iCs/>
          <w:lang w:val="en-US"/>
        </w:rPr>
        <w:t>R</w:t>
      </w:r>
      <w:r w:rsidRPr="006340B1">
        <w:rPr>
          <w:i/>
          <w:iCs/>
          <w:lang w:val="en-US"/>
        </w:rPr>
        <w:t>apport sur le savoir.</w:t>
      </w:r>
      <w:r w:rsidRPr="006340B1">
        <w:rPr>
          <w:lang w:val="en-US"/>
        </w:rPr>
        <w:t xml:space="preserve"> Paris: Minuit. </w:t>
      </w:r>
      <w:r w:rsidRPr="005B3CDC">
        <w:t xml:space="preserve">Deutsch </w:t>
      </w:r>
      <w:r w:rsidR="005B3CDC">
        <w:t>von Otto Pfersmann</w:t>
      </w:r>
      <w:r w:rsidRPr="005B3CDC">
        <w:t xml:space="preserve">: </w:t>
      </w:r>
      <w:r w:rsidR="005B3CDC">
        <w:rPr>
          <w:i/>
          <w:iCs/>
        </w:rPr>
        <w:t>Das postmoderne Wissen</w:t>
      </w:r>
      <w:r w:rsidR="005B3CDC">
        <w:t>.</w:t>
      </w:r>
      <w:r w:rsidR="005B3CDC" w:rsidRPr="005B3CDC">
        <w:rPr>
          <w:i/>
        </w:rPr>
        <w:t xml:space="preserve"> Ein Bericht.</w:t>
      </w:r>
      <w:r w:rsidR="005B3CDC">
        <w:t xml:space="preserve"> </w:t>
      </w:r>
      <w:r w:rsidR="005B3CDC" w:rsidRPr="0055560D">
        <w:t>Graz: Böhlau 1986</w:t>
      </w:r>
      <w:r w:rsidR="00602D45" w:rsidRPr="0055560D">
        <w:t>.</w:t>
      </w:r>
    </w:p>
    <w:p w:rsidR="002B6563" w:rsidRPr="00602D45" w:rsidRDefault="00602D45" w:rsidP="009F0669">
      <w:pPr>
        <w:pStyle w:val="Text"/>
        <w:ind w:left="454" w:hanging="454"/>
        <w:rPr>
          <w:lang w:val="en-US"/>
        </w:rPr>
      </w:pPr>
      <w:r>
        <w:rPr>
          <w:lang w:val="en-GB"/>
        </w:rPr>
        <w:t xml:space="preserve">Madden, Matt (2005), </w:t>
      </w:r>
      <w:r>
        <w:rPr>
          <w:i/>
          <w:lang w:val="en-GB"/>
        </w:rPr>
        <w:t xml:space="preserve">99 Ways to Tell A Story. </w:t>
      </w:r>
      <w:r w:rsidRPr="00BB32FE">
        <w:rPr>
          <w:i/>
          <w:lang w:val="en-US"/>
        </w:rPr>
        <w:t>Exercises in style.</w:t>
      </w:r>
      <w:r w:rsidRPr="00BB32FE">
        <w:rPr>
          <w:lang w:val="en-US"/>
        </w:rPr>
        <w:t xml:space="preserve"> </w:t>
      </w:r>
      <w:r w:rsidRPr="00A826D1">
        <w:rPr>
          <w:lang w:val="en-US"/>
        </w:rPr>
        <w:t>New York: Chamberlain Bros.</w:t>
      </w:r>
    </w:p>
    <w:p w:rsidR="000C6ABC" w:rsidRPr="000C6ABC" w:rsidRDefault="000C6ABC" w:rsidP="000C6ABC">
      <w:pPr>
        <w:pStyle w:val="Text"/>
        <w:ind w:left="454" w:hanging="454"/>
        <w:rPr>
          <w:rFonts w:eastAsia="Times New Roman" w:cs="Times New Roman"/>
        </w:rPr>
      </w:pPr>
      <w:r>
        <w:t xml:space="preserve">Mahr, Bernd (2006), </w:t>
      </w:r>
      <w:r w:rsidRPr="000C6ABC">
        <w:rPr>
          <w:i/>
        </w:rPr>
        <w:t>Stil und Modell. Über den Zusammenhang von Stil und M</w:t>
      </w:r>
      <w:r w:rsidRPr="000C6ABC">
        <w:rPr>
          <w:i/>
        </w:rPr>
        <w:t>o</w:t>
      </w:r>
      <w:r w:rsidRPr="000C6ABC">
        <w:rPr>
          <w:i/>
        </w:rPr>
        <w:t>dell in der Bildenden Kunst und der Programmierung.</w:t>
      </w:r>
      <w:r>
        <w:t xml:space="preserve"> </w:t>
      </w:r>
      <w:r w:rsidRPr="00BC548F">
        <w:t>KIT-Report 152. Be</w:t>
      </w:r>
      <w:r w:rsidRPr="00BC548F">
        <w:t>r</w:t>
      </w:r>
      <w:r w:rsidRPr="00BC548F">
        <w:t xml:space="preserve">lin: Technische Universität Berlin. </w:t>
      </w:r>
      <w:r w:rsidRPr="000C6ABC">
        <w:t>Online unter: http://www.flp.tu-berlin.de/fileadmin/fg53/KIT-Reports/r152.pdf</w:t>
      </w:r>
      <w:r w:rsidR="00E40BC1">
        <w:t xml:space="preserve">; Einsicht am </w:t>
      </w:r>
      <w:r w:rsidR="006519FA">
        <w:t>18.01.2012</w:t>
      </w:r>
      <w:r w:rsidR="00E40BC1">
        <w:t>.</w:t>
      </w:r>
    </w:p>
    <w:p w:rsidR="006B1205" w:rsidRDefault="006B1205" w:rsidP="009F0669">
      <w:pPr>
        <w:pStyle w:val="Text"/>
        <w:ind w:left="454" w:hanging="454"/>
      </w:pPr>
      <w:r w:rsidRPr="00A844C2">
        <w:rPr>
          <w:lang w:val="en-US"/>
        </w:rPr>
        <w:t xml:space="preserve">Manetti, </w:t>
      </w:r>
      <w:r w:rsidR="00A844C2" w:rsidRPr="00A844C2">
        <w:rPr>
          <w:lang w:val="en-US"/>
        </w:rPr>
        <w:t xml:space="preserve">Giovanni (1997), „Sign </w:t>
      </w:r>
      <w:r w:rsidR="00123180">
        <w:rPr>
          <w:lang w:val="en-US"/>
        </w:rPr>
        <w:t>C</w:t>
      </w:r>
      <w:r w:rsidR="00A844C2" w:rsidRPr="00A844C2">
        <w:rPr>
          <w:lang w:val="en-US"/>
        </w:rPr>
        <w:t xml:space="preserve">onceptions in </w:t>
      </w:r>
      <w:r w:rsidR="00123180">
        <w:rPr>
          <w:lang w:val="en-US"/>
        </w:rPr>
        <w:t>G</w:t>
      </w:r>
      <w:r w:rsidR="00A844C2" w:rsidRPr="00A844C2">
        <w:rPr>
          <w:lang w:val="en-US"/>
        </w:rPr>
        <w:t xml:space="preserve">rammar, </w:t>
      </w:r>
      <w:r w:rsidR="00123180">
        <w:rPr>
          <w:lang w:val="en-US"/>
        </w:rPr>
        <w:t>R</w:t>
      </w:r>
      <w:r w:rsidR="00A844C2" w:rsidRPr="00A844C2">
        <w:rPr>
          <w:lang w:val="en-US"/>
        </w:rPr>
        <w:t xml:space="preserve">hetoric, and </w:t>
      </w:r>
      <w:r w:rsidR="00123180">
        <w:rPr>
          <w:lang w:val="en-US"/>
        </w:rPr>
        <w:t>P</w:t>
      </w:r>
      <w:r w:rsidR="00A844C2" w:rsidRPr="00A844C2">
        <w:rPr>
          <w:lang w:val="en-US"/>
        </w:rPr>
        <w:t>oe</w:t>
      </w:r>
      <w:r w:rsidR="00A844C2" w:rsidRPr="00A844C2">
        <w:rPr>
          <w:lang w:val="en-US"/>
        </w:rPr>
        <w:t>t</w:t>
      </w:r>
      <w:r w:rsidR="00A844C2" w:rsidRPr="00A844C2">
        <w:rPr>
          <w:lang w:val="en-US"/>
        </w:rPr>
        <w:t xml:space="preserve">ics </w:t>
      </w:r>
      <w:r w:rsidR="00A844C2">
        <w:rPr>
          <w:lang w:val="en-US"/>
        </w:rPr>
        <w:t>in Ancient Greece and Rome</w:t>
      </w:r>
      <w:r w:rsidR="00A844C2" w:rsidRPr="00A844C2">
        <w:rPr>
          <w:lang w:val="en-US"/>
        </w:rPr>
        <w:t>“</w:t>
      </w:r>
      <w:r w:rsidR="00A844C2">
        <w:rPr>
          <w:lang w:val="en-US"/>
        </w:rPr>
        <w:t xml:space="preserve">. </w:t>
      </w:r>
      <w:r w:rsidR="00A844C2" w:rsidRPr="00BC548F">
        <w:t>In: Posner u.a. 19</w:t>
      </w:r>
      <w:r w:rsidR="00A844C2" w:rsidRPr="00664DB3">
        <w:t>97–2004</w:t>
      </w:r>
      <w:r w:rsidR="00381A51">
        <w:t>, Bd. 1</w:t>
      </w:r>
      <w:r w:rsidR="00A844C2" w:rsidRPr="00664DB3">
        <w:t>: 876-892.</w:t>
      </w:r>
    </w:p>
    <w:p w:rsidR="00CD1239" w:rsidRDefault="00CD1239" w:rsidP="009F0669">
      <w:pPr>
        <w:pStyle w:val="Text"/>
        <w:ind w:left="454" w:hanging="454"/>
      </w:pPr>
      <w:r>
        <w:t xml:space="preserve">Mangasser-Wahl, Martina (Hg.) (2000), </w:t>
      </w:r>
      <w:r w:rsidRPr="00CD1239">
        <w:rPr>
          <w:i/>
        </w:rPr>
        <w:t>Prototypentheorie in der Linguistik. A</w:t>
      </w:r>
      <w:r w:rsidRPr="00CD1239">
        <w:rPr>
          <w:i/>
        </w:rPr>
        <w:t>n</w:t>
      </w:r>
      <w:r w:rsidRPr="00CD1239">
        <w:rPr>
          <w:i/>
        </w:rPr>
        <w:t>wendungsbeispiele, Methodenreflexion, Perspektiven.</w:t>
      </w:r>
      <w:r>
        <w:t xml:space="preserve"> Tübingen: Stauffen</w:t>
      </w:r>
      <w:r w:rsidR="003011CE">
        <w:softHyphen/>
      </w:r>
      <w:r>
        <w:t>burg.</w:t>
      </w:r>
    </w:p>
    <w:p w:rsidR="00F705A2" w:rsidRPr="00664DB3" w:rsidRDefault="00F705A2" w:rsidP="009F0669">
      <w:pPr>
        <w:pStyle w:val="Text"/>
        <w:ind w:left="454" w:hanging="454"/>
      </w:pPr>
      <w:r>
        <w:rPr>
          <w:szCs w:val="17"/>
        </w:rPr>
        <w:t xml:space="preserve">Mann, Thomas (1933–1943), </w:t>
      </w:r>
      <w:r w:rsidRPr="00F705A2">
        <w:rPr>
          <w:i/>
          <w:szCs w:val="17"/>
        </w:rPr>
        <w:t>Joseph und seine Brüder</w:t>
      </w:r>
      <w:r>
        <w:rPr>
          <w:szCs w:val="17"/>
        </w:rPr>
        <w:t>. 4 Bde. Berlin u.a.: Ber</w:t>
      </w:r>
      <w:r w:rsidR="00A250D6">
        <w:rPr>
          <w:szCs w:val="17"/>
        </w:rPr>
        <w:softHyphen/>
      </w:r>
      <w:r>
        <w:rPr>
          <w:szCs w:val="17"/>
        </w:rPr>
        <w:t>mann-Fischer.</w:t>
      </w:r>
    </w:p>
    <w:p w:rsidR="002E6B3C" w:rsidRDefault="002E6B3C" w:rsidP="009F0669">
      <w:pPr>
        <w:pStyle w:val="Text"/>
        <w:ind w:left="454" w:hanging="454"/>
      </w:pPr>
      <w:r>
        <w:t>Mann, Thomas (</w:t>
      </w:r>
      <w:r w:rsidR="00EF0EC9">
        <w:t>1954</w:t>
      </w:r>
      <w:r>
        <w:t xml:space="preserve">), </w:t>
      </w:r>
      <w:r w:rsidRPr="002E6B3C">
        <w:rPr>
          <w:i/>
        </w:rPr>
        <w:t>Bekenntnisse des Hochstaplers Felix Krul</w:t>
      </w:r>
      <w:r w:rsidR="00EF0EC9">
        <w:rPr>
          <w:i/>
        </w:rPr>
        <w:t>l. Der Memoiren erster Teil.</w:t>
      </w:r>
      <w:r w:rsidR="00EF0EC9">
        <w:t xml:space="preserve"> Frankfurt a.M.: Fischer.</w:t>
      </w:r>
    </w:p>
    <w:p w:rsidR="00E16065" w:rsidRDefault="00E16065" w:rsidP="009F0669">
      <w:pPr>
        <w:pStyle w:val="Text"/>
        <w:ind w:left="454" w:hanging="454"/>
      </w:pPr>
      <w:r>
        <w:t xml:space="preserve">Markowitz, Harry M. (2007), </w:t>
      </w:r>
      <w:r>
        <w:rPr>
          <w:i/>
          <w:iCs/>
        </w:rPr>
        <w:t xml:space="preserve">Portfolioanalyse. </w:t>
      </w:r>
      <w:r>
        <w:t>Aus dem Englischen übersetzt von Martin Siefkes und Reno Basner. München: Finanzbuch.</w:t>
      </w:r>
    </w:p>
    <w:p w:rsidR="00AD4171" w:rsidRPr="0020312F" w:rsidRDefault="00AD4171" w:rsidP="009F0669">
      <w:pPr>
        <w:pStyle w:val="Text"/>
        <w:ind w:left="454" w:hanging="454"/>
      </w:pPr>
      <w:r w:rsidRPr="0021368B">
        <w:t xml:space="preserve">Marouzeau, </w:t>
      </w:r>
      <w:r w:rsidR="00C23356" w:rsidRPr="0021368B">
        <w:t xml:space="preserve">Jules (1941), </w:t>
      </w:r>
      <w:r w:rsidR="00C23356" w:rsidRPr="0021368B">
        <w:rPr>
          <w:i/>
        </w:rPr>
        <w:t xml:space="preserve">Précis de stylistique </w:t>
      </w:r>
      <w:r w:rsidR="00C23356" w:rsidRPr="0021368B">
        <w:rPr>
          <w:i/>
          <w:iCs/>
        </w:rPr>
        <w:t>française.</w:t>
      </w:r>
      <w:r w:rsidR="00C23356" w:rsidRPr="0021368B">
        <w:t xml:space="preserve"> </w:t>
      </w:r>
      <w:r w:rsidR="007E44A0">
        <w:t>Paris: Masson.</w:t>
      </w:r>
    </w:p>
    <w:p w:rsidR="00AB6BBC" w:rsidRDefault="00AB6BBC" w:rsidP="009F0669">
      <w:pPr>
        <w:pStyle w:val="Text"/>
        <w:ind w:left="454" w:hanging="454"/>
      </w:pPr>
      <w:r>
        <w:t xml:space="preserve">Marx, Karl (1867), </w:t>
      </w:r>
      <w:r w:rsidRPr="00AB6BBC">
        <w:rPr>
          <w:i/>
        </w:rPr>
        <w:t>Das Kapital. Kritik der politischen Ökonomie.</w:t>
      </w:r>
      <w:r>
        <w:t xml:space="preserve"> </w:t>
      </w:r>
      <w:r w:rsidR="004F75AD">
        <w:t>Erneut als</w:t>
      </w:r>
      <w:r w:rsidR="001B4648">
        <w:t xml:space="preserve">: Ders. (1974), </w:t>
      </w:r>
      <w:r w:rsidR="00C72362" w:rsidRPr="00C72362">
        <w:rPr>
          <w:i/>
        </w:rPr>
        <w:t>Das Kapital.</w:t>
      </w:r>
      <w:r w:rsidR="00C72362">
        <w:rPr>
          <w:i/>
        </w:rPr>
        <w:t xml:space="preserve"> </w:t>
      </w:r>
      <w:r>
        <w:t xml:space="preserve">Bd. 1: </w:t>
      </w:r>
      <w:r w:rsidRPr="00AB6BBC">
        <w:rPr>
          <w:i/>
        </w:rPr>
        <w:t>Der Produktionsprozess des Kapitals.</w:t>
      </w:r>
      <w:r>
        <w:t xml:space="preserve"> (</w:t>
      </w:r>
      <w:r w:rsidR="000E22D3">
        <w:t>=</w:t>
      </w:r>
      <w:r w:rsidR="00FC7796">
        <w:t> </w:t>
      </w:r>
      <w:r>
        <w:t>MEW 23) Berlin: Dietz.</w:t>
      </w:r>
    </w:p>
    <w:p w:rsidR="00E725FA" w:rsidRPr="004F75AD" w:rsidRDefault="00E725FA" w:rsidP="009F0669">
      <w:pPr>
        <w:pStyle w:val="Text"/>
        <w:ind w:left="454" w:hanging="454"/>
        <w:rPr>
          <w:lang w:val="en-US"/>
        </w:rPr>
      </w:pPr>
      <w:r>
        <w:t xml:space="preserve">Mazzola, Guerino (1985), </w:t>
      </w:r>
      <w:r>
        <w:rPr>
          <w:i/>
          <w:iCs/>
        </w:rPr>
        <w:t>Gruppen und Kategorien in der Musik</w:t>
      </w:r>
      <w:r>
        <w:t xml:space="preserve">. </w:t>
      </w:r>
      <w:r w:rsidRPr="004F75AD">
        <w:rPr>
          <w:lang w:val="en-US"/>
        </w:rPr>
        <w:t>Berlin: Helder</w:t>
      </w:r>
      <w:r w:rsidR="00312B8B">
        <w:rPr>
          <w:lang w:val="en-US"/>
        </w:rPr>
        <w:softHyphen/>
      </w:r>
      <w:r w:rsidRPr="004F75AD">
        <w:rPr>
          <w:lang w:val="en-US"/>
        </w:rPr>
        <w:t>mann.</w:t>
      </w:r>
    </w:p>
    <w:p w:rsidR="009D6D45" w:rsidRPr="00917801" w:rsidRDefault="009D6D45" w:rsidP="009D6D45">
      <w:pPr>
        <w:tabs>
          <w:tab w:val="left" w:pos="8931"/>
        </w:tabs>
        <w:ind w:left="454" w:hanging="454"/>
        <w:rPr>
          <w:lang w:val="en-US"/>
        </w:rPr>
      </w:pPr>
      <w:r w:rsidRPr="004F75AD">
        <w:rPr>
          <w:lang w:val="en-US"/>
        </w:rPr>
        <w:t>Mazzola, Guerino (1</w:t>
      </w:r>
      <w:r w:rsidRPr="00621127">
        <w:rPr>
          <w:lang w:val="en-US"/>
        </w:rPr>
        <w:t xml:space="preserve">993), </w:t>
      </w:r>
      <w:r w:rsidRPr="00621127">
        <w:rPr>
          <w:i/>
          <w:iCs/>
          <w:lang w:val="en-US"/>
        </w:rPr>
        <w:t>Mathematical Musi</w:t>
      </w:r>
      <w:r w:rsidR="004A5D1A">
        <w:rPr>
          <w:i/>
          <w:iCs/>
          <w:lang w:val="en-US"/>
        </w:rPr>
        <w:t>c Theory.</w:t>
      </w:r>
      <w:r>
        <w:rPr>
          <w:i/>
          <w:iCs/>
          <w:lang w:val="en-US"/>
        </w:rPr>
        <w:t xml:space="preserve"> </w:t>
      </w:r>
      <w:r w:rsidRPr="00917801">
        <w:rPr>
          <w:i/>
          <w:iCs/>
          <w:lang w:val="en-US"/>
        </w:rPr>
        <w:t>An Informal Survey</w:t>
      </w:r>
      <w:r>
        <w:rPr>
          <w:lang w:val="en-US"/>
        </w:rPr>
        <w:t>. L</w:t>
      </w:r>
      <w:r>
        <w:rPr>
          <w:lang w:val="en-US"/>
        </w:rPr>
        <w:t>o</w:t>
      </w:r>
      <w:r>
        <w:rPr>
          <w:lang w:val="en-US"/>
        </w:rPr>
        <w:t xml:space="preserve">carno: </w:t>
      </w:r>
      <w:r w:rsidRPr="00917801">
        <w:rPr>
          <w:lang w:val="en-US"/>
        </w:rPr>
        <w:t>Edizioni Cerfim</w:t>
      </w:r>
      <w:r>
        <w:rPr>
          <w:lang w:val="en-US"/>
        </w:rPr>
        <w:t>.</w:t>
      </w:r>
    </w:p>
    <w:p w:rsidR="009D6D45" w:rsidRDefault="009D6D45" w:rsidP="009D6D45">
      <w:pPr>
        <w:tabs>
          <w:tab w:val="left" w:pos="8931"/>
        </w:tabs>
        <w:ind w:left="454" w:hanging="454"/>
        <w:rPr>
          <w:lang w:val="en-US"/>
        </w:rPr>
      </w:pPr>
      <w:r>
        <w:rPr>
          <w:lang w:val="en-US"/>
        </w:rPr>
        <w:t xml:space="preserve">Mazzola, </w:t>
      </w:r>
      <w:r w:rsidRPr="00917801">
        <w:rPr>
          <w:lang w:val="en-US"/>
        </w:rPr>
        <w:t>Guerino</w:t>
      </w:r>
      <w:r>
        <w:rPr>
          <w:lang w:val="en-US"/>
        </w:rPr>
        <w:t xml:space="preserve"> </w:t>
      </w:r>
      <w:r w:rsidRPr="00917801">
        <w:rPr>
          <w:lang w:val="en-US"/>
        </w:rPr>
        <w:t>(2002),</w:t>
      </w:r>
      <w:r>
        <w:rPr>
          <w:lang w:val="en-US"/>
        </w:rPr>
        <w:t xml:space="preserve"> </w:t>
      </w:r>
      <w:r w:rsidRPr="00917801">
        <w:rPr>
          <w:i/>
          <w:iCs/>
          <w:lang w:val="en-US"/>
        </w:rPr>
        <w:t>The Topos of Music</w:t>
      </w:r>
      <w:r w:rsidR="004A5D1A">
        <w:rPr>
          <w:i/>
          <w:iCs/>
          <w:lang w:val="en-US"/>
        </w:rPr>
        <w:t>.</w:t>
      </w:r>
      <w:r>
        <w:rPr>
          <w:i/>
          <w:iCs/>
          <w:lang w:val="en-US"/>
        </w:rPr>
        <w:t xml:space="preserve"> </w:t>
      </w:r>
      <w:r w:rsidRPr="00917801">
        <w:rPr>
          <w:i/>
          <w:iCs/>
          <w:lang w:val="en-US"/>
        </w:rPr>
        <w:t>Geometric Logic of Concepts, Th</w:t>
      </w:r>
      <w:r w:rsidRPr="00917801">
        <w:rPr>
          <w:i/>
          <w:iCs/>
          <w:lang w:val="en-US"/>
        </w:rPr>
        <w:t>e</w:t>
      </w:r>
      <w:r w:rsidRPr="00917801">
        <w:rPr>
          <w:i/>
          <w:iCs/>
          <w:lang w:val="en-US"/>
        </w:rPr>
        <w:t>ory, and Performance</w:t>
      </w:r>
      <w:r>
        <w:rPr>
          <w:i/>
          <w:iCs/>
          <w:lang w:val="en-US"/>
        </w:rPr>
        <w:t>.</w:t>
      </w:r>
      <w:r w:rsidRPr="00917801">
        <w:rPr>
          <w:lang w:val="en-US"/>
        </w:rPr>
        <w:t xml:space="preserve"> Basel: Birkhäuser.</w:t>
      </w:r>
    </w:p>
    <w:p w:rsidR="009D6D45" w:rsidRPr="00917801" w:rsidRDefault="009D6D45" w:rsidP="009D6D45">
      <w:pPr>
        <w:tabs>
          <w:tab w:val="left" w:pos="8931"/>
        </w:tabs>
        <w:ind w:left="454" w:hanging="454"/>
        <w:rPr>
          <w:lang w:val="en-US"/>
        </w:rPr>
      </w:pPr>
      <w:r>
        <w:rPr>
          <w:lang w:val="en-US"/>
        </w:rPr>
        <w:t xml:space="preserve">Mazzola, </w:t>
      </w:r>
      <w:r w:rsidRPr="00917801">
        <w:rPr>
          <w:lang w:val="en-US"/>
        </w:rPr>
        <w:t>Guerino</w:t>
      </w:r>
      <w:r>
        <w:rPr>
          <w:lang w:val="en-US"/>
        </w:rPr>
        <w:t xml:space="preserve"> (2003), </w:t>
      </w:r>
      <w:r w:rsidRPr="00896E28">
        <w:rPr>
          <w:lang w:val="en-US"/>
        </w:rPr>
        <w:t>„</w:t>
      </w:r>
      <w:r w:rsidRPr="00E660E1">
        <w:rPr>
          <w:rFonts w:eastAsia="TimesNRMT" w:cs="Times New Roman"/>
          <w:lang w:val="en-US"/>
        </w:rPr>
        <w:t xml:space="preserve">Semiotic </w:t>
      </w:r>
      <w:r w:rsidR="00A01D7C">
        <w:rPr>
          <w:rFonts w:eastAsia="TimesNRMT" w:cs="Times New Roman"/>
          <w:lang w:val="en-US"/>
        </w:rPr>
        <w:t>A</w:t>
      </w:r>
      <w:r w:rsidRPr="00E660E1">
        <w:rPr>
          <w:rFonts w:eastAsia="TimesNRMT" w:cs="Times New Roman"/>
          <w:lang w:val="en-US"/>
        </w:rPr>
        <w:t xml:space="preserve">spects of </w:t>
      </w:r>
      <w:r w:rsidR="00A01D7C">
        <w:rPr>
          <w:rFonts w:eastAsia="TimesNRMT" w:cs="Times New Roman"/>
          <w:lang w:val="en-US"/>
        </w:rPr>
        <w:t>M</w:t>
      </w:r>
      <w:r w:rsidRPr="00E660E1">
        <w:rPr>
          <w:rFonts w:eastAsia="TimesNRMT" w:cs="Times New Roman"/>
          <w:lang w:val="en-US"/>
        </w:rPr>
        <w:t>usicology</w:t>
      </w:r>
      <w:r w:rsidR="004A5D1A">
        <w:rPr>
          <w:rFonts w:eastAsia="TimesNRMT" w:cs="Times New Roman"/>
          <w:lang w:val="en-US"/>
        </w:rPr>
        <w:t>.</w:t>
      </w:r>
      <w:r w:rsidRPr="00E660E1">
        <w:rPr>
          <w:rFonts w:eastAsia="TimesNRMT" w:cs="Times New Roman"/>
          <w:lang w:val="en-US"/>
        </w:rPr>
        <w:t xml:space="preserve"> Semiotics of </w:t>
      </w:r>
      <w:r w:rsidR="00A01D7C">
        <w:rPr>
          <w:rFonts w:eastAsia="TimesNRMT" w:cs="Times New Roman"/>
          <w:lang w:val="en-US"/>
        </w:rPr>
        <w:t>M</w:t>
      </w:r>
      <w:r w:rsidRPr="00E660E1">
        <w:rPr>
          <w:rFonts w:eastAsia="TimesNRMT" w:cs="Times New Roman"/>
          <w:lang w:val="en-US"/>
        </w:rPr>
        <w:t>u</w:t>
      </w:r>
      <w:r w:rsidRPr="00E660E1">
        <w:rPr>
          <w:rFonts w:eastAsia="TimesNRMT" w:cs="Times New Roman"/>
          <w:lang w:val="en-US"/>
        </w:rPr>
        <w:t>sic</w:t>
      </w:r>
      <w:r w:rsidRPr="00896E28">
        <w:rPr>
          <w:lang w:val="en-US"/>
        </w:rPr>
        <w:t>“</w:t>
      </w:r>
      <w:r w:rsidRPr="00E660E1">
        <w:rPr>
          <w:rFonts w:eastAsia="TimesNRMT" w:cs="Times New Roman"/>
          <w:lang w:val="en-US"/>
        </w:rPr>
        <w:t>.</w:t>
      </w:r>
      <w:r>
        <w:rPr>
          <w:rFonts w:eastAsia="TimesNRMT" w:cs="Times New Roman"/>
          <w:lang w:val="en-US"/>
        </w:rPr>
        <w:t xml:space="preserve"> </w:t>
      </w:r>
      <w:r w:rsidR="00C82119">
        <w:rPr>
          <w:rFonts w:eastAsia="TimesNRMT" w:cs="Times New Roman"/>
          <w:lang w:val="en-US"/>
        </w:rPr>
        <w:t xml:space="preserve">In: </w:t>
      </w:r>
      <w:r w:rsidRPr="00573AC4">
        <w:rPr>
          <w:lang w:val="en-US"/>
        </w:rPr>
        <w:t xml:space="preserve">Posner u.a. 1997–2004, Bd. </w:t>
      </w:r>
      <w:r>
        <w:rPr>
          <w:lang w:val="en-US"/>
        </w:rPr>
        <w:t>3</w:t>
      </w:r>
      <w:r w:rsidRPr="00573AC4">
        <w:rPr>
          <w:lang w:val="en-US"/>
        </w:rPr>
        <w:t xml:space="preserve">: </w:t>
      </w:r>
      <w:r>
        <w:rPr>
          <w:lang w:val="en-US"/>
        </w:rPr>
        <w:t>3119-3188.</w:t>
      </w:r>
    </w:p>
    <w:p w:rsidR="009D6D45" w:rsidRPr="00ED033D" w:rsidRDefault="009D6D45" w:rsidP="009D6D45">
      <w:pPr>
        <w:ind w:left="454" w:hanging="454"/>
        <w:rPr>
          <w:rFonts w:eastAsia="TimesNRMT" w:cs="Times New Roman"/>
        </w:rPr>
      </w:pPr>
      <w:r>
        <w:rPr>
          <w:lang w:val="en-US"/>
        </w:rPr>
        <w:lastRenderedPageBreak/>
        <w:t xml:space="preserve">Mazzola, </w:t>
      </w:r>
      <w:r w:rsidRPr="00917801">
        <w:rPr>
          <w:lang w:val="en-US"/>
        </w:rPr>
        <w:t>Guerino</w:t>
      </w:r>
      <w:r w:rsidR="00301D3E">
        <w:rPr>
          <w:lang w:val="en-US"/>
        </w:rPr>
        <w:t>,</w:t>
      </w:r>
      <w:r w:rsidRPr="004A5D1A">
        <w:rPr>
          <w:lang w:val="en-US"/>
        </w:rPr>
        <w:t xml:space="preserve"> </w:t>
      </w:r>
      <w:r w:rsidR="00685527">
        <w:rPr>
          <w:lang w:val="en-US"/>
        </w:rPr>
        <w:t>Heinz-Gregor Wieser</w:t>
      </w:r>
      <w:r w:rsidR="00301D3E">
        <w:rPr>
          <w:lang w:val="en-US"/>
        </w:rPr>
        <w:t>,</w:t>
      </w:r>
      <w:r w:rsidR="00685527">
        <w:rPr>
          <w:lang w:val="en-US"/>
        </w:rPr>
        <w:t xml:space="preserve"> </w:t>
      </w:r>
      <w:r w:rsidR="00301D3E">
        <w:rPr>
          <w:lang w:val="en-US"/>
        </w:rPr>
        <w:t>V</w:t>
      </w:r>
      <w:r w:rsidR="00685527">
        <w:rPr>
          <w:lang w:val="en-US"/>
        </w:rPr>
        <w:t xml:space="preserve">. Brunner und Daniel Muzzulini </w:t>
      </w:r>
      <w:r>
        <w:rPr>
          <w:lang w:val="en-US"/>
        </w:rPr>
        <w:t xml:space="preserve">(1989), </w:t>
      </w:r>
      <w:r w:rsidRPr="00896E28">
        <w:rPr>
          <w:lang w:val="en-US"/>
        </w:rPr>
        <w:t>„</w:t>
      </w:r>
      <w:r w:rsidRPr="00917801">
        <w:rPr>
          <w:lang w:val="en-US"/>
        </w:rPr>
        <w:t>A Symmetry-Oriented Mathematical Model of Classical Counte</w:t>
      </w:r>
      <w:r w:rsidRPr="00917801">
        <w:rPr>
          <w:lang w:val="en-US"/>
        </w:rPr>
        <w:t>r</w:t>
      </w:r>
      <w:r w:rsidRPr="00917801">
        <w:rPr>
          <w:lang w:val="en-US"/>
        </w:rPr>
        <w:t>point and Related Neurophysiologic</w:t>
      </w:r>
      <w:r>
        <w:rPr>
          <w:lang w:val="en-US"/>
        </w:rPr>
        <w:t>al Investigations by Depth-EEG</w:t>
      </w:r>
      <w:r w:rsidRPr="00896E28">
        <w:rPr>
          <w:lang w:val="en-US"/>
        </w:rPr>
        <w:t>“</w:t>
      </w:r>
      <w:r>
        <w:rPr>
          <w:lang w:val="en-US"/>
        </w:rPr>
        <w:t xml:space="preserve">. </w:t>
      </w:r>
      <w:r w:rsidRPr="00A826D1">
        <w:rPr>
          <w:lang w:val="en-US"/>
        </w:rPr>
        <w:t>In:</w:t>
      </w:r>
      <w:r w:rsidRPr="00A826D1">
        <w:rPr>
          <w:rFonts w:cs="Times New Roman"/>
          <w:lang w:val="en-US"/>
        </w:rPr>
        <w:t xml:space="preserve"> </w:t>
      </w:r>
      <w:r w:rsidRPr="00A826D1">
        <w:rPr>
          <w:rFonts w:eastAsia="TimesNRMT" w:cs="Times New Roman"/>
          <w:lang w:val="en-US"/>
        </w:rPr>
        <w:t>Istv</w:t>
      </w:r>
      <w:r w:rsidR="00301D3E">
        <w:rPr>
          <w:rFonts w:eastAsia="TimesNRMT" w:cs="Times New Roman"/>
          <w:lang w:val="en-US"/>
        </w:rPr>
        <w:t>á</w:t>
      </w:r>
      <w:r w:rsidRPr="00A826D1">
        <w:rPr>
          <w:rFonts w:eastAsia="TimesNRMT" w:cs="Times New Roman"/>
          <w:lang w:val="en-US"/>
        </w:rPr>
        <w:t xml:space="preserve">n Hargittai (Hg.), </w:t>
      </w:r>
      <w:r w:rsidR="004A5D1A" w:rsidRPr="00A826D1">
        <w:rPr>
          <w:rFonts w:eastAsia="TimesNRMT-Italic" w:cs="Times New Roman"/>
          <w:i/>
          <w:iCs/>
          <w:lang w:val="en-US"/>
        </w:rPr>
        <w:t>Symmetry</w:t>
      </w:r>
      <w:r w:rsidR="00646AA1">
        <w:rPr>
          <w:rFonts w:eastAsia="TimesNRMT-Italic" w:cs="Times New Roman"/>
          <w:i/>
          <w:iCs/>
          <w:lang w:val="en-US"/>
        </w:rPr>
        <w:t xml:space="preserve"> 2</w:t>
      </w:r>
      <w:r w:rsidR="004A5D1A" w:rsidRPr="00A826D1">
        <w:rPr>
          <w:rFonts w:eastAsia="TimesNRMT-Italic" w:cs="Times New Roman"/>
          <w:i/>
          <w:iCs/>
          <w:lang w:val="en-US"/>
        </w:rPr>
        <w:t>.</w:t>
      </w:r>
      <w:r w:rsidRPr="00A826D1">
        <w:rPr>
          <w:rFonts w:eastAsia="TimesNRMT-Italic" w:cs="Times New Roman"/>
          <w:i/>
          <w:iCs/>
          <w:lang w:val="en-US"/>
        </w:rPr>
        <w:t xml:space="preserve"> Unifying Human Understanding. </w:t>
      </w:r>
      <w:r w:rsidRPr="00A826D1">
        <w:rPr>
          <w:rFonts w:eastAsia="TimesNRMT" w:cs="Times New Roman"/>
          <w:lang w:val="en-US"/>
        </w:rPr>
        <w:t xml:space="preserve">New York: Pergamon Press. </w:t>
      </w:r>
      <w:r w:rsidRPr="00ED033D">
        <w:rPr>
          <w:rFonts w:eastAsia="TimesNRMT" w:cs="Times New Roman"/>
        </w:rPr>
        <w:t>539-594.</w:t>
      </w:r>
    </w:p>
    <w:p w:rsidR="00501DA2" w:rsidRDefault="00501DA2" w:rsidP="009F0669">
      <w:pPr>
        <w:pStyle w:val="Text"/>
        <w:ind w:left="454" w:hanging="454"/>
      </w:pPr>
      <w:r>
        <w:t xml:space="preserve">Meggle, Georg (1981), </w:t>
      </w:r>
      <w:r w:rsidRPr="00501DA2">
        <w:rPr>
          <w:i/>
        </w:rPr>
        <w:t>Grundbegriffe der Kommunikation.</w:t>
      </w:r>
      <w:r>
        <w:t xml:space="preserve"> Berlin u.a.: de Gruyter. Zugl.: Regensburg, Univ., Diss., 1979.</w:t>
      </w:r>
    </w:p>
    <w:p w:rsidR="00573FF3" w:rsidRPr="00217019" w:rsidRDefault="00573FF3" w:rsidP="009F0669">
      <w:pPr>
        <w:pStyle w:val="Text"/>
        <w:ind w:left="454" w:hanging="454"/>
      </w:pPr>
      <w:r>
        <w:t xml:space="preserve">Metz-Göckel, Hellmuth (Hg.) (2008), </w:t>
      </w:r>
      <w:r>
        <w:rPr>
          <w:i/>
          <w:iCs/>
        </w:rPr>
        <w:t>Gestalttheorie aktuell</w:t>
      </w:r>
      <w:r w:rsidR="004A5D1A">
        <w:rPr>
          <w:i/>
          <w:iCs/>
        </w:rPr>
        <w:t xml:space="preserve">. </w:t>
      </w:r>
      <w:r w:rsidRPr="0011527D">
        <w:rPr>
          <w:i/>
          <w:iCs/>
        </w:rPr>
        <w:t>Handbuch zur G</w:t>
      </w:r>
      <w:r w:rsidRPr="0011527D">
        <w:rPr>
          <w:i/>
          <w:iCs/>
        </w:rPr>
        <w:t>e</w:t>
      </w:r>
      <w:r w:rsidRPr="0011527D">
        <w:rPr>
          <w:i/>
          <w:iCs/>
        </w:rPr>
        <w:t>stalttheorie</w:t>
      </w:r>
      <w:r w:rsidR="000E22D3" w:rsidRPr="0011527D">
        <w:t>.</w:t>
      </w:r>
      <w:r w:rsidRPr="0011527D">
        <w:t xml:space="preserve"> Bd. 1. </w:t>
      </w:r>
      <w:r w:rsidRPr="00217019">
        <w:t>Wien: Krammer.</w:t>
      </w:r>
    </w:p>
    <w:p w:rsidR="001E359B" w:rsidRPr="000C3578" w:rsidRDefault="001E359B" w:rsidP="009F0669">
      <w:pPr>
        <w:pStyle w:val="Text"/>
        <w:ind w:left="454" w:hanging="454"/>
        <w:rPr>
          <w:lang w:val="en-US"/>
        </w:rPr>
      </w:pPr>
      <w:r w:rsidRPr="000E22D3">
        <w:rPr>
          <w:lang w:val="en-US"/>
        </w:rPr>
        <w:t xml:space="preserve">Meyer, Leonard B. (1987), „Toward a Theory of Style“. In: </w:t>
      </w:r>
      <w:r w:rsidR="008014FB" w:rsidRPr="000E22D3">
        <w:rPr>
          <w:lang w:val="en-US"/>
        </w:rPr>
        <w:t xml:space="preserve">Berel Lang (Hg.), </w:t>
      </w:r>
      <w:r w:rsidR="008014FB" w:rsidRPr="000E22D3">
        <w:rPr>
          <w:i/>
          <w:lang w:val="en-US"/>
        </w:rPr>
        <w:t>The Concept of Style.</w:t>
      </w:r>
      <w:r w:rsidR="008014FB" w:rsidRPr="000E22D3">
        <w:rPr>
          <w:lang w:val="en-US"/>
        </w:rPr>
        <w:t xml:space="preserve"> 2., überarb. und erw. Auf</w:t>
      </w:r>
      <w:r w:rsidR="008014FB" w:rsidRPr="00A826D1">
        <w:rPr>
          <w:lang w:val="en-US"/>
        </w:rPr>
        <w:t>l. I</w:t>
      </w:r>
      <w:r w:rsidR="008014FB" w:rsidRPr="00294F83">
        <w:rPr>
          <w:lang w:val="en-US"/>
        </w:rPr>
        <w:t>thaca, NY: Cornell Un</w:t>
      </w:r>
      <w:r w:rsidR="008014FB" w:rsidRPr="00294F83">
        <w:rPr>
          <w:lang w:val="en-US"/>
        </w:rPr>
        <w:t>i</w:t>
      </w:r>
      <w:r w:rsidR="008014FB" w:rsidRPr="00294F83">
        <w:rPr>
          <w:lang w:val="en-US"/>
        </w:rPr>
        <w:t xml:space="preserve">versity Press. </w:t>
      </w:r>
      <w:r w:rsidR="008014FB" w:rsidRPr="000C3578">
        <w:rPr>
          <w:lang w:val="en-US"/>
        </w:rPr>
        <w:t>21-71.</w:t>
      </w:r>
    </w:p>
    <w:p w:rsidR="00AC2C29" w:rsidRPr="00A826D1" w:rsidRDefault="00AC2C29" w:rsidP="00AC2C29">
      <w:pPr>
        <w:pStyle w:val="Text"/>
        <w:ind w:left="454" w:hanging="454"/>
        <w:rPr>
          <w:lang w:val="en-US"/>
        </w:rPr>
      </w:pPr>
      <w:r w:rsidRPr="008014FB">
        <w:rPr>
          <w:lang w:val="en-US"/>
        </w:rPr>
        <w:t xml:space="preserve">Meyer, Leonard B. </w:t>
      </w:r>
      <w:r>
        <w:rPr>
          <w:lang w:val="en-US"/>
        </w:rPr>
        <w:t xml:space="preserve">(1989), </w:t>
      </w:r>
      <w:r w:rsidRPr="00AC2C29">
        <w:rPr>
          <w:i/>
          <w:lang w:val="en-US"/>
        </w:rPr>
        <w:t>Style and Music</w:t>
      </w:r>
      <w:r w:rsidR="000E22D3">
        <w:rPr>
          <w:i/>
          <w:lang w:val="en-US"/>
        </w:rPr>
        <w:t>.</w:t>
      </w:r>
      <w:r w:rsidRPr="00AC2C29">
        <w:rPr>
          <w:i/>
          <w:lang w:val="en-US"/>
        </w:rPr>
        <w:t xml:space="preserve"> Theory, History, and Ideology.</w:t>
      </w:r>
      <w:r>
        <w:rPr>
          <w:lang w:val="en-US"/>
        </w:rPr>
        <w:t xml:space="preserve"> </w:t>
      </w:r>
      <w:r w:rsidRPr="00A826D1">
        <w:rPr>
          <w:lang w:val="en-US"/>
        </w:rPr>
        <w:t>Ch</w:t>
      </w:r>
      <w:r w:rsidRPr="00A826D1">
        <w:rPr>
          <w:lang w:val="en-US"/>
        </w:rPr>
        <w:t>i</w:t>
      </w:r>
      <w:r w:rsidRPr="00A826D1">
        <w:rPr>
          <w:lang w:val="en-US"/>
        </w:rPr>
        <w:t>cago: University of Chicago Press.</w:t>
      </w:r>
    </w:p>
    <w:p w:rsidR="00820C3E" w:rsidRDefault="00820C3E" w:rsidP="009F0669">
      <w:pPr>
        <w:pStyle w:val="Text"/>
        <w:ind w:left="454" w:hanging="454"/>
      </w:pPr>
      <w:r w:rsidRPr="000C3578">
        <w:t xml:space="preserve">Michailow, Matthias (1990), </w:t>
      </w:r>
      <w:r w:rsidRPr="000C3578">
        <w:rPr>
          <w:i/>
        </w:rPr>
        <w:t xml:space="preserve">Lebensstil. </w:t>
      </w:r>
      <w:r w:rsidRPr="00820C3E">
        <w:rPr>
          <w:i/>
        </w:rPr>
        <w:t>Konzeptualisierung einer neuen sozialen Integrationsform.</w:t>
      </w:r>
      <w:r>
        <w:t xml:space="preserve"> Aachen, Technische Hochschule, Diss.</w:t>
      </w:r>
    </w:p>
    <w:p w:rsidR="00C95A89" w:rsidRDefault="00C95A89" w:rsidP="009F0669">
      <w:pPr>
        <w:pStyle w:val="Text"/>
        <w:ind w:left="454" w:hanging="454"/>
      </w:pPr>
      <w:r>
        <w:t>Michel, Georg</w:t>
      </w:r>
      <w:r w:rsidR="00034E12">
        <w:t xml:space="preserve"> </w:t>
      </w:r>
      <w:r>
        <w:t xml:space="preserve">(1968), </w:t>
      </w:r>
      <w:r w:rsidRPr="00C95A89">
        <w:rPr>
          <w:i/>
        </w:rPr>
        <w:t>Einführung in die Methodik der Stiluntersuchung. Ein Lehr- und Übungsbuch für Studierende.</w:t>
      </w:r>
      <w:r>
        <w:t xml:space="preserve"> Berlin: Volk und Wissen.</w:t>
      </w:r>
    </w:p>
    <w:p w:rsidR="00762EB9" w:rsidRDefault="00762EB9" w:rsidP="009F0669">
      <w:pPr>
        <w:pStyle w:val="Text"/>
        <w:ind w:left="454" w:hanging="454"/>
      </w:pPr>
      <w:r>
        <w:t xml:space="preserve">Michel, Georg (1988), „Aktuelle Probleme der Linguostilistik“. </w:t>
      </w:r>
      <w:r w:rsidRPr="00D36DB6">
        <w:rPr>
          <w:i/>
        </w:rPr>
        <w:t>Zeitschrift für Germanistik</w:t>
      </w:r>
      <w:r w:rsidRPr="00D36DB6">
        <w:t xml:space="preserve"> 9,</w:t>
      </w:r>
      <w:r w:rsidR="00D36DB6" w:rsidRPr="00D36DB6">
        <w:t xml:space="preserve"> </w:t>
      </w:r>
      <w:r w:rsidRPr="00D36DB6">
        <w:t>3</w:t>
      </w:r>
      <w:r>
        <w:t>: 291-306.</w:t>
      </w:r>
    </w:p>
    <w:p w:rsidR="00070F48" w:rsidRPr="00517769" w:rsidRDefault="00070F48" w:rsidP="009F0669">
      <w:pPr>
        <w:pStyle w:val="Text"/>
        <w:ind w:left="454" w:hanging="454"/>
        <w:rPr>
          <w:lang w:val="en-US"/>
        </w:rPr>
      </w:pPr>
      <w:r>
        <w:t xml:space="preserve">Mies van der Rohe, Ludwig (1923), </w:t>
      </w:r>
      <w:r w:rsidRPr="00070F48">
        <w:rPr>
          <w:i/>
        </w:rPr>
        <w:t>Bauen.</w:t>
      </w:r>
      <w:r>
        <w:t xml:space="preserve"> </w:t>
      </w:r>
      <w:r w:rsidRPr="00517769">
        <w:rPr>
          <w:lang w:val="en-US"/>
        </w:rPr>
        <w:t xml:space="preserve">In: Neumeyer 2002: </w:t>
      </w:r>
      <w:r w:rsidR="00CA5EC2" w:rsidRPr="00517769">
        <w:rPr>
          <w:lang w:val="en-US"/>
        </w:rPr>
        <w:t>408-409.</w:t>
      </w:r>
    </w:p>
    <w:p w:rsidR="00820C3E" w:rsidRDefault="00820C3E" w:rsidP="009F0669">
      <w:pPr>
        <w:pStyle w:val="Text"/>
        <w:ind w:left="454" w:hanging="454"/>
        <w:rPr>
          <w:lang w:val="en-US"/>
        </w:rPr>
      </w:pPr>
      <w:r w:rsidRPr="00517769">
        <w:rPr>
          <w:lang w:val="en-US"/>
        </w:rPr>
        <w:t xml:space="preserve">Milic, Louis T. (1967), </w:t>
      </w:r>
      <w:r w:rsidR="000E22D3">
        <w:rPr>
          <w:i/>
          <w:lang w:val="en-US"/>
        </w:rPr>
        <w:t>Style and Stylistics.</w:t>
      </w:r>
      <w:r w:rsidRPr="00517769">
        <w:rPr>
          <w:i/>
          <w:lang w:val="en-US"/>
        </w:rPr>
        <w:t xml:space="preserve"> </w:t>
      </w:r>
      <w:r>
        <w:rPr>
          <w:i/>
          <w:lang w:val="en-GB"/>
        </w:rPr>
        <w:t xml:space="preserve">An Analytical Bibliography. </w:t>
      </w:r>
      <w:r w:rsidRPr="00820C3E">
        <w:rPr>
          <w:lang w:val="en-US"/>
        </w:rPr>
        <w:t>New York: The Free Press.</w:t>
      </w:r>
    </w:p>
    <w:p w:rsidR="00F44032" w:rsidRPr="00397C4B" w:rsidRDefault="00F44032" w:rsidP="009F0669">
      <w:pPr>
        <w:pStyle w:val="Text"/>
        <w:ind w:left="454" w:hanging="454"/>
      </w:pPr>
      <w:r>
        <w:rPr>
          <w:lang w:val="en-US"/>
        </w:rPr>
        <w:t xml:space="preserve">Minsky, Marvin (1986), </w:t>
      </w:r>
      <w:r w:rsidRPr="00F44032">
        <w:rPr>
          <w:i/>
          <w:lang w:val="en-US"/>
        </w:rPr>
        <w:t>The Society of Mind.</w:t>
      </w:r>
      <w:r>
        <w:rPr>
          <w:lang w:val="en-US"/>
        </w:rPr>
        <w:t xml:space="preserve"> </w:t>
      </w:r>
      <w:r w:rsidRPr="00397C4B">
        <w:t>New York: Simon &amp; Schuster.</w:t>
      </w:r>
    </w:p>
    <w:p w:rsidR="00EA4CA6" w:rsidRDefault="00EA4CA6" w:rsidP="009F0669">
      <w:pPr>
        <w:pStyle w:val="Text"/>
        <w:ind w:left="454" w:hanging="454"/>
      </w:pPr>
      <w:r w:rsidRPr="00EA4CA6">
        <w:t xml:space="preserve">Möbius, Friedrich (1984), </w:t>
      </w:r>
      <w:r>
        <w:t xml:space="preserve">„Stil als Kategorie der Kunsthistoriographie“. In: Ders. (Hg.), </w:t>
      </w:r>
      <w:r w:rsidRPr="00EA4CA6">
        <w:rPr>
          <w:i/>
        </w:rPr>
        <w:t>Stil und Gesellschaft. Ein Problemaufriss.</w:t>
      </w:r>
      <w:r>
        <w:t xml:space="preserve"> Dresden: VEB Verlag der Kunst. 8-50.</w:t>
      </w:r>
    </w:p>
    <w:p w:rsidR="00EF5FD4" w:rsidRPr="009D549F" w:rsidRDefault="00EF5FD4" w:rsidP="009F0669">
      <w:pPr>
        <w:pStyle w:val="Text"/>
        <w:ind w:left="454" w:hanging="454"/>
      </w:pPr>
      <w:r w:rsidRPr="00EA4CA6">
        <w:t xml:space="preserve">Möbius, </w:t>
      </w:r>
      <w:r>
        <w:t>Friedrich (1989</w:t>
      </w:r>
      <w:r w:rsidRPr="00EA4CA6">
        <w:t>),</w:t>
      </w:r>
      <w:r>
        <w:t xml:space="preserve"> „Die Zeit in der Kunst – Kunst in der Zeit. Zur M</w:t>
      </w:r>
      <w:r>
        <w:t>e</w:t>
      </w:r>
      <w:r>
        <w:t xml:space="preserve">thodologie </w:t>
      </w:r>
      <w:r w:rsidR="000E22D3">
        <w:t>d</w:t>
      </w:r>
      <w:r>
        <w:t xml:space="preserve">er Kunstgeschichtsschreibung“. In: Ders. und Helga Sciurie (Hg.), </w:t>
      </w:r>
      <w:r w:rsidRPr="00EF5FD4">
        <w:rPr>
          <w:i/>
        </w:rPr>
        <w:t xml:space="preserve">Stil und Epoche. </w:t>
      </w:r>
      <w:r w:rsidRPr="009D549F">
        <w:rPr>
          <w:i/>
        </w:rPr>
        <w:t>Periodisierungsfragen.</w:t>
      </w:r>
      <w:r w:rsidRPr="009D549F">
        <w:t xml:space="preserve"> Dresden: </w:t>
      </w:r>
      <w:r w:rsidR="003A25D1" w:rsidRPr="009D549F">
        <w:t>Verlag der Kunst</w:t>
      </w:r>
      <w:r w:rsidRPr="009D549F">
        <w:t>. 13-66.</w:t>
      </w:r>
    </w:p>
    <w:p w:rsidR="00CE6E98" w:rsidRPr="00817668" w:rsidRDefault="00CE6E98" w:rsidP="009F0669">
      <w:pPr>
        <w:pStyle w:val="Text"/>
        <w:ind w:left="454" w:hanging="454"/>
      </w:pPr>
      <w:r w:rsidRPr="00817668">
        <w:t xml:space="preserve">Montague, Richard (1970), „Universal Grammar“. </w:t>
      </w:r>
      <w:r w:rsidRPr="00817668">
        <w:rPr>
          <w:i/>
        </w:rPr>
        <w:t>Theoria</w:t>
      </w:r>
      <w:r w:rsidRPr="00817668">
        <w:t xml:space="preserve"> 36: 373-398.</w:t>
      </w:r>
    </w:p>
    <w:p w:rsidR="00CE6E98" w:rsidRPr="00607AF0" w:rsidRDefault="00CE6E98" w:rsidP="009F0669">
      <w:pPr>
        <w:pStyle w:val="Text"/>
        <w:ind w:left="454" w:hanging="454"/>
        <w:rPr>
          <w:lang w:val="en-US"/>
        </w:rPr>
      </w:pPr>
      <w:r>
        <w:rPr>
          <w:lang w:val="en-US"/>
        </w:rPr>
        <w:t>Montague, Richard (1973</w:t>
      </w:r>
      <w:r w:rsidRPr="00CE6E98">
        <w:rPr>
          <w:lang w:val="en-US"/>
        </w:rPr>
        <w:t>), „T</w:t>
      </w:r>
      <w:r w:rsidR="00194010">
        <w:rPr>
          <w:lang w:val="en-US"/>
        </w:rPr>
        <w:t>he Proper Treatment of Quantific</w:t>
      </w:r>
      <w:r w:rsidRPr="00CE6E98">
        <w:rPr>
          <w:lang w:val="en-US"/>
        </w:rPr>
        <w:t>ation in Ord</w:t>
      </w:r>
      <w:r w:rsidRPr="00CE6E98">
        <w:rPr>
          <w:lang w:val="en-US"/>
        </w:rPr>
        <w:t>i</w:t>
      </w:r>
      <w:r w:rsidRPr="00CE6E98">
        <w:rPr>
          <w:lang w:val="en-US"/>
        </w:rPr>
        <w:t xml:space="preserve">nary English“. </w:t>
      </w:r>
      <w:r>
        <w:rPr>
          <w:lang w:val="en-US"/>
        </w:rPr>
        <w:t xml:space="preserve">In. Hintikka, Jaakko u.a. (Hg.), </w:t>
      </w:r>
      <w:r w:rsidRPr="00CE6E98">
        <w:rPr>
          <w:i/>
          <w:lang w:val="en-US"/>
        </w:rPr>
        <w:t>Approaches to Natural La</w:t>
      </w:r>
      <w:r w:rsidRPr="00CE6E98">
        <w:rPr>
          <w:i/>
          <w:lang w:val="en-US"/>
        </w:rPr>
        <w:t>n</w:t>
      </w:r>
      <w:r w:rsidRPr="00CE6E98">
        <w:rPr>
          <w:i/>
          <w:lang w:val="en-US"/>
        </w:rPr>
        <w:t>guage</w:t>
      </w:r>
      <w:r w:rsidR="00194010">
        <w:rPr>
          <w:i/>
          <w:lang w:val="en-US"/>
        </w:rPr>
        <w:t>.</w:t>
      </w:r>
      <w:r w:rsidRPr="00CE6E98">
        <w:rPr>
          <w:i/>
          <w:lang w:val="en-US"/>
        </w:rPr>
        <w:t xml:space="preserve"> Proceedings of the 1970 Standford Workshop on Grammar and Sema</w:t>
      </w:r>
      <w:r w:rsidRPr="00CE6E98">
        <w:rPr>
          <w:i/>
          <w:lang w:val="en-US"/>
        </w:rPr>
        <w:t>n</w:t>
      </w:r>
      <w:r w:rsidRPr="00CE6E98">
        <w:rPr>
          <w:i/>
          <w:lang w:val="en-US"/>
        </w:rPr>
        <w:t>tics.</w:t>
      </w:r>
      <w:r>
        <w:rPr>
          <w:lang w:val="en-US"/>
        </w:rPr>
        <w:t xml:space="preserve"> </w:t>
      </w:r>
      <w:r w:rsidRPr="00607AF0">
        <w:rPr>
          <w:lang w:val="en-US"/>
        </w:rPr>
        <w:t>Dordrecht u.a.: Reidel. 221-242.</w:t>
      </w:r>
    </w:p>
    <w:p w:rsidR="00CE6E98" w:rsidRPr="00CF6A86" w:rsidRDefault="00CE6E98" w:rsidP="009F0669">
      <w:pPr>
        <w:pStyle w:val="Text"/>
        <w:ind w:left="454" w:hanging="454"/>
      </w:pPr>
      <w:r w:rsidRPr="00607AF0">
        <w:rPr>
          <w:lang w:val="en-US"/>
        </w:rPr>
        <w:t xml:space="preserve">Montague, Richard (1974), </w:t>
      </w:r>
      <w:r w:rsidR="00A01D7C">
        <w:rPr>
          <w:i/>
          <w:lang w:val="en-US"/>
        </w:rPr>
        <w:t>Formal Philosophy</w:t>
      </w:r>
      <w:r w:rsidR="00194010">
        <w:rPr>
          <w:i/>
          <w:lang w:val="en-US"/>
        </w:rPr>
        <w:t>.</w:t>
      </w:r>
      <w:r w:rsidRPr="00607AF0">
        <w:rPr>
          <w:i/>
          <w:lang w:val="en-US"/>
        </w:rPr>
        <w:t xml:space="preserve"> </w:t>
      </w:r>
      <w:r w:rsidRPr="00C02769">
        <w:rPr>
          <w:i/>
          <w:lang w:val="en-US"/>
        </w:rPr>
        <w:t>Selected Papers of Richard Mont</w:t>
      </w:r>
      <w:r w:rsidRPr="00C02769">
        <w:rPr>
          <w:i/>
          <w:lang w:val="en-US"/>
        </w:rPr>
        <w:t>a</w:t>
      </w:r>
      <w:r w:rsidRPr="00C02769">
        <w:rPr>
          <w:i/>
          <w:lang w:val="en-US"/>
        </w:rPr>
        <w:t>gue.</w:t>
      </w:r>
      <w:r w:rsidRPr="00CE6E98">
        <w:rPr>
          <w:lang w:val="en-US"/>
        </w:rPr>
        <w:t xml:space="preserve"> </w:t>
      </w:r>
      <w:r>
        <w:rPr>
          <w:lang w:val="en-US"/>
        </w:rPr>
        <w:t>Edited an</w:t>
      </w:r>
      <w:r w:rsidR="00C02769">
        <w:rPr>
          <w:lang w:val="en-US"/>
        </w:rPr>
        <w:t>d</w:t>
      </w:r>
      <w:r>
        <w:rPr>
          <w:lang w:val="en-US"/>
        </w:rPr>
        <w:t xml:space="preserve"> with an </w:t>
      </w:r>
      <w:r w:rsidR="00551563">
        <w:rPr>
          <w:lang w:val="en-US"/>
        </w:rPr>
        <w:t>i</w:t>
      </w:r>
      <w:r>
        <w:rPr>
          <w:lang w:val="en-US"/>
        </w:rPr>
        <w:t xml:space="preserve">ntroduction by R.H. Thomason. </w:t>
      </w:r>
      <w:r w:rsidRPr="00CF6A86">
        <w:t xml:space="preserve">New Haven: </w:t>
      </w:r>
      <w:r w:rsidR="007B780C" w:rsidRPr="00CF6A86">
        <w:t>Yale University Press.</w:t>
      </w:r>
    </w:p>
    <w:p w:rsidR="00BE6B05" w:rsidRPr="00AF6892" w:rsidRDefault="00BE6B05" w:rsidP="009F0669">
      <w:pPr>
        <w:pStyle w:val="Text"/>
        <w:ind w:left="454" w:hanging="454"/>
        <w:rPr>
          <w:lang w:val="en-US"/>
        </w:rPr>
      </w:pPr>
      <w:r w:rsidRPr="00A826D1">
        <w:t>Moritz, Karl Philipp (1793), „Vorlesun</w:t>
      </w:r>
      <w:r>
        <w:t>gen über den Stil. Erster Teil“. In: Ders.</w:t>
      </w:r>
      <w:r w:rsidR="00E65584">
        <w:t xml:space="preserve"> (</w:t>
      </w:r>
      <w:r w:rsidR="00E65584" w:rsidRPr="00A826D1">
        <w:t>1981</w:t>
      </w:r>
      <w:r w:rsidR="00E65584">
        <w:t>)</w:t>
      </w:r>
      <w:r>
        <w:t xml:space="preserve">, </w:t>
      </w:r>
      <w:r w:rsidRPr="00BE6B05">
        <w:rPr>
          <w:i/>
        </w:rPr>
        <w:t>Werke.</w:t>
      </w:r>
      <w:r w:rsidR="003A25D1">
        <w:t xml:space="preserve"> Hg. von Horst Günther. Bd. 3: </w:t>
      </w:r>
      <w:r w:rsidR="003A25D1" w:rsidRPr="003A25D1">
        <w:rPr>
          <w:i/>
        </w:rPr>
        <w:t>Erfahrung, Sprache, Denken.</w:t>
      </w:r>
      <w:r>
        <w:t xml:space="preserve"> </w:t>
      </w:r>
      <w:r w:rsidRPr="002D53E0">
        <w:rPr>
          <w:lang w:val="en-US"/>
        </w:rPr>
        <w:t xml:space="preserve">Frankfurt a.M.: </w:t>
      </w:r>
      <w:r w:rsidR="003A25D1" w:rsidRPr="002D53E0">
        <w:rPr>
          <w:lang w:val="en-US"/>
        </w:rPr>
        <w:t>Insel</w:t>
      </w:r>
      <w:r w:rsidRPr="002D53E0">
        <w:rPr>
          <w:lang w:val="en-US"/>
        </w:rPr>
        <w:t xml:space="preserve">. </w:t>
      </w:r>
      <w:r w:rsidRPr="00AF6892">
        <w:rPr>
          <w:lang w:val="en-US"/>
        </w:rPr>
        <w:t>585-699.</w:t>
      </w:r>
    </w:p>
    <w:p w:rsidR="007A5643" w:rsidRDefault="007A5643" w:rsidP="009F0669">
      <w:pPr>
        <w:pStyle w:val="Text"/>
        <w:ind w:left="454" w:hanging="454"/>
        <w:rPr>
          <w:lang w:val="en-US"/>
        </w:rPr>
      </w:pPr>
      <w:r w:rsidRPr="007A5643">
        <w:rPr>
          <w:lang w:val="en-US"/>
        </w:rPr>
        <w:lastRenderedPageBreak/>
        <w:t xml:space="preserve">Morris, Charles W. (1946), </w:t>
      </w:r>
      <w:r w:rsidRPr="007A5643">
        <w:rPr>
          <w:i/>
          <w:lang w:val="en-US"/>
        </w:rPr>
        <w:t>Signs, Language, and Behavior</w:t>
      </w:r>
      <w:r>
        <w:rPr>
          <w:lang w:val="en-US"/>
        </w:rPr>
        <w:t xml:space="preserve">. New York: Prentice Hall. (2. Aufl. </w:t>
      </w:r>
      <w:r w:rsidR="00FF140C">
        <w:rPr>
          <w:lang w:val="en-US"/>
        </w:rPr>
        <w:t xml:space="preserve">1955: </w:t>
      </w:r>
      <w:r>
        <w:rPr>
          <w:lang w:val="en-US"/>
        </w:rPr>
        <w:t>New York: Braziller.)</w:t>
      </w:r>
    </w:p>
    <w:p w:rsidR="00FF140C" w:rsidRPr="00FF140C" w:rsidRDefault="00FF140C" w:rsidP="009F0669">
      <w:pPr>
        <w:pStyle w:val="Text"/>
        <w:ind w:left="454" w:hanging="454"/>
      </w:pPr>
      <w:r>
        <w:rPr>
          <w:lang w:val="en-US"/>
        </w:rPr>
        <w:t xml:space="preserve">Morris, Charles W. (1971), </w:t>
      </w:r>
      <w:r w:rsidRPr="00FF140C">
        <w:rPr>
          <w:i/>
          <w:lang w:val="en-US"/>
        </w:rPr>
        <w:t>Writings on the General Theory of Signs.</w:t>
      </w:r>
      <w:r>
        <w:rPr>
          <w:lang w:val="en-US"/>
        </w:rPr>
        <w:t xml:space="preserve"> </w:t>
      </w:r>
      <w:r w:rsidRPr="00FF140C">
        <w:t xml:space="preserve">Hg. </w:t>
      </w:r>
      <w:r w:rsidR="0013011C">
        <w:t xml:space="preserve">von </w:t>
      </w:r>
      <w:r w:rsidRPr="00FF140C">
        <w:t>Thomas A. Sebeok. Den Haag u.</w:t>
      </w:r>
      <w:r>
        <w:t>a.</w:t>
      </w:r>
      <w:r w:rsidRPr="00FF140C">
        <w:t>: Mouton.</w:t>
      </w:r>
    </w:p>
    <w:p w:rsidR="00DF092E" w:rsidRPr="00C644E3" w:rsidRDefault="00DF092E" w:rsidP="009F0669">
      <w:pPr>
        <w:pStyle w:val="Text"/>
        <w:ind w:left="454" w:hanging="454"/>
      </w:pPr>
      <w:r>
        <w:t xml:space="preserve">Motte-Haber, Helga </w:t>
      </w:r>
      <w:r w:rsidR="003D3267">
        <w:t xml:space="preserve">de la </w:t>
      </w:r>
      <w:r>
        <w:t xml:space="preserve">(1977), „Komplementarität von Sprache, Bild und Musik – am Beispiel des Spielfilms“. In: Roland Posner und Hans-Peter Reinecke (Hg.), </w:t>
      </w:r>
      <w:r w:rsidRPr="00DF092E">
        <w:rPr>
          <w:i/>
        </w:rPr>
        <w:t>Zeich</w:t>
      </w:r>
      <w:r>
        <w:rPr>
          <w:i/>
        </w:rPr>
        <w:t>e</w:t>
      </w:r>
      <w:r w:rsidRPr="00DF092E">
        <w:rPr>
          <w:i/>
        </w:rPr>
        <w:t>nprozesse. Semiotische Forschung in den Einzelwi</w:t>
      </w:r>
      <w:r w:rsidRPr="00DF092E">
        <w:rPr>
          <w:i/>
        </w:rPr>
        <w:t>s</w:t>
      </w:r>
      <w:r w:rsidRPr="00DF092E">
        <w:rPr>
          <w:i/>
        </w:rPr>
        <w:t>senschaften.</w:t>
      </w:r>
      <w:r>
        <w:t xml:space="preserve"> Wiesbaden: Athenaion. 146-154.</w:t>
      </w:r>
    </w:p>
    <w:p w:rsidR="000E3090" w:rsidRDefault="000E3090" w:rsidP="009F0669">
      <w:pPr>
        <w:pStyle w:val="Text"/>
        <w:ind w:left="454" w:hanging="454"/>
      </w:pPr>
      <w:r w:rsidRPr="00607AF0">
        <w:t>Muka</w:t>
      </w:r>
      <w:r w:rsidR="00534BF7" w:rsidRPr="0032272F">
        <w:rPr>
          <w:rFonts w:ascii="Times New Roman" w:hAnsi="Times New Roman" w:cs="Times New Roman"/>
        </w:rPr>
        <w:t>ř</w:t>
      </w:r>
      <w:r w:rsidRPr="00607AF0">
        <w:t xml:space="preserve">ovský, Jan (1974), </w:t>
      </w:r>
      <w:r w:rsidRPr="00607AF0">
        <w:rPr>
          <w:i/>
          <w:iCs/>
        </w:rPr>
        <w:t>Studien zur strukturalistischen Ästheti</w:t>
      </w:r>
      <w:r w:rsidRPr="00CE6E98">
        <w:rPr>
          <w:i/>
          <w:iCs/>
        </w:rPr>
        <w:t>k und Poetik</w:t>
      </w:r>
      <w:r w:rsidRPr="00CE6E98">
        <w:t>. Münch</w:t>
      </w:r>
      <w:r w:rsidRPr="00607AF0">
        <w:t>en: Hanser.</w:t>
      </w:r>
    </w:p>
    <w:p w:rsidR="005560FA" w:rsidRDefault="005560FA" w:rsidP="009F0669">
      <w:pPr>
        <w:pStyle w:val="Text"/>
        <w:ind w:left="454" w:hanging="454"/>
      </w:pPr>
      <w:r>
        <w:t xml:space="preserve">Müller, Wolfgang G. (1981), </w:t>
      </w:r>
      <w:r w:rsidRPr="005560FA">
        <w:rPr>
          <w:i/>
        </w:rPr>
        <w:t>Topik des Stilbegriffs. Zur Geschichte des Stilve</w:t>
      </w:r>
      <w:r w:rsidRPr="005560FA">
        <w:rPr>
          <w:i/>
        </w:rPr>
        <w:t>r</w:t>
      </w:r>
      <w:r w:rsidRPr="005560FA">
        <w:rPr>
          <w:i/>
        </w:rPr>
        <w:t>ständnisses von der Antike bis zur Gegenwart.</w:t>
      </w:r>
      <w:r>
        <w:t xml:space="preserve"> Darmstadt: Wissenschaftliche Buchgesellschaft.</w:t>
      </w:r>
    </w:p>
    <w:p w:rsidR="0014017E" w:rsidRPr="000F7A55" w:rsidRDefault="0014017E" w:rsidP="009F0669">
      <w:pPr>
        <w:pStyle w:val="Text"/>
        <w:ind w:left="454" w:hanging="454"/>
      </w:pPr>
      <w:r>
        <w:t xml:space="preserve">Müller, Wolfgang G. (2009), „Epochenstil/Zeitstil“. </w:t>
      </w:r>
      <w:r w:rsidRPr="000F7A55">
        <w:t>Fix u.a. 2008–2009</w:t>
      </w:r>
      <w:r w:rsidR="009D2CB4" w:rsidRPr="000F7A55">
        <w:t>, Bd. 2:</w:t>
      </w:r>
      <w:r w:rsidRPr="000F7A55">
        <w:t xml:space="preserve"> 1271-1285.</w:t>
      </w:r>
    </w:p>
    <w:p w:rsidR="006D042E" w:rsidRDefault="006D042E" w:rsidP="009F0669">
      <w:pPr>
        <w:pStyle w:val="Text"/>
        <w:ind w:left="454" w:hanging="454"/>
        <w:rPr>
          <w:lang w:val="en-US"/>
        </w:rPr>
      </w:pPr>
      <w:r w:rsidRPr="00B96CA1">
        <w:rPr>
          <w:lang w:val="en-US"/>
        </w:rPr>
        <w:t xml:space="preserve">Munch, Anders V. (2005), </w:t>
      </w:r>
      <w:r w:rsidRPr="00B96CA1">
        <w:rPr>
          <w:i/>
          <w:lang w:val="en-US"/>
        </w:rPr>
        <w:t>Der stillose Stil. Adolf Loos.</w:t>
      </w:r>
      <w:r w:rsidRPr="00B96CA1">
        <w:rPr>
          <w:lang w:val="en-US"/>
        </w:rPr>
        <w:t xml:space="preserve"> München: Fink.</w:t>
      </w:r>
    </w:p>
    <w:p w:rsidR="009D6D45" w:rsidRDefault="009D6D45" w:rsidP="009F0669">
      <w:pPr>
        <w:pStyle w:val="Text"/>
        <w:ind w:left="454" w:hanging="454"/>
        <w:rPr>
          <w:lang w:val="en-US"/>
        </w:rPr>
      </w:pPr>
      <w:r>
        <w:rPr>
          <w:lang w:val="en-US"/>
        </w:rPr>
        <w:t xml:space="preserve">Muzzulini, </w:t>
      </w:r>
      <w:r w:rsidRPr="009D6D45">
        <w:rPr>
          <w:lang w:val="en-US"/>
        </w:rPr>
        <w:t xml:space="preserve">Daniel (1995), „Musical Modulation by Symmetries“. </w:t>
      </w:r>
      <w:r w:rsidRPr="009D6D45">
        <w:rPr>
          <w:i/>
          <w:iCs/>
          <w:lang w:val="en-US"/>
        </w:rPr>
        <w:t>Journal of M</w:t>
      </w:r>
      <w:r w:rsidRPr="009D6D45">
        <w:rPr>
          <w:i/>
          <w:iCs/>
          <w:lang w:val="en-US"/>
        </w:rPr>
        <w:t>u</w:t>
      </w:r>
      <w:r w:rsidRPr="009D6D45">
        <w:rPr>
          <w:i/>
          <w:iCs/>
          <w:lang w:val="en-US"/>
        </w:rPr>
        <w:t>sic Theory</w:t>
      </w:r>
      <w:r>
        <w:rPr>
          <w:lang w:val="en-US"/>
        </w:rPr>
        <w:t xml:space="preserve"> 39: </w:t>
      </w:r>
      <w:r w:rsidRPr="009D6D45">
        <w:rPr>
          <w:lang w:val="en-US"/>
        </w:rPr>
        <w:t>311</w:t>
      </w:r>
      <w:r w:rsidR="004F73D3">
        <w:rPr>
          <w:lang w:val="en-US"/>
        </w:rPr>
        <w:t>-</w:t>
      </w:r>
      <w:r w:rsidRPr="009D6D45">
        <w:rPr>
          <w:lang w:val="en-US"/>
        </w:rPr>
        <w:t>325.</w:t>
      </w:r>
    </w:p>
    <w:p w:rsidR="00F378E0" w:rsidRPr="000F7A55" w:rsidRDefault="00F378E0" w:rsidP="009F0669">
      <w:pPr>
        <w:pStyle w:val="Text"/>
        <w:ind w:left="454" w:hanging="454"/>
        <w:rPr>
          <w:lang w:val="en-US"/>
        </w:rPr>
      </w:pPr>
      <w:r>
        <w:rPr>
          <w:lang w:val="en-US"/>
        </w:rPr>
        <w:t>Naur, Peter (1975</w:t>
      </w:r>
      <w:r w:rsidRPr="00F52BB0">
        <w:rPr>
          <w:lang w:val="en-US"/>
        </w:rPr>
        <w:t>),</w:t>
      </w:r>
      <w:r>
        <w:rPr>
          <w:lang w:val="en-US"/>
        </w:rPr>
        <w:t xml:space="preserve"> </w:t>
      </w:r>
      <w:r w:rsidRPr="00F52BB0">
        <w:rPr>
          <w:lang w:val="en-US"/>
        </w:rPr>
        <w:t>„</w:t>
      </w:r>
      <w:r w:rsidRPr="00F378E0">
        <w:rPr>
          <w:lang w:val="en-US"/>
        </w:rPr>
        <w:t xml:space="preserve">Programming </w:t>
      </w:r>
      <w:r>
        <w:rPr>
          <w:lang w:val="en-US"/>
        </w:rPr>
        <w:t>L</w:t>
      </w:r>
      <w:r w:rsidRPr="00F378E0">
        <w:rPr>
          <w:lang w:val="en-US"/>
        </w:rPr>
        <w:t xml:space="preserve">anguages, </w:t>
      </w:r>
      <w:r>
        <w:rPr>
          <w:lang w:val="en-US"/>
        </w:rPr>
        <w:t>N</w:t>
      </w:r>
      <w:r w:rsidRPr="00F378E0">
        <w:rPr>
          <w:lang w:val="en-US"/>
        </w:rPr>
        <w:t xml:space="preserve">atural </w:t>
      </w:r>
      <w:r>
        <w:rPr>
          <w:lang w:val="en-US"/>
        </w:rPr>
        <w:t>L</w:t>
      </w:r>
      <w:r w:rsidRPr="00F378E0">
        <w:rPr>
          <w:lang w:val="en-US"/>
        </w:rPr>
        <w:t xml:space="preserve">anguages, and </w:t>
      </w:r>
      <w:r>
        <w:rPr>
          <w:lang w:val="en-US"/>
        </w:rPr>
        <w:t>M</w:t>
      </w:r>
      <w:r w:rsidRPr="00F378E0">
        <w:rPr>
          <w:lang w:val="en-US"/>
        </w:rPr>
        <w:t>ath</w:t>
      </w:r>
      <w:r w:rsidRPr="00F378E0">
        <w:rPr>
          <w:lang w:val="en-US"/>
        </w:rPr>
        <w:t>e</w:t>
      </w:r>
      <w:r w:rsidRPr="00F378E0">
        <w:rPr>
          <w:lang w:val="en-US"/>
        </w:rPr>
        <w:t>matics</w:t>
      </w:r>
      <w:r w:rsidRPr="00F52BB0">
        <w:rPr>
          <w:lang w:val="en-US"/>
        </w:rPr>
        <w:t>“</w:t>
      </w:r>
      <w:r>
        <w:rPr>
          <w:lang w:val="en-US"/>
        </w:rPr>
        <w:t xml:space="preserve">. </w:t>
      </w:r>
      <w:r w:rsidRPr="00F378E0">
        <w:rPr>
          <w:i/>
          <w:lang w:val="en-US"/>
        </w:rPr>
        <w:t>Communications of the ACM</w:t>
      </w:r>
      <w:r>
        <w:rPr>
          <w:lang w:val="en-US"/>
        </w:rPr>
        <w:t xml:space="preserve"> 18, 12: 676-683.</w:t>
      </w:r>
      <w:r w:rsidR="00735132">
        <w:rPr>
          <w:lang w:val="en-US"/>
        </w:rPr>
        <w:t xml:space="preserve"> </w:t>
      </w:r>
      <w:r w:rsidR="00735132" w:rsidRPr="000F7A55">
        <w:rPr>
          <w:lang w:val="en-US"/>
        </w:rPr>
        <w:t>Online unter: http://dl.acm.org/citation.cfm?doid=361227.361229; Einsicht am 16.04.2012.</w:t>
      </w:r>
    </w:p>
    <w:p w:rsidR="00F52BB0" w:rsidRPr="009B4EC7" w:rsidRDefault="00F52BB0" w:rsidP="009F0669">
      <w:pPr>
        <w:pStyle w:val="Text"/>
        <w:ind w:left="454" w:hanging="454"/>
        <w:rPr>
          <w:lang w:val="en-US"/>
        </w:rPr>
      </w:pPr>
      <w:r w:rsidRPr="00F52BB0">
        <w:rPr>
          <w:lang w:val="en-US"/>
        </w:rPr>
        <w:t>Naur, Peter (1985), „Programming as Theory Building“.</w:t>
      </w:r>
      <w:r>
        <w:rPr>
          <w:lang w:val="en-US"/>
        </w:rPr>
        <w:t xml:space="preserve"> </w:t>
      </w:r>
      <w:r w:rsidRPr="00B96CA1">
        <w:rPr>
          <w:i/>
          <w:lang w:val="en-US"/>
        </w:rPr>
        <w:t xml:space="preserve">Microprocessing and Microprogramming </w:t>
      </w:r>
      <w:r w:rsidRPr="00B96CA1">
        <w:rPr>
          <w:lang w:val="en-US"/>
        </w:rPr>
        <w:t xml:space="preserve">15: 253-261. </w:t>
      </w:r>
      <w:r w:rsidR="00D60B41">
        <w:rPr>
          <w:lang w:val="en-US"/>
        </w:rPr>
        <w:t xml:space="preserve">Erneut </w:t>
      </w:r>
      <w:r w:rsidR="001A463E" w:rsidRPr="00B96CA1">
        <w:rPr>
          <w:lang w:val="en-US"/>
        </w:rPr>
        <w:t>in</w:t>
      </w:r>
      <w:r w:rsidRPr="00B96CA1">
        <w:rPr>
          <w:lang w:val="en-US"/>
        </w:rPr>
        <w:t>: Ders.</w:t>
      </w:r>
      <w:r w:rsidR="00D60B41">
        <w:rPr>
          <w:lang w:val="en-US"/>
        </w:rPr>
        <w:t xml:space="preserve"> (1992)</w:t>
      </w:r>
      <w:r w:rsidRPr="00B96CA1">
        <w:rPr>
          <w:lang w:val="en-US"/>
        </w:rPr>
        <w:t xml:space="preserve">, </w:t>
      </w:r>
      <w:r w:rsidRPr="00B96CA1">
        <w:rPr>
          <w:i/>
          <w:lang w:val="en-US"/>
        </w:rPr>
        <w:t>Computing</w:t>
      </w:r>
      <w:r w:rsidR="00551563">
        <w:rPr>
          <w:i/>
          <w:lang w:val="en-US"/>
        </w:rPr>
        <w:t>.</w:t>
      </w:r>
      <w:r w:rsidRPr="00B96CA1">
        <w:rPr>
          <w:i/>
          <w:lang w:val="en-US"/>
        </w:rPr>
        <w:t xml:space="preserve"> A Human Activity.</w:t>
      </w:r>
      <w:r w:rsidRPr="00B96CA1">
        <w:rPr>
          <w:lang w:val="en-US"/>
        </w:rPr>
        <w:t xml:space="preserve"> </w:t>
      </w:r>
      <w:r w:rsidRPr="009B4EC7">
        <w:rPr>
          <w:lang w:val="en-US"/>
        </w:rPr>
        <w:t>New York: ACM. 37-49.</w:t>
      </w:r>
    </w:p>
    <w:p w:rsidR="00CA5EC2" w:rsidRPr="009D549F" w:rsidRDefault="00CA5EC2" w:rsidP="009F0669">
      <w:pPr>
        <w:pStyle w:val="Text"/>
        <w:ind w:left="454" w:hanging="454"/>
      </w:pPr>
      <w:r w:rsidRPr="00BD6313">
        <w:rPr>
          <w:lang w:val="en-US"/>
        </w:rPr>
        <w:t>Neumeyer, Fritz (Hg.)</w:t>
      </w:r>
      <w:r w:rsidR="003A6F8A" w:rsidRPr="00BD6313">
        <w:rPr>
          <w:lang w:val="en-US"/>
        </w:rPr>
        <w:t xml:space="preserve"> </w:t>
      </w:r>
      <w:r w:rsidR="003A6F8A" w:rsidRPr="009D549F">
        <w:t>(2002)</w:t>
      </w:r>
      <w:r w:rsidRPr="009D549F">
        <w:t xml:space="preserve">, </w:t>
      </w:r>
      <w:r w:rsidRPr="009D549F">
        <w:rPr>
          <w:i/>
        </w:rPr>
        <w:t>Quellentexte zur Architekturtheorie.</w:t>
      </w:r>
      <w:r w:rsidRPr="009D549F">
        <w:t xml:space="preserve"> München u.a.: Prestel.</w:t>
      </w:r>
    </w:p>
    <w:p w:rsidR="00CB5838" w:rsidRDefault="00CB5838" w:rsidP="009F0669">
      <w:pPr>
        <w:pStyle w:val="Text"/>
        <w:ind w:left="454" w:hanging="454"/>
      </w:pPr>
      <w:r w:rsidRPr="009D549F">
        <w:t xml:space="preserve">Nickl, Peter (2001), </w:t>
      </w:r>
      <w:r w:rsidRPr="009D549F">
        <w:rPr>
          <w:i/>
          <w:iCs/>
        </w:rPr>
        <w:t>Ordnun</w:t>
      </w:r>
      <w:r>
        <w:rPr>
          <w:i/>
          <w:iCs/>
        </w:rPr>
        <w:t>g der Gefühle. Studien zum Begriff des Habitus.</w:t>
      </w:r>
      <w:r>
        <w:t xml:space="preserve"> Hamburg: Meiner.</w:t>
      </w:r>
    </w:p>
    <w:p w:rsidR="00270655" w:rsidRPr="002D3323" w:rsidRDefault="00270655" w:rsidP="009F0669">
      <w:pPr>
        <w:pStyle w:val="Text"/>
        <w:ind w:left="454" w:hanging="454"/>
      </w:pPr>
      <w:r>
        <w:t xml:space="preserve">Nietzsche, </w:t>
      </w:r>
      <w:r w:rsidR="006420C7">
        <w:t>Friedrich (</w:t>
      </w:r>
      <w:r w:rsidR="00EE2E8A">
        <w:t>1874),</w:t>
      </w:r>
      <w:r w:rsidR="00D90FC6">
        <w:t xml:space="preserve"> </w:t>
      </w:r>
      <w:r w:rsidR="00D90FC6" w:rsidRPr="00D90FC6">
        <w:rPr>
          <w:i/>
          <w:iCs/>
        </w:rPr>
        <w:t>Unzeitgemässe Betrachtungen. Zweites Stück: V</w:t>
      </w:r>
      <w:r w:rsidR="00EE2E8A" w:rsidRPr="00D90FC6">
        <w:rPr>
          <w:i/>
        </w:rPr>
        <w:t>om Nutzen und Nachtheil der Historie für das Leben.</w:t>
      </w:r>
      <w:r w:rsidR="00EE2E8A">
        <w:t xml:space="preserve"> </w:t>
      </w:r>
      <w:r w:rsidR="00D90FC6">
        <w:t xml:space="preserve">Leipzig: Fritzsch. Online unter: </w:t>
      </w:r>
      <w:r w:rsidR="0056440C" w:rsidRPr="0056440C">
        <w:t>http://gutenberg.spiegel.de/buch/3244/14</w:t>
      </w:r>
      <w:r w:rsidR="00131E92">
        <w:t xml:space="preserve">; Einsicht am </w:t>
      </w:r>
      <w:r w:rsidR="0056440C">
        <w:t>18</w:t>
      </w:r>
      <w:r w:rsidR="00131E92">
        <w:t>.0</w:t>
      </w:r>
      <w:r w:rsidR="0056440C">
        <w:t>1</w:t>
      </w:r>
      <w:r w:rsidR="00131E92">
        <w:t>.201</w:t>
      </w:r>
      <w:r w:rsidR="0056440C">
        <w:t>2</w:t>
      </w:r>
      <w:r w:rsidR="00131E92">
        <w:t>.</w:t>
      </w:r>
    </w:p>
    <w:p w:rsidR="00D2554C" w:rsidRPr="00973494" w:rsidRDefault="00D2554C" w:rsidP="009F0669">
      <w:pPr>
        <w:pStyle w:val="Text"/>
        <w:ind w:left="454" w:hanging="454"/>
        <w:rPr>
          <w:lang w:val="en-US"/>
        </w:rPr>
      </w:pPr>
      <w:r>
        <w:t xml:space="preserve">Nischik, Reingard M. (1991), </w:t>
      </w:r>
      <w:r>
        <w:rPr>
          <w:i/>
          <w:iCs/>
        </w:rPr>
        <w:t>Mentalstilistik. Ein Beitrag zu Stiltheorie und Na</w:t>
      </w:r>
      <w:r>
        <w:rPr>
          <w:i/>
          <w:iCs/>
        </w:rPr>
        <w:t>r</w:t>
      </w:r>
      <w:r>
        <w:rPr>
          <w:i/>
          <w:iCs/>
        </w:rPr>
        <w:t xml:space="preserve">rativik, dargestellt am Erzählwerk Margaret Atwoods. </w:t>
      </w:r>
      <w:r w:rsidRPr="00973494">
        <w:rPr>
          <w:lang w:val="en-US"/>
        </w:rPr>
        <w:t>Tübingen: Narr. Zugl.: Köln, Univ., Habil.</w:t>
      </w:r>
    </w:p>
    <w:p w:rsidR="00E660E1" w:rsidRPr="00973494" w:rsidRDefault="00E660E1" w:rsidP="009F0669">
      <w:pPr>
        <w:pStyle w:val="Text"/>
        <w:ind w:left="454" w:hanging="454"/>
      </w:pPr>
      <w:r w:rsidRPr="00E660E1">
        <w:rPr>
          <w:lang w:val="en-US"/>
        </w:rPr>
        <w:t xml:space="preserve">Noll, Thomas (1996), </w:t>
      </w:r>
      <w:r w:rsidRPr="00F52BB0">
        <w:rPr>
          <w:lang w:val="en-US"/>
        </w:rPr>
        <w:t>„</w:t>
      </w:r>
      <w:r w:rsidRPr="00E660E1">
        <w:rPr>
          <w:lang w:val="en-US"/>
        </w:rPr>
        <w:t>Music as a Subject of Semiotic Analysis</w:t>
      </w:r>
      <w:r w:rsidRPr="00F52BB0">
        <w:rPr>
          <w:lang w:val="en-US"/>
        </w:rPr>
        <w:t>“</w:t>
      </w:r>
      <w:r>
        <w:rPr>
          <w:lang w:val="en-US"/>
        </w:rPr>
        <w:t>. I</w:t>
      </w:r>
      <w:r w:rsidRPr="00E660E1">
        <w:rPr>
          <w:lang w:val="en-US"/>
        </w:rPr>
        <w:t>n: Eero Tarasti (</w:t>
      </w:r>
      <w:r>
        <w:rPr>
          <w:lang w:val="en-US"/>
        </w:rPr>
        <w:t>Hg</w:t>
      </w:r>
      <w:r w:rsidRPr="00E660E1">
        <w:rPr>
          <w:lang w:val="en-US"/>
        </w:rPr>
        <w:t xml:space="preserve">.), </w:t>
      </w:r>
      <w:r w:rsidRPr="00E660E1">
        <w:rPr>
          <w:i/>
          <w:iCs/>
          <w:lang w:val="en-US"/>
        </w:rPr>
        <w:t>Musical Semiotics in Growth</w:t>
      </w:r>
      <w:r w:rsidRPr="00E660E1">
        <w:rPr>
          <w:lang w:val="en-US"/>
        </w:rPr>
        <w:t xml:space="preserve">. </w:t>
      </w:r>
      <w:r w:rsidRPr="00973494">
        <w:t>Bloomington: Indiana University Press. 163-194.</w:t>
      </w:r>
    </w:p>
    <w:p w:rsidR="009C46C0" w:rsidRPr="009C46C0" w:rsidRDefault="009C46C0" w:rsidP="009F0669">
      <w:pPr>
        <w:pStyle w:val="Text"/>
        <w:ind w:left="454" w:hanging="454"/>
      </w:pPr>
      <w:r>
        <w:t xml:space="preserve">Noll, Thomas (2001), </w:t>
      </w:r>
      <w:r w:rsidRPr="009C46C0">
        <w:rPr>
          <w:i/>
        </w:rPr>
        <w:t>Computergestützte Repräsentation, Analyse und Vermittlung musikalischer und musiktheoretischer Strukturen.</w:t>
      </w:r>
      <w:r>
        <w:t xml:space="preserve"> Zwischenbericht des Pr</w:t>
      </w:r>
      <w:r>
        <w:t>o</w:t>
      </w:r>
      <w:r>
        <w:t>jektes KIT-MaMuTh</w:t>
      </w:r>
      <w:r w:rsidR="005236D1">
        <w:t xml:space="preserve"> </w:t>
      </w:r>
      <w:r>
        <w:t>(</w:t>
      </w:r>
      <w:r w:rsidR="00417572">
        <w:t>Kommunikations- und Informationstechnologie – Mathematische Musiktheorie</w:t>
      </w:r>
      <w:r>
        <w:t>). Berlin: Technische Universität Berlin.</w:t>
      </w:r>
      <w:r w:rsidR="00E268B6">
        <w:t xml:space="preserve"> O</w:t>
      </w:r>
      <w:r w:rsidR="00E268B6">
        <w:t>n</w:t>
      </w:r>
      <w:r w:rsidR="00E268B6">
        <w:lastRenderedPageBreak/>
        <w:t xml:space="preserve">line unter: </w:t>
      </w:r>
      <w:r w:rsidR="00E268B6" w:rsidRPr="00E268B6">
        <w:t>http://user.cs.tu-berlin.de/~noll/KITReport146.pdf</w:t>
      </w:r>
      <w:r w:rsidR="00E268B6">
        <w:t>; Einsicht am 1</w:t>
      </w:r>
      <w:r w:rsidR="00045F52">
        <w:t>8</w:t>
      </w:r>
      <w:r w:rsidR="00E268B6">
        <w:t>.0</w:t>
      </w:r>
      <w:r w:rsidR="00045F52">
        <w:t>1</w:t>
      </w:r>
      <w:r w:rsidR="00E268B6">
        <w:t>.201</w:t>
      </w:r>
      <w:r w:rsidR="00045F52">
        <w:t>2</w:t>
      </w:r>
      <w:r w:rsidR="00E268B6">
        <w:t>.</w:t>
      </w:r>
    </w:p>
    <w:p w:rsidR="00E00910" w:rsidRPr="00F6198B" w:rsidRDefault="00E00910" w:rsidP="009F0669">
      <w:pPr>
        <w:pStyle w:val="Text"/>
        <w:ind w:left="454" w:hanging="454"/>
      </w:pPr>
      <w:r w:rsidRPr="009C46C0">
        <w:t xml:space="preserve">Nöth, Winfried (2009), „Stil als Zeichen“. </w:t>
      </w:r>
      <w:r w:rsidRPr="00F6198B">
        <w:t>In: Fix u.a. 2008–2009</w:t>
      </w:r>
      <w:r w:rsidR="009D2CB4" w:rsidRPr="00F6198B">
        <w:t>, Bd. 2:</w:t>
      </w:r>
      <w:r w:rsidRPr="00F6198B">
        <w:t xml:space="preserve"> 1178-1196.</w:t>
      </w:r>
    </w:p>
    <w:p w:rsidR="00354A21" w:rsidRDefault="00354A21" w:rsidP="00354A21">
      <w:pPr>
        <w:pStyle w:val="Text"/>
        <w:ind w:left="454" w:hanging="454"/>
      </w:pPr>
      <w:r w:rsidRPr="009C46C0">
        <w:t>Nöth, Winfried und Peter Seibert (Hg.) (2</w:t>
      </w:r>
      <w:r w:rsidRPr="00B00F66">
        <w:t>00</w:t>
      </w:r>
      <w:r>
        <w:t xml:space="preserve">9), </w:t>
      </w:r>
      <w:r w:rsidRPr="00837556">
        <w:rPr>
          <w:i/>
        </w:rPr>
        <w:t>Bilder beSchreiben. Intersemiot</w:t>
      </w:r>
      <w:r w:rsidRPr="00837556">
        <w:rPr>
          <w:i/>
        </w:rPr>
        <w:t>i</w:t>
      </w:r>
      <w:r w:rsidRPr="00837556">
        <w:rPr>
          <w:i/>
        </w:rPr>
        <w:t>sche Transformationen.</w:t>
      </w:r>
      <w:r>
        <w:t xml:space="preserve"> Kassel: Kassel University Press.</w:t>
      </w:r>
    </w:p>
    <w:p w:rsidR="001E6594" w:rsidRDefault="001E6594" w:rsidP="009F0669">
      <w:pPr>
        <w:pStyle w:val="Text"/>
        <w:ind w:left="454" w:hanging="454"/>
      </w:pPr>
      <w:r w:rsidRPr="00F6198B">
        <w:t xml:space="preserve">Nuss, Sabine (2006), </w:t>
      </w:r>
      <w:r w:rsidRPr="00F6198B">
        <w:rPr>
          <w:i/>
        </w:rPr>
        <w:t xml:space="preserve">Copyright &amp; Copyriot. </w:t>
      </w:r>
      <w:r w:rsidRPr="001E6594">
        <w:rPr>
          <w:i/>
        </w:rPr>
        <w:t>Aneignungskonflikte um geistiges E</w:t>
      </w:r>
      <w:r w:rsidRPr="001E6594">
        <w:rPr>
          <w:i/>
        </w:rPr>
        <w:t>i</w:t>
      </w:r>
      <w:r w:rsidRPr="001E6594">
        <w:rPr>
          <w:i/>
        </w:rPr>
        <w:t>gentum im informationellen Kapitalismus.</w:t>
      </w:r>
      <w:r>
        <w:t xml:space="preserve"> Münster: Westfälisches Damp</w:t>
      </w:r>
      <w:r>
        <w:t>f</w:t>
      </w:r>
      <w:r>
        <w:t>boot.</w:t>
      </w:r>
    </w:p>
    <w:p w:rsidR="00D2554C" w:rsidRDefault="00D2554C" w:rsidP="009F0669">
      <w:pPr>
        <w:pStyle w:val="Text"/>
        <w:ind w:left="454" w:hanging="454"/>
      </w:pPr>
      <w:r>
        <w:t xml:space="preserve">Oberschelp, Arnold (1997), </w:t>
      </w:r>
      <w:r>
        <w:rPr>
          <w:i/>
        </w:rPr>
        <w:t>Logik für Philosophen</w:t>
      </w:r>
      <w:r>
        <w:t>. Mannheim u.a.: BI-Wissen</w:t>
      </w:r>
      <w:r w:rsidR="00B43960">
        <w:softHyphen/>
      </w:r>
      <w:r>
        <w:t>schafts</w:t>
      </w:r>
      <w:r w:rsidR="00B43960">
        <w:softHyphen/>
      </w:r>
      <w:r>
        <w:t>verlag.</w:t>
      </w:r>
    </w:p>
    <w:p w:rsidR="00D2554C" w:rsidRDefault="00D2554C" w:rsidP="009F0669">
      <w:pPr>
        <w:pStyle w:val="Text"/>
        <w:ind w:left="454" w:hanging="454"/>
      </w:pPr>
      <w:r>
        <w:t xml:space="preserve">Oberschelp, Arnold (1994), </w:t>
      </w:r>
      <w:r>
        <w:rPr>
          <w:i/>
        </w:rPr>
        <w:t xml:space="preserve">Allgemeine Mengenlehre. </w:t>
      </w:r>
      <w:r>
        <w:t>Mannheim u.a.: Spektrum.</w:t>
      </w:r>
    </w:p>
    <w:p w:rsidR="00941481" w:rsidRPr="00941481" w:rsidRDefault="00551563" w:rsidP="009F0669">
      <w:pPr>
        <w:pStyle w:val="Text"/>
        <w:ind w:left="454" w:hanging="454"/>
        <w:rPr>
          <w:lang w:val="en-US"/>
        </w:rPr>
      </w:pPr>
      <w:r>
        <w:rPr>
          <w:lang w:val="en-GB"/>
        </w:rPr>
        <w:t>Ohmann, Richard M. (1959),</w:t>
      </w:r>
      <w:r w:rsidR="00941481">
        <w:rPr>
          <w:lang w:val="en-GB"/>
        </w:rPr>
        <w:t xml:space="preserve"> „</w:t>
      </w:r>
      <w:r w:rsidR="00941481">
        <w:rPr>
          <w:szCs w:val="20"/>
          <w:lang w:val="en-GB"/>
        </w:rPr>
        <w:t>Prolegomena to the Analysis of Prose Style</w:t>
      </w:r>
      <w:r w:rsidR="00941481">
        <w:rPr>
          <w:lang w:val="en-GB"/>
        </w:rPr>
        <w:t>“.</w:t>
      </w:r>
      <w:r w:rsidR="00941481">
        <w:rPr>
          <w:szCs w:val="20"/>
          <w:lang w:val="en-GB"/>
        </w:rPr>
        <w:t xml:space="preserve"> </w:t>
      </w:r>
      <w:r w:rsidR="00941481">
        <w:rPr>
          <w:lang w:val="en-GB"/>
        </w:rPr>
        <w:t>In: Harold C. Martin (</w:t>
      </w:r>
      <w:r w:rsidR="001D58B8">
        <w:rPr>
          <w:lang w:val="en-GB"/>
        </w:rPr>
        <w:t>Hg</w:t>
      </w:r>
      <w:r>
        <w:rPr>
          <w:lang w:val="en-GB"/>
        </w:rPr>
        <w:t>.),</w:t>
      </w:r>
      <w:r w:rsidR="00941481">
        <w:rPr>
          <w:lang w:val="en-GB"/>
        </w:rPr>
        <w:t xml:space="preserve"> </w:t>
      </w:r>
      <w:r w:rsidR="00941481">
        <w:rPr>
          <w:i/>
          <w:iCs/>
          <w:szCs w:val="20"/>
          <w:lang w:val="en-GB"/>
        </w:rPr>
        <w:t xml:space="preserve">Style in Prose Fiction. </w:t>
      </w:r>
      <w:r w:rsidR="00941481">
        <w:rPr>
          <w:szCs w:val="20"/>
          <w:lang w:val="en-GB"/>
        </w:rPr>
        <w:t>New York: Columbia U</w:t>
      </w:r>
      <w:r w:rsidR="00941481">
        <w:rPr>
          <w:lang w:val="en-GB"/>
        </w:rPr>
        <w:t>n</w:t>
      </w:r>
      <w:r w:rsidR="00941481">
        <w:rPr>
          <w:lang w:val="en-GB"/>
        </w:rPr>
        <w:t>i</w:t>
      </w:r>
      <w:r w:rsidR="00941481">
        <w:rPr>
          <w:lang w:val="en-GB"/>
        </w:rPr>
        <w:t xml:space="preserve">versity Press. </w:t>
      </w:r>
      <w:r w:rsidR="00941481" w:rsidRPr="00941481">
        <w:rPr>
          <w:szCs w:val="20"/>
          <w:lang w:val="en-US"/>
        </w:rPr>
        <w:t>1-24.</w:t>
      </w:r>
    </w:p>
    <w:p w:rsidR="00A81364" w:rsidRDefault="00A81364" w:rsidP="009F0669">
      <w:pPr>
        <w:pStyle w:val="Text"/>
        <w:ind w:left="454" w:hanging="454"/>
      </w:pPr>
      <w:r w:rsidRPr="001F1591">
        <w:rPr>
          <w:lang w:val="en-US"/>
        </w:rPr>
        <w:t xml:space="preserve">Ohmann, Richard (1964), </w:t>
      </w:r>
      <w:r w:rsidR="001F1591" w:rsidRPr="001F1591">
        <w:rPr>
          <w:lang w:val="en-US"/>
        </w:rPr>
        <w:t xml:space="preserve">„Generative Grammars and the Concept of Literary Style“. </w:t>
      </w:r>
      <w:r w:rsidR="001F1591" w:rsidRPr="00A826D1">
        <w:rPr>
          <w:i/>
        </w:rPr>
        <w:t>Wo</w:t>
      </w:r>
      <w:r w:rsidR="001F1591" w:rsidRPr="00613241">
        <w:rPr>
          <w:i/>
        </w:rPr>
        <w:t>rd</w:t>
      </w:r>
      <w:r w:rsidR="001F1591" w:rsidRPr="00613241">
        <w:t xml:space="preserve"> 20: 423-439. </w:t>
      </w:r>
      <w:r w:rsidR="00A64CE6" w:rsidRPr="00613241">
        <w:t xml:space="preserve">Deutsch als: </w:t>
      </w:r>
      <w:r w:rsidR="001F1591" w:rsidRPr="00613241">
        <w:t xml:space="preserve">Ohmann </w:t>
      </w:r>
      <w:r w:rsidR="00A64CE6" w:rsidRPr="00613241">
        <w:t>1971.</w:t>
      </w:r>
    </w:p>
    <w:p w:rsidR="00BF3433" w:rsidRPr="009A4B77" w:rsidRDefault="00BF3433" w:rsidP="009F0669">
      <w:pPr>
        <w:pStyle w:val="Text"/>
        <w:ind w:left="454" w:hanging="454"/>
      </w:pPr>
      <w:r>
        <w:t>Ohmann, Richard (1971), „Generat</w:t>
      </w:r>
      <w:r w:rsidR="001F1591">
        <w:t>ive Grammatik</w:t>
      </w:r>
      <w:r w:rsidR="00D1536C">
        <w:t xml:space="preserve"> und der Begriff</w:t>
      </w:r>
      <w:r>
        <w:t xml:space="preserve"> </w:t>
      </w:r>
      <w:r w:rsidR="00D1536C">
        <w:t>‚</w:t>
      </w:r>
      <w:r>
        <w:t>Literarischer Stil</w:t>
      </w:r>
      <w:r w:rsidR="00D1536C">
        <w:t>‘</w:t>
      </w:r>
      <w:r>
        <w:t xml:space="preserve">“. In: Jens Ihwe (Hg.), </w:t>
      </w:r>
      <w:r w:rsidRPr="00AE62C8">
        <w:rPr>
          <w:i/>
        </w:rPr>
        <w:t>Literaturwissenschaft und Linguistik. Ergebnisse und Perspektiven</w:t>
      </w:r>
      <w:r>
        <w:t xml:space="preserve">. Bd.1: </w:t>
      </w:r>
      <w:r w:rsidRPr="00AE62C8">
        <w:rPr>
          <w:i/>
        </w:rPr>
        <w:t>Grundlagen und Voraussetzungen</w:t>
      </w:r>
      <w:r>
        <w:t xml:space="preserve">. </w:t>
      </w:r>
      <w:r w:rsidRPr="009A4B77">
        <w:t>Frankfurt a.M.: Athenäum</w:t>
      </w:r>
      <w:r w:rsidR="00E84DB1" w:rsidRPr="009A4B77">
        <w:t>.</w:t>
      </w:r>
      <w:r w:rsidRPr="009A4B77">
        <w:t xml:space="preserve"> 213-233.</w:t>
      </w:r>
      <w:r w:rsidR="00A64CE6">
        <w:t xml:space="preserve"> Erneut in: Blumensath 1972: 89-105.</w:t>
      </w:r>
    </w:p>
    <w:p w:rsidR="00EA4100" w:rsidRDefault="00EA4100" w:rsidP="009F0669">
      <w:pPr>
        <w:pStyle w:val="Text"/>
        <w:ind w:left="454" w:hanging="454"/>
      </w:pPr>
      <w:r w:rsidRPr="00613241">
        <w:rPr>
          <w:lang w:val="en-US"/>
        </w:rPr>
        <w:t xml:space="preserve">Ortega, </w:t>
      </w:r>
      <w:r w:rsidR="00F721E7" w:rsidRPr="00613241">
        <w:rPr>
          <w:lang w:val="en-US"/>
        </w:rPr>
        <w:t xml:space="preserve">Mary Jane (1972), „A Linguistic Study of Two Styles“. </w:t>
      </w:r>
      <w:r w:rsidR="00F721E7" w:rsidRPr="002C5563">
        <w:rPr>
          <w:i/>
        </w:rPr>
        <w:t>Philippine Jou</w:t>
      </w:r>
      <w:r w:rsidR="00F721E7" w:rsidRPr="002C5563">
        <w:rPr>
          <w:i/>
        </w:rPr>
        <w:t>r</w:t>
      </w:r>
      <w:r w:rsidR="00F721E7" w:rsidRPr="002C5563">
        <w:rPr>
          <w:i/>
        </w:rPr>
        <w:t>nal of Linguistics</w:t>
      </w:r>
      <w:r w:rsidR="00F721E7" w:rsidRPr="002C5563">
        <w:t xml:space="preserve"> 3, 2: 25-36.</w:t>
      </w:r>
    </w:p>
    <w:p w:rsidR="0066188F" w:rsidRPr="006D337E" w:rsidRDefault="00551C53" w:rsidP="009F0669">
      <w:pPr>
        <w:ind w:left="454" w:hanging="454"/>
      </w:pPr>
      <w:r>
        <w:t>Ortner, Hans</w:t>
      </w:r>
      <w:r w:rsidR="003C2691">
        <w:t>p</w:t>
      </w:r>
      <w:r>
        <w:t xml:space="preserve">eter (2009), </w:t>
      </w:r>
      <w:r w:rsidRPr="00551C53">
        <w:rPr>
          <w:i/>
        </w:rPr>
        <w:t xml:space="preserve">Fehlformen </w:t>
      </w:r>
      <w:r w:rsidR="0066188F" w:rsidRPr="00551C53">
        <w:rPr>
          <w:i/>
        </w:rPr>
        <w:t>rhetorisch-stilistischen Handelns</w:t>
      </w:r>
      <w:r>
        <w:t xml:space="preserve">. </w:t>
      </w:r>
      <w:r w:rsidRPr="006D337E">
        <w:t>In: Fix u.a. 2008–2009</w:t>
      </w:r>
      <w:r w:rsidR="009D2CB4">
        <w:t>, Bd. 2:</w:t>
      </w:r>
      <w:r w:rsidRPr="006D337E">
        <w:t xml:space="preserve"> 1367-1381.</w:t>
      </w:r>
    </w:p>
    <w:p w:rsidR="00DF20EE" w:rsidRDefault="00DF20EE" w:rsidP="009F0669">
      <w:pPr>
        <w:pStyle w:val="Text"/>
        <w:ind w:left="454" w:hanging="454"/>
      </w:pPr>
      <w:r>
        <w:t xml:space="preserve">Otte, Gunnar (2004), </w:t>
      </w:r>
      <w:r w:rsidRPr="00DF20EE">
        <w:rPr>
          <w:i/>
        </w:rPr>
        <w:t>Sozialstrukturanalyse mit Lebensstilen. Eine Studie zur the</w:t>
      </w:r>
      <w:r w:rsidRPr="00DF20EE">
        <w:rPr>
          <w:i/>
        </w:rPr>
        <w:t>o</w:t>
      </w:r>
      <w:r w:rsidRPr="00DF20EE">
        <w:rPr>
          <w:i/>
        </w:rPr>
        <w:t>retischen und methodischen Neuorientierung der Lebensstilforschung.</w:t>
      </w:r>
      <w:r>
        <w:t xml:space="preserve"> Wie</w:t>
      </w:r>
      <w:r>
        <w:t>s</w:t>
      </w:r>
      <w:r>
        <w:t>baden: Verlag für Sozialwissenschaften.</w:t>
      </w:r>
      <w:r w:rsidR="00580403">
        <w:t xml:space="preserve"> Zugl.: Mannheim, Univ., Diss.</w:t>
      </w:r>
    </w:p>
    <w:p w:rsidR="00F44C9F" w:rsidRDefault="00F44C9F" w:rsidP="009F0669">
      <w:pPr>
        <w:pStyle w:val="Text"/>
        <w:ind w:left="454" w:hanging="454"/>
      </w:pPr>
      <w:r w:rsidRPr="005947F0">
        <w:t xml:space="preserve">Otte, Gunnar und Nina Baur (2008), „Urbanism as a Way of Life? </w:t>
      </w:r>
      <w:r w:rsidRPr="00F44C9F">
        <w:t xml:space="preserve">Räumliche Variationen der Lebensführung </w:t>
      </w:r>
      <w:r>
        <w:t>i</w:t>
      </w:r>
      <w:r w:rsidRPr="00F44C9F">
        <w:t>n D</w:t>
      </w:r>
      <w:r>
        <w:t xml:space="preserve">eutschland“. </w:t>
      </w:r>
      <w:r w:rsidRPr="00F44C9F">
        <w:rPr>
          <w:i/>
        </w:rPr>
        <w:t>Zeitschrift für Soziologie</w:t>
      </w:r>
      <w:r>
        <w:t xml:space="preserve"> 37: 93-116.</w:t>
      </w:r>
    </w:p>
    <w:p w:rsidR="00167C80" w:rsidRDefault="00167C80" w:rsidP="009F0669">
      <w:pPr>
        <w:pStyle w:val="Text"/>
        <w:ind w:left="454" w:hanging="454"/>
      </w:pPr>
      <w:r>
        <w:t xml:space="preserve">Pankow, Christiane (1998), „Zeichenkonzeptionen in Rhetorik, Stilistik und Poetik vom 19. Jahrhundert bis zur Gegenwart“. </w:t>
      </w:r>
      <w:r w:rsidRPr="007D6C34">
        <w:t>In: Posner u.a</w:t>
      </w:r>
      <w:r w:rsidR="006B1205" w:rsidRPr="007D6C34">
        <w:t>.</w:t>
      </w:r>
      <w:r w:rsidRPr="007D6C34">
        <w:t xml:space="preserve"> 1997–2004, Bd. 2: 1601-1625.</w:t>
      </w:r>
    </w:p>
    <w:p w:rsidR="00A0015E" w:rsidRPr="009D549F" w:rsidRDefault="00A0015E" w:rsidP="009F0669">
      <w:pPr>
        <w:pStyle w:val="Text"/>
        <w:ind w:left="454" w:hanging="454"/>
        <w:rPr>
          <w:lang w:val="en-US"/>
        </w:rPr>
      </w:pPr>
      <w:r>
        <w:t xml:space="preserve">Panofsky, Erwin (1924), </w:t>
      </w:r>
      <w:r w:rsidRPr="00A0015E">
        <w:rPr>
          <w:i/>
        </w:rPr>
        <w:t>Idea. Ein Beitrag zur Begriffsgeschichte der älteren Kuns</w:t>
      </w:r>
      <w:r w:rsidRPr="00A0015E">
        <w:rPr>
          <w:i/>
        </w:rPr>
        <w:t>t</w:t>
      </w:r>
      <w:r w:rsidRPr="00A0015E">
        <w:rPr>
          <w:i/>
        </w:rPr>
        <w:t>theorie.</w:t>
      </w:r>
      <w:r>
        <w:t xml:space="preserve"> </w:t>
      </w:r>
      <w:r w:rsidRPr="009D549F">
        <w:rPr>
          <w:lang w:val="en-US"/>
        </w:rPr>
        <w:t>Leipzig</w:t>
      </w:r>
      <w:r w:rsidR="003A25D1" w:rsidRPr="009D549F">
        <w:rPr>
          <w:lang w:val="en-US"/>
        </w:rPr>
        <w:t>: Teubner</w:t>
      </w:r>
      <w:r w:rsidRPr="009D549F">
        <w:rPr>
          <w:lang w:val="en-US"/>
        </w:rPr>
        <w:t>.</w:t>
      </w:r>
    </w:p>
    <w:p w:rsidR="006B0801" w:rsidRDefault="006B0801" w:rsidP="009F0669">
      <w:pPr>
        <w:pStyle w:val="Text"/>
        <w:ind w:left="454" w:hanging="454"/>
      </w:pPr>
      <w:r w:rsidRPr="009D549F">
        <w:rPr>
          <w:lang w:val="en-US"/>
        </w:rPr>
        <w:t xml:space="preserve">Panofsky, Erwin (1955), </w:t>
      </w:r>
      <w:r w:rsidRPr="009D549F">
        <w:rPr>
          <w:i/>
          <w:lang w:val="en-US"/>
        </w:rPr>
        <w:t>Meaning in the Visual Arts.</w:t>
      </w:r>
      <w:r w:rsidRPr="009D549F">
        <w:rPr>
          <w:lang w:val="en-US"/>
        </w:rPr>
        <w:t xml:space="preserve"> </w:t>
      </w:r>
      <w:r w:rsidRPr="005C5E1A">
        <w:rPr>
          <w:lang w:val="en-US"/>
        </w:rPr>
        <w:t xml:space="preserve">New York: Doubleday. </w:t>
      </w:r>
      <w:r>
        <w:t xml:space="preserve">Deutsch </w:t>
      </w:r>
      <w:r w:rsidR="00D60B41">
        <w:t>von Wilhelm Höck</w:t>
      </w:r>
      <w:r>
        <w:t xml:space="preserve">: </w:t>
      </w:r>
      <w:r w:rsidRPr="006B0801">
        <w:rPr>
          <w:i/>
        </w:rPr>
        <w:t>Sinn und Deutung in der bildenden Kunst.</w:t>
      </w:r>
      <w:r>
        <w:t xml:space="preserve"> Köln: Dumont</w:t>
      </w:r>
      <w:r w:rsidR="00D60B41">
        <w:t xml:space="preserve"> 1978</w:t>
      </w:r>
      <w:r>
        <w:t>.</w:t>
      </w:r>
    </w:p>
    <w:p w:rsidR="006B0801" w:rsidRPr="006B0801" w:rsidRDefault="006B0801" w:rsidP="009F0669">
      <w:pPr>
        <w:pStyle w:val="Text"/>
        <w:ind w:left="454" w:hanging="454"/>
      </w:pPr>
      <w:r w:rsidRPr="006B0801">
        <w:t>Panofsky, Erwin (19</w:t>
      </w:r>
      <w:r>
        <w:t>64</w:t>
      </w:r>
      <w:r w:rsidRPr="006B0801">
        <w:t xml:space="preserve">), </w:t>
      </w:r>
      <w:r w:rsidRPr="006B0801">
        <w:rPr>
          <w:i/>
        </w:rPr>
        <w:t>Aufsätze zu Grundfragen der Kunstwissenschaft.</w:t>
      </w:r>
      <w:r>
        <w:t xml:space="preserve"> Berlin: Hessling.</w:t>
      </w:r>
    </w:p>
    <w:p w:rsidR="00273162" w:rsidRPr="00A826D1" w:rsidRDefault="00273162" w:rsidP="009F0669">
      <w:pPr>
        <w:pStyle w:val="Text"/>
        <w:ind w:left="454" w:hanging="454"/>
        <w:rPr>
          <w:lang w:val="en-US"/>
        </w:rPr>
      </w:pPr>
      <w:r w:rsidRPr="00847399">
        <w:rPr>
          <w:lang w:val="en-US"/>
        </w:rPr>
        <w:t xml:space="preserve">Peer, Willie </w:t>
      </w:r>
      <w:r w:rsidR="003D3267" w:rsidRPr="00847399">
        <w:rPr>
          <w:lang w:val="en-US"/>
        </w:rPr>
        <w:t xml:space="preserve">van </w:t>
      </w:r>
      <w:r w:rsidRPr="00847399">
        <w:rPr>
          <w:lang w:val="en-US"/>
        </w:rPr>
        <w:t xml:space="preserve">(1986), </w:t>
      </w:r>
      <w:r w:rsidRPr="00847399">
        <w:rPr>
          <w:i/>
          <w:lang w:val="en-US"/>
        </w:rPr>
        <w:t>Stylistics and Psychology</w:t>
      </w:r>
      <w:r w:rsidR="00551563">
        <w:rPr>
          <w:i/>
          <w:lang w:val="en-US"/>
        </w:rPr>
        <w:t>.</w:t>
      </w:r>
      <w:r w:rsidRPr="00847399">
        <w:rPr>
          <w:i/>
          <w:lang w:val="en-US"/>
        </w:rPr>
        <w:t xml:space="preserve"> </w:t>
      </w:r>
      <w:r w:rsidRPr="00273162">
        <w:rPr>
          <w:i/>
          <w:lang w:val="en-US"/>
        </w:rPr>
        <w:t>Investigations of Foregrounding.</w:t>
      </w:r>
      <w:r>
        <w:rPr>
          <w:lang w:val="en-US"/>
        </w:rPr>
        <w:t xml:space="preserve"> </w:t>
      </w:r>
      <w:r w:rsidRPr="00A826D1">
        <w:rPr>
          <w:lang w:val="en-US"/>
        </w:rPr>
        <w:t>London u.a.: Croom Helm.</w:t>
      </w:r>
    </w:p>
    <w:p w:rsidR="006F1D74" w:rsidRPr="006F1D74" w:rsidRDefault="006F1D74" w:rsidP="006F1D74">
      <w:pPr>
        <w:pStyle w:val="Text"/>
        <w:ind w:left="454" w:hanging="454"/>
      </w:pPr>
      <w:r w:rsidRPr="00804576">
        <w:lastRenderedPageBreak/>
        <w:t xml:space="preserve">Peer, Willie </w:t>
      </w:r>
      <w:r w:rsidR="003D3267" w:rsidRPr="00804576">
        <w:t xml:space="preserve">van </w:t>
      </w:r>
      <w:r w:rsidRPr="00804576">
        <w:t>(2001), „</w:t>
      </w:r>
      <w:r w:rsidRPr="00804576">
        <w:rPr>
          <w:iCs/>
        </w:rPr>
        <w:t>Über den Ursprung des Stils“. I</w:t>
      </w:r>
      <w:r w:rsidRPr="00804576">
        <w:t xml:space="preserve">n: Eva-Maria Jakobs und Annely Rothkegel (Hg.), </w:t>
      </w:r>
      <w:r w:rsidRPr="00804576">
        <w:rPr>
          <w:i/>
        </w:rPr>
        <w:t>Perspektiven auf Stil</w:t>
      </w:r>
      <w:r w:rsidRPr="006F1D74">
        <w:rPr>
          <w:i/>
        </w:rPr>
        <w:t>.</w:t>
      </w:r>
      <w:r>
        <w:t xml:space="preserve"> </w:t>
      </w:r>
      <w:r w:rsidRPr="006F1D74">
        <w:t>Tübingen: Niemeyer.</w:t>
      </w:r>
      <w:r>
        <w:t xml:space="preserve"> 35-52.</w:t>
      </w:r>
    </w:p>
    <w:p w:rsidR="00A5190A" w:rsidRDefault="00A5190A" w:rsidP="009F0669">
      <w:pPr>
        <w:pStyle w:val="Text"/>
        <w:ind w:left="454" w:hanging="454"/>
      </w:pPr>
      <w:r w:rsidRPr="007F14C7">
        <w:t>Pelc, Jerz</w:t>
      </w:r>
      <w:r w:rsidR="00A01D7C" w:rsidRPr="007F14C7">
        <w:t>y (1997), „Theory Formation in S</w:t>
      </w:r>
      <w:r w:rsidRPr="007F14C7">
        <w:t xml:space="preserve">emiotics“. </w:t>
      </w:r>
      <w:r w:rsidRPr="00A5190A">
        <w:t>In: Posner u.a. 1997–2004, Bd. 1: 617-643.</w:t>
      </w:r>
    </w:p>
    <w:p w:rsidR="000E09DA" w:rsidRDefault="000E09DA" w:rsidP="009F0669">
      <w:pPr>
        <w:pStyle w:val="Text"/>
        <w:ind w:left="454" w:hanging="454"/>
      </w:pPr>
      <w:r>
        <w:t>Pfeiffer, Helmut (1986), „Stil und Differenz. Zur Poetik der französischen R</w:t>
      </w:r>
      <w:r>
        <w:t>e</w:t>
      </w:r>
      <w:r>
        <w:t>naissance“. In: Gumbrecht u.a. 1986: 115-126.</w:t>
      </w:r>
    </w:p>
    <w:p w:rsidR="00A0015E" w:rsidRPr="004D63E7" w:rsidRDefault="00A0015E" w:rsidP="009F0669">
      <w:pPr>
        <w:pStyle w:val="Text"/>
        <w:ind w:left="454" w:hanging="454"/>
        <w:rPr>
          <w:lang w:val="en-US"/>
        </w:rPr>
      </w:pPr>
      <w:r>
        <w:t xml:space="preserve">Pfisterer, Ulrich (2002), </w:t>
      </w:r>
      <w:r w:rsidRPr="00A0015E">
        <w:rPr>
          <w:i/>
        </w:rPr>
        <w:t>Donatello und die Entdeckung der Stile 1430–1445.</w:t>
      </w:r>
      <w:r>
        <w:t xml:space="preserve"> </w:t>
      </w:r>
      <w:r w:rsidRPr="004D63E7">
        <w:rPr>
          <w:lang w:val="en-US"/>
        </w:rPr>
        <w:t xml:space="preserve">München: </w:t>
      </w:r>
      <w:r w:rsidR="003A25D1" w:rsidRPr="004D63E7">
        <w:rPr>
          <w:lang w:val="en-US"/>
        </w:rPr>
        <w:t>Hirmer</w:t>
      </w:r>
      <w:r w:rsidRPr="004D63E7">
        <w:rPr>
          <w:lang w:val="en-US"/>
        </w:rPr>
        <w:t>.</w:t>
      </w:r>
    </w:p>
    <w:p w:rsidR="00BE2FD2" w:rsidRPr="00BE2FD2" w:rsidRDefault="00BE2FD2" w:rsidP="009F0669">
      <w:pPr>
        <w:pStyle w:val="Text"/>
        <w:ind w:left="454" w:hanging="454"/>
        <w:rPr>
          <w:lang w:val="en-US"/>
        </w:rPr>
      </w:pPr>
      <w:r w:rsidRPr="00BE2FD2">
        <w:rPr>
          <w:lang w:val="en-US"/>
        </w:rPr>
        <w:t xml:space="preserve">Pike, Kenneth L. (1967), </w:t>
      </w:r>
      <w:r w:rsidRPr="00BE2FD2">
        <w:rPr>
          <w:i/>
          <w:iCs/>
          <w:lang w:val="en-US"/>
        </w:rPr>
        <w:t xml:space="preserve">Language in </w:t>
      </w:r>
      <w:r w:rsidR="00A273D3">
        <w:rPr>
          <w:i/>
          <w:iCs/>
          <w:lang w:val="en-US"/>
        </w:rPr>
        <w:t>R</w:t>
      </w:r>
      <w:r w:rsidRPr="00BE2FD2">
        <w:rPr>
          <w:i/>
          <w:iCs/>
          <w:lang w:val="en-US"/>
        </w:rPr>
        <w:t xml:space="preserve">elation to a </w:t>
      </w:r>
      <w:r w:rsidR="00A273D3">
        <w:rPr>
          <w:i/>
          <w:iCs/>
          <w:lang w:val="en-US"/>
        </w:rPr>
        <w:t>U</w:t>
      </w:r>
      <w:r w:rsidRPr="00BE2FD2">
        <w:rPr>
          <w:i/>
          <w:iCs/>
          <w:lang w:val="en-US"/>
        </w:rPr>
        <w:t xml:space="preserve">nified </w:t>
      </w:r>
      <w:r w:rsidR="00A273D3">
        <w:rPr>
          <w:i/>
          <w:iCs/>
          <w:lang w:val="en-US"/>
        </w:rPr>
        <w:t>T</w:t>
      </w:r>
      <w:r w:rsidRPr="00BE2FD2">
        <w:rPr>
          <w:i/>
          <w:iCs/>
          <w:lang w:val="en-US"/>
        </w:rPr>
        <w:t xml:space="preserve">heory of </w:t>
      </w:r>
      <w:r w:rsidR="00A273D3">
        <w:rPr>
          <w:i/>
          <w:iCs/>
          <w:lang w:val="en-US"/>
        </w:rPr>
        <w:t>S</w:t>
      </w:r>
      <w:r w:rsidRPr="00BE2FD2">
        <w:rPr>
          <w:i/>
          <w:iCs/>
          <w:lang w:val="en-US"/>
        </w:rPr>
        <w:t xml:space="preserve">tructure of </w:t>
      </w:r>
      <w:r w:rsidR="00A273D3">
        <w:rPr>
          <w:i/>
          <w:iCs/>
          <w:lang w:val="en-US"/>
        </w:rPr>
        <w:t>H</w:t>
      </w:r>
      <w:r w:rsidRPr="00BE2FD2">
        <w:rPr>
          <w:i/>
          <w:iCs/>
          <w:lang w:val="en-US"/>
        </w:rPr>
        <w:t xml:space="preserve">uman </w:t>
      </w:r>
      <w:r w:rsidR="00A273D3">
        <w:rPr>
          <w:i/>
          <w:iCs/>
          <w:lang w:val="en-US"/>
        </w:rPr>
        <w:t>B</w:t>
      </w:r>
      <w:r w:rsidRPr="00BE2FD2">
        <w:rPr>
          <w:i/>
          <w:iCs/>
          <w:lang w:val="en-US"/>
        </w:rPr>
        <w:t>ehavior</w:t>
      </w:r>
      <w:r>
        <w:rPr>
          <w:lang w:val="en-US"/>
        </w:rPr>
        <w:t xml:space="preserve">. 2. Aufl. </w:t>
      </w:r>
      <w:r w:rsidRPr="00BE2FD2">
        <w:rPr>
          <w:lang w:val="en-US"/>
        </w:rPr>
        <w:t>Den Haag</w:t>
      </w:r>
      <w:r w:rsidR="00FF140C">
        <w:rPr>
          <w:lang w:val="en-US"/>
        </w:rPr>
        <w:t xml:space="preserve"> u.a.</w:t>
      </w:r>
      <w:r>
        <w:rPr>
          <w:lang w:val="en-US"/>
        </w:rPr>
        <w:t xml:space="preserve">: </w:t>
      </w:r>
      <w:r w:rsidRPr="00BE2FD2">
        <w:rPr>
          <w:lang w:val="en-US"/>
        </w:rPr>
        <w:t>Mouton</w:t>
      </w:r>
      <w:r>
        <w:rPr>
          <w:lang w:val="en-US"/>
        </w:rPr>
        <w:t>.</w:t>
      </w:r>
    </w:p>
    <w:p w:rsidR="00380EFA" w:rsidRPr="00380EFA" w:rsidRDefault="00380EFA" w:rsidP="009F0669">
      <w:pPr>
        <w:pStyle w:val="Text"/>
        <w:ind w:left="454" w:hanging="454"/>
      </w:pPr>
      <w:r w:rsidRPr="00BE2FD2">
        <w:rPr>
          <w:lang w:val="en-US"/>
        </w:rPr>
        <w:t>Pjatigorskij, A</w:t>
      </w:r>
      <w:r w:rsidR="003A25D1" w:rsidRPr="00BE2FD2">
        <w:rPr>
          <w:lang w:val="en-US"/>
        </w:rPr>
        <w:t>lexander</w:t>
      </w:r>
      <w:r w:rsidRPr="00BE2FD2">
        <w:rPr>
          <w:lang w:val="en-US"/>
        </w:rPr>
        <w:t xml:space="preserve"> M. (1962), „Quelques remarques générales à propos du texte considéré en tant que variante du signal“. </w:t>
      </w:r>
      <w:r w:rsidRPr="004F7EF5">
        <w:rPr>
          <w:lang w:val="en-US"/>
        </w:rPr>
        <w:t xml:space="preserve">In: </w:t>
      </w:r>
      <w:r w:rsidR="004F7EF5" w:rsidRPr="004F7EF5">
        <w:rPr>
          <w:lang w:val="en-US"/>
        </w:rPr>
        <w:t>Académie des Sciences de l’URSS</w:t>
      </w:r>
      <w:r w:rsidR="004F7EF5">
        <w:rPr>
          <w:lang w:val="en-US"/>
        </w:rPr>
        <w:t xml:space="preserve"> </w:t>
      </w:r>
      <w:r w:rsidRPr="004F7EF5">
        <w:rPr>
          <w:lang w:val="en-US"/>
        </w:rPr>
        <w:t xml:space="preserve">(Hg.), </w:t>
      </w:r>
      <w:r w:rsidRPr="004F7EF5">
        <w:rPr>
          <w:i/>
          <w:lang w:val="en-US"/>
        </w:rPr>
        <w:t>Recherches de typologie structurale.</w:t>
      </w:r>
      <w:r w:rsidRPr="004F7EF5">
        <w:rPr>
          <w:lang w:val="en-US"/>
        </w:rPr>
        <w:t xml:space="preserve"> </w:t>
      </w:r>
      <w:r w:rsidRPr="00380EFA">
        <w:t>Moskau.</w:t>
      </w:r>
    </w:p>
    <w:p w:rsidR="001E7DF0" w:rsidRDefault="001E7DF0" w:rsidP="009F0669">
      <w:pPr>
        <w:pStyle w:val="Text"/>
        <w:ind w:left="454" w:hanging="454"/>
      </w:pPr>
      <w:r>
        <w:t xml:space="preserve">Plenzdorf, </w:t>
      </w:r>
      <w:r w:rsidR="00643F7C">
        <w:t xml:space="preserve">Ulrich (1973), </w:t>
      </w:r>
      <w:r w:rsidRPr="001E7DF0">
        <w:rPr>
          <w:i/>
        </w:rPr>
        <w:t>Die neuen Leiden des jungen W.</w:t>
      </w:r>
      <w:r>
        <w:t xml:space="preserve"> </w:t>
      </w:r>
      <w:r w:rsidR="00643F7C">
        <w:t>Rostock: Hinstorff.</w:t>
      </w:r>
    </w:p>
    <w:p w:rsidR="00E22E09" w:rsidRDefault="00E22E09" w:rsidP="009F0669">
      <w:pPr>
        <w:pStyle w:val="Text"/>
        <w:ind w:left="454" w:hanging="454"/>
      </w:pPr>
      <w:r>
        <w:t xml:space="preserve">Plett, Heinrich F. (1977), „Die Rhetorik der Figuren“. In: Ders. (Hg.), </w:t>
      </w:r>
      <w:r w:rsidRPr="00E22E09">
        <w:rPr>
          <w:i/>
        </w:rPr>
        <w:t>Rhetorik. Kritische Positionen zum Stand der Forschung.</w:t>
      </w:r>
      <w:r>
        <w:t xml:space="preserve"> München: </w:t>
      </w:r>
      <w:r w:rsidR="005D0FEB">
        <w:t>Fink</w:t>
      </w:r>
      <w:r>
        <w:t xml:space="preserve">. 125-165. </w:t>
      </w:r>
    </w:p>
    <w:p w:rsidR="00D2554C" w:rsidRDefault="00D2554C" w:rsidP="009F0669">
      <w:pPr>
        <w:pStyle w:val="Text"/>
        <w:ind w:left="454" w:hanging="454"/>
      </w:pPr>
      <w:r>
        <w:t xml:space="preserve">Plett, Heinrich F. (2000), </w:t>
      </w:r>
      <w:r>
        <w:rPr>
          <w:i/>
          <w:iCs/>
        </w:rPr>
        <w:t xml:space="preserve">Systematische Rhetorik. Konzepte und Analysen. </w:t>
      </w:r>
      <w:r>
        <w:t>Mü</w:t>
      </w:r>
      <w:r>
        <w:t>n</w:t>
      </w:r>
      <w:r>
        <w:t>chen: Fink.</w:t>
      </w:r>
    </w:p>
    <w:p w:rsidR="00EE47A8" w:rsidRDefault="00EE47A8" w:rsidP="009F0669">
      <w:pPr>
        <w:pStyle w:val="Text"/>
        <w:ind w:left="454" w:hanging="454"/>
      </w:pPr>
      <w:r>
        <w:t xml:space="preserve">Popper, Karl (1934), </w:t>
      </w:r>
      <w:r w:rsidRPr="00EE47A8">
        <w:rPr>
          <w:i/>
        </w:rPr>
        <w:t>Logik der Forschung</w:t>
      </w:r>
      <w:r>
        <w:t>. Berlin</w:t>
      </w:r>
      <w:r w:rsidR="00787605">
        <w:t xml:space="preserve"> u.a.</w:t>
      </w:r>
      <w:r>
        <w:t>: Springer.</w:t>
      </w:r>
    </w:p>
    <w:p w:rsidR="00770CD8" w:rsidRDefault="00770CD8" w:rsidP="009F0669">
      <w:pPr>
        <w:pStyle w:val="Text"/>
        <w:ind w:left="454" w:hanging="454"/>
      </w:pPr>
      <w:r>
        <w:t xml:space="preserve">Por, Peter (1982), </w:t>
      </w:r>
      <w:r w:rsidRPr="00770CD8">
        <w:rPr>
          <w:i/>
        </w:rPr>
        <w:t>Epochenstil. Plädoyer für einen umstrittenen Begriff.</w:t>
      </w:r>
      <w:r>
        <w:t xml:space="preserve"> Heide</w:t>
      </w:r>
      <w:r>
        <w:t>l</w:t>
      </w:r>
      <w:r>
        <w:t xml:space="preserve">berg: </w:t>
      </w:r>
      <w:r w:rsidR="004F7EF5">
        <w:t>Winter.</w:t>
      </w:r>
    </w:p>
    <w:p w:rsidR="006123A9" w:rsidRPr="00124CDE" w:rsidRDefault="005166F3" w:rsidP="005166F3">
      <w:pPr>
        <w:pStyle w:val="Text"/>
        <w:ind w:left="454" w:hanging="454"/>
      </w:pPr>
      <w:r>
        <w:t>Posner, Roland (1972),</w:t>
      </w:r>
      <w:r w:rsidR="006123A9">
        <w:t xml:space="preserve"> „Strukturalismus in der Gedichtinterpretation</w:t>
      </w:r>
      <w:r w:rsidR="00026F53">
        <w:t>.</w:t>
      </w:r>
      <w:r w:rsidR="006123A9">
        <w:t xml:space="preserve"> Textd</w:t>
      </w:r>
      <w:r w:rsidR="006123A9">
        <w:t>e</w:t>
      </w:r>
      <w:r w:rsidR="006123A9">
        <w:t xml:space="preserve">skription und Rezeptionsanalyse am Beispiel von Baudelaires ‚Les Chats‘“. </w:t>
      </w:r>
      <w:r w:rsidR="006123A9" w:rsidRPr="00124CDE">
        <w:t xml:space="preserve">In: </w:t>
      </w:r>
      <w:r w:rsidR="00A64CE6" w:rsidRPr="00124CDE">
        <w:t xml:space="preserve">Blumensath 1972: </w:t>
      </w:r>
      <w:r w:rsidR="006123A9" w:rsidRPr="00124CDE">
        <w:t>202-242. Englisch als: Posner 1982.</w:t>
      </w:r>
    </w:p>
    <w:p w:rsidR="00B50416" w:rsidRDefault="00B50416" w:rsidP="009F0669">
      <w:pPr>
        <w:pStyle w:val="Text"/>
        <w:ind w:left="454" w:hanging="454"/>
      </w:pPr>
      <w:r>
        <w:t xml:space="preserve">Posner, Roland (1980a), </w:t>
      </w:r>
      <w:r w:rsidRPr="00B50416">
        <w:rPr>
          <w:i/>
        </w:rPr>
        <w:t>Theorie des Kommentierens. Eine Grundlagenstudie zur Semantik und Pragmatik.</w:t>
      </w:r>
      <w:r>
        <w:t xml:space="preserve"> 2., verb. und erw. Aufl. Wiesbaden: Athenaion.</w:t>
      </w:r>
    </w:p>
    <w:p w:rsidR="00D2554C" w:rsidRDefault="00D2554C" w:rsidP="009F0669">
      <w:pPr>
        <w:pStyle w:val="Text"/>
        <w:ind w:left="454" w:hanging="454"/>
        <w:rPr>
          <w:lang w:val="en-GB"/>
        </w:rPr>
      </w:pPr>
      <w:r>
        <w:t>Posner, Roland (1980</w:t>
      </w:r>
      <w:r w:rsidR="00B50416">
        <w:t>b</w:t>
      </w:r>
      <w:r>
        <w:t xml:space="preserve">), „Linguistische Poetik“. In: </w:t>
      </w:r>
      <w:r w:rsidR="008A6F22">
        <w:t xml:space="preserve">Hans P. </w:t>
      </w:r>
      <w:r>
        <w:t>Althaus</w:t>
      </w:r>
      <w:r w:rsidR="008A6F22">
        <w:t>, Helmut Henne und Herbert E. Wiegand,</w:t>
      </w:r>
      <w:r>
        <w:t xml:space="preserve"> </w:t>
      </w:r>
      <w:r>
        <w:rPr>
          <w:i/>
          <w:iCs/>
        </w:rPr>
        <w:t xml:space="preserve">Lexikon der Germanistischen Linguistik. </w:t>
      </w:r>
      <w:r w:rsidR="00DA5B8F" w:rsidRPr="00DA5B8F">
        <w:rPr>
          <w:iCs/>
          <w:lang w:val="en-US"/>
        </w:rPr>
        <w:t xml:space="preserve">2. </w:t>
      </w:r>
      <w:r w:rsidR="00DA5B8F">
        <w:rPr>
          <w:iCs/>
          <w:lang w:val="en-US"/>
        </w:rPr>
        <w:t xml:space="preserve">Aufl. </w:t>
      </w:r>
      <w:r>
        <w:rPr>
          <w:lang w:val="en-GB"/>
        </w:rPr>
        <w:t>Tübingen: Niemeyer.</w:t>
      </w:r>
      <w:r w:rsidR="00DA5B8F">
        <w:rPr>
          <w:lang w:val="en-GB"/>
        </w:rPr>
        <w:t xml:space="preserve"> 687-697.</w:t>
      </w:r>
    </w:p>
    <w:p w:rsidR="001F35D2" w:rsidRPr="007F14C7" w:rsidRDefault="001F35D2" w:rsidP="001F35D2">
      <w:pPr>
        <w:pStyle w:val="Text"/>
        <w:ind w:left="454" w:hanging="454"/>
        <w:rPr>
          <w:lang w:val="en-US"/>
        </w:rPr>
      </w:pPr>
      <w:r w:rsidRPr="005F4525">
        <w:rPr>
          <w:lang w:val="en-US"/>
        </w:rPr>
        <w:t>Posner, Roland (19</w:t>
      </w:r>
      <w:r>
        <w:rPr>
          <w:lang w:val="en-US"/>
        </w:rPr>
        <w:t>80c</w:t>
      </w:r>
      <w:r w:rsidRPr="005F4525">
        <w:rPr>
          <w:lang w:val="en-US"/>
        </w:rPr>
        <w:t>), „Linguistic T</w:t>
      </w:r>
      <w:r>
        <w:rPr>
          <w:lang w:val="en-US"/>
        </w:rPr>
        <w:t>ools of Literary Interpretation – as Exe</w:t>
      </w:r>
      <w:r>
        <w:rPr>
          <w:lang w:val="en-US"/>
        </w:rPr>
        <w:t>m</w:t>
      </w:r>
      <w:r>
        <w:rPr>
          <w:lang w:val="en-US"/>
        </w:rPr>
        <w:t>plified in the Two Centuries of Goethe-Criticism</w:t>
      </w:r>
      <w:r w:rsidRPr="005F4525">
        <w:rPr>
          <w:lang w:val="en-US"/>
        </w:rPr>
        <w:t>“</w:t>
      </w:r>
      <w:r>
        <w:rPr>
          <w:lang w:val="en-US"/>
        </w:rPr>
        <w:t xml:space="preserve">. </w:t>
      </w:r>
      <w:r w:rsidR="00026F53">
        <w:rPr>
          <w:lang w:val="en-US"/>
        </w:rPr>
        <w:t xml:space="preserve">In: </w:t>
      </w:r>
      <w:r w:rsidRPr="00083AF6">
        <w:rPr>
          <w:lang w:val="en-US"/>
        </w:rPr>
        <w:t xml:space="preserve">Béla Köpeczi und György M. Vajda (Hg.), </w:t>
      </w:r>
      <w:r w:rsidRPr="00083AF6">
        <w:rPr>
          <w:i/>
          <w:lang w:val="en-US"/>
        </w:rPr>
        <w:t>Actes du VIII</w:t>
      </w:r>
      <w:r w:rsidRPr="00083AF6">
        <w:rPr>
          <w:i/>
          <w:vertAlign w:val="superscript"/>
          <w:lang w:val="en-US"/>
        </w:rPr>
        <w:t>e</w:t>
      </w:r>
      <w:r w:rsidRPr="00083AF6">
        <w:rPr>
          <w:i/>
          <w:lang w:val="en-US"/>
        </w:rPr>
        <w:t xml:space="preserve"> congrès de l’Association Internati</w:t>
      </w:r>
      <w:r w:rsidRPr="00083AF6">
        <w:rPr>
          <w:i/>
          <w:lang w:val="en-US"/>
        </w:rPr>
        <w:t>o</w:t>
      </w:r>
      <w:r w:rsidRPr="00083AF6">
        <w:rPr>
          <w:i/>
          <w:lang w:val="en-US"/>
        </w:rPr>
        <w:t>nale de Littérature Comparée.</w:t>
      </w:r>
      <w:r w:rsidRPr="00083AF6">
        <w:rPr>
          <w:lang w:val="en-US"/>
        </w:rPr>
        <w:t xml:space="preserve"> Stuttgart: Bieber. </w:t>
      </w:r>
      <w:r w:rsidRPr="007F14C7">
        <w:rPr>
          <w:lang w:val="en-US"/>
        </w:rPr>
        <w:t>805-826. Deutsch als: Po</w:t>
      </w:r>
      <w:r w:rsidRPr="007F14C7">
        <w:rPr>
          <w:lang w:val="en-US"/>
        </w:rPr>
        <w:t>s</w:t>
      </w:r>
      <w:r w:rsidRPr="007F14C7">
        <w:rPr>
          <w:lang w:val="en-US"/>
        </w:rPr>
        <w:t>ner 1984.</w:t>
      </w:r>
    </w:p>
    <w:p w:rsidR="00D2554C" w:rsidRDefault="00D2554C" w:rsidP="009F0669">
      <w:pPr>
        <w:pStyle w:val="Text"/>
        <w:ind w:left="454" w:hanging="454"/>
      </w:pPr>
      <w:r>
        <w:rPr>
          <w:lang w:val="en-GB"/>
        </w:rPr>
        <w:t xml:space="preserve">Posner, Roland (1982), „Structuralism in the Interpretation of Poetry – Text </w:t>
      </w:r>
      <w:r w:rsidR="00334FC3">
        <w:rPr>
          <w:lang w:val="en-GB"/>
        </w:rPr>
        <w:t>Description and Reader Response.</w:t>
      </w:r>
      <w:r>
        <w:rPr>
          <w:lang w:val="en-GB"/>
        </w:rPr>
        <w:t xml:space="preserve"> Baudelaire's </w:t>
      </w:r>
      <w:r>
        <w:rPr>
          <w:i/>
          <w:iCs/>
          <w:lang w:val="en-GB"/>
        </w:rPr>
        <w:t>Les chats</w:t>
      </w:r>
      <w:r>
        <w:rPr>
          <w:lang w:val="en-GB"/>
        </w:rPr>
        <w:t xml:space="preserve">“. In: </w:t>
      </w:r>
      <w:r w:rsidR="006123A9">
        <w:rPr>
          <w:lang w:val="en-GB"/>
        </w:rPr>
        <w:t>Ders.,</w:t>
      </w:r>
      <w:r>
        <w:rPr>
          <w:lang w:val="en-GB"/>
        </w:rPr>
        <w:t xml:space="preserve"> </w:t>
      </w:r>
      <w:r>
        <w:rPr>
          <w:i/>
          <w:iCs/>
          <w:lang w:val="en-GB"/>
        </w:rPr>
        <w:t>R</w:t>
      </w:r>
      <w:r>
        <w:rPr>
          <w:i/>
          <w:iCs/>
          <w:lang w:val="en-GB"/>
        </w:rPr>
        <w:t>a</w:t>
      </w:r>
      <w:r>
        <w:rPr>
          <w:i/>
          <w:iCs/>
          <w:lang w:val="en-GB"/>
        </w:rPr>
        <w:t xml:space="preserve">tional Discourse and Poetic Communication. </w:t>
      </w:r>
      <w:r w:rsidR="002B08F7" w:rsidRPr="00A826D1">
        <w:t>Den Haag u.a.: Mouton</w:t>
      </w:r>
      <w:r w:rsidRPr="00A826D1">
        <w:t>.</w:t>
      </w:r>
      <w:r w:rsidR="00424C68" w:rsidRPr="00A826D1">
        <w:t xml:space="preserve"> </w:t>
      </w:r>
      <w:r w:rsidR="00424C68" w:rsidRPr="00424C68">
        <w:t>129-159.</w:t>
      </w:r>
    </w:p>
    <w:p w:rsidR="00051F42" w:rsidRPr="00424C68" w:rsidRDefault="00051F42" w:rsidP="009F0669">
      <w:pPr>
        <w:pStyle w:val="Text"/>
        <w:ind w:left="454" w:hanging="454"/>
      </w:pPr>
      <w:r>
        <w:t xml:space="preserve">Posner, Roland (1983), „Kodes als Zeichen“. </w:t>
      </w:r>
      <w:r w:rsidRPr="00051F42">
        <w:rPr>
          <w:i/>
        </w:rPr>
        <w:t>Zeitschrift für Semiotik</w:t>
      </w:r>
      <w:r>
        <w:t xml:space="preserve"> 5: 401-408.</w:t>
      </w:r>
    </w:p>
    <w:p w:rsidR="00F415BC" w:rsidRDefault="00F415BC" w:rsidP="009F0669">
      <w:pPr>
        <w:pStyle w:val="Text"/>
        <w:ind w:left="454" w:hanging="454"/>
      </w:pPr>
      <w:r w:rsidRPr="00114850">
        <w:t>Posner, Roland (1984), „Sprachliche Mittel literarischer Interpretation. Zwe</w:t>
      </w:r>
      <w:r w:rsidRPr="00114850">
        <w:t>i</w:t>
      </w:r>
      <w:r w:rsidRPr="00114850">
        <w:t>hundert Jahre Goethe-P</w:t>
      </w:r>
      <w:r>
        <w:t xml:space="preserve">hilologie“. In: Hans-Werner Eroms und Hartmut Laufhütte (Hg.), </w:t>
      </w:r>
      <w:r w:rsidRPr="003E74B2">
        <w:rPr>
          <w:i/>
        </w:rPr>
        <w:t>Vielfalt der Perspektiven</w:t>
      </w:r>
      <w:r w:rsidR="00334FC3">
        <w:rPr>
          <w:i/>
        </w:rPr>
        <w:t>.</w:t>
      </w:r>
      <w:r w:rsidRPr="003E74B2">
        <w:rPr>
          <w:i/>
        </w:rPr>
        <w:t xml:space="preserve"> Wissenschaft und Kunst in der </w:t>
      </w:r>
      <w:r w:rsidRPr="003E74B2">
        <w:rPr>
          <w:i/>
        </w:rPr>
        <w:lastRenderedPageBreak/>
        <w:t>Auseinandersetzung mit Goethes Werk</w:t>
      </w:r>
      <w:r>
        <w:t xml:space="preserve">. </w:t>
      </w:r>
      <w:r w:rsidRPr="00137D44">
        <w:t>Passau: Passavia Uni</w:t>
      </w:r>
      <w:r w:rsidR="00E84DB1" w:rsidRPr="00137D44">
        <w:t>versitätsverlag.</w:t>
      </w:r>
      <w:r w:rsidRPr="00137D44">
        <w:t xml:space="preserve"> 179-206.</w:t>
      </w:r>
    </w:p>
    <w:p w:rsidR="00E84936" w:rsidRPr="00137D44" w:rsidRDefault="00E84936" w:rsidP="009F0669">
      <w:pPr>
        <w:pStyle w:val="Text"/>
        <w:ind w:left="454" w:hanging="454"/>
      </w:pPr>
      <w:r>
        <w:t>Posner, Roland (1986), „Zur Systematik der Beschreibung verbaler und nonve</w:t>
      </w:r>
      <w:r>
        <w:t>r</w:t>
      </w:r>
      <w:r>
        <w:t xml:space="preserve">baler Kommunikation. Semiotik als Propädeutik der Medienanalyse“. In: Hans-Georg Bosshardt (Hg.), </w:t>
      </w:r>
      <w:r w:rsidRPr="00E84936">
        <w:rPr>
          <w:i/>
        </w:rPr>
        <w:t>Perspektiven auf Sprache. Interdisziplinäre Beiträge zum Gedenken an Hans Hörmann.</w:t>
      </w:r>
      <w:r>
        <w:t xml:space="preserve"> Berlin u.a.: de Gruyter. 267-314.</w:t>
      </w:r>
    </w:p>
    <w:p w:rsidR="00CC1C5D" w:rsidRPr="00CF6A86" w:rsidRDefault="00CC1C5D" w:rsidP="009F0669">
      <w:pPr>
        <w:pStyle w:val="Text"/>
        <w:ind w:left="454" w:hanging="454"/>
        <w:rPr>
          <w:lang w:val="en-US"/>
        </w:rPr>
      </w:pPr>
      <w:r w:rsidRPr="0036565B">
        <w:t xml:space="preserve">Posner, Roland (1992), „Was ist Kultur? </w:t>
      </w:r>
      <w:r>
        <w:t>Zur semiotischen Explikation anthr</w:t>
      </w:r>
      <w:r>
        <w:t>o</w:t>
      </w:r>
      <w:r>
        <w:t xml:space="preserve">pologischer Grundbegriffe“. </w:t>
      </w:r>
      <w:r w:rsidRPr="0036565B">
        <w:t xml:space="preserve">In: Marlene Landsch u.a. (Hg.), </w:t>
      </w:r>
      <w:r w:rsidRPr="006F3577">
        <w:rPr>
          <w:i/>
        </w:rPr>
        <w:t>Kultur-Evolution</w:t>
      </w:r>
      <w:r w:rsidR="00334FC3">
        <w:rPr>
          <w:i/>
        </w:rPr>
        <w:t>.</w:t>
      </w:r>
      <w:r w:rsidRPr="006F3577">
        <w:rPr>
          <w:i/>
        </w:rPr>
        <w:t xml:space="preserve"> Fallstudien und Synthese</w:t>
      </w:r>
      <w:r w:rsidRPr="0036565B">
        <w:t xml:space="preserve">. </w:t>
      </w:r>
      <w:r w:rsidRPr="00CF6A86">
        <w:rPr>
          <w:lang w:val="en-US"/>
        </w:rPr>
        <w:t xml:space="preserve">Frankfurt a.M.: </w:t>
      </w:r>
      <w:r w:rsidR="00485845" w:rsidRPr="00CF6A86">
        <w:rPr>
          <w:lang w:val="en-US"/>
        </w:rPr>
        <w:t>Lang.</w:t>
      </w:r>
      <w:r w:rsidRPr="00CF6A86">
        <w:rPr>
          <w:lang w:val="en-US"/>
        </w:rPr>
        <w:t xml:space="preserve"> 1-65.</w:t>
      </w:r>
    </w:p>
    <w:p w:rsidR="00E84DB1" w:rsidRPr="00F72BAA" w:rsidRDefault="00E84DB1" w:rsidP="009F0669">
      <w:pPr>
        <w:pStyle w:val="Text"/>
        <w:ind w:left="454" w:hanging="454"/>
      </w:pPr>
      <w:r w:rsidRPr="00334FC3">
        <w:rPr>
          <w:lang w:val="en-US"/>
        </w:rPr>
        <w:t>Posner, Roland (1993), „Believing, Causing, Intending</w:t>
      </w:r>
      <w:r w:rsidR="00334FC3" w:rsidRPr="00334FC3">
        <w:rPr>
          <w:lang w:val="en-US"/>
        </w:rPr>
        <w:t>.</w:t>
      </w:r>
      <w:r w:rsidRPr="00334FC3">
        <w:rPr>
          <w:lang w:val="en-US"/>
        </w:rPr>
        <w:t xml:space="preserve"> The Basis for a Hiera</w:t>
      </w:r>
      <w:r w:rsidRPr="00334FC3">
        <w:rPr>
          <w:lang w:val="en-US"/>
        </w:rPr>
        <w:t>r</w:t>
      </w:r>
      <w:r w:rsidRPr="00334FC3">
        <w:rPr>
          <w:lang w:val="en-US"/>
        </w:rPr>
        <w:t>chy of Sign Conc</w:t>
      </w:r>
      <w:r w:rsidRPr="00C15440">
        <w:rPr>
          <w:lang w:val="en-GB"/>
        </w:rPr>
        <w:t xml:space="preserve">epts in the Reconstruction of Communication“. In: René J. Jorna, Barend van Heusden und Roland Posner (Hg.): </w:t>
      </w:r>
      <w:r w:rsidR="00334FC3">
        <w:rPr>
          <w:i/>
          <w:iCs/>
          <w:lang w:val="en-GB"/>
        </w:rPr>
        <w:t>Signs, Search and Communication.</w:t>
      </w:r>
      <w:r w:rsidRPr="00C15440">
        <w:rPr>
          <w:i/>
          <w:iCs/>
          <w:lang w:val="en-GB"/>
        </w:rPr>
        <w:t xml:space="preserve"> Semiotic Aspects of Artificial Intelligence. </w:t>
      </w:r>
      <w:r w:rsidRPr="00A826D1">
        <w:rPr>
          <w:lang w:val="en-US"/>
        </w:rPr>
        <w:t xml:space="preserve">Berlin u.a.: de Gruyter. </w:t>
      </w:r>
      <w:r w:rsidRPr="00C15440">
        <w:t>215-270.</w:t>
      </w:r>
    </w:p>
    <w:p w:rsidR="00C463FA" w:rsidRPr="00F1724F" w:rsidRDefault="00C463FA" w:rsidP="009F0669">
      <w:pPr>
        <w:pStyle w:val="Text"/>
        <w:ind w:left="454" w:hanging="454"/>
        <w:rPr>
          <w:lang w:val="en-US"/>
        </w:rPr>
      </w:pPr>
      <w:r w:rsidRPr="00C15440">
        <w:t>Posner, Roland (1996)</w:t>
      </w:r>
      <w:r>
        <w:t>,</w:t>
      </w:r>
      <w:r w:rsidRPr="00C15440">
        <w:t xml:space="preserve"> „Sprachphilosophie und Semiotik“. In: Marcelo Dascal u.a. (Hg.): </w:t>
      </w:r>
      <w:r w:rsidRPr="00C15440">
        <w:rPr>
          <w:i/>
          <w:iCs/>
        </w:rPr>
        <w:t xml:space="preserve">Sprachphilosophie. Ein internationales Handbuch zeitgenössischer Forschung. </w:t>
      </w:r>
      <w:r w:rsidRPr="002D53E0">
        <w:t xml:space="preserve">Berlin u.a.: de Gruyter. </w:t>
      </w:r>
      <w:r w:rsidRPr="00F1724F">
        <w:rPr>
          <w:lang w:val="en-US"/>
        </w:rPr>
        <w:t>1658-1685.</w:t>
      </w:r>
    </w:p>
    <w:p w:rsidR="008B76CC" w:rsidRPr="005B2C35" w:rsidRDefault="008B76CC" w:rsidP="009F0669">
      <w:pPr>
        <w:pStyle w:val="Text"/>
        <w:ind w:left="454" w:hanging="454"/>
      </w:pPr>
      <w:r w:rsidRPr="008B76CC">
        <w:rPr>
          <w:lang w:val="en-US"/>
        </w:rPr>
        <w:t>Posner, Roland (1997</w:t>
      </w:r>
      <w:r w:rsidR="003170D6">
        <w:rPr>
          <w:lang w:val="en-US"/>
        </w:rPr>
        <w:t>a</w:t>
      </w:r>
      <w:r w:rsidRPr="008B76CC">
        <w:rPr>
          <w:lang w:val="en-US"/>
        </w:rPr>
        <w:t xml:space="preserve">), „Semiotics and </w:t>
      </w:r>
      <w:r w:rsidR="00026F53">
        <w:rPr>
          <w:lang w:val="en-US"/>
        </w:rPr>
        <w:t>I</w:t>
      </w:r>
      <w:r w:rsidRPr="008B76CC">
        <w:rPr>
          <w:lang w:val="en-US"/>
        </w:rPr>
        <w:t xml:space="preserve">ts </w:t>
      </w:r>
      <w:r w:rsidR="00026F53">
        <w:rPr>
          <w:lang w:val="en-US"/>
        </w:rPr>
        <w:t>P</w:t>
      </w:r>
      <w:r>
        <w:rPr>
          <w:lang w:val="en-US"/>
        </w:rPr>
        <w:t xml:space="preserve">resentation in </w:t>
      </w:r>
      <w:r w:rsidR="00026F53">
        <w:rPr>
          <w:lang w:val="en-US"/>
        </w:rPr>
        <w:t>T</w:t>
      </w:r>
      <w:r>
        <w:rPr>
          <w:lang w:val="en-US"/>
        </w:rPr>
        <w:t xml:space="preserve">his </w:t>
      </w:r>
      <w:r w:rsidR="00026F53" w:rsidRPr="00AE4C69">
        <w:rPr>
          <w:lang w:val="en-US"/>
        </w:rPr>
        <w:t>H</w:t>
      </w:r>
      <w:r w:rsidRPr="00AE4C69">
        <w:rPr>
          <w:lang w:val="en-US"/>
        </w:rPr>
        <w:t xml:space="preserve">andbook“. </w:t>
      </w:r>
      <w:r w:rsidRPr="005B2C35">
        <w:t>In: Posner u.a</w:t>
      </w:r>
      <w:r w:rsidR="006B1205" w:rsidRPr="005B2C35">
        <w:t>.</w:t>
      </w:r>
      <w:r w:rsidRPr="005B2C35">
        <w:t xml:space="preserve"> 1997–2004, Bd. 1: 1-14.</w:t>
      </w:r>
    </w:p>
    <w:p w:rsidR="003170D6" w:rsidRPr="003170D6" w:rsidRDefault="003170D6" w:rsidP="009F0669">
      <w:pPr>
        <w:pStyle w:val="Text"/>
        <w:ind w:left="454" w:hanging="454"/>
      </w:pPr>
      <w:r w:rsidRPr="003170D6">
        <w:t>Posner, Roland (1997b), „</w:t>
      </w:r>
      <w:r w:rsidR="0090320C">
        <w:t>Pragmatics“. In: Posner u.a. 1997–2004, Bd. 1: 219-246.</w:t>
      </w:r>
    </w:p>
    <w:p w:rsidR="00D2554C" w:rsidRDefault="00D2554C" w:rsidP="009F0669">
      <w:pPr>
        <w:pStyle w:val="Text"/>
        <w:ind w:left="454" w:hanging="454"/>
      </w:pPr>
      <w:r w:rsidRPr="008B76CC">
        <w:t>Posner, Roland (2003</w:t>
      </w:r>
      <w:r w:rsidR="003C668A" w:rsidRPr="008B76CC">
        <w:t>a</w:t>
      </w:r>
      <w:r w:rsidRPr="008B76CC">
        <w:t>), „</w:t>
      </w:r>
      <w:r w:rsidRPr="008B76CC">
        <w:rPr>
          <w:iCs/>
        </w:rPr>
        <w:t xml:space="preserve">Kultursemiotik“. </w:t>
      </w:r>
      <w:r>
        <w:t xml:space="preserve">In: Ansgar Nünning und Vera Nünning (Hg.), </w:t>
      </w:r>
      <w:r>
        <w:rPr>
          <w:i/>
          <w:iCs/>
        </w:rPr>
        <w:t>Konzepte der Kulturwissenschaften. Theoretische Grundl</w:t>
      </w:r>
      <w:r>
        <w:rPr>
          <w:i/>
          <w:iCs/>
        </w:rPr>
        <w:t>a</w:t>
      </w:r>
      <w:r>
        <w:rPr>
          <w:i/>
          <w:iCs/>
        </w:rPr>
        <w:t xml:space="preserve">gen – Ansätze – Perspektiven. </w:t>
      </w:r>
      <w:r>
        <w:t>Stuttgart u.a.: Metzler. 39-66.</w:t>
      </w:r>
    </w:p>
    <w:p w:rsidR="00750EE6" w:rsidRPr="00F6198B" w:rsidRDefault="00750EE6" w:rsidP="009F0669">
      <w:pPr>
        <w:pStyle w:val="Text"/>
        <w:ind w:left="454" w:hanging="454"/>
      </w:pPr>
      <w:r w:rsidRPr="00CF6A86">
        <w:t xml:space="preserve">Posner, Roland (2003b), „The </w:t>
      </w:r>
      <w:r w:rsidR="00026F53" w:rsidRPr="00CF6A86">
        <w:t>R</w:t>
      </w:r>
      <w:r w:rsidRPr="00CF6A86">
        <w:t xml:space="preserve">elationship </w:t>
      </w:r>
      <w:r w:rsidR="00AE4C69" w:rsidRPr="00CF6A86">
        <w:t>b</w:t>
      </w:r>
      <w:r w:rsidRPr="00CF6A86">
        <w:t xml:space="preserve">etween </w:t>
      </w:r>
      <w:r w:rsidR="00026F53" w:rsidRPr="00CF6A86">
        <w:t>I</w:t>
      </w:r>
      <w:r w:rsidRPr="00CF6A86">
        <w:t xml:space="preserve">ndividual </w:t>
      </w:r>
      <w:r w:rsidR="00026F53" w:rsidRPr="00CF6A86">
        <w:t>D</w:t>
      </w:r>
      <w:r w:rsidRPr="00CF6A86">
        <w:t xml:space="preserve">isciplines and </w:t>
      </w:r>
      <w:r w:rsidR="00026F53" w:rsidRPr="00CF6A86">
        <w:t>I</w:t>
      </w:r>
      <w:r w:rsidRPr="00CF6A86">
        <w:t xml:space="preserve">nterdisciplinary </w:t>
      </w:r>
      <w:r w:rsidR="00026F53" w:rsidRPr="00CF6A86">
        <w:t>A</w:t>
      </w:r>
      <w:r w:rsidRPr="00CF6A86">
        <w:t xml:space="preserve">pproaches“. </w:t>
      </w:r>
      <w:r w:rsidRPr="00F6198B">
        <w:t>In: Posner u.a</w:t>
      </w:r>
      <w:r w:rsidR="006B1205" w:rsidRPr="00F6198B">
        <w:t>.</w:t>
      </w:r>
      <w:r w:rsidRPr="00F6198B">
        <w:t xml:space="preserve"> 1997–2004, Bd. 3: 2341-2374.</w:t>
      </w:r>
    </w:p>
    <w:p w:rsidR="003C668A" w:rsidRDefault="003C668A" w:rsidP="009F0669">
      <w:pPr>
        <w:pStyle w:val="Text"/>
        <w:ind w:left="454" w:hanging="454"/>
      </w:pPr>
      <w:r w:rsidRPr="004E2BAD">
        <w:rPr>
          <w:lang w:val="en-US"/>
        </w:rPr>
        <w:t>Posner, Roland (2003</w:t>
      </w:r>
      <w:r w:rsidR="000B45EF" w:rsidRPr="004E2BAD">
        <w:rPr>
          <w:lang w:val="en-US"/>
        </w:rPr>
        <w:t>c</w:t>
      </w:r>
      <w:r w:rsidRPr="004E2BAD">
        <w:rPr>
          <w:lang w:val="en-US"/>
        </w:rPr>
        <w:t>), „</w:t>
      </w:r>
      <w:r w:rsidR="00750EE6" w:rsidRPr="004E2BAD">
        <w:rPr>
          <w:lang w:val="en-US"/>
        </w:rPr>
        <w:t xml:space="preserve">The </w:t>
      </w:r>
      <w:r w:rsidR="00026F53">
        <w:rPr>
          <w:lang w:val="en-US"/>
        </w:rPr>
        <w:t>S</w:t>
      </w:r>
      <w:r w:rsidR="00750EE6" w:rsidRPr="004E2BAD">
        <w:rPr>
          <w:lang w:val="en-US"/>
        </w:rPr>
        <w:t xml:space="preserve">emiotic </w:t>
      </w:r>
      <w:r w:rsidR="00026F53">
        <w:rPr>
          <w:lang w:val="en-US"/>
        </w:rPr>
        <w:t>R</w:t>
      </w:r>
      <w:r w:rsidR="00750EE6" w:rsidRPr="004E2BAD">
        <w:rPr>
          <w:lang w:val="en-US"/>
        </w:rPr>
        <w:t xml:space="preserve">econstruction of </w:t>
      </w:r>
      <w:r w:rsidR="00026F53">
        <w:rPr>
          <w:lang w:val="en-US"/>
        </w:rPr>
        <w:t>I</w:t>
      </w:r>
      <w:r w:rsidR="00750EE6" w:rsidRPr="004E2BAD">
        <w:rPr>
          <w:lang w:val="en-US"/>
        </w:rPr>
        <w:t xml:space="preserve">ndividual </w:t>
      </w:r>
      <w:r w:rsidR="00026F53">
        <w:rPr>
          <w:lang w:val="en-US"/>
        </w:rPr>
        <w:t>D</w:t>
      </w:r>
      <w:r w:rsidR="00750EE6" w:rsidRPr="004E2BAD">
        <w:rPr>
          <w:lang w:val="en-US"/>
        </w:rPr>
        <w:t>isc</w:t>
      </w:r>
      <w:r w:rsidR="00750EE6" w:rsidRPr="004E2BAD">
        <w:rPr>
          <w:lang w:val="en-US"/>
        </w:rPr>
        <w:t>i</w:t>
      </w:r>
      <w:r w:rsidR="00750EE6" w:rsidRPr="004E2BAD">
        <w:rPr>
          <w:lang w:val="en-US"/>
        </w:rPr>
        <w:t>plines</w:t>
      </w:r>
      <w:r w:rsidRPr="004E2BAD">
        <w:rPr>
          <w:lang w:val="en-US"/>
        </w:rPr>
        <w:t xml:space="preserve">“. </w:t>
      </w:r>
      <w:r>
        <w:t>In: Posner u.a</w:t>
      </w:r>
      <w:r w:rsidR="006B1205">
        <w:t>.</w:t>
      </w:r>
      <w:r>
        <w:t xml:space="preserve"> 1997–2004, Bd.</w:t>
      </w:r>
      <w:r w:rsidR="00E01CB9">
        <w:t> </w:t>
      </w:r>
      <w:r>
        <w:t>3: 2562-2569.</w:t>
      </w:r>
    </w:p>
    <w:p w:rsidR="00354A21" w:rsidRDefault="00354A21" w:rsidP="00354A21">
      <w:pPr>
        <w:ind w:left="454" w:hanging="454"/>
      </w:pPr>
      <w:r>
        <w:rPr>
          <w:color w:val="000000"/>
        </w:rPr>
        <w:t>Posner, Roland (2010),</w:t>
      </w:r>
      <w:r w:rsidRPr="007E424A">
        <w:rPr>
          <w:color w:val="000000"/>
        </w:rPr>
        <w:t xml:space="preserve"> „Die Wahrnehmung von Bildern als Zeichenprozess“</w:t>
      </w:r>
      <w:r>
        <w:rPr>
          <w:color w:val="000000"/>
        </w:rPr>
        <w:t>. I</w:t>
      </w:r>
      <w:r w:rsidRPr="007E424A">
        <w:rPr>
          <w:color w:val="000000"/>
        </w:rPr>
        <w:t xml:space="preserve">n: </w:t>
      </w:r>
      <w:r>
        <w:rPr>
          <w:color w:val="000000"/>
        </w:rPr>
        <w:t xml:space="preserve">Dieter Maurer und Claudia Riboni (Hg.), </w:t>
      </w:r>
      <w:r w:rsidRPr="007E424A">
        <w:rPr>
          <w:i/>
          <w:iCs/>
        </w:rPr>
        <w:t xml:space="preserve">Bild und </w:t>
      </w:r>
      <w:r w:rsidRPr="007E424A">
        <w:rPr>
          <w:rStyle w:val="Hervorhebung"/>
          <w:rFonts w:cs="Times New Roman"/>
        </w:rPr>
        <w:t>Bildgenese</w:t>
      </w:r>
      <w:r>
        <w:t>.</w:t>
      </w:r>
      <w:r w:rsidRPr="007E424A">
        <w:t xml:space="preserve"> </w:t>
      </w:r>
      <w:r>
        <w:t xml:space="preserve">Bern </w:t>
      </w:r>
      <w:r w:rsidRPr="007E424A">
        <w:t>u.a.: Lang</w:t>
      </w:r>
      <w:r>
        <w:t>. 139-184</w:t>
      </w:r>
      <w:r w:rsidRPr="007E424A">
        <w:t>.</w:t>
      </w:r>
    </w:p>
    <w:p w:rsidR="00D2554C" w:rsidRDefault="00D2554C" w:rsidP="009F0669">
      <w:pPr>
        <w:pStyle w:val="Text"/>
        <w:ind w:left="454" w:hanging="454"/>
      </w:pPr>
      <w:r>
        <w:t xml:space="preserve">Posner, Roland, Klaus Robering und Thomas A. Sebeok (Hg.) (1997–2004), </w:t>
      </w:r>
      <w:r>
        <w:rPr>
          <w:i/>
          <w:iCs/>
        </w:rPr>
        <w:t>Semiotik / Semiotics</w:t>
      </w:r>
      <w:r w:rsidR="00486D46">
        <w:rPr>
          <w:i/>
          <w:iCs/>
        </w:rPr>
        <w:t>.</w:t>
      </w:r>
      <w:r>
        <w:rPr>
          <w:i/>
          <w:iCs/>
        </w:rPr>
        <w:t xml:space="preserve"> Ein Handbuch zu den zeichentheoretischen Grundlagen von Natur und Kultur. </w:t>
      </w:r>
      <w:r w:rsidRPr="00202CE1">
        <w:t>4 Bde. Berlin u.a.: de Gruyter.</w:t>
      </w:r>
    </w:p>
    <w:p w:rsidR="000964D4" w:rsidRDefault="000964D4" w:rsidP="009F0669">
      <w:pPr>
        <w:pStyle w:val="Text"/>
        <w:ind w:left="454" w:hanging="454"/>
      </w:pPr>
      <w:r>
        <w:t>Postel</w:t>
      </w:r>
      <w:r w:rsidR="00501DA2">
        <w:t>, Gert (2001)</w:t>
      </w:r>
      <w:r>
        <w:t xml:space="preserve">, </w:t>
      </w:r>
      <w:r>
        <w:rPr>
          <w:i/>
          <w:iCs/>
        </w:rPr>
        <w:t>Doktorspiele. Geständnisse eines Hochstaplers</w:t>
      </w:r>
      <w:r>
        <w:t>. Frankfurt a.M.: Eichborn.</w:t>
      </w:r>
    </w:p>
    <w:p w:rsidR="009C7ADB" w:rsidRDefault="009C7ADB" w:rsidP="009F0669">
      <w:pPr>
        <w:pStyle w:val="Text"/>
        <w:ind w:left="454" w:hanging="454"/>
      </w:pPr>
      <w:r>
        <w:t xml:space="preserve">Proust, Marcel </w:t>
      </w:r>
      <w:r w:rsidR="004F7EF5">
        <w:t>(1913–1927</w:t>
      </w:r>
      <w:r>
        <w:t xml:space="preserve">), </w:t>
      </w:r>
      <w:r w:rsidR="00644F1B" w:rsidRPr="00334FC3">
        <w:rPr>
          <w:i/>
        </w:rPr>
        <w:t>À</w:t>
      </w:r>
      <w:r w:rsidRPr="00334FC3">
        <w:rPr>
          <w:i/>
        </w:rPr>
        <w:t xml:space="preserve"> la recherche du temps perdu</w:t>
      </w:r>
      <w:r w:rsidR="008B4C6B" w:rsidRPr="00334FC3">
        <w:t>.</w:t>
      </w:r>
      <w:r w:rsidR="004F7EF5">
        <w:t xml:space="preserve"> 7 Bde.</w:t>
      </w:r>
      <w:r>
        <w:t xml:space="preserve"> </w:t>
      </w:r>
      <w:r w:rsidR="00644F1B">
        <w:t xml:space="preserve">Paris: Grasset/Gallimard. </w:t>
      </w:r>
      <w:r w:rsidR="008B4C6B">
        <w:t xml:space="preserve">Deutsch </w:t>
      </w:r>
      <w:r w:rsidR="00D60B41">
        <w:t>von Eva Rechel-Mertens:</w:t>
      </w:r>
      <w:r w:rsidR="008B4C6B">
        <w:t xml:space="preserve"> </w:t>
      </w:r>
      <w:r w:rsidRPr="008B4C6B">
        <w:rPr>
          <w:i/>
        </w:rPr>
        <w:t>Auf der Suche nach der verlorenen</w:t>
      </w:r>
      <w:r w:rsidR="00644F1B">
        <w:rPr>
          <w:i/>
        </w:rPr>
        <w:t xml:space="preserve"> Zeit.</w:t>
      </w:r>
      <w:r w:rsidRPr="008B4C6B">
        <w:rPr>
          <w:i/>
        </w:rPr>
        <w:t xml:space="preserve"> </w:t>
      </w:r>
      <w:r w:rsidR="00644F1B">
        <w:t>Hg. von Luzius Keller. 7 Bde. Frankfurt a.M: Suhrkamp</w:t>
      </w:r>
      <w:r w:rsidR="00D60B41">
        <w:t xml:space="preserve"> 1994–2002</w:t>
      </w:r>
      <w:r w:rsidR="00644F1B">
        <w:t>.</w:t>
      </w:r>
    </w:p>
    <w:p w:rsidR="00760163" w:rsidRDefault="00760163" w:rsidP="009F0669">
      <w:pPr>
        <w:pStyle w:val="Text"/>
        <w:ind w:left="454" w:hanging="454"/>
      </w:pPr>
      <w:r>
        <w:lastRenderedPageBreak/>
        <w:t xml:space="preserve">Püschel, Ulrich (1983), „Stilanalyse als Stilverstehen“. In: Barbara Sandig (Hg.), </w:t>
      </w:r>
      <w:r w:rsidRPr="00760163">
        <w:rPr>
          <w:i/>
        </w:rPr>
        <w:t>Stilistik</w:t>
      </w:r>
      <w:r>
        <w:t xml:space="preserve">. Bd. 1: </w:t>
      </w:r>
      <w:r w:rsidRPr="00760163">
        <w:rPr>
          <w:i/>
        </w:rPr>
        <w:t>Probleme der Stilistik.</w:t>
      </w:r>
      <w:r>
        <w:t xml:space="preserve"> Hildesheim u.a.: </w:t>
      </w:r>
      <w:r w:rsidR="002B08F7">
        <w:t>Olms</w:t>
      </w:r>
      <w:r>
        <w:t>. 97-126.</w:t>
      </w:r>
    </w:p>
    <w:p w:rsidR="00E945C6" w:rsidRDefault="00E945C6" w:rsidP="00E945C6">
      <w:pPr>
        <w:pStyle w:val="Text"/>
        <w:ind w:left="454" w:hanging="454"/>
        <w:rPr>
          <w:rFonts w:cs="Times New Roman"/>
        </w:rPr>
      </w:pPr>
      <w:r>
        <w:rPr>
          <w:rFonts w:cs="Times New Roman"/>
        </w:rPr>
        <w:t>Püschel, Ulrich (1985), „Das Stilmuster ‚Abweichen‘. Sprachpragmatische Übe</w:t>
      </w:r>
      <w:r>
        <w:rPr>
          <w:rFonts w:cs="Times New Roman"/>
        </w:rPr>
        <w:t>r</w:t>
      </w:r>
      <w:r>
        <w:rPr>
          <w:rFonts w:cs="Times New Roman"/>
        </w:rPr>
        <w:t xml:space="preserve">legungen zur Abweichungsstilistik“. </w:t>
      </w:r>
      <w:r w:rsidRPr="007A0B7F">
        <w:rPr>
          <w:rFonts w:cs="Times New Roman"/>
          <w:i/>
        </w:rPr>
        <w:t>Sprache und Literatur in Wissenschaft und Unterricht</w:t>
      </w:r>
      <w:r>
        <w:rPr>
          <w:rFonts w:cs="Times New Roman"/>
        </w:rPr>
        <w:t xml:space="preserve"> 16, </w:t>
      </w:r>
      <w:r w:rsidR="00750243">
        <w:rPr>
          <w:rFonts w:cs="Times New Roman"/>
        </w:rPr>
        <w:t>1</w:t>
      </w:r>
      <w:r>
        <w:rPr>
          <w:rFonts w:cs="Times New Roman"/>
        </w:rPr>
        <w:t>: 9-24.</w:t>
      </w:r>
    </w:p>
    <w:p w:rsidR="00F03CCC" w:rsidRPr="001929CA" w:rsidRDefault="00F03CCC" w:rsidP="009F0669">
      <w:pPr>
        <w:pStyle w:val="Text"/>
        <w:ind w:left="454" w:hanging="454"/>
      </w:pPr>
      <w:r w:rsidRPr="00F03CCC">
        <w:t xml:space="preserve">Püschel, Ulrich (1991), </w:t>
      </w:r>
      <w:r>
        <w:t>„</w:t>
      </w:r>
      <w:r w:rsidRPr="00F03CCC">
        <w:t xml:space="preserve">Stilistik: Nicht Goldmarie – nicht Pechmarie. </w:t>
      </w:r>
      <w:r w:rsidRPr="001929CA">
        <w:t>Ein Sa</w:t>
      </w:r>
      <w:r w:rsidRPr="001929CA">
        <w:t>m</w:t>
      </w:r>
      <w:r w:rsidRPr="001929CA">
        <w:t xml:space="preserve">melbericht“. </w:t>
      </w:r>
      <w:r w:rsidRPr="001929CA">
        <w:rPr>
          <w:i/>
        </w:rPr>
        <w:t>Deutsche Sprache</w:t>
      </w:r>
      <w:r w:rsidRPr="001929CA">
        <w:t xml:space="preserve"> 1: 50-67.</w:t>
      </w:r>
    </w:p>
    <w:p w:rsidR="009F4750" w:rsidRPr="002E5E45" w:rsidRDefault="009F4750" w:rsidP="009F0669">
      <w:pPr>
        <w:pStyle w:val="Text"/>
        <w:ind w:left="454" w:hanging="454"/>
      </w:pPr>
      <w:r>
        <w:t>Püschel, Ulrich (2008</w:t>
      </w:r>
      <w:r w:rsidRPr="00F03CCC">
        <w:t>),</w:t>
      </w:r>
      <w:r>
        <w:t xml:space="preserve"> „Kommunikativ-pragmatische Stilauffassungen“. </w:t>
      </w:r>
      <w:r w:rsidRPr="002E5E45">
        <w:t>In: Fix u.a. 2008–2009</w:t>
      </w:r>
      <w:r w:rsidR="009D2CB4" w:rsidRPr="002E5E45">
        <w:t>, Bd. 1:</w:t>
      </w:r>
      <w:r w:rsidRPr="002E5E45">
        <w:t xml:space="preserve"> 1023-1037.</w:t>
      </w:r>
    </w:p>
    <w:p w:rsidR="00ED4C50" w:rsidRDefault="00ED4C50" w:rsidP="009F0669">
      <w:pPr>
        <w:pStyle w:val="Text"/>
        <w:ind w:left="454" w:hanging="454"/>
        <w:rPr>
          <w:lang w:val="en-US"/>
        </w:rPr>
      </w:pPr>
      <w:r w:rsidRPr="00ED4C50">
        <w:rPr>
          <w:lang w:val="en-US"/>
        </w:rPr>
        <w:t xml:space="preserve">Putnam, Hilary (1975), „The </w:t>
      </w:r>
      <w:r w:rsidR="00486D46">
        <w:rPr>
          <w:lang w:val="en-US"/>
        </w:rPr>
        <w:t>M</w:t>
      </w:r>
      <w:r w:rsidRPr="00ED4C50">
        <w:rPr>
          <w:lang w:val="en-US"/>
        </w:rPr>
        <w:t>eaning of ‚</w:t>
      </w:r>
      <w:r w:rsidR="00486D46">
        <w:rPr>
          <w:lang w:val="en-US"/>
        </w:rPr>
        <w:t>M</w:t>
      </w:r>
      <w:r w:rsidRPr="00ED4C50">
        <w:rPr>
          <w:lang w:val="en-US"/>
        </w:rPr>
        <w:t>eaning</w:t>
      </w:r>
      <w:r w:rsidRPr="00355B97">
        <w:rPr>
          <w:lang w:val="en-US"/>
        </w:rPr>
        <w:t>‘</w:t>
      </w:r>
      <w:r w:rsidRPr="00ED4C50">
        <w:rPr>
          <w:lang w:val="en-US"/>
        </w:rPr>
        <w:t xml:space="preserve">“. </w:t>
      </w:r>
      <w:r>
        <w:rPr>
          <w:lang w:val="en-US"/>
        </w:rPr>
        <w:t xml:space="preserve">In: Keith Gunderson (Hg.), </w:t>
      </w:r>
      <w:r w:rsidRPr="00355B97">
        <w:rPr>
          <w:i/>
          <w:lang w:val="en-US"/>
        </w:rPr>
        <w:t xml:space="preserve">Language, </w:t>
      </w:r>
      <w:r w:rsidR="00486D46">
        <w:rPr>
          <w:i/>
          <w:lang w:val="en-US"/>
        </w:rPr>
        <w:t>M</w:t>
      </w:r>
      <w:r w:rsidRPr="00355B97">
        <w:rPr>
          <w:i/>
          <w:lang w:val="en-US"/>
        </w:rPr>
        <w:t>ind</w:t>
      </w:r>
      <w:r w:rsidR="007C0C06">
        <w:rPr>
          <w:i/>
          <w:lang w:val="en-US"/>
        </w:rPr>
        <w:t>,</w:t>
      </w:r>
      <w:r w:rsidRPr="00355B97">
        <w:rPr>
          <w:i/>
          <w:lang w:val="en-US"/>
        </w:rPr>
        <w:t xml:space="preserve"> and </w:t>
      </w:r>
      <w:r w:rsidR="00486D46">
        <w:rPr>
          <w:i/>
          <w:lang w:val="en-US"/>
        </w:rPr>
        <w:t>K</w:t>
      </w:r>
      <w:r w:rsidRPr="00355B97">
        <w:rPr>
          <w:i/>
          <w:lang w:val="en-US"/>
        </w:rPr>
        <w:t>nowledge.</w:t>
      </w:r>
      <w:r>
        <w:rPr>
          <w:lang w:val="en-US"/>
        </w:rPr>
        <w:t xml:space="preserve"> </w:t>
      </w:r>
      <w:r w:rsidRPr="00ED4C50">
        <w:rPr>
          <w:lang w:val="en-US"/>
        </w:rPr>
        <w:t>Minneapolis: University of Minn</w:t>
      </w:r>
      <w:r w:rsidRPr="00ED4C50">
        <w:rPr>
          <w:lang w:val="en-US"/>
        </w:rPr>
        <w:t>e</w:t>
      </w:r>
      <w:r w:rsidRPr="00ED4C50">
        <w:rPr>
          <w:lang w:val="en-US"/>
        </w:rPr>
        <w:t>sota Press.</w:t>
      </w:r>
      <w:r>
        <w:rPr>
          <w:lang w:val="en-US"/>
        </w:rPr>
        <w:t xml:space="preserve"> 131-193.</w:t>
      </w:r>
      <w:r w:rsidR="00355B97">
        <w:rPr>
          <w:lang w:val="en-US"/>
        </w:rPr>
        <w:t xml:space="preserve"> </w:t>
      </w:r>
      <w:r w:rsidR="00BD6313">
        <w:rPr>
          <w:lang w:val="en-US"/>
        </w:rPr>
        <w:t xml:space="preserve">Erneut </w:t>
      </w:r>
      <w:r w:rsidR="00355B97">
        <w:rPr>
          <w:lang w:val="en-US"/>
        </w:rPr>
        <w:t xml:space="preserve">in: Hilary Putnam (1975), </w:t>
      </w:r>
      <w:r w:rsidR="00355B97" w:rsidRPr="00355B97">
        <w:rPr>
          <w:i/>
          <w:lang w:val="en-US"/>
        </w:rPr>
        <w:t xml:space="preserve">Philosophical </w:t>
      </w:r>
      <w:r w:rsidR="007C0C06">
        <w:rPr>
          <w:i/>
          <w:lang w:val="en-US"/>
        </w:rPr>
        <w:t>P</w:t>
      </w:r>
      <w:r w:rsidR="00355B97" w:rsidRPr="00355B97">
        <w:rPr>
          <w:i/>
          <w:lang w:val="en-US"/>
        </w:rPr>
        <w:t>apers.</w:t>
      </w:r>
      <w:r w:rsidR="00355B97">
        <w:rPr>
          <w:lang w:val="en-US"/>
        </w:rPr>
        <w:t xml:space="preserve"> Bd. 2: </w:t>
      </w:r>
      <w:r w:rsidR="00355B97" w:rsidRPr="00355B97">
        <w:rPr>
          <w:i/>
          <w:lang w:val="en-US"/>
        </w:rPr>
        <w:t xml:space="preserve">Mind, </w:t>
      </w:r>
      <w:r w:rsidR="007C0C06">
        <w:rPr>
          <w:i/>
          <w:lang w:val="en-US"/>
        </w:rPr>
        <w:t>L</w:t>
      </w:r>
      <w:r w:rsidR="00355B97" w:rsidRPr="00355B97">
        <w:rPr>
          <w:i/>
          <w:lang w:val="en-US"/>
        </w:rPr>
        <w:t>anguage</w:t>
      </w:r>
      <w:r w:rsidR="007C0C06">
        <w:rPr>
          <w:i/>
          <w:lang w:val="en-US"/>
        </w:rPr>
        <w:t>,</w:t>
      </w:r>
      <w:r w:rsidR="00355B97" w:rsidRPr="00355B97">
        <w:rPr>
          <w:i/>
          <w:lang w:val="en-US"/>
        </w:rPr>
        <w:t xml:space="preserve"> and </w:t>
      </w:r>
      <w:r w:rsidR="007C0C06">
        <w:rPr>
          <w:i/>
          <w:lang w:val="en-US"/>
        </w:rPr>
        <w:t>R</w:t>
      </w:r>
      <w:r w:rsidR="00355B97" w:rsidRPr="00355B97">
        <w:rPr>
          <w:i/>
          <w:lang w:val="en-US"/>
        </w:rPr>
        <w:t>eality.</w:t>
      </w:r>
      <w:r w:rsidR="00355B97">
        <w:rPr>
          <w:lang w:val="en-US"/>
        </w:rPr>
        <w:t xml:space="preserve"> Cambridge</w:t>
      </w:r>
      <w:r w:rsidR="00BD6313">
        <w:rPr>
          <w:lang w:val="en-US"/>
        </w:rPr>
        <w:t xml:space="preserve"> GB</w:t>
      </w:r>
      <w:r w:rsidR="00355B97">
        <w:rPr>
          <w:lang w:val="en-US"/>
        </w:rPr>
        <w:t>: Cambridge University Press. 215-271.</w:t>
      </w:r>
    </w:p>
    <w:p w:rsidR="00BD16B5" w:rsidRDefault="00BD16B5" w:rsidP="009F0669">
      <w:pPr>
        <w:pStyle w:val="Text"/>
        <w:ind w:left="454" w:hanging="454"/>
        <w:rPr>
          <w:lang w:val="en-US"/>
        </w:rPr>
      </w:pPr>
      <w:r>
        <w:rPr>
          <w:lang w:val="fr-FR"/>
        </w:rPr>
        <w:t xml:space="preserve">Queneau, Robert (1947), </w:t>
      </w:r>
      <w:r>
        <w:rPr>
          <w:i/>
          <w:lang w:val="fr-FR"/>
        </w:rPr>
        <w:t>Exercices de style.</w:t>
      </w:r>
      <w:r>
        <w:rPr>
          <w:lang w:val="fr-FR"/>
        </w:rPr>
        <w:t xml:space="preserve"> Paris: Gallimard.</w:t>
      </w:r>
    </w:p>
    <w:p w:rsidR="00046E29" w:rsidRPr="00046E29" w:rsidRDefault="00046E29" w:rsidP="009F0669">
      <w:pPr>
        <w:pStyle w:val="Text"/>
        <w:ind w:left="454" w:hanging="454"/>
        <w:rPr>
          <w:lang w:val="en-US"/>
        </w:rPr>
      </w:pPr>
      <w:r w:rsidRPr="00444F5D">
        <w:rPr>
          <w:rFonts w:hAnsi="Symbol"/>
          <w:lang w:val="en-US"/>
        </w:rPr>
        <w:t>Quine, W</w:t>
      </w:r>
      <w:r w:rsidRPr="004675A6">
        <w:rPr>
          <w:rFonts w:hAnsi="Symbol"/>
          <w:lang w:val="en-US"/>
        </w:rPr>
        <w:t xml:space="preserve">illard van Orman </w:t>
      </w:r>
      <w:r w:rsidRPr="00046E29">
        <w:rPr>
          <w:lang w:val="en-US"/>
        </w:rPr>
        <w:t>(1953)</w:t>
      </w:r>
      <w:r>
        <w:rPr>
          <w:lang w:val="en-US"/>
        </w:rPr>
        <w:t>,</w:t>
      </w:r>
      <w:r w:rsidRPr="00046E29">
        <w:rPr>
          <w:lang w:val="en-US"/>
        </w:rPr>
        <w:t xml:space="preserve"> </w:t>
      </w:r>
      <w:r w:rsidRPr="00046E29">
        <w:rPr>
          <w:i/>
          <w:iCs/>
          <w:lang w:val="en-US"/>
        </w:rPr>
        <w:t>From a Logical Point of View</w:t>
      </w:r>
      <w:r w:rsidRPr="00046E29">
        <w:rPr>
          <w:lang w:val="en-US"/>
        </w:rPr>
        <w:t xml:space="preserve">. </w:t>
      </w:r>
      <w:r>
        <w:rPr>
          <w:lang w:val="en-US"/>
        </w:rPr>
        <w:t>Cambridge</w:t>
      </w:r>
      <w:r w:rsidR="00BD6313">
        <w:rPr>
          <w:lang w:val="en-US"/>
        </w:rPr>
        <w:t>,</w:t>
      </w:r>
      <w:r>
        <w:rPr>
          <w:lang w:val="en-US"/>
        </w:rPr>
        <w:t xml:space="preserve"> MA: </w:t>
      </w:r>
      <w:r w:rsidRPr="00046E29">
        <w:rPr>
          <w:lang w:val="en-US"/>
        </w:rPr>
        <w:t>Harvard Univ</w:t>
      </w:r>
      <w:r>
        <w:rPr>
          <w:lang w:val="en-US"/>
        </w:rPr>
        <w:t>ersity</w:t>
      </w:r>
      <w:r w:rsidRPr="00046E29">
        <w:rPr>
          <w:lang w:val="en-US"/>
        </w:rPr>
        <w:t xml:space="preserve"> Press.</w:t>
      </w:r>
    </w:p>
    <w:p w:rsidR="004675A6" w:rsidRPr="00706A0F" w:rsidRDefault="004675A6" w:rsidP="009F0669">
      <w:pPr>
        <w:pStyle w:val="Text"/>
        <w:ind w:left="454" w:hanging="454"/>
        <w:rPr>
          <w:lang w:val="en-US"/>
        </w:rPr>
      </w:pPr>
      <w:r w:rsidRPr="004675A6">
        <w:rPr>
          <w:rFonts w:hAnsi="Symbol"/>
          <w:lang w:val="en-US"/>
        </w:rPr>
        <w:t>Quine, Willard van Orman (</w:t>
      </w:r>
      <w:r w:rsidRPr="004675A6">
        <w:rPr>
          <w:lang w:val="en-US"/>
        </w:rPr>
        <w:t>1969</w:t>
      </w:r>
      <w:r>
        <w:rPr>
          <w:lang w:val="en-US"/>
        </w:rPr>
        <w:t>),</w:t>
      </w:r>
      <w:r w:rsidRPr="004675A6">
        <w:rPr>
          <w:lang w:val="en-US"/>
        </w:rPr>
        <w:t xml:space="preserve"> </w:t>
      </w:r>
      <w:r w:rsidRPr="004675A6">
        <w:rPr>
          <w:i/>
          <w:iCs/>
          <w:lang w:val="en-US"/>
        </w:rPr>
        <w:t>Ontological Relativity and Other Essays</w:t>
      </w:r>
      <w:r w:rsidRPr="004675A6">
        <w:rPr>
          <w:lang w:val="en-US"/>
        </w:rPr>
        <w:t xml:space="preserve">. </w:t>
      </w:r>
      <w:r w:rsidR="00046E29">
        <w:rPr>
          <w:lang w:val="en-US"/>
        </w:rPr>
        <w:t xml:space="preserve">New York: </w:t>
      </w:r>
      <w:r w:rsidRPr="004675A6">
        <w:rPr>
          <w:lang w:val="en-US"/>
        </w:rPr>
        <w:t>Columbia Univ</w:t>
      </w:r>
      <w:r w:rsidR="00046E29">
        <w:rPr>
          <w:lang w:val="en-US"/>
        </w:rPr>
        <w:t>ersity</w:t>
      </w:r>
      <w:r w:rsidRPr="004675A6">
        <w:rPr>
          <w:lang w:val="en-US"/>
        </w:rPr>
        <w:t xml:space="preserve"> Press.</w:t>
      </w:r>
    </w:p>
    <w:p w:rsidR="00D2554C" w:rsidRPr="00A64108" w:rsidRDefault="00D2554C" w:rsidP="009F0669">
      <w:pPr>
        <w:pStyle w:val="Text"/>
        <w:ind w:left="454" w:hanging="454"/>
        <w:rPr>
          <w:lang w:val="en-US"/>
        </w:rPr>
      </w:pPr>
      <w:r>
        <w:rPr>
          <w:lang w:val="en-GB"/>
        </w:rPr>
        <w:t>Raffman</w:t>
      </w:r>
      <w:r w:rsidR="00521F11">
        <w:rPr>
          <w:lang w:val="en-GB"/>
        </w:rPr>
        <w:t>,</w:t>
      </w:r>
      <w:r>
        <w:rPr>
          <w:lang w:val="en-GB"/>
        </w:rPr>
        <w:t xml:space="preserve"> Diana (2000), „Is Perceptual Indiscriminability Nontransitive?“ </w:t>
      </w:r>
      <w:r w:rsidRPr="001103E7">
        <w:rPr>
          <w:i/>
          <w:lang w:val="en-US"/>
        </w:rPr>
        <w:t>Phil</w:t>
      </w:r>
      <w:r w:rsidRPr="001103E7">
        <w:rPr>
          <w:i/>
          <w:lang w:val="en-US"/>
        </w:rPr>
        <w:t>o</w:t>
      </w:r>
      <w:r w:rsidRPr="001103E7">
        <w:rPr>
          <w:i/>
          <w:lang w:val="en-US"/>
        </w:rPr>
        <w:t>sophical Topics</w:t>
      </w:r>
      <w:r w:rsidRPr="001103E7">
        <w:rPr>
          <w:lang w:val="en-US"/>
        </w:rPr>
        <w:t xml:space="preserve"> 28, 1</w:t>
      </w:r>
      <w:r w:rsidR="00D81011">
        <w:rPr>
          <w:lang w:val="en-US"/>
        </w:rPr>
        <w:t xml:space="preserve"> (Themenheft </w:t>
      </w:r>
      <w:r w:rsidRPr="00D81011">
        <w:rPr>
          <w:i/>
          <w:lang w:val="en-US"/>
        </w:rPr>
        <w:t>Vagueness</w:t>
      </w:r>
      <w:r w:rsidR="00D81011">
        <w:rPr>
          <w:lang w:val="en-US"/>
        </w:rPr>
        <w:t xml:space="preserve">): 153-175. </w:t>
      </w:r>
      <w:r w:rsidR="00D81011" w:rsidRPr="00A64108">
        <w:rPr>
          <w:rStyle w:val="mediumb-text"/>
          <w:lang w:val="en-US"/>
        </w:rPr>
        <w:t xml:space="preserve">Online unter: http://philosophy.utoronto.ca/people/faculty/Is Perceptual Indiscriminability Nontransitive.pdf; Einsicht am </w:t>
      </w:r>
      <w:r w:rsidR="00021547">
        <w:rPr>
          <w:rStyle w:val="mediumb-text"/>
          <w:lang w:val="en-US"/>
        </w:rPr>
        <w:t>18</w:t>
      </w:r>
      <w:r w:rsidR="00D81011" w:rsidRPr="00A64108">
        <w:rPr>
          <w:rStyle w:val="mediumb-text"/>
          <w:lang w:val="en-US"/>
        </w:rPr>
        <w:t>.0</w:t>
      </w:r>
      <w:r w:rsidR="00021547">
        <w:rPr>
          <w:rStyle w:val="mediumb-text"/>
          <w:lang w:val="en-US"/>
        </w:rPr>
        <w:t>1</w:t>
      </w:r>
      <w:r w:rsidR="00D81011" w:rsidRPr="00A64108">
        <w:rPr>
          <w:rStyle w:val="mediumb-text"/>
          <w:lang w:val="en-US"/>
        </w:rPr>
        <w:t>.201</w:t>
      </w:r>
      <w:r w:rsidR="00021547">
        <w:rPr>
          <w:rStyle w:val="mediumb-text"/>
          <w:lang w:val="en-US"/>
        </w:rPr>
        <w:t>2</w:t>
      </w:r>
      <w:r w:rsidR="00D81011" w:rsidRPr="00A64108">
        <w:rPr>
          <w:rStyle w:val="mediumb-text"/>
          <w:lang w:val="en-US"/>
        </w:rPr>
        <w:t>.</w:t>
      </w:r>
    </w:p>
    <w:p w:rsidR="00381A51" w:rsidRDefault="00381A51" w:rsidP="009F0669">
      <w:pPr>
        <w:pStyle w:val="Text"/>
        <w:ind w:left="454" w:hanging="454"/>
        <w:rPr>
          <w:lang w:val="en-US"/>
        </w:rPr>
      </w:pPr>
      <w:r w:rsidRPr="00E54E61">
        <w:rPr>
          <w:lang w:val="en-US"/>
        </w:rPr>
        <w:t xml:space="preserve">Ravenhill, Mark (1996), </w:t>
      </w:r>
      <w:r w:rsidRPr="00E54E61">
        <w:rPr>
          <w:i/>
          <w:lang w:val="en-US"/>
        </w:rPr>
        <w:t>Shopping and Fucking.</w:t>
      </w:r>
      <w:r>
        <w:rPr>
          <w:lang w:val="en-US"/>
        </w:rPr>
        <w:t xml:space="preserve"> </w:t>
      </w:r>
      <w:r w:rsidRPr="00381A51">
        <w:rPr>
          <w:lang w:val="en-US"/>
        </w:rPr>
        <w:t xml:space="preserve">Theatermanuskript. Erschienen als: </w:t>
      </w:r>
      <w:r w:rsidRPr="00381A51">
        <w:rPr>
          <w:i/>
          <w:lang w:val="en-US"/>
        </w:rPr>
        <w:t>Shopping and Fucking.</w:t>
      </w:r>
      <w:r w:rsidRPr="00381A51">
        <w:rPr>
          <w:lang w:val="en-US"/>
        </w:rPr>
        <w:t xml:space="preserve"> London: Methuen</w:t>
      </w:r>
      <w:r w:rsidR="00BD6313">
        <w:rPr>
          <w:lang w:val="en-US"/>
        </w:rPr>
        <w:t xml:space="preserve"> </w:t>
      </w:r>
      <w:r w:rsidR="00BD6313" w:rsidRPr="00381A51">
        <w:rPr>
          <w:lang w:val="en-US"/>
        </w:rPr>
        <w:t>2001</w:t>
      </w:r>
      <w:r w:rsidRPr="00381A51">
        <w:rPr>
          <w:lang w:val="en-US"/>
        </w:rPr>
        <w:t>.</w:t>
      </w:r>
    </w:p>
    <w:p w:rsidR="00E44B1E" w:rsidRDefault="00E44B1E" w:rsidP="009F0669">
      <w:pPr>
        <w:pStyle w:val="Text"/>
        <w:ind w:left="454" w:hanging="454"/>
        <w:rPr>
          <w:lang w:val="en-US"/>
        </w:rPr>
      </w:pPr>
      <w:r>
        <w:rPr>
          <w:lang w:val="en-US"/>
        </w:rPr>
        <w:t xml:space="preserve">Revzin, Isaak O. (1970), </w:t>
      </w:r>
      <w:r>
        <w:rPr>
          <w:lang w:val="en-GB"/>
        </w:rPr>
        <w:t>„</w:t>
      </w:r>
      <w:r>
        <w:rPr>
          <w:lang w:val="en-US"/>
        </w:rPr>
        <w:t>Generative Grammars, Stylistics and Poetics</w:t>
      </w:r>
      <w:r>
        <w:rPr>
          <w:lang w:val="en-GB"/>
        </w:rPr>
        <w:t>“</w:t>
      </w:r>
      <w:r>
        <w:rPr>
          <w:lang w:val="en-US"/>
        </w:rPr>
        <w:t xml:space="preserve">. In: Algirdas Greimas, Roman Jakobson </w:t>
      </w:r>
      <w:r w:rsidR="002B08F7">
        <w:rPr>
          <w:lang w:val="en-US"/>
        </w:rPr>
        <w:t xml:space="preserve">u.a. </w:t>
      </w:r>
      <w:r>
        <w:rPr>
          <w:lang w:val="en-US"/>
        </w:rPr>
        <w:t xml:space="preserve">(Hg.), </w:t>
      </w:r>
      <w:r w:rsidRPr="00E44B1E">
        <w:rPr>
          <w:i/>
          <w:lang w:val="en-US"/>
        </w:rPr>
        <w:t>Sign – Language – Culture.</w:t>
      </w:r>
      <w:r>
        <w:rPr>
          <w:lang w:val="en-US"/>
        </w:rPr>
        <w:t xml:space="preserve"> </w:t>
      </w:r>
      <w:r w:rsidR="002B08F7">
        <w:rPr>
          <w:lang w:val="en-US"/>
        </w:rPr>
        <w:t>Den Haag u.a.: Mouton</w:t>
      </w:r>
      <w:r>
        <w:rPr>
          <w:lang w:val="en-US"/>
        </w:rPr>
        <w:t>. 558-569.</w:t>
      </w:r>
    </w:p>
    <w:p w:rsidR="00922B72" w:rsidRPr="00922B72" w:rsidRDefault="00922B72" w:rsidP="009F0669">
      <w:pPr>
        <w:pStyle w:val="Text"/>
        <w:ind w:left="454" w:hanging="454"/>
        <w:rPr>
          <w:lang w:val="en-US"/>
        </w:rPr>
      </w:pPr>
      <w:r>
        <w:rPr>
          <w:lang w:val="en-US"/>
        </w:rPr>
        <w:t xml:space="preserve">Richards, Ivor A. (1929), </w:t>
      </w:r>
      <w:r w:rsidRPr="00922B72">
        <w:rPr>
          <w:i/>
          <w:lang w:val="en-US"/>
        </w:rPr>
        <w:t>Practical Criticism. A Study of Literary Judgment.</w:t>
      </w:r>
      <w:r>
        <w:rPr>
          <w:lang w:val="en-US"/>
        </w:rPr>
        <w:t xml:space="preserve"> </w:t>
      </w:r>
      <w:r>
        <w:rPr>
          <w:rFonts w:eastAsia="Times New Roman" w:cs="Times New Roman"/>
          <w:iCs/>
          <w:lang w:val="en-US"/>
        </w:rPr>
        <w:t>Lo</w:t>
      </w:r>
      <w:r>
        <w:rPr>
          <w:rFonts w:eastAsia="Times New Roman" w:cs="Times New Roman"/>
          <w:iCs/>
          <w:lang w:val="en-US"/>
        </w:rPr>
        <w:t>n</w:t>
      </w:r>
      <w:r>
        <w:rPr>
          <w:rFonts w:eastAsia="Times New Roman" w:cs="Times New Roman"/>
          <w:iCs/>
          <w:lang w:val="en-US"/>
        </w:rPr>
        <w:t>don: Routledge and Kegan Paul.</w:t>
      </w:r>
    </w:p>
    <w:p w:rsidR="00540504" w:rsidRPr="00540504" w:rsidRDefault="00540504" w:rsidP="009F0669">
      <w:pPr>
        <w:pStyle w:val="Text"/>
        <w:ind w:left="454" w:hanging="454"/>
        <w:rPr>
          <w:rFonts w:cs="Times New Roman"/>
        </w:rPr>
      </w:pPr>
      <w:r w:rsidRPr="00540504">
        <w:rPr>
          <w:lang w:val="en-US"/>
        </w:rPr>
        <w:t xml:space="preserve">Richardson, Lewis F. (1960), </w:t>
      </w:r>
      <w:r w:rsidR="007C0C06">
        <w:rPr>
          <w:i/>
          <w:lang w:val="en-US"/>
        </w:rPr>
        <w:t>Arms and Insecurity</w:t>
      </w:r>
      <w:r w:rsidR="00215EBC">
        <w:rPr>
          <w:i/>
          <w:lang w:val="en-US"/>
        </w:rPr>
        <w:t>.</w:t>
      </w:r>
      <w:r w:rsidRPr="00540504">
        <w:rPr>
          <w:i/>
          <w:lang w:val="en-US"/>
        </w:rPr>
        <w:t xml:space="preserve"> A Mathematical Study of the Causes and Origins of War.</w:t>
      </w:r>
      <w:r>
        <w:rPr>
          <w:lang w:val="en-US"/>
        </w:rPr>
        <w:t xml:space="preserve"> </w:t>
      </w:r>
      <w:r w:rsidRPr="00613241">
        <w:t>Pittsbu</w:t>
      </w:r>
      <w:r w:rsidRPr="00540504">
        <w:t>rgh u.a.: The Boxwood Press.</w:t>
      </w:r>
    </w:p>
    <w:p w:rsidR="00A4396B" w:rsidRPr="00A4396B" w:rsidRDefault="00A4396B" w:rsidP="009F0669">
      <w:pPr>
        <w:pStyle w:val="Text"/>
        <w:ind w:left="454" w:hanging="454"/>
        <w:rPr>
          <w:rFonts w:cs="Times New Roman"/>
        </w:rPr>
      </w:pPr>
      <w:r w:rsidRPr="00A4396B">
        <w:rPr>
          <w:rFonts w:eastAsia="Times New Roman" w:cs="Times New Roman"/>
        </w:rPr>
        <w:t>Richter, Rudolf</w:t>
      </w:r>
      <w:r>
        <w:rPr>
          <w:rFonts w:eastAsia="Times New Roman" w:cs="Times New Roman"/>
        </w:rPr>
        <w:t xml:space="preserve"> (</w:t>
      </w:r>
      <w:r w:rsidRPr="00A4396B">
        <w:rPr>
          <w:rFonts w:eastAsia="Times New Roman" w:cs="Times New Roman"/>
        </w:rPr>
        <w:t>2005</w:t>
      </w:r>
      <w:r>
        <w:rPr>
          <w:rFonts w:eastAsia="Times New Roman" w:cs="Times New Roman"/>
        </w:rPr>
        <w:t>),</w:t>
      </w:r>
      <w:r w:rsidRPr="00A4396B">
        <w:rPr>
          <w:rFonts w:eastAsia="Times New Roman" w:cs="Times New Roman"/>
        </w:rPr>
        <w:t xml:space="preserve"> </w:t>
      </w:r>
      <w:r w:rsidRPr="00A4396B">
        <w:rPr>
          <w:rFonts w:eastAsia="Times New Roman" w:cs="Times New Roman"/>
          <w:i/>
          <w:iCs/>
        </w:rPr>
        <w:t>Die Lebensstilgesellschaft</w:t>
      </w:r>
      <w:r w:rsidRPr="00A4396B">
        <w:rPr>
          <w:rFonts w:eastAsia="Times New Roman" w:cs="Times New Roman"/>
        </w:rPr>
        <w:t xml:space="preserve">. </w:t>
      </w:r>
      <w:r w:rsidR="009440FA">
        <w:t>Wiesbaden: Verlag für Sozia</w:t>
      </w:r>
      <w:r w:rsidR="009440FA">
        <w:t>l</w:t>
      </w:r>
      <w:r w:rsidR="009440FA">
        <w:t>wissenschaften.</w:t>
      </w:r>
    </w:p>
    <w:p w:rsidR="00AA1BC8" w:rsidRDefault="00AA1BC8" w:rsidP="009F0669">
      <w:pPr>
        <w:pStyle w:val="Text"/>
        <w:ind w:left="454" w:hanging="454"/>
      </w:pPr>
      <w:r w:rsidRPr="00A4396B">
        <w:rPr>
          <w:rFonts w:cs="Times New Roman"/>
        </w:rPr>
        <w:t>Riegl, Al</w:t>
      </w:r>
      <w:r>
        <w:t xml:space="preserve">ois (1893), </w:t>
      </w:r>
      <w:r w:rsidR="00432B9C">
        <w:rPr>
          <w:i/>
        </w:rPr>
        <w:t xml:space="preserve">Stilfragen. </w:t>
      </w:r>
      <w:r w:rsidRPr="00AA1BC8">
        <w:rPr>
          <w:i/>
        </w:rPr>
        <w:t>Grundlegungen zu einer Geschichte der Orname</w:t>
      </w:r>
      <w:r w:rsidRPr="00AA1BC8">
        <w:rPr>
          <w:i/>
        </w:rPr>
        <w:t>n</w:t>
      </w:r>
      <w:r w:rsidRPr="00AA1BC8">
        <w:rPr>
          <w:i/>
        </w:rPr>
        <w:t>tik.</w:t>
      </w:r>
      <w:r w:rsidR="006A28FF">
        <w:t xml:space="preserve"> Berlin: Siemens</w:t>
      </w:r>
      <w:r>
        <w:t>.</w:t>
      </w:r>
    </w:p>
    <w:p w:rsidR="00AA1BC8" w:rsidRDefault="00AA1BC8" w:rsidP="009F0669">
      <w:pPr>
        <w:pStyle w:val="Text"/>
        <w:ind w:left="454" w:hanging="454"/>
      </w:pPr>
      <w:r>
        <w:t xml:space="preserve">Riegl, Alois (1927), </w:t>
      </w:r>
      <w:r w:rsidRPr="00AA1BC8">
        <w:rPr>
          <w:i/>
        </w:rPr>
        <w:t>Spätrömische Kunstindustrie.</w:t>
      </w:r>
      <w:r>
        <w:t xml:space="preserve"> Wien: </w:t>
      </w:r>
      <w:r w:rsidR="00575ECC">
        <w:t>Österreichische Staat</w:t>
      </w:r>
      <w:r w:rsidR="00575ECC">
        <w:t>s</w:t>
      </w:r>
      <w:r w:rsidR="00575ECC">
        <w:t>druckerei</w:t>
      </w:r>
      <w:r>
        <w:t xml:space="preserve">. </w:t>
      </w:r>
      <w:r w:rsidR="00BD6313">
        <w:t xml:space="preserve">Erneut </w:t>
      </w:r>
      <w:r w:rsidR="001A463E">
        <w:t>in</w:t>
      </w:r>
      <w:r>
        <w:t>: Weissert 2009: 40-63.</w:t>
      </w:r>
    </w:p>
    <w:p w:rsidR="00657D3C" w:rsidRDefault="00657D3C" w:rsidP="009F0669">
      <w:pPr>
        <w:pStyle w:val="Text"/>
        <w:ind w:left="454" w:hanging="454"/>
      </w:pPr>
      <w:r>
        <w:t xml:space="preserve">Riemann, Hugo (1908), </w:t>
      </w:r>
      <w:r w:rsidRPr="00657D3C">
        <w:rPr>
          <w:i/>
        </w:rPr>
        <w:t>Kleines Handbuch der Musikgeschichte mit Periodisierung nach Stilprinzipien und Formen.</w:t>
      </w:r>
      <w:r>
        <w:t xml:space="preserve"> Leipzig: </w:t>
      </w:r>
      <w:r w:rsidR="009F1C20">
        <w:t>Breitkopf &amp; Härtel</w:t>
      </w:r>
      <w:r>
        <w:t>.</w:t>
      </w:r>
    </w:p>
    <w:p w:rsidR="00193A33" w:rsidRDefault="00193A33" w:rsidP="009F0669">
      <w:pPr>
        <w:pStyle w:val="Text"/>
        <w:ind w:left="454" w:hanging="454"/>
      </w:pPr>
      <w:r>
        <w:t xml:space="preserve">Riesel, Elise (1963), </w:t>
      </w:r>
      <w:r w:rsidRPr="001A4CEA">
        <w:rPr>
          <w:i/>
        </w:rPr>
        <w:t>Stilistik der deutschen Sprache</w:t>
      </w:r>
      <w:r>
        <w:t xml:space="preserve">. </w:t>
      </w:r>
      <w:r w:rsidR="00514EEC">
        <w:t xml:space="preserve">2., durchges. Aufl. </w:t>
      </w:r>
      <w:r w:rsidR="001A4CEA">
        <w:t xml:space="preserve">Moskau: </w:t>
      </w:r>
      <w:r w:rsidR="002B08F7">
        <w:t>Hochschulverlag</w:t>
      </w:r>
      <w:r w:rsidR="001A4CEA">
        <w:t>.</w:t>
      </w:r>
    </w:p>
    <w:p w:rsidR="00F562D2" w:rsidRDefault="00F562D2" w:rsidP="009F0669">
      <w:pPr>
        <w:pStyle w:val="Text"/>
        <w:ind w:left="454" w:hanging="454"/>
      </w:pPr>
      <w:r>
        <w:lastRenderedPageBreak/>
        <w:t xml:space="preserve">Riesel, Elise und Evgenia Schendels (1975), </w:t>
      </w:r>
      <w:r w:rsidRPr="00F562D2">
        <w:rPr>
          <w:i/>
        </w:rPr>
        <w:t>Deutsche Stilistik.</w:t>
      </w:r>
      <w:r>
        <w:t xml:space="preserve"> Moskau: </w:t>
      </w:r>
      <w:r w:rsidR="002B08F7">
        <w:t>Hoc</w:t>
      </w:r>
      <w:r w:rsidR="002B08F7">
        <w:t>h</w:t>
      </w:r>
      <w:r w:rsidR="002B08F7">
        <w:t>schulverlag.</w:t>
      </w:r>
    </w:p>
    <w:p w:rsidR="009901B1" w:rsidRPr="009D549F" w:rsidRDefault="009901B1" w:rsidP="009F0669">
      <w:pPr>
        <w:pStyle w:val="Text"/>
        <w:ind w:left="454" w:hanging="454"/>
        <w:rPr>
          <w:lang w:val="en-US"/>
        </w:rPr>
      </w:pPr>
      <w:r w:rsidRPr="00A44DB1">
        <w:t xml:space="preserve">Riffaterre, Michael (1957), </w:t>
      </w:r>
      <w:r w:rsidRPr="00A44DB1">
        <w:rPr>
          <w:i/>
        </w:rPr>
        <w:t>Le style des Pléiades de Gobineau</w:t>
      </w:r>
      <w:r w:rsidR="00107331">
        <w:rPr>
          <w:i/>
        </w:rPr>
        <w:t>.</w:t>
      </w:r>
      <w:r w:rsidRPr="00A44DB1">
        <w:rPr>
          <w:i/>
        </w:rPr>
        <w:t xml:space="preserve"> </w:t>
      </w:r>
      <w:r w:rsidRPr="00107331">
        <w:rPr>
          <w:i/>
          <w:lang w:val="en-US"/>
        </w:rPr>
        <w:t>Essai d’application d’une méthode stylistique.</w:t>
      </w:r>
      <w:r w:rsidRPr="00107331">
        <w:rPr>
          <w:lang w:val="en-US"/>
        </w:rPr>
        <w:t xml:space="preserve"> </w:t>
      </w:r>
      <w:r w:rsidRPr="009D549F">
        <w:rPr>
          <w:lang w:val="en-US"/>
        </w:rPr>
        <w:t>Genf: Droz/Paris: Minard.</w:t>
      </w:r>
    </w:p>
    <w:p w:rsidR="00B70107" w:rsidRDefault="00B70107" w:rsidP="009F0669">
      <w:pPr>
        <w:pStyle w:val="Text"/>
        <w:ind w:left="454" w:hanging="454"/>
        <w:rPr>
          <w:lang w:val="en-US"/>
        </w:rPr>
      </w:pPr>
      <w:r>
        <w:rPr>
          <w:lang w:val="en-US"/>
        </w:rPr>
        <w:t>Riffaterre, Michael (1959</w:t>
      </w:r>
      <w:r w:rsidRPr="00B70107">
        <w:rPr>
          <w:lang w:val="en-US"/>
        </w:rPr>
        <w:t>),</w:t>
      </w:r>
      <w:r>
        <w:rPr>
          <w:lang w:val="en-US"/>
        </w:rPr>
        <w:t xml:space="preserve"> </w:t>
      </w:r>
      <w:r w:rsidRPr="00FB585C">
        <w:rPr>
          <w:lang w:val="en-US"/>
        </w:rPr>
        <w:t>„</w:t>
      </w:r>
      <w:r>
        <w:rPr>
          <w:lang w:val="en-US"/>
        </w:rPr>
        <w:t>Criteria for Style Analysis</w:t>
      </w:r>
      <w:r w:rsidRPr="00FB585C">
        <w:rPr>
          <w:lang w:val="en-US"/>
        </w:rPr>
        <w:t>“</w:t>
      </w:r>
      <w:r>
        <w:rPr>
          <w:lang w:val="en-US"/>
        </w:rPr>
        <w:t xml:space="preserve">. </w:t>
      </w:r>
      <w:r w:rsidRPr="00B70107">
        <w:rPr>
          <w:i/>
          <w:lang w:val="en-US"/>
        </w:rPr>
        <w:t>Word</w:t>
      </w:r>
      <w:r>
        <w:rPr>
          <w:lang w:val="en-US"/>
        </w:rPr>
        <w:t xml:space="preserve"> 15</w:t>
      </w:r>
      <w:r w:rsidR="002B08F7">
        <w:rPr>
          <w:lang w:val="en-US"/>
        </w:rPr>
        <w:t>, 1</w:t>
      </w:r>
      <w:r>
        <w:rPr>
          <w:lang w:val="en-US"/>
        </w:rPr>
        <w:t>: 154-174.</w:t>
      </w:r>
    </w:p>
    <w:p w:rsidR="00B70107" w:rsidRPr="00B70107" w:rsidRDefault="00B70107" w:rsidP="009F0669">
      <w:pPr>
        <w:pStyle w:val="Text"/>
        <w:ind w:left="454" w:hanging="454"/>
        <w:rPr>
          <w:lang w:val="en-US"/>
        </w:rPr>
      </w:pPr>
      <w:r>
        <w:rPr>
          <w:lang w:val="en-US"/>
        </w:rPr>
        <w:t>Riffaterre, Michael (1960</w:t>
      </w:r>
      <w:r w:rsidRPr="00B70107">
        <w:rPr>
          <w:lang w:val="en-US"/>
        </w:rPr>
        <w:t>),</w:t>
      </w:r>
      <w:r>
        <w:rPr>
          <w:lang w:val="en-US"/>
        </w:rPr>
        <w:t xml:space="preserve"> </w:t>
      </w:r>
      <w:r w:rsidRPr="00FB585C">
        <w:rPr>
          <w:lang w:val="en-US"/>
        </w:rPr>
        <w:t>„</w:t>
      </w:r>
      <w:r>
        <w:rPr>
          <w:lang w:val="en-US"/>
        </w:rPr>
        <w:t>Stylistic Context</w:t>
      </w:r>
      <w:r w:rsidRPr="00FB585C">
        <w:rPr>
          <w:lang w:val="en-US"/>
        </w:rPr>
        <w:t>“</w:t>
      </w:r>
      <w:r>
        <w:rPr>
          <w:lang w:val="en-US"/>
        </w:rPr>
        <w:t xml:space="preserve">. </w:t>
      </w:r>
      <w:r w:rsidRPr="00B70107">
        <w:rPr>
          <w:i/>
          <w:lang w:val="en-US"/>
        </w:rPr>
        <w:t>Word</w:t>
      </w:r>
      <w:r>
        <w:rPr>
          <w:lang w:val="en-US"/>
        </w:rPr>
        <w:t xml:space="preserve"> 16</w:t>
      </w:r>
      <w:r w:rsidR="002B08F7">
        <w:rPr>
          <w:lang w:val="en-US"/>
        </w:rPr>
        <w:t>, 2</w:t>
      </w:r>
      <w:r>
        <w:rPr>
          <w:lang w:val="en-US"/>
        </w:rPr>
        <w:t>: 207-218.</w:t>
      </w:r>
    </w:p>
    <w:p w:rsidR="00FB585C" w:rsidRPr="00FB585C" w:rsidRDefault="00FB585C" w:rsidP="009F0669">
      <w:pPr>
        <w:pStyle w:val="Text"/>
        <w:ind w:left="454" w:hanging="454"/>
        <w:rPr>
          <w:lang w:val="en-US"/>
        </w:rPr>
      </w:pPr>
      <w:r>
        <w:rPr>
          <w:lang w:val="en-US"/>
        </w:rPr>
        <w:t>Riffaterre, Michael (1964</w:t>
      </w:r>
      <w:r w:rsidRPr="00FB585C">
        <w:rPr>
          <w:lang w:val="en-US"/>
        </w:rPr>
        <w:t xml:space="preserve">), „The </w:t>
      </w:r>
      <w:r w:rsidR="007C0C06">
        <w:rPr>
          <w:lang w:val="en-US"/>
        </w:rPr>
        <w:t>S</w:t>
      </w:r>
      <w:r w:rsidRPr="00FB585C">
        <w:rPr>
          <w:lang w:val="en-US"/>
        </w:rPr>
        <w:t xml:space="preserve">tylistic </w:t>
      </w:r>
      <w:r w:rsidR="007C0C06">
        <w:rPr>
          <w:lang w:val="en-US"/>
        </w:rPr>
        <w:t>F</w:t>
      </w:r>
      <w:r w:rsidRPr="00FB585C">
        <w:rPr>
          <w:lang w:val="en-US"/>
        </w:rPr>
        <w:t>un</w:t>
      </w:r>
      <w:r>
        <w:rPr>
          <w:lang w:val="en-US"/>
        </w:rPr>
        <w:t>c</w:t>
      </w:r>
      <w:r w:rsidRPr="00FB585C">
        <w:rPr>
          <w:lang w:val="en-US"/>
        </w:rPr>
        <w:t>tion“</w:t>
      </w:r>
      <w:r>
        <w:rPr>
          <w:lang w:val="en-US"/>
        </w:rPr>
        <w:t xml:space="preserve">. In: </w:t>
      </w:r>
      <w:r w:rsidRPr="00FB585C">
        <w:rPr>
          <w:i/>
          <w:lang w:val="en-US"/>
        </w:rPr>
        <w:t>Proceedings of the Ninth International Congress of Linguists</w:t>
      </w:r>
      <w:r>
        <w:rPr>
          <w:i/>
          <w:lang w:val="en-US"/>
        </w:rPr>
        <w:t>,</w:t>
      </w:r>
      <w:r w:rsidRPr="00FB585C">
        <w:rPr>
          <w:i/>
          <w:lang w:val="en-US"/>
        </w:rPr>
        <w:t xml:space="preserve"> Cambridge, M</w:t>
      </w:r>
      <w:r>
        <w:rPr>
          <w:i/>
          <w:lang w:val="en-US"/>
        </w:rPr>
        <w:t>A</w:t>
      </w:r>
      <w:r w:rsidRPr="00FB585C">
        <w:rPr>
          <w:i/>
          <w:lang w:val="en-US"/>
        </w:rPr>
        <w:t>, Aug. 27-31, 1962.</w:t>
      </w:r>
      <w:r>
        <w:rPr>
          <w:lang w:val="en-US"/>
        </w:rPr>
        <w:t xml:space="preserve"> </w:t>
      </w:r>
      <w:r w:rsidR="002B08F7" w:rsidRPr="0055560D">
        <w:t>Den Haag u.a.: Mouton</w:t>
      </w:r>
      <w:r w:rsidRPr="0055560D">
        <w:t>. 316-23.</w:t>
      </w:r>
      <w:r w:rsidR="0072201D" w:rsidRPr="0055560D">
        <w:t xml:space="preserve"> Deutsch von Wilhelm Bolle: </w:t>
      </w:r>
      <w:r w:rsidR="00623A84" w:rsidRPr="0055560D">
        <w:t xml:space="preserve">„Die stilistische Funktion“. </w:t>
      </w:r>
      <w:r w:rsidR="00623A84">
        <w:rPr>
          <w:lang w:val="en-US"/>
        </w:rPr>
        <w:t xml:space="preserve">In: </w:t>
      </w:r>
      <w:r w:rsidR="0072201D">
        <w:rPr>
          <w:lang w:val="en-US"/>
        </w:rPr>
        <w:t xml:space="preserve">Riffaterre 1973: </w:t>
      </w:r>
      <w:r w:rsidR="0072201D" w:rsidRPr="00156980">
        <w:rPr>
          <w:szCs w:val="17"/>
          <w:lang w:val="en-US"/>
        </w:rPr>
        <w:t>124-136</w:t>
      </w:r>
      <w:r w:rsidR="0072201D">
        <w:rPr>
          <w:szCs w:val="17"/>
          <w:lang w:val="en-US"/>
        </w:rPr>
        <w:t>.</w:t>
      </w:r>
    </w:p>
    <w:p w:rsidR="0055710F" w:rsidRPr="005F1707" w:rsidRDefault="0055710F" w:rsidP="009F0669">
      <w:pPr>
        <w:pStyle w:val="Text"/>
        <w:ind w:left="454" w:hanging="454"/>
      </w:pPr>
      <w:r>
        <w:rPr>
          <w:lang w:val="en-GB"/>
        </w:rPr>
        <w:t>Riffaterre, Michael (1966), „Describing Poetic Structures</w:t>
      </w:r>
      <w:r w:rsidR="00107331">
        <w:rPr>
          <w:lang w:val="en-GB"/>
        </w:rPr>
        <w:t>.</w:t>
      </w:r>
      <w:r w:rsidR="001A463E">
        <w:rPr>
          <w:lang w:val="en-GB"/>
        </w:rPr>
        <w:t xml:space="preserve"> </w:t>
      </w:r>
      <w:r w:rsidRPr="00AB075B">
        <w:rPr>
          <w:lang w:val="en-US"/>
        </w:rPr>
        <w:t>Two Approaches to Baudelaire's</w:t>
      </w:r>
      <w:r w:rsidR="001A463E" w:rsidRPr="00AB075B">
        <w:rPr>
          <w:lang w:val="en-US"/>
        </w:rPr>
        <w:t xml:space="preserve"> ‚</w:t>
      </w:r>
      <w:r w:rsidRPr="00AB075B">
        <w:rPr>
          <w:lang w:val="en-US"/>
        </w:rPr>
        <w:t>Les Chats</w:t>
      </w:r>
      <w:r w:rsidR="001A463E" w:rsidRPr="00AB075B">
        <w:rPr>
          <w:lang w:val="en-US"/>
        </w:rPr>
        <w:t>‘</w:t>
      </w:r>
      <w:r w:rsidRPr="00AB075B">
        <w:rPr>
          <w:rFonts w:cs="Times New Roman"/>
          <w:lang w:val="en-US"/>
        </w:rPr>
        <w:t>“.</w:t>
      </w:r>
      <w:r w:rsidRPr="00AB075B">
        <w:rPr>
          <w:lang w:val="en-US"/>
        </w:rPr>
        <w:t xml:space="preserve"> </w:t>
      </w:r>
      <w:r w:rsidRPr="00114850">
        <w:rPr>
          <w:i/>
          <w:iCs/>
        </w:rPr>
        <w:t>Yale French Studies 36</w:t>
      </w:r>
      <w:r w:rsidRPr="00B96CA1">
        <w:rPr>
          <w:i/>
          <w:iCs/>
        </w:rPr>
        <w:t xml:space="preserve">/37: </w:t>
      </w:r>
      <w:r w:rsidRPr="00B96CA1">
        <w:t xml:space="preserve">200-242. </w:t>
      </w:r>
      <w:r w:rsidRPr="005F1707">
        <w:t xml:space="preserve">Deutsch </w:t>
      </w:r>
      <w:r w:rsidR="005F1707">
        <w:t xml:space="preserve">als: </w:t>
      </w:r>
      <w:r w:rsidR="005F1707" w:rsidRPr="00C26220">
        <w:t>„</w:t>
      </w:r>
      <w:r w:rsidR="005F1707" w:rsidRPr="005F1707">
        <w:t xml:space="preserve">Die Beschreibung poetischer Strukturen. Zwei Versuche zu Baudelaires </w:t>
      </w:r>
      <w:r w:rsidR="00C26220">
        <w:t xml:space="preserve">Gedicht </w:t>
      </w:r>
      <w:r w:rsidR="005F1707" w:rsidRPr="005F1707">
        <w:t>‚Les Chats‘</w:t>
      </w:r>
      <w:r w:rsidR="005F1707" w:rsidRPr="005F1707">
        <w:rPr>
          <w:rFonts w:cs="Times New Roman"/>
        </w:rPr>
        <w:t>“.</w:t>
      </w:r>
      <w:r w:rsidR="005F1707">
        <w:rPr>
          <w:rFonts w:cs="Times New Roman"/>
        </w:rPr>
        <w:t xml:space="preserve"> In:</w:t>
      </w:r>
      <w:r w:rsidR="005F1707" w:rsidRPr="005F1707">
        <w:t xml:space="preserve"> </w:t>
      </w:r>
      <w:r w:rsidRPr="005F1707">
        <w:t>Riffaterre 1973: 232-282.</w:t>
      </w:r>
    </w:p>
    <w:p w:rsidR="00D2554C" w:rsidRDefault="00D2554C" w:rsidP="009F0669">
      <w:pPr>
        <w:pStyle w:val="Text"/>
        <w:ind w:left="454" w:hanging="454"/>
      </w:pPr>
      <w:r>
        <w:t xml:space="preserve">Riffaterre, Michael (1973), </w:t>
      </w:r>
      <w:r>
        <w:rPr>
          <w:i/>
          <w:iCs/>
        </w:rPr>
        <w:t xml:space="preserve">Strukturale Stilistik. </w:t>
      </w:r>
      <w:r>
        <w:t>München: List.</w:t>
      </w:r>
    </w:p>
    <w:p w:rsidR="00433D52" w:rsidRPr="002B08F7" w:rsidRDefault="00433D52" w:rsidP="009F0669">
      <w:pPr>
        <w:pStyle w:val="Text"/>
        <w:ind w:left="454" w:hanging="454"/>
        <w:rPr>
          <w:lang w:val="en-US"/>
        </w:rPr>
      </w:pPr>
      <w:r w:rsidRPr="00581B27">
        <w:t xml:space="preserve">Riffaterre, Michael (1978), </w:t>
      </w:r>
      <w:r w:rsidRPr="00581B27">
        <w:rPr>
          <w:i/>
        </w:rPr>
        <w:t>Semiotics of Poetry.</w:t>
      </w:r>
      <w:r w:rsidRPr="00581B27">
        <w:t xml:space="preserve"> </w:t>
      </w:r>
      <w:r w:rsidR="003B51A4" w:rsidRPr="002B08F7">
        <w:rPr>
          <w:lang w:val="en-US"/>
        </w:rPr>
        <w:t xml:space="preserve">Bloomington u.a.: </w:t>
      </w:r>
      <w:r w:rsidR="002B08F7" w:rsidRPr="002B08F7">
        <w:rPr>
          <w:lang w:val="en-US"/>
        </w:rPr>
        <w:t>Indiana Un</w:t>
      </w:r>
      <w:r w:rsidR="002B08F7" w:rsidRPr="002B08F7">
        <w:rPr>
          <w:lang w:val="en-US"/>
        </w:rPr>
        <w:t>i</w:t>
      </w:r>
      <w:r w:rsidR="002B08F7" w:rsidRPr="002B08F7">
        <w:rPr>
          <w:lang w:val="en-US"/>
        </w:rPr>
        <w:t>versity Press</w:t>
      </w:r>
      <w:r w:rsidR="003B51A4" w:rsidRPr="002B08F7">
        <w:rPr>
          <w:lang w:val="en-US"/>
        </w:rPr>
        <w:t>.</w:t>
      </w:r>
    </w:p>
    <w:p w:rsidR="008A736F" w:rsidRPr="00581B27" w:rsidRDefault="008A736F" w:rsidP="009F0669">
      <w:pPr>
        <w:pStyle w:val="Text"/>
        <w:ind w:left="454" w:hanging="454"/>
      </w:pPr>
      <w:r w:rsidRPr="00581B27">
        <w:t>Robering, Klaus (1997), „Semantik“. In: Posner u.a. 1997–2004, Bd. 1: 83-219.</w:t>
      </w:r>
    </w:p>
    <w:p w:rsidR="00312AF7" w:rsidRDefault="00312AF7" w:rsidP="009F0669">
      <w:pPr>
        <w:pStyle w:val="Text"/>
        <w:ind w:left="454" w:hanging="454"/>
      </w:pPr>
      <w:r>
        <w:t>Robering, Klaus (2003), „Semiotik und Wissenschaftstheorie“. In: Posner u.a. 1997–2004, Bd. 3: 2375-2417.</w:t>
      </w:r>
    </w:p>
    <w:p w:rsidR="000228D7" w:rsidRDefault="000228D7" w:rsidP="009F0669">
      <w:pPr>
        <w:pStyle w:val="Text"/>
        <w:ind w:left="454" w:hanging="454"/>
      </w:pPr>
      <w:r w:rsidRPr="000228D7">
        <w:t xml:space="preserve">Roche, Jean (1972), „Les appels électoraux du général de Gaulle. </w:t>
      </w:r>
      <w:r w:rsidRPr="002A01BA">
        <w:t xml:space="preserve">Etude de stylistique quantitative“. </w:t>
      </w:r>
      <w:r w:rsidRPr="002A01BA">
        <w:rPr>
          <w:i/>
        </w:rPr>
        <w:t>Travaux de linguistique et de littérature de Stra</w:t>
      </w:r>
      <w:r w:rsidRPr="002A01BA">
        <w:rPr>
          <w:i/>
        </w:rPr>
        <w:t>s</w:t>
      </w:r>
      <w:r w:rsidRPr="002A01BA">
        <w:rPr>
          <w:i/>
        </w:rPr>
        <w:t>bourg</w:t>
      </w:r>
      <w:r w:rsidRPr="002A01BA">
        <w:t xml:space="preserve"> 10, 1: 141-168.</w:t>
      </w:r>
    </w:p>
    <w:p w:rsidR="00C371C8" w:rsidRDefault="00C371C8" w:rsidP="009F0669">
      <w:pPr>
        <w:pStyle w:val="Text"/>
        <w:ind w:left="454" w:hanging="454"/>
      </w:pPr>
      <w:r>
        <w:t xml:space="preserve">Roelcke, Thorsten (1999), </w:t>
      </w:r>
      <w:r w:rsidRPr="00C371C8">
        <w:rPr>
          <w:i/>
        </w:rPr>
        <w:t>Fachsprachen.</w:t>
      </w:r>
      <w:r>
        <w:t xml:space="preserve"> Berlin: </w:t>
      </w:r>
      <w:r w:rsidR="000F3068">
        <w:t>Schmidt.</w:t>
      </w:r>
    </w:p>
    <w:p w:rsidR="00CD1239" w:rsidRPr="00225B0D" w:rsidRDefault="00CD1239" w:rsidP="009F0669">
      <w:pPr>
        <w:pStyle w:val="Text"/>
        <w:ind w:left="454" w:hanging="454"/>
      </w:pPr>
      <w:r w:rsidRPr="00225B0D">
        <w:rPr>
          <w:lang w:val="en-US"/>
        </w:rPr>
        <w:t xml:space="preserve">Rosch, Eleanor (1975), </w:t>
      </w:r>
      <w:r w:rsidR="00225B0D" w:rsidRPr="00225B0D">
        <w:rPr>
          <w:lang w:val="en-US"/>
        </w:rPr>
        <w:t>„Cognitive Representations of Semantic Categories“.</w:t>
      </w:r>
      <w:r w:rsidR="00225B0D">
        <w:rPr>
          <w:lang w:val="en-US"/>
        </w:rPr>
        <w:t xml:space="preserve"> </w:t>
      </w:r>
      <w:r w:rsidR="00225B0D" w:rsidRPr="00225B0D">
        <w:rPr>
          <w:i/>
          <w:iCs/>
        </w:rPr>
        <w:t xml:space="preserve">Journal of Experimental Psychology: General </w:t>
      </w:r>
      <w:r w:rsidR="00225B0D" w:rsidRPr="00225B0D">
        <w:t>104, 3: 192-233.</w:t>
      </w:r>
    </w:p>
    <w:p w:rsidR="00427064" w:rsidRPr="00427064" w:rsidRDefault="00427064" w:rsidP="009F0669">
      <w:pPr>
        <w:pStyle w:val="Text"/>
        <w:ind w:left="454" w:hanging="454"/>
        <w:rPr>
          <w:rFonts w:eastAsia="TimesNewRomanPSMT"/>
        </w:rPr>
      </w:pPr>
      <w:r>
        <w:t>Rosenberg, Rainer, Wolfgang Brückle, Hans-Georg Soeffner und Jürgen Raab</w:t>
      </w:r>
      <w:r w:rsidR="004F6F83">
        <w:t xml:space="preserve"> </w:t>
      </w:r>
      <w:r w:rsidRPr="00820486">
        <w:rPr>
          <w:rFonts w:eastAsia="TimesNewRomanPSMT"/>
        </w:rPr>
        <w:t>(200</w:t>
      </w:r>
      <w:r w:rsidR="004F6F83">
        <w:rPr>
          <w:rFonts w:eastAsia="TimesNewRomanPSMT"/>
        </w:rPr>
        <w:t>3</w:t>
      </w:r>
      <w:r w:rsidRPr="00820486">
        <w:rPr>
          <w:rFonts w:eastAsia="TimesNewRomanPSMT"/>
        </w:rPr>
        <w:t>), „</w:t>
      </w:r>
      <w:r>
        <w:rPr>
          <w:rFonts w:eastAsia="TimesNewRomanPSMT"/>
        </w:rPr>
        <w:t>Stil</w:t>
      </w:r>
      <w:r w:rsidRPr="00820486">
        <w:rPr>
          <w:rFonts w:eastAsia="TimesNewRomanPSMT"/>
        </w:rPr>
        <w:t>“. In: Kar</w:t>
      </w:r>
      <w:r>
        <w:rPr>
          <w:rFonts w:eastAsia="TimesNewRomanPSMT"/>
        </w:rPr>
        <w:t>l</w:t>
      </w:r>
      <w:r w:rsidRPr="00820486">
        <w:rPr>
          <w:rFonts w:eastAsia="TimesNewRomanPSMT"/>
        </w:rPr>
        <w:t>heinz Barck u.a. (</w:t>
      </w:r>
      <w:r>
        <w:rPr>
          <w:rFonts w:eastAsia="TimesNewRomanPSMT"/>
        </w:rPr>
        <w:t>Hg.</w:t>
      </w:r>
      <w:r w:rsidRPr="00820486">
        <w:rPr>
          <w:rFonts w:eastAsia="TimesNewRomanPSMT"/>
        </w:rPr>
        <w:t>) (2000</w:t>
      </w:r>
      <w:r>
        <w:rPr>
          <w:rFonts w:eastAsia="TimesNewRomanPSMT"/>
        </w:rPr>
        <w:t>–2005</w:t>
      </w:r>
      <w:r w:rsidRPr="00820486">
        <w:rPr>
          <w:rFonts w:eastAsia="TimesNewRomanPSMT"/>
        </w:rPr>
        <w:t xml:space="preserve">), </w:t>
      </w:r>
      <w:r>
        <w:rPr>
          <w:rFonts w:eastAsia="TimesNewRomanPS-ItalicMT"/>
          <w:i/>
          <w:iCs/>
        </w:rPr>
        <w:t>Ä</w:t>
      </w:r>
      <w:r w:rsidRPr="00820486">
        <w:rPr>
          <w:rFonts w:eastAsia="TimesNewRomanPS-ItalicMT"/>
          <w:i/>
          <w:iCs/>
        </w:rPr>
        <w:t>sthetische Grundbegriffe</w:t>
      </w:r>
      <w:r w:rsidRPr="00820486">
        <w:rPr>
          <w:rFonts w:eastAsia="TimesNewRomanPSMT"/>
        </w:rPr>
        <w:t>. Bd.</w:t>
      </w:r>
      <w:r w:rsidR="004F6F83">
        <w:rPr>
          <w:rFonts w:eastAsia="TimesNewRomanPSMT"/>
        </w:rPr>
        <w:t> 5</w:t>
      </w:r>
      <w:r w:rsidRPr="00820486">
        <w:rPr>
          <w:rFonts w:eastAsia="TimesNewRomanPSMT"/>
        </w:rPr>
        <w:t>. Stuttgart und Weimar: Metzler.</w:t>
      </w:r>
      <w:r>
        <w:rPr>
          <w:rFonts w:eastAsia="TimesNewRomanPSMT"/>
        </w:rPr>
        <w:t xml:space="preserve"> </w:t>
      </w:r>
      <w:r w:rsidR="00D600D9">
        <w:rPr>
          <w:rFonts w:eastAsia="TimesNewRomanPSMT"/>
        </w:rPr>
        <w:t>641-703</w:t>
      </w:r>
      <w:r>
        <w:rPr>
          <w:rFonts w:eastAsia="TimesNewRomanPSMT"/>
        </w:rPr>
        <w:t>.</w:t>
      </w:r>
    </w:p>
    <w:p w:rsidR="00CB5838" w:rsidRDefault="00CB5838" w:rsidP="009F0669">
      <w:pPr>
        <w:pStyle w:val="Text"/>
        <w:ind w:left="454" w:hanging="454"/>
      </w:pPr>
      <w:r>
        <w:t xml:space="preserve">Rössel, Jörg (2009), </w:t>
      </w:r>
      <w:r w:rsidRPr="00CB5838">
        <w:rPr>
          <w:i/>
        </w:rPr>
        <w:t>Sozialstrukturanalyse. Eine kompakte Einführung.</w:t>
      </w:r>
      <w:r>
        <w:t xml:space="preserve"> Wiesb</w:t>
      </w:r>
      <w:r>
        <w:t>a</w:t>
      </w:r>
      <w:r>
        <w:t>den:</w:t>
      </w:r>
      <w:r w:rsidR="00F44C9F">
        <w:t xml:space="preserve"> </w:t>
      </w:r>
      <w:r>
        <w:t>Verlag für Sozialwissenschaften.</w:t>
      </w:r>
    </w:p>
    <w:p w:rsidR="004B6E22" w:rsidRDefault="004B6E22" w:rsidP="009F0669">
      <w:pPr>
        <w:pStyle w:val="Text"/>
        <w:ind w:left="454" w:hanging="454"/>
      </w:pPr>
      <w:r w:rsidRPr="008F3043">
        <w:rPr>
          <w:lang w:val="en-US"/>
        </w:rPr>
        <w:t xml:space="preserve">Roy, Deb (2005), „Semiotic </w:t>
      </w:r>
      <w:r w:rsidR="007C0C06">
        <w:rPr>
          <w:lang w:val="en-US"/>
        </w:rPr>
        <w:t>S</w:t>
      </w:r>
      <w:r w:rsidRPr="008F3043">
        <w:rPr>
          <w:lang w:val="en-US"/>
        </w:rPr>
        <w:t>chemas</w:t>
      </w:r>
      <w:r w:rsidR="00DD173E">
        <w:rPr>
          <w:lang w:val="en-US"/>
        </w:rPr>
        <w:t>.</w:t>
      </w:r>
      <w:r w:rsidRPr="008F3043">
        <w:rPr>
          <w:lang w:val="en-US"/>
        </w:rPr>
        <w:t xml:space="preserve"> A </w:t>
      </w:r>
      <w:r w:rsidR="007C0C06">
        <w:rPr>
          <w:lang w:val="en-US"/>
        </w:rPr>
        <w:t>F</w:t>
      </w:r>
      <w:r w:rsidRPr="008F3043">
        <w:rPr>
          <w:lang w:val="en-US"/>
        </w:rPr>
        <w:t xml:space="preserve">ramework for </w:t>
      </w:r>
      <w:r w:rsidR="007C0C06">
        <w:rPr>
          <w:lang w:val="en-US"/>
        </w:rPr>
        <w:t>G</w:t>
      </w:r>
      <w:r w:rsidRPr="008F3043">
        <w:rPr>
          <w:lang w:val="en-US"/>
        </w:rPr>
        <w:t xml:space="preserve">rounding </w:t>
      </w:r>
      <w:r w:rsidR="007C0C06">
        <w:rPr>
          <w:lang w:val="en-US"/>
        </w:rPr>
        <w:t>L</w:t>
      </w:r>
      <w:r w:rsidRPr="008F3043">
        <w:rPr>
          <w:lang w:val="en-US"/>
        </w:rPr>
        <w:t xml:space="preserve">anguage in </w:t>
      </w:r>
      <w:r w:rsidR="007C0C06">
        <w:rPr>
          <w:lang w:val="en-US"/>
        </w:rPr>
        <w:t>A</w:t>
      </w:r>
      <w:r w:rsidRPr="008F3043">
        <w:rPr>
          <w:lang w:val="en-US"/>
        </w:rPr>
        <w:t xml:space="preserve">ction and </w:t>
      </w:r>
      <w:r w:rsidR="007C0C06">
        <w:rPr>
          <w:lang w:val="en-US"/>
        </w:rPr>
        <w:t>P</w:t>
      </w:r>
      <w:r w:rsidRPr="008F3043">
        <w:rPr>
          <w:lang w:val="en-US"/>
        </w:rPr>
        <w:t>erception</w:t>
      </w:r>
      <w:r w:rsidRPr="008F3043">
        <w:rPr>
          <w:rFonts w:cs="Times New Roman"/>
          <w:lang w:val="en-US"/>
        </w:rPr>
        <w:t>“</w:t>
      </w:r>
      <w:r w:rsidRPr="008F3043">
        <w:rPr>
          <w:lang w:val="en-US"/>
        </w:rPr>
        <w:t xml:space="preserve">. </w:t>
      </w:r>
      <w:r w:rsidRPr="00A826D1">
        <w:rPr>
          <w:i/>
        </w:rPr>
        <w:t>Artificial Intelligence</w:t>
      </w:r>
      <w:r w:rsidRPr="00A826D1">
        <w:t xml:space="preserve"> 167: 170-205.</w:t>
      </w:r>
      <w:r w:rsidR="00085315" w:rsidRPr="00A826D1">
        <w:t xml:space="preserve"> </w:t>
      </w:r>
      <w:r w:rsidR="006939D8" w:rsidRPr="00DD173E">
        <w:t xml:space="preserve">Online unter: </w:t>
      </w:r>
      <w:r w:rsidR="00FA13B3" w:rsidRPr="00FA13B3">
        <w:t>http://www.cs.utexas.edu/users/kuipers/readings/Roy-aij-05.pdf</w:t>
      </w:r>
      <w:r w:rsidR="00FA13B3">
        <w:t xml:space="preserve">; </w:t>
      </w:r>
      <w:r w:rsidRPr="004B6E22">
        <w:t>Einsicht am 1</w:t>
      </w:r>
      <w:r w:rsidR="00AE77F1">
        <w:t>8</w:t>
      </w:r>
      <w:r w:rsidRPr="004B6E22">
        <w:t>.0</w:t>
      </w:r>
      <w:r w:rsidR="00AE77F1">
        <w:t>1</w:t>
      </w:r>
      <w:r w:rsidRPr="004B6E22">
        <w:t>.201</w:t>
      </w:r>
      <w:r w:rsidR="00AE77F1">
        <w:t>2</w:t>
      </w:r>
      <w:r w:rsidRPr="004B6E22">
        <w:t>.</w:t>
      </w:r>
    </w:p>
    <w:p w:rsidR="00C602EE" w:rsidRPr="00804576" w:rsidRDefault="00C602EE" w:rsidP="00C602EE">
      <w:pPr>
        <w:pStyle w:val="Text"/>
        <w:ind w:left="454" w:hanging="454"/>
        <w:rPr>
          <w:lang w:val="en-US"/>
        </w:rPr>
      </w:pPr>
      <w:r w:rsidRPr="00032168">
        <w:t xml:space="preserve">Rück, </w:t>
      </w:r>
      <w:r w:rsidR="00032168" w:rsidRPr="00032168">
        <w:t xml:space="preserve">Heribert (1978), „Stilanalyse mit Hilfe des theoretischen </w:t>
      </w:r>
      <w:r w:rsidR="00032168">
        <w:t xml:space="preserve">Ansatzes von Michael Riffaterre“. </w:t>
      </w:r>
      <w:r w:rsidR="00032168" w:rsidRPr="00804576">
        <w:rPr>
          <w:lang w:val="en-US"/>
        </w:rPr>
        <w:t xml:space="preserve">In: Gerhard Nickel (Hg.), </w:t>
      </w:r>
      <w:r w:rsidR="00032168" w:rsidRPr="00804576">
        <w:rPr>
          <w:i/>
          <w:lang w:val="en-US"/>
        </w:rPr>
        <w:t>Rhetoric and Stylistics.</w:t>
      </w:r>
      <w:r w:rsidR="00032168" w:rsidRPr="00804576">
        <w:rPr>
          <w:lang w:val="en-US"/>
        </w:rPr>
        <w:t xml:space="preserve"> Stuttgart: HochschulVerlag. 109-121.</w:t>
      </w:r>
    </w:p>
    <w:p w:rsidR="00F721E7" w:rsidRDefault="00F721E7" w:rsidP="009F0669">
      <w:pPr>
        <w:pStyle w:val="Text"/>
        <w:ind w:left="454" w:hanging="454"/>
        <w:rPr>
          <w:lang w:val="en-US"/>
        </w:rPr>
      </w:pPr>
      <w:r w:rsidRPr="00B96CA1">
        <w:rPr>
          <w:lang w:val="en-US"/>
        </w:rPr>
        <w:t xml:space="preserve">Rudler, Gustave (1902), </w:t>
      </w:r>
      <w:r w:rsidRPr="00B96CA1">
        <w:rPr>
          <w:i/>
          <w:lang w:val="en-US"/>
        </w:rPr>
        <w:t>L’explication</w:t>
      </w:r>
      <w:r w:rsidRPr="00B96CA1">
        <w:rPr>
          <w:lang w:val="en-US"/>
        </w:rPr>
        <w:t xml:space="preserve"> </w:t>
      </w:r>
      <w:r w:rsidRPr="00B96CA1">
        <w:rPr>
          <w:rStyle w:val="Hervorhebung"/>
          <w:lang w:val="en-US"/>
        </w:rPr>
        <w:t>française. Principes et applications.</w:t>
      </w:r>
      <w:r w:rsidRPr="00B96CA1">
        <w:rPr>
          <w:rStyle w:val="Hervorhebung"/>
          <w:i w:val="0"/>
          <w:lang w:val="en-US"/>
        </w:rPr>
        <w:t xml:space="preserve"> </w:t>
      </w:r>
      <w:r w:rsidRPr="006D337E">
        <w:rPr>
          <w:rStyle w:val="Hervorhebung"/>
          <w:i w:val="0"/>
          <w:lang w:val="en-US"/>
        </w:rPr>
        <w:t xml:space="preserve">Paris: </w:t>
      </w:r>
      <w:r w:rsidRPr="006D337E">
        <w:rPr>
          <w:lang w:val="en-US"/>
        </w:rPr>
        <w:t>Colin.</w:t>
      </w:r>
    </w:p>
    <w:p w:rsidR="00CC2B07" w:rsidRPr="005C5E1A" w:rsidRDefault="00CC2B07" w:rsidP="009F0669">
      <w:pPr>
        <w:pStyle w:val="Text"/>
        <w:ind w:left="454" w:hanging="454"/>
        <w:rPr>
          <w:lang w:val="en-US"/>
        </w:rPr>
      </w:pPr>
      <w:r w:rsidRPr="00CC2B07">
        <w:rPr>
          <w:lang w:val="en-US"/>
        </w:rPr>
        <w:t>Rudy, Stephen und Linda Waugh (1998), „Jakobson and Struc</w:t>
      </w:r>
      <w:r>
        <w:rPr>
          <w:lang w:val="en-US"/>
        </w:rPr>
        <w:t>turalism</w:t>
      </w:r>
      <w:r w:rsidRPr="00CC2B07">
        <w:rPr>
          <w:rFonts w:cs="Times New Roman"/>
          <w:lang w:val="en-US"/>
        </w:rPr>
        <w:t>“</w:t>
      </w:r>
      <w:r>
        <w:rPr>
          <w:lang w:val="en-US"/>
        </w:rPr>
        <w:t xml:space="preserve">. </w:t>
      </w:r>
      <w:r w:rsidRPr="005C5E1A">
        <w:rPr>
          <w:lang w:val="en-US"/>
        </w:rPr>
        <w:t>In: Po</w:t>
      </w:r>
      <w:r w:rsidRPr="005C5E1A">
        <w:rPr>
          <w:lang w:val="en-US"/>
        </w:rPr>
        <w:t>s</w:t>
      </w:r>
      <w:r w:rsidRPr="005C5E1A">
        <w:rPr>
          <w:lang w:val="en-US"/>
        </w:rPr>
        <w:t>ner u.a. 1997–2004, Bd. 2: 2256-2271.</w:t>
      </w:r>
    </w:p>
    <w:p w:rsidR="00BA6CDC" w:rsidRPr="00A64A9C" w:rsidRDefault="00BA6CDC" w:rsidP="009F0669">
      <w:pPr>
        <w:pStyle w:val="Text"/>
        <w:ind w:left="454" w:hanging="454"/>
        <w:rPr>
          <w:lang w:val="en-US"/>
        </w:rPr>
      </w:pPr>
      <w:r w:rsidRPr="00BA6CDC">
        <w:rPr>
          <w:lang w:val="en-US"/>
        </w:rPr>
        <w:t xml:space="preserve">Russell, William M. (1971), „Linguistic Stylistics“. </w:t>
      </w:r>
      <w:r w:rsidRPr="00A64A9C">
        <w:rPr>
          <w:i/>
          <w:lang w:val="en-US"/>
        </w:rPr>
        <w:t>Linguistics</w:t>
      </w:r>
      <w:r w:rsidRPr="00A64A9C">
        <w:rPr>
          <w:lang w:val="en-US"/>
        </w:rPr>
        <w:t xml:space="preserve"> 65: 75-82.</w:t>
      </w:r>
    </w:p>
    <w:p w:rsidR="00A11AA8" w:rsidRDefault="00A11AA8" w:rsidP="009F0669">
      <w:pPr>
        <w:pStyle w:val="Text"/>
        <w:ind w:left="454" w:hanging="454"/>
      </w:pPr>
      <w:r w:rsidRPr="00A11AA8">
        <w:lastRenderedPageBreak/>
        <w:t xml:space="preserve">Saladino, John (2001), </w:t>
      </w:r>
      <w:r w:rsidRPr="00A11AA8">
        <w:rPr>
          <w:i/>
        </w:rPr>
        <w:t>Stil.</w:t>
      </w:r>
      <w:r w:rsidRPr="00A11AA8">
        <w:t xml:space="preserve"> Hildesheim: Gerstenberg.</w:t>
      </w:r>
    </w:p>
    <w:p w:rsidR="00C60198" w:rsidRPr="00A11AA8" w:rsidRDefault="00C60198" w:rsidP="009F0669">
      <w:pPr>
        <w:pStyle w:val="Text"/>
        <w:ind w:left="454" w:hanging="454"/>
      </w:pPr>
      <w:r w:rsidRPr="00C461EE">
        <w:t>Sanders, Willy (197</w:t>
      </w:r>
      <w:r>
        <w:t>3</w:t>
      </w:r>
      <w:r w:rsidRPr="00C461EE">
        <w:t>),</w:t>
      </w:r>
      <w:r>
        <w:t xml:space="preserve"> </w:t>
      </w:r>
      <w:r w:rsidRPr="00C60198">
        <w:rPr>
          <w:i/>
        </w:rPr>
        <w:t>Linguistische Stiltheorie. Probleme, Prinzipien und moderne Perspektiven des Sprachstils.</w:t>
      </w:r>
      <w:r>
        <w:t xml:space="preserve"> Göttingen: Vandenhoeck &amp; Ruprecht.</w:t>
      </w:r>
    </w:p>
    <w:p w:rsidR="002C4072" w:rsidRDefault="002C4072" w:rsidP="009F0669">
      <w:pPr>
        <w:pStyle w:val="Text"/>
        <w:ind w:left="454" w:hanging="454"/>
      </w:pPr>
      <w:r w:rsidRPr="00C461EE">
        <w:t xml:space="preserve">Sanders, Willy (1977), </w:t>
      </w:r>
      <w:r w:rsidRPr="00C461EE">
        <w:rPr>
          <w:i/>
        </w:rPr>
        <w:t xml:space="preserve">Linguistische </w:t>
      </w:r>
      <w:r w:rsidRPr="002C4072">
        <w:rPr>
          <w:i/>
        </w:rPr>
        <w:t>Stilistik. Grundzüge der Stilanalyse sprachl</w:t>
      </w:r>
      <w:r w:rsidRPr="002C4072">
        <w:rPr>
          <w:i/>
        </w:rPr>
        <w:t>i</w:t>
      </w:r>
      <w:r w:rsidRPr="002C4072">
        <w:rPr>
          <w:i/>
        </w:rPr>
        <w:t>cher Kommunikation.</w:t>
      </w:r>
      <w:r>
        <w:t xml:space="preserve"> Göttingen: </w:t>
      </w:r>
      <w:r>
        <w:rPr>
          <w:noProof/>
        </w:rPr>
        <w:drawing>
          <wp:inline distT="0" distB="0" distL="0" distR="0">
            <wp:extent cx="10795" cy="10795"/>
            <wp:effectExtent l="0" t="0" r="0" b="0"/>
            <wp:docPr id="254" name="Bild 25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ink"/>
                    <pic:cNvPicPr>
                      <a:picLocks noChangeAspect="1" noChangeArrowheads="1"/>
                    </pic:cNvPicPr>
                  </pic:nvPicPr>
                  <pic:blipFill>
                    <a:blip r:embed="rId9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2C4072">
        <w:t>Vandenhoeck &amp; Ruprecht</w:t>
      </w:r>
      <w:r>
        <w:t>.</w:t>
      </w:r>
    </w:p>
    <w:p w:rsidR="00EB6D6E" w:rsidRDefault="00EB6D6E" w:rsidP="009F0669">
      <w:pPr>
        <w:pStyle w:val="Text"/>
        <w:ind w:left="454" w:hanging="454"/>
      </w:pPr>
      <w:r>
        <w:t xml:space="preserve">Sanders, Willy (1995), </w:t>
      </w:r>
      <w:r w:rsidRPr="00EB6D6E">
        <w:rPr>
          <w:i/>
        </w:rPr>
        <w:t>Stil und Stilistik.</w:t>
      </w:r>
      <w:r>
        <w:t xml:space="preserve"> Heidelberg: Groos.</w:t>
      </w:r>
    </w:p>
    <w:p w:rsidR="00566950" w:rsidRDefault="00566950" w:rsidP="009F0669">
      <w:pPr>
        <w:pStyle w:val="Text"/>
        <w:ind w:left="454" w:hanging="454"/>
      </w:pPr>
      <w:r>
        <w:t>Sandig, Barbara (197</w:t>
      </w:r>
      <w:r w:rsidR="00ED2E5C">
        <w:t>8</w:t>
      </w:r>
      <w:r>
        <w:t xml:space="preserve">), </w:t>
      </w:r>
      <w:r w:rsidR="00ED2E5C" w:rsidRPr="00ED2E5C">
        <w:rPr>
          <w:i/>
        </w:rPr>
        <w:t>Stilistik. Sprachpragmatische Grundlegung der Stilb</w:t>
      </w:r>
      <w:r w:rsidR="00ED2E5C" w:rsidRPr="00ED2E5C">
        <w:rPr>
          <w:i/>
        </w:rPr>
        <w:t>e</w:t>
      </w:r>
      <w:r w:rsidR="00ED2E5C" w:rsidRPr="00ED2E5C">
        <w:rPr>
          <w:i/>
        </w:rPr>
        <w:t>schreibung.</w:t>
      </w:r>
      <w:r w:rsidR="00ED2E5C">
        <w:t xml:space="preserve"> </w:t>
      </w:r>
      <w:r w:rsidR="00F023D8">
        <w:t xml:space="preserve">Berlin u.a.: de Gruyter. Zugl.: Heidelberg, Univ., Habil., 1976 (unter dem Titel: </w:t>
      </w:r>
      <w:r w:rsidR="00F023D8" w:rsidRPr="00F023D8">
        <w:rPr>
          <w:i/>
        </w:rPr>
        <w:t>Zur Beschreibung von konventionellen Stilen der deutschen Gegenwartssprache</w:t>
      </w:r>
      <w:r w:rsidR="00F023D8">
        <w:t>).</w:t>
      </w:r>
    </w:p>
    <w:p w:rsidR="00ED2E5C" w:rsidRDefault="00ED2E5C" w:rsidP="009F0669">
      <w:pPr>
        <w:pStyle w:val="Text"/>
        <w:ind w:left="454" w:hanging="454"/>
      </w:pPr>
      <w:r>
        <w:t xml:space="preserve">Sandig, Barbara (1986), </w:t>
      </w:r>
      <w:r w:rsidRPr="00ED2E5C">
        <w:rPr>
          <w:i/>
        </w:rPr>
        <w:t>Stilistik der deutschen Sprache.</w:t>
      </w:r>
      <w:r>
        <w:t xml:space="preserve"> </w:t>
      </w:r>
      <w:r w:rsidR="00F023D8">
        <w:t>Berlin u.a.: de Gruyter.</w:t>
      </w:r>
    </w:p>
    <w:p w:rsidR="00E44DE5" w:rsidRDefault="00E44DE5" w:rsidP="009F0669">
      <w:pPr>
        <w:pStyle w:val="Text"/>
        <w:ind w:left="454" w:hanging="454"/>
      </w:pPr>
      <w:r>
        <w:t xml:space="preserve">Sandig, Barbara (2006), </w:t>
      </w:r>
      <w:r w:rsidRPr="00E44DE5">
        <w:rPr>
          <w:i/>
        </w:rPr>
        <w:t>Textstilistik des Deutschen.</w:t>
      </w:r>
      <w:r>
        <w:t xml:space="preserve"> 2., v</w:t>
      </w:r>
      <w:r w:rsidR="004209D5">
        <w:t>öllig neu bearb. und erw. Aufl.</w:t>
      </w:r>
      <w:r>
        <w:t xml:space="preserve"> Berlin u.a.: de Gruyter.</w:t>
      </w:r>
    </w:p>
    <w:p w:rsidR="00182F7B" w:rsidRPr="0059632E" w:rsidRDefault="00182F7B" w:rsidP="009F0669">
      <w:pPr>
        <w:pStyle w:val="Text"/>
        <w:ind w:left="454" w:hanging="454"/>
        <w:rPr>
          <w:lang w:val="en-US"/>
        </w:rPr>
      </w:pPr>
      <w:r>
        <w:t>Sandig, Barbara (2009), „Handlung (Intention, Botschaft, Rezeption) als Kat</w:t>
      </w:r>
      <w:r>
        <w:t>e</w:t>
      </w:r>
      <w:r>
        <w:t xml:space="preserve">gorie der Stilistik“. </w:t>
      </w:r>
      <w:r w:rsidRPr="0059632E">
        <w:rPr>
          <w:lang w:val="en-US"/>
        </w:rPr>
        <w:t>In: Fix u.a. 2008–2009</w:t>
      </w:r>
      <w:r w:rsidR="009D2CB4" w:rsidRPr="0059632E">
        <w:rPr>
          <w:lang w:val="en-US"/>
        </w:rPr>
        <w:t>, Bd. 2:</w:t>
      </w:r>
      <w:r w:rsidRPr="0059632E">
        <w:rPr>
          <w:lang w:val="en-US"/>
        </w:rPr>
        <w:t xml:space="preserve"> 1335-1347.</w:t>
      </w:r>
    </w:p>
    <w:p w:rsidR="001236E1" w:rsidRPr="009D549F" w:rsidRDefault="001236E1" w:rsidP="009F0669">
      <w:pPr>
        <w:pStyle w:val="Text"/>
        <w:ind w:left="454" w:hanging="454"/>
      </w:pPr>
      <w:r w:rsidRPr="001236E1">
        <w:rPr>
          <w:lang w:val="en-US"/>
        </w:rPr>
        <w:t xml:space="preserve">Saporta, Sol (1960), „The Application of Linguistics to the </w:t>
      </w:r>
      <w:r>
        <w:rPr>
          <w:lang w:val="en-US"/>
        </w:rPr>
        <w:t>Study of Poetic La</w:t>
      </w:r>
      <w:r>
        <w:rPr>
          <w:lang w:val="en-US"/>
        </w:rPr>
        <w:t>n</w:t>
      </w:r>
      <w:r>
        <w:rPr>
          <w:lang w:val="en-US"/>
        </w:rPr>
        <w:t>guage</w:t>
      </w:r>
      <w:r w:rsidRPr="001236E1">
        <w:rPr>
          <w:lang w:val="en-US"/>
        </w:rPr>
        <w:t>“</w:t>
      </w:r>
      <w:r>
        <w:rPr>
          <w:lang w:val="en-US"/>
        </w:rPr>
        <w:t xml:space="preserve">. </w:t>
      </w:r>
      <w:r w:rsidR="00D63D90" w:rsidRPr="009D549F">
        <w:t>In: Sebeok 1960: 82-93.</w:t>
      </w:r>
    </w:p>
    <w:p w:rsidR="00E71643" w:rsidRPr="009D549F" w:rsidRDefault="004E6C3A" w:rsidP="004E6C3A">
      <w:pPr>
        <w:ind w:left="454" w:hanging="454"/>
        <w:rPr>
          <w:lang w:val="en-US"/>
        </w:rPr>
      </w:pPr>
      <w:r w:rsidRPr="009D549F">
        <w:t xml:space="preserve">Saussure, Ferdinand de (1916), </w:t>
      </w:r>
      <w:r w:rsidRPr="009D549F">
        <w:rPr>
          <w:rFonts w:eastAsia="TimesNRMT-Italic" w:cs="Times New Roman"/>
          <w:i/>
          <w:iCs/>
        </w:rPr>
        <w:t xml:space="preserve">Cours de linguistique </w:t>
      </w:r>
      <w:r w:rsidRPr="004E6C3A">
        <w:rPr>
          <w:rFonts w:eastAsia="TimesNRMT-Italic" w:cs="Times New Roman"/>
          <w:i/>
          <w:iCs/>
        </w:rPr>
        <w:t>g</w:t>
      </w:r>
      <w:r>
        <w:rPr>
          <w:rFonts w:eastAsia="TimesNRMT-Italic" w:cs="Times New Roman"/>
          <w:i/>
          <w:iCs/>
        </w:rPr>
        <w:t>é</w:t>
      </w:r>
      <w:r w:rsidRPr="004E6C3A">
        <w:rPr>
          <w:rFonts w:eastAsia="TimesNRMT-Italic" w:cs="Times New Roman"/>
          <w:i/>
          <w:iCs/>
        </w:rPr>
        <w:t>n</w:t>
      </w:r>
      <w:r>
        <w:rPr>
          <w:rFonts w:eastAsia="TimesNRMT-Italic" w:cs="Times New Roman"/>
          <w:i/>
          <w:iCs/>
        </w:rPr>
        <w:t>é</w:t>
      </w:r>
      <w:r w:rsidRPr="004E6C3A">
        <w:rPr>
          <w:rFonts w:eastAsia="TimesNRMT-Italic" w:cs="Times New Roman"/>
          <w:i/>
          <w:iCs/>
        </w:rPr>
        <w:t xml:space="preserve">rale. </w:t>
      </w:r>
      <w:r w:rsidR="004D63E7">
        <w:rPr>
          <w:rFonts w:eastAsia="TimesNRMT-Italic" w:cs="Times New Roman"/>
          <w:iCs/>
        </w:rPr>
        <w:t xml:space="preserve">Hg. von Charles Bally und Albert Sechehaye. </w:t>
      </w:r>
      <w:r>
        <w:t xml:space="preserve">Lausanne: Payot. Deutsch von Hermann Lommel: </w:t>
      </w:r>
      <w:r w:rsidRPr="004E6C3A">
        <w:rPr>
          <w:rFonts w:eastAsia="TimesNRMT-Italic" w:cs="Times New Roman"/>
          <w:i/>
          <w:iCs/>
        </w:rPr>
        <w:t xml:space="preserve">Grundfragen der allgemeinen Sprachwissenschaft. </w:t>
      </w:r>
      <w:r w:rsidR="004D63E7" w:rsidRPr="004D63E7">
        <w:rPr>
          <w:rFonts w:eastAsia="TimesNRMT-Italic" w:cs="Times New Roman"/>
          <w:iCs/>
          <w:lang w:val="en-US"/>
        </w:rPr>
        <w:t xml:space="preserve">3. </w:t>
      </w:r>
      <w:r w:rsidR="004D63E7">
        <w:rPr>
          <w:rFonts w:eastAsia="TimesNRMT-Italic" w:cs="Times New Roman"/>
          <w:iCs/>
          <w:lang w:val="en-US"/>
        </w:rPr>
        <w:t xml:space="preserve">Aufl. </w:t>
      </w:r>
      <w:r w:rsidR="004D63E7">
        <w:rPr>
          <w:lang w:val="en-US"/>
        </w:rPr>
        <w:t>Berlin: de Gruyter 2001</w:t>
      </w:r>
      <w:r w:rsidRPr="009D549F">
        <w:rPr>
          <w:lang w:val="en-US"/>
        </w:rPr>
        <w:t>.</w:t>
      </w:r>
    </w:p>
    <w:p w:rsidR="00867D2E" w:rsidRPr="00A64A9C" w:rsidRDefault="00867D2E" w:rsidP="009F0669">
      <w:pPr>
        <w:pStyle w:val="Text"/>
        <w:ind w:left="454" w:hanging="454"/>
      </w:pPr>
      <w:r w:rsidRPr="0059632E">
        <w:rPr>
          <w:lang w:val="en-US"/>
        </w:rPr>
        <w:t>Sayce, R</w:t>
      </w:r>
      <w:r w:rsidR="00BD6313">
        <w:rPr>
          <w:lang w:val="en-US"/>
        </w:rPr>
        <w:t>ichard</w:t>
      </w:r>
      <w:r w:rsidRPr="0059632E">
        <w:rPr>
          <w:lang w:val="en-US"/>
        </w:rPr>
        <w:t xml:space="preserve"> </w:t>
      </w:r>
      <w:r w:rsidRPr="00867D2E">
        <w:rPr>
          <w:lang w:val="en-US"/>
        </w:rPr>
        <w:t xml:space="preserve">A. </w:t>
      </w:r>
      <w:r>
        <w:rPr>
          <w:lang w:val="en-US"/>
        </w:rPr>
        <w:t xml:space="preserve">(1953), </w:t>
      </w:r>
      <w:r w:rsidRPr="00867D2E">
        <w:rPr>
          <w:i/>
          <w:lang w:val="en-US"/>
        </w:rPr>
        <w:t>Style in French Prose</w:t>
      </w:r>
      <w:r w:rsidR="00DD173E">
        <w:rPr>
          <w:i/>
          <w:lang w:val="en-US"/>
        </w:rPr>
        <w:t>.</w:t>
      </w:r>
      <w:r w:rsidRPr="00867D2E">
        <w:rPr>
          <w:i/>
          <w:lang w:val="en-US"/>
        </w:rPr>
        <w:t xml:space="preserve"> A Method of Analysis.</w:t>
      </w:r>
      <w:r>
        <w:rPr>
          <w:lang w:val="en-US"/>
        </w:rPr>
        <w:t xml:space="preserve"> </w:t>
      </w:r>
      <w:r w:rsidR="00BD6313" w:rsidRPr="00A64A9C">
        <w:t>Oxford: Clarendon Press</w:t>
      </w:r>
      <w:r w:rsidRPr="00A64A9C">
        <w:t>.</w:t>
      </w:r>
    </w:p>
    <w:p w:rsidR="00823291" w:rsidRDefault="00823291" w:rsidP="009F0669">
      <w:pPr>
        <w:pStyle w:val="Text"/>
        <w:ind w:left="454" w:hanging="454"/>
      </w:pPr>
      <w:r w:rsidRPr="008E1859">
        <w:t xml:space="preserve">Schäfers, Bernhard (2006), </w:t>
      </w:r>
      <w:r w:rsidRPr="008E1859">
        <w:rPr>
          <w:i/>
        </w:rPr>
        <w:t>Ar</w:t>
      </w:r>
      <w:r w:rsidRPr="003D3267">
        <w:rPr>
          <w:i/>
        </w:rPr>
        <w:t>chitekturs</w:t>
      </w:r>
      <w:r w:rsidRPr="00823291">
        <w:rPr>
          <w:i/>
        </w:rPr>
        <w:t>oziologie. Grundlagen, Epochen, Themen.</w:t>
      </w:r>
      <w:r>
        <w:t xml:space="preserve"> 2., durchges. Aufl. Wiesbaden: Verlag für Sozialwissenschaft.</w:t>
      </w:r>
    </w:p>
    <w:p w:rsidR="00893CD4" w:rsidRPr="00893CD4" w:rsidRDefault="00893CD4" w:rsidP="00893CD4">
      <w:pPr>
        <w:ind w:left="454" w:hanging="454"/>
        <w:rPr>
          <w:lang w:val="en-US"/>
        </w:rPr>
      </w:pPr>
      <w:r w:rsidRPr="002D53E0">
        <w:t xml:space="preserve">Schank, Roger C. und Robert P. Abelson (1977), </w:t>
      </w:r>
      <w:r w:rsidRPr="002D53E0">
        <w:rPr>
          <w:i/>
        </w:rPr>
        <w:t xml:space="preserve">Scripts, </w:t>
      </w:r>
      <w:r w:rsidR="007C0C06" w:rsidRPr="002D53E0">
        <w:rPr>
          <w:i/>
        </w:rPr>
        <w:t>P</w:t>
      </w:r>
      <w:r w:rsidRPr="002D53E0">
        <w:rPr>
          <w:i/>
        </w:rPr>
        <w:t xml:space="preserve">lans, </w:t>
      </w:r>
      <w:r w:rsidR="007C0C06" w:rsidRPr="002D53E0">
        <w:rPr>
          <w:i/>
        </w:rPr>
        <w:t>G</w:t>
      </w:r>
      <w:r w:rsidRPr="002D53E0">
        <w:rPr>
          <w:i/>
        </w:rPr>
        <w:t>oals</w:t>
      </w:r>
      <w:r w:rsidR="007C0C06" w:rsidRPr="002D53E0">
        <w:rPr>
          <w:i/>
        </w:rPr>
        <w:t>,</w:t>
      </w:r>
      <w:r w:rsidRPr="002D53E0">
        <w:rPr>
          <w:i/>
        </w:rPr>
        <w:t xml:space="preserve"> and </w:t>
      </w:r>
      <w:r w:rsidR="007C0C06" w:rsidRPr="002D53E0">
        <w:rPr>
          <w:i/>
        </w:rPr>
        <w:t>U</w:t>
      </w:r>
      <w:r w:rsidRPr="002D53E0">
        <w:rPr>
          <w:i/>
        </w:rPr>
        <w:t>n</w:t>
      </w:r>
      <w:r w:rsidRPr="002D53E0">
        <w:rPr>
          <w:i/>
        </w:rPr>
        <w:t>derstanding</w:t>
      </w:r>
      <w:r w:rsidR="000727B5" w:rsidRPr="002D53E0">
        <w:rPr>
          <w:i/>
        </w:rPr>
        <w:t>.</w:t>
      </w:r>
      <w:r w:rsidRPr="002D53E0">
        <w:rPr>
          <w:i/>
        </w:rPr>
        <w:t xml:space="preserve"> </w:t>
      </w:r>
      <w:r w:rsidRPr="000727B5">
        <w:rPr>
          <w:i/>
          <w:lang w:val="en-US"/>
        </w:rPr>
        <w:t xml:space="preserve">An </w:t>
      </w:r>
      <w:r w:rsidR="007C0C06" w:rsidRPr="000727B5">
        <w:rPr>
          <w:i/>
          <w:lang w:val="en-US"/>
        </w:rPr>
        <w:t>I</w:t>
      </w:r>
      <w:r w:rsidRPr="000727B5">
        <w:rPr>
          <w:i/>
          <w:lang w:val="en-US"/>
        </w:rPr>
        <w:t xml:space="preserve">nquiry </w:t>
      </w:r>
      <w:r w:rsidR="00F602C2" w:rsidRPr="000727B5">
        <w:rPr>
          <w:i/>
          <w:lang w:val="en-US"/>
        </w:rPr>
        <w:t>i</w:t>
      </w:r>
      <w:r w:rsidRPr="000727B5">
        <w:rPr>
          <w:i/>
          <w:lang w:val="en-US"/>
        </w:rPr>
        <w:t xml:space="preserve">nto </w:t>
      </w:r>
      <w:r w:rsidR="007C0C06" w:rsidRPr="000727B5">
        <w:rPr>
          <w:i/>
          <w:lang w:val="en-US"/>
        </w:rPr>
        <w:t>H</w:t>
      </w:r>
      <w:r w:rsidRPr="000727B5">
        <w:rPr>
          <w:i/>
          <w:lang w:val="en-US"/>
        </w:rPr>
        <w:t xml:space="preserve">uman </w:t>
      </w:r>
      <w:r w:rsidR="007C0C06" w:rsidRPr="000727B5">
        <w:rPr>
          <w:i/>
          <w:lang w:val="en-US"/>
        </w:rPr>
        <w:t>K</w:t>
      </w:r>
      <w:r w:rsidRPr="000727B5">
        <w:rPr>
          <w:i/>
          <w:lang w:val="en-US"/>
        </w:rPr>
        <w:t xml:space="preserve">nowledge </w:t>
      </w:r>
      <w:r w:rsidR="007C0C06" w:rsidRPr="000727B5">
        <w:rPr>
          <w:i/>
          <w:lang w:val="en-US"/>
        </w:rPr>
        <w:t>S</w:t>
      </w:r>
      <w:r w:rsidRPr="000727B5">
        <w:rPr>
          <w:i/>
          <w:lang w:val="en-US"/>
        </w:rPr>
        <w:t>tructures.</w:t>
      </w:r>
      <w:r w:rsidRPr="000727B5">
        <w:rPr>
          <w:lang w:val="en-US"/>
        </w:rPr>
        <w:t xml:space="preserve"> </w:t>
      </w:r>
      <w:r w:rsidRPr="00893CD4">
        <w:rPr>
          <w:lang w:val="en-US"/>
        </w:rPr>
        <w:t>Hil</w:t>
      </w:r>
      <w:r>
        <w:rPr>
          <w:lang w:val="en-US"/>
        </w:rPr>
        <w:t>l</w:t>
      </w:r>
      <w:r w:rsidRPr="00893CD4">
        <w:rPr>
          <w:lang w:val="en-US"/>
        </w:rPr>
        <w:t>sdale</w:t>
      </w:r>
      <w:r w:rsidR="00F602C2">
        <w:rPr>
          <w:lang w:val="en-US"/>
        </w:rPr>
        <w:t>,</w:t>
      </w:r>
      <w:r w:rsidRPr="00893CD4">
        <w:rPr>
          <w:lang w:val="en-US"/>
        </w:rPr>
        <w:t xml:space="preserve"> NJ: Erlbaum.</w:t>
      </w:r>
    </w:p>
    <w:p w:rsidR="009955BC" w:rsidRPr="0045441C" w:rsidRDefault="009955BC" w:rsidP="009F0669">
      <w:pPr>
        <w:pStyle w:val="Text"/>
        <w:ind w:left="454" w:hanging="454"/>
      </w:pPr>
      <w:r w:rsidRPr="00893CD4">
        <w:rPr>
          <w:lang w:val="en-US"/>
        </w:rPr>
        <w:t xml:space="preserve">Schapiro, Meyer (1961), „Style“. In: Morris Philipson (Hg.), </w:t>
      </w:r>
      <w:r w:rsidRPr="00893CD4">
        <w:rPr>
          <w:i/>
          <w:lang w:val="en-US"/>
        </w:rPr>
        <w:t xml:space="preserve">Aesthetics </w:t>
      </w:r>
      <w:r w:rsidR="007C0C06">
        <w:rPr>
          <w:i/>
          <w:lang w:val="en-US"/>
        </w:rPr>
        <w:t>T</w:t>
      </w:r>
      <w:r w:rsidRPr="00893CD4">
        <w:rPr>
          <w:i/>
          <w:lang w:val="en-US"/>
        </w:rPr>
        <w:t>oday.</w:t>
      </w:r>
      <w:r w:rsidRPr="00893CD4">
        <w:rPr>
          <w:lang w:val="en-US"/>
        </w:rPr>
        <w:t xml:space="preserve"> </w:t>
      </w:r>
      <w:r w:rsidR="0035624D" w:rsidRPr="00A826D1">
        <w:t>Cleveland u.a.: Meridian</w:t>
      </w:r>
      <w:r w:rsidR="0035624D" w:rsidRPr="0045441C">
        <w:t xml:space="preserve">. </w:t>
      </w:r>
      <w:r w:rsidRPr="0045441C">
        <w:t>81-113.</w:t>
      </w:r>
    </w:p>
    <w:p w:rsidR="00CE08D7" w:rsidRDefault="00CE08D7" w:rsidP="009F0669">
      <w:pPr>
        <w:pStyle w:val="Text"/>
        <w:ind w:left="454" w:hanging="454"/>
      </w:pPr>
      <w:r w:rsidRPr="0045441C">
        <w:t>Scheffler, Kar</w:t>
      </w:r>
      <w:r>
        <w:t>l (1908), „Akademische Baukunst</w:t>
      </w:r>
      <w:r w:rsidR="007C0C06">
        <w:t>.</w:t>
      </w:r>
      <w:r>
        <w:t xml:space="preserve"> Monumentalaufgaben und Sti</w:t>
      </w:r>
      <w:r>
        <w:t>l</w:t>
      </w:r>
      <w:r>
        <w:t>renommisten“. In: Ders.</w:t>
      </w:r>
      <w:r w:rsidR="00BD0026">
        <w:t xml:space="preserve"> (1993)</w:t>
      </w:r>
      <w:r>
        <w:t xml:space="preserve">, </w:t>
      </w:r>
      <w:r w:rsidRPr="00CE08D7">
        <w:rPr>
          <w:i/>
        </w:rPr>
        <w:t>Der Architekt und andere Essays über Ba</w:t>
      </w:r>
      <w:r w:rsidRPr="00CE08D7">
        <w:rPr>
          <w:i/>
        </w:rPr>
        <w:t>u</w:t>
      </w:r>
      <w:r w:rsidRPr="00CE08D7">
        <w:rPr>
          <w:i/>
        </w:rPr>
        <w:t>kunst, Kultur und Stil.</w:t>
      </w:r>
      <w:r>
        <w:t xml:space="preserve"> Basel u.a.: Birkhäuser.</w:t>
      </w:r>
    </w:p>
    <w:p w:rsidR="0006790A" w:rsidRDefault="0006790A" w:rsidP="009F0669">
      <w:pPr>
        <w:pStyle w:val="Text"/>
        <w:ind w:left="454" w:hanging="454"/>
      </w:pPr>
      <w:r>
        <w:t>Schiller, Gertrud (1968–</w:t>
      </w:r>
      <w:r w:rsidR="00521B2A">
        <w:t>199</w:t>
      </w:r>
      <w:r>
        <w:t xml:space="preserve">1), </w:t>
      </w:r>
      <w:r w:rsidRPr="0006790A">
        <w:rPr>
          <w:i/>
        </w:rPr>
        <w:t>Ikonographie der christlichen Kunst.</w:t>
      </w:r>
      <w:r>
        <w:t xml:space="preserve"> </w:t>
      </w:r>
      <w:r w:rsidR="00521B2A">
        <w:t>5</w:t>
      </w:r>
      <w:r>
        <w:t xml:space="preserve"> Bde. G</w:t>
      </w:r>
      <w:r>
        <w:t>ü</w:t>
      </w:r>
      <w:r>
        <w:t>tersloh: Mohn.</w:t>
      </w:r>
    </w:p>
    <w:p w:rsidR="00FF2444" w:rsidRDefault="00FF2444" w:rsidP="009F0669">
      <w:pPr>
        <w:pStyle w:val="Text"/>
        <w:ind w:left="454" w:hanging="454"/>
      </w:pPr>
      <w:r>
        <w:t xml:space="preserve">Schirren, Thomas (2009), „Niveau der Textgestaltung (Dreistillehre/genera dicendi)“. In: </w:t>
      </w:r>
      <w:r w:rsidRPr="00E53621">
        <w:t>Fix u.a. 2008–2009</w:t>
      </w:r>
      <w:r w:rsidR="009D2CB4">
        <w:t>, Bd. 2:</w:t>
      </w:r>
      <w:r>
        <w:t xml:space="preserve"> 1425-1444.</w:t>
      </w:r>
    </w:p>
    <w:p w:rsidR="003D2986" w:rsidRDefault="003D2986" w:rsidP="009F0669">
      <w:pPr>
        <w:pStyle w:val="Text"/>
        <w:ind w:left="454" w:hanging="454"/>
      </w:pPr>
      <w:r>
        <w:t>Schlaberg, Claus (2011),</w:t>
      </w:r>
      <w:r w:rsidR="00117BC2">
        <w:t xml:space="preserve"> </w:t>
      </w:r>
      <w:r w:rsidRPr="003D2986">
        <w:rPr>
          <w:i/>
        </w:rPr>
        <w:t>Der Aufbau von Bildbegriffen auf Zeichenbegriffen. Mit einem Ausblick auf zentrale Eigenschaften Bildender Kunst</w:t>
      </w:r>
      <w:r>
        <w:t xml:space="preserve">. Frankfurt a.M.: Lang. Zugl.: </w:t>
      </w:r>
      <w:r w:rsidRPr="00083648">
        <w:t>Berlin, Technische Univ., Diss.</w:t>
      </w:r>
      <w:r>
        <w:t>, 2010.</w:t>
      </w:r>
    </w:p>
    <w:p w:rsidR="00EA0CDB" w:rsidRPr="0035624D" w:rsidRDefault="00EA0CDB" w:rsidP="009F0669">
      <w:pPr>
        <w:pStyle w:val="Text"/>
        <w:ind w:left="454" w:hanging="454"/>
      </w:pPr>
      <w:r>
        <w:t xml:space="preserve">Schleiermacher, Friedrich (1838), </w:t>
      </w:r>
      <w:r>
        <w:rPr>
          <w:i/>
        </w:rPr>
        <w:t xml:space="preserve">Sämmtliche Werke. </w:t>
      </w:r>
      <w:r w:rsidRPr="00EA0CDB">
        <w:t>Abteilung 1:</w:t>
      </w:r>
      <w:r>
        <w:rPr>
          <w:i/>
        </w:rPr>
        <w:t xml:space="preserve"> Zur Theologie.</w:t>
      </w:r>
      <w:r w:rsidRPr="00EA0CDB">
        <w:t xml:space="preserve"> Bd</w:t>
      </w:r>
      <w:r>
        <w:t>. 7:</w:t>
      </w:r>
      <w:r w:rsidRPr="00EA0CDB">
        <w:t xml:space="preserve"> </w:t>
      </w:r>
      <w:r w:rsidRPr="00EA0CDB">
        <w:rPr>
          <w:i/>
        </w:rPr>
        <w:t>Hermeneutik und Kritik mit besonderer Beziehung auf das Neue Te</w:t>
      </w:r>
      <w:r w:rsidRPr="00EA0CDB">
        <w:rPr>
          <w:i/>
        </w:rPr>
        <w:t>s</w:t>
      </w:r>
      <w:r w:rsidRPr="00EA0CDB">
        <w:rPr>
          <w:i/>
        </w:rPr>
        <w:t>tament.</w:t>
      </w:r>
      <w:r>
        <w:t xml:space="preserve"> Berlin: Reimer.</w:t>
      </w:r>
    </w:p>
    <w:p w:rsidR="00D90668" w:rsidRDefault="00D90668" w:rsidP="009F0669">
      <w:pPr>
        <w:pStyle w:val="Text"/>
        <w:ind w:left="454" w:hanging="454"/>
      </w:pPr>
      <w:r>
        <w:lastRenderedPageBreak/>
        <w:t>Schmid, Herta (1970), „Zum Begriff der ästhetischen Konkretisation im tsch</w:t>
      </w:r>
      <w:r>
        <w:t>e</w:t>
      </w:r>
      <w:r>
        <w:t xml:space="preserve">chischen Strukturalismus“. </w:t>
      </w:r>
      <w:r w:rsidRPr="0059632E">
        <w:rPr>
          <w:i/>
        </w:rPr>
        <w:t>Sprache im technischen Zeitalter</w:t>
      </w:r>
      <w:r w:rsidRPr="0059632E">
        <w:t xml:space="preserve"> 36: 290-318.</w:t>
      </w:r>
    </w:p>
    <w:p w:rsidR="00F47019" w:rsidRPr="00B751FA" w:rsidRDefault="00F47019" w:rsidP="009F0669">
      <w:pPr>
        <w:pStyle w:val="Text"/>
        <w:ind w:left="454" w:hanging="454"/>
        <w:rPr>
          <w:lang w:val="en-US"/>
        </w:rPr>
      </w:pPr>
      <w:r>
        <w:t xml:space="preserve">Schwenk, Otto G. (1996), </w:t>
      </w:r>
      <w:r>
        <w:rPr>
          <w:i/>
          <w:iCs/>
        </w:rPr>
        <w:t>Lebensstil zwischen Sozialstrukturanalyse und Kultu</w:t>
      </w:r>
      <w:r>
        <w:rPr>
          <w:i/>
          <w:iCs/>
        </w:rPr>
        <w:t>r</w:t>
      </w:r>
      <w:r>
        <w:rPr>
          <w:i/>
          <w:iCs/>
        </w:rPr>
        <w:t>wissenschaft</w:t>
      </w:r>
      <w:r>
        <w:t xml:space="preserve">. </w:t>
      </w:r>
      <w:r w:rsidRPr="00B751FA">
        <w:rPr>
          <w:lang w:val="en-US"/>
        </w:rPr>
        <w:t>Opladen: Leske + Budrich.</w:t>
      </w:r>
    </w:p>
    <w:p w:rsidR="001236E1" w:rsidRPr="001236E1" w:rsidRDefault="001236E1" w:rsidP="009F0669">
      <w:pPr>
        <w:pStyle w:val="Text"/>
        <w:ind w:left="454" w:hanging="454"/>
        <w:rPr>
          <w:rStyle w:val="Hervorhebung"/>
          <w:i w:val="0"/>
          <w:lang w:val="en-US"/>
        </w:rPr>
      </w:pPr>
      <w:r w:rsidRPr="00B751FA">
        <w:rPr>
          <w:lang w:val="en-US"/>
        </w:rPr>
        <w:t xml:space="preserve">Sebeok, Thomas A. (Hg.) (1960), </w:t>
      </w:r>
      <w:r w:rsidRPr="00B751FA">
        <w:rPr>
          <w:i/>
          <w:lang w:val="en-US"/>
        </w:rPr>
        <w:t>Style in Language</w:t>
      </w:r>
      <w:r w:rsidRPr="00B751FA">
        <w:rPr>
          <w:lang w:val="en-US"/>
        </w:rPr>
        <w:t xml:space="preserve">. </w:t>
      </w:r>
      <w:r w:rsidRPr="001236E1">
        <w:rPr>
          <w:lang w:val="en-US"/>
        </w:rPr>
        <w:t>Cambridge</w:t>
      </w:r>
      <w:r w:rsidR="00BD6313">
        <w:rPr>
          <w:lang w:val="en-US"/>
        </w:rPr>
        <w:t>,</w:t>
      </w:r>
      <w:r w:rsidRPr="001236E1">
        <w:rPr>
          <w:lang w:val="en-US"/>
        </w:rPr>
        <w:t xml:space="preserve"> MA: MIT Press.</w:t>
      </w:r>
    </w:p>
    <w:p w:rsidR="00C2638E" w:rsidRDefault="00C2638E" w:rsidP="009F0669">
      <w:pPr>
        <w:pStyle w:val="Text"/>
        <w:ind w:left="454" w:hanging="454"/>
        <w:rPr>
          <w:lang w:val="en-US"/>
        </w:rPr>
      </w:pPr>
      <w:r w:rsidRPr="00C2638E">
        <w:rPr>
          <w:rStyle w:val="Hervorhebung"/>
          <w:i w:val="0"/>
          <w:lang w:val="en-US"/>
        </w:rPr>
        <w:t>Sedelow</w:t>
      </w:r>
      <w:r>
        <w:rPr>
          <w:rStyle w:val="Hervorhebung"/>
          <w:i w:val="0"/>
          <w:lang w:val="en-US"/>
        </w:rPr>
        <w:t xml:space="preserve">, </w:t>
      </w:r>
      <w:r>
        <w:rPr>
          <w:lang w:val="en-US"/>
        </w:rPr>
        <w:t xml:space="preserve">Sally Y. und Walter </w:t>
      </w:r>
      <w:r w:rsidRPr="00C2638E">
        <w:rPr>
          <w:lang w:val="en-US"/>
        </w:rPr>
        <w:t xml:space="preserve">A. </w:t>
      </w:r>
      <w:r w:rsidRPr="00C2638E">
        <w:rPr>
          <w:rStyle w:val="Hervorhebung"/>
          <w:i w:val="0"/>
          <w:lang w:val="en-US"/>
        </w:rPr>
        <w:t>Sedelow</w:t>
      </w:r>
      <w:r w:rsidRPr="00C2638E">
        <w:rPr>
          <w:lang w:val="en-US"/>
        </w:rPr>
        <w:t xml:space="preserve"> </w:t>
      </w:r>
      <w:r>
        <w:rPr>
          <w:lang w:val="en-US"/>
        </w:rPr>
        <w:t>(1966),</w:t>
      </w:r>
      <w:r w:rsidRPr="00C2638E">
        <w:rPr>
          <w:lang w:val="en-US"/>
        </w:rPr>
        <w:t xml:space="preserve"> „A </w:t>
      </w:r>
      <w:r w:rsidRPr="00C2638E">
        <w:rPr>
          <w:rStyle w:val="Hervorhebung"/>
          <w:i w:val="0"/>
          <w:lang w:val="en-US"/>
        </w:rPr>
        <w:t>Preface to Computational Stylistics</w:t>
      </w:r>
      <w:r w:rsidRPr="00C2638E">
        <w:rPr>
          <w:lang w:val="en-US"/>
        </w:rPr>
        <w:t xml:space="preserve">“. In: Jacob Leed (Hg.), </w:t>
      </w:r>
      <w:r w:rsidRPr="00C2638E">
        <w:rPr>
          <w:i/>
          <w:lang w:val="en-US"/>
        </w:rPr>
        <w:t>The Computer and Literary Style</w:t>
      </w:r>
      <w:r w:rsidRPr="00C2638E">
        <w:rPr>
          <w:lang w:val="en-US"/>
        </w:rPr>
        <w:t>. Kent OH: Kent State University Press</w:t>
      </w:r>
      <w:r w:rsidR="00E84DB1">
        <w:rPr>
          <w:lang w:val="en-US"/>
        </w:rPr>
        <w:t>.</w:t>
      </w:r>
      <w:r w:rsidRPr="00C2638E">
        <w:rPr>
          <w:lang w:val="en-US"/>
        </w:rPr>
        <w:t xml:space="preserve"> 1</w:t>
      </w:r>
      <w:r>
        <w:rPr>
          <w:lang w:val="en-US"/>
        </w:rPr>
        <w:t>-</w:t>
      </w:r>
      <w:r w:rsidRPr="00C2638E">
        <w:rPr>
          <w:lang w:val="en-US"/>
        </w:rPr>
        <w:t>13.</w:t>
      </w:r>
    </w:p>
    <w:p w:rsidR="00C2638E" w:rsidRPr="009D549F" w:rsidRDefault="00C2638E" w:rsidP="009F0669">
      <w:pPr>
        <w:pStyle w:val="Text"/>
        <w:ind w:left="454" w:hanging="454"/>
        <w:rPr>
          <w:lang w:val="en-US"/>
        </w:rPr>
      </w:pPr>
      <w:r w:rsidRPr="00C2638E">
        <w:rPr>
          <w:rStyle w:val="Hervorhebung"/>
          <w:i w:val="0"/>
          <w:lang w:val="en-US"/>
        </w:rPr>
        <w:t>Sedelow</w:t>
      </w:r>
      <w:r>
        <w:rPr>
          <w:rStyle w:val="Hervorhebung"/>
          <w:i w:val="0"/>
          <w:lang w:val="en-US"/>
        </w:rPr>
        <w:t xml:space="preserve">, </w:t>
      </w:r>
      <w:r>
        <w:rPr>
          <w:lang w:val="en-US"/>
        </w:rPr>
        <w:t xml:space="preserve">Sally Y. und Walter </w:t>
      </w:r>
      <w:r w:rsidRPr="00C2638E">
        <w:rPr>
          <w:lang w:val="en-US"/>
        </w:rPr>
        <w:t xml:space="preserve">A. </w:t>
      </w:r>
      <w:r w:rsidRPr="00C2638E">
        <w:rPr>
          <w:rStyle w:val="Hervorhebung"/>
          <w:i w:val="0"/>
          <w:lang w:val="en-US"/>
        </w:rPr>
        <w:t>Sedelow</w:t>
      </w:r>
      <w:r w:rsidRPr="00C2638E">
        <w:rPr>
          <w:lang w:val="en-US"/>
        </w:rPr>
        <w:t xml:space="preserve"> </w:t>
      </w:r>
      <w:r>
        <w:rPr>
          <w:lang w:val="en-US"/>
        </w:rPr>
        <w:t>(1972),</w:t>
      </w:r>
      <w:r w:rsidR="007C0C06">
        <w:rPr>
          <w:lang w:val="en-US"/>
        </w:rPr>
        <w:t xml:space="preserve"> </w:t>
      </w:r>
      <w:r w:rsidR="007C0C06" w:rsidRPr="00C2638E">
        <w:rPr>
          <w:lang w:val="en-US"/>
        </w:rPr>
        <w:t>„</w:t>
      </w:r>
      <w:r w:rsidRPr="00C2638E">
        <w:rPr>
          <w:rStyle w:val="Hervorhebung"/>
          <w:i w:val="0"/>
          <w:lang w:val="en-US"/>
        </w:rPr>
        <w:t>Models</w:t>
      </w:r>
      <w:r>
        <w:rPr>
          <w:rStyle w:val="Hervorhebung"/>
          <w:i w:val="0"/>
          <w:lang w:val="en-US"/>
        </w:rPr>
        <w:t>, C</w:t>
      </w:r>
      <w:r w:rsidRPr="00C2638E">
        <w:rPr>
          <w:rStyle w:val="Hervorhebung"/>
          <w:i w:val="0"/>
          <w:lang w:val="en-US"/>
        </w:rPr>
        <w:t>omputing</w:t>
      </w:r>
      <w:r>
        <w:rPr>
          <w:rStyle w:val="Hervorhebung"/>
          <w:i w:val="0"/>
          <w:lang w:val="en-US"/>
        </w:rPr>
        <w:t xml:space="preserve">, </w:t>
      </w:r>
      <w:r w:rsidRPr="00C2638E">
        <w:rPr>
          <w:lang w:val="en-US"/>
        </w:rPr>
        <w:t xml:space="preserve">and </w:t>
      </w:r>
      <w:r>
        <w:rPr>
          <w:lang w:val="en-US"/>
        </w:rPr>
        <w:t>S</w:t>
      </w:r>
      <w:r w:rsidRPr="00C2638E">
        <w:rPr>
          <w:rStyle w:val="Hervorhebung"/>
          <w:i w:val="0"/>
          <w:lang w:val="en-US"/>
        </w:rPr>
        <w:t>t</w:t>
      </w:r>
      <w:r w:rsidRPr="00C2638E">
        <w:rPr>
          <w:rStyle w:val="Hervorhebung"/>
          <w:i w:val="0"/>
          <w:lang w:val="en-US"/>
        </w:rPr>
        <w:t>y</w:t>
      </w:r>
      <w:r w:rsidRPr="00C2638E">
        <w:rPr>
          <w:rStyle w:val="Hervorhebung"/>
          <w:i w:val="0"/>
          <w:lang w:val="en-US"/>
        </w:rPr>
        <w:t>listics</w:t>
      </w:r>
      <w:r w:rsidR="007C0C06" w:rsidRPr="00C2638E">
        <w:rPr>
          <w:lang w:val="en-US"/>
        </w:rPr>
        <w:t>“</w:t>
      </w:r>
      <w:r w:rsidRPr="00C2638E">
        <w:rPr>
          <w:lang w:val="en-US"/>
        </w:rPr>
        <w:t xml:space="preserve">. </w:t>
      </w:r>
      <w:r w:rsidRPr="00C461EE">
        <w:rPr>
          <w:lang w:val="en-US"/>
        </w:rPr>
        <w:t xml:space="preserve">In: Braj B. Kachru and Herbert F. Stahlke (Hg.), </w:t>
      </w:r>
      <w:r w:rsidRPr="00C461EE">
        <w:rPr>
          <w:i/>
          <w:lang w:val="en-US"/>
        </w:rPr>
        <w:t>Current Trends in</w:t>
      </w:r>
      <w:r w:rsidRPr="00C461EE">
        <w:rPr>
          <w:lang w:val="en-US"/>
        </w:rPr>
        <w:t xml:space="preserve"> </w:t>
      </w:r>
      <w:r w:rsidRPr="00C461EE">
        <w:rPr>
          <w:rStyle w:val="Hervorhebung"/>
          <w:lang w:val="en-US"/>
        </w:rPr>
        <w:t>Stylistics</w:t>
      </w:r>
      <w:r w:rsidRPr="00C461EE">
        <w:rPr>
          <w:lang w:val="en-US"/>
        </w:rPr>
        <w:t xml:space="preserve">. </w:t>
      </w:r>
      <w:r w:rsidR="004B282A" w:rsidRPr="009A4B77">
        <w:rPr>
          <w:lang w:val="en-US"/>
        </w:rPr>
        <w:t>Edmonton u.a.: Linguistic Research</w:t>
      </w:r>
      <w:r w:rsidR="00E84DB1" w:rsidRPr="009A4B77">
        <w:rPr>
          <w:lang w:val="en-US"/>
        </w:rPr>
        <w:t>.</w:t>
      </w:r>
      <w:r w:rsidR="004B282A" w:rsidRPr="009A4B77">
        <w:rPr>
          <w:lang w:val="en-US"/>
        </w:rPr>
        <w:t xml:space="preserve"> </w:t>
      </w:r>
      <w:r w:rsidR="004B282A" w:rsidRPr="009D549F">
        <w:rPr>
          <w:lang w:val="en-US"/>
        </w:rPr>
        <w:t>275-286.</w:t>
      </w:r>
    </w:p>
    <w:p w:rsidR="00D2554C" w:rsidRPr="0062599B" w:rsidRDefault="00D2554C" w:rsidP="009F0669">
      <w:pPr>
        <w:pStyle w:val="Text"/>
        <w:ind w:left="454" w:hanging="454"/>
      </w:pPr>
      <w:r w:rsidRPr="00BD0C23">
        <w:rPr>
          <w:lang w:val="en-US"/>
        </w:rPr>
        <w:t>Semino, Elena und Jonathan Culpeper (</w:t>
      </w:r>
      <w:r w:rsidR="00EE3F15">
        <w:rPr>
          <w:lang w:val="en-US"/>
        </w:rPr>
        <w:t>Hg.</w:t>
      </w:r>
      <w:r w:rsidRPr="00BD0C23">
        <w:rPr>
          <w:lang w:val="en-US"/>
        </w:rPr>
        <w:t xml:space="preserve">) </w:t>
      </w:r>
      <w:r w:rsidRPr="00A826D1">
        <w:rPr>
          <w:lang w:val="en-US"/>
        </w:rPr>
        <w:t xml:space="preserve">(2002), </w:t>
      </w:r>
      <w:r w:rsidRPr="00A826D1">
        <w:rPr>
          <w:i/>
          <w:iCs/>
          <w:lang w:val="en-US"/>
        </w:rPr>
        <w:t>Cognitive Stylistics</w:t>
      </w:r>
      <w:r w:rsidR="000727B5" w:rsidRPr="00A826D1">
        <w:rPr>
          <w:i/>
          <w:iCs/>
          <w:lang w:val="en-US"/>
        </w:rPr>
        <w:t>.</w:t>
      </w:r>
      <w:r w:rsidRPr="00A826D1">
        <w:rPr>
          <w:i/>
          <w:iCs/>
          <w:lang w:val="en-US"/>
        </w:rPr>
        <w:t xml:space="preserve"> La</w:t>
      </w:r>
      <w:r w:rsidRPr="00A826D1">
        <w:rPr>
          <w:i/>
          <w:iCs/>
          <w:lang w:val="en-US"/>
        </w:rPr>
        <w:t>n</w:t>
      </w:r>
      <w:r w:rsidRPr="00A826D1">
        <w:rPr>
          <w:i/>
          <w:iCs/>
          <w:lang w:val="en-US"/>
        </w:rPr>
        <w:t xml:space="preserve">guage and Cognition in Text Analysis. </w:t>
      </w:r>
      <w:r w:rsidRPr="0062599B">
        <w:t>Amsterdam u.a.: John Benjamins.</w:t>
      </w:r>
    </w:p>
    <w:p w:rsidR="00070F48" w:rsidRPr="000850DB" w:rsidRDefault="00BB3594" w:rsidP="00E47DB8">
      <w:pPr>
        <w:ind w:left="454" w:hanging="454"/>
      </w:pPr>
      <w:r>
        <w:t>Semper, Gottfried (1860–18</w:t>
      </w:r>
      <w:r w:rsidR="00070F48" w:rsidRPr="00070F48">
        <w:t xml:space="preserve">63), </w:t>
      </w:r>
      <w:r w:rsidR="00070F48" w:rsidRPr="00E47DB8">
        <w:rPr>
          <w:i/>
        </w:rPr>
        <w:t>Der Stil in den technischen und tektonischen Künsten, oder praktische Aesthetik. Ein Handbuch für Techniker, Künstler und Kunstfreunde.</w:t>
      </w:r>
      <w:r w:rsidR="00070F48">
        <w:t xml:space="preserve"> </w:t>
      </w:r>
      <w:r w:rsidR="00070F48" w:rsidRPr="00517769">
        <w:t xml:space="preserve">Bd. 1: </w:t>
      </w:r>
      <w:r w:rsidR="00A652AC" w:rsidRPr="00E47DB8">
        <w:rPr>
          <w:rFonts w:ascii="TimesNewRoman" w:eastAsia="Times New Roman" w:hAnsi="TimesNewRoman" w:cs="TimesNewRoman"/>
          <w:i/>
        </w:rPr>
        <w:t>Die Textile Kunst für sich betrachtet und in Bezi</w:t>
      </w:r>
      <w:r w:rsidR="00A652AC" w:rsidRPr="00E47DB8">
        <w:rPr>
          <w:rFonts w:ascii="TimesNewRoman" w:eastAsia="Times New Roman" w:hAnsi="TimesNewRoman" w:cs="TimesNewRoman"/>
          <w:i/>
        </w:rPr>
        <w:t>e</w:t>
      </w:r>
      <w:r w:rsidR="00A652AC" w:rsidRPr="00E47DB8">
        <w:rPr>
          <w:rFonts w:ascii="TimesNewRoman" w:eastAsia="Times New Roman" w:hAnsi="TimesNewRoman" w:cs="TimesNewRoman"/>
          <w:i/>
        </w:rPr>
        <w:t>hung zur Baukunst.</w:t>
      </w:r>
      <w:r w:rsidR="00A652AC">
        <w:rPr>
          <w:rFonts w:ascii="TimesNewRoman" w:eastAsia="Times New Roman" w:hAnsi="TimesNewRoman" w:cs="TimesNewRoman"/>
        </w:rPr>
        <w:t xml:space="preserve"> </w:t>
      </w:r>
      <w:r w:rsidR="00070F48" w:rsidRPr="00517769">
        <w:t>Frankfurt</w:t>
      </w:r>
      <w:r w:rsidR="00A652AC">
        <w:t xml:space="preserve"> a.M.</w:t>
      </w:r>
      <w:r w:rsidR="000850DB">
        <w:t>:</w:t>
      </w:r>
      <w:r w:rsidR="00070F48" w:rsidRPr="00517769">
        <w:t xml:space="preserve"> </w:t>
      </w:r>
      <w:r w:rsidR="000850DB">
        <w:t xml:space="preserve">Verlag für Kunst und Wissenschaft </w:t>
      </w:r>
      <w:r w:rsidR="00070F48" w:rsidRPr="00517769">
        <w:t>1</w:t>
      </w:r>
      <w:r w:rsidR="00BD6313">
        <w:t>8</w:t>
      </w:r>
      <w:r w:rsidR="00070F48" w:rsidRPr="00517769">
        <w:t xml:space="preserve">60. </w:t>
      </w:r>
      <w:r w:rsidR="000850DB">
        <w:t xml:space="preserve">Online unter: </w:t>
      </w:r>
      <w:r w:rsidR="000850DB" w:rsidRPr="000850DB">
        <w:t>http://diglit.ub.uni-</w:t>
      </w:r>
      <w:r w:rsidR="000850DB">
        <w:t xml:space="preserve">heidelberg.de/diglit/semper1860. </w:t>
      </w:r>
      <w:r w:rsidR="00070F48" w:rsidRPr="00517769">
        <w:t xml:space="preserve">Bd. 2: </w:t>
      </w:r>
      <w:r w:rsidR="00A652AC" w:rsidRPr="00E47DB8">
        <w:rPr>
          <w:rFonts w:ascii="TimesNewRoman" w:eastAsia="Times New Roman" w:hAnsi="TimesNewRoman" w:cs="TimesNewRoman"/>
          <w:i/>
        </w:rPr>
        <w:t>Keramik, Tektonik, Stereotomie, Metallotechnik für sich betrachtet und in Beziehung zur Baukunst.</w:t>
      </w:r>
      <w:r w:rsidR="00A652AC">
        <w:rPr>
          <w:rFonts w:ascii="TimesNewRoman" w:eastAsia="Times New Roman" w:hAnsi="TimesNewRoman" w:cs="TimesNewRoman"/>
        </w:rPr>
        <w:t xml:space="preserve"> </w:t>
      </w:r>
      <w:r w:rsidR="00070F48" w:rsidRPr="000850DB">
        <w:t>München</w:t>
      </w:r>
      <w:r w:rsidR="000850DB">
        <w:t>: Bruckmann</w:t>
      </w:r>
      <w:r w:rsidR="00A652AC" w:rsidRPr="000850DB">
        <w:t xml:space="preserve"> </w:t>
      </w:r>
      <w:r w:rsidR="00070F48" w:rsidRPr="000850DB">
        <w:t>1863.</w:t>
      </w:r>
      <w:r w:rsidR="000850DB" w:rsidRPr="000850DB">
        <w:t xml:space="preserve"> Online unter: http://diglit.ub.uni-</w:t>
      </w:r>
      <w:r w:rsidR="000850DB">
        <w:t xml:space="preserve">heidelberg.de/diglit/semper1863; Einsicht am </w:t>
      </w:r>
      <w:r w:rsidR="00E91C74">
        <w:t>18</w:t>
      </w:r>
      <w:r w:rsidR="000850DB">
        <w:t>.0</w:t>
      </w:r>
      <w:r w:rsidR="00E91C74">
        <w:t>1</w:t>
      </w:r>
      <w:r w:rsidR="000850DB">
        <w:t>.201</w:t>
      </w:r>
      <w:r w:rsidR="00E91C74">
        <w:t>2</w:t>
      </w:r>
      <w:r w:rsidR="000850DB">
        <w:t>.</w:t>
      </w:r>
    </w:p>
    <w:p w:rsidR="0046661C" w:rsidRPr="00342C13" w:rsidRDefault="0046661C" w:rsidP="009F0669">
      <w:pPr>
        <w:ind w:left="454" w:hanging="454"/>
        <w:rPr>
          <w:lang w:val="en-US"/>
        </w:rPr>
      </w:pPr>
      <w:r w:rsidRPr="006340B1">
        <w:rPr>
          <w:lang w:val="en-US"/>
        </w:rPr>
        <w:t>Shannon, Claude E. und Warr</w:t>
      </w:r>
      <w:r w:rsidRPr="0046661C">
        <w:rPr>
          <w:lang w:val="en-US"/>
        </w:rPr>
        <w:t>en Weaver (1949),</w:t>
      </w:r>
      <w:r>
        <w:rPr>
          <w:lang w:val="en-US"/>
        </w:rPr>
        <w:t xml:space="preserve"> </w:t>
      </w:r>
      <w:r w:rsidRPr="0046661C">
        <w:rPr>
          <w:rFonts w:eastAsia="TimesNRMT-Italic" w:cs="Times New Roman"/>
          <w:i/>
          <w:iCs/>
          <w:lang w:val="en-US"/>
        </w:rPr>
        <w:t>The Mathematical Theory of Communication</w:t>
      </w:r>
      <w:r w:rsidRPr="0046661C">
        <w:rPr>
          <w:rFonts w:cs="Times New Roman"/>
          <w:lang w:val="en-US"/>
        </w:rPr>
        <w:t>.</w:t>
      </w:r>
      <w:r>
        <w:rPr>
          <w:rFonts w:cs="Times New Roman"/>
          <w:lang w:val="en-US"/>
        </w:rPr>
        <w:t xml:space="preserve"> </w:t>
      </w:r>
      <w:r w:rsidRPr="0046661C">
        <w:rPr>
          <w:lang w:val="en-US"/>
        </w:rPr>
        <w:t>Urbana:</w:t>
      </w:r>
      <w:r>
        <w:rPr>
          <w:lang w:val="en-US"/>
        </w:rPr>
        <w:t xml:space="preserve"> </w:t>
      </w:r>
      <w:r w:rsidRPr="0046661C">
        <w:rPr>
          <w:lang w:val="en-US"/>
        </w:rPr>
        <w:t>University of Illinois</w:t>
      </w:r>
      <w:r>
        <w:rPr>
          <w:lang w:val="en-US"/>
        </w:rPr>
        <w:t xml:space="preserve"> </w:t>
      </w:r>
      <w:r w:rsidRPr="0046661C">
        <w:rPr>
          <w:lang w:val="en-US"/>
        </w:rPr>
        <w:t>Press.</w:t>
      </w:r>
    </w:p>
    <w:p w:rsidR="00D90668" w:rsidRPr="00706A0F" w:rsidRDefault="00D2554C" w:rsidP="009F0669">
      <w:pPr>
        <w:pStyle w:val="Text"/>
        <w:ind w:left="454" w:hanging="454"/>
      </w:pPr>
      <w:r w:rsidRPr="00070F48">
        <w:rPr>
          <w:lang w:val="en-US"/>
        </w:rPr>
        <w:t xml:space="preserve">Shapiro, Stewart (2003), </w:t>
      </w:r>
      <w:r w:rsidRPr="00070F48">
        <w:rPr>
          <w:i/>
          <w:lang w:val="en-US"/>
        </w:rPr>
        <w:t>Vagueness and Conversation</w:t>
      </w:r>
      <w:r w:rsidRPr="00070F48">
        <w:rPr>
          <w:lang w:val="en-US"/>
        </w:rPr>
        <w:t>. In J.C. Beall (</w:t>
      </w:r>
      <w:r>
        <w:rPr>
          <w:lang w:val="en-GB"/>
        </w:rPr>
        <w:t xml:space="preserve">Hg.), </w:t>
      </w:r>
      <w:r>
        <w:rPr>
          <w:i/>
          <w:lang w:val="en-GB"/>
        </w:rPr>
        <w:t>Liars and Heaps</w:t>
      </w:r>
      <w:r>
        <w:rPr>
          <w:lang w:val="en-GB"/>
        </w:rPr>
        <w:t xml:space="preserve">. </w:t>
      </w:r>
      <w:r w:rsidR="001C5B83" w:rsidRPr="00712825">
        <w:t xml:space="preserve">Oxford: </w:t>
      </w:r>
      <w:r w:rsidRPr="00517769">
        <w:t>Oxford Unive</w:t>
      </w:r>
      <w:r w:rsidRPr="00706A0F">
        <w:t>rsity Press</w:t>
      </w:r>
      <w:r w:rsidR="00E84DB1">
        <w:t>.</w:t>
      </w:r>
      <w:r w:rsidRPr="00706A0F">
        <w:t xml:space="preserve"> 39-72.</w:t>
      </w:r>
    </w:p>
    <w:p w:rsidR="00D2554C" w:rsidRDefault="00D2554C" w:rsidP="009F0669">
      <w:pPr>
        <w:pStyle w:val="Text"/>
        <w:ind w:left="454" w:hanging="454"/>
        <w:rPr>
          <w:iCs/>
          <w:lang w:val="fr-FR"/>
        </w:rPr>
      </w:pPr>
      <w:r>
        <w:t>Siefkes, Martin (2005), „Logik und Freiheit</w:t>
      </w:r>
      <w:r w:rsidR="00B547A6">
        <w:t>.</w:t>
      </w:r>
      <w:r>
        <w:t xml:space="preserve"> Ein semiotisches Modell des De</w:t>
      </w:r>
      <w:r>
        <w:t>n</w:t>
      </w:r>
      <w:r>
        <w:t xml:space="preserve">kens im Anschluss an C.S. Peirce“. </w:t>
      </w:r>
      <w:r>
        <w:rPr>
          <w:i/>
          <w:lang w:val="fr-FR"/>
        </w:rPr>
        <w:t>Kodikas/Code. Ars Semeiotica</w:t>
      </w:r>
      <w:r w:rsidRPr="00816DC6">
        <w:rPr>
          <w:lang w:val="fr-FR"/>
        </w:rPr>
        <w:t xml:space="preserve"> 28, 3-4</w:t>
      </w:r>
      <w:r>
        <w:rPr>
          <w:i/>
          <w:lang w:val="fr-FR"/>
        </w:rPr>
        <w:t xml:space="preserve"> </w:t>
      </w:r>
      <w:r>
        <w:rPr>
          <w:iCs/>
          <w:lang w:val="fr-FR"/>
        </w:rPr>
        <w:t>(2005): 211-242.</w:t>
      </w:r>
    </w:p>
    <w:p w:rsidR="00C92B64" w:rsidRDefault="00C92B64" w:rsidP="009F0669">
      <w:pPr>
        <w:pStyle w:val="Text"/>
        <w:ind w:left="454" w:hanging="454"/>
        <w:rPr>
          <w:iCs/>
          <w:lang w:val="fr-FR"/>
        </w:rPr>
      </w:pPr>
      <w:r>
        <w:rPr>
          <w:iCs/>
          <w:lang w:val="fr-FR"/>
        </w:rPr>
        <w:t xml:space="preserve">Siefkes, Martin (2009), </w:t>
      </w:r>
      <w:r>
        <w:t>„</w:t>
      </w:r>
      <w:r w:rsidRPr="00C92B64">
        <w:rPr>
          <w:iCs/>
          <w:lang w:val="fr-FR"/>
        </w:rPr>
        <w:t>Zeichenmaterialität und Zeichenträger bei stilistischen Zeichen</w:t>
      </w:r>
      <w:r>
        <w:t>“</w:t>
      </w:r>
      <w:r w:rsidRPr="00C92B64">
        <w:rPr>
          <w:iCs/>
          <w:lang w:val="fr-FR"/>
        </w:rPr>
        <w:t>.</w:t>
      </w:r>
      <w:r>
        <w:rPr>
          <w:iCs/>
          <w:lang w:val="fr-FR"/>
        </w:rPr>
        <w:t xml:space="preserve"> </w:t>
      </w:r>
      <w:r>
        <w:rPr>
          <w:i/>
          <w:lang w:val="fr-FR"/>
        </w:rPr>
        <w:t xml:space="preserve">Kodikas/Code. Ars Semeiotica 32, 1-2 </w:t>
      </w:r>
      <w:r>
        <w:rPr>
          <w:iCs/>
          <w:lang w:val="fr-FR"/>
        </w:rPr>
        <w:t xml:space="preserve">(Themenheft </w:t>
      </w:r>
      <w:r w:rsidRPr="0038337B">
        <w:rPr>
          <w:i/>
          <w:iCs/>
          <w:lang w:val="fr-FR"/>
        </w:rPr>
        <w:t>Zeichenmat</w:t>
      </w:r>
      <w:r>
        <w:rPr>
          <w:i/>
          <w:iCs/>
          <w:lang w:val="fr-FR"/>
        </w:rPr>
        <w:t>e</w:t>
      </w:r>
      <w:r>
        <w:rPr>
          <w:i/>
          <w:iCs/>
          <w:lang w:val="fr-FR"/>
        </w:rPr>
        <w:t>rialität, Körpersinn und (sub-)</w:t>
      </w:r>
      <w:r w:rsidRPr="0038337B">
        <w:rPr>
          <w:i/>
          <w:iCs/>
          <w:lang w:val="fr-FR"/>
        </w:rPr>
        <w:t>kulturelle Identität</w:t>
      </w:r>
      <w:r>
        <w:rPr>
          <w:iCs/>
          <w:lang w:val="fr-FR"/>
        </w:rPr>
        <w:t xml:space="preserve">): </w:t>
      </w:r>
      <w:r>
        <w:t>63-83</w:t>
      </w:r>
      <w:r w:rsidRPr="00755E7B">
        <w:t>.</w:t>
      </w:r>
    </w:p>
    <w:p w:rsidR="00D2554C" w:rsidRPr="00A826D1" w:rsidRDefault="00CC1C5D" w:rsidP="009F0669">
      <w:pPr>
        <w:pStyle w:val="Text"/>
        <w:ind w:left="454" w:hanging="454"/>
        <w:rPr>
          <w:lang w:val="en-GB"/>
        </w:rPr>
      </w:pPr>
      <w:r>
        <w:rPr>
          <w:lang w:val="en-GB"/>
        </w:rPr>
        <w:t>Siefkes, Martin (2010</w:t>
      </w:r>
      <w:r w:rsidR="0019579C">
        <w:rPr>
          <w:lang w:val="en-GB"/>
        </w:rPr>
        <w:t>a</w:t>
      </w:r>
      <w:r>
        <w:rPr>
          <w:lang w:val="en-GB"/>
        </w:rPr>
        <w:t xml:space="preserve">), </w:t>
      </w:r>
      <w:r w:rsidR="00FB6B57">
        <w:rPr>
          <w:lang w:val="en-GB"/>
        </w:rPr>
        <w:t xml:space="preserve">„Power in </w:t>
      </w:r>
      <w:r w:rsidR="00D4634E">
        <w:rPr>
          <w:lang w:val="en-GB"/>
        </w:rPr>
        <w:t>S</w:t>
      </w:r>
      <w:r w:rsidR="00FB6B57">
        <w:rPr>
          <w:lang w:val="en-GB"/>
        </w:rPr>
        <w:t xml:space="preserve">ociety, </w:t>
      </w:r>
      <w:r w:rsidR="00D4634E">
        <w:rPr>
          <w:lang w:val="en-GB"/>
        </w:rPr>
        <w:t>E</w:t>
      </w:r>
      <w:r w:rsidR="00FB6B57">
        <w:rPr>
          <w:lang w:val="en-GB"/>
        </w:rPr>
        <w:t xml:space="preserve">conomy, and </w:t>
      </w:r>
      <w:r w:rsidR="00D4634E">
        <w:rPr>
          <w:lang w:val="en-GB"/>
        </w:rPr>
        <w:t>M</w:t>
      </w:r>
      <w:r w:rsidR="00FB6B57">
        <w:rPr>
          <w:lang w:val="en-GB"/>
        </w:rPr>
        <w:t>entality</w:t>
      </w:r>
      <w:r w:rsidR="000727B5">
        <w:rPr>
          <w:lang w:val="en-GB"/>
        </w:rPr>
        <w:t>.</w:t>
      </w:r>
      <w:r w:rsidR="00FB6B57">
        <w:rPr>
          <w:lang w:val="en-GB"/>
        </w:rPr>
        <w:t xml:space="preserve"> Towards a </w:t>
      </w:r>
      <w:r w:rsidR="00D4634E">
        <w:rPr>
          <w:lang w:val="en-GB"/>
        </w:rPr>
        <w:t>S</w:t>
      </w:r>
      <w:r w:rsidR="00FB6B57">
        <w:rPr>
          <w:lang w:val="en-GB"/>
        </w:rPr>
        <w:t xml:space="preserve">emiotic </w:t>
      </w:r>
      <w:r w:rsidR="00D4634E">
        <w:rPr>
          <w:lang w:val="en-GB"/>
        </w:rPr>
        <w:t>T</w:t>
      </w:r>
      <w:r w:rsidR="00FB6B57">
        <w:rPr>
          <w:lang w:val="en-GB"/>
        </w:rPr>
        <w:t xml:space="preserve">heory of </w:t>
      </w:r>
      <w:r w:rsidR="00D4634E">
        <w:rPr>
          <w:lang w:val="en-GB"/>
        </w:rPr>
        <w:t>P</w:t>
      </w:r>
      <w:r w:rsidR="00FB6B57">
        <w:rPr>
          <w:lang w:val="en-GB"/>
        </w:rPr>
        <w:t xml:space="preserve">ower“. </w:t>
      </w:r>
      <w:r w:rsidR="00FB6B57" w:rsidRPr="00A826D1">
        <w:rPr>
          <w:i/>
          <w:iCs/>
          <w:lang w:val="en-GB"/>
        </w:rPr>
        <w:t>Semiotica</w:t>
      </w:r>
      <w:r w:rsidR="00FB6B57" w:rsidRPr="00A826D1">
        <w:rPr>
          <w:lang w:val="en-GB"/>
        </w:rPr>
        <w:t xml:space="preserve"> 181, 1/4: 225-261.</w:t>
      </w:r>
    </w:p>
    <w:p w:rsidR="0019579C" w:rsidRDefault="0019579C" w:rsidP="009F0669">
      <w:pPr>
        <w:pStyle w:val="Text"/>
        <w:ind w:left="454" w:hanging="454"/>
      </w:pPr>
      <w:r w:rsidRPr="00A82973">
        <w:rPr>
          <w:lang w:val="en-GB"/>
        </w:rPr>
        <w:t xml:space="preserve">Siefkes, Martin (2010b), </w:t>
      </w:r>
      <w:r w:rsidR="003D3267" w:rsidRPr="00A82973">
        <w:rPr>
          <w:lang w:val="en-GB"/>
        </w:rPr>
        <w:t xml:space="preserve">„Rezension von Winfried Nöth und Peter Seibert (Hg.), </w:t>
      </w:r>
      <w:r w:rsidR="00D4634E" w:rsidRPr="00A82973">
        <w:rPr>
          <w:lang w:val="en-GB"/>
        </w:rPr>
        <w:t>‚</w:t>
      </w:r>
      <w:r w:rsidR="003D3267" w:rsidRPr="00A82973">
        <w:rPr>
          <w:lang w:val="en-GB"/>
        </w:rPr>
        <w:t xml:space="preserve">Bilder beSchreiben. </w:t>
      </w:r>
      <w:r w:rsidR="003D3267" w:rsidRPr="00D4634E">
        <w:t>Intersemiotische Transformationen</w:t>
      </w:r>
      <w:r w:rsidR="00D4634E">
        <w:t>‘</w:t>
      </w:r>
      <w:r w:rsidR="003D3267">
        <w:t xml:space="preserve">“. </w:t>
      </w:r>
      <w:r w:rsidR="003D3267" w:rsidRPr="00D40CEF">
        <w:rPr>
          <w:i/>
        </w:rPr>
        <w:t>r:k:m -- Rezensionen:Kommunikation:Medien</w:t>
      </w:r>
      <w:r w:rsidR="00894F07">
        <w:t>,</w:t>
      </w:r>
      <w:r w:rsidR="003D3267">
        <w:t xml:space="preserve"> </w:t>
      </w:r>
      <w:r w:rsidR="00894F07">
        <w:t>19</w:t>
      </w:r>
      <w:r w:rsidR="003D3267" w:rsidRPr="008F3043">
        <w:t>.0</w:t>
      </w:r>
      <w:r w:rsidR="00894F07">
        <w:t>8</w:t>
      </w:r>
      <w:r w:rsidR="003D3267" w:rsidRPr="008F3043">
        <w:t>.2010</w:t>
      </w:r>
      <w:r w:rsidR="00894F07">
        <w:t>.</w:t>
      </w:r>
      <w:r w:rsidR="003D3267" w:rsidRPr="008F3043">
        <w:t xml:space="preserve"> </w:t>
      </w:r>
      <w:r w:rsidR="004A5D1A">
        <w:t xml:space="preserve">Online unter: </w:t>
      </w:r>
      <w:r w:rsidR="00894F07" w:rsidRPr="00AF2198">
        <w:t>http://www.rkm-journal.de/archives/3625</w:t>
      </w:r>
      <w:r w:rsidR="006939D8">
        <w:t xml:space="preserve">; Einsicht am </w:t>
      </w:r>
      <w:r w:rsidR="002840CC">
        <w:t>18</w:t>
      </w:r>
      <w:r w:rsidR="006939D8">
        <w:t>.0</w:t>
      </w:r>
      <w:r w:rsidR="002840CC">
        <w:t>1</w:t>
      </w:r>
      <w:r w:rsidR="006939D8">
        <w:t>.201</w:t>
      </w:r>
      <w:r w:rsidR="002840CC">
        <w:t>2</w:t>
      </w:r>
      <w:r w:rsidR="006939D8">
        <w:t>.</w:t>
      </w:r>
    </w:p>
    <w:p w:rsidR="0025672F" w:rsidRPr="003D3267" w:rsidRDefault="0025672F" w:rsidP="0025672F">
      <w:pPr>
        <w:pStyle w:val="Text"/>
        <w:ind w:left="454" w:hanging="454"/>
      </w:pPr>
      <w:r w:rsidRPr="0025672F">
        <w:rPr>
          <w:lang w:val="en-US"/>
        </w:rPr>
        <w:t xml:space="preserve">Siefkes, Martin (2011), „Style. A New Semiotic View on an Old Problem“. </w:t>
      </w:r>
      <w:r w:rsidRPr="001B5199">
        <w:t xml:space="preserve">In: </w:t>
      </w:r>
      <w:r>
        <w:rPr>
          <w:i/>
          <w:lang w:val="fr-FR"/>
        </w:rPr>
        <w:t>Kodikas/Code. Ars Semeiotica</w:t>
      </w:r>
      <w:r w:rsidRPr="008A48E4">
        <w:rPr>
          <w:lang w:val="fr-FR"/>
        </w:rPr>
        <w:t> 34, 1-2:</w:t>
      </w:r>
      <w:r w:rsidRPr="008A48E4">
        <w:rPr>
          <w:iCs/>
          <w:lang w:val="fr-FR"/>
        </w:rPr>
        <w:t> </w:t>
      </w:r>
      <w:r>
        <w:rPr>
          <w:lang w:val="fr-FR"/>
        </w:rPr>
        <w:t>15-25.</w:t>
      </w:r>
    </w:p>
    <w:p w:rsidR="006A7B53" w:rsidRDefault="006A7B53" w:rsidP="009F0669">
      <w:pPr>
        <w:pStyle w:val="Text"/>
        <w:ind w:left="454" w:hanging="454"/>
        <w:rPr>
          <w:bCs/>
        </w:rPr>
      </w:pPr>
      <w:r w:rsidRPr="006420C7">
        <w:rPr>
          <w:rStyle w:val="Fett"/>
          <w:b w:val="0"/>
        </w:rPr>
        <w:t>Simmel, Georg (1908), „Das Problem des Stiles</w:t>
      </w:r>
      <w:r>
        <w:rPr>
          <w:rStyle w:val="Fett"/>
          <w:b w:val="0"/>
        </w:rPr>
        <w:t>“</w:t>
      </w:r>
      <w:r w:rsidRPr="006420C7">
        <w:rPr>
          <w:rStyle w:val="Fett"/>
          <w:b w:val="0"/>
        </w:rPr>
        <w:t xml:space="preserve">. </w:t>
      </w:r>
      <w:r w:rsidRPr="006420C7">
        <w:rPr>
          <w:bCs/>
          <w:i/>
        </w:rPr>
        <w:t>Dekorative Kunst. Illustrierte Zeitschrift für</w:t>
      </w:r>
      <w:r>
        <w:rPr>
          <w:bCs/>
          <w:i/>
        </w:rPr>
        <w:t xml:space="preserve"> </w:t>
      </w:r>
      <w:r w:rsidRPr="006420C7">
        <w:rPr>
          <w:bCs/>
          <w:i/>
        </w:rPr>
        <w:t>Angewandte Kunst</w:t>
      </w:r>
      <w:r w:rsidRPr="006420C7">
        <w:rPr>
          <w:bCs/>
        </w:rPr>
        <w:t xml:space="preserve"> 11, 7 (Bd. 16): 307-316.</w:t>
      </w:r>
      <w:r>
        <w:rPr>
          <w:bCs/>
        </w:rPr>
        <w:t xml:space="preserve"> Online unter: </w:t>
      </w:r>
      <w:r w:rsidR="00180E28" w:rsidRPr="00180E28">
        <w:rPr>
          <w:bCs/>
        </w:rPr>
        <w:lastRenderedPageBreak/>
        <w:t>http://www.modetheorie.de/fileadmin/Texte/s/Simmel-Das_Problem_des</w:t>
      </w:r>
      <w:r w:rsidR="002310DC">
        <w:rPr>
          <w:bCs/>
        </w:rPr>
        <w:br/>
      </w:r>
      <w:r w:rsidR="00180E28" w:rsidRPr="00180E28">
        <w:rPr>
          <w:bCs/>
        </w:rPr>
        <w:t>_Stiles_1907.pdf</w:t>
      </w:r>
      <w:r>
        <w:rPr>
          <w:bCs/>
        </w:rPr>
        <w:t xml:space="preserve">; Einsicht am </w:t>
      </w:r>
      <w:r w:rsidR="00B370AE">
        <w:t>18.01.2012</w:t>
      </w:r>
      <w:r>
        <w:rPr>
          <w:bCs/>
        </w:rPr>
        <w:t>.</w:t>
      </w:r>
    </w:p>
    <w:p w:rsidR="00540504" w:rsidRPr="0020312F" w:rsidRDefault="00540504" w:rsidP="009F0669">
      <w:pPr>
        <w:pStyle w:val="Text"/>
        <w:ind w:left="454" w:hanging="454"/>
        <w:rPr>
          <w:bCs/>
          <w:lang w:val="en-US"/>
        </w:rPr>
      </w:pPr>
      <w:r w:rsidRPr="0020312F">
        <w:rPr>
          <w:bCs/>
          <w:lang w:val="en-US"/>
        </w:rPr>
        <w:t xml:space="preserve">Simon, Herbert A. (1952), </w:t>
      </w:r>
      <w:r w:rsidRPr="0020312F">
        <w:rPr>
          <w:rStyle w:val="Fett"/>
          <w:b w:val="0"/>
          <w:lang w:val="en-US"/>
        </w:rPr>
        <w:t>„</w:t>
      </w:r>
      <w:r w:rsidRPr="0020312F">
        <w:rPr>
          <w:bCs/>
          <w:lang w:val="en-US"/>
        </w:rPr>
        <w:t>A Formal Theory of Interaction in Social Groups</w:t>
      </w:r>
      <w:r w:rsidRPr="0020312F">
        <w:rPr>
          <w:rStyle w:val="Fett"/>
          <w:b w:val="0"/>
          <w:lang w:val="en-US"/>
        </w:rPr>
        <w:t>“</w:t>
      </w:r>
      <w:r w:rsidRPr="0020312F">
        <w:rPr>
          <w:bCs/>
          <w:lang w:val="en-US"/>
        </w:rPr>
        <w:t xml:space="preserve">. </w:t>
      </w:r>
      <w:r w:rsidRPr="0020312F">
        <w:rPr>
          <w:bCs/>
          <w:i/>
          <w:lang w:val="en-US"/>
        </w:rPr>
        <w:t>American Sociological Review</w:t>
      </w:r>
      <w:r w:rsidRPr="0020312F">
        <w:rPr>
          <w:bCs/>
          <w:lang w:val="en-US"/>
        </w:rPr>
        <w:t xml:space="preserve"> 17: 202-211.</w:t>
      </w:r>
    </w:p>
    <w:p w:rsidR="00E14FC1" w:rsidRPr="00A15ADC" w:rsidRDefault="00E14FC1" w:rsidP="009F0669">
      <w:pPr>
        <w:pStyle w:val="Text"/>
        <w:ind w:left="454" w:hanging="454"/>
        <w:rPr>
          <w:lang w:val="en-US"/>
        </w:rPr>
      </w:pPr>
      <w:r w:rsidRPr="002D53E0">
        <w:rPr>
          <w:lang w:val="en-US"/>
        </w:rPr>
        <w:t xml:space="preserve">Singer, Jerome L. und Kenneth S. Pope (Hg.) </w:t>
      </w:r>
      <w:r>
        <w:t>(1986),</w:t>
      </w:r>
      <w:r w:rsidRPr="00E14FC1">
        <w:t xml:space="preserve"> </w:t>
      </w:r>
      <w:r w:rsidRPr="00E14FC1">
        <w:rPr>
          <w:i/>
        </w:rPr>
        <w:t>Imaginative Verfahren in der Psychotherapie.</w:t>
      </w:r>
      <w:r w:rsidRPr="00E14FC1">
        <w:t xml:space="preserve"> </w:t>
      </w:r>
      <w:r w:rsidRPr="00A15ADC">
        <w:rPr>
          <w:lang w:val="en-US"/>
        </w:rPr>
        <w:t>Paderborn: Junfermann.</w:t>
      </w:r>
    </w:p>
    <w:p w:rsidR="00890A50" w:rsidRPr="00540504" w:rsidRDefault="00890A50" w:rsidP="009F0669">
      <w:pPr>
        <w:pStyle w:val="Text"/>
        <w:ind w:left="454" w:hanging="454"/>
        <w:rPr>
          <w:lang w:val="en-US"/>
        </w:rPr>
      </w:pPr>
      <w:r>
        <w:rPr>
          <w:bCs/>
          <w:lang w:val="en-US"/>
        </w:rPr>
        <w:t>Sneed, Joseph D. (1971)</w:t>
      </w:r>
      <w:r w:rsidRPr="00890A50">
        <w:rPr>
          <w:lang w:val="en-US"/>
        </w:rPr>
        <w:t xml:space="preserve">, </w:t>
      </w:r>
      <w:r w:rsidRPr="00890A50">
        <w:rPr>
          <w:i/>
          <w:iCs/>
          <w:lang w:val="en-US"/>
        </w:rPr>
        <w:t>The Logical Structure of Mathematical Physics</w:t>
      </w:r>
      <w:r w:rsidRPr="00890A50">
        <w:rPr>
          <w:lang w:val="en-US"/>
        </w:rPr>
        <w:t>.</w:t>
      </w:r>
      <w:r>
        <w:rPr>
          <w:lang w:val="en-US"/>
        </w:rPr>
        <w:t xml:space="preserve"> </w:t>
      </w:r>
      <w:r w:rsidRPr="00890A50">
        <w:rPr>
          <w:lang w:val="en-US"/>
        </w:rPr>
        <w:t>Do</w:t>
      </w:r>
      <w:r w:rsidRPr="00890A50">
        <w:rPr>
          <w:lang w:val="en-US"/>
        </w:rPr>
        <w:t>r</w:t>
      </w:r>
      <w:r w:rsidRPr="00890A50">
        <w:rPr>
          <w:lang w:val="en-US"/>
        </w:rPr>
        <w:t>drecht</w:t>
      </w:r>
      <w:r>
        <w:rPr>
          <w:lang w:val="en-US"/>
        </w:rPr>
        <w:t xml:space="preserve">: </w:t>
      </w:r>
      <w:r w:rsidRPr="00890A50">
        <w:rPr>
          <w:lang w:val="en-US"/>
        </w:rPr>
        <w:t>Reidel</w:t>
      </w:r>
      <w:r>
        <w:rPr>
          <w:lang w:val="en-US"/>
        </w:rPr>
        <w:t>.</w:t>
      </w:r>
    </w:p>
    <w:p w:rsidR="00E71349" w:rsidRDefault="00E71349" w:rsidP="009F0669">
      <w:pPr>
        <w:pStyle w:val="Text"/>
        <w:ind w:left="454" w:hanging="454"/>
        <w:rPr>
          <w:lang w:val="en-US"/>
        </w:rPr>
      </w:pPr>
      <w:r>
        <w:rPr>
          <w:lang w:val="en-GB"/>
        </w:rPr>
        <w:t xml:space="preserve">Sobel, Michael E. (1981), </w:t>
      </w:r>
      <w:r w:rsidRPr="00E71349">
        <w:rPr>
          <w:i/>
          <w:lang w:val="en-GB"/>
        </w:rPr>
        <w:t xml:space="preserve">Lifestyle and </w:t>
      </w:r>
      <w:r w:rsidR="00D4634E">
        <w:rPr>
          <w:i/>
          <w:lang w:val="en-GB"/>
        </w:rPr>
        <w:t>S</w:t>
      </w:r>
      <w:r w:rsidRPr="00E71349">
        <w:rPr>
          <w:i/>
          <w:lang w:val="en-GB"/>
        </w:rPr>
        <w:t xml:space="preserve">ocial </w:t>
      </w:r>
      <w:r w:rsidR="00D4634E">
        <w:rPr>
          <w:i/>
          <w:lang w:val="en-GB"/>
        </w:rPr>
        <w:t>S</w:t>
      </w:r>
      <w:r w:rsidRPr="00E71349">
        <w:rPr>
          <w:i/>
          <w:lang w:val="en-GB"/>
        </w:rPr>
        <w:t>tructure</w:t>
      </w:r>
      <w:r w:rsidR="00C43D5F">
        <w:rPr>
          <w:i/>
          <w:lang w:val="en-GB"/>
        </w:rPr>
        <w:t>.</w:t>
      </w:r>
      <w:r w:rsidRPr="00E71349">
        <w:rPr>
          <w:i/>
          <w:lang w:val="en-GB"/>
        </w:rPr>
        <w:t xml:space="preserve"> Concepts, </w:t>
      </w:r>
      <w:r w:rsidR="00D4634E">
        <w:rPr>
          <w:i/>
          <w:lang w:val="en-GB"/>
        </w:rPr>
        <w:t>D</w:t>
      </w:r>
      <w:r w:rsidRPr="00E71349">
        <w:rPr>
          <w:i/>
          <w:lang w:val="en-GB"/>
        </w:rPr>
        <w:t xml:space="preserve">efinitions, </w:t>
      </w:r>
      <w:r w:rsidR="00D4634E">
        <w:rPr>
          <w:i/>
          <w:lang w:val="en-GB"/>
        </w:rPr>
        <w:t>A</w:t>
      </w:r>
      <w:r w:rsidRPr="00E71349">
        <w:rPr>
          <w:i/>
          <w:lang w:val="en-GB"/>
        </w:rPr>
        <w:t>nalyses.</w:t>
      </w:r>
      <w:r>
        <w:rPr>
          <w:lang w:val="en-GB"/>
        </w:rPr>
        <w:t xml:space="preserve"> </w:t>
      </w:r>
      <w:r w:rsidRPr="003714CE">
        <w:rPr>
          <w:lang w:val="en-US"/>
        </w:rPr>
        <w:t>New York u.a.: Academic Press.</w:t>
      </w:r>
    </w:p>
    <w:p w:rsidR="00F5100A" w:rsidRPr="00F5100A" w:rsidRDefault="00F5100A" w:rsidP="009F0669">
      <w:pPr>
        <w:pStyle w:val="Text"/>
        <w:ind w:left="454" w:hanging="454"/>
      </w:pPr>
      <w:r w:rsidRPr="00A64A9C">
        <w:rPr>
          <w:lang w:val="en-US"/>
        </w:rPr>
        <w:t xml:space="preserve">Sonesson, Göran (1993), „Die Semiotik des Bildes. </w:t>
      </w:r>
      <w:r>
        <w:t xml:space="preserve">Zum Forschungsstand am Anfang der 90er Jahre“. </w:t>
      </w:r>
      <w:r w:rsidRPr="00F5100A">
        <w:rPr>
          <w:i/>
        </w:rPr>
        <w:t>Zeitschrift für Semiotik</w:t>
      </w:r>
      <w:r>
        <w:t xml:space="preserve"> 15, 1-2: 127-160.</w:t>
      </w:r>
    </w:p>
    <w:p w:rsidR="00064B74" w:rsidRPr="002300F4" w:rsidRDefault="00064B74" w:rsidP="009F0669">
      <w:pPr>
        <w:pStyle w:val="Text"/>
        <w:ind w:left="454" w:hanging="454"/>
      </w:pPr>
      <w:r w:rsidRPr="002300F4">
        <w:t xml:space="preserve">Sowinski, Bernhard (1994), </w:t>
      </w:r>
      <w:r w:rsidRPr="002300F4">
        <w:rPr>
          <w:rStyle w:val="Fett"/>
          <w:b w:val="0"/>
        </w:rPr>
        <w:t>„</w:t>
      </w:r>
      <w:r w:rsidRPr="002300F4">
        <w:t>Epochenstil</w:t>
      </w:r>
      <w:r w:rsidRPr="002300F4">
        <w:rPr>
          <w:rStyle w:val="Fett"/>
          <w:b w:val="0"/>
        </w:rPr>
        <w:t>“</w:t>
      </w:r>
      <w:r w:rsidRPr="002300F4">
        <w:t>. In: Ueding</w:t>
      </w:r>
      <w:r w:rsidR="002F4398" w:rsidRPr="002300F4">
        <w:t xml:space="preserve"> </w:t>
      </w:r>
      <w:r w:rsidR="00CD60C8" w:rsidRPr="002300F4">
        <w:t>1992–2009</w:t>
      </w:r>
      <w:r w:rsidR="009D2CB4" w:rsidRPr="002300F4">
        <w:t>, Bd. 2:</w:t>
      </w:r>
      <w:r w:rsidRPr="002300F4">
        <w:t xml:space="preserve"> </w:t>
      </w:r>
      <w:r w:rsidR="002F4398" w:rsidRPr="002300F4">
        <w:t>Sp. </w:t>
      </w:r>
      <w:r w:rsidRPr="002300F4">
        <w:t>1319-1325.</w:t>
      </w:r>
    </w:p>
    <w:p w:rsidR="00614E1B" w:rsidRPr="00614E1B" w:rsidRDefault="00614E1B" w:rsidP="009F0669">
      <w:pPr>
        <w:pStyle w:val="Text"/>
        <w:ind w:left="454" w:hanging="454"/>
      </w:pPr>
      <w:r w:rsidRPr="00614E1B">
        <w:t xml:space="preserve">Sowinski, Bernhard (1999), </w:t>
      </w:r>
      <w:r w:rsidRPr="00614E1B">
        <w:rPr>
          <w:i/>
        </w:rPr>
        <w:t>Stilistik. Stiltheorien und Stilanalysen.</w:t>
      </w:r>
      <w:r w:rsidRPr="00614E1B">
        <w:t xml:space="preserve"> </w:t>
      </w:r>
      <w:r>
        <w:t xml:space="preserve">2. überarb.. </w:t>
      </w:r>
      <w:r w:rsidR="00363EA0">
        <w:t>und aktual. Aufl. Stuttgart</w:t>
      </w:r>
      <w:r>
        <w:t xml:space="preserve">: </w:t>
      </w:r>
      <w:r w:rsidR="00363EA0">
        <w:t>Metzler</w:t>
      </w:r>
      <w:r>
        <w:t>.</w:t>
      </w:r>
    </w:p>
    <w:p w:rsidR="00F44C9F" w:rsidRPr="00607AF0" w:rsidRDefault="00F44C9F" w:rsidP="009F0669">
      <w:pPr>
        <w:pStyle w:val="Text"/>
        <w:ind w:left="454" w:hanging="454"/>
      </w:pPr>
      <w:r>
        <w:t xml:space="preserve">Spellerberg, Annette (1996), </w:t>
      </w:r>
      <w:r w:rsidRPr="00F44C9F">
        <w:rPr>
          <w:i/>
        </w:rPr>
        <w:t>Soziale Differenzierung durch Lebensstile. Eine emp</w:t>
      </w:r>
      <w:r w:rsidRPr="00F44C9F">
        <w:rPr>
          <w:i/>
        </w:rPr>
        <w:t>i</w:t>
      </w:r>
      <w:r w:rsidRPr="00F44C9F">
        <w:rPr>
          <w:i/>
        </w:rPr>
        <w:t>rische Untersuchung zur Lebensqualität in West- und Ostdeutschland.</w:t>
      </w:r>
      <w:r>
        <w:t xml:space="preserve"> Berlin: Sigma.</w:t>
      </w:r>
    </w:p>
    <w:p w:rsidR="00FE059B" w:rsidRPr="00FE059B" w:rsidRDefault="00FE059B" w:rsidP="009F0669">
      <w:pPr>
        <w:pStyle w:val="Text"/>
        <w:ind w:left="454" w:hanging="454"/>
      </w:pPr>
      <w:r w:rsidRPr="00FE059B">
        <w:t xml:space="preserve">Spengler, Oswald (1918-1922), </w:t>
      </w:r>
      <w:r w:rsidRPr="00FE059B">
        <w:rPr>
          <w:i/>
          <w:iCs/>
        </w:rPr>
        <w:t xml:space="preserve">Der Untergang des </w:t>
      </w:r>
      <w:r w:rsidR="00C43D5F">
        <w:rPr>
          <w:i/>
          <w:iCs/>
        </w:rPr>
        <w:t>Abendlandes.</w:t>
      </w:r>
      <w:r w:rsidRPr="00FE059B">
        <w:rPr>
          <w:i/>
          <w:iCs/>
        </w:rPr>
        <w:t xml:space="preserve"> Umrisse einer Morphologie der Weltgeschichte</w:t>
      </w:r>
      <w:r>
        <w:rPr>
          <w:iCs/>
        </w:rPr>
        <w:t xml:space="preserve">. Bd. 1 (1918): </w:t>
      </w:r>
      <w:r w:rsidRPr="00FE059B">
        <w:rPr>
          <w:i/>
          <w:iCs/>
        </w:rPr>
        <w:t>Gestalt und Wirklichkeit</w:t>
      </w:r>
      <w:r>
        <w:rPr>
          <w:iCs/>
        </w:rPr>
        <w:t xml:space="preserve">. Wien: Braunmüller. Bd. 2 (1922): </w:t>
      </w:r>
      <w:r w:rsidRPr="00FE059B">
        <w:rPr>
          <w:i/>
          <w:iCs/>
        </w:rPr>
        <w:t>Welthistorische Perspektiven</w:t>
      </w:r>
      <w:r>
        <w:rPr>
          <w:iCs/>
        </w:rPr>
        <w:t>. München: C.H. Beck.</w:t>
      </w:r>
    </w:p>
    <w:p w:rsidR="00D2554C" w:rsidRPr="00A826D1" w:rsidRDefault="00D2554C" w:rsidP="009F0669">
      <w:pPr>
        <w:pStyle w:val="Text"/>
        <w:ind w:left="454" w:hanging="454"/>
        <w:rPr>
          <w:lang w:val="en-US"/>
        </w:rPr>
      </w:pPr>
      <w:r w:rsidRPr="00A71A3A">
        <w:rPr>
          <w:lang w:val="en-US"/>
        </w:rPr>
        <w:t xml:space="preserve">Sperber, Dan and Deirdre Wilson (1986), </w:t>
      </w:r>
      <w:r w:rsidR="00590AA7">
        <w:rPr>
          <w:i/>
          <w:lang w:val="en-US"/>
        </w:rPr>
        <w:t>Relevance.</w:t>
      </w:r>
      <w:r w:rsidRPr="00A71A3A">
        <w:rPr>
          <w:i/>
          <w:lang w:val="en-US"/>
        </w:rPr>
        <w:t xml:space="preserve"> Communication and Cogn</w:t>
      </w:r>
      <w:r w:rsidRPr="00A71A3A">
        <w:rPr>
          <w:i/>
          <w:lang w:val="en-US"/>
        </w:rPr>
        <w:t>i</w:t>
      </w:r>
      <w:r w:rsidRPr="00A71A3A">
        <w:rPr>
          <w:i/>
          <w:lang w:val="en-US"/>
        </w:rPr>
        <w:t xml:space="preserve">tion. </w:t>
      </w:r>
      <w:r w:rsidRPr="00A826D1">
        <w:rPr>
          <w:lang w:val="en-US"/>
        </w:rPr>
        <w:t>Cambridge</w:t>
      </w:r>
      <w:r w:rsidR="00BD6313" w:rsidRPr="00A826D1">
        <w:rPr>
          <w:lang w:val="en-US"/>
        </w:rPr>
        <w:t>,</w:t>
      </w:r>
      <w:r w:rsidRPr="00A826D1">
        <w:rPr>
          <w:lang w:val="en-US"/>
        </w:rPr>
        <w:t xml:space="preserve"> MA: Harvard University Press.</w:t>
      </w:r>
    </w:p>
    <w:p w:rsidR="00D2554C" w:rsidRDefault="00D2554C" w:rsidP="009F0669">
      <w:pPr>
        <w:pStyle w:val="Text"/>
        <w:ind w:left="454" w:hanging="454"/>
      </w:pPr>
      <w:r>
        <w:t>Spillner, Bernd (1974</w:t>
      </w:r>
      <w:r w:rsidR="00086A98">
        <w:t>a</w:t>
      </w:r>
      <w:r>
        <w:t xml:space="preserve">), </w:t>
      </w:r>
      <w:r>
        <w:rPr>
          <w:i/>
          <w:iCs/>
        </w:rPr>
        <w:t>Linguistik und Literaturwissenschaft. Stilforschung, Rhet</w:t>
      </w:r>
      <w:r>
        <w:rPr>
          <w:i/>
          <w:iCs/>
        </w:rPr>
        <w:t>o</w:t>
      </w:r>
      <w:r>
        <w:rPr>
          <w:i/>
          <w:iCs/>
        </w:rPr>
        <w:t xml:space="preserve">rik, Textlinguistik. </w:t>
      </w:r>
      <w:r>
        <w:t>Stuttgart u.a.: Kohlhammer.</w:t>
      </w:r>
    </w:p>
    <w:p w:rsidR="008A234B" w:rsidRPr="008A234B" w:rsidRDefault="008A234B" w:rsidP="009F0669">
      <w:pPr>
        <w:pStyle w:val="Text"/>
        <w:ind w:left="454" w:hanging="454"/>
        <w:rPr>
          <w:i/>
        </w:rPr>
      </w:pPr>
      <w:r>
        <w:t>Spillner, Bernd (1974</w:t>
      </w:r>
      <w:r w:rsidR="00086A98">
        <w:t>b</w:t>
      </w:r>
      <w:r>
        <w:t>), „Zur Objektivierung stilistischer und rhetorischer An</w:t>
      </w:r>
      <w:r>
        <w:t>a</w:t>
      </w:r>
      <w:r>
        <w:t xml:space="preserve">lysemethoden“. In: Gerhard </w:t>
      </w:r>
      <w:r w:rsidRPr="008A234B">
        <w:rPr>
          <w:rStyle w:val="Hervorhebung"/>
          <w:i w:val="0"/>
        </w:rPr>
        <w:t>Nickel</w:t>
      </w:r>
      <w:r>
        <w:rPr>
          <w:rStyle w:val="Hervorhebung"/>
          <w:i w:val="0"/>
        </w:rPr>
        <w:t xml:space="preserve"> und </w:t>
      </w:r>
      <w:r w:rsidRPr="008A234B">
        <w:t>Albert</w:t>
      </w:r>
      <w:r w:rsidRPr="008A234B">
        <w:rPr>
          <w:i/>
        </w:rPr>
        <w:t xml:space="preserve"> </w:t>
      </w:r>
      <w:r w:rsidRPr="008A234B">
        <w:rPr>
          <w:rStyle w:val="Hervorhebung"/>
          <w:i w:val="0"/>
        </w:rPr>
        <w:t>Raasch</w:t>
      </w:r>
      <w:r>
        <w:rPr>
          <w:rStyle w:val="Hervorhebung"/>
          <w:i w:val="0"/>
        </w:rPr>
        <w:t xml:space="preserve"> (Hg.), </w:t>
      </w:r>
      <w:r w:rsidRPr="008A234B">
        <w:rPr>
          <w:rStyle w:val="Hervorhebung"/>
        </w:rPr>
        <w:t>Kongressb</w:t>
      </w:r>
      <w:r w:rsidRPr="008A234B">
        <w:rPr>
          <w:rStyle w:val="Hervorhebung"/>
        </w:rPr>
        <w:t>e</w:t>
      </w:r>
      <w:r w:rsidRPr="008A234B">
        <w:rPr>
          <w:rStyle w:val="Hervorhebung"/>
        </w:rPr>
        <w:t>richt der 5. Jahrestagung der Gesellschaft für angewandte Linguistik.</w:t>
      </w:r>
      <w:r>
        <w:rPr>
          <w:rStyle w:val="Hervorhebung"/>
          <w:i w:val="0"/>
        </w:rPr>
        <w:t xml:space="preserve"> Heide</w:t>
      </w:r>
      <w:r>
        <w:rPr>
          <w:rStyle w:val="Hervorhebung"/>
          <w:i w:val="0"/>
        </w:rPr>
        <w:t>l</w:t>
      </w:r>
      <w:r>
        <w:rPr>
          <w:rStyle w:val="Hervorhebung"/>
          <w:i w:val="0"/>
        </w:rPr>
        <w:t>berg: Groos</w:t>
      </w:r>
      <w:r w:rsidR="00E84DB1">
        <w:rPr>
          <w:rStyle w:val="Hervorhebung"/>
          <w:i w:val="0"/>
        </w:rPr>
        <w:t>.</w:t>
      </w:r>
      <w:r>
        <w:rPr>
          <w:rStyle w:val="Hervorhebung"/>
          <w:i w:val="0"/>
        </w:rPr>
        <w:t xml:space="preserve"> 281-290.</w:t>
      </w:r>
    </w:p>
    <w:p w:rsidR="00B156A2" w:rsidRDefault="008A234B" w:rsidP="009F0669">
      <w:pPr>
        <w:pStyle w:val="Text"/>
        <w:ind w:left="454" w:hanging="454"/>
      </w:pPr>
      <w:r>
        <w:t xml:space="preserve">Spillner, Bernd (1976), „Empirische Verfahren in der Stilforschung“. </w:t>
      </w:r>
      <w:r w:rsidRPr="008A234B">
        <w:rPr>
          <w:i/>
        </w:rPr>
        <w:t>Li</w:t>
      </w:r>
      <w:r>
        <w:rPr>
          <w:i/>
        </w:rPr>
        <w:t>L</w:t>
      </w:r>
      <w:r w:rsidRPr="008A234B">
        <w:rPr>
          <w:i/>
        </w:rPr>
        <w:t>i. Zei</w:t>
      </w:r>
      <w:r w:rsidRPr="008A234B">
        <w:rPr>
          <w:i/>
        </w:rPr>
        <w:t>t</w:t>
      </w:r>
      <w:r w:rsidRPr="008A234B">
        <w:rPr>
          <w:i/>
        </w:rPr>
        <w:t>schrift für Literaturwissenschaft und Linguistik</w:t>
      </w:r>
      <w:r>
        <w:t xml:space="preserve"> </w:t>
      </w:r>
      <w:r w:rsidR="002C4FE8">
        <w:t xml:space="preserve">6, </w:t>
      </w:r>
      <w:r>
        <w:t>22: 16-34.</w:t>
      </w:r>
    </w:p>
    <w:p w:rsidR="00FD607F" w:rsidRDefault="00FD607F" w:rsidP="009F0669">
      <w:pPr>
        <w:pStyle w:val="Text"/>
        <w:ind w:left="454" w:hanging="454"/>
        <w:rPr>
          <w:lang w:val="en-US"/>
        </w:rPr>
      </w:pPr>
      <w:r>
        <w:t xml:space="preserve">Spillner, Bernd (1984) (Hg.), </w:t>
      </w:r>
      <w:r w:rsidRPr="00FD607F">
        <w:rPr>
          <w:i/>
        </w:rPr>
        <w:t>Methoden der Stilanalyse.</w:t>
      </w:r>
      <w:r>
        <w:t xml:space="preserve"> </w:t>
      </w:r>
      <w:r w:rsidRPr="00F374F6">
        <w:rPr>
          <w:lang w:val="en-US"/>
        </w:rPr>
        <w:t>Tübingen: Narr.</w:t>
      </w:r>
    </w:p>
    <w:p w:rsidR="008C1BC1" w:rsidRDefault="008C1BC1" w:rsidP="009F0669">
      <w:pPr>
        <w:pStyle w:val="Text"/>
        <w:ind w:left="454" w:hanging="454"/>
      </w:pPr>
      <w:r>
        <w:rPr>
          <w:lang w:val="en-US"/>
        </w:rPr>
        <w:t xml:space="preserve">Spillner, Bernd (1987), </w:t>
      </w:r>
      <w:r w:rsidRPr="002D3323">
        <w:rPr>
          <w:lang w:val="en-US"/>
        </w:rPr>
        <w:t>„</w:t>
      </w:r>
      <w:r>
        <w:rPr>
          <w:lang w:val="en-US"/>
        </w:rPr>
        <w:t>Style and Register</w:t>
      </w:r>
      <w:r w:rsidRPr="002D3323">
        <w:rPr>
          <w:lang w:val="en-US"/>
        </w:rPr>
        <w:t>“</w:t>
      </w:r>
      <w:r>
        <w:rPr>
          <w:lang w:val="en-US"/>
        </w:rPr>
        <w:t xml:space="preserve">. In: </w:t>
      </w:r>
      <w:r w:rsidR="00D4634E">
        <w:rPr>
          <w:lang w:val="en-US"/>
        </w:rPr>
        <w:t xml:space="preserve">Ulrich </w:t>
      </w:r>
      <w:r>
        <w:rPr>
          <w:lang w:val="en-US"/>
        </w:rPr>
        <w:t xml:space="preserve">Ammon u.a. (Hg.), </w:t>
      </w:r>
      <w:r w:rsidRPr="008C1BC1">
        <w:rPr>
          <w:i/>
          <w:lang w:val="en-US"/>
        </w:rPr>
        <w:t>Soc</w:t>
      </w:r>
      <w:r w:rsidRPr="008C1BC1">
        <w:rPr>
          <w:i/>
          <w:lang w:val="en-US"/>
        </w:rPr>
        <w:t>i</w:t>
      </w:r>
      <w:r w:rsidRPr="008C1BC1">
        <w:rPr>
          <w:i/>
          <w:lang w:val="en-US"/>
        </w:rPr>
        <w:t>olinguistics / Soziolinguistik</w:t>
      </w:r>
      <w:r w:rsidR="00590AA7">
        <w:rPr>
          <w:i/>
          <w:lang w:val="en-US"/>
        </w:rPr>
        <w:t>.</w:t>
      </w:r>
      <w:r w:rsidRPr="008C1BC1">
        <w:rPr>
          <w:i/>
          <w:lang w:val="en-US"/>
        </w:rPr>
        <w:t xml:space="preserve"> An International Handbook of the Science of Language and Society</w:t>
      </w:r>
      <w:r w:rsidRPr="00590AA7">
        <w:rPr>
          <w:lang w:val="en-US"/>
        </w:rPr>
        <w:t xml:space="preserve">. </w:t>
      </w:r>
      <w:r w:rsidRPr="00590AA7">
        <w:t xml:space="preserve">Bd. </w:t>
      </w:r>
      <w:r w:rsidR="00590AA7">
        <w:t xml:space="preserve">1. </w:t>
      </w:r>
      <w:r w:rsidRPr="00083AF6">
        <w:t xml:space="preserve">Berlin u.a.: de Gruyter. </w:t>
      </w:r>
      <w:r>
        <w:t>273-285.</w:t>
      </w:r>
    </w:p>
    <w:p w:rsidR="000F2130" w:rsidRDefault="000F2130" w:rsidP="009F0669">
      <w:pPr>
        <w:pStyle w:val="Text"/>
        <w:ind w:left="454" w:hanging="454"/>
      </w:pPr>
      <w:r>
        <w:t>Spillner, Bernd (1989), „Stilelemente im fachsprachlichen Diskurs“. In: Wol</w:t>
      </w:r>
      <w:r>
        <w:t>f</w:t>
      </w:r>
      <w:r>
        <w:t xml:space="preserve">gang Dahmen u.a. (Hg.), </w:t>
      </w:r>
      <w:r w:rsidRPr="000F2130">
        <w:rPr>
          <w:i/>
        </w:rPr>
        <w:t>Technische Sprache und Technolekte in der Rom</w:t>
      </w:r>
      <w:r w:rsidRPr="000F2130">
        <w:rPr>
          <w:i/>
        </w:rPr>
        <w:t>a</w:t>
      </w:r>
      <w:r w:rsidRPr="000F2130">
        <w:rPr>
          <w:i/>
        </w:rPr>
        <w:t>nia. Romanistisches Kolloquium II.</w:t>
      </w:r>
      <w:r>
        <w:t xml:space="preserve"> Tübingen: Narr.</w:t>
      </w:r>
      <w:r w:rsidR="00B024DD">
        <w:t xml:space="preserve"> 2-19.</w:t>
      </w:r>
    </w:p>
    <w:p w:rsidR="003662FA" w:rsidRDefault="003662FA" w:rsidP="009F0669">
      <w:pPr>
        <w:pStyle w:val="Text"/>
        <w:ind w:left="454" w:hanging="454"/>
      </w:pPr>
      <w:r>
        <w:t xml:space="preserve">Spillner, Bernd (1995), „Stilsemiotik“. In: Gerhard Stickel (Hg.), </w:t>
      </w:r>
      <w:r w:rsidRPr="003662FA">
        <w:rPr>
          <w:i/>
        </w:rPr>
        <w:t>Stilfragen.</w:t>
      </w:r>
      <w:r>
        <w:t xml:space="preserve"> Be</w:t>
      </w:r>
      <w:r>
        <w:t>r</w:t>
      </w:r>
      <w:r>
        <w:t>lin u.a.: de Gruyter. 62-93.</w:t>
      </w:r>
    </w:p>
    <w:p w:rsidR="003B75EA" w:rsidRPr="00CA35F0" w:rsidRDefault="003B75EA" w:rsidP="009F0669">
      <w:pPr>
        <w:pStyle w:val="Text"/>
        <w:ind w:left="454" w:hanging="454"/>
      </w:pPr>
      <w:r>
        <w:lastRenderedPageBreak/>
        <w:t xml:space="preserve">Spillner, Bernd (2009), „Verfahren stilistischer Textanalyse“. </w:t>
      </w:r>
      <w:r w:rsidRPr="00CA35F0">
        <w:t xml:space="preserve">In: </w:t>
      </w:r>
      <w:r w:rsidR="009D2CB4" w:rsidRPr="00CA35F0">
        <w:t>Fix u.a. 2008–2009,</w:t>
      </w:r>
      <w:r w:rsidRPr="00CA35F0">
        <w:t xml:space="preserve"> </w:t>
      </w:r>
      <w:r w:rsidR="009D2CB4" w:rsidRPr="00CA35F0">
        <w:t>Bd. 2:</w:t>
      </w:r>
      <w:r w:rsidRPr="00CA35F0">
        <w:t xml:space="preserve"> 1739-1782.</w:t>
      </w:r>
    </w:p>
    <w:p w:rsidR="00571F62" w:rsidRDefault="00571F62" w:rsidP="00571F62">
      <w:pPr>
        <w:pStyle w:val="Literatur"/>
      </w:pPr>
      <w:r>
        <w:t xml:space="preserve">Spitzer, Leo (1928), </w:t>
      </w:r>
      <w:r>
        <w:rPr>
          <w:i/>
          <w:iCs/>
        </w:rPr>
        <w:t xml:space="preserve">Stilstudien. </w:t>
      </w:r>
      <w:r>
        <w:t xml:space="preserve">Bd. 1: </w:t>
      </w:r>
      <w:r w:rsidRPr="00571F62">
        <w:rPr>
          <w:i/>
        </w:rPr>
        <w:t>Sprachstile.</w:t>
      </w:r>
      <w:r>
        <w:t xml:space="preserve"> Bd. 2: </w:t>
      </w:r>
      <w:r w:rsidRPr="00571F62">
        <w:rPr>
          <w:i/>
        </w:rPr>
        <w:t>Stilsprachen.</w:t>
      </w:r>
      <w:r>
        <w:t xml:space="preserve"> München: Hueber.</w:t>
      </w:r>
    </w:p>
    <w:p w:rsidR="00635D5D" w:rsidRPr="00781A80" w:rsidRDefault="00635D5D" w:rsidP="009F0669">
      <w:pPr>
        <w:pStyle w:val="Text"/>
        <w:ind w:left="454" w:hanging="454"/>
        <w:rPr>
          <w:lang w:val="en-US"/>
        </w:rPr>
      </w:pPr>
      <w:r w:rsidRPr="00DF2599">
        <w:rPr>
          <w:lang w:val="en-US"/>
        </w:rPr>
        <w:t xml:space="preserve">Spitzer, Leo (1949), </w:t>
      </w:r>
      <w:r w:rsidR="00834BD2" w:rsidRPr="00DF2599">
        <w:rPr>
          <w:i/>
          <w:lang w:val="en-US"/>
        </w:rPr>
        <w:t>A Method of Interpreting Literature.</w:t>
      </w:r>
      <w:r w:rsidR="00834BD2" w:rsidRPr="00DF2599">
        <w:rPr>
          <w:lang w:val="en-US"/>
        </w:rPr>
        <w:t xml:space="preserve"> </w:t>
      </w:r>
      <w:r w:rsidR="00834BD2" w:rsidRPr="00CA35F0">
        <w:rPr>
          <w:lang w:val="en-US"/>
        </w:rPr>
        <w:t>Northampton, MA: Sm</w:t>
      </w:r>
      <w:r w:rsidR="00834BD2" w:rsidRPr="00781A80">
        <w:rPr>
          <w:lang w:val="en-US"/>
        </w:rPr>
        <w:t>ith College.</w:t>
      </w:r>
    </w:p>
    <w:p w:rsidR="00635D5D" w:rsidRPr="0029309E" w:rsidRDefault="00635D5D" w:rsidP="009F0669">
      <w:pPr>
        <w:pStyle w:val="Text"/>
        <w:ind w:left="454" w:hanging="454"/>
        <w:rPr>
          <w:lang w:val="en-US"/>
        </w:rPr>
      </w:pPr>
      <w:r w:rsidRPr="002D53E0">
        <w:rPr>
          <w:lang w:val="en-US"/>
        </w:rPr>
        <w:t xml:space="preserve">Spitzer, Leo (1960), </w:t>
      </w:r>
      <w:r w:rsidR="00834BD2" w:rsidRPr="002D53E0">
        <w:rPr>
          <w:lang w:val="en-US"/>
        </w:rPr>
        <w:t xml:space="preserve">„Sviluppo di un metodo“. </w:t>
      </w:r>
      <w:r w:rsidR="00834BD2" w:rsidRPr="0029309E">
        <w:rPr>
          <w:i/>
          <w:lang w:val="en-US"/>
        </w:rPr>
        <w:t>Cultura Neolatina</w:t>
      </w:r>
      <w:r w:rsidR="00834BD2" w:rsidRPr="0029309E">
        <w:rPr>
          <w:lang w:val="en-US"/>
        </w:rPr>
        <w:t xml:space="preserve"> 20: 109-128.</w:t>
      </w:r>
    </w:p>
    <w:p w:rsidR="000E5BF0" w:rsidRDefault="000E5BF0" w:rsidP="009F0669">
      <w:pPr>
        <w:pStyle w:val="Text"/>
        <w:ind w:left="454" w:hanging="454"/>
      </w:pPr>
      <w:r>
        <w:t xml:space="preserve">Stachowiak, Herbert (1973), </w:t>
      </w:r>
      <w:r w:rsidRPr="000E5BF0">
        <w:rPr>
          <w:i/>
        </w:rPr>
        <w:t>Allgemeine Modelltheorie.</w:t>
      </w:r>
      <w:r>
        <w:t xml:space="preserve"> Wien u.a.: Springer.</w:t>
      </w:r>
    </w:p>
    <w:p w:rsidR="007065FF" w:rsidRPr="00210D4F" w:rsidRDefault="007065FF" w:rsidP="009F0669">
      <w:pPr>
        <w:pStyle w:val="Text"/>
        <w:ind w:left="454" w:hanging="454"/>
        <w:rPr>
          <w:lang w:val="en-US"/>
        </w:rPr>
      </w:pPr>
      <w:r>
        <w:t xml:space="preserve">Stadler, Michael und Wolfgang Wildgen (2003), „Semiotik und Gestalttheorie“. </w:t>
      </w:r>
      <w:r w:rsidRPr="00210D4F">
        <w:rPr>
          <w:lang w:val="en-US"/>
        </w:rPr>
        <w:t>In: Posner u.a. 1997–2004, Bd. 4: 2473-2483.</w:t>
      </w:r>
    </w:p>
    <w:p w:rsidR="009F0669" w:rsidRDefault="009F0669" w:rsidP="009F0669">
      <w:pPr>
        <w:pStyle w:val="Text"/>
        <w:ind w:left="454" w:hanging="454"/>
      </w:pPr>
      <w:r w:rsidRPr="00210D4F">
        <w:rPr>
          <w:lang w:val="en-US"/>
        </w:rPr>
        <w:t>St</w:t>
      </w:r>
      <w:r w:rsidRPr="00FB5964">
        <w:rPr>
          <w:lang w:val="en-US"/>
        </w:rPr>
        <w:t>egmüller, Wolfgang (1979),</w:t>
      </w:r>
      <w:r w:rsidR="00FB5964" w:rsidRPr="00FB5964">
        <w:rPr>
          <w:i/>
          <w:iCs/>
          <w:lang w:val="en-US"/>
        </w:rPr>
        <w:t xml:space="preserve"> </w:t>
      </w:r>
      <w:r w:rsidR="00FB5964" w:rsidRPr="00FB5964">
        <w:rPr>
          <w:i/>
          <w:lang w:val="en-US"/>
        </w:rPr>
        <w:t>The Structuralist View of Theories</w:t>
      </w:r>
      <w:r w:rsidR="004A700D">
        <w:rPr>
          <w:i/>
          <w:lang w:val="en-US"/>
        </w:rPr>
        <w:t>.</w:t>
      </w:r>
      <w:r w:rsidR="00FB5964" w:rsidRPr="00FB5964">
        <w:rPr>
          <w:i/>
          <w:lang w:val="en-US"/>
        </w:rPr>
        <w:t xml:space="preserve"> A Possible An</w:t>
      </w:r>
      <w:r w:rsidR="00FB5964" w:rsidRPr="00FB5964">
        <w:rPr>
          <w:i/>
          <w:lang w:val="en-US"/>
        </w:rPr>
        <w:t>a</w:t>
      </w:r>
      <w:r w:rsidR="00FB5964" w:rsidRPr="00FB5964">
        <w:rPr>
          <w:i/>
          <w:lang w:val="en-US"/>
        </w:rPr>
        <w:t>logue of the Bourbaki Programme in Physical Science.</w:t>
      </w:r>
      <w:r w:rsidR="00FB5964" w:rsidRPr="00FB5964">
        <w:rPr>
          <w:lang w:val="en-US"/>
        </w:rPr>
        <w:t xml:space="preserve"> </w:t>
      </w:r>
      <w:r w:rsidR="00FB5964">
        <w:t>Berlin u.a.: Springer.</w:t>
      </w:r>
    </w:p>
    <w:p w:rsidR="009F0669" w:rsidRDefault="009F0669" w:rsidP="00FB5964">
      <w:pPr>
        <w:ind w:left="454" w:hanging="454"/>
        <w:rPr>
          <w:rFonts w:eastAsia="TimesNRMT" w:cs="Times New Roman"/>
        </w:rPr>
      </w:pPr>
      <w:r>
        <w:t xml:space="preserve">Stegmüller, Wolfgang (1986), </w:t>
      </w:r>
      <w:r w:rsidR="00FB5964" w:rsidRPr="00FB5964">
        <w:rPr>
          <w:rFonts w:cs="Times New Roman"/>
          <w:i/>
        </w:rPr>
        <w:t>Probleme und Resultate der Wissenschaftstheorie und Analytischen Philosophie.</w:t>
      </w:r>
      <w:r w:rsidR="00FB5964" w:rsidRPr="00FB5964">
        <w:rPr>
          <w:rFonts w:cs="Times New Roman"/>
        </w:rPr>
        <w:t xml:space="preserve"> </w:t>
      </w:r>
      <w:r w:rsidR="00FB5964">
        <w:rPr>
          <w:rFonts w:cs="Times New Roman"/>
        </w:rPr>
        <w:t>B</w:t>
      </w:r>
      <w:r w:rsidR="00FB5964" w:rsidRPr="00FB5964">
        <w:rPr>
          <w:rFonts w:eastAsia="TimesNRMT" w:cs="Times New Roman"/>
        </w:rPr>
        <w:t>d.</w:t>
      </w:r>
      <w:r w:rsidR="00FB5964">
        <w:rPr>
          <w:rFonts w:eastAsia="TimesNRMT" w:cs="Times New Roman"/>
        </w:rPr>
        <w:t xml:space="preserve"> 3:</w:t>
      </w:r>
      <w:r w:rsidR="00FB5964" w:rsidRPr="00FB5964">
        <w:rPr>
          <w:rFonts w:eastAsia="TimesNRMT" w:cs="Times New Roman"/>
        </w:rPr>
        <w:t xml:space="preserve"> </w:t>
      </w:r>
      <w:r w:rsidR="00FB5964" w:rsidRPr="00FB5964">
        <w:rPr>
          <w:rFonts w:cs="Times New Roman"/>
          <w:i/>
        </w:rPr>
        <w:t>Die Entwicklung des Strukturalismus seit 1973</w:t>
      </w:r>
      <w:r w:rsidR="00FB5964">
        <w:rPr>
          <w:rFonts w:cs="Times New Roman"/>
        </w:rPr>
        <w:t>.</w:t>
      </w:r>
      <w:r w:rsidR="00FB5964" w:rsidRPr="00FB5964">
        <w:rPr>
          <w:rFonts w:cs="Times New Roman"/>
        </w:rPr>
        <w:t xml:space="preserve"> </w:t>
      </w:r>
      <w:r w:rsidR="00FB5964">
        <w:rPr>
          <w:rFonts w:eastAsia="TimesNRMT" w:cs="Times New Roman"/>
        </w:rPr>
        <w:t>Berlin u.a.: Springer.</w:t>
      </w:r>
    </w:p>
    <w:p w:rsidR="00C377E0" w:rsidRDefault="00C377E0" w:rsidP="00FB5964">
      <w:pPr>
        <w:ind w:left="454" w:hanging="454"/>
        <w:rPr>
          <w:rFonts w:eastAsia="TimesNRMT" w:cs="Times New Roman"/>
        </w:rPr>
      </w:pPr>
      <w:r>
        <w:t xml:space="preserve">Steinbrenner, Jakob (1996), </w:t>
      </w:r>
      <w:r w:rsidRPr="00C377E0">
        <w:rPr>
          <w:i/>
        </w:rPr>
        <w:t>Kognitivismus in der Ästhetik</w:t>
      </w:r>
      <w:r w:rsidRPr="00C377E0">
        <w:rPr>
          <w:rFonts w:eastAsia="TimesNRMT" w:cs="Times New Roman"/>
          <w:i/>
        </w:rPr>
        <w:t>.</w:t>
      </w:r>
      <w:r>
        <w:rPr>
          <w:rFonts w:eastAsia="TimesNRMT" w:cs="Times New Roman"/>
        </w:rPr>
        <w:t xml:space="preserve"> Würzburg: König</w:t>
      </w:r>
      <w:r>
        <w:rPr>
          <w:rFonts w:eastAsia="TimesNRMT" w:cs="Times New Roman"/>
        </w:rPr>
        <w:t>s</w:t>
      </w:r>
      <w:r>
        <w:rPr>
          <w:rFonts w:eastAsia="TimesNRMT" w:cs="Times New Roman"/>
        </w:rPr>
        <w:t>hausen und Neumann. Zugl.: München, Univ., Diss., 1994.</w:t>
      </w:r>
    </w:p>
    <w:p w:rsidR="00D95C68" w:rsidRDefault="00D95C68" w:rsidP="00FB5964">
      <w:pPr>
        <w:ind w:left="454" w:hanging="454"/>
        <w:rPr>
          <w:rFonts w:eastAsia="TimesNRMT" w:cs="Times New Roman"/>
        </w:rPr>
      </w:pPr>
      <w:r>
        <w:rPr>
          <w:rFonts w:eastAsia="TimesNRMT" w:cs="Times New Roman"/>
        </w:rPr>
        <w:t xml:space="preserve">Steinig, Wolfgang (1976), </w:t>
      </w:r>
      <w:r w:rsidRPr="00D95C68">
        <w:rPr>
          <w:rFonts w:eastAsia="TimesNRMT" w:cs="Times New Roman"/>
          <w:i/>
        </w:rPr>
        <w:t>Soziolekt</w:t>
      </w:r>
      <w:r w:rsidRPr="00D95C68">
        <w:rPr>
          <w:i/>
          <w:noProof/>
        </w:rPr>
        <w:drawing>
          <wp:inline distT="0" distB="0" distL="0" distR="0">
            <wp:extent cx="10795" cy="10795"/>
            <wp:effectExtent l="0" t="0" r="0" b="0"/>
            <wp:docPr id="504" name="Bild 50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Link"/>
                    <pic:cNvPicPr>
                      <a:picLocks noChangeAspect="1" noChangeArrowheads="1"/>
                    </pic:cNvPicPr>
                  </pic:nvPicPr>
                  <pic:blipFill>
                    <a:blip r:embed="rId9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95C68">
        <w:rPr>
          <w:i/>
        </w:rPr>
        <w:t xml:space="preserve"> und soziale Rolle. Untersuchungen zu Bedi</w:t>
      </w:r>
      <w:r w:rsidRPr="00D95C68">
        <w:rPr>
          <w:i/>
        </w:rPr>
        <w:t>n</w:t>
      </w:r>
      <w:r w:rsidRPr="00D95C68">
        <w:rPr>
          <w:i/>
        </w:rPr>
        <w:t>gungen und Wirkungen von Sprachverhalten unterschiedlicher gesellschaftl</w:t>
      </w:r>
      <w:r w:rsidRPr="00D95C68">
        <w:rPr>
          <w:i/>
        </w:rPr>
        <w:t>i</w:t>
      </w:r>
      <w:r w:rsidRPr="00D95C68">
        <w:rPr>
          <w:i/>
        </w:rPr>
        <w:t>cher Gruppen in verschiedenen sozialen Situationen.</w:t>
      </w:r>
      <w:r>
        <w:t xml:space="preserve"> Düsseldorf: Schwann.</w:t>
      </w:r>
    </w:p>
    <w:p w:rsidR="00226F3A" w:rsidRDefault="00226F3A" w:rsidP="00FB5964">
      <w:pPr>
        <w:ind w:left="454" w:hanging="454"/>
      </w:pPr>
      <w:r>
        <w:t>Steube, Anita (1968), „Gradation der Grammatikalität“. In: Rudolf R</w:t>
      </w:r>
      <w:r w:rsidR="0041285F">
        <w:rPr>
          <w:rFonts w:cs="Times New Roman"/>
        </w:rPr>
        <w:t>ů</w:t>
      </w:r>
      <w:r>
        <w:rPr>
          <w:rFonts w:cs="Times New Roman"/>
        </w:rPr>
        <w:t>ž</w:t>
      </w:r>
      <w:r>
        <w:t>i</w:t>
      </w:r>
      <w:r>
        <w:rPr>
          <w:rFonts w:cs="Times New Roman"/>
        </w:rPr>
        <w:t>č</w:t>
      </w:r>
      <w:r>
        <w:t>ka</w:t>
      </w:r>
      <w:r w:rsidR="0041285F">
        <w:t xml:space="preserve"> (Hg.), </w:t>
      </w:r>
      <w:r w:rsidR="0041285F" w:rsidRPr="0041285F">
        <w:rPr>
          <w:i/>
        </w:rPr>
        <w:t>Probleme der strukturellen Grammatik und Semantik.</w:t>
      </w:r>
      <w:r w:rsidR="0041285F">
        <w:t xml:space="preserve"> Leipzig: </w:t>
      </w:r>
      <w:r w:rsidR="00E47DB8">
        <w:t>Karl-Marx-Universität</w:t>
      </w:r>
      <w:r w:rsidR="0041285F">
        <w:t>. 87-113.</w:t>
      </w:r>
    </w:p>
    <w:p w:rsidR="0063029C" w:rsidRDefault="0063029C" w:rsidP="009F0669">
      <w:pPr>
        <w:pStyle w:val="Text"/>
        <w:ind w:left="454" w:hanging="454"/>
      </w:pPr>
      <w:r>
        <w:t xml:space="preserve">Strube, Werner (1979), </w:t>
      </w:r>
      <w:r w:rsidR="00B6397A">
        <w:t xml:space="preserve">„Zur Struktur der Stilinterpretation“. </w:t>
      </w:r>
      <w:r w:rsidR="00B6397A" w:rsidRPr="00B6397A">
        <w:rPr>
          <w:i/>
        </w:rPr>
        <w:t>Deutsche Vierte</w:t>
      </w:r>
      <w:r w:rsidR="00B6397A" w:rsidRPr="00B6397A">
        <w:rPr>
          <w:i/>
        </w:rPr>
        <w:t>l</w:t>
      </w:r>
      <w:r w:rsidR="00B6397A" w:rsidRPr="00B6397A">
        <w:rPr>
          <w:i/>
        </w:rPr>
        <w:t>jahresschrift für Literaturwissenschaft und Geistesgeschichte</w:t>
      </w:r>
      <w:r w:rsidR="00B6397A">
        <w:t xml:space="preserve"> 53: 567-579.</w:t>
      </w:r>
    </w:p>
    <w:p w:rsidR="008A4980" w:rsidRDefault="008A4980" w:rsidP="009F0669">
      <w:pPr>
        <w:pStyle w:val="Text"/>
        <w:ind w:left="454" w:hanging="454"/>
      </w:pPr>
      <w:r>
        <w:t xml:space="preserve">Suckale, Robert (2003), „Peter Parler und das Problem der Stillagen“. In: Ders. und Peter Schmidt (Hg.), </w:t>
      </w:r>
      <w:r w:rsidRPr="008A4980">
        <w:rPr>
          <w:i/>
        </w:rPr>
        <w:t>Stil und Funktion. Ausgewählte Schriften zur Kunst des Mittelalters.</w:t>
      </w:r>
      <w:r>
        <w:t xml:space="preserve"> München u.a.: Deutscher Kunstverlag. 257-286.</w:t>
      </w:r>
    </w:p>
    <w:p w:rsidR="005438C1" w:rsidRDefault="005438C1" w:rsidP="009F0669">
      <w:pPr>
        <w:pStyle w:val="Text"/>
        <w:ind w:left="454" w:hanging="454"/>
      </w:pPr>
      <w:r>
        <w:t>Suckale, Robert (2006), „Stilgeschichte zu Beginn des 21. Jahrhunderts. Probl</w:t>
      </w:r>
      <w:r>
        <w:t>e</w:t>
      </w:r>
      <w:r>
        <w:t xml:space="preserve">me und Möglichkeiten“. In: Bruno Klein und Bruno Boerner (Hg.), </w:t>
      </w:r>
      <w:r w:rsidRPr="005438C1">
        <w:rPr>
          <w:i/>
        </w:rPr>
        <w:t>Stilfr</w:t>
      </w:r>
      <w:r w:rsidRPr="005438C1">
        <w:rPr>
          <w:i/>
        </w:rPr>
        <w:t>a</w:t>
      </w:r>
      <w:r w:rsidRPr="005438C1">
        <w:rPr>
          <w:i/>
        </w:rPr>
        <w:t>gen zur Kunst des Mittelalters. Eine Einführung.</w:t>
      </w:r>
      <w:r>
        <w:t xml:space="preserve"> Berlin: </w:t>
      </w:r>
      <w:r w:rsidR="00E47DB8">
        <w:t>Reimer</w:t>
      </w:r>
      <w:r>
        <w:t xml:space="preserve">. 271-281. </w:t>
      </w:r>
      <w:r w:rsidR="00BD6313">
        <w:t xml:space="preserve">Erneut </w:t>
      </w:r>
      <w:r w:rsidR="00FA7A39">
        <w:t>in: Weissert 2009: 142-153.</w:t>
      </w:r>
    </w:p>
    <w:p w:rsidR="00B00628" w:rsidRPr="00620BDE" w:rsidRDefault="00B00628" w:rsidP="009F0669">
      <w:pPr>
        <w:pStyle w:val="Text"/>
        <w:ind w:left="454" w:hanging="454"/>
        <w:rPr>
          <w:lang w:val="en-US"/>
        </w:rPr>
      </w:pPr>
      <w:r>
        <w:t xml:space="preserve">Tarski, Alfred (1935), „Der Wahrheitsbegriff in den formalisierten Sprachen“. </w:t>
      </w:r>
      <w:r w:rsidRPr="00620BDE">
        <w:rPr>
          <w:i/>
          <w:lang w:val="en-US"/>
        </w:rPr>
        <w:t>Studia Philosophica</w:t>
      </w:r>
      <w:r w:rsidRPr="00620BDE">
        <w:rPr>
          <w:lang w:val="en-US"/>
        </w:rPr>
        <w:t xml:space="preserve"> 1: 261-405.</w:t>
      </w:r>
    </w:p>
    <w:p w:rsidR="00B00628" w:rsidRPr="00B00628" w:rsidRDefault="00B00628" w:rsidP="009F0669">
      <w:pPr>
        <w:pStyle w:val="Text"/>
        <w:ind w:left="454" w:hanging="454"/>
        <w:rPr>
          <w:lang w:val="en-US"/>
        </w:rPr>
      </w:pPr>
      <w:r w:rsidRPr="00B00628">
        <w:rPr>
          <w:lang w:val="en-US"/>
        </w:rPr>
        <w:t xml:space="preserve">Tarski, Alfred (1944), „The </w:t>
      </w:r>
      <w:r w:rsidR="00F82509">
        <w:rPr>
          <w:lang w:val="en-US"/>
        </w:rPr>
        <w:t>S</w:t>
      </w:r>
      <w:r w:rsidRPr="00B00628">
        <w:rPr>
          <w:lang w:val="en-US"/>
        </w:rPr>
        <w:t xml:space="preserve">emantic </w:t>
      </w:r>
      <w:r w:rsidR="00F82509">
        <w:rPr>
          <w:lang w:val="en-US"/>
        </w:rPr>
        <w:t>C</w:t>
      </w:r>
      <w:r w:rsidRPr="00B00628">
        <w:rPr>
          <w:lang w:val="en-US"/>
        </w:rPr>
        <w:t xml:space="preserve">onception of </w:t>
      </w:r>
      <w:r w:rsidR="00F82509">
        <w:rPr>
          <w:lang w:val="en-US"/>
        </w:rPr>
        <w:t>T</w:t>
      </w:r>
      <w:r w:rsidRPr="00B00628">
        <w:rPr>
          <w:lang w:val="en-US"/>
        </w:rPr>
        <w:t xml:space="preserve">ruth“. </w:t>
      </w:r>
      <w:r w:rsidRPr="00B00628">
        <w:rPr>
          <w:i/>
          <w:lang w:val="en-US"/>
        </w:rPr>
        <w:t>Philosophy and Phenomenological Research</w:t>
      </w:r>
      <w:r>
        <w:rPr>
          <w:lang w:val="en-US"/>
        </w:rPr>
        <w:t xml:space="preserve"> 4:</w:t>
      </w:r>
      <w:r w:rsidRPr="00B00628">
        <w:rPr>
          <w:lang w:val="en-US"/>
        </w:rPr>
        <w:t xml:space="preserve"> 341-375.</w:t>
      </w:r>
    </w:p>
    <w:p w:rsidR="00350F43" w:rsidRPr="00E56013" w:rsidRDefault="003C1CE8" w:rsidP="009F0669">
      <w:pPr>
        <w:pStyle w:val="Text"/>
        <w:ind w:left="454" w:hanging="454"/>
        <w:rPr>
          <w:rStyle w:val="mediumb-text"/>
        </w:rPr>
      </w:pPr>
      <w:r w:rsidRPr="00B00628">
        <w:rPr>
          <w:lang w:val="en-US"/>
        </w:rPr>
        <w:t>Tenenbaum</w:t>
      </w:r>
      <w:r w:rsidR="00326DB1" w:rsidRPr="00B00628">
        <w:rPr>
          <w:lang w:val="en-US"/>
        </w:rPr>
        <w:t xml:space="preserve">, Joshua B. </w:t>
      </w:r>
      <w:r w:rsidRPr="00B00628">
        <w:rPr>
          <w:lang w:val="en-US"/>
        </w:rPr>
        <w:t>und William T. Freeman (2000)</w:t>
      </w:r>
      <w:r w:rsidR="0062088A">
        <w:rPr>
          <w:lang w:val="en-US"/>
        </w:rPr>
        <w:t xml:space="preserve">, </w:t>
      </w:r>
      <w:r w:rsidR="0062088A" w:rsidRPr="00B00628">
        <w:rPr>
          <w:lang w:val="en-US"/>
        </w:rPr>
        <w:t>„</w:t>
      </w:r>
      <w:r w:rsidR="0062088A">
        <w:rPr>
          <w:lang w:val="en-US"/>
        </w:rPr>
        <w:t>Separating Style and Content with Bilinear Models</w:t>
      </w:r>
      <w:r w:rsidR="0062088A" w:rsidRPr="00B00628">
        <w:rPr>
          <w:lang w:val="en-US"/>
        </w:rPr>
        <w:t>“</w:t>
      </w:r>
      <w:r w:rsidR="0062088A">
        <w:rPr>
          <w:lang w:val="en-US"/>
        </w:rPr>
        <w:t xml:space="preserve">. </w:t>
      </w:r>
      <w:r w:rsidRPr="002E5E45">
        <w:rPr>
          <w:rFonts w:eastAsia="Times New Roman" w:cs="Times New Roman"/>
          <w:i/>
          <w:iCs/>
        </w:rPr>
        <w:t xml:space="preserve">Neural Computation </w:t>
      </w:r>
      <w:r w:rsidRPr="002E5E45">
        <w:rPr>
          <w:rFonts w:eastAsia="Times New Roman" w:cs="Times New Roman"/>
          <w:bCs/>
        </w:rPr>
        <w:t>12, 6: 1247-1283.</w:t>
      </w:r>
      <w:r w:rsidRPr="002E5E45">
        <w:rPr>
          <w:rStyle w:val="mediumb-text"/>
          <w:rFonts w:cs="Times New Roman"/>
        </w:rPr>
        <w:t xml:space="preserve"> </w:t>
      </w:r>
      <w:r>
        <w:rPr>
          <w:rStyle w:val="mediumb-text"/>
        </w:rPr>
        <w:t>O</w:t>
      </w:r>
      <w:r>
        <w:rPr>
          <w:rStyle w:val="mediumb-text"/>
        </w:rPr>
        <w:t>n</w:t>
      </w:r>
      <w:r>
        <w:rPr>
          <w:rStyle w:val="mediumb-text"/>
        </w:rPr>
        <w:t xml:space="preserve">line unter: </w:t>
      </w:r>
      <w:r w:rsidRPr="003C1CE8">
        <w:rPr>
          <w:rStyle w:val="mediumb-text"/>
        </w:rPr>
        <w:t>http://web.mit.edu/cocosci/Papers/NC120601.pdf</w:t>
      </w:r>
      <w:r>
        <w:rPr>
          <w:rStyle w:val="mediumb-text"/>
        </w:rPr>
        <w:t>;</w:t>
      </w:r>
      <w:r w:rsidRPr="003C1CE8">
        <w:rPr>
          <w:rStyle w:val="mediumb-text"/>
        </w:rPr>
        <w:t xml:space="preserve"> </w:t>
      </w:r>
      <w:r w:rsidRPr="00E56013">
        <w:rPr>
          <w:rStyle w:val="mediumb-text"/>
        </w:rPr>
        <w:t xml:space="preserve">Einsicht am </w:t>
      </w:r>
      <w:r w:rsidR="003F65BB">
        <w:rPr>
          <w:rStyle w:val="mediumb-text"/>
        </w:rPr>
        <w:t>18.01.2012</w:t>
      </w:r>
      <w:r w:rsidRPr="00E56013">
        <w:rPr>
          <w:rStyle w:val="mediumb-text"/>
        </w:rPr>
        <w:t>.</w:t>
      </w:r>
    </w:p>
    <w:p w:rsidR="004830A2" w:rsidRDefault="004830A2" w:rsidP="009F0669">
      <w:pPr>
        <w:pStyle w:val="Text"/>
        <w:ind w:left="454" w:hanging="454"/>
      </w:pPr>
      <w:r>
        <w:t xml:space="preserve">Thoma, Werner (1976), </w:t>
      </w:r>
      <w:r w:rsidR="00816DC6">
        <w:t>„</w:t>
      </w:r>
      <w:r w:rsidRPr="00816DC6">
        <w:t>Ansätze zu einer sprachfunktional-semiotisch orie</w:t>
      </w:r>
      <w:r w:rsidRPr="00816DC6">
        <w:t>n</w:t>
      </w:r>
      <w:r w:rsidRPr="00816DC6">
        <w:t>tierten Stilistik</w:t>
      </w:r>
      <w:r w:rsidR="00816DC6">
        <w:t>“</w:t>
      </w:r>
      <w:r w:rsidRPr="00816DC6">
        <w:t>.</w:t>
      </w:r>
      <w:r>
        <w:t xml:space="preserve"> </w:t>
      </w:r>
      <w:r w:rsidR="00816DC6" w:rsidRPr="00816DC6">
        <w:rPr>
          <w:i/>
        </w:rPr>
        <w:t>Zeitschrift für Literaturwissenschaft und Linguistik</w:t>
      </w:r>
      <w:r w:rsidR="00816DC6">
        <w:t xml:space="preserve"> 22: 117-141.</w:t>
      </w:r>
    </w:p>
    <w:p w:rsidR="00E40BC1" w:rsidRPr="00E40BC1" w:rsidRDefault="00E40BC1" w:rsidP="009F0669">
      <w:pPr>
        <w:pStyle w:val="Text"/>
        <w:ind w:left="454" w:hanging="454"/>
      </w:pPr>
      <w:r w:rsidRPr="002D53E0">
        <w:lastRenderedPageBreak/>
        <w:t>Thomas, Nigel J.</w:t>
      </w:r>
      <w:r w:rsidR="00302F28" w:rsidRPr="002D53E0">
        <w:t xml:space="preserve"> </w:t>
      </w:r>
      <w:r w:rsidRPr="002D53E0">
        <w:t xml:space="preserve">(1999), „Are Theories of Imagery Theories of Imagination? </w:t>
      </w:r>
      <w:r w:rsidRPr="00E40BC1">
        <w:rPr>
          <w:lang w:val="en-US"/>
        </w:rPr>
        <w:t xml:space="preserve">An Active Perception Approach to Conscious Mental Content“. </w:t>
      </w:r>
      <w:r w:rsidRPr="002E5E45">
        <w:rPr>
          <w:i/>
          <w:iCs/>
          <w:lang w:val="en-US"/>
        </w:rPr>
        <w:t>Cognitive Sci</w:t>
      </w:r>
      <w:r w:rsidR="0042338B" w:rsidRPr="002E5E45">
        <w:rPr>
          <w:i/>
          <w:iCs/>
          <w:lang w:val="en-US"/>
        </w:rPr>
        <w:softHyphen/>
      </w:r>
      <w:r w:rsidRPr="002E5E45">
        <w:rPr>
          <w:i/>
          <w:iCs/>
          <w:lang w:val="en-US"/>
        </w:rPr>
        <w:t>ence</w:t>
      </w:r>
      <w:r w:rsidRPr="002E5E45">
        <w:rPr>
          <w:lang w:val="en-US"/>
        </w:rPr>
        <w:t xml:space="preserve"> 23: 207-245. </w:t>
      </w:r>
      <w:r w:rsidRPr="00E40BC1">
        <w:t xml:space="preserve">Online unter: </w:t>
      </w:r>
      <w:r w:rsidR="0042338B" w:rsidRPr="0042338B">
        <w:t>http://www.imagery-imagination.com/im-im/im-im.pdf</w:t>
      </w:r>
      <w:r w:rsidRPr="00E40BC1">
        <w:t xml:space="preserve">; Einsicht am </w:t>
      </w:r>
      <w:r w:rsidR="00FF6C80">
        <w:rPr>
          <w:rStyle w:val="mediumb-text"/>
        </w:rPr>
        <w:t>18.01.2012</w:t>
      </w:r>
      <w:r w:rsidRPr="00E40BC1">
        <w:t>.</w:t>
      </w:r>
    </w:p>
    <w:p w:rsidR="00A872CF" w:rsidRPr="00A872CF" w:rsidRDefault="00A872CF" w:rsidP="009F0669">
      <w:pPr>
        <w:pStyle w:val="Text"/>
        <w:ind w:left="454" w:hanging="454"/>
        <w:rPr>
          <w:lang w:val="en-US"/>
        </w:rPr>
      </w:pPr>
      <w:r w:rsidRPr="00E40BC1">
        <w:rPr>
          <w:lang w:val="en-US"/>
        </w:rPr>
        <w:t xml:space="preserve">Thorne, James P. (1965), „Stylistics and Generative Grammars“. </w:t>
      </w:r>
      <w:r w:rsidRPr="00A872CF">
        <w:rPr>
          <w:i/>
          <w:lang w:val="en-US"/>
        </w:rPr>
        <w:t>Journal of Li</w:t>
      </w:r>
      <w:r w:rsidRPr="00A872CF">
        <w:rPr>
          <w:i/>
          <w:lang w:val="en-US"/>
        </w:rPr>
        <w:t>n</w:t>
      </w:r>
      <w:r w:rsidRPr="00A872CF">
        <w:rPr>
          <w:i/>
          <w:lang w:val="en-US"/>
        </w:rPr>
        <w:t>guistics</w:t>
      </w:r>
      <w:r>
        <w:rPr>
          <w:lang w:val="en-US"/>
        </w:rPr>
        <w:t xml:space="preserve"> 1: 49-59.</w:t>
      </w:r>
    </w:p>
    <w:p w:rsidR="00A872CF" w:rsidRDefault="00A872CF" w:rsidP="00A872CF">
      <w:pPr>
        <w:pStyle w:val="Text"/>
        <w:ind w:left="454" w:hanging="454"/>
      </w:pPr>
      <w:r w:rsidRPr="00A872CF">
        <w:rPr>
          <w:lang w:val="en-US"/>
        </w:rPr>
        <w:t>Thorne, James P. (1970),</w:t>
      </w:r>
      <w:r>
        <w:rPr>
          <w:lang w:val="en-US"/>
        </w:rPr>
        <w:t xml:space="preserve"> </w:t>
      </w:r>
      <w:r w:rsidRPr="00A872CF">
        <w:rPr>
          <w:lang w:val="en-US"/>
        </w:rPr>
        <w:t>„</w:t>
      </w:r>
      <w:r>
        <w:rPr>
          <w:lang w:val="en-US"/>
        </w:rPr>
        <w:t>Generative Grammar and Stylistic Analysis</w:t>
      </w:r>
      <w:r w:rsidRPr="00A872CF">
        <w:rPr>
          <w:lang w:val="en-US"/>
        </w:rPr>
        <w:t>“</w:t>
      </w:r>
      <w:r>
        <w:rPr>
          <w:lang w:val="en-US"/>
        </w:rPr>
        <w:t xml:space="preserve">. In: John Lyons (Hg.), </w:t>
      </w:r>
      <w:r w:rsidRPr="00A872CF">
        <w:rPr>
          <w:i/>
          <w:lang w:val="en-US"/>
        </w:rPr>
        <w:t>New Horizons in Linguistics.</w:t>
      </w:r>
      <w:r>
        <w:rPr>
          <w:lang w:val="en-US"/>
        </w:rPr>
        <w:t xml:space="preserve"> Harmondsworth: </w:t>
      </w:r>
      <w:r w:rsidR="00E47DB8">
        <w:rPr>
          <w:lang w:val="en-US"/>
        </w:rPr>
        <w:t>Penguin</w:t>
      </w:r>
      <w:r>
        <w:rPr>
          <w:lang w:val="en-US"/>
        </w:rPr>
        <w:t xml:space="preserve">. </w:t>
      </w:r>
      <w:r w:rsidRPr="009D549F">
        <w:t>185-197.</w:t>
      </w:r>
    </w:p>
    <w:p w:rsidR="002D6F4A" w:rsidRPr="009D549F" w:rsidRDefault="002D6F4A" w:rsidP="00A872CF">
      <w:pPr>
        <w:pStyle w:val="Text"/>
        <w:ind w:left="454" w:hanging="454"/>
      </w:pPr>
      <w:r>
        <w:t xml:space="preserve">Titzmann, Manfred (1977), </w:t>
      </w:r>
      <w:r w:rsidRPr="002D6F4A">
        <w:rPr>
          <w:i/>
        </w:rPr>
        <w:t>Strukturale Textanalyse. Theorie und Praxis der Inte</w:t>
      </w:r>
      <w:r w:rsidRPr="002D6F4A">
        <w:rPr>
          <w:i/>
        </w:rPr>
        <w:t>r</w:t>
      </w:r>
      <w:r w:rsidRPr="002D6F4A">
        <w:rPr>
          <w:i/>
        </w:rPr>
        <w:t>pretation</w:t>
      </w:r>
      <w:r>
        <w:t>. München: Fink.</w:t>
      </w:r>
    </w:p>
    <w:p w:rsidR="00BB010E" w:rsidRDefault="00BB010E" w:rsidP="009F0669">
      <w:pPr>
        <w:pStyle w:val="Text"/>
        <w:ind w:left="454" w:hanging="454"/>
      </w:pPr>
      <w:r w:rsidRPr="009D549F">
        <w:t xml:space="preserve">Todorov, Tzvetan (1970), „Les études du style. </w:t>
      </w:r>
      <w:r w:rsidRPr="00613241">
        <w:t xml:space="preserve">Bibliographie </w:t>
      </w:r>
      <w:r w:rsidRPr="00BB010E">
        <w:t>sélective</w:t>
      </w:r>
      <w:r>
        <w:t>“</w:t>
      </w:r>
      <w:r w:rsidRPr="00BB010E">
        <w:t>.</w:t>
      </w:r>
      <w:r>
        <w:t xml:space="preserve"> </w:t>
      </w:r>
      <w:r w:rsidRPr="00BB010E">
        <w:rPr>
          <w:i/>
        </w:rPr>
        <w:t>Poétique</w:t>
      </w:r>
      <w:r>
        <w:t xml:space="preserve"> 1: 224-232.</w:t>
      </w:r>
    </w:p>
    <w:p w:rsidR="009620A2" w:rsidRDefault="009620A2" w:rsidP="009F0669">
      <w:pPr>
        <w:pStyle w:val="Text"/>
        <w:ind w:left="454" w:hanging="454"/>
      </w:pPr>
      <w:r>
        <w:t>Trabant, Jürgen (1979), „Vorüberlegungen zu einem wissenschaftlichen Spr</w:t>
      </w:r>
      <w:r>
        <w:t>e</w:t>
      </w:r>
      <w:r>
        <w:t xml:space="preserve">chen über den Stil sprachlichen Handelns“. In: Rolf Kloepfer u.a. (Hg.), </w:t>
      </w:r>
      <w:r w:rsidRPr="009620A2">
        <w:rPr>
          <w:i/>
        </w:rPr>
        <w:t>Bildung und Ausbildung in der Romania.</w:t>
      </w:r>
      <w:r w:rsidR="00A94556">
        <w:t xml:space="preserve"> Bd. </w:t>
      </w:r>
      <w:r>
        <w:t xml:space="preserve">1: </w:t>
      </w:r>
      <w:r w:rsidRPr="009620A2">
        <w:rPr>
          <w:i/>
        </w:rPr>
        <w:t>Literaturgeschichte und Tex</w:t>
      </w:r>
      <w:r w:rsidRPr="009620A2">
        <w:rPr>
          <w:i/>
        </w:rPr>
        <w:t>t</w:t>
      </w:r>
      <w:r w:rsidRPr="009620A2">
        <w:rPr>
          <w:i/>
        </w:rPr>
        <w:t>theorie.</w:t>
      </w:r>
      <w:r w:rsidR="00AF46C9">
        <w:t xml:space="preserve"> München: Fink</w:t>
      </w:r>
      <w:r w:rsidR="00E84DB1">
        <w:t>.</w:t>
      </w:r>
      <w:r w:rsidR="00AF46C9">
        <w:t xml:space="preserve"> 569-593.</w:t>
      </w:r>
    </w:p>
    <w:p w:rsidR="00254696" w:rsidRDefault="00254696" w:rsidP="009F0669">
      <w:pPr>
        <w:pStyle w:val="Text"/>
        <w:ind w:left="454" w:hanging="454"/>
      </w:pPr>
      <w:r>
        <w:t>Trabant, Jürgen (1986), „Der Totaleindruck. Stil der Texte und Charakter der Sprachen“. In: Gumbrecht u.a. 1986: 169-188.</w:t>
      </w:r>
    </w:p>
    <w:p w:rsidR="006D5766" w:rsidRDefault="006D5766" w:rsidP="009F0669">
      <w:pPr>
        <w:pStyle w:val="Text"/>
        <w:ind w:left="454" w:hanging="454"/>
      </w:pPr>
      <w:r>
        <w:t>Troitzsch, Klaus G. (1995), „Mathematische Kalküle zur Bildung dynamischer Modelle in den Sozialwissenschaften“. In: Gsänger u.a. 1995: 9-38.</w:t>
      </w:r>
    </w:p>
    <w:p w:rsidR="00564B07" w:rsidRPr="007F14C7" w:rsidRDefault="00564B07" w:rsidP="009F0669">
      <w:pPr>
        <w:pStyle w:val="Text"/>
        <w:ind w:left="454" w:hanging="454"/>
        <w:rPr>
          <w:lang w:val="en-US"/>
        </w:rPr>
      </w:pPr>
      <w:r>
        <w:t>Tschauder, Gerhard (1979), „Vorbereitende Bemerkungen zu einer linguist</w:t>
      </w:r>
      <w:r>
        <w:t>i</w:t>
      </w:r>
      <w:r>
        <w:t xml:space="preserve">schen Stiltheorie“. In: Ders. und Edda Weigand (Hg.), </w:t>
      </w:r>
      <w:r w:rsidRPr="00564B07">
        <w:rPr>
          <w:i/>
        </w:rPr>
        <w:t>Perspektive: texte</w:t>
      </w:r>
      <w:r w:rsidRPr="00564B07">
        <w:rPr>
          <w:i/>
        </w:rPr>
        <w:t>x</w:t>
      </w:r>
      <w:r w:rsidRPr="00564B07">
        <w:rPr>
          <w:i/>
        </w:rPr>
        <w:t xml:space="preserve">tern. Akten des 14. </w:t>
      </w:r>
      <w:r w:rsidRPr="007F14C7">
        <w:rPr>
          <w:i/>
          <w:lang w:val="en-US"/>
        </w:rPr>
        <w:t>Linguistischen Kolloquiums Bochum 1979</w:t>
      </w:r>
      <w:r w:rsidRPr="007F14C7">
        <w:rPr>
          <w:lang w:val="en-US"/>
        </w:rPr>
        <w:t>, Bd. 2: 149-160.</w:t>
      </w:r>
    </w:p>
    <w:p w:rsidR="00DA7911" w:rsidRPr="0062599B" w:rsidRDefault="00DA7911" w:rsidP="009F0669">
      <w:pPr>
        <w:pStyle w:val="Text"/>
        <w:ind w:left="454" w:hanging="454"/>
        <w:rPr>
          <w:lang w:val="en-US"/>
        </w:rPr>
      </w:pPr>
      <w:r w:rsidRPr="00FB4B69">
        <w:rPr>
          <w:lang w:val="en-US"/>
        </w:rPr>
        <w:t xml:space="preserve">Tuldava, Juhan (2005), „Stylistics, </w:t>
      </w:r>
      <w:r w:rsidR="001B3D18">
        <w:rPr>
          <w:lang w:val="en-US"/>
        </w:rPr>
        <w:t>A</w:t>
      </w:r>
      <w:r w:rsidRPr="00FB4B69">
        <w:rPr>
          <w:lang w:val="en-US"/>
        </w:rPr>
        <w:t xml:space="preserve">uthor </w:t>
      </w:r>
      <w:r w:rsidR="001B3D18">
        <w:rPr>
          <w:lang w:val="en-US"/>
        </w:rPr>
        <w:t>I</w:t>
      </w:r>
      <w:r w:rsidRPr="00FB4B69">
        <w:rPr>
          <w:lang w:val="en-US"/>
        </w:rPr>
        <w:t xml:space="preserve">dentification“. </w:t>
      </w:r>
      <w:r w:rsidRPr="0062599B">
        <w:rPr>
          <w:lang w:val="en-US"/>
        </w:rPr>
        <w:t xml:space="preserve">In: </w:t>
      </w:r>
      <w:r w:rsidR="00EE3F15" w:rsidRPr="0062599B">
        <w:rPr>
          <w:lang w:val="en-US"/>
        </w:rPr>
        <w:t>Reinhard</w:t>
      </w:r>
      <w:r w:rsidRPr="0062599B">
        <w:rPr>
          <w:lang w:val="en-US"/>
        </w:rPr>
        <w:t xml:space="preserve"> Köhler u.a. 2005: 368-387.</w:t>
      </w:r>
    </w:p>
    <w:p w:rsidR="00DA7911" w:rsidRPr="00083AF6" w:rsidRDefault="00DA7911" w:rsidP="009F0669">
      <w:pPr>
        <w:pStyle w:val="Text"/>
        <w:ind w:left="454" w:hanging="454"/>
      </w:pPr>
      <w:r w:rsidRPr="00FB4B69">
        <w:rPr>
          <w:lang w:val="en-US"/>
        </w:rPr>
        <w:t xml:space="preserve">Tweedie, Fiona J. (2005), „Statistical </w:t>
      </w:r>
      <w:r w:rsidR="001B3D18">
        <w:rPr>
          <w:lang w:val="en-US"/>
        </w:rPr>
        <w:t>M</w:t>
      </w:r>
      <w:r w:rsidRPr="00FB4B69">
        <w:rPr>
          <w:lang w:val="en-US"/>
        </w:rPr>
        <w:t xml:space="preserve">odels in </w:t>
      </w:r>
      <w:r w:rsidR="001B3D18">
        <w:rPr>
          <w:lang w:val="en-US"/>
        </w:rPr>
        <w:t>S</w:t>
      </w:r>
      <w:r w:rsidRPr="00FB4B69">
        <w:rPr>
          <w:lang w:val="en-US"/>
        </w:rPr>
        <w:t xml:space="preserve">tylistics and </w:t>
      </w:r>
      <w:r w:rsidR="001B3D18">
        <w:rPr>
          <w:lang w:val="en-US"/>
        </w:rPr>
        <w:t>F</w:t>
      </w:r>
      <w:r w:rsidRPr="00FB4B69">
        <w:rPr>
          <w:lang w:val="en-US"/>
        </w:rPr>
        <w:t xml:space="preserve">orensic </w:t>
      </w:r>
      <w:r w:rsidR="001B3D18">
        <w:rPr>
          <w:lang w:val="en-US"/>
        </w:rPr>
        <w:t>L</w:t>
      </w:r>
      <w:r w:rsidRPr="00FB4B69">
        <w:rPr>
          <w:lang w:val="en-US"/>
        </w:rPr>
        <w:t>ingui</w:t>
      </w:r>
      <w:r w:rsidRPr="00FB4B69">
        <w:rPr>
          <w:lang w:val="en-US"/>
        </w:rPr>
        <w:t>s</w:t>
      </w:r>
      <w:r w:rsidRPr="00FB4B69">
        <w:rPr>
          <w:lang w:val="en-US"/>
        </w:rPr>
        <w:t>tics“.</w:t>
      </w:r>
      <w:r w:rsidR="001B3D18">
        <w:rPr>
          <w:lang w:val="en-US"/>
        </w:rPr>
        <w:t xml:space="preserve"> </w:t>
      </w:r>
      <w:r w:rsidRPr="00083AF6">
        <w:t xml:space="preserve">In: </w:t>
      </w:r>
      <w:r w:rsidR="00EE3F15">
        <w:t xml:space="preserve">Reinhard </w:t>
      </w:r>
      <w:r w:rsidRPr="00083AF6">
        <w:t>Köhler u.a. 2005: 387-397.</w:t>
      </w:r>
    </w:p>
    <w:p w:rsidR="002F4398" w:rsidRPr="00897B50" w:rsidRDefault="002F4398" w:rsidP="009F0669">
      <w:pPr>
        <w:pStyle w:val="Text"/>
        <w:ind w:left="454" w:hanging="454"/>
        <w:rPr>
          <w:lang w:val="en-US"/>
        </w:rPr>
      </w:pPr>
      <w:r w:rsidRPr="002F4398">
        <w:t xml:space="preserve">Ueding, Gerd </w:t>
      </w:r>
      <w:r w:rsidRPr="00064B74">
        <w:t>(Hg.)</w:t>
      </w:r>
      <w:r w:rsidRPr="002F4398">
        <w:t xml:space="preserve"> (</w:t>
      </w:r>
      <w:r>
        <w:t>19</w:t>
      </w:r>
      <w:r w:rsidR="00CD60C8">
        <w:t>92</w:t>
      </w:r>
      <w:r>
        <w:t>–</w:t>
      </w:r>
      <w:r w:rsidR="00CD60C8">
        <w:t>2009</w:t>
      </w:r>
      <w:r>
        <w:t>)</w:t>
      </w:r>
      <w:r w:rsidRPr="00064B74">
        <w:t>,</w:t>
      </w:r>
      <w:r>
        <w:t xml:space="preserve"> </w:t>
      </w:r>
      <w:r w:rsidRPr="002F4398">
        <w:rPr>
          <w:i/>
        </w:rPr>
        <w:t>Historisches Wörterbuch der Rhetorik.</w:t>
      </w:r>
      <w:r>
        <w:t xml:space="preserve"> </w:t>
      </w:r>
      <w:r w:rsidR="00CD60C8" w:rsidRPr="0029309E">
        <w:rPr>
          <w:lang w:val="en-US"/>
        </w:rPr>
        <w:t xml:space="preserve">9 </w:t>
      </w:r>
      <w:r w:rsidRPr="0029309E">
        <w:rPr>
          <w:lang w:val="en-US"/>
        </w:rPr>
        <w:t xml:space="preserve">Bde. </w:t>
      </w:r>
      <w:r w:rsidRPr="00897B50">
        <w:rPr>
          <w:lang w:val="en-US"/>
        </w:rPr>
        <w:t xml:space="preserve">Tübingen: </w:t>
      </w:r>
      <w:r w:rsidR="00CD60C8" w:rsidRPr="00897B50">
        <w:rPr>
          <w:lang w:val="en-US"/>
        </w:rPr>
        <w:t>Niemeyer</w:t>
      </w:r>
      <w:r w:rsidRPr="00897B50">
        <w:rPr>
          <w:lang w:val="en-US"/>
        </w:rPr>
        <w:t>.</w:t>
      </w:r>
    </w:p>
    <w:p w:rsidR="00544B0B" w:rsidRPr="00544B0B" w:rsidRDefault="00544B0B" w:rsidP="009F0669">
      <w:pPr>
        <w:pStyle w:val="Text"/>
        <w:ind w:left="454" w:hanging="454"/>
        <w:rPr>
          <w:lang w:val="en-US"/>
        </w:rPr>
      </w:pPr>
      <w:r w:rsidRPr="00544B0B">
        <w:rPr>
          <w:lang w:val="en-US"/>
        </w:rPr>
        <w:t xml:space="preserve">Ullmann, Stephen (1957), </w:t>
      </w:r>
      <w:r w:rsidRPr="00544B0B">
        <w:rPr>
          <w:i/>
          <w:lang w:val="en-US"/>
        </w:rPr>
        <w:t>Style in the French Novel.</w:t>
      </w:r>
      <w:r>
        <w:rPr>
          <w:lang w:val="en-US"/>
        </w:rPr>
        <w:t xml:space="preserve"> Cambridge</w:t>
      </w:r>
      <w:r w:rsidR="007F64DE">
        <w:rPr>
          <w:lang w:val="en-US"/>
        </w:rPr>
        <w:t xml:space="preserve"> GB</w:t>
      </w:r>
      <w:r>
        <w:rPr>
          <w:lang w:val="en-US"/>
        </w:rPr>
        <w:t>: Cambridge University Press.</w:t>
      </w:r>
    </w:p>
    <w:p w:rsidR="00F721E7" w:rsidRPr="00544B0B" w:rsidRDefault="00F721E7" w:rsidP="009F0669">
      <w:pPr>
        <w:pStyle w:val="Text"/>
        <w:ind w:left="454" w:hanging="454"/>
        <w:rPr>
          <w:lang w:val="en-US"/>
        </w:rPr>
      </w:pPr>
      <w:r w:rsidRPr="00544B0B">
        <w:rPr>
          <w:lang w:val="en-US"/>
        </w:rPr>
        <w:t xml:space="preserve">Vianney, </w:t>
      </w:r>
      <w:r w:rsidR="00A13CA7" w:rsidRPr="00544B0B">
        <w:rPr>
          <w:lang w:val="en-US"/>
        </w:rPr>
        <w:t>Joseph (</w:t>
      </w:r>
      <w:r w:rsidRPr="00544B0B">
        <w:rPr>
          <w:lang w:val="en-US"/>
        </w:rPr>
        <w:t>1914</w:t>
      </w:r>
      <w:r w:rsidR="00A13CA7" w:rsidRPr="00544B0B">
        <w:rPr>
          <w:lang w:val="en-US"/>
        </w:rPr>
        <w:t xml:space="preserve">), </w:t>
      </w:r>
      <w:r w:rsidR="00A13CA7" w:rsidRPr="00544B0B">
        <w:rPr>
          <w:i/>
          <w:lang w:val="en-US"/>
        </w:rPr>
        <w:t>L’explication</w:t>
      </w:r>
      <w:r w:rsidR="00A13CA7" w:rsidRPr="00544B0B">
        <w:rPr>
          <w:lang w:val="en-US"/>
        </w:rPr>
        <w:t xml:space="preserve"> </w:t>
      </w:r>
      <w:r w:rsidR="00A13CA7" w:rsidRPr="00544B0B">
        <w:rPr>
          <w:rStyle w:val="Hervorhebung"/>
          <w:lang w:val="en-US"/>
        </w:rPr>
        <w:t>française.</w:t>
      </w:r>
      <w:r w:rsidR="00A13CA7" w:rsidRPr="00544B0B">
        <w:rPr>
          <w:rStyle w:val="Hervorhebung"/>
          <w:i w:val="0"/>
          <w:lang w:val="en-US"/>
        </w:rPr>
        <w:t xml:space="preserve"> Paris: Hatier.</w:t>
      </w:r>
    </w:p>
    <w:p w:rsidR="00A2747E" w:rsidRDefault="0028289D" w:rsidP="009F0669">
      <w:pPr>
        <w:pStyle w:val="Text"/>
        <w:ind w:left="454" w:hanging="454"/>
      </w:pPr>
      <w:r>
        <w:t>Viebrock</w:t>
      </w:r>
      <w:r w:rsidR="00A2747E">
        <w:t xml:space="preserve">, Helmut (1977), </w:t>
      </w:r>
      <w:r w:rsidR="00A2747E" w:rsidRPr="00A2747E">
        <w:rPr>
          <w:i/>
        </w:rPr>
        <w:t>Theorie und Praxis der Stilanalyse. Die Leistung der Sprache für den Stil, dargestellt an Texten der englischen Literatur der Gege</w:t>
      </w:r>
      <w:r w:rsidR="00A2747E" w:rsidRPr="00A2747E">
        <w:rPr>
          <w:i/>
        </w:rPr>
        <w:t>n</w:t>
      </w:r>
      <w:r w:rsidR="00A2747E" w:rsidRPr="00A2747E">
        <w:rPr>
          <w:i/>
        </w:rPr>
        <w:t>wart.</w:t>
      </w:r>
      <w:r w:rsidR="00A2747E">
        <w:t xml:space="preserve"> Heidelberg: Winter.</w:t>
      </w:r>
    </w:p>
    <w:p w:rsidR="00AD092E" w:rsidRDefault="00AD092E" w:rsidP="009F0669">
      <w:pPr>
        <w:pStyle w:val="Text"/>
        <w:ind w:left="454" w:hanging="454"/>
      </w:pPr>
      <w:r>
        <w:t xml:space="preserve">Vinogradov, Viktor V. (1963), </w:t>
      </w:r>
      <w:r w:rsidRPr="00AD092E">
        <w:rPr>
          <w:i/>
        </w:rPr>
        <w:t>Stilistika, teorija poėtičeskoj reči, poėtika.</w:t>
      </w:r>
      <w:r>
        <w:t xml:space="preserve"> Moskau: Akademie.</w:t>
      </w:r>
    </w:p>
    <w:p w:rsidR="00CF6DA4" w:rsidRPr="0062599B" w:rsidRDefault="00CF6DA4" w:rsidP="009F0669">
      <w:pPr>
        <w:pStyle w:val="Text"/>
        <w:ind w:left="454" w:hanging="454"/>
        <w:rPr>
          <w:lang w:val="en-US"/>
        </w:rPr>
      </w:pPr>
      <w:r w:rsidRPr="00362FC7">
        <w:t>Viollet-le-Duc, Eugène-Emmanuel (</w:t>
      </w:r>
      <w:r w:rsidR="00CA5EC2" w:rsidRPr="00362FC7">
        <w:t>1854–1868</w:t>
      </w:r>
      <w:r w:rsidRPr="00362FC7">
        <w:t xml:space="preserve">), „Dictionnaire raisonné de l’architecture </w:t>
      </w:r>
      <w:r w:rsidRPr="00CF6DA4">
        <w:rPr>
          <w:iCs/>
          <w:lang w:val="fr-FR"/>
        </w:rPr>
        <w:t>fran</w:t>
      </w:r>
      <w:r w:rsidRPr="00CF6DA4">
        <w:rPr>
          <w:rFonts w:cs="Times New Roman"/>
          <w:iCs/>
          <w:lang w:val="fr-FR"/>
        </w:rPr>
        <w:t>ç</w:t>
      </w:r>
      <w:r w:rsidRPr="00CF6DA4">
        <w:rPr>
          <w:iCs/>
          <w:lang w:val="fr-FR"/>
        </w:rPr>
        <w:t>aise</w:t>
      </w:r>
      <w:r>
        <w:rPr>
          <w:iCs/>
          <w:lang w:val="fr-FR"/>
        </w:rPr>
        <w:t xml:space="preserve"> du XI</w:t>
      </w:r>
      <w:r w:rsidRPr="00CF6DA4">
        <w:rPr>
          <w:iCs/>
          <w:vertAlign w:val="superscript"/>
          <w:lang w:val="fr-FR"/>
        </w:rPr>
        <w:t>e</w:t>
      </w:r>
      <w:r>
        <w:rPr>
          <w:iCs/>
          <w:lang w:val="fr-FR"/>
        </w:rPr>
        <w:t xml:space="preserve"> auf XVI</w:t>
      </w:r>
      <w:r w:rsidRPr="00CF6DA4">
        <w:rPr>
          <w:iCs/>
          <w:vertAlign w:val="superscript"/>
          <w:lang w:val="fr-FR"/>
        </w:rPr>
        <w:t>e</w:t>
      </w:r>
      <w:r>
        <w:rPr>
          <w:iCs/>
          <w:lang w:val="fr-FR"/>
        </w:rPr>
        <w:t xml:space="preserve"> si</w:t>
      </w:r>
      <w:r w:rsidR="00CA5EC2">
        <w:rPr>
          <w:iCs/>
          <w:lang w:val="fr-FR"/>
        </w:rPr>
        <w:t>ècle, 1854–</w:t>
      </w:r>
      <w:r>
        <w:rPr>
          <w:iCs/>
          <w:lang w:val="fr-FR"/>
        </w:rPr>
        <w:t>1868</w:t>
      </w:r>
      <w:r w:rsidRPr="00362FC7">
        <w:t>“</w:t>
      </w:r>
      <w:r w:rsidR="00B16F8C" w:rsidRPr="00362FC7">
        <w:t xml:space="preserve">. </w:t>
      </w:r>
      <w:r w:rsidR="001B3D18">
        <w:t>(</w:t>
      </w:r>
      <w:r w:rsidR="00B16F8C">
        <w:t xml:space="preserve">Systematisches Lexikon der französischen Architektur vom 11. bis 16. </w:t>
      </w:r>
      <w:r w:rsidR="00B16F8C" w:rsidRPr="004F75AD">
        <w:t>Jahrhundert</w:t>
      </w:r>
      <w:r w:rsidR="00145DE0" w:rsidRPr="004F75AD">
        <w:t>.)</w:t>
      </w:r>
      <w:r w:rsidR="001B3D18" w:rsidRPr="004F75AD">
        <w:t xml:space="preserve"> Art</w:t>
      </w:r>
      <w:r w:rsidR="001B3D18" w:rsidRPr="004F75AD">
        <w:t>i</w:t>
      </w:r>
      <w:r w:rsidR="001B3D18" w:rsidRPr="004F75AD">
        <w:lastRenderedPageBreak/>
        <w:t>kel</w:t>
      </w:r>
      <w:r w:rsidR="00B16F8C" w:rsidRPr="004F75AD">
        <w:t xml:space="preserve"> „St</w:t>
      </w:r>
      <w:r w:rsidR="00145DE0" w:rsidRPr="004F75AD">
        <w:t>y</w:t>
      </w:r>
      <w:r w:rsidR="00B16F8C" w:rsidRPr="004F75AD">
        <w:t>l</w:t>
      </w:r>
      <w:r w:rsidR="00145DE0" w:rsidRPr="004F75AD">
        <w:t>e</w:t>
      </w:r>
      <w:r w:rsidR="00B16F8C" w:rsidRPr="004F75AD">
        <w:t>“</w:t>
      </w:r>
      <w:r w:rsidR="001B3D18" w:rsidRPr="004F75AD">
        <w:t>.)</w:t>
      </w:r>
      <w:r w:rsidRPr="004F75AD">
        <w:t xml:space="preserve"> </w:t>
      </w:r>
      <w:r w:rsidR="00145DE0" w:rsidRPr="00CB0989">
        <w:t xml:space="preserve">Deutsch </w:t>
      </w:r>
      <w:r w:rsidR="00CB0989" w:rsidRPr="00CB0989">
        <w:t>v</w:t>
      </w:r>
      <w:r w:rsidR="00CB0989">
        <w:t xml:space="preserve">on Marianne Uhl </w:t>
      </w:r>
      <w:r w:rsidR="00842E03">
        <w:t xml:space="preserve">(gekürzt) </w:t>
      </w:r>
      <w:r w:rsidR="003E38D5" w:rsidRPr="003E38D5">
        <w:t>a</w:t>
      </w:r>
      <w:r w:rsidR="003E38D5">
        <w:t>ls</w:t>
      </w:r>
      <w:r w:rsidRPr="001434C8">
        <w:t xml:space="preserve">: </w:t>
      </w:r>
      <w:r w:rsidR="003E38D5" w:rsidRPr="004F75AD">
        <w:t>„</w:t>
      </w:r>
      <w:r w:rsidR="003E38D5" w:rsidRPr="001434C8">
        <w:t>Stil</w:t>
      </w:r>
      <w:r w:rsidR="003E38D5" w:rsidRPr="004F75AD">
        <w:t>“</w:t>
      </w:r>
      <w:r w:rsidR="003E38D5" w:rsidRPr="001434C8">
        <w:t xml:space="preserve">. </w:t>
      </w:r>
      <w:r w:rsidR="003E38D5" w:rsidRPr="0062599B">
        <w:rPr>
          <w:lang w:val="en-US"/>
        </w:rPr>
        <w:t xml:space="preserve">In: </w:t>
      </w:r>
      <w:r w:rsidR="00B16F8C" w:rsidRPr="0062599B">
        <w:rPr>
          <w:lang w:val="en-US"/>
        </w:rPr>
        <w:t xml:space="preserve">Neumeyer </w:t>
      </w:r>
      <w:r w:rsidR="00CA5EC2" w:rsidRPr="0062599B">
        <w:rPr>
          <w:lang w:val="en-US"/>
        </w:rPr>
        <w:t>2002: 233-247.</w:t>
      </w:r>
    </w:p>
    <w:p w:rsidR="00E6261E" w:rsidRDefault="00E6261E" w:rsidP="009F0669">
      <w:pPr>
        <w:pStyle w:val="Text"/>
        <w:ind w:left="454" w:hanging="454"/>
        <w:rPr>
          <w:iCs/>
        </w:rPr>
      </w:pPr>
      <w:r w:rsidRPr="00362FC7">
        <w:rPr>
          <w:lang w:val="en-US"/>
        </w:rPr>
        <w:t xml:space="preserve">Vitányi, Paul und Ming Li (1993), </w:t>
      </w:r>
      <w:r w:rsidRPr="00362FC7">
        <w:rPr>
          <w:i/>
          <w:iCs/>
          <w:lang w:val="en-US"/>
        </w:rPr>
        <w:t>An Introduction to Kolmogorov Complexity and Its Applications.</w:t>
      </w:r>
      <w:r w:rsidRPr="00362FC7">
        <w:rPr>
          <w:iCs/>
          <w:lang w:val="en-US"/>
        </w:rPr>
        <w:t xml:space="preserve"> </w:t>
      </w:r>
      <w:r w:rsidRPr="004F75AD">
        <w:rPr>
          <w:iCs/>
        </w:rPr>
        <w:t>Ne</w:t>
      </w:r>
      <w:r w:rsidRPr="00083AF6">
        <w:rPr>
          <w:iCs/>
        </w:rPr>
        <w:t>w York: Springer.</w:t>
      </w:r>
    </w:p>
    <w:p w:rsidR="00436A68" w:rsidRPr="00083AF6" w:rsidRDefault="00436A68" w:rsidP="009F0669">
      <w:pPr>
        <w:pStyle w:val="Text"/>
        <w:ind w:left="454" w:hanging="454"/>
        <w:rPr>
          <w:iCs/>
        </w:rPr>
      </w:pPr>
      <w:r w:rsidRPr="00083AF6">
        <w:t xml:space="preserve">Vossler, </w:t>
      </w:r>
      <w:r>
        <w:t xml:space="preserve">Karl (1923), </w:t>
      </w:r>
      <w:r>
        <w:rPr>
          <w:i/>
          <w:iCs/>
        </w:rPr>
        <w:t xml:space="preserve">Gesammelte Aufsätze zur Sprachphilosophie. </w:t>
      </w:r>
      <w:r w:rsidRPr="00C463FA">
        <w:t>München:</w:t>
      </w:r>
      <w:r>
        <w:t xml:space="preserve"> </w:t>
      </w:r>
      <w:r w:rsidRPr="00C463FA">
        <w:t>Hueber.</w:t>
      </w:r>
    </w:p>
    <w:p w:rsidR="00973CA2" w:rsidRDefault="00973CA2" w:rsidP="00973CA2">
      <w:pPr>
        <w:pStyle w:val="Text"/>
        <w:ind w:left="454" w:hanging="454"/>
      </w:pPr>
      <w:r>
        <w:t xml:space="preserve">Wackernagel, Wilhelm (1888), </w:t>
      </w:r>
      <w:r>
        <w:rPr>
          <w:i/>
          <w:iCs/>
        </w:rPr>
        <w:t>Poetik, Rhetorik und Stilistik. Academische Vorl</w:t>
      </w:r>
      <w:r>
        <w:rPr>
          <w:i/>
          <w:iCs/>
        </w:rPr>
        <w:t>e</w:t>
      </w:r>
      <w:r>
        <w:rPr>
          <w:i/>
          <w:iCs/>
        </w:rPr>
        <w:t xml:space="preserve">sungen. </w:t>
      </w:r>
      <w:r>
        <w:t>Halle: Verlag der Buchhandlung des Waisenhauses.</w:t>
      </w:r>
    </w:p>
    <w:p w:rsidR="0074204A" w:rsidRDefault="0074204A" w:rsidP="009F0669">
      <w:pPr>
        <w:pStyle w:val="Text"/>
        <w:ind w:left="454" w:hanging="454"/>
      </w:pPr>
      <w:r>
        <w:t xml:space="preserve">Walzel, Oskar (1923), </w:t>
      </w:r>
      <w:r w:rsidRPr="0074204A">
        <w:rPr>
          <w:i/>
        </w:rPr>
        <w:t>Gehalt und Gestalt im Kunstwerk des Dichters.</w:t>
      </w:r>
      <w:r>
        <w:t xml:space="preserve"> Berlin: </w:t>
      </w:r>
      <w:r w:rsidR="00E47DB8" w:rsidRPr="00DE7926">
        <w:t>Athenaion</w:t>
      </w:r>
      <w:r>
        <w:t>.</w:t>
      </w:r>
    </w:p>
    <w:p w:rsidR="006B0801" w:rsidRDefault="006B0801" w:rsidP="009F0669">
      <w:pPr>
        <w:pStyle w:val="Text"/>
        <w:ind w:left="454" w:hanging="454"/>
      </w:pPr>
      <w:r>
        <w:t xml:space="preserve">Warburg, Aby (1932), </w:t>
      </w:r>
      <w:r>
        <w:rPr>
          <w:i/>
          <w:iCs/>
        </w:rPr>
        <w:t>Die Erneuerung der heidnischen Antike.</w:t>
      </w:r>
      <w:r w:rsidRPr="00B668AB">
        <w:rPr>
          <w:i/>
        </w:rPr>
        <w:t xml:space="preserve"> </w:t>
      </w:r>
      <w:r w:rsidR="00B668AB">
        <w:rPr>
          <w:i/>
        </w:rPr>
        <w:t>Kulturwisse</w:t>
      </w:r>
      <w:r w:rsidR="00B668AB">
        <w:rPr>
          <w:i/>
        </w:rPr>
        <w:t>n</w:t>
      </w:r>
      <w:r w:rsidR="00B668AB">
        <w:rPr>
          <w:i/>
        </w:rPr>
        <w:t xml:space="preserve">schaftliche </w:t>
      </w:r>
      <w:r w:rsidRPr="00B668AB">
        <w:rPr>
          <w:i/>
        </w:rPr>
        <w:t xml:space="preserve">Beiträge zur Geschichte der europäischen </w:t>
      </w:r>
      <w:r w:rsidR="00B668AB">
        <w:rPr>
          <w:i/>
        </w:rPr>
        <w:t>Renaissance</w:t>
      </w:r>
      <w:r w:rsidRPr="00B668AB">
        <w:rPr>
          <w:i/>
        </w:rPr>
        <w:t xml:space="preserve">. </w:t>
      </w:r>
      <w:r w:rsidR="00B01D3E">
        <w:t>Erneut i</w:t>
      </w:r>
      <w:r w:rsidR="00686141">
        <w:t xml:space="preserve">n: Ders. (1998), </w:t>
      </w:r>
      <w:r w:rsidR="00686141" w:rsidRPr="00686141">
        <w:rPr>
          <w:i/>
        </w:rPr>
        <w:t>Gesammelte Schriften</w:t>
      </w:r>
      <w:r w:rsidR="00686141">
        <w:t xml:space="preserve">. </w:t>
      </w:r>
      <w:r w:rsidR="00B01D3E">
        <w:t xml:space="preserve">Bd. I, 1 und I,2. </w:t>
      </w:r>
      <w:r w:rsidR="00686141">
        <w:t>H</w:t>
      </w:r>
      <w:r>
        <w:t xml:space="preserve">g. von </w:t>
      </w:r>
      <w:r w:rsidRPr="006B0801">
        <w:t>Horst Bredekamp</w:t>
      </w:r>
      <w:r>
        <w:t xml:space="preserve"> und Michael Diers. </w:t>
      </w:r>
      <w:r w:rsidR="00B668AB">
        <w:t>Berlin: Akademie.</w:t>
      </w:r>
    </w:p>
    <w:p w:rsidR="00B668AB" w:rsidRDefault="00B668AB" w:rsidP="00B668AB">
      <w:pPr>
        <w:pStyle w:val="Text"/>
        <w:ind w:left="454" w:hanging="454"/>
      </w:pPr>
      <w:r>
        <w:t xml:space="preserve">Warburg, Aby (2000), </w:t>
      </w:r>
      <w:r w:rsidR="00B01D3E" w:rsidRPr="00686141">
        <w:rPr>
          <w:i/>
        </w:rPr>
        <w:t>Gesammelte Schriften</w:t>
      </w:r>
      <w:r w:rsidR="00B01D3E">
        <w:t xml:space="preserve">. Bd. II, </w:t>
      </w:r>
      <w:r w:rsidR="00476C33">
        <w:t>1</w:t>
      </w:r>
      <w:r w:rsidR="009E1C34">
        <w:t xml:space="preserve">: </w:t>
      </w:r>
      <w:r w:rsidR="009E1C34">
        <w:rPr>
          <w:i/>
          <w:iCs/>
        </w:rPr>
        <w:t xml:space="preserve">Der Bilderatlas </w:t>
      </w:r>
      <w:r w:rsidR="009E1C34" w:rsidRPr="004A700D">
        <w:rPr>
          <w:i/>
          <w:iCs/>
          <w:caps/>
        </w:rPr>
        <w:t>Mnem</w:t>
      </w:r>
      <w:r w:rsidR="009E1C34" w:rsidRPr="004A700D">
        <w:rPr>
          <w:i/>
          <w:iCs/>
          <w:caps/>
        </w:rPr>
        <w:t>o</w:t>
      </w:r>
      <w:r w:rsidR="009E1C34" w:rsidRPr="004A700D">
        <w:rPr>
          <w:i/>
          <w:iCs/>
          <w:caps/>
        </w:rPr>
        <w:t>syne</w:t>
      </w:r>
      <w:r w:rsidR="009E1C34">
        <w:rPr>
          <w:i/>
          <w:iCs/>
        </w:rPr>
        <w:t>.</w:t>
      </w:r>
      <w:r w:rsidR="009E1C34">
        <w:t xml:space="preserve"> </w:t>
      </w:r>
      <w:r>
        <w:t>Hg. von Martin Warnke und Claudia Brink. Berlin: Akademie.</w:t>
      </w:r>
    </w:p>
    <w:p w:rsidR="006C025D" w:rsidRDefault="006C025D" w:rsidP="009F0669">
      <w:pPr>
        <w:pStyle w:val="Text"/>
        <w:ind w:left="454" w:hanging="454"/>
      </w:pPr>
      <w:r>
        <w:t xml:space="preserve">Warnke, Ingo H. (2009), „Stilwandel und Sprachwandel“. </w:t>
      </w:r>
      <w:r w:rsidR="00DB3950">
        <w:t xml:space="preserve">In: </w:t>
      </w:r>
      <w:r w:rsidR="00DB3950" w:rsidRPr="00E53621">
        <w:t>Fix u.a. 2008–2009</w:t>
      </w:r>
      <w:r w:rsidR="009D2CB4">
        <w:t>, Bd. 2:</w:t>
      </w:r>
      <w:r w:rsidR="00DB3950">
        <w:t xml:space="preserve"> </w:t>
      </w:r>
      <w:r w:rsidRPr="00901FF1">
        <w:t>1381-1395.</w:t>
      </w:r>
    </w:p>
    <w:p w:rsidR="0031353B" w:rsidRDefault="0031353B" w:rsidP="009F0669">
      <w:pPr>
        <w:pStyle w:val="Text"/>
        <w:ind w:left="454" w:hanging="454"/>
      </w:pPr>
      <w:r>
        <w:t xml:space="preserve">Watt, William C. </w:t>
      </w:r>
      <w:r w:rsidR="00E51C6B">
        <w:t xml:space="preserve">und Gavin T. </w:t>
      </w:r>
      <w:r>
        <w:t xml:space="preserve">Watt (1997), „Codes“. In: </w:t>
      </w:r>
      <w:r w:rsidRPr="008A5824">
        <w:t>Posner u.a. 1997–2004, Bd. 1:</w:t>
      </w:r>
      <w:r>
        <w:t xml:space="preserve"> 404-414.</w:t>
      </w:r>
    </w:p>
    <w:p w:rsidR="00E51C6B" w:rsidRDefault="00E51C6B" w:rsidP="009F0669">
      <w:pPr>
        <w:pStyle w:val="Text"/>
        <w:ind w:left="454" w:hanging="454"/>
      </w:pPr>
      <w:r>
        <w:t xml:space="preserve">Watt, William C. (1983), „Grade der Systemhaftigkeit“. </w:t>
      </w:r>
      <w:r w:rsidRPr="00E51C6B">
        <w:rPr>
          <w:i/>
        </w:rPr>
        <w:t>Zeitschrift für Semiotik</w:t>
      </w:r>
      <w:r>
        <w:t xml:space="preserve"> 5: 371-399.</w:t>
      </w:r>
    </w:p>
    <w:p w:rsidR="0028289D" w:rsidRDefault="00E54E61" w:rsidP="009F0669">
      <w:pPr>
        <w:pStyle w:val="Text"/>
        <w:ind w:left="454" w:hanging="454"/>
      </w:pPr>
      <w:r>
        <w:t>Weidl</w:t>
      </w:r>
      <w:r w:rsidR="000F5037">
        <w:t>é</w:t>
      </w:r>
      <w:r>
        <w:t>, Wladimir (1962</w:t>
      </w:r>
      <w:r w:rsidR="0028289D">
        <w:t xml:space="preserve">), „Über die kunstgeschichtlichen Begriffe ‚Sprache‘ und ‚Stil‘“. In: </w:t>
      </w:r>
      <w:r w:rsidR="00EE3F15">
        <w:t xml:space="preserve">Karl </w:t>
      </w:r>
      <w:r>
        <w:t>Oettinger</w:t>
      </w:r>
      <w:r w:rsidR="00EE3F15">
        <w:t xml:space="preserve"> </w:t>
      </w:r>
      <w:r>
        <w:t xml:space="preserve">(Hg.), </w:t>
      </w:r>
      <w:r w:rsidR="0028289D" w:rsidRPr="0028289D">
        <w:rPr>
          <w:i/>
        </w:rPr>
        <w:t>Festschrift für Hans Sedlmayr.</w:t>
      </w:r>
      <w:r w:rsidR="0028289D">
        <w:t xml:space="preserve"> München: C.H.Beck.</w:t>
      </w:r>
      <w:r w:rsidR="00B76961">
        <w:t xml:space="preserve"> 102-115.</w:t>
      </w:r>
    </w:p>
    <w:p w:rsidR="00267255" w:rsidRDefault="00267255" w:rsidP="009F0669">
      <w:pPr>
        <w:pStyle w:val="Text"/>
        <w:ind w:left="454" w:hanging="454"/>
      </w:pPr>
      <w:r>
        <w:t xml:space="preserve">Wertheimer, Max (1925), </w:t>
      </w:r>
      <w:r>
        <w:rPr>
          <w:i/>
          <w:iCs/>
        </w:rPr>
        <w:t>Über Gestalttheorie.</w:t>
      </w:r>
      <w:r w:rsidR="001B3D18">
        <w:t xml:space="preserve"> </w:t>
      </w:r>
      <w:r>
        <w:t>Vortrag vor der Kant-Gesellschaft, Berlin</w:t>
      </w:r>
      <w:r w:rsidR="001B3D18">
        <w:t>,</w:t>
      </w:r>
      <w:r>
        <w:t xml:space="preserve"> 17. </w:t>
      </w:r>
      <w:r w:rsidRPr="00B16097">
        <w:t xml:space="preserve">Dezember 1924. </w:t>
      </w:r>
      <w:r w:rsidRPr="002D3323">
        <w:t>Erlangen: Verlag der Philosoph</w:t>
      </w:r>
      <w:r w:rsidRPr="002D3323">
        <w:t>i</w:t>
      </w:r>
      <w:r w:rsidRPr="002D3323">
        <w:t>schen Akademie.</w:t>
      </w:r>
    </w:p>
    <w:p w:rsidR="00185626" w:rsidRDefault="00185626" w:rsidP="009F0669">
      <w:pPr>
        <w:pStyle w:val="Text"/>
        <w:ind w:left="454" w:hanging="454"/>
      </w:pPr>
      <w:r>
        <w:t xml:space="preserve">Wetzel, Christoph (Hg.) (2004), </w:t>
      </w:r>
      <w:r>
        <w:rPr>
          <w:i/>
          <w:iCs/>
        </w:rPr>
        <w:t>Belser Stilgeschichte.</w:t>
      </w:r>
      <w:r w:rsidRPr="006149D5">
        <w:rPr>
          <w:i/>
          <w:iCs/>
        </w:rPr>
        <w:t xml:space="preserve"> </w:t>
      </w:r>
      <w:r w:rsidRPr="006149D5">
        <w:rPr>
          <w:i/>
        </w:rPr>
        <w:t>Studienausgabe in drei Bänden.</w:t>
      </w:r>
      <w:r>
        <w:t xml:space="preserve"> (Bd. 1: </w:t>
      </w:r>
      <w:r w:rsidRPr="00185626">
        <w:rPr>
          <w:i/>
        </w:rPr>
        <w:t>Altertum.</w:t>
      </w:r>
      <w:r>
        <w:t xml:space="preserve"> Bd. 2: </w:t>
      </w:r>
      <w:r w:rsidRPr="00185626">
        <w:rPr>
          <w:i/>
        </w:rPr>
        <w:t>Mittelalter.</w:t>
      </w:r>
      <w:r>
        <w:t xml:space="preserve"> Bd. 3: </w:t>
      </w:r>
      <w:r w:rsidRPr="00185626">
        <w:rPr>
          <w:i/>
        </w:rPr>
        <w:t>Neuzeit.</w:t>
      </w:r>
      <w:r>
        <w:t>) Stuttgart: Belser.</w:t>
      </w:r>
    </w:p>
    <w:p w:rsidR="00AB1605" w:rsidRDefault="00AB1605" w:rsidP="009F0669">
      <w:pPr>
        <w:pStyle w:val="Text"/>
        <w:ind w:left="454" w:hanging="454"/>
      </w:pPr>
      <w:r>
        <w:t>Weissert, Caecilie (2009)</w:t>
      </w:r>
      <w:r w:rsidR="005438C1">
        <w:t xml:space="preserve"> (Hg.), </w:t>
      </w:r>
      <w:r w:rsidR="00B0000F" w:rsidRPr="00B0000F">
        <w:rPr>
          <w:i/>
        </w:rPr>
        <w:t>Stil in der Kunstgeschichte. Neue Wege der Fo</w:t>
      </w:r>
      <w:r w:rsidR="00B0000F" w:rsidRPr="00B0000F">
        <w:rPr>
          <w:i/>
        </w:rPr>
        <w:t>r</w:t>
      </w:r>
      <w:r w:rsidR="00B0000F" w:rsidRPr="00B0000F">
        <w:rPr>
          <w:i/>
        </w:rPr>
        <w:t>schung.</w:t>
      </w:r>
      <w:r w:rsidR="00B0000F">
        <w:t xml:space="preserve"> Darmstadt: Wissenschaftliche Buchgesellschaft.</w:t>
      </w:r>
    </w:p>
    <w:p w:rsidR="00C21E1B" w:rsidRPr="00BA6CDC" w:rsidRDefault="00C21E1B" w:rsidP="009F0669">
      <w:pPr>
        <w:pStyle w:val="Text"/>
        <w:ind w:left="454" w:hanging="454"/>
      </w:pPr>
      <w:r w:rsidRPr="00C21E1B">
        <w:rPr>
          <w:lang w:val="en-US"/>
        </w:rPr>
        <w:t xml:space="preserve">Wesley, Samuel (1700), </w:t>
      </w:r>
      <w:r w:rsidRPr="00C21E1B">
        <w:rPr>
          <w:rFonts w:cs="Times New Roman"/>
          <w:i/>
          <w:lang w:val="en-US"/>
        </w:rPr>
        <w:t>An Epistle to a Friend Concerning Poetry.</w:t>
      </w:r>
      <w:r>
        <w:rPr>
          <w:rFonts w:cs="Times New Roman"/>
          <w:lang w:val="en-US"/>
        </w:rPr>
        <w:t xml:space="preserve"> </w:t>
      </w:r>
      <w:r w:rsidRPr="00BA6CDC">
        <w:rPr>
          <w:rFonts w:cs="Times New Roman"/>
        </w:rPr>
        <w:t>London: Cha</w:t>
      </w:r>
      <w:r w:rsidRPr="00BA6CDC">
        <w:rPr>
          <w:rFonts w:cs="Times New Roman"/>
        </w:rPr>
        <w:t>r</w:t>
      </w:r>
      <w:r w:rsidRPr="00BA6CDC">
        <w:rPr>
          <w:rFonts w:cs="Times New Roman"/>
        </w:rPr>
        <w:t>les Harper.</w:t>
      </w:r>
    </w:p>
    <w:p w:rsidR="00240A3A" w:rsidRPr="003341AF" w:rsidRDefault="00240A3A" w:rsidP="009F0669">
      <w:pPr>
        <w:pStyle w:val="Text"/>
        <w:ind w:left="454" w:hanging="454"/>
      </w:pPr>
      <w:r w:rsidRPr="00240A3A">
        <w:t xml:space="preserve">Wildgen, Wolfgang (1977), </w:t>
      </w:r>
      <w:r w:rsidRPr="00240A3A">
        <w:rPr>
          <w:i/>
        </w:rPr>
        <w:t>Kommunikativer Stil und Sozialisation. Ergebnisse einer empirischen Untersuchung.</w:t>
      </w:r>
      <w:r>
        <w:t xml:space="preserve"> </w:t>
      </w:r>
      <w:r w:rsidRPr="003341AF">
        <w:t>Tübingen: Niemeyer.</w:t>
      </w:r>
      <w:r w:rsidR="00820C3E" w:rsidRPr="003341AF">
        <w:t xml:space="preserve"> Zugl.: Regensburg, Univ., Diss.</w:t>
      </w:r>
    </w:p>
    <w:p w:rsidR="00F70EA5" w:rsidRPr="005862C8" w:rsidRDefault="0032673F" w:rsidP="009F0669">
      <w:pPr>
        <w:pStyle w:val="Text"/>
        <w:ind w:left="454" w:hanging="454"/>
        <w:rPr>
          <w:lang w:val="en-US"/>
        </w:rPr>
      </w:pPr>
      <w:r w:rsidRPr="00196332">
        <w:t>Wille, Uta</w:t>
      </w:r>
      <w:r w:rsidR="00196332">
        <w:t xml:space="preserve"> (1991</w:t>
      </w:r>
      <w:r w:rsidRPr="00196332">
        <w:t xml:space="preserve">), </w:t>
      </w:r>
      <w:r w:rsidR="00196332">
        <w:t xml:space="preserve">„Eine Axiomatisierung bilinearer Kontexte“. In: Dieter Gaier und Franz Georg Timmesfeld (Hg.), </w:t>
      </w:r>
      <w:r w:rsidR="00196332">
        <w:rPr>
          <w:rStyle w:val="Hervorhebung"/>
        </w:rPr>
        <w:t>Mitteilungen aus dem mathem</w:t>
      </w:r>
      <w:r w:rsidR="001B3D18">
        <w:rPr>
          <w:rStyle w:val="Hervorhebung"/>
        </w:rPr>
        <w:t xml:space="preserve">atischen </w:t>
      </w:r>
      <w:r w:rsidR="00196332">
        <w:rPr>
          <w:rStyle w:val="Hervorhebung"/>
        </w:rPr>
        <w:t>Seminar Giessen.</w:t>
      </w:r>
      <w:r w:rsidR="00196332">
        <w:t xml:space="preserve"> Gie</w:t>
      </w:r>
      <w:r w:rsidR="00624D13">
        <w:t>ß</w:t>
      </w:r>
      <w:r w:rsidR="00196332">
        <w:t xml:space="preserve">en: Selbstverlag des mathematischen Instituts. 72-112. </w:t>
      </w:r>
      <w:r w:rsidR="00196332" w:rsidRPr="00196332">
        <w:t xml:space="preserve">Englisch gekürzt als: </w:t>
      </w:r>
      <w:r w:rsidRPr="00196332">
        <w:t>„</w:t>
      </w:r>
      <w:r w:rsidR="00F70EA5" w:rsidRPr="00196332">
        <w:t>An Axiomatization for Bilinear Models</w:t>
      </w:r>
      <w:r w:rsidRPr="00196332">
        <w:t>“</w:t>
      </w:r>
      <w:r w:rsidR="00F70EA5" w:rsidRPr="00196332">
        <w:t xml:space="preserve">. </w:t>
      </w:r>
      <w:r w:rsidR="00F70EA5" w:rsidRPr="0062599B">
        <w:rPr>
          <w:lang w:val="en-US"/>
        </w:rPr>
        <w:t xml:space="preserve">In: </w:t>
      </w:r>
      <w:r w:rsidRPr="0062599B">
        <w:rPr>
          <w:lang w:val="en-US"/>
        </w:rPr>
        <w:t xml:space="preserve">Gerhard H. </w:t>
      </w:r>
      <w:r w:rsidR="00F70EA5" w:rsidRPr="0062599B">
        <w:rPr>
          <w:lang w:val="en-US"/>
        </w:rPr>
        <w:t>Fischer</w:t>
      </w:r>
      <w:r w:rsidRPr="0062599B">
        <w:rPr>
          <w:lang w:val="en-US"/>
        </w:rPr>
        <w:t xml:space="preserve"> und Donald </w:t>
      </w:r>
      <w:r w:rsidR="00F70EA5" w:rsidRPr="0062599B">
        <w:rPr>
          <w:lang w:val="en-US"/>
        </w:rPr>
        <w:t>Laming (</w:t>
      </w:r>
      <w:r w:rsidRPr="0062599B">
        <w:rPr>
          <w:lang w:val="en-US"/>
        </w:rPr>
        <w:t>Hg.)</w:t>
      </w:r>
      <w:r w:rsidR="00196332" w:rsidRPr="0062599B">
        <w:rPr>
          <w:lang w:val="en-US"/>
        </w:rPr>
        <w:t xml:space="preserve"> </w:t>
      </w:r>
      <w:r w:rsidR="00196332">
        <w:rPr>
          <w:lang w:val="en-US"/>
        </w:rPr>
        <w:t>(1994)</w:t>
      </w:r>
      <w:r w:rsidRPr="0032673F">
        <w:rPr>
          <w:lang w:val="en-US"/>
        </w:rPr>
        <w:t>,</w:t>
      </w:r>
      <w:r w:rsidR="00F70EA5" w:rsidRPr="0032673F">
        <w:rPr>
          <w:lang w:val="en-US"/>
        </w:rPr>
        <w:t xml:space="preserve"> </w:t>
      </w:r>
      <w:r w:rsidR="00F70EA5" w:rsidRPr="00F70EA5">
        <w:rPr>
          <w:rStyle w:val="Hervorhebung"/>
          <w:lang w:val="en-US"/>
        </w:rPr>
        <w:t xml:space="preserve">Contributions to </w:t>
      </w:r>
      <w:r w:rsidR="00F70EA5" w:rsidRPr="00F70EA5">
        <w:rPr>
          <w:rStyle w:val="Hervorhebung"/>
          <w:lang w:val="en-US"/>
        </w:rPr>
        <w:lastRenderedPageBreak/>
        <w:t>Mathematical Psychology, Psychometrics, and Methodology.</w:t>
      </w:r>
      <w:r w:rsidR="00F70EA5" w:rsidRPr="00F70EA5">
        <w:rPr>
          <w:lang w:val="en-US"/>
        </w:rPr>
        <w:t xml:space="preserve"> </w:t>
      </w:r>
      <w:r>
        <w:rPr>
          <w:lang w:val="en-US"/>
        </w:rPr>
        <w:t>Berlin u.a.: Springer. 239-247.</w:t>
      </w:r>
    </w:p>
    <w:p w:rsidR="00D2554C" w:rsidRDefault="00D2554C" w:rsidP="009F0669">
      <w:pPr>
        <w:pStyle w:val="Text"/>
        <w:ind w:left="454" w:hanging="454"/>
        <w:rPr>
          <w:lang w:val="en-GB"/>
        </w:rPr>
      </w:pPr>
      <w:r w:rsidRPr="00820C3E">
        <w:rPr>
          <w:lang w:val="en-US"/>
        </w:rPr>
        <w:t xml:space="preserve">Williamson, Timothy (1992), „Inexact Knowledge“. </w:t>
      </w:r>
      <w:r>
        <w:rPr>
          <w:i/>
          <w:lang w:val="en-GB"/>
        </w:rPr>
        <w:t xml:space="preserve">Mind </w:t>
      </w:r>
      <w:r>
        <w:rPr>
          <w:lang w:val="en-GB"/>
        </w:rPr>
        <w:t>101: 217-42.</w:t>
      </w:r>
    </w:p>
    <w:p w:rsidR="00D2554C" w:rsidRDefault="00D2554C" w:rsidP="009F0669">
      <w:pPr>
        <w:pStyle w:val="Text"/>
        <w:ind w:left="454" w:hanging="454"/>
        <w:rPr>
          <w:lang w:val="en-GB"/>
        </w:rPr>
      </w:pPr>
      <w:r>
        <w:rPr>
          <w:lang w:val="en-GB"/>
        </w:rPr>
        <w:t xml:space="preserve">Williamson, Timothy (1994), </w:t>
      </w:r>
      <w:r>
        <w:rPr>
          <w:i/>
          <w:lang w:val="en-GB"/>
        </w:rPr>
        <w:t>Vagueness</w:t>
      </w:r>
      <w:r>
        <w:rPr>
          <w:lang w:val="en-GB"/>
        </w:rPr>
        <w:t xml:space="preserve">. </w:t>
      </w:r>
      <w:r w:rsidR="00267255">
        <w:rPr>
          <w:lang w:val="en-GB"/>
        </w:rPr>
        <w:t xml:space="preserve">London: </w:t>
      </w:r>
      <w:r>
        <w:rPr>
          <w:lang w:val="en-GB"/>
        </w:rPr>
        <w:t>Routledge.</w:t>
      </w:r>
    </w:p>
    <w:p w:rsidR="00D2554C" w:rsidRPr="00190B89" w:rsidRDefault="00D2554C" w:rsidP="009F0669">
      <w:pPr>
        <w:pStyle w:val="Text"/>
        <w:ind w:left="454" w:hanging="454"/>
      </w:pPr>
      <w:r>
        <w:rPr>
          <w:lang w:val="en-GB"/>
        </w:rPr>
        <w:t xml:space="preserve">Williamson, Timothy (2000), </w:t>
      </w:r>
      <w:r>
        <w:rPr>
          <w:i/>
          <w:lang w:val="en-GB"/>
        </w:rPr>
        <w:t xml:space="preserve">Knowledge and </w:t>
      </w:r>
      <w:r w:rsidR="003F55ED">
        <w:rPr>
          <w:i/>
          <w:lang w:val="en-GB"/>
        </w:rPr>
        <w:t>I</w:t>
      </w:r>
      <w:r>
        <w:rPr>
          <w:i/>
          <w:lang w:val="en-GB"/>
        </w:rPr>
        <w:t>ts Limits</w:t>
      </w:r>
      <w:r>
        <w:rPr>
          <w:lang w:val="en-GB"/>
        </w:rPr>
        <w:t xml:space="preserve">. </w:t>
      </w:r>
      <w:r w:rsidR="00267255" w:rsidRPr="00190B89">
        <w:t xml:space="preserve">Oxford: </w:t>
      </w:r>
      <w:r w:rsidRPr="00190B89">
        <w:t>Oxford Un</w:t>
      </w:r>
      <w:r w:rsidRPr="00190B89">
        <w:t>i</w:t>
      </w:r>
      <w:r w:rsidRPr="00190B89">
        <w:t>versity Press.</w:t>
      </w:r>
    </w:p>
    <w:p w:rsidR="008A652C" w:rsidRDefault="008A652C" w:rsidP="009F0669">
      <w:pPr>
        <w:pStyle w:val="Text"/>
        <w:ind w:left="454" w:hanging="454"/>
      </w:pPr>
      <w:r w:rsidRPr="008A652C">
        <w:t>Wilpert, Gero von (</w:t>
      </w:r>
      <w:r w:rsidR="00190B89">
        <w:t>1989</w:t>
      </w:r>
      <w:r w:rsidRPr="008A652C">
        <w:t xml:space="preserve">), </w:t>
      </w:r>
      <w:r w:rsidRPr="008A652C">
        <w:rPr>
          <w:i/>
        </w:rPr>
        <w:t>Sachwörterbuch der Literatur.</w:t>
      </w:r>
      <w:r w:rsidRPr="008A652C">
        <w:t xml:space="preserve"> </w:t>
      </w:r>
      <w:r w:rsidR="00190B89">
        <w:t xml:space="preserve">7., verb. und erw. Aufl. </w:t>
      </w:r>
      <w:r w:rsidR="00190B89" w:rsidRPr="00190B89">
        <w:t>Stuttgart: Kröner</w:t>
      </w:r>
      <w:r w:rsidRPr="00190B89">
        <w:t>.</w:t>
      </w:r>
    </w:p>
    <w:p w:rsidR="00724149" w:rsidRPr="00724149" w:rsidRDefault="00724149" w:rsidP="009F0669">
      <w:pPr>
        <w:pStyle w:val="Text"/>
        <w:ind w:left="454" w:hanging="454"/>
        <w:rPr>
          <w:lang w:val="en-US"/>
        </w:rPr>
      </w:pPr>
      <w:r w:rsidRPr="00724149">
        <w:rPr>
          <w:lang w:val="en-US"/>
        </w:rPr>
        <w:t xml:space="preserve">Wimsatt, William K. (1941), </w:t>
      </w:r>
      <w:r w:rsidRPr="00724149">
        <w:rPr>
          <w:i/>
          <w:lang w:val="en-US"/>
        </w:rPr>
        <w:t>The Prose Style of Samuel Johnson.</w:t>
      </w:r>
      <w:r w:rsidRPr="00724149">
        <w:rPr>
          <w:lang w:val="en-US"/>
        </w:rPr>
        <w:t xml:space="preserve"> </w:t>
      </w:r>
      <w:r>
        <w:rPr>
          <w:lang w:val="en-US"/>
        </w:rPr>
        <w:t>New Haven: Yale University Press.</w:t>
      </w:r>
    </w:p>
    <w:p w:rsidR="00807577" w:rsidRPr="00807577" w:rsidRDefault="00807577" w:rsidP="009F0669">
      <w:pPr>
        <w:pStyle w:val="Text"/>
        <w:ind w:left="454" w:hanging="454"/>
      </w:pPr>
      <w:r w:rsidRPr="00BC548F">
        <w:rPr>
          <w:lang w:val="en-US"/>
        </w:rPr>
        <w:t>Wimsatt, W</w:t>
      </w:r>
      <w:r w:rsidR="00DE7926">
        <w:rPr>
          <w:lang w:val="en-US"/>
        </w:rPr>
        <w:t>illiam</w:t>
      </w:r>
      <w:r w:rsidRPr="00BC548F">
        <w:rPr>
          <w:lang w:val="en-US"/>
        </w:rPr>
        <w:t xml:space="preserve"> K. (1967), „Style as Meaning“. In: Seymour Chatman und Samuel R. Levin (</w:t>
      </w:r>
      <w:r w:rsidRPr="00807577">
        <w:rPr>
          <w:lang w:val="en-US"/>
        </w:rPr>
        <w:t xml:space="preserve">Hg.), </w:t>
      </w:r>
      <w:r w:rsidRPr="00807577">
        <w:rPr>
          <w:i/>
          <w:lang w:val="en-US"/>
        </w:rPr>
        <w:t>Essays on the Language of Literature.</w:t>
      </w:r>
      <w:r w:rsidRPr="00807577">
        <w:rPr>
          <w:lang w:val="en-US"/>
        </w:rPr>
        <w:t xml:space="preserve"> </w:t>
      </w:r>
      <w:r w:rsidRPr="00807577">
        <w:t xml:space="preserve">Boston: </w:t>
      </w:r>
      <w:r w:rsidR="00DE7926">
        <w:t>Houghton.</w:t>
      </w:r>
      <w:r w:rsidR="00DE7926" w:rsidRPr="00807577">
        <w:t xml:space="preserve"> </w:t>
      </w:r>
      <w:r w:rsidRPr="00807577">
        <w:t>362-373.</w:t>
      </w:r>
    </w:p>
    <w:p w:rsidR="00CF1BFC" w:rsidRPr="009D549F" w:rsidRDefault="00CF1BFC" w:rsidP="009F0669">
      <w:pPr>
        <w:pStyle w:val="Text"/>
        <w:ind w:left="454" w:hanging="454"/>
        <w:rPr>
          <w:lang w:val="en-US"/>
        </w:rPr>
      </w:pPr>
      <w:r w:rsidRPr="00CF1BFC">
        <w:t xml:space="preserve">Winckelmann, Johann Joachim (1764), </w:t>
      </w:r>
      <w:r w:rsidRPr="00CF1BFC">
        <w:rPr>
          <w:i/>
        </w:rPr>
        <w:t>Geschichte der Kunst des Altertums.</w:t>
      </w:r>
      <w:r>
        <w:t xml:space="preserve"> </w:t>
      </w:r>
      <w:r w:rsidR="00BB5A0D" w:rsidRPr="009D549F">
        <w:rPr>
          <w:lang w:val="en-US"/>
        </w:rPr>
        <w:t>Dre</w:t>
      </w:r>
      <w:r w:rsidR="00BB5A0D" w:rsidRPr="009D549F">
        <w:rPr>
          <w:lang w:val="en-US"/>
        </w:rPr>
        <w:t>s</w:t>
      </w:r>
      <w:r w:rsidR="00BB5A0D" w:rsidRPr="009D549F">
        <w:rPr>
          <w:lang w:val="en-US"/>
        </w:rPr>
        <w:t>den</w:t>
      </w:r>
      <w:r w:rsidRPr="009D549F">
        <w:rPr>
          <w:lang w:val="en-US"/>
        </w:rPr>
        <w:t xml:space="preserve">: </w:t>
      </w:r>
      <w:r w:rsidR="00C14C76" w:rsidRPr="009D549F">
        <w:rPr>
          <w:lang w:val="en-US"/>
        </w:rPr>
        <w:t>Waltherische Hof-Buchhandlung</w:t>
      </w:r>
      <w:r w:rsidRPr="009D549F">
        <w:rPr>
          <w:lang w:val="en-US"/>
        </w:rPr>
        <w:t>.</w:t>
      </w:r>
    </w:p>
    <w:p w:rsidR="00DD0A69" w:rsidRPr="00A64A9C" w:rsidRDefault="00DD0A69" w:rsidP="009F0669">
      <w:pPr>
        <w:pStyle w:val="Text"/>
        <w:ind w:left="454" w:hanging="454"/>
        <w:rPr>
          <w:lang w:val="en-US"/>
        </w:rPr>
      </w:pPr>
      <w:r w:rsidRPr="009D549F">
        <w:rPr>
          <w:lang w:val="en-US"/>
        </w:rPr>
        <w:t xml:space="preserve">Winner, Thomas </w:t>
      </w:r>
      <w:r w:rsidRPr="0059632E">
        <w:rPr>
          <w:lang w:val="en-US"/>
        </w:rPr>
        <w:t>G</w:t>
      </w:r>
      <w:r>
        <w:rPr>
          <w:lang w:val="en-US"/>
        </w:rPr>
        <w:t xml:space="preserve">. (1998), </w:t>
      </w:r>
      <w:r w:rsidRPr="00162BAD">
        <w:rPr>
          <w:lang w:val="en-US"/>
        </w:rPr>
        <w:t>„</w:t>
      </w:r>
      <w:r>
        <w:rPr>
          <w:lang w:val="en-US"/>
        </w:rPr>
        <w:t>Prague Functionalism</w:t>
      </w:r>
      <w:r w:rsidRPr="00162BAD">
        <w:rPr>
          <w:lang w:val="en-US"/>
        </w:rPr>
        <w:t>“</w:t>
      </w:r>
      <w:r>
        <w:rPr>
          <w:lang w:val="en-US"/>
        </w:rPr>
        <w:t xml:space="preserve">. </w:t>
      </w:r>
      <w:r w:rsidRPr="00A64A9C">
        <w:rPr>
          <w:lang w:val="en-US"/>
        </w:rPr>
        <w:t>In: Posner u.a. 1997–2004, Bd. 2: 2248-2255.</w:t>
      </w:r>
    </w:p>
    <w:p w:rsidR="00882D20" w:rsidRDefault="00882D20" w:rsidP="009F0669">
      <w:pPr>
        <w:pStyle w:val="Text"/>
        <w:ind w:left="454" w:hanging="454"/>
      </w:pPr>
      <w:r w:rsidRPr="00882D20">
        <w:rPr>
          <w:lang w:val="en-US"/>
        </w:rPr>
        <w:t xml:space="preserve">Winter, Werner (1964), </w:t>
      </w:r>
      <w:r w:rsidR="00457209" w:rsidRPr="00162BAD">
        <w:rPr>
          <w:lang w:val="en-US"/>
        </w:rPr>
        <w:t>„</w:t>
      </w:r>
      <w:r w:rsidRPr="00882D20">
        <w:rPr>
          <w:lang w:val="en-US"/>
        </w:rPr>
        <w:t>Styles as Dialects</w:t>
      </w:r>
      <w:r w:rsidR="00457209" w:rsidRPr="00162BAD">
        <w:rPr>
          <w:lang w:val="en-US"/>
        </w:rPr>
        <w:t>“</w:t>
      </w:r>
      <w:r w:rsidRPr="00882D20">
        <w:rPr>
          <w:lang w:val="en-US"/>
        </w:rPr>
        <w:t xml:space="preserve">. </w:t>
      </w:r>
      <w:r w:rsidRPr="00304B4B">
        <w:rPr>
          <w:lang w:val="en-US"/>
        </w:rPr>
        <w:t xml:space="preserve">In: </w:t>
      </w:r>
      <w:r w:rsidR="0035624D">
        <w:rPr>
          <w:lang w:val="en-US"/>
        </w:rPr>
        <w:t xml:space="preserve">Horace G. Lunt (Hg.), </w:t>
      </w:r>
      <w:r w:rsidRPr="00304B4B">
        <w:rPr>
          <w:i/>
          <w:lang w:val="en-US"/>
        </w:rPr>
        <w:t>Procee</w:t>
      </w:r>
      <w:r w:rsidRPr="00304B4B">
        <w:rPr>
          <w:i/>
          <w:lang w:val="en-US"/>
        </w:rPr>
        <w:t>d</w:t>
      </w:r>
      <w:r w:rsidRPr="00304B4B">
        <w:rPr>
          <w:i/>
          <w:lang w:val="en-US"/>
        </w:rPr>
        <w:t>ings of the 9</w:t>
      </w:r>
      <w:r w:rsidR="0035624D" w:rsidRPr="0035624D">
        <w:rPr>
          <w:i/>
          <w:vertAlign w:val="superscript"/>
          <w:lang w:val="en-US"/>
        </w:rPr>
        <w:t>th</w:t>
      </w:r>
      <w:r w:rsidR="0035624D">
        <w:rPr>
          <w:i/>
          <w:lang w:val="en-US"/>
        </w:rPr>
        <w:t xml:space="preserve"> </w:t>
      </w:r>
      <w:r w:rsidRPr="00304B4B">
        <w:rPr>
          <w:i/>
          <w:lang w:val="en-US"/>
        </w:rPr>
        <w:t>International Congress of Linguists, Cambridge, MA,</w:t>
      </w:r>
      <w:r w:rsidRPr="0035624D">
        <w:rPr>
          <w:i/>
          <w:lang w:val="en-US"/>
        </w:rPr>
        <w:t xml:space="preserve"> </w:t>
      </w:r>
      <w:r w:rsidR="0035624D" w:rsidRPr="0035624D">
        <w:rPr>
          <w:i/>
          <w:lang w:val="en-US"/>
        </w:rPr>
        <w:t>August 27-31, 1962</w:t>
      </w:r>
      <w:r w:rsidRPr="0035624D">
        <w:rPr>
          <w:i/>
          <w:lang w:val="en-US"/>
        </w:rPr>
        <w:t>.</w:t>
      </w:r>
      <w:r w:rsidRPr="00304B4B">
        <w:rPr>
          <w:lang w:val="en-US"/>
        </w:rPr>
        <w:t xml:space="preserve"> </w:t>
      </w:r>
      <w:r w:rsidR="002B08F7">
        <w:t>Den Haag u.a.: Mouton</w:t>
      </w:r>
      <w:r w:rsidR="00457209" w:rsidRPr="00457209">
        <w:t>.</w:t>
      </w:r>
      <w:r w:rsidR="0035624D" w:rsidRPr="0035624D">
        <w:t xml:space="preserve"> </w:t>
      </w:r>
      <w:r w:rsidR="0035624D">
        <w:t>324-330.</w:t>
      </w:r>
    </w:p>
    <w:p w:rsidR="0008357D" w:rsidRDefault="0008357D" w:rsidP="009F0669">
      <w:pPr>
        <w:pStyle w:val="Text"/>
        <w:ind w:left="454" w:hanging="454"/>
      </w:pPr>
      <w:r>
        <w:t xml:space="preserve">Wittgenstein, Ludwig (1953), </w:t>
      </w:r>
      <w:r w:rsidR="00C8329F" w:rsidRPr="00C8329F">
        <w:rPr>
          <w:i/>
        </w:rPr>
        <w:t xml:space="preserve">Philosophical </w:t>
      </w:r>
      <w:r w:rsidR="001B3D18">
        <w:rPr>
          <w:i/>
        </w:rPr>
        <w:t>I</w:t>
      </w:r>
      <w:r w:rsidR="00C8329F" w:rsidRPr="00C8329F">
        <w:rPr>
          <w:i/>
        </w:rPr>
        <w:t>nvestigations</w:t>
      </w:r>
      <w:r w:rsidRPr="00C8329F">
        <w:rPr>
          <w:i/>
        </w:rPr>
        <w:t>.</w:t>
      </w:r>
      <w:r>
        <w:t xml:space="preserve"> Oxford: Blackwell.</w:t>
      </w:r>
    </w:p>
    <w:p w:rsidR="00CF1BFC" w:rsidRDefault="00CF1BFC" w:rsidP="009F0669">
      <w:pPr>
        <w:pStyle w:val="Text"/>
        <w:ind w:left="454" w:hanging="454"/>
      </w:pPr>
      <w:r>
        <w:t xml:space="preserve">Wölfflin, Heinrich (1888), </w:t>
      </w:r>
      <w:r w:rsidRPr="00CF1BFC">
        <w:rPr>
          <w:i/>
        </w:rPr>
        <w:t>Renaissance und B</w:t>
      </w:r>
      <w:r>
        <w:rPr>
          <w:i/>
        </w:rPr>
        <w:t>arock. E</w:t>
      </w:r>
      <w:r w:rsidRPr="00CF1BFC">
        <w:rPr>
          <w:i/>
        </w:rPr>
        <w:t>ine Untersuchung über</w:t>
      </w:r>
      <w:r w:rsidR="00BB5A0D">
        <w:rPr>
          <w:i/>
        </w:rPr>
        <w:t xml:space="preserve"> </w:t>
      </w:r>
      <w:r w:rsidRPr="00CF1BFC">
        <w:rPr>
          <w:i/>
        </w:rPr>
        <w:t>W</w:t>
      </w:r>
      <w:r w:rsidRPr="00CF1BFC">
        <w:rPr>
          <w:i/>
        </w:rPr>
        <w:t>e</w:t>
      </w:r>
      <w:r w:rsidRPr="00CF1BFC">
        <w:rPr>
          <w:i/>
        </w:rPr>
        <w:t>sen und Entstehung des Barockstils in Italien.</w:t>
      </w:r>
      <w:r w:rsidR="00BB5A0D">
        <w:t xml:space="preserve"> München: Ackermann</w:t>
      </w:r>
      <w:r>
        <w:t>.</w:t>
      </w:r>
    </w:p>
    <w:p w:rsidR="00CF1BFC" w:rsidRDefault="00CF1BFC" w:rsidP="009F0669">
      <w:pPr>
        <w:pStyle w:val="Text"/>
        <w:ind w:left="454" w:hanging="454"/>
      </w:pPr>
      <w:r>
        <w:t xml:space="preserve">Wölfflin, Heinrich (1912), „Zum Problem des Stils in der bildenden Kunst“. </w:t>
      </w:r>
      <w:r w:rsidRPr="00CF1BFC">
        <w:rPr>
          <w:i/>
        </w:rPr>
        <w:t>Sitzungsberichte der Kgl. Preußischen Akademie der Wissenschaften</w:t>
      </w:r>
      <w:r w:rsidRPr="006939D8">
        <w:t xml:space="preserve"> 31:</w:t>
      </w:r>
      <w:r w:rsidR="00BB5A0D" w:rsidRPr="006939D8">
        <w:t xml:space="preserve"> </w:t>
      </w:r>
      <w:r w:rsidR="00BB5A0D">
        <w:t>572-578</w:t>
      </w:r>
      <w:r>
        <w:t>.</w:t>
      </w:r>
    </w:p>
    <w:p w:rsidR="00CF1BFC" w:rsidRDefault="00CF1BFC" w:rsidP="009F0669">
      <w:pPr>
        <w:pStyle w:val="Text"/>
        <w:ind w:left="454" w:hanging="454"/>
      </w:pPr>
      <w:r>
        <w:t xml:space="preserve">Wölflin, Heinrich (1915), </w:t>
      </w:r>
      <w:r w:rsidRPr="00CF1BFC">
        <w:rPr>
          <w:i/>
        </w:rPr>
        <w:t>Kunstgeschichtliche Grundbegriffe. Das Problem der Stilentwicklung in der neueren Kunst.</w:t>
      </w:r>
      <w:r w:rsidR="00BB5A0D">
        <w:t xml:space="preserve"> München: Bruckmann</w:t>
      </w:r>
      <w:r>
        <w:t>.</w:t>
      </w:r>
    </w:p>
    <w:p w:rsidR="00440AD3" w:rsidRPr="001C3A64" w:rsidRDefault="00440AD3" w:rsidP="009F0669">
      <w:pPr>
        <w:pStyle w:val="Text"/>
        <w:ind w:left="454" w:hanging="454"/>
      </w:pPr>
      <w:r>
        <w:t xml:space="preserve">Wolf, Norbert Richard (1989), „Erfahrungen mit Individualstil oder Stilistik im Strafprozess“. In: Klaus Matzel und Hans-Gert Roloff (Hg.), </w:t>
      </w:r>
      <w:r w:rsidRPr="00440AD3">
        <w:rPr>
          <w:i/>
        </w:rPr>
        <w:t>Festschrift für Herbert Kolb.</w:t>
      </w:r>
      <w:r>
        <w:t xml:space="preserve"> </w:t>
      </w:r>
      <w:r w:rsidRPr="001C3A64">
        <w:t xml:space="preserve">Bern u.a.: </w:t>
      </w:r>
      <w:r w:rsidR="00DE7926" w:rsidRPr="001C3A64">
        <w:t>Lang</w:t>
      </w:r>
      <w:r w:rsidRPr="001C3A64">
        <w:t>. 781-789.</w:t>
      </w:r>
    </w:p>
    <w:p w:rsidR="00DE39B4" w:rsidRPr="001C3A64" w:rsidRDefault="00DE39B4" w:rsidP="009F0669">
      <w:pPr>
        <w:pStyle w:val="Text"/>
        <w:ind w:left="454" w:hanging="454"/>
        <w:rPr>
          <w:lang w:val="en-US"/>
        </w:rPr>
      </w:pPr>
      <w:r w:rsidRPr="00DE39B4">
        <w:t>Wundt, Wilhelm (19</w:t>
      </w:r>
      <w:r w:rsidR="002A2265">
        <w:t>00–1920</w:t>
      </w:r>
      <w:r w:rsidRPr="00DE39B4">
        <w:t xml:space="preserve">), </w:t>
      </w:r>
      <w:r>
        <w:rPr>
          <w:i/>
          <w:iCs/>
        </w:rPr>
        <w:t xml:space="preserve">Völkerpsychologie. </w:t>
      </w:r>
      <w:r w:rsidR="002A2265">
        <w:rPr>
          <w:i/>
          <w:iCs/>
        </w:rPr>
        <w:t>Eine Untersuchung der En</w:t>
      </w:r>
      <w:r w:rsidR="002A2265">
        <w:rPr>
          <w:i/>
          <w:iCs/>
        </w:rPr>
        <w:t>t</w:t>
      </w:r>
      <w:r w:rsidR="002A2265">
        <w:rPr>
          <w:i/>
          <w:iCs/>
        </w:rPr>
        <w:t xml:space="preserve">wicklungsgesetze von Sprache, Mythus und Sitte. </w:t>
      </w:r>
      <w:r w:rsidR="002A2265" w:rsidRPr="001C3A64">
        <w:rPr>
          <w:iCs/>
          <w:lang w:val="en-US"/>
        </w:rPr>
        <w:t xml:space="preserve">10 Bde. </w:t>
      </w:r>
      <w:r w:rsidRPr="001C3A64">
        <w:rPr>
          <w:lang w:val="en-US"/>
        </w:rPr>
        <w:t xml:space="preserve">Leipzig: </w:t>
      </w:r>
      <w:r w:rsidR="002A2265" w:rsidRPr="001C3A64">
        <w:rPr>
          <w:lang w:val="en-US"/>
        </w:rPr>
        <w:t>Engelmann</w:t>
      </w:r>
      <w:r w:rsidRPr="001C3A64">
        <w:rPr>
          <w:lang w:val="en-US"/>
        </w:rPr>
        <w:t>.</w:t>
      </w:r>
    </w:p>
    <w:p w:rsidR="0017501B" w:rsidRPr="00A64A9C" w:rsidRDefault="0017501B" w:rsidP="009F0669">
      <w:pPr>
        <w:pStyle w:val="Text"/>
        <w:ind w:left="454" w:hanging="454"/>
        <w:rPr>
          <w:lang w:val="en-US"/>
        </w:rPr>
      </w:pPr>
      <w:r w:rsidRPr="00624D13">
        <w:rPr>
          <w:lang w:val="en-US"/>
        </w:rPr>
        <w:t xml:space="preserve">Zeki, Semir (1999), </w:t>
      </w:r>
      <w:r w:rsidR="00624D13" w:rsidRPr="00A826D1">
        <w:rPr>
          <w:i/>
          <w:lang w:val="en-US"/>
        </w:rPr>
        <w:t>Inner Vision.</w:t>
      </w:r>
      <w:r w:rsidRPr="00624D13">
        <w:rPr>
          <w:i/>
          <w:lang w:val="en-US"/>
        </w:rPr>
        <w:t xml:space="preserve"> An Exploration of Art and the Brain.</w:t>
      </w:r>
      <w:r w:rsidRPr="00624D13">
        <w:rPr>
          <w:lang w:val="en-US"/>
        </w:rPr>
        <w:t xml:space="preserve"> </w:t>
      </w:r>
      <w:r w:rsidRPr="00A64A9C">
        <w:rPr>
          <w:lang w:val="en-US"/>
        </w:rPr>
        <w:t>Oxford: Oxford University Press.</w:t>
      </w:r>
    </w:p>
    <w:p w:rsidR="007D0831" w:rsidRDefault="007D0831" w:rsidP="009F0669">
      <w:pPr>
        <w:pStyle w:val="Text"/>
        <w:ind w:left="454" w:hanging="454"/>
      </w:pPr>
      <w:r>
        <w:t xml:space="preserve">Ziegler, Rolf (1972), </w:t>
      </w:r>
      <w:r w:rsidRPr="007D0831">
        <w:rPr>
          <w:i/>
        </w:rPr>
        <w:t>Theorie und Modell. Der Beitrag der Formalisierung zur soziologischen Theorienbildung.</w:t>
      </w:r>
      <w:r>
        <w:t xml:space="preserve"> München u.a.: Oldenbourg.</w:t>
      </w:r>
    </w:p>
    <w:p w:rsidR="00EA4CA6" w:rsidRPr="00457209" w:rsidRDefault="00EA4CA6" w:rsidP="009F0669">
      <w:pPr>
        <w:pStyle w:val="Text"/>
        <w:ind w:left="454" w:hanging="454"/>
      </w:pPr>
      <w:r>
        <w:t>Zinserling, Gerhard (1984), „Stilwenden in der Antike. Auftraggeber und Stil“. In: Friedrich</w:t>
      </w:r>
      <w:r w:rsidR="00B25856">
        <w:t xml:space="preserve"> Möbius </w:t>
      </w:r>
      <w:r>
        <w:t xml:space="preserve">(Hg.), </w:t>
      </w:r>
      <w:r w:rsidRPr="00EA4CA6">
        <w:rPr>
          <w:i/>
        </w:rPr>
        <w:t>Stil und Gesellschaft. Ein Problemaufriss.</w:t>
      </w:r>
      <w:r>
        <w:t xml:space="preserve"> Dre</w:t>
      </w:r>
      <w:r>
        <w:t>s</w:t>
      </w:r>
      <w:r>
        <w:t>den: VEB Verlag der Kunst. 106-122.</w:t>
      </w:r>
    </w:p>
    <w:p w:rsidR="00635D5D" w:rsidRDefault="00EF0EC9" w:rsidP="009F0669">
      <w:pPr>
        <w:pStyle w:val="Text"/>
        <w:ind w:left="454" w:hanging="454"/>
      </w:pPr>
      <w:r w:rsidRPr="00457209">
        <w:t xml:space="preserve">Zuckmayer, Carl (1931), </w:t>
      </w:r>
      <w:r w:rsidRPr="00457209">
        <w:rPr>
          <w:i/>
        </w:rPr>
        <w:t>Der Hauptmann vo</w:t>
      </w:r>
      <w:r w:rsidRPr="00F8586A">
        <w:rPr>
          <w:i/>
        </w:rPr>
        <w:t xml:space="preserve">n Köpenick. </w:t>
      </w:r>
      <w:r w:rsidRPr="00F8586A">
        <w:rPr>
          <w:i/>
          <w:iCs/>
        </w:rPr>
        <w:t>Ein deutsches Märchen in drei Akten</w:t>
      </w:r>
      <w:r w:rsidRPr="00F8586A">
        <w:rPr>
          <w:i/>
        </w:rPr>
        <w:t xml:space="preserve">. </w:t>
      </w:r>
      <w:r>
        <w:t>Berlin: Propyläen.</w:t>
      </w:r>
    </w:p>
    <w:p w:rsidR="004707D1" w:rsidRDefault="000F2227" w:rsidP="000F2227">
      <w:pPr>
        <w:pStyle w:val="Text"/>
        <w:ind w:left="454" w:hanging="454"/>
      </w:pPr>
      <w:r>
        <w:lastRenderedPageBreak/>
        <w:t xml:space="preserve">Zwisler, Rainer (1997), „Axiomatisierung der bilinearen Modelle (Wille, 1994)“. Online unter: </w:t>
      </w:r>
      <w:r w:rsidRPr="00196332">
        <w:t>http://alphageek.de/scripts/bilinear/bilinear.html</w:t>
      </w:r>
      <w:r>
        <w:t>; Einsicht am 18.01.2012.</w:t>
      </w:r>
    </w:p>
    <w:p w:rsidR="007E0B04" w:rsidRDefault="007E0B04" w:rsidP="00214FB5">
      <w:pPr>
        <w:pStyle w:val="Text"/>
        <w:tabs>
          <w:tab w:val="clear" w:pos="567"/>
          <w:tab w:val="clear" w:pos="851"/>
          <w:tab w:val="clear" w:pos="1134"/>
          <w:tab w:val="clear" w:pos="1418"/>
          <w:tab w:val="left" w:pos="2835"/>
          <w:tab w:val="left" w:pos="7371"/>
        </w:tabs>
        <w:sectPr w:rsidR="007E0B04" w:rsidSect="007E0B04">
          <w:headerReference w:type="even" r:id="rId94"/>
          <w:headerReference w:type="default" r:id="rId95"/>
          <w:headerReference w:type="first" r:id="rId96"/>
          <w:pgSz w:w="8789" w:h="13325" w:code="9"/>
          <w:pgMar w:top="1134" w:right="851" w:bottom="1418" w:left="1134" w:header="567" w:footer="680" w:gutter="0"/>
          <w:cols w:space="720"/>
          <w:titlePg/>
          <w:docGrid w:linePitch="360"/>
        </w:sectPr>
      </w:pPr>
    </w:p>
    <w:p w:rsidR="00214FB5" w:rsidRPr="0033744E" w:rsidRDefault="00214FB5" w:rsidP="00214FB5">
      <w:pPr>
        <w:pStyle w:val="TitelohneNummer"/>
        <w:rPr>
          <w:lang w:val="en-US"/>
        </w:rPr>
      </w:pPr>
      <w:bookmarkStart w:id="537" w:name="_Toc325456844"/>
      <w:r w:rsidRPr="0033744E">
        <w:rPr>
          <w:lang w:val="en-US"/>
        </w:rPr>
        <w:lastRenderedPageBreak/>
        <w:t>Index</w:t>
      </w:r>
      <w:bookmarkEnd w:id="537"/>
    </w:p>
    <w:p w:rsidR="007344D7" w:rsidRDefault="005D7996" w:rsidP="00ED1557">
      <w:pPr>
        <w:pStyle w:val="Text"/>
        <w:rPr>
          <w:noProof/>
        </w:rPr>
        <w:sectPr w:rsidR="007344D7" w:rsidSect="007344D7">
          <w:headerReference w:type="even" r:id="rId97"/>
          <w:headerReference w:type="default" r:id="rId98"/>
          <w:pgSz w:w="8789" w:h="13325" w:code="9"/>
          <w:pgMar w:top="1134" w:right="851" w:bottom="1418" w:left="1134" w:header="567" w:footer="680" w:gutter="0"/>
          <w:cols w:space="720"/>
          <w:titlePg/>
          <w:docGrid w:linePitch="360"/>
        </w:sectPr>
      </w:pPr>
      <w:r>
        <w:fldChar w:fldCharType="begin"/>
      </w:r>
      <w:r w:rsidR="004707D1">
        <w:instrText xml:space="preserve"> INDEX \c "2" \z "1031" </w:instrText>
      </w:r>
      <w:r>
        <w:fldChar w:fldCharType="separate"/>
      </w:r>
    </w:p>
    <w:p w:rsidR="00DB1DF3" w:rsidRPr="00DB1DF3" w:rsidRDefault="00DB1DF3" w:rsidP="004A3B18">
      <w:pPr>
        <w:pStyle w:val="Index1"/>
        <w:keepNext/>
        <w:ind w:left="238" w:hanging="238"/>
        <w:jc w:val="center"/>
        <w:rPr>
          <w:b/>
          <w:noProof/>
        </w:rPr>
      </w:pPr>
      <w:r>
        <w:rPr>
          <w:b/>
          <w:noProof/>
        </w:rPr>
        <w:lastRenderedPageBreak/>
        <w:t>A</w:t>
      </w:r>
    </w:p>
    <w:p w:rsidR="00DB1DF3" w:rsidRDefault="00DB1DF3" w:rsidP="004A3B18">
      <w:pPr>
        <w:pStyle w:val="Index1"/>
        <w:keepNext/>
        <w:ind w:left="238" w:hanging="238"/>
        <w:rPr>
          <w:noProof/>
        </w:rPr>
      </w:pPr>
    </w:p>
    <w:p w:rsidR="007344D7" w:rsidRDefault="007344D7" w:rsidP="0029451B">
      <w:pPr>
        <w:pStyle w:val="Index1"/>
        <w:rPr>
          <w:noProof/>
        </w:rPr>
      </w:pPr>
      <w:r>
        <w:rPr>
          <w:noProof/>
        </w:rPr>
        <w:t>À la recherche du temps perdu (Roman)  399</w:t>
      </w:r>
    </w:p>
    <w:p w:rsidR="007344D7" w:rsidRDefault="007344D7" w:rsidP="0029451B">
      <w:pPr>
        <w:pStyle w:val="Index1"/>
        <w:rPr>
          <w:noProof/>
        </w:rPr>
      </w:pPr>
      <w:r>
        <w:rPr>
          <w:noProof/>
        </w:rPr>
        <w:t>À</w:t>
      </w:r>
      <w:r w:rsidRPr="0081017A">
        <w:rPr>
          <w:noProof/>
        </w:rPr>
        <w:t xml:space="preserve"> rebours (Roman)</w:t>
      </w:r>
      <w:r>
        <w:rPr>
          <w:noProof/>
        </w:rPr>
        <w:t xml:space="preserve">  399</w:t>
      </w:r>
    </w:p>
    <w:p w:rsidR="007344D7" w:rsidRDefault="007344D7" w:rsidP="0029451B">
      <w:pPr>
        <w:pStyle w:val="Index1"/>
        <w:rPr>
          <w:noProof/>
        </w:rPr>
      </w:pPr>
      <w:r>
        <w:rPr>
          <w:noProof/>
        </w:rPr>
        <w:t>Abagnale, Frank  435</w:t>
      </w:r>
    </w:p>
    <w:p w:rsidR="007344D7" w:rsidRDefault="007344D7" w:rsidP="0029451B">
      <w:pPr>
        <w:pStyle w:val="Index1"/>
        <w:rPr>
          <w:noProof/>
        </w:rPr>
      </w:pPr>
      <w:r>
        <w:rPr>
          <w:noProof/>
        </w:rPr>
        <w:t xml:space="preserve">Abduktion  239–41, 273–75, 344–46, </w:t>
      </w:r>
      <w:r w:rsidRPr="0081017A">
        <w:rPr>
          <w:i/>
          <w:noProof/>
        </w:rPr>
        <w:t>et passim</w:t>
      </w:r>
    </w:p>
    <w:p w:rsidR="007344D7" w:rsidRDefault="007344D7" w:rsidP="0029451B">
      <w:pPr>
        <w:pStyle w:val="Index1"/>
        <w:rPr>
          <w:noProof/>
        </w:rPr>
      </w:pPr>
      <w:r>
        <w:rPr>
          <w:noProof/>
        </w:rPr>
        <w:t>Absichtlichkeit von Stil  398–400</w:t>
      </w:r>
    </w:p>
    <w:p w:rsidR="007344D7" w:rsidRDefault="007344D7" w:rsidP="0029451B">
      <w:pPr>
        <w:pStyle w:val="Index1"/>
        <w:rPr>
          <w:noProof/>
        </w:rPr>
      </w:pPr>
      <w:r w:rsidRPr="0081017A">
        <w:rPr>
          <w:rFonts w:eastAsia="Times New Roman" w:cs="Times New Roman"/>
          <w:noProof/>
        </w:rPr>
        <w:t>Abweichungsstilistik</w:t>
      </w:r>
      <w:r>
        <w:rPr>
          <w:noProof/>
        </w:rPr>
        <w:t xml:space="preserve">  107, 113–</w:t>
      </w:r>
      <w:r w:rsidR="00AA1453">
        <w:rPr>
          <w:noProof/>
        </w:rPr>
        <w:t>1</w:t>
      </w:r>
      <w:r>
        <w:rPr>
          <w:noProof/>
        </w:rPr>
        <w:t>5, 153, 430</w:t>
      </w:r>
    </w:p>
    <w:p w:rsidR="007344D7" w:rsidRDefault="007344D7" w:rsidP="0029451B">
      <w:pPr>
        <w:pStyle w:val="Index1"/>
        <w:rPr>
          <w:noProof/>
        </w:rPr>
      </w:pPr>
      <w:r>
        <w:rPr>
          <w:noProof/>
        </w:rPr>
        <w:t>Achse der Kombination  119, 170</w:t>
      </w:r>
    </w:p>
    <w:p w:rsidR="007344D7" w:rsidRDefault="007344D7" w:rsidP="0029451B">
      <w:pPr>
        <w:pStyle w:val="Index1"/>
        <w:rPr>
          <w:noProof/>
        </w:rPr>
      </w:pPr>
      <w:r>
        <w:rPr>
          <w:noProof/>
        </w:rPr>
        <w:t>Achse der Selektion  119, 170</w:t>
      </w:r>
    </w:p>
    <w:p w:rsidR="007344D7" w:rsidRDefault="007344D7" w:rsidP="0029451B">
      <w:pPr>
        <w:pStyle w:val="Index1"/>
        <w:rPr>
          <w:noProof/>
        </w:rPr>
      </w:pPr>
      <w:r>
        <w:rPr>
          <w:noProof/>
        </w:rPr>
        <w:t>Adorno, Theodor  429</w:t>
      </w:r>
    </w:p>
    <w:p w:rsidR="007344D7" w:rsidRDefault="007344D7" w:rsidP="0029451B">
      <w:pPr>
        <w:pStyle w:val="Index1"/>
        <w:rPr>
          <w:noProof/>
        </w:rPr>
      </w:pPr>
      <w:r>
        <w:rPr>
          <w:noProof/>
        </w:rPr>
        <w:t>ägyptische Malerei  329–31</w:t>
      </w:r>
    </w:p>
    <w:p w:rsidR="007344D7" w:rsidRDefault="007344D7" w:rsidP="0029451B">
      <w:pPr>
        <w:pStyle w:val="Index1"/>
        <w:rPr>
          <w:noProof/>
        </w:rPr>
      </w:pPr>
      <w:r>
        <w:rPr>
          <w:noProof/>
        </w:rPr>
        <w:t>Algorithmus  33, 134, 162, 175</w:t>
      </w:r>
      <w:r w:rsidR="00AA1453">
        <w:rPr>
          <w:noProof/>
        </w:rPr>
        <w:t>–7</w:t>
      </w:r>
      <w:r>
        <w:rPr>
          <w:noProof/>
        </w:rPr>
        <w:t>6, 195, 206, 244, 343, 454, 456</w:t>
      </w:r>
      <w:r w:rsidR="00AA1453">
        <w:rPr>
          <w:noProof/>
        </w:rPr>
        <w:t>–5</w:t>
      </w:r>
      <w:r>
        <w:rPr>
          <w:noProof/>
        </w:rPr>
        <w:t>7</w:t>
      </w:r>
    </w:p>
    <w:p w:rsidR="007344D7" w:rsidRDefault="007344D7" w:rsidP="0029451B">
      <w:pPr>
        <w:pStyle w:val="Index1"/>
        <w:rPr>
          <w:noProof/>
        </w:rPr>
      </w:pPr>
      <w:r>
        <w:rPr>
          <w:noProof/>
        </w:rPr>
        <w:t>Allerheiligenkapelle (Regensburg)  299–305</w:t>
      </w:r>
    </w:p>
    <w:p w:rsidR="007344D7" w:rsidRDefault="007344D7" w:rsidP="0029451B">
      <w:pPr>
        <w:pStyle w:val="Index1"/>
        <w:rPr>
          <w:noProof/>
        </w:rPr>
      </w:pPr>
      <w:r>
        <w:rPr>
          <w:noProof/>
        </w:rPr>
        <w:t xml:space="preserve">Alternativenbedingungen  54–59, 150–51, </w:t>
      </w:r>
      <w:r w:rsidRPr="0081017A">
        <w:rPr>
          <w:rFonts w:cstheme="minorHAnsi"/>
          <w:i/>
          <w:noProof/>
        </w:rPr>
        <w:t>et passim</w:t>
      </w:r>
    </w:p>
    <w:p w:rsidR="007344D7" w:rsidRDefault="007344D7">
      <w:pPr>
        <w:pStyle w:val="Index2"/>
        <w:tabs>
          <w:tab w:val="right" w:pos="3032"/>
        </w:tabs>
        <w:rPr>
          <w:noProof/>
        </w:rPr>
      </w:pPr>
      <w:r w:rsidRPr="0081017A">
        <w:rPr>
          <w:i/>
          <w:noProof/>
        </w:rPr>
        <w:t>Definition</w:t>
      </w:r>
      <w:r>
        <w:rPr>
          <w:noProof/>
        </w:rPr>
        <w:t xml:space="preserve">  160</w:t>
      </w:r>
    </w:p>
    <w:p w:rsidR="007344D7" w:rsidRDefault="007344D7" w:rsidP="0029451B">
      <w:pPr>
        <w:pStyle w:val="Index1"/>
        <w:rPr>
          <w:noProof/>
        </w:rPr>
      </w:pPr>
      <w:r>
        <w:rPr>
          <w:noProof/>
        </w:rPr>
        <w:t xml:space="preserve">Alternativenklasse  52–54, 159–61, </w:t>
      </w:r>
      <w:r w:rsidRPr="0081017A">
        <w:rPr>
          <w:rFonts w:cstheme="minorHAnsi"/>
          <w:i/>
          <w:noProof/>
        </w:rPr>
        <w:t>et passim</w:t>
      </w:r>
    </w:p>
    <w:p w:rsidR="007344D7" w:rsidRDefault="007344D7">
      <w:pPr>
        <w:pStyle w:val="Index2"/>
        <w:tabs>
          <w:tab w:val="right" w:pos="3032"/>
        </w:tabs>
        <w:rPr>
          <w:noProof/>
        </w:rPr>
      </w:pPr>
      <w:r w:rsidRPr="0081017A">
        <w:rPr>
          <w:i/>
          <w:noProof/>
        </w:rPr>
        <w:t>Definition</w:t>
      </w:r>
      <w:r>
        <w:rPr>
          <w:noProof/>
        </w:rPr>
        <w:t xml:space="preserve">  159</w:t>
      </w:r>
    </w:p>
    <w:p w:rsidR="007344D7" w:rsidRDefault="007344D7" w:rsidP="0029451B">
      <w:pPr>
        <w:pStyle w:val="Index1"/>
        <w:rPr>
          <w:noProof/>
        </w:rPr>
      </w:pPr>
      <w:r w:rsidRPr="0081017A">
        <w:rPr>
          <w:noProof/>
        </w:rPr>
        <w:t>American Psycho (Roman)</w:t>
      </w:r>
      <w:r>
        <w:rPr>
          <w:noProof/>
        </w:rPr>
        <w:t xml:space="preserve">  295–98</w:t>
      </w:r>
    </w:p>
    <w:p w:rsidR="007344D7" w:rsidRDefault="007344D7" w:rsidP="0029451B">
      <w:pPr>
        <w:pStyle w:val="Index1"/>
        <w:rPr>
          <w:noProof/>
        </w:rPr>
      </w:pPr>
      <w:r>
        <w:rPr>
          <w:noProof/>
        </w:rPr>
        <w:t>Anführungszeichen (Verwendungsweise)  23, 242</w:t>
      </w:r>
      <w:r w:rsidR="00AA1453">
        <w:rPr>
          <w:noProof/>
        </w:rPr>
        <w:t>–4</w:t>
      </w:r>
      <w:r>
        <w:rPr>
          <w:noProof/>
        </w:rPr>
        <w:t>4, 249</w:t>
      </w:r>
      <w:r w:rsidR="00AA1453">
        <w:rPr>
          <w:noProof/>
        </w:rPr>
        <w:t>–</w:t>
      </w:r>
      <w:r>
        <w:rPr>
          <w:noProof/>
        </w:rPr>
        <w:t>50, 281, 283, 340, 358</w:t>
      </w:r>
      <w:r w:rsidR="00AA1453">
        <w:rPr>
          <w:noProof/>
        </w:rPr>
        <w:t>–</w:t>
      </w:r>
      <w:r>
        <w:rPr>
          <w:noProof/>
        </w:rPr>
        <w:t>60, 364</w:t>
      </w:r>
    </w:p>
    <w:p w:rsidR="007344D7" w:rsidRDefault="007344D7">
      <w:pPr>
        <w:pStyle w:val="Index2"/>
        <w:tabs>
          <w:tab w:val="right" w:pos="3032"/>
        </w:tabs>
        <w:rPr>
          <w:noProof/>
        </w:rPr>
      </w:pPr>
      <w:r>
        <w:rPr>
          <w:noProof/>
        </w:rPr>
        <w:t>Konvention in der Semiotik  23</w:t>
      </w:r>
    </w:p>
    <w:p w:rsidR="007344D7" w:rsidRDefault="007344D7" w:rsidP="0029451B">
      <w:pPr>
        <w:pStyle w:val="Index1"/>
        <w:rPr>
          <w:noProof/>
        </w:rPr>
      </w:pPr>
      <w:r>
        <w:rPr>
          <w:noProof/>
        </w:rPr>
        <w:t>Anordnung von Alternativenklassen  80, 143, 162, 169, 173</w:t>
      </w:r>
      <w:r w:rsidR="00AA1453">
        <w:rPr>
          <w:noProof/>
        </w:rPr>
        <w:t>–</w:t>
      </w:r>
      <w:r w:rsidR="00E71E96">
        <w:rPr>
          <w:noProof/>
        </w:rPr>
        <w:t>7</w:t>
      </w:r>
      <w:r>
        <w:rPr>
          <w:noProof/>
        </w:rPr>
        <w:t>4, 177, 181, 183, 188</w:t>
      </w:r>
    </w:p>
    <w:p w:rsidR="007344D7" w:rsidRDefault="007344D7" w:rsidP="0029451B">
      <w:pPr>
        <w:pStyle w:val="Index1"/>
        <w:rPr>
          <w:noProof/>
        </w:rPr>
      </w:pPr>
      <w:r>
        <w:rPr>
          <w:noProof/>
        </w:rPr>
        <w:t xml:space="preserve">Anwenden eines Stils  97–98, </w:t>
      </w:r>
      <w:r w:rsidRPr="0081017A">
        <w:rPr>
          <w:i/>
          <w:noProof/>
        </w:rPr>
        <w:t>et passim</w:t>
      </w:r>
    </w:p>
    <w:p w:rsidR="007344D7" w:rsidRDefault="007344D7">
      <w:pPr>
        <w:pStyle w:val="Index2"/>
        <w:tabs>
          <w:tab w:val="right" w:pos="3032"/>
        </w:tabs>
        <w:rPr>
          <w:noProof/>
        </w:rPr>
      </w:pPr>
      <w:r w:rsidRPr="0081017A">
        <w:rPr>
          <w:i/>
          <w:noProof/>
        </w:rPr>
        <w:lastRenderedPageBreak/>
        <w:t>Abbildung</w:t>
      </w:r>
      <w:r>
        <w:rPr>
          <w:noProof/>
        </w:rPr>
        <w:t xml:space="preserve">  91</w:t>
      </w:r>
    </w:p>
    <w:p w:rsidR="007344D7" w:rsidRDefault="007344D7">
      <w:pPr>
        <w:pStyle w:val="Index2"/>
        <w:tabs>
          <w:tab w:val="right" w:pos="3032"/>
        </w:tabs>
        <w:rPr>
          <w:noProof/>
        </w:rPr>
      </w:pPr>
      <w:r w:rsidRPr="0081017A">
        <w:rPr>
          <w:i/>
          <w:noProof/>
        </w:rPr>
        <w:t>Definition</w:t>
      </w:r>
      <w:r>
        <w:rPr>
          <w:noProof/>
        </w:rPr>
        <w:t xml:space="preserve">  97</w:t>
      </w:r>
    </w:p>
    <w:p w:rsidR="007344D7" w:rsidRDefault="007344D7">
      <w:pPr>
        <w:pStyle w:val="Index2"/>
        <w:tabs>
          <w:tab w:val="right" w:pos="3032"/>
        </w:tabs>
        <w:rPr>
          <w:noProof/>
        </w:rPr>
      </w:pPr>
      <w:r w:rsidRPr="0081017A">
        <w:rPr>
          <w:i/>
          <w:noProof/>
        </w:rPr>
        <w:t>Funktion</w:t>
      </w:r>
      <w:r>
        <w:rPr>
          <w:noProof/>
        </w:rPr>
        <w:t xml:space="preserve">  367–72</w:t>
      </w:r>
    </w:p>
    <w:p w:rsidR="007344D7" w:rsidRDefault="007344D7" w:rsidP="0029451B">
      <w:pPr>
        <w:pStyle w:val="Index1"/>
        <w:rPr>
          <w:noProof/>
        </w:rPr>
      </w:pPr>
      <w:r>
        <w:rPr>
          <w:noProof/>
        </w:rPr>
        <w:t>Anwenderstil  372, 380–83, 447</w:t>
      </w:r>
    </w:p>
    <w:p w:rsidR="007344D7" w:rsidRDefault="007344D7">
      <w:pPr>
        <w:pStyle w:val="Index2"/>
        <w:tabs>
          <w:tab w:val="right" w:pos="3032"/>
        </w:tabs>
        <w:rPr>
          <w:noProof/>
        </w:rPr>
      </w:pPr>
      <w:r>
        <w:rPr>
          <w:noProof/>
        </w:rPr>
        <w:t>beabsichtigter  383</w:t>
      </w:r>
    </w:p>
    <w:p w:rsidR="007344D7" w:rsidRDefault="007344D7">
      <w:pPr>
        <w:pStyle w:val="Index2"/>
        <w:tabs>
          <w:tab w:val="right" w:pos="3032"/>
        </w:tabs>
        <w:rPr>
          <w:noProof/>
        </w:rPr>
      </w:pPr>
      <w:r w:rsidRPr="0081017A">
        <w:rPr>
          <w:i/>
          <w:noProof/>
        </w:rPr>
        <w:t>Definition</w:t>
      </w:r>
      <w:r>
        <w:rPr>
          <w:noProof/>
        </w:rPr>
        <w:t xml:space="preserve">  382</w:t>
      </w:r>
    </w:p>
    <w:p w:rsidR="007344D7" w:rsidRDefault="007344D7">
      <w:pPr>
        <w:pStyle w:val="Index2"/>
        <w:tabs>
          <w:tab w:val="right" w:pos="3032"/>
        </w:tabs>
        <w:rPr>
          <w:noProof/>
        </w:rPr>
      </w:pPr>
      <w:r>
        <w:rPr>
          <w:noProof/>
        </w:rPr>
        <w:t>interpretierter  372, 380–83</w:t>
      </w:r>
    </w:p>
    <w:p w:rsidR="007344D7" w:rsidRDefault="007344D7" w:rsidP="0029451B">
      <w:pPr>
        <w:pStyle w:val="Index1"/>
        <w:rPr>
          <w:noProof/>
        </w:rPr>
      </w:pPr>
      <w:r>
        <w:rPr>
          <w:noProof/>
        </w:rPr>
        <w:t>Anwendungsbedingungen  182–86</w:t>
      </w:r>
    </w:p>
    <w:p w:rsidR="007344D7" w:rsidRDefault="007344D7" w:rsidP="0029451B">
      <w:pPr>
        <w:pStyle w:val="Index1"/>
        <w:rPr>
          <w:noProof/>
        </w:rPr>
      </w:pPr>
      <w:r>
        <w:rPr>
          <w:noProof/>
        </w:rPr>
        <w:t>Anwendungswahrscheinlichkeit  182–86</w:t>
      </w:r>
    </w:p>
    <w:p w:rsidR="007344D7" w:rsidRDefault="007344D7" w:rsidP="0029451B">
      <w:pPr>
        <w:pStyle w:val="Index1"/>
        <w:rPr>
          <w:noProof/>
        </w:rPr>
      </w:pPr>
      <w:r>
        <w:rPr>
          <w:noProof/>
        </w:rPr>
        <w:t>Anzeichen  21, 88</w:t>
      </w:r>
      <w:r w:rsidR="00AA1453">
        <w:rPr>
          <w:noProof/>
        </w:rPr>
        <w:t>–</w:t>
      </w:r>
      <w:r w:rsidR="00981B10">
        <w:rPr>
          <w:noProof/>
        </w:rPr>
        <w:t>8</w:t>
      </w:r>
      <w:r>
        <w:rPr>
          <w:noProof/>
        </w:rPr>
        <w:t>9, 95</w:t>
      </w:r>
      <w:r w:rsidR="00AA1453">
        <w:rPr>
          <w:noProof/>
        </w:rPr>
        <w:t>–</w:t>
      </w:r>
      <w:r w:rsidR="00981B10">
        <w:rPr>
          <w:noProof/>
        </w:rPr>
        <w:t>9</w:t>
      </w:r>
      <w:r>
        <w:rPr>
          <w:noProof/>
        </w:rPr>
        <w:t>6, 168, 232–33</w:t>
      </w:r>
    </w:p>
    <w:p w:rsidR="007344D7" w:rsidRDefault="007344D7" w:rsidP="0029451B">
      <w:pPr>
        <w:pStyle w:val="Index1"/>
        <w:rPr>
          <w:noProof/>
        </w:rPr>
      </w:pPr>
      <w:r>
        <w:rPr>
          <w:noProof/>
        </w:rPr>
        <w:t>Apagoge  273</w:t>
      </w:r>
    </w:p>
    <w:p w:rsidR="007344D7" w:rsidRDefault="007344D7" w:rsidP="0029451B">
      <w:pPr>
        <w:pStyle w:val="Index1"/>
        <w:rPr>
          <w:noProof/>
        </w:rPr>
      </w:pPr>
      <w:r>
        <w:rPr>
          <w:noProof/>
        </w:rPr>
        <w:t>Äquivalenz, Prinzip der  119</w:t>
      </w:r>
      <w:r w:rsidR="00981B10">
        <w:rPr>
          <w:noProof/>
        </w:rPr>
        <w:t>–</w:t>
      </w:r>
      <w:r>
        <w:rPr>
          <w:noProof/>
        </w:rPr>
        <w:t>20</w:t>
      </w:r>
    </w:p>
    <w:p w:rsidR="007344D7" w:rsidRDefault="007344D7" w:rsidP="0029451B">
      <w:pPr>
        <w:pStyle w:val="Index1"/>
        <w:rPr>
          <w:noProof/>
        </w:rPr>
      </w:pPr>
      <w:r>
        <w:rPr>
          <w:noProof/>
        </w:rPr>
        <w:t>Äquivalenzklasse  38, 49, 119</w:t>
      </w:r>
      <w:r w:rsidR="00981B10">
        <w:rPr>
          <w:noProof/>
        </w:rPr>
        <w:t>–</w:t>
      </w:r>
      <w:r>
        <w:rPr>
          <w:noProof/>
        </w:rPr>
        <w:t>24</w:t>
      </w:r>
    </w:p>
    <w:p w:rsidR="007344D7" w:rsidRDefault="007344D7" w:rsidP="0029451B">
      <w:pPr>
        <w:pStyle w:val="Index1"/>
        <w:rPr>
          <w:noProof/>
        </w:rPr>
      </w:pPr>
      <w:r>
        <w:rPr>
          <w:noProof/>
        </w:rPr>
        <w:t>Äquivalenzkriterien  38, 49</w:t>
      </w:r>
      <w:r w:rsidR="00981B10">
        <w:rPr>
          <w:noProof/>
        </w:rPr>
        <w:t>–</w:t>
      </w:r>
      <w:r>
        <w:rPr>
          <w:noProof/>
        </w:rPr>
        <w:t>51, 54</w:t>
      </w:r>
      <w:r w:rsidR="00981B10">
        <w:rPr>
          <w:noProof/>
        </w:rPr>
        <w:t>–</w:t>
      </w:r>
      <w:r>
        <w:rPr>
          <w:noProof/>
        </w:rPr>
        <w:t>55, 57, 121</w:t>
      </w:r>
    </w:p>
    <w:p w:rsidR="007344D7" w:rsidRDefault="007344D7" w:rsidP="0029451B">
      <w:pPr>
        <w:pStyle w:val="Index1"/>
        <w:rPr>
          <w:noProof/>
        </w:rPr>
      </w:pPr>
      <w:r>
        <w:rPr>
          <w:noProof/>
        </w:rPr>
        <w:t>Archäologie  109, 112</w:t>
      </w:r>
    </w:p>
    <w:p w:rsidR="007344D7" w:rsidRDefault="007344D7" w:rsidP="0029451B">
      <w:pPr>
        <w:pStyle w:val="Index1"/>
        <w:rPr>
          <w:noProof/>
        </w:rPr>
      </w:pPr>
      <w:r w:rsidRPr="0081017A">
        <w:rPr>
          <w:rFonts w:eastAsia="Times New Roman" w:cs="Times New Roman"/>
          <w:noProof/>
        </w:rPr>
        <w:t>Architekturstil</w:t>
      </w:r>
      <w:r>
        <w:rPr>
          <w:noProof/>
        </w:rPr>
        <w:t xml:space="preserve">  111, 392, </w:t>
      </w:r>
      <w:r w:rsidRPr="0081017A">
        <w:rPr>
          <w:rFonts w:cstheme="minorHAnsi"/>
          <w:i/>
          <w:noProof/>
        </w:rPr>
        <w:t>siehe auch</w:t>
      </w:r>
      <w:r w:rsidRPr="0081017A">
        <w:rPr>
          <w:rFonts w:cstheme="minorHAnsi"/>
          <w:noProof/>
        </w:rPr>
        <w:t xml:space="preserve"> </w:t>
      </w:r>
      <w:r>
        <w:rPr>
          <w:noProof/>
        </w:rPr>
        <w:t>Baustil</w:t>
      </w:r>
    </w:p>
    <w:p w:rsidR="007344D7" w:rsidRDefault="007344D7" w:rsidP="0029451B">
      <w:pPr>
        <w:pStyle w:val="Index1"/>
        <w:rPr>
          <w:noProof/>
        </w:rPr>
      </w:pPr>
      <w:r>
        <w:rPr>
          <w:noProof/>
        </w:rPr>
        <w:t>Architekturtheorie  32, 422</w:t>
      </w:r>
    </w:p>
    <w:p w:rsidR="007344D7" w:rsidRDefault="007344D7" w:rsidP="0029451B">
      <w:pPr>
        <w:pStyle w:val="Index1"/>
        <w:rPr>
          <w:noProof/>
        </w:rPr>
      </w:pPr>
      <w:r w:rsidRPr="0081017A">
        <w:rPr>
          <w:noProof/>
        </w:rPr>
        <w:t>Architekturwissenschaft</w:t>
      </w:r>
      <w:r>
        <w:rPr>
          <w:noProof/>
        </w:rPr>
        <w:t xml:space="preserve">  389, 422</w:t>
      </w:r>
    </w:p>
    <w:p w:rsidR="007344D7" w:rsidRDefault="007344D7" w:rsidP="0029451B">
      <w:pPr>
        <w:pStyle w:val="Index1"/>
        <w:rPr>
          <w:noProof/>
        </w:rPr>
      </w:pPr>
      <w:r>
        <w:rPr>
          <w:noProof/>
        </w:rPr>
        <w:t>Argumentationsstil  49</w:t>
      </w:r>
    </w:p>
    <w:p w:rsidR="007344D7" w:rsidRDefault="007344D7" w:rsidP="0029451B">
      <w:pPr>
        <w:pStyle w:val="Index1"/>
        <w:rPr>
          <w:noProof/>
        </w:rPr>
      </w:pPr>
      <w:r>
        <w:rPr>
          <w:noProof/>
        </w:rPr>
        <w:t>Aristoteles  273, 323</w:t>
      </w:r>
    </w:p>
    <w:p w:rsidR="007344D7" w:rsidRDefault="007344D7" w:rsidP="0029451B">
      <w:pPr>
        <w:pStyle w:val="Index1"/>
        <w:rPr>
          <w:noProof/>
        </w:rPr>
      </w:pPr>
      <w:r>
        <w:rPr>
          <w:noProof/>
        </w:rPr>
        <w:t xml:space="preserve">Artefaktschema  134–40, 413–15, </w:t>
      </w:r>
      <w:r w:rsidRPr="0081017A">
        <w:rPr>
          <w:i/>
          <w:noProof/>
        </w:rPr>
        <w:t>et passim</w:t>
      </w:r>
    </w:p>
    <w:p w:rsidR="007344D7" w:rsidRDefault="007344D7" w:rsidP="0029451B">
      <w:pPr>
        <w:pStyle w:val="Index1"/>
        <w:rPr>
          <w:noProof/>
        </w:rPr>
      </w:pPr>
      <w:r>
        <w:rPr>
          <w:noProof/>
        </w:rPr>
        <w:t xml:space="preserve">Assoziation  239–41, 275–78, 344–46, </w:t>
      </w:r>
      <w:r w:rsidRPr="0081017A">
        <w:rPr>
          <w:i/>
          <w:noProof/>
        </w:rPr>
        <w:t>et passim</w:t>
      </w:r>
    </w:p>
    <w:p w:rsidR="007344D7" w:rsidRDefault="007344D7" w:rsidP="0029451B">
      <w:pPr>
        <w:pStyle w:val="Index1"/>
        <w:rPr>
          <w:noProof/>
        </w:rPr>
      </w:pPr>
      <w:r>
        <w:rPr>
          <w:noProof/>
        </w:rPr>
        <w:t>Ast, Friedrich  450</w:t>
      </w:r>
    </w:p>
    <w:p w:rsidR="007344D7" w:rsidRDefault="007344D7" w:rsidP="0029451B">
      <w:pPr>
        <w:pStyle w:val="Index1"/>
        <w:rPr>
          <w:noProof/>
        </w:rPr>
      </w:pPr>
      <w:r>
        <w:rPr>
          <w:noProof/>
        </w:rPr>
        <w:t>Ästhetik  422–24</w:t>
      </w:r>
    </w:p>
    <w:p w:rsidR="007344D7" w:rsidRDefault="007344D7" w:rsidP="0029451B">
      <w:pPr>
        <w:pStyle w:val="Index1"/>
        <w:rPr>
          <w:noProof/>
        </w:rPr>
      </w:pPr>
      <w:r>
        <w:rPr>
          <w:noProof/>
        </w:rPr>
        <w:t>Atheneum (Richard Meier)  289</w:t>
      </w:r>
      <w:r w:rsidR="00F9321F">
        <w:rPr>
          <w:noProof/>
        </w:rPr>
        <w:t>–</w:t>
      </w:r>
      <w:r>
        <w:rPr>
          <w:noProof/>
        </w:rPr>
        <w:t>91, 293</w:t>
      </w:r>
    </w:p>
    <w:p w:rsidR="007344D7" w:rsidRDefault="007344D7">
      <w:pPr>
        <w:pStyle w:val="Index2"/>
        <w:tabs>
          <w:tab w:val="right" w:pos="3032"/>
        </w:tabs>
        <w:rPr>
          <w:noProof/>
        </w:rPr>
      </w:pPr>
      <w:r w:rsidRPr="0081017A">
        <w:rPr>
          <w:i/>
          <w:noProof/>
          <w:lang w:val="en-US"/>
        </w:rPr>
        <w:t>Abbildung</w:t>
      </w:r>
      <w:r>
        <w:rPr>
          <w:noProof/>
        </w:rPr>
        <w:t xml:space="preserve">  289</w:t>
      </w:r>
    </w:p>
    <w:p w:rsidR="007344D7" w:rsidRDefault="007344D7" w:rsidP="0029451B">
      <w:pPr>
        <w:pStyle w:val="Index1"/>
        <w:rPr>
          <w:noProof/>
        </w:rPr>
      </w:pPr>
      <w:r>
        <w:rPr>
          <w:noProof/>
        </w:rPr>
        <w:t>Aufführungspraxis  313, 388</w:t>
      </w:r>
    </w:p>
    <w:p w:rsidR="007344D7" w:rsidRDefault="007344D7" w:rsidP="0029451B">
      <w:pPr>
        <w:pStyle w:val="Index1"/>
        <w:rPr>
          <w:noProof/>
        </w:rPr>
      </w:pPr>
      <w:r>
        <w:rPr>
          <w:noProof/>
        </w:rPr>
        <w:t>Ausdrucksebene  37</w:t>
      </w:r>
      <w:r w:rsidR="00F9321F">
        <w:rPr>
          <w:noProof/>
        </w:rPr>
        <w:t>–</w:t>
      </w:r>
      <w:r>
        <w:rPr>
          <w:noProof/>
        </w:rPr>
        <w:t>43, 46, 64, 107, 115, 127, 393, 421, 446</w:t>
      </w:r>
    </w:p>
    <w:p w:rsidR="007344D7" w:rsidRDefault="007344D7" w:rsidP="0029451B">
      <w:pPr>
        <w:pStyle w:val="Index1"/>
        <w:rPr>
          <w:noProof/>
        </w:rPr>
      </w:pPr>
      <w:r>
        <w:rPr>
          <w:noProof/>
        </w:rPr>
        <w:lastRenderedPageBreak/>
        <w:t>Ausgabe (der Interpretation)  242</w:t>
      </w:r>
      <w:r w:rsidR="00F9321F">
        <w:rPr>
          <w:noProof/>
        </w:rPr>
        <w:t>–</w:t>
      </w:r>
      <w:r>
        <w:rPr>
          <w:noProof/>
        </w:rPr>
        <w:t>43, 247–48</w:t>
      </w:r>
    </w:p>
    <w:p w:rsidR="007344D7" w:rsidRDefault="007344D7">
      <w:pPr>
        <w:pStyle w:val="Index2"/>
        <w:tabs>
          <w:tab w:val="right" w:pos="3032"/>
        </w:tabs>
        <w:rPr>
          <w:noProof/>
        </w:rPr>
      </w:pPr>
      <w:r w:rsidRPr="0081017A">
        <w:rPr>
          <w:i/>
          <w:noProof/>
        </w:rPr>
        <w:t>Funktion</w:t>
      </w:r>
      <w:r>
        <w:rPr>
          <w:noProof/>
        </w:rPr>
        <w:t xml:space="preserve">  354–66</w:t>
      </w:r>
    </w:p>
    <w:p w:rsidR="007344D7" w:rsidRDefault="007344D7" w:rsidP="0029451B">
      <w:pPr>
        <w:pStyle w:val="Index1"/>
        <w:rPr>
          <w:noProof/>
        </w:rPr>
      </w:pPr>
      <w:r>
        <w:rPr>
          <w:noProof/>
        </w:rPr>
        <w:t xml:space="preserve">Auslesen von Merkmalsregeln  87–89,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89</w:t>
      </w:r>
    </w:p>
    <w:p w:rsidR="007344D7" w:rsidRDefault="007344D7">
      <w:pPr>
        <w:pStyle w:val="Index2"/>
        <w:tabs>
          <w:tab w:val="right" w:pos="3032"/>
        </w:tabs>
        <w:rPr>
          <w:noProof/>
        </w:rPr>
      </w:pPr>
      <w:r w:rsidRPr="0081017A">
        <w:rPr>
          <w:i/>
          <w:noProof/>
        </w:rPr>
        <w:t>Funktion</w:t>
      </w:r>
      <w:r>
        <w:rPr>
          <w:noProof/>
        </w:rPr>
        <w:t xml:space="preserve">  199–206</w:t>
      </w:r>
    </w:p>
    <w:p w:rsidR="007344D7" w:rsidRDefault="007344D7" w:rsidP="0029451B">
      <w:pPr>
        <w:pStyle w:val="Index1"/>
        <w:rPr>
          <w:noProof/>
        </w:rPr>
      </w:pPr>
      <w:r>
        <w:rPr>
          <w:noProof/>
        </w:rPr>
        <w:t>Autoridentifikation  127, 156</w:t>
      </w:r>
    </w:p>
    <w:p w:rsidR="00C33422" w:rsidRDefault="00C33422" w:rsidP="0029451B">
      <w:pPr>
        <w:pStyle w:val="Index1"/>
        <w:rPr>
          <w:noProof/>
        </w:rPr>
      </w:pPr>
    </w:p>
    <w:p w:rsidR="00DB1DF3" w:rsidRPr="00DB1DF3" w:rsidRDefault="00DB1DF3" w:rsidP="004A3B18">
      <w:pPr>
        <w:pStyle w:val="Index1"/>
        <w:keepNext/>
        <w:ind w:left="238" w:hanging="238"/>
        <w:jc w:val="center"/>
        <w:rPr>
          <w:b/>
          <w:noProof/>
        </w:rPr>
      </w:pPr>
      <w:r>
        <w:rPr>
          <w:b/>
          <w:noProof/>
        </w:rPr>
        <w:t>B</w:t>
      </w:r>
    </w:p>
    <w:p w:rsidR="00DB1DF3" w:rsidRDefault="00DB1DF3" w:rsidP="004A3B18">
      <w:pPr>
        <w:pStyle w:val="Index1"/>
        <w:keepNext/>
        <w:ind w:left="238" w:hanging="238"/>
        <w:rPr>
          <w:noProof/>
        </w:rPr>
      </w:pPr>
    </w:p>
    <w:p w:rsidR="007344D7" w:rsidRDefault="007344D7" w:rsidP="0029451B">
      <w:pPr>
        <w:pStyle w:val="Index1"/>
        <w:rPr>
          <w:noProof/>
        </w:rPr>
      </w:pPr>
      <w:r>
        <w:rPr>
          <w:noProof/>
        </w:rPr>
        <w:t>Badminton  143, 393</w:t>
      </w:r>
    </w:p>
    <w:p w:rsidR="007344D7" w:rsidRDefault="007344D7" w:rsidP="0029451B">
      <w:pPr>
        <w:pStyle w:val="Index1"/>
        <w:rPr>
          <w:noProof/>
        </w:rPr>
      </w:pPr>
      <w:r>
        <w:rPr>
          <w:noProof/>
        </w:rPr>
        <w:t>Ballu, Théodore  437</w:t>
      </w:r>
    </w:p>
    <w:p w:rsidR="007344D7" w:rsidRDefault="007344D7" w:rsidP="0029451B">
      <w:pPr>
        <w:pStyle w:val="Index1"/>
        <w:rPr>
          <w:noProof/>
        </w:rPr>
      </w:pPr>
      <w:r>
        <w:rPr>
          <w:noProof/>
        </w:rPr>
        <w:t>Balzac, Honoré de  321</w:t>
      </w:r>
    </w:p>
    <w:p w:rsidR="007344D7" w:rsidRDefault="007344D7" w:rsidP="0029451B">
      <w:pPr>
        <w:pStyle w:val="Index1"/>
        <w:rPr>
          <w:noProof/>
        </w:rPr>
      </w:pPr>
      <w:r w:rsidRPr="0081017A">
        <w:rPr>
          <w:rFonts w:cs="Times New Roman"/>
          <w:noProof/>
        </w:rPr>
        <w:t>Bankraubstil</w:t>
      </w:r>
      <w:r>
        <w:rPr>
          <w:noProof/>
        </w:rPr>
        <w:t xml:space="preserve">  74, 331–37, 421</w:t>
      </w:r>
    </w:p>
    <w:p w:rsidR="007344D7" w:rsidRDefault="007344D7" w:rsidP="0029451B">
      <w:pPr>
        <w:pStyle w:val="Index1"/>
        <w:rPr>
          <w:noProof/>
        </w:rPr>
      </w:pPr>
      <w:r>
        <w:rPr>
          <w:noProof/>
        </w:rPr>
        <w:t>Baudelaire, Charles  120</w:t>
      </w:r>
    </w:p>
    <w:p w:rsidR="007344D7" w:rsidRDefault="007344D7" w:rsidP="0029451B">
      <w:pPr>
        <w:pStyle w:val="Index1"/>
        <w:rPr>
          <w:noProof/>
        </w:rPr>
      </w:pPr>
      <w:r>
        <w:rPr>
          <w:noProof/>
        </w:rPr>
        <w:t xml:space="preserve">Baustil  43–48, 70, 90, 137, 228, 250, 279, 394, </w:t>
      </w:r>
      <w:r w:rsidRPr="0081017A">
        <w:rPr>
          <w:rFonts w:cstheme="minorHAnsi"/>
          <w:i/>
          <w:noProof/>
        </w:rPr>
        <w:t>siehe auch</w:t>
      </w:r>
      <w:r w:rsidRPr="0081017A">
        <w:rPr>
          <w:rFonts w:cstheme="minorHAnsi"/>
          <w:noProof/>
        </w:rPr>
        <w:t xml:space="preserve"> Architekturstil</w:t>
      </w:r>
    </w:p>
    <w:p w:rsidR="007344D7" w:rsidRDefault="007344D7" w:rsidP="0029451B">
      <w:pPr>
        <w:pStyle w:val="Index1"/>
        <w:rPr>
          <w:noProof/>
        </w:rPr>
      </w:pPr>
      <w:r>
        <w:rPr>
          <w:noProof/>
        </w:rPr>
        <w:t>Bedeutung  18, 23, 25</w:t>
      </w:r>
      <w:r w:rsidR="00F9321F">
        <w:rPr>
          <w:noProof/>
        </w:rPr>
        <w:t>–</w:t>
      </w:r>
      <w:r>
        <w:rPr>
          <w:noProof/>
        </w:rPr>
        <w:t>26, 50, 65, 94, 105, 113, 128, 279</w:t>
      </w:r>
      <w:r w:rsidR="00F9321F">
        <w:rPr>
          <w:noProof/>
        </w:rPr>
        <w:t>–</w:t>
      </w:r>
      <w:r>
        <w:rPr>
          <w:noProof/>
        </w:rPr>
        <w:t>80, 420, 426, 440</w:t>
      </w:r>
      <w:r w:rsidR="00F9321F">
        <w:rPr>
          <w:noProof/>
        </w:rPr>
        <w:t>–</w:t>
      </w:r>
      <w:r>
        <w:rPr>
          <w:noProof/>
        </w:rPr>
        <w:t>41, 443</w:t>
      </w:r>
      <w:r w:rsidR="00F9321F">
        <w:rPr>
          <w:noProof/>
        </w:rPr>
        <w:t>–</w:t>
      </w:r>
      <w:r>
        <w:rPr>
          <w:noProof/>
        </w:rPr>
        <w:t>44</w:t>
      </w:r>
    </w:p>
    <w:p w:rsidR="007344D7" w:rsidRDefault="007344D7" w:rsidP="0029451B">
      <w:pPr>
        <w:pStyle w:val="Index1"/>
        <w:rPr>
          <w:noProof/>
        </w:rPr>
      </w:pPr>
      <w:r>
        <w:rPr>
          <w:noProof/>
        </w:rPr>
        <w:t xml:space="preserve">Bedeutungssuche  239–41, 279–80, 344–46, </w:t>
      </w:r>
      <w:r w:rsidRPr="0081017A">
        <w:rPr>
          <w:i/>
          <w:noProof/>
        </w:rPr>
        <w:t>et passim</w:t>
      </w:r>
    </w:p>
    <w:p w:rsidR="007344D7" w:rsidRDefault="007344D7" w:rsidP="0029451B">
      <w:pPr>
        <w:pStyle w:val="Index1"/>
        <w:rPr>
          <w:noProof/>
        </w:rPr>
      </w:pPr>
      <w:r>
        <w:rPr>
          <w:noProof/>
        </w:rPr>
        <w:t>Begriff  439–43</w:t>
      </w:r>
    </w:p>
    <w:p w:rsidR="007344D7" w:rsidRDefault="007344D7" w:rsidP="0029451B">
      <w:pPr>
        <w:pStyle w:val="Index1"/>
        <w:rPr>
          <w:noProof/>
        </w:rPr>
      </w:pPr>
      <w:r>
        <w:rPr>
          <w:noProof/>
        </w:rPr>
        <w:t>Begriff, natürlichsprachlicher  23</w:t>
      </w:r>
      <w:r w:rsidR="00F9321F">
        <w:rPr>
          <w:noProof/>
        </w:rPr>
        <w:t>–</w:t>
      </w:r>
      <w:r>
        <w:rPr>
          <w:noProof/>
        </w:rPr>
        <w:t>25, 94</w:t>
      </w:r>
      <w:r w:rsidR="00F9321F">
        <w:rPr>
          <w:noProof/>
        </w:rPr>
        <w:t>–</w:t>
      </w:r>
      <w:r>
        <w:rPr>
          <w:noProof/>
        </w:rPr>
        <w:t>95, 442</w:t>
      </w:r>
    </w:p>
    <w:p w:rsidR="007344D7" w:rsidRDefault="007344D7" w:rsidP="0029451B">
      <w:pPr>
        <w:pStyle w:val="Index1"/>
        <w:rPr>
          <w:noProof/>
        </w:rPr>
      </w:pPr>
      <w:r>
        <w:rPr>
          <w:noProof/>
        </w:rPr>
        <w:t>Begriffsexplikation  2</w:t>
      </w:r>
      <w:r w:rsidR="00573AC7">
        <w:rPr>
          <w:noProof/>
        </w:rPr>
        <w:t>2</w:t>
      </w:r>
      <w:r w:rsidR="00F9321F">
        <w:rPr>
          <w:noProof/>
        </w:rPr>
        <w:t>–</w:t>
      </w:r>
      <w:r>
        <w:rPr>
          <w:noProof/>
        </w:rPr>
        <w:t>2</w:t>
      </w:r>
      <w:r w:rsidR="00573AC7">
        <w:rPr>
          <w:noProof/>
        </w:rPr>
        <w:t>9</w:t>
      </w:r>
      <w:r>
        <w:rPr>
          <w:noProof/>
        </w:rPr>
        <w:t>, 94, 441</w:t>
      </w:r>
      <w:r w:rsidR="00F9321F">
        <w:rPr>
          <w:noProof/>
        </w:rPr>
        <w:t>–</w:t>
      </w:r>
      <w:r>
        <w:rPr>
          <w:noProof/>
        </w:rPr>
        <w:t>42</w:t>
      </w:r>
    </w:p>
    <w:p w:rsidR="007344D7" w:rsidRDefault="007344D7" w:rsidP="0029451B">
      <w:pPr>
        <w:pStyle w:val="Index1"/>
        <w:rPr>
          <w:noProof/>
        </w:rPr>
      </w:pPr>
      <w:r w:rsidRPr="0081017A">
        <w:rPr>
          <w:rFonts w:eastAsia="Times New Roman" w:cs="Times New Roman"/>
          <w:noProof/>
        </w:rPr>
        <w:t>Bense, Max</w:t>
      </w:r>
      <w:r>
        <w:rPr>
          <w:noProof/>
        </w:rPr>
        <w:t xml:space="preserve">  106, 423</w:t>
      </w:r>
    </w:p>
    <w:p w:rsidR="007344D7" w:rsidRDefault="007344D7" w:rsidP="0029451B">
      <w:pPr>
        <w:pStyle w:val="Index1"/>
        <w:rPr>
          <w:noProof/>
        </w:rPr>
      </w:pPr>
      <w:r>
        <w:rPr>
          <w:noProof/>
        </w:rPr>
        <w:t>bereichsspezifische Stiltheorien  18</w:t>
      </w:r>
      <w:r w:rsidR="009525DB">
        <w:rPr>
          <w:noProof/>
        </w:rPr>
        <w:t>–</w:t>
      </w:r>
      <w:r>
        <w:rPr>
          <w:noProof/>
        </w:rPr>
        <w:t>19, 162, 384, 386–91, 458</w:t>
      </w:r>
    </w:p>
    <w:p w:rsidR="007344D7" w:rsidRDefault="007344D7" w:rsidP="0029451B">
      <w:pPr>
        <w:pStyle w:val="Index1"/>
        <w:rPr>
          <w:noProof/>
        </w:rPr>
      </w:pPr>
      <w:r>
        <w:rPr>
          <w:noProof/>
        </w:rPr>
        <w:t>Berliner Dom  63</w:t>
      </w:r>
    </w:p>
    <w:p w:rsidR="007344D7" w:rsidRDefault="007344D7" w:rsidP="0029451B">
      <w:pPr>
        <w:pStyle w:val="Index1"/>
        <w:rPr>
          <w:noProof/>
        </w:rPr>
      </w:pPr>
      <w:r>
        <w:rPr>
          <w:noProof/>
        </w:rPr>
        <w:t>Berliner Stadtschloss  411</w:t>
      </w:r>
    </w:p>
    <w:p w:rsidR="007344D7" w:rsidRDefault="007344D7" w:rsidP="0029451B">
      <w:pPr>
        <w:pStyle w:val="Index1"/>
        <w:rPr>
          <w:noProof/>
        </w:rPr>
      </w:pPr>
      <w:r w:rsidRPr="0081017A">
        <w:rPr>
          <w:noProof/>
        </w:rPr>
        <w:t>Bernhard, Thomas</w:t>
      </w:r>
      <w:r>
        <w:rPr>
          <w:noProof/>
        </w:rPr>
        <w:t xml:space="preserve">  42, 114, 126</w:t>
      </w:r>
    </w:p>
    <w:p w:rsidR="007344D7" w:rsidRDefault="007344D7" w:rsidP="0029451B">
      <w:pPr>
        <w:pStyle w:val="Index1"/>
        <w:rPr>
          <w:noProof/>
        </w:rPr>
      </w:pPr>
      <w:r>
        <w:rPr>
          <w:noProof/>
        </w:rPr>
        <w:t>Beschreibungsebene  54, 113, 120, 131, 138, 141, 162, 214, 452</w:t>
      </w:r>
    </w:p>
    <w:p w:rsidR="007344D7" w:rsidRDefault="007344D7" w:rsidP="0029451B">
      <w:pPr>
        <w:pStyle w:val="Index1"/>
        <w:rPr>
          <w:noProof/>
        </w:rPr>
      </w:pPr>
      <w:r>
        <w:rPr>
          <w:noProof/>
        </w:rPr>
        <w:t>Beschreibungsebene (Wissenschaftstheorie)  300, 346, 404, 446</w:t>
      </w:r>
    </w:p>
    <w:p w:rsidR="007344D7" w:rsidRDefault="007344D7" w:rsidP="0029451B">
      <w:pPr>
        <w:pStyle w:val="Index1"/>
        <w:rPr>
          <w:noProof/>
        </w:rPr>
      </w:pPr>
      <w:r w:rsidRPr="0081017A">
        <w:rPr>
          <w:noProof/>
        </w:rPr>
        <w:t>Beschreibungsirrtum</w:t>
      </w:r>
      <w:r>
        <w:rPr>
          <w:noProof/>
        </w:rPr>
        <w:t xml:space="preserve">  243, 300, 455</w:t>
      </w:r>
    </w:p>
    <w:p w:rsidR="007344D7" w:rsidRDefault="007344D7" w:rsidP="0029451B">
      <w:pPr>
        <w:pStyle w:val="Index1"/>
        <w:rPr>
          <w:noProof/>
        </w:rPr>
      </w:pPr>
      <w:r>
        <w:rPr>
          <w:noProof/>
        </w:rPr>
        <w:t>Besetzung (Musik)  313, 320</w:t>
      </w:r>
    </w:p>
    <w:p w:rsidR="007344D7" w:rsidRDefault="007344D7" w:rsidP="0029451B">
      <w:pPr>
        <w:pStyle w:val="Index1"/>
        <w:rPr>
          <w:noProof/>
        </w:rPr>
      </w:pPr>
      <w:r>
        <w:rPr>
          <w:noProof/>
        </w:rPr>
        <w:t>Beuys, Joseph  414</w:t>
      </w:r>
    </w:p>
    <w:p w:rsidR="007344D7" w:rsidRDefault="007344D7" w:rsidP="0029451B">
      <w:pPr>
        <w:pStyle w:val="Index1"/>
        <w:rPr>
          <w:noProof/>
        </w:rPr>
      </w:pPr>
      <w:r>
        <w:rPr>
          <w:noProof/>
        </w:rPr>
        <w:lastRenderedPageBreak/>
        <w:t>Bewegungsstil  321–29</w:t>
      </w:r>
    </w:p>
    <w:p w:rsidR="007344D7" w:rsidRDefault="007344D7" w:rsidP="0029451B">
      <w:pPr>
        <w:pStyle w:val="Index1"/>
        <w:rPr>
          <w:noProof/>
        </w:rPr>
      </w:pPr>
      <w:r>
        <w:rPr>
          <w:noProof/>
        </w:rPr>
        <w:t>Bewusstheit von Stil  398–400</w:t>
      </w:r>
    </w:p>
    <w:p w:rsidR="007344D7" w:rsidRDefault="007344D7" w:rsidP="0029451B">
      <w:pPr>
        <w:pStyle w:val="Index1"/>
        <w:rPr>
          <w:noProof/>
        </w:rPr>
      </w:pPr>
      <w:r>
        <w:rPr>
          <w:noProof/>
        </w:rPr>
        <w:t>Bilddefinition  93, 390</w:t>
      </w:r>
    </w:p>
    <w:p w:rsidR="007344D7" w:rsidRDefault="007344D7" w:rsidP="0029451B">
      <w:pPr>
        <w:pStyle w:val="Index1"/>
        <w:rPr>
          <w:noProof/>
        </w:rPr>
      </w:pPr>
      <w:r>
        <w:rPr>
          <w:noProof/>
        </w:rPr>
        <w:t>Bilder  54, 157, 167, 304, 390</w:t>
      </w:r>
    </w:p>
    <w:p w:rsidR="007344D7" w:rsidRDefault="007344D7">
      <w:pPr>
        <w:pStyle w:val="Index2"/>
        <w:tabs>
          <w:tab w:val="right" w:pos="3032"/>
        </w:tabs>
        <w:rPr>
          <w:noProof/>
        </w:rPr>
      </w:pPr>
      <w:r>
        <w:rPr>
          <w:noProof/>
        </w:rPr>
        <w:t>darstellende  45, 68, 140, 262, 331</w:t>
      </w:r>
    </w:p>
    <w:p w:rsidR="007344D7" w:rsidRDefault="007344D7">
      <w:pPr>
        <w:pStyle w:val="Index2"/>
        <w:tabs>
          <w:tab w:val="right" w:pos="3032"/>
        </w:tabs>
        <w:rPr>
          <w:noProof/>
        </w:rPr>
      </w:pPr>
      <w:r>
        <w:rPr>
          <w:noProof/>
        </w:rPr>
        <w:t>mentale  284, 327, 391</w:t>
      </w:r>
    </w:p>
    <w:p w:rsidR="007344D7" w:rsidRDefault="007344D7" w:rsidP="0029451B">
      <w:pPr>
        <w:pStyle w:val="Index1"/>
        <w:rPr>
          <w:noProof/>
        </w:rPr>
      </w:pPr>
      <w:r>
        <w:rPr>
          <w:noProof/>
        </w:rPr>
        <w:t>Bildsemiotik  390</w:t>
      </w:r>
    </w:p>
    <w:p w:rsidR="007344D7" w:rsidRDefault="007344D7" w:rsidP="0029451B">
      <w:pPr>
        <w:pStyle w:val="Index1"/>
        <w:rPr>
          <w:noProof/>
        </w:rPr>
      </w:pPr>
      <w:r>
        <w:rPr>
          <w:noProof/>
        </w:rPr>
        <w:t>Bildstil  43–48, 329–31</w:t>
      </w:r>
    </w:p>
    <w:p w:rsidR="007344D7" w:rsidRDefault="007344D7" w:rsidP="0029451B">
      <w:pPr>
        <w:pStyle w:val="Index1"/>
        <w:rPr>
          <w:noProof/>
        </w:rPr>
      </w:pPr>
      <w:r>
        <w:rPr>
          <w:noProof/>
        </w:rPr>
        <w:t>Bildwissenschaft  93, 390</w:t>
      </w:r>
      <w:r w:rsidR="009525DB">
        <w:rPr>
          <w:noProof/>
        </w:rPr>
        <w:t>–</w:t>
      </w:r>
      <w:r>
        <w:rPr>
          <w:noProof/>
        </w:rPr>
        <w:t>91</w:t>
      </w:r>
    </w:p>
    <w:p w:rsidR="007344D7" w:rsidRDefault="007344D7" w:rsidP="0029451B">
      <w:pPr>
        <w:pStyle w:val="Index1"/>
        <w:rPr>
          <w:noProof/>
        </w:rPr>
      </w:pPr>
      <w:r w:rsidRPr="0081017A">
        <w:rPr>
          <w:noProof/>
        </w:rPr>
        <w:t>bilineare Modelle</w:t>
      </w:r>
      <w:r>
        <w:rPr>
          <w:noProof/>
        </w:rPr>
        <w:t xml:space="preserve">  111</w:t>
      </w:r>
      <w:r w:rsidR="009525DB">
        <w:rPr>
          <w:noProof/>
        </w:rPr>
        <w:t>–</w:t>
      </w:r>
      <w:r>
        <w:rPr>
          <w:noProof/>
        </w:rPr>
        <w:t>12</w:t>
      </w:r>
    </w:p>
    <w:p w:rsidR="007344D7" w:rsidRDefault="007344D7" w:rsidP="0029451B">
      <w:pPr>
        <w:pStyle w:val="Index1"/>
        <w:rPr>
          <w:noProof/>
        </w:rPr>
      </w:pPr>
      <w:r>
        <w:rPr>
          <w:noProof/>
        </w:rPr>
        <w:t>Bloomfield, Leonard  131</w:t>
      </w:r>
    </w:p>
    <w:p w:rsidR="007344D7" w:rsidRDefault="007344D7" w:rsidP="0029451B">
      <w:pPr>
        <w:pStyle w:val="Index1"/>
        <w:rPr>
          <w:noProof/>
        </w:rPr>
      </w:pPr>
      <w:r>
        <w:rPr>
          <w:noProof/>
        </w:rPr>
        <w:t>Botschaft  65, 71, 106</w:t>
      </w:r>
      <w:r w:rsidR="009525DB">
        <w:rPr>
          <w:noProof/>
        </w:rPr>
        <w:t>–</w:t>
      </w:r>
      <w:r>
        <w:rPr>
          <w:noProof/>
        </w:rPr>
        <w:t>7, 111, 380</w:t>
      </w:r>
    </w:p>
    <w:p w:rsidR="007344D7" w:rsidRDefault="007344D7">
      <w:pPr>
        <w:pStyle w:val="Index2"/>
        <w:tabs>
          <w:tab w:val="right" w:pos="3032"/>
        </w:tabs>
        <w:rPr>
          <w:noProof/>
        </w:rPr>
      </w:pPr>
      <w:r>
        <w:rPr>
          <w:noProof/>
        </w:rPr>
        <w:t>kodierte  121, 138, 380</w:t>
      </w:r>
    </w:p>
    <w:p w:rsidR="007344D7" w:rsidRDefault="007344D7" w:rsidP="0029451B">
      <w:pPr>
        <w:pStyle w:val="Index1"/>
        <w:rPr>
          <w:noProof/>
        </w:rPr>
      </w:pPr>
      <w:r w:rsidRPr="0081017A">
        <w:rPr>
          <w:rFonts w:eastAsia="Times New Roman" w:cs="Times New Roman"/>
          <w:noProof/>
        </w:rPr>
        <w:t>Bourdieu, Pierre</w:t>
      </w:r>
      <w:r>
        <w:rPr>
          <w:noProof/>
        </w:rPr>
        <w:t xml:space="preserve">  116, 125, 432</w:t>
      </w:r>
      <w:r w:rsidR="009525DB">
        <w:rPr>
          <w:noProof/>
        </w:rPr>
        <w:t>–</w:t>
      </w:r>
      <w:r>
        <w:rPr>
          <w:noProof/>
        </w:rPr>
        <w:t>34</w:t>
      </w:r>
    </w:p>
    <w:p w:rsidR="007344D7" w:rsidRDefault="007344D7" w:rsidP="0029451B">
      <w:pPr>
        <w:pStyle w:val="Index1"/>
        <w:rPr>
          <w:noProof/>
        </w:rPr>
      </w:pPr>
      <w:r>
        <w:rPr>
          <w:noProof/>
        </w:rPr>
        <w:t>Braque, Georges  381, 418</w:t>
      </w:r>
    </w:p>
    <w:p w:rsidR="007344D7" w:rsidRDefault="007344D7" w:rsidP="0029451B">
      <w:pPr>
        <w:pStyle w:val="Index1"/>
        <w:rPr>
          <w:noProof/>
        </w:rPr>
      </w:pPr>
      <w:r w:rsidRPr="0081017A">
        <w:rPr>
          <w:noProof/>
        </w:rPr>
        <w:t>Buchstaben</w:t>
      </w:r>
      <w:r>
        <w:rPr>
          <w:noProof/>
        </w:rPr>
        <w:t xml:space="preserve">  111</w:t>
      </w:r>
    </w:p>
    <w:p w:rsidR="007344D7" w:rsidRDefault="007344D7" w:rsidP="0029451B">
      <w:pPr>
        <w:pStyle w:val="Index1"/>
        <w:rPr>
          <w:noProof/>
        </w:rPr>
      </w:pPr>
      <w:r>
        <w:rPr>
          <w:noProof/>
        </w:rPr>
        <w:t>Buffon, Comte de  26, 37, 93, 128</w:t>
      </w:r>
    </w:p>
    <w:p w:rsidR="00C33422" w:rsidRDefault="00C33422" w:rsidP="0029451B">
      <w:pPr>
        <w:pStyle w:val="Index1"/>
        <w:rPr>
          <w:noProof/>
        </w:rPr>
      </w:pPr>
    </w:p>
    <w:p w:rsidR="00DB1DF3" w:rsidRPr="00DB1DF3" w:rsidRDefault="00DB1DF3" w:rsidP="004A3B18">
      <w:pPr>
        <w:pStyle w:val="Index1"/>
        <w:keepNext/>
        <w:ind w:left="238" w:hanging="238"/>
        <w:jc w:val="center"/>
        <w:rPr>
          <w:b/>
          <w:noProof/>
        </w:rPr>
      </w:pPr>
      <w:r>
        <w:rPr>
          <w:b/>
          <w:noProof/>
        </w:rPr>
        <w:t>C</w:t>
      </w:r>
    </w:p>
    <w:p w:rsidR="00DB1DF3" w:rsidRDefault="00DB1DF3" w:rsidP="004A3B18">
      <w:pPr>
        <w:pStyle w:val="Index1"/>
        <w:keepNext/>
        <w:ind w:left="238" w:hanging="238"/>
        <w:rPr>
          <w:noProof/>
        </w:rPr>
      </w:pPr>
    </w:p>
    <w:p w:rsidR="007344D7" w:rsidRDefault="007344D7" w:rsidP="0029451B">
      <w:pPr>
        <w:pStyle w:val="Index1"/>
        <w:rPr>
          <w:noProof/>
        </w:rPr>
      </w:pPr>
      <w:r>
        <w:rPr>
          <w:noProof/>
        </w:rPr>
        <w:t>Carnap, Rudolf  23, 29, 450</w:t>
      </w:r>
    </w:p>
    <w:p w:rsidR="007344D7" w:rsidRDefault="007344D7" w:rsidP="0029451B">
      <w:pPr>
        <w:pStyle w:val="Index1"/>
        <w:rPr>
          <w:noProof/>
        </w:rPr>
      </w:pPr>
      <w:r>
        <w:rPr>
          <w:noProof/>
        </w:rPr>
        <w:t>Catch Me If You Can (Film)  435</w:t>
      </w:r>
    </w:p>
    <w:p w:rsidR="007344D7" w:rsidRDefault="007344D7" w:rsidP="0029451B">
      <w:pPr>
        <w:pStyle w:val="Index1"/>
        <w:rPr>
          <w:noProof/>
        </w:rPr>
      </w:pPr>
      <w:r>
        <w:rPr>
          <w:noProof/>
        </w:rPr>
        <w:t>Chomsky, Noam  52, 119, 450</w:t>
      </w:r>
    </w:p>
    <w:p w:rsidR="007344D7" w:rsidRDefault="007344D7" w:rsidP="0029451B">
      <w:pPr>
        <w:pStyle w:val="Index1"/>
        <w:rPr>
          <w:noProof/>
        </w:rPr>
      </w:pPr>
      <w:r>
        <w:rPr>
          <w:noProof/>
        </w:rPr>
        <w:t>Computerprogramm  24, 30, 32, 147</w:t>
      </w:r>
    </w:p>
    <w:p w:rsidR="007344D7" w:rsidRDefault="007344D7" w:rsidP="0029451B">
      <w:pPr>
        <w:pStyle w:val="Index1"/>
        <w:rPr>
          <w:noProof/>
        </w:rPr>
      </w:pPr>
      <w:r>
        <w:rPr>
          <w:noProof/>
        </w:rPr>
        <w:t>Coseriu, Eugenio  249, 323</w:t>
      </w:r>
    </w:p>
    <w:p w:rsidR="00C33422" w:rsidRDefault="00C33422" w:rsidP="0029451B">
      <w:pPr>
        <w:pStyle w:val="Index1"/>
        <w:rPr>
          <w:noProof/>
        </w:rPr>
      </w:pPr>
    </w:p>
    <w:p w:rsidR="00DB1DF3" w:rsidRPr="00DB1DF3" w:rsidRDefault="00DB1DF3" w:rsidP="004A3B18">
      <w:pPr>
        <w:pStyle w:val="Index1"/>
        <w:keepNext/>
        <w:ind w:left="238" w:hanging="238"/>
        <w:jc w:val="center"/>
        <w:rPr>
          <w:b/>
          <w:noProof/>
        </w:rPr>
      </w:pPr>
      <w:r>
        <w:rPr>
          <w:b/>
          <w:noProof/>
        </w:rPr>
        <w:t>D</w:t>
      </w:r>
    </w:p>
    <w:p w:rsidR="00DB1DF3" w:rsidRDefault="00DB1DF3" w:rsidP="004A3B18">
      <w:pPr>
        <w:pStyle w:val="Index1"/>
        <w:keepNext/>
        <w:ind w:left="238" w:hanging="238"/>
        <w:rPr>
          <w:noProof/>
        </w:rPr>
      </w:pPr>
    </w:p>
    <w:p w:rsidR="007344D7" w:rsidRDefault="007344D7" w:rsidP="0029451B">
      <w:pPr>
        <w:pStyle w:val="Index1"/>
        <w:rPr>
          <w:noProof/>
        </w:rPr>
      </w:pPr>
      <w:r>
        <w:rPr>
          <w:noProof/>
        </w:rPr>
        <w:t xml:space="preserve">Deduktion  239–41, 268–71, 344–46, </w:t>
      </w:r>
      <w:r w:rsidRPr="0081017A">
        <w:rPr>
          <w:i/>
          <w:noProof/>
        </w:rPr>
        <w:t>et passim</w:t>
      </w:r>
    </w:p>
    <w:p w:rsidR="007344D7" w:rsidRDefault="007344D7" w:rsidP="0029451B">
      <w:pPr>
        <w:pStyle w:val="Index1"/>
        <w:rPr>
          <w:noProof/>
        </w:rPr>
      </w:pPr>
      <w:r>
        <w:rPr>
          <w:noProof/>
        </w:rPr>
        <w:t>Denkstil  49, 430</w:t>
      </w:r>
    </w:p>
    <w:p w:rsidR="007344D7" w:rsidRDefault="007344D7" w:rsidP="0029451B">
      <w:pPr>
        <w:pStyle w:val="Index1"/>
        <w:rPr>
          <w:noProof/>
        </w:rPr>
      </w:pPr>
      <w:r>
        <w:rPr>
          <w:noProof/>
        </w:rPr>
        <w:t>Der Hauptmann von Köpenick (Theaterstück)  435</w:t>
      </w:r>
    </w:p>
    <w:p w:rsidR="007344D7" w:rsidRDefault="007344D7" w:rsidP="0029451B">
      <w:pPr>
        <w:pStyle w:val="Index1"/>
        <w:rPr>
          <w:noProof/>
        </w:rPr>
      </w:pPr>
      <w:r>
        <w:rPr>
          <w:noProof/>
        </w:rPr>
        <w:t>Derrida, Jaques  450</w:t>
      </w:r>
    </w:p>
    <w:p w:rsidR="007344D7" w:rsidRDefault="007344D7" w:rsidP="0029451B">
      <w:pPr>
        <w:pStyle w:val="Index1"/>
        <w:rPr>
          <w:noProof/>
        </w:rPr>
      </w:pPr>
      <w:r>
        <w:rPr>
          <w:noProof/>
        </w:rPr>
        <w:t>Dialekt  254</w:t>
      </w:r>
      <w:r w:rsidR="00063EE2">
        <w:rPr>
          <w:noProof/>
        </w:rPr>
        <w:t>–</w:t>
      </w:r>
      <w:r>
        <w:rPr>
          <w:noProof/>
        </w:rPr>
        <w:t>55, 263, 282, 416</w:t>
      </w:r>
      <w:r w:rsidR="00F47D05">
        <w:rPr>
          <w:noProof/>
        </w:rPr>
        <w:t>–</w:t>
      </w:r>
      <w:r>
        <w:rPr>
          <w:noProof/>
        </w:rPr>
        <w:t>18</w:t>
      </w:r>
    </w:p>
    <w:p w:rsidR="007344D7" w:rsidRDefault="007344D7" w:rsidP="0029451B">
      <w:pPr>
        <w:pStyle w:val="Index1"/>
        <w:rPr>
          <w:noProof/>
        </w:rPr>
      </w:pPr>
      <w:r>
        <w:rPr>
          <w:noProof/>
        </w:rPr>
        <w:t>Dialektik  39, 430</w:t>
      </w:r>
    </w:p>
    <w:p w:rsidR="007344D7" w:rsidRDefault="007344D7" w:rsidP="0029451B">
      <w:pPr>
        <w:pStyle w:val="Index1"/>
        <w:rPr>
          <w:noProof/>
        </w:rPr>
      </w:pPr>
      <w:r>
        <w:rPr>
          <w:noProof/>
        </w:rPr>
        <w:t>Dichotomie (Saussure)  21, 52</w:t>
      </w:r>
      <w:r w:rsidR="00F47D05">
        <w:rPr>
          <w:noProof/>
        </w:rPr>
        <w:t>–</w:t>
      </w:r>
      <w:r>
        <w:rPr>
          <w:noProof/>
        </w:rPr>
        <w:t>53, 103, 119</w:t>
      </w:r>
    </w:p>
    <w:p w:rsidR="007344D7" w:rsidRDefault="007344D7" w:rsidP="0029451B">
      <w:pPr>
        <w:pStyle w:val="Index1"/>
        <w:rPr>
          <w:noProof/>
        </w:rPr>
      </w:pPr>
      <w:r>
        <w:rPr>
          <w:noProof/>
        </w:rPr>
        <w:t>Die neuen Leiden des jungen W. (Theaterstück)  429</w:t>
      </w:r>
    </w:p>
    <w:p w:rsidR="007344D7" w:rsidRDefault="007344D7" w:rsidP="0029451B">
      <w:pPr>
        <w:pStyle w:val="Index1"/>
        <w:rPr>
          <w:noProof/>
        </w:rPr>
      </w:pPr>
      <w:r>
        <w:rPr>
          <w:noProof/>
        </w:rPr>
        <w:t>Disambiguierung  33, 195, 200</w:t>
      </w:r>
      <w:r w:rsidR="00F47D05">
        <w:rPr>
          <w:noProof/>
        </w:rPr>
        <w:t>–</w:t>
      </w:r>
      <w:r>
        <w:rPr>
          <w:noProof/>
        </w:rPr>
        <w:t>1, 206–25, 408, 457</w:t>
      </w:r>
    </w:p>
    <w:p w:rsidR="007344D7" w:rsidRDefault="007344D7" w:rsidP="0029451B">
      <w:pPr>
        <w:pStyle w:val="Index1"/>
        <w:rPr>
          <w:noProof/>
        </w:rPr>
      </w:pPr>
      <w:r>
        <w:rPr>
          <w:noProof/>
        </w:rPr>
        <w:lastRenderedPageBreak/>
        <w:t>Diskursuniversum  134</w:t>
      </w:r>
    </w:p>
    <w:p w:rsidR="007344D7" w:rsidRDefault="007344D7" w:rsidP="0029451B">
      <w:pPr>
        <w:pStyle w:val="Index1"/>
        <w:rPr>
          <w:noProof/>
        </w:rPr>
      </w:pPr>
      <w:r>
        <w:rPr>
          <w:noProof/>
        </w:rPr>
        <w:t>Distribution  54</w:t>
      </w:r>
      <w:r w:rsidR="00F47D05">
        <w:rPr>
          <w:noProof/>
        </w:rPr>
        <w:t>–</w:t>
      </w:r>
      <w:r>
        <w:rPr>
          <w:noProof/>
        </w:rPr>
        <w:t>55, 120</w:t>
      </w:r>
    </w:p>
    <w:p w:rsidR="007344D7" w:rsidRDefault="007344D7" w:rsidP="0029451B">
      <w:pPr>
        <w:pStyle w:val="Index1"/>
        <w:rPr>
          <w:noProof/>
        </w:rPr>
      </w:pPr>
      <w:r>
        <w:rPr>
          <w:noProof/>
        </w:rPr>
        <w:t>dress of thought (Wesley)  26, 65, 93, 105, 404</w:t>
      </w:r>
    </w:p>
    <w:p w:rsidR="007344D7" w:rsidRDefault="007344D7" w:rsidP="0029451B">
      <w:pPr>
        <w:pStyle w:val="Index1"/>
        <w:rPr>
          <w:noProof/>
        </w:rPr>
      </w:pPr>
      <w:r>
        <w:rPr>
          <w:noProof/>
        </w:rPr>
        <w:t>Dualismus (Stilauffassung)  36, 105</w:t>
      </w:r>
    </w:p>
    <w:p w:rsidR="007344D7" w:rsidRDefault="007344D7" w:rsidP="0029451B">
      <w:pPr>
        <w:pStyle w:val="Index1"/>
        <w:rPr>
          <w:noProof/>
        </w:rPr>
      </w:pPr>
      <w:r>
        <w:rPr>
          <w:noProof/>
        </w:rPr>
        <w:t>Durkheim, Émile  432</w:t>
      </w:r>
    </w:p>
    <w:p w:rsidR="007344D7" w:rsidRDefault="007344D7" w:rsidP="0029451B">
      <w:pPr>
        <w:pStyle w:val="Index1"/>
        <w:rPr>
          <w:noProof/>
        </w:rPr>
      </w:pPr>
      <w:r>
        <w:rPr>
          <w:noProof/>
        </w:rPr>
        <w:t>Dürrenmatt, Friedrich  413</w:t>
      </w:r>
    </w:p>
    <w:p w:rsidR="00C33422" w:rsidRDefault="00C33422" w:rsidP="0029451B">
      <w:pPr>
        <w:pStyle w:val="Index1"/>
        <w:rPr>
          <w:noProof/>
        </w:rPr>
      </w:pPr>
    </w:p>
    <w:p w:rsidR="00DB1DF3" w:rsidRPr="00DB1DF3" w:rsidRDefault="00DB1DF3" w:rsidP="004A3B18">
      <w:pPr>
        <w:pStyle w:val="Index1"/>
        <w:keepNext/>
        <w:ind w:left="238" w:hanging="238"/>
        <w:jc w:val="center"/>
        <w:rPr>
          <w:b/>
          <w:noProof/>
        </w:rPr>
      </w:pPr>
      <w:r>
        <w:rPr>
          <w:b/>
          <w:noProof/>
        </w:rPr>
        <w:t>E</w:t>
      </w:r>
    </w:p>
    <w:p w:rsidR="00DB1DF3" w:rsidRDefault="00DB1DF3" w:rsidP="004A3B18">
      <w:pPr>
        <w:pStyle w:val="Index1"/>
        <w:keepNext/>
        <w:ind w:left="238" w:hanging="238"/>
        <w:rPr>
          <w:noProof/>
        </w:rPr>
      </w:pPr>
    </w:p>
    <w:p w:rsidR="007344D7" w:rsidRDefault="007344D7" w:rsidP="00C33422">
      <w:pPr>
        <w:pStyle w:val="Index1"/>
        <w:keepNext/>
        <w:ind w:left="238" w:hanging="238"/>
        <w:rPr>
          <w:noProof/>
        </w:rPr>
      </w:pPr>
      <w:r>
        <w:rPr>
          <w:noProof/>
        </w:rPr>
        <w:t>Eigenschaften</w:t>
      </w:r>
    </w:p>
    <w:p w:rsidR="007344D7" w:rsidRDefault="007344D7">
      <w:pPr>
        <w:pStyle w:val="Index2"/>
        <w:tabs>
          <w:tab w:val="right" w:pos="3032"/>
        </w:tabs>
        <w:rPr>
          <w:noProof/>
        </w:rPr>
      </w:pPr>
      <w:r>
        <w:rPr>
          <w:noProof/>
        </w:rPr>
        <w:t>horizontal-relationale  83, 155–59, 184, 192, 193</w:t>
      </w:r>
    </w:p>
    <w:p w:rsidR="007344D7" w:rsidRDefault="007344D7">
      <w:pPr>
        <w:pStyle w:val="Index3"/>
        <w:tabs>
          <w:tab w:val="right" w:pos="3032"/>
        </w:tabs>
        <w:rPr>
          <w:noProof/>
        </w:rPr>
      </w:pPr>
      <w:r w:rsidRPr="0081017A">
        <w:rPr>
          <w:i/>
          <w:noProof/>
        </w:rPr>
        <w:t>Definition</w:t>
      </w:r>
      <w:r>
        <w:rPr>
          <w:noProof/>
        </w:rPr>
        <w:t xml:space="preserve">  155</w:t>
      </w:r>
    </w:p>
    <w:p w:rsidR="007344D7" w:rsidRDefault="007344D7">
      <w:pPr>
        <w:pStyle w:val="Index2"/>
        <w:tabs>
          <w:tab w:val="right" w:pos="3032"/>
        </w:tabs>
        <w:rPr>
          <w:noProof/>
        </w:rPr>
      </w:pPr>
      <w:r>
        <w:rPr>
          <w:noProof/>
        </w:rPr>
        <w:t>intrinsische  83, 152, 156, 184, 186</w:t>
      </w:r>
    </w:p>
    <w:p w:rsidR="007344D7" w:rsidRDefault="007344D7">
      <w:pPr>
        <w:pStyle w:val="Index3"/>
        <w:tabs>
          <w:tab w:val="right" w:pos="3032"/>
        </w:tabs>
        <w:rPr>
          <w:noProof/>
        </w:rPr>
      </w:pPr>
      <w:r w:rsidRPr="0081017A">
        <w:rPr>
          <w:i/>
          <w:noProof/>
        </w:rPr>
        <w:t>Definition</w:t>
      </w:r>
      <w:r>
        <w:rPr>
          <w:noProof/>
        </w:rPr>
        <w:t xml:space="preserve">  152</w:t>
      </w:r>
    </w:p>
    <w:p w:rsidR="007344D7" w:rsidRDefault="007344D7">
      <w:pPr>
        <w:pStyle w:val="Index2"/>
        <w:tabs>
          <w:tab w:val="right" w:pos="3032"/>
        </w:tabs>
        <w:rPr>
          <w:noProof/>
        </w:rPr>
      </w:pPr>
      <w:r>
        <w:rPr>
          <w:noProof/>
        </w:rPr>
        <w:t>Schemaort-definierende  82, 141, 147, 150, 160</w:t>
      </w:r>
    </w:p>
    <w:p w:rsidR="007344D7" w:rsidRDefault="007344D7">
      <w:pPr>
        <w:pStyle w:val="Index3"/>
        <w:tabs>
          <w:tab w:val="right" w:pos="3032"/>
        </w:tabs>
        <w:rPr>
          <w:noProof/>
        </w:rPr>
      </w:pPr>
      <w:r w:rsidRPr="0081017A">
        <w:rPr>
          <w:i/>
          <w:noProof/>
        </w:rPr>
        <w:t>Definition</w:t>
      </w:r>
      <w:r>
        <w:rPr>
          <w:noProof/>
        </w:rPr>
        <w:t xml:space="preserve">  150</w:t>
      </w:r>
    </w:p>
    <w:p w:rsidR="007344D7" w:rsidRDefault="007344D7">
      <w:pPr>
        <w:pStyle w:val="Index2"/>
        <w:tabs>
          <w:tab w:val="right" w:pos="3032"/>
        </w:tabs>
        <w:rPr>
          <w:noProof/>
        </w:rPr>
      </w:pPr>
      <w:r>
        <w:rPr>
          <w:noProof/>
        </w:rPr>
        <w:t>vertikal-relationale  83, 152–55, 157</w:t>
      </w:r>
    </w:p>
    <w:p w:rsidR="007344D7" w:rsidRDefault="007344D7">
      <w:pPr>
        <w:pStyle w:val="Index3"/>
        <w:tabs>
          <w:tab w:val="right" w:pos="3032"/>
        </w:tabs>
        <w:rPr>
          <w:noProof/>
        </w:rPr>
      </w:pPr>
      <w:r w:rsidRPr="0081017A">
        <w:rPr>
          <w:i/>
          <w:noProof/>
        </w:rPr>
        <w:t>Definition</w:t>
      </w:r>
      <w:r>
        <w:rPr>
          <w:noProof/>
        </w:rPr>
        <w:t xml:space="preserve">  152</w:t>
      </w:r>
    </w:p>
    <w:p w:rsidR="007344D7" w:rsidRDefault="007344D7">
      <w:pPr>
        <w:pStyle w:val="Index2"/>
        <w:tabs>
          <w:tab w:val="right" w:pos="3032"/>
        </w:tabs>
        <w:rPr>
          <w:noProof/>
        </w:rPr>
      </w:pPr>
      <w:r>
        <w:rPr>
          <w:noProof/>
        </w:rPr>
        <w:t>Zusatzeigenschaften  83, 139, 147, 150, 160, 177, 180, 185, 247, 250, 308</w:t>
      </w:r>
      <w:r w:rsidR="00611364">
        <w:rPr>
          <w:noProof/>
        </w:rPr>
        <w:t>–</w:t>
      </w:r>
      <w:r>
        <w:rPr>
          <w:noProof/>
        </w:rPr>
        <w:t>9, 393</w:t>
      </w:r>
    </w:p>
    <w:p w:rsidR="007344D7" w:rsidRDefault="007344D7">
      <w:pPr>
        <w:pStyle w:val="Index3"/>
        <w:tabs>
          <w:tab w:val="right" w:pos="3032"/>
        </w:tabs>
        <w:rPr>
          <w:noProof/>
        </w:rPr>
      </w:pPr>
      <w:r w:rsidRPr="0081017A">
        <w:rPr>
          <w:i/>
          <w:noProof/>
        </w:rPr>
        <w:t>Definition</w:t>
      </w:r>
      <w:r>
        <w:rPr>
          <w:noProof/>
        </w:rPr>
        <w:t xml:space="preserve">  150</w:t>
      </w:r>
    </w:p>
    <w:p w:rsidR="007344D7" w:rsidRDefault="007344D7" w:rsidP="0029451B">
      <w:pPr>
        <w:pStyle w:val="Index1"/>
        <w:rPr>
          <w:noProof/>
        </w:rPr>
      </w:pPr>
      <w:r>
        <w:rPr>
          <w:noProof/>
        </w:rPr>
        <w:t xml:space="preserve">Eindrucksreaktion  239–41, 283–87, 344–46, </w:t>
      </w:r>
      <w:r w:rsidRPr="0081017A">
        <w:rPr>
          <w:i/>
          <w:noProof/>
        </w:rPr>
        <w:t>et passim</w:t>
      </w:r>
    </w:p>
    <w:p w:rsidR="007344D7" w:rsidRDefault="007344D7" w:rsidP="0029451B">
      <w:pPr>
        <w:pStyle w:val="Index1"/>
        <w:rPr>
          <w:noProof/>
        </w:rPr>
      </w:pPr>
      <w:r>
        <w:rPr>
          <w:noProof/>
        </w:rPr>
        <w:t xml:space="preserve">Einschreiben von Merkmalsregeln  87–89,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88</w:t>
      </w:r>
    </w:p>
    <w:p w:rsidR="007344D7" w:rsidRDefault="007344D7">
      <w:pPr>
        <w:pStyle w:val="Index2"/>
        <w:tabs>
          <w:tab w:val="right" w:pos="3032"/>
        </w:tabs>
        <w:rPr>
          <w:noProof/>
        </w:rPr>
      </w:pPr>
      <w:r w:rsidRPr="0081017A">
        <w:rPr>
          <w:i/>
          <w:noProof/>
        </w:rPr>
        <w:t>Funktion</w:t>
      </w:r>
      <w:r>
        <w:rPr>
          <w:noProof/>
        </w:rPr>
        <w:t xml:space="preserve">  188–90</w:t>
      </w:r>
    </w:p>
    <w:p w:rsidR="007344D7" w:rsidRDefault="007344D7" w:rsidP="0029451B">
      <w:pPr>
        <w:pStyle w:val="Index1"/>
        <w:rPr>
          <w:noProof/>
        </w:rPr>
      </w:pPr>
      <w:r>
        <w:rPr>
          <w:noProof/>
        </w:rPr>
        <w:t>Einzelwissenschaft  21, 384–91</w:t>
      </w:r>
    </w:p>
    <w:p w:rsidR="007344D7" w:rsidRDefault="007344D7" w:rsidP="0029451B">
      <w:pPr>
        <w:pStyle w:val="Index1"/>
        <w:rPr>
          <w:noProof/>
        </w:rPr>
      </w:pPr>
      <w:r>
        <w:rPr>
          <w:noProof/>
        </w:rPr>
        <w:t>Elias, Norbert  125, 432</w:t>
      </w:r>
    </w:p>
    <w:p w:rsidR="007344D7" w:rsidRDefault="007344D7" w:rsidP="0029451B">
      <w:pPr>
        <w:pStyle w:val="Index1"/>
        <w:rPr>
          <w:noProof/>
        </w:rPr>
      </w:pPr>
      <w:r w:rsidRPr="0081017A">
        <w:rPr>
          <w:noProof/>
        </w:rPr>
        <w:t>Ellis,</w:t>
      </w:r>
      <w:r>
        <w:rPr>
          <w:noProof/>
        </w:rPr>
        <w:t xml:space="preserve"> </w:t>
      </w:r>
      <w:r w:rsidRPr="0081017A">
        <w:rPr>
          <w:noProof/>
        </w:rPr>
        <w:t>Bret Easton</w:t>
      </w:r>
      <w:r>
        <w:rPr>
          <w:noProof/>
        </w:rPr>
        <w:t xml:space="preserve">  295–98</w:t>
      </w:r>
    </w:p>
    <w:p w:rsidR="007344D7" w:rsidRDefault="007344D7" w:rsidP="0029451B">
      <w:pPr>
        <w:pStyle w:val="Index1"/>
        <w:rPr>
          <w:noProof/>
        </w:rPr>
      </w:pPr>
      <w:r>
        <w:rPr>
          <w:noProof/>
        </w:rPr>
        <w:noBreakHyphen/>
        <w:t>emik  131</w:t>
      </w:r>
    </w:p>
    <w:p w:rsidR="007344D7" w:rsidRDefault="007344D7" w:rsidP="0029451B">
      <w:pPr>
        <w:pStyle w:val="Index1"/>
        <w:rPr>
          <w:noProof/>
        </w:rPr>
      </w:pPr>
      <w:r>
        <w:rPr>
          <w:noProof/>
        </w:rPr>
        <w:t>Empfängerzeichen  383, 389, 423</w:t>
      </w:r>
    </w:p>
    <w:p w:rsidR="007344D7" w:rsidRDefault="007344D7">
      <w:pPr>
        <w:pStyle w:val="Index2"/>
        <w:tabs>
          <w:tab w:val="right" w:pos="3032"/>
        </w:tabs>
        <w:rPr>
          <w:noProof/>
        </w:rPr>
      </w:pPr>
      <w:r w:rsidRPr="0081017A">
        <w:rPr>
          <w:i/>
          <w:noProof/>
        </w:rPr>
        <w:t>Definition</w:t>
      </w:r>
      <w:r>
        <w:rPr>
          <w:noProof/>
        </w:rPr>
        <w:t xml:space="preserve">  381</w:t>
      </w:r>
    </w:p>
    <w:p w:rsidR="007344D7" w:rsidRDefault="007344D7" w:rsidP="0029451B">
      <w:pPr>
        <w:pStyle w:val="Index1"/>
        <w:rPr>
          <w:noProof/>
        </w:rPr>
      </w:pPr>
      <w:r>
        <w:rPr>
          <w:noProof/>
        </w:rPr>
        <w:t>Epoche  17</w:t>
      </w:r>
    </w:p>
    <w:p w:rsidR="007344D7" w:rsidRDefault="007344D7" w:rsidP="0029451B">
      <w:pPr>
        <w:pStyle w:val="Index1"/>
        <w:rPr>
          <w:noProof/>
        </w:rPr>
      </w:pPr>
      <w:r>
        <w:rPr>
          <w:noProof/>
        </w:rPr>
        <w:t>Epochenstil  415–19</w:t>
      </w:r>
    </w:p>
    <w:p w:rsidR="007344D7" w:rsidRDefault="007344D7" w:rsidP="0029451B">
      <w:pPr>
        <w:pStyle w:val="Index1"/>
        <w:rPr>
          <w:noProof/>
        </w:rPr>
      </w:pPr>
      <w:r>
        <w:rPr>
          <w:noProof/>
        </w:rPr>
        <w:t xml:space="preserve">Ergebnisse (der Interpretation)  241–44, 246–67, </w:t>
      </w:r>
      <w:r w:rsidRPr="0081017A">
        <w:rPr>
          <w:i/>
          <w:noProof/>
        </w:rPr>
        <w:t>et passim</w:t>
      </w:r>
    </w:p>
    <w:p w:rsidR="007344D7" w:rsidRDefault="007344D7">
      <w:pPr>
        <w:pStyle w:val="Index2"/>
        <w:tabs>
          <w:tab w:val="right" w:pos="3032"/>
        </w:tabs>
        <w:rPr>
          <w:noProof/>
        </w:rPr>
      </w:pPr>
      <w:r w:rsidRPr="0081017A">
        <w:rPr>
          <w:i/>
          <w:noProof/>
        </w:rPr>
        <w:lastRenderedPageBreak/>
        <w:t>Funktion</w:t>
      </w:r>
      <w:r>
        <w:rPr>
          <w:noProof/>
        </w:rPr>
        <w:t xml:space="preserve">  352–54</w:t>
      </w:r>
    </w:p>
    <w:p w:rsidR="007344D7" w:rsidRDefault="007344D7" w:rsidP="0029451B">
      <w:pPr>
        <w:pStyle w:val="Index1"/>
        <w:rPr>
          <w:noProof/>
        </w:rPr>
      </w:pPr>
      <w:r>
        <w:rPr>
          <w:noProof/>
        </w:rPr>
        <w:t>Ernährungsstil  425</w:t>
      </w:r>
    </w:p>
    <w:p w:rsidR="007344D7" w:rsidRDefault="007344D7" w:rsidP="0029451B">
      <w:pPr>
        <w:pStyle w:val="Index1"/>
        <w:rPr>
          <w:noProof/>
        </w:rPr>
      </w:pPr>
      <w:r>
        <w:rPr>
          <w:noProof/>
        </w:rPr>
        <w:t>Ersetzungsprobe  119, 323</w:t>
      </w:r>
    </w:p>
    <w:p w:rsidR="007344D7" w:rsidRDefault="007344D7" w:rsidP="0029451B">
      <w:pPr>
        <w:pStyle w:val="Index1"/>
        <w:rPr>
          <w:noProof/>
        </w:rPr>
      </w:pPr>
      <w:r>
        <w:rPr>
          <w:noProof/>
        </w:rPr>
        <w:t>Erzählstil  401</w:t>
      </w:r>
    </w:p>
    <w:p w:rsidR="007344D7" w:rsidRDefault="007344D7" w:rsidP="0029451B">
      <w:pPr>
        <w:pStyle w:val="Index1"/>
        <w:rPr>
          <w:noProof/>
        </w:rPr>
      </w:pPr>
      <w:r>
        <w:rPr>
          <w:noProof/>
        </w:rPr>
        <w:noBreakHyphen/>
        <w:t>etik  131</w:t>
      </w:r>
    </w:p>
    <w:p w:rsidR="007344D7" w:rsidRDefault="007344D7" w:rsidP="0029451B">
      <w:pPr>
        <w:pStyle w:val="Index1"/>
        <w:rPr>
          <w:noProof/>
        </w:rPr>
      </w:pPr>
      <w:r>
        <w:rPr>
          <w:noProof/>
        </w:rPr>
        <w:t>Extension  23</w:t>
      </w:r>
      <w:r w:rsidR="00DC7C92">
        <w:rPr>
          <w:noProof/>
        </w:rPr>
        <w:t>–</w:t>
      </w:r>
      <w:r>
        <w:rPr>
          <w:noProof/>
        </w:rPr>
        <w:t>26, 56</w:t>
      </w:r>
      <w:r w:rsidR="00DC7C92">
        <w:rPr>
          <w:noProof/>
        </w:rPr>
        <w:t>–</w:t>
      </w:r>
      <w:r>
        <w:rPr>
          <w:noProof/>
        </w:rPr>
        <w:t>57, 191, 410, 441, 443</w:t>
      </w:r>
      <w:r w:rsidR="00DC7C92">
        <w:rPr>
          <w:noProof/>
        </w:rPr>
        <w:t>–</w:t>
      </w:r>
      <w:r>
        <w:rPr>
          <w:noProof/>
        </w:rPr>
        <w:t>44, 451</w:t>
      </w:r>
    </w:p>
    <w:p w:rsidR="00C33422" w:rsidRDefault="00C33422" w:rsidP="0029451B">
      <w:pPr>
        <w:pStyle w:val="Index1"/>
        <w:rPr>
          <w:noProof/>
        </w:rPr>
      </w:pPr>
    </w:p>
    <w:p w:rsidR="00DB1DF3" w:rsidRPr="00DB1DF3" w:rsidRDefault="00DB1DF3" w:rsidP="004A3B18">
      <w:pPr>
        <w:pStyle w:val="Index1"/>
        <w:keepNext/>
        <w:ind w:left="238" w:hanging="238"/>
        <w:jc w:val="center"/>
        <w:rPr>
          <w:b/>
          <w:noProof/>
        </w:rPr>
      </w:pPr>
      <w:r>
        <w:rPr>
          <w:b/>
          <w:noProof/>
        </w:rPr>
        <w:t>F</w:t>
      </w:r>
    </w:p>
    <w:p w:rsidR="00DB1DF3" w:rsidRDefault="00DB1DF3" w:rsidP="004A3B18">
      <w:pPr>
        <w:pStyle w:val="Index1"/>
        <w:keepNext/>
        <w:ind w:left="238" w:hanging="238"/>
        <w:rPr>
          <w:noProof/>
        </w:rPr>
      </w:pPr>
    </w:p>
    <w:p w:rsidR="007344D7" w:rsidRDefault="007344D7" w:rsidP="0029451B">
      <w:pPr>
        <w:pStyle w:val="Index1"/>
        <w:rPr>
          <w:noProof/>
        </w:rPr>
      </w:pPr>
      <w:r>
        <w:rPr>
          <w:noProof/>
        </w:rPr>
        <w:t>Fachsprache  415–19</w:t>
      </w:r>
    </w:p>
    <w:p w:rsidR="007344D7" w:rsidRDefault="007344D7" w:rsidP="0029451B">
      <w:pPr>
        <w:pStyle w:val="Index1"/>
        <w:rPr>
          <w:noProof/>
        </w:rPr>
      </w:pPr>
      <w:r>
        <w:rPr>
          <w:noProof/>
        </w:rPr>
        <w:t>Fahrplan (Textsorte)  47</w:t>
      </w:r>
    </w:p>
    <w:p w:rsidR="007344D7" w:rsidRDefault="007344D7" w:rsidP="0029451B">
      <w:pPr>
        <w:pStyle w:val="Index1"/>
        <w:rPr>
          <w:noProof/>
        </w:rPr>
      </w:pPr>
      <w:r>
        <w:rPr>
          <w:noProof/>
        </w:rPr>
        <w:t>Fahrstil  18, 37, 43–48, 52, 57, 64, 75, 90, 234, 263, 398, 401</w:t>
      </w:r>
    </w:p>
    <w:p w:rsidR="007344D7" w:rsidRDefault="007344D7" w:rsidP="0029451B">
      <w:pPr>
        <w:pStyle w:val="Index1"/>
        <w:rPr>
          <w:noProof/>
        </w:rPr>
      </w:pPr>
      <w:r>
        <w:rPr>
          <w:noProof/>
        </w:rPr>
        <w:t>Fälschung  431, 433</w:t>
      </w:r>
    </w:p>
    <w:p w:rsidR="007344D7" w:rsidRDefault="007344D7" w:rsidP="0029451B">
      <w:pPr>
        <w:pStyle w:val="Index1"/>
        <w:rPr>
          <w:noProof/>
        </w:rPr>
      </w:pPr>
      <w:r>
        <w:rPr>
          <w:noProof/>
        </w:rPr>
        <w:t>Falsifikat  431</w:t>
      </w:r>
    </w:p>
    <w:p w:rsidR="007344D7" w:rsidRDefault="007344D7" w:rsidP="0029451B">
      <w:pPr>
        <w:pStyle w:val="Index1"/>
        <w:rPr>
          <w:noProof/>
        </w:rPr>
      </w:pPr>
      <w:r>
        <w:rPr>
          <w:noProof/>
        </w:rPr>
        <w:t>Familienähnlichkeit (Wittgenstein)  409</w:t>
      </w:r>
    </w:p>
    <w:p w:rsidR="007344D7" w:rsidRDefault="007344D7" w:rsidP="0029451B">
      <w:pPr>
        <w:pStyle w:val="Index1"/>
        <w:rPr>
          <w:noProof/>
        </w:rPr>
      </w:pPr>
      <w:r>
        <w:rPr>
          <w:noProof/>
        </w:rPr>
        <w:t>Fantasy-Literatur  108</w:t>
      </w:r>
    </w:p>
    <w:p w:rsidR="007344D7" w:rsidRDefault="007344D7" w:rsidP="0029451B">
      <w:pPr>
        <w:pStyle w:val="Index1"/>
        <w:rPr>
          <w:noProof/>
        </w:rPr>
      </w:pPr>
      <w:r>
        <w:rPr>
          <w:noProof/>
        </w:rPr>
        <w:t>Farnsworth-Haus (Mies van der Rohe)  58</w:t>
      </w:r>
    </w:p>
    <w:p w:rsidR="007344D7" w:rsidRDefault="007344D7" w:rsidP="0029451B">
      <w:pPr>
        <w:pStyle w:val="Index1"/>
        <w:rPr>
          <w:noProof/>
        </w:rPr>
      </w:pPr>
      <w:r>
        <w:rPr>
          <w:noProof/>
        </w:rPr>
        <w:t>Fassade  59, 86, 88, 161, 183, 194, 218, 227, 230</w:t>
      </w:r>
      <w:r w:rsidR="00DC7C92">
        <w:rPr>
          <w:noProof/>
        </w:rPr>
        <w:t>–</w:t>
      </w:r>
      <w:r>
        <w:rPr>
          <w:noProof/>
        </w:rPr>
        <w:t>31, 262, 286, 292</w:t>
      </w:r>
    </w:p>
    <w:p w:rsidR="007344D7" w:rsidRDefault="007344D7" w:rsidP="0029451B">
      <w:pPr>
        <w:pStyle w:val="Index1"/>
        <w:rPr>
          <w:noProof/>
        </w:rPr>
      </w:pPr>
      <w:r>
        <w:rPr>
          <w:noProof/>
        </w:rPr>
        <w:t>Fehlerlinguistik  426</w:t>
      </w:r>
    </w:p>
    <w:p w:rsidR="007344D7" w:rsidRDefault="007344D7" w:rsidP="0029451B">
      <w:pPr>
        <w:pStyle w:val="Index1"/>
        <w:rPr>
          <w:noProof/>
        </w:rPr>
      </w:pPr>
      <w:r>
        <w:rPr>
          <w:noProof/>
        </w:rPr>
        <w:t>Felix Krull (Roman)  435</w:t>
      </w:r>
    </w:p>
    <w:p w:rsidR="007344D7" w:rsidRDefault="007344D7" w:rsidP="0029451B">
      <w:pPr>
        <w:pStyle w:val="Index1"/>
        <w:rPr>
          <w:noProof/>
        </w:rPr>
      </w:pPr>
      <w:r>
        <w:rPr>
          <w:noProof/>
        </w:rPr>
        <w:t>Filme  54, 167</w:t>
      </w:r>
    </w:p>
    <w:p w:rsidR="007344D7" w:rsidRDefault="007344D7">
      <w:pPr>
        <w:pStyle w:val="Index2"/>
        <w:tabs>
          <w:tab w:val="right" w:pos="3032"/>
        </w:tabs>
        <w:rPr>
          <w:noProof/>
        </w:rPr>
      </w:pPr>
      <w:r>
        <w:rPr>
          <w:noProof/>
        </w:rPr>
        <w:t>mentale  327</w:t>
      </w:r>
    </w:p>
    <w:p w:rsidR="007344D7" w:rsidRDefault="007344D7" w:rsidP="0029451B">
      <w:pPr>
        <w:pStyle w:val="Index1"/>
        <w:rPr>
          <w:noProof/>
        </w:rPr>
      </w:pPr>
      <w:r>
        <w:rPr>
          <w:noProof/>
        </w:rPr>
        <w:t>Fingerabdruck, sprachlicher  128</w:t>
      </w:r>
    </w:p>
    <w:p w:rsidR="007344D7" w:rsidRDefault="007344D7" w:rsidP="0029451B">
      <w:pPr>
        <w:pStyle w:val="Index1"/>
        <w:rPr>
          <w:noProof/>
        </w:rPr>
      </w:pPr>
      <w:r>
        <w:rPr>
          <w:noProof/>
        </w:rPr>
        <w:t>Flugstil  55, 386</w:t>
      </w:r>
    </w:p>
    <w:p w:rsidR="007344D7" w:rsidRDefault="007344D7" w:rsidP="0029451B">
      <w:pPr>
        <w:pStyle w:val="Index1"/>
        <w:rPr>
          <w:noProof/>
        </w:rPr>
      </w:pPr>
      <w:r>
        <w:rPr>
          <w:noProof/>
        </w:rPr>
        <w:t>forensische Linguistik  127, 156</w:t>
      </w:r>
    </w:p>
    <w:p w:rsidR="007344D7" w:rsidRDefault="007344D7" w:rsidP="0029451B">
      <w:pPr>
        <w:pStyle w:val="Index1"/>
        <w:rPr>
          <w:noProof/>
        </w:rPr>
      </w:pPr>
      <w:r>
        <w:rPr>
          <w:noProof/>
        </w:rPr>
        <w:t>Formalisierung  24, 29</w:t>
      </w:r>
      <w:r w:rsidR="00DC7C92">
        <w:rPr>
          <w:noProof/>
        </w:rPr>
        <w:t>–</w:t>
      </w:r>
      <w:r>
        <w:rPr>
          <w:noProof/>
        </w:rPr>
        <w:t>31, 371, 454</w:t>
      </w:r>
    </w:p>
    <w:p w:rsidR="007344D7" w:rsidRDefault="007344D7" w:rsidP="0029451B">
      <w:pPr>
        <w:pStyle w:val="Index1"/>
        <w:rPr>
          <w:noProof/>
        </w:rPr>
      </w:pPr>
      <w:r>
        <w:rPr>
          <w:noProof/>
        </w:rPr>
        <w:t xml:space="preserve">Formalismus (Ästhetik)  </w:t>
      </w:r>
      <w:r w:rsidR="0033744E">
        <w:rPr>
          <w:i/>
          <w:noProof/>
        </w:rPr>
        <w:t>s</w:t>
      </w:r>
      <w:r w:rsidRPr="0081017A">
        <w:rPr>
          <w:i/>
          <w:noProof/>
        </w:rPr>
        <w:t>iehe</w:t>
      </w:r>
      <w:r w:rsidRPr="0081017A">
        <w:rPr>
          <w:noProof/>
        </w:rPr>
        <w:t xml:space="preserve"> Russischer Formalismus</w:t>
      </w:r>
    </w:p>
    <w:p w:rsidR="007344D7" w:rsidRDefault="007344D7" w:rsidP="0029451B">
      <w:pPr>
        <w:pStyle w:val="Index1"/>
        <w:rPr>
          <w:noProof/>
        </w:rPr>
      </w:pPr>
      <w:r w:rsidRPr="0081017A">
        <w:rPr>
          <w:rFonts w:cs="Times New Roman"/>
          <w:noProof/>
        </w:rPr>
        <w:t>Fortbewegungsstil</w:t>
      </w:r>
      <w:r>
        <w:rPr>
          <w:noProof/>
        </w:rPr>
        <w:t xml:space="preserve">  65, 321–29, 425</w:t>
      </w:r>
    </w:p>
    <w:p w:rsidR="007344D7" w:rsidRDefault="007344D7" w:rsidP="0029451B">
      <w:pPr>
        <w:pStyle w:val="Index1"/>
        <w:rPr>
          <w:noProof/>
        </w:rPr>
      </w:pPr>
      <w:r>
        <w:rPr>
          <w:noProof/>
        </w:rPr>
        <w:t>Foucault, Michel  450</w:t>
      </w:r>
    </w:p>
    <w:p w:rsidR="007344D7" w:rsidRDefault="007344D7" w:rsidP="0029451B">
      <w:pPr>
        <w:pStyle w:val="Index1"/>
        <w:rPr>
          <w:noProof/>
        </w:rPr>
      </w:pPr>
      <w:r>
        <w:rPr>
          <w:noProof/>
        </w:rPr>
        <w:t>Frankl, Paul  102, 299–305, 325</w:t>
      </w:r>
    </w:p>
    <w:p w:rsidR="007344D7" w:rsidRDefault="007344D7" w:rsidP="0029451B">
      <w:pPr>
        <w:pStyle w:val="Index1"/>
        <w:rPr>
          <w:noProof/>
        </w:rPr>
      </w:pPr>
      <w:r>
        <w:rPr>
          <w:noProof/>
        </w:rPr>
        <w:t>funktionale Bedingungen  42, 47, 52, 63, 68, 79, 101, 129, 139</w:t>
      </w:r>
      <w:r w:rsidR="00DC7C92">
        <w:rPr>
          <w:noProof/>
        </w:rPr>
        <w:t>–</w:t>
      </w:r>
      <w:r>
        <w:rPr>
          <w:noProof/>
        </w:rPr>
        <w:t>40, 150, 160, 168, 222</w:t>
      </w:r>
      <w:r w:rsidR="00DC7C92">
        <w:rPr>
          <w:noProof/>
        </w:rPr>
        <w:t>–</w:t>
      </w:r>
      <w:r>
        <w:rPr>
          <w:noProof/>
        </w:rPr>
        <w:t>23, 275, 330, 402, 411</w:t>
      </w:r>
    </w:p>
    <w:p w:rsidR="007344D7" w:rsidRDefault="007344D7" w:rsidP="0029451B">
      <w:pPr>
        <w:pStyle w:val="Index1"/>
        <w:rPr>
          <w:noProof/>
        </w:rPr>
      </w:pPr>
      <w:r>
        <w:rPr>
          <w:noProof/>
        </w:rPr>
        <w:t>funktionale Programmierung  31</w:t>
      </w:r>
    </w:p>
    <w:p w:rsidR="007344D7" w:rsidRDefault="007344D7" w:rsidP="0029451B">
      <w:pPr>
        <w:pStyle w:val="Index1"/>
        <w:rPr>
          <w:noProof/>
        </w:rPr>
      </w:pPr>
      <w:r>
        <w:rPr>
          <w:noProof/>
        </w:rPr>
        <w:t>Funktionalstilistik  47, 451</w:t>
      </w:r>
    </w:p>
    <w:p w:rsidR="00C33422" w:rsidRDefault="00C33422" w:rsidP="0029451B">
      <w:pPr>
        <w:pStyle w:val="Index1"/>
        <w:rPr>
          <w:noProof/>
        </w:rPr>
      </w:pPr>
    </w:p>
    <w:p w:rsidR="00DB1DF3" w:rsidRPr="00DB1DF3" w:rsidRDefault="00DB1DF3" w:rsidP="00DB1DF3">
      <w:pPr>
        <w:pStyle w:val="Index1"/>
        <w:keepNext/>
        <w:ind w:left="238" w:hanging="238"/>
        <w:jc w:val="center"/>
        <w:rPr>
          <w:b/>
          <w:noProof/>
        </w:rPr>
      </w:pPr>
      <w:r>
        <w:rPr>
          <w:b/>
          <w:noProof/>
        </w:rPr>
        <w:lastRenderedPageBreak/>
        <w:t>G</w:t>
      </w:r>
    </w:p>
    <w:p w:rsidR="00DB1DF3" w:rsidRDefault="00DB1DF3" w:rsidP="00DB1DF3">
      <w:pPr>
        <w:pStyle w:val="Index1"/>
        <w:keepNext/>
        <w:ind w:left="238" w:hanging="238"/>
        <w:rPr>
          <w:noProof/>
        </w:rPr>
      </w:pPr>
    </w:p>
    <w:p w:rsidR="007344D7" w:rsidRDefault="007344D7" w:rsidP="0029451B">
      <w:pPr>
        <w:pStyle w:val="Index1"/>
        <w:rPr>
          <w:noProof/>
        </w:rPr>
      </w:pPr>
      <w:r>
        <w:rPr>
          <w:noProof/>
        </w:rPr>
        <w:t>Gadamer, Hans-Georg  427, 450</w:t>
      </w:r>
    </w:p>
    <w:p w:rsidR="007344D7" w:rsidRDefault="007344D7" w:rsidP="0029451B">
      <w:pPr>
        <w:pStyle w:val="Index1"/>
        <w:rPr>
          <w:noProof/>
        </w:rPr>
      </w:pPr>
      <w:r>
        <w:rPr>
          <w:noProof/>
        </w:rPr>
        <w:t>Gattung  20, 128, 132, 400, 412–13, 458</w:t>
      </w:r>
    </w:p>
    <w:p w:rsidR="007344D7" w:rsidRDefault="007344D7" w:rsidP="0029451B">
      <w:pPr>
        <w:pStyle w:val="Index1"/>
        <w:rPr>
          <w:noProof/>
        </w:rPr>
      </w:pPr>
      <w:r w:rsidRPr="0081017A">
        <w:rPr>
          <w:noProof/>
        </w:rPr>
        <w:t>Gattungskonventionen</w:t>
      </w:r>
      <w:r>
        <w:rPr>
          <w:noProof/>
        </w:rPr>
        <w:t xml:space="preserve">  114</w:t>
      </w:r>
    </w:p>
    <w:p w:rsidR="007344D7" w:rsidRDefault="007344D7" w:rsidP="0029451B">
      <w:pPr>
        <w:pStyle w:val="Index1"/>
        <w:rPr>
          <w:noProof/>
        </w:rPr>
      </w:pPr>
      <w:r>
        <w:rPr>
          <w:noProof/>
        </w:rPr>
        <w:t xml:space="preserve">Gefühlsreaktion  239–41, 281–83, 344–46, </w:t>
      </w:r>
      <w:r w:rsidRPr="0081017A">
        <w:rPr>
          <w:i/>
          <w:noProof/>
        </w:rPr>
        <w:t>et passim</w:t>
      </w:r>
    </w:p>
    <w:p w:rsidR="007344D7" w:rsidRDefault="007344D7" w:rsidP="0029451B">
      <w:pPr>
        <w:pStyle w:val="Index1"/>
        <w:rPr>
          <w:noProof/>
        </w:rPr>
      </w:pPr>
      <w:r>
        <w:rPr>
          <w:noProof/>
        </w:rPr>
        <w:t>Gegenstandsbereich  19, 90, 108, 162, 249, 384</w:t>
      </w:r>
      <w:r w:rsidR="00123960">
        <w:rPr>
          <w:noProof/>
        </w:rPr>
        <w:t>–</w:t>
      </w:r>
      <w:r>
        <w:rPr>
          <w:noProof/>
        </w:rPr>
        <w:t>85, 389</w:t>
      </w:r>
      <w:r w:rsidR="00123960">
        <w:rPr>
          <w:noProof/>
        </w:rPr>
        <w:t>–</w:t>
      </w:r>
      <w:r>
        <w:rPr>
          <w:noProof/>
        </w:rPr>
        <w:t>91, 397, 422, 448, 450, 452</w:t>
      </w:r>
      <w:r w:rsidR="00123960">
        <w:rPr>
          <w:noProof/>
        </w:rPr>
        <w:t>–</w:t>
      </w:r>
      <w:r>
        <w:rPr>
          <w:noProof/>
        </w:rPr>
        <w:t>55</w:t>
      </w:r>
    </w:p>
    <w:p w:rsidR="007344D7" w:rsidRDefault="007344D7" w:rsidP="0029451B">
      <w:pPr>
        <w:pStyle w:val="Index1"/>
        <w:rPr>
          <w:noProof/>
        </w:rPr>
      </w:pPr>
      <w:r>
        <w:rPr>
          <w:noProof/>
        </w:rPr>
        <w:t>Gehirn  278, 419, 433, 448</w:t>
      </w:r>
    </w:p>
    <w:p w:rsidR="007344D7" w:rsidRDefault="007344D7" w:rsidP="0029451B">
      <w:pPr>
        <w:pStyle w:val="Index1"/>
        <w:rPr>
          <w:noProof/>
        </w:rPr>
      </w:pPr>
      <w:r>
        <w:rPr>
          <w:noProof/>
        </w:rPr>
        <w:t>Gehstil  18, 71, 88, 242, 250, 321–29, 368, 406</w:t>
      </w:r>
    </w:p>
    <w:p w:rsidR="007344D7" w:rsidRDefault="007344D7" w:rsidP="0029451B">
      <w:pPr>
        <w:pStyle w:val="Index1"/>
        <w:rPr>
          <w:noProof/>
        </w:rPr>
      </w:pPr>
      <w:r>
        <w:rPr>
          <w:noProof/>
        </w:rPr>
        <w:t>Geisteswissenschaften  29, 138, 300, 445, 447, 448, 450–53, 458–60</w:t>
      </w:r>
    </w:p>
    <w:p w:rsidR="007344D7" w:rsidRDefault="007344D7" w:rsidP="0029451B">
      <w:pPr>
        <w:pStyle w:val="Index1"/>
        <w:rPr>
          <w:noProof/>
        </w:rPr>
      </w:pPr>
      <w:r>
        <w:rPr>
          <w:noProof/>
        </w:rPr>
        <w:t>generative Grammatik  433, 447</w:t>
      </w:r>
    </w:p>
    <w:p w:rsidR="007344D7" w:rsidRDefault="007344D7" w:rsidP="0029451B">
      <w:pPr>
        <w:pStyle w:val="Index1"/>
        <w:rPr>
          <w:noProof/>
        </w:rPr>
      </w:pPr>
      <w:r>
        <w:rPr>
          <w:noProof/>
        </w:rPr>
        <w:t>Genre  412–13</w:t>
      </w:r>
    </w:p>
    <w:p w:rsidR="007344D7" w:rsidRDefault="007344D7" w:rsidP="0029451B">
      <w:pPr>
        <w:pStyle w:val="Index1"/>
        <w:rPr>
          <w:noProof/>
        </w:rPr>
      </w:pPr>
      <w:r>
        <w:rPr>
          <w:noProof/>
        </w:rPr>
        <w:t>Gesellschaft  20, 126, 133, 148, 174, 194, 271, 274, 296</w:t>
      </w:r>
      <w:r w:rsidR="00942307">
        <w:rPr>
          <w:noProof/>
        </w:rPr>
        <w:t>–</w:t>
      </w:r>
      <w:r>
        <w:rPr>
          <w:noProof/>
        </w:rPr>
        <w:t>298, 384, 388, 406, 425, 428–38, 444, 448, 458</w:t>
      </w:r>
    </w:p>
    <w:p w:rsidR="007344D7" w:rsidRDefault="007344D7" w:rsidP="0029451B">
      <w:pPr>
        <w:pStyle w:val="Index1"/>
        <w:rPr>
          <w:noProof/>
        </w:rPr>
      </w:pPr>
      <w:r>
        <w:rPr>
          <w:noProof/>
        </w:rPr>
        <w:t>Gestalttheorie  323</w:t>
      </w:r>
    </w:p>
    <w:p w:rsidR="007344D7" w:rsidRDefault="007344D7" w:rsidP="0029451B">
      <w:pPr>
        <w:pStyle w:val="Index1"/>
        <w:rPr>
          <w:noProof/>
        </w:rPr>
      </w:pPr>
      <w:r w:rsidRPr="0081017A">
        <w:rPr>
          <w:noProof/>
        </w:rPr>
        <w:t>Glamorama (Roman)</w:t>
      </w:r>
      <w:r>
        <w:rPr>
          <w:noProof/>
        </w:rPr>
        <w:t xml:space="preserve">  295–98</w:t>
      </w:r>
    </w:p>
    <w:p w:rsidR="007344D7" w:rsidRDefault="007344D7" w:rsidP="0029451B">
      <w:pPr>
        <w:pStyle w:val="Index1"/>
        <w:rPr>
          <w:noProof/>
        </w:rPr>
      </w:pPr>
      <w:r>
        <w:rPr>
          <w:noProof/>
        </w:rPr>
        <w:t>globale Häufigkeit  225–29</w:t>
      </w:r>
    </w:p>
    <w:p w:rsidR="007344D7" w:rsidRDefault="007344D7" w:rsidP="0029451B">
      <w:pPr>
        <w:pStyle w:val="Index1"/>
        <w:rPr>
          <w:noProof/>
        </w:rPr>
      </w:pPr>
      <w:r>
        <w:rPr>
          <w:noProof/>
        </w:rPr>
        <w:t>Goethe, Johann Wolfgang von  323, 425, 427</w:t>
      </w:r>
    </w:p>
    <w:p w:rsidR="007344D7" w:rsidRDefault="007344D7" w:rsidP="0029451B">
      <w:pPr>
        <w:pStyle w:val="Index1"/>
        <w:rPr>
          <w:noProof/>
        </w:rPr>
      </w:pPr>
      <w:r w:rsidRPr="0081017A">
        <w:rPr>
          <w:noProof/>
          <w:lang w:val="en-US"/>
        </w:rPr>
        <w:t>Goodman, Nelson</w:t>
      </w:r>
      <w:r>
        <w:rPr>
          <w:noProof/>
        </w:rPr>
        <w:t xml:space="preserve">  67</w:t>
      </w:r>
      <w:r w:rsidR="00942307">
        <w:rPr>
          <w:noProof/>
        </w:rPr>
        <w:t>–</w:t>
      </w:r>
      <w:r>
        <w:rPr>
          <w:noProof/>
        </w:rPr>
        <w:t>69, 106, 243, 423</w:t>
      </w:r>
    </w:p>
    <w:p w:rsidR="007344D7" w:rsidRDefault="007344D7" w:rsidP="0029451B">
      <w:pPr>
        <w:pStyle w:val="Index1"/>
        <w:rPr>
          <w:noProof/>
        </w:rPr>
      </w:pPr>
      <w:r>
        <w:rPr>
          <w:noProof/>
        </w:rPr>
        <w:t>Gotik  299–305</w:t>
      </w:r>
    </w:p>
    <w:p w:rsidR="007344D7" w:rsidRDefault="007344D7" w:rsidP="0029451B">
      <w:pPr>
        <w:pStyle w:val="Index1"/>
        <w:rPr>
          <w:noProof/>
        </w:rPr>
      </w:pPr>
      <w:r>
        <w:rPr>
          <w:noProof/>
        </w:rPr>
        <w:t>Gottfried von Straßburg  42</w:t>
      </w:r>
    </w:p>
    <w:p w:rsidR="007344D7" w:rsidRDefault="007344D7" w:rsidP="0029451B">
      <w:pPr>
        <w:pStyle w:val="Index1"/>
        <w:rPr>
          <w:noProof/>
        </w:rPr>
      </w:pPr>
      <w:r>
        <w:rPr>
          <w:noProof/>
        </w:rPr>
        <w:t>Graph  131</w:t>
      </w:r>
    </w:p>
    <w:p w:rsidR="007344D7" w:rsidRDefault="007344D7" w:rsidP="0029451B">
      <w:pPr>
        <w:pStyle w:val="Index1"/>
        <w:rPr>
          <w:noProof/>
        </w:rPr>
      </w:pPr>
      <w:r>
        <w:rPr>
          <w:noProof/>
        </w:rPr>
        <w:t>Graphem  131</w:t>
      </w:r>
    </w:p>
    <w:p w:rsidR="007344D7" w:rsidRDefault="007344D7" w:rsidP="0029451B">
      <w:pPr>
        <w:pStyle w:val="Index1"/>
        <w:rPr>
          <w:noProof/>
        </w:rPr>
      </w:pPr>
      <w:r>
        <w:rPr>
          <w:noProof/>
        </w:rPr>
        <w:t>Graphemik  156</w:t>
      </w:r>
    </w:p>
    <w:p w:rsidR="007344D7" w:rsidRDefault="007344D7" w:rsidP="0029451B">
      <w:pPr>
        <w:pStyle w:val="Index1"/>
        <w:rPr>
          <w:noProof/>
        </w:rPr>
      </w:pPr>
      <w:r w:rsidRPr="0081017A">
        <w:rPr>
          <w:rFonts w:eastAsia="Times New Roman" w:cs="Times New Roman"/>
          <w:noProof/>
        </w:rPr>
        <w:t>Graphetik</w:t>
      </w:r>
      <w:r>
        <w:rPr>
          <w:noProof/>
        </w:rPr>
        <w:t xml:space="preserve">  111, 131</w:t>
      </w:r>
    </w:p>
    <w:p w:rsidR="007344D7" w:rsidRDefault="007344D7" w:rsidP="0029451B">
      <w:pPr>
        <w:pStyle w:val="Index1"/>
        <w:rPr>
          <w:noProof/>
        </w:rPr>
      </w:pPr>
      <w:r>
        <w:rPr>
          <w:noProof/>
        </w:rPr>
        <w:t>Grundlagenwissenschaft  21, 384–91, 460</w:t>
      </w:r>
    </w:p>
    <w:p w:rsidR="007344D7" w:rsidRDefault="007344D7" w:rsidP="0029451B">
      <w:pPr>
        <w:pStyle w:val="Index1"/>
        <w:rPr>
          <w:noProof/>
        </w:rPr>
      </w:pPr>
      <w:r>
        <w:rPr>
          <w:noProof/>
        </w:rPr>
        <w:t>Gruppenstil  407–11</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H</w:t>
      </w:r>
    </w:p>
    <w:p w:rsidR="00DB1DF3" w:rsidRDefault="00DB1DF3" w:rsidP="004A3B18">
      <w:pPr>
        <w:pStyle w:val="Index1"/>
        <w:keepNext/>
        <w:ind w:left="238" w:hanging="238"/>
        <w:rPr>
          <w:noProof/>
        </w:rPr>
      </w:pPr>
    </w:p>
    <w:p w:rsidR="007344D7" w:rsidRDefault="007344D7" w:rsidP="0029451B">
      <w:pPr>
        <w:pStyle w:val="Index1"/>
        <w:rPr>
          <w:noProof/>
        </w:rPr>
      </w:pPr>
      <w:r>
        <w:rPr>
          <w:noProof/>
        </w:rPr>
        <w:t>Habitus  432–36</w:t>
      </w:r>
    </w:p>
    <w:p w:rsidR="007344D7" w:rsidRDefault="007344D7" w:rsidP="0029451B">
      <w:pPr>
        <w:pStyle w:val="Index1"/>
        <w:rPr>
          <w:noProof/>
        </w:rPr>
      </w:pPr>
      <w:r>
        <w:rPr>
          <w:noProof/>
        </w:rPr>
        <w:t>Handlungstheorie  20, 116</w:t>
      </w:r>
      <w:r w:rsidR="00942307">
        <w:rPr>
          <w:noProof/>
        </w:rPr>
        <w:t>–</w:t>
      </w:r>
      <w:r>
        <w:rPr>
          <w:noProof/>
        </w:rPr>
        <w:t>17</w:t>
      </w:r>
    </w:p>
    <w:p w:rsidR="007344D7" w:rsidRDefault="007344D7" w:rsidP="0029451B">
      <w:pPr>
        <w:pStyle w:val="Index1"/>
        <w:rPr>
          <w:noProof/>
        </w:rPr>
      </w:pPr>
      <w:r>
        <w:rPr>
          <w:noProof/>
        </w:rPr>
        <w:t>Happening  414, 422</w:t>
      </w:r>
    </w:p>
    <w:p w:rsidR="007344D7" w:rsidRDefault="007344D7" w:rsidP="0029451B">
      <w:pPr>
        <w:pStyle w:val="Index1"/>
        <w:rPr>
          <w:noProof/>
        </w:rPr>
      </w:pPr>
      <w:r>
        <w:rPr>
          <w:noProof/>
        </w:rPr>
        <w:lastRenderedPageBreak/>
        <w:t>Harmonik  313, 388</w:t>
      </w:r>
    </w:p>
    <w:p w:rsidR="007344D7" w:rsidRDefault="007344D7" w:rsidP="0029451B">
      <w:pPr>
        <w:pStyle w:val="Index1"/>
        <w:rPr>
          <w:noProof/>
        </w:rPr>
      </w:pPr>
      <w:r>
        <w:rPr>
          <w:noProof/>
        </w:rPr>
        <w:t>Heidegger, Martin  450</w:t>
      </w:r>
    </w:p>
    <w:p w:rsidR="007344D7" w:rsidRDefault="007344D7" w:rsidP="0029451B">
      <w:pPr>
        <w:pStyle w:val="Index1"/>
        <w:rPr>
          <w:noProof/>
        </w:rPr>
      </w:pPr>
      <w:r>
        <w:rPr>
          <w:noProof/>
        </w:rPr>
        <w:t>Heine, Heinrich  126</w:t>
      </w:r>
    </w:p>
    <w:p w:rsidR="007344D7" w:rsidRDefault="007344D7" w:rsidP="0029451B">
      <w:pPr>
        <w:pStyle w:val="Index1"/>
        <w:rPr>
          <w:noProof/>
        </w:rPr>
      </w:pPr>
      <w:r>
        <w:rPr>
          <w:noProof/>
        </w:rPr>
        <w:t>Hemingway, Ernest  126</w:t>
      </w:r>
    </w:p>
    <w:p w:rsidR="007344D7" w:rsidRDefault="007344D7" w:rsidP="0029451B">
      <w:pPr>
        <w:pStyle w:val="Index1"/>
        <w:rPr>
          <w:noProof/>
        </w:rPr>
      </w:pPr>
      <w:r w:rsidRPr="0081017A">
        <w:rPr>
          <w:rFonts w:eastAsia="Times New Roman" w:cs="Times New Roman"/>
          <w:noProof/>
        </w:rPr>
        <w:t>Hermeneutik</w:t>
      </w:r>
      <w:r>
        <w:rPr>
          <w:noProof/>
        </w:rPr>
        <w:t xml:space="preserve">  115, 450, 453, 456</w:t>
      </w:r>
    </w:p>
    <w:p w:rsidR="007344D7" w:rsidRDefault="007344D7" w:rsidP="0029451B">
      <w:pPr>
        <w:pStyle w:val="Index1"/>
        <w:rPr>
          <w:noProof/>
        </w:rPr>
      </w:pPr>
      <w:r>
        <w:rPr>
          <w:noProof/>
        </w:rPr>
        <w:t xml:space="preserve">Hintergrundwissen  245, </w:t>
      </w:r>
      <w:r w:rsidRPr="0081017A">
        <w:rPr>
          <w:i/>
          <w:noProof/>
        </w:rPr>
        <w:t>et passim</w:t>
      </w:r>
    </w:p>
    <w:p w:rsidR="007344D7" w:rsidRDefault="007344D7">
      <w:pPr>
        <w:pStyle w:val="Index2"/>
        <w:tabs>
          <w:tab w:val="right" w:pos="3032"/>
        </w:tabs>
        <w:rPr>
          <w:noProof/>
        </w:rPr>
      </w:pPr>
      <w:r w:rsidRPr="0081017A">
        <w:rPr>
          <w:i/>
          <w:noProof/>
        </w:rPr>
        <w:t>Funktion</w:t>
      </w:r>
      <w:r>
        <w:rPr>
          <w:noProof/>
        </w:rPr>
        <w:t xml:space="preserve">  349–52</w:t>
      </w:r>
    </w:p>
    <w:p w:rsidR="007344D7" w:rsidRDefault="007344D7" w:rsidP="0029451B">
      <w:pPr>
        <w:pStyle w:val="Index1"/>
        <w:rPr>
          <w:noProof/>
        </w:rPr>
      </w:pPr>
      <w:r>
        <w:rPr>
          <w:noProof/>
        </w:rPr>
        <w:t>Hjelmslev  37, 52, 131</w:t>
      </w:r>
    </w:p>
    <w:p w:rsidR="007344D7" w:rsidRDefault="007344D7" w:rsidP="0029451B">
      <w:pPr>
        <w:pStyle w:val="Index1"/>
        <w:rPr>
          <w:noProof/>
        </w:rPr>
      </w:pPr>
      <w:r>
        <w:rPr>
          <w:noProof/>
        </w:rPr>
        <w:t>Holismus  278, 323, 335, 371, 445</w:t>
      </w:r>
    </w:p>
    <w:p w:rsidR="007344D7" w:rsidRDefault="007344D7" w:rsidP="0029451B">
      <w:pPr>
        <w:pStyle w:val="Index1"/>
        <w:rPr>
          <w:noProof/>
        </w:rPr>
      </w:pPr>
      <w:r>
        <w:rPr>
          <w:noProof/>
        </w:rPr>
        <w:t>Hume, David  272</w:t>
      </w:r>
    </w:p>
    <w:p w:rsidR="007344D7" w:rsidRDefault="007344D7" w:rsidP="0029451B">
      <w:pPr>
        <w:pStyle w:val="Index1"/>
        <w:rPr>
          <w:noProof/>
        </w:rPr>
      </w:pPr>
      <w:r>
        <w:rPr>
          <w:noProof/>
        </w:rPr>
        <w:t>Hundertwasser, Friedensreich  109</w:t>
      </w:r>
    </w:p>
    <w:p w:rsidR="007344D7" w:rsidRDefault="007344D7" w:rsidP="0029451B">
      <w:pPr>
        <w:pStyle w:val="Index1"/>
        <w:rPr>
          <w:noProof/>
        </w:rPr>
      </w:pPr>
      <w:r>
        <w:rPr>
          <w:noProof/>
        </w:rPr>
        <w:t>Huysmans, Joris-Karl  399</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I</w:t>
      </w:r>
    </w:p>
    <w:p w:rsidR="00DB1DF3" w:rsidRDefault="00DB1DF3" w:rsidP="004A3B18">
      <w:pPr>
        <w:pStyle w:val="Index1"/>
        <w:keepNext/>
        <w:ind w:left="238" w:hanging="238"/>
        <w:rPr>
          <w:noProof/>
        </w:rPr>
      </w:pPr>
    </w:p>
    <w:p w:rsidR="007344D7" w:rsidRDefault="007344D7" w:rsidP="0029451B">
      <w:pPr>
        <w:pStyle w:val="Index1"/>
        <w:rPr>
          <w:noProof/>
        </w:rPr>
      </w:pPr>
      <w:r>
        <w:rPr>
          <w:noProof/>
        </w:rPr>
        <w:t>Identfälschung  431</w:t>
      </w:r>
    </w:p>
    <w:p w:rsidR="007344D7" w:rsidRDefault="007344D7" w:rsidP="0029451B">
      <w:pPr>
        <w:pStyle w:val="Index1"/>
        <w:rPr>
          <w:noProof/>
        </w:rPr>
      </w:pPr>
      <w:r>
        <w:rPr>
          <w:noProof/>
        </w:rPr>
        <w:t>Identitätsbildung  432–36</w:t>
      </w:r>
    </w:p>
    <w:p w:rsidR="007344D7" w:rsidRDefault="007344D7" w:rsidP="0029451B">
      <w:pPr>
        <w:pStyle w:val="Index1"/>
        <w:rPr>
          <w:noProof/>
        </w:rPr>
      </w:pPr>
      <w:r>
        <w:rPr>
          <w:noProof/>
        </w:rPr>
        <w:t>Ikon (Peirce)  24, 45, 232, 262, 282, 391</w:t>
      </w:r>
    </w:p>
    <w:p w:rsidR="007344D7" w:rsidRDefault="007344D7" w:rsidP="0029451B">
      <w:pPr>
        <w:pStyle w:val="Index1"/>
        <w:rPr>
          <w:noProof/>
        </w:rPr>
      </w:pPr>
      <w:r>
        <w:rPr>
          <w:noProof/>
        </w:rPr>
        <w:t>Ikonographie  68, 341</w:t>
      </w:r>
    </w:p>
    <w:p w:rsidR="007344D7" w:rsidRDefault="007344D7" w:rsidP="0029451B">
      <w:pPr>
        <w:pStyle w:val="Index1"/>
        <w:rPr>
          <w:noProof/>
        </w:rPr>
      </w:pPr>
      <w:r>
        <w:rPr>
          <w:noProof/>
        </w:rPr>
        <w:t>Ikonologie  68, 411</w:t>
      </w:r>
    </w:p>
    <w:p w:rsidR="007344D7" w:rsidRDefault="007344D7" w:rsidP="0029451B">
      <w:pPr>
        <w:pStyle w:val="Index1"/>
        <w:rPr>
          <w:noProof/>
        </w:rPr>
      </w:pPr>
      <w:r>
        <w:rPr>
          <w:noProof/>
        </w:rPr>
        <w:t xml:space="preserve">Index (Peirce)  </w:t>
      </w:r>
      <w:r w:rsidR="0033744E">
        <w:rPr>
          <w:rFonts w:cstheme="minorHAnsi"/>
          <w:i/>
          <w:noProof/>
        </w:rPr>
        <w:t>s</w:t>
      </w:r>
      <w:r w:rsidRPr="0081017A">
        <w:rPr>
          <w:rFonts w:cstheme="minorHAnsi"/>
          <w:i/>
          <w:noProof/>
        </w:rPr>
        <w:t>iehe</w:t>
      </w:r>
      <w:r w:rsidRPr="0081017A">
        <w:rPr>
          <w:rFonts w:cstheme="minorHAnsi"/>
          <w:noProof/>
        </w:rPr>
        <w:t xml:space="preserve"> Anzeichen</w:t>
      </w:r>
    </w:p>
    <w:p w:rsidR="007344D7" w:rsidRDefault="007344D7" w:rsidP="0029451B">
      <w:pPr>
        <w:pStyle w:val="Index1"/>
        <w:rPr>
          <w:noProof/>
        </w:rPr>
      </w:pPr>
      <w:r>
        <w:rPr>
          <w:noProof/>
        </w:rPr>
        <w:t>Individualstil  126–30, 407–11</w:t>
      </w:r>
    </w:p>
    <w:p w:rsidR="007344D7" w:rsidRDefault="007344D7" w:rsidP="0029451B">
      <w:pPr>
        <w:pStyle w:val="Index1"/>
        <w:rPr>
          <w:noProof/>
        </w:rPr>
      </w:pPr>
      <w:r>
        <w:rPr>
          <w:noProof/>
        </w:rPr>
        <w:t xml:space="preserve">Induktion  239–41, 272–73, 344–46, </w:t>
      </w:r>
      <w:r w:rsidRPr="0081017A">
        <w:rPr>
          <w:i/>
          <w:noProof/>
        </w:rPr>
        <w:t>et passim</w:t>
      </w:r>
    </w:p>
    <w:p w:rsidR="007344D7" w:rsidRDefault="007344D7" w:rsidP="0029451B">
      <w:pPr>
        <w:pStyle w:val="Index1"/>
        <w:rPr>
          <w:noProof/>
        </w:rPr>
      </w:pPr>
      <w:r>
        <w:rPr>
          <w:noProof/>
        </w:rPr>
        <w:t>Informatik  22, 31, 410, 460</w:t>
      </w:r>
    </w:p>
    <w:p w:rsidR="007344D7" w:rsidRDefault="007344D7" w:rsidP="0029451B">
      <w:pPr>
        <w:pStyle w:val="Index1"/>
        <w:rPr>
          <w:noProof/>
        </w:rPr>
      </w:pPr>
      <w:r>
        <w:rPr>
          <w:noProof/>
        </w:rPr>
        <w:t xml:space="preserve">Information  71–78, 109–12, </w:t>
      </w:r>
      <w:r w:rsidRPr="0081017A">
        <w:rPr>
          <w:i/>
          <w:noProof/>
        </w:rPr>
        <w:t>et passim</w:t>
      </w:r>
    </w:p>
    <w:p w:rsidR="007344D7" w:rsidRDefault="007344D7">
      <w:pPr>
        <w:pStyle w:val="Index2"/>
        <w:tabs>
          <w:tab w:val="right" w:pos="3032"/>
        </w:tabs>
        <w:rPr>
          <w:noProof/>
        </w:rPr>
      </w:pPr>
      <w:r>
        <w:rPr>
          <w:noProof/>
        </w:rPr>
        <w:t>in Realisierungen  71–76</w:t>
      </w:r>
    </w:p>
    <w:p w:rsidR="007344D7" w:rsidRDefault="007344D7" w:rsidP="0029451B">
      <w:pPr>
        <w:pStyle w:val="Index1"/>
        <w:rPr>
          <w:noProof/>
        </w:rPr>
      </w:pPr>
      <w:r>
        <w:rPr>
          <w:noProof/>
        </w:rPr>
        <w:t>Informationsbegriff  71, 109, 458</w:t>
      </w:r>
    </w:p>
    <w:p w:rsidR="007344D7" w:rsidRDefault="007344D7" w:rsidP="0029451B">
      <w:pPr>
        <w:pStyle w:val="Index1"/>
        <w:rPr>
          <w:noProof/>
        </w:rPr>
      </w:pPr>
      <w:r>
        <w:rPr>
          <w:noProof/>
        </w:rPr>
        <w:t>inhaltliche Bedingungen  43, 46, 52, 63, 65, 68, 82, 87, 101, 129, 140, 145, 150, 160, 174, 220, 262, 298, 401</w:t>
      </w:r>
    </w:p>
    <w:p w:rsidR="007344D7" w:rsidRDefault="007344D7" w:rsidP="0029451B">
      <w:pPr>
        <w:pStyle w:val="Index1"/>
        <w:rPr>
          <w:noProof/>
        </w:rPr>
      </w:pPr>
      <w:r w:rsidRPr="0081017A">
        <w:rPr>
          <w:rFonts w:eastAsia="Times New Roman" w:cs="Times New Roman"/>
          <w:noProof/>
        </w:rPr>
        <w:t>Inhaltsebene</w:t>
      </w:r>
      <w:r>
        <w:rPr>
          <w:noProof/>
        </w:rPr>
        <w:t xml:space="preserve">  107, 108, 393, 444</w:t>
      </w:r>
    </w:p>
    <w:p w:rsidR="007344D7" w:rsidRDefault="007344D7" w:rsidP="0029451B">
      <w:pPr>
        <w:pStyle w:val="Index1"/>
        <w:rPr>
          <w:noProof/>
        </w:rPr>
      </w:pPr>
      <w:r>
        <w:rPr>
          <w:noProof/>
        </w:rPr>
        <w:t>Intension  23</w:t>
      </w:r>
      <w:r w:rsidR="00942307">
        <w:rPr>
          <w:noProof/>
        </w:rPr>
        <w:t>–</w:t>
      </w:r>
      <w:r>
        <w:rPr>
          <w:noProof/>
        </w:rPr>
        <w:t>26, 56, 57, 85, 160, 191, 198, 439</w:t>
      </w:r>
      <w:r w:rsidR="00942307">
        <w:rPr>
          <w:noProof/>
        </w:rPr>
        <w:t>–</w:t>
      </w:r>
      <w:r>
        <w:rPr>
          <w:noProof/>
        </w:rPr>
        <w:t>41, 443, 446</w:t>
      </w:r>
    </w:p>
    <w:p w:rsidR="007344D7" w:rsidRDefault="007344D7" w:rsidP="0029451B">
      <w:pPr>
        <w:pStyle w:val="Index1"/>
        <w:rPr>
          <w:noProof/>
        </w:rPr>
      </w:pPr>
      <w:r>
        <w:rPr>
          <w:noProof/>
        </w:rPr>
        <w:t xml:space="preserve">Interpretation  236–38,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236</w:t>
      </w:r>
    </w:p>
    <w:p w:rsidR="007344D7" w:rsidRDefault="007344D7">
      <w:pPr>
        <w:pStyle w:val="Index2"/>
        <w:tabs>
          <w:tab w:val="right" w:pos="3032"/>
        </w:tabs>
        <w:rPr>
          <w:noProof/>
        </w:rPr>
      </w:pPr>
      <w:r w:rsidRPr="0081017A">
        <w:rPr>
          <w:i/>
          <w:noProof/>
        </w:rPr>
        <w:t>Funktion</w:t>
      </w:r>
      <w:r>
        <w:rPr>
          <w:noProof/>
        </w:rPr>
        <w:t xml:space="preserve">  338–49</w:t>
      </w:r>
    </w:p>
    <w:p w:rsidR="007344D7" w:rsidRDefault="007344D7" w:rsidP="0029451B">
      <w:pPr>
        <w:pStyle w:val="Index1"/>
        <w:rPr>
          <w:noProof/>
        </w:rPr>
      </w:pPr>
      <w:r>
        <w:rPr>
          <w:noProof/>
        </w:rPr>
        <w:t>Interpretation, musikalische  388</w:t>
      </w:r>
    </w:p>
    <w:p w:rsidR="007344D7" w:rsidRDefault="007344D7" w:rsidP="004A3B18">
      <w:pPr>
        <w:pStyle w:val="Index1"/>
        <w:keepNext/>
        <w:ind w:left="238" w:hanging="238"/>
        <w:rPr>
          <w:noProof/>
        </w:rPr>
      </w:pPr>
      <w:r>
        <w:rPr>
          <w:noProof/>
        </w:rPr>
        <w:lastRenderedPageBreak/>
        <w:t xml:space="preserve">Interpretationsprozess  89–93, 288–383, </w:t>
      </w:r>
      <w:r w:rsidRPr="0081017A">
        <w:rPr>
          <w:i/>
          <w:noProof/>
        </w:rPr>
        <w:t>et passim</w:t>
      </w:r>
    </w:p>
    <w:p w:rsidR="007344D7" w:rsidRDefault="007344D7">
      <w:pPr>
        <w:pStyle w:val="Index2"/>
        <w:tabs>
          <w:tab w:val="right" w:pos="3032"/>
        </w:tabs>
        <w:rPr>
          <w:noProof/>
        </w:rPr>
      </w:pPr>
      <w:r w:rsidRPr="0081017A">
        <w:rPr>
          <w:i/>
          <w:noProof/>
        </w:rPr>
        <w:t>Abbildung</w:t>
      </w:r>
      <w:r>
        <w:rPr>
          <w:noProof/>
        </w:rPr>
        <w:t xml:space="preserve">  91</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J</w:t>
      </w:r>
    </w:p>
    <w:p w:rsidR="00DB1DF3" w:rsidRDefault="00DB1DF3" w:rsidP="004A3B18">
      <w:pPr>
        <w:pStyle w:val="Index1"/>
        <w:keepNext/>
        <w:ind w:left="238" w:hanging="238"/>
        <w:rPr>
          <w:noProof/>
        </w:rPr>
      </w:pPr>
    </w:p>
    <w:p w:rsidR="007344D7" w:rsidRDefault="007344D7" w:rsidP="0029451B">
      <w:pPr>
        <w:pStyle w:val="Index1"/>
        <w:rPr>
          <w:noProof/>
        </w:rPr>
      </w:pPr>
      <w:r>
        <w:rPr>
          <w:noProof/>
        </w:rPr>
        <w:t>Jakobson, Roman  37, 49, 108, 119</w:t>
      </w:r>
      <w:r w:rsidR="0017304B">
        <w:rPr>
          <w:noProof/>
        </w:rPr>
        <w:t>–</w:t>
      </w:r>
      <w:r>
        <w:rPr>
          <w:noProof/>
        </w:rPr>
        <w:t>20, 452</w:t>
      </w:r>
    </w:p>
    <w:p w:rsidR="007344D7" w:rsidRDefault="007344D7" w:rsidP="0029451B">
      <w:pPr>
        <w:pStyle w:val="Index1"/>
        <w:rPr>
          <w:noProof/>
        </w:rPr>
      </w:pPr>
      <w:r>
        <w:rPr>
          <w:noProof/>
        </w:rPr>
        <w:t>Joseph und seine Brüder (Roman)  101</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K</w:t>
      </w:r>
    </w:p>
    <w:p w:rsidR="00DB1DF3" w:rsidRDefault="00DB1DF3" w:rsidP="004A3B18">
      <w:pPr>
        <w:pStyle w:val="Index1"/>
        <w:keepNext/>
        <w:ind w:left="238" w:hanging="238"/>
        <w:rPr>
          <w:noProof/>
        </w:rPr>
      </w:pPr>
    </w:p>
    <w:p w:rsidR="007344D7" w:rsidRDefault="007344D7" w:rsidP="0029451B">
      <w:pPr>
        <w:pStyle w:val="Index1"/>
        <w:rPr>
          <w:noProof/>
        </w:rPr>
      </w:pPr>
      <w:r>
        <w:rPr>
          <w:noProof/>
        </w:rPr>
        <w:t>Kant, Immanuel  272</w:t>
      </w:r>
    </w:p>
    <w:p w:rsidR="007344D7" w:rsidRDefault="007344D7" w:rsidP="0029451B">
      <w:pPr>
        <w:pStyle w:val="Index1"/>
        <w:rPr>
          <w:noProof/>
        </w:rPr>
      </w:pPr>
      <w:r>
        <w:rPr>
          <w:noProof/>
        </w:rPr>
        <w:t>Kapitalismus  436–38</w:t>
      </w:r>
    </w:p>
    <w:p w:rsidR="007344D7" w:rsidRDefault="007344D7" w:rsidP="0029451B">
      <w:pPr>
        <w:pStyle w:val="Index1"/>
        <w:rPr>
          <w:noProof/>
        </w:rPr>
      </w:pPr>
      <w:r>
        <w:rPr>
          <w:noProof/>
        </w:rPr>
        <w:t>Klasse, gesellschaftliche  432–36</w:t>
      </w:r>
    </w:p>
    <w:p w:rsidR="007344D7" w:rsidRDefault="007344D7" w:rsidP="0029451B">
      <w:pPr>
        <w:pStyle w:val="Index1"/>
        <w:rPr>
          <w:noProof/>
        </w:rPr>
      </w:pPr>
      <w:r>
        <w:rPr>
          <w:noProof/>
        </w:rPr>
        <w:t>Kleidungsstil  264, 279</w:t>
      </w:r>
      <w:r w:rsidR="00FD2CD1">
        <w:rPr>
          <w:noProof/>
        </w:rPr>
        <w:t>–</w:t>
      </w:r>
      <w:r>
        <w:rPr>
          <w:noProof/>
        </w:rPr>
        <w:t>80, 436</w:t>
      </w:r>
    </w:p>
    <w:p w:rsidR="007344D7" w:rsidRDefault="007344D7" w:rsidP="0029451B">
      <w:pPr>
        <w:pStyle w:val="Index1"/>
        <w:rPr>
          <w:noProof/>
        </w:rPr>
      </w:pPr>
      <w:r>
        <w:rPr>
          <w:noProof/>
        </w:rPr>
        <w:t xml:space="preserve">Kode  17, 18, 53, 103, 105, 137, 279, 380, 419–21, </w:t>
      </w:r>
      <w:r w:rsidRPr="0081017A">
        <w:rPr>
          <w:i/>
          <w:noProof/>
        </w:rPr>
        <w:t>siehe auch</w:t>
      </w:r>
      <w:r>
        <w:rPr>
          <w:noProof/>
        </w:rPr>
        <w:t xml:space="preserve"> Zeichensystem</w:t>
      </w:r>
    </w:p>
    <w:p w:rsidR="007344D7" w:rsidRDefault="007344D7" w:rsidP="0029451B">
      <w:pPr>
        <w:pStyle w:val="Index1"/>
        <w:rPr>
          <w:noProof/>
        </w:rPr>
      </w:pPr>
      <w:r>
        <w:rPr>
          <w:noProof/>
        </w:rPr>
        <w:t>Kollokation  119, 158</w:t>
      </w:r>
    </w:p>
    <w:p w:rsidR="007344D7" w:rsidRDefault="007344D7" w:rsidP="0029451B">
      <w:pPr>
        <w:pStyle w:val="Index1"/>
        <w:rPr>
          <w:noProof/>
        </w:rPr>
      </w:pPr>
      <w:r w:rsidRPr="0081017A">
        <w:rPr>
          <w:rFonts w:eastAsia="Times New Roman" w:cs="Times New Roman"/>
          <w:noProof/>
        </w:rPr>
        <w:t>Kombinationsregeln</w:t>
      </w:r>
      <w:r>
        <w:rPr>
          <w:noProof/>
        </w:rPr>
        <w:t xml:space="preserve">  17, 56, 105, 113, 119, 142, 143, 248, 279, 380, 416, 420, 428</w:t>
      </w:r>
    </w:p>
    <w:p w:rsidR="007344D7" w:rsidRDefault="007344D7" w:rsidP="0029451B">
      <w:pPr>
        <w:pStyle w:val="Index1"/>
        <w:rPr>
          <w:noProof/>
        </w:rPr>
      </w:pPr>
      <w:r w:rsidRPr="0081017A">
        <w:rPr>
          <w:rFonts w:eastAsia="Times New Roman" w:cs="Times New Roman"/>
          <w:noProof/>
        </w:rPr>
        <w:t>Kommunikation</w:t>
      </w:r>
      <w:r>
        <w:rPr>
          <w:noProof/>
        </w:rPr>
        <w:t xml:space="preserve">  100, 111, 120, 324, 331</w:t>
      </w:r>
      <w:r w:rsidR="00FD2CD1">
        <w:rPr>
          <w:noProof/>
        </w:rPr>
        <w:t>–</w:t>
      </w:r>
      <w:r>
        <w:rPr>
          <w:noProof/>
        </w:rPr>
        <w:t>33, 344, 385, 399, 406, 439, 442, 452</w:t>
      </w:r>
    </w:p>
    <w:p w:rsidR="007344D7" w:rsidRDefault="007344D7">
      <w:pPr>
        <w:pStyle w:val="Index2"/>
        <w:tabs>
          <w:tab w:val="right" w:pos="3032"/>
        </w:tabs>
        <w:rPr>
          <w:noProof/>
        </w:rPr>
      </w:pPr>
      <w:r w:rsidRPr="0081017A">
        <w:rPr>
          <w:rFonts w:eastAsia="Times New Roman" w:cs="Times New Roman"/>
          <w:noProof/>
        </w:rPr>
        <w:t>phatische</w:t>
      </w:r>
      <w:r>
        <w:rPr>
          <w:noProof/>
        </w:rPr>
        <w:t xml:space="preserve">  403</w:t>
      </w:r>
    </w:p>
    <w:p w:rsidR="007344D7" w:rsidRDefault="007344D7" w:rsidP="0029451B">
      <w:pPr>
        <w:pStyle w:val="Index1"/>
        <w:rPr>
          <w:noProof/>
        </w:rPr>
      </w:pPr>
      <w:r>
        <w:rPr>
          <w:noProof/>
        </w:rPr>
        <w:t>Kommunikationsstil  419, 429, 434, 436</w:t>
      </w:r>
    </w:p>
    <w:p w:rsidR="007344D7" w:rsidRDefault="007344D7" w:rsidP="0029451B">
      <w:pPr>
        <w:pStyle w:val="Index1"/>
        <w:rPr>
          <w:noProof/>
        </w:rPr>
      </w:pPr>
      <w:r>
        <w:rPr>
          <w:noProof/>
        </w:rPr>
        <w:t xml:space="preserve">Kommutationsprobe  </w:t>
      </w:r>
      <w:r w:rsidR="0033744E">
        <w:rPr>
          <w:i/>
          <w:noProof/>
        </w:rPr>
        <w:t>s</w:t>
      </w:r>
      <w:r w:rsidRPr="0081017A">
        <w:rPr>
          <w:i/>
          <w:noProof/>
        </w:rPr>
        <w:t>iehe</w:t>
      </w:r>
      <w:r w:rsidRPr="0081017A">
        <w:rPr>
          <w:noProof/>
        </w:rPr>
        <w:t xml:space="preserve"> Ersetzungsprobe</w:t>
      </w:r>
    </w:p>
    <w:p w:rsidR="007344D7" w:rsidRDefault="007344D7" w:rsidP="0029451B">
      <w:pPr>
        <w:pStyle w:val="Index1"/>
        <w:rPr>
          <w:noProof/>
        </w:rPr>
      </w:pPr>
      <w:r w:rsidRPr="0081017A">
        <w:rPr>
          <w:noProof/>
          <w:lang w:val="it-IT"/>
        </w:rPr>
        <w:t>Komponentenname (einer Tupel-Variablen)</w:t>
      </w:r>
      <w:r>
        <w:rPr>
          <w:noProof/>
        </w:rPr>
        <w:t xml:space="preserve">  177</w:t>
      </w:r>
      <w:r w:rsidR="00BE4CF1">
        <w:rPr>
          <w:noProof/>
        </w:rPr>
        <w:t>–</w:t>
      </w:r>
      <w:r>
        <w:rPr>
          <w:noProof/>
        </w:rPr>
        <w:t>79, 204, 339, 357</w:t>
      </w:r>
      <w:r w:rsidR="00BE4CF1">
        <w:rPr>
          <w:noProof/>
        </w:rPr>
        <w:t>–</w:t>
      </w:r>
      <w:r>
        <w:rPr>
          <w:noProof/>
        </w:rPr>
        <w:t>58, 369</w:t>
      </w:r>
    </w:p>
    <w:p w:rsidR="007344D7" w:rsidRDefault="007344D7" w:rsidP="0029451B">
      <w:pPr>
        <w:pStyle w:val="Index1"/>
        <w:rPr>
          <w:noProof/>
        </w:rPr>
      </w:pPr>
      <w:r>
        <w:rPr>
          <w:noProof/>
        </w:rPr>
        <w:t>Kompositionsstil  388</w:t>
      </w:r>
    </w:p>
    <w:p w:rsidR="007344D7" w:rsidRDefault="007344D7" w:rsidP="0029451B">
      <w:pPr>
        <w:pStyle w:val="Index1"/>
        <w:rPr>
          <w:noProof/>
        </w:rPr>
      </w:pPr>
      <w:r>
        <w:rPr>
          <w:noProof/>
        </w:rPr>
        <w:t>Konnotation  24, 83, 286, 381, 418</w:t>
      </w:r>
      <w:r w:rsidR="00BE4CF1">
        <w:rPr>
          <w:noProof/>
        </w:rPr>
        <w:t>–</w:t>
      </w:r>
      <w:r>
        <w:rPr>
          <w:noProof/>
        </w:rPr>
        <w:t>19, 421</w:t>
      </w:r>
    </w:p>
    <w:p w:rsidR="007344D7" w:rsidRDefault="007344D7" w:rsidP="0029451B">
      <w:pPr>
        <w:pStyle w:val="Index1"/>
        <w:rPr>
          <w:noProof/>
        </w:rPr>
      </w:pPr>
      <w:r w:rsidRPr="0081017A">
        <w:rPr>
          <w:noProof/>
        </w:rPr>
        <w:t>konstitutive Regeln</w:t>
      </w:r>
      <w:r>
        <w:rPr>
          <w:noProof/>
        </w:rPr>
        <w:t xml:space="preserve">  117</w:t>
      </w:r>
      <w:r w:rsidR="00BE4CF1">
        <w:rPr>
          <w:noProof/>
        </w:rPr>
        <w:t>–</w:t>
      </w:r>
      <w:r>
        <w:rPr>
          <w:noProof/>
        </w:rPr>
        <w:t>18</w:t>
      </w:r>
    </w:p>
    <w:p w:rsidR="007344D7" w:rsidRDefault="007344D7" w:rsidP="0029451B">
      <w:pPr>
        <w:pStyle w:val="Index1"/>
        <w:rPr>
          <w:noProof/>
        </w:rPr>
      </w:pPr>
      <w:r>
        <w:rPr>
          <w:noProof/>
        </w:rPr>
        <w:t>Kontextbedingungen  42</w:t>
      </w:r>
      <w:r w:rsidR="00BE4CF1">
        <w:rPr>
          <w:noProof/>
        </w:rPr>
        <w:t>–</w:t>
      </w:r>
      <w:r>
        <w:rPr>
          <w:noProof/>
        </w:rPr>
        <w:t>43, 46, 49, 52, 62</w:t>
      </w:r>
      <w:r w:rsidR="00BE4CF1">
        <w:rPr>
          <w:noProof/>
        </w:rPr>
        <w:t>–</w:t>
      </w:r>
      <w:r>
        <w:rPr>
          <w:noProof/>
        </w:rPr>
        <w:t>63, 101, 117, 129, 139, 140, 145, 150</w:t>
      </w:r>
      <w:r w:rsidR="00BE4CF1">
        <w:rPr>
          <w:noProof/>
        </w:rPr>
        <w:t>–</w:t>
      </w:r>
      <w:r>
        <w:rPr>
          <w:noProof/>
        </w:rPr>
        <w:t>51, 160, 168, 285, 411</w:t>
      </w:r>
    </w:p>
    <w:p w:rsidR="007344D7" w:rsidRDefault="007344D7" w:rsidP="0029451B">
      <w:pPr>
        <w:pStyle w:val="Index1"/>
        <w:rPr>
          <w:noProof/>
        </w:rPr>
      </w:pPr>
      <w:r>
        <w:rPr>
          <w:noProof/>
        </w:rPr>
        <w:lastRenderedPageBreak/>
        <w:t>Kontiguität, Prinzip der  119</w:t>
      </w:r>
    </w:p>
    <w:p w:rsidR="007344D7" w:rsidRDefault="007344D7" w:rsidP="0029451B">
      <w:pPr>
        <w:pStyle w:val="Index1"/>
        <w:rPr>
          <w:noProof/>
        </w:rPr>
      </w:pPr>
      <w:r>
        <w:rPr>
          <w:noProof/>
        </w:rPr>
        <w:t>Kontraststilistik  107, 153, 158</w:t>
      </w:r>
    </w:p>
    <w:p w:rsidR="007344D7" w:rsidRDefault="007344D7" w:rsidP="0029451B">
      <w:pPr>
        <w:pStyle w:val="Index1"/>
        <w:rPr>
          <w:noProof/>
        </w:rPr>
      </w:pPr>
      <w:r>
        <w:rPr>
          <w:noProof/>
        </w:rPr>
        <w:t>Konventionalisierung  17, 279, 324</w:t>
      </w:r>
    </w:p>
    <w:p w:rsidR="007344D7" w:rsidRDefault="007344D7" w:rsidP="0029451B">
      <w:pPr>
        <w:pStyle w:val="Index1"/>
        <w:rPr>
          <w:noProof/>
        </w:rPr>
      </w:pPr>
      <w:r>
        <w:rPr>
          <w:noProof/>
        </w:rPr>
        <w:t>Kreativität  148–49, 155, 251, 268, 273, 448, 455</w:t>
      </w:r>
    </w:p>
    <w:p w:rsidR="007344D7" w:rsidRDefault="007344D7" w:rsidP="0029451B">
      <w:pPr>
        <w:pStyle w:val="Index1"/>
        <w:rPr>
          <w:noProof/>
        </w:rPr>
      </w:pPr>
      <w:r>
        <w:rPr>
          <w:noProof/>
        </w:rPr>
        <w:t>Kriminalistik  331, 336</w:t>
      </w:r>
      <w:r w:rsidR="00593122">
        <w:rPr>
          <w:noProof/>
        </w:rPr>
        <w:t>–</w:t>
      </w:r>
      <w:r>
        <w:rPr>
          <w:noProof/>
        </w:rPr>
        <w:t>37</w:t>
      </w:r>
    </w:p>
    <w:p w:rsidR="007344D7" w:rsidRDefault="007344D7" w:rsidP="0029451B">
      <w:pPr>
        <w:pStyle w:val="Index1"/>
        <w:rPr>
          <w:noProof/>
        </w:rPr>
      </w:pPr>
      <w:r>
        <w:rPr>
          <w:noProof/>
        </w:rPr>
        <w:t>Kriminalliteratur  414</w:t>
      </w:r>
    </w:p>
    <w:p w:rsidR="007344D7" w:rsidRDefault="007344D7" w:rsidP="0029451B">
      <w:pPr>
        <w:pStyle w:val="Index1"/>
        <w:rPr>
          <w:noProof/>
        </w:rPr>
      </w:pPr>
      <w:r>
        <w:rPr>
          <w:noProof/>
        </w:rPr>
        <w:t>Kultur  69, 71, 77, 81, 83</w:t>
      </w:r>
      <w:r w:rsidR="00593122">
        <w:rPr>
          <w:noProof/>
        </w:rPr>
        <w:t>–</w:t>
      </w:r>
      <w:r>
        <w:rPr>
          <w:noProof/>
        </w:rPr>
        <w:t>84, 126, 138, 169, 194, 244, 254, 279, 325, 419, 432, 439</w:t>
      </w:r>
      <w:r w:rsidR="00593122">
        <w:rPr>
          <w:noProof/>
        </w:rPr>
        <w:t>–</w:t>
      </w:r>
      <w:r>
        <w:rPr>
          <w:noProof/>
        </w:rPr>
        <w:t>40, 444</w:t>
      </w:r>
    </w:p>
    <w:p w:rsidR="007344D7" w:rsidRDefault="007344D7" w:rsidP="0029451B">
      <w:pPr>
        <w:pStyle w:val="Index1"/>
        <w:rPr>
          <w:noProof/>
        </w:rPr>
      </w:pPr>
      <w:r>
        <w:rPr>
          <w:noProof/>
        </w:rPr>
        <w:t>Kunstführer  17</w:t>
      </w:r>
    </w:p>
    <w:p w:rsidR="007344D7" w:rsidRDefault="007344D7" w:rsidP="0029451B">
      <w:pPr>
        <w:pStyle w:val="Index1"/>
        <w:rPr>
          <w:noProof/>
        </w:rPr>
      </w:pPr>
      <w:r>
        <w:rPr>
          <w:noProof/>
        </w:rPr>
        <w:t>Kunstgeschichte  17, 109, 110, 112, 125, 267, 407, 411, 431</w:t>
      </w:r>
    </w:p>
    <w:p w:rsidR="007344D7" w:rsidRDefault="007344D7" w:rsidP="0029451B">
      <w:pPr>
        <w:pStyle w:val="Index1"/>
        <w:rPr>
          <w:noProof/>
        </w:rPr>
      </w:pPr>
      <w:r>
        <w:rPr>
          <w:noProof/>
        </w:rPr>
        <w:t>Kunstwissenschaft  23, 32, 120, 187, 327, 389, 422</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L</w:t>
      </w:r>
    </w:p>
    <w:p w:rsidR="00DB1DF3" w:rsidRDefault="00DB1DF3" w:rsidP="004A3B18">
      <w:pPr>
        <w:pStyle w:val="Index1"/>
        <w:keepNext/>
        <w:ind w:left="238" w:hanging="238"/>
        <w:rPr>
          <w:noProof/>
        </w:rPr>
      </w:pPr>
    </w:p>
    <w:p w:rsidR="007344D7" w:rsidRDefault="007344D7" w:rsidP="0029451B">
      <w:pPr>
        <w:pStyle w:val="Index1"/>
        <w:rPr>
          <w:noProof/>
        </w:rPr>
      </w:pPr>
      <w:r>
        <w:rPr>
          <w:noProof/>
        </w:rPr>
        <w:t>Laudatio (Textsorte)  413</w:t>
      </w:r>
    </w:p>
    <w:p w:rsidR="007344D7" w:rsidRDefault="007344D7" w:rsidP="0029451B">
      <w:pPr>
        <w:pStyle w:val="Index1"/>
        <w:rPr>
          <w:noProof/>
        </w:rPr>
      </w:pPr>
      <w:r>
        <w:rPr>
          <w:noProof/>
        </w:rPr>
        <w:t>Laufstil  49, 88, 136, 250, 321–29</w:t>
      </w:r>
    </w:p>
    <w:p w:rsidR="007344D7" w:rsidRDefault="007344D7" w:rsidP="0029451B">
      <w:pPr>
        <w:pStyle w:val="Index1"/>
        <w:rPr>
          <w:noProof/>
        </w:rPr>
      </w:pPr>
      <w:r>
        <w:rPr>
          <w:noProof/>
        </w:rPr>
        <w:t>Lebensstil  49</w:t>
      </w:r>
      <w:r w:rsidR="00593122">
        <w:rPr>
          <w:noProof/>
        </w:rPr>
        <w:t>–</w:t>
      </w:r>
      <w:r>
        <w:rPr>
          <w:noProof/>
        </w:rPr>
        <w:t>51, 65, 402</w:t>
      </w:r>
      <w:r w:rsidR="00593122">
        <w:rPr>
          <w:noProof/>
        </w:rPr>
        <w:t>–</w:t>
      </w:r>
      <w:r>
        <w:rPr>
          <w:noProof/>
        </w:rPr>
        <w:t>3, 430, 434</w:t>
      </w:r>
    </w:p>
    <w:p w:rsidR="007344D7" w:rsidRDefault="007344D7" w:rsidP="0029451B">
      <w:pPr>
        <w:pStyle w:val="Index1"/>
        <w:rPr>
          <w:noProof/>
        </w:rPr>
      </w:pPr>
      <w:r>
        <w:rPr>
          <w:noProof/>
        </w:rPr>
        <w:t>Lévi-Strauss, Claude  119</w:t>
      </w:r>
      <w:r w:rsidR="00F41FD9">
        <w:rPr>
          <w:noProof/>
        </w:rPr>
        <w:t>–</w:t>
      </w:r>
      <w:r>
        <w:rPr>
          <w:noProof/>
        </w:rPr>
        <w:t>21</w:t>
      </w:r>
    </w:p>
    <w:p w:rsidR="007344D7" w:rsidRDefault="007344D7" w:rsidP="0029451B">
      <w:pPr>
        <w:pStyle w:val="Index1"/>
        <w:rPr>
          <w:noProof/>
        </w:rPr>
      </w:pPr>
      <w:r>
        <w:rPr>
          <w:noProof/>
        </w:rPr>
        <w:t>Lieb, Hans-Heinrich  450</w:t>
      </w:r>
    </w:p>
    <w:p w:rsidR="007344D7" w:rsidRDefault="007344D7" w:rsidP="0029451B">
      <w:pPr>
        <w:pStyle w:val="Index1"/>
        <w:rPr>
          <w:noProof/>
        </w:rPr>
      </w:pPr>
      <w:r>
        <w:rPr>
          <w:noProof/>
        </w:rPr>
        <w:t>Liebesroman (Textsorte)  47</w:t>
      </w:r>
    </w:p>
    <w:p w:rsidR="007344D7" w:rsidRDefault="007344D7" w:rsidP="0029451B">
      <w:pPr>
        <w:pStyle w:val="Index1"/>
        <w:rPr>
          <w:noProof/>
        </w:rPr>
      </w:pPr>
      <w:r w:rsidRPr="0081017A">
        <w:rPr>
          <w:rFonts w:eastAsia="Times New Roman" w:cs="Times New Roman"/>
          <w:noProof/>
        </w:rPr>
        <w:t>Linguistik</w:t>
      </w:r>
      <w:r>
        <w:rPr>
          <w:noProof/>
        </w:rPr>
        <w:t xml:space="preserve">  104, 116, 119, 131, 407</w:t>
      </w:r>
    </w:p>
    <w:p w:rsidR="007344D7" w:rsidRDefault="007344D7" w:rsidP="0029451B">
      <w:pPr>
        <w:pStyle w:val="Index1"/>
        <w:rPr>
          <w:noProof/>
        </w:rPr>
      </w:pPr>
      <w:r>
        <w:rPr>
          <w:noProof/>
        </w:rPr>
        <w:t>Liszt, Franz  312–21</w:t>
      </w:r>
    </w:p>
    <w:p w:rsidR="007344D7" w:rsidRDefault="007344D7" w:rsidP="0029451B">
      <w:pPr>
        <w:pStyle w:val="Index1"/>
        <w:rPr>
          <w:noProof/>
        </w:rPr>
      </w:pPr>
      <w:r>
        <w:rPr>
          <w:noProof/>
        </w:rPr>
        <w:t>Literaturwissenschaft  32, 109, 120, 389, 407, 422</w:t>
      </w:r>
    </w:p>
    <w:p w:rsidR="007344D7" w:rsidRDefault="007344D7" w:rsidP="0029451B">
      <w:pPr>
        <w:pStyle w:val="Index1"/>
        <w:rPr>
          <w:noProof/>
        </w:rPr>
      </w:pPr>
      <w:r>
        <w:rPr>
          <w:noProof/>
        </w:rPr>
        <w:t xml:space="preserve">Logik  22, 24, 32, 86, 248, 272, 453, </w:t>
      </w:r>
      <w:r w:rsidRPr="0081017A">
        <w:rPr>
          <w:i/>
          <w:noProof/>
        </w:rPr>
        <w:t>siehe auch</w:t>
      </w:r>
      <w:r>
        <w:rPr>
          <w:noProof/>
        </w:rPr>
        <w:t xml:space="preserve"> Schlussverfahren, logische</w:t>
      </w:r>
    </w:p>
    <w:p w:rsidR="007344D7" w:rsidRDefault="007344D7" w:rsidP="0029451B">
      <w:pPr>
        <w:pStyle w:val="Index1"/>
        <w:rPr>
          <w:noProof/>
        </w:rPr>
      </w:pPr>
      <w:r>
        <w:rPr>
          <w:noProof/>
        </w:rPr>
        <w:t>Loos, Adolf  430</w:t>
      </w:r>
    </w:p>
    <w:p w:rsidR="007344D7" w:rsidRDefault="007344D7" w:rsidP="0029451B">
      <w:pPr>
        <w:pStyle w:val="Index1"/>
        <w:rPr>
          <w:noProof/>
        </w:rPr>
      </w:pPr>
      <w:r w:rsidRPr="0081017A">
        <w:rPr>
          <w:noProof/>
        </w:rPr>
        <w:t>Lotman, Juri Michailowitsch</w:t>
      </w:r>
      <w:r>
        <w:rPr>
          <w:noProof/>
        </w:rPr>
        <w:t xml:space="preserve">  116, 138</w:t>
      </w:r>
    </w:p>
    <w:p w:rsidR="007344D7" w:rsidRDefault="007344D7" w:rsidP="0029451B">
      <w:pPr>
        <w:pStyle w:val="Index1"/>
        <w:rPr>
          <w:noProof/>
        </w:rPr>
      </w:pPr>
      <w:r>
        <w:rPr>
          <w:noProof/>
        </w:rPr>
        <w:t>Lyons, John  52</w:t>
      </w:r>
    </w:p>
    <w:p w:rsidR="007344D7" w:rsidRDefault="007344D7" w:rsidP="0029451B">
      <w:pPr>
        <w:pStyle w:val="Index1"/>
        <w:rPr>
          <w:noProof/>
        </w:rPr>
      </w:pPr>
      <w:r>
        <w:rPr>
          <w:noProof/>
        </w:rPr>
        <w:t>Lyotard, Jean-François  450</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M</w:t>
      </w:r>
    </w:p>
    <w:p w:rsidR="00DB1DF3" w:rsidRDefault="00DB1DF3" w:rsidP="004A3B18">
      <w:pPr>
        <w:pStyle w:val="Index1"/>
        <w:keepNext/>
        <w:ind w:left="238" w:hanging="238"/>
        <w:rPr>
          <w:noProof/>
        </w:rPr>
      </w:pPr>
    </w:p>
    <w:p w:rsidR="007344D7" w:rsidRDefault="007344D7" w:rsidP="0029451B">
      <w:pPr>
        <w:pStyle w:val="Index1"/>
        <w:rPr>
          <w:noProof/>
        </w:rPr>
      </w:pPr>
      <w:r>
        <w:rPr>
          <w:noProof/>
        </w:rPr>
        <w:t>Manier (Goethe)  427</w:t>
      </w:r>
    </w:p>
    <w:p w:rsidR="007344D7" w:rsidRDefault="007344D7" w:rsidP="0029451B">
      <w:pPr>
        <w:pStyle w:val="Index1"/>
        <w:rPr>
          <w:noProof/>
        </w:rPr>
      </w:pPr>
      <w:r>
        <w:rPr>
          <w:noProof/>
        </w:rPr>
        <w:t>maniera  427</w:t>
      </w:r>
    </w:p>
    <w:p w:rsidR="007344D7" w:rsidRDefault="007344D7" w:rsidP="0029451B">
      <w:pPr>
        <w:pStyle w:val="Index1"/>
        <w:rPr>
          <w:noProof/>
        </w:rPr>
      </w:pPr>
      <w:r>
        <w:rPr>
          <w:noProof/>
        </w:rPr>
        <w:t>Mann, Thomas  101, 126</w:t>
      </w:r>
      <w:r w:rsidR="006F718F">
        <w:rPr>
          <w:noProof/>
        </w:rPr>
        <w:t>–</w:t>
      </w:r>
      <w:r>
        <w:rPr>
          <w:noProof/>
        </w:rPr>
        <w:t>27, 435</w:t>
      </w:r>
    </w:p>
    <w:p w:rsidR="007344D7" w:rsidRDefault="007344D7" w:rsidP="0029451B">
      <w:pPr>
        <w:pStyle w:val="Index1"/>
        <w:rPr>
          <w:noProof/>
        </w:rPr>
      </w:pPr>
      <w:r>
        <w:rPr>
          <w:noProof/>
        </w:rPr>
        <w:lastRenderedPageBreak/>
        <w:t>Marke  84, 257, 296, 437</w:t>
      </w:r>
    </w:p>
    <w:p w:rsidR="007344D7" w:rsidRDefault="007344D7" w:rsidP="0029451B">
      <w:pPr>
        <w:pStyle w:val="Index1"/>
        <w:rPr>
          <w:noProof/>
        </w:rPr>
      </w:pPr>
      <w:r>
        <w:rPr>
          <w:noProof/>
        </w:rPr>
        <w:t>Massenmedium  418</w:t>
      </w:r>
    </w:p>
    <w:p w:rsidR="007344D7" w:rsidRDefault="007344D7" w:rsidP="0029451B">
      <w:pPr>
        <w:pStyle w:val="Index1"/>
        <w:rPr>
          <w:noProof/>
        </w:rPr>
      </w:pPr>
      <w:r>
        <w:rPr>
          <w:noProof/>
        </w:rPr>
        <w:t>Mauss, Marcel  432</w:t>
      </w:r>
    </w:p>
    <w:p w:rsidR="007344D7" w:rsidRDefault="007344D7" w:rsidP="0029451B">
      <w:pPr>
        <w:pStyle w:val="Index1"/>
        <w:rPr>
          <w:noProof/>
        </w:rPr>
      </w:pPr>
      <w:r>
        <w:rPr>
          <w:noProof/>
        </w:rPr>
        <w:t>Meier, Richard  60, 109, 238, 288–94</w:t>
      </w:r>
    </w:p>
    <w:p w:rsidR="007344D7" w:rsidRDefault="007344D7" w:rsidP="0029451B">
      <w:pPr>
        <w:pStyle w:val="Index1"/>
        <w:rPr>
          <w:noProof/>
        </w:rPr>
      </w:pPr>
      <w:r>
        <w:rPr>
          <w:noProof/>
        </w:rPr>
        <w:t>Melodik  313, 323, 388</w:t>
      </w:r>
    </w:p>
    <w:p w:rsidR="007344D7" w:rsidRDefault="007344D7" w:rsidP="0029451B">
      <w:pPr>
        <w:pStyle w:val="Index1"/>
        <w:rPr>
          <w:noProof/>
        </w:rPr>
      </w:pPr>
      <w:r>
        <w:rPr>
          <w:noProof/>
        </w:rPr>
        <w:t>Menge, geordnete  147, 179, 345, 365</w:t>
      </w:r>
    </w:p>
    <w:p w:rsidR="007344D7" w:rsidRDefault="007344D7" w:rsidP="0029451B">
      <w:pPr>
        <w:pStyle w:val="Index1"/>
        <w:rPr>
          <w:noProof/>
        </w:rPr>
      </w:pPr>
      <w:r>
        <w:rPr>
          <w:noProof/>
        </w:rPr>
        <w:t>mentale Repräsentation  281, 283, 443–46</w:t>
      </w:r>
    </w:p>
    <w:p w:rsidR="007344D7" w:rsidRDefault="007344D7">
      <w:pPr>
        <w:pStyle w:val="Index2"/>
        <w:tabs>
          <w:tab w:val="right" w:pos="3032"/>
        </w:tabs>
        <w:rPr>
          <w:noProof/>
        </w:rPr>
      </w:pPr>
      <w:r>
        <w:rPr>
          <w:noProof/>
        </w:rPr>
        <w:t>nicht-propositionale  236, 242, 252, 283</w:t>
      </w:r>
      <w:r w:rsidR="006F718F">
        <w:rPr>
          <w:noProof/>
        </w:rPr>
        <w:t>–</w:t>
      </w:r>
      <w:r>
        <w:rPr>
          <w:noProof/>
        </w:rPr>
        <w:t>84, 316, 321, 326</w:t>
      </w:r>
    </w:p>
    <w:p w:rsidR="007344D7" w:rsidRDefault="007344D7">
      <w:pPr>
        <w:pStyle w:val="Index2"/>
        <w:tabs>
          <w:tab w:val="right" w:pos="3032"/>
        </w:tabs>
        <w:rPr>
          <w:noProof/>
        </w:rPr>
      </w:pPr>
      <w:r>
        <w:rPr>
          <w:noProof/>
        </w:rPr>
        <w:t>propositionale  236, 239, 244, 285, 327</w:t>
      </w:r>
    </w:p>
    <w:p w:rsidR="007344D7" w:rsidRDefault="007344D7" w:rsidP="0029451B">
      <w:pPr>
        <w:pStyle w:val="Index1"/>
        <w:rPr>
          <w:noProof/>
        </w:rPr>
      </w:pPr>
      <w:r>
        <w:rPr>
          <w:noProof/>
        </w:rPr>
        <w:t xml:space="preserve">Merkmal (bei Stil)  </w:t>
      </w:r>
      <w:r w:rsidR="0033744E">
        <w:rPr>
          <w:i/>
          <w:noProof/>
        </w:rPr>
        <w:t>s</w:t>
      </w:r>
      <w:r w:rsidRPr="0081017A">
        <w:rPr>
          <w:i/>
          <w:noProof/>
        </w:rPr>
        <w:t>iehe</w:t>
      </w:r>
      <w:r>
        <w:rPr>
          <w:noProof/>
        </w:rPr>
        <w:t xml:space="preserve"> stilistisches Merkmal</w:t>
      </w:r>
    </w:p>
    <w:p w:rsidR="007344D7" w:rsidRDefault="007344D7" w:rsidP="0029451B">
      <w:pPr>
        <w:pStyle w:val="Index1"/>
        <w:rPr>
          <w:noProof/>
        </w:rPr>
      </w:pPr>
      <w:r>
        <w:rPr>
          <w:noProof/>
        </w:rPr>
        <w:t xml:space="preserve">Merkmalsprozess  89–91, 166–233, </w:t>
      </w:r>
      <w:r w:rsidRPr="0081017A">
        <w:rPr>
          <w:i/>
          <w:noProof/>
        </w:rPr>
        <w:t>et passim</w:t>
      </w:r>
    </w:p>
    <w:p w:rsidR="007344D7" w:rsidRDefault="007344D7">
      <w:pPr>
        <w:pStyle w:val="Index2"/>
        <w:tabs>
          <w:tab w:val="right" w:pos="3032"/>
        </w:tabs>
        <w:rPr>
          <w:noProof/>
        </w:rPr>
      </w:pPr>
      <w:r w:rsidRPr="0081017A">
        <w:rPr>
          <w:i/>
          <w:noProof/>
        </w:rPr>
        <w:t>Abbildung</w:t>
      </w:r>
      <w:r>
        <w:rPr>
          <w:noProof/>
        </w:rPr>
        <w:t xml:space="preserve">  91, 170</w:t>
      </w:r>
    </w:p>
    <w:p w:rsidR="007344D7" w:rsidRDefault="007344D7" w:rsidP="0029451B">
      <w:pPr>
        <w:pStyle w:val="Index1"/>
        <w:rPr>
          <w:noProof/>
        </w:rPr>
      </w:pPr>
      <w:r>
        <w:rPr>
          <w:noProof/>
        </w:rPr>
        <w:t xml:space="preserve">Merkmalsregel  81–89, 181–206,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82</w:t>
      </w:r>
    </w:p>
    <w:p w:rsidR="007344D7" w:rsidRDefault="007344D7" w:rsidP="0029451B">
      <w:pPr>
        <w:pStyle w:val="Index1"/>
        <w:rPr>
          <w:noProof/>
        </w:rPr>
      </w:pPr>
      <w:r>
        <w:rPr>
          <w:noProof/>
        </w:rPr>
        <w:t>Merkmalssemantik  249, 444</w:t>
      </w:r>
    </w:p>
    <w:p w:rsidR="007344D7" w:rsidRDefault="007344D7" w:rsidP="0029451B">
      <w:pPr>
        <w:pStyle w:val="Index1"/>
        <w:rPr>
          <w:noProof/>
        </w:rPr>
      </w:pPr>
      <w:r>
        <w:rPr>
          <w:noProof/>
        </w:rPr>
        <w:t>Methode  419–21</w:t>
      </w:r>
    </w:p>
    <w:p w:rsidR="007344D7" w:rsidRDefault="007344D7" w:rsidP="0029451B">
      <w:pPr>
        <w:pStyle w:val="Index1"/>
        <w:rPr>
          <w:noProof/>
        </w:rPr>
      </w:pPr>
      <w:r>
        <w:rPr>
          <w:noProof/>
        </w:rPr>
        <w:t>Metrik  120</w:t>
      </w:r>
    </w:p>
    <w:p w:rsidR="007344D7" w:rsidRDefault="007344D7" w:rsidP="0029451B">
      <w:pPr>
        <w:pStyle w:val="Index1"/>
        <w:rPr>
          <w:noProof/>
        </w:rPr>
      </w:pPr>
      <w:r>
        <w:rPr>
          <w:noProof/>
        </w:rPr>
        <w:t>Mies van der Rohe, Ludwig  58, 427, 430</w:t>
      </w:r>
    </w:p>
    <w:p w:rsidR="007344D7" w:rsidRDefault="007344D7" w:rsidP="0029451B">
      <w:pPr>
        <w:pStyle w:val="Index1"/>
        <w:rPr>
          <w:noProof/>
        </w:rPr>
      </w:pPr>
      <w:r>
        <w:rPr>
          <w:noProof/>
        </w:rPr>
        <w:t>Milieu  77, 81, 128, 265, 415, 419, 428</w:t>
      </w:r>
      <w:r w:rsidR="004829A5">
        <w:rPr>
          <w:noProof/>
        </w:rPr>
        <w:t>–</w:t>
      </w:r>
      <w:r>
        <w:rPr>
          <w:noProof/>
        </w:rPr>
        <w:t>29, 434, 436</w:t>
      </w:r>
    </w:p>
    <w:p w:rsidR="007344D7" w:rsidRDefault="007344D7" w:rsidP="0029451B">
      <w:pPr>
        <w:pStyle w:val="Index1"/>
        <w:rPr>
          <w:noProof/>
        </w:rPr>
      </w:pPr>
      <w:r>
        <w:rPr>
          <w:noProof/>
        </w:rPr>
        <w:t>Minsky, Marvin  450</w:t>
      </w:r>
    </w:p>
    <w:p w:rsidR="007344D7" w:rsidRDefault="007344D7" w:rsidP="0029451B">
      <w:pPr>
        <w:pStyle w:val="Index1"/>
        <w:rPr>
          <w:noProof/>
        </w:rPr>
      </w:pPr>
      <w:r>
        <w:rPr>
          <w:noProof/>
        </w:rPr>
        <w:t>Modellierung  18, 2</w:t>
      </w:r>
      <w:r w:rsidR="00BB0677">
        <w:rPr>
          <w:noProof/>
        </w:rPr>
        <w:t>2</w:t>
      </w:r>
      <w:r w:rsidR="004829A5">
        <w:rPr>
          <w:noProof/>
        </w:rPr>
        <w:t>–</w:t>
      </w:r>
      <w:r w:rsidR="00BB0677">
        <w:rPr>
          <w:noProof/>
        </w:rPr>
        <w:t>29</w:t>
      </w:r>
      <w:r>
        <w:rPr>
          <w:noProof/>
        </w:rPr>
        <w:t>, 79, 80, 94, 169, 198, 242, 250, 295, 346, 389, 411, 439, 456</w:t>
      </w:r>
    </w:p>
    <w:p w:rsidR="007344D7" w:rsidRDefault="007344D7" w:rsidP="0029451B">
      <w:pPr>
        <w:pStyle w:val="Index1"/>
        <w:rPr>
          <w:noProof/>
        </w:rPr>
      </w:pPr>
      <w:r>
        <w:rPr>
          <w:noProof/>
        </w:rPr>
        <w:t>Moderne  43, 90, 108, 238, 283, 289, 291</w:t>
      </w:r>
      <w:r w:rsidR="00732977">
        <w:rPr>
          <w:noProof/>
        </w:rPr>
        <w:t>–</w:t>
      </w:r>
      <w:r>
        <w:rPr>
          <w:noProof/>
        </w:rPr>
        <w:t>94, 341, 427, 430, 437</w:t>
      </w:r>
    </w:p>
    <w:p w:rsidR="007344D7" w:rsidRDefault="007344D7">
      <w:pPr>
        <w:pStyle w:val="Index2"/>
        <w:tabs>
          <w:tab w:val="right" w:pos="3032"/>
        </w:tabs>
        <w:rPr>
          <w:noProof/>
        </w:rPr>
      </w:pPr>
      <w:r>
        <w:rPr>
          <w:noProof/>
        </w:rPr>
        <w:t>künstlerische  391</w:t>
      </w:r>
    </w:p>
    <w:p w:rsidR="007344D7" w:rsidRDefault="007344D7">
      <w:pPr>
        <w:pStyle w:val="Index2"/>
        <w:tabs>
          <w:tab w:val="right" w:pos="3032"/>
        </w:tabs>
        <w:rPr>
          <w:noProof/>
        </w:rPr>
      </w:pPr>
      <w:r>
        <w:rPr>
          <w:noProof/>
        </w:rPr>
        <w:t>literarische  283</w:t>
      </w:r>
    </w:p>
    <w:p w:rsidR="007344D7" w:rsidRDefault="007344D7" w:rsidP="0029451B">
      <w:pPr>
        <w:pStyle w:val="Index1"/>
        <w:rPr>
          <w:noProof/>
        </w:rPr>
      </w:pPr>
      <w:r>
        <w:rPr>
          <w:noProof/>
        </w:rPr>
        <w:t>Möglichkeitsraum  34, 50, 60, 78, 133–34, 137, 169, 176, 179, 200</w:t>
      </w:r>
      <w:r w:rsidR="00ED38C3">
        <w:rPr>
          <w:noProof/>
        </w:rPr>
        <w:t>–</w:t>
      </w:r>
      <w:r>
        <w:rPr>
          <w:noProof/>
        </w:rPr>
        <w:t>1, 205</w:t>
      </w:r>
    </w:p>
    <w:p w:rsidR="007344D7" w:rsidRDefault="007344D7">
      <w:pPr>
        <w:pStyle w:val="Index2"/>
        <w:tabs>
          <w:tab w:val="right" w:pos="3032"/>
        </w:tabs>
        <w:rPr>
          <w:noProof/>
        </w:rPr>
      </w:pPr>
      <w:r w:rsidRPr="0081017A">
        <w:rPr>
          <w:i/>
          <w:noProof/>
        </w:rPr>
        <w:t>Definition</w:t>
      </w:r>
      <w:r>
        <w:rPr>
          <w:noProof/>
        </w:rPr>
        <w:t xml:space="preserve">  134</w:t>
      </w:r>
    </w:p>
    <w:p w:rsidR="007344D7" w:rsidRDefault="007344D7" w:rsidP="0029451B">
      <w:pPr>
        <w:pStyle w:val="Index1"/>
        <w:rPr>
          <w:noProof/>
        </w:rPr>
      </w:pPr>
      <w:r>
        <w:rPr>
          <w:noProof/>
        </w:rPr>
        <w:t>Monismus (Stilauffassung)  36, 105</w:t>
      </w:r>
    </w:p>
    <w:p w:rsidR="007344D7" w:rsidRDefault="007344D7" w:rsidP="0029451B">
      <w:pPr>
        <w:pStyle w:val="Index1"/>
        <w:rPr>
          <w:noProof/>
        </w:rPr>
      </w:pPr>
      <w:r>
        <w:rPr>
          <w:noProof/>
        </w:rPr>
        <w:t>Montesquiou, Robert de  399</w:t>
      </w:r>
    </w:p>
    <w:p w:rsidR="007344D7" w:rsidRDefault="007344D7" w:rsidP="0029451B">
      <w:pPr>
        <w:pStyle w:val="Index1"/>
        <w:rPr>
          <w:noProof/>
        </w:rPr>
      </w:pPr>
      <w:r>
        <w:rPr>
          <w:noProof/>
        </w:rPr>
        <w:lastRenderedPageBreak/>
        <w:t>Morph  131</w:t>
      </w:r>
    </w:p>
    <w:p w:rsidR="007344D7" w:rsidRDefault="007344D7" w:rsidP="0029451B">
      <w:pPr>
        <w:pStyle w:val="Index1"/>
        <w:rPr>
          <w:noProof/>
        </w:rPr>
      </w:pPr>
      <w:r>
        <w:rPr>
          <w:noProof/>
        </w:rPr>
        <w:t>Morphem  39, 131, 142, 171</w:t>
      </w:r>
    </w:p>
    <w:p w:rsidR="007344D7" w:rsidRDefault="007344D7">
      <w:pPr>
        <w:pStyle w:val="Index2"/>
        <w:tabs>
          <w:tab w:val="right" w:pos="3032"/>
        </w:tabs>
        <w:rPr>
          <w:noProof/>
        </w:rPr>
      </w:pPr>
      <w:r>
        <w:rPr>
          <w:noProof/>
        </w:rPr>
        <w:t>Allomorph  38</w:t>
      </w:r>
    </w:p>
    <w:p w:rsidR="007344D7" w:rsidRDefault="007344D7" w:rsidP="0029451B">
      <w:pPr>
        <w:pStyle w:val="Index1"/>
        <w:rPr>
          <w:noProof/>
        </w:rPr>
      </w:pPr>
      <w:r>
        <w:rPr>
          <w:noProof/>
        </w:rPr>
        <w:t>Morphetik  131</w:t>
      </w:r>
    </w:p>
    <w:p w:rsidR="007344D7" w:rsidRDefault="007344D7" w:rsidP="0029451B">
      <w:pPr>
        <w:pStyle w:val="Index1"/>
        <w:rPr>
          <w:noProof/>
        </w:rPr>
      </w:pPr>
      <w:r>
        <w:rPr>
          <w:noProof/>
        </w:rPr>
        <w:t>Morphologie (Goethe)  323, 425</w:t>
      </w:r>
    </w:p>
    <w:p w:rsidR="007344D7" w:rsidRDefault="007344D7" w:rsidP="0029451B">
      <w:pPr>
        <w:pStyle w:val="Index1"/>
        <w:rPr>
          <w:noProof/>
        </w:rPr>
      </w:pPr>
      <w:r>
        <w:rPr>
          <w:noProof/>
        </w:rPr>
        <w:t>Morphologie (Linguistik)  138, 141, 163, 421</w:t>
      </w:r>
    </w:p>
    <w:p w:rsidR="007344D7" w:rsidRDefault="007344D7" w:rsidP="0029451B">
      <w:pPr>
        <w:pStyle w:val="Index1"/>
        <w:rPr>
          <w:noProof/>
        </w:rPr>
      </w:pPr>
      <w:r>
        <w:rPr>
          <w:noProof/>
        </w:rPr>
        <w:t>Musikwissenschaft  385, 389, 422</w:t>
      </w:r>
    </w:p>
    <w:p w:rsidR="007344D7" w:rsidRDefault="007344D7" w:rsidP="0029451B">
      <w:pPr>
        <w:pStyle w:val="Index1"/>
        <w:rPr>
          <w:noProof/>
        </w:rPr>
      </w:pPr>
      <w:r>
        <w:rPr>
          <w:noProof/>
        </w:rPr>
        <w:t>musikwissenschaftliche Stiltheorie  388</w:t>
      </w:r>
    </w:p>
    <w:p w:rsidR="00836FEB" w:rsidRDefault="00836FEB" w:rsidP="0029451B">
      <w:pPr>
        <w:pStyle w:val="Index1"/>
        <w:rPr>
          <w:rFonts w:eastAsia="Times New Roman" w:cs="Times New Roman"/>
          <w:noProof/>
        </w:rPr>
      </w:pPr>
    </w:p>
    <w:p w:rsidR="00DB1DF3" w:rsidRPr="00DB1DF3" w:rsidRDefault="00DB1DF3" w:rsidP="004A3B18">
      <w:pPr>
        <w:pStyle w:val="Index1"/>
        <w:keepNext/>
        <w:ind w:left="238" w:hanging="238"/>
        <w:jc w:val="center"/>
        <w:rPr>
          <w:b/>
          <w:noProof/>
        </w:rPr>
      </w:pPr>
      <w:r>
        <w:rPr>
          <w:b/>
          <w:noProof/>
        </w:rPr>
        <w:t>N</w:t>
      </w:r>
    </w:p>
    <w:p w:rsidR="00DB1DF3" w:rsidRDefault="00DB1DF3" w:rsidP="004A3B18">
      <w:pPr>
        <w:pStyle w:val="Index1"/>
        <w:keepNext/>
        <w:ind w:left="238" w:hanging="238"/>
        <w:rPr>
          <w:noProof/>
        </w:rPr>
      </w:pPr>
    </w:p>
    <w:p w:rsidR="007344D7" w:rsidRDefault="007344D7" w:rsidP="0029451B">
      <w:pPr>
        <w:pStyle w:val="Index1"/>
        <w:rPr>
          <w:noProof/>
        </w:rPr>
      </w:pPr>
      <w:r w:rsidRPr="0081017A">
        <w:rPr>
          <w:rFonts w:eastAsia="Times New Roman" w:cs="Times New Roman"/>
          <w:noProof/>
        </w:rPr>
        <w:t>Nachricht</w:t>
      </w:r>
      <w:r>
        <w:rPr>
          <w:noProof/>
        </w:rPr>
        <w:t xml:space="preserve">  65, 71, 107, 167</w:t>
      </w:r>
    </w:p>
    <w:p w:rsidR="007344D7" w:rsidRDefault="007344D7" w:rsidP="0029451B">
      <w:pPr>
        <w:pStyle w:val="Index1"/>
        <w:rPr>
          <w:noProof/>
        </w:rPr>
      </w:pPr>
      <w:r w:rsidRPr="0081017A">
        <w:rPr>
          <w:noProof/>
        </w:rPr>
        <w:t>Namensdefinition</w:t>
      </w:r>
      <w:r>
        <w:rPr>
          <w:noProof/>
        </w:rPr>
        <w:t xml:space="preserve">  178</w:t>
      </w:r>
    </w:p>
    <w:p w:rsidR="007344D7" w:rsidRDefault="007344D7" w:rsidP="0029451B">
      <w:pPr>
        <w:pStyle w:val="Index1"/>
        <w:rPr>
          <w:noProof/>
        </w:rPr>
      </w:pPr>
      <w:r>
        <w:rPr>
          <w:noProof/>
        </w:rPr>
        <w:t>Narratologie  401</w:t>
      </w:r>
    </w:p>
    <w:p w:rsidR="007344D7" w:rsidRDefault="007344D7" w:rsidP="0029451B">
      <w:pPr>
        <w:pStyle w:val="Index1"/>
        <w:rPr>
          <w:noProof/>
        </w:rPr>
      </w:pPr>
      <w:r>
        <w:rPr>
          <w:noProof/>
        </w:rPr>
        <w:t>Natur  424–25</w:t>
      </w:r>
    </w:p>
    <w:p w:rsidR="007344D7" w:rsidRDefault="007344D7" w:rsidP="0029451B">
      <w:pPr>
        <w:pStyle w:val="Index1"/>
        <w:rPr>
          <w:noProof/>
        </w:rPr>
      </w:pPr>
      <w:r>
        <w:rPr>
          <w:noProof/>
        </w:rPr>
        <w:t>Naturwissenschaften  450, 460</w:t>
      </w:r>
    </w:p>
    <w:p w:rsidR="007344D7" w:rsidRDefault="007344D7" w:rsidP="0029451B">
      <w:pPr>
        <w:pStyle w:val="Index1"/>
        <w:rPr>
          <w:noProof/>
        </w:rPr>
      </w:pPr>
      <w:r>
        <w:rPr>
          <w:noProof/>
        </w:rPr>
        <w:t>Nofretete (Grab)  329–31</w:t>
      </w:r>
    </w:p>
    <w:p w:rsidR="007344D7" w:rsidRDefault="007344D7" w:rsidP="0029451B">
      <w:pPr>
        <w:pStyle w:val="Index1"/>
        <w:rPr>
          <w:noProof/>
        </w:rPr>
      </w:pPr>
      <w:r>
        <w:rPr>
          <w:noProof/>
        </w:rPr>
        <w:t>Norm  81, 108, 112–15, 126, 152</w:t>
      </w:r>
      <w:r w:rsidR="00ED38C3">
        <w:rPr>
          <w:noProof/>
        </w:rPr>
        <w:t>–</w:t>
      </w:r>
      <w:r>
        <w:rPr>
          <w:noProof/>
        </w:rPr>
        <w:t>53, 259, 280, 412, 430, 455</w:t>
      </w:r>
    </w:p>
    <w:p w:rsidR="007344D7" w:rsidRDefault="007344D7" w:rsidP="0029451B">
      <w:pPr>
        <w:pStyle w:val="Index1"/>
        <w:rPr>
          <w:noProof/>
        </w:rPr>
      </w:pPr>
      <w:r>
        <w:rPr>
          <w:noProof/>
        </w:rPr>
        <w:t>normative Stilbegriffe  425–27</w:t>
      </w:r>
    </w:p>
    <w:p w:rsidR="007344D7" w:rsidRDefault="007344D7" w:rsidP="0029451B">
      <w:pPr>
        <w:pStyle w:val="Index1"/>
        <w:rPr>
          <w:noProof/>
        </w:rPr>
      </w:pPr>
      <w:r>
        <w:rPr>
          <w:noProof/>
        </w:rPr>
        <w:t>Notation (Musik)  388</w:t>
      </w:r>
    </w:p>
    <w:p w:rsidR="00836FEB" w:rsidRDefault="00836FEB" w:rsidP="0029451B">
      <w:pPr>
        <w:pStyle w:val="Index1"/>
        <w:rPr>
          <w:noProof/>
        </w:rPr>
      </w:pPr>
    </w:p>
    <w:p w:rsidR="00DB1DF3" w:rsidRPr="00DB1DF3" w:rsidRDefault="00DB1DF3" w:rsidP="00DB1DF3">
      <w:pPr>
        <w:pStyle w:val="Index1"/>
        <w:keepNext/>
        <w:ind w:left="238" w:hanging="238"/>
        <w:jc w:val="center"/>
        <w:rPr>
          <w:b/>
          <w:noProof/>
        </w:rPr>
      </w:pPr>
      <w:r>
        <w:rPr>
          <w:b/>
          <w:noProof/>
        </w:rPr>
        <w:t>O</w:t>
      </w:r>
    </w:p>
    <w:p w:rsidR="00DB1DF3" w:rsidRDefault="00DB1DF3" w:rsidP="00DB1DF3">
      <w:pPr>
        <w:pStyle w:val="Index1"/>
        <w:keepNext/>
        <w:ind w:left="238" w:hanging="238"/>
        <w:rPr>
          <w:noProof/>
        </w:rPr>
      </w:pPr>
    </w:p>
    <w:p w:rsidR="007344D7" w:rsidRDefault="007344D7" w:rsidP="0029451B">
      <w:pPr>
        <w:pStyle w:val="Index1"/>
        <w:rPr>
          <w:noProof/>
        </w:rPr>
      </w:pPr>
      <w:r>
        <w:rPr>
          <w:noProof/>
        </w:rPr>
        <w:t>Objektebene (Wissenschaftstheorie)  300, 346, 391, 404, 446</w:t>
      </w:r>
      <w:r w:rsidR="00ED38C3">
        <w:rPr>
          <w:noProof/>
        </w:rPr>
        <w:t>–</w:t>
      </w:r>
      <w:r>
        <w:rPr>
          <w:noProof/>
        </w:rPr>
        <w:t>47, 455</w:t>
      </w:r>
    </w:p>
    <w:p w:rsidR="007344D7" w:rsidRDefault="007344D7" w:rsidP="0029451B">
      <w:pPr>
        <w:pStyle w:val="Index1"/>
        <w:rPr>
          <w:noProof/>
        </w:rPr>
      </w:pPr>
      <w:r>
        <w:rPr>
          <w:noProof/>
        </w:rPr>
        <w:t>Occams razor  453</w:t>
      </w:r>
    </w:p>
    <w:p w:rsidR="007344D7" w:rsidRDefault="007344D7" w:rsidP="0029451B">
      <w:pPr>
        <w:pStyle w:val="Index1"/>
        <w:rPr>
          <w:noProof/>
        </w:rPr>
      </w:pPr>
      <w:r>
        <w:rPr>
          <w:noProof/>
        </w:rPr>
        <w:t>Ontologie  34, 84, 147, 249, 395</w:t>
      </w:r>
    </w:p>
    <w:p w:rsidR="007344D7" w:rsidRDefault="007344D7" w:rsidP="0029451B">
      <w:pPr>
        <w:pStyle w:val="Index1"/>
        <w:rPr>
          <w:noProof/>
        </w:rPr>
      </w:pPr>
      <w:r>
        <w:rPr>
          <w:noProof/>
        </w:rPr>
        <w:t xml:space="preserve">Operationen (der Interpretation)  239–41, 267–87, </w:t>
      </w:r>
      <w:r w:rsidRPr="0081017A">
        <w:rPr>
          <w:i/>
          <w:noProof/>
        </w:rPr>
        <w:t>et passim</w:t>
      </w:r>
    </w:p>
    <w:p w:rsidR="007344D7" w:rsidRDefault="007344D7" w:rsidP="0029451B">
      <w:pPr>
        <w:pStyle w:val="Index1"/>
        <w:rPr>
          <w:noProof/>
        </w:rPr>
      </w:pPr>
      <w:r>
        <w:rPr>
          <w:noProof/>
        </w:rPr>
        <w:t>Orchestrierung  388</w:t>
      </w:r>
    </w:p>
    <w:p w:rsidR="007344D7" w:rsidRDefault="007344D7" w:rsidP="0029451B">
      <w:pPr>
        <w:pStyle w:val="Index1"/>
        <w:rPr>
          <w:noProof/>
        </w:rPr>
      </w:pPr>
      <w:r>
        <w:rPr>
          <w:noProof/>
        </w:rPr>
        <w:t>Original  431</w:t>
      </w:r>
    </w:p>
    <w:p w:rsidR="007344D7" w:rsidRDefault="007344D7" w:rsidP="0029451B">
      <w:pPr>
        <w:pStyle w:val="Index1"/>
        <w:rPr>
          <w:noProof/>
        </w:rPr>
      </w:pPr>
      <w:r>
        <w:rPr>
          <w:noProof/>
        </w:rPr>
        <w:t>Ornament  43, 314, 394, 411</w:t>
      </w:r>
    </w:p>
    <w:p w:rsidR="00836FEB" w:rsidRDefault="00836FEB" w:rsidP="0029451B">
      <w:pPr>
        <w:pStyle w:val="Index1"/>
        <w:rPr>
          <w:noProof/>
          <w:lang w:val="it-IT"/>
        </w:rPr>
      </w:pPr>
    </w:p>
    <w:p w:rsidR="00DB1DF3" w:rsidRPr="00DB1DF3" w:rsidRDefault="00DB1DF3" w:rsidP="004A3B18">
      <w:pPr>
        <w:pStyle w:val="Index1"/>
        <w:keepNext/>
        <w:ind w:left="238" w:hanging="238"/>
        <w:jc w:val="center"/>
        <w:rPr>
          <w:b/>
          <w:noProof/>
        </w:rPr>
      </w:pPr>
      <w:r>
        <w:rPr>
          <w:b/>
          <w:noProof/>
        </w:rPr>
        <w:t>P</w:t>
      </w:r>
    </w:p>
    <w:p w:rsidR="00DB1DF3" w:rsidRDefault="00DB1DF3" w:rsidP="004A3B18">
      <w:pPr>
        <w:pStyle w:val="Index1"/>
        <w:keepNext/>
        <w:ind w:left="238" w:hanging="238"/>
        <w:rPr>
          <w:noProof/>
        </w:rPr>
      </w:pPr>
    </w:p>
    <w:p w:rsidR="007344D7" w:rsidRDefault="007344D7" w:rsidP="0029451B">
      <w:pPr>
        <w:pStyle w:val="Index1"/>
        <w:rPr>
          <w:noProof/>
        </w:rPr>
      </w:pPr>
      <w:r w:rsidRPr="0081017A">
        <w:rPr>
          <w:noProof/>
          <w:lang w:val="it-IT"/>
        </w:rPr>
        <w:t>Paarvariable</w:t>
      </w:r>
      <w:r>
        <w:rPr>
          <w:noProof/>
        </w:rPr>
        <w:t xml:space="preserve">  177, 372</w:t>
      </w:r>
      <w:r w:rsidR="00792D5B">
        <w:rPr>
          <w:noProof/>
        </w:rPr>
        <w:t>–</w:t>
      </w:r>
      <w:r>
        <w:rPr>
          <w:noProof/>
        </w:rPr>
        <w:t>73, 378, 380</w:t>
      </w:r>
    </w:p>
    <w:p w:rsidR="007344D7" w:rsidRDefault="007344D7" w:rsidP="0029451B">
      <w:pPr>
        <w:pStyle w:val="Index1"/>
        <w:rPr>
          <w:noProof/>
        </w:rPr>
      </w:pPr>
      <w:r>
        <w:rPr>
          <w:noProof/>
        </w:rPr>
        <w:t>Paradigma  21, 52</w:t>
      </w:r>
      <w:r w:rsidR="00792D5B">
        <w:rPr>
          <w:noProof/>
        </w:rPr>
        <w:t>–</w:t>
      </w:r>
      <w:r>
        <w:rPr>
          <w:noProof/>
        </w:rPr>
        <w:t>53, 55, 103, 119, 122, 159, 385</w:t>
      </w:r>
    </w:p>
    <w:p w:rsidR="007344D7" w:rsidRDefault="007344D7" w:rsidP="0029451B">
      <w:pPr>
        <w:pStyle w:val="Index1"/>
        <w:rPr>
          <w:noProof/>
        </w:rPr>
      </w:pPr>
      <w:r>
        <w:rPr>
          <w:noProof/>
        </w:rPr>
        <w:t>Parler, Peter  63</w:t>
      </w:r>
    </w:p>
    <w:p w:rsidR="007344D7" w:rsidRDefault="007344D7" w:rsidP="0029451B">
      <w:pPr>
        <w:pStyle w:val="Index1"/>
        <w:rPr>
          <w:noProof/>
        </w:rPr>
      </w:pPr>
      <w:r>
        <w:rPr>
          <w:noProof/>
        </w:rPr>
        <w:lastRenderedPageBreak/>
        <w:t>Peirce, Charles S.  21, 232, 273, 390, 458</w:t>
      </w:r>
    </w:p>
    <w:p w:rsidR="007344D7" w:rsidRDefault="007344D7" w:rsidP="0029451B">
      <w:pPr>
        <w:pStyle w:val="Index1"/>
        <w:rPr>
          <w:noProof/>
        </w:rPr>
      </w:pPr>
      <w:r>
        <w:rPr>
          <w:noProof/>
        </w:rPr>
        <w:t>Perspektive (Bild)  419, 426</w:t>
      </w:r>
    </w:p>
    <w:p w:rsidR="007344D7" w:rsidRDefault="007344D7" w:rsidP="0029451B">
      <w:pPr>
        <w:pStyle w:val="Index1"/>
        <w:rPr>
          <w:noProof/>
        </w:rPr>
      </w:pPr>
      <w:r>
        <w:rPr>
          <w:noProof/>
        </w:rPr>
        <w:t>Phänomen  439–43</w:t>
      </w:r>
    </w:p>
    <w:p w:rsidR="007344D7" w:rsidRDefault="007344D7" w:rsidP="0029451B">
      <w:pPr>
        <w:pStyle w:val="Index1"/>
        <w:rPr>
          <w:noProof/>
        </w:rPr>
      </w:pPr>
      <w:r>
        <w:rPr>
          <w:noProof/>
        </w:rPr>
        <w:t>Phon  131</w:t>
      </w:r>
    </w:p>
    <w:p w:rsidR="007344D7" w:rsidRDefault="007344D7" w:rsidP="0029451B">
      <w:pPr>
        <w:pStyle w:val="Index1"/>
        <w:rPr>
          <w:noProof/>
        </w:rPr>
      </w:pPr>
      <w:r>
        <w:rPr>
          <w:noProof/>
        </w:rPr>
        <w:t>Phonem  131, 138, 142, 254</w:t>
      </w:r>
    </w:p>
    <w:p w:rsidR="007344D7" w:rsidRDefault="007344D7" w:rsidP="0029451B">
      <w:pPr>
        <w:pStyle w:val="Index1"/>
        <w:rPr>
          <w:noProof/>
        </w:rPr>
      </w:pPr>
      <w:r>
        <w:rPr>
          <w:noProof/>
        </w:rPr>
        <w:t>Phonetik  113, 131</w:t>
      </w:r>
    </w:p>
    <w:p w:rsidR="007344D7" w:rsidRDefault="007344D7" w:rsidP="0029451B">
      <w:pPr>
        <w:pStyle w:val="Index1"/>
        <w:rPr>
          <w:noProof/>
        </w:rPr>
      </w:pPr>
      <w:r>
        <w:rPr>
          <w:noProof/>
        </w:rPr>
        <w:t>Phonologie  38, 120, 138, 141, 156, 163, 421</w:t>
      </w:r>
    </w:p>
    <w:p w:rsidR="007344D7" w:rsidRDefault="007344D7" w:rsidP="0029451B">
      <w:pPr>
        <w:pStyle w:val="Index1"/>
        <w:rPr>
          <w:noProof/>
        </w:rPr>
      </w:pPr>
      <w:r>
        <w:rPr>
          <w:noProof/>
        </w:rPr>
        <w:t>Picasso, Pablo  438</w:t>
      </w:r>
    </w:p>
    <w:p w:rsidR="007344D7" w:rsidRDefault="007344D7" w:rsidP="0029451B">
      <w:pPr>
        <w:pStyle w:val="Index1"/>
        <w:rPr>
          <w:noProof/>
        </w:rPr>
      </w:pPr>
      <w:r>
        <w:rPr>
          <w:noProof/>
        </w:rPr>
        <w:t>Pike, Kenneth L.  131</w:t>
      </w:r>
    </w:p>
    <w:p w:rsidR="007344D7" w:rsidRDefault="007344D7" w:rsidP="0029451B">
      <w:pPr>
        <w:pStyle w:val="Index1"/>
        <w:rPr>
          <w:noProof/>
        </w:rPr>
      </w:pPr>
      <w:r>
        <w:rPr>
          <w:noProof/>
        </w:rPr>
        <w:t>Plagiat  431</w:t>
      </w:r>
    </w:p>
    <w:p w:rsidR="007344D7" w:rsidRDefault="007344D7" w:rsidP="0029451B">
      <w:pPr>
        <w:pStyle w:val="Index1"/>
        <w:rPr>
          <w:noProof/>
        </w:rPr>
      </w:pPr>
      <w:r>
        <w:rPr>
          <w:noProof/>
        </w:rPr>
        <w:t>Plenzdorf, Ulrich  429</w:t>
      </w:r>
    </w:p>
    <w:p w:rsidR="007344D7" w:rsidRDefault="007344D7" w:rsidP="0029451B">
      <w:pPr>
        <w:pStyle w:val="Index1"/>
        <w:rPr>
          <w:noProof/>
        </w:rPr>
      </w:pPr>
      <w:r>
        <w:rPr>
          <w:noProof/>
        </w:rPr>
        <w:t>poetische Funktion (Jakobson)  120, 121</w:t>
      </w:r>
    </w:p>
    <w:p w:rsidR="007344D7" w:rsidRDefault="007344D7" w:rsidP="0029451B">
      <w:pPr>
        <w:pStyle w:val="Index1"/>
        <w:rPr>
          <w:noProof/>
        </w:rPr>
      </w:pPr>
      <w:r>
        <w:rPr>
          <w:noProof/>
        </w:rPr>
        <w:t>Pope, Alexander  26</w:t>
      </w:r>
    </w:p>
    <w:p w:rsidR="007344D7" w:rsidRDefault="007344D7" w:rsidP="0029451B">
      <w:pPr>
        <w:pStyle w:val="Index1"/>
        <w:rPr>
          <w:noProof/>
        </w:rPr>
      </w:pPr>
      <w:r>
        <w:rPr>
          <w:noProof/>
        </w:rPr>
        <w:t>Popper, Karl  268, 272</w:t>
      </w:r>
    </w:p>
    <w:p w:rsidR="007344D7" w:rsidRDefault="007344D7" w:rsidP="0029451B">
      <w:pPr>
        <w:pStyle w:val="Index1"/>
        <w:rPr>
          <w:noProof/>
        </w:rPr>
      </w:pPr>
      <w:r>
        <w:rPr>
          <w:noProof/>
        </w:rPr>
        <w:t>Postel, Gerd  435</w:t>
      </w:r>
    </w:p>
    <w:p w:rsidR="007344D7" w:rsidRDefault="007344D7" w:rsidP="0029451B">
      <w:pPr>
        <w:pStyle w:val="Index1"/>
        <w:rPr>
          <w:noProof/>
        </w:rPr>
      </w:pPr>
      <w:r>
        <w:rPr>
          <w:noProof/>
        </w:rPr>
        <w:t>Postmoderne  145, 289, 291</w:t>
      </w:r>
      <w:r w:rsidR="00D76699">
        <w:rPr>
          <w:noProof/>
        </w:rPr>
        <w:t>–</w:t>
      </w:r>
      <w:r>
        <w:rPr>
          <w:noProof/>
        </w:rPr>
        <w:t>294, 391, 430, 437, 451</w:t>
      </w:r>
    </w:p>
    <w:p w:rsidR="007344D7" w:rsidRDefault="007344D7" w:rsidP="0029451B">
      <w:pPr>
        <w:pStyle w:val="Index1"/>
        <w:rPr>
          <w:noProof/>
        </w:rPr>
      </w:pPr>
      <w:r>
        <w:rPr>
          <w:noProof/>
        </w:rPr>
        <w:t>Potenzmenge  199, 202</w:t>
      </w:r>
      <w:r w:rsidR="00D76699">
        <w:rPr>
          <w:noProof/>
        </w:rPr>
        <w:t>–</w:t>
      </w:r>
      <w:r>
        <w:rPr>
          <w:noProof/>
        </w:rPr>
        <w:t>3, 338, 340, 342</w:t>
      </w:r>
    </w:p>
    <w:p w:rsidR="007344D7" w:rsidRDefault="007344D7" w:rsidP="0029451B">
      <w:pPr>
        <w:pStyle w:val="Index1"/>
        <w:rPr>
          <w:noProof/>
        </w:rPr>
      </w:pPr>
      <w:r>
        <w:rPr>
          <w:noProof/>
        </w:rPr>
        <w:t>Prädikat  134, 149, 160, 248</w:t>
      </w:r>
    </w:p>
    <w:p w:rsidR="007344D7" w:rsidRDefault="007344D7" w:rsidP="0029451B">
      <w:pPr>
        <w:pStyle w:val="Index1"/>
        <w:rPr>
          <w:noProof/>
        </w:rPr>
      </w:pPr>
      <w:r>
        <w:rPr>
          <w:noProof/>
        </w:rPr>
        <w:t>Prager Strukturalismus  47, 107</w:t>
      </w:r>
      <w:r w:rsidR="00D76699">
        <w:rPr>
          <w:noProof/>
        </w:rPr>
        <w:t>–</w:t>
      </w:r>
      <w:r>
        <w:rPr>
          <w:noProof/>
        </w:rPr>
        <w:t xml:space="preserve">8, </w:t>
      </w:r>
      <w:r w:rsidRPr="0081017A">
        <w:rPr>
          <w:rFonts w:cstheme="minorHAnsi"/>
          <w:i/>
          <w:noProof/>
        </w:rPr>
        <w:t>siehe auch</w:t>
      </w:r>
      <w:r w:rsidRPr="0081017A">
        <w:rPr>
          <w:rFonts w:cstheme="minorHAnsi"/>
          <w:noProof/>
        </w:rPr>
        <w:t xml:space="preserve"> Strukturalismus</w:t>
      </w:r>
    </w:p>
    <w:p w:rsidR="007344D7" w:rsidRDefault="007344D7" w:rsidP="0029451B">
      <w:pPr>
        <w:pStyle w:val="Index1"/>
        <w:rPr>
          <w:noProof/>
        </w:rPr>
      </w:pPr>
      <w:r>
        <w:rPr>
          <w:noProof/>
        </w:rPr>
        <w:t>Präsupposition  24</w:t>
      </w:r>
    </w:p>
    <w:p w:rsidR="007344D7" w:rsidRDefault="007344D7" w:rsidP="0029451B">
      <w:pPr>
        <w:pStyle w:val="Index1"/>
        <w:rPr>
          <w:noProof/>
        </w:rPr>
      </w:pPr>
      <w:r>
        <w:rPr>
          <w:noProof/>
        </w:rPr>
        <w:t>Präzision  446–57</w:t>
      </w:r>
    </w:p>
    <w:p w:rsidR="007344D7" w:rsidRDefault="007344D7" w:rsidP="0029451B">
      <w:pPr>
        <w:pStyle w:val="Index1"/>
        <w:rPr>
          <w:noProof/>
        </w:rPr>
      </w:pPr>
      <w:r>
        <w:rPr>
          <w:noProof/>
        </w:rPr>
        <w:t>Präzisionshypothese  448, 450</w:t>
      </w:r>
      <w:r w:rsidR="00D76699">
        <w:rPr>
          <w:noProof/>
        </w:rPr>
        <w:t>–</w:t>
      </w:r>
      <w:r>
        <w:rPr>
          <w:noProof/>
        </w:rPr>
        <w:t>52</w:t>
      </w:r>
    </w:p>
    <w:p w:rsidR="007344D7" w:rsidRDefault="007344D7" w:rsidP="0029451B">
      <w:pPr>
        <w:pStyle w:val="Index1"/>
        <w:rPr>
          <w:noProof/>
        </w:rPr>
      </w:pPr>
      <w:r>
        <w:rPr>
          <w:noProof/>
        </w:rPr>
        <w:t>Priorisierung  123, 171, 182–88, 195, 225–29, 240, 310, 311</w:t>
      </w:r>
    </w:p>
    <w:p w:rsidR="007344D7" w:rsidRDefault="007344D7" w:rsidP="0029451B">
      <w:pPr>
        <w:pStyle w:val="Index1"/>
        <w:rPr>
          <w:noProof/>
        </w:rPr>
      </w:pPr>
      <w:r>
        <w:rPr>
          <w:noProof/>
        </w:rPr>
        <w:t>Programmiersprache  30, 32, 34, 343</w:t>
      </w:r>
    </w:p>
    <w:p w:rsidR="007344D7" w:rsidRDefault="007344D7" w:rsidP="0029451B">
      <w:pPr>
        <w:pStyle w:val="Index1"/>
        <w:rPr>
          <w:noProof/>
        </w:rPr>
      </w:pPr>
      <w:r>
        <w:rPr>
          <w:noProof/>
        </w:rPr>
        <w:t>Programmierstil  31, 421</w:t>
      </w:r>
    </w:p>
    <w:p w:rsidR="007344D7" w:rsidRDefault="007344D7" w:rsidP="0029451B">
      <w:pPr>
        <w:pStyle w:val="Index1"/>
        <w:rPr>
          <w:noProof/>
        </w:rPr>
      </w:pPr>
      <w:r>
        <w:rPr>
          <w:noProof/>
        </w:rPr>
        <w:t>Prosodie  120</w:t>
      </w:r>
    </w:p>
    <w:p w:rsidR="007344D7" w:rsidRDefault="007344D7" w:rsidP="0029451B">
      <w:pPr>
        <w:pStyle w:val="Index1"/>
        <w:rPr>
          <w:noProof/>
        </w:rPr>
      </w:pPr>
      <w:r>
        <w:rPr>
          <w:noProof/>
        </w:rPr>
        <w:t>Prototypentheorie  140, 153, 214</w:t>
      </w:r>
    </w:p>
    <w:p w:rsidR="007344D7" w:rsidRDefault="007344D7" w:rsidP="0029451B">
      <w:pPr>
        <w:pStyle w:val="Index1"/>
        <w:rPr>
          <w:noProof/>
        </w:rPr>
      </w:pPr>
      <w:r>
        <w:rPr>
          <w:noProof/>
        </w:rPr>
        <w:t>Proust, Marcel  399</w:t>
      </w:r>
    </w:p>
    <w:p w:rsidR="007344D7" w:rsidRDefault="007344D7" w:rsidP="0029451B">
      <w:pPr>
        <w:pStyle w:val="Index1"/>
        <w:rPr>
          <w:noProof/>
        </w:rPr>
      </w:pPr>
      <w:r>
        <w:rPr>
          <w:noProof/>
        </w:rPr>
        <w:t>Pseudocode  33, 176</w:t>
      </w:r>
    </w:p>
    <w:p w:rsidR="007344D7" w:rsidRDefault="007344D7" w:rsidP="0029451B">
      <w:pPr>
        <w:pStyle w:val="Index1"/>
        <w:rPr>
          <w:noProof/>
        </w:rPr>
      </w:pPr>
      <w:r>
        <w:rPr>
          <w:noProof/>
        </w:rPr>
        <w:t>Psychologie  99, 271, 334</w:t>
      </w:r>
      <w:r w:rsidR="0029451B">
        <w:rPr>
          <w:noProof/>
        </w:rPr>
        <w:t>–</w:t>
      </w:r>
      <w:r>
        <w:rPr>
          <w:noProof/>
        </w:rPr>
        <w:t>35</w:t>
      </w:r>
    </w:p>
    <w:p w:rsidR="007344D7" w:rsidRDefault="007344D7" w:rsidP="0029451B">
      <w:pPr>
        <w:pStyle w:val="Index1"/>
        <w:rPr>
          <w:noProof/>
        </w:rPr>
      </w:pPr>
      <w:r>
        <w:rPr>
          <w:noProof/>
        </w:rPr>
        <w:t>Putnam, Hilary  444</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lastRenderedPageBreak/>
        <w:t>Q</w:t>
      </w:r>
    </w:p>
    <w:p w:rsidR="00DB1DF3" w:rsidRDefault="00DB1DF3" w:rsidP="004A3B18">
      <w:pPr>
        <w:pStyle w:val="Index1"/>
        <w:keepNext/>
        <w:ind w:left="238" w:hanging="238"/>
        <w:rPr>
          <w:noProof/>
        </w:rPr>
      </w:pPr>
    </w:p>
    <w:p w:rsidR="007344D7" w:rsidRDefault="007344D7" w:rsidP="0029451B">
      <w:pPr>
        <w:pStyle w:val="Index1"/>
        <w:rPr>
          <w:noProof/>
        </w:rPr>
      </w:pPr>
      <w:r>
        <w:rPr>
          <w:noProof/>
        </w:rPr>
        <w:t>quantitative Stilistik  40, 113</w:t>
      </w:r>
      <w:r w:rsidR="0029451B">
        <w:rPr>
          <w:noProof/>
        </w:rPr>
        <w:t>–</w:t>
      </w:r>
      <w:r>
        <w:rPr>
          <w:noProof/>
        </w:rPr>
        <w:t>15, 127</w:t>
      </w:r>
      <w:r w:rsidR="0029451B">
        <w:rPr>
          <w:noProof/>
        </w:rPr>
        <w:t>–</w:t>
      </w:r>
      <w:r>
        <w:rPr>
          <w:noProof/>
        </w:rPr>
        <w:t>28, 153, 156, 456</w:t>
      </w:r>
    </w:p>
    <w:p w:rsidR="007344D7" w:rsidRDefault="007344D7" w:rsidP="0029451B">
      <w:pPr>
        <w:pStyle w:val="Index1"/>
        <w:rPr>
          <w:noProof/>
        </w:rPr>
      </w:pPr>
      <w:r>
        <w:rPr>
          <w:noProof/>
        </w:rPr>
        <w:t>Queneau, Raymond  57</w:t>
      </w:r>
    </w:p>
    <w:p w:rsidR="004A3B18" w:rsidRPr="004A3B18" w:rsidRDefault="004A3B18" w:rsidP="004A3B18">
      <w:pPr>
        <w:ind w:firstLine="0"/>
      </w:pPr>
    </w:p>
    <w:p w:rsidR="00DB1DF3" w:rsidRPr="00DB1DF3" w:rsidRDefault="00DB1DF3" w:rsidP="004A3B18">
      <w:pPr>
        <w:pStyle w:val="Index1"/>
        <w:keepNext/>
        <w:ind w:left="238" w:hanging="238"/>
        <w:jc w:val="center"/>
        <w:rPr>
          <w:b/>
          <w:noProof/>
        </w:rPr>
      </w:pPr>
      <w:r>
        <w:rPr>
          <w:b/>
          <w:noProof/>
        </w:rPr>
        <w:t>R</w:t>
      </w:r>
    </w:p>
    <w:p w:rsidR="00DB1DF3" w:rsidRDefault="00DB1DF3" w:rsidP="004A3B18">
      <w:pPr>
        <w:pStyle w:val="Index1"/>
        <w:keepNext/>
        <w:rPr>
          <w:noProof/>
        </w:rPr>
      </w:pPr>
    </w:p>
    <w:p w:rsidR="007344D7" w:rsidRDefault="007344D7" w:rsidP="0029451B">
      <w:pPr>
        <w:pStyle w:val="Index1"/>
        <w:rPr>
          <w:noProof/>
        </w:rPr>
      </w:pPr>
      <w:r>
        <w:rPr>
          <w:noProof/>
        </w:rPr>
        <w:t>Raschdorff, Julius  63</w:t>
      </w:r>
    </w:p>
    <w:p w:rsidR="007344D7" w:rsidRDefault="007344D7" w:rsidP="0029451B">
      <w:pPr>
        <w:pStyle w:val="Index1"/>
        <w:rPr>
          <w:noProof/>
        </w:rPr>
      </w:pPr>
      <w:r>
        <w:rPr>
          <w:noProof/>
        </w:rPr>
        <w:t>Rasterfahndung  419, 421</w:t>
      </w:r>
    </w:p>
    <w:p w:rsidR="007344D7" w:rsidRDefault="007344D7" w:rsidP="0029451B">
      <w:pPr>
        <w:pStyle w:val="Index1"/>
        <w:rPr>
          <w:noProof/>
        </w:rPr>
      </w:pPr>
      <w:r>
        <w:rPr>
          <w:noProof/>
        </w:rPr>
        <w:t>Ravenhill, Mark  429</w:t>
      </w:r>
    </w:p>
    <w:p w:rsidR="007344D7" w:rsidRDefault="007344D7" w:rsidP="0029451B">
      <w:pPr>
        <w:pStyle w:val="Index1"/>
        <w:rPr>
          <w:noProof/>
        </w:rPr>
      </w:pPr>
      <w:r>
        <w:rPr>
          <w:noProof/>
        </w:rPr>
        <w:t xml:space="preserve">Realisierung  52–54, 161–65, </w:t>
      </w:r>
      <w:r w:rsidRPr="0081017A">
        <w:rPr>
          <w:rFonts w:cstheme="minorHAnsi"/>
          <w:i/>
          <w:noProof/>
        </w:rPr>
        <w:t>et passim</w:t>
      </w:r>
    </w:p>
    <w:p w:rsidR="007344D7" w:rsidRDefault="007344D7">
      <w:pPr>
        <w:pStyle w:val="Index2"/>
        <w:tabs>
          <w:tab w:val="right" w:pos="3032"/>
        </w:tabs>
        <w:rPr>
          <w:noProof/>
        </w:rPr>
      </w:pPr>
      <w:r w:rsidRPr="0081017A">
        <w:rPr>
          <w:i/>
          <w:noProof/>
        </w:rPr>
        <w:t>Definition</w:t>
      </w:r>
      <w:r>
        <w:rPr>
          <w:noProof/>
        </w:rPr>
        <w:t xml:space="preserve">  161</w:t>
      </w:r>
    </w:p>
    <w:p w:rsidR="007344D7" w:rsidRDefault="007344D7" w:rsidP="0029451B">
      <w:pPr>
        <w:pStyle w:val="Index1"/>
        <w:rPr>
          <w:noProof/>
        </w:rPr>
      </w:pPr>
      <w:r>
        <w:rPr>
          <w:noProof/>
        </w:rPr>
        <w:t xml:space="preserve">Realisierungsstelle  52–54, 61, 161–65,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161</w:t>
      </w:r>
    </w:p>
    <w:p w:rsidR="007344D7" w:rsidRDefault="007344D7" w:rsidP="0029451B">
      <w:pPr>
        <w:pStyle w:val="Index1"/>
        <w:rPr>
          <w:noProof/>
        </w:rPr>
      </w:pPr>
      <w:r>
        <w:rPr>
          <w:noProof/>
        </w:rPr>
        <w:t>Referenz  23, 56</w:t>
      </w:r>
      <w:r w:rsidR="0029451B">
        <w:rPr>
          <w:noProof/>
        </w:rPr>
        <w:t>–</w:t>
      </w:r>
      <w:r>
        <w:rPr>
          <w:noProof/>
        </w:rPr>
        <w:t>57, 120</w:t>
      </w:r>
    </w:p>
    <w:p w:rsidR="007344D7" w:rsidRDefault="007344D7" w:rsidP="0029451B">
      <w:pPr>
        <w:pStyle w:val="Index1"/>
        <w:rPr>
          <w:noProof/>
        </w:rPr>
      </w:pPr>
      <w:r>
        <w:rPr>
          <w:noProof/>
        </w:rPr>
        <w:t>Register  415–19</w:t>
      </w:r>
    </w:p>
    <w:p w:rsidR="007344D7" w:rsidRDefault="007344D7" w:rsidP="0029451B">
      <w:pPr>
        <w:pStyle w:val="Index1"/>
        <w:rPr>
          <w:noProof/>
        </w:rPr>
      </w:pPr>
      <w:r w:rsidRPr="0081017A">
        <w:rPr>
          <w:noProof/>
        </w:rPr>
        <w:t>regulative Regeln</w:t>
      </w:r>
      <w:r>
        <w:rPr>
          <w:noProof/>
        </w:rPr>
        <w:t xml:space="preserve">  117, 118</w:t>
      </w:r>
    </w:p>
    <w:p w:rsidR="007344D7" w:rsidRDefault="007344D7" w:rsidP="0029451B">
      <w:pPr>
        <w:pStyle w:val="Index1"/>
        <w:rPr>
          <w:noProof/>
        </w:rPr>
      </w:pPr>
      <w:r>
        <w:rPr>
          <w:noProof/>
        </w:rPr>
        <w:t>Relationen zwischen Merkmalsregeln  305–12</w:t>
      </w:r>
    </w:p>
    <w:p w:rsidR="007344D7" w:rsidRDefault="007344D7" w:rsidP="0029451B">
      <w:pPr>
        <w:pStyle w:val="Index1"/>
        <w:rPr>
          <w:noProof/>
        </w:rPr>
      </w:pPr>
      <w:r>
        <w:rPr>
          <w:noProof/>
        </w:rPr>
        <w:t>Relevanztheorie  440</w:t>
      </w:r>
    </w:p>
    <w:p w:rsidR="007344D7" w:rsidRDefault="007344D7" w:rsidP="0029451B">
      <w:pPr>
        <w:pStyle w:val="Index1"/>
        <w:rPr>
          <w:noProof/>
        </w:rPr>
      </w:pPr>
      <w:r>
        <w:rPr>
          <w:noProof/>
        </w:rPr>
        <w:t>Renaissance  407, 423, 427, 437</w:t>
      </w:r>
    </w:p>
    <w:p w:rsidR="007344D7" w:rsidRDefault="007344D7" w:rsidP="0029451B">
      <w:pPr>
        <w:pStyle w:val="Index1"/>
        <w:rPr>
          <w:noProof/>
        </w:rPr>
      </w:pPr>
      <w:r>
        <w:rPr>
          <w:noProof/>
        </w:rPr>
        <w:t>Rezeptionsanalyse  119, 121, 446</w:t>
      </w:r>
    </w:p>
    <w:p w:rsidR="007344D7" w:rsidRDefault="007344D7" w:rsidP="0029451B">
      <w:pPr>
        <w:pStyle w:val="Index1"/>
        <w:rPr>
          <w:noProof/>
        </w:rPr>
      </w:pPr>
      <w:r w:rsidRPr="0081017A">
        <w:rPr>
          <w:rFonts w:eastAsia="Times New Roman" w:cs="Times New Roman"/>
          <w:noProof/>
        </w:rPr>
        <w:t>Rhetorik</w:t>
      </w:r>
      <w:r>
        <w:rPr>
          <w:noProof/>
        </w:rPr>
        <w:t xml:space="preserve">  105, 110, 385, 421–22</w:t>
      </w:r>
    </w:p>
    <w:p w:rsidR="007344D7" w:rsidRDefault="007344D7" w:rsidP="0029451B">
      <w:pPr>
        <w:pStyle w:val="Index1"/>
        <w:rPr>
          <w:noProof/>
        </w:rPr>
      </w:pPr>
      <w:r>
        <w:rPr>
          <w:noProof/>
        </w:rPr>
        <w:t>Rhetorische Figur  421–22</w:t>
      </w:r>
    </w:p>
    <w:p w:rsidR="007344D7" w:rsidRDefault="007344D7" w:rsidP="0029451B">
      <w:pPr>
        <w:pStyle w:val="Index1"/>
        <w:rPr>
          <w:noProof/>
        </w:rPr>
      </w:pPr>
      <w:r>
        <w:rPr>
          <w:noProof/>
        </w:rPr>
        <w:t>Rhythmik  313, 316</w:t>
      </w:r>
    </w:p>
    <w:p w:rsidR="007344D7" w:rsidRDefault="007344D7" w:rsidP="0029451B">
      <w:pPr>
        <w:pStyle w:val="Index1"/>
        <w:rPr>
          <w:noProof/>
        </w:rPr>
      </w:pPr>
      <w:r>
        <w:rPr>
          <w:noProof/>
        </w:rPr>
        <w:t>Richtung (Kunst)  412–13</w:t>
      </w:r>
    </w:p>
    <w:p w:rsidR="007344D7" w:rsidRDefault="007344D7" w:rsidP="0029451B">
      <w:pPr>
        <w:pStyle w:val="Index1"/>
        <w:rPr>
          <w:noProof/>
        </w:rPr>
      </w:pPr>
      <w:r>
        <w:rPr>
          <w:noProof/>
        </w:rPr>
        <w:t>Richtung (Musik)  312–21</w:t>
      </w:r>
    </w:p>
    <w:p w:rsidR="007344D7" w:rsidRDefault="007344D7" w:rsidP="0029451B">
      <w:pPr>
        <w:pStyle w:val="Index1"/>
        <w:rPr>
          <w:noProof/>
        </w:rPr>
      </w:pPr>
      <w:r w:rsidRPr="0081017A">
        <w:rPr>
          <w:noProof/>
        </w:rPr>
        <w:t>Riegl, Alois</w:t>
      </w:r>
      <w:r>
        <w:rPr>
          <w:noProof/>
        </w:rPr>
        <w:t xml:space="preserve">  125, 411</w:t>
      </w:r>
    </w:p>
    <w:p w:rsidR="007344D7" w:rsidRDefault="007344D7" w:rsidP="0029451B">
      <w:pPr>
        <w:pStyle w:val="Index1"/>
        <w:rPr>
          <w:noProof/>
        </w:rPr>
      </w:pPr>
      <w:r>
        <w:rPr>
          <w:noProof/>
        </w:rPr>
        <w:t>Riffaterre, Michael  18, 37, 49, 94, 119, 121, 158, 300</w:t>
      </w:r>
    </w:p>
    <w:p w:rsidR="007344D7" w:rsidRDefault="007344D7" w:rsidP="0029451B">
      <w:pPr>
        <w:pStyle w:val="Index1"/>
        <w:rPr>
          <w:noProof/>
        </w:rPr>
      </w:pPr>
      <w:r>
        <w:rPr>
          <w:noProof/>
        </w:rPr>
        <w:t>Roma, Musik der  312–21</w:t>
      </w:r>
    </w:p>
    <w:p w:rsidR="007344D7" w:rsidRDefault="007344D7" w:rsidP="0029451B">
      <w:pPr>
        <w:pStyle w:val="Index1"/>
        <w:rPr>
          <w:noProof/>
        </w:rPr>
      </w:pPr>
      <w:r>
        <w:rPr>
          <w:noProof/>
        </w:rPr>
        <w:t>Romanik  299–305</w:t>
      </w:r>
    </w:p>
    <w:p w:rsidR="007344D7" w:rsidRDefault="007344D7" w:rsidP="0029451B">
      <w:pPr>
        <w:pStyle w:val="Index1"/>
        <w:rPr>
          <w:noProof/>
        </w:rPr>
      </w:pPr>
      <w:r w:rsidRPr="0081017A">
        <w:rPr>
          <w:noProof/>
        </w:rPr>
        <w:t>Russischer Formalismus</w:t>
      </w:r>
      <w:r>
        <w:rPr>
          <w:noProof/>
        </w:rPr>
        <w:t xml:space="preserve">  107</w:t>
      </w:r>
      <w:r w:rsidR="0029451B">
        <w:rPr>
          <w:noProof/>
        </w:rPr>
        <w:t>–</w:t>
      </w:r>
      <w:r>
        <w:rPr>
          <w:noProof/>
        </w:rPr>
        <w:t>08</w:t>
      </w:r>
    </w:p>
    <w:p w:rsidR="00836FEB" w:rsidRDefault="00836FEB" w:rsidP="0029451B">
      <w:pPr>
        <w:pStyle w:val="Index1"/>
        <w:rPr>
          <w:noProof/>
        </w:rPr>
      </w:pPr>
    </w:p>
    <w:p w:rsidR="00DB1DF3" w:rsidRPr="00DB1DF3" w:rsidRDefault="00DB1DF3" w:rsidP="004A3B18">
      <w:pPr>
        <w:pStyle w:val="Index1"/>
        <w:keepNext/>
        <w:ind w:left="238" w:hanging="238"/>
        <w:jc w:val="center"/>
        <w:rPr>
          <w:b/>
          <w:noProof/>
        </w:rPr>
      </w:pPr>
      <w:r>
        <w:rPr>
          <w:b/>
          <w:noProof/>
        </w:rPr>
        <w:t>S</w:t>
      </w:r>
    </w:p>
    <w:p w:rsidR="00DB1DF3" w:rsidRDefault="00DB1DF3" w:rsidP="004A3B18">
      <w:pPr>
        <w:pStyle w:val="Index1"/>
        <w:keepNext/>
        <w:ind w:left="238" w:hanging="238"/>
        <w:rPr>
          <w:noProof/>
        </w:rPr>
      </w:pPr>
    </w:p>
    <w:p w:rsidR="007344D7" w:rsidRDefault="007344D7" w:rsidP="0029451B">
      <w:pPr>
        <w:pStyle w:val="Index1"/>
        <w:rPr>
          <w:noProof/>
        </w:rPr>
      </w:pPr>
      <w:r>
        <w:rPr>
          <w:noProof/>
        </w:rPr>
        <w:t>Satztechnik  388</w:t>
      </w:r>
    </w:p>
    <w:p w:rsidR="007344D7" w:rsidRDefault="007344D7" w:rsidP="0029451B">
      <w:pPr>
        <w:pStyle w:val="Index1"/>
        <w:rPr>
          <w:noProof/>
        </w:rPr>
      </w:pPr>
      <w:r>
        <w:rPr>
          <w:noProof/>
        </w:rPr>
        <w:t>Saussure, Ferdinand de  21, 52, 119</w:t>
      </w:r>
    </w:p>
    <w:p w:rsidR="007344D7" w:rsidRDefault="007344D7" w:rsidP="0029451B">
      <w:pPr>
        <w:pStyle w:val="Index1"/>
        <w:rPr>
          <w:noProof/>
        </w:rPr>
      </w:pPr>
      <w:r>
        <w:rPr>
          <w:noProof/>
        </w:rPr>
        <w:t>Schach  118, 143, 401</w:t>
      </w:r>
    </w:p>
    <w:p w:rsidR="007344D7" w:rsidRDefault="007344D7" w:rsidP="0029451B">
      <w:pPr>
        <w:pStyle w:val="Index1"/>
        <w:rPr>
          <w:noProof/>
        </w:rPr>
      </w:pPr>
      <w:r>
        <w:rPr>
          <w:noProof/>
        </w:rPr>
        <w:lastRenderedPageBreak/>
        <w:t xml:space="preserve">Schema  59–71, 134–40, 146–49, </w:t>
      </w:r>
      <w:r w:rsidRPr="0081017A">
        <w:rPr>
          <w:rFonts w:cstheme="minorHAnsi"/>
          <w:i/>
          <w:noProof/>
        </w:rPr>
        <w:t>et passim</w:t>
      </w:r>
    </w:p>
    <w:p w:rsidR="007344D7" w:rsidRDefault="007344D7">
      <w:pPr>
        <w:pStyle w:val="Index2"/>
        <w:tabs>
          <w:tab w:val="right" w:pos="3032"/>
        </w:tabs>
        <w:rPr>
          <w:noProof/>
        </w:rPr>
      </w:pPr>
      <w:r w:rsidRPr="0081017A">
        <w:rPr>
          <w:i/>
          <w:noProof/>
        </w:rPr>
        <w:t>Definition</w:t>
      </w:r>
      <w:r>
        <w:rPr>
          <w:noProof/>
        </w:rPr>
        <w:t xml:space="preserve">  134</w:t>
      </w:r>
    </w:p>
    <w:p w:rsidR="007344D7" w:rsidRDefault="007344D7">
      <w:pPr>
        <w:pStyle w:val="Index2"/>
        <w:tabs>
          <w:tab w:val="right" w:pos="3032"/>
        </w:tabs>
        <w:rPr>
          <w:noProof/>
        </w:rPr>
      </w:pPr>
      <w:r w:rsidRPr="0081017A">
        <w:rPr>
          <w:i/>
          <w:noProof/>
        </w:rPr>
        <w:t>Funktion</w:t>
      </w:r>
      <w:r>
        <w:rPr>
          <w:noProof/>
        </w:rPr>
        <w:t xml:space="preserve">  374–76</w:t>
      </w:r>
    </w:p>
    <w:p w:rsidR="007344D7" w:rsidRDefault="007344D7" w:rsidP="0029451B">
      <w:pPr>
        <w:pStyle w:val="Index1"/>
        <w:rPr>
          <w:noProof/>
        </w:rPr>
      </w:pPr>
      <w:r>
        <w:rPr>
          <w:noProof/>
        </w:rPr>
        <w:t xml:space="preserve">Schemaausführung  32–33, </w:t>
      </w:r>
      <w:r w:rsidRPr="0081017A">
        <w:rPr>
          <w:i/>
          <w:noProof/>
        </w:rPr>
        <w:t>et passim</w:t>
      </w:r>
    </w:p>
    <w:p w:rsidR="007344D7" w:rsidRDefault="007344D7">
      <w:pPr>
        <w:pStyle w:val="Index2"/>
        <w:tabs>
          <w:tab w:val="right" w:pos="3032"/>
        </w:tabs>
        <w:rPr>
          <w:noProof/>
        </w:rPr>
      </w:pPr>
      <w:r w:rsidRPr="0081017A">
        <w:rPr>
          <w:i/>
          <w:noProof/>
        </w:rPr>
        <w:t>Funktion</w:t>
      </w:r>
      <w:r>
        <w:rPr>
          <w:noProof/>
        </w:rPr>
        <w:t xml:space="preserve">  173–81</w:t>
      </w:r>
    </w:p>
    <w:p w:rsidR="007344D7" w:rsidRDefault="007344D7" w:rsidP="0029451B">
      <w:pPr>
        <w:pStyle w:val="Index1"/>
        <w:rPr>
          <w:noProof/>
        </w:rPr>
      </w:pPr>
      <w:r>
        <w:rPr>
          <w:noProof/>
        </w:rPr>
        <w:t>Schemagliederung  21, 27, 31, 62, 389</w:t>
      </w:r>
    </w:p>
    <w:p w:rsidR="007344D7" w:rsidRDefault="007344D7" w:rsidP="0029451B">
      <w:pPr>
        <w:pStyle w:val="Index1"/>
        <w:rPr>
          <w:noProof/>
        </w:rPr>
      </w:pPr>
      <w:r>
        <w:rPr>
          <w:noProof/>
        </w:rPr>
        <w:t xml:space="preserve">Schemaort  141–44, 146–48,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141</w:t>
      </w:r>
    </w:p>
    <w:p w:rsidR="007344D7" w:rsidRDefault="007344D7" w:rsidP="0029451B">
      <w:pPr>
        <w:pStyle w:val="Index1"/>
        <w:rPr>
          <w:noProof/>
        </w:rPr>
      </w:pPr>
      <w:r>
        <w:rPr>
          <w:noProof/>
        </w:rPr>
        <w:t>Schematheorie  21, 134, 143</w:t>
      </w:r>
    </w:p>
    <w:p w:rsidR="007344D7" w:rsidRDefault="007344D7" w:rsidP="0029451B">
      <w:pPr>
        <w:pStyle w:val="Index1"/>
        <w:rPr>
          <w:noProof/>
        </w:rPr>
      </w:pPr>
      <w:r>
        <w:rPr>
          <w:noProof/>
        </w:rPr>
        <w:t>Schicht, gesellschaftliche  432–36</w:t>
      </w:r>
    </w:p>
    <w:p w:rsidR="007344D7" w:rsidRDefault="007344D7" w:rsidP="0029451B">
      <w:pPr>
        <w:pStyle w:val="Index1"/>
        <w:rPr>
          <w:noProof/>
        </w:rPr>
      </w:pPr>
      <w:r w:rsidRPr="0081017A">
        <w:rPr>
          <w:noProof/>
        </w:rPr>
        <w:t>Schlagart (Tennis, Badminton)</w:t>
      </w:r>
      <w:r>
        <w:rPr>
          <w:noProof/>
        </w:rPr>
        <w:t xml:space="preserve">  117</w:t>
      </w:r>
      <w:r w:rsidR="0029451B">
        <w:rPr>
          <w:noProof/>
        </w:rPr>
        <w:t>–</w:t>
      </w:r>
      <w:r>
        <w:rPr>
          <w:noProof/>
        </w:rPr>
        <w:t>18, 393</w:t>
      </w:r>
    </w:p>
    <w:p w:rsidR="007344D7" w:rsidRDefault="007344D7" w:rsidP="0029451B">
      <w:pPr>
        <w:pStyle w:val="Index1"/>
        <w:rPr>
          <w:noProof/>
        </w:rPr>
      </w:pPr>
      <w:r>
        <w:rPr>
          <w:noProof/>
        </w:rPr>
        <w:t>Schleiermacher, Friedrich  450</w:t>
      </w:r>
    </w:p>
    <w:p w:rsidR="007344D7" w:rsidRDefault="007344D7" w:rsidP="0029451B">
      <w:pPr>
        <w:pStyle w:val="Index1"/>
        <w:rPr>
          <w:noProof/>
        </w:rPr>
      </w:pPr>
      <w:r>
        <w:rPr>
          <w:noProof/>
        </w:rPr>
        <w:t>Schlussverfahren, logische  124, 235, 239–41, 268, 273, 323, 382, 458</w:t>
      </w:r>
    </w:p>
    <w:p w:rsidR="007344D7" w:rsidRDefault="007344D7" w:rsidP="0029451B">
      <w:pPr>
        <w:pStyle w:val="Index1"/>
        <w:rPr>
          <w:noProof/>
        </w:rPr>
      </w:pPr>
      <w:r>
        <w:rPr>
          <w:noProof/>
        </w:rPr>
        <w:t>Schlüter, Andreas  411</w:t>
      </w:r>
    </w:p>
    <w:p w:rsidR="007344D7" w:rsidRDefault="007344D7" w:rsidP="0029451B">
      <w:pPr>
        <w:pStyle w:val="Index1"/>
        <w:rPr>
          <w:noProof/>
        </w:rPr>
      </w:pPr>
      <w:r>
        <w:rPr>
          <w:noProof/>
        </w:rPr>
        <w:t>Schreibstil  186, 295, 298, 394</w:t>
      </w:r>
    </w:p>
    <w:p w:rsidR="007344D7" w:rsidRDefault="007344D7" w:rsidP="0029451B">
      <w:pPr>
        <w:pStyle w:val="Index1"/>
        <w:rPr>
          <w:noProof/>
        </w:rPr>
      </w:pPr>
      <w:r w:rsidRPr="0081017A">
        <w:rPr>
          <w:noProof/>
        </w:rPr>
        <w:t>Schriftart</w:t>
      </w:r>
      <w:r>
        <w:rPr>
          <w:noProof/>
        </w:rPr>
        <w:t xml:space="preserve">  111</w:t>
      </w:r>
    </w:p>
    <w:p w:rsidR="007344D7" w:rsidRDefault="007344D7" w:rsidP="0029451B">
      <w:pPr>
        <w:pStyle w:val="Index1"/>
        <w:rPr>
          <w:noProof/>
        </w:rPr>
      </w:pPr>
      <w:r>
        <w:rPr>
          <w:noProof/>
        </w:rPr>
        <w:t>Schule (Kunst, Handwerk)  412–13</w:t>
      </w:r>
    </w:p>
    <w:p w:rsidR="007344D7" w:rsidRDefault="007344D7" w:rsidP="0029451B">
      <w:pPr>
        <w:pStyle w:val="Index1"/>
        <w:rPr>
          <w:noProof/>
        </w:rPr>
      </w:pPr>
      <w:r>
        <w:rPr>
          <w:noProof/>
        </w:rPr>
        <w:t>Science fiction-Literatur  108</w:t>
      </w:r>
    </w:p>
    <w:p w:rsidR="007344D7" w:rsidRDefault="007344D7" w:rsidP="0029451B">
      <w:pPr>
        <w:pStyle w:val="Index1"/>
        <w:rPr>
          <w:noProof/>
        </w:rPr>
      </w:pPr>
      <w:r w:rsidRPr="0081017A">
        <w:rPr>
          <w:noProof/>
        </w:rPr>
        <w:t>Sekundärinformation</w:t>
      </w:r>
      <w:r>
        <w:rPr>
          <w:noProof/>
        </w:rPr>
        <w:t xml:space="preserve">  110</w:t>
      </w:r>
      <w:r w:rsidR="0029451B">
        <w:rPr>
          <w:noProof/>
        </w:rPr>
        <w:t>–</w:t>
      </w:r>
      <w:r>
        <w:rPr>
          <w:noProof/>
        </w:rPr>
        <w:t>11, 398</w:t>
      </w:r>
    </w:p>
    <w:p w:rsidR="007344D7" w:rsidRDefault="007344D7" w:rsidP="0029451B">
      <w:pPr>
        <w:pStyle w:val="Index1"/>
        <w:rPr>
          <w:noProof/>
        </w:rPr>
      </w:pPr>
      <w:r>
        <w:rPr>
          <w:noProof/>
        </w:rPr>
        <w:t>Selbstmordstil  66</w:t>
      </w:r>
    </w:p>
    <w:p w:rsidR="007344D7" w:rsidRDefault="007344D7" w:rsidP="0029451B">
      <w:pPr>
        <w:pStyle w:val="Index1"/>
        <w:rPr>
          <w:noProof/>
        </w:rPr>
      </w:pPr>
      <w:r w:rsidRPr="0081017A">
        <w:rPr>
          <w:noProof/>
        </w:rPr>
        <w:t>Selektionsbeschränkungen</w:t>
      </w:r>
      <w:r>
        <w:rPr>
          <w:noProof/>
        </w:rPr>
        <w:t xml:space="preserve">  113, 119</w:t>
      </w:r>
    </w:p>
    <w:p w:rsidR="007344D7" w:rsidRDefault="007344D7" w:rsidP="0029451B">
      <w:pPr>
        <w:pStyle w:val="Index1"/>
        <w:rPr>
          <w:noProof/>
        </w:rPr>
      </w:pPr>
      <w:r>
        <w:rPr>
          <w:noProof/>
        </w:rPr>
        <w:t>Sem  131</w:t>
      </w:r>
    </w:p>
    <w:p w:rsidR="007344D7" w:rsidRDefault="007344D7" w:rsidP="0029451B">
      <w:pPr>
        <w:pStyle w:val="Index1"/>
        <w:rPr>
          <w:noProof/>
        </w:rPr>
      </w:pPr>
      <w:r w:rsidRPr="0081017A">
        <w:rPr>
          <w:rFonts w:eastAsia="Times New Roman" w:cs="Times New Roman"/>
          <w:noProof/>
        </w:rPr>
        <w:t>Semantik</w:t>
      </w:r>
      <w:r>
        <w:rPr>
          <w:noProof/>
        </w:rPr>
        <w:t xml:space="preserve">  36, 54, 56, 104, 113, 119</w:t>
      </w:r>
      <w:r w:rsidR="0029451B">
        <w:rPr>
          <w:noProof/>
        </w:rPr>
        <w:t>–</w:t>
      </w:r>
      <w:r>
        <w:rPr>
          <w:noProof/>
        </w:rPr>
        <w:t>20, 142, 156, 163, 249, 297, 443</w:t>
      </w:r>
      <w:r w:rsidR="0029451B">
        <w:rPr>
          <w:noProof/>
        </w:rPr>
        <w:t>–</w:t>
      </w:r>
      <w:r>
        <w:rPr>
          <w:noProof/>
        </w:rPr>
        <w:t>44, 446</w:t>
      </w:r>
      <w:r w:rsidR="0029451B">
        <w:rPr>
          <w:noProof/>
        </w:rPr>
        <w:t>–</w:t>
      </w:r>
      <w:r>
        <w:rPr>
          <w:noProof/>
        </w:rPr>
        <w:t>47</w:t>
      </w:r>
    </w:p>
    <w:p w:rsidR="007344D7" w:rsidRDefault="007344D7">
      <w:pPr>
        <w:pStyle w:val="Index2"/>
        <w:tabs>
          <w:tab w:val="right" w:pos="3032"/>
        </w:tabs>
        <w:rPr>
          <w:noProof/>
        </w:rPr>
      </w:pPr>
      <w:r w:rsidRPr="0081017A">
        <w:rPr>
          <w:rFonts w:eastAsia="Times New Roman" w:cs="Times New Roman"/>
          <w:noProof/>
        </w:rPr>
        <w:t>kognitive</w:t>
      </w:r>
      <w:r>
        <w:rPr>
          <w:noProof/>
        </w:rPr>
        <w:t xml:space="preserve">  444, 453</w:t>
      </w:r>
    </w:p>
    <w:p w:rsidR="007344D7" w:rsidRDefault="007344D7">
      <w:pPr>
        <w:pStyle w:val="Index2"/>
        <w:tabs>
          <w:tab w:val="right" w:pos="3032"/>
        </w:tabs>
        <w:rPr>
          <w:noProof/>
        </w:rPr>
      </w:pPr>
      <w:r w:rsidRPr="0081017A">
        <w:rPr>
          <w:rFonts w:eastAsia="Times New Roman" w:cs="Times New Roman"/>
          <w:noProof/>
        </w:rPr>
        <w:t>modelltheoretische</w:t>
      </w:r>
      <w:r>
        <w:rPr>
          <w:noProof/>
        </w:rPr>
        <w:t xml:space="preserve">  23, 441, 444</w:t>
      </w:r>
    </w:p>
    <w:p w:rsidR="007344D7" w:rsidRDefault="007344D7" w:rsidP="0029451B">
      <w:pPr>
        <w:pStyle w:val="Index1"/>
        <w:rPr>
          <w:noProof/>
        </w:rPr>
      </w:pPr>
      <w:r>
        <w:rPr>
          <w:noProof/>
        </w:rPr>
        <w:t>Semem  131</w:t>
      </w:r>
    </w:p>
    <w:p w:rsidR="007344D7" w:rsidRDefault="007344D7" w:rsidP="0029451B">
      <w:pPr>
        <w:pStyle w:val="Index1"/>
        <w:rPr>
          <w:noProof/>
        </w:rPr>
      </w:pPr>
      <w:r>
        <w:rPr>
          <w:noProof/>
        </w:rPr>
        <w:t>Semiotik  17, 21</w:t>
      </w:r>
      <w:r w:rsidR="0029451B">
        <w:rPr>
          <w:noProof/>
        </w:rPr>
        <w:t>–</w:t>
      </w:r>
      <w:r>
        <w:rPr>
          <w:noProof/>
        </w:rPr>
        <w:t>22, 30, 65, 71, 103</w:t>
      </w:r>
      <w:r w:rsidR="0029451B">
        <w:rPr>
          <w:noProof/>
        </w:rPr>
        <w:t>–</w:t>
      </w:r>
      <w:r>
        <w:rPr>
          <w:noProof/>
        </w:rPr>
        <w:t>4, 384–91, 423, 441, 458–60</w:t>
      </w:r>
    </w:p>
    <w:p w:rsidR="007344D7" w:rsidRDefault="007344D7" w:rsidP="0029451B">
      <w:pPr>
        <w:pStyle w:val="Index1"/>
        <w:rPr>
          <w:noProof/>
        </w:rPr>
      </w:pPr>
      <w:r>
        <w:rPr>
          <w:noProof/>
        </w:rPr>
        <w:t>Senderzeichen  383, 389, 423</w:t>
      </w:r>
    </w:p>
    <w:p w:rsidR="007344D7" w:rsidRDefault="007344D7">
      <w:pPr>
        <w:pStyle w:val="Index2"/>
        <w:tabs>
          <w:tab w:val="right" w:pos="3032"/>
        </w:tabs>
        <w:rPr>
          <w:noProof/>
        </w:rPr>
      </w:pPr>
      <w:r w:rsidRPr="0081017A">
        <w:rPr>
          <w:i/>
          <w:noProof/>
        </w:rPr>
        <w:t>Definition</w:t>
      </w:r>
      <w:r>
        <w:rPr>
          <w:noProof/>
        </w:rPr>
        <w:t xml:space="preserve">  381</w:t>
      </w:r>
    </w:p>
    <w:p w:rsidR="007344D7" w:rsidRDefault="007344D7" w:rsidP="0029451B">
      <w:pPr>
        <w:pStyle w:val="Index1"/>
        <w:rPr>
          <w:noProof/>
        </w:rPr>
      </w:pPr>
      <w:r>
        <w:rPr>
          <w:noProof/>
        </w:rPr>
        <w:t>Shelley, Mary  108</w:t>
      </w:r>
    </w:p>
    <w:p w:rsidR="007344D7" w:rsidRDefault="007344D7" w:rsidP="0029451B">
      <w:pPr>
        <w:pStyle w:val="Index1"/>
        <w:rPr>
          <w:noProof/>
        </w:rPr>
      </w:pPr>
      <w:r>
        <w:rPr>
          <w:noProof/>
        </w:rPr>
        <w:t>Shopping and Fucking (Theaterstück)  429</w:t>
      </w:r>
    </w:p>
    <w:p w:rsidR="007344D7" w:rsidRDefault="007344D7" w:rsidP="0029451B">
      <w:pPr>
        <w:pStyle w:val="Index1"/>
        <w:rPr>
          <w:noProof/>
        </w:rPr>
      </w:pPr>
      <w:r>
        <w:rPr>
          <w:noProof/>
        </w:rPr>
        <w:t>Signifikant  18, 420</w:t>
      </w:r>
    </w:p>
    <w:p w:rsidR="007344D7" w:rsidRDefault="007344D7" w:rsidP="0029451B">
      <w:pPr>
        <w:pStyle w:val="Index1"/>
        <w:rPr>
          <w:noProof/>
        </w:rPr>
      </w:pPr>
      <w:r>
        <w:rPr>
          <w:noProof/>
        </w:rPr>
        <w:t>Signifikat  18, 65, 420</w:t>
      </w:r>
    </w:p>
    <w:p w:rsidR="007344D7" w:rsidRDefault="007344D7" w:rsidP="0029451B">
      <w:pPr>
        <w:pStyle w:val="Index1"/>
        <w:rPr>
          <w:noProof/>
        </w:rPr>
      </w:pPr>
      <w:r>
        <w:rPr>
          <w:noProof/>
        </w:rPr>
        <w:lastRenderedPageBreak/>
        <w:t>Simmel, Georg  128, 130</w:t>
      </w:r>
    </w:p>
    <w:p w:rsidR="007344D7" w:rsidRDefault="007344D7" w:rsidP="0029451B">
      <w:pPr>
        <w:pStyle w:val="Index1"/>
        <w:rPr>
          <w:noProof/>
        </w:rPr>
      </w:pPr>
      <w:r>
        <w:rPr>
          <w:noProof/>
        </w:rPr>
        <w:t>Skifahren  151, 255</w:t>
      </w:r>
      <w:r w:rsidR="0029451B">
        <w:rPr>
          <w:noProof/>
        </w:rPr>
        <w:t>–</w:t>
      </w:r>
      <w:r>
        <w:rPr>
          <w:noProof/>
        </w:rPr>
        <w:t>56, 263</w:t>
      </w:r>
    </w:p>
    <w:p w:rsidR="007344D7" w:rsidRDefault="007344D7" w:rsidP="0029451B">
      <w:pPr>
        <w:pStyle w:val="Index1"/>
        <w:rPr>
          <w:noProof/>
        </w:rPr>
      </w:pPr>
      <w:r>
        <w:rPr>
          <w:noProof/>
        </w:rPr>
        <w:t>Sozialwissenschaften  29, 458–60</w:t>
      </w:r>
    </w:p>
    <w:p w:rsidR="007344D7" w:rsidRDefault="007344D7" w:rsidP="0029451B">
      <w:pPr>
        <w:pStyle w:val="Index1"/>
        <w:rPr>
          <w:noProof/>
        </w:rPr>
      </w:pPr>
      <w:r>
        <w:rPr>
          <w:noProof/>
        </w:rPr>
        <w:t>sozialwissenschaftliche Stiltheorie  388</w:t>
      </w:r>
    </w:p>
    <w:p w:rsidR="007344D7" w:rsidRDefault="007344D7" w:rsidP="0029451B">
      <w:pPr>
        <w:pStyle w:val="Index1"/>
        <w:rPr>
          <w:noProof/>
        </w:rPr>
      </w:pPr>
      <w:r w:rsidRPr="0081017A">
        <w:rPr>
          <w:rFonts w:eastAsia="Times New Roman" w:cs="Times New Roman"/>
          <w:noProof/>
        </w:rPr>
        <w:t>Soziolekt</w:t>
      </w:r>
      <w:r>
        <w:rPr>
          <w:noProof/>
        </w:rPr>
        <w:t xml:space="preserve">  115, 283, 386, 415–19, 428</w:t>
      </w:r>
      <w:r w:rsidR="0029451B">
        <w:rPr>
          <w:noProof/>
        </w:rPr>
        <w:t>–</w:t>
      </w:r>
      <w:r>
        <w:rPr>
          <w:noProof/>
        </w:rPr>
        <w:t>29</w:t>
      </w:r>
    </w:p>
    <w:p w:rsidR="007344D7" w:rsidRDefault="007344D7" w:rsidP="0029451B">
      <w:pPr>
        <w:pStyle w:val="Index1"/>
        <w:rPr>
          <w:noProof/>
        </w:rPr>
      </w:pPr>
      <w:r>
        <w:rPr>
          <w:noProof/>
        </w:rPr>
        <w:t>Soziologie  29, 407, 425, 432</w:t>
      </w:r>
    </w:p>
    <w:p w:rsidR="007344D7" w:rsidRDefault="007344D7" w:rsidP="0029451B">
      <w:pPr>
        <w:pStyle w:val="Index1"/>
        <w:rPr>
          <w:noProof/>
        </w:rPr>
      </w:pPr>
      <w:r>
        <w:rPr>
          <w:noProof/>
        </w:rPr>
        <w:t>Spielberg, Steven  435</w:t>
      </w:r>
    </w:p>
    <w:p w:rsidR="007344D7" w:rsidRDefault="007344D7" w:rsidP="0029451B">
      <w:pPr>
        <w:pStyle w:val="Index1"/>
        <w:rPr>
          <w:noProof/>
        </w:rPr>
      </w:pPr>
      <w:r>
        <w:rPr>
          <w:noProof/>
        </w:rPr>
        <w:t>Spielstil  305–12</w:t>
      </w:r>
    </w:p>
    <w:p w:rsidR="007344D7" w:rsidRDefault="007344D7" w:rsidP="0029451B">
      <w:pPr>
        <w:pStyle w:val="Index1"/>
        <w:rPr>
          <w:noProof/>
        </w:rPr>
      </w:pPr>
      <w:r>
        <w:rPr>
          <w:noProof/>
        </w:rPr>
        <w:t>Sportstil  321–29</w:t>
      </w:r>
    </w:p>
    <w:p w:rsidR="007344D7" w:rsidRDefault="007344D7" w:rsidP="0029451B">
      <w:pPr>
        <w:pStyle w:val="Index1"/>
        <w:rPr>
          <w:noProof/>
        </w:rPr>
      </w:pPr>
      <w:r>
        <w:rPr>
          <w:noProof/>
        </w:rPr>
        <w:t>Sprachebene  415–19</w:t>
      </w:r>
    </w:p>
    <w:p w:rsidR="007344D7" w:rsidRDefault="007344D7" w:rsidP="0029451B">
      <w:pPr>
        <w:pStyle w:val="Index1"/>
        <w:rPr>
          <w:noProof/>
        </w:rPr>
      </w:pPr>
      <w:r w:rsidRPr="0081017A">
        <w:rPr>
          <w:noProof/>
        </w:rPr>
        <w:t>sprachpragmatische Stilistik</w:t>
      </w:r>
      <w:r>
        <w:rPr>
          <w:noProof/>
        </w:rPr>
        <w:t xml:space="preserve">  114, 116</w:t>
      </w:r>
    </w:p>
    <w:p w:rsidR="007344D7" w:rsidRDefault="007344D7" w:rsidP="0029451B">
      <w:pPr>
        <w:pStyle w:val="Index1"/>
        <w:rPr>
          <w:noProof/>
        </w:rPr>
      </w:pPr>
      <w:r>
        <w:rPr>
          <w:noProof/>
        </w:rPr>
        <w:t>Sprachstufe  415–19</w:t>
      </w:r>
    </w:p>
    <w:p w:rsidR="007344D7" w:rsidRDefault="007344D7" w:rsidP="0029451B">
      <w:pPr>
        <w:pStyle w:val="Index1"/>
        <w:rPr>
          <w:noProof/>
        </w:rPr>
      </w:pPr>
      <w:r w:rsidRPr="0081017A">
        <w:rPr>
          <w:rFonts w:eastAsia="Times New Roman" w:cs="Times New Roman"/>
          <w:noProof/>
        </w:rPr>
        <w:t>Sprachsystem</w:t>
      </w:r>
      <w:r>
        <w:rPr>
          <w:noProof/>
        </w:rPr>
        <w:t xml:space="preserve">  100, 113</w:t>
      </w:r>
      <w:r w:rsidR="0029451B">
        <w:rPr>
          <w:noProof/>
        </w:rPr>
        <w:t>–</w:t>
      </w:r>
      <w:r>
        <w:rPr>
          <w:noProof/>
        </w:rPr>
        <w:t>14, 455</w:t>
      </w:r>
    </w:p>
    <w:p w:rsidR="007344D7" w:rsidRDefault="007344D7" w:rsidP="0029451B">
      <w:pPr>
        <w:pStyle w:val="Index1"/>
        <w:rPr>
          <w:noProof/>
        </w:rPr>
      </w:pPr>
      <w:r>
        <w:rPr>
          <w:noProof/>
        </w:rPr>
        <w:t xml:space="preserve">Sprachwissenschaft  </w:t>
      </w:r>
      <w:r w:rsidR="0033744E">
        <w:rPr>
          <w:rFonts w:cstheme="minorHAnsi"/>
          <w:i/>
          <w:noProof/>
        </w:rPr>
        <w:t>s</w:t>
      </w:r>
      <w:r w:rsidRPr="0081017A">
        <w:rPr>
          <w:rFonts w:cstheme="minorHAnsi"/>
          <w:i/>
          <w:noProof/>
        </w:rPr>
        <w:t>iehe</w:t>
      </w:r>
      <w:r w:rsidRPr="0081017A">
        <w:rPr>
          <w:rFonts w:cstheme="minorHAnsi"/>
          <w:noProof/>
        </w:rPr>
        <w:t xml:space="preserve"> Linguistik</w:t>
      </w:r>
    </w:p>
    <w:p w:rsidR="007344D7" w:rsidRDefault="007344D7" w:rsidP="0029451B">
      <w:pPr>
        <w:pStyle w:val="Index1"/>
        <w:rPr>
          <w:noProof/>
        </w:rPr>
      </w:pPr>
      <w:r>
        <w:rPr>
          <w:noProof/>
        </w:rPr>
        <w:t>Sprachzentrismus  104, 385</w:t>
      </w:r>
    </w:p>
    <w:p w:rsidR="007344D7" w:rsidRDefault="007344D7" w:rsidP="0029451B">
      <w:pPr>
        <w:pStyle w:val="Index1"/>
        <w:rPr>
          <w:noProof/>
        </w:rPr>
      </w:pPr>
      <w:r w:rsidRPr="0081017A">
        <w:rPr>
          <w:noProof/>
        </w:rPr>
        <w:t>Sprechakttheorie</w:t>
      </w:r>
      <w:r>
        <w:rPr>
          <w:noProof/>
        </w:rPr>
        <w:t xml:space="preserve">  116, 426</w:t>
      </w:r>
    </w:p>
    <w:p w:rsidR="007344D7" w:rsidRDefault="007344D7" w:rsidP="0029451B">
      <w:pPr>
        <w:pStyle w:val="Index1"/>
        <w:rPr>
          <w:noProof/>
        </w:rPr>
      </w:pPr>
      <w:r>
        <w:rPr>
          <w:noProof/>
        </w:rPr>
        <w:t>Statistik  193, 195–99, 409</w:t>
      </w:r>
    </w:p>
    <w:p w:rsidR="007344D7" w:rsidRDefault="007344D7">
      <w:pPr>
        <w:pStyle w:val="Index2"/>
        <w:tabs>
          <w:tab w:val="right" w:pos="3032"/>
        </w:tabs>
        <w:rPr>
          <w:noProof/>
        </w:rPr>
      </w:pPr>
      <w:r>
        <w:rPr>
          <w:noProof/>
        </w:rPr>
        <w:t>statistische Lernverfahren  410</w:t>
      </w:r>
    </w:p>
    <w:p w:rsidR="007344D7" w:rsidRDefault="007344D7" w:rsidP="0029451B">
      <w:pPr>
        <w:pStyle w:val="Index1"/>
        <w:rPr>
          <w:noProof/>
        </w:rPr>
      </w:pPr>
      <w:r>
        <w:rPr>
          <w:noProof/>
        </w:rPr>
        <w:t xml:space="preserve">statistische Stilistik  </w:t>
      </w:r>
      <w:r w:rsidR="0033744E">
        <w:rPr>
          <w:i/>
          <w:noProof/>
        </w:rPr>
        <w:t>s</w:t>
      </w:r>
      <w:r w:rsidRPr="0081017A">
        <w:rPr>
          <w:i/>
          <w:noProof/>
        </w:rPr>
        <w:t>iehe</w:t>
      </w:r>
      <w:r w:rsidRPr="0081017A">
        <w:rPr>
          <w:noProof/>
        </w:rPr>
        <w:t xml:space="preserve"> quantitative Stilistik</w:t>
      </w:r>
    </w:p>
    <w:p w:rsidR="007344D7" w:rsidRDefault="007344D7" w:rsidP="0029451B">
      <w:pPr>
        <w:pStyle w:val="Index1"/>
        <w:rPr>
          <w:noProof/>
        </w:rPr>
      </w:pPr>
      <w:r>
        <w:rPr>
          <w:noProof/>
        </w:rPr>
        <w:t>Ste-Chapelle (Paris)  267, 299–305, 325</w:t>
      </w:r>
    </w:p>
    <w:p w:rsidR="007344D7" w:rsidRDefault="007344D7">
      <w:pPr>
        <w:pStyle w:val="Index2"/>
        <w:tabs>
          <w:tab w:val="right" w:pos="3032"/>
        </w:tabs>
        <w:rPr>
          <w:noProof/>
        </w:rPr>
      </w:pPr>
      <w:r w:rsidRPr="0081017A">
        <w:rPr>
          <w:i/>
          <w:noProof/>
        </w:rPr>
        <w:t>Abbildung</w:t>
      </w:r>
      <w:r>
        <w:rPr>
          <w:noProof/>
        </w:rPr>
        <w:t xml:space="preserve">  299</w:t>
      </w:r>
    </w:p>
    <w:p w:rsidR="007344D7" w:rsidRDefault="007344D7" w:rsidP="0029451B">
      <w:pPr>
        <w:pStyle w:val="Index1"/>
        <w:rPr>
          <w:noProof/>
        </w:rPr>
      </w:pPr>
      <w:r>
        <w:rPr>
          <w:noProof/>
        </w:rPr>
        <w:t>Stein, Gertude  126</w:t>
      </w:r>
    </w:p>
    <w:p w:rsidR="007344D7" w:rsidRDefault="007344D7" w:rsidP="0029451B">
      <w:pPr>
        <w:pStyle w:val="Index1"/>
        <w:rPr>
          <w:noProof/>
        </w:rPr>
      </w:pPr>
      <w:r>
        <w:rPr>
          <w:noProof/>
        </w:rPr>
        <w:t>Stil</w:t>
      </w:r>
    </w:p>
    <w:p w:rsidR="007344D7" w:rsidRDefault="007344D7">
      <w:pPr>
        <w:pStyle w:val="Index2"/>
        <w:tabs>
          <w:tab w:val="right" w:pos="3032"/>
        </w:tabs>
        <w:rPr>
          <w:noProof/>
        </w:rPr>
      </w:pPr>
      <w:r>
        <w:rPr>
          <w:noProof/>
        </w:rPr>
        <w:t>als Abweichung  112–15</w:t>
      </w:r>
    </w:p>
    <w:p w:rsidR="007344D7" w:rsidRDefault="007344D7">
      <w:pPr>
        <w:pStyle w:val="Index2"/>
        <w:tabs>
          <w:tab w:val="right" w:pos="3032"/>
        </w:tabs>
        <w:rPr>
          <w:noProof/>
        </w:rPr>
      </w:pPr>
      <w:r>
        <w:rPr>
          <w:noProof/>
        </w:rPr>
        <w:t>als Auswahl  38–52, 100–103</w:t>
      </w:r>
    </w:p>
    <w:p w:rsidR="007344D7" w:rsidRDefault="007344D7">
      <w:pPr>
        <w:pStyle w:val="Index2"/>
        <w:tabs>
          <w:tab w:val="right" w:pos="3032"/>
        </w:tabs>
        <w:rPr>
          <w:noProof/>
        </w:rPr>
      </w:pPr>
      <w:r>
        <w:rPr>
          <w:noProof/>
        </w:rPr>
        <w:t>als Betrachtungsweise  65–71, 400–405</w:t>
      </w:r>
    </w:p>
    <w:p w:rsidR="007344D7" w:rsidRDefault="007344D7">
      <w:pPr>
        <w:pStyle w:val="Index2"/>
        <w:tabs>
          <w:tab w:val="right" w:pos="3032"/>
        </w:tabs>
        <w:rPr>
          <w:noProof/>
        </w:rPr>
      </w:pPr>
      <w:r>
        <w:rPr>
          <w:noProof/>
        </w:rPr>
        <w:t>als Häufigkeit  112–15</w:t>
      </w:r>
    </w:p>
    <w:p w:rsidR="007344D7" w:rsidRDefault="007344D7">
      <w:pPr>
        <w:pStyle w:val="Index2"/>
        <w:tabs>
          <w:tab w:val="right" w:pos="3032"/>
        </w:tabs>
        <w:rPr>
          <w:noProof/>
        </w:rPr>
      </w:pPr>
      <w:r>
        <w:rPr>
          <w:noProof/>
        </w:rPr>
        <w:t>als Information  109–12</w:t>
      </w:r>
    </w:p>
    <w:p w:rsidR="007344D7" w:rsidRDefault="007344D7">
      <w:pPr>
        <w:pStyle w:val="Index2"/>
        <w:tabs>
          <w:tab w:val="right" w:pos="3032"/>
        </w:tabs>
        <w:rPr>
          <w:noProof/>
        </w:rPr>
      </w:pPr>
      <w:r>
        <w:rPr>
          <w:noProof/>
        </w:rPr>
        <w:t>als Muster  115–18</w:t>
      </w:r>
    </w:p>
    <w:p w:rsidR="007344D7" w:rsidRDefault="007344D7">
      <w:pPr>
        <w:pStyle w:val="Index2"/>
        <w:tabs>
          <w:tab w:val="right" w:pos="3032"/>
        </w:tabs>
        <w:rPr>
          <w:noProof/>
        </w:rPr>
      </w:pPr>
      <w:r>
        <w:rPr>
          <w:noProof/>
        </w:rPr>
        <w:t>als normativer Begriff  425–27</w:t>
      </w:r>
    </w:p>
    <w:p w:rsidR="007344D7" w:rsidRDefault="007344D7">
      <w:pPr>
        <w:pStyle w:val="Index2"/>
        <w:tabs>
          <w:tab w:val="right" w:pos="3032"/>
        </w:tabs>
        <w:rPr>
          <w:noProof/>
        </w:rPr>
      </w:pPr>
      <w:r>
        <w:rPr>
          <w:noProof/>
        </w:rPr>
        <w:t>als Regel  115–18</w:t>
      </w:r>
    </w:p>
    <w:p w:rsidR="007344D7" w:rsidRDefault="007344D7">
      <w:pPr>
        <w:pStyle w:val="Index2"/>
        <w:tabs>
          <w:tab w:val="right" w:pos="3032"/>
        </w:tabs>
        <w:rPr>
          <w:noProof/>
        </w:rPr>
      </w:pPr>
      <w:r>
        <w:rPr>
          <w:noProof/>
        </w:rPr>
        <w:t>als Struktur  119</w:t>
      </w:r>
    </w:p>
    <w:p w:rsidR="007344D7" w:rsidRDefault="007344D7">
      <w:pPr>
        <w:pStyle w:val="Index2"/>
        <w:tabs>
          <w:tab w:val="right" w:pos="3032"/>
        </w:tabs>
        <w:rPr>
          <w:noProof/>
        </w:rPr>
      </w:pPr>
      <w:r>
        <w:rPr>
          <w:noProof/>
        </w:rPr>
        <w:t>als Zeichen  103–8</w:t>
      </w:r>
    </w:p>
    <w:p w:rsidR="007344D7" w:rsidRDefault="007344D7">
      <w:pPr>
        <w:pStyle w:val="Index2"/>
        <w:tabs>
          <w:tab w:val="right" w:pos="3032"/>
        </w:tabs>
        <w:rPr>
          <w:noProof/>
        </w:rPr>
      </w:pPr>
      <w:r>
        <w:rPr>
          <w:noProof/>
        </w:rPr>
        <w:t>als Zeichenprozesstyp  18, 23, 93–97, 232–33, 423, 459</w:t>
      </w:r>
    </w:p>
    <w:p w:rsidR="007344D7" w:rsidRDefault="007344D7">
      <w:pPr>
        <w:pStyle w:val="Index2"/>
        <w:tabs>
          <w:tab w:val="right" w:pos="3032"/>
        </w:tabs>
        <w:rPr>
          <w:noProof/>
        </w:rPr>
      </w:pPr>
      <w:r w:rsidRPr="0081017A">
        <w:rPr>
          <w:i/>
          <w:noProof/>
        </w:rPr>
        <w:t>Definition</w:t>
      </w:r>
      <w:r>
        <w:rPr>
          <w:noProof/>
        </w:rPr>
        <w:t xml:space="preserve">  93–97, 378–83</w:t>
      </w:r>
    </w:p>
    <w:p w:rsidR="007344D7" w:rsidRDefault="007344D7" w:rsidP="0029451B">
      <w:pPr>
        <w:pStyle w:val="Index1"/>
        <w:rPr>
          <w:noProof/>
        </w:rPr>
      </w:pPr>
      <w:r>
        <w:rPr>
          <w:noProof/>
        </w:rPr>
        <w:t>Stilanalyse  446–50</w:t>
      </w:r>
    </w:p>
    <w:p w:rsidR="007344D7" w:rsidRDefault="007344D7" w:rsidP="0029451B">
      <w:pPr>
        <w:pStyle w:val="Index1"/>
        <w:rPr>
          <w:noProof/>
        </w:rPr>
      </w:pPr>
      <w:r>
        <w:rPr>
          <w:noProof/>
        </w:rPr>
        <w:lastRenderedPageBreak/>
        <w:t>Stildefinition  20, 67, 81, 93</w:t>
      </w:r>
      <w:r w:rsidR="0029451B">
        <w:rPr>
          <w:noProof/>
        </w:rPr>
        <w:t>–</w:t>
      </w:r>
      <w:r>
        <w:rPr>
          <w:noProof/>
        </w:rPr>
        <w:t>94, 99, 386, 419</w:t>
      </w:r>
    </w:p>
    <w:p w:rsidR="007344D7" w:rsidRDefault="007344D7" w:rsidP="0029451B">
      <w:pPr>
        <w:pStyle w:val="Index1"/>
        <w:rPr>
          <w:noProof/>
        </w:rPr>
      </w:pPr>
      <w:r>
        <w:rPr>
          <w:noProof/>
        </w:rPr>
        <w:t>Stilebene  39, 411, 413</w:t>
      </w:r>
    </w:p>
    <w:p w:rsidR="007344D7" w:rsidRDefault="007344D7" w:rsidP="0029451B">
      <w:pPr>
        <w:pStyle w:val="Index1"/>
        <w:rPr>
          <w:noProof/>
        </w:rPr>
      </w:pPr>
      <w:r>
        <w:rPr>
          <w:noProof/>
        </w:rPr>
        <w:t>Stilforschung  21</w:t>
      </w:r>
      <w:r w:rsidR="0029451B">
        <w:rPr>
          <w:noProof/>
        </w:rPr>
        <w:t>–</w:t>
      </w:r>
      <w:r>
        <w:rPr>
          <w:noProof/>
        </w:rPr>
        <w:t>22, 25, 27, 36, 64</w:t>
      </w:r>
      <w:r w:rsidR="0029451B">
        <w:rPr>
          <w:noProof/>
        </w:rPr>
        <w:t>–</w:t>
      </w:r>
      <w:r>
        <w:rPr>
          <w:noProof/>
        </w:rPr>
        <w:t xml:space="preserve">65, 99, 109, 235, 295, 346, 386, 423, 442, 446, 458, 460, </w:t>
      </w:r>
      <w:r w:rsidRPr="0081017A">
        <w:rPr>
          <w:rFonts w:cstheme="minorHAnsi"/>
          <w:i/>
          <w:noProof/>
        </w:rPr>
        <w:t>siehe auch</w:t>
      </w:r>
      <w:r w:rsidRPr="0081017A">
        <w:rPr>
          <w:rFonts w:cstheme="minorHAnsi"/>
          <w:noProof/>
        </w:rPr>
        <w:t xml:space="preserve"> Stilistik</w:t>
      </w:r>
    </w:p>
    <w:p w:rsidR="007344D7" w:rsidRDefault="007344D7" w:rsidP="0029451B">
      <w:pPr>
        <w:pStyle w:val="Index1"/>
        <w:rPr>
          <w:noProof/>
        </w:rPr>
      </w:pPr>
      <w:r>
        <w:rPr>
          <w:noProof/>
        </w:rPr>
        <w:t>Stilisierung  429</w:t>
      </w:r>
    </w:p>
    <w:p w:rsidR="007344D7" w:rsidRDefault="007344D7" w:rsidP="0029451B">
      <w:pPr>
        <w:pStyle w:val="Index1"/>
        <w:rPr>
          <w:noProof/>
        </w:rPr>
      </w:pPr>
      <w:r w:rsidRPr="0081017A">
        <w:rPr>
          <w:rFonts w:eastAsia="Times New Roman" w:cs="Times New Roman"/>
          <w:noProof/>
        </w:rPr>
        <w:t>Stilistik</w:t>
      </w:r>
      <w:r>
        <w:rPr>
          <w:noProof/>
        </w:rPr>
        <w:t xml:space="preserve">  21</w:t>
      </w:r>
      <w:r w:rsidR="0029451B">
        <w:rPr>
          <w:noProof/>
        </w:rPr>
        <w:t>–</w:t>
      </w:r>
      <w:r>
        <w:rPr>
          <w:noProof/>
        </w:rPr>
        <w:t>23, 99, 103</w:t>
      </w:r>
      <w:r w:rsidR="0029451B">
        <w:rPr>
          <w:noProof/>
        </w:rPr>
        <w:t>–</w:t>
      </w:r>
      <w:r>
        <w:rPr>
          <w:noProof/>
        </w:rPr>
        <w:t>5, 111</w:t>
      </w:r>
      <w:r w:rsidR="0029451B">
        <w:rPr>
          <w:noProof/>
        </w:rPr>
        <w:t>–</w:t>
      </w:r>
      <w:r>
        <w:rPr>
          <w:noProof/>
        </w:rPr>
        <w:t xml:space="preserve">12, 158, 385, 421–22, 429, 446, 451, 458–60, </w:t>
      </w:r>
      <w:r w:rsidRPr="0081017A">
        <w:rPr>
          <w:rFonts w:cstheme="minorHAnsi"/>
          <w:i/>
          <w:noProof/>
        </w:rPr>
        <w:t>siehe auch</w:t>
      </w:r>
      <w:r w:rsidRPr="0081017A">
        <w:rPr>
          <w:rFonts w:cstheme="minorHAnsi"/>
          <w:noProof/>
        </w:rPr>
        <w:t xml:space="preserve"> </w:t>
      </w:r>
      <w:r>
        <w:rPr>
          <w:noProof/>
        </w:rPr>
        <w:t>Stilforschung</w:t>
      </w:r>
    </w:p>
    <w:p w:rsidR="007344D7" w:rsidRDefault="007344D7" w:rsidP="0029451B">
      <w:pPr>
        <w:pStyle w:val="Index1"/>
        <w:rPr>
          <w:noProof/>
        </w:rPr>
      </w:pPr>
      <w:r>
        <w:rPr>
          <w:noProof/>
        </w:rPr>
        <w:t xml:space="preserve">stilistisches Merkmal  80–87, </w:t>
      </w:r>
      <w:r w:rsidRPr="0081017A">
        <w:rPr>
          <w:i/>
          <w:noProof/>
        </w:rPr>
        <w:t>et passim</w:t>
      </w:r>
    </w:p>
    <w:p w:rsidR="007344D7" w:rsidRDefault="007344D7">
      <w:pPr>
        <w:pStyle w:val="Index2"/>
        <w:tabs>
          <w:tab w:val="right" w:pos="3032"/>
        </w:tabs>
        <w:rPr>
          <w:noProof/>
        </w:rPr>
      </w:pPr>
      <w:r w:rsidRPr="0081017A">
        <w:rPr>
          <w:i/>
          <w:noProof/>
        </w:rPr>
        <w:t>Definition</w:t>
      </w:r>
      <w:r>
        <w:rPr>
          <w:noProof/>
        </w:rPr>
        <w:t xml:space="preserve">  82</w:t>
      </w:r>
    </w:p>
    <w:p w:rsidR="007344D7" w:rsidRDefault="007344D7" w:rsidP="0029451B">
      <w:pPr>
        <w:pStyle w:val="Index1"/>
        <w:rPr>
          <w:noProof/>
        </w:rPr>
      </w:pPr>
      <w:r>
        <w:rPr>
          <w:noProof/>
        </w:rPr>
        <w:t>stilistisches Zeichen  81</w:t>
      </w:r>
      <w:r w:rsidR="00557A35">
        <w:rPr>
          <w:noProof/>
        </w:rPr>
        <w:t>–</w:t>
      </w:r>
      <w:r>
        <w:rPr>
          <w:noProof/>
        </w:rPr>
        <w:t>82, 88</w:t>
      </w:r>
      <w:r w:rsidR="00557A35">
        <w:rPr>
          <w:noProof/>
        </w:rPr>
        <w:t>–</w:t>
      </w:r>
      <w:r>
        <w:rPr>
          <w:noProof/>
        </w:rPr>
        <w:t>89, 93–97, 107, 182, 190, 232, 373, 381, 382, 383</w:t>
      </w:r>
    </w:p>
    <w:p w:rsidR="007344D7" w:rsidRDefault="007344D7">
      <w:pPr>
        <w:pStyle w:val="Index2"/>
        <w:tabs>
          <w:tab w:val="right" w:pos="3032"/>
        </w:tabs>
        <w:rPr>
          <w:noProof/>
        </w:rPr>
      </w:pPr>
      <w:r w:rsidRPr="0081017A">
        <w:rPr>
          <w:i/>
          <w:noProof/>
        </w:rPr>
        <w:t>Definition</w:t>
      </w:r>
      <w:r>
        <w:rPr>
          <w:noProof/>
        </w:rPr>
        <w:t xml:space="preserve">  96</w:t>
      </w:r>
    </w:p>
    <w:p w:rsidR="007344D7" w:rsidRDefault="007344D7" w:rsidP="0029451B">
      <w:pPr>
        <w:pStyle w:val="Index1"/>
        <w:rPr>
          <w:noProof/>
        </w:rPr>
      </w:pPr>
      <w:r>
        <w:rPr>
          <w:noProof/>
        </w:rPr>
        <w:t>Stilkompetenz  165, 405–6</w:t>
      </w:r>
    </w:p>
    <w:p w:rsidR="007344D7" w:rsidRDefault="007344D7" w:rsidP="0029451B">
      <w:pPr>
        <w:pStyle w:val="Index1"/>
        <w:rPr>
          <w:noProof/>
        </w:rPr>
      </w:pPr>
      <w:r>
        <w:rPr>
          <w:noProof/>
        </w:rPr>
        <w:t xml:space="preserve">Stillage  </w:t>
      </w:r>
      <w:r w:rsidR="0033744E">
        <w:rPr>
          <w:i/>
          <w:noProof/>
        </w:rPr>
        <w:t>s</w:t>
      </w:r>
      <w:r w:rsidRPr="0081017A">
        <w:rPr>
          <w:i/>
          <w:noProof/>
        </w:rPr>
        <w:t>iehe</w:t>
      </w:r>
      <w:r>
        <w:rPr>
          <w:noProof/>
        </w:rPr>
        <w:t xml:space="preserve"> Stilebene</w:t>
      </w:r>
    </w:p>
    <w:p w:rsidR="007344D7" w:rsidRDefault="007344D7" w:rsidP="0029451B">
      <w:pPr>
        <w:pStyle w:val="Index1"/>
        <w:rPr>
          <w:noProof/>
        </w:rPr>
      </w:pPr>
      <w:r>
        <w:rPr>
          <w:noProof/>
        </w:rPr>
        <w:t>Stilmittel  421–22</w:t>
      </w:r>
    </w:p>
    <w:p w:rsidR="007344D7" w:rsidRDefault="007344D7" w:rsidP="0029451B">
      <w:pPr>
        <w:pStyle w:val="Index1"/>
        <w:rPr>
          <w:noProof/>
        </w:rPr>
      </w:pPr>
      <w:r>
        <w:rPr>
          <w:noProof/>
        </w:rPr>
        <w:t>Stilmodell  22–35, 131–383</w:t>
      </w:r>
    </w:p>
    <w:p w:rsidR="007344D7" w:rsidRDefault="007344D7">
      <w:pPr>
        <w:pStyle w:val="Index2"/>
        <w:tabs>
          <w:tab w:val="right" w:pos="3032"/>
        </w:tabs>
        <w:rPr>
          <w:noProof/>
        </w:rPr>
      </w:pPr>
      <w:r>
        <w:rPr>
          <w:noProof/>
        </w:rPr>
        <w:t>Übersicht  131–33</w:t>
      </w:r>
    </w:p>
    <w:p w:rsidR="007344D7" w:rsidRDefault="007344D7" w:rsidP="0029451B">
      <w:pPr>
        <w:pStyle w:val="Index1"/>
        <w:rPr>
          <w:noProof/>
        </w:rPr>
      </w:pPr>
      <w:r>
        <w:rPr>
          <w:noProof/>
        </w:rPr>
        <w:t>Stilratgeber  425</w:t>
      </w:r>
    </w:p>
    <w:p w:rsidR="007344D7" w:rsidRDefault="007344D7" w:rsidP="0029451B">
      <w:pPr>
        <w:pStyle w:val="Index1"/>
        <w:rPr>
          <w:noProof/>
        </w:rPr>
      </w:pPr>
      <w:r>
        <w:rPr>
          <w:noProof/>
        </w:rPr>
        <w:t>Stilwechsel  39, 40, 42, 44, 123, 171</w:t>
      </w:r>
      <w:r w:rsidR="00920614">
        <w:rPr>
          <w:noProof/>
        </w:rPr>
        <w:t>–</w:t>
      </w:r>
      <w:r>
        <w:rPr>
          <w:noProof/>
        </w:rPr>
        <w:t>72, 429</w:t>
      </w:r>
    </w:p>
    <w:p w:rsidR="007344D7" w:rsidRDefault="007344D7" w:rsidP="0029451B">
      <w:pPr>
        <w:pStyle w:val="Index1"/>
        <w:rPr>
          <w:noProof/>
        </w:rPr>
      </w:pPr>
      <w:r>
        <w:rPr>
          <w:noProof/>
        </w:rPr>
        <w:t>Strategie (Spiel)  305–12</w:t>
      </w:r>
    </w:p>
    <w:p w:rsidR="007344D7" w:rsidRDefault="007344D7" w:rsidP="0029451B">
      <w:pPr>
        <w:pStyle w:val="Index1"/>
        <w:rPr>
          <w:noProof/>
        </w:rPr>
      </w:pPr>
      <w:r>
        <w:rPr>
          <w:noProof/>
        </w:rPr>
        <w:t>Strukturalismus  52, 55, 108, 119, 120, 170</w:t>
      </w:r>
      <w:r w:rsidR="00920614">
        <w:rPr>
          <w:noProof/>
        </w:rPr>
        <w:t>–</w:t>
      </w:r>
      <w:r>
        <w:rPr>
          <w:noProof/>
        </w:rPr>
        <w:t xml:space="preserve">71, 312, 423, 451, </w:t>
      </w:r>
      <w:r w:rsidRPr="0081017A">
        <w:rPr>
          <w:rFonts w:cstheme="minorHAnsi"/>
          <w:i/>
          <w:noProof/>
        </w:rPr>
        <w:t>siehe auch</w:t>
      </w:r>
      <w:r w:rsidRPr="0081017A">
        <w:rPr>
          <w:rFonts w:cstheme="minorHAnsi"/>
          <w:noProof/>
        </w:rPr>
        <w:t xml:space="preserve"> </w:t>
      </w:r>
      <w:r>
        <w:rPr>
          <w:noProof/>
        </w:rPr>
        <w:t xml:space="preserve">Prager </w:t>
      </w:r>
      <w:r w:rsidRPr="0081017A">
        <w:rPr>
          <w:rFonts w:cstheme="minorHAnsi"/>
          <w:noProof/>
        </w:rPr>
        <w:t>Strukturalismus</w:t>
      </w:r>
    </w:p>
    <w:p w:rsidR="007344D7" w:rsidRDefault="007344D7" w:rsidP="0029451B">
      <w:pPr>
        <w:pStyle w:val="Index1"/>
        <w:rPr>
          <w:noProof/>
        </w:rPr>
      </w:pPr>
      <w:r>
        <w:rPr>
          <w:noProof/>
        </w:rPr>
        <w:t>Subkultur  416, 425, 428</w:t>
      </w:r>
      <w:r w:rsidR="00920614">
        <w:rPr>
          <w:noProof/>
        </w:rPr>
        <w:t>–</w:t>
      </w:r>
      <w:r>
        <w:rPr>
          <w:noProof/>
        </w:rPr>
        <w:t>29, 436</w:t>
      </w:r>
    </w:p>
    <w:p w:rsidR="007344D7" w:rsidRDefault="007344D7" w:rsidP="0029451B">
      <w:pPr>
        <w:pStyle w:val="Index1"/>
        <w:rPr>
          <w:noProof/>
        </w:rPr>
      </w:pPr>
      <w:r>
        <w:rPr>
          <w:noProof/>
        </w:rPr>
        <w:t>Symbol (Peirce)  232, 282</w:t>
      </w:r>
    </w:p>
    <w:p w:rsidR="007344D7" w:rsidRDefault="007344D7" w:rsidP="0029451B">
      <w:pPr>
        <w:pStyle w:val="Index1"/>
        <w:rPr>
          <w:noProof/>
        </w:rPr>
      </w:pPr>
      <w:r>
        <w:rPr>
          <w:noProof/>
        </w:rPr>
        <w:t>Syntagma  21, 52</w:t>
      </w:r>
      <w:r w:rsidR="00920614">
        <w:rPr>
          <w:noProof/>
        </w:rPr>
        <w:t>–</w:t>
      </w:r>
      <w:r>
        <w:rPr>
          <w:noProof/>
        </w:rPr>
        <w:t>53, 55, 103, 119, 122, 161</w:t>
      </w:r>
    </w:p>
    <w:p w:rsidR="007344D7" w:rsidRDefault="007344D7" w:rsidP="0029451B">
      <w:pPr>
        <w:pStyle w:val="Index1"/>
        <w:rPr>
          <w:noProof/>
        </w:rPr>
      </w:pPr>
      <w:r w:rsidRPr="0081017A">
        <w:rPr>
          <w:rFonts w:eastAsia="Times New Roman" w:cs="Times New Roman"/>
          <w:noProof/>
        </w:rPr>
        <w:t>Syntax</w:t>
      </w:r>
      <w:r>
        <w:rPr>
          <w:noProof/>
        </w:rPr>
        <w:t xml:space="preserve">  31, 33</w:t>
      </w:r>
      <w:r w:rsidR="00920614">
        <w:rPr>
          <w:noProof/>
        </w:rPr>
        <w:t>–</w:t>
      </w:r>
      <w:r>
        <w:rPr>
          <w:noProof/>
        </w:rPr>
        <w:t>34, 54, 56, 71, 113, 119</w:t>
      </w:r>
      <w:r w:rsidR="00920614">
        <w:rPr>
          <w:noProof/>
        </w:rPr>
        <w:t>–</w:t>
      </w:r>
      <w:r>
        <w:rPr>
          <w:noProof/>
        </w:rPr>
        <w:t>20, 142, 163, 178</w:t>
      </w:r>
      <w:r w:rsidR="00920614">
        <w:rPr>
          <w:noProof/>
        </w:rPr>
        <w:t>–</w:t>
      </w:r>
      <w:r>
        <w:rPr>
          <w:noProof/>
        </w:rPr>
        <w:t>79, 203</w:t>
      </w:r>
      <w:r w:rsidR="00920614">
        <w:rPr>
          <w:noProof/>
        </w:rPr>
        <w:t>–</w:t>
      </w:r>
      <w:r>
        <w:rPr>
          <w:noProof/>
        </w:rPr>
        <w:t>4, 339, 342</w:t>
      </w:r>
      <w:r w:rsidR="00920614">
        <w:rPr>
          <w:noProof/>
        </w:rPr>
        <w:t>–</w:t>
      </w:r>
      <w:r>
        <w:rPr>
          <w:noProof/>
        </w:rPr>
        <w:t>43, 358, 393, 416, 421, 428</w:t>
      </w:r>
      <w:r w:rsidR="00920614">
        <w:rPr>
          <w:noProof/>
        </w:rPr>
        <w:t>–</w:t>
      </w:r>
      <w:r>
        <w:rPr>
          <w:noProof/>
        </w:rPr>
        <w:t>29, 447</w:t>
      </w:r>
      <w:r w:rsidR="00920614">
        <w:rPr>
          <w:noProof/>
        </w:rPr>
        <w:t>–</w:t>
      </w:r>
      <w:r>
        <w:rPr>
          <w:noProof/>
        </w:rPr>
        <w:t>48</w:t>
      </w:r>
    </w:p>
    <w:p w:rsidR="007344D7" w:rsidRDefault="007344D7" w:rsidP="0029451B">
      <w:pPr>
        <w:pStyle w:val="Index1"/>
        <w:rPr>
          <w:noProof/>
        </w:rPr>
      </w:pPr>
      <w:r>
        <w:rPr>
          <w:noProof/>
        </w:rPr>
        <w:t>System  23, 29</w:t>
      </w:r>
      <w:r w:rsidR="00920614">
        <w:rPr>
          <w:noProof/>
        </w:rPr>
        <w:t>–</w:t>
      </w:r>
      <w:r>
        <w:rPr>
          <w:noProof/>
        </w:rPr>
        <w:t>30, 323, 411, 433</w:t>
      </w:r>
    </w:p>
    <w:p w:rsidR="00836FEB" w:rsidRDefault="00836FEB" w:rsidP="0029451B">
      <w:pPr>
        <w:pStyle w:val="Index1"/>
        <w:rPr>
          <w:noProof/>
        </w:rPr>
      </w:pPr>
    </w:p>
    <w:p w:rsidR="00DB1DF3" w:rsidRPr="00DB1DF3" w:rsidRDefault="00DB1DF3" w:rsidP="00CE3FD7">
      <w:pPr>
        <w:pStyle w:val="Index1"/>
        <w:keepNext/>
        <w:ind w:left="238" w:hanging="238"/>
        <w:jc w:val="center"/>
        <w:rPr>
          <w:b/>
          <w:noProof/>
        </w:rPr>
      </w:pPr>
      <w:r>
        <w:rPr>
          <w:b/>
          <w:noProof/>
        </w:rPr>
        <w:t>T</w:t>
      </w:r>
    </w:p>
    <w:p w:rsidR="00DB1DF3" w:rsidRDefault="00DB1DF3" w:rsidP="00CE3FD7">
      <w:pPr>
        <w:pStyle w:val="Index1"/>
        <w:keepNext/>
        <w:ind w:left="238" w:hanging="238"/>
        <w:rPr>
          <w:noProof/>
        </w:rPr>
      </w:pPr>
    </w:p>
    <w:p w:rsidR="007344D7" w:rsidRDefault="007344D7" w:rsidP="0029451B">
      <w:pPr>
        <w:pStyle w:val="Index1"/>
        <w:rPr>
          <w:noProof/>
        </w:rPr>
      </w:pPr>
      <w:r>
        <w:rPr>
          <w:noProof/>
        </w:rPr>
        <w:t>Technik  419–21</w:t>
      </w:r>
    </w:p>
    <w:p w:rsidR="007344D7" w:rsidRDefault="007344D7" w:rsidP="0029451B">
      <w:pPr>
        <w:pStyle w:val="Index1"/>
        <w:rPr>
          <w:noProof/>
        </w:rPr>
      </w:pPr>
      <w:r w:rsidRPr="0081017A">
        <w:rPr>
          <w:rFonts w:eastAsia="Times New Roman" w:cs="Times New Roman"/>
          <w:noProof/>
        </w:rPr>
        <w:lastRenderedPageBreak/>
        <w:t>Tennis</w:t>
      </w:r>
      <w:r>
        <w:rPr>
          <w:noProof/>
        </w:rPr>
        <w:t xml:space="preserve">  117</w:t>
      </w:r>
      <w:r w:rsidR="00920614">
        <w:rPr>
          <w:noProof/>
        </w:rPr>
        <w:t>–</w:t>
      </w:r>
      <w:r>
        <w:rPr>
          <w:noProof/>
        </w:rPr>
        <w:t>18, 368, 419</w:t>
      </w:r>
    </w:p>
    <w:p w:rsidR="007344D7" w:rsidRDefault="007344D7" w:rsidP="0029451B">
      <w:pPr>
        <w:pStyle w:val="Index1"/>
        <w:rPr>
          <w:noProof/>
        </w:rPr>
      </w:pPr>
      <w:r>
        <w:rPr>
          <w:noProof/>
        </w:rPr>
        <w:t>Textanalyse  38</w:t>
      </w:r>
    </w:p>
    <w:p w:rsidR="007344D7" w:rsidRDefault="007344D7">
      <w:pPr>
        <w:pStyle w:val="Index2"/>
        <w:tabs>
          <w:tab w:val="right" w:pos="3032"/>
        </w:tabs>
        <w:rPr>
          <w:noProof/>
        </w:rPr>
      </w:pPr>
      <w:r>
        <w:rPr>
          <w:noProof/>
        </w:rPr>
        <w:t>strukturalistische  49, 108, 119, 122, 446</w:t>
      </w:r>
    </w:p>
    <w:p w:rsidR="007344D7" w:rsidRDefault="007344D7" w:rsidP="0029451B">
      <w:pPr>
        <w:pStyle w:val="Index1"/>
        <w:rPr>
          <w:noProof/>
        </w:rPr>
      </w:pPr>
      <w:r>
        <w:rPr>
          <w:noProof/>
        </w:rPr>
        <w:t xml:space="preserve">Textschema  134–40, 413–15, </w:t>
      </w:r>
      <w:r w:rsidRPr="0081017A">
        <w:rPr>
          <w:i/>
          <w:noProof/>
        </w:rPr>
        <w:t>et passim</w:t>
      </w:r>
    </w:p>
    <w:p w:rsidR="007344D7" w:rsidRDefault="007344D7" w:rsidP="0029451B">
      <w:pPr>
        <w:pStyle w:val="Index1"/>
        <w:rPr>
          <w:noProof/>
        </w:rPr>
      </w:pPr>
      <w:r>
        <w:rPr>
          <w:noProof/>
        </w:rPr>
        <w:t xml:space="preserve">Textsorte  47, 128, 401, 412–13, </w:t>
      </w:r>
      <w:r w:rsidRPr="0081017A">
        <w:rPr>
          <w:rFonts w:cstheme="minorHAnsi"/>
          <w:i/>
          <w:noProof/>
        </w:rPr>
        <w:t>siehe auch</w:t>
      </w:r>
      <w:r w:rsidRPr="0081017A">
        <w:rPr>
          <w:rFonts w:cstheme="minorHAnsi"/>
          <w:noProof/>
        </w:rPr>
        <w:t xml:space="preserve"> Gattung</w:t>
      </w:r>
    </w:p>
    <w:p w:rsidR="007344D7" w:rsidRDefault="007344D7" w:rsidP="0029451B">
      <w:pPr>
        <w:pStyle w:val="Index1"/>
        <w:rPr>
          <w:noProof/>
        </w:rPr>
      </w:pPr>
      <w:r>
        <w:rPr>
          <w:noProof/>
        </w:rPr>
        <w:t>textwissenschaftliche Stiltheorie  387</w:t>
      </w:r>
    </w:p>
    <w:p w:rsidR="007344D7" w:rsidRDefault="007344D7" w:rsidP="0029451B">
      <w:pPr>
        <w:pStyle w:val="Index1"/>
        <w:rPr>
          <w:noProof/>
        </w:rPr>
      </w:pPr>
      <w:r>
        <w:rPr>
          <w:noProof/>
        </w:rPr>
        <w:t>theaterwissenschaftliche Stiltheorie  388</w:t>
      </w:r>
    </w:p>
    <w:p w:rsidR="007344D7" w:rsidRDefault="007344D7" w:rsidP="0029451B">
      <w:pPr>
        <w:pStyle w:val="Index1"/>
        <w:rPr>
          <w:noProof/>
        </w:rPr>
      </w:pPr>
      <w:r>
        <w:rPr>
          <w:noProof/>
        </w:rPr>
        <w:t>Theorie des Gehens (Balzac)  321</w:t>
      </w:r>
    </w:p>
    <w:p w:rsidR="007344D7" w:rsidRDefault="007344D7" w:rsidP="0029451B">
      <w:pPr>
        <w:pStyle w:val="Index1"/>
        <w:rPr>
          <w:noProof/>
        </w:rPr>
      </w:pPr>
      <w:r>
        <w:rPr>
          <w:noProof/>
        </w:rPr>
        <w:t>Transformationsregel  113, 447</w:t>
      </w:r>
    </w:p>
    <w:p w:rsidR="007344D7" w:rsidRDefault="007344D7" w:rsidP="0029451B">
      <w:pPr>
        <w:pStyle w:val="Index1"/>
        <w:rPr>
          <w:noProof/>
        </w:rPr>
      </w:pPr>
      <w:r>
        <w:rPr>
          <w:noProof/>
        </w:rPr>
        <w:t>Transponieren (Musik)  323</w:t>
      </w:r>
    </w:p>
    <w:p w:rsidR="007344D7" w:rsidRDefault="007344D7" w:rsidP="0029451B">
      <w:pPr>
        <w:pStyle w:val="Index1"/>
        <w:rPr>
          <w:noProof/>
        </w:rPr>
      </w:pPr>
      <w:r>
        <w:rPr>
          <w:noProof/>
        </w:rPr>
        <w:t>Trinkspruch (Textsorte)  412</w:t>
      </w:r>
    </w:p>
    <w:p w:rsidR="007344D7" w:rsidRDefault="007344D7" w:rsidP="0029451B">
      <w:pPr>
        <w:pStyle w:val="Index1"/>
        <w:rPr>
          <w:noProof/>
        </w:rPr>
      </w:pPr>
      <w:r>
        <w:rPr>
          <w:noProof/>
        </w:rPr>
        <w:t>Trope  421–22</w:t>
      </w:r>
    </w:p>
    <w:p w:rsidR="007344D7" w:rsidRDefault="007344D7" w:rsidP="0029451B">
      <w:pPr>
        <w:pStyle w:val="Index1"/>
        <w:rPr>
          <w:noProof/>
        </w:rPr>
      </w:pPr>
      <w:r w:rsidRPr="0081017A">
        <w:rPr>
          <w:noProof/>
          <w:lang w:val="it-IT"/>
        </w:rPr>
        <w:t>Tupel-Variable</w:t>
      </w:r>
      <w:r>
        <w:rPr>
          <w:noProof/>
        </w:rPr>
        <w:t xml:space="preserve">  177</w:t>
      </w:r>
      <w:r w:rsidR="00920614">
        <w:rPr>
          <w:noProof/>
        </w:rPr>
        <w:t>–</w:t>
      </w:r>
      <w:r>
        <w:rPr>
          <w:noProof/>
        </w:rPr>
        <w:t>78, 339, 364, 375</w:t>
      </w:r>
    </w:p>
    <w:p w:rsidR="00836FEB" w:rsidRDefault="00836FEB" w:rsidP="0029451B">
      <w:pPr>
        <w:pStyle w:val="Index1"/>
        <w:rPr>
          <w:noProof/>
        </w:rPr>
      </w:pPr>
    </w:p>
    <w:p w:rsidR="00DB1DF3" w:rsidRPr="00DB1DF3" w:rsidRDefault="00DB1DF3" w:rsidP="00CE3FD7">
      <w:pPr>
        <w:pStyle w:val="Index1"/>
        <w:keepNext/>
        <w:ind w:left="238" w:hanging="238"/>
        <w:jc w:val="center"/>
        <w:rPr>
          <w:b/>
          <w:noProof/>
        </w:rPr>
      </w:pPr>
      <w:r>
        <w:rPr>
          <w:b/>
          <w:noProof/>
        </w:rPr>
        <w:t>U</w:t>
      </w:r>
    </w:p>
    <w:p w:rsidR="00DB1DF3" w:rsidRDefault="00DB1DF3" w:rsidP="00CE3FD7">
      <w:pPr>
        <w:pStyle w:val="Index1"/>
        <w:keepNext/>
        <w:ind w:left="238" w:hanging="238"/>
        <w:rPr>
          <w:noProof/>
        </w:rPr>
      </w:pPr>
    </w:p>
    <w:p w:rsidR="007344D7" w:rsidRDefault="007344D7" w:rsidP="0029451B">
      <w:pPr>
        <w:pStyle w:val="Index1"/>
        <w:rPr>
          <w:noProof/>
        </w:rPr>
      </w:pPr>
      <w:r>
        <w:rPr>
          <w:noProof/>
        </w:rPr>
        <w:t>Ungarische Rhapsodien (Liszt)  312</w:t>
      </w:r>
    </w:p>
    <w:p w:rsidR="007344D7" w:rsidRDefault="007344D7" w:rsidP="0029451B">
      <w:pPr>
        <w:pStyle w:val="Index1"/>
        <w:rPr>
          <w:noProof/>
        </w:rPr>
      </w:pPr>
      <w:r>
        <w:rPr>
          <w:noProof/>
        </w:rPr>
        <w:t>Ungarische Tänze (Liszt)  312</w:t>
      </w:r>
    </w:p>
    <w:p w:rsidR="007344D7" w:rsidRDefault="007344D7" w:rsidP="0029451B">
      <w:pPr>
        <w:pStyle w:val="Index1"/>
        <w:rPr>
          <w:noProof/>
        </w:rPr>
      </w:pPr>
      <w:r>
        <w:rPr>
          <w:noProof/>
        </w:rPr>
        <w:t>Unterschema  135, 144, 389, 401, 415</w:t>
      </w:r>
    </w:p>
    <w:p w:rsidR="007344D7" w:rsidRDefault="007344D7">
      <w:pPr>
        <w:pStyle w:val="Index2"/>
        <w:tabs>
          <w:tab w:val="right" w:pos="3032"/>
        </w:tabs>
        <w:rPr>
          <w:noProof/>
        </w:rPr>
      </w:pPr>
      <w:r w:rsidRPr="0081017A">
        <w:rPr>
          <w:i/>
          <w:noProof/>
        </w:rPr>
        <w:t>Definition</w:t>
      </w:r>
      <w:r>
        <w:rPr>
          <w:noProof/>
        </w:rPr>
        <w:t xml:space="preserve">  144</w:t>
      </w:r>
    </w:p>
    <w:p w:rsidR="007344D7" w:rsidRDefault="007344D7" w:rsidP="0029451B">
      <w:pPr>
        <w:pStyle w:val="Index1"/>
        <w:rPr>
          <w:noProof/>
        </w:rPr>
      </w:pPr>
      <w:r>
        <w:rPr>
          <w:noProof/>
        </w:rPr>
        <w:t>Unterschiedlichkeit von Stilen  391–97</w:t>
      </w:r>
    </w:p>
    <w:p w:rsidR="00836FEB" w:rsidRDefault="00836FEB" w:rsidP="0029451B">
      <w:pPr>
        <w:pStyle w:val="Index1"/>
        <w:rPr>
          <w:noProof/>
        </w:rPr>
      </w:pPr>
    </w:p>
    <w:p w:rsidR="00DB1DF3" w:rsidRPr="00DB1DF3" w:rsidRDefault="00DB1DF3" w:rsidP="00CE3FD7">
      <w:pPr>
        <w:pStyle w:val="Index1"/>
        <w:keepNext/>
        <w:ind w:left="238" w:hanging="238"/>
        <w:jc w:val="center"/>
        <w:rPr>
          <w:b/>
          <w:noProof/>
        </w:rPr>
      </w:pPr>
      <w:r>
        <w:rPr>
          <w:b/>
          <w:noProof/>
        </w:rPr>
        <w:t>V</w:t>
      </w:r>
    </w:p>
    <w:p w:rsidR="00DB1DF3" w:rsidRDefault="00DB1DF3" w:rsidP="00CE3FD7">
      <w:pPr>
        <w:pStyle w:val="Index1"/>
        <w:keepNext/>
        <w:ind w:left="238" w:hanging="238"/>
        <w:rPr>
          <w:noProof/>
        </w:rPr>
      </w:pPr>
    </w:p>
    <w:p w:rsidR="007344D7" w:rsidRDefault="007344D7" w:rsidP="0029451B">
      <w:pPr>
        <w:pStyle w:val="Index1"/>
        <w:rPr>
          <w:noProof/>
        </w:rPr>
      </w:pPr>
      <w:r>
        <w:rPr>
          <w:noProof/>
        </w:rPr>
        <w:t>Vagheit  446–57</w:t>
      </w:r>
    </w:p>
    <w:p w:rsidR="007344D7" w:rsidRDefault="007344D7">
      <w:pPr>
        <w:pStyle w:val="Index2"/>
        <w:tabs>
          <w:tab w:val="right" w:pos="3032"/>
        </w:tabs>
        <w:rPr>
          <w:noProof/>
        </w:rPr>
      </w:pPr>
      <w:r>
        <w:rPr>
          <w:noProof/>
        </w:rPr>
        <w:t>epistemische  454</w:t>
      </w:r>
    </w:p>
    <w:p w:rsidR="007344D7" w:rsidRDefault="007344D7">
      <w:pPr>
        <w:pStyle w:val="Index2"/>
        <w:tabs>
          <w:tab w:val="right" w:pos="3032"/>
        </w:tabs>
        <w:rPr>
          <w:noProof/>
        </w:rPr>
      </w:pPr>
      <w:r>
        <w:rPr>
          <w:noProof/>
        </w:rPr>
        <w:t>ontologische  454</w:t>
      </w:r>
    </w:p>
    <w:p w:rsidR="007344D7" w:rsidRDefault="007344D7" w:rsidP="0029451B">
      <w:pPr>
        <w:pStyle w:val="Index1"/>
        <w:rPr>
          <w:noProof/>
        </w:rPr>
      </w:pPr>
      <w:r>
        <w:rPr>
          <w:noProof/>
        </w:rPr>
        <w:t>Vagheitshypothese  450, 452</w:t>
      </w:r>
    </w:p>
    <w:p w:rsidR="007344D7" w:rsidRDefault="007344D7" w:rsidP="0029451B">
      <w:pPr>
        <w:pStyle w:val="Index1"/>
        <w:rPr>
          <w:noProof/>
        </w:rPr>
      </w:pPr>
      <w:r>
        <w:rPr>
          <w:noProof/>
        </w:rPr>
        <w:t>Verhaltensergebnisschema  139–40, 413–15</w:t>
      </w:r>
    </w:p>
    <w:p w:rsidR="007344D7" w:rsidRDefault="007344D7" w:rsidP="0029451B">
      <w:pPr>
        <w:pStyle w:val="Index1"/>
        <w:rPr>
          <w:noProof/>
        </w:rPr>
      </w:pPr>
      <w:r>
        <w:rPr>
          <w:noProof/>
        </w:rPr>
        <w:t>Verhaltensergebnisstil  413–15</w:t>
      </w:r>
    </w:p>
    <w:p w:rsidR="007344D7" w:rsidRDefault="007344D7" w:rsidP="0029451B">
      <w:pPr>
        <w:pStyle w:val="Index1"/>
        <w:rPr>
          <w:noProof/>
        </w:rPr>
      </w:pPr>
      <w:r>
        <w:rPr>
          <w:noProof/>
        </w:rPr>
        <w:t xml:space="preserve">Verhaltensschema  134–40, 413–15, </w:t>
      </w:r>
      <w:r w:rsidRPr="0081017A">
        <w:rPr>
          <w:i/>
          <w:noProof/>
        </w:rPr>
        <w:t>et passim</w:t>
      </w:r>
    </w:p>
    <w:p w:rsidR="007344D7" w:rsidRDefault="007344D7" w:rsidP="0029451B">
      <w:pPr>
        <w:pStyle w:val="Index1"/>
        <w:rPr>
          <w:noProof/>
        </w:rPr>
      </w:pPr>
      <w:r>
        <w:rPr>
          <w:noProof/>
        </w:rPr>
        <w:t>Verhaltensstil  413–15</w:t>
      </w:r>
    </w:p>
    <w:p w:rsidR="007344D7" w:rsidRDefault="007344D7" w:rsidP="0029451B">
      <w:pPr>
        <w:pStyle w:val="Index1"/>
        <w:rPr>
          <w:noProof/>
        </w:rPr>
      </w:pPr>
      <w:r>
        <w:rPr>
          <w:noProof/>
        </w:rPr>
        <w:lastRenderedPageBreak/>
        <w:t>Verhaltensstil (Beispiele)  305–12, 321–29, 331–37</w:t>
      </w:r>
    </w:p>
    <w:p w:rsidR="007344D7" w:rsidRDefault="007344D7" w:rsidP="0029451B">
      <w:pPr>
        <w:pStyle w:val="Index1"/>
        <w:rPr>
          <w:noProof/>
        </w:rPr>
      </w:pPr>
      <w:r>
        <w:rPr>
          <w:noProof/>
        </w:rPr>
        <w:t>Verlangte Eigenschaften  182–86</w:t>
      </w:r>
    </w:p>
    <w:p w:rsidR="007344D7" w:rsidRDefault="007344D7" w:rsidP="0029451B">
      <w:pPr>
        <w:pStyle w:val="Index1"/>
        <w:rPr>
          <w:noProof/>
        </w:rPr>
      </w:pPr>
      <w:r>
        <w:rPr>
          <w:noProof/>
        </w:rPr>
        <w:t>Verne, Jules  108</w:t>
      </w:r>
    </w:p>
    <w:p w:rsidR="007344D7" w:rsidRDefault="007344D7" w:rsidP="0029451B">
      <w:pPr>
        <w:pStyle w:val="Index1"/>
        <w:rPr>
          <w:noProof/>
        </w:rPr>
      </w:pPr>
      <w:r>
        <w:rPr>
          <w:noProof/>
        </w:rPr>
        <w:t>Verstehen (einer Realisierung)  165</w:t>
      </w:r>
    </w:p>
    <w:p w:rsidR="007344D7" w:rsidRDefault="007344D7" w:rsidP="0029451B">
      <w:pPr>
        <w:pStyle w:val="Index1"/>
        <w:rPr>
          <w:noProof/>
        </w:rPr>
      </w:pPr>
      <w:r>
        <w:rPr>
          <w:noProof/>
        </w:rPr>
        <w:t>Viollet-le-Duc, Eugène-Emmanuel  427, 437</w:t>
      </w:r>
    </w:p>
    <w:p w:rsidR="007344D7" w:rsidRDefault="007344D7" w:rsidP="0029451B">
      <w:pPr>
        <w:pStyle w:val="Index1"/>
        <w:rPr>
          <w:noProof/>
        </w:rPr>
      </w:pPr>
      <w:r>
        <w:rPr>
          <w:noProof/>
        </w:rPr>
        <w:t>Völkerpsychologie  436</w:t>
      </w:r>
    </w:p>
    <w:p w:rsidR="00DB1DF3" w:rsidRPr="00DB1DF3" w:rsidRDefault="00DB1DF3" w:rsidP="00DB1DF3"/>
    <w:p w:rsidR="00836FEB" w:rsidRPr="00DB1DF3" w:rsidRDefault="00DB1DF3" w:rsidP="00CE3FD7">
      <w:pPr>
        <w:pStyle w:val="Index1"/>
        <w:keepNext/>
        <w:ind w:left="238" w:hanging="238"/>
        <w:jc w:val="center"/>
        <w:rPr>
          <w:b/>
          <w:noProof/>
        </w:rPr>
      </w:pPr>
      <w:r w:rsidRPr="00DB1DF3">
        <w:rPr>
          <w:b/>
          <w:noProof/>
        </w:rPr>
        <w:t>W</w:t>
      </w:r>
    </w:p>
    <w:p w:rsidR="00DB1DF3" w:rsidRDefault="00DB1DF3" w:rsidP="00CE3FD7">
      <w:pPr>
        <w:pStyle w:val="Index1"/>
        <w:keepNext/>
        <w:ind w:left="238" w:hanging="238"/>
        <w:rPr>
          <w:noProof/>
        </w:rPr>
      </w:pPr>
    </w:p>
    <w:p w:rsidR="007344D7" w:rsidRDefault="007344D7" w:rsidP="0029451B">
      <w:pPr>
        <w:pStyle w:val="Index1"/>
        <w:rPr>
          <w:noProof/>
        </w:rPr>
      </w:pPr>
      <w:r>
        <w:rPr>
          <w:noProof/>
        </w:rPr>
        <w:t xml:space="preserve">Wahrnehmen eines Stils  97–98, </w:t>
      </w:r>
      <w:r w:rsidRPr="0081017A">
        <w:rPr>
          <w:i/>
          <w:noProof/>
        </w:rPr>
        <w:t>et passim</w:t>
      </w:r>
    </w:p>
    <w:p w:rsidR="007344D7" w:rsidRDefault="007344D7">
      <w:pPr>
        <w:pStyle w:val="Index2"/>
        <w:tabs>
          <w:tab w:val="right" w:pos="3032"/>
        </w:tabs>
        <w:rPr>
          <w:noProof/>
        </w:rPr>
      </w:pPr>
      <w:r w:rsidRPr="0081017A">
        <w:rPr>
          <w:i/>
          <w:noProof/>
        </w:rPr>
        <w:t>Abbildung</w:t>
      </w:r>
      <w:r>
        <w:rPr>
          <w:noProof/>
        </w:rPr>
        <w:t xml:space="preserve">  91</w:t>
      </w:r>
    </w:p>
    <w:p w:rsidR="007344D7" w:rsidRDefault="007344D7">
      <w:pPr>
        <w:pStyle w:val="Index2"/>
        <w:tabs>
          <w:tab w:val="right" w:pos="3032"/>
        </w:tabs>
        <w:rPr>
          <w:noProof/>
        </w:rPr>
      </w:pPr>
      <w:r w:rsidRPr="0081017A">
        <w:rPr>
          <w:i/>
          <w:noProof/>
        </w:rPr>
        <w:t>Definition</w:t>
      </w:r>
      <w:r>
        <w:rPr>
          <w:noProof/>
        </w:rPr>
        <w:t xml:space="preserve">  98</w:t>
      </w:r>
    </w:p>
    <w:p w:rsidR="007344D7" w:rsidRDefault="007344D7">
      <w:pPr>
        <w:pStyle w:val="Index2"/>
        <w:tabs>
          <w:tab w:val="right" w:pos="3032"/>
        </w:tabs>
        <w:rPr>
          <w:noProof/>
        </w:rPr>
      </w:pPr>
      <w:r w:rsidRPr="0081017A">
        <w:rPr>
          <w:i/>
          <w:noProof/>
        </w:rPr>
        <w:t>Funktion</w:t>
      </w:r>
      <w:r>
        <w:rPr>
          <w:noProof/>
        </w:rPr>
        <w:t xml:space="preserve">  372–76</w:t>
      </w:r>
    </w:p>
    <w:p w:rsidR="007344D7" w:rsidRDefault="007344D7" w:rsidP="0029451B">
      <w:pPr>
        <w:pStyle w:val="Index1"/>
        <w:rPr>
          <w:noProof/>
        </w:rPr>
      </w:pPr>
      <w:r>
        <w:rPr>
          <w:noProof/>
        </w:rPr>
        <w:t>Wahrnehmerstil  374, 380–83, 447</w:t>
      </w:r>
    </w:p>
    <w:p w:rsidR="007344D7" w:rsidRDefault="007344D7">
      <w:pPr>
        <w:pStyle w:val="Index2"/>
        <w:tabs>
          <w:tab w:val="right" w:pos="3032"/>
        </w:tabs>
        <w:rPr>
          <w:noProof/>
        </w:rPr>
      </w:pPr>
      <w:r w:rsidRPr="0081017A">
        <w:rPr>
          <w:i/>
          <w:noProof/>
        </w:rPr>
        <w:t>Definition</w:t>
      </w:r>
      <w:r>
        <w:rPr>
          <w:noProof/>
        </w:rPr>
        <w:t xml:space="preserve">  383</w:t>
      </w:r>
    </w:p>
    <w:p w:rsidR="007344D7" w:rsidRDefault="007344D7">
      <w:pPr>
        <w:pStyle w:val="Index2"/>
        <w:tabs>
          <w:tab w:val="right" w:pos="3032"/>
        </w:tabs>
        <w:rPr>
          <w:noProof/>
        </w:rPr>
      </w:pPr>
      <w:r>
        <w:rPr>
          <w:noProof/>
        </w:rPr>
        <w:t>interpretierter  374, 380–83</w:t>
      </w:r>
    </w:p>
    <w:p w:rsidR="007344D7" w:rsidRDefault="007344D7" w:rsidP="0029451B">
      <w:pPr>
        <w:pStyle w:val="Index1"/>
        <w:rPr>
          <w:noProof/>
        </w:rPr>
      </w:pPr>
      <w:r>
        <w:rPr>
          <w:noProof/>
        </w:rPr>
        <w:t>Wahrnehmungspsychologie  327</w:t>
      </w:r>
    </w:p>
    <w:p w:rsidR="007344D7" w:rsidRDefault="007344D7" w:rsidP="0029451B">
      <w:pPr>
        <w:pStyle w:val="Index1"/>
        <w:rPr>
          <w:noProof/>
        </w:rPr>
      </w:pPr>
      <w:r>
        <w:rPr>
          <w:noProof/>
        </w:rPr>
        <w:t>Weber, Max  432</w:t>
      </w:r>
    </w:p>
    <w:p w:rsidR="007344D7" w:rsidRDefault="007344D7" w:rsidP="0029451B">
      <w:pPr>
        <w:pStyle w:val="Index1"/>
        <w:rPr>
          <w:noProof/>
        </w:rPr>
      </w:pPr>
      <w:r>
        <w:rPr>
          <w:noProof/>
        </w:rPr>
        <w:t>Wells, H.G.  108</w:t>
      </w:r>
    </w:p>
    <w:p w:rsidR="007344D7" w:rsidRDefault="007344D7" w:rsidP="0029451B">
      <w:pPr>
        <w:pStyle w:val="Index1"/>
        <w:rPr>
          <w:noProof/>
        </w:rPr>
      </w:pPr>
      <w:r>
        <w:rPr>
          <w:noProof/>
        </w:rPr>
        <w:t>Wesley, Samuel  26, 37, 93, 404</w:t>
      </w:r>
    </w:p>
    <w:p w:rsidR="007344D7" w:rsidRDefault="007344D7" w:rsidP="0029451B">
      <w:pPr>
        <w:pStyle w:val="Index1"/>
        <w:rPr>
          <w:noProof/>
        </w:rPr>
      </w:pPr>
      <w:r>
        <w:rPr>
          <w:noProof/>
        </w:rPr>
        <w:t>Westchester House (Richard Meier)  291</w:t>
      </w:r>
      <w:r w:rsidR="00920614">
        <w:rPr>
          <w:noProof/>
        </w:rPr>
        <w:t>–</w:t>
      </w:r>
      <w:r>
        <w:rPr>
          <w:noProof/>
        </w:rPr>
        <w:t>93</w:t>
      </w:r>
    </w:p>
    <w:p w:rsidR="007344D7" w:rsidRDefault="007344D7">
      <w:pPr>
        <w:pStyle w:val="Index2"/>
        <w:tabs>
          <w:tab w:val="right" w:pos="3032"/>
        </w:tabs>
        <w:rPr>
          <w:noProof/>
        </w:rPr>
      </w:pPr>
      <w:r w:rsidRPr="0081017A">
        <w:rPr>
          <w:i/>
          <w:noProof/>
          <w:lang w:val="en-US"/>
        </w:rPr>
        <w:t>Abbildung</w:t>
      </w:r>
      <w:r>
        <w:rPr>
          <w:noProof/>
        </w:rPr>
        <w:t xml:space="preserve">  293</w:t>
      </w:r>
    </w:p>
    <w:p w:rsidR="007344D7" w:rsidRDefault="007344D7" w:rsidP="0029451B">
      <w:pPr>
        <w:pStyle w:val="Index1"/>
        <w:rPr>
          <w:noProof/>
        </w:rPr>
      </w:pPr>
      <w:r>
        <w:rPr>
          <w:noProof/>
        </w:rPr>
        <w:t>Wichtigkeit von Stil</w:t>
      </w:r>
    </w:p>
    <w:p w:rsidR="007344D7" w:rsidRDefault="007344D7">
      <w:pPr>
        <w:pStyle w:val="Index2"/>
        <w:tabs>
          <w:tab w:val="right" w:pos="3032"/>
        </w:tabs>
        <w:rPr>
          <w:noProof/>
        </w:rPr>
      </w:pPr>
      <w:r>
        <w:rPr>
          <w:noProof/>
        </w:rPr>
        <w:lastRenderedPageBreak/>
        <w:t>für Individuen und Gruppen  405–6</w:t>
      </w:r>
    </w:p>
    <w:p w:rsidR="007344D7" w:rsidRDefault="007344D7">
      <w:pPr>
        <w:pStyle w:val="Index2"/>
        <w:tabs>
          <w:tab w:val="right" w:pos="3032"/>
        </w:tabs>
        <w:rPr>
          <w:noProof/>
        </w:rPr>
      </w:pPr>
      <w:r>
        <w:rPr>
          <w:noProof/>
        </w:rPr>
        <w:t>in der Gesellschaft  428–32</w:t>
      </w:r>
    </w:p>
    <w:p w:rsidR="007344D7" w:rsidRDefault="007344D7" w:rsidP="0029451B">
      <w:pPr>
        <w:pStyle w:val="Index1"/>
        <w:rPr>
          <w:noProof/>
        </w:rPr>
      </w:pPr>
      <w:r w:rsidRPr="0081017A">
        <w:rPr>
          <w:noProof/>
        </w:rPr>
        <w:t>Winckelmann, Johann Joachim</w:t>
      </w:r>
      <w:r>
        <w:rPr>
          <w:noProof/>
        </w:rPr>
        <w:t xml:space="preserve">  125</w:t>
      </w:r>
    </w:p>
    <w:p w:rsidR="007344D7" w:rsidRDefault="007344D7" w:rsidP="0029451B">
      <w:pPr>
        <w:pStyle w:val="Index1"/>
        <w:rPr>
          <w:noProof/>
        </w:rPr>
      </w:pPr>
      <w:r>
        <w:rPr>
          <w:noProof/>
        </w:rPr>
        <w:t>Wittgenstein, Ludwig  409</w:t>
      </w:r>
    </w:p>
    <w:p w:rsidR="007344D7" w:rsidRDefault="007344D7" w:rsidP="0029451B">
      <w:pPr>
        <w:pStyle w:val="Index1"/>
        <w:rPr>
          <w:noProof/>
        </w:rPr>
      </w:pPr>
      <w:r>
        <w:rPr>
          <w:noProof/>
        </w:rPr>
        <w:t>Wohlgeformtheit  52, 55, 120, 143</w:t>
      </w:r>
    </w:p>
    <w:p w:rsidR="007344D7" w:rsidRDefault="007344D7" w:rsidP="0029451B">
      <w:pPr>
        <w:pStyle w:val="Index1"/>
        <w:rPr>
          <w:noProof/>
        </w:rPr>
      </w:pPr>
      <w:r w:rsidRPr="0081017A">
        <w:rPr>
          <w:noProof/>
        </w:rPr>
        <w:t>Wölfflin, Heinrich</w:t>
      </w:r>
      <w:r>
        <w:rPr>
          <w:noProof/>
        </w:rPr>
        <w:t xml:space="preserve">  125</w:t>
      </w:r>
    </w:p>
    <w:p w:rsidR="00836FEB" w:rsidRDefault="00836FEB" w:rsidP="0029451B">
      <w:pPr>
        <w:pStyle w:val="Index1"/>
        <w:rPr>
          <w:noProof/>
        </w:rPr>
      </w:pPr>
    </w:p>
    <w:p w:rsidR="00DB1DF3" w:rsidRPr="00DB1DF3" w:rsidRDefault="00DB1DF3" w:rsidP="00CE3FD7">
      <w:pPr>
        <w:pStyle w:val="Index1"/>
        <w:keepNext/>
        <w:ind w:left="238" w:hanging="238"/>
        <w:jc w:val="center"/>
        <w:rPr>
          <w:b/>
          <w:noProof/>
        </w:rPr>
      </w:pPr>
      <w:r>
        <w:rPr>
          <w:b/>
          <w:noProof/>
        </w:rPr>
        <w:t>Z</w:t>
      </w:r>
    </w:p>
    <w:p w:rsidR="00DB1DF3" w:rsidRDefault="00DB1DF3" w:rsidP="00CE3FD7">
      <w:pPr>
        <w:pStyle w:val="Index1"/>
        <w:keepNext/>
        <w:ind w:left="238" w:hanging="238"/>
        <w:rPr>
          <w:noProof/>
        </w:rPr>
      </w:pPr>
    </w:p>
    <w:p w:rsidR="007344D7" w:rsidRDefault="007344D7" w:rsidP="0029451B">
      <w:pPr>
        <w:pStyle w:val="Index1"/>
        <w:rPr>
          <w:noProof/>
        </w:rPr>
      </w:pPr>
      <w:r>
        <w:rPr>
          <w:noProof/>
        </w:rPr>
        <w:t>Zeicheninhalt  82, 93–97, 166–72, 232–33, 380–83</w:t>
      </w:r>
    </w:p>
    <w:p w:rsidR="007344D7" w:rsidRDefault="007344D7" w:rsidP="0029451B">
      <w:pPr>
        <w:pStyle w:val="Index1"/>
        <w:rPr>
          <w:noProof/>
        </w:rPr>
      </w:pPr>
      <w:r>
        <w:rPr>
          <w:noProof/>
        </w:rPr>
        <w:t>Zeichenkette  54, 244, 364</w:t>
      </w:r>
    </w:p>
    <w:p w:rsidR="007344D7" w:rsidRDefault="007344D7" w:rsidP="0029451B">
      <w:pPr>
        <w:pStyle w:val="Index1"/>
        <w:rPr>
          <w:noProof/>
        </w:rPr>
      </w:pPr>
      <w:r>
        <w:rPr>
          <w:noProof/>
        </w:rPr>
        <w:t>Zeichenkomplex  37, 53, 380</w:t>
      </w:r>
    </w:p>
    <w:p w:rsidR="007344D7" w:rsidRDefault="007344D7" w:rsidP="0029451B">
      <w:pPr>
        <w:pStyle w:val="Index1"/>
        <w:rPr>
          <w:noProof/>
        </w:rPr>
      </w:pPr>
      <w:r w:rsidRPr="0081017A">
        <w:rPr>
          <w:noProof/>
        </w:rPr>
        <w:t>Zeichenmaterie</w:t>
      </w:r>
      <w:r>
        <w:rPr>
          <w:noProof/>
        </w:rPr>
        <w:t xml:space="preserve">  167, 171</w:t>
      </w:r>
    </w:p>
    <w:p w:rsidR="007344D7" w:rsidRDefault="007344D7">
      <w:pPr>
        <w:pStyle w:val="Index2"/>
        <w:tabs>
          <w:tab w:val="right" w:pos="3032"/>
        </w:tabs>
        <w:rPr>
          <w:noProof/>
        </w:rPr>
      </w:pPr>
      <w:r w:rsidRPr="0081017A">
        <w:rPr>
          <w:i/>
          <w:noProof/>
        </w:rPr>
        <w:t>Definition</w:t>
      </w:r>
      <w:r>
        <w:rPr>
          <w:noProof/>
        </w:rPr>
        <w:t xml:space="preserve">  167</w:t>
      </w:r>
    </w:p>
    <w:p w:rsidR="007344D7" w:rsidRDefault="007344D7" w:rsidP="0029451B">
      <w:pPr>
        <w:pStyle w:val="Index1"/>
        <w:rPr>
          <w:noProof/>
        </w:rPr>
      </w:pPr>
      <w:r>
        <w:rPr>
          <w:noProof/>
        </w:rPr>
        <w:t>Zeichenproduktion  18</w:t>
      </w:r>
    </w:p>
    <w:p w:rsidR="007344D7" w:rsidRDefault="007344D7" w:rsidP="0029451B">
      <w:pPr>
        <w:pStyle w:val="Index1"/>
        <w:rPr>
          <w:noProof/>
        </w:rPr>
      </w:pPr>
      <w:r>
        <w:rPr>
          <w:noProof/>
        </w:rPr>
        <w:t>Zeichenrezeption  18</w:t>
      </w:r>
    </w:p>
    <w:p w:rsidR="007344D7" w:rsidRDefault="007344D7" w:rsidP="0029451B">
      <w:pPr>
        <w:pStyle w:val="Index1"/>
        <w:rPr>
          <w:noProof/>
        </w:rPr>
      </w:pPr>
      <w:r>
        <w:rPr>
          <w:noProof/>
        </w:rPr>
        <w:t xml:space="preserve">Zeichensystem  17, 53, 138, 145, 279, 380, 385, 417, 420, </w:t>
      </w:r>
      <w:r w:rsidRPr="0081017A">
        <w:rPr>
          <w:i/>
          <w:noProof/>
        </w:rPr>
        <w:t>siehe auch</w:t>
      </w:r>
      <w:r>
        <w:rPr>
          <w:noProof/>
        </w:rPr>
        <w:t xml:space="preserve"> Kode</w:t>
      </w:r>
    </w:p>
    <w:p w:rsidR="007344D7" w:rsidRDefault="007344D7" w:rsidP="0029451B">
      <w:pPr>
        <w:pStyle w:val="Index1"/>
        <w:rPr>
          <w:noProof/>
        </w:rPr>
      </w:pPr>
      <w:r>
        <w:rPr>
          <w:noProof/>
        </w:rPr>
        <w:t>Zeichenträger  82, 93–97, 166–72, 232–33</w:t>
      </w:r>
    </w:p>
    <w:p w:rsidR="007344D7" w:rsidRDefault="007344D7">
      <w:pPr>
        <w:pStyle w:val="Index2"/>
        <w:tabs>
          <w:tab w:val="right" w:pos="3032"/>
        </w:tabs>
        <w:rPr>
          <w:noProof/>
        </w:rPr>
      </w:pPr>
      <w:r w:rsidRPr="0081017A">
        <w:rPr>
          <w:i/>
          <w:noProof/>
        </w:rPr>
        <w:t>Definition</w:t>
      </w:r>
      <w:r>
        <w:rPr>
          <w:noProof/>
        </w:rPr>
        <w:t xml:space="preserve">  167</w:t>
      </w:r>
    </w:p>
    <w:p w:rsidR="007344D7" w:rsidRDefault="007344D7" w:rsidP="0029451B">
      <w:pPr>
        <w:pStyle w:val="Index1"/>
        <w:rPr>
          <w:noProof/>
        </w:rPr>
      </w:pPr>
      <w:r>
        <w:rPr>
          <w:noProof/>
        </w:rPr>
        <w:t>Zigeunermusik  312–21</w:t>
      </w:r>
    </w:p>
    <w:p w:rsidR="007344D7" w:rsidRDefault="007344D7" w:rsidP="0029451B">
      <w:pPr>
        <w:pStyle w:val="Index1"/>
        <w:rPr>
          <w:noProof/>
        </w:rPr>
      </w:pPr>
      <w:r>
        <w:rPr>
          <w:noProof/>
        </w:rPr>
        <w:t>Zuckmayer, Carl  435</w:t>
      </w:r>
    </w:p>
    <w:p w:rsidR="007344D7" w:rsidRDefault="007344D7" w:rsidP="0029451B">
      <w:pPr>
        <w:pStyle w:val="Index1"/>
        <w:rPr>
          <w:noProof/>
        </w:rPr>
      </w:pPr>
      <w:r>
        <w:rPr>
          <w:noProof/>
        </w:rPr>
        <w:t>zufällige Wahrscheinlichkeit  193, 195–99, 211, 214, 220</w:t>
      </w:r>
    </w:p>
    <w:p w:rsidR="007344D7" w:rsidRDefault="007344D7" w:rsidP="00ED1557">
      <w:pPr>
        <w:pStyle w:val="Text"/>
        <w:rPr>
          <w:noProof/>
        </w:rPr>
        <w:sectPr w:rsidR="007344D7" w:rsidSect="007344D7">
          <w:type w:val="continuous"/>
          <w:pgSz w:w="8789" w:h="13325" w:code="9"/>
          <w:pgMar w:top="1134" w:right="851" w:bottom="1418" w:left="1134" w:header="567" w:footer="680" w:gutter="0"/>
          <w:cols w:num="2" w:space="720"/>
          <w:titlePg/>
          <w:docGrid w:linePitch="360"/>
        </w:sectPr>
      </w:pPr>
    </w:p>
    <w:p w:rsidR="000C2B5D" w:rsidRPr="00D939EE" w:rsidRDefault="005D7996" w:rsidP="00ED1557">
      <w:pPr>
        <w:pStyle w:val="Text"/>
      </w:pPr>
      <w:r>
        <w:lastRenderedPageBreak/>
        <w:fldChar w:fldCharType="end"/>
      </w:r>
    </w:p>
    <w:sectPr w:rsidR="000C2B5D" w:rsidRPr="00D939EE" w:rsidSect="007344D7">
      <w:type w:val="continuous"/>
      <w:pgSz w:w="8789" w:h="13325" w:code="9"/>
      <w:pgMar w:top="1134" w:right="851" w:bottom="1418" w:left="1134" w:header="567" w:footer="6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226" w:rsidRDefault="003E4226">
      <w:r>
        <w:separator/>
      </w:r>
    </w:p>
    <w:p w:rsidR="003E4226" w:rsidRDefault="003E4226"/>
    <w:p w:rsidR="003E4226" w:rsidRDefault="003E4226"/>
  </w:endnote>
  <w:endnote w:type="continuationSeparator" w:id="0">
    <w:p w:rsidR="003E4226" w:rsidRDefault="003E4226">
      <w:r>
        <w:continuationSeparator/>
      </w:r>
    </w:p>
    <w:p w:rsidR="003E4226" w:rsidRDefault="003E4226"/>
    <w:p w:rsidR="003E4226" w:rsidRDefault="003E422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rigGarmnd BT">
    <w:panose1 w:val="02020602050306020403"/>
    <w:charset w:val="00"/>
    <w:family w:val="roman"/>
    <w:pitch w:val="variable"/>
    <w:sig w:usb0="00000087"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wis721 BT">
    <w:panose1 w:val="00000000000000000000"/>
    <w:charset w:val="00"/>
    <w:family w:val="swiss"/>
    <w:notTrueType/>
    <w:pitch w:val="variable"/>
    <w:sig w:usb0="00000003" w:usb1="00000000" w:usb2="00000000" w:usb3="00000000" w:csb0="00000001" w:csb1="00000000"/>
  </w:font>
  <w:font w:name="Swis721 BdRnd B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 Galaxy">
    <w:altName w:val="Arial"/>
    <w:charset w:val="00"/>
    <w:family w:val="swiss"/>
    <w:pitch w:val="default"/>
    <w:sig w:usb0="00000003" w:usb1="00000000" w:usb2="00000000" w:usb3="00000000" w:csb0="00000001" w:csb1="00000000"/>
  </w:font>
  <w:font w:name="Arial MT">
    <w:panose1 w:val="00000000000000000000"/>
    <w:charset w:val="00"/>
    <w:family w:val="swiss"/>
    <w:notTrueType/>
    <w:pitch w:val="variable"/>
    <w:sig w:usb0="00000003" w:usb1="00000000" w:usb2="00000000" w:usb3="00000000" w:csb0="00000001" w:csb1="00000000"/>
  </w:font>
  <w:font w:name="E Future">
    <w:altName w:val="Arial"/>
    <w:charset w:val="00"/>
    <w:family w:val="swiss"/>
    <w:pitch w:val="default"/>
    <w:sig w:usb0="00000003" w:usb1="00000000" w:usb2="00000000" w:usb3="00000000" w:csb0="00000001" w:csb1="00000000"/>
  </w:font>
  <w:font w:name="OriginalGaramondBT-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NRMT-Italic">
    <w:altName w:val="Arial Unicode MS"/>
    <w:panose1 w:val="00000000000000000000"/>
    <w:charset w:val="88"/>
    <w:family w:val="auto"/>
    <w:notTrueType/>
    <w:pitch w:val="default"/>
    <w:sig w:usb0="00000007" w:usb1="08080000" w:usb2="00000010" w:usb3="00000000" w:csb0="00100003" w:csb1="00000000"/>
  </w:font>
  <w:font w:name="TimesNRMT">
    <w:altName w:val="Arial Unicode MS"/>
    <w:panose1 w:val="00000000000000000000"/>
    <w:charset w:val="88"/>
    <w:family w:val="auto"/>
    <w:notTrueType/>
    <w:pitch w:val="default"/>
    <w:sig w:usb0="00000007" w:usb1="08080000" w:usb2="00000010" w:usb3="00000000" w:csb0="00100003"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rsidP="00A937B9">
    <w:pPr>
      <w:pStyle w:val="Fuzeile"/>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226" w:rsidRDefault="003E4226" w:rsidP="00CA6731">
      <w:pPr>
        <w:ind w:firstLine="0"/>
      </w:pPr>
      <w:r>
        <w:separator/>
      </w:r>
    </w:p>
  </w:footnote>
  <w:footnote w:type="continuationSeparator" w:id="0">
    <w:p w:rsidR="003E4226" w:rsidRDefault="003E4226" w:rsidP="00CA6731">
      <w:pPr>
        <w:ind w:firstLine="0"/>
      </w:pPr>
      <w:r>
        <w:continuationSeparator/>
      </w:r>
    </w:p>
  </w:footnote>
  <w:footnote w:id="1">
    <w:p w:rsidR="00CC3558" w:rsidRPr="00156980" w:rsidRDefault="00CC3558" w:rsidP="00F461D9">
      <w:pPr>
        <w:pStyle w:val="Funotentext"/>
        <w:rPr>
          <w:szCs w:val="17"/>
        </w:rPr>
      </w:pPr>
      <w:r w:rsidRPr="002C3F3D">
        <w:rPr>
          <w:rStyle w:val="Funotenzeichen"/>
          <w:szCs w:val="17"/>
        </w:rPr>
        <w:footnoteRef/>
      </w:r>
      <w:r w:rsidRPr="002C3F3D">
        <w:rPr>
          <w:szCs w:val="17"/>
        </w:rPr>
        <w:t xml:space="preserve"> </w:t>
      </w:r>
      <w:r w:rsidRPr="002C3F3D">
        <w:rPr>
          <w:szCs w:val="17"/>
        </w:rPr>
        <w:tab/>
        <w:t>B</w:t>
      </w:r>
      <w:r w:rsidRPr="00156980">
        <w:rPr>
          <w:szCs w:val="17"/>
        </w:rPr>
        <w:t xml:space="preserve">eispielsweise stammt die elegante Idee der Priorisierung der Merkmalsregeln, die den unpraktischen Ansatz der globalen Anwendungshäufigkeit ersetzte (vgl. Abschnitt </w:t>
      </w:r>
      <w:fldSimple w:instr=" REF _Ref212462946 \r \h  \* MERGEFORMAT ">
        <w:r w:rsidR="001231D3" w:rsidRPr="001231D3">
          <w:rPr>
            <w:szCs w:val="17"/>
          </w:rPr>
          <w:t>5.5.5</w:t>
        </w:r>
      </w:fldSimple>
      <w:r w:rsidRPr="00156980">
        <w:rPr>
          <w:szCs w:val="17"/>
        </w:rPr>
        <w:t>), von Christian Siefkes. Er machte sich außerdem die Mühe, die Arbeit gründlich Korre</w:t>
      </w:r>
      <w:r w:rsidRPr="00156980">
        <w:rPr>
          <w:szCs w:val="17"/>
        </w:rPr>
        <w:t>k</w:t>
      </w:r>
      <w:r w:rsidRPr="00156980">
        <w:rPr>
          <w:szCs w:val="17"/>
        </w:rPr>
        <w:t>tur zu lesen, und wies dabei auf zahlreiche Verbesserungsmöglichkeiten hin.</w:t>
      </w:r>
    </w:p>
  </w:footnote>
  <w:footnote w:id="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5831830 \r \h  \* MERGEFORMAT ">
        <w:r w:rsidR="001231D3" w:rsidRPr="001231D3">
          <w:rPr>
            <w:szCs w:val="17"/>
          </w:rPr>
          <w:t>3.3</w:t>
        </w:r>
      </w:fldSimple>
      <w:r w:rsidRPr="00156980">
        <w:rPr>
          <w:szCs w:val="17"/>
        </w:rPr>
        <w:t xml:space="preserve">. Zum verwendeten Informationsbegriff vgl. Fußnote </w:t>
      </w:r>
      <w:fldSimple w:instr=" NOTEREF _Ref266573173 \h  \* MERGEFORMAT ">
        <w:r w:rsidR="001231D3" w:rsidRPr="001231D3">
          <w:rPr>
            <w:szCs w:val="17"/>
          </w:rPr>
          <w:t>118</w:t>
        </w:r>
      </w:fldSimple>
      <w:r w:rsidRPr="00156980">
        <w:rPr>
          <w:szCs w:val="17"/>
        </w:rPr>
        <w:t>.</w:t>
      </w:r>
    </w:p>
  </w:footnote>
  <w:footnote w:id="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Kodes (= Zeichensysteme</w:t>
      </w:r>
      <w:r w:rsidR="005D7996">
        <w:rPr>
          <w:szCs w:val="17"/>
        </w:rPr>
        <w:fldChar w:fldCharType="begin"/>
      </w:r>
      <w:r>
        <w:instrText xml:space="preserve"> XE "</w:instrText>
      </w:r>
      <w:r w:rsidRPr="004B350B">
        <w:instrText>Zeichensystem</w:instrText>
      </w:r>
      <w:r>
        <w:instrText xml:space="preserve">" </w:instrText>
      </w:r>
      <w:r w:rsidR="005D7996">
        <w:rPr>
          <w:szCs w:val="17"/>
        </w:rPr>
        <w:fldChar w:fldCharType="end"/>
      </w:r>
      <w:r w:rsidR="005D7996">
        <w:fldChar w:fldCharType="begin"/>
      </w:r>
      <w:r>
        <w:instrText xml:space="preserve"> XE "</w:instrText>
      </w:r>
      <w:r w:rsidRPr="00D42FA3">
        <w:instrText>Zeichensystem</w:instrText>
      </w:r>
      <w:r>
        <w:instrText>" \t "</w:instrText>
      </w:r>
      <w:r w:rsidRPr="001A4313">
        <w:rPr>
          <w:i/>
        </w:rPr>
        <w:instrText>siehe auch</w:instrText>
      </w:r>
      <w:r>
        <w:instrText xml:space="preserve"> Kode"</w:instrText>
      </w:r>
      <w:r w:rsidR="005D7996">
        <w:fldChar w:fldCharType="end"/>
      </w:r>
      <w:r w:rsidR="005D7996">
        <w:fldChar w:fldCharType="begin"/>
      </w:r>
      <w:r>
        <w:instrText xml:space="preserve"> XE "Kode" \t "</w:instrText>
      </w:r>
      <w:r w:rsidRPr="001A4313">
        <w:rPr>
          <w:i/>
        </w:rPr>
        <w:instrText>siehe auch</w:instrText>
      </w:r>
      <w:r>
        <w:instrText xml:space="preserve"> Zeichensystem"</w:instrText>
      </w:r>
      <w:r w:rsidR="005D7996">
        <w:fldChar w:fldCharType="end"/>
      </w:r>
      <w:r w:rsidRPr="00156980">
        <w:rPr>
          <w:szCs w:val="17"/>
        </w:rPr>
        <w:t>) bestehen aus einem Zeichenrepertoire und Kombinationsr</w:t>
      </w:r>
      <w:r w:rsidRPr="00156980">
        <w:rPr>
          <w:szCs w:val="17"/>
        </w:rPr>
        <w:t>e</w:t>
      </w:r>
      <w:r w:rsidRPr="00156980">
        <w:rPr>
          <w:szCs w:val="17"/>
        </w:rPr>
        <w:t>geln</w:t>
      </w:r>
      <w:r w:rsidR="005D7996">
        <w:rPr>
          <w:szCs w:val="17"/>
        </w:rPr>
        <w:fldChar w:fldCharType="begin"/>
      </w:r>
      <w:r>
        <w:instrText xml:space="preserve"> XE "</w:instrText>
      </w:r>
      <w:r w:rsidRPr="00197230">
        <w:rPr>
          <w:rFonts w:eastAsia="Times New Roman" w:cs="Times New Roman"/>
        </w:rPr>
        <w:instrText>Kombinationsregeln</w:instrText>
      </w:r>
      <w:r>
        <w:instrText xml:space="preserve">" </w:instrText>
      </w:r>
      <w:r w:rsidR="005D7996">
        <w:rPr>
          <w:szCs w:val="17"/>
        </w:rPr>
        <w:fldChar w:fldCharType="end"/>
      </w:r>
      <w:r w:rsidRPr="00156980">
        <w:rPr>
          <w:szCs w:val="17"/>
        </w:rPr>
        <w:t>; formal können sie als geordnete Paare &lt;</w:t>
      </w:r>
      <w:r w:rsidRPr="00156980">
        <w:rPr>
          <w:i/>
          <w:szCs w:val="17"/>
        </w:rPr>
        <w:t>Z</w:t>
      </w:r>
      <w:r w:rsidRPr="00156980">
        <w:rPr>
          <w:szCs w:val="17"/>
        </w:rPr>
        <w:t xml:space="preserve">, </w:t>
      </w:r>
      <w:r w:rsidRPr="00156980">
        <w:rPr>
          <w:i/>
          <w:szCs w:val="17"/>
        </w:rPr>
        <w:t>K</w:t>
      </w:r>
      <w:r w:rsidRPr="00156980">
        <w:rPr>
          <w:szCs w:val="17"/>
        </w:rPr>
        <w:t xml:space="preserve">&gt; einer Menge von Zeichen </w:t>
      </w:r>
      <w:r w:rsidRPr="00156980">
        <w:rPr>
          <w:i/>
          <w:szCs w:val="17"/>
        </w:rPr>
        <w:t>Z</w:t>
      </w:r>
      <w:r w:rsidRPr="00156980">
        <w:rPr>
          <w:szCs w:val="17"/>
        </w:rPr>
        <w:t xml:space="preserve"> und e</w:t>
      </w:r>
      <w:r w:rsidRPr="00156980">
        <w:rPr>
          <w:szCs w:val="17"/>
        </w:rPr>
        <w:t>i</w:t>
      </w:r>
      <w:r w:rsidRPr="00156980">
        <w:rPr>
          <w:szCs w:val="17"/>
        </w:rPr>
        <w:t xml:space="preserve">ner Menge von Kombinationsregeln </w:t>
      </w:r>
      <w:r w:rsidRPr="00156980">
        <w:rPr>
          <w:i/>
          <w:szCs w:val="17"/>
        </w:rPr>
        <w:t>K</w:t>
      </w:r>
      <w:r w:rsidRPr="00156980">
        <w:rPr>
          <w:szCs w:val="17"/>
        </w:rPr>
        <w:t xml:space="preserve"> dargestellt werden. Damit fallen sie unter die D</w:t>
      </w:r>
      <w:r w:rsidRPr="00156980">
        <w:rPr>
          <w:szCs w:val="17"/>
        </w:rPr>
        <w:t>e</w:t>
      </w:r>
      <w:r w:rsidRPr="00156980">
        <w:rPr>
          <w:szCs w:val="17"/>
        </w:rPr>
        <w:t>finition für Systeme, die als geordnete Paare &lt;</w:t>
      </w:r>
      <w:r w:rsidRPr="00156980">
        <w:rPr>
          <w:i/>
          <w:szCs w:val="17"/>
        </w:rPr>
        <w:t>M</w:t>
      </w:r>
      <w:r w:rsidRPr="00156980">
        <w:rPr>
          <w:szCs w:val="17"/>
        </w:rPr>
        <w:t xml:space="preserve">, </w:t>
      </w:r>
      <w:r w:rsidRPr="00156980">
        <w:rPr>
          <w:i/>
          <w:szCs w:val="17"/>
        </w:rPr>
        <w:t>B</w:t>
      </w:r>
      <w:r w:rsidRPr="00156980">
        <w:rPr>
          <w:szCs w:val="17"/>
        </w:rPr>
        <w:t xml:space="preserve">&gt; einer Menge </w:t>
      </w:r>
      <w:r w:rsidRPr="00156980">
        <w:rPr>
          <w:i/>
          <w:szCs w:val="17"/>
        </w:rPr>
        <w:t>M</w:t>
      </w:r>
      <w:r w:rsidRPr="00156980">
        <w:rPr>
          <w:szCs w:val="17"/>
        </w:rPr>
        <w:t xml:space="preserve"> von Elementen und einer Menge </w:t>
      </w:r>
      <w:r w:rsidRPr="00156980">
        <w:rPr>
          <w:i/>
          <w:szCs w:val="17"/>
        </w:rPr>
        <w:t>B</w:t>
      </w:r>
      <w:r w:rsidRPr="00156980">
        <w:rPr>
          <w:szCs w:val="17"/>
        </w:rPr>
        <w:t xml:space="preserve"> von Beziehungen (Relationen) zwischen den Elementen von </w:t>
      </w:r>
      <w:r w:rsidRPr="00156980">
        <w:rPr>
          <w:i/>
          <w:szCs w:val="17"/>
        </w:rPr>
        <w:t>M</w:t>
      </w:r>
      <w:r w:rsidRPr="00156980">
        <w:rPr>
          <w:szCs w:val="17"/>
        </w:rPr>
        <w:t xml:space="preserve"> definiert sind (Boom 1983: 420). Eine Definition von Kodes ausgehend von Charles Morris gibt Posner 1997b: 221 (vgl. Morris 1946: 35f = 1971: 113). Siehe zu Kodes auch Posner 1983, Watt 1983 und Watt u.a. 1997.</w:t>
      </w:r>
    </w:p>
  </w:footnote>
  <w:footnote w:id="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1997b: 220f.</w:t>
      </w:r>
    </w:p>
  </w:footnote>
  <w:footnote w:id="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heißt nicht, dass Kodes für Stile keine Rolle spielen. Folgt aber beispielsweise ein Architekt einem Kode</w:t>
      </w:r>
      <w:r w:rsidR="005D7996">
        <w:rPr>
          <w:szCs w:val="17"/>
        </w:rPr>
        <w:fldChar w:fldCharType="begin"/>
      </w:r>
      <w:r>
        <w:instrText xml:space="preserve"> XE "</w:instrText>
      </w:r>
      <w:r w:rsidRPr="00843AC3">
        <w:instrText>Kode</w:instrText>
      </w:r>
      <w:r>
        <w:instrText xml:space="preserve">" </w:instrText>
      </w:r>
      <w:r w:rsidR="005D7996">
        <w:rPr>
          <w:szCs w:val="17"/>
        </w:rPr>
        <w:fldChar w:fldCharType="end"/>
      </w:r>
      <w:r w:rsidRPr="00156980">
        <w:rPr>
          <w:szCs w:val="17"/>
        </w:rPr>
        <w:t>, kann ich dies bei der Betrachtung der Realisierung nicht unmi</w:t>
      </w:r>
      <w:r w:rsidRPr="00156980">
        <w:rPr>
          <w:szCs w:val="17"/>
        </w:rPr>
        <w:t>t</w:t>
      </w:r>
      <w:r w:rsidRPr="00156980">
        <w:rPr>
          <w:szCs w:val="17"/>
        </w:rPr>
        <w:t>telbar erkennen, sondern nehme zunächst nur wahr, dass an bestimmten Stellen bestim</w:t>
      </w:r>
      <w:r w:rsidRPr="00156980">
        <w:rPr>
          <w:szCs w:val="17"/>
        </w:rPr>
        <w:t>m</w:t>
      </w:r>
      <w:r w:rsidRPr="00156980">
        <w:rPr>
          <w:szCs w:val="17"/>
        </w:rPr>
        <w:t>te Lösungen gewählt wurden. Dass ein Kode diese Auswahl bestimmte, kann ich erst bei der Interpretation erkennen; andere mögliche Gründe wären freie Entscheidungen, früh</w:t>
      </w:r>
      <w:r w:rsidRPr="00156980">
        <w:rPr>
          <w:szCs w:val="17"/>
        </w:rPr>
        <w:t>e</w:t>
      </w:r>
      <w:r w:rsidRPr="00156980">
        <w:rPr>
          <w:szCs w:val="17"/>
        </w:rPr>
        <w:t xml:space="preserve">re Prägungen, Beschränkungen des Wissens oder Könnens und in manchen Bereichen auch körperliche Beschränkungen; vgl. Abschnitt </w:t>
      </w:r>
      <w:fldSimple w:instr=" REF _Ref261331554 \r \h  \* MERGEFORMAT ">
        <w:r w:rsidR="001231D3" w:rsidRPr="001231D3">
          <w:rPr>
            <w:szCs w:val="17"/>
          </w:rPr>
          <w:t>7.1.6</w:t>
        </w:r>
      </w:fldSimple>
      <w:r w:rsidRPr="00156980">
        <w:rPr>
          <w:szCs w:val="17"/>
        </w:rPr>
        <w:t>. (Zur Rolle von Kodes siehe A</w:t>
      </w:r>
      <w:r w:rsidRPr="00156980">
        <w:rPr>
          <w:szCs w:val="17"/>
        </w:rPr>
        <w:t>b</w:t>
      </w:r>
      <w:r w:rsidRPr="00156980">
        <w:rPr>
          <w:szCs w:val="17"/>
        </w:rPr>
        <w:t xml:space="preserve">schnitt </w:t>
      </w:r>
      <w:fldSimple w:instr=" REF _Ref260667292 \r \h  \* MERGEFORMAT ">
        <w:r w:rsidR="001231D3" w:rsidRPr="001231D3">
          <w:rPr>
            <w:szCs w:val="17"/>
          </w:rPr>
          <w:t>8.3.5</w:t>
        </w:r>
      </w:fldSimple>
      <w:r w:rsidRPr="00156980">
        <w:rPr>
          <w:szCs w:val="17"/>
        </w:rPr>
        <w:t>.)</w:t>
      </w:r>
    </w:p>
  </w:footnote>
  <w:footnote w:id="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Beispiele mit verschiedenen Ansätzen seien genannt: Wackernagel 1888, Bally 1909, Spitzer 1928,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1973, Anderegg 1977, Bia</w:t>
      </w:r>
      <w:r w:rsidRPr="00156980">
        <w:rPr>
          <w:rFonts w:cs="Times New Roman"/>
          <w:szCs w:val="17"/>
        </w:rPr>
        <w:t>ł</w:t>
      </w:r>
      <w:r w:rsidRPr="00156980">
        <w:rPr>
          <w:szCs w:val="17"/>
        </w:rPr>
        <w:t>ostocki 1981, Nischik 1991 und Semino u.a. 2002.</w:t>
      </w:r>
    </w:p>
  </w:footnote>
  <w:footnote w:id="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4295348 \r \h  \* MERGEFORMAT ">
        <w:r w:rsidR="001231D3" w:rsidRPr="001231D3">
          <w:rPr>
            <w:szCs w:val="17"/>
          </w:rPr>
          <w:t>2.16</w:t>
        </w:r>
      </w:fldSimple>
      <w:r w:rsidRPr="00156980">
        <w:rPr>
          <w:szCs w:val="17"/>
        </w:rPr>
        <w:t>.</w:t>
      </w:r>
    </w:p>
  </w:footnote>
  <w:footnote w:id="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insbesondere die hinführenden Erläuterungen in Kapitel 2 und die Einbettung des Stilmodells in Kapitel 8.</w:t>
      </w:r>
    </w:p>
  </w:footnote>
  <w:footnote w:id="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Einführungen in die Theorie finden sich in Siefkes 2009 und Siefkes 2011.</w:t>
      </w:r>
    </w:p>
  </w:footnote>
  <w:footnote w:id="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„Bereich“ wird hier im Sinne der Gegenstandsbereiche</w:t>
      </w:r>
      <w:r w:rsidR="005D7996">
        <w:rPr>
          <w:szCs w:val="17"/>
        </w:rPr>
        <w:fldChar w:fldCharType="begin"/>
      </w:r>
      <w:r>
        <w:instrText xml:space="preserve"> XE "</w:instrText>
      </w:r>
      <w:r w:rsidRPr="00CE5127">
        <w:rPr>
          <w:szCs w:val="17"/>
        </w:rPr>
        <w:instrText>Gegenstandsbereich</w:instrText>
      </w:r>
      <w:r>
        <w:instrText xml:space="preserve">" </w:instrText>
      </w:r>
      <w:r w:rsidR="005D7996">
        <w:rPr>
          <w:szCs w:val="17"/>
        </w:rPr>
        <w:fldChar w:fldCharType="end"/>
      </w:r>
      <w:r w:rsidRPr="00156980">
        <w:rPr>
          <w:szCs w:val="17"/>
        </w:rPr>
        <w:t xml:space="preserve"> disziplinär etablierter Wisse</w:t>
      </w:r>
      <w:r w:rsidRPr="00156980">
        <w:rPr>
          <w:szCs w:val="17"/>
        </w:rPr>
        <w:t>n</w:t>
      </w:r>
      <w:r w:rsidRPr="00156980">
        <w:rPr>
          <w:szCs w:val="17"/>
        </w:rPr>
        <w:t>schaften verwendet. Bereiche bilden bezogen auf das Phänomen Stil beispielsweise die musikalischen Stile, die sprachlichen Stile, die Bildstile oder die Bewegungsstile.</w:t>
      </w:r>
    </w:p>
  </w:footnote>
  <w:footnote w:id="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1997a: 3 und Posner</w:t>
      </w:r>
      <w:r>
        <w:rPr>
          <w:szCs w:val="17"/>
        </w:rPr>
        <w:t xml:space="preserve"> 2003b: 2367f; siehe auch Fußnote </w:t>
      </w:r>
      <w:r w:rsidR="005D7996">
        <w:rPr>
          <w:szCs w:val="17"/>
        </w:rPr>
        <w:fldChar w:fldCharType="begin"/>
      </w:r>
      <w:r>
        <w:rPr>
          <w:szCs w:val="17"/>
        </w:rPr>
        <w:instrText xml:space="preserve"> NOTEREF _Ref324749962 \h </w:instrText>
      </w:r>
      <w:r w:rsidR="005D7996">
        <w:rPr>
          <w:szCs w:val="17"/>
        </w:rPr>
      </w:r>
      <w:r w:rsidR="005D7996">
        <w:rPr>
          <w:szCs w:val="17"/>
        </w:rPr>
        <w:fldChar w:fldCharType="separate"/>
      </w:r>
      <w:r w:rsidR="001231D3">
        <w:rPr>
          <w:szCs w:val="17"/>
        </w:rPr>
        <w:t>551</w:t>
      </w:r>
      <w:r w:rsidR="005D7996">
        <w:rPr>
          <w:szCs w:val="17"/>
        </w:rPr>
        <w:fldChar w:fldCharType="end"/>
      </w:r>
      <w:r>
        <w:rPr>
          <w:szCs w:val="17"/>
        </w:rPr>
        <w:t>.</w:t>
      </w:r>
    </w:p>
  </w:footnote>
  <w:footnote w:id="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2003b: 2366ff.</w:t>
      </w:r>
    </w:p>
  </w:footnote>
  <w:footnote w:id="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1997a: 11ff, Pelc 1997: 636 und Posner 2003b: 2357ff und 2367.</w:t>
      </w:r>
    </w:p>
  </w:footnote>
  <w:footnote w:id="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Bezeichnungen „Stilforschung</w:t>
      </w:r>
      <w:r w:rsidR="005D7996">
        <w:rPr>
          <w:szCs w:val="17"/>
        </w:rPr>
        <w:fldChar w:fldCharType="begin"/>
      </w:r>
      <w:r>
        <w:instrText xml:space="preserve"> XE "</w:instrText>
      </w:r>
      <w:r w:rsidRPr="0078486D">
        <w:instrText>Stilforschung</w:instrText>
      </w:r>
      <w:r>
        <w:instrText xml:space="preserve">" </w:instrText>
      </w:r>
      <w:r w:rsidR="005D7996">
        <w:rPr>
          <w:szCs w:val="17"/>
        </w:rPr>
        <w:fldChar w:fldCharType="end"/>
      </w:r>
      <w:r w:rsidRPr="00156980">
        <w:rPr>
          <w:szCs w:val="17"/>
        </w:rPr>
        <w:t>“ und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werden hier synonym für die Wisse</w:t>
      </w:r>
      <w:r w:rsidRPr="00156980">
        <w:rPr>
          <w:szCs w:val="17"/>
        </w:rPr>
        <w:t>n</w:t>
      </w:r>
      <w:r w:rsidRPr="00156980">
        <w:rPr>
          <w:szCs w:val="17"/>
        </w:rPr>
        <w:t>schaft verwendet, die sich mit Stil beschäftigt. Davon ist die „Stilanalyse“ zu untersche</w:t>
      </w:r>
      <w:r w:rsidRPr="00156980">
        <w:rPr>
          <w:szCs w:val="17"/>
        </w:rPr>
        <w:t>i</w:t>
      </w:r>
      <w:r w:rsidRPr="00156980">
        <w:rPr>
          <w:szCs w:val="17"/>
        </w:rPr>
        <w:t xml:space="preserve">den; vgl. Abschnitt </w:t>
      </w:r>
      <w:fldSimple w:instr=" REF _Ref267825153 \r \h  \* MERGEFORMAT ">
        <w:r w:rsidR="001231D3" w:rsidRPr="001231D3">
          <w:rPr>
            <w:szCs w:val="17"/>
          </w:rPr>
          <w:t>9.3</w:t>
        </w:r>
      </w:fldSimple>
      <w:r w:rsidRPr="00156980">
        <w:rPr>
          <w:szCs w:val="17"/>
        </w:rPr>
        <w:t>.</w:t>
      </w:r>
    </w:p>
  </w:footnote>
  <w:footnote w:id="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Krampen 1997.</w:t>
      </w:r>
    </w:p>
  </w:footnote>
  <w:footnote w:id="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Balzer 1997.</w:t>
      </w:r>
    </w:p>
  </w:footnote>
  <w:footnote w:id="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 Ausnahmen Fußnote </w:t>
      </w:r>
      <w:fldSimple w:instr=" NOTEREF _Ref274051977 \h  \* MERGEFORMAT ">
        <w:r w:rsidR="001231D3" w:rsidRPr="001231D3">
          <w:rPr>
            <w:szCs w:val="17"/>
          </w:rPr>
          <w:t>150</w:t>
        </w:r>
      </w:fldSimple>
      <w:r w:rsidRPr="00156980">
        <w:rPr>
          <w:szCs w:val="17"/>
        </w:rPr>
        <w:t>.</w:t>
      </w:r>
    </w:p>
  </w:footnote>
  <w:footnote w:id="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Verwendungsweise von „Bereich“ Fußnote </w:t>
      </w:r>
      <w:fldSimple w:instr=" NOTEREF _Ref267837366 \h  \* MERGEFORMAT ">
        <w:r w:rsidR="001231D3" w:rsidRPr="001231D3">
          <w:rPr>
            <w:szCs w:val="17"/>
          </w:rPr>
          <w:t>10</w:t>
        </w:r>
      </w:fldSimple>
      <w:r w:rsidRPr="00156980">
        <w:rPr>
          <w:szCs w:val="17"/>
        </w:rPr>
        <w:t>.</w:t>
      </w:r>
    </w:p>
  </w:footnote>
  <w:footnote w:id="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 Anschlussmöglichkeiten zu den bereichsspezifischen Stiltheorien Abschnitt </w:t>
      </w:r>
      <w:fldSimple w:instr=" REF _Ref254783670 \r \h  \* MERGEFORMAT ">
        <w:r w:rsidR="001231D3" w:rsidRPr="001231D3">
          <w:rPr>
            <w:szCs w:val="17"/>
          </w:rPr>
          <w:t>8.1</w:t>
        </w:r>
      </w:fldSimple>
      <w:r w:rsidRPr="00156980">
        <w:rPr>
          <w:szCs w:val="17"/>
        </w:rPr>
        <w:t>.</w:t>
      </w:r>
    </w:p>
  </w:footnote>
  <w:footnote w:id="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Unter „Phänomen“ wird in dieser Arbeit eine abgrenzbare Erscheinung verstanden, die empirisch feststellbare Konsequenzen hat.</w:t>
      </w:r>
    </w:p>
  </w:footnote>
  <w:footnote w:id="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Gegensatz zum fachsprachlichen Begriff, der eine Definition besitzt, die als seine Intension</w:t>
      </w:r>
      <w:r w:rsidR="005D7996">
        <w:rPr>
          <w:szCs w:val="17"/>
        </w:rPr>
        <w:fldChar w:fldCharType="begin"/>
      </w:r>
      <w:r>
        <w:instrText xml:space="preserve"> XE "</w:instrText>
      </w:r>
      <w:r w:rsidRPr="0018783F">
        <w:instrText>Intension</w:instrText>
      </w:r>
      <w:r>
        <w:instrText xml:space="preserve">" </w:instrText>
      </w:r>
      <w:r w:rsidR="005D7996">
        <w:rPr>
          <w:szCs w:val="17"/>
        </w:rPr>
        <w:fldChar w:fldCharType="end"/>
      </w:r>
      <w:r w:rsidRPr="00156980">
        <w:rPr>
          <w:szCs w:val="17"/>
        </w:rPr>
        <w:t xml:space="preserve"> fungiert und seine Extension</w:t>
      </w:r>
      <w:r w:rsidR="005D7996">
        <w:rPr>
          <w:szCs w:val="17"/>
        </w:rPr>
        <w:fldChar w:fldCharType="begin"/>
      </w:r>
      <w:r>
        <w:instrText xml:space="preserve"> XE "</w:instrText>
      </w:r>
      <w:r w:rsidRPr="0018783F">
        <w:instrText>Extension</w:instrText>
      </w:r>
      <w:r>
        <w:instrText xml:space="preserve">" </w:instrText>
      </w:r>
      <w:r w:rsidR="005D7996">
        <w:rPr>
          <w:szCs w:val="17"/>
        </w:rPr>
        <w:fldChar w:fldCharType="end"/>
      </w:r>
      <w:r w:rsidRPr="00156980">
        <w:rPr>
          <w:szCs w:val="17"/>
        </w:rPr>
        <w:t xml:space="preserve"> (im Idealfall) präzise und für den Benutzer tran</w:t>
      </w:r>
      <w:r w:rsidRPr="00156980">
        <w:rPr>
          <w:szCs w:val="17"/>
        </w:rPr>
        <w:t>s</w:t>
      </w:r>
      <w:r w:rsidRPr="00156980">
        <w:rPr>
          <w:szCs w:val="17"/>
        </w:rPr>
        <w:t>parent festlegt, ist der natürlichsprachliche Begriff</w:t>
      </w:r>
      <w:r w:rsidR="005D7996">
        <w:rPr>
          <w:szCs w:val="17"/>
        </w:rPr>
        <w:fldChar w:fldCharType="begin"/>
      </w:r>
      <w:r>
        <w:instrText xml:space="preserve"> XE "</w:instrText>
      </w:r>
      <w:r w:rsidRPr="00D659CD">
        <w:instrText>Begriff, natürlichsprachlicher</w:instrText>
      </w:r>
      <w:r>
        <w:instrText xml:space="preserve">" </w:instrText>
      </w:r>
      <w:r w:rsidR="005D7996">
        <w:rPr>
          <w:szCs w:val="17"/>
        </w:rPr>
        <w:fldChar w:fldCharType="end"/>
      </w:r>
      <w:r w:rsidRPr="00156980">
        <w:rPr>
          <w:szCs w:val="17"/>
        </w:rPr>
        <w:t xml:space="preserve"> nicht definiert. Seine Funktionsweise hat Frege untersucht (vgl. Frege 1892</w:t>
      </w:r>
      <w:r>
        <w:rPr>
          <w:szCs w:val="17"/>
        </w:rPr>
        <w:t>=1990</w:t>
      </w:r>
      <w:r w:rsidRPr="00156980">
        <w:rPr>
          <w:szCs w:val="17"/>
        </w:rPr>
        <w:t>); eine kurze Erläuterung aus der Sicht der modelltheoretischen Semantik</w:t>
      </w:r>
      <w:r w:rsidR="005D7996">
        <w:rPr>
          <w:szCs w:val="17"/>
        </w:rPr>
        <w:fldChar w:fldCharType="begin"/>
      </w:r>
      <w:r>
        <w:instrText xml:space="preserve"> XE "</w:instrText>
      </w:r>
      <w:r w:rsidRPr="001A70AD">
        <w:rPr>
          <w:rFonts w:eastAsia="Times New Roman" w:cs="Times New Roman"/>
        </w:rPr>
        <w:instrText>Semantik</w:instrText>
      </w:r>
      <w:r>
        <w:rPr>
          <w:rFonts w:eastAsia="Times New Roman" w:cs="Times New Roman"/>
        </w:rPr>
        <w:instrText>:modelltheoretische</w:instrText>
      </w:r>
      <w:r>
        <w:instrText xml:space="preserve">" </w:instrText>
      </w:r>
      <w:r w:rsidR="005D7996">
        <w:rPr>
          <w:szCs w:val="17"/>
        </w:rPr>
        <w:fldChar w:fldCharType="end"/>
      </w:r>
      <w:r w:rsidRPr="00156980">
        <w:rPr>
          <w:szCs w:val="17"/>
        </w:rPr>
        <w:t xml:space="preserve"> gibt Robering 1997: 104.</w:t>
      </w:r>
    </w:p>
  </w:footnote>
  <w:footnote w:id="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Darstellungen zur Begriffsgeschichte bieten für die </w:t>
      </w:r>
      <w:r>
        <w:rPr>
          <w:szCs w:val="17"/>
        </w:rPr>
        <w:t xml:space="preserve">linguistische </w:t>
      </w:r>
      <w:r w:rsidRPr="00156980">
        <w:rPr>
          <w:szCs w:val="17"/>
        </w:rPr>
        <w:t>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xml:space="preserve"> Müller 1981, Gumbrecht 1986 und Heinz 1986, für die kunstwissenschaftliche Stilistik</w:t>
      </w:r>
      <w:r w:rsidR="005D7996">
        <w:rPr>
          <w:szCs w:val="17"/>
        </w:rPr>
        <w:fldChar w:fldCharType="begin"/>
      </w:r>
      <w:r>
        <w:instrText xml:space="preserve"> XE "</w:instrText>
      </w:r>
      <w:r w:rsidRPr="00207BA3">
        <w:rPr>
          <w:szCs w:val="17"/>
        </w:rPr>
        <w:instrText>Kunstwissenschaft</w:instrText>
      </w:r>
      <w:r>
        <w:instrText xml:space="preserve">" </w:instrText>
      </w:r>
      <w:r w:rsidR="005D7996">
        <w:rPr>
          <w:szCs w:val="17"/>
        </w:rPr>
        <w:fldChar w:fldCharType="end"/>
      </w:r>
      <w:r w:rsidRPr="00156980">
        <w:rPr>
          <w:szCs w:val="17"/>
        </w:rPr>
        <w:t xml:space="preserve"> Panofsky 1924, Gombrich 1985, Pfisterer 2002: Kap. 2 und Carqué 2004: 117-153. Das zweibändige Handbuch der HSK-Reihe bietet theoriegeschichtliche Artikel (Fix u.a. 2008–2009, Bd. 1: Art. 1 bis 14) sowie Artikel zu den Gegenwartsströmungen der Stilistik (ebd.: Art. 59 bis 66).</w:t>
      </w:r>
    </w:p>
  </w:footnote>
  <w:footnote w:id="23">
    <w:p w:rsidR="00CC3558" w:rsidRDefault="00CC3558">
      <w:pPr>
        <w:pStyle w:val="Funotentext"/>
      </w:pPr>
      <w:r>
        <w:rPr>
          <w:rStyle w:val="Funotenzeichen"/>
        </w:rPr>
        <w:footnoteRef/>
      </w:r>
      <w:r>
        <w:t xml:space="preserve"> </w:t>
      </w:r>
      <w:r>
        <w:tab/>
        <w:t>Einer gebräuchlichen Konvention der Semiotik zufolge werden sprachliche Ausdrücke mit doppelten Anführungszeichen</w:t>
      </w:r>
      <w:r w:rsidR="005D7996">
        <w:fldChar w:fldCharType="begin"/>
      </w:r>
      <w:r>
        <w:instrText xml:space="preserve"> XE "</w:instrText>
      </w:r>
      <w:r w:rsidRPr="00DD2E3B">
        <w:instrText>Anführungszeichen (Verwendungsweise)</w:instrText>
      </w:r>
      <w:r>
        <w:instrText xml:space="preserve">:Konvention in der Semiotik" </w:instrText>
      </w:r>
      <w:r w:rsidR="005D7996">
        <w:fldChar w:fldCharType="end"/>
      </w:r>
      <w:r>
        <w:t xml:space="preserve"> und sprachliche Inhalte mit einfachen Anführungsze</w:t>
      </w:r>
      <w:r>
        <w:t>i</w:t>
      </w:r>
      <w:r>
        <w:t>chen</w:t>
      </w:r>
      <w:r w:rsidR="005D7996">
        <w:fldChar w:fldCharType="begin"/>
      </w:r>
      <w:r>
        <w:instrText xml:space="preserve"> XE "</w:instrText>
      </w:r>
      <w:r w:rsidRPr="00DD2E3B">
        <w:instrText>Anführungszeichen (Verwendungsweise)</w:instrText>
      </w:r>
      <w:r>
        <w:instrText xml:space="preserve">" </w:instrText>
      </w:r>
      <w:r w:rsidR="005D7996">
        <w:fldChar w:fldCharType="end"/>
      </w:r>
      <w:r>
        <w:t xml:space="preserve"> angeführt. Das Wort „Stil“ hat also den Inhalt ‚Stil‘. (Da dies ein konventiona</w:t>
      </w:r>
      <w:r>
        <w:softHyphen/>
        <w:t xml:space="preserve">lisierter Zeicheninhalt ist, wird er auch „Bedeutung“ genannt; vgl. Fußnote </w:t>
      </w:r>
      <w:r w:rsidR="005D7996">
        <w:fldChar w:fldCharType="begin"/>
      </w:r>
      <w:r>
        <w:instrText xml:space="preserve"> NOTEREF _Ref324958234 \h </w:instrText>
      </w:r>
      <w:r w:rsidR="005D7996">
        <w:fldChar w:fldCharType="separate"/>
      </w:r>
      <w:r w:rsidR="001231D3">
        <w:t>109</w:t>
      </w:r>
      <w:r w:rsidR="005D7996">
        <w:fldChar w:fldCharType="end"/>
      </w:r>
      <w:r>
        <w:t>.) Spr</w:t>
      </w:r>
      <w:r>
        <w:t>e</w:t>
      </w:r>
      <w:r>
        <w:t>chen wir vom Phänomen Stil, dann handelt es sich um eine gewöhnliche Verwendung des Worts (das mittels seines Inhalts, eines natürlichsprachlichen Begriffs, auf das Phänomen referiert</w:t>
      </w:r>
      <w:r w:rsidR="005D7996">
        <w:fldChar w:fldCharType="begin"/>
      </w:r>
      <w:r>
        <w:instrText xml:space="preserve"> XE "</w:instrText>
      </w:r>
      <w:r w:rsidRPr="00AB2AF0">
        <w:instrText>Referenz</w:instrText>
      </w:r>
      <w:r>
        <w:instrText xml:space="preserve">" </w:instrText>
      </w:r>
      <w:r w:rsidR="005D7996">
        <w:fldChar w:fldCharType="end"/>
      </w:r>
      <w:r>
        <w:t>).</w:t>
      </w:r>
    </w:p>
    <w:p w:rsidR="00CC3558" w:rsidRDefault="00CC3558">
      <w:pPr>
        <w:pStyle w:val="Funotentext"/>
      </w:pPr>
      <w:r>
        <w:tab/>
        <w:t>Im Text finden sich somit drei verschiedene Schreibweisen, die wie folgt zu lesen sind: „Stil“ = das Wort „Stil“; ‚Stil‘ = Inhalt des Wortes „Stil“, ein natürlichsprachlicher B</w:t>
      </w:r>
      <w:r>
        <w:t>e</w:t>
      </w:r>
      <w:r>
        <w:t>griff; Stil = das Phänomen Stil.</w:t>
      </w:r>
    </w:p>
  </w:footnote>
  <w:footnote w:id="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Carnap</w:t>
      </w:r>
      <w:r w:rsidR="005D7996">
        <w:rPr>
          <w:szCs w:val="17"/>
        </w:rPr>
        <w:fldChar w:fldCharType="begin"/>
      </w:r>
      <w:r>
        <w:instrText xml:space="preserve"> XE "</w:instrText>
      </w:r>
      <w:r w:rsidRPr="00E41A8E">
        <w:instrText>Carnap, Rudolf</w:instrText>
      </w:r>
      <w:r>
        <w:instrText xml:space="preserve">" </w:instrText>
      </w:r>
      <w:r w:rsidR="005D7996">
        <w:rPr>
          <w:szCs w:val="17"/>
        </w:rPr>
        <w:fldChar w:fldCharType="end"/>
      </w:r>
      <w:r w:rsidRPr="00156980">
        <w:rPr>
          <w:szCs w:val="17"/>
        </w:rPr>
        <w:t xml:space="preserve"> 1959b: 12.</w:t>
      </w:r>
    </w:p>
  </w:footnote>
  <w:footnote w:id="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Stachowiak 1973: 131f.</w:t>
      </w:r>
    </w:p>
  </w:footnote>
  <w:footnote w:id="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„Abbildung“ ist dabei nicht als „ikonische Repräsentation</w:t>
      </w:r>
      <w:r w:rsidR="005D7996">
        <w:rPr>
          <w:szCs w:val="17"/>
        </w:rPr>
        <w:fldChar w:fldCharType="begin"/>
      </w:r>
      <w:r>
        <w:instrText xml:space="preserve"> XE "</w:instrText>
      </w:r>
      <w:r w:rsidRPr="00B53DEA">
        <w:rPr>
          <w:szCs w:val="17"/>
        </w:rPr>
        <w:instrText>Ikon (Peirce)</w:instrText>
      </w:r>
      <w:r>
        <w:instrText xml:space="preserve">" </w:instrText>
      </w:r>
      <w:r w:rsidR="005D7996">
        <w:rPr>
          <w:szCs w:val="17"/>
        </w:rPr>
        <w:fldChar w:fldCharType="end"/>
      </w:r>
      <w:r w:rsidRPr="00156980">
        <w:rPr>
          <w:szCs w:val="17"/>
        </w:rPr>
        <w:t>“ zu verstehen. Modelle können ja sehr unterschiedliche Formen annehmen und von logischen Formalisierungen</w:t>
      </w:r>
      <w:r w:rsidR="005D7996">
        <w:rPr>
          <w:szCs w:val="17"/>
        </w:rPr>
        <w:fldChar w:fldCharType="begin"/>
      </w:r>
      <w:r>
        <w:instrText xml:space="preserve"> XE "</w:instrText>
      </w:r>
      <w:r w:rsidRPr="003964B8">
        <w:rPr>
          <w:szCs w:val="17"/>
        </w:rPr>
        <w:instrText>Formalisierung</w:instrText>
      </w:r>
      <w:r>
        <w:instrText xml:space="preserve">" </w:instrText>
      </w:r>
      <w:r w:rsidR="005D7996">
        <w:rPr>
          <w:szCs w:val="17"/>
        </w:rPr>
        <w:fldChar w:fldCharType="end"/>
      </w:r>
      <w:r w:rsidRPr="00156980">
        <w:rPr>
          <w:szCs w:val="17"/>
        </w:rPr>
        <w:t xml:space="preserve"> und m</w:t>
      </w:r>
      <w:r w:rsidRPr="00156980">
        <w:rPr>
          <w:szCs w:val="17"/>
        </w:rPr>
        <w:t>a</w:t>
      </w:r>
      <w:r w:rsidRPr="00156980">
        <w:rPr>
          <w:szCs w:val="17"/>
        </w:rPr>
        <w:t>thematischen Gleichungssystemen bis zu zweidimensionalen Visualisierungen, dreid</w:t>
      </w:r>
      <w:r w:rsidRPr="00156980">
        <w:rPr>
          <w:szCs w:val="17"/>
        </w:rPr>
        <w:t>i</w:t>
      </w:r>
      <w:r w:rsidRPr="00156980">
        <w:rPr>
          <w:szCs w:val="17"/>
        </w:rPr>
        <w:t>mensionalen Modellierungen und vierdimensionalen Simulationen reichen. Gemeinsam ist ihnen die Zuordnung von Modell-Attributen zu Original-Attributen, die mit dem m</w:t>
      </w:r>
      <w:r w:rsidRPr="00156980">
        <w:rPr>
          <w:szCs w:val="17"/>
        </w:rPr>
        <w:t>a</w:t>
      </w:r>
      <w:r w:rsidRPr="00156980">
        <w:rPr>
          <w:szCs w:val="17"/>
        </w:rPr>
        <w:t>thematischen Abbildungsbegriff erfasst werden kann (Stachowiak 1973: 132).</w:t>
      </w:r>
    </w:p>
  </w:footnote>
  <w:footnote w:id="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Wolfgang Müller analysiert mit Hilfe der Toposforschung die unterschiedlichen Verwe</w:t>
      </w:r>
      <w:r w:rsidRPr="00156980">
        <w:rPr>
          <w:szCs w:val="17"/>
        </w:rPr>
        <w:t>n</w:t>
      </w:r>
      <w:r w:rsidRPr="00156980">
        <w:rPr>
          <w:szCs w:val="17"/>
        </w:rPr>
        <w:t>dungsweisen des Begriffs ‚Stil‘ (Müller 1981). Die wohl berühmtesten Topoi sind die seit Seneca belegbare Auffassung, Stil sei die Einkleidung der Seele oder des Gedankens (</w:t>
      </w:r>
      <w:r>
        <w:rPr>
          <w:szCs w:val="17"/>
        </w:rPr>
        <w:t>ebd.</w:t>
      </w:r>
      <w:r w:rsidRPr="00156980">
        <w:rPr>
          <w:szCs w:val="17"/>
        </w:rPr>
        <w:t>: 52ff), die von Samuel Wesley</w:t>
      </w:r>
      <w:r w:rsidR="005D7996">
        <w:rPr>
          <w:szCs w:val="17"/>
        </w:rPr>
        <w:fldChar w:fldCharType="begin"/>
      </w:r>
      <w:r>
        <w:instrText xml:space="preserve"> XE "</w:instrText>
      </w:r>
      <w:r w:rsidRPr="00121A9B">
        <w:rPr>
          <w:szCs w:val="17"/>
        </w:rPr>
        <w:instrText>Wesley, Samuel</w:instrText>
      </w:r>
      <w:r>
        <w:instrText xml:space="preserve">" </w:instrText>
      </w:r>
      <w:r w:rsidR="005D7996">
        <w:rPr>
          <w:szCs w:val="17"/>
        </w:rPr>
        <w:fldChar w:fldCharType="end"/>
      </w:r>
      <w:r w:rsidRPr="00156980">
        <w:rPr>
          <w:szCs w:val="17"/>
        </w:rPr>
        <w:t xml:space="preserve"> in die berühmten Worte „Style is the dress of thought</w:t>
      </w:r>
      <w:r w:rsidR="005D7996">
        <w:rPr>
          <w:szCs w:val="17"/>
        </w:rPr>
        <w:fldChar w:fldCharType="begin"/>
      </w:r>
      <w:r>
        <w:instrText xml:space="preserve"> XE "</w:instrText>
      </w:r>
      <w:r w:rsidRPr="00AF136D">
        <w:instrText>dress of thought (Wesley)</w:instrText>
      </w:r>
      <w:r>
        <w:instrText xml:space="preserve">" </w:instrText>
      </w:r>
      <w:r w:rsidR="005D7996">
        <w:rPr>
          <w:szCs w:val="17"/>
        </w:rPr>
        <w:fldChar w:fldCharType="end"/>
      </w:r>
      <w:r w:rsidRPr="00156980">
        <w:rPr>
          <w:szCs w:val="17"/>
        </w:rPr>
        <w:t>“ g</w:t>
      </w:r>
      <w:r w:rsidRPr="00156980">
        <w:rPr>
          <w:szCs w:val="17"/>
        </w:rPr>
        <w:t>e</w:t>
      </w:r>
      <w:r w:rsidRPr="00156980">
        <w:rPr>
          <w:szCs w:val="17"/>
        </w:rPr>
        <w:t>fasst wurden (Wesley</w:t>
      </w:r>
      <w:r w:rsidR="005D7996">
        <w:rPr>
          <w:szCs w:val="17"/>
        </w:rPr>
        <w:fldChar w:fldCharType="begin"/>
      </w:r>
      <w:r>
        <w:instrText xml:space="preserve"> XE "</w:instrText>
      </w:r>
      <w:r w:rsidRPr="00121A9B">
        <w:rPr>
          <w:szCs w:val="17"/>
        </w:rPr>
        <w:instrText>Wesley, Samuel</w:instrText>
      </w:r>
      <w:r>
        <w:instrText xml:space="preserve">" </w:instrText>
      </w:r>
      <w:r w:rsidR="005D7996">
        <w:rPr>
          <w:szCs w:val="17"/>
        </w:rPr>
        <w:fldChar w:fldCharType="end"/>
      </w:r>
      <w:r w:rsidRPr="00156980">
        <w:rPr>
          <w:szCs w:val="17"/>
        </w:rPr>
        <w:t xml:space="preserve"> 1700; bei Pope</w:t>
      </w:r>
      <w:r w:rsidR="005D7996">
        <w:rPr>
          <w:szCs w:val="17"/>
        </w:rPr>
        <w:fldChar w:fldCharType="begin"/>
      </w:r>
      <w:r>
        <w:instrText xml:space="preserve"> XE "</w:instrText>
      </w:r>
      <w:r w:rsidRPr="0049189D">
        <w:rPr>
          <w:szCs w:val="17"/>
        </w:rPr>
        <w:instrText>Pope, Alexander</w:instrText>
      </w:r>
      <w:r>
        <w:instrText xml:space="preserve">" </w:instrText>
      </w:r>
      <w:r w:rsidR="005D7996">
        <w:rPr>
          <w:szCs w:val="17"/>
        </w:rPr>
        <w:fldChar w:fldCharType="end"/>
      </w:r>
      <w:r w:rsidRPr="00156980">
        <w:rPr>
          <w:szCs w:val="17"/>
        </w:rPr>
        <w:t>, dem sie oft zugeschrieben werden, heißt es „E</w:t>
      </w:r>
      <w:r w:rsidRPr="00156980">
        <w:rPr>
          <w:szCs w:val="17"/>
        </w:rPr>
        <w:t>x</w:t>
      </w:r>
      <w:r w:rsidRPr="00156980">
        <w:rPr>
          <w:szCs w:val="17"/>
        </w:rPr>
        <w:t>pression is the dress of thought</w:t>
      </w:r>
      <w:r w:rsidR="005D7996">
        <w:rPr>
          <w:szCs w:val="17"/>
        </w:rPr>
        <w:fldChar w:fldCharType="begin"/>
      </w:r>
      <w:r>
        <w:instrText xml:space="preserve"> XE "</w:instrText>
      </w:r>
      <w:r w:rsidRPr="00AF136D">
        <w:instrText>dress of thought (Wesley)</w:instrText>
      </w:r>
      <w:r>
        <w:instrText xml:space="preserve">" </w:instrText>
      </w:r>
      <w:r w:rsidR="005D7996">
        <w:rPr>
          <w:szCs w:val="17"/>
        </w:rPr>
        <w:fldChar w:fldCharType="end"/>
      </w:r>
      <w:r w:rsidRPr="00156980">
        <w:rPr>
          <w:szCs w:val="17"/>
        </w:rPr>
        <w:t>“). Dem steht Buffons Diktum „le style est l’homme même“ (Buffon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xml:space="preserve"> 1753=1954: 503) entgegen (Müller 1981: 40ff), das allerdings auch schon Vorläufer in der Betonung der Individualität des Stils hat (etwa bei Cicero; vgl. Göttert u.a. 2004: 66). Den von diesen Topoi ausgedrückten Auffassungen lassen sich viele der seitdem entstandenen Stiltheorien zuordnen (</w:t>
      </w:r>
      <w:r>
        <w:rPr>
          <w:szCs w:val="17"/>
        </w:rPr>
        <w:t>Müller 1981</w:t>
      </w:r>
      <w:r w:rsidRPr="00156980">
        <w:rPr>
          <w:szCs w:val="17"/>
        </w:rPr>
        <w:t xml:space="preserve">: 176ff; vgl. auch Fußnote </w:t>
      </w:r>
      <w:fldSimple w:instr=" NOTEREF _Ref271312043 \h  \* MERGEFORMAT ">
        <w:r w:rsidR="001231D3" w:rsidRPr="001231D3">
          <w:rPr>
            <w:szCs w:val="17"/>
          </w:rPr>
          <w:t>59</w:t>
        </w:r>
      </w:fldSimple>
      <w:r w:rsidRPr="00156980">
        <w:rPr>
          <w:szCs w:val="17"/>
        </w:rPr>
        <w:t>).</w:t>
      </w:r>
    </w:p>
  </w:footnote>
  <w:footnote w:id="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Heinz 1986: 22ff.</w:t>
      </w:r>
    </w:p>
  </w:footnote>
  <w:footnote w:id="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Beispiele hierfür werden in Fußnote </w:t>
      </w:r>
      <w:fldSimple w:instr=" NOTEREF _Ref273226923 \h  \* MERGEFORMAT ">
        <w:r w:rsidR="001231D3" w:rsidRPr="001231D3">
          <w:rPr>
            <w:szCs w:val="17"/>
          </w:rPr>
          <w:t>140</w:t>
        </w:r>
      </w:fldSimple>
      <w:r w:rsidRPr="00156980">
        <w:rPr>
          <w:szCs w:val="17"/>
        </w:rPr>
        <w:t xml:space="preserve"> gegeben.</w:t>
      </w:r>
    </w:p>
  </w:footnote>
  <w:footnote w:id="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Abschnitt </w:t>
      </w:r>
      <w:fldSimple w:instr=" REF _Ref264378576 \r \h  \* MERGEFORMAT ">
        <w:r w:rsidR="001231D3" w:rsidRPr="001231D3">
          <w:rPr>
            <w:szCs w:val="17"/>
          </w:rPr>
          <w:t>2.2</w:t>
        </w:r>
      </w:fldSimple>
      <w:r w:rsidRPr="00156980">
        <w:rPr>
          <w:szCs w:val="17"/>
        </w:rPr>
        <w:t xml:space="preserve"> werden Beispiele für Fälle gegeben, die unter viele Stildefinitionen fallen würden. Die Analysen der betreffenden Stiltheoretiker zeigen jedoch keine Tendenz, so</w:t>
      </w:r>
      <w:r w:rsidRPr="00156980">
        <w:rPr>
          <w:szCs w:val="17"/>
        </w:rPr>
        <w:t>l</w:t>
      </w:r>
      <w:r w:rsidRPr="00156980">
        <w:rPr>
          <w:szCs w:val="17"/>
        </w:rPr>
        <w:t>che oder ähnliche Fälle einzuschließen. Die Extension</w:t>
      </w:r>
      <w:r w:rsidR="005D7996">
        <w:rPr>
          <w:szCs w:val="17"/>
        </w:rPr>
        <w:fldChar w:fldCharType="begin"/>
      </w:r>
      <w:r>
        <w:instrText xml:space="preserve"> XE "</w:instrText>
      </w:r>
      <w:r w:rsidRPr="0018783F">
        <w:instrText>Extension</w:instrText>
      </w:r>
      <w:r>
        <w:instrText xml:space="preserve">" </w:instrText>
      </w:r>
      <w:r w:rsidR="005D7996">
        <w:rPr>
          <w:szCs w:val="17"/>
        </w:rPr>
        <w:fldChar w:fldCharType="end"/>
      </w:r>
      <w:r w:rsidRPr="00156980">
        <w:rPr>
          <w:szCs w:val="17"/>
        </w:rPr>
        <w:t xml:space="preserve"> des verwendeten Begriffs passt in diesen Fällen nicht zur explizit angegebenen Intension</w:t>
      </w:r>
      <w:r w:rsidR="005D7996">
        <w:rPr>
          <w:szCs w:val="17"/>
        </w:rPr>
        <w:fldChar w:fldCharType="begin"/>
      </w:r>
      <w:r>
        <w:instrText xml:space="preserve"> XE "</w:instrText>
      </w:r>
      <w:r w:rsidRPr="0018783F">
        <w:instrText>Intension</w:instrText>
      </w:r>
      <w:r>
        <w:instrText xml:space="preserve">" </w:instrText>
      </w:r>
      <w:r w:rsidR="005D7996">
        <w:rPr>
          <w:szCs w:val="17"/>
        </w:rPr>
        <w:fldChar w:fldCharType="end"/>
      </w:r>
      <w:r w:rsidRPr="00156980">
        <w:rPr>
          <w:szCs w:val="17"/>
        </w:rPr>
        <w:t>, was auf ein intuitives Vorve</w:t>
      </w:r>
      <w:r w:rsidRPr="00156980">
        <w:rPr>
          <w:szCs w:val="17"/>
        </w:rPr>
        <w:t>r</w:t>
      </w:r>
      <w:r w:rsidRPr="00156980">
        <w:rPr>
          <w:szCs w:val="17"/>
        </w:rPr>
        <w:t>ständnis, was unter ‚Stil‘ fällt und was nicht, hinweist.</w:t>
      </w:r>
    </w:p>
  </w:footnote>
  <w:footnote w:id="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Etwa bei der Auswertung der Beispiele in den Abschnitten </w:t>
      </w:r>
      <w:fldSimple w:instr=" REF _Ref260056929 \r \h  \* MERGEFORMAT ">
        <w:r w:rsidR="001231D3" w:rsidRPr="001231D3">
          <w:rPr>
            <w:szCs w:val="17"/>
          </w:rPr>
          <w:t>2.1</w:t>
        </w:r>
      </w:fldSimple>
      <w:r w:rsidRPr="00156980">
        <w:rPr>
          <w:szCs w:val="17"/>
        </w:rPr>
        <w:t xml:space="preserve">, </w:t>
      </w:r>
      <w:fldSimple w:instr=" REF _Ref264378576 \r \h  \* MERGEFORMAT ">
        <w:r w:rsidR="001231D3" w:rsidRPr="001231D3">
          <w:rPr>
            <w:szCs w:val="17"/>
          </w:rPr>
          <w:t>2.2</w:t>
        </w:r>
      </w:fldSimple>
      <w:r w:rsidRPr="00156980">
        <w:rPr>
          <w:szCs w:val="17"/>
        </w:rPr>
        <w:t xml:space="preserve"> und</w:t>
      </w:r>
      <w:r>
        <w:rPr>
          <w:szCs w:val="17"/>
        </w:rPr>
        <w:t xml:space="preserve"> </w:t>
      </w:r>
      <w:r w:rsidR="005D7996">
        <w:rPr>
          <w:szCs w:val="17"/>
        </w:rPr>
        <w:fldChar w:fldCharType="begin"/>
      </w:r>
      <w:r>
        <w:rPr>
          <w:szCs w:val="17"/>
        </w:rPr>
        <w:instrText xml:space="preserve"> REF _Ref324924038 \r \h </w:instrText>
      </w:r>
      <w:r w:rsidR="005D7996">
        <w:rPr>
          <w:szCs w:val="17"/>
        </w:rPr>
      </w:r>
      <w:r w:rsidR="005D7996">
        <w:rPr>
          <w:szCs w:val="17"/>
        </w:rPr>
        <w:fldChar w:fldCharType="separate"/>
      </w:r>
      <w:r w:rsidR="001231D3">
        <w:rPr>
          <w:szCs w:val="17"/>
        </w:rPr>
        <w:t>2.5</w:t>
      </w:r>
      <w:r w:rsidR="005D7996">
        <w:rPr>
          <w:szCs w:val="17"/>
        </w:rPr>
        <w:fldChar w:fldCharType="end"/>
      </w:r>
      <w:r w:rsidRPr="00156980">
        <w:rPr>
          <w:szCs w:val="17"/>
        </w:rPr>
        <w:t>.</w:t>
      </w:r>
    </w:p>
  </w:footnote>
  <w:footnote w:id="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den Abschnitten </w:t>
      </w:r>
      <w:fldSimple w:instr=" REF _Ref254339704 \r \h  \* MERGEFORMAT ">
        <w:r w:rsidR="001231D3" w:rsidRPr="001231D3">
          <w:rPr>
            <w:szCs w:val="17"/>
          </w:rPr>
          <w:t>6.3</w:t>
        </w:r>
      </w:fldSimple>
      <w:r w:rsidRPr="00156980">
        <w:rPr>
          <w:szCs w:val="17"/>
        </w:rPr>
        <w:t xml:space="preserve">, </w:t>
      </w:r>
      <w:fldSimple w:instr=" REF _Ref259795418 \r \h  \* MERGEFORMAT ">
        <w:r w:rsidR="001231D3" w:rsidRPr="001231D3">
          <w:rPr>
            <w:szCs w:val="17"/>
          </w:rPr>
          <w:t>6.4</w:t>
        </w:r>
      </w:fldSimple>
      <w:r w:rsidRPr="00156980">
        <w:rPr>
          <w:szCs w:val="17"/>
        </w:rPr>
        <w:t xml:space="preserve"> und </w:t>
      </w:r>
      <w:fldSimple w:instr=" REF _Ref255407192 \r \h  \* MERGEFORMAT ">
        <w:r w:rsidR="001231D3" w:rsidRPr="001231D3">
          <w:rPr>
            <w:szCs w:val="17"/>
          </w:rPr>
          <w:t>7.1</w:t>
        </w:r>
      </w:fldSimple>
      <w:r w:rsidRPr="00156980">
        <w:rPr>
          <w:szCs w:val="17"/>
        </w:rPr>
        <w:t>.</w:t>
      </w:r>
    </w:p>
  </w:footnote>
  <w:footnote w:id="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Zur Formalisierung</w:t>
      </w:r>
      <w:r w:rsidR="005D7996">
        <w:rPr>
          <w:szCs w:val="17"/>
        </w:rPr>
        <w:fldChar w:fldCharType="begin"/>
      </w:r>
      <w:r>
        <w:instrText xml:space="preserve"> XE "</w:instrText>
      </w:r>
      <w:r w:rsidRPr="00815262">
        <w:instrText>Formalisierung</w:instrText>
      </w:r>
      <w:r>
        <w:instrText xml:space="preserve">" </w:instrText>
      </w:r>
      <w:r w:rsidR="005D7996">
        <w:rPr>
          <w:szCs w:val="17"/>
        </w:rPr>
        <w:fldChar w:fldCharType="end"/>
      </w:r>
      <w:r w:rsidRPr="00156980">
        <w:rPr>
          <w:szCs w:val="17"/>
        </w:rPr>
        <w:t xml:space="preserve"> wissenschaftlicher Theorien siehe grundlegend Carnap</w:t>
      </w:r>
      <w:r w:rsidR="005D7996">
        <w:rPr>
          <w:szCs w:val="17"/>
        </w:rPr>
        <w:fldChar w:fldCharType="begin"/>
      </w:r>
      <w:r>
        <w:instrText xml:space="preserve"> XE "</w:instrText>
      </w:r>
      <w:r w:rsidRPr="00E41A8E">
        <w:instrText>Carnap, Rudolf</w:instrText>
      </w:r>
      <w:r>
        <w:instrText xml:space="preserve">" </w:instrText>
      </w:r>
      <w:r w:rsidR="005D7996">
        <w:rPr>
          <w:szCs w:val="17"/>
        </w:rPr>
        <w:fldChar w:fldCharType="end"/>
      </w:r>
      <w:r w:rsidRPr="00156980">
        <w:rPr>
          <w:szCs w:val="17"/>
        </w:rPr>
        <w:t xml:space="preserve"> 1934 und 1959a, einen Übersicht zur historischen Entwicklung des Formalisierungsgedankens gibt Krämer 1988, für eine semiotische Perspektive vgl. Pelc 1997: 621 und Robering 2003: 2380ff.</w:t>
      </w:r>
    </w:p>
  </w:footnote>
  <w:footnote w:id="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Ziegler 1972: 10.</w:t>
      </w:r>
    </w:p>
  </w:footnote>
  <w:footnote w:id="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Montague 1970 und 1973 (auch in Montague 1974, Kap. 7 und Kap. 8). Diese Artikel sind sehr komprimiert; eine ausführlichere Darstellung der Theorie bietet Link 1979.</w:t>
      </w:r>
    </w:p>
  </w:footnote>
  <w:footnote w:id="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wird auch in dem erwähnten Buch von Ziegler deutlich: Es zeigt sich die Tendenz, Probleme wie beispielsweise den Rüstungswettlauf im Kalten Krieg (Ziegler 1972: 84ff, die Formalisierung</w:t>
      </w:r>
      <w:r w:rsidR="005D7996">
        <w:rPr>
          <w:szCs w:val="17"/>
        </w:rPr>
        <w:fldChar w:fldCharType="begin"/>
      </w:r>
      <w:r>
        <w:instrText xml:space="preserve"> XE "</w:instrText>
      </w:r>
      <w:r w:rsidRPr="00815262">
        <w:instrText>Formalisierung</w:instrText>
      </w:r>
      <w:r>
        <w:instrText xml:space="preserve">" </w:instrText>
      </w:r>
      <w:r w:rsidR="005D7996">
        <w:rPr>
          <w:szCs w:val="17"/>
        </w:rPr>
        <w:fldChar w:fldCharType="end"/>
      </w:r>
      <w:r w:rsidRPr="00156980">
        <w:rPr>
          <w:szCs w:val="17"/>
        </w:rPr>
        <w:t xml:space="preserve"> stammt aus Richardson 1960) oder der Zusammenhang zwischen I</w:t>
      </w:r>
      <w:r w:rsidRPr="00156980">
        <w:rPr>
          <w:szCs w:val="17"/>
        </w:rPr>
        <w:t>n</w:t>
      </w:r>
      <w:r w:rsidRPr="00156980">
        <w:rPr>
          <w:szCs w:val="17"/>
        </w:rPr>
        <w:t>teraktion und Sympathie bei Individuen in Gruppen (</w:t>
      </w:r>
      <w:r>
        <w:rPr>
          <w:szCs w:val="17"/>
        </w:rPr>
        <w:t>Ziegler 1972</w:t>
      </w:r>
      <w:r w:rsidRPr="00156980">
        <w:rPr>
          <w:szCs w:val="17"/>
        </w:rPr>
        <w:t>: 207ff, die Formalisi</w:t>
      </w:r>
      <w:r w:rsidRPr="00156980">
        <w:rPr>
          <w:szCs w:val="17"/>
        </w:rPr>
        <w:t>e</w:t>
      </w:r>
      <w:r w:rsidRPr="00156980">
        <w:rPr>
          <w:szCs w:val="17"/>
        </w:rPr>
        <w:t>rung stammt aus Simon 1952) auf Gleichungssysteme zu reduzieren. Dies führt jedoch nur dann zu befriedigenden Ergebnissen, wenn das Verhalten eines Systems sich auf Var</w:t>
      </w:r>
      <w:r w:rsidRPr="00156980">
        <w:rPr>
          <w:szCs w:val="17"/>
        </w:rPr>
        <w:t>i</w:t>
      </w:r>
      <w:r w:rsidRPr="00156980">
        <w:rPr>
          <w:szCs w:val="17"/>
        </w:rPr>
        <w:t>ablen reduzieren lässt, deren Interaktion in quantitative Beziehungen übertragen werden kann, die qualitativen Aussagen zugeordnet werden können (</w:t>
      </w:r>
      <w:r>
        <w:rPr>
          <w:szCs w:val="17"/>
        </w:rPr>
        <w:t xml:space="preserve">Ziegler 1972: </w:t>
      </w:r>
      <w:r w:rsidRPr="00156980">
        <w:rPr>
          <w:szCs w:val="17"/>
        </w:rPr>
        <w:t>207ff). Form</w:t>
      </w:r>
      <w:r w:rsidRPr="00156980">
        <w:rPr>
          <w:szCs w:val="17"/>
        </w:rPr>
        <w:t>a</w:t>
      </w:r>
      <w:r w:rsidRPr="00156980">
        <w:rPr>
          <w:szCs w:val="17"/>
        </w:rPr>
        <w:t>lisierungen mit Hilfe von Logikkalkülen, die bei Ziegler nicht behandelt werden, haben ähnliche Probleme: Sie müssen das untersuchte System</w:t>
      </w:r>
      <w:r w:rsidR="005D7996">
        <w:rPr>
          <w:szCs w:val="17"/>
        </w:rPr>
        <w:fldChar w:fldCharType="begin"/>
      </w:r>
      <w:r>
        <w:instrText xml:space="preserve"> XE "</w:instrText>
      </w:r>
      <w:r w:rsidRPr="009C4EB7">
        <w:instrText>System</w:instrText>
      </w:r>
      <w:r>
        <w:instrText xml:space="preserve">" </w:instrText>
      </w:r>
      <w:r w:rsidR="005D7996">
        <w:rPr>
          <w:szCs w:val="17"/>
        </w:rPr>
        <w:fldChar w:fldCharType="end"/>
      </w:r>
      <w:r w:rsidRPr="00156980">
        <w:rPr>
          <w:szCs w:val="17"/>
        </w:rPr>
        <w:t xml:space="preserve"> in eine Reihe von logischen Au</w:t>
      </w:r>
      <w:r w:rsidRPr="00156980">
        <w:rPr>
          <w:szCs w:val="17"/>
        </w:rPr>
        <w:t>s</w:t>
      </w:r>
      <w:r w:rsidRPr="00156980">
        <w:rPr>
          <w:szCs w:val="17"/>
        </w:rPr>
        <w:t>sagen zerlegen.</w:t>
      </w:r>
    </w:p>
  </w:footnote>
  <w:footnote w:id="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Modellierungen dynamischer Prozesse sind längst an der Tagesordnung, sie sind jedoch meist quantitativ (vgl. etwa Troitzsch 1995). Zur qualitativen Simulation siehe einführend Engel u.a. 1995: 51f. Auf der anderen Seite führt die Modellbildung mit Hilfe von Logi</w:t>
      </w:r>
      <w:r w:rsidRPr="00156980">
        <w:rPr>
          <w:szCs w:val="17"/>
        </w:rPr>
        <w:t>k</w:t>
      </w:r>
      <w:r w:rsidRPr="00156980">
        <w:rPr>
          <w:szCs w:val="17"/>
        </w:rPr>
        <w:t>kalkülen zu einer Darstellung, die einzelne Systemzustände und Zustandsübergänge mit Hilfe von Formeln darstellt (vgl. als Beispiel Posner 1980a). Diese Methode ist leistung</w:t>
      </w:r>
      <w:r w:rsidRPr="00156980">
        <w:rPr>
          <w:szCs w:val="17"/>
        </w:rPr>
        <w:t>s</w:t>
      </w:r>
      <w:r w:rsidRPr="00156980">
        <w:rPr>
          <w:szCs w:val="17"/>
        </w:rPr>
        <w:t>fähig, stößt aber bei komplexen dynamischen Prozessen, wie der stilistische Zeichenpr</w:t>
      </w:r>
      <w:r w:rsidRPr="00156980">
        <w:rPr>
          <w:szCs w:val="17"/>
        </w:rPr>
        <w:t>o</w:t>
      </w:r>
      <w:r w:rsidRPr="00156980">
        <w:rPr>
          <w:szCs w:val="17"/>
        </w:rPr>
        <w:t>zess es ist, an ihre Grenzen. (Zur Modellbildung in der Theorieentwicklung vgl. Sneed 1971, Stachowiak 1973, Balzer 1982, Stegmüller 1979 und 1986, zur Modellbildung in der Semiotik</w:t>
      </w:r>
      <w:r w:rsidR="005D7996">
        <w:rPr>
          <w:szCs w:val="17"/>
        </w:rPr>
        <w:fldChar w:fldCharType="begin"/>
      </w:r>
      <w:r>
        <w:instrText xml:space="preserve"> XE "</w:instrText>
      </w:r>
      <w:r w:rsidRPr="00A714E8">
        <w:instrText>Semiotik</w:instrText>
      </w:r>
      <w:r>
        <w:instrText xml:space="preserve">" </w:instrText>
      </w:r>
      <w:r w:rsidR="005D7996">
        <w:rPr>
          <w:szCs w:val="17"/>
        </w:rPr>
        <w:fldChar w:fldCharType="end"/>
      </w:r>
      <w:r w:rsidRPr="00156980">
        <w:rPr>
          <w:szCs w:val="17"/>
        </w:rPr>
        <w:t xml:space="preserve"> Krampen 1997.)</w:t>
      </w:r>
    </w:p>
  </w:footnote>
  <w:footnote w:id="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beispielsweise Abschnitt </w:t>
      </w:r>
      <w:fldSimple w:instr=" REF _Ref259267296 \r \h  \* MERGEFORMAT ">
        <w:r w:rsidR="001231D3" w:rsidRPr="001231D3">
          <w:rPr>
            <w:szCs w:val="17"/>
          </w:rPr>
          <w:t>7.3.4</w:t>
        </w:r>
      </w:fldSimple>
      <w:r w:rsidRPr="00156980">
        <w:rPr>
          <w:szCs w:val="17"/>
        </w:rPr>
        <w:t>, in dem eine solche Modifikation vorgestellt wird.</w:t>
      </w:r>
    </w:p>
  </w:footnote>
  <w:footnote w:id="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Modellierung sozialwissenschaftlicher Problemstellungen als Computersimulation ist inzwischen etabliert (vgl. Engel u.a. 1995: 54f). Computersimulationen werden jedoch gewöhnlich so programmiert, dass man sie „laufen lassen kann“; notwendige Vereinf</w:t>
      </w:r>
      <w:r w:rsidRPr="00156980">
        <w:rPr>
          <w:szCs w:val="17"/>
        </w:rPr>
        <w:t>a</w:t>
      </w:r>
      <w:r w:rsidRPr="00156980">
        <w:rPr>
          <w:szCs w:val="17"/>
        </w:rPr>
        <w:t xml:space="preserve">chungen werden dafür in Kauf genommen. Es gibt Aspekte von Stil, die man auf diese Weise simulieren kann (vgl. Tenenbaum u.a. 2000 und Freeman u.a. 2003; siehe hierzu die Erläuterung in Abschnitt </w:t>
      </w:r>
      <w:fldSimple w:instr=" REF _Ref265831830 \r \h  \* MERGEFORMAT ">
        <w:r w:rsidR="001231D3" w:rsidRPr="001231D3">
          <w:rPr>
            <w:szCs w:val="17"/>
          </w:rPr>
          <w:t>3.3</w:t>
        </w:r>
      </w:fldSimple>
      <w:r w:rsidRPr="00156980">
        <w:rPr>
          <w:szCs w:val="17"/>
        </w:rPr>
        <w:t>), für den gesamten Zeichenprozess trifft dies derzeit nicht zu: Dazu ist das Wissen über die Schemagliederung</w:t>
      </w:r>
      <w:r w:rsidR="005D7996">
        <w:rPr>
          <w:szCs w:val="17"/>
        </w:rPr>
        <w:fldChar w:fldCharType="begin"/>
      </w:r>
      <w:r>
        <w:instrText xml:space="preserve"> XE "</w:instrText>
      </w:r>
      <w:r w:rsidRPr="00311056">
        <w:instrText>Schemagliederung</w:instrText>
      </w:r>
      <w:r>
        <w:instrText xml:space="preserve">" </w:instrText>
      </w:r>
      <w:r w:rsidR="005D7996">
        <w:rPr>
          <w:szCs w:val="17"/>
        </w:rPr>
        <w:fldChar w:fldCharType="end"/>
      </w:r>
      <w:r w:rsidRPr="00156980">
        <w:rPr>
          <w:szCs w:val="17"/>
        </w:rPr>
        <w:t xml:space="preserve"> der Welt noch zu gering. Das hier vorhandene Programm ist daher keine Computersimulation, sondern eben eine Modelli</w:t>
      </w:r>
      <w:r w:rsidRPr="00156980">
        <w:rPr>
          <w:szCs w:val="17"/>
        </w:rPr>
        <w:t>e</w:t>
      </w:r>
      <w:r w:rsidRPr="00156980">
        <w:rPr>
          <w:szCs w:val="17"/>
        </w:rPr>
        <w:t>rung des Prozesses, bei der es um die Abbildungseigenschaften zum modellierten Ph</w:t>
      </w:r>
      <w:r w:rsidRPr="00156980">
        <w:rPr>
          <w:szCs w:val="17"/>
        </w:rPr>
        <w:t>ä</w:t>
      </w:r>
      <w:r w:rsidRPr="00156980">
        <w:rPr>
          <w:szCs w:val="17"/>
        </w:rPr>
        <w:t>nomen geht.</w:t>
      </w:r>
    </w:p>
  </w:footnote>
  <w:footnote w:id="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Programme können natürlich auch formalisiert werden (vgl. Leeuwen 1990, Kastens u.a. 2005). Man erhält dann jedoch eine wesentlich aufwendigere Darstellung, die in der Pr</w:t>
      </w:r>
      <w:r w:rsidRPr="00156980">
        <w:rPr>
          <w:szCs w:val="17"/>
        </w:rPr>
        <w:t>a</w:t>
      </w:r>
      <w:r w:rsidRPr="00156980">
        <w:rPr>
          <w:szCs w:val="17"/>
        </w:rPr>
        <w:t>xis des Programmierens – wo die Funktionstüchtigkeit eines Programms über Compilieren und Testen geprüft und nicht mathematisch errechnet wird – wenig genutzt wird. Da es hier in erster Linie um eine transparente Darstellung der Abläufe geht, würde eine solche Formalisierung</w:t>
      </w:r>
      <w:r w:rsidR="005D7996">
        <w:rPr>
          <w:szCs w:val="17"/>
        </w:rPr>
        <w:fldChar w:fldCharType="begin"/>
      </w:r>
      <w:r>
        <w:instrText xml:space="preserve"> XE "</w:instrText>
      </w:r>
      <w:r w:rsidRPr="00815262">
        <w:instrText>Formalisierung</w:instrText>
      </w:r>
      <w:r>
        <w:instrText xml:space="preserve">" </w:instrText>
      </w:r>
      <w:r w:rsidR="005D7996">
        <w:rPr>
          <w:szCs w:val="17"/>
        </w:rPr>
        <w:fldChar w:fldCharType="end"/>
      </w:r>
      <w:r w:rsidRPr="00156980">
        <w:rPr>
          <w:szCs w:val="17"/>
        </w:rPr>
        <w:t xml:space="preserve"> wenig bringen.</w:t>
      </w:r>
    </w:p>
  </w:footnote>
  <w:footnote w:id="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 stammt von Peter Naur (Naur 1985), der als Mitentwickler der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Pr>
          <w:szCs w:val="17"/>
        </w:rPr>
        <w:t>-Beschreibungssprache Backus-Naur-</w:t>
      </w:r>
      <w:r w:rsidRPr="00156980">
        <w:rPr>
          <w:szCs w:val="17"/>
        </w:rPr>
        <w:t>Form (BNF) die Informatik</w:t>
      </w:r>
      <w:r w:rsidR="005D7996">
        <w:rPr>
          <w:szCs w:val="17"/>
        </w:rPr>
        <w:fldChar w:fldCharType="begin"/>
      </w:r>
      <w:r>
        <w:instrText xml:space="preserve"> XE "</w:instrText>
      </w:r>
      <w:r w:rsidRPr="008605A2">
        <w:instrText>Informatik</w:instrText>
      </w:r>
      <w:r>
        <w:instrText xml:space="preserve">" </w:instrText>
      </w:r>
      <w:r w:rsidR="005D7996">
        <w:rPr>
          <w:szCs w:val="17"/>
        </w:rPr>
        <w:fldChar w:fldCharType="end"/>
      </w:r>
      <w:r w:rsidRPr="00156980">
        <w:rPr>
          <w:szCs w:val="17"/>
        </w:rPr>
        <w:t xml:space="preserve"> geprägt hat. Übrigens interessierte sich diese Programmierergeneration für stilistische Fragen; so machte sich </w:t>
      </w:r>
      <w:r>
        <w:rPr>
          <w:szCs w:val="17"/>
        </w:rPr>
        <w:t xml:space="preserve">neben Peter Naur (Naur 1975) auch </w:t>
      </w:r>
      <w:r w:rsidRPr="00156980">
        <w:rPr>
          <w:szCs w:val="17"/>
        </w:rPr>
        <w:t>John Backus Gedanken über den Einfluss von Pr</w:t>
      </w:r>
      <w:r w:rsidRPr="00156980">
        <w:rPr>
          <w:szCs w:val="17"/>
        </w:rPr>
        <w:t>o</w:t>
      </w:r>
      <w:r w:rsidRPr="00156980">
        <w:rPr>
          <w:szCs w:val="17"/>
        </w:rPr>
        <w:t>grammiersprachen auf den Programmierstil</w:t>
      </w:r>
      <w:r w:rsidR="005D7996">
        <w:rPr>
          <w:szCs w:val="17"/>
        </w:rPr>
        <w:fldChar w:fldCharType="begin"/>
      </w:r>
      <w:r>
        <w:instrText xml:space="preserve"> XE "</w:instrText>
      </w:r>
      <w:r w:rsidRPr="001C01BE">
        <w:instrText>Programmierstil</w:instrText>
      </w:r>
      <w:r>
        <w:instrText xml:space="preserve">" </w:instrText>
      </w:r>
      <w:r w:rsidR="005D7996">
        <w:rPr>
          <w:szCs w:val="17"/>
        </w:rPr>
        <w:fldChar w:fldCharType="end"/>
      </w:r>
      <w:r>
        <w:rPr>
          <w:szCs w:val="17"/>
        </w:rPr>
        <w:t xml:space="preserve"> </w:t>
      </w:r>
      <w:r w:rsidRPr="00156980">
        <w:rPr>
          <w:szCs w:val="17"/>
        </w:rPr>
        <w:t>und schlug aus diesen Überlegungen heraus die funktionale Programmierung</w:t>
      </w:r>
      <w:r w:rsidR="005D7996">
        <w:rPr>
          <w:szCs w:val="17"/>
        </w:rPr>
        <w:fldChar w:fldCharType="begin"/>
      </w:r>
      <w:r>
        <w:instrText xml:space="preserve"> XE "</w:instrText>
      </w:r>
      <w:r w:rsidRPr="00C53561">
        <w:rPr>
          <w:szCs w:val="17"/>
        </w:rPr>
        <w:instrText>funktionale Programmierung</w:instrText>
      </w:r>
      <w:r>
        <w:instrText xml:space="preserve">" </w:instrText>
      </w:r>
      <w:r w:rsidR="005D7996">
        <w:rPr>
          <w:szCs w:val="17"/>
        </w:rPr>
        <w:fldChar w:fldCharType="end"/>
      </w:r>
      <w:r w:rsidRPr="00156980">
        <w:rPr>
          <w:szCs w:val="17"/>
        </w:rPr>
        <w:t xml:space="preserve"> vor </w:t>
      </w:r>
      <w:r>
        <w:rPr>
          <w:szCs w:val="17"/>
        </w:rPr>
        <w:t xml:space="preserve">(Backus 1978; vgl. auch </w:t>
      </w:r>
      <w:r w:rsidRPr="00156980">
        <w:rPr>
          <w:szCs w:val="17"/>
        </w:rPr>
        <w:t>Mahr 2006: 17f).</w:t>
      </w:r>
    </w:p>
  </w:footnote>
  <w:footnote w:id="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Engel u.a. 1995</w:t>
      </w:r>
      <w:r w:rsidRPr="00156980">
        <w:rPr>
          <w:szCs w:val="17"/>
        </w:rPr>
        <w:t>: 48.</w:t>
      </w:r>
    </w:p>
  </w:footnote>
  <w:footnote w:id="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Pseudocode</w:t>
      </w:r>
      <w:r w:rsidR="005D7996">
        <w:rPr>
          <w:szCs w:val="17"/>
        </w:rPr>
        <w:fldChar w:fldCharType="begin"/>
      </w:r>
      <w:r>
        <w:instrText xml:space="preserve"> XE "</w:instrText>
      </w:r>
      <w:r w:rsidRPr="00A30335">
        <w:rPr>
          <w:szCs w:val="17"/>
        </w:rPr>
        <w:instrText>Pseudocode</w:instrText>
      </w:r>
      <w:r>
        <w:instrText xml:space="preserve">" </w:instrText>
      </w:r>
      <w:r w:rsidR="005D7996">
        <w:rPr>
          <w:szCs w:val="17"/>
        </w:rPr>
        <w:fldChar w:fldCharType="end"/>
      </w:r>
      <w:r w:rsidRPr="00156980">
        <w:rPr>
          <w:szCs w:val="17"/>
        </w:rPr>
        <w:t xml:space="preserve"> dient der Darstellung eines Algorithmus</w:t>
      </w:r>
      <w:r w:rsidR="005D7996">
        <w:rPr>
          <w:szCs w:val="17"/>
        </w:rPr>
        <w:fldChar w:fldCharType="begin"/>
      </w:r>
      <w:r>
        <w:instrText xml:space="preserve"> XE "</w:instrText>
      </w:r>
      <w:r w:rsidRPr="001D177D">
        <w:instrText>Algorithmus</w:instrText>
      </w:r>
      <w:r>
        <w:instrText xml:space="preserve">" </w:instrText>
      </w:r>
      <w:r w:rsidR="005D7996">
        <w:rPr>
          <w:szCs w:val="17"/>
        </w:rPr>
        <w:fldChar w:fldCharType="end"/>
      </w:r>
      <w:r w:rsidRPr="00156980">
        <w:rPr>
          <w:szCs w:val="17"/>
        </w:rPr>
        <w:t xml:space="preserve"> in einer Form, die für menschliches Lesen statt für maschinelle Ausführung optimiert ist. Er basiert im Gegensatz zu Code nicht auf einer der üblichen Programmiersprachen, da diese meist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xml:space="preserve"> und Befehle enthalten, die nicht intuitiv verständlich sind, sondern kombiniert Elemente aus verschi</w:t>
      </w:r>
      <w:r w:rsidRPr="00156980">
        <w:rPr>
          <w:szCs w:val="17"/>
        </w:rPr>
        <w:t>e</w:t>
      </w:r>
      <w:r w:rsidRPr="00156980">
        <w:rPr>
          <w:szCs w:val="17"/>
        </w:rPr>
        <w:t>denen Programmiersprachen, logische und mathematische Notation mit dem Ziel größ</w:t>
      </w:r>
      <w:r w:rsidRPr="00156980">
        <w:rPr>
          <w:szCs w:val="17"/>
        </w:rPr>
        <w:t>t</w:t>
      </w:r>
      <w:r w:rsidRPr="00156980">
        <w:rPr>
          <w:szCs w:val="17"/>
        </w:rPr>
        <w:t>möglicher Transparenz. Pseudocode wird so geschrieben, dass das dem Programm z</w:t>
      </w:r>
      <w:r w:rsidRPr="00156980">
        <w:rPr>
          <w:szCs w:val="17"/>
        </w:rPr>
        <w:t>u</w:t>
      </w:r>
      <w:r w:rsidRPr="00156980">
        <w:rPr>
          <w:szCs w:val="17"/>
        </w:rPr>
        <w:t>grunde liegende Modell klar erkennbar ist (vgl. Pseudocode-Richtlinien der Cornell-Universität, Punkt 6: „It should be possible to see ‘through’ your pseudocode to the m</w:t>
      </w:r>
      <w:r w:rsidRPr="00156980">
        <w:rPr>
          <w:szCs w:val="17"/>
        </w:rPr>
        <w:t>o</w:t>
      </w:r>
      <w:r w:rsidRPr="00156980">
        <w:rPr>
          <w:szCs w:val="17"/>
        </w:rPr>
        <w:t>del below“</w:t>
      </w:r>
      <w:r>
        <w:rPr>
          <w:szCs w:val="17"/>
        </w:rPr>
        <w:t>,</w:t>
      </w:r>
      <w:r w:rsidRPr="00156980">
        <w:rPr>
          <w:szCs w:val="17"/>
        </w:rPr>
        <w:t xml:space="preserve"> http://www.cs.cornell.edu/Courses/cs482/2003su/handouts/pseudocode.pdf</w:t>
      </w:r>
      <w:r>
        <w:rPr>
          <w:szCs w:val="17"/>
        </w:rPr>
        <w:t>;</w:t>
      </w:r>
      <w:r w:rsidRPr="00156980">
        <w:rPr>
          <w:szCs w:val="17"/>
        </w:rPr>
        <w:t xml:space="preserve"> Einsicht am 2.09.2010).</w:t>
      </w:r>
    </w:p>
  </w:footnote>
  <w:footnote w:id="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wird die hier häufig verwendete for-Schleife in C dargestellt als:</w:t>
      </w:r>
    </w:p>
    <w:p w:rsidR="00CC3558" w:rsidRPr="00156980" w:rsidRDefault="00CC3558" w:rsidP="00F461D9">
      <w:pPr>
        <w:pStyle w:val="Funotentext"/>
        <w:rPr>
          <w:szCs w:val="17"/>
          <w:lang w:val="en-US"/>
        </w:rPr>
      </w:pPr>
      <w:r w:rsidRPr="00156980">
        <w:rPr>
          <w:szCs w:val="17"/>
        </w:rPr>
        <w:tab/>
      </w:r>
      <w:r w:rsidRPr="00156980">
        <w:rPr>
          <w:szCs w:val="17"/>
        </w:rPr>
        <w:tab/>
      </w:r>
      <w:r w:rsidRPr="00156980">
        <w:rPr>
          <w:szCs w:val="17"/>
          <w:lang w:val="en-US"/>
        </w:rPr>
        <w:t>for (</w:t>
      </w:r>
      <w:r w:rsidRPr="00156980">
        <w:rPr>
          <w:rStyle w:val="Fett"/>
          <w:b w:val="0"/>
          <w:szCs w:val="17"/>
          <w:lang w:val="en-US"/>
        </w:rPr>
        <w:t xml:space="preserve">int </w:t>
      </w:r>
      <w:r w:rsidRPr="00156980">
        <w:rPr>
          <w:i/>
          <w:szCs w:val="17"/>
          <w:lang w:val="en-US"/>
        </w:rPr>
        <w:t>i</w:t>
      </w:r>
      <w:r w:rsidRPr="00156980">
        <w:rPr>
          <w:rStyle w:val="Fett"/>
          <w:b w:val="0"/>
          <w:szCs w:val="17"/>
          <w:lang w:val="en-US"/>
        </w:rPr>
        <w:t xml:space="preserve"> = 1; i &lt;= </w:t>
      </w:r>
      <w:r w:rsidRPr="00156980">
        <w:rPr>
          <w:rStyle w:val="Fett"/>
          <w:b w:val="0"/>
          <w:i/>
          <w:szCs w:val="17"/>
          <w:lang w:val="en-US"/>
        </w:rPr>
        <w:t>n</w:t>
      </w:r>
      <w:r w:rsidRPr="00156980">
        <w:rPr>
          <w:rStyle w:val="Fett"/>
          <w:b w:val="0"/>
          <w:szCs w:val="17"/>
          <w:lang w:val="en-US"/>
        </w:rPr>
        <w:t>; i++)</w:t>
      </w:r>
    </w:p>
    <w:p w:rsidR="00CC3558" w:rsidRPr="00156980" w:rsidRDefault="00CC3558" w:rsidP="00F461D9">
      <w:pPr>
        <w:pStyle w:val="Funotentext"/>
        <w:rPr>
          <w:szCs w:val="17"/>
        </w:rPr>
      </w:pPr>
      <w:r w:rsidRPr="00156980">
        <w:rPr>
          <w:szCs w:val="17"/>
          <w:lang w:val="en-US"/>
        </w:rPr>
        <w:tab/>
      </w:r>
      <w:r w:rsidRPr="00156980">
        <w:rPr>
          <w:szCs w:val="17"/>
        </w:rPr>
        <w:t>Wir wählen dagegen die unmittelbar einsichtige Variante:</w:t>
      </w:r>
    </w:p>
    <w:p w:rsidR="00CC3558" w:rsidRPr="00156980" w:rsidRDefault="00CC3558" w:rsidP="00F461D9">
      <w:pPr>
        <w:pStyle w:val="Funotentext"/>
        <w:rPr>
          <w:szCs w:val="17"/>
        </w:rPr>
      </w:pPr>
      <w:r w:rsidRPr="00156980">
        <w:rPr>
          <w:szCs w:val="17"/>
        </w:rPr>
        <w:tab/>
      </w:r>
      <w:r w:rsidRPr="00156980">
        <w:rPr>
          <w:szCs w:val="17"/>
        </w:rPr>
        <w:tab/>
        <w:t xml:space="preserve">for </w:t>
      </w:r>
      <w:r w:rsidRPr="00156980">
        <w:rPr>
          <w:i/>
          <w:szCs w:val="17"/>
        </w:rPr>
        <w:t>i</w:t>
      </w:r>
      <w:r w:rsidRPr="00156980">
        <w:rPr>
          <w:szCs w:val="17"/>
        </w:rPr>
        <w:t xml:space="preserve"> = 1 to </w:t>
      </w:r>
      <w:r w:rsidRPr="00156980">
        <w:rPr>
          <w:i/>
          <w:szCs w:val="17"/>
        </w:rPr>
        <w:t>n</w:t>
      </w:r>
    </w:p>
    <w:p w:rsidR="00CC3558" w:rsidRPr="00156980" w:rsidRDefault="00CC3558" w:rsidP="00F461D9">
      <w:pPr>
        <w:pStyle w:val="Funotentext"/>
        <w:rPr>
          <w:szCs w:val="17"/>
        </w:rPr>
      </w:pPr>
      <w:r w:rsidRPr="00156980">
        <w:rPr>
          <w:szCs w:val="17"/>
        </w:rPr>
        <w:tab/>
        <w:t>Ein weiterer Nachteil sind die Abweichungen von einer logisch transparenten Schreibwe</w:t>
      </w:r>
      <w:r w:rsidRPr="00156980">
        <w:rPr>
          <w:szCs w:val="17"/>
        </w:rPr>
        <w:t>i</w:t>
      </w:r>
      <w:r w:rsidRPr="00156980">
        <w:rPr>
          <w:szCs w:val="17"/>
        </w:rPr>
        <w:t>se: So werden zusammengehörige Informationen häufig über zuvor definierte Objekte verwaltet und nicht als Tupel dargestellt.</w:t>
      </w:r>
    </w:p>
  </w:footnote>
  <w:footnote w:id="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 </w:t>
      </w:r>
      <w:r w:rsidRPr="00156980">
        <w:rPr>
          <w:i/>
          <w:szCs w:val="17"/>
        </w:rPr>
        <w:t>Möglichkeitsraum</w:t>
      </w:r>
      <w:r w:rsidR="005D7996">
        <w:rPr>
          <w:i/>
          <w:szCs w:val="17"/>
        </w:rPr>
        <w:fldChar w:fldCharType="begin"/>
      </w:r>
      <w:r>
        <w:instrText xml:space="preserve"> XE "</w:instrText>
      </w:r>
      <w:r w:rsidRPr="007904ED">
        <w:instrText>Möglichkeitsraum</w:instrText>
      </w:r>
      <w:r>
        <w:instrText xml:space="preserve">" </w:instrText>
      </w:r>
      <w:r w:rsidR="005D7996">
        <w:rPr>
          <w:i/>
          <w:szCs w:val="17"/>
        </w:rPr>
        <w:fldChar w:fldCharType="end"/>
      </w:r>
      <w:r w:rsidRPr="00156980">
        <w:rPr>
          <w:i/>
          <w:szCs w:val="17"/>
        </w:rPr>
        <w:t>_zusammenstellen</w:t>
      </w:r>
      <w:r w:rsidRPr="00156980">
        <w:rPr>
          <w:szCs w:val="17"/>
        </w:rPr>
        <w:t xml:space="preserve"> (Abschnitt </w:t>
      </w:r>
      <w:fldSimple w:instr=" REF _Ref212110965 \r \h  \* MERGEFORMAT ">
        <w:r w:rsidR="001231D3" w:rsidRPr="001231D3">
          <w:rPr>
            <w:szCs w:val="17"/>
          </w:rPr>
          <w:t>5.2.2</w:t>
        </w:r>
      </w:fldSimple>
      <w:r w:rsidRPr="00156980">
        <w:rPr>
          <w:szCs w:val="17"/>
        </w:rPr>
        <w:t>).</w:t>
      </w:r>
    </w:p>
  </w:footnote>
  <w:footnote w:id="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 </w:t>
      </w:r>
      <w:r w:rsidRPr="00156980">
        <w:rPr>
          <w:i/>
          <w:szCs w:val="17"/>
        </w:rPr>
        <w:t>Schemata_zusammenstellen</w:t>
      </w:r>
      <w:r w:rsidRPr="00156980">
        <w:rPr>
          <w:szCs w:val="17"/>
        </w:rPr>
        <w:t xml:space="preserve"> (Abschnitt </w:t>
      </w:r>
      <w:fldSimple w:instr=" REF _Ref212110965 \r \h  \* MERGEFORMAT ">
        <w:r w:rsidR="001231D3" w:rsidRPr="001231D3">
          <w:rPr>
            <w:szCs w:val="17"/>
          </w:rPr>
          <w:t>5.2.2</w:t>
        </w:r>
      </w:fldSimple>
      <w:r w:rsidRPr="00156980">
        <w:rPr>
          <w:szCs w:val="17"/>
        </w:rPr>
        <w:t>).</w:t>
      </w:r>
    </w:p>
  </w:footnote>
  <w:footnote w:id="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Funktionen </w:t>
      </w:r>
      <w:r w:rsidRPr="00156980">
        <w:rPr>
          <w:i/>
          <w:szCs w:val="17"/>
        </w:rPr>
        <w:t>vorhandener_Stil</w:t>
      </w:r>
      <w:r w:rsidRPr="00156980">
        <w:rPr>
          <w:szCs w:val="17"/>
        </w:rPr>
        <w:t xml:space="preserve"> und </w:t>
      </w:r>
      <w:r w:rsidRPr="00156980">
        <w:rPr>
          <w:i/>
          <w:szCs w:val="17"/>
        </w:rPr>
        <w:t>Merkmalsregeln_erzeugen</w:t>
      </w:r>
      <w:r w:rsidRPr="00156980">
        <w:rPr>
          <w:szCs w:val="17"/>
        </w:rPr>
        <w:t xml:space="preserve"> (Abschnitt </w:t>
      </w:r>
      <w:fldSimple w:instr=" REF _Ref261443581 \r \h  \* MERGEFORMAT ">
        <w:r w:rsidR="001231D3" w:rsidRPr="001231D3">
          <w:rPr>
            <w:szCs w:val="17"/>
          </w:rPr>
          <w:t>7.3.1</w:t>
        </w:r>
      </w:fldSimple>
      <w:r w:rsidRPr="00156980">
        <w:rPr>
          <w:szCs w:val="17"/>
        </w:rPr>
        <w:t>).</w:t>
      </w:r>
    </w:p>
  </w:footnote>
  <w:footnote w:id="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 </w:t>
      </w:r>
      <w:r w:rsidRPr="00156980">
        <w:rPr>
          <w:i/>
          <w:szCs w:val="17"/>
        </w:rPr>
        <w:t>Hintergrundwissen_zusammenstellen</w:t>
      </w:r>
      <w:r w:rsidRPr="00156980">
        <w:rPr>
          <w:szCs w:val="17"/>
        </w:rPr>
        <w:t xml:space="preserve"> (Abschnitt </w:t>
      </w:r>
      <w:fldSimple w:instr=" REF _Ref255767436 \r \h  \* MERGEFORMAT ">
        <w:r w:rsidR="001231D3" w:rsidRPr="001231D3">
          <w:rPr>
            <w:szCs w:val="17"/>
          </w:rPr>
          <w:t>7.2.1</w:t>
        </w:r>
      </w:fldSimple>
      <w:r w:rsidRPr="00156980">
        <w:rPr>
          <w:szCs w:val="17"/>
        </w:rPr>
        <w:t>).</w:t>
      </w:r>
    </w:p>
  </w:footnote>
  <w:footnote w:id="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 </w:t>
      </w:r>
      <w:r w:rsidRPr="00156980">
        <w:rPr>
          <w:i/>
          <w:szCs w:val="17"/>
        </w:rPr>
        <w:t>Suchmethoden_zusammenstellen</w:t>
      </w:r>
      <w:r w:rsidRPr="00156980">
        <w:rPr>
          <w:szCs w:val="17"/>
        </w:rPr>
        <w:t xml:space="preserve"> (Abschnitt </w:t>
      </w:r>
      <w:fldSimple w:instr=" REF _Ref255309936 \r \h  \* MERGEFORMAT ">
        <w:r w:rsidR="001231D3" w:rsidRPr="001231D3">
          <w:rPr>
            <w:szCs w:val="17"/>
          </w:rPr>
          <w:t>7.2.2</w:t>
        </w:r>
      </w:fldSimple>
      <w:r w:rsidRPr="00156980">
        <w:rPr>
          <w:szCs w:val="17"/>
        </w:rPr>
        <w:t>).</w:t>
      </w:r>
    </w:p>
  </w:footnote>
  <w:footnote w:id="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Funktion </w:t>
      </w:r>
      <w:r w:rsidRPr="00156980">
        <w:rPr>
          <w:i/>
          <w:szCs w:val="17"/>
        </w:rPr>
        <w:t>Stil_wahrnehmen</w:t>
      </w:r>
      <w:r w:rsidRPr="00156980">
        <w:rPr>
          <w:szCs w:val="17"/>
        </w:rPr>
        <w:t xml:space="preserve"> (Abschnitt </w:t>
      </w:r>
      <w:fldSimple w:instr=" REF _Ref261443737 \r \h  \* MERGEFORMAT ">
        <w:r w:rsidR="001231D3" w:rsidRPr="001231D3">
          <w:rPr>
            <w:szCs w:val="17"/>
          </w:rPr>
          <w:t>7.3.2</w:t>
        </w:r>
      </w:fldSimple>
      <w:r w:rsidRPr="00156980">
        <w:rPr>
          <w:szCs w:val="17"/>
        </w:rPr>
        <w:t xml:space="preserve">), die </w:t>
      </w:r>
      <w:r w:rsidRPr="00156980">
        <w:rPr>
          <w:i/>
          <w:szCs w:val="17"/>
        </w:rPr>
        <w:t>R</w:t>
      </w:r>
      <w:r w:rsidRPr="00156980">
        <w:rPr>
          <w:szCs w:val="17"/>
        </w:rPr>
        <w:t xml:space="preserve"> als Parameter erhält.</w:t>
      </w:r>
    </w:p>
  </w:footnote>
  <w:footnote w:id="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25573 \r \h  \* MERGEFORMAT ">
        <w:r w:rsidR="001231D3" w:rsidRPr="001231D3">
          <w:rPr>
            <w:szCs w:val="17"/>
          </w:rPr>
          <w:t>4.2.6</w:t>
        </w:r>
      </w:fldSimple>
      <w:r w:rsidRPr="00156980">
        <w:rPr>
          <w:szCs w:val="17"/>
        </w:rPr>
        <w:t>.</w:t>
      </w:r>
    </w:p>
  </w:footnote>
  <w:footnote w:id="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beispielsweise die Funktion </w:t>
      </w:r>
      <w:r w:rsidRPr="00156980">
        <w:rPr>
          <w:i/>
          <w:szCs w:val="17"/>
        </w:rPr>
        <w:t>Interesse</w:t>
      </w:r>
      <w:r w:rsidRPr="00156980">
        <w:rPr>
          <w:szCs w:val="17"/>
        </w:rPr>
        <w:t xml:space="preserve"> (Abschnitt </w:t>
      </w:r>
      <w:fldSimple w:instr=" REF _Ref255767436 \r \h  \* MERGEFORMAT ">
        <w:r w:rsidR="001231D3" w:rsidRPr="001231D3">
          <w:rPr>
            <w:szCs w:val="17"/>
          </w:rPr>
          <w:t>7.2.1</w:t>
        </w:r>
      </w:fldSimple>
      <w:r w:rsidRPr="00156980">
        <w:rPr>
          <w:szCs w:val="17"/>
        </w:rPr>
        <w:t>) sowie mehrere von der Fun</w:t>
      </w:r>
      <w:r w:rsidRPr="00156980">
        <w:rPr>
          <w:szCs w:val="17"/>
        </w:rPr>
        <w:t>k</w:t>
      </w:r>
      <w:r w:rsidRPr="00156980">
        <w:rPr>
          <w:szCs w:val="17"/>
        </w:rPr>
        <w:t xml:space="preserve">tion </w:t>
      </w:r>
      <w:r w:rsidRPr="00156980">
        <w:rPr>
          <w:i/>
          <w:szCs w:val="17"/>
        </w:rPr>
        <w:t>Stil_bereitstellen</w:t>
      </w:r>
      <w:r w:rsidRPr="00156980">
        <w:rPr>
          <w:szCs w:val="17"/>
        </w:rPr>
        <w:t xml:space="preserve"> (Abschnitt </w:t>
      </w:r>
      <w:fldSimple w:instr=" REF _Ref261443581 \r \h  \* MERGEFORMAT ">
        <w:r w:rsidR="001231D3" w:rsidRPr="001231D3">
          <w:rPr>
            <w:szCs w:val="17"/>
          </w:rPr>
          <w:t>7.3.1</w:t>
        </w:r>
      </w:fldSimple>
      <w:r w:rsidRPr="00156980">
        <w:rPr>
          <w:szCs w:val="17"/>
        </w:rPr>
        <w:t>) aufgerufene Funktionen.</w:t>
      </w:r>
    </w:p>
  </w:footnote>
  <w:footnote w:id="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hierzu Abschnitt </w:t>
      </w:r>
      <w:fldSimple w:instr=" REF _Ref223865720 \r \h  \* MERGEFORMAT ">
        <w:r w:rsidR="001231D3" w:rsidRPr="001231D3">
          <w:rPr>
            <w:szCs w:val="17"/>
          </w:rPr>
          <w:t>9.5</w:t>
        </w:r>
      </w:fldSimple>
      <w:r w:rsidRPr="00156980">
        <w:rPr>
          <w:szCs w:val="17"/>
        </w:rPr>
        <w:t>.</w:t>
      </w:r>
    </w:p>
  </w:footnote>
  <w:footnote w:id="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ist denkbar, dass es bezogen auf die genannten Funktionen Abläufe gibt, die nicht programmierbar sind. In diesem Fall wären nicht alle möglichen Verläufe des stilistischen Zeichenprozesses durch Programme modellierbar, sondern nur eine Teilmenge der mö</w:t>
      </w:r>
      <w:r w:rsidRPr="00156980">
        <w:rPr>
          <w:szCs w:val="17"/>
        </w:rPr>
        <w:t>g</w:t>
      </w:r>
      <w:r w:rsidRPr="00156980">
        <w:rPr>
          <w:szCs w:val="17"/>
        </w:rPr>
        <w:t>lichen Verläufe.</w:t>
      </w:r>
    </w:p>
  </w:footnote>
  <w:footnote w:id="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5767436 \r \h  \* MERGEFORMAT ">
        <w:r w:rsidR="001231D3" w:rsidRPr="001231D3">
          <w:rPr>
            <w:szCs w:val="17"/>
          </w:rPr>
          <w:t>7.2.1</w:t>
        </w:r>
      </w:fldSimple>
      <w:r w:rsidRPr="00156980">
        <w:rPr>
          <w:szCs w:val="17"/>
        </w:rPr>
        <w:t xml:space="preserve">, Unterabschnitt </w:t>
      </w:r>
      <w:r w:rsidRPr="00156980">
        <w:rPr>
          <w:i/>
          <w:szCs w:val="17"/>
        </w:rPr>
        <w:t>Die Funktionsmenge Op der Operationen</w:t>
      </w:r>
      <w:r w:rsidRPr="00156980">
        <w:rPr>
          <w:szCs w:val="17"/>
        </w:rPr>
        <w:t>.</w:t>
      </w:r>
    </w:p>
  </w:footnote>
  <w:footnote w:id="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„Ziel“ und „Zweck“ werden synonym verwendet. – Ziel bzw. Zweck gibt es in erster Linie bei Handeln, das eine Unterkategorie von Verhalten ist; vgl. Fußnote </w:t>
      </w:r>
      <w:fldSimple w:instr=" NOTEREF _Ref262467300 \h  \* MERGEFORMAT ">
        <w:r w:rsidR="001231D3" w:rsidRPr="001231D3">
          <w:rPr>
            <w:szCs w:val="17"/>
          </w:rPr>
          <w:t>279</w:t>
        </w:r>
      </w:fldSimple>
      <w:r w:rsidRPr="00156980">
        <w:rPr>
          <w:szCs w:val="17"/>
        </w:rPr>
        <w:t>. Zur Fr</w:t>
      </w:r>
      <w:r w:rsidRPr="00156980">
        <w:rPr>
          <w:szCs w:val="17"/>
        </w:rPr>
        <w:t>a</w:t>
      </w:r>
      <w:r w:rsidRPr="00156980">
        <w:rPr>
          <w:szCs w:val="17"/>
        </w:rPr>
        <w:t xml:space="preserve">ge, ob auch außerhalb von Handeln Zwecke angenommen werden können, vgl. Fußnote </w:t>
      </w:r>
      <w:fldSimple w:instr=" NOTEREF _Ref289363065 \h  \* MERGEFORMAT ">
        <w:r w:rsidR="001231D3" w:rsidRPr="001231D3">
          <w:rPr>
            <w:szCs w:val="17"/>
          </w:rPr>
          <w:t>101</w:t>
        </w:r>
      </w:fldSimple>
      <w:r w:rsidRPr="00156980">
        <w:rPr>
          <w:szCs w:val="17"/>
        </w:rPr>
        <w:t>.</w:t>
      </w:r>
    </w:p>
  </w:footnote>
  <w:footnote w:id="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836372 \r \h  \* MERGEFORMAT ">
        <w:r w:rsidR="001231D3" w:rsidRPr="001231D3">
          <w:rPr>
            <w:szCs w:val="17"/>
          </w:rPr>
          <w:t>3.6</w:t>
        </w:r>
      </w:fldSimple>
      <w:r w:rsidRPr="00156980">
        <w:rPr>
          <w:szCs w:val="17"/>
        </w:rPr>
        <w:t>.</w:t>
      </w:r>
    </w:p>
  </w:footnote>
  <w:footnote w:id="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684998 \r \h  \* MERGEFORMAT ">
        <w:r w:rsidR="001231D3" w:rsidRPr="001231D3">
          <w:rPr>
            <w:szCs w:val="17"/>
          </w:rPr>
          <w:t>3.1</w:t>
        </w:r>
      </w:fldSimple>
      <w:r w:rsidRPr="00156980">
        <w:rPr>
          <w:szCs w:val="17"/>
        </w:rPr>
        <w:t xml:space="preserve">. – Mit dem konstruierten Stilmodell lassen sich dann auch Aspekte der anderen Ansätze beschreiben; in den Abschnitten von Kapitel 3 sowie in Abschnitt </w:t>
      </w:r>
      <w:fldSimple w:instr=" REF _Ref211841916 \r \h  \* MERGEFORMAT ">
        <w:r w:rsidR="001231D3" w:rsidRPr="001231D3">
          <w:rPr>
            <w:szCs w:val="17"/>
          </w:rPr>
          <w:t>4.3.2</w:t>
        </w:r>
      </w:fldSimple>
      <w:r w:rsidRPr="00156980">
        <w:rPr>
          <w:szCs w:val="17"/>
        </w:rPr>
        <w:t xml:space="preserve"> wird auf diese Bezüge eingegangen.</w:t>
      </w:r>
    </w:p>
  </w:footnote>
  <w:footnote w:id="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Verhältnis von Stil und Inhalt wird in den meisten Stiltheorien diskutiert, seltener in der Semantik</w:t>
      </w:r>
      <w:r w:rsidR="005D7996">
        <w:rPr>
          <w:szCs w:val="17"/>
        </w:rPr>
        <w:fldChar w:fldCharType="begin"/>
      </w:r>
      <w:r>
        <w:instrText xml:space="preserve"> XE "</w:instrText>
      </w:r>
      <w:r w:rsidRPr="001A70AD">
        <w:rPr>
          <w:rFonts w:eastAsia="Times New Roman" w:cs="Times New Roman"/>
        </w:rPr>
        <w:instrText>Semantik</w:instrText>
      </w:r>
      <w:r>
        <w:instrText xml:space="preserve">" </w:instrText>
      </w:r>
      <w:r w:rsidR="005D7996">
        <w:rPr>
          <w:szCs w:val="17"/>
        </w:rPr>
        <w:fldChar w:fldCharType="end"/>
      </w:r>
      <w:r w:rsidRPr="00156980">
        <w:rPr>
          <w:szCs w:val="17"/>
        </w:rPr>
        <w:t xml:space="preserve"> (beispielsweise in Lyons 1977, Bd. 2: 613ff). Leech u.a. (1981) untersuchen, wie die Relation zwischen Stil und Inhalt in verschiedenen Richtungen der Stiltheorie dargestellt wird. Sie unterscheiden zunächst zwischen „Dualismus</w:t>
      </w:r>
      <w:r w:rsidR="005D7996">
        <w:rPr>
          <w:szCs w:val="17"/>
        </w:rPr>
        <w:fldChar w:fldCharType="begin"/>
      </w:r>
      <w:r>
        <w:instrText xml:space="preserve"> XE "</w:instrText>
      </w:r>
      <w:r w:rsidRPr="00386BF6">
        <w:instrText>Dualismus (Stilauffassung)</w:instrText>
      </w:r>
      <w:r>
        <w:instrText xml:space="preserve">" </w:instrText>
      </w:r>
      <w:r w:rsidR="005D7996">
        <w:rPr>
          <w:szCs w:val="17"/>
        </w:rPr>
        <w:fldChar w:fldCharType="end"/>
      </w:r>
      <w:r w:rsidRPr="00156980">
        <w:rPr>
          <w:szCs w:val="17"/>
        </w:rPr>
        <w:t>“, der Auffassung, dass Stil im Gegensatz zu Inhalt steht und nicht mit diesem interagiert, und „Monismus</w:t>
      </w:r>
      <w:r w:rsidR="005D7996">
        <w:rPr>
          <w:szCs w:val="17"/>
        </w:rPr>
        <w:fldChar w:fldCharType="begin"/>
      </w:r>
      <w:r>
        <w:instrText xml:space="preserve"> XE "</w:instrText>
      </w:r>
      <w:r w:rsidRPr="002F2593">
        <w:instrText>Monismus (Stilauffassung)</w:instrText>
      </w:r>
      <w:r>
        <w:instrText xml:space="preserve">" </w:instrText>
      </w:r>
      <w:r w:rsidR="005D7996">
        <w:rPr>
          <w:szCs w:val="17"/>
        </w:rPr>
        <w:fldChar w:fldCharType="end"/>
      </w:r>
      <w:r w:rsidRPr="00156980">
        <w:rPr>
          <w:szCs w:val="17"/>
        </w:rPr>
        <w:t>“, der Auffassung der Untrennbarkeit von Stil und Inhalt. Sie stellen verschiedene Positionen innerhalb dieser beiden Traditionen vor, denen sich die meisten Stiltheoretiker zuordnen lassen (</w:t>
      </w:r>
      <w:r>
        <w:rPr>
          <w:szCs w:val="17"/>
        </w:rPr>
        <w:t>Leech u.a. 1981</w:t>
      </w:r>
      <w:r w:rsidRPr="00156980">
        <w:rPr>
          <w:szCs w:val="17"/>
        </w:rPr>
        <w:t>: 14ff); als Beispiele für Dualisten nennen sie Wesley</w:t>
      </w:r>
      <w:r w:rsidR="005D7996">
        <w:rPr>
          <w:szCs w:val="17"/>
        </w:rPr>
        <w:fldChar w:fldCharType="begin"/>
      </w:r>
      <w:r>
        <w:instrText xml:space="preserve"> XE "</w:instrText>
      </w:r>
      <w:r w:rsidRPr="00121A9B">
        <w:rPr>
          <w:szCs w:val="17"/>
        </w:rPr>
        <w:instrText>Wesley, Samuel</w:instrText>
      </w:r>
      <w:r>
        <w:instrText xml:space="preserve">" </w:instrText>
      </w:r>
      <w:r w:rsidR="005D7996">
        <w:rPr>
          <w:szCs w:val="17"/>
        </w:rPr>
        <w:fldChar w:fldCharType="end"/>
      </w:r>
      <w:r w:rsidRPr="00156980">
        <w:rPr>
          <w:szCs w:val="17"/>
        </w:rPr>
        <w:t xml:space="preserve"> 1700, Bally 1909, Hockett 1958,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1973 und Ohmann 1964 (generative Auffassungen sind generell dualistisch, vgl. daher auch Fußnote </w:t>
      </w:r>
      <w:fldSimple w:instr=" NOTEREF _Ref271302404 \h  \* MERGEFORMAT ">
        <w:r w:rsidR="001231D3" w:rsidRPr="001231D3">
          <w:rPr>
            <w:szCs w:val="17"/>
          </w:rPr>
          <w:t>212</w:t>
        </w:r>
      </w:fldSimple>
      <w:r w:rsidRPr="00156980">
        <w:rPr>
          <w:szCs w:val="17"/>
        </w:rPr>
        <w:t>); als Beispiele für Monisten Croce 1902, Wimsatt 1941 und Lodge 1966 (Buffon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xml:space="preserve"> 1753=1954 gehört natürlich auch hierher). Den funktionalistischen Ansatz von Halliday (1971 und 1985), basierend auf Richards 1929 und Jakobson</w:t>
      </w:r>
      <w:r w:rsidR="005D7996">
        <w:rPr>
          <w:szCs w:val="17"/>
        </w:rPr>
        <w:fldChar w:fldCharType="begin"/>
      </w:r>
      <w:r>
        <w:instrText xml:space="preserve"> XE "</w:instrText>
      </w:r>
      <w:r w:rsidRPr="001F2B73">
        <w:rPr>
          <w:szCs w:val="17"/>
        </w:rPr>
        <w:instrText>Jakobson, Roman</w:instrText>
      </w:r>
      <w:r>
        <w:instrText xml:space="preserve">" </w:instrText>
      </w:r>
      <w:r w:rsidR="005D7996">
        <w:rPr>
          <w:szCs w:val="17"/>
        </w:rPr>
        <w:fldChar w:fldCharType="end"/>
      </w:r>
      <w:r w:rsidRPr="00156980">
        <w:rPr>
          <w:szCs w:val="17"/>
        </w:rPr>
        <w:t xml:space="preserve"> 1960, charakterisieren sie als „Pluralismus“ (</w:t>
      </w:r>
      <w:r>
        <w:rPr>
          <w:szCs w:val="17"/>
        </w:rPr>
        <w:t>Leech u.a. 1981</w:t>
      </w:r>
      <w:r w:rsidRPr="00156980">
        <w:rPr>
          <w:szCs w:val="17"/>
        </w:rPr>
        <w:t>: 29ff).</w:t>
      </w:r>
    </w:p>
  </w:footnote>
  <w:footnote w:id="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sei darauf hingewiesen, dass in der bisherigen Literatur nicht explizit die Definition „Stil besteht aus Merkmalen (Mustern, Regelmäßigkeiten, Strukturen …) der Ausdruck</w:t>
      </w:r>
      <w:r w:rsidRPr="00156980">
        <w:rPr>
          <w:szCs w:val="17"/>
        </w:rPr>
        <w:t>s</w:t>
      </w:r>
      <w:r w:rsidRPr="00156980">
        <w:rPr>
          <w:szCs w:val="17"/>
        </w:rPr>
        <w:t>ebene</w:t>
      </w:r>
      <w:r w:rsidR="005D7996">
        <w:rPr>
          <w:szCs w:val="17"/>
        </w:rPr>
        <w:fldChar w:fldCharType="begin"/>
      </w:r>
      <w:r>
        <w:instrText xml:space="preserve"> XE "</w:instrText>
      </w:r>
      <w:r w:rsidRPr="00DA0E29">
        <w:instrText>Ausdrucksebene</w:instrText>
      </w:r>
      <w:r>
        <w:instrText xml:space="preserve">" </w:instrText>
      </w:r>
      <w:r w:rsidR="005D7996">
        <w:rPr>
          <w:szCs w:val="17"/>
        </w:rPr>
        <w:fldChar w:fldCharType="end"/>
      </w:r>
      <w:r w:rsidRPr="00156980">
        <w:rPr>
          <w:szCs w:val="17"/>
        </w:rPr>
        <w:t>“ verwendet wurde, die im Folgenden zurückgewiesen wird. Es geht dabei um alle Ansätze, die diesen Bereich vollständig unter Stil zählen, wobei sie oft sogar noch allg</w:t>
      </w:r>
      <w:r w:rsidRPr="00156980">
        <w:rPr>
          <w:szCs w:val="17"/>
        </w:rPr>
        <w:t>e</w:t>
      </w:r>
      <w:r w:rsidRPr="00156980">
        <w:rPr>
          <w:szCs w:val="17"/>
        </w:rPr>
        <w:t>meiner von Stil als „Konstellation von Eigenschaften“, als „Häufigkeit linguistischer Merkmale“ oder als „wiederkehrende Muster“ sprechen (Beispiele für solche Auffassu</w:t>
      </w:r>
      <w:r w:rsidRPr="00156980">
        <w:rPr>
          <w:szCs w:val="17"/>
        </w:rPr>
        <w:t>n</w:t>
      </w:r>
      <w:r w:rsidRPr="00156980">
        <w:rPr>
          <w:szCs w:val="17"/>
        </w:rPr>
        <w:t xml:space="preserve">gen werden in Abschnitt </w:t>
      </w:r>
      <w:fldSimple w:instr=" REF _Ref264378576 \r \h  \* MERGEFORMAT ">
        <w:r w:rsidR="001231D3" w:rsidRPr="001231D3">
          <w:rPr>
            <w:szCs w:val="17"/>
          </w:rPr>
          <w:t>2.2</w:t>
        </w:r>
      </w:fldSimple>
      <w:r w:rsidRPr="00156980">
        <w:rPr>
          <w:szCs w:val="17"/>
        </w:rPr>
        <w:t xml:space="preserve">, in den Fußnoten </w:t>
      </w:r>
      <w:fldSimple w:instr=" NOTEREF _Ref267425603 \h  \* MERGEFORMAT ">
        <w:r w:rsidR="001231D3" w:rsidRPr="001231D3">
          <w:rPr>
            <w:szCs w:val="17"/>
          </w:rPr>
          <w:t>75</w:t>
        </w:r>
      </w:fldSimple>
      <w:r w:rsidRPr="00156980">
        <w:rPr>
          <w:szCs w:val="17"/>
        </w:rPr>
        <w:t xml:space="preserve"> bis </w:t>
      </w:r>
      <w:fldSimple w:instr=" NOTEREF _Ref267425607 \h  \* MERGEFORMAT ">
        <w:r w:rsidR="001231D3" w:rsidRPr="001231D3">
          <w:rPr>
            <w:szCs w:val="17"/>
          </w:rPr>
          <w:t>77</w:t>
        </w:r>
      </w:fldSimple>
      <w:r w:rsidRPr="00156980">
        <w:rPr>
          <w:szCs w:val="17"/>
        </w:rPr>
        <w:t>, gegeben). Diese Definitionen sind allgemeiner als solche, die Stil nur auf der Ausdrucksebene suchen, da sie auch A</w:t>
      </w:r>
      <w:r w:rsidRPr="00156980">
        <w:rPr>
          <w:szCs w:val="17"/>
        </w:rPr>
        <w:t>s</w:t>
      </w:r>
      <w:r w:rsidRPr="00156980">
        <w:rPr>
          <w:szCs w:val="17"/>
        </w:rPr>
        <w:t>pekte des Inhalts einschließen, und werden daher auch von der Argumentation in A</w:t>
      </w:r>
      <w:r w:rsidRPr="00156980">
        <w:rPr>
          <w:szCs w:val="17"/>
        </w:rPr>
        <w:t>b</w:t>
      </w:r>
      <w:r w:rsidRPr="00156980">
        <w:rPr>
          <w:szCs w:val="17"/>
        </w:rPr>
        <w:t xml:space="preserve">schnitt </w:t>
      </w:r>
      <w:fldSimple w:instr=" REF _Ref260056929 \r \h  \* MERGEFORMAT ">
        <w:r w:rsidR="001231D3" w:rsidRPr="001231D3">
          <w:rPr>
            <w:szCs w:val="17"/>
          </w:rPr>
          <w:t>2.1</w:t>
        </w:r>
      </w:fldSimple>
      <w:r w:rsidRPr="00156980">
        <w:rPr>
          <w:szCs w:val="17"/>
        </w:rPr>
        <w:t xml:space="preserve"> erfasst.</w:t>
      </w:r>
    </w:p>
  </w:footnote>
  <w:footnote w:id="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Der Terminus „Ausdrucksebene</w:t>
      </w:r>
      <w:r w:rsidR="005D7996">
        <w:rPr>
          <w:szCs w:val="17"/>
        </w:rPr>
        <w:fldChar w:fldCharType="begin"/>
      </w:r>
      <w:r>
        <w:instrText xml:space="preserve"> XE "</w:instrText>
      </w:r>
      <w:r w:rsidRPr="00DA0E29">
        <w:instrText>Ausdrucksebene</w:instrText>
      </w:r>
      <w:r>
        <w:instrText xml:space="preserve">" </w:instrText>
      </w:r>
      <w:r w:rsidR="005D7996">
        <w:rPr>
          <w:szCs w:val="17"/>
        </w:rPr>
        <w:fldChar w:fldCharType="end"/>
      </w:r>
      <w:r w:rsidRPr="00156980">
        <w:rPr>
          <w:szCs w:val="17"/>
        </w:rPr>
        <w:t>“ wurde von Hjelmslev</w:t>
      </w:r>
      <w:r w:rsidR="005D7996">
        <w:rPr>
          <w:szCs w:val="17"/>
        </w:rPr>
        <w:fldChar w:fldCharType="begin"/>
      </w:r>
      <w:r>
        <w:instrText xml:space="preserve"> XE "</w:instrText>
      </w:r>
      <w:r w:rsidRPr="0066089F">
        <w:instrText>Hjelmslev</w:instrText>
      </w:r>
      <w:r>
        <w:instrText xml:space="preserve">" </w:instrText>
      </w:r>
      <w:r w:rsidR="005D7996">
        <w:rPr>
          <w:szCs w:val="17"/>
        </w:rPr>
        <w:fldChar w:fldCharType="end"/>
      </w:r>
      <w:r w:rsidRPr="00156980">
        <w:rPr>
          <w:szCs w:val="17"/>
        </w:rPr>
        <w:t xml:space="preserve"> eingeführt (vgl. Hjelmslev 1943 und Johansen 1998: 2277f) und bezeichnet die Menge der Zeichenträger eines Zeiche</w:t>
      </w:r>
      <w:r w:rsidRPr="00156980">
        <w:rPr>
          <w:szCs w:val="17"/>
        </w:rPr>
        <w:t>n</w:t>
      </w:r>
      <w:r w:rsidRPr="00156980">
        <w:rPr>
          <w:szCs w:val="17"/>
        </w:rPr>
        <w:t>komplexes</w:t>
      </w:r>
      <w:r w:rsidR="005D7996">
        <w:rPr>
          <w:szCs w:val="17"/>
        </w:rPr>
        <w:fldChar w:fldCharType="begin"/>
      </w:r>
      <w:r>
        <w:instrText xml:space="preserve"> XE "</w:instrText>
      </w:r>
      <w:r w:rsidRPr="004E4877">
        <w:rPr>
          <w:szCs w:val="17"/>
        </w:rPr>
        <w:instrText>Zeichenkomplex</w:instrText>
      </w:r>
      <w:r>
        <w:instrText xml:space="preserve">" </w:instrText>
      </w:r>
      <w:r w:rsidR="005D7996">
        <w:rPr>
          <w:szCs w:val="17"/>
        </w:rPr>
        <w:fldChar w:fldCharType="end"/>
      </w:r>
      <w:r w:rsidRPr="00156980">
        <w:rPr>
          <w:szCs w:val="17"/>
        </w:rPr>
        <w:t xml:space="preserve"> einschließlich der zwischen ihnen bestehenden Relationen (insbesondere ihrer Anordnung).</w:t>
      </w:r>
    </w:p>
  </w:footnote>
  <w:footnote w:id="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6098068 \r \h  \* MERGEFORMAT ">
        <w:r w:rsidR="001231D3" w:rsidRPr="001231D3">
          <w:rPr>
            <w:szCs w:val="17"/>
          </w:rPr>
          <w:t>3.5</w:t>
        </w:r>
      </w:fldSimple>
      <w:r w:rsidRPr="00156980">
        <w:rPr>
          <w:szCs w:val="17"/>
        </w:rPr>
        <w:t>.</w:t>
      </w:r>
    </w:p>
  </w:footnote>
  <w:footnote w:id="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sind Klassen von Elementen, die mit Hilfe von </w:t>
      </w:r>
      <w:r>
        <w:rPr>
          <w:szCs w:val="17"/>
        </w:rPr>
        <w:t>Äqui</w:t>
      </w:r>
      <w:r>
        <w:rPr>
          <w:szCs w:val="17"/>
        </w:rPr>
        <w:softHyphen/>
        <w:t>valenz</w:t>
      </w:r>
      <w:r>
        <w:rPr>
          <w:szCs w:val="17"/>
        </w:rPr>
        <w:softHyphen/>
        <w:t>krit</w:t>
      </w:r>
      <w:r w:rsidRPr="00156980">
        <w:rPr>
          <w:szCs w:val="17"/>
        </w:rPr>
        <w:t>erien</w:t>
      </w:r>
      <w:r w:rsidR="005D7996">
        <w:rPr>
          <w:szCs w:val="17"/>
        </w:rPr>
        <w:fldChar w:fldCharType="begin"/>
      </w:r>
      <w:r>
        <w:instrText xml:space="preserve"> XE "</w:instrText>
      </w:r>
      <w:r w:rsidRPr="003D41BB">
        <w:instrText>Äquivalenzkriterien</w:instrText>
      </w:r>
      <w:r>
        <w:instrText xml:space="preserve">" </w:instrText>
      </w:r>
      <w:r w:rsidR="005D7996">
        <w:rPr>
          <w:szCs w:val="17"/>
        </w:rPr>
        <w:fldChar w:fldCharType="end"/>
      </w:r>
      <w:r w:rsidRPr="00156980">
        <w:rPr>
          <w:szCs w:val="17"/>
        </w:rPr>
        <w:t xml:space="preserve"> gebildet werden, die gemeinsame Eigenschaften aller Elemente der Klasse definieren; vgl. zur Erfassung von Strukturen mit Äquivalenzklassen</w:t>
      </w:r>
      <w:r w:rsidR="005D7996">
        <w:rPr>
          <w:szCs w:val="17"/>
        </w:rPr>
        <w:fldChar w:fldCharType="begin"/>
      </w:r>
      <w:r>
        <w:instrText xml:space="preserve"> XE "</w:instrText>
      </w:r>
      <w:r w:rsidRPr="005C61CE">
        <w:instrText>Äquivalenzklasse</w:instrText>
      </w:r>
      <w:r>
        <w:instrText xml:space="preserve">" </w:instrText>
      </w:r>
      <w:r w:rsidR="005D7996">
        <w:rPr>
          <w:szCs w:val="17"/>
        </w:rPr>
        <w:fldChar w:fldCharType="end"/>
      </w:r>
      <w:r w:rsidRPr="00156980">
        <w:rPr>
          <w:szCs w:val="17"/>
        </w:rPr>
        <w:t xml:space="preserve"> Abschnitt </w:t>
      </w:r>
      <w:fldSimple w:instr=" REF _Ref267836372 \r \h  \* MERGEFORMAT ">
        <w:r w:rsidR="001231D3" w:rsidRPr="001231D3">
          <w:rPr>
            <w:szCs w:val="17"/>
          </w:rPr>
          <w:t>3.6</w:t>
        </w:r>
      </w:fldSimple>
      <w:r w:rsidRPr="00156980">
        <w:rPr>
          <w:szCs w:val="17"/>
        </w:rPr>
        <w:t>.</w:t>
      </w:r>
    </w:p>
  </w:footnote>
  <w:footnote w:id="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 Stilanalysen häufig im Rahmen von Textanalysen vorgenommen werden, werden manchmal rein inhaltlich bedingte Regelmäßigkeiten zusammen mit stilistisch bedingten untersucht. In diesem Fall können jedoch erstere nicht zur Stilanalyse gezählt werden, sonst würde die Häufung dieser Segmente als Stilmerkmal erscheinen und der Stil wäre automatisch vom Inhalt abhängig. Für die Stilanalyse können sich allerdings Überlegu</w:t>
      </w:r>
      <w:r w:rsidRPr="00156980">
        <w:rPr>
          <w:szCs w:val="17"/>
        </w:rPr>
        <w:t>n</w:t>
      </w:r>
      <w:r w:rsidRPr="00156980">
        <w:rPr>
          <w:szCs w:val="17"/>
        </w:rPr>
        <w:t>gen der Art ergeben: „Hätte der Sprecher/Schreiber prinzipiell auch andere Wörter wä</w:t>
      </w:r>
      <w:r w:rsidRPr="00156980">
        <w:rPr>
          <w:szCs w:val="17"/>
        </w:rPr>
        <w:t>h</w:t>
      </w:r>
      <w:r w:rsidRPr="00156980">
        <w:rPr>
          <w:szCs w:val="17"/>
        </w:rPr>
        <w:t>len können, um den entsprechenden Inhalt auszudrücken? Ist es also Kennzeichen seines geringen Wortschatzes oder einer absichtlichen Beschränkung, dass er viele Wörter mit gleichem Stamm benutzt?“ Damit ist man jedoch wieder bei „Stil als Auswahl“ angelangt.</w:t>
      </w:r>
    </w:p>
  </w:footnote>
  <w:footnote w:id="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Beispiel kann es erscheinen, als wäre dies möglich, indem man die erkennbar inhaltlich bedingten Häufigkeitsunterschiede weglässt. In der Regel kann jedoch nicht so einfach zwischen inhaltlichen und stilistischen Merkmalen getrennt werden; stellt sich etwa beim Vergleich der Gartenbauzeitschrift mit einer juristischen Fachzeitschrift heraus, dass letztere eine höhere Satzlänge hat, so wäre nicht erkennbar, inwieweit dies auf den ve</w:t>
      </w:r>
      <w:r w:rsidRPr="00156980">
        <w:rPr>
          <w:szCs w:val="17"/>
        </w:rPr>
        <w:t>r</w:t>
      </w:r>
      <w:r w:rsidRPr="00156980">
        <w:rPr>
          <w:szCs w:val="17"/>
        </w:rPr>
        <w:t>mutlich komplexeren Inhalt und inwieweit auf Stilunterschiede zurückzuführen ist.</w:t>
      </w:r>
    </w:p>
  </w:footnote>
  <w:footnote w:id="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Häufig wird die Aussage, es handele sich bei einem erkennbaren Phänomen nicht um Stil, mit einem bestimmten Beispielfall gekontert, bei dem es sich doch um Stil handele. Im vorliegenden Fall könnte ein solcher Einwand etwa </w:t>
      </w:r>
      <w:r>
        <w:rPr>
          <w:szCs w:val="17"/>
        </w:rPr>
        <w:t>betonen,</w:t>
      </w:r>
      <w:r w:rsidRPr="00156980">
        <w:rPr>
          <w:szCs w:val="17"/>
        </w:rPr>
        <w:t xml:space="preserve"> </w:t>
      </w:r>
      <w:r>
        <w:rPr>
          <w:szCs w:val="17"/>
        </w:rPr>
        <w:t>d</w:t>
      </w:r>
      <w:r w:rsidRPr="00156980">
        <w:rPr>
          <w:szCs w:val="17"/>
        </w:rPr>
        <w:t>as festgestellte Muster auf der Ausdrucksebene</w:t>
      </w:r>
      <w:r w:rsidR="005D7996">
        <w:rPr>
          <w:szCs w:val="17"/>
        </w:rPr>
        <w:fldChar w:fldCharType="begin"/>
      </w:r>
      <w:r>
        <w:instrText xml:space="preserve"> XE "</w:instrText>
      </w:r>
      <w:r w:rsidRPr="00DA0E29">
        <w:instrText>Ausdrucksebene</w:instrText>
      </w:r>
      <w:r>
        <w:instrText xml:space="preserve">" </w:instrText>
      </w:r>
      <w:r w:rsidR="005D7996">
        <w:rPr>
          <w:szCs w:val="17"/>
        </w:rPr>
        <w:fldChar w:fldCharType="end"/>
      </w:r>
      <w:r w:rsidRPr="00156980">
        <w:rPr>
          <w:szCs w:val="17"/>
        </w:rPr>
        <w:t xml:space="preserve"> T</w:t>
      </w:r>
      <w:r w:rsidRPr="00156980">
        <w:rPr>
          <w:szCs w:val="17"/>
          <w:vertAlign w:val="subscript"/>
        </w:rPr>
        <w:t>1</w:t>
      </w:r>
      <w:r w:rsidRPr="00156980">
        <w:rPr>
          <w:szCs w:val="17"/>
        </w:rPr>
        <w:t xml:space="preserve"> / GT</w:t>
      </w:r>
      <w:r w:rsidRPr="00156980">
        <w:rPr>
          <w:szCs w:val="17"/>
          <w:vertAlign w:val="subscript"/>
        </w:rPr>
        <w:t>1</w:t>
      </w:r>
      <w:r w:rsidRPr="00156980">
        <w:rPr>
          <w:szCs w:val="17"/>
        </w:rPr>
        <w:t xml:space="preserve"> / T</w:t>
      </w:r>
      <w:r w:rsidRPr="00156980">
        <w:rPr>
          <w:szCs w:val="17"/>
          <w:vertAlign w:val="subscript"/>
        </w:rPr>
        <w:t>2</w:t>
      </w:r>
      <w:r w:rsidRPr="00156980">
        <w:rPr>
          <w:szCs w:val="17"/>
        </w:rPr>
        <w:t xml:space="preserve"> / GT</w:t>
      </w:r>
      <w:r w:rsidRPr="00156980">
        <w:rPr>
          <w:szCs w:val="17"/>
          <w:vertAlign w:val="subscript"/>
        </w:rPr>
        <w:t>2</w:t>
      </w:r>
      <w:r w:rsidRPr="00156980">
        <w:rPr>
          <w:szCs w:val="17"/>
        </w:rPr>
        <w:t xml:space="preserve"> … T</w:t>
      </w:r>
      <w:r w:rsidRPr="00420FA9">
        <w:rPr>
          <w:i/>
          <w:szCs w:val="17"/>
          <w:vertAlign w:val="subscript"/>
        </w:rPr>
        <w:t>n</w:t>
      </w:r>
      <w:r w:rsidRPr="00156980">
        <w:rPr>
          <w:szCs w:val="17"/>
        </w:rPr>
        <w:t xml:space="preserve"> / GT</w:t>
      </w:r>
      <w:r w:rsidRPr="00420FA9">
        <w:rPr>
          <w:i/>
          <w:szCs w:val="17"/>
          <w:vertAlign w:val="subscript"/>
        </w:rPr>
        <w:t>n</w:t>
      </w:r>
      <w:r w:rsidRPr="00156980">
        <w:rPr>
          <w:szCs w:val="17"/>
        </w:rPr>
        <w:t xml:space="preserve"> / S </w:t>
      </w:r>
      <w:r>
        <w:rPr>
          <w:szCs w:val="17"/>
        </w:rPr>
        <w:t xml:space="preserve">sei doch auch </w:t>
      </w:r>
      <w:r w:rsidRPr="00156980">
        <w:rPr>
          <w:szCs w:val="17"/>
        </w:rPr>
        <w:t>stilistisch relevant. Der Aufsatz könne ja auch anders gegliedert sein</w:t>
      </w:r>
      <w:r>
        <w:rPr>
          <w:szCs w:val="17"/>
        </w:rPr>
        <w:t xml:space="preserve">, </w:t>
      </w:r>
      <w:r w:rsidRPr="00156980">
        <w:rPr>
          <w:szCs w:val="17"/>
        </w:rPr>
        <w:t>etwa durch komplette Darstellung der These und der Gegenthese: T / G / S.</w:t>
      </w:r>
      <w:r>
        <w:rPr>
          <w:szCs w:val="17"/>
        </w:rPr>
        <w:t xml:space="preserve"> –</w:t>
      </w:r>
      <w:r w:rsidRPr="00156980">
        <w:rPr>
          <w:szCs w:val="17"/>
        </w:rPr>
        <w:t xml:space="preserve"> Der Einwand bezieht sich jedoch auf die Unte</w:t>
      </w:r>
      <w:r w:rsidRPr="00156980">
        <w:rPr>
          <w:szCs w:val="17"/>
        </w:rPr>
        <w:t>r</w:t>
      </w:r>
      <w:r w:rsidRPr="00156980">
        <w:rPr>
          <w:szCs w:val="17"/>
        </w:rPr>
        <w:t xml:space="preserve">scheidung verschiedener Möglichkeiten, zu argumentieren. Technisch ausgedrückt: Die Ebene, auf der die Auswahlsituationen (die in der Theorie als </w:t>
      </w:r>
      <w:r>
        <w:rPr>
          <w:szCs w:val="17"/>
        </w:rPr>
        <w:t>Alter</w:t>
      </w:r>
      <w:r>
        <w:rPr>
          <w:szCs w:val="17"/>
        </w:rPr>
        <w:softHyphen/>
        <w:t>nativen</w:t>
      </w:r>
      <w:r>
        <w:rPr>
          <w:szCs w:val="17"/>
        </w:rPr>
        <w:softHyphen/>
        <w:t>klasse</w:t>
      </w:r>
      <w:r w:rsidRPr="00156980">
        <w:rPr>
          <w:szCs w:val="17"/>
        </w:rPr>
        <w:t xml:space="preserve">n erfasst werden) zu bilden sind, ist eine andere. </w:t>
      </w:r>
      <w:r>
        <w:rPr>
          <w:szCs w:val="17"/>
        </w:rPr>
        <w:t xml:space="preserve">Der Einwand spricht über </w:t>
      </w:r>
      <w:r w:rsidRPr="00156980">
        <w:rPr>
          <w:szCs w:val="17"/>
        </w:rPr>
        <w:t>die Auswahl verschi</w:t>
      </w:r>
      <w:r w:rsidRPr="00156980">
        <w:rPr>
          <w:szCs w:val="17"/>
        </w:rPr>
        <w:t>e</w:t>
      </w:r>
      <w:r w:rsidRPr="00156980">
        <w:rPr>
          <w:szCs w:val="17"/>
        </w:rPr>
        <w:t>dener möglicher Argumentationsmuster</w:t>
      </w:r>
      <w:r>
        <w:rPr>
          <w:szCs w:val="17"/>
        </w:rPr>
        <w:t xml:space="preserve">, also über </w:t>
      </w:r>
      <w:r w:rsidRPr="00156980">
        <w:rPr>
          <w:szCs w:val="17"/>
        </w:rPr>
        <w:t>„Argumentationsstil</w:t>
      </w:r>
      <w:r>
        <w:rPr>
          <w:szCs w:val="17"/>
        </w:rPr>
        <w:t>e</w:t>
      </w:r>
      <w:r w:rsidRPr="00156980">
        <w:rPr>
          <w:szCs w:val="17"/>
        </w:rPr>
        <w:t>“</w:t>
      </w:r>
      <w:r>
        <w:rPr>
          <w:szCs w:val="17"/>
        </w:rPr>
        <w:t>, i</w:t>
      </w:r>
      <w:r w:rsidRPr="00156980">
        <w:rPr>
          <w:szCs w:val="17"/>
        </w:rPr>
        <w:t xml:space="preserve">m </w:t>
      </w:r>
      <w:r>
        <w:rPr>
          <w:szCs w:val="17"/>
        </w:rPr>
        <w:t>obigen Be</w:t>
      </w:r>
      <w:r>
        <w:rPr>
          <w:szCs w:val="17"/>
        </w:rPr>
        <w:t>i</w:t>
      </w:r>
      <w:r>
        <w:rPr>
          <w:szCs w:val="17"/>
        </w:rPr>
        <w:t xml:space="preserve">spiel </w:t>
      </w:r>
      <w:r w:rsidRPr="00156980">
        <w:rPr>
          <w:szCs w:val="17"/>
        </w:rPr>
        <w:t xml:space="preserve">ging es jedoch um die Auswahl </w:t>
      </w:r>
      <w:r>
        <w:rPr>
          <w:szCs w:val="17"/>
        </w:rPr>
        <w:t>sprachlicher Ausdrucksvarianten, also über „sprac</w:t>
      </w:r>
      <w:r>
        <w:rPr>
          <w:szCs w:val="17"/>
        </w:rPr>
        <w:t>h</w:t>
      </w:r>
      <w:r>
        <w:rPr>
          <w:szCs w:val="17"/>
        </w:rPr>
        <w:t>lichen</w:t>
      </w:r>
      <w:r w:rsidRPr="00156980">
        <w:rPr>
          <w:szCs w:val="17"/>
        </w:rPr>
        <w:t xml:space="preserve"> Stil“. – So wird aufgrund der Allgegenwart von Stilen häufig ein </w:t>
      </w:r>
      <w:r>
        <w:rPr>
          <w:szCs w:val="17"/>
        </w:rPr>
        <w:t xml:space="preserve">zu einem </w:t>
      </w:r>
      <w:r w:rsidRPr="00156980">
        <w:rPr>
          <w:i/>
          <w:iCs/>
          <w:szCs w:val="17"/>
        </w:rPr>
        <w:t>andere</w:t>
      </w:r>
      <w:r>
        <w:rPr>
          <w:i/>
          <w:iCs/>
          <w:szCs w:val="17"/>
        </w:rPr>
        <w:t>n</w:t>
      </w:r>
      <w:r w:rsidRPr="00156980">
        <w:rPr>
          <w:i/>
          <w:iCs/>
          <w:szCs w:val="17"/>
        </w:rPr>
        <w:t xml:space="preserve"> </w:t>
      </w:r>
      <w:r>
        <w:rPr>
          <w:szCs w:val="17"/>
        </w:rPr>
        <w:t>Stil gehörender B</w:t>
      </w:r>
      <w:r w:rsidRPr="00156980">
        <w:rPr>
          <w:szCs w:val="17"/>
        </w:rPr>
        <w:t>ereich (in der Theorie als „Schem</w:t>
      </w:r>
      <w:r w:rsidRPr="00BD5606">
        <w:rPr>
          <w:szCs w:val="17"/>
        </w:rPr>
        <w:t xml:space="preserve">aort“ erfasst; vgl. </w:t>
      </w:r>
      <w:fldSimple w:instr=" REF _Ref212111029 \r \h  \* MERGEFORMAT ">
        <w:r w:rsidR="001231D3" w:rsidRPr="001231D3">
          <w:rPr>
            <w:szCs w:val="17"/>
          </w:rPr>
          <w:t>4.2.3</w:t>
        </w:r>
      </w:fldSimple>
      <w:r w:rsidRPr="00BD5606">
        <w:rPr>
          <w:szCs w:val="17"/>
        </w:rPr>
        <w:t>) als vermeintl</w:t>
      </w:r>
      <w:r w:rsidRPr="00BD5606">
        <w:rPr>
          <w:szCs w:val="17"/>
        </w:rPr>
        <w:t>i</w:t>
      </w:r>
      <w:r w:rsidRPr="00BD5606">
        <w:rPr>
          <w:szCs w:val="17"/>
        </w:rPr>
        <w:t>ches Gegenbeispiel dagegen angeführt, dass eine bestimmte Regelmäßigkeit nicht zu e</w:t>
      </w:r>
      <w:r w:rsidRPr="00BD5606">
        <w:rPr>
          <w:szCs w:val="17"/>
        </w:rPr>
        <w:t>i</w:t>
      </w:r>
      <w:r w:rsidRPr="00BD5606">
        <w:rPr>
          <w:szCs w:val="17"/>
        </w:rPr>
        <w:t xml:space="preserve">nem </w:t>
      </w:r>
      <w:r>
        <w:rPr>
          <w:szCs w:val="17"/>
        </w:rPr>
        <w:t xml:space="preserve">bestimmten </w:t>
      </w:r>
      <w:r w:rsidRPr="00BD5606">
        <w:rPr>
          <w:szCs w:val="17"/>
        </w:rPr>
        <w:t>Stil gehört</w:t>
      </w:r>
      <w:r w:rsidRPr="00156980">
        <w:rPr>
          <w:szCs w:val="17"/>
        </w:rPr>
        <w:t>.</w:t>
      </w:r>
    </w:p>
  </w:footnote>
  <w:footnote w:id="67">
    <w:p w:rsidR="00CC3558" w:rsidRPr="00156980" w:rsidRDefault="00CC3558" w:rsidP="00F461D9">
      <w:pPr>
        <w:pStyle w:val="Funotentext"/>
        <w:rPr>
          <w:szCs w:val="17"/>
          <w:lang w:val="en-US"/>
        </w:rPr>
      </w:pPr>
      <w:r w:rsidRPr="00156980">
        <w:rPr>
          <w:rStyle w:val="Funotenzeichen"/>
          <w:szCs w:val="17"/>
        </w:rPr>
        <w:footnoteRef/>
      </w:r>
      <w:r w:rsidRPr="00156980">
        <w:rPr>
          <w:szCs w:val="17"/>
          <w:lang w:val="en-US"/>
        </w:rPr>
        <w:t xml:space="preserve"> </w:t>
      </w:r>
      <w:r w:rsidRPr="00156980">
        <w:rPr>
          <w:szCs w:val="17"/>
          <w:lang w:val="en-US"/>
        </w:rPr>
        <w:tab/>
        <w:t xml:space="preserve">So kritisieren Leech u.a. (1981: 34f) am Ansatz von Halliday (Halliday 1971): „For [Halliday], even choices which are clearly dictated by subject matter are part of style: it is part of the style of a particular cookery book that it contains wods like </w:t>
      </w:r>
      <w:r w:rsidRPr="00156980">
        <w:rPr>
          <w:i/>
          <w:szCs w:val="17"/>
          <w:lang w:val="en-US"/>
        </w:rPr>
        <w:t>butter</w:t>
      </w:r>
      <w:r w:rsidRPr="00156980">
        <w:rPr>
          <w:szCs w:val="17"/>
          <w:lang w:val="en-US"/>
        </w:rPr>
        <w:t xml:space="preserve">, </w:t>
      </w:r>
      <w:r w:rsidRPr="00156980">
        <w:rPr>
          <w:i/>
          <w:szCs w:val="17"/>
          <w:lang w:val="en-US"/>
        </w:rPr>
        <w:t>flour</w:t>
      </w:r>
      <w:r w:rsidRPr="00156980">
        <w:rPr>
          <w:szCs w:val="17"/>
          <w:lang w:val="en-US"/>
        </w:rPr>
        <w:t xml:space="preserve">, </w:t>
      </w:r>
      <w:r w:rsidRPr="00156980">
        <w:rPr>
          <w:i/>
          <w:szCs w:val="17"/>
          <w:lang w:val="en-US"/>
        </w:rPr>
        <w:t>boil</w:t>
      </w:r>
      <w:r w:rsidRPr="00156980">
        <w:rPr>
          <w:szCs w:val="17"/>
          <w:lang w:val="en-US"/>
        </w:rPr>
        <w:t xml:space="preserve"> and </w:t>
      </w:r>
      <w:r w:rsidRPr="00156980">
        <w:rPr>
          <w:i/>
          <w:szCs w:val="17"/>
          <w:lang w:val="en-US"/>
        </w:rPr>
        <w:t>bake</w:t>
      </w:r>
      <w:r w:rsidRPr="00156980">
        <w:rPr>
          <w:szCs w:val="17"/>
          <w:lang w:val="en-US"/>
        </w:rPr>
        <w:t xml:space="preserve">; and it is part of the style of </w:t>
      </w:r>
      <w:r w:rsidRPr="00156980">
        <w:rPr>
          <w:i/>
          <w:szCs w:val="17"/>
          <w:lang w:val="en-US"/>
        </w:rPr>
        <w:t>Animal Farm</w:t>
      </w:r>
      <w:r w:rsidRPr="00156980">
        <w:rPr>
          <w:szCs w:val="17"/>
          <w:lang w:val="en-US"/>
        </w:rPr>
        <w:t xml:space="preserve"> that it contains many occurrences of </w:t>
      </w:r>
      <w:r w:rsidRPr="00156980">
        <w:rPr>
          <w:i/>
          <w:szCs w:val="17"/>
          <w:lang w:val="en-US"/>
        </w:rPr>
        <w:t>pigs</w:t>
      </w:r>
      <w:r w:rsidRPr="00156980">
        <w:rPr>
          <w:szCs w:val="17"/>
          <w:lang w:val="en-US"/>
        </w:rPr>
        <w:t xml:space="preserve">, </w:t>
      </w:r>
      <w:r w:rsidRPr="00156980">
        <w:rPr>
          <w:i/>
          <w:szCs w:val="17"/>
          <w:lang w:val="en-US"/>
        </w:rPr>
        <w:t>farm</w:t>
      </w:r>
      <w:r w:rsidRPr="00156980">
        <w:rPr>
          <w:szCs w:val="17"/>
          <w:lang w:val="en-US"/>
        </w:rPr>
        <w:t xml:space="preserve">, and </w:t>
      </w:r>
      <w:r w:rsidRPr="00156980">
        <w:rPr>
          <w:i/>
          <w:szCs w:val="17"/>
          <w:lang w:val="en-US"/>
        </w:rPr>
        <w:t>Napoleon.</w:t>
      </w:r>
      <w:r w:rsidRPr="00156980">
        <w:rPr>
          <w:szCs w:val="17"/>
          <w:lang w:val="en-US"/>
        </w:rPr>
        <w:t xml:space="preserve"> […] Applied to non-fictional language, this position fails to make an important discrimination. In a medical textbook, the choice between </w:t>
      </w:r>
      <w:r w:rsidRPr="00156980">
        <w:rPr>
          <w:i/>
          <w:szCs w:val="17"/>
          <w:lang w:val="en-US"/>
        </w:rPr>
        <w:t>clavicle</w:t>
      </w:r>
      <w:r w:rsidRPr="00156980">
        <w:rPr>
          <w:szCs w:val="17"/>
          <w:lang w:val="en-US"/>
        </w:rPr>
        <w:t xml:space="preserve"> and </w:t>
      </w:r>
      <w:r w:rsidRPr="00156980">
        <w:rPr>
          <w:i/>
          <w:szCs w:val="17"/>
          <w:lang w:val="en-US"/>
        </w:rPr>
        <w:t>collar-bone</w:t>
      </w:r>
      <w:r w:rsidRPr="00156980">
        <w:rPr>
          <w:szCs w:val="17"/>
          <w:lang w:val="en-US"/>
        </w:rPr>
        <w:t xml:space="preserve"> can justly be called a matter of stylistic variation. But if the author replaced </w:t>
      </w:r>
      <w:r w:rsidRPr="00156980">
        <w:rPr>
          <w:i/>
          <w:szCs w:val="17"/>
          <w:lang w:val="en-US"/>
        </w:rPr>
        <w:t>clavicle</w:t>
      </w:r>
      <w:r w:rsidRPr="00156980">
        <w:rPr>
          <w:szCs w:val="17"/>
          <w:lang w:val="en-US"/>
        </w:rPr>
        <w:t xml:space="preserve"> by </w:t>
      </w:r>
      <w:r w:rsidRPr="00156980">
        <w:rPr>
          <w:i/>
          <w:szCs w:val="17"/>
          <w:lang w:val="en-US"/>
        </w:rPr>
        <w:t>thigh-bone</w:t>
      </w:r>
      <w:r w:rsidRPr="00156980">
        <w:rPr>
          <w:szCs w:val="17"/>
          <w:lang w:val="en-US"/>
        </w:rPr>
        <w:t>, this would no longer be a matter of stylistic variation“.</w:t>
      </w:r>
    </w:p>
    <w:p w:rsidR="00CC3558" w:rsidRPr="00156980" w:rsidRDefault="00CC3558" w:rsidP="00F461D9">
      <w:pPr>
        <w:pStyle w:val="Funotentext"/>
        <w:rPr>
          <w:szCs w:val="17"/>
        </w:rPr>
      </w:pPr>
      <w:r w:rsidRPr="00156980">
        <w:rPr>
          <w:szCs w:val="17"/>
          <w:lang w:val="en-US"/>
        </w:rPr>
        <w:tab/>
      </w:r>
      <w:r w:rsidRPr="00156980">
        <w:rPr>
          <w:szCs w:val="17"/>
        </w:rPr>
        <w:t>Das Problem entsteht, weil stilistische Auswahl nicht von inhaltlicher Auswahl getrennt wird. Leech u.a. (</w:t>
      </w:r>
      <w:r>
        <w:rPr>
          <w:szCs w:val="17"/>
        </w:rPr>
        <w:t>1981</w:t>
      </w:r>
      <w:r w:rsidRPr="00156980">
        <w:rPr>
          <w:szCs w:val="17"/>
        </w:rPr>
        <w:t xml:space="preserve">: 35) betonen, dass alle monistischen Positionen (vgl. Fußnote </w:t>
      </w:r>
      <w:fldSimple w:instr=" NOTEREF _Ref271312043 \h  \* MERGEFORMAT ">
        <w:r w:rsidR="001231D3" w:rsidRPr="001231D3">
          <w:rPr>
            <w:szCs w:val="17"/>
          </w:rPr>
          <w:t>59</w:t>
        </w:r>
      </w:fldSimple>
      <w:r w:rsidRPr="00156980">
        <w:rPr>
          <w:szCs w:val="17"/>
        </w:rPr>
        <w:t>) dieses Problem haben.</w:t>
      </w:r>
    </w:p>
  </w:footnote>
  <w:footnote w:id="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Thomas Bernhard</w:t>
      </w:r>
      <w:r w:rsidR="005D7996">
        <w:rPr>
          <w:szCs w:val="17"/>
        </w:rPr>
        <w:fldChar w:fldCharType="begin"/>
      </w:r>
      <w:r>
        <w:instrText xml:space="preserve"> XE "</w:instrText>
      </w:r>
      <w:r w:rsidRPr="00FB4215">
        <w:rPr>
          <w:rFonts w:eastAsia="Times New Roman" w:cs="Times New Roman"/>
        </w:rPr>
        <w:instrText>Bernhard, Thomas</w:instrText>
      </w:r>
      <w:r>
        <w:instrText xml:space="preserve">" </w:instrText>
      </w:r>
      <w:r w:rsidR="005D7996">
        <w:rPr>
          <w:szCs w:val="17"/>
        </w:rPr>
        <w:fldChar w:fldCharType="end"/>
      </w:r>
      <w:r w:rsidRPr="00156980">
        <w:rPr>
          <w:szCs w:val="17"/>
        </w:rPr>
        <w:t xml:space="preserve"> sei als Beispiel für einen Schriftsteller genannt, bei dem dies ohne We</w:t>
      </w:r>
      <w:r w:rsidRPr="00156980">
        <w:rPr>
          <w:szCs w:val="17"/>
        </w:rPr>
        <w:t>i</w:t>
      </w:r>
      <w:r w:rsidRPr="00156980">
        <w:rPr>
          <w:szCs w:val="17"/>
        </w:rPr>
        <w:t>teres möglich ist. Zum charakteristischen Stil Bernhards, der in der österreichischen Lit</w:t>
      </w:r>
      <w:r w:rsidRPr="00156980">
        <w:rPr>
          <w:szCs w:val="17"/>
        </w:rPr>
        <w:t>e</w:t>
      </w:r>
      <w:r w:rsidRPr="00156980">
        <w:rPr>
          <w:szCs w:val="17"/>
        </w:rPr>
        <w:t>ratur Nachahmer fand, siehe Eder 1979 und Eyckeler 1995. Vgl. auch Göttert u.a. 2004 (253ff), die den Stil Bernhards auf der Grundlage eines stilanalytischen Systems in den Vergleich mit Literaturstilen des Deutschen seit Gottfried von Straßburg</w:t>
      </w:r>
      <w:r w:rsidR="005D7996">
        <w:rPr>
          <w:szCs w:val="17"/>
        </w:rPr>
        <w:fldChar w:fldCharType="begin"/>
      </w:r>
      <w:r>
        <w:instrText xml:space="preserve"> XE "</w:instrText>
      </w:r>
      <w:r w:rsidRPr="00A6518D">
        <w:rPr>
          <w:szCs w:val="17"/>
        </w:rPr>
        <w:instrText>Gottfried von Straßburg</w:instrText>
      </w:r>
      <w:r>
        <w:instrText xml:space="preserve">" </w:instrText>
      </w:r>
      <w:r w:rsidR="005D7996">
        <w:rPr>
          <w:szCs w:val="17"/>
        </w:rPr>
        <w:fldChar w:fldCharType="end"/>
      </w:r>
      <w:r w:rsidRPr="00156980">
        <w:rPr>
          <w:szCs w:val="17"/>
        </w:rPr>
        <w:t xml:space="preserve"> stellen (ebd.: 155-258).</w:t>
      </w:r>
    </w:p>
  </w:footnote>
  <w:footnote w:id="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Dass Schritt-für-Schritt-Anleitungen vielleicht gerade deshalb in Mode gekommen sind, weil sie als „funktionaler“ gelten (nämlich eine leichtere Bedienung ermöglichen), ist nicht entscheidend. Funktionale Bedingungen legen nur die für die Funktion </w:t>
      </w:r>
      <w:r w:rsidRPr="00156980">
        <w:rPr>
          <w:i/>
          <w:szCs w:val="17"/>
        </w:rPr>
        <w:t>unverzich</w:t>
      </w:r>
      <w:r w:rsidRPr="00156980">
        <w:rPr>
          <w:i/>
          <w:szCs w:val="17"/>
        </w:rPr>
        <w:t>t</w:t>
      </w:r>
      <w:r w:rsidRPr="00156980">
        <w:rPr>
          <w:i/>
          <w:szCs w:val="17"/>
        </w:rPr>
        <w:t>baren</w:t>
      </w:r>
      <w:r w:rsidRPr="00156980">
        <w:rPr>
          <w:szCs w:val="17"/>
        </w:rPr>
        <w:t xml:space="preserve"> Eigenschaften fest. Ebenso wurden in der architektonischen Moderne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viele Gesta</w:t>
      </w:r>
      <w:r w:rsidRPr="00156980">
        <w:rPr>
          <w:szCs w:val="17"/>
        </w:rPr>
        <w:t>l</w:t>
      </w:r>
      <w:r w:rsidRPr="00156980">
        <w:rPr>
          <w:szCs w:val="17"/>
        </w:rPr>
        <w:t>tungsweisen gewählt, weil sie als besonders funktional galten (etwa der Verzicht auf O</w:t>
      </w:r>
      <w:r w:rsidRPr="00156980">
        <w:rPr>
          <w:szCs w:val="17"/>
        </w:rPr>
        <w:t>r</w:t>
      </w:r>
      <w:r w:rsidRPr="00156980">
        <w:rPr>
          <w:szCs w:val="17"/>
        </w:rPr>
        <w:t>namente</w:t>
      </w:r>
      <w:r w:rsidR="005D7996">
        <w:rPr>
          <w:szCs w:val="17"/>
        </w:rPr>
        <w:fldChar w:fldCharType="begin"/>
      </w:r>
      <w:r>
        <w:instrText xml:space="preserve"> XE "</w:instrText>
      </w:r>
      <w:r w:rsidRPr="007B7550">
        <w:rPr>
          <w:szCs w:val="17"/>
        </w:rPr>
        <w:instrText>Ornament</w:instrText>
      </w:r>
      <w:r>
        <w:instrText xml:space="preserve">" </w:instrText>
      </w:r>
      <w:r w:rsidR="005D7996">
        <w:rPr>
          <w:szCs w:val="17"/>
        </w:rPr>
        <w:fldChar w:fldCharType="end"/>
      </w:r>
      <w:r w:rsidRPr="00156980">
        <w:rPr>
          <w:szCs w:val="17"/>
        </w:rPr>
        <w:t>, flexible Innenraumgestaltung ohne tragende Wände, usw.); da diese Gesta</w:t>
      </w:r>
      <w:r w:rsidRPr="00156980">
        <w:rPr>
          <w:szCs w:val="17"/>
        </w:rPr>
        <w:t>l</w:t>
      </w:r>
      <w:r w:rsidRPr="00156980">
        <w:rPr>
          <w:szCs w:val="17"/>
        </w:rPr>
        <w:t xml:space="preserve">tungsweisen nicht für die Funktion </w:t>
      </w:r>
      <w:r w:rsidRPr="00156980">
        <w:rPr>
          <w:i/>
          <w:szCs w:val="17"/>
        </w:rPr>
        <w:t xml:space="preserve">notwendig </w:t>
      </w:r>
      <w:r w:rsidRPr="00156980">
        <w:rPr>
          <w:szCs w:val="17"/>
        </w:rPr>
        <w:t>waren, sind sie dennoch stilistische Merkmale.</w:t>
      </w:r>
    </w:p>
  </w:footnote>
  <w:footnote w:id="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Entsprechende Definitionen sind oft gegeben worden, beispielsweise: „Stil ist immer das Wie einer Ausführung, auf welchem Gebiet des Lebens auch immer“ (Riesel u.a. 1975: 15). Michael Hoffmann bezeichnet dieses Stilverständnis als „kleinsten gemeinsamen Nenner, auf den sich Stiltheoretiker einigen können“ (M. Hoffmann 2009: 1325).</w:t>
      </w:r>
    </w:p>
  </w:footnote>
  <w:footnote w:id="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entstehenden Unterscheidungen sollen dadurch nicht parallel gesetzt werden; sie werden hier nur als mögliche Alternativen zur Unterscheidung „Ausdruck – Inhalt“, die nur bei Zeichengebrauch möglich ist, für die Bereiche Verhalten und Artefakte ang</w:t>
      </w:r>
      <w:r w:rsidRPr="00156980">
        <w:rPr>
          <w:szCs w:val="17"/>
        </w:rPr>
        <w:t>e</w:t>
      </w:r>
      <w:r w:rsidRPr="00156980">
        <w:rPr>
          <w:szCs w:val="17"/>
        </w:rPr>
        <w:t>nommen. Es handelt sich dabei um plausible Kandidaten, die außerhalb von Zeicheng</w:t>
      </w:r>
      <w:r w:rsidRPr="00156980">
        <w:rPr>
          <w:szCs w:val="17"/>
        </w:rPr>
        <w:t>e</w:t>
      </w:r>
      <w:r w:rsidRPr="00156980">
        <w:rPr>
          <w:szCs w:val="17"/>
        </w:rPr>
        <w:t>brauch für eine entsprechende Unterscheidung in Frage kämen. Es wurde bereits für Te</w:t>
      </w:r>
      <w:r w:rsidRPr="00156980">
        <w:rPr>
          <w:szCs w:val="17"/>
        </w:rPr>
        <w:t>x</w:t>
      </w:r>
      <w:r w:rsidRPr="00156980">
        <w:rPr>
          <w:szCs w:val="17"/>
        </w:rPr>
        <w:t>te gezeigt, dass Stil nicht über die Unterscheidung von Ausdruck und Inhalt definiert werden kann; wäre dies möglich, könnte angelehnt an diese Unterscheidung eine ähnliche Definition auch für Verhalten oder Artefakte versucht werden, wo dann anstelle von „I</w:t>
      </w:r>
      <w:r w:rsidRPr="00156980">
        <w:rPr>
          <w:szCs w:val="17"/>
        </w:rPr>
        <w:t>n</w:t>
      </w:r>
      <w:r w:rsidRPr="00156980">
        <w:rPr>
          <w:szCs w:val="17"/>
        </w:rPr>
        <w:t>halt“ Bezeichnungen wie „Ziel“, „Zweck“ oder „Funktion“ infrage kämen.</w:t>
      </w:r>
    </w:p>
  </w:footnote>
  <w:footnote w:id="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Etwas anderes wäre es, wenn wir nicht nur zwei Gemälde, sondern einen repräsentativen Ausschnitt des Gesamtwerks </w:t>
      </w:r>
      <w:r w:rsidRPr="00156980">
        <w:rPr>
          <w:rFonts w:cs="Times New Roman"/>
          <w:szCs w:val="17"/>
        </w:rPr>
        <w:t>des Malers vor uns hätten und unser Begleiter feststellte, dass sich ab einem bestimmten Entstehungszeitpunkt mehr und mehr Nachtszenen d</w:t>
      </w:r>
      <w:r w:rsidRPr="00156980">
        <w:rPr>
          <w:rFonts w:cs="Times New Roman"/>
          <w:szCs w:val="17"/>
        </w:rPr>
        <w:t>a</w:t>
      </w:r>
      <w:r w:rsidRPr="00156980">
        <w:rPr>
          <w:rFonts w:cs="Times New Roman"/>
          <w:szCs w:val="17"/>
        </w:rPr>
        <w:t>runter befinden. In diesem Fall könnte tatsächlich ein Stilwechsel</w:t>
      </w:r>
      <w:r w:rsidR="005D7996">
        <w:rPr>
          <w:rFonts w:cs="Times New Roman"/>
          <w:szCs w:val="17"/>
        </w:rPr>
        <w:fldChar w:fldCharType="begin"/>
      </w:r>
      <w:r>
        <w:instrText xml:space="preserve"> XE "</w:instrText>
      </w:r>
      <w:r w:rsidRPr="00EF5E2C">
        <w:instrText>Stilwechsel</w:instrText>
      </w:r>
      <w:r>
        <w:instrText xml:space="preserve">" </w:instrText>
      </w:r>
      <w:r w:rsidR="005D7996">
        <w:rPr>
          <w:rFonts w:cs="Times New Roman"/>
          <w:szCs w:val="17"/>
        </w:rPr>
        <w:fldChar w:fldCharType="end"/>
      </w:r>
      <w:r w:rsidRPr="00156980">
        <w:rPr>
          <w:rFonts w:cs="Times New Roman"/>
          <w:szCs w:val="17"/>
        </w:rPr>
        <w:t xml:space="preserve"> vorliegen, sofern die Inhaltsauswahl als Teil des Stils angenommen wird (dies ist der Fall, wenn die vorliege</w:t>
      </w:r>
      <w:r w:rsidRPr="00156980">
        <w:rPr>
          <w:rFonts w:cs="Times New Roman"/>
          <w:szCs w:val="17"/>
        </w:rPr>
        <w:t>n</w:t>
      </w:r>
      <w:r w:rsidRPr="00156980">
        <w:rPr>
          <w:rFonts w:cs="Times New Roman"/>
          <w:szCs w:val="17"/>
        </w:rPr>
        <w:t>den Realisierungen einem allgemeinen Schema wie ‚ein Bild malen‘ zugeordnet werden, nicht aber, wenn sie dem Schema ‚ein bestimmtes Sujet malen‘ zugeordnet werden). Die Annahme eines Stilwechsels würde hier also die Vermutung beinhalten, dass der Maler seine Sujets aussuchen konnte; wäre beispielsweise nachweisbar, dass ein neuer Auftra</w:t>
      </w:r>
      <w:r w:rsidRPr="00156980">
        <w:rPr>
          <w:rFonts w:cs="Times New Roman"/>
          <w:szCs w:val="17"/>
        </w:rPr>
        <w:t>g</w:t>
      </w:r>
      <w:r w:rsidRPr="00156980">
        <w:rPr>
          <w:rFonts w:cs="Times New Roman"/>
          <w:szCs w:val="17"/>
        </w:rPr>
        <w:t>geber mehr Nachtbilder in Auftrag gegeben hätte, diese aber ansonsten ausgeführt sind wie die früheren, würde die Veränderung wohl nicht dem Stil zugerechnet.</w:t>
      </w:r>
    </w:p>
  </w:footnote>
  <w:footnote w:id="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Zum Widerspruch zwischen Theorie und Analyse bei vielen Stiltheoretikern vgl. Püschel 1983: 98ff.</w:t>
      </w:r>
    </w:p>
  </w:footnote>
  <w:footnote w:id="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gibt Bilder, die auf de</w:t>
      </w:r>
      <w:r>
        <w:rPr>
          <w:szCs w:val="17"/>
        </w:rPr>
        <w:t>m Gebrauch</w:t>
      </w:r>
      <w:r w:rsidRPr="00156980">
        <w:rPr>
          <w:szCs w:val="17"/>
        </w:rPr>
        <w:t xml:space="preserve"> ikonischer Zeichen</w:t>
      </w:r>
      <w:r w:rsidR="005D7996">
        <w:rPr>
          <w:szCs w:val="17"/>
        </w:rPr>
        <w:fldChar w:fldCharType="begin"/>
      </w:r>
      <w:r>
        <w:instrText xml:space="preserve"> XE "</w:instrText>
      </w:r>
      <w:r w:rsidRPr="00D5623B">
        <w:rPr>
          <w:szCs w:val="17"/>
        </w:rPr>
        <w:instrText>Ikon (Peirce)</w:instrText>
      </w:r>
      <w:r>
        <w:instrText xml:space="preserve">" </w:instrText>
      </w:r>
      <w:r w:rsidR="005D7996">
        <w:rPr>
          <w:szCs w:val="17"/>
        </w:rPr>
        <w:fldChar w:fldCharType="end"/>
      </w:r>
      <w:r w:rsidRPr="00156980">
        <w:rPr>
          <w:szCs w:val="17"/>
        </w:rPr>
        <w:t xml:space="preserve"> beruhen; diese wollen wir als ‚</w:t>
      </w:r>
      <w:r>
        <w:rPr>
          <w:szCs w:val="17"/>
        </w:rPr>
        <w:t>darstellende Bilder</w:t>
      </w:r>
      <w:r w:rsidR="005D7996">
        <w:rPr>
          <w:szCs w:val="17"/>
        </w:rPr>
        <w:fldChar w:fldCharType="begin"/>
      </w:r>
      <w:r>
        <w:instrText xml:space="preserve"> XE "</w:instrText>
      </w:r>
      <w:r w:rsidRPr="00D928B0">
        <w:rPr>
          <w:szCs w:val="17"/>
        </w:rPr>
        <w:instrText>Bilder:</w:instrText>
      </w:r>
      <w:r w:rsidRPr="00D928B0">
        <w:instrText>darstellende</w:instrText>
      </w:r>
      <w:r>
        <w:instrText xml:space="preserve">" </w:instrText>
      </w:r>
      <w:r w:rsidR="005D7996">
        <w:rPr>
          <w:szCs w:val="17"/>
        </w:rPr>
        <w:fldChar w:fldCharType="end"/>
      </w:r>
      <w:r w:rsidRPr="00156980">
        <w:rPr>
          <w:szCs w:val="17"/>
        </w:rPr>
        <w:t>‘ abgrenzen. Sie sind keine Texte, weil letztere als „</w:t>
      </w:r>
      <w:r>
        <w:t>Zeichengebrauch</w:t>
      </w:r>
      <w:r w:rsidRPr="00156980">
        <w:rPr>
          <w:szCs w:val="17"/>
        </w:rPr>
        <w:t xml:space="preserve"> auf Basis von Zeichensystemen“ (vgl. Abschnitt </w:t>
      </w:r>
      <w:fldSimple w:instr=" REF _Ref212082822 \r \h  \* MERGEFORMAT ">
        <w:r w:rsidR="001231D3" w:rsidRPr="001231D3">
          <w:rPr>
            <w:szCs w:val="17"/>
          </w:rPr>
          <w:t>4.2.2</w:t>
        </w:r>
      </w:fldSimple>
      <w:r w:rsidRPr="00156980">
        <w:rPr>
          <w:szCs w:val="17"/>
        </w:rPr>
        <w:t>) definiert sind. Alle Bilder sind s</w:t>
      </w:r>
      <w:r w:rsidRPr="00156980">
        <w:rPr>
          <w:szCs w:val="17"/>
        </w:rPr>
        <w:t>o</w:t>
      </w:r>
      <w:r w:rsidRPr="00156980">
        <w:rPr>
          <w:szCs w:val="17"/>
        </w:rPr>
        <w:t>mit zu den Artefakten zu rechnen.</w:t>
      </w:r>
    </w:p>
  </w:footnote>
  <w:footnote w:id="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bei Jürgen Trabant: „Auch in Bezug auf die uns hier interessierenden Gegenstände – sprachliches Handeln historischer Individuen – ist es die hinsichtlich der mit dem b</w:t>
      </w:r>
      <w:r w:rsidRPr="00156980">
        <w:rPr>
          <w:szCs w:val="17"/>
        </w:rPr>
        <w:t>e</w:t>
      </w:r>
      <w:r w:rsidRPr="00156980">
        <w:rPr>
          <w:szCs w:val="17"/>
        </w:rPr>
        <w:t>trachteten Gegenstand verglichenen Gegenstände relative und von einer Interpretation</w:t>
      </w:r>
      <w:r w:rsidRPr="00156980">
        <w:rPr>
          <w:szCs w:val="17"/>
        </w:rPr>
        <w:t>s</w:t>
      </w:r>
      <w:r w:rsidRPr="00156980">
        <w:rPr>
          <w:szCs w:val="17"/>
        </w:rPr>
        <w:t xml:space="preserve">absicht abhängige </w:t>
      </w:r>
      <w:r w:rsidRPr="00156980">
        <w:rPr>
          <w:spacing w:val="30"/>
          <w:szCs w:val="17"/>
        </w:rPr>
        <w:t>Konstellation</w:t>
      </w:r>
      <w:r w:rsidRPr="00156980">
        <w:rPr>
          <w:szCs w:val="17"/>
        </w:rPr>
        <w:t xml:space="preserve"> von Eigenschaften, die von einem Interpretiere</w:t>
      </w:r>
      <w:r w:rsidRPr="00156980">
        <w:rPr>
          <w:szCs w:val="17"/>
        </w:rPr>
        <w:t>n</w:t>
      </w:r>
      <w:r w:rsidRPr="00156980">
        <w:rPr>
          <w:szCs w:val="17"/>
        </w:rPr>
        <w:t xml:space="preserve">den herausgearbeitet wird […], die wir das </w:t>
      </w:r>
      <w:r w:rsidRPr="00156980">
        <w:rPr>
          <w:i/>
          <w:szCs w:val="17"/>
        </w:rPr>
        <w:t>Charakteristische</w:t>
      </w:r>
      <w:r w:rsidRPr="00156980">
        <w:rPr>
          <w:szCs w:val="17"/>
        </w:rPr>
        <w:t xml:space="preserve"> oder den </w:t>
      </w:r>
      <w:r w:rsidRPr="00156980">
        <w:rPr>
          <w:i/>
          <w:szCs w:val="17"/>
        </w:rPr>
        <w:t>Stil</w:t>
      </w:r>
      <w:r w:rsidRPr="00156980">
        <w:rPr>
          <w:szCs w:val="17"/>
        </w:rPr>
        <w:t xml:space="preserve"> dieses sprachl</w:t>
      </w:r>
      <w:r w:rsidRPr="00156980">
        <w:rPr>
          <w:szCs w:val="17"/>
        </w:rPr>
        <w:t>i</w:t>
      </w:r>
      <w:r w:rsidRPr="00156980">
        <w:rPr>
          <w:szCs w:val="17"/>
        </w:rPr>
        <w:t xml:space="preserve">chen Handelns nennen wollen.“ (Trabant 1979: 586; Hervorh. im Orig.) Bei Definitionen wie diesen ergibt sich das in Abschnitt </w:t>
      </w:r>
      <w:fldSimple w:instr=" REF _Ref260056929 \r \h  \* MERGEFORMAT ">
        <w:r w:rsidR="001231D3" w:rsidRPr="001231D3">
          <w:rPr>
            <w:szCs w:val="17"/>
          </w:rPr>
          <w:t>2.1</w:t>
        </w:r>
      </w:fldSimple>
      <w:r w:rsidRPr="00156980">
        <w:rPr>
          <w:szCs w:val="17"/>
        </w:rPr>
        <w:t xml:space="preserve"> besprochene Problem: Konstellationen von E</w:t>
      </w:r>
      <w:r w:rsidRPr="00156980">
        <w:rPr>
          <w:szCs w:val="17"/>
        </w:rPr>
        <w:t>i</w:t>
      </w:r>
      <w:r w:rsidRPr="00156980">
        <w:rPr>
          <w:szCs w:val="17"/>
        </w:rPr>
        <w:t>genschaften oder Charakteristika können stets durch Kontext, Inhalt oder Funktion b</w:t>
      </w:r>
      <w:r w:rsidRPr="00156980">
        <w:rPr>
          <w:szCs w:val="17"/>
        </w:rPr>
        <w:t>e</w:t>
      </w:r>
      <w:r w:rsidRPr="00156980">
        <w:rPr>
          <w:szCs w:val="17"/>
        </w:rPr>
        <w:t>dingt sein. Egal wie groß man die Anzahl der Vergleichsgegenstände wählt, die Trennung der Faktoren gelingt auf diese Art nicht.</w:t>
      </w:r>
    </w:p>
    <w:p w:rsidR="00CC3558" w:rsidRPr="00156980" w:rsidRDefault="00CC3558" w:rsidP="00F461D9">
      <w:pPr>
        <w:pStyle w:val="Funotentext"/>
        <w:rPr>
          <w:szCs w:val="17"/>
        </w:rPr>
      </w:pPr>
      <w:r w:rsidRPr="00156980">
        <w:rPr>
          <w:szCs w:val="17"/>
        </w:rPr>
        <w:tab/>
        <w:t>Man müsste schon Vergleichsgegenstände zur Verfügung haben, die exakt denselben Kontext, Funktion und Inhalt haben und zudem dieselben Typen von Realisierungsste</w:t>
      </w:r>
      <w:r w:rsidRPr="00156980">
        <w:rPr>
          <w:szCs w:val="17"/>
        </w:rPr>
        <w:t>l</w:t>
      </w:r>
      <w:r w:rsidRPr="00156980">
        <w:rPr>
          <w:szCs w:val="17"/>
        </w:rPr>
        <w:t>len (Realisierungen derselben Schemaorte) aufweisen, um durch Vergleich zu einem ‚Herausrechnen‘ der Faktoren Kontext, Funktion und Inhalt zu gelangen. Solche Ve</w:t>
      </w:r>
      <w:r w:rsidRPr="00156980">
        <w:rPr>
          <w:szCs w:val="17"/>
        </w:rPr>
        <w:t>r</w:t>
      </w:r>
      <w:r w:rsidRPr="00156980">
        <w:rPr>
          <w:szCs w:val="17"/>
        </w:rPr>
        <w:t>gleichsobjekte dürften extrem selten sein. (Ausnahmen gibt es allerdings: So können an den Entwürfen eines Architekturwettbewerbs die Stile der beteiligten Architekten durch direkten Vergleich der Eigenschaften der Gebäude relativ genau abgelesen werden, da hier Kontext und Funktion durch Grundstück, Bauaufgabe und Wettbewerbsbedingungen festgelegt sind.)</w:t>
      </w:r>
    </w:p>
    <w:p w:rsidR="00CC3558" w:rsidRPr="00156980" w:rsidRDefault="00CC3558" w:rsidP="00F461D9">
      <w:pPr>
        <w:pStyle w:val="Funotentext"/>
        <w:rPr>
          <w:szCs w:val="17"/>
        </w:rPr>
      </w:pPr>
      <w:r w:rsidRPr="00156980">
        <w:rPr>
          <w:szCs w:val="17"/>
        </w:rPr>
        <w:tab/>
        <w:t>Im Normalfall ist es das einzig mögliche Verfahren,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funktionale und inhaltliche Bedingungen</w:t>
      </w:r>
      <w:r w:rsidR="005D7996">
        <w:rPr>
          <w:szCs w:val="17"/>
        </w:rPr>
        <w:fldChar w:fldCharType="begin"/>
      </w:r>
      <w:r>
        <w:instrText xml:space="preserve"> XE "</w:instrText>
      </w:r>
      <w:r w:rsidRPr="007605F5">
        <w:instrText>inhaltliche Bedingungen</w:instrText>
      </w:r>
      <w:r>
        <w:instrText xml:space="preserve">" </w:instrText>
      </w:r>
      <w:r w:rsidR="005D7996">
        <w:rPr>
          <w:szCs w:val="17"/>
        </w:rPr>
        <w:fldChar w:fldCharType="end"/>
      </w:r>
      <w:r w:rsidRPr="00156980">
        <w:rPr>
          <w:szCs w:val="17"/>
        </w:rPr>
        <w:t xml:space="preserve"> anzunehmen und damit </w:t>
      </w:r>
      <w:r>
        <w:rPr>
          <w:szCs w:val="17"/>
        </w:rPr>
        <w:t>Alter</w:t>
      </w:r>
      <w:r>
        <w:rPr>
          <w:szCs w:val="17"/>
        </w:rPr>
        <w:softHyphen/>
        <w:t>nativen</w:t>
      </w:r>
      <w:r>
        <w:rPr>
          <w:szCs w:val="17"/>
        </w:rPr>
        <w:softHyphen/>
        <w:t>klasse</w:t>
      </w:r>
      <w:r w:rsidRPr="00156980">
        <w:rPr>
          <w:szCs w:val="17"/>
        </w:rPr>
        <w:t xml:space="preserve">n zu bilden (vgl. </w:t>
      </w:r>
      <w:r>
        <w:rPr>
          <w:szCs w:val="17"/>
        </w:rPr>
        <w:t xml:space="preserve">Abschnitte </w:t>
      </w:r>
      <w:r w:rsidR="005D7996">
        <w:fldChar w:fldCharType="begin"/>
      </w:r>
      <w:r>
        <w:rPr>
          <w:szCs w:val="17"/>
        </w:rPr>
        <w:instrText xml:space="preserve"> REF _Ref324924099 \r \h </w:instrText>
      </w:r>
      <w:r w:rsidR="005D7996">
        <w:fldChar w:fldCharType="separate"/>
      </w:r>
      <w:r w:rsidR="001231D3">
        <w:rPr>
          <w:szCs w:val="17"/>
        </w:rPr>
        <w:t>2.5</w:t>
      </w:r>
      <w:r w:rsidR="005D7996">
        <w:fldChar w:fldCharType="end"/>
      </w:r>
      <w:r>
        <w:t xml:space="preserve"> </w:t>
      </w:r>
      <w:r w:rsidRPr="00156980">
        <w:rPr>
          <w:szCs w:val="17"/>
        </w:rPr>
        <w:t xml:space="preserve">und </w:t>
      </w:r>
      <w:fldSimple w:instr=" REF _Ref212029118 \r \h  \* MERGEFORMAT ">
        <w:r w:rsidR="001231D3" w:rsidRPr="001231D3">
          <w:rPr>
            <w:szCs w:val="17"/>
          </w:rPr>
          <w:t>4.4</w:t>
        </w:r>
      </w:fldSimple>
      <w:r w:rsidRPr="00156980">
        <w:rPr>
          <w:szCs w:val="17"/>
        </w:rPr>
        <w:t>), bevor man den Stil untersucht.</w:t>
      </w:r>
    </w:p>
  </w:footnote>
  <w:footnote w:id="76">
    <w:p w:rsidR="00CC3558" w:rsidRPr="00156980" w:rsidRDefault="00CC3558" w:rsidP="00F461D9">
      <w:pPr>
        <w:pStyle w:val="Funotentext"/>
        <w:rPr>
          <w:szCs w:val="17"/>
          <w:lang w:val="en-US"/>
        </w:rPr>
      </w:pPr>
      <w:r w:rsidRPr="00156980">
        <w:rPr>
          <w:rStyle w:val="Funotenzeichen"/>
          <w:szCs w:val="17"/>
        </w:rPr>
        <w:footnoteRef/>
      </w:r>
      <w:r w:rsidRPr="00156980">
        <w:rPr>
          <w:szCs w:val="17"/>
          <w:lang w:val="en-US"/>
        </w:rPr>
        <w:t xml:space="preserve"> </w:t>
      </w:r>
      <w:r w:rsidRPr="00156980">
        <w:rPr>
          <w:szCs w:val="17"/>
          <w:lang w:val="en-US"/>
        </w:rPr>
        <w:tab/>
        <w:t xml:space="preserve">So bei Bernard Bloch: </w:t>
      </w:r>
      <w:r w:rsidRPr="00156980">
        <w:rPr>
          <w:szCs w:val="17"/>
          <w:lang w:val="en-GB"/>
        </w:rPr>
        <w:t xml:space="preserve">„the style of a discourse is the message carried by the frequency distributions and transition probabilities of its linguistic features, especially as they differ from those of the same features in language as a whole.“ </w:t>
      </w:r>
      <w:r w:rsidRPr="00156980">
        <w:rPr>
          <w:szCs w:val="17"/>
          <w:lang w:val="en-US"/>
        </w:rPr>
        <w:t>(Bloch 1953: 40)</w:t>
      </w:r>
    </w:p>
  </w:footnote>
  <w:footnote w:id="77">
    <w:p w:rsidR="00CC3558" w:rsidRPr="00156980" w:rsidRDefault="00CC3558" w:rsidP="00F461D9">
      <w:pPr>
        <w:pStyle w:val="Funotentext"/>
        <w:rPr>
          <w:szCs w:val="17"/>
        </w:rPr>
      </w:pPr>
      <w:r w:rsidRPr="00156980">
        <w:rPr>
          <w:rStyle w:val="Funotenzeichen"/>
          <w:szCs w:val="17"/>
        </w:rPr>
        <w:footnoteRef/>
      </w:r>
      <w:r w:rsidRPr="00156980">
        <w:rPr>
          <w:szCs w:val="17"/>
          <w:lang w:val="en-US"/>
        </w:rPr>
        <w:t xml:space="preserve"> </w:t>
      </w:r>
      <w:r w:rsidRPr="00156980">
        <w:rPr>
          <w:szCs w:val="17"/>
          <w:lang w:val="en-US"/>
        </w:rPr>
        <w:tab/>
        <w:t xml:space="preserve">So bei Leonard B. Meyer: „Style is a replication of patterning, whether in human behavior or in the artifacts produced by human behavior, that results from a series of choices made within some set of constraints. [These constraints] are learned and adopted as part of the historical/cultural circumstances of individuals or groups.“ </w:t>
      </w:r>
      <w:r w:rsidRPr="00156980">
        <w:rPr>
          <w:szCs w:val="17"/>
        </w:rPr>
        <w:t xml:space="preserve">(Meyer 1989: 3) Meyers „constraints“ entsprechen in etwa den hier angenommenen Schemaortbedingungen (vgl. Abschnitt </w:t>
      </w:r>
      <w:fldSimple w:instr=" REF _Ref262119559 \r \h  \* MERGEFORMAT ">
        <w:r w:rsidR="001231D3" w:rsidRPr="001231D3">
          <w:rPr>
            <w:szCs w:val="17"/>
          </w:rPr>
          <w:t>2.6</w:t>
        </w:r>
      </w:fldSimple>
      <w:r w:rsidRPr="00156980">
        <w:rPr>
          <w:szCs w:val="17"/>
        </w:rPr>
        <w:t xml:space="preserve"> sowie </w:t>
      </w:r>
      <w:fldSimple w:instr=" REF _Ref211841829 \r \h  \* MERGEFORMAT ">
        <w:r w:rsidR="001231D3" w:rsidRPr="001231D3">
          <w:rPr>
            <w:szCs w:val="17"/>
          </w:rPr>
          <w:t>4.3.1</w:t>
        </w:r>
      </w:fldSimple>
      <w:r w:rsidRPr="00156980">
        <w:rPr>
          <w:szCs w:val="17"/>
        </w:rPr>
        <w:t>, (1));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funktionale und inhaltliche Bedi</w:t>
      </w:r>
      <w:r w:rsidRPr="00156980">
        <w:rPr>
          <w:szCs w:val="17"/>
        </w:rPr>
        <w:t>n</w:t>
      </w:r>
      <w:r w:rsidRPr="00156980">
        <w:rPr>
          <w:szCs w:val="17"/>
        </w:rPr>
        <w:t>gungen</w:t>
      </w:r>
      <w:r w:rsidR="005D7996">
        <w:rPr>
          <w:szCs w:val="17"/>
        </w:rPr>
        <w:fldChar w:fldCharType="begin"/>
      </w:r>
      <w:r>
        <w:instrText xml:space="preserve"> XE "</w:instrText>
      </w:r>
      <w:r w:rsidRPr="007605F5">
        <w:instrText>inhaltliche Bedingungen</w:instrText>
      </w:r>
      <w:r>
        <w:instrText xml:space="preserve">" </w:instrText>
      </w:r>
      <w:r w:rsidR="005D7996">
        <w:rPr>
          <w:szCs w:val="17"/>
        </w:rPr>
        <w:fldChar w:fldCharType="end"/>
      </w:r>
      <w:r w:rsidRPr="00156980">
        <w:rPr>
          <w:szCs w:val="17"/>
        </w:rPr>
        <w:t xml:space="preserve"> (vgl. </w:t>
      </w:r>
      <w:fldSimple w:instr=" REF _Ref211841829 \r \h  \* MERGEFORMAT ">
        <w:r w:rsidR="001231D3" w:rsidRPr="001231D3">
          <w:rPr>
            <w:szCs w:val="17"/>
          </w:rPr>
          <w:t>4.3.1</w:t>
        </w:r>
      </w:fldSimple>
      <w:r w:rsidRPr="00156980">
        <w:rPr>
          <w:szCs w:val="17"/>
        </w:rPr>
        <w:t>, (2)) enthalten sie nicht, wie die Erläuterung zeigt.</w:t>
      </w:r>
    </w:p>
  </w:footnote>
  <w:footnote w:id="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Schließt man inhaltliche oder funktionale Regelmäßigkeiten, Strukturen, Häufigkeiten usw. nicht aus, müsste man annehmen, dass es eine Frage des Stils sei, welche Strukturen die Handlung eines Texts aufweist (also etwa, in welcher Reihenfolge die Personen sich kennenlernen oder sterben) oder dass Gebäude dieselbe oder unterschiedliche Funkti</w:t>
      </w:r>
      <w:r w:rsidRPr="00156980">
        <w:rPr>
          <w:szCs w:val="17"/>
        </w:rPr>
        <w:t>o</w:t>
      </w:r>
      <w:r w:rsidRPr="00156980">
        <w:rPr>
          <w:szCs w:val="17"/>
        </w:rPr>
        <w:t>nen haben (also etwa, dass zwei Gebäude Schulen sind). Dieser Fehler – der noch grun</w:t>
      </w:r>
      <w:r w:rsidRPr="00156980">
        <w:rPr>
          <w:szCs w:val="17"/>
        </w:rPr>
        <w:t>d</w:t>
      </w:r>
      <w:r w:rsidRPr="00156980">
        <w:rPr>
          <w:szCs w:val="17"/>
        </w:rPr>
        <w:t>sätzlicher ist als der im Text beschriebene, inhaltlich oder funktional bedingte Rege</w:t>
      </w:r>
      <w:r w:rsidRPr="00156980">
        <w:rPr>
          <w:szCs w:val="17"/>
        </w:rPr>
        <w:t>l</w:t>
      </w:r>
      <w:r w:rsidRPr="00156980">
        <w:rPr>
          <w:szCs w:val="17"/>
        </w:rPr>
        <w:t>mäßigkeiten der Ausdrucksebene</w:t>
      </w:r>
      <w:r w:rsidR="005D7996">
        <w:rPr>
          <w:szCs w:val="17"/>
        </w:rPr>
        <w:fldChar w:fldCharType="begin"/>
      </w:r>
      <w:r>
        <w:instrText xml:space="preserve"> XE "</w:instrText>
      </w:r>
      <w:r w:rsidRPr="00DA0E29">
        <w:instrText>Ausdrucksebene</w:instrText>
      </w:r>
      <w:r>
        <w:instrText xml:space="preserve">" </w:instrText>
      </w:r>
      <w:r w:rsidR="005D7996">
        <w:rPr>
          <w:szCs w:val="17"/>
        </w:rPr>
        <w:fldChar w:fldCharType="end"/>
      </w:r>
      <w:r w:rsidRPr="00156980">
        <w:rPr>
          <w:szCs w:val="17"/>
        </w:rPr>
        <w:t xml:space="preserve"> einzubeziehen – wird jedoch in der Beispielanalyse nie gemacht, auch wenn manche Definitionen versäumen, diese Arten von Regelmäßigkeiten (Strukturen, Mustern usw.) explizit auszuschließen.</w:t>
      </w:r>
    </w:p>
  </w:footnote>
  <w:footnote w:id="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Funktionalstilistik</w:t>
      </w:r>
      <w:r w:rsidR="005D7996">
        <w:rPr>
          <w:szCs w:val="17"/>
        </w:rPr>
        <w:fldChar w:fldCharType="begin"/>
      </w:r>
      <w:r>
        <w:instrText xml:space="preserve"> XE "</w:instrText>
      </w:r>
      <w:r w:rsidRPr="00DB2B1B">
        <w:rPr>
          <w:szCs w:val="17"/>
        </w:rPr>
        <w:instrText>Funktionalstilistik</w:instrText>
      </w:r>
      <w:r>
        <w:instrText xml:space="preserve">" </w:instrText>
      </w:r>
      <w:r w:rsidR="005D7996">
        <w:rPr>
          <w:szCs w:val="17"/>
        </w:rPr>
        <w:fldChar w:fldCharType="end"/>
      </w:r>
      <w:r w:rsidRPr="00156980">
        <w:rPr>
          <w:szCs w:val="17"/>
        </w:rPr>
        <w:t xml:space="preserve"> wurde innerhalb der Prager Schule des Strukturalismus</w:t>
      </w:r>
      <w:r w:rsidR="005D7996">
        <w:rPr>
          <w:szCs w:val="17"/>
        </w:rPr>
        <w:fldChar w:fldCharType="begin"/>
      </w:r>
      <w:r>
        <w:instrText xml:space="preserve"> XE "Prager </w:instrText>
      </w:r>
      <w:r w:rsidRPr="008567DE">
        <w:instrText>Strukturalismus</w:instrText>
      </w:r>
      <w:r>
        <w:instrText xml:space="preserve">" </w:instrText>
      </w:r>
      <w:r w:rsidR="005D7996">
        <w:rPr>
          <w:szCs w:val="17"/>
        </w:rPr>
        <w:fldChar w:fldCharType="end"/>
      </w:r>
      <w:r w:rsidRPr="00156980">
        <w:rPr>
          <w:szCs w:val="17"/>
        </w:rPr>
        <w:t xml:space="preserve"> (vgl. Al</w:t>
      </w:r>
      <w:r w:rsidRPr="00156980">
        <w:rPr>
          <w:szCs w:val="17"/>
        </w:rPr>
        <w:t>b</w:t>
      </w:r>
      <w:r w:rsidRPr="00156980">
        <w:rPr>
          <w:szCs w:val="17"/>
        </w:rPr>
        <w:t>recht 2000: 59-66 und Winner 1998) entwickelt; Beispiele sind Dole</w:t>
      </w:r>
      <w:r w:rsidRPr="00156980">
        <w:rPr>
          <w:rFonts w:cs="Times New Roman"/>
          <w:szCs w:val="17"/>
        </w:rPr>
        <w:t>ž</w:t>
      </w:r>
      <w:r w:rsidRPr="00156980">
        <w:rPr>
          <w:szCs w:val="17"/>
        </w:rPr>
        <w:t>el u.a. 1972, Dubský 1972, Kraus 1987 und Chloupek u.a. 1993; vgl. auch Spillner 1974a: 56ff.</w:t>
      </w:r>
    </w:p>
  </w:footnote>
  <w:footnote w:id="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Unterscheidung kann unter Bezug auf das Stilmodell präziser erklärt werden (unter terminologischem Vorgriff bis Abschnitt </w:t>
      </w:r>
      <w:fldSimple w:instr=" REF _Ref274036713 \r \h  \* MERGEFORMAT ">
        <w:r w:rsidR="001231D3" w:rsidRPr="001231D3">
          <w:rPr>
            <w:szCs w:val="17"/>
          </w:rPr>
          <w:t>2.12</w:t>
        </w:r>
      </w:fldSimple>
      <w:r w:rsidRPr="00156980">
        <w:rPr>
          <w:szCs w:val="17"/>
        </w:rPr>
        <w:t>, den wir in Kauf nehmen, da wir auf diese Unterscheidung nicht mehr zurückkommen): Inhaltliche Bedingungen legen für einen Text den auszudrückenden Inhalt, funktionale Bedingungen</w:t>
      </w:r>
      <w:r w:rsidR="005D7996">
        <w:rPr>
          <w:szCs w:val="17"/>
        </w:rPr>
        <w:fldChar w:fldCharType="begin"/>
      </w:r>
      <w:r>
        <w:instrText xml:space="preserve"> XE "</w:instrText>
      </w:r>
      <w:r w:rsidRPr="00DB4D56">
        <w:instrText>funktionale Bedingungen</w:instrText>
      </w:r>
      <w:r>
        <w:instrText xml:space="preserve">" </w:instrText>
      </w:r>
      <w:r w:rsidR="005D7996">
        <w:rPr>
          <w:szCs w:val="17"/>
        </w:rPr>
        <w:fldChar w:fldCharType="end"/>
      </w:r>
      <w:r w:rsidRPr="00156980">
        <w:rPr>
          <w:szCs w:val="17"/>
        </w:rPr>
        <w:t xml:space="preserve"> die zu erfüllende Funktion fest (siehe </w:t>
      </w:r>
      <w:fldSimple w:instr=" REF _Ref211841829 \r \h  \* MERGEFORMAT ">
        <w:r w:rsidR="001231D3" w:rsidRPr="001231D3">
          <w:rPr>
            <w:szCs w:val="17"/>
          </w:rPr>
          <w:t>4.3.1</w:t>
        </w:r>
      </w:fldSimple>
      <w:r w:rsidRPr="00156980">
        <w:rPr>
          <w:szCs w:val="17"/>
        </w:rPr>
        <w:t xml:space="preserve">, (2)). Beide definieren, zusammen mit den durch Schema und Schemaort festgelegten Bedingungen (siehe </w:t>
      </w:r>
      <w:fldSimple w:instr=" REF _Ref211841829 \r \h  \* MERGEFORMAT ">
        <w:r w:rsidR="001231D3" w:rsidRPr="001231D3">
          <w:rPr>
            <w:szCs w:val="17"/>
          </w:rPr>
          <w:t>4.3.1</w:t>
        </w:r>
      </w:fldSimple>
      <w:r w:rsidRPr="00156980">
        <w:rPr>
          <w:szCs w:val="17"/>
        </w:rPr>
        <w:t xml:space="preserve">, (1)), die </w:t>
      </w:r>
      <w:r>
        <w:rPr>
          <w:szCs w:val="17"/>
        </w:rPr>
        <w:t>Alter</w:t>
      </w:r>
      <w:r>
        <w:rPr>
          <w:szCs w:val="17"/>
        </w:rPr>
        <w:softHyphen/>
        <w:t>nativen</w:t>
      </w:r>
      <w:r>
        <w:rPr>
          <w:szCs w:val="17"/>
        </w:rPr>
        <w:softHyphen/>
        <w:t>klasse</w:t>
      </w:r>
      <w:r w:rsidRPr="00156980">
        <w:rPr>
          <w:szCs w:val="17"/>
        </w:rPr>
        <w:t>. Daher sind Möglic</w:t>
      </w:r>
      <w:r w:rsidRPr="00156980">
        <w:rPr>
          <w:szCs w:val="17"/>
        </w:rPr>
        <w:t>h</w:t>
      </w:r>
      <w:r w:rsidRPr="00156980">
        <w:rPr>
          <w:szCs w:val="17"/>
        </w:rPr>
        <w:t xml:space="preserve">keiten, die dem Inhalt oder der Funktion nicht gerecht werden, gar nicht erst in der </w:t>
      </w:r>
      <w:r>
        <w:rPr>
          <w:szCs w:val="17"/>
        </w:rPr>
        <w:t>Alter</w:t>
      </w:r>
      <w:r>
        <w:rPr>
          <w:szCs w:val="17"/>
        </w:rPr>
        <w:softHyphen/>
        <w:t>nativen</w:t>
      </w:r>
      <w:r>
        <w:rPr>
          <w:szCs w:val="17"/>
        </w:rPr>
        <w:softHyphen/>
        <w:t>klasse</w:t>
      </w:r>
      <w:r w:rsidRPr="00156980">
        <w:rPr>
          <w:szCs w:val="17"/>
        </w:rPr>
        <w:t xml:space="preserve"> enthalten: Einen Liebesroman</w:t>
      </w:r>
      <w:r w:rsidR="005D7996">
        <w:rPr>
          <w:szCs w:val="17"/>
        </w:rPr>
        <w:fldChar w:fldCharType="begin"/>
      </w:r>
      <w:r>
        <w:instrText xml:space="preserve"> XE "</w:instrText>
      </w:r>
      <w:r w:rsidRPr="00D7548B">
        <w:instrText>Liebesroman (Textsorte)</w:instrText>
      </w:r>
      <w:r>
        <w:instrText xml:space="preserve">" </w:instrText>
      </w:r>
      <w:r w:rsidR="005D7996">
        <w:rPr>
          <w:szCs w:val="17"/>
        </w:rPr>
        <w:fldChar w:fldCharType="end"/>
      </w:r>
      <w:r w:rsidRPr="00156980">
        <w:rPr>
          <w:szCs w:val="17"/>
        </w:rPr>
        <w:t xml:space="preserve"> kann man nicht ohne das Wort „Liebe“, einen Fahrplan</w:t>
      </w:r>
      <w:r w:rsidR="005D7996">
        <w:rPr>
          <w:szCs w:val="17"/>
        </w:rPr>
        <w:fldChar w:fldCharType="begin"/>
      </w:r>
      <w:r>
        <w:instrText xml:space="preserve"> XE "</w:instrText>
      </w:r>
      <w:r w:rsidRPr="007309A6">
        <w:instrText>Fahrplan (Textsorte)</w:instrText>
      </w:r>
      <w:r>
        <w:instrText xml:space="preserve">" </w:instrText>
      </w:r>
      <w:r w:rsidR="005D7996">
        <w:rPr>
          <w:szCs w:val="17"/>
        </w:rPr>
        <w:fldChar w:fldCharType="end"/>
      </w:r>
      <w:r w:rsidRPr="00156980">
        <w:rPr>
          <w:szCs w:val="17"/>
        </w:rPr>
        <w:t xml:space="preserve"> nicht ohne das Wort „Abfahrt“ schreiben.</w:t>
      </w:r>
    </w:p>
    <w:p w:rsidR="00CC3558" w:rsidRPr="00156980" w:rsidRDefault="00CC3558" w:rsidP="00F461D9">
      <w:pPr>
        <w:pStyle w:val="Funotentext"/>
        <w:rPr>
          <w:szCs w:val="17"/>
        </w:rPr>
      </w:pPr>
      <w:r w:rsidRPr="00156980">
        <w:rPr>
          <w:szCs w:val="17"/>
        </w:rPr>
        <w:tab/>
        <w:t>Weder inhaltliche noch funktionale Bedingungen</w:t>
      </w:r>
      <w:r w:rsidR="005D7996">
        <w:rPr>
          <w:szCs w:val="17"/>
        </w:rPr>
        <w:fldChar w:fldCharType="begin"/>
      </w:r>
      <w:r>
        <w:instrText xml:space="preserve"> XE "</w:instrText>
      </w:r>
      <w:r w:rsidRPr="00DB4D56">
        <w:instrText>funktionale Bedingungen</w:instrText>
      </w:r>
      <w:r>
        <w:instrText xml:space="preserve">" </w:instrText>
      </w:r>
      <w:r w:rsidR="005D7996">
        <w:rPr>
          <w:szCs w:val="17"/>
        </w:rPr>
        <w:fldChar w:fldCharType="end"/>
      </w:r>
      <w:r w:rsidRPr="00156980">
        <w:rPr>
          <w:szCs w:val="17"/>
        </w:rPr>
        <w:t xml:space="preserve"> legen jedoch eine syntaktische Kompl</w:t>
      </w:r>
      <w:r w:rsidRPr="00156980">
        <w:rPr>
          <w:szCs w:val="17"/>
        </w:rPr>
        <w:t>e</w:t>
      </w:r>
      <w:r w:rsidRPr="00156980">
        <w:rPr>
          <w:szCs w:val="17"/>
        </w:rPr>
        <w:t xml:space="preserve">xität oder Satzlänge fest, daher sind hier verschiedene Möglichkeiten in der </w:t>
      </w:r>
      <w:r>
        <w:rPr>
          <w:szCs w:val="17"/>
        </w:rPr>
        <w:t>Alter</w:t>
      </w:r>
      <w:r>
        <w:rPr>
          <w:szCs w:val="17"/>
        </w:rPr>
        <w:softHyphen/>
        <w:t>nativen</w:t>
      </w:r>
      <w:r>
        <w:rPr>
          <w:szCs w:val="17"/>
        </w:rPr>
        <w:softHyphen/>
        <w:t>klasse</w:t>
      </w:r>
      <w:r w:rsidRPr="00156980">
        <w:rPr>
          <w:szCs w:val="17"/>
        </w:rPr>
        <w:t xml:space="preserve"> verfügbar. Werden nun Regelmäßigkeiten für verschiedene Textsorten</w:t>
      </w:r>
      <w:r w:rsidR="005D7996">
        <w:rPr>
          <w:szCs w:val="17"/>
        </w:rPr>
        <w:fldChar w:fldCharType="begin"/>
      </w:r>
      <w:r>
        <w:instrText xml:space="preserve"> XE "</w:instrText>
      </w:r>
      <w:r w:rsidRPr="002B4DA8">
        <w:instrText>Textsorte</w:instrText>
      </w:r>
      <w:r>
        <w:instrText xml:space="preserve">" </w:instrText>
      </w:r>
      <w:r w:rsidR="005D7996">
        <w:rPr>
          <w:szCs w:val="17"/>
        </w:rPr>
        <w:fldChar w:fldCharType="end"/>
      </w:r>
      <w:r w:rsidRPr="00156980">
        <w:rPr>
          <w:szCs w:val="17"/>
        </w:rPr>
        <w:t xml:space="preserve"> festgestellt, sind diese dennoch stilistische Merkmale, die aber mit der Funktion korrelieren, etwa wenn herausgefunden wird, dass eine bestimmte Textsorte typischerweise längere oder komplexere Sätze hat als eine andere.</w:t>
      </w:r>
    </w:p>
    <w:p w:rsidR="00CC3558" w:rsidRPr="00156980" w:rsidRDefault="00CC3558" w:rsidP="00F461D9">
      <w:pPr>
        <w:pStyle w:val="Funotentext"/>
        <w:rPr>
          <w:szCs w:val="17"/>
        </w:rPr>
      </w:pPr>
      <w:r w:rsidRPr="00156980">
        <w:rPr>
          <w:szCs w:val="17"/>
        </w:rPr>
        <w:tab/>
        <w:t xml:space="preserve">Stilistische Merkmale können also durchaus von der Funktion bedingt sein, wenn diese unterschiedliche Varianten in den </w:t>
      </w:r>
      <w:r>
        <w:rPr>
          <w:szCs w:val="17"/>
        </w:rPr>
        <w:t>Alter</w:t>
      </w:r>
      <w:r>
        <w:rPr>
          <w:szCs w:val="17"/>
        </w:rPr>
        <w:softHyphen/>
        <w:t>nativen</w:t>
      </w:r>
      <w:r>
        <w:rPr>
          <w:szCs w:val="17"/>
        </w:rPr>
        <w:softHyphen/>
        <w:t>klasse</w:t>
      </w:r>
      <w:r w:rsidRPr="00156980">
        <w:rPr>
          <w:szCs w:val="17"/>
        </w:rPr>
        <w:t>n belässt und es damit ermöglicht, dass entsprechende Merkmalsregeln eingeschrieben werden. Ein Beispiel: Wissenschaftl</w:t>
      </w:r>
      <w:r w:rsidRPr="00156980">
        <w:rPr>
          <w:szCs w:val="17"/>
        </w:rPr>
        <w:t>i</w:t>
      </w:r>
      <w:r w:rsidRPr="00156980">
        <w:rPr>
          <w:szCs w:val="17"/>
        </w:rPr>
        <w:t>che Texte haben vermutlich längere und komplexere Sätze als Unterhaltungsromane. Dies hängt sicherlich mit der Funktion zusammen, aber die Funktion schließt weder ku</w:t>
      </w:r>
      <w:r w:rsidRPr="00156980">
        <w:rPr>
          <w:szCs w:val="17"/>
        </w:rPr>
        <w:t>r</w:t>
      </w:r>
      <w:r w:rsidRPr="00156980">
        <w:rPr>
          <w:szCs w:val="17"/>
        </w:rPr>
        <w:t>ze Sätze in wissenschaftlichen Texten noch lange in Unterhaltungsromanen aus.</w:t>
      </w:r>
    </w:p>
  </w:footnote>
  <w:footnote w:id="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3226923 \h  \* MERGEFORMAT ">
        <w:r w:rsidR="001231D3" w:rsidRPr="001231D3">
          <w:rPr>
            <w:szCs w:val="17"/>
          </w:rPr>
          <w:t>140</w:t>
        </w:r>
      </w:fldSimple>
      <w:r w:rsidRPr="00156980">
        <w:rPr>
          <w:szCs w:val="17"/>
        </w:rPr>
        <w:t>.</w:t>
      </w:r>
    </w:p>
  </w:footnote>
  <w:footnote w:id="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ist interessant, wie bei ‚Stil‘ manchmal wie selbstverständlich davon ausgegangen wird, dass es sich um einen Begriff handelt, dem kein Phänomen zugrunde liegt. So schreibt Jürgen Trabant: „[Bennison] Gray hat m.E. jedoch mit seiner Auffassung recht, daß Stil als ‚Phänomen‘ […], als empirisch feststellbare oder […] aus anderen empirisch feststel</w:t>
      </w:r>
      <w:r w:rsidRPr="00156980">
        <w:rPr>
          <w:szCs w:val="17"/>
        </w:rPr>
        <w:t>l</w:t>
      </w:r>
      <w:r w:rsidRPr="00156980">
        <w:rPr>
          <w:szCs w:val="17"/>
        </w:rPr>
        <w:t>baren Grundgrößen ableitbare […] Größe nicht existiert.“ (Trabant 1979: 569) Für wi</w:t>
      </w:r>
      <w:r w:rsidRPr="00156980">
        <w:rPr>
          <w:szCs w:val="17"/>
        </w:rPr>
        <w:t>s</w:t>
      </w:r>
      <w:r w:rsidRPr="00156980">
        <w:rPr>
          <w:szCs w:val="17"/>
        </w:rPr>
        <w:t>senschaftliches Sprechen über Stil würde es dann ausreichen, den natürlichsprachlichen Begriff zu untersuchen und zu normieren (ebd.: 573).</w:t>
      </w:r>
    </w:p>
    <w:p w:rsidR="00CC3558" w:rsidRPr="00156980" w:rsidRDefault="00CC3558" w:rsidP="00F461D9">
      <w:pPr>
        <w:pStyle w:val="Funotentext"/>
        <w:rPr>
          <w:szCs w:val="17"/>
          <w:lang w:val="en-US"/>
        </w:rPr>
      </w:pPr>
      <w:r w:rsidRPr="00156980">
        <w:rPr>
          <w:szCs w:val="17"/>
        </w:rPr>
        <w:tab/>
        <w:t xml:space="preserve">Manchmal dagegen wird ebenso selbstverständlich angenommen, dass ein Phänomen existiert, das man im Blick behalten muss, ohne sich von früheren Definitionen irritieren zu lassen. </w:t>
      </w:r>
      <w:r w:rsidRPr="00156980">
        <w:rPr>
          <w:szCs w:val="17"/>
          <w:lang w:val="en-US"/>
        </w:rPr>
        <w:t>So schreiben Leech u.a. (1981: 10): „We must take account of the various ways in which the word ‘style’ has been used in the past: but we should be wary of becoming slaves to verbal definition. Definitions are useful only in so far as they encapsulate a pa</w:t>
      </w:r>
      <w:r w:rsidRPr="00156980">
        <w:rPr>
          <w:szCs w:val="17"/>
          <w:lang w:val="en-US"/>
        </w:rPr>
        <w:t>r</w:t>
      </w:r>
      <w:r w:rsidRPr="00156980">
        <w:rPr>
          <w:szCs w:val="17"/>
          <w:lang w:val="en-US"/>
        </w:rPr>
        <w:t>ticular conception or theory of the phenomena one wishes to study.“</w:t>
      </w:r>
    </w:p>
  </w:footnote>
  <w:footnote w:id="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8446897 \r \h  \* MERGEFORMAT ">
        <w:r w:rsidR="001231D3" w:rsidRPr="001231D3">
          <w:rPr>
            <w:szCs w:val="17"/>
          </w:rPr>
          <w:t>3.6</w:t>
        </w:r>
      </w:fldSimple>
      <w:r w:rsidRPr="00156980">
        <w:rPr>
          <w:szCs w:val="17"/>
        </w:rPr>
        <w:t>. – Die Anwendung der Methode wurde schrittweise entwickelt in Jakobson</w:t>
      </w:r>
      <w:r w:rsidR="005D7996">
        <w:rPr>
          <w:szCs w:val="17"/>
        </w:rPr>
        <w:fldChar w:fldCharType="begin"/>
      </w:r>
      <w:r>
        <w:instrText xml:space="preserve"> XE "</w:instrText>
      </w:r>
      <w:r w:rsidRPr="00DC4F0A">
        <w:rPr>
          <w:szCs w:val="17"/>
        </w:rPr>
        <w:instrText>Jakobson, Roman</w:instrText>
      </w:r>
      <w:r>
        <w:instrText xml:space="preserve">" </w:instrText>
      </w:r>
      <w:r w:rsidR="005D7996">
        <w:rPr>
          <w:szCs w:val="17"/>
        </w:rPr>
        <w:fldChar w:fldCharType="end"/>
      </w:r>
      <w:r w:rsidRPr="00156980">
        <w:rPr>
          <w:szCs w:val="17"/>
        </w:rPr>
        <w:t xml:space="preserve"> u.a. 1962,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1966, Posner 1972 und 1980c. Strukturalistisch geprägt sind auch die Stiltheorien von Granger (1969) und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(1973). Einen Überblick über strukturalistische Ansätze in der Stiltheorie geben Pankow 1998: 1613f und Kraus 2008.</w:t>
      </w:r>
    </w:p>
  </w:footnote>
  <w:footnote w:id="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Geht man auf eine sehr allgemeine Ebene, kann es als Teil eines Stils untersucht werden, beispielsweise wenn verschiedene Lebensstile (wie der „Bohemien“-Lebensstil oder der „bürgerliche“ Lebensstil) betrachtet werden, denen verschiedene Tagesabläufe zugeor</w:t>
      </w:r>
      <w:r w:rsidRPr="00156980">
        <w:rPr>
          <w:szCs w:val="17"/>
        </w:rPr>
        <w:t>d</w:t>
      </w:r>
      <w:r w:rsidRPr="00156980">
        <w:rPr>
          <w:szCs w:val="17"/>
        </w:rPr>
        <w:t>net werden. Auch dann muss jedoch zwischen dem allgemeinen Tagesablauf und der konkreten Tagesplanung unterschieden werden, die durch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beei</w:t>
      </w:r>
      <w:r w:rsidRPr="00156980">
        <w:rPr>
          <w:szCs w:val="17"/>
        </w:rPr>
        <w:t>n</w:t>
      </w:r>
      <w:r w:rsidRPr="00156980">
        <w:rPr>
          <w:szCs w:val="17"/>
        </w:rPr>
        <w:t>flusst wird, etwa wenn ein Langschläfer wegen eines Termins früh aufsteht. Eine Tage</w:t>
      </w:r>
      <w:r w:rsidRPr="00156980">
        <w:rPr>
          <w:szCs w:val="17"/>
        </w:rPr>
        <w:t>s</w:t>
      </w:r>
      <w:r w:rsidRPr="00156980">
        <w:rPr>
          <w:szCs w:val="17"/>
        </w:rPr>
        <w:t>planung enthält also selbst unter dem Blickwinkel eines Lebensstils</w:t>
      </w:r>
      <w:r w:rsidR="005D7996">
        <w:rPr>
          <w:szCs w:val="17"/>
        </w:rPr>
        <w:fldChar w:fldCharType="begin"/>
      </w:r>
      <w:r>
        <w:instrText xml:space="preserve"> XE "</w:instrText>
      </w:r>
      <w:r w:rsidRPr="00B41AC9">
        <w:instrText>Lebensstil</w:instrText>
      </w:r>
      <w:r>
        <w:instrText xml:space="preserve">" </w:instrText>
      </w:r>
      <w:r w:rsidR="005D7996">
        <w:rPr>
          <w:szCs w:val="17"/>
        </w:rPr>
        <w:fldChar w:fldCharType="end"/>
      </w:r>
      <w:r w:rsidRPr="00156980">
        <w:rPr>
          <w:szCs w:val="17"/>
        </w:rPr>
        <w:t xml:space="preserve"> immer auch nicht-stilistische Auswahl.</w:t>
      </w:r>
    </w:p>
  </w:footnote>
  <w:footnote w:id="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Auch hier kommt es oftmals zu Verwirrungen, die durch die postmoderne Neigung, alles für ein Zeichen zu halten, verursacht werden: </w:t>
      </w:r>
      <w:r>
        <w:t>Dafür werden etwa kulturelle Zuschreibu</w:t>
      </w:r>
      <w:r>
        <w:t>n</w:t>
      </w:r>
      <w:r>
        <w:t>gen (für Autofahren beispielsweise ‚Individualismus‘ oder ‚umweltschädlich‘) oder Ze</w:t>
      </w:r>
      <w:r>
        <w:t>i</w:t>
      </w:r>
      <w:r>
        <w:t>chen als Mittel der Handlung (Zeichen auf dem Armaturenbrett oder Zeichenprozesse beim Erlernen der Handlung) angeführt. Eine analytische Betrachtung zeigt jedoch, dass es beides auch bei Handlungen gibt, die auf Zeichengebrauch basieren, etwa beim Schre</w:t>
      </w:r>
      <w:r>
        <w:t>i</w:t>
      </w:r>
      <w:r>
        <w:t>ben eines literarischen Textes, wo zusätzlich zu den gebrauchten Zeichen ebenfalls kult</w:t>
      </w:r>
      <w:r>
        <w:t>u</w:t>
      </w:r>
      <w:r>
        <w:t>relle Zuschreibungen (‚Selbstverwirklichung‘, ‚Zurückgezogenheit‘) sowie Zeichen als Mittel der Handlung (auf Tastaturen oder Computerbildschirmen) vorhanden sind.</w:t>
      </w:r>
    </w:p>
  </w:footnote>
  <w:footnote w:id="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Dass sich aus dem Auswahlergebnis selbst, das heißt aus dem konkret durchgeführten Verhalten selbst, Schlüsse ziehen lassen, bleibt davon natürlich unberührt. Ich weiß be</w:t>
      </w:r>
      <w:r w:rsidRPr="00156980">
        <w:rPr>
          <w:szCs w:val="17"/>
        </w:rPr>
        <w:t>i</w:t>
      </w:r>
      <w:r w:rsidRPr="00156980">
        <w:rPr>
          <w:szCs w:val="17"/>
        </w:rPr>
        <w:t>spielsweise, dass die Person unter bestimmten Umständen spät aufsteht und kann über Gründe spekulieren; ich weiß aber nicht, welcher Anteil daran stilistisch bedingt ist.</w:t>
      </w:r>
    </w:p>
  </w:footnote>
  <w:footnote w:id="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Abschnitt </w:t>
      </w:r>
      <w:fldSimple w:instr=" REF _Ref260056929 \r \h  \* MERGEFORMAT ">
        <w:r w:rsidR="001231D3" w:rsidRPr="001231D3">
          <w:rPr>
            <w:szCs w:val="17"/>
          </w:rPr>
          <w:t>2.1</w:t>
        </w:r>
      </w:fldSimple>
      <w:r w:rsidRPr="00156980">
        <w:rPr>
          <w:szCs w:val="17"/>
        </w:rPr>
        <w:t>.</w:t>
      </w:r>
    </w:p>
  </w:footnote>
  <w:footnote w:id="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Saussure</w:t>
      </w:r>
      <w:r w:rsidR="005D7996">
        <w:rPr>
          <w:szCs w:val="17"/>
        </w:rPr>
        <w:fldChar w:fldCharType="begin"/>
      </w:r>
      <w:r>
        <w:instrText xml:space="preserve"> XE "</w:instrText>
      </w:r>
      <w:r w:rsidRPr="0007712B">
        <w:instrText>Saussure, Ferdinand de</w:instrText>
      </w:r>
      <w:r>
        <w:instrText xml:space="preserve">" </w:instrText>
      </w:r>
      <w:r w:rsidR="005D7996">
        <w:rPr>
          <w:szCs w:val="17"/>
        </w:rPr>
        <w:fldChar w:fldCharType="end"/>
      </w:r>
      <w:r w:rsidRPr="00156980">
        <w:rPr>
          <w:szCs w:val="17"/>
        </w:rPr>
        <w:t xml:space="preserve"> 2001: 147ff (Kap. 5). Eine Erläuterung der Dichotomie und ihrer Auffassung in den verschiedenen strukturalistischen Schulen gibt Albrecht 2000: 50ff.</w:t>
      </w:r>
    </w:p>
  </w:footnote>
  <w:footnote w:id="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Albrecht 2000: 54.</w:t>
      </w:r>
    </w:p>
  </w:footnote>
  <w:footnote w:id="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t>
      </w:r>
      <w:r>
        <w:rPr>
          <w:szCs w:val="17"/>
        </w:rPr>
        <w:t>Alter</w:t>
      </w:r>
      <w:r>
        <w:rPr>
          <w:szCs w:val="17"/>
        </w:rPr>
        <w:softHyphen/>
        <w:t>nativen</w:t>
      </w:r>
      <w:r>
        <w:rPr>
          <w:szCs w:val="17"/>
        </w:rPr>
        <w:softHyphen/>
        <w:t>klasse</w:t>
      </w:r>
      <w:r w:rsidRPr="00156980">
        <w:rPr>
          <w:szCs w:val="17"/>
        </w:rPr>
        <w:t>“ darf daher nicht als „Klasse der Alternativen zum realisierten El</w:t>
      </w:r>
      <w:r w:rsidRPr="00156980">
        <w:rPr>
          <w:szCs w:val="17"/>
        </w:rPr>
        <w:t>e</w:t>
      </w:r>
      <w:r w:rsidRPr="00156980">
        <w:rPr>
          <w:szCs w:val="17"/>
        </w:rPr>
        <w:t>ment“ verstanden werden: Beim Anwenden des Stils ist zunächst noch kein Element au</w:t>
      </w:r>
      <w:r w:rsidRPr="00156980">
        <w:rPr>
          <w:szCs w:val="17"/>
        </w:rPr>
        <w:t>s</w:t>
      </w:r>
      <w:r w:rsidRPr="00156980">
        <w:rPr>
          <w:szCs w:val="17"/>
        </w:rPr>
        <w:t>gewählt, und beim Wahrnehmen wird die Klasse zwar zu einem realisierten Element r</w:t>
      </w:r>
      <w:r w:rsidRPr="00156980">
        <w:rPr>
          <w:szCs w:val="17"/>
        </w:rPr>
        <w:t>e</w:t>
      </w:r>
      <w:r w:rsidRPr="00156980">
        <w:rPr>
          <w:szCs w:val="17"/>
        </w:rPr>
        <w:t>konstruiert, enthält dieses aber auch. „Alternativen“ sind die Elemente der Klasse vie</w:t>
      </w:r>
      <w:r w:rsidRPr="00156980">
        <w:rPr>
          <w:szCs w:val="17"/>
        </w:rPr>
        <w:t>l</w:t>
      </w:r>
      <w:r w:rsidRPr="00156980">
        <w:rPr>
          <w:szCs w:val="17"/>
        </w:rPr>
        <w:t>mehr, weil jedes der Elemente die Bedingungen erfüllt, die für diese Realisierungsstelle gelten, und genau eines von ihnen gewählt wird.</w:t>
      </w:r>
    </w:p>
  </w:footnote>
  <w:footnote w:id="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den letzten beiden Auffassungen vgl. Abschnitt</w:t>
      </w:r>
      <w:r>
        <w:t xml:space="preserve"> </w:t>
      </w:r>
      <w:r w:rsidR="005D7996">
        <w:fldChar w:fldCharType="begin"/>
      </w:r>
      <w:r>
        <w:instrText xml:space="preserve"> REF _Ref324924447 \r \h </w:instrText>
      </w:r>
      <w:r w:rsidR="005D7996">
        <w:fldChar w:fldCharType="separate"/>
      </w:r>
      <w:r w:rsidR="001231D3">
        <w:t>2.5</w:t>
      </w:r>
      <w:r w:rsidR="005D7996">
        <w:fldChar w:fldCharType="end"/>
      </w:r>
      <w:r w:rsidRPr="00156980">
        <w:rPr>
          <w:szCs w:val="17"/>
        </w:rPr>
        <w:t>.</w:t>
      </w:r>
    </w:p>
  </w:footnote>
  <w:footnote w:id="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Stil setzt immer Variationsmöglichkeiten voraus, aber nicht alle Variation ist stilistisch. Vgl. zum Verhältnis von Stil und Variation Dittmar 2009b.</w:t>
      </w:r>
    </w:p>
  </w:footnote>
  <w:footnote w:id="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Posner 1972: 210.</w:t>
      </w:r>
    </w:p>
  </w:footnote>
  <w:footnote w:id="9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Albrecht 2000: 54.</w:t>
      </w:r>
    </w:p>
  </w:footnote>
  <w:footnote w:id="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Texte lassen sich als „Ergebnisse von Zeichengebrauch auf Basis von Zeichensystemen“ definieren (vgl. Abschnitt </w:t>
      </w:r>
      <w:fldSimple w:instr=" REF _Ref212082822 \r \h  \* MERGEFORMAT ">
        <w:r w:rsidR="001231D3" w:rsidRPr="001231D3">
          <w:rPr>
            <w:szCs w:val="17"/>
          </w:rPr>
          <w:t>4.2.2</w:t>
        </w:r>
      </w:fldSimple>
      <w:r w:rsidRPr="00156980">
        <w:rPr>
          <w:szCs w:val="17"/>
        </w:rPr>
        <w:t>).</w:t>
      </w:r>
    </w:p>
  </w:footnote>
  <w:footnote w:id="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könnte versucht werden, auch für Verhalten und Artefakte Wohlgeformtheitsbedi</w:t>
      </w:r>
      <w:r w:rsidRPr="00156980">
        <w:rPr>
          <w:szCs w:val="17"/>
        </w:rPr>
        <w:t>n</w:t>
      </w:r>
      <w:r w:rsidRPr="00156980">
        <w:rPr>
          <w:szCs w:val="17"/>
        </w:rPr>
        <w:t>gungen zu definieren. Vorgreifend sei angemerkt, dass später ein ähnlicher Weg gewählt wird, allerdings mit einem Zwischenschritt: Die Verwendung von Zeichensystemen kann nicht auf andere Bereiche verallgemeinert werden, es werden daher als Grundlage für eine allgemeine Beschreibung Schemata postuliert, die jeweils verschiedene Schemaorte en</w:t>
      </w:r>
      <w:r w:rsidRPr="00156980">
        <w:rPr>
          <w:szCs w:val="17"/>
        </w:rPr>
        <w:t>t</w:t>
      </w:r>
      <w:r w:rsidRPr="00156980">
        <w:rPr>
          <w:szCs w:val="17"/>
        </w:rPr>
        <w:t xml:space="preserve">halten (vgl. Abschnitt </w:t>
      </w:r>
      <w:fldSimple w:instr=" REF _Ref262119559 \r \h  \* MERGEFORMAT ">
        <w:r w:rsidR="001231D3" w:rsidRPr="001231D3">
          <w:rPr>
            <w:szCs w:val="17"/>
          </w:rPr>
          <w:t>2.6</w:t>
        </w:r>
      </w:fldSimple>
      <w:r w:rsidRPr="00156980">
        <w:rPr>
          <w:szCs w:val="17"/>
        </w:rPr>
        <w:t>). Schemaorte können sowohl spezielle Bestandteile eines Schemas festlegen (z.B. was ein ‚Fenster‘ ist, worin auch eine Spezifikation seiner Ve</w:t>
      </w:r>
      <w:r w:rsidRPr="00156980">
        <w:rPr>
          <w:szCs w:val="17"/>
        </w:rPr>
        <w:t>r</w:t>
      </w:r>
      <w:r w:rsidRPr="00156980">
        <w:rPr>
          <w:szCs w:val="17"/>
        </w:rPr>
        <w:t>wendungsmöglichkeiten enthalten ist; ein Loch in der Bodenplatte eines Hauses ist kein Fenster) als auch allgemeine Organisationsweisen (z.B. ‚Baukörper‘, ‚Raumkörper‘ oder ‚Fassadengestaltung‘, wobei sich aus den Bedingungen für diese Schemaorte Kombinat</w:t>
      </w:r>
      <w:r w:rsidRPr="00156980">
        <w:rPr>
          <w:szCs w:val="17"/>
        </w:rPr>
        <w:t>i</w:t>
      </w:r>
      <w:r w:rsidRPr="00156980">
        <w:rPr>
          <w:szCs w:val="17"/>
        </w:rPr>
        <w:t>onsregeln</w:t>
      </w:r>
      <w:r w:rsidR="005D7996">
        <w:rPr>
          <w:szCs w:val="17"/>
        </w:rPr>
        <w:fldChar w:fldCharType="begin"/>
      </w:r>
      <w:r>
        <w:instrText xml:space="preserve"> XE "</w:instrText>
      </w:r>
      <w:r w:rsidRPr="00197230">
        <w:rPr>
          <w:rFonts w:eastAsia="Times New Roman" w:cs="Times New Roman"/>
        </w:rPr>
        <w:instrText>Kombinationsregeln</w:instrText>
      </w:r>
      <w:r>
        <w:instrText xml:space="preserve">" </w:instrText>
      </w:r>
      <w:r w:rsidR="005D7996">
        <w:rPr>
          <w:szCs w:val="17"/>
        </w:rPr>
        <w:fldChar w:fldCharType="end"/>
      </w:r>
      <w:r w:rsidRPr="00156980">
        <w:rPr>
          <w:szCs w:val="17"/>
        </w:rPr>
        <w:t xml:space="preserve"> für die verwendbaren Elemente, etwa für ‚Fenster‘, ergeben). Zusammen g</w:t>
      </w:r>
      <w:r w:rsidRPr="00156980">
        <w:rPr>
          <w:szCs w:val="17"/>
        </w:rPr>
        <w:t>e</w:t>
      </w:r>
      <w:r w:rsidRPr="00156980">
        <w:rPr>
          <w:szCs w:val="17"/>
        </w:rPr>
        <w:t xml:space="preserve">nommen ergeben diese Schemaorte Wohlgeformtheitsbedingungen für Realisierungen des Schemas (vgl. Abschnitt </w:t>
      </w:r>
      <w:fldSimple w:instr=" REF _Ref212111029 \r \h  \* MERGEFORMAT ">
        <w:r w:rsidR="001231D3" w:rsidRPr="001231D3">
          <w:rPr>
            <w:szCs w:val="17"/>
          </w:rPr>
          <w:t>4.2.3</w:t>
        </w:r>
      </w:fldSimple>
      <w:r w:rsidRPr="00156980">
        <w:rPr>
          <w:szCs w:val="17"/>
        </w:rPr>
        <w:t>).</w:t>
      </w:r>
    </w:p>
  </w:footnote>
  <w:footnote w:id="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Ansätze, die (sprachlichen) Stil als Auswahl auffassten, haben meist dieses Kriterium zur Bildung der </w:t>
      </w:r>
      <w:r>
        <w:rPr>
          <w:szCs w:val="17"/>
        </w:rPr>
        <w:t>Alter</w:t>
      </w:r>
      <w:r>
        <w:rPr>
          <w:szCs w:val="17"/>
        </w:rPr>
        <w:softHyphen/>
        <w:t>nativen</w:t>
      </w:r>
      <w:r>
        <w:rPr>
          <w:szCs w:val="17"/>
        </w:rPr>
        <w:softHyphen/>
        <w:t>klasse</w:t>
      </w:r>
      <w:r w:rsidRPr="00156980">
        <w:rPr>
          <w:szCs w:val="17"/>
        </w:rPr>
        <w:t xml:space="preserve">n angenommen, </w:t>
      </w:r>
      <w:r>
        <w:rPr>
          <w:szCs w:val="17"/>
        </w:rPr>
        <w:t>etwa</w:t>
      </w:r>
      <w:r w:rsidRPr="00156980">
        <w:rPr>
          <w:szCs w:val="17"/>
        </w:rPr>
        <w:t xml:space="preserve"> Spillner (1984: 70): „Für die A</w:t>
      </w:r>
      <w:r w:rsidRPr="00156980">
        <w:rPr>
          <w:szCs w:val="17"/>
        </w:rPr>
        <w:t>u</w:t>
      </w:r>
      <w:r w:rsidRPr="00156980">
        <w:rPr>
          <w:szCs w:val="17"/>
        </w:rPr>
        <w:t xml:space="preserve">torenseite bedeutet dies, […] diejenigen sprachlichen Alternativen zu ermitteln, die dem Autor – bei nahezu gleichem semantischen Informationsgehalt – zur Verfügung standen.“ </w:t>
      </w:r>
      <w:r w:rsidRPr="00156980">
        <w:rPr>
          <w:szCs w:val="17"/>
          <w:lang w:val="en-US"/>
        </w:rPr>
        <w:t xml:space="preserve">Bei Leech u.a. (1981: 39) heißt es: „Stylistic choice is limited to those aspects of linguistic choice which concern alternative ways of rendering the same subject matter.“ Enkvist formuliert: „pragmatic choice takes place between features that have different meanings, whereas stylistic choice takes place between features which mean the same.“ </w:t>
      </w:r>
      <w:r w:rsidRPr="00156980">
        <w:rPr>
          <w:szCs w:val="17"/>
        </w:rPr>
        <w:t>Weitere Be</w:t>
      </w:r>
      <w:r w:rsidRPr="00156980">
        <w:rPr>
          <w:szCs w:val="17"/>
        </w:rPr>
        <w:t>i</w:t>
      </w:r>
      <w:r w:rsidRPr="00156980">
        <w:rPr>
          <w:szCs w:val="17"/>
        </w:rPr>
        <w:t xml:space="preserve">spiele finden sich in </w:t>
      </w:r>
      <w:r>
        <w:rPr>
          <w:szCs w:val="17"/>
        </w:rPr>
        <w:t xml:space="preserve">Ullmann 1957: 6, </w:t>
      </w:r>
      <w:r w:rsidRPr="00156980">
        <w:rPr>
          <w:szCs w:val="17"/>
        </w:rPr>
        <w:t>Hockett 1958: 556, Riesel 1963: 40 und Michel 1968: 36ff. Nach Einschätzung Spillners unterliegt die Vorstellung inhaltsgleicher Varia</w:t>
      </w:r>
      <w:r w:rsidRPr="00156980">
        <w:rPr>
          <w:szCs w:val="17"/>
        </w:rPr>
        <w:t>n</w:t>
      </w:r>
      <w:r w:rsidRPr="00156980">
        <w:rPr>
          <w:szCs w:val="17"/>
        </w:rPr>
        <w:t>ten implizit oder explizit den meisten linguistischen Stilauffassungen (Spillner 1987: 275).</w:t>
      </w:r>
    </w:p>
  </w:footnote>
  <w:footnote w:id="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nimmt „Minderjähriger“ auf eine juristische Definition Bezug und setzt damit eine exakte Grenze; zudem sind die Wahrheitsbedingungen des Satzes bei Verwe</w:t>
      </w:r>
      <w:r w:rsidRPr="00156980">
        <w:rPr>
          <w:szCs w:val="17"/>
        </w:rPr>
        <w:t>n</w:t>
      </w:r>
      <w:r w:rsidRPr="00156980">
        <w:rPr>
          <w:szCs w:val="17"/>
        </w:rPr>
        <w:t>dung dieses Ausdrucks vom festgelegten Volljährigkeitsalter abhängig.</w:t>
      </w:r>
    </w:p>
  </w:footnote>
  <w:footnote w:id="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Leech u.a. (1981: 32) verdeutlichen dies anhand literarischer Beispiele von James Joyce, Mervyn Peake und William Golding; sie betonen, dass es den „mindstyle“ gibt (Fowler 1977: 103ff; Nischik 1991), die Denkweise und Sichtweise auf die Welt, die sich in der Sprachverwendung ausdrückt und sich nachhaltig auf den Inhalt auswirkt. „Mindstyle“ kann aus dualistischer Perspektive nicht untersucht werden (Leech u.a. 1981: 34). Sie schlagen daher eine bedarfsabhängige Kombination unterschiedlicher Ansätze vor (ebd.: 34ff).</w:t>
      </w:r>
    </w:p>
    <w:p w:rsidR="00CC3558" w:rsidRPr="00156980" w:rsidRDefault="00CC3558" w:rsidP="00F461D9">
      <w:pPr>
        <w:pStyle w:val="Funotentext"/>
        <w:rPr>
          <w:szCs w:val="17"/>
        </w:rPr>
      </w:pPr>
      <w:r w:rsidRPr="00156980">
        <w:rPr>
          <w:szCs w:val="17"/>
        </w:rPr>
        <w:tab/>
        <w:t>Dass der Stil meist auch Auswirkungen auf den Inhalt hat, demonstrieren die klassischen „Stilübungen“ Raymond Queneaus, in denen er eine Geschichte in 99 unterschiedlichen Stilen erzählt (Queneau</w:t>
      </w:r>
      <w:r w:rsidR="005D7996">
        <w:rPr>
          <w:szCs w:val="17"/>
        </w:rPr>
        <w:fldChar w:fldCharType="begin"/>
      </w:r>
      <w:r>
        <w:instrText xml:space="preserve"> XE "</w:instrText>
      </w:r>
      <w:r w:rsidRPr="007A7F47">
        <w:rPr>
          <w:szCs w:val="17"/>
        </w:rPr>
        <w:instrText>Queneau, Raymond</w:instrText>
      </w:r>
      <w:r>
        <w:instrText xml:space="preserve">" </w:instrText>
      </w:r>
      <w:r w:rsidR="005D7996">
        <w:rPr>
          <w:szCs w:val="17"/>
        </w:rPr>
        <w:fldChar w:fldCharType="end"/>
      </w:r>
      <w:r w:rsidRPr="00156980">
        <w:rPr>
          <w:szCs w:val="17"/>
        </w:rPr>
        <w:t xml:space="preserve"> 1947), und die Adaption dieser Idee für den Comic durch Matt Madden (Madden 2005).</w:t>
      </w:r>
    </w:p>
  </w:footnote>
  <w:footnote w:id="1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fldSimple w:instr=" REF _Ref260072333 \r \h  \* MERGEFORMAT ">
        <w:r w:rsidR="001231D3" w:rsidRPr="001231D3">
          <w:rPr>
            <w:szCs w:val="17"/>
          </w:rPr>
          <w:t>6.3.1.4</w:t>
        </w:r>
      </w:fldSimple>
      <w:r w:rsidRPr="00156980">
        <w:rPr>
          <w:szCs w:val="17"/>
        </w:rPr>
        <w:t>, Beispiel 1.</w:t>
      </w:r>
    </w:p>
  </w:footnote>
  <w:footnote w:id="1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Sofern Zwecke nicht per definitionem auf Handlungen beschränkt werden, können ma</w:t>
      </w:r>
      <w:r w:rsidRPr="00156980">
        <w:rPr>
          <w:szCs w:val="17"/>
        </w:rPr>
        <w:t>n</w:t>
      </w:r>
      <w:r w:rsidRPr="00156980">
        <w:rPr>
          <w:szCs w:val="17"/>
        </w:rPr>
        <w:t>chen nicht-intendierten Verhaltensweisen, etwa unbeabsichtigem Sich-Kratzen, Revie</w:t>
      </w:r>
      <w:r w:rsidRPr="00156980">
        <w:rPr>
          <w:szCs w:val="17"/>
        </w:rPr>
        <w:t>r</w:t>
      </w:r>
      <w:r w:rsidRPr="00156980">
        <w:rPr>
          <w:szCs w:val="17"/>
        </w:rPr>
        <w:t>verhalten oder einem Abwehrreflex, Zwecke zugeordnet werden (Verminderung des Juckreizes; Reviersicherung; Verteidigung). In diesem Fall ist der Zweck nicht beabsic</w:t>
      </w:r>
      <w:r w:rsidRPr="00156980">
        <w:rPr>
          <w:szCs w:val="17"/>
        </w:rPr>
        <w:t>h</w:t>
      </w:r>
      <w:r w:rsidRPr="00156980">
        <w:rPr>
          <w:szCs w:val="17"/>
        </w:rPr>
        <w:t xml:space="preserve">tigt wie bei einer Handlung (vgl. Fußnote </w:t>
      </w:r>
      <w:fldSimple w:instr=" NOTEREF _Ref262467300 \h  \* MERGEFORMAT ">
        <w:r w:rsidR="001231D3" w:rsidRPr="001231D3">
          <w:rPr>
            <w:szCs w:val="17"/>
          </w:rPr>
          <w:t>279</w:t>
        </w:r>
      </w:fldSimple>
      <w:r w:rsidRPr="00156980">
        <w:rPr>
          <w:szCs w:val="17"/>
        </w:rPr>
        <w:t>), die Verbindung zwischen Zweck und Verhalten kann jedoch auf eine evolutionäre Einprogrammierung des zielführenden Ve</w:t>
      </w:r>
      <w:r w:rsidRPr="00156980">
        <w:rPr>
          <w:szCs w:val="17"/>
        </w:rPr>
        <w:t>r</w:t>
      </w:r>
      <w:r w:rsidRPr="00156980">
        <w:rPr>
          <w:szCs w:val="17"/>
        </w:rPr>
        <w:t>haltens zurückgeführt werden. Bei anderem Verhalten ist allerdings unklar, welcher Zweck ihm zukommt (Lachen, Weinen, Schmatzen, Sich-die-Haare-Raufen usw.).</w:t>
      </w:r>
    </w:p>
  </w:footnote>
  <w:footnote w:id="1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Mies van der Rohe</w:t>
      </w:r>
      <w:r w:rsidR="005D7996">
        <w:rPr>
          <w:szCs w:val="17"/>
        </w:rPr>
        <w:fldChar w:fldCharType="begin"/>
      </w:r>
      <w:r>
        <w:instrText xml:space="preserve"> XE "</w:instrText>
      </w:r>
      <w:r w:rsidRPr="00DF1DF4">
        <w:rPr>
          <w:szCs w:val="17"/>
        </w:rPr>
        <w:instrText>Mies van der Rohe, Ludwig</w:instrText>
      </w:r>
      <w:r>
        <w:instrText xml:space="preserve">" </w:instrText>
      </w:r>
      <w:r w:rsidR="005D7996">
        <w:rPr>
          <w:szCs w:val="17"/>
        </w:rPr>
        <w:fldChar w:fldCharType="end"/>
      </w:r>
      <w:r w:rsidRPr="00156980">
        <w:rPr>
          <w:szCs w:val="17"/>
        </w:rPr>
        <w:t xml:space="preserve"> baute so das berühmte Farnsworth-Haus</w:t>
      </w:r>
      <w:r w:rsidR="005D7996">
        <w:rPr>
          <w:szCs w:val="17"/>
        </w:rPr>
        <w:fldChar w:fldCharType="begin"/>
      </w:r>
      <w:r>
        <w:instrText xml:space="preserve"> XE "</w:instrText>
      </w:r>
      <w:r w:rsidRPr="003A3B65">
        <w:rPr>
          <w:szCs w:val="17"/>
        </w:rPr>
        <w:instrText>Farnsworth-Haus (Mies van der Rohe)</w:instrText>
      </w:r>
      <w:r>
        <w:instrText xml:space="preserve">" </w:instrText>
      </w:r>
      <w:r w:rsidR="005D7996">
        <w:rPr>
          <w:szCs w:val="17"/>
        </w:rPr>
        <w:fldChar w:fldCharType="end"/>
      </w:r>
      <w:r w:rsidRPr="00156980">
        <w:rPr>
          <w:szCs w:val="17"/>
        </w:rPr>
        <w:t xml:space="preserve"> (1950–1951), mit dessen Nutzungsmöglichkeiten die Auftraggeberin Edith Farnsworth, die den Architekten nicht vollständig bezahlte, unzufrieden gewesen sein soll.</w:t>
      </w:r>
    </w:p>
  </w:footnote>
  <w:footnote w:id="1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Beispielsweise können in einer </w:t>
      </w:r>
      <w:r>
        <w:rPr>
          <w:szCs w:val="17"/>
        </w:rPr>
        <w:t>Alter</w:t>
      </w:r>
      <w:r>
        <w:rPr>
          <w:szCs w:val="17"/>
        </w:rPr>
        <w:softHyphen/>
        <w:t>nativen</w:t>
      </w:r>
      <w:r>
        <w:rPr>
          <w:szCs w:val="17"/>
        </w:rPr>
        <w:softHyphen/>
        <w:t>klasse</w:t>
      </w:r>
      <w:r w:rsidRPr="00156980">
        <w:rPr>
          <w:szCs w:val="17"/>
        </w:rPr>
        <w:t xml:space="preserve"> zum Schemaort ‚Fenster‘ die Elemente nach der Eigenschaft ‚herstellendes Unternehmen‘ unterschieden werden; daraus lässt sich die Eigenschaft ‚Größe des herstellenden Unternehmens‘ ableiten (die durchaus noch als Stilprinzip denkbar wäre, etwa wenn ein Architekt prinzipiell kleine Unterne</w:t>
      </w:r>
      <w:r w:rsidRPr="00156980">
        <w:rPr>
          <w:szCs w:val="17"/>
        </w:rPr>
        <w:t>h</w:t>
      </w:r>
      <w:r w:rsidRPr="00156980">
        <w:rPr>
          <w:szCs w:val="17"/>
        </w:rPr>
        <w:t>men unterstützt), ferner ‚Gründungsdatum des herstellenden Unternehmens‘, ‚Anzahl der Vorstände des herstellenden Unternehmens zur Zeit des Kaufs des Fensters‘ usw.; dies lässt sich beliebig fortsetzen. Auch wenn solche komplexen Eigenschaften zune</w:t>
      </w:r>
      <w:r w:rsidRPr="00156980">
        <w:rPr>
          <w:szCs w:val="17"/>
        </w:rPr>
        <w:t>h</w:t>
      </w:r>
      <w:r w:rsidRPr="00156980">
        <w:rPr>
          <w:szCs w:val="17"/>
        </w:rPr>
        <w:t>mend unplausibler für stilistische Merkmale werden, lässt sich doch keine prinzipielle Komplexitätsgrenze für stilistische Relevanz angeben.</w:t>
      </w:r>
    </w:p>
  </w:footnote>
  <w:footnote w:id="1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 diesem Zeitpunkt müssen noch nicht die genauen Grenzen der </w:t>
      </w:r>
      <w:r>
        <w:rPr>
          <w:szCs w:val="17"/>
        </w:rPr>
        <w:t>Alter</w:t>
      </w:r>
      <w:r>
        <w:rPr>
          <w:szCs w:val="17"/>
        </w:rPr>
        <w:softHyphen/>
        <w:t>nativen</w:t>
      </w:r>
      <w:r>
        <w:rPr>
          <w:szCs w:val="17"/>
        </w:rPr>
        <w:softHyphen/>
        <w:t>klasse</w:t>
      </w:r>
      <w:r w:rsidRPr="00156980">
        <w:rPr>
          <w:szCs w:val="17"/>
        </w:rPr>
        <w:t xml:space="preserve"> gebildet werden, sie muss aber doch soweit präsent sein, dass das realisierte Element auf Zugehörigkeit zur </w:t>
      </w:r>
      <w:r>
        <w:rPr>
          <w:szCs w:val="17"/>
        </w:rPr>
        <w:t>Alter</w:t>
      </w:r>
      <w:r>
        <w:rPr>
          <w:szCs w:val="17"/>
        </w:rPr>
        <w:softHyphen/>
        <w:t>nativen</w:t>
      </w:r>
      <w:r>
        <w:rPr>
          <w:szCs w:val="17"/>
        </w:rPr>
        <w:softHyphen/>
        <w:t>klasse</w:t>
      </w:r>
      <w:r w:rsidRPr="00156980">
        <w:rPr>
          <w:szCs w:val="17"/>
        </w:rPr>
        <w:t xml:space="preserve"> überprüft werden kann. In Grenzfällen kann dieser Vorgang ins Bewusstsein vordringen, etwa wenn man sich fragt: „Ist dies (überhaupt noch) ein Fenster?“</w:t>
      </w:r>
    </w:p>
  </w:footnote>
  <w:footnote w:id="1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Beim Wahrnehmen eines Stils ist es oft schwer, zu entscheiden, was auf Anforderungen beispielsweise durch die geplante Funktion und die Intention des Auftraggebers) und was auf den Stil des Künstlers zurückgeht, wie Robert Suckale (Suckale 2003: 262) betont. Hat man nur wenige Kunstwerke oder gar nur eines wie beim Architekten Peter Parler</w:t>
      </w:r>
      <w:r w:rsidR="005D7996">
        <w:rPr>
          <w:szCs w:val="17"/>
        </w:rPr>
        <w:fldChar w:fldCharType="begin"/>
      </w:r>
      <w:r>
        <w:instrText xml:space="preserve"> XE "</w:instrText>
      </w:r>
      <w:r w:rsidRPr="00340C3D">
        <w:rPr>
          <w:szCs w:val="17"/>
        </w:rPr>
        <w:instrText>Parler, Peter</w:instrText>
      </w:r>
      <w:r>
        <w:instrText xml:space="preserve">" </w:instrText>
      </w:r>
      <w:r w:rsidR="005D7996">
        <w:rPr>
          <w:szCs w:val="17"/>
        </w:rPr>
        <w:fldChar w:fldCharType="end"/>
      </w:r>
      <w:r w:rsidRPr="00156980">
        <w:rPr>
          <w:szCs w:val="17"/>
        </w:rPr>
        <w:t>, dem nur eine Bildhauerarbeit sicher zugeordnet wurde, wird es schwierig, den Stil abz</w:t>
      </w:r>
      <w:r w:rsidRPr="00156980">
        <w:rPr>
          <w:szCs w:val="17"/>
        </w:rPr>
        <w:t>u</w:t>
      </w:r>
      <w:r w:rsidRPr="00156980">
        <w:rPr>
          <w:szCs w:val="17"/>
        </w:rPr>
        <w:t>grenzen.</w:t>
      </w:r>
    </w:p>
    <w:p w:rsidR="00CC3558" w:rsidRPr="00156980" w:rsidRDefault="00CC3558" w:rsidP="00F461D9">
      <w:pPr>
        <w:pStyle w:val="Funotentext"/>
        <w:rPr>
          <w:szCs w:val="17"/>
        </w:rPr>
      </w:pPr>
      <w:r w:rsidRPr="00156980">
        <w:rPr>
          <w:szCs w:val="17"/>
        </w:rPr>
        <w:tab/>
        <w:t>Funktionale Bedingungen legen den Verwendungszweck eines Gebäudes fest; versteckte Zwecke und Absichten gehören nicht dazu. Beispielsweise hat Karl Scheffler über den Berliner Dom</w:t>
      </w:r>
      <w:r w:rsidR="005D7996">
        <w:rPr>
          <w:szCs w:val="17"/>
        </w:rPr>
        <w:fldChar w:fldCharType="begin"/>
      </w:r>
      <w:r>
        <w:instrText xml:space="preserve"> XE "</w:instrText>
      </w:r>
      <w:r w:rsidRPr="009F073E">
        <w:rPr>
          <w:szCs w:val="17"/>
        </w:rPr>
        <w:instrText>Berliner Dom</w:instrText>
      </w:r>
      <w:r>
        <w:instrText xml:space="preserve">" </w:instrText>
      </w:r>
      <w:r w:rsidR="005D7996">
        <w:rPr>
          <w:szCs w:val="17"/>
        </w:rPr>
        <w:fldChar w:fldCharType="end"/>
      </w:r>
      <w:r w:rsidRPr="00156980">
        <w:rPr>
          <w:szCs w:val="17"/>
        </w:rPr>
        <w:t xml:space="preserve"> (1894–1905, Architekt: Julius Raschdorff</w:t>
      </w:r>
      <w:r w:rsidR="005D7996">
        <w:rPr>
          <w:szCs w:val="17"/>
        </w:rPr>
        <w:fldChar w:fldCharType="begin"/>
      </w:r>
      <w:r>
        <w:instrText xml:space="preserve"> XE "</w:instrText>
      </w:r>
      <w:r w:rsidRPr="00AB3176">
        <w:rPr>
          <w:szCs w:val="17"/>
        </w:rPr>
        <w:instrText>Raschdorff, Julius</w:instrText>
      </w:r>
      <w:r>
        <w:instrText xml:space="preserve">" </w:instrText>
      </w:r>
      <w:r w:rsidR="005D7996">
        <w:rPr>
          <w:szCs w:val="17"/>
        </w:rPr>
        <w:fldChar w:fldCharType="end"/>
      </w:r>
      <w:r w:rsidRPr="00156980">
        <w:rPr>
          <w:szCs w:val="17"/>
        </w:rPr>
        <w:t>) geschrieben, er diene „als eine riesenhafte Staatsreklame für einen Gedanken der Staatsdisziplin und dynastischen Machtentfaltung“ (Scheffler 1908</w:t>
      </w:r>
      <w:r>
        <w:rPr>
          <w:szCs w:val="17"/>
        </w:rPr>
        <w:t>=</w:t>
      </w:r>
      <w:r>
        <w:t>1993</w:t>
      </w:r>
      <w:r w:rsidRPr="00156980">
        <w:rPr>
          <w:szCs w:val="17"/>
        </w:rPr>
        <w:t>: 35). Dies mag durchaus für den Staat, der ihn finanzierte, seine eigentliche Funktion sein; dem Bauwerkstyp nach handelt es sich de</w:t>
      </w:r>
      <w:r w:rsidRPr="00156980">
        <w:rPr>
          <w:szCs w:val="17"/>
        </w:rPr>
        <w:t>n</w:t>
      </w:r>
      <w:r w:rsidRPr="00156980">
        <w:rPr>
          <w:szCs w:val="17"/>
        </w:rPr>
        <w:t>noch um eine Kirche, und dies legt die funktionalen Bedingungen fest. Erst aus einer Sti</w:t>
      </w:r>
      <w:r w:rsidRPr="00156980">
        <w:rPr>
          <w:szCs w:val="17"/>
        </w:rPr>
        <w:t>l</w:t>
      </w:r>
      <w:r w:rsidRPr="00156980">
        <w:rPr>
          <w:szCs w:val="17"/>
        </w:rPr>
        <w:t>interpretation wird deutlich, dass es bei der Errichtung des Gebäudes gar nicht so sehr um seine Funktion, einen Raum für evangelische Gottesdienste bereitzustellen, ging; Scheffler betont, dass der gewählte Stil diese Funk</w:t>
      </w:r>
      <w:r>
        <w:rPr>
          <w:szCs w:val="17"/>
        </w:rPr>
        <w:t>tion sogar beeinträchtigt</w:t>
      </w:r>
      <w:r w:rsidRPr="00156980">
        <w:rPr>
          <w:szCs w:val="17"/>
        </w:rPr>
        <w:t>.</w:t>
      </w:r>
    </w:p>
  </w:footnote>
  <w:footnote w:id="1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heißt allerdings nicht, dass seine Auftraggeberin nicht davon ausgegangen ist, dass er solche funktionalen Bedingungen beachten würde; siehe Fußnote </w:t>
      </w:r>
      <w:fldSimple w:instr=" NOTEREF _Ref263238426 \h  \* MERGEFORMAT ">
        <w:r w:rsidR="001231D3" w:rsidRPr="001231D3">
          <w:rPr>
            <w:szCs w:val="17"/>
          </w:rPr>
          <w:t>102</w:t>
        </w:r>
      </w:fldSimple>
      <w:r w:rsidRPr="00156980">
        <w:rPr>
          <w:szCs w:val="17"/>
        </w:rPr>
        <w:t>.</w:t>
      </w:r>
    </w:p>
  </w:footnote>
  <w:footnote w:id="1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6495850 \n \h  \* MERGEFORMAT ">
        <w:r w:rsidR="001231D3" w:rsidRPr="001231D3">
          <w:rPr>
            <w:szCs w:val="17"/>
          </w:rPr>
          <w:t>7.1.2</w:t>
        </w:r>
      </w:fldSimple>
      <w:r w:rsidRPr="00156980">
        <w:rPr>
          <w:szCs w:val="17"/>
        </w:rPr>
        <w:t xml:space="preserve"> (Beispiel von Bret Easton Ellis), Merkmalsregeln </w:t>
      </w:r>
      <w:r w:rsidRPr="00156980">
        <w:rPr>
          <w:i/>
          <w:iCs/>
          <w:szCs w:val="17"/>
        </w:rPr>
        <w:t>B</w:t>
      </w:r>
      <w:r w:rsidRPr="00156980">
        <w:rPr>
          <w:szCs w:val="17"/>
          <w:vertAlign w:val="subscript"/>
        </w:rPr>
        <w:t>7</w:t>
      </w:r>
      <w:r w:rsidRPr="00156980">
        <w:rPr>
          <w:szCs w:val="17"/>
        </w:rPr>
        <w:t xml:space="preserve"> und </w:t>
      </w:r>
      <w:r w:rsidRPr="00156980">
        <w:rPr>
          <w:i/>
          <w:iCs/>
          <w:szCs w:val="17"/>
        </w:rPr>
        <w:t>B</w:t>
      </w:r>
      <w:r w:rsidRPr="00156980">
        <w:rPr>
          <w:szCs w:val="17"/>
          <w:vertAlign w:val="subscript"/>
        </w:rPr>
        <w:t>8</w:t>
      </w:r>
      <w:r w:rsidRPr="00156980">
        <w:rPr>
          <w:szCs w:val="17"/>
        </w:rPr>
        <w:t>.</w:t>
      </w:r>
    </w:p>
  </w:footnote>
  <w:footnote w:id="1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Bolinger 1975: 600f.</w:t>
      </w:r>
    </w:p>
  </w:footnote>
  <w:footnote w:id="1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Der Text verwendet „meaning“ und „message“ synonym für den Inhalt eines literarischen Texts. In der Semiotik</w:t>
      </w:r>
      <w:r w:rsidR="005D7996">
        <w:rPr>
          <w:szCs w:val="17"/>
        </w:rPr>
        <w:fldChar w:fldCharType="begin"/>
      </w:r>
      <w:r>
        <w:instrText xml:space="preserve"> XE "</w:instrText>
      </w:r>
      <w:r w:rsidRPr="00A714E8">
        <w:instrText>Semiotik</w:instrText>
      </w:r>
      <w:r>
        <w:instrText xml:space="preserve">" </w:instrText>
      </w:r>
      <w:r w:rsidR="005D7996">
        <w:rPr>
          <w:szCs w:val="17"/>
        </w:rPr>
        <w:fldChar w:fldCharType="end"/>
      </w:r>
      <w:r w:rsidRPr="00156980">
        <w:rPr>
          <w:szCs w:val="17"/>
        </w:rPr>
        <w:t xml:space="preserve"> hat es sich eingebürgert, „meaning“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„Signifikat</w:t>
      </w:r>
      <w:r w:rsidR="005D7996">
        <w:rPr>
          <w:szCs w:val="17"/>
        </w:rPr>
        <w:fldChar w:fldCharType="begin"/>
      </w:r>
      <w:r>
        <w:instrText xml:space="preserve"> XE "</w:instrText>
      </w:r>
      <w:r w:rsidRPr="00085C14">
        <w:instrText>Signifikat</w:instrText>
      </w:r>
      <w:r>
        <w:instrText xml:space="preserve">" </w:instrText>
      </w:r>
      <w:r w:rsidR="005D7996">
        <w:rPr>
          <w:szCs w:val="17"/>
        </w:rPr>
        <w:fldChar w:fldCharType="end"/>
      </w:r>
      <w:r w:rsidRPr="00156980">
        <w:rPr>
          <w:szCs w:val="17"/>
        </w:rPr>
        <w:t>“) für konventionalisierte Zeicheninhalte und „message“ („Botschaft</w:t>
      </w:r>
      <w:r w:rsidR="005D7996">
        <w:rPr>
          <w:szCs w:val="17"/>
        </w:rPr>
        <w:fldChar w:fldCharType="begin"/>
      </w:r>
      <w:r>
        <w:instrText xml:space="preserve"> XE "</w:instrText>
      </w:r>
      <w:r w:rsidRPr="005E7B5F">
        <w:rPr>
          <w:szCs w:val="17"/>
        </w:rPr>
        <w:instrText>Botschaft</w:instrText>
      </w:r>
      <w:r>
        <w:instrText xml:space="preserve">" </w:instrText>
      </w:r>
      <w:r w:rsidR="005D7996">
        <w:rPr>
          <w:szCs w:val="17"/>
        </w:rPr>
        <w:fldChar w:fldCharType="end"/>
      </w:r>
      <w:r w:rsidRPr="00156980">
        <w:rPr>
          <w:szCs w:val="17"/>
        </w:rPr>
        <w:t>“) für den Inhalt einer Nachricht</w:t>
      </w:r>
      <w:r w:rsidR="005D7996">
        <w:rPr>
          <w:szCs w:val="17"/>
        </w:rPr>
        <w:fldChar w:fldCharType="begin"/>
      </w:r>
      <w:r>
        <w:instrText xml:space="preserve"> XE "</w:instrText>
      </w:r>
      <w:r w:rsidRPr="002725C6">
        <w:rPr>
          <w:rFonts w:eastAsia="Times New Roman" w:cs="Times New Roman"/>
        </w:rPr>
        <w:instrText>Nachricht</w:instrText>
      </w:r>
      <w:r>
        <w:instrText xml:space="preserve">" </w:instrText>
      </w:r>
      <w:r w:rsidR="005D7996">
        <w:rPr>
          <w:szCs w:val="17"/>
        </w:rPr>
        <w:fldChar w:fldCharType="end"/>
      </w:r>
      <w:r w:rsidRPr="00156980">
        <w:rPr>
          <w:szCs w:val="17"/>
        </w:rPr>
        <w:t>, also das in einem konkreten Zeichenprozess Übermittelte, zu verwenden. B</w:t>
      </w:r>
      <w:r w:rsidRPr="00156980">
        <w:rPr>
          <w:szCs w:val="17"/>
        </w:rPr>
        <w:t>e</w:t>
      </w:r>
      <w:r w:rsidRPr="00156980">
        <w:rPr>
          <w:szCs w:val="17"/>
        </w:rPr>
        <w:t>zogen auf einen literarischen Text umfasst „meaning“ also nur die kodierten Bedeutungen der Sätze und weitere konventionell dem Text zukommende Bedeutungen, während die „message“ für den Zeichenempfänger (Leser) kontextabhängig entsteht und sich je nach Zeichenempfänger und Situation unterscheiden kann (vgl. Posner 1997b: 232ff).</w:t>
      </w:r>
    </w:p>
  </w:footnote>
  <w:footnote w:id="1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1281021 \h  \* MERGEFORMAT ">
        <w:r w:rsidR="001231D3" w:rsidRPr="001231D3">
          <w:rPr>
            <w:szCs w:val="17"/>
          </w:rPr>
          <w:t>27</w:t>
        </w:r>
      </w:fldSimple>
      <w:r w:rsidRPr="00156980">
        <w:rPr>
          <w:szCs w:val="17"/>
        </w:rPr>
        <w:t>.</w:t>
      </w:r>
    </w:p>
  </w:footnote>
  <w:footnote w:id="1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Der Verfasser erlebte Diskussionen, bei denen jeder Analyse entgegengesetzt wurde, </w:t>
      </w:r>
      <w:r w:rsidRPr="00156980">
        <w:rPr>
          <w:rFonts w:cs="Times New Roman"/>
          <w:szCs w:val="17"/>
        </w:rPr>
        <w:t>diese oder jene Unterscheidung könne doch auch zum Stil gezählt werden. Solche Ei</w:t>
      </w:r>
      <w:r w:rsidRPr="00156980">
        <w:rPr>
          <w:rFonts w:cs="Times New Roman"/>
          <w:szCs w:val="17"/>
        </w:rPr>
        <w:t>n</w:t>
      </w:r>
      <w:r w:rsidRPr="00156980">
        <w:rPr>
          <w:rFonts w:cs="Times New Roman"/>
          <w:szCs w:val="17"/>
        </w:rPr>
        <w:t>wände entstehen, wenn das dem Stil zugrundeliegende Schema nicht klar benannt und dann während der Analyse gewechselt wird. Beispielsweise wird bezogen auf einen Aut</w:t>
      </w:r>
      <w:r w:rsidRPr="00156980">
        <w:rPr>
          <w:rFonts w:cs="Times New Roman"/>
          <w:szCs w:val="17"/>
        </w:rPr>
        <w:t>o</w:t>
      </w:r>
      <w:r w:rsidRPr="00156980">
        <w:rPr>
          <w:rFonts w:cs="Times New Roman"/>
          <w:szCs w:val="17"/>
        </w:rPr>
        <w:t>fahrstil eingewandt, schon die Frage, ob man das Auto nehme, oder sogar ob man sich überhaupt (zu dem entsprechenden Ort oder Anlass) bewege, sei stilistisch relevant. Das ist richtig, allerdings sind dies keine Merkmale des Autofahrstils, sondern von Stilen al</w:t>
      </w:r>
      <w:r w:rsidRPr="00156980">
        <w:rPr>
          <w:rFonts w:cs="Times New Roman"/>
          <w:szCs w:val="17"/>
        </w:rPr>
        <w:t>l</w:t>
      </w:r>
      <w:r w:rsidRPr="00156980">
        <w:rPr>
          <w:rFonts w:cs="Times New Roman"/>
          <w:szCs w:val="17"/>
        </w:rPr>
        <w:t>gemeinerer Schemata (Fortbewegungsstil</w:t>
      </w:r>
      <w:r w:rsidR="005D7996">
        <w:rPr>
          <w:rFonts w:cs="Times New Roman"/>
          <w:szCs w:val="17"/>
        </w:rPr>
        <w:fldChar w:fldCharType="begin"/>
      </w:r>
      <w:r>
        <w:instrText xml:space="preserve"> XE "</w:instrText>
      </w:r>
      <w:r w:rsidRPr="00526A1A">
        <w:rPr>
          <w:rFonts w:cs="Times New Roman"/>
          <w:szCs w:val="17"/>
        </w:rPr>
        <w:instrText>Fortbewegungsstil</w:instrText>
      </w:r>
      <w:r>
        <w:instrText xml:space="preserve">" </w:instrText>
      </w:r>
      <w:r w:rsidR="005D7996">
        <w:rPr>
          <w:rFonts w:cs="Times New Roman"/>
          <w:szCs w:val="17"/>
        </w:rPr>
        <w:fldChar w:fldCharType="end"/>
      </w:r>
      <w:r w:rsidRPr="00156980">
        <w:rPr>
          <w:rFonts w:cs="Times New Roman"/>
          <w:szCs w:val="17"/>
        </w:rPr>
        <w:t xml:space="preserve"> bzw. Lebensstil</w:t>
      </w:r>
      <w:r w:rsidR="005D7996">
        <w:rPr>
          <w:rFonts w:cs="Times New Roman"/>
          <w:szCs w:val="17"/>
        </w:rPr>
        <w:fldChar w:fldCharType="begin"/>
      </w:r>
      <w:r>
        <w:instrText xml:space="preserve"> XE "</w:instrText>
      </w:r>
      <w:r w:rsidRPr="00B41AC9">
        <w:instrText>Lebensstil</w:instrText>
      </w:r>
      <w:r>
        <w:instrText xml:space="preserve">" </w:instrText>
      </w:r>
      <w:r w:rsidR="005D7996">
        <w:rPr>
          <w:rFonts w:cs="Times New Roman"/>
          <w:szCs w:val="17"/>
        </w:rPr>
        <w:fldChar w:fldCharType="end"/>
      </w:r>
      <w:r w:rsidRPr="00156980">
        <w:rPr>
          <w:rFonts w:cs="Times New Roman"/>
          <w:szCs w:val="17"/>
        </w:rPr>
        <w:t>).</w:t>
      </w:r>
    </w:p>
  </w:footnote>
  <w:footnote w:id="1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gilt nicht für bestimmte speziellere Schemata, wie das Schema ‚Von einem Sprun</w:t>
      </w:r>
      <w:r w:rsidRPr="00156980">
        <w:rPr>
          <w:szCs w:val="17"/>
        </w:rPr>
        <w:t>g</w:t>
      </w:r>
      <w:r w:rsidRPr="00156980">
        <w:rPr>
          <w:szCs w:val="17"/>
        </w:rPr>
        <w:t>brett Springen‘.</w:t>
      </w:r>
    </w:p>
  </w:footnote>
  <w:footnote w:id="1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Goodman 1978: 25f.</w:t>
      </w:r>
    </w:p>
  </w:footnote>
  <w:footnote w:id="1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Gesamtdarstellungen der christlichen Ikonographie</w:t>
      </w:r>
      <w:r w:rsidR="005D7996">
        <w:rPr>
          <w:szCs w:val="17"/>
        </w:rPr>
        <w:fldChar w:fldCharType="begin"/>
      </w:r>
      <w:r>
        <w:instrText xml:space="preserve"> XE "</w:instrText>
      </w:r>
      <w:r w:rsidRPr="009276E8">
        <w:instrText>Ikonographie</w:instrText>
      </w:r>
      <w:r>
        <w:instrText xml:space="preserve">" </w:instrText>
      </w:r>
      <w:r w:rsidR="005D7996">
        <w:rPr>
          <w:szCs w:val="17"/>
        </w:rPr>
        <w:fldChar w:fldCharType="end"/>
      </w:r>
      <w:r w:rsidRPr="00156980">
        <w:rPr>
          <w:szCs w:val="17"/>
        </w:rPr>
        <w:t xml:space="preserve"> sind Schiller 1968–1971 und Brau</w:t>
      </w:r>
      <w:r w:rsidRPr="00156980">
        <w:rPr>
          <w:szCs w:val="17"/>
        </w:rPr>
        <w:t>n</w:t>
      </w:r>
      <w:r w:rsidRPr="00156980">
        <w:rPr>
          <w:szCs w:val="17"/>
        </w:rPr>
        <w:t>fels 1968–1976. Die Erforschung der Ikonographie als Zeichensystem wird als „Ikonol</w:t>
      </w:r>
      <w:r w:rsidRPr="00156980">
        <w:rPr>
          <w:szCs w:val="17"/>
        </w:rPr>
        <w:t>o</w:t>
      </w:r>
      <w:r w:rsidRPr="00156980">
        <w:rPr>
          <w:szCs w:val="17"/>
        </w:rPr>
        <w:t>gie</w:t>
      </w:r>
      <w:r w:rsidR="005D7996">
        <w:rPr>
          <w:szCs w:val="17"/>
        </w:rPr>
        <w:fldChar w:fldCharType="begin"/>
      </w:r>
      <w:r>
        <w:instrText xml:space="preserve"> XE "</w:instrText>
      </w:r>
      <w:r w:rsidRPr="008932A7">
        <w:rPr>
          <w:szCs w:val="17"/>
        </w:rPr>
        <w:instrText>Ikonologie</w:instrText>
      </w:r>
      <w:r>
        <w:instrText xml:space="preserve">" </w:instrText>
      </w:r>
      <w:r w:rsidR="005D7996">
        <w:rPr>
          <w:szCs w:val="17"/>
        </w:rPr>
        <w:fldChar w:fldCharType="end"/>
      </w:r>
      <w:r w:rsidRPr="00156980">
        <w:rPr>
          <w:szCs w:val="17"/>
        </w:rPr>
        <w:t>“ bezeichnet, sie wurde von Aby Warburg (Warburg 1932=1998 und 2000) und Erwin Panofsky (Panofsky 1955 und 1964) begründet.</w:t>
      </w:r>
    </w:p>
  </w:footnote>
  <w:footnote w:id="1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 können als Unterschemata des allgemeineren Schemas ‚</w:t>
      </w:r>
      <w:r>
        <w:rPr>
          <w:szCs w:val="17"/>
        </w:rPr>
        <w:t>darstellendes Bild</w:t>
      </w:r>
      <w:r w:rsidR="005D7996">
        <w:rPr>
          <w:szCs w:val="17"/>
        </w:rPr>
        <w:fldChar w:fldCharType="begin"/>
      </w:r>
      <w:r>
        <w:instrText xml:space="preserve"> XE "</w:instrText>
      </w:r>
      <w:r w:rsidRPr="00EF0C2F">
        <w:instrText>Bilder:darstellende</w:instrText>
      </w:r>
      <w:r>
        <w:instrText xml:space="preserve">" </w:instrText>
      </w:r>
      <w:r w:rsidR="005D7996">
        <w:rPr>
          <w:szCs w:val="17"/>
        </w:rPr>
        <w:fldChar w:fldCharType="end"/>
      </w:r>
      <w:r w:rsidRPr="00156980">
        <w:rPr>
          <w:szCs w:val="17"/>
        </w:rPr>
        <w:t>‘ b</w:t>
      </w:r>
      <w:r w:rsidRPr="00156980">
        <w:rPr>
          <w:szCs w:val="17"/>
        </w:rPr>
        <w:t>e</w:t>
      </w:r>
      <w:r w:rsidRPr="00156980">
        <w:rPr>
          <w:szCs w:val="17"/>
        </w:rPr>
        <w:t>schrieben werden; vgl. Abschnitt</w:t>
      </w:r>
      <w:r>
        <w:t xml:space="preserve"> </w:t>
      </w:r>
      <w:r w:rsidR="005D7996">
        <w:fldChar w:fldCharType="begin"/>
      </w:r>
      <w:r>
        <w:instrText xml:space="preserve"> REF _Ref324924543 \r \h </w:instrText>
      </w:r>
      <w:r w:rsidR="005D7996">
        <w:fldChar w:fldCharType="separate"/>
      </w:r>
      <w:r w:rsidR="001231D3">
        <w:t>4.2.4</w:t>
      </w:r>
      <w:r w:rsidR="005D7996">
        <w:fldChar w:fldCharType="end"/>
      </w:r>
      <w:r w:rsidRPr="00156980">
        <w:rPr>
          <w:szCs w:val="17"/>
        </w:rPr>
        <w:t>.</w:t>
      </w:r>
    </w:p>
  </w:footnote>
  <w:footnote w:id="1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 xml:space="preserve">Siehe beispielsweise </w:t>
      </w:r>
      <w:r w:rsidRPr="00156980">
        <w:rPr>
          <w:szCs w:val="17"/>
        </w:rPr>
        <w:t xml:space="preserve">http://www.beyars.com/kunstlexikon/lexikon_1098.html </w:t>
      </w:r>
      <w:r>
        <w:rPr>
          <w:szCs w:val="17"/>
        </w:rPr>
        <w:t xml:space="preserve">sowie </w:t>
      </w:r>
      <w:r w:rsidRPr="00156980">
        <w:rPr>
          <w:szCs w:val="17"/>
        </w:rPr>
        <w:t>http://de.wikipedia.org/wiki/Beweinung_Christi, einige Beispiele sind einsehbar unter http://www.aug.edu/augusta/iconography/lamentation.html; Einsicht am 9.04.2011.</w:t>
      </w:r>
    </w:p>
  </w:footnote>
  <w:footnote w:id="1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Zum Verhältnis von Stil und Kultur</w:t>
      </w:r>
      <w:r w:rsidR="005D7996">
        <w:rPr>
          <w:szCs w:val="17"/>
        </w:rPr>
        <w:fldChar w:fldCharType="begin"/>
      </w:r>
      <w:r>
        <w:instrText xml:space="preserve"> XE "</w:instrText>
      </w:r>
      <w:r w:rsidRPr="00C1049D">
        <w:instrText>Kultur</w:instrText>
      </w:r>
      <w:r>
        <w:instrText xml:space="preserve">" </w:instrText>
      </w:r>
      <w:r w:rsidR="005D7996">
        <w:rPr>
          <w:szCs w:val="17"/>
        </w:rPr>
        <w:fldChar w:fldCharType="end"/>
      </w:r>
      <w:r w:rsidRPr="00156980">
        <w:rPr>
          <w:szCs w:val="17"/>
        </w:rPr>
        <w:t xml:space="preserve"> vgl. Kroeber 1957, Irvine 2001 und Linke 2009; zur semiotischen Kulturtheorie siehe Posner 1992 (erneut als Posner 2003a) und Siefkes 2010a.</w:t>
      </w:r>
    </w:p>
  </w:footnote>
  <w:footnote w:id="1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Hier wird nicht der syntaktische Informationsbegriff</w:t>
      </w:r>
      <w:r w:rsidR="005D7996">
        <w:rPr>
          <w:szCs w:val="17"/>
        </w:rPr>
        <w:fldChar w:fldCharType="begin"/>
      </w:r>
      <w:r>
        <w:instrText xml:space="preserve"> XE "</w:instrText>
      </w:r>
      <w:r w:rsidRPr="00E12232">
        <w:rPr>
          <w:szCs w:val="17"/>
        </w:rPr>
        <w:instrText>Informationsbegriff</w:instrText>
      </w:r>
      <w:r>
        <w:instrText xml:space="preserve">" </w:instrText>
      </w:r>
      <w:r w:rsidR="005D7996">
        <w:rPr>
          <w:szCs w:val="17"/>
        </w:rPr>
        <w:fldChar w:fldCharType="end"/>
      </w:r>
      <w:r w:rsidRPr="00156980">
        <w:rPr>
          <w:szCs w:val="17"/>
        </w:rPr>
        <w:t xml:space="preserve"> von Shannon und Weaver g</w:t>
      </w:r>
      <w:r w:rsidRPr="00156980">
        <w:rPr>
          <w:szCs w:val="17"/>
        </w:rPr>
        <w:t>e</w:t>
      </w:r>
      <w:r w:rsidRPr="00156980">
        <w:rPr>
          <w:szCs w:val="17"/>
        </w:rPr>
        <w:t>braucht (Shannon u.a. 1949), der Information als Struktur beschreibt, die von einem Se</w:t>
      </w:r>
      <w:r w:rsidRPr="00156980">
        <w:rPr>
          <w:szCs w:val="17"/>
        </w:rPr>
        <w:t>n</w:t>
      </w:r>
      <w:r w:rsidRPr="00156980">
        <w:rPr>
          <w:szCs w:val="17"/>
        </w:rPr>
        <w:t>der an einen Empfänger übertragen wird. Diese Struktur kann sogar rein zufällig sein und damit keine semantische Information enthalten, beim Übertragungsprozess, auf den es Shannon und Weaver ankam, interessiert dies nicht.</w:t>
      </w:r>
    </w:p>
    <w:p w:rsidR="00CC3558" w:rsidRPr="00156980" w:rsidRDefault="00CC3558" w:rsidP="00F461D9">
      <w:pPr>
        <w:pStyle w:val="Funotentext"/>
        <w:rPr>
          <w:szCs w:val="17"/>
        </w:rPr>
      </w:pPr>
      <w:r w:rsidRPr="00156980">
        <w:rPr>
          <w:szCs w:val="17"/>
        </w:rPr>
        <w:tab/>
        <w:t xml:space="preserve">Hier soll dagegen ein </w:t>
      </w:r>
      <w:r w:rsidRPr="003B6E96">
        <w:rPr>
          <w:szCs w:val="17"/>
        </w:rPr>
        <w:t>semantischer Informationsbegriff</w:t>
      </w:r>
      <w:r w:rsidRPr="00156980">
        <w:rPr>
          <w:szCs w:val="17"/>
        </w:rPr>
        <w:t xml:space="preserve"> verwendet werden. Aus semiot</w:t>
      </w:r>
      <w:r w:rsidRPr="00156980">
        <w:rPr>
          <w:szCs w:val="17"/>
        </w:rPr>
        <w:t>i</w:t>
      </w:r>
      <w:r w:rsidRPr="00156980">
        <w:rPr>
          <w:szCs w:val="17"/>
        </w:rPr>
        <w:t>scher Sicht ist Information alles, was in einem Zeichenprozess zur „Botschaft</w:t>
      </w:r>
      <w:r w:rsidR="005D7996">
        <w:rPr>
          <w:szCs w:val="17"/>
        </w:rPr>
        <w:fldChar w:fldCharType="begin"/>
      </w:r>
      <w:r>
        <w:instrText xml:space="preserve"> XE "</w:instrText>
      </w:r>
      <w:r w:rsidRPr="009C3222">
        <w:rPr>
          <w:szCs w:val="17"/>
        </w:rPr>
        <w:instrText>Botschaft</w:instrText>
      </w:r>
      <w:r>
        <w:instrText xml:space="preserve">" </w:instrText>
      </w:r>
      <w:r w:rsidR="005D7996">
        <w:rPr>
          <w:szCs w:val="17"/>
        </w:rPr>
        <w:fldChar w:fldCharType="end"/>
      </w:r>
      <w:r w:rsidRPr="00156980">
        <w:rPr>
          <w:szCs w:val="17"/>
        </w:rPr>
        <w:t>“ („mess</w:t>
      </w:r>
      <w:r w:rsidRPr="00156980">
        <w:rPr>
          <w:szCs w:val="17"/>
        </w:rPr>
        <w:t>a</w:t>
      </w:r>
      <w:r w:rsidRPr="00156980">
        <w:rPr>
          <w:szCs w:val="17"/>
        </w:rPr>
        <w:t>ge“)</w:t>
      </w:r>
      <w:r>
        <w:rPr>
          <w:szCs w:val="17"/>
        </w:rPr>
        <w:t>, das heißt dem Inhalt einer Nachricht</w:t>
      </w:r>
      <w:r w:rsidR="005D7996">
        <w:rPr>
          <w:szCs w:val="17"/>
        </w:rPr>
        <w:fldChar w:fldCharType="begin"/>
      </w:r>
      <w:r>
        <w:instrText xml:space="preserve"> XE "</w:instrText>
      </w:r>
      <w:r w:rsidRPr="002725C6">
        <w:rPr>
          <w:rFonts w:eastAsia="Times New Roman" w:cs="Times New Roman"/>
        </w:rPr>
        <w:instrText>Nachricht</w:instrText>
      </w:r>
      <w:r>
        <w:instrText xml:space="preserve">" </w:instrText>
      </w:r>
      <w:r w:rsidR="005D7996">
        <w:rPr>
          <w:szCs w:val="17"/>
        </w:rPr>
        <w:fldChar w:fldCharType="end"/>
      </w:r>
      <w:r>
        <w:rPr>
          <w:szCs w:val="17"/>
        </w:rPr>
        <w:t>,</w:t>
      </w:r>
      <w:r w:rsidRPr="00156980">
        <w:rPr>
          <w:szCs w:val="17"/>
        </w:rPr>
        <w:t xml:space="preserve"> werden kann. – Genauer braucht Information hier nicht definiert zu werden; bei Bedarf können speziellere Definitionen verwendet werden (etwa das Konzept des algorithmischen Informationsgehalts bzw. Kolmogorov-Komplexität; vgl. Kolmogorov 1963=1998 und Vitányi u.a. 1993).</w:t>
      </w:r>
    </w:p>
    <w:p w:rsidR="00CC3558" w:rsidRPr="00156980" w:rsidRDefault="00CC3558" w:rsidP="00F461D9">
      <w:pPr>
        <w:pStyle w:val="Funotentext"/>
        <w:rPr>
          <w:szCs w:val="17"/>
        </w:rPr>
      </w:pPr>
      <w:r w:rsidRPr="00156980">
        <w:rPr>
          <w:szCs w:val="17"/>
        </w:rPr>
        <w:tab/>
        <w:t>Information enthält eine Realisierung, wenn bei ihrer Wahrnehmung Zeichen entstehen können. Die Menge an Information kann dann nach syntaktischen, semantischen oder pragmatischen Kriterien beurteilt werden. (Zum Verhältnis von Informationstheorie und Semiotik</w:t>
      </w:r>
      <w:r w:rsidR="005D7996">
        <w:rPr>
          <w:szCs w:val="17"/>
        </w:rPr>
        <w:fldChar w:fldCharType="begin"/>
      </w:r>
      <w:r>
        <w:instrText xml:space="preserve"> XE "</w:instrText>
      </w:r>
      <w:r w:rsidRPr="00A714E8">
        <w:instrText>Semiotik</w:instrText>
      </w:r>
      <w:r>
        <w:instrText xml:space="preserve">" </w:instrText>
      </w:r>
      <w:r w:rsidR="005D7996">
        <w:rPr>
          <w:szCs w:val="17"/>
        </w:rPr>
        <w:fldChar w:fldCharType="end"/>
      </w:r>
      <w:r w:rsidRPr="00156980">
        <w:rPr>
          <w:szCs w:val="17"/>
        </w:rPr>
        <w:t xml:space="preserve"> vgl. Frank 2003, zum semantischen Informationsbegriff Bar-Hillel u.a. 1953.)</w:t>
      </w:r>
    </w:p>
  </w:footnote>
  <w:footnote w:id="1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082822 \r \h  \* MERGEFORMAT ">
        <w:r w:rsidR="001231D3" w:rsidRPr="001231D3">
          <w:rPr>
            <w:szCs w:val="17"/>
          </w:rPr>
          <w:t>4.2.2</w:t>
        </w:r>
      </w:fldSimple>
      <w:r w:rsidRPr="00156980">
        <w:rPr>
          <w:szCs w:val="17"/>
        </w:rPr>
        <w:t>.</w:t>
      </w:r>
    </w:p>
  </w:footnote>
  <w:footnote w:id="1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74036745 \r \h  \* MERGEFORMAT ">
        <w:r w:rsidR="001231D3" w:rsidRPr="001231D3">
          <w:rPr>
            <w:szCs w:val="17"/>
          </w:rPr>
          <w:t>2.12</w:t>
        </w:r>
      </w:fldSimple>
      <w:r w:rsidRPr="00156980">
        <w:rPr>
          <w:szCs w:val="17"/>
        </w:rPr>
        <w:t>, Unterabschnitt</w:t>
      </w:r>
      <w:r w:rsidRPr="00156980">
        <w:rPr>
          <w:i/>
          <w:szCs w:val="17"/>
        </w:rPr>
        <w:t xml:space="preserve"> Zur Formulierung von Regelmäßigkeiten der Auswahl als Regeln.</w:t>
      </w:r>
    </w:p>
  </w:footnote>
  <w:footnote w:id="1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Das Beispiel des Bankraubstils wird in Abschnitt </w:t>
      </w:r>
      <w:fldSimple w:instr=" REF _Ref256495882 \r \h  \* MERGEFORMAT ">
        <w:r w:rsidR="001231D3" w:rsidRPr="001231D3">
          <w:rPr>
            <w:szCs w:val="17"/>
          </w:rPr>
          <w:t>7.1.8</w:t>
        </w:r>
      </w:fldSimple>
      <w:r w:rsidRPr="00156980">
        <w:rPr>
          <w:szCs w:val="17"/>
        </w:rPr>
        <w:t xml:space="preserve"> genauer ausgearbeitet.</w:t>
      </w:r>
    </w:p>
  </w:footnote>
  <w:footnote w:id="1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Beispiele in den Abschnitten </w:t>
      </w:r>
      <w:fldSimple w:instr=" REF _Ref254339704 \r \h  \* MERGEFORMAT ">
        <w:r w:rsidR="001231D3" w:rsidRPr="001231D3">
          <w:rPr>
            <w:szCs w:val="17"/>
          </w:rPr>
          <w:t>6.3</w:t>
        </w:r>
      </w:fldSimple>
      <w:r w:rsidRPr="00156980">
        <w:rPr>
          <w:szCs w:val="17"/>
        </w:rPr>
        <w:t xml:space="preserve">, </w:t>
      </w:r>
      <w:fldSimple w:instr=" REF _Ref259795418 \r \h  \* MERGEFORMAT ">
        <w:r w:rsidR="001231D3" w:rsidRPr="001231D3">
          <w:rPr>
            <w:szCs w:val="17"/>
          </w:rPr>
          <w:t>6.4</w:t>
        </w:r>
      </w:fldSimple>
      <w:r w:rsidRPr="00156980">
        <w:rPr>
          <w:szCs w:val="17"/>
        </w:rPr>
        <w:t xml:space="preserve"> und </w:t>
      </w:r>
      <w:fldSimple w:instr=" REF _Ref255407192 \r \h  \* MERGEFORMAT ">
        <w:r w:rsidR="001231D3" w:rsidRPr="001231D3">
          <w:rPr>
            <w:szCs w:val="17"/>
          </w:rPr>
          <w:t>7.1</w:t>
        </w:r>
      </w:fldSimple>
      <w:r w:rsidRPr="00156980">
        <w:rPr>
          <w:szCs w:val="17"/>
        </w:rPr>
        <w:t>.</w:t>
      </w:r>
    </w:p>
  </w:footnote>
  <w:footnote w:id="12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Dabei muss es sich um mehrere Realisierungen desselben Schemas (im vorliegenden Fall: Bankraub) handeln.</w:t>
      </w:r>
    </w:p>
  </w:footnote>
  <w:footnote w:id="1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3377362 \h  \* MERGEFORMAT ">
        <w:r w:rsidR="001231D3" w:rsidRPr="001231D3">
          <w:rPr>
            <w:szCs w:val="17"/>
          </w:rPr>
          <w:t>103</w:t>
        </w:r>
      </w:fldSimple>
      <w:r w:rsidRPr="00156980">
        <w:rPr>
          <w:szCs w:val="17"/>
        </w:rPr>
        <w:t>.</w:t>
      </w:r>
    </w:p>
  </w:footnote>
  <w:footnote w:id="1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1876190 \r \h  \* MERGEFORMAT ">
        <w:r w:rsidR="001231D3" w:rsidRPr="001231D3">
          <w:rPr>
            <w:szCs w:val="17"/>
          </w:rPr>
          <w:t>2.3</w:t>
        </w:r>
      </w:fldSimple>
      <w:r w:rsidRPr="00156980">
        <w:rPr>
          <w:szCs w:val="17"/>
        </w:rPr>
        <w:t>.</w:t>
      </w:r>
    </w:p>
  </w:footnote>
  <w:footnote w:id="1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25339965 \r \h  \* MERGEFORMAT ">
        <w:r w:rsidR="001231D3" w:rsidRPr="001231D3">
          <w:rPr>
            <w:szCs w:val="17"/>
          </w:rPr>
          <w:t>2.8</w:t>
        </w:r>
      </w:fldSimple>
      <w:r w:rsidRPr="00156980">
        <w:rPr>
          <w:szCs w:val="17"/>
        </w:rPr>
        <w:t>, (3).</w:t>
      </w:r>
    </w:p>
  </w:footnote>
  <w:footnote w:id="1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hierzu Abb. 2 in Abschnitt </w:t>
      </w:r>
      <w:fldSimple w:instr=" REF _Ref263268288 \r \h  \* MERGEFORMAT ">
        <w:r w:rsidR="001231D3" w:rsidRPr="001231D3">
          <w:rPr>
            <w:szCs w:val="17"/>
          </w:rPr>
          <w:t>5.1</w:t>
        </w:r>
      </w:fldSimple>
      <w:r w:rsidRPr="00156980">
        <w:rPr>
          <w:szCs w:val="17"/>
        </w:rPr>
        <w:t>.</w:t>
      </w:r>
    </w:p>
  </w:footnote>
  <w:footnote w:id="1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4084330 \r \h  \* MERGEFORMAT ">
        <w:r w:rsidR="001231D3" w:rsidRPr="001231D3">
          <w:rPr>
            <w:szCs w:val="17"/>
          </w:rPr>
          <w:t>5.5.3</w:t>
        </w:r>
      </w:fldSimple>
      <w:r w:rsidRPr="00156980">
        <w:rPr>
          <w:szCs w:val="17"/>
        </w:rPr>
        <w:t xml:space="preserve">, Funktion </w:t>
      </w:r>
      <w:r w:rsidRPr="00156980">
        <w:rPr>
          <w:i/>
          <w:szCs w:val="17"/>
        </w:rPr>
        <w:t>Merkmalsregeln_auslesen</w:t>
      </w:r>
      <w:r w:rsidRPr="00156980">
        <w:rPr>
          <w:szCs w:val="17"/>
        </w:rPr>
        <w:t>.</w:t>
      </w:r>
    </w:p>
  </w:footnote>
  <w:footnote w:id="1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w:t>
      </w:r>
    </w:p>
  </w:footnote>
  <w:footnote w:id="1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w:t>
      </w:r>
    </w:p>
  </w:footnote>
  <w:footnote w:id="1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Unterteilung wird in den Abschnitten </w:t>
      </w:r>
      <w:fldSimple w:instr=" REF _Ref211841829 \r \h  \* MERGEFORMAT ">
        <w:r w:rsidR="001231D3" w:rsidRPr="001231D3">
          <w:rPr>
            <w:szCs w:val="17"/>
          </w:rPr>
          <w:t>4.3.1</w:t>
        </w:r>
      </w:fldSimple>
      <w:r w:rsidRPr="00156980">
        <w:rPr>
          <w:szCs w:val="17"/>
        </w:rPr>
        <w:t xml:space="preserve"> und </w:t>
      </w:r>
      <w:fldSimple w:instr=" REF _Ref211841916 \r \h  \* MERGEFORMAT ">
        <w:r w:rsidR="001231D3" w:rsidRPr="001231D3">
          <w:rPr>
            <w:szCs w:val="17"/>
          </w:rPr>
          <w:t>4.3.2</w:t>
        </w:r>
      </w:fldSimple>
      <w:r w:rsidRPr="00156980">
        <w:rPr>
          <w:szCs w:val="17"/>
        </w:rPr>
        <w:t xml:space="preserve"> genauer untersucht.</w:t>
      </w:r>
    </w:p>
  </w:footnote>
  <w:footnote w:id="1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ist offensichtlich, dass es bei diesen Eigenschaften darauf ankommt, in welcher Re</w:t>
      </w:r>
      <w:r w:rsidRPr="00156980">
        <w:rPr>
          <w:szCs w:val="17"/>
        </w:rPr>
        <w:t>i</w:t>
      </w:r>
      <w:r w:rsidRPr="00156980">
        <w:rPr>
          <w:szCs w:val="17"/>
        </w:rPr>
        <w:t>henfolge für die verschiedenen Realisierungsstellen gewählt wird. Im vorliegenden Modell wird dennoch keine ‚richtige‘ Reihenfolge für die Bearbeitung der Realisierungsstellen angegeben. Tatsächlich hängt im Fall des Fensters die Berücksichtigung anderer Teile des Gebäudes davon ab, wie weit dieses bereits geplant wurde, wenn für die jeweilige Realisi</w:t>
      </w:r>
      <w:r w:rsidRPr="00156980">
        <w:rPr>
          <w:szCs w:val="17"/>
        </w:rPr>
        <w:t>e</w:t>
      </w:r>
      <w:r w:rsidRPr="00156980">
        <w:rPr>
          <w:szCs w:val="17"/>
        </w:rPr>
        <w:t>rungsstelle die endgültige Auswahlentscheidung getroffen wird.</w:t>
      </w:r>
    </w:p>
  </w:footnote>
  <w:footnote w:id="1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029118 \n \h  \* MERGEFORMAT ">
        <w:r w:rsidR="001231D3" w:rsidRPr="001231D3">
          <w:rPr>
            <w:szCs w:val="17"/>
          </w:rPr>
          <w:t>4.4</w:t>
        </w:r>
      </w:fldSimple>
      <w:r w:rsidRPr="00156980">
        <w:rPr>
          <w:szCs w:val="17"/>
        </w:rPr>
        <w:t>.</w:t>
      </w:r>
    </w:p>
  </w:footnote>
  <w:footnote w:id="1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937722 \n \h  \* MERGEFORMAT ">
        <w:r w:rsidR="001231D3" w:rsidRPr="001231D3">
          <w:rPr>
            <w:szCs w:val="17"/>
          </w:rPr>
          <w:t>5.3.1</w:t>
        </w:r>
      </w:fldSimple>
      <w:r w:rsidRPr="00156980">
        <w:rPr>
          <w:szCs w:val="17"/>
        </w:rPr>
        <w:t>.</w:t>
      </w:r>
    </w:p>
  </w:footnote>
  <w:footnote w:id="1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Generell werden in den Beispielen zwar die verlangten Eigenschaften, aber nicht die A</w:t>
      </w:r>
      <w:r w:rsidRPr="00156980">
        <w:rPr>
          <w:szCs w:val="17"/>
        </w:rPr>
        <w:t>n</w:t>
      </w:r>
      <w:r w:rsidRPr="00156980">
        <w:rPr>
          <w:szCs w:val="17"/>
        </w:rPr>
        <w:t>wendungsbedingungen intensional angegeben; für letztere wird eine sprachliche U</w:t>
      </w:r>
      <w:r w:rsidRPr="00156980">
        <w:rPr>
          <w:szCs w:val="17"/>
        </w:rPr>
        <w:t>m</w:t>
      </w:r>
      <w:r w:rsidRPr="00156980">
        <w:rPr>
          <w:szCs w:val="17"/>
        </w:rPr>
        <w:t>schreibung gegeben. Andernfalls müsste man eine Ontologie</w:t>
      </w:r>
      <w:r w:rsidR="005D7996">
        <w:rPr>
          <w:szCs w:val="17"/>
        </w:rPr>
        <w:fldChar w:fldCharType="begin"/>
      </w:r>
      <w:r>
        <w:instrText xml:space="preserve"> XE "</w:instrText>
      </w:r>
      <w:r w:rsidRPr="007E1A6B">
        <w:instrText>Ontologie</w:instrText>
      </w:r>
      <w:r>
        <w:instrText xml:space="preserve">" </w:instrText>
      </w:r>
      <w:r w:rsidR="005D7996">
        <w:rPr>
          <w:szCs w:val="17"/>
        </w:rPr>
        <w:fldChar w:fldCharType="end"/>
      </w:r>
      <w:r w:rsidRPr="00156980">
        <w:rPr>
          <w:szCs w:val="17"/>
        </w:rPr>
        <w:t xml:space="preserve"> verwenden, die angibt, we</w:t>
      </w:r>
      <w:r w:rsidRPr="00156980">
        <w:rPr>
          <w:szCs w:val="17"/>
        </w:rPr>
        <w:t>l</w:t>
      </w:r>
      <w:r w:rsidRPr="00156980">
        <w:rPr>
          <w:szCs w:val="17"/>
        </w:rPr>
        <w:t>che Eigenschaften beispielsweise ‚Fenster‘ intensional definieren. Selbst wenn sich eine Ontologie finden ließe, die dies zuverlässig leistet, wäre eine solche Darstellung schwer verständlich. Es ist einfacher, ein natürlichsprachliches Wort oder eine Beschreibung a</w:t>
      </w:r>
      <w:r w:rsidRPr="00156980">
        <w:rPr>
          <w:szCs w:val="17"/>
        </w:rPr>
        <w:t>n</w:t>
      </w:r>
      <w:r w:rsidRPr="00156980">
        <w:rPr>
          <w:szCs w:val="17"/>
        </w:rPr>
        <w:t>zugeben, in diesem Fall das Wort „Fenster“. Es wird jedoch angenommen, dass die en</w:t>
      </w:r>
      <w:r w:rsidRPr="00156980">
        <w:rPr>
          <w:szCs w:val="17"/>
        </w:rPr>
        <w:t>t</w:t>
      </w:r>
      <w:r w:rsidRPr="00156980">
        <w:rPr>
          <w:szCs w:val="17"/>
        </w:rPr>
        <w:t xml:space="preserve">sprechenden Variablen die für eine intensionale Definition erforderlichen Eigenschaften enthalten. (Vgl. Abschnitt </w:t>
      </w:r>
      <w:fldSimple w:instr=" REF _Ref254339704 \r \h  \* MERGEFORMAT ">
        <w:r w:rsidR="001231D3" w:rsidRPr="001231D3">
          <w:rPr>
            <w:szCs w:val="17"/>
          </w:rPr>
          <w:t>6.3</w:t>
        </w:r>
      </w:fldSimple>
      <w:r w:rsidRPr="00156980">
        <w:rPr>
          <w:szCs w:val="17"/>
        </w:rPr>
        <w:t>, Unterabschnitt</w:t>
      </w:r>
      <w:r w:rsidRPr="00156980">
        <w:rPr>
          <w:i/>
          <w:szCs w:val="17"/>
        </w:rPr>
        <w:t xml:space="preserve"> Zur Darstellung von Anwendungsbedi</w:t>
      </w:r>
      <w:r w:rsidRPr="00156980">
        <w:rPr>
          <w:i/>
          <w:szCs w:val="17"/>
        </w:rPr>
        <w:t>n</w:t>
      </w:r>
      <w:r w:rsidRPr="00156980">
        <w:rPr>
          <w:i/>
          <w:szCs w:val="17"/>
        </w:rPr>
        <w:t>gungen und verlangten Eigenschaften in den Beispielen</w:t>
      </w:r>
      <w:r w:rsidRPr="00156980">
        <w:rPr>
          <w:szCs w:val="17"/>
        </w:rPr>
        <w:t>.)</w:t>
      </w:r>
    </w:p>
  </w:footnote>
  <w:footnote w:id="1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Stilistische Merkmale, die an konkreten Realisierungen auftreten, als Bestandteile eines Stils aufzufassen, würde es unmöglich machen, in Stilen abstrakte Gestaltungsprinzipien zu sehen.</w:t>
      </w:r>
    </w:p>
  </w:footnote>
  <w:footnote w:id="1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Schritt 4.</w:t>
      </w:r>
    </w:p>
  </w:footnote>
  <w:footnote w:id="1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Nicht alle Ähnlichkeiten zwischen Stilen lassen sich mit übereinstimmenden Merkmal</w:t>
      </w:r>
      <w:r w:rsidRPr="00156980">
        <w:rPr>
          <w:szCs w:val="17"/>
        </w:rPr>
        <w:t>s</w:t>
      </w:r>
      <w:r w:rsidRPr="00156980">
        <w:rPr>
          <w:szCs w:val="17"/>
        </w:rPr>
        <w:t>regeln beschreiben, manche ergeben sich erst durch die Zusammenhänge zwischen ve</w:t>
      </w:r>
      <w:r w:rsidRPr="00156980">
        <w:rPr>
          <w:szCs w:val="17"/>
        </w:rPr>
        <w:t>r</w:t>
      </w:r>
      <w:r w:rsidRPr="00156980">
        <w:rPr>
          <w:szCs w:val="17"/>
        </w:rPr>
        <w:t>schiedenen Merkmalsregeln (vgl. Modul C).</w:t>
      </w:r>
    </w:p>
  </w:footnote>
  <w:footnote w:id="1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fehlt der Bildwissenschaft</w:t>
      </w:r>
      <w:r w:rsidR="005D7996">
        <w:rPr>
          <w:szCs w:val="17"/>
        </w:rPr>
        <w:fldChar w:fldCharType="begin"/>
      </w:r>
      <w:r>
        <w:instrText xml:space="preserve"> XE "</w:instrText>
      </w:r>
      <w:r w:rsidRPr="00FB4597">
        <w:instrText>Bildwissenschaft</w:instrText>
      </w:r>
      <w:r>
        <w:instrText xml:space="preserve">" </w:instrText>
      </w:r>
      <w:r w:rsidR="005D7996">
        <w:rPr>
          <w:szCs w:val="17"/>
        </w:rPr>
        <w:fldChar w:fldCharType="end"/>
      </w:r>
      <w:r w:rsidRPr="00156980">
        <w:rPr>
          <w:szCs w:val="17"/>
        </w:rPr>
        <w:t xml:space="preserve"> überraschenderweise eine allgemein anerkannte Bilddefin</w:t>
      </w:r>
      <w:r w:rsidRPr="00156980">
        <w:rPr>
          <w:szCs w:val="17"/>
        </w:rPr>
        <w:t>i</w:t>
      </w:r>
      <w:r w:rsidRPr="00156980">
        <w:rPr>
          <w:szCs w:val="17"/>
        </w:rPr>
        <w:t>tion</w:t>
      </w:r>
      <w:r w:rsidR="005D7996">
        <w:rPr>
          <w:szCs w:val="17"/>
        </w:rPr>
        <w:fldChar w:fldCharType="begin"/>
      </w:r>
      <w:r>
        <w:instrText xml:space="preserve"> XE "</w:instrText>
      </w:r>
      <w:r w:rsidRPr="00867238">
        <w:rPr>
          <w:szCs w:val="17"/>
        </w:rPr>
        <w:instrText>Bilddefinition</w:instrText>
      </w:r>
      <w:r>
        <w:instrText xml:space="preserve">" </w:instrText>
      </w:r>
      <w:r w:rsidR="005D7996">
        <w:rPr>
          <w:szCs w:val="17"/>
        </w:rPr>
        <w:fldChar w:fldCharType="end"/>
      </w:r>
      <w:r w:rsidRPr="00156980">
        <w:rPr>
          <w:szCs w:val="17"/>
        </w:rPr>
        <w:t xml:space="preserve">; vgl. Abschnitt </w:t>
      </w:r>
      <w:fldSimple w:instr=" REF _Ref268591728 \r \h  \* MERGEFORMAT ">
        <w:r w:rsidR="001231D3" w:rsidRPr="001231D3">
          <w:rPr>
            <w:szCs w:val="17"/>
          </w:rPr>
          <w:t>8.1.4</w:t>
        </w:r>
      </w:fldSimple>
      <w:r w:rsidRPr="00156980">
        <w:rPr>
          <w:szCs w:val="17"/>
        </w:rPr>
        <w:t>.</w:t>
      </w:r>
    </w:p>
  </w:footnote>
  <w:footnote w:id="1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erkennt man daran, dass die jeweils angegebenen Definitionen gar nicht allzu viel daran ändern, wie „Stil“ von verschiedenen Stiltheoretikern gebraucht wird. Dies zeigt sich etwa bei 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xml:space="preserve"> und seinen Nachfolgern (vgl. Fußnote </w:t>
      </w:r>
      <w:fldSimple w:instr=" NOTEREF _Ref271281021 \h  \* MERGEFORMAT ">
        <w:r w:rsidR="001231D3" w:rsidRPr="001231D3">
          <w:rPr>
            <w:szCs w:val="17"/>
          </w:rPr>
          <w:t>27</w:t>
        </w:r>
      </w:fldSimple>
      <w:r w:rsidRPr="00156980">
        <w:rPr>
          <w:szCs w:val="17"/>
        </w:rPr>
        <w:t xml:space="preserve">): Die Aussage „Stil ist der Mensch selbst“ </w:t>
      </w:r>
      <w:r>
        <w:t xml:space="preserve">besagt sinngemäß, dass </w:t>
      </w:r>
      <w:r w:rsidRPr="00156980">
        <w:rPr>
          <w:szCs w:val="17"/>
        </w:rPr>
        <w:t xml:space="preserve">Stil </w:t>
      </w:r>
      <w:r>
        <w:rPr>
          <w:szCs w:val="17"/>
        </w:rPr>
        <w:t xml:space="preserve">wesentlich für den Menschen sei und sich nicht von ihm als Individuum trennen lasse. </w:t>
      </w:r>
      <w:r w:rsidRPr="00156980">
        <w:rPr>
          <w:szCs w:val="17"/>
        </w:rPr>
        <w:t>Dies ist oft als eine Auffassung von Stil ve</w:t>
      </w:r>
      <w:r w:rsidRPr="00156980">
        <w:rPr>
          <w:szCs w:val="17"/>
        </w:rPr>
        <w:t>r</w:t>
      </w:r>
      <w:r w:rsidRPr="00156980">
        <w:rPr>
          <w:szCs w:val="17"/>
        </w:rPr>
        <w:t>standen worden, also eine Stildefinition</w:t>
      </w:r>
      <w:r w:rsidR="005D7996">
        <w:rPr>
          <w:szCs w:val="17"/>
        </w:rPr>
        <w:fldChar w:fldCharType="begin"/>
      </w:r>
      <w:r>
        <w:instrText xml:space="preserve"> XE "</w:instrText>
      </w:r>
      <w:r w:rsidRPr="00F10689">
        <w:instrText>Stildefinition</w:instrText>
      </w:r>
      <w:r>
        <w:instrText xml:space="preserve">" </w:instrText>
      </w:r>
      <w:r w:rsidR="005D7996">
        <w:rPr>
          <w:szCs w:val="17"/>
        </w:rPr>
        <w:fldChar w:fldCharType="end"/>
      </w:r>
      <w:r w:rsidRPr="00156980">
        <w:rPr>
          <w:szCs w:val="17"/>
        </w:rPr>
        <w:t>. Dann müssten jedoch auch Charakter und Pe</w:t>
      </w:r>
      <w:r w:rsidRPr="00156980">
        <w:rPr>
          <w:szCs w:val="17"/>
        </w:rPr>
        <w:t>r</w:t>
      </w:r>
      <w:r w:rsidRPr="00156980">
        <w:rPr>
          <w:szCs w:val="17"/>
        </w:rPr>
        <w:t>sönlichkeit, die individuelle Biographie, Erfahrungen</w:t>
      </w:r>
      <w:r>
        <w:rPr>
          <w:szCs w:val="17"/>
        </w:rPr>
        <w:t xml:space="preserve"> und</w:t>
      </w:r>
      <w:r w:rsidRPr="00156980">
        <w:rPr>
          <w:szCs w:val="17"/>
        </w:rPr>
        <w:t xml:space="preserve"> Erinnerungen</w:t>
      </w:r>
      <w:r>
        <w:rPr>
          <w:szCs w:val="17"/>
        </w:rPr>
        <w:t xml:space="preserve"> zum </w:t>
      </w:r>
      <w:r w:rsidRPr="00156980">
        <w:rPr>
          <w:szCs w:val="17"/>
        </w:rPr>
        <w:t xml:space="preserve">Stil eines Menschen </w:t>
      </w:r>
      <w:r>
        <w:rPr>
          <w:szCs w:val="17"/>
        </w:rPr>
        <w:t>gehören</w:t>
      </w:r>
      <w:r w:rsidRPr="00156980">
        <w:rPr>
          <w:szCs w:val="17"/>
        </w:rPr>
        <w:t>; so umfassend hat jedoch kein Buffonanhänger den Begriff verwendet.</w:t>
      </w:r>
    </w:p>
    <w:p w:rsidR="00CC3558" w:rsidRPr="00156980" w:rsidRDefault="00CC3558" w:rsidP="00F461D9">
      <w:pPr>
        <w:pStyle w:val="Funotentext"/>
        <w:rPr>
          <w:szCs w:val="17"/>
        </w:rPr>
      </w:pPr>
      <w:r w:rsidRPr="00156980">
        <w:rPr>
          <w:szCs w:val="17"/>
        </w:rPr>
        <w:tab/>
        <w:t>Ebenso müsste die Tradition, die mit Samuel Wesley</w:t>
      </w:r>
      <w:r w:rsidR="005D7996">
        <w:rPr>
          <w:szCs w:val="17"/>
        </w:rPr>
        <w:fldChar w:fldCharType="begin"/>
      </w:r>
      <w:r>
        <w:instrText xml:space="preserve"> XE "</w:instrText>
      </w:r>
      <w:r w:rsidRPr="00121A9B">
        <w:rPr>
          <w:szCs w:val="17"/>
        </w:rPr>
        <w:instrText>Wesley, Samuel</w:instrText>
      </w:r>
      <w:r>
        <w:instrText xml:space="preserve">" </w:instrText>
      </w:r>
      <w:r w:rsidR="005D7996">
        <w:rPr>
          <w:szCs w:val="17"/>
        </w:rPr>
        <w:fldChar w:fldCharType="end"/>
      </w:r>
      <w:r w:rsidRPr="00156980">
        <w:rPr>
          <w:szCs w:val="17"/>
        </w:rPr>
        <w:t xml:space="preserve"> „Style is the dress of thought</w:t>
      </w:r>
      <w:r w:rsidR="005D7996">
        <w:rPr>
          <w:szCs w:val="17"/>
        </w:rPr>
        <w:fldChar w:fldCharType="begin"/>
      </w:r>
      <w:r>
        <w:instrText xml:space="preserve"> XE "</w:instrText>
      </w:r>
      <w:r w:rsidRPr="00AF136D">
        <w:instrText>dress of thought (Wesley)</w:instrText>
      </w:r>
      <w:r>
        <w:instrText xml:space="preserve">" </w:instrText>
      </w:r>
      <w:r w:rsidR="005D7996">
        <w:rPr>
          <w:szCs w:val="17"/>
        </w:rPr>
        <w:fldChar w:fldCharType="end"/>
      </w:r>
      <w:r w:rsidRPr="00156980">
        <w:rPr>
          <w:szCs w:val="17"/>
        </w:rPr>
        <w:t>“ a</w:t>
      </w:r>
      <w:r w:rsidRPr="00156980">
        <w:rPr>
          <w:szCs w:val="17"/>
        </w:rPr>
        <w:t>n</w:t>
      </w:r>
      <w:r w:rsidRPr="00156980">
        <w:rPr>
          <w:szCs w:val="17"/>
        </w:rPr>
        <w:t xml:space="preserve">nimmt (vgl. Fußnote </w:t>
      </w:r>
      <w:fldSimple w:instr=" NOTEREF _Ref271281021 \h  \* MERGEFORMAT ">
        <w:r w:rsidR="001231D3" w:rsidRPr="001231D3">
          <w:rPr>
            <w:szCs w:val="17"/>
          </w:rPr>
          <w:t>27</w:t>
        </w:r>
      </w:fldSimple>
      <w:r w:rsidRPr="00156980">
        <w:rPr>
          <w:szCs w:val="17"/>
        </w:rPr>
        <w:t>), was entmetaphorisiert als „Stil ist die Art und Weise, wie ich meine Gedanken ausdrücke“ wiedergegeben werden kann, darunter auch die Wahl des Zeichensystems und des Mediums verstehen: Schließlich ist auch die Frage, ob man seine Gedanken in Deutsch oder in Englisch ausdrückt und ob man sie mündlich mitteilt oder drucken lässt, eine Frage ihrer ‚Einkleidung‘. Kein Anhänger Wesleys hat aber die Spr</w:t>
      </w:r>
      <w:r w:rsidRPr="00156980">
        <w:rPr>
          <w:szCs w:val="17"/>
        </w:rPr>
        <w:t>a</w:t>
      </w:r>
      <w:r w:rsidRPr="00156980">
        <w:rPr>
          <w:szCs w:val="17"/>
        </w:rPr>
        <w:t>che, in der eine sprachliche Äußerung formuliert ist, oder die Tatsache, dass sie schriftlich oder mündlich vorliegt, als eine Frage des Stils dieser Äußerung aufgefasst.</w:t>
      </w:r>
    </w:p>
    <w:p w:rsidR="00CC3558" w:rsidRPr="00156980" w:rsidRDefault="00CC3558" w:rsidP="00F461D9">
      <w:pPr>
        <w:pStyle w:val="Funotentext"/>
        <w:rPr>
          <w:szCs w:val="17"/>
        </w:rPr>
      </w:pPr>
      <w:r w:rsidRPr="00156980">
        <w:rPr>
          <w:szCs w:val="17"/>
        </w:rPr>
        <w:tab/>
        <w:t>Weder 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xml:space="preserve"> noch Wesley</w:t>
      </w:r>
      <w:r w:rsidR="005D7996">
        <w:rPr>
          <w:szCs w:val="17"/>
        </w:rPr>
        <w:fldChar w:fldCharType="begin"/>
      </w:r>
      <w:r>
        <w:instrText xml:space="preserve"> XE "</w:instrText>
      </w:r>
      <w:r w:rsidRPr="00121A9B">
        <w:rPr>
          <w:szCs w:val="17"/>
        </w:rPr>
        <w:instrText>Wesley, Samuel</w:instrText>
      </w:r>
      <w:r>
        <w:instrText xml:space="preserve">" </w:instrText>
      </w:r>
      <w:r w:rsidR="005D7996">
        <w:rPr>
          <w:szCs w:val="17"/>
        </w:rPr>
        <w:fldChar w:fldCharType="end"/>
      </w:r>
      <w:r w:rsidRPr="00156980">
        <w:rPr>
          <w:szCs w:val="17"/>
        </w:rPr>
        <w:t xml:space="preserve"> oder einer ihrer Anhänger sind also in die Fehler verfallen, die ihre Aussagen über Stil, als Definitionen verstanden, nahelegen würden. Dies zeigt, </w:t>
      </w:r>
      <w:r w:rsidRPr="00156980">
        <w:rPr>
          <w:i/>
          <w:szCs w:val="17"/>
        </w:rPr>
        <w:t>dass sie intuitiv bereits wussten, was Stil ist,</w:t>
      </w:r>
      <w:r w:rsidRPr="00156980">
        <w:rPr>
          <w:szCs w:val="17"/>
        </w:rPr>
        <w:t xml:space="preserve"> und mit ihren Charakterisierungen nur auf b</w:t>
      </w:r>
      <w:r w:rsidRPr="00156980">
        <w:rPr>
          <w:szCs w:val="17"/>
        </w:rPr>
        <w:t>e</w:t>
      </w:r>
      <w:r w:rsidRPr="00156980">
        <w:rPr>
          <w:szCs w:val="17"/>
        </w:rPr>
        <w:t>stimmte Aspekte von Stil hinweisen wollten, die ihnen wichtig waren. Beispielsweise b</w:t>
      </w:r>
      <w:r w:rsidRPr="00156980">
        <w:rPr>
          <w:szCs w:val="17"/>
        </w:rPr>
        <w:t>e</w:t>
      </w:r>
      <w:r w:rsidRPr="00156980">
        <w:rPr>
          <w:szCs w:val="17"/>
        </w:rPr>
        <w:t>tonte 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der zur Zeit des in äußeren Formen erstarrten Ancien régime lebte, dass der Stil – und damit war nicht nur sprachlicher Stil, sondern auch gesellschaftlicher Stil gemeint – ein Aspekt der Individualität und nicht der bloßen Konventionen sei.</w:t>
      </w:r>
    </w:p>
    <w:p w:rsidR="00CC3558" w:rsidRPr="00156980" w:rsidRDefault="00CC3558" w:rsidP="00F461D9">
      <w:pPr>
        <w:pStyle w:val="Funotentext"/>
        <w:rPr>
          <w:szCs w:val="17"/>
        </w:rPr>
      </w:pPr>
      <w:r w:rsidRPr="00156980">
        <w:rPr>
          <w:szCs w:val="17"/>
        </w:rPr>
        <w:tab/>
      </w:r>
      <w:r w:rsidRPr="00156980">
        <w:rPr>
          <w:szCs w:val="17"/>
          <w:lang w:val="en-US"/>
        </w:rPr>
        <w:t>Ein weiteres Beispiel: Der strukturalistische Stiltheoretiker Michael Riffaterre</w:t>
      </w:r>
      <w:r w:rsidR="005D7996">
        <w:rPr>
          <w:szCs w:val="17"/>
          <w:lang w:val="en-US"/>
        </w:rPr>
        <w:fldChar w:fldCharType="begin"/>
      </w:r>
      <w:r w:rsidRPr="005A4B5B">
        <w:rPr>
          <w:lang w:val="en-US"/>
        </w:rPr>
        <w:instrText xml:space="preserve"> XE "Riffaterre, Michael" </w:instrText>
      </w:r>
      <w:r w:rsidR="005D7996">
        <w:rPr>
          <w:szCs w:val="17"/>
          <w:lang w:val="en-US"/>
        </w:rPr>
        <w:fldChar w:fldCharType="end"/>
      </w:r>
      <w:r w:rsidRPr="00156980">
        <w:rPr>
          <w:szCs w:val="17"/>
          <w:lang w:val="en-US"/>
        </w:rPr>
        <w:t xml:space="preserve"> beginnt seine Überlegungen zur stilistischen Funktion (Riffaterre</w:t>
      </w:r>
      <w:r w:rsidR="005D7996">
        <w:rPr>
          <w:szCs w:val="17"/>
          <w:lang w:val="en-US"/>
        </w:rPr>
        <w:fldChar w:fldCharType="begin"/>
      </w:r>
      <w:r w:rsidRPr="005A4B5B">
        <w:rPr>
          <w:lang w:val="en-US"/>
        </w:rPr>
        <w:instrText xml:space="preserve"> XE "Riffaterre, Michael" </w:instrText>
      </w:r>
      <w:r w:rsidR="005D7996">
        <w:rPr>
          <w:szCs w:val="17"/>
          <w:lang w:val="en-US"/>
        </w:rPr>
        <w:fldChar w:fldCharType="end"/>
      </w:r>
      <w:r w:rsidRPr="00156980">
        <w:rPr>
          <w:szCs w:val="17"/>
          <w:lang w:val="en-US"/>
        </w:rPr>
        <w:t xml:space="preserve"> 1964) mit einer indirekten Stildefinition</w:t>
      </w:r>
      <w:r w:rsidR="005D7996">
        <w:rPr>
          <w:szCs w:val="17"/>
          <w:lang w:val="en-US"/>
        </w:rPr>
        <w:fldChar w:fldCharType="begin"/>
      </w:r>
      <w:r w:rsidRPr="00C6415A">
        <w:rPr>
          <w:lang w:val="en-US"/>
        </w:rPr>
        <w:instrText xml:space="preserve"> XE "Stildefinition" </w:instrText>
      </w:r>
      <w:r w:rsidR="005D7996">
        <w:rPr>
          <w:szCs w:val="17"/>
          <w:lang w:val="en-US"/>
        </w:rPr>
        <w:fldChar w:fldCharType="end"/>
      </w:r>
      <w:r w:rsidRPr="00156980">
        <w:rPr>
          <w:szCs w:val="17"/>
          <w:lang w:val="en-US"/>
        </w:rPr>
        <w:t>: „Stylistics studies those features of linguistic utterances that are utilized to impose the encoder’s way of thinking on the decoder, i.e. it studies the act of commun</w:t>
      </w:r>
      <w:r w:rsidRPr="00156980">
        <w:rPr>
          <w:szCs w:val="17"/>
          <w:lang w:val="en-US"/>
        </w:rPr>
        <w:t>i</w:t>
      </w:r>
      <w:r w:rsidRPr="00156980">
        <w:rPr>
          <w:szCs w:val="17"/>
          <w:lang w:val="en-US"/>
        </w:rPr>
        <w:t xml:space="preserve">cation not as merely producing a verbal chain, but as bearing the imprint of the speaker’s personality, and as compelling the addressee’s attention.“ </w:t>
      </w:r>
      <w:r w:rsidRPr="0072201D">
        <w:rPr>
          <w:szCs w:val="17"/>
        </w:rPr>
        <w:t>(Riffaterre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72201D">
        <w:rPr>
          <w:szCs w:val="17"/>
        </w:rPr>
        <w:t xml:space="preserve"> 1964: 316) </w:t>
      </w:r>
      <w:r w:rsidRPr="00156980">
        <w:rPr>
          <w:szCs w:val="17"/>
        </w:rPr>
        <w:t>Würde sich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an diese Definition halten, müsste er alle Aspekte des Stils, die nicht mit der Denkweise oder Persönlichkeit des Stilanwenders zu tun haben, ausschließen.</w:t>
      </w:r>
    </w:p>
    <w:p w:rsidR="00CC3558" w:rsidRPr="00156980" w:rsidRDefault="00CC3558" w:rsidP="00F461D9">
      <w:pPr>
        <w:pStyle w:val="Funotentext"/>
        <w:rPr>
          <w:szCs w:val="17"/>
        </w:rPr>
      </w:pPr>
      <w:r w:rsidRPr="00156980">
        <w:rPr>
          <w:szCs w:val="17"/>
        </w:rPr>
        <w:tab/>
      </w:r>
      <w:r w:rsidRPr="00156980">
        <w:rPr>
          <w:szCs w:val="17"/>
          <w:lang w:val="en-US"/>
        </w:rPr>
        <w:t>Riffaterre</w:t>
      </w:r>
      <w:r w:rsidR="005D7996">
        <w:rPr>
          <w:szCs w:val="17"/>
          <w:lang w:val="en-US"/>
        </w:rPr>
        <w:fldChar w:fldCharType="begin"/>
      </w:r>
      <w:r w:rsidRPr="005A4B5B">
        <w:rPr>
          <w:lang w:val="en-US"/>
        </w:rPr>
        <w:instrText xml:space="preserve"> XE "Riffaterre, Michael" </w:instrText>
      </w:r>
      <w:r w:rsidR="005D7996">
        <w:rPr>
          <w:szCs w:val="17"/>
          <w:lang w:val="en-US"/>
        </w:rPr>
        <w:fldChar w:fldCharType="end"/>
      </w:r>
      <w:r w:rsidRPr="00156980">
        <w:rPr>
          <w:szCs w:val="17"/>
          <w:lang w:val="en-US"/>
        </w:rPr>
        <w:t xml:space="preserve"> fährt fort: „In short it studies the ways of linguistic efficiency (expressiveness) in carrying a high load of information.“ </w:t>
      </w:r>
      <w:r w:rsidRPr="00156980">
        <w:rPr>
          <w:szCs w:val="17"/>
        </w:rPr>
        <w:t>Würde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sich an diese Zuschreibung ha</w:t>
      </w:r>
      <w:r w:rsidRPr="00156980">
        <w:rPr>
          <w:szCs w:val="17"/>
        </w:rPr>
        <w:t>l</w:t>
      </w:r>
      <w:r w:rsidRPr="00156980">
        <w:rPr>
          <w:szCs w:val="17"/>
        </w:rPr>
        <w:t>ten, könnte er einen langatmigen bürokratischen Stil, der die Informationsdichte des Textinhalts erheblich verringert, selbst aber nur die Information ‚langatmig, bürokratisch‘ trägt, die diese Verringerung nicht ausgleichen kann, nicht als Stil ansehen.</w:t>
      </w:r>
    </w:p>
    <w:p w:rsidR="00CC3558" w:rsidRPr="00156980" w:rsidRDefault="00CC3558" w:rsidP="00F461D9">
      <w:pPr>
        <w:pStyle w:val="Funotentext"/>
        <w:rPr>
          <w:szCs w:val="17"/>
        </w:rPr>
      </w:pPr>
      <w:r w:rsidRPr="00156980">
        <w:rPr>
          <w:szCs w:val="17"/>
        </w:rPr>
        <w:tab/>
        <w:t>Beide Aussagen enthalten eine richtige Intuition (Stile enthalten tatsächlich Informati</w:t>
      </w:r>
      <w:r w:rsidRPr="00156980">
        <w:rPr>
          <w:szCs w:val="17"/>
        </w:rPr>
        <w:t>o</w:t>
      </w:r>
      <w:r w:rsidRPr="00156980">
        <w:rPr>
          <w:szCs w:val="17"/>
        </w:rPr>
        <w:t xml:space="preserve">nen der genannten Art, aber auch viele andere, vgl. die Beispiele in </w:t>
      </w:r>
      <w:fldSimple w:instr=" REF _Ref255407192 \r \h  \* MERGEFORMAT ">
        <w:r w:rsidR="001231D3" w:rsidRPr="001231D3">
          <w:rPr>
            <w:szCs w:val="17"/>
          </w:rPr>
          <w:t>7.1</w:t>
        </w:r>
      </w:fldSimple>
      <w:r w:rsidRPr="00156980">
        <w:rPr>
          <w:szCs w:val="17"/>
        </w:rPr>
        <w:t>; Stile tragen I</w:t>
      </w:r>
      <w:r w:rsidRPr="00156980">
        <w:rPr>
          <w:szCs w:val="17"/>
        </w:rPr>
        <w:t>n</w:t>
      </w:r>
      <w:r w:rsidRPr="00156980">
        <w:rPr>
          <w:szCs w:val="17"/>
        </w:rPr>
        <w:t>formation und vergrößern damit ceteris paribus die Gesamtinformation einer Realisi</w:t>
      </w:r>
      <w:r w:rsidRPr="00156980">
        <w:rPr>
          <w:szCs w:val="17"/>
        </w:rPr>
        <w:t>e</w:t>
      </w:r>
      <w:r w:rsidRPr="00156980">
        <w:rPr>
          <w:szCs w:val="17"/>
        </w:rPr>
        <w:t xml:space="preserve">rung, vgl. </w:t>
      </w:r>
      <w:fldSimple w:instr=" REF _Ref225339965 \r \h  \* MERGEFORMAT ">
        <w:r w:rsidR="001231D3" w:rsidRPr="001231D3">
          <w:rPr>
            <w:szCs w:val="17"/>
          </w:rPr>
          <w:t>2.8</w:t>
        </w:r>
      </w:fldSimple>
      <w:r w:rsidRPr="00156980">
        <w:rPr>
          <w:szCs w:val="17"/>
        </w:rPr>
        <w:t>), würden aber wörtlich genommen zum Ausschluss ganzer Klassen von St</w:t>
      </w:r>
      <w:r w:rsidRPr="00156980">
        <w:rPr>
          <w:szCs w:val="17"/>
        </w:rPr>
        <w:t>i</w:t>
      </w:r>
      <w:r w:rsidRPr="00156980">
        <w:rPr>
          <w:szCs w:val="17"/>
        </w:rPr>
        <w:t xml:space="preserve">len führen. Es gibt keine </w:t>
      </w:r>
      <w:r>
        <w:rPr>
          <w:szCs w:val="17"/>
        </w:rPr>
        <w:t xml:space="preserve">Hinweise </w:t>
      </w:r>
      <w:r w:rsidRPr="00156980">
        <w:rPr>
          <w:szCs w:val="17"/>
        </w:rPr>
        <w:t>da</w:t>
      </w:r>
      <w:r>
        <w:rPr>
          <w:szCs w:val="17"/>
        </w:rPr>
        <w:t>rauf,</w:t>
      </w:r>
      <w:r w:rsidRPr="00156980">
        <w:rPr>
          <w:szCs w:val="17"/>
        </w:rPr>
        <w:t xml:space="preserve"> dass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dem bei der Wahl seiner Beispiele gefolgt ist.</w:t>
      </w:r>
    </w:p>
  </w:footnote>
  <w:footnote w:id="1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660778 \r \h  \* MERGEFORMAT ">
        <w:r w:rsidR="001231D3" w:rsidRPr="001231D3">
          <w:rPr>
            <w:szCs w:val="17"/>
          </w:rPr>
          <w:t>1.2</w:t>
        </w:r>
      </w:fldSimple>
      <w:r w:rsidRPr="00156980">
        <w:rPr>
          <w:szCs w:val="17"/>
        </w:rPr>
        <w:t>, Annahme (A).</w:t>
      </w:r>
    </w:p>
  </w:footnote>
  <w:footnote w:id="1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zum Verhältnis von Begriffsexplikation und Modellierung Abschnitt </w:t>
      </w:r>
      <w:fldSimple w:instr=" REF _Ref267660778 \r \h  \* MERGEFORMAT ">
        <w:r w:rsidR="001231D3" w:rsidRPr="001231D3">
          <w:rPr>
            <w:szCs w:val="17"/>
          </w:rPr>
          <w:t>1.2</w:t>
        </w:r>
      </w:fldSimple>
      <w:r w:rsidRPr="00156980">
        <w:rPr>
          <w:szCs w:val="17"/>
        </w:rPr>
        <w:t>.</w:t>
      </w:r>
    </w:p>
  </w:footnote>
  <w:footnote w:id="1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ist keine vollständige Liste, sondern umfasst nur die für das hier vorgestellte Modell relevanten Verwendungsweisen; davon ist insbesondere die normative Verwendungsweise von „Stil“ zu unterscheiden, vgl. Abschnitt </w:t>
      </w:r>
      <w:fldSimple w:instr=" REF _Ref268506459 \r \h  \* MERGEFORMAT ">
        <w:r w:rsidR="001231D3" w:rsidRPr="001231D3">
          <w:rPr>
            <w:szCs w:val="17"/>
          </w:rPr>
          <w:t>8.3.9</w:t>
        </w:r>
      </w:fldSimple>
      <w:r w:rsidRPr="00156980">
        <w:rPr>
          <w:szCs w:val="17"/>
        </w:rPr>
        <w:t>.</w:t>
      </w:r>
    </w:p>
  </w:footnote>
  <w:footnote w:id="1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Wer dieser Auffassung folgt, kann dennoch das hier vorgestellte Stilmodell als gültig akzeptieren, müsste dann allerdings davon ausgehen, dass nicht eine Merkmalsmenge </w:t>
      </w:r>
      <w:r w:rsidRPr="00156980">
        <w:rPr>
          <w:i/>
          <w:szCs w:val="17"/>
        </w:rPr>
        <w:t>B</w:t>
      </w:r>
      <w:r w:rsidRPr="00156980">
        <w:rPr>
          <w:szCs w:val="17"/>
        </w:rPr>
        <w:t xml:space="preserve"> ein Stil ist, sondern vielmehr eine Merkmalsmenge </w:t>
      </w:r>
      <w:r w:rsidRPr="00156980">
        <w:rPr>
          <w:i/>
          <w:szCs w:val="17"/>
        </w:rPr>
        <w:t>B</w:t>
      </w:r>
      <w:r w:rsidRPr="00156980">
        <w:rPr>
          <w:szCs w:val="17"/>
        </w:rPr>
        <w:t xml:space="preserve"> zusammen mit den stilistischen Merkmalen, die sie bei ihrer Anwendung auf eine oder mehrere Realisierungen erzeugt hat.</w:t>
      </w:r>
    </w:p>
  </w:footnote>
  <w:footnote w:id="1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 eine Eins-zu-eins-Zuordnung zwischen stilistischen Merkmalen und den Merkmalsr</w:t>
      </w:r>
      <w:r w:rsidRPr="00156980">
        <w:rPr>
          <w:szCs w:val="17"/>
        </w:rPr>
        <w:t>e</w:t>
      </w:r>
      <w:r w:rsidRPr="00156980">
        <w:rPr>
          <w:szCs w:val="17"/>
        </w:rPr>
        <w:t xml:space="preserve">geln, die sie erzeugen, meist nicht möglich ist (vgl. Abschnitt </w:t>
      </w:r>
      <w:fldSimple w:instr=" REF _Ref273518621 \r \h  \* MERGEFORMAT ">
        <w:r w:rsidR="001231D3" w:rsidRPr="001231D3">
          <w:rPr>
            <w:szCs w:val="17"/>
          </w:rPr>
          <w:t>2.11</w:t>
        </w:r>
      </w:fldSimple>
      <w:r w:rsidRPr="00156980">
        <w:rPr>
          <w:szCs w:val="17"/>
        </w:rPr>
        <w:t xml:space="preserve">), weshalb die Prozesse des Einschreibens und Auslesens für alle Merkmalsregeln zusammen stattfinden (vgl. </w:t>
      </w:r>
      <w:fldSimple w:instr=" REF _Ref269156038 \r \h  \* MERGEFORMAT ">
        <w:r w:rsidR="001231D3" w:rsidRPr="001231D3">
          <w:rPr>
            <w:szCs w:val="17"/>
          </w:rPr>
          <w:t>5.4.1</w:t>
        </w:r>
      </w:fldSimple>
      <w:r w:rsidRPr="00156980">
        <w:rPr>
          <w:szCs w:val="17"/>
        </w:rPr>
        <w:t xml:space="preserve"> und </w:t>
      </w:r>
      <w:fldSimple w:instr=" REF _Ref254084330 \r \h  \* MERGEFORMAT ">
        <w:r w:rsidR="001231D3" w:rsidRPr="001231D3">
          <w:rPr>
            <w:szCs w:val="17"/>
          </w:rPr>
          <w:t>5.5.3</w:t>
        </w:r>
      </w:fldSimple>
      <w:r w:rsidRPr="00156980">
        <w:rPr>
          <w:szCs w:val="17"/>
        </w:rPr>
        <w:t>), sprechen wir zusammenfassend von einem „stilistischen Zeichen“. Da sich ein Merkmal oft überwiegend aus einer Merkmalsregel ergibt und bei einer geringen Anzahl an Merkmalsregeln sogar eine eindeutige Zuordnung möglich sein kann, ist das stilistische Zeichen ein komplexes Zeichen, das aus einer Menge mehr oder minder stark interagierender Zeichen besteht.</w:t>
      </w:r>
    </w:p>
  </w:footnote>
  <w:footnote w:id="1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Auch wenn ein Stil unabsichtlich eingeschrieben und von niemandem ausgelesen wird, wird er in dieser Arbeit als Zeicheninhalt und die entstehenden Merkmale als Zeichentr</w:t>
      </w:r>
      <w:r w:rsidRPr="00156980">
        <w:rPr>
          <w:szCs w:val="17"/>
        </w:rPr>
        <w:t>ä</w:t>
      </w:r>
      <w:r w:rsidRPr="00156980">
        <w:rPr>
          <w:szCs w:val="17"/>
        </w:rPr>
        <w:t>ger eines stilistischen Zeichens betrachtet. Gewöhnlich würde in solchen Fällen allenfalls von einem potentiellen Zeichen gesprochen. Es würde hier jedoch zu viele Schwierigke</w:t>
      </w:r>
      <w:r w:rsidRPr="00156980">
        <w:rPr>
          <w:szCs w:val="17"/>
        </w:rPr>
        <w:t>i</w:t>
      </w:r>
      <w:r w:rsidRPr="00156980">
        <w:rPr>
          <w:szCs w:val="17"/>
        </w:rPr>
        <w:t>ten bereiten, diesen Fall separat zu behandeln. Daher ist die Verwendung von ‚Zeichen‘ in ‚stilistisches Zeichen‘ relativ weit. Die Information wird in jedem Fall erzeugt (vgl. A</w:t>
      </w:r>
      <w:r w:rsidRPr="00156980">
        <w:rPr>
          <w:szCs w:val="17"/>
        </w:rPr>
        <w:t>b</w:t>
      </w:r>
      <w:r w:rsidRPr="00156980">
        <w:rPr>
          <w:szCs w:val="17"/>
        </w:rPr>
        <w:t xml:space="preserve">schnitt </w:t>
      </w:r>
      <w:fldSimple w:instr=" REF _Ref273631294 \r \h  \* MERGEFORMAT ">
        <w:r w:rsidR="001231D3" w:rsidRPr="001231D3">
          <w:rPr>
            <w:szCs w:val="17"/>
          </w:rPr>
          <w:t>2.9</w:t>
        </w:r>
      </w:fldSimple>
      <w:r w:rsidRPr="00156980">
        <w:rPr>
          <w:szCs w:val="17"/>
        </w:rPr>
        <w:t>), und diesen Vorgang wollen wir im Merkmalsprozess beschreiben.</w:t>
      </w:r>
    </w:p>
  </w:footnote>
  <w:footnote w:id="1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Definition wird in Abschnitt </w:t>
      </w:r>
      <w:fldSimple w:instr=" REF _Ref273617215 \r \h  \* MERGEFORMAT ">
        <w:r w:rsidR="001231D3" w:rsidRPr="001231D3">
          <w:rPr>
            <w:szCs w:val="17"/>
          </w:rPr>
          <w:t>7.3.6</w:t>
        </w:r>
      </w:fldSimple>
      <w:r w:rsidRPr="00156980">
        <w:rPr>
          <w:szCs w:val="17"/>
        </w:rPr>
        <w:t xml:space="preserve"> ergänzt.</w:t>
      </w:r>
    </w:p>
  </w:footnote>
  <w:footnote w:id="1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Grenzfall, wenn keine Berücksichtigung der Interpretation erfolgt, besteht das A</w:t>
      </w:r>
      <w:r w:rsidRPr="00156980">
        <w:rPr>
          <w:szCs w:val="17"/>
        </w:rPr>
        <w:t>n</w:t>
      </w:r>
      <w:r w:rsidRPr="00156980">
        <w:rPr>
          <w:szCs w:val="17"/>
        </w:rPr>
        <w:t>wenden des Stils nur aus dem Einschreiben der Merkmalsregeln.</w:t>
      </w:r>
    </w:p>
  </w:footnote>
  <w:footnote w:id="1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umfasst eine jetzt schon über 40 Jahre, thematisch auf Sprachstil und den englischen Sprachraum beschränkte Bibliographie bereits 2000 Titel (Bailey u.a. 1968), eine andere aus dieser Zeit, die sich ebenfalls auf sprachlichen Stil konzentriert, gut 700 Titel, davon allein 40 Bibliographien (Milic 1967). Hatzfeld 1953 und Hatzfeld 1966 (e</w:t>
      </w:r>
      <w:r w:rsidRPr="00156980">
        <w:rPr>
          <w:szCs w:val="17"/>
        </w:rPr>
        <w:t>r</w:t>
      </w:r>
      <w:r w:rsidRPr="00156980">
        <w:rPr>
          <w:szCs w:val="17"/>
        </w:rPr>
        <w:t>gänzend ab 1953) listen 1600 und 1900 Titel für den romanischen Sprachraum. Ang</w:t>
      </w:r>
      <w:r w:rsidRPr="00156980">
        <w:rPr>
          <w:szCs w:val="17"/>
        </w:rPr>
        <w:t>e</w:t>
      </w:r>
      <w:r w:rsidRPr="00156980">
        <w:rPr>
          <w:szCs w:val="17"/>
        </w:rPr>
        <w:t>sichts der seitdem noch stark angewachsenen Titelzahl müsste eine heutige Bibliographie zur allgemeinen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die außersprachliche Stilbereiche einbezieht, zehntausende von Titeln umfassen.</w:t>
      </w:r>
    </w:p>
    <w:p w:rsidR="00CC3558" w:rsidRPr="00156980" w:rsidRDefault="00CC3558" w:rsidP="00F461D9">
      <w:pPr>
        <w:pStyle w:val="Funotentext"/>
        <w:rPr>
          <w:szCs w:val="17"/>
        </w:rPr>
      </w:pPr>
      <w:r w:rsidRPr="00156980">
        <w:rPr>
          <w:szCs w:val="17"/>
        </w:rPr>
        <w:tab/>
        <w:t>Eine Übersicht über germanistische Arbeiten zur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xml:space="preserve"> seit 1945 gibt Püschel 1991; </w:t>
      </w:r>
      <w:r>
        <w:rPr>
          <w:szCs w:val="17"/>
        </w:rPr>
        <w:t xml:space="preserve">linguistisch </w:t>
      </w:r>
      <w:r w:rsidRPr="00156980">
        <w:rPr>
          <w:szCs w:val="17"/>
        </w:rPr>
        <w:t>orientiert ist Sanders 1995. Eine weitere, thematisch geordnete Bibliographie ist Bennett 1986, dort werden allein 117 Titel mit explizit semiotischem Ansatz gelistet (Nöth 2009: 1183).</w:t>
      </w:r>
    </w:p>
  </w:footnote>
  <w:footnote w:id="1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Ausnahmen gibt es natürlich, etwa die bereichsübergreifende Stildefinition</w:t>
      </w:r>
      <w:r w:rsidR="005D7996">
        <w:rPr>
          <w:szCs w:val="17"/>
        </w:rPr>
        <w:fldChar w:fldCharType="begin"/>
      </w:r>
      <w:r>
        <w:instrText xml:space="preserve"> XE "</w:instrText>
      </w:r>
      <w:r w:rsidRPr="00F10689">
        <w:instrText>Stildefinition</w:instrText>
      </w:r>
      <w:r>
        <w:instrText xml:space="preserve">" </w:instrText>
      </w:r>
      <w:r w:rsidR="005D7996">
        <w:rPr>
          <w:szCs w:val="17"/>
        </w:rPr>
        <w:fldChar w:fldCharType="end"/>
      </w:r>
      <w:r w:rsidRPr="00156980">
        <w:rPr>
          <w:szCs w:val="17"/>
        </w:rPr>
        <w:t xml:space="preserve"> des Musikwi</w:t>
      </w:r>
      <w:r w:rsidRPr="00156980">
        <w:rPr>
          <w:szCs w:val="17"/>
        </w:rPr>
        <w:t>s</w:t>
      </w:r>
      <w:r w:rsidRPr="00156980">
        <w:rPr>
          <w:szCs w:val="17"/>
        </w:rPr>
        <w:t xml:space="preserve">senschaftlers Leonard B. Meyer (vgl. Abschnitt </w:t>
      </w:r>
      <w:fldSimple w:instr=" REF _Ref266098068 \r \h  \* MERGEFORMAT ">
        <w:r w:rsidR="001231D3" w:rsidRPr="001231D3">
          <w:rPr>
            <w:szCs w:val="17"/>
          </w:rPr>
          <w:t>3.5</w:t>
        </w:r>
      </w:fldSimple>
      <w:r w:rsidRPr="00156980">
        <w:rPr>
          <w:szCs w:val="17"/>
        </w:rPr>
        <w:t>).</w:t>
      </w:r>
    </w:p>
    <w:p w:rsidR="00CC3558" w:rsidRPr="00156980" w:rsidRDefault="00CC3558" w:rsidP="00F461D9">
      <w:pPr>
        <w:pStyle w:val="Funotentext"/>
        <w:rPr>
          <w:szCs w:val="17"/>
        </w:rPr>
      </w:pPr>
      <w:r w:rsidRPr="00156980">
        <w:rPr>
          <w:szCs w:val="17"/>
        </w:rPr>
        <w:tab/>
        <w:t>Zudem gibt es anspruchsvolle bereichsübergreifende Ansätze der Stilforschung</w:t>
      </w:r>
      <w:r w:rsidR="005D7996">
        <w:rPr>
          <w:szCs w:val="17"/>
        </w:rPr>
        <w:fldChar w:fldCharType="begin"/>
      </w:r>
      <w:r>
        <w:instrText xml:space="preserve"> XE "</w:instrText>
      </w:r>
      <w:r w:rsidRPr="0078486D">
        <w:instrText>Stilforschung</w:instrText>
      </w:r>
      <w:r>
        <w:instrText xml:space="preserve">" </w:instrText>
      </w:r>
      <w:r w:rsidR="005D7996">
        <w:rPr>
          <w:szCs w:val="17"/>
        </w:rPr>
        <w:fldChar w:fldCharType="end"/>
      </w:r>
      <w:r w:rsidRPr="00156980">
        <w:rPr>
          <w:szCs w:val="17"/>
        </w:rPr>
        <w:t>, die j</w:t>
      </w:r>
      <w:r w:rsidRPr="00156980">
        <w:rPr>
          <w:szCs w:val="17"/>
        </w:rPr>
        <w:t>e</w:t>
      </w:r>
      <w:r w:rsidRPr="00156980">
        <w:rPr>
          <w:szCs w:val="17"/>
        </w:rPr>
        <w:t>doch nur bestimmte Aspekte von Stil untersuchen. Beispielsweise hat die Psychologin J</w:t>
      </w:r>
      <w:r w:rsidRPr="00156980">
        <w:rPr>
          <w:szCs w:val="17"/>
        </w:rPr>
        <w:t>a</w:t>
      </w:r>
      <w:r w:rsidRPr="00156980">
        <w:rPr>
          <w:szCs w:val="17"/>
        </w:rPr>
        <w:t>ne Gear (vgl. Gear 1989) ausgehend von einem einfachen Modell der behavioristisch or</w:t>
      </w:r>
      <w:r w:rsidRPr="00156980">
        <w:rPr>
          <w:szCs w:val="17"/>
        </w:rPr>
        <w:t>i</w:t>
      </w:r>
      <w:r w:rsidRPr="00156980">
        <w:rPr>
          <w:szCs w:val="17"/>
        </w:rPr>
        <w:t>entierten Psychologie</w:t>
      </w:r>
      <w:r w:rsidR="005D7996">
        <w:rPr>
          <w:szCs w:val="17"/>
        </w:rPr>
        <w:fldChar w:fldCharType="begin"/>
      </w:r>
      <w:r>
        <w:instrText xml:space="preserve"> XE "</w:instrText>
      </w:r>
      <w:r w:rsidRPr="00DF6CA9">
        <w:rPr>
          <w:szCs w:val="17"/>
        </w:rPr>
        <w:instrText>Psychologie</w:instrText>
      </w:r>
      <w:r>
        <w:instrText xml:space="preserve">" </w:instrText>
      </w:r>
      <w:r w:rsidR="005D7996">
        <w:rPr>
          <w:szCs w:val="17"/>
        </w:rPr>
        <w:fldChar w:fldCharType="end"/>
      </w:r>
      <w:r w:rsidRPr="00156980">
        <w:rPr>
          <w:szCs w:val="17"/>
        </w:rPr>
        <w:t xml:space="preserve"> (dem APM-A-Modell), das Aufmerksamkeit, Wahrnehmung, E</w:t>
      </w:r>
      <w:r w:rsidRPr="00156980">
        <w:rPr>
          <w:szCs w:val="17"/>
        </w:rPr>
        <w:t>r</w:t>
      </w:r>
      <w:r w:rsidRPr="00156980">
        <w:rPr>
          <w:szCs w:val="17"/>
        </w:rPr>
        <w:t>regung (arousal) und Gedächtnis verbindet, Stile in vielen Bereichen (unter anderem soziale Interaktion, Kunst und Lernen) einer einheitlichen Perspektive unterworfen. D</w:t>
      </w:r>
      <w:r w:rsidRPr="00156980">
        <w:rPr>
          <w:szCs w:val="17"/>
        </w:rPr>
        <w:t>a</w:t>
      </w:r>
      <w:r w:rsidRPr="00156980">
        <w:rPr>
          <w:szCs w:val="17"/>
        </w:rPr>
        <w:t>bei werden bereichsübergreifend bestimmte psychologische und wahrnehmungsbezogene Aspekte von Stil betrachtet.</w:t>
      </w:r>
    </w:p>
  </w:footnote>
  <w:footnote w:id="1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Da sowieso fast alle Literatur bereichsspezifisch ist, sind solche Auswertungen sinnvoller bei der Entwicklung von Theorien für einzelne Stilbereiche (etwa Text-, Architektur- oder Bewegungsstile; vgl. Abschnitt </w:t>
      </w:r>
      <w:fldSimple w:instr=" REF _Ref254783670 \r \h  \* MERGEFORMAT ">
        <w:r w:rsidR="001231D3" w:rsidRPr="001231D3">
          <w:rPr>
            <w:szCs w:val="17"/>
          </w:rPr>
          <w:t>8.1</w:t>
        </w:r>
      </w:fldSimple>
      <w:r w:rsidRPr="00156980">
        <w:rPr>
          <w:szCs w:val="17"/>
        </w:rPr>
        <w:t>).</w:t>
      </w:r>
    </w:p>
  </w:footnote>
  <w:footnote w:id="1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einführend Spillner 1974a: 45ff und Sandig 1978: 36f. Bei Spillner werden als Vertr</w:t>
      </w:r>
      <w:r w:rsidRPr="00156980">
        <w:rPr>
          <w:szCs w:val="17"/>
        </w:rPr>
        <w:t>e</w:t>
      </w:r>
      <w:r w:rsidRPr="00156980">
        <w:rPr>
          <w:szCs w:val="17"/>
        </w:rPr>
        <w:t>ter Marouzeau 1941, Cressot 1947, Hill 1958, Devoto 1950, Michel 1968 und Russell 1971 genannt, bei Sandig unter anderem Sanders 1973 und Asmuth u.a. 1974. Eine Übe</w:t>
      </w:r>
      <w:r w:rsidRPr="00156980">
        <w:rPr>
          <w:szCs w:val="17"/>
        </w:rPr>
        <w:t>r</w:t>
      </w:r>
      <w:r w:rsidRPr="00156980">
        <w:rPr>
          <w:szCs w:val="17"/>
        </w:rPr>
        <w:t>sicht über entsprechende Ansätze gibt auch Grimm 1991: 14-25.</w:t>
      </w:r>
    </w:p>
  </w:footnote>
  <w:footnote w:id="1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Spillner 1984: 69.</w:t>
      </w:r>
    </w:p>
  </w:footnote>
  <w:footnote w:id="1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 der analytischen Philosophie wurden die Bedingungen, die für Kommunikation</w:t>
      </w:r>
      <w:r w:rsidR="005D7996">
        <w:rPr>
          <w:szCs w:val="17"/>
        </w:rPr>
        <w:fldChar w:fldCharType="begin"/>
      </w:r>
      <w:r>
        <w:instrText xml:space="preserve"> XE "</w:instrText>
      </w:r>
      <w:r w:rsidRPr="00716BD7">
        <w:rPr>
          <w:rFonts w:eastAsia="Times New Roman" w:cs="Times New Roman"/>
        </w:rPr>
        <w:instrText>Kommunikation</w:instrText>
      </w:r>
      <w:r>
        <w:instrText xml:space="preserve">" </w:instrText>
      </w:r>
      <w:r w:rsidR="005D7996">
        <w:rPr>
          <w:szCs w:val="17"/>
        </w:rPr>
        <w:fldChar w:fldCharType="end"/>
      </w:r>
      <w:r w:rsidRPr="00156980">
        <w:rPr>
          <w:szCs w:val="17"/>
        </w:rPr>
        <w:t xml:space="preserve"> gelten müssen, zunehmend genauer ausgearbeitet. Wichtige Stufen dieser Ausarbeitung sta</w:t>
      </w:r>
      <w:r w:rsidRPr="00156980">
        <w:rPr>
          <w:szCs w:val="17"/>
        </w:rPr>
        <w:t>m</w:t>
      </w:r>
      <w:r w:rsidRPr="00156980">
        <w:rPr>
          <w:szCs w:val="17"/>
        </w:rPr>
        <w:t>men von Paul Grice (z.B. Grice 1969; alle relevanten Texte sind in Grice 1993 versa</w:t>
      </w:r>
      <w:r w:rsidRPr="00156980">
        <w:rPr>
          <w:szCs w:val="17"/>
        </w:rPr>
        <w:t>m</w:t>
      </w:r>
      <w:r w:rsidRPr="00156980">
        <w:rPr>
          <w:szCs w:val="17"/>
        </w:rPr>
        <w:t>melt), Georg Meggle (Meggle 1982) und Roland Posner (Posner 1993; deutsch gekürzt als Posner 1996).</w:t>
      </w:r>
    </w:p>
  </w:footnote>
  <w:footnote w:id="1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Spillner 1984: 70f.</w:t>
      </w:r>
    </w:p>
  </w:footnote>
  <w:footnote w:id="1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Spillner 1974a: 47.</w:t>
      </w:r>
    </w:p>
  </w:footnote>
  <w:footnote w:id="1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1876190 \r \h  \* MERGEFORMAT ">
        <w:r w:rsidR="001231D3" w:rsidRPr="001231D3">
          <w:rPr>
            <w:szCs w:val="17"/>
          </w:rPr>
          <w:t>2.3</w:t>
        </w:r>
      </w:fldSimple>
      <w:r w:rsidRPr="00156980">
        <w:rPr>
          <w:szCs w:val="17"/>
        </w:rPr>
        <w:t>.</w:t>
      </w:r>
    </w:p>
  </w:footnote>
  <w:footnote w:id="1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Tschauder 1979: 156.</w:t>
      </w:r>
    </w:p>
  </w:footnote>
  <w:footnote w:id="1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Wird beispielsweise beschlossen, einen Artikel über eine Ingenieursaufgabe zu schreiben, stehen altmodische Wörter oder eine abstrakte Ausdrucksweise kaum mehr als Stilmer</w:t>
      </w:r>
      <w:r w:rsidRPr="00156980">
        <w:rPr>
          <w:szCs w:val="17"/>
        </w:rPr>
        <w:t>k</w:t>
      </w:r>
      <w:r w:rsidRPr="00156980">
        <w:rPr>
          <w:szCs w:val="17"/>
        </w:rPr>
        <w:t>male zur Verfügung. Umgekehrt hat die stilistische Wahl einer ausführlichen Au</w:t>
      </w:r>
      <w:r w:rsidRPr="00156980">
        <w:rPr>
          <w:szCs w:val="17"/>
        </w:rPr>
        <w:t>s</w:t>
      </w:r>
      <w:r w:rsidRPr="00156980">
        <w:rPr>
          <w:szCs w:val="17"/>
        </w:rPr>
        <w:t>drucksweise und eines hypotaktischen Satzbaus Konsequenzen für den Inhalt, wie man am Beginn von Thomas Manns</w:t>
      </w:r>
      <w:r w:rsidR="005D7996">
        <w:rPr>
          <w:szCs w:val="17"/>
        </w:rPr>
        <w:fldChar w:fldCharType="begin"/>
      </w:r>
      <w:r>
        <w:instrText xml:space="preserve"> XE "</w:instrText>
      </w:r>
      <w:r w:rsidRPr="00DF22FE">
        <w:rPr>
          <w:szCs w:val="17"/>
        </w:rPr>
        <w:instrText>Mann, Thomas</w:instrText>
      </w:r>
      <w:r>
        <w:instrText xml:space="preserve">" </w:instrText>
      </w:r>
      <w:r w:rsidR="005D7996">
        <w:rPr>
          <w:szCs w:val="17"/>
        </w:rPr>
        <w:fldChar w:fldCharType="end"/>
      </w:r>
      <w:r w:rsidRPr="00156980">
        <w:rPr>
          <w:szCs w:val="17"/>
        </w:rPr>
        <w:t xml:space="preserve"> „</w:t>
      </w:r>
      <w:r>
        <w:rPr>
          <w:szCs w:val="17"/>
        </w:rPr>
        <w:t>Joseph</w:t>
      </w:r>
      <w:r w:rsidRPr="00156980">
        <w:rPr>
          <w:szCs w:val="17"/>
        </w:rPr>
        <w:t xml:space="preserve"> und seine Brüder</w:t>
      </w:r>
      <w:r w:rsidR="005D7996">
        <w:rPr>
          <w:szCs w:val="17"/>
        </w:rPr>
        <w:fldChar w:fldCharType="begin"/>
      </w:r>
      <w:r>
        <w:instrText xml:space="preserve"> XE "</w:instrText>
      </w:r>
      <w:r w:rsidRPr="00997A10">
        <w:rPr>
          <w:szCs w:val="17"/>
        </w:rPr>
        <w:instrText>Joseph und seine Brüder (Roman)</w:instrText>
      </w:r>
      <w:r>
        <w:instrText xml:space="preserve">" </w:instrText>
      </w:r>
      <w:r w:rsidR="005D7996">
        <w:rPr>
          <w:szCs w:val="17"/>
        </w:rPr>
        <w:fldChar w:fldCharType="end"/>
      </w:r>
      <w:r w:rsidRPr="00156980">
        <w:rPr>
          <w:szCs w:val="17"/>
        </w:rPr>
        <w:t xml:space="preserve">“ </w:t>
      </w:r>
      <w:r>
        <w:rPr>
          <w:szCs w:val="17"/>
        </w:rPr>
        <w:t xml:space="preserve">(Mann 1933–1943) </w:t>
      </w:r>
      <w:r w:rsidRPr="00156980">
        <w:rPr>
          <w:szCs w:val="17"/>
        </w:rPr>
        <w:t>nachvol</w:t>
      </w:r>
      <w:r w:rsidRPr="00156980">
        <w:rPr>
          <w:szCs w:val="17"/>
        </w:rPr>
        <w:t>l</w:t>
      </w:r>
      <w:r w:rsidRPr="00156980">
        <w:rPr>
          <w:szCs w:val="17"/>
        </w:rPr>
        <w:t>ziehen kann; um die Einfügung zahlreicher Details und die Darstellung von Verbindu</w:t>
      </w:r>
      <w:r w:rsidRPr="00156980">
        <w:rPr>
          <w:szCs w:val="17"/>
        </w:rPr>
        <w:t>n</w:t>
      </w:r>
      <w:r w:rsidRPr="00156980">
        <w:rPr>
          <w:szCs w:val="17"/>
        </w:rPr>
        <w:t>gen kommt man, ist ein solcher Stil angestrebt, inhaltlich nicht herum.</w:t>
      </w:r>
    </w:p>
  </w:footnote>
  <w:footnote w:id="1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Abfolge der Wahlvorgänge wird in Abschnitt </w:t>
      </w:r>
      <w:fldSimple w:instr=" REF _Ref212110965 \r \h  \* MERGEFORMAT ">
        <w:r w:rsidR="001231D3" w:rsidRPr="001231D3">
          <w:rPr>
            <w:szCs w:val="17"/>
          </w:rPr>
          <w:t>5.2.2</w:t>
        </w:r>
      </w:fldSimple>
      <w:r w:rsidRPr="00156980">
        <w:rPr>
          <w:szCs w:val="17"/>
        </w:rPr>
        <w:t xml:space="preserve"> dargestellt.</w:t>
      </w:r>
    </w:p>
  </w:footnote>
  <w:footnote w:id="1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Frankl 1988: 12.</w:t>
      </w:r>
    </w:p>
  </w:footnote>
  <w:footnote w:id="1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Zum Verhältnis von Ästhetik und Stil vgl. Abschnitt </w:t>
      </w:r>
      <w:fldSimple w:instr=" REF _Ref237405993 \r \h  \* MERGEFORMAT ">
        <w:r w:rsidR="001231D3" w:rsidRPr="001231D3">
          <w:rPr>
            <w:szCs w:val="17"/>
          </w:rPr>
          <w:t>8.3.7</w:t>
        </w:r>
      </w:fldSimple>
      <w:r w:rsidRPr="00156980">
        <w:rPr>
          <w:szCs w:val="17"/>
        </w:rPr>
        <w:t>.</w:t>
      </w:r>
    </w:p>
  </w:footnote>
  <w:footnote w:id="1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 Hoffmann 1988: 321.</w:t>
      </w:r>
    </w:p>
  </w:footnote>
  <w:footnote w:id="1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ebd.: 324ff. Darunter sind die auch hier diskutierten von Thoma (1976) und Lerchner (1981 und 1984).</w:t>
      </w:r>
    </w:p>
  </w:footnote>
  <w:footnote w:id="1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 Hoffmann 1988: 330. – Hoffmann selbst wählt in einem anderen Artikel die Saussuresche Dichotomie</w:t>
      </w:r>
      <w:r w:rsidR="005D7996">
        <w:rPr>
          <w:szCs w:val="17"/>
        </w:rPr>
        <w:fldChar w:fldCharType="begin"/>
      </w:r>
      <w:r>
        <w:instrText xml:space="preserve"> XE "</w:instrText>
      </w:r>
      <w:r w:rsidRPr="00475B0C">
        <w:rPr>
          <w:szCs w:val="17"/>
        </w:rPr>
        <w:instrText>Dichotomie (Saussure)</w:instrText>
      </w:r>
      <w:r>
        <w:instrText xml:space="preserve">" </w:instrText>
      </w:r>
      <w:r w:rsidR="005D7996">
        <w:rPr>
          <w:szCs w:val="17"/>
        </w:rPr>
        <w:fldChar w:fldCharType="end"/>
      </w:r>
      <w:r w:rsidRPr="00156980">
        <w:rPr>
          <w:szCs w:val="17"/>
        </w:rPr>
        <w:t xml:space="preserve"> „Paradigma</w:t>
      </w:r>
      <w:r w:rsidR="005D7996">
        <w:rPr>
          <w:szCs w:val="17"/>
        </w:rPr>
        <w:fldChar w:fldCharType="begin"/>
      </w:r>
      <w:r>
        <w:instrText xml:space="preserve"> XE "</w:instrText>
      </w:r>
      <w:r w:rsidRPr="006C2C00">
        <w:instrText>Paradigma</w:instrText>
      </w:r>
      <w:r>
        <w:instrText xml:space="preserve">" </w:instrText>
      </w:r>
      <w:r w:rsidR="005D7996">
        <w:rPr>
          <w:szCs w:val="17"/>
        </w:rPr>
        <w:fldChar w:fldCharType="end"/>
      </w:r>
      <w:r w:rsidRPr="00156980">
        <w:rPr>
          <w:szCs w:val="17"/>
        </w:rPr>
        <w:t xml:space="preserve"> – Syntagma</w:t>
      </w:r>
      <w:r w:rsidR="005D7996">
        <w:rPr>
          <w:szCs w:val="17"/>
        </w:rPr>
        <w:fldChar w:fldCharType="begin"/>
      </w:r>
      <w:r>
        <w:instrText xml:space="preserve"> XE "</w:instrText>
      </w:r>
      <w:r w:rsidRPr="006C2C00">
        <w:instrText>Syntagma</w:instrText>
      </w:r>
      <w:r>
        <w:instrText xml:space="preserve">" </w:instrText>
      </w:r>
      <w:r w:rsidR="005D7996">
        <w:rPr>
          <w:szCs w:val="17"/>
        </w:rPr>
        <w:fldChar w:fldCharType="end"/>
      </w:r>
      <w:r w:rsidRPr="00156980">
        <w:rPr>
          <w:szCs w:val="17"/>
        </w:rPr>
        <w:t xml:space="preserve">“ als Ausgangspunkt, unterscheidet dann aber nur zwischen </w:t>
      </w:r>
      <w:r w:rsidRPr="00156980">
        <w:rPr>
          <w:rFonts w:eastAsia="Times New Roman" w:cs="Times New Roman"/>
          <w:szCs w:val="17"/>
        </w:rPr>
        <w:t xml:space="preserve">paradigmatischer und syntagmatischer Anwendung verschiedener Stilverfahren </w:t>
      </w:r>
      <w:r w:rsidRPr="00156980">
        <w:rPr>
          <w:szCs w:val="17"/>
        </w:rPr>
        <w:t xml:space="preserve">(M. Hoffmann 1987: 78) und verfehlt damit </w:t>
      </w:r>
      <w:r w:rsidRPr="00156980">
        <w:rPr>
          <w:rFonts w:eastAsia="Times New Roman" w:cs="Times New Roman"/>
          <w:szCs w:val="17"/>
        </w:rPr>
        <w:t xml:space="preserve">die grundlegende Relevanz der </w:t>
      </w:r>
      <w:r w:rsidRPr="00156980">
        <w:rPr>
          <w:szCs w:val="17"/>
        </w:rPr>
        <w:t>Dichotomie</w:t>
      </w:r>
      <w:r w:rsidRPr="00156980">
        <w:rPr>
          <w:rFonts w:eastAsia="Times New Roman" w:cs="Times New Roman"/>
          <w:szCs w:val="17"/>
        </w:rPr>
        <w:t xml:space="preserve"> für Stilphänomene (vgl. Abschnitt </w:t>
      </w:r>
      <w:fldSimple w:instr=" REF _Ref267836372 \r \h  \* MERGEFORMAT ">
        <w:r w:rsidR="001231D3" w:rsidRPr="001231D3">
          <w:rPr>
            <w:rFonts w:eastAsia="Times New Roman" w:cs="Times New Roman"/>
            <w:szCs w:val="17"/>
          </w:rPr>
          <w:t>3.6</w:t>
        </w:r>
      </w:fldSimple>
      <w:r w:rsidRPr="00156980">
        <w:rPr>
          <w:rFonts w:eastAsia="Times New Roman" w:cs="Times New Roman"/>
          <w:szCs w:val="17"/>
        </w:rPr>
        <w:t>). Hoffmanns Unterscheidung ist de</w:t>
      </w:r>
      <w:r w:rsidRPr="00156980">
        <w:rPr>
          <w:rFonts w:eastAsia="Times New Roman" w:cs="Times New Roman"/>
          <w:szCs w:val="17"/>
        </w:rPr>
        <w:t>n</w:t>
      </w:r>
      <w:r w:rsidRPr="00156980">
        <w:rPr>
          <w:rFonts w:eastAsia="Times New Roman" w:cs="Times New Roman"/>
          <w:szCs w:val="17"/>
        </w:rPr>
        <w:t xml:space="preserve">noch sinnvoll, sie entspricht ungefähr der hier vertretenen in vertikal-relationale (auf die </w:t>
      </w:r>
      <w:r>
        <w:rPr>
          <w:rFonts w:eastAsia="Times New Roman" w:cs="Times New Roman"/>
          <w:szCs w:val="17"/>
        </w:rPr>
        <w:t>Alter</w:t>
      </w:r>
      <w:r>
        <w:rPr>
          <w:rFonts w:eastAsia="Times New Roman" w:cs="Times New Roman"/>
          <w:szCs w:val="17"/>
        </w:rPr>
        <w:softHyphen/>
        <w:t>nativen</w:t>
      </w:r>
      <w:r>
        <w:rPr>
          <w:rFonts w:eastAsia="Times New Roman" w:cs="Times New Roman"/>
          <w:szCs w:val="17"/>
        </w:rPr>
        <w:softHyphen/>
        <w:t>klasse</w:t>
      </w:r>
      <w:r w:rsidRPr="00156980">
        <w:rPr>
          <w:rFonts w:eastAsia="Times New Roman" w:cs="Times New Roman"/>
          <w:szCs w:val="17"/>
        </w:rPr>
        <w:t xml:space="preserve"> bezogene) und horizontal-relationale (auf die Realisierung bezogene) verlangte Eigenschaften von Merkmalsregeln (siehe </w:t>
      </w:r>
      <w:fldSimple w:instr=" REF _Ref211841916 \r \h  \* MERGEFORMAT ">
        <w:r w:rsidR="001231D3" w:rsidRPr="001231D3">
          <w:rPr>
            <w:rFonts w:eastAsia="Times New Roman" w:cs="Times New Roman"/>
            <w:szCs w:val="17"/>
          </w:rPr>
          <w:t>4.3.2</w:t>
        </w:r>
      </w:fldSimple>
      <w:r w:rsidRPr="00156980">
        <w:rPr>
          <w:rFonts w:eastAsia="Times New Roman" w:cs="Times New Roman"/>
          <w:szCs w:val="17"/>
        </w:rPr>
        <w:t>).</w:t>
      </w:r>
    </w:p>
  </w:footnote>
  <w:footnote w:id="1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 Hoffmann 2009: 1328.</w:t>
      </w:r>
    </w:p>
  </w:footnote>
  <w:footnote w:id="1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Spillner 1995: 63.</w:t>
      </w:r>
    </w:p>
  </w:footnote>
  <w:footnote w:id="1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Zum Sprachzentrismus</w:t>
      </w:r>
      <w:r w:rsidR="005D7996">
        <w:rPr>
          <w:szCs w:val="17"/>
        </w:rPr>
        <w:fldChar w:fldCharType="begin"/>
      </w:r>
      <w:r>
        <w:instrText xml:space="preserve"> XE "</w:instrText>
      </w:r>
      <w:r w:rsidRPr="00F059BB">
        <w:rPr>
          <w:szCs w:val="17"/>
        </w:rPr>
        <w:instrText>Sprachzentrismus</w:instrText>
      </w:r>
      <w:r>
        <w:instrText xml:space="preserve">" </w:instrText>
      </w:r>
      <w:r w:rsidR="005D7996">
        <w:rPr>
          <w:szCs w:val="17"/>
        </w:rPr>
        <w:fldChar w:fldCharType="end"/>
      </w:r>
      <w:r w:rsidRPr="00156980">
        <w:rPr>
          <w:szCs w:val="17"/>
        </w:rPr>
        <w:t xml:space="preserve"> der </w:t>
      </w:r>
      <w:r>
        <w:rPr>
          <w:szCs w:val="17"/>
        </w:rPr>
        <w:t xml:space="preserve">Stilistik </w:t>
      </w:r>
      <w:r w:rsidRPr="00156980">
        <w:rPr>
          <w:szCs w:val="17"/>
        </w:rPr>
        <w:t xml:space="preserve">vgl. Fußnote </w:t>
      </w:r>
      <w:fldSimple w:instr=" NOTEREF _Ref266616201 \h  \* MERGEFORMAT ">
        <w:r w:rsidR="001231D3" w:rsidRPr="001231D3">
          <w:rPr>
            <w:szCs w:val="17"/>
          </w:rPr>
          <w:t>555</w:t>
        </w:r>
      </w:fldSimple>
      <w:r w:rsidRPr="00156980">
        <w:rPr>
          <w:szCs w:val="17"/>
        </w:rPr>
        <w:t>.</w:t>
      </w:r>
    </w:p>
  </w:footnote>
  <w:footnote w:id="1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Chatman 1971.</w:t>
      </w:r>
    </w:p>
  </w:footnote>
  <w:footnote w:id="1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Fix u.a. 2008–2009.</w:t>
      </w:r>
    </w:p>
  </w:footnote>
  <w:footnote w:id="1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Gardt 2009.</w:t>
      </w:r>
    </w:p>
  </w:footnote>
  <w:footnote w:id="1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Gardt 2009</w:t>
      </w:r>
      <w:r w:rsidRPr="00156980">
        <w:rPr>
          <w:szCs w:val="17"/>
        </w:rPr>
        <w:t>: 1202.</w:t>
      </w:r>
    </w:p>
  </w:footnote>
  <w:footnote w:id="1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Nöth 2009.</w:t>
      </w:r>
    </w:p>
  </w:footnote>
  <w:footnote w:id="1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Siehe Fußnote</w:t>
      </w:r>
      <w:r>
        <w:rPr>
          <w:szCs w:val="17"/>
        </w:rPr>
        <w:t xml:space="preserve">n </w:t>
      </w:r>
      <w:r w:rsidR="005D7996">
        <w:rPr>
          <w:szCs w:val="17"/>
        </w:rPr>
        <w:fldChar w:fldCharType="begin"/>
      </w:r>
      <w:r>
        <w:rPr>
          <w:szCs w:val="17"/>
        </w:rPr>
        <w:instrText xml:space="preserve"> NOTEREF _Ref271281021 \h </w:instrText>
      </w:r>
      <w:r w:rsidR="005D7996">
        <w:rPr>
          <w:szCs w:val="17"/>
        </w:rPr>
      </w:r>
      <w:r w:rsidR="005D7996">
        <w:rPr>
          <w:szCs w:val="17"/>
        </w:rPr>
        <w:fldChar w:fldCharType="separate"/>
      </w:r>
      <w:r w:rsidR="001231D3">
        <w:rPr>
          <w:szCs w:val="17"/>
        </w:rPr>
        <w:t>27</w:t>
      </w:r>
      <w:r w:rsidR="005D7996">
        <w:rPr>
          <w:szCs w:val="17"/>
        </w:rPr>
        <w:fldChar w:fldCharType="end"/>
      </w:r>
      <w:r>
        <w:rPr>
          <w:szCs w:val="17"/>
        </w:rPr>
        <w:t xml:space="preserve"> und</w:t>
      </w:r>
      <w:r w:rsidRPr="00156980">
        <w:rPr>
          <w:szCs w:val="17"/>
        </w:rPr>
        <w:t xml:space="preserve"> </w:t>
      </w:r>
      <w:fldSimple w:instr=" NOTEREF _Ref271312043 \h  \* MERGEFORMAT ">
        <w:r w:rsidR="001231D3" w:rsidRPr="001231D3">
          <w:rPr>
            <w:szCs w:val="17"/>
          </w:rPr>
          <w:t>59</w:t>
        </w:r>
      </w:fldSimple>
      <w:r w:rsidRPr="00156980">
        <w:rPr>
          <w:szCs w:val="17"/>
        </w:rPr>
        <w:t>.</w:t>
      </w:r>
    </w:p>
  </w:footnote>
  <w:footnote w:id="1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 sei Weidl</w:t>
      </w:r>
      <w:r>
        <w:rPr>
          <w:szCs w:val="17"/>
        </w:rPr>
        <w:t>é</w:t>
      </w:r>
      <w:r w:rsidRPr="00156980">
        <w:rPr>
          <w:szCs w:val="17"/>
        </w:rPr>
        <w:t xml:space="preserve"> 1962 herausgegriffen; der Kunsthistoriker Weidl</w:t>
      </w:r>
      <w:r>
        <w:rPr>
          <w:szCs w:val="17"/>
        </w:rPr>
        <w:t>é</w:t>
      </w:r>
      <w:r w:rsidRPr="00156980">
        <w:rPr>
          <w:szCs w:val="17"/>
        </w:rPr>
        <w:t xml:space="preserve"> geht von Ben</w:t>
      </w:r>
      <w:r w:rsidRPr="00156980">
        <w:rPr>
          <w:szCs w:val="17"/>
        </w:rPr>
        <w:t>e</w:t>
      </w:r>
      <w:r w:rsidRPr="00156980">
        <w:rPr>
          <w:szCs w:val="17"/>
        </w:rPr>
        <w:t>detto Croce aus, der eine „linguistische Methode“ der Kunstanalyse entwickelt hatte (vgl. Croce 1902 und 1937).</w:t>
      </w:r>
    </w:p>
  </w:footnote>
  <w:footnote w:id="1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Rolle von Kodes bei Stil Abschnitt </w:t>
      </w:r>
      <w:fldSimple w:instr=" REF _Ref260667292 \r \h  \* MERGEFORMAT ">
        <w:r w:rsidR="001231D3" w:rsidRPr="001231D3">
          <w:rPr>
            <w:szCs w:val="17"/>
          </w:rPr>
          <w:t>8.3.5</w:t>
        </w:r>
      </w:fldSimple>
      <w:r w:rsidRPr="00156980">
        <w:rPr>
          <w:szCs w:val="17"/>
        </w:rPr>
        <w:t>.</w:t>
      </w:r>
    </w:p>
  </w:footnote>
  <w:footnote w:id="1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Bayer 1989.</w:t>
      </w:r>
    </w:p>
  </w:footnote>
  <w:footnote w:id="1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Beispielsweise „Stil vs. Inhalt“; vgl. das Goodman-Zitat in Abschnitt </w:t>
      </w:r>
      <w:fldSimple w:instr=" REF _Ref263947078 \r \h  \* MERGEFORMAT ">
        <w:r w:rsidR="001231D3" w:rsidRPr="001231D3">
          <w:rPr>
            <w:szCs w:val="17"/>
          </w:rPr>
          <w:t>2.7</w:t>
        </w:r>
      </w:fldSimple>
      <w:r w:rsidRPr="00156980">
        <w:rPr>
          <w:szCs w:val="17"/>
        </w:rPr>
        <w:t>.</w:t>
      </w:r>
    </w:p>
  </w:footnote>
  <w:footnote w:id="1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Goodman 1978: 32f.</w:t>
      </w:r>
    </w:p>
  </w:footnote>
  <w:footnote w:id="1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Goodman 1978: 34.</w:t>
      </w:r>
    </w:p>
  </w:footnote>
  <w:footnote w:id="1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Steinbrenner 1996: 151.</w:t>
      </w:r>
    </w:p>
  </w:footnote>
  <w:footnote w:id="1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Muka</w:t>
      </w:r>
      <w:r w:rsidRPr="00534BF7">
        <w:rPr>
          <w:rFonts w:ascii="Times New Roman" w:hAnsi="Times New Roman" w:cs="Times New Roman"/>
          <w:szCs w:val="17"/>
        </w:rPr>
        <w:t>ř</w:t>
      </w:r>
      <w:r w:rsidRPr="00156980">
        <w:rPr>
          <w:szCs w:val="17"/>
        </w:rPr>
        <w:t>ovský 1974 und Jakobson 1960.</w:t>
      </w:r>
    </w:p>
  </w:footnote>
  <w:footnote w:id="1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Schmid 297.</w:t>
      </w:r>
    </w:p>
  </w:footnote>
  <w:footnote w:id="1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Merkmalsprozess; vgl. Kapitel 4 und 5.</w:t>
      </w:r>
    </w:p>
  </w:footnote>
  <w:footnote w:id="1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Interpretationsprozess; vgl. Kapitel 6 und 7.</w:t>
      </w:r>
    </w:p>
  </w:footnote>
  <w:footnote w:id="1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Auf Stil bezogen, entspricht dies den Positionen der Abweichungsstilistik</w:t>
      </w:r>
      <w:r w:rsidR="005D7996">
        <w:rPr>
          <w:szCs w:val="17"/>
        </w:rPr>
        <w:fldChar w:fldCharType="begin"/>
      </w:r>
      <w:r>
        <w:instrText xml:space="preserve"> XE "</w:instrText>
      </w:r>
      <w:r w:rsidRPr="001313E4">
        <w:rPr>
          <w:rFonts w:eastAsia="Times New Roman" w:cs="Times New Roman"/>
        </w:rPr>
        <w:instrText>Abweichungsstilistik</w:instrText>
      </w:r>
      <w:r>
        <w:instrText xml:space="preserve">" </w:instrText>
      </w:r>
      <w:r w:rsidR="005D7996">
        <w:rPr>
          <w:szCs w:val="17"/>
        </w:rPr>
        <w:fldChar w:fldCharType="end"/>
      </w:r>
      <w:r w:rsidRPr="00156980">
        <w:rPr>
          <w:szCs w:val="17"/>
        </w:rPr>
        <w:t xml:space="preserve"> (vgl. </w:t>
      </w:r>
      <w:fldSimple w:instr=" REF _Ref211841916 \r \h  \* MERGEFORMAT ">
        <w:r w:rsidR="001231D3" w:rsidRPr="001231D3">
          <w:rPr>
            <w:szCs w:val="17"/>
          </w:rPr>
          <w:t>4.3.2</w:t>
        </w:r>
      </w:fldSimple>
      <w:r w:rsidRPr="00156980">
        <w:rPr>
          <w:szCs w:val="17"/>
        </w:rPr>
        <w:t>, (4), „Zu (a)“) und der Kontraststilistik</w:t>
      </w:r>
      <w:r w:rsidR="005D7996">
        <w:rPr>
          <w:szCs w:val="17"/>
        </w:rPr>
        <w:fldChar w:fldCharType="begin"/>
      </w:r>
      <w:r>
        <w:instrText xml:space="preserve"> XE "</w:instrText>
      </w:r>
      <w:r w:rsidRPr="00315466">
        <w:instrText>Kontraststilistik</w:instrText>
      </w:r>
      <w:r>
        <w:instrText xml:space="preserve">" </w:instrText>
      </w:r>
      <w:r w:rsidR="005D7996">
        <w:rPr>
          <w:szCs w:val="17"/>
        </w:rPr>
        <w:fldChar w:fldCharType="end"/>
      </w:r>
      <w:r w:rsidRPr="00156980">
        <w:rPr>
          <w:szCs w:val="17"/>
        </w:rPr>
        <w:t xml:space="preserve"> (vgl. </w:t>
      </w:r>
      <w:fldSimple w:instr=" REF _Ref211841916 \r \h  \* MERGEFORMAT ">
        <w:r w:rsidR="001231D3" w:rsidRPr="001231D3">
          <w:rPr>
            <w:szCs w:val="17"/>
          </w:rPr>
          <w:t>4.3.2</w:t>
        </w:r>
      </w:fldSimple>
      <w:r w:rsidRPr="00156980">
        <w:rPr>
          <w:szCs w:val="17"/>
        </w:rPr>
        <w:t>, (5), „Zu (d)“).</w:t>
      </w:r>
    </w:p>
  </w:footnote>
  <w:footnote w:id="1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4378576 \r \h  \* MERGEFORMAT ">
        <w:r w:rsidR="001231D3" w:rsidRPr="001231D3">
          <w:rPr>
            <w:szCs w:val="17"/>
          </w:rPr>
          <w:t>2.2</w:t>
        </w:r>
      </w:fldSimple>
      <w:r w:rsidRPr="00156980">
        <w:rPr>
          <w:szCs w:val="17"/>
        </w:rPr>
        <w:t>.</w:t>
      </w:r>
    </w:p>
  </w:footnote>
  <w:footnote w:id="1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836372 \r \h  \* MERGEFORMAT ">
        <w:r w:rsidR="001231D3" w:rsidRPr="001231D3">
          <w:rPr>
            <w:szCs w:val="17"/>
          </w:rPr>
          <w:t>3.6</w:t>
        </w:r>
      </w:fldSimple>
      <w:r w:rsidRPr="00156980">
        <w:rPr>
          <w:szCs w:val="17"/>
        </w:rPr>
        <w:t>.</w:t>
      </w:r>
    </w:p>
  </w:footnote>
  <w:footnote w:id="1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Wie gesagt, wird die inhaltliche Ebene in den genannten Theorien auch berücksichtigt, </w:t>
      </w:r>
      <w:r>
        <w:rPr>
          <w:szCs w:val="17"/>
        </w:rPr>
        <w:t xml:space="preserve">dabei </w:t>
      </w:r>
      <w:r w:rsidRPr="00156980">
        <w:rPr>
          <w:szCs w:val="17"/>
        </w:rPr>
        <w:t>werden jedoch vor allem Strukturen und Organisationsprinzipien erfasst. So sind etwa Verfahren wie inhaltliche Brüche, Parallelerzählungen, Verschachtelung von Erzäh</w:t>
      </w:r>
      <w:r w:rsidRPr="00156980">
        <w:rPr>
          <w:szCs w:val="17"/>
        </w:rPr>
        <w:t>l</w:t>
      </w:r>
      <w:r w:rsidRPr="00156980">
        <w:rPr>
          <w:szCs w:val="17"/>
        </w:rPr>
        <w:t>strukturen, Rück- und Vorblenden usw. mit dem Ansatz erfassbar, also gewissermaßen die formale Ebene der inhaltlichen Darstellung.</w:t>
      </w:r>
    </w:p>
  </w:footnote>
  <w:footnote w:id="1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836372 \r \h  \* MERGEFORMAT ">
        <w:r w:rsidR="001231D3" w:rsidRPr="001231D3">
          <w:rPr>
            <w:szCs w:val="17"/>
          </w:rPr>
          <w:t>3.6</w:t>
        </w:r>
      </w:fldSimple>
      <w:r w:rsidRPr="00156980">
        <w:rPr>
          <w:szCs w:val="17"/>
        </w:rPr>
        <w:t xml:space="preserve"> zur strukturalistischen Textanalyse</w:t>
      </w:r>
      <w:r w:rsidR="005D7996">
        <w:rPr>
          <w:szCs w:val="17"/>
        </w:rPr>
        <w:fldChar w:fldCharType="begin"/>
      </w:r>
      <w:r>
        <w:instrText xml:space="preserve"> XE "</w:instrText>
      </w:r>
      <w:r w:rsidRPr="00436EAC">
        <w:instrText>Textanalyse</w:instrText>
      </w:r>
      <w:r>
        <w:instrText xml:space="preserve">:strukturalistische" </w:instrText>
      </w:r>
      <w:r w:rsidR="005D7996">
        <w:rPr>
          <w:szCs w:val="17"/>
        </w:rPr>
        <w:fldChar w:fldCharType="end"/>
      </w:r>
      <w:r w:rsidRPr="00156980">
        <w:rPr>
          <w:szCs w:val="17"/>
        </w:rPr>
        <w:t xml:space="preserve"> der 1960er Jahre, die über das Bindeglied Roman Jakobson</w:t>
      </w:r>
      <w:r w:rsidR="005D7996">
        <w:rPr>
          <w:szCs w:val="17"/>
        </w:rPr>
        <w:fldChar w:fldCharType="begin"/>
      </w:r>
      <w:r>
        <w:instrText xml:space="preserve"> XE "</w:instrText>
      </w:r>
      <w:r w:rsidRPr="00D1030F">
        <w:instrText>Jakobson, Roman</w:instrText>
      </w:r>
      <w:r>
        <w:instrText xml:space="preserve">" </w:instrText>
      </w:r>
      <w:r w:rsidR="005D7996">
        <w:rPr>
          <w:szCs w:val="17"/>
        </w:rPr>
        <w:fldChar w:fldCharType="end"/>
      </w:r>
      <w:r w:rsidRPr="00156980">
        <w:rPr>
          <w:szCs w:val="17"/>
        </w:rPr>
        <w:t xml:space="preserve"> aus den hier untersuchten Konzeptionen hervorging.</w:t>
      </w:r>
    </w:p>
  </w:footnote>
  <w:footnote w:id="1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Gray 1969.</w:t>
      </w:r>
    </w:p>
  </w:footnote>
  <w:footnote w:id="1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Siehe zum hier verwendeten Informationsbegriff</w:t>
      </w:r>
      <w:r w:rsidR="005D7996">
        <w:rPr>
          <w:szCs w:val="17"/>
        </w:rPr>
        <w:fldChar w:fldCharType="begin"/>
      </w:r>
      <w:r>
        <w:instrText xml:space="preserve"> XE "</w:instrText>
      </w:r>
      <w:r w:rsidRPr="00C95EF2">
        <w:rPr>
          <w:szCs w:val="17"/>
        </w:rPr>
        <w:instrText>Informationsbegriff</w:instrText>
      </w:r>
      <w:r>
        <w:instrText xml:space="preserve">" </w:instrText>
      </w:r>
      <w:r w:rsidR="005D7996">
        <w:rPr>
          <w:szCs w:val="17"/>
        </w:rPr>
        <w:fldChar w:fldCharType="end"/>
      </w:r>
      <w:r w:rsidRPr="00156980">
        <w:rPr>
          <w:szCs w:val="17"/>
        </w:rPr>
        <w:t xml:space="preserve"> Fußnote </w:t>
      </w:r>
      <w:fldSimple w:instr=" NOTEREF _Ref266573173 \h  \* MERGEFORMAT ">
        <w:r w:rsidR="001231D3" w:rsidRPr="001231D3">
          <w:rPr>
            <w:szCs w:val="17"/>
          </w:rPr>
          <w:t>118</w:t>
        </w:r>
      </w:fldSimple>
      <w:r w:rsidRPr="00156980">
        <w:rPr>
          <w:szCs w:val="17"/>
        </w:rPr>
        <w:t>.</w:t>
      </w:r>
    </w:p>
  </w:footnote>
  <w:footnote w:id="1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 auffälligen Stilen, etwa dem Friedensreich Hundertwassers</w:t>
      </w:r>
      <w:r w:rsidR="005D7996">
        <w:rPr>
          <w:szCs w:val="17"/>
        </w:rPr>
        <w:fldChar w:fldCharType="begin"/>
      </w:r>
      <w:r>
        <w:instrText xml:space="preserve"> XE "</w:instrText>
      </w:r>
      <w:r w:rsidRPr="0070736F">
        <w:rPr>
          <w:szCs w:val="17"/>
        </w:rPr>
        <w:instrText>Hundertwasser, Friedensreich</w:instrText>
      </w:r>
      <w:r>
        <w:instrText xml:space="preserve">" </w:instrText>
      </w:r>
      <w:r w:rsidR="005D7996">
        <w:rPr>
          <w:szCs w:val="17"/>
        </w:rPr>
        <w:fldChar w:fldCharType="end"/>
      </w:r>
      <w:r w:rsidRPr="00156980">
        <w:rPr>
          <w:szCs w:val="17"/>
        </w:rPr>
        <w:t xml:space="preserve"> oder Richard Meiers</w:t>
      </w:r>
      <w:r w:rsidR="005D7996">
        <w:rPr>
          <w:szCs w:val="17"/>
        </w:rPr>
        <w:fldChar w:fldCharType="begin"/>
      </w:r>
      <w:r>
        <w:instrText xml:space="preserve"> XE "</w:instrText>
      </w:r>
      <w:r w:rsidRPr="00FC1751">
        <w:rPr>
          <w:szCs w:val="17"/>
        </w:rPr>
        <w:instrText>Meier, Richard</w:instrText>
      </w:r>
      <w:r>
        <w:instrText xml:space="preserve">" </w:instrText>
      </w:r>
      <w:r w:rsidR="005D7996">
        <w:rPr>
          <w:szCs w:val="17"/>
        </w:rPr>
        <w:fldChar w:fldCharType="end"/>
      </w:r>
      <w:r w:rsidRPr="00156980">
        <w:rPr>
          <w:szCs w:val="17"/>
        </w:rPr>
        <w:t xml:space="preserve"> (vgl. Abschnitt </w:t>
      </w:r>
      <w:fldSimple w:instr=" REF _Ref254386965 \r \h  \* MERGEFORMAT ">
        <w:r w:rsidR="001231D3" w:rsidRPr="001231D3">
          <w:rPr>
            <w:szCs w:val="17"/>
          </w:rPr>
          <w:t>7.1.1</w:t>
        </w:r>
      </w:fldSimple>
      <w:r w:rsidRPr="00156980">
        <w:rPr>
          <w:szCs w:val="17"/>
        </w:rPr>
        <w:t>), gelingt dies auch Laien meist problemlos.</w:t>
      </w:r>
    </w:p>
  </w:footnote>
  <w:footnote w:id="194">
    <w:p w:rsidR="00CC3558" w:rsidRPr="00156980" w:rsidRDefault="00CC3558" w:rsidP="00F461D9">
      <w:pPr>
        <w:pStyle w:val="Funotentext"/>
        <w:rPr>
          <w:szCs w:val="17"/>
        </w:rPr>
      </w:pPr>
      <w:r w:rsidRPr="00156980">
        <w:rPr>
          <w:rStyle w:val="Funotenzeichen"/>
          <w:szCs w:val="17"/>
        </w:rPr>
        <w:footnoteRef/>
      </w:r>
      <w:r w:rsidRPr="00156980">
        <w:rPr>
          <w:szCs w:val="17"/>
          <w:lang w:val="en-US"/>
        </w:rPr>
        <w:t xml:space="preserve"> </w:t>
      </w:r>
      <w:r w:rsidRPr="00156980">
        <w:rPr>
          <w:szCs w:val="17"/>
          <w:lang w:val="en-US"/>
        </w:rPr>
        <w:tab/>
        <w:t>Meyer Schapiro betont die Zuverlässigkeit stilistischer Einordnungen (Schapiro 1961: 82): „Whenever it is possible to locate a work through nonstylistic evidence, this evidence points to the same time and place as do the formal traits, or to a culturally associated r</w:t>
      </w:r>
      <w:r w:rsidRPr="00156980">
        <w:rPr>
          <w:szCs w:val="17"/>
          <w:lang w:val="en-US"/>
        </w:rPr>
        <w:t>e</w:t>
      </w:r>
      <w:r w:rsidRPr="00156980">
        <w:rPr>
          <w:szCs w:val="17"/>
          <w:lang w:val="en-US"/>
        </w:rPr>
        <w:t xml:space="preserve">gion. The unexpected appearance of the style in another region is explained by migration or trade. The style is therefore used with confidence as an independent clue to the time and place of origin of a work of art.“ </w:t>
      </w:r>
      <w:r w:rsidRPr="00156980">
        <w:rPr>
          <w:szCs w:val="17"/>
        </w:rPr>
        <w:t>Vermutlich liegt es an dieser alltäglichen Bestätigung des Informationswerts von Stilen, dass Kunsthistoriker und Archäologen – die weit w</w:t>
      </w:r>
      <w:r w:rsidRPr="00156980">
        <w:rPr>
          <w:szCs w:val="17"/>
        </w:rPr>
        <w:t>e</w:t>
      </w:r>
      <w:r w:rsidRPr="00156980">
        <w:rPr>
          <w:szCs w:val="17"/>
        </w:rPr>
        <w:t>niger außerstilistische Information zur Verfügung haben und daher gelernt haben, sich auf Stile zu verlassen – nicht an der Existenz des Phänomens Stil zweifeln.</w:t>
      </w:r>
    </w:p>
    <w:p w:rsidR="00CC3558" w:rsidRPr="00156980" w:rsidRDefault="00CC3558" w:rsidP="00F461D9">
      <w:pPr>
        <w:pStyle w:val="Funotentext"/>
        <w:rPr>
          <w:szCs w:val="17"/>
        </w:rPr>
      </w:pPr>
      <w:r w:rsidRPr="00156980">
        <w:rPr>
          <w:szCs w:val="17"/>
        </w:rPr>
        <w:tab/>
        <w:t>Dagegen haben Literaturwissenschaftler</w:t>
      </w:r>
      <w:r w:rsidR="005D7996">
        <w:rPr>
          <w:szCs w:val="17"/>
        </w:rPr>
        <w:fldChar w:fldCharType="begin"/>
      </w:r>
      <w:r>
        <w:instrText xml:space="preserve"> XE "</w:instrText>
      </w:r>
      <w:r w:rsidRPr="00E24952">
        <w:instrText>Literaturwissenschaft</w:instrText>
      </w:r>
      <w:r>
        <w:instrText xml:space="preserve">" </w:instrText>
      </w:r>
      <w:r w:rsidR="005D7996">
        <w:rPr>
          <w:szCs w:val="17"/>
        </w:rPr>
        <w:fldChar w:fldCharType="end"/>
      </w:r>
      <w:r w:rsidRPr="00156980">
        <w:rPr>
          <w:szCs w:val="17"/>
        </w:rPr>
        <w:t xml:space="preserve"> Stil nicht immer als empirisch nachweisbares Phänomen erkannt. So geht Jürgen Trabant davon aus, dass Stile keine empirisch fes</w:t>
      </w:r>
      <w:r w:rsidRPr="00156980">
        <w:rPr>
          <w:szCs w:val="17"/>
        </w:rPr>
        <w:t>t</w:t>
      </w:r>
      <w:r w:rsidRPr="00156980">
        <w:rPr>
          <w:szCs w:val="17"/>
        </w:rPr>
        <w:t xml:space="preserve">stellbaren Konsequenzen haben (vgl. Fußnote </w:t>
      </w:r>
      <w:fldSimple w:instr=" NOTEREF _Ref271283526 \h  \* MERGEFORMAT ">
        <w:r w:rsidR="001231D3" w:rsidRPr="001231D3">
          <w:rPr>
            <w:szCs w:val="17"/>
          </w:rPr>
          <w:t>82</w:t>
        </w:r>
      </w:fldSimple>
      <w:r w:rsidRPr="00156980">
        <w:rPr>
          <w:szCs w:val="17"/>
        </w:rPr>
        <w:t>). Ein Blick in die Archäologie</w:t>
      </w:r>
      <w:r w:rsidR="005D7996">
        <w:rPr>
          <w:szCs w:val="17"/>
        </w:rPr>
        <w:fldChar w:fldCharType="begin"/>
      </w:r>
      <w:r>
        <w:instrText xml:space="preserve"> XE "</w:instrText>
      </w:r>
      <w:r w:rsidRPr="00E03B40">
        <w:rPr>
          <w:szCs w:val="17"/>
        </w:rPr>
        <w:instrText>Archäologie</w:instrText>
      </w:r>
      <w:r>
        <w:instrText xml:space="preserve">" </w:instrText>
      </w:r>
      <w:r w:rsidR="005D7996">
        <w:rPr>
          <w:szCs w:val="17"/>
        </w:rPr>
        <w:fldChar w:fldCharType="end"/>
      </w:r>
      <w:r w:rsidRPr="00156980">
        <w:rPr>
          <w:szCs w:val="17"/>
        </w:rPr>
        <w:t xml:space="preserve"> zeigt j</w:t>
      </w:r>
      <w:r w:rsidRPr="00156980">
        <w:rPr>
          <w:szCs w:val="17"/>
        </w:rPr>
        <w:t>e</w:t>
      </w:r>
      <w:r w:rsidRPr="00156980">
        <w:rPr>
          <w:szCs w:val="17"/>
        </w:rPr>
        <w:t>doch, dass Stil durchaus empirisch nachweisbar ist. Wird beispielsweise aufgrund stilist</w:t>
      </w:r>
      <w:r w:rsidRPr="00156980">
        <w:rPr>
          <w:szCs w:val="17"/>
        </w:rPr>
        <w:t>i</w:t>
      </w:r>
      <w:r w:rsidRPr="00156980">
        <w:rPr>
          <w:szCs w:val="17"/>
        </w:rPr>
        <w:t>scher Ähnlichkeiten postuliert, dass zwei Kulturen miteinander in Verbindung standen und am wahrscheinlichen Verbindungsweg nun mit einer Grabung eine Siedlung en</w:t>
      </w:r>
      <w:r w:rsidRPr="00156980">
        <w:rPr>
          <w:szCs w:val="17"/>
        </w:rPr>
        <w:t>t</w:t>
      </w:r>
      <w:r w:rsidRPr="00156980">
        <w:rPr>
          <w:szCs w:val="17"/>
        </w:rPr>
        <w:t>deckt, so kann dies als empirischer Nachweis der Informationshaltigkeit und damit auch der Existenz von Stil dienen.</w:t>
      </w:r>
    </w:p>
  </w:footnote>
  <w:footnote w:id="1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1283526 \h  \* MERGEFORMAT ">
        <w:r w:rsidR="001231D3" w:rsidRPr="001231D3">
          <w:rPr>
            <w:szCs w:val="17"/>
          </w:rPr>
          <w:t>82</w:t>
        </w:r>
      </w:fldSimple>
      <w:r w:rsidRPr="00156980">
        <w:rPr>
          <w:szCs w:val="17"/>
        </w:rPr>
        <w:t>.</w:t>
      </w:r>
    </w:p>
  </w:footnote>
  <w:footnote w:id="1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Natürlich könnten diejenigen, die Stil den Status als Phänomen absprechen wollen, diese Information auf andere Weise erklären. Sie müssten dann allerdings zeigen, worum es sich bei dieser Information handelt, erklären, warum das Phänomen, bei dem sie entsteht, gewöhnlich „Stil“ genannt wird, und darlegen, warum man es dann nicht auch weiterhin so nennen soll.</w:t>
      </w:r>
    </w:p>
  </w:footnote>
  <w:footnote w:id="1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Lerchner 1981 und 1984 (die mit weiteren Aufsätzen zum Stil abgedruckt sind in Lerchner 2002).</w:t>
      </w:r>
    </w:p>
  </w:footnote>
  <w:footnote w:id="1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Lerchner 2002: 88.</w:t>
      </w:r>
    </w:p>
  </w:footnote>
  <w:footnote w:id="1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Lerchner 2002: 108.</w:t>
      </w:r>
    </w:p>
  </w:footnote>
  <w:footnote w:id="2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Ackerman 1963: 164f.</w:t>
      </w:r>
    </w:p>
  </w:footnote>
  <w:footnote w:id="2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Thoma 1976: 138f.</w:t>
      </w:r>
    </w:p>
  </w:footnote>
  <w:footnote w:id="2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 xml:space="preserve">Ernest W.B. </w:t>
      </w:r>
      <w:r w:rsidRPr="00156980">
        <w:rPr>
          <w:szCs w:val="17"/>
        </w:rPr>
        <w:t>Hess-Lüttich (1980: 100f) kritisiert, dass die Bezeichnung „Sekundärinfo</w:t>
      </w:r>
      <w:r w:rsidRPr="00156980">
        <w:rPr>
          <w:szCs w:val="17"/>
        </w:rPr>
        <w:t>r</w:t>
      </w:r>
      <w:r w:rsidRPr="00156980">
        <w:rPr>
          <w:szCs w:val="17"/>
        </w:rPr>
        <w:t>mation</w:t>
      </w:r>
      <w:r w:rsidR="005D7996">
        <w:rPr>
          <w:szCs w:val="17"/>
        </w:rPr>
        <w:fldChar w:fldCharType="begin"/>
      </w:r>
      <w:r>
        <w:instrText xml:space="preserve"> XE "</w:instrText>
      </w:r>
      <w:r w:rsidRPr="003F7A5E">
        <w:rPr>
          <w:rFonts w:eastAsia="Times New Roman" w:cs="Times New Roman"/>
        </w:rPr>
        <w:instrText>Sekundärinformation</w:instrText>
      </w:r>
      <w:r>
        <w:instrText xml:space="preserve">" </w:instrText>
      </w:r>
      <w:r w:rsidR="005D7996">
        <w:rPr>
          <w:szCs w:val="17"/>
        </w:rPr>
        <w:fldChar w:fldCharType="end"/>
      </w:r>
      <w:r w:rsidRPr="00156980">
        <w:rPr>
          <w:szCs w:val="17"/>
        </w:rPr>
        <w:t xml:space="preserve">“ bei Thoma zwar suggestiv sei, aber nicht geklärt werde, wie diese Information in den Text kommt. Allerdings spricht Thoma immerhin davon, dass es sich um „indexikalische“ Information handelt (Thoma 1976: 138), was insofern richtig ist, als die durch Prinzipien der Auswahl (Merkmalsregeln) erzeugten Spuren auf jene Prinzipien verweisen, also eine Wirkung auf eine Ursache (vgl. Abschnitt </w:t>
      </w:r>
      <w:fldSimple w:instr=" REF _Ref271823807 \r \h  \* MERGEFORMAT ">
        <w:r w:rsidR="001231D3" w:rsidRPr="001231D3">
          <w:rPr>
            <w:szCs w:val="17"/>
          </w:rPr>
          <w:t>5.6</w:t>
        </w:r>
      </w:fldSimple>
      <w:r w:rsidRPr="00156980">
        <w:rPr>
          <w:szCs w:val="17"/>
        </w:rPr>
        <w:t>). Dies müsste alle</w:t>
      </w:r>
      <w:r w:rsidRPr="00156980">
        <w:rPr>
          <w:szCs w:val="17"/>
        </w:rPr>
        <w:t>r</w:t>
      </w:r>
      <w:r w:rsidRPr="00156980">
        <w:rPr>
          <w:szCs w:val="17"/>
        </w:rPr>
        <w:t>dings genauer expliziert werden, als es bei Thoma geschieht.</w:t>
      </w:r>
    </w:p>
  </w:footnote>
  <w:footnote w:id="2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Fix 1988: 335.</w:t>
      </w:r>
    </w:p>
  </w:footnote>
  <w:footnote w:id="2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Tenenbaum u.a. 2000 und Freeman u.a. 2003.</w:t>
      </w:r>
    </w:p>
  </w:footnote>
  <w:footnote w:id="2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Mit bilinearen Modellen lassen sich Zusammenhänge zwischen Eigenschaften als Su</w:t>
      </w:r>
      <w:r w:rsidRPr="00156980">
        <w:rPr>
          <w:szCs w:val="17"/>
        </w:rPr>
        <w:t>m</w:t>
      </w:r>
      <w:r w:rsidRPr="00156980">
        <w:rPr>
          <w:szCs w:val="17"/>
        </w:rPr>
        <w:t>men von Produkten ausdrücken; vgl. Wille 1991 sowie einführend Zwisler 1997.</w:t>
      </w:r>
    </w:p>
  </w:footnote>
  <w:footnote w:id="2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Tenenbaum u.a. 2000: 1249.</w:t>
      </w:r>
    </w:p>
  </w:footnote>
  <w:footnote w:id="2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Freeman u.a. 2003.</w:t>
      </w:r>
    </w:p>
  </w:footnote>
  <w:footnote w:id="2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8631694 \h  \* MERGEFORMAT ">
        <w:r w:rsidR="001231D3" w:rsidRPr="001231D3">
          <w:rPr>
            <w:szCs w:val="17"/>
          </w:rPr>
          <w:t>194</w:t>
        </w:r>
      </w:fldSimple>
      <w:r w:rsidRPr="00156980">
        <w:rPr>
          <w:szCs w:val="17"/>
        </w:rPr>
        <w:t>.</w:t>
      </w:r>
    </w:p>
  </w:footnote>
  <w:footnote w:id="2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8631735 \h  \* MERGEFORMAT ">
        <w:r w:rsidR="001231D3" w:rsidRPr="001231D3">
          <w:rPr>
            <w:szCs w:val="17"/>
          </w:rPr>
          <w:t>651</w:t>
        </w:r>
      </w:fldSimple>
      <w:r w:rsidRPr="00156980">
        <w:rPr>
          <w:szCs w:val="17"/>
        </w:rPr>
        <w:t>.</w:t>
      </w:r>
    </w:p>
  </w:footnote>
  <w:footnote w:id="2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Abschnitte </w:t>
      </w:r>
      <w:fldSimple w:instr=" REF _Ref253664986 \r \h  \* MERGEFORMAT ">
        <w:r w:rsidR="001231D3" w:rsidRPr="001231D3">
          <w:rPr>
            <w:szCs w:val="17"/>
          </w:rPr>
          <w:t>8.2.4</w:t>
        </w:r>
      </w:fldSimple>
      <w:r w:rsidRPr="00156980">
        <w:rPr>
          <w:szCs w:val="17"/>
        </w:rPr>
        <w:t xml:space="preserve"> und </w:t>
      </w:r>
      <w:fldSimple w:instr=" REF _Ref264885213 \r \h  \* MERGEFORMAT ">
        <w:r w:rsidR="001231D3" w:rsidRPr="001231D3">
          <w:rPr>
            <w:szCs w:val="17"/>
          </w:rPr>
          <w:t>8.4.1</w:t>
        </w:r>
      </w:fldSimple>
      <w:r w:rsidRPr="00156980">
        <w:rPr>
          <w:szCs w:val="17"/>
        </w:rPr>
        <w:t>.</w:t>
      </w:r>
    </w:p>
  </w:footnote>
  <w:footnote w:id="2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einführend Enkvist 1973: 98ff, Spillner 1974a: 31ff und Fix 2009. Beispiele mit oft unterschiedlichen Auffassungen von „Norm“ sind Sayce 1953, Saporta 1960, Wimsatt 1967, Guiraud 1970 und Carstensen 1970. (Vgl. auch nächste Fußnote.)</w:t>
      </w:r>
    </w:p>
  </w:footnote>
  <w:footnote w:id="2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Generative Ansätze finden sich bei Levin 1963 und 1971, Ohmann 1959 und 1964, Thorne 1965 und 1970, Bierwisch 1965, Revzin 1970 und Bezzel 1970.</w:t>
      </w:r>
    </w:p>
  </w:footnote>
  <w:footnote w:id="2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Steube 1968.</w:t>
      </w:r>
    </w:p>
  </w:footnote>
  <w:footnote w:id="2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 Abraham 1971 und W. Abraham u.a. 1971.</w:t>
      </w:r>
    </w:p>
  </w:footnote>
  <w:footnote w:id="2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 Abraham u.a. 1971: 40.</w:t>
      </w:r>
    </w:p>
  </w:footnote>
  <w:footnote w:id="2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Wenn man nur in Kriterien von Norm und Abweichung denkt, ist schwer erklärbar, warum eine bestimmte Abweichung eine bestimmte stilistische Bedeutung</w:t>
      </w:r>
      <w:r w:rsidR="005D7996">
        <w:rPr>
          <w:rFonts w:eastAsia="Times New Roman" w:cs="Times New Roman"/>
          <w:szCs w:val="17"/>
        </w:rPr>
        <w:fldChar w:fldCharType="begin"/>
      </w:r>
      <w:r>
        <w:instrText xml:space="preserve"> XE "</w:instrText>
      </w:r>
      <w:r w:rsidRPr="00085C14">
        <w:instrText>Bedeutung</w:instrText>
      </w:r>
      <w:r>
        <w:instrText xml:space="preserve">" </w:instrText>
      </w:r>
      <w:r w:rsidR="005D7996">
        <w:rPr>
          <w:rFonts w:eastAsia="Times New Roman" w:cs="Times New Roman"/>
          <w:szCs w:val="17"/>
        </w:rPr>
        <w:fldChar w:fldCharType="end"/>
      </w:r>
      <w:r w:rsidRPr="00156980">
        <w:rPr>
          <w:rFonts w:eastAsia="Times New Roman" w:cs="Times New Roman"/>
          <w:szCs w:val="17"/>
        </w:rPr>
        <w:t xml:space="preserve"> erzielen sollte; akzeptiert man, dass es dafür eben doch auf die gewählte Ausführungsweise ankommt, landet man beim Ansatz „Stil als Auswahl“ (</w:t>
      </w:r>
      <w:r>
        <w:rPr>
          <w:rFonts w:eastAsia="Times New Roman" w:cs="Times New Roman"/>
          <w:szCs w:val="17"/>
        </w:rPr>
        <w:t xml:space="preserve">vgl. Abschnitt </w:t>
      </w:r>
      <w:fldSimple w:instr=" REF _Ref267684998 \r \h  \* MERGEFORMAT ">
        <w:r w:rsidR="001231D3" w:rsidRPr="001231D3">
          <w:rPr>
            <w:rFonts w:eastAsia="Times New Roman" w:cs="Times New Roman"/>
            <w:szCs w:val="17"/>
          </w:rPr>
          <w:t>3.1</w:t>
        </w:r>
      </w:fldSimple>
      <w:r w:rsidRPr="00156980">
        <w:rPr>
          <w:rFonts w:eastAsia="Times New Roman" w:cs="Times New Roman"/>
          <w:szCs w:val="17"/>
        </w:rPr>
        <w:t>), für den Normbefolgung und Normbruch nur spezielle Auswahlprinzipien sind.</w:t>
      </w:r>
    </w:p>
  </w:footnote>
  <w:footnote w:id="2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von Wilpert 1989: 188 und Lausberg 1971: 42, siehe auch Spillner 1974a: 34.</w:t>
      </w:r>
    </w:p>
  </w:footnote>
  <w:footnote w:id="2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Enkvist 1973.</w:t>
      </w:r>
    </w:p>
  </w:footnote>
  <w:footnote w:id="2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Enkvist 1964: 31ff.</w:t>
      </w:r>
    </w:p>
  </w:footnote>
  <w:footnote w:id="2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Sandig 1978: 50.</w:t>
      </w:r>
    </w:p>
  </w:footnote>
  <w:footnote w:id="2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Sandig 1978: 36</w:t>
      </w:r>
      <w:r>
        <w:rPr>
          <w:szCs w:val="17"/>
        </w:rPr>
        <w:t>,</w:t>
      </w:r>
      <w:r w:rsidRPr="00156980">
        <w:rPr>
          <w:szCs w:val="17"/>
        </w:rPr>
        <w:t xml:space="preserve"> 38.</w:t>
      </w:r>
    </w:p>
  </w:footnote>
  <w:footnote w:id="2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Püschel 1985.</w:t>
      </w:r>
    </w:p>
  </w:footnote>
  <w:footnote w:id="22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Winter 1964.</w:t>
      </w:r>
    </w:p>
  </w:footnote>
  <w:footnote w:id="2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2306236 \h  \* MERGEFORMAT ">
        <w:r w:rsidR="001231D3" w:rsidRPr="001231D3">
          <w:rPr>
            <w:szCs w:val="17"/>
          </w:rPr>
          <w:t>329</w:t>
        </w:r>
      </w:fldSimple>
      <w:r w:rsidRPr="00156980">
        <w:rPr>
          <w:szCs w:val="17"/>
        </w:rPr>
        <w:t>.</w:t>
      </w:r>
    </w:p>
  </w:footnote>
  <w:footnote w:id="2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So fasst etwa der Übersichtsartikel des HSK-Handbuchs (vgl. Fußnote </w:t>
      </w:r>
      <w:fldSimple w:instr=" NOTEREF _Ref266616201 \h  \* MERGEFORMAT ">
        <w:r w:rsidR="001231D3" w:rsidRPr="001231D3">
          <w:rPr>
            <w:szCs w:val="17"/>
          </w:rPr>
          <w:t>555</w:t>
        </w:r>
      </w:fldSimple>
      <w:r w:rsidRPr="00156980">
        <w:rPr>
          <w:szCs w:val="17"/>
        </w:rPr>
        <w:t>) beide Ansä</w:t>
      </w:r>
      <w:r w:rsidRPr="00156980">
        <w:rPr>
          <w:szCs w:val="17"/>
        </w:rPr>
        <w:t>t</w:t>
      </w:r>
      <w:r w:rsidRPr="00156980">
        <w:rPr>
          <w:szCs w:val="17"/>
        </w:rPr>
        <w:t>ze zusammen (Fix 2009).</w:t>
      </w:r>
    </w:p>
  </w:footnote>
  <w:footnote w:id="2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Etwa Dittgen 1989 und Fix 2007.</w:t>
      </w:r>
    </w:p>
  </w:footnote>
  <w:footnote w:id="2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Todorov 1970: 226.</w:t>
      </w:r>
    </w:p>
  </w:footnote>
  <w:footnote w:id="2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Er bezieht sich damit auf die Auffassung von Stilen als jenen Merkmalen, die den Z</w:t>
      </w:r>
      <w:r w:rsidRPr="00156980">
        <w:rPr>
          <w:szCs w:val="17"/>
        </w:rPr>
        <w:t>u</w:t>
      </w:r>
      <w:r w:rsidRPr="00156980">
        <w:rPr>
          <w:szCs w:val="17"/>
        </w:rPr>
        <w:t>sammenhang eines Texts oberhalb der Satzebene garantieren; sie findet sich in der „wer</w:t>
      </w:r>
      <w:r w:rsidRPr="00156980">
        <w:rPr>
          <w:szCs w:val="17"/>
        </w:rPr>
        <w:t>k</w:t>
      </w:r>
      <w:r w:rsidRPr="00156980">
        <w:rPr>
          <w:szCs w:val="17"/>
        </w:rPr>
        <w:t>immanenten Interpretation“ (z.B. Kayser 1948) und im „New Criticism“ (z.B. Cleanth Brooks 1947) sowie in der zeitgleich in Russland dominierenden Linguistik</w:t>
      </w:r>
      <w:r w:rsidR="005D7996">
        <w:rPr>
          <w:szCs w:val="17"/>
        </w:rPr>
        <w:fldChar w:fldCharType="begin"/>
      </w:r>
      <w:r>
        <w:instrText xml:space="preserve"> XE "</w:instrText>
      </w:r>
      <w:r w:rsidRPr="00797C83">
        <w:rPr>
          <w:rFonts w:eastAsia="Times New Roman" w:cs="Times New Roman"/>
        </w:rPr>
        <w:instrText>Linguistik</w:instrText>
      </w:r>
      <w:r>
        <w:instrText xml:space="preserve">" </w:instrText>
      </w:r>
      <w:r w:rsidR="005D7996">
        <w:rPr>
          <w:szCs w:val="17"/>
        </w:rPr>
        <w:fldChar w:fldCharType="end"/>
      </w:r>
      <w:r w:rsidRPr="00156980">
        <w:rPr>
          <w:szCs w:val="17"/>
        </w:rPr>
        <w:t xml:space="preserve"> (z.B. Vinogradov 1963).</w:t>
      </w:r>
    </w:p>
  </w:footnote>
  <w:footnote w:id="2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Lotman</w:t>
      </w:r>
      <w:r w:rsidR="005D7996">
        <w:rPr>
          <w:szCs w:val="17"/>
        </w:rPr>
        <w:fldChar w:fldCharType="begin"/>
      </w:r>
      <w:r>
        <w:instrText xml:space="preserve"> XE "</w:instrText>
      </w:r>
      <w:r w:rsidRPr="00BC6A93">
        <w:rPr>
          <w:rFonts w:eastAsia="Times New Roman" w:cs="Times New Roman"/>
        </w:rPr>
        <w:instrText>Lotman, Juri Michailowitsch</w:instrText>
      </w:r>
      <w:r>
        <w:instrText xml:space="preserve">" </w:instrText>
      </w:r>
      <w:r w:rsidR="005D7996">
        <w:rPr>
          <w:szCs w:val="17"/>
        </w:rPr>
        <w:fldChar w:fldCharType="end"/>
      </w:r>
      <w:r w:rsidRPr="00156980">
        <w:rPr>
          <w:szCs w:val="17"/>
        </w:rPr>
        <w:t xml:space="preserve"> 1972: 39f, Bourdieu</w:t>
      </w:r>
      <w:r w:rsidR="005D7996">
        <w:rPr>
          <w:szCs w:val="17"/>
        </w:rPr>
        <w:fldChar w:fldCharType="begin"/>
      </w:r>
      <w:r>
        <w:instrText xml:space="preserve"> XE "</w:instrText>
      </w:r>
      <w:r w:rsidRPr="007E2E01">
        <w:rPr>
          <w:rFonts w:eastAsia="Times New Roman" w:cs="Times New Roman"/>
        </w:rPr>
        <w:instrText>Bourdieu, Pierre</w:instrText>
      </w:r>
      <w:r>
        <w:instrText xml:space="preserve">" </w:instrText>
      </w:r>
      <w:r w:rsidR="005D7996">
        <w:rPr>
          <w:szCs w:val="17"/>
        </w:rPr>
        <w:fldChar w:fldCharType="end"/>
      </w:r>
      <w:r w:rsidRPr="00156980">
        <w:rPr>
          <w:szCs w:val="17"/>
        </w:rPr>
        <w:t xml:space="preserve"> 1976: 203ff und Bourdieu 1992.</w:t>
      </w:r>
    </w:p>
  </w:footnote>
  <w:footnote w:id="2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Sandig 1978, 1986 und 2006. Einen Überblick geben Püschel 2008 und Sandig 2009, im Kontext anderer pragmatischer Stilauffassungen wird der Ansatz diskutiert in M. Hof</w:t>
      </w:r>
      <w:r w:rsidRPr="00156980">
        <w:rPr>
          <w:rFonts w:eastAsia="Times New Roman" w:cs="Times New Roman"/>
          <w:szCs w:val="17"/>
        </w:rPr>
        <w:t>f</w:t>
      </w:r>
      <w:r w:rsidRPr="00156980">
        <w:rPr>
          <w:rFonts w:eastAsia="Times New Roman" w:cs="Times New Roman"/>
          <w:szCs w:val="17"/>
        </w:rPr>
        <w:t>mann 1988: 322ff.</w:t>
      </w:r>
    </w:p>
  </w:footnote>
  <w:footnote w:id="2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eastAsia="Times New Roman" w:cs="Times New Roman"/>
          <w:szCs w:val="17"/>
        </w:rPr>
        <w:t>Sandig 1978: 94f.</w:t>
      </w:r>
    </w:p>
  </w:footnote>
  <w:footnote w:id="2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bräuchte man für den Stil des Schriftstellers Bret Easton Ellis bereits eine Reihe z</w:t>
      </w:r>
      <w:r w:rsidRPr="00156980">
        <w:rPr>
          <w:szCs w:val="17"/>
        </w:rPr>
        <w:t>u</w:t>
      </w:r>
      <w:r w:rsidRPr="00156980">
        <w:rPr>
          <w:szCs w:val="17"/>
        </w:rPr>
        <w:t xml:space="preserve">sätzlicher und teils sehr spezieller Handlungsmuster; vgl. Abschnitt </w:t>
      </w:r>
      <w:fldSimple w:instr=" REF _Ref256495850 \r \h  \* MERGEFORMAT ">
        <w:r w:rsidR="001231D3" w:rsidRPr="001231D3">
          <w:rPr>
            <w:szCs w:val="17"/>
          </w:rPr>
          <w:t>7.1.2</w:t>
        </w:r>
      </w:fldSimple>
      <w:r w:rsidRPr="00156980">
        <w:rPr>
          <w:szCs w:val="17"/>
        </w:rPr>
        <w:t>.</w:t>
      </w:r>
    </w:p>
  </w:footnote>
  <w:footnote w:id="2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Ohmann 1971: 218.</w:t>
      </w:r>
    </w:p>
  </w:footnote>
  <w:footnote w:id="2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Sandig 1978: 12.</w:t>
      </w:r>
    </w:p>
  </w:footnote>
  <w:footnote w:id="2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Beides würde im hier vorgestellten Modell durch die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simuliert; vgl. Abschnitt </w:t>
      </w:r>
      <w:fldSimple w:instr=" REF _Ref211841829 \r \h  \* MERGEFORMAT ">
        <w:r w:rsidR="001231D3" w:rsidRPr="001231D3">
          <w:rPr>
            <w:szCs w:val="17"/>
          </w:rPr>
          <w:t>4.3.1</w:t>
        </w:r>
      </w:fldSimple>
      <w:r w:rsidRPr="00156980">
        <w:rPr>
          <w:szCs w:val="17"/>
        </w:rPr>
        <w:t>, (2).</w:t>
      </w:r>
    </w:p>
  </w:footnote>
  <w:footnote w:id="2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Beschreibung mit Hilfe von Schemata umfasst beide Regeltypen; die konstitutiven Regeln</w:t>
      </w:r>
      <w:r w:rsidR="005D7996">
        <w:rPr>
          <w:szCs w:val="17"/>
        </w:rPr>
        <w:fldChar w:fldCharType="begin"/>
      </w:r>
      <w:r>
        <w:instrText xml:space="preserve"> XE "</w:instrText>
      </w:r>
      <w:r w:rsidRPr="009A0B8D">
        <w:rPr>
          <w:szCs w:val="17"/>
        </w:rPr>
        <w:instrText>konstitutive Regeln</w:instrText>
      </w:r>
      <w:r>
        <w:instrText xml:space="preserve">" </w:instrText>
      </w:r>
      <w:r w:rsidR="005D7996">
        <w:rPr>
          <w:szCs w:val="17"/>
        </w:rPr>
        <w:fldChar w:fldCharType="end"/>
      </w:r>
      <w:r w:rsidRPr="00156980">
        <w:rPr>
          <w:szCs w:val="17"/>
        </w:rPr>
        <w:t xml:space="preserve"> spezifizieren, was überhaupt als korrekte Ausführung des Schemas gilt; regulative Regeln</w:t>
      </w:r>
      <w:r w:rsidR="005D7996">
        <w:rPr>
          <w:szCs w:val="17"/>
        </w:rPr>
        <w:fldChar w:fldCharType="begin"/>
      </w:r>
      <w:r>
        <w:instrText xml:space="preserve"> XE "</w:instrText>
      </w:r>
      <w:r w:rsidRPr="005542D9">
        <w:rPr>
          <w:szCs w:val="17"/>
        </w:rPr>
        <w:instrText>regulative Regeln</w:instrText>
      </w:r>
      <w:r>
        <w:instrText xml:space="preserve">" </w:instrText>
      </w:r>
      <w:r w:rsidR="005D7996">
        <w:rPr>
          <w:szCs w:val="17"/>
        </w:rPr>
        <w:fldChar w:fldCharType="end"/>
      </w:r>
      <w:r w:rsidRPr="00156980">
        <w:rPr>
          <w:szCs w:val="17"/>
        </w:rPr>
        <w:t xml:space="preserve"> wie die Schlag</w:t>
      </w:r>
      <w:r>
        <w:rPr>
          <w:szCs w:val="17"/>
        </w:rPr>
        <w:t>arten</w:t>
      </w:r>
      <w:r w:rsidR="005D7996">
        <w:rPr>
          <w:szCs w:val="17"/>
        </w:rPr>
        <w:fldChar w:fldCharType="begin"/>
      </w:r>
      <w:r>
        <w:instrText xml:space="preserve"> XE "</w:instrText>
      </w:r>
      <w:r w:rsidRPr="00CE7D37">
        <w:rPr>
          <w:rFonts w:eastAsia="Times New Roman" w:cs="Times New Roman"/>
        </w:rPr>
        <w:instrText>Schlagart (Tennis, Badminton)</w:instrText>
      </w:r>
      <w:r>
        <w:instrText xml:space="preserve">" </w:instrText>
      </w:r>
      <w:r w:rsidR="005D7996">
        <w:rPr>
          <w:szCs w:val="17"/>
        </w:rPr>
        <w:fldChar w:fldCharType="end"/>
      </w:r>
      <w:r w:rsidRPr="00156980">
        <w:rPr>
          <w:szCs w:val="17"/>
        </w:rPr>
        <w:t xml:space="preserve"> beim Tennis</w:t>
      </w:r>
      <w:r w:rsidR="005D7996">
        <w:rPr>
          <w:szCs w:val="17"/>
        </w:rPr>
        <w:fldChar w:fldCharType="begin"/>
      </w:r>
      <w:r>
        <w:instrText xml:space="preserve"> XE "</w:instrText>
      </w:r>
      <w:r w:rsidRPr="00B67F84">
        <w:rPr>
          <w:rFonts w:eastAsia="Times New Roman" w:cs="Times New Roman"/>
        </w:rPr>
        <w:instrText>Tennis</w:instrText>
      </w:r>
      <w:r>
        <w:instrText xml:space="preserve">" </w:instrText>
      </w:r>
      <w:r w:rsidR="005D7996">
        <w:rPr>
          <w:szCs w:val="17"/>
        </w:rPr>
        <w:fldChar w:fldCharType="end"/>
      </w:r>
      <w:r w:rsidRPr="00156980">
        <w:rPr>
          <w:szCs w:val="17"/>
        </w:rPr>
        <w:t>, bestimmte Eröffnungsweisen beim Schach</w:t>
      </w:r>
      <w:r w:rsidR="005D7996">
        <w:rPr>
          <w:szCs w:val="17"/>
        </w:rPr>
        <w:fldChar w:fldCharType="begin"/>
      </w:r>
      <w:r>
        <w:instrText xml:space="preserve"> XE "</w:instrText>
      </w:r>
      <w:r w:rsidRPr="001A402B">
        <w:rPr>
          <w:szCs w:val="17"/>
        </w:rPr>
        <w:instrText>Schach</w:instrText>
      </w:r>
      <w:r>
        <w:instrText xml:space="preserve">" </w:instrText>
      </w:r>
      <w:r w:rsidR="005D7996">
        <w:rPr>
          <w:szCs w:val="17"/>
        </w:rPr>
        <w:fldChar w:fldCharType="end"/>
      </w:r>
      <w:r w:rsidRPr="00156980">
        <w:rPr>
          <w:szCs w:val="17"/>
        </w:rPr>
        <w:t xml:space="preserve"> usw. können meist als Schemaorte</w:t>
      </w:r>
      <w:r>
        <w:rPr>
          <w:szCs w:val="17"/>
        </w:rPr>
        <w:t xml:space="preserve"> beschrieben</w:t>
      </w:r>
      <w:r w:rsidRPr="00156980">
        <w:rPr>
          <w:szCs w:val="17"/>
        </w:rPr>
        <w:t xml:space="preserve"> werden (vgl. Abschnitt </w:t>
      </w:r>
      <w:fldSimple w:instr=" REF _Ref212130496 \r \h  \* MERGEFORMAT ">
        <w:r w:rsidR="001231D3" w:rsidRPr="001231D3">
          <w:rPr>
            <w:szCs w:val="17"/>
          </w:rPr>
          <w:t>4.2</w:t>
        </w:r>
      </w:fldSimple>
      <w:r w:rsidRPr="00156980">
        <w:rPr>
          <w:szCs w:val="17"/>
        </w:rPr>
        <w:t>).</w:t>
      </w:r>
    </w:p>
  </w:footnote>
  <w:footnote w:id="237">
    <w:p w:rsidR="00CC3558" w:rsidRPr="00156980" w:rsidRDefault="00CC3558" w:rsidP="00F461D9">
      <w:pPr>
        <w:pStyle w:val="Funotentext"/>
        <w:ind w:left="851" w:hanging="851"/>
        <w:rPr>
          <w:szCs w:val="17"/>
        </w:rPr>
      </w:pPr>
      <w:r w:rsidRPr="00156980">
        <w:rPr>
          <w:rStyle w:val="Funotenzeichen"/>
          <w:szCs w:val="17"/>
        </w:rPr>
        <w:footnoteRef/>
      </w:r>
      <w:r w:rsidRPr="00156980">
        <w:rPr>
          <w:szCs w:val="17"/>
        </w:rPr>
        <w:t xml:space="preserve"> </w:t>
      </w:r>
      <w:r w:rsidRPr="00156980">
        <w:rPr>
          <w:szCs w:val="17"/>
        </w:rPr>
        <w:tab/>
        <w:t>Meyer 1989: 3; mit kleinen Änderungen auch in Meyer 1987: 21ff.</w:t>
      </w:r>
    </w:p>
  </w:footnote>
  <w:footnote w:id="2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Abfolge von Auswahlvorgängen bei der Erzeugung einer Realisierung (Abschnitt </w:t>
      </w:r>
      <w:fldSimple w:instr=" REF _Ref212110965 \r \h  \* MERGEFORMAT ">
        <w:r w:rsidR="001231D3" w:rsidRPr="001231D3">
          <w:rPr>
            <w:szCs w:val="17"/>
          </w:rPr>
          <w:t>5.2.2</w:t>
        </w:r>
      </w:fldSimple>
      <w:r w:rsidRPr="00156980">
        <w:rPr>
          <w:szCs w:val="17"/>
        </w:rPr>
        <w:t>): Auf Schritt 3, die stilistische Auswahl, folgt in Schritt 4 ein abschließender Au</w:t>
      </w:r>
      <w:r w:rsidRPr="00156980">
        <w:rPr>
          <w:szCs w:val="17"/>
        </w:rPr>
        <w:t>s</w:t>
      </w:r>
      <w:r w:rsidRPr="00156980">
        <w:rPr>
          <w:szCs w:val="17"/>
        </w:rPr>
        <w:t>wahlvorgang, worin aus den verbleibenden Varianten, die die stilistisch verlangten Eige</w:t>
      </w:r>
      <w:r w:rsidRPr="00156980">
        <w:rPr>
          <w:szCs w:val="17"/>
        </w:rPr>
        <w:t>n</w:t>
      </w:r>
      <w:r w:rsidRPr="00156980">
        <w:rPr>
          <w:szCs w:val="17"/>
        </w:rPr>
        <w:t>schaften besitzen, eine ausgewählt wird.</w:t>
      </w:r>
    </w:p>
  </w:footnote>
  <w:footnote w:id="2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7425607 \h  \* MERGEFORMAT ">
        <w:r w:rsidR="001231D3" w:rsidRPr="001231D3">
          <w:rPr>
            <w:szCs w:val="17"/>
          </w:rPr>
          <w:t>77</w:t>
        </w:r>
      </w:fldSimple>
      <w:r w:rsidRPr="00156980">
        <w:rPr>
          <w:szCs w:val="17"/>
        </w:rPr>
        <w:t>.</w:t>
      </w:r>
    </w:p>
  </w:footnote>
  <w:footnote w:id="2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Meyer 1987: 23.</w:t>
      </w:r>
    </w:p>
  </w:footnote>
  <w:footnote w:id="2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Jakobson u.a. 1962 und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1966.</w:t>
      </w:r>
      <w:r>
        <w:rPr>
          <w:szCs w:val="17"/>
        </w:rPr>
        <w:t xml:space="preserve"> Ein allgemeinerer Ansatz zur strukturalist</w:t>
      </w:r>
      <w:r>
        <w:rPr>
          <w:szCs w:val="17"/>
        </w:rPr>
        <w:t>i</w:t>
      </w:r>
      <w:r>
        <w:rPr>
          <w:szCs w:val="17"/>
        </w:rPr>
        <w:t>schen Textanalyse ist Titzmann 1977.</w:t>
      </w:r>
    </w:p>
  </w:footnote>
  <w:footnote w:id="2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1972, 1980c, 1982 und 1984.</w:t>
      </w:r>
    </w:p>
  </w:footnote>
  <w:footnote w:id="2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Bereits im Jahr 1884 führte Mikolaj Kruszewski, ein Mitglied des linguistischen Kreises von Kazan, den Prozess der Texterzeugung auf Ähnlichkeits- und Kontiguitätsrelationen zurück; vgl. Georg F. Meier im Vorwort zu Jakobson u.a. 1956 sowie Posner 1972: 238, Fußnote 25 (= Posner 1982: 155, Fußnote 16).</w:t>
      </w:r>
    </w:p>
  </w:footnote>
  <w:footnote w:id="2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Jakobson u.a. 1956: 58ff und Jakobson 1960: 358.</w:t>
      </w:r>
    </w:p>
  </w:footnote>
  <w:footnote w:id="2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hierfür verwendete Bezeichnung „Prinzip der Kontiguität“ entstand aus der Auffa</w:t>
      </w:r>
      <w:r w:rsidRPr="00156980">
        <w:rPr>
          <w:szCs w:val="17"/>
        </w:rPr>
        <w:t>s</w:t>
      </w:r>
      <w:r w:rsidRPr="00156980">
        <w:rPr>
          <w:szCs w:val="17"/>
        </w:rPr>
        <w:t>sung der strukturalistischen Linguistik</w:t>
      </w:r>
      <w:r w:rsidR="005D7996">
        <w:rPr>
          <w:szCs w:val="17"/>
        </w:rPr>
        <w:fldChar w:fldCharType="begin"/>
      </w:r>
      <w:r>
        <w:instrText xml:space="preserve"> XE "</w:instrText>
      </w:r>
      <w:r w:rsidRPr="00797C83">
        <w:rPr>
          <w:rFonts w:eastAsia="Times New Roman" w:cs="Times New Roman"/>
        </w:rPr>
        <w:instrText>Linguistik</w:instrText>
      </w:r>
      <w:r>
        <w:instrText xml:space="preserve">" </w:instrText>
      </w:r>
      <w:r w:rsidR="005D7996">
        <w:rPr>
          <w:szCs w:val="17"/>
        </w:rPr>
        <w:fldChar w:fldCharType="end"/>
      </w:r>
      <w:r w:rsidRPr="00156980">
        <w:rPr>
          <w:szCs w:val="17"/>
        </w:rPr>
        <w:t>, syntaktische Relationen könnten über die Mö</w:t>
      </w:r>
      <w:r w:rsidRPr="00156980">
        <w:rPr>
          <w:szCs w:val="17"/>
        </w:rPr>
        <w:t>g</w:t>
      </w:r>
      <w:r w:rsidRPr="00156980">
        <w:rPr>
          <w:szCs w:val="17"/>
        </w:rPr>
        <w:t>lichkeit des gemeinsamen Auftretens (Kollokation</w:t>
      </w:r>
      <w:r w:rsidR="005D7996">
        <w:rPr>
          <w:szCs w:val="17"/>
        </w:rPr>
        <w:fldChar w:fldCharType="begin"/>
      </w:r>
      <w:r>
        <w:instrText xml:space="preserve"> XE "</w:instrText>
      </w:r>
      <w:r w:rsidRPr="00300C00">
        <w:rPr>
          <w:szCs w:val="17"/>
        </w:rPr>
        <w:instrText>Kollokation</w:instrText>
      </w:r>
      <w:r>
        <w:instrText xml:space="preserve">" </w:instrText>
      </w:r>
      <w:r w:rsidR="005D7996">
        <w:rPr>
          <w:szCs w:val="17"/>
        </w:rPr>
        <w:fldChar w:fldCharType="end"/>
      </w:r>
      <w:r w:rsidRPr="00156980">
        <w:rPr>
          <w:szCs w:val="17"/>
        </w:rPr>
        <w:t>), die durch die Ersetzungsprobe</w:t>
      </w:r>
      <w:r w:rsidR="005D7996">
        <w:rPr>
          <w:szCs w:val="17"/>
        </w:rPr>
        <w:fldChar w:fldCharType="begin"/>
      </w:r>
      <w:r>
        <w:instrText xml:space="preserve"> XE "</w:instrText>
      </w:r>
      <w:r w:rsidRPr="007F490C">
        <w:rPr>
          <w:szCs w:val="17"/>
        </w:rPr>
        <w:instrText>Ersetzungsprobe</w:instrText>
      </w:r>
      <w:r>
        <w:instrText xml:space="preserve">" </w:instrText>
      </w:r>
      <w:r w:rsidR="005D7996">
        <w:rPr>
          <w:szCs w:val="17"/>
        </w:rPr>
        <w:fldChar w:fldCharType="end"/>
      </w:r>
      <w:r w:rsidRPr="00156980">
        <w:rPr>
          <w:szCs w:val="17"/>
        </w:rPr>
        <w:t xml:space="preserve"> fes</w:t>
      </w:r>
      <w:r w:rsidRPr="00156980">
        <w:rPr>
          <w:szCs w:val="17"/>
        </w:rPr>
        <w:t>t</w:t>
      </w:r>
      <w:r w:rsidRPr="00156980">
        <w:rPr>
          <w:szCs w:val="17"/>
        </w:rPr>
        <w:t>gestellt wird, beschrieben werden. Seit Chomskys</w:t>
      </w:r>
      <w:r w:rsidR="005D7996">
        <w:rPr>
          <w:szCs w:val="17"/>
        </w:rPr>
        <w:fldChar w:fldCharType="begin"/>
      </w:r>
      <w:r>
        <w:instrText xml:space="preserve"> XE "</w:instrText>
      </w:r>
      <w:r w:rsidRPr="00116D6A">
        <w:rPr>
          <w:szCs w:val="17"/>
        </w:rPr>
        <w:instrText>Chomsky, Noam</w:instrText>
      </w:r>
      <w:r>
        <w:instrText xml:space="preserve">" </w:instrText>
      </w:r>
      <w:r w:rsidR="005D7996">
        <w:rPr>
          <w:szCs w:val="17"/>
        </w:rPr>
        <w:fldChar w:fldCharType="end"/>
      </w:r>
      <w:r w:rsidRPr="00156980">
        <w:rPr>
          <w:szCs w:val="17"/>
        </w:rPr>
        <w:t xml:space="preserve"> Einführung der generativen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xml:space="preserve"> (Chomsky 1957) ist jedoch klar, dass von Kombinationsregeln</w:t>
      </w:r>
      <w:r w:rsidR="005D7996">
        <w:rPr>
          <w:szCs w:val="17"/>
        </w:rPr>
        <w:fldChar w:fldCharType="begin"/>
      </w:r>
      <w:r>
        <w:instrText xml:space="preserve"> XE "</w:instrText>
      </w:r>
      <w:r w:rsidRPr="00197230">
        <w:rPr>
          <w:rFonts w:eastAsia="Times New Roman" w:cs="Times New Roman"/>
        </w:rPr>
        <w:instrText>Kombinationsregeln</w:instrText>
      </w:r>
      <w:r>
        <w:instrText xml:space="preserve">" </w:instrText>
      </w:r>
      <w:r w:rsidR="005D7996">
        <w:rPr>
          <w:szCs w:val="17"/>
        </w:rPr>
        <w:fldChar w:fldCharType="end"/>
      </w:r>
      <w:r w:rsidRPr="00156980">
        <w:rPr>
          <w:szCs w:val="17"/>
        </w:rPr>
        <w:t xml:space="preserve"> ausgegangen werden muss, die eigenständig beschrieben werden müssen, damit ist das „Prinzip der Kontigu</w:t>
      </w:r>
      <w:r w:rsidRPr="00156980">
        <w:rPr>
          <w:szCs w:val="17"/>
        </w:rPr>
        <w:t>i</w:t>
      </w:r>
      <w:r w:rsidRPr="00156980">
        <w:rPr>
          <w:szCs w:val="17"/>
        </w:rPr>
        <w:t>tät“ bezogen auf die Syntax veraltet; vgl. Posner 1972: 238, Fußnote 26 (= Posner 1982: 155, Fußnote 17).</w:t>
      </w:r>
    </w:p>
    <w:p w:rsidR="00CC3558" w:rsidRPr="00156980" w:rsidRDefault="00CC3558" w:rsidP="00F461D9">
      <w:pPr>
        <w:pStyle w:val="Funotentext"/>
        <w:rPr>
          <w:szCs w:val="17"/>
        </w:rPr>
      </w:pPr>
      <w:r w:rsidRPr="00156980">
        <w:rPr>
          <w:szCs w:val="17"/>
        </w:rPr>
        <w:tab/>
        <w:t>Allerdings ist es bezogen auf die Semantik</w:t>
      </w:r>
      <w:r w:rsidR="005D7996">
        <w:rPr>
          <w:szCs w:val="17"/>
        </w:rPr>
        <w:fldChar w:fldCharType="begin"/>
      </w:r>
      <w:r>
        <w:instrText xml:space="preserve"> XE "</w:instrText>
      </w:r>
      <w:r w:rsidRPr="001A70AD">
        <w:rPr>
          <w:rFonts w:eastAsia="Times New Roman" w:cs="Times New Roman"/>
        </w:rPr>
        <w:instrText>Semantik</w:instrText>
      </w:r>
      <w:r>
        <w:instrText xml:space="preserve">" </w:instrText>
      </w:r>
      <w:r w:rsidR="005D7996">
        <w:rPr>
          <w:szCs w:val="17"/>
        </w:rPr>
        <w:fldChar w:fldCharType="end"/>
      </w:r>
      <w:r w:rsidRPr="00156980">
        <w:rPr>
          <w:szCs w:val="17"/>
        </w:rPr>
        <w:t xml:space="preserve"> immer noch hilfreich, wenn es um Kollokati</w:t>
      </w:r>
      <w:r w:rsidRPr="00156980">
        <w:rPr>
          <w:szCs w:val="17"/>
        </w:rPr>
        <w:t>o</w:t>
      </w:r>
      <w:r w:rsidRPr="00156980">
        <w:rPr>
          <w:szCs w:val="17"/>
        </w:rPr>
        <w:t>nen</w:t>
      </w:r>
      <w:r w:rsidR="005D7996">
        <w:rPr>
          <w:szCs w:val="17"/>
        </w:rPr>
        <w:fldChar w:fldCharType="begin"/>
      </w:r>
      <w:r>
        <w:instrText xml:space="preserve"> XE "</w:instrText>
      </w:r>
      <w:r w:rsidRPr="000D2A6C">
        <w:rPr>
          <w:szCs w:val="17"/>
        </w:rPr>
        <w:instrText>Kollokation</w:instrText>
      </w:r>
      <w:r>
        <w:instrText xml:space="preserve">" </w:instrText>
      </w:r>
      <w:r w:rsidR="005D7996">
        <w:rPr>
          <w:szCs w:val="17"/>
        </w:rPr>
        <w:fldChar w:fldCharType="end"/>
      </w:r>
      <w:r w:rsidRPr="00156980">
        <w:rPr>
          <w:szCs w:val="17"/>
        </w:rPr>
        <w:t xml:space="preserve"> geht; so kann etwa Metonymie als Projektion des Prinzips der Kontiguität</w:t>
      </w:r>
      <w:r w:rsidR="005D7996">
        <w:rPr>
          <w:szCs w:val="17"/>
        </w:rPr>
        <w:fldChar w:fldCharType="begin"/>
      </w:r>
      <w:r>
        <w:instrText xml:space="preserve"> XE "</w:instrText>
      </w:r>
      <w:r w:rsidRPr="00244719">
        <w:rPr>
          <w:szCs w:val="17"/>
        </w:rPr>
        <w:instrText>Kontiguität, Prinzip der</w:instrText>
      </w:r>
      <w:r>
        <w:instrText xml:space="preserve">" </w:instrText>
      </w:r>
      <w:r w:rsidR="005D7996">
        <w:rPr>
          <w:szCs w:val="17"/>
        </w:rPr>
        <w:fldChar w:fldCharType="end"/>
      </w:r>
      <w:r w:rsidRPr="00156980">
        <w:rPr>
          <w:szCs w:val="17"/>
        </w:rPr>
        <w:t xml:space="preserve"> von der Achse der Kombination</w:t>
      </w:r>
      <w:r w:rsidR="005D7996">
        <w:rPr>
          <w:szCs w:val="17"/>
        </w:rPr>
        <w:fldChar w:fldCharType="begin"/>
      </w:r>
      <w:r>
        <w:instrText xml:space="preserve"> XE "</w:instrText>
      </w:r>
      <w:r w:rsidRPr="00B2392E">
        <w:rPr>
          <w:szCs w:val="17"/>
        </w:rPr>
        <w:instrText>Achse der Kombination</w:instrText>
      </w:r>
      <w:r>
        <w:instrText xml:space="preserve">" </w:instrText>
      </w:r>
      <w:r w:rsidR="005D7996">
        <w:rPr>
          <w:szCs w:val="17"/>
        </w:rPr>
        <w:fldChar w:fldCharType="end"/>
      </w:r>
      <w:r w:rsidRPr="00156980">
        <w:rPr>
          <w:szCs w:val="17"/>
        </w:rPr>
        <w:t xml:space="preserve"> auf die Achse der Selektion</w:t>
      </w:r>
      <w:r w:rsidR="005D7996">
        <w:rPr>
          <w:szCs w:val="17"/>
        </w:rPr>
        <w:fldChar w:fldCharType="begin"/>
      </w:r>
      <w:r>
        <w:instrText xml:space="preserve"> XE "</w:instrText>
      </w:r>
      <w:r w:rsidRPr="00302505">
        <w:rPr>
          <w:szCs w:val="17"/>
        </w:rPr>
        <w:instrText>Achse der Selektion</w:instrText>
      </w:r>
      <w:r>
        <w:instrText xml:space="preserve">" </w:instrText>
      </w:r>
      <w:r w:rsidR="005D7996">
        <w:rPr>
          <w:szCs w:val="17"/>
        </w:rPr>
        <w:fldChar w:fldCharType="end"/>
      </w:r>
      <w:r w:rsidRPr="00156980">
        <w:rPr>
          <w:szCs w:val="17"/>
        </w:rPr>
        <w:t xml:space="preserve"> beschrieben werden, wenn beispiel</w:t>
      </w:r>
      <w:r w:rsidRPr="00156980">
        <w:rPr>
          <w:szCs w:val="17"/>
        </w:rPr>
        <w:t>s</w:t>
      </w:r>
      <w:r w:rsidRPr="00156980">
        <w:rPr>
          <w:szCs w:val="17"/>
        </w:rPr>
        <w:t>weise „Kläffer“ für „Hund“ oder „Flasche“ für „Wein“ verwendet wird; vgl. Posner 1972: 238, Fußnote 27 (= Posner 1982: 155f, Fußnote 18).</w:t>
      </w:r>
    </w:p>
  </w:footnote>
  <w:footnote w:id="2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1972: 210 (= Posner 1982: 132) und Posner 1984: 198. Die Äquivalenz b</w:t>
      </w:r>
      <w:r w:rsidRPr="00156980">
        <w:rPr>
          <w:szCs w:val="17"/>
        </w:rPr>
        <w:t>e</w:t>
      </w:r>
      <w:r w:rsidRPr="00156980">
        <w:rPr>
          <w:szCs w:val="17"/>
        </w:rPr>
        <w:t>steht bezüglich syntaktischer und inhaltlicher Bedingungen (beispielsweise bezüglich e</w:t>
      </w:r>
      <w:r w:rsidRPr="00156980">
        <w:rPr>
          <w:szCs w:val="17"/>
        </w:rPr>
        <w:t>i</w:t>
      </w:r>
      <w:r w:rsidRPr="00156980">
        <w:rPr>
          <w:szCs w:val="17"/>
        </w:rPr>
        <w:t>nem syntaktisch geforderten Kasus und einer semantisch geforderten Referenz</w:t>
      </w:r>
      <w:r w:rsidR="005D7996">
        <w:rPr>
          <w:szCs w:val="17"/>
        </w:rPr>
        <w:fldChar w:fldCharType="begin"/>
      </w:r>
      <w:r>
        <w:instrText xml:space="preserve"> XE "</w:instrText>
      </w:r>
      <w:r w:rsidRPr="00AB7B43">
        <w:rPr>
          <w:szCs w:val="17"/>
        </w:rPr>
        <w:instrText>Referenz</w:instrText>
      </w:r>
      <w:r>
        <w:instrText xml:space="preserve">" </w:instrText>
      </w:r>
      <w:r w:rsidR="005D7996">
        <w:rPr>
          <w:szCs w:val="17"/>
        </w:rPr>
        <w:fldChar w:fldCharType="end"/>
      </w:r>
      <w:r w:rsidRPr="00156980">
        <w:rPr>
          <w:szCs w:val="17"/>
        </w:rPr>
        <w:t xml:space="preserve">). Wie in Abschnitt </w:t>
      </w:r>
      <w:fldSimple w:instr=" REF _Ref267685078 \r \h  \* MERGEFORMAT ">
        <w:r w:rsidR="001231D3" w:rsidRPr="001231D3">
          <w:rPr>
            <w:szCs w:val="17"/>
          </w:rPr>
          <w:t>2.4</w:t>
        </w:r>
      </w:fldSimple>
      <w:r w:rsidRPr="00156980">
        <w:rPr>
          <w:szCs w:val="17"/>
        </w:rPr>
        <w:t xml:space="preserve"> bereits erwähnt wurde, hat es innerhalb des Strukturalismus</w:t>
      </w:r>
      <w:r w:rsidR="005D7996">
        <w:rPr>
          <w:szCs w:val="17"/>
        </w:rPr>
        <w:fldChar w:fldCharType="begin"/>
      </w:r>
      <w:r>
        <w:instrText xml:space="preserve"> XE "</w:instrText>
      </w:r>
      <w:r w:rsidRPr="008567DE">
        <w:instrText>Strukturalismus</w:instrText>
      </w:r>
      <w:r>
        <w:instrText xml:space="preserve">" </w:instrText>
      </w:r>
      <w:r w:rsidR="005D7996">
        <w:rPr>
          <w:szCs w:val="17"/>
        </w:rPr>
        <w:fldChar w:fldCharType="end"/>
      </w:r>
      <w:r w:rsidRPr="00156980">
        <w:rPr>
          <w:szCs w:val="17"/>
        </w:rPr>
        <w:t xml:space="preserve"> auch andere Auffassungen des Paradigmas gegeben, die Lexemzugehörigkeit (es ergibt sich die Menge der Wortformen eines Lexems; in diesem Sinn wird noch heute von „Flexionsparadigma“ gesprochen) oder reine Distribution</w:t>
      </w:r>
      <w:r w:rsidR="005D7996">
        <w:rPr>
          <w:szCs w:val="17"/>
        </w:rPr>
        <w:fldChar w:fldCharType="begin"/>
      </w:r>
      <w:r>
        <w:instrText xml:space="preserve"> XE "</w:instrText>
      </w:r>
      <w:r w:rsidRPr="0094100E">
        <w:instrText>Distribution</w:instrText>
      </w:r>
      <w:r>
        <w:instrText xml:space="preserve">" </w:instrText>
      </w:r>
      <w:r w:rsidR="005D7996">
        <w:rPr>
          <w:szCs w:val="17"/>
        </w:rPr>
        <w:fldChar w:fldCharType="end"/>
      </w:r>
      <w:r w:rsidRPr="00156980">
        <w:rPr>
          <w:szCs w:val="17"/>
        </w:rPr>
        <w:t xml:space="preserve"> (im amerikanischen Strukturalismus; es ergibt sich die Menge der in einem Lückentext unter Bedingung der syntaktischen und/oder sema</w:t>
      </w:r>
      <w:r w:rsidRPr="00156980">
        <w:rPr>
          <w:szCs w:val="17"/>
        </w:rPr>
        <w:t>n</w:t>
      </w:r>
      <w:r w:rsidRPr="00156980">
        <w:rPr>
          <w:szCs w:val="17"/>
        </w:rPr>
        <w:t>tischen Wohlgeformtheit</w:t>
      </w:r>
      <w:r w:rsidR="005D7996">
        <w:rPr>
          <w:szCs w:val="17"/>
        </w:rPr>
        <w:fldChar w:fldCharType="begin"/>
      </w:r>
      <w:r>
        <w:instrText xml:space="preserve"> XE "</w:instrText>
      </w:r>
      <w:r w:rsidRPr="00141F00">
        <w:instrText>Wohlgeformtheit</w:instrText>
      </w:r>
      <w:r>
        <w:instrText xml:space="preserve">" </w:instrText>
      </w:r>
      <w:r w:rsidR="005D7996">
        <w:rPr>
          <w:szCs w:val="17"/>
        </w:rPr>
        <w:fldChar w:fldCharType="end"/>
      </w:r>
      <w:r w:rsidRPr="00156980">
        <w:rPr>
          <w:szCs w:val="17"/>
        </w:rPr>
        <w:t xml:space="preserve"> möglichen Ergänzungen) zum Kriterium der Paradigmenbi</w:t>
      </w:r>
      <w:r w:rsidRPr="00156980">
        <w:rPr>
          <w:szCs w:val="17"/>
        </w:rPr>
        <w:t>l</w:t>
      </w:r>
      <w:r w:rsidRPr="00156980">
        <w:rPr>
          <w:szCs w:val="17"/>
        </w:rPr>
        <w:t>dung machten.</w:t>
      </w:r>
    </w:p>
  </w:footnote>
  <w:footnote w:id="2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Jakobson 1960: 358 und Jakobson 1965: 26. „Poetik“ bezeichnet dabei jede Art künstler</w:t>
      </w:r>
      <w:r w:rsidRPr="00156980">
        <w:rPr>
          <w:szCs w:val="17"/>
        </w:rPr>
        <w:t>i</w:t>
      </w:r>
      <w:r w:rsidRPr="00156980">
        <w:rPr>
          <w:szCs w:val="17"/>
        </w:rPr>
        <w:t>scher Sprachverwendung; Poetik ist damit jene Unterkategorie der Ästhetik (= Kuns</w:t>
      </w:r>
      <w:r w:rsidRPr="00156980">
        <w:rPr>
          <w:szCs w:val="17"/>
        </w:rPr>
        <w:t>t</w:t>
      </w:r>
      <w:r w:rsidRPr="00156980">
        <w:rPr>
          <w:szCs w:val="17"/>
        </w:rPr>
        <w:t>wissenschaft</w:t>
      </w:r>
      <w:r w:rsidR="005D7996">
        <w:rPr>
          <w:szCs w:val="17"/>
        </w:rPr>
        <w:fldChar w:fldCharType="begin"/>
      </w:r>
      <w:r>
        <w:instrText xml:space="preserve"> XE "</w:instrText>
      </w:r>
      <w:r w:rsidRPr="007C5736">
        <w:rPr>
          <w:rFonts w:cs="Times New Roman"/>
        </w:rPr>
        <w:instrText>Kunstwissenschaft</w:instrText>
      </w:r>
      <w:r>
        <w:instrText xml:space="preserve">" </w:instrText>
      </w:r>
      <w:r w:rsidR="005D7996">
        <w:rPr>
          <w:szCs w:val="17"/>
        </w:rPr>
        <w:fldChar w:fldCharType="end"/>
      </w:r>
      <w:r w:rsidRPr="00156980">
        <w:rPr>
          <w:szCs w:val="17"/>
        </w:rPr>
        <w:t>), die sich mit ästhetischer (= künstlerischer) Sprachverwendung beschäftigt (vgl. Posner 1980b).</w:t>
      </w:r>
    </w:p>
  </w:footnote>
  <w:footnote w:id="2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Posner 1972: 211 (= Posner 1982: 133).</w:t>
      </w:r>
    </w:p>
  </w:footnote>
  <w:footnote w:id="2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Posner 1972: 213 (= Posner 1982: 136).</w:t>
      </w:r>
    </w:p>
  </w:footnote>
  <w:footnote w:id="2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Posner 1972: 217 (= Posner 1982: 139f).</w:t>
      </w:r>
    </w:p>
  </w:footnote>
  <w:footnote w:id="2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Posner 1972: 224ff (= Posner 1982: 148ff). Vgl. zur Methode Riffaterres Fußnote </w:t>
      </w:r>
      <w:fldSimple w:instr=" NOTEREF _Ref262306158 \h  \* MERGEFORMAT ">
        <w:r w:rsidR="001231D3" w:rsidRPr="001231D3">
          <w:rPr>
            <w:szCs w:val="17"/>
          </w:rPr>
          <w:t>332</w:t>
        </w:r>
      </w:fldSimple>
      <w:r w:rsidRPr="00156980">
        <w:rPr>
          <w:szCs w:val="17"/>
        </w:rPr>
        <w:t>.</w:t>
      </w:r>
    </w:p>
  </w:footnote>
  <w:footnote w:id="2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Methode kann trotz ihrer Inspiration durch die „poetische Funktion</w:t>
      </w:r>
      <w:r w:rsidR="005D7996">
        <w:rPr>
          <w:szCs w:val="17"/>
        </w:rPr>
        <w:fldChar w:fldCharType="begin"/>
      </w:r>
      <w:r>
        <w:instrText xml:space="preserve"> XE "</w:instrText>
      </w:r>
      <w:r w:rsidRPr="008C2630">
        <w:rPr>
          <w:szCs w:val="17"/>
        </w:rPr>
        <w:instrText>poetische Funktion (Jakobson)</w:instrText>
      </w:r>
      <w:r>
        <w:instrText xml:space="preserve">" </w:instrText>
      </w:r>
      <w:r w:rsidR="005D7996">
        <w:rPr>
          <w:szCs w:val="17"/>
        </w:rPr>
        <w:fldChar w:fldCharType="end"/>
      </w:r>
      <w:r w:rsidRPr="00156980">
        <w:rPr>
          <w:szCs w:val="17"/>
        </w:rPr>
        <w:t>“ Jakobsons auch auf nicht-literarische Texte angewandt werden.</w:t>
      </w:r>
    </w:p>
  </w:footnote>
  <w:footnote w:id="2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Beispiel: </w:t>
      </w:r>
      <w:r w:rsidRPr="00156980">
        <w:rPr>
          <w:i/>
          <w:szCs w:val="17"/>
        </w:rPr>
        <w:t>U</w:t>
      </w:r>
      <w:r w:rsidRPr="00156980">
        <w:rPr>
          <w:szCs w:val="17"/>
        </w:rPr>
        <w:t>(</w:t>
      </w:r>
      <w:r w:rsidRPr="00156980">
        <w:rPr>
          <w:i/>
          <w:szCs w:val="17"/>
        </w:rPr>
        <w:t>B</w:t>
      </w:r>
      <w:r w:rsidRPr="00156980">
        <w:rPr>
          <w:szCs w:val="17"/>
          <w:vertAlign w:val="subscript"/>
        </w:rPr>
        <w:t>1</w:t>
      </w:r>
      <w:r w:rsidRPr="00156980">
        <w:rPr>
          <w:szCs w:val="17"/>
        </w:rPr>
        <w:t xml:space="preserve">): ‚Fenster (auf der Straßenseite des Gebäudes)‘, </w:t>
      </w:r>
      <w:r w:rsidRPr="00156980">
        <w:rPr>
          <w:i/>
          <w:szCs w:val="17"/>
        </w:rPr>
        <w:t>V</w:t>
      </w:r>
      <w:r w:rsidRPr="00156980">
        <w:rPr>
          <w:szCs w:val="17"/>
        </w:rPr>
        <w:t>(</w:t>
      </w:r>
      <w:r w:rsidRPr="00156980">
        <w:rPr>
          <w:i/>
          <w:szCs w:val="17"/>
        </w:rPr>
        <w:t>B</w:t>
      </w:r>
      <w:r w:rsidRPr="00156980">
        <w:rPr>
          <w:szCs w:val="17"/>
          <w:vertAlign w:val="subscript"/>
        </w:rPr>
        <w:t>1</w:t>
      </w:r>
      <w:r w:rsidRPr="00156980">
        <w:rPr>
          <w:szCs w:val="17"/>
        </w:rPr>
        <w:t>): ‚quadratisch‘</w:t>
      </w:r>
    </w:p>
    <w:p w:rsidR="00CC3558" w:rsidRPr="00156980" w:rsidRDefault="00CC3558" w:rsidP="00F461D9">
      <w:pPr>
        <w:pStyle w:val="Funotentext"/>
        <w:rPr>
          <w:szCs w:val="17"/>
        </w:rPr>
      </w:pPr>
      <w:r w:rsidRPr="00156980">
        <w:rPr>
          <w:szCs w:val="17"/>
        </w:rPr>
        <w:tab/>
        <w:t xml:space="preserve">Hier wird durch die Anwendungsbedingungen </w:t>
      </w:r>
      <w:r w:rsidRPr="00156980">
        <w:rPr>
          <w:i/>
          <w:szCs w:val="17"/>
        </w:rPr>
        <w:t>U</w:t>
      </w:r>
      <w:r w:rsidRPr="00156980">
        <w:rPr>
          <w:szCs w:val="17"/>
        </w:rPr>
        <w:t xml:space="preserve"> die Klasse aller Elemente des Gebäudes gebildet, die ‚Fenster‘ und ‚auf der Straßenseite des Hauses‘ sind. Durch die Anwendung der verlangten Eigenschaften </w:t>
      </w:r>
      <w:r w:rsidRPr="00156980">
        <w:rPr>
          <w:i/>
          <w:szCs w:val="17"/>
        </w:rPr>
        <w:t>V</w:t>
      </w:r>
      <w:r w:rsidRPr="00156980">
        <w:rPr>
          <w:szCs w:val="17"/>
        </w:rPr>
        <w:t xml:space="preserve"> wird die Unterklasse dieser Elemente gebildet, die ‚qua</w:t>
      </w:r>
      <w:r w:rsidRPr="00156980">
        <w:rPr>
          <w:szCs w:val="17"/>
        </w:rPr>
        <w:t>d</w:t>
      </w:r>
      <w:r w:rsidRPr="00156980">
        <w:rPr>
          <w:szCs w:val="17"/>
        </w:rPr>
        <w:t>ratisch‘ sind.</w:t>
      </w:r>
    </w:p>
  </w:footnote>
  <w:footnote w:id="2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Dadurch kann der Korrelationsgrad als Anwendungswahrscheinlichkeit dargestellt und Konflikte über die Priorisierung</w:t>
      </w:r>
      <w:r w:rsidR="005D7996">
        <w:rPr>
          <w:szCs w:val="17"/>
        </w:rPr>
        <w:fldChar w:fldCharType="begin"/>
      </w:r>
      <w:r>
        <w:instrText xml:space="preserve"> XE "</w:instrText>
      </w:r>
      <w:r w:rsidRPr="005F58EF">
        <w:instrText>Priorisierung</w:instrText>
      </w:r>
      <w:r>
        <w:instrText xml:space="preserve">" </w:instrText>
      </w:r>
      <w:r w:rsidR="005D7996">
        <w:rPr>
          <w:szCs w:val="17"/>
        </w:rPr>
        <w:fldChar w:fldCharType="end"/>
      </w:r>
      <w:r w:rsidRPr="00156980">
        <w:rPr>
          <w:szCs w:val="17"/>
        </w:rPr>
        <w:t xml:space="preserve"> gelöst werden (siehe Abschnitt </w:t>
      </w:r>
      <w:fldSimple w:instr=" REF _Ref211937722 \r \h  \* MERGEFORMAT ">
        <w:r w:rsidR="001231D3" w:rsidRPr="001231D3">
          <w:rPr>
            <w:szCs w:val="17"/>
          </w:rPr>
          <w:t>5.3.1</w:t>
        </w:r>
      </w:fldSimple>
      <w:r w:rsidRPr="00156980">
        <w:rPr>
          <w:szCs w:val="17"/>
        </w:rPr>
        <w:t xml:space="preserve">, 3. und 4.; vgl. auch </w:t>
      </w:r>
      <w:fldSimple w:instr=" REF _Ref212462946 \r \h  \* MERGEFORMAT ">
        <w:r w:rsidR="001231D3" w:rsidRPr="001231D3">
          <w:rPr>
            <w:szCs w:val="17"/>
          </w:rPr>
          <w:t>5.5.5</w:t>
        </w:r>
      </w:fldSimple>
      <w:r w:rsidRPr="00156980">
        <w:rPr>
          <w:szCs w:val="17"/>
        </w:rPr>
        <w:t>).</w:t>
      </w:r>
    </w:p>
  </w:footnote>
  <w:footnote w:id="2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Göttner 1973.</w:t>
      </w:r>
    </w:p>
  </w:footnote>
  <w:footnote w:id="2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Strube 1979: 567. Göttner untersucht die werkimmanente Methode der Interpretation, die von Strube merkwürdigerweise mit „Stilinterpretation“ gleichgesetzt wird. Tatsäc</w:t>
      </w:r>
      <w:r w:rsidRPr="00156980">
        <w:rPr>
          <w:szCs w:val="17"/>
        </w:rPr>
        <w:t>h</w:t>
      </w:r>
      <w:r w:rsidRPr="00156980">
        <w:rPr>
          <w:szCs w:val="17"/>
        </w:rPr>
        <w:t>lich beinhaltet sie traditionellerweise eine Stilinterpretation und eine Inhaltsinterpretation ohne Einbeziehung biographischer, gesellschaftlicher, zeitgeschichtlicher und medieng</w:t>
      </w:r>
      <w:r w:rsidRPr="00156980">
        <w:rPr>
          <w:szCs w:val="17"/>
        </w:rPr>
        <w:t>e</w:t>
      </w:r>
      <w:r w:rsidRPr="00156980">
        <w:rPr>
          <w:szCs w:val="17"/>
        </w:rPr>
        <w:t>schichtlicher Aspekte. Dass eine derart eingeschränkte Inhaltsinterpretation meist zu fa</w:t>
      </w:r>
      <w:r w:rsidRPr="00156980">
        <w:rPr>
          <w:szCs w:val="17"/>
        </w:rPr>
        <w:t>l</w:t>
      </w:r>
      <w:r w:rsidRPr="00156980">
        <w:rPr>
          <w:szCs w:val="17"/>
        </w:rPr>
        <w:t>schen Ergebnissen führt, ist klar; eine Stilinterpretation ist sie trotzdem nicht.</w:t>
      </w:r>
    </w:p>
  </w:footnote>
  <w:footnote w:id="2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Strube 1979: 571.</w:t>
      </w:r>
    </w:p>
  </w:footnote>
  <w:footnote w:id="2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Strube 1979: 570.</w:t>
      </w:r>
    </w:p>
  </w:footnote>
  <w:footnote w:id="2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Strube 1979: 574ff.</w:t>
      </w:r>
    </w:p>
  </w:footnote>
  <w:footnote w:id="2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Lerchner 2002: 107f.</w:t>
      </w:r>
    </w:p>
  </w:footnote>
  <w:footnote w:id="2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Weissert 2009: 9. Vgl. zu den besprochenen Auffassungen Winckelmann 1764, Wölfflin 1888, 1912 und 1915, sowie Riegl 1893 und 1927.</w:t>
      </w:r>
    </w:p>
  </w:footnote>
  <w:footnote w:id="2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Auch viele spätere Theoretiker betonten den Informationswert von Stilen für die gesel</w:t>
      </w:r>
      <w:r w:rsidRPr="00156980">
        <w:rPr>
          <w:szCs w:val="17"/>
        </w:rPr>
        <w:t>l</w:t>
      </w:r>
      <w:r w:rsidRPr="00156980">
        <w:rPr>
          <w:szCs w:val="17"/>
        </w:rPr>
        <w:t>schaftlichen Bedingungen und die Lebenswelt der jeweiligen Zeit; vgl. beispielsweise Bourdieu</w:t>
      </w:r>
      <w:r w:rsidR="005D7996">
        <w:rPr>
          <w:szCs w:val="17"/>
        </w:rPr>
        <w:fldChar w:fldCharType="begin"/>
      </w:r>
      <w:r>
        <w:instrText xml:space="preserve"> XE "</w:instrText>
      </w:r>
      <w:r w:rsidRPr="007E2E01">
        <w:rPr>
          <w:rFonts w:eastAsia="Times New Roman" w:cs="Times New Roman"/>
        </w:rPr>
        <w:instrText>Bourdieu, Pierre</w:instrText>
      </w:r>
      <w:r>
        <w:instrText xml:space="preserve">" </w:instrText>
      </w:r>
      <w:r w:rsidR="005D7996">
        <w:rPr>
          <w:szCs w:val="17"/>
        </w:rPr>
        <w:fldChar w:fldCharType="end"/>
      </w:r>
      <w:r w:rsidRPr="00156980">
        <w:rPr>
          <w:szCs w:val="17"/>
        </w:rPr>
        <w:t xml:space="preserve"> 1970, Elias</w:t>
      </w:r>
      <w:r w:rsidR="005D7996">
        <w:rPr>
          <w:szCs w:val="17"/>
        </w:rPr>
        <w:fldChar w:fldCharType="begin"/>
      </w:r>
      <w:r>
        <w:instrText xml:space="preserve"> XE "</w:instrText>
      </w:r>
      <w:r w:rsidRPr="00D075BF">
        <w:rPr>
          <w:szCs w:val="17"/>
        </w:rPr>
        <w:instrText>Elias, Norbert</w:instrText>
      </w:r>
      <w:r>
        <w:instrText xml:space="preserve">" </w:instrText>
      </w:r>
      <w:r w:rsidR="005D7996">
        <w:rPr>
          <w:szCs w:val="17"/>
        </w:rPr>
        <w:fldChar w:fldCharType="end"/>
      </w:r>
      <w:r w:rsidRPr="00156980">
        <w:rPr>
          <w:szCs w:val="17"/>
        </w:rPr>
        <w:t xml:space="preserve"> 1939, Zinserling 1984 und Möbius 1984 und 1989.</w:t>
      </w:r>
    </w:p>
  </w:footnote>
  <w:footnote w:id="2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Abduktion Abschnitt </w:t>
      </w:r>
      <w:fldSimple w:instr=" REF _Ref254853315 \r \h  \* MERGEFORMAT ">
        <w:r w:rsidR="001231D3" w:rsidRPr="001231D3">
          <w:rPr>
            <w:szCs w:val="17"/>
          </w:rPr>
          <w:t>6.4.3</w:t>
        </w:r>
      </w:fldSimple>
      <w:r w:rsidRPr="00156980">
        <w:rPr>
          <w:szCs w:val="17"/>
        </w:rPr>
        <w:t>.</w:t>
      </w:r>
    </w:p>
  </w:footnote>
  <w:footnote w:id="2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Suckale 2006: 150.</w:t>
      </w:r>
    </w:p>
  </w:footnote>
  <w:footnote w:id="2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Grimm 1991: 272f.</w:t>
      </w:r>
    </w:p>
  </w:footnote>
  <w:footnote w:id="2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den Ansatz von Tenenbaum und Freeman, mit dem Gesichtserkennung für verschi</w:t>
      </w:r>
      <w:r w:rsidRPr="00156980">
        <w:rPr>
          <w:szCs w:val="17"/>
        </w:rPr>
        <w:t>e</w:t>
      </w:r>
      <w:r w:rsidRPr="00156980">
        <w:rPr>
          <w:szCs w:val="17"/>
        </w:rPr>
        <w:t>dene Kopfhaltungen („Stile“) möglich ist (Tenenbaum u.a. 2000: 1260ff; siehe auch A</w:t>
      </w:r>
      <w:r w:rsidRPr="00156980">
        <w:rPr>
          <w:szCs w:val="17"/>
        </w:rPr>
        <w:t>b</w:t>
      </w:r>
      <w:r w:rsidRPr="00156980">
        <w:rPr>
          <w:szCs w:val="17"/>
        </w:rPr>
        <w:t xml:space="preserve">schnitt </w:t>
      </w:r>
      <w:fldSimple w:instr=" REF _Ref265831830 \r \h  \* MERGEFORMAT ">
        <w:r w:rsidR="001231D3" w:rsidRPr="001231D3">
          <w:rPr>
            <w:szCs w:val="17"/>
          </w:rPr>
          <w:t>3.3</w:t>
        </w:r>
      </w:fldSimple>
      <w:r w:rsidRPr="00156980">
        <w:rPr>
          <w:szCs w:val="17"/>
        </w:rPr>
        <w:t>).</w:t>
      </w:r>
    </w:p>
  </w:footnote>
  <w:footnote w:id="2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Grimm 1991: 274.</w:t>
      </w:r>
    </w:p>
  </w:footnote>
  <w:footnote w:id="2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Abschnitte </w:t>
      </w:r>
      <w:fldSimple w:instr=" REF _Ref260056929 \r \h  \* MERGEFORMAT ">
        <w:r w:rsidR="001231D3" w:rsidRPr="001231D3">
          <w:rPr>
            <w:szCs w:val="17"/>
          </w:rPr>
          <w:t>2.1</w:t>
        </w:r>
      </w:fldSimple>
      <w:r w:rsidRPr="00156980">
        <w:rPr>
          <w:szCs w:val="17"/>
        </w:rPr>
        <w:t xml:space="preserve"> und </w:t>
      </w:r>
      <w:fldSimple w:instr=" REF _Ref264378576 \r \h  \* MERGEFORMAT ">
        <w:r w:rsidR="001231D3" w:rsidRPr="001231D3">
          <w:rPr>
            <w:szCs w:val="17"/>
          </w:rPr>
          <w:t>2.2</w:t>
        </w:r>
      </w:fldSimple>
      <w:r w:rsidRPr="00156980">
        <w:rPr>
          <w:szCs w:val="17"/>
        </w:rPr>
        <w:t>.</w:t>
      </w:r>
    </w:p>
  </w:footnote>
  <w:footnote w:id="2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Grimm 1991: 9. Die Autoridentif</w:t>
      </w:r>
      <w:r>
        <w:rPr>
          <w:szCs w:val="17"/>
        </w:rPr>
        <w:t>ikation</w:t>
      </w:r>
      <w:r w:rsidR="005D7996">
        <w:rPr>
          <w:szCs w:val="17"/>
        </w:rPr>
        <w:fldChar w:fldCharType="begin"/>
      </w:r>
      <w:r>
        <w:instrText xml:space="preserve"> XE "</w:instrText>
      </w:r>
      <w:r w:rsidRPr="00AF4FCF">
        <w:rPr>
          <w:szCs w:val="17"/>
        </w:rPr>
        <w:instrText>Autoridentifikation</w:instrText>
      </w:r>
      <w:r>
        <w:instrText xml:space="preserve">" </w:instrText>
      </w:r>
      <w:r w:rsidR="005D7996">
        <w:rPr>
          <w:szCs w:val="17"/>
        </w:rPr>
        <w:fldChar w:fldCharType="end"/>
      </w:r>
      <w:r>
        <w:rPr>
          <w:szCs w:val="17"/>
        </w:rPr>
        <w:t xml:space="preserve"> </w:t>
      </w:r>
      <w:r w:rsidRPr="00156980">
        <w:rPr>
          <w:szCs w:val="17"/>
        </w:rPr>
        <w:t xml:space="preserve">mit </w:t>
      </w:r>
      <w:r>
        <w:rPr>
          <w:szCs w:val="17"/>
        </w:rPr>
        <w:t xml:space="preserve">Methoden </w:t>
      </w:r>
      <w:r w:rsidRPr="00156980">
        <w:rPr>
          <w:szCs w:val="17"/>
        </w:rPr>
        <w:t xml:space="preserve">der </w:t>
      </w:r>
      <w:r>
        <w:rPr>
          <w:szCs w:val="17"/>
        </w:rPr>
        <w:t>quantitativen S</w:t>
      </w:r>
      <w:r w:rsidRPr="00156980">
        <w:rPr>
          <w:szCs w:val="17"/>
        </w:rPr>
        <w:t>tilistik</w:t>
      </w:r>
      <w:r w:rsidR="005D7996">
        <w:rPr>
          <w:szCs w:val="17"/>
        </w:rPr>
        <w:fldChar w:fldCharType="begin"/>
      </w:r>
      <w:r>
        <w:instrText xml:space="preserve"> XE "</w:instrText>
      </w:r>
      <w:r w:rsidRPr="00C232AC">
        <w:rPr>
          <w:szCs w:val="17"/>
        </w:rPr>
        <w:instrText>quantitative Stilistik</w:instrText>
      </w:r>
      <w:r>
        <w:instrText xml:space="preserve">" </w:instrText>
      </w:r>
      <w:r w:rsidR="005D7996">
        <w:rPr>
          <w:szCs w:val="17"/>
        </w:rPr>
        <w:fldChar w:fldCharType="end"/>
      </w:r>
      <w:r w:rsidRPr="00156980">
        <w:rPr>
          <w:szCs w:val="17"/>
        </w:rPr>
        <w:t xml:space="preserve"> wurde bereits in Jöns 1982 kritisch hinterfragt und in Wolf 1989 und Brückner 1990 zurückg</w:t>
      </w:r>
      <w:r w:rsidRPr="00156980">
        <w:rPr>
          <w:szCs w:val="17"/>
        </w:rPr>
        <w:t>e</w:t>
      </w:r>
      <w:r w:rsidRPr="00156980">
        <w:rPr>
          <w:szCs w:val="17"/>
        </w:rPr>
        <w:t>wiesen. Interessanterweise wurde dann jedoch festgestellt, dass er bei der Verwendung von Merkmalsbündeln und bei Textsortengleichheit des verwendeten Materials zumi</w:t>
      </w:r>
      <w:r w:rsidRPr="00156980">
        <w:rPr>
          <w:szCs w:val="17"/>
        </w:rPr>
        <w:t>n</w:t>
      </w:r>
      <w:r w:rsidRPr="00156980">
        <w:rPr>
          <w:szCs w:val="17"/>
        </w:rPr>
        <w:t>dest zu Wahrscheinlichkeitsaussagen führen kann (Kniffka 1992), was auf die Funktion</w:t>
      </w:r>
      <w:r w:rsidRPr="00156980">
        <w:rPr>
          <w:szCs w:val="17"/>
        </w:rPr>
        <w:t>s</w:t>
      </w:r>
      <w:r w:rsidRPr="00156980">
        <w:rPr>
          <w:szCs w:val="17"/>
        </w:rPr>
        <w:t>gleichheit und häufig auch Inhaltsähnlichkeit innerhalb von Textsorten</w:t>
      </w:r>
      <w:r w:rsidR="005D7996">
        <w:rPr>
          <w:szCs w:val="17"/>
        </w:rPr>
        <w:fldChar w:fldCharType="begin"/>
      </w:r>
      <w:r>
        <w:instrText xml:space="preserve"> XE "</w:instrText>
      </w:r>
      <w:r w:rsidRPr="002B4DA8">
        <w:instrText>Textsorte</w:instrText>
      </w:r>
      <w:r>
        <w:instrText xml:space="preserve">" </w:instrText>
      </w:r>
      <w:r w:rsidR="005D7996">
        <w:rPr>
          <w:szCs w:val="17"/>
        </w:rPr>
        <w:fldChar w:fldCharType="end"/>
      </w:r>
      <w:r w:rsidRPr="00156980">
        <w:rPr>
          <w:szCs w:val="17"/>
        </w:rPr>
        <w:t xml:space="preserve"> zurückzuführen sein dürfte. Vgl. zum </w:t>
      </w:r>
      <w:r>
        <w:t>sogenannten sprachlichen Fingerabdruck</w:t>
      </w:r>
      <w:r w:rsidR="005D7996">
        <w:rPr>
          <w:szCs w:val="17"/>
        </w:rPr>
        <w:fldChar w:fldCharType="begin"/>
      </w:r>
      <w:r>
        <w:instrText xml:space="preserve"> XE "</w:instrText>
      </w:r>
      <w:r w:rsidRPr="00E16124">
        <w:rPr>
          <w:szCs w:val="17"/>
        </w:rPr>
        <w:instrText>Fingerabdruck, sprachlicher</w:instrText>
      </w:r>
      <w:r>
        <w:instrText xml:space="preserve">" </w:instrText>
      </w:r>
      <w:r w:rsidR="005D7996">
        <w:rPr>
          <w:szCs w:val="17"/>
        </w:rPr>
        <w:fldChar w:fldCharType="end"/>
      </w:r>
      <w:r w:rsidRPr="00156980">
        <w:rPr>
          <w:szCs w:val="17"/>
        </w:rPr>
        <w:t xml:space="preserve"> auch Breuer 2009: 1239f.</w:t>
      </w:r>
    </w:p>
  </w:footnote>
  <w:footnote w:id="2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Riesel 1963: 33.</w:t>
      </w:r>
    </w:p>
  </w:footnote>
  <w:footnote w:id="2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Buffon</w:t>
      </w:r>
      <w:r w:rsidR="005D7996">
        <w:rPr>
          <w:szCs w:val="17"/>
        </w:rPr>
        <w:fldChar w:fldCharType="begin"/>
      </w:r>
      <w:r>
        <w:instrText xml:space="preserve"> XE "</w:instrText>
      </w:r>
      <w:r w:rsidRPr="0086276C">
        <w:rPr>
          <w:szCs w:val="17"/>
        </w:rPr>
        <w:instrText>Buffon, Comte de</w:instrText>
      </w:r>
      <w:r>
        <w:instrText xml:space="preserve">" </w:instrText>
      </w:r>
      <w:r w:rsidR="005D7996">
        <w:rPr>
          <w:szCs w:val="17"/>
        </w:rPr>
        <w:fldChar w:fldCharType="end"/>
      </w:r>
      <w:r w:rsidRPr="00156980">
        <w:rPr>
          <w:szCs w:val="17"/>
        </w:rPr>
        <w:t xml:space="preserve"> 1753=1954: 503. Vgl. zum Einfluss des Diktums Müller 1981: 40ff.</w:t>
      </w:r>
    </w:p>
  </w:footnote>
  <w:footnote w:id="2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Simmel 1908: 307.</w:t>
      </w:r>
    </w:p>
  </w:footnote>
  <w:footnote w:id="2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Simmel 1908: 307f.</w:t>
      </w:r>
    </w:p>
  </w:footnote>
  <w:footnote w:id="2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Natürlich mit dem Unterschied, dass nicht alle Realisierungen inhaltliche und funktionale Bedingungen</w:t>
      </w:r>
      <w:r w:rsidR="005D7996">
        <w:rPr>
          <w:szCs w:val="17"/>
        </w:rPr>
        <w:fldChar w:fldCharType="begin"/>
      </w:r>
      <w:r>
        <w:instrText xml:space="preserve"> XE "</w:instrText>
      </w:r>
      <w:r w:rsidRPr="00DB4D56">
        <w:instrText>funktionale Bedingungen</w:instrText>
      </w:r>
      <w:r>
        <w:instrText xml:space="preserve">" </w:instrText>
      </w:r>
      <w:r w:rsidR="005D7996">
        <w:rPr>
          <w:szCs w:val="17"/>
        </w:rPr>
        <w:fldChar w:fldCharType="end"/>
      </w:r>
      <w:r w:rsidRPr="00156980">
        <w:rPr>
          <w:szCs w:val="17"/>
        </w:rPr>
        <w:t xml:space="preserve"> aufweisen;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gibt es dagegen bei allen Realisierungen; vgl. Abschnitt </w:t>
      </w:r>
      <w:fldSimple w:instr=" REF _Ref212082822 \r \h  \* MERGEFORMAT ">
        <w:r w:rsidR="001231D3" w:rsidRPr="001231D3">
          <w:rPr>
            <w:szCs w:val="17"/>
          </w:rPr>
          <w:t>4.2.2</w:t>
        </w:r>
      </w:fldSimple>
      <w:r w:rsidRPr="00156980">
        <w:rPr>
          <w:szCs w:val="17"/>
        </w:rPr>
        <w:t>.</w:t>
      </w:r>
    </w:p>
  </w:footnote>
  <w:footnote w:id="2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hier dargestellte Unterscheidung von den (auf der Basis von Schemata gebildeten) </w:t>
      </w:r>
      <w:r>
        <w:rPr>
          <w:szCs w:val="17"/>
        </w:rPr>
        <w:t>Alter</w:t>
      </w:r>
      <w:r>
        <w:rPr>
          <w:szCs w:val="17"/>
        </w:rPr>
        <w:softHyphen/>
        <w:t>nativen</w:t>
      </w:r>
      <w:r>
        <w:rPr>
          <w:szCs w:val="17"/>
        </w:rPr>
        <w:softHyphen/>
        <w:t>klasse</w:t>
      </w:r>
      <w:r w:rsidRPr="00156980">
        <w:rPr>
          <w:szCs w:val="17"/>
        </w:rPr>
        <w:t xml:space="preserve">n und den Variationsmöglichkeiten innerhalb dieser </w:t>
      </w:r>
      <w:r>
        <w:rPr>
          <w:szCs w:val="17"/>
        </w:rPr>
        <w:t>Alter</w:t>
      </w:r>
      <w:r>
        <w:rPr>
          <w:szCs w:val="17"/>
        </w:rPr>
        <w:softHyphen/>
        <w:t>nativen</w:t>
      </w:r>
      <w:r>
        <w:rPr>
          <w:szCs w:val="17"/>
        </w:rPr>
        <w:softHyphen/>
        <w:t>klasse</w:t>
      </w:r>
      <w:r w:rsidRPr="00156980">
        <w:rPr>
          <w:szCs w:val="17"/>
        </w:rPr>
        <w:t>n hat ihre Parallele in der klassischen Unterscheidung zwischen „</w:t>
      </w:r>
      <w:r>
        <w:rPr>
          <w:szCs w:val="17"/>
        </w:rPr>
        <w:noBreakHyphen/>
        <w:t>emik</w:t>
      </w:r>
      <w:r w:rsidR="005D7996">
        <w:rPr>
          <w:szCs w:val="17"/>
        </w:rPr>
        <w:fldChar w:fldCharType="begin"/>
      </w:r>
      <w:r>
        <w:instrText xml:space="preserve"> XE "</w:instrText>
      </w:r>
      <w:r w:rsidRPr="00AA2F62">
        <w:rPr>
          <w:szCs w:val="17"/>
        </w:rPr>
        <w:noBreakHyphen/>
        <w:instrText>emik</w:instrText>
      </w:r>
      <w:r>
        <w:instrText xml:space="preserve">" </w:instrText>
      </w:r>
      <w:r w:rsidR="005D7996">
        <w:rPr>
          <w:szCs w:val="17"/>
        </w:rPr>
        <w:fldChar w:fldCharType="end"/>
      </w:r>
      <w:r>
        <w:rPr>
          <w:szCs w:val="17"/>
        </w:rPr>
        <w:t>“ und „</w:t>
      </w:r>
      <w:r>
        <w:rPr>
          <w:szCs w:val="17"/>
        </w:rPr>
        <w:noBreakHyphen/>
      </w:r>
      <w:r w:rsidRPr="00156980">
        <w:rPr>
          <w:szCs w:val="17"/>
        </w:rPr>
        <w:t>etik</w:t>
      </w:r>
      <w:r w:rsidR="005D7996">
        <w:rPr>
          <w:szCs w:val="17"/>
        </w:rPr>
        <w:fldChar w:fldCharType="begin"/>
      </w:r>
      <w:r>
        <w:instrText xml:space="preserve"> XE "</w:instrText>
      </w:r>
      <w:r w:rsidRPr="002D499D">
        <w:rPr>
          <w:szCs w:val="17"/>
        </w:rPr>
        <w:noBreakHyphen/>
        <w:instrText>etik</w:instrText>
      </w:r>
      <w:r>
        <w:instrText xml:space="preserve">" </w:instrText>
      </w:r>
      <w:r w:rsidR="005D7996">
        <w:rPr>
          <w:szCs w:val="17"/>
        </w:rPr>
        <w:fldChar w:fldCharType="end"/>
      </w:r>
      <w:r w:rsidRPr="00156980">
        <w:rPr>
          <w:szCs w:val="17"/>
        </w:rPr>
        <w:t>“, die ausgehend von Louis Hjelmslev</w:t>
      </w:r>
      <w:r w:rsidR="005D7996">
        <w:rPr>
          <w:szCs w:val="17"/>
        </w:rPr>
        <w:fldChar w:fldCharType="begin"/>
      </w:r>
      <w:r>
        <w:instrText xml:space="preserve"> XE "</w:instrText>
      </w:r>
      <w:r w:rsidRPr="0066089F">
        <w:instrText>Hjelmslev</w:instrText>
      </w:r>
      <w:r>
        <w:instrText xml:space="preserve">" </w:instrText>
      </w:r>
      <w:r w:rsidR="005D7996">
        <w:rPr>
          <w:szCs w:val="17"/>
        </w:rPr>
        <w:fldChar w:fldCharType="end"/>
      </w:r>
      <w:r w:rsidRPr="00156980">
        <w:rPr>
          <w:szCs w:val="17"/>
        </w:rPr>
        <w:t xml:space="preserve"> (1936 und 1974), Leonard Bloomfield</w:t>
      </w:r>
      <w:r w:rsidR="005D7996">
        <w:rPr>
          <w:szCs w:val="17"/>
        </w:rPr>
        <w:fldChar w:fldCharType="begin"/>
      </w:r>
      <w:r>
        <w:instrText xml:space="preserve"> XE "</w:instrText>
      </w:r>
      <w:r w:rsidRPr="00182418">
        <w:rPr>
          <w:szCs w:val="17"/>
        </w:rPr>
        <w:instrText>Bloomfield, Leonard</w:instrText>
      </w:r>
      <w:r>
        <w:instrText xml:space="preserve">" </w:instrText>
      </w:r>
      <w:r w:rsidR="005D7996">
        <w:rPr>
          <w:szCs w:val="17"/>
        </w:rPr>
        <w:fldChar w:fldCharType="end"/>
      </w:r>
      <w:r w:rsidRPr="00156980">
        <w:rPr>
          <w:szCs w:val="17"/>
        </w:rPr>
        <w:t xml:space="preserve"> (1933), Kenneth L. Pike</w:t>
      </w:r>
      <w:r w:rsidR="005D7996">
        <w:rPr>
          <w:szCs w:val="17"/>
        </w:rPr>
        <w:fldChar w:fldCharType="begin"/>
      </w:r>
      <w:r>
        <w:instrText xml:space="preserve"> XE "</w:instrText>
      </w:r>
      <w:r w:rsidRPr="0086619F">
        <w:rPr>
          <w:szCs w:val="17"/>
        </w:rPr>
        <w:instrText>Pike, Kenneth L.</w:instrText>
      </w:r>
      <w:r>
        <w:instrText xml:space="preserve">" </w:instrText>
      </w:r>
      <w:r w:rsidR="005D7996">
        <w:rPr>
          <w:szCs w:val="17"/>
        </w:rPr>
        <w:fldChar w:fldCharType="end"/>
      </w:r>
      <w:r w:rsidRPr="00156980">
        <w:rPr>
          <w:szCs w:val="17"/>
        </w:rPr>
        <w:t xml:space="preserve"> (1967) und anderen grundlegend für die strukturalistische </w:t>
      </w:r>
      <w:r>
        <w:rPr>
          <w:szCs w:val="17"/>
        </w:rPr>
        <w:t>Linguistik</w:t>
      </w:r>
      <w:r w:rsidR="005D7996">
        <w:rPr>
          <w:szCs w:val="17"/>
        </w:rPr>
        <w:fldChar w:fldCharType="begin"/>
      </w:r>
      <w:r>
        <w:instrText xml:space="preserve"> XE "</w:instrText>
      </w:r>
      <w:r w:rsidRPr="00797C83">
        <w:rPr>
          <w:rFonts w:eastAsia="Times New Roman" w:cs="Times New Roman"/>
        </w:rPr>
        <w:instrText>Linguistik</w:instrText>
      </w:r>
      <w:r>
        <w:instrText xml:space="preserve">" </w:instrText>
      </w:r>
      <w:r w:rsidR="005D7996">
        <w:rPr>
          <w:szCs w:val="17"/>
        </w:rPr>
        <w:fldChar w:fldCharType="end"/>
      </w:r>
      <w:r>
        <w:rPr>
          <w:szCs w:val="17"/>
        </w:rPr>
        <w:t xml:space="preserve"> </w:t>
      </w:r>
      <w:r w:rsidRPr="00156980">
        <w:rPr>
          <w:szCs w:val="17"/>
        </w:rPr>
        <w:t>wurde. Die auf verschiedenen Beschreibungsebenen</w:t>
      </w:r>
      <w:r w:rsidR="005D7996">
        <w:rPr>
          <w:szCs w:val="17"/>
        </w:rPr>
        <w:fldChar w:fldCharType="begin"/>
      </w:r>
      <w:r>
        <w:instrText xml:space="preserve"> XE "</w:instrText>
      </w:r>
      <w:r w:rsidRPr="0039734C">
        <w:instrText>Beschreibungsebene</w:instrText>
      </w:r>
      <w:r>
        <w:instrText xml:space="preserve">" </w:instrText>
      </w:r>
      <w:r w:rsidR="005D7996">
        <w:rPr>
          <w:szCs w:val="17"/>
        </w:rPr>
        <w:fldChar w:fldCharType="end"/>
      </w:r>
      <w:r w:rsidRPr="00156980">
        <w:rPr>
          <w:szCs w:val="17"/>
        </w:rPr>
        <w:t xml:space="preserve"> isolierba</w:t>
      </w:r>
      <w:r>
        <w:rPr>
          <w:szCs w:val="17"/>
        </w:rPr>
        <w:t>ren „</w:t>
      </w:r>
      <w:r>
        <w:rPr>
          <w:szCs w:val="17"/>
        </w:rPr>
        <w:noBreakHyphen/>
      </w:r>
      <w:r w:rsidRPr="00156980">
        <w:rPr>
          <w:szCs w:val="17"/>
        </w:rPr>
        <w:t>eme“ (z.B. Phoneme</w:t>
      </w:r>
      <w:r w:rsidR="005D7996">
        <w:rPr>
          <w:szCs w:val="17"/>
        </w:rPr>
        <w:fldChar w:fldCharType="begin"/>
      </w:r>
      <w:r>
        <w:instrText xml:space="preserve"> XE "</w:instrText>
      </w:r>
      <w:r w:rsidRPr="00E73E7A">
        <w:rPr>
          <w:szCs w:val="17"/>
        </w:rPr>
        <w:instrText>Phonem</w:instrText>
      </w:r>
      <w:r>
        <w:instrText xml:space="preserve">" </w:instrText>
      </w:r>
      <w:r w:rsidR="005D7996">
        <w:rPr>
          <w:szCs w:val="17"/>
        </w:rPr>
        <w:fldChar w:fldCharType="end"/>
      </w:r>
      <w:r w:rsidRPr="00156980">
        <w:rPr>
          <w:szCs w:val="17"/>
        </w:rPr>
        <w:t>, Grapheme</w:t>
      </w:r>
      <w:r w:rsidR="005D7996">
        <w:rPr>
          <w:szCs w:val="17"/>
        </w:rPr>
        <w:fldChar w:fldCharType="begin"/>
      </w:r>
      <w:r>
        <w:instrText xml:space="preserve"> XE "</w:instrText>
      </w:r>
      <w:r w:rsidRPr="00720AAD">
        <w:rPr>
          <w:szCs w:val="17"/>
        </w:rPr>
        <w:instrText>Graphem</w:instrText>
      </w:r>
      <w:r>
        <w:instrText xml:space="preserve">" </w:instrText>
      </w:r>
      <w:r w:rsidR="005D7996">
        <w:rPr>
          <w:szCs w:val="17"/>
        </w:rPr>
        <w:fldChar w:fldCharType="end"/>
      </w:r>
      <w:r w:rsidRPr="00156980">
        <w:rPr>
          <w:szCs w:val="17"/>
        </w:rPr>
        <w:t>, Morpheme</w:t>
      </w:r>
      <w:r w:rsidR="005D7996">
        <w:rPr>
          <w:szCs w:val="17"/>
        </w:rPr>
        <w:fldChar w:fldCharType="begin"/>
      </w:r>
      <w:r>
        <w:instrText xml:space="preserve"> XE "</w:instrText>
      </w:r>
      <w:r w:rsidRPr="000C7B26">
        <w:instrText>Morphem</w:instrText>
      </w:r>
      <w:r>
        <w:instrText xml:space="preserve">" </w:instrText>
      </w:r>
      <w:r w:rsidR="005D7996">
        <w:rPr>
          <w:szCs w:val="17"/>
        </w:rPr>
        <w:fldChar w:fldCharType="end"/>
      </w:r>
      <w:r w:rsidRPr="00156980">
        <w:rPr>
          <w:szCs w:val="17"/>
        </w:rPr>
        <w:t xml:space="preserve"> und Sememe</w:t>
      </w:r>
      <w:r w:rsidR="005D7996">
        <w:rPr>
          <w:szCs w:val="17"/>
        </w:rPr>
        <w:fldChar w:fldCharType="begin"/>
      </w:r>
      <w:r>
        <w:instrText xml:space="preserve"> XE "</w:instrText>
      </w:r>
      <w:r w:rsidRPr="008D2C8B">
        <w:rPr>
          <w:szCs w:val="17"/>
        </w:rPr>
        <w:instrText>Semem</w:instrText>
      </w:r>
      <w:r>
        <w:instrText xml:space="preserve">" </w:instrText>
      </w:r>
      <w:r w:rsidR="005D7996">
        <w:rPr>
          <w:szCs w:val="17"/>
        </w:rPr>
        <w:fldChar w:fldCharType="end"/>
      </w:r>
      <w:r w:rsidRPr="00156980">
        <w:rPr>
          <w:szCs w:val="17"/>
        </w:rPr>
        <w:t>) sind Kategorien von unter bestimmten Bedingu</w:t>
      </w:r>
      <w:r w:rsidRPr="00156980">
        <w:rPr>
          <w:szCs w:val="17"/>
        </w:rPr>
        <w:t>n</w:t>
      </w:r>
      <w:r w:rsidRPr="00156980">
        <w:rPr>
          <w:szCs w:val="17"/>
        </w:rPr>
        <w:t>gen füreinander einsetzbaren Elementen. Die innerhalb dieser Kategorien vorhandenen Variationsmöglichkeiten werden von der jeweils zugehörigen Be</w:t>
      </w:r>
      <w:r>
        <w:rPr>
          <w:szCs w:val="17"/>
        </w:rPr>
        <w:t>schreibungsebene</w:t>
      </w:r>
      <w:r w:rsidR="005D7996">
        <w:rPr>
          <w:szCs w:val="17"/>
        </w:rPr>
        <w:fldChar w:fldCharType="begin"/>
      </w:r>
      <w:r>
        <w:instrText xml:space="preserve"> XE "</w:instrText>
      </w:r>
      <w:r w:rsidRPr="00D31CD7">
        <w:rPr>
          <w:szCs w:val="17"/>
        </w:rPr>
        <w:instrText>Beschreibungsebene</w:instrText>
      </w:r>
      <w:r>
        <w:instrText xml:space="preserve">" </w:instrText>
      </w:r>
      <w:r w:rsidR="005D7996">
        <w:rPr>
          <w:szCs w:val="17"/>
        </w:rPr>
        <w:fldChar w:fldCharType="end"/>
      </w:r>
      <w:r>
        <w:rPr>
          <w:szCs w:val="17"/>
        </w:rPr>
        <w:t xml:space="preserve"> der „</w:t>
      </w:r>
      <w:r>
        <w:rPr>
          <w:szCs w:val="17"/>
        </w:rPr>
        <w:noBreakHyphen/>
      </w:r>
      <w:r w:rsidRPr="00156980">
        <w:rPr>
          <w:szCs w:val="17"/>
        </w:rPr>
        <w:t>etik“ (z.B. Phonetik</w:t>
      </w:r>
      <w:r w:rsidR="005D7996">
        <w:rPr>
          <w:szCs w:val="17"/>
        </w:rPr>
        <w:fldChar w:fldCharType="begin"/>
      </w:r>
      <w:r>
        <w:instrText xml:space="preserve"> XE "</w:instrText>
      </w:r>
      <w:r w:rsidRPr="00A97132">
        <w:rPr>
          <w:szCs w:val="17"/>
        </w:rPr>
        <w:instrText>Phonetik</w:instrText>
      </w:r>
      <w:r>
        <w:instrText xml:space="preserve">" </w:instrText>
      </w:r>
      <w:r w:rsidR="005D7996">
        <w:rPr>
          <w:szCs w:val="17"/>
        </w:rPr>
        <w:fldChar w:fldCharType="end"/>
      </w:r>
      <w:r w:rsidRPr="00156980">
        <w:rPr>
          <w:szCs w:val="17"/>
        </w:rPr>
        <w:t>, Graphetik</w:t>
      </w:r>
      <w:r w:rsidR="005D7996">
        <w:rPr>
          <w:szCs w:val="17"/>
        </w:rPr>
        <w:fldChar w:fldCharType="begin"/>
      </w:r>
      <w:r>
        <w:instrText xml:space="preserve"> XE "</w:instrText>
      </w:r>
      <w:r w:rsidRPr="00114D4B">
        <w:rPr>
          <w:szCs w:val="17"/>
        </w:rPr>
        <w:instrText>Graphetik</w:instrText>
      </w:r>
      <w:r>
        <w:instrText xml:space="preserve">" </w:instrText>
      </w:r>
      <w:r w:rsidR="005D7996">
        <w:rPr>
          <w:szCs w:val="17"/>
        </w:rPr>
        <w:fldChar w:fldCharType="end"/>
      </w:r>
      <w:r w:rsidRPr="00156980">
        <w:rPr>
          <w:szCs w:val="17"/>
        </w:rPr>
        <w:t>; weniger verbreitet sind Morphetik</w:t>
      </w:r>
      <w:r w:rsidR="005D7996">
        <w:rPr>
          <w:szCs w:val="17"/>
        </w:rPr>
        <w:fldChar w:fldCharType="begin"/>
      </w:r>
      <w:r>
        <w:instrText xml:space="preserve"> XE "</w:instrText>
      </w:r>
      <w:r w:rsidRPr="000770C7">
        <w:rPr>
          <w:szCs w:val="17"/>
        </w:rPr>
        <w:instrText>Morphetik</w:instrText>
      </w:r>
      <w:r>
        <w:instrText xml:space="preserve">" </w:instrText>
      </w:r>
      <w:r w:rsidR="005D7996">
        <w:rPr>
          <w:szCs w:val="17"/>
        </w:rPr>
        <w:fldChar w:fldCharType="end"/>
      </w:r>
      <w:r w:rsidRPr="00156980">
        <w:rPr>
          <w:szCs w:val="17"/>
        </w:rPr>
        <w:t xml:space="preserve"> und Semetik) u</w:t>
      </w:r>
      <w:r w:rsidRPr="00156980">
        <w:rPr>
          <w:szCs w:val="17"/>
        </w:rPr>
        <w:t>n</w:t>
      </w:r>
      <w:r w:rsidRPr="00156980">
        <w:rPr>
          <w:szCs w:val="17"/>
        </w:rPr>
        <w:t>tersucht, die die konkret auftretenden Erscheinungsformen (z.B. Phon</w:t>
      </w:r>
      <w:r w:rsidR="005D7996">
        <w:rPr>
          <w:szCs w:val="17"/>
        </w:rPr>
        <w:fldChar w:fldCharType="begin"/>
      </w:r>
      <w:r>
        <w:instrText xml:space="preserve"> XE "</w:instrText>
      </w:r>
      <w:r w:rsidRPr="005A3BA3">
        <w:rPr>
          <w:szCs w:val="17"/>
        </w:rPr>
        <w:instrText>Phon</w:instrText>
      </w:r>
      <w:r>
        <w:instrText xml:space="preserve">" </w:instrText>
      </w:r>
      <w:r w:rsidR="005D7996">
        <w:rPr>
          <w:szCs w:val="17"/>
        </w:rPr>
        <w:fldChar w:fldCharType="end"/>
      </w:r>
      <w:r w:rsidRPr="00156980">
        <w:rPr>
          <w:szCs w:val="17"/>
        </w:rPr>
        <w:t>, Graph</w:t>
      </w:r>
      <w:r w:rsidR="005D7996">
        <w:rPr>
          <w:szCs w:val="17"/>
        </w:rPr>
        <w:fldChar w:fldCharType="begin"/>
      </w:r>
      <w:r>
        <w:instrText xml:space="preserve"> XE "</w:instrText>
      </w:r>
      <w:r w:rsidRPr="008B6F17">
        <w:rPr>
          <w:szCs w:val="17"/>
        </w:rPr>
        <w:instrText>Graph</w:instrText>
      </w:r>
      <w:r>
        <w:instrText xml:space="preserve">" </w:instrText>
      </w:r>
      <w:r w:rsidR="005D7996">
        <w:rPr>
          <w:szCs w:val="17"/>
        </w:rPr>
        <w:fldChar w:fldCharType="end"/>
      </w:r>
      <w:r w:rsidRPr="00156980">
        <w:rPr>
          <w:szCs w:val="17"/>
        </w:rPr>
        <w:t>, Morph</w:t>
      </w:r>
      <w:r w:rsidR="005D7996">
        <w:rPr>
          <w:szCs w:val="17"/>
        </w:rPr>
        <w:fldChar w:fldCharType="begin"/>
      </w:r>
      <w:r>
        <w:instrText xml:space="preserve"> XE "</w:instrText>
      </w:r>
      <w:r w:rsidRPr="00474B9A">
        <w:rPr>
          <w:szCs w:val="17"/>
        </w:rPr>
        <w:instrText>Morph</w:instrText>
      </w:r>
      <w:r>
        <w:instrText xml:space="preserve">" </w:instrText>
      </w:r>
      <w:r w:rsidR="005D7996">
        <w:rPr>
          <w:szCs w:val="17"/>
        </w:rPr>
        <w:fldChar w:fldCharType="end"/>
      </w:r>
      <w:r w:rsidRPr="00156980">
        <w:rPr>
          <w:szCs w:val="17"/>
        </w:rPr>
        <w:t xml:space="preserve"> und Sem</w:t>
      </w:r>
      <w:r w:rsidR="005D7996">
        <w:rPr>
          <w:szCs w:val="17"/>
        </w:rPr>
        <w:fldChar w:fldCharType="begin"/>
      </w:r>
      <w:r>
        <w:instrText xml:space="preserve"> XE "</w:instrText>
      </w:r>
      <w:r w:rsidRPr="00680431">
        <w:rPr>
          <w:szCs w:val="17"/>
        </w:rPr>
        <w:instrText>Sem</w:instrText>
      </w:r>
      <w:r>
        <w:instrText xml:space="preserve">" </w:instrText>
      </w:r>
      <w:r w:rsidR="005D7996">
        <w:rPr>
          <w:szCs w:val="17"/>
        </w:rPr>
        <w:fldChar w:fldCharType="end"/>
      </w:r>
      <w:r w:rsidRPr="00156980">
        <w:rPr>
          <w:szCs w:val="17"/>
        </w:rPr>
        <w:t>) beschreiben.</w:t>
      </w:r>
    </w:p>
  </w:footnote>
  <w:footnote w:id="2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Für das Stilmodell werden nur diejenigen Termini definiert, deren Funktion grundlegend ist und die nicht aus den angegebenen Algorithmen</w:t>
      </w:r>
      <w:r w:rsidR="005D7996">
        <w:rPr>
          <w:szCs w:val="17"/>
        </w:rPr>
        <w:fldChar w:fldCharType="begin"/>
      </w:r>
      <w:r>
        <w:instrText xml:space="preserve"> XE "</w:instrText>
      </w:r>
      <w:r w:rsidRPr="008000A4">
        <w:instrText>Algorithmus</w:instrText>
      </w:r>
      <w:r>
        <w:instrText xml:space="preserve">" </w:instrText>
      </w:r>
      <w:r w:rsidR="005D7996">
        <w:rPr>
          <w:szCs w:val="17"/>
        </w:rPr>
        <w:fldChar w:fldCharType="end"/>
      </w:r>
      <w:r w:rsidRPr="00156980">
        <w:rPr>
          <w:szCs w:val="17"/>
        </w:rPr>
        <w:t xml:space="preserve"> und Erläuterungen verständlich we</w:t>
      </w:r>
      <w:r w:rsidRPr="00156980">
        <w:rPr>
          <w:szCs w:val="17"/>
        </w:rPr>
        <w:t>r</w:t>
      </w:r>
      <w:r w:rsidRPr="00156980">
        <w:rPr>
          <w:szCs w:val="17"/>
        </w:rPr>
        <w:t>den.</w:t>
      </w:r>
    </w:p>
  </w:footnote>
  <w:footnote w:id="2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erfolgt in der Funktion </w:t>
      </w:r>
      <w:r w:rsidRPr="00156980">
        <w:rPr>
          <w:i/>
          <w:szCs w:val="17"/>
        </w:rPr>
        <w:t>Schemaausführung</w:t>
      </w:r>
      <w:r w:rsidRPr="00156980">
        <w:rPr>
          <w:szCs w:val="17"/>
        </w:rPr>
        <w:t xml:space="preserve">, Zeile 13 (siehe Abschnitt </w:t>
      </w:r>
      <w:fldSimple w:instr=" REF _Ref212110965 \r \h  \* MERGEFORMAT ">
        <w:r w:rsidR="001231D3" w:rsidRPr="001231D3">
          <w:rPr>
            <w:szCs w:val="17"/>
          </w:rPr>
          <w:t>5.2.2</w:t>
        </w:r>
      </w:fldSimple>
      <w:r w:rsidRPr="00156980">
        <w:rPr>
          <w:szCs w:val="17"/>
        </w:rPr>
        <w:t xml:space="preserve">), sowie der Funktion </w:t>
      </w:r>
      <w:r w:rsidRPr="00156980">
        <w:rPr>
          <w:i/>
          <w:szCs w:val="17"/>
        </w:rPr>
        <w:t>Merkmalsregeln_auslesen</w:t>
      </w:r>
      <w:r w:rsidRPr="00156980">
        <w:rPr>
          <w:szCs w:val="17"/>
        </w:rPr>
        <w:t xml:space="preserve">, Zeile 17 (siehe Abschnitt </w:t>
      </w:r>
      <w:fldSimple w:instr=" REF _Ref254084330 \r \h  \* MERGEFORMAT ">
        <w:r w:rsidR="001231D3" w:rsidRPr="001231D3">
          <w:rPr>
            <w:szCs w:val="17"/>
          </w:rPr>
          <w:t>5.5.3</w:t>
        </w:r>
      </w:fldSimple>
      <w:r w:rsidRPr="00156980">
        <w:rPr>
          <w:szCs w:val="17"/>
        </w:rPr>
        <w:t>).</w:t>
      </w:r>
    </w:p>
  </w:footnote>
  <w:footnote w:id="2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Zur Schematheorie</w:t>
      </w:r>
      <w:r w:rsidR="005D7996">
        <w:rPr>
          <w:szCs w:val="17"/>
        </w:rPr>
        <w:fldChar w:fldCharType="begin"/>
      </w:r>
      <w:r>
        <w:instrText xml:space="preserve"> XE "</w:instrText>
      </w:r>
      <w:r w:rsidRPr="006263C1">
        <w:instrText>Schematheorie</w:instrText>
      </w:r>
      <w:r>
        <w:instrText xml:space="preserve">" </w:instrText>
      </w:r>
      <w:r w:rsidR="005D7996">
        <w:rPr>
          <w:szCs w:val="17"/>
        </w:rPr>
        <w:fldChar w:fldCharType="end"/>
      </w:r>
      <w:r w:rsidRPr="00156980">
        <w:rPr>
          <w:szCs w:val="17"/>
        </w:rPr>
        <w:t xml:space="preserve"> vgl. Schank u.a. 1977, Arbib u.a. 1987, Arbib 2003, Lenk 1995 und 2004. Roy 2005 schlägt eine semiotische Schematheorie vor.</w:t>
      </w:r>
    </w:p>
  </w:footnote>
  <w:footnote w:id="2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„Handeln“ wird entsprechend dem üblichen Gebrauch beider Bezeichnungen als Verha</w:t>
      </w:r>
      <w:r w:rsidRPr="00156980">
        <w:rPr>
          <w:szCs w:val="17"/>
        </w:rPr>
        <w:t>l</w:t>
      </w:r>
      <w:r w:rsidRPr="00156980">
        <w:rPr>
          <w:szCs w:val="17"/>
        </w:rPr>
        <w:t>ten, mit dem etwas von dem Verhalten selbst Verschiedenes (= Ziel oder Zweck der Handlung) beabsichtigt wird, aufgefasst. Handeln ist somit immer eingeschlossen, wenn von „Verhalten“ die Rede ist.</w:t>
      </w:r>
    </w:p>
  </w:footnote>
  <w:footnote w:id="2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Unterscheidungen werden in Abschnitt </w:t>
      </w:r>
      <w:fldSimple w:instr=" REF _Ref234948524 \r \h  \* MERGEFORMAT ">
        <w:r w:rsidR="001231D3" w:rsidRPr="001231D3">
          <w:rPr>
            <w:szCs w:val="17"/>
          </w:rPr>
          <w:t>8.3.3</w:t>
        </w:r>
      </w:fldSimple>
      <w:r w:rsidRPr="00156980">
        <w:rPr>
          <w:szCs w:val="17"/>
        </w:rPr>
        <w:t xml:space="preserve"> genauer untersucht.</w:t>
      </w:r>
    </w:p>
  </w:footnote>
  <w:footnote w:id="2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Schemata können auch im Bereich des tierischen Verhaltens beschrieben werden. Ta</w:t>
      </w:r>
      <w:r w:rsidRPr="00156980">
        <w:rPr>
          <w:szCs w:val="17"/>
        </w:rPr>
        <w:t>t</w:t>
      </w:r>
      <w:r w:rsidRPr="00156980">
        <w:rPr>
          <w:szCs w:val="17"/>
        </w:rPr>
        <w:t>sächlich wird auch im Tierreich von Stilen gesprochen, etwa vom Laufstil</w:t>
      </w:r>
      <w:r w:rsidR="005D7996">
        <w:rPr>
          <w:szCs w:val="17"/>
        </w:rPr>
        <w:fldChar w:fldCharType="begin"/>
      </w:r>
      <w:r>
        <w:instrText xml:space="preserve"> XE "</w:instrText>
      </w:r>
      <w:r w:rsidRPr="00DB1B99">
        <w:instrText>Laufstil</w:instrText>
      </w:r>
      <w:r>
        <w:instrText xml:space="preserve">" </w:instrText>
      </w:r>
      <w:r w:rsidR="005D7996">
        <w:rPr>
          <w:szCs w:val="17"/>
        </w:rPr>
        <w:fldChar w:fldCharType="end"/>
      </w:r>
      <w:r w:rsidRPr="00156980">
        <w:rPr>
          <w:szCs w:val="17"/>
        </w:rPr>
        <w:t xml:space="preserve"> eines Pferdes; vgl. Abschnitt </w:t>
      </w:r>
      <w:fldSimple w:instr=" REF _Ref256202619 \r \h  \* MERGEFORMAT ">
        <w:r w:rsidR="001231D3" w:rsidRPr="001231D3">
          <w:rPr>
            <w:szCs w:val="17"/>
          </w:rPr>
          <w:t>8.3.8</w:t>
        </w:r>
      </w:fldSimple>
      <w:r w:rsidRPr="00156980">
        <w:rPr>
          <w:szCs w:val="17"/>
        </w:rPr>
        <w:t>.</w:t>
      </w:r>
    </w:p>
  </w:footnote>
  <w:footnote w:id="2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Artefakt läßt sich leicht definieren, wenn man annimmt, daß das Verhalten eines Individuums begrifflich von seinen Ergebnissen getrennt und absichtliches von una</w:t>
      </w:r>
      <w:r w:rsidRPr="00156980">
        <w:rPr>
          <w:szCs w:val="17"/>
        </w:rPr>
        <w:t>b</w:t>
      </w:r>
      <w:r w:rsidRPr="00156980">
        <w:rPr>
          <w:szCs w:val="17"/>
        </w:rPr>
        <w:t>sichtlichem Verhalten unterschieden werden kann. Ein Artefakt ist dann alles, was E</w:t>
      </w:r>
      <w:r w:rsidRPr="00156980">
        <w:rPr>
          <w:szCs w:val="17"/>
        </w:rPr>
        <w:t>r</w:t>
      </w:r>
      <w:r w:rsidRPr="00156980">
        <w:rPr>
          <w:szCs w:val="17"/>
        </w:rPr>
        <w:t xml:space="preserve">gebnis absichtlichen Verhaltens ist, sei dieses Ergebnis nun selbst beabsichtigt oder nicht […]. Artefakte können von kurzer Dauer sein wie die Geräusche, die eine Frau erzeugt, wenn sie mit Stöckelschuhen über den Gehsteig trippelt; und sie können bleibend sein wie die Fußabdrücke, die die Frau mit ihren Schuhen im Lehm hinterlässt. Entsprechend sind </w:t>
      </w:r>
      <w:r w:rsidRPr="00156980">
        <w:rPr>
          <w:i/>
          <w:iCs/>
          <w:szCs w:val="17"/>
        </w:rPr>
        <w:t>momentane</w:t>
      </w:r>
      <w:r w:rsidRPr="00156980">
        <w:rPr>
          <w:szCs w:val="17"/>
        </w:rPr>
        <w:t xml:space="preserve"> von </w:t>
      </w:r>
      <w:r w:rsidRPr="00156980">
        <w:rPr>
          <w:i/>
          <w:iCs/>
          <w:szCs w:val="17"/>
        </w:rPr>
        <w:t>permanenten</w:t>
      </w:r>
      <w:r w:rsidRPr="00156980">
        <w:rPr>
          <w:szCs w:val="17"/>
        </w:rPr>
        <w:t xml:space="preserve"> Artefakten zu unterscheiden“ (Posner 2003a: 50f).</w:t>
      </w:r>
    </w:p>
  </w:footnote>
  <w:footnote w:id="2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Trabant (1979: 574) verzichtet auf diese Unterscheidung und betrachtet alle Stile als Handlungsstile: „Wenn wir Werke als erstarrte Handlungen (Kamlah-Lorenzen, </w:t>
      </w:r>
      <w:r w:rsidRPr="00156980">
        <w:rPr>
          <w:i/>
          <w:szCs w:val="17"/>
        </w:rPr>
        <w:t>Logische Propädeutik</w:t>
      </w:r>
      <w:r w:rsidRPr="00156980">
        <w:rPr>
          <w:szCs w:val="17"/>
        </w:rPr>
        <w:t xml:space="preserve">, 59) ansehen, so kann man sagen, daß </w:t>
      </w:r>
      <w:r w:rsidRPr="00156980">
        <w:rPr>
          <w:i/>
          <w:szCs w:val="17"/>
        </w:rPr>
        <w:t>Stil</w:t>
      </w:r>
      <w:r w:rsidRPr="00156980">
        <w:rPr>
          <w:szCs w:val="17"/>
        </w:rPr>
        <w:t xml:space="preserve"> immer von Handlungen ausgesagt wird, </w:t>
      </w:r>
      <w:r w:rsidRPr="00156980">
        <w:rPr>
          <w:i/>
          <w:szCs w:val="17"/>
        </w:rPr>
        <w:t>Stil</w:t>
      </w:r>
      <w:r w:rsidRPr="00156980">
        <w:rPr>
          <w:szCs w:val="17"/>
        </w:rPr>
        <w:t xml:space="preserve"> also immer </w:t>
      </w:r>
      <w:r w:rsidRPr="00156980">
        <w:rPr>
          <w:i/>
          <w:szCs w:val="17"/>
        </w:rPr>
        <w:t>Stil von H</w:t>
      </w:r>
      <w:r w:rsidRPr="00156980">
        <w:rPr>
          <w:szCs w:val="17"/>
        </w:rPr>
        <w:t xml:space="preserve"> (Handeln) ist.“ In diesem Fall muss man nur eine Kat</w:t>
      </w:r>
      <w:r w:rsidRPr="00156980">
        <w:rPr>
          <w:szCs w:val="17"/>
        </w:rPr>
        <w:t>e</w:t>
      </w:r>
      <w:r w:rsidRPr="00156980">
        <w:rPr>
          <w:szCs w:val="17"/>
        </w:rPr>
        <w:t>gorie von Schemata annehmen, muss aber zwei Gebäuden, die exakt gleich sind, einen u</w:t>
      </w:r>
      <w:r w:rsidRPr="00156980">
        <w:rPr>
          <w:szCs w:val="17"/>
        </w:rPr>
        <w:t>n</w:t>
      </w:r>
      <w:r w:rsidRPr="00156980">
        <w:rPr>
          <w:szCs w:val="17"/>
        </w:rPr>
        <w:t>terschiedlichen Stil zuschreiben, wenn bei ihrem Bau unterschiedliche Bautechniken zum Einsatz kamen.</w:t>
      </w:r>
    </w:p>
  </w:footnote>
  <w:footnote w:id="2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Gegensatz zu jenen Zeichenprozessen, die unabhängig von Zeichensystemen stattfi</w:t>
      </w:r>
      <w:r w:rsidRPr="00156980">
        <w:rPr>
          <w:szCs w:val="17"/>
        </w:rPr>
        <w:t>n</w:t>
      </w:r>
      <w:r w:rsidRPr="00156980">
        <w:rPr>
          <w:szCs w:val="17"/>
        </w:rPr>
        <w:t>den, etwa spontane</w:t>
      </w:r>
      <w:r>
        <w:rPr>
          <w:szCs w:val="17"/>
        </w:rPr>
        <w:t>m</w:t>
      </w:r>
      <w:r w:rsidRPr="00156980">
        <w:rPr>
          <w:szCs w:val="17"/>
        </w:rPr>
        <w:t xml:space="preserve"> </w:t>
      </w:r>
      <w:r>
        <w:t>Zeichengebrauch</w:t>
      </w:r>
      <w:r w:rsidRPr="00156980">
        <w:rPr>
          <w:szCs w:val="17"/>
        </w:rPr>
        <w:t xml:space="preserve"> oder der Deutung von Naturvorgängen als Ze</w:t>
      </w:r>
      <w:r w:rsidRPr="00156980">
        <w:rPr>
          <w:szCs w:val="17"/>
        </w:rPr>
        <w:t>i</w:t>
      </w:r>
      <w:r w:rsidRPr="00156980">
        <w:rPr>
          <w:szCs w:val="17"/>
        </w:rPr>
        <w:t>chen. (Vgl. Posner 1997–2004, Bd. 1, Art. 4.) „Zeichensystem“ wird hier als Synonym für „</w:t>
      </w:r>
      <w:r>
        <w:rPr>
          <w:szCs w:val="17"/>
        </w:rPr>
        <w:t>K</w:t>
      </w:r>
      <w:r w:rsidRPr="00156980">
        <w:rPr>
          <w:szCs w:val="17"/>
        </w:rPr>
        <w:t>ode</w:t>
      </w:r>
      <w:r w:rsidR="005D7996">
        <w:rPr>
          <w:szCs w:val="17"/>
        </w:rPr>
        <w:fldChar w:fldCharType="begin"/>
      </w:r>
      <w:r>
        <w:instrText xml:space="preserve"> XE "</w:instrText>
      </w:r>
      <w:r w:rsidRPr="00843AC3">
        <w:instrText>Kode</w:instrText>
      </w:r>
      <w:r>
        <w:instrText xml:space="preserve">" </w:instrText>
      </w:r>
      <w:r w:rsidR="005D7996">
        <w:rPr>
          <w:szCs w:val="17"/>
        </w:rPr>
        <w:fldChar w:fldCharType="end"/>
      </w:r>
      <w:r w:rsidRPr="00156980">
        <w:rPr>
          <w:szCs w:val="17"/>
        </w:rPr>
        <w:t>“ verwendet (ebd.: 221 und Art. 16).</w:t>
      </w:r>
    </w:p>
  </w:footnote>
  <w:footnote w:id="2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„Wenn etwas ein Artefakt ist und in einer Kultur</w:t>
      </w:r>
      <w:r w:rsidR="005D7996">
        <w:rPr>
          <w:szCs w:val="17"/>
        </w:rPr>
        <w:fldChar w:fldCharType="begin"/>
      </w:r>
      <w:r>
        <w:instrText xml:space="preserve"> XE "</w:instrText>
      </w:r>
      <w:r w:rsidRPr="00C1049D">
        <w:instrText>Kultur</w:instrText>
      </w:r>
      <w:r>
        <w:instrText xml:space="preserve">" </w:instrText>
      </w:r>
      <w:r w:rsidR="005D7996">
        <w:rPr>
          <w:szCs w:val="17"/>
        </w:rPr>
        <w:fldChar w:fldCharType="end"/>
      </w:r>
      <w:r w:rsidRPr="00156980">
        <w:rPr>
          <w:szCs w:val="17"/>
        </w:rPr>
        <w:t xml:space="preserve"> nicht nur eine Funktion hat, sondern auch ein Zeichen ist, das eine codierte Botschaft</w:t>
      </w:r>
      <w:r w:rsidR="005D7996">
        <w:rPr>
          <w:szCs w:val="17"/>
        </w:rPr>
        <w:fldChar w:fldCharType="begin"/>
      </w:r>
      <w:r>
        <w:instrText xml:space="preserve"> XE "</w:instrText>
      </w:r>
      <w:r w:rsidRPr="00116181">
        <w:rPr>
          <w:szCs w:val="17"/>
        </w:rPr>
        <w:instrText>Botschaft:</w:instrText>
      </w:r>
      <w:r w:rsidRPr="00116181">
        <w:instrText>kodierte</w:instrText>
      </w:r>
      <w:r>
        <w:instrText xml:space="preserve">" </w:instrText>
      </w:r>
      <w:r w:rsidR="005D7996">
        <w:rPr>
          <w:szCs w:val="17"/>
        </w:rPr>
        <w:fldChar w:fldCharType="end"/>
      </w:r>
      <w:r w:rsidRPr="00156980">
        <w:rPr>
          <w:szCs w:val="17"/>
        </w:rPr>
        <w:t xml:space="preserve"> trägt, so wird es in der Kultursemiotik als ‚Text dieser Kultur‘ bezeichnet. Texte sind immer ein Ergebnis absichtlichen Verha</w:t>
      </w:r>
      <w:r w:rsidRPr="00156980">
        <w:rPr>
          <w:szCs w:val="17"/>
        </w:rPr>
        <w:t>l</w:t>
      </w:r>
      <w:r w:rsidRPr="00156980">
        <w:rPr>
          <w:szCs w:val="17"/>
        </w:rPr>
        <w:t>tens, auch wenn nicht alle ihre Eigenschaften beabsichtigt sein müssen“ (Posner 2003a: 51). – Zur Entwicklung des Textbegriffs in den Geisteswissenschaften</w:t>
      </w:r>
      <w:r w:rsidR="005D7996">
        <w:rPr>
          <w:szCs w:val="17"/>
        </w:rPr>
        <w:fldChar w:fldCharType="begin"/>
      </w:r>
      <w:r>
        <w:instrText xml:space="preserve"> XE "</w:instrText>
      </w:r>
      <w:r w:rsidRPr="0011705D">
        <w:rPr>
          <w:szCs w:val="17"/>
        </w:rPr>
        <w:instrText>Geisteswissenschaften</w:instrText>
      </w:r>
      <w:r>
        <w:instrText xml:space="preserve">" </w:instrText>
      </w:r>
      <w:r w:rsidR="005D7996">
        <w:rPr>
          <w:szCs w:val="17"/>
        </w:rPr>
        <w:fldChar w:fldCharType="end"/>
      </w:r>
      <w:r w:rsidRPr="00156980">
        <w:rPr>
          <w:szCs w:val="17"/>
        </w:rPr>
        <w:t xml:space="preserve"> vgl. Hess-Lüttich 2006; zu ‚Text‘ als Grundbegriff der Kulturtheorie vgl. Pjatigorskij 1962, Lotman</w:t>
      </w:r>
      <w:r w:rsidR="005D7996">
        <w:rPr>
          <w:szCs w:val="17"/>
        </w:rPr>
        <w:fldChar w:fldCharType="begin"/>
      </w:r>
      <w:r>
        <w:instrText xml:space="preserve"> XE "</w:instrText>
      </w:r>
      <w:r w:rsidRPr="00BC6A93">
        <w:rPr>
          <w:rFonts w:eastAsia="Times New Roman" w:cs="Times New Roman"/>
        </w:rPr>
        <w:instrText>Lotman, Juri Michailowitsch</w:instrText>
      </w:r>
      <w:r>
        <w:instrText xml:space="preserve">" </w:instrText>
      </w:r>
      <w:r w:rsidR="005D7996">
        <w:rPr>
          <w:szCs w:val="17"/>
        </w:rPr>
        <w:fldChar w:fldCharType="end"/>
      </w:r>
      <w:r w:rsidRPr="00156980">
        <w:rPr>
          <w:szCs w:val="17"/>
        </w:rPr>
        <w:t xml:space="preserve"> 1981 und Lotman u.a. 1969.</w:t>
      </w:r>
    </w:p>
  </w:footnote>
  <w:footnote w:id="2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Dagegen kann die Phonemebene</w:t>
      </w:r>
      <w:r w:rsidR="005D7996">
        <w:rPr>
          <w:szCs w:val="17"/>
        </w:rPr>
        <w:fldChar w:fldCharType="begin"/>
      </w:r>
      <w:r>
        <w:instrText xml:space="preserve"> XE "</w:instrText>
      </w:r>
      <w:r w:rsidRPr="00E64573">
        <w:rPr>
          <w:szCs w:val="17"/>
        </w:rPr>
        <w:instrText>Phonologie</w:instrText>
      </w:r>
      <w:r>
        <w:instrText xml:space="preserve">" </w:instrText>
      </w:r>
      <w:r w:rsidR="005D7996">
        <w:rPr>
          <w:szCs w:val="17"/>
        </w:rPr>
        <w:fldChar w:fldCharType="end"/>
      </w:r>
      <w:r w:rsidRPr="00156980">
        <w:rPr>
          <w:szCs w:val="17"/>
        </w:rPr>
        <w:t>, die natürlich eine Beschreibungsebene</w:t>
      </w:r>
      <w:r w:rsidR="005D7996">
        <w:rPr>
          <w:szCs w:val="17"/>
        </w:rPr>
        <w:fldChar w:fldCharType="begin"/>
      </w:r>
      <w:r>
        <w:instrText xml:space="preserve"> XE "</w:instrText>
      </w:r>
      <w:r w:rsidRPr="00D31CD7">
        <w:rPr>
          <w:szCs w:val="17"/>
        </w:rPr>
        <w:instrText>Beschreibungsebene</w:instrText>
      </w:r>
      <w:r>
        <w:instrText xml:space="preserve">" </w:instrText>
      </w:r>
      <w:r w:rsidR="005D7996">
        <w:rPr>
          <w:szCs w:val="17"/>
        </w:rPr>
        <w:fldChar w:fldCharType="end"/>
      </w:r>
      <w:r w:rsidRPr="00156980">
        <w:rPr>
          <w:szCs w:val="17"/>
        </w:rPr>
        <w:t xml:space="preserve"> der Sprache darstellt, nicht zu einer eigenständigen Kategorie von Schemaorten werden, da sie mit a</w:t>
      </w:r>
      <w:r w:rsidRPr="00156980">
        <w:rPr>
          <w:szCs w:val="17"/>
        </w:rPr>
        <w:t>n</w:t>
      </w:r>
      <w:r w:rsidRPr="00156980">
        <w:rPr>
          <w:szCs w:val="17"/>
        </w:rPr>
        <w:t xml:space="preserve">deren Ebenen in einem zu engen Wechselverhältnis steht, als dass eigene </w:t>
      </w:r>
      <w:r>
        <w:rPr>
          <w:szCs w:val="17"/>
        </w:rPr>
        <w:t>Alter</w:t>
      </w:r>
      <w:r>
        <w:rPr>
          <w:szCs w:val="17"/>
        </w:rPr>
        <w:softHyphen/>
        <w:t>nativen</w:t>
      </w:r>
      <w:r>
        <w:rPr>
          <w:szCs w:val="17"/>
        </w:rPr>
        <w:softHyphen/>
        <w:t>klasse</w:t>
      </w:r>
      <w:r w:rsidRPr="00156980">
        <w:rPr>
          <w:szCs w:val="17"/>
        </w:rPr>
        <w:t xml:space="preserve">n gebildet werden könnten. Während etwa für inhaltsgleiche Sätze oder Wörter </w:t>
      </w:r>
      <w:r>
        <w:rPr>
          <w:szCs w:val="17"/>
        </w:rPr>
        <w:t>Alter</w:t>
      </w:r>
      <w:r>
        <w:rPr>
          <w:szCs w:val="17"/>
        </w:rPr>
        <w:softHyphen/>
        <w:t>nativen</w:t>
      </w:r>
      <w:r>
        <w:rPr>
          <w:szCs w:val="17"/>
        </w:rPr>
        <w:softHyphen/>
        <w:t>klasse</w:t>
      </w:r>
      <w:r w:rsidRPr="00156980">
        <w:rPr>
          <w:szCs w:val="17"/>
        </w:rPr>
        <w:t>n gebildet werden können, gelingt dies bei Phonemen, die immer zu Veränderungen auf höheren Ebenen führen, nicht. Die Auswahl bestimmter Phoneme</w:t>
      </w:r>
      <w:r w:rsidR="005D7996">
        <w:rPr>
          <w:szCs w:val="17"/>
        </w:rPr>
        <w:fldChar w:fldCharType="begin"/>
      </w:r>
      <w:r>
        <w:instrText xml:space="preserve"> XE "</w:instrText>
      </w:r>
      <w:r w:rsidRPr="00E73E7A">
        <w:rPr>
          <w:szCs w:val="17"/>
        </w:rPr>
        <w:instrText>Phonem</w:instrText>
      </w:r>
      <w:r>
        <w:instrText xml:space="preserve">" </w:instrText>
      </w:r>
      <w:r w:rsidR="005D7996">
        <w:rPr>
          <w:szCs w:val="17"/>
        </w:rPr>
        <w:fldChar w:fldCharType="end"/>
      </w:r>
      <w:r w:rsidRPr="00156980">
        <w:rPr>
          <w:szCs w:val="17"/>
        </w:rPr>
        <w:t xml:space="preserve"> – etwa „dunkler Vokale“; vgl. Fußnote </w:t>
      </w:r>
      <w:fldSimple w:instr=" NOTEREF _Ref212112299 \h  \* MERGEFORMAT ">
        <w:r w:rsidR="001231D3" w:rsidRPr="001231D3">
          <w:rPr>
            <w:szCs w:val="17"/>
          </w:rPr>
          <w:t>337</w:t>
        </w:r>
      </w:fldSimple>
      <w:r w:rsidRPr="00156980">
        <w:rPr>
          <w:szCs w:val="17"/>
        </w:rPr>
        <w:t xml:space="preserve"> – muss daher über Eigenschaften der Elemente auf anderen Ebenen, plausiblerweise der morphologischen Ebene</w:t>
      </w:r>
      <w:r w:rsidR="005D7996">
        <w:rPr>
          <w:szCs w:val="17"/>
        </w:rPr>
        <w:fldChar w:fldCharType="begin"/>
      </w:r>
      <w:r>
        <w:instrText xml:space="preserve"> XE "</w:instrText>
      </w:r>
      <w:r w:rsidRPr="000E372C">
        <w:rPr>
          <w:szCs w:val="17"/>
        </w:rPr>
        <w:instrText>Morphologie</w:instrText>
      </w:r>
      <w:r>
        <w:instrText xml:space="preserve"> (Linguistik)" </w:instrText>
      </w:r>
      <w:r w:rsidR="005D7996">
        <w:rPr>
          <w:szCs w:val="17"/>
        </w:rPr>
        <w:fldChar w:fldCharType="end"/>
      </w:r>
      <w:r w:rsidRPr="00156980">
        <w:rPr>
          <w:szCs w:val="17"/>
        </w:rPr>
        <w:t>, realisiert werden.</w:t>
      </w:r>
    </w:p>
  </w:footnote>
  <w:footnote w:id="2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 den Gründen für diese Entscheidung vgl. Abschnitt </w:t>
      </w:r>
      <w:fldSimple w:instr=" REF _Ref234948524 \r \h  \* MERGEFORMAT ">
        <w:r w:rsidR="001231D3" w:rsidRPr="001231D3">
          <w:rPr>
            <w:szCs w:val="17"/>
          </w:rPr>
          <w:t>8.3.3</w:t>
        </w:r>
      </w:fldSimple>
      <w:r w:rsidRPr="00156980">
        <w:rPr>
          <w:szCs w:val="17"/>
        </w:rPr>
        <w:t>.</w:t>
      </w:r>
    </w:p>
  </w:footnote>
  <w:footnote w:id="2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beziehen relevante Aspekte des Kontexts der jeweiligen Realisi</w:t>
      </w:r>
      <w:r w:rsidRPr="00156980">
        <w:rPr>
          <w:szCs w:val="17"/>
        </w:rPr>
        <w:t>e</w:t>
      </w:r>
      <w:r w:rsidRPr="00156980">
        <w:rPr>
          <w:szCs w:val="17"/>
        </w:rPr>
        <w:t xml:space="preserve">rung in </w:t>
      </w:r>
      <w:r>
        <w:rPr>
          <w:szCs w:val="17"/>
        </w:rPr>
        <w:t>Alter</w:t>
      </w:r>
      <w:r>
        <w:rPr>
          <w:szCs w:val="17"/>
        </w:rPr>
        <w:softHyphen/>
        <w:t>nativen</w:t>
      </w:r>
      <w:r>
        <w:rPr>
          <w:szCs w:val="17"/>
        </w:rPr>
        <w:softHyphen/>
        <w:t>klasse</w:t>
      </w:r>
      <w:r w:rsidRPr="00156980">
        <w:rPr>
          <w:szCs w:val="17"/>
        </w:rPr>
        <w:t>n ein, beispielsweise dass es bei einer Autofahrt regnet, dass ein Gebäude auf einem Grundstück in Hanglage gebaut wird oder dass für einen Text ein Zeichenlimit vorgegeben ist. Sie werden durch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angegeben (vgl. A</w:t>
      </w:r>
      <w:r w:rsidRPr="00156980">
        <w:rPr>
          <w:szCs w:val="17"/>
        </w:rPr>
        <w:t>b</w:t>
      </w:r>
      <w:r w:rsidRPr="00156980">
        <w:rPr>
          <w:szCs w:val="17"/>
        </w:rPr>
        <w:t xml:space="preserve">schnitt </w:t>
      </w:r>
      <w:fldSimple w:instr=" REF _Ref211841829 \r \h  \* MERGEFORMAT ">
        <w:r w:rsidR="001231D3" w:rsidRPr="001231D3">
          <w:rPr>
            <w:szCs w:val="17"/>
          </w:rPr>
          <w:t>4.3.1</w:t>
        </w:r>
      </w:fldSimple>
      <w:r w:rsidRPr="00156980">
        <w:rPr>
          <w:szCs w:val="17"/>
        </w:rPr>
        <w:t>, (2)). Diese beziehen sich auf den jeweiligen Schemaort und sind Eigenscha</w:t>
      </w:r>
      <w:r w:rsidRPr="00156980">
        <w:rPr>
          <w:szCs w:val="17"/>
        </w:rPr>
        <w:t>f</w:t>
      </w:r>
      <w:r w:rsidRPr="00156980">
        <w:rPr>
          <w:szCs w:val="17"/>
        </w:rPr>
        <w:t xml:space="preserve">ten, die sich für Elemente der </w:t>
      </w:r>
      <w:r>
        <w:rPr>
          <w:szCs w:val="17"/>
        </w:rPr>
        <w:t>Alter</w:t>
      </w:r>
      <w:r>
        <w:rPr>
          <w:szCs w:val="17"/>
        </w:rPr>
        <w:softHyphen/>
        <w:t>nativen</w:t>
      </w:r>
      <w:r>
        <w:rPr>
          <w:szCs w:val="17"/>
        </w:rPr>
        <w:softHyphen/>
        <w:t>klasse</w:t>
      </w:r>
      <w:r w:rsidRPr="00156980">
        <w:rPr>
          <w:szCs w:val="17"/>
        </w:rPr>
        <w:t>n aus dem Kontext ergeben, beispiel</w:t>
      </w:r>
      <w:r w:rsidRPr="00156980">
        <w:rPr>
          <w:szCs w:val="17"/>
        </w:rPr>
        <w:t>s</w:t>
      </w:r>
      <w:r w:rsidRPr="00156980">
        <w:rPr>
          <w:szCs w:val="17"/>
        </w:rPr>
        <w:t>weise ‚bei Regen‘ bei den Schemaorten ‚Abbiegen‘, ‚Anhalten‘ und ‚Überholen‘ einer A</w:t>
      </w:r>
      <w:r w:rsidRPr="00156980">
        <w:rPr>
          <w:szCs w:val="17"/>
        </w:rPr>
        <w:t>u</w:t>
      </w:r>
      <w:r w:rsidRPr="00156980">
        <w:rPr>
          <w:szCs w:val="17"/>
        </w:rPr>
        <w:t>tofahrt, ‚in Hanglage‘ bei den Schemaorten ‚Grundrissgestaltung‘ und ‚Fassaden</w:t>
      </w:r>
      <w:r>
        <w:rPr>
          <w:szCs w:val="17"/>
        </w:rPr>
        <w:softHyphen/>
      </w:r>
      <w:r w:rsidRPr="00156980">
        <w:rPr>
          <w:szCs w:val="17"/>
        </w:rPr>
        <w:t>gestal</w:t>
      </w:r>
      <w:r>
        <w:rPr>
          <w:szCs w:val="17"/>
        </w:rPr>
        <w:softHyphen/>
      </w:r>
      <w:r w:rsidRPr="00156980">
        <w:rPr>
          <w:szCs w:val="17"/>
        </w:rPr>
        <w:t>tung‘ eines Gebäudes, ‚bei Limit von maximal 10.000 Zeichen‘ bei den Schemaorten ‚Gesamtlänge‘ und ‚Argumentationsstruktur‘ eines Texts.</w:t>
      </w:r>
    </w:p>
    <w:p w:rsidR="00CC3558" w:rsidRPr="00156980" w:rsidRDefault="00CC3558" w:rsidP="00F461D9">
      <w:pPr>
        <w:pStyle w:val="Funotentext"/>
        <w:rPr>
          <w:szCs w:val="17"/>
        </w:rPr>
      </w:pPr>
      <w:r w:rsidRPr="00156980">
        <w:rPr>
          <w:szCs w:val="17"/>
        </w:rPr>
        <w:tab/>
        <w:t>Zu den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werden auch jene Eigenschaften gezählt, die sich aus Ziel bzw. Zweck eines Verhaltens ergeben. Hat eine Autofahrt ein bestimmtes Ziel, schreibt dies beim Schemaort ‚Fahrtroute‘ die Eigenschaft ‚endet in [Zielort]‘ vor; hat eine U</w:t>
      </w:r>
      <w:r w:rsidRPr="00156980">
        <w:rPr>
          <w:szCs w:val="17"/>
        </w:rPr>
        <w:t>r</w:t>
      </w:r>
      <w:r w:rsidRPr="00156980">
        <w:rPr>
          <w:szCs w:val="17"/>
        </w:rPr>
        <w:t>laubsreise den Zweck, sich gesundheitlich zu erholen, müssen das ‚Klima am Urlaubsort‘ ‚gesund‘ und die ‚Aktivitäten am Urlaubsort‘ ‚erholsam‘ sein; wird eine Straße mit dem Ziel gebaut, eine andere zu entlasten, muss ihre ‚Verkehrskapazität‘ ‚ausreichend für den Verkehr der zu entlastenden Straße‘ sein.</w:t>
      </w:r>
    </w:p>
  </w:footnote>
  <w:footnote w:id="2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Funktionale Bedingungen legen Eigenschaften fest, die durch spezielle Funktionen eines Artefakttokens bedingt werden, die nicht allgemein für den durch ein Artefaktschema festgelegten Artefakttyp gelten: Beispielsweise die Eigenschaften von Zügen, die au</w:t>
      </w:r>
      <w:r w:rsidRPr="00156980">
        <w:rPr>
          <w:szCs w:val="17"/>
        </w:rPr>
        <w:t>f</w:t>
      </w:r>
      <w:r w:rsidRPr="00156980">
        <w:rPr>
          <w:szCs w:val="17"/>
        </w:rPr>
        <w:t>grund der vorgesehenen Einsatzstrecke erforderlich sind, oder die Eigenschaften von Häusern, die durch den Verwendungszweck und das vorgesehene Raumprogramm b</w:t>
      </w:r>
      <w:r w:rsidRPr="00156980">
        <w:rPr>
          <w:szCs w:val="17"/>
        </w:rPr>
        <w:t>e</w:t>
      </w:r>
      <w:r w:rsidRPr="00156980">
        <w:rPr>
          <w:szCs w:val="17"/>
        </w:rPr>
        <w:t>dingt werden.</w:t>
      </w:r>
    </w:p>
    <w:p w:rsidR="00CC3558" w:rsidRPr="00156980" w:rsidRDefault="00CC3558" w:rsidP="00F461D9">
      <w:pPr>
        <w:pStyle w:val="Funotentext"/>
        <w:rPr>
          <w:szCs w:val="17"/>
        </w:rPr>
      </w:pPr>
      <w:r w:rsidRPr="00156980">
        <w:rPr>
          <w:szCs w:val="17"/>
        </w:rPr>
        <w:tab/>
        <w:t>Nicht zu den funktionalen Bedingungen gehören jene Eigenschaften, die sich durch die Funktion eines Artefakttyps ergeben; diese gehören zu den Schemaort-definierenden E</w:t>
      </w:r>
      <w:r w:rsidRPr="00156980">
        <w:rPr>
          <w:szCs w:val="17"/>
        </w:rPr>
        <w:t>i</w:t>
      </w:r>
      <w:r w:rsidRPr="00156980">
        <w:rPr>
          <w:szCs w:val="17"/>
        </w:rPr>
        <w:t>genschaften des diesem Artefakttyp zugrunde liegenden Artefaktschemas. So sind be</w:t>
      </w:r>
      <w:r w:rsidRPr="00156980">
        <w:rPr>
          <w:szCs w:val="17"/>
        </w:rPr>
        <w:t>i</w:t>
      </w:r>
      <w:r w:rsidRPr="00156980">
        <w:rPr>
          <w:szCs w:val="17"/>
        </w:rPr>
        <w:t>spielsweise die Eigenschaft von Eisenbahnzügen, fahren zu können, oder die Eigenschaft von Häusern, dass man sie betreten kann, im jeweiligen Artefaktschema definiert; gelten sie nicht, handelt es sich nicht um eine (gelungene) Realisierung des Schemas.</w:t>
      </w:r>
    </w:p>
    <w:p w:rsidR="00CC3558" w:rsidRPr="00156980" w:rsidRDefault="00CC3558" w:rsidP="00F461D9">
      <w:pPr>
        <w:pStyle w:val="Funotentext"/>
        <w:rPr>
          <w:szCs w:val="17"/>
        </w:rPr>
      </w:pPr>
      <w:r w:rsidRPr="00156980">
        <w:rPr>
          <w:szCs w:val="17"/>
        </w:rPr>
        <w:tab/>
        <w:t>Eine spezielle Neigetechnik bei einem Zug wird als funktionale Bedingung für den Sch</w:t>
      </w:r>
      <w:r w:rsidRPr="00156980">
        <w:rPr>
          <w:szCs w:val="17"/>
        </w:rPr>
        <w:t>e</w:t>
      </w:r>
      <w:r w:rsidRPr="00156980">
        <w:rPr>
          <w:szCs w:val="17"/>
        </w:rPr>
        <w:t>maort ‚Fahrwerk‘ festgelegt, wenn er speziell für den Einsatz auf kurvigen Strecken ko</w:t>
      </w:r>
      <w:r w:rsidRPr="00156980">
        <w:rPr>
          <w:szCs w:val="17"/>
        </w:rPr>
        <w:t>n</w:t>
      </w:r>
      <w:r w:rsidRPr="00156980">
        <w:rPr>
          <w:szCs w:val="17"/>
        </w:rPr>
        <w:t>struiert wurde. Es sind aber durchaus nicht alle technischen Eigenschaften funktional: Beispielsweise können beim Schemaort ‚Fahrwerk‘ des TGV die Eigenschaft, nur ‚ein Drehgestell pro Wagen‘ zu haben, und des ICE, ‚zwei Drehgestelle pro Wagen‘ zu haben, stilistisch bedingt sein, weil sie nicht durch den vorgesehenen Einsatz festgelegt sind. Bei einem Gebäude bildet für den Schemaort ‚Grundriss‘ die Eigenschaft ‚füllt das Grun</w:t>
      </w:r>
      <w:r w:rsidRPr="00156980">
        <w:rPr>
          <w:szCs w:val="17"/>
        </w:rPr>
        <w:t>d</w:t>
      </w:r>
      <w:r w:rsidRPr="00156980">
        <w:rPr>
          <w:szCs w:val="17"/>
        </w:rPr>
        <w:t>stück vollständig aus‘ eine funktionale Bedingung, wenn das Raumprogramm sie erfo</w:t>
      </w:r>
      <w:r w:rsidRPr="00156980">
        <w:rPr>
          <w:szCs w:val="17"/>
        </w:rPr>
        <w:t>r</w:t>
      </w:r>
      <w:r w:rsidRPr="00156980">
        <w:rPr>
          <w:szCs w:val="17"/>
        </w:rPr>
        <w:t>dert, weil die erlaubte Bauhöhe bereits erreicht ist. Würde die Höhenbegrenzung fehlen, so dass das Gebäude auch höher und mit kleinerem Grundriss ausgeführt werden könnte, kann diese Eigenschaft stilistisch bedingt sein.</w:t>
      </w:r>
    </w:p>
  </w:footnote>
  <w:footnote w:id="2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Inhaltliche Bedingungen gibt es nicht nur bei der Realisierung von Textschemata, so</w:t>
      </w:r>
      <w:r w:rsidRPr="00156980">
        <w:rPr>
          <w:szCs w:val="17"/>
        </w:rPr>
        <w:t>n</w:t>
      </w:r>
      <w:r w:rsidRPr="00156980">
        <w:rPr>
          <w:szCs w:val="17"/>
        </w:rPr>
        <w:t xml:space="preserve">dern überall, wo </w:t>
      </w:r>
      <w:r>
        <w:t>Zeichengebrauch</w:t>
      </w:r>
      <w:r w:rsidRPr="00156980">
        <w:rPr>
          <w:szCs w:val="17"/>
        </w:rPr>
        <w:t xml:space="preserve"> vorkommt. Sie sind allerdings der Normalfall bei der Erzeugung von Texten, während sie bei der Realisierung von Verhaltens- und Artefakt</w:t>
      </w:r>
      <w:r>
        <w:rPr>
          <w:szCs w:val="17"/>
        </w:rPr>
        <w:softHyphen/>
      </w:r>
      <w:r w:rsidRPr="00156980">
        <w:rPr>
          <w:szCs w:val="17"/>
        </w:rPr>
        <w:t>schemata nur vorkommen, wenn diese Zeichen</w:t>
      </w:r>
      <w:r>
        <w:rPr>
          <w:szCs w:val="17"/>
        </w:rPr>
        <w:t>gebrauch</w:t>
      </w:r>
      <w:r w:rsidRPr="00156980">
        <w:rPr>
          <w:szCs w:val="17"/>
        </w:rPr>
        <w:t xml:space="preserve"> </w:t>
      </w:r>
      <w:r>
        <w:rPr>
          <w:szCs w:val="17"/>
        </w:rPr>
        <w:t xml:space="preserve">bzw. Zeichen </w:t>
      </w:r>
      <w:r w:rsidRPr="00156980">
        <w:rPr>
          <w:szCs w:val="17"/>
        </w:rPr>
        <w:t>beinhalten. Inhal</w:t>
      </w:r>
      <w:r w:rsidRPr="00156980">
        <w:rPr>
          <w:szCs w:val="17"/>
        </w:rPr>
        <w:t>t</w:t>
      </w:r>
      <w:r w:rsidRPr="00156980">
        <w:rPr>
          <w:szCs w:val="17"/>
        </w:rPr>
        <w:t>liche Bedingungen sind bei Texten also stets gegeben; bei Verhalten und bei Artefakten treten sie nur bei einigen Schemata auf, etwa bei Realisierungen des Verhaltensschemas ‚Signalisieren‘ oder ‚Kommunizieren‘ (deren Verhaltensergebnisse, wenn kodierte Ze</w:t>
      </w:r>
      <w:r w:rsidRPr="00156980">
        <w:rPr>
          <w:szCs w:val="17"/>
        </w:rPr>
        <w:t>i</w:t>
      </w:r>
      <w:r w:rsidRPr="00156980">
        <w:rPr>
          <w:szCs w:val="17"/>
        </w:rPr>
        <w:t xml:space="preserve">chen </w:t>
      </w:r>
      <w:r>
        <w:rPr>
          <w:szCs w:val="17"/>
        </w:rPr>
        <w:t>gebraucht</w:t>
      </w:r>
      <w:r w:rsidRPr="00156980">
        <w:rPr>
          <w:szCs w:val="17"/>
        </w:rPr>
        <w:t xml:space="preserve"> werden, Texte sind) oder des Artefaktschemas ‚</w:t>
      </w:r>
      <w:r>
        <w:rPr>
          <w:szCs w:val="17"/>
        </w:rPr>
        <w:t>darstellendes Bild</w:t>
      </w:r>
      <w:r w:rsidR="005D7996">
        <w:rPr>
          <w:szCs w:val="17"/>
        </w:rPr>
        <w:fldChar w:fldCharType="begin"/>
      </w:r>
      <w:r>
        <w:instrText xml:space="preserve"> XE "</w:instrText>
      </w:r>
      <w:r w:rsidRPr="00EF0C2F">
        <w:instrText>Bilder:darstellende</w:instrText>
      </w:r>
      <w:r>
        <w:instrText xml:space="preserve">" </w:instrText>
      </w:r>
      <w:r w:rsidR="005D7996">
        <w:rPr>
          <w:szCs w:val="17"/>
        </w:rPr>
        <w:fldChar w:fldCharType="end"/>
      </w:r>
      <w:r w:rsidRPr="00156980">
        <w:rPr>
          <w:szCs w:val="17"/>
        </w:rPr>
        <w:t xml:space="preserve">‘ (vgl. Fußnote </w:t>
      </w:r>
      <w:fldSimple w:instr=" NOTEREF _Ref261706220 \h  \* MERGEFORMAT ">
        <w:r w:rsidR="001231D3" w:rsidRPr="001231D3">
          <w:rPr>
            <w:szCs w:val="17"/>
          </w:rPr>
          <w:t>495</w:t>
        </w:r>
      </w:fldSimple>
      <w:r w:rsidRPr="00156980">
        <w:rPr>
          <w:szCs w:val="17"/>
        </w:rPr>
        <w:t>).</w:t>
      </w:r>
    </w:p>
  </w:footnote>
  <w:footnote w:id="2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kann wahrscheinlich mit der Prototypentheorie</w:t>
      </w:r>
      <w:r w:rsidR="005D7996">
        <w:rPr>
          <w:szCs w:val="17"/>
        </w:rPr>
        <w:fldChar w:fldCharType="begin"/>
      </w:r>
      <w:r>
        <w:instrText xml:space="preserve"> XE "</w:instrText>
      </w:r>
      <w:r w:rsidRPr="0072400D">
        <w:instrText>Prototypentheorie</w:instrText>
      </w:r>
      <w:r>
        <w:instrText xml:space="preserve">" </w:instrText>
      </w:r>
      <w:r w:rsidR="005D7996">
        <w:rPr>
          <w:szCs w:val="17"/>
        </w:rPr>
        <w:fldChar w:fldCharType="end"/>
      </w:r>
      <w:r w:rsidRPr="00156980">
        <w:rPr>
          <w:szCs w:val="17"/>
        </w:rPr>
        <w:t xml:space="preserve"> erklärt werden (vgl. Fußnote </w:t>
      </w:r>
      <w:fldSimple w:instr=" NOTEREF _Ref269248653 \h  \* MERGEFORMAT ">
        <w:r w:rsidR="001231D3" w:rsidRPr="001231D3">
          <w:rPr>
            <w:szCs w:val="17"/>
          </w:rPr>
          <w:t>325</w:t>
        </w:r>
      </w:fldSimple>
      <w:r w:rsidRPr="00156980">
        <w:rPr>
          <w:szCs w:val="17"/>
        </w:rPr>
        <w:t>): Für die meisten von uns findet bei einem Artefakt oder bei einem Text die prototypische Interaktion mit dem Verhaltensergebnis statt, bei einem Verhalten, sei es nun von uns oder von jemand anderem, dagegen mit dem Verhalten selbst.</w:t>
      </w:r>
    </w:p>
  </w:footnote>
  <w:footnote w:id="292">
    <w:p w:rsidR="00CC3558" w:rsidRPr="00156980" w:rsidRDefault="00CC3558" w:rsidP="00F461D9">
      <w:pPr>
        <w:pStyle w:val="Funotentext"/>
        <w:rPr>
          <w:i/>
          <w:szCs w:val="17"/>
        </w:rPr>
      </w:pPr>
      <w:r w:rsidRPr="00156980">
        <w:rPr>
          <w:rStyle w:val="Funotenzeichen"/>
          <w:szCs w:val="17"/>
        </w:rPr>
        <w:footnoteRef/>
      </w:r>
      <w:r w:rsidRPr="00156980">
        <w:rPr>
          <w:szCs w:val="17"/>
        </w:rPr>
        <w:t xml:space="preserve"> </w:t>
      </w:r>
      <w:r w:rsidRPr="00156980">
        <w:rPr>
          <w:szCs w:val="17"/>
        </w:rPr>
        <w:tab/>
        <w:t xml:space="preserve">Es ist zu beachten, dass die hier zugrunde gelegte Artefaktdefinition nicht nur Artefakte mit einer Funktion umfasst (vgl. Fußnote </w:t>
      </w:r>
      <w:fldSimple w:instr=" NOTEREF _Ref213645518 \h  \* MERGEFORMAT ">
        <w:r w:rsidR="001231D3" w:rsidRPr="001231D3">
          <w:rPr>
            <w:szCs w:val="17"/>
          </w:rPr>
          <w:t>282</w:t>
        </w:r>
      </w:fldSimple>
      <w:r w:rsidRPr="00156980">
        <w:rPr>
          <w:szCs w:val="17"/>
        </w:rPr>
        <w:t>; im Anschluss an die dort zitierte Passage heißt es weiter: „Artefakte werden meist hergestellt, um eine bestimmte Funktion zu e</w:t>
      </w:r>
      <w:r w:rsidRPr="00156980">
        <w:rPr>
          <w:szCs w:val="17"/>
        </w:rPr>
        <w:t>r</w:t>
      </w:r>
      <w:r w:rsidRPr="00156980">
        <w:rPr>
          <w:szCs w:val="17"/>
        </w:rPr>
        <w:t>füllen. Permanente Artefakte mit einer Funktion nennt man ‚</w:t>
      </w:r>
      <w:r w:rsidRPr="00156980">
        <w:rPr>
          <w:i/>
          <w:iCs/>
          <w:szCs w:val="17"/>
        </w:rPr>
        <w:t>Werkzeuge</w:t>
      </w:r>
      <w:r w:rsidRPr="00156980">
        <w:rPr>
          <w:szCs w:val="17"/>
        </w:rPr>
        <w:t>‘“ (Posner 2003a: 51)). Ebenso gibt es auch Texte</w:t>
      </w:r>
      <w:r>
        <w:rPr>
          <w:szCs w:val="17"/>
        </w:rPr>
        <w:t>, die</w:t>
      </w:r>
      <w:r w:rsidRPr="00156980">
        <w:rPr>
          <w:szCs w:val="17"/>
        </w:rPr>
        <w:t xml:space="preserve"> keine unmittelbare Funktion haben, sowie </w:t>
      </w:r>
      <w:r>
        <w:rPr>
          <w:szCs w:val="17"/>
        </w:rPr>
        <w:t>solche</w:t>
      </w:r>
      <w:r w:rsidRPr="00156980">
        <w:rPr>
          <w:szCs w:val="17"/>
        </w:rPr>
        <w:t xml:space="preserve">, die keinen klar feststellbaren Inhalt haben, so dass sich eine </w:t>
      </w:r>
      <w:r>
        <w:rPr>
          <w:szCs w:val="17"/>
        </w:rPr>
        <w:t>Alter</w:t>
      </w:r>
      <w:r>
        <w:rPr>
          <w:szCs w:val="17"/>
        </w:rPr>
        <w:softHyphen/>
        <w:t>nativen</w:t>
      </w:r>
      <w:r>
        <w:rPr>
          <w:szCs w:val="17"/>
        </w:rPr>
        <w:softHyphen/>
        <w:t>klasse</w:t>
      </w:r>
      <w:r w:rsidRPr="00156980">
        <w:rPr>
          <w:szCs w:val="17"/>
        </w:rPr>
        <w:t xml:space="preserve"> mit inhaltl</w:t>
      </w:r>
      <w:r w:rsidRPr="00156980">
        <w:rPr>
          <w:szCs w:val="17"/>
        </w:rPr>
        <w:t>i</w:t>
      </w:r>
      <w:r w:rsidRPr="00156980">
        <w:rPr>
          <w:szCs w:val="17"/>
        </w:rPr>
        <w:t>chen Bedingungen nicht formulieren lässt.</w:t>
      </w:r>
    </w:p>
  </w:footnote>
  <w:footnote w:id="2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 einem Gebäude sind ‚Tor‘, ‚Tür‘ oder ‚Giebel‘ Schemaorte, für die es feste Bezeic</w:t>
      </w:r>
      <w:r w:rsidRPr="00156980">
        <w:rPr>
          <w:szCs w:val="17"/>
        </w:rPr>
        <w:t>h</w:t>
      </w:r>
      <w:r w:rsidRPr="00156980">
        <w:rPr>
          <w:szCs w:val="17"/>
        </w:rPr>
        <w:t>nungen („Tor“, „Tür“ und „Giebel“) gibt. Aber auch die ‚Wandfläche über der Eingang</w:t>
      </w:r>
      <w:r w:rsidRPr="00156980">
        <w:rPr>
          <w:szCs w:val="17"/>
        </w:rPr>
        <w:t>s</w:t>
      </w:r>
      <w:r w:rsidRPr="00156980">
        <w:rPr>
          <w:szCs w:val="17"/>
        </w:rPr>
        <w:t xml:space="preserve">tür‘, für die es keine feste Bezeichnung gibt, kann ein Schemaort sein (vgl. Fußnote </w:t>
      </w:r>
      <w:fldSimple w:instr=" NOTEREF _Ref270502481 \h  \* MERGEFORMAT ">
        <w:r w:rsidR="001231D3" w:rsidRPr="001231D3">
          <w:rPr>
            <w:szCs w:val="17"/>
          </w:rPr>
          <w:t>296</w:t>
        </w:r>
      </w:fldSimple>
      <w:r w:rsidRPr="00156980">
        <w:rPr>
          <w:szCs w:val="17"/>
        </w:rPr>
        <w:t>).</w:t>
      </w:r>
    </w:p>
    <w:p w:rsidR="00CC3558" w:rsidRPr="00156980" w:rsidRDefault="00CC3558" w:rsidP="00F461D9">
      <w:pPr>
        <w:pStyle w:val="Funotentext"/>
        <w:rPr>
          <w:szCs w:val="17"/>
        </w:rPr>
      </w:pPr>
      <w:r w:rsidRPr="00156980">
        <w:rPr>
          <w:szCs w:val="17"/>
        </w:rPr>
        <w:tab/>
        <w:t>Bei manchen speziellen Schemata, etwa Schemata für technische Artefakte, für das Spi</w:t>
      </w:r>
      <w:r w:rsidRPr="00156980">
        <w:rPr>
          <w:szCs w:val="17"/>
        </w:rPr>
        <w:t>e</w:t>
      </w:r>
      <w:r w:rsidRPr="00156980">
        <w:rPr>
          <w:szCs w:val="17"/>
        </w:rPr>
        <w:t>len eines Instruments oder für Sportarten gibt es Bezeichnungen für viele Schemaorte, die aber meist nur den Spezialisten bekannt sind. Bei manchen Schemata, etwa Bewegung</w:t>
      </w:r>
      <w:r w:rsidRPr="00156980">
        <w:rPr>
          <w:szCs w:val="17"/>
        </w:rPr>
        <w:t>s</w:t>
      </w:r>
      <w:r w:rsidRPr="00156980">
        <w:rPr>
          <w:szCs w:val="17"/>
        </w:rPr>
        <w:t xml:space="preserve">schemata wie ‚Laufen‘ oder ‚Gehen‘ (vgl. Abschnitt </w:t>
      </w:r>
      <w:fldSimple w:instr=" REF _Ref261331554 \r \h  \* MERGEFORMAT ">
        <w:r w:rsidR="001231D3" w:rsidRPr="001231D3">
          <w:rPr>
            <w:szCs w:val="17"/>
          </w:rPr>
          <w:t>7.1.6</w:t>
        </w:r>
      </w:fldSimple>
      <w:r w:rsidRPr="00156980">
        <w:rPr>
          <w:szCs w:val="17"/>
        </w:rPr>
        <w:t>), haben nur wenige Schemaorte Bezeichnungen.</w:t>
      </w:r>
    </w:p>
  </w:footnote>
  <w:footnote w:id="29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formalen Spezifikation der Schemata Abschnitt </w:t>
      </w:r>
      <w:fldSimple w:instr=" REF _Ref212110965 \r \h  \* MERGEFORMAT ">
        <w:r w:rsidR="001231D3" w:rsidRPr="001231D3">
          <w:rPr>
            <w:szCs w:val="17"/>
          </w:rPr>
          <w:t>5.2.2</w:t>
        </w:r>
      </w:fldSimple>
      <w:r w:rsidRPr="00156980">
        <w:rPr>
          <w:szCs w:val="17"/>
        </w:rPr>
        <w:t xml:space="preserve">, Unterabschnitt </w:t>
      </w:r>
      <w:r w:rsidRPr="00156980">
        <w:rPr>
          <w:i/>
          <w:szCs w:val="17"/>
        </w:rPr>
        <w:t>Die Fun</w:t>
      </w:r>
      <w:r w:rsidRPr="00156980">
        <w:rPr>
          <w:i/>
          <w:szCs w:val="17"/>
        </w:rPr>
        <w:t>k</w:t>
      </w:r>
      <w:r w:rsidRPr="00156980">
        <w:rPr>
          <w:i/>
          <w:szCs w:val="17"/>
        </w:rPr>
        <w:t>tion</w:t>
      </w:r>
      <w:r w:rsidRPr="00156980">
        <w:rPr>
          <w:szCs w:val="17"/>
        </w:rPr>
        <w:t xml:space="preserve"> </w:t>
      </w:r>
      <w:r w:rsidRPr="00156980">
        <w:rPr>
          <w:i/>
          <w:szCs w:val="17"/>
        </w:rPr>
        <w:t>Schemata_zusammenstellen</w:t>
      </w:r>
      <w:r w:rsidRPr="00156980">
        <w:rPr>
          <w:szCs w:val="17"/>
        </w:rPr>
        <w:t>.</w:t>
      </w:r>
    </w:p>
  </w:footnote>
  <w:footnote w:id="2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Man denke etwa an die Relation zwischen der Phonemebene (= phonologischen</w:t>
      </w:r>
      <w:r w:rsidR="005D7996">
        <w:rPr>
          <w:szCs w:val="17"/>
        </w:rPr>
        <w:fldChar w:fldCharType="begin"/>
      </w:r>
      <w:r>
        <w:instrText xml:space="preserve"> XE "</w:instrText>
      </w:r>
      <w:r w:rsidRPr="00697681">
        <w:rPr>
          <w:szCs w:val="17"/>
        </w:rPr>
        <w:instrText>Phonologie</w:instrText>
      </w:r>
      <w:r>
        <w:instrText xml:space="preserve">" </w:instrText>
      </w:r>
      <w:r w:rsidR="005D7996">
        <w:rPr>
          <w:szCs w:val="17"/>
        </w:rPr>
        <w:fldChar w:fldCharType="end"/>
      </w:r>
      <w:r w:rsidRPr="00156980">
        <w:rPr>
          <w:szCs w:val="17"/>
        </w:rPr>
        <w:t xml:space="preserve"> Ebene), der Morphemebene (= morphologischen</w:t>
      </w:r>
      <w:r w:rsidR="005D7996">
        <w:rPr>
          <w:szCs w:val="17"/>
        </w:rPr>
        <w:fldChar w:fldCharType="begin"/>
      </w:r>
      <w:r>
        <w:instrText xml:space="preserve"> XE "</w:instrText>
      </w:r>
      <w:r w:rsidRPr="00697681">
        <w:rPr>
          <w:szCs w:val="17"/>
        </w:rPr>
        <w:instrText>Morphologie</w:instrText>
      </w:r>
      <w:r>
        <w:instrText xml:space="preserve"> (Linguistik)" </w:instrText>
      </w:r>
      <w:r w:rsidR="005D7996">
        <w:rPr>
          <w:szCs w:val="17"/>
        </w:rPr>
        <w:fldChar w:fldCharType="end"/>
      </w:r>
      <w:r w:rsidRPr="00156980">
        <w:rPr>
          <w:szCs w:val="17"/>
        </w:rPr>
        <w:t xml:space="preserve"> Ebene) und der Bedeutungsebene (= seman</w:t>
      </w:r>
      <w:r>
        <w:rPr>
          <w:szCs w:val="17"/>
        </w:rPr>
        <w:softHyphen/>
      </w:r>
      <w:r w:rsidRPr="00156980">
        <w:rPr>
          <w:szCs w:val="17"/>
        </w:rPr>
        <w:t>tischen</w:t>
      </w:r>
      <w:r w:rsidR="005D7996">
        <w:rPr>
          <w:szCs w:val="17"/>
        </w:rPr>
        <w:fldChar w:fldCharType="begin"/>
      </w:r>
      <w:r>
        <w:instrText xml:space="preserve"> XE "</w:instrText>
      </w:r>
      <w:r w:rsidRPr="00697681">
        <w:rPr>
          <w:szCs w:val="17"/>
        </w:rPr>
        <w:instrText>Semantik</w:instrText>
      </w:r>
      <w:r>
        <w:instrText xml:space="preserve">" </w:instrText>
      </w:r>
      <w:r w:rsidR="005D7996">
        <w:rPr>
          <w:szCs w:val="17"/>
        </w:rPr>
        <w:fldChar w:fldCharType="end"/>
      </w:r>
      <w:r w:rsidRPr="00156980">
        <w:rPr>
          <w:szCs w:val="17"/>
        </w:rPr>
        <w:t xml:space="preserve"> Ebene) der Sprache, wobei Phoneme</w:t>
      </w:r>
      <w:r w:rsidR="005D7996">
        <w:rPr>
          <w:szCs w:val="17"/>
        </w:rPr>
        <w:fldChar w:fldCharType="begin"/>
      </w:r>
      <w:r>
        <w:instrText xml:space="preserve"> XE "</w:instrText>
      </w:r>
      <w:r w:rsidRPr="00E73E7A">
        <w:rPr>
          <w:szCs w:val="17"/>
        </w:rPr>
        <w:instrText>Phonem</w:instrText>
      </w:r>
      <w:r>
        <w:instrText xml:space="preserve">" </w:instrText>
      </w:r>
      <w:r w:rsidR="005D7996">
        <w:rPr>
          <w:szCs w:val="17"/>
        </w:rPr>
        <w:fldChar w:fldCharType="end"/>
      </w:r>
      <w:r w:rsidRPr="00156980">
        <w:rPr>
          <w:szCs w:val="17"/>
        </w:rPr>
        <w:t xml:space="preserve"> die kleinsten bedeutungstragenden und Morpheme</w:t>
      </w:r>
      <w:r w:rsidR="005D7996">
        <w:rPr>
          <w:szCs w:val="17"/>
        </w:rPr>
        <w:fldChar w:fldCharType="begin"/>
      </w:r>
      <w:r>
        <w:instrText xml:space="preserve"> XE "</w:instrText>
      </w:r>
      <w:r w:rsidRPr="000C7B26">
        <w:instrText>Morphem</w:instrText>
      </w:r>
      <w:r>
        <w:instrText xml:space="preserve">" </w:instrText>
      </w:r>
      <w:r w:rsidR="005D7996">
        <w:rPr>
          <w:szCs w:val="17"/>
        </w:rPr>
        <w:fldChar w:fldCharType="end"/>
      </w:r>
      <w:r w:rsidRPr="00156980">
        <w:rPr>
          <w:szCs w:val="17"/>
        </w:rPr>
        <w:t xml:space="preserve"> die kleinsten bedeutungsunterscheidenden Einheiten sind, weshalb beide Ebenen nur unter Bezug auf die Bedeutungsebene gliederbar sind (vgl. Bergenholtz u.a. 1979: 20ff und 50ff).</w:t>
      </w:r>
    </w:p>
  </w:footnote>
  <w:footnote w:id="2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Auch eine Wandfläche kann zum Schemaort werden, wenn sie eine spezielle Funktion oder eine typische Gestaltungsweise aufweist, die sie von anderen Wandflächen unte</w:t>
      </w:r>
      <w:r w:rsidRPr="00156980">
        <w:rPr>
          <w:szCs w:val="17"/>
        </w:rPr>
        <w:t>r</w:t>
      </w:r>
      <w:r w:rsidRPr="00156980">
        <w:rPr>
          <w:szCs w:val="17"/>
        </w:rPr>
        <w:t>scheidet. So kann die ‚Wandfläche über der Eingangstür‘, die oft mit Verzierungen oder durch die bauliche Gestaltung (etwa ein Vordach oder einen Balkon) betont wird, als Schemaort angesehen werden. Dassselbe gilt im Innenbereich für die ‚Wandfläche über dem Kamin‘, die mit Familiengemälden, Jagdtrophäen oder einer kostbaren Uhr gefüllt wird.</w:t>
      </w:r>
    </w:p>
  </w:footnote>
  <w:footnote w:id="2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Schritt 2.</w:t>
      </w:r>
    </w:p>
  </w:footnote>
  <w:footnote w:id="2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1636855 \r \h  \* MERGEFORMAT ">
        <w:r w:rsidR="001231D3" w:rsidRPr="001231D3">
          <w:rPr>
            <w:szCs w:val="17"/>
          </w:rPr>
          <w:t>7.1.4</w:t>
        </w:r>
      </w:fldSimple>
      <w:r w:rsidRPr="00156980">
        <w:rPr>
          <w:szCs w:val="17"/>
        </w:rPr>
        <w:t>.</w:t>
      </w:r>
    </w:p>
  </w:footnote>
  <w:footnote w:id="2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829 \r \h  \* MERGEFORMAT ">
        <w:r w:rsidR="001231D3" w:rsidRPr="001231D3">
          <w:rPr>
            <w:szCs w:val="17"/>
          </w:rPr>
          <w:t>4.3.1</w:t>
        </w:r>
      </w:fldSimple>
      <w:r w:rsidRPr="00156980">
        <w:rPr>
          <w:szCs w:val="17"/>
        </w:rPr>
        <w:t>, (2).</w:t>
      </w:r>
    </w:p>
  </w:footnote>
  <w:footnote w:id="3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Bestimmte Baustellenorganisationen lassen sich nur mit bestimmten Gebäudeformen kombinieren, weshalb ihre Wahl zwangsläufig einen Einfluss auf das Gebäude hat.</w:t>
      </w:r>
    </w:p>
  </w:footnote>
  <w:footnote w:id="3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Verwendung des Klassenbegriffs im Stilmodell Abschnitt </w:t>
      </w:r>
      <w:fldSimple w:instr=" REF _Ref212029118 \r \h  \* MERGEFORMAT ">
        <w:r w:rsidR="001231D3" w:rsidRPr="001231D3">
          <w:rPr>
            <w:szCs w:val="17"/>
          </w:rPr>
          <w:t>4.4</w:t>
        </w:r>
      </w:fldSimple>
      <w:r w:rsidRPr="00156980">
        <w:rPr>
          <w:szCs w:val="17"/>
        </w:rPr>
        <w:t>.</w:t>
      </w:r>
    </w:p>
  </w:footnote>
  <w:footnote w:id="3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im Stilmodell verwendeten Mengenvariablen bezeichnen generell geordnete Mengen</w:t>
      </w:r>
      <w:r w:rsidR="005D7996">
        <w:rPr>
          <w:szCs w:val="17"/>
        </w:rPr>
        <w:fldChar w:fldCharType="begin"/>
      </w:r>
      <w:r>
        <w:instrText xml:space="preserve"> XE "</w:instrText>
      </w:r>
      <w:r w:rsidRPr="00417490">
        <w:instrText>Menge, geordnete</w:instrText>
      </w:r>
      <w:r>
        <w:instrText xml:space="preserve">" </w:instrText>
      </w:r>
      <w:r w:rsidR="005D7996">
        <w:rPr>
          <w:szCs w:val="17"/>
        </w:rPr>
        <w:fldChar w:fldCharType="end"/>
      </w:r>
      <w:r w:rsidRPr="00156980">
        <w:rPr>
          <w:szCs w:val="17"/>
        </w:rPr>
        <w:t>, sie enthalten also neben den Elementen auch eine Ordnungsrelation, so dass mit Hilfe von Indizes auf die Elemente der Menge eindeutig zugegriffen werden kann (vgl. A</w:t>
      </w:r>
      <w:r w:rsidRPr="00156980">
        <w:rPr>
          <w:szCs w:val="17"/>
        </w:rPr>
        <w:t>b</w:t>
      </w:r>
      <w:r w:rsidRPr="00156980">
        <w:rPr>
          <w:szCs w:val="17"/>
        </w:rPr>
        <w:t xml:space="preserve">schnitt </w:t>
      </w:r>
      <w:fldSimple w:instr=" REF _Ref212110965 \r \h  \* MERGEFORMAT ">
        <w:r w:rsidR="001231D3" w:rsidRPr="001231D3">
          <w:rPr>
            <w:szCs w:val="17"/>
          </w:rPr>
          <w:t>5.2.2</w:t>
        </w:r>
      </w:fldSimple>
      <w:r w:rsidRPr="00156980">
        <w:rPr>
          <w:szCs w:val="17"/>
        </w:rPr>
        <w:t>, Unterabschnitt</w:t>
      </w:r>
      <w:r w:rsidRPr="00156980">
        <w:rPr>
          <w:i/>
          <w:szCs w:val="17"/>
        </w:rPr>
        <w:t xml:space="preserve"> Anmerkung zur Verwendung geordneter Mengen</w:t>
      </w:r>
      <w:r w:rsidRPr="00156980">
        <w:rPr>
          <w:szCs w:val="17"/>
        </w:rPr>
        <w:t>).</w:t>
      </w:r>
    </w:p>
  </w:footnote>
  <w:footnote w:id="3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Schemaort-definierende Eigenschaften</w:t>
      </w:r>
      <w:r w:rsidR="005D7996">
        <w:rPr>
          <w:szCs w:val="17"/>
        </w:rPr>
        <w:fldChar w:fldCharType="begin"/>
      </w:r>
      <w:r>
        <w:instrText xml:space="preserve"> XE "</w:instrText>
      </w:r>
      <w:r w:rsidRPr="00424A9B">
        <w:instrText>Eigenschaften:Schemaort-definierende</w:instrText>
      </w:r>
      <w:r>
        <w:instrText xml:space="preserve">" </w:instrText>
      </w:r>
      <w:r w:rsidR="005D7996">
        <w:rPr>
          <w:szCs w:val="17"/>
        </w:rPr>
        <w:fldChar w:fldCharType="end"/>
      </w:r>
      <w:r w:rsidRPr="00156980">
        <w:rPr>
          <w:szCs w:val="17"/>
        </w:rPr>
        <w:t xml:space="preserve"> und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werden in Abschnitt </w:t>
      </w:r>
      <w:fldSimple w:instr=" REF _Ref211841829 \r \h  \* MERGEFORMAT ">
        <w:r w:rsidR="001231D3" w:rsidRPr="001231D3">
          <w:rPr>
            <w:szCs w:val="17"/>
          </w:rPr>
          <w:t>4.3.1</w:t>
        </w:r>
      </w:fldSimple>
      <w:r w:rsidRPr="00156980">
        <w:rPr>
          <w:szCs w:val="17"/>
        </w:rPr>
        <w:t xml:space="preserve"> genauer untersucht und definiert.</w:t>
      </w:r>
    </w:p>
  </w:footnote>
  <w:footnote w:id="3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cs="Times New Roman"/>
          <w:szCs w:val="17"/>
        </w:rPr>
        <w:t>Eine solche Ontologie</w:t>
      </w:r>
      <w:r w:rsidR="005D7996">
        <w:rPr>
          <w:rFonts w:cs="Times New Roman"/>
          <w:szCs w:val="17"/>
        </w:rPr>
        <w:fldChar w:fldCharType="begin"/>
      </w:r>
      <w:r>
        <w:instrText xml:space="preserve"> XE "</w:instrText>
      </w:r>
      <w:r w:rsidRPr="007E1A6B">
        <w:instrText>Ontologie</w:instrText>
      </w:r>
      <w:r>
        <w:instrText xml:space="preserve">" </w:instrText>
      </w:r>
      <w:r w:rsidR="005D7996">
        <w:rPr>
          <w:rFonts w:cs="Times New Roman"/>
          <w:szCs w:val="17"/>
        </w:rPr>
        <w:fldChar w:fldCharType="end"/>
      </w:r>
      <w:r w:rsidRPr="00156980">
        <w:rPr>
          <w:rFonts w:cs="Times New Roman"/>
          <w:szCs w:val="17"/>
        </w:rPr>
        <w:t xml:space="preserve"> liegt derzeit nicht vor; sie ist eine Voraussetzung für die Impl</w:t>
      </w:r>
      <w:r w:rsidRPr="00156980">
        <w:rPr>
          <w:rFonts w:cs="Times New Roman"/>
          <w:szCs w:val="17"/>
        </w:rPr>
        <w:t>e</w:t>
      </w:r>
      <w:r w:rsidRPr="00156980">
        <w:rPr>
          <w:rFonts w:cs="Times New Roman"/>
          <w:szCs w:val="17"/>
        </w:rPr>
        <w:t>mentierung des hier vorgestellten Modells als Computerprogramm</w:t>
      </w:r>
      <w:r w:rsidR="005D7996">
        <w:rPr>
          <w:rFonts w:cs="Times New Roman"/>
          <w:szCs w:val="17"/>
        </w:rPr>
        <w:fldChar w:fldCharType="begin"/>
      </w:r>
      <w:r>
        <w:instrText xml:space="preserve"> XE "</w:instrText>
      </w:r>
      <w:r w:rsidRPr="002209FF">
        <w:instrText>Computerprogramm</w:instrText>
      </w:r>
      <w:r>
        <w:instrText xml:space="preserve">" </w:instrText>
      </w:r>
      <w:r w:rsidR="005D7996">
        <w:rPr>
          <w:rFonts w:cs="Times New Roman"/>
          <w:szCs w:val="17"/>
        </w:rPr>
        <w:fldChar w:fldCharType="end"/>
      </w:r>
      <w:r w:rsidRPr="00156980">
        <w:rPr>
          <w:rFonts w:cs="Times New Roman"/>
          <w:szCs w:val="17"/>
        </w:rPr>
        <w:t xml:space="preserve"> (vgl. Abschnitt </w:t>
      </w:r>
      <w:fldSimple w:instr=" REF _Ref268605138 \r \h  \* MERGEFORMAT ">
        <w:r w:rsidR="001231D3" w:rsidRPr="001231D3">
          <w:rPr>
            <w:rFonts w:cs="Times New Roman"/>
            <w:szCs w:val="17"/>
          </w:rPr>
          <w:t>1.3</w:t>
        </w:r>
      </w:fldSimple>
      <w:r w:rsidRPr="00156980">
        <w:rPr>
          <w:rFonts w:cs="Times New Roman"/>
          <w:szCs w:val="17"/>
        </w:rPr>
        <w:t>). In den später dargestellten Beispielen werden wir es uns bequem machen und einfach die Schemaortbezeichnung, beispielsweise ‚Dach‘ (als Kurzschreibweise für ‚</w:t>
      </w:r>
      <w:r w:rsidRPr="00156980">
        <w:rPr>
          <w:rFonts w:cs="Times New Roman"/>
          <w:i/>
          <w:szCs w:val="17"/>
        </w:rPr>
        <w:t>x</w:t>
      </w:r>
      <w:r w:rsidRPr="00156980">
        <w:rPr>
          <w:rFonts w:cs="Times New Roman"/>
          <w:szCs w:val="17"/>
        </w:rPr>
        <w:t xml:space="preserve"> ist ein Dach‘), verwenden (vgl. Abschnitt </w:t>
      </w:r>
      <w:fldSimple w:instr=" REF _Ref254339704 \r \h  \* MERGEFORMAT ">
        <w:r w:rsidR="001231D3" w:rsidRPr="001231D3">
          <w:rPr>
            <w:rFonts w:cs="Times New Roman"/>
            <w:szCs w:val="17"/>
          </w:rPr>
          <w:t>6.3</w:t>
        </w:r>
      </w:fldSimple>
      <w:r w:rsidRPr="00156980">
        <w:rPr>
          <w:rFonts w:cs="Times New Roman"/>
          <w:szCs w:val="17"/>
        </w:rPr>
        <w:t>). Die Ontologie muss jene Eigenschaften angeben, die ein Dach zuverlässig von allen anderen Dingen abgrenzen; es kann sich dabei auch um relat</w:t>
      </w:r>
      <w:r w:rsidRPr="00156980">
        <w:rPr>
          <w:rFonts w:cs="Times New Roman"/>
          <w:szCs w:val="17"/>
        </w:rPr>
        <w:t>i</w:t>
      </w:r>
      <w:r w:rsidRPr="00156980">
        <w:rPr>
          <w:rFonts w:cs="Times New Roman"/>
          <w:szCs w:val="17"/>
        </w:rPr>
        <w:t>onale Eigenschaften handeln (beispielsweise ‚liegt auf Mauern auf‘</w:t>
      </w:r>
      <w:r>
        <w:rPr>
          <w:rFonts w:cs="Times New Roman"/>
          <w:szCs w:val="17"/>
        </w:rPr>
        <w:t xml:space="preserve"> oder</w:t>
      </w:r>
      <w:r w:rsidRPr="00156980">
        <w:rPr>
          <w:rFonts w:cs="Times New Roman"/>
          <w:szCs w:val="17"/>
        </w:rPr>
        <w:t xml:space="preserve"> ‚gehört zu einem Haus‘). Sie übernimmt damit die Aufgabe jener kognitiven Funktionen, die diese A</w:t>
      </w:r>
      <w:r w:rsidRPr="00156980">
        <w:rPr>
          <w:rFonts w:cs="Times New Roman"/>
          <w:szCs w:val="17"/>
        </w:rPr>
        <w:t>b</w:t>
      </w:r>
      <w:r w:rsidRPr="00156980">
        <w:rPr>
          <w:rFonts w:cs="Times New Roman"/>
          <w:szCs w:val="17"/>
        </w:rPr>
        <w:t>grenzung bei der Wahrnehmung einer Realisierung leisten.</w:t>
      </w:r>
    </w:p>
  </w:footnote>
  <w:footnote w:id="3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Abschnitt</w:t>
      </w:r>
      <w:r w:rsidRPr="00156980">
        <w:rPr>
          <w:rFonts w:cs="Times New Roman"/>
          <w:szCs w:val="17"/>
        </w:rPr>
        <w:t xml:space="preserve"> </w:t>
      </w:r>
      <w:fldSimple w:instr=" REF _Ref212110965 \r \h  \* MERGEFORMAT ">
        <w:r w:rsidR="001231D3" w:rsidRPr="001231D3">
          <w:rPr>
            <w:rFonts w:cs="Times New Roman"/>
            <w:szCs w:val="17"/>
          </w:rPr>
          <w:t>5.2.2</w:t>
        </w:r>
      </w:fldSimple>
      <w:r w:rsidRPr="00156980">
        <w:rPr>
          <w:rFonts w:cs="Times New Roman"/>
          <w:szCs w:val="17"/>
        </w:rPr>
        <w:t xml:space="preserve">, </w:t>
      </w:r>
      <w:r w:rsidRPr="00156980">
        <w:rPr>
          <w:szCs w:val="17"/>
        </w:rPr>
        <w:t>Unterabschnitt</w:t>
      </w:r>
      <w:r w:rsidRPr="00156980">
        <w:rPr>
          <w:i/>
          <w:szCs w:val="17"/>
        </w:rPr>
        <w:t xml:space="preserve"> Die Funktion Schemata_zusammenstellen</w:t>
      </w:r>
      <w:r w:rsidRPr="00156980">
        <w:rPr>
          <w:szCs w:val="17"/>
        </w:rPr>
        <w:t>.</w:t>
      </w:r>
    </w:p>
  </w:footnote>
  <w:footnote w:id="3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rFonts w:cs="Times New Roman"/>
          <w:szCs w:val="17"/>
        </w:rPr>
        <w:t xml:space="preserve">Vgl. Abschnitt </w:t>
      </w:r>
      <w:fldSimple w:instr=" REF _Ref269048814 \r \h  \* MERGEFORMAT ">
        <w:r w:rsidR="001231D3" w:rsidRPr="001231D3">
          <w:rPr>
            <w:rFonts w:cs="Times New Roman"/>
            <w:szCs w:val="17"/>
          </w:rPr>
          <w:t>7.3.3</w:t>
        </w:r>
      </w:fldSimple>
      <w:r w:rsidRPr="00156980">
        <w:rPr>
          <w:rFonts w:cs="Times New Roman"/>
          <w:szCs w:val="17"/>
        </w:rPr>
        <w:t>.</w:t>
      </w:r>
    </w:p>
  </w:footnote>
  <w:footnote w:id="3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082822 \r \h  \* MERGEFORMAT ">
        <w:r w:rsidR="001231D3" w:rsidRPr="001231D3">
          <w:rPr>
            <w:szCs w:val="17"/>
          </w:rPr>
          <w:t>4.2.2</w:t>
        </w:r>
      </w:fldSimple>
      <w:r w:rsidRPr="00156980">
        <w:rPr>
          <w:szCs w:val="17"/>
        </w:rPr>
        <w:t>.</w:t>
      </w:r>
    </w:p>
  </w:footnote>
  <w:footnote w:id="3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Schritt 1.</w:t>
      </w:r>
    </w:p>
  </w:footnote>
  <w:footnote w:id="3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Funktion </w:t>
      </w:r>
      <w:r w:rsidRPr="00156980">
        <w:rPr>
          <w:i/>
          <w:szCs w:val="17"/>
        </w:rPr>
        <w:t>Schemaausführung</w:t>
      </w:r>
      <w:r w:rsidRPr="00156980">
        <w:rPr>
          <w:szCs w:val="17"/>
        </w:rPr>
        <w:t xml:space="preserve">, Zeile 13 (Abschnitt </w:t>
      </w:r>
      <w:fldSimple w:instr=" REF _Ref212110965 \r \h  \* MERGEFORMAT ">
        <w:r w:rsidR="001231D3" w:rsidRPr="001231D3">
          <w:rPr>
            <w:szCs w:val="17"/>
          </w:rPr>
          <w:t>5.2.2</w:t>
        </w:r>
      </w:fldSimple>
      <w:r w:rsidRPr="00156980">
        <w:rPr>
          <w:szCs w:val="17"/>
        </w:rPr>
        <w:t>).</w:t>
      </w:r>
    </w:p>
  </w:footnote>
  <w:footnote w:id="3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Funktion </w:t>
      </w:r>
      <w:r w:rsidRPr="00156980">
        <w:rPr>
          <w:i/>
          <w:szCs w:val="17"/>
        </w:rPr>
        <w:t>Merkmalsregeln_auslesen</w:t>
      </w:r>
      <w:r w:rsidRPr="00156980">
        <w:rPr>
          <w:szCs w:val="17"/>
        </w:rPr>
        <w:t xml:space="preserve">, Zeile 17 (Abschnitt </w:t>
      </w:r>
      <w:fldSimple w:instr=" REF _Ref254084330 \r \h  \* MERGEFORMAT ">
        <w:r w:rsidR="001231D3" w:rsidRPr="001231D3">
          <w:rPr>
            <w:szCs w:val="17"/>
          </w:rPr>
          <w:t>5.5.3</w:t>
        </w:r>
      </w:fldSimple>
      <w:r w:rsidRPr="00156980">
        <w:rPr>
          <w:szCs w:val="17"/>
        </w:rPr>
        <w:t>).</w:t>
      </w:r>
    </w:p>
  </w:footnote>
  <w:footnote w:id="3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Funktion </w:t>
      </w:r>
      <w:r w:rsidRPr="00156980">
        <w:rPr>
          <w:i/>
          <w:szCs w:val="17"/>
        </w:rPr>
        <w:t>Merkmalsregel_anwenden</w:t>
      </w:r>
      <w:r w:rsidRPr="00156980">
        <w:rPr>
          <w:szCs w:val="17"/>
        </w:rPr>
        <w:t xml:space="preserve">, Zeile 3 (Abschnitt </w:t>
      </w:r>
      <w:fldSimple w:instr=" REF _Ref212455608 \r \h  \* MERGEFORMAT ">
        <w:r w:rsidR="001231D3" w:rsidRPr="001231D3">
          <w:rPr>
            <w:szCs w:val="17"/>
          </w:rPr>
          <w:t>5.4.2</w:t>
        </w:r>
      </w:fldSimple>
      <w:r w:rsidRPr="00156980">
        <w:rPr>
          <w:szCs w:val="17"/>
        </w:rPr>
        <w:t>).</w:t>
      </w:r>
    </w:p>
  </w:footnote>
  <w:footnote w:id="3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Funktion </w:t>
      </w:r>
      <w:r w:rsidRPr="00156980">
        <w:rPr>
          <w:i/>
          <w:szCs w:val="17"/>
        </w:rPr>
        <w:t>Merkmalsregeln_auslesen</w:t>
      </w:r>
      <w:r w:rsidRPr="00156980">
        <w:rPr>
          <w:szCs w:val="17"/>
        </w:rPr>
        <w:t xml:space="preserve">, Zeile 30 (Abschnitt </w:t>
      </w:r>
      <w:fldSimple w:instr=" REF _Ref254084330 \r \h  \* MERGEFORMAT ">
        <w:r w:rsidR="001231D3" w:rsidRPr="001231D3">
          <w:rPr>
            <w:szCs w:val="17"/>
          </w:rPr>
          <w:t>5.5.3</w:t>
        </w:r>
      </w:fldSimple>
      <w:r w:rsidRPr="00156980">
        <w:rPr>
          <w:szCs w:val="17"/>
        </w:rPr>
        <w:t>).</w:t>
      </w:r>
    </w:p>
  </w:footnote>
  <w:footnote w:id="3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sind die Funktionen </w:t>
      </w:r>
      <w:r w:rsidRPr="00156980">
        <w:rPr>
          <w:i/>
          <w:szCs w:val="17"/>
        </w:rPr>
        <w:t>Schemata_zusammenstellen</w:t>
      </w:r>
      <w:r w:rsidRPr="00156980">
        <w:rPr>
          <w:szCs w:val="17"/>
        </w:rPr>
        <w:t xml:space="preserve"> (Abschnitt </w:t>
      </w:r>
      <w:fldSimple w:instr=" REF _Ref212110965 \r \h  \* MERGEFORMAT ">
        <w:r w:rsidR="001231D3" w:rsidRPr="001231D3">
          <w:rPr>
            <w:szCs w:val="17"/>
          </w:rPr>
          <w:t>5.2.2</w:t>
        </w:r>
      </w:fldSimple>
      <w:r w:rsidRPr="00156980">
        <w:rPr>
          <w:szCs w:val="17"/>
        </w:rPr>
        <w:t>), die in der Defin</w:t>
      </w:r>
      <w:r w:rsidRPr="00156980">
        <w:rPr>
          <w:szCs w:val="17"/>
        </w:rPr>
        <w:t>i</w:t>
      </w:r>
      <w:r w:rsidRPr="00156980">
        <w:rPr>
          <w:szCs w:val="17"/>
        </w:rPr>
        <w:t xml:space="preserve">tion der Schemata die Eigenschaftsarten (1) und (2) verwendet, sowie </w:t>
      </w:r>
      <w:r w:rsidRPr="00156980">
        <w:rPr>
          <w:i/>
          <w:szCs w:val="17"/>
        </w:rPr>
        <w:t>vorhandener_Stil</w:t>
      </w:r>
      <w:r w:rsidRPr="00156980">
        <w:rPr>
          <w:szCs w:val="17"/>
        </w:rPr>
        <w:t xml:space="preserve"> und </w:t>
      </w:r>
      <w:r w:rsidRPr="00156980">
        <w:rPr>
          <w:i/>
          <w:szCs w:val="17"/>
        </w:rPr>
        <w:t>Merkmalsregeln_erzeugen</w:t>
      </w:r>
      <w:r w:rsidRPr="00156980">
        <w:rPr>
          <w:szCs w:val="17"/>
        </w:rPr>
        <w:t xml:space="preserve"> (Abschnitt </w:t>
      </w:r>
      <w:fldSimple w:instr=" REF _Ref261443581 \r \h  \* MERGEFORMAT ">
        <w:r w:rsidR="001231D3" w:rsidRPr="001231D3">
          <w:rPr>
            <w:szCs w:val="17"/>
          </w:rPr>
          <w:t>7.3.1</w:t>
        </w:r>
      </w:fldSimple>
      <w:r w:rsidRPr="00156980">
        <w:rPr>
          <w:szCs w:val="17"/>
        </w:rPr>
        <w:t>), die alle fünf Eigenschaftsarten verwe</w:t>
      </w:r>
      <w:r w:rsidRPr="00156980">
        <w:rPr>
          <w:szCs w:val="17"/>
        </w:rPr>
        <w:t>n</w:t>
      </w:r>
      <w:r w:rsidRPr="00156980">
        <w:rPr>
          <w:szCs w:val="17"/>
        </w:rPr>
        <w:t xml:space="preserve">den – (1) und (2) in der Definition der Variablen </w:t>
      </w:r>
      <w:r w:rsidRPr="00156980">
        <w:rPr>
          <w:i/>
          <w:szCs w:val="17"/>
        </w:rPr>
        <w:t>U</w:t>
      </w:r>
      <w:r w:rsidRPr="00156980">
        <w:rPr>
          <w:szCs w:val="17"/>
        </w:rPr>
        <w:t xml:space="preserve">, (3), (4) und (5) in der Definition der Variablen </w:t>
      </w:r>
      <w:r w:rsidRPr="00156980">
        <w:rPr>
          <w:i/>
          <w:szCs w:val="17"/>
        </w:rPr>
        <w:t>V</w:t>
      </w:r>
      <w:r w:rsidRPr="00156980">
        <w:rPr>
          <w:szCs w:val="17"/>
        </w:rPr>
        <w:t xml:space="preserve"> der Merkmalsregeln –, und die Funktion </w:t>
      </w:r>
      <w:r w:rsidRPr="00156980">
        <w:rPr>
          <w:i/>
          <w:szCs w:val="17"/>
        </w:rPr>
        <w:t>Eigenschaften</w:t>
      </w:r>
      <w:r w:rsidRPr="00156980">
        <w:rPr>
          <w:szCs w:val="17"/>
        </w:rPr>
        <w:t xml:space="preserve"> (Abschnitt </w:t>
      </w:r>
      <w:fldSimple w:instr=" REF _Ref254084330 \r \h  \* MERGEFORMAT ">
        <w:r w:rsidR="001231D3" w:rsidRPr="001231D3">
          <w:rPr>
            <w:szCs w:val="17"/>
          </w:rPr>
          <w:t>5.5.3</w:t>
        </w:r>
      </w:fldSimple>
      <w:r w:rsidRPr="00156980">
        <w:rPr>
          <w:szCs w:val="17"/>
        </w:rPr>
        <w:t>), die alle Eigenschaften eines Elements der Realisierung liefert.</w:t>
      </w:r>
    </w:p>
  </w:footnote>
  <w:footnote w:id="3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zwei Arten von Eigenschaften spielen auch in den Merkmalsregeln selbst eine Rolle, dort werden sie in den Anwendungsbedingungen verwendet (vgl. Abschnitt </w:t>
      </w:r>
      <w:fldSimple w:instr=" REF _Ref211937722 \r \h  \* MERGEFORMAT ">
        <w:r w:rsidR="001231D3" w:rsidRPr="001231D3">
          <w:rPr>
            <w:szCs w:val="17"/>
          </w:rPr>
          <w:t>5.3.1</w:t>
        </w:r>
      </w:fldSimple>
      <w:r w:rsidRPr="00156980">
        <w:rPr>
          <w:szCs w:val="17"/>
        </w:rPr>
        <w:t>, 1.).</w:t>
      </w:r>
    </w:p>
  </w:footnote>
  <w:footnote w:id="3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89356832 \h  \* MERGEFORMAT ">
        <w:r w:rsidR="001231D3" w:rsidRPr="001231D3">
          <w:rPr>
            <w:szCs w:val="17"/>
          </w:rPr>
          <w:t>288</w:t>
        </w:r>
      </w:fldSimple>
      <w:r w:rsidRPr="00156980">
        <w:rPr>
          <w:szCs w:val="17"/>
        </w:rPr>
        <w:t>.</w:t>
      </w:r>
    </w:p>
  </w:footnote>
  <w:footnote w:id="3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89356930 \h  \* MERGEFORMAT ">
        <w:r w:rsidR="001231D3" w:rsidRPr="001231D3">
          <w:rPr>
            <w:szCs w:val="17"/>
          </w:rPr>
          <w:t>289</w:t>
        </w:r>
      </w:fldSimple>
      <w:r w:rsidRPr="00156980">
        <w:rPr>
          <w:szCs w:val="17"/>
        </w:rPr>
        <w:t>.</w:t>
      </w:r>
    </w:p>
  </w:footnote>
  <w:footnote w:id="3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1706886 \h  \* MERGEFORMAT ">
        <w:r w:rsidR="001231D3" w:rsidRPr="001231D3">
          <w:rPr>
            <w:szCs w:val="17"/>
          </w:rPr>
          <w:t>290</w:t>
        </w:r>
      </w:fldSimple>
      <w:r w:rsidRPr="00156980">
        <w:rPr>
          <w:szCs w:val="17"/>
        </w:rPr>
        <w:t>.</w:t>
      </w:r>
    </w:p>
  </w:footnote>
  <w:footnote w:id="3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Eine konkrete </w:t>
      </w:r>
      <w:r>
        <w:rPr>
          <w:szCs w:val="17"/>
        </w:rPr>
        <w:t>Alter</w:t>
      </w:r>
      <w:r>
        <w:rPr>
          <w:szCs w:val="17"/>
        </w:rPr>
        <w:softHyphen/>
        <w:t>nativen</w:t>
      </w:r>
      <w:r>
        <w:rPr>
          <w:szCs w:val="17"/>
        </w:rPr>
        <w:softHyphen/>
        <w:t>klasse</w:t>
      </w:r>
      <w:r w:rsidRPr="00156980">
        <w:rPr>
          <w:szCs w:val="17"/>
        </w:rPr>
        <w:t xml:space="preserve"> kann </w:t>
      </w:r>
      <w:r>
        <w:rPr>
          <w:szCs w:val="17"/>
        </w:rPr>
        <w:t>beispielsweise</w:t>
      </w:r>
      <w:r w:rsidRPr="00156980">
        <w:rPr>
          <w:szCs w:val="17"/>
        </w:rPr>
        <w:t xml:space="preserve"> ein Überholvorgang bei einer Aut</w:t>
      </w:r>
      <w:r w:rsidRPr="00156980">
        <w:rPr>
          <w:szCs w:val="17"/>
        </w:rPr>
        <w:t>o</w:t>
      </w:r>
      <w:r w:rsidRPr="00156980">
        <w:rPr>
          <w:szCs w:val="17"/>
        </w:rPr>
        <w:t>fahrt sein. Dieser wird neben der Tatsache, dass hier Auto gefahren (Schema) und übe</w:t>
      </w:r>
      <w:r w:rsidRPr="00156980">
        <w:rPr>
          <w:szCs w:val="17"/>
        </w:rPr>
        <w:t>r</w:t>
      </w:r>
      <w:r w:rsidRPr="00156980">
        <w:rPr>
          <w:szCs w:val="17"/>
        </w:rPr>
        <w:t>holt wird (Schemaort), noch durc</w:t>
      </w:r>
      <w:r>
        <w:rPr>
          <w:szCs w:val="17"/>
        </w:rPr>
        <w:t>h Zusatzbedingungen (wie Wetter,</w:t>
      </w:r>
      <w:r w:rsidRPr="00156980">
        <w:rPr>
          <w:szCs w:val="17"/>
        </w:rPr>
        <w:t xml:space="preserve"> Geschwindigkeit, </w:t>
      </w:r>
      <w:r>
        <w:rPr>
          <w:szCs w:val="17"/>
        </w:rPr>
        <w:t xml:space="preserve">Straßenbreite, </w:t>
      </w:r>
      <w:r w:rsidRPr="00156980">
        <w:rPr>
          <w:szCs w:val="17"/>
        </w:rPr>
        <w:t xml:space="preserve">Gegenverkehr usw.) bestimmt. Die konkrete </w:t>
      </w:r>
      <w:r>
        <w:rPr>
          <w:szCs w:val="17"/>
        </w:rPr>
        <w:t>Alter</w:t>
      </w:r>
      <w:r>
        <w:rPr>
          <w:szCs w:val="17"/>
        </w:rPr>
        <w:softHyphen/>
        <w:t>nativen</w:t>
      </w:r>
      <w:r>
        <w:rPr>
          <w:szCs w:val="17"/>
        </w:rPr>
        <w:softHyphen/>
        <w:t>klasse</w:t>
      </w:r>
      <w:r w:rsidRPr="00156980">
        <w:rPr>
          <w:szCs w:val="17"/>
        </w:rPr>
        <w:t xml:space="preserve"> ist also e</w:t>
      </w:r>
      <w:r w:rsidRPr="00156980">
        <w:rPr>
          <w:szCs w:val="17"/>
        </w:rPr>
        <w:t>i</w:t>
      </w:r>
      <w:r w:rsidRPr="00156980">
        <w:rPr>
          <w:szCs w:val="17"/>
        </w:rPr>
        <w:t>ne Unterklasse der möglichen Überholvorgänge beim Autofahren.</w:t>
      </w:r>
    </w:p>
  </w:footnote>
  <w:footnote w:id="3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Dabei kann dieselbe Eigenschaft bei unterschiedlichen Schemata eine unterschiedliche Rolle spielen. So ist die Eigenschaft ‚bei Regen‘ für das Schema ‚Autorennen‘ eine mögl</w:t>
      </w:r>
      <w:r w:rsidRPr="00156980">
        <w:rPr>
          <w:szCs w:val="17"/>
        </w:rPr>
        <w:t>i</w:t>
      </w:r>
      <w:r w:rsidRPr="00156980">
        <w:rPr>
          <w:szCs w:val="17"/>
        </w:rPr>
        <w:t>che Kontextbedingung (also eine Zusatzeigenschaft) vieler Schemaorte. Bei einem Fah</w:t>
      </w:r>
      <w:r w:rsidRPr="00156980">
        <w:rPr>
          <w:szCs w:val="17"/>
        </w:rPr>
        <w:t>r</w:t>
      </w:r>
      <w:r w:rsidRPr="00156980">
        <w:rPr>
          <w:szCs w:val="17"/>
        </w:rPr>
        <w:t xml:space="preserve">sicherheitstraining oder Sicherheitstest kann sie dagegen zu den Schemaort-definierenden Eigenschaften einiger Schemaorte gehören, wenn diese Manöver oder Tests bei Regen vorsehen. Der Unterschied besteht darin, dass im ersten Fall der Regen nicht notwendig dafür ist, dass ein Element einer </w:t>
      </w:r>
      <w:r>
        <w:rPr>
          <w:szCs w:val="17"/>
        </w:rPr>
        <w:t>Alter</w:t>
      </w:r>
      <w:r>
        <w:rPr>
          <w:szCs w:val="17"/>
        </w:rPr>
        <w:softHyphen/>
        <w:t>nativen</w:t>
      </w:r>
      <w:r>
        <w:rPr>
          <w:szCs w:val="17"/>
        </w:rPr>
        <w:softHyphen/>
        <w:t>klasse</w:t>
      </w:r>
      <w:r w:rsidRPr="00156980">
        <w:rPr>
          <w:szCs w:val="17"/>
        </w:rPr>
        <w:t xml:space="preserve"> dem entsprechenden Schemaort z</w:t>
      </w:r>
      <w:r w:rsidRPr="00156980">
        <w:rPr>
          <w:szCs w:val="17"/>
        </w:rPr>
        <w:t>u</w:t>
      </w:r>
      <w:r w:rsidRPr="00156980">
        <w:rPr>
          <w:szCs w:val="17"/>
        </w:rPr>
        <w:t>zuordnen ist: So kann (auf einer bestimmten Rennstrecke) ‚gestartet‘, ‚eine Kurve gefa</w:t>
      </w:r>
      <w:r w:rsidRPr="00156980">
        <w:rPr>
          <w:szCs w:val="17"/>
        </w:rPr>
        <w:t>h</w:t>
      </w:r>
      <w:r w:rsidRPr="00156980">
        <w:rPr>
          <w:szCs w:val="17"/>
        </w:rPr>
        <w:t>ren‘ oder ‚ein Boxenstopp gemacht‘ werden, ohne dass Regen vorliegt, da die entspr</w:t>
      </w:r>
      <w:r w:rsidRPr="00156980">
        <w:rPr>
          <w:szCs w:val="17"/>
        </w:rPr>
        <w:t>e</w:t>
      </w:r>
      <w:r w:rsidRPr="00156980">
        <w:rPr>
          <w:szCs w:val="17"/>
        </w:rPr>
        <w:t>chenden Schemaorte dies nicht verlangen, während der Regen bei bestimmten Fahrs</w:t>
      </w:r>
      <w:r w:rsidRPr="00156980">
        <w:rPr>
          <w:szCs w:val="17"/>
        </w:rPr>
        <w:t>i</w:t>
      </w:r>
      <w:r w:rsidRPr="00156980">
        <w:rPr>
          <w:szCs w:val="17"/>
        </w:rPr>
        <w:t>cherheitsmanövern oder Testfahrten Schemaort-definierend sein kann: Hier schließt die Definition des entsprechenden Schemaorts von vornherein den Regen mit ein.</w:t>
      </w:r>
    </w:p>
    <w:p w:rsidR="00CC3558" w:rsidRPr="00156980" w:rsidRDefault="00CC3558" w:rsidP="00F461D9">
      <w:pPr>
        <w:pStyle w:val="Funotentext"/>
        <w:rPr>
          <w:szCs w:val="17"/>
        </w:rPr>
      </w:pPr>
      <w:r w:rsidRPr="00156980">
        <w:rPr>
          <w:szCs w:val="17"/>
        </w:rPr>
        <w:tab/>
        <w:t>Beim Schema ‚Skifahren</w:t>
      </w:r>
      <w:r w:rsidR="005D7996">
        <w:rPr>
          <w:szCs w:val="17"/>
        </w:rPr>
        <w:fldChar w:fldCharType="begin"/>
      </w:r>
      <w:r>
        <w:instrText xml:space="preserve"> XE "</w:instrText>
      </w:r>
      <w:r w:rsidRPr="003F6D84">
        <w:instrText>Skifahren</w:instrText>
      </w:r>
      <w:r>
        <w:instrText xml:space="preserve">" </w:instrText>
      </w:r>
      <w:r w:rsidR="005D7996">
        <w:rPr>
          <w:szCs w:val="17"/>
        </w:rPr>
        <w:fldChar w:fldCharType="end"/>
      </w:r>
      <w:r w:rsidRPr="00156980">
        <w:rPr>
          <w:szCs w:val="17"/>
        </w:rPr>
        <w:t>‘ kann die Steilheit der Piste und der Zustand des Schnees als Schemaort beschrieben werden (indem Schemaorte wie ‚ein steiles vereistes Pistenstück fahren‘, ‚ein flaches Pistenstück mit Pulverschnee fahren‘ usw. angenommen werden). Wetterverhältnisse, die genaue Tiefe des Schnees und die Verteilung anderer Skifahrer auf der Piste sollten dagegen als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angegeben werden.</w:t>
      </w:r>
    </w:p>
  </w:footnote>
  <w:footnote w:id="3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937722 \r \h  \* MERGEFORMAT ">
        <w:r w:rsidR="001231D3" w:rsidRPr="001231D3">
          <w:rPr>
            <w:szCs w:val="17"/>
          </w:rPr>
          <w:t>5.3.1</w:t>
        </w:r>
      </w:fldSimple>
      <w:r w:rsidRPr="00156980">
        <w:rPr>
          <w:szCs w:val="17"/>
        </w:rPr>
        <w:t>, Unterabschnitt</w:t>
      </w:r>
      <w:r w:rsidRPr="00156980">
        <w:rPr>
          <w:i/>
          <w:szCs w:val="17"/>
        </w:rPr>
        <w:t xml:space="preserve"> Definition und Erläuterung der Variablen</w:t>
      </w:r>
      <w:r w:rsidRPr="00156980">
        <w:rPr>
          <w:szCs w:val="17"/>
        </w:rPr>
        <w:t>, 2.</w:t>
      </w:r>
    </w:p>
  </w:footnote>
  <w:footnote w:id="3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Festlegung der Merkmalsregeln erfolgt beim Anwenden eines Stils durch die Funkt</w:t>
      </w:r>
      <w:r w:rsidRPr="00156980">
        <w:rPr>
          <w:szCs w:val="17"/>
        </w:rPr>
        <w:t>i</w:t>
      </w:r>
      <w:r w:rsidRPr="00156980">
        <w:rPr>
          <w:szCs w:val="17"/>
        </w:rPr>
        <w:t xml:space="preserve">onen </w:t>
      </w:r>
      <w:r w:rsidRPr="00156980">
        <w:rPr>
          <w:i/>
          <w:szCs w:val="17"/>
        </w:rPr>
        <w:t>vorhandener_Stil</w:t>
      </w:r>
      <w:r w:rsidRPr="00156980">
        <w:rPr>
          <w:szCs w:val="17"/>
        </w:rPr>
        <w:t xml:space="preserve"> oder </w:t>
      </w:r>
      <w:r w:rsidRPr="00156980">
        <w:rPr>
          <w:i/>
          <w:szCs w:val="17"/>
        </w:rPr>
        <w:t>Merkmalsregeln_erzeugen</w:t>
      </w:r>
      <w:r w:rsidRPr="00156980">
        <w:rPr>
          <w:szCs w:val="17"/>
        </w:rPr>
        <w:t xml:space="preserve"> (vgl. Abschnitt </w:t>
      </w:r>
      <w:fldSimple w:instr=" REF _Ref261443581 \r \h  \* MERGEFORMAT ">
        <w:r w:rsidR="001231D3" w:rsidRPr="001231D3">
          <w:rPr>
            <w:szCs w:val="17"/>
          </w:rPr>
          <w:t>7.3.1</w:t>
        </w:r>
      </w:fldSimple>
      <w:r w:rsidRPr="00156980">
        <w:rPr>
          <w:szCs w:val="17"/>
        </w:rPr>
        <w:t>).</w:t>
      </w:r>
    </w:p>
  </w:footnote>
  <w:footnote w:id="3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Wahrnehmung der Eigenschaften der Elemente einer Realisierung erfolgt in der Funktion </w:t>
      </w:r>
      <w:r w:rsidRPr="00156980">
        <w:rPr>
          <w:i/>
          <w:szCs w:val="17"/>
        </w:rPr>
        <w:t>Merkmalsregeln_auslesen</w:t>
      </w:r>
      <w:r w:rsidRPr="00156980">
        <w:rPr>
          <w:szCs w:val="17"/>
        </w:rPr>
        <w:t xml:space="preserve">, Zeile 5 (vgl. Abschnitt </w:t>
      </w:r>
      <w:fldSimple w:instr=" REF _Ref254084330 \r \h  \* MERGEFORMAT ">
        <w:r w:rsidR="001231D3" w:rsidRPr="001231D3">
          <w:rPr>
            <w:szCs w:val="17"/>
          </w:rPr>
          <w:t>5.5.3</w:t>
        </w:r>
      </w:fldSimple>
      <w:r w:rsidRPr="00156980">
        <w:rPr>
          <w:szCs w:val="17"/>
        </w:rPr>
        <w:t xml:space="preserve">). Daraus wird später die Menge </w:t>
      </w:r>
      <w:r w:rsidRPr="00156980">
        <w:rPr>
          <w:i/>
          <w:szCs w:val="17"/>
        </w:rPr>
        <w:t>Q</w:t>
      </w:r>
      <w:r w:rsidRPr="00156980">
        <w:rPr>
          <w:szCs w:val="17"/>
        </w:rPr>
        <w:t xml:space="preserve"> aller Eigenschaftskombinationen, die sich an Elementen der Realisierung fi</w:t>
      </w:r>
      <w:r w:rsidRPr="00156980">
        <w:rPr>
          <w:szCs w:val="17"/>
        </w:rPr>
        <w:t>n</w:t>
      </w:r>
      <w:r w:rsidRPr="00156980">
        <w:rPr>
          <w:szCs w:val="17"/>
        </w:rPr>
        <w:t xml:space="preserve">den, gebildet (Zeile 20); diese Eigenschaftskombinationen werden als mögliche </w:t>
      </w:r>
      <w:r w:rsidRPr="00156980">
        <w:rPr>
          <w:i/>
          <w:szCs w:val="17"/>
        </w:rPr>
        <w:t>V</w:t>
      </w:r>
      <w:r w:rsidRPr="00156980">
        <w:rPr>
          <w:szCs w:val="17"/>
        </w:rPr>
        <w:t xml:space="preserve"> einer Merkmalsregel geprüft (ab Zeile 22).</w:t>
      </w:r>
    </w:p>
  </w:footnote>
  <w:footnote w:id="32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Fälle werden genauer dargestellt unter (5) („Horizontal-relationale Eigenschaften“), „Zu (c)“.</w:t>
      </w:r>
    </w:p>
  </w:footnote>
  <w:footnote w:id="3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8690378 \r \h  \* MERGEFORMAT ">
        <w:r w:rsidR="001231D3" w:rsidRPr="001231D3">
          <w:rPr>
            <w:szCs w:val="17"/>
          </w:rPr>
          <w:t>3.4</w:t>
        </w:r>
      </w:fldSimple>
      <w:r w:rsidRPr="00156980">
        <w:rPr>
          <w:szCs w:val="17"/>
        </w:rPr>
        <w:t>.</w:t>
      </w:r>
    </w:p>
  </w:footnote>
  <w:footnote w:id="3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beispielsweise Rosch 1975, Lakoff 1987 und Mangasser-Wahl 2000.</w:t>
      </w:r>
    </w:p>
  </w:footnote>
  <w:footnote w:id="3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(5) („Horizontal-relationale Eigenschaften“), „Zu (d)“.</w:t>
      </w:r>
    </w:p>
  </w:footnote>
  <w:footnote w:id="3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90460805 \h  \* MERGEFORMAT ">
        <w:r w:rsidR="001231D3" w:rsidRPr="001231D3">
          <w:rPr>
            <w:szCs w:val="17"/>
          </w:rPr>
          <w:t>293</w:t>
        </w:r>
      </w:fldSimple>
      <w:r w:rsidRPr="00156980">
        <w:rPr>
          <w:szCs w:val="17"/>
        </w:rPr>
        <w:t>.</w:t>
      </w:r>
    </w:p>
  </w:footnote>
  <w:footnote w:id="3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9160105 \r \h  \* MERGEFORMAT ">
        <w:r w:rsidR="001231D3" w:rsidRPr="001231D3">
          <w:rPr>
            <w:szCs w:val="17"/>
          </w:rPr>
          <w:t>4.2.7</w:t>
        </w:r>
      </w:fldSimple>
      <w:r w:rsidRPr="00156980">
        <w:rPr>
          <w:szCs w:val="17"/>
        </w:rPr>
        <w:t>.</w:t>
      </w:r>
    </w:p>
  </w:footnote>
  <w:footnote w:id="3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r>
        <w:rPr>
          <w:szCs w:val="17"/>
        </w:rPr>
        <w:t xml:space="preserve">zur quantitativen Stilistik (= statistische Stilistik) </w:t>
      </w:r>
      <w:r w:rsidRPr="00156980">
        <w:rPr>
          <w:szCs w:val="17"/>
        </w:rPr>
        <w:t>einführend Enkvist 1973: 127-144 und Spillner 1974a: 82ff; Beispiele sind Bloch 1953, Dole</w:t>
      </w:r>
      <w:r w:rsidRPr="00156980">
        <w:rPr>
          <w:rFonts w:cs="Times New Roman"/>
          <w:szCs w:val="17"/>
        </w:rPr>
        <w:t>ž</w:t>
      </w:r>
      <w:r w:rsidRPr="00156980">
        <w:rPr>
          <w:szCs w:val="17"/>
        </w:rPr>
        <w:t>el 1967 und Dole</w:t>
      </w:r>
      <w:r w:rsidRPr="00156980">
        <w:rPr>
          <w:rFonts w:cs="Times New Roman"/>
          <w:szCs w:val="17"/>
        </w:rPr>
        <w:t>ž</w:t>
      </w:r>
      <w:r w:rsidRPr="00156980">
        <w:rPr>
          <w:szCs w:val="17"/>
        </w:rPr>
        <w:t xml:space="preserve">el u.a. 1969, Sedelow 1966 und 1972, Roche 1972, Krámský 1983, Lowe u.a. 1995 und Hoover 2002. Heute wird die </w:t>
      </w:r>
      <w:r>
        <w:rPr>
          <w:szCs w:val="17"/>
        </w:rPr>
        <w:t xml:space="preserve">quantitative </w:t>
      </w:r>
      <w:r w:rsidRPr="00156980">
        <w:rPr>
          <w:szCs w:val="17"/>
        </w:rPr>
        <w:t>Stilistik</w:t>
      </w:r>
      <w:r>
        <w:rPr>
          <w:szCs w:val="17"/>
        </w:rPr>
        <w:t xml:space="preserve"> </w:t>
      </w:r>
      <w:r w:rsidRPr="00156980">
        <w:rPr>
          <w:szCs w:val="17"/>
        </w:rPr>
        <w:t>vor allem in der Autoridentifikation</w:t>
      </w:r>
      <w:r w:rsidR="005D7996">
        <w:rPr>
          <w:szCs w:val="17"/>
        </w:rPr>
        <w:fldChar w:fldCharType="begin"/>
      </w:r>
      <w:r>
        <w:instrText xml:space="preserve"> XE "</w:instrText>
      </w:r>
      <w:r w:rsidRPr="00AF4FCF">
        <w:rPr>
          <w:szCs w:val="17"/>
        </w:rPr>
        <w:instrText>Autoridentifikation</w:instrText>
      </w:r>
      <w:r>
        <w:instrText xml:space="preserve">" </w:instrText>
      </w:r>
      <w:r w:rsidR="005D7996">
        <w:rPr>
          <w:szCs w:val="17"/>
        </w:rPr>
        <w:fldChar w:fldCharType="end"/>
      </w:r>
      <w:r w:rsidRPr="00156980">
        <w:rPr>
          <w:szCs w:val="17"/>
        </w:rPr>
        <w:t xml:space="preserve"> (vgl. Tuldava 2005) und der forensischen Linguistik</w:t>
      </w:r>
      <w:r w:rsidR="005D7996">
        <w:rPr>
          <w:szCs w:val="17"/>
        </w:rPr>
        <w:fldChar w:fldCharType="begin"/>
      </w:r>
      <w:r>
        <w:instrText xml:space="preserve"> XE "forensische </w:instrText>
      </w:r>
      <w:r w:rsidRPr="00797C83">
        <w:rPr>
          <w:rFonts w:eastAsia="Times New Roman" w:cs="Times New Roman"/>
        </w:rPr>
        <w:instrText>Linguistik</w:instrText>
      </w:r>
      <w:r>
        <w:instrText xml:space="preserve">" </w:instrText>
      </w:r>
      <w:r w:rsidR="005D7996">
        <w:rPr>
          <w:szCs w:val="17"/>
        </w:rPr>
        <w:fldChar w:fldCharType="end"/>
      </w:r>
      <w:r w:rsidRPr="00156980">
        <w:rPr>
          <w:szCs w:val="17"/>
        </w:rPr>
        <w:t xml:space="preserve"> (vgl. Tweedie 2005) angewandt. Die </w:t>
      </w:r>
      <w:r>
        <w:rPr>
          <w:szCs w:val="17"/>
        </w:rPr>
        <w:t xml:space="preserve">quantitative </w:t>
      </w:r>
      <w:r w:rsidRPr="00156980">
        <w:rPr>
          <w:szCs w:val="17"/>
        </w:rPr>
        <w:t>Stilistik</w:t>
      </w:r>
      <w:r>
        <w:rPr>
          <w:szCs w:val="17"/>
        </w:rPr>
        <w:t xml:space="preserve"> </w:t>
      </w:r>
      <w:r w:rsidRPr="00156980">
        <w:rPr>
          <w:szCs w:val="17"/>
        </w:rPr>
        <w:t xml:space="preserve">führt nur dann zu plausiblen Ergebnissen, wenn der Einfluss nicht-stilistischer Faktoren berücksichtigt wird; vgl. Abschnitt </w:t>
      </w:r>
      <w:fldSimple w:instr=" REF _Ref268690378 \r \h  \* MERGEFORMAT ">
        <w:r w:rsidR="001231D3" w:rsidRPr="001231D3">
          <w:rPr>
            <w:szCs w:val="17"/>
          </w:rPr>
          <w:t>3.4</w:t>
        </w:r>
      </w:fldSimple>
      <w:r w:rsidRPr="00156980">
        <w:rPr>
          <w:szCs w:val="17"/>
        </w:rPr>
        <w:t>.</w:t>
      </w:r>
    </w:p>
  </w:footnote>
  <w:footnote w:id="3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(4) („Vertikal-relationale Eigenschaften“), „Zu (a)“.</w:t>
      </w:r>
    </w:p>
  </w:footnote>
  <w:footnote w:id="3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kann eine Merkmalsregel verlangen, dass Fenster, die im ersten Stock direkt über Eingangstüren liegen, die insgesamt am jeweiligen Gebäude häufigste Größe und Form haben (Häufigkeit als horizontal-relationale Eigenschaft). Eine andere Mer</w:t>
      </w:r>
      <w:r w:rsidRPr="00156980">
        <w:rPr>
          <w:szCs w:val="17"/>
        </w:rPr>
        <w:t>k</w:t>
      </w:r>
      <w:r w:rsidRPr="00156980">
        <w:rPr>
          <w:szCs w:val="17"/>
        </w:rPr>
        <w:t xml:space="preserve">malsregel verlangt für Fenster eine bestimmte Größe und Form mit </w:t>
      </w:r>
      <w:r w:rsidRPr="00156980">
        <w:rPr>
          <w:i/>
          <w:szCs w:val="17"/>
        </w:rPr>
        <w:t>w</w:t>
      </w:r>
      <w:r w:rsidRPr="00156980">
        <w:rPr>
          <w:szCs w:val="17"/>
        </w:rPr>
        <w:t xml:space="preserve"> &gt; 0,5, was zum Ergebnis hat, dass diese Größe und Form die häufigste am jeweiligen Gebäude ist.</w:t>
      </w:r>
    </w:p>
  </w:footnote>
  <w:footnote w:id="3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1957, 1959, 1960, 1973 und 1978, eine deutschsprachige Anwendung ist Rück 1978; die für die Kontraststilistik</w:t>
      </w:r>
      <w:r w:rsidR="005D7996">
        <w:rPr>
          <w:szCs w:val="17"/>
        </w:rPr>
        <w:fldChar w:fldCharType="begin"/>
      </w:r>
      <w:r>
        <w:instrText xml:space="preserve"> XE "</w:instrText>
      </w:r>
      <w:r w:rsidRPr="00315466">
        <w:instrText>Kontraststilistik</w:instrText>
      </w:r>
      <w:r>
        <w:instrText xml:space="preserve">" </w:instrText>
      </w:r>
      <w:r w:rsidR="005D7996">
        <w:rPr>
          <w:szCs w:val="17"/>
        </w:rPr>
        <w:fldChar w:fldCharType="end"/>
      </w:r>
      <w:r w:rsidRPr="00156980">
        <w:rPr>
          <w:szCs w:val="17"/>
        </w:rPr>
        <w:t xml:space="preserve"> relevanten Kontextfaktoren können auch mit dem A</w:t>
      </w:r>
      <w:r w:rsidRPr="00156980">
        <w:rPr>
          <w:szCs w:val="17"/>
        </w:rPr>
        <w:t>n</w:t>
      </w:r>
      <w:r w:rsidRPr="00156980">
        <w:rPr>
          <w:szCs w:val="17"/>
        </w:rPr>
        <w:t>satz von Halliday untersucht werden (Halliday 1985). Für die deutschsprachige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xml:space="preserve"> griff Frey den methodischen Ansatz der Leserbefragung auf (Frey 1970, 1974, 1975), Spillner entwickelte Verfahren, um durch Tests in Verbindung mit Textveränderungen zu genaueren Ergebnissen zu gelangen (Spillner 1974a, 1974b, 1976).</w:t>
      </w:r>
    </w:p>
  </w:footnote>
  <w:footnote w:id="3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Man denke etwa an einen Sprachstil, der wissenschaftliche Ausdrücke wählt, aber nur solche, die eine ‚mittlere Erwartbarkeit‘ besitzen, also im Kontext nicht besonders auffa</w:t>
      </w:r>
      <w:r w:rsidRPr="00156980">
        <w:rPr>
          <w:szCs w:val="17"/>
        </w:rPr>
        <w:t>l</w:t>
      </w:r>
      <w:r w:rsidRPr="00156980">
        <w:rPr>
          <w:szCs w:val="17"/>
        </w:rPr>
        <w:t>len. Ein solcher Sprachstil könnte bei einer Informationsbroschüre oder bei einem pop</w:t>
      </w:r>
      <w:r w:rsidRPr="00156980">
        <w:rPr>
          <w:szCs w:val="17"/>
        </w:rPr>
        <w:t>u</w:t>
      </w:r>
      <w:r w:rsidRPr="00156980">
        <w:rPr>
          <w:szCs w:val="17"/>
        </w:rPr>
        <w:t>lärwissenschaftlichen Vortrag angewendet werden.</w:t>
      </w:r>
    </w:p>
  </w:footnote>
  <w:footnote w:id="3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455608 \r \h  \* MERGEFORMAT ">
        <w:r w:rsidR="001231D3" w:rsidRPr="001231D3">
          <w:rPr>
            <w:szCs w:val="17"/>
          </w:rPr>
          <w:t>5.4.2</w:t>
        </w:r>
      </w:fldSimple>
      <w:r w:rsidRPr="00156980">
        <w:rPr>
          <w:szCs w:val="17"/>
        </w:rPr>
        <w:t xml:space="preserve">, Unterabschnitt </w:t>
      </w:r>
      <w:r w:rsidRPr="00156980">
        <w:rPr>
          <w:i/>
          <w:szCs w:val="17"/>
        </w:rPr>
        <w:t>Anmerkung</w:t>
      </w:r>
      <w:r w:rsidRPr="00156980">
        <w:rPr>
          <w:szCs w:val="17"/>
        </w:rPr>
        <w:t>.</w:t>
      </w:r>
    </w:p>
  </w:footnote>
  <w:footnote w:id="3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Oberschelp erläutert dazu: „Der Klassenbildungsoperator eröffnet die Möglichkeit, eine beliebige sprachlich formulierte Bedingung an Individuen in einen Namen der dadurch gegebenen Klasse der Individuen (die die Bedingung erfüllen) umzusetzen. Das bedeutet einen großen Zuwachs an Ausdrucksmöglichkeiten“ (Oberschelp 1992: 188). In der Kla</w:t>
      </w:r>
      <w:r w:rsidRPr="00156980">
        <w:rPr>
          <w:szCs w:val="17"/>
        </w:rPr>
        <w:t>s</w:t>
      </w:r>
      <w:r w:rsidRPr="00156980">
        <w:rPr>
          <w:szCs w:val="17"/>
        </w:rPr>
        <w:t>senlogik von Oberschelp wird kein Axiom angenommen, demzufolge alle Klassen Indiv</w:t>
      </w:r>
      <w:r w:rsidRPr="00156980">
        <w:rPr>
          <w:szCs w:val="17"/>
        </w:rPr>
        <w:t>i</w:t>
      </w:r>
      <w:r w:rsidRPr="00156980">
        <w:rPr>
          <w:szCs w:val="17"/>
        </w:rPr>
        <w:t>duen sind (ebd.: 191); es kann also ‚virtuelle Klassen‘ geben, solche, die sich definieren lassen, die aber nicht existieren können. Daher muss die Verwendung des Klassenba</w:t>
      </w:r>
      <w:r w:rsidRPr="00156980">
        <w:rPr>
          <w:szCs w:val="17"/>
        </w:rPr>
        <w:t>u</w:t>
      </w:r>
      <w:r w:rsidRPr="00156980">
        <w:rPr>
          <w:szCs w:val="17"/>
        </w:rPr>
        <w:t>steins nicht eingeschränkt werden (wie es etwa in der Russellschen Typentheorie der Fall ist). Es handelt sich dann aber auch nur um ein Darstellungsmittel, um eine syntaktische Formulierungsweise. Zu dieser allgemeinen Klassenlogik werden in der Oberschelp-Mengenlehre wiederum die Axiome der Zermelo-Fraenkel-Mengenlehre hinzugeno</w:t>
      </w:r>
      <w:r w:rsidRPr="00156980">
        <w:rPr>
          <w:szCs w:val="17"/>
        </w:rPr>
        <w:t>m</w:t>
      </w:r>
      <w:r w:rsidRPr="00156980">
        <w:rPr>
          <w:szCs w:val="17"/>
        </w:rPr>
        <w:t>men, wodurch sich eine Mengenlehre mit Klassenbaustein ergibt (vgl. Oberschelp 1994).</w:t>
      </w:r>
    </w:p>
  </w:footnote>
  <w:footnote w:id="3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w:t>
      </w:r>
    </w:p>
  </w:footnote>
  <w:footnote w:id="3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Voraussetzung dafür ist allerdings, dass die horizontal-relationalen Eigenschaften richtig eingesetzt werden. Horizontal-relationale Eigenschaften sollen dazu dienen, Bezüge i</w:t>
      </w:r>
      <w:r w:rsidRPr="00156980">
        <w:rPr>
          <w:szCs w:val="17"/>
        </w:rPr>
        <w:t>n</w:t>
      </w:r>
      <w:r w:rsidRPr="00156980">
        <w:rPr>
          <w:szCs w:val="17"/>
        </w:rPr>
        <w:t>nerhalb der Realisierung abzubilden (beispielsweise die Wiederholung von Elementen, Gegensätze von Elementen usw.), wobei durchaus auch Bezüge über Ebenen hinweg au</w:t>
      </w:r>
      <w:r w:rsidRPr="00156980">
        <w:rPr>
          <w:szCs w:val="17"/>
        </w:rPr>
        <w:t>f</w:t>
      </w:r>
      <w:r w:rsidRPr="00156980">
        <w:rPr>
          <w:szCs w:val="17"/>
        </w:rPr>
        <w:t>treten können (etwa wenn eine auf der semantischen</w:t>
      </w:r>
      <w:r w:rsidR="005D7996">
        <w:rPr>
          <w:szCs w:val="17"/>
        </w:rPr>
        <w:fldChar w:fldCharType="begin"/>
      </w:r>
      <w:r>
        <w:instrText xml:space="preserve"> XE "</w:instrText>
      </w:r>
      <w:r w:rsidRPr="0037442C">
        <w:rPr>
          <w:szCs w:val="17"/>
        </w:rPr>
        <w:instrText>Semantik</w:instrText>
      </w:r>
      <w:r>
        <w:instrText xml:space="preserve">" </w:instrText>
      </w:r>
      <w:r w:rsidR="005D7996">
        <w:rPr>
          <w:szCs w:val="17"/>
        </w:rPr>
        <w:fldChar w:fldCharType="end"/>
      </w:r>
      <w:r w:rsidRPr="00156980">
        <w:rPr>
          <w:szCs w:val="17"/>
        </w:rPr>
        <w:t xml:space="preserve"> Ebene ausgedrückte düstere Sti</w:t>
      </w:r>
      <w:r w:rsidRPr="00156980">
        <w:rPr>
          <w:szCs w:val="17"/>
        </w:rPr>
        <w:t>m</w:t>
      </w:r>
      <w:r w:rsidRPr="00156980">
        <w:rPr>
          <w:szCs w:val="17"/>
        </w:rPr>
        <w:t>mung auf der phonologischen</w:t>
      </w:r>
      <w:r w:rsidR="005D7996">
        <w:rPr>
          <w:szCs w:val="17"/>
        </w:rPr>
        <w:fldChar w:fldCharType="begin"/>
      </w:r>
      <w:r>
        <w:instrText xml:space="preserve"> XE "</w:instrText>
      </w:r>
      <w:r w:rsidRPr="0037442C">
        <w:rPr>
          <w:szCs w:val="17"/>
        </w:rPr>
        <w:instrText>Phonologie</w:instrText>
      </w:r>
      <w:r>
        <w:instrText xml:space="preserve">" </w:instrText>
      </w:r>
      <w:r w:rsidR="005D7996">
        <w:rPr>
          <w:szCs w:val="17"/>
        </w:rPr>
        <w:fldChar w:fldCharType="end"/>
      </w:r>
      <w:r w:rsidRPr="00156980">
        <w:rPr>
          <w:szCs w:val="17"/>
        </w:rPr>
        <w:t xml:space="preserve"> Ebenen mit dunklen Vokalen illustriert wird; vgl. Posner 1982). Es ist klar, dass in der Realisierung nicht immer räumlich oder zeitlich benachbarte Elemente auch benachbart stehen können; während dies bei einem Text (als eindimensi</w:t>
      </w:r>
      <w:r w:rsidRPr="00156980">
        <w:rPr>
          <w:szCs w:val="17"/>
        </w:rPr>
        <w:t>o</w:t>
      </w:r>
      <w:r w:rsidRPr="00156980">
        <w:rPr>
          <w:szCs w:val="17"/>
        </w:rPr>
        <w:t>naler Realisierung) noch möglich ist, geht es bei einer höherdimensionalen Realisierung (einem Bild, einem Gebäude, einer Theaterinszenierung) nicht mehr. Somit muss die räumliche Anordnung an der konkreten Realisierung als Teil der horizontal-relationalen Eigenschaft mitgespeichert werden. Dies ist gemeint, wenn wir von „horizontal-relationalen“ Eigenschaften reden: Diese beziehen sich auf die tatsächliche (in der Wir</w:t>
      </w:r>
      <w:r w:rsidRPr="00156980">
        <w:rPr>
          <w:szCs w:val="17"/>
        </w:rPr>
        <w:t>k</w:t>
      </w:r>
      <w:r w:rsidRPr="00156980">
        <w:rPr>
          <w:szCs w:val="17"/>
        </w:rPr>
        <w:t>lichkeit existierende) Realisierung, nicht auf unsere (notwendig eindimensionale) Da</w:t>
      </w:r>
      <w:r w:rsidRPr="00156980">
        <w:rPr>
          <w:szCs w:val="17"/>
        </w:rPr>
        <w:t>r</w:t>
      </w:r>
      <w:r w:rsidRPr="00156980">
        <w:rPr>
          <w:szCs w:val="17"/>
        </w:rPr>
        <w:t>stellung von ihr.</w:t>
      </w:r>
    </w:p>
    <w:p w:rsidR="00CC3558" w:rsidRPr="00156980" w:rsidRDefault="00CC3558" w:rsidP="00F461D9">
      <w:pPr>
        <w:pStyle w:val="Funotentext"/>
        <w:rPr>
          <w:szCs w:val="17"/>
        </w:rPr>
      </w:pPr>
      <w:r w:rsidRPr="00156980">
        <w:rPr>
          <w:szCs w:val="17"/>
        </w:rPr>
        <w:tab/>
        <w:t>Beachtet man dies nicht, könnte man etwa Realisierungsstellen als benachbart definieren, die in der Wirklichkeit weit entfernt sind oder sogar unterschiedlichen Kategorien ang</w:t>
      </w:r>
      <w:r w:rsidRPr="00156980">
        <w:rPr>
          <w:szCs w:val="17"/>
        </w:rPr>
        <w:t>e</w:t>
      </w:r>
      <w:r w:rsidRPr="00156980">
        <w:rPr>
          <w:szCs w:val="17"/>
        </w:rPr>
        <w:t>hören: So könnte etwa bei einem Text in unserer Anordnung von Realisierungsstellen auf die Einteilung der morphologischen Ebene</w:t>
      </w:r>
      <w:r w:rsidR="005D7996">
        <w:rPr>
          <w:szCs w:val="17"/>
        </w:rPr>
        <w:fldChar w:fldCharType="begin"/>
      </w:r>
      <w:r>
        <w:instrText xml:space="preserve"> XE "</w:instrText>
      </w:r>
      <w:r w:rsidRPr="000B6753">
        <w:rPr>
          <w:szCs w:val="17"/>
        </w:rPr>
        <w:instrText>Morphologie</w:instrText>
      </w:r>
      <w:r>
        <w:instrText xml:space="preserve"> (Linguistik)" </w:instrText>
      </w:r>
      <w:r w:rsidR="005D7996">
        <w:rPr>
          <w:szCs w:val="17"/>
        </w:rPr>
        <w:fldChar w:fldCharType="end"/>
      </w:r>
      <w:r w:rsidRPr="00156980">
        <w:rPr>
          <w:szCs w:val="17"/>
        </w:rPr>
        <w:t xml:space="preserve"> in Realisierungsstellen die der syntaktischen</w:t>
      </w:r>
      <w:r w:rsidR="005D7996">
        <w:rPr>
          <w:szCs w:val="17"/>
        </w:rPr>
        <w:fldChar w:fldCharType="begin"/>
      </w:r>
      <w:r>
        <w:instrText xml:space="preserve"> XE "</w:instrText>
      </w:r>
      <w:r w:rsidRPr="002B5BC0">
        <w:rPr>
          <w:szCs w:val="17"/>
        </w:rPr>
        <w:instrText>Syntax</w:instrText>
      </w:r>
      <w:r>
        <w:instrText xml:space="preserve">" </w:instrText>
      </w:r>
      <w:r w:rsidR="005D7996">
        <w:rPr>
          <w:szCs w:val="17"/>
        </w:rPr>
        <w:fldChar w:fldCharType="end"/>
      </w:r>
      <w:r w:rsidRPr="00156980">
        <w:rPr>
          <w:szCs w:val="17"/>
        </w:rPr>
        <w:t xml:space="preserve"> folgen, womit eine morphologische Realisierungsstelle neben einer syntaktischen steht. Diese Art von Benachbartheit ist durch die Darstellung bestimmt und darf nicht in die horizontal-relationalen Eigenschaften eingehen.</w:t>
      </w:r>
    </w:p>
  </w:footnote>
  <w:footnote w:id="3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9156038 \r \h  \* MERGEFORMAT ">
        <w:r w:rsidR="001231D3" w:rsidRPr="001231D3">
          <w:rPr>
            <w:szCs w:val="17"/>
          </w:rPr>
          <w:t>5.4.1</w:t>
        </w:r>
      </w:fldSimple>
      <w:r w:rsidRPr="00156980">
        <w:rPr>
          <w:szCs w:val="17"/>
        </w:rPr>
        <w:t xml:space="preserve">, Funktion </w:t>
      </w:r>
      <w:r w:rsidRPr="00156980">
        <w:rPr>
          <w:i/>
          <w:szCs w:val="17"/>
        </w:rPr>
        <w:t>Merkmalsregeln_einschreiben</w:t>
      </w:r>
      <w:r w:rsidRPr="00156980">
        <w:rPr>
          <w:szCs w:val="17"/>
        </w:rPr>
        <w:t>.</w:t>
      </w:r>
    </w:p>
  </w:footnote>
  <w:footnote w:id="3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1443737 \r \h  \* MERGEFORMAT ">
        <w:r w:rsidR="001231D3" w:rsidRPr="001231D3">
          <w:rPr>
            <w:szCs w:val="17"/>
          </w:rPr>
          <w:t>7.3.2</w:t>
        </w:r>
      </w:fldSimple>
      <w:r w:rsidRPr="00156980">
        <w:rPr>
          <w:szCs w:val="17"/>
        </w:rPr>
        <w:t>.</w:t>
      </w:r>
    </w:p>
  </w:footnote>
  <w:footnote w:id="3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 in Abschnitt </w:t>
      </w:r>
      <w:fldSimple w:instr=" REF _Ref254386965 \n \h  \* MERGEFORMAT ">
        <w:r w:rsidR="001231D3" w:rsidRPr="001231D3">
          <w:rPr>
            <w:szCs w:val="17"/>
          </w:rPr>
          <w:t>7.1.1</w:t>
        </w:r>
      </w:fldSimple>
      <w:r w:rsidRPr="00156980">
        <w:rPr>
          <w:szCs w:val="17"/>
        </w:rPr>
        <w:t>.</w:t>
      </w:r>
    </w:p>
  </w:footnote>
  <w:footnote w:id="3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 in Abschnitt </w:t>
      </w:r>
      <w:fldSimple w:instr=" REF _Ref256495850 \n \h  \* MERGEFORMAT ">
        <w:r w:rsidR="001231D3" w:rsidRPr="001231D3">
          <w:rPr>
            <w:szCs w:val="17"/>
          </w:rPr>
          <w:t>7.1.2</w:t>
        </w:r>
      </w:fldSimple>
      <w:r w:rsidRPr="00156980">
        <w:rPr>
          <w:szCs w:val="17"/>
        </w:rPr>
        <w:t>.</w:t>
      </w:r>
    </w:p>
  </w:footnote>
  <w:footnote w:id="3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 in Abschnitt </w:t>
      </w:r>
      <w:fldSimple w:instr=" REF _Ref254550229 \n \h  \* MERGEFORMAT ">
        <w:r w:rsidR="001231D3" w:rsidRPr="001231D3">
          <w:rPr>
            <w:szCs w:val="17"/>
          </w:rPr>
          <w:t>7.1.5</w:t>
        </w:r>
      </w:fldSimple>
      <w:r w:rsidRPr="00156980">
        <w:rPr>
          <w:szCs w:val="17"/>
        </w:rPr>
        <w:t>.</w:t>
      </w:r>
    </w:p>
  </w:footnote>
  <w:footnote w:id="3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Der Output der Funktion </w:t>
      </w:r>
      <w:r w:rsidRPr="00156980">
        <w:rPr>
          <w:i/>
          <w:szCs w:val="17"/>
        </w:rPr>
        <w:t>Schemaausführung</w:t>
      </w:r>
      <w:r w:rsidRPr="00156980">
        <w:rPr>
          <w:szCs w:val="17"/>
        </w:rPr>
        <w:t xml:space="preserve"> (vgl. Abschnitt </w:t>
      </w:r>
      <w:fldSimple w:instr=" REF _Ref212110965 \n \h  \* MERGEFORMAT ">
        <w:r w:rsidR="001231D3" w:rsidRPr="001231D3">
          <w:rPr>
            <w:szCs w:val="17"/>
          </w:rPr>
          <w:t>5.2.2</w:t>
        </w:r>
      </w:fldSimple>
      <w:r w:rsidRPr="00156980">
        <w:rPr>
          <w:szCs w:val="17"/>
        </w:rPr>
        <w:t>) ist eine Realisierung; somit ist alles, was durch eine Ausführung eines Schemas erzeugt werden kann, genau e</w:t>
      </w:r>
      <w:r w:rsidRPr="00156980">
        <w:rPr>
          <w:szCs w:val="17"/>
        </w:rPr>
        <w:t>i</w:t>
      </w:r>
      <w:r w:rsidRPr="00156980">
        <w:rPr>
          <w:szCs w:val="17"/>
        </w:rPr>
        <w:t xml:space="preserve">ne Realisierung. Natürlich kann derselbe Stil in mehrere Realisierungen eingeschrieben werden. Im Modell ist dies beispielsweise der Fall, wenn der Stil bei einem Aufruf der Funktion </w:t>
      </w:r>
      <w:r w:rsidRPr="00156980">
        <w:rPr>
          <w:i/>
          <w:szCs w:val="17"/>
        </w:rPr>
        <w:t>Stil_bereitstellen</w:t>
      </w:r>
      <w:r w:rsidRPr="00156980">
        <w:rPr>
          <w:szCs w:val="17"/>
        </w:rPr>
        <w:t xml:space="preserve"> (</w:t>
      </w:r>
      <w:fldSimple w:instr=" REF _Ref261443581 \r \h  \* MERGEFORMAT ">
        <w:r w:rsidR="001231D3" w:rsidRPr="001231D3">
          <w:rPr>
            <w:szCs w:val="17"/>
          </w:rPr>
          <w:t>7.3.1</w:t>
        </w:r>
      </w:fldSimple>
      <w:r w:rsidRPr="00156980">
        <w:rPr>
          <w:szCs w:val="17"/>
        </w:rPr>
        <w:t>) erzeugt wird und beim nächsten Aufruf als bereits vo</w:t>
      </w:r>
      <w:r w:rsidRPr="00156980">
        <w:rPr>
          <w:szCs w:val="17"/>
        </w:rPr>
        <w:t>r</w:t>
      </w:r>
      <w:r w:rsidRPr="00156980">
        <w:rPr>
          <w:szCs w:val="17"/>
        </w:rPr>
        <w:t xml:space="preserve">handener Stil gefunden (vgl. Zeile 2 der Funktion) und unverändert an die Funktion </w:t>
      </w:r>
      <w:r w:rsidRPr="00156980">
        <w:rPr>
          <w:i/>
          <w:szCs w:val="17"/>
        </w:rPr>
        <w:t>Schemaausführung</w:t>
      </w:r>
      <w:r w:rsidRPr="00156980">
        <w:rPr>
          <w:szCs w:val="17"/>
        </w:rPr>
        <w:t xml:space="preserve"> (</w:t>
      </w:r>
      <w:fldSimple w:instr=" REF _Ref212110965 \n \h  \* MERGEFORMAT ">
        <w:r w:rsidR="001231D3" w:rsidRPr="001231D3">
          <w:rPr>
            <w:szCs w:val="17"/>
          </w:rPr>
          <w:t>5.2.2</w:t>
        </w:r>
      </w:fldSimple>
      <w:r w:rsidRPr="00156980">
        <w:rPr>
          <w:szCs w:val="17"/>
        </w:rPr>
        <w:t>) zurückgegeben wird.</w:t>
      </w:r>
    </w:p>
  </w:footnote>
  <w:footnote w:id="3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 rudimentäre Stilkompetenz</w:t>
      </w:r>
      <w:r w:rsidR="005D7996">
        <w:rPr>
          <w:szCs w:val="17"/>
        </w:rPr>
        <w:fldChar w:fldCharType="begin"/>
      </w:r>
      <w:r>
        <w:instrText xml:space="preserve"> XE "</w:instrText>
      </w:r>
      <w:r w:rsidRPr="00901D82">
        <w:rPr>
          <w:szCs w:val="17"/>
        </w:rPr>
        <w:instrText>Stilkompetenz</w:instrText>
      </w:r>
      <w:r>
        <w:instrText xml:space="preserve">" </w:instrText>
      </w:r>
      <w:r w:rsidR="005D7996">
        <w:rPr>
          <w:szCs w:val="17"/>
        </w:rPr>
        <w:fldChar w:fldCharType="end"/>
      </w:r>
      <w:r w:rsidRPr="00156980">
        <w:rPr>
          <w:szCs w:val="17"/>
        </w:rPr>
        <w:t xml:space="preserve"> kann bereits angenommen werden, wenn keine Unte</w:t>
      </w:r>
      <w:r w:rsidRPr="00156980">
        <w:rPr>
          <w:szCs w:val="17"/>
        </w:rPr>
        <w:t>r</w:t>
      </w:r>
      <w:r w:rsidRPr="00156980">
        <w:rPr>
          <w:szCs w:val="17"/>
        </w:rPr>
        <w:t xml:space="preserve">teilung in Realisierungsstellen erfolgt und nur eine </w:t>
      </w:r>
      <w:r>
        <w:rPr>
          <w:szCs w:val="17"/>
        </w:rPr>
        <w:t>Alter</w:t>
      </w:r>
      <w:r>
        <w:rPr>
          <w:szCs w:val="17"/>
        </w:rPr>
        <w:softHyphen/>
        <w:t>nativen</w:t>
      </w:r>
      <w:r>
        <w:rPr>
          <w:szCs w:val="17"/>
        </w:rPr>
        <w:softHyphen/>
        <w:t>klasse</w:t>
      </w:r>
      <w:r w:rsidRPr="00156980">
        <w:rPr>
          <w:szCs w:val="17"/>
        </w:rPr>
        <w:t xml:space="preserve"> für die ganze Real</w:t>
      </w:r>
      <w:r w:rsidRPr="00156980">
        <w:rPr>
          <w:szCs w:val="17"/>
        </w:rPr>
        <w:t>i</w:t>
      </w:r>
      <w:r w:rsidRPr="00156980">
        <w:rPr>
          <w:szCs w:val="17"/>
        </w:rPr>
        <w:t>sierung gebildet wird; so kann immerhin zwischen verschiedenen Stilen unterschieden werden.</w:t>
      </w:r>
    </w:p>
  </w:footnote>
  <w:footnote w:id="3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bookmarkStart w:id="228" w:name="Zeichenmaterie"/>
      <w:r w:rsidR="005D7996">
        <w:fldChar w:fldCharType="begin"/>
      </w:r>
      <w:r>
        <w:instrText xml:space="preserve"> XE "Zeichenmaterie:</w:instrText>
      </w:r>
      <w:r w:rsidRPr="0073281C">
        <w:rPr>
          <w:i/>
        </w:rPr>
        <w:instrText>Definition</w:instrText>
      </w:r>
      <w:r>
        <w:instrText xml:space="preserve">" \r "Zeichenmaterie" </w:instrText>
      </w:r>
      <w:r w:rsidR="005D7996">
        <w:fldChar w:fldCharType="end"/>
      </w:r>
      <w:r w:rsidRPr="00156980">
        <w:rPr>
          <w:szCs w:val="17"/>
        </w:rPr>
        <w:t>„Alle physikalisch feststellbaren Elemente, die während eines Kommunikationsprozesses durch den Kanal transportiert werden, gehören – ohne Rücksicht auf ihre semiotische R</w:t>
      </w:r>
      <w:r w:rsidRPr="00156980">
        <w:rPr>
          <w:szCs w:val="17"/>
        </w:rPr>
        <w:t>e</w:t>
      </w:r>
      <w:r w:rsidRPr="00156980">
        <w:rPr>
          <w:szCs w:val="17"/>
        </w:rPr>
        <w:t xml:space="preserve">levanz – zur </w:t>
      </w:r>
      <w:r w:rsidRPr="00156980">
        <w:rPr>
          <w:spacing w:val="20"/>
          <w:szCs w:val="17"/>
        </w:rPr>
        <w:t>Zeichenmaterie</w:t>
      </w:r>
      <w:r w:rsidRPr="00156980">
        <w:rPr>
          <w:szCs w:val="17"/>
        </w:rPr>
        <w:t>. Sie ist zugleich Produkt der Sendung (‚output‘) und Ausgangspunkt der Rezeption (‚input‘), in ihr schlägt sich die Nachricht</w:t>
      </w:r>
      <w:r w:rsidR="005D7996">
        <w:rPr>
          <w:szCs w:val="17"/>
        </w:rPr>
        <w:fldChar w:fldCharType="begin"/>
      </w:r>
      <w:r>
        <w:instrText xml:space="preserve"> XE "</w:instrText>
      </w:r>
      <w:r w:rsidRPr="002725C6">
        <w:rPr>
          <w:rFonts w:eastAsia="Times New Roman" w:cs="Times New Roman"/>
        </w:rPr>
        <w:instrText>Nachricht</w:instrText>
      </w:r>
      <w:r>
        <w:instrText xml:space="preserve">" </w:instrText>
      </w:r>
      <w:r w:rsidR="005D7996">
        <w:rPr>
          <w:szCs w:val="17"/>
        </w:rPr>
        <w:fldChar w:fldCharType="end"/>
      </w:r>
      <w:r w:rsidRPr="00156980">
        <w:rPr>
          <w:szCs w:val="17"/>
        </w:rPr>
        <w:t xml:space="preserve"> sinnlich wah</w:t>
      </w:r>
      <w:r w:rsidRPr="00156980">
        <w:rPr>
          <w:szCs w:val="17"/>
        </w:rPr>
        <w:t>r</w:t>
      </w:r>
      <w:r w:rsidRPr="00156980">
        <w:rPr>
          <w:szCs w:val="17"/>
        </w:rPr>
        <w:t>nehmbar nieder.“ (Posner 1980b: 688)</w:t>
      </w:r>
      <w:bookmarkEnd w:id="228"/>
    </w:p>
  </w:footnote>
  <w:footnote w:id="3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xml:space="preserve">, Zeile 23. Diese Funktion wird durch einen übergeordneten Verhaltensprozess aufgerufen und gibt die Realisierung </w:t>
      </w:r>
      <w:r w:rsidRPr="00156980">
        <w:rPr>
          <w:i/>
          <w:szCs w:val="17"/>
        </w:rPr>
        <w:t>R</w:t>
      </w:r>
      <w:r w:rsidRPr="00156980">
        <w:rPr>
          <w:szCs w:val="17"/>
        </w:rPr>
        <w:t xml:space="preserve"> zurück.</w:t>
      </w:r>
    </w:p>
  </w:footnote>
  <w:footnote w:id="3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1443737 \r \h  \* MERGEFORMAT ">
        <w:r w:rsidR="001231D3" w:rsidRPr="001231D3">
          <w:rPr>
            <w:szCs w:val="17"/>
          </w:rPr>
          <w:t>7.3.2</w:t>
        </w:r>
      </w:fldSimple>
      <w:r w:rsidRPr="00156980">
        <w:rPr>
          <w:szCs w:val="17"/>
        </w:rPr>
        <w:t xml:space="preserve">, Funktion </w:t>
      </w:r>
      <w:r w:rsidRPr="00156980">
        <w:rPr>
          <w:i/>
          <w:szCs w:val="17"/>
        </w:rPr>
        <w:t>Stil_wahrnehmen</w:t>
      </w:r>
      <w:r w:rsidRPr="00156980">
        <w:rPr>
          <w:szCs w:val="17"/>
        </w:rPr>
        <w:t xml:space="preserve">, Zeile 1. Diese Funktion wird ebenfalls durch einen übergeordneten Verhaltensprozess aufgerufen und erhält die Realisierung </w:t>
      </w:r>
      <w:r w:rsidRPr="00156980">
        <w:rPr>
          <w:i/>
          <w:szCs w:val="17"/>
        </w:rPr>
        <w:t>R</w:t>
      </w:r>
      <w:r w:rsidRPr="00156980">
        <w:rPr>
          <w:szCs w:val="17"/>
        </w:rPr>
        <w:t xml:space="preserve"> als Parameter.</w:t>
      </w:r>
    </w:p>
  </w:footnote>
  <w:footnote w:id="3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bookmarkStart w:id="229" w:name="Zeichenträger"/>
      <w:r w:rsidR="005D7996">
        <w:fldChar w:fldCharType="begin"/>
      </w:r>
      <w:r>
        <w:instrText xml:space="preserve"> XE "Zeichenträger:</w:instrText>
      </w:r>
      <w:r w:rsidRPr="0073281C">
        <w:rPr>
          <w:i/>
        </w:rPr>
        <w:instrText>Definition</w:instrText>
      </w:r>
      <w:r>
        <w:instrText xml:space="preserve">" \r "Zeichenträger" </w:instrText>
      </w:r>
      <w:r w:rsidR="005D7996">
        <w:fldChar w:fldCharType="end"/>
      </w:r>
      <w:r w:rsidRPr="00156980">
        <w:rPr>
          <w:szCs w:val="17"/>
        </w:rPr>
        <w:t>„Die semiotisch relevanten Teile der Zeichenmaterie und diejenigen Teile der Nachricht</w:t>
      </w:r>
      <w:r w:rsidR="005D7996">
        <w:rPr>
          <w:szCs w:val="17"/>
        </w:rPr>
        <w:fldChar w:fldCharType="begin"/>
      </w:r>
      <w:r>
        <w:instrText xml:space="preserve"> XE "</w:instrText>
      </w:r>
      <w:r w:rsidRPr="002725C6">
        <w:rPr>
          <w:rFonts w:eastAsia="Times New Roman" w:cs="Times New Roman"/>
        </w:rPr>
        <w:instrText>Nachricht</w:instrText>
      </w:r>
      <w:r>
        <w:instrText xml:space="preserve">" </w:instrText>
      </w:r>
      <w:r w:rsidR="005D7996">
        <w:rPr>
          <w:szCs w:val="17"/>
        </w:rPr>
        <w:fldChar w:fldCharType="end"/>
      </w:r>
      <w:r w:rsidRPr="00156980">
        <w:rPr>
          <w:szCs w:val="17"/>
        </w:rPr>
        <w:t xml:space="preserve">, die als Trägerinformationen für andere Teile der Nachricht fungieren, werden unter dem Begriff des </w:t>
      </w:r>
      <w:r w:rsidRPr="00156980">
        <w:rPr>
          <w:spacing w:val="20"/>
          <w:szCs w:val="17"/>
        </w:rPr>
        <w:t>Zeichenträgers</w:t>
      </w:r>
      <w:r w:rsidRPr="00156980">
        <w:rPr>
          <w:szCs w:val="17"/>
        </w:rPr>
        <w:t xml:space="preserve"> zusammengefaßt. Der Zeichenträger ist wie fast jede Nachricht mehrschichtig. Die unterste Ebene bilden die physikalischen Informationstr</w:t>
      </w:r>
      <w:r w:rsidRPr="00156980">
        <w:rPr>
          <w:szCs w:val="17"/>
        </w:rPr>
        <w:t>ä</w:t>
      </w:r>
      <w:r w:rsidRPr="00156980">
        <w:rPr>
          <w:szCs w:val="17"/>
        </w:rPr>
        <w:t>ger, d.</w:t>
      </w:r>
      <w:r>
        <w:rPr>
          <w:szCs w:val="17"/>
        </w:rPr>
        <w:t> </w:t>
      </w:r>
      <w:r w:rsidRPr="00156980">
        <w:rPr>
          <w:szCs w:val="17"/>
        </w:rPr>
        <w:t>h. die semiotisch relevanten Elemente der Zeichenmaterie.“ (Posner 1980b: 689)</w:t>
      </w:r>
      <w:bookmarkEnd w:id="229"/>
    </w:p>
  </w:footnote>
  <w:footnote w:id="3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Böhme-Dürr 1997 sowie Posner 1986: 294f und 2003: 44ff.</w:t>
      </w:r>
    </w:p>
  </w:footnote>
  <w:footnote w:id="3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Krampen 1997: 278ff.</w:t>
      </w:r>
    </w:p>
  </w:footnote>
  <w:footnote w:id="3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71823807 \r \h  \* MERGEFORMAT ">
        <w:r w:rsidR="001231D3" w:rsidRPr="001231D3">
          <w:rPr>
            <w:szCs w:val="17"/>
          </w:rPr>
          <w:t>5.6</w:t>
        </w:r>
      </w:fldSimple>
      <w:r w:rsidRPr="00156980">
        <w:rPr>
          <w:szCs w:val="17"/>
        </w:rPr>
        <w:t>.</w:t>
      </w:r>
    </w:p>
  </w:footnote>
  <w:footnote w:id="3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Definition in Abschnitt </w:t>
      </w:r>
      <w:fldSimple w:instr=" REF _Ref274036773 \r \h  \* MERGEFORMAT ">
        <w:r w:rsidR="001231D3" w:rsidRPr="001231D3">
          <w:rPr>
            <w:szCs w:val="17"/>
          </w:rPr>
          <w:t>2.12</w:t>
        </w:r>
      </w:fldSimple>
      <w:r w:rsidRPr="00156980">
        <w:rPr>
          <w:szCs w:val="17"/>
        </w:rPr>
        <w:t>.</w:t>
      </w:r>
    </w:p>
  </w:footnote>
  <w:footnote w:id="3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gilt nur für die Merkmalsregeln; falls eine Interpretation beabsichtigt wurde, ist eine Übereinstimmung mit dieser wesentlich schwerer zu erreichen, weil dabei beliebige B</w:t>
      </w:r>
      <w:r w:rsidRPr="00156980">
        <w:rPr>
          <w:szCs w:val="17"/>
        </w:rPr>
        <w:t>e</w:t>
      </w:r>
      <w:r w:rsidRPr="00156980">
        <w:rPr>
          <w:szCs w:val="17"/>
        </w:rPr>
        <w:t>standteile der Überzeugungen der Kultur</w:t>
      </w:r>
      <w:r w:rsidR="005D7996">
        <w:rPr>
          <w:szCs w:val="17"/>
        </w:rPr>
        <w:fldChar w:fldCharType="begin"/>
      </w:r>
      <w:r>
        <w:instrText xml:space="preserve"> XE "</w:instrText>
      </w:r>
      <w:r w:rsidRPr="00C1049D">
        <w:instrText>Kultur</w:instrText>
      </w:r>
      <w:r>
        <w:instrText xml:space="preserve">" </w:instrText>
      </w:r>
      <w:r w:rsidR="005D7996">
        <w:rPr>
          <w:szCs w:val="17"/>
        </w:rPr>
        <w:fldChar w:fldCharType="end"/>
      </w:r>
      <w:r w:rsidRPr="00156980">
        <w:rPr>
          <w:szCs w:val="17"/>
        </w:rPr>
        <w:t xml:space="preserve"> als Hintergrundwissen vorkommen können (vgl. Abschnitt </w:t>
      </w:r>
      <w:fldSimple w:instr=" REF _Ref269151460 \r \h  \* MERGEFORMAT ">
        <w:r w:rsidR="001231D3" w:rsidRPr="001231D3">
          <w:rPr>
            <w:szCs w:val="17"/>
          </w:rPr>
          <w:t>6.2.3</w:t>
        </w:r>
      </w:fldSimple>
      <w:r w:rsidRPr="00156980">
        <w:rPr>
          <w:szCs w:val="17"/>
        </w:rPr>
        <w:t>).</w:t>
      </w:r>
    </w:p>
  </w:footnote>
  <w:footnote w:id="3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Posner 1972: 210 (Abb. 2) und 1984: 198 (Abb. 1); vgl. auch Abschnitt </w:t>
      </w:r>
      <w:fldSimple w:instr=" REF _Ref267836372 \r \h  \* MERGEFORMAT ">
        <w:r w:rsidR="001231D3" w:rsidRPr="001231D3">
          <w:rPr>
            <w:szCs w:val="17"/>
          </w:rPr>
          <w:t>3.6</w:t>
        </w:r>
      </w:fldSimple>
      <w:r w:rsidRPr="00156980">
        <w:rPr>
          <w:szCs w:val="17"/>
        </w:rPr>
        <w:t>.</w:t>
      </w:r>
    </w:p>
  </w:footnote>
  <w:footnote w:id="3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9134562 \r \h  \* MERGEFORMAT ">
        <w:r w:rsidR="001231D3" w:rsidRPr="001231D3">
          <w:rPr>
            <w:szCs w:val="17"/>
          </w:rPr>
          <w:t>4.2.1</w:t>
        </w:r>
      </w:fldSimple>
      <w:r w:rsidRPr="00156980">
        <w:rPr>
          <w:szCs w:val="17"/>
        </w:rPr>
        <w:t>.</w:t>
      </w:r>
    </w:p>
  </w:footnote>
  <w:footnote w:id="3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Insbesondere</w:t>
      </w:r>
      <w:r w:rsidRPr="00156980">
        <w:rPr>
          <w:szCs w:val="17"/>
        </w:rPr>
        <w:t xml:space="preserve"> wenn es sich um Textschemata handelt, bei denen es Schemaorte gibt, die (zusammen mit inhaltlichen </w:t>
      </w:r>
      <w:r>
        <w:rPr>
          <w:szCs w:val="17"/>
        </w:rPr>
        <w:t>B</w:t>
      </w:r>
      <w:r w:rsidRPr="00156980">
        <w:rPr>
          <w:szCs w:val="17"/>
        </w:rPr>
        <w:t>edingungen) die Auswahl von Zeichen – etwa sprachliche</w:t>
      </w:r>
      <w:r>
        <w:rPr>
          <w:szCs w:val="17"/>
        </w:rPr>
        <w:t>n</w:t>
      </w:r>
      <w:r w:rsidRPr="00156980">
        <w:rPr>
          <w:szCs w:val="17"/>
        </w:rPr>
        <w:t xml:space="preserve"> oder gestische</w:t>
      </w:r>
      <w:r>
        <w:rPr>
          <w:szCs w:val="17"/>
        </w:rPr>
        <w:t>n</w:t>
      </w:r>
      <w:r w:rsidRPr="00156980">
        <w:rPr>
          <w:szCs w:val="17"/>
        </w:rPr>
        <w:t xml:space="preserve"> Morpheme</w:t>
      </w:r>
      <w:r>
        <w:rPr>
          <w:szCs w:val="17"/>
        </w:rPr>
        <w:t>n</w:t>
      </w:r>
      <w:r w:rsidR="005D7996">
        <w:rPr>
          <w:szCs w:val="17"/>
        </w:rPr>
        <w:fldChar w:fldCharType="begin"/>
      </w:r>
      <w:r>
        <w:instrText xml:space="preserve"> XE "</w:instrText>
      </w:r>
      <w:r w:rsidRPr="000C7B26">
        <w:instrText>Morphem</w:instrText>
      </w:r>
      <w:r>
        <w:instrText xml:space="preserve">" </w:instrText>
      </w:r>
      <w:r w:rsidR="005D7996">
        <w:rPr>
          <w:szCs w:val="17"/>
        </w:rPr>
        <w:fldChar w:fldCharType="end"/>
      </w:r>
      <w:r w:rsidRPr="00156980">
        <w:rPr>
          <w:szCs w:val="17"/>
        </w:rPr>
        <w:t xml:space="preserve"> – spezifizieren</w:t>
      </w:r>
      <w:r>
        <w:rPr>
          <w:szCs w:val="17"/>
        </w:rPr>
        <w:t>. Auch bei manchen Verhalten und Artefa</w:t>
      </w:r>
      <w:r>
        <w:rPr>
          <w:szCs w:val="17"/>
        </w:rPr>
        <w:t>k</w:t>
      </w:r>
      <w:r>
        <w:rPr>
          <w:szCs w:val="17"/>
        </w:rPr>
        <w:t xml:space="preserve">ten gibt es Zeichengebrauch bzw. Zeichen. (Vgl. Abschnitt </w:t>
      </w:r>
      <w:r w:rsidR="005D7996">
        <w:rPr>
          <w:szCs w:val="17"/>
        </w:rPr>
        <w:fldChar w:fldCharType="begin"/>
      </w:r>
      <w:r>
        <w:rPr>
          <w:szCs w:val="17"/>
        </w:rPr>
        <w:instrText xml:space="preserve"> REF _Ref211841829 \r \h </w:instrText>
      </w:r>
      <w:r w:rsidR="005D7996">
        <w:rPr>
          <w:szCs w:val="17"/>
        </w:rPr>
      </w:r>
      <w:r w:rsidR="005D7996">
        <w:rPr>
          <w:szCs w:val="17"/>
        </w:rPr>
        <w:fldChar w:fldCharType="separate"/>
      </w:r>
      <w:r w:rsidR="001231D3">
        <w:rPr>
          <w:szCs w:val="17"/>
        </w:rPr>
        <w:t>4.3.1</w:t>
      </w:r>
      <w:r w:rsidR="005D7996">
        <w:rPr>
          <w:szCs w:val="17"/>
        </w:rPr>
        <w:fldChar w:fldCharType="end"/>
      </w:r>
      <w:r>
        <w:rPr>
          <w:szCs w:val="17"/>
        </w:rPr>
        <w:t>, (2).)</w:t>
      </w:r>
    </w:p>
  </w:footnote>
  <w:footnote w:id="3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mag eingewandt werden, dass beispielsweise die Entscheidung für einen Inhalt bei einem Text, die hier über die Festlegung inhaltlicher Bedingungen erfolgt (der exakte I</w:t>
      </w:r>
      <w:r w:rsidRPr="00156980">
        <w:rPr>
          <w:szCs w:val="17"/>
        </w:rPr>
        <w:t>n</w:t>
      </w:r>
      <w:r w:rsidRPr="00156980">
        <w:rPr>
          <w:szCs w:val="17"/>
        </w:rPr>
        <w:t>halt ergibt sich erst nach Schritt 3 und 4), nicht immer vor dem Stil erfolge. Tatsächlich kommt es vor, dass die stilistische Auswahl mehr Einfluss bei der Schemaausführung hat als die inhaltliche. Dieser Fall kann im Modell simuliert werden, indem wenige oder gar keine inhaltlichen Vorentscheidungen getroffen und in Form inhaltlicher Bedingungen festgelegt werden, bevor der Stil eingeschrieben wird. Die inhaltlichen Entscheidungen werden jetzt weitgehend oder ganz in Schritt 4 getroffen, wobei nur noch aus den Mö</w:t>
      </w:r>
      <w:r w:rsidRPr="00156980">
        <w:rPr>
          <w:szCs w:val="17"/>
        </w:rPr>
        <w:t>g</w:t>
      </w:r>
      <w:r w:rsidRPr="00156980">
        <w:rPr>
          <w:szCs w:val="17"/>
        </w:rPr>
        <w:t>lichkeiten gewählt werden kann, die der Stil übrig gelassen hat.</w:t>
      </w:r>
    </w:p>
  </w:footnote>
  <w:footnote w:id="3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 diesen Bedingungen </w:t>
      </w:r>
      <w:r>
        <w:rPr>
          <w:szCs w:val="17"/>
        </w:rPr>
        <w:t xml:space="preserve">Abschnitt </w:t>
      </w:r>
      <w:r w:rsidR="005D7996">
        <w:rPr>
          <w:szCs w:val="17"/>
        </w:rPr>
        <w:fldChar w:fldCharType="begin"/>
      </w:r>
      <w:r>
        <w:rPr>
          <w:szCs w:val="17"/>
        </w:rPr>
        <w:instrText xml:space="preserve"> REF _Ref211841829 \r \h </w:instrText>
      </w:r>
      <w:r w:rsidR="005D7996">
        <w:rPr>
          <w:szCs w:val="17"/>
        </w:rPr>
      </w:r>
      <w:r w:rsidR="005D7996">
        <w:rPr>
          <w:szCs w:val="17"/>
        </w:rPr>
        <w:fldChar w:fldCharType="separate"/>
      </w:r>
      <w:r w:rsidR="001231D3">
        <w:rPr>
          <w:szCs w:val="17"/>
        </w:rPr>
        <w:t>4.3.1</w:t>
      </w:r>
      <w:r w:rsidR="005D7996">
        <w:rPr>
          <w:szCs w:val="17"/>
        </w:rPr>
        <w:fldChar w:fldCharType="end"/>
      </w:r>
      <w:r>
        <w:rPr>
          <w:szCs w:val="17"/>
        </w:rPr>
        <w:t>.</w:t>
      </w:r>
    </w:p>
  </w:footnote>
  <w:footnote w:id="3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Wie oben bereits erläutert wurde, wird in vielen Fällen ein Vor- und Zurückgehen zw</w:t>
      </w:r>
      <w:r w:rsidRPr="00156980">
        <w:rPr>
          <w:szCs w:val="17"/>
        </w:rPr>
        <w:t>i</w:t>
      </w:r>
      <w:r w:rsidRPr="00156980">
        <w:rPr>
          <w:szCs w:val="17"/>
        </w:rPr>
        <w:t xml:space="preserve">schen den verschiedenen Schritten stattfinden, zum Beispiel wird nicht der Schritt 2 für alle </w:t>
      </w:r>
      <w:r>
        <w:rPr>
          <w:szCs w:val="17"/>
        </w:rPr>
        <w:t>Alter</w:t>
      </w:r>
      <w:r>
        <w:rPr>
          <w:szCs w:val="17"/>
        </w:rPr>
        <w:softHyphen/>
        <w:t>nativen</w:t>
      </w:r>
      <w:r>
        <w:rPr>
          <w:szCs w:val="17"/>
        </w:rPr>
        <w:softHyphen/>
        <w:t>klasse</w:t>
      </w:r>
      <w:r w:rsidRPr="00156980">
        <w:rPr>
          <w:szCs w:val="17"/>
        </w:rPr>
        <w:t>n ausgeführt werden, bevor die Schritte 3 und 4 überhaupt bego</w:t>
      </w:r>
      <w:r w:rsidRPr="00156980">
        <w:rPr>
          <w:szCs w:val="17"/>
        </w:rPr>
        <w:t>n</w:t>
      </w:r>
      <w:r w:rsidRPr="00156980">
        <w:rPr>
          <w:szCs w:val="17"/>
        </w:rPr>
        <w:t xml:space="preserve">nen werden. Dies sind jedoch Vorgänge, die kontextbezogen oder zufällig stattfinden und sich nicht formalisieren lassen. Dies ist auch nicht nötig; es reicht, zu wissen, wie der Prozess im einfachsten Fall ablaufen </w:t>
      </w:r>
      <w:r w:rsidRPr="00156980">
        <w:rPr>
          <w:i/>
          <w:iCs/>
          <w:szCs w:val="17"/>
        </w:rPr>
        <w:t>kann</w:t>
      </w:r>
      <w:r w:rsidRPr="00156980">
        <w:rPr>
          <w:szCs w:val="17"/>
        </w:rPr>
        <w:t>. Dies zu zeigen, ist die Aufgabe der Algorit</w:t>
      </w:r>
      <w:r w:rsidRPr="00156980">
        <w:rPr>
          <w:szCs w:val="17"/>
        </w:rPr>
        <w:t>h</w:t>
      </w:r>
      <w:r w:rsidRPr="00156980">
        <w:rPr>
          <w:szCs w:val="17"/>
        </w:rPr>
        <w:t>men</w:t>
      </w:r>
      <w:r w:rsidR="005D7996">
        <w:rPr>
          <w:szCs w:val="17"/>
        </w:rPr>
        <w:fldChar w:fldCharType="begin"/>
      </w:r>
      <w:r>
        <w:instrText xml:space="preserve"> XE "</w:instrText>
      </w:r>
      <w:r w:rsidRPr="008000A4">
        <w:instrText>Algorithmus</w:instrText>
      </w:r>
      <w:r>
        <w:instrText xml:space="preserve">" </w:instrText>
      </w:r>
      <w:r w:rsidR="005D7996">
        <w:rPr>
          <w:szCs w:val="17"/>
        </w:rPr>
        <w:fldChar w:fldCharType="end"/>
      </w:r>
      <w:r w:rsidRPr="00156980">
        <w:rPr>
          <w:szCs w:val="17"/>
        </w:rPr>
        <w:t>-basierten Darstellung in diesem und den folgenden Abschnitten.</w:t>
      </w:r>
    </w:p>
  </w:footnote>
  <w:footnote w:id="3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wird hier davon ausgegangen, dass die Funktion hier eine inhaltlich bedingte Auswahl simuliert und bereits ausgewählte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nicht erneut auswählt. Ist dies nicht garantiert, kann </w:t>
      </w:r>
      <w:r w:rsidRPr="00156980">
        <w:rPr>
          <w:i/>
          <w:szCs w:val="17"/>
        </w:rPr>
        <w:t>Z</w:t>
      </w:r>
      <w:r w:rsidRPr="00156980">
        <w:rPr>
          <w:i/>
          <w:szCs w:val="17"/>
          <w:vertAlign w:val="subscript"/>
        </w:rPr>
        <w:t>j</w:t>
      </w:r>
      <w:r w:rsidRPr="00156980">
        <w:rPr>
          <w:szCs w:val="17"/>
        </w:rPr>
        <w:t>(</w:t>
      </w:r>
      <w:r w:rsidRPr="00156980">
        <w:rPr>
          <w:i/>
          <w:szCs w:val="17"/>
        </w:rPr>
        <w:t>S*</w:t>
      </w:r>
      <w:r w:rsidRPr="00156980">
        <w:rPr>
          <w:szCs w:val="17"/>
        </w:rPr>
        <w:t>) in eine zusätzliche Variable gespeichert und gewählte Bedi</w:t>
      </w:r>
      <w:r w:rsidRPr="00156980">
        <w:rPr>
          <w:szCs w:val="17"/>
        </w:rPr>
        <w:t>n</w:t>
      </w:r>
      <w:r w:rsidRPr="00156980">
        <w:rPr>
          <w:szCs w:val="17"/>
        </w:rPr>
        <w:t>gungen aus dieser entfernt werden.</w:t>
      </w:r>
    </w:p>
  </w:footnote>
  <w:footnote w:id="3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9048814 \r \h  \* MERGEFORMAT ">
        <w:r w:rsidR="001231D3" w:rsidRPr="001231D3">
          <w:rPr>
            <w:szCs w:val="17"/>
          </w:rPr>
          <w:t>7.3.3</w:t>
        </w:r>
      </w:fldSimple>
      <w:r w:rsidRPr="00156980">
        <w:rPr>
          <w:szCs w:val="17"/>
        </w:rPr>
        <w:t xml:space="preserve">, Funktion </w:t>
      </w:r>
      <w:r w:rsidRPr="00156980">
        <w:rPr>
          <w:i/>
          <w:szCs w:val="17"/>
        </w:rPr>
        <w:t>Schema</w:t>
      </w:r>
      <w:r w:rsidRPr="00156980">
        <w:rPr>
          <w:szCs w:val="17"/>
        </w:rPr>
        <w:t>, Zeile 6-7.</w:t>
      </w:r>
    </w:p>
  </w:footnote>
  <w:footnote w:id="3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erweiterte Variablendefinition wird anstelle von Objekten eingeführt, die in objek</w:t>
      </w:r>
      <w:r w:rsidRPr="00156980">
        <w:rPr>
          <w:szCs w:val="17"/>
        </w:rPr>
        <w:t>t</w:t>
      </w:r>
      <w:r w:rsidRPr="00156980">
        <w:rPr>
          <w:szCs w:val="17"/>
        </w:rPr>
        <w:t>orientierten Programmiersprachen verwendet werden, um miteinander zusammenhä</w:t>
      </w:r>
      <w:r w:rsidRPr="00156980">
        <w:rPr>
          <w:szCs w:val="17"/>
        </w:rPr>
        <w:t>n</w:t>
      </w:r>
      <w:r w:rsidRPr="00156980">
        <w:rPr>
          <w:szCs w:val="17"/>
        </w:rPr>
        <w:t>gende Informationen verarbeiten zu können. Objekte sind zwar leistungsfähiger als die hier dargestellte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aber auch weniger intuitiv verständlich und je nach Sprache u</w:t>
      </w:r>
      <w:r w:rsidRPr="00156980">
        <w:rPr>
          <w:szCs w:val="17"/>
        </w:rPr>
        <w:t>n</w:t>
      </w:r>
      <w:r w:rsidRPr="00156980">
        <w:rPr>
          <w:szCs w:val="17"/>
        </w:rPr>
        <w:t>terschiedlich definiert.</w:t>
      </w:r>
    </w:p>
  </w:footnote>
  <w:footnote w:id="3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beispielsweise Zeile 18; die Funktion </w:t>
      </w:r>
      <w:r w:rsidRPr="00156980">
        <w:rPr>
          <w:i/>
          <w:szCs w:val="17"/>
        </w:rPr>
        <w:t>Merkmalsregeln_einschreiben</w:t>
      </w:r>
      <w:r w:rsidRPr="00156980">
        <w:rPr>
          <w:szCs w:val="17"/>
        </w:rPr>
        <w:t xml:space="preserve"> würde nicht ko</w:t>
      </w:r>
      <w:r w:rsidRPr="00156980">
        <w:rPr>
          <w:szCs w:val="17"/>
        </w:rPr>
        <w:t>r</w:t>
      </w:r>
      <w:r w:rsidRPr="00156980">
        <w:rPr>
          <w:szCs w:val="17"/>
        </w:rPr>
        <w:t xml:space="preserve">rekt funktionieren, wenn die in Zeile 15 und 16 erzeugten Ordnungen von </w:t>
      </w:r>
      <w:r w:rsidRPr="00156980">
        <w:rPr>
          <w:i/>
          <w:szCs w:val="17"/>
        </w:rPr>
        <w:t>A</w:t>
      </w:r>
      <w:r w:rsidRPr="00156980">
        <w:rPr>
          <w:szCs w:val="17"/>
        </w:rPr>
        <w:t xml:space="preserve"> und </w:t>
      </w:r>
      <w:r w:rsidRPr="00156980">
        <w:rPr>
          <w:i/>
          <w:szCs w:val="17"/>
        </w:rPr>
        <w:t>Ab</w:t>
      </w:r>
      <w:r w:rsidRPr="00156980">
        <w:rPr>
          <w:szCs w:val="17"/>
        </w:rPr>
        <w:t xml:space="preserve"> nicht erhalten blieben.</w:t>
      </w:r>
    </w:p>
  </w:footnote>
  <w:footnote w:id="3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r w:rsidRPr="00156980">
        <w:rPr>
          <w:szCs w:val="17"/>
          <w:lang w:val="it-IT"/>
        </w:rPr>
        <w:t xml:space="preserve">Abschnitt </w:t>
      </w:r>
      <w:fldSimple w:instr=" REF _Ref211841829 \r \h  \* MERGEFORMAT ">
        <w:r w:rsidR="001231D3" w:rsidRPr="001231D3">
          <w:rPr>
            <w:szCs w:val="17"/>
            <w:lang w:val="it-IT"/>
          </w:rPr>
          <w:t>4.3.1</w:t>
        </w:r>
      </w:fldSimple>
      <w:r w:rsidRPr="00156980">
        <w:rPr>
          <w:szCs w:val="17"/>
          <w:lang w:val="it-IT"/>
        </w:rPr>
        <w:t>, (1).</w:t>
      </w:r>
    </w:p>
  </w:footnote>
  <w:footnote w:id="3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r w:rsidRPr="00156980">
        <w:rPr>
          <w:szCs w:val="17"/>
          <w:lang w:val="it-IT"/>
        </w:rPr>
        <w:t xml:space="preserve">Abschnitt </w:t>
      </w:r>
      <w:fldSimple w:instr=" REF _Ref211841829 \r \h  \* MERGEFORMAT ">
        <w:r w:rsidR="001231D3" w:rsidRPr="001231D3">
          <w:rPr>
            <w:szCs w:val="17"/>
            <w:lang w:val="it-IT"/>
          </w:rPr>
          <w:t>4.3.1</w:t>
        </w:r>
      </w:fldSimple>
      <w:r w:rsidRPr="00156980">
        <w:rPr>
          <w:szCs w:val="17"/>
          <w:lang w:val="it-IT"/>
        </w:rPr>
        <w:t>, (2).</w:t>
      </w:r>
    </w:p>
  </w:footnote>
  <w:footnote w:id="3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Gemeint sind Klassen, deren intensionale Definition (die Alternativenbedingungen) die der ersten Klasse beinhaltet.</w:t>
      </w:r>
    </w:p>
  </w:footnote>
  <w:footnote w:id="3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fldSimple w:instr=" REF _Ref212455608 \r \h  \* MERGEFORMAT ">
        <w:r w:rsidR="001231D3" w:rsidRPr="001231D3">
          <w:rPr>
            <w:szCs w:val="17"/>
          </w:rPr>
          <w:t>5.4.2</w:t>
        </w:r>
      </w:fldSimple>
      <w:r w:rsidRPr="00156980">
        <w:rPr>
          <w:szCs w:val="17"/>
        </w:rPr>
        <w:t xml:space="preserve">, Funktion </w:t>
      </w:r>
      <w:r w:rsidRPr="00156980">
        <w:rPr>
          <w:i/>
          <w:szCs w:val="17"/>
        </w:rPr>
        <w:t>Merkmalsregel_anwenden</w:t>
      </w:r>
      <w:r w:rsidRPr="00156980">
        <w:rPr>
          <w:szCs w:val="17"/>
        </w:rPr>
        <w:t xml:space="preserve">, Zeile 2: Dort wird die Bedingung </w:t>
      </w:r>
      <w:r w:rsidRPr="00156980">
        <w:rPr>
          <w:i/>
          <w:iCs/>
          <w:szCs w:val="17"/>
        </w:rPr>
        <w:t>U</w:t>
      </w:r>
      <w:r w:rsidRPr="00156980">
        <w:rPr>
          <w:szCs w:val="17"/>
        </w:rPr>
        <w:t>(</w:t>
      </w:r>
      <m:oMath>
        <m:sSub>
          <m:sSubPr>
            <m:ctrlPr>
              <w:rPr>
                <w:rFonts w:ascii="Cambria Math" w:hAnsi="Cambria Math" w:cs="Times New Roman"/>
                <w:i/>
                <w:szCs w:val="17"/>
              </w:rPr>
            </m:ctrlPr>
          </m:sSubPr>
          <m:e>
            <m:r>
              <m:rPr>
                <m:nor/>
              </m:rPr>
              <w:rPr>
                <w:rFonts w:cs="Times New Roman"/>
                <w:i/>
                <w:szCs w:val="17"/>
              </w:rPr>
              <m:t>B</m:t>
            </m:r>
          </m:e>
          <m:sub>
            <m:sSub>
              <m:sSubPr>
                <m:ctrlPr>
                  <w:rPr>
                    <w:rFonts w:ascii="Cambria Math" w:hAnsi="Cambria Math" w:cs="Times New Roman"/>
                    <w:i/>
                    <w:szCs w:val="17"/>
                  </w:rPr>
                </m:ctrlPr>
              </m:sSubPr>
              <m:e>
                <m:r>
                  <m:rPr>
                    <m:nor/>
                  </m:rPr>
                  <w:rPr>
                    <w:rFonts w:cs="Times New Roman"/>
                    <w:i/>
                    <w:szCs w:val="17"/>
                  </w:rPr>
                  <m:t>j</m:t>
                </m:r>
              </m:e>
              <m:sub>
                <m:r>
                  <m:rPr>
                    <m:nor/>
                  </m:rPr>
                  <w:rPr>
                    <w:rFonts w:cs="Times New Roman"/>
                    <w:i/>
                    <w:szCs w:val="17"/>
                  </w:rPr>
                  <m:t>k</m:t>
                </m:r>
              </m:sub>
            </m:sSub>
          </m:sub>
        </m:sSub>
      </m:oMath>
      <w:r w:rsidRPr="00156980">
        <w:rPr>
          <w:szCs w:val="17"/>
        </w:rPr>
        <w:t xml:space="preserve">) </w:t>
      </w:r>
      <w:r w:rsidRPr="00156980">
        <w:rPr>
          <w:rFonts w:ascii="Cambria Math" w:eastAsia="Arial Unicode MS" w:hAnsi="Cambria Math" w:cs="Arial Unicode MS"/>
          <w:szCs w:val="17"/>
        </w:rPr>
        <w:t>⊆</w:t>
      </w:r>
      <w:r w:rsidRPr="00156980">
        <w:rPr>
          <w:szCs w:val="17"/>
        </w:rPr>
        <w:t xml:space="preserve"> </w:t>
      </w:r>
      <w:r w:rsidRPr="00156980">
        <w:rPr>
          <w:i/>
          <w:iCs/>
          <w:szCs w:val="17"/>
        </w:rPr>
        <w:t>Ab</w:t>
      </w:r>
      <w:r w:rsidRPr="00156980">
        <w:rPr>
          <w:i/>
          <w:szCs w:val="17"/>
          <w:vertAlign w:val="subscript"/>
        </w:rPr>
        <w:t>i</w:t>
      </w:r>
      <w:r w:rsidRPr="00156980">
        <w:rPr>
          <w:szCs w:val="17"/>
        </w:rPr>
        <w:t xml:space="preserve"> spezifiziert, die besagt, dass die Anwendungsbedingungen </w:t>
      </w:r>
      <w:r w:rsidRPr="00156980">
        <w:rPr>
          <w:i/>
          <w:iCs/>
          <w:szCs w:val="17"/>
        </w:rPr>
        <w:t>U</w:t>
      </w:r>
      <w:r w:rsidRPr="00156980">
        <w:rPr>
          <w:szCs w:val="17"/>
        </w:rPr>
        <w:t xml:space="preserve"> der gerade angewan</w:t>
      </w:r>
      <w:r w:rsidRPr="00156980">
        <w:rPr>
          <w:szCs w:val="17"/>
        </w:rPr>
        <w:t>d</w:t>
      </w:r>
      <w:r w:rsidRPr="00156980">
        <w:rPr>
          <w:szCs w:val="17"/>
        </w:rPr>
        <w:t xml:space="preserve">ten Merkmalsregel </w:t>
      </w:r>
      <m:oMath>
        <m:sSub>
          <m:sSubPr>
            <m:ctrlPr>
              <w:rPr>
                <w:rFonts w:ascii="Cambria Math" w:hAnsi="Cambria Math" w:cs="Times New Roman"/>
                <w:i/>
                <w:szCs w:val="17"/>
              </w:rPr>
            </m:ctrlPr>
          </m:sSubPr>
          <m:e>
            <m:r>
              <m:rPr>
                <m:nor/>
              </m:rPr>
              <w:rPr>
                <w:rFonts w:cs="Times New Roman"/>
                <w:i/>
                <w:szCs w:val="17"/>
              </w:rPr>
              <m:t>B</m:t>
            </m:r>
          </m:e>
          <m:sub>
            <m:sSub>
              <m:sSubPr>
                <m:ctrlPr>
                  <w:rPr>
                    <w:rFonts w:ascii="Cambria Math" w:hAnsi="Cambria Math" w:cs="Times New Roman"/>
                    <w:i/>
                    <w:szCs w:val="17"/>
                  </w:rPr>
                </m:ctrlPr>
              </m:sSubPr>
              <m:e>
                <m:r>
                  <m:rPr>
                    <m:nor/>
                  </m:rPr>
                  <w:rPr>
                    <w:rFonts w:cs="Times New Roman"/>
                    <w:i/>
                    <w:szCs w:val="17"/>
                  </w:rPr>
                  <m:t>j</m:t>
                </m:r>
              </m:e>
              <m:sub>
                <m:r>
                  <m:rPr>
                    <m:nor/>
                  </m:rPr>
                  <w:rPr>
                    <w:rFonts w:cs="Times New Roman"/>
                    <w:i/>
                    <w:szCs w:val="17"/>
                  </w:rPr>
                  <m:t>k</m:t>
                </m:r>
              </m:sub>
            </m:sSub>
          </m:sub>
        </m:sSub>
      </m:oMath>
      <w:r w:rsidRPr="00156980">
        <w:rPr>
          <w:szCs w:val="17"/>
        </w:rPr>
        <w:t xml:space="preserve"> eine Teilmenge der Alternativenbedingungen </w:t>
      </w:r>
      <w:r w:rsidRPr="00156980">
        <w:rPr>
          <w:i/>
          <w:iCs/>
          <w:szCs w:val="17"/>
        </w:rPr>
        <w:t>Ab</w:t>
      </w:r>
      <w:r w:rsidRPr="00156980">
        <w:rPr>
          <w:i/>
          <w:szCs w:val="17"/>
          <w:vertAlign w:val="subscript"/>
        </w:rPr>
        <w:t>i</w:t>
      </w:r>
      <w:r w:rsidRPr="00156980">
        <w:rPr>
          <w:szCs w:val="17"/>
        </w:rPr>
        <w:t xml:space="preserve"> der gerade b</w:t>
      </w:r>
      <w:r w:rsidRPr="00156980">
        <w:rPr>
          <w:szCs w:val="17"/>
        </w:rPr>
        <w:t>e</w:t>
      </w:r>
      <w:r w:rsidRPr="00156980">
        <w:rPr>
          <w:szCs w:val="17"/>
        </w:rPr>
        <w:t xml:space="preserve">trachteten </w:t>
      </w:r>
      <w:r>
        <w:rPr>
          <w:szCs w:val="17"/>
        </w:rPr>
        <w:t>Alter</w:t>
      </w:r>
      <w:r>
        <w:rPr>
          <w:szCs w:val="17"/>
        </w:rPr>
        <w:softHyphen/>
        <w:t>nativen</w:t>
      </w:r>
      <w:r>
        <w:rPr>
          <w:szCs w:val="17"/>
        </w:rPr>
        <w:softHyphen/>
        <w:t>klasse</w:t>
      </w:r>
      <w:r w:rsidRPr="00156980">
        <w:rPr>
          <w:szCs w:val="17"/>
        </w:rPr>
        <w:t xml:space="preserve"> </w:t>
      </w:r>
      <w:r w:rsidRPr="00156980">
        <w:rPr>
          <w:i/>
          <w:szCs w:val="17"/>
        </w:rPr>
        <w:t>A</w:t>
      </w:r>
      <w:r w:rsidRPr="00156980">
        <w:rPr>
          <w:i/>
          <w:szCs w:val="17"/>
          <w:vertAlign w:val="subscript"/>
        </w:rPr>
        <w:t>i</w:t>
      </w:r>
      <w:r w:rsidRPr="00156980">
        <w:rPr>
          <w:szCs w:val="17"/>
        </w:rPr>
        <w:t xml:space="preserve"> sein müssen. Somit wird </w:t>
      </w:r>
      <w:r w:rsidRPr="00156980">
        <w:rPr>
          <w:i/>
          <w:iCs/>
          <w:szCs w:val="17"/>
        </w:rPr>
        <w:t>U</w:t>
      </w:r>
      <w:r w:rsidRPr="00156980">
        <w:rPr>
          <w:szCs w:val="17"/>
        </w:rPr>
        <w:t xml:space="preserve"> auf jede </w:t>
      </w:r>
      <w:r>
        <w:rPr>
          <w:szCs w:val="17"/>
        </w:rPr>
        <w:t>Alter</w:t>
      </w:r>
      <w:r>
        <w:rPr>
          <w:szCs w:val="17"/>
        </w:rPr>
        <w:softHyphen/>
        <w:t>nativen</w:t>
      </w:r>
      <w:r>
        <w:rPr>
          <w:szCs w:val="17"/>
        </w:rPr>
        <w:softHyphen/>
        <w:t>klasse</w:t>
      </w:r>
      <w:r w:rsidRPr="00156980">
        <w:rPr>
          <w:szCs w:val="17"/>
        </w:rPr>
        <w:t xml:space="preserve"> mit </w:t>
      </w:r>
      <w:r w:rsidRPr="00156980">
        <w:rPr>
          <w:i/>
          <w:iCs/>
          <w:szCs w:val="17"/>
        </w:rPr>
        <w:t>Ab</w:t>
      </w:r>
      <w:r w:rsidRPr="00156980">
        <w:rPr>
          <w:szCs w:val="17"/>
        </w:rPr>
        <w:t xml:space="preserve"> = </w:t>
      </w:r>
      <w:r w:rsidRPr="00156980">
        <w:rPr>
          <w:i/>
          <w:iCs/>
          <w:szCs w:val="17"/>
        </w:rPr>
        <w:t>U</w:t>
      </w:r>
      <w:r w:rsidRPr="00156980">
        <w:rPr>
          <w:szCs w:val="17"/>
        </w:rPr>
        <w:t xml:space="preserve"> sowie auf Unterklassen von dieser angewandt. Denn da es sich um intensionale Definitionen handelt, sind </w:t>
      </w:r>
      <w:r>
        <w:rPr>
          <w:szCs w:val="17"/>
        </w:rPr>
        <w:t>Alter</w:t>
      </w:r>
      <w:r>
        <w:rPr>
          <w:szCs w:val="17"/>
        </w:rPr>
        <w:softHyphen/>
        <w:t>nativen</w:t>
      </w:r>
      <w:r>
        <w:rPr>
          <w:szCs w:val="17"/>
        </w:rPr>
        <w:softHyphen/>
        <w:t>klasse</w:t>
      </w:r>
      <w:r w:rsidRPr="00156980">
        <w:rPr>
          <w:szCs w:val="17"/>
        </w:rPr>
        <w:t xml:space="preserve">n, deren </w:t>
      </w:r>
      <w:r w:rsidRPr="00156980">
        <w:rPr>
          <w:i/>
          <w:iCs/>
          <w:szCs w:val="17"/>
        </w:rPr>
        <w:t>Ab</w:t>
      </w:r>
      <w:r w:rsidRPr="00156980">
        <w:rPr>
          <w:szCs w:val="17"/>
        </w:rPr>
        <w:t xml:space="preserve"> neben den in </w:t>
      </w:r>
      <w:r w:rsidRPr="00156980">
        <w:rPr>
          <w:i/>
          <w:iCs/>
          <w:szCs w:val="17"/>
        </w:rPr>
        <w:t>U</w:t>
      </w:r>
      <w:r w:rsidRPr="00156980">
        <w:rPr>
          <w:szCs w:val="17"/>
        </w:rPr>
        <w:t xml:space="preserve"> festgelegten noch weitere Bedingungen enthalten, Unterklassen der (denkbaren) </w:t>
      </w:r>
      <w:r>
        <w:rPr>
          <w:szCs w:val="17"/>
        </w:rPr>
        <w:t>Alter</w:t>
      </w:r>
      <w:r>
        <w:rPr>
          <w:szCs w:val="17"/>
        </w:rPr>
        <w:softHyphen/>
        <w:t>nativen</w:t>
      </w:r>
      <w:r>
        <w:rPr>
          <w:szCs w:val="17"/>
        </w:rPr>
        <w:softHyphen/>
        <w:t>klasse</w:t>
      </w:r>
      <w:r w:rsidRPr="00156980">
        <w:rPr>
          <w:szCs w:val="17"/>
        </w:rPr>
        <w:t xml:space="preserve"> mit </w:t>
      </w:r>
      <w:r w:rsidRPr="00156980">
        <w:rPr>
          <w:i/>
          <w:iCs/>
          <w:szCs w:val="17"/>
        </w:rPr>
        <w:t>Ab</w:t>
      </w:r>
      <w:r w:rsidRPr="00156980">
        <w:rPr>
          <w:szCs w:val="17"/>
        </w:rPr>
        <w:t xml:space="preserve"> = </w:t>
      </w:r>
      <w:r w:rsidRPr="00156980">
        <w:rPr>
          <w:i/>
          <w:iCs/>
          <w:szCs w:val="17"/>
        </w:rPr>
        <w:t>U</w:t>
      </w:r>
      <w:r w:rsidRPr="00156980">
        <w:rPr>
          <w:szCs w:val="17"/>
        </w:rPr>
        <w:t>.</w:t>
      </w:r>
    </w:p>
  </w:footnote>
  <w:footnote w:id="3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w:t>
      </w:r>
      <w:r w:rsidRPr="00156980">
        <w:rPr>
          <w:i/>
          <w:szCs w:val="17"/>
        </w:rPr>
        <w:t>U</w:t>
      </w:r>
      <w:r w:rsidRPr="00156980">
        <w:rPr>
          <w:szCs w:val="17"/>
        </w:rPr>
        <w:t xml:space="preserve"> und </w:t>
      </w:r>
      <w:r w:rsidRPr="00156980">
        <w:rPr>
          <w:i/>
          <w:szCs w:val="17"/>
        </w:rPr>
        <w:t>V</w:t>
      </w:r>
      <w:r w:rsidRPr="00156980">
        <w:rPr>
          <w:szCs w:val="17"/>
        </w:rPr>
        <w:t xml:space="preserve"> können grundsätzlich dieselben Eigenschaften auftreten. Beispielsweise kann beim Schemaort ‚Überholen‘ des Schemas ‚Autofahren‘ die Eigenschaft ‚ohne sichtbaren Gegenverkehr‘ entweder als eine Kontextbedingung in den Anwendungsbedingungen</w:t>
      </w:r>
      <w:r w:rsidRPr="00156980">
        <w:rPr>
          <w:i/>
          <w:szCs w:val="17"/>
        </w:rPr>
        <w:t xml:space="preserve"> U</w:t>
      </w:r>
      <w:r w:rsidRPr="00156980">
        <w:rPr>
          <w:szCs w:val="17"/>
        </w:rPr>
        <w:t xml:space="preserve"> oder als intrinsische Eigenschaft in den verlangten Eigenschaften </w:t>
      </w:r>
      <w:r w:rsidRPr="00156980">
        <w:rPr>
          <w:i/>
          <w:szCs w:val="17"/>
        </w:rPr>
        <w:t>V</w:t>
      </w:r>
      <w:r w:rsidRPr="00156980">
        <w:rPr>
          <w:szCs w:val="17"/>
        </w:rPr>
        <w:t xml:space="preserve"> vorkommen. Im er</w:t>
      </w:r>
      <w:r w:rsidRPr="00156980">
        <w:rPr>
          <w:szCs w:val="17"/>
        </w:rPr>
        <w:t>s</w:t>
      </w:r>
      <w:r w:rsidRPr="00156980">
        <w:rPr>
          <w:szCs w:val="17"/>
        </w:rPr>
        <w:t>ten Fall spezifiziert die Merkmalsregel, wie überholt wird, wenn kein Gegenverkehr sichtbar ist; im zweiten verlangt sie, dass für Überholen kein Gegenverkehr sichtbar ist.</w:t>
      </w:r>
    </w:p>
  </w:footnote>
  <w:footnote w:id="3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Eine Merkmalsregel, deren </w:t>
      </w:r>
      <w:r w:rsidRPr="00156980">
        <w:rPr>
          <w:i/>
          <w:szCs w:val="17"/>
        </w:rPr>
        <w:t>U</w:t>
      </w:r>
      <w:r w:rsidRPr="00156980">
        <w:rPr>
          <w:szCs w:val="17"/>
        </w:rPr>
        <w:t xml:space="preserve"> den Schemaort ‚Überholen‘ des Schemas ‚Autofahren‘ spezifizieren, kann in ihrem </w:t>
      </w:r>
      <w:r w:rsidRPr="00156980">
        <w:rPr>
          <w:i/>
          <w:szCs w:val="17"/>
        </w:rPr>
        <w:t>V</w:t>
      </w:r>
      <w:r w:rsidRPr="00156980">
        <w:rPr>
          <w:szCs w:val="17"/>
        </w:rPr>
        <w:t xml:space="preserve"> die Eigenschaft ‚riskant‘ enthalten, nicht aber die Eige</w:t>
      </w:r>
      <w:r w:rsidRPr="00156980">
        <w:rPr>
          <w:szCs w:val="17"/>
        </w:rPr>
        <w:t>n</w:t>
      </w:r>
      <w:r w:rsidRPr="00156980">
        <w:rPr>
          <w:szCs w:val="17"/>
        </w:rPr>
        <w:t xml:space="preserve">schaft ‚aus Gold‘. Bei der Festlegung eines Stils sollte gesichert sein, dass die verlangten Eigenschaften mit den Schemaorten kompatibel sind, dies ist im Modell Aufgabe der Funktionen </w:t>
      </w:r>
      <w:r w:rsidRPr="00156980">
        <w:rPr>
          <w:i/>
          <w:szCs w:val="17"/>
        </w:rPr>
        <w:t>vorhandener_Stil</w:t>
      </w:r>
      <w:r w:rsidRPr="00156980">
        <w:rPr>
          <w:szCs w:val="17"/>
        </w:rPr>
        <w:t xml:space="preserve"> und </w:t>
      </w:r>
      <w:r w:rsidRPr="00156980">
        <w:rPr>
          <w:i/>
          <w:szCs w:val="17"/>
        </w:rPr>
        <w:t>Merkmalsregeln_erzeugen</w:t>
      </w:r>
      <w:r w:rsidRPr="00156980">
        <w:rPr>
          <w:szCs w:val="17"/>
        </w:rPr>
        <w:t xml:space="preserve"> (vgl. Abschnitt </w:t>
      </w:r>
      <w:fldSimple w:instr=" REF _Ref261443581 \r \h  \* MERGEFORMAT ">
        <w:r w:rsidR="001231D3" w:rsidRPr="001231D3">
          <w:rPr>
            <w:szCs w:val="17"/>
          </w:rPr>
          <w:t>7.3.1</w:t>
        </w:r>
      </w:fldSimple>
      <w:r w:rsidRPr="00156980">
        <w:rPr>
          <w:szCs w:val="17"/>
        </w:rPr>
        <w:t>). Beim Wahrnehmen eines Stils tritt das Problem nicht auf, da dort nur Eigenschaften des El</w:t>
      </w:r>
      <w:r w:rsidRPr="00156980">
        <w:rPr>
          <w:szCs w:val="17"/>
        </w:rPr>
        <w:t>e</w:t>
      </w:r>
      <w:r w:rsidRPr="00156980">
        <w:rPr>
          <w:szCs w:val="17"/>
        </w:rPr>
        <w:t>ments der Realisierungsstelle zur Bildung der verlangten Eigenschaften verwendet we</w:t>
      </w:r>
      <w:r w:rsidRPr="00156980">
        <w:rPr>
          <w:szCs w:val="17"/>
        </w:rPr>
        <w:t>r</w:t>
      </w:r>
      <w:r w:rsidRPr="00156980">
        <w:rPr>
          <w:szCs w:val="17"/>
        </w:rPr>
        <w:t xml:space="preserve">den (vgl. Abschnitt </w:t>
      </w:r>
      <w:fldSimple w:instr=" REF _Ref254084330 \r \h  \* MERGEFORMAT ">
        <w:r w:rsidR="001231D3" w:rsidRPr="001231D3">
          <w:rPr>
            <w:szCs w:val="17"/>
          </w:rPr>
          <w:t>5.5.3</w:t>
        </w:r>
      </w:fldSimple>
      <w:r w:rsidRPr="00156980">
        <w:rPr>
          <w:szCs w:val="17"/>
        </w:rPr>
        <w:t xml:space="preserve">, Funktion </w:t>
      </w:r>
      <w:r w:rsidRPr="00156980">
        <w:rPr>
          <w:i/>
          <w:szCs w:val="17"/>
        </w:rPr>
        <w:t>Merkmalsregeln_auslesen</w:t>
      </w:r>
      <w:r w:rsidRPr="00156980">
        <w:rPr>
          <w:szCs w:val="17"/>
        </w:rPr>
        <w:t>, Zeile 5, 20 und 41).</w:t>
      </w:r>
    </w:p>
  </w:footnote>
  <w:footnote w:id="3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Zur sprachlichen Formulierung der Eigenschaften vgl. Abschnitt </w:t>
      </w:r>
      <w:fldSimple w:instr=" REF _Ref254339704 \r \h  \* MERGEFORMAT ">
        <w:r w:rsidR="001231D3" w:rsidRPr="001231D3">
          <w:rPr>
            <w:szCs w:val="17"/>
          </w:rPr>
          <w:t>6.3</w:t>
        </w:r>
      </w:fldSimple>
      <w:r w:rsidRPr="00156980">
        <w:rPr>
          <w:szCs w:val="17"/>
        </w:rPr>
        <w:t xml:space="preserve">, Unterabschnitt </w:t>
      </w:r>
      <w:r w:rsidRPr="00156980">
        <w:rPr>
          <w:i/>
          <w:szCs w:val="17"/>
        </w:rPr>
        <w:t>Zur Darstellung von Anwendungsbedingungen und verlangten Eigenschaften in den Beispielen</w:t>
      </w:r>
      <w:r w:rsidRPr="00156980">
        <w:rPr>
          <w:szCs w:val="17"/>
        </w:rPr>
        <w:t>.</w:t>
      </w:r>
    </w:p>
  </w:footnote>
  <w:footnote w:id="3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Man beachte, dass die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in einer durch Indizes gegebenen Reihenfolge in der geordneten Menge </w:t>
      </w:r>
      <w:r w:rsidRPr="00156980">
        <w:rPr>
          <w:i/>
          <w:szCs w:val="17"/>
        </w:rPr>
        <w:t>Zb</w:t>
      </w:r>
      <w:r w:rsidRPr="00156980">
        <w:rPr>
          <w:szCs w:val="17"/>
        </w:rPr>
        <w:t xml:space="preserve"> zusammengefasst werden, so dass ein Zugriff auf eine spez</w:t>
      </w:r>
      <w:r w:rsidRPr="00156980">
        <w:rPr>
          <w:szCs w:val="17"/>
        </w:rPr>
        <w:t>i</w:t>
      </w:r>
      <w:r w:rsidRPr="00156980">
        <w:rPr>
          <w:szCs w:val="17"/>
        </w:rPr>
        <w:t xml:space="preserve">fische Zusatzeigenschaft möglich ist; beispielsweise ist </w:t>
      </w:r>
      <w:r w:rsidRPr="00156980">
        <w:rPr>
          <w:i/>
          <w:iCs/>
          <w:szCs w:val="17"/>
        </w:rPr>
        <w:t>Zb</w:t>
      </w:r>
      <w:r w:rsidRPr="00156980">
        <w:rPr>
          <w:iCs/>
          <w:szCs w:val="17"/>
          <w:vertAlign w:val="subscript"/>
        </w:rPr>
        <w:t>2</w:t>
      </w:r>
      <w:r w:rsidRPr="00156980">
        <w:rPr>
          <w:iCs/>
          <w:szCs w:val="17"/>
        </w:rPr>
        <w:t>(</w:t>
      </w:r>
      <w:r w:rsidRPr="00156980">
        <w:rPr>
          <w:i/>
          <w:iCs/>
          <w:szCs w:val="17"/>
        </w:rPr>
        <w:t>O</w:t>
      </w:r>
      <w:r w:rsidRPr="00156980">
        <w:rPr>
          <w:iCs/>
          <w:szCs w:val="17"/>
          <w:vertAlign w:val="subscript"/>
        </w:rPr>
        <w:t>17</w:t>
      </w:r>
      <w:r w:rsidRPr="00156980">
        <w:rPr>
          <w:szCs w:val="17"/>
        </w:rPr>
        <w:t>(</w:t>
      </w:r>
      <w:r w:rsidRPr="00156980">
        <w:rPr>
          <w:i/>
          <w:iCs/>
          <w:szCs w:val="17"/>
        </w:rPr>
        <w:t>S</w:t>
      </w:r>
      <w:r w:rsidRPr="00156980">
        <w:rPr>
          <w:iCs/>
          <w:szCs w:val="17"/>
          <w:vertAlign w:val="subscript"/>
        </w:rPr>
        <w:t>8</w:t>
      </w:r>
      <w:r w:rsidRPr="00156980">
        <w:rPr>
          <w:szCs w:val="17"/>
        </w:rPr>
        <w:t>)) die Zusatzeige</w:t>
      </w:r>
      <w:r w:rsidRPr="00156980">
        <w:rPr>
          <w:szCs w:val="17"/>
        </w:rPr>
        <w:t>n</w:t>
      </w:r>
      <w:r w:rsidRPr="00156980">
        <w:rPr>
          <w:szCs w:val="17"/>
        </w:rPr>
        <w:t xml:space="preserve">schaft </w:t>
      </w:r>
      <m:oMath>
        <m:sSubSup>
          <m:sSubSupPr>
            <m:ctrlPr>
              <w:rPr>
                <w:rFonts w:ascii="Cambria Math" w:hAnsi="Cambria Math" w:cs="Times New Roman"/>
                <w:i/>
                <w:szCs w:val="17"/>
              </w:rPr>
            </m:ctrlPr>
          </m:sSubSupPr>
          <m:e>
            <m:r>
              <m:rPr>
                <m:nor/>
              </m:rPr>
              <w:rPr>
                <w:rFonts w:cs="Times New Roman"/>
                <w:i/>
                <w:szCs w:val="17"/>
              </w:rPr>
              <m:t>E</m:t>
            </m:r>
          </m:e>
          <m:sub>
            <m:r>
              <m:rPr>
                <m:nor/>
              </m:rPr>
              <w:rPr>
                <w:rFonts w:cs="Times New Roman"/>
                <w:szCs w:val="17"/>
              </w:rPr>
              <m:t>2</m:t>
            </m:r>
          </m:sub>
          <m:sup>
            <m:sSub>
              <m:sSubPr>
                <m:ctrlPr>
                  <w:rPr>
                    <w:rFonts w:ascii="Cambria Math" w:hAnsi="Cambria Math" w:cs="Times New Roman"/>
                    <w:i/>
                    <w:szCs w:val="17"/>
                  </w:rPr>
                </m:ctrlPr>
              </m:sSubPr>
              <m:e>
                <m:r>
                  <m:rPr>
                    <m:nor/>
                  </m:rPr>
                  <w:rPr>
                    <w:rFonts w:cs="Times New Roman"/>
                    <w:i/>
                    <w:szCs w:val="17"/>
                  </w:rPr>
                  <m:t>Z</m:t>
                </m:r>
              </m:e>
              <m:sub>
                <m:r>
                  <m:rPr>
                    <m:nor/>
                  </m:rPr>
                  <w:rPr>
                    <w:rFonts w:cs="Times New Roman"/>
                    <w:szCs w:val="17"/>
                  </w:rPr>
                  <m:t>8,17</m:t>
                </m:r>
              </m:sub>
            </m:sSub>
          </m:sup>
        </m:sSubSup>
      </m:oMath>
      <w:r w:rsidRPr="00156980">
        <w:rPr>
          <w:szCs w:val="17"/>
        </w:rPr>
        <w:t xml:space="preserve"> ; vgl. Abschnitt </w:t>
      </w:r>
      <w:fldSimple w:instr=" REF _Ref211841829 \r \h  \* MERGEFORMAT ">
        <w:r w:rsidR="001231D3" w:rsidRPr="001231D3">
          <w:rPr>
            <w:szCs w:val="17"/>
          </w:rPr>
          <w:t>4.3.1</w:t>
        </w:r>
      </w:fldSimple>
      <w:r w:rsidRPr="00156980">
        <w:rPr>
          <w:szCs w:val="17"/>
        </w:rPr>
        <w:t>, (2).</w:t>
      </w:r>
    </w:p>
  </w:footnote>
  <w:footnote w:id="372">
    <w:p w:rsidR="00CC3558" w:rsidRPr="00156980" w:rsidRDefault="00CC3558" w:rsidP="004551F3">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Priorisierung gehört zu den Variablen der Merkmalsregel und gliedert zugleich die Menge </w:t>
      </w:r>
      <w:r w:rsidRPr="00156980">
        <w:rPr>
          <w:i/>
          <w:szCs w:val="17"/>
        </w:rPr>
        <w:t>B</w:t>
      </w:r>
      <w:r w:rsidRPr="00156980">
        <w:rPr>
          <w:szCs w:val="17"/>
        </w:rPr>
        <w:t xml:space="preserve"> der Merkmalsregeln (vgl. Abschnitt </w:t>
      </w:r>
      <w:fldSimple w:instr=" REF _Ref211937722 \r \h  \* MERGEFORMAT ">
        <w:r w:rsidR="001231D3" w:rsidRPr="001231D3">
          <w:rPr>
            <w:szCs w:val="17"/>
          </w:rPr>
          <w:t>5.3.1</w:t>
        </w:r>
      </w:fldSimple>
      <w:r w:rsidRPr="00156980">
        <w:rPr>
          <w:szCs w:val="17"/>
        </w:rPr>
        <w:t xml:space="preserve">). Sie hat Folgen beim Einschreiben (vgl. Abschnitt </w:t>
      </w:r>
      <w:fldSimple w:instr=" REF _Ref212123094 \r \h  \* MERGEFORMAT ">
        <w:r w:rsidR="001231D3" w:rsidRPr="001231D3">
          <w:rPr>
            <w:szCs w:val="17"/>
          </w:rPr>
          <w:t>5.3.2</w:t>
        </w:r>
      </w:fldSimple>
      <w:r w:rsidRPr="00156980">
        <w:rPr>
          <w:szCs w:val="17"/>
        </w:rPr>
        <w:t xml:space="preserve">) und beim Auslesen (vgl. Abschnitt </w:t>
      </w:r>
      <w:fldSimple w:instr=" REF _Ref212462946 \r \h  \* MERGEFORMAT ">
        <w:r w:rsidR="001231D3" w:rsidRPr="001231D3">
          <w:rPr>
            <w:szCs w:val="17"/>
          </w:rPr>
          <w:t>5.5.5</w:t>
        </w:r>
      </w:fldSimple>
      <w:r w:rsidRPr="00156980">
        <w:rPr>
          <w:szCs w:val="17"/>
        </w:rPr>
        <w:t>) der Merkmalsregeln.</w:t>
      </w:r>
    </w:p>
  </w:footnote>
  <w:footnote w:id="3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 nehmen wir an, es wird für eine Merkmalsregel, die für den Schemaort ‚Wand‘ des Schemas ‚Gebäude‘ die verlangte Eigenschaft ‚aus Beton‘ spezifiziert, die A</w:t>
      </w:r>
      <w:r w:rsidRPr="00156980">
        <w:rPr>
          <w:szCs w:val="17"/>
        </w:rPr>
        <w:t>n</w:t>
      </w:r>
      <w:r w:rsidRPr="00156980">
        <w:rPr>
          <w:szCs w:val="17"/>
        </w:rPr>
        <w:t xml:space="preserve">wendung auf eine </w:t>
      </w:r>
      <w:r>
        <w:rPr>
          <w:szCs w:val="17"/>
        </w:rPr>
        <w:t>Alter</w:t>
      </w:r>
      <w:r>
        <w:rPr>
          <w:szCs w:val="17"/>
        </w:rPr>
        <w:softHyphen/>
        <w:t>nativen</w:t>
      </w:r>
      <w:r>
        <w:rPr>
          <w:szCs w:val="17"/>
        </w:rPr>
        <w:softHyphen/>
        <w:t>klasse</w:t>
      </w:r>
      <w:r w:rsidRPr="00156980">
        <w:rPr>
          <w:szCs w:val="17"/>
        </w:rPr>
        <w:t xml:space="preserve"> geprüft, die in den Alternativenbedingungen neben den Schemaortbedingungen für ‚Wand‘ auch die Zusatzbedingung ‚aus Beton‘ enthält (dies ist aus statischen Gründen erforderlich, es handelt sich also um eine funktionale B</w:t>
      </w:r>
      <w:r w:rsidRPr="00156980">
        <w:rPr>
          <w:szCs w:val="17"/>
        </w:rPr>
        <w:t>e</w:t>
      </w:r>
      <w:r w:rsidRPr="00156980">
        <w:rPr>
          <w:szCs w:val="17"/>
        </w:rPr>
        <w:t>dingung). In diesem Fall bewirkt eine Anwendung der Merkmalsregel keine Reduzierung. Lauten die verlangten Eigenschaften dagegen ‚aus Beton; mit sichtbarer Oberfläche‘, wird eine Reduzierung erzeugt; die Verwendung von Beton ist dann funktional bedingt, aber die Ausführung als Sichtbetonwand ergibt sich als Auswirkung des Stils. Überschneidu</w:t>
      </w:r>
      <w:r w:rsidRPr="00156980">
        <w:rPr>
          <w:szCs w:val="17"/>
        </w:rPr>
        <w:t>n</w:t>
      </w:r>
      <w:r w:rsidRPr="00156980">
        <w:rPr>
          <w:szCs w:val="17"/>
        </w:rPr>
        <w:t xml:space="preserve">gen zwischen </w:t>
      </w:r>
      <w:r w:rsidRPr="00156980">
        <w:rPr>
          <w:i/>
          <w:iCs/>
          <w:szCs w:val="17"/>
        </w:rPr>
        <w:t>V</w:t>
      </w:r>
      <w:r w:rsidRPr="00156980">
        <w:rPr>
          <w:szCs w:val="17"/>
        </w:rPr>
        <w:t>(</w:t>
      </w:r>
      <m:oMath>
        <m:sSub>
          <m:sSubPr>
            <m:ctrlPr>
              <w:rPr>
                <w:rFonts w:ascii="Cambria Math" w:hAnsi="Cambria Math" w:cs="Times New Roman"/>
                <w:i/>
                <w:szCs w:val="17"/>
              </w:rPr>
            </m:ctrlPr>
          </m:sSubPr>
          <m:e>
            <m:r>
              <m:rPr>
                <m:nor/>
              </m:rPr>
              <w:rPr>
                <w:rFonts w:cs="Times New Roman"/>
                <w:i/>
                <w:szCs w:val="17"/>
              </w:rPr>
              <m:t>B</m:t>
            </m:r>
          </m:e>
          <m:sub>
            <m:sSub>
              <m:sSubPr>
                <m:ctrlPr>
                  <w:rPr>
                    <w:rFonts w:ascii="Cambria Math" w:hAnsi="Cambria Math" w:cs="Times New Roman"/>
                    <w:i/>
                    <w:szCs w:val="17"/>
                  </w:rPr>
                </m:ctrlPr>
              </m:sSubPr>
              <m:e>
                <m:r>
                  <m:rPr>
                    <m:nor/>
                  </m:rPr>
                  <w:rPr>
                    <w:rFonts w:cs="Times New Roman"/>
                    <w:i/>
                    <w:szCs w:val="17"/>
                  </w:rPr>
                  <m:t>j</m:t>
                </m:r>
              </m:e>
              <m:sub>
                <m:r>
                  <m:rPr>
                    <m:nor/>
                  </m:rPr>
                  <w:rPr>
                    <w:rFonts w:cs="Times New Roman"/>
                    <w:i/>
                    <w:szCs w:val="17"/>
                  </w:rPr>
                  <m:t>k</m:t>
                </m:r>
              </m:sub>
            </m:sSub>
          </m:sub>
        </m:sSub>
      </m:oMath>
      <w:r w:rsidRPr="00156980">
        <w:rPr>
          <w:szCs w:val="17"/>
        </w:rPr>
        <w:t xml:space="preserve">) und </w:t>
      </w:r>
      <w:r w:rsidRPr="00156980">
        <w:rPr>
          <w:i/>
          <w:iCs/>
          <w:szCs w:val="17"/>
        </w:rPr>
        <w:t>Ab</w:t>
      </w:r>
      <w:r w:rsidRPr="00156980">
        <w:rPr>
          <w:i/>
          <w:szCs w:val="17"/>
          <w:vertAlign w:val="subscript"/>
        </w:rPr>
        <w:t>i</w:t>
      </w:r>
      <w:r w:rsidRPr="00156980">
        <w:rPr>
          <w:szCs w:val="17"/>
        </w:rPr>
        <w:t xml:space="preserve"> sollten daher nicht ausgeschlossen werden.</w:t>
      </w:r>
    </w:p>
  </w:footnote>
  <w:footnote w:id="3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Beschreibung von stilistischen Merkmalen als durch „Regelmäßigkeiten der Au</w:t>
      </w:r>
      <w:r w:rsidRPr="00156980">
        <w:rPr>
          <w:szCs w:val="17"/>
        </w:rPr>
        <w:t>s</w:t>
      </w:r>
      <w:r w:rsidRPr="00156980">
        <w:rPr>
          <w:szCs w:val="17"/>
        </w:rPr>
        <w:t>wahl“ (</w:t>
      </w:r>
      <w:fldSimple w:instr=" REF _Ref273429928 \r \h  \* MERGEFORMAT ">
        <w:r w:rsidR="001231D3" w:rsidRPr="001231D3">
          <w:rPr>
            <w:szCs w:val="17"/>
          </w:rPr>
          <w:t>2.10</w:t>
        </w:r>
      </w:fldSimple>
      <w:r w:rsidRPr="00156980">
        <w:rPr>
          <w:szCs w:val="17"/>
        </w:rPr>
        <w:t>) erzeugte „Regelmäßigkeiten einer Realisierung“ (</w:t>
      </w:r>
      <w:fldSimple w:instr=" REF _Ref273429486 \r \h  \* MERGEFORMAT ">
        <w:r w:rsidR="001231D3" w:rsidRPr="001231D3">
          <w:rPr>
            <w:szCs w:val="17"/>
          </w:rPr>
          <w:t>2.11</w:t>
        </w:r>
      </w:fldSimple>
      <w:r w:rsidRPr="00156980">
        <w:rPr>
          <w:szCs w:val="17"/>
        </w:rPr>
        <w:t>) ist nicht als notwe</w:t>
      </w:r>
      <w:r w:rsidRPr="00156980">
        <w:rPr>
          <w:szCs w:val="17"/>
        </w:rPr>
        <w:t>n</w:t>
      </w:r>
      <w:r w:rsidRPr="00156980">
        <w:rPr>
          <w:szCs w:val="17"/>
        </w:rPr>
        <w:t>digerweise mehrmaliges Auftreten desselben Auswahlvorgangs zu verstehen (dies würde einmalig angewandte, aber auffällige Regeln verhindern, etwa solche, die bei einem G</w:t>
      </w:r>
      <w:r w:rsidRPr="00156980">
        <w:rPr>
          <w:szCs w:val="17"/>
        </w:rPr>
        <w:t>e</w:t>
      </w:r>
      <w:r w:rsidRPr="00156980">
        <w:rPr>
          <w:szCs w:val="17"/>
        </w:rPr>
        <w:t>bäude die Ausführungsweise des Dachs festlegen), sondern als die Annahme einer Rege</w:t>
      </w:r>
      <w:r w:rsidRPr="00156980">
        <w:rPr>
          <w:szCs w:val="17"/>
        </w:rPr>
        <w:t>l</w:t>
      </w:r>
      <w:r w:rsidRPr="00156980">
        <w:rPr>
          <w:szCs w:val="17"/>
        </w:rPr>
        <w:t>haftigkeit, die den oder die Auswahlvorgänge bestimmt hat.</w:t>
      </w:r>
    </w:p>
  </w:footnote>
  <w:footnote w:id="3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Vorgreifend sei hier angemerkt, dass es entscheidend von der Wirkung der Funktion </w:t>
      </w:r>
      <w:r w:rsidRPr="00156980">
        <w:rPr>
          <w:i/>
          <w:szCs w:val="17"/>
        </w:rPr>
        <w:t>Salienz</w:t>
      </w:r>
      <w:r w:rsidRPr="00156980">
        <w:rPr>
          <w:szCs w:val="17"/>
        </w:rPr>
        <w:t xml:space="preserve"> (vgl. Abschnitt </w:t>
      </w:r>
      <w:fldSimple w:instr=" REF _Ref254084330 \r \h  \* MERGEFORMAT ">
        <w:r w:rsidR="001231D3" w:rsidRPr="001231D3">
          <w:rPr>
            <w:szCs w:val="17"/>
          </w:rPr>
          <w:t>5.5.3</w:t>
        </w:r>
      </w:fldSimple>
      <w:r w:rsidRPr="00156980">
        <w:rPr>
          <w:szCs w:val="17"/>
        </w:rPr>
        <w:t xml:space="preserve">, Funktion </w:t>
      </w:r>
      <w:r w:rsidRPr="00156980">
        <w:rPr>
          <w:i/>
          <w:szCs w:val="17"/>
        </w:rPr>
        <w:t>Merkmalsregeln_auslesen</w:t>
      </w:r>
      <w:r w:rsidRPr="00156980">
        <w:rPr>
          <w:szCs w:val="17"/>
        </w:rPr>
        <w:t>, Zeile 44) abhängt, we</w:t>
      </w:r>
      <w:r w:rsidRPr="00156980">
        <w:rPr>
          <w:szCs w:val="17"/>
        </w:rPr>
        <w:t>l</w:t>
      </w:r>
      <w:r w:rsidRPr="00156980">
        <w:rPr>
          <w:szCs w:val="17"/>
        </w:rPr>
        <w:t>che Regeln angenommen werden: Auch eine einmalige Ausführungsweise kann salient sein, wenn angenommen wird, dass sie kein Zufall ist, zudem können sich durch statist</w:t>
      </w:r>
      <w:r w:rsidRPr="00156980">
        <w:rPr>
          <w:szCs w:val="17"/>
        </w:rPr>
        <w:t>i</w:t>
      </w:r>
      <w:r w:rsidRPr="00156980">
        <w:rPr>
          <w:szCs w:val="17"/>
        </w:rPr>
        <w:t>sche Fluktuationen</w:t>
      </w:r>
      <w:r w:rsidR="005D7996">
        <w:rPr>
          <w:szCs w:val="17"/>
        </w:rPr>
        <w:fldChar w:fldCharType="begin"/>
      </w:r>
      <w:r>
        <w:instrText xml:space="preserve"> XE "</w:instrText>
      </w:r>
      <w:r w:rsidRPr="00BB39D7">
        <w:rPr>
          <w:szCs w:val="17"/>
        </w:rPr>
        <w:instrText>Statistik</w:instrText>
      </w:r>
      <w:r>
        <w:instrText xml:space="preserve">" </w:instrText>
      </w:r>
      <w:r w:rsidR="005D7996">
        <w:rPr>
          <w:szCs w:val="17"/>
        </w:rPr>
        <w:fldChar w:fldCharType="end"/>
      </w:r>
      <w:r w:rsidRPr="00156980">
        <w:rPr>
          <w:szCs w:val="17"/>
        </w:rPr>
        <w:t xml:space="preserve"> Anwendungshäufungen gebildet haben, die durch die Berücksicht</w:t>
      </w:r>
      <w:r w:rsidRPr="00156980">
        <w:rPr>
          <w:szCs w:val="17"/>
        </w:rPr>
        <w:t>i</w:t>
      </w:r>
      <w:r w:rsidRPr="00156980">
        <w:rPr>
          <w:szCs w:val="17"/>
        </w:rPr>
        <w:t>gung der zufälligen Wahrscheinlichkeit</w:t>
      </w:r>
      <w:r w:rsidR="005D7996">
        <w:rPr>
          <w:szCs w:val="17"/>
        </w:rPr>
        <w:fldChar w:fldCharType="begin"/>
      </w:r>
      <w:r>
        <w:instrText xml:space="preserve"> XE "</w:instrText>
      </w:r>
      <w:r w:rsidRPr="00163432">
        <w:rPr>
          <w:szCs w:val="17"/>
        </w:rPr>
        <w:instrText>zufällige Wahrscheinlichkeit</w:instrText>
      </w:r>
      <w:r>
        <w:instrText xml:space="preserve">" </w:instrText>
      </w:r>
      <w:r w:rsidR="005D7996">
        <w:rPr>
          <w:szCs w:val="17"/>
        </w:rPr>
        <w:fldChar w:fldCharType="end"/>
      </w:r>
      <w:r w:rsidRPr="00156980">
        <w:rPr>
          <w:szCs w:val="17"/>
        </w:rPr>
        <w:t xml:space="preserve"> (vgl. Abschnitt </w:t>
      </w:r>
      <w:fldSimple w:instr=" REF _Ref213128730 \r \h  \* MERGEFORMAT ">
        <w:r w:rsidR="001231D3" w:rsidRPr="001231D3">
          <w:rPr>
            <w:szCs w:val="17"/>
          </w:rPr>
          <w:t>5.5.2</w:t>
        </w:r>
      </w:fldSimple>
      <w:r w:rsidRPr="00156980">
        <w:rPr>
          <w:szCs w:val="17"/>
        </w:rPr>
        <w:t>) nicht herausgerechnet we</w:t>
      </w:r>
      <w:r w:rsidRPr="00156980">
        <w:rPr>
          <w:szCs w:val="17"/>
        </w:rPr>
        <w:t>r</w:t>
      </w:r>
      <w:r w:rsidRPr="00156980">
        <w:rPr>
          <w:szCs w:val="17"/>
        </w:rPr>
        <w:t>den.</w:t>
      </w:r>
    </w:p>
  </w:footnote>
  <w:footnote w:id="3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hierzu Abschnitt </w:t>
      </w:r>
      <w:fldSimple w:instr=" REF _Ref269151730 \r \h  \* MERGEFORMAT ">
        <w:r w:rsidR="001231D3" w:rsidRPr="001231D3">
          <w:rPr>
            <w:szCs w:val="17"/>
          </w:rPr>
          <w:t>7.3.6</w:t>
        </w:r>
      </w:fldSimple>
      <w:r w:rsidRPr="00156980">
        <w:rPr>
          <w:szCs w:val="17"/>
        </w:rPr>
        <w:t>.</w:t>
      </w:r>
    </w:p>
  </w:footnote>
  <w:footnote w:id="3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könnte aber sein, dass eine Merkmalsregel gebildet wird, deren verlangte Eigenscha</w:t>
      </w:r>
      <w:r w:rsidRPr="00156980">
        <w:rPr>
          <w:szCs w:val="17"/>
        </w:rPr>
        <w:t>f</w:t>
      </w:r>
      <w:r w:rsidRPr="00156980">
        <w:rPr>
          <w:szCs w:val="17"/>
        </w:rPr>
        <w:t>ten der logischen Negation der verlangten Eigenschaften der oben untersuchten Mer</w:t>
      </w:r>
      <w:r w:rsidRPr="00156980">
        <w:rPr>
          <w:szCs w:val="17"/>
        </w:rPr>
        <w:t>k</w:t>
      </w:r>
      <w:r w:rsidRPr="00156980">
        <w:rPr>
          <w:szCs w:val="17"/>
        </w:rPr>
        <w:t>malsregel entsprechen (also als Intension</w:t>
      </w:r>
      <w:r w:rsidR="005D7996">
        <w:rPr>
          <w:szCs w:val="17"/>
        </w:rPr>
        <w:fldChar w:fldCharType="begin"/>
      </w:r>
      <w:r>
        <w:instrText xml:space="preserve"> XE "</w:instrText>
      </w:r>
      <w:r w:rsidRPr="0018783F">
        <w:instrText>Intension</w:instrText>
      </w:r>
      <w:r>
        <w:instrText xml:space="preserve">" </w:instrText>
      </w:r>
      <w:r w:rsidR="005D7996">
        <w:rPr>
          <w:szCs w:val="17"/>
        </w:rPr>
        <w:fldChar w:fldCharType="end"/>
      </w:r>
      <w:r w:rsidRPr="00156980">
        <w:rPr>
          <w:szCs w:val="17"/>
        </w:rPr>
        <w:t xml:space="preserve"> aufgefasst die Komplementärklasse abgrenzen). Falls die betrachtete Merkmalsregel für die ‚Außenmauern‘ eines Gebäudes die Eige</w:t>
      </w:r>
      <w:r w:rsidRPr="00156980">
        <w:rPr>
          <w:szCs w:val="17"/>
        </w:rPr>
        <w:t>n</w:t>
      </w:r>
      <w:r w:rsidRPr="00156980">
        <w:rPr>
          <w:szCs w:val="17"/>
        </w:rPr>
        <w:t>schaft ‚massiv‘ verlangt, ist es plausibel, dass (unabhängig von der obigen Überprüfung) eine andere Merkmalsregel gebildet wird, die die Eigenschaft ‚nicht massiv‘ verlangt. Di</w:t>
      </w:r>
      <w:r w:rsidRPr="00156980">
        <w:rPr>
          <w:szCs w:val="17"/>
        </w:rPr>
        <w:t>e</w:t>
      </w:r>
      <w:r w:rsidRPr="00156980">
        <w:rPr>
          <w:szCs w:val="17"/>
        </w:rPr>
        <w:t xml:space="preserve">se hätte dann das erforderliche </w:t>
      </w:r>
      <w:r w:rsidRPr="00156980">
        <w:rPr>
          <w:i/>
          <w:szCs w:val="17"/>
        </w:rPr>
        <w:t>w</w:t>
      </w:r>
      <w:r w:rsidRPr="00156980">
        <w:rPr>
          <w:szCs w:val="17"/>
        </w:rPr>
        <w:t xml:space="preserve"> &gt; 0.</w:t>
      </w:r>
    </w:p>
  </w:footnote>
  <w:footnote w:id="3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nicht-stilistische Auswahl erfolgt in Schritt 4 der Schemaausführung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xml:space="preserve">, Zeile 20). Dort wird dieser Auswahlschritt durch die Funktion </w:t>
      </w:r>
      <w:r w:rsidRPr="00156980">
        <w:rPr>
          <w:i/>
          <w:szCs w:val="17"/>
        </w:rPr>
        <w:t>Auswahl</w:t>
      </w:r>
      <w:r w:rsidRPr="00156980">
        <w:rPr>
          <w:szCs w:val="17"/>
        </w:rPr>
        <w:t xml:space="preserve"> simuliert; er kann nach unterschiedlichen Prinzipien erfolgen, über die sich keine allgemeine Aussage machen lässt.</w:t>
      </w:r>
    </w:p>
  </w:footnote>
  <w:footnote w:id="3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Im obenstehenden Beispiel 2 wurde </w:t>
      </w:r>
      <w:r w:rsidRPr="00156980">
        <w:rPr>
          <w:i/>
          <w:iCs/>
          <w:szCs w:val="17"/>
        </w:rPr>
        <w:t>w</w:t>
      </w:r>
      <w:r w:rsidRPr="00156980">
        <w:rPr>
          <w:i/>
          <w:iCs/>
          <w:szCs w:val="17"/>
          <w:vertAlign w:val="subscript"/>
        </w:rPr>
        <w:t>z</w:t>
      </w:r>
      <w:r w:rsidRPr="00156980">
        <w:rPr>
          <w:szCs w:val="17"/>
        </w:rPr>
        <w:t xml:space="preserve"> = 0,1 bei </w:t>
      </w:r>
      <w:r w:rsidRPr="00156980">
        <w:rPr>
          <w:i/>
          <w:iCs/>
          <w:szCs w:val="17"/>
        </w:rPr>
        <w:t>n</w:t>
      </w:r>
      <w:r w:rsidRPr="00156980">
        <w:rPr>
          <w:szCs w:val="17"/>
        </w:rPr>
        <w:t xml:space="preserve"> = 100, </w:t>
      </w:r>
      <w:r w:rsidRPr="00156980">
        <w:rPr>
          <w:i/>
          <w:iCs/>
          <w:szCs w:val="17"/>
        </w:rPr>
        <w:t>g</w:t>
      </w:r>
      <w:r w:rsidRPr="00156980">
        <w:rPr>
          <w:i/>
          <w:iCs/>
          <w:szCs w:val="17"/>
          <w:vertAlign w:val="subscript"/>
        </w:rPr>
        <w:t>x</w:t>
      </w:r>
      <w:r w:rsidRPr="00156980">
        <w:rPr>
          <w:szCs w:val="17"/>
        </w:rPr>
        <w:t xml:space="preserve"> = 200 und </w:t>
      </w:r>
      <w:r w:rsidRPr="00156980">
        <w:rPr>
          <w:i/>
          <w:iCs/>
          <w:szCs w:val="17"/>
        </w:rPr>
        <w:t>g</w:t>
      </w:r>
      <w:r w:rsidRPr="00156980">
        <w:rPr>
          <w:szCs w:val="17"/>
        </w:rPr>
        <w:t xml:space="preserve"> = 2000 errec</w:t>
      </w:r>
      <w:r w:rsidRPr="00156980">
        <w:rPr>
          <w:szCs w:val="17"/>
        </w:rPr>
        <w:t>h</w:t>
      </w:r>
      <w:r w:rsidRPr="00156980">
        <w:rPr>
          <w:szCs w:val="17"/>
        </w:rPr>
        <w:t>net.</w:t>
      </w:r>
    </w:p>
    <w:p w:rsidR="00CC3558" w:rsidRPr="00156980" w:rsidRDefault="00CC3558" w:rsidP="007572A2">
      <w:pPr>
        <w:pStyle w:val="Funotentext"/>
        <w:tabs>
          <w:tab w:val="left" w:pos="851"/>
        </w:tabs>
        <w:rPr>
          <w:szCs w:val="17"/>
        </w:rPr>
      </w:pPr>
      <w:r w:rsidRPr="00156980">
        <w:rPr>
          <w:szCs w:val="17"/>
        </w:rPr>
        <w:tab/>
        <w:t>(A)</w:t>
      </w:r>
      <w:r>
        <w:rPr>
          <w:szCs w:val="17"/>
        </w:rPr>
        <w:tab/>
      </w:r>
      <w:r w:rsidRPr="00156980">
        <w:rPr>
          <w:szCs w:val="17"/>
        </w:rPr>
        <w:t xml:space="preserve">Befinden sich von den 200 Elementen mit den verlangten Eigenschaften 100 in 8 verschiedenen </w:t>
      </w:r>
      <w:r>
        <w:rPr>
          <w:szCs w:val="17"/>
        </w:rPr>
        <w:t>Alter</w:t>
      </w:r>
      <w:r>
        <w:rPr>
          <w:szCs w:val="17"/>
        </w:rPr>
        <w:softHyphen/>
        <w:t>nativen</w:t>
      </w:r>
      <w:r>
        <w:rPr>
          <w:szCs w:val="17"/>
        </w:rPr>
        <w:softHyphen/>
        <w:t>klasse</w:t>
      </w:r>
      <w:r w:rsidRPr="00156980">
        <w:rPr>
          <w:szCs w:val="17"/>
        </w:rPr>
        <w:t>n mit je 100 Elementen, so ergeben sich daraus stati</w:t>
      </w:r>
      <w:r w:rsidRPr="00156980">
        <w:rPr>
          <w:szCs w:val="17"/>
        </w:rPr>
        <w:t>s</w:t>
      </w:r>
      <w:r w:rsidRPr="00156980">
        <w:rPr>
          <w:szCs w:val="17"/>
        </w:rPr>
        <w:t xml:space="preserve">tisch 1/100 </w:t>
      </w:r>
      <w:r w:rsidRPr="00156980">
        <w:rPr>
          <w:rFonts w:cs="Times New Roman"/>
          <w:iCs/>
          <w:szCs w:val="17"/>
        </w:rPr>
        <w:t>∙</w:t>
      </w:r>
      <w:r w:rsidRPr="00156980">
        <w:rPr>
          <w:szCs w:val="17"/>
        </w:rPr>
        <w:t xml:space="preserve"> 100 = 1 Anwendung, die restlichen 100 Elemente verteilen sich dann auf 92 </w:t>
      </w:r>
      <w:r>
        <w:rPr>
          <w:szCs w:val="17"/>
        </w:rPr>
        <w:t>Alter</w:t>
      </w:r>
      <w:r>
        <w:rPr>
          <w:szCs w:val="17"/>
        </w:rPr>
        <w:softHyphen/>
        <w:t>nativen</w:t>
      </w:r>
      <w:r>
        <w:rPr>
          <w:szCs w:val="17"/>
        </w:rPr>
        <w:softHyphen/>
        <w:t>klasse</w:t>
      </w:r>
      <w:r w:rsidRPr="00156980">
        <w:rPr>
          <w:szCs w:val="17"/>
        </w:rPr>
        <w:t xml:space="preserve">n mit zusammen 2000 </w:t>
      </w:r>
      <w:r w:rsidRPr="00156980">
        <w:rPr>
          <w:rFonts w:cs="Times New Roman"/>
          <w:iCs/>
          <w:szCs w:val="17"/>
        </w:rPr>
        <w:t>–</w:t>
      </w:r>
      <w:r w:rsidRPr="00156980">
        <w:rPr>
          <w:szCs w:val="17"/>
        </w:rPr>
        <w:t xml:space="preserve"> (100 </w:t>
      </w:r>
      <w:r w:rsidRPr="00156980">
        <w:rPr>
          <w:rFonts w:cs="Times New Roman"/>
          <w:iCs/>
          <w:szCs w:val="17"/>
        </w:rPr>
        <w:t>∙ 8</w:t>
      </w:r>
      <w:r w:rsidRPr="00156980">
        <w:rPr>
          <w:szCs w:val="17"/>
        </w:rPr>
        <w:t>) = 1200 Elementen, woraus sich st</w:t>
      </w:r>
      <w:r w:rsidRPr="00156980">
        <w:rPr>
          <w:szCs w:val="17"/>
        </w:rPr>
        <w:t>a</w:t>
      </w:r>
      <w:r w:rsidRPr="00156980">
        <w:rPr>
          <w:szCs w:val="17"/>
        </w:rPr>
        <w:t xml:space="preserve">tistisch 92/1200 </w:t>
      </w:r>
      <w:r w:rsidRPr="00156980">
        <w:rPr>
          <w:rFonts w:cs="Times New Roman"/>
          <w:iCs/>
          <w:szCs w:val="17"/>
        </w:rPr>
        <w:t>∙</w:t>
      </w:r>
      <w:r w:rsidRPr="00156980">
        <w:rPr>
          <w:szCs w:val="17"/>
        </w:rPr>
        <w:t xml:space="preserve"> 100 = 7,67 Anwendungen ergeben. Die zufällige Wahrscheinlichkeit hat 8,67 Anwendungen verursacht. Nun sind </w:t>
      </w:r>
      <w:r w:rsidRPr="00156980">
        <w:rPr>
          <w:i/>
          <w:iCs/>
          <w:szCs w:val="17"/>
        </w:rPr>
        <w:t>w</w:t>
      </w:r>
      <w:r w:rsidRPr="00156980">
        <w:rPr>
          <w:i/>
          <w:iCs/>
          <w:szCs w:val="17"/>
          <w:vertAlign w:val="subscript"/>
        </w:rPr>
        <w:t>z</w:t>
      </w:r>
      <w:r w:rsidRPr="00156980">
        <w:rPr>
          <w:szCs w:val="17"/>
        </w:rPr>
        <w:t xml:space="preserve"> = 0,087 und </w:t>
      </w:r>
      <w:r w:rsidRPr="00156980">
        <w:rPr>
          <w:i/>
          <w:iCs/>
          <w:szCs w:val="17"/>
        </w:rPr>
        <w:t>w</w:t>
      </w:r>
      <w:r w:rsidRPr="00156980">
        <w:rPr>
          <w:iCs/>
          <w:szCs w:val="17"/>
        </w:rPr>
        <w:t>(</w:t>
      </w:r>
      <w:r w:rsidRPr="00156980">
        <w:rPr>
          <w:i/>
          <w:szCs w:val="17"/>
        </w:rPr>
        <w:t>B</w:t>
      </w:r>
      <w:r w:rsidRPr="00156980">
        <w:rPr>
          <w:i/>
          <w:szCs w:val="17"/>
          <w:vertAlign w:val="subscript"/>
        </w:rPr>
        <w:t>p</w:t>
      </w:r>
      <w:r w:rsidRPr="00156980">
        <w:rPr>
          <w:iCs/>
          <w:szCs w:val="17"/>
        </w:rPr>
        <w:t>)</w:t>
      </w:r>
      <w:r w:rsidRPr="00156980">
        <w:rPr>
          <w:szCs w:val="17"/>
        </w:rPr>
        <w:t xml:space="preserve"> = 1 </w:t>
      </w:r>
      <w:r w:rsidRPr="00156980">
        <w:rPr>
          <w:rFonts w:cs="Times New Roman"/>
          <w:iCs/>
          <w:szCs w:val="17"/>
        </w:rPr>
        <w:t>−</w:t>
      </w:r>
      <w:r w:rsidRPr="00156980">
        <w:rPr>
          <w:szCs w:val="17"/>
        </w:rPr>
        <w:t xml:space="preserve"> (0,81 : 0,913) = 0,113.</w:t>
      </w:r>
    </w:p>
    <w:p w:rsidR="00CC3558" w:rsidRPr="00156980" w:rsidRDefault="00CC3558" w:rsidP="007572A2">
      <w:pPr>
        <w:pStyle w:val="Funotentext"/>
        <w:tabs>
          <w:tab w:val="left" w:pos="851"/>
        </w:tabs>
        <w:rPr>
          <w:szCs w:val="17"/>
        </w:rPr>
      </w:pPr>
      <w:r w:rsidRPr="00156980">
        <w:rPr>
          <w:szCs w:val="17"/>
        </w:rPr>
        <w:t xml:space="preserve"> </w:t>
      </w:r>
      <w:r w:rsidRPr="00156980">
        <w:rPr>
          <w:szCs w:val="17"/>
        </w:rPr>
        <w:tab/>
        <w:t>(B)</w:t>
      </w:r>
      <w:r w:rsidRPr="00156980">
        <w:rPr>
          <w:szCs w:val="17"/>
        </w:rPr>
        <w:tab/>
        <w:t xml:space="preserve">Befinden sich von den 200 Elementen mit den verlangten Eigenschaften 100 in 20 verschiedenen </w:t>
      </w:r>
      <w:r>
        <w:rPr>
          <w:szCs w:val="17"/>
        </w:rPr>
        <w:t>Alter</w:t>
      </w:r>
      <w:r>
        <w:rPr>
          <w:szCs w:val="17"/>
        </w:rPr>
        <w:softHyphen/>
        <w:t>nativen</w:t>
      </w:r>
      <w:r>
        <w:rPr>
          <w:szCs w:val="17"/>
        </w:rPr>
        <w:softHyphen/>
        <w:t>klasse</w:t>
      </w:r>
      <w:r w:rsidRPr="00156980">
        <w:rPr>
          <w:szCs w:val="17"/>
        </w:rPr>
        <w:t xml:space="preserve">n mit je 10 Elementen, so ergeben sich daraus statistisch 1/10 </w:t>
      </w:r>
      <w:r w:rsidRPr="00156980">
        <w:rPr>
          <w:rFonts w:cs="Times New Roman"/>
          <w:iCs/>
          <w:szCs w:val="17"/>
        </w:rPr>
        <w:t>∙</w:t>
      </w:r>
      <w:r w:rsidRPr="00156980">
        <w:rPr>
          <w:szCs w:val="17"/>
        </w:rPr>
        <w:t xml:space="preserve"> 100 = 10 Anwendungen, die restlichen 100 Elemente verteilen sich dann auf 80 </w:t>
      </w:r>
      <w:r>
        <w:rPr>
          <w:szCs w:val="17"/>
        </w:rPr>
        <w:t>Alter</w:t>
      </w:r>
      <w:r>
        <w:rPr>
          <w:szCs w:val="17"/>
        </w:rPr>
        <w:softHyphen/>
        <w:t>nativen</w:t>
      </w:r>
      <w:r>
        <w:rPr>
          <w:szCs w:val="17"/>
        </w:rPr>
        <w:softHyphen/>
        <w:t>klasse</w:t>
      </w:r>
      <w:r w:rsidRPr="00156980">
        <w:rPr>
          <w:szCs w:val="17"/>
        </w:rPr>
        <w:t xml:space="preserve">n mit zusammen 2000 </w:t>
      </w:r>
      <w:r w:rsidRPr="00156980">
        <w:rPr>
          <w:rFonts w:cs="Times New Roman"/>
          <w:iCs/>
          <w:szCs w:val="17"/>
        </w:rPr>
        <w:t>–</w:t>
      </w:r>
      <w:r w:rsidRPr="00156980">
        <w:rPr>
          <w:szCs w:val="17"/>
        </w:rPr>
        <w:t xml:space="preserve"> (10 </w:t>
      </w:r>
      <w:r w:rsidRPr="00156980">
        <w:rPr>
          <w:rFonts w:cs="Times New Roman"/>
          <w:iCs/>
          <w:szCs w:val="17"/>
        </w:rPr>
        <w:t>∙ 20</w:t>
      </w:r>
      <w:r w:rsidRPr="00156980">
        <w:rPr>
          <w:szCs w:val="17"/>
        </w:rPr>
        <w:t>) = 1800 Elementen, woraus sich st</w:t>
      </w:r>
      <w:r w:rsidRPr="00156980">
        <w:rPr>
          <w:szCs w:val="17"/>
        </w:rPr>
        <w:t>a</w:t>
      </w:r>
      <w:r w:rsidRPr="00156980">
        <w:rPr>
          <w:szCs w:val="17"/>
        </w:rPr>
        <w:t xml:space="preserve">tistisch 80/1800 </w:t>
      </w:r>
      <w:r w:rsidRPr="00156980">
        <w:rPr>
          <w:rFonts w:cs="Times New Roman"/>
          <w:iCs/>
          <w:szCs w:val="17"/>
        </w:rPr>
        <w:t>∙</w:t>
      </w:r>
      <w:r w:rsidRPr="00156980">
        <w:rPr>
          <w:szCs w:val="17"/>
        </w:rPr>
        <w:t xml:space="preserve"> 100 = 4,45 Anwendungen ergeben. Die zufällige Wahrscheinlichkeit hat 14,45 Anwendungen verursacht. Nun sind </w:t>
      </w:r>
      <w:r w:rsidRPr="00156980">
        <w:rPr>
          <w:i/>
          <w:iCs/>
          <w:szCs w:val="17"/>
        </w:rPr>
        <w:t>w</w:t>
      </w:r>
      <w:r w:rsidRPr="00156980">
        <w:rPr>
          <w:i/>
          <w:iCs/>
          <w:szCs w:val="17"/>
          <w:vertAlign w:val="subscript"/>
        </w:rPr>
        <w:t>z</w:t>
      </w:r>
      <w:r w:rsidRPr="00156980">
        <w:rPr>
          <w:szCs w:val="17"/>
        </w:rPr>
        <w:t xml:space="preserve"> = 0,144 und </w:t>
      </w:r>
      <w:r w:rsidRPr="00156980">
        <w:rPr>
          <w:i/>
          <w:iCs/>
          <w:szCs w:val="17"/>
        </w:rPr>
        <w:t>w</w:t>
      </w:r>
      <w:r w:rsidRPr="00156980">
        <w:rPr>
          <w:iCs/>
          <w:szCs w:val="17"/>
        </w:rPr>
        <w:t>(</w:t>
      </w:r>
      <w:r w:rsidRPr="00156980">
        <w:rPr>
          <w:i/>
          <w:szCs w:val="17"/>
        </w:rPr>
        <w:t>B</w:t>
      </w:r>
      <w:r w:rsidRPr="00156980">
        <w:rPr>
          <w:i/>
          <w:szCs w:val="17"/>
          <w:vertAlign w:val="subscript"/>
        </w:rPr>
        <w:t>p</w:t>
      </w:r>
      <w:r w:rsidRPr="00156980">
        <w:rPr>
          <w:iCs/>
          <w:szCs w:val="17"/>
        </w:rPr>
        <w:t>)</w:t>
      </w:r>
      <w:r w:rsidRPr="00156980">
        <w:rPr>
          <w:szCs w:val="17"/>
        </w:rPr>
        <w:t xml:space="preserve"> = 1 </w:t>
      </w:r>
      <w:r w:rsidRPr="00156980">
        <w:rPr>
          <w:rFonts w:cs="Times New Roman"/>
          <w:iCs/>
          <w:szCs w:val="17"/>
        </w:rPr>
        <w:t>−</w:t>
      </w:r>
      <w:r w:rsidRPr="00156980">
        <w:rPr>
          <w:szCs w:val="17"/>
        </w:rPr>
        <w:t xml:space="preserve"> (0,81 : 0,856) = 0,053.</w:t>
      </w:r>
    </w:p>
  </w:footnote>
  <w:footnote w:id="3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1665973 \h  \* MERGEFORMAT ">
        <w:r w:rsidR="001231D3" w:rsidRPr="001231D3">
          <w:rPr>
            <w:szCs w:val="17"/>
          </w:rPr>
          <w:t>360</w:t>
        </w:r>
      </w:fldSimple>
      <w:r w:rsidRPr="00156980">
        <w:rPr>
          <w:szCs w:val="17"/>
        </w:rPr>
        <w:t>.</w:t>
      </w:r>
    </w:p>
  </w:footnote>
  <w:footnote w:id="3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wird davon ausgegangen, dass jedes Element der Realisierung nur die Schemaortbedi</w:t>
      </w:r>
      <w:r w:rsidRPr="00156980">
        <w:rPr>
          <w:szCs w:val="17"/>
        </w:rPr>
        <w:t>n</w:t>
      </w:r>
      <w:r w:rsidRPr="00156980">
        <w:rPr>
          <w:szCs w:val="17"/>
        </w:rPr>
        <w:t xml:space="preserve">gungen eines Schemaorts erfüllt (vgl. Zeile 7), also die Schemaorte eines Schemas keine Überschneidungen aufweisen; andernfalls würde hier ein früher gebildetes </w:t>
      </w:r>
      <w:r w:rsidRPr="00156980">
        <w:rPr>
          <w:rFonts w:cs="Times New Roman"/>
          <w:i/>
          <w:szCs w:val="17"/>
        </w:rPr>
        <w:t>Ab</w:t>
      </w:r>
      <w:r w:rsidRPr="00156980">
        <w:rPr>
          <w:rFonts w:cs="Times New Roman"/>
          <w:i/>
          <w:szCs w:val="17"/>
          <w:vertAlign w:val="subscript"/>
        </w:rPr>
        <w:t>k</w:t>
      </w:r>
      <w:r w:rsidRPr="00156980">
        <w:rPr>
          <w:szCs w:val="17"/>
        </w:rPr>
        <w:t xml:space="preserve"> übe</w:t>
      </w:r>
      <w:r w:rsidRPr="00156980">
        <w:rPr>
          <w:szCs w:val="17"/>
        </w:rPr>
        <w:t>r</w:t>
      </w:r>
      <w:r w:rsidRPr="00156980">
        <w:rPr>
          <w:szCs w:val="17"/>
        </w:rPr>
        <w:t>schrieben und somit der im Schema weiter hinten gespeicherte Schemaort verwendet. Stellt sich bei der Schemadefinition heraus, dass Überschneidungen unvermeidlich sind, müsste hier eine Auswahlfunktion angenommen werden.</w:t>
      </w:r>
    </w:p>
  </w:footnote>
  <w:footnote w:id="3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Berücksichtigung der Teilmengen von </w:t>
      </w:r>
      <w:r w:rsidRPr="00156980">
        <w:rPr>
          <w:i/>
          <w:szCs w:val="17"/>
        </w:rPr>
        <w:t>Zb</w:t>
      </w:r>
      <w:r w:rsidRPr="00156980">
        <w:rPr>
          <w:i/>
          <w:szCs w:val="17"/>
          <w:vertAlign w:val="subscript"/>
        </w:rPr>
        <w:t>W</w:t>
      </w:r>
      <w:r w:rsidRPr="00156980">
        <w:rPr>
          <w:szCs w:val="17"/>
        </w:rPr>
        <w:t xml:space="preserve"> ist erforderlich, weil es für die Anwe</w:t>
      </w:r>
      <w:r w:rsidRPr="00156980">
        <w:rPr>
          <w:szCs w:val="17"/>
        </w:rPr>
        <w:t>n</w:t>
      </w:r>
      <w:r w:rsidRPr="00156980">
        <w:rPr>
          <w:szCs w:val="17"/>
        </w:rPr>
        <w:t xml:space="preserve">dung einer Merkmalsregel ausreicht, wenn ihre Anwendungsbedingungen eine Teilmenge der Alternativenbedingungen der jeweiligen </w:t>
      </w:r>
      <w:r>
        <w:rPr>
          <w:szCs w:val="17"/>
        </w:rPr>
        <w:t>Alter</w:t>
      </w:r>
      <w:r>
        <w:rPr>
          <w:szCs w:val="17"/>
        </w:rPr>
        <w:softHyphen/>
        <w:t>nativen</w:t>
      </w:r>
      <w:r>
        <w:rPr>
          <w:szCs w:val="17"/>
        </w:rPr>
        <w:softHyphen/>
        <w:t>klasse</w:t>
      </w:r>
      <w:r w:rsidRPr="00156980">
        <w:rPr>
          <w:szCs w:val="17"/>
        </w:rPr>
        <w:t xml:space="preserve"> sind; vgl. Zeile 26 sowie Abschnitt </w:t>
      </w:r>
      <w:fldSimple w:instr=" REF _Ref212455608 \r \h  \* MERGEFORMAT ">
        <w:r w:rsidR="001231D3" w:rsidRPr="001231D3">
          <w:rPr>
            <w:szCs w:val="17"/>
          </w:rPr>
          <w:t>5.4.2</w:t>
        </w:r>
      </w:fldSimple>
      <w:r w:rsidRPr="00156980">
        <w:rPr>
          <w:szCs w:val="17"/>
        </w:rPr>
        <w:t xml:space="preserve">, Funktion </w:t>
      </w:r>
      <w:r w:rsidRPr="00156980">
        <w:rPr>
          <w:i/>
          <w:szCs w:val="17"/>
        </w:rPr>
        <w:t>Merkmalsregel_anwenden</w:t>
      </w:r>
      <w:r w:rsidRPr="00156980">
        <w:rPr>
          <w:szCs w:val="17"/>
        </w:rPr>
        <w:t>, Zeile 2.</w:t>
      </w:r>
    </w:p>
  </w:footnote>
  <w:footnote w:id="3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leere Menge muss hier nicht ausgeschlossen werden, da die zweite Bedingung in Zeile 26 dies übernimmt.</w:t>
      </w:r>
    </w:p>
  </w:footnote>
  <w:footnote w:id="3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5767436 \r \h  \* MERGEFORMAT ">
        <w:r w:rsidR="001231D3" w:rsidRPr="001231D3">
          <w:rPr>
            <w:szCs w:val="17"/>
          </w:rPr>
          <w:t>7.2.1</w:t>
        </w:r>
      </w:fldSimple>
      <w:r w:rsidRPr="00156980">
        <w:rPr>
          <w:szCs w:val="17"/>
        </w:rPr>
        <w:t>, Unterabschnitt</w:t>
      </w:r>
      <w:r w:rsidRPr="00156980">
        <w:rPr>
          <w:i/>
          <w:szCs w:val="17"/>
        </w:rPr>
        <w:t xml:space="preserve"> Anmerkung zur Syntax</w:t>
      </w:r>
      <w:r w:rsidR="005D7996">
        <w:rPr>
          <w:i/>
          <w:szCs w:val="17"/>
        </w:rPr>
        <w:fldChar w:fldCharType="begin"/>
      </w:r>
      <w:r>
        <w:instrText xml:space="preserve"> XE "</w:instrText>
      </w:r>
      <w:r w:rsidRPr="00367A05">
        <w:rPr>
          <w:rFonts w:eastAsia="Times New Roman" w:cs="Times New Roman"/>
        </w:rPr>
        <w:instrText>Syntax</w:instrText>
      </w:r>
      <w:r>
        <w:instrText xml:space="preserve">" </w:instrText>
      </w:r>
      <w:r w:rsidR="005D7996">
        <w:rPr>
          <w:i/>
          <w:szCs w:val="17"/>
        </w:rPr>
        <w:fldChar w:fldCharType="end"/>
      </w:r>
      <w:r w:rsidRPr="00156980">
        <w:rPr>
          <w:i/>
          <w:szCs w:val="17"/>
        </w:rPr>
        <w:t xml:space="preserve"> (2)</w:t>
      </w:r>
      <w:r w:rsidRPr="00156980">
        <w:rPr>
          <w:szCs w:val="17"/>
        </w:rPr>
        <w:t>.</w:t>
      </w:r>
    </w:p>
  </w:footnote>
  <w:footnote w:id="3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937722 \r \h  \* MERGEFORMAT ">
        <w:r w:rsidR="001231D3" w:rsidRPr="001231D3">
          <w:rPr>
            <w:szCs w:val="17"/>
          </w:rPr>
          <w:t>5.3.1</w:t>
        </w:r>
      </w:fldSimple>
      <w:r w:rsidRPr="00156980">
        <w:rPr>
          <w:szCs w:val="17"/>
        </w:rPr>
        <w:t>, Unterabschnitt</w:t>
      </w:r>
      <w:r w:rsidRPr="00156980">
        <w:rPr>
          <w:i/>
          <w:szCs w:val="17"/>
        </w:rPr>
        <w:t xml:space="preserve"> Definition und Erläuterung der Variablen</w:t>
      </w:r>
      <w:r w:rsidRPr="00156980">
        <w:rPr>
          <w:szCs w:val="17"/>
        </w:rPr>
        <w:t>, 2.</w:t>
      </w:r>
    </w:p>
  </w:footnote>
  <w:footnote w:id="3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455608 \r \h  \* MERGEFORMAT ">
        <w:r w:rsidR="001231D3" w:rsidRPr="001231D3">
          <w:rPr>
            <w:szCs w:val="17"/>
          </w:rPr>
          <w:t>5.4.2</w:t>
        </w:r>
      </w:fldSimple>
      <w:r w:rsidRPr="00156980">
        <w:rPr>
          <w:szCs w:val="17"/>
        </w:rPr>
        <w:t xml:space="preserve">, Funktion </w:t>
      </w:r>
      <w:r w:rsidRPr="00156980">
        <w:rPr>
          <w:i/>
          <w:szCs w:val="17"/>
        </w:rPr>
        <w:t>Merkmalsregel_anwenden</w:t>
      </w:r>
      <w:r w:rsidRPr="00156980">
        <w:rPr>
          <w:szCs w:val="17"/>
        </w:rPr>
        <w:t xml:space="preserve">, Zeile 2; siehe auch Fußnote </w:t>
      </w:r>
      <w:fldSimple w:instr=" NOTEREF _Ref271713013 \h  \* MERGEFORMAT ">
        <w:r w:rsidR="001231D3" w:rsidRPr="001231D3">
          <w:rPr>
            <w:szCs w:val="17"/>
          </w:rPr>
          <w:t>373</w:t>
        </w:r>
      </w:fldSimple>
      <w:r w:rsidRPr="00156980">
        <w:rPr>
          <w:szCs w:val="17"/>
        </w:rPr>
        <w:t>.</w:t>
      </w:r>
    </w:p>
  </w:footnote>
  <w:footnote w:id="3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Unterabschnitt</w:t>
      </w:r>
      <w:r w:rsidRPr="00156980">
        <w:rPr>
          <w:i/>
          <w:szCs w:val="17"/>
        </w:rPr>
        <w:t xml:space="preserve"> Anmerkung zur Syntax</w:t>
      </w:r>
      <w:r w:rsidR="005D7996">
        <w:rPr>
          <w:i/>
          <w:szCs w:val="17"/>
        </w:rPr>
        <w:fldChar w:fldCharType="begin"/>
      </w:r>
      <w:r>
        <w:instrText xml:space="preserve"> XE "</w:instrText>
      </w:r>
      <w:r w:rsidRPr="00367A05">
        <w:rPr>
          <w:rFonts w:eastAsia="Times New Roman" w:cs="Times New Roman"/>
        </w:rPr>
        <w:instrText>Syntax</w:instrText>
      </w:r>
      <w:r>
        <w:instrText xml:space="preserve">" </w:instrText>
      </w:r>
      <w:r w:rsidR="005D7996">
        <w:rPr>
          <w:i/>
          <w:szCs w:val="17"/>
        </w:rPr>
        <w:fldChar w:fldCharType="end"/>
      </w:r>
      <w:r w:rsidRPr="00156980">
        <w:rPr>
          <w:i/>
          <w:szCs w:val="17"/>
        </w:rPr>
        <w:t xml:space="preserve"> (1)</w:t>
      </w:r>
      <w:r w:rsidRPr="00156980">
        <w:rPr>
          <w:szCs w:val="17"/>
        </w:rPr>
        <w:t>.</w:t>
      </w:r>
    </w:p>
  </w:footnote>
  <w:footnote w:id="3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Vgl. Modul 2, Fall 4.</w:t>
      </w:r>
    </w:p>
  </w:footnote>
  <w:footnote w:id="3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Das heißt nicht, dass die Hälfte aller Wörter Substantive sind, da nicht in allen </w:t>
      </w:r>
      <w:r>
        <w:rPr>
          <w:szCs w:val="17"/>
        </w:rPr>
        <w:t>Alter</w:t>
      </w:r>
      <w:r>
        <w:rPr>
          <w:szCs w:val="17"/>
        </w:rPr>
        <w:softHyphen/>
        <w:t>nativen</w:t>
      </w:r>
      <w:r>
        <w:rPr>
          <w:szCs w:val="17"/>
        </w:rPr>
        <w:softHyphen/>
        <w:t>klasse</w:t>
      </w:r>
      <w:r w:rsidRPr="00156980">
        <w:rPr>
          <w:szCs w:val="17"/>
        </w:rPr>
        <w:t>n ein Fremdwort zur Verfügung steht.</w:t>
      </w:r>
    </w:p>
  </w:footnote>
  <w:footnote w:id="3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Aufgrund der Berücksichtigung der durchschnittlichen Wahrscheinlichkeit (vgl. A</w:t>
      </w:r>
      <w:r w:rsidRPr="00156980">
        <w:rPr>
          <w:szCs w:val="17"/>
        </w:rPr>
        <w:t>b</w:t>
      </w:r>
      <w:r w:rsidRPr="00156980">
        <w:rPr>
          <w:szCs w:val="17"/>
        </w:rPr>
        <w:t xml:space="preserve">schnitt </w:t>
      </w:r>
      <w:fldSimple w:instr=" REF _Ref213128730 \r \h  \* MERGEFORMAT ">
        <w:r w:rsidR="001231D3" w:rsidRPr="001231D3">
          <w:rPr>
            <w:szCs w:val="17"/>
          </w:rPr>
          <w:t>5.5.2</w:t>
        </w:r>
      </w:fldSimple>
      <w:r w:rsidRPr="00156980">
        <w:rPr>
          <w:szCs w:val="17"/>
        </w:rPr>
        <w:t xml:space="preserve">) können die Anwendungen </w:t>
      </w:r>
      <w:r w:rsidRPr="00156980">
        <w:rPr>
          <w:i/>
          <w:szCs w:val="17"/>
        </w:rPr>
        <w:t>m</w:t>
      </w:r>
      <w:r w:rsidRPr="00156980">
        <w:rPr>
          <w:szCs w:val="17"/>
        </w:rPr>
        <w:t xml:space="preserve"> nicht gleichgesetzt werden mit den Fällen, in denen die Anwendungsbedingungen erfüllt und die verlangten Eigenschaften am Element der Realisierung vorhanden sind. Die Anzahl der Elemente, die zufällig die verlangten E</w:t>
      </w:r>
      <w:r w:rsidRPr="00156980">
        <w:rPr>
          <w:szCs w:val="17"/>
        </w:rPr>
        <w:t>i</w:t>
      </w:r>
      <w:r w:rsidRPr="00156980">
        <w:rPr>
          <w:szCs w:val="17"/>
        </w:rPr>
        <w:t>genschaften besitzen, variiert aufgrund der Streuung; bei der Berücksichtigung der zufä</w:t>
      </w:r>
      <w:r w:rsidRPr="00156980">
        <w:rPr>
          <w:szCs w:val="17"/>
        </w:rPr>
        <w:t>l</w:t>
      </w:r>
      <w:r w:rsidRPr="00156980">
        <w:rPr>
          <w:szCs w:val="17"/>
        </w:rPr>
        <w:t>ligen Wahrscheinlichkeit</w:t>
      </w:r>
      <w:r w:rsidR="005D7996">
        <w:rPr>
          <w:szCs w:val="17"/>
        </w:rPr>
        <w:fldChar w:fldCharType="begin"/>
      </w:r>
      <w:r>
        <w:instrText xml:space="preserve"> XE "</w:instrText>
      </w:r>
      <w:r w:rsidRPr="005C255F">
        <w:rPr>
          <w:szCs w:val="17"/>
        </w:rPr>
        <w:instrText>zufällige Wahrscheinlichkeit</w:instrText>
      </w:r>
      <w:r>
        <w:instrText xml:space="preserve">" </w:instrText>
      </w:r>
      <w:r w:rsidR="005D7996">
        <w:rPr>
          <w:szCs w:val="17"/>
        </w:rPr>
        <w:fldChar w:fldCharType="end"/>
      </w:r>
      <w:r w:rsidRPr="00156980">
        <w:rPr>
          <w:szCs w:val="17"/>
        </w:rPr>
        <w:t xml:space="preserve"> kann nur der Mittelwert errechnet werden. Hat beispielsweise bei einer konkreten Realisierung (in Relation zu den errechneten Werten) der Zufall für überdurchschnittlich viele Substantive, aber für durchschnittlich viele Wörter Fremdwö</w:t>
      </w:r>
      <w:r w:rsidRPr="00156980">
        <w:rPr>
          <w:szCs w:val="17"/>
        </w:rPr>
        <w:t>r</w:t>
      </w:r>
      <w:r w:rsidRPr="00156980">
        <w:rPr>
          <w:szCs w:val="17"/>
        </w:rPr>
        <w:t xml:space="preserve">ter ergeben, dann hatte die speziellere Regel </w:t>
      </w:r>
      <w:r w:rsidRPr="00156980">
        <w:rPr>
          <w:i/>
          <w:iCs/>
          <w:szCs w:val="17"/>
        </w:rPr>
        <w:t>B</w:t>
      </w:r>
      <w:r w:rsidRPr="00156980">
        <w:rPr>
          <w:i/>
          <w:iCs/>
          <w:szCs w:val="17"/>
          <w:vertAlign w:val="subscript"/>
        </w:rPr>
        <w:t>j</w:t>
      </w:r>
      <w:r w:rsidRPr="00156980">
        <w:rPr>
          <w:szCs w:val="17"/>
        </w:rPr>
        <w:t xml:space="preserve"> weniger als 20 tatsächliche Anwendungen, die allgemeinere </w:t>
      </w:r>
      <w:r w:rsidRPr="00156980">
        <w:rPr>
          <w:i/>
          <w:iCs/>
          <w:szCs w:val="17"/>
        </w:rPr>
        <w:t>B</w:t>
      </w:r>
      <w:r w:rsidRPr="00156980">
        <w:rPr>
          <w:i/>
          <w:iCs/>
          <w:szCs w:val="17"/>
          <w:vertAlign w:val="subscript"/>
        </w:rPr>
        <w:t>x</w:t>
      </w:r>
      <w:r w:rsidRPr="00156980">
        <w:rPr>
          <w:szCs w:val="17"/>
        </w:rPr>
        <w:t xml:space="preserve"> aber genau 20, also zusätzliche Anwendungen. Dasselbe gilt, wenn der Zufall sich durchschnittlich bei den Substantiven, aber unterdurchschnittlich bei allen Wörtern auswirkte: Dann hatte </w:t>
      </w:r>
      <w:r w:rsidRPr="00156980">
        <w:rPr>
          <w:i/>
          <w:iCs/>
          <w:szCs w:val="17"/>
        </w:rPr>
        <w:t>B</w:t>
      </w:r>
      <w:r w:rsidRPr="00156980">
        <w:rPr>
          <w:i/>
          <w:iCs/>
          <w:szCs w:val="17"/>
          <w:vertAlign w:val="subscript"/>
        </w:rPr>
        <w:t>j</w:t>
      </w:r>
      <w:r w:rsidRPr="00156980">
        <w:rPr>
          <w:szCs w:val="17"/>
        </w:rPr>
        <w:t xml:space="preserve"> 20 tatsächliche Anwendungen und </w:t>
      </w:r>
      <w:r w:rsidRPr="00156980">
        <w:rPr>
          <w:i/>
          <w:iCs/>
          <w:szCs w:val="17"/>
        </w:rPr>
        <w:t>B</w:t>
      </w:r>
      <w:r w:rsidRPr="00156980">
        <w:rPr>
          <w:i/>
          <w:iCs/>
          <w:szCs w:val="17"/>
          <w:vertAlign w:val="subscript"/>
        </w:rPr>
        <w:t>x</w:t>
      </w:r>
      <w:r w:rsidRPr="00156980">
        <w:rPr>
          <w:szCs w:val="17"/>
        </w:rPr>
        <w:t xml:space="preserve"> mehr als 20. (Die errechneten </w:t>
      </w:r>
      <w:r w:rsidRPr="00156980">
        <w:rPr>
          <w:i/>
          <w:szCs w:val="17"/>
        </w:rPr>
        <w:t>w</w:t>
      </w:r>
      <w:r w:rsidRPr="00156980">
        <w:rPr>
          <w:szCs w:val="17"/>
        </w:rPr>
        <w:t xml:space="preserve"> stimmen dann natürlich nicht.)</w:t>
      </w:r>
    </w:p>
  </w:footnote>
  <w:footnote w:id="3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Beispiel legt nahe, dass der Prozess in Wirklichkeit noch komplizierter ist: Übliche Beschreibungsebenen</w:t>
      </w:r>
      <w:r w:rsidR="005D7996">
        <w:rPr>
          <w:szCs w:val="17"/>
        </w:rPr>
        <w:fldChar w:fldCharType="begin"/>
      </w:r>
      <w:r>
        <w:instrText xml:space="preserve"> XE "</w:instrText>
      </w:r>
      <w:r w:rsidRPr="0039734C">
        <w:instrText>Beschreibungsebene</w:instrText>
      </w:r>
      <w:r>
        <w:instrText xml:space="preserve">" </w:instrText>
      </w:r>
      <w:r w:rsidR="005D7996">
        <w:rPr>
          <w:szCs w:val="17"/>
        </w:rPr>
        <w:fldChar w:fldCharType="end"/>
      </w:r>
      <w:r w:rsidRPr="00156980">
        <w:rPr>
          <w:szCs w:val="17"/>
        </w:rPr>
        <w:t xml:space="preserve"> für Realisierungen beeinflussen vermutlich die Bildung von Mer</w:t>
      </w:r>
      <w:r w:rsidRPr="00156980">
        <w:rPr>
          <w:szCs w:val="17"/>
        </w:rPr>
        <w:t>k</w:t>
      </w:r>
      <w:r w:rsidRPr="00156980">
        <w:rPr>
          <w:szCs w:val="17"/>
        </w:rPr>
        <w:t>malsregeln, was sich unter Bezug auf die Prototypentheorie</w:t>
      </w:r>
      <w:r w:rsidR="005D7996">
        <w:rPr>
          <w:szCs w:val="17"/>
        </w:rPr>
        <w:fldChar w:fldCharType="begin"/>
      </w:r>
      <w:r>
        <w:instrText xml:space="preserve"> XE "</w:instrText>
      </w:r>
      <w:r w:rsidRPr="0072400D">
        <w:instrText>Prototypentheorie</w:instrText>
      </w:r>
      <w:r>
        <w:instrText xml:space="preserve">" </w:instrText>
      </w:r>
      <w:r w:rsidR="005D7996">
        <w:rPr>
          <w:szCs w:val="17"/>
        </w:rPr>
        <w:fldChar w:fldCharType="end"/>
      </w:r>
      <w:r w:rsidRPr="00156980">
        <w:rPr>
          <w:szCs w:val="17"/>
        </w:rPr>
        <w:t xml:space="preserve"> (vgl. Fußnote </w:t>
      </w:r>
      <w:fldSimple w:instr=" NOTEREF _Ref269248653 \h  \* MERGEFORMAT ">
        <w:r w:rsidR="001231D3" w:rsidRPr="001231D3">
          <w:rPr>
            <w:szCs w:val="17"/>
          </w:rPr>
          <w:t>325</w:t>
        </w:r>
      </w:fldSimple>
      <w:r w:rsidRPr="00156980">
        <w:rPr>
          <w:szCs w:val="17"/>
        </w:rPr>
        <w:t>) erklären lässt. So dürften viele Sprachbenutzer dazu tendieren, ein Merkmal eher allen Wörtern zuzuordnen als allen Substantiven und entsprechend die Merkmalsregel zu bilden. Je we</w:t>
      </w:r>
      <w:r w:rsidRPr="00156980">
        <w:rPr>
          <w:szCs w:val="17"/>
        </w:rPr>
        <w:t>i</w:t>
      </w:r>
      <w:r w:rsidRPr="00156980">
        <w:rPr>
          <w:szCs w:val="17"/>
        </w:rPr>
        <w:t>ter man sich von den üblichen Beschreibungsebenen</w:t>
      </w:r>
      <w:r w:rsidR="005D7996">
        <w:rPr>
          <w:szCs w:val="17"/>
        </w:rPr>
        <w:fldChar w:fldCharType="begin"/>
      </w:r>
      <w:r>
        <w:instrText xml:space="preserve"> XE "</w:instrText>
      </w:r>
      <w:r w:rsidRPr="0039734C">
        <w:instrText>Beschreibungsebene</w:instrText>
      </w:r>
      <w:r>
        <w:instrText xml:space="preserve">" </w:instrText>
      </w:r>
      <w:r w:rsidR="005D7996">
        <w:rPr>
          <w:szCs w:val="17"/>
        </w:rPr>
        <w:fldChar w:fldCharType="end"/>
      </w:r>
      <w:r w:rsidRPr="00156980">
        <w:rPr>
          <w:szCs w:val="17"/>
        </w:rPr>
        <w:t xml:space="preserve"> entfernt, desto stärker wird dieser Effekt: Wären beispielsweise die Substantiv-Fremdwörter meist Abstrakta, würde dies wohl gar nicht auffallen. In diesem Fall müsste die allgemeinere Regel selbst dann erha</w:t>
      </w:r>
      <w:r w:rsidRPr="00156980">
        <w:rPr>
          <w:szCs w:val="17"/>
        </w:rPr>
        <w:t>l</w:t>
      </w:r>
      <w:r w:rsidRPr="00156980">
        <w:rPr>
          <w:szCs w:val="17"/>
        </w:rPr>
        <w:t>ten bleiben, wenn die speziellere mit den Anwendungsbedingungen ‚Substantiv, Abstra</w:t>
      </w:r>
      <w:r w:rsidRPr="00156980">
        <w:rPr>
          <w:szCs w:val="17"/>
        </w:rPr>
        <w:t>k</w:t>
      </w:r>
      <w:r w:rsidRPr="00156980">
        <w:rPr>
          <w:szCs w:val="17"/>
        </w:rPr>
        <w:t>tum‘ eine weit höhere Trefferquote erzielt.</w:t>
      </w:r>
    </w:p>
    <w:p w:rsidR="00CC3558" w:rsidRPr="00156980" w:rsidRDefault="00CC3558" w:rsidP="00F461D9">
      <w:pPr>
        <w:pStyle w:val="Funotentext"/>
        <w:rPr>
          <w:szCs w:val="17"/>
        </w:rPr>
      </w:pPr>
      <w:r w:rsidRPr="00156980">
        <w:rPr>
          <w:szCs w:val="17"/>
        </w:rPr>
        <w:tab/>
        <w:t>Solche Prototypeneffekte werden hier außer acht gelassen, da sie nur im Einzelfall quant</w:t>
      </w:r>
      <w:r w:rsidRPr="00156980">
        <w:rPr>
          <w:szCs w:val="17"/>
        </w:rPr>
        <w:t>i</w:t>
      </w:r>
      <w:r w:rsidRPr="00156980">
        <w:rPr>
          <w:szCs w:val="17"/>
        </w:rPr>
        <w:t>fiziert werden können: Prototypeneffekte sind je nach Schema und verglichenen B</w:t>
      </w:r>
      <w:r w:rsidRPr="00156980">
        <w:rPr>
          <w:szCs w:val="17"/>
        </w:rPr>
        <w:t>e</w:t>
      </w:r>
      <w:r w:rsidRPr="00156980">
        <w:rPr>
          <w:szCs w:val="17"/>
        </w:rPr>
        <w:t>schreibungsebenen</w:t>
      </w:r>
      <w:r w:rsidR="005D7996">
        <w:rPr>
          <w:szCs w:val="17"/>
        </w:rPr>
        <w:fldChar w:fldCharType="begin"/>
      </w:r>
      <w:r>
        <w:instrText xml:space="preserve"> XE "</w:instrText>
      </w:r>
      <w:r w:rsidRPr="0039734C">
        <w:instrText>Beschreibungsebene</w:instrText>
      </w:r>
      <w:r>
        <w:instrText xml:space="preserve">" </w:instrText>
      </w:r>
      <w:r w:rsidR="005D7996">
        <w:rPr>
          <w:szCs w:val="17"/>
        </w:rPr>
        <w:fldChar w:fldCharType="end"/>
      </w:r>
      <w:r w:rsidRPr="00156980">
        <w:rPr>
          <w:szCs w:val="17"/>
        </w:rPr>
        <w:t xml:space="preserve"> unterschiedlich stark und variieren außerdem zwischen Individuen in Abhängigkeit etwa von der Vertrautheit mit dem jeweiligen Schema (ein Linguist wird leichter sehen können, dass es sich bei den Fremdwörtern um Abstrakta handelt). Bez</w:t>
      </w:r>
      <w:r w:rsidRPr="00156980">
        <w:rPr>
          <w:szCs w:val="17"/>
        </w:rPr>
        <w:t>o</w:t>
      </w:r>
      <w:r w:rsidRPr="00156980">
        <w:rPr>
          <w:szCs w:val="17"/>
        </w:rPr>
        <w:t xml:space="preserve">gen auf die allgemeine Stiltheorie handelt es sich um einen Bereich der Vagheit (vgl. die Abschnitte </w:t>
      </w:r>
      <w:fldSimple w:instr=" REF _Ref214861298 \r \h  \* MERGEFORMAT ">
        <w:r w:rsidR="001231D3" w:rsidRPr="001231D3">
          <w:rPr>
            <w:szCs w:val="17"/>
          </w:rPr>
          <w:t>9.4</w:t>
        </w:r>
      </w:fldSimple>
      <w:r w:rsidRPr="00156980">
        <w:rPr>
          <w:szCs w:val="17"/>
        </w:rPr>
        <w:t xml:space="preserve"> und </w:t>
      </w:r>
      <w:fldSimple w:instr=" REF _Ref223865720 \r \h  \* MERGEFORMAT ">
        <w:r w:rsidR="001231D3" w:rsidRPr="001231D3">
          <w:rPr>
            <w:szCs w:val="17"/>
          </w:rPr>
          <w:t>9.5</w:t>
        </w:r>
      </w:fldSimple>
      <w:r w:rsidRPr="00156980">
        <w:rPr>
          <w:szCs w:val="17"/>
        </w:rPr>
        <w:t>).</w:t>
      </w:r>
    </w:p>
  </w:footnote>
  <w:footnote w:id="3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Beispiel: </w:t>
      </w:r>
      <w:r w:rsidRPr="00156980">
        <w:rPr>
          <w:i/>
          <w:szCs w:val="17"/>
        </w:rPr>
        <w:t>U</w:t>
      </w:r>
      <w:r w:rsidRPr="00156980">
        <w:rPr>
          <w:szCs w:val="17"/>
        </w:rPr>
        <w:t>(</w:t>
      </w:r>
      <w:r w:rsidRPr="00156980">
        <w:rPr>
          <w:i/>
          <w:szCs w:val="17"/>
        </w:rPr>
        <w:t>B</w:t>
      </w:r>
      <w:r w:rsidRPr="00156980">
        <w:rPr>
          <w:i/>
          <w:szCs w:val="17"/>
          <w:vertAlign w:val="subscript"/>
        </w:rPr>
        <w:t>j</w:t>
      </w:r>
      <w:r w:rsidRPr="00156980">
        <w:rPr>
          <w:szCs w:val="17"/>
        </w:rPr>
        <w:t xml:space="preserve">): ‚Fenster‘, </w:t>
      </w:r>
      <w:r w:rsidRPr="00156980">
        <w:rPr>
          <w:i/>
          <w:szCs w:val="17"/>
        </w:rPr>
        <w:t>V</w:t>
      </w:r>
      <w:r w:rsidRPr="00156980">
        <w:rPr>
          <w:szCs w:val="17"/>
        </w:rPr>
        <w:t>(</w:t>
      </w:r>
      <w:r w:rsidRPr="00156980">
        <w:rPr>
          <w:i/>
          <w:szCs w:val="17"/>
        </w:rPr>
        <w:t>B</w:t>
      </w:r>
      <w:r w:rsidRPr="00156980">
        <w:rPr>
          <w:i/>
          <w:szCs w:val="17"/>
          <w:vertAlign w:val="subscript"/>
        </w:rPr>
        <w:t>j</w:t>
      </w:r>
      <w:r w:rsidRPr="00156980">
        <w:rPr>
          <w:szCs w:val="17"/>
        </w:rPr>
        <w:t xml:space="preserve">): ‚quadratisch‘, </w:t>
      </w:r>
      <w:r w:rsidRPr="00156980">
        <w:rPr>
          <w:i/>
          <w:szCs w:val="17"/>
        </w:rPr>
        <w:t>w</w:t>
      </w:r>
      <w:r w:rsidRPr="00156980">
        <w:rPr>
          <w:szCs w:val="17"/>
        </w:rPr>
        <w:t>(</w:t>
      </w:r>
      <w:r w:rsidRPr="00156980">
        <w:rPr>
          <w:i/>
          <w:szCs w:val="17"/>
        </w:rPr>
        <w:t>B</w:t>
      </w:r>
      <w:r w:rsidRPr="00156980">
        <w:rPr>
          <w:i/>
          <w:szCs w:val="17"/>
          <w:vertAlign w:val="subscript"/>
        </w:rPr>
        <w:t>j</w:t>
      </w:r>
      <w:r w:rsidRPr="00156980">
        <w:rPr>
          <w:szCs w:val="17"/>
        </w:rPr>
        <w:t xml:space="preserve">): 0,5. </w:t>
      </w:r>
      <w:r w:rsidRPr="00156980">
        <w:rPr>
          <w:i/>
          <w:szCs w:val="17"/>
        </w:rPr>
        <w:t>U</w:t>
      </w:r>
      <w:r w:rsidRPr="00156980">
        <w:rPr>
          <w:szCs w:val="17"/>
        </w:rPr>
        <w:t>(</w:t>
      </w:r>
      <w:r w:rsidRPr="00156980">
        <w:rPr>
          <w:i/>
          <w:szCs w:val="17"/>
        </w:rPr>
        <w:t>B</w:t>
      </w:r>
      <w:r w:rsidRPr="00156980">
        <w:rPr>
          <w:i/>
          <w:szCs w:val="17"/>
          <w:vertAlign w:val="subscript"/>
        </w:rPr>
        <w:t>x</w:t>
      </w:r>
      <w:r w:rsidRPr="00156980">
        <w:rPr>
          <w:szCs w:val="17"/>
        </w:rPr>
        <w:t>): ‚Fenster (im Erdg</w:t>
      </w:r>
      <w:r w:rsidRPr="00156980">
        <w:rPr>
          <w:szCs w:val="17"/>
        </w:rPr>
        <w:t>e</w:t>
      </w:r>
      <w:r w:rsidRPr="00156980">
        <w:rPr>
          <w:szCs w:val="17"/>
        </w:rPr>
        <w:t xml:space="preserve">schoss)‘, </w:t>
      </w:r>
      <w:r w:rsidRPr="00156980">
        <w:rPr>
          <w:i/>
          <w:szCs w:val="17"/>
        </w:rPr>
        <w:t>V</w:t>
      </w:r>
      <w:r w:rsidRPr="00156980">
        <w:rPr>
          <w:szCs w:val="17"/>
        </w:rPr>
        <w:t>(</w:t>
      </w:r>
      <w:r w:rsidRPr="00156980">
        <w:rPr>
          <w:i/>
          <w:szCs w:val="17"/>
        </w:rPr>
        <w:t>B</w:t>
      </w:r>
      <w:r w:rsidRPr="00156980">
        <w:rPr>
          <w:i/>
          <w:szCs w:val="17"/>
          <w:vertAlign w:val="subscript"/>
        </w:rPr>
        <w:t>x</w:t>
      </w:r>
      <w:r w:rsidRPr="00156980">
        <w:rPr>
          <w:szCs w:val="17"/>
        </w:rPr>
        <w:t xml:space="preserve">): ‚quadratisch‘, </w:t>
      </w:r>
      <w:r w:rsidRPr="00156980">
        <w:rPr>
          <w:i/>
          <w:szCs w:val="17"/>
        </w:rPr>
        <w:t>w</w:t>
      </w:r>
      <w:r w:rsidRPr="00156980">
        <w:rPr>
          <w:szCs w:val="17"/>
        </w:rPr>
        <w:t>(</w:t>
      </w:r>
      <w:r w:rsidRPr="00156980">
        <w:rPr>
          <w:i/>
          <w:szCs w:val="17"/>
        </w:rPr>
        <w:t>B</w:t>
      </w:r>
      <w:r w:rsidRPr="00156980">
        <w:rPr>
          <w:i/>
          <w:szCs w:val="17"/>
          <w:vertAlign w:val="subscript"/>
        </w:rPr>
        <w:t>x</w:t>
      </w:r>
      <w:r w:rsidRPr="00156980">
        <w:rPr>
          <w:szCs w:val="17"/>
        </w:rPr>
        <w:t>): 0,5. In diesem Fall ist die speziellere Regel offe</w:t>
      </w:r>
      <w:r w:rsidRPr="00156980">
        <w:rPr>
          <w:szCs w:val="17"/>
        </w:rPr>
        <w:t>n</w:t>
      </w:r>
      <w:r w:rsidRPr="00156980">
        <w:rPr>
          <w:szCs w:val="17"/>
        </w:rPr>
        <w:t>sichtlich überflüssig, ihre Wirkung wird durch die allgemeinere abgedeckt.</w:t>
      </w:r>
    </w:p>
  </w:footnote>
  <w:footnote w:id="3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Beispiel: </w:t>
      </w:r>
      <w:r w:rsidRPr="00156980">
        <w:rPr>
          <w:i/>
          <w:szCs w:val="17"/>
        </w:rPr>
        <w:t>U</w:t>
      </w:r>
      <w:r w:rsidRPr="00156980">
        <w:rPr>
          <w:szCs w:val="17"/>
        </w:rPr>
        <w:t>(</w:t>
      </w:r>
      <w:r w:rsidRPr="00156980">
        <w:rPr>
          <w:i/>
          <w:szCs w:val="17"/>
        </w:rPr>
        <w:t>B</w:t>
      </w:r>
      <w:r w:rsidRPr="00156980">
        <w:rPr>
          <w:i/>
          <w:szCs w:val="17"/>
          <w:vertAlign w:val="subscript"/>
        </w:rPr>
        <w:t>j</w:t>
      </w:r>
      <w:r w:rsidRPr="00156980">
        <w:rPr>
          <w:szCs w:val="17"/>
        </w:rPr>
        <w:t xml:space="preserve">): ‚Fenster‘, </w:t>
      </w:r>
      <w:r w:rsidRPr="00156980">
        <w:rPr>
          <w:i/>
          <w:szCs w:val="17"/>
        </w:rPr>
        <w:t>U</w:t>
      </w:r>
      <w:r w:rsidRPr="00156980">
        <w:rPr>
          <w:szCs w:val="17"/>
        </w:rPr>
        <w:t>(</w:t>
      </w:r>
      <w:r w:rsidRPr="00156980">
        <w:rPr>
          <w:i/>
          <w:szCs w:val="17"/>
        </w:rPr>
        <w:t>B</w:t>
      </w:r>
      <w:r w:rsidRPr="00156980">
        <w:rPr>
          <w:i/>
          <w:szCs w:val="17"/>
          <w:vertAlign w:val="subscript"/>
        </w:rPr>
        <w:t>x</w:t>
      </w:r>
      <w:r w:rsidRPr="00156980">
        <w:rPr>
          <w:szCs w:val="17"/>
        </w:rPr>
        <w:t>): ‚Fenster (im Erdgeschoss)‘ bei einem einstöckigen Gebäude.</w:t>
      </w:r>
    </w:p>
  </w:footnote>
  <w:footnote w:id="394">
    <w:p w:rsidR="00CC3558" w:rsidRPr="00156980" w:rsidRDefault="00CC3558" w:rsidP="00F461D9">
      <w:pPr>
        <w:pStyle w:val="Funotentext"/>
        <w:rPr>
          <w:iCs/>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Die Information der ungewöhnlichen Häufung von Erkerfenstern kann ausgedrückt werden, indem eine eigene Merkmalsregel gebildet wird:</w:t>
      </w:r>
    </w:p>
    <w:p w:rsidR="00CC3558" w:rsidRPr="00156980" w:rsidRDefault="00CC3558" w:rsidP="00F461D9">
      <w:pPr>
        <w:pStyle w:val="Funotentext"/>
        <w:rPr>
          <w:szCs w:val="17"/>
          <w:lang w:val="en-US"/>
        </w:rPr>
      </w:pPr>
      <w:r w:rsidRPr="00156980">
        <w:rPr>
          <w:iCs/>
          <w:szCs w:val="17"/>
        </w:rPr>
        <w:tab/>
      </w:r>
      <w:r w:rsidRPr="00156980">
        <w:rPr>
          <w:i/>
          <w:iCs/>
          <w:szCs w:val="17"/>
          <w:lang w:val="en-US"/>
        </w:rPr>
        <w:t>U</w:t>
      </w:r>
      <w:r w:rsidRPr="00156980">
        <w:rPr>
          <w:szCs w:val="17"/>
          <w:lang w:val="en-US"/>
        </w:rPr>
        <w:t>(</w:t>
      </w:r>
      <w:r w:rsidRPr="00156980">
        <w:rPr>
          <w:i/>
          <w:iCs/>
          <w:szCs w:val="17"/>
          <w:lang w:val="en-US"/>
        </w:rPr>
        <w:t>B</w:t>
      </w:r>
      <w:r w:rsidRPr="00156980">
        <w:rPr>
          <w:i/>
          <w:iCs/>
          <w:szCs w:val="17"/>
          <w:vertAlign w:val="subscript"/>
          <w:lang w:val="en-US"/>
        </w:rPr>
        <w:t>y</w:t>
      </w:r>
      <w:r w:rsidRPr="00156980">
        <w:rPr>
          <w:szCs w:val="17"/>
          <w:lang w:val="en-US"/>
        </w:rPr>
        <w:t xml:space="preserve">): ‚Fenster‘, </w:t>
      </w:r>
      <w:r w:rsidRPr="00156980">
        <w:rPr>
          <w:i/>
          <w:iCs/>
          <w:szCs w:val="17"/>
          <w:lang w:val="en-US"/>
        </w:rPr>
        <w:t>V</w:t>
      </w:r>
      <w:r w:rsidRPr="00156980">
        <w:rPr>
          <w:szCs w:val="17"/>
          <w:lang w:val="en-US"/>
        </w:rPr>
        <w:t>(</w:t>
      </w:r>
      <w:r w:rsidRPr="00156980">
        <w:rPr>
          <w:i/>
          <w:iCs/>
          <w:szCs w:val="17"/>
          <w:lang w:val="en-US"/>
        </w:rPr>
        <w:t>B</w:t>
      </w:r>
      <w:r w:rsidRPr="00156980">
        <w:rPr>
          <w:i/>
          <w:iCs/>
          <w:szCs w:val="17"/>
          <w:vertAlign w:val="subscript"/>
          <w:lang w:val="en-US"/>
        </w:rPr>
        <w:t>y</w:t>
      </w:r>
      <w:r w:rsidRPr="00156980">
        <w:rPr>
          <w:szCs w:val="17"/>
          <w:lang w:val="en-US"/>
        </w:rPr>
        <w:t xml:space="preserve">): ‚in Erkern‘, </w:t>
      </w:r>
      <w:r w:rsidRPr="00156980">
        <w:rPr>
          <w:i/>
          <w:iCs/>
          <w:szCs w:val="17"/>
          <w:lang w:val="en-US"/>
        </w:rPr>
        <w:t>w</w:t>
      </w:r>
      <w:r w:rsidRPr="00156980">
        <w:rPr>
          <w:szCs w:val="17"/>
          <w:lang w:val="en-US"/>
        </w:rPr>
        <w:t>(</w:t>
      </w:r>
      <w:r w:rsidRPr="00156980">
        <w:rPr>
          <w:i/>
          <w:iCs/>
          <w:szCs w:val="17"/>
          <w:lang w:val="en-US"/>
        </w:rPr>
        <w:t>B</w:t>
      </w:r>
      <w:r w:rsidRPr="00156980">
        <w:rPr>
          <w:i/>
          <w:iCs/>
          <w:szCs w:val="17"/>
          <w:vertAlign w:val="subscript"/>
          <w:lang w:val="en-US"/>
        </w:rPr>
        <w:t>y</w:t>
      </w:r>
      <w:r w:rsidRPr="00156980">
        <w:rPr>
          <w:szCs w:val="17"/>
          <w:lang w:val="en-US"/>
        </w:rPr>
        <w:t>): 0,75</w:t>
      </w:r>
    </w:p>
  </w:footnote>
  <w:footnote w:id="3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Dafür ist oft keine exakte Synonymie nötig. Inhaltliche Bedingungen legen fest, welcher Inhalt in einem Text ausgedrückt werden soll, in Abhängigkeit von Entscheidungen auf der Text- und der Satzebene ergeben sich daraus inhaltliche Bedingungen</w:t>
      </w:r>
      <w:r w:rsidR="005D7996">
        <w:rPr>
          <w:szCs w:val="17"/>
        </w:rPr>
        <w:fldChar w:fldCharType="begin"/>
      </w:r>
      <w:r>
        <w:instrText xml:space="preserve"> XE "</w:instrText>
      </w:r>
      <w:r w:rsidRPr="007605F5">
        <w:instrText>inhaltliche Bedingungen</w:instrText>
      </w:r>
      <w:r>
        <w:instrText xml:space="preserve">" </w:instrText>
      </w:r>
      <w:r w:rsidR="005D7996">
        <w:rPr>
          <w:szCs w:val="17"/>
        </w:rPr>
        <w:fldChar w:fldCharType="end"/>
      </w:r>
      <w:r w:rsidRPr="00156980">
        <w:rPr>
          <w:szCs w:val="17"/>
        </w:rPr>
        <w:t xml:space="preserve"> für die </w:t>
      </w:r>
      <w:r>
        <w:rPr>
          <w:szCs w:val="17"/>
        </w:rPr>
        <w:t>Alter</w:t>
      </w:r>
      <w:r>
        <w:rPr>
          <w:szCs w:val="17"/>
        </w:rPr>
        <w:softHyphen/>
        <w:t>nativen</w:t>
      </w:r>
      <w:r>
        <w:rPr>
          <w:szCs w:val="17"/>
        </w:rPr>
        <w:softHyphen/>
        <w:t>klasse</w:t>
      </w:r>
      <w:r w:rsidRPr="00156980">
        <w:rPr>
          <w:szCs w:val="17"/>
        </w:rPr>
        <w:t xml:space="preserve">n für einzelne Wörter. Innerhalb der so gebildeten </w:t>
      </w:r>
      <w:r>
        <w:rPr>
          <w:szCs w:val="17"/>
        </w:rPr>
        <w:t>Alter</w:t>
      </w:r>
      <w:r>
        <w:rPr>
          <w:szCs w:val="17"/>
        </w:rPr>
        <w:softHyphen/>
        <w:t>nativen</w:t>
      </w:r>
      <w:r>
        <w:rPr>
          <w:szCs w:val="17"/>
        </w:rPr>
        <w:softHyphen/>
        <w:t>klasse</w:t>
      </w:r>
      <w:r w:rsidRPr="00156980">
        <w:rPr>
          <w:szCs w:val="17"/>
        </w:rPr>
        <w:t>n gibt es also noch gewisse inhaltliche Unterschiede (vgl. Abschnitt</w:t>
      </w:r>
      <w:r>
        <w:t xml:space="preserve"> </w:t>
      </w:r>
      <w:r w:rsidR="005D7996">
        <w:fldChar w:fldCharType="begin"/>
      </w:r>
      <w:r>
        <w:instrText xml:space="preserve"> REF _Ref324924601 \r \h </w:instrText>
      </w:r>
      <w:r w:rsidR="005D7996">
        <w:fldChar w:fldCharType="separate"/>
      </w:r>
      <w:r w:rsidR="001231D3">
        <w:t>2.5</w:t>
      </w:r>
      <w:r w:rsidR="005D7996">
        <w:fldChar w:fldCharType="end"/>
      </w:r>
      <w:r>
        <w:t>)</w:t>
      </w:r>
      <w:r w:rsidRPr="00156980">
        <w:rPr>
          <w:szCs w:val="17"/>
        </w:rPr>
        <w:t>.</w:t>
      </w:r>
    </w:p>
  </w:footnote>
  <w:footnote w:id="3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heißt nicht unbedingt, dass genau 50 % aller Fremdwörter des Texts lateinischer Herkunft sind, da die zufällige Wahrscheinlichkeit</w:t>
      </w:r>
      <w:r w:rsidR="005D7996">
        <w:rPr>
          <w:szCs w:val="17"/>
        </w:rPr>
        <w:fldChar w:fldCharType="begin"/>
      </w:r>
      <w:r>
        <w:instrText xml:space="preserve"> XE "</w:instrText>
      </w:r>
      <w:r w:rsidRPr="000D45B1">
        <w:rPr>
          <w:szCs w:val="17"/>
        </w:rPr>
        <w:instrText>zufällige Wahrscheinlichkeit</w:instrText>
      </w:r>
      <w:r>
        <w:instrText xml:space="preserve">" </w:instrText>
      </w:r>
      <w:r w:rsidR="005D7996">
        <w:rPr>
          <w:szCs w:val="17"/>
        </w:rPr>
        <w:fldChar w:fldCharType="end"/>
      </w:r>
      <w:r w:rsidRPr="00156980">
        <w:rPr>
          <w:szCs w:val="17"/>
        </w:rPr>
        <w:t xml:space="preserve"> berücksichtigt wird (vgl. Abschnitt </w:t>
      </w:r>
      <w:fldSimple w:instr=" REF _Ref213128730 \r \h  \* MERGEFORMAT ">
        <w:r w:rsidR="001231D3" w:rsidRPr="001231D3">
          <w:rPr>
            <w:szCs w:val="17"/>
          </w:rPr>
          <w:t>5.5.2</w:t>
        </w:r>
      </w:fldSimple>
      <w:r w:rsidRPr="00156980">
        <w:rPr>
          <w:szCs w:val="17"/>
        </w:rPr>
        <w:t xml:space="preserve">). Da diese bei </w:t>
      </w:r>
      <w:r w:rsidRPr="00156980">
        <w:rPr>
          <w:i/>
          <w:iCs/>
          <w:szCs w:val="17"/>
        </w:rPr>
        <w:t>B</w:t>
      </w:r>
      <w:r w:rsidRPr="00156980">
        <w:rPr>
          <w:i/>
          <w:iCs/>
          <w:szCs w:val="17"/>
          <w:vertAlign w:val="subscript"/>
        </w:rPr>
        <w:t>j</w:t>
      </w:r>
      <w:r w:rsidRPr="00156980">
        <w:rPr>
          <w:szCs w:val="17"/>
        </w:rPr>
        <w:t xml:space="preserve"> und </w:t>
      </w:r>
      <w:r w:rsidRPr="00156980">
        <w:rPr>
          <w:i/>
          <w:iCs/>
          <w:szCs w:val="17"/>
        </w:rPr>
        <w:t>B</w:t>
      </w:r>
      <w:r w:rsidRPr="00156980">
        <w:rPr>
          <w:i/>
          <w:iCs/>
          <w:szCs w:val="17"/>
          <w:vertAlign w:val="subscript"/>
        </w:rPr>
        <w:t>x</w:t>
      </w:r>
      <w:r w:rsidRPr="00156980">
        <w:rPr>
          <w:szCs w:val="17"/>
        </w:rPr>
        <w:t xml:space="preserve"> unterschiedliche Auswirkungen haben kann, stehen die scheinbaren Anwendungen – also die Fälle, in denen die </w:t>
      </w:r>
      <w:r w:rsidRPr="00156980">
        <w:rPr>
          <w:iCs/>
          <w:szCs w:val="17"/>
        </w:rPr>
        <w:t xml:space="preserve">Anwendungsbedingungen </w:t>
      </w:r>
      <w:r w:rsidRPr="00156980">
        <w:rPr>
          <w:szCs w:val="17"/>
        </w:rPr>
        <w:t>erfüllt sind und das Element der Realisierung die verlangten Eigenschaften besitzt – nicht unb</w:t>
      </w:r>
      <w:r w:rsidRPr="00156980">
        <w:rPr>
          <w:szCs w:val="17"/>
        </w:rPr>
        <w:t>e</w:t>
      </w:r>
      <w:r w:rsidRPr="00156980">
        <w:rPr>
          <w:szCs w:val="17"/>
        </w:rPr>
        <w:t>dingt in demselben Verhältnis zueinander wie die korrigierten Werte</w:t>
      </w:r>
      <w:r w:rsidRPr="00156980">
        <w:rPr>
          <w:i/>
          <w:szCs w:val="17"/>
        </w:rPr>
        <w:t xml:space="preserve"> m</w:t>
      </w:r>
      <w:r w:rsidRPr="00156980">
        <w:rPr>
          <w:i/>
          <w:szCs w:val="17"/>
          <w:vertAlign w:val="subscript"/>
        </w:rPr>
        <w:t>j</w:t>
      </w:r>
      <w:r w:rsidRPr="00156980">
        <w:rPr>
          <w:szCs w:val="17"/>
        </w:rPr>
        <w:t xml:space="preserve"> und </w:t>
      </w:r>
      <w:r w:rsidRPr="00156980">
        <w:rPr>
          <w:i/>
          <w:szCs w:val="17"/>
        </w:rPr>
        <w:t>m</w:t>
      </w:r>
      <w:r w:rsidRPr="00156980">
        <w:rPr>
          <w:i/>
          <w:szCs w:val="17"/>
          <w:vertAlign w:val="subscript"/>
        </w:rPr>
        <w:t>x</w:t>
      </w:r>
      <w:r w:rsidRPr="00156980">
        <w:rPr>
          <w:szCs w:val="17"/>
        </w:rPr>
        <w:t xml:space="preserve">. Befanden sich beispielsweise die lateinischen Fremdwörter im Durchschnitt in größeren </w:t>
      </w:r>
      <w:r>
        <w:rPr>
          <w:szCs w:val="17"/>
        </w:rPr>
        <w:t>Alter</w:t>
      </w:r>
      <w:r>
        <w:rPr>
          <w:szCs w:val="17"/>
        </w:rPr>
        <w:softHyphen/>
        <w:t>nativen</w:t>
      </w:r>
      <w:r>
        <w:rPr>
          <w:szCs w:val="17"/>
        </w:rPr>
        <w:softHyphen/>
        <w:t>klasse</w:t>
      </w:r>
      <w:r w:rsidRPr="00156980">
        <w:rPr>
          <w:szCs w:val="17"/>
        </w:rPr>
        <w:t>n als die Fremdwörter allgemein, war bei den lateinischen Fremdwörtern e</w:t>
      </w:r>
      <w:r w:rsidRPr="00156980">
        <w:rPr>
          <w:szCs w:val="17"/>
        </w:rPr>
        <w:t>i</w:t>
      </w:r>
      <w:r w:rsidRPr="00156980">
        <w:rPr>
          <w:szCs w:val="17"/>
        </w:rPr>
        <w:t>ne geringere zufällige Wahrscheinlichkeit zu korrigieren; es sind dann weniger als 50 % der Fremdwörter des Texts lateinischer Herkunft.</w:t>
      </w:r>
    </w:p>
  </w:footnote>
  <w:footnote w:id="3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 weitere Möglichkeit bestünde darin, die Priorisierung ganz fallen zu lassen und zu versuchen, alle Merkmalsregeln möglichst weitgehend einzuschreiben; Probleme durch ungeschickte Priorisierungen könnten auf diese Art vermieden werden. Dabei müsste versucht werden, die Konfliktfälle möglichst zu reduzieren. Ein Ansatz wäre, die Mer</w:t>
      </w:r>
      <w:r w:rsidRPr="00156980">
        <w:rPr>
          <w:szCs w:val="17"/>
        </w:rPr>
        <w:t>k</w:t>
      </w:r>
      <w:r w:rsidRPr="00156980">
        <w:rPr>
          <w:szCs w:val="17"/>
        </w:rPr>
        <w:t xml:space="preserve">malsregeln mit einer provisorischen Reihenfolge anzuwenden, etwa nach der Höhe ihres </w:t>
      </w:r>
      <w:r w:rsidRPr="00156980">
        <w:rPr>
          <w:i/>
          <w:iCs/>
          <w:szCs w:val="17"/>
        </w:rPr>
        <w:t>W</w:t>
      </w:r>
      <w:r w:rsidRPr="00156980">
        <w:rPr>
          <w:szCs w:val="17"/>
        </w:rPr>
        <w:t xml:space="preserve">, wobei im Fall, dass durch die Ausgleichsmaßnahmen für diese ‚provisorische Priorisierung‘ die im Testlauf errechnete Häufigkeit nicht hergestellt werden kann (da </w:t>
      </w:r>
      <w:r w:rsidRPr="00156980">
        <w:rPr>
          <w:i/>
          <w:szCs w:val="17"/>
        </w:rPr>
        <w:t>W</w:t>
      </w:r>
      <w:r w:rsidRPr="00156980">
        <w:rPr>
          <w:szCs w:val="17"/>
        </w:rPr>
        <w:t xml:space="preserve"> = 1,0 bereits erreicht ist), eine Umstellung erfolgen würde (entweder diese Merkmalsr</w:t>
      </w:r>
      <w:r w:rsidRPr="00156980">
        <w:rPr>
          <w:szCs w:val="17"/>
        </w:rPr>
        <w:t>e</w:t>
      </w:r>
      <w:r w:rsidRPr="00156980">
        <w:rPr>
          <w:szCs w:val="17"/>
        </w:rPr>
        <w:t>gel weiter nach vorne oder die konfligierende weiter nach hinten). Dieser Vorgang wäre jedoch noch weit aufwendiger als eine Priorisierung mit Ausgleichsmaßnahmen.</w:t>
      </w:r>
    </w:p>
  </w:footnote>
  <w:footnote w:id="3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3268288 \r \h  \* MERGEFORMAT ">
        <w:r w:rsidR="001231D3" w:rsidRPr="001231D3">
          <w:rPr>
            <w:szCs w:val="17"/>
          </w:rPr>
          <w:t>5.1</w:t>
        </w:r>
      </w:fldSimple>
      <w:r w:rsidRPr="00156980">
        <w:rPr>
          <w:szCs w:val="17"/>
        </w:rPr>
        <w:t>, Unterabschnitt</w:t>
      </w:r>
      <w:r w:rsidRPr="00156980">
        <w:rPr>
          <w:i/>
          <w:szCs w:val="17"/>
        </w:rPr>
        <w:t xml:space="preserve"> Erläuterung der Abbildung</w:t>
      </w:r>
      <w:r w:rsidRPr="00156980">
        <w:rPr>
          <w:szCs w:val="17"/>
        </w:rPr>
        <w:t>.</w:t>
      </w:r>
    </w:p>
  </w:footnote>
  <w:footnote w:id="3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Abschnitte </w:t>
      </w:r>
      <w:fldSimple w:instr=" REF _Ref274036966 \r \h  \* MERGEFORMAT ">
        <w:r w:rsidR="001231D3" w:rsidRPr="001231D3">
          <w:rPr>
            <w:szCs w:val="17"/>
          </w:rPr>
          <w:t>2.12</w:t>
        </w:r>
      </w:fldSimple>
      <w:r w:rsidRPr="00156980">
        <w:rPr>
          <w:szCs w:val="17"/>
        </w:rPr>
        <w:t xml:space="preserve"> sowie </w:t>
      </w:r>
      <w:fldSimple w:instr=" REF _Ref263268288 \r \h  \* MERGEFORMAT ">
        <w:r w:rsidR="001231D3" w:rsidRPr="001231D3">
          <w:rPr>
            <w:szCs w:val="17"/>
          </w:rPr>
          <w:t>5.1</w:t>
        </w:r>
      </w:fldSimple>
      <w:r w:rsidRPr="00156980">
        <w:rPr>
          <w:szCs w:val="17"/>
        </w:rPr>
        <w:t>.</w:t>
      </w:r>
    </w:p>
  </w:footnote>
  <w:footnote w:id="4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Innerhalb der Beispiele werden die Abkürzungen „SN“ für „Stilanwender“ und „SW“ für „Stilwahrnehmer“ verwendet.</w:t>
      </w:r>
    </w:p>
  </w:footnote>
  <w:footnote w:id="401">
    <w:p w:rsidR="00CC3558" w:rsidRPr="00156980" w:rsidRDefault="00CC3558" w:rsidP="00A3795F">
      <w:pPr>
        <w:pStyle w:val="Funotentext"/>
        <w:rPr>
          <w:szCs w:val="17"/>
        </w:rPr>
      </w:pPr>
      <w:r w:rsidRPr="00156980">
        <w:rPr>
          <w:rStyle w:val="Funotenzeichen"/>
          <w:szCs w:val="17"/>
        </w:rPr>
        <w:footnoteRef/>
      </w:r>
      <w:r w:rsidRPr="00156980">
        <w:rPr>
          <w:szCs w:val="17"/>
        </w:rPr>
        <w:t xml:space="preserve"> </w:t>
      </w:r>
      <w:r w:rsidRPr="00156980">
        <w:rPr>
          <w:szCs w:val="17"/>
        </w:rPr>
        <w:tab/>
        <w:t>Vermutlich kann eine solche Beschreibung auch bei anderen Phänomenen über Merkmale erfolgen, die dort allerdings nicht in der Form von Merkmalsregeln auftreten. Dadurch gibt es auch für die Interpretation, die auf diesen Merkmalen aufbaut, einige Unterschi</w:t>
      </w:r>
      <w:r w:rsidRPr="00156980">
        <w:rPr>
          <w:szCs w:val="17"/>
        </w:rPr>
        <w:t>e</w:t>
      </w:r>
      <w:r w:rsidRPr="00156980">
        <w:rPr>
          <w:szCs w:val="17"/>
        </w:rPr>
        <w:t>de.</w:t>
      </w:r>
    </w:p>
  </w:footnote>
  <w:footnote w:id="4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Funktion wird in Abschnitt </w:t>
      </w:r>
      <w:fldSimple w:instr=" REF _Ref255767436 \r \h  \* MERGEFORMAT ">
        <w:r w:rsidR="001231D3" w:rsidRPr="001231D3">
          <w:rPr>
            <w:szCs w:val="17"/>
          </w:rPr>
          <w:t>7.2.1</w:t>
        </w:r>
      </w:fldSimple>
      <w:r w:rsidRPr="00156980">
        <w:rPr>
          <w:szCs w:val="17"/>
        </w:rPr>
        <w:t xml:space="preserve"> genauer erläutert.</w:t>
      </w:r>
    </w:p>
  </w:footnote>
  <w:footnote w:id="4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 dem damit zusammenhängenden Beschreibungsirrtum</w:t>
      </w:r>
      <w:r w:rsidR="005D7996">
        <w:rPr>
          <w:szCs w:val="17"/>
        </w:rPr>
        <w:fldChar w:fldCharType="begin"/>
      </w:r>
      <w:r>
        <w:instrText xml:space="preserve"> XE "</w:instrText>
      </w:r>
      <w:r w:rsidRPr="00E22230">
        <w:rPr>
          <w:rFonts w:cs="Times New Roman"/>
        </w:rPr>
        <w:instrText>Beschreibungsirrtum</w:instrText>
      </w:r>
      <w:r>
        <w:instrText xml:space="preserve">" </w:instrText>
      </w:r>
      <w:r w:rsidR="005D7996">
        <w:rPr>
          <w:szCs w:val="17"/>
        </w:rPr>
        <w:fldChar w:fldCharType="end"/>
      </w:r>
      <w:r w:rsidRPr="00156980">
        <w:rPr>
          <w:szCs w:val="17"/>
        </w:rPr>
        <w:t xml:space="preserve"> Abschnitt </w:t>
      </w:r>
      <w:fldSimple w:instr=" REF _Ref214861298 \r \h  \* MERGEFORMAT ">
        <w:r w:rsidR="001231D3" w:rsidRPr="001231D3">
          <w:rPr>
            <w:szCs w:val="17"/>
          </w:rPr>
          <w:t>9.4</w:t>
        </w:r>
      </w:fldSimple>
      <w:r w:rsidRPr="00156980">
        <w:rPr>
          <w:szCs w:val="17"/>
        </w:rPr>
        <w:t>.</w:t>
      </w:r>
    </w:p>
  </w:footnote>
  <w:footnote w:id="4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 Stil sind die Reaktionen eines Stilwahrnehmers, der hier unter „Gefühlsreaktion“ und „Eindrucksreaktion“ fallen, oft als „Ausdruck“ (engl. „expression“) des Stils bezeichnet worden, etwa bei Nelson Goodman</w:t>
      </w:r>
      <w:r w:rsidR="005D7996">
        <w:rPr>
          <w:szCs w:val="17"/>
        </w:rPr>
        <w:fldChar w:fldCharType="begin"/>
      </w:r>
      <w:r>
        <w:instrText xml:space="preserve"> XE "</w:instrText>
      </w:r>
      <w:r w:rsidRPr="005E1B4A">
        <w:rPr>
          <w:szCs w:val="17"/>
        </w:rPr>
        <w:instrText>Goodman, Nelson</w:instrText>
      </w:r>
      <w:r>
        <w:instrText xml:space="preserve">" </w:instrText>
      </w:r>
      <w:r w:rsidR="005D7996">
        <w:rPr>
          <w:szCs w:val="17"/>
        </w:rPr>
        <w:fldChar w:fldCharType="end"/>
      </w:r>
      <w:r w:rsidRPr="00156980">
        <w:rPr>
          <w:szCs w:val="17"/>
        </w:rPr>
        <w:t xml:space="preserve"> (Goodman 1978: 27ff).</w:t>
      </w:r>
    </w:p>
  </w:footnote>
  <w:footnote w:id="4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fldSimple w:instr=" REF _Ref258410988 \r \h  \* MERGEFORMAT ">
        <w:r w:rsidR="001231D3" w:rsidRPr="001231D3">
          <w:rPr>
            <w:szCs w:val="17"/>
          </w:rPr>
          <w:t>7.2.4</w:t>
        </w:r>
      </w:fldSimple>
      <w:r w:rsidRPr="00156980">
        <w:rPr>
          <w:szCs w:val="17"/>
        </w:rPr>
        <w:t xml:space="preserve">, </w:t>
      </w:r>
      <w:r w:rsidRPr="00156980">
        <w:rPr>
          <w:i/>
          <w:szCs w:val="17"/>
        </w:rPr>
        <w:t>Anmerkung zur Nummerierung der Ergebnisse</w:t>
      </w:r>
      <w:r w:rsidRPr="00156980">
        <w:rPr>
          <w:szCs w:val="17"/>
        </w:rPr>
        <w:t>. Ergebnisse werden nicht immer sofort geschrieben, da wir den Interpreten wählen lassen, ob er einen Interpretation</w:t>
      </w:r>
      <w:r w:rsidRPr="00156980">
        <w:rPr>
          <w:szCs w:val="17"/>
        </w:rPr>
        <w:t>s</w:t>
      </w:r>
      <w:r w:rsidRPr="00156980">
        <w:rPr>
          <w:szCs w:val="17"/>
        </w:rPr>
        <w:t xml:space="preserve">schritt schreibt oder nicht (siehe Abschnitt </w:t>
      </w:r>
      <w:fldSimple w:instr=" REF _Ref254694742 \r \h  \* MERGEFORMAT ">
        <w:r w:rsidR="001231D3" w:rsidRPr="001231D3">
          <w:rPr>
            <w:szCs w:val="17"/>
          </w:rPr>
          <w:t>7.2.3</w:t>
        </w:r>
      </w:fldSimple>
      <w:r w:rsidRPr="00156980">
        <w:rPr>
          <w:szCs w:val="17"/>
        </w:rPr>
        <w:t xml:space="preserve">, Funktion </w:t>
      </w:r>
      <w:r w:rsidRPr="00156980">
        <w:rPr>
          <w:i/>
          <w:szCs w:val="17"/>
        </w:rPr>
        <w:t>Ergebnisse</w:t>
      </w:r>
      <w:r w:rsidRPr="00156980">
        <w:rPr>
          <w:szCs w:val="17"/>
        </w:rPr>
        <w:t>, Zeile 10). Das macht es möglich, auch Beispiele, die auf früher erzeugte Ergebnisse zurückgreifen, als vollständige Schreibausgabe darzustellen. (Würde man sie als Ausschnitt einer Ausgabe darstellen, könnte man für die Nummerierung nur mit Variablen arbeiten, da man nicht weiß, wieviele Ergebnisse zuvor erzeugt und mit welchem Index die hinzugezogenen fr</w:t>
      </w:r>
      <w:r w:rsidRPr="00156980">
        <w:rPr>
          <w:szCs w:val="17"/>
        </w:rPr>
        <w:t>ü</w:t>
      </w:r>
      <w:r w:rsidRPr="00156980">
        <w:rPr>
          <w:szCs w:val="17"/>
        </w:rPr>
        <w:t>heren Ergebnisse geschrieben wurden.)</w:t>
      </w:r>
    </w:p>
  </w:footnote>
  <w:footnote w:id="4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Dasselbe gilt für die Alternativenbedingungen, die denselben Aufbau haben wie die A</w:t>
      </w:r>
      <w:r w:rsidRPr="00156980">
        <w:rPr>
          <w:szCs w:val="17"/>
        </w:rPr>
        <w:t>n</w:t>
      </w:r>
      <w:r w:rsidRPr="00156980">
        <w:rPr>
          <w:szCs w:val="17"/>
        </w:rPr>
        <w:t xml:space="preserve">wendungsbedingungen; vgl. Abschnitt </w:t>
      </w:r>
      <w:fldSimple w:instr=" REF _Ref212029118 \r \h  \* MERGEFORMAT ">
        <w:r w:rsidR="001231D3" w:rsidRPr="001231D3">
          <w:rPr>
            <w:szCs w:val="17"/>
          </w:rPr>
          <w:t>4.4</w:t>
        </w:r>
      </w:fldSimple>
      <w:r w:rsidRPr="00156980">
        <w:rPr>
          <w:szCs w:val="17"/>
        </w:rPr>
        <w:t>.</w:t>
      </w:r>
    </w:p>
  </w:footnote>
  <w:footnote w:id="4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Eigenschaften werden im Modell an zwei Stellen eingeführt: In den Schemaort- und Zusatzbedingungen der Schemata (vgl. Abschnitt </w:t>
      </w:r>
      <w:fldSimple w:instr=" REF _Ref212125573 \r \h  \* MERGEFORMAT ">
        <w:r w:rsidR="001231D3" w:rsidRPr="001231D3">
          <w:rPr>
            <w:szCs w:val="17"/>
          </w:rPr>
          <w:t>4.2.6</w:t>
        </w:r>
      </w:fldSimple>
      <w:r w:rsidRPr="00156980">
        <w:rPr>
          <w:szCs w:val="17"/>
        </w:rPr>
        <w:t xml:space="preserve">), die in der Funktion </w:t>
      </w:r>
      <w:r w:rsidRPr="00156980">
        <w:rPr>
          <w:i/>
          <w:szCs w:val="17"/>
        </w:rPr>
        <w:t>Schemaau</w:t>
      </w:r>
      <w:r w:rsidRPr="00156980">
        <w:rPr>
          <w:i/>
          <w:szCs w:val="17"/>
        </w:rPr>
        <w:t>s</w:t>
      </w:r>
      <w:r w:rsidRPr="00156980">
        <w:rPr>
          <w:i/>
          <w:szCs w:val="17"/>
        </w:rPr>
        <w:t>führung</w:t>
      </w:r>
      <w:r w:rsidRPr="00156980">
        <w:rPr>
          <w:szCs w:val="17"/>
        </w:rPr>
        <w:t xml:space="preserve"> durch die Funktion </w:t>
      </w:r>
      <w:r w:rsidRPr="00156980">
        <w:rPr>
          <w:i/>
          <w:szCs w:val="17"/>
        </w:rPr>
        <w:t>Schemata_zusammenstellen</w:t>
      </w:r>
      <w:r w:rsidRPr="00156980">
        <w:rPr>
          <w:szCs w:val="17"/>
        </w:rPr>
        <w:t xml:space="preserve"> geliefert werden (vgl. Abschnitt </w:t>
      </w:r>
      <w:fldSimple w:instr=" REF _Ref212110965 \r \h  \* MERGEFORMAT ">
        <w:r w:rsidR="001231D3" w:rsidRPr="001231D3">
          <w:rPr>
            <w:szCs w:val="17"/>
          </w:rPr>
          <w:t>5.2.2</w:t>
        </w:r>
      </w:fldSimple>
      <w:r w:rsidRPr="00156980">
        <w:rPr>
          <w:szCs w:val="17"/>
        </w:rPr>
        <w:t xml:space="preserve">), sowie in den Variablen </w:t>
      </w:r>
      <w:r w:rsidRPr="00156980">
        <w:rPr>
          <w:i/>
          <w:szCs w:val="17"/>
        </w:rPr>
        <w:t>U</w:t>
      </w:r>
      <w:r w:rsidRPr="00156980">
        <w:rPr>
          <w:szCs w:val="17"/>
        </w:rPr>
        <w:t xml:space="preserve"> und </w:t>
      </w:r>
      <w:r w:rsidRPr="00156980">
        <w:rPr>
          <w:i/>
          <w:szCs w:val="17"/>
        </w:rPr>
        <w:t>V</w:t>
      </w:r>
      <w:r w:rsidRPr="00156980">
        <w:rPr>
          <w:szCs w:val="17"/>
        </w:rPr>
        <w:t xml:space="preserve"> der Merkmalsregeln (vgl. Abschnitt </w:t>
      </w:r>
      <w:fldSimple w:instr=" REF _Ref211937722 \r \h  \* MERGEFORMAT ">
        <w:r w:rsidR="001231D3" w:rsidRPr="001231D3">
          <w:rPr>
            <w:szCs w:val="17"/>
          </w:rPr>
          <w:t>5.3.1</w:t>
        </w:r>
      </w:fldSimple>
      <w:r w:rsidRPr="00156980">
        <w:rPr>
          <w:szCs w:val="17"/>
        </w:rPr>
        <w:t xml:space="preserve">), die in der Funktion </w:t>
      </w:r>
      <w:r w:rsidRPr="00156980">
        <w:rPr>
          <w:i/>
          <w:szCs w:val="17"/>
        </w:rPr>
        <w:t>Stil_bereitstellen</w:t>
      </w:r>
      <w:r w:rsidRPr="00156980">
        <w:rPr>
          <w:szCs w:val="17"/>
        </w:rPr>
        <w:t xml:space="preserve"> durch die Funktionen </w:t>
      </w:r>
      <w:r w:rsidRPr="00156980">
        <w:rPr>
          <w:i/>
          <w:szCs w:val="17"/>
        </w:rPr>
        <w:t>vorhandener_Stil</w:t>
      </w:r>
      <w:r w:rsidRPr="00156980">
        <w:rPr>
          <w:szCs w:val="17"/>
        </w:rPr>
        <w:t xml:space="preserve"> und </w:t>
      </w:r>
      <w:r w:rsidRPr="00156980">
        <w:rPr>
          <w:i/>
          <w:szCs w:val="17"/>
        </w:rPr>
        <w:t>Merkmalsr</w:t>
      </w:r>
      <w:r w:rsidRPr="00156980">
        <w:rPr>
          <w:i/>
          <w:szCs w:val="17"/>
        </w:rPr>
        <w:t>e</w:t>
      </w:r>
      <w:r w:rsidRPr="00156980">
        <w:rPr>
          <w:i/>
          <w:szCs w:val="17"/>
        </w:rPr>
        <w:t>geln_erzeugen</w:t>
      </w:r>
      <w:r w:rsidRPr="00156980">
        <w:rPr>
          <w:szCs w:val="17"/>
        </w:rPr>
        <w:t xml:space="preserve"> geliefert werden (vgl. Abschnitt </w:t>
      </w:r>
      <w:fldSimple w:instr=" REF _Ref261443581 \r \h  \* MERGEFORMAT ">
        <w:r w:rsidR="001231D3" w:rsidRPr="001231D3">
          <w:rPr>
            <w:szCs w:val="17"/>
          </w:rPr>
          <w:t>7.3.1</w:t>
        </w:r>
      </w:fldSimple>
      <w:r w:rsidRPr="00156980">
        <w:rPr>
          <w:szCs w:val="17"/>
        </w:rPr>
        <w:t>). Es ist Aufgabe dieser drei Funkti</w:t>
      </w:r>
      <w:r w:rsidRPr="00156980">
        <w:rPr>
          <w:szCs w:val="17"/>
        </w:rPr>
        <w:t>o</w:t>
      </w:r>
      <w:r w:rsidRPr="00156980">
        <w:rPr>
          <w:szCs w:val="17"/>
        </w:rPr>
        <w:t xml:space="preserve">nen, dass die </w:t>
      </w:r>
      <w:r>
        <w:rPr>
          <w:szCs w:val="17"/>
        </w:rPr>
        <w:t>Spezifikation</w:t>
      </w:r>
      <w:r w:rsidRPr="00156980">
        <w:rPr>
          <w:szCs w:val="17"/>
        </w:rPr>
        <w:t xml:space="preserve"> in formal korrekter Weise erfolgt.</w:t>
      </w:r>
    </w:p>
  </w:footnote>
  <w:footnote w:id="4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Sinn einer allgemeinen Gliederung der Gegenstandskategorien in einem Gegenstand</w:t>
      </w:r>
      <w:r w:rsidRPr="00156980">
        <w:rPr>
          <w:szCs w:val="17"/>
        </w:rPr>
        <w:t>s</w:t>
      </w:r>
      <w:r w:rsidRPr="00156980">
        <w:rPr>
          <w:szCs w:val="17"/>
        </w:rPr>
        <w:t>bereich</w:t>
      </w:r>
      <w:r w:rsidR="005D7996">
        <w:rPr>
          <w:szCs w:val="17"/>
        </w:rPr>
        <w:fldChar w:fldCharType="begin"/>
      </w:r>
      <w:r>
        <w:instrText xml:space="preserve"> XE "</w:instrText>
      </w:r>
      <w:r w:rsidRPr="00144851">
        <w:instrText>Gegenstandsbereich</w:instrText>
      </w:r>
      <w:r>
        <w:instrText xml:space="preserve">" </w:instrText>
      </w:r>
      <w:r w:rsidR="005D7996">
        <w:rPr>
          <w:szCs w:val="17"/>
        </w:rPr>
        <w:fldChar w:fldCharType="end"/>
      </w:r>
      <w:r w:rsidRPr="00156980">
        <w:rPr>
          <w:szCs w:val="17"/>
        </w:rPr>
        <w:t xml:space="preserve"> durch die Angabe der sie definierenden Eigenschaften (vgl. beispielsweise Quine 1953 und 1969).</w:t>
      </w:r>
    </w:p>
  </w:footnote>
  <w:footnote w:id="4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 könnte mit Hilfe der strukturellen Semantik</w:t>
      </w:r>
      <w:r w:rsidR="005D7996">
        <w:rPr>
          <w:szCs w:val="17"/>
        </w:rPr>
        <w:fldChar w:fldCharType="begin"/>
      </w:r>
      <w:r>
        <w:instrText xml:space="preserve"> XE "</w:instrText>
      </w:r>
      <w:r w:rsidRPr="001A70AD">
        <w:rPr>
          <w:rFonts w:eastAsia="Times New Roman" w:cs="Times New Roman"/>
        </w:rPr>
        <w:instrText>Semantik</w:instrText>
      </w:r>
      <w:r>
        <w:instrText xml:space="preserve">" </w:instrText>
      </w:r>
      <w:r w:rsidR="005D7996">
        <w:rPr>
          <w:szCs w:val="17"/>
        </w:rPr>
        <w:fldChar w:fldCharType="end"/>
      </w:r>
      <w:r w:rsidRPr="00156980">
        <w:rPr>
          <w:szCs w:val="17"/>
        </w:rPr>
        <w:t>, der strukturalistischen Ausarbeitung der Merkmalssemantik</w:t>
      </w:r>
      <w:r w:rsidR="005D7996">
        <w:rPr>
          <w:szCs w:val="17"/>
        </w:rPr>
        <w:fldChar w:fldCharType="begin"/>
      </w:r>
      <w:r>
        <w:instrText xml:space="preserve"> XE "</w:instrText>
      </w:r>
      <w:r w:rsidRPr="005540C4">
        <w:instrText>Merkmalssemantik</w:instrText>
      </w:r>
      <w:r>
        <w:instrText xml:space="preserve">" </w:instrText>
      </w:r>
      <w:r w:rsidR="005D7996">
        <w:rPr>
          <w:szCs w:val="17"/>
        </w:rPr>
        <w:fldChar w:fldCharType="end"/>
      </w:r>
      <w:r w:rsidRPr="00156980">
        <w:rPr>
          <w:szCs w:val="17"/>
        </w:rPr>
        <w:t>, erfolgen; vgl. Geckeler 1978, Coseriu</w:t>
      </w:r>
      <w:r w:rsidR="005D7996">
        <w:rPr>
          <w:szCs w:val="17"/>
        </w:rPr>
        <w:fldChar w:fldCharType="begin"/>
      </w:r>
      <w:r>
        <w:instrText xml:space="preserve"> XE "</w:instrText>
      </w:r>
      <w:r w:rsidRPr="001E42DE">
        <w:rPr>
          <w:szCs w:val="17"/>
        </w:rPr>
        <w:instrText>Coseriu, Eugenio</w:instrText>
      </w:r>
      <w:r>
        <w:instrText xml:space="preserve">" </w:instrText>
      </w:r>
      <w:r w:rsidR="005D7996">
        <w:rPr>
          <w:szCs w:val="17"/>
        </w:rPr>
        <w:fldChar w:fldCharType="end"/>
      </w:r>
      <w:r w:rsidRPr="00156980">
        <w:rPr>
          <w:szCs w:val="17"/>
        </w:rPr>
        <w:t xml:space="preserve"> 1973 und Coseriu</w:t>
      </w:r>
      <w:r w:rsidR="005D7996">
        <w:rPr>
          <w:szCs w:val="17"/>
        </w:rPr>
        <w:fldChar w:fldCharType="begin"/>
      </w:r>
      <w:r>
        <w:instrText xml:space="preserve"> XE "</w:instrText>
      </w:r>
      <w:r w:rsidRPr="001E42DE">
        <w:rPr>
          <w:szCs w:val="17"/>
        </w:rPr>
        <w:instrText>Coseriu, Eugenio</w:instrText>
      </w:r>
      <w:r>
        <w:instrText xml:space="preserve">" </w:instrText>
      </w:r>
      <w:r w:rsidR="005D7996">
        <w:rPr>
          <w:szCs w:val="17"/>
        </w:rPr>
        <w:fldChar w:fldCharType="end"/>
      </w:r>
      <w:r w:rsidRPr="00156980">
        <w:rPr>
          <w:szCs w:val="17"/>
        </w:rPr>
        <w:t xml:space="preserve"> u.a. 1981.</w:t>
      </w:r>
    </w:p>
  </w:footnote>
  <w:footnote w:id="4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Dabei verwenden wir oft auch den Plural, etwa ‚Wände‘ statt ‚Wand‘. Da die intensionale Definition von ‚Wand‘ extensional die Klasse aller Wände abgrenzt, ist das akzeptabel, und beim Lesen der Beispiele macht es intuitiv verständlich, dass es um alle entsprechend charakterisierten Stellen der Realisierung geht.</w:t>
      </w:r>
    </w:p>
  </w:footnote>
  <w:footnote w:id="4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wäre die einfachste die intensional definierenden Eigenschaften selbst angebende Fassung; andere Fassungen könnten, wie gesagt, auf den Spezialbegriff ‚Anrichte‘ ve</w:t>
      </w:r>
      <w:r w:rsidRPr="00156980">
        <w:rPr>
          <w:szCs w:val="17"/>
        </w:rPr>
        <w:t>r</w:t>
      </w:r>
      <w:r w:rsidRPr="00156980">
        <w:rPr>
          <w:szCs w:val="17"/>
        </w:rPr>
        <w:t xml:space="preserve">zichten und stattdessen </w:t>
      </w:r>
      <w:r>
        <w:rPr>
          <w:szCs w:val="17"/>
        </w:rPr>
        <w:t xml:space="preserve">etwa </w:t>
      </w:r>
      <w:r w:rsidRPr="00156980">
        <w:rPr>
          <w:szCs w:val="17"/>
        </w:rPr>
        <w:t>eine Definition durch semantische Merkmale oder eine Charakterisierung durch zur Abgrenzung ausreichende Eigenschaften der Kategorie ‚A</w:t>
      </w:r>
      <w:r w:rsidRPr="00156980">
        <w:rPr>
          <w:szCs w:val="17"/>
        </w:rPr>
        <w:t>n</w:t>
      </w:r>
      <w:r w:rsidRPr="00156980">
        <w:rPr>
          <w:szCs w:val="17"/>
        </w:rPr>
        <w:t xml:space="preserve">richte‘ </w:t>
      </w:r>
      <w:r>
        <w:rPr>
          <w:szCs w:val="17"/>
        </w:rPr>
        <w:t>an</w:t>
      </w:r>
      <w:r w:rsidRPr="00156980">
        <w:rPr>
          <w:szCs w:val="17"/>
        </w:rPr>
        <w:t>geben.</w:t>
      </w:r>
    </w:p>
  </w:footnote>
  <w:footnote w:id="4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Im Interpretationsprozess wird dies durch die Funktion </w:t>
      </w:r>
      <w:r w:rsidRPr="00156980">
        <w:rPr>
          <w:i/>
          <w:szCs w:val="17"/>
        </w:rPr>
        <w:t>Interesse</w:t>
      </w:r>
      <w:r w:rsidRPr="00156980">
        <w:rPr>
          <w:szCs w:val="17"/>
        </w:rPr>
        <w:t xml:space="preserve"> simuliert; vgl. Abschnitt </w:t>
      </w:r>
      <w:fldSimple w:instr=" REF _Ref255767436 \r \h  \* MERGEFORMAT ">
        <w:r w:rsidR="001231D3" w:rsidRPr="001231D3">
          <w:rPr>
            <w:szCs w:val="17"/>
          </w:rPr>
          <w:t>7.2.1</w:t>
        </w:r>
      </w:fldSimple>
      <w:r w:rsidRPr="00156980">
        <w:rPr>
          <w:szCs w:val="17"/>
        </w:rPr>
        <w:t>.</w:t>
      </w:r>
    </w:p>
  </w:footnote>
  <w:footnote w:id="4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825153 \r \h  \* MERGEFORMAT ">
        <w:r w:rsidR="001231D3" w:rsidRPr="001231D3">
          <w:rPr>
            <w:szCs w:val="17"/>
          </w:rPr>
          <w:t>9.3</w:t>
        </w:r>
      </w:fldSimple>
      <w:r w:rsidRPr="00156980">
        <w:rPr>
          <w:szCs w:val="17"/>
        </w:rPr>
        <w:t>, (2).</w:t>
      </w:r>
    </w:p>
  </w:footnote>
  <w:footnote w:id="4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fldSimple w:instr=" REF _Ref253668018 \r \h  \* MERGEFORMAT ">
        <w:r w:rsidR="001231D3" w:rsidRPr="001231D3">
          <w:rPr>
            <w:szCs w:val="17"/>
          </w:rPr>
          <w:t>6.2.2</w:t>
        </w:r>
      </w:fldSimple>
      <w:r w:rsidRPr="00156980">
        <w:rPr>
          <w:szCs w:val="17"/>
        </w:rPr>
        <w:t>, (3).</w:t>
      </w:r>
    </w:p>
  </w:footnote>
  <w:footnote w:id="4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Hier wird aufgrund nur einer Einzeltatsache mit einer Induktion eine Regel postuliert; dies ist möglich, da die Induktion keine Mindestanzahl von Einzeltatsachen verlangt, es ist allerdings nur sinnvoll, wenn die Einzeltatsache ausreichend signifikant erscheint. Z</w:t>
      </w:r>
      <w:r w:rsidRPr="00156980">
        <w:rPr>
          <w:szCs w:val="17"/>
        </w:rPr>
        <w:t>u</w:t>
      </w:r>
      <w:r w:rsidRPr="00156980">
        <w:rPr>
          <w:szCs w:val="17"/>
        </w:rPr>
        <w:t>dem sollte das Ergebnis einer solchen Induktion als weniger sicher gekennzeichnet we</w:t>
      </w:r>
      <w:r w:rsidRPr="00156980">
        <w:rPr>
          <w:szCs w:val="17"/>
        </w:rPr>
        <w:t>r</w:t>
      </w:r>
      <w:r w:rsidRPr="00156980">
        <w:rPr>
          <w:szCs w:val="17"/>
        </w:rPr>
        <w:t>den, als es bei einer größeren Anzahl zueinander passender Einzeltatsachen der Fall wäre. Hier wird die relativ geringe Sicherheit durch „möglicherweise“ repräsentiert.</w:t>
      </w:r>
    </w:p>
  </w:footnote>
  <w:footnote w:id="4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Einmal erzeugte Ergebnisse können innerhalb des Interpretationsprozesses, wie er in </w:t>
      </w:r>
      <w:fldSimple w:instr=" REF _Ref254354608 \r \h  \* MERGEFORMAT ">
        <w:r w:rsidR="001231D3" w:rsidRPr="001231D3">
          <w:rPr>
            <w:szCs w:val="17"/>
          </w:rPr>
          <w:t>7.2</w:t>
        </w:r>
      </w:fldSimple>
      <w:r w:rsidRPr="00156980">
        <w:rPr>
          <w:szCs w:val="17"/>
        </w:rPr>
        <w:t xml:space="preserve"> dargestellt wird, nicht aus der Menge der erzeugten Ergebnisse herausgeworfen werden. Das Verwerfen eines Ergebnisses kann nur realisiert werden, indem ein neues Ergebnis gebildet wird, das </w:t>
      </w:r>
      <w:r w:rsidRPr="00156980">
        <w:rPr>
          <w:i/>
          <w:iCs/>
          <w:szCs w:val="17"/>
        </w:rPr>
        <w:t>Er</w:t>
      </w:r>
      <w:r w:rsidRPr="00156980">
        <w:rPr>
          <w:iCs/>
          <w:szCs w:val="17"/>
          <w:vertAlign w:val="subscript"/>
        </w:rPr>
        <w:t>1</w:t>
      </w:r>
      <w:r w:rsidRPr="00156980">
        <w:rPr>
          <w:szCs w:val="17"/>
        </w:rPr>
        <w:t xml:space="preserve"> oder </w:t>
      </w:r>
      <w:r w:rsidRPr="00156980">
        <w:rPr>
          <w:i/>
          <w:iCs/>
          <w:szCs w:val="17"/>
        </w:rPr>
        <w:t>Er</w:t>
      </w:r>
      <w:r w:rsidRPr="00156980">
        <w:rPr>
          <w:iCs/>
          <w:szCs w:val="17"/>
          <w:vertAlign w:val="subscript"/>
        </w:rPr>
        <w:t>2</w:t>
      </w:r>
      <w:r w:rsidRPr="00156980">
        <w:rPr>
          <w:szCs w:val="17"/>
        </w:rPr>
        <w:t xml:space="preserve"> für widerlegt erklärt. Die schließlich zurückgegebene I</w:t>
      </w:r>
      <w:r w:rsidRPr="00156980">
        <w:rPr>
          <w:szCs w:val="17"/>
        </w:rPr>
        <w:t>n</w:t>
      </w:r>
      <w:r w:rsidRPr="00156980">
        <w:rPr>
          <w:szCs w:val="17"/>
        </w:rPr>
        <w:t xml:space="preserve">terpretation </w:t>
      </w:r>
      <w:r w:rsidRPr="00156980">
        <w:rPr>
          <w:i/>
          <w:szCs w:val="17"/>
        </w:rPr>
        <w:t>I</w:t>
      </w:r>
      <w:r w:rsidRPr="00156980">
        <w:rPr>
          <w:szCs w:val="17"/>
        </w:rPr>
        <w:t xml:space="preserve"> wird daher häufig Widersprüche enthalten.</w:t>
      </w:r>
    </w:p>
    <w:p w:rsidR="00CC3558" w:rsidRPr="00156980" w:rsidRDefault="00CC3558" w:rsidP="00F461D9">
      <w:pPr>
        <w:pStyle w:val="Funotentext"/>
        <w:rPr>
          <w:szCs w:val="17"/>
        </w:rPr>
      </w:pPr>
      <w:r w:rsidRPr="00156980">
        <w:rPr>
          <w:szCs w:val="17"/>
        </w:rPr>
        <w:tab/>
        <w:t xml:space="preserve">Dies ist unproblematisch, wenn </w:t>
      </w:r>
      <w:r w:rsidRPr="00156980">
        <w:rPr>
          <w:i/>
          <w:szCs w:val="17"/>
        </w:rPr>
        <w:t>I</w:t>
      </w:r>
      <w:r w:rsidRPr="00156980">
        <w:rPr>
          <w:szCs w:val="17"/>
        </w:rPr>
        <w:t xml:space="preserve"> nicht als Menge der nach dem Interpretationsende bestehenden Überzeugungen des SW, sondern als </w:t>
      </w:r>
      <w:r w:rsidRPr="00156980">
        <w:rPr>
          <w:i/>
          <w:szCs w:val="17"/>
        </w:rPr>
        <w:t>Menge der im Lauf der Interpretation erzeugten Ergebnisse</w:t>
      </w:r>
      <w:r w:rsidRPr="00156980">
        <w:rPr>
          <w:szCs w:val="17"/>
        </w:rPr>
        <w:t xml:space="preserve"> aufgefasst wird. Auch ein vom SW längst zurückgewiesenes Ergebnis kann wieder plausibel erscheinen, wenn ein neues Ergebnis (oder nach dem Ende der I</w:t>
      </w:r>
      <w:r w:rsidRPr="00156980">
        <w:rPr>
          <w:szCs w:val="17"/>
        </w:rPr>
        <w:t>n</w:t>
      </w:r>
      <w:r w:rsidRPr="00156980">
        <w:rPr>
          <w:szCs w:val="17"/>
        </w:rPr>
        <w:t>terpretation eine außerstilistische Information) es überraschend stützt oder die zu seiner Zurückweisung führenden Ergebnisse widerlegt. Die gewählte Darstellung spiegelt die kognitive Realität des menschlichen Denkens wieder, in der das Ergebnis eines Denkpr</w:t>
      </w:r>
      <w:r w:rsidRPr="00156980">
        <w:rPr>
          <w:szCs w:val="17"/>
        </w:rPr>
        <w:t>o</w:t>
      </w:r>
      <w:r w:rsidRPr="00156980">
        <w:rPr>
          <w:szCs w:val="17"/>
        </w:rPr>
        <w:t>zesses zwar für ungültig erklärt, aber nicht ‚ungedacht‘ oder bewusst vergessen werden kann.</w:t>
      </w:r>
    </w:p>
  </w:footnote>
  <w:footnote w:id="4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zum Verhältnis von Dialekten</w:t>
      </w:r>
      <w:r w:rsidR="005D7996">
        <w:rPr>
          <w:szCs w:val="17"/>
        </w:rPr>
        <w:fldChar w:fldCharType="begin"/>
      </w:r>
      <w:r>
        <w:instrText xml:space="preserve"> XE "</w:instrText>
      </w:r>
      <w:r w:rsidRPr="00E673DF">
        <w:rPr>
          <w:szCs w:val="17"/>
        </w:rPr>
        <w:instrText>Dialekt</w:instrText>
      </w:r>
      <w:r>
        <w:instrText xml:space="preserve">" </w:instrText>
      </w:r>
      <w:r w:rsidR="005D7996">
        <w:rPr>
          <w:szCs w:val="17"/>
        </w:rPr>
        <w:fldChar w:fldCharType="end"/>
      </w:r>
      <w:r w:rsidRPr="00156980">
        <w:rPr>
          <w:szCs w:val="17"/>
        </w:rPr>
        <w:t xml:space="preserve"> zu Sprachstil Abschnitt </w:t>
      </w:r>
      <w:fldSimple w:instr=" REF _Ref260076032 \r \h  \* MERGEFORMAT ">
        <w:r w:rsidR="001231D3" w:rsidRPr="001231D3">
          <w:rPr>
            <w:szCs w:val="17"/>
          </w:rPr>
          <w:t>8.3.4</w:t>
        </w:r>
      </w:fldSimple>
      <w:r w:rsidRPr="00156980">
        <w:rPr>
          <w:szCs w:val="17"/>
        </w:rPr>
        <w:t>.</w:t>
      </w:r>
    </w:p>
  </w:footnote>
  <w:footnote w:id="4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Operationen sind entsprechend definiert, um die Redundanz der Erzeugungsproze</w:t>
      </w:r>
      <w:r w:rsidRPr="00156980">
        <w:rPr>
          <w:szCs w:val="17"/>
        </w:rPr>
        <w:t>s</w:t>
      </w:r>
      <w:r w:rsidRPr="00156980">
        <w:rPr>
          <w:szCs w:val="17"/>
        </w:rPr>
        <w:t xml:space="preserve">se zu verringern; vgl. Abschnitt </w:t>
      </w:r>
      <w:fldSimple w:instr=" REF _Ref255767436 \n \h  \* MERGEFORMAT ">
        <w:r w:rsidR="001231D3" w:rsidRPr="001231D3">
          <w:rPr>
            <w:szCs w:val="17"/>
          </w:rPr>
          <w:t>7.2.1</w:t>
        </w:r>
      </w:fldSimple>
      <w:r w:rsidRPr="00156980">
        <w:rPr>
          <w:szCs w:val="17"/>
        </w:rPr>
        <w:t>, Unterabschnitt</w:t>
      </w:r>
      <w:r w:rsidRPr="00156980">
        <w:rPr>
          <w:i/>
          <w:szCs w:val="17"/>
        </w:rPr>
        <w:t xml:space="preserve"> Die Funktionsmenge Op der Oper</w:t>
      </w:r>
      <w:r w:rsidRPr="00156980">
        <w:rPr>
          <w:i/>
          <w:szCs w:val="17"/>
        </w:rPr>
        <w:t>a</w:t>
      </w:r>
      <w:r w:rsidRPr="00156980">
        <w:rPr>
          <w:i/>
          <w:szCs w:val="17"/>
        </w:rPr>
        <w:t>tionen</w:t>
      </w:r>
      <w:r w:rsidRPr="00156980">
        <w:rPr>
          <w:szCs w:val="17"/>
        </w:rPr>
        <w:t>.</w:t>
      </w:r>
    </w:p>
  </w:footnote>
  <w:footnote w:id="4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916 \n \h  \* MERGEFORMAT ">
        <w:r w:rsidR="001231D3" w:rsidRPr="001231D3">
          <w:rPr>
            <w:szCs w:val="17"/>
          </w:rPr>
          <w:t>4.3.2</w:t>
        </w:r>
      </w:fldSimple>
      <w:r w:rsidRPr="00156980">
        <w:rPr>
          <w:szCs w:val="17"/>
        </w:rPr>
        <w:t>, (4), (a).</w:t>
      </w:r>
    </w:p>
  </w:footnote>
  <w:footnote w:id="4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916 \n \h  \* MERGEFORMAT ">
        <w:r w:rsidR="001231D3" w:rsidRPr="001231D3">
          <w:rPr>
            <w:szCs w:val="17"/>
          </w:rPr>
          <w:t>4.3.2</w:t>
        </w:r>
      </w:fldSimple>
      <w:r w:rsidRPr="00156980">
        <w:rPr>
          <w:szCs w:val="17"/>
        </w:rPr>
        <w:t>, (4), (b).</w:t>
      </w:r>
    </w:p>
  </w:footnote>
  <w:footnote w:id="4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916 \n \h  \* MERGEFORMAT ">
        <w:r w:rsidR="001231D3" w:rsidRPr="001231D3">
          <w:rPr>
            <w:szCs w:val="17"/>
          </w:rPr>
          <w:t>4.3.2</w:t>
        </w:r>
      </w:fldSimple>
      <w:r w:rsidRPr="00156980">
        <w:rPr>
          <w:szCs w:val="17"/>
        </w:rPr>
        <w:t>, (4), (c).</w:t>
      </w:r>
    </w:p>
  </w:footnote>
  <w:footnote w:id="4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5767436 \r \h  \* MERGEFORMAT ">
        <w:r w:rsidR="001231D3" w:rsidRPr="001231D3">
          <w:rPr>
            <w:szCs w:val="17"/>
          </w:rPr>
          <w:t>7.2.1</w:t>
        </w:r>
      </w:fldSimple>
      <w:r w:rsidRPr="00156980">
        <w:rPr>
          <w:szCs w:val="17"/>
        </w:rPr>
        <w:t xml:space="preserve">, Funktion </w:t>
      </w:r>
      <w:r w:rsidRPr="00156980">
        <w:rPr>
          <w:i/>
          <w:szCs w:val="17"/>
        </w:rPr>
        <w:t>Interpretation</w:t>
      </w:r>
      <w:r w:rsidRPr="00156980">
        <w:rPr>
          <w:szCs w:val="17"/>
        </w:rPr>
        <w:t>, Zeile 7.</w:t>
      </w:r>
    </w:p>
  </w:footnote>
  <w:footnote w:id="42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829 \r \h  \* MERGEFORMAT ">
        <w:r w:rsidR="001231D3" w:rsidRPr="001231D3">
          <w:rPr>
            <w:szCs w:val="17"/>
          </w:rPr>
          <w:t>4.3.1</w:t>
        </w:r>
      </w:fldSimple>
      <w:r w:rsidRPr="00156980">
        <w:rPr>
          <w:szCs w:val="17"/>
        </w:rPr>
        <w:t>, (1).</w:t>
      </w:r>
    </w:p>
  </w:footnote>
  <w:footnote w:id="4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Artefaktschema ‚</w:t>
      </w:r>
      <w:r>
        <w:rPr>
          <w:szCs w:val="17"/>
        </w:rPr>
        <w:t>darstellendes Bild</w:t>
      </w:r>
      <w:r w:rsidR="005D7996">
        <w:rPr>
          <w:szCs w:val="17"/>
        </w:rPr>
        <w:fldChar w:fldCharType="begin"/>
      </w:r>
      <w:r>
        <w:instrText xml:space="preserve"> XE "</w:instrText>
      </w:r>
      <w:r w:rsidRPr="00EF0C2F">
        <w:instrText>Bilder:darstellende</w:instrText>
      </w:r>
      <w:r>
        <w:instrText xml:space="preserve">" </w:instrText>
      </w:r>
      <w:r w:rsidR="005D7996">
        <w:rPr>
          <w:szCs w:val="17"/>
        </w:rPr>
        <w:fldChar w:fldCharType="end"/>
      </w:r>
      <w:r w:rsidRPr="00156980">
        <w:rPr>
          <w:szCs w:val="17"/>
        </w:rPr>
        <w:t>‘ wird als Spezialfall des Artefaktschemas ‚Bild‘ angenommen, bei dem etwas dargestellt wird, das also auf ikonischen Zeichen</w:t>
      </w:r>
      <w:r w:rsidR="005D7996">
        <w:rPr>
          <w:szCs w:val="17"/>
        </w:rPr>
        <w:fldChar w:fldCharType="begin"/>
      </w:r>
      <w:r>
        <w:instrText xml:space="preserve"> XE "</w:instrText>
      </w:r>
      <w:r w:rsidRPr="0013276E">
        <w:rPr>
          <w:szCs w:val="17"/>
        </w:rPr>
        <w:instrText>Ikon</w:instrText>
      </w:r>
      <w:r>
        <w:rPr>
          <w:szCs w:val="17"/>
        </w:rPr>
        <w:instrText xml:space="preserve"> (Peirce)</w:instrText>
      </w:r>
      <w:r>
        <w:instrText xml:space="preserve">" </w:instrText>
      </w:r>
      <w:r w:rsidR="005D7996">
        <w:rPr>
          <w:szCs w:val="17"/>
        </w:rPr>
        <w:fldChar w:fldCharType="end"/>
      </w:r>
      <w:r w:rsidRPr="00156980">
        <w:rPr>
          <w:szCs w:val="17"/>
        </w:rPr>
        <w:t xml:space="preserve"> beruht. Bei diesem Artefaktschema gibt es inhaltliche Bedingungen</w:t>
      </w:r>
      <w:r w:rsidR="005D7996">
        <w:rPr>
          <w:szCs w:val="17"/>
        </w:rPr>
        <w:fldChar w:fldCharType="begin"/>
      </w:r>
      <w:r>
        <w:instrText xml:space="preserve"> XE "</w:instrText>
      </w:r>
      <w:r w:rsidRPr="007605F5">
        <w:instrText>inhaltliche Bedingungen</w:instrText>
      </w:r>
      <w:r>
        <w:instrText xml:space="preserve">" </w:instrText>
      </w:r>
      <w:r w:rsidR="005D7996">
        <w:rPr>
          <w:szCs w:val="17"/>
        </w:rPr>
        <w:fldChar w:fldCharType="end"/>
      </w:r>
      <w:r w:rsidRPr="00156980">
        <w:rPr>
          <w:szCs w:val="17"/>
        </w:rPr>
        <w:t xml:space="preserve"> (im Gegensatz zu nicht-darstellenden Bildern), die in den </w:t>
      </w:r>
      <w:r w:rsidRPr="00156980">
        <w:rPr>
          <w:i/>
          <w:szCs w:val="17"/>
        </w:rPr>
        <w:t>U</w:t>
      </w:r>
      <w:r w:rsidRPr="00156980">
        <w:rPr>
          <w:szCs w:val="17"/>
        </w:rPr>
        <w:t xml:space="preserve"> der Merkmalsregeln in Klammern angegeben sind.</w:t>
      </w:r>
    </w:p>
  </w:footnote>
  <w:footnote w:id="4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die Interpretation der Ste-Chapelle</w:t>
      </w:r>
      <w:r w:rsidR="005D7996">
        <w:rPr>
          <w:szCs w:val="17"/>
        </w:rPr>
        <w:fldChar w:fldCharType="begin"/>
      </w:r>
      <w:r>
        <w:instrText xml:space="preserve"> XE "</w:instrText>
      </w:r>
      <w:r w:rsidRPr="00A338E3">
        <w:rPr>
          <w:szCs w:val="22"/>
        </w:rPr>
        <w:instrText>Ste-Chapelle (Paris)</w:instrText>
      </w:r>
      <w:r>
        <w:instrText xml:space="preserve">" </w:instrText>
      </w:r>
      <w:r w:rsidR="005D7996">
        <w:rPr>
          <w:szCs w:val="17"/>
        </w:rPr>
        <w:fldChar w:fldCharType="end"/>
      </w:r>
      <w:r w:rsidRPr="00156980">
        <w:rPr>
          <w:szCs w:val="17"/>
        </w:rPr>
        <w:t xml:space="preserve"> in </w:t>
      </w:r>
      <w:fldSimple w:instr=" REF _Ref254004896 \r \h  \* MERGEFORMAT ">
        <w:r w:rsidR="001231D3" w:rsidRPr="001231D3">
          <w:rPr>
            <w:szCs w:val="17"/>
          </w:rPr>
          <w:t>7.1.3</w:t>
        </w:r>
      </w:fldSimple>
      <w:r w:rsidRPr="00156980">
        <w:rPr>
          <w:szCs w:val="17"/>
        </w:rPr>
        <w:t xml:space="preserve">, bei dem die Ergebnisse </w:t>
      </w:r>
      <w:r w:rsidRPr="00156980">
        <w:rPr>
          <w:i/>
          <w:iCs/>
          <w:szCs w:val="17"/>
        </w:rPr>
        <w:t>Er</w:t>
      </w:r>
      <w:r w:rsidRPr="00156980">
        <w:rPr>
          <w:szCs w:val="17"/>
          <w:vertAlign w:val="subscript"/>
        </w:rPr>
        <w:t>1</w:t>
      </w:r>
      <w:r w:rsidRPr="00156980">
        <w:rPr>
          <w:szCs w:val="17"/>
        </w:rPr>
        <w:t xml:space="preserve"> bis </w:t>
      </w:r>
      <w:r w:rsidRPr="00156980">
        <w:rPr>
          <w:i/>
          <w:iCs/>
          <w:szCs w:val="17"/>
        </w:rPr>
        <w:t>Er</w:t>
      </w:r>
      <w:r w:rsidRPr="00156980">
        <w:rPr>
          <w:szCs w:val="17"/>
          <w:vertAlign w:val="subscript"/>
        </w:rPr>
        <w:t>5</w:t>
      </w:r>
      <w:r w:rsidRPr="00156980">
        <w:rPr>
          <w:szCs w:val="17"/>
        </w:rPr>
        <w:t xml:space="preserve"> direkt aus Merkmalsregeln entstehen; von ihnen ausgehend werden dann immer weitere Erge</w:t>
      </w:r>
      <w:r w:rsidRPr="00156980">
        <w:rPr>
          <w:szCs w:val="17"/>
        </w:rPr>
        <w:t>b</w:t>
      </w:r>
      <w:r w:rsidRPr="00156980">
        <w:rPr>
          <w:szCs w:val="17"/>
        </w:rPr>
        <w:t xml:space="preserve">nisse (mit Hinzuziehung zweier früherer Ergebnisse bis </w:t>
      </w:r>
      <w:r w:rsidRPr="00156980">
        <w:rPr>
          <w:i/>
          <w:iCs/>
          <w:szCs w:val="17"/>
        </w:rPr>
        <w:t>Er</w:t>
      </w:r>
      <w:r w:rsidRPr="00156980">
        <w:rPr>
          <w:szCs w:val="17"/>
          <w:vertAlign w:val="subscript"/>
        </w:rPr>
        <w:t>13</w:t>
      </w:r>
      <w:r w:rsidRPr="00156980">
        <w:rPr>
          <w:szCs w:val="17"/>
        </w:rPr>
        <w:t>) erzeugt, bevor der Interpret weitere Merkmalsregeln betrachtet. Solche Vorgänge sind charakteristisch für anspruch</w:t>
      </w:r>
      <w:r w:rsidRPr="00156980">
        <w:rPr>
          <w:szCs w:val="17"/>
        </w:rPr>
        <w:t>s</w:t>
      </w:r>
      <w:r w:rsidRPr="00156980">
        <w:rPr>
          <w:szCs w:val="17"/>
        </w:rPr>
        <w:t>volle Interpretationen (etwa in der Kunstgeschichte</w:t>
      </w:r>
      <w:r w:rsidR="005D7996">
        <w:rPr>
          <w:szCs w:val="17"/>
        </w:rPr>
        <w:fldChar w:fldCharType="begin"/>
      </w:r>
      <w:r>
        <w:instrText xml:space="preserve"> XE "</w:instrText>
      </w:r>
      <w:r w:rsidRPr="000853B0">
        <w:instrText>Kunstgeschichte</w:instrText>
      </w:r>
      <w:r>
        <w:instrText xml:space="preserve">" </w:instrText>
      </w:r>
      <w:r w:rsidR="005D7996">
        <w:rPr>
          <w:szCs w:val="17"/>
        </w:rPr>
        <w:fldChar w:fldCharType="end"/>
      </w:r>
      <w:r w:rsidRPr="00156980">
        <w:rPr>
          <w:szCs w:val="17"/>
        </w:rPr>
        <w:t>), die den Ehrgeiz haben, über das Naheliegende weit hinauszugehen.</w:t>
      </w:r>
    </w:p>
  </w:footnote>
  <w:footnote w:id="4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Dadurch ergibt sich auch ein Unterschied beim Index: Gleich nach der Erzeugung g</w:t>
      </w:r>
      <w:r w:rsidRPr="00156980">
        <w:rPr>
          <w:szCs w:val="17"/>
        </w:rPr>
        <w:t>e</w:t>
      </w:r>
      <w:r w:rsidRPr="00156980">
        <w:rPr>
          <w:szCs w:val="17"/>
        </w:rPr>
        <w:t>schriebene Elemente werden nach einer anderen Nummerierung gezählt als früher e</w:t>
      </w:r>
      <w:r w:rsidRPr="00156980">
        <w:rPr>
          <w:szCs w:val="17"/>
        </w:rPr>
        <w:t>r</w:t>
      </w:r>
      <w:r w:rsidRPr="00156980">
        <w:rPr>
          <w:szCs w:val="17"/>
        </w:rPr>
        <w:t>zeugte, damals aber nicht geschriebene Elemente. Die ersteren werden einfach durc</w:t>
      </w:r>
      <w:r w:rsidRPr="00156980">
        <w:rPr>
          <w:szCs w:val="17"/>
        </w:rPr>
        <w:t>h</w:t>
      </w:r>
      <w:r w:rsidRPr="00156980">
        <w:rPr>
          <w:szCs w:val="17"/>
        </w:rPr>
        <w:t>nummeriert, die zweiten werden mit einer eigenen Nummerierung mit „(f)“ für „früher erzeugt“ vor dem Index versehen. Sonst würden in der Nummerierung zwischen neu e</w:t>
      </w:r>
      <w:r w:rsidRPr="00156980">
        <w:rPr>
          <w:szCs w:val="17"/>
        </w:rPr>
        <w:t>r</w:t>
      </w:r>
      <w:r w:rsidRPr="00156980">
        <w:rPr>
          <w:szCs w:val="17"/>
        </w:rPr>
        <w:t xml:space="preserve">zeugten Ergebnissen immer wieder solche stehen, die früher erzeugt wurden und nur verwendet werden (vgl. </w:t>
      </w:r>
      <w:fldSimple w:instr=" REF _Ref258410988 \r \h  \* MERGEFORMAT ">
        <w:r w:rsidR="001231D3" w:rsidRPr="001231D3">
          <w:rPr>
            <w:szCs w:val="17"/>
          </w:rPr>
          <w:t>7.2.4</w:t>
        </w:r>
      </w:fldSimple>
      <w:r w:rsidRPr="00156980">
        <w:rPr>
          <w:szCs w:val="17"/>
        </w:rPr>
        <w:t xml:space="preserve">, </w:t>
      </w:r>
      <w:r w:rsidRPr="00156980">
        <w:rPr>
          <w:i/>
          <w:szCs w:val="17"/>
        </w:rPr>
        <w:t>Anmerkung zur Nummerierung der Ergebnisse</w:t>
      </w:r>
      <w:r w:rsidRPr="00156980">
        <w:rPr>
          <w:szCs w:val="17"/>
        </w:rPr>
        <w:t>).</w:t>
      </w:r>
    </w:p>
  </w:footnote>
  <w:footnote w:id="4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Klärung der beim Interpretieren verwendeten Operationen wäre Aufgabe einer al</w:t>
      </w:r>
      <w:r w:rsidRPr="00156980">
        <w:rPr>
          <w:szCs w:val="17"/>
        </w:rPr>
        <w:t>l</w:t>
      </w:r>
      <w:r w:rsidRPr="00156980">
        <w:rPr>
          <w:szCs w:val="17"/>
        </w:rPr>
        <w:t>gemeinen Interpretationstheorie; es müsste dann nur die Frage, ob sich für Stilinterpret</w:t>
      </w:r>
      <w:r w:rsidRPr="00156980">
        <w:rPr>
          <w:szCs w:val="17"/>
        </w:rPr>
        <w:t>a</w:t>
      </w:r>
      <w:r w:rsidRPr="00156980">
        <w:rPr>
          <w:szCs w:val="17"/>
        </w:rPr>
        <w:t>tionen aufgrund der dort geltenden Besonderheiten Einschränkungen ergeben, von einer Stiltheorie geklärt werden. Es liegt jedoch keine Interpretationstheorie vor, die sich auf das hier vorgestellte Modell beziehen lässt. Im Prinzip handelt es sich beim in Kapitel 6 und 7 dargestellten Interpretationsprozess daher um eine Interpretationstheorie, die auf den Spezialfall der Stilinterpretation beschränkt ist und durch die Entfernung stilspezif</w:t>
      </w:r>
      <w:r w:rsidRPr="00156980">
        <w:rPr>
          <w:szCs w:val="17"/>
        </w:rPr>
        <w:t>i</w:t>
      </w:r>
      <w:r w:rsidRPr="00156980">
        <w:rPr>
          <w:szCs w:val="17"/>
        </w:rPr>
        <w:t>scher Beschränkungen – insbesondere das Zulassen anderer Elementsorten im Input – verallgemeinert werden könnte.</w:t>
      </w:r>
    </w:p>
  </w:footnote>
  <w:footnote w:id="4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Popper 1934.</w:t>
      </w:r>
    </w:p>
  </w:footnote>
  <w:footnote w:id="4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Selbst wenn die </w:t>
      </w:r>
      <w:r>
        <w:rPr>
          <w:szCs w:val="17"/>
        </w:rPr>
        <w:t>Spezifikation</w:t>
      </w:r>
      <w:r w:rsidRPr="00156980">
        <w:rPr>
          <w:szCs w:val="17"/>
        </w:rPr>
        <w:t>en in Klammern fehlen würden, ist es plausibel, dass sie für die Interpretation wie obenstehend angenommen werden würden: In Variante 1 kann der Durchschnitt aller Schminkvorgänge des SN nicht gemeint sein (sonst wäre die Mer</w:t>
      </w:r>
      <w:r w:rsidRPr="00156980">
        <w:rPr>
          <w:szCs w:val="17"/>
        </w:rPr>
        <w:t>k</w:t>
      </w:r>
      <w:r w:rsidRPr="00156980">
        <w:rPr>
          <w:szCs w:val="17"/>
        </w:rPr>
        <w:t>malsregel widersprüchlich), während in Variante 2 durch die Zusatzbedingungen in den Anwendungsbedingungen der Bezug auf den allgemeinen Fall ohne Zusatzbedingungen, also auf den Durchschnitt aller Schemaorte ‚Zeitaufwand‘ der Realisierung, naheliegend ist. Allerdings ist dies nur ein Formulierungsproblem: Wenn die Merkmalsregel genau ausgelesen wird, muss der Bezug des ‚überdurchschnittlich‘ klar sein.</w:t>
      </w:r>
    </w:p>
  </w:footnote>
  <w:footnote w:id="4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916 \r \h  \* MERGEFORMAT ">
        <w:r w:rsidR="001231D3" w:rsidRPr="001231D3">
          <w:rPr>
            <w:szCs w:val="17"/>
          </w:rPr>
          <w:t>4.3.2</w:t>
        </w:r>
      </w:fldSimple>
      <w:r w:rsidRPr="00156980">
        <w:rPr>
          <w:szCs w:val="17"/>
        </w:rPr>
        <w:t>, (3).</w:t>
      </w:r>
    </w:p>
  </w:footnote>
  <w:footnote w:id="4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841916 \r \h  \* MERGEFORMAT ">
        <w:r w:rsidR="001231D3" w:rsidRPr="001231D3">
          <w:rPr>
            <w:szCs w:val="17"/>
          </w:rPr>
          <w:t>4.3.2</w:t>
        </w:r>
      </w:fldSimple>
      <w:r w:rsidRPr="00156980">
        <w:rPr>
          <w:szCs w:val="17"/>
        </w:rPr>
        <w:t>, (5).</w:t>
      </w:r>
    </w:p>
  </w:footnote>
  <w:footnote w:id="4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Schema bezieht sich hier auf das Verhalten ‚Schminken‘ über einen längeren Zei</w:t>
      </w:r>
      <w:r w:rsidRPr="00156980">
        <w:rPr>
          <w:szCs w:val="17"/>
        </w:rPr>
        <w:t>t</w:t>
      </w:r>
      <w:r w:rsidRPr="00156980">
        <w:rPr>
          <w:szCs w:val="17"/>
        </w:rPr>
        <w:t>raum. Würde das Unterschema ‚Schminkvorgang‘ gewählt, dann würde sich der Vergleich mit anderen Schminkvorgängen des SP nicht auf die Realisierung beziehen und ‚übe</w:t>
      </w:r>
      <w:r w:rsidRPr="00156980">
        <w:rPr>
          <w:szCs w:val="17"/>
        </w:rPr>
        <w:t>r</w:t>
      </w:r>
      <w:r w:rsidRPr="00156980">
        <w:rPr>
          <w:szCs w:val="17"/>
        </w:rPr>
        <w:t>durchschnittlich‘ müsste auch in Variante 2 als intrinsische Eigenschaft spezifiziert we</w:t>
      </w:r>
      <w:r w:rsidRPr="00156980">
        <w:rPr>
          <w:szCs w:val="17"/>
        </w:rPr>
        <w:t>r</w:t>
      </w:r>
      <w:r w:rsidRPr="00156980">
        <w:rPr>
          <w:szCs w:val="17"/>
        </w:rPr>
        <w:t>den.</w:t>
      </w:r>
    </w:p>
  </w:footnote>
  <w:footnote w:id="4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An der Erzeugung eines Ergebnisses muss eine Merkmalsregel oder ein früheres Ergebnis beteiligt sein (vgl. Abschnitt </w:t>
      </w:r>
      <w:fldSimple w:instr=" REF _Ref254339704 \r \h  \* MERGEFORMAT ">
        <w:r w:rsidR="001231D3" w:rsidRPr="001231D3">
          <w:rPr>
            <w:szCs w:val="17"/>
          </w:rPr>
          <w:t>6.3</w:t>
        </w:r>
      </w:fldSimple>
      <w:r w:rsidRPr="00156980">
        <w:rPr>
          <w:szCs w:val="17"/>
        </w:rPr>
        <w:t>); nur aus Hintergrundwissen können Ergebnisse nicht erzeugt werden, da sie sonst mit dem Stil nichts zu tun hätten. Hier werden nur aus Hi</w:t>
      </w:r>
      <w:r w:rsidRPr="00156980">
        <w:rPr>
          <w:szCs w:val="17"/>
        </w:rPr>
        <w:t>n</w:t>
      </w:r>
      <w:r w:rsidRPr="00156980">
        <w:rPr>
          <w:szCs w:val="17"/>
        </w:rPr>
        <w:t>tergrundwissen erzeugte Zwischenergebnisse zugelassen, um den Erzeugungsprozess g</w:t>
      </w:r>
      <w:r w:rsidRPr="00156980">
        <w:rPr>
          <w:szCs w:val="17"/>
        </w:rPr>
        <w:t>e</w:t>
      </w:r>
      <w:r w:rsidRPr="00156980">
        <w:rPr>
          <w:szCs w:val="17"/>
        </w:rPr>
        <w:t xml:space="preserve">nauer nachvollziehen zu können. Zwischenergebnisse sind im Interpretationsprozess in Abschnitt </w:t>
      </w:r>
      <w:fldSimple w:instr=" REF _Ref254354608 \r \h  \* MERGEFORMAT ">
        <w:r w:rsidR="001231D3" w:rsidRPr="001231D3">
          <w:rPr>
            <w:szCs w:val="17"/>
          </w:rPr>
          <w:t>7.2</w:t>
        </w:r>
      </w:fldSimple>
      <w:r w:rsidRPr="00156980">
        <w:rPr>
          <w:szCs w:val="17"/>
        </w:rPr>
        <w:t xml:space="preserve"> nicht vorgesehen; es wird angenommen, dass die Verarbeitung von Hinte</w:t>
      </w:r>
      <w:r w:rsidRPr="00156980">
        <w:rPr>
          <w:szCs w:val="17"/>
        </w:rPr>
        <w:t>r</w:t>
      </w:r>
      <w:r w:rsidRPr="00156980">
        <w:rPr>
          <w:szCs w:val="17"/>
        </w:rPr>
        <w:t>grundwissen bis zur für den jeweiligen Interpretationsschritt erforderlichen Form inne</w:t>
      </w:r>
      <w:r w:rsidRPr="00156980">
        <w:rPr>
          <w:szCs w:val="17"/>
        </w:rPr>
        <w:t>r</w:t>
      </w:r>
      <w:r w:rsidRPr="00156980">
        <w:rPr>
          <w:szCs w:val="17"/>
        </w:rPr>
        <w:t>halb der Operation stattfindet. (Vgl. zur möglichen Einbeziehung von Zwischenergebni</w:t>
      </w:r>
      <w:r w:rsidRPr="00156980">
        <w:rPr>
          <w:szCs w:val="17"/>
        </w:rPr>
        <w:t>s</w:t>
      </w:r>
      <w:r w:rsidRPr="00156980">
        <w:rPr>
          <w:szCs w:val="17"/>
        </w:rPr>
        <w:t xml:space="preserve">sen Fußnote </w:t>
      </w:r>
      <w:fldSimple w:instr=" NOTEREF _Ref261433374 \h  \* MERGEFORMAT ">
        <w:r w:rsidR="001231D3" w:rsidRPr="001231D3">
          <w:rPr>
            <w:szCs w:val="17"/>
          </w:rPr>
          <w:t>508</w:t>
        </w:r>
      </w:fldSimple>
      <w:r w:rsidRPr="00156980">
        <w:rPr>
          <w:szCs w:val="17"/>
        </w:rPr>
        <w:t>.)</w:t>
      </w:r>
    </w:p>
  </w:footnote>
  <w:footnote w:id="4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0657034 \h  \* MERGEFORMAT ">
        <w:r w:rsidR="001231D3" w:rsidRPr="001231D3">
          <w:rPr>
            <w:szCs w:val="17"/>
          </w:rPr>
          <w:t>416</w:t>
        </w:r>
      </w:fldSimple>
      <w:r w:rsidRPr="00156980">
        <w:rPr>
          <w:szCs w:val="17"/>
        </w:rPr>
        <w:t>.</w:t>
      </w:r>
    </w:p>
  </w:footnote>
  <w:footnote w:id="4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Kant 1800: § 84 „Induktion und Analogie“.</w:t>
      </w:r>
    </w:p>
  </w:footnote>
  <w:footnote w:id="4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http://de.wikipedia.org/wiki/Abduktion_(Wissenschaftstheorie); Einsicht am 4.3.2010.</w:t>
      </w:r>
    </w:p>
  </w:footnote>
  <w:footnote w:id="4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diesem Fall wären also die </w:t>
      </w:r>
      <w:r>
        <w:rPr>
          <w:szCs w:val="17"/>
        </w:rPr>
        <w:t>Alter</w:t>
      </w:r>
      <w:r>
        <w:rPr>
          <w:szCs w:val="17"/>
        </w:rPr>
        <w:softHyphen/>
        <w:t>nativen</w:t>
      </w:r>
      <w:r>
        <w:rPr>
          <w:szCs w:val="17"/>
        </w:rPr>
        <w:softHyphen/>
        <w:t>klasse</w:t>
      </w:r>
      <w:r w:rsidRPr="00156980">
        <w:rPr>
          <w:szCs w:val="17"/>
        </w:rPr>
        <w:t xml:space="preserve">n, deren Anwendungsbedingungen </w:t>
      </w:r>
      <w:r w:rsidRPr="00156980">
        <w:rPr>
          <w:i/>
          <w:iCs/>
          <w:szCs w:val="17"/>
        </w:rPr>
        <w:t>U</w:t>
      </w:r>
      <w:r w:rsidRPr="00156980">
        <w:rPr>
          <w:szCs w:val="17"/>
        </w:rPr>
        <w:t>(</w:t>
      </w:r>
      <w:r w:rsidRPr="00156980">
        <w:rPr>
          <w:i/>
          <w:iCs/>
          <w:szCs w:val="17"/>
        </w:rPr>
        <w:t>B</w:t>
      </w:r>
      <w:r w:rsidRPr="00156980">
        <w:rPr>
          <w:iCs/>
          <w:szCs w:val="17"/>
          <w:vertAlign w:val="subscript"/>
        </w:rPr>
        <w:t>1</w:t>
      </w:r>
      <w:r w:rsidRPr="00156980">
        <w:rPr>
          <w:szCs w:val="17"/>
        </w:rPr>
        <w:t xml:space="preserve">) erfüllen, falsch gebildet worden. Will der SW den Stil möglichst richtig auslesen, müsste er aufgrund von </w:t>
      </w:r>
      <w:r w:rsidRPr="00156980">
        <w:rPr>
          <w:i/>
          <w:iCs/>
          <w:szCs w:val="17"/>
        </w:rPr>
        <w:t>Er</w:t>
      </w:r>
      <w:r w:rsidRPr="00156980">
        <w:rPr>
          <w:iCs/>
          <w:szCs w:val="17"/>
          <w:vertAlign w:val="subscript"/>
        </w:rPr>
        <w:t>1</w:t>
      </w:r>
      <w:r w:rsidRPr="00156980">
        <w:rPr>
          <w:szCs w:val="17"/>
        </w:rPr>
        <w:t xml:space="preserve"> die entsprechenden </w:t>
      </w:r>
      <w:r>
        <w:rPr>
          <w:szCs w:val="17"/>
        </w:rPr>
        <w:t>Alter</w:t>
      </w:r>
      <w:r>
        <w:rPr>
          <w:szCs w:val="17"/>
        </w:rPr>
        <w:softHyphen/>
        <w:t>nativen</w:t>
      </w:r>
      <w:r>
        <w:rPr>
          <w:szCs w:val="17"/>
        </w:rPr>
        <w:softHyphen/>
        <w:t>klasse</w:t>
      </w:r>
      <w:r w:rsidRPr="00156980">
        <w:rPr>
          <w:szCs w:val="17"/>
        </w:rPr>
        <w:t xml:space="preserve">n neu bilden; </w:t>
      </w:r>
      <w:r w:rsidRPr="00156980">
        <w:rPr>
          <w:i/>
          <w:iCs/>
          <w:szCs w:val="17"/>
        </w:rPr>
        <w:t>Er</w:t>
      </w:r>
      <w:r w:rsidRPr="00156980">
        <w:rPr>
          <w:iCs/>
          <w:szCs w:val="17"/>
          <w:vertAlign w:val="subscript"/>
        </w:rPr>
        <w:t>1</w:t>
      </w:r>
      <w:r w:rsidRPr="00156980">
        <w:rPr>
          <w:szCs w:val="17"/>
        </w:rPr>
        <w:t xml:space="preserve"> wäre dann kein Ergebnis der Stilinterpretation mehr, sondern Wissen zum Schema.</w:t>
      </w:r>
    </w:p>
  </w:footnote>
  <w:footnote w:id="4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weiteres Problem der Abduktion besteht darin, dass leicht zu allgemeine Regeln postuliert werden, weil die verwendeten Einzeltatsachen einer zu allgemeinen Kategorie zugeordnet werden. So wurden kulturspezifische Verhaltensweisen lange als Eigenscha</w:t>
      </w:r>
      <w:r w:rsidRPr="00156980">
        <w:rPr>
          <w:szCs w:val="17"/>
        </w:rPr>
        <w:t>f</w:t>
      </w:r>
      <w:r w:rsidRPr="00156980">
        <w:rPr>
          <w:szCs w:val="17"/>
        </w:rPr>
        <w:t>ten der menschlichen Natur erklärt, weil man nicht berücksichtigte, dass man die be</w:t>
      </w:r>
      <w:r w:rsidRPr="00156980">
        <w:rPr>
          <w:szCs w:val="17"/>
        </w:rPr>
        <w:t>o</w:t>
      </w:r>
      <w:r w:rsidRPr="00156980">
        <w:rPr>
          <w:szCs w:val="17"/>
        </w:rPr>
        <w:t>bachteten Fälle nur einem bestimmten Kulturraum entnahm.</w:t>
      </w:r>
    </w:p>
  </w:footnote>
  <w:footnote w:id="4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Das Schema enthält nur Bedingungen, die für einen Toaster und seine Schemaorte def</w:t>
      </w:r>
      <w:r w:rsidRPr="00156980">
        <w:rPr>
          <w:iCs/>
          <w:szCs w:val="17"/>
        </w:rPr>
        <w:t>i</w:t>
      </w:r>
      <w:r w:rsidRPr="00156980">
        <w:rPr>
          <w:iCs/>
          <w:szCs w:val="17"/>
        </w:rPr>
        <w:t>nierend sind, also beispielsweise, dass man damit Toast toasten kann. Sind die Schlitze viel zu klein für eine Scheibe Toast, würde man das Gerät nicht mehr für einen ‚Toaster‘ (im normalen Sinn des Haushaltsgeräts) halten, sondern vermuten, dass es etwas anderes ist. Wären sie etwas zu klein, würde man einen Fehler in Betracht ziehen – eine misslu</w:t>
      </w:r>
      <w:r w:rsidRPr="00156980">
        <w:rPr>
          <w:iCs/>
          <w:szCs w:val="17"/>
        </w:rPr>
        <w:t>n</w:t>
      </w:r>
      <w:r w:rsidRPr="00156980">
        <w:rPr>
          <w:iCs/>
          <w:szCs w:val="17"/>
        </w:rPr>
        <w:t>gene Realisierung des Schemas ‚Toaster‘.</w:t>
      </w:r>
    </w:p>
  </w:footnote>
  <w:footnote w:id="4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Funktionale Bedingungen (siehe Fußnote </w:t>
      </w:r>
      <w:fldSimple w:instr=" NOTEREF _Ref260912415 \h  \* MERGEFORMAT ">
        <w:r w:rsidR="001231D3" w:rsidRPr="001231D3">
          <w:rPr>
            <w:szCs w:val="17"/>
          </w:rPr>
          <w:t>289</w:t>
        </w:r>
      </w:fldSimple>
      <w:r w:rsidRPr="00156980">
        <w:rPr>
          <w:szCs w:val="17"/>
        </w:rPr>
        <w:t xml:space="preserve">) gehören zu den Zusatzbedingungen; vgl. </w:t>
      </w:r>
      <w:fldSimple w:instr=" REF _Ref211841829 \r \h  \* MERGEFORMAT ">
        <w:r w:rsidR="001231D3" w:rsidRPr="001231D3">
          <w:rPr>
            <w:szCs w:val="17"/>
          </w:rPr>
          <w:t>4.3.1</w:t>
        </w:r>
      </w:fldSimple>
      <w:r w:rsidRPr="00156980">
        <w:rPr>
          <w:szCs w:val="17"/>
        </w:rPr>
        <w:t>, (2).</w:t>
      </w:r>
    </w:p>
  </w:footnote>
  <w:footnote w:id="4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geschieht bei der Auswahl der Zusatzbedingungen bei der Bildung der </w:t>
      </w:r>
      <w:r>
        <w:rPr>
          <w:szCs w:val="17"/>
        </w:rPr>
        <w:t>Alter</w:t>
      </w:r>
      <w:r>
        <w:rPr>
          <w:szCs w:val="17"/>
        </w:rPr>
        <w:softHyphen/>
        <w:t>nativen</w:t>
      </w:r>
      <w:r>
        <w:rPr>
          <w:szCs w:val="17"/>
        </w:rPr>
        <w:softHyphen/>
        <w:t>klasse</w:t>
      </w:r>
      <w:r w:rsidRPr="00156980">
        <w:rPr>
          <w:szCs w:val="17"/>
        </w:rPr>
        <w:t xml:space="preserve">n; vgl.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Zeile 8-11.</w:t>
      </w:r>
    </w:p>
  </w:footnote>
  <w:footnote w:id="4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 xml:space="preserve">Die Entscheidung fällt bei der Auswahl der Zusatzbedingungen bei der Rekonstruktion der </w:t>
      </w:r>
      <w:r>
        <w:rPr>
          <w:iCs/>
          <w:szCs w:val="17"/>
        </w:rPr>
        <w:t>Alter</w:t>
      </w:r>
      <w:r>
        <w:rPr>
          <w:iCs/>
          <w:szCs w:val="17"/>
        </w:rPr>
        <w:softHyphen/>
        <w:t>nativen</w:t>
      </w:r>
      <w:r>
        <w:rPr>
          <w:iCs/>
          <w:szCs w:val="17"/>
        </w:rPr>
        <w:softHyphen/>
        <w:t>klasse</w:t>
      </w:r>
      <w:r w:rsidRPr="00156980">
        <w:rPr>
          <w:iCs/>
          <w:szCs w:val="17"/>
        </w:rPr>
        <w:t xml:space="preserve">n; </w:t>
      </w:r>
      <w:r w:rsidRPr="00156980">
        <w:rPr>
          <w:szCs w:val="17"/>
        </w:rPr>
        <w:t xml:space="preserve">vgl. </w:t>
      </w:r>
      <w:fldSimple w:instr=" REF _Ref254084330 \r \h  \* MERGEFORMAT ">
        <w:r w:rsidR="001231D3" w:rsidRPr="001231D3">
          <w:rPr>
            <w:szCs w:val="17"/>
          </w:rPr>
          <w:t>5.5.3</w:t>
        </w:r>
      </w:fldSimple>
      <w:r w:rsidRPr="00156980">
        <w:rPr>
          <w:szCs w:val="17"/>
        </w:rPr>
        <w:t xml:space="preserve">, Funktion </w:t>
      </w:r>
      <w:r w:rsidRPr="00156980">
        <w:rPr>
          <w:i/>
          <w:szCs w:val="17"/>
        </w:rPr>
        <w:t>Merkmalsregeln_auslesen</w:t>
      </w:r>
      <w:r w:rsidRPr="00156980">
        <w:rPr>
          <w:szCs w:val="17"/>
        </w:rPr>
        <w:t>, Zeile 8-11.</w:t>
      </w:r>
    </w:p>
  </w:footnote>
  <w:footnote w:id="4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kann jedoch nur ein relativ einfaches Gestaltungsprinzip sein; Techniken, die sich nicht auf Merkmalsregeln reduzieren lassen oder eine Veränderung des Schemas beinha</w:t>
      </w:r>
      <w:r w:rsidRPr="00156980">
        <w:rPr>
          <w:szCs w:val="17"/>
        </w:rPr>
        <w:t>l</w:t>
      </w:r>
      <w:r w:rsidRPr="00156980">
        <w:rPr>
          <w:szCs w:val="17"/>
        </w:rPr>
        <w:t xml:space="preserve">ten, fallen nicht unter Stil (vgl. </w:t>
      </w:r>
      <w:fldSimple w:instr=" REF _Ref260667292 \r \h  \* MERGEFORMAT ">
        <w:r w:rsidR="001231D3" w:rsidRPr="001231D3">
          <w:rPr>
            <w:szCs w:val="17"/>
          </w:rPr>
          <w:t>8.3.5</w:t>
        </w:r>
      </w:fldSimple>
      <w:r w:rsidRPr="00156980">
        <w:rPr>
          <w:szCs w:val="17"/>
        </w:rPr>
        <w:t>).</w:t>
      </w:r>
    </w:p>
  </w:footnote>
  <w:footnote w:id="444">
    <w:p w:rsidR="00CC3558" w:rsidRPr="00156980" w:rsidRDefault="00CC3558" w:rsidP="00F461D9">
      <w:pPr>
        <w:pStyle w:val="Funotentext"/>
        <w:rPr>
          <w:iCs/>
          <w:szCs w:val="17"/>
        </w:rPr>
      </w:pPr>
      <w:r w:rsidRPr="00156980">
        <w:rPr>
          <w:rStyle w:val="Funotenzeichen"/>
          <w:szCs w:val="17"/>
        </w:rPr>
        <w:footnoteRef/>
      </w:r>
      <w:r w:rsidRPr="00156980">
        <w:rPr>
          <w:szCs w:val="17"/>
        </w:rPr>
        <w:t xml:space="preserve"> </w:t>
      </w:r>
      <w:r w:rsidRPr="00156980">
        <w:rPr>
          <w:szCs w:val="17"/>
        </w:rPr>
        <w:tab/>
        <w:t xml:space="preserve">Eine als funktionale Eigenschaft eines Schemas konventionalisierte Eigenschaft ist </w:t>
      </w:r>
      <w:r w:rsidRPr="00156980">
        <w:rPr>
          <w:iCs/>
          <w:szCs w:val="17"/>
        </w:rPr>
        <w:t>de</w:t>
      </w:r>
      <w:r w:rsidRPr="00156980">
        <w:rPr>
          <w:iCs/>
          <w:szCs w:val="17"/>
        </w:rPr>
        <w:t>s</w:t>
      </w:r>
      <w:r w:rsidRPr="00156980">
        <w:rPr>
          <w:iCs/>
          <w:szCs w:val="17"/>
        </w:rPr>
        <w:t>halb noch keine Schemaort-definierende Eigenschaft. So haben heute die meisten Autos Differentialgetriebe; dennoch würde ein Auto ohne Differentialgetriebe auch noch als Auto durchgehen. Wäre das Auto dagegen nicht mit Bremsen ausgestattet, würde es wohl nicht als Auto, sondern als gefährliche Attrappe gelten. Die Eigenschaft, Bremsen zu b</w:t>
      </w:r>
      <w:r w:rsidRPr="00156980">
        <w:rPr>
          <w:iCs/>
          <w:szCs w:val="17"/>
        </w:rPr>
        <w:t>e</w:t>
      </w:r>
      <w:r w:rsidRPr="00156980">
        <w:rPr>
          <w:iCs/>
          <w:szCs w:val="17"/>
        </w:rPr>
        <w:t>sitzen, dürfte daher eine Schemaort-definierende Eigenschaft (die je nach Beschreibung für den Schemaort ‚Sicherheitsausstattung‘ oder für den Schemaort ‚Räder‘ spezifiziert werden kann) sein. Die Eigenschaft, ein Differentialgetriebe an der angetriebenen Achse zu besitzen, dürfte dagegen in der Regel als funktionale Bedingung spezifiziert werden.</w:t>
      </w:r>
    </w:p>
    <w:p w:rsidR="00CC3558" w:rsidRPr="00156980" w:rsidRDefault="00CC3558" w:rsidP="00F461D9">
      <w:pPr>
        <w:pStyle w:val="Funotentext"/>
        <w:rPr>
          <w:szCs w:val="17"/>
        </w:rPr>
      </w:pPr>
      <w:r w:rsidRPr="00156980">
        <w:rPr>
          <w:iCs/>
          <w:szCs w:val="17"/>
        </w:rPr>
        <w:tab/>
        <w:t>Würde ein Toaster für einen Toastvorgang 30 min. brauchen, wäre er trotzdem ein Toa</w:t>
      </w:r>
      <w:r w:rsidRPr="00156980">
        <w:rPr>
          <w:iCs/>
          <w:szCs w:val="17"/>
        </w:rPr>
        <w:t>s</w:t>
      </w:r>
      <w:r w:rsidRPr="00156980">
        <w:rPr>
          <w:iCs/>
          <w:szCs w:val="17"/>
        </w:rPr>
        <w:t>ter, er würde allerdings seine Funktion nur sehr schlecht erfüllen. Die meisten Entwickler von Toastern würden daher funktionale Bedingungen</w:t>
      </w:r>
      <w:r w:rsidR="005D7996">
        <w:rPr>
          <w:iCs/>
          <w:szCs w:val="17"/>
        </w:rPr>
        <w:fldChar w:fldCharType="begin"/>
      </w:r>
      <w:r>
        <w:instrText xml:space="preserve"> XE "</w:instrText>
      </w:r>
      <w:r w:rsidRPr="00DB4D56">
        <w:instrText>funktionale Bedingungen</w:instrText>
      </w:r>
      <w:r>
        <w:instrText xml:space="preserve">" </w:instrText>
      </w:r>
      <w:r w:rsidR="005D7996">
        <w:rPr>
          <w:iCs/>
          <w:szCs w:val="17"/>
        </w:rPr>
        <w:fldChar w:fldCharType="end"/>
      </w:r>
      <w:r w:rsidRPr="00156980">
        <w:rPr>
          <w:iCs/>
          <w:szCs w:val="17"/>
        </w:rPr>
        <w:t xml:space="preserve"> an ihr Gerät stellen, die dies au</w:t>
      </w:r>
      <w:r w:rsidRPr="00156980">
        <w:rPr>
          <w:iCs/>
          <w:szCs w:val="17"/>
        </w:rPr>
        <w:t>s</w:t>
      </w:r>
      <w:r w:rsidRPr="00156980">
        <w:rPr>
          <w:iCs/>
          <w:szCs w:val="17"/>
        </w:rPr>
        <w:t>schließen; eine solche Merkmalsregel könnte nicht eingeschrieben werden.</w:t>
      </w:r>
    </w:p>
  </w:footnote>
  <w:footnote w:id="4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Auch das Hintergrundwissen liegt hier in Form eines Eindrucks vor, der neue Eindruck kann damit durch Vergleich des Seheindrucks direkt aus dem alten entstehen. Allerdings haben wir keine Sortenbeschränkungen spezifiziert (vgl. </w:t>
      </w:r>
      <w:fldSimple w:instr=" REF _Ref248036699 \n \h  \* MERGEFORMAT ">
        <w:r w:rsidR="001231D3" w:rsidRPr="001231D3">
          <w:rPr>
            <w:szCs w:val="17"/>
          </w:rPr>
          <w:t>6.2.1</w:t>
        </w:r>
      </w:fldSimple>
      <w:r w:rsidRPr="00156980">
        <w:rPr>
          <w:szCs w:val="17"/>
        </w:rPr>
        <w:t xml:space="preserve">); die Operation kann auch ein propositionales </w:t>
      </w:r>
      <w:r w:rsidRPr="00156980">
        <w:rPr>
          <w:i/>
          <w:szCs w:val="17"/>
        </w:rPr>
        <w:t>H</w:t>
      </w:r>
      <w:r w:rsidRPr="00156980">
        <w:rPr>
          <w:szCs w:val="17"/>
        </w:rPr>
        <w:t>-Element erhalten, das dann entsprechend verarbeitet wird.</w:t>
      </w:r>
    </w:p>
  </w:footnote>
  <w:footnote w:id="4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85470251 \h  \* MERGEFORMAT ">
        <w:r w:rsidR="001231D3" w:rsidRPr="001231D3">
          <w:rPr>
            <w:szCs w:val="17"/>
          </w:rPr>
          <w:t>448</w:t>
        </w:r>
      </w:fldSimple>
      <w:r w:rsidRPr="00156980">
        <w:rPr>
          <w:szCs w:val="17"/>
        </w:rPr>
        <w:t>.</w:t>
      </w:r>
    </w:p>
  </w:footnote>
  <w:footnote w:id="4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3132390 \h  \* MERGEFORMAT ">
        <w:r w:rsidR="001231D3" w:rsidRPr="001231D3">
          <w:rPr>
            <w:szCs w:val="17"/>
          </w:rPr>
          <w:t>3</w:t>
        </w:r>
      </w:fldSimple>
      <w:r w:rsidRPr="00156980">
        <w:rPr>
          <w:szCs w:val="17"/>
        </w:rPr>
        <w:t>.</w:t>
      </w:r>
    </w:p>
  </w:footnote>
  <w:footnote w:id="448">
    <w:p w:rsidR="00CC3558" w:rsidRPr="00156980" w:rsidRDefault="00CC3558" w:rsidP="00F461D9">
      <w:pPr>
        <w:pStyle w:val="Funotentext"/>
        <w:rPr>
          <w:iCs/>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Artefaktschema ‚Gebäude‘</w:t>
      </w:r>
    </w:p>
    <w:p w:rsidR="00CC3558" w:rsidRPr="00156980" w:rsidRDefault="00CC3558" w:rsidP="00F461D9">
      <w:pPr>
        <w:pStyle w:val="Funotentext"/>
        <w:rPr>
          <w:szCs w:val="17"/>
        </w:rPr>
      </w:pPr>
      <w:r w:rsidRPr="00156980">
        <w:rPr>
          <w:iCs/>
          <w:szCs w:val="17"/>
        </w:rPr>
        <w:tab/>
      </w:r>
      <w:r w:rsidRPr="00156980">
        <w:rPr>
          <w:i/>
          <w:iCs/>
          <w:szCs w:val="17"/>
        </w:rPr>
        <w:t>U</w:t>
      </w:r>
      <w:r w:rsidRPr="00156980">
        <w:rPr>
          <w:szCs w:val="17"/>
        </w:rPr>
        <w:t>(</w:t>
      </w:r>
      <w:r w:rsidRPr="00156980">
        <w:rPr>
          <w:i/>
          <w:iCs/>
          <w:szCs w:val="17"/>
        </w:rPr>
        <w:t>B</w:t>
      </w:r>
      <w:r w:rsidRPr="00156980">
        <w:rPr>
          <w:iCs/>
          <w:szCs w:val="17"/>
          <w:vertAlign w:val="subscript"/>
        </w:rPr>
        <w:t>1</w:t>
      </w:r>
      <w:r w:rsidRPr="00156980">
        <w:rPr>
          <w:szCs w:val="17"/>
        </w:rPr>
        <w:t xml:space="preserve">): ‚Eingangslösung‘, </w:t>
      </w:r>
      <w:r w:rsidRPr="00156980">
        <w:rPr>
          <w:i/>
          <w:iCs/>
          <w:szCs w:val="17"/>
        </w:rPr>
        <w:t>V</w:t>
      </w:r>
      <w:r w:rsidRPr="00156980">
        <w:rPr>
          <w:szCs w:val="17"/>
        </w:rPr>
        <w:t>(</w:t>
      </w:r>
      <w:r w:rsidRPr="00156980">
        <w:rPr>
          <w:i/>
          <w:iCs/>
          <w:szCs w:val="17"/>
        </w:rPr>
        <w:t>B</w:t>
      </w:r>
      <w:r w:rsidRPr="00156980">
        <w:rPr>
          <w:iCs/>
          <w:szCs w:val="17"/>
          <w:vertAlign w:val="subscript"/>
        </w:rPr>
        <w:t>1</w:t>
      </w:r>
      <w:r w:rsidRPr="00156980">
        <w:rPr>
          <w:szCs w:val="17"/>
        </w:rPr>
        <w:t>):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repräsentativ‘</w:t>
      </w:r>
    </w:p>
    <w:p w:rsidR="00CC3558" w:rsidRPr="00156980" w:rsidRDefault="00CC3558" w:rsidP="00F461D9">
      <w:pPr>
        <w:pStyle w:val="Funotentext"/>
        <w:rPr>
          <w:i/>
          <w:iCs/>
          <w:szCs w:val="17"/>
        </w:rPr>
      </w:pPr>
      <w:r w:rsidRPr="00156980">
        <w:rPr>
          <w:szCs w:val="17"/>
        </w:rPr>
        <w:tab/>
        <w:t>Hier wird ‚repräsentativ‘ als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xml:space="preserve"> des auszuwählenden Elements verlangt. Gewählt werden könnte nun das Element ‚Architrav‘. Bei der Stilwahrnehmung wird mögliche</w:t>
      </w:r>
      <w:r w:rsidRPr="00156980">
        <w:rPr>
          <w:szCs w:val="17"/>
        </w:rPr>
        <w:t>r</w:t>
      </w:r>
      <w:r w:rsidRPr="00156980">
        <w:rPr>
          <w:szCs w:val="17"/>
        </w:rPr>
        <w:t>weise eine abweichende Regel ausgelesen und es ergibt sich:</w:t>
      </w:r>
    </w:p>
    <w:p w:rsidR="00CC3558" w:rsidRPr="00156980" w:rsidRDefault="00CC3558" w:rsidP="00F461D9">
      <w:pPr>
        <w:pStyle w:val="Funotentext"/>
        <w:rPr>
          <w:szCs w:val="17"/>
        </w:rPr>
      </w:pPr>
      <w:r w:rsidRPr="00156980">
        <w:rPr>
          <w:i/>
          <w:iCs/>
          <w:szCs w:val="17"/>
        </w:rPr>
        <w:tab/>
        <w:t>U</w:t>
      </w:r>
      <w:r w:rsidRPr="00156980">
        <w:rPr>
          <w:szCs w:val="17"/>
        </w:rPr>
        <w:t>(</w:t>
      </w:r>
      <w:r w:rsidRPr="00156980">
        <w:rPr>
          <w:i/>
          <w:iCs/>
          <w:szCs w:val="17"/>
        </w:rPr>
        <w:t>B</w:t>
      </w:r>
      <w:r w:rsidRPr="00156980">
        <w:rPr>
          <w:iCs/>
          <w:szCs w:val="17"/>
          <w:vertAlign w:val="subscript"/>
        </w:rPr>
        <w:t>1</w:t>
      </w:r>
      <w:r w:rsidRPr="00156980">
        <w:rPr>
          <w:szCs w:val="17"/>
        </w:rPr>
        <w:t xml:space="preserve">): ‚Eingangslösung‘, </w:t>
      </w:r>
      <w:r w:rsidRPr="00156980">
        <w:rPr>
          <w:i/>
          <w:iCs/>
          <w:szCs w:val="17"/>
        </w:rPr>
        <w:t>V</w:t>
      </w:r>
      <w:r w:rsidRPr="00156980">
        <w:rPr>
          <w:szCs w:val="17"/>
        </w:rPr>
        <w:t>(</w:t>
      </w:r>
      <w:r w:rsidRPr="00156980">
        <w:rPr>
          <w:i/>
          <w:iCs/>
          <w:szCs w:val="17"/>
        </w:rPr>
        <w:t>B</w:t>
      </w:r>
      <w:r w:rsidRPr="00156980">
        <w:rPr>
          <w:iCs/>
          <w:szCs w:val="17"/>
          <w:vertAlign w:val="subscript"/>
        </w:rPr>
        <w:t>1</w:t>
      </w:r>
      <w:r w:rsidRPr="00156980">
        <w:rPr>
          <w:szCs w:val="17"/>
        </w:rPr>
        <w:t>): ‚Architrav‘</w:t>
      </w:r>
    </w:p>
    <w:p w:rsidR="00CC3558" w:rsidRPr="00156980" w:rsidRDefault="00CC3558" w:rsidP="00F461D9">
      <w:pPr>
        <w:pStyle w:val="Funotentext"/>
        <w:rPr>
          <w:szCs w:val="17"/>
        </w:rPr>
      </w:pPr>
      <w:r w:rsidRPr="00156980">
        <w:rPr>
          <w:i/>
          <w:iCs/>
          <w:szCs w:val="17"/>
        </w:rPr>
        <w:tab/>
      </w:r>
      <w:r w:rsidRPr="00156980">
        <w:rPr>
          <w:i/>
          <w:iCs/>
          <w:szCs w:val="17"/>
        </w:rPr>
        <w:tab/>
        <w:t>B</w:t>
      </w:r>
      <w:r w:rsidRPr="00156980">
        <w:rPr>
          <w:iCs/>
          <w:szCs w:val="17"/>
          <w:vertAlign w:val="subscript"/>
        </w:rPr>
        <w:t>1</w:t>
      </w:r>
      <w:r w:rsidRPr="00156980">
        <w:rPr>
          <w:szCs w:val="17"/>
        </w:rPr>
        <w:t xml:space="preserve"> </w:t>
      </w:r>
      <w:r w:rsidRPr="00156980">
        <w:rPr>
          <w:rFonts w:ascii="Cambria Math" w:eastAsia="Arial Unicode MS" w:hAnsi="Cambria Math" w:cs="Cambria Math"/>
          <w:color w:val="000000" w:themeColor="text1"/>
          <w:szCs w:val="17"/>
        </w:rPr>
        <w:t>⤳</w:t>
      </w:r>
      <w:r w:rsidRPr="00156980">
        <w:rPr>
          <w:szCs w:val="17"/>
          <w:vertAlign w:val="subscript"/>
        </w:rPr>
        <w:t>Bed</w:t>
      </w:r>
      <w:r w:rsidRPr="00156980">
        <w:rPr>
          <w:szCs w:val="17"/>
        </w:rPr>
        <w:t xml:space="preserve">  </w:t>
      </w:r>
      <w:r w:rsidRPr="00156980">
        <w:rPr>
          <w:i/>
          <w:iCs/>
          <w:szCs w:val="17"/>
        </w:rPr>
        <w:t>Er</w:t>
      </w:r>
      <w:r w:rsidRPr="00156980">
        <w:rPr>
          <w:szCs w:val="17"/>
          <w:vertAlign w:val="subscript"/>
        </w:rPr>
        <w:t>1</w:t>
      </w:r>
    </w:p>
    <w:p w:rsidR="00CC3558" w:rsidRPr="00156980" w:rsidRDefault="00CC3558" w:rsidP="00F461D9">
      <w:pPr>
        <w:pStyle w:val="Funotentext"/>
        <w:rPr>
          <w:szCs w:val="17"/>
        </w:rPr>
      </w:pPr>
      <w:r w:rsidRPr="00156980">
        <w:rPr>
          <w:szCs w:val="17"/>
        </w:rPr>
        <w:tab/>
      </w:r>
      <w:r w:rsidRPr="00156980">
        <w:rPr>
          <w:i/>
          <w:iCs/>
          <w:szCs w:val="17"/>
        </w:rPr>
        <w:t>Er</w:t>
      </w:r>
      <w:r w:rsidRPr="00156980">
        <w:rPr>
          <w:szCs w:val="17"/>
          <w:vertAlign w:val="subscript"/>
        </w:rPr>
        <w:t>1</w:t>
      </w:r>
      <w:r w:rsidRPr="00156980">
        <w:rPr>
          <w:szCs w:val="17"/>
        </w:rPr>
        <w:t>: ‚Das Gebäude ist repräsentativ‘</w:t>
      </w:r>
    </w:p>
    <w:p w:rsidR="00CC3558" w:rsidRPr="00156980" w:rsidRDefault="00CC3558" w:rsidP="00F461D9">
      <w:pPr>
        <w:pStyle w:val="Funotentext"/>
        <w:rPr>
          <w:szCs w:val="17"/>
        </w:rPr>
      </w:pPr>
      <w:r w:rsidRPr="00156980">
        <w:rPr>
          <w:i/>
          <w:iCs/>
          <w:szCs w:val="17"/>
        </w:rPr>
        <w:tab/>
      </w:r>
      <w:r w:rsidRPr="00156980">
        <w:rPr>
          <w:szCs w:val="17"/>
        </w:rPr>
        <w:t>In diesem Fall wurde zwar die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xml:space="preserve"> erkannt, nicht aber, dass sie in den verlangten Eigenschaften spezifiziert war, dass also nach ihr ausgewählt wurde. Ein anderer Fall:</w:t>
      </w:r>
    </w:p>
    <w:p w:rsidR="00CC3558" w:rsidRPr="00156980" w:rsidRDefault="00CC3558" w:rsidP="00F461D9">
      <w:pPr>
        <w:pStyle w:val="Funotentext"/>
        <w:rPr>
          <w:iCs/>
          <w:szCs w:val="17"/>
        </w:rPr>
      </w:pPr>
      <w:r w:rsidRPr="00156980">
        <w:rPr>
          <w:i/>
          <w:iCs/>
          <w:szCs w:val="17"/>
        </w:rPr>
        <w:tab/>
      </w:r>
      <w:r w:rsidRPr="00156980">
        <w:rPr>
          <w:iCs/>
          <w:szCs w:val="17"/>
        </w:rPr>
        <w:t>Artefaktschema ‚Verhandlungstisch‘</w:t>
      </w:r>
    </w:p>
    <w:p w:rsidR="00CC3558" w:rsidRPr="00156980" w:rsidRDefault="00CC3558" w:rsidP="00F461D9">
      <w:pPr>
        <w:pStyle w:val="Funotentext"/>
        <w:rPr>
          <w:szCs w:val="17"/>
        </w:rPr>
      </w:pPr>
      <w:r w:rsidRPr="00156980">
        <w:rPr>
          <w:szCs w:val="17"/>
        </w:rPr>
        <w:tab/>
      </w:r>
      <w:r w:rsidRPr="00156980">
        <w:rPr>
          <w:i/>
          <w:iCs/>
          <w:szCs w:val="17"/>
        </w:rPr>
        <w:t>U</w:t>
      </w:r>
      <w:r w:rsidRPr="00156980">
        <w:rPr>
          <w:szCs w:val="17"/>
        </w:rPr>
        <w:t>(</w:t>
      </w:r>
      <w:r w:rsidRPr="00156980">
        <w:rPr>
          <w:i/>
          <w:iCs/>
          <w:szCs w:val="17"/>
        </w:rPr>
        <w:t>B</w:t>
      </w:r>
      <w:r w:rsidRPr="00156980">
        <w:rPr>
          <w:iCs/>
          <w:szCs w:val="17"/>
          <w:vertAlign w:val="subscript"/>
        </w:rPr>
        <w:t>1</w:t>
      </w:r>
      <w:r w:rsidRPr="00156980">
        <w:rPr>
          <w:szCs w:val="17"/>
        </w:rPr>
        <w:t xml:space="preserve">): ‚Form‘, </w:t>
      </w:r>
      <w:r w:rsidRPr="00156980">
        <w:rPr>
          <w:i/>
          <w:iCs/>
          <w:szCs w:val="17"/>
        </w:rPr>
        <w:t>V</w:t>
      </w:r>
      <w:r w:rsidRPr="00156980">
        <w:rPr>
          <w:szCs w:val="17"/>
        </w:rPr>
        <w:t>(</w:t>
      </w:r>
      <w:r w:rsidRPr="00156980">
        <w:rPr>
          <w:i/>
          <w:iCs/>
          <w:szCs w:val="17"/>
        </w:rPr>
        <w:t>B</w:t>
      </w:r>
      <w:r w:rsidRPr="00156980">
        <w:rPr>
          <w:iCs/>
          <w:szCs w:val="17"/>
          <w:vertAlign w:val="subscript"/>
        </w:rPr>
        <w:t>1</w:t>
      </w:r>
      <w:r w:rsidRPr="00156980">
        <w:rPr>
          <w:szCs w:val="17"/>
        </w:rPr>
        <w:t>):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Gleichberechtigung aller Verhandlungspartner‘</w:t>
      </w:r>
    </w:p>
    <w:p w:rsidR="00CC3558" w:rsidRPr="00156980" w:rsidRDefault="00CC3558" w:rsidP="00F461D9">
      <w:pPr>
        <w:pStyle w:val="Funotentext"/>
        <w:rPr>
          <w:szCs w:val="17"/>
        </w:rPr>
      </w:pPr>
      <w:r w:rsidRPr="00156980">
        <w:rPr>
          <w:i/>
          <w:iCs/>
          <w:szCs w:val="17"/>
        </w:rPr>
        <w:tab/>
      </w:r>
      <w:r w:rsidRPr="00156980">
        <w:rPr>
          <w:szCs w:val="17"/>
        </w:rPr>
        <w:t>Diese Merkmalsregel führt zur Auswahl eines runden Tischs. Möglicherweise wird die Merkmalsregel direkt ausgelesen, indem die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xml:space="preserve"> schon im Merkmalsprozess als Eigenschaft des Elements berücksichtigt wird (vgl. </w:t>
      </w:r>
      <w:fldSimple w:instr=" REF _Ref254084330 \r \h  \* MERGEFORMAT ">
        <w:r w:rsidR="001231D3" w:rsidRPr="001231D3">
          <w:rPr>
            <w:szCs w:val="17"/>
          </w:rPr>
          <w:t>5.5.3</w:t>
        </w:r>
      </w:fldSimple>
      <w:r w:rsidRPr="00156980">
        <w:rPr>
          <w:szCs w:val="17"/>
        </w:rPr>
        <w:t xml:space="preserve">, Funktion </w:t>
      </w:r>
      <w:r w:rsidRPr="00156980">
        <w:rPr>
          <w:i/>
          <w:szCs w:val="17"/>
        </w:rPr>
        <w:t>Merkmalsr</w:t>
      </w:r>
      <w:r w:rsidRPr="00156980">
        <w:rPr>
          <w:i/>
          <w:szCs w:val="17"/>
        </w:rPr>
        <w:t>e</w:t>
      </w:r>
      <w:r w:rsidRPr="00156980">
        <w:rPr>
          <w:i/>
          <w:szCs w:val="17"/>
        </w:rPr>
        <w:t>geln_auslesen</w:t>
      </w:r>
      <w:r w:rsidRPr="00156980">
        <w:rPr>
          <w:szCs w:val="17"/>
        </w:rPr>
        <w:t>, Zeile 5). Möglich ist aber auch, dass zunächst nur die wahrnehmbare Eige</w:t>
      </w:r>
      <w:r w:rsidRPr="00156980">
        <w:rPr>
          <w:szCs w:val="17"/>
        </w:rPr>
        <w:t>n</w:t>
      </w:r>
      <w:r w:rsidRPr="00156980">
        <w:rPr>
          <w:szCs w:val="17"/>
        </w:rPr>
        <w:t>schaft ‚rund‘ erkannt wird und im Interpretationsprozess eine Bedeutungssuche erfolgt:</w:t>
      </w:r>
    </w:p>
    <w:p w:rsidR="00CC3558" w:rsidRPr="00156980" w:rsidRDefault="00CC3558" w:rsidP="00F461D9">
      <w:pPr>
        <w:pStyle w:val="Funotentext"/>
        <w:rPr>
          <w:szCs w:val="17"/>
        </w:rPr>
      </w:pPr>
      <w:r w:rsidRPr="00156980">
        <w:rPr>
          <w:i/>
          <w:iCs/>
          <w:szCs w:val="17"/>
        </w:rPr>
        <w:tab/>
        <w:t>U</w:t>
      </w:r>
      <w:r w:rsidRPr="00156980">
        <w:rPr>
          <w:szCs w:val="17"/>
        </w:rPr>
        <w:t>(</w:t>
      </w:r>
      <w:r w:rsidRPr="00156980">
        <w:rPr>
          <w:i/>
          <w:iCs/>
          <w:szCs w:val="17"/>
        </w:rPr>
        <w:t>B</w:t>
      </w:r>
      <w:r w:rsidRPr="00156980">
        <w:rPr>
          <w:iCs/>
          <w:szCs w:val="17"/>
          <w:vertAlign w:val="subscript"/>
        </w:rPr>
        <w:t>1</w:t>
      </w:r>
      <w:r w:rsidRPr="00156980">
        <w:rPr>
          <w:szCs w:val="17"/>
        </w:rPr>
        <w:t xml:space="preserve">): ‚Form‘, </w:t>
      </w:r>
      <w:r w:rsidRPr="00156980">
        <w:rPr>
          <w:i/>
          <w:iCs/>
          <w:szCs w:val="17"/>
        </w:rPr>
        <w:t>V</w:t>
      </w:r>
      <w:r w:rsidRPr="00156980">
        <w:rPr>
          <w:szCs w:val="17"/>
        </w:rPr>
        <w:t>(</w:t>
      </w:r>
      <w:r w:rsidRPr="00156980">
        <w:rPr>
          <w:i/>
          <w:iCs/>
          <w:szCs w:val="17"/>
        </w:rPr>
        <w:t>B</w:t>
      </w:r>
      <w:r w:rsidRPr="00156980">
        <w:rPr>
          <w:iCs/>
          <w:szCs w:val="17"/>
          <w:vertAlign w:val="subscript"/>
        </w:rPr>
        <w:t>1</w:t>
      </w:r>
      <w:r w:rsidRPr="00156980">
        <w:rPr>
          <w:szCs w:val="17"/>
        </w:rPr>
        <w:t>): ‚rund‘</w:t>
      </w:r>
    </w:p>
    <w:p w:rsidR="00CC3558" w:rsidRPr="00156980" w:rsidRDefault="00CC3558" w:rsidP="00F461D9">
      <w:pPr>
        <w:pStyle w:val="Funotentext"/>
        <w:rPr>
          <w:szCs w:val="17"/>
        </w:rPr>
      </w:pPr>
      <w:r w:rsidRPr="00156980">
        <w:rPr>
          <w:i/>
          <w:iCs/>
          <w:szCs w:val="17"/>
        </w:rPr>
        <w:tab/>
      </w:r>
      <w:r w:rsidRPr="00156980">
        <w:rPr>
          <w:i/>
          <w:iCs/>
          <w:szCs w:val="17"/>
        </w:rPr>
        <w:tab/>
        <w:t>B</w:t>
      </w:r>
      <w:r w:rsidRPr="00156980">
        <w:rPr>
          <w:iCs/>
          <w:szCs w:val="17"/>
          <w:vertAlign w:val="subscript"/>
        </w:rPr>
        <w:t>1</w:t>
      </w:r>
      <w:r w:rsidRPr="00156980">
        <w:rPr>
          <w:szCs w:val="17"/>
        </w:rPr>
        <w:t xml:space="preserve"> </w:t>
      </w:r>
      <w:r w:rsidRPr="00156980">
        <w:rPr>
          <w:rFonts w:ascii="Cambria Math" w:eastAsia="Arial Unicode MS" w:hAnsi="Cambria Math" w:cs="Cambria Math"/>
          <w:color w:val="000000" w:themeColor="text1"/>
          <w:szCs w:val="17"/>
        </w:rPr>
        <w:t>⤳</w:t>
      </w:r>
      <w:r w:rsidRPr="00156980">
        <w:rPr>
          <w:szCs w:val="17"/>
          <w:vertAlign w:val="subscript"/>
        </w:rPr>
        <w:t>Bed</w:t>
      </w:r>
      <w:r w:rsidRPr="00156980">
        <w:rPr>
          <w:szCs w:val="17"/>
        </w:rPr>
        <w:t xml:space="preserve">  </w:t>
      </w:r>
      <w:r w:rsidRPr="00156980">
        <w:rPr>
          <w:i/>
          <w:iCs/>
          <w:szCs w:val="17"/>
        </w:rPr>
        <w:t>Er</w:t>
      </w:r>
      <w:r w:rsidRPr="00156980">
        <w:rPr>
          <w:szCs w:val="17"/>
          <w:vertAlign w:val="subscript"/>
        </w:rPr>
        <w:t>1</w:t>
      </w:r>
    </w:p>
    <w:p w:rsidR="00CC3558" w:rsidRPr="00156980" w:rsidRDefault="00CC3558" w:rsidP="00F461D9">
      <w:pPr>
        <w:pStyle w:val="Funotentext"/>
        <w:rPr>
          <w:szCs w:val="17"/>
        </w:rPr>
      </w:pPr>
      <w:r w:rsidRPr="00156980">
        <w:rPr>
          <w:szCs w:val="17"/>
        </w:rPr>
        <w:tab/>
      </w:r>
      <w:r w:rsidRPr="00156980">
        <w:rPr>
          <w:i/>
          <w:iCs/>
          <w:szCs w:val="17"/>
        </w:rPr>
        <w:t>Er</w:t>
      </w:r>
      <w:r w:rsidRPr="00156980">
        <w:rPr>
          <w:szCs w:val="17"/>
          <w:vertAlign w:val="subscript"/>
        </w:rPr>
        <w:t>1</w:t>
      </w:r>
      <w:r w:rsidRPr="00156980">
        <w:rPr>
          <w:szCs w:val="17"/>
        </w:rPr>
        <w:t>: ‚Der Verhandlungstisch drückt die Gleichberechtigung aller Verhandlungspartner aus (sog. „runder Tisch“)‘</w:t>
      </w:r>
    </w:p>
  </w:footnote>
  <w:footnote w:id="4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wird auf eine Merkmalsregel unter Einbeziehung ihrer Regelhaftigkeit und ihrer Eigenschaft, Teil eines Stils zu sein, reagiert: So kann ein bestimmtes ignorantes Verhalten, das beim einmaligen Auftreten Ärger auslöst, stattdessen Mitleid oder Verac</w:t>
      </w:r>
      <w:r w:rsidRPr="00156980">
        <w:rPr>
          <w:szCs w:val="17"/>
        </w:rPr>
        <w:t>h</w:t>
      </w:r>
      <w:r w:rsidRPr="00156980">
        <w:rPr>
          <w:szCs w:val="17"/>
        </w:rPr>
        <w:t>tung erregen, wenn erkannt wird, dass es regelhaft auftritt und also vermutlich auf Unf</w:t>
      </w:r>
      <w:r w:rsidRPr="00156980">
        <w:rPr>
          <w:szCs w:val="17"/>
        </w:rPr>
        <w:t>ä</w:t>
      </w:r>
      <w:r w:rsidRPr="00156980">
        <w:rPr>
          <w:szCs w:val="17"/>
        </w:rPr>
        <w:t>higkeit zur Empathie beruht. Würde es sich nicht um die Merkmalsregel eines Stils ha</w:t>
      </w:r>
      <w:r w:rsidRPr="00156980">
        <w:rPr>
          <w:szCs w:val="17"/>
        </w:rPr>
        <w:t>n</w:t>
      </w:r>
      <w:r w:rsidRPr="00156980">
        <w:rPr>
          <w:szCs w:val="17"/>
        </w:rPr>
        <w:t>deln, sondern um im Schema spezifizierte Eigenschaften, wäre die Reaktion wieder eine andere: Beispielsweise wird man sich bei einem Gerichtsvollzieher nicht wundern, dass er auf Klagen und Bitten nicht eingeht, da sein Job dies verlangt.</w:t>
      </w:r>
    </w:p>
    <w:p w:rsidR="00CC3558" w:rsidRPr="00156980" w:rsidRDefault="00CC3558" w:rsidP="00F461D9">
      <w:pPr>
        <w:pStyle w:val="Funotentext"/>
        <w:rPr>
          <w:szCs w:val="17"/>
        </w:rPr>
      </w:pPr>
      <w:r w:rsidRPr="00156980">
        <w:rPr>
          <w:szCs w:val="17"/>
        </w:rPr>
        <w:tab/>
        <w:t>Dies gilt entsprechend abgewandelt auch für die Eindrucksreaktion.</w:t>
      </w:r>
    </w:p>
  </w:footnote>
  <w:footnote w:id="4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kann mit dem Gefühl ‚Niedergeschlagenheit‘ auf die Propositionsannahme ‚Dieses Gebäude aus Sichtbeton ist nicht auf menschliche Bedürfnisse zugeschnitten‘, auf den Eindruck, der bei der Wahrnehmung der Farbe grau entsteht, sowie auf das Gefühl ‚Verlorenheit‘ reagiert werden. Diese drei Ergebnisse – Propositionsannahme, Eindruck und Gefühl – können aus derselben Merkmalsregel erzeugt worden sein, die als ‚Fass</w:t>
      </w:r>
      <w:r w:rsidRPr="00156980">
        <w:rPr>
          <w:szCs w:val="17"/>
        </w:rPr>
        <w:t>a</w:t>
      </w:r>
      <w:r w:rsidRPr="00156980">
        <w:rPr>
          <w:szCs w:val="17"/>
        </w:rPr>
        <w:t>denmaterial‘ ‚grauer Sichtbeton‘ spezifiziert.</w:t>
      </w:r>
    </w:p>
    <w:p w:rsidR="00CC3558" w:rsidRPr="00156980" w:rsidRDefault="00CC3558" w:rsidP="00F461D9">
      <w:pPr>
        <w:pStyle w:val="Funotentext"/>
        <w:rPr>
          <w:szCs w:val="17"/>
        </w:rPr>
      </w:pPr>
      <w:r w:rsidRPr="00156980">
        <w:rPr>
          <w:szCs w:val="17"/>
        </w:rPr>
        <w:tab/>
        <w:t>Teil der Stilinterpretation ist das Gefühl ‚Niedergeschlagenheit‘ hier nur insoweit, wie es eine Reaktion auf die Merkmalsregel ist, also auf die Tatsache, dass dieses Gebäude so g</w:t>
      </w:r>
      <w:r w:rsidRPr="00156980">
        <w:rPr>
          <w:szCs w:val="17"/>
        </w:rPr>
        <w:t>e</w:t>
      </w:r>
      <w:r w:rsidRPr="00156980">
        <w:rPr>
          <w:szCs w:val="17"/>
        </w:rPr>
        <w:t>baut wurde, obwohl es auch anders hätte gebaut werden können. Insoweit es nur eine unmittelbare Reaktion auf die Unmenschlichkeit des Gebäudes, den Sinneseindruck ‚grau‘ oder das Gefühl ‚Verlorenheit‘ darstellt, gehört es nicht zur Stilinterpretation (vgl. letzte Fußnote). Zwar könnten die Eigenschaften, auf die reagiert wird, auch in diesem Fall stilistisch bedingt sein, sie könnten aber auch ganz oder teilweise aus Zusatzbedi</w:t>
      </w:r>
      <w:r w:rsidRPr="00156980">
        <w:rPr>
          <w:szCs w:val="17"/>
        </w:rPr>
        <w:t>n</w:t>
      </w:r>
      <w:r w:rsidRPr="00156980">
        <w:rPr>
          <w:szCs w:val="17"/>
        </w:rPr>
        <w:t xml:space="preserve">gungen resultieren; es ergeben sich weniger Möglichkeiten der Informationsgewinnung (vgl. Abschnitt </w:t>
      </w:r>
      <w:fldSimple w:instr=" REF _Ref225339965 \r \h  \* MERGEFORMAT ">
        <w:r w:rsidR="001231D3" w:rsidRPr="001231D3">
          <w:rPr>
            <w:szCs w:val="17"/>
          </w:rPr>
          <w:t>2.8</w:t>
        </w:r>
      </w:fldSimple>
      <w:r w:rsidRPr="00156980">
        <w:rPr>
          <w:szCs w:val="17"/>
        </w:rPr>
        <w:t>).</w:t>
      </w:r>
    </w:p>
  </w:footnote>
  <w:footnote w:id="4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Zuordnung eines bestimmten Stils zu einer Richtung Abschnitt </w:t>
      </w:r>
      <w:fldSimple w:instr=" REF _Ref252580258 \r \h  \* MERGEFORMAT ">
        <w:r w:rsidR="001231D3" w:rsidRPr="001231D3">
          <w:rPr>
            <w:szCs w:val="17"/>
          </w:rPr>
          <w:t>8.3.2</w:t>
        </w:r>
      </w:fldSimple>
      <w:r w:rsidRPr="00156980">
        <w:rPr>
          <w:szCs w:val="17"/>
        </w:rPr>
        <w:t>.</w:t>
      </w:r>
    </w:p>
  </w:footnote>
  <w:footnote w:id="4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0736236 \h  \* MERGEFORMAT ">
        <w:r w:rsidR="001231D3" w:rsidRPr="001231D3">
          <w:rPr>
            <w:szCs w:val="17"/>
          </w:rPr>
          <w:t>449</w:t>
        </w:r>
      </w:fldSimple>
      <w:r w:rsidRPr="00156980">
        <w:rPr>
          <w:szCs w:val="17"/>
        </w:rPr>
        <w:t>.</w:t>
      </w:r>
    </w:p>
  </w:footnote>
  <w:footnote w:id="4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Wenn hier die Operation „Abduktion“ angewandt wird, dann heißt dies streng geno</w:t>
      </w:r>
      <w:r w:rsidRPr="00156980">
        <w:rPr>
          <w:szCs w:val="17"/>
        </w:rPr>
        <w:t>m</w:t>
      </w:r>
      <w:r w:rsidRPr="00156980">
        <w:rPr>
          <w:szCs w:val="17"/>
        </w:rPr>
        <w:t>men, dass nach einer allgemeinen Regel gesucht wird, zu der die beobachtete Einzeltats</w:t>
      </w:r>
      <w:r w:rsidRPr="00156980">
        <w:rPr>
          <w:szCs w:val="17"/>
        </w:rPr>
        <w:t>a</w:t>
      </w:r>
      <w:r w:rsidRPr="00156980">
        <w:rPr>
          <w:szCs w:val="17"/>
        </w:rPr>
        <w:t xml:space="preserve">che einen Fall darstellt (vgl. </w:t>
      </w:r>
      <w:fldSimple w:instr=" REF _Ref254853315 \n \h  \* MERGEFORMAT ">
        <w:r w:rsidR="001231D3" w:rsidRPr="001231D3">
          <w:rPr>
            <w:szCs w:val="17"/>
          </w:rPr>
          <w:t>6.4.3</w:t>
        </w:r>
      </w:fldSimple>
      <w:r w:rsidRPr="00156980">
        <w:rPr>
          <w:szCs w:val="17"/>
        </w:rPr>
        <w:t>); damit ist dann eine Ursache für diese Einzeltatsache gefunden. Genau genommen wird also geschlossen: ‚Immer wenn SN sich nicht gut fühlt, vergisst er/sie die Rücksichtnahme. Jetzt fühlt er/sie sich nicht gut und vergisst daher die Rücksichtnahme‘.</w:t>
      </w:r>
    </w:p>
  </w:footnote>
  <w:footnote w:id="4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Inhaltliche Bedingungen und Kontextbedingungen</w:t>
      </w:r>
      <w:r w:rsidR="005D7996">
        <w:rPr>
          <w:szCs w:val="17"/>
        </w:rPr>
        <w:fldChar w:fldCharType="begin"/>
      </w:r>
      <w:r>
        <w:instrText xml:space="preserve"> XE "</w:instrText>
      </w:r>
      <w:r w:rsidRPr="00280AB6">
        <w:instrText>Kontextbedingungen</w:instrText>
      </w:r>
      <w:r>
        <w:instrText xml:space="preserve">" </w:instrText>
      </w:r>
      <w:r w:rsidR="005D7996">
        <w:rPr>
          <w:szCs w:val="17"/>
        </w:rPr>
        <w:fldChar w:fldCharType="end"/>
      </w:r>
      <w:r w:rsidRPr="00156980">
        <w:rPr>
          <w:szCs w:val="17"/>
        </w:rPr>
        <w:t xml:space="preserve"> gehören zu den Zusatzbedingungen; vgl. </w:t>
      </w:r>
      <w:fldSimple w:instr=" REF _Ref211841829 \r \h  \* MERGEFORMAT ">
        <w:r w:rsidR="001231D3" w:rsidRPr="001231D3">
          <w:rPr>
            <w:szCs w:val="17"/>
          </w:rPr>
          <w:t>4.3.1</w:t>
        </w:r>
      </w:fldSimple>
      <w:r w:rsidRPr="00156980">
        <w:rPr>
          <w:szCs w:val="17"/>
        </w:rPr>
        <w:t>, (2).</w:t>
      </w:r>
    </w:p>
  </w:footnote>
  <w:footnote w:id="4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Rekonstruktion der </w:t>
      </w:r>
      <w:r>
        <w:rPr>
          <w:szCs w:val="17"/>
        </w:rPr>
        <w:t>Alter</w:t>
      </w:r>
      <w:r>
        <w:rPr>
          <w:szCs w:val="17"/>
        </w:rPr>
        <w:softHyphen/>
        <w:t>nativen</w:t>
      </w:r>
      <w:r>
        <w:rPr>
          <w:szCs w:val="17"/>
        </w:rPr>
        <w:softHyphen/>
        <w:t>klasse</w:t>
      </w:r>
      <w:r w:rsidRPr="00156980">
        <w:rPr>
          <w:szCs w:val="17"/>
        </w:rPr>
        <w:t xml:space="preserve">n erfolgt in der Funktion </w:t>
      </w:r>
      <w:r w:rsidRPr="00156980">
        <w:rPr>
          <w:i/>
          <w:szCs w:val="17"/>
        </w:rPr>
        <w:t>Merkmalsr</w:t>
      </w:r>
      <w:r w:rsidRPr="00156980">
        <w:rPr>
          <w:i/>
          <w:szCs w:val="17"/>
        </w:rPr>
        <w:t>e</w:t>
      </w:r>
      <w:r w:rsidRPr="00156980">
        <w:rPr>
          <w:i/>
          <w:szCs w:val="17"/>
        </w:rPr>
        <w:t>geln_auslesen</w:t>
      </w:r>
      <w:r w:rsidRPr="00156980">
        <w:rPr>
          <w:szCs w:val="17"/>
        </w:rPr>
        <w:t xml:space="preserve">, Zeile 4-18 (Abschnitt </w:t>
      </w:r>
      <w:fldSimple w:instr=" REF _Ref254084330 \r \h  \* MERGEFORMAT ">
        <w:r w:rsidR="001231D3" w:rsidRPr="001231D3">
          <w:rPr>
            <w:szCs w:val="17"/>
          </w:rPr>
          <w:t>5.5.3</w:t>
        </w:r>
      </w:fldSimple>
      <w:r w:rsidRPr="00156980">
        <w:rPr>
          <w:szCs w:val="17"/>
        </w:rPr>
        <w:t>).</w:t>
      </w:r>
    </w:p>
  </w:footnote>
  <w:footnote w:id="4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3-D-Modell des Atheneum, das die stilistischen Merkmale zeigt, die (in Form der sie erzeugenden Merkmalsregeln) der Interpretation zugrunde liegen, findet sich unter http://sketchup.google.com/3dwarehouse/details?mid=17c34a3bcbdd10276f6306d34b5be3a7; Einsicht am </w:t>
      </w:r>
      <w:r w:rsidRPr="00F87985">
        <w:t>16.04.2012</w:t>
      </w:r>
      <w:r w:rsidRPr="00156980">
        <w:rPr>
          <w:szCs w:val="17"/>
        </w:rPr>
        <w:t>.</w:t>
      </w:r>
    </w:p>
  </w:footnote>
  <w:footnote w:id="4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w:t>
      </w:r>
      <w:fldSimple w:instr=" REF _Ref254694742 \r \h  \* MERGEFORMAT ">
        <w:r w:rsidR="001231D3" w:rsidRPr="001231D3">
          <w:rPr>
            <w:szCs w:val="17"/>
          </w:rPr>
          <w:t>7.2.3</w:t>
        </w:r>
      </w:fldSimple>
      <w:r w:rsidRPr="00156980">
        <w:rPr>
          <w:szCs w:val="17"/>
        </w:rPr>
        <w:t xml:space="preserve">, Funktion </w:t>
      </w:r>
      <w:r w:rsidRPr="00156980">
        <w:rPr>
          <w:i/>
          <w:szCs w:val="17"/>
        </w:rPr>
        <w:t>Ergebnisse</w:t>
      </w:r>
      <w:r w:rsidRPr="00156980">
        <w:rPr>
          <w:szCs w:val="17"/>
        </w:rPr>
        <w:t>, Zeile 4. Will man die mehrfache Erzeugung von Eleme</w:t>
      </w:r>
      <w:r w:rsidRPr="00156980">
        <w:rPr>
          <w:szCs w:val="17"/>
        </w:rPr>
        <w:t>n</w:t>
      </w:r>
      <w:r w:rsidRPr="00156980">
        <w:rPr>
          <w:szCs w:val="17"/>
        </w:rPr>
        <w:t xml:space="preserve">ten erlauben, kann man die Subtraktion von </w:t>
      </w:r>
      <w:r w:rsidRPr="00156980">
        <w:rPr>
          <w:i/>
          <w:szCs w:val="17"/>
        </w:rPr>
        <w:t>Er</w:t>
      </w:r>
      <w:r w:rsidRPr="00156980">
        <w:rPr>
          <w:szCs w:val="17"/>
        </w:rPr>
        <w:t xml:space="preserve"> weglassen, das dann auch nicht an die Funktion übergeben werden muss. In diesem Fall kann man annehmen, dass die Funkt</w:t>
      </w:r>
      <w:r w:rsidRPr="00156980">
        <w:rPr>
          <w:szCs w:val="17"/>
        </w:rPr>
        <w:t>i</w:t>
      </w:r>
      <w:r w:rsidRPr="00156980">
        <w:rPr>
          <w:szCs w:val="17"/>
        </w:rPr>
        <w:t xml:space="preserve">on </w:t>
      </w:r>
      <w:r w:rsidRPr="00156980">
        <w:rPr>
          <w:i/>
          <w:szCs w:val="17"/>
        </w:rPr>
        <w:t>Interesse</w:t>
      </w:r>
      <w:r w:rsidRPr="00156980">
        <w:rPr>
          <w:szCs w:val="17"/>
        </w:rPr>
        <w:t xml:space="preserve"> in Zeile 6 für gewöhnlich Desinteresse signalisieren wird, wenn ein schon früher erzeugtes (und eventuell schon geschriebenes) Element erneut erzeugt wird, so dass nur besonders interessante Ergebnisse mehrmals geschrieben werden.</w:t>
      </w:r>
    </w:p>
  </w:footnote>
  <w:footnote w:id="4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Philip Jodidio spricht von einer „recurring ship metaphor“ (Jodidio 1995: 60).</w:t>
      </w:r>
    </w:p>
  </w:footnote>
  <w:footnote w:id="4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findet sich beim „Westchester House</w:t>
      </w:r>
      <w:r w:rsidR="005D7996">
        <w:rPr>
          <w:szCs w:val="17"/>
        </w:rPr>
        <w:fldChar w:fldCharType="begin"/>
      </w:r>
      <w:r>
        <w:instrText xml:space="preserve"> XE "</w:instrText>
      </w:r>
      <w:r w:rsidRPr="004C0BCB">
        <w:rPr>
          <w:szCs w:val="17"/>
        </w:rPr>
        <w:instrText>Westchester House (Richard Meier)</w:instrText>
      </w:r>
      <w:r>
        <w:instrText xml:space="preserve">" </w:instrText>
      </w:r>
      <w:r w:rsidR="005D7996">
        <w:rPr>
          <w:szCs w:val="17"/>
        </w:rPr>
        <w:fldChar w:fldCharType="end"/>
      </w:r>
      <w:r w:rsidRPr="00156980">
        <w:rPr>
          <w:szCs w:val="17"/>
        </w:rPr>
        <w:t>“ (Abb. 4) ein gerundeter, bugähnlich zulaufe</w:t>
      </w:r>
      <w:r w:rsidRPr="00156980">
        <w:rPr>
          <w:szCs w:val="17"/>
        </w:rPr>
        <w:t>n</w:t>
      </w:r>
      <w:r w:rsidRPr="00156980">
        <w:rPr>
          <w:szCs w:val="17"/>
        </w:rPr>
        <w:t>der Baukörper (links), gut sichtbare runde Schornsteine, eine Reihe von drei kleinen Fenstern (rechts, eines verdeckt), zurückgestufte weiße Baukörper, die an Schiffsaufba</w:t>
      </w:r>
      <w:r w:rsidRPr="00156980">
        <w:rPr>
          <w:szCs w:val="17"/>
        </w:rPr>
        <w:t>u</w:t>
      </w:r>
      <w:r w:rsidRPr="00156980">
        <w:rPr>
          <w:szCs w:val="17"/>
        </w:rPr>
        <w:t>ten erinnern, und relingsähnliche Geländer.</w:t>
      </w:r>
    </w:p>
  </w:footnote>
  <w:footnote w:id="4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„Westchester House</w:t>
      </w:r>
      <w:r w:rsidR="005D7996">
        <w:rPr>
          <w:szCs w:val="17"/>
        </w:rPr>
        <w:fldChar w:fldCharType="begin"/>
      </w:r>
      <w:r>
        <w:instrText xml:space="preserve"> XE "</w:instrText>
      </w:r>
      <w:r w:rsidRPr="00587A60">
        <w:rPr>
          <w:szCs w:val="17"/>
        </w:rPr>
        <w:instrText>Westchester House (Richard Meier)</w:instrText>
      </w:r>
      <w:r>
        <w:instrText xml:space="preserve">" </w:instrText>
      </w:r>
      <w:r w:rsidR="005D7996">
        <w:rPr>
          <w:szCs w:val="17"/>
        </w:rPr>
        <w:fldChar w:fldCharType="end"/>
      </w:r>
      <w:r w:rsidRPr="00156980">
        <w:rPr>
          <w:szCs w:val="17"/>
        </w:rPr>
        <w:t>“ (Abb. 4), „Douglas House“ (Abb. in Jodidio 1995: 57), „Grotta House“ (Abb. ebd.: 104f) und „Daimler-Benz-Forschungszentrum“ (Abb. ebd.: 136f).</w:t>
      </w:r>
    </w:p>
  </w:footnote>
  <w:footnote w:id="4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„Westchester House“ (Abb. 4), „Des Moines Art Center Addition“ (Abb. in Jodidio 1995: 84f) und „Ackerberg House“ (Abb. ebd.: 90f).</w:t>
      </w:r>
    </w:p>
  </w:footnote>
  <w:footnote w:id="4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„Atheneum</w:t>
      </w:r>
      <w:r w:rsidR="005D7996">
        <w:fldChar w:fldCharType="begin"/>
      </w:r>
      <w:r>
        <w:instrText xml:space="preserve"> XE "Atheneum (Richard Meier)" </w:instrText>
      </w:r>
      <w:r w:rsidR="005D7996">
        <w:fldChar w:fldCharType="end"/>
      </w:r>
      <w:r w:rsidRPr="00156980">
        <w:rPr>
          <w:szCs w:val="17"/>
        </w:rPr>
        <w:t>“ (Abb. in Jodidio 1995: 60) und „Westchester House</w:t>
      </w:r>
      <w:r w:rsidR="005D7996">
        <w:rPr>
          <w:szCs w:val="17"/>
        </w:rPr>
        <w:fldChar w:fldCharType="begin"/>
      </w:r>
      <w:r>
        <w:instrText xml:space="preserve"> XE "</w:instrText>
      </w:r>
      <w:r w:rsidRPr="00E6786E">
        <w:rPr>
          <w:szCs w:val="17"/>
        </w:rPr>
        <w:instrText>Westchester House (Richard Meier)</w:instrText>
      </w:r>
      <w:r>
        <w:instrText xml:space="preserve">" </w:instrText>
      </w:r>
      <w:r w:rsidR="005D7996">
        <w:rPr>
          <w:szCs w:val="17"/>
        </w:rPr>
        <w:fldChar w:fldCharType="end"/>
      </w:r>
      <w:r w:rsidRPr="00156980">
        <w:rPr>
          <w:szCs w:val="17"/>
        </w:rPr>
        <w:t>“ (Abb. ebd.: 97).</w:t>
      </w:r>
    </w:p>
  </w:footnote>
  <w:footnote w:id="4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Moderne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und Postmoderne</w:t>
      </w:r>
      <w:r w:rsidR="005D7996">
        <w:rPr>
          <w:szCs w:val="17"/>
        </w:rPr>
        <w:fldChar w:fldCharType="begin"/>
      </w:r>
      <w:r>
        <w:instrText xml:space="preserve"> XE "</w:instrText>
      </w:r>
      <w:r w:rsidRPr="00445725">
        <w:instrText>Postmoderne</w:instrText>
      </w:r>
      <w:r>
        <w:instrText xml:space="preserve">" </w:instrText>
      </w:r>
      <w:r w:rsidR="005D7996">
        <w:rPr>
          <w:szCs w:val="17"/>
        </w:rPr>
        <w:fldChar w:fldCharType="end"/>
      </w:r>
      <w:r w:rsidRPr="00156980">
        <w:rPr>
          <w:szCs w:val="17"/>
        </w:rPr>
        <w:t xml:space="preserve"> können als architektonische Richtungen (vgl. </w:t>
      </w:r>
      <w:fldSimple w:instr=" REF _Ref252580258 \r \h  \* MERGEFORMAT ">
        <w:r w:rsidR="001231D3" w:rsidRPr="001231D3">
          <w:rPr>
            <w:szCs w:val="17"/>
          </w:rPr>
          <w:t>8.3.2</w:t>
        </w:r>
      </w:fldSimple>
      <w:r w:rsidRPr="00156980">
        <w:rPr>
          <w:szCs w:val="17"/>
        </w:rPr>
        <w:t xml:space="preserve">) oder als Epochenstile (vgl. </w:t>
      </w:r>
      <w:fldSimple w:instr=" REF _Ref260076032 \r \h  \* MERGEFORMAT ">
        <w:r w:rsidR="001231D3" w:rsidRPr="001231D3">
          <w:rPr>
            <w:szCs w:val="17"/>
          </w:rPr>
          <w:t>8.3.4</w:t>
        </w:r>
      </w:fldSimple>
      <w:r w:rsidRPr="00156980">
        <w:rPr>
          <w:szCs w:val="17"/>
        </w:rPr>
        <w:t>) beschrieben werden.</w:t>
      </w:r>
    </w:p>
  </w:footnote>
  <w:footnote w:id="4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AP = Ellis 1991, G = Ellis 1998; für jede Merkmalsregeln werden zwei Belegstellen a</w:t>
      </w:r>
      <w:r w:rsidRPr="00156980">
        <w:rPr>
          <w:szCs w:val="17"/>
        </w:rPr>
        <w:t>n</w:t>
      </w:r>
      <w:r w:rsidRPr="00156980">
        <w:rPr>
          <w:szCs w:val="17"/>
        </w:rPr>
        <w:t>gegeben.</w:t>
      </w:r>
    </w:p>
  </w:footnote>
  <w:footnote w:id="4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anfängliche Darstellung aller Merkmalsregeln verweist darauf, dass die Menge von Merkmalsregeln </w:t>
      </w:r>
      <w:r w:rsidRPr="00156980">
        <w:rPr>
          <w:i/>
          <w:szCs w:val="17"/>
        </w:rPr>
        <w:t>B</w:t>
      </w:r>
      <w:r w:rsidRPr="00156980">
        <w:rPr>
          <w:szCs w:val="17"/>
        </w:rPr>
        <w:t xml:space="preserve"> vollständig ausgelesen wird, bevor die Interpretation beginnt. Dies dürfte allerdings eine Vereinfachung sein: Für tatsächliche Stilwahrnehmungen ist es plausibel, dass die Interpretation beginnt, wenn eine gewisse Anzahl an Merkmalsregeln ausgelesen ist, und dass dann nach Bedarf weitere Merkmalsregeln ausgelesen werden.</w:t>
      </w:r>
    </w:p>
    <w:p w:rsidR="00CC3558" w:rsidRPr="00156980" w:rsidRDefault="00CC3558" w:rsidP="00F461D9">
      <w:pPr>
        <w:pStyle w:val="Funotentext"/>
        <w:rPr>
          <w:szCs w:val="17"/>
        </w:rPr>
      </w:pPr>
      <w:r w:rsidRPr="00156980">
        <w:rPr>
          <w:szCs w:val="17"/>
        </w:rPr>
        <w:tab/>
        <w:t>Die beiden Extremfälle, dass auf der Basis einer gegebenen Menge von Merkmalsregeln interpretiert wird, oder dass jede Merkmalsregel unmittelbar nach dem Auslesen in einem Interpretationsschritt verwendet wird, dürften in der Realität Ausnahmen sein. Im hier vorgestellten Modell wird die erste Variante gewählt. Dies hat vor allem praktische Grü</w:t>
      </w:r>
      <w:r w:rsidRPr="00156980">
        <w:rPr>
          <w:szCs w:val="17"/>
        </w:rPr>
        <w:t>n</w:t>
      </w:r>
      <w:r w:rsidRPr="00156980">
        <w:rPr>
          <w:szCs w:val="17"/>
        </w:rPr>
        <w:t>de: Rückwirkungen des Interpretationsprozesses auf den Merkmalsprozess können u</w:t>
      </w:r>
      <w:r w:rsidRPr="00156980">
        <w:rPr>
          <w:szCs w:val="17"/>
        </w:rPr>
        <w:t>n</w:t>
      </w:r>
      <w:r w:rsidRPr="00156980">
        <w:rPr>
          <w:szCs w:val="17"/>
        </w:rPr>
        <w:t>terschiedliche Formen annehmen, jede spezifische Modellierung</w:t>
      </w:r>
      <w:r w:rsidR="005D7996">
        <w:rPr>
          <w:szCs w:val="17"/>
        </w:rPr>
        <w:fldChar w:fldCharType="begin"/>
      </w:r>
      <w:r>
        <w:instrText xml:space="preserve"> XE "</w:instrText>
      </w:r>
      <w:r w:rsidRPr="00A714E8">
        <w:instrText>Modellierung</w:instrText>
      </w:r>
      <w:r>
        <w:instrText xml:space="preserve">" </w:instrText>
      </w:r>
      <w:r w:rsidR="005D7996">
        <w:rPr>
          <w:szCs w:val="17"/>
        </w:rPr>
        <w:fldChar w:fldCharType="end"/>
      </w:r>
      <w:r w:rsidRPr="00156980">
        <w:rPr>
          <w:szCs w:val="17"/>
        </w:rPr>
        <w:t xml:space="preserve"> wäre nicht allgemeingü</w:t>
      </w:r>
      <w:r w:rsidRPr="00156980">
        <w:rPr>
          <w:szCs w:val="17"/>
        </w:rPr>
        <w:t>l</w:t>
      </w:r>
      <w:r w:rsidRPr="00156980">
        <w:rPr>
          <w:szCs w:val="17"/>
        </w:rPr>
        <w:t xml:space="preserve">tig (vgl. Abschnitt </w:t>
      </w:r>
      <w:fldSimple w:instr=" REF _Ref259267296 \r \h  \* MERGEFORMAT ">
        <w:r w:rsidR="001231D3" w:rsidRPr="001231D3">
          <w:rPr>
            <w:szCs w:val="17"/>
          </w:rPr>
          <w:t>7.3.4</w:t>
        </w:r>
      </w:fldSimple>
      <w:r w:rsidRPr="00156980">
        <w:rPr>
          <w:szCs w:val="17"/>
        </w:rPr>
        <w:t>).</w:t>
      </w:r>
    </w:p>
  </w:footnote>
  <w:footnote w:id="4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auch Beispiel </w:t>
      </w:r>
      <w:fldSimple w:instr=" REF _Ref258413167 \r \h  \* MERGEFORMAT ">
        <w:r w:rsidR="001231D3" w:rsidRPr="001231D3">
          <w:rPr>
            <w:szCs w:val="17"/>
          </w:rPr>
          <w:t>7.1.4</w:t>
        </w:r>
      </w:fldSimple>
      <w:r w:rsidRPr="00156980">
        <w:rPr>
          <w:szCs w:val="17"/>
        </w:rPr>
        <w:t>, Variante 7.</w:t>
      </w:r>
    </w:p>
  </w:footnote>
  <w:footnote w:id="4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„Ich glaube, ich bin sehr moralisch. Es liegt eine Art von Moral in meinem Schreibstil</w:t>
      </w:r>
      <w:r w:rsidR="005D7996">
        <w:rPr>
          <w:szCs w:val="17"/>
        </w:rPr>
        <w:fldChar w:fldCharType="begin"/>
      </w:r>
      <w:r>
        <w:instrText xml:space="preserve"> XE "</w:instrText>
      </w:r>
      <w:r w:rsidRPr="008B7C1D">
        <w:instrText>Schreibstil</w:instrText>
      </w:r>
      <w:r>
        <w:instrText xml:space="preserve">" </w:instrText>
      </w:r>
      <w:r w:rsidR="005D7996">
        <w:rPr>
          <w:szCs w:val="17"/>
        </w:rPr>
        <w:fldChar w:fldCharType="end"/>
      </w:r>
      <w:r w:rsidRPr="00156980">
        <w:rPr>
          <w:szCs w:val="17"/>
        </w:rPr>
        <w:t xml:space="preserve">, in diesem nicht urteilenden Ton.“ (Christian Jürgens, „Das Monster ist ein Moralist“. </w:t>
      </w:r>
      <w:r w:rsidRPr="00156980">
        <w:rPr>
          <w:i/>
          <w:szCs w:val="17"/>
        </w:rPr>
        <w:t>Zeit online</w:t>
      </w:r>
      <w:r w:rsidRPr="00156980">
        <w:rPr>
          <w:szCs w:val="17"/>
        </w:rPr>
        <w:t>, 1999. Online unter: http://www.zeit.de/1999/32/199932.b.e.ellis_.xml?page=2; Einsicht am 1.2.09.)</w:t>
      </w:r>
    </w:p>
  </w:footnote>
  <w:footnote w:id="4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Angabe inhaltlicher Bedingungen in </w:t>
      </w:r>
      <w:r w:rsidRPr="00156980">
        <w:rPr>
          <w:i/>
          <w:iCs/>
          <w:szCs w:val="17"/>
        </w:rPr>
        <w:t>B</w:t>
      </w:r>
      <w:r w:rsidRPr="00156980">
        <w:rPr>
          <w:szCs w:val="17"/>
          <w:vertAlign w:val="subscript"/>
        </w:rPr>
        <w:t>7</w:t>
      </w:r>
      <w:r w:rsidRPr="00156980">
        <w:rPr>
          <w:szCs w:val="17"/>
        </w:rPr>
        <w:t xml:space="preserve"> und </w:t>
      </w:r>
      <w:r w:rsidRPr="00156980">
        <w:rPr>
          <w:i/>
          <w:iCs/>
          <w:szCs w:val="17"/>
        </w:rPr>
        <w:t>B</w:t>
      </w:r>
      <w:r w:rsidRPr="00156980">
        <w:rPr>
          <w:szCs w:val="17"/>
          <w:vertAlign w:val="subscript"/>
        </w:rPr>
        <w:t>8</w:t>
      </w:r>
      <w:r w:rsidRPr="00156980">
        <w:rPr>
          <w:szCs w:val="17"/>
        </w:rPr>
        <w:t xml:space="preserve"> ist dafür nötig; inhaltliche Bedingu</w:t>
      </w:r>
      <w:r w:rsidRPr="00156980">
        <w:rPr>
          <w:szCs w:val="17"/>
        </w:rPr>
        <w:t>n</w:t>
      </w:r>
      <w:r w:rsidRPr="00156980">
        <w:rPr>
          <w:szCs w:val="17"/>
        </w:rPr>
        <w:t>gen</w:t>
      </w:r>
      <w:r w:rsidR="005D7996">
        <w:rPr>
          <w:szCs w:val="17"/>
        </w:rPr>
        <w:fldChar w:fldCharType="begin"/>
      </w:r>
      <w:r>
        <w:instrText xml:space="preserve"> XE "</w:instrText>
      </w:r>
      <w:r w:rsidRPr="007605F5">
        <w:instrText>inhaltliche Bedingungen</w:instrText>
      </w:r>
      <w:r>
        <w:instrText xml:space="preserve">" </w:instrText>
      </w:r>
      <w:r w:rsidR="005D7996">
        <w:rPr>
          <w:szCs w:val="17"/>
        </w:rPr>
        <w:fldChar w:fldCharType="end"/>
      </w:r>
      <w:r w:rsidRPr="00156980">
        <w:rPr>
          <w:szCs w:val="17"/>
        </w:rPr>
        <w:t xml:space="preserve"> beziehen sich jedoch allgemein auf den Ausdruck bestimmter Arten von Inhalten (etwa ‚Folterszenen‘) und sagen nichts über deren Häufigkeit, Anordnung oder Zusa</w:t>
      </w:r>
      <w:r w:rsidRPr="00156980">
        <w:rPr>
          <w:szCs w:val="17"/>
        </w:rPr>
        <w:t>m</w:t>
      </w:r>
      <w:r w:rsidRPr="00156980">
        <w:rPr>
          <w:szCs w:val="17"/>
        </w:rPr>
        <w:t>menhang mit anderen Inhalten aus.</w:t>
      </w:r>
    </w:p>
  </w:footnote>
  <w:footnote w:id="4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Frankl 1988: 67.</w:t>
      </w:r>
    </w:p>
  </w:footnote>
  <w:footnote w:id="4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Trabant (1979: 586) erwähnt Riffaterre</w:t>
      </w:r>
      <w:r w:rsidR="005D7996">
        <w:rPr>
          <w:szCs w:val="17"/>
        </w:rPr>
        <w:fldChar w:fldCharType="begin"/>
      </w:r>
      <w:r>
        <w:instrText xml:space="preserve"> XE "</w:instrText>
      </w:r>
      <w:r w:rsidRPr="00E45AFD">
        <w:instrText>Riffaterre, Michael</w:instrText>
      </w:r>
      <w:r>
        <w:instrText xml:space="preserve">" </w:instrText>
      </w:r>
      <w:r w:rsidR="005D7996">
        <w:rPr>
          <w:szCs w:val="17"/>
        </w:rPr>
        <w:fldChar w:fldCharType="end"/>
      </w:r>
      <w:r w:rsidRPr="00156980">
        <w:rPr>
          <w:szCs w:val="17"/>
        </w:rPr>
        <w:t xml:space="preserve"> 1973 und Spillner 1974a als Beispiele für Positi</w:t>
      </w:r>
      <w:r w:rsidRPr="00156980">
        <w:rPr>
          <w:szCs w:val="17"/>
        </w:rPr>
        <w:t>o</w:t>
      </w:r>
      <w:r w:rsidRPr="00156980">
        <w:rPr>
          <w:szCs w:val="17"/>
        </w:rPr>
        <w:t>nen, die die Subjektivität der Bestimmung einzelner Stile als „Unwissenschaftlichkeit“ a</w:t>
      </w:r>
      <w:r w:rsidRPr="00156980">
        <w:rPr>
          <w:szCs w:val="17"/>
        </w:rPr>
        <w:t>n</w:t>
      </w:r>
      <w:r w:rsidRPr="00156980">
        <w:rPr>
          <w:szCs w:val="17"/>
        </w:rPr>
        <w:t xml:space="preserve">sehen, „der im Rahmen einer </w:t>
      </w:r>
      <w:r w:rsidRPr="00156980">
        <w:rPr>
          <w:i/>
          <w:szCs w:val="17"/>
        </w:rPr>
        <w:t>richtigen</w:t>
      </w:r>
      <w:r w:rsidRPr="00156980">
        <w:rPr>
          <w:szCs w:val="17"/>
        </w:rPr>
        <w:t xml:space="preserve"> Wissenschaft vom Stil abgeholfen werden müsse und könne“. Tatsächlich ist gerade die Subjektivität sowohl beim Auslesen der Merkmal</w:t>
      </w:r>
      <w:r w:rsidRPr="00156980">
        <w:rPr>
          <w:szCs w:val="17"/>
        </w:rPr>
        <w:t>s</w:t>
      </w:r>
      <w:r w:rsidRPr="00156980">
        <w:rPr>
          <w:szCs w:val="17"/>
        </w:rPr>
        <w:t xml:space="preserve">regeln als auch beim Erzeugen einer Interpretation eine Eigenschaft des Phänomens Stil, die aus seiner Funktionsweise resultiert (vgl. Abschnitt </w:t>
      </w:r>
      <w:fldSimple w:instr=" REF _Ref269151730 \r \h  \* MERGEFORMAT ">
        <w:r w:rsidR="001231D3" w:rsidRPr="001231D3">
          <w:rPr>
            <w:szCs w:val="17"/>
          </w:rPr>
          <w:t>7.3.6</w:t>
        </w:r>
      </w:fldSimple>
      <w:r w:rsidRPr="00156980">
        <w:rPr>
          <w:szCs w:val="17"/>
        </w:rPr>
        <w:t>).</w:t>
      </w:r>
    </w:p>
  </w:footnote>
  <w:footnote w:id="4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Zur Annahme, Stile sollten möglich präzise wahrgenommen werden, siehe Abschnitt </w:t>
      </w:r>
      <w:fldSimple w:instr=" REF _Ref267825153 \r \h  \* MERGEFORMAT ">
        <w:r w:rsidR="001231D3" w:rsidRPr="001231D3">
          <w:rPr>
            <w:szCs w:val="17"/>
          </w:rPr>
          <w:t>9.3</w:t>
        </w:r>
      </w:fldSimple>
      <w:r w:rsidRPr="00156980">
        <w:rPr>
          <w:szCs w:val="17"/>
        </w:rPr>
        <w:t>. Zum Beschreibungsirrtum</w:t>
      </w:r>
      <w:r w:rsidR="005D7996">
        <w:rPr>
          <w:szCs w:val="17"/>
        </w:rPr>
        <w:fldChar w:fldCharType="begin"/>
      </w:r>
      <w:r>
        <w:instrText xml:space="preserve"> XE "</w:instrText>
      </w:r>
      <w:r w:rsidRPr="00E22230">
        <w:rPr>
          <w:rFonts w:cs="Times New Roman"/>
        </w:rPr>
        <w:instrText>Beschreibungsirrtum</w:instrText>
      </w:r>
      <w:r>
        <w:instrText xml:space="preserve">" </w:instrText>
      </w:r>
      <w:r w:rsidR="005D7996">
        <w:rPr>
          <w:szCs w:val="17"/>
        </w:rPr>
        <w:fldChar w:fldCharType="end"/>
      </w:r>
      <w:r w:rsidRPr="00156980">
        <w:rPr>
          <w:szCs w:val="17"/>
        </w:rPr>
        <w:t xml:space="preserve"> in den Geisteswissenschaften</w:t>
      </w:r>
      <w:r w:rsidR="005D7996">
        <w:rPr>
          <w:szCs w:val="17"/>
        </w:rPr>
        <w:fldChar w:fldCharType="begin"/>
      </w:r>
      <w:r>
        <w:instrText xml:space="preserve"> XE "</w:instrText>
      </w:r>
      <w:r w:rsidRPr="0011705D">
        <w:rPr>
          <w:szCs w:val="17"/>
        </w:rPr>
        <w:instrText>Geisteswissenschaften</w:instrText>
      </w:r>
      <w:r>
        <w:instrText xml:space="preserve">" </w:instrText>
      </w:r>
      <w:r w:rsidR="005D7996">
        <w:rPr>
          <w:szCs w:val="17"/>
        </w:rPr>
        <w:fldChar w:fldCharType="end"/>
      </w:r>
      <w:r w:rsidRPr="00156980">
        <w:rPr>
          <w:szCs w:val="17"/>
        </w:rPr>
        <w:t>, der die Forderung nach größ</w:t>
      </w:r>
      <w:r w:rsidRPr="00156980">
        <w:rPr>
          <w:szCs w:val="17"/>
        </w:rPr>
        <w:t>t</w:t>
      </w:r>
      <w:r w:rsidRPr="00156980">
        <w:rPr>
          <w:szCs w:val="17"/>
        </w:rPr>
        <w:t>möglicher Präzision der Beschreibung implizit in eine Tendenz zur bevorzugten B</w:t>
      </w:r>
      <w:r w:rsidRPr="00156980">
        <w:rPr>
          <w:szCs w:val="17"/>
        </w:rPr>
        <w:t>e</w:t>
      </w:r>
      <w:r w:rsidRPr="00156980">
        <w:rPr>
          <w:szCs w:val="17"/>
        </w:rPr>
        <w:t xml:space="preserve">schreibung präziser Phänomene verwandelt, siehe Abschnitt </w:t>
      </w:r>
      <w:fldSimple w:instr=" REF _Ref214861298 \r \h  \* MERGEFORMAT ">
        <w:r w:rsidR="001231D3" w:rsidRPr="001231D3">
          <w:rPr>
            <w:szCs w:val="17"/>
          </w:rPr>
          <w:t>9.4</w:t>
        </w:r>
      </w:fldSimple>
      <w:r w:rsidRPr="00156980">
        <w:rPr>
          <w:szCs w:val="17"/>
        </w:rPr>
        <w:t>.</w:t>
      </w:r>
    </w:p>
  </w:footnote>
  <w:footnote w:id="4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 wurde zuvor begonnen (Frankl 1988: 64); die zitierten Ergebnisse werden jedoch erst im Rahmen der Ste-Chapelle-Interpretation mitgeteilt. Vgl. auch Anmerkung (1).</w:t>
      </w:r>
    </w:p>
  </w:footnote>
  <w:footnote w:id="473">
    <w:p w:rsidR="00CC3558" w:rsidRPr="00156980" w:rsidRDefault="00CC3558" w:rsidP="00C50B6B">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Während ‚im Vorteil‘ </w:t>
      </w:r>
      <w:r>
        <w:rPr>
          <w:szCs w:val="17"/>
        </w:rPr>
        <w:t>bzw.</w:t>
      </w:r>
      <w:r w:rsidRPr="00156980">
        <w:rPr>
          <w:szCs w:val="17"/>
        </w:rPr>
        <w:t xml:space="preserve"> ‚im Nachteil‘ Schemaorte sind, werden die zusätzlichen B</w:t>
      </w:r>
      <w:r w:rsidRPr="00156980">
        <w:rPr>
          <w:szCs w:val="17"/>
        </w:rPr>
        <w:t>e</w:t>
      </w:r>
      <w:r w:rsidRPr="00156980">
        <w:rPr>
          <w:szCs w:val="17"/>
        </w:rPr>
        <w:t xml:space="preserve">dingungen </w:t>
      </w:r>
      <w:r>
        <w:rPr>
          <w:szCs w:val="17"/>
        </w:rPr>
        <w:t xml:space="preserve">bei </w:t>
      </w:r>
      <w:r>
        <w:rPr>
          <w:i/>
        </w:rPr>
        <w:t>B</w:t>
      </w:r>
      <w:r>
        <w:rPr>
          <w:vertAlign w:val="subscript"/>
        </w:rPr>
        <w:t>1</w:t>
      </w:r>
      <w:r>
        <w:rPr>
          <w:szCs w:val="17"/>
        </w:rPr>
        <w:t xml:space="preserve"> bis </w:t>
      </w:r>
      <w:r>
        <w:rPr>
          <w:i/>
        </w:rPr>
        <w:t>B</w:t>
      </w:r>
      <w:r>
        <w:rPr>
          <w:vertAlign w:val="subscript"/>
        </w:rPr>
        <w:t>4</w:t>
      </w:r>
      <w:r>
        <w:rPr>
          <w:szCs w:val="17"/>
        </w:rPr>
        <w:t xml:space="preserve"> </w:t>
      </w:r>
      <w:r w:rsidRPr="00156980">
        <w:rPr>
          <w:szCs w:val="17"/>
        </w:rPr>
        <w:t>als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angenommen (vgl. </w:t>
      </w:r>
      <w:fldSimple w:instr=" REF _Ref211841829 \r \h  \* MERGEFORMAT ">
        <w:r w:rsidR="001231D3" w:rsidRPr="001231D3">
          <w:rPr>
            <w:szCs w:val="17"/>
          </w:rPr>
          <w:t>4.3.1</w:t>
        </w:r>
      </w:fldSimple>
      <w:r w:rsidRPr="00156980">
        <w:rPr>
          <w:szCs w:val="17"/>
        </w:rPr>
        <w:t>, (2)) und daher in Klammern gesetzt. Zur Frage, wann Schemaorte und wann Zusatzeigenschaften</w:t>
      </w:r>
      <w:r w:rsidR="005D7996">
        <w:rPr>
          <w:szCs w:val="17"/>
        </w:rPr>
        <w:fldChar w:fldCharType="begin"/>
      </w:r>
      <w:r>
        <w:instrText xml:space="preserve"> XE "</w:instrText>
      </w:r>
      <w:r w:rsidRPr="0034482F">
        <w:instrText>Eigenschaften:Zusatzeigenschaften</w:instrText>
      </w:r>
      <w:r>
        <w:instrText xml:space="preserve">" </w:instrText>
      </w:r>
      <w:r w:rsidR="005D7996">
        <w:rPr>
          <w:szCs w:val="17"/>
        </w:rPr>
        <w:fldChar w:fldCharType="end"/>
      </w:r>
      <w:r w:rsidRPr="00156980">
        <w:rPr>
          <w:szCs w:val="17"/>
        </w:rPr>
        <w:t xml:space="preserve"> ang</w:t>
      </w:r>
      <w:r w:rsidRPr="00156980">
        <w:rPr>
          <w:szCs w:val="17"/>
        </w:rPr>
        <w:t>e</w:t>
      </w:r>
      <w:r w:rsidRPr="00156980">
        <w:rPr>
          <w:szCs w:val="17"/>
        </w:rPr>
        <w:t xml:space="preserve">nommen werden sollten, vgl. </w:t>
      </w:r>
      <w:fldSimple w:instr=" REF _Ref212111029 \n \h  \* MERGEFORMAT ">
        <w:r w:rsidR="001231D3" w:rsidRPr="001231D3">
          <w:rPr>
            <w:szCs w:val="17"/>
          </w:rPr>
          <w:t>4.2.3</w:t>
        </w:r>
      </w:fldSimple>
      <w:r w:rsidRPr="00156980">
        <w:rPr>
          <w:szCs w:val="17"/>
        </w:rPr>
        <w:t>.</w:t>
      </w:r>
    </w:p>
  </w:footnote>
  <w:footnote w:id="4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Priorisierung</w:t>
      </w:r>
      <w:r w:rsidR="005D7996">
        <w:rPr>
          <w:szCs w:val="17"/>
        </w:rPr>
        <w:fldChar w:fldCharType="begin"/>
      </w:r>
      <w:r>
        <w:instrText xml:space="preserve"> XE "</w:instrText>
      </w:r>
      <w:r w:rsidRPr="005F58EF">
        <w:instrText>Priorisierung</w:instrText>
      </w:r>
      <w:r>
        <w:instrText xml:space="preserve">" </w:instrText>
      </w:r>
      <w:r w:rsidR="005D7996">
        <w:rPr>
          <w:szCs w:val="17"/>
        </w:rPr>
        <w:fldChar w:fldCharType="end"/>
      </w:r>
      <w:r w:rsidRPr="00156980">
        <w:rPr>
          <w:szCs w:val="17"/>
        </w:rPr>
        <w:t xml:space="preserve"> wird im Modell nicht ausgelesen; es kann jedoch eine Abschätzung erfolgen (vgl. Abschnitt </w:t>
      </w:r>
      <w:fldSimple w:instr=" REF _Ref212462946 \r \h  \* MERGEFORMAT ">
        <w:r w:rsidR="001231D3" w:rsidRPr="001231D3">
          <w:rPr>
            <w:szCs w:val="17"/>
          </w:rPr>
          <w:t>5.5.5</w:t>
        </w:r>
      </w:fldSimple>
      <w:r w:rsidRPr="00156980">
        <w:rPr>
          <w:szCs w:val="17"/>
        </w:rPr>
        <w:t>).</w:t>
      </w:r>
    </w:p>
  </w:footnote>
  <w:footnote w:id="4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Im 18. Jahrhundert waren in den Städten Ungarns „Zigeunerkapellen“ entstanden, die in Cafés und Wirtshäusern, aber auch in Konzertsälen auftraten; bereits Anfang des 19. Jahrhunderts war diese Musik am Wiener Hof populär. Diese Musikrichtung wurde j</w:t>
      </w:r>
      <w:r w:rsidRPr="00156980">
        <w:rPr>
          <w:szCs w:val="17"/>
        </w:rPr>
        <w:t>e</w:t>
      </w:r>
      <w:r w:rsidRPr="00156980">
        <w:rPr>
          <w:szCs w:val="17"/>
        </w:rPr>
        <w:t>doch nicht nur von ungarischen Roma gespielt und beinhaltete Elemente aus verschied</w:t>
      </w:r>
      <w:r w:rsidRPr="00156980">
        <w:rPr>
          <w:szCs w:val="17"/>
        </w:rPr>
        <w:t>e</w:t>
      </w:r>
      <w:r>
        <w:rPr>
          <w:szCs w:val="17"/>
        </w:rPr>
        <w:t>nen musikalischen Traditionen</w:t>
      </w:r>
      <w:r w:rsidRPr="00156980">
        <w:rPr>
          <w:szCs w:val="17"/>
        </w:rPr>
        <w:t xml:space="preserve"> (http://de.wikipedia.org/wiki/Musik_der_Roma; Ein</w:t>
      </w:r>
      <w:r>
        <w:rPr>
          <w:szCs w:val="17"/>
        </w:rPr>
        <w:t>sicht am 25.01.2012).</w:t>
      </w:r>
    </w:p>
  </w:footnote>
  <w:footnote w:id="4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Liszt 1978: Kap. XIV (160ff).</w:t>
      </w:r>
    </w:p>
  </w:footnote>
  <w:footnote w:id="4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Liszt 1978: 162, 164.</w:t>
      </w:r>
    </w:p>
  </w:footnote>
  <w:footnote w:id="4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Zur Unterscheidung von Musikrichtung und Musikstil vgl. Abschnitt </w:t>
      </w:r>
      <w:fldSimple w:instr=" REF _Ref252580258 \r \h  \* MERGEFORMAT ">
        <w:r w:rsidR="001231D3" w:rsidRPr="001231D3">
          <w:rPr>
            <w:szCs w:val="17"/>
          </w:rPr>
          <w:t>8.3.2</w:t>
        </w:r>
      </w:fldSimple>
      <w:r w:rsidRPr="00156980">
        <w:rPr>
          <w:szCs w:val="17"/>
        </w:rPr>
        <w:t>.</w:t>
      </w:r>
    </w:p>
  </w:footnote>
  <w:footnote w:id="4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zur Verfügung stehende Hintergrundwissen ist abhängig vom Interpreten (vgl. A</w:t>
      </w:r>
      <w:r w:rsidRPr="00156980">
        <w:rPr>
          <w:szCs w:val="17"/>
        </w:rPr>
        <w:t>b</w:t>
      </w:r>
      <w:r w:rsidRPr="00156980">
        <w:rPr>
          <w:szCs w:val="17"/>
        </w:rPr>
        <w:t xml:space="preserve">schnitt </w:t>
      </w:r>
      <w:fldSimple w:instr=" REF _Ref255767436 \r \h  \* MERGEFORMAT ">
        <w:r w:rsidR="001231D3" w:rsidRPr="001231D3">
          <w:rPr>
            <w:szCs w:val="17"/>
          </w:rPr>
          <w:t>7.2.1</w:t>
        </w:r>
      </w:fldSimple>
      <w:r w:rsidRPr="00156980">
        <w:rPr>
          <w:szCs w:val="17"/>
        </w:rPr>
        <w:t xml:space="preserve">, Funktion </w:t>
      </w:r>
      <w:r w:rsidRPr="00156980">
        <w:rPr>
          <w:i/>
          <w:szCs w:val="17"/>
        </w:rPr>
        <w:t>Hintergrundwissen_zusammenstellen</w:t>
      </w:r>
      <w:r w:rsidRPr="00156980">
        <w:rPr>
          <w:szCs w:val="17"/>
        </w:rPr>
        <w:t>); es besteht in allen Übe</w:t>
      </w:r>
      <w:r w:rsidRPr="00156980">
        <w:rPr>
          <w:szCs w:val="17"/>
        </w:rPr>
        <w:t>r</w:t>
      </w:r>
      <w:r w:rsidRPr="00156980">
        <w:rPr>
          <w:szCs w:val="17"/>
        </w:rPr>
        <w:t>zeugungen, die der Stilinterpret als ausreichend gesichert ansieht, um sie in einer Stili</w:t>
      </w:r>
      <w:r w:rsidRPr="00156980">
        <w:rPr>
          <w:szCs w:val="17"/>
        </w:rPr>
        <w:t>n</w:t>
      </w:r>
      <w:r w:rsidRPr="00156980">
        <w:rPr>
          <w:szCs w:val="17"/>
        </w:rPr>
        <w:t>terpretation zu verwenden. Es ist also kein Wissen im objektiven Sinn. Daher muss man beim Nachvollzug einer Stilinterpretation auch veraltete Vorstellungen, Irrtümer und Vorurteile wie dieses rekonstruieren.</w:t>
      </w:r>
    </w:p>
  </w:footnote>
  <w:footnote w:id="4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Annahme dieses </w:t>
      </w:r>
      <w:r w:rsidRPr="00156980">
        <w:rPr>
          <w:i/>
          <w:szCs w:val="17"/>
        </w:rPr>
        <w:t>H</w:t>
      </w:r>
      <w:r w:rsidRPr="00156980">
        <w:rPr>
          <w:szCs w:val="17"/>
        </w:rPr>
        <w:t xml:space="preserve">-Elements ermöglicht es, die Formulierung „einen seltsamen Schimmer, ja einen blendenden Glanz“ abzuleiten, indem die sprachlichen Ausdrücke für die Eindrücke </w:t>
      </w:r>
      <w:r w:rsidRPr="00156980">
        <w:rPr>
          <w:i/>
          <w:iCs/>
          <w:szCs w:val="17"/>
        </w:rPr>
        <w:t>Er</w:t>
      </w:r>
      <w:r w:rsidRPr="00156980">
        <w:rPr>
          <w:iCs/>
          <w:szCs w:val="17"/>
          <w:vertAlign w:val="subscript"/>
        </w:rPr>
        <w:t>2</w:t>
      </w:r>
      <w:r w:rsidRPr="00156980">
        <w:rPr>
          <w:szCs w:val="17"/>
        </w:rPr>
        <w:t xml:space="preserve"> und </w:t>
      </w:r>
      <w:r w:rsidRPr="00156980">
        <w:rPr>
          <w:i/>
          <w:iCs/>
          <w:szCs w:val="17"/>
        </w:rPr>
        <w:t>Er</w:t>
      </w:r>
      <w:r w:rsidRPr="00156980">
        <w:rPr>
          <w:iCs/>
          <w:szCs w:val="17"/>
          <w:vertAlign w:val="subscript"/>
        </w:rPr>
        <w:t>3</w:t>
      </w:r>
      <w:r w:rsidRPr="00156980">
        <w:rPr>
          <w:szCs w:val="17"/>
        </w:rPr>
        <w:t xml:space="preserve"> durch das Adverb „ja“, das eine Steigerung ausdrückt, aufe</w:t>
      </w:r>
      <w:r w:rsidRPr="00156980">
        <w:rPr>
          <w:szCs w:val="17"/>
        </w:rPr>
        <w:t>i</w:t>
      </w:r>
      <w:r w:rsidRPr="00156980">
        <w:rPr>
          <w:szCs w:val="17"/>
        </w:rPr>
        <w:t xml:space="preserve">nander bezogen werden. </w:t>
      </w:r>
      <w:r w:rsidRPr="00156980">
        <w:rPr>
          <w:i/>
          <w:iCs/>
          <w:szCs w:val="17"/>
        </w:rPr>
        <w:t>Er</w:t>
      </w:r>
      <w:r w:rsidRPr="00156980">
        <w:rPr>
          <w:iCs/>
          <w:szCs w:val="17"/>
          <w:vertAlign w:val="subscript"/>
        </w:rPr>
        <w:t>2</w:t>
      </w:r>
      <w:r w:rsidRPr="00156980">
        <w:rPr>
          <w:szCs w:val="17"/>
        </w:rPr>
        <w:t xml:space="preserve"> und </w:t>
      </w:r>
      <w:r w:rsidRPr="00156980">
        <w:rPr>
          <w:i/>
          <w:iCs/>
          <w:szCs w:val="17"/>
        </w:rPr>
        <w:t>Er</w:t>
      </w:r>
      <w:r w:rsidRPr="00156980">
        <w:rPr>
          <w:iCs/>
          <w:szCs w:val="17"/>
          <w:vertAlign w:val="subscript"/>
        </w:rPr>
        <w:t>3</w:t>
      </w:r>
      <w:r w:rsidRPr="00156980">
        <w:rPr>
          <w:szCs w:val="17"/>
        </w:rPr>
        <w:t xml:space="preserve"> sind Eindrücke, das heißt nicht-propositional repr</w:t>
      </w:r>
      <w:r w:rsidRPr="00156980">
        <w:rPr>
          <w:szCs w:val="17"/>
        </w:rPr>
        <w:t>ä</w:t>
      </w:r>
      <w:r w:rsidRPr="00156980">
        <w:rPr>
          <w:szCs w:val="17"/>
        </w:rPr>
        <w:t>sentiert</w:t>
      </w:r>
      <w:r w:rsidR="005D7996">
        <w:fldChar w:fldCharType="begin"/>
      </w:r>
      <w:r>
        <w:instrText xml:space="preserve"> XE "</w:instrText>
      </w:r>
      <w:r w:rsidRPr="00943E02">
        <w:instrText>mentale Repräsentation:</w:instrText>
      </w:r>
      <w:r>
        <w:instrText>nicht-</w:instrText>
      </w:r>
      <w:r w:rsidRPr="00943E02">
        <w:instrText>propositionale</w:instrText>
      </w:r>
      <w:r>
        <w:instrText xml:space="preserve">" </w:instrText>
      </w:r>
      <w:r w:rsidR="005D7996">
        <w:fldChar w:fldCharType="end"/>
      </w:r>
      <w:r w:rsidRPr="00156980">
        <w:rPr>
          <w:szCs w:val="17"/>
        </w:rPr>
        <w:t>; sie sind hier nur zu Darstellungszwecken sprachlich formuliert. Zu einem b</w:t>
      </w:r>
      <w:r w:rsidRPr="00156980">
        <w:rPr>
          <w:szCs w:val="17"/>
        </w:rPr>
        <w:t>e</w:t>
      </w:r>
      <w:r w:rsidRPr="00156980">
        <w:rPr>
          <w:szCs w:val="17"/>
        </w:rPr>
        <w:t>stimmten Eindruck einen passenden sprachlichen Ausdruck zu finden, ist Aufgabe der Operationen; in diesem Fall der Abduktion, die die Sortenumwandlung in eine Proposit</w:t>
      </w:r>
      <w:r w:rsidRPr="00156980">
        <w:rPr>
          <w:szCs w:val="17"/>
        </w:rPr>
        <w:t>i</w:t>
      </w:r>
      <w:r w:rsidRPr="00156980">
        <w:rPr>
          <w:szCs w:val="17"/>
        </w:rPr>
        <w:t>onsannahme vornimmt.</w:t>
      </w:r>
    </w:p>
  </w:footnote>
  <w:footnote w:id="4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Siehe Anmerkung (4).</w:t>
      </w:r>
    </w:p>
  </w:footnote>
  <w:footnote w:id="4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Liszt meint hier Musikrichtungen.</w:t>
      </w:r>
    </w:p>
  </w:footnote>
  <w:footnote w:id="4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das Zitat von S. 181 sowie das erste Zitat von S. 182 des Liztschen Texts.</w:t>
      </w:r>
    </w:p>
  </w:footnote>
  <w:footnote w:id="4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das Zitat von S. 181.</w:t>
      </w:r>
    </w:p>
  </w:footnote>
  <w:footnote w:id="4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Hier handelt es sich um eine Abduktion, weil eine Regel angenommen wird: ‚Beim Überwiegen von Fiorituren kommt dem Solisten, der diese auszuführen hat, notwend</w:t>
      </w:r>
      <w:r w:rsidRPr="00156980">
        <w:rPr>
          <w:szCs w:val="17"/>
        </w:rPr>
        <w:t>i</w:t>
      </w:r>
      <w:r w:rsidRPr="00156980">
        <w:rPr>
          <w:szCs w:val="17"/>
        </w:rPr>
        <w:t xml:space="preserve">gerweise eine leitende Funktion im Orchester zu.‘ Diese Regel wird verwendet, um die in </w:t>
      </w:r>
      <w:r w:rsidRPr="00156980">
        <w:rPr>
          <w:i/>
          <w:iCs/>
          <w:szCs w:val="17"/>
        </w:rPr>
        <w:t>B</w:t>
      </w:r>
      <w:r w:rsidRPr="00156980">
        <w:rPr>
          <w:iCs/>
          <w:szCs w:val="17"/>
          <w:vertAlign w:val="subscript"/>
        </w:rPr>
        <w:t>11</w:t>
      </w:r>
      <w:r w:rsidRPr="00156980">
        <w:rPr>
          <w:szCs w:val="17"/>
        </w:rPr>
        <w:t xml:space="preserve"> für den Schemaort ‚Verhältnis des ersten Geigers zum Rest des Orchesters‘ verlan</w:t>
      </w:r>
      <w:r w:rsidRPr="00156980">
        <w:rPr>
          <w:szCs w:val="17"/>
        </w:rPr>
        <w:t>g</w:t>
      </w:r>
      <w:r w:rsidRPr="00156980">
        <w:rPr>
          <w:szCs w:val="17"/>
        </w:rPr>
        <w:t xml:space="preserve">ten Eigenschaften mit Hilfe von </w:t>
      </w:r>
      <w:r w:rsidRPr="00156980">
        <w:rPr>
          <w:i/>
          <w:iCs/>
          <w:szCs w:val="17"/>
        </w:rPr>
        <w:t>B</w:t>
      </w:r>
      <w:r w:rsidRPr="00156980">
        <w:rPr>
          <w:iCs/>
          <w:szCs w:val="17"/>
          <w:vertAlign w:val="subscript"/>
        </w:rPr>
        <w:t>8</w:t>
      </w:r>
      <w:r w:rsidRPr="00156980">
        <w:rPr>
          <w:szCs w:val="17"/>
        </w:rPr>
        <w:t xml:space="preserve"> zu erklären, wobei </w:t>
      </w:r>
      <w:r w:rsidRPr="00156980">
        <w:rPr>
          <w:i/>
          <w:iCs/>
          <w:szCs w:val="17"/>
        </w:rPr>
        <w:t>B</w:t>
      </w:r>
      <w:r w:rsidRPr="00156980">
        <w:rPr>
          <w:iCs/>
          <w:szCs w:val="17"/>
          <w:vertAlign w:val="subscript"/>
        </w:rPr>
        <w:t>9</w:t>
      </w:r>
      <w:r w:rsidRPr="00156980">
        <w:rPr>
          <w:szCs w:val="17"/>
        </w:rPr>
        <w:t xml:space="preserve"> und </w:t>
      </w:r>
      <w:r w:rsidRPr="00156980">
        <w:rPr>
          <w:i/>
          <w:iCs/>
          <w:szCs w:val="17"/>
        </w:rPr>
        <w:t>B</w:t>
      </w:r>
      <w:r w:rsidRPr="00156980">
        <w:rPr>
          <w:iCs/>
          <w:szCs w:val="17"/>
          <w:vertAlign w:val="subscript"/>
        </w:rPr>
        <w:t>10</w:t>
      </w:r>
      <w:r w:rsidRPr="00156980">
        <w:rPr>
          <w:szCs w:val="17"/>
        </w:rPr>
        <w:t xml:space="preserve"> verwendet werden, um den ersten Geiger als erste Solostimme herzuleiten. Wie jede Regel hat auch diese die Form einer logischen Implikation, wobei die verlangten Eigenschaften in </w:t>
      </w:r>
      <w:r w:rsidRPr="00156980">
        <w:rPr>
          <w:i/>
          <w:iCs/>
          <w:szCs w:val="17"/>
        </w:rPr>
        <w:t>B</w:t>
      </w:r>
      <w:r w:rsidRPr="00156980">
        <w:rPr>
          <w:iCs/>
          <w:szCs w:val="17"/>
          <w:vertAlign w:val="subscript"/>
        </w:rPr>
        <w:t>8</w:t>
      </w:r>
      <w:r w:rsidRPr="00156980">
        <w:rPr>
          <w:szCs w:val="17"/>
        </w:rPr>
        <w:t xml:space="preserve"> den Vorde</w:t>
      </w:r>
      <w:r w:rsidRPr="00156980">
        <w:rPr>
          <w:szCs w:val="17"/>
        </w:rPr>
        <w:t>r</w:t>
      </w:r>
      <w:r w:rsidRPr="00156980">
        <w:rPr>
          <w:szCs w:val="17"/>
        </w:rPr>
        <w:t xml:space="preserve">satz wahr werden lassen, so dass aus der angenommenen Wahrheit der Regel folgt, dass der Nachsatz wahr ist. Dieser gibt an, dass für den in </w:t>
      </w:r>
      <w:r w:rsidRPr="00156980">
        <w:rPr>
          <w:i/>
          <w:iCs/>
          <w:szCs w:val="17"/>
        </w:rPr>
        <w:t>U</w:t>
      </w:r>
      <w:r w:rsidRPr="00156980">
        <w:rPr>
          <w:szCs w:val="17"/>
        </w:rPr>
        <w:t>(</w:t>
      </w:r>
      <w:r w:rsidRPr="00156980">
        <w:rPr>
          <w:i/>
          <w:iCs/>
          <w:szCs w:val="17"/>
        </w:rPr>
        <w:t>B</w:t>
      </w:r>
      <w:r w:rsidRPr="00156980">
        <w:rPr>
          <w:iCs/>
          <w:szCs w:val="17"/>
          <w:vertAlign w:val="subscript"/>
        </w:rPr>
        <w:t>11</w:t>
      </w:r>
      <w:r w:rsidRPr="00156980">
        <w:rPr>
          <w:szCs w:val="17"/>
        </w:rPr>
        <w:t xml:space="preserve">) spezifizierten Schemaort die in </w:t>
      </w:r>
      <w:r w:rsidRPr="00156980">
        <w:rPr>
          <w:i/>
          <w:iCs/>
          <w:szCs w:val="17"/>
        </w:rPr>
        <w:t>V</w:t>
      </w:r>
      <w:r w:rsidRPr="00156980">
        <w:rPr>
          <w:szCs w:val="17"/>
        </w:rPr>
        <w:t>(</w:t>
      </w:r>
      <w:r w:rsidRPr="00156980">
        <w:rPr>
          <w:i/>
          <w:iCs/>
          <w:szCs w:val="17"/>
        </w:rPr>
        <w:t>B</w:t>
      </w:r>
      <w:r w:rsidRPr="00156980">
        <w:rPr>
          <w:iCs/>
          <w:szCs w:val="17"/>
          <w:vertAlign w:val="subscript"/>
        </w:rPr>
        <w:t>11</w:t>
      </w:r>
      <w:r w:rsidRPr="00156980">
        <w:rPr>
          <w:szCs w:val="17"/>
        </w:rPr>
        <w:t>) spezifizierten verlangten Eigenschaften gelten. Damit ist das Auftreten der R</w:t>
      </w:r>
      <w:r w:rsidRPr="00156980">
        <w:rPr>
          <w:szCs w:val="17"/>
        </w:rPr>
        <w:t>e</w:t>
      </w:r>
      <w:r w:rsidRPr="00156980">
        <w:rPr>
          <w:szCs w:val="17"/>
        </w:rPr>
        <w:t xml:space="preserve">gel </w:t>
      </w:r>
      <w:r w:rsidRPr="00156980">
        <w:rPr>
          <w:i/>
          <w:iCs/>
          <w:szCs w:val="17"/>
        </w:rPr>
        <w:t>B</w:t>
      </w:r>
      <w:r w:rsidRPr="00156980">
        <w:rPr>
          <w:iCs/>
          <w:szCs w:val="17"/>
          <w:vertAlign w:val="subscript"/>
        </w:rPr>
        <w:t>11</w:t>
      </w:r>
      <w:r w:rsidRPr="00156980">
        <w:rPr>
          <w:szCs w:val="17"/>
        </w:rPr>
        <w:t xml:space="preserve"> erklärt. – Häufig kann auf diese Weise mit Hilfe der Abduktion eine Merkmalsr</w:t>
      </w:r>
      <w:r w:rsidRPr="00156980">
        <w:rPr>
          <w:szCs w:val="17"/>
        </w:rPr>
        <w:t>e</w:t>
      </w:r>
      <w:r w:rsidRPr="00156980">
        <w:rPr>
          <w:szCs w:val="17"/>
        </w:rPr>
        <w:t>gel durch das Finden einer geeigneten Regel erklärt werden, wobei die Wahrheit des Vo</w:t>
      </w:r>
      <w:r w:rsidRPr="00156980">
        <w:rPr>
          <w:szCs w:val="17"/>
        </w:rPr>
        <w:t>r</w:t>
      </w:r>
      <w:r w:rsidRPr="00156980">
        <w:rPr>
          <w:szCs w:val="17"/>
        </w:rPr>
        <w:t xml:space="preserve">dersatzes mit Hilfe einer anderen Merkmalsregel, eines </w:t>
      </w:r>
      <w:r w:rsidRPr="00156980">
        <w:rPr>
          <w:i/>
          <w:szCs w:val="17"/>
        </w:rPr>
        <w:t>H</w:t>
      </w:r>
      <w:r w:rsidRPr="00156980">
        <w:rPr>
          <w:szCs w:val="17"/>
        </w:rPr>
        <w:t>-Elements oder eines bereits gewonnenen Interpretationsergebnisses gezeigt werden kann.</w:t>
      </w:r>
    </w:p>
  </w:footnote>
  <w:footnote w:id="4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i/>
          <w:iCs/>
          <w:szCs w:val="17"/>
        </w:rPr>
        <w:t>B</w:t>
      </w:r>
      <w:r w:rsidRPr="00156980">
        <w:rPr>
          <w:iCs/>
          <w:szCs w:val="17"/>
          <w:vertAlign w:val="subscript"/>
        </w:rPr>
        <w:t>17</w:t>
      </w:r>
      <w:r w:rsidRPr="00156980">
        <w:rPr>
          <w:szCs w:val="17"/>
        </w:rPr>
        <w:t xml:space="preserve"> und </w:t>
      </w:r>
      <w:r w:rsidRPr="00156980">
        <w:rPr>
          <w:i/>
          <w:iCs/>
          <w:szCs w:val="17"/>
        </w:rPr>
        <w:t>B</w:t>
      </w:r>
      <w:r w:rsidRPr="00156980">
        <w:rPr>
          <w:iCs/>
          <w:szCs w:val="17"/>
          <w:vertAlign w:val="subscript"/>
        </w:rPr>
        <w:t>18</w:t>
      </w:r>
      <w:r w:rsidRPr="00156980">
        <w:rPr>
          <w:szCs w:val="17"/>
        </w:rPr>
        <w:t xml:space="preserve"> werden innerhalb unserer nachvollzogenen Interpretation nicht verwendet. Normalerweise werden Merkmalsregeln nur bei Verwendung ausgegeben (vgl. Abschnitt </w:t>
      </w:r>
      <w:fldSimple w:instr=" REF _Ref258410988 \r \h  \* MERGEFORMAT ">
        <w:r w:rsidR="001231D3" w:rsidRPr="001231D3">
          <w:rPr>
            <w:szCs w:val="17"/>
          </w:rPr>
          <w:t>7.2.4</w:t>
        </w:r>
      </w:fldSimple>
      <w:r w:rsidRPr="00156980">
        <w:rPr>
          <w:szCs w:val="17"/>
        </w:rPr>
        <w:t>); da die Merkmalsregeln von Liszt erwähnt werden, weichen wir davon hier ab.</w:t>
      </w:r>
    </w:p>
  </w:footnote>
  <w:footnote w:id="4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charmanter Ausgangspunkt für die Beschäftigung mit Gehstilen ist Honoré de Balzacs</w:t>
      </w:r>
      <w:r w:rsidR="005D7996">
        <w:rPr>
          <w:szCs w:val="17"/>
        </w:rPr>
        <w:fldChar w:fldCharType="begin"/>
      </w:r>
      <w:r>
        <w:instrText xml:space="preserve"> XE "</w:instrText>
      </w:r>
      <w:r w:rsidRPr="0042673F">
        <w:rPr>
          <w:szCs w:val="17"/>
        </w:rPr>
        <w:instrText>Balzac,</w:instrText>
      </w:r>
      <w:r w:rsidRPr="0042673F">
        <w:instrText xml:space="preserve"> </w:instrText>
      </w:r>
      <w:r w:rsidRPr="0042673F">
        <w:rPr>
          <w:szCs w:val="17"/>
        </w:rPr>
        <w:instrText>Honoré de</w:instrText>
      </w:r>
      <w:r>
        <w:instrText xml:space="preserve">" </w:instrText>
      </w:r>
      <w:r w:rsidR="005D7996">
        <w:rPr>
          <w:szCs w:val="17"/>
        </w:rPr>
        <w:fldChar w:fldCharType="end"/>
      </w:r>
      <w:r w:rsidRPr="00156980">
        <w:rPr>
          <w:szCs w:val="17"/>
        </w:rPr>
        <w:t xml:space="preserve"> „Theorie des Gehens</w:t>
      </w:r>
      <w:r w:rsidR="005D7996">
        <w:rPr>
          <w:szCs w:val="17"/>
        </w:rPr>
        <w:fldChar w:fldCharType="begin"/>
      </w:r>
      <w:r>
        <w:instrText xml:space="preserve"> XE "</w:instrText>
      </w:r>
      <w:r w:rsidRPr="005B064C">
        <w:rPr>
          <w:szCs w:val="17"/>
        </w:rPr>
        <w:instrText>Theorie des Gehens (Balzac)</w:instrText>
      </w:r>
      <w:r>
        <w:instrText xml:space="preserve">" </w:instrText>
      </w:r>
      <w:r w:rsidR="005D7996">
        <w:rPr>
          <w:szCs w:val="17"/>
        </w:rPr>
        <w:fldChar w:fldCharType="end"/>
      </w:r>
      <w:r w:rsidRPr="00156980">
        <w:rPr>
          <w:szCs w:val="17"/>
        </w:rPr>
        <w:t>“ (Balzac 1833=1981).</w:t>
      </w:r>
    </w:p>
  </w:footnote>
  <w:footnote w:id="4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könnten solche Stile als Gestalt aufgefasst werden. Die Gestalttheorie</w:t>
      </w:r>
      <w:r w:rsidR="005D7996">
        <w:rPr>
          <w:szCs w:val="17"/>
        </w:rPr>
        <w:fldChar w:fldCharType="begin"/>
      </w:r>
      <w:r>
        <w:instrText xml:space="preserve"> XE "</w:instrText>
      </w:r>
      <w:r w:rsidRPr="00E620FD">
        <w:rPr>
          <w:szCs w:val="17"/>
        </w:rPr>
        <w:instrText>Gestalttheorie</w:instrText>
      </w:r>
      <w:r>
        <w:instrText xml:space="preserve">" </w:instrText>
      </w:r>
      <w:r w:rsidR="005D7996">
        <w:rPr>
          <w:szCs w:val="17"/>
        </w:rPr>
        <w:fldChar w:fldCharType="end"/>
      </w:r>
      <w:r w:rsidRPr="00156980">
        <w:rPr>
          <w:szCs w:val="17"/>
        </w:rPr>
        <w:t xml:space="preserve"> betonte in der Tradition von Aristoteles</w:t>
      </w:r>
      <w:r w:rsidR="005D7996">
        <w:rPr>
          <w:szCs w:val="17"/>
        </w:rPr>
        <w:fldChar w:fldCharType="begin"/>
      </w:r>
      <w:r>
        <w:instrText xml:space="preserve"> XE "</w:instrText>
      </w:r>
      <w:r w:rsidRPr="000D7B7D">
        <w:instrText>Aristoteles</w:instrText>
      </w:r>
      <w:r>
        <w:instrText xml:space="preserve">" </w:instrText>
      </w:r>
      <w:r w:rsidR="005D7996">
        <w:rPr>
          <w:szCs w:val="17"/>
        </w:rPr>
        <w:fldChar w:fldCharType="end"/>
      </w:r>
      <w:r w:rsidRPr="00156980">
        <w:rPr>
          <w:szCs w:val="17"/>
        </w:rPr>
        <w:t xml:space="preserve"> („Das Ganze ist mehr als die Summe seiner Te</w:t>
      </w:r>
      <w:r w:rsidRPr="00156980">
        <w:rPr>
          <w:szCs w:val="17"/>
        </w:rPr>
        <w:t>i</w:t>
      </w:r>
      <w:r w:rsidRPr="00156980">
        <w:rPr>
          <w:szCs w:val="17"/>
        </w:rPr>
        <w:t>le“) und Goethes</w:t>
      </w:r>
      <w:r w:rsidR="005D7996">
        <w:rPr>
          <w:szCs w:val="17"/>
        </w:rPr>
        <w:fldChar w:fldCharType="begin"/>
      </w:r>
      <w:r>
        <w:instrText xml:space="preserve"> XE "</w:instrText>
      </w:r>
      <w:r w:rsidRPr="00266DC3">
        <w:rPr>
          <w:szCs w:val="17"/>
        </w:rPr>
        <w:instrText>Goethe, Johann Wolfgang von</w:instrText>
      </w:r>
      <w:r>
        <w:instrText xml:space="preserve">" </w:instrText>
      </w:r>
      <w:r w:rsidR="005D7996">
        <w:rPr>
          <w:szCs w:val="17"/>
        </w:rPr>
        <w:fldChar w:fldCharType="end"/>
      </w:r>
      <w:r w:rsidRPr="00156980">
        <w:rPr>
          <w:szCs w:val="17"/>
        </w:rPr>
        <w:t xml:space="preserve"> Morphologie</w:t>
      </w:r>
      <w:r w:rsidR="005D7996">
        <w:rPr>
          <w:szCs w:val="17"/>
        </w:rPr>
        <w:fldChar w:fldCharType="begin"/>
      </w:r>
      <w:r>
        <w:instrText xml:space="preserve"> XE "</w:instrText>
      </w:r>
      <w:r w:rsidRPr="009666BC">
        <w:rPr>
          <w:szCs w:val="17"/>
        </w:rPr>
        <w:instrText>Morphologie (Goethe)</w:instrText>
      </w:r>
      <w:r>
        <w:instrText xml:space="preserve">" </w:instrText>
      </w:r>
      <w:r w:rsidR="005D7996">
        <w:rPr>
          <w:szCs w:val="17"/>
        </w:rPr>
        <w:fldChar w:fldCharType="end"/>
      </w:r>
      <w:r w:rsidRPr="00156980">
        <w:rPr>
          <w:szCs w:val="17"/>
        </w:rPr>
        <w:t xml:space="preserve"> die Übersummativität bestimmter Phänomene. Als zwe</w:t>
      </w:r>
      <w:r w:rsidRPr="00156980">
        <w:rPr>
          <w:szCs w:val="17"/>
        </w:rPr>
        <w:t>i</w:t>
      </w:r>
      <w:r w:rsidRPr="00156980">
        <w:rPr>
          <w:szCs w:val="17"/>
        </w:rPr>
        <w:t>tes Definitionskriterium nannte Ehrenfels die Transponierbarkeit, worunter er die Mö</w:t>
      </w:r>
      <w:r w:rsidRPr="00156980">
        <w:rPr>
          <w:szCs w:val="17"/>
        </w:rPr>
        <w:t>g</w:t>
      </w:r>
      <w:r w:rsidRPr="00156980">
        <w:rPr>
          <w:szCs w:val="17"/>
        </w:rPr>
        <w:t>lichkeit des Austauschs der Bestandteile bei Erhalt der Gesamteigenschaften verstand (Gestalten können beim Austausch der Einzelteile erhalten bleiben, wie eine Melodie</w:t>
      </w:r>
      <w:r w:rsidR="005D7996">
        <w:rPr>
          <w:szCs w:val="17"/>
        </w:rPr>
        <w:fldChar w:fldCharType="begin"/>
      </w:r>
      <w:r>
        <w:instrText xml:space="preserve"> XE "</w:instrText>
      </w:r>
      <w:r w:rsidRPr="00D36D07">
        <w:rPr>
          <w:szCs w:val="17"/>
        </w:rPr>
        <w:instrText>Melodik</w:instrText>
      </w:r>
      <w:r>
        <w:instrText xml:space="preserve">" </w:instrText>
      </w:r>
      <w:r w:rsidR="005D7996">
        <w:rPr>
          <w:szCs w:val="17"/>
        </w:rPr>
        <w:fldChar w:fldCharType="end"/>
      </w:r>
      <w:r w:rsidRPr="00156980">
        <w:rPr>
          <w:szCs w:val="17"/>
        </w:rPr>
        <w:t xml:space="preserve"> beim Austausch ihrer Töne beim Transponieren</w:t>
      </w:r>
      <w:r w:rsidR="005D7996">
        <w:rPr>
          <w:szCs w:val="17"/>
        </w:rPr>
        <w:fldChar w:fldCharType="begin"/>
      </w:r>
      <w:r>
        <w:instrText xml:space="preserve"> XE "</w:instrText>
      </w:r>
      <w:r w:rsidRPr="00E87201">
        <w:rPr>
          <w:szCs w:val="17"/>
        </w:rPr>
        <w:instrText>Transponieren (Musik)</w:instrText>
      </w:r>
      <w:r>
        <w:instrText xml:space="preserve">" </w:instrText>
      </w:r>
      <w:r w:rsidR="005D7996">
        <w:rPr>
          <w:szCs w:val="17"/>
        </w:rPr>
        <w:fldChar w:fldCharType="end"/>
      </w:r>
      <w:r w:rsidRPr="00156980">
        <w:rPr>
          <w:szCs w:val="17"/>
        </w:rPr>
        <w:t xml:space="preserve"> erhalten bleibt). Die ursprünglich als Gestaltpsychologie formulierte Theorie fand bald auch in anderen Bereichen Anwendung. Allerdings gelang es nie, eine überzeugende Definition vorzulegen, die ‚Gestalt‘ be</w:t>
      </w:r>
      <w:r w:rsidRPr="00156980">
        <w:rPr>
          <w:szCs w:val="17"/>
        </w:rPr>
        <w:t>i</w:t>
      </w:r>
      <w:r w:rsidRPr="00156980">
        <w:rPr>
          <w:szCs w:val="17"/>
        </w:rPr>
        <w:t>spielsweise von ‚System</w:t>
      </w:r>
      <w:r w:rsidR="005D7996">
        <w:rPr>
          <w:szCs w:val="17"/>
        </w:rPr>
        <w:fldChar w:fldCharType="begin"/>
      </w:r>
      <w:r>
        <w:instrText xml:space="preserve"> XE "</w:instrText>
      </w:r>
      <w:r w:rsidRPr="009C4EB7">
        <w:instrText>System</w:instrText>
      </w:r>
      <w:r>
        <w:instrText xml:space="preserve">" </w:instrText>
      </w:r>
      <w:r w:rsidR="005D7996">
        <w:rPr>
          <w:szCs w:val="17"/>
        </w:rPr>
        <w:fldChar w:fldCharType="end"/>
      </w:r>
      <w:r w:rsidRPr="00156980">
        <w:rPr>
          <w:szCs w:val="17"/>
        </w:rPr>
        <w:t>‘, ‚Ordnung‘ und vergleichbaren Begriffen abgrenzt, denen ebe</w:t>
      </w:r>
      <w:r w:rsidRPr="00156980">
        <w:rPr>
          <w:szCs w:val="17"/>
        </w:rPr>
        <w:t>n</w:t>
      </w:r>
      <w:r w:rsidRPr="00156980">
        <w:rPr>
          <w:szCs w:val="17"/>
        </w:rPr>
        <w:t>falls Übersummativität und Transponierbarkeit zugeschrieben werden können. – Klass</w:t>
      </w:r>
      <w:r w:rsidRPr="00156980">
        <w:rPr>
          <w:szCs w:val="17"/>
        </w:rPr>
        <w:t>i</w:t>
      </w:r>
      <w:r w:rsidRPr="00156980">
        <w:rPr>
          <w:szCs w:val="17"/>
        </w:rPr>
        <w:t>sche Arbeiten zur Gestalttheorie sind von Ehrenfels 1890, W. Köhler 1920, Wertheimer 1925, Koffka 1935 und Lewin 1963), aktuelle Beiträge bietet Metz-Göckel 2008; semi</w:t>
      </w:r>
      <w:r w:rsidRPr="00156980">
        <w:rPr>
          <w:szCs w:val="17"/>
        </w:rPr>
        <w:t>o</w:t>
      </w:r>
      <w:r w:rsidRPr="00156980">
        <w:rPr>
          <w:szCs w:val="17"/>
        </w:rPr>
        <w:t>tisch orientiert sind Bühler 1960 und Stadler u.a. 2003. Der Versuch, Stil gestalttheor</w:t>
      </w:r>
      <w:r w:rsidRPr="00156980">
        <w:rPr>
          <w:szCs w:val="17"/>
        </w:rPr>
        <w:t>e</w:t>
      </w:r>
      <w:r w:rsidRPr="00156980">
        <w:rPr>
          <w:szCs w:val="17"/>
        </w:rPr>
        <w:t>tisch zu erfassen, ist immer wieder gemacht worden, unter anderem in Walzel 1923, Tr</w:t>
      </w:r>
      <w:r w:rsidRPr="00156980">
        <w:rPr>
          <w:szCs w:val="17"/>
        </w:rPr>
        <w:t>a</w:t>
      </w:r>
      <w:r w:rsidRPr="00156980">
        <w:rPr>
          <w:szCs w:val="17"/>
        </w:rPr>
        <w:t>bant 1986, Fix 1996 und U. Abraham 2009; leider betrachten diese Arbeiten meist nur Textstile.</w:t>
      </w:r>
    </w:p>
    <w:p w:rsidR="00CC3558" w:rsidRPr="00156980" w:rsidRDefault="00CC3558" w:rsidP="00F461D9">
      <w:pPr>
        <w:pStyle w:val="Funotentext"/>
        <w:rPr>
          <w:szCs w:val="17"/>
        </w:rPr>
      </w:pPr>
      <w:r w:rsidRPr="00156980">
        <w:rPr>
          <w:szCs w:val="17"/>
        </w:rPr>
        <w:tab/>
        <w:t xml:space="preserve">Insgesamt scheint es nicht gelungen zu sein, gestalthafte stilistische Eigenschaften präzise von anderen Texteigenschaften abzugrenzen, und bei aller Betonung der Subjektivität der „Stilqualitäten als Gestalterlebnis“ (U. Abraham 2009: 1353) müsste doch die </w:t>
      </w:r>
      <w:r>
        <w:rPr>
          <w:szCs w:val="17"/>
        </w:rPr>
        <w:t>Möglic</w:t>
      </w:r>
      <w:r>
        <w:rPr>
          <w:szCs w:val="17"/>
        </w:rPr>
        <w:t>h</w:t>
      </w:r>
      <w:r>
        <w:rPr>
          <w:szCs w:val="17"/>
        </w:rPr>
        <w:t xml:space="preserve">keit </w:t>
      </w:r>
      <w:r w:rsidRPr="00156980">
        <w:rPr>
          <w:szCs w:val="17"/>
        </w:rPr>
        <w:t>intersubjektive</w:t>
      </w:r>
      <w:r>
        <w:rPr>
          <w:szCs w:val="17"/>
        </w:rPr>
        <w:t>r</w:t>
      </w:r>
      <w:r w:rsidRPr="00156980">
        <w:rPr>
          <w:szCs w:val="17"/>
        </w:rPr>
        <w:t xml:space="preserve"> Übereinstimmung </w:t>
      </w:r>
      <w:r>
        <w:rPr>
          <w:szCs w:val="17"/>
        </w:rPr>
        <w:t xml:space="preserve">bei der Stilwahrnehmung </w:t>
      </w:r>
      <w:r w:rsidRPr="00156980">
        <w:rPr>
          <w:szCs w:val="17"/>
        </w:rPr>
        <w:t>erklärt werden. Ohne präzise Definitionen von „Gestalt“ bzw. „holistisch</w:t>
      </w:r>
      <w:r w:rsidR="005D7996">
        <w:rPr>
          <w:szCs w:val="17"/>
        </w:rPr>
        <w:fldChar w:fldCharType="begin"/>
      </w:r>
      <w:r>
        <w:instrText xml:space="preserve"> XE "</w:instrText>
      </w:r>
      <w:r w:rsidRPr="00377D34">
        <w:rPr>
          <w:szCs w:val="17"/>
        </w:rPr>
        <w:instrText>Holismus</w:instrText>
      </w:r>
      <w:r>
        <w:instrText xml:space="preserve">" </w:instrText>
      </w:r>
      <w:r w:rsidR="005D7996">
        <w:rPr>
          <w:szCs w:val="17"/>
        </w:rPr>
        <w:fldChar w:fldCharType="end"/>
      </w:r>
      <w:r w:rsidRPr="00156980">
        <w:rPr>
          <w:szCs w:val="17"/>
        </w:rPr>
        <w:t>“ und Vorschläge zur Beschreibung der Funktionsweise entsprechender Phänomene wird man nicht weiterkommen.</w:t>
      </w:r>
    </w:p>
  </w:footnote>
  <w:footnote w:id="4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zur Ersetzungsprobe</w:t>
      </w:r>
      <w:r w:rsidR="005D7996">
        <w:rPr>
          <w:szCs w:val="17"/>
        </w:rPr>
        <w:fldChar w:fldCharType="begin"/>
      </w:r>
      <w:r>
        <w:instrText xml:space="preserve"> XE "</w:instrText>
      </w:r>
      <w:r w:rsidRPr="007F490C">
        <w:rPr>
          <w:szCs w:val="17"/>
        </w:rPr>
        <w:instrText>Ersetzungsprobe</w:instrText>
      </w:r>
      <w:r>
        <w:instrText xml:space="preserve">" </w:instrText>
      </w:r>
      <w:r w:rsidR="005D7996">
        <w:rPr>
          <w:szCs w:val="17"/>
        </w:rPr>
        <w:fldChar w:fldCharType="end"/>
      </w:r>
      <w:r w:rsidRPr="00156980">
        <w:rPr>
          <w:szCs w:val="17"/>
        </w:rPr>
        <w:t xml:space="preserve"> (= Kommutationsprobe</w:t>
      </w:r>
      <w:r w:rsidR="005D7996" w:rsidRPr="008342F3">
        <w:rPr>
          <w:szCs w:val="17"/>
        </w:rPr>
        <w:fldChar w:fldCharType="begin"/>
      </w:r>
      <w:r w:rsidRPr="008342F3">
        <w:instrText xml:space="preserve"> XE "</w:instrText>
      </w:r>
      <w:r w:rsidRPr="008342F3">
        <w:rPr>
          <w:szCs w:val="17"/>
        </w:rPr>
        <w:instrText>Kommutationsprobe</w:instrText>
      </w:r>
      <w:r w:rsidRPr="008342F3">
        <w:instrText>" \t "</w:instrText>
      </w:r>
      <w:r>
        <w:rPr>
          <w:rFonts w:cstheme="minorHAnsi"/>
          <w:i/>
        </w:rPr>
        <w:instrText>s</w:instrText>
      </w:r>
      <w:r w:rsidRPr="008342F3">
        <w:rPr>
          <w:rFonts w:cstheme="minorHAnsi"/>
          <w:i/>
        </w:rPr>
        <w:instrText>iehe</w:instrText>
      </w:r>
      <w:r w:rsidRPr="008342F3">
        <w:rPr>
          <w:rFonts w:cstheme="minorHAnsi"/>
        </w:rPr>
        <w:instrText xml:space="preserve"> Ersetzungsprobe</w:instrText>
      </w:r>
      <w:r w:rsidRPr="008342F3">
        <w:instrText xml:space="preserve">" </w:instrText>
      </w:r>
      <w:r w:rsidR="005D7996" w:rsidRPr="008342F3">
        <w:rPr>
          <w:szCs w:val="17"/>
        </w:rPr>
        <w:fldChar w:fldCharType="end"/>
      </w:r>
      <w:r w:rsidRPr="008342F3">
        <w:rPr>
          <w:szCs w:val="17"/>
        </w:rPr>
        <w:t>)</w:t>
      </w:r>
      <w:r w:rsidRPr="00156980">
        <w:rPr>
          <w:szCs w:val="17"/>
        </w:rPr>
        <w:t xml:space="preserve"> Coseriu</w:t>
      </w:r>
      <w:r w:rsidR="005D7996">
        <w:rPr>
          <w:szCs w:val="17"/>
        </w:rPr>
        <w:fldChar w:fldCharType="begin"/>
      </w:r>
      <w:r>
        <w:instrText xml:space="preserve"> XE "</w:instrText>
      </w:r>
      <w:r w:rsidRPr="001E42DE">
        <w:rPr>
          <w:szCs w:val="17"/>
        </w:rPr>
        <w:instrText>Coseriu, Eugenio</w:instrText>
      </w:r>
      <w:r>
        <w:instrText xml:space="preserve">" </w:instrText>
      </w:r>
      <w:r w:rsidR="005D7996">
        <w:rPr>
          <w:szCs w:val="17"/>
        </w:rPr>
        <w:fldChar w:fldCharType="end"/>
      </w:r>
      <w:r w:rsidRPr="00156980">
        <w:rPr>
          <w:szCs w:val="17"/>
        </w:rPr>
        <w:t xml:space="preserve"> 1992: 107ff und 1994: 153ff, sowie Albrecht 2000: 148.</w:t>
      </w:r>
    </w:p>
  </w:footnote>
  <w:footnote w:id="4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mentalen Bildern vgl. Kosslyn 1983, Finke 1989, Barsalou 1999 und Thomas 1999.</w:t>
      </w:r>
    </w:p>
  </w:footnote>
  <w:footnote w:id="4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Mentale Filme</w:t>
      </w:r>
      <w:r w:rsidR="005D7996">
        <w:rPr>
          <w:szCs w:val="17"/>
        </w:rPr>
        <w:fldChar w:fldCharType="begin"/>
      </w:r>
      <w:r>
        <w:instrText xml:space="preserve"> XE "</w:instrText>
      </w:r>
      <w:r w:rsidRPr="00AF0228">
        <w:rPr>
          <w:szCs w:val="17"/>
        </w:rPr>
        <w:instrText>Filme:</w:instrText>
      </w:r>
      <w:r w:rsidRPr="00AF0228">
        <w:instrText>mentale</w:instrText>
      </w:r>
      <w:r>
        <w:instrText xml:space="preserve">" </w:instrText>
      </w:r>
      <w:r w:rsidR="005D7996">
        <w:rPr>
          <w:szCs w:val="17"/>
        </w:rPr>
        <w:fldChar w:fldCharType="end"/>
      </w:r>
      <w:r w:rsidRPr="00156980">
        <w:rPr>
          <w:szCs w:val="17"/>
        </w:rPr>
        <w:t xml:space="preserve"> sind noch wenig untersucht, Ansätze finden sich in der Wahrnehmung</w:t>
      </w:r>
      <w:r w:rsidRPr="00156980">
        <w:rPr>
          <w:szCs w:val="17"/>
        </w:rPr>
        <w:t>s</w:t>
      </w:r>
      <w:r w:rsidRPr="00156980">
        <w:rPr>
          <w:szCs w:val="17"/>
        </w:rPr>
        <w:t>psychologie</w:t>
      </w:r>
      <w:r w:rsidR="005D7996">
        <w:rPr>
          <w:szCs w:val="17"/>
        </w:rPr>
        <w:fldChar w:fldCharType="begin"/>
      </w:r>
      <w:r>
        <w:instrText xml:space="preserve"> XE "</w:instrText>
      </w:r>
      <w:r w:rsidRPr="009B582B">
        <w:rPr>
          <w:szCs w:val="17"/>
        </w:rPr>
        <w:instrText>Wahrnehmungspsychologie</w:instrText>
      </w:r>
      <w:r>
        <w:instrText xml:space="preserve">" </w:instrText>
      </w:r>
      <w:r w:rsidR="005D7996">
        <w:rPr>
          <w:szCs w:val="17"/>
        </w:rPr>
        <w:fldChar w:fldCharType="end"/>
      </w:r>
      <w:r w:rsidRPr="00156980">
        <w:rPr>
          <w:szCs w:val="17"/>
        </w:rPr>
        <w:t xml:space="preserve"> und der Kunstwissenschaft</w:t>
      </w:r>
      <w:r w:rsidR="005D7996">
        <w:rPr>
          <w:szCs w:val="17"/>
        </w:rPr>
        <w:fldChar w:fldCharType="begin"/>
      </w:r>
      <w:r>
        <w:instrText xml:space="preserve"> XE "</w:instrText>
      </w:r>
      <w:r w:rsidRPr="007C5736">
        <w:rPr>
          <w:rFonts w:cs="Times New Roman"/>
        </w:rPr>
        <w:instrText>Kunstwissenschaft</w:instrText>
      </w:r>
      <w:r>
        <w:instrText xml:space="preserve">" </w:instrText>
      </w:r>
      <w:r w:rsidR="005D7996">
        <w:rPr>
          <w:szCs w:val="17"/>
        </w:rPr>
        <w:fldChar w:fldCharType="end"/>
      </w:r>
      <w:r w:rsidRPr="00156980">
        <w:rPr>
          <w:szCs w:val="17"/>
        </w:rPr>
        <w:t xml:space="preserve"> (vgl. Arnheim 1970, Zeki 1999 und Edelman u.a. 2000) und der psychotherapeutischen Imaginationsforschung (vgl. Singer 1986 und Friebel 2000).</w:t>
      </w:r>
    </w:p>
  </w:footnote>
  <w:footnote w:id="4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Infrage kommt eine Krankheit, die sich in charakteristischer Weise auf die Motorik au</w:t>
      </w:r>
      <w:r w:rsidRPr="00156980">
        <w:rPr>
          <w:szCs w:val="17"/>
        </w:rPr>
        <w:t>s</w:t>
      </w:r>
      <w:r w:rsidRPr="00156980">
        <w:rPr>
          <w:szCs w:val="17"/>
        </w:rPr>
        <w:t>wirkt, beispielsweise Down-Syndrom.</w:t>
      </w:r>
    </w:p>
  </w:footnote>
  <w:footnote w:id="4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Technisch funktioniert dies im Modell so, dass die Funktion </w:t>
      </w:r>
      <w:r w:rsidRPr="00156980">
        <w:rPr>
          <w:i/>
          <w:szCs w:val="17"/>
        </w:rPr>
        <w:t>Releva</w:t>
      </w:r>
      <w:r w:rsidRPr="00156980">
        <w:rPr>
          <w:i/>
          <w:szCs w:val="17"/>
        </w:rPr>
        <w:t>n</w:t>
      </w:r>
      <w:r w:rsidRPr="00156980">
        <w:rPr>
          <w:i/>
          <w:szCs w:val="17"/>
        </w:rPr>
        <w:t>tes_Hintergrundwissen</w:t>
      </w:r>
      <w:r w:rsidRPr="00156980">
        <w:rPr>
          <w:szCs w:val="17"/>
        </w:rPr>
        <w:t xml:space="preserve"> für jede Kombination von verwendeten Merkmalsregeln und ve</w:t>
      </w:r>
      <w:r w:rsidRPr="00156980">
        <w:rPr>
          <w:szCs w:val="17"/>
        </w:rPr>
        <w:t>r</w:t>
      </w:r>
      <w:r w:rsidRPr="00156980">
        <w:rPr>
          <w:szCs w:val="17"/>
        </w:rPr>
        <w:t>wendeten früheren Ergebnissen gezielt relevantes Hintergrundwissen sucht und abspe</w:t>
      </w:r>
      <w:r w:rsidRPr="00156980">
        <w:rPr>
          <w:szCs w:val="17"/>
        </w:rPr>
        <w:t>i</w:t>
      </w:r>
      <w:r w:rsidRPr="00156980">
        <w:rPr>
          <w:szCs w:val="17"/>
        </w:rPr>
        <w:t xml:space="preserve">chert (z.B. wird das für </w:t>
      </w:r>
      <w:r w:rsidRPr="00156980">
        <w:rPr>
          <w:i/>
          <w:color w:val="000000" w:themeColor="text1"/>
          <w:szCs w:val="17"/>
        </w:rPr>
        <w:t>P</w:t>
      </w:r>
      <w:r w:rsidRPr="00156980">
        <w:rPr>
          <w:i/>
          <w:color w:val="000000" w:themeColor="text1"/>
          <w:szCs w:val="17"/>
          <w:vertAlign w:val="subscript"/>
        </w:rPr>
        <w:t>i</w:t>
      </w:r>
      <w:r w:rsidRPr="00156980">
        <w:rPr>
          <w:color w:val="000000" w:themeColor="text1"/>
          <w:szCs w:val="17"/>
        </w:rPr>
        <w:t xml:space="preserve"> und </w:t>
      </w:r>
      <w:r w:rsidRPr="00156980">
        <w:rPr>
          <w:i/>
          <w:color w:val="000000" w:themeColor="text1"/>
          <w:szCs w:val="17"/>
        </w:rPr>
        <w:t>Q</w:t>
      </w:r>
      <w:r w:rsidRPr="00156980">
        <w:rPr>
          <w:i/>
          <w:color w:val="000000" w:themeColor="text1"/>
          <w:szCs w:val="17"/>
          <w:vertAlign w:val="subscript"/>
        </w:rPr>
        <w:t>j</w:t>
      </w:r>
      <w:r w:rsidRPr="00156980">
        <w:rPr>
          <w:szCs w:val="17"/>
        </w:rPr>
        <w:t xml:space="preserve"> relevante Hintergrundwissen als </w:t>
      </w:r>
      <m:oMath>
        <m:sSub>
          <m:sSubPr>
            <m:ctrlPr>
              <w:rPr>
                <w:rFonts w:ascii="Cambria Math" w:hAnsi="Cambria Math" w:cs="Times New Roman"/>
                <w:i/>
                <w:szCs w:val="17"/>
              </w:rPr>
            </m:ctrlPr>
          </m:sSubPr>
          <m:e>
            <m:r>
              <m:rPr>
                <m:nor/>
              </m:rPr>
              <w:rPr>
                <w:rFonts w:cs="Times New Roman"/>
                <w:i/>
                <w:szCs w:val="17"/>
              </w:rPr>
              <m:t>R</m:t>
            </m:r>
          </m:e>
          <m:sub>
            <m:sSub>
              <m:sSubPr>
                <m:ctrlPr>
                  <w:rPr>
                    <w:rFonts w:ascii="Cambria Math" w:hAnsi="Cambria Math" w:cs="Times New Roman"/>
                    <w:i/>
                    <w:szCs w:val="17"/>
                  </w:rPr>
                </m:ctrlPr>
              </m:sSubPr>
              <m:e>
                <m:r>
                  <m:rPr>
                    <m:nor/>
                  </m:rPr>
                  <w:rPr>
                    <w:rFonts w:cs="Times New Roman"/>
                    <w:i/>
                    <w:szCs w:val="17"/>
                  </w:rPr>
                  <m:t>i</m:t>
                </m:r>
              </m:e>
              <m:sub>
                <m:r>
                  <m:rPr>
                    <m:nor/>
                  </m:rPr>
                  <w:rPr>
                    <w:rFonts w:cs="Times New Roman"/>
                    <w:i/>
                    <w:szCs w:val="17"/>
                  </w:rPr>
                  <m:t>j</m:t>
                </m:r>
              </m:sub>
            </m:sSub>
          </m:sub>
        </m:sSub>
      </m:oMath>
      <w:r w:rsidRPr="00156980">
        <w:rPr>
          <w:szCs w:val="17"/>
        </w:rPr>
        <w:t xml:space="preserve"> gespeichert; vgl. Abschnitt </w:t>
      </w:r>
      <w:fldSimple w:instr=" REF _Ref255767436 \r \h  \* MERGEFORMAT ">
        <w:r w:rsidR="001231D3" w:rsidRPr="001231D3">
          <w:rPr>
            <w:szCs w:val="17"/>
          </w:rPr>
          <w:t>7.2.1</w:t>
        </w:r>
      </w:fldSimple>
      <w:r w:rsidRPr="00156980">
        <w:rPr>
          <w:szCs w:val="17"/>
        </w:rPr>
        <w:t xml:space="preserve">, Funktion </w:t>
      </w:r>
      <w:r w:rsidRPr="00156980">
        <w:rPr>
          <w:i/>
          <w:szCs w:val="17"/>
        </w:rPr>
        <w:t>Interpretation</w:t>
      </w:r>
      <w:r w:rsidRPr="00156980">
        <w:rPr>
          <w:szCs w:val="17"/>
        </w:rPr>
        <w:t>, Zeile 15) und für die Erzeugung von Ergebni</w:t>
      </w:r>
      <w:r w:rsidRPr="00156980">
        <w:rPr>
          <w:szCs w:val="17"/>
        </w:rPr>
        <w:t>s</w:t>
      </w:r>
      <w:r w:rsidRPr="00156980">
        <w:rPr>
          <w:szCs w:val="17"/>
        </w:rPr>
        <w:t>sen wieder abruft (Zeile 24). In jedem Interpretationsschritt wird also nur das für die j</w:t>
      </w:r>
      <w:r w:rsidRPr="00156980">
        <w:rPr>
          <w:szCs w:val="17"/>
        </w:rPr>
        <w:t>e</w:t>
      </w:r>
      <w:r w:rsidRPr="00156980">
        <w:rPr>
          <w:szCs w:val="17"/>
        </w:rPr>
        <w:t xml:space="preserve">weils verwendeten </w:t>
      </w:r>
      <w:r w:rsidRPr="00156980">
        <w:rPr>
          <w:i/>
          <w:szCs w:val="17"/>
        </w:rPr>
        <w:t>B</w:t>
      </w:r>
      <w:r w:rsidRPr="00156980">
        <w:rPr>
          <w:szCs w:val="17"/>
        </w:rPr>
        <w:t xml:space="preserve"> und </w:t>
      </w:r>
      <w:r w:rsidRPr="00156980">
        <w:rPr>
          <w:i/>
          <w:szCs w:val="17"/>
        </w:rPr>
        <w:t>Er</w:t>
      </w:r>
      <w:r w:rsidRPr="00156980">
        <w:rPr>
          <w:szCs w:val="17"/>
        </w:rPr>
        <w:t xml:space="preserve"> spezifisch relevante </w:t>
      </w:r>
      <w:r w:rsidRPr="00156980">
        <w:rPr>
          <w:i/>
          <w:szCs w:val="17"/>
        </w:rPr>
        <w:t>H</w:t>
      </w:r>
      <w:r w:rsidRPr="00156980">
        <w:rPr>
          <w:szCs w:val="17"/>
        </w:rPr>
        <w:t xml:space="preserve"> verwendet.</w:t>
      </w:r>
    </w:p>
  </w:footnote>
  <w:footnote w:id="49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Wetzel 2004, Bd. I: 288.</w:t>
      </w:r>
    </w:p>
  </w:footnote>
  <w:footnote w:id="4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1709259 \h  \* MERGEFORMAT ">
        <w:r w:rsidR="001231D3" w:rsidRPr="001231D3">
          <w:rPr>
            <w:szCs w:val="17"/>
          </w:rPr>
          <w:t>424</w:t>
        </w:r>
      </w:fldSimple>
      <w:r w:rsidRPr="00156980">
        <w:rPr>
          <w:szCs w:val="17"/>
        </w:rPr>
        <w:t>.</w:t>
      </w:r>
    </w:p>
  </w:footnote>
  <w:footnote w:id="4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Plissees sind Stoffe, die künstlich erzeugte Falten enthalten.</w:t>
      </w:r>
    </w:p>
  </w:footnote>
  <w:footnote w:id="4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Darunter fallen Kommunikationsakte, die (explizit oder dem Inhalt nach) an die Polizei gerichtet sind, etwa wenn ein Bankräuber vor dem Verlassen der Bank ausruft: „Ihr kriegt uns nie!“</w:t>
      </w:r>
    </w:p>
  </w:footnote>
  <w:footnote w:id="4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Darunter fallen Kommunikationsakte, die (explizit oder dem Inhalt nach) an die Öffen</w:t>
      </w:r>
      <w:r w:rsidRPr="00156980">
        <w:rPr>
          <w:szCs w:val="17"/>
        </w:rPr>
        <w:t>t</w:t>
      </w:r>
      <w:r w:rsidRPr="00156980">
        <w:rPr>
          <w:szCs w:val="17"/>
        </w:rPr>
        <w:t>lichkeit gerichtet sind, etwa wenn ein Bankräuber vor dem Verlassen der Bank ausruft: „Nicht wir sind die Diebe, die Banken bestehlen euch! Merkt euch das!“</w:t>
      </w:r>
    </w:p>
  </w:footnote>
  <w:footnote w:id="4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Dieses wie auch viele andere Wissenselemente gibt eine Standardinferenz wieder, die durch zusätzliche Informationen ausgelöscht werden kann, etwa wenn es </w:t>
      </w:r>
      <w:r>
        <w:rPr>
          <w:szCs w:val="17"/>
        </w:rPr>
        <w:t>Hinweise d</w:t>
      </w:r>
      <w:r>
        <w:rPr>
          <w:szCs w:val="17"/>
        </w:rPr>
        <w:t>a</w:t>
      </w:r>
      <w:r>
        <w:rPr>
          <w:szCs w:val="17"/>
        </w:rPr>
        <w:t xml:space="preserve">rauf </w:t>
      </w:r>
      <w:r w:rsidRPr="00156980">
        <w:rPr>
          <w:szCs w:val="17"/>
        </w:rPr>
        <w:t>gibt, dass die Planenden die Tatsache, dass sie sich einem vermeidbaren Risiko au</w:t>
      </w:r>
      <w:r w:rsidRPr="00156980">
        <w:rPr>
          <w:szCs w:val="17"/>
        </w:rPr>
        <w:t>s</w:t>
      </w:r>
      <w:r w:rsidRPr="00156980">
        <w:rPr>
          <w:szCs w:val="17"/>
        </w:rPr>
        <w:t>setzen, nicht verstehen, oder wenn in der betreffenden Bank eine wesentlich höhere Be</w:t>
      </w:r>
      <w:r w:rsidRPr="00156980">
        <w:rPr>
          <w:szCs w:val="17"/>
        </w:rPr>
        <w:t>u</w:t>
      </w:r>
      <w:r w:rsidRPr="00156980">
        <w:rPr>
          <w:szCs w:val="17"/>
        </w:rPr>
        <w:t>te zu erwarten ist als in den weiter von Polizeistationen entfernten.</w:t>
      </w:r>
    </w:p>
  </w:footnote>
  <w:footnote w:id="5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5309936 \r \h  \* MERGEFORMAT ">
        <w:r w:rsidR="001231D3" w:rsidRPr="001231D3">
          <w:rPr>
            <w:szCs w:val="17"/>
          </w:rPr>
          <w:t>7.2.2</w:t>
        </w:r>
      </w:fldSimple>
      <w:r w:rsidRPr="00156980">
        <w:rPr>
          <w:szCs w:val="17"/>
        </w:rPr>
        <w:t>, Unterabschnitt</w:t>
      </w:r>
      <w:r w:rsidRPr="00156980">
        <w:rPr>
          <w:i/>
          <w:szCs w:val="17"/>
        </w:rPr>
        <w:t xml:space="preserve"> Die Funktionsmenge Su der Suchmethoden.</w:t>
      </w:r>
    </w:p>
  </w:footnote>
  <w:footnote w:id="5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hohe Risikobereitschaft ist eine wichtige Schwachstelle der Bankräuber, die für pol</w:t>
      </w:r>
      <w:r w:rsidRPr="00156980">
        <w:rPr>
          <w:szCs w:val="17"/>
        </w:rPr>
        <w:t>i</w:t>
      </w:r>
      <w:r w:rsidRPr="00156980">
        <w:rPr>
          <w:szCs w:val="17"/>
        </w:rPr>
        <w:t xml:space="preserve">zeiliches Vorgehen bei zukünftigen Taten dieses Teams zu berücksichtigen ist; sie kann zudem für eine Vorhersage ihres zukünftigen Handelns (etwa bei der Frage, welche Bank als nächste überfallen und welches Vorgehen gewählt wird) relevant sein; und sie kann wie jede auffällige Merkmalsregel eine Rolle bei der Identifizierung der Täter spielen. Für die mit der Aufklärung Befassten ist </w:t>
      </w:r>
      <w:r w:rsidRPr="00156980">
        <w:rPr>
          <w:i/>
          <w:szCs w:val="17"/>
        </w:rPr>
        <w:t>Er</w:t>
      </w:r>
      <w:r w:rsidRPr="00156980">
        <w:rPr>
          <w:szCs w:val="17"/>
          <w:vertAlign w:val="subscript"/>
        </w:rPr>
        <w:t>2</w:t>
      </w:r>
      <w:r w:rsidRPr="00156980">
        <w:rPr>
          <w:szCs w:val="17"/>
        </w:rPr>
        <w:t xml:space="preserve"> daher im mehrerer Hinsicht relevant.</w:t>
      </w:r>
    </w:p>
  </w:footnote>
  <w:footnote w:id="5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Beim Wahrnehmen eines Stils können auch mehrere Realisierungen zugleich untersucht werden (vgl. Erläuterung am Ende von Abschnitt </w:t>
      </w:r>
      <w:fldSimple w:instr=" REF _Ref212453073 \r \h  \* MERGEFORMAT ">
        <w:r w:rsidR="001231D3" w:rsidRPr="001231D3">
          <w:rPr>
            <w:szCs w:val="17"/>
          </w:rPr>
          <w:t>4.5</w:t>
        </w:r>
      </w:fldSimple>
      <w:r w:rsidRPr="00156980">
        <w:rPr>
          <w:szCs w:val="17"/>
        </w:rPr>
        <w:t>).</w:t>
      </w:r>
    </w:p>
  </w:footnote>
  <w:footnote w:id="5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auch Abschnitt </w:t>
      </w:r>
      <w:fldSimple w:instr=" REF _Ref225339965 \r \h  \* MERGEFORMAT ">
        <w:r w:rsidR="001231D3" w:rsidRPr="001231D3">
          <w:rPr>
            <w:szCs w:val="17"/>
          </w:rPr>
          <w:t>2.8</w:t>
        </w:r>
      </w:fldSimple>
      <w:r w:rsidRPr="00156980">
        <w:rPr>
          <w:szCs w:val="17"/>
        </w:rPr>
        <w:t>.</w:t>
      </w:r>
    </w:p>
  </w:footnote>
  <w:footnote w:id="5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Hintergrundwissen zum Schema wird von der Schreibausgabe nicht speziell geken</w:t>
      </w:r>
      <w:r w:rsidRPr="00156980">
        <w:rPr>
          <w:szCs w:val="17"/>
        </w:rPr>
        <w:t>n</w:t>
      </w:r>
      <w:r w:rsidRPr="00156980">
        <w:rPr>
          <w:szCs w:val="17"/>
        </w:rPr>
        <w:t xml:space="preserve">zeichnet; in den Beispielen wird davon abweichend die Angabe „[zum Schema]“ hinter dem Bezeichner des Elements notiert. Vgl. unter anderem </w:t>
      </w:r>
      <w:fldSimple w:instr=" REF _Ref260072285 \r \h  \* MERGEFORMAT ">
        <w:r w:rsidR="001231D3" w:rsidRPr="001231D3">
          <w:rPr>
            <w:szCs w:val="17"/>
          </w:rPr>
          <w:t>6.3.1.2</w:t>
        </w:r>
      </w:fldSimple>
      <w:r w:rsidRPr="00156980">
        <w:rPr>
          <w:szCs w:val="17"/>
        </w:rPr>
        <w:t xml:space="preserve">, 1. Beispiel, sowie die Beispiele in </w:t>
      </w:r>
      <w:fldSimple w:instr=" REF _Ref260072345 \r \h  \* MERGEFORMAT ">
        <w:r w:rsidR="001231D3" w:rsidRPr="001231D3">
          <w:rPr>
            <w:szCs w:val="17"/>
          </w:rPr>
          <w:t>6.3.2.2</w:t>
        </w:r>
      </w:fldSimple>
      <w:r w:rsidRPr="00156980">
        <w:rPr>
          <w:szCs w:val="17"/>
        </w:rPr>
        <w:t xml:space="preserve">, </w:t>
      </w:r>
      <w:fldSimple w:instr=" REF _Ref261636855 \r \h  \* MERGEFORMAT ">
        <w:r w:rsidR="001231D3" w:rsidRPr="001231D3">
          <w:rPr>
            <w:szCs w:val="17"/>
          </w:rPr>
          <w:t>7.1.4</w:t>
        </w:r>
      </w:fldSimple>
      <w:r w:rsidRPr="00156980">
        <w:rPr>
          <w:szCs w:val="17"/>
        </w:rPr>
        <w:t xml:space="preserve">, </w:t>
      </w:r>
      <w:fldSimple w:instr=" REF _Ref261797270 \r \h  \* MERGEFORMAT ">
        <w:r w:rsidR="001231D3" w:rsidRPr="001231D3">
          <w:rPr>
            <w:szCs w:val="17"/>
          </w:rPr>
          <w:t>7.1.7</w:t>
        </w:r>
      </w:fldSimple>
      <w:r w:rsidRPr="00156980">
        <w:rPr>
          <w:szCs w:val="17"/>
        </w:rPr>
        <w:t xml:space="preserve"> und </w:t>
      </w:r>
      <w:fldSimple w:instr=" REF _Ref256495882 \r \h  \* MERGEFORMAT ">
        <w:r w:rsidR="001231D3" w:rsidRPr="001231D3">
          <w:rPr>
            <w:szCs w:val="17"/>
          </w:rPr>
          <w:t>7.1.8</w:t>
        </w:r>
      </w:fldSimple>
      <w:r w:rsidRPr="00156980">
        <w:rPr>
          <w:szCs w:val="17"/>
        </w:rPr>
        <w:t>.</w:t>
      </w:r>
    </w:p>
  </w:footnote>
  <w:footnote w:id="5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Erläuterung in Abschnitt </w:t>
      </w:r>
      <w:fldSimple w:instr=" REF _Ref258410988 \r \h  \* MERGEFORMAT ">
        <w:r w:rsidR="001231D3" w:rsidRPr="001231D3">
          <w:rPr>
            <w:szCs w:val="17"/>
          </w:rPr>
          <w:t>7.2.4</w:t>
        </w:r>
      </w:fldSimple>
      <w:r w:rsidRPr="00156980">
        <w:rPr>
          <w:szCs w:val="17"/>
        </w:rPr>
        <w:t>.</w:t>
      </w:r>
    </w:p>
  </w:footnote>
  <w:footnote w:id="5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zum Zugriff auf die Komponenten von </w:t>
      </w:r>
      <w:r w:rsidRPr="00156980">
        <w:rPr>
          <w:i/>
          <w:color w:val="000000" w:themeColor="text1"/>
          <w:szCs w:val="17"/>
        </w:rPr>
        <w:t>S*</w:t>
      </w:r>
      <w:r w:rsidRPr="00156980">
        <w:rPr>
          <w:szCs w:val="17"/>
        </w:rPr>
        <w:t xml:space="preserve"> die Variablendefinition in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w:t>
      </w:r>
      <w:r w:rsidRPr="00156980">
        <w:rPr>
          <w:szCs w:val="17"/>
        </w:rPr>
        <w:t xml:space="preserve">, Zeile 3 sowie Unterabschnitt </w:t>
      </w:r>
      <w:r w:rsidRPr="00156980">
        <w:rPr>
          <w:i/>
          <w:szCs w:val="17"/>
        </w:rPr>
        <w:t>Die Funktion Schemata_zusammen</w:t>
      </w:r>
      <w:r>
        <w:rPr>
          <w:i/>
          <w:szCs w:val="17"/>
        </w:rPr>
        <w:softHyphen/>
      </w:r>
      <w:r w:rsidRPr="00156980">
        <w:rPr>
          <w:i/>
          <w:szCs w:val="17"/>
        </w:rPr>
        <w:t>stellen</w:t>
      </w:r>
      <w:r w:rsidRPr="00156980">
        <w:rPr>
          <w:szCs w:val="17"/>
        </w:rPr>
        <w:t>).</w:t>
      </w:r>
    </w:p>
  </w:footnote>
  <w:footnote w:id="5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Anhand eines Beispiels lässt sich zeigen, warum es sinnvoll ist, das relevante Hinte</w:t>
      </w:r>
      <w:r w:rsidRPr="00156980">
        <w:rPr>
          <w:szCs w:val="17"/>
        </w:rPr>
        <w:t>r</w:t>
      </w:r>
      <w:r w:rsidRPr="00156980">
        <w:rPr>
          <w:szCs w:val="17"/>
        </w:rPr>
        <w:t xml:space="preserve">grundwissen für Kombinationen von </w:t>
      </w:r>
      <w:r w:rsidRPr="00156980">
        <w:rPr>
          <w:i/>
          <w:color w:val="000000" w:themeColor="text1"/>
          <w:szCs w:val="17"/>
        </w:rPr>
        <w:t>P</w:t>
      </w:r>
      <w:r w:rsidRPr="00156980">
        <w:rPr>
          <w:i/>
          <w:color w:val="000000" w:themeColor="text1"/>
          <w:szCs w:val="17"/>
          <w:vertAlign w:val="subscript"/>
        </w:rPr>
        <w:t>i</w:t>
      </w:r>
      <w:r w:rsidRPr="00156980">
        <w:rPr>
          <w:szCs w:val="17"/>
        </w:rPr>
        <w:t xml:space="preserve"> und </w:t>
      </w:r>
      <w:r w:rsidRPr="00156980">
        <w:rPr>
          <w:i/>
          <w:color w:val="000000" w:themeColor="text1"/>
          <w:szCs w:val="17"/>
        </w:rPr>
        <w:t>Q</w:t>
      </w:r>
      <w:r w:rsidRPr="00156980">
        <w:rPr>
          <w:i/>
          <w:color w:val="000000" w:themeColor="text1"/>
          <w:szCs w:val="17"/>
          <w:vertAlign w:val="subscript"/>
        </w:rPr>
        <w:t>j</w:t>
      </w:r>
      <w:r w:rsidRPr="00156980">
        <w:rPr>
          <w:szCs w:val="17"/>
        </w:rPr>
        <w:t xml:space="preserve"> separat zu speichern, statt einfach alles r</w:t>
      </w:r>
      <w:r w:rsidRPr="00156980">
        <w:rPr>
          <w:szCs w:val="17"/>
        </w:rPr>
        <w:t>e</w:t>
      </w:r>
      <w:r w:rsidRPr="00156980">
        <w:rPr>
          <w:szCs w:val="17"/>
        </w:rPr>
        <w:t xml:space="preserve">levante Hintergrundwissen als </w:t>
      </w:r>
      <w:r w:rsidRPr="00156980">
        <w:rPr>
          <w:i/>
          <w:color w:val="000000" w:themeColor="text1"/>
          <w:szCs w:val="17"/>
        </w:rPr>
        <w:t>R</w:t>
      </w:r>
      <w:r w:rsidRPr="00156980">
        <w:rPr>
          <w:i/>
          <w:color w:val="000000" w:themeColor="text1"/>
          <w:szCs w:val="17"/>
          <w:vertAlign w:val="subscript"/>
        </w:rPr>
        <w:t>k</w:t>
      </w:r>
      <w:r w:rsidRPr="00156980">
        <w:rPr>
          <w:szCs w:val="17"/>
        </w:rPr>
        <w:t xml:space="preserve"> gemeinsam zu speichern (und die beiden in Zeile 13 und 14 definierten for-Schleifen einzusparen). Dafür wird auf die Funktion </w:t>
      </w:r>
      <w:r w:rsidRPr="00156980">
        <w:rPr>
          <w:i/>
          <w:szCs w:val="17"/>
        </w:rPr>
        <w:t>Ergebnisse</w:t>
      </w:r>
      <w:r w:rsidRPr="00156980">
        <w:rPr>
          <w:szCs w:val="17"/>
        </w:rPr>
        <w:t xml:space="preserve">, die in Abschnitt </w:t>
      </w:r>
      <w:fldSimple w:instr=" REF _Ref254694742 \r \h  \* MERGEFORMAT ">
        <w:r w:rsidR="001231D3" w:rsidRPr="001231D3">
          <w:rPr>
            <w:szCs w:val="17"/>
          </w:rPr>
          <w:t>7.2.3</w:t>
        </w:r>
      </w:fldSimple>
      <w:r w:rsidRPr="00156980">
        <w:rPr>
          <w:szCs w:val="17"/>
        </w:rPr>
        <w:t xml:space="preserve"> erläutert wird, vorgegriffen.</w:t>
      </w:r>
    </w:p>
    <w:p w:rsidR="00CC3558" w:rsidRPr="00156980" w:rsidRDefault="00CC3558" w:rsidP="00F461D9">
      <w:pPr>
        <w:pStyle w:val="Funotentext"/>
        <w:rPr>
          <w:szCs w:val="17"/>
        </w:rPr>
      </w:pPr>
      <w:r w:rsidRPr="00156980">
        <w:rPr>
          <w:szCs w:val="17"/>
        </w:rPr>
        <w:tab/>
        <w:t xml:space="preserve">Nehmen wir an, es gilt: Artefaktschema ‚Gebäude‘; </w:t>
      </w:r>
      <w:r w:rsidRPr="00156980">
        <w:rPr>
          <w:i/>
          <w:color w:val="000000" w:themeColor="text1"/>
          <w:szCs w:val="17"/>
        </w:rPr>
        <w:t>P</w:t>
      </w:r>
      <w:r w:rsidRPr="00156980">
        <w:rPr>
          <w:i/>
          <w:color w:val="000000" w:themeColor="text1"/>
          <w:szCs w:val="17"/>
          <w:vertAlign w:val="subscript"/>
        </w:rPr>
        <w:t>i</w:t>
      </w:r>
      <w:r w:rsidRPr="00156980">
        <w:rPr>
          <w:szCs w:val="17"/>
        </w:rPr>
        <w:t xml:space="preserve"> = {</w:t>
      </w:r>
      <w:r w:rsidRPr="00156980">
        <w:rPr>
          <w:i/>
          <w:color w:val="000000" w:themeColor="text1"/>
          <w:szCs w:val="17"/>
        </w:rPr>
        <w:t>B</w:t>
      </w:r>
      <w:r w:rsidRPr="00156980">
        <w:rPr>
          <w:i/>
          <w:color w:val="000000" w:themeColor="text1"/>
          <w:szCs w:val="17"/>
          <w:vertAlign w:val="subscript"/>
        </w:rPr>
        <w:t>u</w:t>
      </w:r>
      <w:r w:rsidRPr="00156980">
        <w:rPr>
          <w:szCs w:val="17"/>
        </w:rPr>
        <w:t xml:space="preserve">} mit </w:t>
      </w:r>
      <w:r w:rsidRPr="00156980">
        <w:rPr>
          <w:i/>
          <w:szCs w:val="17"/>
        </w:rPr>
        <w:t>U</w:t>
      </w:r>
      <w:r w:rsidRPr="00156980">
        <w:rPr>
          <w:szCs w:val="17"/>
        </w:rPr>
        <w:t>(</w:t>
      </w:r>
      <w:r w:rsidRPr="00156980">
        <w:rPr>
          <w:i/>
          <w:color w:val="000000" w:themeColor="text1"/>
          <w:szCs w:val="17"/>
        </w:rPr>
        <w:t>B</w:t>
      </w:r>
      <w:r w:rsidRPr="00156980">
        <w:rPr>
          <w:i/>
          <w:color w:val="000000" w:themeColor="text1"/>
          <w:szCs w:val="17"/>
          <w:vertAlign w:val="subscript"/>
        </w:rPr>
        <w:t>u</w:t>
      </w:r>
      <w:r w:rsidRPr="00156980">
        <w:rPr>
          <w:szCs w:val="17"/>
        </w:rPr>
        <w:t xml:space="preserve">): ‚Grundriss‘, </w:t>
      </w:r>
      <w:r w:rsidRPr="00156980">
        <w:rPr>
          <w:i/>
          <w:szCs w:val="17"/>
        </w:rPr>
        <w:t>V</w:t>
      </w:r>
      <w:r w:rsidRPr="00156980">
        <w:rPr>
          <w:szCs w:val="17"/>
        </w:rPr>
        <w:t>(</w:t>
      </w:r>
      <w:r w:rsidRPr="00156980">
        <w:rPr>
          <w:i/>
          <w:color w:val="000000" w:themeColor="text1"/>
          <w:szCs w:val="17"/>
        </w:rPr>
        <w:t>B</w:t>
      </w:r>
      <w:r w:rsidRPr="00156980">
        <w:rPr>
          <w:i/>
          <w:color w:val="000000" w:themeColor="text1"/>
          <w:szCs w:val="17"/>
          <w:vertAlign w:val="subscript"/>
        </w:rPr>
        <w:t>u</w:t>
      </w:r>
      <w:r w:rsidRPr="00156980">
        <w:rPr>
          <w:szCs w:val="17"/>
        </w:rPr>
        <w:t xml:space="preserve">): ‚kreuzförmig‘; </w:t>
      </w:r>
      <w:r w:rsidRPr="00156980">
        <w:rPr>
          <w:i/>
          <w:color w:val="000000" w:themeColor="text1"/>
          <w:szCs w:val="17"/>
        </w:rPr>
        <w:t>Q</w:t>
      </w:r>
      <w:r w:rsidRPr="00156980">
        <w:rPr>
          <w:i/>
          <w:color w:val="000000" w:themeColor="text1"/>
          <w:szCs w:val="17"/>
          <w:vertAlign w:val="subscript"/>
        </w:rPr>
        <w:t>j</w:t>
      </w:r>
      <w:r w:rsidRPr="00156980">
        <w:rPr>
          <w:szCs w:val="17"/>
        </w:rPr>
        <w:t xml:space="preserve"> = {</w:t>
      </w:r>
      <w:r w:rsidRPr="00156980">
        <w:rPr>
          <w:i/>
          <w:color w:val="000000" w:themeColor="text1"/>
          <w:szCs w:val="17"/>
        </w:rPr>
        <w:t>Er</w:t>
      </w:r>
      <w:r w:rsidRPr="00156980">
        <w:rPr>
          <w:i/>
          <w:color w:val="000000" w:themeColor="text1"/>
          <w:szCs w:val="17"/>
          <w:vertAlign w:val="subscript"/>
        </w:rPr>
        <w:t>v</w:t>
      </w:r>
      <w:r w:rsidRPr="00156980">
        <w:rPr>
          <w:szCs w:val="17"/>
        </w:rPr>
        <w:t xml:space="preserve">} mit </w:t>
      </w:r>
      <w:r w:rsidRPr="00156980">
        <w:rPr>
          <w:i/>
          <w:color w:val="000000" w:themeColor="text1"/>
          <w:szCs w:val="17"/>
        </w:rPr>
        <w:t>Er</w:t>
      </w:r>
      <w:r w:rsidRPr="00156980">
        <w:rPr>
          <w:i/>
          <w:color w:val="000000" w:themeColor="text1"/>
          <w:szCs w:val="17"/>
          <w:vertAlign w:val="subscript"/>
        </w:rPr>
        <w:t>v</w:t>
      </w:r>
      <w:r w:rsidRPr="00156980">
        <w:rPr>
          <w:szCs w:val="17"/>
        </w:rPr>
        <w:t xml:space="preserve">: ‚Der Grundriss des Gebäudes stammt aus dem Spätmittelalter‘. Nun wird gezielt nach Hintergrundwissen gesucht, dass sich auf diese Elemente beziehen lässt. Gefunden wird beispielsweise: </w:t>
      </w:r>
      <m:oMath>
        <m:sSub>
          <m:sSubPr>
            <m:ctrlPr>
              <w:rPr>
                <w:rFonts w:ascii="Cambria Math" w:hAnsi="Cambria Math" w:cs="Times New Roman"/>
                <w:i/>
                <w:szCs w:val="17"/>
              </w:rPr>
            </m:ctrlPr>
          </m:sSubPr>
          <m:e>
            <m:r>
              <m:rPr>
                <m:nor/>
              </m:rPr>
              <w:rPr>
                <w:rFonts w:cs="Times New Roman"/>
                <w:i/>
                <w:szCs w:val="17"/>
              </w:rPr>
              <m:t>R</m:t>
            </m:r>
          </m:e>
          <m:sub>
            <m:sSub>
              <m:sSubPr>
                <m:ctrlPr>
                  <w:rPr>
                    <w:rFonts w:ascii="Cambria Math" w:hAnsi="Cambria Math" w:cs="Times New Roman"/>
                    <w:i/>
                    <w:szCs w:val="17"/>
                  </w:rPr>
                </m:ctrlPr>
              </m:sSubPr>
              <m:e>
                <m:r>
                  <m:rPr>
                    <m:nor/>
                  </m:rPr>
                  <w:rPr>
                    <w:rFonts w:cs="Times New Roman"/>
                    <w:i/>
                    <w:szCs w:val="17"/>
                  </w:rPr>
                  <m:t>i</m:t>
                </m:r>
              </m:e>
              <m:sub>
                <m:r>
                  <m:rPr>
                    <m:nor/>
                  </m:rPr>
                  <w:rPr>
                    <w:rFonts w:cs="Times New Roman"/>
                    <w:i/>
                    <w:szCs w:val="17"/>
                  </w:rPr>
                  <m:t>j</m:t>
                </m:r>
              </m:sub>
            </m:sSub>
          </m:sub>
        </m:sSub>
      </m:oMath>
      <w:r w:rsidRPr="00156980">
        <w:rPr>
          <w:szCs w:val="17"/>
        </w:rPr>
        <w:t xml:space="preserve"> = {</w:t>
      </w:r>
      <w:r w:rsidRPr="00156980">
        <w:rPr>
          <w:i/>
          <w:color w:val="000000" w:themeColor="text1"/>
          <w:szCs w:val="17"/>
        </w:rPr>
        <w:t>H</w:t>
      </w:r>
      <w:r w:rsidRPr="00156980">
        <w:rPr>
          <w:i/>
          <w:color w:val="000000" w:themeColor="text1"/>
          <w:szCs w:val="17"/>
          <w:vertAlign w:val="subscript"/>
        </w:rPr>
        <w:t>w</w:t>
      </w:r>
      <w:r w:rsidRPr="00156980">
        <w:rPr>
          <w:szCs w:val="17"/>
        </w:rPr>
        <w:t xml:space="preserve">, </w:t>
      </w:r>
      <w:r w:rsidRPr="00156980">
        <w:rPr>
          <w:i/>
          <w:color w:val="000000" w:themeColor="text1"/>
          <w:szCs w:val="17"/>
        </w:rPr>
        <w:t>H</w:t>
      </w:r>
      <w:r w:rsidRPr="00156980">
        <w:rPr>
          <w:i/>
          <w:color w:val="000000" w:themeColor="text1"/>
          <w:szCs w:val="17"/>
          <w:vertAlign w:val="subscript"/>
        </w:rPr>
        <w:t>x</w:t>
      </w:r>
      <w:r w:rsidRPr="00156980">
        <w:rPr>
          <w:szCs w:val="17"/>
        </w:rPr>
        <w:t xml:space="preserve">, </w:t>
      </w:r>
      <w:r w:rsidRPr="00156980">
        <w:rPr>
          <w:i/>
          <w:color w:val="000000" w:themeColor="text1"/>
          <w:szCs w:val="17"/>
        </w:rPr>
        <w:t>H</w:t>
      </w:r>
      <w:r w:rsidRPr="00156980">
        <w:rPr>
          <w:i/>
          <w:color w:val="000000" w:themeColor="text1"/>
          <w:szCs w:val="17"/>
          <w:vertAlign w:val="subscript"/>
        </w:rPr>
        <w:t>y</w:t>
      </w:r>
      <w:r w:rsidRPr="00156980">
        <w:rPr>
          <w:szCs w:val="17"/>
        </w:rPr>
        <w:t xml:space="preserve">} mit </w:t>
      </w:r>
      <w:r w:rsidRPr="00156980">
        <w:rPr>
          <w:i/>
          <w:color w:val="000000" w:themeColor="text1"/>
          <w:szCs w:val="17"/>
        </w:rPr>
        <w:t>H</w:t>
      </w:r>
      <w:r w:rsidRPr="00156980">
        <w:rPr>
          <w:i/>
          <w:color w:val="000000" w:themeColor="text1"/>
          <w:szCs w:val="17"/>
          <w:vertAlign w:val="subscript"/>
        </w:rPr>
        <w:t>w</w:t>
      </w:r>
      <w:r w:rsidRPr="00156980">
        <w:rPr>
          <w:szCs w:val="17"/>
        </w:rPr>
        <w:t>: ‚kreuzförmige Gestalt verweist in der christlichen Ikonographie</w:t>
      </w:r>
      <w:r w:rsidR="005D7996">
        <w:rPr>
          <w:szCs w:val="17"/>
        </w:rPr>
        <w:fldChar w:fldCharType="begin"/>
      </w:r>
      <w:r>
        <w:instrText xml:space="preserve"> XE "</w:instrText>
      </w:r>
      <w:r w:rsidRPr="009276E8">
        <w:instrText>Ikonographie</w:instrText>
      </w:r>
      <w:r>
        <w:instrText xml:space="preserve">" </w:instrText>
      </w:r>
      <w:r w:rsidR="005D7996">
        <w:rPr>
          <w:szCs w:val="17"/>
        </w:rPr>
        <w:fldChar w:fldCharType="end"/>
      </w:r>
      <w:r w:rsidRPr="00156980">
        <w:rPr>
          <w:szCs w:val="17"/>
        </w:rPr>
        <w:t xml:space="preserve"> stets auf einen sakralen Bezug‘, </w:t>
      </w:r>
      <w:r w:rsidRPr="00156980">
        <w:rPr>
          <w:i/>
          <w:color w:val="000000" w:themeColor="text1"/>
          <w:szCs w:val="17"/>
        </w:rPr>
        <w:t>H</w:t>
      </w:r>
      <w:r w:rsidRPr="00156980">
        <w:rPr>
          <w:i/>
          <w:color w:val="000000" w:themeColor="text1"/>
          <w:szCs w:val="17"/>
          <w:vertAlign w:val="subscript"/>
        </w:rPr>
        <w:t>x</w:t>
      </w:r>
      <w:r w:rsidRPr="00156980">
        <w:rPr>
          <w:szCs w:val="17"/>
        </w:rPr>
        <w:t>: ‚Im Spätmittelalter ist die christliche Ikonographie in Frankreich vorher</w:t>
      </w:r>
      <w:r w:rsidRPr="00156980">
        <w:rPr>
          <w:szCs w:val="17"/>
        </w:rPr>
        <w:t>r</w:t>
      </w:r>
      <w:r w:rsidRPr="00156980">
        <w:rPr>
          <w:szCs w:val="17"/>
        </w:rPr>
        <w:t>schend, andere Ikonographien spielen eine geringe Rolle (im Gegensatz etwa zur Mode</w:t>
      </w:r>
      <w:r w:rsidRPr="00156980">
        <w:rPr>
          <w:szCs w:val="17"/>
        </w:rPr>
        <w:t>r</w:t>
      </w:r>
      <w:r w:rsidRPr="00156980">
        <w:rPr>
          <w:szCs w:val="17"/>
        </w:rPr>
        <w:t>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w:t>
      </w:r>
      <w:r w:rsidRPr="00156980">
        <w:rPr>
          <w:i/>
          <w:color w:val="000000" w:themeColor="text1"/>
          <w:szCs w:val="17"/>
        </w:rPr>
        <w:t>H</w:t>
      </w:r>
      <w:r w:rsidRPr="00156980">
        <w:rPr>
          <w:i/>
          <w:color w:val="000000" w:themeColor="text1"/>
          <w:szCs w:val="17"/>
          <w:vertAlign w:val="subscript"/>
        </w:rPr>
        <w:t>y</w:t>
      </w:r>
      <w:r w:rsidRPr="00156980">
        <w:rPr>
          <w:szCs w:val="17"/>
        </w:rPr>
        <w:t xml:space="preserve">: ‚Das Gebäude steht in Frankreich‘. Mit Hilfe dieser </w:t>
      </w:r>
      <w:r w:rsidRPr="00156980">
        <w:rPr>
          <w:i/>
          <w:szCs w:val="17"/>
        </w:rPr>
        <w:t>H</w:t>
      </w:r>
      <w:r w:rsidRPr="00156980">
        <w:rPr>
          <w:szCs w:val="17"/>
        </w:rPr>
        <w:t xml:space="preserve">-Elemente, die spezifisch für die Teilmenge </w:t>
      </w:r>
      <w:r w:rsidRPr="00156980">
        <w:rPr>
          <w:i/>
          <w:color w:val="000000" w:themeColor="text1"/>
          <w:szCs w:val="17"/>
        </w:rPr>
        <w:t>P</w:t>
      </w:r>
      <w:r w:rsidRPr="00156980">
        <w:rPr>
          <w:i/>
          <w:color w:val="000000" w:themeColor="text1"/>
          <w:szCs w:val="17"/>
          <w:vertAlign w:val="subscript"/>
        </w:rPr>
        <w:t>i</w:t>
      </w:r>
      <w:r w:rsidRPr="00156980">
        <w:rPr>
          <w:szCs w:val="17"/>
        </w:rPr>
        <w:t xml:space="preserve"> aus der Menge der Merkmalsregeln </w:t>
      </w:r>
      <w:r w:rsidRPr="00156980">
        <w:rPr>
          <w:i/>
          <w:szCs w:val="17"/>
        </w:rPr>
        <w:t>B</w:t>
      </w:r>
      <w:r w:rsidRPr="00156980">
        <w:rPr>
          <w:szCs w:val="17"/>
        </w:rPr>
        <w:t xml:space="preserve"> und </w:t>
      </w:r>
      <w:r w:rsidRPr="00156980">
        <w:rPr>
          <w:i/>
          <w:color w:val="000000" w:themeColor="text1"/>
          <w:szCs w:val="17"/>
        </w:rPr>
        <w:t>Q</w:t>
      </w:r>
      <w:r w:rsidRPr="00156980">
        <w:rPr>
          <w:i/>
          <w:color w:val="000000" w:themeColor="text1"/>
          <w:szCs w:val="17"/>
          <w:vertAlign w:val="subscript"/>
        </w:rPr>
        <w:t>j</w:t>
      </w:r>
      <w:r w:rsidRPr="00156980">
        <w:rPr>
          <w:szCs w:val="17"/>
        </w:rPr>
        <w:t xml:space="preserve"> aus der Menge der E</w:t>
      </w:r>
      <w:r w:rsidRPr="00156980">
        <w:rPr>
          <w:szCs w:val="17"/>
        </w:rPr>
        <w:t>r</w:t>
      </w:r>
      <w:r w:rsidRPr="00156980">
        <w:rPr>
          <w:szCs w:val="17"/>
        </w:rPr>
        <w:t xml:space="preserve">gebnisse </w:t>
      </w:r>
      <w:r w:rsidRPr="00156980">
        <w:rPr>
          <w:i/>
          <w:szCs w:val="17"/>
        </w:rPr>
        <w:t>Er</w:t>
      </w:r>
      <w:r w:rsidRPr="00156980">
        <w:rPr>
          <w:szCs w:val="17"/>
        </w:rPr>
        <w:t xml:space="preserve"> gesucht wurden, können nun in der in Zeile 24 aufgerufenen Funktion </w:t>
      </w:r>
      <w:r w:rsidRPr="00156980">
        <w:rPr>
          <w:i/>
          <w:szCs w:val="17"/>
        </w:rPr>
        <w:t>E</w:t>
      </w:r>
      <w:r w:rsidRPr="00156980">
        <w:rPr>
          <w:i/>
          <w:szCs w:val="17"/>
        </w:rPr>
        <w:t>r</w:t>
      </w:r>
      <w:r w:rsidRPr="00156980">
        <w:rPr>
          <w:i/>
          <w:szCs w:val="17"/>
        </w:rPr>
        <w:t>gebnisse</w:t>
      </w:r>
      <w:r w:rsidRPr="00156980">
        <w:rPr>
          <w:szCs w:val="17"/>
        </w:rPr>
        <w:t xml:space="preserve"> ohne große Redundanz Ergebnisse erzeugt werden, es ergibt sich beispielsweise: </w:t>
      </w:r>
      <w:r w:rsidRPr="00156980">
        <w:rPr>
          <w:i/>
          <w:color w:val="000000" w:themeColor="text1"/>
          <w:szCs w:val="17"/>
        </w:rPr>
        <w:t>Er*</w:t>
      </w:r>
      <w:r w:rsidRPr="00156980">
        <w:rPr>
          <w:szCs w:val="17"/>
        </w:rPr>
        <w:t xml:space="preserve"> = {</w:t>
      </w:r>
      <w:r w:rsidRPr="00156980">
        <w:rPr>
          <w:i/>
          <w:color w:val="000000" w:themeColor="text1"/>
          <w:szCs w:val="17"/>
        </w:rPr>
        <w:t>Er</w:t>
      </w:r>
      <w:r w:rsidRPr="00156980">
        <w:rPr>
          <w:i/>
          <w:color w:val="000000" w:themeColor="text1"/>
          <w:szCs w:val="17"/>
          <w:vertAlign w:val="subscript"/>
        </w:rPr>
        <w:t>z</w:t>
      </w:r>
      <w:r w:rsidRPr="00156980">
        <w:rPr>
          <w:szCs w:val="17"/>
        </w:rPr>
        <w:t xml:space="preserve">} mit </w:t>
      </w:r>
      <w:r w:rsidRPr="00156980">
        <w:rPr>
          <w:i/>
          <w:color w:val="000000" w:themeColor="text1"/>
          <w:szCs w:val="17"/>
        </w:rPr>
        <w:t>Er</w:t>
      </w:r>
      <w:r w:rsidRPr="00156980">
        <w:rPr>
          <w:i/>
          <w:color w:val="000000" w:themeColor="text1"/>
          <w:szCs w:val="17"/>
          <w:vertAlign w:val="subscript"/>
        </w:rPr>
        <w:t>z</w:t>
      </w:r>
      <w:r w:rsidRPr="00156980">
        <w:rPr>
          <w:szCs w:val="17"/>
        </w:rPr>
        <w:t>: ‚Das Gebäude hatte eine sakrale Funktion‘.</w:t>
      </w:r>
    </w:p>
    <w:p w:rsidR="00CC3558" w:rsidRPr="00156980" w:rsidRDefault="00CC3558" w:rsidP="00F461D9">
      <w:pPr>
        <w:pStyle w:val="Funotentext"/>
        <w:rPr>
          <w:szCs w:val="17"/>
        </w:rPr>
      </w:pPr>
      <w:r w:rsidRPr="00156980">
        <w:rPr>
          <w:szCs w:val="17"/>
        </w:rPr>
        <w:tab/>
        <w:t xml:space="preserve">Es wird deutlich, dass die Operationsfunktionen gezielter Ergebnisse erzeugen können, wenn sie – wie im Beispiel – nur das zu den Merkmalsregeln in </w:t>
      </w:r>
      <w:r w:rsidRPr="00156980">
        <w:rPr>
          <w:i/>
          <w:color w:val="000000" w:themeColor="text1"/>
          <w:szCs w:val="17"/>
        </w:rPr>
        <w:t>P</w:t>
      </w:r>
      <w:r w:rsidRPr="00156980">
        <w:rPr>
          <w:i/>
          <w:color w:val="000000" w:themeColor="text1"/>
          <w:szCs w:val="17"/>
          <w:vertAlign w:val="subscript"/>
        </w:rPr>
        <w:t>i</w:t>
      </w:r>
      <w:r w:rsidRPr="00156980">
        <w:rPr>
          <w:szCs w:val="17"/>
        </w:rPr>
        <w:t xml:space="preserve"> und der Ergebnissen in </w:t>
      </w:r>
      <w:r w:rsidRPr="00156980">
        <w:rPr>
          <w:i/>
          <w:color w:val="000000" w:themeColor="text1"/>
          <w:szCs w:val="17"/>
        </w:rPr>
        <w:t>Q</w:t>
      </w:r>
      <w:r w:rsidRPr="00156980">
        <w:rPr>
          <w:i/>
          <w:color w:val="000000" w:themeColor="text1"/>
          <w:szCs w:val="17"/>
          <w:vertAlign w:val="subscript"/>
        </w:rPr>
        <w:t>j</w:t>
      </w:r>
      <w:r w:rsidRPr="00156980">
        <w:rPr>
          <w:szCs w:val="17"/>
        </w:rPr>
        <w:t xml:space="preserve"> passende Hintergrundwissen </w:t>
      </w:r>
      <m:oMath>
        <m:sSub>
          <m:sSubPr>
            <m:ctrlPr>
              <w:rPr>
                <w:rFonts w:ascii="Cambria Math" w:hAnsi="Cambria Math" w:cs="Times New Roman"/>
                <w:i/>
                <w:szCs w:val="17"/>
              </w:rPr>
            </m:ctrlPr>
          </m:sSubPr>
          <m:e>
            <m:r>
              <m:rPr>
                <m:nor/>
              </m:rPr>
              <w:rPr>
                <w:rFonts w:cs="Times New Roman"/>
                <w:i/>
                <w:szCs w:val="17"/>
              </w:rPr>
              <m:t>R</m:t>
            </m:r>
          </m:e>
          <m:sub>
            <m:sSub>
              <m:sSubPr>
                <m:ctrlPr>
                  <w:rPr>
                    <w:rFonts w:ascii="Cambria Math" w:hAnsi="Cambria Math" w:cs="Times New Roman"/>
                    <w:i/>
                    <w:szCs w:val="17"/>
                  </w:rPr>
                </m:ctrlPr>
              </m:sSubPr>
              <m:e>
                <m:r>
                  <m:rPr>
                    <m:nor/>
                  </m:rPr>
                  <w:rPr>
                    <w:rFonts w:cs="Times New Roman"/>
                    <w:i/>
                    <w:szCs w:val="17"/>
                  </w:rPr>
                  <m:t>i</m:t>
                </m:r>
              </m:e>
              <m:sub>
                <m:sSub>
                  <m:sSubPr>
                    <m:ctrlPr>
                      <w:rPr>
                        <w:rFonts w:ascii="Cambria Math" w:hAnsi="Cambria Math" w:cs="Times New Roman"/>
                        <w:i/>
                        <w:szCs w:val="17"/>
                      </w:rPr>
                    </m:ctrlPr>
                  </m:sSubPr>
                  <m:e>
                    <m:r>
                      <m:rPr>
                        <m:nor/>
                      </m:rPr>
                      <w:rPr>
                        <w:rFonts w:cs="Times New Roman"/>
                        <w:i/>
                        <w:szCs w:val="17"/>
                      </w:rPr>
                      <m:t>j</m:t>
                    </m:r>
                  </m:e>
                  <m:sub>
                    <m:r>
                      <m:rPr>
                        <m:nor/>
                      </m:rPr>
                      <w:rPr>
                        <w:rFonts w:cs="Times New Roman"/>
                        <w:i/>
                        <w:szCs w:val="17"/>
                      </w:rPr>
                      <m:t>k</m:t>
                    </m:r>
                  </m:sub>
                </m:sSub>
              </m:sub>
            </m:sSub>
          </m:sub>
        </m:sSub>
      </m:oMath>
      <w:r w:rsidRPr="00156980">
        <w:rPr>
          <w:szCs w:val="17"/>
        </w:rPr>
        <w:t xml:space="preserve"> erhalten, als wenn sie alles relevante Hintergrun</w:t>
      </w:r>
      <w:r w:rsidRPr="00156980">
        <w:rPr>
          <w:szCs w:val="17"/>
        </w:rPr>
        <w:t>d</w:t>
      </w:r>
      <w:r w:rsidRPr="00156980">
        <w:rPr>
          <w:szCs w:val="17"/>
        </w:rPr>
        <w:t xml:space="preserve">wissen </w:t>
      </w:r>
      <w:r w:rsidRPr="00156980">
        <w:rPr>
          <w:i/>
          <w:color w:val="000000" w:themeColor="text1"/>
          <w:szCs w:val="17"/>
        </w:rPr>
        <w:t>R</w:t>
      </w:r>
      <w:r w:rsidRPr="00156980">
        <w:rPr>
          <w:i/>
          <w:color w:val="000000" w:themeColor="text1"/>
          <w:szCs w:val="17"/>
          <w:vertAlign w:val="subscript"/>
        </w:rPr>
        <w:t>k</w:t>
      </w:r>
      <w:r w:rsidRPr="00156980">
        <w:rPr>
          <w:szCs w:val="17"/>
        </w:rPr>
        <w:t xml:space="preserve"> erhielten. Bei einem umfangreichen Stil (mit vielen Merkmalsregeln) und/oder fortgeschrittenen Stadium der Interpretation (mit vielen bereits erzeugten Ergebnissen) hätten sich die Funktionen sonst mit einer ausufernden Anzahl von </w:t>
      </w:r>
      <w:r w:rsidRPr="00156980">
        <w:rPr>
          <w:i/>
          <w:szCs w:val="17"/>
        </w:rPr>
        <w:t>H</w:t>
      </w:r>
      <w:r w:rsidRPr="00156980">
        <w:rPr>
          <w:szCs w:val="17"/>
        </w:rPr>
        <w:t>-Elementen he</w:t>
      </w:r>
      <w:r w:rsidRPr="00156980">
        <w:rPr>
          <w:szCs w:val="17"/>
        </w:rPr>
        <w:t>r</w:t>
      </w:r>
      <w:r w:rsidRPr="00156980">
        <w:rPr>
          <w:szCs w:val="17"/>
        </w:rPr>
        <w:t>umzuschlagen, die größtenteils nicht zum sonstigen Input (</w:t>
      </w:r>
      <w:r w:rsidRPr="00156980">
        <w:rPr>
          <w:i/>
          <w:color w:val="000000" w:themeColor="text1"/>
          <w:szCs w:val="17"/>
        </w:rPr>
        <w:t>P</w:t>
      </w:r>
      <w:r w:rsidRPr="00156980">
        <w:rPr>
          <w:i/>
          <w:color w:val="000000" w:themeColor="text1"/>
          <w:szCs w:val="17"/>
          <w:vertAlign w:val="subscript"/>
        </w:rPr>
        <w:t>i</w:t>
      </w:r>
      <w:r w:rsidRPr="00156980">
        <w:rPr>
          <w:szCs w:val="17"/>
        </w:rPr>
        <w:t xml:space="preserve"> und </w:t>
      </w:r>
      <w:r w:rsidRPr="00156980">
        <w:rPr>
          <w:i/>
          <w:color w:val="000000" w:themeColor="text1"/>
          <w:szCs w:val="17"/>
        </w:rPr>
        <w:t>Q</w:t>
      </w:r>
      <w:r w:rsidRPr="00156980">
        <w:rPr>
          <w:i/>
          <w:color w:val="000000" w:themeColor="text1"/>
          <w:szCs w:val="17"/>
          <w:vertAlign w:val="subscript"/>
        </w:rPr>
        <w:t>j</w:t>
      </w:r>
      <w:r w:rsidRPr="00156980">
        <w:rPr>
          <w:szCs w:val="17"/>
        </w:rPr>
        <w:t>) passen würden.</w:t>
      </w:r>
    </w:p>
  </w:footnote>
  <w:footnote w:id="5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zweite Bedingung sorgt dafür, dass mindestens </w:t>
      </w:r>
      <w:r w:rsidRPr="00156980">
        <w:rPr>
          <w:color w:val="000000" w:themeColor="text1"/>
          <w:szCs w:val="17"/>
        </w:rPr>
        <w:t>eine Merkmalsregel oder ein früheres Ergebnis an der Erzeugung eines Ergebnisses beteiligt sein müssen; vgl. die Untersche</w:t>
      </w:r>
      <w:r w:rsidRPr="00156980">
        <w:rPr>
          <w:color w:val="000000" w:themeColor="text1"/>
          <w:szCs w:val="17"/>
        </w:rPr>
        <w:t>i</w:t>
      </w:r>
      <w:r w:rsidRPr="00156980">
        <w:rPr>
          <w:color w:val="000000" w:themeColor="text1"/>
          <w:szCs w:val="17"/>
        </w:rPr>
        <w:t xml:space="preserve">dungen möglicher Fälle in </w:t>
      </w:r>
      <w:fldSimple w:instr=" REF _Ref254339704 \r \h  \* MERGEFORMAT ">
        <w:r w:rsidR="001231D3" w:rsidRPr="001231D3">
          <w:rPr>
            <w:color w:val="000000" w:themeColor="text1"/>
            <w:szCs w:val="17"/>
          </w:rPr>
          <w:t>6.3</w:t>
        </w:r>
      </w:fldSimple>
      <w:r w:rsidRPr="00156980">
        <w:rPr>
          <w:color w:val="000000" w:themeColor="text1"/>
          <w:szCs w:val="17"/>
        </w:rPr>
        <w:t xml:space="preserve">. Erzeugungsprozesse nur aus Hintergrundwissen können als Zwischenergebnisse zugelassen werden (vgl. </w:t>
      </w:r>
      <w:fldSimple w:instr=" REF _Ref257706789 \n \h  \* MERGEFORMAT ">
        <w:r w:rsidR="001231D3" w:rsidRPr="001231D3">
          <w:rPr>
            <w:color w:val="000000" w:themeColor="text1"/>
            <w:szCs w:val="17"/>
          </w:rPr>
          <w:t>6.4.1</w:t>
        </w:r>
      </w:fldSimple>
      <w:r w:rsidRPr="00156980">
        <w:rPr>
          <w:color w:val="000000" w:themeColor="text1"/>
          <w:szCs w:val="17"/>
        </w:rPr>
        <w:t>, 2. Beispiel). Zwischenergebnisse sind keine Ergebnisse der Interpretation (sie sind ja noch gar nicht mit dieser verbunden) und müssten daher in eine separate Variable gespeichert werden, deren Teilmengen dann als weitere Inputsorte (neben Merkmalsregeln, Ergebnissen und Elementen des Hinte</w:t>
      </w:r>
      <w:r w:rsidRPr="00156980">
        <w:rPr>
          <w:color w:val="000000" w:themeColor="text1"/>
          <w:szCs w:val="17"/>
        </w:rPr>
        <w:t>r</w:t>
      </w:r>
      <w:r w:rsidRPr="00156980">
        <w:rPr>
          <w:color w:val="000000" w:themeColor="text1"/>
          <w:szCs w:val="17"/>
        </w:rPr>
        <w:t>grundwissens) verwendet werden.</w:t>
      </w:r>
    </w:p>
  </w:footnote>
  <w:footnote w:id="5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4694742 \r \h  \* MERGEFORMAT ">
        <w:r w:rsidR="001231D3" w:rsidRPr="001231D3">
          <w:rPr>
            <w:szCs w:val="17"/>
          </w:rPr>
          <w:t>7.2.3</w:t>
        </w:r>
      </w:fldSimple>
      <w:r w:rsidRPr="00156980">
        <w:rPr>
          <w:szCs w:val="17"/>
        </w:rPr>
        <w:t xml:space="preserve">, Funktion </w:t>
      </w:r>
      <w:r w:rsidRPr="00156980">
        <w:rPr>
          <w:i/>
          <w:szCs w:val="17"/>
        </w:rPr>
        <w:t>Ergebnisse</w:t>
      </w:r>
      <w:r w:rsidRPr="00156980">
        <w:rPr>
          <w:szCs w:val="17"/>
        </w:rPr>
        <w:t>, Zeile 5-9.</w:t>
      </w:r>
    </w:p>
  </w:footnote>
  <w:footnote w:id="5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Stärkere Veränderungen dürften für das zur Interpretation hinzugezogene relevante Hintergrundwissen gelten, da eine Stilinterpretation häufig Erinnerungsprozesse auslöst (vgl. Abschnitt </w:t>
      </w:r>
      <w:fldSimple w:instr=" REF _Ref255309936 \r \h  \* MERGEFORMAT ">
        <w:r w:rsidR="001231D3" w:rsidRPr="001231D3">
          <w:rPr>
            <w:szCs w:val="17"/>
          </w:rPr>
          <w:t>7.2.2</w:t>
        </w:r>
      </w:fldSimple>
      <w:r w:rsidRPr="00156980">
        <w:rPr>
          <w:szCs w:val="17"/>
        </w:rPr>
        <w:t>).</w:t>
      </w:r>
    </w:p>
  </w:footnote>
  <w:footnote w:id="5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110965 \r \h  \* MERGEFORMAT ">
        <w:r w:rsidR="001231D3" w:rsidRPr="001231D3">
          <w:rPr>
            <w:szCs w:val="17"/>
          </w:rPr>
          <w:t>5.2.2</w:t>
        </w:r>
      </w:fldSimple>
      <w:r w:rsidRPr="00156980">
        <w:rPr>
          <w:szCs w:val="17"/>
        </w:rPr>
        <w:t xml:space="preserve">, Unterabschnitt </w:t>
      </w:r>
      <w:r w:rsidRPr="00156980">
        <w:rPr>
          <w:i/>
          <w:szCs w:val="17"/>
        </w:rPr>
        <w:t>Anmerkung zur Verwendung geordneter Mengen</w:t>
      </w:r>
      <w:r w:rsidRPr="00156980">
        <w:rPr>
          <w:szCs w:val="17"/>
        </w:rPr>
        <w:t>.</w:t>
      </w:r>
    </w:p>
  </w:footnote>
  <w:footnote w:id="5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Der Aufruf der Operationsfunktionen erfolgt in der Funktion </w:t>
      </w:r>
      <w:r w:rsidRPr="00156980">
        <w:rPr>
          <w:i/>
          <w:szCs w:val="17"/>
        </w:rPr>
        <w:t>Ergebnisse</w:t>
      </w:r>
      <w:r w:rsidRPr="00156980">
        <w:rPr>
          <w:szCs w:val="17"/>
        </w:rPr>
        <w:t xml:space="preserve">, Zeile 4 (siehe Abschnitt </w:t>
      </w:r>
      <w:fldSimple w:instr=" REF _Ref254694742 \r \h  \* MERGEFORMAT ">
        <w:r w:rsidR="001231D3" w:rsidRPr="001231D3">
          <w:rPr>
            <w:szCs w:val="17"/>
          </w:rPr>
          <w:t>7.2.3</w:t>
        </w:r>
      </w:fldSimple>
      <w:r w:rsidRPr="00156980">
        <w:rPr>
          <w:szCs w:val="17"/>
        </w:rPr>
        <w:t>).</w:t>
      </w:r>
    </w:p>
  </w:footnote>
  <w:footnote w:id="5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Innerhalb des Modells werden Ergebnisse in den Variablen als sprachliche Beschreibu</w:t>
      </w:r>
      <w:r w:rsidRPr="00156980">
        <w:rPr>
          <w:szCs w:val="17"/>
        </w:rPr>
        <w:t>n</w:t>
      </w:r>
      <w:r w:rsidRPr="00156980">
        <w:rPr>
          <w:szCs w:val="17"/>
        </w:rPr>
        <w:t xml:space="preserve">gen (Strings) gespeichert. (Die Funktion </w:t>
      </w:r>
      <w:r w:rsidRPr="00156980">
        <w:rPr>
          <w:i/>
          <w:szCs w:val="17"/>
        </w:rPr>
        <w:t>write</w:t>
      </w:r>
      <w:r w:rsidRPr="00156980">
        <w:rPr>
          <w:szCs w:val="17"/>
        </w:rPr>
        <w:t xml:space="preserve"> könnte sonst diese sprachliche Beschre</w:t>
      </w:r>
      <w:r w:rsidRPr="00156980">
        <w:rPr>
          <w:szCs w:val="17"/>
        </w:rPr>
        <w:t>i</w:t>
      </w:r>
      <w:r w:rsidRPr="00156980">
        <w:rPr>
          <w:szCs w:val="17"/>
        </w:rPr>
        <w:t xml:space="preserve">bung nicht ausgeben; vgl. Funktion </w:t>
      </w:r>
      <w:r w:rsidRPr="00156980">
        <w:rPr>
          <w:i/>
          <w:szCs w:val="17"/>
        </w:rPr>
        <w:t>Interpretationsschritt_schreiben</w:t>
      </w:r>
      <w:r w:rsidRPr="00156980">
        <w:rPr>
          <w:szCs w:val="17"/>
        </w:rPr>
        <w:t>.) Es handelt sich somit um String-Variablen. Es kann angenommen werden, dass eine zusätzliche Information über die Sorte in der Variablen gespeichert ist, die durch die Ausgabefunktion nicht au</w:t>
      </w:r>
      <w:r w:rsidRPr="00156980">
        <w:rPr>
          <w:szCs w:val="17"/>
        </w:rPr>
        <w:t>s</w:t>
      </w:r>
      <w:r w:rsidRPr="00156980">
        <w:rPr>
          <w:szCs w:val="17"/>
        </w:rPr>
        <w:t>gegeben wird, etwa als Mark</w:t>
      </w:r>
      <w:r>
        <w:rPr>
          <w:szCs w:val="17"/>
        </w:rPr>
        <w:softHyphen/>
      </w:r>
      <w:r w:rsidRPr="00156980">
        <w:rPr>
          <w:szCs w:val="17"/>
        </w:rPr>
        <w:t>up des Strings. Die Sortenbezeichnungen selbst sind wied</w:t>
      </w:r>
      <w:r w:rsidRPr="00156980">
        <w:rPr>
          <w:szCs w:val="17"/>
        </w:rPr>
        <w:t>e</w:t>
      </w:r>
      <w:r w:rsidRPr="00156980">
        <w:rPr>
          <w:szCs w:val="17"/>
        </w:rPr>
        <w:t>rum Strings.</w:t>
      </w:r>
    </w:p>
  </w:footnote>
  <w:footnote w:id="5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In Abschnitt </w:t>
      </w:r>
      <w:fldSimple w:instr=" REF _Ref256495882 \r \h  \* MERGEFORMAT ">
        <w:r w:rsidR="001231D3" w:rsidRPr="001231D3">
          <w:rPr>
            <w:szCs w:val="17"/>
          </w:rPr>
          <w:t>7.1.8</w:t>
        </w:r>
      </w:fldSimple>
      <w:r w:rsidRPr="00156980">
        <w:rPr>
          <w:szCs w:val="17"/>
        </w:rPr>
        <w:t xml:space="preserve"> werden anhand eines Beispiels Überlegungen zu möglichen Suchm</w:t>
      </w:r>
      <w:r w:rsidRPr="00156980">
        <w:rPr>
          <w:szCs w:val="17"/>
        </w:rPr>
        <w:t>e</w:t>
      </w:r>
      <w:r w:rsidRPr="00156980">
        <w:rPr>
          <w:szCs w:val="17"/>
        </w:rPr>
        <w:t>thoden angestellt.</w:t>
      </w:r>
    </w:p>
  </w:footnote>
  <w:footnote w:id="5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ersten drei Parameter werden beim Funktionsaufruf als </w:t>
      </w:r>
      <w:r w:rsidRPr="00156980">
        <w:rPr>
          <w:i/>
          <w:color w:val="000000" w:themeColor="text1"/>
          <w:szCs w:val="17"/>
        </w:rPr>
        <w:t>P</w:t>
      </w:r>
      <w:r w:rsidRPr="00156980">
        <w:rPr>
          <w:i/>
          <w:color w:val="000000" w:themeColor="text1"/>
          <w:szCs w:val="17"/>
          <w:vertAlign w:val="subscript"/>
        </w:rPr>
        <w:t>i</w:t>
      </w:r>
      <w:r w:rsidRPr="00156980">
        <w:rPr>
          <w:color w:val="000000" w:themeColor="text1"/>
          <w:szCs w:val="17"/>
        </w:rPr>
        <w:t xml:space="preserve">, </w:t>
      </w:r>
      <w:r w:rsidRPr="00156980">
        <w:rPr>
          <w:i/>
          <w:color w:val="000000" w:themeColor="text1"/>
          <w:szCs w:val="17"/>
        </w:rPr>
        <w:t>Q</w:t>
      </w:r>
      <w:r w:rsidRPr="00156980">
        <w:rPr>
          <w:i/>
          <w:color w:val="000000" w:themeColor="text1"/>
          <w:szCs w:val="17"/>
          <w:vertAlign w:val="subscript"/>
        </w:rPr>
        <w:t>j</w:t>
      </w:r>
      <w:r w:rsidRPr="00156980">
        <w:rPr>
          <w:color w:val="000000" w:themeColor="text1"/>
          <w:szCs w:val="17"/>
        </w:rPr>
        <w:t xml:space="preserve">, </w:t>
      </w:r>
      <m:oMath>
        <m:sSub>
          <m:sSubPr>
            <m:ctrlPr>
              <w:rPr>
                <w:rFonts w:ascii="Cambria Math" w:hAnsi="Cambria Math" w:cs="Times New Roman"/>
                <w:i/>
                <w:szCs w:val="17"/>
              </w:rPr>
            </m:ctrlPr>
          </m:sSubPr>
          <m:e>
            <m:r>
              <m:rPr>
                <m:nor/>
              </m:rPr>
              <w:rPr>
                <w:rFonts w:cs="Times New Roman"/>
                <w:i/>
                <w:szCs w:val="17"/>
              </w:rPr>
              <m:t>R</m:t>
            </m:r>
          </m:e>
          <m:sub>
            <m:sSub>
              <m:sSubPr>
                <m:ctrlPr>
                  <w:rPr>
                    <w:rFonts w:ascii="Cambria Math" w:hAnsi="Cambria Math" w:cs="Times New Roman"/>
                    <w:i/>
                    <w:szCs w:val="17"/>
                  </w:rPr>
                </m:ctrlPr>
              </m:sSubPr>
              <m:e>
                <m:r>
                  <m:rPr>
                    <m:nor/>
                  </m:rPr>
                  <w:rPr>
                    <w:rFonts w:cs="Times New Roman"/>
                    <w:i/>
                    <w:szCs w:val="17"/>
                  </w:rPr>
                  <m:t>i</m:t>
                </m:r>
              </m:e>
              <m:sub>
                <m:sSub>
                  <m:sSubPr>
                    <m:ctrlPr>
                      <w:rPr>
                        <w:rFonts w:ascii="Cambria Math" w:hAnsi="Cambria Math" w:cs="Times New Roman"/>
                        <w:i/>
                        <w:szCs w:val="17"/>
                      </w:rPr>
                    </m:ctrlPr>
                  </m:sSubPr>
                  <m:e>
                    <m:r>
                      <m:rPr>
                        <m:nor/>
                      </m:rPr>
                      <w:rPr>
                        <w:rFonts w:cs="Times New Roman"/>
                        <w:i/>
                        <w:szCs w:val="17"/>
                      </w:rPr>
                      <m:t>j</m:t>
                    </m:r>
                  </m:e>
                  <m:sub>
                    <m:r>
                      <m:rPr>
                        <m:nor/>
                      </m:rPr>
                      <w:rPr>
                        <w:rFonts w:cs="Times New Roman"/>
                        <w:i/>
                        <w:szCs w:val="17"/>
                      </w:rPr>
                      <m:t>k</m:t>
                    </m:r>
                  </m:sub>
                </m:sSub>
              </m:sub>
            </m:sSub>
          </m:sub>
        </m:sSub>
      </m:oMath>
      <w:r w:rsidRPr="00156980">
        <w:rPr>
          <w:szCs w:val="17"/>
        </w:rPr>
        <w:t xml:space="preserve"> übergeben. Ein übergebener Parameter kann innerhalb einer Funktion anders benannt sein als beim Funktionsaufruf, daher können wir die in der Funktion nicht benötigten Indizes wegla</w:t>
      </w:r>
      <w:r w:rsidRPr="00156980">
        <w:rPr>
          <w:szCs w:val="17"/>
        </w:rPr>
        <w:t>s</w:t>
      </w:r>
      <w:r w:rsidRPr="00156980">
        <w:rPr>
          <w:szCs w:val="17"/>
        </w:rPr>
        <w:t>sen.</w:t>
      </w:r>
    </w:p>
  </w:footnote>
  <w:footnote w:id="5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Damit wird die Tatsache simuliert, dass der SW nicht immer zur Ausführung jeder Op</w:t>
      </w:r>
      <w:r w:rsidRPr="00156980">
        <w:rPr>
          <w:szCs w:val="17"/>
        </w:rPr>
        <w:t>e</w:t>
      </w:r>
      <w:r w:rsidRPr="00156980">
        <w:rPr>
          <w:szCs w:val="17"/>
        </w:rPr>
        <w:t xml:space="preserve">ration bereit und gestimmt ist; beispielsweise wird zu einem bestimmten Zeitpunkt der Interpretation nicht auf Gefühle oder Eindrücke geachtet, es wird nicht die Phantasie für eine Abduktion aufgebracht oder es wird nicht die sorgfältige Prüfung eines deduktiven Schlusses vorgenommen. (Vgl. auch Erläuterung zur Funktion </w:t>
      </w:r>
      <w:r w:rsidRPr="00156980">
        <w:rPr>
          <w:i/>
          <w:szCs w:val="17"/>
        </w:rPr>
        <w:t>Interesse</w:t>
      </w:r>
      <w:r w:rsidRPr="00156980">
        <w:rPr>
          <w:szCs w:val="17"/>
        </w:rPr>
        <w:t xml:space="preserve"> in Abschnitt </w:t>
      </w:r>
      <w:fldSimple w:instr=" REF _Ref255767436 \r \h  \* MERGEFORMAT ">
        <w:r w:rsidR="001231D3" w:rsidRPr="001231D3">
          <w:rPr>
            <w:szCs w:val="17"/>
          </w:rPr>
          <w:t>7.2.1</w:t>
        </w:r>
      </w:fldSimple>
      <w:r w:rsidRPr="00156980">
        <w:rPr>
          <w:szCs w:val="17"/>
        </w:rPr>
        <w:t>.)</w:t>
      </w:r>
    </w:p>
  </w:footnote>
  <w:footnote w:id="5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Alternativ könnte auch akzeptiert werden, dass bereits früher (auf einem anderen Erze</w:t>
      </w:r>
      <w:r w:rsidRPr="00156980">
        <w:rPr>
          <w:szCs w:val="17"/>
        </w:rPr>
        <w:t>u</w:t>
      </w:r>
      <w:r w:rsidRPr="00156980">
        <w:rPr>
          <w:szCs w:val="17"/>
        </w:rPr>
        <w:t xml:space="preserve">gungsweg) erzeugte Ergebnisse erneut in </w:t>
      </w:r>
      <w:r w:rsidRPr="00156980">
        <w:rPr>
          <w:i/>
          <w:szCs w:val="17"/>
        </w:rPr>
        <w:t>Er*</w:t>
      </w:r>
      <w:r w:rsidRPr="00156980">
        <w:rPr>
          <w:szCs w:val="17"/>
        </w:rPr>
        <w:t xml:space="preserve"> vorkommen, wodurch sie mehrmals g</w:t>
      </w:r>
      <w:r w:rsidRPr="00156980">
        <w:rPr>
          <w:szCs w:val="17"/>
        </w:rPr>
        <w:t>e</w:t>
      </w:r>
      <w:r w:rsidRPr="00156980">
        <w:rPr>
          <w:szCs w:val="17"/>
        </w:rPr>
        <w:t xml:space="preserve">schrieben werden können. Es würde dann davon ausgegangen, dass die Funktion </w:t>
      </w:r>
      <w:r w:rsidRPr="00156980">
        <w:rPr>
          <w:i/>
          <w:szCs w:val="17"/>
        </w:rPr>
        <w:t>Interesse</w:t>
      </w:r>
      <w:r w:rsidRPr="00156980">
        <w:rPr>
          <w:szCs w:val="17"/>
        </w:rPr>
        <w:t xml:space="preserve"> (Zeile 6) signalisiert, ob noch ausreichend Interesse an dem bereits bekannten Ergebnis besteht (vgl. das Beispiel in </w:t>
      </w:r>
      <w:fldSimple w:instr=" REF _Ref254386965 \r \h  \* MERGEFORMAT ">
        <w:r w:rsidR="001231D3" w:rsidRPr="001231D3">
          <w:rPr>
            <w:szCs w:val="17"/>
          </w:rPr>
          <w:t>7.1.1</w:t>
        </w:r>
      </w:fldSimple>
      <w:r w:rsidRPr="00156980">
        <w:rPr>
          <w:szCs w:val="17"/>
        </w:rPr>
        <w:t xml:space="preserve">, insbesondere Fußnote </w:t>
      </w:r>
      <w:fldSimple w:instr=" NOTEREF _Ref261445130 \h  \* MERGEFORMAT ">
        <w:r w:rsidR="001231D3" w:rsidRPr="001231D3">
          <w:rPr>
            <w:szCs w:val="17"/>
          </w:rPr>
          <w:t>457</w:t>
        </w:r>
      </w:fldSimple>
      <w:r w:rsidRPr="00156980">
        <w:rPr>
          <w:szCs w:val="17"/>
        </w:rPr>
        <w:t>).</w:t>
      </w:r>
    </w:p>
  </w:footnote>
  <w:footnote w:id="5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color w:val="000000" w:themeColor="text1"/>
          <w:szCs w:val="17"/>
        </w:rPr>
        <w:t>Tatsächliche Ausgaben von Stilinterpretationen könnten durchaus als Weiterverarbeitung der hier erzeugten Darstellungsform (etwa eine Übertragung in natürliche Sprache) g</w:t>
      </w:r>
      <w:r w:rsidRPr="00156980">
        <w:rPr>
          <w:color w:val="000000" w:themeColor="text1"/>
          <w:szCs w:val="17"/>
        </w:rPr>
        <w:t>e</w:t>
      </w:r>
      <w:r w:rsidRPr="00156980">
        <w:rPr>
          <w:color w:val="000000" w:themeColor="text1"/>
          <w:szCs w:val="17"/>
        </w:rPr>
        <w:t xml:space="preserve">wonnen werden. </w:t>
      </w:r>
      <w:r w:rsidRPr="00156980">
        <w:rPr>
          <w:szCs w:val="17"/>
        </w:rPr>
        <w:t>Dies heißt aber nicht, dass tatsächliche Ausgaben (etwa schriftlich ni</w:t>
      </w:r>
      <w:r w:rsidRPr="00156980">
        <w:rPr>
          <w:szCs w:val="17"/>
        </w:rPr>
        <w:t>e</w:t>
      </w:r>
      <w:r w:rsidRPr="00156980">
        <w:rPr>
          <w:szCs w:val="17"/>
        </w:rPr>
        <w:t xml:space="preserve">dergelegte Interpretationen wie in </w:t>
      </w:r>
      <w:fldSimple w:instr=" REF _Ref254004896 \r \h  \* MERGEFORMAT ">
        <w:r w:rsidR="001231D3" w:rsidRPr="001231D3">
          <w:rPr>
            <w:szCs w:val="17"/>
          </w:rPr>
          <w:t>7.1.3</w:t>
        </w:r>
      </w:fldSimple>
      <w:r w:rsidRPr="00156980">
        <w:rPr>
          <w:szCs w:val="17"/>
        </w:rPr>
        <w:t xml:space="preserve"> und </w:t>
      </w:r>
      <w:fldSimple w:instr=" REF _Ref254550229 \r \h  \* MERGEFORMAT ">
        <w:r w:rsidR="001231D3" w:rsidRPr="001231D3">
          <w:rPr>
            <w:szCs w:val="17"/>
          </w:rPr>
          <w:t>7.1.5</w:t>
        </w:r>
      </w:fldSimple>
      <w:r w:rsidRPr="00156980">
        <w:rPr>
          <w:szCs w:val="17"/>
        </w:rPr>
        <w:t>) als über diesen Zwischenschritt e</w:t>
      </w:r>
      <w:r w:rsidRPr="00156980">
        <w:rPr>
          <w:szCs w:val="17"/>
        </w:rPr>
        <w:t>r</w:t>
      </w:r>
      <w:r w:rsidRPr="00156980">
        <w:rPr>
          <w:szCs w:val="17"/>
        </w:rPr>
        <w:t>zeugt verstanden werden sollen. Es soll nur gezeigt werden, dass die Ausgabe wie in den Beispielen dargestellt möglich ist. Die technischen Details der Übertragung des Interpr</w:t>
      </w:r>
      <w:r w:rsidRPr="00156980">
        <w:rPr>
          <w:szCs w:val="17"/>
        </w:rPr>
        <w:t>e</w:t>
      </w:r>
      <w:r w:rsidRPr="00156980">
        <w:rPr>
          <w:szCs w:val="17"/>
        </w:rPr>
        <w:t>tationsprozesses in die Darstellungsform der Beispiele sind somit nur modellintern rel</w:t>
      </w:r>
      <w:r w:rsidRPr="00156980">
        <w:rPr>
          <w:szCs w:val="17"/>
        </w:rPr>
        <w:t>e</w:t>
      </w:r>
      <w:r w:rsidRPr="00156980">
        <w:rPr>
          <w:szCs w:val="17"/>
        </w:rPr>
        <w:t>vant.</w:t>
      </w:r>
      <w:r>
        <w:rPr>
          <w:szCs w:val="17"/>
        </w:rPr>
        <w:t xml:space="preserve"> </w:t>
      </w:r>
      <w:r w:rsidRPr="00156980">
        <w:rPr>
          <w:color w:val="000000" w:themeColor="text1"/>
          <w:szCs w:val="17"/>
        </w:rPr>
        <w:t>Leserinnen und Leser, denen es nicht um diesen Zusammenhang geht, können die Ausgabefunktion, die mühsam nachzuvollziehen ist, überspringen.</w:t>
      </w:r>
    </w:p>
    <w:p w:rsidR="00CC3558" w:rsidRPr="00156980" w:rsidRDefault="00CC3558" w:rsidP="00F461D9">
      <w:pPr>
        <w:pStyle w:val="Funotentext"/>
        <w:rPr>
          <w:szCs w:val="17"/>
        </w:rPr>
      </w:pPr>
      <w:r w:rsidRPr="00156980">
        <w:rPr>
          <w:szCs w:val="17"/>
        </w:rPr>
        <w:tab/>
        <w:t>Die Ausgabe</w:t>
      </w:r>
      <w:r>
        <w:rPr>
          <w:szCs w:val="17"/>
        </w:rPr>
        <w:t>funktion</w:t>
      </w:r>
      <w:r w:rsidRPr="00156980">
        <w:rPr>
          <w:szCs w:val="17"/>
        </w:rPr>
        <w:t xml:space="preserve"> ist sehr detailliert programmiert (bis hin zu</w:t>
      </w:r>
      <w:r>
        <w:rPr>
          <w:szCs w:val="17"/>
        </w:rPr>
        <w:t>r Ausgabe</w:t>
      </w:r>
      <w:r w:rsidRPr="00156980">
        <w:rPr>
          <w:szCs w:val="17"/>
        </w:rPr>
        <w:t xml:space="preserve"> de</w:t>
      </w:r>
      <w:r>
        <w:rPr>
          <w:szCs w:val="17"/>
        </w:rPr>
        <w:t>r</w:t>
      </w:r>
      <w:r w:rsidRPr="00156980">
        <w:rPr>
          <w:szCs w:val="17"/>
        </w:rPr>
        <w:t xml:space="preserve"> Zähler und Formatierungen) und entspricht damit nicht dem heutigen Umgang mit Daten, die meist in einer Datenbank abgelegt und mit Hilfe eines Datenbankprogramms angezeigt und weiterverarbeitet werden. Für das hier entwickelte Modell macht es jedoch keinen Sinn, solche Spezialprogramme anzunehmen, und die </w:t>
      </w:r>
      <w:r>
        <w:rPr>
          <w:szCs w:val="17"/>
        </w:rPr>
        <w:t xml:space="preserve">angegebene </w:t>
      </w:r>
      <w:r w:rsidRPr="00156980">
        <w:rPr>
          <w:szCs w:val="17"/>
        </w:rPr>
        <w:t>Ausgabe</w:t>
      </w:r>
      <w:r>
        <w:rPr>
          <w:szCs w:val="17"/>
        </w:rPr>
        <w:t>funktion</w:t>
      </w:r>
      <w:r w:rsidRPr="00156980">
        <w:rPr>
          <w:szCs w:val="17"/>
        </w:rPr>
        <w:t xml:space="preserve"> e</w:t>
      </w:r>
      <w:r w:rsidRPr="00156980">
        <w:rPr>
          <w:szCs w:val="17"/>
        </w:rPr>
        <w:t>r</w:t>
      </w:r>
      <w:r w:rsidRPr="00156980">
        <w:rPr>
          <w:szCs w:val="17"/>
        </w:rPr>
        <w:t>füllt den Zweck, die Kohärenz des Modells nachzuweisen.</w:t>
      </w:r>
    </w:p>
  </w:footnote>
  <w:footnote w:id="5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 Interpretation des Stils einer bereits erzeugten Realisierung durch den Stilanwender gehört nicht mehr zum Prozess der Schemaausführung und wird daher nicht beim A</w:t>
      </w:r>
      <w:r w:rsidRPr="00156980">
        <w:rPr>
          <w:szCs w:val="17"/>
        </w:rPr>
        <w:t>n</w:t>
      </w:r>
      <w:r w:rsidRPr="00156980">
        <w:rPr>
          <w:szCs w:val="17"/>
        </w:rPr>
        <w:t xml:space="preserve">wenden eines Stils berücksichtigt (vgl. Abschnitt </w:t>
      </w:r>
      <w:fldSimple w:instr=" REF _Ref261443581 \r \h  \* MERGEFORMAT ">
        <w:r w:rsidR="001231D3" w:rsidRPr="001231D3">
          <w:rPr>
            <w:szCs w:val="17"/>
          </w:rPr>
          <w:t>7.3.1</w:t>
        </w:r>
      </w:fldSimple>
      <w:r w:rsidRPr="00156980">
        <w:rPr>
          <w:szCs w:val="17"/>
        </w:rPr>
        <w:t xml:space="preserve">, Funktion </w:t>
      </w:r>
      <w:r w:rsidRPr="00156980">
        <w:rPr>
          <w:i/>
          <w:szCs w:val="17"/>
        </w:rPr>
        <w:t>Stil_bereitstellen</w:t>
      </w:r>
      <w:r w:rsidRPr="00156980">
        <w:rPr>
          <w:szCs w:val="17"/>
        </w:rPr>
        <w:t>). Sie zählt als Wahrnehmen eines Stils (</w:t>
      </w:r>
      <w:fldSimple w:instr=" REF _Ref261443737 \r \h  \* MERGEFORMAT ">
        <w:r w:rsidR="001231D3" w:rsidRPr="001231D3">
          <w:rPr>
            <w:szCs w:val="17"/>
          </w:rPr>
          <w:t>7.3.2</w:t>
        </w:r>
      </w:fldSimple>
      <w:r w:rsidRPr="00156980">
        <w:rPr>
          <w:szCs w:val="17"/>
        </w:rPr>
        <w:t>) durch den Stilanwender selbst.</w:t>
      </w:r>
    </w:p>
  </w:footnote>
  <w:footnote w:id="5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die Definition von </w:t>
      </w:r>
      <w:r w:rsidRPr="00156980">
        <w:rPr>
          <w:i/>
          <w:szCs w:val="17"/>
        </w:rPr>
        <w:t>Z</w:t>
      </w:r>
      <w:r w:rsidRPr="00156980">
        <w:rPr>
          <w:szCs w:val="17"/>
        </w:rPr>
        <w:t xml:space="preserve"> in Abschnitt </w:t>
      </w:r>
      <w:fldSimple w:instr=" REF _Ref255767436 \r \h  \* MERGEFORMAT ">
        <w:r w:rsidR="001231D3" w:rsidRPr="001231D3">
          <w:rPr>
            <w:szCs w:val="17"/>
          </w:rPr>
          <w:t>7.2.1</w:t>
        </w:r>
      </w:fldSimple>
      <w:r w:rsidRPr="00156980">
        <w:rPr>
          <w:szCs w:val="17"/>
        </w:rPr>
        <w:t xml:space="preserve">, Funktion </w:t>
      </w:r>
      <w:r w:rsidRPr="00156980">
        <w:rPr>
          <w:i/>
          <w:szCs w:val="17"/>
        </w:rPr>
        <w:t>Interpretation</w:t>
      </w:r>
      <w:r w:rsidRPr="00156980">
        <w:rPr>
          <w:szCs w:val="17"/>
        </w:rPr>
        <w:t>, Zeile 3.</w:t>
      </w:r>
    </w:p>
  </w:footnote>
  <w:footnote w:id="5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Zum Zugriff auf die Komponenten der Tupel in der Menge </w:t>
      </w:r>
      <w:r w:rsidRPr="00156980">
        <w:rPr>
          <w:i/>
          <w:szCs w:val="17"/>
        </w:rPr>
        <w:t>G</w:t>
      </w:r>
      <w:r w:rsidRPr="00156980">
        <w:rPr>
          <w:szCs w:val="17"/>
        </w:rPr>
        <w:t xml:space="preserve"> werden </w:t>
      </w:r>
      <w:r w:rsidRPr="00156980">
        <w:rPr>
          <w:color w:val="000000" w:themeColor="text1"/>
          <w:szCs w:val="17"/>
        </w:rPr>
        <w:t>Komponenten</w:t>
      </w:r>
      <w:r w:rsidRPr="00156980">
        <w:rPr>
          <w:szCs w:val="17"/>
        </w:rPr>
        <w:t>n</w:t>
      </w:r>
      <w:r w:rsidRPr="00156980">
        <w:rPr>
          <w:szCs w:val="17"/>
        </w:rPr>
        <w:t>a</w:t>
      </w:r>
      <w:r w:rsidRPr="00156980">
        <w:rPr>
          <w:szCs w:val="17"/>
        </w:rPr>
        <w:t>men</w:t>
      </w:r>
      <w:r w:rsidR="005D7996">
        <w:rPr>
          <w:szCs w:val="17"/>
        </w:rPr>
        <w:fldChar w:fldCharType="begin"/>
      </w:r>
      <w:r>
        <w:instrText xml:space="preserve"> XE "</w:instrText>
      </w:r>
      <w:r w:rsidRPr="00191323">
        <w:rPr>
          <w:lang w:val="it-IT"/>
        </w:rPr>
        <w:instrText>Komponentenname (einer Tupel-Variablen)</w:instrText>
      </w:r>
      <w:r>
        <w:instrText xml:space="preserve">" </w:instrText>
      </w:r>
      <w:r w:rsidR="005D7996">
        <w:rPr>
          <w:szCs w:val="17"/>
        </w:rPr>
        <w:fldChar w:fldCharType="end"/>
      </w:r>
      <w:r w:rsidRPr="00156980">
        <w:rPr>
          <w:szCs w:val="17"/>
        </w:rPr>
        <w:t xml:space="preserve"> verwendet. Vgl. die Definition von </w:t>
      </w:r>
      <w:r w:rsidRPr="00156980">
        <w:rPr>
          <w:i/>
          <w:szCs w:val="17"/>
        </w:rPr>
        <w:t>G</w:t>
      </w:r>
      <w:r w:rsidRPr="00156980">
        <w:rPr>
          <w:szCs w:val="17"/>
        </w:rPr>
        <w:t xml:space="preserve"> (Abschnitt </w:t>
      </w:r>
      <w:fldSimple w:instr=" REF _Ref255767436 \r \h  \* MERGEFORMAT ">
        <w:r w:rsidR="001231D3" w:rsidRPr="001231D3">
          <w:rPr>
            <w:szCs w:val="17"/>
          </w:rPr>
          <w:t>7.2.1</w:t>
        </w:r>
      </w:fldSimple>
      <w:r w:rsidRPr="00156980">
        <w:rPr>
          <w:szCs w:val="17"/>
        </w:rPr>
        <w:t xml:space="preserve">, Funktion </w:t>
      </w:r>
      <w:r w:rsidRPr="00156980">
        <w:rPr>
          <w:i/>
          <w:szCs w:val="17"/>
        </w:rPr>
        <w:t>Interpretation</w:t>
      </w:r>
      <w:r w:rsidRPr="00156980">
        <w:rPr>
          <w:szCs w:val="17"/>
        </w:rPr>
        <w:t>, Ze</w:t>
      </w:r>
      <w:r w:rsidRPr="00156980">
        <w:rPr>
          <w:szCs w:val="17"/>
        </w:rPr>
        <w:t>i</w:t>
      </w:r>
      <w:r w:rsidRPr="00156980">
        <w:rPr>
          <w:szCs w:val="17"/>
        </w:rPr>
        <w:t xml:space="preserve">le 4) sowie Abschnitt </w:t>
      </w:r>
      <w:fldSimple w:instr=" REF _Ref212110965 \r \h  \* MERGEFORMAT ">
        <w:r w:rsidR="001231D3" w:rsidRPr="001231D3">
          <w:rPr>
            <w:szCs w:val="17"/>
          </w:rPr>
          <w:t>5.2.2</w:t>
        </w:r>
      </w:fldSimple>
      <w:r w:rsidRPr="00156980">
        <w:rPr>
          <w:szCs w:val="17"/>
        </w:rPr>
        <w:t xml:space="preserve">, Unterabschnitt </w:t>
      </w:r>
      <w:r w:rsidRPr="00156980">
        <w:rPr>
          <w:i/>
          <w:szCs w:val="17"/>
        </w:rPr>
        <w:t>Anmerkung zur Syntax</w:t>
      </w:r>
      <w:r w:rsidR="005D7996">
        <w:rPr>
          <w:i/>
          <w:szCs w:val="17"/>
        </w:rPr>
        <w:fldChar w:fldCharType="begin"/>
      </w:r>
      <w:r>
        <w:instrText xml:space="preserve"> XE "</w:instrText>
      </w:r>
      <w:r w:rsidRPr="00367A05">
        <w:rPr>
          <w:rFonts w:eastAsia="Times New Roman" w:cs="Times New Roman"/>
        </w:rPr>
        <w:instrText>Syntax</w:instrText>
      </w:r>
      <w:r>
        <w:instrText xml:space="preserve">" </w:instrText>
      </w:r>
      <w:r w:rsidR="005D7996">
        <w:rPr>
          <w:i/>
          <w:szCs w:val="17"/>
        </w:rPr>
        <w:fldChar w:fldCharType="end"/>
      </w:r>
      <w:r w:rsidRPr="00156980">
        <w:rPr>
          <w:i/>
          <w:szCs w:val="17"/>
        </w:rPr>
        <w:t xml:space="preserve"> (1)</w:t>
      </w:r>
      <w:r w:rsidRPr="00156980">
        <w:rPr>
          <w:szCs w:val="17"/>
        </w:rPr>
        <w:t>.</w:t>
      </w:r>
    </w:p>
  </w:footnote>
  <w:footnote w:id="5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Komponentennamen</w:t>
      </w:r>
      <w:r w:rsidR="005D7996">
        <w:rPr>
          <w:szCs w:val="17"/>
        </w:rPr>
        <w:fldChar w:fldCharType="begin"/>
      </w:r>
      <w:r>
        <w:instrText xml:space="preserve"> XE "</w:instrText>
      </w:r>
      <w:r w:rsidRPr="00191323">
        <w:rPr>
          <w:lang w:val="it-IT"/>
        </w:rPr>
        <w:instrText>Komponentenname (einer Tupel-Variablen)</w:instrText>
      </w:r>
      <w:r>
        <w:instrText xml:space="preserve">" </w:instrText>
      </w:r>
      <w:r w:rsidR="005D7996">
        <w:rPr>
          <w:szCs w:val="17"/>
        </w:rPr>
        <w:fldChar w:fldCharType="end"/>
      </w:r>
      <w:r w:rsidRPr="00156980">
        <w:rPr>
          <w:szCs w:val="17"/>
        </w:rPr>
        <w:t xml:space="preserve"> bleiben dabei erhalten; vgl. Abschnitt </w:t>
      </w:r>
      <w:fldSimple w:instr=" REF _Ref212110965 \r \h  \* MERGEFORMAT ">
        <w:r w:rsidR="001231D3" w:rsidRPr="001231D3">
          <w:rPr>
            <w:szCs w:val="17"/>
          </w:rPr>
          <w:t>5.2.2</w:t>
        </w:r>
      </w:fldSimple>
      <w:r w:rsidRPr="00156980">
        <w:rPr>
          <w:szCs w:val="17"/>
        </w:rPr>
        <w:t>, Unterabschnitt</w:t>
      </w:r>
      <w:r w:rsidRPr="00156980">
        <w:rPr>
          <w:i/>
          <w:szCs w:val="17"/>
        </w:rPr>
        <w:t xml:space="preserve"> Anmerkung zur Syntax</w:t>
      </w:r>
      <w:r w:rsidR="005D7996">
        <w:rPr>
          <w:i/>
          <w:szCs w:val="17"/>
        </w:rPr>
        <w:fldChar w:fldCharType="begin"/>
      </w:r>
      <w:r>
        <w:instrText xml:space="preserve"> XE "</w:instrText>
      </w:r>
      <w:r w:rsidRPr="00367A05">
        <w:rPr>
          <w:rFonts w:eastAsia="Times New Roman" w:cs="Times New Roman"/>
        </w:rPr>
        <w:instrText>Syntax</w:instrText>
      </w:r>
      <w:r>
        <w:instrText xml:space="preserve">" </w:instrText>
      </w:r>
      <w:r w:rsidR="005D7996">
        <w:rPr>
          <w:i/>
          <w:szCs w:val="17"/>
        </w:rPr>
        <w:fldChar w:fldCharType="end"/>
      </w:r>
      <w:r w:rsidRPr="00156980">
        <w:rPr>
          <w:i/>
          <w:szCs w:val="17"/>
        </w:rPr>
        <w:t xml:space="preserve"> (1)</w:t>
      </w:r>
      <w:r w:rsidRPr="00156980">
        <w:rPr>
          <w:szCs w:val="17"/>
        </w:rPr>
        <w:t>.</w:t>
      </w:r>
    </w:p>
  </w:footnote>
  <w:footnote w:id="523">
    <w:p w:rsidR="00CC3558" w:rsidRPr="00156980" w:rsidRDefault="00CC3558" w:rsidP="00F461D9">
      <w:pPr>
        <w:pStyle w:val="Funotentext"/>
        <w:rPr>
          <w:rFonts w:cs="Times New Roman"/>
          <w:szCs w:val="17"/>
        </w:rPr>
      </w:pPr>
      <w:r w:rsidRPr="00156980">
        <w:rPr>
          <w:rStyle w:val="Funotenzeichen"/>
          <w:szCs w:val="17"/>
        </w:rPr>
        <w:footnoteRef/>
      </w:r>
      <w:r w:rsidRPr="00156980">
        <w:rPr>
          <w:szCs w:val="17"/>
        </w:rPr>
        <w:t xml:space="preserve"> </w:t>
      </w:r>
      <w:r w:rsidRPr="00156980">
        <w:rPr>
          <w:szCs w:val="17"/>
        </w:rPr>
        <w:tab/>
      </w:r>
      <w:r w:rsidRPr="00156980">
        <w:rPr>
          <w:iCs/>
          <w:szCs w:val="17"/>
        </w:rPr>
        <w:t>In den Beispielen setzen wir hier einen Tabulator, der aber in HTML nicht dargestellt werden kann. Da mehrere Leerzeichen wie eines behandelt werden, müssen wir das harte Leerzeichen „</w:t>
      </w:r>
      <w:r w:rsidRPr="00156980">
        <w:rPr>
          <w:rFonts w:eastAsia="Times New Roman" w:cs="Times New Roman"/>
          <w:szCs w:val="17"/>
        </w:rPr>
        <w:t>&amp;nbsp;“ verwenden.</w:t>
      </w:r>
    </w:p>
  </w:footnote>
  <w:footnote w:id="524">
    <w:p w:rsidR="00CC3558" w:rsidRPr="00156980" w:rsidRDefault="00CC3558" w:rsidP="00F461D9">
      <w:pPr>
        <w:pStyle w:val="Funotentext"/>
        <w:rPr>
          <w:color w:val="000000" w:themeColor="text1"/>
          <w:szCs w:val="17"/>
        </w:rPr>
      </w:pPr>
      <w:r w:rsidRPr="00156980">
        <w:rPr>
          <w:rStyle w:val="Funotenzeichen"/>
          <w:szCs w:val="17"/>
        </w:rPr>
        <w:footnoteRef/>
      </w:r>
      <w:r w:rsidRPr="00156980">
        <w:rPr>
          <w:szCs w:val="17"/>
        </w:rPr>
        <w:t xml:space="preserve"> </w:t>
      </w:r>
      <w:r w:rsidRPr="00156980">
        <w:rPr>
          <w:szCs w:val="17"/>
        </w:rPr>
        <w:tab/>
        <w:t>Dies verbessert etwas die Lesbarkeit der entsprechenden Zeilen. Natürlich könnten alle Formatierungen in HTML angegeben werden, beispielsweise wäre dann Zeile</w:t>
      </w:r>
      <w:r w:rsidRPr="00156980">
        <w:rPr>
          <w:color w:val="000000" w:themeColor="text1"/>
          <w:szCs w:val="17"/>
        </w:rPr>
        <w:t xml:space="preserve"> 29:</w:t>
      </w:r>
    </w:p>
    <w:p w:rsidR="00CC3558" w:rsidRPr="00156980" w:rsidRDefault="00CC3558" w:rsidP="00F461D9">
      <w:pPr>
        <w:pStyle w:val="Funotentext"/>
        <w:rPr>
          <w:szCs w:val="17"/>
          <w:lang w:val="en-US"/>
        </w:rPr>
      </w:pPr>
      <w:r w:rsidRPr="00156980">
        <w:rPr>
          <w:color w:val="000000" w:themeColor="text1"/>
          <w:szCs w:val="17"/>
        </w:rPr>
        <w:tab/>
      </w:r>
      <w:r w:rsidRPr="00156980">
        <w:rPr>
          <w:color w:val="000000" w:themeColor="text1"/>
          <w:szCs w:val="17"/>
        </w:rPr>
        <w:tab/>
      </w:r>
      <w:r w:rsidRPr="00156980">
        <w:rPr>
          <w:color w:val="000000" w:themeColor="text1"/>
          <w:szCs w:val="17"/>
          <w:lang w:val="en-US"/>
        </w:rPr>
        <w:t xml:space="preserve">write (“&lt;i&gt;Er&lt;/i&gt;&lt;sub&gt;(f)” </w:t>
      </w:r>
      <w:r w:rsidRPr="00156980">
        <w:rPr>
          <w:i/>
          <w:color w:val="000000" w:themeColor="text1"/>
          <w:szCs w:val="17"/>
          <w:lang w:val="en-US"/>
        </w:rPr>
        <w:t xml:space="preserve">x </w:t>
      </w:r>
      <w:r w:rsidRPr="00156980">
        <w:rPr>
          <w:color w:val="000000" w:themeColor="text1"/>
          <w:szCs w:val="17"/>
          <w:lang w:val="en-US"/>
        </w:rPr>
        <w:t>“&lt;/sub&gt;: </w:t>
      </w:r>
      <w:r w:rsidRPr="00156980">
        <w:rPr>
          <w:szCs w:val="17"/>
          <w:lang w:val="en-US"/>
        </w:rPr>
        <w:t>‚</w:t>
      </w:r>
      <w:r w:rsidRPr="00156980">
        <w:rPr>
          <w:color w:val="000000" w:themeColor="text1"/>
          <w:szCs w:val="17"/>
          <w:lang w:val="en-US"/>
        </w:rPr>
        <w:t xml:space="preserve">” </w:t>
      </w:r>
      <w:r w:rsidRPr="00156980">
        <w:rPr>
          <w:i/>
          <w:color w:val="000000" w:themeColor="text1"/>
          <w:szCs w:val="17"/>
          <w:lang w:val="en-US"/>
        </w:rPr>
        <w:t>Q</w:t>
      </w:r>
      <w:r w:rsidRPr="00156980">
        <w:rPr>
          <w:i/>
          <w:color w:val="000000" w:themeColor="text1"/>
          <w:szCs w:val="17"/>
          <w:vertAlign w:val="subscript"/>
          <w:lang w:val="en-US"/>
        </w:rPr>
        <w:t>n</w:t>
      </w:r>
      <w:r w:rsidRPr="00156980">
        <w:rPr>
          <w:color w:val="000000" w:themeColor="text1"/>
          <w:szCs w:val="17"/>
          <w:lang w:val="en-US"/>
        </w:rPr>
        <w:t xml:space="preserve"> “</w:t>
      </w:r>
      <w:r w:rsidRPr="00156980">
        <w:rPr>
          <w:szCs w:val="17"/>
          <w:lang w:val="en-US"/>
        </w:rPr>
        <w:t>‘</w:t>
      </w:r>
      <w:r w:rsidRPr="00156980">
        <w:rPr>
          <w:color w:val="000000" w:themeColor="text1"/>
          <w:szCs w:val="17"/>
          <w:lang w:val="en-US"/>
        </w:rPr>
        <w:t>&lt;br&gt;”</w:t>
      </w:r>
      <w:r w:rsidRPr="00156980">
        <w:rPr>
          <w:szCs w:val="17"/>
          <w:lang w:val="en-US"/>
        </w:rPr>
        <w:t>)</w:t>
      </w:r>
    </w:p>
  </w:footnote>
  <w:footnote w:id="5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sidRPr="00156980">
        <w:rPr>
          <w:color w:val="000000" w:themeColor="text1"/>
          <w:szCs w:val="17"/>
        </w:rPr>
        <w:t xml:space="preserve">Vgl. Abschnitt </w:t>
      </w:r>
      <w:fldSimple w:instr=" REF _Ref212110965 \r \h  \* MERGEFORMAT ">
        <w:r w:rsidR="001231D3" w:rsidRPr="001231D3">
          <w:rPr>
            <w:color w:val="000000" w:themeColor="text1"/>
            <w:szCs w:val="17"/>
          </w:rPr>
          <w:t>5.2.2</w:t>
        </w:r>
      </w:fldSimple>
      <w:r w:rsidRPr="00156980">
        <w:rPr>
          <w:color w:val="000000" w:themeColor="text1"/>
          <w:szCs w:val="17"/>
        </w:rPr>
        <w:t xml:space="preserve">, </w:t>
      </w:r>
      <w:r w:rsidRPr="00156980">
        <w:rPr>
          <w:szCs w:val="17"/>
        </w:rPr>
        <w:t>Unterabschnitt</w:t>
      </w:r>
      <w:r w:rsidRPr="00156980">
        <w:rPr>
          <w:i/>
          <w:szCs w:val="17"/>
        </w:rPr>
        <w:t xml:space="preserve"> Anmerkung zur Verwendung geordneter Mengen</w:t>
      </w:r>
      <w:r w:rsidRPr="00156980">
        <w:rPr>
          <w:szCs w:val="17"/>
        </w:rPr>
        <w:t>.</w:t>
      </w:r>
    </w:p>
  </w:footnote>
  <w:footnote w:id="5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Wurden sie bereits geschrieben, werden sie nicht wiederholt und nur mit dem früher verwendeten Index in die Erzeugungsformel eingefügt (vgl. Zeile 54-61 der Funktion). Dies kann ein Index aus beiden Nummerierungen sein; schließlich können die Ergebnisse direkt bei der Erzeugung oder bei einer späteren Verwendung geschrieben worden sein. Daher werden in Zeile 19-26 die Indizes der bei der Erzeugung geschriebenen Ergebnisse in </w:t>
      </w:r>
      <w:r w:rsidRPr="00156980">
        <w:rPr>
          <w:i/>
          <w:color w:val="000000" w:themeColor="text1"/>
          <w:szCs w:val="17"/>
        </w:rPr>
        <w:t>Er</w:t>
      </w:r>
      <w:r w:rsidRPr="00156980">
        <w:rPr>
          <w:i/>
          <w:color w:val="000000" w:themeColor="text1"/>
          <w:szCs w:val="17"/>
          <w:vertAlign w:val="superscript"/>
        </w:rPr>
        <w:t>G</w:t>
      </w:r>
      <w:r w:rsidRPr="00156980">
        <w:rPr>
          <w:szCs w:val="17"/>
        </w:rPr>
        <w:t xml:space="preserve">, die Indizes der später geschriebenen Ergebnisse in </w:t>
      </w:r>
      <w:r w:rsidRPr="00156980">
        <w:rPr>
          <w:i/>
          <w:color w:val="000000" w:themeColor="text1"/>
          <w:szCs w:val="17"/>
        </w:rPr>
        <w:t>Er</w:t>
      </w:r>
      <w:r w:rsidRPr="00156980">
        <w:rPr>
          <w:color w:val="000000" w:themeColor="text1"/>
          <w:szCs w:val="17"/>
          <w:vertAlign w:val="subscript"/>
        </w:rPr>
        <w:t>(f)</w:t>
      </w:r>
      <w:r w:rsidRPr="00156980">
        <w:rPr>
          <w:i/>
          <w:color w:val="000000" w:themeColor="text1"/>
          <w:szCs w:val="17"/>
          <w:vertAlign w:val="superscript"/>
        </w:rPr>
        <w:t>G</w:t>
      </w:r>
      <w:r w:rsidRPr="00156980">
        <w:rPr>
          <w:szCs w:val="17"/>
        </w:rPr>
        <w:t xml:space="preserve"> gespeichert. Trifft beides nicht zu, wird das frühere Ergebnis in Zeile 29 geschrieben.</w:t>
      </w:r>
    </w:p>
  </w:footnote>
  <w:footnote w:id="5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 Berücksichtigung der Interpretation findet oft als automatischer Überprüfungspr</w:t>
      </w:r>
      <w:r w:rsidRPr="00156980">
        <w:rPr>
          <w:szCs w:val="17"/>
        </w:rPr>
        <w:t>o</w:t>
      </w:r>
      <w:r w:rsidRPr="00156980">
        <w:rPr>
          <w:szCs w:val="17"/>
        </w:rPr>
        <w:t>zess statt, der nur ‚Alarm schlägt‘, wenn gewisse Grenzen überschritten werden. So b</w:t>
      </w:r>
      <w:r w:rsidRPr="00156980">
        <w:rPr>
          <w:szCs w:val="17"/>
        </w:rPr>
        <w:t>e</w:t>
      </w:r>
      <w:r w:rsidRPr="00156980">
        <w:rPr>
          <w:szCs w:val="17"/>
        </w:rPr>
        <w:t>rücksichtigen viele Menschen für gewöhnlich nicht, wie ihr Gehstil</w:t>
      </w:r>
      <w:r w:rsidR="005D7996">
        <w:rPr>
          <w:szCs w:val="17"/>
        </w:rPr>
        <w:fldChar w:fldCharType="begin"/>
      </w:r>
      <w:r>
        <w:instrText xml:space="preserve"> XE "</w:instrText>
      </w:r>
      <w:r w:rsidRPr="003407FE">
        <w:instrText>Gehstil</w:instrText>
      </w:r>
      <w:r>
        <w:instrText xml:space="preserve">" </w:instrText>
      </w:r>
      <w:r w:rsidR="005D7996">
        <w:rPr>
          <w:szCs w:val="17"/>
        </w:rPr>
        <w:fldChar w:fldCharType="end"/>
      </w:r>
      <w:r w:rsidRPr="00156980">
        <w:rPr>
          <w:szCs w:val="17"/>
        </w:rPr>
        <w:t xml:space="preserve"> auf andere wirkt; müssen sie jedoch plötzlich rennen, gerät ihnen ein Stein in den Schuh oder beginnt der Rucksack ihnen zu schwer zu werden, kommt ihnen ihr veränderter Gehstil zu Bewuss</w:t>
      </w:r>
      <w:r w:rsidRPr="00156980">
        <w:rPr>
          <w:szCs w:val="17"/>
        </w:rPr>
        <w:t>t</w:t>
      </w:r>
      <w:r w:rsidRPr="00156980">
        <w:rPr>
          <w:szCs w:val="17"/>
        </w:rPr>
        <w:t>sein und sie achten auf die übermittelten Informationen, möglicherweise entstehenden Eindrücke usw.</w:t>
      </w:r>
    </w:p>
  </w:footnote>
  <w:footnote w:id="5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Natürlich können mit Hilfe der Funktion </w:t>
      </w:r>
      <w:r w:rsidRPr="00156980">
        <w:rPr>
          <w:i/>
          <w:szCs w:val="17"/>
        </w:rPr>
        <w:t>Aufmerksamkeit</w:t>
      </w:r>
      <w:r w:rsidRPr="00156980">
        <w:rPr>
          <w:szCs w:val="17"/>
        </w:rPr>
        <w:t xml:space="preserve"> in der Funktion </w:t>
      </w:r>
      <w:r w:rsidRPr="00156980">
        <w:rPr>
          <w:i/>
          <w:szCs w:val="17"/>
        </w:rPr>
        <w:t>Ergebnisse</w:t>
      </w:r>
      <w:r w:rsidRPr="00156980">
        <w:rPr>
          <w:szCs w:val="17"/>
        </w:rPr>
        <w:t xml:space="preserve"> unerwünschte Ergebnisse aus der Ergebnismenge ausgeschlossen werden. Wird auf diese Weise manipuliert, kann die Bedingung </w:t>
      </w:r>
      <w:r w:rsidRPr="00156980">
        <w:rPr>
          <w:i/>
          <w:szCs w:val="17"/>
        </w:rPr>
        <w:t>I'</w:t>
      </w:r>
      <w:r w:rsidRPr="00156980">
        <w:rPr>
          <w:szCs w:val="17"/>
        </w:rPr>
        <w:t xml:space="preserve"> </w:t>
      </w:r>
      <w:r w:rsidRPr="00156980">
        <w:rPr>
          <w:rFonts w:eastAsia="Arial Unicode MS" w:cs="Times New Roman"/>
          <w:szCs w:val="17"/>
        </w:rPr>
        <w:t>=</w:t>
      </w:r>
      <w:r w:rsidRPr="00156980">
        <w:rPr>
          <w:szCs w:val="17"/>
        </w:rPr>
        <w:t xml:space="preserve"> </w:t>
      </w:r>
      <w:r w:rsidRPr="00156980">
        <w:rPr>
          <w:i/>
          <w:szCs w:val="17"/>
        </w:rPr>
        <w:t>I</w:t>
      </w:r>
      <w:r w:rsidRPr="00156980">
        <w:rPr>
          <w:szCs w:val="17"/>
        </w:rPr>
        <w:t xml:space="preserve"> erfüllt werden, hat dann aber auch keinerlei Sinn mehr, da ja bei einer Interpretation durch den Stilwahrnehmer diese gezielte Ann</w:t>
      </w:r>
      <w:r w:rsidRPr="00156980">
        <w:rPr>
          <w:szCs w:val="17"/>
        </w:rPr>
        <w:t>ä</w:t>
      </w:r>
      <w:r w:rsidRPr="00156980">
        <w:rPr>
          <w:szCs w:val="17"/>
        </w:rPr>
        <w:t>herung nicht stattfindet.</w:t>
      </w:r>
    </w:p>
  </w:footnote>
  <w:footnote w:id="5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zum Namen der Funktion Fußnote </w:t>
      </w:r>
      <w:fldSimple w:instr=" NOTEREF _Ref261883164 \h  \* MERGEFORMAT ">
        <w:r w:rsidR="001231D3" w:rsidRPr="001231D3">
          <w:rPr>
            <w:szCs w:val="17"/>
          </w:rPr>
          <w:t>530</w:t>
        </w:r>
      </w:fldSimple>
      <w:r w:rsidRPr="00156980">
        <w:rPr>
          <w:szCs w:val="17"/>
        </w:rPr>
        <w:t>.</w:t>
      </w:r>
    </w:p>
  </w:footnote>
  <w:footnote w:id="5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Definition dieser Termini erfolgt in Abschnitt </w:t>
      </w:r>
      <w:fldSimple w:instr=" REF _Ref273617215 \r \h  \* MERGEFORMAT ">
        <w:r w:rsidR="001231D3" w:rsidRPr="001231D3">
          <w:rPr>
            <w:szCs w:val="17"/>
          </w:rPr>
          <w:t>7.3.6</w:t>
        </w:r>
      </w:fldSimple>
      <w:r w:rsidRPr="00156980">
        <w:rPr>
          <w:szCs w:val="17"/>
        </w:rPr>
        <w:t>. – Die Möglichkeit der Zusa</w:t>
      </w:r>
      <w:r w:rsidRPr="00156980">
        <w:rPr>
          <w:szCs w:val="17"/>
        </w:rPr>
        <w:t>m</w:t>
      </w:r>
      <w:r w:rsidRPr="00156980">
        <w:rPr>
          <w:szCs w:val="17"/>
        </w:rPr>
        <w:t xml:space="preserve">menfassung von </w:t>
      </w:r>
      <w:r w:rsidRPr="00156980">
        <w:rPr>
          <w:i/>
          <w:szCs w:val="17"/>
        </w:rPr>
        <w:t>B</w:t>
      </w:r>
      <w:r w:rsidRPr="00156980">
        <w:rPr>
          <w:szCs w:val="17"/>
        </w:rPr>
        <w:t xml:space="preserve"> und </w:t>
      </w:r>
      <w:r w:rsidRPr="00156980">
        <w:rPr>
          <w:i/>
          <w:szCs w:val="17"/>
        </w:rPr>
        <w:t>I'</w:t>
      </w:r>
      <w:r w:rsidRPr="00156980">
        <w:rPr>
          <w:szCs w:val="17"/>
        </w:rPr>
        <w:t xml:space="preserve"> zum Anwenderstil ist der Grund dafür, dass die Funktionen </w:t>
      </w:r>
      <w:r w:rsidRPr="00156980">
        <w:rPr>
          <w:i/>
          <w:szCs w:val="17"/>
        </w:rPr>
        <w:t>Merkmalsregeln_erzeugen</w:t>
      </w:r>
      <w:r w:rsidRPr="00156980">
        <w:rPr>
          <w:szCs w:val="17"/>
        </w:rPr>
        <w:t xml:space="preserve"> und </w:t>
      </w:r>
      <w:r w:rsidRPr="00156980">
        <w:rPr>
          <w:i/>
          <w:szCs w:val="17"/>
        </w:rPr>
        <w:t>Merkmalsregeln_anpassen</w:t>
      </w:r>
      <w:r w:rsidRPr="00156980">
        <w:rPr>
          <w:szCs w:val="17"/>
        </w:rPr>
        <w:t xml:space="preserve"> nicht </w:t>
      </w:r>
      <w:r w:rsidRPr="00156980">
        <w:rPr>
          <w:i/>
          <w:szCs w:val="17"/>
        </w:rPr>
        <w:t>Stil_erzeugen</w:t>
      </w:r>
      <w:r w:rsidRPr="00156980">
        <w:rPr>
          <w:szCs w:val="17"/>
        </w:rPr>
        <w:t xml:space="preserve"> und </w:t>
      </w:r>
      <w:r w:rsidRPr="00156980">
        <w:rPr>
          <w:i/>
          <w:szCs w:val="17"/>
        </w:rPr>
        <w:t>Stil_anpassen</w:t>
      </w:r>
      <w:r w:rsidRPr="00156980">
        <w:rPr>
          <w:szCs w:val="17"/>
        </w:rPr>
        <w:t xml:space="preserve"> genannt werden, obwohl sie ebenso wie die Funktion </w:t>
      </w:r>
      <w:r w:rsidRPr="00156980">
        <w:rPr>
          <w:i/>
          <w:szCs w:val="17"/>
        </w:rPr>
        <w:t>vorhandener_Stil</w:t>
      </w:r>
      <w:r w:rsidRPr="00156980">
        <w:rPr>
          <w:szCs w:val="17"/>
        </w:rPr>
        <w:t xml:space="preserve"> eine Menge von Merkmalsregeln zurückgeben. Zu einem Stil kann nämlich (je nach Auffa</w:t>
      </w:r>
      <w:r w:rsidRPr="00156980">
        <w:rPr>
          <w:szCs w:val="17"/>
        </w:rPr>
        <w:t>s</w:t>
      </w:r>
      <w:r w:rsidRPr="00156980">
        <w:rPr>
          <w:szCs w:val="17"/>
        </w:rPr>
        <w:t xml:space="preserve">sung) auch eine Interpretation hinzugerechnet werden (vgl. Abschnitt </w:t>
      </w:r>
      <w:fldSimple w:instr=" REF _Ref261879934 \r \h  \* MERGEFORMAT ">
        <w:r w:rsidR="001231D3" w:rsidRPr="001231D3">
          <w:rPr>
            <w:szCs w:val="17"/>
          </w:rPr>
          <w:t>7.3.5</w:t>
        </w:r>
      </w:fldSimple>
      <w:r w:rsidRPr="00156980">
        <w:rPr>
          <w:szCs w:val="17"/>
        </w:rPr>
        <w:t>). Normale</w:t>
      </w:r>
      <w:r w:rsidRPr="00156980">
        <w:rPr>
          <w:szCs w:val="17"/>
        </w:rPr>
        <w:t>r</w:t>
      </w:r>
      <w:r w:rsidRPr="00156980">
        <w:rPr>
          <w:szCs w:val="17"/>
        </w:rPr>
        <w:t xml:space="preserve">weise wird eine Menge </w:t>
      </w:r>
      <w:r w:rsidRPr="00156980">
        <w:rPr>
          <w:i/>
          <w:szCs w:val="17"/>
        </w:rPr>
        <w:t>B</w:t>
      </w:r>
      <w:r w:rsidRPr="00156980">
        <w:rPr>
          <w:szCs w:val="17"/>
        </w:rPr>
        <w:t xml:space="preserve"> für sich genommen daher nur als „Merkmalsregeln“ bezeichnet (vgl. auch die Abschnitte </w:t>
      </w:r>
      <w:fldSimple w:instr=" REF _Ref255649029 \r \h  \* MERGEFORMAT ">
        <w:r w:rsidR="001231D3" w:rsidRPr="001231D3">
          <w:rPr>
            <w:szCs w:val="17"/>
          </w:rPr>
          <w:t>5.4</w:t>
        </w:r>
      </w:fldSimple>
      <w:r w:rsidRPr="00156980">
        <w:rPr>
          <w:szCs w:val="17"/>
        </w:rPr>
        <w:t xml:space="preserve"> und </w:t>
      </w:r>
      <w:fldSimple w:instr=" REF _Ref212453118 \r \h  \* MERGEFORMAT ">
        <w:r w:rsidR="001231D3" w:rsidRPr="001231D3">
          <w:rPr>
            <w:szCs w:val="17"/>
          </w:rPr>
          <w:t>5.5</w:t>
        </w:r>
      </w:fldSimple>
      <w:r w:rsidRPr="00156980">
        <w:rPr>
          <w:szCs w:val="17"/>
        </w:rPr>
        <w:t xml:space="preserve">). Die Funktion </w:t>
      </w:r>
      <w:r w:rsidRPr="00156980">
        <w:rPr>
          <w:i/>
          <w:szCs w:val="17"/>
        </w:rPr>
        <w:t>vorhandener_Stil</w:t>
      </w:r>
      <w:r w:rsidRPr="00156980">
        <w:rPr>
          <w:szCs w:val="17"/>
        </w:rPr>
        <w:t xml:space="preserve"> bildet hier eine Ausnahme, weil sie tatsächlich einen ‚vollständigen‘ Stil sucht, der meist bereits früher angewandt wurde und bei dessen Erzeugung eventuell bereits eine Interpretation berüc</w:t>
      </w:r>
      <w:r w:rsidRPr="00156980">
        <w:rPr>
          <w:szCs w:val="17"/>
        </w:rPr>
        <w:t>k</w:t>
      </w:r>
      <w:r w:rsidRPr="00156980">
        <w:rPr>
          <w:szCs w:val="17"/>
        </w:rPr>
        <w:t>sichtigt wurde (vgl. Zeile 6-12), auch wenn sie diesen Stil als Menge von Merkmalsregeln zurückgibt.</w:t>
      </w:r>
    </w:p>
  </w:footnote>
  <w:footnote w:id="5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Erläuterung am Ende von Abschnitt </w:t>
      </w:r>
      <w:fldSimple w:instr=" REF _Ref212453073 \n \h  \* MERGEFORMAT ">
        <w:r w:rsidR="001231D3" w:rsidRPr="001231D3">
          <w:rPr>
            <w:szCs w:val="17"/>
          </w:rPr>
          <w:t>4.5</w:t>
        </w:r>
      </w:fldSimple>
      <w:r w:rsidRPr="00156980">
        <w:rPr>
          <w:szCs w:val="17"/>
        </w:rPr>
        <w:t>.</w:t>
      </w:r>
    </w:p>
  </w:footnote>
  <w:footnote w:id="532">
    <w:p w:rsidR="00CC3558" w:rsidRDefault="00CC3558" w:rsidP="00A05AF9">
      <w:pPr>
        <w:pStyle w:val="Funotentext"/>
      </w:pPr>
      <w:r>
        <w:rPr>
          <w:rStyle w:val="Funotenzeichen"/>
        </w:rPr>
        <w:footnoteRef/>
      </w:r>
      <w:r>
        <w:t xml:space="preserve"> </w:t>
      </w:r>
      <w:r>
        <w:tab/>
        <w:t xml:space="preserve">Vgl. Abschnitt </w:t>
      </w:r>
      <w:r w:rsidR="005D7996">
        <w:fldChar w:fldCharType="begin"/>
      </w:r>
      <w:r>
        <w:instrText xml:space="preserve"> REF _Ref255767436 \r \h </w:instrText>
      </w:r>
      <w:r w:rsidR="005D7996">
        <w:fldChar w:fldCharType="separate"/>
      </w:r>
      <w:r w:rsidR="001231D3">
        <w:t>7.2.1</w:t>
      </w:r>
      <w:r w:rsidR="005D7996">
        <w:fldChar w:fldCharType="end"/>
      </w:r>
      <w:r>
        <w:t xml:space="preserve">, Funktion </w:t>
      </w:r>
      <w:r w:rsidRPr="007B7A3D">
        <w:rPr>
          <w:i/>
        </w:rPr>
        <w:t>Interpretation</w:t>
      </w:r>
      <w:r>
        <w:t>, Zeile 38.</w:t>
      </w:r>
    </w:p>
  </w:footnote>
  <w:footnote w:id="5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 Definition dieser Termini erfolgt in Abschnitt </w:t>
      </w:r>
      <w:fldSimple w:instr=" REF _Ref273617215 \r \h  \* MERGEFORMAT ">
        <w:r w:rsidR="001231D3" w:rsidRPr="001231D3">
          <w:rPr>
            <w:szCs w:val="17"/>
          </w:rPr>
          <w:t>7.3.6</w:t>
        </w:r>
      </w:fldSimple>
      <w:r w:rsidRPr="00156980">
        <w:rPr>
          <w:szCs w:val="17"/>
        </w:rPr>
        <w:t>.</w:t>
      </w:r>
    </w:p>
  </w:footnote>
  <w:footnote w:id="5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Beispiel dafür ist eine (verbale oder körperliche) Auseinandersetzung auf einem ö</w:t>
      </w:r>
      <w:r w:rsidRPr="00156980">
        <w:rPr>
          <w:szCs w:val="17"/>
        </w:rPr>
        <w:t>f</w:t>
      </w:r>
      <w:r w:rsidRPr="00156980">
        <w:rPr>
          <w:szCs w:val="17"/>
        </w:rPr>
        <w:t>fentlichen Platz, die von einer Gruppe von Menschen umstanden wird. In diesem Fall muss, sofern keine Abweichungen von einer realistischen Auseinandersetzung erkennbar werden, nach Kontext entschieden werden, ob es sich um einen tatsächlichen Kampf mit Gaffern oder um eine Straßentheateraufführung mit Zuschauern handelt.</w:t>
      </w:r>
    </w:p>
  </w:footnote>
  <w:footnote w:id="5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63268288 \r \h  \* MERGEFORMAT ">
        <w:r w:rsidR="001231D3" w:rsidRPr="001231D3">
          <w:rPr>
            <w:szCs w:val="17"/>
          </w:rPr>
          <w:t>5.1</w:t>
        </w:r>
      </w:fldSimple>
      <w:r w:rsidRPr="00156980">
        <w:rPr>
          <w:szCs w:val="17"/>
        </w:rPr>
        <w:t>.</w:t>
      </w:r>
    </w:p>
  </w:footnote>
  <w:footnote w:id="5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Möglichkeit erscheint als plausible Reduktion von </w:t>
      </w:r>
      <w:r w:rsidRPr="00156980">
        <w:rPr>
          <w:i/>
          <w:szCs w:val="17"/>
        </w:rPr>
        <w:t>B</w:t>
      </w:r>
      <w:r w:rsidRPr="00156980">
        <w:rPr>
          <w:szCs w:val="17"/>
        </w:rPr>
        <w:t>; gegenüber dem oben angeg</w:t>
      </w:r>
      <w:r w:rsidRPr="00156980">
        <w:rPr>
          <w:szCs w:val="17"/>
        </w:rPr>
        <w:t>e</w:t>
      </w:r>
      <w:r w:rsidRPr="00156980">
        <w:rPr>
          <w:szCs w:val="17"/>
        </w:rPr>
        <w:t>benen Prozess, der keine Rückwirkung des Interpretationsprozesses vorsieht, ist sie s</w:t>
      </w:r>
      <w:r w:rsidRPr="00156980">
        <w:rPr>
          <w:szCs w:val="17"/>
        </w:rPr>
        <w:t>i</w:t>
      </w:r>
      <w:r w:rsidRPr="00156980">
        <w:rPr>
          <w:szCs w:val="17"/>
        </w:rPr>
        <w:t>cherlich eine Annäherung an den tatsächlichen Vorgang. Sie wird dennoch hier nur als Variante vorgestellt, da sie nur einen kleinen und trügerisch einfachen Ausschnitt aus den möglichen Interaktionen der beiden Prozesse umsetzt. Beispielsweise ist es denkbar, dass aufgrund der im Interpretationsprozess gewonnenen Ergebnisse gezielt nach weiteren Merkmalsregeln gesucht wird oder dass der Genauigkeitsgrad und die Formulierung der Merkmalsregeln nach dem Bedarf des Interpretationsprozesses angepasst werden.</w:t>
      </w:r>
    </w:p>
  </w:footnote>
  <w:footnote w:id="5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 Kodes Fußnote </w:t>
      </w:r>
      <w:fldSimple w:instr=" NOTEREF _Ref273622606 \h  \* MERGEFORMAT ">
        <w:r w:rsidR="001231D3" w:rsidRPr="001231D3">
          <w:rPr>
            <w:szCs w:val="17"/>
          </w:rPr>
          <w:t>3</w:t>
        </w:r>
      </w:fldSimple>
      <w:r w:rsidRPr="00156980">
        <w:rPr>
          <w:szCs w:val="17"/>
        </w:rPr>
        <w:t>.</w:t>
      </w:r>
    </w:p>
  </w:footnote>
  <w:footnote w:id="5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Zur Unterscheidung zwischen Sender- und Empfängerzeichen schreibt Roland Posner (Posner 1996: 1668):</w:t>
      </w:r>
    </w:p>
    <w:p w:rsidR="00CC3558" w:rsidRPr="00156980" w:rsidRDefault="00CC3558" w:rsidP="00F461D9">
      <w:pPr>
        <w:pStyle w:val="Funotentext"/>
        <w:rPr>
          <w:szCs w:val="17"/>
        </w:rPr>
      </w:pPr>
      <w:r w:rsidRPr="00156980">
        <w:rPr>
          <w:szCs w:val="17"/>
        </w:rPr>
        <w:tab/>
        <w:t xml:space="preserve">„Ein Ereignis gilt […] als Zeichen sowohl (1) wenn es bewirkt, daß ein Verhaltenssystem darauf reagiert, indem es etwas tut oder glaubt, als auch (2) wenn es ein Verhaltenssystem gibt, welches dieses Ereignis mit der Absicht produziert, daß es ein Zeichen im ersten Sinne ist. Ein Zeichen im ersten Sinne nennen wir </w:t>
      </w:r>
      <w:r w:rsidRPr="00156980">
        <w:rPr>
          <w:i/>
          <w:szCs w:val="17"/>
        </w:rPr>
        <w:t>Empfängerzeichen</w:t>
      </w:r>
      <w:r w:rsidRPr="00156980">
        <w:rPr>
          <w:szCs w:val="17"/>
        </w:rPr>
        <w:t xml:space="preserve">, ein Zeichen im zweiten Sinne </w:t>
      </w:r>
      <w:r w:rsidRPr="00156980">
        <w:rPr>
          <w:i/>
          <w:szCs w:val="17"/>
        </w:rPr>
        <w:t>Senderzeichen</w:t>
      </w:r>
      <w:r w:rsidRPr="00156980">
        <w:rPr>
          <w:szCs w:val="17"/>
        </w:rPr>
        <w:t>.“</w:t>
      </w:r>
      <w:r w:rsidR="005D7996">
        <w:rPr>
          <w:szCs w:val="17"/>
        </w:rPr>
        <w:fldChar w:fldCharType="begin"/>
      </w:r>
      <w:r>
        <w:instrText xml:space="preserve"> XE "Empfänger</w:instrText>
      </w:r>
      <w:r w:rsidRPr="0078449A">
        <w:instrText>zeichen</w:instrText>
      </w:r>
      <w:r>
        <w:instrText>:</w:instrText>
      </w:r>
      <w:r w:rsidRPr="0073281C">
        <w:rPr>
          <w:i/>
        </w:rPr>
        <w:instrText>Definition</w:instrText>
      </w:r>
      <w:r>
        <w:instrText xml:space="preserve">" </w:instrText>
      </w:r>
      <w:r w:rsidR="005D7996">
        <w:rPr>
          <w:szCs w:val="17"/>
        </w:rPr>
        <w:fldChar w:fldCharType="end"/>
      </w:r>
      <w:r w:rsidR="005D7996">
        <w:rPr>
          <w:szCs w:val="17"/>
        </w:rPr>
        <w:fldChar w:fldCharType="begin"/>
      </w:r>
      <w:r>
        <w:instrText xml:space="preserve"> XE "</w:instrText>
      </w:r>
      <w:r w:rsidRPr="0078449A">
        <w:instrText>Senderzeichen</w:instrText>
      </w:r>
      <w:r>
        <w:instrText>:</w:instrText>
      </w:r>
      <w:r w:rsidRPr="0073281C">
        <w:rPr>
          <w:i/>
        </w:rPr>
        <w:instrText>Definition</w:instrText>
      </w:r>
      <w:r>
        <w:instrText xml:space="preserve">" </w:instrText>
      </w:r>
      <w:r w:rsidR="005D7996">
        <w:rPr>
          <w:szCs w:val="17"/>
        </w:rPr>
        <w:fldChar w:fldCharType="end"/>
      </w:r>
    </w:p>
    <w:p w:rsidR="00CC3558" w:rsidRPr="00156980" w:rsidRDefault="00CC3558" w:rsidP="00F461D9">
      <w:pPr>
        <w:pStyle w:val="Funotentext"/>
        <w:rPr>
          <w:szCs w:val="17"/>
        </w:rPr>
      </w:pPr>
      <w:r w:rsidRPr="00156980">
        <w:rPr>
          <w:szCs w:val="17"/>
        </w:rPr>
        <w:tab/>
        <w:t>Diese Definition ermöglicht es, einen absichtlich angewendeten Stil als Inhalt eines Se</w:t>
      </w:r>
      <w:r w:rsidRPr="00156980">
        <w:rPr>
          <w:szCs w:val="17"/>
        </w:rPr>
        <w:t>n</w:t>
      </w:r>
      <w:r w:rsidRPr="00156980">
        <w:rPr>
          <w:szCs w:val="17"/>
        </w:rPr>
        <w:t>derzeichens, einen wahrgenommenen Stil als Inhalt eines Empfängerzeichens anzusehen. Stile können jedoch auch unbeabsichtigt angewendet werden, und auch in diesem Fall gibt es oft einen Unterschied zwischen dem angewendeten Stil – den tatsächlich ang</w:t>
      </w:r>
      <w:r w:rsidRPr="00156980">
        <w:rPr>
          <w:szCs w:val="17"/>
        </w:rPr>
        <w:t>e</w:t>
      </w:r>
      <w:r w:rsidRPr="00156980">
        <w:rPr>
          <w:szCs w:val="17"/>
        </w:rPr>
        <w:t xml:space="preserve">wandten Merkmalsregeln – und dem wahrgenommenen Stil – den bei einer bestimmten Wahrnehmung einer Realisierung ausgelesenen Merkmalsregeln. Daher betrachten wir </w:t>
      </w:r>
      <w:r w:rsidRPr="00534F7E">
        <w:rPr>
          <w:szCs w:val="17"/>
        </w:rPr>
        <w:t xml:space="preserve">Anwenderstil und Wahrnehmerstil </w:t>
      </w:r>
      <w:r w:rsidRPr="00156980">
        <w:rPr>
          <w:szCs w:val="17"/>
        </w:rPr>
        <w:t>als unabhängig von der Absichtlichkeit.</w:t>
      </w:r>
    </w:p>
  </w:footnote>
  <w:footnote w:id="5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Abschnitte </w:t>
      </w:r>
      <w:fldSimple w:instr=" REF _Ref212110965 \r \h  \* MERGEFORMAT ">
        <w:r w:rsidR="001231D3" w:rsidRPr="001231D3">
          <w:rPr>
            <w:szCs w:val="17"/>
          </w:rPr>
          <w:t>5.2.2</w:t>
        </w:r>
      </w:fldSimple>
      <w:r w:rsidRPr="00156980">
        <w:rPr>
          <w:szCs w:val="17"/>
        </w:rPr>
        <w:t xml:space="preserve"> und </w:t>
      </w:r>
      <w:fldSimple w:instr=" REF _Ref269048814 \r \h  \* MERGEFORMAT ">
        <w:r w:rsidR="001231D3" w:rsidRPr="001231D3">
          <w:rPr>
            <w:szCs w:val="17"/>
          </w:rPr>
          <w:t>7.3.3</w:t>
        </w:r>
      </w:fldSimple>
      <w:r w:rsidRPr="00156980">
        <w:rPr>
          <w:szCs w:val="17"/>
        </w:rPr>
        <w:t xml:space="preserve">, Funktion </w:t>
      </w:r>
      <w:r w:rsidRPr="00156980">
        <w:rPr>
          <w:i/>
          <w:szCs w:val="17"/>
        </w:rPr>
        <w:t>Schemata_zusammenstellen</w:t>
      </w:r>
      <w:r w:rsidRPr="00156980">
        <w:rPr>
          <w:szCs w:val="17"/>
        </w:rPr>
        <w:t>.</w:t>
      </w:r>
    </w:p>
  </w:footnote>
  <w:footnote w:id="5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ergibt sich beim Anwenden aus der Bildung einer Menge </w:t>
      </w:r>
      <w:r w:rsidRPr="00156980">
        <w:rPr>
          <w:i/>
          <w:szCs w:val="17"/>
        </w:rPr>
        <w:t>A</w:t>
      </w:r>
      <w:r w:rsidRPr="00156980">
        <w:rPr>
          <w:szCs w:val="17"/>
        </w:rPr>
        <w:t xml:space="preserve"> von </w:t>
      </w:r>
      <w:r>
        <w:rPr>
          <w:szCs w:val="17"/>
        </w:rPr>
        <w:t>Alter</w:t>
      </w:r>
      <w:r>
        <w:rPr>
          <w:szCs w:val="17"/>
        </w:rPr>
        <w:softHyphen/>
        <w:t>nativen</w:t>
      </w:r>
      <w:r>
        <w:rPr>
          <w:szCs w:val="17"/>
        </w:rPr>
        <w:softHyphen/>
        <w:t>klasse</w:t>
      </w:r>
      <w:r w:rsidRPr="00156980">
        <w:rPr>
          <w:szCs w:val="17"/>
        </w:rPr>
        <w:t xml:space="preserve">n (siehe Abschnitt </w:t>
      </w:r>
      <w:fldSimple w:instr=" REF _Ref212110965 \r \h  \* MERGEFORMAT ">
        <w:r w:rsidR="001231D3" w:rsidRPr="001231D3">
          <w:rPr>
            <w:szCs w:val="17"/>
          </w:rPr>
          <w:t>5.2.2</w:t>
        </w:r>
      </w:fldSimple>
      <w:r w:rsidRPr="00156980">
        <w:rPr>
          <w:szCs w:val="17"/>
        </w:rPr>
        <w:t>, Schritt 2), aus denen in den folgenden Schritten (3 und 4) jeweils ein Element für die Realisierung ausgewählt wird. Beim Wahrnehmen findet die Aufte</w:t>
      </w:r>
      <w:r w:rsidRPr="00156980">
        <w:rPr>
          <w:szCs w:val="17"/>
        </w:rPr>
        <w:t>i</w:t>
      </w:r>
      <w:r w:rsidRPr="00156980">
        <w:rPr>
          <w:szCs w:val="17"/>
        </w:rPr>
        <w:t xml:space="preserve">lung nicht im Modell statt, da die Funktion </w:t>
      </w:r>
      <w:r w:rsidRPr="00156980">
        <w:rPr>
          <w:i/>
          <w:szCs w:val="17"/>
        </w:rPr>
        <w:t>Stil_wahrnehmen</w:t>
      </w:r>
      <w:r w:rsidRPr="00156980">
        <w:rPr>
          <w:szCs w:val="17"/>
        </w:rPr>
        <w:t xml:space="preserve"> die Realisierung als Param</w:t>
      </w:r>
      <w:r w:rsidRPr="00156980">
        <w:rPr>
          <w:szCs w:val="17"/>
        </w:rPr>
        <w:t>e</w:t>
      </w:r>
      <w:r w:rsidRPr="00156980">
        <w:rPr>
          <w:szCs w:val="17"/>
        </w:rPr>
        <w:t xml:space="preserve">ter erhält (siehe Abschnitt </w:t>
      </w:r>
      <w:fldSimple w:instr=" REF _Ref261443737 \r \h  \* MERGEFORMAT ">
        <w:r w:rsidR="001231D3" w:rsidRPr="001231D3">
          <w:rPr>
            <w:szCs w:val="17"/>
          </w:rPr>
          <w:t>7.3.2</w:t>
        </w:r>
      </w:fldSimple>
      <w:r w:rsidRPr="00156980">
        <w:rPr>
          <w:szCs w:val="17"/>
        </w:rPr>
        <w:t>).</w:t>
      </w:r>
    </w:p>
  </w:footnote>
  <w:footnote w:id="5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Dabei werden für jede Realisierungsstelle ein Schemaort und Zusatzbedingungen ausg</w:t>
      </w:r>
      <w:r w:rsidRPr="00156980">
        <w:rPr>
          <w:szCs w:val="17"/>
        </w:rPr>
        <w:t>e</w:t>
      </w:r>
      <w:r w:rsidRPr="00156980">
        <w:rPr>
          <w:szCs w:val="17"/>
        </w:rPr>
        <w:t xml:space="preserve">wählt; vgl. Abschnitt </w:t>
      </w:r>
      <w:fldSimple w:instr=" REF _Ref212110965 \r \h  \* MERGEFORMAT ">
        <w:r w:rsidR="001231D3" w:rsidRPr="001231D3">
          <w:rPr>
            <w:szCs w:val="17"/>
          </w:rPr>
          <w:t>5.2.2</w:t>
        </w:r>
      </w:fldSimple>
      <w:r w:rsidRPr="00156980">
        <w:rPr>
          <w:szCs w:val="17"/>
        </w:rPr>
        <w:t xml:space="preserve">, Funktion </w:t>
      </w:r>
      <w:r w:rsidRPr="00156980">
        <w:rPr>
          <w:i/>
          <w:szCs w:val="17"/>
        </w:rPr>
        <w:t>Schemaausführung</w:t>
      </w:r>
      <w:r w:rsidRPr="00156980">
        <w:rPr>
          <w:szCs w:val="17"/>
        </w:rPr>
        <w:t xml:space="preserve">, Schritt 2 bzw. Abschnitt </w:t>
      </w:r>
      <w:fldSimple w:instr=" REF _Ref254084330 \r \h  \* MERGEFORMAT ">
        <w:r w:rsidR="001231D3" w:rsidRPr="001231D3">
          <w:rPr>
            <w:szCs w:val="17"/>
          </w:rPr>
          <w:t>5.5.3</w:t>
        </w:r>
      </w:fldSimple>
      <w:r w:rsidRPr="00156980">
        <w:rPr>
          <w:szCs w:val="17"/>
        </w:rPr>
        <w:t xml:space="preserve">, Funktion </w:t>
      </w:r>
      <w:r w:rsidRPr="00156980">
        <w:rPr>
          <w:i/>
          <w:szCs w:val="17"/>
        </w:rPr>
        <w:t>Merkmalsregeln_auslesen</w:t>
      </w:r>
      <w:r w:rsidRPr="00156980">
        <w:rPr>
          <w:szCs w:val="17"/>
        </w:rPr>
        <w:t>, Zeile 4-18.</w:t>
      </w:r>
    </w:p>
  </w:footnote>
  <w:footnote w:id="5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11841916 \r \h  \* MERGEFORMAT ">
        <w:r w:rsidR="001231D3" w:rsidRPr="001231D3">
          <w:rPr>
            <w:szCs w:val="17"/>
          </w:rPr>
          <w:t>4.3.2</w:t>
        </w:r>
      </w:fldSimple>
      <w:r w:rsidRPr="00156980">
        <w:rPr>
          <w:szCs w:val="17"/>
        </w:rPr>
        <w:t xml:space="preserve">, (3); ein Beispiel wird in Abschnitt </w:t>
      </w:r>
      <w:fldSimple w:instr=" REF _Ref260076032 \r \h  \* MERGEFORMAT ">
        <w:r w:rsidR="001231D3" w:rsidRPr="001231D3">
          <w:rPr>
            <w:szCs w:val="17"/>
          </w:rPr>
          <w:t>8.3.4</w:t>
        </w:r>
      </w:fldSimple>
      <w:r w:rsidRPr="00156980">
        <w:rPr>
          <w:szCs w:val="17"/>
        </w:rPr>
        <w:t xml:space="preserve"> gegeben (die Konnotati</w:t>
      </w:r>
      <w:r w:rsidRPr="00156980">
        <w:rPr>
          <w:szCs w:val="17"/>
        </w:rPr>
        <w:t>o</w:t>
      </w:r>
      <w:r w:rsidRPr="00156980">
        <w:rPr>
          <w:szCs w:val="17"/>
        </w:rPr>
        <w:t>nen</w:t>
      </w:r>
      <w:r w:rsidR="005D7996">
        <w:rPr>
          <w:szCs w:val="17"/>
        </w:rPr>
        <w:fldChar w:fldCharType="begin"/>
      </w:r>
      <w:r>
        <w:instrText xml:space="preserve"> XE "</w:instrText>
      </w:r>
      <w:r w:rsidRPr="009A792E">
        <w:instrText>Konnotation</w:instrText>
      </w:r>
      <w:r>
        <w:instrText xml:space="preserve">" </w:instrText>
      </w:r>
      <w:r w:rsidR="005D7996">
        <w:rPr>
          <w:szCs w:val="17"/>
        </w:rPr>
        <w:fldChar w:fldCharType="end"/>
      </w:r>
      <w:r w:rsidRPr="00156980">
        <w:rPr>
          <w:szCs w:val="17"/>
        </w:rPr>
        <w:t xml:space="preserve"> der Zeitung bei Braque</w:t>
      </w:r>
      <w:r w:rsidR="005D7996">
        <w:rPr>
          <w:szCs w:val="17"/>
        </w:rPr>
        <w:fldChar w:fldCharType="begin"/>
      </w:r>
      <w:r>
        <w:instrText xml:space="preserve"> XE "</w:instrText>
      </w:r>
      <w:r w:rsidRPr="00D327A2">
        <w:rPr>
          <w:szCs w:val="17"/>
        </w:rPr>
        <w:instrText>Braque, Georges</w:instrText>
      </w:r>
      <w:r>
        <w:instrText xml:space="preserve">" </w:instrText>
      </w:r>
      <w:r w:rsidR="005D7996">
        <w:rPr>
          <w:szCs w:val="17"/>
        </w:rPr>
        <w:fldChar w:fldCharType="end"/>
      </w:r>
      <w:r w:rsidRPr="00156980">
        <w:rPr>
          <w:szCs w:val="17"/>
        </w:rPr>
        <w:t>).</w:t>
      </w:r>
    </w:p>
  </w:footnote>
  <w:footnote w:id="5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55767436 \r \h  \* MERGEFORMAT ">
        <w:r w:rsidR="001231D3" w:rsidRPr="001231D3">
          <w:rPr>
            <w:szCs w:val="17"/>
          </w:rPr>
          <w:t>7.2.1</w:t>
        </w:r>
      </w:fldSimple>
      <w:r w:rsidRPr="00156980">
        <w:rPr>
          <w:szCs w:val="17"/>
        </w:rPr>
        <w:t xml:space="preserve">, Funktion </w:t>
      </w:r>
      <w:r w:rsidRPr="00156980">
        <w:rPr>
          <w:i/>
          <w:szCs w:val="17"/>
        </w:rPr>
        <w:t>Hintergrundwissen_zusammenstellen</w:t>
      </w:r>
      <w:r w:rsidRPr="00156980">
        <w:rPr>
          <w:szCs w:val="17"/>
        </w:rPr>
        <w:t>.</w:t>
      </w:r>
    </w:p>
  </w:footnote>
  <w:footnote w:id="5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55309936 \r \h  \* MERGEFORMAT ">
        <w:r w:rsidR="001231D3" w:rsidRPr="001231D3">
          <w:rPr>
            <w:szCs w:val="17"/>
          </w:rPr>
          <w:t>7.2.2</w:t>
        </w:r>
      </w:fldSimple>
      <w:r w:rsidRPr="00156980">
        <w:rPr>
          <w:szCs w:val="17"/>
        </w:rPr>
        <w:t xml:space="preserve">, Funktion </w:t>
      </w:r>
      <w:r w:rsidRPr="00156980">
        <w:rPr>
          <w:i/>
          <w:szCs w:val="17"/>
        </w:rPr>
        <w:t>Suchmethoden_zusammenstellen</w:t>
      </w:r>
      <w:r w:rsidRPr="00156980">
        <w:rPr>
          <w:szCs w:val="17"/>
        </w:rPr>
        <w:t>.</w:t>
      </w:r>
    </w:p>
  </w:footnote>
  <w:footnote w:id="5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55767436 \r \h  \* MERGEFORMAT ">
        <w:r w:rsidR="001231D3" w:rsidRPr="001231D3">
          <w:rPr>
            <w:szCs w:val="17"/>
          </w:rPr>
          <w:t>7.2.1</w:t>
        </w:r>
      </w:fldSimple>
      <w:r w:rsidRPr="00156980">
        <w:rPr>
          <w:szCs w:val="17"/>
        </w:rPr>
        <w:t xml:space="preserve">, Funktion </w:t>
      </w:r>
      <w:r w:rsidRPr="00156980">
        <w:rPr>
          <w:i/>
          <w:szCs w:val="17"/>
        </w:rPr>
        <w:t>Interesse</w:t>
      </w:r>
      <w:r w:rsidRPr="00156980">
        <w:rPr>
          <w:szCs w:val="17"/>
        </w:rPr>
        <w:t>.</w:t>
      </w:r>
    </w:p>
  </w:footnote>
  <w:footnote w:id="5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Siehe Abschnitt </w:t>
      </w:r>
      <w:fldSimple w:instr=" REF _Ref248036699 \r \h  \* MERGEFORMAT ">
        <w:r w:rsidR="001231D3" w:rsidRPr="001231D3">
          <w:rPr>
            <w:szCs w:val="17"/>
          </w:rPr>
          <w:t>6.2.1</w:t>
        </w:r>
      </w:fldSimple>
      <w:r w:rsidRPr="00156980">
        <w:rPr>
          <w:szCs w:val="17"/>
        </w:rPr>
        <w:t xml:space="preserve"> sowie Abschnitt </w:t>
      </w:r>
      <w:fldSimple w:instr=" REF _Ref255767436 \r \h  \* MERGEFORMAT ">
        <w:r w:rsidR="001231D3" w:rsidRPr="001231D3">
          <w:rPr>
            <w:szCs w:val="17"/>
          </w:rPr>
          <w:t>7.2.1</w:t>
        </w:r>
      </w:fldSimple>
      <w:r w:rsidRPr="00156980">
        <w:rPr>
          <w:szCs w:val="17"/>
        </w:rPr>
        <w:t>, Unterabschnitt</w:t>
      </w:r>
      <w:r w:rsidRPr="00156980">
        <w:rPr>
          <w:i/>
          <w:szCs w:val="17"/>
        </w:rPr>
        <w:t xml:space="preserve"> Die Funktionsmenge Op der Operationen</w:t>
      </w:r>
      <w:r w:rsidRPr="00156980">
        <w:rPr>
          <w:szCs w:val="17"/>
        </w:rPr>
        <w:t>.</w:t>
      </w:r>
    </w:p>
  </w:footnote>
  <w:footnote w:id="5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Siehe letzte Fußnote.</w:t>
      </w:r>
    </w:p>
  </w:footnote>
  <w:footnote w:id="5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Stil </w:t>
      </w:r>
      <w:r w:rsidRPr="00156980">
        <w:rPr>
          <w:i/>
          <w:szCs w:val="17"/>
        </w:rPr>
        <w:t>B</w:t>
      </w:r>
      <w:r w:rsidRPr="00156980">
        <w:rPr>
          <w:szCs w:val="17"/>
        </w:rPr>
        <w:t xml:space="preserve"> kann als abstrakte Entität, als Menge von Regelmäßigkeiten der Auswahl una</w:t>
      </w:r>
      <w:r w:rsidRPr="00156980">
        <w:rPr>
          <w:szCs w:val="17"/>
        </w:rPr>
        <w:t>b</w:t>
      </w:r>
      <w:r w:rsidRPr="00156980">
        <w:rPr>
          <w:szCs w:val="17"/>
        </w:rPr>
        <w:t xml:space="preserve">hängig von einer konkreten Anwendungs- oder Wahrnehmungssituation beschrieben werden; in den Funktionen des hier vorgestellten Modells erscheint </w:t>
      </w:r>
      <w:r w:rsidRPr="00156980">
        <w:rPr>
          <w:i/>
          <w:szCs w:val="17"/>
        </w:rPr>
        <w:t>B</w:t>
      </w:r>
      <w:r w:rsidRPr="00156980">
        <w:rPr>
          <w:szCs w:val="17"/>
        </w:rPr>
        <w:t xml:space="preserve"> jedoch stets als Zeicheninhalt eines stilistischen Zeichens</w:t>
      </w:r>
      <w:r w:rsidR="005D7996">
        <w:rPr>
          <w:szCs w:val="17"/>
        </w:rPr>
        <w:fldChar w:fldCharType="begin"/>
      </w:r>
      <w:r>
        <w:instrText xml:space="preserve"> XE "</w:instrText>
      </w:r>
      <w:r w:rsidRPr="005261FC">
        <w:rPr>
          <w:szCs w:val="17"/>
        </w:rPr>
        <w:instrText>stilistisches Zeichen</w:instrText>
      </w:r>
      <w:r>
        <w:instrText xml:space="preserve">" </w:instrText>
      </w:r>
      <w:r w:rsidR="005D7996">
        <w:rPr>
          <w:szCs w:val="17"/>
        </w:rPr>
        <w:fldChar w:fldCharType="end"/>
      </w:r>
      <w:r w:rsidRPr="00156980">
        <w:rPr>
          <w:szCs w:val="17"/>
        </w:rPr>
        <w:t>, also als Anwender- oder Wahrnehmerstil.</w:t>
      </w:r>
    </w:p>
  </w:footnote>
  <w:footnote w:id="5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beabsichtigter Anwenderstil</w:t>
      </w:r>
      <w:r w:rsidR="005D7996">
        <w:rPr>
          <w:szCs w:val="17"/>
        </w:rPr>
        <w:fldChar w:fldCharType="begin"/>
      </w:r>
      <w:r>
        <w:instrText xml:space="preserve"> XE "Anwenderstil:beabsichtigter" </w:instrText>
      </w:r>
      <w:r w:rsidR="005D7996">
        <w:rPr>
          <w:szCs w:val="17"/>
        </w:rPr>
        <w:fldChar w:fldCharType="end"/>
      </w:r>
      <w:r w:rsidRPr="00156980">
        <w:rPr>
          <w:szCs w:val="17"/>
        </w:rPr>
        <w:t xml:space="preserve"> bildet den Inhalt eines Senderzeichens</w:t>
      </w:r>
      <w:r w:rsidR="005D7996">
        <w:rPr>
          <w:szCs w:val="17"/>
        </w:rPr>
        <w:fldChar w:fldCharType="begin"/>
      </w:r>
      <w:r>
        <w:instrText xml:space="preserve"> XE "Sender</w:instrText>
      </w:r>
      <w:r w:rsidRPr="0078449A">
        <w:instrText>zeichen</w:instrText>
      </w:r>
      <w:r>
        <w:instrText xml:space="preserve">" </w:instrText>
      </w:r>
      <w:r w:rsidR="005D7996">
        <w:rPr>
          <w:szCs w:val="17"/>
        </w:rPr>
        <w:fldChar w:fldCharType="end"/>
      </w:r>
      <w:r w:rsidRPr="00156980">
        <w:rPr>
          <w:szCs w:val="17"/>
        </w:rPr>
        <w:t xml:space="preserve"> (vgl. Fußnote </w:t>
      </w:r>
      <w:fldSimple w:instr=" NOTEREF _Ref267767834 \h  \* MERGEFORMAT ">
        <w:r w:rsidR="001231D3" w:rsidRPr="001231D3">
          <w:rPr>
            <w:szCs w:val="17"/>
          </w:rPr>
          <w:t>538</w:t>
        </w:r>
      </w:fldSimple>
      <w:r w:rsidRPr="00156980">
        <w:rPr>
          <w:szCs w:val="17"/>
        </w:rPr>
        <w:t>) und jeder Anwenderstil den Inhalt eines stilistischen Zeichens</w:t>
      </w:r>
      <w:r w:rsidR="005D7996">
        <w:rPr>
          <w:szCs w:val="17"/>
        </w:rPr>
        <w:fldChar w:fldCharType="begin"/>
      </w:r>
      <w:r>
        <w:instrText xml:space="preserve"> XE "</w:instrText>
      </w:r>
      <w:r w:rsidRPr="005261FC">
        <w:rPr>
          <w:szCs w:val="17"/>
        </w:rPr>
        <w:instrText>stilistisches Zeichen</w:instrText>
      </w:r>
      <w:r>
        <w:instrText xml:space="preserve">" </w:instrText>
      </w:r>
      <w:r w:rsidR="005D7996">
        <w:rPr>
          <w:szCs w:val="17"/>
        </w:rPr>
        <w:fldChar w:fldCharType="end"/>
      </w:r>
      <w:r w:rsidRPr="00156980">
        <w:rPr>
          <w:szCs w:val="17"/>
        </w:rPr>
        <w:t xml:space="preserve"> (vgl. </w:t>
      </w:r>
      <w:fldSimple w:instr=" REF _Ref273517132 \r \h  \* MERGEFORMAT ">
        <w:r w:rsidR="001231D3" w:rsidRPr="001231D3">
          <w:rPr>
            <w:szCs w:val="17"/>
          </w:rPr>
          <w:t>2.16</w:t>
        </w:r>
      </w:fldSimple>
      <w:r w:rsidRPr="00156980">
        <w:rPr>
          <w:szCs w:val="17"/>
        </w:rPr>
        <w:t>). Die Di</w:t>
      </w:r>
      <w:r w:rsidRPr="00156980">
        <w:rPr>
          <w:szCs w:val="17"/>
        </w:rPr>
        <w:t>s</w:t>
      </w:r>
      <w:r w:rsidRPr="00156980">
        <w:rPr>
          <w:szCs w:val="17"/>
        </w:rPr>
        <w:t>krepanz ergibt sich daraus, dass Senderzeichen definitionsgemäß beabsichtigt sind, stili</w:t>
      </w:r>
      <w:r w:rsidRPr="00156980">
        <w:rPr>
          <w:szCs w:val="17"/>
        </w:rPr>
        <w:t>s</w:t>
      </w:r>
      <w:r w:rsidRPr="00156980">
        <w:rPr>
          <w:szCs w:val="17"/>
        </w:rPr>
        <w:t xml:space="preserve">tische Zeichen aber nicht beabsichtigt sein müssen (vgl. Fußnote </w:t>
      </w:r>
      <w:fldSimple w:instr=" NOTEREF _Ref273641993 \h  \* MERGEFORMAT ">
        <w:r w:rsidR="001231D3" w:rsidRPr="001231D3">
          <w:rPr>
            <w:szCs w:val="17"/>
          </w:rPr>
          <w:t>146</w:t>
        </w:r>
      </w:fldSimple>
      <w:r w:rsidRPr="00156980">
        <w:rPr>
          <w:szCs w:val="17"/>
        </w:rPr>
        <w:t>).</w:t>
      </w:r>
    </w:p>
  </w:footnote>
  <w:footnote w:id="5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Wahrnehmerstil bildet den Inhalt eines Empfängerzeichens</w:t>
      </w:r>
      <w:r w:rsidR="005D7996">
        <w:rPr>
          <w:szCs w:val="17"/>
        </w:rPr>
        <w:fldChar w:fldCharType="begin"/>
      </w:r>
      <w:r>
        <w:instrText xml:space="preserve"> XE "Empfänger</w:instrText>
      </w:r>
      <w:r w:rsidRPr="0078449A">
        <w:instrText>zeichen</w:instrText>
      </w:r>
      <w:r>
        <w:instrText xml:space="preserve">" </w:instrText>
      </w:r>
      <w:r w:rsidR="005D7996">
        <w:rPr>
          <w:szCs w:val="17"/>
        </w:rPr>
        <w:fldChar w:fldCharType="end"/>
      </w:r>
      <w:r w:rsidRPr="00156980">
        <w:rPr>
          <w:szCs w:val="17"/>
        </w:rPr>
        <w:t xml:space="preserve"> (vgl. Fußnote </w:t>
      </w:r>
      <w:fldSimple w:instr=" NOTEREF _Ref267767834 \h  \* MERGEFORMAT ">
        <w:r w:rsidR="001231D3" w:rsidRPr="001231D3">
          <w:rPr>
            <w:szCs w:val="17"/>
          </w:rPr>
          <w:t>538</w:t>
        </w:r>
      </w:fldSimple>
      <w:r w:rsidRPr="00156980">
        <w:rPr>
          <w:szCs w:val="17"/>
        </w:rPr>
        <w:t>), nä</w:t>
      </w:r>
      <w:r w:rsidRPr="00156980">
        <w:rPr>
          <w:szCs w:val="17"/>
        </w:rPr>
        <w:t>m</w:t>
      </w:r>
      <w:r w:rsidRPr="00156980">
        <w:rPr>
          <w:szCs w:val="17"/>
        </w:rPr>
        <w:t>lich eines stilistischen Zeichens</w:t>
      </w:r>
      <w:r w:rsidR="005D7996">
        <w:rPr>
          <w:szCs w:val="17"/>
        </w:rPr>
        <w:fldChar w:fldCharType="begin"/>
      </w:r>
      <w:r>
        <w:instrText xml:space="preserve"> XE "</w:instrText>
      </w:r>
      <w:r w:rsidRPr="005261FC">
        <w:rPr>
          <w:szCs w:val="17"/>
        </w:rPr>
        <w:instrText>stilistisches Zeichen</w:instrText>
      </w:r>
      <w:r>
        <w:instrText xml:space="preserve">" </w:instrText>
      </w:r>
      <w:r w:rsidR="005D7996">
        <w:rPr>
          <w:szCs w:val="17"/>
        </w:rPr>
        <w:fldChar w:fldCharType="end"/>
      </w:r>
      <w:r w:rsidRPr="00156980">
        <w:rPr>
          <w:szCs w:val="17"/>
        </w:rPr>
        <w:t xml:space="preserve"> (vgl. </w:t>
      </w:r>
      <w:fldSimple w:instr=" REF _Ref273517132 \r \h  \* MERGEFORMAT ">
        <w:r w:rsidR="001231D3" w:rsidRPr="001231D3">
          <w:rPr>
            <w:szCs w:val="17"/>
          </w:rPr>
          <w:t>2.16</w:t>
        </w:r>
      </w:fldSimple>
      <w:r w:rsidRPr="00156980">
        <w:rPr>
          <w:szCs w:val="17"/>
        </w:rPr>
        <w:t>).</w:t>
      </w:r>
    </w:p>
  </w:footnote>
  <w:footnote w:id="5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Unter „Grundlagenwissenschaft“ wird hier eine Wissenschaft verstanden, welche die Grundlage und Verbindung mehrerer Einzelwissenschaften bereitstellt. Ähnlich wie die Physik für alle Wissenschaften und insbesondere die Naturwissenschaften, so bildet die Semiotik eine Grundlagenwissenschaft der Geistes- und Sozialwissenschaften. Einzelwi</w:t>
      </w:r>
      <w:r>
        <w:rPr>
          <w:szCs w:val="17"/>
        </w:rPr>
        <w:t>s</w:t>
      </w:r>
      <w:r>
        <w:rPr>
          <w:szCs w:val="17"/>
        </w:rPr>
        <w:t xml:space="preserve">senschaften werden unter dem Gesichtspunkt ihrer institutionellen Verankerung auch als „Disziplinen“ oder „Fächer“ bezeichnet; die Semiotik ist daher interdisziplinär. </w:t>
      </w:r>
      <w:r w:rsidRPr="00156980">
        <w:rPr>
          <w:szCs w:val="17"/>
        </w:rPr>
        <w:t>Zur S</w:t>
      </w:r>
      <w:r w:rsidRPr="00156980">
        <w:rPr>
          <w:szCs w:val="17"/>
        </w:rPr>
        <w:t>e</w:t>
      </w:r>
      <w:r w:rsidRPr="00156980">
        <w:rPr>
          <w:szCs w:val="17"/>
        </w:rPr>
        <w:t>miotik als Grundlagenwissenschaft siehe Posner 1997a, zu ihrer Relation zu den Einze</w:t>
      </w:r>
      <w:r w:rsidRPr="00156980">
        <w:rPr>
          <w:szCs w:val="17"/>
        </w:rPr>
        <w:t>l</w:t>
      </w:r>
      <w:r w:rsidRPr="00156980">
        <w:rPr>
          <w:szCs w:val="17"/>
        </w:rPr>
        <w:t>wissenschaften Posner 2003b.</w:t>
      </w:r>
    </w:p>
  </w:footnote>
  <w:footnote w:id="5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 Entwicklung ist noch lange nicht abgeschlossen; vgl. zum Stand der semiotischen Untersuchung einzelner Gegenstandsbereiche die Überblicksartikel in Posner 1997–2004, Bd. 3, Abschnitt XIV. „Semiotik und Einzelwissenschaften“ (Artikel 132 bis 158).</w:t>
      </w:r>
    </w:p>
  </w:footnote>
  <w:footnote w:id="5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 dafür sei die von Guerino Mazzola entwickelte „mathematische Musikthe</w:t>
      </w:r>
      <w:r w:rsidRPr="00156980">
        <w:rPr>
          <w:szCs w:val="17"/>
        </w:rPr>
        <w:t>o</w:t>
      </w:r>
      <w:r w:rsidRPr="00156980">
        <w:rPr>
          <w:szCs w:val="17"/>
        </w:rPr>
        <w:t>rie“ genannt (Mazzola 1993 und 2002, Mazzola u.a. 1989), die zu neuen Untersuchung</w:t>
      </w:r>
      <w:r w:rsidRPr="00156980">
        <w:rPr>
          <w:szCs w:val="17"/>
        </w:rPr>
        <w:t>s</w:t>
      </w:r>
      <w:r w:rsidRPr="00156980">
        <w:rPr>
          <w:szCs w:val="17"/>
        </w:rPr>
        <w:t>feldern geführt hat (beispielsweise der Untersuchung von Modulationen als mathemat</w:t>
      </w:r>
      <w:r w:rsidRPr="00156980">
        <w:rPr>
          <w:szCs w:val="17"/>
        </w:rPr>
        <w:t>i</w:t>
      </w:r>
      <w:r w:rsidRPr="00156980">
        <w:rPr>
          <w:szCs w:val="17"/>
        </w:rPr>
        <w:t>sche Abbildungen; vgl. Mazzola 1985 und Muzzulini 1995) Zur semiotischen Orienti</w:t>
      </w:r>
      <w:r w:rsidRPr="00156980">
        <w:rPr>
          <w:szCs w:val="17"/>
        </w:rPr>
        <w:t>e</w:t>
      </w:r>
      <w:r w:rsidRPr="00156980">
        <w:rPr>
          <w:szCs w:val="17"/>
        </w:rPr>
        <w:t>rung der mathematischen Musiktheorie vgl. Noll 1996 und 2001 sowie Guerino 2003.</w:t>
      </w:r>
    </w:p>
  </w:footnote>
  <w:footnote w:id="5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Zur semiotischen Rekonstruktion der Einzelwissenschaften vgl. Posner 2003c.</w:t>
      </w:r>
    </w:p>
  </w:footnote>
  <w:footnote w:id="5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Selbst das ambitionierte, 146 Artikel auf 2500 Seiten umfassende Handbuch „Rhetorik</w:t>
      </w:r>
      <w:r w:rsidR="005D7996">
        <w:rPr>
          <w:szCs w:val="17"/>
        </w:rPr>
        <w:fldChar w:fldCharType="begin"/>
      </w:r>
      <w:r>
        <w:instrText xml:space="preserve"> XE "</w:instrText>
      </w:r>
      <w:r w:rsidRPr="00DF5667">
        <w:rPr>
          <w:rFonts w:eastAsia="Times New Roman" w:cs="Times New Roman"/>
        </w:rPr>
        <w:instrText>Rhetorik</w:instrText>
      </w:r>
      <w:r>
        <w:instrText xml:space="preserve">" </w:instrText>
      </w:r>
      <w:r w:rsidR="005D7996">
        <w:rPr>
          <w:szCs w:val="17"/>
        </w:rPr>
        <w:fldChar w:fldCharType="end"/>
      </w:r>
      <w:r w:rsidRPr="00156980">
        <w:rPr>
          <w:szCs w:val="17"/>
        </w:rPr>
        <w:t xml:space="preserve"> und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(Fix u.a. 2008–2009) überwindet dieses Manko nicht und schenkt der inte</w:t>
      </w:r>
      <w:r w:rsidRPr="00156980">
        <w:rPr>
          <w:szCs w:val="17"/>
        </w:rPr>
        <w:t>r</w:t>
      </w:r>
      <w:r w:rsidRPr="00156980">
        <w:rPr>
          <w:szCs w:val="17"/>
        </w:rPr>
        <w:t>disziplinären Natur des Phänomens wenig Aufmerksamkeit. Wo dies doch geschieht, werden die nichtsprachlichen Stile mehr oder minder als Ableitung von sprachlichem Stil behandelt. So beginnt der Artikel „Rhetorik und Stilistik in der Musikwissenschaft</w:t>
      </w:r>
      <w:r w:rsidR="005D7996">
        <w:rPr>
          <w:szCs w:val="17"/>
        </w:rPr>
        <w:fldChar w:fldCharType="begin"/>
      </w:r>
      <w:r>
        <w:instrText xml:space="preserve"> XE "</w:instrText>
      </w:r>
      <w:r w:rsidRPr="00475C05">
        <w:instrText>Musikwissenschaft</w:instrText>
      </w:r>
      <w:r>
        <w:instrText xml:space="preserve">" </w:instrText>
      </w:r>
      <w:r w:rsidR="005D7996">
        <w:rPr>
          <w:szCs w:val="17"/>
        </w:rPr>
        <w:fldChar w:fldCharType="end"/>
      </w:r>
      <w:r w:rsidRPr="00156980">
        <w:rPr>
          <w:szCs w:val="17"/>
        </w:rPr>
        <w:t>“ mit dem Satz: „Da man der Musik, und zwar auch jener ohne Text, seit jeher eine ‚Mitte</w:t>
      </w:r>
      <w:r w:rsidRPr="00156980">
        <w:rPr>
          <w:szCs w:val="17"/>
        </w:rPr>
        <w:t>i</w:t>
      </w:r>
      <w:r w:rsidRPr="00156980">
        <w:rPr>
          <w:szCs w:val="17"/>
        </w:rPr>
        <w:t>lungsfunktion‘ beimaß, galt sie bereits in der Antike als sprachverwandte Kunst.“ (Kr</w:t>
      </w:r>
      <w:r w:rsidRPr="00156980">
        <w:rPr>
          <w:szCs w:val="17"/>
        </w:rPr>
        <w:t>o</w:t>
      </w:r>
      <w:r w:rsidRPr="00156980">
        <w:rPr>
          <w:szCs w:val="17"/>
        </w:rPr>
        <w:t>nes 2009: 1933) Dies ist historisch richtig, wäre aber heute durch die Bezugnahme auf die Semiotik aufzulösen, da die Sprache für Jahrtausende als Paradigma</w:t>
      </w:r>
      <w:r w:rsidR="005D7996">
        <w:rPr>
          <w:szCs w:val="17"/>
        </w:rPr>
        <w:fldChar w:fldCharType="begin"/>
      </w:r>
      <w:r>
        <w:instrText xml:space="preserve"> XE "</w:instrText>
      </w:r>
      <w:r w:rsidRPr="006C2C00">
        <w:instrText>Paradigma</w:instrText>
      </w:r>
      <w:r>
        <w:instrText xml:space="preserve">" </w:instrText>
      </w:r>
      <w:r w:rsidR="005D7996">
        <w:rPr>
          <w:szCs w:val="17"/>
        </w:rPr>
        <w:fldChar w:fldCharType="end"/>
      </w:r>
      <w:r w:rsidRPr="00156980">
        <w:rPr>
          <w:szCs w:val="17"/>
        </w:rPr>
        <w:t xml:space="preserve"> für alle Zeichensy</w:t>
      </w:r>
      <w:r w:rsidRPr="00156980">
        <w:rPr>
          <w:szCs w:val="17"/>
        </w:rPr>
        <w:t>s</w:t>
      </w:r>
      <w:r w:rsidRPr="00156980">
        <w:rPr>
          <w:szCs w:val="17"/>
        </w:rPr>
        <w:t>teme</w:t>
      </w:r>
      <w:r w:rsidR="005D7996">
        <w:rPr>
          <w:szCs w:val="17"/>
        </w:rPr>
        <w:fldChar w:fldCharType="begin"/>
      </w:r>
      <w:r>
        <w:instrText xml:space="preserve"> XE "</w:instrText>
      </w:r>
      <w:r w:rsidRPr="004B350B">
        <w:instrText>Zeichensystem</w:instrText>
      </w:r>
      <w:r>
        <w:instrText xml:space="preserve">" </w:instrText>
      </w:r>
      <w:r w:rsidR="005D7996">
        <w:rPr>
          <w:szCs w:val="17"/>
        </w:rPr>
        <w:fldChar w:fldCharType="end"/>
      </w:r>
      <w:r w:rsidRPr="00156980">
        <w:rPr>
          <w:szCs w:val="17"/>
        </w:rPr>
        <w:t xml:space="preserve"> verstanden wurde, was das Handbuch unkritisch übernimmt. Zwar gibt es einen A</w:t>
      </w:r>
      <w:r w:rsidRPr="00156980">
        <w:rPr>
          <w:szCs w:val="17"/>
        </w:rPr>
        <w:t>r</w:t>
      </w:r>
      <w:r w:rsidRPr="00156980">
        <w:rPr>
          <w:szCs w:val="17"/>
        </w:rPr>
        <w:t>tikel zu „Stil als Zeichen“ (Nöth 2009), es wird jedoch nicht erkannt, dass dies keine is</w:t>
      </w:r>
      <w:r w:rsidRPr="00156980">
        <w:rPr>
          <w:szCs w:val="17"/>
        </w:rPr>
        <w:t>o</w:t>
      </w:r>
      <w:r w:rsidRPr="00156980">
        <w:rPr>
          <w:szCs w:val="17"/>
        </w:rPr>
        <w:t>liert abzuhandelnde Perspektive ist, sondern bei der Konzeption des Handbuchs hätte beachtet werden müssen.</w:t>
      </w:r>
    </w:p>
    <w:p w:rsidR="00CC3558" w:rsidRPr="00156980" w:rsidRDefault="00CC3558" w:rsidP="00F461D9">
      <w:pPr>
        <w:pStyle w:val="Funotentext"/>
        <w:rPr>
          <w:szCs w:val="17"/>
        </w:rPr>
      </w:pPr>
      <w:r w:rsidRPr="00156980">
        <w:rPr>
          <w:szCs w:val="17"/>
        </w:rPr>
        <w:tab/>
        <w:t>Dieser Sprachzentrismus</w:t>
      </w:r>
      <w:r w:rsidR="005D7996">
        <w:rPr>
          <w:szCs w:val="17"/>
        </w:rPr>
        <w:fldChar w:fldCharType="begin"/>
      </w:r>
      <w:r>
        <w:instrText xml:space="preserve"> XE "</w:instrText>
      </w:r>
      <w:r w:rsidRPr="00F059BB">
        <w:rPr>
          <w:szCs w:val="17"/>
        </w:rPr>
        <w:instrText>Sprachzentrismus</w:instrText>
      </w:r>
      <w:r>
        <w:instrText xml:space="preserve">" </w:instrText>
      </w:r>
      <w:r w:rsidR="005D7996">
        <w:rPr>
          <w:szCs w:val="17"/>
        </w:rPr>
        <w:fldChar w:fldCharType="end"/>
      </w:r>
      <w:r w:rsidRPr="00156980">
        <w:rPr>
          <w:szCs w:val="17"/>
        </w:rPr>
        <w:t xml:space="preserve"> kann nicht mit dem Erscheinen in der Reihe „Handbücher zur Sprach- und Kommunikationswissenschaft“ gerechtfertigt werden, handelt es sich doch bei Kommunikation</w:t>
      </w:r>
      <w:r w:rsidR="005D7996">
        <w:rPr>
          <w:szCs w:val="17"/>
        </w:rPr>
        <w:fldChar w:fldCharType="begin"/>
      </w:r>
      <w:r>
        <w:instrText xml:space="preserve"> XE "</w:instrText>
      </w:r>
      <w:r w:rsidRPr="00716BD7">
        <w:rPr>
          <w:rFonts w:eastAsia="Times New Roman" w:cs="Times New Roman"/>
        </w:rPr>
        <w:instrText>Kommunikation</w:instrText>
      </w:r>
      <w:r>
        <w:instrText xml:space="preserve">" </w:instrText>
      </w:r>
      <w:r w:rsidR="005D7996">
        <w:rPr>
          <w:szCs w:val="17"/>
        </w:rPr>
        <w:fldChar w:fldCharType="end"/>
      </w:r>
      <w:r w:rsidRPr="00156980">
        <w:rPr>
          <w:szCs w:val="17"/>
        </w:rPr>
        <w:t xml:space="preserve"> um ein allgemein semiotisches Phänomen (auch mit Gesten, Musik, Verkehrszeichen und anderen Zeichensystemen wird kommuniziert); tatsächlich wurde in derselben Reihe nur wenige Jahre zuvor ein vierbändiges Handbuch zur Semiotik abg</w:t>
      </w:r>
      <w:r w:rsidRPr="00156980">
        <w:rPr>
          <w:szCs w:val="17"/>
        </w:rPr>
        <w:t>e</w:t>
      </w:r>
      <w:r w:rsidRPr="00156980">
        <w:rPr>
          <w:szCs w:val="17"/>
        </w:rPr>
        <w:t>schlossen, das schon heute als Standardwerk gelten kann (Posner u.a. 1997–2004).</w:t>
      </w:r>
    </w:p>
    <w:p w:rsidR="00CC3558" w:rsidRPr="00156980" w:rsidRDefault="00CC3558" w:rsidP="00F461D9">
      <w:pPr>
        <w:pStyle w:val="Funotentext"/>
        <w:rPr>
          <w:szCs w:val="17"/>
        </w:rPr>
      </w:pPr>
      <w:r w:rsidRPr="00156980">
        <w:rPr>
          <w:szCs w:val="17"/>
        </w:rPr>
        <w:tab/>
        <w:t>Selbst bei einer bewussten Konzentration auf sprachlichen Stil hätte die Frage nach dem disziplinenübergreifenden Auftreten des Begriffs ‚Stil‘ und des Phänomens, auf das damit referiert wird, gestellt werden müssen, bevor man sich auf gesicherter Grundlage der b</w:t>
      </w:r>
      <w:r w:rsidRPr="00156980">
        <w:rPr>
          <w:szCs w:val="17"/>
        </w:rPr>
        <w:t>e</w:t>
      </w:r>
      <w:r w:rsidRPr="00156980">
        <w:rPr>
          <w:szCs w:val="17"/>
        </w:rPr>
        <w:t>reichsspezifischen Beschreibung hätte widmen können. Dass dieser unreflektierte enge Blickwinkel bei einem Werk dieser Größenordnung heute noch möglich ist, zeigt, wie die Aufrechterhaltung und sogar Verstärkung der Disziplinentrennung, die die letzten Jah</w:t>
      </w:r>
      <w:r w:rsidRPr="00156980">
        <w:rPr>
          <w:szCs w:val="17"/>
        </w:rPr>
        <w:t>r</w:t>
      </w:r>
      <w:r w:rsidRPr="00156980">
        <w:rPr>
          <w:szCs w:val="17"/>
        </w:rPr>
        <w:t>zehnte bestimmte, zu einer Tragödie der Wissenschaft wird.</w:t>
      </w:r>
    </w:p>
  </w:footnote>
  <w:footnote w:id="5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Wenn bereichsspezifische Stildefinitionen beibehalten werden, kann die Übertragung</w:t>
      </w:r>
      <w:r w:rsidRPr="00156980">
        <w:rPr>
          <w:szCs w:val="17"/>
        </w:rPr>
        <w:t>s</w:t>
      </w:r>
      <w:r w:rsidRPr="00156980">
        <w:rPr>
          <w:szCs w:val="17"/>
        </w:rPr>
        <w:t>leistung nicht erklärt werden, die wir vollziehen, wenn wir beispielsweise zum ersten Mal über den „Flugstil</w:t>
      </w:r>
      <w:r w:rsidR="005D7996">
        <w:rPr>
          <w:szCs w:val="17"/>
        </w:rPr>
        <w:fldChar w:fldCharType="begin"/>
      </w:r>
      <w:r>
        <w:instrText xml:space="preserve"> XE "</w:instrText>
      </w:r>
      <w:r w:rsidRPr="00245009">
        <w:instrText>Flugstil</w:instrText>
      </w:r>
      <w:r>
        <w:instrText xml:space="preserve">" </w:instrText>
      </w:r>
      <w:r w:rsidR="005D7996">
        <w:rPr>
          <w:szCs w:val="17"/>
        </w:rPr>
        <w:fldChar w:fldCharType="end"/>
      </w:r>
      <w:r w:rsidRPr="00156980">
        <w:rPr>
          <w:szCs w:val="17"/>
        </w:rPr>
        <w:t>“ eines Piloten lesen und diese Verwendungsweise von „-stil“, eventuell nach kurzem Überlegen, verstehen.</w:t>
      </w:r>
    </w:p>
  </w:footnote>
  <w:footnote w:id="5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2580258 \r \h  \* MERGEFORMAT ">
        <w:r w:rsidR="001231D3" w:rsidRPr="001231D3">
          <w:rPr>
            <w:szCs w:val="17"/>
          </w:rPr>
          <w:t>8.3.2</w:t>
        </w:r>
      </w:fldSimple>
      <w:r w:rsidRPr="00156980">
        <w:rPr>
          <w:szCs w:val="17"/>
        </w:rPr>
        <w:t>.</w:t>
      </w:r>
    </w:p>
  </w:footnote>
  <w:footnote w:id="5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0076032 \r \h  \* MERGEFORMAT ">
        <w:r w:rsidR="001231D3" w:rsidRPr="001231D3">
          <w:rPr>
            <w:szCs w:val="17"/>
          </w:rPr>
          <w:t>8.3.4</w:t>
        </w:r>
      </w:fldSimple>
      <w:r w:rsidRPr="00156980">
        <w:rPr>
          <w:szCs w:val="17"/>
        </w:rPr>
        <w:t>.</w:t>
      </w:r>
    </w:p>
  </w:footnote>
  <w:footnote w:id="5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238224 \r \h  \* MERGEFORMAT ">
        <w:r w:rsidR="001231D3" w:rsidRPr="001231D3">
          <w:rPr>
            <w:szCs w:val="17"/>
          </w:rPr>
          <w:t>8.3.6</w:t>
        </w:r>
      </w:fldSimple>
      <w:r w:rsidRPr="00156980">
        <w:rPr>
          <w:szCs w:val="17"/>
        </w:rPr>
        <w:t>.</w:t>
      </w:r>
    </w:p>
  </w:footnote>
  <w:footnote w:id="5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4885369 \r \h  \* MERGEFORMAT ">
        <w:r w:rsidR="001231D3" w:rsidRPr="001231D3">
          <w:rPr>
            <w:szCs w:val="17"/>
          </w:rPr>
          <w:t>8.4.2</w:t>
        </w:r>
      </w:fldSimple>
      <w:r w:rsidRPr="00156980">
        <w:rPr>
          <w:szCs w:val="17"/>
        </w:rPr>
        <w:t>.</w:t>
      </w:r>
    </w:p>
  </w:footnote>
  <w:footnote w:id="5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Sofern auf der hier vorgeschlagenen Theorie aufgebaut wird; falls eine andere verwendet wird, müssen deren Grundlagen beachtet werden.</w:t>
      </w:r>
    </w:p>
  </w:footnote>
  <w:footnote w:id="5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Halawa 2009; Aspekte einer semiotischen Fundierung werden in Halawa 2008 disk</w:t>
      </w:r>
      <w:r w:rsidRPr="00156980">
        <w:rPr>
          <w:szCs w:val="17"/>
        </w:rPr>
        <w:t>u</w:t>
      </w:r>
      <w:r w:rsidRPr="00156980">
        <w:rPr>
          <w:szCs w:val="17"/>
        </w:rPr>
        <w:t>tiert.</w:t>
      </w:r>
    </w:p>
  </w:footnote>
  <w:footnote w:id="5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Unter „Zeichen“ werden von einigen Bildtheoretikern wie Dieter Mersch, Gernot Böhme oder Hans Belting „kodierte Zeichen“ verstanden; es wird übersehen, dass es auch viele Arten von nicht-kodierten Zeichen gibt. Wenn dann in einem vermeintlichen Gegenen</w:t>
      </w:r>
      <w:r w:rsidRPr="00156980">
        <w:rPr>
          <w:szCs w:val="17"/>
        </w:rPr>
        <w:t>t</w:t>
      </w:r>
      <w:r w:rsidRPr="00156980">
        <w:rPr>
          <w:szCs w:val="17"/>
        </w:rPr>
        <w:t>wurf zur Bildsemiotik</w:t>
      </w:r>
      <w:r w:rsidR="005D7996">
        <w:rPr>
          <w:szCs w:val="17"/>
        </w:rPr>
        <w:fldChar w:fldCharType="begin"/>
      </w:r>
      <w:r>
        <w:instrText xml:space="preserve"> XE "</w:instrText>
      </w:r>
      <w:r w:rsidRPr="00DE53D8">
        <w:rPr>
          <w:szCs w:val="17"/>
        </w:rPr>
        <w:instrText>Bildsemiotik</w:instrText>
      </w:r>
      <w:r>
        <w:instrText xml:space="preserve">" </w:instrText>
      </w:r>
      <w:r w:rsidR="005D7996">
        <w:rPr>
          <w:szCs w:val="17"/>
        </w:rPr>
        <w:fldChar w:fldCharType="end"/>
      </w:r>
      <w:r w:rsidRPr="00156980">
        <w:rPr>
          <w:szCs w:val="17"/>
        </w:rPr>
        <w:t xml:space="preserve"> von der „Materialität“ und „Präsenz“ eines Bildes, der „Anscha</w:t>
      </w:r>
      <w:r w:rsidRPr="00156980">
        <w:rPr>
          <w:szCs w:val="17"/>
        </w:rPr>
        <w:t>u</w:t>
      </w:r>
      <w:r w:rsidRPr="00156980">
        <w:rPr>
          <w:szCs w:val="17"/>
        </w:rPr>
        <w:t>ung“ als Rezeptionsmodus oder der „Ereignishaftigkeit“ des Rezeptionsvorgangs gespr</w:t>
      </w:r>
      <w:r w:rsidRPr="00156980">
        <w:rPr>
          <w:szCs w:val="17"/>
        </w:rPr>
        <w:t>o</w:t>
      </w:r>
      <w:r w:rsidRPr="00156980">
        <w:rPr>
          <w:szCs w:val="17"/>
        </w:rPr>
        <w:t>chen wird, dann werden damit ebenfalls Zeicheneigenschaften und Zeichenprozesse b</w:t>
      </w:r>
      <w:r w:rsidRPr="00156980">
        <w:rPr>
          <w:szCs w:val="17"/>
        </w:rPr>
        <w:t>e</w:t>
      </w:r>
      <w:r w:rsidRPr="00156980">
        <w:rPr>
          <w:szCs w:val="17"/>
        </w:rPr>
        <w:t>nannt, etwa wenn die Pastosität des Farbauftrags ein Gefühl des Unfertigen, Großzügigen und Ungeschlachten im Betrachter erzeugt, wenn das helle Weiß eines fre</w:t>
      </w:r>
      <w:r w:rsidRPr="00156980">
        <w:rPr>
          <w:szCs w:val="17"/>
        </w:rPr>
        <w:t>i</w:t>
      </w:r>
      <w:r w:rsidRPr="00156980">
        <w:rPr>
          <w:szCs w:val="17"/>
        </w:rPr>
        <w:t>gelassenen Leinwandstücks auf einen Betrachter abweisend und steril wirkt oder wenn das Bild abseits aller konventionalisierten Zeicheninhalte (= Bedeutungen, Signifikate) mit der momentanen Stimmung des Rezipienten und dem Kontext des Rezeptionsvo</w:t>
      </w:r>
      <w:r w:rsidRPr="00156980">
        <w:rPr>
          <w:szCs w:val="17"/>
        </w:rPr>
        <w:t>r</w:t>
      </w:r>
      <w:r w:rsidRPr="00156980">
        <w:rPr>
          <w:szCs w:val="17"/>
        </w:rPr>
        <w:t>gangs interagiert. Alle diese Prozesse lassen sich mit der Semiotik ausgehend von Charles S. Peirce</w:t>
      </w:r>
      <w:r w:rsidR="005D7996">
        <w:rPr>
          <w:szCs w:val="17"/>
        </w:rPr>
        <w:fldChar w:fldCharType="begin"/>
      </w:r>
      <w:r>
        <w:instrText xml:space="preserve"> XE "</w:instrText>
      </w:r>
      <w:r w:rsidRPr="00426FA1">
        <w:instrText>Peirce, Charles S.</w:instrText>
      </w:r>
      <w:r>
        <w:instrText xml:space="preserve">" </w:instrText>
      </w:r>
      <w:r w:rsidR="005D7996">
        <w:rPr>
          <w:szCs w:val="17"/>
        </w:rPr>
        <w:fldChar w:fldCharType="end"/>
      </w:r>
      <w:r w:rsidRPr="00156980">
        <w:rPr>
          <w:szCs w:val="17"/>
        </w:rPr>
        <w:t xml:space="preserve"> beschreiben; vgl. hierzu Halawa 2008 und Halawa 2009: 80ff (Kap. 3) sowie Siefkes 2010b. Eine Übersicht über die wichtigsten Richtungen der Bildsemiotik gibt Sonesson 1993.</w:t>
      </w:r>
    </w:p>
  </w:footnote>
  <w:footnote w:id="5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Nöth u.a. 2009: 9.</w:t>
      </w:r>
    </w:p>
  </w:footnote>
  <w:footnote w:id="5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2010</w:t>
      </w:r>
      <w:r>
        <w:rPr>
          <w:szCs w:val="17"/>
        </w:rPr>
        <w:t xml:space="preserve"> und Schlaberg 2011</w:t>
      </w:r>
      <w:r w:rsidRPr="00156980">
        <w:rPr>
          <w:szCs w:val="17"/>
        </w:rPr>
        <w:t>.</w:t>
      </w:r>
    </w:p>
  </w:footnote>
  <w:footnote w:id="5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könnten bei einem Gebäude eine auffällige Farbgebung oder eine herau</w:t>
      </w:r>
      <w:r w:rsidRPr="00156980">
        <w:rPr>
          <w:szCs w:val="17"/>
        </w:rPr>
        <w:t>s</w:t>
      </w:r>
      <w:r w:rsidRPr="00156980">
        <w:rPr>
          <w:szCs w:val="17"/>
        </w:rPr>
        <w:t>stechende Schmuckborte als weniger wichtig für den Stil erscheinen, als sie es rein ihrer Auffälligkeit nach sind; so würde man gegenüber einem Gebäude mit einer ganz anderen Farbe oder Schmuckborte sofort einen großen Unterschied erkennen, der aber stilistisch möglicherweise wenig ins Gewicht fällt.</w:t>
      </w:r>
    </w:p>
  </w:footnote>
  <w:footnote w:id="5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kann beispielsweise eine auf einem Raster basierende Fassadengliederung, die zu gan</w:t>
      </w:r>
      <w:r w:rsidRPr="00156980">
        <w:rPr>
          <w:szCs w:val="17"/>
        </w:rPr>
        <w:t>z</w:t>
      </w:r>
      <w:r w:rsidRPr="00156980">
        <w:rPr>
          <w:szCs w:val="17"/>
        </w:rPr>
        <w:t>zahligen Relationen zwischen den Proportionen aller Elementen führt (beispielsweise 2 : 1 für das Verhältnis Fensterbreite : Fensterzwischenraum), als sehr relevant für den A</w:t>
      </w:r>
      <w:r w:rsidRPr="00156980">
        <w:rPr>
          <w:szCs w:val="17"/>
        </w:rPr>
        <w:t>r</w:t>
      </w:r>
      <w:r w:rsidRPr="00156980">
        <w:rPr>
          <w:szCs w:val="17"/>
        </w:rPr>
        <w:t>chitekturstil</w:t>
      </w:r>
      <w:r w:rsidR="005D7996">
        <w:rPr>
          <w:szCs w:val="17"/>
        </w:rPr>
        <w:fldChar w:fldCharType="begin"/>
      </w:r>
      <w:r>
        <w:instrText xml:space="preserve"> XE "</w:instrText>
      </w:r>
      <w:r w:rsidRPr="00956208">
        <w:rPr>
          <w:rFonts w:eastAsia="Times New Roman" w:cs="Times New Roman"/>
        </w:rPr>
        <w:instrText>Architekturstil</w:instrText>
      </w:r>
      <w:r>
        <w:instrText xml:space="preserve">" </w:instrText>
      </w:r>
      <w:r w:rsidR="005D7996">
        <w:rPr>
          <w:szCs w:val="17"/>
        </w:rPr>
        <w:fldChar w:fldCharType="end"/>
      </w:r>
      <w:r w:rsidRPr="00156980">
        <w:rPr>
          <w:szCs w:val="17"/>
        </w:rPr>
        <w:t xml:space="preserve"> erscheinen, obwohl sie auf den ersten Blick gegenüber dem Fehlen eines so</w:t>
      </w:r>
      <w:r w:rsidRPr="00156980">
        <w:rPr>
          <w:szCs w:val="17"/>
        </w:rPr>
        <w:t>l</w:t>
      </w:r>
      <w:r w:rsidRPr="00156980">
        <w:rPr>
          <w:szCs w:val="17"/>
        </w:rPr>
        <w:t>chen Rasters bei ansonsten ähnlicher Gestaltung kaum auffällt.</w:t>
      </w:r>
    </w:p>
  </w:footnote>
  <w:footnote w:id="5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Spielt beispielsweise ein Badmintonspieler</w:t>
      </w:r>
      <w:r w:rsidR="005D7996">
        <w:rPr>
          <w:szCs w:val="17"/>
        </w:rPr>
        <w:fldChar w:fldCharType="begin"/>
      </w:r>
      <w:r>
        <w:instrText xml:space="preserve"> XE "</w:instrText>
      </w:r>
      <w:r w:rsidRPr="00F5688D">
        <w:rPr>
          <w:szCs w:val="17"/>
        </w:rPr>
        <w:instrText>Badminton</w:instrText>
      </w:r>
      <w:r>
        <w:instrText xml:space="preserve">" </w:instrText>
      </w:r>
      <w:r w:rsidR="005D7996">
        <w:rPr>
          <w:szCs w:val="17"/>
        </w:rPr>
        <w:fldChar w:fldCharType="end"/>
      </w:r>
      <w:r w:rsidRPr="00156980">
        <w:rPr>
          <w:szCs w:val="17"/>
        </w:rPr>
        <w:t xml:space="preserve"> d</w:t>
      </w:r>
      <w:r>
        <w:rPr>
          <w:szCs w:val="17"/>
        </w:rPr>
        <w:t>ie</w:t>
      </w:r>
      <w:r w:rsidRPr="00156980">
        <w:rPr>
          <w:szCs w:val="17"/>
        </w:rPr>
        <w:t xml:space="preserve"> Schlag</w:t>
      </w:r>
      <w:r>
        <w:rPr>
          <w:szCs w:val="17"/>
        </w:rPr>
        <w:t>art</w:t>
      </w:r>
      <w:r w:rsidR="005D7996">
        <w:rPr>
          <w:szCs w:val="17"/>
        </w:rPr>
        <w:fldChar w:fldCharType="begin"/>
      </w:r>
      <w:r>
        <w:instrText xml:space="preserve"> XE "</w:instrText>
      </w:r>
      <w:r w:rsidRPr="004F710A">
        <w:rPr>
          <w:szCs w:val="17"/>
        </w:rPr>
        <w:instrText>Schlagart (Tennis, Badminton)</w:instrText>
      </w:r>
      <w:r>
        <w:instrText xml:space="preserve">" </w:instrText>
      </w:r>
      <w:r w:rsidR="005D7996">
        <w:rPr>
          <w:szCs w:val="17"/>
        </w:rPr>
        <w:fldChar w:fldCharType="end"/>
      </w:r>
      <w:r w:rsidRPr="00156980">
        <w:rPr>
          <w:szCs w:val="17"/>
        </w:rPr>
        <w:t xml:space="preserve"> ‚Smash‘ generell sehr schnell und hart, ein anderer nur den ‚Smash (aus aussichtsreicher Position)‘, dann ist zwar ein U</w:t>
      </w:r>
      <w:r w:rsidRPr="00156980">
        <w:rPr>
          <w:szCs w:val="17"/>
        </w:rPr>
        <w:t>n</w:t>
      </w:r>
      <w:r w:rsidRPr="00156980">
        <w:rPr>
          <w:szCs w:val="17"/>
        </w:rPr>
        <w:t>terschied zwischen diesen Merkmalsregeln erkennbar, aber er ist nicht allzu groß: D</w:t>
      </w:r>
      <w:r>
        <w:rPr>
          <w:szCs w:val="17"/>
        </w:rPr>
        <w:t>ie</w:t>
      </w:r>
      <w:r w:rsidRPr="00156980">
        <w:rPr>
          <w:szCs w:val="17"/>
        </w:rPr>
        <w:t xml:space="preserve"> zweite kann als kräftesparende Variante de</w:t>
      </w:r>
      <w:r>
        <w:rPr>
          <w:szCs w:val="17"/>
        </w:rPr>
        <w:t>r</w:t>
      </w:r>
      <w:r w:rsidRPr="00156980">
        <w:rPr>
          <w:szCs w:val="17"/>
        </w:rPr>
        <w:t xml:space="preserve"> ersten aufgefasst werden, so dass es auch nicht weiter verwundern würde, wenn derselbe Badmintonspieler bei unterschiedlichen Matches mal die eine, mal die andere Merkmalsregel </w:t>
      </w:r>
      <w:r>
        <w:rPr>
          <w:szCs w:val="17"/>
        </w:rPr>
        <w:t>anwendet</w:t>
      </w:r>
      <w:r w:rsidRPr="00156980">
        <w:rPr>
          <w:szCs w:val="17"/>
        </w:rPr>
        <w:t>.</w:t>
      </w:r>
    </w:p>
  </w:footnote>
  <w:footnote w:id="5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Spielt ein Badmintonspieler die Schlag</w:t>
      </w:r>
      <w:r>
        <w:rPr>
          <w:szCs w:val="17"/>
        </w:rPr>
        <w:t>arten</w:t>
      </w:r>
      <w:r w:rsidR="005D7996">
        <w:rPr>
          <w:szCs w:val="17"/>
        </w:rPr>
        <w:fldChar w:fldCharType="begin"/>
      </w:r>
      <w:r>
        <w:instrText xml:space="preserve"> XE "</w:instrText>
      </w:r>
      <w:r w:rsidRPr="00CE7D37">
        <w:rPr>
          <w:rFonts w:eastAsia="Times New Roman" w:cs="Times New Roman"/>
        </w:rPr>
        <w:instrText>Schlagart (Tennis, Badminton)</w:instrText>
      </w:r>
      <w:r>
        <w:instrText xml:space="preserve">" </w:instrText>
      </w:r>
      <w:r w:rsidR="005D7996">
        <w:rPr>
          <w:szCs w:val="17"/>
        </w:rPr>
        <w:fldChar w:fldCharType="end"/>
      </w:r>
      <w:r w:rsidRPr="00156980">
        <w:rPr>
          <w:szCs w:val="17"/>
        </w:rPr>
        <w:t xml:space="preserve"> „Smash“ und „Drive“ sehr schnell und hart, ein anderer dagegen nur den „Smash“, dann werden diese beiden Stile vermutlich als rel</w:t>
      </w:r>
      <w:r w:rsidRPr="00156980">
        <w:rPr>
          <w:szCs w:val="17"/>
        </w:rPr>
        <w:t>a</w:t>
      </w:r>
      <w:r w:rsidRPr="00156980">
        <w:rPr>
          <w:szCs w:val="17"/>
        </w:rPr>
        <w:t xml:space="preserve">tiv ähnlich empfunden werden; würde der zweite dagegen nur den „Drive“ sehr schnell und hart spielen, dann wird der Unterschied deutlich größer sein, weil gerade der „Smash“ sehr schnell und hart sein sollte. Spielt ein weiterer Spieler „Smash“, „Drive“ und „Drop“ schnell und hart, dann wird dies als ein noch größerer Unterschied empfunden werden, da </w:t>
      </w:r>
      <w:r>
        <w:rPr>
          <w:szCs w:val="17"/>
        </w:rPr>
        <w:t xml:space="preserve">der </w:t>
      </w:r>
      <w:r w:rsidRPr="00156980">
        <w:rPr>
          <w:szCs w:val="17"/>
        </w:rPr>
        <w:t>„Drop“ diese Spielweise praktisch ausschließt (</w:t>
      </w:r>
      <w:r>
        <w:rPr>
          <w:szCs w:val="17"/>
        </w:rPr>
        <w:t xml:space="preserve">er </w:t>
      </w:r>
      <w:r w:rsidRPr="00156980">
        <w:rPr>
          <w:szCs w:val="17"/>
        </w:rPr>
        <w:t>muss genau und mö</w:t>
      </w:r>
      <w:r w:rsidRPr="00156980">
        <w:rPr>
          <w:szCs w:val="17"/>
        </w:rPr>
        <w:t>g</w:t>
      </w:r>
      <w:r w:rsidRPr="00156980">
        <w:rPr>
          <w:szCs w:val="17"/>
        </w:rPr>
        <w:t>lichst kurz hinters Netz gespielt werden).</w:t>
      </w:r>
    </w:p>
  </w:footnote>
  <w:footnote w:id="5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Ist beispielsweise bei einer Schriftstellerin die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bei einer anderen dagegen die ‚Wortwahl‘ ‚anspruchsvoll‘, so wird man eine Gemeinsamkeit zwischen den beiden Stilen erkennen, die allerdings deutlich schwächer ausfällt, als wenn beide denselben Schemaort ‚anspruchsvoll‘ realisieren würden. Die Ähnlichkeit fällt auch deshalb relativ groß aus, weil es sich in beiden Fällen um Schemaorte der Ausdrucksebene</w:t>
      </w:r>
      <w:r w:rsidR="005D7996">
        <w:rPr>
          <w:szCs w:val="17"/>
        </w:rPr>
        <w:fldChar w:fldCharType="begin"/>
      </w:r>
      <w:r>
        <w:instrText xml:space="preserve"> XE "</w:instrText>
      </w:r>
      <w:r w:rsidRPr="00DA0E29">
        <w:instrText>Ausdrucksebene</w:instrText>
      </w:r>
      <w:r>
        <w:instrText xml:space="preserve">" </w:instrText>
      </w:r>
      <w:r w:rsidR="005D7996">
        <w:rPr>
          <w:szCs w:val="17"/>
        </w:rPr>
        <w:fldChar w:fldCharType="end"/>
      </w:r>
      <w:r w:rsidRPr="00156980">
        <w:rPr>
          <w:szCs w:val="17"/>
        </w:rPr>
        <w:t xml:space="preserve"> handelt. Eine geringere Ähnlichkeit ergibt sich, wenn die zweite stattdessen die ‚Erzählstruktur‘ oder die ‚Ch</w:t>
      </w:r>
      <w:r w:rsidRPr="00156980">
        <w:rPr>
          <w:szCs w:val="17"/>
        </w:rPr>
        <w:t>a</w:t>
      </w:r>
      <w:r w:rsidRPr="00156980">
        <w:rPr>
          <w:szCs w:val="17"/>
        </w:rPr>
        <w:t>rakterisierung der Figuren‘ ‚anspruchsvoll‘ realisieren würde, da es sich hierbei um Sch</w:t>
      </w:r>
      <w:r w:rsidRPr="00156980">
        <w:rPr>
          <w:szCs w:val="17"/>
        </w:rPr>
        <w:t>e</w:t>
      </w:r>
      <w:r w:rsidRPr="00156980">
        <w:rPr>
          <w:szCs w:val="17"/>
        </w:rPr>
        <w:t>maorte der Inhaltsebene</w:t>
      </w:r>
      <w:r w:rsidR="005D7996">
        <w:rPr>
          <w:szCs w:val="17"/>
        </w:rPr>
        <w:fldChar w:fldCharType="begin"/>
      </w:r>
      <w:r>
        <w:instrText xml:space="preserve"> XE "</w:instrText>
      </w:r>
      <w:r w:rsidRPr="00E10D87">
        <w:rPr>
          <w:rFonts w:eastAsia="Times New Roman" w:cs="Times New Roman"/>
        </w:rPr>
        <w:instrText>Inhaltsebene</w:instrText>
      </w:r>
      <w:r>
        <w:instrText xml:space="preserve">" </w:instrText>
      </w:r>
      <w:r w:rsidR="005D7996">
        <w:rPr>
          <w:szCs w:val="17"/>
        </w:rPr>
        <w:fldChar w:fldCharType="end"/>
      </w:r>
      <w:r w:rsidRPr="00156980">
        <w:rPr>
          <w:szCs w:val="17"/>
        </w:rPr>
        <w:t xml:space="preserve"> handelt. Die Distanz von Schemaorten innerhalb des Schemas wirkt sich also auch auf die Distanz von Merkmalsregeln aus, die sie in ihren Anwe</w:t>
      </w:r>
      <w:r w:rsidRPr="00156980">
        <w:rPr>
          <w:szCs w:val="17"/>
        </w:rPr>
        <w:t>n</w:t>
      </w:r>
      <w:r w:rsidRPr="00156980">
        <w:rPr>
          <w:szCs w:val="17"/>
        </w:rPr>
        <w:t>dungsbedingungen spezifizieren.</w:t>
      </w:r>
    </w:p>
  </w:footnote>
  <w:footnote w:id="5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Stile gehören sogar zu den wichtigsten Mitteln, mit denen unterschiedliche Schemata verbunden und damit kulturelle Bezüge und Intermedialität hergestellt werden können; siehe hierzu Motte-Haber 1977, Hess-Lüttich u.a. 1990 und Hess-Lüttich u.a. 2006.</w:t>
      </w:r>
    </w:p>
  </w:footnote>
  <w:footnote w:id="5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 können beispielsweise bei einem Baustil</w:t>
      </w:r>
      <w:r w:rsidR="005D7996">
        <w:rPr>
          <w:szCs w:val="17"/>
        </w:rPr>
        <w:fldChar w:fldCharType="begin"/>
      </w:r>
      <w:r>
        <w:instrText xml:space="preserve"> XE "</w:instrText>
      </w:r>
      <w:r w:rsidRPr="0060585F">
        <w:instrText>Baustil</w:instrText>
      </w:r>
      <w:r>
        <w:instrText xml:space="preserve">" </w:instrText>
      </w:r>
      <w:r w:rsidR="005D7996">
        <w:rPr>
          <w:szCs w:val="17"/>
        </w:rPr>
        <w:fldChar w:fldCharType="end"/>
      </w:r>
      <w:r w:rsidRPr="00156980">
        <w:rPr>
          <w:szCs w:val="17"/>
        </w:rPr>
        <w:t xml:space="preserve"> die ‚Verzierung‘, bei einem Schreibstil</w:t>
      </w:r>
      <w:r w:rsidR="005D7996">
        <w:rPr>
          <w:szCs w:val="17"/>
        </w:rPr>
        <w:fldChar w:fldCharType="begin"/>
      </w:r>
      <w:r>
        <w:instrText xml:space="preserve"> XE "</w:instrText>
      </w:r>
      <w:r w:rsidRPr="008B7C1D">
        <w:instrText>Schreibstil</w:instrText>
      </w:r>
      <w:r>
        <w:instrText xml:space="preserve">" </w:instrText>
      </w:r>
      <w:r w:rsidR="005D7996">
        <w:rPr>
          <w:szCs w:val="17"/>
        </w:rPr>
        <w:fldChar w:fldCharType="end"/>
      </w:r>
      <w:r w:rsidRPr="00156980">
        <w:rPr>
          <w:szCs w:val="17"/>
        </w:rPr>
        <w:t xml:space="preserve"> der ‚Satzbau‘ und bei einem Filmstil die ‚Handlung‘ jeweils ‚kompliziert, verschlungen‘ sein. Auch wenn die verlangten Eigenschaften schemaspezifisch angepasst sind, sind sie noch ausreichend ähnlich, um die drei Merkmalsregeln insgesamt als ähnlich erscheinen zu la</w:t>
      </w:r>
      <w:r w:rsidRPr="00156980">
        <w:rPr>
          <w:szCs w:val="17"/>
        </w:rPr>
        <w:t>s</w:t>
      </w:r>
      <w:r w:rsidRPr="00156980">
        <w:rPr>
          <w:szCs w:val="17"/>
        </w:rPr>
        <w:t>sen: So könnte beispielsweise bei einem Baustil die ‚Verzierung‘ eines Gebäudes als ‚o</w:t>
      </w:r>
      <w:r w:rsidRPr="00156980">
        <w:rPr>
          <w:szCs w:val="17"/>
        </w:rPr>
        <w:t>r</w:t>
      </w:r>
      <w:r w:rsidRPr="00156980">
        <w:rPr>
          <w:szCs w:val="17"/>
        </w:rPr>
        <w:t>namental</w:t>
      </w:r>
      <w:r w:rsidR="005D7996">
        <w:rPr>
          <w:szCs w:val="17"/>
        </w:rPr>
        <w:fldChar w:fldCharType="begin"/>
      </w:r>
      <w:r>
        <w:instrText xml:space="preserve"> XE "</w:instrText>
      </w:r>
      <w:r w:rsidRPr="004737CD">
        <w:rPr>
          <w:szCs w:val="17"/>
        </w:rPr>
        <w:instrText>Ornament</w:instrText>
      </w:r>
      <w:r>
        <w:instrText xml:space="preserve">" </w:instrText>
      </w:r>
      <w:r w:rsidR="005D7996">
        <w:rPr>
          <w:szCs w:val="17"/>
        </w:rPr>
        <w:fldChar w:fldCharType="end"/>
      </w:r>
      <w:r w:rsidRPr="00156980">
        <w:rPr>
          <w:szCs w:val="17"/>
        </w:rPr>
        <w:t>‘, bei einem Schreibstil der ‚Satzbau‘ als ‚hypotaktisch, mit langen Perioden‘ und bei einem Filmstil die ‚Handlung‘ als ‚mehrsträngig, ineinander verflochten‘ spezifiziert sein. In diesem Fall sind die verlangten Eigenschaften immer noch ähnlich genug, um den Merkmalsregeln trotz unterschiedlicher Schemaorte eine gewisse Ähnlichkeit zu verle</w:t>
      </w:r>
      <w:r w:rsidRPr="00156980">
        <w:rPr>
          <w:szCs w:val="17"/>
        </w:rPr>
        <w:t>i</w:t>
      </w:r>
      <w:r w:rsidRPr="00156980">
        <w:rPr>
          <w:szCs w:val="17"/>
        </w:rPr>
        <w:t>hen, die sich entsprechend dem Gewicht der Merkmalsregeln in den Stilen auf diese übe</w:t>
      </w:r>
      <w:r w:rsidRPr="00156980">
        <w:rPr>
          <w:szCs w:val="17"/>
        </w:rPr>
        <w:t>r</w:t>
      </w:r>
      <w:r w:rsidRPr="00156980">
        <w:rPr>
          <w:szCs w:val="17"/>
        </w:rPr>
        <w:t>trägt.</w:t>
      </w:r>
    </w:p>
  </w:footnote>
  <w:footnote w:id="5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Etwa wenn die ‚Komposition‘ eines Bilds mit der ‚Komposition‘ eines Romans verglichen wird, die ‚Story‘ eines Comics mit der ‚Handlung‘ eines Films oder das ‚Lenkrad‘ eines Autos mit dem ‚Steuer‘ eines Schiffs.</w:t>
      </w:r>
    </w:p>
  </w:footnote>
  <w:footnote w:id="5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kann einem Geschirr mit einem ‚Muster‘, das ‚verschnörkelt‘ ist, eine g</w:t>
      </w:r>
      <w:r w:rsidRPr="00156980">
        <w:rPr>
          <w:szCs w:val="17"/>
        </w:rPr>
        <w:t>e</w:t>
      </w:r>
      <w:r w:rsidRPr="00156980">
        <w:rPr>
          <w:szCs w:val="17"/>
        </w:rPr>
        <w:t>wisse Ähnlichkeit mit einem anderen Geschirr mit einer ‚Form‘, die ‚verspielt‘ ist, zug</w:t>
      </w:r>
      <w:r w:rsidRPr="00156980">
        <w:rPr>
          <w:szCs w:val="17"/>
        </w:rPr>
        <w:t>e</w:t>
      </w:r>
      <w:r w:rsidRPr="00156980">
        <w:rPr>
          <w:szCs w:val="17"/>
        </w:rPr>
        <w:t>schrieben werden. Beide werden vermutlich als weniger unterschiedlich voneinander empfunden werden als im Vergleich mit einem dritten Stil, dessen ‚Muster‘ ‚schlicht‘ und dessen ‚Form‘ ‚funktional‘ ist.</w:t>
      </w:r>
    </w:p>
  </w:footnote>
  <w:footnote w:id="5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 einem Gebäude könnte der Baukörper ‚wie ein Schiffsrumpf‘ geformt sein, während bei einem anderen bestimmte Fenster ‚wie Bullaugen‘ aussehen.</w:t>
      </w:r>
    </w:p>
  </w:footnote>
  <w:footnote w:id="5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Pr>
          <w:szCs w:val="17"/>
        </w:rPr>
        <w:tab/>
      </w:r>
      <w:r w:rsidRPr="00156980">
        <w:rPr>
          <w:szCs w:val="17"/>
        </w:rPr>
        <w:t>Ist bei einem Gebäude der Baukörper ‚wie ein Schiffsbug‘ geformt, während bei einem anderen der Baukörper ‚wie ein Flugzeugrumpf‘ erscheint, können die beiden Weltbere</w:t>
      </w:r>
      <w:r w:rsidRPr="00156980">
        <w:rPr>
          <w:szCs w:val="17"/>
        </w:rPr>
        <w:t>i</w:t>
      </w:r>
      <w:r w:rsidRPr="00156980">
        <w:rPr>
          <w:szCs w:val="17"/>
        </w:rPr>
        <w:t>che, auf die Bezug genommen wird, mit Hilfe einer Ontologie</w:t>
      </w:r>
      <w:r w:rsidR="005D7996">
        <w:rPr>
          <w:szCs w:val="17"/>
        </w:rPr>
        <w:fldChar w:fldCharType="begin"/>
      </w:r>
      <w:r>
        <w:instrText xml:space="preserve"> XE "</w:instrText>
      </w:r>
      <w:r w:rsidRPr="007E1A6B">
        <w:instrText>Ontologie</w:instrText>
      </w:r>
      <w:r>
        <w:instrText xml:space="preserve">" </w:instrText>
      </w:r>
      <w:r w:rsidR="005D7996">
        <w:rPr>
          <w:szCs w:val="17"/>
        </w:rPr>
        <w:fldChar w:fldCharType="end"/>
      </w:r>
      <w:r w:rsidRPr="00156980">
        <w:rPr>
          <w:szCs w:val="17"/>
        </w:rPr>
        <w:t xml:space="preserve"> aufeinander bezogen we</w:t>
      </w:r>
      <w:r w:rsidRPr="00156980">
        <w:rPr>
          <w:szCs w:val="17"/>
        </w:rPr>
        <w:t>r</w:t>
      </w:r>
      <w:r w:rsidRPr="00156980">
        <w:rPr>
          <w:szCs w:val="17"/>
        </w:rPr>
        <w:t>den; es wird festgestellt, dass es sich in beiden Fällen um Verkehrsmittel handelt, woraus sich eine gewisse Ähnlichkeit der Merkmalsregeln ergibt.</w:t>
      </w:r>
    </w:p>
  </w:footnote>
  <w:footnote w:id="5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 einem Gebäude können die ‚Terrassengeländer‘ ‚offen, mit horizontal verlaufenden weißlackierten runden Stäben‘ sein, während bei einem anderen die ‚Außenflächen‘ ‚weiß gestrichen‘ und die ‚Stockwerksgrenzen‘ ‚unmarkiert‘ sind (vgl. Abschnitt </w:t>
      </w:r>
      <w:fldSimple w:instr=" REF _Ref254386965 \r \h  \* MERGEFORMAT ">
        <w:r w:rsidR="001231D3" w:rsidRPr="001231D3">
          <w:rPr>
            <w:szCs w:val="17"/>
          </w:rPr>
          <w:t>7.1.1</w:t>
        </w:r>
      </w:fldSimple>
      <w:r w:rsidRPr="00156980">
        <w:rPr>
          <w:szCs w:val="17"/>
        </w:rPr>
        <w:t>). In di</w:t>
      </w:r>
      <w:r w:rsidRPr="00156980">
        <w:rPr>
          <w:szCs w:val="17"/>
        </w:rPr>
        <w:t>e</w:t>
      </w:r>
      <w:r w:rsidRPr="00156980">
        <w:rPr>
          <w:szCs w:val="17"/>
        </w:rPr>
        <w:t>sem Fall nehmen die verlangten Eigenschaften zwar nicht für sich genommen, aber unter Einbeziehung der Anwendungsbedingungen in beiden Fällen auf den Weltbereich ‚zivile Schiffe‘ Bezug. Dadurch kann den Merkmalsregeln ein (wohl relativ schwacher) Bezug zugeordnet werden.</w:t>
      </w:r>
    </w:p>
  </w:footnote>
  <w:footnote w:id="5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So trägt im Beispiel aus Fußnote </w:t>
      </w:r>
      <w:fldSimple w:instr=" NOTEREF _Ref265447306 \h  \* MERGEFORMAT ">
        <w:r w:rsidR="001231D3" w:rsidRPr="001231D3">
          <w:rPr>
            <w:szCs w:val="17"/>
          </w:rPr>
          <w:t>576</w:t>
        </w:r>
      </w:fldSimple>
      <w:r w:rsidRPr="00156980">
        <w:rPr>
          <w:szCs w:val="17"/>
        </w:rPr>
        <w:t xml:space="preserve"> die Tatsache, dass die Bezüge auf Schiffe bzw. Flu</w:t>
      </w:r>
      <w:r w:rsidRPr="00156980">
        <w:rPr>
          <w:szCs w:val="17"/>
        </w:rPr>
        <w:t>g</w:t>
      </w:r>
      <w:r w:rsidRPr="00156980">
        <w:rPr>
          <w:szCs w:val="17"/>
        </w:rPr>
        <w:t>zeuge jeweils bei einem ‚Baukörper‘ erfolgen, zur Ähnlichkeit bei: Die Merkmalsregeln würden wohl als weiter entfernt empfunden werden, wenn bei dem zweiten Gebäude nicht ein ‚Baukörper‘, sondern zum Beispiel bestimmte ‚Fensterreihen‘ ‚wie Kabinenfen</w:t>
      </w:r>
      <w:r w:rsidRPr="00156980">
        <w:rPr>
          <w:szCs w:val="17"/>
        </w:rPr>
        <w:t>s</w:t>
      </w:r>
      <w:r w:rsidRPr="00156980">
        <w:rPr>
          <w:szCs w:val="17"/>
        </w:rPr>
        <w:t>ter eines Flugzeugs‘ aussehen würden. Die Gleichheit der Anwendungsbedingungen ve</w:t>
      </w:r>
      <w:r w:rsidRPr="00156980">
        <w:rPr>
          <w:szCs w:val="17"/>
        </w:rPr>
        <w:t>r</w:t>
      </w:r>
      <w:r w:rsidRPr="00156980">
        <w:rPr>
          <w:szCs w:val="17"/>
        </w:rPr>
        <w:t>größert hier also die wahrgenommene Ähnlichkeit der Merkmalsregeln.</w:t>
      </w:r>
    </w:p>
  </w:footnote>
  <w:footnote w:id="5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Merkmalsregeln zweier Artefaktstile, die beispielsweise für die ‚Grundform‘ jeweils ganz verschiedene verlangte Eigenschaften spezifizieren, können zwar aufeinander bezogen werden, erzeugen aber nicht den Eindruck der Ähnlichkeit der Stile. Dies gilt unabhängig davon, ob es sich um Stile desselben Schemas oder unterschiedlicher Schemata (bei denen es aber ähnliche Schemaorte gibt, die eben jeweils die Grundform spezifizieren) handelt. Es liegt in der Natur der Sache, dass es bei verschiedenen Stilen Merkmalsregeln gibt, die sich auf dieselben Schemaorte (oder bei verschiedenen Schemata auf vergleichbare Sch</w:t>
      </w:r>
      <w:r w:rsidRPr="00156980">
        <w:rPr>
          <w:szCs w:val="17"/>
        </w:rPr>
        <w:t>e</w:t>
      </w:r>
      <w:r w:rsidRPr="00156980">
        <w:rPr>
          <w:szCs w:val="17"/>
        </w:rPr>
        <w:t>maorte) beziehen. Dadurch werden die Stile sich noch nicht ähnlich.</w:t>
      </w:r>
    </w:p>
  </w:footnote>
  <w:footnote w:id="5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23865720 \r \h  \* MERGEFORMAT ">
        <w:r w:rsidR="001231D3" w:rsidRPr="001231D3">
          <w:rPr>
            <w:szCs w:val="17"/>
          </w:rPr>
          <w:t>9.5</w:t>
        </w:r>
      </w:fldSimple>
      <w:r w:rsidRPr="00156980">
        <w:rPr>
          <w:szCs w:val="17"/>
        </w:rPr>
        <w:t>.</w:t>
      </w:r>
    </w:p>
  </w:footnote>
  <w:footnote w:id="5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ordnet Werner Thoma (Thoma 1976) Stil der unabsichtlich übermittelten Sekundärinformation</w:t>
      </w:r>
      <w:r w:rsidR="005D7996">
        <w:rPr>
          <w:szCs w:val="17"/>
        </w:rPr>
        <w:fldChar w:fldCharType="begin"/>
      </w:r>
      <w:r>
        <w:instrText xml:space="preserve"> XE "</w:instrText>
      </w:r>
      <w:r w:rsidRPr="003F7A5E">
        <w:rPr>
          <w:rFonts w:eastAsia="Times New Roman" w:cs="Times New Roman"/>
        </w:rPr>
        <w:instrText>Sekundärinformation</w:instrText>
      </w:r>
      <w:r>
        <w:instrText xml:space="preserve">" </w:instrText>
      </w:r>
      <w:r w:rsidR="005D7996">
        <w:rPr>
          <w:szCs w:val="17"/>
        </w:rPr>
        <w:fldChar w:fldCharType="end"/>
      </w:r>
      <w:r w:rsidRPr="00156980">
        <w:rPr>
          <w:szCs w:val="17"/>
        </w:rPr>
        <w:t xml:space="preserve"> zu (vgl. Abschnitt </w:t>
      </w:r>
      <w:fldSimple w:instr=" REF _Ref265831830 \r \h  \* MERGEFORMAT ">
        <w:r w:rsidR="001231D3" w:rsidRPr="001231D3">
          <w:rPr>
            <w:szCs w:val="17"/>
          </w:rPr>
          <w:t>3.3</w:t>
        </w:r>
      </w:fldSimple>
      <w:r w:rsidRPr="00156980">
        <w:rPr>
          <w:szCs w:val="17"/>
        </w:rPr>
        <w:t>).</w:t>
      </w:r>
    </w:p>
  </w:footnote>
  <w:footnote w:id="5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Marcel Proust</w:t>
      </w:r>
      <w:r w:rsidR="005D7996">
        <w:rPr>
          <w:szCs w:val="17"/>
        </w:rPr>
        <w:fldChar w:fldCharType="begin"/>
      </w:r>
      <w:r>
        <w:instrText xml:space="preserve"> XE "</w:instrText>
      </w:r>
      <w:r w:rsidRPr="00591DE7">
        <w:rPr>
          <w:szCs w:val="17"/>
        </w:rPr>
        <w:instrText>Proust, Marcel</w:instrText>
      </w:r>
      <w:r>
        <w:instrText xml:space="preserve">" </w:instrText>
      </w:r>
      <w:r w:rsidR="005D7996">
        <w:rPr>
          <w:szCs w:val="17"/>
        </w:rPr>
        <w:fldChar w:fldCharType="end"/>
      </w:r>
      <w:r w:rsidRPr="00156980">
        <w:rPr>
          <w:szCs w:val="17"/>
        </w:rPr>
        <w:t xml:space="preserve"> schildert in der „Recherche</w:t>
      </w:r>
      <w:r w:rsidR="005D7996">
        <w:rPr>
          <w:szCs w:val="17"/>
        </w:rPr>
        <w:fldChar w:fldCharType="begin"/>
      </w:r>
      <w:r>
        <w:instrText xml:space="preserve"> XE "</w:instrText>
      </w:r>
      <w:r w:rsidRPr="00A6401E">
        <w:rPr>
          <w:szCs w:val="17"/>
        </w:rPr>
        <w:instrText>À la recherche du temps perdu (Roman)</w:instrText>
      </w:r>
      <w:r>
        <w:instrText xml:space="preserve">" </w:instrText>
      </w:r>
      <w:r w:rsidR="005D7996">
        <w:rPr>
          <w:szCs w:val="17"/>
        </w:rPr>
        <w:fldChar w:fldCharType="end"/>
      </w:r>
      <w:r w:rsidRPr="00156980">
        <w:rPr>
          <w:szCs w:val="17"/>
        </w:rPr>
        <w:t>“ (Proust 1913–1927) eine solche Entwicklung bei dem aristokratischen Weltmann und Kunstkenner Charlus, der nach Robert de Montesquiou</w:t>
      </w:r>
      <w:r w:rsidR="005D7996">
        <w:rPr>
          <w:szCs w:val="17"/>
        </w:rPr>
        <w:fldChar w:fldCharType="begin"/>
      </w:r>
      <w:r>
        <w:instrText xml:space="preserve"> XE "</w:instrText>
      </w:r>
      <w:r w:rsidRPr="008C4A59">
        <w:rPr>
          <w:szCs w:val="17"/>
        </w:rPr>
        <w:instrText>Montesquiou, Robert de</w:instrText>
      </w:r>
      <w:r>
        <w:instrText xml:space="preserve">" </w:instrText>
      </w:r>
      <w:r w:rsidR="005D7996">
        <w:rPr>
          <w:szCs w:val="17"/>
        </w:rPr>
        <w:fldChar w:fldCharType="end"/>
      </w:r>
      <w:r w:rsidRPr="00156980">
        <w:rPr>
          <w:szCs w:val="17"/>
        </w:rPr>
        <w:t xml:space="preserve"> modelliert ist, jenem französischen Schriftsteller, Kunstsammler und Décadent, der auch die Hauptfigur Des Esseintes in Joris-Karl Huysmans’</w:t>
      </w:r>
      <w:r w:rsidR="005D7996">
        <w:rPr>
          <w:szCs w:val="17"/>
        </w:rPr>
        <w:fldChar w:fldCharType="begin"/>
      </w:r>
      <w:r>
        <w:instrText xml:space="preserve"> XE "</w:instrText>
      </w:r>
      <w:r w:rsidRPr="00463EE1">
        <w:rPr>
          <w:szCs w:val="17"/>
        </w:rPr>
        <w:instrText>Huysmans, Joris-Karl</w:instrText>
      </w:r>
      <w:r>
        <w:instrText xml:space="preserve">" </w:instrText>
      </w:r>
      <w:r w:rsidR="005D7996">
        <w:rPr>
          <w:szCs w:val="17"/>
        </w:rPr>
        <w:fldChar w:fldCharType="end"/>
      </w:r>
      <w:r w:rsidRPr="00156980">
        <w:rPr>
          <w:szCs w:val="17"/>
        </w:rPr>
        <w:t xml:space="preserve"> „À</w:t>
      </w:r>
      <w:r w:rsidRPr="00156980">
        <w:rPr>
          <w:iCs/>
          <w:szCs w:val="17"/>
        </w:rPr>
        <w:t xml:space="preserve"> rebours</w:t>
      </w:r>
      <w:r w:rsidR="005D7996">
        <w:rPr>
          <w:iCs/>
          <w:szCs w:val="17"/>
        </w:rPr>
        <w:fldChar w:fldCharType="begin"/>
      </w:r>
      <w:r>
        <w:instrText xml:space="preserve"> XE "</w:instrText>
      </w:r>
      <w:r w:rsidRPr="00066B52">
        <w:rPr>
          <w:szCs w:val="17"/>
        </w:rPr>
        <w:instrText>À</w:instrText>
      </w:r>
      <w:r w:rsidRPr="00066B52">
        <w:rPr>
          <w:iCs/>
          <w:szCs w:val="17"/>
        </w:rPr>
        <w:instrText xml:space="preserve"> rebours (Roman)</w:instrText>
      </w:r>
      <w:r>
        <w:instrText xml:space="preserve">" </w:instrText>
      </w:r>
      <w:r w:rsidR="005D7996">
        <w:rPr>
          <w:iCs/>
          <w:szCs w:val="17"/>
        </w:rPr>
        <w:fldChar w:fldCharType="end"/>
      </w:r>
      <w:r w:rsidRPr="00156980">
        <w:rPr>
          <w:iCs/>
          <w:szCs w:val="17"/>
        </w:rPr>
        <w:t>“</w:t>
      </w:r>
      <w:r w:rsidRPr="00156980">
        <w:rPr>
          <w:szCs w:val="17"/>
        </w:rPr>
        <w:t xml:space="preserve"> inspirierte (Huysmans 1884).</w:t>
      </w:r>
    </w:p>
  </w:footnote>
  <w:footnote w:id="5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Wendet er einen Stil (a) absichtlich oder (b) unabsichtlich und bewusst an, weiß er dies selbst; wendet er ihn (c) unabsichtlich und unbewusst an, weiß er dies nicht.</w:t>
      </w:r>
    </w:p>
  </w:footnote>
  <w:footnote w:id="5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Elfriede Kaul betont für sprachliche Texte: „Produktion und Rezeption […] gemeinsam ist auf hohem Kompetenzniveau die Fähigkeit des Produzenten/Rezipienten, seine Au</w:t>
      </w:r>
      <w:r w:rsidRPr="00156980">
        <w:rPr>
          <w:szCs w:val="17"/>
        </w:rPr>
        <w:t>f</w:t>
      </w:r>
      <w:r w:rsidRPr="00156980">
        <w:rPr>
          <w:szCs w:val="17"/>
        </w:rPr>
        <w:t>merksamkeit gezielt auf stilistische Textaspekte zu lenken im Wechsel mit automatisiert ablaufenden Rezeptions- und Produktionsleistungen.“ (Kaul 1990: 301f.)</w:t>
      </w:r>
    </w:p>
  </w:footnote>
  <w:footnote w:id="5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wurde in Abschnitt </w:t>
      </w:r>
      <w:fldSimple w:instr=" REF _Ref263947078 \r \h  \* MERGEFORMAT ">
        <w:r w:rsidR="001231D3" w:rsidRPr="001231D3">
          <w:rPr>
            <w:szCs w:val="17"/>
          </w:rPr>
          <w:t>2.7</w:t>
        </w:r>
      </w:fldSimple>
      <w:r w:rsidRPr="00156980">
        <w:rPr>
          <w:szCs w:val="17"/>
        </w:rPr>
        <w:t xml:space="preserve"> bereits einführend erläutert; dieser Abschnitt ergänzt den dortigen und stellt den Sachverhalt aufgrund der inzwischen gewonnenen theoretischen Erkenntnisse etwas technischer dar.</w:t>
      </w:r>
    </w:p>
  </w:footnote>
  <w:footnote w:id="5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Mit solchen Erzählstilen beschäftigt sich die </w:t>
      </w:r>
      <w:r>
        <w:rPr>
          <w:szCs w:val="17"/>
        </w:rPr>
        <w:t>Erzähltheorie (= </w:t>
      </w:r>
      <w:r w:rsidRPr="00156980">
        <w:rPr>
          <w:szCs w:val="17"/>
        </w:rPr>
        <w:t>Narratologie</w:t>
      </w:r>
      <w:r w:rsidR="005D7996">
        <w:rPr>
          <w:szCs w:val="17"/>
        </w:rPr>
        <w:fldChar w:fldCharType="begin"/>
      </w:r>
      <w:r>
        <w:instrText xml:space="preserve"> XE "</w:instrText>
      </w:r>
      <w:r w:rsidRPr="005E0E3E">
        <w:rPr>
          <w:szCs w:val="17"/>
        </w:rPr>
        <w:instrText>Narratologie</w:instrText>
      </w:r>
      <w:r>
        <w:instrText xml:space="preserve">" </w:instrText>
      </w:r>
      <w:r w:rsidR="005D7996">
        <w:rPr>
          <w:szCs w:val="17"/>
        </w:rPr>
        <w:fldChar w:fldCharType="end"/>
      </w:r>
      <w:r>
        <w:rPr>
          <w:szCs w:val="17"/>
        </w:rPr>
        <w:t>);</w:t>
      </w:r>
      <w:r w:rsidRPr="00156980">
        <w:rPr>
          <w:szCs w:val="17"/>
        </w:rPr>
        <w:t xml:space="preserve"> vgl. Gene</w:t>
      </w:r>
      <w:r w:rsidRPr="00156980">
        <w:rPr>
          <w:szCs w:val="17"/>
        </w:rPr>
        <w:t>t</w:t>
      </w:r>
      <w:r>
        <w:rPr>
          <w:szCs w:val="17"/>
        </w:rPr>
        <w:t>te 1994 und Fludernik 2006</w:t>
      </w:r>
      <w:r w:rsidRPr="00156980">
        <w:rPr>
          <w:szCs w:val="17"/>
        </w:rPr>
        <w:t>.</w:t>
      </w:r>
    </w:p>
  </w:footnote>
  <w:footnote w:id="5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Zu Lebensstilen existiert mittlerweile eine umfangreiche Literatur; vgl. Lüdtke 1995, Schwenk u.a. 1996, Otte 2004 und Kimminich 2006 (vgl. auch Abschnitt </w:t>
      </w:r>
      <w:fldSimple w:instr=" REF _Ref264885369 \r \h  \* MERGEFORMAT ">
        <w:r w:rsidR="001231D3" w:rsidRPr="001231D3">
          <w:rPr>
            <w:szCs w:val="17"/>
          </w:rPr>
          <w:t>8.4.2</w:t>
        </w:r>
      </w:fldSimple>
      <w:r w:rsidRPr="00156980">
        <w:rPr>
          <w:szCs w:val="17"/>
        </w:rPr>
        <w:t>). Leben</w:t>
      </w:r>
      <w:r w:rsidRPr="00156980">
        <w:rPr>
          <w:szCs w:val="17"/>
        </w:rPr>
        <w:t>s</w:t>
      </w:r>
      <w:r w:rsidRPr="00156980">
        <w:rPr>
          <w:szCs w:val="17"/>
        </w:rPr>
        <w:t>stile sind nur dort möglich, wo es in vielen Lebensbereichen ausreichend Auswahl gibt; da dies in modernen Gesellschaften zunehmend der Fall ist, haben Lebensstile in den letzten Jahrzehnten stark an Wichtigkeit gewonnen (vgl. Richter 2005).</w:t>
      </w:r>
    </w:p>
  </w:footnote>
  <w:footnote w:id="5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1937722 \r \h  \* MERGEFORMAT ">
        <w:r w:rsidR="001231D3" w:rsidRPr="001231D3">
          <w:rPr>
            <w:szCs w:val="17"/>
          </w:rPr>
          <w:t>5.3.1</w:t>
        </w:r>
      </w:fldSimple>
      <w:r w:rsidRPr="00156980">
        <w:rPr>
          <w:szCs w:val="17"/>
        </w:rPr>
        <w:t>.</w:t>
      </w:r>
    </w:p>
  </w:footnote>
  <w:footnote w:id="5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ist plausibel, dass die Wahl des Inhalts gerade bei Schemata mit Zeichen</w:t>
      </w:r>
      <w:r>
        <w:rPr>
          <w:szCs w:val="17"/>
        </w:rPr>
        <w:t>gebrauch</w:t>
      </w:r>
      <w:r w:rsidRPr="00156980">
        <w:rPr>
          <w:szCs w:val="17"/>
        </w:rPr>
        <w:t xml:space="preserve"> stili</w:t>
      </w:r>
      <w:r w:rsidRPr="00156980">
        <w:rPr>
          <w:szCs w:val="17"/>
        </w:rPr>
        <w:t>s</w:t>
      </w:r>
      <w:r w:rsidRPr="00156980">
        <w:rPr>
          <w:szCs w:val="17"/>
        </w:rPr>
        <w:t>tisch relevant werden kann, bei denen die Übermittlung eines Inhalts nicht primärer Zweck ist. Schemata wie ‚Hochzeitsansprache‘ oder ‚Predigt‘ werden bei formalen Anlä</w:t>
      </w:r>
      <w:r w:rsidRPr="00156980">
        <w:rPr>
          <w:szCs w:val="17"/>
        </w:rPr>
        <w:t>s</w:t>
      </w:r>
      <w:r w:rsidRPr="00156980">
        <w:rPr>
          <w:szCs w:val="17"/>
        </w:rPr>
        <w:t>sen ausgeführt, die unabhängig von einem zu vermittelnden Inhalt sind, so dass der Inhalt hier durch eine Merkmalsregel ausgewählt werden kann, ohne dass die Ausführung des Schemas sinnlos wird. Ähnliches gilt für Kommunikationshandlungen wie ‚Sich vorste</w:t>
      </w:r>
      <w:r w:rsidRPr="00156980">
        <w:rPr>
          <w:szCs w:val="17"/>
        </w:rPr>
        <w:t>l</w:t>
      </w:r>
      <w:r w:rsidRPr="00156980">
        <w:rPr>
          <w:szCs w:val="17"/>
        </w:rPr>
        <w:t>len‘ oder ‚Flirt‘, bei denen die Inhalte eingeschränkt sind und dem Erreichen eines bereits bekannten Zwecks dienen, sowie bei phatischer Kommunikation</w:t>
      </w:r>
      <w:r w:rsidR="005D7996">
        <w:rPr>
          <w:szCs w:val="17"/>
        </w:rPr>
        <w:fldChar w:fldCharType="begin"/>
      </w:r>
      <w:r>
        <w:instrText xml:space="preserve"> XE "</w:instrText>
      </w:r>
      <w:r w:rsidRPr="00716BD7">
        <w:rPr>
          <w:rFonts w:eastAsia="Times New Roman" w:cs="Times New Roman"/>
        </w:rPr>
        <w:instrText>Kommunikation</w:instrText>
      </w:r>
      <w:r>
        <w:rPr>
          <w:rFonts w:eastAsia="Times New Roman" w:cs="Times New Roman"/>
        </w:rPr>
        <w:instrText>:phatische</w:instrText>
      </w:r>
      <w:r>
        <w:instrText xml:space="preserve">" </w:instrText>
      </w:r>
      <w:r w:rsidR="005D7996">
        <w:rPr>
          <w:szCs w:val="17"/>
        </w:rPr>
        <w:fldChar w:fldCharType="end"/>
      </w:r>
      <w:r w:rsidRPr="00156980">
        <w:rPr>
          <w:szCs w:val="17"/>
        </w:rPr>
        <w:t xml:space="preserve"> wie ‚Gespräche beim Autofahren zum Wachbleiben‘, bei denen der Inhalt beliebig ist.</w:t>
      </w:r>
    </w:p>
  </w:footnote>
  <w:footnote w:id="5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 xml:space="preserve">Siehe </w:t>
      </w:r>
      <w:r w:rsidRPr="00156980">
        <w:rPr>
          <w:szCs w:val="17"/>
        </w:rPr>
        <w:t xml:space="preserve">Fußnote </w:t>
      </w:r>
      <w:fldSimple w:instr=" NOTEREF _Ref273226923 \h  \* MERGEFORMAT ">
        <w:r w:rsidR="001231D3" w:rsidRPr="001231D3">
          <w:rPr>
            <w:szCs w:val="17"/>
          </w:rPr>
          <w:t>140</w:t>
        </w:r>
      </w:fldSimple>
      <w:r w:rsidRPr="00156980">
        <w:rPr>
          <w:szCs w:val="17"/>
        </w:rPr>
        <w:t>.</w:t>
      </w:r>
    </w:p>
  </w:footnote>
  <w:footnote w:id="5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Stilkompetenz eines Individuums ist nicht eine einheitliche Größe, sondern hängt von der Erfahrung mit verschiedenen Schemata und Stilen ab. So wird ein Architektu</w:t>
      </w:r>
      <w:r w:rsidRPr="00156980">
        <w:rPr>
          <w:szCs w:val="17"/>
        </w:rPr>
        <w:t>r</w:t>
      </w:r>
      <w:r w:rsidRPr="00156980">
        <w:rPr>
          <w:szCs w:val="17"/>
        </w:rPr>
        <w:t>theoretiker oder Musikwissenschaftler mit den Stilen in seinem Fachgebiet gut umgehen können, ohne dass dies automatisch seine Stilkompetenz in anderen Stilbereichen vergr</w:t>
      </w:r>
      <w:r w:rsidRPr="00156980">
        <w:rPr>
          <w:szCs w:val="17"/>
        </w:rPr>
        <w:t>ö</w:t>
      </w:r>
      <w:r w:rsidRPr="00156980">
        <w:rPr>
          <w:szCs w:val="17"/>
        </w:rPr>
        <w:t>ßert.</w:t>
      </w:r>
    </w:p>
  </w:footnote>
  <w:footnote w:id="5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weiteren Vorteilen, aber auch Nachteilen von Stilen für Gruppen und für die Gesel</w:t>
      </w:r>
      <w:r w:rsidRPr="00156980">
        <w:rPr>
          <w:szCs w:val="17"/>
        </w:rPr>
        <w:t>l</w:t>
      </w:r>
      <w:r w:rsidRPr="00156980">
        <w:rPr>
          <w:szCs w:val="17"/>
        </w:rPr>
        <w:t>schaft</w:t>
      </w:r>
      <w:r w:rsidR="005D7996">
        <w:rPr>
          <w:szCs w:val="17"/>
        </w:rPr>
        <w:fldChar w:fldCharType="begin"/>
      </w:r>
      <w:r>
        <w:instrText xml:space="preserve"> XE "</w:instrText>
      </w:r>
      <w:r w:rsidRPr="00835E68">
        <w:instrText>Gesellschaft</w:instrText>
      </w:r>
      <w:r>
        <w:instrText xml:space="preserve">" </w:instrText>
      </w:r>
      <w:r w:rsidR="005D7996">
        <w:rPr>
          <w:szCs w:val="17"/>
        </w:rPr>
        <w:fldChar w:fldCharType="end"/>
      </w:r>
      <w:r w:rsidRPr="00156980">
        <w:rPr>
          <w:szCs w:val="17"/>
        </w:rPr>
        <w:t xml:space="preserve"> insgesamt siehe Abschnitt </w:t>
      </w:r>
      <w:fldSimple w:instr=" REF _Ref264885213 \r \h  \* MERGEFORMAT ">
        <w:r w:rsidR="001231D3" w:rsidRPr="001231D3">
          <w:rPr>
            <w:szCs w:val="17"/>
          </w:rPr>
          <w:t>8.4.1</w:t>
        </w:r>
      </w:fldSimple>
      <w:r w:rsidRPr="00156980">
        <w:rPr>
          <w:szCs w:val="17"/>
        </w:rPr>
        <w:t>.</w:t>
      </w:r>
    </w:p>
  </w:footnote>
  <w:footnote w:id="5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 Beispiel </w:t>
      </w:r>
      <w:r>
        <w:rPr>
          <w:szCs w:val="17"/>
        </w:rPr>
        <w:t xml:space="preserve">aus der </w:t>
      </w:r>
      <w:r w:rsidRPr="00156980">
        <w:rPr>
          <w:szCs w:val="17"/>
        </w:rPr>
        <w:t>Literatur</w:t>
      </w:r>
      <w:r>
        <w:rPr>
          <w:szCs w:val="17"/>
        </w:rPr>
        <w:t>wissenschaft</w:t>
      </w:r>
      <w:r w:rsidR="005D7996">
        <w:rPr>
          <w:szCs w:val="17"/>
        </w:rPr>
        <w:fldChar w:fldCharType="begin"/>
      </w:r>
      <w:r>
        <w:instrText xml:space="preserve"> XE "</w:instrText>
      </w:r>
      <w:r w:rsidRPr="009617BD">
        <w:rPr>
          <w:szCs w:val="17"/>
        </w:rPr>
        <w:instrText>Literaturwissenschaft</w:instrText>
      </w:r>
      <w:r>
        <w:instrText xml:space="preserve">" </w:instrText>
      </w:r>
      <w:r w:rsidR="005D7996">
        <w:rPr>
          <w:szCs w:val="17"/>
        </w:rPr>
        <w:fldChar w:fldCharType="end"/>
      </w:r>
      <w:r w:rsidRPr="00156980">
        <w:rPr>
          <w:szCs w:val="17"/>
        </w:rPr>
        <w:t xml:space="preserve"> ist Grimm 1991, </w:t>
      </w:r>
      <w:r>
        <w:rPr>
          <w:szCs w:val="17"/>
        </w:rPr>
        <w:t xml:space="preserve">aus der </w:t>
      </w:r>
      <w:r w:rsidRPr="00156980">
        <w:rPr>
          <w:szCs w:val="17"/>
        </w:rPr>
        <w:t>Kunstgeschichte</w:t>
      </w:r>
      <w:r w:rsidR="005D7996">
        <w:rPr>
          <w:szCs w:val="17"/>
        </w:rPr>
        <w:fldChar w:fldCharType="begin"/>
      </w:r>
      <w:r>
        <w:instrText xml:space="preserve"> XE "</w:instrText>
      </w:r>
      <w:r w:rsidRPr="000853B0">
        <w:instrText>Kunstgeschichte</w:instrText>
      </w:r>
      <w:r>
        <w:instrText xml:space="preserve">" </w:instrText>
      </w:r>
      <w:r w:rsidR="005D7996">
        <w:rPr>
          <w:szCs w:val="17"/>
        </w:rPr>
        <w:fldChar w:fldCharType="end"/>
      </w:r>
      <w:r w:rsidRPr="00156980">
        <w:rPr>
          <w:szCs w:val="17"/>
        </w:rPr>
        <w:t xml:space="preserve"> Lüsebrink 1986, </w:t>
      </w:r>
      <w:r>
        <w:rPr>
          <w:szCs w:val="17"/>
        </w:rPr>
        <w:t xml:space="preserve">aus der </w:t>
      </w:r>
      <w:r w:rsidRPr="00156980">
        <w:rPr>
          <w:szCs w:val="17"/>
        </w:rPr>
        <w:t>Soziologie</w:t>
      </w:r>
      <w:r w:rsidR="005D7996">
        <w:rPr>
          <w:szCs w:val="17"/>
        </w:rPr>
        <w:fldChar w:fldCharType="begin"/>
      </w:r>
      <w:r>
        <w:instrText xml:space="preserve"> XE "</w:instrText>
      </w:r>
      <w:r w:rsidRPr="005C0A63">
        <w:rPr>
          <w:szCs w:val="17"/>
        </w:rPr>
        <w:instrText>Soziologie</w:instrText>
      </w:r>
      <w:r>
        <w:instrText xml:space="preserve">" </w:instrText>
      </w:r>
      <w:r w:rsidR="005D7996">
        <w:rPr>
          <w:szCs w:val="17"/>
        </w:rPr>
        <w:fldChar w:fldCharType="end"/>
      </w:r>
      <w:r w:rsidRPr="00156980">
        <w:rPr>
          <w:szCs w:val="17"/>
        </w:rPr>
        <w:t xml:space="preserve"> Habscheid 2003. – Vgl. auch Abschnitt </w:t>
      </w:r>
      <w:fldSimple w:instr=" REF _Ref266098594 \r \h  \* MERGEFORMAT ">
        <w:r w:rsidR="001231D3" w:rsidRPr="001231D3">
          <w:rPr>
            <w:szCs w:val="17"/>
          </w:rPr>
          <w:t>3.8</w:t>
        </w:r>
      </w:fldSimple>
      <w:r w:rsidRPr="00156980">
        <w:rPr>
          <w:szCs w:val="17"/>
        </w:rPr>
        <w:t>.</w:t>
      </w:r>
    </w:p>
  </w:footnote>
  <w:footnote w:id="59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Diese Konzeption wird in Breuer 2009 aufgenommen: „Die Begriffe </w:t>
      </w:r>
      <w:r w:rsidRPr="00156980">
        <w:rPr>
          <w:i/>
          <w:szCs w:val="17"/>
        </w:rPr>
        <w:t>Stil</w:t>
      </w:r>
      <w:r w:rsidRPr="00156980">
        <w:rPr>
          <w:szCs w:val="17"/>
        </w:rPr>
        <w:t xml:space="preserve"> und </w:t>
      </w:r>
      <w:r w:rsidRPr="00156980">
        <w:rPr>
          <w:i/>
          <w:szCs w:val="17"/>
        </w:rPr>
        <w:t>Individuum</w:t>
      </w:r>
      <w:r w:rsidRPr="00156980">
        <w:rPr>
          <w:szCs w:val="17"/>
        </w:rPr>
        <w:t xml:space="preserve"> arbeiten gleichermaßen mit einer ‚Einheitsvorentscheidung‘“, eröffnet dieser Artikel u</w:t>
      </w:r>
      <w:r w:rsidRPr="00156980">
        <w:rPr>
          <w:szCs w:val="17"/>
        </w:rPr>
        <w:t>n</w:t>
      </w:r>
      <w:r w:rsidRPr="00156980">
        <w:rPr>
          <w:szCs w:val="17"/>
        </w:rPr>
        <w:t>ter Bezug auf Heinz 1986: 47. Allerdings führt er dann eine Reihe unterschiedlicher hi</w:t>
      </w:r>
      <w:r w:rsidRPr="00156980">
        <w:rPr>
          <w:szCs w:val="17"/>
        </w:rPr>
        <w:t>s</w:t>
      </w:r>
      <w:r w:rsidRPr="00156980">
        <w:rPr>
          <w:szCs w:val="17"/>
        </w:rPr>
        <w:t>torischer Individualstilkonzepte vor, die nicht alle eine besondere Einheit des Stils anz</w:t>
      </w:r>
      <w:r w:rsidRPr="00156980">
        <w:rPr>
          <w:szCs w:val="17"/>
        </w:rPr>
        <w:t>u</w:t>
      </w:r>
      <w:r w:rsidRPr="00156980">
        <w:rPr>
          <w:szCs w:val="17"/>
        </w:rPr>
        <w:t xml:space="preserve">nehmen scheinen. Möglicherweise ist hier daher nur gemeint, dass Stilen in der </w:t>
      </w:r>
      <w:r>
        <w:rPr>
          <w:szCs w:val="17"/>
        </w:rPr>
        <w:t>Linguistik</w:t>
      </w:r>
      <w:r w:rsidR="005D7996">
        <w:rPr>
          <w:szCs w:val="17"/>
        </w:rPr>
        <w:fldChar w:fldCharType="begin"/>
      </w:r>
      <w:r>
        <w:instrText xml:space="preserve"> XE "</w:instrText>
      </w:r>
      <w:r w:rsidRPr="00797C83">
        <w:rPr>
          <w:rFonts w:eastAsia="Times New Roman" w:cs="Times New Roman"/>
        </w:rPr>
        <w:instrText>Linguistik</w:instrText>
      </w:r>
      <w:r>
        <w:instrText xml:space="preserve">" </w:instrText>
      </w:r>
      <w:r w:rsidR="005D7996">
        <w:rPr>
          <w:szCs w:val="17"/>
        </w:rPr>
        <w:fldChar w:fldCharType="end"/>
      </w:r>
      <w:r>
        <w:rPr>
          <w:szCs w:val="17"/>
        </w:rPr>
        <w:t xml:space="preserve"> </w:t>
      </w:r>
      <w:r w:rsidRPr="00156980">
        <w:rPr>
          <w:szCs w:val="17"/>
        </w:rPr>
        <w:t>gelegentlich eine textkonstitutive Funktion zugeschrieben wird (vgl. Sowinski 1999: 10 und Fix 2005).</w:t>
      </w:r>
    </w:p>
  </w:footnote>
  <w:footnote w:id="5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Bereits in der Renaissance</w:t>
      </w:r>
      <w:r w:rsidR="005D7996">
        <w:rPr>
          <w:szCs w:val="17"/>
        </w:rPr>
        <w:fldChar w:fldCharType="begin"/>
      </w:r>
      <w:r>
        <w:instrText xml:space="preserve"> XE "</w:instrText>
      </w:r>
      <w:r w:rsidRPr="00EA48DF">
        <w:rPr>
          <w:szCs w:val="17"/>
        </w:rPr>
        <w:instrText>Renaissance</w:instrText>
      </w:r>
      <w:r>
        <w:instrText xml:space="preserve">" </w:instrText>
      </w:r>
      <w:r w:rsidR="005D7996">
        <w:rPr>
          <w:szCs w:val="17"/>
        </w:rPr>
        <w:fldChar w:fldCharType="end"/>
      </w:r>
      <w:r w:rsidRPr="00156980">
        <w:rPr>
          <w:szCs w:val="17"/>
        </w:rPr>
        <w:t xml:space="preserve"> war es möglich geworden, Stil als individuelles Konzept zu denken (Pfeiffer 1986: 123), auch wenn die Poetik der Zeit normativen Konzepten ve</w:t>
      </w:r>
      <w:r w:rsidRPr="00156980">
        <w:rPr>
          <w:szCs w:val="17"/>
        </w:rPr>
        <w:t>r</w:t>
      </w:r>
      <w:r w:rsidRPr="00156980">
        <w:rPr>
          <w:szCs w:val="17"/>
        </w:rPr>
        <w:t>haftet blieb (ebd.: 115). In der Kunst setzte sich „Stil“ bald als Bezeichnung für die ch</w:t>
      </w:r>
      <w:r w:rsidRPr="00156980">
        <w:rPr>
          <w:szCs w:val="17"/>
        </w:rPr>
        <w:t>a</w:t>
      </w:r>
      <w:r w:rsidRPr="00156980">
        <w:rPr>
          <w:szCs w:val="17"/>
        </w:rPr>
        <w:t xml:space="preserve">rakteristischen Eigenschaften der Werke eines Künstlers durch (vgl. Fußnote </w:t>
      </w:r>
      <w:fldSimple w:instr=" NOTEREF _Ref271530832 \h  \* MERGEFORMAT ">
        <w:r w:rsidR="001231D3" w:rsidRPr="001231D3">
          <w:rPr>
            <w:szCs w:val="17"/>
          </w:rPr>
          <w:t>641</w:t>
        </w:r>
      </w:fldSimple>
      <w:r w:rsidRPr="00156980">
        <w:rPr>
          <w:szCs w:val="17"/>
        </w:rPr>
        <w:t>). Bez</w:t>
      </w:r>
      <w:r w:rsidRPr="00156980">
        <w:rPr>
          <w:szCs w:val="17"/>
        </w:rPr>
        <w:t>o</w:t>
      </w:r>
      <w:r w:rsidRPr="00156980">
        <w:rPr>
          <w:szCs w:val="17"/>
        </w:rPr>
        <w:t>gen auf Schreibstile dauerte es länger, bis Individualstile allgemein akzeptiert wurden. So wollte noch Johann Christoph Adelung den Stil des einzelnen Schriftstellers von eige</w:t>
      </w:r>
      <w:r w:rsidRPr="00156980">
        <w:rPr>
          <w:szCs w:val="17"/>
        </w:rPr>
        <w:t>n</w:t>
      </w:r>
      <w:r w:rsidRPr="00156980">
        <w:rPr>
          <w:szCs w:val="17"/>
        </w:rPr>
        <w:t>ständigen Innovationen freihalten, man habe sich an die in einer Nation gültigen stilist</w:t>
      </w:r>
      <w:r w:rsidRPr="00156980">
        <w:rPr>
          <w:szCs w:val="17"/>
        </w:rPr>
        <w:t>i</w:t>
      </w:r>
      <w:r w:rsidRPr="00156980">
        <w:rPr>
          <w:szCs w:val="17"/>
        </w:rPr>
        <w:t>schen Konventionen zu halten (Adelung 1789, Bd. 1: 524). Dagegen betrachtete Karl Ph</w:t>
      </w:r>
      <w:r w:rsidRPr="00156980">
        <w:rPr>
          <w:szCs w:val="17"/>
        </w:rPr>
        <w:t>i</w:t>
      </w:r>
      <w:r w:rsidRPr="00156980">
        <w:rPr>
          <w:szCs w:val="17"/>
        </w:rPr>
        <w:t>lipp Moritz den wiedererkennbaren Stil als wesentlich für die Schreibart des Einzelnen (Moritz 1793=1981: 591). Die Durchsetzung des Individualstil-Konzepts hängt mit dem aufklärerischen Ideal der ‚Natürlichkeit‘ in Verhalten und Ausdrucksweise, das zur A</w:t>
      </w:r>
      <w:r w:rsidRPr="00156980">
        <w:rPr>
          <w:szCs w:val="17"/>
        </w:rPr>
        <w:t>b</w:t>
      </w:r>
      <w:r w:rsidRPr="00156980">
        <w:rPr>
          <w:szCs w:val="17"/>
        </w:rPr>
        <w:t>lehnung allgemeingültiger Stilnormen führte, zusammen (Gumbrecht 1986: 750f). „In der sozialgeschichtlichen Dimension stellt sich die Stil-Revolution [der Aufklärungszeit] als die Umwandlung von einer sozialen in eine personale Identität dar; in der poetolog</w:t>
      </w:r>
      <w:r w:rsidRPr="00156980">
        <w:rPr>
          <w:szCs w:val="17"/>
        </w:rPr>
        <w:t>i</w:t>
      </w:r>
      <w:r w:rsidRPr="00156980">
        <w:rPr>
          <w:szCs w:val="17"/>
        </w:rPr>
        <w:t>schen Diemsnion wird sie als Transformation eines rhetorisch-handwerklichen in ein werkbezogenes Konzept faßbar.“ (Assmann 1986: 129)</w:t>
      </w:r>
    </w:p>
  </w:footnote>
  <w:footnote w:id="5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12453073 \r \h  \* MERGEFORMAT ">
        <w:r w:rsidR="001231D3" w:rsidRPr="001231D3">
          <w:rPr>
            <w:szCs w:val="17"/>
          </w:rPr>
          <w:t>4.5</w:t>
        </w:r>
      </w:fldSimple>
      <w:r w:rsidRPr="00156980">
        <w:rPr>
          <w:szCs w:val="17"/>
        </w:rPr>
        <w:t>, letzter Absatz.</w:t>
      </w:r>
    </w:p>
  </w:footnote>
  <w:footnote w:id="59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weiterer Vorschlag stammt von Chiu-Shui Chan; er betrachtet das Vorkommen eines Merkmals an drei Realisierungen als Grenze dafür, dass es als Bestandteil eines gemei</w:t>
      </w:r>
      <w:r w:rsidRPr="00156980">
        <w:rPr>
          <w:szCs w:val="17"/>
        </w:rPr>
        <w:t>n</w:t>
      </w:r>
      <w:r w:rsidRPr="00156980">
        <w:rPr>
          <w:szCs w:val="17"/>
        </w:rPr>
        <w:t>samen Stils wahrgenommen wird: „</w:t>
      </w:r>
      <w:r w:rsidRPr="00156980">
        <w:rPr>
          <w:rFonts w:cs="Times New Roman"/>
          <w:szCs w:val="17"/>
        </w:rPr>
        <w:t xml:space="preserve">The results of psychological experiments [Chan 1994] exploring the definition of style suggest that if a feature appears in three products, it can be registered as a common feature. </w:t>
      </w:r>
      <w:r w:rsidRPr="00156980">
        <w:rPr>
          <w:rFonts w:cs="Times New Roman"/>
          <w:szCs w:val="17"/>
          <w:lang w:val="en-US"/>
        </w:rPr>
        <w:t xml:space="preserve">[…] If the set of common features appears in many objects designed by the same person, it signifies an individual style. If the set appears in objects designed by a group of designers, it signifies a group style.“ (Chan 2000: 280f) </w:t>
      </w:r>
      <w:r w:rsidRPr="00156980">
        <w:rPr>
          <w:szCs w:val="17"/>
          <w:lang w:val="en-US"/>
        </w:rPr>
        <w:t>„</w:t>
      </w:r>
      <w:r w:rsidRPr="00156980">
        <w:rPr>
          <w:rFonts w:cs="Times New Roman"/>
          <w:szCs w:val="17"/>
          <w:lang w:val="en-US"/>
        </w:rPr>
        <w:t xml:space="preserve">The present theory indicates the set of common features in objects represents a style.“ </w:t>
      </w:r>
      <w:r w:rsidRPr="00156980">
        <w:rPr>
          <w:rFonts w:cs="Times New Roman"/>
          <w:szCs w:val="17"/>
        </w:rPr>
        <w:t>(Chan 2000: 287)</w:t>
      </w:r>
    </w:p>
  </w:footnote>
  <w:footnote w:id="5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Disambiguierung</w:t>
      </w:r>
      <w:r w:rsidR="005D7996">
        <w:rPr>
          <w:szCs w:val="17"/>
        </w:rPr>
        <w:fldChar w:fldCharType="begin"/>
      </w:r>
      <w:r>
        <w:instrText xml:space="preserve"> XE "</w:instrText>
      </w:r>
      <w:r w:rsidRPr="00885A17">
        <w:rPr>
          <w:szCs w:val="17"/>
        </w:rPr>
        <w:instrText>Disambiguierung</w:instrText>
      </w:r>
      <w:r>
        <w:instrText xml:space="preserve">" </w:instrText>
      </w:r>
      <w:r w:rsidR="005D7996">
        <w:rPr>
          <w:szCs w:val="17"/>
        </w:rPr>
        <w:fldChar w:fldCharType="end"/>
      </w:r>
      <w:r w:rsidRPr="00156980">
        <w:rPr>
          <w:szCs w:val="17"/>
        </w:rPr>
        <w:t xml:space="preserve"> sorgt in diesem Fall dafür, dass allgemeinere Merkmalsregeln den Vorzug vor den spezielleren erhalten, die nur für eine der zusammengefassten Realisi</w:t>
      </w:r>
      <w:r w:rsidRPr="00156980">
        <w:rPr>
          <w:szCs w:val="17"/>
        </w:rPr>
        <w:t>e</w:t>
      </w:r>
      <w:r w:rsidRPr="00156980">
        <w:rPr>
          <w:szCs w:val="17"/>
        </w:rPr>
        <w:t>rungen gelten und daher entsprechend seltener angewandt werden können (vgl. A</w:t>
      </w:r>
      <w:r w:rsidRPr="00156980">
        <w:rPr>
          <w:szCs w:val="17"/>
        </w:rPr>
        <w:t>b</w:t>
      </w:r>
      <w:r w:rsidRPr="00156980">
        <w:rPr>
          <w:szCs w:val="17"/>
        </w:rPr>
        <w:t xml:space="preserve">schnitt </w:t>
      </w:r>
      <w:fldSimple w:instr=" REF _Ref213118759 \r \h  \* MERGEFORMAT ">
        <w:r w:rsidR="001231D3" w:rsidRPr="001231D3">
          <w:rPr>
            <w:szCs w:val="17"/>
          </w:rPr>
          <w:t>5.5.4</w:t>
        </w:r>
      </w:fldSimple>
      <w:r w:rsidRPr="00156980">
        <w:rPr>
          <w:szCs w:val="17"/>
        </w:rPr>
        <w:t>, Modul 2 und Modul 4).</w:t>
      </w:r>
    </w:p>
  </w:footnote>
  <w:footnote w:id="5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Wittgenstein 1953: § 67.</w:t>
      </w:r>
    </w:p>
  </w:footnote>
  <w:footnote w:id="6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8165210 \h  \* MERGEFORMAT ">
        <w:r w:rsidR="001231D3" w:rsidRPr="001231D3">
          <w:rPr>
            <w:szCs w:val="17"/>
          </w:rPr>
          <w:t>598</w:t>
        </w:r>
      </w:fldSimple>
      <w:r w:rsidRPr="00156980">
        <w:rPr>
          <w:szCs w:val="17"/>
        </w:rPr>
        <w:t>.</w:t>
      </w:r>
    </w:p>
  </w:footnote>
  <w:footnote w:id="6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Nach diesem Prinzip arbeiten viele Stilkunden in Architektur, Kunst und Musik. Be</w:t>
      </w:r>
      <w:r w:rsidRPr="00156980">
        <w:rPr>
          <w:szCs w:val="17"/>
        </w:rPr>
        <w:t>i</w:t>
      </w:r>
      <w:r w:rsidRPr="00156980">
        <w:rPr>
          <w:szCs w:val="17"/>
        </w:rPr>
        <w:t>spielsweise wird in Calloway 2005 für einen funktional spezifizierten Haustyp (Woh</w:t>
      </w:r>
      <w:r w:rsidRPr="00156980">
        <w:rPr>
          <w:szCs w:val="17"/>
        </w:rPr>
        <w:t>n</w:t>
      </w:r>
      <w:r w:rsidRPr="00156980">
        <w:rPr>
          <w:szCs w:val="17"/>
        </w:rPr>
        <w:t>häuser) eine Stilübersicht gegeben, die für die einzelnen Gruppenstile wie „Early Georgian“, „Colonial“ und „Regency“ jeweils für die einzelnen Schemaorte („Windows“, „Walls“, „Ceilings“, „Fireplaces“, „Stairs“ usw.) Ausführungsvarianten vorstellt, wobei die Variationsbreite innerhalb des Gruppenstils durch verschiedene Abbildungen exempliziert wird. Für die Kunst sei die „Belser Stilgeschichte“ (Wetzel 2004) genannt; wichtigen Gruppen- und Epochenstilen werden Einzelpublikationen gewidmet oder sie werden in Publikationsreihen wie der ebenfalls von Belser herausgegebenen Reihe „Wie erkenne ich?“ (z.B. Düchting 2005) abgehandelt. Auch für die Musik gibt es Stilkunden (z.B. Riemann 1908, Adler 1911 und 1924, Kühn 1981), die Beispiele verwenden, um die Extension</w:t>
      </w:r>
      <w:r w:rsidR="005D7996">
        <w:rPr>
          <w:szCs w:val="17"/>
        </w:rPr>
        <w:fldChar w:fldCharType="begin"/>
      </w:r>
      <w:r>
        <w:instrText xml:space="preserve"> XE "</w:instrText>
      </w:r>
      <w:r w:rsidRPr="0018783F">
        <w:instrText>Extension</w:instrText>
      </w:r>
      <w:r>
        <w:instrText xml:space="preserve">" </w:instrText>
      </w:r>
      <w:r w:rsidR="005D7996">
        <w:rPr>
          <w:szCs w:val="17"/>
        </w:rPr>
        <w:fldChar w:fldCharType="end"/>
      </w:r>
      <w:r w:rsidRPr="00156980">
        <w:rPr>
          <w:szCs w:val="17"/>
        </w:rPr>
        <w:t xml:space="preserve"> eines Gruppenstils abzudecken. Häufig werden solche extensionalen Darste</w:t>
      </w:r>
      <w:r w:rsidRPr="00156980">
        <w:rPr>
          <w:szCs w:val="17"/>
        </w:rPr>
        <w:t>l</w:t>
      </w:r>
      <w:r w:rsidRPr="00156980">
        <w:rPr>
          <w:szCs w:val="17"/>
        </w:rPr>
        <w:t>lungen durch Angabe von Kriterien für die Einordnung in den Gruppenstil ergänzt.</w:t>
      </w:r>
    </w:p>
  </w:footnote>
  <w:footnote w:id="6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Beispiel dafür liefert die Gestaltung der verschiedenen Portale des Berliner Stad</w:t>
      </w:r>
      <w:r w:rsidRPr="00156980">
        <w:rPr>
          <w:szCs w:val="17"/>
        </w:rPr>
        <w:t>t</w:t>
      </w:r>
      <w:r w:rsidRPr="00156980">
        <w:rPr>
          <w:szCs w:val="17"/>
        </w:rPr>
        <w:t>schlosses</w:t>
      </w:r>
      <w:r w:rsidR="005D7996">
        <w:rPr>
          <w:szCs w:val="17"/>
        </w:rPr>
        <w:fldChar w:fldCharType="begin"/>
      </w:r>
      <w:r>
        <w:instrText xml:space="preserve"> XE "</w:instrText>
      </w:r>
      <w:r w:rsidRPr="006842A9">
        <w:rPr>
          <w:szCs w:val="17"/>
        </w:rPr>
        <w:instrText>Berliner Stadtschloss</w:instrText>
      </w:r>
      <w:r>
        <w:instrText xml:space="preserve">" </w:instrText>
      </w:r>
      <w:r w:rsidR="005D7996">
        <w:rPr>
          <w:szCs w:val="17"/>
        </w:rPr>
        <w:fldChar w:fldCharType="end"/>
      </w:r>
      <w:r w:rsidRPr="00156980">
        <w:rPr>
          <w:szCs w:val="17"/>
        </w:rPr>
        <w:t xml:space="preserve"> durch Andreas Schlüter</w:t>
      </w:r>
      <w:r w:rsidR="005D7996">
        <w:rPr>
          <w:szCs w:val="17"/>
        </w:rPr>
        <w:fldChar w:fldCharType="begin"/>
      </w:r>
      <w:r>
        <w:instrText xml:space="preserve"> XE "</w:instrText>
      </w:r>
      <w:r w:rsidRPr="00170637">
        <w:rPr>
          <w:szCs w:val="17"/>
        </w:rPr>
        <w:instrText>Schlüter, Andreas</w:instrText>
      </w:r>
      <w:r>
        <w:instrText xml:space="preserve">" </w:instrText>
      </w:r>
      <w:r w:rsidR="005D7996">
        <w:rPr>
          <w:szCs w:val="17"/>
        </w:rPr>
        <w:fldChar w:fldCharType="end"/>
      </w:r>
      <w:r w:rsidRPr="00156980">
        <w:rPr>
          <w:szCs w:val="17"/>
        </w:rPr>
        <w:t>; der das Portal I an der Südfassade, den Zugang zum Schlossplatz, im hohen Stil, dagegen das Portal V an der Nordfassade, den Ausgang zum Hofgarten, im niederen Stil ausführte (Hoppe 2008: 75).</w:t>
      </w:r>
    </w:p>
  </w:footnote>
  <w:footnote w:id="60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Heiner Borggrefe schreibt dazu: „Das Erkennen der historischen Praxis des differenzie</w:t>
      </w:r>
      <w:r w:rsidRPr="00156980">
        <w:rPr>
          <w:szCs w:val="17"/>
        </w:rPr>
        <w:t>r</w:t>
      </w:r>
      <w:r w:rsidRPr="00156980">
        <w:rPr>
          <w:szCs w:val="17"/>
        </w:rPr>
        <w:t>ten Umgangs mit Formen und Modi blieb der Stilgeschichte ebenso wie der Ikonologie</w:t>
      </w:r>
      <w:r w:rsidR="005D7996">
        <w:rPr>
          <w:szCs w:val="17"/>
        </w:rPr>
        <w:fldChar w:fldCharType="begin"/>
      </w:r>
      <w:r>
        <w:instrText xml:space="preserve"> XE "</w:instrText>
      </w:r>
      <w:r w:rsidRPr="008932A7">
        <w:rPr>
          <w:szCs w:val="17"/>
        </w:rPr>
        <w:instrText>Ikonologie</w:instrText>
      </w:r>
      <w:r>
        <w:instrText xml:space="preserve">" </w:instrText>
      </w:r>
      <w:r w:rsidR="005D7996">
        <w:rPr>
          <w:szCs w:val="17"/>
        </w:rPr>
        <w:fldChar w:fldCharType="end"/>
      </w:r>
      <w:r w:rsidRPr="00156980">
        <w:rPr>
          <w:szCs w:val="17"/>
        </w:rPr>
        <w:t xml:space="preserve"> verschlossen, da beide die Formen jenseits ihrer sozialen Zwecke betrachteten.“ (Borggrefe 2008: 115)</w:t>
      </w:r>
    </w:p>
  </w:footnote>
  <w:footnote w:id="6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Tatsächlich ist es etwas komplizierter, als es sich bei Borggrefe anhört: Die Betonung der individuellen, anlassbezogenen Gestaltungsleistung und der individuen-, schulen- und epochenübergreifenden Entwicklungsprozesse wechseln sich in der Kunstgeschichte</w:t>
      </w:r>
      <w:r w:rsidR="005D7996">
        <w:rPr>
          <w:szCs w:val="17"/>
        </w:rPr>
        <w:fldChar w:fldCharType="begin"/>
      </w:r>
      <w:r>
        <w:instrText xml:space="preserve"> XE "</w:instrText>
      </w:r>
      <w:r w:rsidRPr="000853B0">
        <w:instrText>Kunstgeschichte</w:instrText>
      </w:r>
      <w:r>
        <w:instrText xml:space="preserve">" </w:instrText>
      </w:r>
      <w:r w:rsidR="005D7996">
        <w:rPr>
          <w:szCs w:val="17"/>
        </w:rPr>
        <w:fldChar w:fldCharType="end"/>
      </w:r>
      <w:r w:rsidRPr="00156980">
        <w:rPr>
          <w:szCs w:val="17"/>
        </w:rPr>
        <w:t xml:space="preserve"> i</w:t>
      </w:r>
      <w:r w:rsidRPr="00156980">
        <w:rPr>
          <w:szCs w:val="17"/>
        </w:rPr>
        <w:t>m</w:t>
      </w:r>
      <w:r w:rsidRPr="00156980">
        <w:rPr>
          <w:szCs w:val="17"/>
        </w:rPr>
        <w:t>mer wieder ab. Beispielsweise schrieb Alois Riegl</w:t>
      </w:r>
      <w:r w:rsidR="005D7996">
        <w:rPr>
          <w:szCs w:val="17"/>
        </w:rPr>
        <w:fldChar w:fldCharType="begin"/>
      </w:r>
      <w:r>
        <w:instrText xml:space="preserve"> XE "</w:instrText>
      </w:r>
      <w:r w:rsidRPr="005F0CFF">
        <w:rPr>
          <w:szCs w:val="17"/>
        </w:rPr>
        <w:instrText>Riegl, Alois</w:instrText>
      </w:r>
      <w:r>
        <w:instrText xml:space="preserve">" </w:instrText>
      </w:r>
      <w:r w:rsidR="005D7996">
        <w:rPr>
          <w:szCs w:val="17"/>
        </w:rPr>
        <w:fldChar w:fldCharType="end"/>
      </w:r>
      <w:r w:rsidRPr="00156980">
        <w:rPr>
          <w:szCs w:val="17"/>
        </w:rPr>
        <w:t xml:space="preserve"> 1893 die Geschichte der Ornamentik</w:t>
      </w:r>
      <w:r w:rsidR="005D7996">
        <w:rPr>
          <w:szCs w:val="17"/>
        </w:rPr>
        <w:fldChar w:fldCharType="begin"/>
      </w:r>
      <w:r>
        <w:instrText xml:space="preserve"> XE "</w:instrText>
      </w:r>
      <w:r w:rsidRPr="0059004A">
        <w:rPr>
          <w:szCs w:val="17"/>
        </w:rPr>
        <w:instrText>Ornament</w:instrText>
      </w:r>
      <w:r>
        <w:instrText xml:space="preserve">" </w:instrText>
      </w:r>
      <w:r w:rsidR="005D7996">
        <w:rPr>
          <w:szCs w:val="17"/>
        </w:rPr>
        <w:fldChar w:fldCharType="end"/>
      </w:r>
      <w:r w:rsidRPr="00156980">
        <w:rPr>
          <w:szCs w:val="17"/>
        </w:rPr>
        <w:t xml:space="preserve"> als eine der Formentwicklung und polemisierte im Vorwort gegen den „siegreichen Terr</w:t>
      </w:r>
      <w:r w:rsidRPr="00156980">
        <w:rPr>
          <w:szCs w:val="17"/>
        </w:rPr>
        <w:t>o</w:t>
      </w:r>
      <w:r w:rsidRPr="00156980">
        <w:rPr>
          <w:szCs w:val="17"/>
        </w:rPr>
        <w:t>rismus jene[r] Extremen“, der Anhänger der „materialistischen Auffassung von dem U</w:t>
      </w:r>
      <w:r w:rsidRPr="00156980">
        <w:rPr>
          <w:szCs w:val="17"/>
        </w:rPr>
        <w:t>r</w:t>
      </w:r>
      <w:r w:rsidRPr="00156980">
        <w:rPr>
          <w:szCs w:val="17"/>
        </w:rPr>
        <w:t>sprunge alles Kunstschaffens“, die technische, materielle und funktionale Bedingungen</w:t>
      </w:r>
      <w:r w:rsidR="005D7996">
        <w:rPr>
          <w:szCs w:val="17"/>
        </w:rPr>
        <w:fldChar w:fldCharType="begin"/>
      </w:r>
      <w:r>
        <w:instrText xml:space="preserve"> XE "</w:instrText>
      </w:r>
      <w:r w:rsidRPr="00DB4D56">
        <w:instrText>funktionale Bedingungen</w:instrText>
      </w:r>
      <w:r>
        <w:instrText xml:space="preserve">" </w:instrText>
      </w:r>
      <w:r w:rsidR="005D7996">
        <w:rPr>
          <w:szCs w:val="17"/>
        </w:rPr>
        <w:fldChar w:fldCharType="end"/>
      </w:r>
      <w:r w:rsidRPr="00156980">
        <w:rPr>
          <w:szCs w:val="17"/>
        </w:rPr>
        <w:t xml:space="preserve"> für die vorgefundenen Formen verantwortlich mache und Zusammenhänge zwischen ve</w:t>
      </w:r>
      <w:r w:rsidRPr="00156980">
        <w:rPr>
          <w:szCs w:val="17"/>
        </w:rPr>
        <w:t>r</w:t>
      </w:r>
      <w:r w:rsidRPr="00156980">
        <w:rPr>
          <w:szCs w:val="17"/>
        </w:rPr>
        <w:t>schiedenen Zeiten, Völkern und Traditionen nicht sehe (Riegl 1893: VI). Anfang der 1960er Jahre schwang das Pendel wieder zurück, als James S. Ackerman sich gegen g</w:t>
      </w:r>
      <w:r w:rsidRPr="00156980">
        <w:rPr>
          <w:szCs w:val="17"/>
        </w:rPr>
        <w:t>e</w:t>
      </w:r>
      <w:r w:rsidRPr="00156980">
        <w:rPr>
          <w:szCs w:val="17"/>
        </w:rPr>
        <w:t>schichtliche Entwicklungstheorien wandte und künstlerischen Stil als Ausdruck der Vo</w:t>
      </w:r>
      <w:r w:rsidRPr="00156980">
        <w:rPr>
          <w:szCs w:val="17"/>
        </w:rPr>
        <w:t>r</w:t>
      </w:r>
      <w:r w:rsidRPr="00156980">
        <w:rPr>
          <w:szCs w:val="17"/>
        </w:rPr>
        <w:t>stellungskraft („imagination“) einzelner Künstler (Ackerman 1962: 233) in Zusamme</w:t>
      </w:r>
      <w:r w:rsidRPr="00156980">
        <w:rPr>
          <w:szCs w:val="17"/>
        </w:rPr>
        <w:t>n</w:t>
      </w:r>
      <w:r w:rsidRPr="00156980">
        <w:rPr>
          <w:szCs w:val="17"/>
        </w:rPr>
        <w:t>spiel mit den jeweiligen gesellschaftlichen Bedingungen (ebd.: 235) auffasste.</w:t>
      </w:r>
    </w:p>
  </w:footnote>
  <w:footnote w:id="6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Primat des fertigen Textes über seinen Erzeugungsprozess wurde durch die postm</w:t>
      </w:r>
      <w:r w:rsidRPr="00156980">
        <w:rPr>
          <w:szCs w:val="17"/>
        </w:rPr>
        <w:t>o</w:t>
      </w:r>
      <w:r w:rsidRPr="00156980">
        <w:rPr>
          <w:szCs w:val="17"/>
        </w:rPr>
        <w:t>derne Theoriebildung in Frage gestellt, und auch in der Kunst selbst wird seitdem nach Aufhebung der Grenze zwischen beiden Schemata gestrebt. Das Spätwerk von Friedrich Dürrenmatt</w:t>
      </w:r>
      <w:r w:rsidR="005D7996">
        <w:rPr>
          <w:szCs w:val="17"/>
        </w:rPr>
        <w:fldChar w:fldCharType="begin"/>
      </w:r>
      <w:r>
        <w:instrText xml:space="preserve"> XE "</w:instrText>
      </w:r>
      <w:r w:rsidRPr="00B9739D">
        <w:rPr>
          <w:szCs w:val="17"/>
        </w:rPr>
        <w:instrText>Dürrenmatt, Friedrich</w:instrText>
      </w:r>
      <w:r>
        <w:instrText xml:space="preserve">" </w:instrText>
      </w:r>
      <w:r w:rsidR="005D7996">
        <w:rPr>
          <w:szCs w:val="17"/>
        </w:rPr>
        <w:fldChar w:fldCharType="end"/>
      </w:r>
      <w:r w:rsidRPr="00156980">
        <w:rPr>
          <w:szCs w:val="17"/>
        </w:rPr>
        <w:t>, in dem er bereits verarbeitete Stoffe in neuen Versionen weiterdenkt, ohne dass auf eine gültige Version hingearbeitet wird (vgl. Dürrenmatt 1981, 1990 und 1992), sei als Beispiel für ein Werkkorpus genannt, das zum Ziel hat, die klare Trennung zw</w:t>
      </w:r>
      <w:r w:rsidRPr="00156980">
        <w:rPr>
          <w:szCs w:val="17"/>
        </w:rPr>
        <w:t>i</w:t>
      </w:r>
      <w:r w:rsidRPr="00156980">
        <w:rPr>
          <w:szCs w:val="17"/>
        </w:rPr>
        <w:t>schen Erzeugungs- und Ergebnisschemata aufzuheben.</w:t>
      </w:r>
    </w:p>
  </w:footnote>
  <w:footnote w:id="6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Etwa durch den </w:t>
      </w:r>
      <w:r w:rsidRPr="00156980">
        <w:rPr>
          <w:rFonts w:cs="Times New Roman"/>
          <w:szCs w:val="17"/>
        </w:rPr>
        <w:t>„</w:t>
      </w:r>
      <w:r w:rsidRPr="00156980">
        <w:rPr>
          <w:szCs w:val="17"/>
        </w:rPr>
        <w:t>erweiterten Kunstbegriff</w:t>
      </w:r>
      <w:r w:rsidRPr="00156980">
        <w:rPr>
          <w:rFonts w:cs="Times New Roman"/>
          <w:szCs w:val="17"/>
        </w:rPr>
        <w:t>“</w:t>
      </w:r>
      <w:r w:rsidRPr="00156980">
        <w:rPr>
          <w:szCs w:val="17"/>
        </w:rPr>
        <w:t xml:space="preserve"> von Joseph Beuys</w:t>
      </w:r>
      <w:r w:rsidR="005D7996">
        <w:rPr>
          <w:szCs w:val="17"/>
        </w:rPr>
        <w:fldChar w:fldCharType="begin"/>
      </w:r>
      <w:r>
        <w:instrText xml:space="preserve"> XE "</w:instrText>
      </w:r>
      <w:r w:rsidRPr="00740794">
        <w:rPr>
          <w:szCs w:val="17"/>
        </w:rPr>
        <w:instrText>Beuys, Joseph</w:instrText>
      </w:r>
      <w:r>
        <w:instrText xml:space="preserve">" </w:instrText>
      </w:r>
      <w:r w:rsidR="005D7996">
        <w:rPr>
          <w:szCs w:val="17"/>
        </w:rPr>
        <w:fldChar w:fldCharType="end"/>
      </w:r>
      <w:r w:rsidRPr="00156980">
        <w:rPr>
          <w:szCs w:val="17"/>
        </w:rPr>
        <w:t xml:space="preserve"> oder durch Kunstformen wie das Happening</w:t>
      </w:r>
      <w:r w:rsidR="005D7996">
        <w:rPr>
          <w:szCs w:val="17"/>
        </w:rPr>
        <w:fldChar w:fldCharType="begin"/>
      </w:r>
      <w:r>
        <w:instrText xml:space="preserve"> XE "</w:instrText>
      </w:r>
      <w:r w:rsidRPr="00885C79">
        <w:rPr>
          <w:szCs w:val="17"/>
        </w:rPr>
        <w:instrText>Happening</w:instrText>
      </w:r>
      <w:r>
        <w:instrText xml:space="preserve">" </w:instrText>
      </w:r>
      <w:r w:rsidR="005D7996">
        <w:rPr>
          <w:szCs w:val="17"/>
        </w:rPr>
        <w:fldChar w:fldCharType="end"/>
      </w:r>
      <w:r w:rsidRPr="00156980">
        <w:rPr>
          <w:szCs w:val="17"/>
        </w:rPr>
        <w:t>.</w:t>
      </w:r>
    </w:p>
  </w:footnote>
  <w:footnote w:id="6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kann formuliert werden als die Frage, ob sich die reale Welt mit dem entspreche</w:t>
      </w:r>
      <w:r w:rsidRPr="00156980">
        <w:rPr>
          <w:szCs w:val="17"/>
        </w:rPr>
        <w:t>n</w:t>
      </w:r>
      <w:r w:rsidRPr="00156980">
        <w:rPr>
          <w:szCs w:val="17"/>
        </w:rPr>
        <w:t>den Verhalten von der möglichen Welt, die sich nur im Fehlen des entsprechenden Ve</w:t>
      </w:r>
      <w:r w:rsidRPr="00156980">
        <w:rPr>
          <w:szCs w:val="17"/>
        </w:rPr>
        <w:t>r</w:t>
      </w:r>
      <w:r w:rsidRPr="00156980">
        <w:rPr>
          <w:szCs w:val="17"/>
        </w:rPr>
        <w:t>haltens von der realen unterscheidet, mit zunehmender zeitlicher Distanz vom Verhalten immer weiter entfernt oder ob sie sich wieder annähert.</w:t>
      </w:r>
    </w:p>
  </w:footnote>
  <w:footnote w:id="6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solches Verhaltensergebnisschema würde die Ergebnisse von Mord (den Zustand der Leiche, die Folgen für das soziale Umfeld, die Reaktionen der Angehörigen, die Ermit</w:t>
      </w:r>
      <w:r w:rsidRPr="00156980">
        <w:rPr>
          <w:szCs w:val="17"/>
        </w:rPr>
        <w:t>t</w:t>
      </w:r>
      <w:r w:rsidRPr="00156980">
        <w:rPr>
          <w:szCs w:val="17"/>
        </w:rPr>
        <w:t>lung der Polizei, die psychischen Auswirkungen auf den Täter usw.) unabhängig vom Verhalten selbst definieren, so wie ein Artefaktschema wie ‚Wohnhaus‘ (ein Verhalten</w:t>
      </w:r>
      <w:r w:rsidRPr="00156980">
        <w:rPr>
          <w:szCs w:val="17"/>
        </w:rPr>
        <w:t>s</w:t>
      </w:r>
      <w:r w:rsidRPr="00156980">
        <w:rPr>
          <w:szCs w:val="17"/>
        </w:rPr>
        <w:t>ergebnisschema bei artefakterzeugendem Verhalten) das Artefakt, ein Gebäude, una</w:t>
      </w:r>
      <w:r w:rsidRPr="00156980">
        <w:rPr>
          <w:szCs w:val="17"/>
        </w:rPr>
        <w:t>b</w:t>
      </w:r>
      <w:r w:rsidRPr="00156980">
        <w:rPr>
          <w:szCs w:val="17"/>
        </w:rPr>
        <w:t>hängig vom konkreten Bauvorgang definiert.</w:t>
      </w:r>
    </w:p>
  </w:footnote>
  <w:footnote w:id="6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Soziolekten vgl. Steinig 1976 und Kubczak 1979, aus stiltheoretischer Perspektive Dittmar 2009a.</w:t>
      </w:r>
    </w:p>
  </w:footnote>
  <w:footnote w:id="6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Fachsprachen vgl. L. Hoffmann u.a. 1998–1999 und Roelcke 1999, aus stiltheoret</w:t>
      </w:r>
      <w:r w:rsidRPr="00156980">
        <w:rPr>
          <w:szCs w:val="17"/>
        </w:rPr>
        <w:t>i</w:t>
      </w:r>
      <w:r w:rsidRPr="00156980">
        <w:rPr>
          <w:szCs w:val="17"/>
        </w:rPr>
        <w:t>scher Perspektive Busch-Lauer 2009.</w:t>
      </w:r>
    </w:p>
  </w:footnote>
  <w:footnote w:id="6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Sprachebenen (Registern) vgl. Fairclough 1988 und Hess-Lüttich 2003, aus stiltheor</w:t>
      </w:r>
      <w:r w:rsidRPr="00156980">
        <w:rPr>
          <w:szCs w:val="17"/>
        </w:rPr>
        <w:t>e</w:t>
      </w:r>
      <w:r w:rsidRPr="00156980">
        <w:rPr>
          <w:szCs w:val="17"/>
        </w:rPr>
        <w:t>tischer Perspektive Gläser 1976, Spillner 1987 und Schirren 2009.</w:t>
      </w:r>
    </w:p>
  </w:footnote>
  <w:footnote w:id="6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Historische Sprachstufen werden dabei nicht unter Stil gerechnet, wohl aber die gleic</w:t>
      </w:r>
      <w:r w:rsidRPr="00156980">
        <w:rPr>
          <w:szCs w:val="17"/>
        </w:rPr>
        <w:t>h</w:t>
      </w:r>
      <w:r w:rsidRPr="00156980">
        <w:rPr>
          <w:szCs w:val="17"/>
        </w:rPr>
        <w:t>zeitige Verwendung verschiedener Stufen der Sprachentwicklung, etwa durch verschied</w:t>
      </w:r>
      <w:r w:rsidRPr="00156980">
        <w:rPr>
          <w:szCs w:val="17"/>
        </w:rPr>
        <w:t>e</w:t>
      </w:r>
      <w:r w:rsidRPr="00156980">
        <w:rPr>
          <w:szCs w:val="17"/>
        </w:rPr>
        <w:t>ne Milieus</w:t>
      </w:r>
      <w:r w:rsidR="005D7996">
        <w:rPr>
          <w:szCs w:val="17"/>
        </w:rPr>
        <w:fldChar w:fldCharType="begin"/>
      </w:r>
      <w:r>
        <w:instrText xml:space="preserve"> XE "</w:instrText>
      </w:r>
      <w:r w:rsidRPr="00205034">
        <w:rPr>
          <w:szCs w:val="17"/>
        </w:rPr>
        <w:instrText>Milieu</w:instrText>
      </w:r>
      <w:r>
        <w:instrText xml:space="preserve">" </w:instrText>
      </w:r>
      <w:r w:rsidR="005D7996">
        <w:rPr>
          <w:szCs w:val="17"/>
        </w:rPr>
        <w:fldChar w:fldCharType="end"/>
      </w:r>
      <w:r w:rsidRPr="00156980">
        <w:rPr>
          <w:szCs w:val="17"/>
        </w:rPr>
        <w:t xml:space="preserve"> oder Altersgruppen. – Zu Sprachstufen vgl. Keller 1994; zum Zusammenhang zwischen Sprachwandel und Stilwandel Warnke 2009.</w:t>
      </w:r>
    </w:p>
  </w:footnote>
  <w:footnote w:id="6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Zu Epochenstilen vgl. Por 1982, Sowinski 1994 und Müller 2009.</w:t>
      </w:r>
    </w:p>
  </w:footnote>
  <w:footnote w:id="6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Wenn sich Zeichenrepertoire und Kombinationsregeln</w:t>
      </w:r>
      <w:r w:rsidR="005D7996">
        <w:rPr>
          <w:szCs w:val="17"/>
        </w:rPr>
        <w:fldChar w:fldCharType="begin"/>
      </w:r>
      <w:r>
        <w:instrText xml:space="preserve"> XE "</w:instrText>
      </w:r>
      <w:r w:rsidRPr="00197230">
        <w:rPr>
          <w:rFonts w:eastAsia="Times New Roman" w:cs="Times New Roman"/>
        </w:rPr>
        <w:instrText>Kombinationsregeln</w:instrText>
      </w:r>
      <w:r>
        <w:instrText xml:space="preserve">" </w:instrText>
      </w:r>
      <w:r w:rsidR="005D7996">
        <w:rPr>
          <w:szCs w:val="17"/>
        </w:rPr>
        <w:fldChar w:fldCharType="end"/>
      </w:r>
      <w:r w:rsidRPr="00156980">
        <w:rPr>
          <w:szCs w:val="17"/>
        </w:rPr>
        <w:t xml:space="preserve"> substantiell unterscheiden, sollten diachrone oder synchrone Varianten eines Zeichensystems angenommen werden (vgl. auch Fußnote </w:t>
      </w:r>
      <w:fldSimple w:instr=" NOTEREF _Ref262134332 \h  \* MERGEFORMAT ">
        <w:r w:rsidR="001231D3" w:rsidRPr="001231D3">
          <w:rPr>
            <w:szCs w:val="17"/>
          </w:rPr>
          <w:t>644</w:t>
        </w:r>
      </w:fldSimple>
      <w:r w:rsidRPr="00156980">
        <w:rPr>
          <w:szCs w:val="17"/>
        </w:rPr>
        <w:t>).</w:t>
      </w:r>
    </w:p>
  </w:footnote>
  <w:footnote w:id="6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Michel 1988: 291.</w:t>
      </w:r>
    </w:p>
  </w:footnote>
  <w:footnote w:id="6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 allen Stilen wird ein Schema ausgeführt (siehe </w:t>
      </w:r>
      <w:fldSimple w:instr=" REF _Ref212110965 \r \h  \* MERGEFORMAT ">
        <w:r w:rsidR="001231D3" w:rsidRPr="001231D3">
          <w:rPr>
            <w:szCs w:val="17"/>
          </w:rPr>
          <w:t>5.2.2</w:t>
        </w:r>
      </w:fldSimple>
      <w:r w:rsidRPr="00156980">
        <w:rPr>
          <w:szCs w:val="17"/>
        </w:rPr>
        <w:t xml:space="preserve">), bei Textschemata wird zudem ein Zeichensystem verwendet (siehe </w:t>
      </w:r>
      <w:fldSimple w:instr=" REF _Ref212082822 \r \h  \* MERGEFORMAT ">
        <w:r w:rsidR="001231D3" w:rsidRPr="001231D3">
          <w:rPr>
            <w:szCs w:val="17"/>
          </w:rPr>
          <w:t>4.2.2</w:t>
        </w:r>
      </w:fldSimple>
      <w:r w:rsidRPr="00156980">
        <w:rPr>
          <w:szCs w:val="17"/>
        </w:rPr>
        <w:t>).</w:t>
      </w:r>
    </w:p>
  </w:footnote>
  <w:footnote w:id="61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Absichtlichkeit kann nicht als Voraussetzung für Stil betrachtet werden, da zahlreiche stilistische Phänomene nicht-absichtlich sind (etwa die Einflüsse der Erziehung, der Au</w:t>
      </w:r>
      <w:r w:rsidRPr="00156980">
        <w:rPr>
          <w:szCs w:val="17"/>
        </w:rPr>
        <w:t>s</w:t>
      </w:r>
      <w:r w:rsidRPr="00156980">
        <w:rPr>
          <w:szCs w:val="17"/>
        </w:rPr>
        <w:t>bildung oder der Persönlichkeit).</w:t>
      </w:r>
    </w:p>
  </w:footnote>
  <w:footnote w:id="61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Obwohl Dialekte keine bloßen Sprachstile sind, findet ihre Erkennung häufig in Form einer Stilwahrnehmung statt. Dies gilt insbesondere dann, wenn der Hörer nicht durch ungewöhnliches Vokabular, sondern durch Aussprachevarianten zuerst auf die Tatsache, dass Dialekt</w:t>
      </w:r>
      <w:r w:rsidR="005D7996">
        <w:rPr>
          <w:szCs w:val="17"/>
        </w:rPr>
        <w:fldChar w:fldCharType="begin"/>
      </w:r>
      <w:r>
        <w:instrText xml:space="preserve"> XE "</w:instrText>
      </w:r>
      <w:r w:rsidRPr="009557E9">
        <w:instrText>Dialekt</w:instrText>
      </w:r>
      <w:r>
        <w:instrText xml:space="preserve">" </w:instrText>
      </w:r>
      <w:r w:rsidR="005D7996">
        <w:rPr>
          <w:szCs w:val="17"/>
        </w:rPr>
        <w:fldChar w:fldCharType="end"/>
      </w:r>
      <w:r w:rsidRPr="00156980">
        <w:rPr>
          <w:szCs w:val="17"/>
        </w:rPr>
        <w:t xml:space="preserve"> gesprochen wird, aufmerksam wird. Der Hörer nimmt dann die Verwendung einer bestimmten Zeichensystem-Variante, des Dialekts, zunächst als Stil des erwarteten Zeichensystems, der Standardsprache, wahr. In diesem Fall werden zunächst Merkmal</w:t>
      </w:r>
      <w:r w:rsidRPr="00156980">
        <w:rPr>
          <w:szCs w:val="17"/>
        </w:rPr>
        <w:t>s</w:t>
      </w:r>
      <w:r w:rsidRPr="00156980">
        <w:rPr>
          <w:szCs w:val="17"/>
        </w:rPr>
        <w:t>regeln ausgelesen; erst in der Interpretation wird festgestellt, dass der Grund für die Au</w:t>
      </w:r>
      <w:r w:rsidRPr="00156980">
        <w:rPr>
          <w:szCs w:val="17"/>
        </w:rPr>
        <w:t>s</w:t>
      </w:r>
      <w:r w:rsidRPr="00156980">
        <w:rPr>
          <w:szCs w:val="17"/>
        </w:rPr>
        <w:t xml:space="preserve">sprachevarianten im Sprechen eines Dialekts liegt (vgl. Abschnitt </w:t>
      </w:r>
      <w:fldSimple w:instr=" REF _Ref260072285 \r \h  \* MERGEFORMAT ">
        <w:r w:rsidR="001231D3" w:rsidRPr="001231D3">
          <w:rPr>
            <w:szCs w:val="17"/>
          </w:rPr>
          <w:t>6.3.1.2</w:t>
        </w:r>
      </w:fldSimple>
      <w:r w:rsidRPr="00156980">
        <w:rPr>
          <w:szCs w:val="17"/>
        </w:rPr>
        <w:t>, 3. Beispiel). Ist dies erkannt, kann der Hörer bei ausreichender Vertrautheit mit dem Dialekt auf den Empfang dieser Sprachvariante umstellen; ab diesem Zeitpunkt wird er/sie die dialektalen Aussprachevarianten nicht mehr als Aussprachestil der Standardsprache wahrnehmen. Bei nicht ausreichender Vertrautheit wird der Dialekt weiterhin als ein vom Üblichen abwe</w:t>
      </w:r>
      <w:r w:rsidRPr="00156980">
        <w:rPr>
          <w:szCs w:val="17"/>
        </w:rPr>
        <w:t>i</w:t>
      </w:r>
      <w:r w:rsidRPr="00156980">
        <w:rPr>
          <w:szCs w:val="17"/>
        </w:rPr>
        <w:t>chendes Sprechen der Standardsprache, also als ein Aussprachestil, wahrgenommen.</w:t>
      </w:r>
    </w:p>
  </w:footnote>
  <w:footnote w:id="61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Konnotationen</w:t>
      </w:r>
      <w:r w:rsidR="005D7996">
        <w:rPr>
          <w:szCs w:val="17"/>
        </w:rPr>
        <w:fldChar w:fldCharType="begin"/>
      </w:r>
      <w:r>
        <w:instrText xml:space="preserve"> XE "</w:instrText>
      </w:r>
      <w:r w:rsidRPr="009A792E">
        <w:instrText>Konnotation</w:instrText>
      </w:r>
      <w:r>
        <w:instrText xml:space="preserve">" </w:instrText>
      </w:r>
      <w:r w:rsidR="005D7996">
        <w:rPr>
          <w:szCs w:val="17"/>
        </w:rPr>
        <w:fldChar w:fldCharType="end"/>
      </w:r>
      <w:r w:rsidRPr="00156980">
        <w:rPr>
          <w:szCs w:val="17"/>
        </w:rPr>
        <w:t xml:space="preserve"> zählen zu den „intrinsischen Eigenschaften“ von Elementen; vgl. </w:t>
      </w:r>
      <w:fldSimple w:instr=" REF _Ref211841916 \r \h  \* MERGEFORMAT ">
        <w:r w:rsidR="001231D3" w:rsidRPr="001231D3">
          <w:rPr>
            <w:szCs w:val="17"/>
          </w:rPr>
          <w:t>4.3.2</w:t>
        </w:r>
      </w:fldSimple>
      <w:r w:rsidRPr="00156980">
        <w:rPr>
          <w:szCs w:val="17"/>
        </w:rPr>
        <w:t>, (3).</w:t>
      </w:r>
    </w:p>
  </w:footnote>
  <w:footnote w:id="62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Berücksichtigung der Interpretation Abschnitt </w:t>
      </w:r>
      <w:fldSimple w:instr=" REF _Ref261443581 \r \h  \* MERGEFORMAT ">
        <w:r w:rsidR="001231D3" w:rsidRPr="001231D3">
          <w:rPr>
            <w:szCs w:val="17"/>
          </w:rPr>
          <w:t>7.3.1</w:t>
        </w:r>
      </w:fldSimple>
      <w:r w:rsidRPr="00156980">
        <w:rPr>
          <w:szCs w:val="17"/>
        </w:rPr>
        <w:t>.</w:t>
      </w:r>
    </w:p>
  </w:footnote>
  <w:footnote w:id="62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Funktion </w:t>
      </w:r>
      <w:r w:rsidRPr="00156980">
        <w:rPr>
          <w:i/>
          <w:szCs w:val="17"/>
        </w:rPr>
        <w:t>Suchmethoden_zusammenstellen</w:t>
      </w:r>
      <w:r w:rsidRPr="00156980">
        <w:rPr>
          <w:szCs w:val="17"/>
        </w:rPr>
        <w:t xml:space="preserve"> (Abschnitt </w:t>
      </w:r>
      <w:fldSimple w:instr=" REF _Ref255309936 \r \h  \* MERGEFORMAT ">
        <w:r w:rsidR="001231D3" w:rsidRPr="001231D3">
          <w:rPr>
            <w:szCs w:val="17"/>
          </w:rPr>
          <w:t>7.2.2</w:t>
        </w:r>
      </w:fldSimple>
      <w:r w:rsidRPr="00156980">
        <w:rPr>
          <w:szCs w:val="17"/>
        </w:rPr>
        <w:t>).</w:t>
      </w:r>
    </w:p>
  </w:footnote>
  <w:footnote w:id="62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Tatsächlich haben alle Stildefinitionen, die auf „Stil ist die Art und Weise, etwas zu tun“ basieren, dieses Problem: Sie sind auf den ersten Blick einleuchtend, weil sie Stilphän</w:t>
      </w:r>
      <w:r w:rsidRPr="00156980">
        <w:rPr>
          <w:szCs w:val="17"/>
        </w:rPr>
        <w:t>o</w:t>
      </w:r>
      <w:r w:rsidRPr="00156980">
        <w:rPr>
          <w:szCs w:val="17"/>
        </w:rPr>
        <w:t>mene umfassen und Stil von Inhalt und Funktion abgrenzen. Techniken und Methoden können jedoch auch als „Art und Weise, etwas zu tun“ aufgefasst werden: Beispielsweise ist das Auto ein Fortbewegungsmittel und seine Verwendung eine bestimmte Art und Weise, sich fortzubewegen. Für Kodes gilt dies ebenfalls: Sie sind Mittel, um Informati</w:t>
      </w:r>
      <w:r w:rsidRPr="00156980">
        <w:rPr>
          <w:szCs w:val="17"/>
        </w:rPr>
        <w:t>o</w:t>
      </w:r>
      <w:r w:rsidRPr="00156980">
        <w:rPr>
          <w:szCs w:val="17"/>
        </w:rPr>
        <w:t>nen zu übertragen (semiotisch ausgedrückt: um Zeichenprozesse zu vollziehen); die Verwendung eines bestimmten Kodes kann als bestimmte Art und Weise der Informat</w:t>
      </w:r>
      <w:r w:rsidRPr="00156980">
        <w:rPr>
          <w:szCs w:val="17"/>
        </w:rPr>
        <w:t>i</w:t>
      </w:r>
      <w:r w:rsidRPr="00156980">
        <w:rPr>
          <w:szCs w:val="17"/>
        </w:rPr>
        <w:t>onsübertragung beschrieben werden.</w:t>
      </w:r>
    </w:p>
  </w:footnote>
  <w:footnote w:id="62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kann eine Merkmalsregel für einen bestimmten Schemaort die verlangte Eigenschaft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xml:space="preserve">: königlich‘ verlangen; in diesem Fall muss ein Element gewählt werden, das diese Bedeutung besitzt. (Vgl. Fußnote </w:t>
      </w:r>
      <w:fldSimple w:instr=" NOTEREF _Ref285470251 \h  \* MERGEFORMAT ">
        <w:r w:rsidR="001231D3" w:rsidRPr="001231D3">
          <w:rPr>
            <w:szCs w:val="17"/>
          </w:rPr>
          <w:t>448</w:t>
        </w:r>
      </w:fldSimple>
      <w:r w:rsidRPr="00156980">
        <w:rPr>
          <w:szCs w:val="17"/>
        </w:rPr>
        <w:t>.) Ebenso kann eine Technik (z.B. beim Schema ‚Möbel herstellen‘ die Technik ‚per Hand Drechseln‘) oder Methode (z.B. beim Schema ‚Unterrichten‘ die Methode ‚Frontalunterricht‘) in den verlangten E</w:t>
      </w:r>
      <w:r w:rsidRPr="00156980">
        <w:rPr>
          <w:szCs w:val="17"/>
        </w:rPr>
        <w:t>i</w:t>
      </w:r>
      <w:r w:rsidRPr="00156980">
        <w:rPr>
          <w:szCs w:val="17"/>
        </w:rPr>
        <w:t>genschaften spezifiziert sein.</w:t>
      </w:r>
    </w:p>
  </w:footnote>
  <w:footnote w:id="62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73094460 \r \h  \* MERGEFORMAT ">
        <w:r w:rsidR="001231D3" w:rsidRPr="001231D3">
          <w:rPr>
            <w:szCs w:val="17"/>
          </w:rPr>
          <w:t>3.4</w:t>
        </w:r>
      </w:fldSimple>
      <w:r w:rsidRPr="00156980">
        <w:rPr>
          <w:szCs w:val="17"/>
        </w:rPr>
        <w:t>.</w:t>
      </w:r>
    </w:p>
  </w:footnote>
  <w:footnote w:id="62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3132390 \h  \* MERGEFORMAT ">
        <w:r w:rsidR="001231D3" w:rsidRPr="001231D3">
          <w:rPr>
            <w:szCs w:val="17"/>
          </w:rPr>
          <w:t>3</w:t>
        </w:r>
      </w:fldSimple>
      <w:r w:rsidRPr="00156980">
        <w:rPr>
          <w:szCs w:val="17"/>
        </w:rPr>
        <w:t>.</w:t>
      </w:r>
    </w:p>
  </w:footnote>
  <w:footnote w:id="62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Einen Überblick über das traditionsreiche Thema geben Knape 1996 und Gévaudan 2008; einen dem aktuellen semiotischen Forschungsstand entsprechenden Ansatz zur Figure</w:t>
      </w:r>
      <w:r w:rsidRPr="00156980">
        <w:rPr>
          <w:szCs w:val="17"/>
        </w:rPr>
        <w:t>n</w:t>
      </w:r>
      <w:r w:rsidRPr="00156980">
        <w:rPr>
          <w:szCs w:val="17"/>
        </w:rPr>
        <w:t>lehre hat Plett entwickelt (Plett 1977 und 2000).</w:t>
      </w:r>
    </w:p>
  </w:footnote>
  <w:footnote w:id="62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Deren Gegenstandsbereich</w:t>
      </w:r>
      <w:r w:rsidR="005D7996">
        <w:rPr>
          <w:szCs w:val="17"/>
        </w:rPr>
        <w:fldChar w:fldCharType="begin"/>
      </w:r>
      <w:r>
        <w:instrText xml:space="preserve"> XE "</w:instrText>
      </w:r>
      <w:r w:rsidRPr="00144851">
        <w:instrText>Gegenstandsbereich</w:instrText>
      </w:r>
      <w:r>
        <w:instrText xml:space="preserve">" </w:instrText>
      </w:r>
      <w:r w:rsidR="005D7996">
        <w:rPr>
          <w:szCs w:val="17"/>
        </w:rPr>
        <w:fldChar w:fldCharType="end"/>
      </w:r>
      <w:r w:rsidRPr="00156980">
        <w:rPr>
          <w:szCs w:val="17"/>
        </w:rPr>
        <w:t xml:space="preserve"> enthält zwar keineswegs nur ästhetische Realisierungen – ein großer Teil der Architektur war und ist funktional orientiert –, allerdings konzentrierten sich die Architekturtheoretiker</w:t>
      </w:r>
      <w:r w:rsidR="005D7996">
        <w:rPr>
          <w:szCs w:val="17"/>
        </w:rPr>
        <w:fldChar w:fldCharType="begin"/>
      </w:r>
      <w:r>
        <w:instrText xml:space="preserve"> XE "</w:instrText>
      </w:r>
      <w:r w:rsidRPr="00195B9A">
        <w:instrText>Architekturtheorie</w:instrText>
      </w:r>
      <w:r>
        <w:instrText xml:space="preserve">" </w:instrText>
      </w:r>
      <w:r w:rsidR="005D7996">
        <w:rPr>
          <w:szCs w:val="17"/>
        </w:rPr>
        <w:fldChar w:fldCharType="end"/>
      </w:r>
      <w:r w:rsidRPr="00156980">
        <w:rPr>
          <w:szCs w:val="17"/>
        </w:rPr>
        <w:t xml:space="preserve"> jahrhundertelang auf Architektur mit ästhetischem A</w:t>
      </w:r>
      <w:r w:rsidRPr="00156980">
        <w:rPr>
          <w:szCs w:val="17"/>
        </w:rPr>
        <w:t>n</w:t>
      </w:r>
      <w:r w:rsidRPr="00156980">
        <w:rPr>
          <w:szCs w:val="17"/>
        </w:rPr>
        <w:t>spruch (vgl. Neumeyer 2002).</w:t>
      </w:r>
    </w:p>
  </w:footnote>
  <w:footnote w:id="62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Posner 1980b nimmt eine semiotische Rekonstruktion der Poetik (Ästhetik sprachlicher Texte) vor; Krampen 1979 untersucht die Wahrnehmung von Architekturstilen mit einer Kombination semiotischer und informationsästhetischer Ansätze. Einen Überblick über die semiotisch ausgerichtete Literatur zur Ästhetik bietet Rosenberg u.a. 2003, als Klass</w:t>
      </w:r>
      <w:r w:rsidRPr="00156980">
        <w:rPr>
          <w:szCs w:val="17"/>
        </w:rPr>
        <w:t>i</w:t>
      </w:r>
      <w:r w:rsidRPr="00156980">
        <w:rPr>
          <w:szCs w:val="17"/>
        </w:rPr>
        <w:t>ker seien Arnheim 1954, Muka</w:t>
      </w:r>
      <w:r w:rsidRPr="0032272F">
        <w:rPr>
          <w:rFonts w:ascii="Times New Roman" w:hAnsi="Times New Roman" w:cs="Times New Roman"/>
          <w:szCs w:val="17"/>
        </w:rPr>
        <w:t>ř</w:t>
      </w:r>
      <w:r w:rsidRPr="00156980">
        <w:rPr>
          <w:szCs w:val="17"/>
        </w:rPr>
        <w:t>ovský 1974, Eco 1976: Abschnitt 3.7, Bense</w:t>
      </w:r>
      <w:r w:rsidR="005D7996">
        <w:rPr>
          <w:szCs w:val="17"/>
        </w:rPr>
        <w:fldChar w:fldCharType="begin"/>
      </w:r>
      <w:r>
        <w:instrText xml:space="preserve"> XE "</w:instrText>
      </w:r>
      <w:r w:rsidRPr="00212994">
        <w:rPr>
          <w:szCs w:val="17"/>
        </w:rPr>
        <w:instrText>Bense, Max</w:instrText>
      </w:r>
      <w:r>
        <w:instrText xml:space="preserve">" </w:instrText>
      </w:r>
      <w:r w:rsidR="005D7996">
        <w:rPr>
          <w:szCs w:val="17"/>
        </w:rPr>
        <w:fldChar w:fldCharType="end"/>
      </w:r>
      <w:r w:rsidRPr="00156980">
        <w:rPr>
          <w:szCs w:val="17"/>
        </w:rPr>
        <w:t xml:space="preserve"> 1954–1960, 1969 und 1979 sowie Goodman</w:t>
      </w:r>
      <w:r w:rsidR="005D7996">
        <w:rPr>
          <w:szCs w:val="17"/>
        </w:rPr>
        <w:fldChar w:fldCharType="begin"/>
      </w:r>
      <w:r>
        <w:instrText xml:space="preserve"> XE "</w:instrText>
      </w:r>
      <w:r w:rsidRPr="00CE47D6">
        <w:rPr>
          <w:szCs w:val="17"/>
        </w:rPr>
        <w:instrText>Goodman, Nelson</w:instrText>
      </w:r>
      <w:r>
        <w:instrText xml:space="preserve">" </w:instrText>
      </w:r>
      <w:r w:rsidR="005D7996">
        <w:rPr>
          <w:szCs w:val="17"/>
        </w:rPr>
        <w:fldChar w:fldCharType="end"/>
      </w:r>
      <w:r w:rsidRPr="00156980">
        <w:rPr>
          <w:szCs w:val="17"/>
        </w:rPr>
        <w:t xml:space="preserve"> 1973 genannt. (Weitere relevante Autoren werden in A</w:t>
      </w:r>
      <w:r w:rsidRPr="00156980">
        <w:rPr>
          <w:szCs w:val="17"/>
        </w:rPr>
        <w:t>b</w:t>
      </w:r>
      <w:r w:rsidRPr="00156980">
        <w:rPr>
          <w:szCs w:val="17"/>
        </w:rPr>
        <w:t xml:space="preserve">schnitt </w:t>
      </w:r>
      <w:fldSimple w:instr=" REF _Ref267836372 \r \h  \* MERGEFORMAT ">
        <w:r w:rsidR="001231D3" w:rsidRPr="001231D3">
          <w:rPr>
            <w:szCs w:val="17"/>
          </w:rPr>
          <w:t>3.6</w:t>
        </w:r>
      </w:fldSimple>
      <w:r w:rsidRPr="00156980">
        <w:rPr>
          <w:szCs w:val="17"/>
        </w:rPr>
        <w:t xml:space="preserve"> zu „Stil als Struktur“ erwähnt. Der Strukturalismus</w:t>
      </w:r>
      <w:r w:rsidR="005D7996">
        <w:rPr>
          <w:szCs w:val="17"/>
        </w:rPr>
        <w:fldChar w:fldCharType="begin"/>
      </w:r>
      <w:r>
        <w:instrText xml:space="preserve"> XE "</w:instrText>
      </w:r>
      <w:r w:rsidRPr="008567DE">
        <w:instrText>Strukturalismus</w:instrText>
      </w:r>
      <w:r>
        <w:instrText xml:space="preserve">" </w:instrText>
      </w:r>
      <w:r w:rsidR="005D7996">
        <w:rPr>
          <w:szCs w:val="17"/>
        </w:rPr>
        <w:fldChar w:fldCharType="end"/>
      </w:r>
      <w:r w:rsidRPr="00156980">
        <w:rPr>
          <w:szCs w:val="17"/>
        </w:rPr>
        <w:t xml:space="preserve"> war stets eng auf die S</w:t>
      </w:r>
      <w:r w:rsidRPr="00156980">
        <w:rPr>
          <w:szCs w:val="17"/>
        </w:rPr>
        <w:t>e</w:t>
      </w:r>
      <w:r w:rsidRPr="00156980">
        <w:rPr>
          <w:szCs w:val="17"/>
        </w:rPr>
        <w:t>miotik</w:t>
      </w:r>
      <w:r w:rsidR="005D7996">
        <w:rPr>
          <w:szCs w:val="17"/>
        </w:rPr>
        <w:fldChar w:fldCharType="begin"/>
      </w:r>
      <w:r>
        <w:instrText xml:space="preserve"> XE "</w:instrText>
      </w:r>
      <w:r w:rsidRPr="00A714E8">
        <w:instrText>Semiotik</w:instrText>
      </w:r>
      <w:r>
        <w:instrText xml:space="preserve">" </w:instrText>
      </w:r>
      <w:r w:rsidR="005D7996">
        <w:rPr>
          <w:szCs w:val="17"/>
        </w:rPr>
        <w:fldChar w:fldCharType="end"/>
      </w:r>
      <w:r w:rsidRPr="00156980">
        <w:rPr>
          <w:szCs w:val="17"/>
        </w:rPr>
        <w:t xml:space="preserve"> bezogen und erscheint im Rückblick als ein Zweig der Semiotik des 20. Jahrhu</w:t>
      </w:r>
      <w:r w:rsidRPr="00156980">
        <w:rPr>
          <w:szCs w:val="17"/>
        </w:rPr>
        <w:t>n</w:t>
      </w:r>
      <w:r w:rsidRPr="00156980">
        <w:rPr>
          <w:szCs w:val="17"/>
        </w:rPr>
        <w:t>derts; vgl. Larsen 1998 und Rudy u.a. 1998.)</w:t>
      </w:r>
    </w:p>
  </w:footnote>
  <w:footnote w:id="62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Pr>
          <w:szCs w:val="17"/>
        </w:rPr>
        <w:tab/>
      </w:r>
      <w:r w:rsidRPr="00156980">
        <w:rPr>
          <w:szCs w:val="17"/>
        </w:rPr>
        <w:t>Vgl. zu den semiotischen Aspekten der Ästhetik Manetti 1997: 889f (für die griechische und römische Antike), Baré 1997 (für das Mittelalter), Franke 1998 (für die Renaissance</w:t>
      </w:r>
      <w:r w:rsidR="005D7996">
        <w:rPr>
          <w:szCs w:val="17"/>
        </w:rPr>
        <w:fldChar w:fldCharType="begin"/>
      </w:r>
      <w:r>
        <w:instrText xml:space="preserve"> XE "</w:instrText>
      </w:r>
      <w:r w:rsidRPr="00EA48DF">
        <w:rPr>
          <w:szCs w:val="17"/>
        </w:rPr>
        <w:instrText>Renaissance</w:instrText>
      </w:r>
      <w:r>
        <w:instrText xml:space="preserve">" </w:instrText>
      </w:r>
      <w:r w:rsidR="005D7996">
        <w:rPr>
          <w:szCs w:val="17"/>
        </w:rPr>
        <w:fldChar w:fldCharType="end"/>
      </w:r>
      <w:r w:rsidRPr="00156980">
        <w:rPr>
          <w:szCs w:val="17"/>
        </w:rPr>
        <w:t xml:space="preserve"> bis zum frühen 19. Jahrhundert) und Hubig 1998 (für das 19. und 20. Jahrhundert).</w:t>
      </w:r>
    </w:p>
  </w:footnote>
  <w:footnote w:id="63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Halawa 2009.</w:t>
      </w:r>
    </w:p>
  </w:footnote>
  <w:footnote w:id="63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einführend Posner 1997b sowie die Zeichenklassifikationen in Posner 1993 und 1996.</w:t>
      </w:r>
    </w:p>
  </w:footnote>
  <w:footnote w:id="63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Rudolf Heinz gibt einen Überblick über diese Versuche, die von Karl Christian Friedrich Krause, Karl Köstlin, Bernhard Steiner und anderen stammen (Heinz 1986: 71ff).</w:t>
      </w:r>
    </w:p>
  </w:footnote>
  <w:footnote w:id="63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Den Hinweis auf diese Möglichkeit verdanke ich Richard Carter (persönliche Mitteilung, Institut Jean Nicod, Paris, Juni 2009).</w:t>
      </w:r>
    </w:p>
  </w:footnote>
  <w:footnote w:id="63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r>
      <w:r>
        <w:rPr>
          <w:szCs w:val="17"/>
        </w:rPr>
        <w:t xml:space="preserve">Heinz 1986: </w:t>
      </w:r>
      <w:r w:rsidRPr="00156980">
        <w:rPr>
          <w:szCs w:val="17"/>
        </w:rPr>
        <w:t>73.</w:t>
      </w:r>
    </w:p>
  </w:footnote>
  <w:footnote w:id="63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 scheinen charakteristisch für die bürgerliche Gesellschaft</w:t>
      </w:r>
      <w:r w:rsidR="005D7996">
        <w:rPr>
          <w:szCs w:val="17"/>
        </w:rPr>
        <w:fldChar w:fldCharType="begin"/>
      </w:r>
      <w:r>
        <w:instrText xml:space="preserve"> XE "</w:instrText>
      </w:r>
      <w:r w:rsidRPr="00835E68">
        <w:instrText>Gesellschaft</w:instrText>
      </w:r>
      <w:r>
        <w:instrText xml:space="preserve">" </w:instrText>
      </w:r>
      <w:r w:rsidR="005D7996">
        <w:rPr>
          <w:szCs w:val="17"/>
        </w:rPr>
        <w:fldChar w:fldCharType="end"/>
      </w:r>
      <w:r w:rsidRPr="00156980">
        <w:rPr>
          <w:szCs w:val="17"/>
        </w:rPr>
        <w:t xml:space="preserve"> zu sein, ähnlich wie die Weltuntergangsstimmung in den periodischen Wirtschaftskrisen und Musikhören im Si</w:t>
      </w:r>
      <w:r w:rsidRPr="00156980">
        <w:rPr>
          <w:szCs w:val="17"/>
        </w:rPr>
        <w:t>t</w:t>
      </w:r>
      <w:r w:rsidRPr="00156980">
        <w:rPr>
          <w:szCs w:val="17"/>
        </w:rPr>
        <w:t>zen.</w:t>
      </w:r>
    </w:p>
  </w:footnote>
  <w:footnote w:id="63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Der Versuch, ‚falsch‘ und ‚richtig‘ bei Stilen mit Hilfe objektiver Kriterien zu unters</w:t>
      </w:r>
      <w:r w:rsidRPr="00156980">
        <w:rPr>
          <w:szCs w:val="17"/>
        </w:rPr>
        <w:t>u</w:t>
      </w:r>
      <w:r w:rsidRPr="00156980">
        <w:rPr>
          <w:szCs w:val="17"/>
        </w:rPr>
        <w:t>chen, etwa im sprachlichen Bereich mit Hilfe der Sprechakttheorie</w:t>
      </w:r>
      <w:r w:rsidR="005D7996">
        <w:rPr>
          <w:szCs w:val="17"/>
        </w:rPr>
        <w:fldChar w:fldCharType="begin"/>
      </w:r>
      <w:r>
        <w:instrText xml:space="preserve"> XE "</w:instrText>
      </w:r>
      <w:r w:rsidRPr="00D229F1">
        <w:rPr>
          <w:rFonts w:eastAsia="Times New Roman" w:cs="Times New Roman"/>
        </w:rPr>
        <w:instrText>Sprechakttheorie</w:instrText>
      </w:r>
      <w:r>
        <w:instrText xml:space="preserve">" </w:instrText>
      </w:r>
      <w:r w:rsidR="005D7996">
        <w:rPr>
          <w:szCs w:val="17"/>
        </w:rPr>
        <w:fldChar w:fldCharType="end"/>
      </w:r>
      <w:r w:rsidRPr="00156980">
        <w:rPr>
          <w:szCs w:val="17"/>
        </w:rPr>
        <w:t>, der Fehlerlinguistik</w:t>
      </w:r>
      <w:r w:rsidR="005D7996">
        <w:rPr>
          <w:szCs w:val="17"/>
        </w:rPr>
        <w:fldChar w:fldCharType="begin"/>
      </w:r>
      <w:r>
        <w:instrText xml:space="preserve"> XE "</w:instrText>
      </w:r>
      <w:r w:rsidRPr="00993A92">
        <w:rPr>
          <w:szCs w:val="17"/>
        </w:rPr>
        <w:instrText>Fehlerlinguistik</w:instrText>
      </w:r>
      <w:r>
        <w:instrText xml:space="preserve">" </w:instrText>
      </w:r>
      <w:r w:rsidR="005D7996">
        <w:rPr>
          <w:szCs w:val="17"/>
        </w:rPr>
        <w:fldChar w:fldCharType="end"/>
      </w:r>
      <w:r w:rsidRPr="00156980">
        <w:rPr>
          <w:szCs w:val="17"/>
        </w:rPr>
        <w:t xml:space="preserve"> oder der Forschung zu Versprechern, ist zwar auch gemacht worden (Ortner 2009: 1368); es muss jedoch beachtet werden, dass der falsche oder richtige Gebrauch von Ze</w:t>
      </w:r>
      <w:r w:rsidRPr="00156980">
        <w:rPr>
          <w:szCs w:val="17"/>
        </w:rPr>
        <w:t>i</w:t>
      </w:r>
      <w:r w:rsidRPr="00156980">
        <w:rPr>
          <w:szCs w:val="17"/>
        </w:rPr>
        <w:t>chen- oder Regelsystemen nicht gleichzusetzen ist mit falschem oder richtigem Stil: Ein freier Gebrauch der Sprache in einem literarischen Stil oder ein regelwidriger Umgang mit Perspektive</w:t>
      </w:r>
      <w:r w:rsidR="005D7996">
        <w:rPr>
          <w:szCs w:val="17"/>
        </w:rPr>
        <w:fldChar w:fldCharType="begin"/>
      </w:r>
      <w:r>
        <w:instrText xml:space="preserve"> XE "</w:instrText>
      </w:r>
      <w:r w:rsidRPr="00426EED">
        <w:rPr>
          <w:szCs w:val="17"/>
        </w:rPr>
        <w:instrText>Perspektive (Bild)</w:instrText>
      </w:r>
      <w:r>
        <w:instrText xml:space="preserve">" </w:instrText>
      </w:r>
      <w:r w:rsidR="005D7996">
        <w:rPr>
          <w:szCs w:val="17"/>
        </w:rPr>
        <w:fldChar w:fldCharType="end"/>
      </w:r>
      <w:r w:rsidRPr="00156980">
        <w:rPr>
          <w:szCs w:val="17"/>
        </w:rPr>
        <w:t xml:space="preserve"> in einem bildkünstlerischen Stil lassen keine Wertung dieser Stile als ‚falsch‘ zu.</w:t>
      </w:r>
    </w:p>
  </w:footnote>
  <w:footnote w:id="63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handelt sich um zwei verschiedene alltagssprachliche Verwendungsweisen des Worts „Stil“ (vgl. Trabant 1979: 573ff). Kennzeichnen wir die deskriptive Verwendungsweise als ‚Stil</w:t>
      </w:r>
      <w:r w:rsidRPr="00156980">
        <w:rPr>
          <w:szCs w:val="17"/>
          <w:vertAlign w:val="subscript"/>
        </w:rPr>
        <w:t>1</w:t>
      </w:r>
      <w:r w:rsidRPr="00156980">
        <w:rPr>
          <w:szCs w:val="17"/>
        </w:rPr>
        <w:t>‘ und die normative als ‚Stil</w:t>
      </w:r>
      <w:r w:rsidRPr="00156980">
        <w:rPr>
          <w:szCs w:val="17"/>
          <w:vertAlign w:val="subscript"/>
        </w:rPr>
        <w:t>2</w:t>
      </w:r>
      <w:r w:rsidRPr="00156980">
        <w:rPr>
          <w:szCs w:val="17"/>
        </w:rPr>
        <w:t>‘, ergibt sich die semantische Relation ‚Stil</w:t>
      </w:r>
      <w:r w:rsidRPr="00156980">
        <w:rPr>
          <w:szCs w:val="17"/>
          <w:vertAlign w:val="subscript"/>
        </w:rPr>
        <w:t>2</w:t>
      </w:r>
      <w:r w:rsidRPr="00156980">
        <w:rPr>
          <w:szCs w:val="17"/>
        </w:rPr>
        <w:t>‘ = ‚guter Stil</w:t>
      </w:r>
      <w:r w:rsidRPr="00156980">
        <w:rPr>
          <w:szCs w:val="17"/>
          <w:vertAlign w:val="subscript"/>
        </w:rPr>
        <w:t>1</w:t>
      </w:r>
      <w:r w:rsidRPr="00156980">
        <w:rPr>
          <w:szCs w:val="17"/>
        </w:rPr>
        <w:t>‘.</w:t>
      </w:r>
    </w:p>
  </w:footnote>
  <w:footnote w:id="63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Für die beiden Verwendungsweisen ergibt sich: ‚kein Stil</w:t>
      </w:r>
      <w:r w:rsidRPr="00156980">
        <w:rPr>
          <w:szCs w:val="17"/>
          <w:vertAlign w:val="subscript"/>
        </w:rPr>
        <w:t>2</w:t>
      </w:r>
      <w:r w:rsidRPr="00156980">
        <w:rPr>
          <w:szCs w:val="17"/>
        </w:rPr>
        <w:t>‘ = ‚kein guter Stil</w:t>
      </w:r>
      <w:r w:rsidRPr="00156980">
        <w:rPr>
          <w:szCs w:val="17"/>
          <w:vertAlign w:val="subscript"/>
        </w:rPr>
        <w:t>1</w:t>
      </w:r>
      <w:r w:rsidRPr="00156980">
        <w:rPr>
          <w:szCs w:val="17"/>
        </w:rPr>
        <w:t>‘ (vgl. letzte Fußnote).</w:t>
      </w:r>
    </w:p>
    <w:p w:rsidR="00CC3558" w:rsidRPr="00156980" w:rsidRDefault="00CC3558" w:rsidP="00F461D9">
      <w:pPr>
        <w:pStyle w:val="Funotentext"/>
        <w:rPr>
          <w:szCs w:val="17"/>
        </w:rPr>
      </w:pPr>
      <w:r w:rsidRPr="00156980">
        <w:rPr>
          <w:szCs w:val="17"/>
        </w:rPr>
        <w:tab/>
        <w:t>Der polare Gegensatz zu ‚stillos‘ ist ‚stilvoll‘. Das legt nahe, dass hier zwei Skalen aufe</w:t>
      </w:r>
      <w:r w:rsidRPr="00156980">
        <w:rPr>
          <w:szCs w:val="17"/>
        </w:rPr>
        <w:t>i</w:t>
      </w:r>
      <w:r w:rsidRPr="00156980">
        <w:rPr>
          <w:szCs w:val="17"/>
        </w:rPr>
        <w:t>nander bezogen werden: Allgemein gilt dabei ‚Quantität an Stil</w:t>
      </w:r>
      <w:r w:rsidRPr="00156980">
        <w:rPr>
          <w:szCs w:val="17"/>
          <w:vertAlign w:val="subscript"/>
        </w:rPr>
        <w:t>2</w:t>
      </w:r>
      <w:r w:rsidRPr="00156980">
        <w:rPr>
          <w:szCs w:val="17"/>
        </w:rPr>
        <w:t>‘ = ‚qualitative Bewe</w:t>
      </w:r>
      <w:r w:rsidRPr="00156980">
        <w:rPr>
          <w:szCs w:val="17"/>
        </w:rPr>
        <w:t>r</w:t>
      </w:r>
      <w:r w:rsidRPr="00156980">
        <w:rPr>
          <w:szCs w:val="17"/>
        </w:rPr>
        <w:t>tung des Stil</w:t>
      </w:r>
      <w:r w:rsidRPr="00156980">
        <w:rPr>
          <w:szCs w:val="17"/>
          <w:vertAlign w:val="subscript"/>
        </w:rPr>
        <w:t>1</w:t>
      </w:r>
      <w:r w:rsidRPr="00156980">
        <w:rPr>
          <w:szCs w:val="17"/>
        </w:rPr>
        <w:t>‘.</w:t>
      </w:r>
    </w:p>
    <w:p w:rsidR="00CC3558" w:rsidRPr="00156980" w:rsidRDefault="00CC3558" w:rsidP="00F461D9">
      <w:pPr>
        <w:pStyle w:val="Funotentext"/>
        <w:rPr>
          <w:szCs w:val="17"/>
        </w:rPr>
      </w:pPr>
      <w:r w:rsidRPr="00156980">
        <w:rPr>
          <w:szCs w:val="17"/>
        </w:rPr>
        <w:tab/>
        <w:t>Die normative Verwendungsweise kann auch noch zugespitzt werden. So nennt der am</w:t>
      </w:r>
      <w:r w:rsidRPr="00156980">
        <w:rPr>
          <w:szCs w:val="17"/>
        </w:rPr>
        <w:t>e</w:t>
      </w:r>
      <w:r w:rsidRPr="00156980">
        <w:rPr>
          <w:szCs w:val="17"/>
        </w:rPr>
        <w:t>rikanische Innenarchitekt John Saladino einen Bildband über sein Schaffen schlicht „Stil“ (Saladino 2001). Da das Buch nur Saladinos Stil behandelt, wird hier ‚Stil</w:t>
      </w:r>
      <w:r w:rsidRPr="00156980">
        <w:rPr>
          <w:szCs w:val="17"/>
          <w:vertAlign w:val="subscript"/>
        </w:rPr>
        <w:t>2</w:t>
      </w:r>
      <w:r w:rsidRPr="00156980">
        <w:rPr>
          <w:szCs w:val="17"/>
        </w:rPr>
        <w:t>‘ = ‚John Saladinos Stil</w:t>
      </w:r>
      <w:r w:rsidRPr="00156980">
        <w:rPr>
          <w:szCs w:val="17"/>
          <w:vertAlign w:val="subscript"/>
        </w:rPr>
        <w:t>1</w:t>
      </w:r>
      <w:r w:rsidRPr="00156980">
        <w:rPr>
          <w:szCs w:val="17"/>
        </w:rPr>
        <w:t xml:space="preserve">‘ gesetzt: </w:t>
      </w:r>
      <w:r>
        <w:rPr>
          <w:szCs w:val="17"/>
        </w:rPr>
        <w:t xml:space="preserve">Der </w:t>
      </w:r>
      <w:r w:rsidRPr="00156980">
        <w:rPr>
          <w:szCs w:val="17"/>
        </w:rPr>
        <w:t xml:space="preserve">Stil </w:t>
      </w:r>
      <w:r>
        <w:rPr>
          <w:szCs w:val="17"/>
        </w:rPr>
        <w:t xml:space="preserve">des Verfassers </w:t>
      </w:r>
      <w:r w:rsidRPr="00156980">
        <w:rPr>
          <w:szCs w:val="17"/>
        </w:rPr>
        <w:t>wird schon im Buchtitel normativ zum Stil an und für sich erklärt. Der Leser wundert sich dann kaum mehr über Sätze wie „Ich ließ mich bei dem Entwurf der Küche vom Pantheon in Rom inspirieren“ (Saladino 2001: 202).</w:t>
      </w:r>
    </w:p>
  </w:footnote>
  <w:footnote w:id="63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Das berühmteste Beispiel ist wohl Goethes Unterscheidung, derzufolge „Stil“ für Kuns</w:t>
      </w:r>
      <w:r w:rsidRPr="00156980">
        <w:rPr>
          <w:szCs w:val="17"/>
        </w:rPr>
        <w:t>t</w:t>
      </w:r>
      <w:r w:rsidRPr="00156980">
        <w:rPr>
          <w:szCs w:val="17"/>
        </w:rPr>
        <w:t>werke hoher Qualität reserviert bleiben sollte, während bloße individuelle Ausführung</w:t>
      </w:r>
      <w:r w:rsidRPr="00156980">
        <w:rPr>
          <w:szCs w:val="17"/>
        </w:rPr>
        <w:t>s</w:t>
      </w:r>
      <w:r w:rsidRPr="00156980">
        <w:rPr>
          <w:szCs w:val="17"/>
        </w:rPr>
        <w:t>weisen „Manier</w:t>
      </w:r>
      <w:r w:rsidR="005D7996">
        <w:rPr>
          <w:szCs w:val="17"/>
        </w:rPr>
        <w:fldChar w:fldCharType="begin"/>
      </w:r>
      <w:r>
        <w:instrText xml:space="preserve"> XE "</w:instrText>
      </w:r>
      <w:r w:rsidRPr="000D6ED6">
        <w:rPr>
          <w:szCs w:val="17"/>
        </w:rPr>
        <w:instrText>Manier (Goethe)</w:instrText>
      </w:r>
      <w:r>
        <w:instrText xml:space="preserve">" </w:instrText>
      </w:r>
      <w:r w:rsidR="005D7996">
        <w:rPr>
          <w:szCs w:val="17"/>
        </w:rPr>
        <w:fldChar w:fldCharType="end"/>
      </w:r>
      <w:r w:rsidRPr="00156980">
        <w:rPr>
          <w:szCs w:val="17"/>
        </w:rPr>
        <w:t>“ zu nennen seien (Goethe</w:t>
      </w:r>
      <w:r w:rsidR="005D7996">
        <w:rPr>
          <w:szCs w:val="17"/>
        </w:rPr>
        <w:fldChar w:fldCharType="begin"/>
      </w:r>
      <w:r>
        <w:instrText xml:space="preserve"> XE "</w:instrText>
      </w:r>
      <w:r w:rsidRPr="001842CB">
        <w:instrText>Goethe, Johann Wolfgang von</w:instrText>
      </w:r>
      <w:r>
        <w:instrText xml:space="preserve">" </w:instrText>
      </w:r>
      <w:r w:rsidR="005D7996">
        <w:rPr>
          <w:szCs w:val="17"/>
        </w:rPr>
        <w:fldChar w:fldCharType="end"/>
      </w:r>
      <w:r w:rsidRPr="00156980">
        <w:rPr>
          <w:szCs w:val="17"/>
        </w:rPr>
        <w:t xml:space="preserve"> 1789). Diese Unterscheidung, die auf die Ve</w:t>
      </w:r>
      <w:r w:rsidRPr="00156980">
        <w:rPr>
          <w:szCs w:val="17"/>
        </w:rPr>
        <w:t>r</w:t>
      </w:r>
      <w:r w:rsidRPr="00156980">
        <w:rPr>
          <w:szCs w:val="17"/>
        </w:rPr>
        <w:t>wendungsweise des Begriffs in der italienischen Renaissance</w:t>
      </w:r>
      <w:r w:rsidR="005D7996">
        <w:rPr>
          <w:szCs w:val="17"/>
        </w:rPr>
        <w:fldChar w:fldCharType="begin"/>
      </w:r>
      <w:r>
        <w:instrText xml:space="preserve"> XE "</w:instrText>
      </w:r>
      <w:r w:rsidRPr="00EA48DF">
        <w:rPr>
          <w:szCs w:val="17"/>
        </w:rPr>
        <w:instrText>Renaissance</w:instrText>
      </w:r>
      <w:r>
        <w:instrText xml:space="preserve">" </w:instrText>
      </w:r>
      <w:r w:rsidR="005D7996">
        <w:rPr>
          <w:szCs w:val="17"/>
        </w:rPr>
        <w:fldChar w:fldCharType="end"/>
      </w:r>
      <w:r w:rsidRPr="00156980">
        <w:rPr>
          <w:szCs w:val="17"/>
        </w:rPr>
        <w:t xml:space="preserve"> zurückgeht (siehe Fußnote </w:t>
      </w:r>
      <w:fldSimple w:instr=" NOTEREF _Ref271530832 \h  \* MERGEFORMAT ">
        <w:r w:rsidR="001231D3" w:rsidRPr="001231D3">
          <w:rPr>
            <w:szCs w:val="17"/>
          </w:rPr>
          <w:t>641</w:t>
        </w:r>
      </w:fldSimple>
      <w:r w:rsidRPr="00156980">
        <w:rPr>
          <w:szCs w:val="17"/>
        </w:rPr>
        <w:t>), rechtfertigt noch bei Gadamer</w:t>
      </w:r>
      <w:r w:rsidR="005D7996">
        <w:rPr>
          <w:szCs w:val="17"/>
        </w:rPr>
        <w:fldChar w:fldCharType="begin"/>
      </w:r>
      <w:r>
        <w:instrText xml:space="preserve"> XE "</w:instrText>
      </w:r>
      <w:r w:rsidRPr="009C203C">
        <w:rPr>
          <w:szCs w:val="17"/>
        </w:rPr>
        <w:instrText>Gadamer</w:instrText>
      </w:r>
      <w:r>
        <w:rPr>
          <w:szCs w:val="17"/>
        </w:rPr>
        <w:instrText xml:space="preserve">, </w:instrText>
      </w:r>
      <w:r w:rsidRPr="009C203C">
        <w:instrText>Hans-Georg</w:instrText>
      </w:r>
      <w:r>
        <w:instrText xml:space="preserve">" </w:instrText>
      </w:r>
      <w:r w:rsidR="005D7996">
        <w:rPr>
          <w:szCs w:val="17"/>
        </w:rPr>
        <w:fldChar w:fldCharType="end"/>
      </w:r>
      <w:r w:rsidRPr="00156980">
        <w:rPr>
          <w:szCs w:val="17"/>
        </w:rPr>
        <w:t xml:space="preserve"> die Auffassung, Stil nur als normativen Begriff gelten zu lassen; vgl. Gadamer 1960: 466-469 („Exkurs I: Stil“).</w:t>
      </w:r>
    </w:p>
  </w:footnote>
  <w:footnote w:id="64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Beispielsweise bei Viollet-le-Duc</w:t>
      </w:r>
      <w:r w:rsidR="005D7996">
        <w:rPr>
          <w:szCs w:val="17"/>
        </w:rPr>
        <w:fldChar w:fldCharType="begin"/>
      </w:r>
      <w:r>
        <w:instrText xml:space="preserve"> XE "</w:instrText>
      </w:r>
      <w:r w:rsidRPr="00FF220E">
        <w:rPr>
          <w:szCs w:val="17"/>
        </w:rPr>
        <w:instrText>Viollet-le-Duc, Eugène-Emmanuel</w:instrText>
      </w:r>
      <w:r>
        <w:instrText xml:space="preserve">" </w:instrText>
      </w:r>
      <w:r w:rsidR="005D7996">
        <w:rPr>
          <w:szCs w:val="17"/>
        </w:rPr>
        <w:fldChar w:fldCharType="end"/>
      </w:r>
      <w:r w:rsidRPr="00156980">
        <w:rPr>
          <w:szCs w:val="17"/>
        </w:rPr>
        <w:t xml:space="preserve">: „Wenn ein Bauwerk die Nutzung, für die es bestimmt ist, deutlich kundtut, ist es nahe daran, Stil zu haben; wenn aber der Bau darüberhinaus mit den Bauten seiner Zeit ein harmonisches Ganzes bildet, muß man geradezu von Stil sprechen.“ (Viollet-le-Duc </w:t>
      </w:r>
      <w:r w:rsidRPr="004F75AD">
        <w:t>1854–1868=</w:t>
      </w:r>
      <w:r w:rsidRPr="00156980">
        <w:rPr>
          <w:szCs w:val="17"/>
        </w:rPr>
        <w:t>2002: 246.) Gottfried Semper dagegen verlangte vom Stil, dass er sich sichtbar aus den Eigenschaften des Rohstoffs (Semper 1860–1863, Bd. 1: 95ff (§ 24)) und dessen Verarbeitung (ebd.: 177ff) ergeben solle, beschreibt aber zugleich objektive Prinzipien der Stilentwicklung (etwa das „Prinzip der Bekleidung“, das aus den textilen Künsten kommend die Baukunst beeinflusst habe; ebd.: 217ff (§ 59)). Aus den vielen unvereinbaren und teilweise normativen Stildefinitionen folgte schließlich, dass Stil von der Moderne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ganz abgelehnt wurde, so schrieb Mies van der Rohe</w:t>
      </w:r>
      <w:r w:rsidR="005D7996">
        <w:rPr>
          <w:szCs w:val="17"/>
        </w:rPr>
        <w:fldChar w:fldCharType="begin"/>
      </w:r>
      <w:r>
        <w:instrText xml:space="preserve"> XE "</w:instrText>
      </w:r>
      <w:r w:rsidRPr="00312487">
        <w:rPr>
          <w:szCs w:val="17"/>
        </w:rPr>
        <w:instrText>Mies van der Rohe, Ludwig</w:instrText>
      </w:r>
      <w:r>
        <w:instrText xml:space="preserve">" </w:instrText>
      </w:r>
      <w:r w:rsidR="005D7996">
        <w:rPr>
          <w:szCs w:val="17"/>
        </w:rPr>
        <w:fldChar w:fldCharType="end"/>
      </w:r>
      <w:r w:rsidRPr="00156980">
        <w:rPr>
          <w:szCs w:val="17"/>
        </w:rPr>
        <w:t>: „Ebe</w:t>
      </w:r>
      <w:r w:rsidRPr="00156980">
        <w:rPr>
          <w:szCs w:val="17"/>
        </w:rPr>
        <w:t>n</w:t>
      </w:r>
      <w:r w:rsidRPr="00156980">
        <w:rPr>
          <w:szCs w:val="17"/>
        </w:rPr>
        <w:t>sowenig erstreben wir einen Stil. Auch der Wille zum Stil ist formalistisch. Wir haben a</w:t>
      </w:r>
      <w:r w:rsidRPr="00156980">
        <w:rPr>
          <w:szCs w:val="17"/>
        </w:rPr>
        <w:t>n</w:t>
      </w:r>
      <w:r w:rsidRPr="00156980">
        <w:rPr>
          <w:szCs w:val="17"/>
        </w:rPr>
        <w:t>dere Sorgen.“ (Mies van der Rohe 1923</w:t>
      </w:r>
      <w:r>
        <w:rPr>
          <w:szCs w:val="17"/>
        </w:rPr>
        <w:t>=</w:t>
      </w:r>
      <w:r>
        <w:t>2002</w:t>
      </w:r>
      <w:r w:rsidRPr="00156980">
        <w:rPr>
          <w:szCs w:val="17"/>
        </w:rPr>
        <w:t>: 408)</w:t>
      </w:r>
    </w:p>
  </w:footnote>
  <w:footnote w:id="64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zur Konkurrenz der beiden Bezeichnungen Link-Heer 1986 und Heinz 1986: 231-257. – Nach der Renaissance</w:t>
      </w:r>
      <w:r w:rsidR="005D7996">
        <w:rPr>
          <w:szCs w:val="17"/>
        </w:rPr>
        <w:fldChar w:fldCharType="begin"/>
      </w:r>
      <w:r>
        <w:instrText xml:space="preserve"> XE "</w:instrText>
      </w:r>
      <w:r w:rsidRPr="00EA48DF">
        <w:rPr>
          <w:szCs w:val="17"/>
        </w:rPr>
        <w:instrText>Renaissance</w:instrText>
      </w:r>
      <w:r>
        <w:instrText xml:space="preserve">" </w:instrText>
      </w:r>
      <w:r w:rsidR="005D7996">
        <w:rPr>
          <w:szCs w:val="17"/>
        </w:rPr>
        <w:fldChar w:fldCharType="end"/>
      </w:r>
      <w:r w:rsidRPr="00156980">
        <w:rPr>
          <w:szCs w:val="17"/>
        </w:rPr>
        <w:t xml:space="preserve"> begann dann die Ausbreitung der deskriptiven Verwe</w:t>
      </w:r>
      <w:r w:rsidRPr="00156980">
        <w:rPr>
          <w:szCs w:val="17"/>
        </w:rPr>
        <w:t>n</w:t>
      </w:r>
      <w:r w:rsidRPr="00156980">
        <w:rPr>
          <w:szCs w:val="17"/>
        </w:rPr>
        <w:t xml:space="preserve">dungsweise von „Stil“: „Die ganz persönliche, individuelle Arbeitsweise jedes Künstlers wurde zunächst </w:t>
      </w:r>
      <w:r w:rsidRPr="00156980">
        <w:rPr>
          <w:i/>
          <w:szCs w:val="17"/>
        </w:rPr>
        <w:t>maniera</w:t>
      </w:r>
      <w:r w:rsidR="005D7996">
        <w:rPr>
          <w:i/>
          <w:szCs w:val="17"/>
        </w:rPr>
        <w:fldChar w:fldCharType="begin"/>
      </w:r>
      <w:r>
        <w:instrText xml:space="preserve"> XE "</w:instrText>
      </w:r>
      <w:r w:rsidRPr="0036312C">
        <w:instrText>maniera</w:instrText>
      </w:r>
      <w:r>
        <w:instrText xml:space="preserve">" </w:instrText>
      </w:r>
      <w:r w:rsidR="005D7996">
        <w:rPr>
          <w:i/>
          <w:szCs w:val="17"/>
        </w:rPr>
        <w:fldChar w:fldCharType="end"/>
      </w:r>
      <w:r w:rsidRPr="00156980">
        <w:rPr>
          <w:szCs w:val="17"/>
        </w:rPr>
        <w:t xml:space="preserve"> genannt; dann wurde im selben Sinne das Wort </w:t>
      </w:r>
      <w:r w:rsidRPr="00156980">
        <w:rPr>
          <w:i/>
          <w:szCs w:val="17"/>
        </w:rPr>
        <w:t>stile</w:t>
      </w:r>
      <w:r w:rsidRPr="00156980">
        <w:rPr>
          <w:szCs w:val="17"/>
        </w:rPr>
        <w:t xml:space="preserve"> benutzt, das zuerst in dieser Weise verstanden, bei Lomazzo erscheint […]. Nach Lomazzo erscheint der </w:t>
      </w:r>
      <w:r w:rsidRPr="00156980">
        <w:rPr>
          <w:i/>
          <w:szCs w:val="17"/>
        </w:rPr>
        <w:t>Stile</w:t>
      </w:r>
      <w:r w:rsidRPr="00156980">
        <w:rPr>
          <w:szCs w:val="17"/>
        </w:rPr>
        <w:t>-Begriff in den von Bellori veröffentlichten Notizen Poussins über Kunst, um dann allgemeiner zu werden. In dieser Auffassung bezeichnet der Stil alle charakterist</w:t>
      </w:r>
      <w:r w:rsidRPr="00156980">
        <w:rPr>
          <w:szCs w:val="17"/>
        </w:rPr>
        <w:t>i</w:t>
      </w:r>
      <w:r w:rsidRPr="00156980">
        <w:rPr>
          <w:szCs w:val="17"/>
        </w:rPr>
        <w:t>schen Eigenschaften, die die Werke eines Schriftstellers oder Künstlers auszeichnen“ (Bia</w:t>
      </w:r>
      <w:r w:rsidRPr="00156980">
        <w:rPr>
          <w:rFonts w:cs="Times New Roman"/>
          <w:szCs w:val="17"/>
        </w:rPr>
        <w:t>ł</w:t>
      </w:r>
      <w:r w:rsidRPr="00156980">
        <w:rPr>
          <w:szCs w:val="17"/>
        </w:rPr>
        <w:t>ostocki 1961: 129).</w:t>
      </w:r>
    </w:p>
  </w:footnote>
  <w:footnote w:id="64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 Übersicht hierzu bietet Dittmar 2009.</w:t>
      </w:r>
    </w:p>
  </w:footnote>
  <w:footnote w:id="64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Kress 1988.</w:t>
      </w:r>
    </w:p>
  </w:footnote>
  <w:footnote w:id="64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Soziolekte</w:t>
      </w:r>
      <w:r w:rsidR="005D7996">
        <w:rPr>
          <w:szCs w:val="17"/>
        </w:rPr>
        <w:fldChar w:fldCharType="begin"/>
      </w:r>
      <w:r>
        <w:instrText xml:space="preserve"> XE "</w:instrText>
      </w:r>
      <w:r w:rsidRPr="00496A22">
        <w:instrText>Soziolekt</w:instrText>
      </w:r>
      <w:r>
        <w:instrText xml:space="preserve">" </w:instrText>
      </w:r>
      <w:r w:rsidR="005D7996">
        <w:rPr>
          <w:szCs w:val="17"/>
        </w:rPr>
        <w:fldChar w:fldCharType="end"/>
      </w:r>
      <w:r w:rsidRPr="00156980">
        <w:rPr>
          <w:szCs w:val="17"/>
        </w:rPr>
        <w:t xml:space="preserve"> und Gruppenstile gehören häufig eng zusammen. Substantielle Veränderungen in Zeichenrepertoire und Kombinationsregeln</w:t>
      </w:r>
      <w:r w:rsidR="005D7996">
        <w:rPr>
          <w:szCs w:val="17"/>
        </w:rPr>
        <w:fldChar w:fldCharType="begin"/>
      </w:r>
      <w:r>
        <w:instrText xml:space="preserve"> XE "</w:instrText>
      </w:r>
      <w:r w:rsidRPr="00197230">
        <w:rPr>
          <w:rFonts w:eastAsia="Times New Roman" w:cs="Times New Roman"/>
        </w:rPr>
        <w:instrText>Kombinationsregeln</w:instrText>
      </w:r>
      <w:r>
        <w:instrText xml:space="preserve">" </w:instrText>
      </w:r>
      <w:r w:rsidR="005D7996">
        <w:rPr>
          <w:szCs w:val="17"/>
        </w:rPr>
        <w:fldChar w:fldCharType="end"/>
      </w:r>
      <w:r w:rsidRPr="00156980">
        <w:rPr>
          <w:szCs w:val="17"/>
        </w:rPr>
        <w:t xml:space="preserve"> eines Zeichensystems (Wortschatz und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xml:space="preserve"> bei Sprachen) sollten als Soziolekte</w:t>
      </w:r>
      <w:r w:rsidR="005D7996">
        <w:rPr>
          <w:szCs w:val="17"/>
        </w:rPr>
        <w:fldChar w:fldCharType="begin"/>
      </w:r>
      <w:r>
        <w:instrText xml:space="preserve"> XE "</w:instrText>
      </w:r>
      <w:r w:rsidRPr="00496A22">
        <w:instrText>Soziolekt</w:instrText>
      </w:r>
      <w:r>
        <w:instrText xml:space="preserve">" </w:instrText>
      </w:r>
      <w:r w:rsidR="005D7996">
        <w:rPr>
          <w:szCs w:val="17"/>
        </w:rPr>
        <w:fldChar w:fldCharType="end"/>
      </w:r>
      <w:r w:rsidRPr="00156980">
        <w:rPr>
          <w:szCs w:val="17"/>
        </w:rPr>
        <w:t xml:space="preserve"> beschrieben werden. „Jargon“ kann für eine milieuspezifische</w:t>
      </w:r>
      <w:r w:rsidR="005D7996">
        <w:rPr>
          <w:szCs w:val="17"/>
        </w:rPr>
        <w:fldChar w:fldCharType="begin"/>
      </w:r>
      <w:r>
        <w:instrText xml:space="preserve"> XE "</w:instrText>
      </w:r>
      <w:r w:rsidRPr="00E91FAD">
        <w:rPr>
          <w:szCs w:val="17"/>
        </w:rPr>
        <w:instrText>Milieu</w:instrText>
      </w:r>
      <w:r>
        <w:instrText xml:space="preserve">" </w:instrText>
      </w:r>
      <w:r w:rsidR="005D7996">
        <w:rPr>
          <w:szCs w:val="17"/>
        </w:rPr>
        <w:fldChar w:fldCharType="end"/>
      </w:r>
      <w:r w:rsidRPr="00156980">
        <w:rPr>
          <w:szCs w:val="17"/>
        </w:rPr>
        <w:t xml:space="preserve"> Kombination von Soziolekt</w:t>
      </w:r>
      <w:r w:rsidR="005D7996">
        <w:rPr>
          <w:szCs w:val="17"/>
        </w:rPr>
        <w:fldChar w:fldCharType="begin"/>
      </w:r>
      <w:r>
        <w:instrText xml:space="preserve"> XE "</w:instrText>
      </w:r>
      <w:r w:rsidRPr="002839CF">
        <w:rPr>
          <w:rFonts w:eastAsia="Times New Roman" w:cs="Times New Roman"/>
        </w:rPr>
        <w:instrText>Soziolekt</w:instrText>
      </w:r>
      <w:r>
        <w:instrText xml:space="preserve">" </w:instrText>
      </w:r>
      <w:r w:rsidR="005D7996">
        <w:rPr>
          <w:szCs w:val="17"/>
        </w:rPr>
        <w:fldChar w:fldCharType="end"/>
      </w:r>
      <w:r w:rsidRPr="00156980">
        <w:rPr>
          <w:szCs w:val="17"/>
        </w:rPr>
        <w:t xml:space="preserve"> und Gruppenstil verwendet werden.</w:t>
      </w:r>
    </w:p>
  </w:footnote>
  <w:footnote w:id="64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wird von Ewald Lang (1980) für die Imitation der Jugendsprache in Ulrich Plen</w:t>
      </w:r>
      <w:r w:rsidRPr="00156980">
        <w:rPr>
          <w:szCs w:val="17"/>
        </w:rPr>
        <w:t>z</w:t>
      </w:r>
      <w:r w:rsidRPr="00156980">
        <w:rPr>
          <w:szCs w:val="17"/>
        </w:rPr>
        <w:t>dorfs</w:t>
      </w:r>
      <w:r w:rsidR="005D7996">
        <w:rPr>
          <w:szCs w:val="17"/>
        </w:rPr>
        <w:fldChar w:fldCharType="begin"/>
      </w:r>
      <w:r>
        <w:instrText xml:space="preserve"> XE "</w:instrText>
      </w:r>
      <w:r w:rsidRPr="00A8187D">
        <w:rPr>
          <w:szCs w:val="17"/>
        </w:rPr>
        <w:instrText>Plenzdorf,</w:instrText>
      </w:r>
      <w:r w:rsidRPr="00A8187D">
        <w:instrText xml:space="preserve"> </w:instrText>
      </w:r>
      <w:r w:rsidRPr="00A8187D">
        <w:rPr>
          <w:szCs w:val="17"/>
        </w:rPr>
        <w:instrText>Ulrich</w:instrText>
      </w:r>
      <w:r>
        <w:instrText xml:space="preserve">" </w:instrText>
      </w:r>
      <w:r w:rsidR="005D7996">
        <w:rPr>
          <w:szCs w:val="17"/>
        </w:rPr>
        <w:fldChar w:fldCharType="end"/>
      </w:r>
      <w:r w:rsidRPr="00156980">
        <w:rPr>
          <w:szCs w:val="17"/>
        </w:rPr>
        <w:t xml:space="preserve"> „Die neuen Leiden des jungen W.</w:t>
      </w:r>
      <w:r w:rsidR="005D7996">
        <w:rPr>
          <w:szCs w:val="17"/>
        </w:rPr>
        <w:fldChar w:fldCharType="begin"/>
      </w:r>
      <w:r>
        <w:instrText xml:space="preserve"> XE "</w:instrText>
      </w:r>
      <w:r w:rsidRPr="00B73049">
        <w:rPr>
          <w:szCs w:val="17"/>
        </w:rPr>
        <w:instrText>Die neuen Leiden des jungen W. (Theaterstück)</w:instrText>
      </w:r>
      <w:r>
        <w:instrText xml:space="preserve">" </w:instrText>
      </w:r>
      <w:r w:rsidR="005D7996">
        <w:rPr>
          <w:szCs w:val="17"/>
        </w:rPr>
        <w:fldChar w:fldCharType="end"/>
      </w:r>
      <w:r w:rsidRPr="00156980">
        <w:rPr>
          <w:szCs w:val="17"/>
        </w:rPr>
        <w:t>“ (Plenzdorf 1973) analysiert, die für den deutsc</w:t>
      </w:r>
      <w:r w:rsidRPr="00156980">
        <w:rPr>
          <w:szCs w:val="17"/>
        </w:rPr>
        <w:t>h</w:t>
      </w:r>
      <w:r w:rsidRPr="00156980">
        <w:rPr>
          <w:szCs w:val="17"/>
        </w:rPr>
        <w:t>sprachigen Raum den Trend zu Gruppenstil</w:t>
      </w:r>
      <w:r>
        <w:rPr>
          <w:szCs w:val="17"/>
        </w:rPr>
        <w:t>-I</w:t>
      </w:r>
      <w:r w:rsidRPr="00156980">
        <w:rPr>
          <w:szCs w:val="17"/>
        </w:rPr>
        <w:t xml:space="preserve">mitationen im Theater begründete; </w:t>
      </w:r>
      <w:r>
        <w:rPr>
          <w:szCs w:val="17"/>
        </w:rPr>
        <w:t>zune</w:t>
      </w:r>
      <w:r>
        <w:rPr>
          <w:szCs w:val="17"/>
        </w:rPr>
        <w:t>h</w:t>
      </w:r>
      <w:r>
        <w:rPr>
          <w:szCs w:val="17"/>
        </w:rPr>
        <w:t xml:space="preserve">mend musste sich nun </w:t>
      </w:r>
      <w:r w:rsidRPr="00156980">
        <w:rPr>
          <w:szCs w:val="17"/>
        </w:rPr>
        <w:t>ein Theaterautor durch die Kenntnis der Soziolekte</w:t>
      </w:r>
      <w:r w:rsidR="005D7996">
        <w:rPr>
          <w:szCs w:val="17"/>
        </w:rPr>
        <w:fldChar w:fldCharType="begin"/>
      </w:r>
      <w:r>
        <w:instrText xml:space="preserve"> XE "</w:instrText>
      </w:r>
      <w:r w:rsidRPr="00496A22">
        <w:instrText>Soziolekt</w:instrText>
      </w:r>
      <w:r>
        <w:instrText xml:space="preserve">" </w:instrText>
      </w:r>
      <w:r w:rsidR="005D7996">
        <w:rPr>
          <w:szCs w:val="17"/>
        </w:rPr>
        <w:fldChar w:fldCharType="end"/>
      </w:r>
      <w:r w:rsidRPr="00156980">
        <w:rPr>
          <w:szCs w:val="17"/>
        </w:rPr>
        <w:t xml:space="preserve"> und Gruppe</w:t>
      </w:r>
      <w:r w:rsidRPr="00156980">
        <w:rPr>
          <w:szCs w:val="17"/>
        </w:rPr>
        <w:t>n</w:t>
      </w:r>
      <w:r w:rsidRPr="00156980">
        <w:rPr>
          <w:szCs w:val="17"/>
        </w:rPr>
        <w:t xml:space="preserve">stile der </w:t>
      </w:r>
      <w:r>
        <w:rPr>
          <w:szCs w:val="17"/>
        </w:rPr>
        <w:t xml:space="preserve">von ihm </w:t>
      </w:r>
      <w:r w:rsidRPr="00156980">
        <w:rPr>
          <w:szCs w:val="17"/>
        </w:rPr>
        <w:t>beschriebenen Milieus</w:t>
      </w:r>
      <w:r w:rsidR="005D7996">
        <w:rPr>
          <w:szCs w:val="17"/>
        </w:rPr>
        <w:fldChar w:fldCharType="begin"/>
      </w:r>
      <w:r>
        <w:instrText xml:space="preserve"> XE "</w:instrText>
      </w:r>
      <w:r w:rsidRPr="000B29F3">
        <w:rPr>
          <w:szCs w:val="17"/>
        </w:rPr>
        <w:instrText>Milieu</w:instrText>
      </w:r>
      <w:r>
        <w:instrText xml:space="preserve">" </w:instrText>
      </w:r>
      <w:r w:rsidR="005D7996">
        <w:rPr>
          <w:szCs w:val="17"/>
        </w:rPr>
        <w:fldChar w:fldCharType="end"/>
      </w:r>
      <w:r w:rsidRPr="00156980">
        <w:rPr>
          <w:szCs w:val="17"/>
        </w:rPr>
        <w:t xml:space="preserve"> legitimieren</w:t>
      </w:r>
      <w:r>
        <w:rPr>
          <w:szCs w:val="17"/>
        </w:rPr>
        <w:t xml:space="preserve">; </w:t>
      </w:r>
      <w:r w:rsidRPr="00156980">
        <w:rPr>
          <w:szCs w:val="17"/>
        </w:rPr>
        <w:t>vgl. als Beispiel Mark Ravenhills</w:t>
      </w:r>
      <w:r w:rsidR="005D7996">
        <w:rPr>
          <w:szCs w:val="17"/>
        </w:rPr>
        <w:fldChar w:fldCharType="begin"/>
      </w:r>
      <w:r>
        <w:instrText xml:space="preserve"> XE "</w:instrText>
      </w:r>
      <w:r w:rsidRPr="000F3AA5">
        <w:rPr>
          <w:szCs w:val="17"/>
        </w:rPr>
        <w:instrText>Ravenhill,</w:instrText>
      </w:r>
      <w:r w:rsidRPr="000F3AA5">
        <w:instrText xml:space="preserve"> </w:instrText>
      </w:r>
      <w:r w:rsidRPr="000F3AA5">
        <w:rPr>
          <w:szCs w:val="17"/>
        </w:rPr>
        <w:instrText>Mark</w:instrText>
      </w:r>
      <w:r>
        <w:instrText xml:space="preserve">" </w:instrText>
      </w:r>
      <w:r w:rsidR="005D7996">
        <w:rPr>
          <w:szCs w:val="17"/>
        </w:rPr>
        <w:fldChar w:fldCharType="end"/>
      </w:r>
      <w:r w:rsidRPr="00156980">
        <w:rPr>
          <w:szCs w:val="17"/>
        </w:rPr>
        <w:t xml:space="preserve"> „Shopping and Fucking</w:t>
      </w:r>
      <w:r w:rsidR="005D7996">
        <w:rPr>
          <w:szCs w:val="17"/>
        </w:rPr>
        <w:fldChar w:fldCharType="begin"/>
      </w:r>
      <w:r>
        <w:instrText xml:space="preserve"> XE "</w:instrText>
      </w:r>
      <w:r w:rsidRPr="00497D70">
        <w:rPr>
          <w:szCs w:val="17"/>
        </w:rPr>
        <w:instrText>Shopping and Fucking (Theaterstück)</w:instrText>
      </w:r>
      <w:r>
        <w:instrText xml:space="preserve">" </w:instrText>
      </w:r>
      <w:r w:rsidR="005D7996">
        <w:rPr>
          <w:szCs w:val="17"/>
        </w:rPr>
        <w:fldChar w:fldCharType="end"/>
      </w:r>
      <w:r w:rsidRPr="00156980">
        <w:rPr>
          <w:szCs w:val="17"/>
        </w:rPr>
        <w:t xml:space="preserve">“ (Ravenhill 1996), bei dem bereits der Titel entsprechend kodiert ist: „Shoppen“ bedeutet hier nämlich die Drogenbeschaffung und verweist damit auf das Thema des im Drogenmilieu spielenden Stücks. Lang betont die </w:t>
      </w:r>
      <w:r>
        <w:rPr>
          <w:szCs w:val="17"/>
        </w:rPr>
        <w:t>Rolle der Stilisierung</w:t>
      </w:r>
      <w:r w:rsidR="005D7996">
        <w:rPr>
          <w:szCs w:val="17"/>
        </w:rPr>
        <w:fldChar w:fldCharType="begin"/>
      </w:r>
      <w:r>
        <w:instrText xml:space="preserve"> XE "</w:instrText>
      </w:r>
      <w:r w:rsidRPr="00032E96">
        <w:rPr>
          <w:szCs w:val="17"/>
        </w:rPr>
        <w:instrText>Stilisierung</w:instrText>
      </w:r>
      <w:r>
        <w:instrText xml:space="preserve">" </w:instrText>
      </w:r>
      <w:r w:rsidR="005D7996">
        <w:rPr>
          <w:szCs w:val="17"/>
        </w:rPr>
        <w:fldChar w:fldCharType="end"/>
      </w:r>
      <w:r>
        <w:rPr>
          <w:szCs w:val="17"/>
        </w:rPr>
        <w:t xml:space="preserve"> </w:t>
      </w:r>
      <w:r w:rsidRPr="00156980">
        <w:rPr>
          <w:szCs w:val="17"/>
        </w:rPr>
        <w:t>(Lang 1980: 227)</w:t>
      </w:r>
      <w:r>
        <w:rPr>
          <w:szCs w:val="17"/>
        </w:rPr>
        <w:t>, also der Abstraktion des Prinzips von den empirisch feststellbaren Ausprägungen</w:t>
      </w:r>
      <w:r w:rsidRPr="00156980">
        <w:rPr>
          <w:szCs w:val="17"/>
        </w:rPr>
        <w:t xml:space="preserve">, </w:t>
      </w:r>
      <w:r>
        <w:rPr>
          <w:szCs w:val="17"/>
        </w:rPr>
        <w:t xml:space="preserve">die zu einem „fingierten Jargon“ führt; sie dient möglicherweise </w:t>
      </w:r>
      <w:r w:rsidRPr="00156980">
        <w:rPr>
          <w:szCs w:val="17"/>
        </w:rPr>
        <w:t>als Nachweis einer über bloße Nachahmung hinausgehenden literarischen Verwendung</w:t>
      </w:r>
      <w:r w:rsidRPr="00156980">
        <w:rPr>
          <w:szCs w:val="17"/>
        </w:rPr>
        <w:t>s</w:t>
      </w:r>
      <w:r w:rsidRPr="00156980">
        <w:rPr>
          <w:szCs w:val="17"/>
        </w:rPr>
        <w:t>kompetenz.</w:t>
      </w:r>
    </w:p>
    <w:p w:rsidR="00CC3558" w:rsidRPr="00156980" w:rsidRDefault="00CC3558" w:rsidP="00F461D9">
      <w:pPr>
        <w:pStyle w:val="Funotentext"/>
        <w:rPr>
          <w:szCs w:val="17"/>
        </w:rPr>
      </w:pPr>
      <w:r w:rsidRPr="00156980">
        <w:rPr>
          <w:szCs w:val="17"/>
        </w:rPr>
        <w:tab/>
        <w:t>Für die Jugendsprache kann postuliert werden, dass sie sich zunehmend von einem Sprachstil zu einem Soziolekt</w:t>
      </w:r>
      <w:r w:rsidR="005D7996">
        <w:rPr>
          <w:szCs w:val="17"/>
        </w:rPr>
        <w:fldChar w:fldCharType="begin"/>
      </w:r>
      <w:r>
        <w:instrText xml:space="preserve"> XE "</w:instrText>
      </w:r>
      <w:r w:rsidRPr="002839CF">
        <w:rPr>
          <w:rFonts w:eastAsia="Times New Roman" w:cs="Times New Roman"/>
        </w:rPr>
        <w:instrText>Soziolekt</w:instrText>
      </w:r>
      <w:r>
        <w:instrText xml:space="preserve">" </w:instrText>
      </w:r>
      <w:r w:rsidR="005D7996">
        <w:rPr>
          <w:szCs w:val="17"/>
        </w:rPr>
        <w:fldChar w:fldCharType="end"/>
      </w:r>
      <w:r w:rsidRPr="00156980">
        <w:rPr>
          <w:szCs w:val="17"/>
        </w:rPr>
        <w:t xml:space="preserve"> (also zu einer von einer bestimmten Gruppe gesprochenen Sprachvariante mit substantiellen Eigenheiten in Wortschatz und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vgl. letzte Fu</w:t>
      </w:r>
      <w:r w:rsidRPr="00156980">
        <w:rPr>
          <w:szCs w:val="17"/>
        </w:rPr>
        <w:t>ß</w:t>
      </w:r>
      <w:r w:rsidRPr="00156980">
        <w:rPr>
          <w:szCs w:val="17"/>
        </w:rPr>
        <w:t>note) entwickelt.</w:t>
      </w:r>
    </w:p>
  </w:footnote>
  <w:footnote w:id="64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Siehe beispielsweise Beneš u.a. 1971, Hess-Lüttich 1976 und Eckert 2001. Den Zusa</w:t>
      </w:r>
      <w:r w:rsidRPr="00156980">
        <w:rPr>
          <w:szCs w:val="17"/>
        </w:rPr>
        <w:t>m</w:t>
      </w:r>
      <w:r w:rsidRPr="00156980">
        <w:rPr>
          <w:szCs w:val="17"/>
        </w:rPr>
        <w:t>menhang zwischen Lebenstil und Gesellschaft analysieren Sobel 1981 und Michailow 1990, zwischen Kommunikationsstil</w:t>
      </w:r>
      <w:r w:rsidR="005D7996">
        <w:rPr>
          <w:szCs w:val="17"/>
        </w:rPr>
        <w:fldChar w:fldCharType="begin"/>
      </w:r>
      <w:r>
        <w:instrText xml:space="preserve"> XE "</w:instrText>
      </w:r>
      <w:r w:rsidRPr="00A13DE2">
        <w:instrText>Kommunikationsstil</w:instrText>
      </w:r>
      <w:r>
        <w:instrText xml:space="preserve">" </w:instrText>
      </w:r>
      <w:r w:rsidR="005D7996">
        <w:rPr>
          <w:szCs w:val="17"/>
        </w:rPr>
        <w:fldChar w:fldCharType="end"/>
      </w:r>
      <w:r w:rsidRPr="00156980">
        <w:rPr>
          <w:szCs w:val="17"/>
        </w:rPr>
        <w:t xml:space="preserve"> und Sozialisation Wildgen 1977. Stil in Fachsprachen wird in Spillner 1989 und in Hess-Lüttich 2003, Stilwechsel</w:t>
      </w:r>
      <w:r w:rsidR="005D7996">
        <w:rPr>
          <w:szCs w:val="17"/>
        </w:rPr>
        <w:fldChar w:fldCharType="begin"/>
      </w:r>
      <w:r>
        <w:instrText xml:space="preserve"> XE "</w:instrText>
      </w:r>
      <w:r w:rsidRPr="00EF5E2C">
        <w:instrText>Stilwechsel</w:instrText>
      </w:r>
      <w:r>
        <w:instrText xml:space="preserve">" </w:instrText>
      </w:r>
      <w:r w:rsidR="005D7996">
        <w:rPr>
          <w:szCs w:val="17"/>
        </w:rPr>
        <w:fldChar w:fldCharType="end"/>
      </w:r>
      <w:r w:rsidRPr="00156980">
        <w:rPr>
          <w:szCs w:val="17"/>
        </w:rPr>
        <w:t xml:space="preserve"> in alltäglichen Gesprächen in Hess-Lüttich 2000 untersucht.</w:t>
      </w:r>
    </w:p>
  </w:footnote>
  <w:footnote w:id="64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Adorno 1970: 305.</w:t>
      </w:r>
    </w:p>
  </w:footnote>
  <w:footnote w:id="64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Viebrock 1977: 31.</w:t>
      </w:r>
    </w:p>
  </w:footnote>
  <w:footnote w:id="64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Dieser Stil definierte sich gerade durch die Ablehnung der vorigen Historismus-Phase, in der auf zahlreiche Stile Bezug genommen und diese auch gemischt worden waren. Diese Art der Bezugnahme lehnte die Moderne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ab; dennoch kann nur metaphorisch von einem „stillosen Stil“ die Rede sein, wie Anders Munch (2005: 32) formuliert: „Von der Stilkrise in der Kunst ausgehend, meinten viele, auch der Lebensstil</w:t>
      </w:r>
      <w:r w:rsidR="005D7996">
        <w:rPr>
          <w:szCs w:val="17"/>
        </w:rPr>
        <w:fldChar w:fldCharType="begin"/>
      </w:r>
      <w:r>
        <w:instrText xml:space="preserve"> XE "</w:instrText>
      </w:r>
      <w:r w:rsidRPr="00B41AC9">
        <w:instrText>Lebensstil</w:instrText>
      </w:r>
      <w:r>
        <w:instrText xml:space="preserve">" </w:instrText>
      </w:r>
      <w:r w:rsidR="005D7996">
        <w:rPr>
          <w:szCs w:val="17"/>
        </w:rPr>
        <w:fldChar w:fldCharType="end"/>
      </w:r>
      <w:r w:rsidRPr="00156980">
        <w:rPr>
          <w:szCs w:val="17"/>
        </w:rPr>
        <w:t xml:space="preserve"> und Denkstil</w:t>
      </w:r>
      <w:r w:rsidR="005D7996">
        <w:rPr>
          <w:szCs w:val="17"/>
        </w:rPr>
        <w:fldChar w:fldCharType="begin"/>
      </w:r>
      <w:r>
        <w:instrText xml:space="preserve"> XE "</w:instrText>
      </w:r>
      <w:r w:rsidRPr="00D77C99">
        <w:rPr>
          <w:szCs w:val="17"/>
        </w:rPr>
        <w:instrText>Denkstil</w:instrText>
      </w:r>
      <w:r>
        <w:instrText xml:space="preserve">" </w:instrText>
      </w:r>
      <w:r w:rsidR="005D7996">
        <w:rPr>
          <w:szCs w:val="17"/>
        </w:rPr>
        <w:fldChar w:fldCharType="end"/>
      </w:r>
      <w:r w:rsidRPr="00156980">
        <w:rPr>
          <w:szCs w:val="17"/>
        </w:rPr>
        <w:t xml:space="preserve"> des modernen Menschen seien in der Krise und hätten nie eine feste Form gefunden. […] Ich versuche denjenigen Stil, der sich trotz aller Skepsis durchgesetzt hat, als stillosen Stil zu charakt</w:t>
      </w:r>
      <w:r w:rsidRPr="00156980">
        <w:rPr>
          <w:szCs w:val="17"/>
        </w:rPr>
        <w:t>e</w:t>
      </w:r>
      <w:r w:rsidRPr="00156980">
        <w:rPr>
          <w:szCs w:val="17"/>
        </w:rPr>
        <w:t>risieren.“ Munch spielt in dieser Kennzeichnung des Stils der Moderne, dessen Prägung durch Adolf Loos</w:t>
      </w:r>
      <w:r w:rsidR="005D7996">
        <w:rPr>
          <w:szCs w:val="17"/>
        </w:rPr>
        <w:fldChar w:fldCharType="begin"/>
      </w:r>
      <w:r>
        <w:instrText xml:space="preserve"> XE "</w:instrText>
      </w:r>
      <w:r w:rsidRPr="009544A5">
        <w:rPr>
          <w:szCs w:val="17"/>
        </w:rPr>
        <w:instrText>Loos, Adolf</w:instrText>
      </w:r>
      <w:r>
        <w:instrText xml:space="preserve">" </w:instrText>
      </w:r>
      <w:r w:rsidR="005D7996">
        <w:rPr>
          <w:szCs w:val="17"/>
        </w:rPr>
        <w:fldChar w:fldCharType="end"/>
      </w:r>
      <w:r w:rsidRPr="00156980">
        <w:rPr>
          <w:szCs w:val="17"/>
        </w:rPr>
        <w:t xml:space="preserve"> er untersucht, auf jene kulturkritische Diskussion der Jahrhunder</w:t>
      </w:r>
      <w:r w:rsidRPr="00156980">
        <w:rPr>
          <w:szCs w:val="17"/>
        </w:rPr>
        <w:t>t</w:t>
      </w:r>
      <w:r w:rsidRPr="00156980">
        <w:rPr>
          <w:szCs w:val="17"/>
        </w:rPr>
        <w:t>wende an, die es als Symptom einer schweren Krise ansah, dass die Kulturentwicklung in den letzten Jahrzehnten des 19. Jahrhunderts keinen als allgemeingültig empfundenen Stil mehr hervorgebracht hatte. Seit Nietzsches Warnung vor dem Historismus (Nietzsche 1874) hatte sich eine Debatte entwickelt, die bei denjenigen, die das scheinbare Ende der Epochenstile, die als Ausdruck des Geists einer Zeit angesehen wurden, nicht akzeptieren konnten, zum Kulturpessimismus führte (z.B. Spengler 1918-1922). Andere zogen daraus die Konsequenz eines radikalen Bruchs mit der Stilorientierung und propagierten die Funktionsorientierung (z.B. Loos 1908</w:t>
      </w:r>
      <w:r>
        <w:rPr>
          <w:szCs w:val="17"/>
        </w:rPr>
        <w:t>=</w:t>
      </w:r>
      <w:r w:rsidRPr="00156980">
        <w:rPr>
          <w:szCs w:val="17"/>
        </w:rPr>
        <w:t>1962; Mies van der Rohe</w:t>
      </w:r>
      <w:r w:rsidR="005D7996">
        <w:rPr>
          <w:szCs w:val="17"/>
        </w:rPr>
        <w:fldChar w:fldCharType="begin"/>
      </w:r>
      <w:r>
        <w:instrText xml:space="preserve"> XE "</w:instrText>
      </w:r>
      <w:r w:rsidRPr="00BB5FE2">
        <w:rPr>
          <w:szCs w:val="17"/>
        </w:rPr>
        <w:instrText>Mies van der Rohe, Ludwig</w:instrText>
      </w:r>
      <w:r>
        <w:instrText xml:space="preserve">" </w:instrText>
      </w:r>
      <w:r w:rsidR="005D7996">
        <w:rPr>
          <w:szCs w:val="17"/>
        </w:rPr>
        <w:fldChar w:fldCharType="end"/>
      </w:r>
      <w:r w:rsidRPr="00156980">
        <w:rPr>
          <w:szCs w:val="17"/>
        </w:rPr>
        <w:t xml:space="preserve"> 1923</w:t>
      </w:r>
      <w:r>
        <w:rPr>
          <w:szCs w:val="17"/>
        </w:rPr>
        <w:t>=</w:t>
      </w:r>
      <w:r>
        <w:t>2002</w:t>
      </w:r>
      <w:r w:rsidRPr="00156980">
        <w:rPr>
          <w:szCs w:val="17"/>
        </w:rPr>
        <w:t>: 408); ironischerweise schufen sie dadurch erneut einen epochemachenden Stil, der in der Arch</w:t>
      </w:r>
      <w:r w:rsidRPr="00156980">
        <w:rPr>
          <w:szCs w:val="17"/>
        </w:rPr>
        <w:t>i</w:t>
      </w:r>
      <w:r w:rsidRPr="00156980">
        <w:rPr>
          <w:szCs w:val="17"/>
        </w:rPr>
        <w:t>tektur ab den 1940er Jahren als „Internationaler Stil“ weltweit prägend wurde (vgl. Hitchcock u.a. 1932; Schäfers 2006: 125ff).</w:t>
      </w:r>
    </w:p>
    <w:p w:rsidR="00CC3558" w:rsidRPr="00156980" w:rsidRDefault="00CC3558" w:rsidP="00F461D9">
      <w:pPr>
        <w:pStyle w:val="Funotentext"/>
        <w:rPr>
          <w:szCs w:val="17"/>
        </w:rPr>
      </w:pPr>
      <w:r w:rsidRPr="00156980">
        <w:rPr>
          <w:szCs w:val="17"/>
        </w:rPr>
        <w:tab/>
        <w:t>Interessant ist, dass diese Stildiskussion wie selbstverständlich die unterschiedlichsten Stilbereiche – Stil in Kunst, Musik, Architektur, aber auch Lebensstil</w:t>
      </w:r>
      <w:r w:rsidR="005D7996">
        <w:rPr>
          <w:szCs w:val="17"/>
        </w:rPr>
        <w:fldChar w:fldCharType="begin"/>
      </w:r>
      <w:r>
        <w:instrText xml:space="preserve"> XE "</w:instrText>
      </w:r>
      <w:r w:rsidRPr="00B41AC9">
        <w:instrText>Lebensstil</w:instrText>
      </w:r>
      <w:r>
        <w:instrText xml:space="preserve">" </w:instrText>
      </w:r>
      <w:r w:rsidR="005D7996">
        <w:rPr>
          <w:szCs w:val="17"/>
        </w:rPr>
        <w:fldChar w:fldCharType="end"/>
      </w:r>
      <w:r w:rsidRPr="00156980">
        <w:rPr>
          <w:szCs w:val="17"/>
        </w:rPr>
        <w:t>, Denkstil</w:t>
      </w:r>
      <w:r w:rsidR="005D7996">
        <w:rPr>
          <w:szCs w:val="17"/>
        </w:rPr>
        <w:fldChar w:fldCharType="begin"/>
      </w:r>
      <w:r>
        <w:instrText xml:space="preserve"> XE "</w:instrText>
      </w:r>
      <w:r w:rsidRPr="00D77C99">
        <w:rPr>
          <w:szCs w:val="17"/>
        </w:rPr>
        <w:instrText>Denkstil</w:instrText>
      </w:r>
      <w:r>
        <w:instrText xml:space="preserve">" </w:instrText>
      </w:r>
      <w:r w:rsidR="005D7996">
        <w:rPr>
          <w:szCs w:val="17"/>
        </w:rPr>
        <w:fldChar w:fldCharType="end"/>
      </w:r>
      <w:r w:rsidRPr="00156980">
        <w:rPr>
          <w:szCs w:val="17"/>
        </w:rPr>
        <w:t>, Gesel</w:t>
      </w:r>
      <w:r w:rsidRPr="00156980">
        <w:rPr>
          <w:szCs w:val="17"/>
        </w:rPr>
        <w:t>l</w:t>
      </w:r>
      <w:r w:rsidRPr="00156980">
        <w:rPr>
          <w:szCs w:val="17"/>
        </w:rPr>
        <w:t>schaftsstil und alltägliche Verhaltensstile – miteinander in Verbindung setzte, während nach dem Zweiten Weltkrieg eine Trennung nach akademische Disziplinen üblich wurde. Diese führte zu unfruchtbaren fachinternen Diskursen, die die Allgemeinheit des mit „Stil“ bezeichneten Phänomens völlig verkannten und daher auch keine bereichsspez</w:t>
      </w:r>
      <w:r w:rsidRPr="00156980">
        <w:rPr>
          <w:szCs w:val="17"/>
        </w:rPr>
        <w:t>i</w:t>
      </w:r>
      <w:r w:rsidRPr="00156980">
        <w:rPr>
          <w:szCs w:val="17"/>
        </w:rPr>
        <w:t>fisch überzeugenden Stildefinitionen fanden.</w:t>
      </w:r>
    </w:p>
  </w:footnote>
  <w:footnote w:id="65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Dabei schuf sie ironischerweise einen klar erkennbaren Stil, der entsprechend den No</w:t>
      </w:r>
      <w:r w:rsidRPr="00156980">
        <w:rPr>
          <w:szCs w:val="17"/>
        </w:rPr>
        <w:t>t</w:t>
      </w:r>
      <w:r w:rsidRPr="00156980">
        <w:rPr>
          <w:szCs w:val="17"/>
        </w:rPr>
        <w:t>wendigkeiten seiner Zeit gleichermaßen unterhalten und repräsentieren soll; indem er wirtschaftlichen Imperativen gehorchte, drückte er eine einheitliche Norm aus.</w:t>
      </w:r>
    </w:p>
  </w:footnote>
  <w:footnote w:id="65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zur semiotischen Analyse von Fälschungen in Kunst und Handwerk Eco 2004. Sti</w:t>
      </w:r>
      <w:r w:rsidRPr="00156980">
        <w:rPr>
          <w:szCs w:val="17"/>
        </w:rPr>
        <w:t>l</w:t>
      </w:r>
      <w:r w:rsidRPr="00156980">
        <w:rPr>
          <w:szCs w:val="17"/>
        </w:rPr>
        <w:t>fälschungen spielen in der Kunstgeschichte</w:t>
      </w:r>
      <w:r w:rsidR="005D7996">
        <w:rPr>
          <w:szCs w:val="17"/>
        </w:rPr>
        <w:fldChar w:fldCharType="begin"/>
      </w:r>
      <w:r>
        <w:instrText xml:space="preserve"> XE "</w:instrText>
      </w:r>
      <w:r w:rsidRPr="000853B0">
        <w:instrText>Kunstgeschichte</w:instrText>
      </w:r>
      <w:r>
        <w:instrText xml:space="preserve">" </w:instrText>
      </w:r>
      <w:r w:rsidR="005D7996">
        <w:rPr>
          <w:szCs w:val="17"/>
        </w:rPr>
        <w:fldChar w:fldCharType="end"/>
      </w:r>
      <w:r w:rsidRPr="00156980">
        <w:rPr>
          <w:szCs w:val="17"/>
        </w:rPr>
        <w:t xml:space="preserve"> eine wichtige Rolle, sie werden dort „Falsif</w:t>
      </w:r>
      <w:r w:rsidRPr="00156980">
        <w:rPr>
          <w:szCs w:val="17"/>
        </w:rPr>
        <w:t>i</w:t>
      </w:r>
      <w:r w:rsidRPr="00156980">
        <w:rPr>
          <w:szCs w:val="17"/>
        </w:rPr>
        <w:t>kate</w:t>
      </w:r>
      <w:r w:rsidR="005D7996">
        <w:rPr>
          <w:szCs w:val="17"/>
        </w:rPr>
        <w:fldChar w:fldCharType="begin"/>
      </w:r>
      <w:r>
        <w:instrText xml:space="preserve"> XE "</w:instrText>
      </w:r>
      <w:r w:rsidRPr="009658C1">
        <w:rPr>
          <w:szCs w:val="17"/>
        </w:rPr>
        <w:instrText>Falsifikat</w:instrText>
      </w:r>
      <w:r>
        <w:instrText xml:space="preserve">" </w:instrText>
      </w:r>
      <w:r w:rsidR="005D7996">
        <w:rPr>
          <w:szCs w:val="17"/>
        </w:rPr>
        <w:fldChar w:fldCharType="end"/>
      </w:r>
      <w:r w:rsidRPr="00156980">
        <w:rPr>
          <w:szCs w:val="17"/>
        </w:rPr>
        <w:t xml:space="preserve">“ genannt und von anderen Fälschungsarten </w:t>
      </w:r>
      <w:r>
        <w:rPr>
          <w:szCs w:val="17"/>
        </w:rPr>
        <w:t>(</w:t>
      </w:r>
      <w:r w:rsidRPr="00156980">
        <w:rPr>
          <w:szCs w:val="17"/>
        </w:rPr>
        <w:t>etwa Identfälschungen</w:t>
      </w:r>
      <w:r w:rsidR="005D7996">
        <w:rPr>
          <w:szCs w:val="17"/>
        </w:rPr>
        <w:fldChar w:fldCharType="begin"/>
      </w:r>
      <w:r>
        <w:instrText xml:space="preserve"> XE "</w:instrText>
      </w:r>
      <w:r w:rsidRPr="0008786B">
        <w:rPr>
          <w:szCs w:val="17"/>
        </w:rPr>
        <w:instrText>Identfälschung</w:instrText>
      </w:r>
      <w:r>
        <w:instrText xml:space="preserve">" </w:instrText>
      </w:r>
      <w:r w:rsidR="005D7996">
        <w:rPr>
          <w:szCs w:val="17"/>
        </w:rPr>
        <w:fldChar w:fldCharType="end"/>
      </w:r>
      <w:r w:rsidRPr="00156980">
        <w:rPr>
          <w:szCs w:val="17"/>
        </w:rPr>
        <w:t>, bei denen die Kopie eines Werks als Original ausgegeben wird, und Plagiat</w:t>
      </w:r>
      <w:r>
        <w:rPr>
          <w:szCs w:val="17"/>
        </w:rPr>
        <w:t>en</w:t>
      </w:r>
      <w:r w:rsidR="005D7996">
        <w:rPr>
          <w:szCs w:val="17"/>
        </w:rPr>
        <w:fldChar w:fldCharType="begin"/>
      </w:r>
      <w:r>
        <w:instrText xml:space="preserve"> XE "</w:instrText>
      </w:r>
      <w:r w:rsidRPr="002E78C9">
        <w:rPr>
          <w:szCs w:val="17"/>
        </w:rPr>
        <w:instrText>Plagiat</w:instrText>
      </w:r>
      <w:r>
        <w:instrText xml:space="preserve">" </w:instrText>
      </w:r>
      <w:r w:rsidR="005D7996">
        <w:rPr>
          <w:szCs w:val="17"/>
        </w:rPr>
        <w:fldChar w:fldCharType="end"/>
      </w:r>
      <w:r w:rsidRPr="00156980">
        <w:rPr>
          <w:szCs w:val="17"/>
        </w:rPr>
        <w:t>, bei denen ein fremdes Werk als eigenes ausgegeben wird</w:t>
      </w:r>
      <w:r>
        <w:rPr>
          <w:szCs w:val="17"/>
        </w:rPr>
        <w:t>)</w:t>
      </w:r>
      <w:r w:rsidRPr="00156980">
        <w:rPr>
          <w:szCs w:val="17"/>
        </w:rPr>
        <w:t xml:space="preserve"> unterschieden. Das Fälschermuseum Wien hat Be</w:t>
      </w:r>
      <w:r w:rsidRPr="00156980">
        <w:rPr>
          <w:szCs w:val="17"/>
        </w:rPr>
        <w:t>i</w:t>
      </w:r>
      <w:r w:rsidRPr="00156980">
        <w:rPr>
          <w:szCs w:val="17"/>
        </w:rPr>
        <w:t>spiele zusammengetragen (</w:t>
      </w:r>
      <w:r>
        <w:rPr>
          <w:szCs w:val="17"/>
        </w:rPr>
        <w:t>http://</w:t>
      </w:r>
      <w:r w:rsidRPr="00156980">
        <w:rPr>
          <w:szCs w:val="17"/>
        </w:rPr>
        <w:t>www.faelschermuseum.com; Einsicht am 14.07.2010).</w:t>
      </w:r>
    </w:p>
  </w:footnote>
  <w:footnote w:id="65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Ljungberg 2006: 9f.</w:t>
      </w:r>
    </w:p>
  </w:footnote>
  <w:footnote w:id="65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Diese Idee stammt von Christian Siefkes (persönliche Mitteilung, Juli 2007).</w:t>
      </w:r>
    </w:p>
  </w:footnote>
  <w:footnote w:id="65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Einen Überblick zu dieser Markierungsfunktion gibt Dittmar 2009; zu Stil und Habitus vgl. U. Abraham 2009. 1359ff.</w:t>
      </w:r>
    </w:p>
  </w:footnote>
  <w:footnote w:id="65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Krais u.a. 2002: 5.</w:t>
      </w:r>
    </w:p>
  </w:footnote>
  <w:footnote w:id="65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Bourdieu</w:t>
      </w:r>
      <w:r w:rsidR="005D7996">
        <w:rPr>
          <w:szCs w:val="17"/>
        </w:rPr>
        <w:fldChar w:fldCharType="begin"/>
      </w:r>
      <w:r>
        <w:instrText xml:space="preserve"> XE "</w:instrText>
      </w:r>
      <w:r w:rsidRPr="007E2E01">
        <w:rPr>
          <w:rFonts w:eastAsia="Times New Roman" w:cs="Times New Roman"/>
        </w:rPr>
        <w:instrText>Bourdieu, Pierre</w:instrText>
      </w:r>
      <w:r>
        <w:instrText xml:space="preserve">" </w:instrText>
      </w:r>
      <w:r w:rsidR="005D7996">
        <w:rPr>
          <w:szCs w:val="17"/>
        </w:rPr>
        <w:fldChar w:fldCharType="end"/>
      </w:r>
      <w:r w:rsidRPr="00156980">
        <w:rPr>
          <w:szCs w:val="17"/>
        </w:rPr>
        <w:t xml:space="preserve"> 1978 und Bourdieu</w:t>
      </w:r>
      <w:r w:rsidR="005D7996">
        <w:rPr>
          <w:szCs w:val="17"/>
        </w:rPr>
        <w:fldChar w:fldCharType="begin"/>
      </w:r>
      <w:r>
        <w:instrText xml:space="preserve"> XE "</w:instrText>
      </w:r>
      <w:r w:rsidRPr="007E2E01">
        <w:rPr>
          <w:rFonts w:eastAsia="Times New Roman" w:cs="Times New Roman"/>
        </w:rPr>
        <w:instrText>Bourdieu, Pierre</w:instrText>
      </w:r>
      <w:r>
        <w:instrText xml:space="preserve">" </w:instrText>
      </w:r>
      <w:r w:rsidR="005D7996">
        <w:rPr>
          <w:szCs w:val="17"/>
        </w:rPr>
        <w:fldChar w:fldCharType="end"/>
      </w:r>
      <w:r w:rsidRPr="00156980">
        <w:rPr>
          <w:szCs w:val="17"/>
        </w:rPr>
        <w:t xml:space="preserve"> u.a. 1992. Vgl. zum Begriff ‚Habitus‘ auch Nickl 2001.</w:t>
      </w:r>
    </w:p>
  </w:footnote>
  <w:footnote w:id="65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Krais u.a. 2002: 31ff.</w:t>
      </w:r>
    </w:p>
  </w:footnote>
  <w:footnote w:id="65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Aufgrund von Habitusunterschieden sind über Klassengrenzen hinweg tiefergehende Gespräche oft schwierig. Die unterschiedlichen Kommunikationsstile</w:t>
      </w:r>
      <w:r w:rsidR="005D7996">
        <w:rPr>
          <w:szCs w:val="17"/>
        </w:rPr>
        <w:fldChar w:fldCharType="begin"/>
      </w:r>
      <w:r>
        <w:instrText xml:space="preserve"> XE "</w:instrText>
      </w:r>
      <w:r w:rsidRPr="00FE1C40">
        <w:rPr>
          <w:szCs w:val="17"/>
        </w:rPr>
        <w:instrText>Kommunikationsstil</w:instrText>
      </w:r>
      <w:r>
        <w:instrText xml:space="preserve">" </w:instrText>
      </w:r>
      <w:r w:rsidR="005D7996">
        <w:rPr>
          <w:szCs w:val="17"/>
        </w:rPr>
        <w:fldChar w:fldCharType="end"/>
      </w:r>
      <w:r w:rsidRPr="00156980">
        <w:rPr>
          <w:szCs w:val="17"/>
        </w:rPr>
        <w:t>, Verhaltensweisen, Interessen, Hobbys und Lebensauffassungen erschweren Freundschaften, Partnerscha</w:t>
      </w:r>
      <w:r w:rsidRPr="00156980">
        <w:rPr>
          <w:szCs w:val="17"/>
        </w:rPr>
        <w:t>f</w:t>
      </w:r>
      <w:r w:rsidRPr="00156980">
        <w:rPr>
          <w:szCs w:val="17"/>
        </w:rPr>
        <w:t>ten und Ehen und führen damit zu einer Abgrenzung der Gesellschaftsschichten.</w:t>
      </w:r>
    </w:p>
  </w:footnote>
  <w:footnote w:id="65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Rössel 2009: 310.</w:t>
      </w:r>
    </w:p>
  </w:footnote>
  <w:footnote w:id="66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Otte 2004 und Otte u.a. 2008.</w:t>
      </w:r>
    </w:p>
  </w:footnote>
  <w:footnote w:id="66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Spellerberg 1996: 122.</w:t>
      </w:r>
    </w:p>
  </w:footnote>
  <w:footnote w:id="66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Rössel 2009: 324f., vgl. auch Katz-Gerro u.a. 2007.</w:t>
      </w:r>
    </w:p>
  </w:footnote>
  <w:footnote w:id="66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Betrug besteht oft nur darin, sich nicht an die vorgeschriebenen Grenzen zu halten oder von vornherein nicht in sie hineinzupassen. So wurden jahrzehntelang Intersexuelle im Hochleistungssport als Betrüger behandelt, wenn sie im Frauensport antraten, aber Kennzeichen eines männlichen Körperbaus, Hormonsystems oder Genoms zeigten. (Vgl. Oliver Tolmein, „XXY ungelöst“. </w:t>
      </w:r>
      <w:r w:rsidRPr="00156980">
        <w:rPr>
          <w:i/>
          <w:szCs w:val="17"/>
        </w:rPr>
        <w:t>Jungle World Nr. 2</w:t>
      </w:r>
      <w:r w:rsidRPr="00156980">
        <w:rPr>
          <w:szCs w:val="17"/>
        </w:rPr>
        <w:t>, 14.01.2010. Online unter: http://jungle-world.com/artikel/2010/02/40151.html; Einsicht am 15.02.2010.)</w:t>
      </w:r>
    </w:p>
  </w:footnote>
  <w:footnote w:id="66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Klassische Beispiele sind Carl Zuckmayers</w:t>
      </w:r>
      <w:r w:rsidR="005D7996">
        <w:rPr>
          <w:szCs w:val="17"/>
        </w:rPr>
        <w:fldChar w:fldCharType="begin"/>
      </w:r>
      <w:r>
        <w:instrText xml:space="preserve"> XE "</w:instrText>
      </w:r>
      <w:r w:rsidRPr="00AD1D15">
        <w:rPr>
          <w:szCs w:val="17"/>
        </w:rPr>
        <w:instrText>Zuckmayer, Carl</w:instrText>
      </w:r>
      <w:r>
        <w:instrText xml:space="preserve">" </w:instrText>
      </w:r>
      <w:r w:rsidR="005D7996">
        <w:rPr>
          <w:szCs w:val="17"/>
        </w:rPr>
        <w:fldChar w:fldCharType="end"/>
      </w:r>
      <w:r w:rsidRPr="00156980">
        <w:rPr>
          <w:szCs w:val="17"/>
        </w:rPr>
        <w:t xml:space="preserve"> „Der Hauptmann von Köpenick</w:t>
      </w:r>
      <w:r w:rsidR="005D7996">
        <w:rPr>
          <w:szCs w:val="17"/>
        </w:rPr>
        <w:fldChar w:fldCharType="begin"/>
      </w:r>
      <w:r>
        <w:instrText xml:space="preserve"> XE "</w:instrText>
      </w:r>
      <w:r w:rsidRPr="000B39F0">
        <w:rPr>
          <w:szCs w:val="17"/>
        </w:rPr>
        <w:instrText>Der Hauptmann von Köpenick (Theaterstück)</w:instrText>
      </w:r>
      <w:r>
        <w:instrText xml:space="preserve">" </w:instrText>
      </w:r>
      <w:r w:rsidR="005D7996">
        <w:rPr>
          <w:szCs w:val="17"/>
        </w:rPr>
        <w:fldChar w:fldCharType="end"/>
      </w:r>
      <w:r w:rsidRPr="00156980">
        <w:rPr>
          <w:szCs w:val="17"/>
        </w:rPr>
        <w:t>“ (Zuckmayer 1931) und Thomas Manns</w:t>
      </w:r>
      <w:r w:rsidR="005D7996">
        <w:rPr>
          <w:szCs w:val="17"/>
        </w:rPr>
        <w:fldChar w:fldCharType="begin"/>
      </w:r>
      <w:r>
        <w:instrText xml:space="preserve"> XE "</w:instrText>
      </w:r>
      <w:r w:rsidRPr="00EE437A">
        <w:rPr>
          <w:szCs w:val="17"/>
        </w:rPr>
        <w:instrText>Mann,</w:instrText>
      </w:r>
      <w:r w:rsidRPr="00EE437A">
        <w:instrText xml:space="preserve"> </w:instrText>
      </w:r>
      <w:r w:rsidRPr="00EE437A">
        <w:rPr>
          <w:szCs w:val="17"/>
        </w:rPr>
        <w:instrText>Thomas</w:instrText>
      </w:r>
      <w:r>
        <w:instrText xml:space="preserve">" </w:instrText>
      </w:r>
      <w:r w:rsidR="005D7996">
        <w:rPr>
          <w:szCs w:val="17"/>
        </w:rPr>
        <w:fldChar w:fldCharType="end"/>
      </w:r>
      <w:r w:rsidRPr="00156980">
        <w:rPr>
          <w:szCs w:val="17"/>
        </w:rPr>
        <w:t xml:space="preserve"> „Felix Krull</w:t>
      </w:r>
      <w:r w:rsidR="005D7996">
        <w:rPr>
          <w:szCs w:val="17"/>
        </w:rPr>
        <w:fldChar w:fldCharType="begin"/>
      </w:r>
      <w:r>
        <w:instrText xml:space="preserve"> XE "</w:instrText>
      </w:r>
      <w:r w:rsidRPr="00027C16">
        <w:rPr>
          <w:szCs w:val="17"/>
        </w:rPr>
        <w:instrText>Felix Krull (Roman)</w:instrText>
      </w:r>
      <w:r>
        <w:instrText xml:space="preserve">" </w:instrText>
      </w:r>
      <w:r w:rsidR="005D7996">
        <w:rPr>
          <w:szCs w:val="17"/>
        </w:rPr>
        <w:fldChar w:fldCharType="end"/>
      </w:r>
      <w:r w:rsidRPr="00156980">
        <w:rPr>
          <w:szCs w:val="17"/>
        </w:rPr>
        <w:t>“ (Mann 1954). In neuerer Zeit haben Hochstapler wie Gerd Postel</w:t>
      </w:r>
      <w:r w:rsidR="005D7996">
        <w:rPr>
          <w:szCs w:val="17"/>
        </w:rPr>
        <w:fldChar w:fldCharType="begin"/>
      </w:r>
      <w:r>
        <w:instrText xml:space="preserve"> XE "</w:instrText>
      </w:r>
      <w:r w:rsidRPr="00B7000C">
        <w:rPr>
          <w:szCs w:val="17"/>
        </w:rPr>
        <w:instrText>Postel, Gerd</w:instrText>
      </w:r>
      <w:r>
        <w:instrText xml:space="preserve">" </w:instrText>
      </w:r>
      <w:r w:rsidR="005D7996">
        <w:rPr>
          <w:szCs w:val="17"/>
        </w:rPr>
        <w:fldChar w:fldCharType="end"/>
      </w:r>
      <w:r w:rsidRPr="00156980">
        <w:rPr>
          <w:szCs w:val="17"/>
        </w:rPr>
        <w:t xml:space="preserve"> (vgl. Postel 2001) oder das von Steven Spielberg</w:t>
      </w:r>
      <w:r w:rsidR="005D7996">
        <w:rPr>
          <w:szCs w:val="17"/>
        </w:rPr>
        <w:fldChar w:fldCharType="begin"/>
      </w:r>
      <w:r>
        <w:instrText xml:space="preserve"> XE "</w:instrText>
      </w:r>
      <w:r w:rsidRPr="00C10B23">
        <w:rPr>
          <w:szCs w:val="17"/>
        </w:rPr>
        <w:instrText>Spielberg, Steven</w:instrText>
      </w:r>
      <w:r>
        <w:instrText xml:space="preserve">" </w:instrText>
      </w:r>
      <w:r w:rsidR="005D7996">
        <w:rPr>
          <w:szCs w:val="17"/>
        </w:rPr>
        <w:fldChar w:fldCharType="end"/>
      </w:r>
      <w:r w:rsidRPr="00156980">
        <w:rPr>
          <w:szCs w:val="17"/>
        </w:rPr>
        <w:t xml:space="preserve"> in „Catch Me If You Can</w:t>
      </w:r>
      <w:r w:rsidR="005D7996">
        <w:rPr>
          <w:szCs w:val="17"/>
        </w:rPr>
        <w:fldChar w:fldCharType="begin"/>
      </w:r>
      <w:r>
        <w:instrText xml:space="preserve"> XE "</w:instrText>
      </w:r>
      <w:r w:rsidRPr="00751D8D">
        <w:rPr>
          <w:szCs w:val="17"/>
        </w:rPr>
        <w:instrText>Catch Me If You Can (Film)</w:instrText>
      </w:r>
      <w:r>
        <w:instrText xml:space="preserve">" </w:instrText>
      </w:r>
      <w:r w:rsidR="005D7996">
        <w:rPr>
          <w:szCs w:val="17"/>
        </w:rPr>
        <w:fldChar w:fldCharType="end"/>
      </w:r>
      <w:r w:rsidRPr="00156980">
        <w:rPr>
          <w:szCs w:val="17"/>
        </w:rPr>
        <w:t>“ (2002) verfilmte Leben des Frank Abagnale</w:t>
      </w:r>
      <w:r w:rsidR="005D7996">
        <w:rPr>
          <w:szCs w:val="17"/>
        </w:rPr>
        <w:fldChar w:fldCharType="begin"/>
      </w:r>
      <w:r>
        <w:instrText xml:space="preserve"> XE "</w:instrText>
      </w:r>
      <w:r w:rsidRPr="002E3CB3">
        <w:rPr>
          <w:szCs w:val="17"/>
        </w:rPr>
        <w:instrText>Abagnale, Frank</w:instrText>
      </w:r>
      <w:r>
        <w:instrText xml:space="preserve">" </w:instrText>
      </w:r>
      <w:r w:rsidR="005D7996">
        <w:rPr>
          <w:szCs w:val="17"/>
        </w:rPr>
        <w:fldChar w:fldCharType="end"/>
      </w:r>
      <w:r w:rsidRPr="00156980">
        <w:rPr>
          <w:szCs w:val="17"/>
        </w:rPr>
        <w:t xml:space="preserve">, der sich erfolgreich als Pilot, Oberarzt und Staatsanwalt ausgab, gezeigt, dass sich die Gesellschaft – gerade die </w:t>
      </w:r>
      <w:r>
        <w:rPr>
          <w:szCs w:val="17"/>
        </w:rPr>
        <w:t>‚</w:t>
      </w:r>
      <w:r w:rsidRPr="00156980">
        <w:rPr>
          <w:szCs w:val="17"/>
        </w:rPr>
        <w:t>bessere</w:t>
      </w:r>
      <w:r>
        <w:rPr>
          <w:szCs w:val="17"/>
        </w:rPr>
        <w:t>‘</w:t>
      </w:r>
      <w:r w:rsidRPr="00156980">
        <w:rPr>
          <w:szCs w:val="17"/>
        </w:rPr>
        <w:t xml:space="preserve"> – nach wie vor durch Stilsicherheit in die Irre führen lässt.</w:t>
      </w:r>
    </w:p>
  </w:footnote>
  <w:footnote w:id="66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Wundt 1900–1920 und Lazarus 2003; eine Zusammenstellung grundlegender Texte von Lazarus, Steinthal und Wundt bietet Eckardt 1997.</w:t>
      </w:r>
    </w:p>
  </w:footnote>
  <w:footnote w:id="66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zeigt die von Harry M. Markowitz entwickelte Theorie der Portfolioanalyse (vgl. Markowitz 2007).</w:t>
      </w:r>
    </w:p>
  </w:footnote>
  <w:footnote w:id="66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„Gebrauchswerte können sich nicht als Waren gegenübertreten, wenn nicht qualitativ verschiedne nützliche Arbeiten in ihnen stecken“ (Marx 1867=1974: 57).</w:t>
      </w:r>
    </w:p>
  </w:footnote>
  <w:footnote w:id="66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das Beispiel in Fußnote </w:t>
      </w:r>
      <w:fldSimple w:instr=" NOTEREF _Ref263238426 \h  \* MERGEFORMAT ">
        <w:r w:rsidR="001231D3" w:rsidRPr="001231D3">
          <w:rPr>
            <w:szCs w:val="17"/>
          </w:rPr>
          <w:t>102</w:t>
        </w:r>
      </w:fldSimple>
      <w:r w:rsidRPr="00156980">
        <w:rPr>
          <w:szCs w:val="17"/>
        </w:rPr>
        <w:t>.</w:t>
      </w:r>
    </w:p>
  </w:footnote>
  <w:footnote w:id="66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Interessant ist in diesem Zusammenhang, dass die Beachtung der künstlerischen Indiv</w:t>
      </w:r>
      <w:r w:rsidRPr="00156980">
        <w:rPr>
          <w:szCs w:val="17"/>
        </w:rPr>
        <w:t>i</w:t>
      </w:r>
      <w:r w:rsidRPr="00156980">
        <w:rPr>
          <w:szCs w:val="17"/>
        </w:rPr>
        <w:t>dualstile in den Stadtstaaten im Italien der Renaissance</w:t>
      </w:r>
      <w:r w:rsidR="005D7996">
        <w:rPr>
          <w:szCs w:val="17"/>
        </w:rPr>
        <w:fldChar w:fldCharType="begin"/>
      </w:r>
      <w:r>
        <w:instrText xml:space="preserve"> XE "</w:instrText>
      </w:r>
      <w:r w:rsidRPr="00EA48DF">
        <w:rPr>
          <w:szCs w:val="17"/>
        </w:rPr>
        <w:instrText>Renaissance</w:instrText>
      </w:r>
      <w:r>
        <w:instrText xml:space="preserve">" </w:instrText>
      </w:r>
      <w:r w:rsidR="005D7996">
        <w:rPr>
          <w:szCs w:val="17"/>
        </w:rPr>
        <w:fldChar w:fldCharType="end"/>
      </w:r>
      <w:r w:rsidRPr="00156980">
        <w:rPr>
          <w:szCs w:val="17"/>
        </w:rPr>
        <w:t xml:space="preserve"> begann (vgl. Fußnote </w:t>
      </w:r>
      <w:fldSimple w:instr=" NOTEREF _Ref271530832 \h  \* MERGEFORMAT ">
        <w:r w:rsidR="001231D3" w:rsidRPr="001231D3">
          <w:rPr>
            <w:szCs w:val="17"/>
          </w:rPr>
          <w:t>641</w:t>
        </w:r>
      </w:fldSimple>
      <w:r w:rsidRPr="00156980">
        <w:rPr>
          <w:szCs w:val="17"/>
        </w:rPr>
        <w:t>), wo sich gleichzeitig auch der moderne Kaufmannskapitalismus herausbildete (Christian Sie</w:t>
      </w:r>
      <w:r w:rsidRPr="00156980">
        <w:rPr>
          <w:szCs w:val="17"/>
        </w:rPr>
        <w:t>f</w:t>
      </w:r>
      <w:r w:rsidRPr="00156980">
        <w:rPr>
          <w:szCs w:val="17"/>
        </w:rPr>
        <w:t>kes, persönliche Mitteilung, September 2010).</w:t>
      </w:r>
    </w:p>
  </w:footnote>
  <w:footnote w:id="67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teures Kunstwerk wird in vielen Fällen gekauft, um eine Repräsentationsfunktion auszuüben, was nur möglich ist, wenn auch durchschnittlich bewanderte Laien den Künstler erkennen können.</w:t>
      </w:r>
    </w:p>
  </w:footnote>
  <w:footnote w:id="67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 seien die französischen Architekten Viollet-le-Duc</w:t>
      </w:r>
      <w:r w:rsidR="005D7996">
        <w:rPr>
          <w:szCs w:val="17"/>
        </w:rPr>
        <w:fldChar w:fldCharType="begin"/>
      </w:r>
      <w:r>
        <w:instrText xml:space="preserve"> XE "</w:instrText>
      </w:r>
      <w:r w:rsidRPr="00871810">
        <w:rPr>
          <w:szCs w:val="17"/>
        </w:rPr>
        <w:instrText>Viollet-le-Duc, Eugène-Emmanuel</w:instrText>
      </w:r>
      <w:r>
        <w:instrText xml:space="preserve">" </w:instrText>
      </w:r>
      <w:r w:rsidR="005D7996">
        <w:rPr>
          <w:szCs w:val="17"/>
        </w:rPr>
        <w:fldChar w:fldCharType="end"/>
      </w:r>
      <w:r w:rsidRPr="00156980">
        <w:rPr>
          <w:szCs w:val="17"/>
        </w:rPr>
        <w:t xml:space="preserve"> (vor allem Restaurieru</w:t>
      </w:r>
      <w:r w:rsidRPr="00156980">
        <w:rPr>
          <w:szCs w:val="17"/>
        </w:rPr>
        <w:t>n</w:t>
      </w:r>
      <w:r w:rsidRPr="00156980">
        <w:rPr>
          <w:szCs w:val="17"/>
        </w:rPr>
        <w:t>gen) und Théodore Ballu</w:t>
      </w:r>
      <w:r w:rsidR="005D7996">
        <w:rPr>
          <w:szCs w:val="17"/>
        </w:rPr>
        <w:fldChar w:fldCharType="begin"/>
      </w:r>
      <w:r>
        <w:instrText xml:space="preserve"> XE "</w:instrText>
      </w:r>
      <w:r w:rsidRPr="00B2291A">
        <w:rPr>
          <w:szCs w:val="17"/>
        </w:rPr>
        <w:instrText>Ballu, Théodore</w:instrText>
      </w:r>
      <w:r>
        <w:instrText xml:space="preserve">" </w:instrText>
      </w:r>
      <w:r w:rsidR="005D7996">
        <w:rPr>
          <w:szCs w:val="17"/>
        </w:rPr>
        <w:fldChar w:fldCharType="end"/>
      </w:r>
      <w:r w:rsidRPr="00156980">
        <w:rPr>
          <w:szCs w:val="17"/>
        </w:rPr>
        <w:t xml:space="preserve"> (Kirche St-Ambroise, Paris und Glockenturm von Saint-Germain-l’Auxerrois, Paris) genannt.</w:t>
      </w:r>
    </w:p>
  </w:footnote>
  <w:footnote w:id="67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Stilvielfalt kann man als wesentliches Merkmal der künstlerischen Moderne</w:t>
      </w:r>
      <w:r w:rsidR="005D7996">
        <w:rPr>
          <w:szCs w:val="17"/>
        </w:rPr>
        <w:fldChar w:fldCharType="begin"/>
      </w:r>
      <w:r>
        <w:instrText xml:space="preserve"> XE "</w:instrText>
      </w:r>
      <w:r w:rsidRPr="00525ABC">
        <w:instrText>Moderne</w:instrText>
      </w:r>
      <w:r>
        <w:instrText xml:space="preserve">" </w:instrText>
      </w:r>
      <w:r w:rsidR="005D7996">
        <w:rPr>
          <w:szCs w:val="17"/>
        </w:rPr>
        <w:fldChar w:fldCharType="end"/>
      </w:r>
      <w:r w:rsidRPr="00156980">
        <w:rPr>
          <w:szCs w:val="17"/>
        </w:rPr>
        <w:t xml:space="preserve"> auffassen (Leder 2002: 24).</w:t>
      </w:r>
    </w:p>
  </w:footnote>
  <w:footnote w:id="67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Nuss 2006.</w:t>
      </w:r>
    </w:p>
  </w:footnote>
  <w:footnote w:id="67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67660778 \r \h  \* MERGEFORMAT ">
        <w:r w:rsidR="001231D3" w:rsidRPr="001231D3">
          <w:rPr>
            <w:szCs w:val="17"/>
          </w:rPr>
          <w:t>1.2</w:t>
        </w:r>
      </w:fldSimple>
      <w:r w:rsidRPr="00156980">
        <w:rPr>
          <w:szCs w:val="17"/>
        </w:rPr>
        <w:t>; der Bezug zwischen Begriff und Phänomen wird dort in Annahme (A) formuliert.</w:t>
      </w:r>
    </w:p>
    <w:p w:rsidR="00CC3558" w:rsidRPr="00156980" w:rsidRDefault="00CC3558" w:rsidP="00F461D9">
      <w:pPr>
        <w:pStyle w:val="Funotentext"/>
        <w:rPr>
          <w:szCs w:val="17"/>
        </w:rPr>
      </w:pPr>
      <w:r w:rsidRPr="00156980">
        <w:rPr>
          <w:szCs w:val="17"/>
        </w:rPr>
        <w:tab/>
        <w:t>Als weiteres Beispiel für dieses Vorgehen sei Georg Meggles Dissertation genannt (Meggle 1981), die eine Theorie der Kommunikation</w:t>
      </w:r>
      <w:r w:rsidR="005D7996">
        <w:rPr>
          <w:szCs w:val="17"/>
        </w:rPr>
        <w:fldChar w:fldCharType="begin"/>
      </w:r>
      <w:r>
        <w:instrText xml:space="preserve"> XE "</w:instrText>
      </w:r>
      <w:r w:rsidRPr="00716BD7">
        <w:rPr>
          <w:rFonts w:eastAsia="Times New Roman" w:cs="Times New Roman"/>
        </w:rPr>
        <w:instrText>Kommunikation</w:instrText>
      </w:r>
      <w:r>
        <w:instrText xml:space="preserve">" </w:instrText>
      </w:r>
      <w:r w:rsidR="005D7996">
        <w:rPr>
          <w:szCs w:val="17"/>
        </w:rPr>
        <w:fldChar w:fldCharType="end"/>
      </w:r>
      <w:r w:rsidRPr="00156980">
        <w:rPr>
          <w:szCs w:val="17"/>
        </w:rPr>
        <w:t xml:space="preserve"> entwirft und dabei in der Tradition der analytischen Philosophie die Richtigkeit der aufgestellten Formeln mit Hilfe von a</w:t>
      </w:r>
      <w:r w:rsidRPr="00156980">
        <w:rPr>
          <w:szCs w:val="17"/>
        </w:rPr>
        <w:t>b</w:t>
      </w:r>
      <w:r w:rsidRPr="00156980">
        <w:rPr>
          <w:szCs w:val="17"/>
        </w:rPr>
        <w:t>grenzenden Beispielen überprüft, die sich auf den natürlichsprachlichen Begriff ‚Komm</w:t>
      </w:r>
      <w:r w:rsidRPr="00156980">
        <w:rPr>
          <w:szCs w:val="17"/>
        </w:rPr>
        <w:t>u</w:t>
      </w:r>
      <w:r w:rsidRPr="00156980">
        <w:rPr>
          <w:szCs w:val="17"/>
        </w:rPr>
        <w:t>nikation‘ beziehen.</w:t>
      </w:r>
    </w:p>
  </w:footnote>
  <w:footnote w:id="67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Sperber u.a. 1986: 119.</w:t>
      </w:r>
    </w:p>
  </w:footnote>
  <w:footnote w:id="67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Relevanz wird Sperber und Wilson zufolge in einem automatischen Prozess festg</w:t>
      </w:r>
      <w:r w:rsidRPr="00156980">
        <w:rPr>
          <w:szCs w:val="17"/>
        </w:rPr>
        <w:t>e</w:t>
      </w:r>
      <w:r w:rsidRPr="00156980">
        <w:rPr>
          <w:szCs w:val="17"/>
        </w:rPr>
        <w:t>stellt, der im normalen Äußerungsverstehen eine wichtige Rolle spielt; dieser existiert auch in Kulturen, die den Begriff ‚Relevanz‘ nicht kennen. ‚Stil‘ ist ebenfalls ein Begriff, den es nicht in allen Kulturen gibt, der aber ein Phänomen beschreibt, das zumindest in seiner grundlegenden Form wohl nicht kulturspezifisch ist. Wer etwa mit jemandem di</w:t>
      </w:r>
      <w:r w:rsidRPr="00156980">
        <w:rPr>
          <w:szCs w:val="17"/>
        </w:rPr>
        <w:t>s</w:t>
      </w:r>
      <w:r w:rsidRPr="00156980">
        <w:rPr>
          <w:szCs w:val="17"/>
        </w:rPr>
        <w:t>kutiert hat, der beim Diskutieren lange Sätze verwendet, weiß sicher auch dann, dass er bei der nächsten Diskussion mit dieser Person mit langen Sätzen zu rechnen hat, wenn seine/ihre Kultur</w:t>
      </w:r>
      <w:r w:rsidR="005D7996">
        <w:rPr>
          <w:szCs w:val="17"/>
        </w:rPr>
        <w:fldChar w:fldCharType="begin"/>
      </w:r>
      <w:r>
        <w:instrText xml:space="preserve"> XE "</w:instrText>
      </w:r>
      <w:r w:rsidRPr="00C1049D">
        <w:instrText>Kultur</w:instrText>
      </w:r>
      <w:r>
        <w:instrText xml:space="preserve">" </w:instrText>
      </w:r>
      <w:r w:rsidR="005D7996">
        <w:rPr>
          <w:szCs w:val="17"/>
        </w:rPr>
        <w:fldChar w:fldCharType="end"/>
      </w:r>
      <w:r w:rsidRPr="00156980">
        <w:rPr>
          <w:szCs w:val="17"/>
        </w:rPr>
        <w:t xml:space="preserve"> keinen Stilbegriff zur Verfügung stellt. Die grundsätzliche Vorhersag</w:t>
      </w:r>
      <w:r w:rsidRPr="00156980">
        <w:rPr>
          <w:szCs w:val="17"/>
        </w:rPr>
        <w:t>e</w:t>
      </w:r>
      <w:r w:rsidRPr="00156980">
        <w:rPr>
          <w:szCs w:val="17"/>
        </w:rPr>
        <w:t>kraft von Stil ist also auch dann gegeben.</w:t>
      </w:r>
    </w:p>
  </w:footnote>
  <w:footnote w:id="67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Siefkes 2010a.</w:t>
      </w:r>
    </w:p>
  </w:footnote>
  <w:footnote w:id="67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zur Begriffsexplikation Abschnitt </w:t>
      </w:r>
      <w:fldSimple w:instr=" REF _Ref267660778 \r \h  \* MERGEFORMAT ">
        <w:r w:rsidR="001231D3" w:rsidRPr="001231D3">
          <w:rPr>
            <w:szCs w:val="17"/>
          </w:rPr>
          <w:t>1.2</w:t>
        </w:r>
      </w:fldSimple>
      <w:r w:rsidRPr="00156980">
        <w:rPr>
          <w:szCs w:val="17"/>
        </w:rPr>
        <w:t>.</w:t>
      </w:r>
    </w:p>
  </w:footnote>
  <w:footnote w:id="67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zum Verhältnis der hier vorgestellten Stiltheorie zur Semiotik</w:t>
      </w:r>
      <w:r w:rsidR="005D7996">
        <w:rPr>
          <w:szCs w:val="17"/>
        </w:rPr>
        <w:fldChar w:fldCharType="begin"/>
      </w:r>
      <w:r>
        <w:instrText xml:space="preserve"> XE "</w:instrText>
      </w:r>
      <w:r w:rsidRPr="00A714E8">
        <w:instrText>Semiotik</w:instrText>
      </w:r>
      <w:r>
        <w:instrText xml:space="preserve">" </w:instrText>
      </w:r>
      <w:r w:rsidR="005D7996">
        <w:rPr>
          <w:szCs w:val="17"/>
        </w:rPr>
        <w:fldChar w:fldCharType="end"/>
      </w:r>
      <w:r w:rsidRPr="00156980">
        <w:rPr>
          <w:szCs w:val="17"/>
        </w:rPr>
        <w:t xml:space="preserve"> Abschnitt </w:t>
      </w:r>
      <w:fldSimple w:instr=" REF _Ref273572563 \r \h  \* MERGEFORMAT ">
        <w:r w:rsidR="001231D3" w:rsidRPr="001231D3">
          <w:rPr>
            <w:szCs w:val="17"/>
          </w:rPr>
          <w:t>1.1</w:t>
        </w:r>
      </w:fldSimple>
      <w:r w:rsidRPr="00156980">
        <w:rPr>
          <w:szCs w:val="17"/>
        </w:rPr>
        <w:t>.</w:t>
      </w:r>
    </w:p>
  </w:footnote>
  <w:footnote w:id="68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Tarski 1935 und 1944, Montague 1970 und 1973, Link 1979, einführend Lyons 1977, Bd. 1: 167ff.</w:t>
      </w:r>
    </w:p>
  </w:footnote>
  <w:footnote w:id="68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Lyons 1977, Bd. 1: 169.</w:t>
      </w:r>
    </w:p>
  </w:footnote>
  <w:footnote w:id="68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73226923 \h  \* MERGEFORMAT ">
        <w:r w:rsidR="001231D3" w:rsidRPr="001231D3">
          <w:rPr>
            <w:szCs w:val="17"/>
          </w:rPr>
          <w:t>140</w:t>
        </w:r>
      </w:fldSimple>
      <w:r w:rsidRPr="00156980">
        <w:rPr>
          <w:szCs w:val="17"/>
        </w:rPr>
        <w:t>.</w:t>
      </w:r>
    </w:p>
  </w:footnote>
  <w:footnote w:id="68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 hier angestellten Überlegungen bestätigen damit die These Hilary Putnams</w:t>
      </w:r>
      <w:r w:rsidR="005D7996">
        <w:rPr>
          <w:szCs w:val="17"/>
        </w:rPr>
        <w:fldChar w:fldCharType="begin"/>
      </w:r>
      <w:r>
        <w:instrText xml:space="preserve"> XE "</w:instrText>
      </w:r>
      <w:r w:rsidRPr="000E5623">
        <w:rPr>
          <w:szCs w:val="17"/>
        </w:rPr>
        <w:instrText>Putnam, Hilary</w:instrText>
      </w:r>
      <w:r>
        <w:instrText xml:space="preserve">" </w:instrText>
      </w:r>
      <w:r w:rsidR="005D7996">
        <w:rPr>
          <w:szCs w:val="17"/>
        </w:rPr>
        <w:fldChar w:fldCharType="end"/>
      </w:r>
      <w:r w:rsidRPr="00156980">
        <w:rPr>
          <w:szCs w:val="17"/>
        </w:rPr>
        <w:t>, dass Bedeutung</w:t>
      </w:r>
      <w:r w:rsidR="005D7996">
        <w:rPr>
          <w:szCs w:val="17"/>
        </w:rPr>
        <w:fldChar w:fldCharType="begin"/>
      </w:r>
      <w:r>
        <w:instrText xml:space="preserve"> XE "</w:instrText>
      </w:r>
      <w:r w:rsidRPr="00085C14">
        <w:instrText>Bedeutung</w:instrText>
      </w:r>
      <w:r>
        <w:instrText xml:space="preserve">" </w:instrText>
      </w:r>
      <w:r w:rsidR="005D7996">
        <w:rPr>
          <w:szCs w:val="17"/>
        </w:rPr>
        <w:fldChar w:fldCharType="end"/>
      </w:r>
      <w:r w:rsidRPr="00156980">
        <w:rPr>
          <w:szCs w:val="17"/>
        </w:rPr>
        <w:t xml:space="preserve"> nicht im Kopf konstitutiert wird (vgl. Putnam 1975).</w:t>
      </w:r>
    </w:p>
  </w:footnote>
  <w:footnote w:id="68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Dies hängt mit gesellschaftlichen (vgl. Abschnitt </w:t>
      </w:r>
      <w:fldSimple w:instr=" REF _Ref264885213 \r \h  \* MERGEFORMAT ">
        <w:r w:rsidR="001231D3" w:rsidRPr="001231D3">
          <w:rPr>
            <w:szCs w:val="17"/>
          </w:rPr>
          <w:t>8.4.1</w:t>
        </w:r>
      </w:fldSimple>
      <w:r w:rsidRPr="00156980">
        <w:rPr>
          <w:szCs w:val="17"/>
        </w:rPr>
        <w:t>) und wirtschaftlichen (vgl. A</w:t>
      </w:r>
      <w:r w:rsidRPr="00156980">
        <w:rPr>
          <w:szCs w:val="17"/>
        </w:rPr>
        <w:t>b</w:t>
      </w:r>
      <w:r w:rsidRPr="00156980">
        <w:rPr>
          <w:szCs w:val="17"/>
        </w:rPr>
        <w:t xml:space="preserve">schnitt </w:t>
      </w:r>
      <w:fldSimple w:instr=" REF _Ref264885404 \r \h  \* MERGEFORMAT ">
        <w:r w:rsidR="001231D3" w:rsidRPr="001231D3">
          <w:rPr>
            <w:szCs w:val="17"/>
          </w:rPr>
          <w:t>8.4.3</w:t>
        </w:r>
      </w:fldSimple>
      <w:r w:rsidRPr="00156980">
        <w:rPr>
          <w:szCs w:val="17"/>
        </w:rPr>
        <w:t>) Bedingungen zusammen; in Gesellschaften, die weniger stark stratifiziert und untergliedert sind und die nicht vorwiegend kapitalistisch wirtschaften, scheint Stil nicht dieselbe Relevanz zu haben wie bei uns.</w:t>
      </w:r>
    </w:p>
  </w:footnote>
  <w:footnote w:id="68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Spillner 1974a: 76-95, 1984 und 2009, Frey 1975, Sanders 1977, Zimmer 1978, P</w:t>
      </w:r>
      <w:r w:rsidRPr="00156980">
        <w:rPr>
          <w:szCs w:val="17"/>
        </w:rPr>
        <w:t>ü</w:t>
      </w:r>
      <w:r w:rsidRPr="00156980">
        <w:rPr>
          <w:szCs w:val="17"/>
        </w:rPr>
        <w:t>schel 1983 und Sowinski 1999.</w:t>
      </w:r>
    </w:p>
  </w:footnote>
  <w:footnote w:id="68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Dies versuchen beispielsweise die strukturalistische Textanalyse</w:t>
      </w:r>
      <w:r w:rsidR="005D7996">
        <w:rPr>
          <w:szCs w:val="17"/>
        </w:rPr>
        <w:fldChar w:fldCharType="begin"/>
      </w:r>
      <w:r>
        <w:instrText xml:space="preserve"> XE "</w:instrText>
      </w:r>
      <w:r w:rsidRPr="00436EAC">
        <w:instrText>Textanalyse</w:instrText>
      </w:r>
      <w:r>
        <w:instrText xml:space="preserve">:strukturalistische" </w:instrText>
      </w:r>
      <w:r w:rsidR="005D7996">
        <w:rPr>
          <w:szCs w:val="17"/>
        </w:rPr>
        <w:fldChar w:fldCharType="end"/>
      </w:r>
      <w:r w:rsidRPr="00156980">
        <w:rPr>
          <w:szCs w:val="17"/>
        </w:rPr>
        <w:t xml:space="preserve"> (vgl. Abschnitt </w:t>
      </w:r>
      <w:fldSimple w:instr=" REF _Ref267836372 \r \h  \* MERGEFORMAT ">
        <w:r w:rsidR="001231D3" w:rsidRPr="001231D3">
          <w:rPr>
            <w:szCs w:val="17"/>
          </w:rPr>
          <w:t>3.6</w:t>
        </w:r>
      </w:fldSimple>
      <w:r w:rsidRPr="00156980">
        <w:rPr>
          <w:szCs w:val="17"/>
        </w:rPr>
        <w:t>) und fragebogenbasierte Ansätze (vgl. Spillner 1978: 88ff).</w:t>
      </w:r>
    </w:p>
  </w:footnote>
  <w:footnote w:id="68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Als Beispiele seien Fucks 1955, Goldmann 1970 und Bureau 1976 genannt.</w:t>
      </w:r>
    </w:p>
  </w:footnote>
  <w:footnote w:id="68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Genaue Stilinterpretationen sind auf Grundlage des vorgestellten Interpretationsproze</w:t>
      </w:r>
      <w:r w:rsidRPr="00156980">
        <w:rPr>
          <w:szCs w:val="17"/>
        </w:rPr>
        <w:t>s</w:t>
      </w:r>
      <w:r w:rsidRPr="00156980">
        <w:rPr>
          <w:szCs w:val="17"/>
        </w:rPr>
        <w:t>ses möglich; die Überprüfbarkeit kann man erhöhen, indem man die verwendeten Oper</w:t>
      </w:r>
      <w:r w:rsidRPr="00156980">
        <w:rPr>
          <w:szCs w:val="17"/>
        </w:rPr>
        <w:t>a</w:t>
      </w:r>
      <w:r w:rsidRPr="00156980">
        <w:rPr>
          <w:szCs w:val="17"/>
        </w:rPr>
        <w:t xml:space="preserve">tionen einschränkt (im Extremfall auf die Deduktion) und die durch die Funktion </w:t>
      </w:r>
      <w:r w:rsidRPr="00156980">
        <w:rPr>
          <w:i/>
          <w:szCs w:val="17"/>
        </w:rPr>
        <w:t>Int</w:t>
      </w:r>
      <w:r w:rsidRPr="00156980">
        <w:rPr>
          <w:i/>
          <w:szCs w:val="17"/>
        </w:rPr>
        <w:t>e</w:t>
      </w:r>
      <w:r w:rsidRPr="00156980">
        <w:rPr>
          <w:i/>
          <w:szCs w:val="17"/>
        </w:rPr>
        <w:t>resse</w:t>
      </w:r>
      <w:r w:rsidRPr="00156980">
        <w:rPr>
          <w:szCs w:val="17"/>
        </w:rPr>
        <w:t xml:space="preserve"> getroffenen Entscheidungen begründet.</w:t>
      </w:r>
    </w:p>
  </w:footnote>
  <w:footnote w:id="68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Ein Beispiel für Konstruktionen, die für die generative Grammatik problematisch sind, weil ihre Syntax</w:t>
      </w:r>
      <w:r w:rsidR="005D7996">
        <w:rPr>
          <w:szCs w:val="17"/>
        </w:rPr>
        <w:fldChar w:fldCharType="begin"/>
      </w:r>
      <w:r>
        <w:instrText xml:space="preserve"> XE "</w:instrText>
      </w:r>
      <w:r w:rsidRPr="00367A05">
        <w:rPr>
          <w:rFonts w:eastAsia="Times New Roman" w:cs="Times New Roman"/>
        </w:rPr>
        <w:instrText>Syntax</w:instrText>
      </w:r>
      <w:r>
        <w:instrText xml:space="preserve">" </w:instrText>
      </w:r>
      <w:r w:rsidR="005D7996">
        <w:rPr>
          <w:szCs w:val="17"/>
        </w:rPr>
        <w:fldChar w:fldCharType="end"/>
      </w:r>
      <w:r w:rsidRPr="00156980">
        <w:rPr>
          <w:szCs w:val="17"/>
        </w:rPr>
        <w:t xml:space="preserve"> nicht unabhängig von der Semantik</w:t>
      </w:r>
      <w:r w:rsidR="005D7996">
        <w:rPr>
          <w:szCs w:val="17"/>
        </w:rPr>
        <w:fldChar w:fldCharType="begin"/>
      </w:r>
      <w:r>
        <w:instrText xml:space="preserve"> XE "</w:instrText>
      </w:r>
      <w:r w:rsidRPr="001A70AD">
        <w:rPr>
          <w:rFonts w:eastAsia="Times New Roman" w:cs="Times New Roman"/>
        </w:rPr>
        <w:instrText>Semantik</w:instrText>
      </w:r>
      <w:r>
        <w:instrText xml:space="preserve">" </w:instrText>
      </w:r>
      <w:r w:rsidR="005D7996">
        <w:rPr>
          <w:szCs w:val="17"/>
        </w:rPr>
        <w:fldChar w:fldCharType="end"/>
      </w:r>
      <w:r w:rsidRPr="00156980">
        <w:rPr>
          <w:szCs w:val="17"/>
        </w:rPr>
        <w:t xml:space="preserve"> beschreibbar ist, liefert George Lakoff mit einer Fallstudie über die „there“-Konstruktionen im Englischen (vgl. Lakoff 1987: 462-585).</w:t>
      </w:r>
    </w:p>
  </w:footnote>
  <w:footnote w:id="69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Eine Einführung in den Begriff der ‚Vagheit‘ und seine wissenschaftliche Beschreibung bietet Williamson 1994. Einige geisteswissenschaftliche Phänomene sind bereits auf die Rolle untersucht worden, die Vagheit in ihnen spielt, vgl. etwa Williamson 1992 und 2000, Raffman 2000 und Shapiro 2003. Eine formale Behandlung von vagem Wissen im Zusammenhang mit Introspektion </w:t>
      </w:r>
      <w:r w:rsidRPr="00156980">
        <w:rPr>
          <w:rFonts w:cs="Times New Roman"/>
          <w:szCs w:val="17"/>
        </w:rPr>
        <w:t>–</w:t>
      </w:r>
      <w:r w:rsidRPr="00156980">
        <w:rPr>
          <w:szCs w:val="17"/>
        </w:rPr>
        <w:t xml:space="preserve"> einem von der Präzisionshypothese</w:t>
      </w:r>
      <w:r w:rsidR="005D7996">
        <w:rPr>
          <w:szCs w:val="17"/>
        </w:rPr>
        <w:fldChar w:fldCharType="begin"/>
      </w:r>
      <w:r>
        <w:instrText xml:space="preserve"> XE "</w:instrText>
      </w:r>
      <w:r w:rsidRPr="00BD53CB">
        <w:rPr>
          <w:szCs w:val="17"/>
        </w:rPr>
        <w:instrText>Präzisionshypothese</w:instrText>
      </w:r>
      <w:r>
        <w:instrText xml:space="preserve">" </w:instrText>
      </w:r>
      <w:r w:rsidR="005D7996">
        <w:rPr>
          <w:szCs w:val="17"/>
        </w:rPr>
        <w:fldChar w:fldCharType="end"/>
      </w:r>
      <w:r w:rsidRPr="00156980">
        <w:rPr>
          <w:szCs w:val="17"/>
        </w:rPr>
        <w:t xml:space="preserve"> lange Zeit als anrüchig empfundenen und von der wissenschaftlichen Untersuchung ausgeschlossenen Phänomen </w:t>
      </w:r>
      <w:r w:rsidRPr="00156980">
        <w:rPr>
          <w:rFonts w:cs="Times New Roman"/>
          <w:szCs w:val="17"/>
        </w:rPr>
        <w:t>–</w:t>
      </w:r>
      <w:r w:rsidRPr="00156980">
        <w:rPr>
          <w:szCs w:val="17"/>
        </w:rPr>
        <w:t xml:space="preserve"> liefern Bonnay u.a. 2006 und 2007.</w:t>
      </w:r>
    </w:p>
  </w:footnote>
  <w:footnote w:id="69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Meiner Vermutung nach spielen komplexe Phänomene oder einfache Phänomene, die auf komplexe Art interagieren, eine wichtige Rolle. Der spezifische Charakter des geisteswi</w:t>
      </w:r>
      <w:r w:rsidRPr="00156980">
        <w:rPr>
          <w:szCs w:val="17"/>
        </w:rPr>
        <w:t>s</w:t>
      </w:r>
      <w:r w:rsidRPr="00156980">
        <w:rPr>
          <w:szCs w:val="17"/>
        </w:rPr>
        <w:t>senschaftlichen Gegenstandsbereichs dürfte sich aus dem Charakter des menschlichen Gehirns</w:t>
      </w:r>
      <w:r w:rsidR="005D7996">
        <w:rPr>
          <w:szCs w:val="17"/>
        </w:rPr>
        <w:fldChar w:fldCharType="begin"/>
      </w:r>
      <w:r>
        <w:instrText xml:space="preserve"> XE "</w:instrText>
      </w:r>
      <w:r w:rsidRPr="00780F62">
        <w:instrText>Gehirn</w:instrText>
      </w:r>
      <w:r>
        <w:instrText xml:space="preserve">" </w:instrText>
      </w:r>
      <w:r w:rsidR="005D7996">
        <w:rPr>
          <w:szCs w:val="17"/>
        </w:rPr>
        <w:fldChar w:fldCharType="end"/>
      </w:r>
      <w:r w:rsidRPr="00156980">
        <w:rPr>
          <w:szCs w:val="17"/>
        </w:rPr>
        <w:t xml:space="preserve"> und Denkens ergeben, da die beschriebenen Phänomene – von der Gesellschaft</w:t>
      </w:r>
      <w:r w:rsidR="005D7996">
        <w:rPr>
          <w:szCs w:val="17"/>
        </w:rPr>
        <w:fldChar w:fldCharType="begin"/>
      </w:r>
      <w:r>
        <w:instrText xml:space="preserve"> XE "</w:instrText>
      </w:r>
      <w:r w:rsidRPr="00835E68">
        <w:instrText>Gesellschaft</w:instrText>
      </w:r>
      <w:r>
        <w:instrText xml:space="preserve">" </w:instrText>
      </w:r>
      <w:r w:rsidR="005D7996">
        <w:rPr>
          <w:szCs w:val="17"/>
        </w:rPr>
        <w:fldChar w:fldCharType="end"/>
      </w:r>
      <w:r w:rsidRPr="00156980">
        <w:rPr>
          <w:szCs w:val="17"/>
        </w:rPr>
        <w:t xml:space="preserve"> über die Sprache bis hin zum Handeln – auf unserem Denken beruhen oder doch zumi</w:t>
      </w:r>
      <w:r w:rsidRPr="00156980">
        <w:rPr>
          <w:szCs w:val="17"/>
        </w:rPr>
        <w:t>n</w:t>
      </w:r>
      <w:r w:rsidRPr="00156980">
        <w:rPr>
          <w:szCs w:val="17"/>
        </w:rPr>
        <w:t>dest durch es geformt werden. (Vgl. dazu auch Siefkes 2005.)</w:t>
      </w:r>
    </w:p>
  </w:footnote>
  <w:footnote w:id="69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ist möglich, Interpretationen genau nachzuvollziehen und dabei Lücken in der Arg</w:t>
      </w:r>
      <w:r w:rsidRPr="00156980">
        <w:rPr>
          <w:szCs w:val="17"/>
        </w:rPr>
        <w:t>u</w:t>
      </w:r>
      <w:r w:rsidRPr="00156980">
        <w:rPr>
          <w:szCs w:val="17"/>
        </w:rPr>
        <w:t xml:space="preserve">mentation, implizite Voraussetzungen, fehlerhafte Herleitungen usw. zu erkennen. So wird beispielsweise in der Liszt’schen Interpretation der Zigeunermusik (vgl. Abschnitt </w:t>
      </w:r>
      <w:fldSimple w:instr=" REF _Ref254550229 \r \h  \* MERGEFORMAT ">
        <w:r w:rsidR="001231D3" w:rsidRPr="001231D3">
          <w:rPr>
            <w:szCs w:val="17"/>
          </w:rPr>
          <w:t>7.1.5</w:t>
        </w:r>
      </w:fldSimple>
      <w:r w:rsidRPr="00156980">
        <w:rPr>
          <w:szCs w:val="17"/>
        </w:rPr>
        <w:t>) durch den Nachvollzug deutlich erkennbar, dass Liszt seine Überlegungen auf Vorurteilen seiner Zeit aufbaute, die als Hintergrundwissen eingebracht werden, dass er oft ausgehend von wenigen Merkmalsregeln weitreichende Überlegungen anstellt, dass er überwiegend Assoziationen und Abduktionen (also sehr freie Operationen) verwendet, usw.</w:t>
      </w:r>
    </w:p>
  </w:footnote>
  <w:footnote w:id="69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Für die Vagheitshypothese</w:t>
      </w:r>
      <w:r w:rsidR="005D7996">
        <w:rPr>
          <w:szCs w:val="17"/>
        </w:rPr>
        <w:fldChar w:fldCharType="begin"/>
      </w:r>
      <w:r>
        <w:instrText xml:space="preserve"> XE "</w:instrText>
      </w:r>
      <w:r w:rsidRPr="008D5121">
        <w:instrText>Vagheitshypothese</w:instrText>
      </w:r>
      <w:r>
        <w:instrText xml:space="preserve">" </w:instrText>
      </w:r>
      <w:r w:rsidR="005D7996">
        <w:rPr>
          <w:szCs w:val="17"/>
        </w:rPr>
        <w:fldChar w:fldCharType="end"/>
      </w:r>
      <w:r w:rsidRPr="00156980">
        <w:rPr>
          <w:szCs w:val="17"/>
        </w:rPr>
        <w:t xml:space="preserve"> seien die hermeneutische</w:t>
      </w:r>
      <w:r w:rsidR="005D7996">
        <w:rPr>
          <w:szCs w:val="17"/>
        </w:rPr>
        <w:fldChar w:fldCharType="begin"/>
      </w:r>
      <w:r>
        <w:instrText xml:space="preserve"> XE "</w:instrText>
      </w:r>
      <w:r w:rsidRPr="008A499C">
        <w:rPr>
          <w:szCs w:val="17"/>
        </w:rPr>
        <w:instrText>Hermeneutik</w:instrText>
      </w:r>
      <w:r>
        <w:instrText xml:space="preserve">" </w:instrText>
      </w:r>
      <w:r w:rsidR="005D7996">
        <w:rPr>
          <w:szCs w:val="17"/>
        </w:rPr>
        <w:fldChar w:fldCharType="end"/>
      </w:r>
      <w:r w:rsidRPr="00156980">
        <w:rPr>
          <w:szCs w:val="17"/>
        </w:rPr>
        <w:t xml:space="preserve"> (z.B. Ast</w:t>
      </w:r>
      <w:r w:rsidR="005D7996">
        <w:rPr>
          <w:szCs w:val="17"/>
        </w:rPr>
        <w:fldChar w:fldCharType="begin"/>
      </w:r>
      <w:r>
        <w:instrText xml:space="preserve"> XE "</w:instrText>
      </w:r>
      <w:r w:rsidRPr="00435EB8">
        <w:rPr>
          <w:szCs w:val="17"/>
        </w:rPr>
        <w:instrText>Ast, Friedrich</w:instrText>
      </w:r>
      <w:r>
        <w:instrText xml:space="preserve">" </w:instrText>
      </w:r>
      <w:r w:rsidR="005D7996">
        <w:rPr>
          <w:szCs w:val="17"/>
        </w:rPr>
        <w:fldChar w:fldCharType="end"/>
      </w:r>
      <w:r w:rsidRPr="00156980">
        <w:rPr>
          <w:szCs w:val="17"/>
        </w:rPr>
        <w:t xml:space="preserve"> 1808, Schleiermacher</w:t>
      </w:r>
      <w:r w:rsidR="005D7996">
        <w:rPr>
          <w:szCs w:val="17"/>
        </w:rPr>
        <w:fldChar w:fldCharType="begin"/>
      </w:r>
      <w:r>
        <w:instrText xml:space="preserve"> XE "</w:instrText>
      </w:r>
      <w:r w:rsidRPr="00A10768">
        <w:rPr>
          <w:szCs w:val="17"/>
        </w:rPr>
        <w:instrText>Schleiermacher, Friedrich</w:instrText>
      </w:r>
      <w:r>
        <w:instrText xml:space="preserve">" </w:instrText>
      </w:r>
      <w:r w:rsidR="005D7996">
        <w:rPr>
          <w:szCs w:val="17"/>
        </w:rPr>
        <w:fldChar w:fldCharType="end"/>
      </w:r>
      <w:r w:rsidRPr="00156980">
        <w:rPr>
          <w:szCs w:val="17"/>
        </w:rPr>
        <w:t xml:space="preserve"> 1838, Heidegger</w:t>
      </w:r>
      <w:r w:rsidR="005D7996">
        <w:rPr>
          <w:szCs w:val="17"/>
        </w:rPr>
        <w:fldChar w:fldCharType="begin"/>
      </w:r>
      <w:r>
        <w:instrText xml:space="preserve"> XE "</w:instrText>
      </w:r>
      <w:r w:rsidRPr="00226510">
        <w:rPr>
          <w:szCs w:val="17"/>
        </w:rPr>
        <w:instrText>Heidegger, Martin</w:instrText>
      </w:r>
      <w:r>
        <w:instrText xml:space="preserve">" </w:instrText>
      </w:r>
      <w:r w:rsidR="005D7996">
        <w:rPr>
          <w:szCs w:val="17"/>
        </w:rPr>
        <w:fldChar w:fldCharType="end"/>
      </w:r>
      <w:r w:rsidRPr="00156980">
        <w:rPr>
          <w:szCs w:val="17"/>
        </w:rPr>
        <w:t xml:space="preserve"> 1943 und Gadamer</w:t>
      </w:r>
      <w:r w:rsidR="005D7996">
        <w:rPr>
          <w:szCs w:val="17"/>
        </w:rPr>
        <w:fldChar w:fldCharType="begin"/>
      </w:r>
      <w:r>
        <w:instrText xml:space="preserve"> XE "</w:instrText>
      </w:r>
      <w:r w:rsidRPr="00AA5CF0">
        <w:rPr>
          <w:szCs w:val="17"/>
        </w:rPr>
        <w:instrText>Gadamer, Hans-Georg</w:instrText>
      </w:r>
      <w:r>
        <w:instrText xml:space="preserve">" </w:instrText>
      </w:r>
      <w:r w:rsidR="005D7996">
        <w:rPr>
          <w:szCs w:val="17"/>
        </w:rPr>
        <w:fldChar w:fldCharType="end"/>
      </w:r>
      <w:r w:rsidRPr="00156980">
        <w:rPr>
          <w:szCs w:val="17"/>
        </w:rPr>
        <w:t xml:space="preserve"> 1960) und die postmoderne Schule (z.B. Foucault</w:t>
      </w:r>
      <w:r w:rsidR="005D7996">
        <w:rPr>
          <w:szCs w:val="17"/>
        </w:rPr>
        <w:fldChar w:fldCharType="begin"/>
      </w:r>
      <w:r>
        <w:instrText xml:space="preserve"> XE "</w:instrText>
      </w:r>
      <w:r w:rsidRPr="00EA30AE">
        <w:rPr>
          <w:szCs w:val="17"/>
        </w:rPr>
        <w:instrText>Foucault, Michel</w:instrText>
      </w:r>
      <w:r>
        <w:instrText xml:space="preserve">" </w:instrText>
      </w:r>
      <w:r w:rsidR="005D7996">
        <w:rPr>
          <w:szCs w:val="17"/>
        </w:rPr>
        <w:fldChar w:fldCharType="end"/>
      </w:r>
      <w:r w:rsidRPr="00156980">
        <w:rPr>
          <w:szCs w:val="17"/>
        </w:rPr>
        <w:t xml:space="preserve"> 1966, Derrida</w:t>
      </w:r>
      <w:r w:rsidR="005D7996">
        <w:rPr>
          <w:szCs w:val="17"/>
        </w:rPr>
        <w:fldChar w:fldCharType="begin"/>
      </w:r>
      <w:r>
        <w:instrText xml:space="preserve"> XE "</w:instrText>
      </w:r>
      <w:r w:rsidRPr="00565C9E">
        <w:rPr>
          <w:szCs w:val="17"/>
        </w:rPr>
        <w:instrText>Derrida, Jaques</w:instrText>
      </w:r>
      <w:r>
        <w:instrText xml:space="preserve">" </w:instrText>
      </w:r>
      <w:r w:rsidR="005D7996">
        <w:rPr>
          <w:szCs w:val="17"/>
        </w:rPr>
        <w:fldChar w:fldCharType="end"/>
      </w:r>
      <w:r w:rsidRPr="00156980">
        <w:rPr>
          <w:szCs w:val="17"/>
        </w:rPr>
        <w:t xml:space="preserve"> 1967 und Lyotard</w:t>
      </w:r>
      <w:r w:rsidR="005D7996">
        <w:rPr>
          <w:szCs w:val="17"/>
        </w:rPr>
        <w:fldChar w:fldCharType="begin"/>
      </w:r>
      <w:r>
        <w:instrText xml:space="preserve"> XE "</w:instrText>
      </w:r>
      <w:r w:rsidRPr="00F5668D">
        <w:rPr>
          <w:szCs w:val="17"/>
        </w:rPr>
        <w:instrText>Lyotard, Jean-François</w:instrText>
      </w:r>
      <w:r>
        <w:instrText xml:space="preserve">" </w:instrText>
      </w:r>
      <w:r w:rsidR="005D7996">
        <w:rPr>
          <w:szCs w:val="17"/>
        </w:rPr>
        <w:fldChar w:fldCharType="end"/>
      </w:r>
      <w:r w:rsidRPr="00156980">
        <w:rPr>
          <w:szCs w:val="17"/>
        </w:rPr>
        <w:t xml:space="preserve"> 1979) der Geisteswissenschaften</w:t>
      </w:r>
      <w:r w:rsidR="005D7996">
        <w:rPr>
          <w:szCs w:val="17"/>
        </w:rPr>
        <w:fldChar w:fldCharType="begin"/>
      </w:r>
      <w:r>
        <w:instrText xml:space="preserve"> XE "</w:instrText>
      </w:r>
      <w:r w:rsidRPr="0011705D">
        <w:rPr>
          <w:szCs w:val="17"/>
        </w:rPr>
        <w:instrText>Geisteswissenschaften</w:instrText>
      </w:r>
      <w:r>
        <w:instrText xml:space="preserve">" </w:instrText>
      </w:r>
      <w:r w:rsidR="005D7996">
        <w:rPr>
          <w:szCs w:val="17"/>
        </w:rPr>
        <w:fldChar w:fldCharType="end"/>
      </w:r>
      <w:r w:rsidRPr="00156980">
        <w:rPr>
          <w:szCs w:val="17"/>
        </w:rPr>
        <w:t xml:space="preserve"> genannt, für die Präzision</w:t>
      </w:r>
      <w:r w:rsidRPr="00156980">
        <w:rPr>
          <w:szCs w:val="17"/>
        </w:rPr>
        <w:t>s</w:t>
      </w:r>
      <w:r w:rsidRPr="00156980">
        <w:rPr>
          <w:szCs w:val="17"/>
        </w:rPr>
        <w:t>hypothese</w:t>
      </w:r>
      <w:r w:rsidR="005D7996">
        <w:rPr>
          <w:szCs w:val="17"/>
        </w:rPr>
        <w:fldChar w:fldCharType="begin"/>
      </w:r>
      <w:r>
        <w:instrText xml:space="preserve"> XE "</w:instrText>
      </w:r>
      <w:r w:rsidRPr="00BD53CB">
        <w:rPr>
          <w:szCs w:val="17"/>
        </w:rPr>
        <w:instrText>Präzisionshypothese</w:instrText>
      </w:r>
      <w:r>
        <w:instrText xml:space="preserve">" </w:instrText>
      </w:r>
      <w:r w:rsidR="005D7996">
        <w:rPr>
          <w:szCs w:val="17"/>
        </w:rPr>
        <w:fldChar w:fldCharType="end"/>
      </w:r>
      <w:r w:rsidRPr="00156980">
        <w:rPr>
          <w:szCs w:val="17"/>
        </w:rPr>
        <w:t xml:space="preserve"> können Carnap</w:t>
      </w:r>
      <w:r w:rsidR="005D7996">
        <w:rPr>
          <w:szCs w:val="17"/>
        </w:rPr>
        <w:fldChar w:fldCharType="begin"/>
      </w:r>
      <w:r>
        <w:instrText xml:space="preserve"> XE "</w:instrText>
      </w:r>
      <w:r w:rsidRPr="00E41A8E">
        <w:instrText>Carnap, Rudolf</w:instrText>
      </w:r>
      <w:r>
        <w:instrText xml:space="preserve">" </w:instrText>
      </w:r>
      <w:r w:rsidR="005D7996">
        <w:rPr>
          <w:szCs w:val="17"/>
        </w:rPr>
        <w:fldChar w:fldCharType="end"/>
      </w:r>
      <w:r w:rsidRPr="00156980">
        <w:rPr>
          <w:szCs w:val="17"/>
        </w:rPr>
        <w:t xml:space="preserve"> 1934 und 1947, Chomsky</w:t>
      </w:r>
      <w:r w:rsidR="005D7996">
        <w:rPr>
          <w:szCs w:val="17"/>
        </w:rPr>
        <w:fldChar w:fldCharType="begin"/>
      </w:r>
      <w:r>
        <w:instrText xml:space="preserve"> XE "</w:instrText>
      </w:r>
      <w:r w:rsidRPr="00F72A93">
        <w:rPr>
          <w:szCs w:val="17"/>
        </w:rPr>
        <w:instrText>Chomsky, Noam</w:instrText>
      </w:r>
      <w:r>
        <w:instrText xml:space="preserve">" </w:instrText>
      </w:r>
      <w:r w:rsidR="005D7996">
        <w:rPr>
          <w:szCs w:val="17"/>
        </w:rPr>
        <w:fldChar w:fldCharType="end"/>
      </w:r>
      <w:r w:rsidRPr="00156980">
        <w:rPr>
          <w:szCs w:val="17"/>
        </w:rPr>
        <w:t xml:space="preserve"> 1957, Minsky</w:t>
      </w:r>
      <w:r w:rsidR="005D7996">
        <w:rPr>
          <w:szCs w:val="17"/>
        </w:rPr>
        <w:fldChar w:fldCharType="begin"/>
      </w:r>
      <w:r>
        <w:instrText xml:space="preserve"> XE "</w:instrText>
      </w:r>
      <w:r w:rsidRPr="005E5BCB">
        <w:rPr>
          <w:szCs w:val="17"/>
        </w:rPr>
        <w:instrText>Minsky, Marvin</w:instrText>
      </w:r>
      <w:r>
        <w:instrText xml:space="preserve">" </w:instrText>
      </w:r>
      <w:r w:rsidR="005D7996">
        <w:rPr>
          <w:szCs w:val="17"/>
        </w:rPr>
        <w:fldChar w:fldCharType="end"/>
      </w:r>
      <w:r w:rsidRPr="00156980">
        <w:rPr>
          <w:szCs w:val="17"/>
        </w:rPr>
        <w:t xml:space="preserve"> 1986 und Lieb</w:t>
      </w:r>
      <w:r w:rsidR="005D7996">
        <w:rPr>
          <w:szCs w:val="17"/>
        </w:rPr>
        <w:fldChar w:fldCharType="begin"/>
      </w:r>
      <w:r>
        <w:instrText xml:space="preserve"> XE "</w:instrText>
      </w:r>
      <w:r w:rsidRPr="007E1529">
        <w:rPr>
          <w:szCs w:val="17"/>
        </w:rPr>
        <w:instrText>Lieb, Hans-Heinrich</w:instrText>
      </w:r>
      <w:r>
        <w:instrText xml:space="preserve">" </w:instrText>
      </w:r>
      <w:r w:rsidR="005D7996">
        <w:rPr>
          <w:szCs w:val="17"/>
        </w:rPr>
        <w:fldChar w:fldCharType="end"/>
      </w:r>
      <w:r w:rsidRPr="00156980">
        <w:rPr>
          <w:szCs w:val="17"/>
        </w:rPr>
        <w:t xml:space="preserve"> 1983 als Beispiele dienen.</w:t>
      </w:r>
    </w:p>
  </w:footnote>
  <w:footnote w:id="69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Allerdings gibt es auch im Gegenstandsbereich</w:t>
      </w:r>
      <w:r w:rsidR="005D7996">
        <w:rPr>
          <w:szCs w:val="17"/>
        </w:rPr>
        <w:fldChar w:fldCharType="begin"/>
      </w:r>
      <w:r>
        <w:instrText xml:space="preserve"> XE "</w:instrText>
      </w:r>
      <w:r w:rsidRPr="00144851">
        <w:instrText>Gegenstandsbereich</w:instrText>
      </w:r>
      <w:r>
        <w:instrText xml:space="preserve">" </w:instrText>
      </w:r>
      <w:r w:rsidR="005D7996">
        <w:rPr>
          <w:szCs w:val="17"/>
        </w:rPr>
        <w:fldChar w:fldCharType="end"/>
      </w:r>
      <w:r w:rsidRPr="00156980">
        <w:rPr>
          <w:szCs w:val="17"/>
        </w:rPr>
        <w:t xml:space="preserve"> der Geisteswissenschaften</w:t>
      </w:r>
      <w:r w:rsidR="005D7996">
        <w:rPr>
          <w:szCs w:val="17"/>
        </w:rPr>
        <w:fldChar w:fldCharType="begin"/>
      </w:r>
      <w:r>
        <w:instrText xml:space="preserve"> XE "</w:instrText>
      </w:r>
      <w:r w:rsidRPr="0011705D">
        <w:rPr>
          <w:szCs w:val="17"/>
        </w:rPr>
        <w:instrText>Geisteswissenschaften</w:instrText>
      </w:r>
      <w:r>
        <w:instrText xml:space="preserve">" </w:instrText>
      </w:r>
      <w:r w:rsidR="005D7996">
        <w:rPr>
          <w:szCs w:val="17"/>
        </w:rPr>
        <w:fldChar w:fldCharType="end"/>
      </w:r>
      <w:r w:rsidRPr="00156980">
        <w:rPr>
          <w:szCs w:val="17"/>
        </w:rPr>
        <w:t xml:space="preserve"> viele Phän</w:t>
      </w:r>
      <w:r w:rsidRPr="00156980">
        <w:rPr>
          <w:szCs w:val="17"/>
        </w:rPr>
        <w:t>o</w:t>
      </w:r>
      <w:r w:rsidRPr="00156980">
        <w:rPr>
          <w:szCs w:val="17"/>
        </w:rPr>
        <w:t xml:space="preserve">mene, die nicht vage sind. Es wäre also falsch, den Spieß umzudrehen und etwa </w:t>
      </w:r>
      <w:r w:rsidRPr="00156980">
        <w:rPr>
          <w:rFonts w:cs="Times New Roman"/>
          <w:szCs w:val="17"/>
        </w:rPr>
        <w:t>–</w:t>
      </w:r>
      <w:r w:rsidRPr="00156980">
        <w:rPr>
          <w:szCs w:val="17"/>
        </w:rPr>
        <w:t xml:space="preserve"> wie es aus poststrukturalistischen Kontexten bekannt ist </w:t>
      </w:r>
      <w:r w:rsidRPr="00156980">
        <w:rPr>
          <w:rFonts w:cs="Times New Roman"/>
          <w:szCs w:val="17"/>
        </w:rPr>
        <w:t>–</w:t>
      </w:r>
      <w:r w:rsidRPr="00156980">
        <w:rPr>
          <w:szCs w:val="17"/>
        </w:rPr>
        <w:t xml:space="preserve"> einen pauschalen Vorwurf gegen pr</w:t>
      </w:r>
      <w:r w:rsidRPr="00156980">
        <w:rPr>
          <w:szCs w:val="17"/>
        </w:rPr>
        <w:t>ä</w:t>
      </w:r>
      <w:r w:rsidRPr="00156980">
        <w:rPr>
          <w:szCs w:val="17"/>
        </w:rPr>
        <w:t>zise Ansätze (etwa formale Theorien oder andere analytische Herangehensweisen) zu konstruieren.</w:t>
      </w:r>
    </w:p>
  </w:footnote>
  <w:footnote w:id="69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Bei manchen geisteswissenschaftlichen Arbeiten (gerade in Deutschland) drückt bereits das Inhaltsverzeichnis anschaulich den Glauben aus, durch eine vielfach geschachtelte Klassifikation eine genaue Beschreibung zu erhalten. Dass der eigentliche Charakter des zu beschreibenden Phänomens durch diese hierarchisch-klassifizierende Methode oft nicht angemessen erfasst wird, wird angesichts der scheinbaren Klarheit der Analyse hi</w:t>
      </w:r>
      <w:r w:rsidRPr="00156980">
        <w:rPr>
          <w:szCs w:val="17"/>
        </w:rPr>
        <w:t>n</w:t>
      </w:r>
      <w:r w:rsidRPr="00156980">
        <w:rPr>
          <w:szCs w:val="17"/>
        </w:rPr>
        <w:t>genommen.</w:t>
      </w:r>
    </w:p>
  </w:footnote>
  <w:footnote w:id="69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Evolutionär entstandene Phänomenbereiche lassen sich häufig auf diese Weise beschre</w:t>
      </w:r>
      <w:r w:rsidRPr="00156980">
        <w:rPr>
          <w:szCs w:val="17"/>
        </w:rPr>
        <w:t>i</w:t>
      </w:r>
      <w:r w:rsidRPr="00156980">
        <w:rPr>
          <w:szCs w:val="17"/>
        </w:rPr>
        <w:t>ben, sei es die biologische Evolution (vgl. die Linnésche Taxonomie) oder die kulturelle Evolution (vgl. künstlerische Schulen und Gattungen). Das hängt damit zusammen, dass die Evolution Verzweigungen hervorbringt, die sich weiter verzweigen. Weite Bereiche des geisteswissenschaftlichen Gegenstandsbereichs sind jedoch nicht so gegliedert. Dazu gehört auch das mit „Stil“ bezeichnete Phänomen, dem mit einer simplen Klassifikation nicht beizukommen ist.</w:t>
      </w:r>
    </w:p>
    <w:p w:rsidR="00CC3558" w:rsidRPr="00156980" w:rsidRDefault="00CC3558" w:rsidP="00F461D9">
      <w:pPr>
        <w:pStyle w:val="Funotentext"/>
        <w:rPr>
          <w:szCs w:val="17"/>
        </w:rPr>
      </w:pPr>
      <w:r w:rsidRPr="00156980">
        <w:rPr>
          <w:szCs w:val="17"/>
        </w:rPr>
        <w:tab/>
        <w:t>Als Beispiel für einen Klassifikationsversuch sei Spillner 2009: 1743 genannt. Dort wird beispielsweise die deskriptive Stilistik</w:t>
      </w:r>
      <w:r w:rsidR="005D7996">
        <w:rPr>
          <w:szCs w:val="17"/>
        </w:rPr>
        <w:fldChar w:fldCharType="begin"/>
      </w:r>
      <w:r>
        <w:instrText xml:space="preserve"> XE "</w:instrText>
      </w:r>
      <w:r w:rsidRPr="00FB15A5">
        <w:rPr>
          <w:rFonts w:eastAsia="Times New Roman" w:cs="Times New Roman"/>
        </w:rPr>
        <w:instrText>Stilistik</w:instrText>
      </w:r>
      <w:r>
        <w:instrText xml:space="preserve">" </w:instrText>
      </w:r>
      <w:r w:rsidR="005D7996">
        <w:rPr>
          <w:szCs w:val="17"/>
        </w:rPr>
        <w:fldChar w:fldCharType="end"/>
      </w:r>
      <w:r w:rsidRPr="00156980">
        <w:rPr>
          <w:szCs w:val="17"/>
        </w:rPr>
        <w:t xml:space="preserve"> unterteilt in „individuell“ (mit dem einzigen U</w:t>
      </w:r>
      <w:r w:rsidRPr="00156980">
        <w:rPr>
          <w:szCs w:val="17"/>
        </w:rPr>
        <w:t>n</w:t>
      </w:r>
      <w:r w:rsidRPr="00156980">
        <w:rPr>
          <w:szCs w:val="17"/>
        </w:rPr>
        <w:t>terpunkt „Stilanalyse“) und „kollektiv“, letztere wird in „systembezogen“ („Sprachstile“, „Funktionalstilistik</w:t>
      </w:r>
      <w:r w:rsidR="005D7996">
        <w:rPr>
          <w:szCs w:val="17"/>
        </w:rPr>
        <w:fldChar w:fldCharType="begin"/>
      </w:r>
      <w:r>
        <w:instrText xml:space="preserve"> XE "</w:instrText>
      </w:r>
      <w:r w:rsidRPr="00DB2B1B">
        <w:rPr>
          <w:szCs w:val="17"/>
        </w:rPr>
        <w:instrText>Funktionalstilistik</w:instrText>
      </w:r>
      <w:r>
        <w:instrText xml:space="preserve">" </w:instrText>
      </w:r>
      <w:r w:rsidR="005D7996">
        <w:rPr>
          <w:szCs w:val="17"/>
        </w:rPr>
        <w:fldChar w:fldCharType="end"/>
      </w:r>
      <w:r w:rsidRPr="00156980">
        <w:rPr>
          <w:szCs w:val="17"/>
        </w:rPr>
        <w:t>“ usw.) und „subsystembezogen“ („Epochenstil“, „Gattungsstil“, „A</w:t>
      </w:r>
      <w:r w:rsidRPr="00156980">
        <w:rPr>
          <w:szCs w:val="17"/>
        </w:rPr>
        <w:t>l</w:t>
      </w:r>
      <w:r w:rsidRPr="00156980">
        <w:rPr>
          <w:szCs w:val="17"/>
        </w:rPr>
        <w:t>tersstil“ usw.) unterteilt. Diese Auffteilung stellt sich auf Grundlage des hier vorgestel</w:t>
      </w:r>
      <w:r w:rsidRPr="00156980">
        <w:rPr>
          <w:szCs w:val="17"/>
        </w:rPr>
        <w:t>l</w:t>
      </w:r>
      <w:r w:rsidRPr="00156980">
        <w:rPr>
          <w:szCs w:val="17"/>
        </w:rPr>
        <w:t>ten Modells als wenig sinnvoll heraus: Gruppenstile, also kollektiv angewandte Stile, kö</w:t>
      </w:r>
      <w:r w:rsidRPr="00156980">
        <w:rPr>
          <w:szCs w:val="17"/>
        </w:rPr>
        <w:t>n</w:t>
      </w:r>
      <w:r w:rsidRPr="00156980">
        <w:rPr>
          <w:szCs w:val="17"/>
        </w:rPr>
        <w:t>nen genauso als Menge von Merkmalsregeln beschrieben werden wie Individualstile, was schon daraus hervorgeht, dass Individualstile von Gruppen übernommen werden können. Die unter „Stilanalyse“ gefassten Verfahren können auf Individual- wie Gruppenstile gle</w:t>
      </w:r>
      <w:r w:rsidRPr="00156980">
        <w:rPr>
          <w:szCs w:val="17"/>
        </w:rPr>
        <w:t>i</w:t>
      </w:r>
      <w:r w:rsidRPr="00156980">
        <w:rPr>
          <w:szCs w:val="17"/>
        </w:rPr>
        <w:t>chermaßen angewandt werden. Die Unterscheidung in „systembezogen“ und „subsy</w:t>
      </w:r>
      <w:r w:rsidRPr="00156980">
        <w:rPr>
          <w:szCs w:val="17"/>
        </w:rPr>
        <w:t>s</w:t>
      </w:r>
      <w:r w:rsidRPr="00156980">
        <w:rPr>
          <w:szCs w:val="17"/>
        </w:rPr>
        <w:t>tembezogen“ als Schwesterknoten lässt sich ebenfalls nicht durchhalten. – Dies ist nur ein Beispiel dafür, dass man einem Phänomen, das man nicht grundlegend versteht, mit einer Klassifikation nicht beikommt.</w:t>
      </w:r>
    </w:p>
  </w:footnote>
  <w:footnote w:id="697">
    <w:p w:rsidR="00CC3558" w:rsidRPr="00156980" w:rsidRDefault="00CC3558" w:rsidP="00F461D9">
      <w:pPr>
        <w:pStyle w:val="Funotentext"/>
        <w:rPr>
          <w:szCs w:val="17"/>
        </w:rPr>
      </w:pPr>
      <w:r w:rsidRPr="00156980">
        <w:rPr>
          <w:rStyle w:val="Funotenzeichen"/>
          <w:szCs w:val="17"/>
        </w:rPr>
        <w:footnoteRef/>
      </w:r>
      <w:r w:rsidRPr="007B531B">
        <w:rPr>
          <w:szCs w:val="17"/>
          <w:lang w:val="en-US"/>
        </w:rPr>
        <w:t xml:space="preserve"> </w:t>
      </w:r>
      <w:r w:rsidRPr="007B531B">
        <w:rPr>
          <w:szCs w:val="17"/>
          <w:lang w:val="en-US"/>
        </w:rPr>
        <w:tab/>
        <w:t>Explizit formuliert wurde ein solcher Ansatz bereits von Dan Sperber und Deirdre Wi</w:t>
      </w:r>
      <w:r w:rsidRPr="007B531B">
        <w:rPr>
          <w:szCs w:val="17"/>
          <w:lang w:val="en-US"/>
        </w:rPr>
        <w:t>l</w:t>
      </w:r>
      <w:r w:rsidRPr="007B531B">
        <w:rPr>
          <w:szCs w:val="17"/>
          <w:lang w:val="en-US"/>
        </w:rPr>
        <w:t>son, die in „Relevance“ die frühere Pragmatik-Literatur dafür kritisieren, die Vagheit in der Kommunikation</w:t>
      </w:r>
      <w:r w:rsidR="005D7996">
        <w:rPr>
          <w:szCs w:val="17"/>
          <w:lang w:val="en-US"/>
        </w:rPr>
        <w:fldChar w:fldCharType="begin"/>
      </w:r>
      <w:r w:rsidRPr="007B531B">
        <w:rPr>
          <w:lang w:val="en-US"/>
        </w:rPr>
        <w:instrText xml:space="preserve"> XE "</w:instrText>
      </w:r>
      <w:r w:rsidRPr="007B531B">
        <w:rPr>
          <w:rFonts w:eastAsia="Times New Roman" w:cs="Times New Roman"/>
          <w:lang w:val="en-US"/>
        </w:rPr>
        <w:instrText>Kommunikation</w:instrText>
      </w:r>
      <w:r w:rsidRPr="007B531B">
        <w:rPr>
          <w:lang w:val="en-US"/>
        </w:rPr>
        <w:instrText xml:space="preserve">" </w:instrText>
      </w:r>
      <w:r w:rsidR="005D7996">
        <w:rPr>
          <w:szCs w:val="17"/>
          <w:lang w:val="en-US"/>
        </w:rPr>
        <w:fldChar w:fldCharType="end"/>
      </w:r>
      <w:r w:rsidRPr="007B531B">
        <w:rPr>
          <w:szCs w:val="17"/>
          <w:lang w:val="en-US"/>
        </w:rPr>
        <w:t xml:space="preserve"> ignoriert zu haben: „The only difference between the explicit co</w:t>
      </w:r>
      <w:r w:rsidRPr="007B531B">
        <w:rPr>
          <w:szCs w:val="17"/>
          <w:lang w:val="en-US"/>
        </w:rPr>
        <w:t>n</w:t>
      </w:r>
      <w:r w:rsidRPr="007B531B">
        <w:rPr>
          <w:szCs w:val="17"/>
          <w:lang w:val="en-US"/>
        </w:rPr>
        <w:t>tent of an utterance and its implicatures is supposed to be that the explicit content is d</w:t>
      </w:r>
      <w:r w:rsidRPr="007B531B">
        <w:rPr>
          <w:szCs w:val="17"/>
          <w:lang w:val="en-US"/>
        </w:rPr>
        <w:t>e</w:t>
      </w:r>
      <w:r w:rsidRPr="007B531B">
        <w:rPr>
          <w:szCs w:val="17"/>
          <w:lang w:val="en-US"/>
        </w:rPr>
        <w:t xml:space="preserve">coded, while the implicatures are inferred. </w:t>
      </w:r>
      <w:r w:rsidRPr="00156980">
        <w:rPr>
          <w:szCs w:val="17"/>
          <w:lang w:val="en-GB"/>
        </w:rPr>
        <w:t>Now we all know as speakers and hearers, that what is implicitly conveyed by an utterance is generally much vaguer than what is expli</w:t>
      </w:r>
      <w:r w:rsidRPr="00156980">
        <w:rPr>
          <w:szCs w:val="17"/>
          <w:lang w:val="en-GB"/>
        </w:rPr>
        <w:t>c</w:t>
      </w:r>
      <w:r w:rsidRPr="00156980">
        <w:rPr>
          <w:szCs w:val="17"/>
          <w:lang w:val="en-GB"/>
        </w:rPr>
        <w:t xml:space="preserve">itly expressed, and that when the implicit import of an utterance is explicitly spelled out, it tends to be distorted by the elimination of this often intentional vagueness.“ </w:t>
      </w:r>
      <w:r w:rsidRPr="00156980">
        <w:rPr>
          <w:szCs w:val="17"/>
          <w:lang w:val="en-US"/>
        </w:rPr>
        <w:t xml:space="preserve">(Sperber u.a. 1986: 56) </w:t>
      </w:r>
      <w:r w:rsidRPr="00156980">
        <w:rPr>
          <w:szCs w:val="17"/>
          <w:lang w:val="en-GB"/>
        </w:rPr>
        <w:t>Der Irrtum sei entstanden, weil man im Gegenstandsbereich</w:t>
      </w:r>
      <w:r w:rsidR="005D7996">
        <w:rPr>
          <w:szCs w:val="17"/>
          <w:lang w:val="en-GB"/>
        </w:rPr>
        <w:fldChar w:fldCharType="begin"/>
      </w:r>
      <w:r w:rsidRPr="007924FE">
        <w:rPr>
          <w:lang w:val="en-US"/>
        </w:rPr>
        <w:instrText xml:space="preserve"> XE "Gegenstandsbereich" </w:instrText>
      </w:r>
      <w:r w:rsidR="005D7996">
        <w:rPr>
          <w:szCs w:val="17"/>
          <w:lang w:val="en-GB"/>
        </w:rPr>
        <w:fldChar w:fldCharType="end"/>
      </w:r>
      <w:r w:rsidRPr="00156980">
        <w:rPr>
          <w:szCs w:val="17"/>
          <w:lang w:val="en-GB"/>
        </w:rPr>
        <w:t xml:space="preserve"> nur jene Phänomene sehen wollte, die man präzise erklären konnte: „There is a very good reason for anyone concerned with the role of inference in communication to assume that what is communicated is propositional: it is relatively easy to say what propositions are, and how inference might operate over propositions. No one has any clear idea how inference might operate over non-propositional objects“ (ebd.: 57). </w:t>
      </w:r>
      <w:r w:rsidRPr="00156980">
        <w:rPr>
          <w:szCs w:val="17"/>
        </w:rPr>
        <w:t>In der oben vorgeschlagenen Terminologie ausgedrückt, hatten die kritisierten Pragmatiker die Präzisionshypothese</w:t>
      </w:r>
      <w:r w:rsidR="005D7996">
        <w:rPr>
          <w:szCs w:val="17"/>
        </w:rPr>
        <w:fldChar w:fldCharType="begin"/>
      </w:r>
      <w:r>
        <w:instrText xml:space="preserve"> XE "</w:instrText>
      </w:r>
      <w:r w:rsidRPr="00BD53CB">
        <w:rPr>
          <w:szCs w:val="17"/>
        </w:rPr>
        <w:instrText>Präzisionshypothese</w:instrText>
      </w:r>
      <w:r>
        <w:instrText xml:space="preserve">" </w:instrText>
      </w:r>
      <w:r w:rsidR="005D7996">
        <w:rPr>
          <w:szCs w:val="17"/>
        </w:rPr>
        <w:fldChar w:fldCharType="end"/>
      </w:r>
      <w:r w:rsidRPr="00156980">
        <w:rPr>
          <w:szCs w:val="17"/>
        </w:rPr>
        <w:t xml:space="preserve"> angewandt: Sie modellierten alle Phänomene ihres Gegenstandsbereichs als präzise Ph</w:t>
      </w:r>
      <w:r w:rsidRPr="00156980">
        <w:rPr>
          <w:szCs w:val="17"/>
        </w:rPr>
        <w:t>ä</w:t>
      </w:r>
      <w:r w:rsidRPr="00156980">
        <w:rPr>
          <w:szCs w:val="17"/>
        </w:rPr>
        <w:t>nomene und nahmen in Kauf, dass ihre Beschreibung wesentliche Aspekte des Gege</w:t>
      </w:r>
      <w:r w:rsidRPr="00156980">
        <w:rPr>
          <w:szCs w:val="17"/>
        </w:rPr>
        <w:t>n</w:t>
      </w:r>
      <w:r w:rsidRPr="00156980">
        <w:rPr>
          <w:szCs w:val="17"/>
        </w:rPr>
        <w:t>standsbereichs, nämlich die größere Vagheit des implizit Mitgeteilten, nicht erfasste. So präzise ihre Beschreibung also war, sie passte nicht präzise zum Gegenstandsbereich.</w:t>
      </w:r>
    </w:p>
    <w:p w:rsidR="00CC3558" w:rsidRPr="00156980" w:rsidRDefault="00CC3558" w:rsidP="00F461D9">
      <w:pPr>
        <w:pStyle w:val="Funotentext"/>
        <w:rPr>
          <w:szCs w:val="17"/>
        </w:rPr>
      </w:pPr>
      <w:r w:rsidRPr="00156980">
        <w:rPr>
          <w:szCs w:val="17"/>
        </w:rPr>
        <w:tab/>
      </w:r>
      <w:r w:rsidRPr="00156980">
        <w:rPr>
          <w:szCs w:val="17"/>
          <w:lang w:val="en-GB"/>
        </w:rPr>
        <w:t>Aber Sperber und Wilson kritisieren auch die Anhänger der Vagheitshypothese</w:t>
      </w:r>
      <w:r w:rsidR="005D7996">
        <w:rPr>
          <w:szCs w:val="17"/>
          <w:lang w:val="en-GB"/>
        </w:rPr>
        <w:fldChar w:fldCharType="begin"/>
      </w:r>
      <w:r w:rsidRPr="0070014A">
        <w:rPr>
          <w:lang w:val="en-US"/>
        </w:rPr>
        <w:instrText xml:space="preserve"> XE "Vagheitshypothese" </w:instrText>
      </w:r>
      <w:r w:rsidR="005D7996">
        <w:rPr>
          <w:szCs w:val="17"/>
          <w:lang w:val="en-GB"/>
        </w:rPr>
        <w:fldChar w:fldCharType="end"/>
      </w:r>
      <w:r w:rsidRPr="00156980">
        <w:rPr>
          <w:szCs w:val="17"/>
          <w:lang w:val="en-GB"/>
        </w:rPr>
        <w:t>: „The only people who have been quite consistently concerned with the vaguer aspects of communication are the Romantics, from the Schlegel brothers and Coleridge to I.A. Richards, and their many acknowledged or unacknowledged followers, including many semioticians such as Roman Jakobson</w:t>
      </w:r>
      <w:r w:rsidR="005D7996">
        <w:rPr>
          <w:szCs w:val="17"/>
          <w:lang w:val="en-GB"/>
        </w:rPr>
        <w:fldChar w:fldCharType="begin"/>
      </w:r>
      <w:r w:rsidRPr="007B15C8">
        <w:rPr>
          <w:lang w:val="en-US"/>
        </w:rPr>
        <w:instrText xml:space="preserve"> XE "Jakobson, Roman" </w:instrText>
      </w:r>
      <w:r w:rsidR="005D7996">
        <w:rPr>
          <w:szCs w:val="17"/>
          <w:lang w:val="en-GB"/>
        </w:rPr>
        <w:fldChar w:fldCharType="end"/>
      </w:r>
      <w:r w:rsidRPr="00156980">
        <w:rPr>
          <w:szCs w:val="17"/>
          <w:lang w:val="en-GB"/>
        </w:rPr>
        <w:t xml:space="preserve"> in some of his writings, Victor Turner, or Roland Barthes. However, they have all dealt with vagueness in vague terms, with metaphors in metaphorical terms, and used the term ‘meaning’ so broadly that it becomes quite mea</w:t>
      </w:r>
      <w:r w:rsidRPr="00156980">
        <w:rPr>
          <w:szCs w:val="17"/>
          <w:lang w:val="en-GB"/>
        </w:rPr>
        <w:t>n</w:t>
      </w:r>
      <w:r w:rsidRPr="00156980">
        <w:rPr>
          <w:szCs w:val="17"/>
          <w:lang w:val="en-GB"/>
        </w:rPr>
        <w:t xml:space="preserve">ingless.“ </w:t>
      </w:r>
      <w:r w:rsidRPr="009B021C">
        <w:rPr>
          <w:szCs w:val="17"/>
        </w:rPr>
        <w:t xml:space="preserve">(ebd.) </w:t>
      </w:r>
      <w:r w:rsidRPr="00156980">
        <w:rPr>
          <w:szCs w:val="17"/>
        </w:rPr>
        <w:t>Diese Ansätze nahmen also die Vagheit des Gegenstandsbereichs ernst, aber sie übernahmen sie dabei auf die Beschreibungsebene</w:t>
      </w:r>
      <w:r w:rsidR="005D7996">
        <w:rPr>
          <w:szCs w:val="17"/>
        </w:rPr>
        <w:fldChar w:fldCharType="begin"/>
      </w:r>
      <w:r>
        <w:instrText xml:space="preserve"> XE "</w:instrText>
      </w:r>
      <w:r w:rsidRPr="00D31CD7">
        <w:rPr>
          <w:szCs w:val="17"/>
        </w:rPr>
        <w:instrText>Beschreibungsebene</w:instrText>
      </w:r>
      <w:r>
        <w:instrText xml:space="preserve">" </w:instrText>
      </w:r>
      <w:r w:rsidR="005D7996">
        <w:rPr>
          <w:szCs w:val="17"/>
        </w:rPr>
        <w:fldChar w:fldCharType="end"/>
      </w:r>
      <w:r w:rsidRPr="00156980">
        <w:rPr>
          <w:szCs w:val="17"/>
        </w:rPr>
        <w:t>.</w:t>
      </w:r>
    </w:p>
    <w:p w:rsidR="00CC3558" w:rsidRPr="00156980" w:rsidRDefault="00CC3558" w:rsidP="00F461D9">
      <w:pPr>
        <w:pStyle w:val="Funotentext"/>
        <w:rPr>
          <w:szCs w:val="17"/>
        </w:rPr>
      </w:pPr>
      <w:r w:rsidRPr="00156980">
        <w:rPr>
          <w:szCs w:val="17"/>
        </w:rPr>
        <w:tab/>
      </w:r>
      <w:r w:rsidRPr="0014025D">
        <w:rPr>
          <w:szCs w:val="17"/>
          <w:lang w:val="en-US"/>
        </w:rPr>
        <w:t>Sperber und Wilson betonen die Notwendigkeit einer präzisen Beschreibung auch der Vagheitsphänomene: „We see it as a major ch</w:t>
      </w:r>
      <w:r w:rsidRPr="00156980">
        <w:rPr>
          <w:szCs w:val="17"/>
          <w:lang w:val="en-GB"/>
        </w:rPr>
        <w:t>allenge for any account of human commun</w:t>
      </w:r>
      <w:r w:rsidRPr="00156980">
        <w:rPr>
          <w:szCs w:val="17"/>
          <w:lang w:val="en-GB"/>
        </w:rPr>
        <w:t>i</w:t>
      </w:r>
      <w:r w:rsidRPr="00156980">
        <w:rPr>
          <w:szCs w:val="17"/>
          <w:lang w:val="en-GB"/>
        </w:rPr>
        <w:t xml:space="preserve">cation to give a precise description and explanation of its vaguer effects.“ </w:t>
      </w:r>
      <w:r w:rsidRPr="00156980">
        <w:rPr>
          <w:szCs w:val="17"/>
        </w:rPr>
        <w:t>(ebd.)</w:t>
      </w:r>
    </w:p>
  </w:footnote>
  <w:footnote w:id="69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Etwa durch die Annahme einer (häufig wohl prototypisch organisierten) Klasse von Verbindungsmöglichkeiten, die durch bestimmte Bedingungen gebildet wird. Die einze</w:t>
      </w:r>
      <w:r w:rsidRPr="00156980">
        <w:rPr>
          <w:szCs w:val="17"/>
        </w:rPr>
        <w:t>l</w:t>
      </w:r>
      <w:r w:rsidRPr="00156980">
        <w:rPr>
          <w:szCs w:val="17"/>
        </w:rPr>
        <w:t>ne Verbindungsmöglichkeiten können damit innerhalb dieser – durch die Logik</w:t>
      </w:r>
      <w:r w:rsidR="005D7996">
        <w:rPr>
          <w:szCs w:val="17"/>
        </w:rPr>
        <w:fldChar w:fldCharType="begin"/>
      </w:r>
      <w:r>
        <w:instrText xml:space="preserve"> XE "</w:instrText>
      </w:r>
      <w:r w:rsidRPr="003243E4">
        <w:instrText>Logik</w:instrText>
      </w:r>
      <w:r>
        <w:instrText xml:space="preserve">" </w:instrText>
      </w:r>
      <w:r w:rsidR="005D7996">
        <w:rPr>
          <w:szCs w:val="17"/>
        </w:rPr>
        <w:fldChar w:fldCharType="end"/>
      </w:r>
      <w:r w:rsidRPr="00156980">
        <w:rPr>
          <w:szCs w:val="17"/>
        </w:rPr>
        <w:t xml:space="preserve"> der Ve</w:t>
      </w:r>
      <w:r w:rsidRPr="00156980">
        <w:rPr>
          <w:szCs w:val="17"/>
        </w:rPr>
        <w:t>r</w:t>
      </w:r>
      <w:r w:rsidRPr="00156980">
        <w:rPr>
          <w:szCs w:val="17"/>
        </w:rPr>
        <w:t>knüpfung gegebenen – Bedingungen erweitert werden.</w:t>
      </w:r>
    </w:p>
    <w:p w:rsidR="00CC3558" w:rsidRPr="00156980" w:rsidRDefault="00CC3558" w:rsidP="00F461D9">
      <w:pPr>
        <w:pStyle w:val="Funotentext"/>
        <w:rPr>
          <w:szCs w:val="17"/>
        </w:rPr>
      </w:pPr>
      <w:r w:rsidRPr="00156980">
        <w:rPr>
          <w:szCs w:val="17"/>
        </w:rPr>
        <w:tab/>
        <w:t>Tatsächlich findet eine solche Erweiterung wohl häufig auch im Gegenstandsbereich</w:t>
      </w:r>
      <w:r w:rsidR="005D7996">
        <w:rPr>
          <w:szCs w:val="17"/>
        </w:rPr>
        <w:fldChar w:fldCharType="begin"/>
      </w:r>
      <w:r>
        <w:instrText xml:space="preserve"> XE "</w:instrText>
      </w:r>
      <w:r w:rsidRPr="00144851">
        <w:instrText>Gegenstandsbereich</w:instrText>
      </w:r>
      <w:r>
        <w:instrText xml:space="preserve">" </w:instrText>
      </w:r>
      <w:r w:rsidR="005D7996">
        <w:rPr>
          <w:szCs w:val="17"/>
        </w:rPr>
        <w:fldChar w:fldCharType="end"/>
      </w:r>
      <w:r w:rsidRPr="00156980">
        <w:rPr>
          <w:szCs w:val="17"/>
        </w:rPr>
        <w:t xml:space="preserve"> statt, wo erprobte Prozesse immer wieder neu kombiniert und aufeinander angewandt werden, wobei, abgesehen von den durch die Logik</w:t>
      </w:r>
      <w:r w:rsidR="005D7996">
        <w:rPr>
          <w:szCs w:val="17"/>
        </w:rPr>
        <w:fldChar w:fldCharType="begin"/>
      </w:r>
      <w:r>
        <w:instrText xml:space="preserve"> XE "</w:instrText>
      </w:r>
      <w:r w:rsidRPr="003243E4">
        <w:instrText>Logik</w:instrText>
      </w:r>
      <w:r>
        <w:instrText xml:space="preserve">" </w:instrText>
      </w:r>
      <w:r w:rsidR="005D7996">
        <w:rPr>
          <w:szCs w:val="17"/>
        </w:rPr>
        <w:fldChar w:fldCharType="end"/>
      </w:r>
      <w:r w:rsidRPr="00156980">
        <w:rPr>
          <w:szCs w:val="17"/>
        </w:rPr>
        <w:t xml:space="preserve"> der Verknüpfung gegebenen Bedi</w:t>
      </w:r>
      <w:r w:rsidRPr="00156980">
        <w:rPr>
          <w:szCs w:val="17"/>
        </w:rPr>
        <w:t>n</w:t>
      </w:r>
      <w:r w:rsidRPr="00156980">
        <w:rPr>
          <w:szCs w:val="17"/>
        </w:rPr>
        <w:t>gungen, nur die Experimentierfreude der Menschen Grenzen setzt – und die ist beträch</w:t>
      </w:r>
      <w:r w:rsidRPr="00156980">
        <w:rPr>
          <w:szCs w:val="17"/>
        </w:rPr>
        <w:t>t</w:t>
      </w:r>
      <w:r w:rsidRPr="00156980">
        <w:rPr>
          <w:szCs w:val="17"/>
        </w:rPr>
        <w:t>lich!</w:t>
      </w:r>
    </w:p>
  </w:footnote>
  <w:footnote w:id="69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kann zwischen epistemischer Vagheit</w:t>
      </w:r>
      <w:r w:rsidR="005D7996">
        <w:rPr>
          <w:szCs w:val="17"/>
        </w:rPr>
        <w:fldChar w:fldCharType="begin"/>
      </w:r>
      <w:r>
        <w:instrText xml:space="preserve"> XE "</w:instrText>
      </w:r>
      <w:r w:rsidRPr="005F3B9E">
        <w:rPr>
          <w:szCs w:val="17"/>
        </w:rPr>
        <w:instrText>Vagheit:</w:instrText>
      </w:r>
      <w:r w:rsidRPr="005F3B9E">
        <w:instrText>epistemische</w:instrText>
      </w:r>
      <w:r>
        <w:instrText xml:space="preserve">" </w:instrText>
      </w:r>
      <w:r w:rsidR="005D7996">
        <w:rPr>
          <w:szCs w:val="17"/>
        </w:rPr>
        <w:fldChar w:fldCharType="end"/>
      </w:r>
      <w:r w:rsidRPr="00156980">
        <w:rPr>
          <w:szCs w:val="17"/>
        </w:rPr>
        <w:t xml:space="preserve"> und ontologischer Vagheit</w:t>
      </w:r>
      <w:r w:rsidR="005D7996">
        <w:rPr>
          <w:szCs w:val="17"/>
        </w:rPr>
        <w:fldChar w:fldCharType="begin"/>
      </w:r>
      <w:r>
        <w:instrText xml:space="preserve"> XE "</w:instrText>
      </w:r>
      <w:r w:rsidRPr="00C55673">
        <w:rPr>
          <w:szCs w:val="17"/>
        </w:rPr>
        <w:instrText>Vagheit:</w:instrText>
      </w:r>
      <w:r w:rsidRPr="00C55673">
        <w:instrText>ontologische</w:instrText>
      </w:r>
      <w:r>
        <w:instrText xml:space="preserve">" </w:instrText>
      </w:r>
      <w:r w:rsidR="005D7996">
        <w:rPr>
          <w:szCs w:val="17"/>
        </w:rPr>
        <w:fldChar w:fldCharType="end"/>
      </w:r>
      <w:r w:rsidRPr="00156980">
        <w:rPr>
          <w:szCs w:val="17"/>
        </w:rPr>
        <w:t xml:space="preserve"> unterschieden we</w:t>
      </w:r>
      <w:r w:rsidRPr="00156980">
        <w:rPr>
          <w:szCs w:val="17"/>
        </w:rPr>
        <w:t>r</w:t>
      </w:r>
      <w:r w:rsidRPr="00156980">
        <w:rPr>
          <w:szCs w:val="17"/>
        </w:rPr>
        <w:t>den. Die erste ist ein Problem unzureichenden Verständnisses und soll durch die Wisse</w:t>
      </w:r>
      <w:r w:rsidRPr="00156980">
        <w:rPr>
          <w:szCs w:val="17"/>
        </w:rPr>
        <w:t>n</w:t>
      </w:r>
      <w:r w:rsidRPr="00156980">
        <w:rPr>
          <w:szCs w:val="17"/>
        </w:rPr>
        <w:t>schaft minimiert werden; die zweite befindet sich im Gegenstandsbereich</w:t>
      </w:r>
      <w:r w:rsidR="005D7996">
        <w:rPr>
          <w:szCs w:val="17"/>
        </w:rPr>
        <w:fldChar w:fldCharType="begin"/>
      </w:r>
      <w:r>
        <w:instrText xml:space="preserve"> XE "</w:instrText>
      </w:r>
      <w:r w:rsidRPr="00144851">
        <w:instrText>Gegenstandsbereich</w:instrText>
      </w:r>
      <w:r>
        <w:instrText xml:space="preserve">" </w:instrText>
      </w:r>
      <w:r w:rsidR="005D7996">
        <w:rPr>
          <w:szCs w:val="17"/>
        </w:rPr>
        <w:fldChar w:fldCharType="end"/>
      </w:r>
      <w:r w:rsidRPr="00156980">
        <w:rPr>
          <w:szCs w:val="17"/>
        </w:rPr>
        <w:t xml:space="preserve"> und muss a</w:t>
      </w:r>
      <w:r w:rsidRPr="00156980">
        <w:rPr>
          <w:szCs w:val="17"/>
        </w:rPr>
        <w:t>n</w:t>
      </w:r>
      <w:r w:rsidRPr="00156980">
        <w:rPr>
          <w:szCs w:val="17"/>
        </w:rPr>
        <w:t>gemessen dargestellt werden. Formalisierungen</w:t>
      </w:r>
      <w:r w:rsidR="005D7996">
        <w:rPr>
          <w:szCs w:val="17"/>
        </w:rPr>
        <w:fldChar w:fldCharType="begin"/>
      </w:r>
      <w:r>
        <w:instrText xml:space="preserve"> XE "</w:instrText>
      </w:r>
      <w:r w:rsidRPr="00523751">
        <w:rPr>
          <w:szCs w:val="17"/>
        </w:rPr>
        <w:instrText>Formalisierung</w:instrText>
      </w:r>
      <w:r>
        <w:instrText xml:space="preserve">" </w:instrText>
      </w:r>
      <w:r w:rsidR="005D7996">
        <w:rPr>
          <w:szCs w:val="17"/>
        </w:rPr>
        <w:fldChar w:fldCharType="end"/>
      </w:r>
      <w:r w:rsidRPr="00156980">
        <w:rPr>
          <w:szCs w:val="17"/>
        </w:rPr>
        <w:t xml:space="preserve"> erkaufen häufig die Minimierung der ep</w:t>
      </w:r>
      <w:r w:rsidRPr="00156980">
        <w:rPr>
          <w:szCs w:val="17"/>
        </w:rPr>
        <w:t>i</w:t>
      </w:r>
      <w:r w:rsidRPr="00156980">
        <w:rPr>
          <w:szCs w:val="17"/>
        </w:rPr>
        <w:t>stemischen Vagheit auf Kosten der Darstellung ontologischer Vagheit.</w:t>
      </w:r>
    </w:p>
  </w:footnote>
  <w:footnote w:id="70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Abschnitt </w:t>
      </w:r>
      <w:fldSimple w:instr=" REF _Ref253668018 \r \h  \* MERGEFORMAT ">
        <w:r w:rsidR="001231D3" w:rsidRPr="001231D3">
          <w:rPr>
            <w:szCs w:val="17"/>
          </w:rPr>
          <w:t>6.2.2</w:t>
        </w:r>
      </w:fldSimple>
      <w:r w:rsidRPr="00156980">
        <w:rPr>
          <w:szCs w:val="17"/>
        </w:rPr>
        <w:t>.</w:t>
      </w:r>
    </w:p>
  </w:footnote>
  <w:footnote w:id="70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Spillner 1984: 226.</w:t>
      </w:r>
    </w:p>
  </w:footnote>
  <w:footnote w:id="70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Spitzer 1928, 1949 und 1960. Ein weiteres Beispiel hermeneutischer Stilinterpretation ist Vossler 1923.</w:t>
      </w:r>
    </w:p>
  </w:footnote>
  <w:footnote w:id="703">
    <w:p w:rsidR="00CC3558" w:rsidRPr="00156980" w:rsidRDefault="00CC3558" w:rsidP="0089605D">
      <w:pPr>
        <w:pStyle w:val="Funotentext"/>
        <w:rPr>
          <w:szCs w:val="17"/>
        </w:rPr>
      </w:pPr>
      <w:r w:rsidRPr="00156980">
        <w:rPr>
          <w:rStyle w:val="Funotenzeichen"/>
          <w:szCs w:val="17"/>
        </w:rPr>
        <w:footnoteRef/>
      </w:r>
      <w:r w:rsidRPr="00156980">
        <w:rPr>
          <w:szCs w:val="17"/>
        </w:rPr>
        <w:t xml:space="preserve"> </w:t>
      </w:r>
      <w:r w:rsidRPr="00156980">
        <w:rPr>
          <w:szCs w:val="17"/>
        </w:rPr>
        <w:tab/>
        <w:t>Spillner 1984: 22</w:t>
      </w:r>
      <w:r>
        <w:rPr>
          <w:szCs w:val="17"/>
        </w:rPr>
        <w:t>8</w:t>
      </w:r>
      <w:r w:rsidRPr="00156980">
        <w:rPr>
          <w:szCs w:val="17"/>
        </w:rPr>
        <w:t>.</w:t>
      </w:r>
    </w:p>
  </w:footnote>
  <w:footnote w:id="70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beispielsweise Rudler 1902, Vianney 1914 und Delaisement 1968. Für den deutschen Sprachraum wurde die Methode beispielsweise durch Hatzfeld 1957 und Michel 1968 adaptiert.</w:t>
      </w:r>
    </w:p>
  </w:footnote>
  <w:footnote w:id="70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beispielsweise Adelson 1943, Hayes 1968, Ortega 1972, Antoine 1973 und Ardat 1980.</w:t>
      </w:r>
    </w:p>
  </w:footnote>
  <w:footnote w:id="70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für die </w:t>
      </w:r>
      <w:r>
        <w:rPr>
          <w:szCs w:val="17"/>
        </w:rPr>
        <w:t>quantitative S</w:t>
      </w:r>
      <w:r w:rsidRPr="00156980">
        <w:rPr>
          <w:szCs w:val="17"/>
        </w:rPr>
        <w:t>tilistik</w:t>
      </w:r>
      <w:r w:rsidR="005D7996">
        <w:rPr>
          <w:szCs w:val="17"/>
        </w:rPr>
        <w:fldChar w:fldCharType="begin"/>
      </w:r>
      <w:r>
        <w:instrText xml:space="preserve"> XE "</w:instrText>
      </w:r>
      <w:r w:rsidRPr="003054E7">
        <w:rPr>
          <w:szCs w:val="17"/>
        </w:rPr>
        <w:instrText>quantitative Stilistik</w:instrText>
      </w:r>
      <w:r>
        <w:instrText xml:space="preserve">" </w:instrText>
      </w:r>
      <w:r w:rsidR="005D7996">
        <w:rPr>
          <w:szCs w:val="17"/>
        </w:rPr>
        <w:fldChar w:fldCharType="end"/>
      </w:r>
      <w:r w:rsidRPr="00156980">
        <w:rPr>
          <w:szCs w:val="17"/>
        </w:rPr>
        <w:t xml:space="preserve"> Fußnote </w:t>
      </w:r>
      <w:fldSimple w:instr=" NOTEREF _Ref262306236 \h  \* MERGEFORMAT ">
        <w:r w:rsidR="001231D3" w:rsidRPr="001231D3">
          <w:rPr>
            <w:szCs w:val="17"/>
          </w:rPr>
          <w:t>329</w:t>
        </w:r>
      </w:fldSimple>
      <w:r w:rsidRPr="00156980">
        <w:rPr>
          <w:szCs w:val="17"/>
        </w:rPr>
        <w:t>; Spillner betont, dass es hier zahlreiche Einzeluntersuchungen gibt, die aber nur einen gewissen Bereich der Stilmerkmale erfa</w:t>
      </w:r>
      <w:r w:rsidRPr="00156980">
        <w:rPr>
          <w:szCs w:val="17"/>
        </w:rPr>
        <w:t>s</w:t>
      </w:r>
      <w:r w:rsidRPr="00156980">
        <w:rPr>
          <w:szCs w:val="17"/>
        </w:rPr>
        <w:t xml:space="preserve">sen können. Dies gilt nach wie vor; größer ist allerdings das Problem, dass diese Analysen inhaltlich bedingte Häufigkeiten nicht von stilistisch bedingten trennen können (vgl. </w:t>
      </w:r>
      <w:fldSimple w:instr=" REF _Ref260056929 \n \h  \* MERGEFORMAT ">
        <w:r w:rsidR="001231D3" w:rsidRPr="001231D3">
          <w:rPr>
            <w:szCs w:val="17"/>
          </w:rPr>
          <w:t>2.1</w:t>
        </w:r>
      </w:fldSimple>
      <w:r w:rsidRPr="00156980">
        <w:rPr>
          <w:szCs w:val="17"/>
        </w:rPr>
        <w:t>) und somit nur durch provisorische Verfahren zur Minimierung der ersteren – etwa durch die Wahl inhaltlich ähnlicher Texte – überhaupt als Stilanalysen gelten können; die von Spillner konstatierte „Objektivität der Überprüfung“ ist bei diesen Verfahren also nicht gegeben.</w:t>
      </w:r>
    </w:p>
  </w:footnote>
  <w:footnote w:id="707">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2306158 \h  \* MERGEFORMAT ">
        <w:r w:rsidR="001231D3" w:rsidRPr="001231D3">
          <w:rPr>
            <w:szCs w:val="17"/>
          </w:rPr>
          <w:t>332</w:t>
        </w:r>
      </w:fldSimple>
      <w:r w:rsidRPr="00156980">
        <w:rPr>
          <w:szCs w:val="17"/>
        </w:rPr>
        <w:t>.</w:t>
      </w:r>
    </w:p>
  </w:footnote>
  <w:footnote w:id="708">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Beispiele sind das Einschreiben (Abschnitt </w:t>
      </w:r>
      <w:fldSimple w:instr=" REF _Ref212110888 \r \h  \* MERGEFORMAT ">
        <w:r w:rsidR="001231D3" w:rsidRPr="001231D3">
          <w:rPr>
            <w:szCs w:val="17"/>
          </w:rPr>
          <w:t>5.4</w:t>
        </w:r>
      </w:fldSimple>
      <w:r w:rsidRPr="00156980">
        <w:rPr>
          <w:szCs w:val="17"/>
        </w:rPr>
        <w:t>) und Auslesen (</w:t>
      </w:r>
      <w:fldSimple w:instr=" REF _Ref254084330 \r \h  \* MERGEFORMAT ">
        <w:r w:rsidR="001231D3" w:rsidRPr="001231D3">
          <w:rPr>
            <w:szCs w:val="17"/>
          </w:rPr>
          <w:t>5.5.3</w:t>
        </w:r>
      </w:fldSimple>
      <w:r w:rsidRPr="00156980">
        <w:rPr>
          <w:szCs w:val="17"/>
        </w:rPr>
        <w:t>) von Merkmalsregeln sowie die Disambiguierung</w:t>
      </w:r>
      <w:r w:rsidR="005D7996">
        <w:rPr>
          <w:szCs w:val="17"/>
        </w:rPr>
        <w:fldChar w:fldCharType="begin"/>
      </w:r>
      <w:r>
        <w:instrText xml:space="preserve"> XE "</w:instrText>
      </w:r>
      <w:r w:rsidRPr="00B25353">
        <w:rPr>
          <w:szCs w:val="17"/>
        </w:rPr>
        <w:instrText>Disambiguierung</w:instrText>
      </w:r>
      <w:r>
        <w:instrText xml:space="preserve">" </w:instrText>
      </w:r>
      <w:r w:rsidR="005D7996">
        <w:rPr>
          <w:szCs w:val="17"/>
        </w:rPr>
        <w:fldChar w:fldCharType="end"/>
      </w:r>
      <w:r w:rsidRPr="00156980">
        <w:rPr>
          <w:szCs w:val="17"/>
        </w:rPr>
        <w:t xml:space="preserve"> (</w:t>
      </w:r>
      <w:fldSimple w:instr=" REF _Ref213118759 \r \h  \* MERGEFORMAT ">
        <w:r w:rsidR="001231D3" w:rsidRPr="001231D3">
          <w:rPr>
            <w:szCs w:val="17"/>
          </w:rPr>
          <w:t>5.5.4</w:t>
        </w:r>
      </w:fldSimple>
      <w:r w:rsidRPr="00156980">
        <w:rPr>
          <w:szCs w:val="17"/>
        </w:rPr>
        <w:t>).</w:t>
      </w:r>
    </w:p>
  </w:footnote>
  <w:footnote w:id="709">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Beispiele sind die Funktion </w:t>
      </w:r>
      <w:r w:rsidRPr="00156980">
        <w:rPr>
          <w:i/>
          <w:szCs w:val="17"/>
        </w:rPr>
        <w:t>Auswahl</w:t>
      </w:r>
      <w:r w:rsidRPr="00156980">
        <w:rPr>
          <w:szCs w:val="17"/>
        </w:rPr>
        <w:t xml:space="preserve"> (Abschnitt </w:t>
      </w:r>
      <w:fldSimple w:instr=" REF _Ref212110965 \r \h  \* MERGEFORMAT ">
        <w:r w:rsidR="001231D3" w:rsidRPr="001231D3">
          <w:rPr>
            <w:szCs w:val="17"/>
          </w:rPr>
          <w:t>5.2.2</w:t>
        </w:r>
      </w:fldSimple>
      <w:r w:rsidRPr="00156980">
        <w:rPr>
          <w:szCs w:val="17"/>
        </w:rPr>
        <w:t xml:space="preserve">), die Funktion </w:t>
      </w:r>
      <w:r w:rsidRPr="00156980">
        <w:rPr>
          <w:i/>
          <w:szCs w:val="17"/>
        </w:rPr>
        <w:t>Interesse</w:t>
      </w:r>
      <w:r w:rsidRPr="00156980">
        <w:rPr>
          <w:szCs w:val="17"/>
        </w:rPr>
        <w:t xml:space="preserve"> (Abschnitt </w:t>
      </w:r>
      <w:fldSimple w:instr=" REF _Ref255767436 \r \h  \* MERGEFORMAT ">
        <w:r w:rsidR="001231D3" w:rsidRPr="001231D3">
          <w:rPr>
            <w:szCs w:val="17"/>
          </w:rPr>
          <w:t>7.2.1</w:t>
        </w:r>
      </w:fldSimple>
      <w:r w:rsidRPr="00156980">
        <w:rPr>
          <w:szCs w:val="17"/>
        </w:rPr>
        <w:t xml:space="preserve">), die Funktion </w:t>
      </w:r>
      <w:r w:rsidRPr="00156980">
        <w:rPr>
          <w:i/>
          <w:szCs w:val="17"/>
        </w:rPr>
        <w:t>Merkmalsregeln_anpassen</w:t>
      </w:r>
      <w:r w:rsidRPr="00156980">
        <w:rPr>
          <w:szCs w:val="17"/>
        </w:rPr>
        <w:t xml:space="preserve"> (Abschnitt </w:t>
      </w:r>
      <w:fldSimple w:instr=" REF _Ref261443581 \r \h  \* MERGEFORMAT ">
        <w:r w:rsidR="001231D3" w:rsidRPr="001231D3">
          <w:rPr>
            <w:szCs w:val="17"/>
          </w:rPr>
          <w:t>7.3.1</w:t>
        </w:r>
      </w:fldSimple>
      <w:r w:rsidRPr="00156980">
        <w:rPr>
          <w:szCs w:val="17"/>
        </w:rPr>
        <w:t xml:space="preserve">) sowie die meisten der Operationsfunktionen (vgl. Abschnitt </w:t>
      </w:r>
      <w:fldSimple w:instr=" REF _Ref255767436 \r \h  \* MERGEFORMAT ">
        <w:r w:rsidR="001231D3" w:rsidRPr="001231D3">
          <w:rPr>
            <w:szCs w:val="17"/>
          </w:rPr>
          <w:t>7.2.1</w:t>
        </w:r>
      </w:fldSimple>
      <w:r w:rsidRPr="00156980">
        <w:rPr>
          <w:szCs w:val="17"/>
        </w:rPr>
        <w:t>).</w:t>
      </w:r>
    </w:p>
  </w:footnote>
  <w:footnote w:id="710">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Für die Inputfunktionen des Modells (beispielsweise </w:t>
      </w:r>
      <w:r w:rsidRPr="00156980">
        <w:rPr>
          <w:i/>
          <w:szCs w:val="17"/>
        </w:rPr>
        <w:t>Schemata_zusammenstellen</w:t>
      </w:r>
      <w:r w:rsidRPr="00156980">
        <w:rPr>
          <w:szCs w:val="17"/>
        </w:rPr>
        <w:t xml:space="preserve"> in A</w:t>
      </w:r>
      <w:r w:rsidRPr="00156980">
        <w:rPr>
          <w:szCs w:val="17"/>
        </w:rPr>
        <w:t>b</w:t>
      </w:r>
      <w:r w:rsidRPr="00156980">
        <w:rPr>
          <w:szCs w:val="17"/>
        </w:rPr>
        <w:t xml:space="preserve">schnitt </w:t>
      </w:r>
      <w:fldSimple w:instr=" REF _Ref212110965 \r \h  \* MERGEFORMAT ">
        <w:r w:rsidR="001231D3" w:rsidRPr="001231D3">
          <w:rPr>
            <w:szCs w:val="17"/>
          </w:rPr>
          <w:t>5.2.2</w:t>
        </w:r>
      </w:fldSimple>
      <w:r w:rsidRPr="00156980">
        <w:rPr>
          <w:szCs w:val="17"/>
        </w:rPr>
        <w:t xml:space="preserve">, </w:t>
      </w:r>
      <w:r w:rsidRPr="00156980">
        <w:rPr>
          <w:i/>
          <w:szCs w:val="17"/>
        </w:rPr>
        <w:t>Hintergrundwissen_zusammenstellen</w:t>
      </w:r>
      <w:r w:rsidRPr="00156980">
        <w:rPr>
          <w:szCs w:val="17"/>
        </w:rPr>
        <w:t xml:space="preserve"> in Abschnitt </w:t>
      </w:r>
      <w:fldSimple w:instr=" REF _Ref255767436 \r \h  \* MERGEFORMAT ">
        <w:r w:rsidR="001231D3" w:rsidRPr="001231D3">
          <w:rPr>
            <w:szCs w:val="17"/>
          </w:rPr>
          <w:t>7.2.1</w:t>
        </w:r>
      </w:fldSimple>
      <w:r w:rsidRPr="00156980">
        <w:rPr>
          <w:szCs w:val="17"/>
        </w:rPr>
        <w:t xml:space="preserve"> und </w:t>
      </w:r>
      <w:r w:rsidRPr="00156980">
        <w:rPr>
          <w:i/>
          <w:szCs w:val="17"/>
        </w:rPr>
        <w:t>Suchmeth</w:t>
      </w:r>
      <w:r w:rsidRPr="00156980">
        <w:rPr>
          <w:i/>
          <w:szCs w:val="17"/>
        </w:rPr>
        <w:t>o</w:t>
      </w:r>
      <w:r w:rsidRPr="00156980">
        <w:rPr>
          <w:i/>
          <w:szCs w:val="17"/>
        </w:rPr>
        <w:t>den_zusammenstellen</w:t>
      </w:r>
      <w:r w:rsidRPr="00156980">
        <w:rPr>
          <w:szCs w:val="17"/>
        </w:rPr>
        <w:t xml:space="preserve"> in Abschnitt </w:t>
      </w:r>
      <w:fldSimple w:instr=" REF _Ref255309936 \r \h  \* MERGEFORMAT ">
        <w:r w:rsidR="001231D3" w:rsidRPr="001231D3">
          <w:rPr>
            <w:szCs w:val="17"/>
          </w:rPr>
          <w:t>7.2.2</w:t>
        </w:r>
      </w:fldSimple>
      <w:r w:rsidRPr="00156980">
        <w:rPr>
          <w:szCs w:val="17"/>
        </w:rPr>
        <w:t xml:space="preserve">) liegt jeweils eine </w:t>
      </w:r>
      <w:r>
        <w:rPr>
          <w:szCs w:val="17"/>
        </w:rPr>
        <w:t>Spezifikation</w:t>
      </w:r>
      <w:r w:rsidRPr="00156980">
        <w:rPr>
          <w:szCs w:val="17"/>
        </w:rPr>
        <w:t xml:space="preserve"> des Inputs vor, manche Anforderungen können aber nur sprachlich formuliert werden (vgl. beispielswe</w:t>
      </w:r>
      <w:r w:rsidRPr="00156980">
        <w:rPr>
          <w:szCs w:val="17"/>
        </w:rPr>
        <w:t>i</w:t>
      </w:r>
      <w:r w:rsidRPr="00156980">
        <w:rPr>
          <w:szCs w:val="17"/>
        </w:rPr>
        <w:t xml:space="preserve">se für die Suchmethoden die Erläuterungen in Abschnitt </w:t>
      </w:r>
      <w:fldSimple w:instr=" REF _Ref255309936 \r \h  \* MERGEFORMAT ">
        <w:r w:rsidR="001231D3" w:rsidRPr="001231D3">
          <w:rPr>
            <w:szCs w:val="17"/>
          </w:rPr>
          <w:t>7.2.2</w:t>
        </w:r>
      </w:fldSimple>
      <w:r w:rsidRPr="00156980">
        <w:rPr>
          <w:szCs w:val="17"/>
        </w:rPr>
        <w:t>). Durch Ausprobieren können hier geeignete Inputmengen konstruiert werden.</w:t>
      </w:r>
    </w:p>
  </w:footnote>
  <w:footnote w:id="711">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auch Fußnote </w:t>
      </w:r>
      <w:fldSimple w:instr=" NOTEREF _Ref260670508 \h  \* MERGEFORMAT ">
        <w:r w:rsidR="001231D3" w:rsidRPr="001231D3">
          <w:rPr>
            <w:szCs w:val="17"/>
          </w:rPr>
          <w:t>427</w:t>
        </w:r>
      </w:fldSimple>
      <w:r w:rsidRPr="00156980">
        <w:rPr>
          <w:szCs w:val="17"/>
        </w:rPr>
        <w:t>.</w:t>
      </w:r>
    </w:p>
  </w:footnote>
  <w:footnote w:id="712">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 xml:space="preserve">Vgl. Fußnote </w:t>
      </w:r>
      <w:fldSimple w:instr=" NOTEREF _Ref266573173 \h  \* MERGEFORMAT ">
        <w:r w:rsidR="001231D3" w:rsidRPr="001231D3">
          <w:rPr>
            <w:szCs w:val="17"/>
          </w:rPr>
          <w:t>118</w:t>
        </w:r>
      </w:fldSimple>
      <w:r w:rsidRPr="00156980">
        <w:rPr>
          <w:szCs w:val="17"/>
        </w:rPr>
        <w:t>.</w:t>
      </w:r>
    </w:p>
  </w:footnote>
  <w:footnote w:id="713">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Es gibt spannende Versuche außerhalb der Stilistik (im engeren Sinn), Stil als allgemeines Phänomen zu erklären. Als Beispiel sei der Ansatz von Jane Gear (Gear 1989)</w:t>
      </w:r>
      <w:r w:rsidRPr="00454207">
        <w:rPr>
          <w:szCs w:val="17"/>
        </w:rPr>
        <w:t xml:space="preserve"> </w:t>
      </w:r>
      <w:r w:rsidRPr="00156980">
        <w:rPr>
          <w:szCs w:val="17"/>
        </w:rPr>
        <w:t>genannt</w:t>
      </w:r>
      <w:r>
        <w:rPr>
          <w:szCs w:val="17"/>
        </w:rPr>
        <w:t xml:space="preserve">; vgl. Fußnote </w:t>
      </w:r>
      <w:r w:rsidR="005D7996">
        <w:rPr>
          <w:szCs w:val="17"/>
        </w:rPr>
        <w:fldChar w:fldCharType="begin"/>
      </w:r>
      <w:r>
        <w:rPr>
          <w:szCs w:val="17"/>
        </w:rPr>
        <w:instrText xml:space="preserve"> NOTEREF _Ref274051977 \h </w:instrText>
      </w:r>
      <w:r w:rsidR="005D7996">
        <w:rPr>
          <w:szCs w:val="17"/>
        </w:rPr>
      </w:r>
      <w:r w:rsidR="005D7996">
        <w:rPr>
          <w:szCs w:val="17"/>
        </w:rPr>
        <w:fldChar w:fldCharType="separate"/>
      </w:r>
      <w:r w:rsidR="001231D3">
        <w:rPr>
          <w:szCs w:val="17"/>
        </w:rPr>
        <w:t>150</w:t>
      </w:r>
      <w:r w:rsidR="005D7996">
        <w:rPr>
          <w:szCs w:val="17"/>
        </w:rPr>
        <w:fldChar w:fldCharType="end"/>
      </w:r>
      <w:r>
        <w:rPr>
          <w:szCs w:val="17"/>
        </w:rPr>
        <w:t>.</w:t>
      </w:r>
    </w:p>
  </w:footnote>
  <w:footnote w:id="714">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Willie van Peer hat diesen Zustand treffend beschrieben: „Standardlehrbücher der Stilistik gehen immer noch von einer Liste von Versuchen [der konzeptuellen Klärung] aus und präsentieren ihren Lesern lediglich eine Zusammenfassung von dem, was über Stil als Abweichung von einer Norm, Stil als individuelle Charakteristik, Stil-als-Wahl, Stil-als-Prozeß und so weiter behauptet worden ist. Natürlich spricht nichts dagegen, Leser in die Theorien der Stilistik und ihrer Geschichte einzuführen. Problematisch wird es allerdings, wenn man feststellen muß, daß es zwischen den unterschiedlichen Entwürfen gravierende Differenzen oder teilweise sogar widersprüchliche Definitionen des Stilbegriffs gibt. Überdies ist bisher unklar geblieben, wie es möglich wäre, zwischen den verschiedenen Stilbegriffen erfolgreich Brücken zu schlagen. Sicherlich ist die Suche nach Aufklärung in Sachen des Stilbegriffs auf interessante und wichtige Aspekte gestoßen, die ohne ein so</w:t>
      </w:r>
      <w:r w:rsidRPr="00156980">
        <w:rPr>
          <w:szCs w:val="17"/>
        </w:rPr>
        <w:t>l</w:t>
      </w:r>
      <w:r w:rsidRPr="00156980">
        <w:rPr>
          <w:szCs w:val="17"/>
        </w:rPr>
        <w:t>ches Unternehmen wahrscheinlich undurchsichtig und unfruchtbar geblieben wären. Trotz aller Bemühungen und Teilerfolge glaube ich jedoch, daß wir bezüglich der grun</w:t>
      </w:r>
      <w:r w:rsidRPr="00156980">
        <w:rPr>
          <w:szCs w:val="17"/>
        </w:rPr>
        <w:t>d</w:t>
      </w:r>
      <w:r w:rsidRPr="00156980">
        <w:rPr>
          <w:szCs w:val="17"/>
        </w:rPr>
        <w:t>sätzlichen Frage, was Stil wirklich ist, unser Versagen eingestehen müssen.“ (Peer 2001: 38f)</w:t>
      </w:r>
    </w:p>
  </w:footnote>
  <w:footnote w:id="715">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Posner 2003b: 2366ff (Abschnitt 4).</w:t>
      </w:r>
    </w:p>
  </w:footnote>
  <w:footnote w:id="716">
    <w:p w:rsidR="00CC3558" w:rsidRPr="00156980" w:rsidRDefault="00CC3558" w:rsidP="00F461D9">
      <w:pPr>
        <w:pStyle w:val="Funotentext"/>
        <w:rPr>
          <w:szCs w:val="17"/>
        </w:rPr>
      </w:pPr>
      <w:r w:rsidRPr="00156980">
        <w:rPr>
          <w:rStyle w:val="Funotenzeichen"/>
          <w:szCs w:val="17"/>
        </w:rPr>
        <w:footnoteRef/>
      </w:r>
      <w:r w:rsidRPr="00156980">
        <w:rPr>
          <w:szCs w:val="17"/>
        </w:rPr>
        <w:t xml:space="preserve"> </w:t>
      </w:r>
      <w:r w:rsidRPr="00156980">
        <w:rPr>
          <w:szCs w:val="17"/>
        </w:rPr>
        <w:tab/>
        <w:t>Vgl. hierzu auch Siefkes 2010b.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C146F0" w:rsidRDefault="005D7996" w:rsidP="00C146F0">
    <w:pPr>
      <w:pStyle w:val="Kopfzeile"/>
      <w:tabs>
        <w:tab w:val="left" w:pos="471"/>
      </w:tabs>
      <w:ind w:firstLine="0"/>
      <w:jc w:val="left"/>
    </w:pPr>
    <w:r w:rsidRPr="007A613D">
      <w:rPr>
        <w:szCs w:val="18"/>
      </w:rPr>
      <w:fldChar w:fldCharType="begin"/>
    </w:r>
    <w:r w:rsidR="00CC3558" w:rsidRPr="007A613D">
      <w:rPr>
        <w:szCs w:val="18"/>
      </w:rPr>
      <w:instrText xml:space="preserve"> PAGE   \* MERGEFORMAT </w:instrText>
    </w:r>
    <w:r w:rsidRPr="007A613D">
      <w:rPr>
        <w:szCs w:val="18"/>
      </w:rPr>
      <w:fldChar w:fldCharType="separate"/>
    </w:r>
    <w:r w:rsidR="00F714AB">
      <w:rPr>
        <w:noProof/>
        <w:szCs w:val="18"/>
      </w:rPr>
      <w:t>8</w:t>
    </w:r>
    <w:r w:rsidRPr="007A613D">
      <w:rPr>
        <w:szCs w:val="18"/>
      </w:rPr>
      <w:fldChar w:fldCharType="end"/>
    </w:r>
    <w:r w:rsidR="00CC3558" w:rsidRPr="007A613D">
      <w:rPr>
        <w:szCs w:val="18"/>
      </w:rPr>
      <w:tab/>
    </w:r>
    <w:r w:rsidR="00CC3558" w:rsidRPr="007A613D">
      <w:rPr>
        <w:szCs w:val="18"/>
      </w:rPr>
      <w:tab/>
    </w:r>
    <w:r w:rsidR="00CC3558">
      <w:rPr>
        <w:szCs w:val="18"/>
      </w:rPr>
      <w:t>Zusammenfassung</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2E4449" w:rsidRDefault="00CC3558" w:rsidP="0084672A">
    <w:pPr>
      <w:pStyle w:val="Kopfzeile"/>
      <w:ind w:firstLine="0"/>
      <w:rPr>
        <w:szCs w:val="18"/>
      </w:rPr>
    </w:pPr>
    <w:r>
      <w:rPr>
        <w:szCs w:val="18"/>
      </w:rPr>
      <w:tab/>
    </w:r>
    <w:r w:rsidRPr="002E4449">
      <w:rPr>
        <w:szCs w:val="18"/>
      </w:rPr>
      <w:t>Einleitung</w:t>
    </w:r>
    <w:r>
      <w:rPr>
        <w:szCs w:val="18"/>
      </w:rPr>
      <w:tab/>
    </w:r>
    <w:r w:rsidR="005D7996" w:rsidRPr="002E4449">
      <w:rPr>
        <w:szCs w:val="18"/>
      </w:rPr>
      <w:fldChar w:fldCharType="begin"/>
    </w:r>
    <w:r w:rsidRPr="002E4449">
      <w:rPr>
        <w:szCs w:val="18"/>
      </w:rPr>
      <w:instrText xml:space="preserve"> PAGE   \* MERGEFORMAT </w:instrText>
    </w:r>
    <w:r w:rsidR="005D7996" w:rsidRPr="002E4449">
      <w:rPr>
        <w:szCs w:val="18"/>
      </w:rPr>
      <w:fldChar w:fldCharType="separate"/>
    </w:r>
    <w:r w:rsidR="00F714AB">
      <w:rPr>
        <w:noProof/>
        <w:szCs w:val="18"/>
      </w:rPr>
      <w:t>19</w:t>
    </w:r>
    <w:r w:rsidR="005D7996" w:rsidRPr="002E4449">
      <w:rPr>
        <w:szCs w:val="18"/>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pPr>
      <w:pStyle w:val="Kopfzeil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pPr>
      <w:pStyle w:val="Kopfzeil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7A613D" w:rsidRDefault="005D7996" w:rsidP="007A613D">
    <w:pPr>
      <w:pStyle w:val="Kopfzeile"/>
      <w:ind w:firstLine="0"/>
      <w:jc w:val="left"/>
      <w:rPr>
        <w:szCs w:val="18"/>
      </w:rPr>
    </w:pPr>
    <w:r w:rsidRPr="007A613D">
      <w:rPr>
        <w:szCs w:val="18"/>
      </w:rPr>
      <w:fldChar w:fldCharType="begin"/>
    </w:r>
    <w:r w:rsidR="00CC3558" w:rsidRPr="007A613D">
      <w:rPr>
        <w:szCs w:val="18"/>
      </w:rPr>
      <w:instrText xml:space="preserve"> PAGE   \* MERGEFORMAT </w:instrText>
    </w:r>
    <w:r w:rsidRPr="007A613D">
      <w:rPr>
        <w:szCs w:val="18"/>
      </w:rPr>
      <w:fldChar w:fldCharType="separate"/>
    </w:r>
    <w:r w:rsidR="00F714AB">
      <w:rPr>
        <w:noProof/>
        <w:szCs w:val="18"/>
      </w:rPr>
      <w:t>42</w:t>
    </w:r>
    <w:r w:rsidRPr="007A613D">
      <w:rPr>
        <w:szCs w:val="18"/>
      </w:rPr>
      <w:fldChar w:fldCharType="end"/>
    </w:r>
    <w:r w:rsidR="00CC3558" w:rsidRPr="007A613D">
      <w:rPr>
        <w:szCs w:val="18"/>
      </w:rPr>
      <w:tab/>
    </w:r>
    <w:fldSimple w:instr=" STYLEREF  Titel \n  \* MERGEFORMAT ">
      <w:r w:rsidR="00F714AB" w:rsidRPr="00F714AB">
        <w:rPr>
          <w:noProof/>
          <w:szCs w:val="18"/>
        </w:rPr>
        <w:t xml:space="preserve">Kapitel 2: </w:t>
      </w:r>
    </w:fldSimple>
    <w:r w:rsidR="00CC3558" w:rsidRPr="007A613D">
      <w:rPr>
        <w:szCs w:val="18"/>
      </w:rPr>
      <w:t xml:space="preserve"> </w:t>
    </w:r>
    <w:fldSimple w:instr=" STYLEREF  Titel  \* MERGEFORMAT ">
      <w:r w:rsidR="00F714AB" w:rsidRPr="00F714AB">
        <w:rPr>
          <w:noProof/>
          <w:szCs w:val="18"/>
        </w:rPr>
        <w:t>Annäherung</w:t>
      </w:r>
      <w:r w:rsidR="00F714AB">
        <w:rPr>
          <w:noProof/>
        </w:rPr>
        <w:t xml:space="preserve"> an das Stilmodell</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7A613D" w:rsidRDefault="00CC3558" w:rsidP="0084672A">
    <w:pPr>
      <w:pStyle w:val="Kopfzeile"/>
      <w:ind w:firstLine="0"/>
      <w:rPr>
        <w:szCs w:val="18"/>
      </w:rPr>
    </w:pPr>
    <w:r>
      <w:tab/>
    </w:r>
    <w:fldSimple w:instr=" STYLEREF  &quot;Titel 2&quot; \n  \* MERGEFORMAT ">
      <w:r w:rsidR="00F714AB" w:rsidRPr="00F714AB">
        <w:rPr>
          <w:noProof/>
          <w:szCs w:val="18"/>
        </w:rPr>
        <w:t>2.1</w:t>
      </w:r>
    </w:fldSimple>
    <w:r w:rsidRPr="007A613D">
      <w:rPr>
        <w:szCs w:val="18"/>
      </w:rPr>
      <w:t xml:space="preserve">  </w:t>
    </w:r>
    <w:fldSimple w:instr=" STYLEREF  &quot;Titel 2&quot;  \* MERGEFORMAT ">
      <w:r w:rsidR="00F714AB" w:rsidRPr="00F714AB">
        <w:rPr>
          <w:noProof/>
          <w:szCs w:val="18"/>
        </w:rPr>
        <w:t>Warum</w:t>
      </w:r>
      <w:r w:rsidR="00F714AB">
        <w:rPr>
          <w:noProof/>
        </w:rPr>
        <w:t xml:space="preserve"> muss Stil über Auswahl beschrieben werden?</w:t>
      </w:r>
    </w:fldSimple>
    <w:r w:rsidRPr="007A613D">
      <w:rPr>
        <w:szCs w:val="18"/>
      </w:rPr>
      <w:tab/>
    </w:r>
    <w:r w:rsidR="005D7996" w:rsidRPr="007A613D">
      <w:rPr>
        <w:szCs w:val="18"/>
      </w:rPr>
      <w:fldChar w:fldCharType="begin"/>
    </w:r>
    <w:r w:rsidRPr="007A613D">
      <w:rPr>
        <w:szCs w:val="18"/>
      </w:rPr>
      <w:instrText xml:space="preserve"> PAGE   \* MERGEFORMAT </w:instrText>
    </w:r>
    <w:r w:rsidR="005D7996" w:rsidRPr="007A613D">
      <w:rPr>
        <w:szCs w:val="18"/>
      </w:rPr>
      <w:fldChar w:fldCharType="separate"/>
    </w:r>
    <w:r w:rsidR="00F714AB">
      <w:rPr>
        <w:noProof/>
        <w:szCs w:val="18"/>
      </w:rPr>
      <w:t>41</w:t>
    </w:r>
    <w:r w:rsidR="005D7996" w:rsidRPr="007A613D">
      <w:rPr>
        <w:szCs w:val="18"/>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5D7996" w:rsidP="00041DCC">
    <w:pPr>
      <w:pStyle w:val="Kopfzeile"/>
      <w:tabs>
        <w:tab w:val="left" w:pos="3128"/>
      </w:tabs>
      <w:ind w:firstLine="0"/>
      <w:jc w:val="left"/>
      <w:rPr>
        <w:szCs w:val="18"/>
      </w:rPr>
    </w:pPr>
    <w:r w:rsidRPr="00507393">
      <w:rPr>
        <w:szCs w:val="18"/>
      </w:rPr>
      <w:fldChar w:fldCharType="begin"/>
    </w:r>
    <w:r w:rsidR="00CC3558" w:rsidRPr="00507393">
      <w:rPr>
        <w:szCs w:val="18"/>
      </w:rPr>
      <w:instrText xml:space="preserve"> PAGE   \* MERGEFORMAT </w:instrText>
    </w:r>
    <w:r w:rsidRPr="00507393">
      <w:rPr>
        <w:szCs w:val="18"/>
      </w:rPr>
      <w:fldChar w:fldCharType="separate"/>
    </w:r>
    <w:r w:rsidR="00F714AB">
      <w:rPr>
        <w:noProof/>
        <w:szCs w:val="18"/>
      </w:rPr>
      <w:t>460</w:t>
    </w:r>
    <w:r w:rsidRPr="00507393">
      <w:rPr>
        <w:szCs w:val="18"/>
      </w:rPr>
      <w:fldChar w:fldCharType="end"/>
    </w:r>
    <w:r w:rsidR="00CC3558" w:rsidRPr="00507393">
      <w:rPr>
        <w:szCs w:val="18"/>
      </w:rPr>
      <w:tab/>
    </w:r>
    <w:r w:rsidR="00CC3558">
      <w:rPr>
        <w:szCs w:val="18"/>
      </w:rPr>
      <w:tab/>
      <w:t>Ausblick</w:t>
    </w:r>
  </w:p>
  <w:p w:rsidR="00CC3558" w:rsidRPr="00A50348" w:rsidRDefault="00CC3558" w:rsidP="00A50348">
    <w:pPr>
      <w:pStyle w:val="Kopfzeil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rsidP="0084672A">
    <w:pPr>
      <w:pStyle w:val="Kopfzeile"/>
      <w:ind w:firstLine="0"/>
      <w:rPr>
        <w:szCs w:val="18"/>
      </w:rPr>
    </w:pPr>
    <w:r>
      <w:rPr>
        <w:szCs w:val="18"/>
      </w:rPr>
      <w:tab/>
      <w:t>Ausblick</w:t>
    </w:r>
    <w:r w:rsidRPr="00507393">
      <w:rPr>
        <w:szCs w:val="18"/>
      </w:rPr>
      <w:tab/>
    </w:r>
    <w:r w:rsidR="005D7996" w:rsidRPr="00507393">
      <w:rPr>
        <w:szCs w:val="18"/>
      </w:rPr>
      <w:fldChar w:fldCharType="begin"/>
    </w:r>
    <w:r w:rsidRPr="00507393">
      <w:rPr>
        <w:szCs w:val="18"/>
      </w:rPr>
      <w:instrText xml:space="preserve"> PAGE   \* MERGEFORMAT </w:instrText>
    </w:r>
    <w:r w:rsidR="005D7996" w:rsidRPr="00507393">
      <w:rPr>
        <w:szCs w:val="18"/>
      </w:rPr>
      <w:fldChar w:fldCharType="separate"/>
    </w:r>
    <w:r w:rsidR="00F714AB">
      <w:rPr>
        <w:noProof/>
        <w:szCs w:val="18"/>
      </w:rPr>
      <w:t>459</w:t>
    </w:r>
    <w:r w:rsidR="005D7996" w:rsidRPr="00507393">
      <w:rPr>
        <w:szCs w:val="18"/>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pPr>
      <w:pStyle w:val="Kopfzeile"/>
      <w:rPr>
        <w:szCs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A804AF" w:rsidRDefault="005D7996" w:rsidP="0031488A">
    <w:pPr>
      <w:pStyle w:val="Kopfzeile"/>
      <w:ind w:firstLine="0"/>
      <w:jc w:val="left"/>
      <w:rPr>
        <w:szCs w:val="18"/>
      </w:rPr>
    </w:pPr>
    <w:r w:rsidRPr="00A804AF">
      <w:rPr>
        <w:szCs w:val="18"/>
      </w:rPr>
      <w:fldChar w:fldCharType="begin"/>
    </w:r>
    <w:r w:rsidR="00CC3558" w:rsidRPr="00A804AF">
      <w:rPr>
        <w:szCs w:val="18"/>
      </w:rPr>
      <w:instrText xml:space="preserve"> PAGE   \* MERGEFORMAT </w:instrText>
    </w:r>
    <w:r w:rsidRPr="00A804AF">
      <w:rPr>
        <w:szCs w:val="18"/>
      </w:rPr>
      <w:fldChar w:fldCharType="separate"/>
    </w:r>
    <w:r w:rsidR="00CC3558">
      <w:rPr>
        <w:noProof/>
        <w:szCs w:val="18"/>
      </w:rPr>
      <w:t>472</w:t>
    </w:r>
    <w:r w:rsidRPr="00A804AF">
      <w:rPr>
        <w:szCs w:val="18"/>
      </w:rPr>
      <w:fldChar w:fldCharType="end"/>
    </w:r>
    <w:r w:rsidR="00CC3558" w:rsidRPr="00A804AF">
      <w:rPr>
        <w:szCs w:val="18"/>
      </w:rPr>
      <w:tab/>
    </w:r>
    <w:r w:rsidR="00CC3558">
      <w:rPr>
        <w:szCs w:val="18"/>
      </w:rPr>
      <w:t>Abbildungen, Bildnachweis</w:t>
    </w:r>
  </w:p>
  <w:p w:rsidR="00CC3558" w:rsidRPr="00A50348" w:rsidRDefault="00CC3558" w:rsidP="00A50348">
    <w:pPr>
      <w:pStyle w:val="Kopfzeil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rsidP="0031488A">
    <w:pPr>
      <w:pStyle w:val="Kopfzeile"/>
      <w:ind w:firstLine="0"/>
      <w:jc w:val="left"/>
      <w:rPr>
        <w:szCs w:val="18"/>
      </w:rPr>
    </w:pPr>
    <w:r>
      <w:rPr>
        <w:szCs w:val="18"/>
      </w:rPr>
      <w:tab/>
      <w:t>Abbildungen, Bildnachweis</w:t>
    </w:r>
    <w:r>
      <w:rPr>
        <w:szCs w:val="18"/>
      </w:rPr>
      <w:tab/>
    </w:r>
    <w:r w:rsidR="005D7996" w:rsidRPr="00507393">
      <w:rPr>
        <w:szCs w:val="18"/>
      </w:rPr>
      <w:fldChar w:fldCharType="begin"/>
    </w:r>
    <w:r w:rsidRPr="00507393">
      <w:rPr>
        <w:szCs w:val="18"/>
      </w:rPr>
      <w:instrText xml:space="preserve"> PAGE   \* MERGEFORMAT </w:instrText>
    </w:r>
    <w:r w:rsidR="005D7996" w:rsidRPr="00507393">
      <w:rPr>
        <w:szCs w:val="18"/>
      </w:rPr>
      <w:fldChar w:fldCharType="separate"/>
    </w:r>
    <w:r>
      <w:rPr>
        <w:noProof/>
        <w:szCs w:val="18"/>
      </w:rPr>
      <w:t>471</w:t>
    </w:r>
    <w:r w:rsidR="005D7996" w:rsidRPr="00507393">
      <w:rPr>
        <w:szCs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C146F0" w:rsidRDefault="00CC3558" w:rsidP="00C146F0">
    <w:pPr>
      <w:pStyle w:val="Kopfzeile"/>
      <w:ind w:firstLine="0"/>
    </w:pPr>
    <w:r>
      <w:rPr>
        <w:szCs w:val="18"/>
      </w:rPr>
      <w:tab/>
      <w:t>Zusammenfassung</w:t>
    </w:r>
    <w:r w:rsidRPr="007A613D">
      <w:rPr>
        <w:szCs w:val="18"/>
      </w:rPr>
      <w:tab/>
    </w:r>
    <w:r w:rsidR="005D7996" w:rsidRPr="007A613D">
      <w:rPr>
        <w:szCs w:val="18"/>
      </w:rPr>
      <w:fldChar w:fldCharType="begin"/>
    </w:r>
    <w:r w:rsidRPr="007A613D">
      <w:rPr>
        <w:szCs w:val="18"/>
      </w:rPr>
      <w:instrText xml:space="preserve"> PAGE   \* MERGEFORMAT </w:instrText>
    </w:r>
    <w:r w:rsidR="005D7996" w:rsidRPr="007A613D">
      <w:rPr>
        <w:szCs w:val="18"/>
      </w:rPr>
      <w:fldChar w:fldCharType="separate"/>
    </w:r>
    <w:r>
      <w:rPr>
        <w:noProof/>
        <w:szCs w:val="18"/>
      </w:rPr>
      <w:t>9</w:t>
    </w:r>
    <w:r w:rsidR="005D7996" w:rsidRPr="007A613D">
      <w:rPr>
        <w:szCs w:val="18"/>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31488A" w:rsidRDefault="005D7996" w:rsidP="0031488A">
    <w:pPr>
      <w:pStyle w:val="Kopfzeile"/>
      <w:ind w:firstLine="0"/>
      <w:jc w:val="left"/>
      <w:rPr>
        <w:szCs w:val="18"/>
      </w:rPr>
    </w:pPr>
    <w:r w:rsidRPr="00A804AF">
      <w:rPr>
        <w:szCs w:val="18"/>
      </w:rPr>
      <w:fldChar w:fldCharType="begin"/>
    </w:r>
    <w:r w:rsidR="00CC3558" w:rsidRPr="00A804AF">
      <w:rPr>
        <w:szCs w:val="18"/>
      </w:rPr>
      <w:instrText xml:space="preserve"> PAGE   \* MERGEFORMAT </w:instrText>
    </w:r>
    <w:r w:rsidRPr="00A804AF">
      <w:rPr>
        <w:szCs w:val="18"/>
      </w:rPr>
      <w:fldChar w:fldCharType="separate"/>
    </w:r>
    <w:r w:rsidR="00CC3558">
      <w:rPr>
        <w:noProof/>
        <w:szCs w:val="18"/>
      </w:rPr>
      <w:t>3</w:t>
    </w:r>
    <w:r w:rsidRPr="00A804AF">
      <w:rPr>
        <w:szCs w:val="18"/>
      </w:rPr>
      <w:fldChar w:fldCharType="end"/>
    </w:r>
    <w:r w:rsidR="00CC3558" w:rsidRPr="00A804AF">
      <w:rPr>
        <w:szCs w:val="18"/>
      </w:rPr>
      <w:tab/>
      <w:t>Abkürzungen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rsidP="0084672A">
    <w:pPr>
      <w:pStyle w:val="Kopfzeile"/>
      <w:ind w:firstLine="0"/>
      <w:rPr>
        <w:szCs w:val="18"/>
      </w:rPr>
    </w:pPr>
    <w:r>
      <w:rPr>
        <w:szCs w:val="18"/>
      </w:rPr>
      <w:tab/>
      <w:t>Abkürzungen</w:t>
    </w:r>
    <w:r w:rsidRPr="00507393">
      <w:rPr>
        <w:szCs w:val="18"/>
      </w:rPr>
      <w:tab/>
    </w:r>
    <w:r w:rsidR="005D7996" w:rsidRPr="00507393">
      <w:rPr>
        <w:szCs w:val="18"/>
      </w:rPr>
      <w:fldChar w:fldCharType="begin"/>
    </w:r>
    <w:r w:rsidRPr="00507393">
      <w:rPr>
        <w:szCs w:val="18"/>
      </w:rPr>
      <w:instrText xml:space="preserve"> PAGE   \* MERGEFORMAT </w:instrText>
    </w:r>
    <w:r w:rsidR="005D7996" w:rsidRPr="00507393">
      <w:rPr>
        <w:szCs w:val="18"/>
      </w:rPr>
      <w:fldChar w:fldCharType="separate"/>
    </w:r>
    <w:r>
      <w:rPr>
        <w:noProof/>
        <w:szCs w:val="18"/>
      </w:rPr>
      <w:t>473</w:t>
    </w:r>
    <w:r w:rsidR="005D7996" w:rsidRPr="00507393">
      <w:rPr>
        <w:szCs w:val="18"/>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0C2B5D" w:rsidRDefault="005D7996" w:rsidP="00F530A4">
    <w:pPr>
      <w:pStyle w:val="Kopfzeile"/>
      <w:ind w:firstLine="0"/>
      <w:jc w:val="left"/>
      <w:rPr>
        <w:szCs w:val="18"/>
      </w:rPr>
    </w:pPr>
    <w:r w:rsidRPr="000C2B5D">
      <w:rPr>
        <w:szCs w:val="18"/>
      </w:rPr>
      <w:fldChar w:fldCharType="begin"/>
    </w:r>
    <w:r w:rsidR="00CC3558" w:rsidRPr="000C2B5D">
      <w:rPr>
        <w:szCs w:val="18"/>
      </w:rPr>
      <w:instrText xml:space="preserve"> PAGE   \* MERGEFORMAT </w:instrText>
    </w:r>
    <w:r w:rsidRPr="000C2B5D">
      <w:rPr>
        <w:szCs w:val="18"/>
      </w:rPr>
      <w:fldChar w:fldCharType="separate"/>
    </w:r>
    <w:r w:rsidR="00F714AB">
      <w:rPr>
        <w:noProof/>
        <w:szCs w:val="18"/>
      </w:rPr>
      <w:t>492</w:t>
    </w:r>
    <w:r w:rsidRPr="000C2B5D">
      <w:rPr>
        <w:szCs w:val="18"/>
      </w:rPr>
      <w:fldChar w:fldCharType="end"/>
    </w:r>
    <w:r w:rsidR="00CC3558" w:rsidRPr="000C2B5D">
      <w:rPr>
        <w:szCs w:val="18"/>
      </w:rPr>
      <w:tab/>
      <w:t>Literatur</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rsidP="0084672A">
    <w:pPr>
      <w:pStyle w:val="Kopfzeile"/>
      <w:ind w:firstLine="0"/>
      <w:rPr>
        <w:szCs w:val="18"/>
      </w:rPr>
    </w:pPr>
    <w:r>
      <w:rPr>
        <w:szCs w:val="18"/>
      </w:rPr>
      <w:tab/>
      <w:t>Literatur</w:t>
    </w:r>
    <w:r w:rsidRPr="00507393">
      <w:rPr>
        <w:szCs w:val="18"/>
      </w:rPr>
      <w:tab/>
    </w:r>
    <w:r w:rsidR="005D7996" w:rsidRPr="00507393">
      <w:rPr>
        <w:szCs w:val="18"/>
      </w:rPr>
      <w:fldChar w:fldCharType="begin"/>
    </w:r>
    <w:r w:rsidRPr="00507393">
      <w:rPr>
        <w:szCs w:val="18"/>
      </w:rPr>
      <w:instrText xml:space="preserve"> PAGE   \* MERGEFORMAT </w:instrText>
    </w:r>
    <w:r w:rsidR="005D7996" w:rsidRPr="00507393">
      <w:rPr>
        <w:szCs w:val="18"/>
      </w:rPr>
      <w:fldChar w:fldCharType="separate"/>
    </w:r>
    <w:r w:rsidR="00F714AB">
      <w:rPr>
        <w:noProof/>
        <w:szCs w:val="18"/>
      </w:rPr>
      <w:t>491</w:t>
    </w:r>
    <w:r w:rsidR="005D7996" w:rsidRPr="00507393">
      <w:rPr>
        <w:szCs w:val="18"/>
      </w:rPr>
      <w:fldChar w:fldCharType="end"/>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pPr>
      <w:pStyle w:val="Kopfzeile"/>
      <w:rPr>
        <w:szCs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0C2B5D" w:rsidRDefault="005D7996" w:rsidP="00B874FC">
    <w:pPr>
      <w:pStyle w:val="Kopfzeile"/>
      <w:ind w:firstLine="0"/>
      <w:jc w:val="left"/>
      <w:rPr>
        <w:szCs w:val="18"/>
      </w:rPr>
    </w:pPr>
    <w:r w:rsidRPr="000C2B5D">
      <w:rPr>
        <w:szCs w:val="18"/>
      </w:rPr>
      <w:fldChar w:fldCharType="begin"/>
    </w:r>
    <w:r w:rsidR="00CC3558" w:rsidRPr="000C2B5D">
      <w:rPr>
        <w:szCs w:val="18"/>
      </w:rPr>
      <w:instrText xml:space="preserve"> PAGE   \* MERGEFORMAT </w:instrText>
    </w:r>
    <w:r w:rsidRPr="000C2B5D">
      <w:rPr>
        <w:szCs w:val="18"/>
      </w:rPr>
      <w:fldChar w:fldCharType="separate"/>
    </w:r>
    <w:r w:rsidR="00F714AB">
      <w:rPr>
        <w:noProof/>
        <w:szCs w:val="18"/>
      </w:rPr>
      <w:t>502</w:t>
    </w:r>
    <w:r w:rsidRPr="000C2B5D">
      <w:rPr>
        <w:szCs w:val="18"/>
      </w:rPr>
      <w:fldChar w:fldCharType="end"/>
    </w:r>
    <w:r w:rsidR="00CC3558" w:rsidRPr="000C2B5D">
      <w:rPr>
        <w:szCs w:val="18"/>
      </w:rPr>
      <w:tab/>
      <w:t>Index</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507393" w:rsidRDefault="00CC3558" w:rsidP="0084672A">
    <w:pPr>
      <w:pStyle w:val="Kopfzeile"/>
      <w:ind w:firstLine="0"/>
      <w:rPr>
        <w:szCs w:val="18"/>
      </w:rPr>
    </w:pPr>
    <w:r>
      <w:rPr>
        <w:szCs w:val="18"/>
      </w:rPr>
      <w:tab/>
      <w:t>Index</w:t>
    </w:r>
    <w:r w:rsidRPr="00507393">
      <w:rPr>
        <w:szCs w:val="18"/>
      </w:rPr>
      <w:tab/>
    </w:r>
    <w:r w:rsidR="005D7996" w:rsidRPr="00507393">
      <w:rPr>
        <w:szCs w:val="18"/>
      </w:rPr>
      <w:fldChar w:fldCharType="begin"/>
    </w:r>
    <w:r w:rsidRPr="00507393">
      <w:rPr>
        <w:szCs w:val="18"/>
      </w:rPr>
      <w:instrText xml:space="preserve"> PAGE   \* MERGEFORMAT </w:instrText>
    </w:r>
    <w:r w:rsidR="005D7996" w:rsidRPr="00507393">
      <w:rPr>
        <w:szCs w:val="18"/>
      </w:rPr>
      <w:fldChar w:fldCharType="separate"/>
    </w:r>
    <w:r w:rsidR="00F714AB">
      <w:rPr>
        <w:noProof/>
        <w:szCs w:val="18"/>
      </w:rPr>
      <w:t>501</w:t>
    </w:r>
    <w:r w:rsidR="005D7996" w:rsidRPr="00507393">
      <w:rPr>
        <w:szCs w:val="1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7A613D" w:rsidRDefault="005D7996" w:rsidP="00726270">
    <w:pPr>
      <w:pStyle w:val="Kopfzeile"/>
      <w:ind w:firstLine="0"/>
      <w:jc w:val="left"/>
      <w:rPr>
        <w:szCs w:val="18"/>
      </w:rPr>
    </w:pPr>
    <w:r w:rsidRPr="007A613D">
      <w:rPr>
        <w:szCs w:val="18"/>
      </w:rPr>
      <w:fldChar w:fldCharType="begin"/>
    </w:r>
    <w:r w:rsidR="00CC3558" w:rsidRPr="007A613D">
      <w:rPr>
        <w:szCs w:val="18"/>
      </w:rPr>
      <w:instrText xml:space="preserve"> PAGE   \* MERGEFORMAT </w:instrText>
    </w:r>
    <w:r w:rsidRPr="007A613D">
      <w:rPr>
        <w:szCs w:val="18"/>
      </w:rPr>
      <w:fldChar w:fldCharType="separate"/>
    </w:r>
    <w:r w:rsidR="00F714AB">
      <w:rPr>
        <w:noProof/>
        <w:szCs w:val="18"/>
      </w:rPr>
      <w:t>14</w:t>
    </w:r>
    <w:r w:rsidRPr="007A613D">
      <w:rPr>
        <w:szCs w:val="18"/>
      </w:rPr>
      <w:fldChar w:fldCharType="end"/>
    </w:r>
    <w:r w:rsidR="00CC3558" w:rsidRPr="007A613D">
      <w:rPr>
        <w:szCs w:val="18"/>
      </w:rPr>
      <w:tab/>
      <w:t>Inhalt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7A613D" w:rsidRDefault="00CC3558" w:rsidP="00420EF4">
    <w:pPr>
      <w:pStyle w:val="Kopfzeile"/>
      <w:ind w:firstLine="0"/>
      <w:rPr>
        <w:szCs w:val="18"/>
      </w:rPr>
    </w:pPr>
    <w:r>
      <w:rPr>
        <w:szCs w:val="18"/>
      </w:rPr>
      <w:tab/>
    </w:r>
    <w:r w:rsidRPr="007A613D">
      <w:rPr>
        <w:szCs w:val="18"/>
      </w:rPr>
      <w:t>Inhalt</w:t>
    </w:r>
    <w:r w:rsidRPr="007A613D">
      <w:rPr>
        <w:szCs w:val="18"/>
      </w:rPr>
      <w:tab/>
    </w:r>
    <w:r w:rsidR="005D7996" w:rsidRPr="007A613D">
      <w:rPr>
        <w:szCs w:val="18"/>
      </w:rPr>
      <w:fldChar w:fldCharType="begin"/>
    </w:r>
    <w:r w:rsidRPr="007A613D">
      <w:rPr>
        <w:szCs w:val="18"/>
      </w:rPr>
      <w:instrText xml:space="preserve"> PAGE   \* MERGEFORMAT </w:instrText>
    </w:r>
    <w:r w:rsidR="005D7996" w:rsidRPr="007A613D">
      <w:rPr>
        <w:szCs w:val="18"/>
      </w:rPr>
      <w:fldChar w:fldCharType="separate"/>
    </w:r>
    <w:r w:rsidR="00F714AB">
      <w:rPr>
        <w:noProof/>
        <w:szCs w:val="18"/>
      </w:rPr>
      <w:t>13</w:t>
    </w:r>
    <w:r w:rsidR="005D7996" w:rsidRPr="007A613D">
      <w:rPr>
        <w:szCs w:val="18"/>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3E7BF9" w:rsidRDefault="00CC3558" w:rsidP="003E7BF9">
    <w:pPr>
      <w:pStyle w:val="Kopfzeile"/>
      <w:rPr>
        <w:szCs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rsidP="00420EF4">
    <w:pPr>
      <w:pStyle w:val="Kopfzeile"/>
      <w:ind w:firstLine="0"/>
    </w:pPr>
    <w:r>
      <w:rPr>
        <w:szCs w:val="18"/>
      </w:rPr>
      <w:t>Danksagung</w:t>
    </w:r>
    <w:r w:rsidRPr="002E4449">
      <w:rPr>
        <w:szCs w:val="18"/>
      </w:rPr>
      <w:tab/>
    </w:r>
    <w:r w:rsidR="005D7996" w:rsidRPr="002E4449">
      <w:rPr>
        <w:szCs w:val="18"/>
      </w:rPr>
      <w:fldChar w:fldCharType="begin"/>
    </w:r>
    <w:r w:rsidRPr="002E4449">
      <w:rPr>
        <w:szCs w:val="18"/>
      </w:rPr>
      <w:instrText xml:space="preserve"> PAGE   \* MERGEFORMAT </w:instrText>
    </w:r>
    <w:r w:rsidR="005D7996" w:rsidRPr="002E4449">
      <w:rPr>
        <w:szCs w:val="18"/>
      </w:rPr>
      <w:fldChar w:fldCharType="separate"/>
    </w:r>
    <w:r>
      <w:rPr>
        <w:noProof/>
        <w:szCs w:val="18"/>
      </w:rPr>
      <w:t>17</w:t>
    </w:r>
    <w:r w:rsidR="005D7996" w:rsidRPr="002E4449">
      <w:rPr>
        <w:szCs w:val="18"/>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Default="00CC3558">
    <w:pPr>
      <w:pStyle w:val="Kopfzeil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58" w:rsidRPr="007A613D" w:rsidRDefault="005D7996" w:rsidP="00726270">
    <w:pPr>
      <w:pStyle w:val="Kopfzeile"/>
      <w:ind w:firstLine="0"/>
      <w:jc w:val="left"/>
      <w:rPr>
        <w:szCs w:val="18"/>
      </w:rPr>
    </w:pPr>
    <w:r w:rsidRPr="007A613D">
      <w:rPr>
        <w:szCs w:val="18"/>
      </w:rPr>
      <w:fldChar w:fldCharType="begin"/>
    </w:r>
    <w:r w:rsidR="00CC3558" w:rsidRPr="007A613D">
      <w:rPr>
        <w:szCs w:val="18"/>
      </w:rPr>
      <w:instrText xml:space="preserve"> PAGE   \* MERGEFORMAT </w:instrText>
    </w:r>
    <w:r w:rsidRPr="007A613D">
      <w:rPr>
        <w:szCs w:val="18"/>
      </w:rPr>
      <w:fldChar w:fldCharType="separate"/>
    </w:r>
    <w:r w:rsidR="00F714AB">
      <w:rPr>
        <w:noProof/>
        <w:szCs w:val="18"/>
      </w:rPr>
      <w:t>18</w:t>
    </w:r>
    <w:r w:rsidRPr="007A613D">
      <w:rPr>
        <w:szCs w:val="18"/>
      </w:rPr>
      <w:fldChar w:fldCharType="end"/>
    </w:r>
    <w:r w:rsidR="00CC3558" w:rsidRPr="007A613D">
      <w:rPr>
        <w:szCs w:val="18"/>
      </w:rPr>
      <w:tab/>
      <w:t>Einleitung</w:t>
    </w:r>
  </w:p>
  <w:p w:rsidR="00CC3558" w:rsidRPr="00A50348" w:rsidRDefault="00CC3558" w:rsidP="00A5034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E61F18"/>
    <w:lvl w:ilvl="0">
      <w:start w:val="1"/>
      <w:numFmt w:val="decimal"/>
      <w:lvlText w:val="%1."/>
      <w:lvlJc w:val="left"/>
      <w:pPr>
        <w:tabs>
          <w:tab w:val="num" w:pos="1492"/>
        </w:tabs>
        <w:ind w:left="1492" w:hanging="360"/>
      </w:pPr>
    </w:lvl>
  </w:abstractNum>
  <w:abstractNum w:abstractNumId="1">
    <w:nsid w:val="FFFFFF7D"/>
    <w:multiLevelType w:val="singleLevel"/>
    <w:tmpl w:val="B4ACD5AC"/>
    <w:lvl w:ilvl="0">
      <w:start w:val="1"/>
      <w:numFmt w:val="decimal"/>
      <w:lvlText w:val="%1."/>
      <w:lvlJc w:val="left"/>
      <w:pPr>
        <w:tabs>
          <w:tab w:val="num" w:pos="1209"/>
        </w:tabs>
        <w:ind w:left="1209" w:hanging="360"/>
      </w:pPr>
    </w:lvl>
  </w:abstractNum>
  <w:abstractNum w:abstractNumId="2">
    <w:nsid w:val="FFFFFF7E"/>
    <w:multiLevelType w:val="singleLevel"/>
    <w:tmpl w:val="C2EA0C7E"/>
    <w:lvl w:ilvl="0">
      <w:start w:val="1"/>
      <w:numFmt w:val="decimal"/>
      <w:lvlText w:val="%1."/>
      <w:lvlJc w:val="left"/>
      <w:pPr>
        <w:tabs>
          <w:tab w:val="num" w:pos="926"/>
        </w:tabs>
        <w:ind w:left="926" w:hanging="360"/>
      </w:pPr>
    </w:lvl>
  </w:abstractNum>
  <w:abstractNum w:abstractNumId="3">
    <w:nsid w:val="FFFFFF7F"/>
    <w:multiLevelType w:val="singleLevel"/>
    <w:tmpl w:val="027EEE76"/>
    <w:lvl w:ilvl="0">
      <w:start w:val="1"/>
      <w:numFmt w:val="decimal"/>
      <w:lvlText w:val="%1."/>
      <w:lvlJc w:val="left"/>
      <w:pPr>
        <w:tabs>
          <w:tab w:val="num" w:pos="643"/>
        </w:tabs>
        <w:ind w:left="643" w:hanging="360"/>
      </w:pPr>
    </w:lvl>
  </w:abstractNum>
  <w:abstractNum w:abstractNumId="4">
    <w:nsid w:val="FFFFFF80"/>
    <w:multiLevelType w:val="singleLevel"/>
    <w:tmpl w:val="970878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829D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42EB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CEEF24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C52CB9AE"/>
    <w:lvl w:ilvl="0">
      <w:start w:val="1"/>
      <w:numFmt w:val="decimal"/>
      <w:lvlText w:val="%1."/>
      <w:lvlJc w:val="left"/>
      <w:pPr>
        <w:tabs>
          <w:tab w:val="num" w:pos="360"/>
        </w:tabs>
        <w:ind w:left="360" w:hanging="360"/>
      </w:pPr>
    </w:lvl>
  </w:abstractNum>
  <w:abstractNum w:abstractNumId="9">
    <w:nsid w:val="FFFFFF89"/>
    <w:multiLevelType w:val="singleLevel"/>
    <w:tmpl w:val="F46A0D2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E08CEAAA"/>
    <w:lvl w:ilvl="0">
      <w:start w:val="1"/>
      <w:numFmt w:val="decimal"/>
      <w:pStyle w:val="Titel"/>
      <w:suff w:val="space"/>
      <w:lvlText w:val="Kapitel %1: "/>
      <w:lvlJc w:val="left"/>
      <w:pPr>
        <w:ind w:left="432" w:hanging="432"/>
      </w:pPr>
      <w:rPr>
        <w:rFonts w:hint="default"/>
        <w:lang w:val="de-DE"/>
      </w:rPr>
    </w:lvl>
    <w:lvl w:ilvl="1">
      <w:start w:val="1"/>
      <w:numFmt w:val="decimal"/>
      <w:pStyle w:val="Titel2"/>
      <w:lvlText w:val="%1.%2"/>
      <w:lvlJc w:val="left"/>
      <w:pPr>
        <w:tabs>
          <w:tab w:val="num" w:pos="1427"/>
        </w:tabs>
        <w:ind w:left="1427" w:hanging="576"/>
      </w:pPr>
      <w:rPr>
        <w:rFonts w:hint="default"/>
        <w:lang w:val="de-DE"/>
      </w:rPr>
    </w:lvl>
    <w:lvl w:ilvl="2">
      <w:start w:val="1"/>
      <w:numFmt w:val="decimal"/>
      <w:pStyle w:val="Titel3"/>
      <w:lvlText w:val="%1.%2.%3"/>
      <w:lvlJc w:val="left"/>
      <w:pPr>
        <w:tabs>
          <w:tab w:val="num" w:pos="720"/>
        </w:tabs>
        <w:ind w:left="720" w:hanging="720"/>
      </w:pPr>
      <w:rPr>
        <w:rFonts w:hint="default"/>
      </w:rPr>
    </w:lvl>
    <w:lvl w:ilvl="3">
      <w:start w:val="1"/>
      <w:numFmt w:val="decimal"/>
      <w:pStyle w:val="Titel5"/>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04618FC"/>
    <w:multiLevelType w:val="hybridMultilevel"/>
    <w:tmpl w:val="46E8ABF8"/>
    <w:lvl w:ilvl="0" w:tplc="6A50DC84">
      <w:start w:val="1"/>
      <w:numFmt w:val="decimal"/>
      <w:lvlText w:val="Kapitel %1:"/>
      <w:lvlJc w:val="left"/>
      <w:pPr>
        <w:tabs>
          <w:tab w:val="num" w:pos="180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0F170C52"/>
    <w:multiLevelType w:val="hybridMultilevel"/>
    <w:tmpl w:val="8CEA6BF0"/>
    <w:lvl w:ilvl="0" w:tplc="0714CC3E">
      <w:start w:val="1"/>
      <w:numFmt w:val="decimal"/>
      <w:pStyle w:val="NrListe"/>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33B757A"/>
    <w:multiLevelType w:val="multilevel"/>
    <w:tmpl w:val="1FC64BAC"/>
    <w:lvl w:ilvl="0">
      <w:start w:val="1"/>
      <w:numFmt w:val="decimal"/>
      <w:suff w:val="space"/>
      <w:lvlText w:val="Kapitel %1: "/>
      <w:lvlJc w:val="left"/>
      <w:pPr>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pStyle w:val="Titel4"/>
      <w:lvlText w:val="%1.%2.%3"/>
      <w:lvlJc w:val="left"/>
      <w:pPr>
        <w:tabs>
          <w:tab w:val="num" w:pos="720"/>
        </w:tabs>
        <w:ind w:left="720" w:hanging="720"/>
      </w:pPr>
      <w:rPr>
        <w:rFonts w:hint="default"/>
      </w:rPr>
    </w:lvl>
    <w:lvl w:ilvl="3">
      <w:start w:val="1"/>
      <w:numFmt w:val="decimal"/>
      <w:pStyle w:val="Tit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95806F2"/>
    <w:multiLevelType w:val="multilevel"/>
    <w:tmpl w:val="5CDAA0A0"/>
    <w:lvl w:ilvl="0">
      <w:start w:val="1"/>
      <w:numFmt w:val="decimal"/>
      <w:suff w:val="space"/>
      <w:lvlText w:val="Kapitel %1: "/>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hideSpellingErrors/>
  <w:attachedTemplate r:id="rId1"/>
  <w:stylePaneFormatFilter w:val="3F01"/>
  <w:defaultTabStop w:val="709"/>
  <w:autoHyphenation/>
  <w:consecutiveHyphenLimit w:val="4"/>
  <w:hyphenationZone w:val="397"/>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36802">
      <o:colormenu v:ext="edit" fillcolor="none" strokecolor="none [1]" shadowcolor="none [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2554C"/>
    <w:rsid w:val="00000664"/>
    <w:rsid w:val="000006B4"/>
    <w:rsid w:val="000007EA"/>
    <w:rsid w:val="00000A8F"/>
    <w:rsid w:val="00000DA2"/>
    <w:rsid w:val="0000110E"/>
    <w:rsid w:val="00001323"/>
    <w:rsid w:val="00001433"/>
    <w:rsid w:val="000016FA"/>
    <w:rsid w:val="00001795"/>
    <w:rsid w:val="00001C07"/>
    <w:rsid w:val="00001DE0"/>
    <w:rsid w:val="00001FBF"/>
    <w:rsid w:val="0000217A"/>
    <w:rsid w:val="0000218A"/>
    <w:rsid w:val="00002401"/>
    <w:rsid w:val="00002416"/>
    <w:rsid w:val="00002607"/>
    <w:rsid w:val="0000273B"/>
    <w:rsid w:val="00002788"/>
    <w:rsid w:val="00002A85"/>
    <w:rsid w:val="00002D98"/>
    <w:rsid w:val="0000342F"/>
    <w:rsid w:val="000035B2"/>
    <w:rsid w:val="000035F4"/>
    <w:rsid w:val="00003915"/>
    <w:rsid w:val="0000393A"/>
    <w:rsid w:val="000039D1"/>
    <w:rsid w:val="00003BF4"/>
    <w:rsid w:val="00003C28"/>
    <w:rsid w:val="00003DAF"/>
    <w:rsid w:val="00003E54"/>
    <w:rsid w:val="00003E77"/>
    <w:rsid w:val="00003EB6"/>
    <w:rsid w:val="00003F87"/>
    <w:rsid w:val="000040F5"/>
    <w:rsid w:val="0000410E"/>
    <w:rsid w:val="00004153"/>
    <w:rsid w:val="0000422B"/>
    <w:rsid w:val="000044D1"/>
    <w:rsid w:val="000046A6"/>
    <w:rsid w:val="000046E7"/>
    <w:rsid w:val="0000480D"/>
    <w:rsid w:val="00004AA9"/>
    <w:rsid w:val="00004D64"/>
    <w:rsid w:val="00004DE2"/>
    <w:rsid w:val="00004E23"/>
    <w:rsid w:val="00004FF7"/>
    <w:rsid w:val="000053D6"/>
    <w:rsid w:val="00005586"/>
    <w:rsid w:val="0000562A"/>
    <w:rsid w:val="0000563E"/>
    <w:rsid w:val="000059E5"/>
    <w:rsid w:val="00005B53"/>
    <w:rsid w:val="00005CF4"/>
    <w:rsid w:val="00005EF6"/>
    <w:rsid w:val="00005FDE"/>
    <w:rsid w:val="00006011"/>
    <w:rsid w:val="00006304"/>
    <w:rsid w:val="00006397"/>
    <w:rsid w:val="00006431"/>
    <w:rsid w:val="0000646C"/>
    <w:rsid w:val="000064C2"/>
    <w:rsid w:val="000064E8"/>
    <w:rsid w:val="00006612"/>
    <w:rsid w:val="000066C7"/>
    <w:rsid w:val="00006A5A"/>
    <w:rsid w:val="00006C52"/>
    <w:rsid w:val="00006D73"/>
    <w:rsid w:val="00007698"/>
    <w:rsid w:val="00007858"/>
    <w:rsid w:val="00007AF5"/>
    <w:rsid w:val="00007F09"/>
    <w:rsid w:val="00007F63"/>
    <w:rsid w:val="0001007B"/>
    <w:rsid w:val="00010106"/>
    <w:rsid w:val="0001012F"/>
    <w:rsid w:val="00010312"/>
    <w:rsid w:val="0001078F"/>
    <w:rsid w:val="00010996"/>
    <w:rsid w:val="00010B92"/>
    <w:rsid w:val="00010C56"/>
    <w:rsid w:val="00010D55"/>
    <w:rsid w:val="00011464"/>
    <w:rsid w:val="000118D1"/>
    <w:rsid w:val="00011A37"/>
    <w:rsid w:val="00011BA9"/>
    <w:rsid w:val="00011BF1"/>
    <w:rsid w:val="00012512"/>
    <w:rsid w:val="00012848"/>
    <w:rsid w:val="00012987"/>
    <w:rsid w:val="00012BC1"/>
    <w:rsid w:val="00012DB9"/>
    <w:rsid w:val="00012E2D"/>
    <w:rsid w:val="000130D9"/>
    <w:rsid w:val="000131E3"/>
    <w:rsid w:val="0001363F"/>
    <w:rsid w:val="000137DF"/>
    <w:rsid w:val="000139BC"/>
    <w:rsid w:val="00013B37"/>
    <w:rsid w:val="00013B84"/>
    <w:rsid w:val="00013B9A"/>
    <w:rsid w:val="00013EEE"/>
    <w:rsid w:val="000140B0"/>
    <w:rsid w:val="00014186"/>
    <w:rsid w:val="0001440C"/>
    <w:rsid w:val="000144B8"/>
    <w:rsid w:val="000144E3"/>
    <w:rsid w:val="00014591"/>
    <w:rsid w:val="000145AF"/>
    <w:rsid w:val="00014742"/>
    <w:rsid w:val="0001488F"/>
    <w:rsid w:val="00014934"/>
    <w:rsid w:val="00014A32"/>
    <w:rsid w:val="00014AE9"/>
    <w:rsid w:val="00014C94"/>
    <w:rsid w:val="00014CBF"/>
    <w:rsid w:val="00014CCA"/>
    <w:rsid w:val="00014F87"/>
    <w:rsid w:val="000152C1"/>
    <w:rsid w:val="000153D3"/>
    <w:rsid w:val="00015531"/>
    <w:rsid w:val="000158BE"/>
    <w:rsid w:val="00015942"/>
    <w:rsid w:val="000167E4"/>
    <w:rsid w:val="0001690B"/>
    <w:rsid w:val="00016AB2"/>
    <w:rsid w:val="00016B6E"/>
    <w:rsid w:val="00016C49"/>
    <w:rsid w:val="00016C6A"/>
    <w:rsid w:val="00016FB6"/>
    <w:rsid w:val="0001707D"/>
    <w:rsid w:val="000170E0"/>
    <w:rsid w:val="0001718E"/>
    <w:rsid w:val="0001740D"/>
    <w:rsid w:val="000174BC"/>
    <w:rsid w:val="0001768F"/>
    <w:rsid w:val="0001775D"/>
    <w:rsid w:val="00017886"/>
    <w:rsid w:val="000178CC"/>
    <w:rsid w:val="00017CA0"/>
    <w:rsid w:val="00017D4D"/>
    <w:rsid w:val="00017E2A"/>
    <w:rsid w:val="00017F51"/>
    <w:rsid w:val="000203A4"/>
    <w:rsid w:val="00020B4B"/>
    <w:rsid w:val="00020BC7"/>
    <w:rsid w:val="00020F3B"/>
    <w:rsid w:val="000210BF"/>
    <w:rsid w:val="0002135B"/>
    <w:rsid w:val="00021547"/>
    <w:rsid w:val="000216C9"/>
    <w:rsid w:val="00021742"/>
    <w:rsid w:val="00021936"/>
    <w:rsid w:val="000219AA"/>
    <w:rsid w:val="00021DE2"/>
    <w:rsid w:val="00021EB5"/>
    <w:rsid w:val="00021F11"/>
    <w:rsid w:val="00022700"/>
    <w:rsid w:val="000228D7"/>
    <w:rsid w:val="00022BF8"/>
    <w:rsid w:val="00022D0A"/>
    <w:rsid w:val="00022E91"/>
    <w:rsid w:val="000232FB"/>
    <w:rsid w:val="00023483"/>
    <w:rsid w:val="00023522"/>
    <w:rsid w:val="0002370C"/>
    <w:rsid w:val="00023765"/>
    <w:rsid w:val="00023850"/>
    <w:rsid w:val="0002385D"/>
    <w:rsid w:val="00023864"/>
    <w:rsid w:val="00023869"/>
    <w:rsid w:val="00024183"/>
    <w:rsid w:val="0002437F"/>
    <w:rsid w:val="00024BDF"/>
    <w:rsid w:val="00024DF4"/>
    <w:rsid w:val="00024F7D"/>
    <w:rsid w:val="000251D9"/>
    <w:rsid w:val="0002541C"/>
    <w:rsid w:val="0002543E"/>
    <w:rsid w:val="00025611"/>
    <w:rsid w:val="00025716"/>
    <w:rsid w:val="0002598E"/>
    <w:rsid w:val="00025A71"/>
    <w:rsid w:val="00025C73"/>
    <w:rsid w:val="00025D0A"/>
    <w:rsid w:val="00025E7D"/>
    <w:rsid w:val="0002602F"/>
    <w:rsid w:val="000260ED"/>
    <w:rsid w:val="00026313"/>
    <w:rsid w:val="00026327"/>
    <w:rsid w:val="00026444"/>
    <w:rsid w:val="000264EA"/>
    <w:rsid w:val="000264FF"/>
    <w:rsid w:val="00026583"/>
    <w:rsid w:val="000266DC"/>
    <w:rsid w:val="0002678D"/>
    <w:rsid w:val="00026974"/>
    <w:rsid w:val="00026CCF"/>
    <w:rsid w:val="00026ECA"/>
    <w:rsid w:val="00026F53"/>
    <w:rsid w:val="00026FBB"/>
    <w:rsid w:val="000271C3"/>
    <w:rsid w:val="000271EF"/>
    <w:rsid w:val="00027206"/>
    <w:rsid w:val="00027252"/>
    <w:rsid w:val="00027390"/>
    <w:rsid w:val="000273F6"/>
    <w:rsid w:val="00027694"/>
    <w:rsid w:val="00027756"/>
    <w:rsid w:val="0002781B"/>
    <w:rsid w:val="000279EE"/>
    <w:rsid w:val="000302CE"/>
    <w:rsid w:val="00030489"/>
    <w:rsid w:val="0003068F"/>
    <w:rsid w:val="000306E9"/>
    <w:rsid w:val="00030A7F"/>
    <w:rsid w:val="00030E3C"/>
    <w:rsid w:val="00030F35"/>
    <w:rsid w:val="000313F5"/>
    <w:rsid w:val="000317B1"/>
    <w:rsid w:val="00031A40"/>
    <w:rsid w:val="00031BA5"/>
    <w:rsid w:val="00031BD7"/>
    <w:rsid w:val="00031F82"/>
    <w:rsid w:val="00032168"/>
    <w:rsid w:val="00032353"/>
    <w:rsid w:val="00032696"/>
    <w:rsid w:val="0003289B"/>
    <w:rsid w:val="00032CBA"/>
    <w:rsid w:val="00032CEE"/>
    <w:rsid w:val="00032FD3"/>
    <w:rsid w:val="0003301B"/>
    <w:rsid w:val="000331A1"/>
    <w:rsid w:val="0003323F"/>
    <w:rsid w:val="00033336"/>
    <w:rsid w:val="00033387"/>
    <w:rsid w:val="00033636"/>
    <w:rsid w:val="00033642"/>
    <w:rsid w:val="000337FF"/>
    <w:rsid w:val="0003382E"/>
    <w:rsid w:val="0003391B"/>
    <w:rsid w:val="00034581"/>
    <w:rsid w:val="0003487D"/>
    <w:rsid w:val="00034AB0"/>
    <w:rsid w:val="00034C57"/>
    <w:rsid w:val="00034DC2"/>
    <w:rsid w:val="00034E12"/>
    <w:rsid w:val="00034EC4"/>
    <w:rsid w:val="0003516F"/>
    <w:rsid w:val="0003530D"/>
    <w:rsid w:val="000354D3"/>
    <w:rsid w:val="000357EF"/>
    <w:rsid w:val="00035864"/>
    <w:rsid w:val="00035CBA"/>
    <w:rsid w:val="000361BA"/>
    <w:rsid w:val="00036468"/>
    <w:rsid w:val="0003694C"/>
    <w:rsid w:val="00036B7A"/>
    <w:rsid w:val="0003707F"/>
    <w:rsid w:val="00037138"/>
    <w:rsid w:val="000372F3"/>
    <w:rsid w:val="0003769D"/>
    <w:rsid w:val="0003777B"/>
    <w:rsid w:val="000377AE"/>
    <w:rsid w:val="00037A3C"/>
    <w:rsid w:val="00037ABC"/>
    <w:rsid w:val="00037B02"/>
    <w:rsid w:val="00037BA0"/>
    <w:rsid w:val="00037E2C"/>
    <w:rsid w:val="00037E36"/>
    <w:rsid w:val="00037EDC"/>
    <w:rsid w:val="000403C3"/>
    <w:rsid w:val="000405D2"/>
    <w:rsid w:val="000406EE"/>
    <w:rsid w:val="000409E4"/>
    <w:rsid w:val="00040AB8"/>
    <w:rsid w:val="00040B67"/>
    <w:rsid w:val="00040BAA"/>
    <w:rsid w:val="00040C67"/>
    <w:rsid w:val="000411D7"/>
    <w:rsid w:val="000414BE"/>
    <w:rsid w:val="0004162E"/>
    <w:rsid w:val="0004176D"/>
    <w:rsid w:val="0004189C"/>
    <w:rsid w:val="00041DCC"/>
    <w:rsid w:val="00041F30"/>
    <w:rsid w:val="0004203D"/>
    <w:rsid w:val="00042091"/>
    <w:rsid w:val="00042279"/>
    <w:rsid w:val="00042293"/>
    <w:rsid w:val="00042464"/>
    <w:rsid w:val="000425F5"/>
    <w:rsid w:val="000426A0"/>
    <w:rsid w:val="000426C3"/>
    <w:rsid w:val="000428CF"/>
    <w:rsid w:val="00042977"/>
    <w:rsid w:val="00042C7F"/>
    <w:rsid w:val="00042CD3"/>
    <w:rsid w:val="00042E23"/>
    <w:rsid w:val="00042FD8"/>
    <w:rsid w:val="000430C5"/>
    <w:rsid w:val="0004326F"/>
    <w:rsid w:val="000433A6"/>
    <w:rsid w:val="000433CA"/>
    <w:rsid w:val="0004379A"/>
    <w:rsid w:val="00043ABB"/>
    <w:rsid w:val="000440A5"/>
    <w:rsid w:val="0004411F"/>
    <w:rsid w:val="00044154"/>
    <w:rsid w:val="00044164"/>
    <w:rsid w:val="00044241"/>
    <w:rsid w:val="000442F0"/>
    <w:rsid w:val="00044426"/>
    <w:rsid w:val="00044487"/>
    <w:rsid w:val="00044663"/>
    <w:rsid w:val="00044927"/>
    <w:rsid w:val="000449D3"/>
    <w:rsid w:val="00044AC0"/>
    <w:rsid w:val="00044B3D"/>
    <w:rsid w:val="00044CD3"/>
    <w:rsid w:val="0004521A"/>
    <w:rsid w:val="000452E7"/>
    <w:rsid w:val="00045377"/>
    <w:rsid w:val="0004544E"/>
    <w:rsid w:val="00045830"/>
    <w:rsid w:val="000458BB"/>
    <w:rsid w:val="000458C6"/>
    <w:rsid w:val="00045D28"/>
    <w:rsid w:val="00045D72"/>
    <w:rsid w:val="00045F52"/>
    <w:rsid w:val="000460E0"/>
    <w:rsid w:val="00046B72"/>
    <w:rsid w:val="00046E29"/>
    <w:rsid w:val="00046FEE"/>
    <w:rsid w:val="00047077"/>
    <w:rsid w:val="000470BB"/>
    <w:rsid w:val="000472C0"/>
    <w:rsid w:val="000472E3"/>
    <w:rsid w:val="00047A29"/>
    <w:rsid w:val="00047A83"/>
    <w:rsid w:val="00047C51"/>
    <w:rsid w:val="00047D39"/>
    <w:rsid w:val="000500F7"/>
    <w:rsid w:val="00050276"/>
    <w:rsid w:val="0005029C"/>
    <w:rsid w:val="000507CE"/>
    <w:rsid w:val="0005098F"/>
    <w:rsid w:val="00051537"/>
    <w:rsid w:val="000516D2"/>
    <w:rsid w:val="00051998"/>
    <w:rsid w:val="00051DD6"/>
    <w:rsid w:val="00051E78"/>
    <w:rsid w:val="00051F33"/>
    <w:rsid w:val="00051F42"/>
    <w:rsid w:val="00052061"/>
    <w:rsid w:val="000524BF"/>
    <w:rsid w:val="00052728"/>
    <w:rsid w:val="00052B4D"/>
    <w:rsid w:val="00052CDA"/>
    <w:rsid w:val="00052F17"/>
    <w:rsid w:val="000532AB"/>
    <w:rsid w:val="0005381B"/>
    <w:rsid w:val="00053AE9"/>
    <w:rsid w:val="00053D1F"/>
    <w:rsid w:val="00053D9D"/>
    <w:rsid w:val="00053E85"/>
    <w:rsid w:val="00053F9A"/>
    <w:rsid w:val="00053FD8"/>
    <w:rsid w:val="00054012"/>
    <w:rsid w:val="00054267"/>
    <w:rsid w:val="0005426A"/>
    <w:rsid w:val="00054357"/>
    <w:rsid w:val="00054610"/>
    <w:rsid w:val="00054687"/>
    <w:rsid w:val="0005483E"/>
    <w:rsid w:val="00054846"/>
    <w:rsid w:val="00054895"/>
    <w:rsid w:val="00054C14"/>
    <w:rsid w:val="00054D24"/>
    <w:rsid w:val="00054D2D"/>
    <w:rsid w:val="00055025"/>
    <w:rsid w:val="000550FB"/>
    <w:rsid w:val="0005524F"/>
    <w:rsid w:val="000554D7"/>
    <w:rsid w:val="000556A6"/>
    <w:rsid w:val="0005584C"/>
    <w:rsid w:val="00055AD2"/>
    <w:rsid w:val="00055C7A"/>
    <w:rsid w:val="00055C8B"/>
    <w:rsid w:val="00055EE3"/>
    <w:rsid w:val="00056361"/>
    <w:rsid w:val="000568BA"/>
    <w:rsid w:val="00056ED4"/>
    <w:rsid w:val="00057087"/>
    <w:rsid w:val="0005731E"/>
    <w:rsid w:val="000573CA"/>
    <w:rsid w:val="00057518"/>
    <w:rsid w:val="000577D8"/>
    <w:rsid w:val="00057ABA"/>
    <w:rsid w:val="00057D0E"/>
    <w:rsid w:val="00057E07"/>
    <w:rsid w:val="000602FC"/>
    <w:rsid w:val="0006038C"/>
    <w:rsid w:val="00060531"/>
    <w:rsid w:val="0006068B"/>
    <w:rsid w:val="00060703"/>
    <w:rsid w:val="00060B7E"/>
    <w:rsid w:val="00060BFF"/>
    <w:rsid w:val="00060CFC"/>
    <w:rsid w:val="00060D51"/>
    <w:rsid w:val="00060D5A"/>
    <w:rsid w:val="00060E80"/>
    <w:rsid w:val="000611E3"/>
    <w:rsid w:val="000618BE"/>
    <w:rsid w:val="0006190B"/>
    <w:rsid w:val="00061DE6"/>
    <w:rsid w:val="00062239"/>
    <w:rsid w:val="000623C8"/>
    <w:rsid w:val="000623FF"/>
    <w:rsid w:val="00062D6E"/>
    <w:rsid w:val="00062DF8"/>
    <w:rsid w:val="00062FBE"/>
    <w:rsid w:val="0006308C"/>
    <w:rsid w:val="000630F8"/>
    <w:rsid w:val="0006310C"/>
    <w:rsid w:val="00063208"/>
    <w:rsid w:val="000632DD"/>
    <w:rsid w:val="00063472"/>
    <w:rsid w:val="000636F1"/>
    <w:rsid w:val="00063CD7"/>
    <w:rsid w:val="00063D62"/>
    <w:rsid w:val="00063E04"/>
    <w:rsid w:val="00063EE2"/>
    <w:rsid w:val="00063F3C"/>
    <w:rsid w:val="000640C1"/>
    <w:rsid w:val="000641CC"/>
    <w:rsid w:val="000642B6"/>
    <w:rsid w:val="000642FC"/>
    <w:rsid w:val="0006461E"/>
    <w:rsid w:val="00064830"/>
    <w:rsid w:val="00064ADD"/>
    <w:rsid w:val="00064B74"/>
    <w:rsid w:val="00065076"/>
    <w:rsid w:val="000652BB"/>
    <w:rsid w:val="000653D0"/>
    <w:rsid w:val="0006557C"/>
    <w:rsid w:val="000656FF"/>
    <w:rsid w:val="000657DE"/>
    <w:rsid w:val="00065BFB"/>
    <w:rsid w:val="00065D17"/>
    <w:rsid w:val="00065EEA"/>
    <w:rsid w:val="00066373"/>
    <w:rsid w:val="000665E0"/>
    <w:rsid w:val="000666CA"/>
    <w:rsid w:val="00066735"/>
    <w:rsid w:val="00066E62"/>
    <w:rsid w:val="00066E70"/>
    <w:rsid w:val="00066F84"/>
    <w:rsid w:val="00066F86"/>
    <w:rsid w:val="00066FDF"/>
    <w:rsid w:val="00067115"/>
    <w:rsid w:val="000671DE"/>
    <w:rsid w:val="00067223"/>
    <w:rsid w:val="00067546"/>
    <w:rsid w:val="0006782E"/>
    <w:rsid w:val="0006790A"/>
    <w:rsid w:val="00067AF2"/>
    <w:rsid w:val="00067D04"/>
    <w:rsid w:val="00067D9E"/>
    <w:rsid w:val="00067DB0"/>
    <w:rsid w:val="00067E99"/>
    <w:rsid w:val="00067EE0"/>
    <w:rsid w:val="000702DC"/>
    <w:rsid w:val="00070580"/>
    <w:rsid w:val="0007072A"/>
    <w:rsid w:val="00070A8E"/>
    <w:rsid w:val="00070AF3"/>
    <w:rsid w:val="00070B7A"/>
    <w:rsid w:val="00070E6F"/>
    <w:rsid w:val="00070F48"/>
    <w:rsid w:val="000713C1"/>
    <w:rsid w:val="000714B1"/>
    <w:rsid w:val="000714C1"/>
    <w:rsid w:val="00071568"/>
    <w:rsid w:val="0007180E"/>
    <w:rsid w:val="00071A97"/>
    <w:rsid w:val="00071AAF"/>
    <w:rsid w:val="00071B85"/>
    <w:rsid w:val="00071D9D"/>
    <w:rsid w:val="00072067"/>
    <w:rsid w:val="00072259"/>
    <w:rsid w:val="000723E3"/>
    <w:rsid w:val="00072587"/>
    <w:rsid w:val="000727B5"/>
    <w:rsid w:val="00072835"/>
    <w:rsid w:val="000729B7"/>
    <w:rsid w:val="00072A76"/>
    <w:rsid w:val="00072F06"/>
    <w:rsid w:val="00073099"/>
    <w:rsid w:val="00073483"/>
    <w:rsid w:val="00073558"/>
    <w:rsid w:val="00073649"/>
    <w:rsid w:val="00073A49"/>
    <w:rsid w:val="00073B88"/>
    <w:rsid w:val="00073C88"/>
    <w:rsid w:val="00073CD8"/>
    <w:rsid w:val="00073DE8"/>
    <w:rsid w:val="00074268"/>
    <w:rsid w:val="00074592"/>
    <w:rsid w:val="000749D0"/>
    <w:rsid w:val="00074BA4"/>
    <w:rsid w:val="00074F31"/>
    <w:rsid w:val="00074F9D"/>
    <w:rsid w:val="00074FBC"/>
    <w:rsid w:val="000750F9"/>
    <w:rsid w:val="000751DD"/>
    <w:rsid w:val="00075590"/>
    <w:rsid w:val="000756CF"/>
    <w:rsid w:val="000758A4"/>
    <w:rsid w:val="000758D7"/>
    <w:rsid w:val="00075DCC"/>
    <w:rsid w:val="00075E02"/>
    <w:rsid w:val="00076042"/>
    <w:rsid w:val="00076295"/>
    <w:rsid w:val="000762B4"/>
    <w:rsid w:val="000765B4"/>
    <w:rsid w:val="00076707"/>
    <w:rsid w:val="00076C0C"/>
    <w:rsid w:val="00076C95"/>
    <w:rsid w:val="0007718B"/>
    <w:rsid w:val="0007784A"/>
    <w:rsid w:val="000778AC"/>
    <w:rsid w:val="00077BA0"/>
    <w:rsid w:val="00077BE1"/>
    <w:rsid w:val="00077D0E"/>
    <w:rsid w:val="00077D9B"/>
    <w:rsid w:val="00077DC3"/>
    <w:rsid w:val="00080032"/>
    <w:rsid w:val="000804F8"/>
    <w:rsid w:val="00080615"/>
    <w:rsid w:val="0008073D"/>
    <w:rsid w:val="00080775"/>
    <w:rsid w:val="000808D9"/>
    <w:rsid w:val="00080919"/>
    <w:rsid w:val="000809EF"/>
    <w:rsid w:val="00080C24"/>
    <w:rsid w:val="00080C47"/>
    <w:rsid w:val="00080D98"/>
    <w:rsid w:val="00080FD2"/>
    <w:rsid w:val="000810A2"/>
    <w:rsid w:val="000811F3"/>
    <w:rsid w:val="00081207"/>
    <w:rsid w:val="0008128E"/>
    <w:rsid w:val="000815D9"/>
    <w:rsid w:val="000815F8"/>
    <w:rsid w:val="00081AA5"/>
    <w:rsid w:val="00081DA8"/>
    <w:rsid w:val="0008264D"/>
    <w:rsid w:val="00082833"/>
    <w:rsid w:val="0008289F"/>
    <w:rsid w:val="000828D9"/>
    <w:rsid w:val="00082C66"/>
    <w:rsid w:val="00082DBE"/>
    <w:rsid w:val="00083023"/>
    <w:rsid w:val="0008330E"/>
    <w:rsid w:val="0008357D"/>
    <w:rsid w:val="000835F3"/>
    <w:rsid w:val="00083648"/>
    <w:rsid w:val="000838CA"/>
    <w:rsid w:val="00083AF6"/>
    <w:rsid w:val="00083B7D"/>
    <w:rsid w:val="00083D2B"/>
    <w:rsid w:val="00083DE5"/>
    <w:rsid w:val="00083E2F"/>
    <w:rsid w:val="0008441D"/>
    <w:rsid w:val="00084C7B"/>
    <w:rsid w:val="00084EA1"/>
    <w:rsid w:val="00084EE0"/>
    <w:rsid w:val="000850DB"/>
    <w:rsid w:val="0008520E"/>
    <w:rsid w:val="00085315"/>
    <w:rsid w:val="00085320"/>
    <w:rsid w:val="0008540D"/>
    <w:rsid w:val="00085497"/>
    <w:rsid w:val="000855A9"/>
    <w:rsid w:val="00085715"/>
    <w:rsid w:val="00085728"/>
    <w:rsid w:val="000858C2"/>
    <w:rsid w:val="000859B2"/>
    <w:rsid w:val="00085C0E"/>
    <w:rsid w:val="00086125"/>
    <w:rsid w:val="00086315"/>
    <w:rsid w:val="00086637"/>
    <w:rsid w:val="000867BD"/>
    <w:rsid w:val="00086A8A"/>
    <w:rsid w:val="00086A98"/>
    <w:rsid w:val="00086B50"/>
    <w:rsid w:val="00086C11"/>
    <w:rsid w:val="00086D46"/>
    <w:rsid w:val="00086FEF"/>
    <w:rsid w:val="0008721B"/>
    <w:rsid w:val="0008733D"/>
    <w:rsid w:val="00087512"/>
    <w:rsid w:val="000875A6"/>
    <w:rsid w:val="00087694"/>
    <w:rsid w:val="00087ECD"/>
    <w:rsid w:val="000900DB"/>
    <w:rsid w:val="00090580"/>
    <w:rsid w:val="00090832"/>
    <w:rsid w:val="0009097E"/>
    <w:rsid w:val="00090B19"/>
    <w:rsid w:val="00090C24"/>
    <w:rsid w:val="00090C2A"/>
    <w:rsid w:val="00090EA0"/>
    <w:rsid w:val="00091198"/>
    <w:rsid w:val="0009144C"/>
    <w:rsid w:val="00091629"/>
    <w:rsid w:val="000918C6"/>
    <w:rsid w:val="000918F6"/>
    <w:rsid w:val="00091BBD"/>
    <w:rsid w:val="00091DE9"/>
    <w:rsid w:val="00091E54"/>
    <w:rsid w:val="00092164"/>
    <w:rsid w:val="00092361"/>
    <w:rsid w:val="00092395"/>
    <w:rsid w:val="000923AE"/>
    <w:rsid w:val="000924B8"/>
    <w:rsid w:val="000925B3"/>
    <w:rsid w:val="00092A0B"/>
    <w:rsid w:val="00093006"/>
    <w:rsid w:val="00093123"/>
    <w:rsid w:val="000932B0"/>
    <w:rsid w:val="0009333A"/>
    <w:rsid w:val="00093341"/>
    <w:rsid w:val="000934FB"/>
    <w:rsid w:val="00093768"/>
    <w:rsid w:val="00093896"/>
    <w:rsid w:val="00093A2E"/>
    <w:rsid w:val="00093C0B"/>
    <w:rsid w:val="00093D54"/>
    <w:rsid w:val="000940FD"/>
    <w:rsid w:val="00094397"/>
    <w:rsid w:val="0009450A"/>
    <w:rsid w:val="000947D5"/>
    <w:rsid w:val="00094803"/>
    <w:rsid w:val="00094B2A"/>
    <w:rsid w:val="00094B7A"/>
    <w:rsid w:val="00094E27"/>
    <w:rsid w:val="00094EC6"/>
    <w:rsid w:val="00095274"/>
    <w:rsid w:val="000956CF"/>
    <w:rsid w:val="000956EE"/>
    <w:rsid w:val="00095AC2"/>
    <w:rsid w:val="00095D93"/>
    <w:rsid w:val="000961E9"/>
    <w:rsid w:val="000962D0"/>
    <w:rsid w:val="0009634C"/>
    <w:rsid w:val="000963FE"/>
    <w:rsid w:val="00096462"/>
    <w:rsid w:val="000964D4"/>
    <w:rsid w:val="00096A03"/>
    <w:rsid w:val="00096A63"/>
    <w:rsid w:val="00096ADA"/>
    <w:rsid w:val="00096DFD"/>
    <w:rsid w:val="00096F14"/>
    <w:rsid w:val="00096F4D"/>
    <w:rsid w:val="000971F5"/>
    <w:rsid w:val="000972A3"/>
    <w:rsid w:val="000975BB"/>
    <w:rsid w:val="000978BF"/>
    <w:rsid w:val="00097FEC"/>
    <w:rsid w:val="00097FF6"/>
    <w:rsid w:val="000A037F"/>
    <w:rsid w:val="000A08E5"/>
    <w:rsid w:val="000A0C27"/>
    <w:rsid w:val="000A0F09"/>
    <w:rsid w:val="000A1132"/>
    <w:rsid w:val="000A13FB"/>
    <w:rsid w:val="000A15C1"/>
    <w:rsid w:val="000A16F8"/>
    <w:rsid w:val="000A1760"/>
    <w:rsid w:val="000A1775"/>
    <w:rsid w:val="000A1BFE"/>
    <w:rsid w:val="000A1CB0"/>
    <w:rsid w:val="000A1CF0"/>
    <w:rsid w:val="000A2194"/>
    <w:rsid w:val="000A21CC"/>
    <w:rsid w:val="000A2330"/>
    <w:rsid w:val="000A2383"/>
    <w:rsid w:val="000A2797"/>
    <w:rsid w:val="000A2C05"/>
    <w:rsid w:val="000A2DA9"/>
    <w:rsid w:val="000A2F2B"/>
    <w:rsid w:val="000A30BD"/>
    <w:rsid w:val="000A3114"/>
    <w:rsid w:val="000A31A1"/>
    <w:rsid w:val="000A31F7"/>
    <w:rsid w:val="000A3301"/>
    <w:rsid w:val="000A351F"/>
    <w:rsid w:val="000A3981"/>
    <w:rsid w:val="000A3C24"/>
    <w:rsid w:val="000A4166"/>
    <w:rsid w:val="000A42D9"/>
    <w:rsid w:val="000A43C7"/>
    <w:rsid w:val="000A44B0"/>
    <w:rsid w:val="000A4607"/>
    <w:rsid w:val="000A4857"/>
    <w:rsid w:val="000A4E14"/>
    <w:rsid w:val="000A5053"/>
    <w:rsid w:val="000A51A3"/>
    <w:rsid w:val="000A524B"/>
    <w:rsid w:val="000A52E7"/>
    <w:rsid w:val="000A55B3"/>
    <w:rsid w:val="000A5D16"/>
    <w:rsid w:val="000A5D32"/>
    <w:rsid w:val="000A5E7D"/>
    <w:rsid w:val="000A5F37"/>
    <w:rsid w:val="000A61E0"/>
    <w:rsid w:val="000A62B9"/>
    <w:rsid w:val="000A6381"/>
    <w:rsid w:val="000A64D2"/>
    <w:rsid w:val="000A668D"/>
    <w:rsid w:val="000A680B"/>
    <w:rsid w:val="000A6D54"/>
    <w:rsid w:val="000A6DDA"/>
    <w:rsid w:val="000A70C1"/>
    <w:rsid w:val="000A73D8"/>
    <w:rsid w:val="000A7587"/>
    <w:rsid w:val="000A7690"/>
    <w:rsid w:val="000A76A3"/>
    <w:rsid w:val="000A79B2"/>
    <w:rsid w:val="000A7CD4"/>
    <w:rsid w:val="000A7D06"/>
    <w:rsid w:val="000B00AA"/>
    <w:rsid w:val="000B010C"/>
    <w:rsid w:val="000B0229"/>
    <w:rsid w:val="000B024C"/>
    <w:rsid w:val="000B04E8"/>
    <w:rsid w:val="000B0668"/>
    <w:rsid w:val="000B06A7"/>
    <w:rsid w:val="000B0872"/>
    <w:rsid w:val="000B08F5"/>
    <w:rsid w:val="000B093D"/>
    <w:rsid w:val="000B0E8D"/>
    <w:rsid w:val="000B1330"/>
    <w:rsid w:val="000B1534"/>
    <w:rsid w:val="000B1999"/>
    <w:rsid w:val="000B1BCF"/>
    <w:rsid w:val="000B1C1B"/>
    <w:rsid w:val="000B1D33"/>
    <w:rsid w:val="000B20CE"/>
    <w:rsid w:val="000B2108"/>
    <w:rsid w:val="000B21EF"/>
    <w:rsid w:val="000B237B"/>
    <w:rsid w:val="000B24F1"/>
    <w:rsid w:val="000B2778"/>
    <w:rsid w:val="000B287B"/>
    <w:rsid w:val="000B2A4F"/>
    <w:rsid w:val="000B2C1D"/>
    <w:rsid w:val="000B2E36"/>
    <w:rsid w:val="000B3038"/>
    <w:rsid w:val="000B33EB"/>
    <w:rsid w:val="000B3A5C"/>
    <w:rsid w:val="000B3BD0"/>
    <w:rsid w:val="000B3C46"/>
    <w:rsid w:val="000B3C7C"/>
    <w:rsid w:val="000B3CC5"/>
    <w:rsid w:val="000B3F1B"/>
    <w:rsid w:val="000B4147"/>
    <w:rsid w:val="000B4347"/>
    <w:rsid w:val="000B43A3"/>
    <w:rsid w:val="000B44D6"/>
    <w:rsid w:val="000B45EF"/>
    <w:rsid w:val="000B4B18"/>
    <w:rsid w:val="000B4C2D"/>
    <w:rsid w:val="000B4E7A"/>
    <w:rsid w:val="000B5073"/>
    <w:rsid w:val="000B52AE"/>
    <w:rsid w:val="000B5371"/>
    <w:rsid w:val="000B5511"/>
    <w:rsid w:val="000B57DB"/>
    <w:rsid w:val="000B57F4"/>
    <w:rsid w:val="000B5804"/>
    <w:rsid w:val="000B59AE"/>
    <w:rsid w:val="000B5A30"/>
    <w:rsid w:val="000B5AAD"/>
    <w:rsid w:val="000B6153"/>
    <w:rsid w:val="000B629D"/>
    <w:rsid w:val="000B6357"/>
    <w:rsid w:val="000B6554"/>
    <w:rsid w:val="000B67C5"/>
    <w:rsid w:val="000B6840"/>
    <w:rsid w:val="000B6996"/>
    <w:rsid w:val="000B6B21"/>
    <w:rsid w:val="000B6B2B"/>
    <w:rsid w:val="000B6D0C"/>
    <w:rsid w:val="000B6F07"/>
    <w:rsid w:val="000B6F39"/>
    <w:rsid w:val="000B6F61"/>
    <w:rsid w:val="000B740F"/>
    <w:rsid w:val="000B74E4"/>
    <w:rsid w:val="000B751C"/>
    <w:rsid w:val="000B7616"/>
    <w:rsid w:val="000B7C0F"/>
    <w:rsid w:val="000B7C1B"/>
    <w:rsid w:val="000B7CA5"/>
    <w:rsid w:val="000B7D20"/>
    <w:rsid w:val="000B7D93"/>
    <w:rsid w:val="000B7E8C"/>
    <w:rsid w:val="000B7FE4"/>
    <w:rsid w:val="000C0078"/>
    <w:rsid w:val="000C0088"/>
    <w:rsid w:val="000C02A5"/>
    <w:rsid w:val="000C0371"/>
    <w:rsid w:val="000C0381"/>
    <w:rsid w:val="000C03A8"/>
    <w:rsid w:val="000C04BE"/>
    <w:rsid w:val="000C050F"/>
    <w:rsid w:val="000C0537"/>
    <w:rsid w:val="000C0628"/>
    <w:rsid w:val="000C0A35"/>
    <w:rsid w:val="000C0A52"/>
    <w:rsid w:val="000C0D97"/>
    <w:rsid w:val="000C0EC9"/>
    <w:rsid w:val="000C0ED3"/>
    <w:rsid w:val="000C10C4"/>
    <w:rsid w:val="000C1337"/>
    <w:rsid w:val="000C1374"/>
    <w:rsid w:val="000C146D"/>
    <w:rsid w:val="000C16E1"/>
    <w:rsid w:val="000C17F0"/>
    <w:rsid w:val="000C1924"/>
    <w:rsid w:val="000C19CB"/>
    <w:rsid w:val="000C1D09"/>
    <w:rsid w:val="000C208C"/>
    <w:rsid w:val="000C2173"/>
    <w:rsid w:val="000C248A"/>
    <w:rsid w:val="000C249C"/>
    <w:rsid w:val="000C2544"/>
    <w:rsid w:val="000C27DB"/>
    <w:rsid w:val="000C29D7"/>
    <w:rsid w:val="000C2B3C"/>
    <w:rsid w:val="000C2B5D"/>
    <w:rsid w:val="000C2E74"/>
    <w:rsid w:val="000C2EEE"/>
    <w:rsid w:val="000C2F2C"/>
    <w:rsid w:val="000C2F8F"/>
    <w:rsid w:val="000C2FE8"/>
    <w:rsid w:val="000C3028"/>
    <w:rsid w:val="000C3334"/>
    <w:rsid w:val="000C356B"/>
    <w:rsid w:val="000C3578"/>
    <w:rsid w:val="000C35F2"/>
    <w:rsid w:val="000C3624"/>
    <w:rsid w:val="000C3736"/>
    <w:rsid w:val="000C39EB"/>
    <w:rsid w:val="000C3B5C"/>
    <w:rsid w:val="000C3BDF"/>
    <w:rsid w:val="000C3C12"/>
    <w:rsid w:val="000C3D05"/>
    <w:rsid w:val="000C3E2D"/>
    <w:rsid w:val="000C3F59"/>
    <w:rsid w:val="000C41E1"/>
    <w:rsid w:val="000C48C6"/>
    <w:rsid w:val="000C4918"/>
    <w:rsid w:val="000C4BD8"/>
    <w:rsid w:val="000C4C53"/>
    <w:rsid w:val="000C4D29"/>
    <w:rsid w:val="000C4D7A"/>
    <w:rsid w:val="000C4D96"/>
    <w:rsid w:val="000C5055"/>
    <w:rsid w:val="000C52AC"/>
    <w:rsid w:val="000C5629"/>
    <w:rsid w:val="000C5B72"/>
    <w:rsid w:val="000C5BF3"/>
    <w:rsid w:val="000C5EA5"/>
    <w:rsid w:val="000C61A7"/>
    <w:rsid w:val="000C6406"/>
    <w:rsid w:val="000C65C8"/>
    <w:rsid w:val="000C66CF"/>
    <w:rsid w:val="000C6744"/>
    <w:rsid w:val="000C6ABC"/>
    <w:rsid w:val="000C74BF"/>
    <w:rsid w:val="000C77B3"/>
    <w:rsid w:val="000C7B11"/>
    <w:rsid w:val="000C7C47"/>
    <w:rsid w:val="000C7CE0"/>
    <w:rsid w:val="000D015E"/>
    <w:rsid w:val="000D0457"/>
    <w:rsid w:val="000D074D"/>
    <w:rsid w:val="000D08E6"/>
    <w:rsid w:val="000D0B66"/>
    <w:rsid w:val="000D0FA1"/>
    <w:rsid w:val="000D1042"/>
    <w:rsid w:val="000D11D9"/>
    <w:rsid w:val="000D12BF"/>
    <w:rsid w:val="000D1985"/>
    <w:rsid w:val="000D1CAE"/>
    <w:rsid w:val="000D1F8C"/>
    <w:rsid w:val="000D1FE7"/>
    <w:rsid w:val="000D2026"/>
    <w:rsid w:val="000D2042"/>
    <w:rsid w:val="000D2052"/>
    <w:rsid w:val="000D2166"/>
    <w:rsid w:val="000D2429"/>
    <w:rsid w:val="000D2745"/>
    <w:rsid w:val="000D27D1"/>
    <w:rsid w:val="000D2860"/>
    <w:rsid w:val="000D296C"/>
    <w:rsid w:val="000D29D6"/>
    <w:rsid w:val="000D2D04"/>
    <w:rsid w:val="000D2F6F"/>
    <w:rsid w:val="000D320D"/>
    <w:rsid w:val="000D320F"/>
    <w:rsid w:val="000D3462"/>
    <w:rsid w:val="000D351E"/>
    <w:rsid w:val="000D35F5"/>
    <w:rsid w:val="000D364B"/>
    <w:rsid w:val="000D3B53"/>
    <w:rsid w:val="000D3C75"/>
    <w:rsid w:val="000D3DAF"/>
    <w:rsid w:val="000D3DB1"/>
    <w:rsid w:val="000D3E88"/>
    <w:rsid w:val="000D3E8D"/>
    <w:rsid w:val="000D4320"/>
    <w:rsid w:val="000D479A"/>
    <w:rsid w:val="000D48EF"/>
    <w:rsid w:val="000D49DB"/>
    <w:rsid w:val="000D4B42"/>
    <w:rsid w:val="000D4E42"/>
    <w:rsid w:val="000D5131"/>
    <w:rsid w:val="000D5224"/>
    <w:rsid w:val="000D538E"/>
    <w:rsid w:val="000D58A4"/>
    <w:rsid w:val="000D5B55"/>
    <w:rsid w:val="000D5C29"/>
    <w:rsid w:val="000D5D25"/>
    <w:rsid w:val="000D5E77"/>
    <w:rsid w:val="000D5E7A"/>
    <w:rsid w:val="000D60CD"/>
    <w:rsid w:val="000D63F3"/>
    <w:rsid w:val="000D6528"/>
    <w:rsid w:val="000D653A"/>
    <w:rsid w:val="000D6835"/>
    <w:rsid w:val="000D683E"/>
    <w:rsid w:val="000D6B3B"/>
    <w:rsid w:val="000D6CB4"/>
    <w:rsid w:val="000D6CF2"/>
    <w:rsid w:val="000D7472"/>
    <w:rsid w:val="000D7652"/>
    <w:rsid w:val="000D79AF"/>
    <w:rsid w:val="000D7A80"/>
    <w:rsid w:val="000D7B52"/>
    <w:rsid w:val="000D7E35"/>
    <w:rsid w:val="000D7F9E"/>
    <w:rsid w:val="000E0006"/>
    <w:rsid w:val="000E0057"/>
    <w:rsid w:val="000E042B"/>
    <w:rsid w:val="000E080B"/>
    <w:rsid w:val="000E09DA"/>
    <w:rsid w:val="000E12CA"/>
    <w:rsid w:val="000E1474"/>
    <w:rsid w:val="000E15DF"/>
    <w:rsid w:val="000E16AD"/>
    <w:rsid w:val="000E16FF"/>
    <w:rsid w:val="000E1DA5"/>
    <w:rsid w:val="000E1E79"/>
    <w:rsid w:val="000E1EF6"/>
    <w:rsid w:val="000E200E"/>
    <w:rsid w:val="000E216C"/>
    <w:rsid w:val="000E22D3"/>
    <w:rsid w:val="000E252A"/>
    <w:rsid w:val="000E27B5"/>
    <w:rsid w:val="000E2B70"/>
    <w:rsid w:val="000E2BB5"/>
    <w:rsid w:val="000E2C74"/>
    <w:rsid w:val="000E2DEC"/>
    <w:rsid w:val="000E2FF3"/>
    <w:rsid w:val="000E3090"/>
    <w:rsid w:val="000E35F2"/>
    <w:rsid w:val="000E37AF"/>
    <w:rsid w:val="000E3CCF"/>
    <w:rsid w:val="000E3D95"/>
    <w:rsid w:val="000E3F8E"/>
    <w:rsid w:val="000E42CB"/>
    <w:rsid w:val="000E4305"/>
    <w:rsid w:val="000E440B"/>
    <w:rsid w:val="000E45AB"/>
    <w:rsid w:val="000E45FB"/>
    <w:rsid w:val="000E46CC"/>
    <w:rsid w:val="000E484B"/>
    <w:rsid w:val="000E4960"/>
    <w:rsid w:val="000E4E4F"/>
    <w:rsid w:val="000E503D"/>
    <w:rsid w:val="000E50C3"/>
    <w:rsid w:val="000E5239"/>
    <w:rsid w:val="000E5780"/>
    <w:rsid w:val="000E58E9"/>
    <w:rsid w:val="000E5A10"/>
    <w:rsid w:val="000E5BF0"/>
    <w:rsid w:val="000E5C6F"/>
    <w:rsid w:val="000E5D13"/>
    <w:rsid w:val="000E5DED"/>
    <w:rsid w:val="000E613C"/>
    <w:rsid w:val="000E63CE"/>
    <w:rsid w:val="000E6679"/>
    <w:rsid w:val="000E6781"/>
    <w:rsid w:val="000E6D5F"/>
    <w:rsid w:val="000E6E79"/>
    <w:rsid w:val="000E6F4F"/>
    <w:rsid w:val="000E704D"/>
    <w:rsid w:val="000E70F9"/>
    <w:rsid w:val="000E70FF"/>
    <w:rsid w:val="000E720C"/>
    <w:rsid w:val="000E720F"/>
    <w:rsid w:val="000E72AE"/>
    <w:rsid w:val="000E7451"/>
    <w:rsid w:val="000E790F"/>
    <w:rsid w:val="000E79CF"/>
    <w:rsid w:val="000E7AA0"/>
    <w:rsid w:val="000E7D71"/>
    <w:rsid w:val="000E7D95"/>
    <w:rsid w:val="000E7E51"/>
    <w:rsid w:val="000F0191"/>
    <w:rsid w:val="000F0287"/>
    <w:rsid w:val="000F046D"/>
    <w:rsid w:val="000F048A"/>
    <w:rsid w:val="000F0602"/>
    <w:rsid w:val="000F06FB"/>
    <w:rsid w:val="000F095D"/>
    <w:rsid w:val="000F0A59"/>
    <w:rsid w:val="000F0C83"/>
    <w:rsid w:val="000F0F6B"/>
    <w:rsid w:val="000F0FEB"/>
    <w:rsid w:val="000F1014"/>
    <w:rsid w:val="000F1428"/>
    <w:rsid w:val="000F14F3"/>
    <w:rsid w:val="000F1569"/>
    <w:rsid w:val="000F1741"/>
    <w:rsid w:val="000F18FC"/>
    <w:rsid w:val="000F1AD3"/>
    <w:rsid w:val="000F1D52"/>
    <w:rsid w:val="000F1D80"/>
    <w:rsid w:val="000F2130"/>
    <w:rsid w:val="000F2227"/>
    <w:rsid w:val="000F241F"/>
    <w:rsid w:val="000F2738"/>
    <w:rsid w:val="000F28AA"/>
    <w:rsid w:val="000F29EB"/>
    <w:rsid w:val="000F2A35"/>
    <w:rsid w:val="000F2DB0"/>
    <w:rsid w:val="000F3068"/>
    <w:rsid w:val="000F3535"/>
    <w:rsid w:val="000F3AE5"/>
    <w:rsid w:val="000F3FC2"/>
    <w:rsid w:val="000F4172"/>
    <w:rsid w:val="000F4620"/>
    <w:rsid w:val="000F46C0"/>
    <w:rsid w:val="000F49AB"/>
    <w:rsid w:val="000F49B5"/>
    <w:rsid w:val="000F4AAB"/>
    <w:rsid w:val="000F4F34"/>
    <w:rsid w:val="000F5037"/>
    <w:rsid w:val="000F53BF"/>
    <w:rsid w:val="000F550C"/>
    <w:rsid w:val="000F5520"/>
    <w:rsid w:val="000F577A"/>
    <w:rsid w:val="000F5913"/>
    <w:rsid w:val="000F5A6E"/>
    <w:rsid w:val="000F5AB1"/>
    <w:rsid w:val="000F5C9D"/>
    <w:rsid w:val="000F5CD5"/>
    <w:rsid w:val="000F62EF"/>
    <w:rsid w:val="000F6C44"/>
    <w:rsid w:val="000F6DB5"/>
    <w:rsid w:val="000F6DC8"/>
    <w:rsid w:val="000F6EF8"/>
    <w:rsid w:val="000F708C"/>
    <w:rsid w:val="000F7334"/>
    <w:rsid w:val="000F750E"/>
    <w:rsid w:val="000F76C0"/>
    <w:rsid w:val="000F78F9"/>
    <w:rsid w:val="000F7A55"/>
    <w:rsid w:val="000F7D51"/>
    <w:rsid w:val="000F7D9C"/>
    <w:rsid w:val="000F7F2D"/>
    <w:rsid w:val="001001BD"/>
    <w:rsid w:val="001001DD"/>
    <w:rsid w:val="00100320"/>
    <w:rsid w:val="00100376"/>
    <w:rsid w:val="0010038A"/>
    <w:rsid w:val="00100546"/>
    <w:rsid w:val="00100554"/>
    <w:rsid w:val="001005E7"/>
    <w:rsid w:val="0010089A"/>
    <w:rsid w:val="001008A3"/>
    <w:rsid w:val="001008AA"/>
    <w:rsid w:val="001008C9"/>
    <w:rsid w:val="0010094C"/>
    <w:rsid w:val="00100AA6"/>
    <w:rsid w:val="00100E28"/>
    <w:rsid w:val="00100E7D"/>
    <w:rsid w:val="0010114B"/>
    <w:rsid w:val="00101831"/>
    <w:rsid w:val="00101AB2"/>
    <w:rsid w:val="00101CD7"/>
    <w:rsid w:val="00101DEB"/>
    <w:rsid w:val="00102398"/>
    <w:rsid w:val="00102399"/>
    <w:rsid w:val="001026CB"/>
    <w:rsid w:val="001027EF"/>
    <w:rsid w:val="00102883"/>
    <w:rsid w:val="00102B4C"/>
    <w:rsid w:val="00103426"/>
    <w:rsid w:val="0010369A"/>
    <w:rsid w:val="001036AA"/>
    <w:rsid w:val="0010372D"/>
    <w:rsid w:val="00103C2A"/>
    <w:rsid w:val="00103E89"/>
    <w:rsid w:val="00103F67"/>
    <w:rsid w:val="0010432E"/>
    <w:rsid w:val="001044FA"/>
    <w:rsid w:val="00104583"/>
    <w:rsid w:val="0010463E"/>
    <w:rsid w:val="001047AC"/>
    <w:rsid w:val="001047C5"/>
    <w:rsid w:val="00104EC8"/>
    <w:rsid w:val="001052B8"/>
    <w:rsid w:val="00105513"/>
    <w:rsid w:val="00105554"/>
    <w:rsid w:val="00105849"/>
    <w:rsid w:val="001058FB"/>
    <w:rsid w:val="00105A66"/>
    <w:rsid w:val="00106072"/>
    <w:rsid w:val="0010649D"/>
    <w:rsid w:val="001068E5"/>
    <w:rsid w:val="00106975"/>
    <w:rsid w:val="00106A3E"/>
    <w:rsid w:val="00106AD1"/>
    <w:rsid w:val="00106B42"/>
    <w:rsid w:val="00106C5F"/>
    <w:rsid w:val="00106EE5"/>
    <w:rsid w:val="00106FB1"/>
    <w:rsid w:val="0010725C"/>
    <w:rsid w:val="00107331"/>
    <w:rsid w:val="0010735C"/>
    <w:rsid w:val="00107580"/>
    <w:rsid w:val="001076F1"/>
    <w:rsid w:val="001077E8"/>
    <w:rsid w:val="00107870"/>
    <w:rsid w:val="001100A9"/>
    <w:rsid w:val="001100C0"/>
    <w:rsid w:val="00110189"/>
    <w:rsid w:val="00110343"/>
    <w:rsid w:val="001103E7"/>
    <w:rsid w:val="001105F8"/>
    <w:rsid w:val="00110972"/>
    <w:rsid w:val="00110A80"/>
    <w:rsid w:val="00110C45"/>
    <w:rsid w:val="00111034"/>
    <w:rsid w:val="0011128E"/>
    <w:rsid w:val="001113B7"/>
    <w:rsid w:val="00111421"/>
    <w:rsid w:val="001116C7"/>
    <w:rsid w:val="001117CB"/>
    <w:rsid w:val="00111848"/>
    <w:rsid w:val="00111987"/>
    <w:rsid w:val="001119C2"/>
    <w:rsid w:val="00111CFE"/>
    <w:rsid w:val="00111D61"/>
    <w:rsid w:val="00111F92"/>
    <w:rsid w:val="00112039"/>
    <w:rsid w:val="0011214B"/>
    <w:rsid w:val="00112154"/>
    <w:rsid w:val="001121BC"/>
    <w:rsid w:val="001122A6"/>
    <w:rsid w:val="001122E3"/>
    <w:rsid w:val="0011236C"/>
    <w:rsid w:val="0011250E"/>
    <w:rsid w:val="0011265F"/>
    <w:rsid w:val="001126D4"/>
    <w:rsid w:val="00112794"/>
    <w:rsid w:val="00112A6A"/>
    <w:rsid w:val="00112B29"/>
    <w:rsid w:val="00112B79"/>
    <w:rsid w:val="00112D3E"/>
    <w:rsid w:val="00112E2B"/>
    <w:rsid w:val="00112E8E"/>
    <w:rsid w:val="0011302D"/>
    <w:rsid w:val="001132A6"/>
    <w:rsid w:val="001132C4"/>
    <w:rsid w:val="00113457"/>
    <w:rsid w:val="00113958"/>
    <w:rsid w:val="00113A1A"/>
    <w:rsid w:val="00113AC1"/>
    <w:rsid w:val="00113C11"/>
    <w:rsid w:val="00113C4D"/>
    <w:rsid w:val="00113C64"/>
    <w:rsid w:val="00113F2C"/>
    <w:rsid w:val="00114161"/>
    <w:rsid w:val="001141B2"/>
    <w:rsid w:val="0011421D"/>
    <w:rsid w:val="00114247"/>
    <w:rsid w:val="0011442B"/>
    <w:rsid w:val="001145D5"/>
    <w:rsid w:val="0011484D"/>
    <w:rsid w:val="00114850"/>
    <w:rsid w:val="00114851"/>
    <w:rsid w:val="001148C3"/>
    <w:rsid w:val="00114FA7"/>
    <w:rsid w:val="001151DC"/>
    <w:rsid w:val="0011527D"/>
    <w:rsid w:val="001153A1"/>
    <w:rsid w:val="00115683"/>
    <w:rsid w:val="0011584C"/>
    <w:rsid w:val="00115D04"/>
    <w:rsid w:val="00115D18"/>
    <w:rsid w:val="001160E6"/>
    <w:rsid w:val="001163F1"/>
    <w:rsid w:val="00116459"/>
    <w:rsid w:val="0011668E"/>
    <w:rsid w:val="0011698D"/>
    <w:rsid w:val="00116A67"/>
    <w:rsid w:val="00116D7B"/>
    <w:rsid w:val="00116EE1"/>
    <w:rsid w:val="0011708C"/>
    <w:rsid w:val="00117097"/>
    <w:rsid w:val="0011719D"/>
    <w:rsid w:val="001174C5"/>
    <w:rsid w:val="00117647"/>
    <w:rsid w:val="001178BB"/>
    <w:rsid w:val="00117BC2"/>
    <w:rsid w:val="00117D1A"/>
    <w:rsid w:val="00117E63"/>
    <w:rsid w:val="00120379"/>
    <w:rsid w:val="0012041E"/>
    <w:rsid w:val="00120632"/>
    <w:rsid w:val="00120670"/>
    <w:rsid w:val="001206DC"/>
    <w:rsid w:val="0012117C"/>
    <w:rsid w:val="0012147F"/>
    <w:rsid w:val="0012149C"/>
    <w:rsid w:val="00121560"/>
    <w:rsid w:val="00121808"/>
    <w:rsid w:val="00121D22"/>
    <w:rsid w:val="00122320"/>
    <w:rsid w:val="001224A3"/>
    <w:rsid w:val="00122560"/>
    <w:rsid w:val="001226C3"/>
    <w:rsid w:val="00123180"/>
    <w:rsid w:val="001231D3"/>
    <w:rsid w:val="0012341D"/>
    <w:rsid w:val="001235CB"/>
    <w:rsid w:val="0012368D"/>
    <w:rsid w:val="001236E1"/>
    <w:rsid w:val="00123960"/>
    <w:rsid w:val="00123DFB"/>
    <w:rsid w:val="00123F82"/>
    <w:rsid w:val="00123FA8"/>
    <w:rsid w:val="001240D3"/>
    <w:rsid w:val="00124256"/>
    <w:rsid w:val="00124337"/>
    <w:rsid w:val="00124CDE"/>
    <w:rsid w:val="00124F9F"/>
    <w:rsid w:val="00124FDD"/>
    <w:rsid w:val="00125618"/>
    <w:rsid w:val="00125898"/>
    <w:rsid w:val="001258A3"/>
    <w:rsid w:val="00125DC6"/>
    <w:rsid w:val="00125E51"/>
    <w:rsid w:val="00126120"/>
    <w:rsid w:val="001261DA"/>
    <w:rsid w:val="001262C2"/>
    <w:rsid w:val="001263BC"/>
    <w:rsid w:val="00126495"/>
    <w:rsid w:val="00126559"/>
    <w:rsid w:val="00126BA1"/>
    <w:rsid w:val="00126BCE"/>
    <w:rsid w:val="00126D04"/>
    <w:rsid w:val="00126E01"/>
    <w:rsid w:val="0012709B"/>
    <w:rsid w:val="001273A2"/>
    <w:rsid w:val="001273D2"/>
    <w:rsid w:val="001273D8"/>
    <w:rsid w:val="001273EE"/>
    <w:rsid w:val="001274ED"/>
    <w:rsid w:val="001275FA"/>
    <w:rsid w:val="001279E3"/>
    <w:rsid w:val="00127AF1"/>
    <w:rsid w:val="00127B46"/>
    <w:rsid w:val="00127D55"/>
    <w:rsid w:val="00127F58"/>
    <w:rsid w:val="0013011C"/>
    <w:rsid w:val="0013027A"/>
    <w:rsid w:val="001305D9"/>
    <w:rsid w:val="00130ADB"/>
    <w:rsid w:val="00130B8D"/>
    <w:rsid w:val="00130CB7"/>
    <w:rsid w:val="00130EA1"/>
    <w:rsid w:val="00130F4E"/>
    <w:rsid w:val="0013129D"/>
    <w:rsid w:val="001316BB"/>
    <w:rsid w:val="00131A24"/>
    <w:rsid w:val="00131AE8"/>
    <w:rsid w:val="00131C11"/>
    <w:rsid w:val="00131E92"/>
    <w:rsid w:val="0013220A"/>
    <w:rsid w:val="001323D8"/>
    <w:rsid w:val="001328C4"/>
    <w:rsid w:val="00132C83"/>
    <w:rsid w:val="00132C8C"/>
    <w:rsid w:val="00132F64"/>
    <w:rsid w:val="00132FB0"/>
    <w:rsid w:val="0013300E"/>
    <w:rsid w:val="0013322E"/>
    <w:rsid w:val="0013339A"/>
    <w:rsid w:val="001336A4"/>
    <w:rsid w:val="001337AB"/>
    <w:rsid w:val="001337C6"/>
    <w:rsid w:val="00133921"/>
    <w:rsid w:val="00133954"/>
    <w:rsid w:val="0013395B"/>
    <w:rsid w:val="0013399D"/>
    <w:rsid w:val="00133C66"/>
    <w:rsid w:val="00133F2E"/>
    <w:rsid w:val="00133FC4"/>
    <w:rsid w:val="001341B8"/>
    <w:rsid w:val="00134332"/>
    <w:rsid w:val="001343C4"/>
    <w:rsid w:val="00134702"/>
    <w:rsid w:val="001347B5"/>
    <w:rsid w:val="001347EC"/>
    <w:rsid w:val="00134B55"/>
    <w:rsid w:val="00134BAE"/>
    <w:rsid w:val="00134D2B"/>
    <w:rsid w:val="00134D80"/>
    <w:rsid w:val="00134E0D"/>
    <w:rsid w:val="00134E70"/>
    <w:rsid w:val="00134E7D"/>
    <w:rsid w:val="00134F80"/>
    <w:rsid w:val="001350CE"/>
    <w:rsid w:val="00135923"/>
    <w:rsid w:val="00135AC4"/>
    <w:rsid w:val="00135B79"/>
    <w:rsid w:val="00135E77"/>
    <w:rsid w:val="00135F5A"/>
    <w:rsid w:val="001361CF"/>
    <w:rsid w:val="0013638B"/>
    <w:rsid w:val="00136420"/>
    <w:rsid w:val="0013658D"/>
    <w:rsid w:val="00136592"/>
    <w:rsid w:val="001365CB"/>
    <w:rsid w:val="0013660C"/>
    <w:rsid w:val="0013679A"/>
    <w:rsid w:val="001368A8"/>
    <w:rsid w:val="00136DDF"/>
    <w:rsid w:val="00136DF8"/>
    <w:rsid w:val="00136F08"/>
    <w:rsid w:val="00136F28"/>
    <w:rsid w:val="00136F7F"/>
    <w:rsid w:val="001372FA"/>
    <w:rsid w:val="0013744F"/>
    <w:rsid w:val="0013753F"/>
    <w:rsid w:val="0013783A"/>
    <w:rsid w:val="00137A28"/>
    <w:rsid w:val="00137D44"/>
    <w:rsid w:val="00137E86"/>
    <w:rsid w:val="0014017E"/>
    <w:rsid w:val="0014025D"/>
    <w:rsid w:val="001403D2"/>
    <w:rsid w:val="0014079B"/>
    <w:rsid w:val="00140A34"/>
    <w:rsid w:val="00140B84"/>
    <w:rsid w:val="00140BC0"/>
    <w:rsid w:val="00140C85"/>
    <w:rsid w:val="00140F19"/>
    <w:rsid w:val="00140FCE"/>
    <w:rsid w:val="001412F1"/>
    <w:rsid w:val="0014169F"/>
    <w:rsid w:val="0014193F"/>
    <w:rsid w:val="00141985"/>
    <w:rsid w:val="00141988"/>
    <w:rsid w:val="001419AB"/>
    <w:rsid w:val="00141BF9"/>
    <w:rsid w:val="00141C86"/>
    <w:rsid w:val="00141F9B"/>
    <w:rsid w:val="00142112"/>
    <w:rsid w:val="001421D5"/>
    <w:rsid w:val="0014259F"/>
    <w:rsid w:val="00142721"/>
    <w:rsid w:val="00142A20"/>
    <w:rsid w:val="00142AC2"/>
    <w:rsid w:val="00142DC4"/>
    <w:rsid w:val="00142EA3"/>
    <w:rsid w:val="00142F0B"/>
    <w:rsid w:val="00142F62"/>
    <w:rsid w:val="001434C8"/>
    <w:rsid w:val="001434F3"/>
    <w:rsid w:val="00143689"/>
    <w:rsid w:val="00143A6A"/>
    <w:rsid w:val="00143B59"/>
    <w:rsid w:val="00143B8E"/>
    <w:rsid w:val="00143D6B"/>
    <w:rsid w:val="00143EC8"/>
    <w:rsid w:val="001444E2"/>
    <w:rsid w:val="001445BE"/>
    <w:rsid w:val="00144977"/>
    <w:rsid w:val="00144AD7"/>
    <w:rsid w:val="00144BF6"/>
    <w:rsid w:val="00144D3C"/>
    <w:rsid w:val="00144E15"/>
    <w:rsid w:val="00144E2A"/>
    <w:rsid w:val="00144F66"/>
    <w:rsid w:val="00145288"/>
    <w:rsid w:val="0014539E"/>
    <w:rsid w:val="00145639"/>
    <w:rsid w:val="00145655"/>
    <w:rsid w:val="00145BB4"/>
    <w:rsid w:val="00145DE0"/>
    <w:rsid w:val="00146081"/>
    <w:rsid w:val="00146609"/>
    <w:rsid w:val="00146868"/>
    <w:rsid w:val="00146B67"/>
    <w:rsid w:val="00146CE1"/>
    <w:rsid w:val="00146E76"/>
    <w:rsid w:val="00147178"/>
    <w:rsid w:val="001474BA"/>
    <w:rsid w:val="0014755C"/>
    <w:rsid w:val="00147924"/>
    <w:rsid w:val="00147A6A"/>
    <w:rsid w:val="00147BC5"/>
    <w:rsid w:val="00147CD0"/>
    <w:rsid w:val="001500B5"/>
    <w:rsid w:val="001500F6"/>
    <w:rsid w:val="001501B0"/>
    <w:rsid w:val="001501D3"/>
    <w:rsid w:val="001503BF"/>
    <w:rsid w:val="00150418"/>
    <w:rsid w:val="001507EE"/>
    <w:rsid w:val="00150EAA"/>
    <w:rsid w:val="00150EEE"/>
    <w:rsid w:val="00151167"/>
    <w:rsid w:val="001512EA"/>
    <w:rsid w:val="00151402"/>
    <w:rsid w:val="001515DB"/>
    <w:rsid w:val="0015162D"/>
    <w:rsid w:val="00151A1B"/>
    <w:rsid w:val="00151A47"/>
    <w:rsid w:val="00151D5C"/>
    <w:rsid w:val="00151D73"/>
    <w:rsid w:val="00151EE5"/>
    <w:rsid w:val="00152021"/>
    <w:rsid w:val="0015212E"/>
    <w:rsid w:val="001522A0"/>
    <w:rsid w:val="00152363"/>
    <w:rsid w:val="00152421"/>
    <w:rsid w:val="001524E9"/>
    <w:rsid w:val="00152535"/>
    <w:rsid w:val="001525B8"/>
    <w:rsid w:val="001527F9"/>
    <w:rsid w:val="001528FA"/>
    <w:rsid w:val="00152ABE"/>
    <w:rsid w:val="00152B40"/>
    <w:rsid w:val="00152BD8"/>
    <w:rsid w:val="00152DDF"/>
    <w:rsid w:val="00153205"/>
    <w:rsid w:val="001532DD"/>
    <w:rsid w:val="0015364F"/>
    <w:rsid w:val="00153CD1"/>
    <w:rsid w:val="0015435C"/>
    <w:rsid w:val="001545BE"/>
    <w:rsid w:val="00154909"/>
    <w:rsid w:val="00154928"/>
    <w:rsid w:val="00154A78"/>
    <w:rsid w:val="00154AD1"/>
    <w:rsid w:val="00154BEA"/>
    <w:rsid w:val="00154E52"/>
    <w:rsid w:val="00154EA7"/>
    <w:rsid w:val="00154F49"/>
    <w:rsid w:val="001554F3"/>
    <w:rsid w:val="001555A4"/>
    <w:rsid w:val="00155A0E"/>
    <w:rsid w:val="00155B40"/>
    <w:rsid w:val="00155CB7"/>
    <w:rsid w:val="00155D62"/>
    <w:rsid w:val="00155D73"/>
    <w:rsid w:val="00155E00"/>
    <w:rsid w:val="00155E90"/>
    <w:rsid w:val="001560F3"/>
    <w:rsid w:val="001564F3"/>
    <w:rsid w:val="001565BE"/>
    <w:rsid w:val="001565C1"/>
    <w:rsid w:val="00156884"/>
    <w:rsid w:val="0015691B"/>
    <w:rsid w:val="00156980"/>
    <w:rsid w:val="00156B06"/>
    <w:rsid w:val="00156D3E"/>
    <w:rsid w:val="00156D79"/>
    <w:rsid w:val="00156DEE"/>
    <w:rsid w:val="00156EE5"/>
    <w:rsid w:val="00157173"/>
    <w:rsid w:val="001571AF"/>
    <w:rsid w:val="00157224"/>
    <w:rsid w:val="0015758A"/>
    <w:rsid w:val="00157950"/>
    <w:rsid w:val="001579A0"/>
    <w:rsid w:val="001579B4"/>
    <w:rsid w:val="00157B87"/>
    <w:rsid w:val="00160034"/>
    <w:rsid w:val="001603F4"/>
    <w:rsid w:val="0016072B"/>
    <w:rsid w:val="00160C85"/>
    <w:rsid w:val="00160CCD"/>
    <w:rsid w:val="001611AA"/>
    <w:rsid w:val="0016128E"/>
    <w:rsid w:val="00161611"/>
    <w:rsid w:val="00161AAA"/>
    <w:rsid w:val="00161AF6"/>
    <w:rsid w:val="00161CB0"/>
    <w:rsid w:val="00161CCB"/>
    <w:rsid w:val="00161CF4"/>
    <w:rsid w:val="00161D3D"/>
    <w:rsid w:val="00161E0F"/>
    <w:rsid w:val="00161E47"/>
    <w:rsid w:val="00161E94"/>
    <w:rsid w:val="00161F46"/>
    <w:rsid w:val="00162117"/>
    <w:rsid w:val="00162763"/>
    <w:rsid w:val="00162A3B"/>
    <w:rsid w:val="00162AA1"/>
    <w:rsid w:val="00162BAD"/>
    <w:rsid w:val="00162C03"/>
    <w:rsid w:val="00163210"/>
    <w:rsid w:val="0016341E"/>
    <w:rsid w:val="00163568"/>
    <w:rsid w:val="001635E8"/>
    <w:rsid w:val="001636FA"/>
    <w:rsid w:val="00163771"/>
    <w:rsid w:val="00163B12"/>
    <w:rsid w:val="00163CB6"/>
    <w:rsid w:val="001640C7"/>
    <w:rsid w:val="001641E2"/>
    <w:rsid w:val="0016435B"/>
    <w:rsid w:val="001643D8"/>
    <w:rsid w:val="0016452C"/>
    <w:rsid w:val="001646E1"/>
    <w:rsid w:val="001647A3"/>
    <w:rsid w:val="001648C9"/>
    <w:rsid w:val="00164933"/>
    <w:rsid w:val="00164ABE"/>
    <w:rsid w:val="00164B8B"/>
    <w:rsid w:val="00164BDA"/>
    <w:rsid w:val="00164BFC"/>
    <w:rsid w:val="00164F84"/>
    <w:rsid w:val="001651C4"/>
    <w:rsid w:val="00165535"/>
    <w:rsid w:val="001656BE"/>
    <w:rsid w:val="00165C36"/>
    <w:rsid w:val="00165CBB"/>
    <w:rsid w:val="001660FA"/>
    <w:rsid w:val="00166177"/>
    <w:rsid w:val="00166387"/>
    <w:rsid w:val="0016670B"/>
    <w:rsid w:val="001669E2"/>
    <w:rsid w:val="00166D8F"/>
    <w:rsid w:val="00166DF3"/>
    <w:rsid w:val="001675D8"/>
    <w:rsid w:val="00167C7C"/>
    <w:rsid w:val="00167C80"/>
    <w:rsid w:val="00167D61"/>
    <w:rsid w:val="00170031"/>
    <w:rsid w:val="00170255"/>
    <w:rsid w:val="00170279"/>
    <w:rsid w:val="001704CF"/>
    <w:rsid w:val="0017053B"/>
    <w:rsid w:val="00170605"/>
    <w:rsid w:val="0017098F"/>
    <w:rsid w:val="00170A11"/>
    <w:rsid w:val="00170A98"/>
    <w:rsid w:val="00170B7B"/>
    <w:rsid w:val="00170C73"/>
    <w:rsid w:val="00171187"/>
    <w:rsid w:val="0017150C"/>
    <w:rsid w:val="00171579"/>
    <w:rsid w:val="001716FE"/>
    <w:rsid w:val="0017172D"/>
    <w:rsid w:val="00171CC1"/>
    <w:rsid w:val="00172184"/>
    <w:rsid w:val="001722D3"/>
    <w:rsid w:val="001722DE"/>
    <w:rsid w:val="0017233E"/>
    <w:rsid w:val="00172498"/>
    <w:rsid w:val="0017265D"/>
    <w:rsid w:val="00172744"/>
    <w:rsid w:val="00172902"/>
    <w:rsid w:val="00172A0C"/>
    <w:rsid w:val="00172BA0"/>
    <w:rsid w:val="00172C84"/>
    <w:rsid w:val="00172F6D"/>
    <w:rsid w:val="0017304B"/>
    <w:rsid w:val="00173346"/>
    <w:rsid w:val="00173364"/>
    <w:rsid w:val="0017366E"/>
    <w:rsid w:val="00173685"/>
    <w:rsid w:val="00173B04"/>
    <w:rsid w:val="00173C9E"/>
    <w:rsid w:val="00173E80"/>
    <w:rsid w:val="001740E9"/>
    <w:rsid w:val="0017430F"/>
    <w:rsid w:val="00174400"/>
    <w:rsid w:val="00174478"/>
    <w:rsid w:val="001746B7"/>
    <w:rsid w:val="00174796"/>
    <w:rsid w:val="00174A65"/>
    <w:rsid w:val="00174E5E"/>
    <w:rsid w:val="0017501B"/>
    <w:rsid w:val="00175216"/>
    <w:rsid w:val="00175279"/>
    <w:rsid w:val="001755FE"/>
    <w:rsid w:val="00175618"/>
    <w:rsid w:val="0017579F"/>
    <w:rsid w:val="00175A34"/>
    <w:rsid w:val="00175C64"/>
    <w:rsid w:val="00176226"/>
    <w:rsid w:val="0017633D"/>
    <w:rsid w:val="00176591"/>
    <w:rsid w:val="001768D5"/>
    <w:rsid w:val="001770C8"/>
    <w:rsid w:val="0017735E"/>
    <w:rsid w:val="001773BC"/>
    <w:rsid w:val="001774A2"/>
    <w:rsid w:val="001777A3"/>
    <w:rsid w:val="00177A0E"/>
    <w:rsid w:val="00177CCD"/>
    <w:rsid w:val="00180163"/>
    <w:rsid w:val="00180568"/>
    <w:rsid w:val="001806B5"/>
    <w:rsid w:val="00180706"/>
    <w:rsid w:val="0018074B"/>
    <w:rsid w:val="0018074E"/>
    <w:rsid w:val="00180887"/>
    <w:rsid w:val="00180A30"/>
    <w:rsid w:val="00180AC3"/>
    <w:rsid w:val="00180C1B"/>
    <w:rsid w:val="00180C78"/>
    <w:rsid w:val="00180C89"/>
    <w:rsid w:val="00180E28"/>
    <w:rsid w:val="00180E6C"/>
    <w:rsid w:val="00181198"/>
    <w:rsid w:val="001812CF"/>
    <w:rsid w:val="001812D0"/>
    <w:rsid w:val="00181619"/>
    <w:rsid w:val="00181696"/>
    <w:rsid w:val="00181704"/>
    <w:rsid w:val="001819D0"/>
    <w:rsid w:val="00181BCA"/>
    <w:rsid w:val="00181C0C"/>
    <w:rsid w:val="00181D1F"/>
    <w:rsid w:val="001822AF"/>
    <w:rsid w:val="0018271E"/>
    <w:rsid w:val="00182D4C"/>
    <w:rsid w:val="00182DC0"/>
    <w:rsid w:val="00182DCB"/>
    <w:rsid w:val="00182F2B"/>
    <w:rsid w:val="00182F7B"/>
    <w:rsid w:val="00182FB7"/>
    <w:rsid w:val="00183725"/>
    <w:rsid w:val="00183B2F"/>
    <w:rsid w:val="00183CD4"/>
    <w:rsid w:val="00183F54"/>
    <w:rsid w:val="001840FF"/>
    <w:rsid w:val="0018465B"/>
    <w:rsid w:val="001847DF"/>
    <w:rsid w:val="00184807"/>
    <w:rsid w:val="0018485B"/>
    <w:rsid w:val="001849DB"/>
    <w:rsid w:val="00184B75"/>
    <w:rsid w:val="00184BB3"/>
    <w:rsid w:val="00184C87"/>
    <w:rsid w:val="00184E66"/>
    <w:rsid w:val="00184FF5"/>
    <w:rsid w:val="001850A3"/>
    <w:rsid w:val="001850B4"/>
    <w:rsid w:val="001850F1"/>
    <w:rsid w:val="0018515D"/>
    <w:rsid w:val="0018523B"/>
    <w:rsid w:val="001852F6"/>
    <w:rsid w:val="00185626"/>
    <w:rsid w:val="00185891"/>
    <w:rsid w:val="00185DA1"/>
    <w:rsid w:val="00185F19"/>
    <w:rsid w:val="00185F8D"/>
    <w:rsid w:val="0018624E"/>
    <w:rsid w:val="001865A8"/>
    <w:rsid w:val="0018669E"/>
    <w:rsid w:val="00186909"/>
    <w:rsid w:val="00186D7B"/>
    <w:rsid w:val="00186D8C"/>
    <w:rsid w:val="00187360"/>
    <w:rsid w:val="001876B1"/>
    <w:rsid w:val="00187866"/>
    <w:rsid w:val="00187F09"/>
    <w:rsid w:val="0019001D"/>
    <w:rsid w:val="00190513"/>
    <w:rsid w:val="001906BB"/>
    <w:rsid w:val="0019087D"/>
    <w:rsid w:val="00190A07"/>
    <w:rsid w:val="00190B89"/>
    <w:rsid w:val="00190C6B"/>
    <w:rsid w:val="00190E97"/>
    <w:rsid w:val="00190F9C"/>
    <w:rsid w:val="00191085"/>
    <w:rsid w:val="001911FE"/>
    <w:rsid w:val="001912E4"/>
    <w:rsid w:val="00191642"/>
    <w:rsid w:val="00191827"/>
    <w:rsid w:val="00191B54"/>
    <w:rsid w:val="00192203"/>
    <w:rsid w:val="001929B8"/>
    <w:rsid w:val="001929CA"/>
    <w:rsid w:val="00192BCE"/>
    <w:rsid w:val="00192EC8"/>
    <w:rsid w:val="00192F5D"/>
    <w:rsid w:val="00192F81"/>
    <w:rsid w:val="00193047"/>
    <w:rsid w:val="0019312F"/>
    <w:rsid w:val="00193187"/>
    <w:rsid w:val="0019343E"/>
    <w:rsid w:val="001934C9"/>
    <w:rsid w:val="0019367E"/>
    <w:rsid w:val="00193680"/>
    <w:rsid w:val="00193A33"/>
    <w:rsid w:val="00193E35"/>
    <w:rsid w:val="00194010"/>
    <w:rsid w:val="00194075"/>
    <w:rsid w:val="00194143"/>
    <w:rsid w:val="0019420B"/>
    <w:rsid w:val="0019441E"/>
    <w:rsid w:val="001944FD"/>
    <w:rsid w:val="0019459A"/>
    <w:rsid w:val="001948A5"/>
    <w:rsid w:val="00194920"/>
    <w:rsid w:val="00194C25"/>
    <w:rsid w:val="00194DC7"/>
    <w:rsid w:val="00194E45"/>
    <w:rsid w:val="00194F68"/>
    <w:rsid w:val="001950DA"/>
    <w:rsid w:val="0019511E"/>
    <w:rsid w:val="0019555F"/>
    <w:rsid w:val="00195617"/>
    <w:rsid w:val="0019579C"/>
    <w:rsid w:val="001957E0"/>
    <w:rsid w:val="00195BC3"/>
    <w:rsid w:val="00195BEE"/>
    <w:rsid w:val="00195C20"/>
    <w:rsid w:val="00195CA1"/>
    <w:rsid w:val="00195DAB"/>
    <w:rsid w:val="00195DF6"/>
    <w:rsid w:val="00195E79"/>
    <w:rsid w:val="00195F32"/>
    <w:rsid w:val="001960A3"/>
    <w:rsid w:val="00196185"/>
    <w:rsid w:val="00196215"/>
    <w:rsid w:val="0019622F"/>
    <w:rsid w:val="00196332"/>
    <w:rsid w:val="00196498"/>
    <w:rsid w:val="0019678E"/>
    <w:rsid w:val="00196C36"/>
    <w:rsid w:val="00196C82"/>
    <w:rsid w:val="00196DCC"/>
    <w:rsid w:val="0019704E"/>
    <w:rsid w:val="0019708A"/>
    <w:rsid w:val="001973B8"/>
    <w:rsid w:val="00197549"/>
    <w:rsid w:val="00197566"/>
    <w:rsid w:val="00197A3B"/>
    <w:rsid w:val="001A0057"/>
    <w:rsid w:val="001A01BE"/>
    <w:rsid w:val="001A0263"/>
    <w:rsid w:val="001A02B1"/>
    <w:rsid w:val="001A02FC"/>
    <w:rsid w:val="001A0778"/>
    <w:rsid w:val="001A092C"/>
    <w:rsid w:val="001A0F7A"/>
    <w:rsid w:val="001A13AC"/>
    <w:rsid w:val="001A168A"/>
    <w:rsid w:val="001A1855"/>
    <w:rsid w:val="001A1B28"/>
    <w:rsid w:val="001A1E1F"/>
    <w:rsid w:val="001A1E3A"/>
    <w:rsid w:val="001A1E3B"/>
    <w:rsid w:val="001A1E3C"/>
    <w:rsid w:val="001A1EC3"/>
    <w:rsid w:val="001A2037"/>
    <w:rsid w:val="001A217C"/>
    <w:rsid w:val="001A21D6"/>
    <w:rsid w:val="001A2205"/>
    <w:rsid w:val="001A241A"/>
    <w:rsid w:val="001A24B8"/>
    <w:rsid w:val="001A267E"/>
    <w:rsid w:val="001A29B1"/>
    <w:rsid w:val="001A2ADE"/>
    <w:rsid w:val="001A2E50"/>
    <w:rsid w:val="001A3114"/>
    <w:rsid w:val="001A342E"/>
    <w:rsid w:val="001A3592"/>
    <w:rsid w:val="001A35C6"/>
    <w:rsid w:val="001A35C8"/>
    <w:rsid w:val="001A36D0"/>
    <w:rsid w:val="001A36F0"/>
    <w:rsid w:val="001A3832"/>
    <w:rsid w:val="001A3966"/>
    <w:rsid w:val="001A3981"/>
    <w:rsid w:val="001A39B8"/>
    <w:rsid w:val="001A4108"/>
    <w:rsid w:val="001A4313"/>
    <w:rsid w:val="001A43A9"/>
    <w:rsid w:val="001A44D2"/>
    <w:rsid w:val="001A463E"/>
    <w:rsid w:val="001A46C4"/>
    <w:rsid w:val="001A471E"/>
    <w:rsid w:val="001A473B"/>
    <w:rsid w:val="001A4836"/>
    <w:rsid w:val="001A4CEA"/>
    <w:rsid w:val="001A4DDD"/>
    <w:rsid w:val="001A5038"/>
    <w:rsid w:val="001A5262"/>
    <w:rsid w:val="001A5364"/>
    <w:rsid w:val="001A5412"/>
    <w:rsid w:val="001A5582"/>
    <w:rsid w:val="001A5B35"/>
    <w:rsid w:val="001A5CAA"/>
    <w:rsid w:val="001A5E99"/>
    <w:rsid w:val="001A6082"/>
    <w:rsid w:val="001A620C"/>
    <w:rsid w:val="001A631E"/>
    <w:rsid w:val="001A66EC"/>
    <w:rsid w:val="001A689F"/>
    <w:rsid w:val="001A68FF"/>
    <w:rsid w:val="001A6A78"/>
    <w:rsid w:val="001A6B48"/>
    <w:rsid w:val="001A6B7C"/>
    <w:rsid w:val="001A7067"/>
    <w:rsid w:val="001A7082"/>
    <w:rsid w:val="001A7147"/>
    <w:rsid w:val="001A73F5"/>
    <w:rsid w:val="001A77AA"/>
    <w:rsid w:val="001A77AD"/>
    <w:rsid w:val="001A7826"/>
    <w:rsid w:val="001A791C"/>
    <w:rsid w:val="001A7AF3"/>
    <w:rsid w:val="001A7BB6"/>
    <w:rsid w:val="001A7D9C"/>
    <w:rsid w:val="001A7DC0"/>
    <w:rsid w:val="001A7DC4"/>
    <w:rsid w:val="001B007F"/>
    <w:rsid w:val="001B00C5"/>
    <w:rsid w:val="001B017E"/>
    <w:rsid w:val="001B095B"/>
    <w:rsid w:val="001B0CD4"/>
    <w:rsid w:val="001B1611"/>
    <w:rsid w:val="001B1695"/>
    <w:rsid w:val="001B16E7"/>
    <w:rsid w:val="001B1CA5"/>
    <w:rsid w:val="001B1CB8"/>
    <w:rsid w:val="001B1E0B"/>
    <w:rsid w:val="001B20CF"/>
    <w:rsid w:val="001B2193"/>
    <w:rsid w:val="001B24FB"/>
    <w:rsid w:val="001B2D2C"/>
    <w:rsid w:val="001B2E11"/>
    <w:rsid w:val="001B3044"/>
    <w:rsid w:val="001B3092"/>
    <w:rsid w:val="001B352A"/>
    <w:rsid w:val="001B36A5"/>
    <w:rsid w:val="001B3765"/>
    <w:rsid w:val="001B3D18"/>
    <w:rsid w:val="001B411B"/>
    <w:rsid w:val="001B460B"/>
    <w:rsid w:val="001B4648"/>
    <w:rsid w:val="001B47F1"/>
    <w:rsid w:val="001B4D1B"/>
    <w:rsid w:val="001B52FF"/>
    <w:rsid w:val="001B558E"/>
    <w:rsid w:val="001B55F5"/>
    <w:rsid w:val="001B57A9"/>
    <w:rsid w:val="001B5968"/>
    <w:rsid w:val="001B5970"/>
    <w:rsid w:val="001B59A8"/>
    <w:rsid w:val="001B5A08"/>
    <w:rsid w:val="001B5B3C"/>
    <w:rsid w:val="001B5C8A"/>
    <w:rsid w:val="001B5CE6"/>
    <w:rsid w:val="001B609A"/>
    <w:rsid w:val="001B60B1"/>
    <w:rsid w:val="001B61FD"/>
    <w:rsid w:val="001B62C1"/>
    <w:rsid w:val="001B643B"/>
    <w:rsid w:val="001B65DE"/>
    <w:rsid w:val="001B67C4"/>
    <w:rsid w:val="001B6A3D"/>
    <w:rsid w:val="001B6A44"/>
    <w:rsid w:val="001B6CA5"/>
    <w:rsid w:val="001B6F9D"/>
    <w:rsid w:val="001B72A1"/>
    <w:rsid w:val="001B72F5"/>
    <w:rsid w:val="001B75BE"/>
    <w:rsid w:val="001B75CA"/>
    <w:rsid w:val="001B7925"/>
    <w:rsid w:val="001B79E4"/>
    <w:rsid w:val="001B7BEE"/>
    <w:rsid w:val="001B7C0E"/>
    <w:rsid w:val="001B7E8F"/>
    <w:rsid w:val="001C04D5"/>
    <w:rsid w:val="001C0597"/>
    <w:rsid w:val="001C08CA"/>
    <w:rsid w:val="001C09C1"/>
    <w:rsid w:val="001C0C6A"/>
    <w:rsid w:val="001C0F15"/>
    <w:rsid w:val="001C114F"/>
    <w:rsid w:val="001C1189"/>
    <w:rsid w:val="001C11C9"/>
    <w:rsid w:val="001C128C"/>
    <w:rsid w:val="001C1413"/>
    <w:rsid w:val="001C16BA"/>
    <w:rsid w:val="001C17A5"/>
    <w:rsid w:val="001C1D08"/>
    <w:rsid w:val="001C1DFF"/>
    <w:rsid w:val="001C2151"/>
    <w:rsid w:val="001C2208"/>
    <w:rsid w:val="001C2433"/>
    <w:rsid w:val="001C24C2"/>
    <w:rsid w:val="001C27C0"/>
    <w:rsid w:val="001C27DB"/>
    <w:rsid w:val="001C295F"/>
    <w:rsid w:val="001C2E0D"/>
    <w:rsid w:val="001C318F"/>
    <w:rsid w:val="001C33B8"/>
    <w:rsid w:val="001C3414"/>
    <w:rsid w:val="001C37EE"/>
    <w:rsid w:val="001C3A64"/>
    <w:rsid w:val="001C3AC8"/>
    <w:rsid w:val="001C3B36"/>
    <w:rsid w:val="001C3D81"/>
    <w:rsid w:val="001C3E12"/>
    <w:rsid w:val="001C3ECF"/>
    <w:rsid w:val="001C408D"/>
    <w:rsid w:val="001C42A3"/>
    <w:rsid w:val="001C4472"/>
    <w:rsid w:val="001C48FD"/>
    <w:rsid w:val="001C53FF"/>
    <w:rsid w:val="001C5425"/>
    <w:rsid w:val="001C57B4"/>
    <w:rsid w:val="001C5867"/>
    <w:rsid w:val="001C5957"/>
    <w:rsid w:val="001C5967"/>
    <w:rsid w:val="001C5AFA"/>
    <w:rsid w:val="001C5B83"/>
    <w:rsid w:val="001C5C32"/>
    <w:rsid w:val="001C60AB"/>
    <w:rsid w:val="001C6279"/>
    <w:rsid w:val="001C637E"/>
    <w:rsid w:val="001C6415"/>
    <w:rsid w:val="001C6517"/>
    <w:rsid w:val="001C6526"/>
    <w:rsid w:val="001C6805"/>
    <w:rsid w:val="001C682C"/>
    <w:rsid w:val="001C6A75"/>
    <w:rsid w:val="001C6EB9"/>
    <w:rsid w:val="001C7340"/>
    <w:rsid w:val="001C735D"/>
    <w:rsid w:val="001C739C"/>
    <w:rsid w:val="001C7410"/>
    <w:rsid w:val="001C74E6"/>
    <w:rsid w:val="001C782A"/>
    <w:rsid w:val="001C793A"/>
    <w:rsid w:val="001C799B"/>
    <w:rsid w:val="001C7CFE"/>
    <w:rsid w:val="001C7DD1"/>
    <w:rsid w:val="001C7E94"/>
    <w:rsid w:val="001C7F4B"/>
    <w:rsid w:val="001D0080"/>
    <w:rsid w:val="001D024E"/>
    <w:rsid w:val="001D0350"/>
    <w:rsid w:val="001D0627"/>
    <w:rsid w:val="001D062F"/>
    <w:rsid w:val="001D0C3C"/>
    <w:rsid w:val="001D0E54"/>
    <w:rsid w:val="001D0EBD"/>
    <w:rsid w:val="001D0F60"/>
    <w:rsid w:val="001D1393"/>
    <w:rsid w:val="001D1680"/>
    <w:rsid w:val="001D1B52"/>
    <w:rsid w:val="001D1C54"/>
    <w:rsid w:val="001D2298"/>
    <w:rsid w:val="001D23A9"/>
    <w:rsid w:val="001D2456"/>
    <w:rsid w:val="001D2552"/>
    <w:rsid w:val="001D26F9"/>
    <w:rsid w:val="001D291C"/>
    <w:rsid w:val="001D2B3D"/>
    <w:rsid w:val="001D351E"/>
    <w:rsid w:val="001D358E"/>
    <w:rsid w:val="001D35FE"/>
    <w:rsid w:val="001D36B5"/>
    <w:rsid w:val="001D3A3D"/>
    <w:rsid w:val="001D3AE0"/>
    <w:rsid w:val="001D3B8E"/>
    <w:rsid w:val="001D3F3F"/>
    <w:rsid w:val="001D3FAE"/>
    <w:rsid w:val="001D4077"/>
    <w:rsid w:val="001D415E"/>
    <w:rsid w:val="001D462A"/>
    <w:rsid w:val="001D46FC"/>
    <w:rsid w:val="001D48BB"/>
    <w:rsid w:val="001D4911"/>
    <w:rsid w:val="001D49E8"/>
    <w:rsid w:val="001D52D7"/>
    <w:rsid w:val="001D540C"/>
    <w:rsid w:val="001D549E"/>
    <w:rsid w:val="001D5547"/>
    <w:rsid w:val="001D57E3"/>
    <w:rsid w:val="001D589F"/>
    <w:rsid w:val="001D58B8"/>
    <w:rsid w:val="001D5A27"/>
    <w:rsid w:val="001D5C1E"/>
    <w:rsid w:val="001D5CBB"/>
    <w:rsid w:val="001D5F2D"/>
    <w:rsid w:val="001D5FAB"/>
    <w:rsid w:val="001D679C"/>
    <w:rsid w:val="001D6884"/>
    <w:rsid w:val="001D68F6"/>
    <w:rsid w:val="001D6B84"/>
    <w:rsid w:val="001D6C49"/>
    <w:rsid w:val="001D6D53"/>
    <w:rsid w:val="001D732A"/>
    <w:rsid w:val="001D7683"/>
    <w:rsid w:val="001D7C92"/>
    <w:rsid w:val="001D7DC4"/>
    <w:rsid w:val="001E0027"/>
    <w:rsid w:val="001E0031"/>
    <w:rsid w:val="001E0216"/>
    <w:rsid w:val="001E027F"/>
    <w:rsid w:val="001E04A2"/>
    <w:rsid w:val="001E0743"/>
    <w:rsid w:val="001E09AC"/>
    <w:rsid w:val="001E0A12"/>
    <w:rsid w:val="001E0A8D"/>
    <w:rsid w:val="001E0AE6"/>
    <w:rsid w:val="001E0ED2"/>
    <w:rsid w:val="001E0FEE"/>
    <w:rsid w:val="001E0FFE"/>
    <w:rsid w:val="001E11D5"/>
    <w:rsid w:val="001E13E3"/>
    <w:rsid w:val="001E14A3"/>
    <w:rsid w:val="001E15E7"/>
    <w:rsid w:val="001E1727"/>
    <w:rsid w:val="001E1ACF"/>
    <w:rsid w:val="001E1B0F"/>
    <w:rsid w:val="001E1C2D"/>
    <w:rsid w:val="001E1DFF"/>
    <w:rsid w:val="001E1E94"/>
    <w:rsid w:val="001E1FC0"/>
    <w:rsid w:val="001E215A"/>
    <w:rsid w:val="001E2164"/>
    <w:rsid w:val="001E2390"/>
    <w:rsid w:val="001E239B"/>
    <w:rsid w:val="001E246A"/>
    <w:rsid w:val="001E249F"/>
    <w:rsid w:val="001E24EE"/>
    <w:rsid w:val="001E27D5"/>
    <w:rsid w:val="001E28FD"/>
    <w:rsid w:val="001E2975"/>
    <w:rsid w:val="001E2A14"/>
    <w:rsid w:val="001E2D0D"/>
    <w:rsid w:val="001E2F07"/>
    <w:rsid w:val="001E3246"/>
    <w:rsid w:val="001E359B"/>
    <w:rsid w:val="001E3668"/>
    <w:rsid w:val="001E371F"/>
    <w:rsid w:val="001E3D5C"/>
    <w:rsid w:val="001E3DFD"/>
    <w:rsid w:val="001E4324"/>
    <w:rsid w:val="001E4657"/>
    <w:rsid w:val="001E469C"/>
    <w:rsid w:val="001E46C6"/>
    <w:rsid w:val="001E46F5"/>
    <w:rsid w:val="001E4894"/>
    <w:rsid w:val="001E498C"/>
    <w:rsid w:val="001E4EA2"/>
    <w:rsid w:val="001E51CF"/>
    <w:rsid w:val="001E564C"/>
    <w:rsid w:val="001E5791"/>
    <w:rsid w:val="001E5805"/>
    <w:rsid w:val="001E590C"/>
    <w:rsid w:val="001E5965"/>
    <w:rsid w:val="001E6325"/>
    <w:rsid w:val="001E63BD"/>
    <w:rsid w:val="001E6594"/>
    <w:rsid w:val="001E6B4A"/>
    <w:rsid w:val="001E6CFD"/>
    <w:rsid w:val="001E6D1A"/>
    <w:rsid w:val="001E6E1F"/>
    <w:rsid w:val="001E7210"/>
    <w:rsid w:val="001E756C"/>
    <w:rsid w:val="001E76D2"/>
    <w:rsid w:val="001E77F9"/>
    <w:rsid w:val="001E78F2"/>
    <w:rsid w:val="001E78F6"/>
    <w:rsid w:val="001E797D"/>
    <w:rsid w:val="001E79A8"/>
    <w:rsid w:val="001E7A31"/>
    <w:rsid w:val="001E7B49"/>
    <w:rsid w:val="001E7BC0"/>
    <w:rsid w:val="001E7C12"/>
    <w:rsid w:val="001E7C5F"/>
    <w:rsid w:val="001E7DF0"/>
    <w:rsid w:val="001E7E43"/>
    <w:rsid w:val="001F00B8"/>
    <w:rsid w:val="001F0500"/>
    <w:rsid w:val="001F0B64"/>
    <w:rsid w:val="001F0B81"/>
    <w:rsid w:val="001F0C4E"/>
    <w:rsid w:val="001F0ED9"/>
    <w:rsid w:val="001F1304"/>
    <w:rsid w:val="001F139C"/>
    <w:rsid w:val="001F13E4"/>
    <w:rsid w:val="001F1591"/>
    <w:rsid w:val="001F1882"/>
    <w:rsid w:val="001F1955"/>
    <w:rsid w:val="001F19A7"/>
    <w:rsid w:val="001F1A3D"/>
    <w:rsid w:val="001F1A5B"/>
    <w:rsid w:val="001F1C70"/>
    <w:rsid w:val="001F1DC5"/>
    <w:rsid w:val="001F1F0C"/>
    <w:rsid w:val="001F1F3D"/>
    <w:rsid w:val="001F1F78"/>
    <w:rsid w:val="001F20BD"/>
    <w:rsid w:val="001F20C6"/>
    <w:rsid w:val="001F2162"/>
    <w:rsid w:val="001F2248"/>
    <w:rsid w:val="001F22A9"/>
    <w:rsid w:val="001F2346"/>
    <w:rsid w:val="001F246B"/>
    <w:rsid w:val="001F2540"/>
    <w:rsid w:val="001F2BE2"/>
    <w:rsid w:val="001F2C4C"/>
    <w:rsid w:val="001F2D2A"/>
    <w:rsid w:val="001F2E4B"/>
    <w:rsid w:val="001F30B0"/>
    <w:rsid w:val="001F33C3"/>
    <w:rsid w:val="001F351C"/>
    <w:rsid w:val="001F35D2"/>
    <w:rsid w:val="001F36F6"/>
    <w:rsid w:val="001F394E"/>
    <w:rsid w:val="001F39E4"/>
    <w:rsid w:val="001F3A51"/>
    <w:rsid w:val="001F3A76"/>
    <w:rsid w:val="001F3C9A"/>
    <w:rsid w:val="001F3E3B"/>
    <w:rsid w:val="001F4118"/>
    <w:rsid w:val="001F4216"/>
    <w:rsid w:val="001F460C"/>
    <w:rsid w:val="001F468D"/>
    <w:rsid w:val="001F472A"/>
    <w:rsid w:val="001F4BE2"/>
    <w:rsid w:val="001F4E77"/>
    <w:rsid w:val="001F4EC5"/>
    <w:rsid w:val="001F50CE"/>
    <w:rsid w:val="001F5257"/>
    <w:rsid w:val="001F526D"/>
    <w:rsid w:val="001F527D"/>
    <w:rsid w:val="001F545B"/>
    <w:rsid w:val="001F54A6"/>
    <w:rsid w:val="001F56F6"/>
    <w:rsid w:val="001F595D"/>
    <w:rsid w:val="001F5B3A"/>
    <w:rsid w:val="001F5CB3"/>
    <w:rsid w:val="001F5F9F"/>
    <w:rsid w:val="001F608F"/>
    <w:rsid w:val="001F6435"/>
    <w:rsid w:val="001F64B6"/>
    <w:rsid w:val="001F6512"/>
    <w:rsid w:val="001F6F6E"/>
    <w:rsid w:val="001F7076"/>
    <w:rsid w:val="001F7121"/>
    <w:rsid w:val="001F7147"/>
    <w:rsid w:val="001F71CB"/>
    <w:rsid w:val="001F71F8"/>
    <w:rsid w:val="001F76C6"/>
    <w:rsid w:val="001F7815"/>
    <w:rsid w:val="001F7A12"/>
    <w:rsid w:val="001F7F53"/>
    <w:rsid w:val="00200145"/>
    <w:rsid w:val="0020018D"/>
    <w:rsid w:val="00200305"/>
    <w:rsid w:val="0020036C"/>
    <w:rsid w:val="0020108A"/>
    <w:rsid w:val="002013DE"/>
    <w:rsid w:val="0020140B"/>
    <w:rsid w:val="00201512"/>
    <w:rsid w:val="002016D8"/>
    <w:rsid w:val="0020182D"/>
    <w:rsid w:val="00201A02"/>
    <w:rsid w:val="00201F03"/>
    <w:rsid w:val="002022C5"/>
    <w:rsid w:val="00202613"/>
    <w:rsid w:val="00202846"/>
    <w:rsid w:val="00202AB2"/>
    <w:rsid w:val="00202CE1"/>
    <w:rsid w:val="00202D0A"/>
    <w:rsid w:val="00202E88"/>
    <w:rsid w:val="00202EE3"/>
    <w:rsid w:val="0020312F"/>
    <w:rsid w:val="002031D5"/>
    <w:rsid w:val="00203909"/>
    <w:rsid w:val="002040E9"/>
    <w:rsid w:val="002040FC"/>
    <w:rsid w:val="002042F8"/>
    <w:rsid w:val="002043D3"/>
    <w:rsid w:val="00204414"/>
    <w:rsid w:val="00204515"/>
    <w:rsid w:val="00204539"/>
    <w:rsid w:val="0020473D"/>
    <w:rsid w:val="0020482E"/>
    <w:rsid w:val="00204861"/>
    <w:rsid w:val="00204C5E"/>
    <w:rsid w:val="00204F7D"/>
    <w:rsid w:val="00205030"/>
    <w:rsid w:val="0020505A"/>
    <w:rsid w:val="00205288"/>
    <w:rsid w:val="0020552D"/>
    <w:rsid w:val="00205886"/>
    <w:rsid w:val="00205ABC"/>
    <w:rsid w:val="00205E1C"/>
    <w:rsid w:val="00205E57"/>
    <w:rsid w:val="00206437"/>
    <w:rsid w:val="002066E1"/>
    <w:rsid w:val="00206973"/>
    <w:rsid w:val="00206A78"/>
    <w:rsid w:val="00206EAD"/>
    <w:rsid w:val="002074B8"/>
    <w:rsid w:val="0020752F"/>
    <w:rsid w:val="002077FF"/>
    <w:rsid w:val="00207900"/>
    <w:rsid w:val="00207A23"/>
    <w:rsid w:val="00207C57"/>
    <w:rsid w:val="00207ECC"/>
    <w:rsid w:val="00207F6E"/>
    <w:rsid w:val="00210362"/>
    <w:rsid w:val="00210430"/>
    <w:rsid w:val="00210558"/>
    <w:rsid w:val="002106B9"/>
    <w:rsid w:val="002107B1"/>
    <w:rsid w:val="002108CB"/>
    <w:rsid w:val="00210D4F"/>
    <w:rsid w:val="00210DA6"/>
    <w:rsid w:val="00210DB4"/>
    <w:rsid w:val="002110AC"/>
    <w:rsid w:val="002111DA"/>
    <w:rsid w:val="002117F9"/>
    <w:rsid w:val="002119D6"/>
    <w:rsid w:val="00211EB4"/>
    <w:rsid w:val="00211F44"/>
    <w:rsid w:val="002122AB"/>
    <w:rsid w:val="00212462"/>
    <w:rsid w:val="0021248A"/>
    <w:rsid w:val="0021277D"/>
    <w:rsid w:val="002128CB"/>
    <w:rsid w:val="002128CD"/>
    <w:rsid w:val="00212D0F"/>
    <w:rsid w:val="00212EF8"/>
    <w:rsid w:val="00212FC4"/>
    <w:rsid w:val="0021347F"/>
    <w:rsid w:val="0021368B"/>
    <w:rsid w:val="002139C5"/>
    <w:rsid w:val="00213CC6"/>
    <w:rsid w:val="00213D16"/>
    <w:rsid w:val="00213DDB"/>
    <w:rsid w:val="00213F14"/>
    <w:rsid w:val="00213FBC"/>
    <w:rsid w:val="002140E0"/>
    <w:rsid w:val="0021413D"/>
    <w:rsid w:val="002145D5"/>
    <w:rsid w:val="00214C61"/>
    <w:rsid w:val="00214DF6"/>
    <w:rsid w:val="00214FB5"/>
    <w:rsid w:val="00215093"/>
    <w:rsid w:val="0021510A"/>
    <w:rsid w:val="00215273"/>
    <w:rsid w:val="00215344"/>
    <w:rsid w:val="0021569D"/>
    <w:rsid w:val="002158CA"/>
    <w:rsid w:val="00215965"/>
    <w:rsid w:val="00215B1A"/>
    <w:rsid w:val="00215C4E"/>
    <w:rsid w:val="00215D0B"/>
    <w:rsid w:val="00215D6E"/>
    <w:rsid w:val="00215EBC"/>
    <w:rsid w:val="00215EEF"/>
    <w:rsid w:val="00216173"/>
    <w:rsid w:val="0021631B"/>
    <w:rsid w:val="0021641C"/>
    <w:rsid w:val="00216562"/>
    <w:rsid w:val="002165B1"/>
    <w:rsid w:val="00216651"/>
    <w:rsid w:val="002167A6"/>
    <w:rsid w:val="00216912"/>
    <w:rsid w:val="002169EB"/>
    <w:rsid w:val="00216B20"/>
    <w:rsid w:val="00216C37"/>
    <w:rsid w:val="00217019"/>
    <w:rsid w:val="002170CE"/>
    <w:rsid w:val="00217316"/>
    <w:rsid w:val="00217547"/>
    <w:rsid w:val="00217739"/>
    <w:rsid w:val="0021789B"/>
    <w:rsid w:val="002179EB"/>
    <w:rsid w:val="00217A86"/>
    <w:rsid w:val="00217B35"/>
    <w:rsid w:val="00217B61"/>
    <w:rsid w:val="00217E92"/>
    <w:rsid w:val="00217F7D"/>
    <w:rsid w:val="002204AA"/>
    <w:rsid w:val="00220529"/>
    <w:rsid w:val="00220674"/>
    <w:rsid w:val="0022076F"/>
    <w:rsid w:val="00220F62"/>
    <w:rsid w:val="00220F8E"/>
    <w:rsid w:val="00220FF7"/>
    <w:rsid w:val="002214F0"/>
    <w:rsid w:val="0022155C"/>
    <w:rsid w:val="00221579"/>
    <w:rsid w:val="002218FC"/>
    <w:rsid w:val="00221A34"/>
    <w:rsid w:val="00221C3C"/>
    <w:rsid w:val="002221B6"/>
    <w:rsid w:val="002221D7"/>
    <w:rsid w:val="00222336"/>
    <w:rsid w:val="002224DA"/>
    <w:rsid w:val="0022253A"/>
    <w:rsid w:val="00222814"/>
    <w:rsid w:val="002230C8"/>
    <w:rsid w:val="002230EF"/>
    <w:rsid w:val="0022316D"/>
    <w:rsid w:val="002234C5"/>
    <w:rsid w:val="00223784"/>
    <w:rsid w:val="00223B00"/>
    <w:rsid w:val="00223BFA"/>
    <w:rsid w:val="00223D28"/>
    <w:rsid w:val="00223FF4"/>
    <w:rsid w:val="0022427D"/>
    <w:rsid w:val="002244F4"/>
    <w:rsid w:val="002246DF"/>
    <w:rsid w:val="002247D9"/>
    <w:rsid w:val="00224849"/>
    <w:rsid w:val="00224BCB"/>
    <w:rsid w:val="00224C87"/>
    <w:rsid w:val="00225049"/>
    <w:rsid w:val="00225341"/>
    <w:rsid w:val="002257AE"/>
    <w:rsid w:val="002257E4"/>
    <w:rsid w:val="00225B0D"/>
    <w:rsid w:val="00225BE5"/>
    <w:rsid w:val="00225CF7"/>
    <w:rsid w:val="00225E9E"/>
    <w:rsid w:val="00226346"/>
    <w:rsid w:val="00226356"/>
    <w:rsid w:val="00226417"/>
    <w:rsid w:val="00226472"/>
    <w:rsid w:val="00226541"/>
    <w:rsid w:val="00226598"/>
    <w:rsid w:val="0022673B"/>
    <w:rsid w:val="00226A91"/>
    <w:rsid w:val="00226CC3"/>
    <w:rsid w:val="00226F3A"/>
    <w:rsid w:val="002273A0"/>
    <w:rsid w:val="002274C8"/>
    <w:rsid w:val="002275E2"/>
    <w:rsid w:val="002275EF"/>
    <w:rsid w:val="0022760C"/>
    <w:rsid w:val="00227971"/>
    <w:rsid w:val="002279D7"/>
    <w:rsid w:val="00227D3B"/>
    <w:rsid w:val="00227FEF"/>
    <w:rsid w:val="002300F4"/>
    <w:rsid w:val="0023023F"/>
    <w:rsid w:val="002307AA"/>
    <w:rsid w:val="00230C9A"/>
    <w:rsid w:val="00230D8E"/>
    <w:rsid w:val="002310DC"/>
    <w:rsid w:val="00231173"/>
    <w:rsid w:val="00231333"/>
    <w:rsid w:val="00231C06"/>
    <w:rsid w:val="00231CF8"/>
    <w:rsid w:val="00231DBA"/>
    <w:rsid w:val="00231E65"/>
    <w:rsid w:val="00231EFA"/>
    <w:rsid w:val="0023217F"/>
    <w:rsid w:val="0023220E"/>
    <w:rsid w:val="002322E1"/>
    <w:rsid w:val="0023257B"/>
    <w:rsid w:val="002327BB"/>
    <w:rsid w:val="00232CC1"/>
    <w:rsid w:val="00232E49"/>
    <w:rsid w:val="00232FDC"/>
    <w:rsid w:val="002330E2"/>
    <w:rsid w:val="002331AA"/>
    <w:rsid w:val="002331DE"/>
    <w:rsid w:val="00233675"/>
    <w:rsid w:val="00233761"/>
    <w:rsid w:val="00233C31"/>
    <w:rsid w:val="00233C64"/>
    <w:rsid w:val="00233D40"/>
    <w:rsid w:val="00233E30"/>
    <w:rsid w:val="00233EB6"/>
    <w:rsid w:val="00234225"/>
    <w:rsid w:val="0023476B"/>
    <w:rsid w:val="00234FCB"/>
    <w:rsid w:val="0023509B"/>
    <w:rsid w:val="00235177"/>
    <w:rsid w:val="00235229"/>
    <w:rsid w:val="00235615"/>
    <w:rsid w:val="00235824"/>
    <w:rsid w:val="002359EF"/>
    <w:rsid w:val="00235AC7"/>
    <w:rsid w:val="00235AE1"/>
    <w:rsid w:val="00235BF9"/>
    <w:rsid w:val="00235CC8"/>
    <w:rsid w:val="00235D4C"/>
    <w:rsid w:val="00235EEC"/>
    <w:rsid w:val="0023617A"/>
    <w:rsid w:val="00236216"/>
    <w:rsid w:val="0023637F"/>
    <w:rsid w:val="002367C7"/>
    <w:rsid w:val="002369BF"/>
    <w:rsid w:val="00236B23"/>
    <w:rsid w:val="00236CFD"/>
    <w:rsid w:val="00236EC7"/>
    <w:rsid w:val="00236EFB"/>
    <w:rsid w:val="0023701C"/>
    <w:rsid w:val="002374B3"/>
    <w:rsid w:val="0023776A"/>
    <w:rsid w:val="00237776"/>
    <w:rsid w:val="002379D9"/>
    <w:rsid w:val="00240162"/>
    <w:rsid w:val="0024036D"/>
    <w:rsid w:val="002405AC"/>
    <w:rsid w:val="002405E0"/>
    <w:rsid w:val="0024062D"/>
    <w:rsid w:val="00240753"/>
    <w:rsid w:val="002409A0"/>
    <w:rsid w:val="00240A3A"/>
    <w:rsid w:val="00240E87"/>
    <w:rsid w:val="00241095"/>
    <w:rsid w:val="00241277"/>
    <w:rsid w:val="002413EF"/>
    <w:rsid w:val="002415E9"/>
    <w:rsid w:val="00241876"/>
    <w:rsid w:val="00241966"/>
    <w:rsid w:val="00241CB8"/>
    <w:rsid w:val="00242388"/>
    <w:rsid w:val="002423D3"/>
    <w:rsid w:val="00242D3E"/>
    <w:rsid w:val="00242E35"/>
    <w:rsid w:val="00242F92"/>
    <w:rsid w:val="00242FD0"/>
    <w:rsid w:val="00242FE9"/>
    <w:rsid w:val="0024305E"/>
    <w:rsid w:val="00243290"/>
    <w:rsid w:val="002434D2"/>
    <w:rsid w:val="002436DE"/>
    <w:rsid w:val="00243D82"/>
    <w:rsid w:val="00243EF9"/>
    <w:rsid w:val="00243FBB"/>
    <w:rsid w:val="00244002"/>
    <w:rsid w:val="002442CF"/>
    <w:rsid w:val="0024460B"/>
    <w:rsid w:val="00244A04"/>
    <w:rsid w:val="002450FC"/>
    <w:rsid w:val="00245245"/>
    <w:rsid w:val="00245374"/>
    <w:rsid w:val="0024538C"/>
    <w:rsid w:val="00245409"/>
    <w:rsid w:val="00245419"/>
    <w:rsid w:val="0024552E"/>
    <w:rsid w:val="00245866"/>
    <w:rsid w:val="00245A2A"/>
    <w:rsid w:val="00245A40"/>
    <w:rsid w:val="00246119"/>
    <w:rsid w:val="002461F3"/>
    <w:rsid w:val="00246378"/>
    <w:rsid w:val="002464B7"/>
    <w:rsid w:val="002464D3"/>
    <w:rsid w:val="002464FC"/>
    <w:rsid w:val="00246863"/>
    <w:rsid w:val="002469B3"/>
    <w:rsid w:val="00246B0E"/>
    <w:rsid w:val="00246C99"/>
    <w:rsid w:val="00246CE5"/>
    <w:rsid w:val="00246D60"/>
    <w:rsid w:val="00246E37"/>
    <w:rsid w:val="00246F7A"/>
    <w:rsid w:val="00247020"/>
    <w:rsid w:val="0024703D"/>
    <w:rsid w:val="00247061"/>
    <w:rsid w:val="002470E6"/>
    <w:rsid w:val="00247176"/>
    <w:rsid w:val="00247230"/>
    <w:rsid w:val="002473DE"/>
    <w:rsid w:val="002473EA"/>
    <w:rsid w:val="002475FD"/>
    <w:rsid w:val="00247E4B"/>
    <w:rsid w:val="0025008A"/>
    <w:rsid w:val="002504C6"/>
    <w:rsid w:val="002505A2"/>
    <w:rsid w:val="002505B5"/>
    <w:rsid w:val="0025067A"/>
    <w:rsid w:val="0025073F"/>
    <w:rsid w:val="00250892"/>
    <w:rsid w:val="00250924"/>
    <w:rsid w:val="00250963"/>
    <w:rsid w:val="002509CE"/>
    <w:rsid w:val="00250D84"/>
    <w:rsid w:val="00250E1E"/>
    <w:rsid w:val="002510B5"/>
    <w:rsid w:val="002510ED"/>
    <w:rsid w:val="00251300"/>
    <w:rsid w:val="00251FDF"/>
    <w:rsid w:val="002520A8"/>
    <w:rsid w:val="00252225"/>
    <w:rsid w:val="0025246C"/>
    <w:rsid w:val="0025249D"/>
    <w:rsid w:val="002524D1"/>
    <w:rsid w:val="00252549"/>
    <w:rsid w:val="00252652"/>
    <w:rsid w:val="0025273E"/>
    <w:rsid w:val="00252826"/>
    <w:rsid w:val="00252981"/>
    <w:rsid w:val="00252DD7"/>
    <w:rsid w:val="00252EAE"/>
    <w:rsid w:val="00252FEF"/>
    <w:rsid w:val="002531D6"/>
    <w:rsid w:val="00253434"/>
    <w:rsid w:val="002537AD"/>
    <w:rsid w:val="00253B50"/>
    <w:rsid w:val="00253F5E"/>
    <w:rsid w:val="002540BB"/>
    <w:rsid w:val="0025452C"/>
    <w:rsid w:val="0025458E"/>
    <w:rsid w:val="00254696"/>
    <w:rsid w:val="0025476B"/>
    <w:rsid w:val="00254C50"/>
    <w:rsid w:val="002553D5"/>
    <w:rsid w:val="002553EC"/>
    <w:rsid w:val="002554BF"/>
    <w:rsid w:val="00255607"/>
    <w:rsid w:val="002559C1"/>
    <w:rsid w:val="00255C44"/>
    <w:rsid w:val="00255C70"/>
    <w:rsid w:val="00255CEB"/>
    <w:rsid w:val="0025672F"/>
    <w:rsid w:val="002567D0"/>
    <w:rsid w:val="00256925"/>
    <w:rsid w:val="00256BE9"/>
    <w:rsid w:val="0025711F"/>
    <w:rsid w:val="00257317"/>
    <w:rsid w:val="00257325"/>
    <w:rsid w:val="002575CD"/>
    <w:rsid w:val="00257B8E"/>
    <w:rsid w:val="00257DAC"/>
    <w:rsid w:val="00257F30"/>
    <w:rsid w:val="00260004"/>
    <w:rsid w:val="0026050D"/>
    <w:rsid w:val="002607D8"/>
    <w:rsid w:val="00260A12"/>
    <w:rsid w:val="00260AE9"/>
    <w:rsid w:val="00260B99"/>
    <w:rsid w:val="00261118"/>
    <w:rsid w:val="00261564"/>
    <w:rsid w:val="0026178B"/>
    <w:rsid w:val="002618F9"/>
    <w:rsid w:val="00261CD0"/>
    <w:rsid w:val="00261CD3"/>
    <w:rsid w:val="00261CD9"/>
    <w:rsid w:val="0026204A"/>
    <w:rsid w:val="0026208C"/>
    <w:rsid w:val="00262183"/>
    <w:rsid w:val="00262986"/>
    <w:rsid w:val="00262B3E"/>
    <w:rsid w:val="00262BD2"/>
    <w:rsid w:val="00262CE9"/>
    <w:rsid w:val="00262F2D"/>
    <w:rsid w:val="0026307F"/>
    <w:rsid w:val="00263084"/>
    <w:rsid w:val="0026330E"/>
    <w:rsid w:val="00263370"/>
    <w:rsid w:val="00263422"/>
    <w:rsid w:val="00263793"/>
    <w:rsid w:val="00263C23"/>
    <w:rsid w:val="0026433C"/>
    <w:rsid w:val="00264595"/>
    <w:rsid w:val="00264639"/>
    <w:rsid w:val="002647EF"/>
    <w:rsid w:val="002649FB"/>
    <w:rsid w:val="00264E90"/>
    <w:rsid w:val="00264F39"/>
    <w:rsid w:val="00265071"/>
    <w:rsid w:val="002650AF"/>
    <w:rsid w:val="00265143"/>
    <w:rsid w:val="002652D3"/>
    <w:rsid w:val="00265344"/>
    <w:rsid w:val="002653E0"/>
    <w:rsid w:val="00265508"/>
    <w:rsid w:val="00265562"/>
    <w:rsid w:val="00265A3F"/>
    <w:rsid w:val="00265C3C"/>
    <w:rsid w:val="00265C95"/>
    <w:rsid w:val="002663D4"/>
    <w:rsid w:val="00266597"/>
    <w:rsid w:val="00266823"/>
    <w:rsid w:val="00266951"/>
    <w:rsid w:val="00267255"/>
    <w:rsid w:val="002676C6"/>
    <w:rsid w:val="002676EE"/>
    <w:rsid w:val="0026797C"/>
    <w:rsid w:val="00267A68"/>
    <w:rsid w:val="00267C39"/>
    <w:rsid w:val="00267FB1"/>
    <w:rsid w:val="00270108"/>
    <w:rsid w:val="002702FE"/>
    <w:rsid w:val="00270655"/>
    <w:rsid w:val="0027071E"/>
    <w:rsid w:val="00270ACD"/>
    <w:rsid w:val="00270FE0"/>
    <w:rsid w:val="00271055"/>
    <w:rsid w:val="002713E0"/>
    <w:rsid w:val="002714A3"/>
    <w:rsid w:val="00271665"/>
    <w:rsid w:val="00271862"/>
    <w:rsid w:val="002719C6"/>
    <w:rsid w:val="00271CBE"/>
    <w:rsid w:val="00271DCC"/>
    <w:rsid w:val="00271EC4"/>
    <w:rsid w:val="00272383"/>
    <w:rsid w:val="002723C1"/>
    <w:rsid w:val="00272450"/>
    <w:rsid w:val="00272649"/>
    <w:rsid w:val="00272A55"/>
    <w:rsid w:val="00272EDD"/>
    <w:rsid w:val="00273162"/>
    <w:rsid w:val="00273402"/>
    <w:rsid w:val="00273522"/>
    <w:rsid w:val="0027353C"/>
    <w:rsid w:val="002735D4"/>
    <w:rsid w:val="00273B1E"/>
    <w:rsid w:val="00273FD4"/>
    <w:rsid w:val="0027400D"/>
    <w:rsid w:val="00274216"/>
    <w:rsid w:val="00274286"/>
    <w:rsid w:val="0027459F"/>
    <w:rsid w:val="00274676"/>
    <w:rsid w:val="00274744"/>
    <w:rsid w:val="0027484C"/>
    <w:rsid w:val="002748D6"/>
    <w:rsid w:val="002749BC"/>
    <w:rsid w:val="00274D88"/>
    <w:rsid w:val="00274DB4"/>
    <w:rsid w:val="00274DBF"/>
    <w:rsid w:val="00275155"/>
    <w:rsid w:val="002752E7"/>
    <w:rsid w:val="002754F8"/>
    <w:rsid w:val="00275549"/>
    <w:rsid w:val="002756FF"/>
    <w:rsid w:val="002757B9"/>
    <w:rsid w:val="00275EDC"/>
    <w:rsid w:val="0027613F"/>
    <w:rsid w:val="0027628B"/>
    <w:rsid w:val="00276470"/>
    <w:rsid w:val="002764BF"/>
    <w:rsid w:val="002768E8"/>
    <w:rsid w:val="00276901"/>
    <w:rsid w:val="00276A32"/>
    <w:rsid w:val="0027709A"/>
    <w:rsid w:val="002771CC"/>
    <w:rsid w:val="00277254"/>
    <w:rsid w:val="00277348"/>
    <w:rsid w:val="002773C6"/>
    <w:rsid w:val="00277589"/>
    <w:rsid w:val="00277655"/>
    <w:rsid w:val="00277CAD"/>
    <w:rsid w:val="00277D10"/>
    <w:rsid w:val="00277ED1"/>
    <w:rsid w:val="00280129"/>
    <w:rsid w:val="002804F2"/>
    <w:rsid w:val="002805D7"/>
    <w:rsid w:val="002805EA"/>
    <w:rsid w:val="002806E2"/>
    <w:rsid w:val="0028070F"/>
    <w:rsid w:val="002809E4"/>
    <w:rsid w:val="00280AF6"/>
    <w:rsid w:val="00280D5B"/>
    <w:rsid w:val="00280FFD"/>
    <w:rsid w:val="0028116B"/>
    <w:rsid w:val="002812CD"/>
    <w:rsid w:val="00281469"/>
    <w:rsid w:val="00281489"/>
    <w:rsid w:val="00281644"/>
    <w:rsid w:val="00281743"/>
    <w:rsid w:val="00281B91"/>
    <w:rsid w:val="00281B96"/>
    <w:rsid w:val="00281FE1"/>
    <w:rsid w:val="0028257B"/>
    <w:rsid w:val="0028289D"/>
    <w:rsid w:val="002828F5"/>
    <w:rsid w:val="00282961"/>
    <w:rsid w:val="00282996"/>
    <w:rsid w:val="002829BF"/>
    <w:rsid w:val="00282D00"/>
    <w:rsid w:val="00282E2C"/>
    <w:rsid w:val="002830AE"/>
    <w:rsid w:val="002830E9"/>
    <w:rsid w:val="00283220"/>
    <w:rsid w:val="00283686"/>
    <w:rsid w:val="00283771"/>
    <w:rsid w:val="00283972"/>
    <w:rsid w:val="00283BB5"/>
    <w:rsid w:val="00283CEC"/>
    <w:rsid w:val="00283CF9"/>
    <w:rsid w:val="00283DF6"/>
    <w:rsid w:val="00283FB7"/>
    <w:rsid w:val="002840CC"/>
    <w:rsid w:val="002841C5"/>
    <w:rsid w:val="002842F4"/>
    <w:rsid w:val="00284383"/>
    <w:rsid w:val="00284428"/>
    <w:rsid w:val="00284970"/>
    <w:rsid w:val="00284A34"/>
    <w:rsid w:val="00284D8D"/>
    <w:rsid w:val="00284EFD"/>
    <w:rsid w:val="002850FC"/>
    <w:rsid w:val="0028511B"/>
    <w:rsid w:val="002851B4"/>
    <w:rsid w:val="002853A9"/>
    <w:rsid w:val="00285424"/>
    <w:rsid w:val="00285550"/>
    <w:rsid w:val="002855D3"/>
    <w:rsid w:val="00285A1F"/>
    <w:rsid w:val="00285A92"/>
    <w:rsid w:val="00285B37"/>
    <w:rsid w:val="00285BF6"/>
    <w:rsid w:val="00285F88"/>
    <w:rsid w:val="0028602C"/>
    <w:rsid w:val="00286039"/>
    <w:rsid w:val="00286401"/>
    <w:rsid w:val="0028687F"/>
    <w:rsid w:val="00286B0C"/>
    <w:rsid w:val="00286D68"/>
    <w:rsid w:val="00286EAC"/>
    <w:rsid w:val="00286EB8"/>
    <w:rsid w:val="00286FC2"/>
    <w:rsid w:val="002870A0"/>
    <w:rsid w:val="0028741F"/>
    <w:rsid w:val="0028792C"/>
    <w:rsid w:val="0028796A"/>
    <w:rsid w:val="00287AEB"/>
    <w:rsid w:val="00287DF1"/>
    <w:rsid w:val="00290633"/>
    <w:rsid w:val="002908BC"/>
    <w:rsid w:val="00290F2F"/>
    <w:rsid w:val="0029106F"/>
    <w:rsid w:val="0029107C"/>
    <w:rsid w:val="0029160A"/>
    <w:rsid w:val="00291C7D"/>
    <w:rsid w:val="00291CFF"/>
    <w:rsid w:val="00291EB9"/>
    <w:rsid w:val="002920AE"/>
    <w:rsid w:val="002924AD"/>
    <w:rsid w:val="002925C9"/>
    <w:rsid w:val="002929E1"/>
    <w:rsid w:val="00292A20"/>
    <w:rsid w:val="00292D1A"/>
    <w:rsid w:val="00292E63"/>
    <w:rsid w:val="00293019"/>
    <w:rsid w:val="0029309E"/>
    <w:rsid w:val="00293365"/>
    <w:rsid w:val="002933AD"/>
    <w:rsid w:val="00293953"/>
    <w:rsid w:val="002939F9"/>
    <w:rsid w:val="00293CE7"/>
    <w:rsid w:val="00293EBB"/>
    <w:rsid w:val="00294171"/>
    <w:rsid w:val="00294185"/>
    <w:rsid w:val="00294241"/>
    <w:rsid w:val="0029424E"/>
    <w:rsid w:val="0029447C"/>
    <w:rsid w:val="002944BB"/>
    <w:rsid w:val="0029451B"/>
    <w:rsid w:val="00294949"/>
    <w:rsid w:val="00294987"/>
    <w:rsid w:val="00294B66"/>
    <w:rsid w:val="00294C6F"/>
    <w:rsid w:val="00294F83"/>
    <w:rsid w:val="0029518C"/>
    <w:rsid w:val="00295368"/>
    <w:rsid w:val="00295429"/>
    <w:rsid w:val="00295537"/>
    <w:rsid w:val="00295552"/>
    <w:rsid w:val="00295573"/>
    <w:rsid w:val="002956F8"/>
    <w:rsid w:val="00295ACA"/>
    <w:rsid w:val="00295BFF"/>
    <w:rsid w:val="002965A2"/>
    <w:rsid w:val="00296921"/>
    <w:rsid w:val="00296AAD"/>
    <w:rsid w:val="00296AF7"/>
    <w:rsid w:val="00296B78"/>
    <w:rsid w:val="00296C85"/>
    <w:rsid w:val="00296E32"/>
    <w:rsid w:val="00296F66"/>
    <w:rsid w:val="00297483"/>
    <w:rsid w:val="0029749A"/>
    <w:rsid w:val="00297AC5"/>
    <w:rsid w:val="00297AD2"/>
    <w:rsid w:val="002A01AA"/>
    <w:rsid w:val="002A01BA"/>
    <w:rsid w:val="002A01D7"/>
    <w:rsid w:val="002A0624"/>
    <w:rsid w:val="002A077A"/>
    <w:rsid w:val="002A0F5B"/>
    <w:rsid w:val="002A10DC"/>
    <w:rsid w:val="002A1425"/>
    <w:rsid w:val="002A1544"/>
    <w:rsid w:val="002A181B"/>
    <w:rsid w:val="002A1B62"/>
    <w:rsid w:val="002A1B89"/>
    <w:rsid w:val="002A2265"/>
    <w:rsid w:val="002A2541"/>
    <w:rsid w:val="002A2616"/>
    <w:rsid w:val="002A26E2"/>
    <w:rsid w:val="002A2F50"/>
    <w:rsid w:val="002A2F5D"/>
    <w:rsid w:val="002A2FD0"/>
    <w:rsid w:val="002A3011"/>
    <w:rsid w:val="002A32AE"/>
    <w:rsid w:val="002A3765"/>
    <w:rsid w:val="002A37CF"/>
    <w:rsid w:val="002A3876"/>
    <w:rsid w:val="002A38A3"/>
    <w:rsid w:val="002A39F3"/>
    <w:rsid w:val="002A3BE1"/>
    <w:rsid w:val="002A3BEA"/>
    <w:rsid w:val="002A3EB7"/>
    <w:rsid w:val="002A40A6"/>
    <w:rsid w:val="002A449B"/>
    <w:rsid w:val="002A4934"/>
    <w:rsid w:val="002A4A2B"/>
    <w:rsid w:val="002A4B96"/>
    <w:rsid w:val="002A4D67"/>
    <w:rsid w:val="002A4F5B"/>
    <w:rsid w:val="002A4FA5"/>
    <w:rsid w:val="002A500F"/>
    <w:rsid w:val="002A5370"/>
    <w:rsid w:val="002A539B"/>
    <w:rsid w:val="002A53E0"/>
    <w:rsid w:val="002A54DC"/>
    <w:rsid w:val="002A55AD"/>
    <w:rsid w:val="002A55C2"/>
    <w:rsid w:val="002A567F"/>
    <w:rsid w:val="002A5762"/>
    <w:rsid w:val="002A57C9"/>
    <w:rsid w:val="002A5994"/>
    <w:rsid w:val="002A5B35"/>
    <w:rsid w:val="002A5EBA"/>
    <w:rsid w:val="002A64A5"/>
    <w:rsid w:val="002A65A5"/>
    <w:rsid w:val="002A6660"/>
    <w:rsid w:val="002A6AFA"/>
    <w:rsid w:val="002A6D9C"/>
    <w:rsid w:val="002A6DA2"/>
    <w:rsid w:val="002A70CA"/>
    <w:rsid w:val="002A717A"/>
    <w:rsid w:val="002A71D6"/>
    <w:rsid w:val="002A72D8"/>
    <w:rsid w:val="002A72EC"/>
    <w:rsid w:val="002A75AE"/>
    <w:rsid w:val="002A75E6"/>
    <w:rsid w:val="002A7646"/>
    <w:rsid w:val="002A76DE"/>
    <w:rsid w:val="002A772B"/>
    <w:rsid w:val="002A7888"/>
    <w:rsid w:val="002A795F"/>
    <w:rsid w:val="002A79BF"/>
    <w:rsid w:val="002A7A1C"/>
    <w:rsid w:val="002A7E55"/>
    <w:rsid w:val="002A7F9F"/>
    <w:rsid w:val="002A7FDE"/>
    <w:rsid w:val="002B036F"/>
    <w:rsid w:val="002B0470"/>
    <w:rsid w:val="002B05E8"/>
    <w:rsid w:val="002B087D"/>
    <w:rsid w:val="002B08F7"/>
    <w:rsid w:val="002B09F7"/>
    <w:rsid w:val="002B0E37"/>
    <w:rsid w:val="002B1168"/>
    <w:rsid w:val="002B125C"/>
    <w:rsid w:val="002B14E6"/>
    <w:rsid w:val="002B16C3"/>
    <w:rsid w:val="002B177C"/>
    <w:rsid w:val="002B179E"/>
    <w:rsid w:val="002B19BD"/>
    <w:rsid w:val="002B1CDD"/>
    <w:rsid w:val="002B2192"/>
    <w:rsid w:val="002B2395"/>
    <w:rsid w:val="002B23F3"/>
    <w:rsid w:val="002B23F6"/>
    <w:rsid w:val="002B268E"/>
    <w:rsid w:val="002B26F6"/>
    <w:rsid w:val="002B288E"/>
    <w:rsid w:val="002B28FC"/>
    <w:rsid w:val="002B2A31"/>
    <w:rsid w:val="002B2A33"/>
    <w:rsid w:val="002B2A4D"/>
    <w:rsid w:val="002B30BD"/>
    <w:rsid w:val="002B32A8"/>
    <w:rsid w:val="002B365C"/>
    <w:rsid w:val="002B3931"/>
    <w:rsid w:val="002B39E0"/>
    <w:rsid w:val="002B3A4B"/>
    <w:rsid w:val="002B3C16"/>
    <w:rsid w:val="002B3DC2"/>
    <w:rsid w:val="002B3F80"/>
    <w:rsid w:val="002B4199"/>
    <w:rsid w:val="002B42AD"/>
    <w:rsid w:val="002B4551"/>
    <w:rsid w:val="002B4662"/>
    <w:rsid w:val="002B46B4"/>
    <w:rsid w:val="002B493C"/>
    <w:rsid w:val="002B4AAB"/>
    <w:rsid w:val="002B4C50"/>
    <w:rsid w:val="002B4DBA"/>
    <w:rsid w:val="002B4F19"/>
    <w:rsid w:val="002B4F60"/>
    <w:rsid w:val="002B5093"/>
    <w:rsid w:val="002B52FC"/>
    <w:rsid w:val="002B562B"/>
    <w:rsid w:val="002B5662"/>
    <w:rsid w:val="002B57EB"/>
    <w:rsid w:val="002B57F2"/>
    <w:rsid w:val="002B59A6"/>
    <w:rsid w:val="002B5A22"/>
    <w:rsid w:val="002B5DF4"/>
    <w:rsid w:val="002B5E21"/>
    <w:rsid w:val="002B6219"/>
    <w:rsid w:val="002B635A"/>
    <w:rsid w:val="002B6563"/>
    <w:rsid w:val="002B65C7"/>
    <w:rsid w:val="002B6730"/>
    <w:rsid w:val="002B6746"/>
    <w:rsid w:val="002B68AD"/>
    <w:rsid w:val="002B699E"/>
    <w:rsid w:val="002B6A4E"/>
    <w:rsid w:val="002B6B81"/>
    <w:rsid w:val="002B6B95"/>
    <w:rsid w:val="002B6BE4"/>
    <w:rsid w:val="002B6D91"/>
    <w:rsid w:val="002B7114"/>
    <w:rsid w:val="002B71C9"/>
    <w:rsid w:val="002B71FE"/>
    <w:rsid w:val="002B741A"/>
    <w:rsid w:val="002B747F"/>
    <w:rsid w:val="002B7855"/>
    <w:rsid w:val="002B7A78"/>
    <w:rsid w:val="002B7A91"/>
    <w:rsid w:val="002B7F23"/>
    <w:rsid w:val="002C0310"/>
    <w:rsid w:val="002C0553"/>
    <w:rsid w:val="002C06AB"/>
    <w:rsid w:val="002C06AD"/>
    <w:rsid w:val="002C0789"/>
    <w:rsid w:val="002C093D"/>
    <w:rsid w:val="002C106D"/>
    <w:rsid w:val="002C1089"/>
    <w:rsid w:val="002C1135"/>
    <w:rsid w:val="002C1213"/>
    <w:rsid w:val="002C1374"/>
    <w:rsid w:val="002C1379"/>
    <w:rsid w:val="002C1391"/>
    <w:rsid w:val="002C16ED"/>
    <w:rsid w:val="002C1827"/>
    <w:rsid w:val="002C188E"/>
    <w:rsid w:val="002C1E59"/>
    <w:rsid w:val="002C1F40"/>
    <w:rsid w:val="002C2191"/>
    <w:rsid w:val="002C23DA"/>
    <w:rsid w:val="002C266B"/>
    <w:rsid w:val="002C2926"/>
    <w:rsid w:val="002C2A4D"/>
    <w:rsid w:val="002C2AF7"/>
    <w:rsid w:val="002C2C35"/>
    <w:rsid w:val="002C2DEA"/>
    <w:rsid w:val="002C3153"/>
    <w:rsid w:val="002C346D"/>
    <w:rsid w:val="002C3639"/>
    <w:rsid w:val="002C3A49"/>
    <w:rsid w:val="002C3CFF"/>
    <w:rsid w:val="002C3D3B"/>
    <w:rsid w:val="002C3F3D"/>
    <w:rsid w:val="002C4072"/>
    <w:rsid w:val="002C41CC"/>
    <w:rsid w:val="002C43BF"/>
    <w:rsid w:val="002C443F"/>
    <w:rsid w:val="002C46FC"/>
    <w:rsid w:val="002C4755"/>
    <w:rsid w:val="002C480A"/>
    <w:rsid w:val="002C48D5"/>
    <w:rsid w:val="002C49E8"/>
    <w:rsid w:val="002C4F67"/>
    <w:rsid w:val="002C4FE8"/>
    <w:rsid w:val="002C4FF3"/>
    <w:rsid w:val="002C51FC"/>
    <w:rsid w:val="002C54EF"/>
    <w:rsid w:val="002C5563"/>
    <w:rsid w:val="002C5AF8"/>
    <w:rsid w:val="002C5BE2"/>
    <w:rsid w:val="002C5C97"/>
    <w:rsid w:val="002C5FA8"/>
    <w:rsid w:val="002C5FAA"/>
    <w:rsid w:val="002C62B3"/>
    <w:rsid w:val="002C641A"/>
    <w:rsid w:val="002C661F"/>
    <w:rsid w:val="002C664D"/>
    <w:rsid w:val="002C6AB4"/>
    <w:rsid w:val="002C6B1D"/>
    <w:rsid w:val="002C6FE8"/>
    <w:rsid w:val="002C707B"/>
    <w:rsid w:val="002C777C"/>
    <w:rsid w:val="002C7B30"/>
    <w:rsid w:val="002C7BFA"/>
    <w:rsid w:val="002C7C0E"/>
    <w:rsid w:val="002C7C52"/>
    <w:rsid w:val="002C7D60"/>
    <w:rsid w:val="002C7D92"/>
    <w:rsid w:val="002C7F5E"/>
    <w:rsid w:val="002D0370"/>
    <w:rsid w:val="002D03C6"/>
    <w:rsid w:val="002D03FC"/>
    <w:rsid w:val="002D0557"/>
    <w:rsid w:val="002D05FA"/>
    <w:rsid w:val="002D06E9"/>
    <w:rsid w:val="002D093A"/>
    <w:rsid w:val="002D09AC"/>
    <w:rsid w:val="002D12A5"/>
    <w:rsid w:val="002D1371"/>
    <w:rsid w:val="002D14F8"/>
    <w:rsid w:val="002D15C0"/>
    <w:rsid w:val="002D1942"/>
    <w:rsid w:val="002D1988"/>
    <w:rsid w:val="002D19E0"/>
    <w:rsid w:val="002D1B14"/>
    <w:rsid w:val="002D1D21"/>
    <w:rsid w:val="002D1DA1"/>
    <w:rsid w:val="002D1E7F"/>
    <w:rsid w:val="002D1EDE"/>
    <w:rsid w:val="002D20B9"/>
    <w:rsid w:val="002D2129"/>
    <w:rsid w:val="002D2239"/>
    <w:rsid w:val="002D237D"/>
    <w:rsid w:val="002D27C9"/>
    <w:rsid w:val="002D2C09"/>
    <w:rsid w:val="002D2DEE"/>
    <w:rsid w:val="002D3133"/>
    <w:rsid w:val="002D31DD"/>
    <w:rsid w:val="002D3323"/>
    <w:rsid w:val="002D3736"/>
    <w:rsid w:val="002D373D"/>
    <w:rsid w:val="002D3775"/>
    <w:rsid w:val="002D392B"/>
    <w:rsid w:val="002D397D"/>
    <w:rsid w:val="002D398D"/>
    <w:rsid w:val="002D39A5"/>
    <w:rsid w:val="002D3A04"/>
    <w:rsid w:val="002D3B78"/>
    <w:rsid w:val="002D3D5B"/>
    <w:rsid w:val="002D3D95"/>
    <w:rsid w:val="002D3E93"/>
    <w:rsid w:val="002D3EDF"/>
    <w:rsid w:val="002D3FB6"/>
    <w:rsid w:val="002D42C9"/>
    <w:rsid w:val="002D47DF"/>
    <w:rsid w:val="002D482A"/>
    <w:rsid w:val="002D483C"/>
    <w:rsid w:val="002D4DAB"/>
    <w:rsid w:val="002D5021"/>
    <w:rsid w:val="002D5193"/>
    <w:rsid w:val="002D53E0"/>
    <w:rsid w:val="002D545A"/>
    <w:rsid w:val="002D554C"/>
    <w:rsid w:val="002D57A3"/>
    <w:rsid w:val="002D57B5"/>
    <w:rsid w:val="002D62C3"/>
    <w:rsid w:val="002D6435"/>
    <w:rsid w:val="002D67C1"/>
    <w:rsid w:val="002D68AA"/>
    <w:rsid w:val="002D68BA"/>
    <w:rsid w:val="002D6914"/>
    <w:rsid w:val="002D6AAB"/>
    <w:rsid w:val="002D6B30"/>
    <w:rsid w:val="002D6F4A"/>
    <w:rsid w:val="002D7075"/>
    <w:rsid w:val="002D71FA"/>
    <w:rsid w:val="002D732C"/>
    <w:rsid w:val="002D765D"/>
    <w:rsid w:val="002D7668"/>
    <w:rsid w:val="002D7999"/>
    <w:rsid w:val="002D7B79"/>
    <w:rsid w:val="002D7BA8"/>
    <w:rsid w:val="002D7C18"/>
    <w:rsid w:val="002D7E0F"/>
    <w:rsid w:val="002E002F"/>
    <w:rsid w:val="002E024F"/>
    <w:rsid w:val="002E03F0"/>
    <w:rsid w:val="002E0554"/>
    <w:rsid w:val="002E0BAB"/>
    <w:rsid w:val="002E0C82"/>
    <w:rsid w:val="002E0EC0"/>
    <w:rsid w:val="002E1606"/>
    <w:rsid w:val="002E18B6"/>
    <w:rsid w:val="002E18E6"/>
    <w:rsid w:val="002E2071"/>
    <w:rsid w:val="002E232F"/>
    <w:rsid w:val="002E23D4"/>
    <w:rsid w:val="002E241F"/>
    <w:rsid w:val="002E25E4"/>
    <w:rsid w:val="002E2FF2"/>
    <w:rsid w:val="002E30D4"/>
    <w:rsid w:val="002E3205"/>
    <w:rsid w:val="002E34DE"/>
    <w:rsid w:val="002E35A3"/>
    <w:rsid w:val="002E3ECA"/>
    <w:rsid w:val="002E3FAF"/>
    <w:rsid w:val="002E4159"/>
    <w:rsid w:val="002E4449"/>
    <w:rsid w:val="002E4578"/>
    <w:rsid w:val="002E4721"/>
    <w:rsid w:val="002E472B"/>
    <w:rsid w:val="002E4860"/>
    <w:rsid w:val="002E4AB8"/>
    <w:rsid w:val="002E4AF6"/>
    <w:rsid w:val="002E4F5B"/>
    <w:rsid w:val="002E50EF"/>
    <w:rsid w:val="002E534B"/>
    <w:rsid w:val="002E5525"/>
    <w:rsid w:val="002E5677"/>
    <w:rsid w:val="002E57FA"/>
    <w:rsid w:val="002E5953"/>
    <w:rsid w:val="002E5C24"/>
    <w:rsid w:val="002E5E45"/>
    <w:rsid w:val="002E61E4"/>
    <w:rsid w:val="002E63DF"/>
    <w:rsid w:val="002E6A3A"/>
    <w:rsid w:val="002E6B3C"/>
    <w:rsid w:val="002E6CF5"/>
    <w:rsid w:val="002E6D3B"/>
    <w:rsid w:val="002E7037"/>
    <w:rsid w:val="002E7432"/>
    <w:rsid w:val="002E75ED"/>
    <w:rsid w:val="002E7837"/>
    <w:rsid w:val="002E7D90"/>
    <w:rsid w:val="002E7EFB"/>
    <w:rsid w:val="002F00A7"/>
    <w:rsid w:val="002F0145"/>
    <w:rsid w:val="002F0408"/>
    <w:rsid w:val="002F04ED"/>
    <w:rsid w:val="002F069E"/>
    <w:rsid w:val="002F06BD"/>
    <w:rsid w:val="002F073F"/>
    <w:rsid w:val="002F0811"/>
    <w:rsid w:val="002F091B"/>
    <w:rsid w:val="002F09B9"/>
    <w:rsid w:val="002F0B17"/>
    <w:rsid w:val="002F0F7F"/>
    <w:rsid w:val="002F0FCD"/>
    <w:rsid w:val="002F1080"/>
    <w:rsid w:val="002F12E7"/>
    <w:rsid w:val="002F137A"/>
    <w:rsid w:val="002F13CA"/>
    <w:rsid w:val="002F151E"/>
    <w:rsid w:val="002F1529"/>
    <w:rsid w:val="002F1700"/>
    <w:rsid w:val="002F182B"/>
    <w:rsid w:val="002F184C"/>
    <w:rsid w:val="002F1A8E"/>
    <w:rsid w:val="002F1C4C"/>
    <w:rsid w:val="002F1D43"/>
    <w:rsid w:val="002F1DD3"/>
    <w:rsid w:val="002F1E3B"/>
    <w:rsid w:val="002F1E70"/>
    <w:rsid w:val="002F2392"/>
    <w:rsid w:val="002F2550"/>
    <w:rsid w:val="002F271E"/>
    <w:rsid w:val="002F2723"/>
    <w:rsid w:val="002F2743"/>
    <w:rsid w:val="002F2935"/>
    <w:rsid w:val="002F2A24"/>
    <w:rsid w:val="002F2C2C"/>
    <w:rsid w:val="002F2F3E"/>
    <w:rsid w:val="002F2FBE"/>
    <w:rsid w:val="002F2FF3"/>
    <w:rsid w:val="002F3480"/>
    <w:rsid w:val="002F3602"/>
    <w:rsid w:val="002F388E"/>
    <w:rsid w:val="002F3A23"/>
    <w:rsid w:val="002F3A5D"/>
    <w:rsid w:val="002F3BC0"/>
    <w:rsid w:val="002F3DCC"/>
    <w:rsid w:val="002F3F01"/>
    <w:rsid w:val="002F4398"/>
    <w:rsid w:val="002F4417"/>
    <w:rsid w:val="002F454D"/>
    <w:rsid w:val="002F4674"/>
    <w:rsid w:val="002F4B7D"/>
    <w:rsid w:val="002F4F4E"/>
    <w:rsid w:val="002F5378"/>
    <w:rsid w:val="002F5885"/>
    <w:rsid w:val="002F5B15"/>
    <w:rsid w:val="002F5CA7"/>
    <w:rsid w:val="002F5D77"/>
    <w:rsid w:val="002F5E89"/>
    <w:rsid w:val="002F62BA"/>
    <w:rsid w:val="002F64BE"/>
    <w:rsid w:val="002F691F"/>
    <w:rsid w:val="002F6A9E"/>
    <w:rsid w:val="002F6BCA"/>
    <w:rsid w:val="002F6C9B"/>
    <w:rsid w:val="002F6D1E"/>
    <w:rsid w:val="002F6E30"/>
    <w:rsid w:val="002F7234"/>
    <w:rsid w:val="002F7254"/>
    <w:rsid w:val="002F72C6"/>
    <w:rsid w:val="002F731B"/>
    <w:rsid w:val="002F75CE"/>
    <w:rsid w:val="002F782A"/>
    <w:rsid w:val="002F788B"/>
    <w:rsid w:val="002F7AA6"/>
    <w:rsid w:val="002F7ACD"/>
    <w:rsid w:val="002F7DB9"/>
    <w:rsid w:val="00300126"/>
    <w:rsid w:val="003003CF"/>
    <w:rsid w:val="0030099F"/>
    <w:rsid w:val="00300AC7"/>
    <w:rsid w:val="00300C04"/>
    <w:rsid w:val="00300F03"/>
    <w:rsid w:val="00300FBC"/>
    <w:rsid w:val="00300FC3"/>
    <w:rsid w:val="0030107F"/>
    <w:rsid w:val="003011CE"/>
    <w:rsid w:val="003015DD"/>
    <w:rsid w:val="0030163A"/>
    <w:rsid w:val="0030168C"/>
    <w:rsid w:val="00301792"/>
    <w:rsid w:val="00301AB3"/>
    <w:rsid w:val="00301B25"/>
    <w:rsid w:val="00301CE2"/>
    <w:rsid w:val="00301D3E"/>
    <w:rsid w:val="00301EFC"/>
    <w:rsid w:val="00301F79"/>
    <w:rsid w:val="00302105"/>
    <w:rsid w:val="00302306"/>
    <w:rsid w:val="00302703"/>
    <w:rsid w:val="003027CD"/>
    <w:rsid w:val="00302869"/>
    <w:rsid w:val="0030298E"/>
    <w:rsid w:val="00302A2D"/>
    <w:rsid w:val="00302B02"/>
    <w:rsid w:val="00302CB1"/>
    <w:rsid w:val="00302E25"/>
    <w:rsid w:val="00302ED2"/>
    <w:rsid w:val="00302F28"/>
    <w:rsid w:val="0030310D"/>
    <w:rsid w:val="00303120"/>
    <w:rsid w:val="00303262"/>
    <w:rsid w:val="003032A1"/>
    <w:rsid w:val="003038CD"/>
    <w:rsid w:val="003039D8"/>
    <w:rsid w:val="00303C90"/>
    <w:rsid w:val="00303ED1"/>
    <w:rsid w:val="003041B9"/>
    <w:rsid w:val="00304340"/>
    <w:rsid w:val="003043C9"/>
    <w:rsid w:val="00304784"/>
    <w:rsid w:val="003047AD"/>
    <w:rsid w:val="00304AD4"/>
    <w:rsid w:val="00304B4B"/>
    <w:rsid w:val="00304C42"/>
    <w:rsid w:val="00304D9F"/>
    <w:rsid w:val="00304F30"/>
    <w:rsid w:val="0030512A"/>
    <w:rsid w:val="00305545"/>
    <w:rsid w:val="00305689"/>
    <w:rsid w:val="0030575B"/>
    <w:rsid w:val="003059A8"/>
    <w:rsid w:val="003059D6"/>
    <w:rsid w:val="00305AE4"/>
    <w:rsid w:val="00305D04"/>
    <w:rsid w:val="00305DA2"/>
    <w:rsid w:val="00305F70"/>
    <w:rsid w:val="00306181"/>
    <w:rsid w:val="0030638B"/>
    <w:rsid w:val="003063F8"/>
    <w:rsid w:val="0030694C"/>
    <w:rsid w:val="00306962"/>
    <w:rsid w:val="003069F5"/>
    <w:rsid w:val="00306AB2"/>
    <w:rsid w:val="00306AD4"/>
    <w:rsid w:val="00306BC1"/>
    <w:rsid w:val="00306BD3"/>
    <w:rsid w:val="00306C32"/>
    <w:rsid w:val="00306C9C"/>
    <w:rsid w:val="00306DA2"/>
    <w:rsid w:val="00306FFE"/>
    <w:rsid w:val="00307648"/>
    <w:rsid w:val="00307D2C"/>
    <w:rsid w:val="00307E38"/>
    <w:rsid w:val="00307F48"/>
    <w:rsid w:val="00310039"/>
    <w:rsid w:val="003101A8"/>
    <w:rsid w:val="00310318"/>
    <w:rsid w:val="003105EC"/>
    <w:rsid w:val="0031071A"/>
    <w:rsid w:val="00310783"/>
    <w:rsid w:val="00310AC8"/>
    <w:rsid w:val="00310D7C"/>
    <w:rsid w:val="00311734"/>
    <w:rsid w:val="00311D6C"/>
    <w:rsid w:val="00311DDE"/>
    <w:rsid w:val="0031233C"/>
    <w:rsid w:val="003124BB"/>
    <w:rsid w:val="003125B5"/>
    <w:rsid w:val="00312AF7"/>
    <w:rsid w:val="00312B76"/>
    <w:rsid w:val="00312B8B"/>
    <w:rsid w:val="00312BC9"/>
    <w:rsid w:val="00312BF3"/>
    <w:rsid w:val="00312C6D"/>
    <w:rsid w:val="00312EF0"/>
    <w:rsid w:val="00312F32"/>
    <w:rsid w:val="00312FD7"/>
    <w:rsid w:val="0031308A"/>
    <w:rsid w:val="0031345A"/>
    <w:rsid w:val="0031353B"/>
    <w:rsid w:val="00313544"/>
    <w:rsid w:val="00313835"/>
    <w:rsid w:val="00313A5E"/>
    <w:rsid w:val="00313F3C"/>
    <w:rsid w:val="00314187"/>
    <w:rsid w:val="003141E2"/>
    <w:rsid w:val="00314282"/>
    <w:rsid w:val="00314315"/>
    <w:rsid w:val="003143D9"/>
    <w:rsid w:val="003143E5"/>
    <w:rsid w:val="003145FF"/>
    <w:rsid w:val="0031488A"/>
    <w:rsid w:val="003148B1"/>
    <w:rsid w:val="003148D9"/>
    <w:rsid w:val="00314956"/>
    <w:rsid w:val="00314978"/>
    <w:rsid w:val="00314A75"/>
    <w:rsid w:val="00314F0B"/>
    <w:rsid w:val="00314FEE"/>
    <w:rsid w:val="00315211"/>
    <w:rsid w:val="00315228"/>
    <w:rsid w:val="003152D7"/>
    <w:rsid w:val="00315376"/>
    <w:rsid w:val="003153F8"/>
    <w:rsid w:val="003154A0"/>
    <w:rsid w:val="0031586A"/>
    <w:rsid w:val="00315A45"/>
    <w:rsid w:val="00315BC2"/>
    <w:rsid w:val="003163F8"/>
    <w:rsid w:val="003165F5"/>
    <w:rsid w:val="003167DD"/>
    <w:rsid w:val="00316870"/>
    <w:rsid w:val="003168B4"/>
    <w:rsid w:val="00316B90"/>
    <w:rsid w:val="00316E05"/>
    <w:rsid w:val="00316F98"/>
    <w:rsid w:val="00316FBC"/>
    <w:rsid w:val="003170D6"/>
    <w:rsid w:val="003173AA"/>
    <w:rsid w:val="00317518"/>
    <w:rsid w:val="003176E0"/>
    <w:rsid w:val="00317978"/>
    <w:rsid w:val="0032007B"/>
    <w:rsid w:val="00320080"/>
    <w:rsid w:val="00320088"/>
    <w:rsid w:val="00320336"/>
    <w:rsid w:val="00320379"/>
    <w:rsid w:val="003205B7"/>
    <w:rsid w:val="0032080F"/>
    <w:rsid w:val="00320917"/>
    <w:rsid w:val="00320AE7"/>
    <w:rsid w:val="00320B88"/>
    <w:rsid w:val="00320BAF"/>
    <w:rsid w:val="00320C8A"/>
    <w:rsid w:val="00320D38"/>
    <w:rsid w:val="00320F75"/>
    <w:rsid w:val="0032117F"/>
    <w:rsid w:val="003217F0"/>
    <w:rsid w:val="00321A89"/>
    <w:rsid w:val="00321BC1"/>
    <w:rsid w:val="00321C1A"/>
    <w:rsid w:val="00321E8D"/>
    <w:rsid w:val="00321E91"/>
    <w:rsid w:val="00321FD3"/>
    <w:rsid w:val="00322228"/>
    <w:rsid w:val="0032239D"/>
    <w:rsid w:val="003226EB"/>
    <w:rsid w:val="0032272F"/>
    <w:rsid w:val="00322795"/>
    <w:rsid w:val="0032280C"/>
    <w:rsid w:val="00322813"/>
    <w:rsid w:val="00322851"/>
    <w:rsid w:val="00322D21"/>
    <w:rsid w:val="00322FE7"/>
    <w:rsid w:val="00323136"/>
    <w:rsid w:val="003232BD"/>
    <w:rsid w:val="0032332E"/>
    <w:rsid w:val="0032336E"/>
    <w:rsid w:val="0032353A"/>
    <w:rsid w:val="00323941"/>
    <w:rsid w:val="00323B93"/>
    <w:rsid w:val="00323F7D"/>
    <w:rsid w:val="00324010"/>
    <w:rsid w:val="0032418C"/>
    <w:rsid w:val="00324262"/>
    <w:rsid w:val="00324465"/>
    <w:rsid w:val="0032460F"/>
    <w:rsid w:val="00324654"/>
    <w:rsid w:val="003248DA"/>
    <w:rsid w:val="00324B4E"/>
    <w:rsid w:val="00324ECB"/>
    <w:rsid w:val="00324EDF"/>
    <w:rsid w:val="00324EE2"/>
    <w:rsid w:val="00324EE9"/>
    <w:rsid w:val="0032540D"/>
    <w:rsid w:val="003256A6"/>
    <w:rsid w:val="00325800"/>
    <w:rsid w:val="00325ED8"/>
    <w:rsid w:val="00326229"/>
    <w:rsid w:val="00326346"/>
    <w:rsid w:val="00326352"/>
    <w:rsid w:val="0032673F"/>
    <w:rsid w:val="003267E3"/>
    <w:rsid w:val="00326B7F"/>
    <w:rsid w:val="00326C3B"/>
    <w:rsid w:val="00326D3D"/>
    <w:rsid w:val="00326DB1"/>
    <w:rsid w:val="00326DCF"/>
    <w:rsid w:val="00326FCA"/>
    <w:rsid w:val="0032711D"/>
    <w:rsid w:val="00327520"/>
    <w:rsid w:val="00327727"/>
    <w:rsid w:val="00327973"/>
    <w:rsid w:val="00327A1E"/>
    <w:rsid w:val="00327CF1"/>
    <w:rsid w:val="003300BA"/>
    <w:rsid w:val="003301FB"/>
    <w:rsid w:val="00330961"/>
    <w:rsid w:val="00330CA1"/>
    <w:rsid w:val="00330EFB"/>
    <w:rsid w:val="00330FB8"/>
    <w:rsid w:val="003310D6"/>
    <w:rsid w:val="0033122E"/>
    <w:rsid w:val="003312D3"/>
    <w:rsid w:val="003314A9"/>
    <w:rsid w:val="0033159D"/>
    <w:rsid w:val="00331658"/>
    <w:rsid w:val="0033172B"/>
    <w:rsid w:val="003318CE"/>
    <w:rsid w:val="00331957"/>
    <w:rsid w:val="00331B28"/>
    <w:rsid w:val="00331B64"/>
    <w:rsid w:val="00331BE9"/>
    <w:rsid w:val="00331BF8"/>
    <w:rsid w:val="00331C70"/>
    <w:rsid w:val="00331E21"/>
    <w:rsid w:val="00331F1D"/>
    <w:rsid w:val="003321A6"/>
    <w:rsid w:val="00332220"/>
    <w:rsid w:val="003324E9"/>
    <w:rsid w:val="0033251C"/>
    <w:rsid w:val="0033259B"/>
    <w:rsid w:val="003327A3"/>
    <w:rsid w:val="00332802"/>
    <w:rsid w:val="003328B4"/>
    <w:rsid w:val="0033291F"/>
    <w:rsid w:val="00332CB3"/>
    <w:rsid w:val="00332F78"/>
    <w:rsid w:val="00333348"/>
    <w:rsid w:val="0033336B"/>
    <w:rsid w:val="0033343E"/>
    <w:rsid w:val="00333543"/>
    <w:rsid w:val="00333723"/>
    <w:rsid w:val="0033376A"/>
    <w:rsid w:val="00333904"/>
    <w:rsid w:val="00333973"/>
    <w:rsid w:val="00333B5C"/>
    <w:rsid w:val="00333F7F"/>
    <w:rsid w:val="0033403E"/>
    <w:rsid w:val="003341AF"/>
    <w:rsid w:val="003341E2"/>
    <w:rsid w:val="003346BB"/>
    <w:rsid w:val="00334857"/>
    <w:rsid w:val="003348B5"/>
    <w:rsid w:val="003348C8"/>
    <w:rsid w:val="00334968"/>
    <w:rsid w:val="003349C4"/>
    <w:rsid w:val="00334BB8"/>
    <w:rsid w:val="00334BD8"/>
    <w:rsid w:val="00334C18"/>
    <w:rsid w:val="00334CDB"/>
    <w:rsid w:val="00334FC3"/>
    <w:rsid w:val="003350A1"/>
    <w:rsid w:val="003351EC"/>
    <w:rsid w:val="003356A3"/>
    <w:rsid w:val="00335975"/>
    <w:rsid w:val="003359A3"/>
    <w:rsid w:val="003359C9"/>
    <w:rsid w:val="003359E6"/>
    <w:rsid w:val="00335CDD"/>
    <w:rsid w:val="00335CEE"/>
    <w:rsid w:val="00335FE8"/>
    <w:rsid w:val="0033633F"/>
    <w:rsid w:val="00336809"/>
    <w:rsid w:val="00336822"/>
    <w:rsid w:val="00336DDE"/>
    <w:rsid w:val="003370D4"/>
    <w:rsid w:val="0033735E"/>
    <w:rsid w:val="003373ED"/>
    <w:rsid w:val="0033744E"/>
    <w:rsid w:val="00337978"/>
    <w:rsid w:val="00337A51"/>
    <w:rsid w:val="00337C36"/>
    <w:rsid w:val="00337D36"/>
    <w:rsid w:val="00337DEE"/>
    <w:rsid w:val="00337EF3"/>
    <w:rsid w:val="00340150"/>
    <w:rsid w:val="003404D9"/>
    <w:rsid w:val="003406AB"/>
    <w:rsid w:val="00340782"/>
    <w:rsid w:val="00340887"/>
    <w:rsid w:val="003408A3"/>
    <w:rsid w:val="003409FD"/>
    <w:rsid w:val="00340D80"/>
    <w:rsid w:val="00340DA6"/>
    <w:rsid w:val="0034103D"/>
    <w:rsid w:val="0034118B"/>
    <w:rsid w:val="00341533"/>
    <w:rsid w:val="00341E5E"/>
    <w:rsid w:val="0034203A"/>
    <w:rsid w:val="00342447"/>
    <w:rsid w:val="003424AA"/>
    <w:rsid w:val="003429EC"/>
    <w:rsid w:val="00342B51"/>
    <w:rsid w:val="00342C13"/>
    <w:rsid w:val="00342DB7"/>
    <w:rsid w:val="00342E38"/>
    <w:rsid w:val="00342E80"/>
    <w:rsid w:val="00343290"/>
    <w:rsid w:val="003432A9"/>
    <w:rsid w:val="00343331"/>
    <w:rsid w:val="003434B1"/>
    <w:rsid w:val="00343597"/>
    <w:rsid w:val="0034359C"/>
    <w:rsid w:val="0034392F"/>
    <w:rsid w:val="00343ADB"/>
    <w:rsid w:val="00343C35"/>
    <w:rsid w:val="00343CAC"/>
    <w:rsid w:val="00343E6D"/>
    <w:rsid w:val="00343F4B"/>
    <w:rsid w:val="003441C3"/>
    <w:rsid w:val="003442DE"/>
    <w:rsid w:val="00344473"/>
    <w:rsid w:val="003445D7"/>
    <w:rsid w:val="003449B5"/>
    <w:rsid w:val="00344A99"/>
    <w:rsid w:val="00344AD5"/>
    <w:rsid w:val="00344B4F"/>
    <w:rsid w:val="00344BA6"/>
    <w:rsid w:val="00344BE8"/>
    <w:rsid w:val="00345016"/>
    <w:rsid w:val="0034516C"/>
    <w:rsid w:val="0034558F"/>
    <w:rsid w:val="0034590D"/>
    <w:rsid w:val="00345EB5"/>
    <w:rsid w:val="00345EC6"/>
    <w:rsid w:val="00345F0E"/>
    <w:rsid w:val="003460DF"/>
    <w:rsid w:val="003462E8"/>
    <w:rsid w:val="00346425"/>
    <w:rsid w:val="00346510"/>
    <w:rsid w:val="0034665F"/>
    <w:rsid w:val="003468A3"/>
    <w:rsid w:val="00346905"/>
    <w:rsid w:val="00346AAF"/>
    <w:rsid w:val="00346D16"/>
    <w:rsid w:val="0034713F"/>
    <w:rsid w:val="003472E0"/>
    <w:rsid w:val="0034735F"/>
    <w:rsid w:val="00347618"/>
    <w:rsid w:val="003479F4"/>
    <w:rsid w:val="00347CC0"/>
    <w:rsid w:val="00347E1E"/>
    <w:rsid w:val="003500DE"/>
    <w:rsid w:val="003502CF"/>
    <w:rsid w:val="003502E2"/>
    <w:rsid w:val="00350DF9"/>
    <w:rsid w:val="00350E51"/>
    <w:rsid w:val="00350F43"/>
    <w:rsid w:val="0035119F"/>
    <w:rsid w:val="00351265"/>
    <w:rsid w:val="00351322"/>
    <w:rsid w:val="003515F2"/>
    <w:rsid w:val="00351B3C"/>
    <w:rsid w:val="00351BB3"/>
    <w:rsid w:val="00351BF6"/>
    <w:rsid w:val="00351E78"/>
    <w:rsid w:val="00352247"/>
    <w:rsid w:val="003523BA"/>
    <w:rsid w:val="0035248F"/>
    <w:rsid w:val="00352557"/>
    <w:rsid w:val="0035282C"/>
    <w:rsid w:val="00352908"/>
    <w:rsid w:val="00352D9F"/>
    <w:rsid w:val="00353025"/>
    <w:rsid w:val="00353277"/>
    <w:rsid w:val="00353707"/>
    <w:rsid w:val="003538DB"/>
    <w:rsid w:val="00353D87"/>
    <w:rsid w:val="00353F20"/>
    <w:rsid w:val="00353F6D"/>
    <w:rsid w:val="0035431F"/>
    <w:rsid w:val="003546B7"/>
    <w:rsid w:val="00354A06"/>
    <w:rsid w:val="00354A21"/>
    <w:rsid w:val="00354B92"/>
    <w:rsid w:val="00354C19"/>
    <w:rsid w:val="00354C41"/>
    <w:rsid w:val="00354CBA"/>
    <w:rsid w:val="00354DCB"/>
    <w:rsid w:val="00354E0F"/>
    <w:rsid w:val="0035500C"/>
    <w:rsid w:val="00355086"/>
    <w:rsid w:val="003550B5"/>
    <w:rsid w:val="0035512D"/>
    <w:rsid w:val="0035527D"/>
    <w:rsid w:val="00355332"/>
    <w:rsid w:val="003554B4"/>
    <w:rsid w:val="003556B0"/>
    <w:rsid w:val="0035572A"/>
    <w:rsid w:val="00355B97"/>
    <w:rsid w:val="00355BBA"/>
    <w:rsid w:val="00355C90"/>
    <w:rsid w:val="00355CE5"/>
    <w:rsid w:val="00355D05"/>
    <w:rsid w:val="00356166"/>
    <w:rsid w:val="0035624D"/>
    <w:rsid w:val="0035629D"/>
    <w:rsid w:val="0035660A"/>
    <w:rsid w:val="00356782"/>
    <w:rsid w:val="00356794"/>
    <w:rsid w:val="003567FB"/>
    <w:rsid w:val="00356A24"/>
    <w:rsid w:val="00356E3D"/>
    <w:rsid w:val="00357115"/>
    <w:rsid w:val="003572AE"/>
    <w:rsid w:val="00357376"/>
    <w:rsid w:val="0035742B"/>
    <w:rsid w:val="00357540"/>
    <w:rsid w:val="0035761F"/>
    <w:rsid w:val="003577C7"/>
    <w:rsid w:val="00357A39"/>
    <w:rsid w:val="00357D3B"/>
    <w:rsid w:val="00360585"/>
    <w:rsid w:val="003605F0"/>
    <w:rsid w:val="003606BE"/>
    <w:rsid w:val="0036083B"/>
    <w:rsid w:val="00360C8D"/>
    <w:rsid w:val="00360D17"/>
    <w:rsid w:val="00360D4D"/>
    <w:rsid w:val="00360DDE"/>
    <w:rsid w:val="00360F27"/>
    <w:rsid w:val="0036108B"/>
    <w:rsid w:val="003610E0"/>
    <w:rsid w:val="0036122D"/>
    <w:rsid w:val="003613A4"/>
    <w:rsid w:val="0036153A"/>
    <w:rsid w:val="00361572"/>
    <w:rsid w:val="00361663"/>
    <w:rsid w:val="00361677"/>
    <w:rsid w:val="00361A05"/>
    <w:rsid w:val="00361A0F"/>
    <w:rsid w:val="00361C60"/>
    <w:rsid w:val="00361CCB"/>
    <w:rsid w:val="0036218B"/>
    <w:rsid w:val="003621D5"/>
    <w:rsid w:val="00362353"/>
    <w:rsid w:val="00362445"/>
    <w:rsid w:val="00362558"/>
    <w:rsid w:val="003625ED"/>
    <w:rsid w:val="003625FB"/>
    <w:rsid w:val="003626BE"/>
    <w:rsid w:val="00362B83"/>
    <w:rsid w:val="00362D76"/>
    <w:rsid w:val="00362FC7"/>
    <w:rsid w:val="00363665"/>
    <w:rsid w:val="003636EE"/>
    <w:rsid w:val="003637E2"/>
    <w:rsid w:val="0036397E"/>
    <w:rsid w:val="00363A12"/>
    <w:rsid w:val="00363A74"/>
    <w:rsid w:val="00363EA0"/>
    <w:rsid w:val="003641CB"/>
    <w:rsid w:val="00364206"/>
    <w:rsid w:val="003642D7"/>
    <w:rsid w:val="0036432A"/>
    <w:rsid w:val="003643FB"/>
    <w:rsid w:val="00364886"/>
    <w:rsid w:val="00364B3F"/>
    <w:rsid w:val="00364C44"/>
    <w:rsid w:val="003654F9"/>
    <w:rsid w:val="00365742"/>
    <w:rsid w:val="00365802"/>
    <w:rsid w:val="003658CD"/>
    <w:rsid w:val="00365A86"/>
    <w:rsid w:val="00365AE6"/>
    <w:rsid w:val="00365EEC"/>
    <w:rsid w:val="00365F31"/>
    <w:rsid w:val="003662FA"/>
    <w:rsid w:val="0036659C"/>
    <w:rsid w:val="0036661F"/>
    <w:rsid w:val="00366A6E"/>
    <w:rsid w:val="00366CA8"/>
    <w:rsid w:val="00366D7F"/>
    <w:rsid w:val="00366F8A"/>
    <w:rsid w:val="0036734D"/>
    <w:rsid w:val="00367391"/>
    <w:rsid w:val="003674A2"/>
    <w:rsid w:val="003678EF"/>
    <w:rsid w:val="0036793C"/>
    <w:rsid w:val="00367C1C"/>
    <w:rsid w:val="00367C65"/>
    <w:rsid w:val="00370232"/>
    <w:rsid w:val="003703ED"/>
    <w:rsid w:val="00370744"/>
    <w:rsid w:val="00370D2F"/>
    <w:rsid w:val="00370DD2"/>
    <w:rsid w:val="00371171"/>
    <w:rsid w:val="0037138C"/>
    <w:rsid w:val="003714CE"/>
    <w:rsid w:val="003718B6"/>
    <w:rsid w:val="00371A6A"/>
    <w:rsid w:val="00371C3E"/>
    <w:rsid w:val="00371F0D"/>
    <w:rsid w:val="00371F8E"/>
    <w:rsid w:val="003720B4"/>
    <w:rsid w:val="003720BE"/>
    <w:rsid w:val="003720CA"/>
    <w:rsid w:val="0037221E"/>
    <w:rsid w:val="003723F2"/>
    <w:rsid w:val="00372406"/>
    <w:rsid w:val="0037247D"/>
    <w:rsid w:val="00372999"/>
    <w:rsid w:val="00372A9A"/>
    <w:rsid w:val="00372B2D"/>
    <w:rsid w:val="00372B86"/>
    <w:rsid w:val="00372C24"/>
    <w:rsid w:val="00372C6D"/>
    <w:rsid w:val="00372E94"/>
    <w:rsid w:val="00373075"/>
    <w:rsid w:val="00373141"/>
    <w:rsid w:val="00373215"/>
    <w:rsid w:val="00373275"/>
    <w:rsid w:val="0037331C"/>
    <w:rsid w:val="0037333C"/>
    <w:rsid w:val="003734C2"/>
    <w:rsid w:val="00373805"/>
    <w:rsid w:val="003739A5"/>
    <w:rsid w:val="00373C8B"/>
    <w:rsid w:val="00373D87"/>
    <w:rsid w:val="00373DE1"/>
    <w:rsid w:val="00373F44"/>
    <w:rsid w:val="00374050"/>
    <w:rsid w:val="003741E6"/>
    <w:rsid w:val="00374327"/>
    <w:rsid w:val="0037492F"/>
    <w:rsid w:val="00374B88"/>
    <w:rsid w:val="00374BC3"/>
    <w:rsid w:val="00374C37"/>
    <w:rsid w:val="00374E51"/>
    <w:rsid w:val="00374EA8"/>
    <w:rsid w:val="003754D5"/>
    <w:rsid w:val="0037556F"/>
    <w:rsid w:val="00375874"/>
    <w:rsid w:val="00375B61"/>
    <w:rsid w:val="00376053"/>
    <w:rsid w:val="0037624E"/>
    <w:rsid w:val="00376255"/>
    <w:rsid w:val="00376447"/>
    <w:rsid w:val="00376747"/>
    <w:rsid w:val="003768FC"/>
    <w:rsid w:val="00376BC2"/>
    <w:rsid w:val="00376CBC"/>
    <w:rsid w:val="00376E69"/>
    <w:rsid w:val="003770FB"/>
    <w:rsid w:val="0037732C"/>
    <w:rsid w:val="00377803"/>
    <w:rsid w:val="0037789B"/>
    <w:rsid w:val="00377A39"/>
    <w:rsid w:val="00377B0B"/>
    <w:rsid w:val="00377D6D"/>
    <w:rsid w:val="00377DF1"/>
    <w:rsid w:val="00377E47"/>
    <w:rsid w:val="00377EA9"/>
    <w:rsid w:val="00377F8C"/>
    <w:rsid w:val="00377FB9"/>
    <w:rsid w:val="003801CB"/>
    <w:rsid w:val="003802C2"/>
    <w:rsid w:val="003802EA"/>
    <w:rsid w:val="00380435"/>
    <w:rsid w:val="003804E2"/>
    <w:rsid w:val="00380543"/>
    <w:rsid w:val="003805CF"/>
    <w:rsid w:val="003805D7"/>
    <w:rsid w:val="00380686"/>
    <w:rsid w:val="00380CF2"/>
    <w:rsid w:val="00380E50"/>
    <w:rsid w:val="00380EFA"/>
    <w:rsid w:val="00380F2D"/>
    <w:rsid w:val="00380F76"/>
    <w:rsid w:val="00380F97"/>
    <w:rsid w:val="0038113E"/>
    <w:rsid w:val="00381309"/>
    <w:rsid w:val="003814E3"/>
    <w:rsid w:val="00381829"/>
    <w:rsid w:val="00381A51"/>
    <w:rsid w:val="00381CEE"/>
    <w:rsid w:val="00381FC4"/>
    <w:rsid w:val="003822BC"/>
    <w:rsid w:val="00382409"/>
    <w:rsid w:val="003825F6"/>
    <w:rsid w:val="0038271E"/>
    <w:rsid w:val="00382A16"/>
    <w:rsid w:val="00382BB2"/>
    <w:rsid w:val="00382DD1"/>
    <w:rsid w:val="00382FCA"/>
    <w:rsid w:val="0038326D"/>
    <w:rsid w:val="003834FD"/>
    <w:rsid w:val="00383740"/>
    <w:rsid w:val="00383809"/>
    <w:rsid w:val="003838A7"/>
    <w:rsid w:val="00383B57"/>
    <w:rsid w:val="00383DD1"/>
    <w:rsid w:val="0038455D"/>
    <w:rsid w:val="0038462B"/>
    <w:rsid w:val="003846CE"/>
    <w:rsid w:val="00384904"/>
    <w:rsid w:val="00384A12"/>
    <w:rsid w:val="00384A98"/>
    <w:rsid w:val="00384C2A"/>
    <w:rsid w:val="00384C5B"/>
    <w:rsid w:val="00384E13"/>
    <w:rsid w:val="003853E8"/>
    <w:rsid w:val="00385AC2"/>
    <w:rsid w:val="00385B40"/>
    <w:rsid w:val="00385EC5"/>
    <w:rsid w:val="00386123"/>
    <w:rsid w:val="0038616C"/>
    <w:rsid w:val="0038622A"/>
    <w:rsid w:val="003867CE"/>
    <w:rsid w:val="003867F1"/>
    <w:rsid w:val="00386B67"/>
    <w:rsid w:val="00386E22"/>
    <w:rsid w:val="003871A8"/>
    <w:rsid w:val="003871FE"/>
    <w:rsid w:val="003873B9"/>
    <w:rsid w:val="003875EA"/>
    <w:rsid w:val="0038766B"/>
    <w:rsid w:val="0038776B"/>
    <w:rsid w:val="0038778F"/>
    <w:rsid w:val="003878D4"/>
    <w:rsid w:val="00387A1C"/>
    <w:rsid w:val="00387FE5"/>
    <w:rsid w:val="0039046F"/>
    <w:rsid w:val="003909D7"/>
    <w:rsid w:val="00390F79"/>
    <w:rsid w:val="003913D3"/>
    <w:rsid w:val="003915C4"/>
    <w:rsid w:val="00391674"/>
    <w:rsid w:val="0039181E"/>
    <w:rsid w:val="0039188A"/>
    <w:rsid w:val="0039204C"/>
    <w:rsid w:val="003927B8"/>
    <w:rsid w:val="00392A01"/>
    <w:rsid w:val="00392D18"/>
    <w:rsid w:val="00392F7B"/>
    <w:rsid w:val="00392FD8"/>
    <w:rsid w:val="003930D3"/>
    <w:rsid w:val="00393794"/>
    <w:rsid w:val="00393AD0"/>
    <w:rsid w:val="00393F4D"/>
    <w:rsid w:val="003941FB"/>
    <w:rsid w:val="0039420C"/>
    <w:rsid w:val="0039444F"/>
    <w:rsid w:val="003945A4"/>
    <w:rsid w:val="00394864"/>
    <w:rsid w:val="00394880"/>
    <w:rsid w:val="00394A28"/>
    <w:rsid w:val="00394B8D"/>
    <w:rsid w:val="00394EA5"/>
    <w:rsid w:val="00395122"/>
    <w:rsid w:val="00395337"/>
    <w:rsid w:val="0039540D"/>
    <w:rsid w:val="003957B1"/>
    <w:rsid w:val="00395A27"/>
    <w:rsid w:val="00395AD3"/>
    <w:rsid w:val="00395BD4"/>
    <w:rsid w:val="00395D49"/>
    <w:rsid w:val="00395ECE"/>
    <w:rsid w:val="00395FC6"/>
    <w:rsid w:val="00396658"/>
    <w:rsid w:val="0039678B"/>
    <w:rsid w:val="003968D6"/>
    <w:rsid w:val="0039700E"/>
    <w:rsid w:val="003974B5"/>
    <w:rsid w:val="00397688"/>
    <w:rsid w:val="003976E8"/>
    <w:rsid w:val="0039773E"/>
    <w:rsid w:val="00397C4B"/>
    <w:rsid w:val="00397C5A"/>
    <w:rsid w:val="00397F1E"/>
    <w:rsid w:val="003A0164"/>
    <w:rsid w:val="003A01A3"/>
    <w:rsid w:val="003A0428"/>
    <w:rsid w:val="003A0577"/>
    <w:rsid w:val="003A0734"/>
    <w:rsid w:val="003A094D"/>
    <w:rsid w:val="003A0A34"/>
    <w:rsid w:val="003A0BC7"/>
    <w:rsid w:val="003A126F"/>
    <w:rsid w:val="003A1446"/>
    <w:rsid w:val="003A1CD6"/>
    <w:rsid w:val="003A1DDF"/>
    <w:rsid w:val="003A1FD3"/>
    <w:rsid w:val="003A2027"/>
    <w:rsid w:val="003A236D"/>
    <w:rsid w:val="003A2474"/>
    <w:rsid w:val="003A2504"/>
    <w:rsid w:val="003A25D1"/>
    <w:rsid w:val="003A2C0B"/>
    <w:rsid w:val="003A2CAF"/>
    <w:rsid w:val="003A33B7"/>
    <w:rsid w:val="003A347F"/>
    <w:rsid w:val="003A365F"/>
    <w:rsid w:val="003A3820"/>
    <w:rsid w:val="003A393B"/>
    <w:rsid w:val="003A3A6A"/>
    <w:rsid w:val="003A3B21"/>
    <w:rsid w:val="003A3E33"/>
    <w:rsid w:val="003A3F09"/>
    <w:rsid w:val="003A40F9"/>
    <w:rsid w:val="003A41E0"/>
    <w:rsid w:val="003A4535"/>
    <w:rsid w:val="003A49EF"/>
    <w:rsid w:val="003A4A3F"/>
    <w:rsid w:val="003A4A7A"/>
    <w:rsid w:val="003A4EC6"/>
    <w:rsid w:val="003A5355"/>
    <w:rsid w:val="003A55DB"/>
    <w:rsid w:val="003A5746"/>
    <w:rsid w:val="003A5B40"/>
    <w:rsid w:val="003A5C93"/>
    <w:rsid w:val="003A5CBA"/>
    <w:rsid w:val="003A5CF3"/>
    <w:rsid w:val="003A5F3D"/>
    <w:rsid w:val="003A6135"/>
    <w:rsid w:val="003A6285"/>
    <w:rsid w:val="003A6668"/>
    <w:rsid w:val="003A6682"/>
    <w:rsid w:val="003A6687"/>
    <w:rsid w:val="003A66BD"/>
    <w:rsid w:val="003A670F"/>
    <w:rsid w:val="003A675C"/>
    <w:rsid w:val="003A67C7"/>
    <w:rsid w:val="003A67D2"/>
    <w:rsid w:val="003A6A56"/>
    <w:rsid w:val="003A6AD9"/>
    <w:rsid w:val="003A6B50"/>
    <w:rsid w:val="003A6F8A"/>
    <w:rsid w:val="003A700F"/>
    <w:rsid w:val="003A708E"/>
    <w:rsid w:val="003A743C"/>
    <w:rsid w:val="003A74F3"/>
    <w:rsid w:val="003A78FF"/>
    <w:rsid w:val="003A7AC0"/>
    <w:rsid w:val="003A7EF6"/>
    <w:rsid w:val="003B024E"/>
    <w:rsid w:val="003B026A"/>
    <w:rsid w:val="003B05F5"/>
    <w:rsid w:val="003B0695"/>
    <w:rsid w:val="003B0769"/>
    <w:rsid w:val="003B090F"/>
    <w:rsid w:val="003B09A0"/>
    <w:rsid w:val="003B0B79"/>
    <w:rsid w:val="003B1167"/>
    <w:rsid w:val="003B11F3"/>
    <w:rsid w:val="003B1553"/>
    <w:rsid w:val="003B15E5"/>
    <w:rsid w:val="003B19E2"/>
    <w:rsid w:val="003B1B7F"/>
    <w:rsid w:val="003B1DCE"/>
    <w:rsid w:val="003B20B0"/>
    <w:rsid w:val="003B20B8"/>
    <w:rsid w:val="003B2734"/>
    <w:rsid w:val="003B27F5"/>
    <w:rsid w:val="003B2957"/>
    <w:rsid w:val="003B295A"/>
    <w:rsid w:val="003B2E6B"/>
    <w:rsid w:val="003B2E6F"/>
    <w:rsid w:val="003B2ECD"/>
    <w:rsid w:val="003B2FC3"/>
    <w:rsid w:val="003B3074"/>
    <w:rsid w:val="003B3255"/>
    <w:rsid w:val="003B3403"/>
    <w:rsid w:val="003B3455"/>
    <w:rsid w:val="003B3462"/>
    <w:rsid w:val="003B3727"/>
    <w:rsid w:val="003B3B91"/>
    <w:rsid w:val="003B3E92"/>
    <w:rsid w:val="003B3FB1"/>
    <w:rsid w:val="003B4399"/>
    <w:rsid w:val="003B470A"/>
    <w:rsid w:val="003B490B"/>
    <w:rsid w:val="003B4AC0"/>
    <w:rsid w:val="003B4B8C"/>
    <w:rsid w:val="003B4C0A"/>
    <w:rsid w:val="003B4F42"/>
    <w:rsid w:val="003B51A4"/>
    <w:rsid w:val="003B5929"/>
    <w:rsid w:val="003B5A77"/>
    <w:rsid w:val="003B5AB3"/>
    <w:rsid w:val="003B5E3C"/>
    <w:rsid w:val="003B61BB"/>
    <w:rsid w:val="003B63A0"/>
    <w:rsid w:val="003B6445"/>
    <w:rsid w:val="003B65A8"/>
    <w:rsid w:val="003B67CE"/>
    <w:rsid w:val="003B67D5"/>
    <w:rsid w:val="003B6A87"/>
    <w:rsid w:val="003B6BC2"/>
    <w:rsid w:val="003B6E47"/>
    <w:rsid w:val="003B6E96"/>
    <w:rsid w:val="003B6F55"/>
    <w:rsid w:val="003B75EA"/>
    <w:rsid w:val="003B7668"/>
    <w:rsid w:val="003B78DF"/>
    <w:rsid w:val="003B7E52"/>
    <w:rsid w:val="003B7EEA"/>
    <w:rsid w:val="003C01E9"/>
    <w:rsid w:val="003C0640"/>
    <w:rsid w:val="003C0C40"/>
    <w:rsid w:val="003C1187"/>
    <w:rsid w:val="003C1264"/>
    <w:rsid w:val="003C13FB"/>
    <w:rsid w:val="003C169C"/>
    <w:rsid w:val="003C1727"/>
    <w:rsid w:val="003C19E4"/>
    <w:rsid w:val="003C1CE8"/>
    <w:rsid w:val="003C1E82"/>
    <w:rsid w:val="003C1FF7"/>
    <w:rsid w:val="003C2036"/>
    <w:rsid w:val="003C209D"/>
    <w:rsid w:val="003C20C6"/>
    <w:rsid w:val="003C22CB"/>
    <w:rsid w:val="003C2390"/>
    <w:rsid w:val="003C2476"/>
    <w:rsid w:val="003C24E0"/>
    <w:rsid w:val="003C2607"/>
    <w:rsid w:val="003C263C"/>
    <w:rsid w:val="003C2691"/>
    <w:rsid w:val="003C339A"/>
    <w:rsid w:val="003C3916"/>
    <w:rsid w:val="003C3D72"/>
    <w:rsid w:val="003C3F4E"/>
    <w:rsid w:val="003C4007"/>
    <w:rsid w:val="003C4043"/>
    <w:rsid w:val="003C43D4"/>
    <w:rsid w:val="003C43DB"/>
    <w:rsid w:val="003C441F"/>
    <w:rsid w:val="003C471D"/>
    <w:rsid w:val="003C4731"/>
    <w:rsid w:val="003C488B"/>
    <w:rsid w:val="003C4905"/>
    <w:rsid w:val="003C4BF0"/>
    <w:rsid w:val="003C4CF7"/>
    <w:rsid w:val="003C4D1C"/>
    <w:rsid w:val="003C4EA9"/>
    <w:rsid w:val="003C5349"/>
    <w:rsid w:val="003C5357"/>
    <w:rsid w:val="003C5390"/>
    <w:rsid w:val="003C5429"/>
    <w:rsid w:val="003C545C"/>
    <w:rsid w:val="003C59D0"/>
    <w:rsid w:val="003C5A03"/>
    <w:rsid w:val="003C5C6C"/>
    <w:rsid w:val="003C5CC6"/>
    <w:rsid w:val="003C5E60"/>
    <w:rsid w:val="003C6043"/>
    <w:rsid w:val="003C668A"/>
    <w:rsid w:val="003C6747"/>
    <w:rsid w:val="003C6A4A"/>
    <w:rsid w:val="003C7496"/>
    <w:rsid w:val="003C7938"/>
    <w:rsid w:val="003C7A60"/>
    <w:rsid w:val="003C7B86"/>
    <w:rsid w:val="003C7B98"/>
    <w:rsid w:val="003C7D4E"/>
    <w:rsid w:val="003D0004"/>
    <w:rsid w:val="003D0053"/>
    <w:rsid w:val="003D0186"/>
    <w:rsid w:val="003D024A"/>
    <w:rsid w:val="003D0259"/>
    <w:rsid w:val="003D03F5"/>
    <w:rsid w:val="003D05C2"/>
    <w:rsid w:val="003D090C"/>
    <w:rsid w:val="003D0B2D"/>
    <w:rsid w:val="003D0F0B"/>
    <w:rsid w:val="003D1359"/>
    <w:rsid w:val="003D1369"/>
    <w:rsid w:val="003D1873"/>
    <w:rsid w:val="003D19C3"/>
    <w:rsid w:val="003D19E7"/>
    <w:rsid w:val="003D1A8A"/>
    <w:rsid w:val="003D1D2A"/>
    <w:rsid w:val="003D1F21"/>
    <w:rsid w:val="003D218C"/>
    <w:rsid w:val="003D2193"/>
    <w:rsid w:val="003D2396"/>
    <w:rsid w:val="003D267B"/>
    <w:rsid w:val="003D26AF"/>
    <w:rsid w:val="003D2836"/>
    <w:rsid w:val="003D283D"/>
    <w:rsid w:val="003D2986"/>
    <w:rsid w:val="003D2E97"/>
    <w:rsid w:val="003D2F4E"/>
    <w:rsid w:val="003D301A"/>
    <w:rsid w:val="003D3267"/>
    <w:rsid w:val="003D3799"/>
    <w:rsid w:val="003D380D"/>
    <w:rsid w:val="003D38DA"/>
    <w:rsid w:val="003D395E"/>
    <w:rsid w:val="003D4114"/>
    <w:rsid w:val="003D45C2"/>
    <w:rsid w:val="003D45C4"/>
    <w:rsid w:val="003D4607"/>
    <w:rsid w:val="003D46FC"/>
    <w:rsid w:val="003D4866"/>
    <w:rsid w:val="003D4ACB"/>
    <w:rsid w:val="003D4DBC"/>
    <w:rsid w:val="003D4F1A"/>
    <w:rsid w:val="003D50E0"/>
    <w:rsid w:val="003D51D7"/>
    <w:rsid w:val="003D5583"/>
    <w:rsid w:val="003D5622"/>
    <w:rsid w:val="003D5884"/>
    <w:rsid w:val="003D5A0A"/>
    <w:rsid w:val="003D5AEA"/>
    <w:rsid w:val="003D5B46"/>
    <w:rsid w:val="003D5D0F"/>
    <w:rsid w:val="003D5F79"/>
    <w:rsid w:val="003D60CB"/>
    <w:rsid w:val="003D63AB"/>
    <w:rsid w:val="003D63EC"/>
    <w:rsid w:val="003D6480"/>
    <w:rsid w:val="003D64F2"/>
    <w:rsid w:val="003D657C"/>
    <w:rsid w:val="003D6922"/>
    <w:rsid w:val="003D6AAC"/>
    <w:rsid w:val="003D6B68"/>
    <w:rsid w:val="003D6CF1"/>
    <w:rsid w:val="003D6D6C"/>
    <w:rsid w:val="003D7002"/>
    <w:rsid w:val="003D7140"/>
    <w:rsid w:val="003D72EA"/>
    <w:rsid w:val="003D7378"/>
    <w:rsid w:val="003D78B4"/>
    <w:rsid w:val="003D7B4C"/>
    <w:rsid w:val="003D7C48"/>
    <w:rsid w:val="003D7C78"/>
    <w:rsid w:val="003E0044"/>
    <w:rsid w:val="003E046B"/>
    <w:rsid w:val="003E0660"/>
    <w:rsid w:val="003E079E"/>
    <w:rsid w:val="003E07B3"/>
    <w:rsid w:val="003E0C75"/>
    <w:rsid w:val="003E0E01"/>
    <w:rsid w:val="003E0FDC"/>
    <w:rsid w:val="003E101E"/>
    <w:rsid w:val="003E13C0"/>
    <w:rsid w:val="003E14C8"/>
    <w:rsid w:val="003E17E1"/>
    <w:rsid w:val="003E187A"/>
    <w:rsid w:val="003E1885"/>
    <w:rsid w:val="003E1950"/>
    <w:rsid w:val="003E1F46"/>
    <w:rsid w:val="003E1FC0"/>
    <w:rsid w:val="003E21B0"/>
    <w:rsid w:val="003E27B0"/>
    <w:rsid w:val="003E2870"/>
    <w:rsid w:val="003E3335"/>
    <w:rsid w:val="003E359A"/>
    <w:rsid w:val="003E37F5"/>
    <w:rsid w:val="003E3825"/>
    <w:rsid w:val="003E38D5"/>
    <w:rsid w:val="003E391D"/>
    <w:rsid w:val="003E396C"/>
    <w:rsid w:val="003E3A58"/>
    <w:rsid w:val="003E3C82"/>
    <w:rsid w:val="003E3D5C"/>
    <w:rsid w:val="003E3D6F"/>
    <w:rsid w:val="003E3DBB"/>
    <w:rsid w:val="003E4226"/>
    <w:rsid w:val="003E437E"/>
    <w:rsid w:val="003E44A3"/>
    <w:rsid w:val="003E4862"/>
    <w:rsid w:val="003E48DB"/>
    <w:rsid w:val="003E48F2"/>
    <w:rsid w:val="003E496B"/>
    <w:rsid w:val="003E49C4"/>
    <w:rsid w:val="003E4B25"/>
    <w:rsid w:val="003E4C42"/>
    <w:rsid w:val="003E4FCF"/>
    <w:rsid w:val="003E5039"/>
    <w:rsid w:val="003E5230"/>
    <w:rsid w:val="003E57AA"/>
    <w:rsid w:val="003E5811"/>
    <w:rsid w:val="003E58CB"/>
    <w:rsid w:val="003E58E1"/>
    <w:rsid w:val="003E58FA"/>
    <w:rsid w:val="003E5A52"/>
    <w:rsid w:val="003E5A80"/>
    <w:rsid w:val="003E5C32"/>
    <w:rsid w:val="003E5C58"/>
    <w:rsid w:val="003E608E"/>
    <w:rsid w:val="003E6175"/>
    <w:rsid w:val="003E650F"/>
    <w:rsid w:val="003E6528"/>
    <w:rsid w:val="003E682F"/>
    <w:rsid w:val="003E6D10"/>
    <w:rsid w:val="003E6D72"/>
    <w:rsid w:val="003E6E77"/>
    <w:rsid w:val="003E727A"/>
    <w:rsid w:val="003E7510"/>
    <w:rsid w:val="003E7728"/>
    <w:rsid w:val="003E7862"/>
    <w:rsid w:val="003E7873"/>
    <w:rsid w:val="003E78F2"/>
    <w:rsid w:val="003E7BF9"/>
    <w:rsid w:val="003E7F3D"/>
    <w:rsid w:val="003E7F7F"/>
    <w:rsid w:val="003F00CE"/>
    <w:rsid w:val="003F0102"/>
    <w:rsid w:val="003F010F"/>
    <w:rsid w:val="003F023C"/>
    <w:rsid w:val="003F044B"/>
    <w:rsid w:val="003F0540"/>
    <w:rsid w:val="003F0717"/>
    <w:rsid w:val="003F0825"/>
    <w:rsid w:val="003F088F"/>
    <w:rsid w:val="003F0A0A"/>
    <w:rsid w:val="003F0CDE"/>
    <w:rsid w:val="003F0DCC"/>
    <w:rsid w:val="003F0E2A"/>
    <w:rsid w:val="003F0E35"/>
    <w:rsid w:val="003F0EA6"/>
    <w:rsid w:val="003F0ECF"/>
    <w:rsid w:val="003F11A2"/>
    <w:rsid w:val="003F12AE"/>
    <w:rsid w:val="003F150A"/>
    <w:rsid w:val="003F15BF"/>
    <w:rsid w:val="003F18B9"/>
    <w:rsid w:val="003F1957"/>
    <w:rsid w:val="003F19CD"/>
    <w:rsid w:val="003F1A6B"/>
    <w:rsid w:val="003F1CD5"/>
    <w:rsid w:val="003F219C"/>
    <w:rsid w:val="003F23DA"/>
    <w:rsid w:val="003F2425"/>
    <w:rsid w:val="003F28C1"/>
    <w:rsid w:val="003F2DEB"/>
    <w:rsid w:val="003F31D1"/>
    <w:rsid w:val="003F329D"/>
    <w:rsid w:val="003F339C"/>
    <w:rsid w:val="003F3659"/>
    <w:rsid w:val="003F38C4"/>
    <w:rsid w:val="003F3A67"/>
    <w:rsid w:val="003F3D48"/>
    <w:rsid w:val="003F3DBD"/>
    <w:rsid w:val="003F3E47"/>
    <w:rsid w:val="003F4408"/>
    <w:rsid w:val="003F465A"/>
    <w:rsid w:val="003F4DD3"/>
    <w:rsid w:val="003F4E3D"/>
    <w:rsid w:val="003F4F0A"/>
    <w:rsid w:val="003F51D8"/>
    <w:rsid w:val="003F520C"/>
    <w:rsid w:val="003F558E"/>
    <w:rsid w:val="003F55ED"/>
    <w:rsid w:val="003F5680"/>
    <w:rsid w:val="003F5749"/>
    <w:rsid w:val="003F5756"/>
    <w:rsid w:val="003F57A2"/>
    <w:rsid w:val="003F589E"/>
    <w:rsid w:val="003F5902"/>
    <w:rsid w:val="003F5A1D"/>
    <w:rsid w:val="003F5A98"/>
    <w:rsid w:val="003F5C11"/>
    <w:rsid w:val="003F5C90"/>
    <w:rsid w:val="003F5D25"/>
    <w:rsid w:val="003F5EA9"/>
    <w:rsid w:val="003F5F70"/>
    <w:rsid w:val="003F6264"/>
    <w:rsid w:val="003F62F1"/>
    <w:rsid w:val="003F63BB"/>
    <w:rsid w:val="003F65BB"/>
    <w:rsid w:val="003F66F3"/>
    <w:rsid w:val="003F6926"/>
    <w:rsid w:val="003F696E"/>
    <w:rsid w:val="003F6A26"/>
    <w:rsid w:val="003F6B5A"/>
    <w:rsid w:val="003F6D86"/>
    <w:rsid w:val="003F70E9"/>
    <w:rsid w:val="003F75F5"/>
    <w:rsid w:val="003F7E35"/>
    <w:rsid w:val="00400157"/>
    <w:rsid w:val="00400367"/>
    <w:rsid w:val="00400533"/>
    <w:rsid w:val="004005FA"/>
    <w:rsid w:val="00400957"/>
    <w:rsid w:val="00400983"/>
    <w:rsid w:val="0040099B"/>
    <w:rsid w:val="00400B1A"/>
    <w:rsid w:val="00400DE8"/>
    <w:rsid w:val="00401192"/>
    <w:rsid w:val="00401300"/>
    <w:rsid w:val="004016F7"/>
    <w:rsid w:val="004019D1"/>
    <w:rsid w:val="00401AE7"/>
    <w:rsid w:val="00401D8A"/>
    <w:rsid w:val="00401F1E"/>
    <w:rsid w:val="0040207B"/>
    <w:rsid w:val="00402326"/>
    <w:rsid w:val="00402353"/>
    <w:rsid w:val="004024F0"/>
    <w:rsid w:val="00402698"/>
    <w:rsid w:val="0040273E"/>
    <w:rsid w:val="00402BB2"/>
    <w:rsid w:val="00402D7E"/>
    <w:rsid w:val="00402DCF"/>
    <w:rsid w:val="00402E88"/>
    <w:rsid w:val="00403145"/>
    <w:rsid w:val="004032CB"/>
    <w:rsid w:val="0040359E"/>
    <w:rsid w:val="0040362A"/>
    <w:rsid w:val="0040381E"/>
    <w:rsid w:val="0040397F"/>
    <w:rsid w:val="00403B26"/>
    <w:rsid w:val="00404032"/>
    <w:rsid w:val="0040404D"/>
    <w:rsid w:val="004040B2"/>
    <w:rsid w:val="004042B6"/>
    <w:rsid w:val="004044C1"/>
    <w:rsid w:val="0040456F"/>
    <w:rsid w:val="00404635"/>
    <w:rsid w:val="00404ACA"/>
    <w:rsid w:val="00404D2E"/>
    <w:rsid w:val="00404F18"/>
    <w:rsid w:val="00404F2F"/>
    <w:rsid w:val="00404F6E"/>
    <w:rsid w:val="00405204"/>
    <w:rsid w:val="0040533F"/>
    <w:rsid w:val="004053AF"/>
    <w:rsid w:val="004053BC"/>
    <w:rsid w:val="00405D5B"/>
    <w:rsid w:val="00406691"/>
    <w:rsid w:val="004067DC"/>
    <w:rsid w:val="004068E5"/>
    <w:rsid w:val="004069C9"/>
    <w:rsid w:val="00406A1C"/>
    <w:rsid w:val="00406A6C"/>
    <w:rsid w:val="00406B01"/>
    <w:rsid w:val="00406C37"/>
    <w:rsid w:val="00406D75"/>
    <w:rsid w:val="00407A4E"/>
    <w:rsid w:val="00407C4A"/>
    <w:rsid w:val="00407C73"/>
    <w:rsid w:val="00407D99"/>
    <w:rsid w:val="00407FFE"/>
    <w:rsid w:val="0041043A"/>
    <w:rsid w:val="00410490"/>
    <w:rsid w:val="004104B5"/>
    <w:rsid w:val="00410531"/>
    <w:rsid w:val="00410578"/>
    <w:rsid w:val="004106D2"/>
    <w:rsid w:val="0041099F"/>
    <w:rsid w:val="00410B5F"/>
    <w:rsid w:val="00410C68"/>
    <w:rsid w:val="00410E17"/>
    <w:rsid w:val="00410F03"/>
    <w:rsid w:val="00410F45"/>
    <w:rsid w:val="0041104A"/>
    <w:rsid w:val="00411507"/>
    <w:rsid w:val="00411606"/>
    <w:rsid w:val="0041194B"/>
    <w:rsid w:val="00411CE9"/>
    <w:rsid w:val="00411E33"/>
    <w:rsid w:val="00411F62"/>
    <w:rsid w:val="00412380"/>
    <w:rsid w:val="0041244E"/>
    <w:rsid w:val="00412652"/>
    <w:rsid w:val="0041267B"/>
    <w:rsid w:val="0041285F"/>
    <w:rsid w:val="00413027"/>
    <w:rsid w:val="00413804"/>
    <w:rsid w:val="00413906"/>
    <w:rsid w:val="00413B6E"/>
    <w:rsid w:val="00413EFE"/>
    <w:rsid w:val="00413F7D"/>
    <w:rsid w:val="004141CC"/>
    <w:rsid w:val="0041459E"/>
    <w:rsid w:val="0041459F"/>
    <w:rsid w:val="0041497F"/>
    <w:rsid w:val="00414BA8"/>
    <w:rsid w:val="00414BAD"/>
    <w:rsid w:val="00414E86"/>
    <w:rsid w:val="00414FBD"/>
    <w:rsid w:val="0041512D"/>
    <w:rsid w:val="00415315"/>
    <w:rsid w:val="0041539D"/>
    <w:rsid w:val="00415909"/>
    <w:rsid w:val="00415D12"/>
    <w:rsid w:val="00415D4A"/>
    <w:rsid w:val="00416009"/>
    <w:rsid w:val="004161AC"/>
    <w:rsid w:val="00416204"/>
    <w:rsid w:val="0041635D"/>
    <w:rsid w:val="0041680A"/>
    <w:rsid w:val="00416E52"/>
    <w:rsid w:val="00416F7D"/>
    <w:rsid w:val="00417105"/>
    <w:rsid w:val="0041710E"/>
    <w:rsid w:val="0041713D"/>
    <w:rsid w:val="00417572"/>
    <w:rsid w:val="0041767A"/>
    <w:rsid w:val="00417875"/>
    <w:rsid w:val="00417D8D"/>
    <w:rsid w:val="00417ECD"/>
    <w:rsid w:val="00417ED4"/>
    <w:rsid w:val="00420420"/>
    <w:rsid w:val="004204E0"/>
    <w:rsid w:val="00420667"/>
    <w:rsid w:val="004209B5"/>
    <w:rsid w:val="004209B8"/>
    <w:rsid w:val="004209D5"/>
    <w:rsid w:val="00420EF4"/>
    <w:rsid w:val="00420FA8"/>
    <w:rsid w:val="00420FA9"/>
    <w:rsid w:val="00421075"/>
    <w:rsid w:val="00421142"/>
    <w:rsid w:val="0042147F"/>
    <w:rsid w:val="004218EB"/>
    <w:rsid w:val="00421925"/>
    <w:rsid w:val="00421C78"/>
    <w:rsid w:val="00421FCB"/>
    <w:rsid w:val="0042223A"/>
    <w:rsid w:val="004222AF"/>
    <w:rsid w:val="00422386"/>
    <w:rsid w:val="0042252A"/>
    <w:rsid w:val="004227A9"/>
    <w:rsid w:val="00422814"/>
    <w:rsid w:val="004229A8"/>
    <w:rsid w:val="00422AD2"/>
    <w:rsid w:val="00422DDF"/>
    <w:rsid w:val="00422E69"/>
    <w:rsid w:val="0042302A"/>
    <w:rsid w:val="0042338B"/>
    <w:rsid w:val="0042343C"/>
    <w:rsid w:val="004238DC"/>
    <w:rsid w:val="00423957"/>
    <w:rsid w:val="00423DC0"/>
    <w:rsid w:val="00424051"/>
    <w:rsid w:val="004241B8"/>
    <w:rsid w:val="00424297"/>
    <w:rsid w:val="0042490B"/>
    <w:rsid w:val="00424988"/>
    <w:rsid w:val="00424C68"/>
    <w:rsid w:val="00425921"/>
    <w:rsid w:val="004259F6"/>
    <w:rsid w:val="00425C65"/>
    <w:rsid w:val="00425D2B"/>
    <w:rsid w:val="00425F25"/>
    <w:rsid w:val="00425FA0"/>
    <w:rsid w:val="004260E8"/>
    <w:rsid w:val="004262B8"/>
    <w:rsid w:val="004263BC"/>
    <w:rsid w:val="00426511"/>
    <w:rsid w:val="00426ADF"/>
    <w:rsid w:val="00427064"/>
    <w:rsid w:val="00427324"/>
    <w:rsid w:val="004277E9"/>
    <w:rsid w:val="0042782A"/>
    <w:rsid w:val="00427983"/>
    <w:rsid w:val="00427C01"/>
    <w:rsid w:val="00427CA9"/>
    <w:rsid w:val="00427E53"/>
    <w:rsid w:val="00427EF4"/>
    <w:rsid w:val="0043026E"/>
    <w:rsid w:val="00430346"/>
    <w:rsid w:val="0043046D"/>
    <w:rsid w:val="0043056C"/>
    <w:rsid w:val="00430C8F"/>
    <w:rsid w:val="00430E45"/>
    <w:rsid w:val="00430E5B"/>
    <w:rsid w:val="0043104E"/>
    <w:rsid w:val="004310E4"/>
    <w:rsid w:val="0043114E"/>
    <w:rsid w:val="00431225"/>
    <w:rsid w:val="00431666"/>
    <w:rsid w:val="00431ABB"/>
    <w:rsid w:val="0043204D"/>
    <w:rsid w:val="004320EC"/>
    <w:rsid w:val="004321FD"/>
    <w:rsid w:val="00432484"/>
    <w:rsid w:val="004324CA"/>
    <w:rsid w:val="0043263D"/>
    <w:rsid w:val="0043265C"/>
    <w:rsid w:val="00432B98"/>
    <w:rsid w:val="00432B9C"/>
    <w:rsid w:val="00432C7E"/>
    <w:rsid w:val="00432D5D"/>
    <w:rsid w:val="00432EC9"/>
    <w:rsid w:val="004332A0"/>
    <w:rsid w:val="0043330D"/>
    <w:rsid w:val="00433491"/>
    <w:rsid w:val="004335EC"/>
    <w:rsid w:val="004336D5"/>
    <w:rsid w:val="004338A6"/>
    <w:rsid w:val="00433B4E"/>
    <w:rsid w:val="00433D52"/>
    <w:rsid w:val="00433E9D"/>
    <w:rsid w:val="00433EE3"/>
    <w:rsid w:val="0043404F"/>
    <w:rsid w:val="004341B1"/>
    <w:rsid w:val="00434333"/>
    <w:rsid w:val="0043452F"/>
    <w:rsid w:val="0043455C"/>
    <w:rsid w:val="004345AA"/>
    <w:rsid w:val="004347A1"/>
    <w:rsid w:val="00434B2B"/>
    <w:rsid w:val="00434C2C"/>
    <w:rsid w:val="004350CB"/>
    <w:rsid w:val="004351BF"/>
    <w:rsid w:val="00435249"/>
    <w:rsid w:val="0043547C"/>
    <w:rsid w:val="00435492"/>
    <w:rsid w:val="004356F6"/>
    <w:rsid w:val="004357AF"/>
    <w:rsid w:val="0043594F"/>
    <w:rsid w:val="00435E59"/>
    <w:rsid w:val="00435E79"/>
    <w:rsid w:val="00435E83"/>
    <w:rsid w:val="00435EC0"/>
    <w:rsid w:val="0043614B"/>
    <w:rsid w:val="004363E7"/>
    <w:rsid w:val="00436A4E"/>
    <w:rsid w:val="00436A68"/>
    <w:rsid w:val="00436A6E"/>
    <w:rsid w:val="00436CAE"/>
    <w:rsid w:val="00436EC3"/>
    <w:rsid w:val="00436F35"/>
    <w:rsid w:val="0043740F"/>
    <w:rsid w:val="00437775"/>
    <w:rsid w:val="004377A7"/>
    <w:rsid w:val="00437A4C"/>
    <w:rsid w:val="00437B80"/>
    <w:rsid w:val="00437EC3"/>
    <w:rsid w:val="00437F43"/>
    <w:rsid w:val="0044013B"/>
    <w:rsid w:val="004402F0"/>
    <w:rsid w:val="00440458"/>
    <w:rsid w:val="00440559"/>
    <w:rsid w:val="00440AD3"/>
    <w:rsid w:val="00440BC4"/>
    <w:rsid w:val="00440CD5"/>
    <w:rsid w:val="00440D14"/>
    <w:rsid w:val="004414C9"/>
    <w:rsid w:val="00441628"/>
    <w:rsid w:val="00441674"/>
    <w:rsid w:val="004418AE"/>
    <w:rsid w:val="00441D27"/>
    <w:rsid w:val="00442213"/>
    <w:rsid w:val="004422E7"/>
    <w:rsid w:val="004428DB"/>
    <w:rsid w:val="00442B4B"/>
    <w:rsid w:val="00442EF0"/>
    <w:rsid w:val="004431A6"/>
    <w:rsid w:val="00443224"/>
    <w:rsid w:val="004432DB"/>
    <w:rsid w:val="00443386"/>
    <w:rsid w:val="004434AB"/>
    <w:rsid w:val="00443EE6"/>
    <w:rsid w:val="00443FCC"/>
    <w:rsid w:val="00444435"/>
    <w:rsid w:val="004444BD"/>
    <w:rsid w:val="00444502"/>
    <w:rsid w:val="00444A70"/>
    <w:rsid w:val="00444B36"/>
    <w:rsid w:val="00444CC7"/>
    <w:rsid w:val="00444CD5"/>
    <w:rsid w:val="00444DFE"/>
    <w:rsid w:val="00444E65"/>
    <w:rsid w:val="00444E8F"/>
    <w:rsid w:val="00444F5D"/>
    <w:rsid w:val="00444F86"/>
    <w:rsid w:val="004451D1"/>
    <w:rsid w:val="004451F8"/>
    <w:rsid w:val="0044523C"/>
    <w:rsid w:val="0044567D"/>
    <w:rsid w:val="004457F2"/>
    <w:rsid w:val="00445DD9"/>
    <w:rsid w:val="00445E88"/>
    <w:rsid w:val="00445EF9"/>
    <w:rsid w:val="00446088"/>
    <w:rsid w:val="004460BB"/>
    <w:rsid w:val="0044681F"/>
    <w:rsid w:val="004468A3"/>
    <w:rsid w:val="00446A41"/>
    <w:rsid w:val="00446AB5"/>
    <w:rsid w:val="00446ACF"/>
    <w:rsid w:val="00446D2D"/>
    <w:rsid w:val="00446ED9"/>
    <w:rsid w:val="00446F27"/>
    <w:rsid w:val="00446FC9"/>
    <w:rsid w:val="00447034"/>
    <w:rsid w:val="0044738D"/>
    <w:rsid w:val="00447612"/>
    <w:rsid w:val="00447625"/>
    <w:rsid w:val="0044765C"/>
    <w:rsid w:val="00447700"/>
    <w:rsid w:val="00447786"/>
    <w:rsid w:val="00447FB3"/>
    <w:rsid w:val="004500B1"/>
    <w:rsid w:val="004502A0"/>
    <w:rsid w:val="004503EF"/>
    <w:rsid w:val="00450842"/>
    <w:rsid w:val="00450937"/>
    <w:rsid w:val="0045097D"/>
    <w:rsid w:val="00450D7F"/>
    <w:rsid w:val="00450DF2"/>
    <w:rsid w:val="004510FD"/>
    <w:rsid w:val="00451103"/>
    <w:rsid w:val="004513BA"/>
    <w:rsid w:val="004514DC"/>
    <w:rsid w:val="004514FE"/>
    <w:rsid w:val="0045190D"/>
    <w:rsid w:val="0045199E"/>
    <w:rsid w:val="00451BE4"/>
    <w:rsid w:val="00451C23"/>
    <w:rsid w:val="00451E05"/>
    <w:rsid w:val="00451E32"/>
    <w:rsid w:val="00451F4E"/>
    <w:rsid w:val="00452024"/>
    <w:rsid w:val="004523DE"/>
    <w:rsid w:val="004523E2"/>
    <w:rsid w:val="004528D8"/>
    <w:rsid w:val="00452A1D"/>
    <w:rsid w:val="00452E8E"/>
    <w:rsid w:val="00453047"/>
    <w:rsid w:val="004530C3"/>
    <w:rsid w:val="00453315"/>
    <w:rsid w:val="00453328"/>
    <w:rsid w:val="0045343D"/>
    <w:rsid w:val="004535C4"/>
    <w:rsid w:val="0045374E"/>
    <w:rsid w:val="00453826"/>
    <w:rsid w:val="0045384E"/>
    <w:rsid w:val="004539F4"/>
    <w:rsid w:val="00453F14"/>
    <w:rsid w:val="0045406F"/>
    <w:rsid w:val="00454207"/>
    <w:rsid w:val="00454405"/>
    <w:rsid w:val="0045441C"/>
    <w:rsid w:val="0045453D"/>
    <w:rsid w:val="00454611"/>
    <w:rsid w:val="004547AA"/>
    <w:rsid w:val="00454CB4"/>
    <w:rsid w:val="00454E4D"/>
    <w:rsid w:val="00454EDE"/>
    <w:rsid w:val="00454EFB"/>
    <w:rsid w:val="00455138"/>
    <w:rsid w:val="00455177"/>
    <w:rsid w:val="004551F3"/>
    <w:rsid w:val="00455229"/>
    <w:rsid w:val="004557EC"/>
    <w:rsid w:val="00455AB3"/>
    <w:rsid w:val="00455F59"/>
    <w:rsid w:val="004560CB"/>
    <w:rsid w:val="0045616D"/>
    <w:rsid w:val="00456172"/>
    <w:rsid w:val="0045617D"/>
    <w:rsid w:val="004562DC"/>
    <w:rsid w:val="00456375"/>
    <w:rsid w:val="00456824"/>
    <w:rsid w:val="00456867"/>
    <w:rsid w:val="00456D9B"/>
    <w:rsid w:val="00456E79"/>
    <w:rsid w:val="00456F01"/>
    <w:rsid w:val="00457209"/>
    <w:rsid w:val="00457330"/>
    <w:rsid w:val="004574DB"/>
    <w:rsid w:val="004575CA"/>
    <w:rsid w:val="004579A0"/>
    <w:rsid w:val="00457A1C"/>
    <w:rsid w:val="00457A90"/>
    <w:rsid w:val="00457B25"/>
    <w:rsid w:val="00457C4C"/>
    <w:rsid w:val="00457D5E"/>
    <w:rsid w:val="004605BF"/>
    <w:rsid w:val="00460FC7"/>
    <w:rsid w:val="00460FC8"/>
    <w:rsid w:val="00461207"/>
    <w:rsid w:val="0046163C"/>
    <w:rsid w:val="00461AEB"/>
    <w:rsid w:val="00461B7E"/>
    <w:rsid w:val="00461BA7"/>
    <w:rsid w:val="00461BC1"/>
    <w:rsid w:val="00461CE7"/>
    <w:rsid w:val="0046220C"/>
    <w:rsid w:val="0046224B"/>
    <w:rsid w:val="004626B9"/>
    <w:rsid w:val="004626BD"/>
    <w:rsid w:val="00462799"/>
    <w:rsid w:val="00462A38"/>
    <w:rsid w:val="00462D94"/>
    <w:rsid w:val="00462EDB"/>
    <w:rsid w:val="00463074"/>
    <w:rsid w:val="00463656"/>
    <w:rsid w:val="00463A63"/>
    <w:rsid w:val="00463B01"/>
    <w:rsid w:val="00463F15"/>
    <w:rsid w:val="004642A5"/>
    <w:rsid w:val="004642C7"/>
    <w:rsid w:val="00464420"/>
    <w:rsid w:val="00464433"/>
    <w:rsid w:val="004649AD"/>
    <w:rsid w:val="00464D56"/>
    <w:rsid w:val="00465070"/>
    <w:rsid w:val="004651C1"/>
    <w:rsid w:val="004654AA"/>
    <w:rsid w:val="004655B8"/>
    <w:rsid w:val="004656DC"/>
    <w:rsid w:val="004658C4"/>
    <w:rsid w:val="00465B13"/>
    <w:rsid w:val="00465C38"/>
    <w:rsid w:val="00465FBB"/>
    <w:rsid w:val="0046661C"/>
    <w:rsid w:val="00466715"/>
    <w:rsid w:val="00466729"/>
    <w:rsid w:val="004668CA"/>
    <w:rsid w:val="00466903"/>
    <w:rsid w:val="0046694C"/>
    <w:rsid w:val="00466AB0"/>
    <w:rsid w:val="00466C5C"/>
    <w:rsid w:val="00466F6A"/>
    <w:rsid w:val="004672BE"/>
    <w:rsid w:val="004675A6"/>
    <w:rsid w:val="0046765A"/>
    <w:rsid w:val="00467A78"/>
    <w:rsid w:val="00467B22"/>
    <w:rsid w:val="00467CD1"/>
    <w:rsid w:val="00467DD4"/>
    <w:rsid w:val="0047016C"/>
    <w:rsid w:val="004701FE"/>
    <w:rsid w:val="00470223"/>
    <w:rsid w:val="00470328"/>
    <w:rsid w:val="00470438"/>
    <w:rsid w:val="00470628"/>
    <w:rsid w:val="004707D1"/>
    <w:rsid w:val="0047099A"/>
    <w:rsid w:val="00470B9F"/>
    <w:rsid w:val="00470C1B"/>
    <w:rsid w:val="00470C1E"/>
    <w:rsid w:val="00470FEC"/>
    <w:rsid w:val="004710B9"/>
    <w:rsid w:val="0047114C"/>
    <w:rsid w:val="004713E4"/>
    <w:rsid w:val="00471406"/>
    <w:rsid w:val="004714AB"/>
    <w:rsid w:val="00471761"/>
    <w:rsid w:val="004717C5"/>
    <w:rsid w:val="00471867"/>
    <w:rsid w:val="00471897"/>
    <w:rsid w:val="00471A74"/>
    <w:rsid w:val="00471B8A"/>
    <w:rsid w:val="00471BB0"/>
    <w:rsid w:val="00471FBA"/>
    <w:rsid w:val="0047218D"/>
    <w:rsid w:val="0047228F"/>
    <w:rsid w:val="004723A8"/>
    <w:rsid w:val="004725EF"/>
    <w:rsid w:val="004727AA"/>
    <w:rsid w:val="004728E2"/>
    <w:rsid w:val="00472907"/>
    <w:rsid w:val="00472AD9"/>
    <w:rsid w:val="00472AF0"/>
    <w:rsid w:val="00472B37"/>
    <w:rsid w:val="00472EE8"/>
    <w:rsid w:val="004734A9"/>
    <w:rsid w:val="00473559"/>
    <w:rsid w:val="0047358A"/>
    <w:rsid w:val="00473887"/>
    <w:rsid w:val="004738C6"/>
    <w:rsid w:val="00473AA2"/>
    <w:rsid w:val="00473BEC"/>
    <w:rsid w:val="00473C28"/>
    <w:rsid w:val="00473DE9"/>
    <w:rsid w:val="0047400A"/>
    <w:rsid w:val="0047408E"/>
    <w:rsid w:val="00474B98"/>
    <w:rsid w:val="00474CF7"/>
    <w:rsid w:val="00474D33"/>
    <w:rsid w:val="00474DFC"/>
    <w:rsid w:val="00475287"/>
    <w:rsid w:val="00475446"/>
    <w:rsid w:val="00475919"/>
    <w:rsid w:val="0047592C"/>
    <w:rsid w:val="00475992"/>
    <w:rsid w:val="00475BF2"/>
    <w:rsid w:val="00475D81"/>
    <w:rsid w:val="00475F99"/>
    <w:rsid w:val="00476009"/>
    <w:rsid w:val="004764E5"/>
    <w:rsid w:val="0047675A"/>
    <w:rsid w:val="0047688E"/>
    <w:rsid w:val="00476C33"/>
    <w:rsid w:val="00476F14"/>
    <w:rsid w:val="0047705E"/>
    <w:rsid w:val="004775AE"/>
    <w:rsid w:val="0047789F"/>
    <w:rsid w:val="00477F13"/>
    <w:rsid w:val="0048017A"/>
    <w:rsid w:val="004801F1"/>
    <w:rsid w:val="0048036D"/>
    <w:rsid w:val="0048040C"/>
    <w:rsid w:val="00480454"/>
    <w:rsid w:val="00480A9E"/>
    <w:rsid w:val="00480C70"/>
    <w:rsid w:val="00480DDF"/>
    <w:rsid w:val="00480FC2"/>
    <w:rsid w:val="0048113B"/>
    <w:rsid w:val="00481207"/>
    <w:rsid w:val="00481445"/>
    <w:rsid w:val="0048167B"/>
    <w:rsid w:val="00481CB5"/>
    <w:rsid w:val="00481D3A"/>
    <w:rsid w:val="00481D4E"/>
    <w:rsid w:val="00481E0B"/>
    <w:rsid w:val="00481FDC"/>
    <w:rsid w:val="004820AF"/>
    <w:rsid w:val="004829A5"/>
    <w:rsid w:val="00482A23"/>
    <w:rsid w:val="00482B72"/>
    <w:rsid w:val="004830A2"/>
    <w:rsid w:val="004831C8"/>
    <w:rsid w:val="00483413"/>
    <w:rsid w:val="004838A1"/>
    <w:rsid w:val="004838EC"/>
    <w:rsid w:val="004839F5"/>
    <w:rsid w:val="00483A90"/>
    <w:rsid w:val="00483AC0"/>
    <w:rsid w:val="00483B72"/>
    <w:rsid w:val="00483BBC"/>
    <w:rsid w:val="00483BF3"/>
    <w:rsid w:val="00483CBF"/>
    <w:rsid w:val="00483D5C"/>
    <w:rsid w:val="00484208"/>
    <w:rsid w:val="0048483B"/>
    <w:rsid w:val="0048485D"/>
    <w:rsid w:val="004849BE"/>
    <w:rsid w:val="004849F3"/>
    <w:rsid w:val="00484AF5"/>
    <w:rsid w:val="00484BAF"/>
    <w:rsid w:val="00484D6E"/>
    <w:rsid w:val="00484E55"/>
    <w:rsid w:val="00484E9D"/>
    <w:rsid w:val="00485013"/>
    <w:rsid w:val="00485127"/>
    <w:rsid w:val="0048544C"/>
    <w:rsid w:val="004854E0"/>
    <w:rsid w:val="004855D2"/>
    <w:rsid w:val="00485716"/>
    <w:rsid w:val="00485845"/>
    <w:rsid w:val="004859AD"/>
    <w:rsid w:val="00485B13"/>
    <w:rsid w:val="00485BD9"/>
    <w:rsid w:val="00485EBF"/>
    <w:rsid w:val="00486010"/>
    <w:rsid w:val="00486132"/>
    <w:rsid w:val="0048620F"/>
    <w:rsid w:val="004863C0"/>
    <w:rsid w:val="0048665F"/>
    <w:rsid w:val="00486693"/>
    <w:rsid w:val="004868B5"/>
    <w:rsid w:val="0048690D"/>
    <w:rsid w:val="004869CD"/>
    <w:rsid w:val="00486CA3"/>
    <w:rsid w:val="00486D46"/>
    <w:rsid w:val="00486D77"/>
    <w:rsid w:val="00486D8A"/>
    <w:rsid w:val="00486FBE"/>
    <w:rsid w:val="00486FCD"/>
    <w:rsid w:val="004870AD"/>
    <w:rsid w:val="00487467"/>
    <w:rsid w:val="00487530"/>
    <w:rsid w:val="00487563"/>
    <w:rsid w:val="004875C4"/>
    <w:rsid w:val="00487888"/>
    <w:rsid w:val="00487999"/>
    <w:rsid w:val="00487F4E"/>
    <w:rsid w:val="00490016"/>
    <w:rsid w:val="0049004C"/>
    <w:rsid w:val="00490247"/>
    <w:rsid w:val="00490472"/>
    <w:rsid w:val="0049051B"/>
    <w:rsid w:val="00490734"/>
    <w:rsid w:val="0049095A"/>
    <w:rsid w:val="00490993"/>
    <w:rsid w:val="00490C14"/>
    <w:rsid w:val="00490F30"/>
    <w:rsid w:val="00491479"/>
    <w:rsid w:val="00491593"/>
    <w:rsid w:val="004919FE"/>
    <w:rsid w:val="00491B12"/>
    <w:rsid w:val="00491C86"/>
    <w:rsid w:val="00492323"/>
    <w:rsid w:val="004923D8"/>
    <w:rsid w:val="0049261B"/>
    <w:rsid w:val="00492724"/>
    <w:rsid w:val="004927CF"/>
    <w:rsid w:val="0049296A"/>
    <w:rsid w:val="00492970"/>
    <w:rsid w:val="00492BD8"/>
    <w:rsid w:val="00492C7E"/>
    <w:rsid w:val="00492DB8"/>
    <w:rsid w:val="004932E6"/>
    <w:rsid w:val="0049335E"/>
    <w:rsid w:val="004937C1"/>
    <w:rsid w:val="00493C15"/>
    <w:rsid w:val="00493EDC"/>
    <w:rsid w:val="004940EF"/>
    <w:rsid w:val="00494973"/>
    <w:rsid w:val="004949D9"/>
    <w:rsid w:val="00494B21"/>
    <w:rsid w:val="00494B8E"/>
    <w:rsid w:val="00494EEA"/>
    <w:rsid w:val="00495195"/>
    <w:rsid w:val="004954DF"/>
    <w:rsid w:val="004954E9"/>
    <w:rsid w:val="004954FD"/>
    <w:rsid w:val="00495559"/>
    <w:rsid w:val="0049557E"/>
    <w:rsid w:val="00495746"/>
    <w:rsid w:val="00495753"/>
    <w:rsid w:val="00495924"/>
    <w:rsid w:val="00495F7E"/>
    <w:rsid w:val="0049602F"/>
    <w:rsid w:val="0049616A"/>
    <w:rsid w:val="00496278"/>
    <w:rsid w:val="004962E2"/>
    <w:rsid w:val="00496487"/>
    <w:rsid w:val="0049687E"/>
    <w:rsid w:val="00496B8B"/>
    <w:rsid w:val="00496F06"/>
    <w:rsid w:val="00497799"/>
    <w:rsid w:val="004978DB"/>
    <w:rsid w:val="00497C6D"/>
    <w:rsid w:val="00497D30"/>
    <w:rsid w:val="00497FCA"/>
    <w:rsid w:val="004A007D"/>
    <w:rsid w:val="004A01AA"/>
    <w:rsid w:val="004A01F9"/>
    <w:rsid w:val="004A0240"/>
    <w:rsid w:val="004A0265"/>
    <w:rsid w:val="004A029A"/>
    <w:rsid w:val="004A05FF"/>
    <w:rsid w:val="004A0721"/>
    <w:rsid w:val="004A08B0"/>
    <w:rsid w:val="004A0D0B"/>
    <w:rsid w:val="004A0DA8"/>
    <w:rsid w:val="004A0FBD"/>
    <w:rsid w:val="004A0FF3"/>
    <w:rsid w:val="004A11E7"/>
    <w:rsid w:val="004A158C"/>
    <w:rsid w:val="004A15BD"/>
    <w:rsid w:val="004A1847"/>
    <w:rsid w:val="004A1A40"/>
    <w:rsid w:val="004A1B5D"/>
    <w:rsid w:val="004A2340"/>
    <w:rsid w:val="004A240C"/>
    <w:rsid w:val="004A25BE"/>
    <w:rsid w:val="004A2915"/>
    <w:rsid w:val="004A29C2"/>
    <w:rsid w:val="004A2D86"/>
    <w:rsid w:val="004A2E50"/>
    <w:rsid w:val="004A3094"/>
    <w:rsid w:val="004A3135"/>
    <w:rsid w:val="004A317D"/>
    <w:rsid w:val="004A31C3"/>
    <w:rsid w:val="004A3215"/>
    <w:rsid w:val="004A34E5"/>
    <w:rsid w:val="004A3B18"/>
    <w:rsid w:val="004A434D"/>
    <w:rsid w:val="004A4467"/>
    <w:rsid w:val="004A45F8"/>
    <w:rsid w:val="004A46CD"/>
    <w:rsid w:val="004A4B77"/>
    <w:rsid w:val="004A5987"/>
    <w:rsid w:val="004A59C8"/>
    <w:rsid w:val="004A5A8F"/>
    <w:rsid w:val="004A5CD1"/>
    <w:rsid w:val="004A5D1A"/>
    <w:rsid w:val="004A5D7A"/>
    <w:rsid w:val="004A5DD9"/>
    <w:rsid w:val="004A5FA3"/>
    <w:rsid w:val="004A5FB1"/>
    <w:rsid w:val="004A62CF"/>
    <w:rsid w:val="004A6978"/>
    <w:rsid w:val="004A69E3"/>
    <w:rsid w:val="004A6AF7"/>
    <w:rsid w:val="004A6B55"/>
    <w:rsid w:val="004A6CF3"/>
    <w:rsid w:val="004A6DE0"/>
    <w:rsid w:val="004A700D"/>
    <w:rsid w:val="004A7019"/>
    <w:rsid w:val="004A793F"/>
    <w:rsid w:val="004A7C02"/>
    <w:rsid w:val="004A7E9F"/>
    <w:rsid w:val="004A7F8B"/>
    <w:rsid w:val="004B0545"/>
    <w:rsid w:val="004B05AE"/>
    <w:rsid w:val="004B08C0"/>
    <w:rsid w:val="004B0CDA"/>
    <w:rsid w:val="004B0D5E"/>
    <w:rsid w:val="004B0E13"/>
    <w:rsid w:val="004B0F76"/>
    <w:rsid w:val="004B0FE4"/>
    <w:rsid w:val="004B0FEA"/>
    <w:rsid w:val="004B127F"/>
    <w:rsid w:val="004B1305"/>
    <w:rsid w:val="004B1414"/>
    <w:rsid w:val="004B1554"/>
    <w:rsid w:val="004B15C4"/>
    <w:rsid w:val="004B1629"/>
    <w:rsid w:val="004B1B37"/>
    <w:rsid w:val="004B1E93"/>
    <w:rsid w:val="004B1EB4"/>
    <w:rsid w:val="004B1EBD"/>
    <w:rsid w:val="004B2057"/>
    <w:rsid w:val="004B2084"/>
    <w:rsid w:val="004B20F3"/>
    <w:rsid w:val="004B2138"/>
    <w:rsid w:val="004B2365"/>
    <w:rsid w:val="004B24DD"/>
    <w:rsid w:val="004B2775"/>
    <w:rsid w:val="004B282A"/>
    <w:rsid w:val="004B2A7A"/>
    <w:rsid w:val="004B2A9C"/>
    <w:rsid w:val="004B2B42"/>
    <w:rsid w:val="004B30CB"/>
    <w:rsid w:val="004B3256"/>
    <w:rsid w:val="004B3509"/>
    <w:rsid w:val="004B37F8"/>
    <w:rsid w:val="004B39C5"/>
    <w:rsid w:val="004B3AF5"/>
    <w:rsid w:val="004B3CA5"/>
    <w:rsid w:val="004B3D30"/>
    <w:rsid w:val="004B3F02"/>
    <w:rsid w:val="004B40E0"/>
    <w:rsid w:val="004B413E"/>
    <w:rsid w:val="004B4410"/>
    <w:rsid w:val="004B4544"/>
    <w:rsid w:val="004B4730"/>
    <w:rsid w:val="004B47E1"/>
    <w:rsid w:val="004B48A3"/>
    <w:rsid w:val="004B495E"/>
    <w:rsid w:val="004B4978"/>
    <w:rsid w:val="004B4BD3"/>
    <w:rsid w:val="004B54B1"/>
    <w:rsid w:val="004B5DFC"/>
    <w:rsid w:val="004B611F"/>
    <w:rsid w:val="004B668D"/>
    <w:rsid w:val="004B66E1"/>
    <w:rsid w:val="004B675D"/>
    <w:rsid w:val="004B6764"/>
    <w:rsid w:val="004B67B8"/>
    <w:rsid w:val="004B68E6"/>
    <w:rsid w:val="004B6906"/>
    <w:rsid w:val="004B6BB0"/>
    <w:rsid w:val="004B6D05"/>
    <w:rsid w:val="004B6DE3"/>
    <w:rsid w:val="004B6E22"/>
    <w:rsid w:val="004B6F93"/>
    <w:rsid w:val="004B6FE3"/>
    <w:rsid w:val="004B7231"/>
    <w:rsid w:val="004B729B"/>
    <w:rsid w:val="004B7548"/>
    <w:rsid w:val="004B77C1"/>
    <w:rsid w:val="004B7840"/>
    <w:rsid w:val="004B7C6C"/>
    <w:rsid w:val="004C009C"/>
    <w:rsid w:val="004C00C5"/>
    <w:rsid w:val="004C0141"/>
    <w:rsid w:val="004C0250"/>
    <w:rsid w:val="004C02C8"/>
    <w:rsid w:val="004C04A2"/>
    <w:rsid w:val="004C066D"/>
    <w:rsid w:val="004C0724"/>
    <w:rsid w:val="004C09E8"/>
    <w:rsid w:val="004C0DA0"/>
    <w:rsid w:val="004C0E94"/>
    <w:rsid w:val="004C103F"/>
    <w:rsid w:val="004C1096"/>
    <w:rsid w:val="004C11CA"/>
    <w:rsid w:val="004C12DE"/>
    <w:rsid w:val="004C1357"/>
    <w:rsid w:val="004C1651"/>
    <w:rsid w:val="004C16C4"/>
    <w:rsid w:val="004C195F"/>
    <w:rsid w:val="004C19BE"/>
    <w:rsid w:val="004C1D28"/>
    <w:rsid w:val="004C1DB2"/>
    <w:rsid w:val="004C1F33"/>
    <w:rsid w:val="004C211E"/>
    <w:rsid w:val="004C228E"/>
    <w:rsid w:val="004C2299"/>
    <w:rsid w:val="004C2363"/>
    <w:rsid w:val="004C23C0"/>
    <w:rsid w:val="004C242E"/>
    <w:rsid w:val="004C24B1"/>
    <w:rsid w:val="004C2553"/>
    <w:rsid w:val="004C2856"/>
    <w:rsid w:val="004C2D8D"/>
    <w:rsid w:val="004C2DEA"/>
    <w:rsid w:val="004C3839"/>
    <w:rsid w:val="004C38D2"/>
    <w:rsid w:val="004C3B3C"/>
    <w:rsid w:val="004C3B95"/>
    <w:rsid w:val="004C418B"/>
    <w:rsid w:val="004C44AB"/>
    <w:rsid w:val="004C4612"/>
    <w:rsid w:val="004C4678"/>
    <w:rsid w:val="004C47D0"/>
    <w:rsid w:val="004C484E"/>
    <w:rsid w:val="004C4B29"/>
    <w:rsid w:val="004C4E34"/>
    <w:rsid w:val="004C5240"/>
    <w:rsid w:val="004C5616"/>
    <w:rsid w:val="004C56AE"/>
    <w:rsid w:val="004C5774"/>
    <w:rsid w:val="004C5AB7"/>
    <w:rsid w:val="004C5D40"/>
    <w:rsid w:val="004C5E09"/>
    <w:rsid w:val="004C603F"/>
    <w:rsid w:val="004C62B6"/>
    <w:rsid w:val="004C65F4"/>
    <w:rsid w:val="004C6794"/>
    <w:rsid w:val="004C67AD"/>
    <w:rsid w:val="004C6A12"/>
    <w:rsid w:val="004C6A54"/>
    <w:rsid w:val="004C6A56"/>
    <w:rsid w:val="004C6BFB"/>
    <w:rsid w:val="004C6E22"/>
    <w:rsid w:val="004C6E76"/>
    <w:rsid w:val="004C6F42"/>
    <w:rsid w:val="004C6F9F"/>
    <w:rsid w:val="004C74E2"/>
    <w:rsid w:val="004C756E"/>
    <w:rsid w:val="004C762A"/>
    <w:rsid w:val="004C7694"/>
    <w:rsid w:val="004C770B"/>
    <w:rsid w:val="004C7AA4"/>
    <w:rsid w:val="004C7BB3"/>
    <w:rsid w:val="004C7C7A"/>
    <w:rsid w:val="004C7D06"/>
    <w:rsid w:val="004C7EB3"/>
    <w:rsid w:val="004D019B"/>
    <w:rsid w:val="004D050B"/>
    <w:rsid w:val="004D0ED2"/>
    <w:rsid w:val="004D109A"/>
    <w:rsid w:val="004D132C"/>
    <w:rsid w:val="004D1667"/>
    <w:rsid w:val="004D1A9E"/>
    <w:rsid w:val="004D1BD6"/>
    <w:rsid w:val="004D1C85"/>
    <w:rsid w:val="004D1D32"/>
    <w:rsid w:val="004D1EDA"/>
    <w:rsid w:val="004D1F27"/>
    <w:rsid w:val="004D20FA"/>
    <w:rsid w:val="004D21DE"/>
    <w:rsid w:val="004D2206"/>
    <w:rsid w:val="004D2247"/>
    <w:rsid w:val="004D23D6"/>
    <w:rsid w:val="004D2AF1"/>
    <w:rsid w:val="004D2B98"/>
    <w:rsid w:val="004D2F47"/>
    <w:rsid w:val="004D2FBE"/>
    <w:rsid w:val="004D32BA"/>
    <w:rsid w:val="004D3486"/>
    <w:rsid w:val="004D34C0"/>
    <w:rsid w:val="004D3549"/>
    <w:rsid w:val="004D377C"/>
    <w:rsid w:val="004D37E7"/>
    <w:rsid w:val="004D3F03"/>
    <w:rsid w:val="004D3F80"/>
    <w:rsid w:val="004D3F85"/>
    <w:rsid w:val="004D4084"/>
    <w:rsid w:val="004D4CC4"/>
    <w:rsid w:val="004D4D02"/>
    <w:rsid w:val="004D4ED0"/>
    <w:rsid w:val="004D4F64"/>
    <w:rsid w:val="004D5538"/>
    <w:rsid w:val="004D562C"/>
    <w:rsid w:val="004D5A5D"/>
    <w:rsid w:val="004D5B2C"/>
    <w:rsid w:val="004D5BB1"/>
    <w:rsid w:val="004D5BE1"/>
    <w:rsid w:val="004D5D4D"/>
    <w:rsid w:val="004D5FF3"/>
    <w:rsid w:val="004D6106"/>
    <w:rsid w:val="004D6147"/>
    <w:rsid w:val="004D63E7"/>
    <w:rsid w:val="004D642D"/>
    <w:rsid w:val="004D64E4"/>
    <w:rsid w:val="004D6650"/>
    <w:rsid w:val="004D67BB"/>
    <w:rsid w:val="004D6AAD"/>
    <w:rsid w:val="004D6AF7"/>
    <w:rsid w:val="004D6CB3"/>
    <w:rsid w:val="004D6FBE"/>
    <w:rsid w:val="004D7708"/>
    <w:rsid w:val="004D7D3F"/>
    <w:rsid w:val="004D7DCD"/>
    <w:rsid w:val="004D7F39"/>
    <w:rsid w:val="004E0006"/>
    <w:rsid w:val="004E0376"/>
    <w:rsid w:val="004E0380"/>
    <w:rsid w:val="004E05CE"/>
    <w:rsid w:val="004E0612"/>
    <w:rsid w:val="004E07D7"/>
    <w:rsid w:val="004E0CFE"/>
    <w:rsid w:val="004E114B"/>
    <w:rsid w:val="004E12B6"/>
    <w:rsid w:val="004E1557"/>
    <w:rsid w:val="004E15B2"/>
    <w:rsid w:val="004E1675"/>
    <w:rsid w:val="004E1A2C"/>
    <w:rsid w:val="004E1B7F"/>
    <w:rsid w:val="004E1CA1"/>
    <w:rsid w:val="004E1CFF"/>
    <w:rsid w:val="004E1D99"/>
    <w:rsid w:val="004E1FC5"/>
    <w:rsid w:val="004E2049"/>
    <w:rsid w:val="004E22B4"/>
    <w:rsid w:val="004E2346"/>
    <w:rsid w:val="004E268A"/>
    <w:rsid w:val="004E2AB1"/>
    <w:rsid w:val="004E2BAD"/>
    <w:rsid w:val="004E2D98"/>
    <w:rsid w:val="004E2E60"/>
    <w:rsid w:val="004E2F3D"/>
    <w:rsid w:val="004E3170"/>
    <w:rsid w:val="004E37DA"/>
    <w:rsid w:val="004E3847"/>
    <w:rsid w:val="004E3AD6"/>
    <w:rsid w:val="004E3D40"/>
    <w:rsid w:val="004E3D93"/>
    <w:rsid w:val="004E3FC1"/>
    <w:rsid w:val="004E4098"/>
    <w:rsid w:val="004E4367"/>
    <w:rsid w:val="004E43A6"/>
    <w:rsid w:val="004E440B"/>
    <w:rsid w:val="004E4566"/>
    <w:rsid w:val="004E4868"/>
    <w:rsid w:val="004E4959"/>
    <w:rsid w:val="004E4AEC"/>
    <w:rsid w:val="004E4C88"/>
    <w:rsid w:val="004E4DFC"/>
    <w:rsid w:val="004E5290"/>
    <w:rsid w:val="004E5353"/>
    <w:rsid w:val="004E583B"/>
    <w:rsid w:val="004E5A1A"/>
    <w:rsid w:val="004E5A9C"/>
    <w:rsid w:val="004E5AC3"/>
    <w:rsid w:val="004E5B44"/>
    <w:rsid w:val="004E5C37"/>
    <w:rsid w:val="004E5CF5"/>
    <w:rsid w:val="004E5D20"/>
    <w:rsid w:val="004E5E92"/>
    <w:rsid w:val="004E614A"/>
    <w:rsid w:val="004E64F2"/>
    <w:rsid w:val="004E6B2F"/>
    <w:rsid w:val="004E6C31"/>
    <w:rsid w:val="004E6C3A"/>
    <w:rsid w:val="004E70DE"/>
    <w:rsid w:val="004E72C3"/>
    <w:rsid w:val="004E731C"/>
    <w:rsid w:val="004E73F0"/>
    <w:rsid w:val="004E7436"/>
    <w:rsid w:val="004E75FB"/>
    <w:rsid w:val="004E76BD"/>
    <w:rsid w:val="004E77BA"/>
    <w:rsid w:val="004E7DD1"/>
    <w:rsid w:val="004E7DF2"/>
    <w:rsid w:val="004E7DF6"/>
    <w:rsid w:val="004E7F9D"/>
    <w:rsid w:val="004E7FD5"/>
    <w:rsid w:val="004E7FEE"/>
    <w:rsid w:val="004F00A7"/>
    <w:rsid w:val="004F035C"/>
    <w:rsid w:val="004F04FC"/>
    <w:rsid w:val="004F059A"/>
    <w:rsid w:val="004F0CFF"/>
    <w:rsid w:val="004F0EE6"/>
    <w:rsid w:val="004F0F1E"/>
    <w:rsid w:val="004F0F32"/>
    <w:rsid w:val="004F10EE"/>
    <w:rsid w:val="004F1795"/>
    <w:rsid w:val="004F1A7C"/>
    <w:rsid w:val="004F1A9F"/>
    <w:rsid w:val="004F1AAC"/>
    <w:rsid w:val="004F1CC6"/>
    <w:rsid w:val="004F1E68"/>
    <w:rsid w:val="004F202E"/>
    <w:rsid w:val="004F21CD"/>
    <w:rsid w:val="004F21DB"/>
    <w:rsid w:val="004F22C6"/>
    <w:rsid w:val="004F258F"/>
    <w:rsid w:val="004F29E7"/>
    <w:rsid w:val="004F2C8E"/>
    <w:rsid w:val="004F2D6B"/>
    <w:rsid w:val="004F2DF5"/>
    <w:rsid w:val="004F3113"/>
    <w:rsid w:val="004F33A2"/>
    <w:rsid w:val="004F383C"/>
    <w:rsid w:val="004F3B40"/>
    <w:rsid w:val="004F3D04"/>
    <w:rsid w:val="004F3D11"/>
    <w:rsid w:val="004F3E8C"/>
    <w:rsid w:val="004F437A"/>
    <w:rsid w:val="004F4446"/>
    <w:rsid w:val="004F4506"/>
    <w:rsid w:val="004F4562"/>
    <w:rsid w:val="004F4695"/>
    <w:rsid w:val="004F469D"/>
    <w:rsid w:val="004F4971"/>
    <w:rsid w:val="004F4A84"/>
    <w:rsid w:val="004F4AB7"/>
    <w:rsid w:val="004F4BE5"/>
    <w:rsid w:val="004F4D0F"/>
    <w:rsid w:val="004F4E3A"/>
    <w:rsid w:val="004F4ED1"/>
    <w:rsid w:val="004F4EE7"/>
    <w:rsid w:val="004F5066"/>
    <w:rsid w:val="004F5223"/>
    <w:rsid w:val="004F52C9"/>
    <w:rsid w:val="004F53CB"/>
    <w:rsid w:val="004F5420"/>
    <w:rsid w:val="004F5694"/>
    <w:rsid w:val="004F58C8"/>
    <w:rsid w:val="004F5D0D"/>
    <w:rsid w:val="004F5EFB"/>
    <w:rsid w:val="004F5F77"/>
    <w:rsid w:val="004F641B"/>
    <w:rsid w:val="004F6512"/>
    <w:rsid w:val="004F65A6"/>
    <w:rsid w:val="004F65A7"/>
    <w:rsid w:val="004F6693"/>
    <w:rsid w:val="004F679E"/>
    <w:rsid w:val="004F6A41"/>
    <w:rsid w:val="004F6EE5"/>
    <w:rsid w:val="004F6F83"/>
    <w:rsid w:val="004F71A8"/>
    <w:rsid w:val="004F7272"/>
    <w:rsid w:val="004F73D3"/>
    <w:rsid w:val="004F75AD"/>
    <w:rsid w:val="004F77BA"/>
    <w:rsid w:val="004F78F6"/>
    <w:rsid w:val="004F7B75"/>
    <w:rsid w:val="004F7CB4"/>
    <w:rsid w:val="004F7DE7"/>
    <w:rsid w:val="004F7E5A"/>
    <w:rsid w:val="004F7EF5"/>
    <w:rsid w:val="004F7FBE"/>
    <w:rsid w:val="0050001B"/>
    <w:rsid w:val="0050012A"/>
    <w:rsid w:val="00500138"/>
    <w:rsid w:val="00500760"/>
    <w:rsid w:val="0050095A"/>
    <w:rsid w:val="00500DDD"/>
    <w:rsid w:val="005011D9"/>
    <w:rsid w:val="00501327"/>
    <w:rsid w:val="005014D5"/>
    <w:rsid w:val="005015DC"/>
    <w:rsid w:val="00501A1D"/>
    <w:rsid w:val="00501C1C"/>
    <w:rsid w:val="00501D49"/>
    <w:rsid w:val="00501DA2"/>
    <w:rsid w:val="00501DB2"/>
    <w:rsid w:val="00501F62"/>
    <w:rsid w:val="00502433"/>
    <w:rsid w:val="0050271D"/>
    <w:rsid w:val="0050281E"/>
    <w:rsid w:val="00502C76"/>
    <w:rsid w:val="00502DE1"/>
    <w:rsid w:val="0050302A"/>
    <w:rsid w:val="00503153"/>
    <w:rsid w:val="00503154"/>
    <w:rsid w:val="005032F7"/>
    <w:rsid w:val="005036B4"/>
    <w:rsid w:val="00503A95"/>
    <w:rsid w:val="00503ADF"/>
    <w:rsid w:val="00503C2F"/>
    <w:rsid w:val="00503EBB"/>
    <w:rsid w:val="005042AE"/>
    <w:rsid w:val="005042FF"/>
    <w:rsid w:val="005043AE"/>
    <w:rsid w:val="00504834"/>
    <w:rsid w:val="00504972"/>
    <w:rsid w:val="00504A59"/>
    <w:rsid w:val="00504A86"/>
    <w:rsid w:val="00504AB5"/>
    <w:rsid w:val="00504CCA"/>
    <w:rsid w:val="00504D6C"/>
    <w:rsid w:val="00504E3E"/>
    <w:rsid w:val="00504EE4"/>
    <w:rsid w:val="00505112"/>
    <w:rsid w:val="00505222"/>
    <w:rsid w:val="00505345"/>
    <w:rsid w:val="005059B6"/>
    <w:rsid w:val="00505C6E"/>
    <w:rsid w:val="00505D3D"/>
    <w:rsid w:val="00505E1A"/>
    <w:rsid w:val="00505F35"/>
    <w:rsid w:val="0050610D"/>
    <w:rsid w:val="0050624A"/>
    <w:rsid w:val="00506269"/>
    <w:rsid w:val="005066B7"/>
    <w:rsid w:val="005067E2"/>
    <w:rsid w:val="005067EC"/>
    <w:rsid w:val="005068B8"/>
    <w:rsid w:val="00506B79"/>
    <w:rsid w:val="00506C7C"/>
    <w:rsid w:val="00506CC3"/>
    <w:rsid w:val="00506D11"/>
    <w:rsid w:val="00506F7A"/>
    <w:rsid w:val="00506FAF"/>
    <w:rsid w:val="00507393"/>
    <w:rsid w:val="005073A0"/>
    <w:rsid w:val="005073C8"/>
    <w:rsid w:val="00507AD0"/>
    <w:rsid w:val="00507AF8"/>
    <w:rsid w:val="00507BC0"/>
    <w:rsid w:val="00507C64"/>
    <w:rsid w:val="00507C71"/>
    <w:rsid w:val="00507C9B"/>
    <w:rsid w:val="00507D5E"/>
    <w:rsid w:val="00507F2A"/>
    <w:rsid w:val="00507FCA"/>
    <w:rsid w:val="005101A7"/>
    <w:rsid w:val="00510210"/>
    <w:rsid w:val="00510342"/>
    <w:rsid w:val="00510732"/>
    <w:rsid w:val="00510756"/>
    <w:rsid w:val="00510987"/>
    <w:rsid w:val="005109C7"/>
    <w:rsid w:val="00510D47"/>
    <w:rsid w:val="00510E43"/>
    <w:rsid w:val="00510FEB"/>
    <w:rsid w:val="00511128"/>
    <w:rsid w:val="00511595"/>
    <w:rsid w:val="005115BA"/>
    <w:rsid w:val="00511695"/>
    <w:rsid w:val="005118EE"/>
    <w:rsid w:val="00511E4B"/>
    <w:rsid w:val="00511EA9"/>
    <w:rsid w:val="00512049"/>
    <w:rsid w:val="005123D9"/>
    <w:rsid w:val="005125FC"/>
    <w:rsid w:val="00512AEA"/>
    <w:rsid w:val="00512B24"/>
    <w:rsid w:val="00512BB6"/>
    <w:rsid w:val="00512E4D"/>
    <w:rsid w:val="00512E71"/>
    <w:rsid w:val="00512FC8"/>
    <w:rsid w:val="00513103"/>
    <w:rsid w:val="00513129"/>
    <w:rsid w:val="00513133"/>
    <w:rsid w:val="00513339"/>
    <w:rsid w:val="00513409"/>
    <w:rsid w:val="00513743"/>
    <w:rsid w:val="005137B2"/>
    <w:rsid w:val="00513843"/>
    <w:rsid w:val="005139F2"/>
    <w:rsid w:val="00513DCD"/>
    <w:rsid w:val="005141AC"/>
    <w:rsid w:val="005141CE"/>
    <w:rsid w:val="00514355"/>
    <w:rsid w:val="005143D9"/>
    <w:rsid w:val="0051446E"/>
    <w:rsid w:val="0051448C"/>
    <w:rsid w:val="00514671"/>
    <w:rsid w:val="00514924"/>
    <w:rsid w:val="00514CF4"/>
    <w:rsid w:val="00514EEC"/>
    <w:rsid w:val="00515128"/>
    <w:rsid w:val="005151AE"/>
    <w:rsid w:val="0051544F"/>
    <w:rsid w:val="00515495"/>
    <w:rsid w:val="00515600"/>
    <w:rsid w:val="0051560E"/>
    <w:rsid w:val="005159AE"/>
    <w:rsid w:val="00515A89"/>
    <w:rsid w:val="00515F96"/>
    <w:rsid w:val="00516047"/>
    <w:rsid w:val="0051635A"/>
    <w:rsid w:val="0051645E"/>
    <w:rsid w:val="0051656F"/>
    <w:rsid w:val="005166F3"/>
    <w:rsid w:val="00516769"/>
    <w:rsid w:val="0051698B"/>
    <w:rsid w:val="005169D5"/>
    <w:rsid w:val="00516B6C"/>
    <w:rsid w:val="00516BD2"/>
    <w:rsid w:val="00516D85"/>
    <w:rsid w:val="00516EC6"/>
    <w:rsid w:val="00516F0E"/>
    <w:rsid w:val="00516F85"/>
    <w:rsid w:val="00517139"/>
    <w:rsid w:val="005171A2"/>
    <w:rsid w:val="005171AE"/>
    <w:rsid w:val="005171EF"/>
    <w:rsid w:val="005172A7"/>
    <w:rsid w:val="005172D1"/>
    <w:rsid w:val="00517452"/>
    <w:rsid w:val="00517567"/>
    <w:rsid w:val="005175B4"/>
    <w:rsid w:val="00517769"/>
    <w:rsid w:val="00517CCF"/>
    <w:rsid w:val="00517EE3"/>
    <w:rsid w:val="00517F44"/>
    <w:rsid w:val="0052014C"/>
    <w:rsid w:val="005204E0"/>
    <w:rsid w:val="00520515"/>
    <w:rsid w:val="00520661"/>
    <w:rsid w:val="005206F9"/>
    <w:rsid w:val="0052073C"/>
    <w:rsid w:val="005207B3"/>
    <w:rsid w:val="0052086E"/>
    <w:rsid w:val="00520C70"/>
    <w:rsid w:val="00520DD3"/>
    <w:rsid w:val="00520DEE"/>
    <w:rsid w:val="00520EFD"/>
    <w:rsid w:val="00520FF4"/>
    <w:rsid w:val="00521196"/>
    <w:rsid w:val="0052124E"/>
    <w:rsid w:val="005212C6"/>
    <w:rsid w:val="005215B8"/>
    <w:rsid w:val="00521702"/>
    <w:rsid w:val="00521B22"/>
    <w:rsid w:val="00521B2A"/>
    <w:rsid w:val="00521B6E"/>
    <w:rsid w:val="00521C74"/>
    <w:rsid w:val="00521F11"/>
    <w:rsid w:val="00521F5B"/>
    <w:rsid w:val="00521F6E"/>
    <w:rsid w:val="00522283"/>
    <w:rsid w:val="00522567"/>
    <w:rsid w:val="0052287F"/>
    <w:rsid w:val="00522A16"/>
    <w:rsid w:val="00522A9B"/>
    <w:rsid w:val="00522C24"/>
    <w:rsid w:val="00522CE5"/>
    <w:rsid w:val="00522F4E"/>
    <w:rsid w:val="00522FD8"/>
    <w:rsid w:val="00523211"/>
    <w:rsid w:val="005232C5"/>
    <w:rsid w:val="005234FB"/>
    <w:rsid w:val="005235ED"/>
    <w:rsid w:val="00523602"/>
    <w:rsid w:val="005236D1"/>
    <w:rsid w:val="00523864"/>
    <w:rsid w:val="005238AF"/>
    <w:rsid w:val="00523BE5"/>
    <w:rsid w:val="005240A2"/>
    <w:rsid w:val="00524183"/>
    <w:rsid w:val="005241CC"/>
    <w:rsid w:val="00524412"/>
    <w:rsid w:val="0052453F"/>
    <w:rsid w:val="00524813"/>
    <w:rsid w:val="00524904"/>
    <w:rsid w:val="00524976"/>
    <w:rsid w:val="005249CE"/>
    <w:rsid w:val="00524D5D"/>
    <w:rsid w:val="0052519F"/>
    <w:rsid w:val="0052540C"/>
    <w:rsid w:val="0052567C"/>
    <w:rsid w:val="00525883"/>
    <w:rsid w:val="00525C3D"/>
    <w:rsid w:val="00525C4D"/>
    <w:rsid w:val="00525D9D"/>
    <w:rsid w:val="00525E1D"/>
    <w:rsid w:val="00525E53"/>
    <w:rsid w:val="00525E76"/>
    <w:rsid w:val="00525F14"/>
    <w:rsid w:val="0052634B"/>
    <w:rsid w:val="00526454"/>
    <w:rsid w:val="00526517"/>
    <w:rsid w:val="005269F5"/>
    <w:rsid w:val="00526CAC"/>
    <w:rsid w:val="00526D4C"/>
    <w:rsid w:val="00526E56"/>
    <w:rsid w:val="00527006"/>
    <w:rsid w:val="0052712E"/>
    <w:rsid w:val="00527248"/>
    <w:rsid w:val="00527553"/>
    <w:rsid w:val="0052759A"/>
    <w:rsid w:val="0052762E"/>
    <w:rsid w:val="005276EB"/>
    <w:rsid w:val="00527796"/>
    <w:rsid w:val="00527A08"/>
    <w:rsid w:val="00527E85"/>
    <w:rsid w:val="00527EF6"/>
    <w:rsid w:val="00527F23"/>
    <w:rsid w:val="00530077"/>
    <w:rsid w:val="0053019D"/>
    <w:rsid w:val="00530276"/>
    <w:rsid w:val="0053030C"/>
    <w:rsid w:val="005305A3"/>
    <w:rsid w:val="0053076F"/>
    <w:rsid w:val="005307D6"/>
    <w:rsid w:val="00530972"/>
    <w:rsid w:val="00530999"/>
    <w:rsid w:val="00530AAF"/>
    <w:rsid w:val="0053108E"/>
    <w:rsid w:val="005312F1"/>
    <w:rsid w:val="0053144B"/>
    <w:rsid w:val="00531465"/>
    <w:rsid w:val="00531AF8"/>
    <w:rsid w:val="00531F1E"/>
    <w:rsid w:val="00531FC5"/>
    <w:rsid w:val="00532056"/>
    <w:rsid w:val="00532557"/>
    <w:rsid w:val="005325FB"/>
    <w:rsid w:val="0053267C"/>
    <w:rsid w:val="0053279B"/>
    <w:rsid w:val="005328D6"/>
    <w:rsid w:val="00532B7F"/>
    <w:rsid w:val="00532E97"/>
    <w:rsid w:val="005332D0"/>
    <w:rsid w:val="005333AF"/>
    <w:rsid w:val="00533706"/>
    <w:rsid w:val="00533C04"/>
    <w:rsid w:val="00533C8F"/>
    <w:rsid w:val="00533DC5"/>
    <w:rsid w:val="00533FA2"/>
    <w:rsid w:val="005340AA"/>
    <w:rsid w:val="0053468C"/>
    <w:rsid w:val="005346D3"/>
    <w:rsid w:val="00534889"/>
    <w:rsid w:val="00534949"/>
    <w:rsid w:val="00534AD6"/>
    <w:rsid w:val="00534BCE"/>
    <w:rsid w:val="00534BF7"/>
    <w:rsid w:val="00534D25"/>
    <w:rsid w:val="00534F3D"/>
    <w:rsid w:val="00534F7E"/>
    <w:rsid w:val="005351E3"/>
    <w:rsid w:val="00535632"/>
    <w:rsid w:val="005358B7"/>
    <w:rsid w:val="005358D7"/>
    <w:rsid w:val="00535955"/>
    <w:rsid w:val="005359A9"/>
    <w:rsid w:val="005362A8"/>
    <w:rsid w:val="00536651"/>
    <w:rsid w:val="00536731"/>
    <w:rsid w:val="005367D9"/>
    <w:rsid w:val="005368B0"/>
    <w:rsid w:val="00536AA0"/>
    <w:rsid w:val="00536EF5"/>
    <w:rsid w:val="005374CA"/>
    <w:rsid w:val="005374FD"/>
    <w:rsid w:val="0053752B"/>
    <w:rsid w:val="00537698"/>
    <w:rsid w:val="0053780E"/>
    <w:rsid w:val="00537A02"/>
    <w:rsid w:val="00537B15"/>
    <w:rsid w:val="00537B83"/>
    <w:rsid w:val="00537BE0"/>
    <w:rsid w:val="00537D29"/>
    <w:rsid w:val="00540131"/>
    <w:rsid w:val="0054043A"/>
    <w:rsid w:val="00540504"/>
    <w:rsid w:val="005405DB"/>
    <w:rsid w:val="00540650"/>
    <w:rsid w:val="00540D48"/>
    <w:rsid w:val="00540D64"/>
    <w:rsid w:val="0054105E"/>
    <w:rsid w:val="005413B7"/>
    <w:rsid w:val="00541676"/>
    <w:rsid w:val="005417A5"/>
    <w:rsid w:val="00541827"/>
    <w:rsid w:val="00541932"/>
    <w:rsid w:val="00541A29"/>
    <w:rsid w:val="00541EF7"/>
    <w:rsid w:val="00542657"/>
    <w:rsid w:val="00542A75"/>
    <w:rsid w:val="00542ACB"/>
    <w:rsid w:val="00542BDC"/>
    <w:rsid w:val="00542C9E"/>
    <w:rsid w:val="00542D07"/>
    <w:rsid w:val="00542E58"/>
    <w:rsid w:val="00543413"/>
    <w:rsid w:val="005435FD"/>
    <w:rsid w:val="005436FD"/>
    <w:rsid w:val="00543764"/>
    <w:rsid w:val="00543868"/>
    <w:rsid w:val="005438C1"/>
    <w:rsid w:val="005439DC"/>
    <w:rsid w:val="00543A5D"/>
    <w:rsid w:val="00543BD8"/>
    <w:rsid w:val="00543EE7"/>
    <w:rsid w:val="00543F7F"/>
    <w:rsid w:val="00544020"/>
    <w:rsid w:val="00544B0B"/>
    <w:rsid w:val="00544B7D"/>
    <w:rsid w:val="00544C97"/>
    <w:rsid w:val="00544D1A"/>
    <w:rsid w:val="00544D88"/>
    <w:rsid w:val="00544D89"/>
    <w:rsid w:val="00544DA4"/>
    <w:rsid w:val="00544DAD"/>
    <w:rsid w:val="00544EB0"/>
    <w:rsid w:val="00544EDA"/>
    <w:rsid w:val="00544F36"/>
    <w:rsid w:val="005453BE"/>
    <w:rsid w:val="00545549"/>
    <w:rsid w:val="00545611"/>
    <w:rsid w:val="00545653"/>
    <w:rsid w:val="00545738"/>
    <w:rsid w:val="00545838"/>
    <w:rsid w:val="00545AEF"/>
    <w:rsid w:val="005460A1"/>
    <w:rsid w:val="00546170"/>
    <w:rsid w:val="00546526"/>
    <w:rsid w:val="005467DD"/>
    <w:rsid w:val="00546B18"/>
    <w:rsid w:val="00547300"/>
    <w:rsid w:val="00547652"/>
    <w:rsid w:val="00547822"/>
    <w:rsid w:val="00547828"/>
    <w:rsid w:val="00547A24"/>
    <w:rsid w:val="00547A38"/>
    <w:rsid w:val="00547C60"/>
    <w:rsid w:val="00547D9B"/>
    <w:rsid w:val="00547DE1"/>
    <w:rsid w:val="00547EFA"/>
    <w:rsid w:val="00547FA5"/>
    <w:rsid w:val="0055012C"/>
    <w:rsid w:val="00550228"/>
    <w:rsid w:val="0055028A"/>
    <w:rsid w:val="005502BE"/>
    <w:rsid w:val="0055064F"/>
    <w:rsid w:val="00550685"/>
    <w:rsid w:val="00550C49"/>
    <w:rsid w:val="00551121"/>
    <w:rsid w:val="005513B8"/>
    <w:rsid w:val="005513C5"/>
    <w:rsid w:val="00551563"/>
    <w:rsid w:val="0055158F"/>
    <w:rsid w:val="00551980"/>
    <w:rsid w:val="00551C26"/>
    <w:rsid w:val="00551C53"/>
    <w:rsid w:val="00551D6C"/>
    <w:rsid w:val="00551EEF"/>
    <w:rsid w:val="00551F6D"/>
    <w:rsid w:val="00552037"/>
    <w:rsid w:val="005520FA"/>
    <w:rsid w:val="00552116"/>
    <w:rsid w:val="0055295B"/>
    <w:rsid w:val="00552A20"/>
    <w:rsid w:val="00553386"/>
    <w:rsid w:val="0055364C"/>
    <w:rsid w:val="005537AB"/>
    <w:rsid w:val="0055391C"/>
    <w:rsid w:val="005539EF"/>
    <w:rsid w:val="00553B89"/>
    <w:rsid w:val="00553B9D"/>
    <w:rsid w:val="00554234"/>
    <w:rsid w:val="00554665"/>
    <w:rsid w:val="005546F4"/>
    <w:rsid w:val="005547EF"/>
    <w:rsid w:val="00554908"/>
    <w:rsid w:val="00554B5A"/>
    <w:rsid w:val="00554BC6"/>
    <w:rsid w:val="00554C7A"/>
    <w:rsid w:val="00555152"/>
    <w:rsid w:val="0055531D"/>
    <w:rsid w:val="00555591"/>
    <w:rsid w:val="0055560D"/>
    <w:rsid w:val="00555921"/>
    <w:rsid w:val="00555AD4"/>
    <w:rsid w:val="00555B2B"/>
    <w:rsid w:val="00555C3B"/>
    <w:rsid w:val="00555DA0"/>
    <w:rsid w:val="005560FA"/>
    <w:rsid w:val="0055617E"/>
    <w:rsid w:val="005561F1"/>
    <w:rsid w:val="00556360"/>
    <w:rsid w:val="00556588"/>
    <w:rsid w:val="00556732"/>
    <w:rsid w:val="00556CC5"/>
    <w:rsid w:val="00556F3C"/>
    <w:rsid w:val="00556F6C"/>
    <w:rsid w:val="00557053"/>
    <w:rsid w:val="0055710F"/>
    <w:rsid w:val="00557238"/>
    <w:rsid w:val="0055733C"/>
    <w:rsid w:val="00557520"/>
    <w:rsid w:val="00557618"/>
    <w:rsid w:val="00557726"/>
    <w:rsid w:val="00557A35"/>
    <w:rsid w:val="00557AD0"/>
    <w:rsid w:val="00557C20"/>
    <w:rsid w:val="00557C66"/>
    <w:rsid w:val="00557C80"/>
    <w:rsid w:val="00557CAD"/>
    <w:rsid w:val="00557D89"/>
    <w:rsid w:val="00557F16"/>
    <w:rsid w:val="005603C7"/>
    <w:rsid w:val="00560704"/>
    <w:rsid w:val="005608A8"/>
    <w:rsid w:val="00560907"/>
    <w:rsid w:val="00560988"/>
    <w:rsid w:val="00560A70"/>
    <w:rsid w:val="00560AC3"/>
    <w:rsid w:val="00560ADD"/>
    <w:rsid w:val="00560B67"/>
    <w:rsid w:val="00560C1D"/>
    <w:rsid w:val="00560D5E"/>
    <w:rsid w:val="00560E30"/>
    <w:rsid w:val="00561207"/>
    <w:rsid w:val="005612FA"/>
    <w:rsid w:val="0056132C"/>
    <w:rsid w:val="005613EE"/>
    <w:rsid w:val="00561445"/>
    <w:rsid w:val="0056153A"/>
    <w:rsid w:val="005615E1"/>
    <w:rsid w:val="00561761"/>
    <w:rsid w:val="00561771"/>
    <w:rsid w:val="00561B46"/>
    <w:rsid w:val="00561D43"/>
    <w:rsid w:val="00561D4E"/>
    <w:rsid w:val="00561EA5"/>
    <w:rsid w:val="00561EF4"/>
    <w:rsid w:val="00561EF7"/>
    <w:rsid w:val="00562147"/>
    <w:rsid w:val="005621FF"/>
    <w:rsid w:val="0056220E"/>
    <w:rsid w:val="00562392"/>
    <w:rsid w:val="005623A7"/>
    <w:rsid w:val="005624B9"/>
    <w:rsid w:val="00562574"/>
    <w:rsid w:val="00562AE0"/>
    <w:rsid w:val="00562B00"/>
    <w:rsid w:val="00562D7E"/>
    <w:rsid w:val="00562F01"/>
    <w:rsid w:val="00563193"/>
    <w:rsid w:val="00563381"/>
    <w:rsid w:val="00563442"/>
    <w:rsid w:val="00563522"/>
    <w:rsid w:val="005635F0"/>
    <w:rsid w:val="0056365A"/>
    <w:rsid w:val="0056367D"/>
    <w:rsid w:val="00563700"/>
    <w:rsid w:val="005637A5"/>
    <w:rsid w:val="005638DE"/>
    <w:rsid w:val="00564336"/>
    <w:rsid w:val="00564362"/>
    <w:rsid w:val="0056438E"/>
    <w:rsid w:val="0056440C"/>
    <w:rsid w:val="005646FB"/>
    <w:rsid w:val="00564865"/>
    <w:rsid w:val="005649C5"/>
    <w:rsid w:val="00564B07"/>
    <w:rsid w:val="00564BFA"/>
    <w:rsid w:val="00565282"/>
    <w:rsid w:val="00565409"/>
    <w:rsid w:val="005654BF"/>
    <w:rsid w:val="0056561A"/>
    <w:rsid w:val="00565634"/>
    <w:rsid w:val="005657A0"/>
    <w:rsid w:val="005657B9"/>
    <w:rsid w:val="0056595A"/>
    <w:rsid w:val="00565BCE"/>
    <w:rsid w:val="00565CE0"/>
    <w:rsid w:val="00565E19"/>
    <w:rsid w:val="005662D0"/>
    <w:rsid w:val="00566770"/>
    <w:rsid w:val="0056677C"/>
    <w:rsid w:val="00566887"/>
    <w:rsid w:val="00566950"/>
    <w:rsid w:val="00566A5A"/>
    <w:rsid w:val="00566B61"/>
    <w:rsid w:val="00566C14"/>
    <w:rsid w:val="00567103"/>
    <w:rsid w:val="0056759B"/>
    <w:rsid w:val="005675B8"/>
    <w:rsid w:val="0056768D"/>
    <w:rsid w:val="005676F7"/>
    <w:rsid w:val="00567855"/>
    <w:rsid w:val="0056788D"/>
    <w:rsid w:val="00567B3F"/>
    <w:rsid w:val="00567B4E"/>
    <w:rsid w:val="00567B70"/>
    <w:rsid w:val="00567D71"/>
    <w:rsid w:val="0057025E"/>
    <w:rsid w:val="0057032D"/>
    <w:rsid w:val="00570348"/>
    <w:rsid w:val="005703C3"/>
    <w:rsid w:val="00570466"/>
    <w:rsid w:val="00570615"/>
    <w:rsid w:val="005706B5"/>
    <w:rsid w:val="00570716"/>
    <w:rsid w:val="00570A4D"/>
    <w:rsid w:val="00570B20"/>
    <w:rsid w:val="00570B34"/>
    <w:rsid w:val="0057102A"/>
    <w:rsid w:val="0057130E"/>
    <w:rsid w:val="0057153F"/>
    <w:rsid w:val="0057155A"/>
    <w:rsid w:val="00571C64"/>
    <w:rsid w:val="00571D68"/>
    <w:rsid w:val="00571F47"/>
    <w:rsid w:val="00571F62"/>
    <w:rsid w:val="00572293"/>
    <w:rsid w:val="005723DA"/>
    <w:rsid w:val="00572526"/>
    <w:rsid w:val="005725B3"/>
    <w:rsid w:val="00572637"/>
    <w:rsid w:val="005727EA"/>
    <w:rsid w:val="00572808"/>
    <w:rsid w:val="00572987"/>
    <w:rsid w:val="00572DEC"/>
    <w:rsid w:val="0057303E"/>
    <w:rsid w:val="0057329F"/>
    <w:rsid w:val="005735ED"/>
    <w:rsid w:val="0057369E"/>
    <w:rsid w:val="00573AC4"/>
    <w:rsid w:val="00573AC7"/>
    <w:rsid w:val="00573CF5"/>
    <w:rsid w:val="00573FDD"/>
    <w:rsid w:val="00573FF3"/>
    <w:rsid w:val="005741EE"/>
    <w:rsid w:val="00574360"/>
    <w:rsid w:val="00574434"/>
    <w:rsid w:val="0057450C"/>
    <w:rsid w:val="00574840"/>
    <w:rsid w:val="00574C06"/>
    <w:rsid w:val="00574CD4"/>
    <w:rsid w:val="0057529A"/>
    <w:rsid w:val="005754E6"/>
    <w:rsid w:val="0057554C"/>
    <w:rsid w:val="005755B9"/>
    <w:rsid w:val="0057588E"/>
    <w:rsid w:val="00575B7D"/>
    <w:rsid w:val="00575EC8"/>
    <w:rsid w:val="00575ECC"/>
    <w:rsid w:val="00575F8C"/>
    <w:rsid w:val="00576304"/>
    <w:rsid w:val="005763F3"/>
    <w:rsid w:val="00576651"/>
    <w:rsid w:val="005767A4"/>
    <w:rsid w:val="005767AF"/>
    <w:rsid w:val="00576BB4"/>
    <w:rsid w:val="00576C39"/>
    <w:rsid w:val="00576F93"/>
    <w:rsid w:val="005774AE"/>
    <w:rsid w:val="00577568"/>
    <w:rsid w:val="005776AB"/>
    <w:rsid w:val="005778A1"/>
    <w:rsid w:val="00577943"/>
    <w:rsid w:val="00577C68"/>
    <w:rsid w:val="00577D54"/>
    <w:rsid w:val="00580014"/>
    <w:rsid w:val="0058033F"/>
    <w:rsid w:val="00580403"/>
    <w:rsid w:val="0058053A"/>
    <w:rsid w:val="00580826"/>
    <w:rsid w:val="005809F3"/>
    <w:rsid w:val="00580A22"/>
    <w:rsid w:val="00580DBC"/>
    <w:rsid w:val="00580E35"/>
    <w:rsid w:val="00580F6A"/>
    <w:rsid w:val="00581518"/>
    <w:rsid w:val="0058155C"/>
    <w:rsid w:val="00581B0E"/>
    <w:rsid w:val="00581B27"/>
    <w:rsid w:val="00582254"/>
    <w:rsid w:val="005825B9"/>
    <w:rsid w:val="00582655"/>
    <w:rsid w:val="00582754"/>
    <w:rsid w:val="005829D0"/>
    <w:rsid w:val="00582DD9"/>
    <w:rsid w:val="00582E67"/>
    <w:rsid w:val="00583132"/>
    <w:rsid w:val="00583415"/>
    <w:rsid w:val="00583748"/>
    <w:rsid w:val="005837D3"/>
    <w:rsid w:val="00583816"/>
    <w:rsid w:val="00583AD8"/>
    <w:rsid w:val="00583BE4"/>
    <w:rsid w:val="00583CDC"/>
    <w:rsid w:val="0058425F"/>
    <w:rsid w:val="00584390"/>
    <w:rsid w:val="00584A3C"/>
    <w:rsid w:val="00584AA7"/>
    <w:rsid w:val="00584CD3"/>
    <w:rsid w:val="00584D31"/>
    <w:rsid w:val="00584F86"/>
    <w:rsid w:val="00585073"/>
    <w:rsid w:val="00585162"/>
    <w:rsid w:val="005851B3"/>
    <w:rsid w:val="005852B4"/>
    <w:rsid w:val="00585506"/>
    <w:rsid w:val="00585660"/>
    <w:rsid w:val="0058576B"/>
    <w:rsid w:val="005857AA"/>
    <w:rsid w:val="00585868"/>
    <w:rsid w:val="0058599D"/>
    <w:rsid w:val="00585C88"/>
    <w:rsid w:val="005862C8"/>
    <w:rsid w:val="00586644"/>
    <w:rsid w:val="0058676D"/>
    <w:rsid w:val="0058676E"/>
    <w:rsid w:val="00586825"/>
    <w:rsid w:val="00586A17"/>
    <w:rsid w:val="00586B9E"/>
    <w:rsid w:val="00586BC2"/>
    <w:rsid w:val="00586C6C"/>
    <w:rsid w:val="0058731D"/>
    <w:rsid w:val="0058783F"/>
    <w:rsid w:val="005878C4"/>
    <w:rsid w:val="00587A71"/>
    <w:rsid w:val="00587AFC"/>
    <w:rsid w:val="00587B71"/>
    <w:rsid w:val="00587E3E"/>
    <w:rsid w:val="005901C5"/>
    <w:rsid w:val="005904CA"/>
    <w:rsid w:val="00590652"/>
    <w:rsid w:val="005908E5"/>
    <w:rsid w:val="00590AA7"/>
    <w:rsid w:val="00590AB2"/>
    <w:rsid w:val="00590BA7"/>
    <w:rsid w:val="00590BF3"/>
    <w:rsid w:val="00590E34"/>
    <w:rsid w:val="00591138"/>
    <w:rsid w:val="00591237"/>
    <w:rsid w:val="00591429"/>
    <w:rsid w:val="0059155A"/>
    <w:rsid w:val="005917CE"/>
    <w:rsid w:val="005917D5"/>
    <w:rsid w:val="005917DA"/>
    <w:rsid w:val="0059186B"/>
    <w:rsid w:val="00591948"/>
    <w:rsid w:val="00591DF5"/>
    <w:rsid w:val="00591E8E"/>
    <w:rsid w:val="00591F51"/>
    <w:rsid w:val="00591FB0"/>
    <w:rsid w:val="00592220"/>
    <w:rsid w:val="00592853"/>
    <w:rsid w:val="00592CEF"/>
    <w:rsid w:val="00592E8E"/>
    <w:rsid w:val="00593122"/>
    <w:rsid w:val="00593282"/>
    <w:rsid w:val="005939C5"/>
    <w:rsid w:val="00593D9F"/>
    <w:rsid w:val="00593DC9"/>
    <w:rsid w:val="00593DFC"/>
    <w:rsid w:val="00593E32"/>
    <w:rsid w:val="005941BF"/>
    <w:rsid w:val="005943E0"/>
    <w:rsid w:val="0059466C"/>
    <w:rsid w:val="005946AD"/>
    <w:rsid w:val="005947B4"/>
    <w:rsid w:val="005947F0"/>
    <w:rsid w:val="00594968"/>
    <w:rsid w:val="00594A62"/>
    <w:rsid w:val="00594F09"/>
    <w:rsid w:val="00595F44"/>
    <w:rsid w:val="00595FF2"/>
    <w:rsid w:val="00596127"/>
    <w:rsid w:val="005961E7"/>
    <w:rsid w:val="00596290"/>
    <w:rsid w:val="0059632E"/>
    <w:rsid w:val="00596654"/>
    <w:rsid w:val="0059679E"/>
    <w:rsid w:val="0059713E"/>
    <w:rsid w:val="005971EE"/>
    <w:rsid w:val="00597246"/>
    <w:rsid w:val="0059729E"/>
    <w:rsid w:val="00597418"/>
    <w:rsid w:val="0059760B"/>
    <w:rsid w:val="00597896"/>
    <w:rsid w:val="0059790D"/>
    <w:rsid w:val="0059790E"/>
    <w:rsid w:val="00597AF5"/>
    <w:rsid w:val="00597B1A"/>
    <w:rsid w:val="00597D23"/>
    <w:rsid w:val="005A0115"/>
    <w:rsid w:val="005A0131"/>
    <w:rsid w:val="005A0936"/>
    <w:rsid w:val="005A0C5F"/>
    <w:rsid w:val="005A0E72"/>
    <w:rsid w:val="005A15B4"/>
    <w:rsid w:val="005A17AA"/>
    <w:rsid w:val="005A197E"/>
    <w:rsid w:val="005A1B1A"/>
    <w:rsid w:val="005A1F83"/>
    <w:rsid w:val="005A1FC8"/>
    <w:rsid w:val="005A201F"/>
    <w:rsid w:val="005A20A0"/>
    <w:rsid w:val="005A2226"/>
    <w:rsid w:val="005A22A5"/>
    <w:rsid w:val="005A24FA"/>
    <w:rsid w:val="005A2518"/>
    <w:rsid w:val="005A25B4"/>
    <w:rsid w:val="005A268C"/>
    <w:rsid w:val="005A2878"/>
    <w:rsid w:val="005A2B73"/>
    <w:rsid w:val="005A2C00"/>
    <w:rsid w:val="005A2D03"/>
    <w:rsid w:val="005A30D3"/>
    <w:rsid w:val="005A30F9"/>
    <w:rsid w:val="005A31B0"/>
    <w:rsid w:val="005A32AB"/>
    <w:rsid w:val="005A3584"/>
    <w:rsid w:val="005A37BD"/>
    <w:rsid w:val="005A3872"/>
    <w:rsid w:val="005A3F30"/>
    <w:rsid w:val="005A40A5"/>
    <w:rsid w:val="005A41DB"/>
    <w:rsid w:val="005A42F0"/>
    <w:rsid w:val="005A4577"/>
    <w:rsid w:val="005A47CC"/>
    <w:rsid w:val="005A494A"/>
    <w:rsid w:val="005A4A47"/>
    <w:rsid w:val="005A4B5B"/>
    <w:rsid w:val="005A4C9D"/>
    <w:rsid w:val="005A4EA2"/>
    <w:rsid w:val="005A5068"/>
    <w:rsid w:val="005A5093"/>
    <w:rsid w:val="005A51F0"/>
    <w:rsid w:val="005A534E"/>
    <w:rsid w:val="005A55E1"/>
    <w:rsid w:val="005A56AE"/>
    <w:rsid w:val="005A5BC1"/>
    <w:rsid w:val="005A5C7D"/>
    <w:rsid w:val="005A6065"/>
    <w:rsid w:val="005A6380"/>
    <w:rsid w:val="005A638C"/>
    <w:rsid w:val="005A6B63"/>
    <w:rsid w:val="005A6B82"/>
    <w:rsid w:val="005A6BC2"/>
    <w:rsid w:val="005A6BDD"/>
    <w:rsid w:val="005A6FD7"/>
    <w:rsid w:val="005A7231"/>
    <w:rsid w:val="005A74E4"/>
    <w:rsid w:val="005A75DF"/>
    <w:rsid w:val="005A77E4"/>
    <w:rsid w:val="005A79FD"/>
    <w:rsid w:val="005A7AF2"/>
    <w:rsid w:val="005A7B75"/>
    <w:rsid w:val="005A7C11"/>
    <w:rsid w:val="005A7D17"/>
    <w:rsid w:val="005A7D5B"/>
    <w:rsid w:val="005A7E98"/>
    <w:rsid w:val="005B0080"/>
    <w:rsid w:val="005B01B8"/>
    <w:rsid w:val="005B0307"/>
    <w:rsid w:val="005B042E"/>
    <w:rsid w:val="005B06D4"/>
    <w:rsid w:val="005B0778"/>
    <w:rsid w:val="005B07AD"/>
    <w:rsid w:val="005B0851"/>
    <w:rsid w:val="005B08BC"/>
    <w:rsid w:val="005B0903"/>
    <w:rsid w:val="005B09D5"/>
    <w:rsid w:val="005B09ED"/>
    <w:rsid w:val="005B0A43"/>
    <w:rsid w:val="005B0ADF"/>
    <w:rsid w:val="005B0BBA"/>
    <w:rsid w:val="005B0E32"/>
    <w:rsid w:val="005B1428"/>
    <w:rsid w:val="005B1481"/>
    <w:rsid w:val="005B15B5"/>
    <w:rsid w:val="005B1854"/>
    <w:rsid w:val="005B1B4E"/>
    <w:rsid w:val="005B1C37"/>
    <w:rsid w:val="005B2333"/>
    <w:rsid w:val="005B276A"/>
    <w:rsid w:val="005B2827"/>
    <w:rsid w:val="005B28E9"/>
    <w:rsid w:val="005B29C5"/>
    <w:rsid w:val="005B2C35"/>
    <w:rsid w:val="005B2DCA"/>
    <w:rsid w:val="005B322E"/>
    <w:rsid w:val="005B335E"/>
    <w:rsid w:val="005B33D0"/>
    <w:rsid w:val="005B34FB"/>
    <w:rsid w:val="005B368F"/>
    <w:rsid w:val="005B3B33"/>
    <w:rsid w:val="005B3CDC"/>
    <w:rsid w:val="005B3E68"/>
    <w:rsid w:val="005B40D4"/>
    <w:rsid w:val="005B40EE"/>
    <w:rsid w:val="005B4845"/>
    <w:rsid w:val="005B4A88"/>
    <w:rsid w:val="005B4B32"/>
    <w:rsid w:val="005B4BAF"/>
    <w:rsid w:val="005B4DC0"/>
    <w:rsid w:val="005B50C2"/>
    <w:rsid w:val="005B52CF"/>
    <w:rsid w:val="005B52D1"/>
    <w:rsid w:val="005B5414"/>
    <w:rsid w:val="005B5C27"/>
    <w:rsid w:val="005B5C2D"/>
    <w:rsid w:val="005B6150"/>
    <w:rsid w:val="005B6341"/>
    <w:rsid w:val="005B638C"/>
    <w:rsid w:val="005B642E"/>
    <w:rsid w:val="005B64F4"/>
    <w:rsid w:val="005B6931"/>
    <w:rsid w:val="005B69FE"/>
    <w:rsid w:val="005B6AF0"/>
    <w:rsid w:val="005B6B2D"/>
    <w:rsid w:val="005B6BFE"/>
    <w:rsid w:val="005B6F18"/>
    <w:rsid w:val="005B70C6"/>
    <w:rsid w:val="005B740F"/>
    <w:rsid w:val="005B7572"/>
    <w:rsid w:val="005B775B"/>
    <w:rsid w:val="005B77A2"/>
    <w:rsid w:val="005B7A82"/>
    <w:rsid w:val="005B7C12"/>
    <w:rsid w:val="005B7F0E"/>
    <w:rsid w:val="005C0149"/>
    <w:rsid w:val="005C0199"/>
    <w:rsid w:val="005C037E"/>
    <w:rsid w:val="005C047F"/>
    <w:rsid w:val="005C04FD"/>
    <w:rsid w:val="005C0539"/>
    <w:rsid w:val="005C07BE"/>
    <w:rsid w:val="005C07C3"/>
    <w:rsid w:val="005C09B3"/>
    <w:rsid w:val="005C0AB2"/>
    <w:rsid w:val="005C0CA4"/>
    <w:rsid w:val="005C0CC6"/>
    <w:rsid w:val="005C0D1A"/>
    <w:rsid w:val="005C1137"/>
    <w:rsid w:val="005C12A5"/>
    <w:rsid w:val="005C142E"/>
    <w:rsid w:val="005C1556"/>
    <w:rsid w:val="005C1630"/>
    <w:rsid w:val="005C16C5"/>
    <w:rsid w:val="005C16D5"/>
    <w:rsid w:val="005C1738"/>
    <w:rsid w:val="005C1C16"/>
    <w:rsid w:val="005C1F8E"/>
    <w:rsid w:val="005C2120"/>
    <w:rsid w:val="005C2309"/>
    <w:rsid w:val="005C2A4F"/>
    <w:rsid w:val="005C2B04"/>
    <w:rsid w:val="005C2CF1"/>
    <w:rsid w:val="005C2E29"/>
    <w:rsid w:val="005C324D"/>
    <w:rsid w:val="005C32A3"/>
    <w:rsid w:val="005C32F5"/>
    <w:rsid w:val="005C33EF"/>
    <w:rsid w:val="005C3B30"/>
    <w:rsid w:val="005C3DE7"/>
    <w:rsid w:val="005C3FC5"/>
    <w:rsid w:val="005C40B3"/>
    <w:rsid w:val="005C42C0"/>
    <w:rsid w:val="005C46C7"/>
    <w:rsid w:val="005C49A8"/>
    <w:rsid w:val="005C4A63"/>
    <w:rsid w:val="005C4A8E"/>
    <w:rsid w:val="005C4CCB"/>
    <w:rsid w:val="005C5111"/>
    <w:rsid w:val="005C5425"/>
    <w:rsid w:val="005C5524"/>
    <w:rsid w:val="005C56AA"/>
    <w:rsid w:val="005C5863"/>
    <w:rsid w:val="005C5A1B"/>
    <w:rsid w:val="005C5C1B"/>
    <w:rsid w:val="005C5E0F"/>
    <w:rsid w:val="005C5E1A"/>
    <w:rsid w:val="005C5FE0"/>
    <w:rsid w:val="005C62EA"/>
    <w:rsid w:val="005C6305"/>
    <w:rsid w:val="005C6320"/>
    <w:rsid w:val="005C64ED"/>
    <w:rsid w:val="005C68C6"/>
    <w:rsid w:val="005C693A"/>
    <w:rsid w:val="005C6B3B"/>
    <w:rsid w:val="005C6D4A"/>
    <w:rsid w:val="005C6E19"/>
    <w:rsid w:val="005C6EF9"/>
    <w:rsid w:val="005C71AC"/>
    <w:rsid w:val="005C7269"/>
    <w:rsid w:val="005C743A"/>
    <w:rsid w:val="005C76C4"/>
    <w:rsid w:val="005C7A2E"/>
    <w:rsid w:val="005C7AE4"/>
    <w:rsid w:val="005C7C74"/>
    <w:rsid w:val="005C7D4B"/>
    <w:rsid w:val="005D0443"/>
    <w:rsid w:val="005D0453"/>
    <w:rsid w:val="005D06DD"/>
    <w:rsid w:val="005D084A"/>
    <w:rsid w:val="005D0A1E"/>
    <w:rsid w:val="005D0A7F"/>
    <w:rsid w:val="005D0F55"/>
    <w:rsid w:val="005D0F80"/>
    <w:rsid w:val="005D0FEB"/>
    <w:rsid w:val="005D1098"/>
    <w:rsid w:val="005D1236"/>
    <w:rsid w:val="005D128F"/>
    <w:rsid w:val="005D16D2"/>
    <w:rsid w:val="005D17C0"/>
    <w:rsid w:val="005D1900"/>
    <w:rsid w:val="005D19CB"/>
    <w:rsid w:val="005D1A99"/>
    <w:rsid w:val="005D1DD5"/>
    <w:rsid w:val="005D1F4D"/>
    <w:rsid w:val="005D22D9"/>
    <w:rsid w:val="005D23BF"/>
    <w:rsid w:val="005D2482"/>
    <w:rsid w:val="005D2547"/>
    <w:rsid w:val="005D2593"/>
    <w:rsid w:val="005D2646"/>
    <w:rsid w:val="005D27E6"/>
    <w:rsid w:val="005D2C6C"/>
    <w:rsid w:val="005D2C91"/>
    <w:rsid w:val="005D2CBA"/>
    <w:rsid w:val="005D2EDF"/>
    <w:rsid w:val="005D2F76"/>
    <w:rsid w:val="005D331F"/>
    <w:rsid w:val="005D3968"/>
    <w:rsid w:val="005D3D7D"/>
    <w:rsid w:val="005D3DB7"/>
    <w:rsid w:val="005D3FCE"/>
    <w:rsid w:val="005D45D6"/>
    <w:rsid w:val="005D4666"/>
    <w:rsid w:val="005D485B"/>
    <w:rsid w:val="005D4A3C"/>
    <w:rsid w:val="005D4BA2"/>
    <w:rsid w:val="005D4ECE"/>
    <w:rsid w:val="005D4EE4"/>
    <w:rsid w:val="005D50BA"/>
    <w:rsid w:val="005D557B"/>
    <w:rsid w:val="005D5684"/>
    <w:rsid w:val="005D5940"/>
    <w:rsid w:val="005D5BF4"/>
    <w:rsid w:val="005D5E40"/>
    <w:rsid w:val="005D6052"/>
    <w:rsid w:val="005D6198"/>
    <w:rsid w:val="005D6366"/>
    <w:rsid w:val="005D64AB"/>
    <w:rsid w:val="005D64F3"/>
    <w:rsid w:val="005D66A9"/>
    <w:rsid w:val="005D6779"/>
    <w:rsid w:val="005D692C"/>
    <w:rsid w:val="005D6A6A"/>
    <w:rsid w:val="005D6F9D"/>
    <w:rsid w:val="005D72EE"/>
    <w:rsid w:val="005D7510"/>
    <w:rsid w:val="005D7814"/>
    <w:rsid w:val="005D7996"/>
    <w:rsid w:val="005D799C"/>
    <w:rsid w:val="005D79EE"/>
    <w:rsid w:val="005D79F3"/>
    <w:rsid w:val="005D7A27"/>
    <w:rsid w:val="005D7AA6"/>
    <w:rsid w:val="005D7AF7"/>
    <w:rsid w:val="005D7BD1"/>
    <w:rsid w:val="005D7E90"/>
    <w:rsid w:val="005E00C9"/>
    <w:rsid w:val="005E023C"/>
    <w:rsid w:val="005E08BE"/>
    <w:rsid w:val="005E09A5"/>
    <w:rsid w:val="005E0A23"/>
    <w:rsid w:val="005E0DA8"/>
    <w:rsid w:val="005E0DD3"/>
    <w:rsid w:val="005E10B4"/>
    <w:rsid w:val="005E118F"/>
    <w:rsid w:val="005E18CE"/>
    <w:rsid w:val="005E1A85"/>
    <w:rsid w:val="005E1BEF"/>
    <w:rsid w:val="005E22B6"/>
    <w:rsid w:val="005E24CB"/>
    <w:rsid w:val="005E2C71"/>
    <w:rsid w:val="005E2C76"/>
    <w:rsid w:val="005E2CFB"/>
    <w:rsid w:val="005E2E6F"/>
    <w:rsid w:val="005E329D"/>
    <w:rsid w:val="005E337B"/>
    <w:rsid w:val="005E34C9"/>
    <w:rsid w:val="005E362E"/>
    <w:rsid w:val="005E3717"/>
    <w:rsid w:val="005E3884"/>
    <w:rsid w:val="005E3EC2"/>
    <w:rsid w:val="005E3FFC"/>
    <w:rsid w:val="005E4432"/>
    <w:rsid w:val="005E4521"/>
    <w:rsid w:val="005E4728"/>
    <w:rsid w:val="005E4A50"/>
    <w:rsid w:val="005E4B7E"/>
    <w:rsid w:val="005E4D2B"/>
    <w:rsid w:val="005E4ECA"/>
    <w:rsid w:val="005E589F"/>
    <w:rsid w:val="005E58D1"/>
    <w:rsid w:val="005E5A02"/>
    <w:rsid w:val="005E5B5E"/>
    <w:rsid w:val="005E5BF7"/>
    <w:rsid w:val="005E5C10"/>
    <w:rsid w:val="005E5DE6"/>
    <w:rsid w:val="005E5E3C"/>
    <w:rsid w:val="005E5F36"/>
    <w:rsid w:val="005E6074"/>
    <w:rsid w:val="005E6182"/>
    <w:rsid w:val="005E6885"/>
    <w:rsid w:val="005E6BDC"/>
    <w:rsid w:val="005E6D15"/>
    <w:rsid w:val="005E6DBA"/>
    <w:rsid w:val="005E6FAC"/>
    <w:rsid w:val="005E72C8"/>
    <w:rsid w:val="005E7586"/>
    <w:rsid w:val="005E76DA"/>
    <w:rsid w:val="005E7761"/>
    <w:rsid w:val="005E7B06"/>
    <w:rsid w:val="005E7C89"/>
    <w:rsid w:val="005E7E9F"/>
    <w:rsid w:val="005F00FB"/>
    <w:rsid w:val="005F041B"/>
    <w:rsid w:val="005F049D"/>
    <w:rsid w:val="005F0755"/>
    <w:rsid w:val="005F0861"/>
    <w:rsid w:val="005F0932"/>
    <w:rsid w:val="005F0948"/>
    <w:rsid w:val="005F0968"/>
    <w:rsid w:val="005F0A25"/>
    <w:rsid w:val="005F0B2B"/>
    <w:rsid w:val="005F0B71"/>
    <w:rsid w:val="005F0D0F"/>
    <w:rsid w:val="005F0E17"/>
    <w:rsid w:val="005F105C"/>
    <w:rsid w:val="005F105F"/>
    <w:rsid w:val="005F1354"/>
    <w:rsid w:val="005F13CC"/>
    <w:rsid w:val="005F1474"/>
    <w:rsid w:val="005F1496"/>
    <w:rsid w:val="005F15CD"/>
    <w:rsid w:val="005F160E"/>
    <w:rsid w:val="005F1707"/>
    <w:rsid w:val="005F172F"/>
    <w:rsid w:val="005F1775"/>
    <w:rsid w:val="005F1915"/>
    <w:rsid w:val="005F1BBF"/>
    <w:rsid w:val="005F22FD"/>
    <w:rsid w:val="005F25D2"/>
    <w:rsid w:val="005F279F"/>
    <w:rsid w:val="005F2AED"/>
    <w:rsid w:val="005F2C4E"/>
    <w:rsid w:val="005F2F2B"/>
    <w:rsid w:val="005F334C"/>
    <w:rsid w:val="005F3460"/>
    <w:rsid w:val="005F3636"/>
    <w:rsid w:val="005F366A"/>
    <w:rsid w:val="005F3701"/>
    <w:rsid w:val="005F37C3"/>
    <w:rsid w:val="005F3E49"/>
    <w:rsid w:val="005F3FDC"/>
    <w:rsid w:val="005F405D"/>
    <w:rsid w:val="005F40D7"/>
    <w:rsid w:val="005F4139"/>
    <w:rsid w:val="005F434B"/>
    <w:rsid w:val="005F4476"/>
    <w:rsid w:val="005F4525"/>
    <w:rsid w:val="005F475F"/>
    <w:rsid w:val="005F47C3"/>
    <w:rsid w:val="005F4919"/>
    <w:rsid w:val="005F4967"/>
    <w:rsid w:val="005F4970"/>
    <w:rsid w:val="005F4E60"/>
    <w:rsid w:val="005F552E"/>
    <w:rsid w:val="005F57AA"/>
    <w:rsid w:val="005F5B20"/>
    <w:rsid w:val="005F5CE0"/>
    <w:rsid w:val="005F5E04"/>
    <w:rsid w:val="005F5F6F"/>
    <w:rsid w:val="005F6068"/>
    <w:rsid w:val="005F647E"/>
    <w:rsid w:val="005F6581"/>
    <w:rsid w:val="005F687C"/>
    <w:rsid w:val="005F74E0"/>
    <w:rsid w:val="005F75CF"/>
    <w:rsid w:val="005F75D2"/>
    <w:rsid w:val="005F7945"/>
    <w:rsid w:val="005F7AD4"/>
    <w:rsid w:val="005F7DE6"/>
    <w:rsid w:val="005F7E8A"/>
    <w:rsid w:val="006000D9"/>
    <w:rsid w:val="006001BF"/>
    <w:rsid w:val="0060030C"/>
    <w:rsid w:val="006007D4"/>
    <w:rsid w:val="006008E9"/>
    <w:rsid w:val="00600916"/>
    <w:rsid w:val="006009EE"/>
    <w:rsid w:val="00600A27"/>
    <w:rsid w:val="00600B83"/>
    <w:rsid w:val="00600DBA"/>
    <w:rsid w:val="00601295"/>
    <w:rsid w:val="006013B6"/>
    <w:rsid w:val="006014AB"/>
    <w:rsid w:val="0060175B"/>
    <w:rsid w:val="006017DE"/>
    <w:rsid w:val="0060188E"/>
    <w:rsid w:val="006019A0"/>
    <w:rsid w:val="00601DC9"/>
    <w:rsid w:val="006020FD"/>
    <w:rsid w:val="00602299"/>
    <w:rsid w:val="00602517"/>
    <w:rsid w:val="0060251C"/>
    <w:rsid w:val="0060271B"/>
    <w:rsid w:val="006027BC"/>
    <w:rsid w:val="0060284A"/>
    <w:rsid w:val="00602905"/>
    <w:rsid w:val="00602C3E"/>
    <w:rsid w:val="00602D45"/>
    <w:rsid w:val="0060331C"/>
    <w:rsid w:val="006034D2"/>
    <w:rsid w:val="006035CC"/>
    <w:rsid w:val="006036DA"/>
    <w:rsid w:val="00603B38"/>
    <w:rsid w:val="00603E04"/>
    <w:rsid w:val="00603EDA"/>
    <w:rsid w:val="0060429F"/>
    <w:rsid w:val="006042D4"/>
    <w:rsid w:val="0060435C"/>
    <w:rsid w:val="006043EE"/>
    <w:rsid w:val="006048DE"/>
    <w:rsid w:val="006048EA"/>
    <w:rsid w:val="006049ED"/>
    <w:rsid w:val="00604A01"/>
    <w:rsid w:val="00604F31"/>
    <w:rsid w:val="00604FA8"/>
    <w:rsid w:val="00604FDB"/>
    <w:rsid w:val="006050FC"/>
    <w:rsid w:val="006052AF"/>
    <w:rsid w:val="0060535B"/>
    <w:rsid w:val="00605542"/>
    <w:rsid w:val="006057C1"/>
    <w:rsid w:val="00605889"/>
    <w:rsid w:val="00606023"/>
    <w:rsid w:val="00606480"/>
    <w:rsid w:val="006067B5"/>
    <w:rsid w:val="00606AF6"/>
    <w:rsid w:val="00606B88"/>
    <w:rsid w:val="00606CB1"/>
    <w:rsid w:val="00606F6A"/>
    <w:rsid w:val="00606F9E"/>
    <w:rsid w:val="00607395"/>
    <w:rsid w:val="0060756A"/>
    <w:rsid w:val="006077F8"/>
    <w:rsid w:val="00607A12"/>
    <w:rsid w:val="00607AF0"/>
    <w:rsid w:val="0061039D"/>
    <w:rsid w:val="00610645"/>
    <w:rsid w:val="006106BE"/>
    <w:rsid w:val="00610756"/>
    <w:rsid w:val="00610822"/>
    <w:rsid w:val="006109CC"/>
    <w:rsid w:val="00610C37"/>
    <w:rsid w:val="00610D34"/>
    <w:rsid w:val="00610D6F"/>
    <w:rsid w:val="00610EBA"/>
    <w:rsid w:val="0061125D"/>
    <w:rsid w:val="00611364"/>
    <w:rsid w:val="006113D4"/>
    <w:rsid w:val="00611455"/>
    <w:rsid w:val="0061161D"/>
    <w:rsid w:val="00611C1C"/>
    <w:rsid w:val="00611C2E"/>
    <w:rsid w:val="00611FAC"/>
    <w:rsid w:val="00612016"/>
    <w:rsid w:val="00612064"/>
    <w:rsid w:val="006120E7"/>
    <w:rsid w:val="0061210A"/>
    <w:rsid w:val="006121F2"/>
    <w:rsid w:val="006123A9"/>
    <w:rsid w:val="00612418"/>
    <w:rsid w:val="00612843"/>
    <w:rsid w:val="00612953"/>
    <w:rsid w:val="006129F8"/>
    <w:rsid w:val="00612AE2"/>
    <w:rsid w:val="00612F0E"/>
    <w:rsid w:val="00613241"/>
    <w:rsid w:val="00613361"/>
    <w:rsid w:val="00613484"/>
    <w:rsid w:val="00613580"/>
    <w:rsid w:val="006136D0"/>
    <w:rsid w:val="0061371E"/>
    <w:rsid w:val="006139CB"/>
    <w:rsid w:val="00613AA2"/>
    <w:rsid w:val="00613AC9"/>
    <w:rsid w:val="00613C04"/>
    <w:rsid w:val="00613E35"/>
    <w:rsid w:val="00613FD5"/>
    <w:rsid w:val="00614200"/>
    <w:rsid w:val="0061440F"/>
    <w:rsid w:val="00614506"/>
    <w:rsid w:val="006145A8"/>
    <w:rsid w:val="006149D5"/>
    <w:rsid w:val="00614CD9"/>
    <w:rsid w:val="00614E1B"/>
    <w:rsid w:val="0061523E"/>
    <w:rsid w:val="0061547B"/>
    <w:rsid w:val="006157FF"/>
    <w:rsid w:val="00615884"/>
    <w:rsid w:val="00615B5D"/>
    <w:rsid w:val="00615C49"/>
    <w:rsid w:val="00615DFD"/>
    <w:rsid w:val="00615E59"/>
    <w:rsid w:val="00616040"/>
    <w:rsid w:val="00616192"/>
    <w:rsid w:val="00616246"/>
    <w:rsid w:val="006162DB"/>
    <w:rsid w:val="006166D0"/>
    <w:rsid w:val="006167A1"/>
    <w:rsid w:val="006169DB"/>
    <w:rsid w:val="00616A0C"/>
    <w:rsid w:val="00616C82"/>
    <w:rsid w:val="00616DA0"/>
    <w:rsid w:val="00616E53"/>
    <w:rsid w:val="00616F1A"/>
    <w:rsid w:val="0061705E"/>
    <w:rsid w:val="00617AF4"/>
    <w:rsid w:val="00617C03"/>
    <w:rsid w:val="00617D13"/>
    <w:rsid w:val="00620001"/>
    <w:rsid w:val="0062001C"/>
    <w:rsid w:val="006202C3"/>
    <w:rsid w:val="006202E6"/>
    <w:rsid w:val="0062043C"/>
    <w:rsid w:val="00620483"/>
    <w:rsid w:val="00620766"/>
    <w:rsid w:val="00620768"/>
    <w:rsid w:val="00620863"/>
    <w:rsid w:val="0062088A"/>
    <w:rsid w:val="00620BDE"/>
    <w:rsid w:val="0062102B"/>
    <w:rsid w:val="00621127"/>
    <w:rsid w:val="00621342"/>
    <w:rsid w:val="00621498"/>
    <w:rsid w:val="00621584"/>
    <w:rsid w:val="0062163E"/>
    <w:rsid w:val="0062192E"/>
    <w:rsid w:val="00621D16"/>
    <w:rsid w:val="00621D57"/>
    <w:rsid w:val="006225A4"/>
    <w:rsid w:val="0062280E"/>
    <w:rsid w:val="006229D4"/>
    <w:rsid w:val="00622C69"/>
    <w:rsid w:val="00622CF8"/>
    <w:rsid w:val="00622D57"/>
    <w:rsid w:val="00623220"/>
    <w:rsid w:val="0062330F"/>
    <w:rsid w:val="006235DE"/>
    <w:rsid w:val="00623639"/>
    <w:rsid w:val="00623882"/>
    <w:rsid w:val="00623A84"/>
    <w:rsid w:val="00623AFD"/>
    <w:rsid w:val="00623B8C"/>
    <w:rsid w:val="00623BAE"/>
    <w:rsid w:val="00623CAC"/>
    <w:rsid w:val="00623E65"/>
    <w:rsid w:val="00623ECF"/>
    <w:rsid w:val="0062421C"/>
    <w:rsid w:val="0062427D"/>
    <w:rsid w:val="006242C8"/>
    <w:rsid w:val="006242CA"/>
    <w:rsid w:val="006243B8"/>
    <w:rsid w:val="00624460"/>
    <w:rsid w:val="0062472D"/>
    <w:rsid w:val="00624A5F"/>
    <w:rsid w:val="00624C49"/>
    <w:rsid w:val="00624D13"/>
    <w:rsid w:val="00624DF4"/>
    <w:rsid w:val="00624E2A"/>
    <w:rsid w:val="006251DF"/>
    <w:rsid w:val="006253D1"/>
    <w:rsid w:val="00625402"/>
    <w:rsid w:val="006254FC"/>
    <w:rsid w:val="006256CA"/>
    <w:rsid w:val="0062599B"/>
    <w:rsid w:val="00625AE1"/>
    <w:rsid w:val="00625BD2"/>
    <w:rsid w:val="00625D08"/>
    <w:rsid w:val="00625D88"/>
    <w:rsid w:val="00626001"/>
    <w:rsid w:val="00626306"/>
    <w:rsid w:val="006264FA"/>
    <w:rsid w:val="00626870"/>
    <w:rsid w:val="00626941"/>
    <w:rsid w:val="00626AC9"/>
    <w:rsid w:val="00626FB4"/>
    <w:rsid w:val="00627106"/>
    <w:rsid w:val="006271A8"/>
    <w:rsid w:val="006276BC"/>
    <w:rsid w:val="00627991"/>
    <w:rsid w:val="00627A74"/>
    <w:rsid w:val="00627B3F"/>
    <w:rsid w:val="00627C71"/>
    <w:rsid w:val="00627EA4"/>
    <w:rsid w:val="006300BF"/>
    <w:rsid w:val="0063029C"/>
    <w:rsid w:val="006303EF"/>
    <w:rsid w:val="00630453"/>
    <w:rsid w:val="006304F7"/>
    <w:rsid w:val="0063069C"/>
    <w:rsid w:val="006306A1"/>
    <w:rsid w:val="0063073B"/>
    <w:rsid w:val="00630777"/>
    <w:rsid w:val="006308AD"/>
    <w:rsid w:val="006309D9"/>
    <w:rsid w:val="00630E1B"/>
    <w:rsid w:val="006310D2"/>
    <w:rsid w:val="00631181"/>
    <w:rsid w:val="006311B2"/>
    <w:rsid w:val="00631516"/>
    <w:rsid w:val="00631944"/>
    <w:rsid w:val="006319A5"/>
    <w:rsid w:val="00631AAF"/>
    <w:rsid w:val="00631DA2"/>
    <w:rsid w:val="00631EA1"/>
    <w:rsid w:val="00631F37"/>
    <w:rsid w:val="0063204C"/>
    <w:rsid w:val="0063218D"/>
    <w:rsid w:val="00632403"/>
    <w:rsid w:val="006326D7"/>
    <w:rsid w:val="00632C44"/>
    <w:rsid w:val="00632C98"/>
    <w:rsid w:val="00633048"/>
    <w:rsid w:val="00633202"/>
    <w:rsid w:val="00633443"/>
    <w:rsid w:val="006334CE"/>
    <w:rsid w:val="0063359C"/>
    <w:rsid w:val="00633751"/>
    <w:rsid w:val="00633DA0"/>
    <w:rsid w:val="00633DDB"/>
    <w:rsid w:val="0063404B"/>
    <w:rsid w:val="00634066"/>
    <w:rsid w:val="006340B1"/>
    <w:rsid w:val="0063454D"/>
    <w:rsid w:val="0063480A"/>
    <w:rsid w:val="00634BBA"/>
    <w:rsid w:val="00634F57"/>
    <w:rsid w:val="00635286"/>
    <w:rsid w:val="0063543E"/>
    <w:rsid w:val="006356B0"/>
    <w:rsid w:val="006356CD"/>
    <w:rsid w:val="006359C4"/>
    <w:rsid w:val="00635A3C"/>
    <w:rsid w:val="00635AB1"/>
    <w:rsid w:val="00635C9D"/>
    <w:rsid w:val="00635D5D"/>
    <w:rsid w:val="00635DE8"/>
    <w:rsid w:val="006362BC"/>
    <w:rsid w:val="00636A5A"/>
    <w:rsid w:val="00636C35"/>
    <w:rsid w:val="00636C79"/>
    <w:rsid w:val="00636E5E"/>
    <w:rsid w:val="006373BD"/>
    <w:rsid w:val="00637B16"/>
    <w:rsid w:val="00637F1C"/>
    <w:rsid w:val="00640039"/>
    <w:rsid w:val="00640078"/>
    <w:rsid w:val="00640138"/>
    <w:rsid w:val="00640157"/>
    <w:rsid w:val="006402AC"/>
    <w:rsid w:val="006403E2"/>
    <w:rsid w:val="0064074A"/>
    <w:rsid w:val="00640836"/>
    <w:rsid w:val="006408E1"/>
    <w:rsid w:val="00640ACF"/>
    <w:rsid w:val="00640AEE"/>
    <w:rsid w:val="00640B5E"/>
    <w:rsid w:val="00640C3C"/>
    <w:rsid w:val="00640FE5"/>
    <w:rsid w:val="006413E0"/>
    <w:rsid w:val="00641653"/>
    <w:rsid w:val="006419DB"/>
    <w:rsid w:val="00641B14"/>
    <w:rsid w:val="00641D2A"/>
    <w:rsid w:val="00641EC5"/>
    <w:rsid w:val="00641F54"/>
    <w:rsid w:val="006420C7"/>
    <w:rsid w:val="0064215D"/>
    <w:rsid w:val="00642258"/>
    <w:rsid w:val="00642298"/>
    <w:rsid w:val="00642393"/>
    <w:rsid w:val="006424B0"/>
    <w:rsid w:val="0064262D"/>
    <w:rsid w:val="00642C6C"/>
    <w:rsid w:val="00642E0D"/>
    <w:rsid w:val="00643197"/>
    <w:rsid w:val="0064326E"/>
    <w:rsid w:val="0064329A"/>
    <w:rsid w:val="0064351D"/>
    <w:rsid w:val="00643658"/>
    <w:rsid w:val="00643698"/>
    <w:rsid w:val="00643AA4"/>
    <w:rsid w:val="00643B5E"/>
    <w:rsid w:val="00643F7C"/>
    <w:rsid w:val="006444CC"/>
    <w:rsid w:val="00644BAA"/>
    <w:rsid w:val="00644D92"/>
    <w:rsid w:val="00644F17"/>
    <w:rsid w:val="00644F1B"/>
    <w:rsid w:val="00645182"/>
    <w:rsid w:val="00645417"/>
    <w:rsid w:val="006454B0"/>
    <w:rsid w:val="006454E1"/>
    <w:rsid w:val="006456FB"/>
    <w:rsid w:val="0064577A"/>
    <w:rsid w:val="00645B63"/>
    <w:rsid w:val="006464D5"/>
    <w:rsid w:val="006468F1"/>
    <w:rsid w:val="006469B8"/>
    <w:rsid w:val="00646A69"/>
    <w:rsid w:val="00646AA1"/>
    <w:rsid w:val="00646F7C"/>
    <w:rsid w:val="00646FB2"/>
    <w:rsid w:val="0064720A"/>
    <w:rsid w:val="0064726A"/>
    <w:rsid w:val="006477E6"/>
    <w:rsid w:val="00647B4E"/>
    <w:rsid w:val="00647F41"/>
    <w:rsid w:val="00650093"/>
    <w:rsid w:val="00650227"/>
    <w:rsid w:val="006504DB"/>
    <w:rsid w:val="006506BB"/>
    <w:rsid w:val="00650DAE"/>
    <w:rsid w:val="006511AE"/>
    <w:rsid w:val="006514A0"/>
    <w:rsid w:val="006518A6"/>
    <w:rsid w:val="006518D2"/>
    <w:rsid w:val="00651939"/>
    <w:rsid w:val="006519FA"/>
    <w:rsid w:val="00651C14"/>
    <w:rsid w:val="00651D13"/>
    <w:rsid w:val="00651E1E"/>
    <w:rsid w:val="00651F6B"/>
    <w:rsid w:val="00651F7D"/>
    <w:rsid w:val="00652136"/>
    <w:rsid w:val="00652262"/>
    <w:rsid w:val="00652538"/>
    <w:rsid w:val="00652582"/>
    <w:rsid w:val="00652698"/>
    <w:rsid w:val="006527C2"/>
    <w:rsid w:val="006528D1"/>
    <w:rsid w:val="0065297F"/>
    <w:rsid w:val="00652A66"/>
    <w:rsid w:val="00652B1A"/>
    <w:rsid w:val="00652DF6"/>
    <w:rsid w:val="0065308A"/>
    <w:rsid w:val="00653240"/>
    <w:rsid w:val="0065360F"/>
    <w:rsid w:val="006536ED"/>
    <w:rsid w:val="00653820"/>
    <w:rsid w:val="0065382A"/>
    <w:rsid w:val="00653956"/>
    <w:rsid w:val="00653C51"/>
    <w:rsid w:val="00653CF0"/>
    <w:rsid w:val="00653DD3"/>
    <w:rsid w:val="00653ED6"/>
    <w:rsid w:val="00653FB5"/>
    <w:rsid w:val="00654363"/>
    <w:rsid w:val="0065440B"/>
    <w:rsid w:val="0065480F"/>
    <w:rsid w:val="0065485F"/>
    <w:rsid w:val="0065487A"/>
    <w:rsid w:val="00654CA0"/>
    <w:rsid w:val="006552A4"/>
    <w:rsid w:val="006552C7"/>
    <w:rsid w:val="00655418"/>
    <w:rsid w:val="00655826"/>
    <w:rsid w:val="00655AF0"/>
    <w:rsid w:val="00655B6E"/>
    <w:rsid w:val="00655D2E"/>
    <w:rsid w:val="00655F5C"/>
    <w:rsid w:val="00655F8B"/>
    <w:rsid w:val="00656013"/>
    <w:rsid w:val="006564A2"/>
    <w:rsid w:val="006566E0"/>
    <w:rsid w:val="00656746"/>
    <w:rsid w:val="006567E5"/>
    <w:rsid w:val="0065683A"/>
    <w:rsid w:val="00656B3E"/>
    <w:rsid w:val="00656BAB"/>
    <w:rsid w:val="00656BCB"/>
    <w:rsid w:val="00656C15"/>
    <w:rsid w:val="00656D9D"/>
    <w:rsid w:val="00656E27"/>
    <w:rsid w:val="00656E8A"/>
    <w:rsid w:val="00656ED4"/>
    <w:rsid w:val="00656F67"/>
    <w:rsid w:val="0065710D"/>
    <w:rsid w:val="00657403"/>
    <w:rsid w:val="00657473"/>
    <w:rsid w:val="006574D9"/>
    <w:rsid w:val="0065760B"/>
    <w:rsid w:val="00657680"/>
    <w:rsid w:val="006579D3"/>
    <w:rsid w:val="00657D3C"/>
    <w:rsid w:val="00657D3F"/>
    <w:rsid w:val="00657F27"/>
    <w:rsid w:val="006600ED"/>
    <w:rsid w:val="0066019B"/>
    <w:rsid w:val="006603FF"/>
    <w:rsid w:val="0066040D"/>
    <w:rsid w:val="00660560"/>
    <w:rsid w:val="006609C9"/>
    <w:rsid w:val="006609E4"/>
    <w:rsid w:val="00660F98"/>
    <w:rsid w:val="006610ED"/>
    <w:rsid w:val="006610F2"/>
    <w:rsid w:val="00661238"/>
    <w:rsid w:val="006612BE"/>
    <w:rsid w:val="00661352"/>
    <w:rsid w:val="00661483"/>
    <w:rsid w:val="006616F2"/>
    <w:rsid w:val="0066188F"/>
    <w:rsid w:val="006619C1"/>
    <w:rsid w:val="00661B9C"/>
    <w:rsid w:val="00661FCE"/>
    <w:rsid w:val="0066228C"/>
    <w:rsid w:val="006626DA"/>
    <w:rsid w:val="00662F3B"/>
    <w:rsid w:val="0066306A"/>
    <w:rsid w:val="00663419"/>
    <w:rsid w:val="00663726"/>
    <w:rsid w:val="00663764"/>
    <w:rsid w:val="00663891"/>
    <w:rsid w:val="006638B4"/>
    <w:rsid w:val="00663952"/>
    <w:rsid w:val="006639C3"/>
    <w:rsid w:val="006639CF"/>
    <w:rsid w:val="006639F2"/>
    <w:rsid w:val="00663B18"/>
    <w:rsid w:val="00663C65"/>
    <w:rsid w:val="00663D09"/>
    <w:rsid w:val="00663ECC"/>
    <w:rsid w:val="00663EE7"/>
    <w:rsid w:val="0066400D"/>
    <w:rsid w:val="00664463"/>
    <w:rsid w:val="006644E1"/>
    <w:rsid w:val="00664722"/>
    <w:rsid w:val="00664AE0"/>
    <w:rsid w:val="00664AF1"/>
    <w:rsid w:val="00664DB3"/>
    <w:rsid w:val="00665136"/>
    <w:rsid w:val="006653A7"/>
    <w:rsid w:val="00665776"/>
    <w:rsid w:val="006657AB"/>
    <w:rsid w:val="00665830"/>
    <w:rsid w:val="00665831"/>
    <w:rsid w:val="00665B5B"/>
    <w:rsid w:val="00665D40"/>
    <w:rsid w:val="0066639A"/>
    <w:rsid w:val="006663D5"/>
    <w:rsid w:val="006669A3"/>
    <w:rsid w:val="00666C0D"/>
    <w:rsid w:val="00666FD1"/>
    <w:rsid w:val="00667381"/>
    <w:rsid w:val="0066739B"/>
    <w:rsid w:val="0066741E"/>
    <w:rsid w:val="006676A8"/>
    <w:rsid w:val="006677F6"/>
    <w:rsid w:val="006679B4"/>
    <w:rsid w:val="00667B2C"/>
    <w:rsid w:val="00667F5C"/>
    <w:rsid w:val="0067004E"/>
    <w:rsid w:val="0067006D"/>
    <w:rsid w:val="00670328"/>
    <w:rsid w:val="00670A3B"/>
    <w:rsid w:val="00670A75"/>
    <w:rsid w:val="00670B74"/>
    <w:rsid w:val="00670E70"/>
    <w:rsid w:val="00670E79"/>
    <w:rsid w:val="00671068"/>
    <w:rsid w:val="006712F1"/>
    <w:rsid w:val="00671591"/>
    <w:rsid w:val="00671939"/>
    <w:rsid w:val="0067199E"/>
    <w:rsid w:val="006719D2"/>
    <w:rsid w:val="00671E22"/>
    <w:rsid w:val="00671E3A"/>
    <w:rsid w:val="00671E48"/>
    <w:rsid w:val="00671EC4"/>
    <w:rsid w:val="00671F87"/>
    <w:rsid w:val="00671FCC"/>
    <w:rsid w:val="006721DD"/>
    <w:rsid w:val="0067240C"/>
    <w:rsid w:val="0067244F"/>
    <w:rsid w:val="006727A2"/>
    <w:rsid w:val="00672961"/>
    <w:rsid w:val="00672C7A"/>
    <w:rsid w:val="00672CB0"/>
    <w:rsid w:val="0067300D"/>
    <w:rsid w:val="00673132"/>
    <w:rsid w:val="00673284"/>
    <w:rsid w:val="006732A5"/>
    <w:rsid w:val="006738DA"/>
    <w:rsid w:val="00673985"/>
    <w:rsid w:val="00673BE0"/>
    <w:rsid w:val="00673E20"/>
    <w:rsid w:val="00673F18"/>
    <w:rsid w:val="0067419E"/>
    <w:rsid w:val="00674434"/>
    <w:rsid w:val="0067447A"/>
    <w:rsid w:val="0067466F"/>
    <w:rsid w:val="00674849"/>
    <w:rsid w:val="006748A4"/>
    <w:rsid w:val="00674921"/>
    <w:rsid w:val="00674976"/>
    <w:rsid w:val="00674A1C"/>
    <w:rsid w:val="00674B4C"/>
    <w:rsid w:val="00674D01"/>
    <w:rsid w:val="00674E91"/>
    <w:rsid w:val="00674F09"/>
    <w:rsid w:val="00674FA5"/>
    <w:rsid w:val="00675066"/>
    <w:rsid w:val="00675339"/>
    <w:rsid w:val="00675444"/>
    <w:rsid w:val="00675682"/>
    <w:rsid w:val="00675858"/>
    <w:rsid w:val="00675916"/>
    <w:rsid w:val="006759EA"/>
    <w:rsid w:val="00675AF4"/>
    <w:rsid w:val="00675C24"/>
    <w:rsid w:val="00675D6D"/>
    <w:rsid w:val="00675EFD"/>
    <w:rsid w:val="00676283"/>
    <w:rsid w:val="0067635C"/>
    <w:rsid w:val="00676556"/>
    <w:rsid w:val="00676694"/>
    <w:rsid w:val="00676AE3"/>
    <w:rsid w:val="00676B37"/>
    <w:rsid w:val="00676C71"/>
    <w:rsid w:val="00676CCE"/>
    <w:rsid w:val="00677448"/>
    <w:rsid w:val="00677476"/>
    <w:rsid w:val="00677629"/>
    <w:rsid w:val="0067774D"/>
    <w:rsid w:val="00677AB0"/>
    <w:rsid w:val="00677BAF"/>
    <w:rsid w:val="00677F89"/>
    <w:rsid w:val="00677FAB"/>
    <w:rsid w:val="006805AB"/>
    <w:rsid w:val="0068061F"/>
    <w:rsid w:val="00680C7E"/>
    <w:rsid w:val="00680C9D"/>
    <w:rsid w:val="00680CCF"/>
    <w:rsid w:val="00680E92"/>
    <w:rsid w:val="00680F4E"/>
    <w:rsid w:val="00680FB8"/>
    <w:rsid w:val="00681304"/>
    <w:rsid w:val="0068177A"/>
    <w:rsid w:val="00681E7F"/>
    <w:rsid w:val="006822D8"/>
    <w:rsid w:val="0068250D"/>
    <w:rsid w:val="006825C5"/>
    <w:rsid w:val="0068264A"/>
    <w:rsid w:val="006828FC"/>
    <w:rsid w:val="0068293D"/>
    <w:rsid w:val="00682972"/>
    <w:rsid w:val="00682BF8"/>
    <w:rsid w:val="00682C4A"/>
    <w:rsid w:val="006834F4"/>
    <w:rsid w:val="00683ACE"/>
    <w:rsid w:val="00683F45"/>
    <w:rsid w:val="00683F67"/>
    <w:rsid w:val="006841DF"/>
    <w:rsid w:val="00684214"/>
    <w:rsid w:val="00684273"/>
    <w:rsid w:val="00684280"/>
    <w:rsid w:val="0068475C"/>
    <w:rsid w:val="006847BD"/>
    <w:rsid w:val="00684D75"/>
    <w:rsid w:val="00684FBF"/>
    <w:rsid w:val="00684FFA"/>
    <w:rsid w:val="006850B1"/>
    <w:rsid w:val="0068539F"/>
    <w:rsid w:val="006854B2"/>
    <w:rsid w:val="00685527"/>
    <w:rsid w:val="006856EA"/>
    <w:rsid w:val="00685848"/>
    <w:rsid w:val="00685A22"/>
    <w:rsid w:val="00685B0A"/>
    <w:rsid w:val="00685BBE"/>
    <w:rsid w:val="00686141"/>
    <w:rsid w:val="00686153"/>
    <w:rsid w:val="0068628C"/>
    <w:rsid w:val="00686460"/>
    <w:rsid w:val="006865FF"/>
    <w:rsid w:val="00686AA1"/>
    <w:rsid w:val="00686E6C"/>
    <w:rsid w:val="00687311"/>
    <w:rsid w:val="00687355"/>
    <w:rsid w:val="00687364"/>
    <w:rsid w:val="00687711"/>
    <w:rsid w:val="0068790B"/>
    <w:rsid w:val="00687BAB"/>
    <w:rsid w:val="00687BFC"/>
    <w:rsid w:val="00690040"/>
    <w:rsid w:val="00690100"/>
    <w:rsid w:val="00690317"/>
    <w:rsid w:val="006903A3"/>
    <w:rsid w:val="0069040C"/>
    <w:rsid w:val="00690520"/>
    <w:rsid w:val="00690779"/>
    <w:rsid w:val="00690796"/>
    <w:rsid w:val="00690BDC"/>
    <w:rsid w:val="00690D08"/>
    <w:rsid w:val="00690D8C"/>
    <w:rsid w:val="00690FF6"/>
    <w:rsid w:val="006911A4"/>
    <w:rsid w:val="0069174B"/>
    <w:rsid w:val="006917A6"/>
    <w:rsid w:val="0069187A"/>
    <w:rsid w:val="006918D9"/>
    <w:rsid w:val="00691A86"/>
    <w:rsid w:val="00691A88"/>
    <w:rsid w:val="00691F83"/>
    <w:rsid w:val="006920A0"/>
    <w:rsid w:val="0069227F"/>
    <w:rsid w:val="0069232A"/>
    <w:rsid w:val="00692764"/>
    <w:rsid w:val="0069293B"/>
    <w:rsid w:val="00692BA6"/>
    <w:rsid w:val="006934A7"/>
    <w:rsid w:val="006939D8"/>
    <w:rsid w:val="00693BE9"/>
    <w:rsid w:val="006941A2"/>
    <w:rsid w:val="0069452C"/>
    <w:rsid w:val="00694807"/>
    <w:rsid w:val="006948FC"/>
    <w:rsid w:val="00694967"/>
    <w:rsid w:val="006949C8"/>
    <w:rsid w:val="00694F85"/>
    <w:rsid w:val="006951AB"/>
    <w:rsid w:val="00695498"/>
    <w:rsid w:val="006958F5"/>
    <w:rsid w:val="006959F0"/>
    <w:rsid w:val="00695B8A"/>
    <w:rsid w:val="00695C74"/>
    <w:rsid w:val="00695C99"/>
    <w:rsid w:val="00695F2C"/>
    <w:rsid w:val="006962CD"/>
    <w:rsid w:val="00696341"/>
    <w:rsid w:val="0069639F"/>
    <w:rsid w:val="006969F8"/>
    <w:rsid w:val="00696B77"/>
    <w:rsid w:val="00696EA5"/>
    <w:rsid w:val="00696F2F"/>
    <w:rsid w:val="0069726F"/>
    <w:rsid w:val="00697406"/>
    <w:rsid w:val="00697621"/>
    <w:rsid w:val="006977A9"/>
    <w:rsid w:val="006977E2"/>
    <w:rsid w:val="006977E7"/>
    <w:rsid w:val="006979AA"/>
    <w:rsid w:val="00697DF3"/>
    <w:rsid w:val="00697E7F"/>
    <w:rsid w:val="00697EB7"/>
    <w:rsid w:val="00697ED4"/>
    <w:rsid w:val="006A01A4"/>
    <w:rsid w:val="006A0208"/>
    <w:rsid w:val="006A0255"/>
    <w:rsid w:val="006A02E7"/>
    <w:rsid w:val="006A0C62"/>
    <w:rsid w:val="006A0D16"/>
    <w:rsid w:val="006A1198"/>
    <w:rsid w:val="006A1232"/>
    <w:rsid w:val="006A1265"/>
    <w:rsid w:val="006A16EE"/>
    <w:rsid w:val="006A1992"/>
    <w:rsid w:val="006A1995"/>
    <w:rsid w:val="006A1A26"/>
    <w:rsid w:val="006A2030"/>
    <w:rsid w:val="006A21F5"/>
    <w:rsid w:val="006A2251"/>
    <w:rsid w:val="006A2465"/>
    <w:rsid w:val="006A2491"/>
    <w:rsid w:val="006A2520"/>
    <w:rsid w:val="006A2563"/>
    <w:rsid w:val="006A25CA"/>
    <w:rsid w:val="006A27B1"/>
    <w:rsid w:val="006A28FC"/>
    <w:rsid w:val="006A28FF"/>
    <w:rsid w:val="006A2A2F"/>
    <w:rsid w:val="006A2A3C"/>
    <w:rsid w:val="006A2AAB"/>
    <w:rsid w:val="006A2ABB"/>
    <w:rsid w:val="006A2B61"/>
    <w:rsid w:val="006A2CB5"/>
    <w:rsid w:val="006A2E11"/>
    <w:rsid w:val="006A3033"/>
    <w:rsid w:val="006A30DC"/>
    <w:rsid w:val="006A335A"/>
    <w:rsid w:val="006A35BF"/>
    <w:rsid w:val="006A37CF"/>
    <w:rsid w:val="006A39A2"/>
    <w:rsid w:val="006A3A2D"/>
    <w:rsid w:val="006A3A5F"/>
    <w:rsid w:val="006A3ADF"/>
    <w:rsid w:val="006A3B21"/>
    <w:rsid w:val="006A3E3E"/>
    <w:rsid w:val="006A4558"/>
    <w:rsid w:val="006A48F3"/>
    <w:rsid w:val="006A4AF9"/>
    <w:rsid w:val="006A50CA"/>
    <w:rsid w:val="006A5144"/>
    <w:rsid w:val="006A58AA"/>
    <w:rsid w:val="006A5948"/>
    <w:rsid w:val="006A5A64"/>
    <w:rsid w:val="006A5CA2"/>
    <w:rsid w:val="006A5E1B"/>
    <w:rsid w:val="006A60ED"/>
    <w:rsid w:val="006A6226"/>
    <w:rsid w:val="006A63A9"/>
    <w:rsid w:val="006A662C"/>
    <w:rsid w:val="006A6F41"/>
    <w:rsid w:val="006A73D7"/>
    <w:rsid w:val="006A7536"/>
    <w:rsid w:val="006A78D3"/>
    <w:rsid w:val="006A7912"/>
    <w:rsid w:val="006A7B53"/>
    <w:rsid w:val="006A7F37"/>
    <w:rsid w:val="006B00FC"/>
    <w:rsid w:val="006B0216"/>
    <w:rsid w:val="006B03DE"/>
    <w:rsid w:val="006B040A"/>
    <w:rsid w:val="006B0585"/>
    <w:rsid w:val="006B05FA"/>
    <w:rsid w:val="006B0801"/>
    <w:rsid w:val="006B086D"/>
    <w:rsid w:val="006B0CE8"/>
    <w:rsid w:val="006B11CA"/>
    <w:rsid w:val="006B1205"/>
    <w:rsid w:val="006B1262"/>
    <w:rsid w:val="006B13A6"/>
    <w:rsid w:val="006B13C1"/>
    <w:rsid w:val="006B13C7"/>
    <w:rsid w:val="006B1435"/>
    <w:rsid w:val="006B1445"/>
    <w:rsid w:val="006B14FA"/>
    <w:rsid w:val="006B15DD"/>
    <w:rsid w:val="006B17FB"/>
    <w:rsid w:val="006B1F7B"/>
    <w:rsid w:val="006B1FB1"/>
    <w:rsid w:val="006B2103"/>
    <w:rsid w:val="006B23BC"/>
    <w:rsid w:val="006B2571"/>
    <w:rsid w:val="006B25B0"/>
    <w:rsid w:val="006B2817"/>
    <w:rsid w:val="006B2984"/>
    <w:rsid w:val="006B2C73"/>
    <w:rsid w:val="006B2FEA"/>
    <w:rsid w:val="006B3047"/>
    <w:rsid w:val="006B31D0"/>
    <w:rsid w:val="006B3201"/>
    <w:rsid w:val="006B3241"/>
    <w:rsid w:val="006B325B"/>
    <w:rsid w:val="006B36E8"/>
    <w:rsid w:val="006B37E7"/>
    <w:rsid w:val="006B3BCB"/>
    <w:rsid w:val="006B3D42"/>
    <w:rsid w:val="006B3F58"/>
    <w:rsid w:val="006B416D"/>
    <w:rsid w:val="006B4578"/>
    <w:rsid w:val="006B4A8D"/>
    <w:rsid w:val="006B4E2E"/>
    <w:rsid w:val="006B57E6"/>
    <w:rsid w:val="006B5ACE"/>
    <w:rsid w:val="006B61A7"/>
    <w:rsid w:val="006B6486"/>
    <w:rsid w:val="006B656E"/>
    <w:rsid w:val="006B65DD"/>
    <w:rsid w:val="006B6697"/>
    <w:rsid w:val="006B66BB"/>
    <w:rsid w:val="006B6C96"/>
    <w:rsid w:val="006B6D0A"/>
    <w:rsid w:val="006B6E9A"/>
    <w:rsid w:val="006B6EB0"/>
    <w:rsid w:val="006B70C5"/>
    <w:rsid w:val="006B71F5"/>
    <w:rsid w:val="006B7773"/>
    <w:rsid w:val="006B797F"/>
    <w:rsid w:val="006B7AE4"/>
    <w:rsid w:val="006B7B67"/>
    <w:rsid w:val="006B7D9D"/>
    <w:rsid w:val="006B7DEC"/>
    <w:rsid w:val="006B7F37"/>
    <w:rsid w:val="006C00E5"/>
    <w:rsid w:val="006C025D"/>
    <w:rsid w:val="006C0313"/>
    <w:rsid w:val="006C0D56"/>
    <w:rsid w:val="006C0DA5"/>
    <w:rsid w:val="006C0DB0"/>
    <w:rsid w:val="006C0F83"/>
    <w:rsid w:val="006C1316"/>
    <w:rsid w:val="006C1435"/>
    <w:rsid w:val="006C154B"/>
    <w:rsid w:val="006C1B4A"/>
    <w:rsid w:val="006C1BB0"/>
    <w:rsid w:val="006C1CD1"/>
    <w:rsid w:val="006C1E38"/>
    <w:rsid w:val="006C1E3E"/>
    <w:rsid w:val="006C1FB5"/>
    <w:rsid w:val="006C200A"/>
    <w:rsid w:val="006C2283"/>
    <w:rsid w:val="006C294D"/>
    <w:rsid w:val="006C2EC3"/>
    <w:rsid w:val="006C2FD5"/>
    <w:rsid w:val="006C313B"/>
    <w:rsid w:val="006C314F"/>
    <w:rsid w:val="006C3754"/>
    <w:rsid w:val="006C3A5A"/>
    <w:rsid w:val="006C3B57"/>
    <w:rsid w:val="006C3C9D"/>
    <w:rsid w:val="006C3DF8"/>
    <w:rsid w:val="006C3DF9"/>
    <w:rsid w:val="006C3FA8"/>
    <w:rsid w:val="006C43BA"/>
    <w:rsid w:val="006C4463"/>
    <w:rsid w:val="006C4542"/>
    <w:rsid w:val="006C45EC"/>
    <w:rsid w:val="006C4799"/>
    <w:rsid w:val="006C48EC"/>
    <w:rsid w:val="006C5895"/>
    <w:rsid w:val="006C5A0A"/>
    <w:rsid w:val="006C5BD8"/>
    <w:rsid w:val="006C5D11"/>
    <w:rsid w:val="006C5DEC"/>
    <w:rsid w:val="006C5FC4"/>
    <w:rsid w:val="006C5FFE"/>
    <w:rsid w:val="006C6255"/>
    <w:rsid w:val="006C6477"/>
    <w:rsid w:val="006C6584"/>
    <w:rsid w:val="006C6608"/>
    <w:rsid w:val="006C6740"/>
    <w:rsid w:val="006C6843"/>
    <w:rsid w:val="006C69A9"/>
    <w:rsid w:val="006C6B80"/>
    <w:rsid w:val="006C6C1B"/>
    <w:rsid w:val="006C6C88"/>
    <w:rsid w:val="006C6EE1"/>
    <w:rsid w:val="006C7287"/>
    <w:rsid w:val="006C7410"/>
    <w:rsid w:val="006C7497"/>
    <w:rsid w:val="006C74FC"/>
    <w:rsid w:val="006C751A"/>
    <w:rsid w:val="006C799B"/>
    <w:rsid w:val="006C7E88"/>
    <w:rsid w:val="006C7EEF"/>
    <w:rsid w:val="006C7F06"/>
    <w:rsid w:val="006C7FD5"/>
    <w:rsid w:val="006D0063"/>
    <w:rsid w:val="006D010D"/>
    <w:rsid w:val="006D042E"/>
    <w:rsid w:val="006D087E"/>
    <w:rsid w:val="006D08D4"/>
    <w:rsid w:val="006D0B0E"/>
    <w:rsid w:val="006D0C74"/>
    <w:rsid w:val="006D0CC4"/>
    <w:rsid w:val="006D121D"/>
    <w:rsid w:val="006D156F"/>
    <w:rsid w:val="006D15D6"/>
    <w:rsid w:val="006D18FF"/>
    <w:rsid w:val="006D1E65"/>
    <w:rsid w:val="006D2057"/>
    <w:rsid w:val="006D2684"/>
    <w:rsid w:val="006D280F"/>
    <w:rsid w:val="006D2CB2"/>
    <w:rsid w:val="006D2D8A"/>
    <w:rsid w:val="006D2F57"/>
    <w:rsid w:val="006D3153"/>
    <w:rsid w:val="006D337E"/>
    <w:rsid w:val="006D3467"/>
    <w:rsid w:val="006D35E9"/>
    <w:rsid w:val="006D3DD6"/>
    <w:rsid w:val="006D40A8"/>
    <w:rsid w:val="006D447E"/>
    <w:rsid w:val="006D4910"/>
    <w:rsid w:val="006D4934"/>
    <w:rsid w:val="006D4AB4"/>
    <w:rsid w:val="006D5041"/>
    <w:rsid w:val="006D552B"/>
    <w:rsid w:val="006D5766"/>
    <w:rsid w:val="006D57C7"/>
    <w:rsid w:val="006D58A6"/>
    <w:rsid w:val="006D591C"/>
    <w:rsid w:val="006D5AA1"/>
    <w:rsid w:val="006D5BB3"/>
    <w:rsid w:val="006D5DC5"/>
    <w:rsid w:val="006D61F3"/>
    <w:rsid w:val="006D6268"/>
    <w:rsid w:val="006D62B0"/>
    <w:rsid w:val="006D63C9"/>
    <w:rsid w:val="006D652E"/>
    <w:rsid w:val="006D6597"/>
    <w:rsid w:val="006D65A3"/>
    <w:rsid w:val="006D6865"/>
    <w:rsid w:val="006D6C88"/>
    <w:rsid w:val="006D6EE9"/>
    <w:rsid w:val="006D73EA"/>
    <w:rsid w:val="006D7577"/>
    <w:rsid w:val="006D75B4"/>
    <w:rsid w:val="006D76EC"/>
    <w:rsid w:val="006D7D11"/>
    <w:rsid w:val="006D7DEA"/>
    <w:rsid w:val="006D7F6F"/>
    <w:rsid w:val="006E0017"/>
    <w:rsid w:val="006E00C9"/>
    <w:rsid w:val="006E0460"/>
    <w:rsid w:val="006E0635"/>
    <w:rsid w:val="006E0CD3"/>
    <w:rsid w:val="006E0DA4"/>
    <w:rsid w:val="006E0DE7"/>
    <w:rsid w:val="006E0E09"/>
    <w:rsid w:val="006E0ED8"/>
    <w:rsid w:val="006E10A2"/>
    <w:rsid w:val="006E110A"/>
    <w:rsid w:val="006E1252"/>
    <w:rsid w:val="006E12DC"/>
    <w:rsid w:val="006E1411"/>
    <w:rsid w:val="006E1945"/>
    <w:rsid w:val="006E1C59"/>
    <w:rsid w:val="006E1D3F"/>
    <w:rsid w:val="006E1F07"/>
    <w:rsid w:val="006E2052"/>
    <w:rsid w:val="006E22FB"/>
    <w:rsid w:val="006E23D2"/>
    <w:rsid w:val="006E241F"/>
    <w:rsid w:val="006E2754"/>
    <w:rsid w:val="006E288D"/>
    <w:rsid w:val="006E29B0"/>
    <w:rsid w:val="006E2A89"/>
    <w:rsid w:val="006E2B72"/>
    <w:rsid w:val="006E2DA4"/>
    <w:rsid w:val="006E2E02"/>
    <w:rsid w:val="006E304A"/>
    <w:rsid w:val="006E30ED"/>
    <w:rsid w:val="006E3280"/>
    <w:rsid w:val="006E35D3"/>
    <w:rsid w:val="006E35EC"/>
    <w:rsid w:val="006E370B"/>
    <w:rsid w:val="006E3C80"/>
    <w:rsid w:val="006E3E1A"/>
    <w:rsid w:val="006E3E2C"/>
    <w:rsid w:val="006E4018"/>
    <w:rsid w:val="006E4454"/>
    <w:rsid w:val="006E4565"/>
    <w:rsid w:val="006E4642"/>
    <w:rsid w:val="006E4948"/>
    <w:rsid w:val="006E4A14"/>
    <w:rsid w:val="006E4AF0"/>
    <w:rsid w:val="006E4B09"/>
    <w:rsid w:val="006E4D29"/>
    <w:rsid w:val="006E4E1F"/>
    <w:rsid w:val="006E4FDA"/>
    <w:rsid w:val="006E52F1"/>
    <w:rsid w:val="006E5863"/>
    <w:rsid w:val="006E5D68"/>
    <w:rsid w:val="006E5E24"/>
    <w:rsid w:val="006E61E3"/>
    <w:rsid w:val="006E6256"/>
    <w:rsid w:val="006E636E"/>
    <w:rsid w:val="006E63BD"/>
    <w:rsid w:val="006E6473"/>
    <w:rsid w:val="006E65ED"/>
    <w:rsid w:val="006E6A01"/>
    <w:rsid w:val="006E6C69"/>
    <w:rsid w:val="006E6F3D"/>
    <w:rsid w:val="006E72E7"/>
    <w:rsid w:val="006E73C7"/>
    <w:rsid w:val="006E7624"/>
    <w:rsid w:val="006E7A00"/>
    <w:rsid w:val="006E7CA1"/>
    <w:rsid w:val="006E7E7D"/>
    <w:rsid w:val="006E7E97"/>
    <w:rsid w:val="006E7F43"/>
    <w:rsid w:val="006F08AB"/>
    <w:rsid w:val="006F0C6B"/>
    <w:rsid w:val="006F0D03"/>
    <w:rsid w:val="006F0E23"/>
    <w:rsid w:val="006F0E69"/>
    <w:rsid w:val="006F0F65"/>
    <w:rsid w:val="006F0F67"/>
    <w:rsid w:val="006F0FB9"/>
    <w:rsid w:val="006F1055"/>
    <w:rsid w:val="006F1324"/>
    <w:rsid w:val="006F149F"/>
    <w:rsid w:val="006F14DE"/>
    <w:rsid w:val="006F15A6"/>
    <w:rsid w:val="006F16E5"/>
    <w:rsid w:val="006F1A89"/>
    <w:rsid w:val="006F1BAB"/>
    <w:rsid w:val="006F1BE9"/>
    <w:rsid w:val="006F1D74"/>
    <w:rsid w:val="006F23EA"/>
    <w:rsid w:val="006F24BE"/>
    <w:rsid w:val="006F284B"/>
    <w:rsid w:val="006F2C9C"/>
    <w:rsid w:val="006F2D7B"/>
    <w:rsid w:val="006F2FEC"/>
    <w:rsid w:val="006F3423"/>
    <w:rsid w:val="006F3450"/>
    <w:rsid w:val="006F350C"/>
    <w:rsid w:val="006F352C"/>
    <w:rsid w:val="006F3681"/>
    <w:rsid w:val="006F379F"/>
    <w:rsid w:val="006F3817"/>
    <w:rsid w:val="006F3868"/>
    <w:rsid w:val="006F3C83"/>
    <w:rsid w:val="006F3D9F"/>
    <w:rsid w:val="006F410B"/>
    <w:rsid w:val="006F42E5"/>
    <w:rsid w:val="006F452D"/>
    <w:rsid w:val="006F4906"/>
    <w:rsid w:val="006F5153"/>
    <w:rsid w:val="006F5E75"/>
    <w:rsid w:val="006F5F4B"/>
    <w:rsid w:val="006F606C"/>
    <w:rsid w:val="006F6349"/>
    <w:rsid w:val="006F63AA"/>
    <w:rsid w:val="006F63AE"/>
    <w:rsid w:val="006F6516"/>
    <w:rsid w:val="006F6545"/>
    <w:rsid w:val="006F6A91"/>
    <w:rsid w:val="006F6D51"/>
    <w:rsid w:val="006F6E3F"/>
    <w:rsid w:val="006F6E43"/>
    <w:rsid w:val="006F6EBC"/>
    <w:rsid w:val="006F7056"/>
    <w:rsid w:val="006F70FA"/>
    <w:rsid w:val="006F718F"/>
    <w:rsid w:val="006F71D1"/>
    <w:rsid w:val="006F7274"/>
    <w:rsid w:val="006F7438"/>
    <w:rsid w:val="006F74DF"/>
    <w:rsid w:val="006F75B5"/>
    <w:rsid w:val="006F761F"/>
    <w:rsid w:val="006F7653"/>
    <w:rsid w:val="006F789C"/>
    <w:rsid w:val="006F79D4"/>
    <w:rsid w:val="006F7B0F"/>
    <w:rsid w:val="006F7BEC"/>
    <w:rsid w:val="0070014A"/>
    <w:rsid w:val="00700247"/>
    <w:rsid w:val="00700291"/>
    <w:rsid w:val="0070031A"/>
    <w:rsid w:val="007004BB"/>
    <w:rsid w:val="0070072E"/>
    <w:rsid w:val="0070095A"/>
    <w:rsid w:val="00700C84"/>
    <w:rsid w:val="0070100C"/>
    <w:rsid w:val="007010FA"/>
    <w:rsid w:val="0070112E"/>
    <w:rsid w:val="0070113C"/>
    <w:rsid w:val="0070166E"/>
    <w:rsid w:val="007016C3"/>
    <w:rsid w:val="007019BA"/>
    <w:rsid w:val="00701A44"/>
    <w:rsid w:val="00702452"/>
    <w:rsid w:val="007025EE"/>
    <w:rsid w:val="00702729"/>
    <w:rsid w:val="00702733"/>
    <w:rsid w:val="00702A49"/>
    <w:rsid w:val="00702B34"/>
    <w:rsid w:val="00702CC5"/>
    <w:rsid w:val="00702E8C"/>
    <w:rsid w:val="00702F0A"/>
    <w:rsid w:val="00702FB4"/>
    <w:rsid w:val="007036E4"/>
    <w:rsid w:val="00703782"/>
    <w:rsid w:val="007041F2"/>
    <w:rsid w:val="00704402"/>
    <w:rsid w:val="0070461A"/>
    <w:rsid w:val="007046C1"/>
    <w:rsid w:val="00704776"/>
    <w:rsid w:val="007049CC"/>
    <w:rsid w:val="00704A79"/>
    <w:rsid w:val="00704AB5"/>
    <w:rsid w:val="00705151"/>
    <w:rsid w:val="007051BD"/>
    <w:rsid w:val="00705CF7"/>
    <w:rsid w:val="007062D7"/>
    <w:rsid w:val="00706414"/>
    <w:rsid w:val="007065FF"/>
    <w:rsid w:val="00706769"/>
    <w:rsid w:val="007067FD"/>
    <w:rsid w:val="0070683C"/>
    <w:rsid w:val="0070697B"/>
    <w:rsid w:val="00706A0F"/>
    <w:rsid w:val="00706E37"/>
    <w:rsid w:val="00706E8D"/>
    <w:rsid w:val="0070700F"/>
    <w:rsid w:val="0070712C"/>
    <w:rsid w:val="0070715A"/>
    <w:rsid w:val="007071C9"/>
    <w:rsid w:val="007071F6"/>
    <w:rsid w:val="00707262"/>
    <w:rsid w:val="0070761C"/>
    <w:rsid w:val="007076DA"/>
    <w:rsid w:val="00707850"/>
    <w:rsid w:val="00707863"/>
    <w:rsid w:val="00707895"/>
    <w:rsid w:val="007079F0"/>
    <w:rsid w:val="00707BB4"/>
    <w:rsid w:val="00707D97"/>
    <w:rsid w:val="00707E2A"/>
    <w:rsid w:val="00707F86"/>
    <w:rsid w:val="00710295"/>
    <w:rsid w:val="007102B7"/>
    <w:rsid w:val="007102DD"/>
    <w:rsid w:val="007103E7"/>
    <w:rsid w:val="007106F0"/>
    <w:rsid w:val="00710C6D"/>
    <w:rsid w:val="00710D73"/>
    <w:rsid w:val="00710DB6"/>
    <w:rsid w:val="00710E0F"/>
    <w:rsid w:val="00710E60"/>
    <w:rsid w:val="00710F03"/>
    <w:rsid w:val="007111F6"/>
    <w:rsid w:val="00711203"/>
    <w:rsid w:val="0071121E"/>
    <w:rsid w:val="00711228"/>
    <w:rsid w:val="007116BA"/>
    <w:rsid w:val="0071175A"/>
    <w:rsid w:val="00711A76"/>
    <w:rsid w:val="00711B4D"/>
    <w:rsid w:val="00711E0A"/>
    <w:rsid w:val="007120AB"/>
    <w:rsid w:val="007120F5"/>
    <w:rsid w:val="00712221"/>
    <w:rsid w:val="0071238D"/>
    <w:rsid w:val="00712464"/>
    <w:rsid w:val="007124EF"/>
    <w:rsid w:val="00712825"/>
    <w:rsid w:val="00712EEC"/>
    <w:rsid w:val="00712F39"/>
    <w:rsid w:val="00712F6E"/>
    <w:rsid w:val="007130FC"/>
    <w:rsid w:val="00713164"/>
    <w:rsid w:val="007131C5"/>
    <w:rsid w:val="0071334B"/>
    <w:rsid w:val="0071335A"/>
    <w:rsid w:val="0071335B"/>
    <w:rsid w:val="007133F9"/>
    <w:rsid w:val="0071355C"/>
    <w:rsid w:val="00713A3B"/>
    <w:rsid w:val="00713AB0"/>
    <w:rsid w:val="00713B57"/>
    <w:rsid w:val="00713B9C"/>
    <w:rsid w:val="00713CDE"/>
    <w:rsid w:val="00713FBB"/>
    <w:rsid w:val="00714120"/>
    <w:rsid w:val="00714168"/>
    <w:rsid w:val="0071425B"/>
    <w:rsid w:val="007143B6"/>
    <w:rsid w:val="00714A98"/>
    <w:rsid w:val="00714C29"/>
    <w:rsid w:val="00714DD7"/>
    <w:rsid w:val="00714EE0"/>
    <w:rsid w:val="007152CF"/>
    <w:rsid w:val="007152D7"/>
    <w:rsid w:val="0071563B"/>
    <w:rsid w:val="00715648"/>
    <w:rsid w:val="00715682"/>
    <w:rsid w:val="007156AB"/>
    <w:rsid w:val="00715E93"/>
    <w:rsid w:val="0071630A"/>
    <w:rsid w:val="0071656F"/>
    <w:rsid w:val="007165CD"/>
    <w:rsid w:val="0071662B"/>
    <w:rsid w:val="0071697C"/>
    <w:rsid w:val="007169E2"/>
    <w:rsid w:val="00716C62"/>
    <w:rsid w:val="00716DB3"/>
    <w:rsid w:val="007171A3"/>
    <w:rsid w:val="007174AF"/>
    <w:rsid w:val="00717590"/>
    <w:rsid w:val="0071771C"/>
    <w:rsid w:val="007178E3"/>
    <w:rsid w:val="00717BD1"/>
    <w:rsid w:val="00717C39"/>
    <w:rsid w:val="00717CE0"/>
    <w:rsid w:val="00717EDC"/>
    <w:rsid w:val="00717FBF"/>
    <w:rsid w:val="007200A5"/>
    <w:rsid w:val="007202F6"/>
    <w:rsid w:val="007203B4"/>
    <w:rsid w:val="00720882"/>
    <w:rsid w:val="007208C3"/>
    <w:rsid w:val="00720B25"/>
    <w:rsid w:val="007211FC"/>
    <w:rsid w:val="0072129D"/>
    <w:rsid w:val="00721558"/>
    <w:rsid w:val="00721583"/>
    <w:rsid w:val="007216CD"/>
    <w:rsid w:val="00721759"/>
    <w:rsid w:val="00721BB6"/>
    <w:rsid w:val="00721E80"/>
    <w:rsid w:val="0072201D"/>
    <w:rsid w:val="007221EE"/>
    <w:rsid w:val="007223C6"/>
    <w:rsid w:val="007224E7"/>
    <w:rsid w:val="007225C6"/>
    <w:rsid w:val="007225D7"/>
    <w:rsid w:val="00722E43"/>
    <w:rsid w:val="007236BB"/>
    <w:rsid w:val="00723780"/>
    <w:rsid w:val="007237EB"/>
    <w:rsid w:val="00723893"/>
    <w:rsid w:val="00723BFD"/>
    <w:rsid w:val="00723D30"/>
    <w:rsid w:val="00723E1C"/>
    <w:rsid w:val="00724063"/>
    <w:rsid w:val="00724149"/>
    <w:rsid w:val="00724230"/>
    <w:rsid w:val="007244BE"/>
    <w:rsid w:val="007247A5"/>
    <w:rsid w:val="007249F3"/>
    <w:rsid w:val="00724A7D"/>
    <w:rsid w:val="00724A8F"/>
    <w:rsid w:val="00724FC2"/>
    <w:rsid w:val="00725997"/>
    <w:rsid w:val="0072599D"/>
    <w:rsid w:val="00725B50"/>
    <w:rsid w:val="00725BAD"/>
    <w:rsid w:val="00725CD8"/>
    <w:rsid w:val="00726045"/>
    <w:rsid w:val="00726095"/>
    <w:rsid w:val="0072612B"/>
    <w:rsid w:val="00726270"/>
    <w:rsid w:val="0072627B"/>
    <w:rsid w:val="00726361"/>
    <w:rsid w:val="007263FE"/>
    <w:rsid w:val="00726458"/>
    <w:rsid w:val="0072651B"/>
    <w:rsid w:val="007266A5"/>
    <w:rsid w:val="007268E3"/>
    <w:rsid w:val="00726947"/>
    <w:rsid w:val="00726C9B"/>
    <w:rsid w:val="00726D40"/>
    <w:rsid w:val="00727189"/>
    <w:rsid w:val="007271DF"/>
    <w:rsid w:val="007275BB"/>
    <w:rsid w:val="007276E8"/>
    <w:rsid w:val="007279F3"/>
    <w:rsid w:val="00727D17"/>
    <w:rsid w:val="00730018"/>
    <w:rsid w:val="007303A6"/>
    <w:rsid w:val="007303AA"/>
    <w:rsid w:val="00730408"/>
    <w:rsid w:val="0073044E"/>
    <w:rsid w:val="00730661"/>
    <w:rsid w:val="00730AA3"/>
    <w:rsid w:val="00730AF7"/>
    <w:rsid w:val="00730B77"/>
    <w:rsid w:val="00730B7F"/>
    <w:rsid w:val="00730C79"/>
    <w:rsid w:val="00730CE7"/>
    <w:rsid w:val="00730D55"/>
    <w:rsid w:val="00730D9B"/>
    <w:rsid w:val="00730DC3"/>
    <w:rsid w:val="0073115C"/>
    <w:rsid w:val="007311B1"/>
    <w:rsid w:val="00731498"/>
    <w:rsid w:val="0073198B"/>
    <w:rsid w:val="007319C4"/>
    <w:rsid w:val="00731B81"/>
    <w:rsid w:val="00731F25"/>
    <w:rsid w:val="007326C8"/>
    <w:rsid w:val="007326D7"/>
    <w:rsid w:val="0073281C"/>
    <w:rsid w:val="007328C4"/>
    <w:rsid w:val="00732977"/>
    <w:rsid w:val="00732BF0"/>
    <w:rsid w:val="0073325D"/>
    <w:rsid w:val="00733399"/>
    <w:rsid w:val="007333AB"/>
    <w:rsid w:val="007333DD"/>
    <w:rsid w:val="00733488"/>
    <w:rsid w:val="00733D7C"/>
    <w:rsid w:val="00733E36"/>
    <w:rsid w:val="00733EB6"/>
    <w:rsid w:val="00733FC3"/>
    <w:rsid w:val="00734039"/>
    <w:rsid w:val="007342B9"/>
    <w:rsid w:val="007342C3"/>
    <w:rsid w:val="00734475"/>
    <w:rsid w:val="007344D7"/>
    <w:rsid w:val="007346A4"/>
    <w:rsid w:val="00734779"/>
    <w:rsid w:val="007348DC"/>
    <w:rsid w:val="00734B36"/>
    <w:rsid w:val="00734D64"/>
    <w:rsid w:val="00734E44"/>
    <w:rsid w:val="00734F58"/>
    <w:rsid w:val="00734F63"/>
    <w:rsid w:val="00735132"/>
    <w:rsid w:val="00735333"/>
    <w:rsid w:val="007353CD"/>
    <w:rsid w:val="00735410"/>
    <w:rsid w:val="0073560D"/>
    <w:rsid w:val="00735617"/>
    <w:rsid w:val="00735746"/>
    <w:rsid w:val="00735933"/>
    <w:rsid w:val="00735C92"/>
    <w:rsid w:val="00735D67"/>
    <w:rsid w:val="00735EA9"/>
    <w:rsid w:val="007360FF"/>
    <w:rsid w:val="0073624F"/>
    <w:rsid w:val="00736307"/>
    <w:rsid w:val="00736489"/>
    <w:rsid w:val="007366C2"/>
    <w:rsid w:val="00736F20"/>
    <w:rsid w:val="00737053"/>
    <w:rsid w:val="007370C2"/>
    <w:rsid w:val="007372A2"/>
    <w:rsid w:val="007373D6"/>
    <w:rsid w:val="0073775B"/>
    <w:rsid w:val="0073783B"/>
    <w:rsid w:val="00737893"/>
    <w:rsid w:val="007379E0"/>
    <w:rsid w:val="00737B5A"/>
    <w:rsid w:val="00737CC4"/>
    <w:rsid w:val="007400CE"/>
    <w:rsid w:val="00740226"/>
    <w:rsid w:val="007405D8"/>
    <w:rsid w:val="00740A54"/>
    <w:rsid w:val="00740BB2"/>
    <w:rsid w:val="00740F58"/>
    <w:rsid w:val="00740FB8"/>
    <w:rsid w:val="0074103E"/>
    <w:rsid w:val="00741172"/>
    <w:rsid w:val="007411E7"/>
    <w:rsid w:val="0074156E"/>
    <w:rsid w:val="00741684"/>
    <w:rsid w:val="00741851"/>
    <w:rsid w:val="00741939"/>
    <w:rsid w:val="00741B0A"/>
    <w:rsid w:val="00741F12"/>
    <w:rsid w:val="00741F8C"/>
    <w:rsid w:val="0074204A"/>
    <w:rsid w:val="00742203"/>
    <w:rsid w:val="00742209"/>
    <w:rsid w:val="007422C9"/>
    <w:rsid w:val="007422DA"/>
    <w:rsid w:val="007423F6"/>
    <w:rsid w:val="00742598"/>
    <w:rsid w:val="0074268F"/>
    <w:rsid w:val="00742760"/>
    <w:rsid w:val="00742763"/>
    <w:rsid w:val="00742AD8"/>
    <w:rsid w:val="00742C96"/>
    <w:rsid w:val="00742D82"/>
    <w:rsid w:val="00742DE9"/>
    <w:rsid w:val="00742DF2"/>
    <w:rsid w:val="00742F1E"/>
    <w:rsid w:val="0074301F"/>
    <w:rsid w:val="00743792"/>
    <w:rsid w:val="007437D1"/>
    <w:rsid w:val="0074382B"/>
    <w:rsid w:val="007439D0"/>
    <w:rsid w:val="007439F7"/>
    <w:rsid w:val="00743A7E"/>
    <w:rsid w:val="00743C73"/>
    <w:rsid w:val="00743EF4"/>
    <w:rsid w:val="00743EFC"/>
    <w:rsid w:val="0074406E"/>
    <w:rsid w:val="00744140"/>
    <w:rsid w:val="007443ED"/>
    <w:rsid w:val="0074451E"/>
    <w:rsid w:val="00744740"/>
    <w:rsid w:val="0074525E"/>
    <w:rsid w:val="007453B2"/>
    <w:rsid w:val="007453E9"/>
    <w:rsid w:val="0074547E"/>
    <w:rsid w:val="007454A7"/>
    <w:rsid w:val="00745719"/>
    <w:rsid w:val="00745B7A"/>
    <w:rsid w:val="00745CD2"/>
    <w:rsid w:val="00745EAB"/>
    <w:rsid w:val="00745F22"/>
    <w:rsid w:val="00745FD8"/>
    <w:rsid w:val="0074627F"/>
    <w:rsid w:val="0074640A"/>
    <w:rsid w:val="007465D4"/>
    <w:rsid w:val="00746A41"/>
    <w:rsid w:val="00746F96"/>
    <w:rsid w:val="00747011"/>
    <w:rsid w:val="007471BF"/>
    <w:rsid w:val="007472DC"/>
    <w:rsid w:val="00747365"/>
    <w:rsid w:val="00747846"/>
    <w:rsid w:val="00747847"/>
    <w:rsid w:val="00747B95"/>
    <w:rsid w:val="00747E12"/>
    <w:rsid w:val="00747EBB"/>
    <w:rsid w:val="00747F58"/>
    <w:rsid w:val="00747F91"/>
    <w:rsid w:val="00750026"/>
    <w:rsid w:val="0075007F"/>
    <w:rsid w:val="00750243"/>
    <w:rsid w:val="00750276"/>
    <w:rsid w:val="0075028A"/>
    <w:rsid w:val="007504CA"/>
    <w:rsid w:val="0075081B"/>
    <w:rsid w:val="00750A38"/>
    <w:rsid w:val="00750AFA"/>
    <w:rsid w:val="00750BBC"/>
    <w:rsid w:val="00750C10"/>
    <w:rsid w:val="00750E88"/>
    <w:rsid w:val="00750EDE"/>
    <w:rsid w:val="00750EE6"/>
    <w:rsid w:val="00750FD5"/>
    <w:rsid w:val="00750FFB"/>
    <w:rsid w:val="007511AD"/>
    <w:rsid w:val="00751282"/>
    <w:rsid w:val="0075152A"/>
    <w:rsid w:val="00751578"/>
    <w:rsid w:val="007515B7"/>
    <w:rsid w:val="0075170B"/>
    <w:rsid w:val="00751992"/>
    <w:rsid w:val="00751D48"/>
    <w:rsid w:val="00751DCE"/>
    <w:rsid w:val="00752163"/>
    <w:rsid w:val="00752282"/>
    <w:rsid w:val="0075233C"/>
    <w:rsid w:val="00752842"/>
    <w:rsid w:val="0075293D"/>
    <w:rsid w:val="00752AA5"/>
    <w:rsid w:val="00752B1E"/>
    <w:rsid w:val="00752BF9"/>
    <w:rsid w:val="00753267"/>
    <w:rsid w:val="007537E7"/>
    <w:rsid w:val="007538A9"/>
    <w:rsid w:val="00753953"/>
    <w:rsid w:val="00753B8E"/>
    <w:rsid w:val="00753EDB"/>
    <w:rsid w:val="00754099"/>
    <w:rsid w:val="00754143"/>
    <w:rsid w:val="00754247"/>
    <w:rsid w:val="007542D8"/>
    <w:rsid w:val="007547E1"/>
    <w:rsid w:val="00754900"/>
    <w:rsid w:val="00754B23"/>
    <w:rsid w:val="00754CF4"/>
    <w:rsid w:val="00754FC1"/>
    <w:rsid w:val="007550B0"/>
    <w:rsid w:val="0075515E"/>
    <w:rsid w:val="0075532B"/>
    <w:rsid w:val="0075555A"/>
    <w:rsid w:val="00755C03"/>
    <w:rsid w:val="00756000"/>
    <w:rsid w:val="0075632B"/>
    <w:rsid w:val="007564D0"/>
    <w:rsid w:val="00756514"/>
    <w:rsid w:val="007567B9"/>
    <w:rsid w:val="00756B6C"/>
    <w:rsid w:val="00756BD0"/>
    <w:rsid w:val="00756C12"/>
    <w:rsid w:val="00756E66"/>
    <w:rsid w:val="007572A2"/>
    <w:rsid w:val="007572F9"/>
    <w:rsid w:val="0075742F"/>
    <w:rsid w:val="00757510"/>
    <w:rsid w:val="0075775D"/>
    <w:rsid w:val="00757970"/>
    <w:rsid w:val="00757BA9"/>
    <w:rsid w:val="00757C71"/>
    <w:rsid w:val="00757E0E"/>
    <w:rsid w:val="00760163"/>
    <w:rsid w:val="0076026E"/>
    <w:rsid w:val="00760329"/>
    <w:rsid w:val="007603DD"/>
    <w:rsid w:val="00760699"/>
    <w:rsid w:val="00760718"/>
    <w:rsid w:val="00760BC8"/>
    <w:rsid w:val="00760C93"/>
    <w:rsid w:val="00760D07"/>
    <w:rsid w:val="00760EED"/>
    <w:rsid w:val="00761175"/>
    <w:rsid w:val="0076120F"/>
    <w:rsid w:val="007612BB"/>
    <w:rsid w:val="007612F4"/>
    <w:rsid w:val="007614B4"/>
    <w:rsid w:val="00761927"/>
    <w:rsid w:val="0076199F"/>
    <w:rsid w:val="00761A24"/>
    <w:rsid w:val="00761E56"/>
    <w:rsid w:val="00762238"/>
    <w:rsid w:val="007625D5"/>
    <w:rsid w:val="00762898"/>
    <w:rsid w:val="007628E8"/>
    <w:rsid w:val="00762EB9"/>
    <w:rsid w:val="00762F05"/>
    <w:rsid w:val="00763091"/>
    <w:rsid w:val="00763351"/>
    <w:rsid w:val="007633B5"/>
    <w:rsid w:val="00763580"/>
    <w:rsid w:val="00763790"/>
    <w:rsid w:val="00763973"/>
    <w:rsid w:val="00763FB7"/>
    <w:rsid w:val="0076410C"/>
    <w:rsid w:val="0076428F"/>
    <w:rsid w:val="00764434"/>
    <w:rsid w:val="0076475D"/>
    <w:rsid w:val="00764893"/>
    <w:rsid w:val="0076489E"/>
    <w:rsid w:val="00764AD7"/>
    <w:rsid w:val="00765095"/>
    <w:rsid w:val="00765228"/>
    <w:rsid w:val="0076532C"/>
    <w:rsid w:val="00765494"/>
    <w:rsid w:val="007657DF"/>
    <w:rsid w:val="007659AE"/>
    <w:rsid w:val="00765AC9"/>
    <w:rsid w:val="00765B16"/>
    <w:rsid w:val="00765B78"/>
    <w:rsid w:val="00765B91"/>
    <w:rsid w:val="00765CA0"/>
    <w:rsid w:val="00765D6B"/>
    <w:rsid w:val="00765E66"/>
    <w:rsid w:val="00765F58"/>
    <w:rsid w:val="00765FE3"/>
    <w:rsid w:val="0076615A"/>
    <w:rsid w:val="007665B8"/>
    <w:rsid w:val="00766DBF"/>
    <w:rsid w:val="00766FB3"/>
    <w:rsid w:val="00767002"/>
    <w:rsid w:val="007671FD"/>
    <w:rsid w:val="00767483"/>
    <w:rsid w:val="00767563"/>
    <w:rsid w:val="00767661"/>
    <w:rsid w:val="00767999"/>
    <w:rsid w:val="00767DFF"/>
    <w:rsid w:val="0077005A"/>
    <w:rsid w:val="0077006E"/>
    <w:rsid w:val="00770119"/>
    <w:rsid w:val="0077014A"/>
    <w:rsid w:val="007701EB"/>
    <w:rsid w:val="00770318"/>
    <w:rsid w:val="007704F1"/>
    <w:rsid w:val="007706A2"/>
    <w:rsid w:val="00770B43"/>
    <w:rsid w:val="00770CD8"/>
    <w:rsid w:val="00770F26"/>
    <w:rsid w:val="00771169"/>
    <w:rsid w:val="00771391"/>
    <w:rsid w:val="007713DD"/>
    <w:rsid w:val="0077147A"/>
    <w:rsid w:val="00771960"/>
    <w:rsid w:val="00771A65"/>
    <w:rsid w:val="00771D3B"/>
    <w:rsid w:val="00771D96"/>
    <w:rsid w:val="00771E6F"/>
    <w:rsid w:val="00771FC2"/>
    <w:rsid w:val="007720AB"/>
    <w:rsid w:val="00772120"/>
    <w:rsid w:val="007724F5"/>
    <w:rsid w:val="0077270F"/>
    <w:rsid w:val="0077287D"/>
    <w:rsid w:val="00772DA4"/>
    <w:rsid w:val="00772DD5"/>
    <w:rsid w:val="00772E25"/>
    <w:rsid w:val="00772F58"/>
    <w:rsid w:val="00773600"/>
    <w:rsid w:val="00773645"/>
    <w:rsid w:val="007736F6"/>
    <w:rsid w:val="00773E0D"/>
    <w:rsid w:val="00773F22"/>
    <w:rsid w:val="007742C3"/>
    <w:rsid w:val="00774488"/>
    <w:rsid w:val="007745D7"/>
    <w:rsid w:val="007746F0"/>
    <w:rsid w:val="00774890"/>
    <w:rsid w:val="00774980"/>
    <w:rsid w:val="00774988"/>
    <w:rsid w:val="00774B5F"/>
    <w:rsid w:val="00774BCD"/>
    <w:rsid w:val="00774D1A"/>
    <w:rsid w:val="00774DBD"/>
    <w:rsid w:val="00774ED4"/>
    <w:rsid w:val="007750DF"/>
    <w:rsid w:val="00775288"/>
    <w:rsid w:val="007752C5"/>
    <w:rsid w:val="007752DE"/>
    <w:rsid w:val="007754EC"/>
    <w:rsid w:val="007757C3"/>
    <w:rsid w:val="00775D2F"/>
    <w:rsid w:val="00775F94"/>
    <w:rsid w:val="007760A8"/>
    <w:rsid w:val="0077610D"/>
    <w:rsid w:val="007762F1"/>
    <w:rsid w:val="007763F1"/>
    <w:rsid w:val="007764B0"/>
    <w:rsid w:val="007765B7"/>
    <w:rsid w:val="007765DD"/>
    <w:rsid w:val="00776629"/>
    <w:rsid w:val="00776857"/>
    <w:rsid w:val="007769F1"/>
    <w:rsid w:val="00776C2C"/>
    <w:rsid w:val="00776D02"/>
    <w:rsid w:val="00776E39"/>
    <w:rsid w:val="0077701F"/>
    <w:rsid w:val="00777444"/>
    <w:rsid w:val="0077755D"/>
    <w:rsid w:val="0077757B"/>
    <w:rsid w:val="0077761A"/>
    <w:rsid w:val="00777AF2"/>
    <w:rsid w:val="00780381"/>
    <w:rsid w:val="007803C6"/>
    <w:rsid w:val="007805BD"/>
    <w:rsid w:val="00780601"/>
    <w:rsid w:val="007806A7"/>
    <w:rsid w:val="007807B1"/>
    <w:rsid w:val="007809F3"/>
    <w:rsid w:val="00780BD1"/>
    <w:rsid w:val="00780D93"/>
    <w:rsid w:val="00780FF6"/>
    <w:rsid w:val="00781047"/>
    <w:rsid w:val="0078146C"/>
    <w:rsid w:val="007817EA"/>
    <w:rsid w:val="00781951"/>
    <w:rsid w:val="00781A03"/>
    <w:rsid w:val="00781A80"/>
    <w:rsid w:val="00781C9F"/>
    <w:rsid w:val="00781D6E"/>
    <w:rsid w:val="00781E4A"/>
    <w:rsid w:val="00781EAB"/>
    <w:rsid w:val="007822E0"/>
    <w:rsid w:val="00782302"/>
    <w:rsid w:val="0078236A"/>
    <w:rsid w:val="007823EF"/>
    <w:rsid w:val="0078247C"/>
    <w:rsid w:val="007824D3"/>
    <w:rsid w:val="00782677"/>
    <w:rsid w:val="007826DB"/>
    <w:rsid w:val="00782841"/>
    <w:rsid w:val="00782B44"/>
    <w:rsid w:val="00782D16"/>
    <w:rsid w:val="00782D6F"/>
    <w:rsid w:val="00782EB1"/>
    <w:rsid w:val="00782ED1"/>
    <w:rsid w:val="007837CD"/>
    <w:rsid w:val="00783914"/>
    <w:rsid w:val="00783D1F"/>
    <w:rsid w:val="00783E5E"/>
    <w:rsid w:val="00783F18"/>
    <w:rsid w:val="007840D1"/>
    <w:rsid w:val="007840EB"/>
    <w:rsid w:val="007843FE"/>
    <w:rsid w:val="00784B24"/>
    <w:rsid w:val="00785500"/>
    <w:rsid w:val="00785A2D"/>
    <w:rsid w:val="00785C52"/>
    <w:rsid w:val="00785DDF"/>
    <w:rsid w:val="00785FF8"/>
    <w:rsid w:val="007861CB"/>
    <w:rsid w:val="00786381"/>
    <w:rsid w:val="007863F9"/>
    <w:rsid w:val="00786491"/>
    <w:rsid w:val="00786497"/>
    <w:rsid w:val="007867F0"/>
    <w:rsid w:val="00786895"/>
    <w:rsid w:val="00786C27"/>
    <w:rsid w:val="00786CA8"/>
    <w:rsid w:val="00786CF0"/>
    <w:rsid w:val="00786D5C"/>
    <w:rsid w:val="007872E2"/>
    <w:rsid w:val="007873A6"/>
    <w:rsid w:val="007873F0"/>
    <w:rsid w:val="00787521"/>
    <w:rsid w:val="00787605"/>
    <w:rsid w:val="0078767B"/>
    <w:rsid w:val="007879B1"/>
    <w:rsid w:val="00787AA9"/>
    <w:rsid w:val="00787BDB"/>
    <w:rsid w:val="007901A4"/>
    <w:rsid w:val="0079032A"/>
    <w:rsid w:val="00790574"/>
    <w:rsid w:val="007908F5"/>
    <w:rsid w:val="00790AA9"/>
    <w:rsid w:val="00790C02"/>
    <w:rsid w:val="00790EC1"/>
    <w:rsid w:val="00791184"/>
    <w:rsid w:val="00791375"/>
    <w:rsid w:val="0079176F"/>
    <w:rsid w:val="00791846"/>
    <w:rsid w:val="00791915"/>
    <w:rsid w:val="00791A55"/>
    <w:rsid w:val="00791B47"/>
    <w:rsid w:val="00791C20"/>
    <w:rsid w:val="00791C7C"/>
    <w:rsid w:val="00791C97"/>
    <w:rsid w:val="00791ED1"/>
    <w:rsid w:val="00792077"/>
    <w:rsid w:val="007922F2"/>
    <w:rsid w:val="007924FE"/>
    <w:rsid w:val="0079259F"/>
    <w:rsid w:val="0079263E"/>
    <w:rsid w:val="007926A9"/>
    <w:rsid w:val="00792900"/>
    <w:rsid w:val="00792D5B"/>
    <w:rsid w:val="00792E52"/>
    <w:rsid w:val="00792EEC"/>
    <w:rsid w:val="007932C0"/>
    <w:rsid w:val="00793821"/>
    <w:rsid w:val="00793BF9"/>
    <w:rsid w:val="00793EC1"/>
    <w:rsid w:val="00794090"/>
    <w:rsid w:val="00794348"/>
    <w:rsid w:val="00794404"/>
    <w:rsid w:val="00794462"/>
    <w:rsid w:val="0079487E"/>
    <w:rsid w:val="00794B5E"/>
    <w:rsid w:val="00794B91"/>
    <w:rsid w:val="00794BD0"/>
    <w:rsid w:val="00794CCC"/>
    <w:rsid w:val="00794F67"/>
    <w:rsid w:val="007952CD"/>
    <w:rsid w:val="00795477"/>
    <w:rsid w:val="00795A2B"/>
    <w:rsid w:val="00795D49"/>
    <w:rsid w:val="00795E29"/>
    <w:rsid w:val="00795F2C"/>
    <w:rsid w:val="00795FED"/>
    <w:rsid w:val="007962ED"/>
    <w:rsid w:val="007965C0"/>
    <w:rsid w:val="00796776"/>
    <w:rsid w:val="00796977"/>
    <w:rsid w:val="007969B4"/>
    <w:rsid w:val="00796B4A"/>
    <w:rsid w:val="00796B62"/>
    <w:rsid w:val="00796C88"/>
    <w:rsid w:val="00796D79"/>
    <w:rsid w:val="00796E57"/>
    <w:rsid w:val="007971B6"/>
    <w:rsid w:val="00797449"/>
    <w:rsid w:val="007974D2"/>
    <w:rsid w:val="0079771F"/>
    <w:rsid w:val="0079775F"/>
    <w:rsid w:val="007979ED"/>
    <w:rsid w:val="00797BDE"/>
    <w:rsid w:val="00797F18"/>
    <w:rsid w:val="007A0008"/>
    <w:rsid w:val="007A0545"/>
    <w:rsid w:val="007A070C"/>
    <w:rsid w:val="007A0716"/>
    <w:rsid w:val="007A0B7F"/>
    <w:rsid w:val="007A0DAB"/>
    <w:rsid w:val="007A0F08"/>
    <w:rsid w:val="007A10CB"/>
    <w:rsid w:val="007A11A1"/>
    <w:rsid w:val="007A11DD"/>
    <w:rsid w:val="007A1510"/>
    <w:rsid w:val="007A1546"/>
    <w:rsid w:val="007A1773"/>
    <w:rsid w:val="007A1823"/>
    <w:rsid w:val="007A1D6C"/>
    <w:rsid w:val="007A1EB4"/>
    <w:rsid w:val="007A1F3B"/>
    <w:rsid w:val="007A232C"/>
    <w:rsid w:val="007A29BA"/>
    <w:rsid w:val="007A2AE8"/>
    <w:rsid w:val="007A2F5C"/>
    <w:rsid w:val="007A373A"/>
    <w:rsid w:val="007A3996"/>
    <w:rsid w:val="007A3BCE"/>
    <w:rsid w:val="007A3F9D"/>
    <w:rsid w:val="007A4031"/>
    <w:rsid w:val="007A4070"/>
    <w:rsid w:val="007A410A"/>
    <w:rsid w:val="007A41AB"/>
    <w:rsid w:val="007A43CE"/>
    <w:rsid w:val="007A472D"/>
    <w:rsid w:val="007A47E7"/>
    <w:rsid w:val="007A47F8"/>
    <w:rsid w:val="007A4853"/>
    <w:rsid w:val="007A48CD"/>
    <w:rsid w:val="007A490C"/>
    <w:rsid w:val="007A493B"/>
    <w:rsid w:val="007A4940"/>
    <w:rsid w:val="007A4A19"/>
    <w:rsid w:val="007A4AF4"/>
    <w:rsid w:val="007A511D"/>
    <w:rsid w:val="007A512F"/>
    <w:rsid w:val="007A5643"/>
    <w:rsid w:val="007A5803"/>
    <w:rsid w:val="007A5893"/>
    <w:rsid w:val="007A5993"/>
    <w:rsid w:val="007A5A34"/>
    <w:rsid w:val="007A5A73"/>
    <w:rsid w:val="007A5A8E"/>
    <w:rsid w:val="007A5A91"/>
    <w:rsid w:val="007A5D2C"/>
    <w:rsid w:val="007A5D9E"/>
    <w:rsid w:val="007A613D"/>
    <w:rsid w:val="007A623E"/>
    <w:rsid w:val="007A6573"/>
    <w:rsid w:val="007A6CE6"/>
    <w:rsid w:val="007A6D20"/>
    <w:rsid w:val="007A6E02"/>
    <w:rsid w:val="007A6E21"/>
    <w:rsid w:val="007A7140"/>
    <w:rsid w:val="007A7359"/>
    <w:rsid w:val="007A7400"/>
    <w:rsid w:val="007A773F"/>
    <w:rsid w:val="007A79A2"/>
    <w:rsid w:val="007A7A5E"/>
    <w:rsid w:val="007A7DBE"/>
    <w:rsid w:val="007A7EE1"/>
    <w:rsid w:val="007B0102"/>
    <w:rsid w:val="007B01CA"/>
    <w:rsid w:val="007B04BA"/>
    <w:rsid w:val="007B04CC"/>
    <w:rsid w:val="007B0676"/>
    <w:rsid w:val="007B0684"/>
    <w:rsid w:val="007B077E"/>
    <w:rsid w:val="007B0880"/>
    <w:rsid w:val="007B0A29"/>
    <w:rsid w:val="007B0B6A"/>
    <w:rsid w:val="007B0DBC"/>
    <w:rsid w:val="007B0F19"/>
    <w:rsid w:val="007B1092"/>
    <w:rsid w:val="007B14BE"/>
    <w:rsid w:val="007B15C8"/>
    <w:rsid w:val="007B1811"/>
    <w:rsid w:val="007B1830"/>
    <w:rsid w:val="007B187F"/>
    <w:rsid w:val="007B1AA4"/>
    <w:rsid w:val="007B1DAE"/>
    <w:rsid w:val="007B1E20"/>
    <w:rsid w:val="007B202F"/>
    <w:rsid w:val="007B207A"/>
    <w:rsid w:val="007B231B"/>
    <w:rsid w:val="007B2845"/>
    <w:rsid w:val="007B28DD"/>
    <w:rsid w:val="007B296B"/>
    <w:rsid w:val="007B29A3"/>
    <w:rsid w:val="007B2A49"/>
    <w:rsid w:val="007B2F7D"/>
    <w:rsid w:val="007B302C"/>
    <w:rsid w:val="007B3230"/>
    <w:rsid w:val="007B3341"/>
    <w:rsid w:val="007B34B8"/>
    <w:rsid w:val="007B3AB4"/>
    <w:rsid w:val="007B3AE1"/>
    <w:rsid w:val="007B3BCE"/>
    <w:rsid w:val="007B3C45"/>
    <w:rsid w:val="007B3E22"/>
    <w:rsid w:val="007B3E93"/>
    <w:rsid w:val="007B3FFE"/>
    <w:rsid w:val="007B4074"/>
    <w:rsid w:val="007B43EE"/>
    <w:rsid w:val="007B4747"/>
    <w:rsid w:val="007B478B"/>
    <w:rsid w:val="007B492D"/>
    <w:rsid w:val="007B4F1A"/>
    <w:rsid w:val="007B5159"/>
    <w:rsid w:val="007B52CF"/>
    <w:rsid w:val="007B531B"/>
    <w:rsid w:val="007B54F2"/>
    <w:rsid w:val="007B5A21"/>
    <w:rsid w:val="007B5D0C"/>
    <w:rsid w:val="007B5F37"/>
    <w:rsid w:val="007B6021"/>
    <w:rsid w:val="007B613D"/>
    <w:rsid w:val="007B64A6"/>
    <w:rsid w:val="007B687B"/>
    <w:rsid w:val="007B68A3"/>
    <w:rsid w:val="007B69ED"/>
    <w:rsid w:val="007B6D89"/>
    <w:rsid w:val="007B6F6E"/>
    <w:rsid w:val="007B716A"/>
    <w:rsid w:val="007B7173"/>
    <w:rsid w:val="007B72D8"/>
    <w:rsid w:val="007B76A9"/>
    <w:rsid w:val="007B77D1"/>
    <w:rsid w:val="007B780C"/>
    <w:rsid w:val="007B783E"/>
    <w:rsid w:val="007B7A3D"/>
    <w:rsid w:val="007C0387"/>
    <w:rsid w:val="007C057D"/>
    <w:rsid w:val="007C0838"/>
    <w:rsid w:val="007C0842"/>
    <w:rsid w:val="007C0960"/>
    <w:rsid w:val="007C0C06"/>
    <w:rsid w:val="007C0C37"/>
    <w:rsid w:val="007C0E36"/>
    <w:rsid w:val="007C0FD0"/>
    <w:rsid w:val="007C1153"/>
    <w:rsid w:val="007C1324"/>
    <w:rsid w:val="007C1899"/>
    <w:rsid w:val="007C18BA"/>
    <w:rsid w:val="007C18CC"/>
    <w:rsid w:val="007C1C0D"/>
    <w:rsid w:val="007C1D9F"/>
    <w:rsid w:val="007C1F6A"/>
    <w:rsid w:val="007C205F"/>
    <w:rsid w:val="007C2421"/>
    <w:rsid w:val="007C26D7"/>
    <w:rsid w:val="007C28EF"/>
    <w:rsid w:val="007C2C2B"/>
    <w:rsid w:val="007C2D96"/>
    <w:rsid w:val="007C2F2D"/>
    <w:rsid w:val="007C3019"/>
    <w:rsid w:val="007C311B"/>
    <w:rsid w:val="007C3252"/>
    <w:rsid w:val="007C3597"/>
    <w:rsid w:val="007C35BB"/>
    <w:rsid w:val="007C3789"/>
    <w:rsid w:val="007C3DC6"/>
    <w:rsid w:val="007C3E47"/>
    <w:rsid w:val="007C4183"/>
    <w:rsid w:val="007C4264"/>
    <w:rsid w:val="007C456D"/>
    <w:rsid w:val="007C45E4"/>
    <w:rsid w:val="007C45F5"/>
    <w:rsid w:val="007C460B"/>
    <w:rsid w:val="007C4693"/>
    <w:rsid w:val="007C4886"/>
    <w:rsid w:val="007C4C02"/>
    <w:rsid w:val="007C4CBA"/>
    <w:rsid w:val="007C5132"/>
    <w:rsid w:val="007C52C7"/>
    <w:rsid w:val="007C5E8D"/>
    <w:rsid w:val="007C5EC4"/>
    <w:rsid w:val="007C5F8A"/>
    <w:rsid w:val="007C688C"/>
    <w:rsid w:val="007C69D9"/>
    <w:rsid w:val="007C6E09"/>
    <w:rsid w:val="007C6FF4"/>
    <w:rsid w:val="007C73E6"/>
    <w:rsid w:val="007C76A2"/>
    <w:rsid w:val="007C76D3"/>
    <w:rsid w:val="007C7821"/>
    <w:rsid w:val="007C7A77"/>
    <w:rsid w:val="007C7CA2"/>
    <w:rsid w:val="007C7E7E"/>
    <w:rsid w:val="007C7F2B"/>
    <w:rsid w:val="007D005B"/>
    <w:rsid w:val="007D0462"/>
    <w:rsid w:val="007D0508"/>
    <w:rsid w:val="007D059B"/>
    <w:rsid w:val="007D07F5"/>
    <w:rsid w:val="007D0831"/>
    <w:rsid w:val="007D0B1E"/>
    <w:rsid w:val="007D0C09"/>
    <w:rsid w:val="007D0D3E"/>
    <w:rsid w:val="007D0EAE"/>
    <w:rsid w:val="007D14DA"/>
    <w:rsid w:val="007D172D"/>
    <w:rsid w:val="007D1864"/>
    <w:rsid w:val="007D18FF"/>
    <w:rsid w:val="007D1A01"/>
    <w:rsid w:val="007D1E11"/>
    <w:rsid w:val="007D1EEF"/>
    <w:rsid w:val="007D20C8"/>
    <w:rsid w:val="007D215D"/>
    <w:rsid w:val="007D248B"/>
    <w:rsid w:val="007D26CB"/>
    <w:rsid w:val="007D285D"/>
    <w:rsid w:val="007D299F"/>
    <w:rsid w:val="007D2BD3"/>
    <w:rsid w:val="007D2D55"/>
    <w:rsid w:val="007D2EFF"/>
    <w:rsid w:val="007D2F18"/>
    <w:rsid w:val="007D2FC6"/>
    <w:rsid w:val="007D307B"/>
    <w:rsid w:val="007D3164"/>
    <w:rsid w:val="007D3328"/>
    <w:rsid w:val="007D33D2"/>
    <w:rsid w:val="007D3650"/>
    <w:rsid w:val="007D36DA"/>
    <w:rsid w:val="007D370C"/>
    <w:rsid w:val="007D37AE"/>
    <w:rsid w:val="007D4182"/>
    <w:rsid w:val="007D41C2"/>
    <w:rsid w:val="007D42CF"/>
    <w:rsid w:val="007D4354"/>
    <w:rsid w:val="007D44B7"/>
    <w:rsid w:val="007D450C"/>
    <w:rsid w:val="007D451E"/>
    <w:rsid w:val="007D4720"/>
    <w:rsid w:val="007D4931"/>
    <w:rsid w:val="007D52F2"/>
    <w:rsid w:val="007D53BB"/>
    <w:rsid w:val="007D5477"/>
    <w:rsid w:val="007D5628"/>
    <w:rsid w:val="007D5E55"/>
    <w:rsid w:val="007D6026"/>
    <w:rsid w:val="007D60F0"/>
    <w:rsid w:val="007D63B1"/>
    <w:rsid w:val="007D6555"/>
    <w:rsid w:val="007D689E"/>
    <w:rsid w:val="007D690A"/>
    <w:rsid w:val="007D6C07"/>
    <w:rsid w:val="007D6C34"/>
    <w:rsid w:val="007D6E5F"/>
    <w:rsid w:val="007D6EA7"/>
    <w:rsid w:val="007D6EC3"/>
    <w:rsid w:val="007D7317"/>
    <w:rsid w:val="007D7425"/>
    <w:rsid w:val="007D7536"/>
    <w:rsid w:val="007D799B"/>
    <w:rsid w:val="007D7B9A"/>
    <w:rsid w:val="007D7C44"/>
    <w:rsid w:val="007D7D84"/>
    <w:rsid w:val="007E0154"/>
    <w:rsid w:val="007E087A"/>
    <w:rsid w:val="007E0A6B"/>
    <w:rsid w:val="007E0B04"/>
    <w:rsid w:val="007E0FAE"/>
    <w:rsid w:val="007E112E"/>
    <w:rsid w:val="007E1480"/>
    <w:rsid w:val="007E154A"/>
    <w:rsid w:val="007E1665"/>
    <w:rsid w:val="007E1666"/>
    <w:rsid w:val="007E171F"/>
    <w:rsid w:val="007E174F"/>
    <w:rsid w:val="007E186C"/>
    <w:rsid w:val="007E1A6A"/>
    <w:rsid w:val="007E1AD5"/>
    <w:rsid w:val="007E1D27"/>
    <w:rsid w:val="007E225A"/>
    <w:rsid w:val="007E2442"/>
    <w:rsid w:val="007E24EF"/>
    <w:rsid w:val="007E24F1"/>
    <w:rsid w:val="007E2624"/>
    <w:rsid w:val="007E2844"/>
    <w:rsid w:val="007E28D3"/>
    <w:rsid w:val="007E2B99"/>
    <w:rsid w:val="007E2CE8"/>
    <w:rsid w:val="007E2D3F"/>
    <w:rsid w:val="007E2EDA"/>
    <w:rsid w:val="007E2EF0"/>
    <w:rsid w:val="007E3075"/>
    <w:rsid w:val="007E34D1"/>
    <w:rsid w:val="007E3D6D"/>
    <w:rsid w:val="007E414E"/>
    <w:rsid w:val="007E41EA"/>
    <w:rsid w:val="007E4351"/>
    <w:rsid w:val="007E44A0"/>
    <w:rsid w:val="007E44B2"/>
    <w:rsid w:val="007E4909"/>
    <w:rsid w:val="007E4C41"/>
    <w:rsid w:val="007E4D87"/>
    <w:rsid w:val="007E4EDF"/>
    <w:rsid w:val="007E4F72"/>
    <w:rsid w:val="007E5330"/>
    <w:rsid w:val="007E56E8"/>
    <w:rsid w:val="007E5AAC"/>
    <w:rsid w:val="007E5DEF"/>
    <w:rsid w:val="007E6079"/>
    <w:rsid w:val="007E60AF"/>
    <w:rsid w:val="007E61F3"/>
    <w:rsid w:val="007E6653"/>
    <w:rsid w:val="007E689A"/>
    <w:rsid w:val="007E692F"/>
    <w:rsid w:val="007E6986"/>
    <w:rsid w:val="007E6B9E"/>
    <w:rsid w:val="007E6BA8"/>
    <w:rsid w:val="007E6C50"/>
    <w:rsid w:val="007E6CD9"/>
    <w:rsid w:val="007E6E4E"/>
    <w:rsid w:val="007E6E86"/>
    <w:rsid w:val="007E700A"/>
    <w:rsid w:val="007E70CF"/>
    <w:rsid w:val="007E7738"/>
    <w:rsid w:val="007E7EBD"/>
    <w:rsid w:val="007F0136"/>
    <w:rsid w:val="007F0198"/>
    <w:rsid w:val="007F02CB"/>
    <w:rsid w:val="007F0698"/>
    <w:rsid w:val="007F0741"/>
    <w:rsid w:val="007F0B22"/>
    <w:rsid w:val="007F0B42"/>
    <w:rsid w:val="007F0D2B"/>
    <w:rsid w:val="007F0EC3"/>
    <w:rsid w:val="007F0F5A"/>
    <w:rsid w:val="007F0FA6"/>
    <w:rsid w:val="007F1142"/>
    <w:rsid w:val="007F1312"/>
    <w:rsid w:val="007F14C7"/>
    <w:rsid w:val="007F194E"/>
    <w:rsid w:val="007F1E58"/>
    <w:rsid w:val="007F209B"/>
    <w:rsid w:val="007F21A3"/>
    <w:rsid w:val="007F2262"/>
    <w:rsid w:val="007F2272"/>
    <w:rsid w:val="007F27EA"/>
    <w:rsid w:val="007F2840"/>
    <w:rsid w:val="007F291C"/>
    <w:rsid w:val="007F2B38"/>
    <w:rsid w:val="007F2BBE"/>
    <w:rsid w:val="007F3125"/>
    <w:rsid w:val="007F313C"/>
    <w:rsid w:val="007F323F"/>
    <w:rsid w:val="007F33BD"/>
    <w:rsid w:val="007F342E"/>
    <w:rsid w:val="007F3622"/>
    <w:rsid w:val="007F376B"/>
    <w:rsid w:val="007F3813"/>
    <w:rsid w:val="007F3828"/>
    <w:rsid w:val="007F3A4E"/>
    <w:rsid w:val="007F3BC7"/>
    <w:rsid w:val="007F3E73"/>
    <w:rsid w:val="007F3EFE"/>
    <w:rsid w:val="007F3FD9"/>
    <w:rsid w:val="007F4084"/>
    <w:rsid w:val="007F40B4"/>
    <w:rsid w:val="007F4287"/>
    <w:rsid w:val="007F42E8"/>
    <w:rsid w:val="007F443B"/>
    <w:rsid w:val="007F4622"/>
    <w:rsid w:val="007F4641"/>
    <w:rsid w:val="007F4805"/>
    <w:rsid w:val="007F48F6"/>
    <w:rsid w:val="007F4AF4"/>
    <w:rsid w:val="007F4D95"/>
    <w:rsid w:val="007F4DD6"/>
    <w:rsid w:val="007F4E16"/>
    <w:rsid w:val="007F4EA6"/>
    <w:rsid w:val="007F4FC8"/>
    <w:rsid w:val="007F509A"/>
    <w:rsid w:val="007F529F"/>
    <w:rsid w:val="007F54DA"/>
    <w:rsid w:val="007F555B"/>
    <w:rsid w:val="007F565F"/>
    <w:rsid w:val="007F56D4"/>
    <w:rsid w:val="007F5711"/>
    <w:rsid w:val="007F577B"/>
    <w:rsid w:val="007F580E"/>
    <w:rsid w:val="007F5816"/>
    <w:rsid w:val="007F5955"/>
    <w:rsid w:val="007F5CB9"/>
    <w:rsid w:val="007F5D75"/>
    <w:rsid w:val="007F64DE"/>
    <w:rsid w:val="007F65E1"/>
    <w:rsid w:val="007F67E9"/>
    <w:rsid w:val="007F69B8"/>
    <w:rsid w:val="007F6CB8"/>
    <w:rsid w:val="007F6D55"/>
    <w:rsid w:val="007F70B9"/>
    <w:rsid w:val="007F7291"/>
    <w:rsid w:val="007F75A5"/>
    <w:rsid w:val="007F7660"/>
    <w:rsid w:val="007F77E7"/>
    <w:rsid w:val="007F7A39"/>
    <w:rsid w:val="007F7CF0"/>
    <w:rsid w:val="007F7E89"/>
    <w:rsid w:val="0080021E"/>
    <w:rsid w:val="00800242"/>
    <w:rsid w:val="008005CD"/>
    <w:rsid w:val="00800627"/>
    <w:rsid w:val="008007B7"/>
    <w:rsid w:val="008007F6"/>
    <w:rsid w:val="00800890"/>
    <w:rsid w:val="00800919"/>
    <w:rsid w:val="00800BF0"/>
    <w:rsid w:val="00800F1F"/>
    <w:rsid w:val="00800FFA"/>
    <w:rsid w:val="0080111B"/>
    <w:rsid w:val="008011E6"/>
    <w:rsid w:val="0080147D"/>
    <w:rsid w:val="008014FB"/>
    <w:rsid w:val="00801637"/>
    <w:rsid w:val="0080185D"/>
    <w:rsid w:val="00801A82"/>
    <w:rsid w:val="00801BB2"/>
    <w:rsid w:val="00801C2E"/>
    <w:rsid w:val="00801C6D"/>
    <w:rsid w:val="00801C8B"/>
    <w:rsid w:val="00801C96"/>
    <w:rsid w:val="00801EF3"/>
    <w:rsid w:val="008020CA"/>
    <w:rsid w:val="008020DF"/>
    <w:rsid w:val="00802239"/>
    <w:rsid w:val="00802349"/>
    <w:rsid w:val="00802528"/>
    <w:rsid w:val="00802F48"/>
    <w:rsid w:val="00802FF6"/>
    <w:rsid w:val="0080307C"/>
    <w:rsid w:val="0080310A"/>
    <w:rsid w:val="00803455"/>
    <w:rsid w:val="008036A6"/>
    <w:rsid w:val="008036E6"/>
    <w:rsid w:val="0080374D"/>
    <w:rsid w:val="00803780"/>
    <w:rsid w:val="00803A13"/>
    <w:rsid w:val="00803A4A"/>
    <w:rsid w:val="00803B81"/>
    <w:rsid w:val="00803C22"/>
    <w:rsid w:val="00803CA0"/>
    <w:rsid w:val="00803FEA"/>
    <w:rsid w:val="0080404B"/>
    <w:rsid w:val="00804576"/>
    <w:rsid w:val="0080463B"/>
    <w:rsid w:val="0080472D"/>
    <w:rsid w:val="00804E2E"/>
    <w:rsid w:val="00804F24"/>
    <w:rsid w:val="00805476"/>
    <w:rsid w:val="00805671"/>
    <w:rsid w:val="00805769"/>
    <w:rsid w:val="00805B23"/>
    <w:rsid w:val="00805EDA"/>
    <w:rsid w:val="008061DC"/>
    <w:rsid w:val="00806289"/>
    <w:rsid w:val="00806401"/>
    <w:rsid w:val="00806528"/>
    <w:rsid w:val="008065F9"/>
    <w:rsid w:val="0080660E"/>
    <w:rsid w:val="00806D31"/>
    <w:rsid w:val="00806D41"/>
    <w:rsid w:val="00806D53"/>
    <w:rsid w:val="00807577"/>
    <w:rsid w:val="008075F9"/>
    <w:rsid w:val="008076DA"/>
    <w:rsid w:val="0080796C"/>
    <w:rsid w:val="00807CEF"/>
    <w:rsid w:val="00807D38"/>
    <w:rsid w:val="00807DE1"/>
    <w:rsid w:val="00810B27"/>
    <w:rsid w:val="00811202"/>
    <w:rsid w:val="008114D0"/>
    <w:rsid w:val="0081171D"/>
    <w:rsid w:val="0081188E"/>
    <w:rsid w:val="00811CBD"/>
    <w:rsid w:val="00812879"/>
    <w:rsid w:val="008128DA"/>
    <w:rsid w:val="00812E5E"/>
    <w:rsid w:val="00813093"/>
    <w:rsid w:val="00813780"/>
    <w:rsid w:val="008137D5"/>
    <w:rsid w:val="00813A5E"/>
    <w:rsid w:val="00813A6B"/>
    <w:rsid w:val="00813CA8"/>
    <w:rsid w:val="00813D4E"/>
    <w:rsid w:val="00813DD4"/>
    <w:rsid w:val="00813E1A"/>
    <w:rsid w:val="008143DC"/>
    <w:rsid w:val="008146C1"/>
    <w:rsid w:val="0081474C"/>
    <w:rsid w:val="00814884"/>
    <w:rsid w:val="00814C2F"/>
    <w:rsid w:val="00814DAE"/>
    <w:rsid w:val="00815300"/>
    <w:rsid w:val="0081537D"/>
    <w:rsid w:val="00815503"/>
    <w:rsid w:val="008156A8"/>
    <w:rsid w:val="0081574C"/>
    <w:rsid w:val="00815C71"/>
    <w:rsid w:val="00816231"/>
    <w:rsid w:val="00816364"/>
    <w:rsid w:val="00816BD4"/>
    <w:rsid w:val="00816CC1"/>
    <w:rsid w:val="00816DBE"/>
    <w:rsid w:val="00816DC3"/>
    <w:rsid w:val="00816DC6"/>
    <w:rsid w:val="00817164"/>
    <w:rsid w:val="008171E4"/>
    <w:rsid w:val="0081728D"/>
    <w:rsid w:val="00817459"/>
    <w:rsid w:val="008174AC"/>
    <w:rsid w:val="00817584"/>
    <w:rsid w:val="00817638"/>
    <w:rsid w:val="00817668"/>
    <w:rsid w:val="00817747"/>
    <w:rsid w:val="00817A7E"/>
    <w:rsid w:val="00817BEF"/>
    <w:rsid w:val="00817FD7"/>
    <w:rsid w:val="0082009A"/>
    <w:rsid w:val="008203BC"/>
    <w:rsid w:val="0082042D"/>
    <w:rsid w:val="008204B7"/>
    <w:rsid w:val="0082078A"/>
    <w:rsid w:val="00820992"/>
    <w:rsid w:val="008209C4"/>
    <w:rsid w:val="00820AD2"/>
    <w:rsid w:val="00820C3E"/>
    <w:rsid w:val="00820EE5"/>
    <w:rsid w:val="00820EF3"/>
    <w:rsid w:val="00821317"/>
    <w:rsid w:val="008219CF"/>
    <w:rsid w:val="00821DA9"/>
    <w:rsid w:val="008223E1"/>
    <w:rsid w:val="00822620"/>
    <w:rsid w:val="00822925"/>
    <w:rsid w:val="00822C47"/>
    <w:rsid w:val="00822D97"/>
    <w:rsid w:val="00822FE8"/>
    <w:rsid w:val="00823215"/>
    <w:rsid w:val="00823291"/>
    <w:rsid w:val="00823385"/>
    <w:rsid w:val="008233A2"/>
    <w:rsid w:val="0082369A"/>
    <w:rsid w:val="00823B51"/>
    <w:rsid w:val="00823C00"/>
    <w:rsid w:val="00823E46"/>
    <w:rsid w:val="00824394"/>
    <w:rsid w:val="00824914"/>
    <w:rsid w:val="0082494D"/>
    <w:rsid w:val="00824A85"/>
    <w:rsid w:val="00824AE7"/>
    <w:rsid w:val="00824B50"/>
    <w:rsid w:val="00824C53"/>
    <w:rsid w:val="00824C8E"/>
    <w:rsid w:val="00824DC3"/>
    <w:rsid w:val="00824ED6"/>
    <w:rsid w:val="00825156"/>
    <w:rsid w:val="008252C6"/>
    <w:rsid w:val="008254AB"/>
    <w:rsid w:val="0082553C"/>
    <w:rsid w:val="0082567E"/>
    <w:rsid w:val="008258E0"/>
    <w:rsid w:val="00825966"/>
    <w:rsid w:val="008259DC"/>
    <w:rsid w:val="00825D75"/>
    <w:rsid w:val="00825F77"/>
    <w:rsid w:val="00825F84"/>
    <w:rsid w:val="00825F85"/>
    <w:rsid w:val="008265F1"/>
    <w:rsid w:val="00826A49"/>
    <w:rsid w:val="00826BA4"/>
    <w:rsid w:val="00826BB0"/>
    <w:rsid w:val="00826BF1"/>
    <w:rsid w:val="00826F77"/>
    <w:rsid w:val="00826FBF"/>
    <w:rsid w:val="0082730B"/>
    <w:rsid w:val="00827395"/>
    <w:rsid w:val="0082794C"/>
    <w:rsid w:val="00827C01"/>
    <w:rsid w:val="00827D98"/>
    <w:rsid w:val="008300BF"/>
    <w:rsid w:val="0083064B"/>
    <w:rsid w:val="008308A5"/>
    <w:rsid w:val="00830B7F"/>
    <w:rsid w:val="00830DE0"/>
    <w:rsid w:val="00830EC2"/>
    <w:rsid w:val="00831163"/>
    <w:rsid w:val="008313C0"/>
    <w:rsid w:val="0083191D"/>
    <w:rsid w:val="00831930"/>
    <w:rsid w:val="00831AA6"/>
    <w:rsid w:val="00831D41"/>
    <w:rsid w:val="00831D70"/>
    <w:rsid w:val="00831E19"/>
    <w:rsid w:val="008322EC"/>
    <w:rsid w:val="00832317"/>
    <w:rsid w:val="00832495"/>
    <w:rsid w:val="0083273A"/>
    <w:rsid w:val="00832FAA"/>
    <w:rsid w:val="0083311B"/>
    <w:rsid w:val="00833326"/>
    <w:rsid w:val="008338BF"/>
    <w:rsid w:val="00833D81"/>
    <w:rsid w:val="00833E16"/>
    <w:rsid w:val="0083401F"/>
    <w:rsid w:val="00834064"/>
    <w:rsid w:val="008342F3"/>
    <w:rsid w:val="008343D0"/>
    <w:rsid w:val="0083453F"/>
    <w:rsid w:val="008346A5"/>
    <w:rsid w:val="0083481E"/>
    <w:rsid w:val="00834BD2"/>
    <w:rsid w:val="00834C46"/>
    <w:rsid w:val="00834D05"/>
    <w:rsid w:val="00834E81"/>
    <w:rsid w:val="008351E3"/>
    <w:rsid w:val="008351E4"/>
    <w:rsid w:val="008354E1"/>
    <w:rsid w:val="00835A8B"/>
    <w:rsid w:val="00835FD5"/>
    <w:rsid w:val="00835FFE"/>
    <w:rsid w:val="0083619D"/>
    <w:rsid w:val="00836388"/>
    <w:rsid w:val="008365E6"/>
    <w:rsid w:val="00836882"/>
    <w:rsid w:val="00836A89"/>
    <w:rsid w:val="00836ABA"/>
    <w:rsid w:val="00836AF8"/>
    <w:rsid w:val="00836B5F"/>
    <w:rsid w:val="00836D46"/>
    <w:rsid w:val="00836FEB"/>
    <w:rsid w:val="00837218"/>
    <w:rsid w:val="00837384"/>
    <w:rsid w:val="008374CC"/>
    <w:rsid w:val="00837556"/>
    <w:rsid w:val="00837B4A"/>
    <w:rsid w:val="00837C36"/>
    <w:rsid w:val="00837DE7"/>
    <w:rsid w:val="008400AA"/>
    <w:rsid w:val="008401AE"/>
    <w:rsid w:val="008403A4"/>
    <w:rsid w:val="00840549"/>
    <w:rsid w:val="008406A9"/>
    <w:rsid w:val="00840D29"/>
    <w:rsid w:val="00841026"/>
    <w:rsid w:val="008412ED"/>
    <w:rsid w:val="008413FC"/>
    <w:rsid w:val="00841581"/>
    <w:rsid w:val="008415FD"/>
    <w:rsid w:val="0084185B"/>
    <w:rsid w:val="0084185D"/>
    <w:rsid w:val="00841B6F"/>
    <w:rsid w:val="00841F42"/>
    <w:rsid w:val="00841F9E"/>
    <w:rsid w:val="0084251A"/>
    <w:rsid w:val="00842838"/>
    <w:rsid w:val="00842882"/>
    <w:rsid w:val="00842A54"/>
    <w:rsid w:val="00842E03"/>
    <w:rsid w:val="00843088"/>
    <w:rsid w:val="0084313A"/>
    <w:rsid w:val="00843162"/>
    <w:rsid w:val="0084317F"/>
    <w:rsid w:val="0084364C"/>
    <w:rsid w:val="008439E6"/>
    <w:rsid w:val="008439FD"/>
    <w:rsid w:val="00843A7E"/>
    <w:rsid w:val="00843B43"/>
    <w:rsid w:val="00843B51"/>
    <w:rsid w:val="00843EAA"/>
    <w:rsid w:val="00843F7A"/>
    <w:rsid w:val="0084424D"/>
    <w:rsid w:val="00844283"/>
    <w:rsid w:val="008446A9"/>
    <w:rsid w:val="0084475C"/>
    <w:rsid w:val="00844786"/>
    <w:rsid w:val="008447A7"/>
    <w:rsid w:val="00844A1E"/>
    <w:rsid w:val="00844BB4"/>
    <w:rsid w:val="00844D43"/>
    <w:rsid w:val="00844FF9"/>
    <w:rsid w:val="008454D2"/>
    <w:rsid w:val="0084555F"/>
    <w:rsid w:val="00845600"/>
    <w:rsid w:val="008457AA"/>
    <w:rsid w:val="00845DC0"/>
    <w:rsid w:val="00845DED"/>
    <w:rsid w:val="00846320"/>
    <w:rsid w:val="00846388"/>
    <w:rsid w:val="0084672A"/>
    <w:rsid w:val="008468EB"/>
    <w:rsid w:val="00846C1A"/>
    <w:rsid w:val="0084706F"/>
    <w:rsid w:val="008470AA"/>
    <w:rsid w:val="00847399"/>
    <w:rsid w:val="008473E1"/>
    <w:rsid w:val="00847480"/>
    <w:rsid w:val="0084761F"/>
    <w:rsid w:val="008476E8"/>
    <w:rsid w:val="008477E9"/>
    <w:rsid w:val="008478A7"/>
    <w:rsid w:val="00847CF6"/>
    <w:rsid w:val="00847E94"/>
    <w:rsid w:val="00847EDB"/>
    <w:rsid w:val="00850039"/>
    <w:rsid w:val="00850147"/>
    <w:rsid w:val="008501D4"/>
    <w:rsid w:val="00850804"/>
    <w:rsid w:val="008508ED"/>
    <w:rsid w:val="00850A6A"/>
    <w:rsid w:val="00850DEF"/>
    <w:rsid w:val="00851508"/>
    <w:rsid w:val="00851914"/>
    <w:rsid w:val="00851F83"/>
    <w:rsid w:val="00852179"/>
    <w:rsid w:val="00852223"/>
    <w:rsid w:val="008522D4"/>
    <w:rsid w:val="008524F8"/>
    <w:rsid w:val="00852694"/>
    <w:rsid w:val="0085274F"/>
    <w:rsid w:val="008528D4"/>
    <w:rsid w:val="00852B6A"/>
    <w:rsid w:val="00852FAF"/>
    <w:rsid w:val="008531B6"/>
    <w:rsid w:val="008531C4"/>
    <w:rsid w:val="0085347E"/>
    <w:rsid w:val="00853764"/>
    <w:rsid w:val="008537B0"/>
    <w:rsid w:val="0085388A"/>
    <w:rsid w:val="00853B4F"/>
    <w:rsid w:val="00853D62"/>
    <w:rsid w:val="00853D9E"/>
    <w:rsid w:val="00853F46"/>
    <w:rsid w:val="00854475"/>
    <w:rsid w:val="008544A4"/>
    <w:rsid w:val="008544D1"/>
    <w:rsid w:val="00854819"/>
    <w:rsid w:val="00854A12"/>
    <w:rsid w:val="00854BDB"/>
    <w:rsid w:val="00854CCA"/>
    <w:rsid w:val="00855101"/>
    <w:rsid w:val="00855A70"/>
    <w:rsid w:val="00855AA1"/>
    <w:rsid w:val="00855CEF"/>
    <w:rsid w:val="00856100"/>
    <w:rsid w:val="008562B4"/>
    <w:rsid w:val="008566D2"/>
    <w:rsid w:val="0085678E"/>
    <w:rsid w:val="008568DD"/>
    <w:rsid w:val="00856B7D"/>
    <w:rsid w:val="00856BDD"/>
    <w:rsid w:val="00856C2B"/>
    <w:rsid w:val="00856CC9"/>
    <w:rsid w:val="00856CFE"/>
    <w:rsid w:val="00856E62"/>
    <w:rsid w:val="0085724A"/>
    <w:rsid w:val="008572A3"/>
    <w:rsid w:val="00857365"/>
    <w:rsid w:val="0085753F"/>
    <w:rsid w:val="008577B6"/>
    <w:rsid w:val="008578F7"/>
    <w:rsid w:val="0085795A"/>
    <w:rsid w:val="00857BBC"/>
    <w:rsid w:val="00857BF9"/>
    <w:rsid w:val="00857CB1"/>
    <w:rsid w:val="00857D5B"/>
    <w:rsid w:val="00857F37"/>
    <w:rsid w:val="00857FA4"/>
    <w:rsid w:val="00857FD2"/>
    <w:rsid w:val="0086015B"/>
    <w:rsid w:val="00860647"/>
    <w:rsid w:val="008607AB"/>
    <w:rsid w:val="008607D1"/>
    <w:rsid w:val="008607F4"/>
    <w:rsid w:val="00860819"/>
    <w:rsid w:val="008608BD"/>
    <w:rsid w:val="00860BCB"/>
    <w:rsid w:val="00860E8D"/>
    <w:rsid w:val="0086129A"/>
    <w:rsid w:val="00861342"/>
    <w:rsid w:val="008616B4"/>
    <w:rsid w:val="008616C5"/>
    <w:rsid w:val="008619E7"/>
    <w:rsid w:val="00861AD1"/>
    <w:rsid w:val="00861B30"/>
    <w:rsid w:val="00861B80"/>
    <w:rsid w:val="00861D29"/>
    <w:rsid w:val="00861DAB"/>
    <w:rsid w:val="00861F36"/>
    <w:rsid w:val="0086257B"/>
    <w:rsid w:val="0086282F"/>
    <w:rsid w:val="008628B0"/>
    <w:rsid w:val="008629DE"/>
    <w:rsid w:val="00862DDB"/>
    <w:rsid w:val="00862DE4"/>
    <w:rsid w:val="00862F17"/>
    <w:rsid w:val="00863181"/>
    <w:rsid w:val="00863294"/>
    <w:rsid w:val="0086355C"/>
    <w:rsid w:val="0086366E"/>
    <w:rsid w:val="00863702"/>
    <w:rsid w:val="008638D1"/>
    <w:rsid w:val="0086396F"/>
    <w:rsid w:val="00863B70"/>
    <w:rsid w:val="00864093"/>
    <w:rsid w:val="008642ED"/>
    <w:rsid w:val="0086441F"/>
    <w:rsid w:val="0086442D"/>
    <w:rsid w:val="00864457"/>
    <w:rsid w:val="008644A6"/>
    <w:rsid w:val="0086484C"/>
    <w:rsid w:val="00864B19"/>
    <w:rsid w:val="00864B38"/>
    <w:rsid w:val="00864BF9"/>
    <w:rsid w:val="00864C5D"/>
    <w:rsid w:val="0086504A"/>
    <w:rsid w:val="008650B5"/>
    <w:rsid w:val="008650ED"/>
    <w:rsid w:val="0086516A"/>
    <w:rsid w:val="008651D8"/>
    <w:rsid w:val="008651E9"/>
    <w:rsid w:val="008652B3"/>
    <w:rsid w:val="008655FF"/>
    <w:rsid w:val="008656FA"/>
    <w:rsid w:val="008657E0"/>
    <w:rsid w:val="00865AE1"/>
    <w:rsid w:val="00865D09"/>
    <w:rsid w:val="0086629D"/>
    <w:rsid w:val="00866625"/>
    <w:rsid w:val="00866998"/>
    <w:rsid w:val="00866F93"/>
    <w:rsid w:val="008675C9"/>
    <w:rsid w:val="00867702"/>
    <w:rsid w:val="00867770"/>
    <w:rsid w:val="00867802"/>
    <w:rsid w:val="00867839"/>
    <w:rsid w:val="008678E0"/>
    <w:rsid w:val="0086792D"/>
    <w:rsid w:val="00867A79"/>
    <w:rsid w:val="00867D2E"/>
    <w:rsid w:val="0087006D"/>
    <w:rsid w:val="00870127"/>
    <w:rsid w:val="0087064F"/>
    <w:rsid w:val="008709E0"/>
    <w:rsid w:val="00870D5D"/>
    <w:rsid w:val="00870E64"/>
    <w:rsid w:val="008710BB"/>
    <w:rsid w:val="00871596"/>
    <w:rsid w:val="008715C6"/>
    <w:rsid w:val="008717C0"/>
    <w:rsid w:val="008718C2"/>
    <w:rsid w:val="00871D57"/>
    <w:rsid w:val="0087219C"/>
    <w:rsid w:val="008722E3"/>
    <w:rsid w:val="008723D0"/>
    <w:rsid w:val="0087247A"/>
    <w:rsid w:val="008724D0"/>
    <w:rsid w:val="0087251F"/>
    <w:rsid w:val="008729BD"/>
    <w:rsid w:val="008729F8"/>
    <w:rsid w:val="00872B69"/>
    <w:rsid w:val="00872C99"/>
    <w:rsid w:val="00872D74"/>
    <w:rsid w:val="00872DCA"/>
    <w:rsid w:val="00872EAE"/>
    <w:rsid w:val="0087314B"/>
    <w:rsid w:val="008731C6"/>
    <w:rsid w:val="00873750"/>
    <w:rsid w:val="0087387C"/>
    <w:rsid w:val="00873F57"/>
    <w:rsid w:val="008742A7"/>
    <w:rsid w:val="00874C55"/>
    <w:rsid w:val="0087508E"/>
    <w:rsid w:val="008753D6"/>
    <w:rsid w:val="00875AF8"/>
    <w:rsid w:val="00875D1F"/>
    <w:rsid w:val="00875DA4"/>
    <w:rsid w:val="008761BB"/>
    <w:rsid w:val="00876220"/>
    <w:rsid w:val="008762D5"/>
    <w:rsid w:val="008763DF"/>
    <w:rsid w:val="008763EE"/>
    <w:rsid w:val="00876619"/>
    <w:rsid w:val="008767EB"/>
    <w:rsid w:val="00876900"/>
    <w:rsid w:val="0087698F"/>
    <w:rsid w:val="00876AC0"/>
    <w:rsid w:val="00876BD2"/>
    <w:rsid w:val="00876F75"/>
    <w:rsid w:val="00876FF5"/>
    <w:rsid w:val="00877347"/>
    <w:rsid w:val="00877568"/>
    <w:rsid w:val="008775D1"/>
    <w:rsid w:val="00877DB8"/>
    <w:rsid w:val="00877F9F"/>
    <w:rsid w:val="008801FB"/>
    <w:rsid w:val="00880370"/>
    <w:rsid w:val="00880858"/>
    <w:rsid w:val="00880FA2"/>
    <w:rsid w:val="008813CE"/>
    <w:rsid w:val="008816F8"/>
    <w:rsid w:val="008816FA"/>
    <w:rsid w:val="00881724"/>
    <w:rsid w:val="00881A80"/>
    <w:rsid w:val="00881E2C"/>
    <w:rsid w:val="00881E8E"/>
    <w:rsid w:val="00881E8F"/>
    <w:rsid w:val="008820EA"/>
    <w:rsid w:val="008820F3"/>
    <w:rsid w:val="00882189"/>
    <w:rsid w:val="0088225C"/>
    <w:rsid w:val="0088229D"/>
    <w:rsid w:val="00882600"/>
    <w:rsid w:val="00882973"/>
    <w:rsid w:val="00882A91"/>
    <w:rsid w:val="00882D01"/>
    <w:rsid w:val="00882D20"/>
    <w:rsid w:val="0088351B"/>
    <w:rsid w:val="00883826"/>
    <w:rsid w:val="008839B8"/>
    <w:rsid w:val="00883A90"/>
    <w:rsid w:val="00883D9D"/>
    <w:rsid w:val="00884306"/>
    <w:rsid w:val="0088464F"/>
    <w:rsid w:val="0088488F"/>
    <w:rsid w:val="00884943"/>
    <w:rsid w:val="00884A51"/>
    <w:rsid w:val="00884DDC"/>
    <w:rsid w:val="00884EBE"/>
    <w:rsid w:val="0088508C"/>
    <w:rsid w:val="00885167"/>
    <w:rsid w:val="00885199"/>
    <w:rsid w:val="00885253"/>
    <w:rsid w:val="008852C5"/>
    <w:rsid w:val="008853CA"/>
    <w:rsid w:val="008856EE"/>
    <w:rsid w:val="008857D6"/>
    <w:rsid w:val="008857F3"/>
    <w:rsid w:val="00885EB8"/>
    <w:rsid w:val="00886068"/>
    <w:rsid w:val="00886335"/>
    <w:rsid w:val="00886387"/>
    <w:rsid w:val="00886551"/>
    <w:rsid w:val="00886597"/>
    <w:rsid w:val="008865EE"/>
    <w:rsid w:val="008868A8"/>
    <w:rsid w:val="00886AE3"/>
    <w:rsid w:val="00886B79"/>
    <w:rsid w:val="00886C75"/>
    <w:rsid w:val="00886CB1"/>
    <w:rsid w:val="00886CBB"/>
    <w:rsid w:val="00886DDB"/>
    <w:rsid w:val="00886E52"/>
    <w:rsid w:val="00886EDF"/>
    <w:rsid w:val="008871AB"/>
    <w:rsid w:val="008871D3"/>
    <w:rsid w:val="00887546"/>
    <w:rsid w:val="0088779A"/>
    <w:rsid w:val="008877E3"/>
    <w:rsid w:val="00887B9A"/>
    <w:rsid w:val="00887FAC"/>
    <w:rsid w:val="008901EC"/>
    <w:rsid w:val="00890398"/>
    <w:rsid w:val="008903CE"/>
    <w:rsid w:val="0089041F"/>
    <w:rsid w:val="00890696"/>
    <w:rsid w:val="008906C5"/>
    <w:rsid w:val="0089079B"/>
    <w:rsid w:val="00890966"/>
    <w:rsid w:val="00890A50"/>
    <w:rsid w:val="00890A67"/>
    <w:rsid w:val="00890C43"/>
    <w:rsid w:val="00890E62"/>
    <w:rsid w:val="008916E8"/>
    <w:rsid w:val="00891999"/>
    <w:rsid w:val="00891E78"/>
    <w:rsid w:val="008921A7"/>
    <w:rsid w:val="00892688"/>
    <w:rsid w:val="00892834"/>
    <w:rsid w:val="00892DE6"/>
    <w:rsid w:val="00893753"/>
    <w:rsid w:val="0089389B"/>
    <w:rsid w:val="008939C3"/>
    <w:rsid w:val="00893CC7"/>
    <w:rsid w:val="00893CD4"/>
    <w:rsid w:val="00893CF0"/>
    <w:rsid w:val="00893F11"/>
    <w:rsid w:val="008940CC"/>
    <w:rsid w:val="00894142"/>
    <w:rsid w:val="00894559"/>
    <w:rsid w:val="00894636"/>
    <w:rsid w:val="0089466E"/>
    <w:rsid w:val="00894711"/>
    <w:rsid w:val="00894B2A"/>
    <w:rsid w:val="00894BA1"/>
    <w:rsid w:val="00894BF5"/>
    <w:rsid w:val="00894C96"/>
    <w:rsid w:val="00894F07"/>
    <w:rsid w:val="00895219"/>
    <w:rsid w:val="00895297"/>
    <w:rsid w:val="0089536E"/>
    <w:rsid w:val="0089565C"/>
    <w:rsid w:val="00895694"/>
    <w:rsid w:val="008956A5"/>
    <w:rsid w:val="0089588A"/>
    <w:rsid w:val="00895BFA"/>
    <w:rsid w:val="00896032"/>
    <w:rsid w:val="00896041"/>
    <w:rsid w:val="0089605D"/>
    <w:rsid w:val="0089626C"/>
    <w:rsid w:val="0089629D"/>
    <w:rsid w:val="008962C2"/>
    <w:rsid w:val="0089647F"/>
    <w:rsid w:val="00896812"/>
    <w:rsid w:val="00896A70"/>
    <w:rsid w:val="00896BAF"/>
    <w:rsid w:val="00896E28"/>
    <w:rsid w:val="0089704D"/>
    <w:rsid w:val="00897154"/>
    <w:rsid w:val="008976E8"/>
    <w:rsid w:val="0089774D"/>
    <w:rsid w:val="00897B50"/>
    <w:rsid w:val="00897F19"/>
    <w:rsid w:val="008A07B2"/>
    <w:rsid w:val="008A082F"/>
    <w:rsid w:val="008A0A0B"/>
    <w:rsid w:val="008A0A22"/>
    <w:rsid w:val="008A0E7C"/>
    <w:rsid w:val="008A100C"/>
    <w:rsid w:val="008A1048"/>
    <w:rsid w:val="008A14C6"/>
    <w:rsid w:val="008A16B4"/>
    <w:rsid w:val="008A17B7"/>
    <w:rsid w:val="008A17D1"/>
    <w:rsid w:val="008A17D7"/>
    <w:rsid w:val="008A18E6"/>
    <w:rsid w:val="008A19CF"/>
    <w:rsid w:val="008A1AAF"/>
    <w:rsid w:val="008A1CA3"/>
    <w:rsid w:val="008A1F23"/>
    <w:rsid w:val="008A22E7"/>
    <w:rsid w:val="008A234B"/>
    <w:rsid w:val="008A25D6"/>
    <w:rsid w:val="008A28DA"/>
    <w:rsid w:val="008A30E0"/>
    <w:rsid w:val="008A318B"/>
    <w:rsid w:val="008A34B3"/>
    <w:rsid w:val="008A3920"/>
    <w:rsid w:val="008A3B08"/>
    <w:rsid w:val="008A3B32"/>
    <w:rsid w:val="008A3B35"/>
    <w:rsid w:val="008A3F5A"/>
    <w:rsid w:val="008A40FA"/>
    <w:rsid w:val="008A42D2"/>
    <w:rsid w:val="008A484F"/>
    <w:rsid w:val="008A4980"/>
    <w:rsid w:val="008A49F8"/>
    <w:rsid w:val="008A4D8A"/>
    <w:rsid w:val="008A4DE0"/>
    <w:rsid w:val="008A4E6F"/>
    <w:rsid w:val="008A5172"/>
    <w:rsid w:val="008A554F"/>
    <w:rsid w:val="008A565C"/>
    <w:rsid w:val="008A5824"/>
    <w:rsid w:val="008A5834"/>
    <w:rsid w:val="008A59FF"/>
    <w:rsid w:val="008A5BCA"/>
    <w:rsid w:val="008A5C3B"/>
    <w:rsid w:val="008A5FA2"/>
    <w:rsid w:val="008A6071"/>
    <w:rsid w:val="008A64C0"/>
    <w:rsid w:val="008A652C"/>
    <w:rsid w:val="008A65EB"/>
    <w:rsid w:val="008A689A"/>
    <w:rsid w:val="008A694B"/>
    <w:rsid w:val="008A6C21"/>
    <w:rsid w:val="008A6F22"/>
    <w:rsid w:val="008A71CB"/>
    <w:rsid w:val="008A72C8"/>
    <w:rsid w:val="008A736F"/>
    <w:rsid w:val="008A73CE"/>
    <w:rsid w:val="008A7520"/>
    <w:rsid w:val="008A7584"/>
    <w:rsid w:val="008A7889"/>
    <w:rsid w:val="008A7B2D"/>
    <w:rsid w:val="008A7BA3"/>
    <w:rsid w:val="008A7C80"/>
    <w:rsid w:val="008A7DF0"/>
    <w:rsid w:val="008A7E10"/>
    <w:rsid w:val="008B0029"/>
    <w:rsid w:val="008B021F"/>
    <w:rsid w:val="008B024F"/>
    <w:rsid w:val="008B04F9"/>
    <w:rsid w:val="008B09B1"/>
    <w:rsid w:val="008B0D58"/>
    <w:rsid w:val="008B1326"/>
    <w:rsid w:val="008B13CC"/>
    <w:rsid w:val="008B1573"/>
    <w:rsid w:val="008B178F"/>
    <w:rsid w:val="008B1D25"/>
    <w:rsid w:val="008B1E57"/>
    <w:rsid w:val="008B1FB5"/>
    <w:rsid w:val="008B214F"/>
    <w:rsid w:val="008B226E"/>
    <w:rsid w:val="008B26CC"/>
    <w:rsid w:val="008B27D8"/>
    <w:rsid w:val="008B2907"/>
    <w:rsid w:val="008B2921"/>
    <w:rsid w:val="008B2931"/>
    <w:rsid w:val="008B2986"/>
    <w:rsid w:val="008B29A5"/>
    <w:rsid w:val="008B2A7C"/>
    <w:rsid w:val="008B2B50"/>
    <w:rsid w:val="008B2D3A"/>
    <w:rsid w:val="008B309E"/>
    <w:rsid w:val="008B3126"/>
    <w:rsid w:val="008B32E2"/>
    <w:rsid w:val="008B3495"/>
    <w:rsid w:val="008B37E4"/>
    <w:rsid w:val="008B3914"/>
    <w:rsid w:val="008B3CD1"/>
    <w:rsid w:val="008B40F3"/>
    <w:rsid w:val="008B41D1"/>
    <w:rsid w:val="008B433F"/>
    <w:rsid w:val="008B4600"/>
    <w:rsid w:val="008B4762"/>
    <w:rsid w:val="008B4818"/>
    <w:rsid w:val="008B4B4E"/>
    <w:rsid w:val="008B4BED"/>
    <w:rsid w:val="008B4C6B"/>
    <w:rsid w:val="008B4CDA"/>
    <w:rsid w:val="008B4CE9"/>
    <w:rsid w:val="008B4D3D"/>
    <w:rsid w:val="008B4EF0"/>
    <w:rsid w:val="008B52D6"/>
    <w:rsid w:val="008B52F9"/>
    <w:rsid w:val="008B5309"/>
    <w:rsid w:val="008B59E8"/>
    <w:rsid w:val="008B5A04"/>
    <w:rsid w:val="008B5DC0"/>
    <w:rsid w:val="008B5F84"/>
    <w:rsid w:val="008B5FBA"/>
    <w:rsid w:val="008B615C"/>
    <w:rsid w:val="008B6367"/>
    <w:rsid w:val="008B659D"/>
    <w:rsid w:val="008B6707"/>
    <w:rsid w:val="008B68C9"/>
    <w:rsid w:val="008B6C78"/>
    <w:rsid w:val="008B6E7D"/>
    <w:rsid w:val="008B6F67"/>
    <w:rsid w:val="008B7020"/>
    <w:rsid w:val="008B7123"/>
    <w:rsid w:val="008B7219"/>
    <w:rsid w:val="008B7272"/>
    <w:rsid w:val="008B7499"/>
    <w:rsid w:val="008B7647"/>
    <w:rsid w:val="008B76AE"/>
    <w:rsid w:val="008B76CC"/>
    <w:rsid w:val="008B789C"/>
    <w:rsid w:val="008B7B57"/>
    <w:rsid w:val="008B7D77"/>
    <w:rsid w:val="008C045C"/>
    <w:rsid w:val="008C049C"/>
    <w:rsid w:val="008C060A"/>
    <w:rsid w:val="008C0641"/>
    <w:rsid w:val="008C06D8"/>
    <w:rsid w:val="008C133E"/>
    <w:rsid w:val="008C134E"/>
    <w:rsid w:val="008C1542"/>
    <w:rsid w:val="008C166D"/>
    <w:rsid w:val="008C1769"/>
    <w:rsid w:val="008C17C4"/>
    <w:rsid w:val="008C1BC1"/>
    <w:rsid w:val="008C1C21"/>
    <w:rsid w:val="008C1D2B"/>
    <w:rsid w:val="008C1DAB"/>
    <w:rsid w:val="008C1E13"/>
    <w:rsid w:val="008C205F"/>
    <w:rsid w:val="008C21AF"/>
    <w:rsid w:val="008C240D"/>
    <w:rsid w:val="008C24CA"/>
    <w:rsid w:val="008C28B2"/>
    <w:rsid w:val="008C2DA0"/>
    <w:rsid w:val="008C2F51"/>
    <w:rsid w:val="008C3068"/>
    <w:rsid w:val="008C367D"/>
    <w:rsid w:val="008C3743"/>
    <w:rsid w:val="008C3BEC"/>
    <w:rsid w:val="008C3C4C"/>
    <w:rsid w:val="008C3E70"/>
    <w:rsid w:val="008C3F53"/>
    <w:rsid w:val="008C408B"/>
    <w:rsid w:val="008C40CF"/>
    <w:rsid w:val="008C42FC"/>
    <w:rsid w:val="008C4303"/>
    <w:rsid w:val="008C44FA"/>
    <w:rsid w:val="008C4941"/>
    <w:rsid w:val="008C497B"/>
    <w:rsid w:val="008C49DC"/>
    <w:rsid w:val="008C4E29"/>
    <w:rsid w:val="008C53CC"/>
    <w:rsid w:val="008C5417"/>
    <w:rsid w:val="008C597B"/>
    <w:rsid w:val="008C5FE0"/>
    <w:rsid w:val="008C6180"/>
    <w:rsid w:val="008C6197"/>
    <w:rsid w:val="008C6244"/>
    <w:rsid w:val="008C6833"/>
    <w:rsid w:val="008C6B51"/>
    <w:rsid w:val="008C6BDA"/>
    <w:rsid w:val="008C6E45"/>
    <w:rsid w:val="008C6EA5"/>
    <w:rsid w:val="008C7101"/>
    <w:rsid w:val="008C73C7"/>
    <w:rsid w:val="008C7675"/>
    <w:rsid w:val="008C76A6"/>
    <w:rsid w:val="008C7728"/>
    <w:rsid w:val="008C79D8"/>
    <w:rsid w:val="008C7AE1"/>
    <w:rsid w:val="008C7DDB"/>
    <w:rsid w:val="008D006C"/>
    <w:rsid w:val="008D03B3"/>
    <w:rsid w:val="008D05DF"/>
    <w:rsid w:val="008D0788"/>
    <w:rsid w:val="008D08FF"/>
    <w:rsid w:val="008D0BE9"/>
    <w:rsid w:val="008D0CAC"/>
    <w:rsid w:val="008D0F6A"/>
    <w:rsid w:val="008D100B"/>
    <w:rsid w:val="008D10DE"/>
    <w:rsid w:val="008D13BD"/>
    <w:rsid w:val="008D17D7"/>
    <w:rsid w:val="008D198B"/>
    <w:rsid w:val="008D1AAD"/>
    <w:rsid w:val="008D1BE0"/>
    <w:rsid w:val="008D1C25"/>
    <w:rsid w:val="008D1E9F"/>
    <w:rsid w:val="008D1F83"/>
    <w:rsid w:val="008D230E"/>
    <w:rsid w:val="008D249D"/>
    <w:rsid w:val="008D24D0"/>
    <w:rsid w:val="008D287F"/>
    <w:rsid w:val="008D2A90"/>
    <w:rsid w:val="008D2E22"/>
    <w:rsid w:val="008D2EB2"/>
    <w:rsid w:val="008D2FCB"/>
    <w:rsid w:val="008D3072"/>
    <w:rsid w:val="008D352A"/>
    <w:rsid w:val="008D3569"/>
    <w:rsid w:val="008D35AB"/>
    <w:rsid w:val="008D3731"/>
    <w:rsid w:val="008D3821"/>
    <w:rsid w:val="008D39DC"/>
    <w:rsid w:val="008D4114"/>
    <w:rsid w:val="008D46FF"/>
    <w:rsid w:val="008D4793"/>
    <w:rsid w:val="008D4B64"/>
    <w:rsid w:val="008D4D32"/>
    <w:rsid w:val="008D4DCB"/>
    <w:rsid w:val="008D5151"/>
    <w:rsid w:val="008D534B"/>
    <w:rsid w:val="008D54BC"/>
    <w:rsid w:val="008D5649"/>
    <w:rsid w:val="008D588B"/>
    <w:rsid w:val="008D5983"/>
    <w:rsid w:val="008D59B4"/>
    <w:rsid w:val="008D59C3"/>
    <w:rsid w:val="008D5A95"/>
    <w:rsid w:val="008D5AE5"/>
    <w:rsid w:val="008D5AFD"/>
    <w:rsid w:val="008D5B02"/>
    <w:rsid w:val="008D5CA7"/>
    <w:rsid w:val="008D6080"/>
    <w:rsid w:val="008D60AC"/>
    <w:rsid w:val="008D60DB"/>
    <w:rsid w:val="008D6297"/>
    <w:rsid w:val="008D6467"/>
    <w:rsid w:val="008D653A"/>
    <w:rsid w:val="008D660E"/>
    <w:rsid w:val="008D68DB"/>
    <w:rsid w:val="008D6D07"/>
    <w:rsid w:val="008D6FCD"/>
    <w:rsid w:val="008D70AF"/>
    <w:rsid w:val="008D78C4"/>
    <w:rsid w:val="008D7BBB"/>
    <w:rsid w:val="008D7E34"/>
    <w:rsid w:val="008D7EB4"/>
    <w:rsid w:val="008D7EF3"/>
    <w:rsid w:val="008D7F6D"/>
    <w:rsid w:val="008E00C4"/>
    <w:rsid w:val="008E03FD"/>
    <w:rsid w:val="008E0788"/>
    <w:rsid w:val="008E07FF"/>
    <w:rsid w:val="008E0824"/>
    <w:rsid w:val="008E0908"/>
    <w:rsid w:val="008E170B"/>
    <w:rsid w:val="008E1859"/>
    <w:rsid w:val="008E1AE6"/>
    <w:rsid w:val="008E1C6E"/>
    <w:rsid w:val="008E1D0F"/>
    <w:rsid w:val="008E1EA2"/>
    <w:rsid w:val="008E22F2"/>
    <w:rsid w:val="008E2515"/>
    <w:rsid w:val="008E2523"/>
    <w:rsid w:val="008E2633"/>
    <w:rsid w:val="008E2664"/>
    <w:rsid w:val="008E30F4"/>
    <w:rsid w:val="008E3436"/>
    <w:rsid w:val="008E3494"/>
    <w:rsid w:val="008E367D"/>
    <w:rsid w:val="008E3877"/>
    <w:rsid w:val="008E38D1"/>
    <w:rsid w:val="008E3AD0"/>
    <w:rsid w:val="008E3E76"/>
    <w:rsid w:val="008E47E3"/>
    <w:rsid w:val="008E49E6"/>
    <w:rsid w:val="008E4A8D"/>
    <w:rsid w:val="008E4BDC"/>
    <w:rsid w:val="008E5278"/>
    <w:rsid w:val="008E5303"/>
    <w:rsid w:val="008E54A6"/>
    <w:rsid w:val="008E5517"/>
    <w:rsid w:val="008E55FA"/>
    <w:rsid w:val="008E583B"/>
    <w:rsid w:val="008E589A"/>
    <w:rsid w:val="008E5A5C"/>
    <w:rsid w:val="008E5BCA"/>
    <w:rsid w:val="008E5E7B"/>
    <w:rsid w:val="008E5FA9"/>
    <w:rsid w:val="008E600A"/>
    <w:rsid w:val="008E603B"/>
    <w:rsid w:val="008E61F7"/>
    <w:rsid w:val="008E6246"/>
    <w:rsid w:val="008E6419"/>
    <w:rsid w:val="008E6531"/>
    <w:rsid w:val="008E663D"/>
    <w:rsid w:val="008E6675"/>
    <w:rsid w:val="008E6B5B"/>
    <w:rsid w:val="008E6D0C"/>
    <w:rsid w:val="008E6DD1"/>
    <w:rsid w:val="008E7301"/>
    <w:rsid w:val="008E7899"/>
    <w:rsid w:val="008E79B1"/>
    <w:rsid w:val="008E7A0F"/>
    <w:rsid w:val="008E7F03"/>
    <w:rsid w:val="008F01DC"/>
    <w:rsid w:val="008F0258"/>
    <w:rsid w:val="008F0315"/>
    <w:rsid w:val="008F0416"/>
    <w:rsid w:val="008F04BB"/>
    <w:rsid w:val="008F05BD"/>
    <w:rsid w:val="008F075E"/>
    <w:rsid w:val="008F0802"/>
    <w:rsid w:val="008F0A5C"/>
    <w:rsid w:val="008F0C05"/>
    <w:rsid w:val="008F0C09"/>
    <w:rsid w:val="008F0C94"/>
    <w:rsid w:val="008F0D5F"/>
    <w:rsid w:val="008F1073"/>
    <w:rsid w:val="008F1100"/>
    <w:rsid w:val="008F151A"/>
    <w:rsid w:val="008F19C3"/>
    <w:rsid w:val="008F1BDF"/>
    <w:rsid w:val="008F1E16"/>
    <w:rsid w:val="008F2016"/>
    <w:rsid w:val="008F2045"/>
    <w:rsid w:val="008F20D1"/>
    <w:rsid w:val="008F2365"/>
    <w:rsid w:val="008F2900"/>
    <w:rsid w:val="008F2BC4"/>
    <w:rsid w:val="008F2D78"/>
    <w:rsid w:val="008F2F54"/>
    <w:rsid w:val="008F3043"/>
    <w:rsid w:val="008F35F1"/>
    <w:rsid w:val="008F3989"/>
    <w:rsid w:val="008F3C0A"/>
    <w:rsid w:val="008F4122"/>
    <w:rsid w:val="008F44B9"/>
    <w:rsid w:val="008F4516"/>
    <w:rsid w:val="008F454E"/>
    <w:rsid w:val="008F45D9"/>
    <w:rsid w:val="008F48B1"/>
    <w:rsid w:val="008F4B35"/>
    <w:rsid w:val="008F4B45"/>
    <w:rsid w:val="008F4F83"/>
    <w:rsid w:val="008F51FD"/>
    <w:rsid w:val="008F52BF"/>
    <w:rsid w:val="008F5611"/>
    <w:rsid w:val="008F568A"/>
    <w:rsid w:val="008F5790"/>
    <w:rsid w:val="008F5A8B"/>
    <w:rsid w:val="008F5DA0"/>
    <w:rsid w:val="008F5DED"/>
    <w:rsid w:val="008F5FE7"/>
    <w:rsid w:val="008F62DD"/>
    <w:rsid w:val="008F67E0"/>
    <w:rsid w:val="008F6B32"/>
    <w:rsid w:val="008F6E52"/>
    <w:rsid w:val="008F6E8E"/>
    <w:rsid w:val="008F7383"/>
    <w:rsid w:val="008F7609"/>
    <w:rsid w:val="008F77C0"/>
    <w:rsid w:val="008F7B62"/>
    <w:rsid w:val="008F7BEC"/>
    <w:rsid w:val="008F7DB4"/>
    <w:rsid w:val="00900103"/>
    <w:rsid w:val="0090031F"/>
    <w:rsid w:val="0090034E"/>
    <w:rsid w:val="00900670"/>
    <w:rsid w:val="009007E2"/>
    <w:rsid w:val="00900A3F"/>
    <w:rsid w:val="00900A6D"/>
    <w:rsid w:val="00900C1F"/>
    <w:rsid w:val="00900C34"/>
    <w:rsid w:val="00900D42"/>
    <w:rsid w:val="00900DE1"/>
    <w:rsid w:val="00900F96"/>
    <w:rsid w:val="00900FD7"/>
    <w:rsid w:val="00901156"/>
    <w:rsid w:val="00901299"/>
    <w:rsid w:val="00901384"/>
    <w:rsid w:val="009014DD"/>
    <w:rsid w:val="0090164D"/>
    <w:rsid w:val="009016D3"/>
    <w:rsid w:val="00901957"/>
    <w:rsid w:val="00901AFD"/>
    <w:rsid w:val="00901F8D"/>
    <w:rsid w:val="00901FF1"/>
    <w:rsid w:val="009020DC"/>
    <w:rsid w:val="009021DA"/>
    <w:rsid w:val="009022A1"/>
    <w:rsid w:val="0090273F"/>
    <w:rsid w:val="00902750"/>
    <w:rsid w:val="0090292A"/>
    <w:rsid w:val="0090298D"/>
    <w:rsid w:val="00902B19"/>
    <w:rsid w:val="00902C6A"/>
    <w:rsid w:val="00902CAA"/>
    <w:rsid w:val="00902E11"/>
    <w:rsid w:val="00902F00"/>
    <w:rsid w:val="0090320C"/>
    <w:rsid w:val="00903275"/>
    <w:rsid w:val="00903328"/>
    <w:rsid w:val="0090346A"/>
    <w:rsid w:val="0090370A"/>
    <w:rsid w:val="00903799"/>
    <w:rsid w:val="00903850"/>
    <w:rsid w:val="009039F6"/>
    <w:rsid w:val="00903DA6"/>
    <w:rsid w:val="00903EEB"/>
    <w:rsid w:val="0090410C"/>
    <w:rsid w:val="00904203"/>
    <w:rsid w:val="00904442"/>
    <w:rsid w:val="00904480"/>
    <w:rsid w:val="00904586"/>
    <w:rsid w:val="009045E0"/>
    <w:rsid w:val="009048D6"/>
    <w:rsid w:val="00904CAA"/>
    <w:rsid w:val="0090506F"/>
    <w:rsid w:val="00905207"/>
    <w:rsid w:val="009052EA"/>
    <w:rsid w:val="00905625"/>
    <w:rsid w:val="00905687"/>
    <w:rsid w:val="009059E0"/>
    <w:rsid w:val="00905BAC"/>
    <w:rsid w:val="00905E6E"/>
    <w:rsid w:val="00905F37"/>
    <w:rsid w:val="00906154"/>
    <w:rsid w:val="0090617A"/>
    <w:rsid w:val="0090622C"/>
    <w:rsid w:val="0090639C"/>
    <w:rsid w:val="009063FA"/>
    <w:rsid w:val="00906421"/>
    <w:rsid w:val="009064EF"/>
    <w:rsid w:val="00906689"/>
    <w:rsid w:val="00906892"/>
    <w:rsid w:val="009069E3"/>
    <w:rsid w:val="00906E88"/>
    <w:rsid w:val="00907321"/>
    <w:rsid w:val="00907600"/>
    <w:rsid w:val="0090762F"/>
    <w:rsid w:val="009076B1"/>
    <w:rsid w:val="00907861"/>
    <w:rsid w:val="00907904"/>
    <w:rsid w:val="009079E3"/>
    <w:rsid w:val="00907C60"/>
    <w:rsid w:val="00907CB3"/>
    <w:rsid w:val="00907CDA"/>
    <w:rsid w:val="00907D7E"/>
    <w:rsid w:val="00907DCA"/>
    <w:rsid w:val="00907F9C"/>
    <w:rsid w:val="00910035"/>
    <w:rsid w:val="00910226"/>
    <w:rsid w:val="009103CD"/>
    <w:rsid w:val="0091042D"/>
    <w:rsid w:val="00910586"/>
    <w:rsid w:val="009107B1"/>
    <w:rsid w:val="009109E4"/>
    <w:rsid w:val="009109E5"/>
    <w:rsid w:val="00910E2D"/>
    <w:rsid w:val="00910F0D"/>
    <w:rsid w:val="00910F93"/>
    <w:rsid w:val="00911039"/>
    <w:rsid w:val="0091125D"/>
    <w:rsid w:val="00911356"/>
    <w:rsid w:val="0091143A"/>
    <w:rsid w:val="009114CC"/>
    <w:rsid w:val="0091157A"/>
    <w:rsid w:val="00911D72"/>
    <w:rsid w:val="00911EDE"/>
    <w:rsid w:val="009123C2"/>
    <w:rsid w:val="0091245E"/>
    <w:rsid w:val="0091252F"/>
    <w:rsid w:val="0091278C"/>
    <w:rsid w:val="00912ABD"/>
    <w:rsid w:val="00912B4A"/>
    <w:rsid w:val="00912D21"/>
    <w:rsid w:val="00912F1A"/>
    <w:rsid w:val="00912F8B"/>
    <w:rsid w:val="00913424"/>
    <w:rsid w:val="0091350C"/>
    <w:rsid w:val="00913AE2"/>
    <w:rsid w:val="00913BBE"/>
    <w:rsid w:val="00913EB1"/>
    <w:rsid w:val="00913F31"/>
    <w:rsid w:val="00914080"/>
    <w:rsid w:val="00914150"/>
    <w:rsid w:val="0091423E"/>
    <w:rsid w:val="009143B0"/>
    <w:rsid w:val="00914563"/>
    <w:rsid w:val="00914568"/>
    <w:rsid w:val="00914611"/>
    <w:rsid w:val="00914668"/>
    <w:rsid w:val="009146CB"/>
    <w:rsid w:val="00914848"/>
    <w:rsid w:val="0091491A"/>
    <w:rsid w:val="009149B3"/>
    <w:rsid w:val="00914C00"/>
    <w:rsid w:val="00914E6A"/>
    <w:rsid w:val="009150F5"/>
    <w:rsid w:val="0091518B"/>
    <w:rsid w:val="009156DB"/>
    <w:rsid w:val="00915B5C"/>
    <w:rsid w:val="00915BD8"/>
    <w:rsid w:val="00915CD3"/>
    <w:rsid w:val="00915CE7"/>
    <w:rsid w:val="00915D08"/>
    <w:rsid w:val="00915D6D"/>
    <w:rsid w:val="00916444"/>
    <w:rsid w:val="009167A3"/>
    <w:rsid w:val="00916AFF"/>
    <w:rsid w:val="00916D84"/>
    <w:rsid w:val="00916E55"/>
    <w:rsid w:val="00917055"/>
    <w:rsid w:val="0091734E"/>
    <w:rsid w:val="0091751A"/>
    <w:rsid w:val="00917686"/>
    <w:rsid w:val="009177E5"/>
    <w:rsid w:val="00917801"/>
    <w:rsid w:val="00917977"/>
    <w:rsid w:val="00917B43"/>
    <w:rsid w:val="00917C5B"/>
    <w:rsid w:val="00917D89"/>
    <w:rsid w:val="00917EB9"/>
    <w:rsid w:val="0092005D"/>
    <w:rsid w:val="0092011B"/>
    <w:rsid w:val="009201CA"/>
    <w:rsid w:val="009205E0"/>
    <w:rsid w:val="00920614"/>
    <w:rsid w:val="009208C0"/>
    <w:rsid w:val="00920ED0"/>
    <w:rsid w:val="0092120D"/>
    <w:rsid w:val="0092121D"/>
    <w:rsid w:val="00921253"/>
    <w:rsid w:val="00921B27"/>
    <w:rsid w:val="00921D8D"/>
    <w:rsid w:val="00921F0C"/>
    <w:rsid w:val="00921FE4"/>
    <w:rsid w:val="00922602"/>
    <w:rsid w:val="00922638"/>
    <w:rsid w:val="009229E2"/>
    <w:rsid w:val="00922B72"/>
    <w:rsid w:val="00922F80"/>
    <w:rsid w:val="009231C4"/>
    <w:rsid w:val="0092340E"/>
    <w:rsid w:val="00923597"/>
    <w:rsid w:val="0092360F"/>
    <w:rsid w:val="00923744"/>
    <w:rsid w:val="00923749"/>
    <w:rsid w:val="0092389D"/>
    <w:rsid w:val="00923908"/>
    <w:rsid w:val="009239D4"/>
    <w:rsid w:val="00923CEB"/>
    <w:rsid w:val="00923CFC"/>
    <w:rsid w:val="00923E92"/>
    <w:rsid w:val="00923FA2"/>
    <w:rsid w:val="0092414A"/>
    <w:rsid w:val="00924194"/>
    <w:rsid w:val="009245FD"/>
    <w:rsid w:val="00924BAB"/>
    <w:rsid w:val="00925364"/>
    <w:rsid w:val="009255B3"/>
    <w:rsid w:val="009256C2"/>
    <w:rsid w:val="00925B29"/>
    <w:rsid w:val="00925D9C"/>
    <w:rsid w:val="00925D9F"/>
    <w:rsid w:val="00926169"/>
    <w:rsid w:val="00926356"/>
    <w:rsid w:val="0092651C"/>
    <w:rsid w:val="0092674B"/>
    <w:rsid w:val="0092689D"/>
    <w:rsid w:val="0092696F"/>
    <w:rsid w:val="00926B39"/>
    <w:rsid w:val="00926E2F"/>
    <w:rsid w:val="00926EBB"/>
    <w:rsid w:val="009272B5"/>
    <w:rsid w:val="00927498"/>
    <w:rsid w:val="00927562"/>
    <w:rsid w:val="00927827"/>
    <w:rsid w:val="0092795E"/>
    <w:rsid w:val="00927DBB"/>
    <w:rsid w:val="00930174"/>
    <w:rsid w:val="00930353"/>
    <w:rsid w:val="00930430"/>
    <w:rsid w:val="0093050F"/>
    <w:rsid w:val="009306A7"/>
    <w:rsid w:val="009307F2"/>
    <w:rsid w:val="00930927"/>
    <w:rsid w:val="00930972"/>
    <w:rsid w:val="00931175"/>
    <w:rsid w:val="00931524"/>
    <w:rsid w:val="00931791"/>
    <w:rsid w:val="009319F0"/>
    <w:rsid w:val="00931A9B"/>
    <w:rsid w:val="00931AE7"/>
    <w:rsid w:val="00931B3F"/>
    <w:rsid w:val="00931B7C"/>
    <w:rsid w:val="00931BA2"/>
    <w:rsid w:val="00931CAB"/>
    <w:rsid w:val="00931DE7"/>
    <w:rsid w:val="00931ED6"/>
    <w:rsid w:val="00931F50"/>
    <w:rsid w:val="00931F6E"/>
    <w:rsid w:val="00931FF6"/>
    <w:rsid w:val="009322EB"/>
    <w:rsid w:val="00932410"/>
    <w:rsid w:val="009324EE"/>
    <w:rsid w:val="00932A14"/>
    <w:rsid w:val="00932A8B"/>
    <w:rsid w:val="00932AF1"/>
    <w:rsid w:val="00932C09"/>
    <w:rsid w:val="00932C13"/>
    <w:rsid w:val="00932F16"/>
    <w:rsid w:val="009330DF"/>
    <w:rsid w:val="0093330C"/>
    <w:rsid w:val="0093334F"/>
    <w:rsid w:val="00933677"/>
    <w:rsid w:val="009337F6"/>
    <w:rsid w:val="00933A10"/>
    <w:rsid w:val="00933A7A"/>
    <w:rsid w:val="00933D5C"/>
    <w:rsid w:val="00933D87"/>
    <w:rsid w:val="00933D93"/>
    <w:rsid w:val="00933E06"/>
    <w:rsid w:val="009341C6"/>
    <w:rsid w:val="0093421A"/>
    <w:rsid w:val="00934404"/>
    <w:rsid w:val="00934449"/>
    <w:rsid w:val="0093445F"/>
    <w:rsid w:val="00934747"/>
    <w:rsid w:val="009347E8"/>
    <w:rsid w:val="009348F8"/>
    <w:rsid w:val="00934A9B"/>
    <w:rsid w:val="00934F61"/>
    <w:rsid w:val="00935166"/>
    <w:rsid w:val="00935188"/>
    <w:rsid w:val="009351CD"/>
    <w:rsid w:val="009353E8"/>
    <w:rsid w:val="0093551E"/>
    <w:rsid w:val="00935626"/>
    <w:rsid w:val="00935864"/>
    <w:rsid w:val="00935B23"/>
    <w:rsid w:val="00935BE3"/>
    <w:rsid w:val="00935BF2"/>
    <w:rsid w:val="00935E13"/>
    <w:rsid w:val="00936345"/>
    <w:rsid w:val="009363BF"/>
    <w:rsid w:val="0093651A"/>
    <w:rsid w:val="009365C7"/>
    <w:rsid w:val="009367A1"/>
    <w:rsid w:val="0093686A"/>
    <w:rsid w:val="0093688B"/>
    <w:rsid w:val="00936956"/>
    <w:rsid w:val="00936B38"/>
    <w:rsid w:val="00937153"/>
    <w:rsid w:val="009371D4"/>
    <w:rsid w:val="0093729E"/>
    <w:rsid w:val="0093743F"/>
    <w:rsid w:val="009374B4"/>
    <w:rsid w:val="00937681"/>
    <w:rsid w:val="00937777"/>
    <w:rsid w:val="00937878"/>
    <w:rsid w:val="00937A66"/>
    <w:rsid w:val="00937C2A"/>
    <w:rsid w:val="00937D62"/>
    <w:rsid w:val="00937DC2"/>
    <w:rsid w:val="009400BA"/>
    <w:rsid w:val="00940284"/>
    <w:rsid w:val="009402B0"/>
    <w:rsid w:val="009402F2"/>
    <w:rsid w:val="00940338"/>
    <w:rsid w:val="0094044D"/>
    <w:rsid w:val="009407CD"/>
    <w:rsid w:val="00940957"/>
    <w:rsid w:val="00940E7A"/>
    <w:rsid w:val="00940EA9"/>
    <w:rsid w:val="00940EB3"/>
    <w:rsid w:val="009410A5"/>
    <w:rsid w:val="009413B5"/>
    <w:rsid w:val="0094145C"/>
    <w:rsid w:val="0094147C"/>
    <w:rsid w:val="00941481"/>
    <w:rsid w:val="00941644"/>
    <w:rsid w:val="009416E0"/>
    <w:rsid w:val="009418B0"/>
    <w:rsid w:val="00941AC0"/>
    <w:rsid w:val="00941B87"/>
    <w:rsid w:val="00941BD9"/>
    <w:rsid w:val="00941DFB"/>
    <w:rsid w:val="00942068"/>
    <w:rsid w:val="009421F0"/>
    <w:rsid w:val="00942307"/>
    <w:rsid w:val="009424C1"/>
    <w:rsid w:val="0094254F"/>
    <w:rsid w:val="009429D3"/>
    <w:rsid w:val="00943020"/>
    <w:rsid w:val="009430CA"/>
    <w:rsid w:val="00943242"/>
    <w:rsid w:val="009433BD"/>
    <w:rsid w:val="0094368F"/>
    <w:rsid w:val="00943C33"/>
    <w:rsid w:val="00943C3A"/>
    <w:rsid w:val="00943DDC"/>
    <w:rsid w:val="00943DEE"/>
    <w:rsid w:val="00943F59"/>
    <w:rsid w:val="009440FA"/>
    <w:rsid w:val="00944187"/>
    <w:rsid w:val="00944430"/>
    <w:rsid w:val="00944600"/>
    <w:rsid w:val="009448DB"/>
    <w:rsid w:val="009448F3"/>
    <w:rsid w:val="00944D03"/>
    <w:rsid w:val="00944E18"/>
    <w:rsid w:val="00945002"/>
    <w:rsid w:val="00945100"/>
    <w:rsid w:val="00945113"/>
    <w:rsid w:val="009452A6"/>
    <w:rsid w:val="009452ED"/>
    <w:rsid w:val="00945463"/>
    <w:rsid w:val="009454EB"/>
    <w:rsid w:val="009454F8"/>
    <w:rsid w:val="00945674"/>
    <w:rsid w:val="009457CC"/>
    <w:rsid w:val="00945801"/>
    <w:rsid w:val="0094583E"/>
    <w:rsid w:val="0094589C"/>
    <w:rsid w:val="009458DD"/>
    <w:rsid w:val="0094591A"/>
    <w:rsid w:val="0094594E"/>
    <w:rsid w:val="0094599F"/>
    <w:rsid w:val="00945CAE"/>
    <w:rsid w:val="00945EE7"/>
    <w:rsid w:val="009460BE"/>
    <w:rsid w:val="009460D5"/>
    <w:rsid w:val="009460F2"/>
    <w:rsid w:val="00946168"/>
    <w:rsid w:val="009462F7"/>
    <w:rsid w:val="0094660B"/>
    <w:rsid w:val="0094699C"/>
    <w:rsid w:val="009469B0"/>
    <w:rsid w:val="00946B39"/>
    <w:rsid w:val="00946E25"/>
    <w:rsid w:val="00946E4D"/>
    <w:rsid w:val="00946FEC"/>
    <w:rsid w:val="00947156"/>
    <w:rsid w:val="0094763D"/>
    <w:rsid w:val="0095025C"/>
    <w:rsid w:val="0095043E"/>
    <w:rsid w:val="00950669"/>
    <w:rsid w:val="0095079B"/>
    <w:rsid w:val="009507A1"/>
    <w:rsid w:val="009508AD"/>
    <w:rsid w:val="009508B5"/>
    <w:rsid w:val="00950A73"/>
    <w:rsid w:val="00950B2D"/>
    <w:rsid w:val="00950E2E"/>
    <w:rsid w:val="00950E80"/>
    <w:rsid w:val="009513C3"/>
    <w:rsid w:val="00951691"/>
    <w:rsid w:val="00951A95"/>
    <w:rsid w:val="00951AB3"/>
    <w:rsid w:val="00951E65"/>
    <w:rsid w:val="00951F26"/>
    <w:rsid w:val="00951F7F"/>
    <w:rsid w:val="009521A6"/>
    <w:rsid w:val="0095220C"/>
    <w:rsid w:val="009525DB"/>
    <w:rsid w:val="009526A0"/>
    <w:rsid w:val="00952B68"/>
    <w:rsid w:val="00952D4D"/>
    <w:rsid w:val="0095318E"/>
    <w:rsid w:val="009531DC"/>
    <w:rsid w:val="0095340D"/>
    <w:rsid w:val="0095347A"/>
    <w:rsid w:val="00953DB5"/>
    <w:rsid w:val="00954018"/>
    <w:rsid w:val="0095421B"/>
    <w:rsid w:val="0095436A"/>
    <w:rsid w:val="009543E9"/>
    <w:rsid w:val="00954862"/>
    <w:rsid w:val="00954D7A"/>
    <w:rsid w:val="00954DEF"/>
    <w:rsid w:val="009551F6"/>
    <w:rsid w:val="00955202"/>
    <w:rsid w:val="00955306"/>
    <w:rsid w:val="00955386"/>
    <w:rsid w:val="009558C8"/>
    <w:rsid w:val="00955A8A"/>
    <w:rsid w:val="00955BAD"/>
    <w:rsid w:val="00956052"/>
    <w:rsid w:val="00956175"/>
    <w:rsid w:val="00956285"/>
    <w:rsid w:val="009562E0"/>
    <w:rsid w:val="00956843"/>
    <w:rsid w:val="009569EB"/>
    <w:rsid w:val="00956A2B"/>
    <w:rsid w:val="00956B6D"/>
    <w:rsid w:val="00956D11"/>
    <w:rsid w:val="009570A4"/>
    <w:rsid w:val="00957205"/>
    <w:rsid w:val="00957332"/>
    <w:rsid w:val="009574DF"/>
    <w:rsid w:val="009575B5"/>
    <w:rsid w:val="009577FB"/>
    <w:rsid w:val="009578FB"/>
    <w:rsid w:val="00957AD8"/>
    <w:rsid w:val="00957C7B"/>
    <w:rsid w:val="00957F6F"/>
    <w:rsid w:val="00957FB5"/>
    <w:rsid w:val="00960051"/>
    <w:rsid w:val="0096045D"/>
    <w:rsid w:val="00960BD2"/>
    <w:rsid w:val="00960D59"/>
    <w:rsid w:val="00960D60"/>
    <w:rsid w:val="00960D81"/>
    <w:rsid w:val="00960E83"/>
    <w:rsid w:val="00960EDC"/>
    <w:rsid w:val="00960EE4"/>
    <w:rsid w:val="00960F8D"/>
    <w:rsid w:val="009610B4"/>
    <w:rsid w:val="009611AB"/>
    <w:rsid w:val="0096127F"/>
    <w:rsid w:val="009612AC"/>
    <w:rsid w:val="00961984"/>
    <w:rsid w:val="00961AD6"/>
    <w:rsid w:val="00961D36"/>
    <w:rsid w:val="00962056"/>
    <w:rsid w:val="009620A2"/>
    <w:rsid w:val="0096221D"/>
    <w:rsid w:val="0096246D"/>
    <w:rsid w:val="009624FE"/>
    <w:rsid w:val="009626FE"/>
    <w:rsid w:val="0096294E"/>
    <w:rsid w:val="009629AF"/>
    <w:rsid w:val="00962B7D"/>
    <w:rsid w:val="00962C30"/>
    <w:rsid w:val="00962C33"/>
    <w:rsid w:val="00962C81"/>
    <w:rsid w:val="00962D7F"/>
    <w:rsid w:val="00962EDE"/>
    <w:rsid w:val="00963111"/>
    <w:rsid w:val="0096313D"/>
    <w:rsid w:val="00963204"/>
    <w:rsid w:val="0096326C"/>
    <w:rsid w:val="0096338F"/>
    <w:rsid w:val="00963433"/>
    <w:rsid w:val="00963634"/>
    <w:rsid w:val="009639E9"/>
    <w:rsid w:val="00963FEB"/>
    <w:rsid w:val="00963FFD"/>
    <w:rsid w:val="009641B8"/>
    <w:rsid w:val="009643A6"/>
    <w:rsid w:val="00964684"/>
    <w:rsid w:val="00964728"/>
    <w:rsid w:val="0096472D"/>
    <w:rsid w:val="0096491E"/>
    <w:rsid w:val="00964931"/>
    <w:rsid w:val="0096493E"/>
    <w:rsid w:val="00964B3E"/>
    <w:rsid w:val="00964CCA"/>
    <w:rsid w:val="00964DE0"/>
    <w:rsid w:val="00964EC7"/>
    <w:rsid w:val="00964F4D"/>
    <w:rsid w:val="009651A1"/>
    <w:rsid w:val="0096523B"/>
    <w:rsid w:val="0096558A"/>
    <w:rsid w:val="0096558D"/>
    <w:rsid w:val="00965600"/>
    <w:rsid w:val="00965B6A"/>
    <w:rsid w:val="00965C3B"/>
    <w:rsid w:val="00965E41"/>
    <w:rsid w:val="00965EDB"/>
    <w:rsid w:val="00965F28"/>
    <w:rsid w:val="0096609A"/>
    <w:rsid w:val="00966363"/>
    <w:rsid w:val="00966583"/>
    <w:rsid w:val="009667D7"/>
    <w:rsid w:val="00966AF1"/>
    <w:rsid w:val="00966CFD"/>
    <w:rsid w:val="00967170"/>
    <w:rsid w:val="009671FC"/>
    <w:rsid w:val="00967250"/>
    <w:rsid w:val="00967470"/>
    <w:rsid w:val="00967619"/>
    <w:rsid w:val="0096775C"/>
    <w:rsid w:val="00967AFC"/>
    <w:rsid w:val="00967E4E"/>
    <w:rsid w:val="00967FF9"/>
    <w:rsid w:val="0097029D"/>
    <w:rsid w:val="00970413"/>
    <w:rsid w:val="009705ED"/>
    <w:rsid w:val="009705FA"/>
    <w:rsid w:val="00970EC8"/>
    <w:rsid w:val="009713FE"/>
    <w:rsid w:val="0097148F"/>
    <w:rsid w:val="0097155A"/>
    <w:rsid w:val="0097169D"/>
    <w:rsid w:val="0097172C"/>
    <w:rsid w:val="00971A41"/>
    <w:rsid w:val="00971AF3"/>
    <w:rsid w:val="00971D5E"/>
    <w:rsid w:val="00971ED1"/>
    <w:rsid w:val="00971F87"/>
    <w:rsid w:val="009720CC"/>
    <w:rsid w:val="009723C6"/>
    <w:rsid w:val="009726CC"/>
    <w:rsid w:val="00972713"/>
    <w:rsid w:val="0097283A"/>
    <w:rsid w:val="009728A2"/>
    <w:rsid w:val="00972908"/>
    <w:rsid w:val="009731B9"/>
    <w:rsid w:val="00973494"/>
    <w:rsid w:val="009734A5"/>
    <w:rsid w:val="00973503"/>
    <w:rsid w:val="0097392C"/>
    <w:rsid w:val="0097394C"/>
    <w:rsid w:val="00973A4B"/>
    <w:rsid w:val="00973CA2"/>
    <w:rsid w:val="0097400A"/>
    <w:rsid w:val="00974075"/>
    <w:rsid w:val="009741AB"/>
    <w:rsid w:val="009741DD"/>
    <w:rsid w:val="00974889"/>
    <w:rsid w:val="00974A07"/>
    <w:rsid w:val="00974D27"/>
    <w:rsid w:val="00974D52"/>
    <w:rsid w:val="009753E2"/>
    <w:rsid w:val="009756B8"/>
    <w:rsid w:val="00975884"/>
    <w:rsid w:val="00975A43"/>
    <w:rsid w:val="00975C10"/>
    <w:rsid w:val="00975E47"/>
    <w:rsid w:val="00976241"/>
    <w:rsid w:val="00976352"/>
    <w:rsid w:val="00976469"/>
    <w:rsid w:val="009764AD"/>
    <w:rsid w:val="009767B2"/>
    <w:rsid w:val="009768A7"/>
    <w:rsid w:val="00976A5F"/>
    <w:rsid w:val="00976AC0"/>
    <w:rsid w:val="00976ACC"/>
    <w:rsid w:val="00976B92"/>
    <w:rsid w:val="00976C08"/>
    <w:rsid w:val="00976C72"/>
    <w:rsid w:val="00976F82"/>
    <w:rsid w:val="00977103"/>
    <w:rsid w:val="00977269"/>
    <w:rsid w:val="00977848"/>
    <w:rsid w:val="00977C98"/>
    <w:rsid w:val="00977EA6"/>
    <w:rsid w:val="00977F65"/>
    <w:rsid w:val="00980151"/>
    <w:rsid w:val="00980478"/>
    <w:rsid w:val="00980CC9"/>
    <w:rsid w:val="00980E81"/>
    <w:rsid w:val="00981063"/>
    <w:rsid w:val="009815A2"/>
    <w:rsid w:val="00981848"/>
    <w:rsid w:val="00981A6A"/>
    <w:rsid w:val="00981AE6"/>
    <w:rsid w:val="00981B0D"/>
    <w:rsid w:val="00981B10"/>
    <w:rsid w:val="009820DC"/>
    <w:rsid w:val="00982108"/>
    <w:rsid w:val="00982522"/>
    <w:rsid w:val="0098260E"/>
    <w:rsid w:val="009826B3"/>
    <w:rsid w:val="009826F3"/>
    <w:rsid w:val="0098276A"/>
    <w:rsid w:val="00982803"/>
    <w:rsid w:val="0098291A"/>
    <w:rsid w:val="00982A98"/>
    <w:rsid w:val="00982DBB"/>
    <w:rsid w:val="0098314B"/>
    <w:rsid w:val="009831BF"/>
    <w:rsid w:val="009833F4"/>
    <w:rsid w:val="009838D9"/>
    <w:rsid w:val="00983B09"/>
    <w:rsid w:val="00983D73"/>
    <w:rsid w:val="00983DC7"/>
    <w:rsid w:val="00983EB6"/>
    <w:rsid w:val="00983FF9"/>
    <w:rsid w:val="00984378"/>
    <w:rsid w:val="00984482"/>
    <w:rsid w:val="00984D60"/>
    <w:rsid w:val="00984F61"/>
    <w:rsid w:val="0098503D"/>
    <w:rsid w:val="009850BB"/>
    <w:rsid w:val="0098563A"/>
    <w:rsid w:val="0098573D"/>
    <w:rsid w:val="00985920"/>
    <w:rsid w:val="00985976"/>
    <w:rsid w:val="00985B4E"/>
    <w:rsid w:val="00985CDD"/>
    <w:rsid w:val="00985F0A"/>
    <w:rsid w:val="0098616A"/>
    <w:rsid w:val="00986574"/>
    <w:rsid w:val="009865A8"/>
    <w:rsid w:val="00986676"/>
    <w:rsid w:val="009866A8"/>
    <w:rsid w:val="009866EF"/>
    <w:rsid w:val="00986A2C"/>
    <w:rsid w:val="00986AD8"/>
    <w:rsid w:val="00986CB7"/>
    <w:rsid w:val="009870C6"/>
    <w:rsid w:val="00987213"/>
    <w:rsid w:val="009872C4"/>
    <w:rsid w:val="00987347"/>
    <w:rsid w:val="009874F6"/>
    <w:rsid w:val="009875DB"/>
    <w:rsid w:val="0098781D"/>
    <w:rsid w:val="00987A77"/>
    <w:rsid w:val="00987D02"/>
    <w:rsid w:val="00987EA2"/>
    <w:rsid w:val="00987F66"/>
    <w:rsid w:val="00990052"/>
    <w:rsid w:val="009901B1"/>
    <w:rsid w:val="0099086D"/>
    <w:rsid w:val="00990ACE"/>
    <w:rsid w:val="00990B67"/>
    <w:rsid w:val="00990C74"/>
    <w:rsid w:val="00991217"/>
    <w:rsid w:val="0099149E"/>
    <w:rsid w:val="0099174E"/>
    <w:rsid w:val="00991A90"/>
    <w:rsid w:val="00991CCE"/>
    <w:rsid w:val="00991D97"/>
    <w:rsid w:val="00991E1C"/>
    <w:rsid w:val="00991EFC"/>
    <w:rsid w:val="00992590"/>
    <w:rsid w:val="00992B6D"/>
    <w:rsid w:val="00992B86"/>
    <w:rsid w:val="00992CF7"/>
    <w:rsid w:val="00992D14"/>
    <w:rsid w:val="00992F81"/>
    <w:rsid w:val="00992FD1"/>
    <w:rsid w:val="00993085"/>
    <w:rsid w:val="00993803"/>
    <w:rsid w:val="009938A4"/>
    <w:rsid w:val="009938D4"/>
    <w:rsid w:val="00993929"/>
    <w:rsid w:val="00993CA6"/>
    <w:rsid w:val="00993F11"/>
    <w:rsid w:val="00994143"/>
    <w:rsid w:val="00994215"/>
    <w:rsid w:val="0099443F"/>
    <w:rsid w:val="0099444A"/>
    <w:rsid w:val="009948C0"/>
    <w:rsid w:val="00994CCD"/>
    <w:rsid w:val="00994DF1"/>
    <w:rsid w:val="00994EB5"/>
    <w:rsid w:val="009952AA"/>
    <w:rsid w:val="009953D5"/>
    <w:rsid w:val="009953E4"/>
    <w:rsid w:val="009955BC"/>
    <w:rsid w:val="009956B3"/>
    <w:rsid w:val="009956BA"/>
    <w:rsid w:val="00995E16"/>
    <w:rsid w:val="009963FA"/>
    <w:rsid w:val="009963FD"/>
    <w:rsid w:val="00996769"/>
    <w:rsid w:val="00996B46"/>
    <w:rsid w:val="00996B85"/>
    <w:rsid w:val="00996BC5"/>
    <w:rsid w:val="00996CFD"/>
    <w:rsid w:val="00996F1B"/>
    <w:rsid w:val="009971FF"/>
    <w:rsid w:val="00997237"/>
    <w:rsid w:val="00997612"/>
    <w:rsid w:val="00997C29"/>
    <w:rsid w:val="00997C86"/>
    <w:rsid w:val="00997E31"/>
    <w:rsid w:val="00997EBC"/>
    <w:rsid w:val="009A0124"/>
    <w:rsid w:val="009A068D"/>
    <w:rsid w:val="009A09AE"/>
    <w:rsid w:val="009A0CE0"/>
    <w:rsid w:val="009A0E92"/>
    <w:rsid w:val="009A0F0B"/>
    <w:rsid w:val="009A0FC9"/>
    <w:rsid w:val="009A1076"/>
    <w:rsid w:val="009A10FA"/>
    <w:rsid w:val="009A11D7"/>
    <w:rsid w:val="009A14A2"/>
    <w:rsid w:val="009A14AE"/>
    <w:rsid w:val="009A14D8"/>
    <w:rsid w:val="009A1530"/>
    <w:rsid w:val="009A1757"/>
    <w:rsid w:val="009A180F"/>
    <w:rsid w:val="009A1A47"/>
    <w:rsid w:val="009A1BE0"/>
    <w:rsid w:val="009A1C36"/>
    <w:rsid w:val="009A21A9"/>
    <w:rsid w:val="009A22E1"/>
    <w:rsid w:val="009A2525"/>
    <w:rsid w:val="009A25E7"/>
    <w:rsid w:val="009A26BD"/>
    <w:rsid w:val="009A289A"/>
    <w:rsid w:val="009A3004"/>
    <w:rsid w:val="009A301E"/>
    <w:rsid w:val="009A34F1"/>
    <w:rsid w:val="009A3671"/>
    <w:rsid w:val="009A3745"/>
    <w:rsid w:val="009A37B1"/>
    <w:rsid w:val="009A3AEC"/>
    <w:rsid w:val="009A444B"/>
    <w:rsid w:val="009A47FA"/>
    <w:rsid w:val="009A4989"/>
    <w:rsid w:val="009A4B77"/>
    <w:rsid w:val="009A4CEF"/>
    <w:rsid w:val="009A514E"/>
    <w:rsid w:val="009A5264"/>
    <w:rsid w:val="009A545F"/>
    <w:rsid w:val="009A56CC"/>
    <w:rsid w:val="009A5829"/>
    <w:rsid w:val="009A5858"/>
    <w:rsid w:val="009A58DF"/>
    <w:rsid w:val="009A599C"/>
    <w:rsid w:val="009A5C19"/>
    <w:rsid w:val="009A5C80"/>
    <w:rsid w:val="009A6172"/>
    <w:rsid w:val="009A6681"/>
    <w:rsid w:val="009A66F0"/>
    <w:rsid w:val="009A6746"/>
    <w:rsid w:val="009A6778"/>
    <w:rsid w:val="009A6C4A"/>
    <w:rsid w:val="009A6DAD"/>
    <w:rsid w:val="009A70C8"/>
    <w:rsid w:val="009A71AE"/>
    <w:rsid w:val="009A7200"/>
    <w:rsid w:val="009A7295"/>
    <w:rsid w:val="009A74EE"/>
    <w:rsid w:val="009A7643"/>
    <w:rsid w:val="009A7826"/>
    <w:rsid w:val="009A7A52"/>
    <w:rsid w:val="009A7EDC"/>
    <w:rsid w:val="009A7F99"/>
    <w:rsid w:val="009A7FF5"/>
    <w:rsid w:val="009B021C"/>
    <w:rsid w:val="009B02C4"/>
    <w:rsid w:val="009B0354"/>
    <w:rsid w:val="009B03C0"/>
    <w:rsid w:val="009B0698"/>
    <w:rsid w:val="009B09E2"/>
    <w:rsid w:val="009B0B20"/>
    <w:rsid w:val="009B0BC0"/>
    <w:rsid w:val="009B0E20"/>
    <w:rsid w:val="009B1216"/>
    <w:rsid w:val="009B17A0"/>
    <w:rsid w:val="009B1B9C"/>
    <w:rsid w:val="009B1F3B"/>
    <w:rsid w:val="009B1FF1"/>
    <w:rsid w:val="009B205F"/>
    <w:rsid w:val="009B242B"/>
    <w:rsid w:val="009B2672"/>
    <w:rsid w:val="009B2CF2"/>
    <w:rsid w:val="009B3079"/>
    <w:rsid w:val="009B321F"/>
    <w:rsid w:val="009B3225"/>
    <w:rsid w:val="009B38BE"/>
    <w:rsid w:val="009B38DF"/>
    <w:rsid w:val="009B3C70"/>
    <w:rsid w:val="009B3CDD"/>
    <w:rsid w:val="009B3F06"/>
    <w:rsid w:val="009B408D"/>
    <w:rsid w:val="009B4A11"/>
    <w:rsid w:val="009B4ABD"/>
    <w:rsid w:val="009B4B69"/>
    <w:rsid w:val="009B4D40"/>
    <w:rsid w:val="009B4E6B"/>
    <w:rsid w:val="009B4EC7"/>
    <w:rsid w:val="009B57D3"/>
    <w:rsid w:val="009B5B5A"/>
    <w:rsid w:val="009B5CD3"/>
    <w:rsid w:val="009B5D36"/>
    <w:rsid w:val="009B5DFB"/>
    <w:rsid w:val="009B5E3C"/>
    <w:rsid w:val="009B6106"/>
    <w:rsid w:val="009B6406"/>
    <w:rsid w:val="009B659E"/>
    <w:rsid w:val="009B67F1"/>
    <w:rsid w:val="009B6925"/>
    <w:rsid w:val="009B6ABD"/>
    <w:rsid w:val="009B6D13"/>
    <w:rsid w:val="009B70B1"/>
    <w:rsid w:val="009B7192"/>
    <w:rsid w:val="009B72C7"/>
    <w:rsid w:val="009B741A"/>
    <w:rsid w:val="009B75DA"/>
    <w:rsid w:val="009B77F5"/>
    <w:rsid w:val="009B7BB3"/>
    <w:rsid w:val="009B7D3A"/>
    <w:rsid w:val="009B7D82"/>
    <w:rsid w:val="009B7E58"/>
    <w:rsid w:val="009C00C5"/>
    <w:rsid w:val="009C045D"/>
    <w:rsid w:val="009C059B"/>
    <w:rsid w:val="009C071D"/>
    <w:rsid w:val="009C0792"/>
    <w:rsid w:val="009C0D1E"/>
    <w:rsid w:val="009C0DBB"/>
    <w:rsid w:val="009C0DD2"/>
    <w:rsid w:val="009C104F"/>
    <w:rsid w:val="009C115F"/>
    <w:rsid w:val="009C144D"/>
    <w:rsid w:val="009C15F7"/>
    <w:rsid w:val="009C1611"/>
    <w:rsid w:val="009C17EF"/>
    <w:rsid w:val="009C1B4A"/>
    <w:rsid w:val="009C1DAB"/>
    <w:rsid w:val="009C1E43"/>
    <w:rsid w:val="009C1EE4"/>
    <w:rsid w:val="009C2AB1"/>
    <w:rsid w:val="009C2BCA"/>
    <w:rsid w:val="009C2D25"/>
    <w:rsid w:val="009C2E36"/>
    <w:rsid w:val="009C2E81"/>
    <w:rsid w:val="009C31C4"/>
    <w:rsid w:val="009C3208"/>
    <w:rsid w:val="009C344D"/>
    <w:rsid w:val="009C3660"/>
    <w:rsid w:val="009C38B1"/>
    <w:rsid w:val="009C39B4"/>
    <w:rsid w:val="009C3B2A"/>
    <w:rsid w:val="009C3BB0"/>
    <w:rsid w:val="009C46C0"/>
    <w:rsid w:val="009C4733"/>
    <w:rsid w:val="009C483D"/>
    <w:rsid w:val="009C4FA2"/>
    <w:rsid w:val="009C50F2"/>
    <w:rsid w:val="009C51A2"/>
    <w:rsid w:val="009C521D"/>
    <w:rsid w:val="009C52FD"/>
    <w:rsid w:val="009C53AE"/>
    <w:rsid w:val="009C5623"/>
    <w:rsid w:val="009C5755"/>
    <w:rsid w:val="009C5783"/>
    <w:rsid w:val="009C5B2A"/>
    <w:rsid w:val="009C5E6B"/>
    <w:rsid w:val="009C6240"/>
    <w:rsid w:val="009C627C"/>
    <w:rsid w:val="009C628D"/>
    <w:rsid w:val="009C63A5"/>
    <w:rsid w:val="009C64A3"/>
    <w:rsid w:val="009C667B"/>
    <w:rsid w:val="009C6736"/>
    <w:rsid w:val="009C67DF"/>
    <w:rsid w:val="009C6C1A"/>
    <w:rsid w:val="009C6E6C"/>
    <w:rsid w:val="009C6E70"/>
    <w:rsid w:val="009C7461"/>
    <w:rsid w:val="009C75CC"/>
    <w:rsid w:val="009C77C9"/>
    <w:rsid w:val="009C7882"/>
    <w:rsid w:val="009C7ADB"/>
    <w:rsid w:val="009C7BEF"/>
    <w:rsid w:val="009D02AA"/>
    <w:rsid w:val="009D0600"/>
    <w:rsid w:val="009D0740"/>
    <w:rsid w:val="009D0790"/>
    <w:rsid w:val="009D0875"/>
    <w:rsid w:val="009D0E95"/>
    <w:rsid w:val="009D0EC5"/>
    <w:rsid w:val="009D0F97"/>
    <w:rsid w:val="009D1303"/>
    <w:rsid w:val="009D1731"/>
    <w:rsid w:val="009D1967"/>
    <w:rsid w:val="009D1C2F"/>
    <w:rsid w:val="009D1C8E"/>
    <w:rsid w:val="009D1CB6"/>
    <w:rsid w:val="009D1D25"/>
    <w:rsid w:val="009D1E9C"/>
    <w:rsid w:val="009D1FB4"/>
    <w:rsid w:val="009D1FD8"/>
    <w:rsid w:val="009D2447"/>
    <w:rsid w:val="009D27F8"/>
    <w:rsid w:val="009D2908"/>
    <w:rsid w:val="009D2B78"/>
    <w:rsid w:val="009D2C75"/>
    <w:rsid w:val="009D2CB4"/>
    <w:rsid w:val="009D3103"/>
    <w:rsid w:val="009D3BAD"/>
    <w:rsid w:val="009D3BC5"/>
    <w:rsid w:val="009D3D32"/>
    <w:rsid w:val="009D3FCB"/>
    <w:rsid w:val="009D404D"/>
    <w:rsid w:val="009D4079"/>
    <w:rsid w:val="009D40B0"/>
    <w:rsid w:val="009D4110"/>
    <w:rsid w:val="009D4252"/>
    <w:rsid w:val="009D4347"/>
    <w:rsid w:val="009D43D9"/>
    <w:rsid w:val="009D4858"/>
    <w:rsid w:val="009D4A50"/>
    <w:rsid w:val="009D4B7F"/>
    <w:rsid w:val="009D4BDB"/>
    <w:rsid w:val="009D4E23"/>
    <w:rsid w:val="009D4E9A"/>
    <w:rsid w:val="009D540D"/>
    <w:rsid w:val="009D549F"/>
    <w:rsid w:val="009D5590"/>
    <w:rsid w:val="009D58AC"/>
    <w:rsid w:val="009D5991"/>
    <w:rsid w:val="009D5995"/>
    <w:rsid w:val="009D59CF"/>
    <w:rsid w:val="009D6050"/>
    <w:rsid w:val="009D6123"/>
    <w:rsid w:val="009D621B"/>
    <w:rsid w:val="009D6389"/>
    <w:rsid w:val="009D6798"/>
    <w:rsid w:val="009D67C6"/>
    <w:rsid w:val="009D692B"/>
    <w:rsid w:val="009D695E"/>
    <w:rsid w:val="009D6A35"/>
    <w:rsid w:val="009D6D45"/>
    <w:rsid w:val="009D6F16"/>
    <w:rsid w:val="009D7353"/>
    <w:rsid w:val="009D7446"/>
    <w:rsid w:val="009D74A6"/>
    <w:rsid w:val="009D7593"/>
    <w:rsid w:val="009D7D7F"/>
    <w:rsid w:val="009D7F0D"/>
    <w:rsid w:val="009D7F1A"/>
    <w:rsid w:val="009D7FB3"/>
    <w:rsid w:val="009E01BD"/>
    <w:rsid w:val="009E01F9"/>
    <w:rsid w:val="009E020A"/>
    <w:rsid w:val="009E0317"/>
    <w:rsid w:val="009E04CE"/>
    <w:rsid w:val="009E0614"/>
    <w:rsid w:val="009E0704"/>
    <w:rsid w:val="009E072E"/>
    <w:rsid w:val="009E0845"/>
    <w:rsid w:val="009E0C73"/>
    <w:rsid w:val="009E0E21"/>
    <w:rsid w:val="009E0E8A"/>
    <w:rsid w:val="009E0F98"/>
    <w:rsid w:val="009E10AA"/>
    <w:rsid w:val="009E10FA"/>
    <w:rsid w:val="009E182F"/>
    <w:rsid w:val="009E1C34"/>
    <w:rsid w:val="009E1D7E"/>
    <w:rsid w:val="009E1DC1"/>
    <w:rsid w:val="009E1DE0"/>
    <w:rsid w:val="009E214A"/>
    <w:rsid w:val="009E22BC"/>
    <w:rsid w:val="009E22E8"/>
    <w:rsid w:val="009E25C7"/>
    <w:rsid w:val="009E27BD"/>
    <w:rsid w:val="009E2917"/>
    <w:rsid w:val="009E2928"/>
    <w:rsid w:val="009E2A0F"/>
    <w:rsid w:val="009E2A5B"/>
    <w:rsid w:val="009E2B4A"/>
    <w:rsid w:val="009E3151"/>
    <w:rsid w:val="009E3234"/>
    <w:rsid w:val="009E33FD"/>
    <w:rsid w:val="009E3408"/>
    <w:rsid w:val="009E340E"/>
    <w:rsid w:val="009E387B"/>
    <w:rsid w:val="009E39E5"/>
    <w:rsid w:val="009E4042"/>
    <w:rsid w:val="009E40E8"/>
    <w:rsid w:val="009E437B"/>
    <w:rsid w:val="009E43C4"/>
    <w:rsid w:val="009E441C"/>
    <w:rsid w:val="009E458B"/>
    <w:rsid w:val="009E47BD"/>
    <w:rsid w:val="009E4A84"/>
    <w:rsid w:val="009E4AC6"/>
    <w:rsid w:val="009E4E6C"/>
    <w:rsid w:val="009E4EDA"/>
    <w:rsid w:val="009E4F8F"/>
    <w:rsid w:val="009E4FF6"/>
    <w:rsid w:val="009E5673"/>
    <w:rsid w:val="009E5689"/>
    <w:rsid w:val="009E592F"/>
    <w:rsid w:val="009E5D55"/>
    <w:rsid w:val="009E5E15"/>
    <w:rsid w:val="009E60F0"/>
    <w:rsid w:val="009E650D"/>
    <w:rsid w:val="009E65A5"/>
    <w:rsid w:val="009E683D"/>
    <w:rsid w:val="009E6A10"/>
    <w:rsid w:val="009E70F0"/>
    <w:rsid w:val="009E71C1"/>
    <w:rsid w:val="009E7329"/>
    <w:rsid w:val="009E7339"/>
    <w:rsid w:val="009E7632"/>
    <w:rsid w:val="009E76FD"/>
    <w:rsid w:val="009E78C8"/>
    <w:rsid w:val="009E798E"/>
    <w:rsid w:val="009E7A1C"/>
    <w:rsid w:val="009E7F46"/>
    <w:rsid w:val="009E7F4D"/>
    <w:rsid w:val="009F008F"/>
    <w:rsid w:val="009F0277"/>
    <w:rsid w:val="009F0669"/>
    <w:rsid w:val="009F0C10"/>
    <w:rsid w:val="009F112E"/>
    <w:rsid w:val="009F1280"/>
    <w:rsid w:val="009F181A"/>
    <w:rsid w:val="009F186F"/>
    <w:rsid w:val="009F1C20"/>
    <w:rsid w:val="009F1E8A"/>
    <w:rsid w:val="009F20CF"/>
    <w:rsid w:val="009F26AA"/>
    <w:rsid w:val="009F26D8"/>
    <w:rsid w:val="009F2739"/>
    <w:rsid w:val="009F2A18"/>
    <w:rsid w:val="009F2C06"/>
    <w:rsid w:val="009F2D48"/>
    <w:rsid w:val="009F2F8A"/>
    <w:rsid w:val="009F318C"/>
    <w:rsid w:val="009F3384"/>
    <w:rsid w:val="009F352B"/>
    <w:rsid w:val="009F35D5"/>
    <w:rsid w:val="009F3661"/>
    <w:rsid w:val="009F3781"/>
    <w:rsid w:val="009F3CFF"/>
    <w:rsid w:val="009F3EE9"/>
    <w:rsid w:val="009F4490"/>
    <w:rsid w:val="009F46E4"/>
    <w:rsid w:val="009F4750"/>
    <w:rsid w:val="009F475D"/>
    <w:rsid w:val="009F49BF"/>
    <w:rsid w:val="009F4A98"/>
    <w:rsid w:val="009F4BFC"/>
    <w:rsid w:val="009F4D1E"/>
    <w:rsid w:val="009F4DDA"/>
    <w:rsid w:val="009F4F83"/>
    <w:rsid w:val="009F5308"/>
    <w:rsid w:val="009F53B5"/>
    <w:rsid w:val="009F5438"/>
    <w:rsid w:val="009F54C0"/>
    <w:rsid w:val="009F552D"/>
    <w:rsid w:val="009F5C0B"/>
    <w:rsid w:val="009F5C4B"/>
    <w:rsid w:val="009F5EF7"/>
    <w:rsid w:val="009F63BC"/>
    <w:rsid w:val="009F6571"/>
    <w:rsid w:val="009F6888"/>
    <w:rsid w:val="009F6925"/>
    <w:rsid w:val="009F6953"/>
    <w:rsid w:val="009F695D"/>
    <w:rsid w:val="009F6A89"/>
    <w:rsid w:val="009F6EE2"/>
    <w:rsid w:val="009F70D2"/>
    <w:rsid w:val="009F71E9"/>
    <w:rsid w:val="009F74A5"/>
    <w:rsid w:val="009F7750"/>
    <w:rsid w:val="009F796C"/>
    <w:rsid w:val="009F7AE3"/>
    <w:rsid w:val="00A000CB"/>
    <w:rsid w:val="00A0015E"/>
    <w:rsid w:val="00A003C4"/>
    <w:rsid w:val="00A005F2"/>
    <w:rsid w:val="00A006D1"/>
    <w:rsid w:val="00A007A2"/>
    <w:rsid w:val="00A00A83"/>
    <w:rsid w:val="00A00BFF"/>
    <w:rsid w:val="00A00D98"/>
    <w:rsid w:val="00A00DF1"/>
    <w:rsid w:val="00A00E40"/>
    <w:rsid w:val="00A01385"/>
    <w:rsid w:val="00A0199D"/>
    <w:rsid w:val="00A019DE"/>
    <w:rsid w:val="00A01BBB"/>
    <w:rsid w:val="00A01CD9"/>
    <w:rsid w:val="00A01D7C"/>
    <w:rsid w:val="00A01E1F"/>
    <w:rsid w:val="00A01E71"/>
    <w:rsid w:val="00A01FA8"/>
    <w:rsid w:val="00A0205E"/>
    <w:rsid w:val="00A0217B"/>
    <w:rsid w:val="00A0248F"/>
    <w:rsid w:val="00A024E8"/>
    <w:rsid w:val="00A026D0"/>
    <w:rsid w:val="00A026E3"/>
    <w:rsid w:val="00A02D7E"/>
    <w:rsid w:val="00A02E27"/>
    <w:rsid w:val="00A02E62"/>
    <w:rsid w:val="00A02F86"/>
    <w:rsid w:val="00A03117"/>
    <w:rsid w:val="00A0314C"/>
    <w:rsid w:val="00A03195"/>
    <w:rsid w:val="00A03585"/>
    <w:rsid w:val="00A036E0"/>
    <w:rsid w:val="00A03828"/>
    <w:rsid w:val="00A0397A"/>
    <w:rsid w:val="00A03BA6"/>
    <w:rsid w:val="00A03DE8"/>
    <w:rsid w:val="00A03EAC"/>
    <w:rsid w:val="00A0425E"/>
    <w:rsid w:val="00A04422"/>
    <w:rsid w:val="00A04569"/>
    <w:rsid w:val="00A04673"/>
    <w:rsid w:val="00A04B52"/>
    <w:rsid w:val="00A04B69"/>
    <w:rsid w:val="00A04BC9"/>
    <w:rsid w:val="00A04D78"/>
    <w:rsid w:val="00A050BD"/>
    <w:rsid w:val="00A056F1"/>
    <w:rsid w:val="00A05A0F"/>
    <w:rsid w:val="00A05ADD"/>
    <w:rsid w:val="00A05AF9"/>
    <w:rsid w:val="00A05D3A"/>
    <w:rsid w:val="00A05DD7"/>
    <w:rsid w:val="00A05EE3"/>
    <w:rsid w:val="00A063AE"/>
    <w:rsid w:val="00A0640A"/>
    <w:rsid w:val="00A068B7"/>
    <w:rsid w:val="00A0695B"/>
    <w:rsid w:val="00A06973"/>
    <w:rsid w:val="00A06D4B"/>
    <w:rsid w:val="00A06EE2"/>
    <w:rsid w:val="00A0716E"/>
    <w:rsid w:val="00A0753C"/>
    <w:rsid w:val="00A0753D"/>
    <w:rsid w:val="00A077A4"/>
    <w:rsid w:val="00A07920"/>
    <w:rsid w:val="00A07A77"/>
    <w:rsid w:val="00A07BD9"/>
    <w:rsid w:val="00A07E5B"/>
    <w:rsid w:val="00A07EDB"/>
    <w:rsid w:val="00A07F80"/>
    <w:rsid w:val="00A101E7"/>
    <w:rsid w:val="00A10376"/>
    <w:rsid w:val="00A106CF"/>
    <w:rsid w:val="00A106E9"/>
    <w:rsid w:val="00A1079E"/>
    <w:rsid w:val="00A107D8"/>
    <w:rsid w:val="00A109A6"/>
    <w:rsid w:val="00A10AB5"/>
    <w:rsid w:val="00A10B08"/>
    <w:rsid w:val="00A10B90"/>
    <w:rsid w:val="00A10E39"/>
    <w:rsid w:val="00A10E58"/>
    <w:rsid w:val="00A112CC"/>
    <w:rsid w:val="00A11584"/>
    <w:rsid w:val="00A1169A"/>
    <w:rsid w:val="00A1195D"/>
    <w:rsid w:val="00A119E7"/>
    <w:rsid w:val="00A11AA8"/>
    <w:rsid w:val="00A11B2E"/>
    <w:rsid w:val="00A11CC9"/>
    <w:rsid w:val="00A11DAA"/>
    <w:rsid w:val="00A122F8"/>
    <w:rsid w:val="00A12367"/>
    <w:rsid w:val="00A12435"/>
    <w:rsid w:val="00A128D3"/>
    <w:rsid w:val="00A129C1"/>
    <w:rsid w:val="00A12A84"/>
    <w:rsid w:val="00A12D70"/>
    <w:rsid w:val="00A12D86"/>
    <w:rsid w:val="00A12E29"/>
    <w:rsid w:val="00A12EFE"/>
    <w:rsid w:val="00A12F55"/>
    <w:rsid w:val="00A130A8"/>
    <w:rsid w:val="00A13222"/>
    <w:rsid w:val="00A132D1"/>
    <w:rsid w:val="00A13473"/>
    <w:rsid w:val="00A137BD"/>
    <w:rsid w:val="00A137E3"/>
    <w:rsid w:val="00A139AD"/>
    <w:rsid w:val="00A13B2E"/>
    <w:rsid w:val="00A13CA7"/>
    <w:rsid w:val="00A13CC4"/>
    <w:rsid w:val="00A141B9"/>
    <w:rsid w:val="00A1427A"/>
    <w:rsid w:val="00A142FE"/>
    <w:rsid w:val="00A14631"/>
    <w:rsid w:val="00A14936"/>
    <w:rsid w:val="00A1494D"/>
    <w:rsid w:val="00A14B67"/>
    <w:rsid w:val="00A14B9A"/>
    <w:rsid w:val="00A14D36"/>
    <w:rsid w:val="00A14D47"/>
    <w:rsid w:val="00A14EA6"/>
    <w:rsid w:val="00A151D9"/>
    <w:rsid w:val="00A151EF"/>
    <w:rsid w:val="00A15273"/>
    <w:rsid w:val="00A15327"/>
    <w:rsid w:val="00A158B8"/>
    <w:rsid w:val="00A1595A"/>
    <w:rsid w:val="00A15ADC"/>
    <w:rsid w:val="00A15BD5"/>
    <w:rsid w:val="00A15C22"/>
    <w:rsid w:val="00A15E2A"/>
    <w:rsid w:val="00A15F6B"/>
    <w:rsid w:val="00A162C0"/>
    <w:rsid w:val="00A1632D"/>
    <w:rsid w:val="00A16482"/>
    <w:rsid w:val="00A165D7"/>
    <w:rsid w:val="00A16729"/>
    <w:rsid w:val="00A167E0"/>
    <w:rsid w:val="00A168AE"/>
    <w:rsid w:val="00A16B11"/>
    <w:rsid w:val="00A16BD3"/>
    <w:rsid w:val="00A16F7D"/>
    <w:rsid w:val="00A17135"/>
    <w:rsid w:val="00A171E0"/>
    <w:rsid w:val="00A174C2"/>
    <w:rsid w:val="00A175B9"/>
    <w:rsid w:val="00A1791D"/>
    <w:rsid w:val="00A17B25"/>
    <w:rsid w:val="00A17B96"/>
    <w:rsid w:val="00A17C8A"/>
    <w:rsid w:val="00A17E32"/>
    <w:rsid w:val="00A17E9C"/>
    <w:rsid w:val="00A17FB8"/>
    <w:rsid w:val="00A201D7"/>
    <w:rsid w:val="00A203BE"/>
    <w:rsid w:val="00A2045C"/>
    <w:rsid w:val="00A204DD"/>
    <w:rsid w:val="00A20717"/>
    <w:rsid w:val="00A2073D"/>
    <w:rsid w:val="00A207CD"/>
    <w:rsid w:val="00A20809"/>
    <w:rsid w:val="00A208E9"/>
    <w:rsid w:val="00A20C6E"/>
    <w:rsid w:val="00A20F7D"/>
    <w:rsid w:val="00A210D8"/>
    <w:rsid w:val="00A21273"/>
    <w:rsid w:val="00A21887"/>
    <w:rsid w:val="00A21C14"/>
    <w:rsid w:val="00A21C98"/>
    <w:rsid w:val="00A21F07"/>
    <w:rsid w:val="00A220D9"/>
    <w:rsid w:val="00A22750"/>
    <w:rsid w:val="00A22D5C"/>
    <w:rsid w:val="00A22EAE"/>
    <w:rsid w:val="00A2308F"/>
    <w:rsid w:val="00A23395"/>
    <w:rsid w:val="00A236D6"/>
    <w:rsid w:val="00A23706"/>
    <w:rsid w:val="00A237E2"/>
    <w:rsid w:val="00A23A95"/>
    <w:rsid w:val="00A23F18"/>
    <w:rsid w:val="00A242AF"/>
    <w:rsid w:val="00A2444F"/>
    <w:rsid w:val="00A249B8"/>
    <w:rsid w:val="00A24AEB"/>
    <w:rsid w:val="00A24FB7"/>
    <w:rsid w:val="00A25056"/>
    <w:rsid w:val="00A250D6"/>
    <w:rsid w:val="00A255ED"/>
    <w:rsid w:val="00A258C3"/>
    <w:rsid w:val="00A25BEE"/>
    <w:rsid w:val="00A26064"/>
    <w:rsid w:val="00A263BC"/>
    <w:rsid w:val="00A263FD"/>
    <w:rsid w:val="00A2665F"/>
    <w:rsid w:val="00A2670E"/>
    <w:rsid w:val="00A26973"/>
    <w:rsid w:val="00A269E1"/>
    <w:rsid w:val="00A26C66"/>
    <w:rsid w:val="00A26D9F"/>
    <w:rsid w:val="00A26E5E"/>
    <w:rsid w:val="00A27055"/>
    <w:rsid w:val="00A273D3"/>
    <w:rsid w:val="00A2747E"/>
    <w:rsid w:val="00A27CAD"/>
    <w:rsid w:val="00A27F54"/>
    <w:rsid w:val="00A30103"/>
    <w:rsid w:val="00A30136"/>
    <w:rsid w:val="00A3018E"/>
    <w:rsid w:val="00A30220"/>
    <w:rsid w:val="00A3060E"/>
    <w:rsid w:val="00A30A86"/>
    <w:rsid w:val="00A30B3E"/>
    <w:rsid w:val="00A30B63"/>
    <w:rsid w:val="00A30D7E"/>
    <w:rsid w:val="00A30FB6"/>
    <w:rsid w:val="00A3171C"/>
    <w:rsid w:val="00A31AEF"/>
    <w:rsid w:val="00A31D21"/>
    <w:rsid w:val="00A31F1D"/>
    <w:rsid w:val="00A324C4"/>
    <w:rsid w:val="00A3264D"/>
    <w:rsid w:val="00A32848"/>
    <w:rsid w:val="00A3287A"/>
    <w:rsid w:val="00A3287B"/>
    <w:rsid w:val="00A32A62"/>
    <w:rsid w:val="00A32B7C"/>
    <w:rsid w:val="00A32C5D"/>
    <w:rsid w:val="00A32F6A"/>
    <w:rsid w:val="00A33080"/>
    <w:rsid w:val="00A3344B"/>
    <w:rsid w:val="00A334D4"/>
    <w:rsid w:val="00A3367E"/>
    <w:rsid w:val="00A33720"/>
    <w:rsid w:val="00A33B60"/>
    <w:rsid w:val="00A33DCB"/>
    <w:rsid w:val="00A34169"/>
    <w:rsid w:val="00A341B6"/>
    <w:rsid w:val="00A3448C"/>
    <w:rsid w:val="00A348E5"/>
    <w:rsid w:val="00A34989"/>
    <w:rsid w:val="00A34B01"/>
    <w:rsid w:val="00A34B7F"/>
    <w:rsid w:val="00A34BB6"/>
    <w:rsid w:val="00A34D0A"/>
    <w:rsid w:val="00A34F07"/>
    <w:rsid w:val="00A350BF"/>
    <w:rsid w:val="00A35384"/>
    <w:rsid w:val="00A35459"/>
    <w:rsid w:val="00A3549D"/>
    <w:rsid w:val="00A354A1"/>
    <w:rsid w:val="00A3551B"/>
    <w:rsid w:val="00A356A1"/>
    <w:rsid w:val="00A358E2"/>
    <w:rsid w:val="00A359F8"/>
    <w:rsid w:val="00A35ABE"/>
    <w:rsid w:val="00A35D18"/>
    <w:rsid w:val="00A35E6A"/>
    <w:rsid w:val="00A3600C"/>
    <w:rsid w:val="00A36385"/>
    <w:rsid w:val="00A3675A"/>
    <w:rsid w:val="00A368F6"/>
    <w:rsid w:val="00A36AC1"/>
    <w:rsid w:val="00A36B1B"/>
    <w:rsid w:val="00A36F65"/>
    <w:rsid w:val="00A37196"/>
    <w:rsid w:val="00A371D0"/>
    <w:rsid w:val="00A374F0"/>
    <w:rsid w:val="00A3788B"/>
    <w:rsid w:val="00A3795F"/>
    <w:rsid w:val="00A37A14"/>
    <w:rsid w:val="00A37AF2"/>
    <w:rsid w:val="00A37C56"/>
    <w:rsid w:val="00A37FA7"/>
    <w:rsid w:val="00A40212"/>
    <w:rsid w:val="00A402D7"/>
    <w:rsid w:val="00A40306"/>
    <w:rsid w:val="00A40733"/>
    <w:rsid w:val="00A40738"/>
    <w:rsid w:val="00A40D8C"/>
    <w:rsid w:val="00A40DDC"/>
    <w:rsid w:val="00A40DF1"/>
    <w:rsid w:val="00A410F6"/>
    <w:rsid w:val="00A41306"/>
    <w:rsid w:val="00A415A0"/>
    <w:rsid w:val="00A418D7"/>
    <w:rsid w:val="00A419B7"/>
    <w:rsid w:val="00A41B6E"/>
    <w:rsid w:val="00A41E41"/>
    <w:rsid w:val="00A41E76"/>
    <w:rsid w:val="00A420D6"/>
    <w:rsid w:val="00A4220A"/>
    <w:rsid w:val="00A42491"/>
    <w:rsid w:val="00A42506"/>
    <w:rsid w:val="00A426A5"/>
    <w:rsid w:val="00A426C7"/>
    <w:rsid w:val="00A42706"/>
    <w:rsid w:val="00A42CF9"/>
    <w:rsid w:val="00A42E67"/>
    <w:rsid w:val="00A42F17"/>
    <w:rsid w:val="00A42FD2"/>
    <w:rsid w:val="00A4302F"/>
    <w:rsid w:val="00A43276"/>
    <w:rsid w:val="00A4340A"/>
    <w:rsid w:val="00A4346B"/>
    <w:rsid w:val="00A434C3"/>
    <w:rsid w:val="00A435B0"/>
    <w:rsid w:val="00A435BB"/>
    <w:rsid w:val="00A4370E"/>
    <w:rsid w:val="00A4396B"/>
    <w:rsid w:val="00A43CDF"/>
    <w:rsid w:val="00A444AB"/>
    <w:rsid w:val="00A44559"/>
    <w:rsid w:val="00A448FF"/>
    <w:rsid w:val="00A44B6D"/>
    <w:rsid w:val="00A44C78"/>
    <w:rsid w:val="00A44DB1"/>
    <w:rsid w:val="00A452CE"/>
    <w:rsid w:val="00A45307"/>
    <w:rsid w:val="00A45A0A"/>
    <w:rsid w:val="00A45AD1"/>
    <w:rsid w:val="00A45D03"/>
    <w:rsid w:val="00A45D7F"/>
    <w:rsid w:val="00A460A1"/>
    <w:rsid w:val="00A46145"/>
    <w:rsid w:val="00A46274"/>
    <w:rsid w:val="00A46390"/>
    <w:rsid w:val="00A4646E"/>
    <w:rsid w:val="00A468F4"/>
    <w:rsid w:val="00A4698F"/>
    <w:rsid w:val="00A46C26"/>
    <w:rsid w:val="00A46C50"/>
    <w:rsid w:val="00A46D6F"/>
    <w:rsid w:val="00A46E0E"/>
    <w:rsid w:val="00A470E7"/>
    <w:rsid w:val="00A47697"/>
    <w:rsid w:val="00A47748"/>
    <w:rsid w:val="00A47750"/>
    <w:rsid w:val="00A47DF3"/>
    <w:rsid w:val="00A47E8D"/>
    <w:rsid w:val="00A50348"/>
    <w:rsid w:val="00A50595"/>
    <w:rsid w:val="00A506A8"/>
    <w:rsid w:val="00A50713"/>
    <w:rsid w:val="00A507F2"/>
    <w:rsid w:val="00A514BC"/>
    <w:rsid w:val="00A514D5"/>
    <w:rsid w:val="00A517A6"/>
    <w:rsid w:val="00A5190A"/>
    <w:rsid w:val="00A5199A"/>
    <w:rsid w:val="00A51AAB"/>
    <w:rsid w:val="00A51CD5"/>
    <w:rsid w:val="00A51DAD"/>
    <w:rsid w:val="00A52299"/>
    <w:rsid w:val="00A522A6"/>
    <w:rsid w:val="00A522F9"/>
    <w:rsid w:val="00A525E0"/>
    <w:rsid w:val="00A527DC"/>
    <w:rsid w:val="00A529D4"/>
    <w:rsid w:val="00A52ABE"/>
    <w:rsid w:val="00A53121"/>
    <w:rsid w:val="00A5334D"/>
    <w:rsid w:val="00A5340E"/>
    <w:rsid w:val="00A5379C"/>
    <w:rsid w:val="00A537D6"/>
    <w:rsid w:val="00A538AE"/>
    <w:rsid w:val="00A53903"/>
    <w:rsid w:val="00A53A9B"/>
    <w:rsid w:val="00A5428B"/>
    <w:rsid w:val="00A54395"/>
    <w:rsid w:val="00A54670"/>
    <w:rsid w:val="00A546F3"/>
    <w:rsid w:val="00A54AAC"/>
    <w:rsid w:val="00A54C11"/>
    <w:rsid w:val="00A54C6D"/>
    <w:rsid w:val="00A54E4F"/>
    <w:rsid w:val="00A551C4"/>
    <w:rsid w:val="00A555FE"/>
    <w:rsid w:val="00A55614"/>
    <w:rsid w:val="00A556D5"/>
    <w:rsid w:val="00A556FB"/>
    <w:rsid w:val="00A557DA"/>
    <w:rsid w:val="00A55930"/>
    <w:rsid w:val="00A559B9"/>
    <w:rsid w:val="00A55A17"/>
    <w:rsid w:val="00A56156"/>
    <w:rsid w:val="00A561FE"/>
    <w:rsid w:val="00A5620C"/>
    <w:rsid w:val="00A56211"/>
    <w:rsid w:val="00A56335"/>
    <w:rsid w:val="00A5650F"/>
    <w:rsid w:val="00A5693A"/>
    <w:rsid w:val="00A5745C"/>
    <w:rsid w:val="00A57CF3"/>
    <w:rsid w:val="00A57D26"/>
    <w:rsid w:val="00A57F82"/>
    <w:rsid w:val="00A60247"/>
    <w:rsid w:val="00A60337"/>
    <w:rsid w:val="00A60416"/>
    <w:rsid w:val="00A60614"/>
    <w:rsid w:val="00A609C1"/>
    <w:rsid w:val="00A60A28"/>
    <w:rsid w:val="00A60A37"/>
    <w:rsid w:val="00A60E3F"/>
    <w:rsid w:val="00A612D7"/>
    <w:rsid w:val="00A6132A"/>
    <w:rsid w:val="00A613FB"/>
    <w:rsid w:val="00A61608"/>
    <w:rsid w:val="00A616E7"/>
    <w:rsid w:val="00A617B6"/>
    <w:rsid w:val="00A61D33"/>
    <w:rsid w:val="00A61DB0"/>
    <w:rsid w:val="00A61F1D"/>
    <w:rsid w:val="00A62053"/>
    <w:rsid w:val="00A62091"/>
    <w:rsid w:val="00A621D2"/>
    <w:rsid w:val="00A622FB"/>
    <w:rsid w:val="00A62394"/>
    <w:rsid w:val="00A628A2"/>
    <w:rsid w:val="00A628FC"/>
    <w:rsid w:val="00A6293D"/>
    <w:rsid w:val="00A62B9D"/>
    <w:rsid w:val="00A62E4D"/>
    <w:rsid w:val="00A63031"/>
    <w:rsid w:val="00A63102"/>
    <w:rsid w:val="00A63383"/>
    <w:rsid w:val="00A63E19"/>
    <w:rsid w:val="00A63F23"/>
    <w:rsid w:val="00A64108"/>
    <w:rsid w:val="00A64825"/>
    <w:rsid w:val="00A64A9C"/>
    <w:rsid w:val="00A64CE6"/>
    <w:rsid w:val="00A64EB1"/>
    <w:rsid w:val="00A64EFE"/>
    <w:rsid w:val="00A64FF8"/>
    <w:rsid w:val="00A6521E"/>
    <w:rsid w:val="00A652AC"/>
    <w:rsid w:val="00A6539B"/>
    <w:rsid w:val="00A6577B"/>
    <w:rsid w:val="00A65902"/>
    <w:rsid w:val="00A65A67"/>
    <w:rsid w:val="00A65A99"/>
    <w:rsid w:val="00A65BB5"/>
    <w:rsid w:val="00A65EC0"/>
    <w:rsid w:val="00A6627F"/>
    <w:rsid w:val="00A66430"/>
    <w:rsid w:val="00A6653A"/>
    <w:rsid w:val="00A66611"/>
    <w:rsid w:val="00A66615"/>
    <w:rsid w:val="00A666BE"/>
    <w:rsid w:val="00A667AD"/>
    <w:rsid w:val="00A668FF"/>
    <w:rsid w:val="00A66A6E"/>
    <w:rsid w:val="00A66E8F"/>
    <w:rsid w:val="00A67176"/>
    <w:rsid w:val="00A67363"/>
    <w:rsid w:val="00A6740A"/>
    <w:rsid w:val="00A679C7"/>
    <w:rsid w:val="00A67A75"/>
    <w:rsid w:val="00A67F26"/>
    <w:rsid w:val="00A67FF9"/>
    <w:rsid w:val="00A70174"/>
    <w:rsid w:val="00A7030B"/>
    <w:rsid w:val="00A7048B"/>
    <w:rsid w:val="00A7055C"/>
    <w:rsid w:val="00A70A0A"/>
    <w:rsid w:val="00A70CB7"/>
    <w:rsid w:val="00A70E04"/>
    <w:rsid w:val="00A71153"/>
    <w:rsid w:val="00A71199"/>
    <w:rsid w:val="00A714B9"/>
    <w:rsid w:val="00A714BA"/>
    <w:rsid w:val="00A715BA"/>
    <w:rsid w:val="00A71768"/>
    <w:rsid w:val="00A7186B"/>
    <w:rsid w:val="00A71A3A"/>
    <w:rsid w:val="00A71C17"/>
    <w:rsid w:val="00A71E32"/>
    <w:rsid w:val="00A71FF6"/>
    <w:rsid w:val="00A72072"/>
    <w:rsid w:val="00A7248F"/>
    <w:rsid w:val="00A7259C"/>
    <w:rsid w:val="00A7279F"/>
    <w:rsid w:val="00A727B5"/>
    <w:rsid w:val="00A72986"/>
    <w:rsid w:val="00A72A12"/>
    <w:rsid w:val="00A72C65"/>
    <w:rsid w:val="00A72F2B"/>
    <w:rsid w:val="00A73050"/>
    <w:rsid w:val="00A73446"/>
    <w:rsid w:val="00A735C2"/>
    <w:rsid w:val="00A73734"/>
    <w:rsid w:val="00A7387B"/>
    <w:rsid w:val="00A74439"/>
    <w:rsid w:val="00A74E51"/>
    <w:rsid w:val="00A75168"/>
    <w:rsid w:val="00A7533E"/>
    <w:rsid w:val="00A753CF"/>
    <w:rsid w:val="00A753F7"/>
    <w:rsid w:val="00A755A7"/>
    <w:rsid w:val="00A756F6"/>
    <w:rsid w:val="00A7589A"/>
    <w:rsid w:val="00A75A34"/>
    <w:rsid w:val="00A75A5A"/>
    <w:rsid w:val="00A75D33"/>
    <w:rsid w:val="00A75EE6"/>
    <w:rsid w:val="00A76659"/>
    <w:rsid w:val="00A76662"/>
    <w:rsid w:val="00A76AFE"/>
    <w:rsid w:val="00A76DA7"/>
    <w:rsid w:val="00A776FA"/>
    <w:rsid w:val="00A777AE"/>
    <w:rsid w:val="00A77948"/>
    <w:rsid w:val="00A77968"/>
    <w:rsid w:val="00A77C88"/>
    <w:rsid w:val="00A77FB4"/>
    <w:rsid w:val="00A8009A"/>
    <w:rsid w:val="00A8041F"/>
    <w:rsid w:val="00A804AF"/>
    <w:rsid w:val="00A804C5"/>
    <w:rsid w:val="00A80A76"/>
    <w:rsid w:val="00A80AFC"/>
    <w:rsid w:val="00A80B14"/>
    <w:rsid w:val="00A811ED"/>
    <w:rsid w:val="00A812FC"/>
    <w:rsid w:val="00A81364"/>
    <w:rsid w:val="00A813EE"/>
    <w:rsid w:val="00A81446"/>
    <w:rsid w:val="00A814FC"/>
    <w:rsid w:val="00A8153B"/>
    <w:rsid w:val="00A816A9"/>
    <w:rsid w:val="00A81787"/>
    <w:rsid w:val="00A81849"/>
    <w:rsid w:val="00A81B11"/>
    <w:rsid w:val="00A81D9E"/>
    <w:rsid w:val="00A82017"/>
    <w:rsid w:val="00A8216F"/>
    <w:rsid w:val="00A8268B"/>
    <w:rsid w:val="00A826D1"/>
    <w:rsid w:val="00A82973"/>
    <w:rsid w:val="00A82A73"/>
    <w:rsid w:val="00A82B43"/>
    <w:rsid w:val="00A82D57"/>
    <w:rsid w:val="00A8314F"/>
    <w:rsid w:val="00A831A5"/>
    <w:rsid w:val="00A832FA"/>
    <w:rsid w:val="00A836A2"/>
    <w:rsid w:val="00A837C3"/>
    <w:rsid w:val="00A83871"/>
    <w:rsid w:val="00A83A15"/>
    <w:rsid w:val="00A83A99"/>
    <w:rsid w:val="00A840A1"/>
    <w:rsid w:val="00A841D5"/>
    <w:rsid w:val="00A844C2"/>
    <w:rsid w:val="00A8469C"/>
    <w:rsid w:val="00A84F22"/>
    <w:rsid w:val="00A85003"/>
    <w:rsid w:val="00A8526E"/>
    <w:rsid w:val="00A8532E"/>
    <w:rsid w:val="00A85471"/>
    <w:rsid w:val="00A854C5"/>
    <w:rsid w:val="00A85740"/>
    <w:rsid w:val="00A85752"/>
    <w:rsid w:val="00A85923"/>
    <w:rsid w:val="00A860D9"/>
    <w:rsid w:val="00A86132"/>
    <w:rsid w:val="00A86331"/>
    <w:rsid w:val="00A8646C"/>
    <w:rsid w:val="00A8655F"/>
    <w:rsid w:val="00A868E7"/>
    <w:rsid w:val="00A86A80"/>
    <w:rsid w:val="00A86CE5"/>
    <w:rsid w:val="00A87153"/>
    <w:rsid w:val="00A8720A"/>
    <w:rsid w:val="00A872CF"/>
    <w:rsid w:val="00A8744A"/>
    <w:rsid w:val="00A876E2"/>
    <w:rsid w:val="00A8781E"/>
    <w:rsid w:val="00A87A13"/>
    <w:rsid w:val="00A87A1B"/>
    <w:rsid w:val="00A87A3C"/>
    <w:rsid w:val="00A87C08"/>
    <w:rsid w:val="00A87F81"/>
    <w:rsid w:val="00A90058"/>
    <w:rsid w:val="00A900AB"/>
    <w:rsid w:val="00A90132"/>
    <w:rsid w:val="00A902D3"/>
    <w:rsid w:val="00A9033F"/>
    <w:rsid w:val="00A903E3"/>
    <w:rsid w:val="00A90467"/>
    <w:rsid w:val="00A90544"/>
    <w:rsid w:val="00A90550"/>
    <w:rsid w:val="00A9056A"/>
    <w:rsid w:val="00A907C5"/>
    <w:rsid w:val="00A909F5"/>
    <w:rsid w:val="00A911A9"/>
    <w:rsid w:val="00A9133B"/>
    <w:rsid w:val="00A914A7"/>
    <w:rsid w:val="00A9187F"/>
    <w:rsid w:val="00A91B5A"/>
    <w:rsid w:val="00A91C6E"/>
    <w:rsid w:val="00A91F8B"/>
    <w:rsid w:val="00A9211B"/>
    <w:rsid w:val="00A92344"/>
    <w:rsid w:val="00A92557"/>
    <w:rsid w:val="00A927C6"/>
    <w:rsid w:val="00A9285D"/>
    <w:rsid w:val="00A9294C"/>
    <w:rsid w:val="00A92B85"/>
    <w:rsid w:val="00A93232"/>
    <w:rsid w:val="00A9332C"/>
    <w:rsid w:val="00A93551"/>
    <w:rsid w:val="00A937A5"/>
    <w:rsid w:val="00A937B9"/>
    <w:rsid w:val="00A937DD"/>
    <w:rsid w:val="00A93B17"/>
    <w:rsid w:val="00A93BDE"/>
    <w:rsid w:val="00A93CE0"/>
    <w:rsid w:val="00A93FB7"/>
    <w:rsid w:val="00A94203"/>
    <w:rsid w:val="00A94364"/>
    <w:rsid w:val="00A94394"/>
    <w:rsid w:val="00A943EB"/>
    <w:rsid w:val="00A944E9"/>
    <w:rsid w:val="00A94556"/>
    <w:rsid w:val="00A94706"/>
    <w:rsid w:val="00A947E8"/>
    <w:rsid w:val="00A94911"/>
    <w:rsid w:val="00A949A7"/>
    <w:rsid w:val="00A94C56"/>
    <w:rsid w:val="00A94DD6"/>
    <w:rsid w:val="00A94E2D"/>
    <w:rsid w:val="00A9501D"/>
    <w:rsid w:val="00A955B8"/>
    <w:rsid w:val="00A95690"/>
    <w:rsid w:val="00A9592A"/>
    <w:rsid w:val="00A9596A"/>
    <w:rsid w:val="00A95AEA"/>
    <w:rsid w:val="00A95BDD"/>
    <w:rsid w:val="00A95CAE"/>
    <w:rsid w:val="00A95D05"/>
    <w:rsid w:val="00A95DCC"/>
    <w:rsid w:val="00A95E9A"/>
    <w:rsid w:val="00A96163"/>
    <w:rsid w:val="00A966BA"/>
    <w:rsid w:val="00A9676D"/>
    <w:rsid w:val="00A9678E"/>
    <w:rsid w:val="00A9679B"/>
    <w:rsid w:val="00A968AE"/>
    <w:rsid w:val="00A9697A"/>
    <w:rsid w:val="00A96A8E"/>
    <w:rsid w:val="00A96AB3"/>
    <w:rsid w:val="00A96C17"/>
    <w:rsid w:val="00A96C9B"/>
    <w:rsid w:val="00A96CB3"/>
    <w:rsid w:val="00A96FD7"/>
    <w:rsid w:val="00A9767E"/>
    <w:rsid w:val="00A976CA"/>
    <w:rsid w:val="00A97743"/>
    <w:rsid w:val="00A97F42"/>
    <w:rsid w:val="00AA025E"/>
    <w:rsid w:val="00AA029D"/>
    <w:rsid w:val="00AA02AD"/>
    <w:rsid w:val="00AA0333"/>
    <w:rsid w:val="00AA04A0"/>
    <w:rsid w:val="00AA0811"/>
    <w:rsid w:val="00AA094C"/>
    <w:rsid w:val="00AA0BA0"/>
    <w:rsid w:val="00AA0C35"/>
    <w:rsid w:val="00AA0DCD"/>
    <w:rsid w:val="00AA0E71"/>
    <w:rsid w:val="00AA115D"/>
    <w:rsid w:val="00AA11BC"/>
    <w:rsid w:val="00AA13E5"/>
    <w:rsid w:val="00AA1426"/>
    <w:rsid w:val="00AA143B"/>
    <w:rsid w:val="00AA1453"/>
    <w:rsid w:val="00AA1B9C"/>
    <w:rsid w:val="00AA1BC8"/>
    <w:rsid w:val="00AA1DD9"/>
    <w:rsid w:val="00AA2336"/>
    <w:rsid w:val="00AA234F"/>
    <w:rsid w:val="00AA23A8"/>
    <w:rsid w:val="00AA27EE"/>
    <w:rsid w:val="00AA2A6A"/>
    <w:rsid w:val="00AA2FAA"/>
    <w:rsid w:val="00AA3125"/>
    <w:rsid w:val="00AA36B3"/>
    <w:rsid w:val="00AA3853"/>
    <w:rsid w:val="00AA393A"/>
    <w:rsid w:val="00AA3A19"/>
    <w:rsid w:val="00AA3B97"/>
    <w:rsid w:val="00AA3C11"/>
    <w:rsid w:val="00AA3C16"/>
    <w:rsid w:val="00AA3D6E"/>
    <w:rsid w:val="00AA3F10"/>
    <w:rsid w:val="00AA40DF"/>
    <w:rsid w:val="00AA476A"/>
    <w:rsid w:val="00AA483C"/>
    <w:rsid w:val="00AA4C86"/>
    <w:rsid w:val="00AA4CB0"/>
    <w:rsid w:val="00AA4D17"/>
    <w:rsid w:val="00AA4E45"/>
    <w:rsid w:val="00AA4E6E"/>
    <w:rsid w:val="00AA4EFD"/>
    <w:rsid w:val="00AA5040"/>
    <w:rsid w:val="00AA51D9"/>
    <w:rsid w:val="00AA52CF"/>
    <w:rsid w:val="00AA547D"/>
    <w:rsid w:val="00AA5550"/>
    <w:rsid w:val="00AA5846"/>
    <w:rsid w:val="00AA58A9"/>
    <w:rsid w:val="00AA5B7F"/>
    <w:rsid w:val="00AA6166"/>
    <w:rsid w:val="00AA6226"/>
    <w:rsid w:val="00AA640A"/>
    <w:rsid w:val="00AA6474"/>
    <w:rsid w:val="00AA6885"/>
    <w:rsid w:val="00AA6D5F"/>
    <w:rsid w:val="00AA6DEE"/>
    <w:rsid w:val="00AA6E83"/>
    <w:rsid w:val="00AA74E4"/>
    <w:rsid w:val="00AA7616"/>
    <w:rsid w:val="00AA7677"/>
    <w:rsid w:val="00AA76D8"/>
    <w:rsid w:val="00AA773B"/>
    <w:rsid w:val="00AA7814"/>
    <w:rsid w:val="00AA79B4"/>
    <w:rsid w:val="00AA79EF"/>
    <w:rsid w:val="00AA7DDB"/>
    <w:rsid w:val="00AB0117"/>
    <w:rsid w:val="00AB0134"/>
    <w:rsid w:val="00AB01B6"/>
    <w:rsid w:val="00AB06BA"/>
    <w:rsid w:val="00AB075B"/>
    <w:rsid w:val="00AB07F8"/>
    <w:rsid w:val="00AB085C"/>
    <w:rsid w:val="00AB0C52"/>
    <w:rsid w:val="00AB0C8C"/>
    <w:rsid w:val="00AB0D6A"/>
    <w:rsid w:val="00AB0F39"/>
    <w:rsid w:val="00AB0FC4"/>
    <w:rsid w:val="00AB1002"/>
    <w:rsid w:val="00AB11DB"/>
    <w:rsid w:val="00AB1345"/>
    <w:rsid w:val="00AB141E"/>
    <w:rsid w:val="00AB14FE"/>
    <w:rsid w:val="00AB1605"/>
    <w:rsid w:val="00AB19D5"/>
    <w:rsid w:val="00AB20AF"/>
    <w:rsid w:val="00AB2377"/>
    <w:rsid w:val="00AB2485"/>
    <w:rsid w:val="00AB2783"/>
    <w:rsid w:val="00AB2823"/>
    <w:rsid w:val="00AB2B15"/>
    <w:rsid w:val="00AB2C64"/>
    <w:rsid w:val="00AB31A5"/>
    <w:rsid w:val="00AB3263"/>
    <w:rsid w:val="00AB32D1"/>
    <w:rsid w:val="00AB3395"/>
    <w:rsid w:val="00AB3598"/>
    <w:rsid w:val="00AB3990"/>
    <w:rsid w:val="00AB3ACC"/>
    <w:rsid w:val="00AB3BD4"/>
    <w:rsid w:val="00AB3EF9"/>
    <w:rsid w:val="00AB40A3"/>
    <w:rsid w:val="00AB40BE"/>
    <w:rsid w:val="00AB425F"/>
    <w:rsid w:val="00AB43E4"/>
    <w:rsid w:val="00AB4B3F"/>
    <w:rsid w:val="00AB4C15"/>
    <w:rsid w:val="00AB4D89"/>
    <w:rsid w:val="00AB4E1D"/>
    <w:rsid w:val="00AB512A"/>
    <w:rsid w:val="00AB51C2"/>
    <w:rsid w:val="00AB54E7"/>
    <w:rsid w:val="00AB5C68"/>
    <w:rsid w:val="00AB5D81"/>
    <w:rsid w:val="00AB5F9C"/>
    <w:rsid w:val="00AB5FB3"/>
    <w:rsid w:val="00AB5FD5"/>
    <w:rsid w:val="00AB6664"/>
    <w:rsid w:val="00AB67E4"/>
    <w:rsid w:val="00AB6843"/>
    <w:rsid w:val="00AB693C"/>
    <w:rsid w:val="00AB6B08"/>
    <w:rsid w:val="00AB6BBC"/>
    <w:rsid w:val="00AB6C91"/>
    <w:rsid w:val="00AB73B6"/>
    <w:rsid w:val="00AB7D73"/>
    <w:rsid w:val="00AB7E23"/>
    <w:rsid w:val="00AB7E52"/>
    <w:rsid w:val="00AB7F37"/>
    <w:rsid w:val="00AC03CB"/>
    <w:rsid w:val="00AC03E0"/>
    <w:rsid w:val="00AC0566"/>
    <w:rsid w:val="00AC060E"/>
    <w:rsid w:val="00AC064B"/>
    <w:rsid w:val="00AC08C5"/>
    <w:rsid w:val="00AC0ABD"/>
    <w:rsid w:val="00AC0B30"/>
    <w:rsid w:val="00AC0E27"/>
    <w:rsid w:val="00AC1036"/>
    <w:rsid w:val="00AC10F5"/>
    <w:rsid w:val="00AC12F2"/>
    <w:rsid w:val="00AC1861"/>
    <w:rsid w:val="00AC1A19"/>
    <w:rsid w:val="00AC1A3D"/>
    <w:rsid w:val="00AC1A99"/>
    <w:rsid w:val="00AC1B2B"/>
    <w:rsid w:val="00AC1BD5"/>
    <w:rsid w:val="00AC1C55"/>
    <w:rsid w:val="00AC1FAE"/>
    <w:rsid w:val="00AC20DA"/>
    <w:rsid w:val="00AC225D"/>
    <w:rsid w:val="00AC250A"/>
    <w:rsid w:val="00AC25A9"/>
    <w:rsid w:val="00AC2793"/>
    <w:rsid w:val="00AC27C6"/>
    <w:rsid w:val="00AC2C29"/>
    <w:rsid w:val="00AC2CDB"/>
    <w:rsid w:val="00AC2DC9"/>
    <w:rsid w:val="00AC2FF9"/>
    <w:rsid w:val="00AC30D0"/>
    <w:rsid w:val="00AC32B5"/>
    <w:rsid w:val="00AC3696"/>
    <w:rsid w:val="00AC36AC"/>
    <w:rsid w:val="00AC3B7B"/>
    <w:rsid w:val="00AC3DAC"/>
    <w:rsid w:val="00AC41CB"/>
    <w:rsid w:val="00AC425D"/>
    <w:rsid w:val="00AC4B2D"/>
    <w:rsid w:val="00AC4E1A"/>
    <w:rsid w:val="00AC511B"/>
    <w:rsid w:val="00AC51BF"/>
    <w:rsid w:val="00AC5446"/>
    <w:rsid w:val="00AC54A3"/>
    <w:rsid w:val="00AC5862"/>
    <w:rsid w:val="00AC586A"/>
    <w:rsid w:val="00AC5A48"/>
    <w:rsid w:val="00AC5AEE"/>
    <w:rsid w:val="00AC5AFE"/>
    <w:rsid w:val="00AC5D96"/>
    <w:rsid w:val="00AC5EC5"/>
    <w:rsid w:val="00AC5FFB"/>
    <w:rsid w:val="00AC6338"/>
    <w:rsid w:val="00AC686E"/>
    <w:rsid w:val="00AC6950"/>
    <w:rsid w:val="00AC6987"/>
    <w:rsid w:val="00AC6A8C"/>
    <w:rsid w:val="00AC6AB9"/>
    <w:rsid w:val="00AC6C92"/>
    <w:rsid w:val="00AC6D15"/>
    <w:rsid w:val="00AC6DD3"/>
    <w:rsid w:val="00AC6E73"/>
    <w:rsid w:val="00AC6EF8"/>
    <w:rsid w:val="00AC70B8"/>
    <w:rsid w:val="00AC71D8"/>
    <w:rsid w:val="00AC7350"/>
    <w:rsid w:val="00AC7357"/>
    <w:rsid w:val="00AC75C9"/>
    <w:rsid w:val="00AC76A1"/>
    <w:rsid w:val="00AC7B45"/>
    <w:rsid w:val="00AC7C8B"/>
    <w:rsid w:val="00AC7CBB"/>
    <w:rsid w:val="00AC7DE2"/>
    <w:rsid w:val="00AD0252"/>
    <w:rsid w:val="00AD02F5"/>
    <w:rsid w:val="00AD03CF"/>
    <w:rsid w:val="00AD03F5"/>
    <w:rsid w:val="00AD0862"/>
    <w:rsid w:val="00AD092A"/>
    <w:rsid w:val="00AD092E"/>
    <w:rsid w:val="00AD1266"/>
    <w:rsid w:val="00AD1338"/>
    <w:rsid w:val="00AD1433"/>
    <w:rsid w:val="00AD15FB"/>
    <w:rsid w:val="00AD183C"/>
    <w:rsid w:val="00AD1999"/>
    <w:rsid w:val="00AD1F49"/>
    <w:rsid w:val="00AD2226"/>
    <w:rsid w:val="00AD245D"/>
    <w:rsid w:val="00AD2522"/>
    <w:rsid w:val="00AD317A"/>
    <w:rsid w:val="00AD31CD"/>
    <w:rsid w:val="00AD34BE"/>
    <w:rsid w:val="00AD3BBC"/>
    <w:rsid w:val="00AD3BCF"/>
    <w:rsid w:val="00AD3C63"/>
    <w:rsid w:val="00AD3C89"/>
    <w:rsid w:val="00AD3E60"/>
    <w:rsid w:val="00AD4171"/>
    <w:rsid w:val="00AD437B"/>
    <w:rsid w:val="00AD4468"/>
    <w:rsid w:val="00AD4800"/>
    <w:rsid w:val="00AD4897"/>
    <w:rsid w:val="00AD4B1B"/>
    <w:rsid w:val="00AD505C"/>
    <w:rsid w:val="00AD5357"/>
    <w:rsid w:val="00AD585E"/>
    <w:rsid w:val="00AD5879"/>
    <w:rsid w:val="00AD5BEB"/>
    <w:rsid w:val="00AD5CB9"/>
    <w:rsid w:val="00AD5D86"/>
    <w:rsid w:val="00AD5E2F"/>
    <w:rsid w:val="00AD6036"/>
    <w:rsid w:val="00AD63BE"/>
    <w:rsid w:val="00AD64BE"/>
    <w:rsid w:val="00AD68A8"/>
    <w:rsid w:val="00AD6925"/>
    <w:rsid w:val="00AD6D71"/>
    <w:rsid w:val="00AD6DC0"/>
    <w:rsid w:val="00AD7344"/>
    <w:rsid w:val="00AD73D0"/>
    <w:rsid w:val="00AD745C"/>
    <w:rsid w:val="00AD755A"/>
    <w:rsid w:val="00AD793E"/>
    <w:rsid w:val="00AD7982"/>
    <w:rsid w:val="00AD7A97"/>
    <w:rsid w:val="00AD7B87"/>
    <w:rsid w:val="00AD7F9B"/>
    <w:rsid w:val="00AE01E4"/>
    <w:rsid w:val="00AE047D"/>
    <w:rsid w:val="00AE04D5"/>
    <w:rsid w:val="00AE0610"/>
    <w:rsid w:val="00AE073E"/>
    <w:rsid w:val="00AE080F"/>
    <w:rsid w:val="00AE08FC"/>
    <w:rsid w:val="00AE0A5B"/>
    <w:rsid w:val="00AE0AFE"/>
    <w:rsid w:val="00AE0EC0"/>
    <w:rsid w:val="00AE0EC8"/>
    <w:rsid w:val="00AE102F"/>
    <w:rsid w:val="00AE1674"/>
    <w:rsid w:val="00AE16C1"/>
    <w:rsid w:val="00AE1D31"/>
    <w:rsid w:val="00AE1DD0"/>
    <w:rsid w:val="00AE2489"/>
    <w:rsid w:val="00AE28D0"/>
    <w:rsid w:val="00AE2B6E"/>
    <w:rsid w:val="00AE2D64"/>
    <w:rsid w:val="00AE2D83"/>
    <w:rsid w:val="00AE2E84"/>
    <w:rsid w:val="00AE2E9C"/>
    <w:rsid w:val="00AE2ECA"/>
    <w:rsid w:val="00AE3078"/>
    <w:rsid w:val="00AE3555"/>
    <w:rsid w:val="00AE37DC"/>
    <w:rsid w:val="00AE39B4"/>
    <w:rsid w:val="00AE3C89"/>
    <w:rsid w:val="00AE3C95"/>
    <w:rsid w:val="00AE3DDF"/>
    <w:rsid w:val="00AE3E42"/>
    <w:rsid w:val="00AE404F"/>
    <w:rsid w:val="00AE4196"/>
    <w:rsid w:val="00AE45E8"/>
    <w:rsid w:val="00AE45F9"/>
    <w:rsid w:val="00AE45FB"/>
    <w:rsid w:val="00AE470B"/>
    <w:rsid w:val="00AE48CD"/>
    <w:rsid w:val="00AE48E3"/>
    <w:rsid w:val="00AE4C69"/>
    <w:rsid w:val="00AE5019"/>
    <w:rsid w:val="00AE5419"/>
    <w:rsid w:val="00AE59DD"/>
    <w:rsid w:val="00AE5D3F"/>
    <w:rsid w:val="00AE5E6C"/>
    <w:rsid w:val="00AE6076"/>
    <w:rsid w:val="00AE623F"/>
    <w:rsid w:val="00AE62C8"/>
    <w:rsid w:val="00AE6332"/>
    <w:rsid w:val="00AE65A7"/>
    <w:rsid w:val="00AE6C25"/>
    <w:rsid w:val="00AE6C3C"/>
    <w:rsid w:val="00AE6D35"/>
    <w:rsid w:val="00AE6DC8"/>
    <w:rsid w:val="00AE7227"/>
    <w:rsid w:val="00AE73EE"/>
    <w:rsid w:val="00AE77F1"/>
    <w:rsid w:val="00AE7833"/>
    <w:rsid w:val="00AE78A2"/>
    <w:rsid w:val="00AE79FA"/>
    <w:rsid w:val="00AF00C6"/>
    <w:rsid w:val="00AF0370"/>
    <w:rsid w:val="00AF05D9"/>
    <w:rsid w:val="00AF0610"/>
    <w:rsid w:val="00AF061D"/>
    <w:rsid w:val="00AF086E"/>
    <w:rsid w:val="00AF0BE0"/>
    <w:rsid w:val="00AF0F9C"/>
    <w:rsid w:val="00AF0FDA"/>
    <w:rsid w:val="00AF10D0"/>
    <w:rsid w:val="00AF1294"/>
    <w:rsid w:val="00AF13BC"/>
    <w:rsid w:val="00AF1A40"/>
    <w:rsid w:val="00AF1D5E"/>
    <w:rsid w:val="00AF1E55"/>
    <w:rsid w:val="00AF1F21"/>
    <w:rsid w:val="00AF20AA"/>
    <w:rsid w:val="00AF217B"/>
    <w:rsid w:val="00AF255A"/>
    <w:rsid w:val="00AF27DE"/>
    <w:rsid w:val="00AF28C7"/>
    <w:rsid w:val="00AF28E1"/>
    <w:rsid w:val="00AF290D"/>
    <w:rsid w:val="00AF2AA1"/>
    <w:rsid w:val="00AF2AF2"/>
    <w:rsid w:val="00AF2D1C"/>
    <w:rsid w:val="00AF2F66"/>
    <w:rsid w:val="00AF317E"/>
    <w:rsid w:val="00AF360A"/>
    <w:rsid w:val="00AF36A3"/>
    <w:rsid w:val="00AF39C2"/>
    <w:rsid w:val="00AF3B10"/>
    <w:rsid w:val="00AF3EA8"/>
    <w:rsid w:val="00AF4156"/>
    <w:rsid w:val="00AF4551"/>
    <w:rsid w:val="00AF45A3"/>
    <w:rsid w:val="00AF46C9"/>
    <w:rsid w:val="00AF46D5"/>
    <w:rsid w:val="00AF474E"/>
    <w:rsid w:val="00AF4CCA"/>
    <w:rsid w:val="00AF4D2B"/>
    <w:rsid w:val="00AF50B2"/>
    <w:rsid w:val="00AF518F"/>
    <w:rsid w:val="00AF51D7"/>
    <w:rsid w:val="00AF5258"/>
    <w:rsid w:val="00AF61D2"/>
    <w:rsid w:val="00AF6206"/>
    <w:rsid w:val="00AF633F"/>
    <w:rsid w:val="00AF655B"/>
    <w:rsid w:val="00AF677A"/>
    <w:rsid w:val="00AF6867"/>
    <w:rsid w:val="00AF6892"/>
    <w:rsid w:val="00AF692B"/>
    <w:rsid w:val="00AF6AC5"/>
    <w:rsid w:val="00AF6B26"/>
    <w:rsid w:val="00AF6B95"/>
    <w:rsid w:val="00AF6BB9"/>
    <w:rsid w:val="00AF6E1D"/>
    <w:rsid w:val="00AF7091"/>
    <w:rsid w:val="00AF7206"/>
    <w:rsid w:val="00AF7290"/>
    <w:rsid w:val="00AF7338"/>
    <w:rsid w:val="00AF74CD"/>
    <w:rsid w:val="00AF7834"/>
    <w:rsid w:val="00AF78BC"/>
    <w:rsid w:val="00AF7903"/>
    <w:rsid w:val="00AF7B5F"/>
    <w:rsid w:val="00B0000F"/>
    <w:rsid w:val="00B00352"/>
    <w:rsid w:val="00B00475"/>
    <w:rsid w:val="00B00532"/>
    <w:rsid w:val="00B00628"/>
    <w:rsid w:val="00B00672"/>
    <w:rsid w:val="00B00C48"/>
    <w:rsid w:val="00B00D18"/>
    <w:rsid w:val="00B00D75"/>
    <w:rsid w:val="00B00E46"/>
    <w:rsid w:val="00B00F66"/>
    <w:rsid w:val="00B00FA8"/>
    <w:rsid w:val="00B01013"/>
    <w:rsid w:val="00B0142A"/>
    <w:rsid w:val="00B01554"/>
    <w:rsid w:val="00B01625"/>
    <w:rsid w:val="00B018B0"/>
    <w:rsid w:val="00B01CD9"/>
    <w:rsid w:val="00B01D01"/>
    <w:rsid w:val="00B01D3E"/>
    <w:rsid w:val="00B01D8E"/>
    <w:rsid w:val="00B01E49"/>
    <w:rsid w:val="00B01E60"/>
    <w:rsid w:val="00B01EF8"/>
    <w:rsid w:val="00B020CD"/>
    <w:rsid w:val="00B0221D"/>
    <w:rsid w:val="00B02317"/>
    <w:rsid w:val="00B024DD"/>
    <w:rsid w:val="00B02A9F"/>
    <w:rsid w:val="00B02AC1"/>
    <w:rsid w:val="00B02B6E"/>
    <w:rsid w:val="00B02BAF"/>
    <w:rsid w:val="00B02BC8"/>
    <w:rsid w:val="00B02C27"/>
    <w:rsid w:val="00B02DE7"/>
    <w:rsid w:val="00B02EC0"/>
    <w:rsid w:val="00B03098"/>
    <w:rsid w:val="00B031ED"/>
    <w:rsid w:val="00B0325E"/>
    <w:rsid w:val="00B0334F"/>
    <w:rsid w:val="00B0362C"/>
    <w:rsid w:val="00B037CF"/>
    <w:rsid w:val="00B03918"/>
    <w:rsid w:val="00B03B64"/>
    <w:rsid w:val="00B03B89"/>
    <w:rsid w:val="00B03F26"/>
    <w:rsid w:val="00B04038"/>
    <w:rsid w:val="00B04164"/>
    <w:rsid w:val="00B041DF"/>
    <w:rsid w:val="00B04312"/>
    <w:rsid w:val="00B04455"/>
    <w:rsid w:val="00B04623"/>
    <w:rsid w:val="00B04998"/>
    <w:rsid w:val="00B04ADB"/>
    <w:rsid w:val="00B04C5C"/>
    <w:rsid w:val="00B04EAC"/>
    <w:rsid w:val="00B050CA"/>
    <w:rsid w:val="00B052E2"/>
    <w:rsid w:val="00B05837"/>
    <w:rsid w:val="00B05C35"/>
    <w:rsid w:val="00B06560"/>
    <w:rsid w:val="00B06577"/>
    <w:rsid w:val="00B068B7"/>
    <w:rsid w:val="00B06E2F"/>
    <w:rsid w:val="00B072E2"/>
    <w:rsid w:val="00B0734F"/>
    <w:rsid w:val="00B07370"/>
    <w:rsid w:val="00B0752F"/>
    <w:rsid w:val="00B07663"/>
    <w:rsid w:val="00B0773E"/>
    <w:rsid w:val="00B077FF"/>
    <w:rsid w:val="00B078B6"/>
    <w:rsid w:val="00B07E85"/>
    <w:rsid w:val="00B07FF5"/>
    <w:rsid w:val="00B100AE"/>
    <w:rsid w:val="00B100E1"/>
    <w:rsid w:val="00B10142"/>
    <w:rsid w:val="00B104A0"/>
    <w:rsid w:val="00B10512"/>
    <w:rsid w:val="00B105BA"/>
    <w:rsid w:val="00B1094C"/>
    <w:rsid w:val="00B10A06"/>
    <w:rsid w:val="00B10D7C"/>
    <w:rsid w:val="00B10DE4"/>
    <w:rsid w:val="00B10E8A"/>
    <w:rsid w:val="00B10F0A"/>
    <w:rsid w:val="00B11187"/>
    <w:rsid w:val="00B113C6"/>
    <w:rsid w:val="00B117D9"/>
    <w:rsid w:val="00B1193C"/>
    <w:rsid w:val="00B119D5"/>
    <w:rsid w:val="00B11B20"/>
    <w:rsid w:val="00B11C1D"/>
    <w:rsid w:val="00B11CCB"/>
    <w:rsid w:val="00B12116"/>
    <w:rsid w:val="00B121B9"/>
    <w:rsid w:val="00B12251"/>
    <w:rsid w:val="00B122BB"/>
    <w:rsid w:val="00B122E4"/>
    <w:rsid w:val="00B1245F"/>
    <w:rsid w:val="00B12614"/>
    <w:rsid w:val="00B126C2"/>
    <w:rsid w:val="00B12851"/>
    <w:rsid w:val="00B12C64"/>
    <w:rsid w:val="00B12D5E"/>
    <w:rsid w:val="00B12E8E"/>
    <w:rsid w:val="00B12FB1"/>
    <w:rsid w:val="00B1304B"/>
    <w:rsid w:val="00B1311A"/>
    <w:rsid w:val="00B13162"/>
    <w:rsid w:val="00B13337"/>
    <w:rsid w:val="00B134F5"/>
    <w:rsid w:val="00B1367D"/>
    <w:rsid w:val="00B139E8"/>
    <w:rsid w:val="00B13C20"/>
    <w:rsid w:val="00B13C55"/>
    <w:rsid w:val="00B13F5E"/>
    <w:rsid w:val="00B13F76"/>
    <w:rsid w:val="00B140F6"/>
    <w:rsid w:val="00B149D9"/>
    <w:rsid w:val="00B14A8F"/>
    <w:rsid w:val="00B14BAA"/>
    <w:rsid w:val="00B14DD0"/>
    <w:rsid w:val="00B14F01"/>
    <w:rsid w:val="00B14F08"/>
    <w:rsid w:val="00B1519B"/>
    <w:rsid w:val="00B1523E"/>
    <w:rsid w:val="00B152D1"/>
    <w:rsid w:val="00B15394"/>
    <w:rsid w:val="00B153B8"/>
    <w:rsid w:val="00B156A2"/>
    <w:rsid w:val="00B156C6"/>
    <w:rsid w:val="00B157D5"/>
    <w:rsid w:val="00B157D7"/>
    <w:rsid w:val="00B15C16"/>
    <w:rsid w:val="00B15CE1"/>
    <w:rsid w:val="00B15D08"/>
    <w:rsid w:val="00B16097"/>
    <w:rsid w:val="00B162F8"/>
    <w:rsid w:val="00B16506"/>
    <w:rsid w:val="00B1653D"/>
    <w:rsid w:val="00B1668A"/>
    <w:rsid w:val="00B16B41"/>
    <w:rsid w:val="00B16D4C"/>
    <w:rsid w:val="00B16F8C"/>
    <w:rsid w:val="00B16FEA"/>
    <w:rsid w:val="00B17143"/>
    <w:rsid w:val="00B174BB"/>
    <w:rsid w:val="00B1759C"/>
    <w:rsid w:val="00B1774B"/>
    <w:rsid w:val="00B179A3"/>
    <w:rsid w:val="00B17CF7"/>
    <w:rsid w:val="00B17E3B"/>
    <w:rsid w:val="00B202FC"/>
    <w:rsid w:val="00B20418"/>
    <w:rsid w:val="00B20453"/>
    <w:rsid w:val="00B20508"/>
    <w:rsid w:val="00B20B8D"/>
    <w:rsid w:val="00B20C09"/>
    <w:rsid w:val="00B2152E"/>
    <w:rsid w:val="00B21A8D"/>
    <w:rsid w:val="00B21AAF"/>
    <w:rsid w:val="00B21B46"/>
    <w:rsid w:val="00B22148"/>
    <w:rsid w:val="00B22500"/>
    <w:rsid w:val="00B2252E"/>
    <w:rsid w:val="00B2262B"/>
    <w:rsid w:val="00B2265D"/>
    <w:rsid w:val="00B22BBD"/>
    <w:rsid w:val="00B22DA3"/>
    <w:rsid w:val="00B22E89"/>
    <w:rsid w:val="00B22F3A"/>
    <w:rsid w:val="00B233D3"/>
    <w:rsid w:val="00B234F9"/>
    <w:rsid w:val="00B23785"/>
    <w:rsid w:val="00B23A79"/>
    <w:rsid w:val="00B23AD7"/>
    <w:rsid w:val="00B23DFC"/>
    <w:rsid w:val="00B24233"/>
    <w:rsid w:val="00B2444A"/>
    <w:rsid w:val="00B2475E"/>
    <w:rsid w:val="00B24AAC"/>
    <w:rsid w:val="00B24CAB"/>
    <w:rsid w:val="00B251DA"/>
    <w:rsid w:val="00B252BA"/>
    <w:rsid w:val="00B253A8"/>
    <w:rsid w:val="00B255CB"/>
    <w:rsid w:val="00B255F7"/>
    <w:rsid w:val="00B256A8"/>
    <w:rsid w:val="00B256E7"/>
    <w:rsid w:val="00B25856"/>
    <w:rsid w:val="00B258A4"/>
    <w:rsid w:val="00B25A34"/>
    <w:rsid w:val="00B25A91"/>
    <w:rsid w:val="00B25B2D"/>
    <w:rsid w:val="00B2609F"/>
    <w:rsid w:val="00B260AB"/>
    <w:rsid w:val="00B26147"/>
    <w:rsid w:val="00B2619E"/>
    <w:rsid w:val="00B26581"/>
    <w:rsid w:val="00B2668B"/>
    <w:rsid w:val="00B2683A"/>
    <w:rsid w:val="00B268AF"/>
    <w:rsid w:val="00B26C41"/>
    <w:rsid w:val="00B27194"/>
    <w:rsid w:val="00B271D8"/>
    <w:rsid w:val="00B27668"/>
    <w:rsid w:val="00B2784D"/>
    <w:rsid w:val="00B278B4"/>
    <w:rsid w:val="00B27906"/>
    <w:rsid w:val="00B27BAF"/>
    <w:rsid w:val="00B27F31"/>
    <w:rsid w:val="00B3017D"/>
    <w:rsid w:val="00B301AA"/>
    <w:rsid w:val="00B3092A"/>
    <w:rsid w:val="00B30AD9"/>
    <w:rsid w:val="00B30C36"/>
    <w:rsid w:val="00B30CAE"/>
    <w:rsid w:val="00B310C8"/>
    <w:rsid w:val="00B31261"/>
    <w:rsid w:val="00B3127D"/>
    <w:rsid w:val="00B31485"/>
    <w:rsid w:val="00B31A52"/>
    <w:rsid w:val="00B31E19"/>
    <w:rsid w:val="00B31F69"/>
    <w:rsid w:val="00B3208F"/>
    <w:rsid w:val="00B322A7"/>
    <w:rsid w:val="00B32795"/>
    <w:rsid w:val="00B327AF"/>
    <w:rsid w:val="00B32AB6"/>
    <w:rsid w:val="00B32CDB"/>
    <w:rsid w:val="00B32D57"/>
    <w:rsid w:val="00B33401"/>
    <w:rsid w:val="00B3358B"/>
    <w:rsid w:val="00B338CE"/>
    <w:rsid w:val="00B33A67"/>
    <w:rsid w:val="00B33E23"/>
    <w:rsid w:val="00B33F3E"/>
    <w:rsid w:val="00B340B3"/>
    <w:rsid w:val="00B3415F"/>
    <w:rsid w:val="00B341B1"/>
    <w:rsid w:val="00B3429D"/>
    <w:rsid w:val="00B343C2"/>
    <w:rsid w:val="00B3464A"/>
    <w:rsid w:val="00B3469C"/>
    <w:rsid w:val="00B34760"/>
    <w:rsid w:val="00B34792"/>
    <w:rsid w:val="00B347EE"/>
    <w:rsid w:val="00B34829"/>
    <w:rsid w:val="00B3483F"/>
    <w:rsid w:val="00B348F6"/>
    <w:rsid w:val="00B34D0E"/>
    <w:rsid w:val="00B35059"/>
    <w:rsid w:val="00B35378"/>
    <w:rsid w:val="00B3560F"/>
    <w:rsid w:val="00B357FE"/>
    <w:rsid w:val="00B35C12"/>
    <w:rsid w:val="00B3608E"/>
    <w:rsid w:val="00B3611E"/>
    <w:rsid w:val="00B364DB"/>
    <w:rsid w:val="00B36845"/>
    <w:rsid w:val="00B3687C"/>
    <w:rsid w:val="00B369A8"/>
    <w:rsid w:val="00B36F8F"/>
    <w:rsid w:val="00B370AE"/>
    <w:rsid w:val="00B372C8"/>
    <w:rsid w:val="00B37872"/>
    <w:rsid w:val="00B37982"/>
    <w:rsid w:val="00B3798A"/>
    <w:rsid w:val="00B379E0"/>
    <w:rsid w:val="00B37E41"/>
    <w:rsid w:val="00B400F0"/>
    <w:rsid w:val="00B4058E"/>
    <w:rsid w:val="00B40633"/>
    <w:rsid w:val="00B40DB4"/>
    <w:rsid w:val="00B41021"/>
    <w:rsid w:val="00B410B6"/>
    <w:rsid w:val="00B41303"/>
    <w:rsid w:val="00B413C2"/>
    <w:rsid w:val="00B41554"/>
    <w:rsid w:val="00B415A5"/>
    <w:rsid w:val="00B41650"/>
    <w:rsid w:val="00B416D1"/>
    <w:rsid w:val="00B416E3"/>
    <w:rsid w:val="00B418E9"/>
    <w:rsid w:val="00B41A84"/>
    <w:rsid w:val="00B422F4"/>
    <w:rsid w:val="00B423A6"/>
    <w:rsid w:val="00B426EC"/>
    <w:rsid w:val="00B42EB5"/>
    <w:rsid w:val="00B42F1E"/>
    <w:rsid w:val="00B4304B"/>
    <w:rsid w:val="00B4308F"/>
    <w:rsid w:val="00B430A7"/>
    <w:rsid w:val="00B43180"/>
    <w:rsid w:val="00B432F6"/>
    <w:rsid w:val="00B43361"/>
    <w:rsid w:val="00B433C0"/>
    <w:rsid w:val="00B433E0"/>
    <w:rsid w:val="00B43812"/>
    <w:rsid w:val="00B43960"/>
    <w:rsid w:val="00B43F99"/>
    <w:rsid w:val="00B44778"/>
    <w:rsid w:val="00B44826"/>
    <w:rsid w:val="00B44D31"/>
    <w:rsid w:val="00B44D9B"/>
    <w:rsid w:val="00B45926"/>
    <w:rsid w:val="00B45DCA"/>
    <w:rsid w:val="00B45EDA"/>
    <w:rsid w:val="00B463E1"/>
    <w:rsid w:val="00B465D7"/>
    <w:rsid w:val="00B469C2"/>
    <w:rsid w:val="00B469DB"/>
    <w:rsid w:val="00B46FBE"/>
    <w:rsid w:val="00B47060"/>
    <w:rsid w:val="00B47275"/>
    <w:rsid w:val="00B4746B"/>
    <w:rsid w:val="00B47780"/>
    <w:rsid w:val="00B47802"/>
    <w:rsid w:val="00B47832"/>
    <w:rsid w:val="00B47A80"/>
    <w:rsid w:val="00B47BB3"/>
    <w:rsid w:val="00B47FCC"/>
    <w:rsid w:val="00B5001C"/>
    <w:rsid w:val="00B50416"/>
    <w:rsid w:val="00B5077F"/>
    <w:rsid w:val="00B5079B"/>
    <w:rsid w:val="00B50886"/>
    <w:rsid w:val="00B50A99"/>
    <w:rsid w:val="00B50EFC"/>
    <w:rsid w:val="00B5153F"/>
    <w:rsid w:val="00B51D3B"/>
    <w:rsid w:val="00B51D63"/>
    <w:rsid w:val="00B51E49"/>
    <w:rsid w:val="00B51F5F"/>
    <w:rsid w:val="00B51FAC"/>
    <w:rsid w:val="00B5283A"/>
    <w:rsid w:val="00B52840"/>
    <w:rsid w:val="00B52972"/>
    <w:rsid w:val="00B52AA8"/>
    <w:rsid w:val="00B52B51"/>
    <w:rsid w:val="00B52E2C"/>
    <w:rsid w:val="00B52EB3"/>
    <w:rsid w:val="00B5312D"/>
    <w:rsid w:val="00B531B6"/>
    <w:rsid w:val="00B53225"/>
    <w:rsid w:val="00B5329F"/>
    <w:rsid w:val="00B53347"/>
    <w:rsid w:val="00B53427"/>
    <w:rsid w:val="00B53432"/>
    <w:rsid w:val="00B53987"/>
    <w:rsid w:val="00B53AD9"/>
    <w:rsid w:val="00B53AFD"/>
    <w:rsid w:val="00B53D3C"/>
    <w:rsid w:val="00B53DEE"/>
    <w:rsid w:val="00B5400F"/>
    <w:rsid w:val="00B54076"/>
    <w:rsid w:val="00B54488"/>
    <w:rsid w:val="00B547A6"/>
    <w:rsid w:val="00B54A8F"/>
    <w:rsid w:val="00B54AD5"/>
    <w:rsid w:val="00B54EA0"/>
    <w:rsid w:val="00B55252"/>
    <w:rsid w:val="00B55755"/>
    <w:rsid w:val="00B5584E"/>
    <w:rsid w:val="00B5592D"/>
    <w:rsid w:val="00B5598F"/>
    <w:rsid w:val="00B55D7F"/>
    <w:rsid w:val="00B55E6A"/>
    <w:rsid w:val="00B55E6D"/>
    <w:rsid w:val="00B5617E"/>
    <w:rsid w:val="00B561F4"/>
    <w:rsid w:val="00B56351"/>
    <w:rsid w:val="00B564F1"/>
    <w:rsid w:val="00B564F5"/>
    <w:rsid w:val="00B565CD"/>
    <w:rsid w:val="00B56804"/>
    <w:rsid w:val="00B56C58"/>
    <w:rsid w:val="00B56D88"/>
    <w:rsid w:val="00B56DA8"/>
    <w:rsid w:val="00B571E3"/>
    <w:rsid w:val="00B57276"/>
    <w:rsid w:val="00B572BF"/>
    <w:rsid w:val="00B575FF"/>
    <w:rsid w:val="00B576C8"/>
    <w:rsid w:val="00B579CA"/>
    <w:rsid w:val="00B57D01"/>
    <w:rsid w:val="00B57E38"/>
    <w:rsid w:val="00B57F8C"/>
    <w:rsid w:val="00B60592"/>
    <w:rsid w:val="00B6069E"/>
    <w:rsid w:val="00B60C80"/>
    <w:rsid w:val="00B60CDB"/>
    <w:rsid w:val="00B60EC8"/>
    <w:rsid w:val="00B60EF0"/>
    <w:rsid w:val="00B6142D"/>
    <w:rsid w:val="00B61782"/>
    <w:rsid w:val="00B61A45"/>
    <w:rsid w:val="00B61BFA"/>
    <w:rsid w:val="00B61FFA"/>
    <w:rsid w:val="00B6204D"/>
    <w:rsid w:val="00B624A9"/>
    <w:rsid w:val="00B627ED"/>
    <w:rsid w:val="00B6285E"/>
    <w:rsid w:val="00B6299D"/>
    <w:rsid w:val="00B62B78"/>
    <w:rsid w:val="00B62B9B"/>
    <w:rsid w:val="00B62CD1"/>
    <w:rsid w:val="00B62E98"/>
    <w:rsid w:val="00B63048"/>
    <w:rsid w:val="00B632BA"/>
    <w:rsid w:val="00B6397A"/>
    <w:rsid w:val="00B63AB5"/>
    <w:rsid w:val="00B63BCB"/>
    <w:rsid w:val="00B63C1A"/>
    <w:rsid w:val="00B63D78"/>
    <w:rsid w:val="00B63E43"/>
    <w:rsid w:val="00B641C9"/>
    <w:rsid w:val="00B643B6"/>
    <w:rsid w:val="00B64591"/>
    <w:rsid w:val="00B64C1E"/>
    <w:rsid w:val="00B64CC9"/>
    <w:rsid w:val="00B64F1A"/>
    <w:rsid w:val="00B650D9"/>
    <w:rsid w:val="00B651D1"/>
    <w:rsid w:val="00B65556"/>
    <w:rsid w:val="00B65857"/>
    <w:rsid w:val="00B65B31"/>
    <w:rsid w:val="00B65DDF"/>
    <w:rsid w:val="00B65F3F"/>
    <w:rsid w:val="00B65F88"/>
    <w:rsid w:val="00B66121"/>
    <w:rsid w:val="00B668AB"/>
    <w:rsid w:val="00B675AF"/>
    <w:rsid w:val="00B67633"/>
    <w:rsid w:val="00B67673"/>
    <w:rsid w:val="00B6784A"/>
    <w:rsid w:val="00B67924"/>
    <w:rsid w:val="00B67A1A"/>
    <w:rsid w:val="00B67ED0"/>
    <w:rsid w:val="00B70065"/>
    <w:rsid w:val="00B70107"/>
    <w:rsid w:val="00B7036C"/>
    <w:rsid w:val="00B7054F"/>
    <w:rsid w:val="00B7059A"/>
    <w:rsid w:val="00B7060D"/>
    <w:rsid w:val="00B70C16"/>
    <w:rsid w:val="00B70C8D"/>
    <w:rsid w:val="00B70CC4"/>
    <w:rsid w:val="00B70D92"/>
    <w:rsid w:val="00B71051"/>
    <w:rsid w:val="00B711CC"/>
    <w:rsid w:val="00B7131F"/>
    <w:rsid w:val="00B7173B"/>
    <w:rsid w:val="00B71DDE"/>
    <w:rsid w:val="00B71EED"/>
    <w:rsid w:val="00B7206E"/>
    <w:rsid w:val="00B7229E"/>
    <w:rsid w:val="00B722D8"/>
    <w:rsid w:val="00B72460"/>
    <w:rsid w:val="00B726F5"/>
    <w:rsid w:val="00B72758"/>
    <w:rsid w:val="00B7294A"/>
    <w:rsid w:val="00B72967"/>
    <w:rsid w:val="00B72EE9"/>
    <w:rsid w:val="00B73241"/>
    <w:rsid w:val="00B732E5"/>
    <w:rsid w:val="00B73399"/>
    <w:rsid w:val="00B73673"/>
    <w:rsid w:val="00B7370D"/>
    <w:rsid w:val="00B73921"/>
    <w:rsid w:val="00B73E5B"/>
    <w:rsid w:val="00B7469A"/>
    <w:rsid w:val="00B74935"/>
    <w:rsid w:val="00B74B42"/>
    <w:rsid w:val="00B750FD"/>
    <w:rsid w:val="00B75108"/>
    <w:rsid w:val="00B751D6"/>
    <w:rsid w:val="00B751FA"/>
    <w:rsid w:val="00B75323"/>
    <w:rsid w:val="00B75746"/>
    <w:rsid w:val="00B7578A"/>
    <w:rsid w:val="00B75997"/>
    <w:rsid w:val="00B75BB5"/>
    <w:rsid w:val="00B75DC7"/>
    <w:rsid w:val="00B75F6F"/>
    <w:rsid w:val="00B76231"/>
    <w:rsid w:val="00B763AF"/>
    <w:rsid w:val="00B76532"/>
    <w:rsid w:val="00B76961"/>
    <w:rsid w:val="00B769FB"/>
    <w:rsid w:val="00B76B29"/>
    <w:rsid w:val="00B76D86"/>
    <w:rsid w:val="00B76E2A"/>
    <w:rsid w:val="00B76F30"/>
    <w:rsid w:val="00B76F44"/>
    <w:rsid w:val="00B770E6"/>
    <w:rsid w:val="00B772E0"/>
    <w:rsid w:val="00B7749B"/>
    <w:rsid w:val="00B774CB"/>
    <w:rsid w:val="00B774DE"/>
    <w:rsid w:val="00B779AD"/>
    <w:rsid w:val="00B77A04"/>
    <w:rsid w:val="00B77C02"/>
    <w:rsid w:val="00B77FD3"/>
    <w:rsid w:val="00B8014F"/>
    <w:rsid w:val="00B8022E"/>
    <w:rsid w:val="00B802D8"/>
    <w:rsid w:val="00B80DC4"/>
    <w:rsid w:val="00B80EB0"/>
    <w:rsid w:val="00B80F73"/>
    <w:rsid w:val="00B80F7B"/>
    <w:rsid w:val="00B80FFA"/>
    <w:rsid w:val="00B81097"/>
    <w:rsid w:val="00B81223"/>
    <w:rsid w:val="00B81310"/>
    <w:rsid w:val="00B81370"/>
    <w:rsid w:val="00B81396"/>
    <w:rsid w:val="00B81405"/>
    <w:rsid w:val="00B815E8"/>
    <w:rsid w:val="00B81768"/>
    <w:rsid w:val="00B8182A"/>
    <w:rsid w:val="00B81A44"/>
    <w:rsid w:val="00B81D96"/>
    <w:rsid w:val="00B81E79"/>
    <w:rsid w:val="00B81F2D"/>
    <w:rsid w:val="00B82296"/>
    <w:rsid w:val="00B822F7"/>
    <w:rsid w:val="00B82399"/>
    <w:rsid w:val="00B824DE"/>
    <w:rsid w:val="00B826D5"/>
    <w:rsid w:val="00B829B5"/>
    <w:rsid w:val="00B82A39"/>
    <w:rsid w:val="00B82A81"/>
    <w:rsid w:val="00B82AD6"/>
    <w:rsid w:val="00B82BCC"/>
    <w:rsid w:val="00B8316A"/>
    <w:rsid w:val="00B8321B"/>
    <w:rsid w:val="00B832DF"/>
    <w:rsid w:val="00B83327"/>
    <w:rsid w:val="00B833A3"/>
    <w:rsid w:val="00B833C1"/>
    <w:rsid w:val="00B833D5"/>
    <w:rsid w:val="00B833FE"/>
    <w:rsid w:val="00B836D6"/>
    <w:rsid w:val="00B83BA2"/>
    <w:rsid w:val="00B83E53"/>
    <w:rsid w:val="00B83FFF"/>
    <w:rsid w:val="00B84023"/>
    <w:rsid w:val="00B842A7"/>
    <w:rsid w:val="00B84444"/>
    <w:rsid w:val="00B84480"/>
    <w:rsid w:val="00B8448D"/>
    <w:rsid w:val="00B8497F"/>
    <w:rsid w:val="00B84E95"/>
    <w:rsid w:val="00B84F0E"/>
    <w:rsid w:val="00B84F5C"/>
    <w:rsid w:val="00B851D6"/>
    <w:rsid w:val="00B85444"/>
    <w:rsid w:val="00B85552"/>
    <w:rsid w:val="00B855BD"/>
    <w:rsid w:val="00B8568C"/>
    <w:rsid w:val="00B85741"/>
    <w:rsid w:val="00B858F7"/>
    <w:rsid w:val="00B85C57"/>
    <w:rsid w:val="00B85E20"/>
    <w:rsid w:val="00B85E43"/>
    <w:rsid w:val="00B85E97"/>
    <w:rsid w:val="00B86145"/>
    <w:rsid w:val="00B86550"/>
    <w:rsid w:val="00B8669F"/>
    <w:rsid w:val="00B8674A"/>
    <w:rsid w:val="00B86A19"/>
    <w:rsid w:val="00B86AD9"/>
    <w:rsid w:val="00B86B97"/>
    <w:rsid w:val="00B86D1F"/>
    <w:rsid w:val="00B86F0B"/>
    <w:rsid w:val="00B870A6"/>
    <w:rsid w:val="00B87139"/>
    <w:rsid w:val="00B87351"/>
    <w:rsid w:val="00B874FC"/>
    <w:rsid w:val="00B87640"/>
    <w:rsid w:val="00B87A3C"/>
    <w:rsid w:val="00B87A97"/>
    <w:rsid w:val="00B87D96"/>
    <w:rsid w:val="00B90079"/>
    <w:rsid w:val="00B90827"/>
    <w:rsid w:val="00B90AEA"/>
    <w:rsid w:val="00B90BD0"/>
    <w:rsid w:val="00B90C4F"/>
    <w:rsid w:val="00B90C76"/>
    <w:rsid w:val="00B90D1F"/>
    <w:rsid w:val="00B90EEC"/>
    <w:rsid w:val="00B90F64"/>
    <w:rsid w:val="00B90F81"/>
    <w:rsid w:val="00B90F9C"/>
    <w:rsid w:val="00B910FC"/>
    <w:rsid w:val="00B91203"/>
    <w:rsid w:val="00B91698"/>
    <w:rsid w:val="00B91815"/>
    <w:rsid w:val="00B919A4"/>
    <w:rsid w:val="00B91A45"/>
    <w:rsid w:val="00B91F2A"/>
    <w:rsid w:val="00B91F3B"/>
    <w:rsid w:val="00B9205D"/>
    <w:rsid w:val="00B92473"/>
    <w:rsid w:val="00B9272B"/>
    <w:rsid w:val="00B92969"/>
    <w:rsid w:val="00B92A56"/>
    <w:rsid w:val="00B92F43"/>
    <w:rsid w:val="00B92FB5"/>
    <w:rsid w:val="00B93297"/>
    <w:rsid w:val="00B93298"/>
    <w:rsid w:val="00B9332A"/>
    <w:rsid w:val="00B93566"/>
    <w:rsid w:val="00B9369B"/>
    <w:rsid w:val="00B93A4B"/>
    <w:rsid w:val="00B93B09"/>
    <w:rsid w:val="00B93BF1"/>
    <w:rsid w:val="00B93C84"/>
    <w:rsid w:val="00B93DAB"/>
    <w:rsid w:val="00B94036"/>
    <w:rsid w:val="00B94129"/>
    <w:rsid w:val="00B94286"/>
    <w:rsid w:val="00B94401"/>
    <w:rsid w:val="00B944EC"/>
    <w:rsid w:val="00B94739"/>
    <w:rsid w:val="00B94B7B"/>
    <w:rsid w:val="00B94BDA"/>
    <w:rsid w:val="00B94BE7"/>
    <w:rsid w:val="00B94CB4"/>
    <w:rsid w:val="00B94CF7"/>
    <w:rsid w:val="00B94DAF"/>
    <w:rsid w:val="00B94E84"/>
    <w:rsid w:val="00B95307"/>
    <w:rsid w:val="00B95836"/>
    <w:rsid w:val="00B9592E"/>
    <w:rsid w:val="00B95B06"/>
    <w:rsid w:val="00B95B2F"/>
    <w:rsid w:val="00B95B5C"/>
    <w:rsid w:val="00B95FE1"/>
    <w:rsid w:val="00B961C3"/>
    <w:rsid w:val="00B962BD"/>
    <w:rsid w:val="00B96448"/>
    <w:rsid w:val="00B9657F"/>
    <w:rsid w:val="00B967ED"/>
    <w:rsid w:val="00B969A7"/>
    <w:rsid w:val="00B96A64"/>
    <w:rsid w:val="00B96B95"/>
    <w:rsid w:val="00B96C8A"/>
    <w:rsid w:val="00B96CA1"/>
    <w:rsid w:val="00B97262"/>
    <w:rsid w:val="00B9743A"/>
    <w:rsid w:val="00B9755E"/>
    <w:rsid w:val="00B976B5"/>
    <w:rsid w:val="00B97A8C"/>
    <w:rsid w:val="00B97A9C"/>
    <w:rsid w:val="00B97AC3"/>
    <w:rsid w:val="00B97EC2"/>
    <w:rsid w:val="00B97F8F"/>
    <w:rsid w:val="00BA0136"/>
    <w:rsid w:val="00BA0196"/>
    <w:rsid w:val="00BA029D"/>
    <w:rsid w:val="00BA0470"/>
    <w:rsid w:val="00BA0613"/>
    <w:rsid w:val="00BA0667"/>
    <w:rsid w:val="00BA06C3"/>
    <w:rsid w:val="00BA06FA"/>
    <w:rsid w:val="00BA06FF"/>
    <w:rsid w:val="00BA0AFB"/>
    <w:rsid w:val="00BA0AFF"/>
    <w:rsid w:val="00BA0CE6"/>
    <w:rsid w:val="00BA0ECB"/>
    <w:rsid w:val="00BA1082"/>
    <w:rsid w:val="00BA10FA"/>
    <w:rsid w:val="00BA1298"/>
    <w:rsid w:val="00BA1392"/>
    <w:rsid w:val="00BA156C"/>
    <w:rsid w:val="00BA17CA"/>
    <w:rsid w:val="00BA17EF"/>
    <w:rsid w:val="00BA1D35"/>
    <w:rsid w:val="00BA1E9F"/>
    <w:rsid w:val="00BA20B8"/>
    <w:rsid w:val="00BA2105"/>
    <w:rsid w:val="00BA224A"/>
    <w:rsid w:val="00BA24DC"/>
    <w:rsid w:val="00BA29E6"/>
    <w:rsid w:val="00BA2E7C"/>
    <w:rsid w:val="00BA31B1"/>
    <w:rsid w:val="00BA38C3"/>
    <w:rsid w:val="00BA3C03"/>
    <w:rsid w:val="00BA3F12"/>
    <w:rsid w:val="00BA3F9C"/>
    <w:rsid w:val="00BA4091"/>
    <w:rsid w:val="00BA42FF"/>
    <w:rsid w:val="00BA4386"/>
    <w:rsid w:val="00BA4388"/>
    <w:rsid w:val="00BA43BE"/>
    <w:rsid w:val="00BA44C4"/>
    <w:rsid w:val="00BA4869"/>
    <w:rsid w:val="00BA4915"/>
    <w:rsid w:val="00BA4966"/>
    <w:rsid w:val="00BA4A94"/>
    <w:rsid w:val="00BA4B4D"/>
    <w:rsid w:val="00BA4BE6"/>
    <w:rsid w:val="00BA4DE9"/>
    <w:rsid w:val="00BA5156"/>
    <w:rsid w:val="00BA53A9"/>
    <w:rsid w:val="00BA5477"/>
    <w:rsid w:val="00BA5528"/>
    <w:rsid w:val="00BA580B"/>
    <w:rsid w:val="00BA587C"/>
    <w:rsid w:val="00BA5A46"/>
    <w:rsid w:val="00BA5E5B"/>
    <w:rsid w:val="00BA5EA0"/>
    <w:rsid w:val="00BA6626"/>
    <w:rsid w:val="00BA66DA"/>
    <w:rsid w:val="00BA67B7"/>
    <w:rsid w:val="00BA6CDC"/>
    <w:rsid w:val="00BA6FDD"/>
    <w:rsid w:val="00BA712A"/>
    <w:rsid w:val="00BA7314"/>
    <w:rsid w:val="00BA7A93"/>
    <w:rsid w:val="00BA7B58"/>
    <w:rsid w:val="00BA7BAC"/>
    <w:rsid w:val="00BA7BFB"/>
    <w:rsid w:val="00BB010E"/>
    <w:rsid w:val="00BB0411"/>
    <w:rsid w:val="00BB04BA"/>
    <w:rsid w:val="00BB04BE"/>
    <w:rsid w:val="00BB0677"/>
    <w:rsid w:val="00BB08EA"/>
    <w:rsid w:val="00BB0A62"/>
    <w:rsid w:val="00BB0DAF"/>
    <w:rsid w:val="00BB0F26"/>
    <w:rsid w:val="00BB1132"/>
    <w:rsid w:val="00BB11F9"/>
    <w:rsid w:val="00BB126A"/>
    <w:rsid w:val="00BB1C1B"/>
    <w:rsid w:val="00BB1C9C"/>
    <w:rsid w:val="00BB227B"/>
    <w:rsid w:val="00BB234A"/>
    <w:rsid w:val="00BB2696"/>
    <w:rsid w:val="00BB28AC"/>
    <w:rsid w:val="00BB29AA"/>
    <w:rsid w:val="00BB2C4A"/>
    <w:rsid w:val="00BB2C99"/>
    <w:rsid w:val="00BB2E58"/>
    <w:rsid w:val="00BB2F1A"/>
    <w:rsid w:val="00BB310F"/>
    <w:rsid w:val="00BB31B7"/>
    <w:rsid w:val="00BB3245"/>
    <w:rsid w:val="00BB32CE"/>
    <w:rsid w:val="00BB32FE"/>
    <w:rsid w:val="00BB34DD"/>
    <w:rsid w:val="00BB351E"/>
    <w:rsid w:val="00BB3594"/>
    <w:rsid w:val="00BB37AC"/>
    <w:rsid w:val="00BB37FA"/>
    <w:rsid w:val="00BB3A5E"/>
    <w:rsid w:val="00BB3A67"/>
    <w:rsid w:val="00BB3B29"/>
    <w:rsid w:val="00BB3BA2"/>
    <w:rsid w:val="00BB3ECE"/>
    <w:rsid w:val="00BB4855"/>
    <w:rsid w:val="00BB4BE3"/>
    <w:rsid w:val="00BB4BE7"/>
    <w:rsid w:val="00BB4BF6"/>
    <w:rsid w:val="00BB4FBD"/>
    <w:rsid w:val="00BB4FBE"/>
    <w:rsid w:val="00BB511E"/>
    <w:rsid w:val="00BB51D5"/>
    <w:rsid w:val="00BB53D2"/>
    <w:rsid w:val="00BB543A"/>
    <w:rsid w:val="00BB54DE"/>
    <w:rsid w:val="00BB55C1"/>
    <w:rsid w:val="00BB5635"/>
    <w:rsid w:val="00BB5768"/>
    <w:rsid w:val="00BB5876"/>
    <w:rsid w:val="00BB5A0D"/>
    <w:rsid w:val="00BB5D59"/>
    <w:rsid w:val="00BB5D73"/>
    <w:rsid w:val="00BB62E7"/>
    <w:rsid w:val="00BB630E"/>
    <w:rsid w:val="00BB63B6"/>
    <w:rsid w:val="00BB68DE"/>
    <w:rsid w:val="00BB6AEA"/>
    <w:rsid w:val="00BB6B86"/>
    <w:rsid w:val="00BB6D9B"/>
    <w:rsid w:val="00BB6EA6"/>
    <w:rsid w:val="00BB6FF0"/>
    <w:rsid w:val="00BB700C"/>
    <w:rsid w:val="00BB70CB"/>
    <w:rsid w:val="00BB725F"/>
    <w:rsid w:val="00BB7445"/>
    <w:rsid w:val="00BB7454"/>
    <w:rsid w:val="00BB7537"/>
    <w:rsid w:val="00BB7C54"/>
    <w:rsid w:val="00BB7D9D"/>
    <w:rsid w:val="00BB7E47"/>
    <w:rsid w:val="00BC0362"/>
    <w:rsid w:val="00BC03BB"/>
    <w:rsid w:val="00BC068B"/>
    <w:rsid w:val="00BC0892"/>
    <w:rsid w:val="00BC0C2E"/>
    <w:rsid w:val="00BC0CB9"/>
    <w:rsid w:val="00BC0D31"/>
    <w:rsid w:val="00BC11EC"/>
    <w:rsid w:val="00BC1358"/>
    <w:rsid w:val="00BC14FE"/>
    <w:rsid w:val="00BC1674"/>
    <w:rsid w:val="00BC190C"/>
    <w:rsid w:val="00BC1C1B"/>
    <w:rsid w:val="00BC1DA4"/>
    <w:rsid w:val="00BC1DB1"/>
    <w:rsid w:val="00BC1FC2"/>
    <w:rsid w:val="00BC25B3"/>
    <w:rsid w:val="00BC2634"/>
    <w:rsid w:val="00BC2984"/>
    <w:rsid w:val="00BC2B45"/>
    <w:rsid w:val="00BC313A"/>
    <w:rsid w:val="00BC3887"/>
    <w:rsid w:val="00BC3C2B"/>
    <w:rsid w:val="00BC3C74"/>
    <w:rsid w:val="00BC407B"/>
    <w:rsid w:val="00BC40B4"/>
    <w:rsid w:val="00BC4205"/>
    <w:rsid w:val="00BC42BA"/>
    <w:rsid w:val="00BC47C9"/>
    <w:rsid w:val="00BC4C29"/>
    <w:rsid w:val="00BC4C97"/>
    <w:rsid w:val="00BC4D69"/>
    <w:rsid w:val="00BC4DA8"/>
    <w:rsid w:val="00BC4DFA"/>
    <w:rsid w:val="00BC4E72"/>
    <w:rsid w:val="00BC548F"/>
    <w:rsid w:val="00BC5E72"/>
    <w:rsid w:val="00BC5EB8"/>
    <w:rsid w:val="00BC6524"/>
    <w:rsid w:val="00BC6739"/>
    <w:rsid w:val="00BC68AD"/>
    <w:rsid w:val="00BC691E"/>
    <w:rsid w:val="00BC6941"/>
    <w:rsid w:val="00BC6BA3"/>
    <w:rsid w:val="00BC711E"/>
    <w:rsid w:val="00BC7650"/>
    <w:rsid w:val="00BC778B"/>
    <w:rsid w:val="00BC77D5"/>
    <w:rsid w:val="00BC7D6C"/>
    <w:rsid w:val="00BC7F12"/>
    <w:rsid w:val="00BD0026"/>
    <w:rsid w:val="00BD0242"/>
    <w:rsid w:val="00BD024C"/>
    <w:rsid w:val="00BD03C6"/>
    <w:rsid w:val="00BD0835"/>
    <w:rsid w:val="00BD086D"/>
    <w:rsid w:val="00BD0B2A"/>
    <w:rsid w:val="00BD0B83"/>
    <w:rsid w:val="00BD0BE1"/>
    <w:rsid w:val="00BD0C23"/>
    <w:rsid w:val="00BD0EBB"/>
    <w:rsid w:val="00BD1091"/>
    <w:rsid w:val="00BD14FF"/>
    <w:rsid w:val="00BD1557"/>
    <w:rsid w:val="00BD16B5"/>
    <w:rsid w:val="00BD188E"/>
    <w:rsid w:val="00BD1942"/>
    <w:rsid w:val="00BD1958"/>
    <w:rsid w:val="00BD1CCD"/>
    <w:rsid w:val="00BD1EC7"/>
    <w:rsid w:val="00BD20E6"/>
    <w:rsid w:val="00BD21C6"/>
    <w:rsid w:val="00BD21FC"/>
    <w:rsid w:val="00BD235F"/>
    <w:rsid w:val="00BD2604"/>
    <w:rsid w:val="00BD27F6"/>
    <w:rsid w:val="00BD2B77"/>
    <w:rsid w:val="00BD2DD9"/>
    <w:rsid w:val="00BD2DDF"/>
    <w:rsid w:val="00BD3133"/>
    <w:rsid w:val="00BD327C"/>
    <w:rsid w:val="00BD34E2"/>
    <w:rsid w:val="00BD3503"/>
    <w:rsid w:val="00BD36EB"/>
    <w:rsid w:val="00BD3949"/>
    <w:rsid w:val="00BD398F"/>
    <w:rsid w:val="00BD3ADC"/>
    <w:rsid w:val="00BD3AE8"/>
    <w:rsid w:val="00BD3B04"/>
    <w:rsid w:val="00BD3D54"/>
    <w:rsid w:val="00BD3D5D"/>
    <w:rsid w:val="00BD4011"/>
    <w:rsid w:val="00BD4110"/>
    <w:rsid w:val="00BD41C3"/>
    <w:rsid w:val="00BD46AD"/>
    <w:rsid w:val="00BD480E"/>
    <w:rsid w:val="00BD4943"/>
    <w:rsid w:val="00BD4A9B"/>
    <w:rsid w:val="00BD4AF2"/>
    <w:rsid w:val="00BD4D14"/>
    <w:rsid w:val="00BD4E8D"/>
    <w:rsid w:val="00BD4F31"/>
    <w:rsid w:val="00BD502A"/>
    <w:rsid w:val="00BD522A"/>
    <w:rsid w:val="00BD533E"/>
    <w:rsid w:val="00BD541F"/>
    <w:rsid w:val="00BD5606"/>
    <w:rsid w:val="00BD5A40"/>
    <w:rsid w:val="00BD5D07"/>
    <w:rsid w:val="00BD5DE7"/>
    <w:rsid w:val="00BD5EF2"/>
    <w:rsid w:val="00BD6022"/>
    <w:rsid w:val="00BD616F"/>
    <w:rsid w:val="00BD6240"/>
    <w:rsid w:val="00BD6313"/>
    <w:rsid w:val="00BD636A"/>
    <w:rsid w:val="00BD6B79"/>
    <w:rsid w:val="00BD6DCD"/>
    <w:rsid w:val="00BD6FD9"/>
    <w:rsid w:val="00BD7015"/>
    <w:rsid w:val="00BD7021"/>
    <w:rsid w:val="00BD713B"/>
    <w:rsid w:val="00BD7188"/>
    <w:rsid w:val="00BD71F5"/>
    <w:rsid w:val="00BD7412"/>
    <w:rsid w:val="00BD7A0A"/>
    <w:rsid w:val="00BD7AE4"/>
    <w:rsid w:val="00BD7C0F"/>
    <w:rsid w:val="00BE0220"/>
    <w:rsid w:val="00BE031B"/>
    <w:rsid w:val="00BE047F"/>
    <w:rsid w:val="00BE057B"/>
    <w:rsid w:val="00BE05CD"/>
    <w:rsid w:val="00BE06EA"/>
    <w:rsid w:val="00BE071D"/>
    <w:rsid w:val="00BE0748"/>
    <w:rsid w:val="00BE0775"/>
    <w:rsid w:val="00BE0874"/>
    <w:rsid w:val="00BE08B4"/>
    <w:rsid w:val="00BE091B"/>
    <w:rsid w:val="00BE0933"/>
    <w:rsid w:val="00BE094D"/>
    <w:rsid w:val="00BE0E5A"/>
    <w:rsid w:val="00BE0F53"/>
    <w:rsid w:val="00BE0F64"/>
    <w:rsid w:val="00BE0FD1"/>
    <w:rsid w:val="00BE12D4"/>
    <w:rsid w:val="00BE1339"/>
    <w:rsid w:val="00BE1398"/>
    <w:rsid w:val="00BE13D4"/>
    <w:rsid w:val="00BE1737"/>
    <w:rsid w:val="00BE18D1"/>
    <w:rsid w:val="00BE191B"/>
    <w:rsid w:val="00BE197C"/>
    <w:rsid w:val="00BE199A"/>
    <w:rsid w:val="00BE1A5A"/>
    <w:rsid w:val="00BE1B2F"/>
    <w:rsid w:val="00BE1CF1"/>
    <w:rsid w:val="00BE1DCF"/>
    <w:rsid w:val="00BE2295"/>
    <w:rsid w:val="00BE2355"/>
    <w:rsid w:val="00BE24E7"/>
    <w:rsid w:val="00BE288D"/>
    <w:rsid w:val="00BE2C3C"/>
    <w:rsid w:val="00BE2C53"/>
    <w:rsid w:val="00BE2CDC"/>
    <w:rsid w:val="00BE2CF2"/>
    <w:rsid w:val="00BE2D84"/>
    <w:rsid w:val="00BE2E06"/>
    <w:rsid w:val="00BE2FD2"/>
    <w:rsid w:val="00BE30BF"/>
    <w:rsid w:val="00BE3198"/>
    <w:rsid w:val="00BE334F"/>
    <w:rsid w:val="00BE37FE"/>
    <w:rsid w:val="00BE398D"/>
    <w:rsid w:val="00BE39A4"/>
    <w:rsid w:val="00BE3B0A"/>
    <w:rsid w:val="00BE3B34"/>
    <w:rsid w:val="00BE3D77"/>
    <w:rsid w:val="00BE4344"/>
    <w:rsid w:val="00BE438F"/>
    <w:rsid w:val="00BE449F"/>
    <w:rsid w:val="00BE4525"/>
    <w:rsid w:val="00BE483C"/>
    <w:rsid w:val="00BE4941"/>
    <w:rsid w:val="00BE4CF1"/>
    <w:rsid w:val="00BE4F09"/>
    <w:rsid w:val="00BE5130"/>
    <w:rsid w:val="00BE5504"/>
    <w:rsid w:val="00BE5763"/>
    <w:rsid w:val="00BE5B91"/>
    <w:rsid w:val="00BE5F32"/>
    <w:rsid w:val="00BE6118"/>
    <w:rsid w:val="00BE623E"/>
    <w:rsid w:val="00BE6252"/>
    <w:rsid w:val="00BE630D"/>
    <w:rsid w:val="00BE685C"/>
    <w:rsid w:val="00BE694E"/>
    <w:rsid w:val="00BE695D"/>
    <w:rsid w:val="00BE69B6"/>
    <w:rsid w:val="00BE6B05"/>
    <w:rsid w:val="00BE6BF8"/>
    <w:rsid w:val="00BE6DD5"/>
    <w:rsid w:val="00BE7317"/>
    <w:rsid w:val="00BE74AE"/>
    <w:rsid w:val="00BE74CF"/>
    <w:rsid w:val="00BE7501"/>
    <w:rsid w:val="00BE78A4"/>
    <w:rsid w:val="00BE7E9A"/>
    <w:rsid w:val="00BF0256"/>
    <w:rsid w:val="00BF08B5"/>
    <w:rsid w:val="00BF0B85"/>
    <w:rsid w:val="00BF0DEA"/>
    <w:rsid w:val="00BF0ECB"/>
    <w:rsid w:val="00BF10AA"/>
    <w:rsid w:val="00BF14CF"/>
    <w:rsid w:val="00BF1984"/>
    <w:rsid w:val="00BF19D0"/>
    <w:rsid w:val="00BF1C2C"/>
    <w:rsid w:val="00BF1C7A"/>
    <w:rsid w:val="00BF1C92"/>
    <w:rsid w:val="00BF1CF2"/>
    <w:rsid w:val="00BF1D67"/>
    <w:rsid w:val="00BF1F08"/>
    <w:rsid w:val="00BF1F9E"/>
    <w:rsid w:val="00BF2407"/>
    <w:rsid w:val="00BF2508"/>
    <w:rsid w:val="00BF26D1"/>
    <w:rsid w:val="00BF271C"/>
    <w:rsid w:val="00BF27DF"/>
    <w:rsid w:val="00BF2B07"/>
    <w:rsid w:val="00BF2B15"/>
    <w:rsid w:val="00BF2B67"/>
    <w:rsid w:val="00BF2C0B"/>
    <w:rsid w:val="00BF2DE7"/>
    <w:rsid w:val="00BF2F14"/>
    <w:rsid w:val="00BF2FE3"/>
    <w:rsid w:val="00BF304B"/>
    <w:rsid w:val="00BF3139"/>
    <w:rsid w:val="00BF3433"/>
    <w:rsid w:val="00BF3508"/>
    <w:rsid w:val="00BF36B4"/>
    <w:rsid w:val="00BF38CF"/>
    <w:rsid w:val="00BF3A05"/>
    <w:rsid w:val="00BF3E95"/>
    <w:rsid w:val="00BF3EF1"/>
    <w:rsid w:val="00BF467B"/>
    <w:rsid w:val="00BF471B"/>
    <w:rsid w:val="00BF4842"/>
    <w:rsid w:val="00BF48A2"/>
    <w:rsid w:val="00BF4A27"/>
    <w:rsid w:val="00BF4BC1"/>
    <w:rsid w:val="00BF4C5F"/>
    <w:rsid w:val="00BF4E1B"/>
    <w:rsid w:val="00BF4FBB"/>
    <w:rsid w:val="00BF505D"/>
    <w:rsid w:val="00BF50E0"/>
    <w:rsid w:val="00BF5476"/>
    <w:rsid w:val="00BF59BD"/>
    <w:rsid w:val="00BF5AA5"/>
    <w:rsid w:val="00BF5C9C"/>
    <w:rsid w:val="00BF5D8D"/>
    <w:rsid w:val="00BF5F3D"/>
    <w:rsid w:val="00BF5FFC"/>
    <w:rsid w:val="00BF62E4"/>
    <w:rsid w:val="00BF6458"/>
    <w:rsid w:val="00BF6823"/>
    <w:rsid w:val="00BF6CBD"/>
    <w:rsid w:val="00BF6CD0"/>
    <w:rsid w:val="00BF6D21"/>
    <w:rsid w:val="00BF6E71"/>
    <w:rsid w:val="00BF7303"/>
    <w:rsid w:val="00BF7D07"/>
    <w:rsid w:val="00BF7F3F"/>
    <w:rsid w:val="00BF7F49"/>
    <w:rsid w:val="00C00027"/>
    <w:rsid w:val="00C0002E"/>
    <w:rsid w:val="00C00105"/>
    <w:rsid w:val="00C0017A"/>
    <w:rsid w:val="00C001E0"/>
    <w:rsid w:val="00C002C9"/>
    <w:rsid w:val="00C00413"/>
    <w:rsid w:val="00C00430"/>
    <w:rsid w:val="00C00523"/>
    <w:rsid w:val="00C009B7"/>
    <w:rsid w:val="00C00B2E"/>
    <w:rsid w:val="00C00F65"/>
    <w:rsid w:val="00C01157"/>
    <w:rsid w:val="00C012B7"/>
    <w:rsid w:val="00C014FF"/>
    <w:rsid w:val="00C01627"/>
    <w:rsid w:val="00C01814"/>
    <w:rsid w:val="00C018C4"/>
    <w:rsid w:val="00C01AF4"/>
    <w:rsid w:val="00C01E19"/>
    <w:rsid w:val="00C01F27"/>
    <w:rsid w:val="00C01F58"/>
    <w:rsid w:val="00C01FEB"/>
    <w:rsid w:val="00C024EE"/>
    <w:rsid w:val="00C02638"/>
    <w:rsid w:val="00C02769"/>
    <w:rsid w:val="00C02926"/>
    <w:rsid w:val="00C02A1C"/>
    <w:rsid w:val="00C02BD1"/>
    <w:rsid w:val="00C02C14"/>
    <w:rsid w:val="00C02D32"/>
    <w:rsid w:val="00C02DB7"/>
    <w:rsid w:val="00C0306C"/>
    <w:rsid w:val="00C032C8"/>
    <w:rsid w:val="00C032D9"/>
    <w:rsid w:val="00C03330"/>
    <w:rsid w:val="00C03366"/>
    <w:rsid w:val="00C033CF"/>
    <w:rsid w:val="00C038D3"/>
    <w:rsid w:val="00C03D1C"/>
    <w:rsid w:val="00C03F83"/>
    <w:rsid w:val="00C03FA9"/>
    <w:rsid w:val="00C03FD6"/>
    <w:rsid w:val="00C0411C"/>
    <w:rsid w:val="00C04174"/>
    <w:rsid w:val="00C045F2"/>
    <w:rsid w:val="00C046DA"/>
    <w:rsid w:val="00C046DF"/>
    <w:rsid w:val="00C0484B"/>
    <w:rsid w:val="00C04A49"/>
    <w:rsid w:val="00C04CCA"/>
    <w:rsid w:val="00C04F09"/>
    <w:rsid w:val="00C04F8F"/>
    <w:rsid w:val="00C04F91"/>
    <w:rsid w:val="00C04FA4"/>
    <w:rsid w:val="00C0589F"/>
    <w:rsid w:val="00C058CE"/>
    <w:rsid w:val="00C058E5"/>
    <w:rsid w:val="00C05939"/>
    <w:rsid w:val="00C05D9D"/>
    <w:rsid w:val="00C060A6"/>
    <w:rsid w:val="00C0651E"/>
    <w:rsid w:val="00C06568"/>
    <w:rsid w:val="00C066AD"/>
    <w:rsid w:val="00C067C3"/>
    <w:rsid w:val="00C06B6A"/>
    <w:rsid w:val="00C06F76"/>
    <w:rsid w:val="00C0703B"/>
    <w:rsid w:val="00C07352"/>
    <w:rsid w:val="00C07525"/>
    <w:rsid w:val="00C07721"/>
    <w:rsid w:val="00C077EE"/>
    <w:rsid w:val="00C0780E"/>
    <w:rsid w:val="00C078A7"/>
    <w:rsid w:val="00C07C05"/>
    <w:rsid w:val="00C07CE8"/>
    <w:rsid w:val="00C07ECE"/>
    <w:rsid w:val="00C10033"/>
    <w:rsid w:val="00C101DD"/>
    <w:rsid w:val="00C10401"/>
    <w:rsid w:val="00C1043D"/>
    <w:rsid w:val="00C10A10"/>
    <w:rsid w:val="00C10B3E"/>
    <w:rsid w:val="00C10B73"/>
    <w:rsid w:val="00C10D18"/>
    <w:rsid w:val="00C10E22"/>
    <w:rsid w:val="00C1110A"/>
    <w:rsid w:val="00C111FF"/>
    <w:rsid w:val="00C1120B"/>
    <w:rsid w:val="00C115DA"/>
    <w:rsid w:val="00C11624"/>
    <w:rsid w:val="00C11821"/>
    <w:rsid w:val="00C11A39"/>
    <w:rsid w:val="00C11A7D"/>
    <w:rsid w:val="00C11BA2"/>
    <w:rsid w:val="00C11CC1"/>
    <w:rsid w:val="00C1209F"/>
    <w:rsid w:val="00C12139"/>
    <w:rsid w:val="00C12168"/>
    <w:rsid w:val="00C121D1"/>
    <w:rsid w:val="00C123C0"/>
    <w:rsid w:val="00C12426"/>
    <w:rsid w:val="00C124EA"/>
    <w:rsid w:val="00C12597"/>
    <w:rsid w:val="00C12744"/>
    <w:rsid w:val="00C12A0E"/>
    <w:rsid w:val="00C12A8E"/>
    <w:rsid w:val="00C131DA"/>
    <w:rsid w:val="00C13439"/>
    <w:rsid w:val="00C1368F"/>
    <w:rsid w:val="00C13D36"/>
    <w:rsid w:val="00C143F0"/>
    <w:rsid w:val="00C14527"/>
    <w:rsid w:val="00C146F0"/>
    <w:rsid w:val="00C14749"/>
    <w:rsid w:val="00C1485B"/>
    <w:rsid w:val="00C14A10"/>
    <w:rsid w:val="00C14AA2"/>
    <w:rsid w:val="00C14B5F"/>
    <w:rsid w:val="00C14BFC"/>
    <w:rsid w:val="00C14C76"/>
    <w:rsid w:val="00C14FEA"/>
    <w:rsid w:val="00C153B9"/>
    <w:rsid w:val="00C154E4"/>
    <w:rsid w:val="00C154EB"/>
    <w:rsid w:val="00C1558C"/>
    <w:rsid w:val="00C155C7"/>
    <w:rsid w:val="00C1566F"/>
    <w:rsid w:val="00C157F8"/>
    <w:rsid w:val="00C1594F"/>
    <w:rsid w:val="00C15A6C"/>
    <w:rsid w:val="00C15EA4"/>
    <w:rsid w:val="00C162D2"/>
    <w:rsid w:val="00C1688C"/>
    <w:rsid w:val="00C16DBC"/>
    <w:rsid w:val="00C16DFD"/>
    <w:rsid w:val="00C16F03"/>
    <w:rsid w:val="00C16F94"/>
    <w:rsid w:val="00C17027"/>
    <w:rsid w:val="00C175CF"/>
    <w:rsid w:val="00C17A10"/>
    <w:rsid w:val="00C17A6C"/>
    <w:rsid w:val="00C2004C"/>
    <w:rsid w:val="00C20145"/>
    <w:rsid w:val="00C201E6"/>
    <w:rsid w:val="00C20284"/>
    <w:rsid w:val="00C20753"/>
    <w:rsid w:val="00C209A0"/>
    <w:rsid w:val="00C20A12"/>
    <w:rsid w:val="00C20FB0"/>
    <w:rsid w:val="00C20FF0"/>
    <w:rsid w:val="00C21013"/>
    <w:rsid w:val="00C21182"/>
    <w:rsid w:val="00C2123C"/>
    <w:rsid w:val="00C21328"/>
    <w:rsid w:val="00C21869"/>
    <w:rsid w:val="00C219BD"/>
    <w:rsid w:val="00C21AE1"/>
    <w:rsid w:val="00C21AF3"/>
    <w:rsid w:val="00C21B52"/>
    <w:rsid w:val="00C21BA9"/>
    <w:rsid w:val="00C21E1B"/>
    <w:rsid w:val="00C220E7"/>
    <w:rsid w:val="00C22217"/>
    <w:rsid w:val="00C2240F"/>
    <w:rsid w:val="00C227C9"/>
    <w:rsid w:val="00C22910"/>
    <w:rsid w:val="00C22A8A"/>
    <w:rsid w:val="00C22C1C"/>
    <w:rsid w:val="00C22CBA"/>
    <w:rsid w:val="00C22D08"/>
    <w:rsid w:val="00C23040"/>
    <w:rsid w:val="00C23356"/>
    <w:rsid w:val="00C234FD"/>
    <w:rsid w:val="00C238B9"/>
    <w:rsid w:val="00C23D54"/>
    <w:rsid w:val="00C23D6C"/>
    <w:rsid w:val="00C23EEF"/>
    <w:rsid w:val="00C24038"/>
    <w:rsid w:val="00C24127"/>
    <w:rsid w:val="00C24189"/>
    <w:rsid w:val="00C24417"/>
    <w:rsid w:val="00C244F2"/>
    <w:rsid w:val="00C2462F"/>
    <w:rsid w:val="00C24651"/>
    <w:rsid w:val="00C2492B"/>
    <w:rsid w:val="00C24CE3"/>
    <w:rsid w:val="00C24D37"/>
    <w:rsid w:val="00C24F54"/>
    <w:rsid w:val="00C24FCA"/>
    <w:rsid w:val="00C24FE1"/>
    <w:rsid w:val="00C252DF"/>
    <w:rsid w:val="00C25370"/>
    <w:rsid w:val="00C2548A"/>
    <w:rsid w:val="00C255A8"/>
    <w:rsid w:val="00C257B7"/>
    <w:rsid w:val="00C257EC"/>
    <w:rsid w:val="00C25C68"/>
    <w:rsid w:val="00C25C6A"/>
    <w:rsid w:val="00C25E4B"/>
    <w:rsid w:val="00C25F2B"/>
    <w:rsid w:val="00C25F58"/>
    <w:rsid w:val="00C25FC8"/>
    <w:rsid w:val="00C26130"/>
    <w:rsid w:val="00C26220"/>
    <w:rsid w:val="00C26291"/>
    <w:rsid w:val="00C2638E"/>
    <w:rsid w:val="00C2659E"/>
    <w:rsid w:val="00C26853"/>
    <w:rsid w:val="00C269EA"/>
    <w:rsid w:val="00C26A0B"/>
    <w:rsid w:val="00C26C27"/>
    <w:rsid w:val="00C26E8E"/>
    <w:rsid w:val="00C26F03"/>
    <w:rsid w:val="00C2705E"/>
    <w:rsid w:val="00C2706C"/>
    <w:rsid w:val="00C27221"/>
    <w:rsid w:val="00C2758F"/>
    <w:rsid w:val="00C27717"/>
    <w:rsid w:val="00C2779C"/>
    <w:rsid w:val="00C27870"/>
    <w:rsid w:val="00C27D64"/>
    <w:rsid w:val="00C27E1D"/>
    <w:rsid w:val="00C27FEF"/>
    <w:rsid w:val="00C3031B"/>
    <w:rsid w:val="00C3041D"/>
    <w:rsid w:val="00C3086B"/>
    <w:rsid w:val="00C30987"/>
    <w:rsid w:val="00C30C37"/>
    <w:rsid w:val="00C31023"/>
    <w:rsid w:val="00C3174E"/>
    <w:rsid w:val="00C317F7"/>
    <w:rsid w:val="00C31841"/>
    <w:rsid w:val="00C31861"/>
    <w:rsid w:val="00C3191F"/>
    <w:rsid w:val="00C31A7E"/>
    <w:rsid w:val="00C31DD5"/>
    <w:rsid w:val="00C32146"/>
    <w:rsid w:val="00C32224"/>
    <w:rsid w:val="00C3224A"/>
    <w:rsid w:val="00C32261"/>
    <w:rsid w:val="00C3230B"/>
    <w:rsid w:val="00C32639"/>
    <w:rsid w:val="00C32A30"/>
    <w:rsid w:val="00C32EF5"/>
    <w:rsid w:val="00C3321E"/>
    <w:rsid w:val="00C33406"/>
    <w:rsid w:val="00C33422"/>
    <w:rsid w:val="00C335A4"/>
    <w:rsid w:val="00C33B15"/>
    <w:rsid w:val="00C33B3D"/>
    <w:rsid w:val="00C33DE4"/>
    <w:rsid w:val="00C33FE3"/>
    <w:rsid w:val="00C342AB"/>
    <w:rsid w:val="00C344D1"/>
    <w:rsid w:val="00C346D4"/>
    <w:rsid w:val="00C3470D"/>
    <w:rsid w:val="00C3491F"/>
    <w:rsid w:val="00C34A02"/>
    <w:rsid w:val="00C34A3F"/>
    <w:rsid w:val="00C34B0B"/>
    <w:rsid w:val="00C34BB7"/>
    <w:rsid w:val="00C35045"/>
    <w:rsid w:val="00C350A3"/>
    <w:rsid w:val="00C3540F"/>
    <w:rsid w:val="00C354D7"/>
    <w:rsid w:val="00C35584"/>
    <w:rsid w:val="00C35A8D"/>
    <w:rsid w:val="00C35BE1"/>
    <w:rsid w:val="00C35D43"/>
    <w:rsid w:val="00C35EA1"/>
    <w:rsid w:val="00C361F5"/>
    <w:rsid w:val="00C3654C"/>
    <w:rsid w:val="00C365C9"/>
    <w:rsid w:val="00C365DD"/>
    <w:rsid w:val="00C367F0"/>
    <w:rsid w:val="00C36E02"/>
    <w:rsid w:val="00C37152"/>
    <w:rsid w:val="00C371C8"/>
    <w:rsid w:val="00C37504"/>
    <w:rsid w:val="00C377E0"/>
    <w:rsid w:val="00C3786C"/>
    <w:rsid w:val="00C378BB"/>
    <w:rsid w:val="00C37B97"/>
    <w:rsid w:val="00C37BED"/>
    <w:rsid w:val="00C4001F"/>
    <w:rsid w:val="00C4004B"/>
    <w:rsid w:val="00C40355"/>
    <w:rsid w:val="00C4047C"/>
    <w:rsid w:val="00C40630"/>
    <w:rsid w:val="00C408C2"/>
    <w:rsid w:val="00C40CDD"/>
    <w:rsid w:val="00C40D7E"/>
    <w:rsid w:val="00C40DD6"/>
    <w:rsid w:val="00C41092"/>
    <w:rsid w:val="00C41247"/>
    <w:rsid w:val="00C412DC"/>
    <w:rsid w:val="00C41750"/>
    <w:rsid w:val="00C41D70"/>
    <w:rsid w:val="00C41EB5"/>
    <w:rsid w:val="00C41FAB"/>
    <w:rsid w:val="00C41FAD"/>
    <w:rsid w:val="00C422A6"/>
    <w:rsid w:val="00C42752"/>
    <w:rsid w:val="00C427B0"/>
    <w:rsid w:val="00C428D7"/>
    <w:rsid w:val="00C42926"/>
    <w:rsid w:val="00C42BA7"/>
    <w:rsid w:val="00C42BEB"/>
    <w:rsid w:val="00C42E77"/>
    <w:rsid w:val="00C42F5E"/>
    <w:rsid w:val="00C430FF"/>
    <w:rsid w:val="00C43198"/>
    <w:rsid w:val="00C43311"/>
    <w:rsid w:val="00C433D5"/>
    <w:rsid w:val="00C4340E"/>
    <w:rsid w:val="00C436B8"/>
    <w:rsid w:val="00C43AB7"/>
    <w:rsid w:val="00C43C6B"/>
    <w:rsid w:val="00C43CD4"/>
    <w:rsid w:val="00C43D5F"/>
    <w:rsid w:val="00C43E9A"/>
    <w:rsid w:val="00C43F14"/>
    <w:rsid w:val="00C44008"/>
    <w:rsid w:val="00C442F6"/>
    <w:rsid w:val="00C4460D"/>
    <w:rsid w:val="00C446A7"/>
    <w:rsid w:val="00C44805"/>
    <w:rsid w:val="00C44835"/>
    <w:rsid w:val="00C44B5A"/>
    <w:rsid w:val="00C44C2A"/>
    <w:rsid w:val="00C44CAA"/>
    <w:rsid w:val="00C44D9F"/>
    <w:rsid w:val="00C44DE1"/>
    <w:rsid w:val="00C44FC1"/>
    <w:rsid w:val="00C450D5"/>
    <w:rsid w:val="00C453C4"/>
    <w:rsid w:val="00C458B9"/>
    <w:rsid w:val="00C458FE"/>
    <w:rsid w:val="00C45B3B"/>
    <w:rsid w:val="00C45B99"/>
    <w:rsid w:val="00C45E4D"/>
    <w:rsid w:val="00C45ED9"/>
    <w:rsid w:val="00C4603C"/>
    <w:rsid w:val="00C461EE"/>
    <w:rsid w:val="00C46222"/>
    <w:rsid w:val="00C46229"/>
    <w:rsid w:val="00C462A5"/>
    <w:rsid w:val="00C463FA"/>
    <w:rsid w:val="00C4671B"/>
    <w:rsid w:val="00C46740"/>
    <w:rsid w:val="00C46BB1"/>
    <w:rsid w:val="00C46E87"/>
    <w:rsid w:val="00C47112"/>
    <w:rsid w:val="00C47292"/>
    <w:rsid w:val="00C478EC"/>
    <w:rsid w:val="00C4798E"/>
    <w:rsid w:val="00C47A52"/>
    <w:rsid w:val="00C50004"/>
    <w:rsid w:val="00C5002E"/>
    <w:rsid w:val="00C500B4"/>
    <w:rsid w:val="00C50220"/>
    <w:rsid w:val="00C5049B"/>
    <w:rsid w:val="00C504B7"/>
    <w:rsid w:val="00C5056C"/>
    <w:rsid w:val="00C505D9"/>
    <w:rsid w:val="00C5078A"/>
    <w:rsid w:val="00C50839"/>
    <w:rsid w:val="00C509E2"/>
    <w:rsid w:val="00C50AB8"/>
    <w:rsid w:val="00C50B3B"/>
    <w:rsid w:val="00C50B6B"/>
    <w:rsid w:val="00C50D49"/>
    <w:rsid w:val="00C50DB9"/>
    <w:rsid w:val="00C51092"/>
    <w:rsid w:val="00C51357"/>
    <w:rsid w:val="00C5177C"/>
    <w:rsid w:val="00C5179C"/>
    <w:rsid w:val="00C51894"/>
    <w:rsid w:val="00C51B87"/>
    <w:rsid w:val="00C51D7A"/>
    <w:rsid w:val="00C521EE"/>
    <w:rsid w:val="00C524B2"/>
    <w:rsid w:val="00C5269B"/>
    <w:rsid w:val="00C52720"/>
    <w:rsid w:val="00C5287F"/>
    <w:rsid w:val="00C528A6"/>
    <w:rsid w:val="00C52DAA"/>
    <w:rsid w:val="00C52DE0"/>
    <w:rsid w:val="00C52F85"/>
    <w:rsid w:val="00C5316D"/>
    <w:rsid w:val="00C53285"/>
    <w:rsid w:val="00C53373"/>
    <w:rsid w:val="00C53546"/>
    <w:rsid w:val="00C537AA"/>
    <w:rsid w:val="00C537C8"/>
    <w:rsid w:val="00C5385D"/>
    <w:rsid w:val="00C5386A"/>
    <w:rsid w:val="00C53975"/>
    <w:rsid w:val="00C53A27"/>
    <w:rsid w:val="00C53AE0"/>
    <w:rsid w:val="00C53AF1"/>
    <w:rsid w:val="00C53C98"/>
    <w:rsid w:val="00C53CA4"/>
    <w:rsid w:val="00C53ECE"/>
    <w:rsid w:val="00C54386"/>
    <w:rsid w:val="00C54B63"/>
    <w:rsid w:val="00C556ED"/>
    <w:rsid w:val="00C55984"/>
    <w:rsid w:val="00C55B67"/>
    <w:rsid w:val="00C55BBF"/>
    <w:rsid w:val="00C55E44"/>
    <w:rsid w:val="00C55E61"/>
    <w:rsid w:val="00C56022"/>
    <w:rsid w:val="00C5661C"/>
    <w:rsid w:val="00C56B06"/>
    <w:rsid w:val="00C56C61"/>
    <w:rsid w:val="00C57914"/>
    <w:rsid w:val="00C57AB2"/>
    <w:rsid w:val="00C57DA7"/>
    <w:rsid w:val="00C60198"/>
    <w:rsid w:val="00C602EE"/>
    <w:rsid w:val="00C60443"/>
    <w:rsid w:val="00C604FC"/>
    <w:rsid w:val="00C6065D"/>
    <w:rsid w:val="00C60764"/>
    <w:rsid w:val="00C608BF"/>
    <w:rsid w:val="00C608D5"/>
    <w:rsid w:val="00C61130"/>
    <w:rsid w:val="00C61183"/>
    <w:rsid w:val="00C61368"/>
    <w:rsid w:val="00C6161B"/>
    <w:rsid w:val="00C6174F"/>
    <w:rsid w:val="00C617E3"/>
    <w:rsid w:val="00C61ADD"/>
    <w:rsid w:val="00C61B5B"/>
    <w:rsid w:val="00C61D27"/>
    <w:rsid w:val="00C62976"/>
    <w:rsid w:val="00C62AB8"/>
    <w:rsid w:val="00C62E00"/>
    <w:rsid w:val="00C63061"/>
    <w:rsid w:val="00C63309"/>
    <w:rsid w:val="00C633A1"/>
    <w:rsid w:val="00C63476"/>
    <w:rsid w:val="00C63562"/>
    <w:rsid w:val="00C6380F"/>
    <w:rsid w:val="00C63BF7"/>
    <w:rsid w:val="00C63DFB"/>
    <w:rsid w:val="00C63E13"/>
    <w:rsid w:val="00C63E76"/>
    <w:rsid w:val="00C6415A"/>
    <w:rsid w:val="00C64192"/>
    <w:rsid w:val="00C6449D"/>
    <w:rsid w:val="00C644E3"/>
    <w:rsid w:val="00C645AB"/>
    <w:rsid w:val="00C648C1"/>
    <w:rsid w:val="00C64BF8"/>
    <w:rsid w:val="00C64C5A"/>
    <w:rsid w:val="00C64F41"/>
    <w:rsid w:val="00C64FE6"/>
    <w:rsid w:val="00C653B0"/>
    <w:rsid w:val="00C65458"/>
    <w:rsid w:val="00C6567E"/>
    <w:rsid w:val="00C65947"/>
    <w:rsid w:val="00C65D81"/>
    <w:rsid w:val="00C65FC1"/>
    <w:rsid w:val="00C661C0"/>
    <w:rsid w:val="00C662E2"/>
    <w:rsid w:val="00C66300"/>
    <w:rsid w:val="00C6646D"/>
    <w:rsid w:val="00C66B18"/>
    <w:rsid w:val="00C66C3D"/>
    <w:rsid w:val="00C66C84"/>
    <w:rsid w:val="00C6700A"/>
    <w:rsid w:val="00C670D9"/>
    <w:rsid w:val="00C672C0"/>
    <w:rsid w:val="00C67420"/>
    <w:rsid w:val="00C67683"/>
    <w:rsid w:val="00C67B94"/>
    <w:rsid w:val="00C67C15"/>
    <w:rsid w:val="00C67C19"/>
    <w:rsid w:val="00C67E0F"/>
    <w:rsid w:val="00C7001A"/>
    <w:rsid w:val="00C7003E"/>
    <w:rsid w:val="00C70156"/>
    <w:rsid w:val="00C701E9"/>
    <w:rsid w:val="00C70274"/>
    <w:rsid w:val="00C704AE"/>
    <w:rsid w:val="00C705C4"/>
    <w:rsid w:val="00C70979"/>
    <w:rsid w:val="00C70D06"/>
    <w:rsid w:val="00C70EC8"/>
    <w:rsid w:val="00C70EEE"/>
    <w:rsid w:val="00C71029"/>
    <w:rsid w:val="00C7103F"/>
    <w:rsid w:val="00C710FD"/>
    <w:rsid w:val="00C7121D"/>
    <w:rsid w:val="00C715C7"/>
    <w:rsid w:val="00C71618"/>
    <w:rsid w:val="00C7175D"/>
    <w:rsid w:val="00C71881"/>
    <w:rsid w:val="00C71B8E"/>
    <w:rsid w:val="00C71CE9"/>
    <w:rsid w:val="00C71F10"/>
    <w:rsid w:val="00C7200D"/>
    <w:rsid w:val="00C72362"/>
    <w:rsid w:val="00C72627"/>
    <w:rsid w:val="00C72BA5"/>
    <w:rsid w:val="00C72F6B"/>
    <w:rsid w:val="00C73140"/>
    <w:rsid w:val="00C737D6"/>
    <w:rsid w:val="00C738A5"/>
    <w:rsid w:val="00C7395D"/>
    <w:rsid w:val="00C739F7"/>
    <w:rsid w:val="00C7412B"/>
    <w:rsid w:val="00C74529"/>
    <w:rsid w:val="00C748EC"/>
    <w:rsid w:val="00C74A5F"/>
    <w:rsid w:val="00C74D2C"/>
    <w:rsid w:val="00C74E26"/>
    <w:rsid w:val="00C751AA"/>
    <w:rsid w:val="00C752B7"/>
    <w:rsid w:val="00C75329"/>
    <w:rsid w:val="00C75387"/>
    <w:rsid w:val="00C75395"/>
    <w:rsid w:val="00C754A4"/>
    <w:rsid w:val="00C7559C"/>
    <w:rsid w:val="00C762AF"/>
    <w:rsid w:val="00C76570"/>
    <w:rsid w:val="00C76636"/>
    <w:rsid w:val="00C76851"/>
    <w:rsid w:val="00C76BF5"/>
    <w:rsid w:val="00C76F13"/>
    <w:rsid w:val="00C76F2D"/>
    <w:rsid w:val="00C77216"/>
    <w:rsid w:val="00C77270"/>
    <w:rsid w:val="00C77382"/>
    <w:rsid w:val="00C774B1"/>
    <w:rsid w:val="00C77529"/>
    <w:rsid w:val="00C776A3"/>
    <w:rsid w:val="00C77914"/>
    <w:rsid w:val="00C77944"/>
    <w:rsid w:val="00C77AE3"/>
    <w:rsid w:val="00C77E2C"/>
    <w:rsid w:val="00C8009B"/>
    <w:rsid w:val="00C801C7"/>
    <w:rsid w:val="00C80314"/>
    <w:rsid w:val="00C80454"/>
    <w:rsid w:val="00C804EF"/>
    <w:rsid w:val="00C807C4"/>
    <w:rsid w:val="00C80B56"/>
    <w:rsid w:val="00C80C31"/>
    <w:rsid w:val="00C80F0D"/>
    <w:rsid w:val="00C80F5B"/>
    <w:rsid w:val="00C81151"/>
    <w:rsid w:val="00C81274"/>
    <w:rsid w:val="00C81542"/>
    <w:rsid w:val="00C81808"/>
    <w:rsid w:val="00C81A7B"/>
    <w:rsid w:val="00C81C5E"/>
    <w:rsid w:val="00C81D14"/>
    <w:rsid w:val="00C82119"/>
    <w:rsid w:val="00C821F4"/>
    <w:rsid w:val="00C821F5"/>
    <w:rsid w:val="00C82386"/>
    <w:rsid w:val="00C82399"/>
    <w:rsid w:val="00C8242A"/>
    <w:rsid w:val="00C827AF"/>
    <w:rsid w:val="00C82AE8"/>
    <w:rsid w:val="00C82DDC"/>
    <w:rsid w:val="00C83131"/>
    <w:rsid w:val="00C83175"/>
    <w:rsid w:val="00C831AA"/>
    <w:rsid w:val="00C8329F"/>
    <w:rsid w:val="00C838C3"/>
    <w:rsid w:val="00C83978"/>
    <w:rsid w:val="00C83A87"/>
    <w:rsid w:val="00C842DB"/>
    <w:rsid w:val="00C8448F"/>
    <w:rsid w:val="00C84848"/>
    <w:rsid w:val="00C849FF"/>
    <w:rsid w:val="00C84A1A"/>
    <w:rsid w:val="00C84B04"/>
    <w:rsid w:val="00C84C37"/>
    <w:rsid w:val="00C84C77"/>
    <w:rsid w:val="00C84CBF"/>
    <w:rsid w:val="00C850B1"/>
    <w:rsid w:val="00C851CF"/>
    <w:rsid w:val="00C852AC"/>
    <w:rsid w:val="00C85474"/>
    <w:rsid w:val="00C8569A"/>
    <w:rsid w:val="00C856C3"/>
    <w:rsid w:val="00C8576C"/>
    <w:rsid w:val="00C8578E"/>
    <w:rsid w:val="00C8588A"/>
    <w:rsid w:val="00C858B1"/>
    <w:rsid w:val="00C85AAA"/>
    <w:rsid w:val="00C85AC0"/>
    <w:rsid w:val="00C85C6E"/>
    <w:rsid w:val="00C85D8C"/>
    <w:rsid w:val="00C85EBC"/>
    <w:rsid w:val="00C85F3E"/>
    <w:rsid w:val="00C86029"/>
    <w:rsid w:val="00C86137"/>
    <w:rsid w:val="00C862EE"/>
    <w:rsid w:val="00C8635A"/>
    <w:rsid w:val="00C8644C"/>
    <w:rsid w:val="00C86493"/>
    <w:rsid w:val="00C868C4"/>
    <w:rsid w:val="00C86944"/>
    <w:rsid w:val="00C86C1E"/>
    <w:rsid w:val="00C86D87"/>
    <w:rsid w:val="00C86F4E"/>
    <w:rsid w:val="00C87083"/>
    <w:rsid w:val="00C8717F"/>
    <w:rsid w:val="00C871AA"/>
    <w:rsid w:val="00C875C6"/>
    <w:rsid w:val="00C878CA"/>
    <w:rsid w:val="00C87DEC"/>
    <w:rsid w:val="00C87E47"/>
    <w:rsid w:val="00C904BA"/>
    <w:rsid w:val="00C905FD"/>
    <w:rsid w:val="00C9084A"/>
    <w:rsid w:val="00C90939"/>
    <w:rsid w:val="00C90DBB"/>
    <w:rsid w:val="00C90DD8"/>
    <w:rsid w:val="00C90EB2"/>
    <w:rsid w:val="00C91276"/>
    <w:rsid w:val="00C91520"/>
    <w:rsid w:val="00C916C2"/>
    <w:rsid w:val="00C9172C"/>
    <w:rsid w:val="00C917FD"/>
    <w:rsid w:val="00C918F1"/>
    <w:rsid w:val="00C91B06"/>
    <w:rsid w:val="00C91C93"/>
    <w:rsid w:val="00C9214A"/>
    <w:rsid w:val="00C92279"/>
    <w:rsid w:val="00C922CE"/>
    <w:rsid w:val="00C92315"/>
    <w:rsid w:val="00C923FC"/>
    <w:rsid w:val="00C92503"/>
    <w:rsid w:val="00C928BD"/>
    <w:rsid w:val="00C92A0D"/>
    <w:rsid w:val="00C92B64"/>
    <w:rsid w:val="00C92BB6"/>
    <w:rsid w:val="00C93129"/>
    <w:rsid w:val="00C93276"/>
    <w:rsid w:val="00C9328C"/>
    <w:rsid w:val="00C935B5"/>
    <w:rsid w:val="00C93697"/>
    <w:rsid w:val="00C936D8"/>
    <w:rsid w:val="00C93905"/>
    <w:rsid w:val="00C9391E"/>
    <w:rsid w:val="00C93969"/>
    <w:rsid w:val="00C939D6"/>
    <w:rsid w:val="00C93A32"/>
    <w:rsid w:val="00C93F7D"/>
    <w:rsid w:val="00C9409C"/>
    <w:rsid w:val="00C94417"/>
    <w:rsid w:val="00C94563"/>
    <w:rsid w:val="00C94767"/>
    <w:rsid w:val="00C9488D"/>
    <w:rsid w:val="00C949D3"/>
    <w:rsid w:val="00C94ADB"/>
    <w:rsid w:val="00C94BB2"/>
    <w:rsid w:val="00C94CEF"/>
    <w:rsid w:val="00C950B8"/>
    <w:rsid w:val="00C95152"/>
    <w:rsid w:val="00C958D6"/>
    <w:rsid w:val="00C9594B"/>
    <w:rsid w:val="00C95A89"/>
    <w:rsid w:val="00C95ACA"/>
    <w:rsid w:val="00C95CA0"/>
    <w:rsid w:val="00C95D7A"/>
    <w:rsid w:val="00C95E01"/>
    <w:rsid w:val="00C960B6"/>
    <w:rsid w:val="00C96167"/>
    <w:rsid w:val="00C963A4"/>
    <w:rsid w:val="00C96451"/>
    <w:rsid w:val="00C96B4E"/>
    <w:rsid w:val="00C96BA4"/>
    <w:rsid w:val="00C96CCB"/>
    <w:rsid w:val="00C97059"/>
    <w:rsid w:val="00C974D1"/>
    <w:rsid w:val="00C974D7"/>
    <w:rsid w:val="00C976D9"/>
    <w:rsid w:val="00C977CA"/>
    <w:rsid w:val="00C97AED"/>
    <w:rsid w:val="00CA02DB"/>
    <w:rsid w:val="00CA09CA"/>
    <w:rsid w:val="00CA0CDC"/>
    <w:rsid w:val="00CA12C2"/>
    <w:rsid w:val="00CA133F"/>
    <w:rsid w:val="00CA1349"/>
    <w:rsid w:val="00CA14BA"/>
    <w:rsid w:val="00CA15E4"/>
    <w:rsid w:val="00CA1744"/>
    <w:rsid w:val="00CA1A1F"/>
    <w:rsid w:val="00CA1B59"/>
    <w:rsid w:val="00CA1BEA"/>
    <w:rsid w:val="00CA1E81"/>
    <w:rsid w:val="00CA2021"/>
    <w:rsid w:val="00CA2035"/>
    <w:rsid w:val="00CA20F4"/>
    <w:rsid w:val="00CA2393"/>
    <w:rsid w:val="00CA23DE"/>
    <w:rsid w:val="00CA2593"/>
    <w:rsid w:val="00CA2AE7"/>
    <w:rsid w:val="00CA2D60"/>
    <w:rsid w:val="00CA3202"/>
    <w:rsid w:val="00CA3267"/>
    <w:rsid w:val="00CA33C3"/>
    <w:rsid w:val="00CA35F0"/>
    <w:rsid w:val="00CA3715"/>
    <w:rsid w:val="00CA37FE"/>
    <w:rsid w:val="00CA39A8"/>
    <w:rsid w:val="00CA39ED"/>
    <w:rsid w:val="00CA3A2C"/>
    <w:rsid w:val="00CA3F80"/>
    <w:rsid w:val="00CA415B"/>
    <w:rsid w:val="00CA45C3"/>
    <w:rsid w:val="00CA4679"/>
    <w:rsid w:val="00CA48A8"/>
    <w:rsid w:val="00CA4A50"/>
    <w:rsid w:val="00CA4BCF"/>
    <w:rsid w:val="00CA4C12"/>
    <w:rsid w:val="00CA4C39"/>
    <w:rsid w:val="00CA514C"/>
    <w:rsid w:val="00CA515E"/>
    <w:rsid w:val="00CA545F"/>
    <w:rsid w:val="00CA5693"/>
    <w:rsid w:val="00CA586D"/>
    <w:rsid w:val="00CA58D7"/>
    <w:rsid w:val="00CA5E72"/>
    <w:rsid w:val="00CA5EC2"/>
    <w:rsid w:val="00CA6207"/>
    <w:rsid w:val="00CA6618"/>
    <w:rsid w:val="00CA6731"/>
    <w:rsid w:val="00CA6C5F"/>
    <w:rsid w:val="00CA6C90"/>
    <w:rsid w:val="00CA7317"/>
    <w:rsid w:val="00CA732E"/>
    <w:rsid w:val="00CA7779"/>
    <w:rsid w:val="00CA788A"/>
    <w:rsid w:val="00CA7988"/>
    <w:rsid w:val="00CA79D5"/>
    <w:rsid w:val="00CA7B0A"/>
    <w:rsid w:val="00CA7C73"/>
    <w:rsid w:val="00CA7D72"/>
    <w:rsid w:val="00CA7DCF"/>
    <w:rsid w:val="00CA7DDB"/>
    <w:rsid w:val="00CA7F26"/>
    <w:rsid w:val="00CB0218"/>
    <w:rsid w:val="00CB024D"/>
    <w:rsid w:val="00CB038D"/>
    <w:rsid w:val="00CB0812"/>
    <w:rsid w:val="00CB095B"/>
    <w:rsid w:val="00CB0989"/>
    <w:rsid w:val="00CB099F"/>
    <w:rsid w:val="00CB0AD0"/>
    <w:rsid w:val="00CB0C00"/>
    <w:rsid w:val="00CB0CB4"/>
    <w:rsid w:val="00CB0CFC"/>
    <w:rsid w:val="00CB0F7D"/>
    <w:rsid w:val="00CB17E2"/>
    <w:rsid w:val="00CB1AFC"/>
    <w:rsid w:val="00CB1FE4"/>
    <w:rsid w:val="00CB21D0"/>
    <w:rsid w:val="00CB243B"/>
    <w:rsid w:val="00CB2791"/>
    <w:rsid w:val="00CB2A96"/>
    <w:rsid w:val="00CB2D3E"/>
    <w:rsid w:val="00CB2DFA"/>
    <w:rsid w:val="00CB2EBB"/>
    <w:rsid w:val="00CB2FA6"/>
    <w:rsid w:val="00CB3043"/>
    <w:rsid w:val="00CB30F2"/>
    <w:rsid w:val="00CB33BE"/>
    <w:rsid w:val="00CB36DD"/>
    <w:rsid w:val="00CB396C"/>
    <w:rsid w:val="00CB41A8"/>
    <w:rsid w:val="00CB41BC"/>
    <w:rsid w:val="00CB43C3"/>
    <w:rsid w:val="00CB4611"/>
    <w:rsid w:val="00CB463B"/>
    <w:rsid w:val="00CB47BC"/>
    <w:rsid w:val="00CB4B1A"/>
    <w:rsid w:val="00CB4DB6"/>
    <w:rsid w:val="00CB4E2E"/>
    <w:rsid w:val="00CB5449"/>
    <w:rsid w:val="00CB5643"/>
    <w:rsid w:val="00CB5838"/>
    <w:rsid w:val="00CB58A2"/>
    <w:rsid w:val="00CB58C1"/>
    <w:rsid w:val="00CB5AB0"/>
    <w:rsid w:val="00CB5AD5"/>
    <w:rsid w:val="00CB5EE7"/>
    <w:rsid w:val="00CB62C0"/>
    <w:rsid w:val="00CB62C2"/>
    <w:rsid w:val="00CB650C"/>
    <w:rsid w:val="00CB6723"/>
    <w:rsid w:val="00CB67C0"/>
    <w:rsid w:val="00CB67CC"/>
    <w:rsid w:val="00CB6E3C"/>
    <w:rsid w:val="00CB6E59"/>
    <w:rsid w:val="00CB6FA7"/>
    <w:rsid w:val="00CB7177"/>
    <w:rsid w:val="00CB7467"/>
    <w:rsid w:val="00CB74CB"/>
    <w:rsid w:val="00CB774F"/>
    <w:rsid w:val="00CB78B0"/>
    <w:rsid w:val="00CB7900"/>
    <w:rsid w:val="00CB7B3C"/>
    <w:rsid w:val="00CB7F4F"/>
    <w:rsid w:val="00CB7F8C"/>
    <w:rsid w:val="00CB7FEA"/>
    <w:rsid w:val="00CC0049"/>
    <w:rsid w:val="00CC00D5"/>
    <w:rsid w:val="00CC01D7"/>
    <w:rsid w:val="00CC0517"/>
    <w:rsid w:val="00CC05BE"/>
    <w:rsid w:val="00CC07E8"/>
    <w:rsid w:val="00CC0C5A"/>
    <w:rsid w:val="00CC0DA7"/>
    <w:rsid w:val="00CC0F03"/>
    <w:rsid w:val="00CC1377"/>
    <w:rsid w:val="00CC137E"/>
    <w:rsid w:val="00CC13F8"/>
    <w:rsid w:val="00CC156D"/>
    <w:rsid w:val="00CC1598"/>
    <w:rsid w:val="00CC1846"/>
    <w:rsid w:val="00CC1875"/>
    <w:rsid w:val="00CC1C5D"/>
    <w:rsid w:val="00CC2091"/>
    <w:rsid w:val="00CC2136"/>
    <w:rsid w:val="00CC2550"/>
    <w:rsid w:val="00CC29CE"/>
    <w:rsid w:val="00CC2A05"/>
    <w:rsid w:val="00CC2AAA"/>
    <w:rsid w:val="00CC2B07"/>
    <w:rsid w:val="00CC2C4D"/>
    <w:rsid w:val="00CC2C63"/>
    <w:rsid w:val="00CC2D17"/>
    <w:rsid w:val="00CC30F8"/>
    <w:rsid w:val="00CC327A"/>
    <w:rsid w:val="00CC33F5"/>
    <w:rsid w:val="00CC3558"/>
    <w:rsid w:val="00CC3764"/>
    <w:rsid w:val="00CC3875"/>
    <w:rsid w:val="00CC3986"/>
    <w:rsid w:val="00CC3B0E"/>
    <w:rsid w:val="00CC3EBE"/>
    <w:rsid w:val="00CC416B"/>
    <w:rsid w:val="00CC4364"/>
    <w:rsid w:val="00CC4482"/>
    <w:rsid w:val="00CC4705"/>
    <w:rsid w:val="00CC47A7"/>
    <w:rsid w:val="00CC47C8"/>
    <w:rsid w:val="00CC481A"/>
    <w:rsid w:val="00CC4ADA"/>
    <w:rsid w:val="00CC4AF6"/>
    <w:rsid w:val="00CC4BA3"/>
    <w:rsid w:val="00CC4CB2"/>
    <w:rsid w:val="00CC4DC8"/>
    <w:rsid w:val="00CC5826"/>
    <w:rsid w:val="00CC5A96"/>
    <w:rsid w:val="00CC5AFE"/>
    <w:rsid w:val="00CC5C0E"/>
    <w:rsid w:val="00CC5CB4"/>
    <w:rsid w:val="00CC5F43"/>
    <w:rsid w:val="00CC6114"/>
    <w:rsid w:val="00CC614D"/>
    <w:rsid w:val="00CC6453"/>
    <w:rsid w:val="00CC6599"/>
    <w:rsid w:val="00CC66EE"/>
    <w:rsid w:val="00CC66F0"/>
    <w:rsid w:val="00CC688A"/>
    <w:rsid w:val="00CC69BF"/>
    <w:rsid w:val="00CC6ABD"/>
    <w:rsid w:val="00CC6AE8"/>
    <w:rsid w:val="00CC6BEB"/>
    <w:rsid w:val="00CC6DB3"/>
    <w:rsid w:val="00CC6E60"/>
    <w:rsid w:val="00CC7079"/>
    <w:rsid w:val="00CC718E"/>
    <w:rsid w:val="00CC755B"/>
    <w:rsid w:val="00CC7755"/>
    <w:rsid w:val="00CC7A3C"/>
    <w:rsid w:val="00CC7E1D"/>
    <w:rsid w:val="00CD0285"/>
    <w:rsid w:val="00CD0313"/>
    <w:rsid w:val="00CD05AA"/>
    <w:rsid w:val="00CD05FB"/>
    <w:rsid w:val="00CD07F3"/>
    <w:rsid w:val="00CD092C"/>
    <w:rsid w:val="00CD0A0F"/>
    <w:rsid w:val="00CD0C23"/>
    <w:rsid w:val="00CD0C4C"/>
    <w:rsid w:val="00CD0C72"/>
    <w:rsid w:val="00CD0EDB"/>
    <w:rsid w:val="00CD0FB8"/>
    <w:rsid w:val="00CD10CA"/>
    <w:rsid w:val="00CD113C"/>
    <w:rsid w:val="00CD1239"/>
    <w:rsid w:val="00CD12F4"/>
    <w:rsid w:val="00CD17D9"/>
    <w:rsid w:val="00CD1846"/>
    <w:rsid w:val="00CD1B68"/>
    <w:rsid w:val="00CD1C0D"/>
    <w:rsid w:val="00CD1C52"/>
    <w:rsid w:val="00CD1E22"/>
    <w:rsid w:val="00CD207F"/>
    <w:rsid w:val="00CD22B8"/>
    <w:rsid w:val="00CD2764"/>
    <w:rsid w:val="00CD29F0"/>
    <w:rsid w:val="00CD2BAA"/>
    <w:rsid w:val="00CD32EF"/>
    <w:rsid w:val="00CD3322"/>
    <w:rsid w:val="00CD370C"/>
    <w:rsid w:val="00CD388E"/>
    <w:rsid w:val="00CD38F7"/>
    <w:rsid w:val="00CD39AB"/>
    <w:rsid w:val="00CD3BB6"/>
    <w:rsid w:val="00CD3DC9"/>
    <w:rsid w:val="00CD3E04"/>
    <w:rsid w:val="00CD3E3B"/>
    <w:rsid w:val="00CD3E9B"/>
    <w:rsid w:val="00CD3F80"/>
    <w:rsid w:val="00CD4015"/>
    <w:rsid w:val="00CD4157"/>
    <w:rsid w:val="00CD41EF"/>
    <w:rsid w:val="00CD420A"/>
    <w:rsid w:val="00CD4267"/>
    <w:rsid w:val="00CD42E4"/>
    <w:rsid w:val="00CD43E6"/>
    <w:rsid w:val="00CD45D3"/>
    <w:rsid w:val="00CD45E1"/>
    <w:rsid w:val="00CD4756"/>
    <w:rsid w:val="00CD4832"/>
    <w:rsid w:val="00CD485F"/>
    <w:rsid w:val="00CD4DA8"/>
    <w:rsid w:val="00CD4DFD"/>
    <w:rsid w:val="00CD5168"/>
    <w:rsid w:val="00CD51CD"/>
    <w:rsid w:val="00CD5206"/>
    <w:rsid w:val="00CD5418"/>
    <w:rsid w:val="00CD5517"/>
    <w:rsid w:val="00CD59B2"/>
    <w:rsid w:val="00CD5C75"/>
    <w:rsid w:val="00CD5D87"/>
    <w:rsid w:val="00CD5DA0"/>
    <w:rsid w:val="00CD5E84"/>
    <w:rsid w:val="00CD5EC2"/>
    <w:rsid w:val="00CD5F38"/>
    <w:rsid w:val="00CD6008"/>
    <w:rsid w:val="00CD60C8"/>
    <w:rsid w:val="00CD63B3"/>
    <w:rsid w:val="00CD6493"/>
    <w:rsid w:val="00CD64BF"/>
    <w:rsid w:val="00CD671D"/>
    <w:rsid w:val="00CD68CC"/>
    <w:rsid w:val="00CD6C90"/>
    <w:rsid w:val="00CD6DF9"/>
    <w:rsid w:val="00CD6E6A"/>
    <w:rsid w:val="00CD6F6F"/>
    <w:rsid w:val="00CD70A1"/>
    <w:rsid w:val="00CD7117"/>
    <w:rsid w:val="00CD7123"/>
    <w:rsid w:val="00CD7217"/>
    <w:rsid w:val="00CD7435"/>
    <w:rsid w:val="00CD743E"/>
    <w:rsid w:val="00CD756B"/>
    <w:rsid w:val="00CD7678"/>
    <w:rsid w:val="00CD78EA"/>
    <w:rsid w:val="00CD7901"/>
    <w:rsid w:val="00CD796C"/>
    <w:rsid w:val="00CD7C79"/>
    <w:rsid w:val="00CD7DC2"/>
    <w:rsid w:val="00CD7E80"/>
    <w:rsid w:val="00CD7F08"/>
    <w:rsid w:val="00CD7FBF"/>
    <w:rsid w:val="00CE019E"/>
    <w:rsid w:val="00CE0412"/>
    <w:rsid w:val="00CE069E"/>
    <w:rsid w:val="00CE06E0"/>
    <w:rsid w:val="00CE08D7"/>
    <w:rsid w:val="00CE094E"/>
    <w:rsid w:val="00CE09DC"/>
    <w:rsid w:val="00CE0A93"/>
    <w:rsid w:val="00CE0B7A"/>
    <w:rsid w:val="00CE0D3C"/>
    <w:rsid w:val="00CE0F57"/>
    <w:rsid w:val="00CE102F"/>
    <w:rsid w:val="00CE11AB"/>
    <w:rsid w:val="00CE1257"/>
    <w:rsid w:val="00CE199D"/>
    <w:rsid w:val="00CE1E06"/>
    <w:rsid w:val="00CE1F2C"/>
    <w:rsid w:val="00CE1FAC"/>
    <w:rsid w:val="00CE203D"/>
    <w:rsid w:val="00CE2500"/>
    <w:rsid w:val="00CE26CA"/>
    <w:rsid w:val="00CE278E"/>
    <w:rsid w:val="00CE29A9"/>
    <w:rsid w:val="00CE29C7"/>
    <w:rsid w:val="00CE2D53"/>
    <w:rsid w:val="00CE30AF"/>
    <w:rsid w:val="00CE35B9"/>
    <w:rsid w:val="00CE3787"/>
    <w:rsid w:val="00CE3856"/>
    <w:rsid w:val="00CE3988"/>
    <w:rsid w:val="00CE3FD7"/>
    <w:rsid w:val="00CE42A8"/>
    <w:rsid w:val="00CE474D"/>
    <w:rsid w:val="00CE4860"/>
    <w:rsid w:val="00CE4A25"/>
    <w:rsid w:val="00CE4FE6"/>
    <w:rsid w:val="00CE514D"/>
    <w:rsid w:val="00CE52FC"/>
    <w:rsid w:val="00CE53B0"/>
    <w:rsid w:val="00CE53E3"/>
    <w:rsid w:val="00CE569D"/>
    <w:rsid w:val="00CE5931"/>
    <w:rsid w:val="00CE6010"/>
    <w:rsid w:val="00CE6171"/>
    <w:rsid w:val="00CE62CC"/>
    <w:rsid w:val="00CE62F1"/>
    <w:rsid w:val="00CE635B"/>
    <w:rsid w:val="00CE65DE"/>
    <w:rsid w:val="00CE6A90"/>
    <w:rsid w:val="00CE6AF3"/>
    <w:rsid w:val="00CE6B4C"/>
    <w:rsid w:val="00CE6B60"/>
    <w:rsid w:val="00CE6D92"/>
    <w:rsid w:val="00CE6E98"/>
    <w:rsid w:val="00CE742A"/>
    <w:rsid w:val="00CE74B2"/>
    <w:rsid w:val="00CE7A3C"/>
    <w:rsid w:val="00CE7B92"/>
    <w:rsid w:val="00CE7B98"/>
    <w:rsid w:val="00CE7D82"/>
    <w:rsid w:val="00CE7FFE"/>
    <w:rsid w:val="00CF00D8"/>
    <w:rsid w:val="00CF020A"/>
    <w:rsid w:val="00CF0254"/>
    <w:rsid w:val="00CF05EB"/>
    <w:rsid w:val="00CF062D"/>
    <w:rsid w:val="00CF0BEB"/>
    <w:rsid w:val="00CF0D3E"/>
    <w:rsid w:val="00CF0DDF"/>
    <w:rsid w:val="00CF1273"/>
    <w:rsid w:val="00CF182C"/>
    <w:rsid w:val="00CF1BFC"/>
    <w:rsid w:val="00CF1E42"/>
    <w:rsid w:val="00CF22DC"/>
    <w:rsid w:val="00CF2508"/>
    <w:rsid w:val="00CF25BF"/>
    <w:rsid w:val="00CF26DE"/>
    <w:rsid w:val="00CF26FE"/>
    <w:rsid w:val="00CF2873"/>
    <w:rsid w:val="00CF2D69"/>
    <w:rsid w:val="00CF2ED2"/>
    <w:rsid w:val="00CF31CE"/>
    <w:rsid w:val="00CF3254"/>
    <w:rsid w:val="00CF35AD"/>
    <w:rsid w:val="00CF368E"/>
    <w:rsid w:val="00CF3C85"/>
    <w:rsid w:val="00CF3E71"/>
    <w:rsid w:val="00CF3EC7"/>
    <w:rsid w:val="00CF3FBF"/>
    <w:rsid w:val="00CF3FF4"/>
    <w:rsid w:val="00CF4019"/>
    <w:rsid w:val="00CF43BF"/>
    <w:rsid w:val="00CF4465"/>
    <w:rsid w:val="00CF44E5"/>
    <w:rsid w:val="00CF45BA"/>
    <w:rsid w:val="00CF46FE"/>
    <w:rsid w:val="00CF4708"/>
    <w:rsid w:val="00CF4875"/>
    <w:rsid w:val="00CF4A5E"/>
    <w:rsid w:val="00CF4C81"/>
    <w:rsid w:val="00CF51DA"/>
    <w:rsid w:val="00CF5613"/>
    <w:rsid w:val="00CF564F"/>
    <w:rsid w:val="00CF5653"/>
    <w:rsid w:val="00CF57B0"/>
    <w:rsid w:val="00CF6145"/>
    <w:rsid w:val="00CF6300"/>
    <w:rsid w:val="00CF6306"/>
    <w:rsid w:val="00CF63AE"/>
    <w:rsid w:val="00CF69D3"/>
    <w:rsid w:val="00CF6A74"/>
    <w:rsid w:val="00CF6A86"/>
    <w:rsid w:val="00CF6C01"/>
    <w:rsid w:val="00CF6D0D"/>
    <w:rsid w:val="00CF6D1A"/>
    <w:rsid w:val="00CF6DA4"/>
    <w:rsid w:val="00CF6E55"/>
    <w:rsid w:val="00CF6EBD"/>
    <w:rsid w:val="00CF6EEC"/>
    <w:rsid w:val="00CF7054"/>
    <w:rsid w:val="00CF7097"/>
    <w:rsid w:val="00CF728B"/>
    <w:rsid w:val="00CF729A"/>
    <w:rsid w:val="00CF770E"/>
    <w:rsid w:val="00CF7E9C"/>
    <w:rsid w:val="00CF7EBF"/>
    <w:rsid w:val="00CF7F71"/>
    <w:rsid w:val="00D0008F"/>
    <w:rsid w:val="00D00325"/>
    <w:rsid w:val="00D0093F"/>
    <w:rsid w:val="00D010AA"/>
    <w:rsid w:val="00D011B2"/>
    <w:rsid w:val="00D013C6"/>
    <w:rsid w:val="00D0160D"/>
    <w:rsid w:val="00D0171E"/>
    <w:rsid w:val="00D01985"/>
    <w:rsid w:val="00D0213B"/>
    <w:rsid w:val="00D0220D"/>
    <w:rsid w:val="00D0297B"/>
    <w:rsid w:val="00D02A45"/>
    <w:rsid w:val="00D02AD2"/>
    <w:rsid w:val="00D02B69"/>
    <w:rsid w:val="00D02BDB"/>
    <w:rsid w:val="00D02CA3"/>
    <w:rsid w:val="00D02E73"/>
    <w:rsid w:val="00D02FAD"/>
    <w:rsid w:val="00D039FE"/>
    <w:rsid w:val="00D03A09"/>
    <w:rsid w:val="00D03AEA"/>
    <w:rsid w:val="00D03CB2"/>
    <w:rsid w:val="00D03D96"/>
    <w:rsid w:val="00D03E98"/>
    <w:rsid w:val="00D041F6"/>
    <w:rsid w:val="00D042FB"/>
    <w:rsid w:val="00D04380"/>
    <w:rsid w:val="00D04572"/>
    <w:rsid w:val="00D04EB7"/>
    <w:rsid w:val="00D05102"/>
    <w:rsid w:val="00D05296"/>
    <w:rsid w:val="00D0529B"/>
    <w:rsid w:val="00D053E5"/>
    <w:rsid w:val="00D054D0"/>
    <w:rsid w:val="00D05528"/>
    <w:rsid w:val="00D056A0"/>
    <w:rsid w:val="00D0579C"/>
    <w:rsid w:val="00D058CA"/>
    <w:rsid w:val="00D059C2"/>
    <w:rsid w:val="00D05AF6"/>
    <w:rsid w:val="00D05F9A"/>
    <w:rsid w:val="00D06553"/>
    <w:rsid w:val="00D065AC"/>
    <w:rsid w:val="00D06DD4"/>
    <w:rsid w:val="00D06DD5"/>
    <w:rsid w:val="00D07082"/>
    <w:rsid w:val="00D07304"/>
    <w:rsid w:val="00D07744"/>
    <w:rsid w:val="00D078C7"/>
    <w:rsid w:val="00D10013"/>
    <w:rsid w:val="00D100FD"/>
    <w:rsid w:val="00D1021F"/>
    <w:rsid w:val="00D1030C"/>
    <w:rsid w:val="00D10412"/>
    <w:rsid w:val="00D104FC"/>
    <w:rsid w:val="00D10547"/>
    <w:rsid w:val="00D107C9"/>
    <w:rsid w:val="00D111D9"/>
    <w:rsid w:val="00D113DF"/>
    <w:rsid w:val="00D11423"/>
    <w:rsid w:val="00D115F1"/>
    <w:rsid w:val="00D11A1B"/>
    <w:rsid w:val="00D11AAA"/>
    <w:rsid w:val="00D11C67"/>
    <w:rsid w:val="00D1246A"/>
    <w:rsid w:val="00D124AE"/>
    <w:rsid w:val="00D126C6"/>
    <w:rsid w:val="00D13111"/>
    <w:rsid w:val="00D135D6"/>
    <w:rsid w:val="00D13621"/>
    <w:rsid w:val="00D13844"/>
    <w:rsid w:val="00D13A1C"/>
    <w:rsid w:val="00D13B9B"/>
    <w:rsid w:val="00D13BCD"/>
    <w:rsid w:val="00D13D2C"/>
    <w:rsid w:val="00D14556"/>
    <w:rsid w:val="00D14597"/>
    <w:rsid w:val="00D14D20"/>
    <w:rsid w:val="00D14D49"/>
    <w:rsid w:val="00D1536C"/>
    <w:rsid w:val="00D1543C"/>
    <w:rsid w:val="00D154BF"/>
    <w:rsid w:val="00D157A0"/>
    <w:rsid w:val="00D15AAF"/>
    <w:rsid w:val="00D15C9D"/>
    <w:rsid w:val="00D15CE5"/>
    <w:rsid w:val="00D15DBE"/>
    <w:rsid w:val="00D1611F"/>
    <w:rsid w:val="00D16297"/>
    <w:rsid w:val="00D163F8"/>
    <w:rsid w:val="00D165F9"/>
    <w:rsid w:val="00D16777"/>
    <w:rsid w:val="00D168FA"/>
    <w:rsid w:val="00D16AEE"/>
    <w:rsid w:val="00D16B53"/>
    <w:rsid w:val="00D16CC8"/>
    <w:rsid w:val="00D17045"/>
    <w:rsid w:val="00D17152"/>
    <w:rsid w:val="00D172E7"/>
    <w:rsid w:val="00D1762C"/>
    <w:rsid w:val="00D17643"/>
    <w:rsid w:val="00D17813"/>
    <w:rsid w:val="00D17B1D"/>
    <w:rsid w:val="00D17D0C"/>
    <w:rsid w:val="00D20352"/>
    <w:rsid w:val="00D203B6"/>
    <w:rsid w:val="00D20423"/>
    <w:rsid w:val="00D20514"/>
    <w:rsid w:val="00D205CF"/>
    <w:rsid w:val="00D207DF"/>
    <w:rsid w:val="00D208C3"/>
    <w:rsid w:val="00D20A9E"/>
    <w:rsid w:val="00D20DFB"/>
    <w:rsid w:val="00D21006"/>
    <w:rsid w:val="00D21166"/>
    <w:rsid w:val="00D21235"/>
    <w:rsid w:val="00D21371"/>
    <w:rsid w:val="00D213A4"/>
    <w:rsid w:val="00D21460"/>
    <w:rsid w:val="00D216F0"/>
    <w:rsid w:val="00D21783"/>
    <w:rsid w:val="00D217E6"/>
    <w:rsid w:val="00D2187F"/>
    <w:rsid w:val="00D218DA"/>
    <w:rsid w:val="00D21A90"/>
    <w:rsid w:val="00D21B40"/>
    <w:rsid w:val="00D21DB8"/>
    <w:rsid w:val="00D21E7A"/>
    <w:rsid w:val="00D21E89"/>
    <w:rsid w:val="00D221AF"/>
    <w:rsid w:val="00D2229D"/>
    <w:rsid w:val="00D22402"/>
    <w:rsid w:val="00D226C7"/>
    <w:rsid w:val="00D2289B"/>
    <w:rsid w:val="00D228FC"/>
    <w:rsid w:val="00D22A3B"/>
    <w:rsid w:val="00D2301A"/>
    <w:rsid w:val="00D2304E"/>
    <w:rsid w:val="00D2325B"/>
    <w:rsid w:val="00D2327C"/>
    <w:rsid w:val="00D233F3"/>
    <w:rsid w:val="00D23656"/>
    <w:rsid w:val="00D23AC8"/>
    <w:rsid w:val="00D23CD5"/>
    <w:rsid w:val="00D23D80"/>
    <w:rsid w:val="00D23E08"/>
    <w:rsid w:val="00D23F47"/>
    <w:rsid w:val="00D240C4"/>
    <w:rsid w:val="00D24142"/>
    <w:rsid w:val="00D24318"/>
    <w:rsid w:val="00D2443D"/>
    <w:rsid w:val="00D24504"/>
    <w:rsid w:val="00D248A7"/>
    <w:rsid w:val="00D2491E"/>
    <w:rsid w:val="00D2493B"/>
    <w:rsid w:val="00D24D93"/>
    <w:rsid w:val="00D24EF0"/>
    <w:rsid w:val="00D2501F"/>
    <w:rsid w:val="00D25027"/>
    <w:rsid w:val="00D25056"/>
    <w:rsid w:val="00D251B5"/>
    <w:rsid w:val="00D25233"/>
    <w:rsid w:val="00D25257"/>
    <w:rsid w:val="00D2526B"/>
    <w:rsid w:val="00D252EA"/>
    <w:rsid w:val="00D25323"/>
    <w:rsid w:val="00D25476"/>
    <w:rsid w:val="00D2554C"/>
    <w:rsid w:val="00D2583A"/>
    <w:rsid w:val="00D25BC3"/>
    <w:rsid w:val="00D25D14"/>
    <w:rsid w:val="00D260D4"/>
    <w:rsid w:val="00D261C1"/>
    <w:rsid w:val="00D2631F"/>
    <w:rsid w:val="00D26500"/>
    <w:rsid w:val="00D2668A"/>
    <w:rsid w:val="00D269AA"/>
    <w:rsid w:val="00D26CE4"/>
    <w:rsid w:val="00D2723A"/>
    <w:rsid w:val="00D27676"/>
    <w:rsid w:val="00D3026A"/>
    <w:rsid w:val="00D30558"/>
    <w:rsid w:val="00D30596"/>
    <w:rsid w:val="00D30841"/>
    <w:rsid w:val="00D308BE"/>
    <w:rsid w:val="00D30AAB"/>
    <w:rsid w:val="00D30C2A"/>
    <w:rsid w:val="00D30D8F"/>
    <w:rsid w:val="00D31037"/>
    <w:rsid w:val="00D310F3"/>
    <w:rsid w:val="00D311F5"/>
    <w:rsid w:val="00D31261"/>
    <w:rsid w:val="00D312A2"/>
    <w:rsid w:val="00D31474"/>
    <w:rsid w:val="00D31490"/>
    <w:rsid w:val="00D3156E"/>
    <w:rsid w:val="00D318DD"/>
    <w:rsid w:val="00D31A6C"/>
    <w:rsid w:val="00D31E15"/>
    <w:rsid w:val="00D31F9E"/>
    <w:rsid w:val="00D321DB"/>
    <w:rsid w:val="00D32BFE"/>
    <w:rsid w:val="00D32DC5"/>
    <w:rsid w:val="00D32DFF"/>
    <w:rsid w:val="00D32FBB"/>
    <w:rsid w:val="00D32FDF"/>
    <w:rsid w:val="00D330B0"/>
    <w:rsid w:val="00D330E5"/>
    <w:rsid w:val="00D330EA"/>
    <w:rsid w:val="00D331AB"/>
    <w:rsid w:val="00D331EF"/>
    <w:rsid w:val="00D332CF"/>
    <w:rsid w:val="00D33571"/>
    <w:rsid w:val="00D335E7"/>
    <w:rsid w:val="00D337F1"/>
    <w:rsid w:val="00D3385E"/>
    <w:rsid w:val="00D3390F"/>
    <w:rsid w:val="00D33A1D"/>
    <w:rsid w:val="00D33B55"/>
    <w:rsid w:val="00D33C23"/>
    <w:rsid w:val="00D33D86"/>
    <w:rsid w:val="00D33F6D"/>
    <w:rsid w:val="00D3409C"/>
    <w:rsid w:val="00D340D0"/>
    <w:rsid w:val="00D34323"/>
    <w:rsid w:val="00D343C8"/>
    <w:rsid w:val="00D3447E"/>
    <w:rsid w:val="00D3471A"/>
    <w:rsid w:val="00D34726"/>
    <w:rsid w:val="00D34C49"/>
    <w:rsid w:val="00D34D22"/>
    <w:rsid w:val="00D34D94"/>
    <w:rsid w:val="00D34F0A"/>
    <w:rsid w:val="00D3509E"/>
    <w:rsid w:val="00D350BB"/>
    <w:rsid w:val="00D3522A"/>
    <w:rsid w:val="00D353D6"/>
    <w:rsid w:val="00D35456"/>
    <w:rsid w:val="00D35517"/>
    <w:rsid w:val="00D357C6"/>
    <w:rsid w:val="00D357D8"/>
    <w:rsid w:val="00D35875"/>
    <w:rsid w:val="00D358B8"/>
    <w:rsid w:val="00D35917"/>
    <w:rsid w:val="00D35A1D"/>
    <w:rsid w:val="00D35C02"/>
    <w:rsid w:val="00D36483"/>
    <w:rsid w:val="00D36BD4"/>
    <w:rsid w:val="00D36C0F"/>
    <w:rsid w:val="00D36DB6"/>
    <w:rsid w:val="00D36DE4"/>
    <w:rsid w:val="00D36F12"/>
    <w:rsid w:val="00D3705A"/>
    <w:rsid w:val="00D3709B"/>
    <w:rsid w:val="00D37438"/>
    <w:rsid w:val="00D374E7"/>
    <w:rsid w:val="00D37546"/>
    <w:rsid w:val="00D376BA"/>
    <w:rsid w:val="00D37801"/>
    <w:rsid w:val="00D37C72"/>
    <w:rsid w:val="00D37CFE"/>
    <w:rsid w:val="00D40115"/>
    <w:rsid w:val="00D4029E"/>
    <w:rsid w:val="00D408AE"/>
    <w:rsid w:val="00D40983"/>
    <w:rsid w:val="00D40A25"/>
    <w:rsid w:val="00D40B73"/>
    <w:rsid w:val="00D40CD5"/>
    <w:rsid w:val="00D40D89"/>
    <w:rsid w:val="00D40E7B"/>
    <w:rsid w:val="00D41000"/>
    <w:rsid w:val="00D41323"/>
    <w:rsid w:val="00D4139E"/>
    <w:rsid w:val="00D41538"/>
    <w:rsid w:val="00D417AB"/>
    <w:rsid w:val="00D417D5"/>
    <w:rsid w:val="00D41B2D"/>
    <w:rsid w:val="00D41B98"/>
    <w:rsid w:val="00D41E3E"/>
    <w:rsid w:val="00D41EFE"/>
    <w:rsid w:val="00D42348"/>
    <w:rsid w:val="00D42518"/>
    <w:rsid w:val="00D425CE"/>
    <w:rsid w:val="00D429B3"/>
    <w:rsid w:val="00D42C0F"/>
    <w:rsid w:val="00D42D69"/>
    <w:rsid w:val="00D42EB5"/>
    <w:rsid w:val="00D4311E"/>
    <w:rsid w:val="00D431CC"/>
    <w:rsid w:val="00D43309"/>
    <w:rsid w:val="00D43432"/>
    <w:rsid w:val="00D43504"/>
    <w:rsid w:val="00D4355D"/>
    <w:rsid w:val="00D43C28"/>
    <w:rsid w:val="00D43D57"/>
    <w:rsid w:val="00D43DFA"/>
    <w:rsid w:val="00D44052"/>
    <w:rsid w:val="00D440C1"/>
    <w:rsid w:val="00D44471"/>
    <w:rsid w:val="00D44480"/>
    <w:rsid w:val="00D446BB"/>
    <w:rsid w:val="00D44A81"/>
    <w:rsid w:val="00D44AC5"/>
    <w:rsid w:val="00D44AF2"/>
    <w:rsid w:val="00D44BCF"/>
    <w:rsid w:val="00D44E63"/>
    <w:rsid w:val="00D4525C"/>
    <w:rsid w:val="00D45524"/>
    <w:rsid w:val="00D458B9"/>
    <w:rsid w:val="00D458CE"/>
    <w:rsid w:val="00D45A33"/>
    <w:rsid w:val="00D45B5F"/>
    <w:rsid w:val="00D45CE5"/>
    <w:rsid w:val="00D45E33"/>
    <w:rsid w:val="00D461CD"/>
    <w:rsid w:val="00D462A5"/>
    <w:rsid w:val="00D4634E"/>
    <w:rsid w:val="00D463BD"/>
    <w:rsid w:val="00D46549"/>
    <w:rsid w:val="00D466E0"/>
    <w:rsid w:val="00D4686A"/>
    <w:rsid w:val="00D46993"/>
    <w:rsid w:val="00D469EF"/>
    <w:rsid w:val="00D46AE1"/>
    <w:rsid w:val="00D46D69"/>
    <w:rsid w:val="00D46E59"/>
    <w:rsid w:val="00D470DB"/>
    <w:rsid w:val="00D475FF"/>
    <w:rsid w:val="00D4772C"/>
    <w:rsid w:val="00D47926"/>
    <w:rsid w:val="00D479B0"/>
    <w:rsid w:val="00D47AD4"/>
    <w:rsid w:val="00D47AFD"/>
    <w:rsid w:val="00D47B14"/>
    <w:rsid w:val="00D47DCD"/>
    <w:rsid w:val="00D50538"/>
    <w:rsid w:val="00D505F5"/>
    <w:rsid w:val="00D50646"/>
    <w:rsid w:val="00D5069B"/>
    <w:rsid w:val="00D506A3"/>
    <w:rsid w:val="00D507F5"/>
    <w:rsid w:val="00D50A44"/>
    <w:rsid w:val="00D50BE1"/>
    <w:rsid w:val="00D50BFD"/>
    <w:rsid w:val="00D50E65"/>
    <w:rsid w:val="00D51032"/>
    <w:rsid w:val="00D5123A"/>
    <w:rsid w:val="00D515A2"/>
    <w:rsid w:val="00D5179E"/>
    <w:rsid w:val="00D51835"/>
    <w:rsid w:val="00D51D19"/>
    <w:rsid w:val="00D520C4"/>
    <w:rsid w:val="00D520DD"/>
    <w:rsid w:val="00D5218D"/>
    <w:rsid w:val="00D52219"/>
    <w:rsid w:val="00D52380"/>
    <w:rsid w:val="00D52484"/>
    <w:rsid w:val="00D526E6"/>
    <w:rsid w:val="00D52702"/>
    <w:rsid w:val="00D52816"/>
    <w:rsid w:val="00D52AA3"/>
    <w:rsid w:val="00D530C1"/>
    <w:rsid w:val="00D53209"/>
    <w:rsid w:val="00D534A3"/>
    <w:rsid w:val="00D5368B"/>
    <w:rsid w:val="00D53792"/>
    <w:rsid w:val="00D53869"/>
    <w:rsid w:val="00D53B48"/>
    <w:rsid w:val="00D53FD9"/>
    <w:rsid w:val="00D541E2"/>
    <w:rsid w:val="00D5427B"/>
    <w:rsid w:val="00D546BA"/>
    <w:rsid w:val="00D5472C"/>
    <w:rsid w:val="00D549AF"/>
    <w:rsid w:val="00D54AAA"/>
    <w:rsid w:val="00D54B6B"/>
    <w:rsid w:val="00D54C80"/>
    <w:rsid w:val="00D54DA2"/>
    <w:rsid w:val="00D54FF1"/>
    <w:rsid w:val="00D5519B"/>
    <w:rsid w:val="00D554B0"/>
    <w:rsid w:val="00D55549"/>
    <w:rsid w:val="00D55668"/>
    <w:rsid w:val="00D556BA"/>
    <w:rsid w:val="00D556DD"/>
    <w:rsid w:val="00D55E5A"/>
    <w:rsid w:val="00D55FCC"/>
    <w:rsid w:val="00D56200"/>
    <w:rsid w:val="00D562A9"/>
    <w:rsid w:val="00D56548"/>
    <w:rsid w:val="00D56864"/>
    <w:rsid w:val="00D56921"/>
    <w:rsid w:val="00D56A0F"/>
    <w:rsid w:val="00D56BA7"/>
    <w:rsid w:val="00D56CF3"/>
    <w:rsid w:val="00D56F2F"/>
    <w:rsid w:val="00D5750B"/>
    <w:rsid w:val="00D576EB"/>
    <w:rsid w:val="00D5770F"/>
    <w:rsid w:val="00D600D9"/>
    <w:rsid w:val="00D604FA"/>
    <w:rsid w:val="00D605E2"/>
    <w:rsid w:val="00D60817"/>
    <w:rsid w:val="00D609CB"/>
    <w:rsid w:val="00D60B41"/>
    <w:rsid w:val="00D60BED"/>
    <w:rsid w:val="00D60BF1"/>
    <w:rsid w:val="00D60D08"/>
    <w:rsid w:val="00D611AC"/>
    <w:rsid w:val="00D61372"/>
    <w:rsid w:val="00D61585"/>
    <w:rsid w:val="00D61672"/>
    <w:rsid w:val="00D61849"/>
    <w:rsid w:val="00D6214C"/>
    <w:rsid w:val="00D6248D"/>
    <w:rsid w:val="00D62B1B"/>
    <w:rsid w:val="00D62F46"/>
    <w:rsid w:val="00D62F5A"/>
    <w:rsid w:val="00D632F1"/>
    <w:rsid w:val="00D63385"/>
    <w:rsid w:val="00D63478"/>
    <w:rsid w:val="00D63773"/>
    <w:rsid w:val="00D63D7C"/>
    <w:rsid w:val="00D63D90"/>
    <w:rsid w:val="00D63F00"/>
    <w:rsid w:val="00D642E5"/>
    <w:rsid w:val="00D64969"/>
    <w:rsid w:val="00D64C46"/>
    <w:rsid w:val="00D64E1F"/>
    <w:rsid w:val="00D64ECB"/>
    <w:rsid w:val="00D64F99"/>
    <w:rsid w:val="00D65069"/>
    <w:rsid w:val="00D65120"/>
    <w:rsid w:val="00D65654"/>
    <w:rsid w:val="00D656AC"/>
    <w:rsid w:val="00D658E8"/>
    <w:rsid w:val="00D6592C"/>
    <w:rsid w:val="00D65AA2"/>
    <w:rsid w:val="00D65B9B"/>
    <w:rsid w:val="00D65C10"/>
    <w:rsid w:val="00D65C3F"/>
    <w:rsid w:val="00D65C54"/>
    <w:rsid w:val="00D65CC7"/>
    <w:rsid w:val="00D65F76"/>
    <w:rsid w:val="00D6623F"/>
    <w:rsid w:val="00D6638C"/>
    <w:rsid w:val="00D666D7"/>
    <w:rsid w:val="00D66765"/>
    <w:rsid w:val="00D66841"/>
    <w:rsid w:val="00D669E4"/>
    <w:rsid w:val="00D66C4E"/>
    <w:rsid w:val="00D66CAF"/>
    <w:rsid w:val="00D66EF6"/>
    <w:rsid w:val="00D6706B"/>
    <w:rsid w:val="00D670D6"/>
    <w:rsid w:val="00D67350"/>
    <w:rsid w:val="00D676FC"/>
    <w:rsid w:val="00D67860"/>
    <w:rsid w:val="00D67A4A"/>
    <w:rsid w:val="00D67A96"/>
    <w:rsid w:val="00D67EF0"/>
    <w:rsid w:val="00D67EF8"/>
    <w:rsid w:val="00D70245"/>
    <w:rsid w:val="00D7057C"/>
    <w:rsid w:val="00D706A9"/>
    <w:rsid w:val="00D7084B"/>
    <w:rsid w:val="00D708E7"/>
    <w:rsid w:val="00D70C7C"/>
    <w:rsid w:val="00D70D6E"/>
    <w:rsid w:val="00D70DC0"/>
    <w:rsid w:val="00D70DED"/>
    <w:rsid w:val="00D719EC"/>
    <w:rsid w:val="00D71DF5"/>
    <w:rsid w:val="00D71FC5"/>
    <w:rsid w:val="00D722EA"/>
    <w:rsid w:val="00D722F8"/>
    <w:rsid w:val="00D72576"/>
    <w:rsid w:val="00D726F7"/>
    <w:rsid w:val="00D72B34"/>
    <w:rsid w:val="00D72C77"/>
    <w:rsid w:val="00D72E36"/>
    <w:rsid w:val="00D72FAA"/>
    <w:rsid w:val="00D7316A"/>
    <w:rsid w:val="00D7326A"/>
    <w:rsid w:val="00D733AA"/>
    <w:rsid w:val="00D73630"/>
    <w:rsid w:val="00D73672"/>
    <w:rsid w:val="00D737E2"/>
    <w:rsid w:val="00D73810"/>
    <w:rsid w:val="00D73D2F"/>
    <w:rsid w:val="00D73DBE"/>
    <w:rsid w:val="00D742FE"/>
    <w:rsid w:val="00D74322"/>
    <w:rsid w:val="00D74804"/>
    <w:rsid w:val="00D7490E"/>
    <w:rsid w:val="00D749EF"/>
    <w:rsid w:val="00D74B71"/>
    <w:rsid w:val="00D74C70"/>
    <w:rsid w:val="00D74E9B"/>
    <w:rsid w:val="00D75023"/>
    <w:rsid w:val="00D753B7"/>
    <w:rsid w:val="00D75B27"/>
    <w:rsid w:val="00D762AC"/>
    <w:rsid w:val="00D762AD"/>
    <w:rsid w:val="00D7644D"/>
    <w:rsid w:val="00D7648B"/>
    <w:rsid w:val="00D764CC"/>
    <w:rsid w:val="00D76699"/>
    <w:rsid w:val="00D76B2E"/>
    <w:rsid w:val="00D76C70"/>
    <w:rsid w:val="00D7702F"/>
    <w:rsid w:val="00D770B4"/>
    <w:rsid w:val="00D77298"/>
    <w:rsid w:val="00D77590"/>
    <w:rsid w:val="00D77982"/>
    <w:rsid w:val="00D77AC9"/>
    <w:rsid w:val="00D77D6B"/>
    <w:rsid w:val="00D77D7B"/>
    <w:rsid w:val="00D77E06"/>
    <w:rsid w:val="00D80071"/>
    <w:rsid w:val="00D8036F"/>
    <w:rsid w:val="00D8051F"/>
    <w:rsid w:val="00D8077D"/>
    <w:rsid w:val="00D809B4"/>
    <w:rsid w:val="00D80FC4"/>
    <w:rsid w:val="00D81011"/>
    <w:rsid w:val="00D81100"/>
    <w:rsid w:val="00D8125A"/>
    <w:rsid w:val="00D816E1"/>
    <w:rsid w:val="00D81761"/>
    <w:rsid w:val="00D81881"/>
    <w:rsid w:val="00D81ABC"/>
    <w:rsid w:val="00D81F39"/>
    <w:rsid w:val="00D829B3"/>
    <w:rsid w:val="00D82A7B"/>
    <w:rsid w:val="00D82CC7"/>
    <w:rsid w:val="00D82E1B"/>
    <w:rsid w:val="00D82FDF"/>
    <w:rsid w:val="00D8301F"/>
    <w:rsid w:val="00D83085"/>
    <w:rsid w:val="00D830ED"/>
    <w:rsid w:val="00D83322"/>
    <w:rsid w:val="00D83481"/>
    <w:rsid w:val="00D8356D"/>
    <w:rsid w:val="00D835E8"/>
    <w:rsid w:val="00D836E9"/>
    <w:rsid w:val="00D83B03"/>
    <w:rsid w:val="00D83C6F"/>
    <w:rsid w:val="00D83D78"/>
    <w:rsid w:val="00D83FC9"/>
    <w:rsid w:val="00D84250"/>
    <w:rsid w:val="00D84336"/>
    <w:rsid w:val="00D8448A"/>
    <w:rsid w:val="00D8459E"/>
    <w:rsid w:val="00D849F5"/>
    <w:rsid w:val="00D84B38"/>
    <w:rsid w:val="00D84C34"/>
    <w:rsid w:val="00D84E99"/>
    <w:rsid w:val="00D858A8"/>
    <w:rsid w:val="00D85A75"/>
    <w:rsid w:val="00D85AE0"/>
    <w:rsid w:val="00D85ED0"/>
    <w:rsid w:val="00D85FD0"/>
    <w:rsid w:val="00D86567"/>
    <w:rsid w:val="00D867FA"/>
    <w:rsid w:val="00D86AC7"/>
    <w:rsid w:val="00D86BEC"/>
    <w:rsid w:val="00D86F15"/>
    <w:rsid w:val="00D86F2E"/>
    <w:rsid w:val="00D86F51"/>
    <w:rsid w:val="00D86F75"/>
    <w:rsid w:val="00D870BE"/>
    <w:rsid w:val="00D876BB"/>
    <w:rsid w:val="00D876CA"/>
    <w:rsid w:val="00D877A5"/>
    <w:rsid w:val="00D8796C"/>
    <w:rsid w:val="00D87A23"/>
    <w:rsid w:val="00D87F8A"/>
    <w:rsid w:val="00D90418"/>
    <w:rsid w:val="00D90614"/>
    <w:rsid w:val="00D90668"/>
    <w:rsid w:val="00D907BD"/>
    <w:rsid w:val="00D9092F"/>
    <w:rsid w:val="00D90BAB"/>
    <w:rsid w:val="00D90C73"/>
    <w:rsid w:val="00D90FC6"/>
    <w:rsid w:val="00D915F4"/>
    <w:rsid w:val="00D91825"/>
    <w:rsid w:val="00D91CA9"/>
    <w:rsid w:val="00D92202"/>
    <w:rsid w:val="00D92316"/>
    <w:rsid w:val="00D925BD"/>
    <w:rsid w:val="00D929A7"/>
    <w:rsid w:val="00D92A29"/>
    <w:rsid w:val="00D92F97"/>
    <w:rsid w:val="00D92FAF"/>
    <w:rsid w:val="00D935A3"/>
    <w:rsid w:val="00D936A6"/>
    <w:rsid w:val="00D9382F"/>
    <w:rsid w:val="00D93837"/>
    <w:rsid w:val="00D939EE"/>
    <w:rsid w:val="00D93B8A"/>
    <w:rsid w:val="00D93D23"/>
    <w:rsid w:val="00D944A1"/>
    <w:rsid w:val="00D945BE"/>
    <w:rsid w:val="00D946C6"/>
    <w:rsid w:val="00D948B0"/>
    <w:rsid w:val="00D949E9"/>
    <w:rsid w:val="00D94E53"/>
    <w:rsid w:val="00D94EB1"/>
    <w:rsid w:val="00D95336"/>
    <w:rsid w:val="00D95623"/>
    <w:rsid w:val="00D9589E"/>
    <w:rsid w:val="00D958A5"/>
    <w:rsid w:val="00D95C68"/>
    <w:rsid w:val="00D95EE4"/>
    <w:rsid w:val="00D95F01"/>
    <w:rsid w:val="00D96016"/>
    <w:rsid w:val="00D966EF"/>
    <w:rsid w:val="00D9693A"/>
    <w:rsid w:val="00D969FD"/>
    <w:rsid w:val="00D96A04"/>
    <w:rsid w:val="00D96AFD"/>
    <w:rsid w:val="00D96D78"/>
    <w:rsid w:val="00D96FB2"/>
    <w:rsid w:val="00D973A8"/>
    <w:rsid w:val="00D9748A"/>
    <w:rsid w:val="00D97646"/>
    <w:rsid w:val="00D9781B"/>
    <w:rsid w:val="00D97DE3"/>
    <w:rsid w:val="00D97FAE"/>
    <w:rsid w:val="00D97FC9"/>
    <w:rsid w:val="00DA0107"/>
    <w:rsid w:val="00DA023F"/>
    <w:rsid w:val="00DA03E1"/>
    <w:rsid w:val="00DA0510"/>
    <w:rsid w:val="00DA05D9"/>
    <w:rsid w:val="00DA05F5"/>
    <w:rsid w:val="00DA074B"/>
    <w:rsid w:val="00DA08E6"/>
    <w:rsid w:val="00DA095F"/>
    <w:rsid w:val="00DA0CE1"/>
    <w:rsid w:val="00DA0CED"/>
    <w:rsid w:val="00DA0E6E"/>
    <w:rsid w:val="00DA0FB3"/>
    <w:rsid w:val="00DA10EB"/>
    <w:rsid w:val="00DA1137"/>
    <w:rsid w:val="00DA14E2"/>
    <w:rsid w:val="00DA163F"/>
    <w:rsid w:val="00DA1698"/>
    <w:rsid w:val="00DA1912"/>
    <w:rsid w:val="00DA1A3E"/>
    <w:rsid w:val="00DA1C09"/>
    <w:rsid w:val="00DA1D9C"/>
    <w:rsid w:val="00DA2042"/>
    <w:rsid w:val="00DA21F6"/>
    <w:rsid w:val="00DA22BF"/>
    <w:rsid w:val="00DA2493"/>
    <w:rsid w:val="00DA26F8"/>
    <w:rsid w:val="00DA2864"/>
    <w:rsid w:val="00DA287E"/>
    <w:rsid w:val="00DA2894"/>
    <w:rsid w:val="00DA2A20"/>
    <w:rsid w:val="00DA2A3F"/>
    <w:rsid w:val="00DA2A67"/>
    <w:rsid w:val="00DA2D3A"/>
    <w:rsid w:val="00DA2F03"/>
    <w:rsid w:val="00DA2FD5"/>
    <w:rsid w:val="00DA300E"/>
    <w:rsid w:val="00DA3176"/>
    <w:rsid w:val="00DA3262"/>
    <w:rsid w:val="00DA3326"/>
    <w:rsid w:val="00DA336D"/>
    <w:rsid w:val="00DA3717"/>
    <w:rsid w:val="00DA3B3B"/>
    <w:rsid w:val="00DA3C3F"/>
    <w:rsid w:val="00DA3DCC"/>
    <w:rsid w:val="00DA3F6E"/>
    <w:rsid w:val="00DA4017"/>
    <w:rsid w:val="00DA41A2"/>
    <w:rsid w:val="00DA42EA"/>
    <w:rsid w:val="00DA4401"/>
    <w:rsid w:val="00DA4438"/>
    <w:rsid w:val="00DA4BFF"/>
    <w:rsid w:val="00DA4E0D"/>
    <w:rsid w:val="00DA52A4"/>
    <w:rsid w:val="00DA5305"/>
    <w:rsid w:val="00DA5479"/>
    <w:rsid w:val="00DA5552"/>
    <w:rsid w:val="00DA58A4"/>
    <w:rsid w:val="00DA59FF"/>
    <w:rsid w:val="00DA5B44"/>
    <w:rsid w:val="00DA5B8F"/>
    <w:rsid w:val="00DA5BF1"/>
    <w:rsid w:val="00DA5E87"/>
    <w:rsid w:val="00DA6149"/>
    <w:rsid w:val="00DA65EC"/>
    <w:rsid w:val="00DA6611"/>
    <w:rsid w:val="00DA66D2"/>
    <w:rsid w:val="00DA67F5"/>
    <w:rsid w:val="00DA68E9"/>
    <w:rsid w:val="00DA69BE"/>
    <w:rsid w:val="00DA69D2"/>
    <w:rsid w:val="00DA6DBE"/>
    <w:rsid w:val="00DA6DC1"/>
    <w:rsid w:val="00DA6FD2"/>
    <w:rsid w:val="00DA701F"/>
    <w:rsid w:val="00DA77D5"/>
    <w:rsid w:val="00DA78E5"/>
    <w:rsid w:val="00DA7911"/>
    <w:rsid w:val="00DA7977"/>
    <w:rsid w:val="00DA7A39"/>
    <w:rsid w:val="00DA7B33"/>
    <w:rsid w:val="00DA7E46"/>
    <w:rsid w:val="00DA7F3B"/>
    <w:rsid w:val="00DA7F42"/>
    <w:rsid w:val="00DB00AC"/>
    <w:rsid w:val="00DB014A"/>
    <w:rsid w:val="00DB026B"/>
    <w:rsid w:val="00DB0468"/>
    <w:rsid w:val="00DB05C9"/>
    <w:rsid w:val="00DB0613"/>
    <w:rsid w:val="00DB064C"/>
    <w:rsid w:val="00DB08AA"/>
    <w:rsid w:val="00DB0962"/>
    <w:rsid w:val="00DB0B3F"/>
    <w:rsid w:val="00DB0E81"/>
    <w:rsid w:val="00DB0F0C"/>
    <w:rsid w:val="00DB106A"/>
    <w:rsid w:val="00DB10D2"/>
    <w:rsid w:val="00DB1592"/>
    <w:rsid w:val="00DB18F1"/>
    <w:rsid w:val="00DB1924"/>
    <w:rsid w:val="00DB1A30"/>
    <w:rsid w:val="00DB1A41"/>
    <w:rsid w:val="00DB1A4B"/>
    <w:rsid w:val="00DB1B6B"/>
    <w:rsid w:val="00DB1DF3"/>
    <w:rsid w:val="00DB23E9"/>
    <w:rsid w:val="00DB2911"/>
    <w:rsid w:val="00DB2B0D"/>
    <w:rsid w:val="00DB2C21"/>
    <w:rsid w:val="00DB2E89"/>
    <w:rsid w:val="00DB2FC0"/>
    <w:rsid w:val="00DB331C"/>
    <w:rsid w:val="00DB33A9"/>
    <w:rsid w:val="00DB33D2"/>
    <w:rsid w:val="00DB3418"/>
    <w:rsid w:val="00DB3465"/>
    <w:rsid w:val="00DB3643"/>
    <w:rsid w:val="00DB3950"/>
    <w:rsid w:val="00DB3A1B"/>
    <w:rsid w:val="00DB3A40"/>
    <w:rsid w:val="00DB3B02"/>
    <w:rsid w:val="00DB3B95"/>
    <w:rsid w:val="00DB3D1A"/>
    <w:rsid w:val="00DB3F67"/>
    <w:rsid w:val="00DB41AC"/>
    <w:rsid w:val="00DB4B2D"/>
    <w:rsid w:val="00DB4B9E"/>
    <w:rsid w:val="00DB4BCA"/>
    <w:rsid w:val="00DB4CAA"/>
    <w:rsid w:val="00DB4CB4"/>
    <w:rsid w:val="00DB4D72"/>
    <w:rsid w:val="00DB51AA"/>
    <w:rsid w:val="00DB56E4"/>
    <w:rsid w:val="00DB5BC5"/>
    <w:rsid w:val="00DB5BF3"/>
    <w:rsid w:val="00DB5D4C"/>
    <w:rsid w:val="00DB5E6E"/>
    <w:rsid w:val="00DB61A2"/>
    <w:rsid w:val="00DB644C"/>
    <w:rsid w:val="00DB6451"/>
    <w:rsid w:val="00DB650E"/>
    <w:rsid w:val="00DB6524"/>
    <w:rsid w:val="00DB66D9"/>
    <w:rsid w:val="00DB6762"/>
    <w:rsid w:val="00DB67C1"/>
    <w:rsid w:val="00DB6A55"/>
    <w:rsid w:val="00DB6E14"/>
    <w:rsid w:val="00DB75CD"/>
    <w:rsid w:val="00DB7919"/>
    <w:rsid w:val="00DB7B8A"/>
    <w:rsid w:val="00DB7C65"/>
    <w:rsid w:val="00DB7C6A"/>
    <w:rsid w:val="00DB7D70"/>
    <w:rsid w:val="00DB7D88"/>
    <w:rsid w:val="00DB7E18"/>
    <w:rsid w:val="00DB7F39"/>
    <w:rsid w:val="00DC0323"/>
    <w:rsid w:val="00DC035C"/>
    <w:rsid w:val="00DC048B"/>
    <w:rsid w:val="00DC0502"/>
    <w:rsid w:val="00DC07B0"/>
    <w:rsid w:val="00DC0A94"/>
    <w:rsid w:val="00DC0B44"/>
    <w:rsid w:val="00DC0D9F"/>
    <w:rsid w:val="00DC0EDD"/>
    <w:rsid w:val="00DC0F26"/>
    <w:rsid w:val="00DC1025"/>
    <w:rsid w:val="00DC1035"/>
    <w:rsid w:val="00DC1216"/>
    <w:rsid w:val="00DC153A"/>
    <w:rsid w:val="00DC1782"/>
    <w:rsid w:val="00DC19D5"/>
    <w:rsid w:val="00DC1D09"/>
    <w:rsid w:val="00DC201F"/>
    <w:rsid w:val="00DC2177"/>
    <w:rsid w:val="00DC222C"/>
    <w:rsid w:val="00DC230E"/>
    <w:rsid w:val="00DC2320"/>
    <w:rsid w:val="00DC262F"/>
    <w:rsid w:val="00DC29FA"/>
    <w:rsid w:val="00DC2B83"/>
    <w:rsid w:val="00DC2BA6"/>
    <w:rsid w:val="00DC2FDB"/>
    <w:rsid w:val="00DC3113"/>
    <w:rsid w:val="00DC3147"/>
    <w:rsid w:val="00DC31C6"/>
    <w:rsid w:val="00DC34C6"/>
    <w:rsid w:val="00DC359C"/>
    <w:rsid w:val="00DC38CA"/>
    <w:rsid w:val="00DC39DC"/>
    <w:rsid w:val="00DC3C0C"/>
    <w:rsid w:val="00DC3E02"/>
    <w:rsid w:val="00DC41A4"/>
    <w:rsid w:val="00DC4316"/>
    <w:rsid w:val="00DC450E"/>
    <w:rsid w:val="00DC45E9"/>
    <w:rsid w:val="00DC4780"/>
    <w:rsid w:val="00DC495B"/>
    <w:rsid w:val="00DC49C3"/>
    <w:rsid w:val="00DC4E53"/>
    <w:rsid w:val="00DC4E87"/>
    <w:rsid w:val="00DC4FFA"/>
    <w:rsid w:val="00DC505E"/>
    <w:rsid w:val="00DC507C"/>
    <w:rsid w:val="00DC5087"/>
    <w:rsid w:val="00DC5364"/>
    <w:rsid w:val="00DC5546"/>
    <w:rsid w:val="00DC5829"/>
    <w:rsid w:val="00DC586A"/>
    <w:rsid w:val="00DC58E1"/>
    <w:rsid w:val="00DC5B0B"/>
    <w:rsid w:val="00DC5DD3"/>
    <w:rsid w:val="00DC6091"/>
    <w:rsid w:val="00DC65B6"/>
    <w:rsid w:val="00DC66D2"/>
    <w:rsid w:val="00DC68F2"/>
    <w:rsid w:val="00DC6A8E"/>
    <w:rsid w:val="00DC6A93"/>
    <w:rsid w:val="00DC6AC2"/>
    <w:rsid w:val="00DC6C70"/>
    <w:rsid w:val="00DC6E80"/>
    <w:rsid w:val="00DC7089"/>
    <w:rsid w:val="00DC71ED"/>
    <w:rsid w:val="00DC720F"/>
    <w:rsid w:val="00DC776E"/>
    <w:rsid w:val="00DC7861"/>
    <w:rsid w:val="00DC7BE9"/>
    <w:rsid w:val="00DC7C92"/>
    <w:rsid w:val="00DD00A5"/>
    <w:rsid w:val="00DD026E"/>
    <w:rsid w:val="00DD0560"/>
    <w:rsid w:val="00DD0752"/>
    <w:rsid w:val="00DD097E"/>
    <w:rsid w:val="00DD0A69"/>
    <w:rsid w:val="00DD11A5"/>
    <w:rsid w:val="00DD13FA"/>
    <w:rsid w:val="00DD15A7"/>
    <w:rsid w:val="00DD1642"/>
    <w:rsid w:val="00DD173E"/>
    <w:rsid w:val="00DD174C"/>
    <w:rsid w:val="00DD17DF"/>
    <w:rsid w:val="00DD19D5"/>
    <w:rsid w:val="00DD1D0B"/>
    <w:rsid w:val="00DD1EF7"/>
    <w:rsid w:val="00DD2225"/>
    <w:rsid w:val="00DD26C7"/>
    <w:rsid w:val="00DD26CB"/>
    <w:rsid w:val="00DD2B71"/>
    <w:rsid w:val="00DD2BD4"/>
    <w:rsid w:val="00DD2D91"/>
    <w:rsid w:val="00DD2ECD"/>
    <w:rsid w:val="00DD2ED1"/>
    <w:rsid w:val="00DD2F16"/>
    <w:rsid w:val="00DD3107"/>
    <w:rsid w:val="00DD32E2"/>
    <w:rsid w:val="00DD36BC"/>
    <w:rsid w:val="00DD36E3"/>
    <w:rsid w:val="00DD3806"/>
    <w:rsid w:val="00DD39C0"/>
    <w:rsid w:val="00DD3B36"/>
    <w:rsid w:val="00DD3C01"/>
    <w:rsid w:val="00DD4048"/>
    <w:rsid w:val="00DD4097"/>
    <w:rsid w:val="00DD4530"/>
    <w:rsid w:val="00DD45B2"/>
    <w:rsid w:val="00DD4651"/>
    <w:rsid w:val="00DD470C"/>
    <w:rsid w:val="00DD4790"/>
    <w:rsid w:val="00DD4848"/>
    <w:rsid w:val="00DD4EC2"/>
    <w:rsid w:val="00DD4ED5"/>
    <w:rsid w:val="00DD5C14"/>
    <w:rsid w:val="00DD5C29"/>
    <w:rsid w:val="00DD5D06"/>
    <w:rsid w:val="00DD5ED1"/>
    <w:rsid w:val="00DD6054"/>
    <w:rsid w:val="00DD623D"/>
    <w:rsid w:val="00DD6502"/>
    <w:rsid w:val="00DD6A25"/>
    <w:rsid w:val="00DD6A87"/>
    <w:rsid w:val="00DD7035"/>
    <w:rsid w:val="00DD715C"/>
    <w:rsid w:val="00DD7271"/>
    <w:rsid w:val="00DD7316"/>
    <w:rsid w:val="00DD73C6"/>
    <w:rsid w:val="00DD75A7"/>
    <w:rsid w:val="00DD75B7"/>
    <w:rsid w:val="00DD7717"/>
    <w:rsid w:val="00DD7770"/>
    <w:rsid w:val="00DD779A"/>
    <w:rsid w:val="00DD7A04"/>
    <w:rsid w:val="00DD7BD6"/>
    <w:rsid w:val="00DD7D9B"/>
    <w:rsid w:val="00DD7F64"/>
    <w:rsid w:val="00DD7F99"/>
    <w:rsid w:val="00DD7FAC"/>
    <w:rsid w:val="00DE0393"/>
    <w:rsid w:val="00DE054B"/>
    <w:rsid w:val="00DE0744"/>
    <w:rsid w:val="00DE08CE"/>
    <w:rsid w:val="00DE0976"/>
    <w:rsid w:val="00DE0C8B"/>
    <w:rsid w:val="00DE0E18"/>
    <w:rsid w:val="00DE1491"/>
    <w:rsid w:val="00DE15BD"/>
    <w:rsid w:val="00DE163D"/>
    <w:rsid w:val="00DE19AE"/>
    <w:rsid w:val="00DE1D3B"/>
    <w:rsid w:val="00DE1DF4"/>
    <w:rsid w:val="00DE21C8"/>
    <w:rsid w:val="00DE23B5"/>
    <w:rsid w:val="00DE2BE3"/>
    <w:rsid w:val="00DE2C52"/>
    <w:rsid w:val="00DE2C74"/>
    <w:rsid w:val="00DE2C9E"/>
    <w:rsid w:val="00DE2E1F"/>
    <w:rsid w:val="00DE2E4A"/>
    <w:rsid w:val="00DE31D6"/>
    <w:rsid w:val="00DE32C1"/>
    <w:rsid w:val="00DE33C6"/>
    <w:rsid w:val="00DE35E7"/>
    <w:rsid w:val="00DE35FD"/>
    <w:rsid w:val="00DE3610"/>
    <w:rsid w:val="00DE37AF"/>
    <w:rsid w:val="00DE39B4"/>
    <w:rsid w:val="00DE3BD4"/>
    <w:rsid w:val="00DE3EBD"/>
    <w:rsid w:val="00DE3FE2"/>
    <w:rsid w:val="00DE4004"/>
    <w:rsid w:val="00DE406F"/>
    <w:rsid w:val="00DE4162"/>
    <w:rsid w:val="00DE445C"/>
    <w:rsid w:val="00DE468F"/>
    <w:rsid w:val="00DE499B"/>
    <w:rsid w:val="00DE4B8E"/>
    <w:rsid w:val="00DE4BCB"/>
    <w:rsid w:val="00DE4E09"/>
    <w:rsid w:val="00DE50A8"/>
    <w:rsid w:val="00DE50FA"/>
    <w:rsid w:val="00DE5221"/>
    <w:rsid w:val="00DE52BF"/>
    <w:rsid w:val="00DE54EF"/>
    <w:rsid w:val="00DE5549"/>
    <w:rsid w:val="00DE5550"/>
    <w:rsid w:val="00DE55AF"/>
    <w:rsid w:val="00DE56CF"/>
    <w:rsid w:val="00DE57D2"/>
    <w:rsid w:val="00DE582B"/>
    <w:rsid w:val="00DE5A21"/>
    <w:rsid w:val="00DE5C66"/>
    <w:rsid w:val="00DE5C91"/>
    <w:rsid w:val="00DE5F89"/>
    <w:rsid w:val="00DE60C3"/>
    <w:rsid w:val="00DE6304"/>
    <w:rsid w:val="00DE652D"/>
    <w:rsid w:val="00DE6553"/>
    <w:rsid w:val="00DE6802"/>
    <w:rsid w:val="00DE68C2"/>
    <w:rsid w:val="00DE698D"/>
    <w:rsid w:val="00DE69C9"/>
    <w:rsid w:val="00DE6C04"/>
    <w:rsid w:val="00DE6FEA"/>
    <w:rsid w:val="00DE723C"/>
    <w:rsid w:val="00DE7401"/>
    <w:rsid w:val="00DE7708"/>
    <w:rsid w:val="00DE77E5"/>
    <w:rsid w:val="00DE7829"/>
    <w:rsid w:val="00DE7863"/>
    <w:rsid w:val="00DE7926"/>
    <w:rsid w:val="00DE7BBD"/>
    <w:rsid w:val="00DE7E1E"/>
    <w:rsid w:val="00DE7E45"/>
    <w:rsid w:val="00DF0048"/>
    <w:rsid w:val="00DF0129"/>
    <w:rsid w:val="00DF0156"/>
    <w:rsid w:val="00DF017A"/>
    <w:rsid w:val="00DF01DE"/>
    <w:rsid w:val="00DF05E5"/>
    <w:rsid w:val="00DF0762"/>
    <w:rsid w:val="00DF092E"/>
    <w:rsid w:val="00DF0A25"/>
    <w:rsid w:val="00DF102C"/>
    <w:rsid w:val="00DF130D"/>
    <w:rsid w:val="00DF1392"/>
    <w:rsid w:val="00DF13E1"/>
    <w:rsid w:val="00DF143B"/>
    <w:rsid w:val="00DF174F"/>
    <w:rsid w:val="00DF176E"/>
    <w:rsid w:val="00DF18C9"/>
    <w:rsid w:val="00DF1932"/>
    <w:rsid w:val="00DF1942"/>
    <w:rsid w:val="00DF1F3A"/>
    <w:rsid w:val="00DF2096"/>
    <w:rsid w:val="00DF20EE"/>
    <w:rsid w:val="00DF22B1"/>
    <w:rsid w:val="00DF2599"/>
    <w:rsid w:val="00DF27BB"/>
    <w:rsid w:val="00DF2840"/>
    <w:rsid w:val="00DF29FC"/>
    <w:rsid w:val="00DF2A13"/>
    <w:rsid w:val="00DF2ADF"/>
    <w:rsid w:val="00DF2AE8"/>
    <w:rsid w:val="00DF2B18"/>
    <w:rsid w:val="00DF2B4D"/>
    <w:rsid w:val="00DF353B"/>
    <w:rsid w:val="00DF353F"/>
    <w:rsid w:val="00DF3576"/>
    <w:rsid w:val="00DF35E4"/>
    <w:rsid w:val="00DF36E8"/>
    <w:rsid w:val="00DF3A34"/>
    <w:rsid w:val="00DF3C92"/>
    <w:rsid w:val="00DF3E80"/>
    <w:rsid w:val="00DF47D7"/>
    <w:rsid w:val="00DF48D4"/>
    <w:rsid w:val="00DF4A82"/>
    <w:rsid w:val="00DF4B52"/>
    <w:rsid w:val="00DF4DFA"/>
    <w:rsid w:val="00DF4E05"/>
    <w:rsid w:val="00DF5093"/>
    <w:rsid w:val="00DF51BF"/>
    <w:rsid w:val="00DF525A"/>
    <w:rsid w:val="00DF5328"/>
    <w:rsid w:val="00DF5356"/>
    <w:rsid w:val="00DF5813"/>
    <w:rsid w:val="00DF58AB"/>
    <w:rsid w:val="00DF5CE4"/>
    <w:rsid w:val="00DF5E44"/>
    <w:rsid w:val="00DF5F91"/>
    <w:rsid w:val="00DF61B0"/>
    <w:rsid w:val="00DF6224"/>
    <w:rsid w:val="00DF6358"/>
    <w:rsid w:val="00DF6565"/>
    <w:rsid w:val="00DF67BA"/>
    <w:rsid w:val="00DF67DB"/>
    <w:rsid w:val="00DF6A19"/>
    <w:rsid w:val="00DF6B17"/>
    <w:rsid w:val="00DF6D54"/>
    <w:rsid w:val="00DF6F30"/>
    <w:rsid w:val="00DF7070"/>
    <w:rsid w:val="00DF7079"/>
    <w:rsid w:val="00DF70DB"/>
    <w:rsid w:val="00DF7174"/>
    <w:rsid w:val="00DF74BC"/>
    <w:rsid w:val="00DF767C"/>
    <w:rsid w:val="00DF7A4B"/>
    <w:rsid w:val="00DF7E26"/>
    <w:rsid w:val="00DF7FE3"/>
    <w:rsid w:val="00E001A9"/>
    <w:rsid w:val="00E0035E"/>
    <w:rsid w:val="00E00561"/>
    <w:rsid w:val="00E00651"/>
    <w:rsid w:val="00E006FC"/>
    <w:rsid w:val="00E008DB"/>
    <w:rsid w:val="00E00910"/>
    <w:rsid w:val="00E0096A"/>
    <w:rsid w:val="00E009F6"/>
    <w:rsid w:val="00E00EFE"/>
    <w:rsid w:val="00E01271"/>
    <w:rsid w:val="00E012BE"/>
    <w:rsid w:val="00E019D8"/>
    <w:rsid w:val="00E01CB9"/>
    <w:rsid w:val="00E01E74"/>
    <w:rsid w:val="00E0248A"/>
    <w:rsid w:val="00E02664"/>
    <w:rsid w:val="00E028FA"/>
    <w:rsid w:val="00E02BED"/>
    <w:rsid w:val="00E02DEA"/>
    <w:rsid w:val="00E0304E"/>
    <w:rsid w:val="00E03081"/>
    <w:rsid w:val="00E0323F"/>
    <w:rsid w:val="00E0342B"/>
    <w:rsid w:val="00E035E3"/>
    <w:rsid w:val="00E03841"/>
    <w:rsid w:val="00E03862"/>
    <w:rsid w:val="00E03ACB"/>
    <w:rsid w:val="00E03CCF"/>
    <w:rsid w:val="00E03D5C"/>
    <w:rsid w:val="00E03EA5"/>
    <w:rsid w:val="00E03F7F"/>
    <w:rsid w:val="00E044F6"/>
    <w:rsid w:val="00E045CE"/>
    <w:rsid w:val="00E04616"/>
    <w:rsid w:val="00E04779"/>
    <w:rsid w:val="00E0495C"/>
    <w:rsid w:val="00E04A14"/>
    <w:rsid w:val="00E04B57"/>
    <w:rsid w:val="00E04BD7"/>
    <w:rsid w:val="00E04C36"/>
    <w:rsid w:val="00E04E3E"/>
    <w:rsid w:val="00E04E77"/>
    <w:rsid w:val="00E04E91"/>
    <w:rsid w:val="00E0522C"/>
    <w:rsid w:val="00E053C5"/>
    <w:rsid w:val="00E057B1"/>
    <w:rsid w:val="00E05A22"/>
    <w:rsid w:val="00E05A84"/>
    <w:rsid w:val="00E05A8A"/>
    <w:rsid w:val="00E05B08"/>
    <w:rsid w:val="00E05FB6"/>
    <w:rsid w:val="00E05FD7"/>
    <w:rsid w:val="00E06132"/>
    <w:rsid w:val="00E0626D"/>
    <w:rsid w:val="00E063B4"/>
    <w:rsid w:val="00E06925"/>
    <w:rsid w:val="00E06A47"/>
    <w:rsid w:val="00E06B2D"/>
    <w:rsid w:val="00E06CBF"/>
    <w:rsid w:val="00E06DDB"/>
    <w:rsid w:val="00E06E68"/>
    <w:rsid w:val="00E06F7C"/>
    <w:rsid w:val="00E07107"/>
    <w:rsid w:val="00E0733B"/>
    <w:rsid w:val="00E073A6"/>
    <w:rsid w:val="00E075A4"/>
    <w:rsid w:val="00E0760C"/>
    <w:rsid w:val="00E07740"/>
    <w:rsid w:val="00E07D15"/>
    <w:rsid w:val="00E07D6F"/>
    <w:rsid w:val="00E106B7"/>
    <w:rsid w:val="00E1084E"/>
    <w:rsid w:val="00E10913"/>
    <w:rsid w:val="00E10977"/>
    <w:rsid w:val="00E10BC4"/>
    <w:rsid w:val="00E10D03"/>
    <w:rsid w:val="00E10E07"/>
    <w:rsid w:val="00E10E91"/>
    <w:rsid w:val="00E11278"/>
    <w:rsid w:val="00E114FA"/>
    <w:rsid w:val="00E1152A"/>
    <w:rsid w:val="00E1159F"/>
    <w:rsid w:val="00E11621"/>
    <w:rsid w:val="00E11946"/>
    <w:rsid w:val="00E1217D"/>
    <w:rsid w:val="00E12694"/>
    <w:rsid w:val="00E12953"/>
    <w:rsid w:val="00E12B10"/>
    <w:rsid w:val="00E12FE2"/>
    <w:rsid w:val="00E1307D"/>
    <w:rsid w:val="00E13132"/>
    <w:rsid w:val="00E131F3"/>
    <w:rsid w:val="00E1341E"/>
    <w:rsid w:val="00E13E9B"/>
    <w:rsid w:val="00E14028"/>
    <w:rsid w:val="00E14126"/>
    <w:rsid w:val="00E1440D"/>
    <w:rsid w:val="00E14677"/>
    <w:rsid w:val="00E149B6"/>
    <w:rsid w:val="00E14BC0"/>
    <w:rsid w:val="00E14C5F"/>
    <w:rsid w:val="00E14E3C"/>
    <w:rsid w:val="00E14FC1"/>
    <w:rsid w:val="00E152FC"/>
    <w:rsid w:val="00E15636"/>
    <w:rsid w:val="00E15789"/>
    <w:rsid w:val="00E159D8"/>
    <w:rsid w:val="00E15CBE"/>
    <w:rsid w:val="00E16065"/>
    <w:rsid w:val="00E160AE"/>
    <w:rsid w:val="00E16184"/>
    <w:rsid w:val="00E161F6"/>
    <w:rsid w:val="00E16276"/>
    <w:rsid w:val="00E16468"/>
    <w:rsid w:val="00E16546"/>
    <w:rsid w:val="00E16A4A"/>
    <w:rsid w:val="00E16C2E"/>
    <w:rsid w:val="00E16E74"/>
    <w:rsid w:val="00E1722F"/>
    <w:rsid w:val="00E1742E"/>
    <w:rsid w:val="00E17A5E"/>
    <w:rsid w:val="00E17B42"/>
    <w:rsid w:val="00E17D06"/>
    <w:rsid w:val="00E17D6F"/>
    <w:rsid w:val="00E17D78"/>
    <w:rsid w:val="00E17E62"/>
    <w:rsid w:val="00E17E81"/>
    <w:rsid w:val="00E17FC6"/>
    <w:rsid w:val="00E200F5"/>
    <w:rsid w:val="00E20226"/>
    <w:rsid w:val="00E203E2"/>
    <w:rsid w:val="00E2049A"/>
    <w:rsid w:val="00E20BD1"/>
    <w:rsid w:val="00E20F1F"/>
    <w:rsid w:val="00E20F91"/>
    <w:rsid w:val="00E21419"/>
    <w:rsid w:val="00E21759"/>
    <w:rsid w:val="00E21AC3"/>
    <w:rsid w:val="00E21C6D"/>
    <w:rsid w:val="00E220EF"/>
    <w:rsid w:val="00E22203"/>
    <w:rsid w:val="00E22378"/>
    <w:rsid w:val="00E223EA"/>
    <w:rsid w:val="00E226A7"/>
    <w:rsid w:val="00E2282B"/>
    <w:rsid w:val="00E22862"/>
    <w:rsid w:val="00E2293C"/>
    <w:rsid w:val="00E22952"/>
    <w:rsid w:val="00E22A05"/>
    <w:rsid w:val="00E22A51"/>
    <w:rsid w:val="00E22CAE"/>
    <w:rsid w:val="00E22E09"/>
    <w:rsid w:val="00E22F20"/>
    <w:rsid w:val="00E235A0"/>
    <w:rsid w:val="00E23755"/>
    <w:rsid w:val="00E239E7"/>
    <w:rsid w:val="00E23CB3"/>
    <w:rsid w:val="00E23ED3"/>
    <w:rsid w:val="00E240E9"/>
    <w:rsid w:val="00E2427A"/>
    <w:rsid w:val="00E244CC"/>
    <w:rsid w:val="00E24666"/>
    <w:rsid w:val="00E246B2"/>
    <w:rsid w:val="00E24A2C"/>
    <w:rsid w:val="00E24A32"/>
    <w:rsid w:val="00E24A8A"/>
    <w:rsid w:val="00E24B39"/>
    <w:rsid w:val="00E24CE3"/>
    <w:rsid w:val="00E24CE9"/>
    <w:rsid w:val="00E24E8D"/>
    <w:rsid w:val="00E25776"/>
    <w:rsid w:val="00E25BA2"/>
    <w:rsid w:val="00E25E42"/>
    <w:rsid w:val="00E25EE1"/>
    <w:rsid w:val="00E26081"/>
    <w:rsid w:val="00E261CD"/>
    <w:rsid w:val="00E261E7"/>
    <w:rsid w:val="00E26398"/>
    <w:rsid w:val="00E264D0"/>
    <w:rsid w:val="00E267DF"/>
    <w:rsid w:val="00E268B6"/>
    <w:rsid w:val="00E26F04"/>
    <w:rsid w:val="00E26F57"/>
    <w:rsid w:val="00E271BE"/>
    <w:rsid w:val="00E2720B"/>
    <w:rsid w:val="00E27336"/>
    <w:rsid w:val="00E273E5"/>
    <w:rsid w:val="00E27419"/>
    <w:rsid w:val="00E27571"/>
    <w:rsid w:val="00E275D7"/>
    <w:rsid w:val="00E27788"/>
    <w:rsid w:val="00E27A53"/>
    <w:rsid w:val="00E27AE3"/>
    <w:rsid w:val="00E27AF7"/>
    <w:rsid w:val="00E27B3A"/>
    <w:rsid w:val="00E27BBA"/>
    <w:rsid w:val="00E3014B"/>
    <w:rsid w:val="00E301BE"/>
    <w:rsid w:val="00E3039D"/>
    <w:rsid w:val="00E306AB"/>
    <w:rsid w:val="00E3089E"/>
    <w:rsid w:val="00E309F1"/>
    <w:rsid w:val="00E309F2"/>
    <w:rsid w:val="00E30AE9"/>
    <w:rsid w:val="00E30B79"/>
    <w:rsid w:val="00E30C80"/>
    <w:rsid w:val="00E30D83"/>
    <w:rsid w:val="00E30E8C"/>
    <w:rsid w:val="00E30FD5"/>
    <w:rsid w:val="00E3104B"/>
    <w:rsid w:val="00E311A3"/>
    <w:rsid w:val="00E314B6"/>
    <w:rsid w:val="00E31579"/>
    <w:rsid w:val="00E31655"/>
    <w:rsid w:val="00E31A2E"/>
    <w:rsid w:val="00E31B11"/>
    <w:rsid w:val="00E31D44"/>
    <w:rsid w:val="00E31DB8"/>
    <w:rsid w:val="00E3205B"/>
    <w:rsid w:val="00E3236E"/>
    <w:rsid w:val="00E323A6"/>
    <w:rsid w:val="00E325CF"/>
    <w:rsid w:val="00E32940"/>
    <w:rsid w:val="00E32CFA"/>
    <w:rsid w:val="00E33222"/>
    <w:rsid w:val="00E333E2"/>
    <w:rsid w:val="00E3356B"/>
    <w:rsid w:val="00E33AFD"/>
    <w:rsid w:val="00E3403A"/>
    <w:rsid w:val="00E34754"/>
    <w:rsid w:val="00E34889"/>
    <w:rsid w:val="00E3491B"/>
    <w:rsid w:val="00E34ADA"/>
    <w:rsid w:val="00E34EAF"/>
    <w:rsid w:val="00E34F4D"/>
    <w:rsid w:val="00E352DB"/>
    <w:rsid w:val="00E3558F"/>
    <w:rsid w:val="00E35688"/>
    <w:rsid w:val="00E35690"/>
    <w:rsid w:val="00E35870"/>
    <w:rsid w:val="00E35B4A"/>
    <w:rsid w:val="00E35C37"/>
    <w:rsid w:val="00E35C97"/>
    <w:rsid w:val="00E35D4E"/>
    <w:rsid w:val="00E35EFA"/>
    <w:rsid w:val="00E361D2"/>
    <w:rsid w:val="00E36374"/>
    <w:rsid w:val="00E367BB"/>
    <w:rsid w:val="00E36B22"/>
    <w:rsid w:val="00E36C12"/>
    <w:rsid w:val="00E3706C"/>
    <w:rsid w:val="00E3728F"/>
    <w:rsid w:val="00E37933"/>
    <w:rsid w:val="00E37D4A"/>
    <w:rsid w:val="00E37ED0"/>
    <w:rsid w:val="00E40176"/>
    <w:rsid w:val="00E4041E"/>
    <w:rsid w:val="00E40925"/>
    <w:rsid w:val="00E40BC1"/>
    <w:rsid w:val="00E40BCE"/>
    <w:rsid w:val="00E40EB8"/>
    <w:rsid w:val="00E40F11"/>
    <w:rsid w:val="00E40F46"/>
    <w:rsid w:val="00E40FD5"/>
    <w:rsid w:val="00E41006"/>
    <w:rsid w:val="00E4116C"/>
    <w:rsid w:val="00E411B4"/>
    <w:rsid w:val="00E4137E"/>
    <w:rsid w:val="00E415CF"/>
    <w:rsid w:val="00E417C2"/>
    <w:rsid w:val="00E41A0A"/>
    <w:rsid w:val="00E41C97"/>
    <w:rsid w:val="00E41CC8"/>
    <w:rsid w:val="00E41D23"/>
    <w:rsid w:val="00E41FAA"/>
    <w:rsid w:val="00E420E7"/>
    <w:rsid w:val="00E42256"/>
    <w:rsid w:val="00E42293"/>
    <w:rsid w:val="00E423D0"/>
    <w:rsid w:val="00E4264A"/>
    <w:rsid w:val="00E426E7"/>
    <w:rsid w:val="00E427C9"/>
    <w:rsid w:val="00E42913"/>
    <w:rsid w:val="00E42DD2"/>
    <w:rsid w:val="00E42F2F"/>
    <w:rsid w:val="00E4309C"/>
    <w:rsid w:val="00E43260"/>
    <w:rsid w:val="00E43383"/>
    <w:rsid w:val="00E4391E"/>
    <w:rsid w:val="00E43A31"/>
    <w:rsid w:val="00E43EEB"/>
    <w:rsid w:val="00E43FCC"/>
    <w:rsid w:val="00E4429A"/>
    <w:rsid w:val="00E4443F"/>
    <w:rsid w:val="00E444DB"/>
    <w:rsid w:val="00E44546"/>
    <w:rsid w:val="00E44682"/>
    <w:rsid w:val="00E44930"/>
    <w:rsid w:val="00E44B1E"/>
    <w:rsid w:val="00E44C5D"/>
    <w:rsid w:val="00E44CE5"/>
    <w:rsid w:val="00E44CF6"/>
    <w:rsid w:val="00E44DE5"/>
    <w:rsid w:val="00E44EFA"/>
    <w:rsid w:val="00E44F24"/>
    <w:rsid w:val="00E45393"/>
    <w:rsid w:val="00E453C6"/>
    <w:rsid w:val="00E4548B"/>
    <w:rsid w:val="00E454C6"/>
    <w:rsid w:val="00E4568B"/>
    <w:rsid w:val="00E4573F"/>
    <w:rsid w:val="00E45AB7"/>
    <w:rsid w:val="00E45C2E"/>
    <w:rsid w:val="00E45DD8"/>
    <w:rsid w:val="00E45DE8"/>
    <w:rsid w:val="00E45E05"/>
    <w:rsid w:val="00E4613E"/>
    <w:rsid w:val="00E46192"/>
    <w:rsid w:val="00E464F6"/>
    <w:rsid w:val="00E466A4"/>
    <w:rsid w:val="00E466F0"/>
    <w:rsid w:val="00E46AD4"/>
    <w:rsid w:val="00E46B4B"/>
    <w:rsid w:val="00E46B67"/>
    <w:rsid w:val="00E46C53"/>
    <w:rsid w:val="00E46DF8"/>
    <w:rsid w:val="00E46EC9"/>
    <w:rsid w:val="00E4760F"/>
    <w:rsid w:val="00E47656"/>
    <w:rsid w:val="00E4771B"/>
    <w:rsid w:val="00E478D2"/>
    <w:rsid w:val="00E47A21"/>
    <w:rsid w:val="00E47CFF"/>
    <w:rsid w:val="00E47DB8"/>
    <w:rsid w:val="00E47E97"/>
    <w:rsid w:val="00E47F6A"/>
    <w:rsid w:val="00E50054"/>
    <w:rsid w:val="00E50437"/>
    <w:rsid w:val="00E50641"/>
    <w:rsid w:val="00E506D4"/>
    <w:rsid w:val="00E5087C"/>
    <w:rsid w:val="00E50A03"/>
    <w:rsid w:val="00E50A0A"/>
    <w:rsid w:val="00E50A49"/>
    <w:rsid w:val="00E50B30"/>
    <w:rsid w:val="00E50C26"/>
    <w:rsid w:val="00E50D93"/>
    <w:rsid w:val="00E50FB3"/>
    <w:rsid w:val="00E510C2"/>
    <w:rsid w:val="00E51953"/>
    <w:rsid w:val="00E51B42"/>
    <w:rsid w:val="00E51C6B"/>
    <w:rsid w:val="00E51C86"/>
    <w:rsid w:val="00E5242C"/>
    <w:rsid w:val="00E52438"/>
    <w:rsid w:val="00E52588"/>
    <w:rsid w:val="00E52EC6"/>
    <w:rsid w:val="00E52F47"/>
    <w:rsid w:val="00E52F6D"/>
    <w:rsid w:val="00E530CE"/>
    <w:rsid w:val="00E533F1"/>
    <w:rsid w:val="00E535E0"/>
    <w:rsid w:val="00E53621"/>
    <w:rsid w:val="00E53632"/>
    <w:rsid w:val="00E53738"/>
    <w:rsid w:val="00E53A24"/>
    <w:rsid w:val="00E53B9C"/>
    <w:rsid w:val="00E53F1E"/>
    <w:rsid w:val="00E540AA"/>
    <w:rsid w:val="00E545C2"/>
    <w:rsid w:val="00E547F0"/>
    <w:rsid w:val="00E54E10"/>
    <w:rsid w:val="00E54E61"/>
    <w:rsid w:val="00E55325"/>
    <w:rsid w:val="00E55557"/>
    <w:rsid w:val="00E556F7"/>
    <w:rsid w:val="00E557A8"/>
    <w:rsid w:val="00E55BE6"/>
    <w:rsid w:val="00E55C04"/>
    <w:rsid w:val="00E55D8E"/>
    <w:rsid w:val="00E55EB1"/>
    <w:rsid w:val="00E56013"/>
    <w:rsid w:val="00E56385"/>
    <w:rsid w:val="00E5667C"/>
    <w:rsid w:val="00E56817"/>
    <w:rsid w:val="00E56AA1"/>
    <w:rsid w:val="00E56B1D"/>
    <w:rsid w:val="00E56D01"/>
    <w:rsid w:val="00E56DCB"/>
    <w:rsid w:val="00E56E42"/>
    <w:rsid w:val="00E56F24"/>
    <w:rsid w:val="00E570B2"/>
    <w:rsid w:val="00E572A6"/>
    <w:rsid w:val="00E57349"/>
    <w:rsid w:val="00E5750A"/>
    <w:rsid w:val="00E577AC"/>
    <w:rsid w:val="00E57A74"/>
    <w:rsid w:val="00E6003C"/>
    <w:rsid w:val="00E601A3"/>
    <w:rsid w:val="00E601CD"/>
    <w:rsid w:val="00E60286"/>
    <w:rsid w:val="00E60E4E"/>
    <w:rsid w:val="00E60F05"/>
    <w:rsid w:val="00E60F2D"/>
    <w:rsid w:val="00E6101C"/>
    <w:rsid w:val="00E61135"/>
    <w:rsid w:val="00E61296"/>
    <w:rsid w:val="00E612C9"/>
    <w:rsid w:val="00E61419"/>
    <w:rsid w:val="00E61444"/>
    <w:rsid w:val="00E6153D"/>
    <w:rsid w:val="00E6159C"/>
    <w:rsid w:val="00E615CB"/>
    <w:rsid w:val="00E61B89"/>
    <w:rsid w:val="00E61BEF"/>
    <w:rsid w:val="00E61EBE"/>
    <w:rsid w:val="00E62130"/>
    <w:rsid w:val="00E621A5"/>
    <w:rsid w:val="00E621E1"/>
    <w:rsid w:val="00E62291"/>
    <w:rsid w:val="00E6261E"/>
    <w:rsid w:val="00E62C7F"/>
    <w:rsid w:val="00E62E06"/>
    <w:rsid w:val="00E62E1D"/>
    <w:rsid w:val="00E63411"/>
    <w:rsid w:val="00E63432"/>
    <w:rsid w:val="00E63557"/>
    <w:rsid w:val="00E6366E"/>
    <w:rsid w:val="00E636D3"/>
    <w:rsid w:val="00E6383D"/>
    <w:rsid w:val="00E63899"/>
    <w:rsid w:val="00E638B3"/>
    <w:rsid w:val="00E63AE6"/>
    <w:rsid w:val="00E63C93"/>
    <w:rsid w:val="00E63F2B"/>
    <w:rsid w:val="00E6401F"/>
    <w:rsid w:val="00E64090"/>
    <w:rsid w:val="00E640C3"/>
    <w:rsid w:val="00E6426A"/>
    <w:rsid w:val="00E64307"/>
    <w:rsid w:val="00E643D6"/>
    <w:rsid w:val="00E6448E"/>
    <w:rsid w:val="00E644B2"/>
    <w:rsid w:val="00E6454D"/>
    <w:rsid w:val="00E645CF"/>
    <w:rsid w:val="00E64691"/>
    <w:rsid w:val="00E6469D"/>
    <w:rsid w:val="00E646C8"/>
    <w:rsid w:val="00E64E4E"/>
    <w:rsid w:val="00E64E82"/>
    <w:rsid w:val="00E650B0"/>
    <w:rsid w:val="00E651A5"/>
    <w:rsid w:val="00E65584"/>
    <w:rsid w:val="00E656AB"/>
    <w:rsid w:val="00E65898"/>
    <w:rsid w:val="00E658C9"/>
    <w:rsid w:val="00E65AE6"/>
    <w:rsid w:val="00E65B38"/>
    <w:rsid w:val="00E65FFE"/>
    <w:rsid w:val="00E6606F"/>
    <w:rsid w:val="00E660E1"/>
    <w:rsid w:val="00E663F5"/>
    <w:rsid w:val="00E66453"/>
    <w:rsid w:val="00E66523"/>
    <w:rsid w:val="00E668C5"/>
    <w:rsid w:val="00E66F3F"/>
    <w:rsid w:val="00E670BE"/>
    <w:rsid w:val="00E67355"/>
    <w:rsid w:val="00E673C2"/>
    <w:rsid w:val="00E67792"/>
    <w:rsid w:val="00E6783E"/>
    <w:rsid w:val="00E67E56"/>
    <w:rsid w:val="00E67EFE"/>
    <w:rsid w:val="00E700CF"/>
    <w:rsid w:val="00E70416"/>
    <w:rsid w:val="00E70466"/>
    <w:rsid w:val="00E7051C"/>
    <w:rsid w:val="00E708FD"/>
    <w:rsid w:val="00E70929"/>
    <w:rsid w:val="00E70D4A"/>
    <w:rsid w:val="00E70F8C"/>
    <w:rsid w:val="00E71349"/>
    <w:rsid w:val="00E713D6"/>
    <w:rsid w:val="00E71643"/>
    <w:rsid w:val="00E7167B"/>
    <w:rsid w:val="00E716E4"/>
    <w:rsid w:val="00E7171E"/>
    <w:rsid w:val="00E71A6C"/>
    <w:rsid w:val="00E71CAA"/>
    <w:rsid w:val="00E71E87"/>
    <w:rsid w:val="00E71E96"/>
    <w:rsid w:val="00E72036"/>
    <w:rsid w:val="00E72090"/>
    <w:rsid w:val="00E72167"/>
    <w:rsid w:val="00E72225"/>
    <w:rsid w:val="00E7228D"/>
    <w:rsid w:val="00E72369"/>
    <w:rsid w:val="00E723CB"/>
    <w:rsid w:val="00E72487"/>
    <w:rsid w:val="00E725FA"/>
    <w:rsid w:val="00E72745"/>
    <w:rsid w:val="00E72772"/>
    <w:rsid w:val="00E72833"/>
    <w:rsid w:val="00E72A03"/>
    <w:rsid w:val="00E72B8B"/>
    <w:rsid w:val="00E730B8"/>
    <w:rsid w:val="00E73332"/>
    <w:rsid w:val="00E73351"/>
    <w:rsid w:val="00E736F9"/>
    <w:rsid w:val="00E73826"/>
    <w:rsid w:val="00E73C5F"/>
    <w:rsid w:val="00E73FF0"/>
    <w:rsid w:val="00E74034"/>
    <w:rsid w:val="00E7452D"/>
    <w:rsid w:val="00E745F6"/>
    <w:rsid w:val="00E74A36"/>
    <w:rsid w:val="00E74C2E"/>
    <w:rsid w:val="00E74D2B"/>
    <w:rsid w:val="00E75091"/>
    <w:rsid w:val="00E750E2"/>
    <w:rsid w:val="00E751D2"/>
    <w:rsid w:val="00E7556D"/>
    <w:rsid w:val="00E755CB"/>
    <w:rsid w:val="00E75630"/>
    <w:rsid w:val="00E75B9F"/>
    <w:rsid w:val="00E75FD0"/>
    <w:rsid w:val="00E76158"/>
    <w:rsid w:val="00E761FA"/>
    <w:rsid w:val="00E76422"/>
    <w:rsid w:val="00E766F1"/>
    <w:rsid w:val="00E7675C"/>
    <w:rsid w:val="00E76AEF"/>
    <w:rsid w:val="00E76D25"/>
    <w:rsid w:val="00E76FBF"/>
    <w:rsid w:val="00E7706F"/>
    <w:rsid w:val="00E77122"/>
    <w:rsid w:val="00E7714E"/>
    <w:rsid w:val="00E77320"/>
    <w:rsid w:val="00E77367"/>
    <w:rsid w:val="00E775FC"/>
    <w:rsid w:val="00E77737"/>
    <w:rsid w:val="00E77761"/>
    <w:rsid w:val="00E777FE"/>
    <w:rsid w:val="00E77913"/>
    <w:rsid w:val="00E7795B"/>
    <w:rsid w:val="00E77970"/>
    <w:rsid w:val="00E77A33"/>
    <w:rsid w:val="00E77FA4"/>
    <w:rsid w:val="00E77FA5"/>
    <w:rsid w:val="00E802C6"/>
    <w:rsid w:val="00E808AA"/>
    <w:rsid w:val="00E80B78"/>
    <w:rsid w:val="00E80BD5"/>
    <w:rsid w:val="00E80C32"/>
    <w:rsid w:val="00E80EBB"/>
    <w:rsid w:val="00E80F45"/>
    <w:rsid w:val="00E80FE8"/>
    <w:rsid w:val="00E8110D"/>
    <w:rsid w:val="00E812B9"/>
    <w:rsid w:val="00E8130F"/>
    <w:rsid w:val="00E81329"/>
    <w:rsid w:val="00E813CA"/>
    <w:rsid w:val="00E814E3"/>
    <w:rsid w:val="00E81D52"/>
    <w:rsid w:val="00E81D86"/>
    <w:rsid w:val="00E81EC9"/>
    <w:rsid w:val="00E81F48"/>
    <w:rsid w:val="00E8238F"/>
    <w:rsid w:val="00E823C4"/>
    <w:rsid w:val="00E8259E"/>
    <w:rsid w:val="00E8273E"/>
    <w:rsid w:val="00E82A1C"/>
    <w:rsid w:val="00E82B7F"/>
    <w:rsid w:val="00E82E85"/>
    <w:rsid w:val="00E83014"/>
    <w:rsid w:val="00E83480"/>
    <w:rsid w:val="00E836B8"/>
    <w:rsid w:val="00E83E10"/>
    <w:rsid w:val="00E83E68"/>
    <w:rsid w:val="00E83F91"/>
    <w:rsid w:val="00E84072"/>
    <w:rsid w:val="00E8415C"/>
    <w:rsid w:val="00E84692"/>
    <w:rsid w:val="00E8479A"/>
    <w:rsid w:val="00E8485E"/>
    <w:rsid w:val="00E84936"/>
    <w:rsid w:val="00E84ADA"/>
    <w:rsid w:val="00E84B76"/>
    <w:rsid w:val="00E84BEB"/>
    <w:rsid w:val="00E84DB1"/>
    <w:rsid w:val="00E8573B"/>
    <w:rsid w:val="00E859E3"/>
    <w:rsid w:val="00E85A5A"/>
    <w:rsid w:val="00E85B3F"/>
    <w:rsid w:val="00E85B5F"/>
    <w:rsid w:val="00E85F41"/>
    <w:rsid w:val="00E863CD"/>
    <w:rsid w:val="00E86400"/>
    <w:rsid w:val="00E86493"/>
    <w:rsid w:val="00E86A8F"/>
    <w:rsid w:val="00E86AF0"/>
    <w:rsid w:val="00E86E31"/>
    <w:rsid w:val="00E86E3C"/>
    <w:rsid w:val="00E86E82"/>
    <w:rsid w:val="00E87396"/>
    <w:rsid w:val="00E87490"/>
    <w:rsid w:val="00E87A19"/>
    <w:rsid w:val="00E87A62"/>
    <w:rsid w:val="00E87A69"/>
    <w:rsid w:val="00E900EF"/>
    <w:rsid w:val="00E90123"/>
    <w:rsid w:val="00E90563"/>
    <w:rsid w:val="00E90596"/>
    <w:rsid w:val="00E905DE"/>
    <w:rsid w:val="00E907C3"/>
    <w:rsid w:val="00E908BE"/>
    <w:rsid w:val="00E90931"/>
    <w:rsid w:val="00E90951"/>
    <w:rsid w:val="00E90A4C"/>
    <w:rsid w:val="00E90AB6"/>
    <w:rsid w:val="00E90AC8"/>
    <w:rsid w:val="00E90C4F"/>
    <w:rsid w:val="00E9110F"/>
    <w:rsid w:val="00E91409"/>
    <w:rsid w:val="00E914A6"/>
    <w:rsid w:val="00E914CF"/>
    <w:rsid w:val="00E91AE5"/>
    <w:rsid w:val="00E91C74"/>
    <w:rsid w:val="00E91EB9"/>
    <w:rsid w:val="00E91F15"/>
    <w:rsid w:val="00E92117"/>
    <w:rsid w:val="00E921E0"/>
    <w:rsid w:val="00E923FD"/>
    <w:rsid w:val="00E92550"/>
    <w:rsid w:val="00E925E1"/>
    <w:rsid w:val="00E9260D"/>
    <w:rsid w:val="00E9262C"/>
    <w:rsid w:val="00E926D9"/>
    <w:rsid w:val="00E9284B"/>
    <w:rsid w:val="00E92C34"/>
    <w:rsid w:val="00E9308B"/>
    <w:rsid w:val="00E93306"/>
    <w:rsid w:val="00E936FF"/>
    <w:rsid w:val="00E9389E"/>
    <w:rsid w:val="00E93BAF"/>
    <w:rsid w:val="00E93C0F"/>
    <w:rsid w:val="00E93CBE"/>
    <w:rsid w:val="00E93E30"/>
    <w:rsid w:val="00E93E47"/>
    <w:rsid w:val="00E93F43"/>
    <w:rsid w:val="00E9435B"/>
    <w:rsid w:val="00E945C6"/>
    <w:rsid w:val="00E945CB"/>
    <w:rsid w:val="00E94615"/>
    <w:rsid w:val="00E94783"/>
    <w:rsid w:val="00E947C7"/>
    <w:rsid w:val="00E948C5"/>
    <w:rsid w:val="00E948E6"/>
    <w:rsid w:val="00E94A63"/>
    <w:rsid w:val="00E94E1C"/>
    <w:rsid w:val="00E95114"/>
    <w:rsid w:val="00E951A7"/>
    <w:rsid w:val="00E95214"/>
    <w:rsid w:val="00E95216"/>
    <w:rsid w:val="00E956FF"/>
    <w:rsid w:val="00E959C7"/>
    <w:rsid w:val="00E959D5"/>
    <w:rsid w:val="00E959FA"/>
    <w:rsid w:val="00E95A56"/>
    <w:rsid w:val="00E95B3A"/>
    <w:rsid w:val="00E95D4A"/>
    <w:rsid w:val="00E95EA8"/>
    <w:rsid w:val="00E96B6B"/>
    <w:rsid w:val="00E96CE5"/>
    <w:rsid w:val="00E97262"/>
    <w:rsid w:val="00E97504"/>
    <w:rsid w:val="00E9755A"/>
    <w:rsid w:val="00E9755F"/>
    <w:rsid w:val="00E979A0"/>
    <w:rsid w:val="00E979BE"/>
    <w:rsid w:val="00E97A85"/>
    <w:rsid w:val="00E97F88"/>
    <w:rsid w:val="00EA05D7"/>
    <w:rsid w:val="00EA0654"/>
    <w:rsid w:val="00EA09BC"/>
    <w:rsid w:val="00EA0AA5"/>
    <w:rsid w:val="00EA0CDB"/>
    <w:rsid w:val="00EA0D2F"/>
    <w:rsid w:val="00EA0FBD"/>
    <w:rsid w:val="00EA1586"/>
    <w:rsid w:val="00EA165A"/>
    <w:rsid w:val="00EA191C"/>
    <w:rsid w:val="00EA1927"/>
    <w:rsid w:val="00EA1939"/>
    <w:rsid w:val="00EA19A3"/>
    <w:rsid w:val="00EA19B2"/>
    <w:rsid w:val="00EA1E0E"/>
    <w:rsid w:val="00EA1F61"/>
    <w:rsid w:val="00EA1FB0"/>
    <w:rsid w:val="00EA220C"/>
    <w:rsid w:val="00EA2426"/>
    <w:rsid w:val="00EA2623"/>
    <w:rsid w:val="00EA28AB"/>
    <w:rsid w:val="00EA2FEC"/>
    <w:rsid w:val="00EA3444"/>
    <w:rsid w:val="00EA3899"/>
    <w:rsid w:val="00EA395C"/>
    <w:rsid w:val="00EA3998"/>
    <w:rsid w:val="00EA39AE"/>
    <w:rsid w:val="00EA3A24"/>
    <w:rsid w:val="00EA3CC8"/>
    <w:rsid w:val="00EA3FFB"/>
    <w:rsid w:val="00EA40B6"/>
    <w:rsid w:val="00EA40FA"/>
    <w:rsid w:val="00EA4100"/>
    <w:rsid w:val="00EA4222"/>
    <w:rsid w:val="00EA455F"/>
    <w:rsid w:val="00EA4796"/>
    <w:rsid w:val="00EA4A49"/>
    <w:rsid w:val="00EA4B5F"/>
    <w:rsid w:val="00EA4CA6"/>
    <w:rsid w:val="00EA4DAC"/>
    <w:rsid w:val="00EA4FA1"/>
    <w:rsid w:val="00EA4FAF"/>
    <w:rsid w:val="00EA512A"/>
    <w:rsid w:val="00EA53DB"/>
    <w:rsid w:val="00EA55B2"/>
    <w:rsid w:val="00EA5742"/>
    <w:rsid w:val="00EA58FD"/>
    <w:rsid w:val="00EA5987"/>
    <w:rsid w:val="00EA5B6C"/>
    <w:rsid w:val="00EA5F80"/>
    <w:rsid w:val="00EA60B4"/>
    <w:rsid w:val="00EA6167"/>
    <w:rsid w:val="00EA6608"/>
    <w:rsid w:val="00EA676B"/>
    <w:rsid w:val="00EA69B9"/>
    <w:rsid w:val="00EA6A8B"/>
    <w:rsid w:val="00EA6AF4"/>
    <w:rsid w:val="00EA6BAF"/>
    <w:rsid w:val="00EA743A"/>
    <w:rsid w:val="00EA765D"/>
    <w:rsid w:val="00EA7883"/>
    <w:rsid w:val="00EA7BDC"/>
    <w:rsid w:val="00EA7C93"/>
    <w:rsid w:val="00EB006F"/>
    <w:rsid w:val="00EB0593"/>
    <w:rsid w:val="00EB05AF"/>
    <w:rsid w:val="00EB06B9"/>
    <w:rsid w:val="00EB0735"/>
    <w:rsid w:val="00EB08BF"/>
    <w:rsid w:val="00EB0D41"/>
    <w:rsid w:val="00EB0D64"/>
    <w:rsid w:val="00EB0E1B"/>
    <w:rsid w:val="00EB0EF6"/>
    <w:rsid w:val="00EB0F2A"/>
    <w:rsid w:val="00EB12DB"/>
    <w:rsid w:val="00EB182F"/>
    <w:rsid w:val="00EB1882"/>
    <w:rsid w:val="00EB18FE"/>
    <w:rsid w:val="00EB193E"/>
    <w:rsid w:val="00EB1D25"/>
    <w:rsid w:val="00EB1E36"/>
    <w:rsid w:val="00EB1E75"/>
    <w:rsid w:val="00EB24DA"/>
    <w:rsid w:val="00EB254B"/>
    <w:rsid w:val="00EB2551"/>
    <w:rsid w:val="00EB27C0"/>
    <w:rsid w:val="00EB2B0F"/>
    <w:rsid w:val="00EB2DA2"/>
    <w:rsid w:val="00EB2DBC"/>
    <w:rsid w:val="00EB3020"/>
    <w:rsid w:val="00EB361B"/>
    <w:rsid w:val="00EB390A"/>
    <w:rsid w:val="00EB3AB3"/>
    <w:rsid w:val="00EB3C96"/>
    <w:rsid w:val="00EB3D05"/>
    <w:rsid w:val="00EB41C9"/>
    <w:rsid w:val="00EB42F7"/>
    <w:rsid w:val="00EB44B0"/>
    <w:rsid w:val="00EB460F"/>
    <w:rsid w:val="00EB4631"/>
    <w:rsid w:val="00EB4694"/>
    <w:rsid w:val="00EB46CF"/>
    <w:rsid w:val="00EB4A0E"/>
    <w:rsid w:val="00EB4C26"/>
    <w:rsid w:val="00EB4D5D"/>
    <w:rsid w:val="00EB4E46"/>
    <w:rsid w:val="00EB5038"/>
    <w:rsid w:val="00EB532C"/>
    <w:rsid w:val="00EB54A9"/>
    <w:rsid w:val="00EB54C8"/>
    <w:rsid w:val="00EB56B4"/>
    <w:rsid w:val="00EB5926"/>
    <w:rsid w:val="00EB5BC7"/>
    <w:rsid w:val="00EB5C7E"/>
    <w:rsid w:val="00EB5EE8"/>
    <w:rsid w:val="00EB6072"/>
    <w:rsid w:val="00EB618D"/>
    <w:rsid w:val="00EB6208"/>
    <w:rsid w:val="00EB6275"/>
    <w:rsid w:val="00EB666B"/>
    <w:rsid w:val="00EB66D5"/>
    <w:rsid w:val="00EB68C4"/>
    <w:rsid w:val="00EB6978"/>
    <w:rsid w:val="00EB6990"/>
    <w:rsid w:val="00EB69AB"/>
    <w:rsid w:val="00EB69D0"/>
    <w:rsid w:val="00EB6B55"/>
    <w:rsid w:val="00EB6D12"/>
    <w:rsid w:val="00EB6D6E"/>
    <w:rsid w:val="00EB7197"/>
    <w:rsid w:val="00EB73B3"/>
    <w:rsid w:val="00EB7686"/>
    <w:rsid w:val="00EB7C4C"/>
    <w:rsid w:val="00EB7DB0"/>
    <w:rsid w:val="00EB7EAD"/>
    <w:rsid w:val="00EB7FA5"/>
    <w:rsid w:val="00EC017B"/>
    <w:rsid w:val="00EC020A"/>
    <w:rsid w:val="00EC05D1"/>
    <w:rsid w:val="00EC0825"/>
    <w:rsid w:val="00EC08FA"/>
    <w:rsid w:val="00EC0930"/>
    <w:rsid w:val="00EC0DB2"/>
    <w:rsid w:val="00EC0FA0"/>
    <w:rsid w:val="00EC0FFE"/>
    <w:rsid w:val="00EC1182"/>
    <w:rsid w:val="00EC118D"/>
    <w:rsid w:val="00EC1354"/>
    <w:rsid w:val="00EC1ACE"/>
    <w:rsid w:val="00EC1D3D"/>
    <w:rsid w:val="00EC1E88"/>
    <w:rsid w:val="00EC22D4"/>
    <w:rsid w:val="00EC25D8"/>
    <w:rsid w:val="00EC2892"/>
    <w:rsid w:val="00EC2B57"/>
    <w:rsid w:val="00EC2C83"/>
    <w:rsid w:val="00EC2E2E"/>
    <w:rsid w:val="00EC2EEC"/>
    <w:rsid w:val="00EC2FA3"/>
    <w:rsid w:val="00EC3301"/>
    <w:rsid w:val="00EC33D5"/>
    <w:rsid w:val="00EC35C3"/>
    <w:rsid w:val="00EC360C"/>
    <w:rsid w:val="00EC373E"/>
    <w:rsid w:val="00EC3E34"/>
    <w:rsid w:val="00EC3E7E"/>
    <w:rsid w:val="00EC3E9D"/>
    <w:rsid w:val="00EC41ED"/>
    <w:rsid w:val="00EC4394"/>
    <w:rsid w:val="00EC4485"/>
    <w:rsid w:val="00EC45B7"/>
    <w:rsid w:val="00EC4617"/>
    <w:rsid w:val="00EC4FC9"/>
    <w:rsid w:val="00EC51EF"/>
    <w:rsid w:val="00EC5283"/>
    <w:rsid w:val="00EC52CC"/>
    <w:rsid w:val="00EC5531"/>
    <w:rsid w:val="00EC55A6"/>
    <w:rsid w:val="00EC587A"/>
    <w:rsid w:val="00EC5A83"/>
    <w:rsid w:val="00EC5B16"/>
    <w:rsid w:val="00EC5C77"/>
    <w:rsid w:val="00EC5CB4"/>
    <w:rsid w:val="00EC6133"/>
    <w:rsid w:val="00EC6581"/>
    <w:rsid w:val="00EC67D7"/>
    <w:rsid w:val="00EC68B6"/>
    <w:rsid w:val="00EC6AA9"/>
    <w:rsid w:val="00EC6CBE"/>
    <w:rsid w:val="00EC6CE6"/>
    <w:rsid w:val="00EC6D34"/>
    <w:rsid w:val="00EC7105"/>
    <w:rsid w:val="00EC7148"/>
    <w:rsid w:val="00EC7174"/>
    <w:rsid w:val="00EC756A"/>
    <w:rsid w:val="00EC775A"/>
    <w:rsid w:val="00EC79DE"/>
    <w:rsid w:val="00EC7C57"/>
    <w:rsid w:val="00EC7CD7"/>
    <w:rsid w:val="00EC7CEB"/>
    <w:rsid w:val="00EC7DD0"/>
    <w:rsid w:val="00EC7F37"/>
    <w:rsid w:val="00ED00EB"/>
    <w:rsid w:val="00ED0209"/>
    <w:rsid w:val="00ED021C"/>
    <w:rsid w:val="00ED0289"/>
    <w:rsid w:val="00ED033D"/>
    <w:rsid w:val="00ED0502"/>
    <w:rsid w:val="00ED066F"/>
    <w:rsid w:val="00ED06F1"/>
    <w:rsid w:val="00ED0706"/>
    <w:rsid w:val="00ED08E6"/>
    <w:rsid w:val="00ED0AC1"/>
    <w:rsid w:val="00ED0BAA"/>
    <w:rsid w:val="00ED0D30"/>
    <w:rsid w:val="00ED0DFA"/>
    <w:rsid w:val="00ED154B"/>
    <w:rsid w:val="00ED1557"/>
    <w:rsid w:val="00ED15FB"/>
    <w:rsid w:val="00ED16B2"/>
    <w:rsid w:val="00ED16B3"/>
    <w:rsid w:val="00ED1743"/>
    <w:rsid w:val="00ED1AB8"/>
    <w:rsid w:val="00ED1C16"/>
    <w:rsid w:val="00ED1C28"/>
    <w:rsid w:val="00ED1EFD"/>
    <w:rsid w:val="00ED1F76"/>
    <w:rsid w:val="00ED1F8B"/>
    <w:rsid w:val="00ED237B"/>
    <w:rsid w:val="00ED23E9"/>
    <w:rsid w:val="00ED24B2"/>
    <w:rsid w:val="00ED2507"/>
    <w:rsid w:val="00ED2536"/>
    <w:rsid w:val="00ED25AD"/>
    <w:rsid w:val="00ED2631"/>
    <w:rsid w:val="00ED2B71"/>
    <w:rsid w:val="00ED2CBA"/>
    <w:rsid w:val="00ED2D5C"/>
    <w:rsid w:val="00ED2E5C"/>
    <w:rsid w:val="00ED2F01"/>
    <w:rsid w:val="00ED3071"/>
    <w:rsid w:val="00ED30A8"/>
    <w:rsid w:val="00ED30F8"/>
    <w:rsid w:val="00ED31FD"/>
    <w:rsid w:val="00ED333A"/>
    <w:rsid w:val="00ED34BF"/>
    <w:rsid w:val="00ED36C2"/>
    <w:rsid w:val="00ED38C3"/>
    <w:rsid w:val="00ED39A3"/>
    <w:rsid w:val="00ED3CFB"/>
    <w:rsid w:val="00ED3D79"/>
    <w:rsid w:val="00ED3EA8"/>
    <w:rsid w:val="00ED41FA"/>
    <w:rsid w:val="00ED4339"/>
    <w:rsid w:val="00ED4B6B"/>
    <w:rsid w:val="00ED4C50"/>
    <w:rsid w:val="00ED4D35"/>
    <w:rsid w:val="00ED4E6A"/>
    <w:rsid w:val="00ED4F0E"/>
    <w:rsid w:val="00ED507A"/>
    <w:rsid w:val="00ED511C"/>
    <w:rsid w:val="00ED5155"/>
    <w:rsid w:val="00ED562A"/>
    <w:rsid w:val="00ED59AE"/>
    <w:rsid w:val="00ED5BE9"/>
    <w:rsid w:val="00ED5C52"/>
    <w:rsid w:val="00ED5E87"/>
    <w:rsid w:val="00ED5F5C"/>
    <w:rsid w:val="00ED6213"/>
    <w:rsid w:val="00ED62B7"/>
    <w:rsid w:val="00ED6937"/>
    <w:rsid w:val="00ED6995"/>
    <w:rsid w:val="00ED69DB"/>
    <w:rsid w:val="00ED6CCF"/>
    <w:rsid w:val="00ED71A2"/>
    <w:rsid w:val="00ED7210"/>
    <w:rsid w:val="00ED756E"/>
    <w:rsid w:val="00ED7C67"/>
    <w:rsid w:val="00EE00F7"/>
    <w:rsid w:val="00EE012D"/>
    <w:rsid w:val="00EE0258"/>
    <w:rsid w:val="00EE0272"/>
    <w:rsid w:val="00EE0654"/>
    <w:rsid w:val="00EE071B"/>
    <w:rsid w:val="00EE0A89"/>
    <w:rsid w:val="00EE0AB7"/>
    <w:rsid w:val="00EE1150"/>
    <w:rsid w:val="00EE15B2"/>
    <w:rsid w:val="00EE1761"/>
    <w:rsid w:val="00EE197B"/>
    <w:rsid w:val="00EE1B14"/>
    <w:rsid w:val="00EE1F9E"/>
    <w:rsid w:val="00EE21AB"/>
    <w:rsid w:val="00EE22D5"/>
    <w:rsid w:val="00EE2362"/>
    <w:rsid w:val="00EE27AF"/>
    <w:rsid w:val="00EE2817"/>
    <w:rsid w:val="00EE29BF"/>
    <w:rsid w:val="00EE2A79"/>
    <w:rsid w:val="00EE2ADF"/>
    <w:rsid w:val="00EE2C94"/>
    <w:rsid w:val="00EE2CE9"/>
    <w:rsid w:val="00EE2D5C"/>
    <w:rsid w:val="00EE2E8A"/>
    <w:rsid w:val="00EE3167"/>
    <w:rsid w:val="00EE3452"/>
    <w:rsid w:val="00EE35B7"/>
    <w:rsid w:val="00EE3959"/>
    <w:rsid w:val="00EE3995"/>
    <w:rsid w:val="00EE3C80"/>
    <w:rsid w:val="00EE3F15"/>
    <w:rsid w:val="00EE3F41"/>
    <w:rsid w:val="00EE41C0"/>
    <w:rsid w:val="00EE46FC"/>
    <w:rsid w:val="00EE4705"/>
    <w:rsid w:val="00EE4794"/>
    <w:rsid w:val="00EE47A8"/>
    <w:rsid w:val="00EE4855"/>
    <w:rsid w:val="00EE4C98"/>
    <w:rsid w:val="00EE4F7D"/>
    <w:rsid w:val="00EE4F84"/>
    <w:rsid w:val="00EE53E1"/>
    <w:rsid w:val="00EE5474"/>
    <w:rsid w:val="00EE54F7"/>
    <w:rsid w:val="00EE5511"/>
    <w:rsid w:val="00EE567F"/>
    <w:rsid w:val="00EE58D7"/>
    <w:rsid w:val="00EE5D28"/>
    <w:rsid w:val="00EE5D88"/>
    <w:rsid w:val="00EE5FDB"/>
    <w:rsid w:val="00EE5FEE"/>
    <w:rsid w:val="00EE60C8"/>
    <w:rsid w:val="00EE6241"/>
    <w:rsid w:val="00EE63C8"/>
    <w:rsid w:val="00EE6731"/>
    <w:rsid w:val="00EE69E2"/>
    <w:rsid w:val="00EE6A05"/>
    <w:rsid w:val="00EE6DDD"/>
    <w:rsid w:val="00EE7099"/>
    <w:rsid w:val="00EE71CE"/>
    <w:rsid w:val="00EE7304"/>
    <w:rsid w:val="00EE7435"/>
    <w:rsid w:val="00EE771A"/>
    <w:rsid w:val="00EE7735"/>
    <w:rsid w:val="00EE7C50"/>
    <w:rsid w:val="00EE7D6D"/>
    <w:rsid w:val="00EF0215"/>
    <w:rsid w:val="00EF03D2"/>
    <w:rsid w:val="00EF046A"/>
    <w:rsid w:val="00EF0D6C"/>
    <w:rsid w:val="00EF0E3F"/>
    <w:rsid w:val="00EF0EC9"/>
    <w:rsid w:val="00EF1202"/>
    <w:rsid w:val="00EF12CA"/>
    <w:rsid w:val="00EF146D"/>
    <w:rsid w:val="00EF1489"/>
    <w:rsid w:val="00EF15D1"/>
    <w:rsid w:val="00EF1774"/>
    <w:rsid w:val="00EF17F7"/>
    <w:rsid w:val="00EF180F"/>
    <w:rsid w:val="00EF1869"/>
    <w:rsid w:val="00EF1E0C"/>
    <w:rsid w:val="00EF1E40"/>
    <w:rsid w:val="00EF1E60"/>
    <w:rsid w:val="00EF206F"/>
    <w:rsid w:val="00EF20A4"/>
    <w:rsid w:val="00EF227E"/>
    <w:rsid w:val="00EF2294"/>
    <w:rsid w:val="00EF22A2"/>
    <w:rsid w:val="00EF22A8"/>
    <w:rsid w:val="00EF27D5"/>
    <w:rsid w:val="00EF2A1B"/>
    <w:rsid w:val="00EF2BCD"/>
    <w:rsid w:val="00EF2F78"/>
    <w:rsid w:val="00EF3358"/>
    <w:rsid w:val="00EF351C"/>
    <w:rsid w:val="00EF35F1"/>
    <w:rsid w:val="00EF3AB4"/>
    <w:rsid w:val="00EF3C6F"/>
    <w:rsid w:val="00EF3C73"/>
    <w:rsid w:val="00EF3F6C"/>
    <w:rsid w:val="00EF405E"/>
    <w:rsid w:val="00EF410D"/>
    <w:rsid w:val="00EF41C3"/>
    <w:rsid w:val="00EF4814"/>
    <w:rsid w:val="00EF48A4"/>
    <w:rsid w:val="00EF4AB3"/>
    <w:rsid w:val="00EF4B72"/>
    <w:rsid w:val="00EF4CB6"/>
    <w:rsid w:val="00EF4CD9"/>
    <w:rsid w:val="00EF4F23"/>
    <w:rsid w:val="00EF4FD6"/>
    <w:rsid w:val="00EF50D1"/>
    <w:rsid w:val="00EF517E"/>
    <w:rsid w:val="00EF51DC"/>
    <w:rsid w:val="00EF5358"/>
    <w:rsid w:val="00EF543E"/>
    <w:rsid w:val="00EF56B6"/>
    <w:rsid w:val="00EF5847"/>
    <w:rsid w:val="00EF5F7F"/>
    <w:rsid w:val="00EF5FC1"/>
    <w:rsid w:val="00EF5FD4"/>
    <w:rsid w:val="00EF61A7"/>
    <w:rsid w:val="00EF61F5"/>
    <w:rsid w:val="00EF6444"/>
    <w:rsid w:val="00EF6468"/>
    <w:rsid w:val="00EF6697"/>
    <w:rsid w:val="00EF69B1"/>
    <w:rsid w:val="00EF6AA5"/>
    <w:rsid w:val="00EF6CC0"/>
    <w:rsid w:val="00EF6DA4"/>
    <w:rsid w:val="00EF6F84"/>
    <w:rsid w:val="00EF7436"/>
    <w:rsid w:val="00EF743C"/>
    <w:rsid w:val="00EF764F"/>
    <w:rsid w:val="00EF766A"/>
    <w:rsid w:val="00EF76F9"/>
    <w:rsid w:val="00EF799F"/>
    <w:rsid w:val="00EF7AA0"/>
    <w:rsid w:val="00EF7D9C"/>
    <w:rsid w:val="00EF7E13"/>
    <w:rsid w:val="00F00414"/>
    <w:rsid w:val="00F005F4"/>
    <w:rsid w:val="00F00602"/>
    <w:rsid w:val="00F00770"/>
    <w:rsid w:val="00F00861"/>
    <w:rsid w:val="00F00986"/>
    <w:rsid w:val="00F00B34"/>
    <w:rsid w:val="00F00C86"/>
    <w:rsid w:val="00F011F2"/>
    <w:rsid w:val="00F0129D"/>
    <w:rsid w:val="00F014B3"/>
    <w:rsid w:val="00F0173A"/>
    <w:rsid w:val="00F01993"/>
    <w:rsid w:val="00F01A65"/>
    <w:rsid w:val="00F01B58"/>
    <w:rsid w:val="00F01B8A"/>
    <w:rsid w:val="00F01D9A"/>
    <w:rsid w:val="00F01F76"/>
    <w:rsid w:val="00F0210F"/>
    <w:rsid w:val="00F021FB"/>
    <w:rsid w:val="00F02204"/>
    <w:rsid w:val="00F023D8"/>
    <w:rsid w:val="00F02630"/>
    <w:rsid w:val="00F028B8"/>
    <w:rsid w:val="00F02918"/>
    <w:rsid w:val="00F02967"/>
    <w:rsid w:val="00F02A29"/>
    <w:rsid w:val="00F02B81"/>
    <w:rsid w:val="00F02C16"/>
    <w:rsid w:val="00F02CC7"/>
    <w:rsid w:val="00F02D5B"/>
    <w:rsid w:val="00F02D5D"/>
    <w:rsid w:val="00F02D94"/>
    <w:rsid w:val="00F030D1"/>
    <w:rsid w:val="00F031B6"/>
    <w:rsid w:val="00F0362B"/>
    <w:rsid w:val="00F0385E"/>
    <w:rsid w:val="00F039C4"/>
    <w:rsid w:val="00F03AAC"/>
    <w:rsid w:val="00F03CCC"/>
    <w:rsid w:val="00F03E25"/>
    <w:rsid w:val="00F04151"/>
    <w:rsid w:val="00F044CD"/>
    <w:rsid w:val="00F04501"/>
    <w:rsid w:val="00F045AF"/>
    <w:rsid w:val="00F045E2"/>
    <w:rsid w:val="00F0466D"/>
    <w:rsid w:val="00F04850"/>
    <w:rsid w:val="00F04869"/>
    <w:rsid w:val="00F048D5"/>
    <w:rsid w:val="00F04A17"/>
    <w:rsid w:val="00F04B71"/>
    <w:rsid w:val="00F04DD9"/>
    <w:rsid w:val="00F051C2"/>
    <w:rsid w:val="00F0541C"/>
    <w:rsid w:val="00F055E4"/>
    <w:rsid w:val="00F05B86"/>
    <w:rsid w:val="00F05BFB"/>
    <w:rsid w:val="00F05C35"/>
    <w:rsid w:val="00F0636C"/>
    <w:rsid w:val="00F066E3"/>
    <w:rsid w:val="00F06810"/>
    <w:rsid w:val="00F06A7B"/>
    <w:rsid w:val="00F0754F"/>
    <w:rsid w:val="00F07566"/>
    <w:rsid w:val="00F0766B"/>
    <w:rsid w:val="00F0767A"/>
    <w:rsid w:val="00F07792"/>
    <w:rsid w:val="00F077E5"/>
    <w:rsid w:val="00F07853"/>
    <w:rsid w:val="00F07BBC"/>
    <w:rsid w:val="00F10117"/>
    <w:rsid w:val="00F10576"/>
    <w:rsid w:val="00F107BC"/>
    <w:rsid w:val="00F1111B"/>
    <w:rsid w:val="00F11386"/>
    <w:rsid w:val="00F11437"/>
    <w:rsid w:val="00F11684"/>
    <w:rsid w:val="00F11783"/>
    <w:rsid w:val="00F11A70"/>
    <w:rsid w:val="00F11BC8"/>
    <w:rsid w:val="00F11CBD"/>
    <w:rsid w:val="00F11DFA"/>
    <w:rsid w:val="00F11F99"/>
    <w:rsid w:val="00F12156"/>
    <w:rsid w:val="00F1247D"/>
    <w:rsid w:val="00F124A0"/>
    <w:rsid w:val="00F126D9"/>
    <w:rsid w:val="00F1290F"/>
    <w:rsid w:val="00F12A61"/>
    <w:rsid w:val="00F12B17"/>
    <w:rsid w:val="00F12B7C"/>
    <w:rsid w:val="00F131F8"/>
    <w:rsid w:val="00F1342B"/>
    <w:rsid w:val="00F135A8"/>
    <w:rsid w:val="00F13818"/>
    <w:rsid w:val="00F13A7D"/>
    <w:rsid w:val="00F13A87"/>
    <w:rsid w:val="00F13C80"/>
    <w:rsid w:val="00F13D3E"/>
    <w:rsid w:val="00F13D9A"/>
    <w:rsid w:val="00F13E1E"/>
    <w:rsid w:val="00F13EE4"/>
    <w:rsid w:val="00F14043"/>
    <w:rsid w:val="00F141CF"/>
    <w:rsid w:val="00F14264"/>
    <w:rsid w:val="00F14826"/>
    <w:rsid w:val="00F14932"/>
    <w:rsid w:val="00F14DFD"/>
    <w:rsid w:val="00F14FE2"/>
    <w:rsid w:val="00F152F0"/>
    <w:rsid w:val="00F15550"/>
    <w:rsid w:val="00F157BF"/>
    <w:rsid w:val="00F15965"/>
    <w:rsid w:val="00F159C4"/>
    <w:rsid w:val="00F15DDF"/>
    <w:rsid w:val="00F15E15"/>
    <w:rsid w:val="00F15EEC"/>
    <w:rsid w:val="00F16554"/>
    <w:rsid w:val="00F16B78"/>
    <w:rsid w:val="00F16BAC"/>
    <w:rsid w:val="00F16D3D"/>
    <w:rsid w:val="00F16EF9"/>
    <w:rsid w:val="00F16FF2"/>
    <w:rsid w:val="00F17184"/>
    <w:rsid w:val="00F171E5"/>
    <w:rsid w:val="00F1724F"/>
    <w:rsid w:val="00F1756D"/>
    <w:rsid w:val="00F17673"/>
    <w:rsid w:val="00F17718"/>
    <w:rsid w:val="00F178CC"/>
    <w:rsid w:val="00F17BE0"/>
    <w:rsid w:val="00F17DD8"/>
    <w:rsid w:val="00F17E67"/>
    <w:rsid w:val="00F17EEE"/>
    <w:rsid w:val="00F17F32"/>
    <w:rsid w:val="00F2018B"/>
    <w:rsid w:val="00F2019B"/>
    <w:rsid w:val="00F2054D"/>
    <w:rsid w:val="00F205C8"/>
    <w:rsid w:val="00F205E5"/>
    <w:rsid w:val="00F2066F"/>
    <w:rsid w:val="00F20722"/>
    <w:rsid w:val="00F207BF"/>
    <w:rsid w:val="00F20A85"/>
    <w:rsid w:val="00F20AA5"/>
    <w:rsid w:val="00F20AB1"/>
    <w:rsid w:val="00F20AC7"/>
    <w:rsid w:val="00F20E30"/>
    <w:rsid w:val="00F20F3E"/>
    <w:rsid w:val="00F20FC6"/>
    <w:rsid w:val="00F20FCF"/>
    <w:rsid w:val="00F21181"/>
    <w:rsid w:val="00F21422"/>
    <w:rsid w:val="00F2151B"/>
    <w:rsid w:val="00F21C62"/>
    <w:rsid w:val="00F21E9A"/>
    <w:rsid w:val="00F2215C"/>
    <w:rsid w:val="00F22328"/>
    <w:rsid w:val="00F2239F"/>
    <w:rsid w:val="00F22480"/>
    <w:rsid w:val="00F224E7"/>
    <w:rsid w:val="00F22529"/>
    <w:rsid w:val="00F22769"/>
    <w:rsid w:val="00F22898"/>
    <w:rsid w:val="00F22959"/>
    <w:rsid w:val="00F22987"/>
    <w:rsid w:val="00F22A83"/>
    <w:rsid w:val="00F22B15"/>
    <w:rsid w:val="00F22B57"/>
    <w:rsid w:val="00F22B76"/>
    <w:rsid w:val="00F22FD1"/>
    <w:rsid w:val="00F23123"/>
    <w:rsid w:val="00F23186"/>
    <w:rsid w:val="00F23211"/>
    <w:rsid w:val="00F232D8"/>
    <w:rsid w:val="00F2338E"/>
    <w:rsid w:val="00F23404"/>
    <w:rsid w:val="00F234FF"/>
    <w:rsid w:val="00F2350D"/>
    <w:rsid w:val="00F23A7F"/>
    <w:rsid w:val="00F23B34"/>
    <w:rsid w:val="00F23BC5"/>
    <w:rsid w:val="00F23C1C"/>
    <w:rsid w:val="00F23D45"/>
    <w:rsid w:val="00F244B5"/>
    <w:rsid w:val="00F2497F"/>
    <w:rsid w:val="00F24C27"/>
    <w:rsid w:val="00F24EA9"/>
    <w:rsid w:val="00F2510D"/>
    <w:rsid w:val="00F25195"/>
    <w:rsid w:val="00F2522C"/>
    <w:rsid w:val="00F2524C"/>
    <w:rsid w:val="00F253C0"/>
    <w:rsid w:val="00F25537"/>
    <w:rsid w:val="00F2564F"/>
    <w:rsid w:val="00F25752"/>
    <w:rsid w:val="00F25AEA"/>
    <w:rsid w:val="00F25B93"/>
    <w:rsid w:val="00F260F1"/>
    <w:rsid w:val="00F26108"/>
    <w:rsid w:val="00F26621"/>
    <w:rsid w:val="00F26815"/>
    <w:rsid w:val="00F26892"/>
    <w:rsid w:val="00F26B35"/>
    <w:rsid w:val="00F26D01"/>
    <w:rsid w:val="00F26E07"/>
    <w:rsid w:val="00F26E4C"/>
    <w:rsid w:val="00F270CC"/>
    <w:rsid w:val="00F2723F"/>
    <w:rsid w:val="00F2727B"/>
    <w:rsid w:val="00F274C4"/>
    <w:rsid w:val="00F2753A"/>
    <w:rsid w:val="00F276A2"/>
    <w:rsid w:val="00F2781E"/>
    <w:rsid w:val="00F27CFB"/>
    <w:rsid w:val="00F27DBA"/>
    <w:rsid w:val="00F27E08"/>
    <w:rsid w:val="00F30820"/>
    <w:rsid w:val="00F3087F"/>
    <w:rsid w:val="00F30A9F"/>
    <w:rsid w:val="00F30ADB"/>
    <w:rsid w:val="00F30B7B"/>
    <w:rsid w:val="00F30DE6"/>
    <w:rsid w:val="00F30E7A"/>
    <w:rsid w:val="00F314BB"/>
    <w:rsid w:val="00F316E6"/>
    <w:rsid w:val="00F31775"/>
    <w:rsid w:val="00F31904"/>
    <w:rsid w:val="00F31FA7"/>
    <w:rsid w:val="00F3246A"/>
    <w:rsid w:val="00F32489"/>
    <w:rsid w:val="00F32617"/>
    <w:rsid w:val="00F32782"/>
    <w:rsid w:val="00F3281E"/>
    <w:rsid w:val="00F329AA"/>
    <w:rsid w:val="00F32CB0"/>
    <w:rsid w:val="00F32D9F"/>
    <w:rsid w:val="00F32DFD"/>
    <w:rsid w:val="00F32F2D"/>
    <w:rsid w:val="00F32FC5"/>
    <w:rsid w:val="00F333A3"/>
    <w:rsid w:val="00F33498"/>
    <w:rsid w:val="00F336F5"/>
    <w:rsid w:val="00F3394B"/>
    <w:rsid w:val="00F3396F"/>
    <w:rsid w:val="00F3399C"/>
    <w:rsid w:val="00F33A08"/>
    <w:rsid w:val="00F33A9D"/>
    <w:rsid w:val="00F33C17"/>
    <w:rsid w:val="00F33D7A"/>
    <w:rsid w:val="00F341C7"/>
    <w:rsid w:val="00F341FE"/>
    <w:rsid w:val="00F34403"/>
    <w:rsid w:val="00F34516"/>
    <w:rsid w:val="00F34790"/>
    <w:rsid w:val="00F347F6"/>
    <w:rsid w:val="00F3488E"/>
    <w:rsid w:val="00F3489F"/>
    <w:rsid w:val="00F34A13"/>
    <w:rsid w:val="00F34B5F"/>
    <w:rsid w:val="00F34C9C"/>
    <w:rsid w:val="00F34F86"/>
    <w:rsid w:val="00F3508A"/>
    <w:rsid w:val="00F351C3"/>
    <w:rsid w:val="00F358C5"/>
    <w:rsid w:val="00F35BEF"/>
    <w:rsid w:val="00F35F7C"/>
    <w:rsid w:val="00F364E7"/>
    <w:rsid w:val="00F3657D"/>
    <w:rsid w:val="00F3674E"/>
    <w:rsid w:val="00F3680D"/>
    <w:rsid w:val="00F3689C"/>
    <w:rsid w:val="00F368D1"/>
    <w:rsid w:val="00F36A51"/>
    <w:rsid w:val="00F36CA4"/>
    <w:rsid w:val="00F36D1F"/>
    <w:rsid w:val="00F374F6"/>
    <w:rsid w:val="00F37780"/>
    <w:rsid w:val="00F3785B"/>
    <w:rsid w:val="00F378D8"/>
    <w:rsid w:val="00F378E0"/>
    <w:rsid w:val="00F37D71"/>
    <w:rsid w:val="00F37E37"/>
    <w:rsid w:val="00F37E4F"/>
    <w:rsid w:val="00F40021"/>
    <w:rsid w:val="00F402CD"/>
    <w:rsid w:val="00F40A72"/>
    <w:rsid w:val="00F40B24"/>
    <w:rsid w:val="00F40C88"/>
    <w:rsid w:val="00F41176"/>
    <w:rsid w:val="00F411E5"/>
    <w:rsid w:val="00F41228"/>
    <w:rsid w:val="00F413B3"/>
    <w:rsid w:val="00F41406"/>
    <w:rsid w:val="00F41461"/>
    <w:rsid w:val="00F4153B"/>
    <w:rsid w:val="00F415BC"/>
    <w:rsid w:val="00F4161F"/>
    <w:rsid w:val="00F417E9"/>
    <w:rsid w:val="00F41B74"/>
    <w:rsid w:val="00F41C51"/>
    <w:rsid w:val="00F41CF3"/>
    <w:rsid w:val="00F41F39"/>
    <w:rsid w:val="00F41F9D"/>
    <w:rsid w:val="00F41FD9"/>
    <w:rsid w:val="00F42282"/>
    <w:rsid w:val="00F422AE"/>
    <w:rsid w:val="00F424C6"/>
    <w:rsid w:val="00F42743"/>
    <w:rsid w:val="00F42A72"/>
    <w:rsid w:val="00F42AD9"/>
    <w:rsid w:val="00F42B30"/>
    <w:rsid w:val="00F433E1"/>
    <w:rsid w:val="00F43637"/>
    <w:rsid w:val="00F43694"/>
    <w:rsid w:val="00F43C33"/>
    <w:rsid w:val="00F43C7F"/>
    <w:rsid w:val="00F43DF5"/>
    <w:rsid w:val="00F43F52"/>
    <w:rsid w:val="00F44032"/>
    <w:rsid w:val="00F44070"/>
    <w:rsid w:val="00F4429F"/>
    <w:rsid w:val="00F4445C"/>
    <w:rsid w:val="00F4447E"/>
    <w:rsid w:val="00F444BA"/>
    <w:rsid w:val="00F44653"/>
    <w:rsid w:val="00F44747"/>
    <w:rsid w:val="00F449A9"/>
    <w:rsid w:val="00F44C01"/>
    <w:rsid w:val="00F44C3D"/>
    <w:rsid w:val="00F44C9F"/>
    <w:rsid w:val="00F44D80"/>
    <w:rsid w:val="00F44DB2"/>
    <w:rsid w:val="00F44E08"/>
    <w:rsid w:val="00F44F74"/>
    <w:rsid w:val="00F4501A"/>
    <w:rsid w:val="00F45257"/>
    <w:rsid w:val="00F45263"/>
    <w:rsid w:val="00F452E7"/>
    <w:rsid w:val="00F45789"/>
    <w:rsid w:val="00F457C6"/>
    <w:rsid w:val="00F4586D"/>
    <w:rsid w:val="00F45B49"/>
    <w:rsid w:val="00F45C4C"/>
    <w:rsid w:val="00F45E99"/>
    <w:rsid w:val="00F4603F"/>
    <w:rsid w:val="00F461D9"/>
    <w:rsid w:val="00F46309"/>
    <w:rsid w:val="00F4635B"/>
    <w:rsid w:val="00F46942"/>
    <w:rsid w:val="00F46976"/>
    <w:rsid w:val="00F47019"/>
    <w:rsid w:val="00F47798"/>
    <w:rsid w:val="00F47B5E"/>
    <w:rsid w:val="00F47C88"/>
    <w:rsid w:val="00F47D05"/>
    <w:rsid w:val="00F47D12"/>
    <w:rsid w:val="00F47DA3"/>
    <w:rsid w:val="00F47DF2"/>
    <w:rsid w:val="00F47F6C"/>
    <w:rsid w:val="00F500FA"/>
    <w:rsid w:val="00F502DC"/>
    <w:rsid w:val="00F50564"/>
    <w:rsid w:val="00F50A98"/>
    <w:rsid w:val="00F50C12"/>
    <w:rsid w:val="00F50F15"/>
    <w:rsid w:val="00F5100A"/>
    <w:rsid w:val="00F51060"/>
    <w:rsid w:val="00F512BA"/>
    <w:rsid w:val="00F514C4"/>
    <w:rsid w:val="00F515AB"/>
    <w:rsid w:val="00F5162C"/>
    <w:rsid w:val="00F518F1"/>
    <w:rsid w:val="00F518F8"/>
    <w:rsid w:val="00F51982"/>
    <w:rsid w:val="00F519C2"/>
    <w:rsid w:val="00F51A2E"/>
    <w:rsid w:val="00F51C1F"/>
    <w:rsid w:val="00F51D13"/>
    <w:rsid w:val="00F51D8F"/>
    <w:rsid w:val="00F52217"/>
    <w:rsid w:val="00F52681"/>
    <w:rsid w:val="00F527F2"/>
    <w:rsid w:val="00F5288F"/>
    <w:rsid w:val="00F528F8"/>
    <w:rsid w:val="00F529E7"/>
    <w:rsid w:val="00F52A51"/>
    <w:rsid w:val="00F52A6C"/>
    <w:rsid w:val="00F52A9B"/>
    <w:rsid w:val="00F52BB0"/>
    <w:rsid w:val="00F53079"/>
    <w:rsid w:val="00F530A4"/>
    <w:rsid w:val="00F531F7"/>
    <w:rsid w:val="00F53399"/>
    <w:rsid w:val="00F53567"/>
    <w:rsid w:val="00F53798"/>
    <w:rsid w:val="00F53A24"/>
    <w:rsid w:val="00F53BEA"/>
    <w:rsid w:val="00F53BF4"/>
    <w:rsid w:val="00F53E9F"/>
    <w:rsid w:val="00F54044"/>
    <w:rsid w:val="00F5411E"/>
    <w:rsid w:val="00F5453F"/>
    <w:rsid w:val="00F5460A"/>
    <w:rsid w:val="00F546B1"/>
    <w:rsid w:val="00F54761"/>
    <w:rsid w:val="00F547B6"/>
    <w:rsid w:val="00F547E6"/>
    <w:rsid w:val="00F548CB"/>
    <w:rsid w:val="00F548D7"/>
    <w:rsid w:val="00F54B59"/>
    <w:rsid w:val="00F54BB8"/>
    <w:rsid w:val="00F54C2A"/>
    <w:rsid w:val="00F54E2F"/>
    <w:rsid w:val="00F552E3"/>
    <w:rsid w:val="00F55309"/>
    <w:rsid w:val="00F5567C"/>
    <w:rsid w:val="00F557C0"/>
    <w:rsid w:val="00F55B1D"/>
    <w:rsid w:val="00F55CED"/>
    <w:rsid w:val="00F55D73"/>
    <w:rsid w:val="00F560F1"/>
    <w:rsid w:val="00F56280"/>
    <w:rsid w:val="00F562D2"/>
    <w:rsid w:val="00F56899"/>
    <w:rsid w:val="00F56A6E"/>
    <w:rsid w:val="00F56E41"/>
    <w:rsid w:val="00F56F87"/>
    <w:rsid w:val="00F57032"/>
    <w:rsid w:val="00F57054"/>
    <w:rsid w:val="00F5796C"/>
    <w:rsid w:val="00F57B19"/>
    <w:rsid w:val="00F57BFF"/>
    <w:rsid w:val="00F600D1"/>
    <w:rsid w:val="00F60194"/>
    <w:rsid w:val="00F601BB"/>
    <w:rsid w:val="00F602C2"/>
    <w:rsid w:val="00F6032C"/>
    <w:rsid w:val="00F606BD"/>
    <w:rsid w:val="00F608D9"/>
    <w:rsid w:val="00F60A6C"/>
    <w:rsid w:val="00F60C11"/>
    <w:rsid w:val="00F60DFA"/>
    <w:rsid w:val="00F60E1B"/>
    <w:rsid w:val="00F60E64"/>
    <w:rsid w:val="00F61209"/>
    <w:rsid w:val="00F61225"/>
    <w:rsid w:val="00F6155C"/>
    <w:rsid w:val="00F61707"/>
    <w:rsid w:val="00F61831"/>
    <w:rsid w:val="00F61985"/>
    <w:rsid w:val="00F6198B"/>
    <w:rsid w:val="00F61ED2"/>
    <w:rsid w:val="00F61F0B"/>
    <w:rsid w:val="00F6212C"/>
    <w:rsid w:val="00F62544"/>
    <w:rsid w:val="00F62609"/>
    <w:rsid w:val="00F6264B"/>
    <w:rsid w:val="00F62743"/>
    <w:rsid w:val="00F6307A"/>
    <w:rsid w:val="00F630F8"/>
    <w:rsid w:val="00F63305"/>
    <w:rsid w:val="00F63410"/>
    <w:rsid w:val="00F634D5"/>
    <w:rsid w:val="00F635B1"/>
    <w:rsid w:val="00F63921"/>
    <w:rsid w:val="00F63BA6"/>
    <w:rsid w:val="00F63C88"/>
    <w:rsid w:val="00F63C9D"/>
    <w:rsid w:val="00F63F17"/>
    <w:rsid w:val="00F642D8"/>
    <w:rsid w:val="00F6444C"/>
    <w:rsid w:val="00F64664"/>
    <w:rsid w:val="00F64728"/>
    <w:rsid w:val="00F64735"/>
    <w:rsid w:val="00F64903"/>
    <w:rsid w:val="00F64CF5"/>
    <w:rsid w:val="00F64EAD"/>
    <w:rsid w:val="00F65270"/>
    <w:rsid w:val="00F6552F"/>
    <w:rsid w:val="00F6586B"/>
    <w:rsid w:val="00F65E06"/>
    <w:rsid w:val="00F66039"/>
    <w:rsid w:val="00F660A6"/>
    <w:rsid w:val="00F660C8"/>
    <w:rsid w:val="00F6621B"/>
    <w:rsid w:val="00F66295"/>
    <w:rsid w:val="00F662B2"/>
    <w:rsid w:val="00F6630F"/>
    <w:rsid w:val="00F665B5"/>
    <w:rsid w:val="00F66E13"/>
    <w:rsid w:val="00F67061"/>
    <w:rsid w:val="00F67345"/>
    <w:rsid w:val="00F67526"/>
    <w:rsid w:val="00F67572"/>
    <w:rsid w:val="00F67605"/>
    <w:rsid w:val="00F676B4"/>
    <w:rsid w:val="00F676C8"/>
    <w:rsid w:val="00F6772B"/>
    <w:rsid w:val="00F67AF9"/>
    <w:rsid w:val="00F67D5D"/>
    <w:rsid w:val="00F67DDA"/>
    <w:rsid w:val="00F67FB9"/>
    <w:rsid w:val="00F700D2"/>
    <w:rsid w:val="00F70205"/>
    <w:rsid w:val="00F70337"/>
    <w:rsid w:val="00F705A2"/>
    <w:rsid w:val="00F705D2"/>
    <w:rsid w:val="00F709EE"/>
    <w:rsid w:val="00F70B14"/>
    <w:rsid w:val="00F70B5F"/>
    <w:rsid w:val="00F70EA5"/>
    <w:rsid w:val="00F70F7D"/>
    <w:rsid w:val="00F710A9"/>
    <w:rsid w:val="00F710BC"/>
    <w:rsid w:val="00F710FF"/>
    <w:rsid w:val="00F712D3"/>
    <w:rsid w:val="00F714AB"/>
    <w:rsid w:val="00F714BC"/>
    <w:rsid w:val="00F7158A"/>
    <w:rsid w:val="00F716D0"/>
    <w:rsid w:val="00F7187E"/>
    <w:rsid w:val="00F71D64"/>
    <w:rsid w:val="00F71D97"/>
    <w:rsid w:val="00F71F18"/>
    <w:rsid w:val="00F721D7"/>
    <w:rsid w:val="00F721E7"/>
    <w:rsid w:val="00F72243"/>
    <w:rsid w:val="00F72325"/>
    <w:rsid w:val="00F725DE"/>
    <w:rsid w:val="00F726EF"/>
    <w:rsid w:val="00F7287A"/>
    <w:rsid w:val="00F72A1A"/>
    <w:rsid w:val="00F72B61"/>
    <w:rsid w:val="00F72B6B"/>
    <w:rsid w:val="00F72BAA"/>
    <w:rsid w:val="00F72BD3"/>
    <w:rsid w:val="00F72C5A"/>
    <w:rsid w:val="00F72E32"/>
    <w:rsid w:val="00F72E9C"/>
    <w:rsid w:val="00F72EA1"/>
    <w:rsid w:val="00F7300C"/>
    <w:rsid w:val="00F73466"/>
    <w:rsid w:val="00F735DF"/>
    <w:rsid w:val="00F735FA"/>
    <w:rsid w:val="00F736FD"/>
    <w:rsid w:val="00F7372B"/>
    <w:rsid w:val="00F73A5B"/>
    <w:rsid w:val="00F73A77"/>
    <w:rsid w:val="00F73B5C"/>
    <w:rsid w:val="00F73DBD"/>
    <w:rsid w:val="00F7443B"/>
    <w:rsid w:val="00F747A0"/>
    <w:rsid w:val="00F74A08"/>
    <w:rsid w:val="00F74F6E"/>
    <w:rsid w:val="00F75420"/>
    <w:rsid w:val="00F755CB"/>
    <w:rsid w:val="00F75629"/>
    <w:rsid w:val="00F757A0"/>
    <w:rsid w:val="00F7585D"/>
    <w:rsid w:val="00F75CF8"/>
    <w:rsid w:val="00F75E21"/>
    <w:rsid w:val="00F75E33"/>
    <w:rsid w:val="00F75E97"/>
    <w:rsid w:val="00F75F47"/>
    <w:rsid w:val="00F760B6"/>
    <w:rsid w:val="00F7628D"/>
    <w:rsid w:val="00F765C0"/>
    <w:rsid w:val="00F76710"/>
    <w:rsid w:val="00F76711"/>
    <w:rsid w:val="00F7686D"/>
    <w:rsid w:val="00F76AC5"/>
    <w:rsid w:val="00F76D01"/>
    <w:rsid w:val="00F76F06"/>
    <w:rsid w:val="00F7728D"/>
    <w:rsid w:val="00F7731A"/>
    <w:rsid w:val="00F7735D"/>
    <w:rsid w:val="00F77434"/>
    <w:rsid w:val="00F77520"/>
    <w:rsid w:val="00F777AF"/>
    <w:rsid w:val="00F779BA"/>
    <w:rsid w:val="00F779E5"/>
    <w:rsid w:val="00F77D9C"/>
    <w:rsid w:val="00F77DD5"/>
    <w:rsid w:val="00F77FB5"/>
    <w:rsid w:val="00F804D6"/>
    <w:rsid w:val="00F80F56"/>
    <w:rsid w:val="00F81333"/>
    <w:rsid w:val="00F815B0"/>
    <w:rsid w:val="00F81603"/>
    <w:rsid w:val="00F817F1"/>
    <w:rsid w:val="00F81B6E"/>
    <w:rsid w:val="00F822B8"/>
    <w:rsid w:val="00F824F3"/>
    <w:rsid w:val="00F82509"/>
    <w:rsid w:val="00F829F9"/>
    <w:rsid w:val="00F835EC"/>
    <w:rsid w:val="00F83603"/>
    <w:rsid w:val="00F836C1"/>
    <w:rsid w:val="00F836D7"/>
    <w:rsid w:val="00F83CEF"/>
    <w:rsid w:val="00F83FC2"/>
    <w:rsid w:val="00F84029"/>
    <w:rsid w:val="00F8407B"/>
    <w:rsid w:val="00F8421E"/>
    <w:rsid w:val="00F842A7"/>
    <w:rsid w:val="00F84336"/>
    <w:rsid w:val="00F8458D"/>
    <w:rsid w:val="00F84682"/>
    <w:rsid w:val="00F84986"/>
    <w:rsid w:val="00F849AB"/>
    <w:rsid w:val="00F84D23"/>
    <w:rsid w:val="00F84E90"/>
    <w:rsid w:val="00F84F74"/>
    <w:rsid w:val="00F84FE8"/>
    <w:rsid w:val="00F85123"/>
    <w:rsid w:val="00F85179"/>
    <w:rsid w:val="00F85200"/>
    <w:rsid w:val="00F856A9"/>
    <w:rsid w:val="00F8586A"/>
    <w:rsid w:val="00F858B0"/>
    <w:rsid w:val="00F861EF"/>
    <w:rsid w:val="00F863FB"/>
    <w:rsid w:val="00F8664D"/>
    <w:rsid w:val="00F86698"/>
    <w:rsid w:val="00F86861"/>
    <w:rsid w:val="00F86877"/>
    <w:rsid w:val="00F86CEE"/>
    <w:rsid w:val="00F86D8E"/>
    <w:rsid w:val="00F86E7D"/>
    <w:rsid w:val="00F86F58"/>
    <w:rsid w:val="00F8703B"/>
    <w:rsid w:val="00F87071"/>
    <w:rsid w:val="00F8755C"/>
    <w:rsid w:val="00F8759D"/>
    <w:rsid w:val="00F876BF"/>
    <w:rsid w:val="00F87985"/>
    <w:rsid w:val="00F9012F"/>
    <w:rsid w:val="00F90358"/>
    <w:rsid w:val="00F903A3"/>
    <w:rsid w:val="00F90477"/>
    <w:rsid w:val="00F90728"/>
    <w:rsid w:val="00F909EF"/>
    <w:rsid w:val="00F90E32"/>
    <w:rsid w:val="00F912C4"/>
    <w:rsid w:val="00F913AA"/>
    <w:rsid w:val="00F915DF"/>
    <w:rsid w:val="00F9169E"/>
    <w:rsid w:val="00F91BE7"/>
    <w:rsid w:val="00F91F10"/>
    <w:rsid w:val="00F92026"/>
    <w:rsid w:val="00F9213E"/>
    <w:rsid w:val="00F921A0"/>
    <w:rsid w:val="00F9257B"/>
    <w:rsid w:val="00F92585"/>
    <w:rsid w:val="00F92588"/>
    <w:rsid w:val="00F92633"/>
    <w:rsid w:val="00F927D8"/>
    <w:rsid w:val="00F929C0"/>
    <w:rsid w:val="00F92CAF"/>
    <w:rsid w:val="00F92D9F"/>
    <w:rsid w:val="00F92E55"/>
    <w:rsid w:val="00F9321F"/>
    <w:rsid w:val="00F93228"/>
    <w:rsid w:val="00F9373B"/>
    <w:rsid w:val="00F93758"/>
    <w:rsid w:val="00F938A4"/>
    <w:rsid w:val="00F93B7C"/>
    <w:rsid w:val="00F93C1A"/>
    <w:rsid w:val="00F93CC1"/>
    <w:rsid w:val="00F93F49"/>
    <w:rsid w:val="00F943B3"/>
    <w:rsid w:val="00F94496"/>
    <w:rsid w:val="00F944AA"/>
    <w:rsid w:val="00F9476F"/>
    <w:rsid w:val="00F947AC"/>
    <w:rsid w:val="00F94B34"/>
    <w:rsid w:val="00F94B5B"/>
    <w:rsid w:val="00F94BE5"/>
    <w:rsid w:val="00F94C53"/>
    <w:rsid w:val="00F94D28"/>
    <w:rsid w:val="00F94E5B"/>
    <w:rsid w:val="00F94F5C"/>
    <w:rsid w:val="00F9508E"/>
    <w:rsid w:val="00F95258"/>
    <w:rsid w:val="00F9549B"/>
    <w:rsid w:val="00F954B0"/>
    <w:rsid w:val="00F955BA"/>
    <w:rsid w:val="00F95919"/>
    <w:rsid w:val="00F9596A"/>
    <w:rsid w:val="00F95CA6"/>
    <w:rsid w:val="00F96458"/>
    <w:rsid w:val="00F964BA"/>
    <w:rsid w:val="00F96509"/>
    <w:rsid w:val="00F96582"/>
    <w:rsid w:val="00F96586"/>
    <w:rsid w:val="00F96656"/>
    <w:rsid w:val="00F969CB"/>
    <w:rsid w:val="00F96B44"/>
    <w:rsid w:val="00F96BDB"/>
    <w:rsid w:val="00F96D6E"/>
    <w:rsid w:val="00F96DCC"/>
    <w:rsid w:val="00F96FEA"/>
    <w:rsid w:val="00F9714A"/>
    <w:rsid w:val="00F9763A"/>
    <w:rsid w:val="00F978AD"/>
    <w:rsid w:val="00F97EDC"/>
    <w:rsid w:val="00FA0046"/>
    <w:rsid w:val="00FA010B"/>
    <w:rsid w:val="00FA03A9"/>
    <w:rsid w:val="00FA0569"/>
    <w:rsid w:val="00FA078D"/>
    <w:rsid w:val="00FA0AEB"/>
    <w:rsid w:val="00FA0C51"/>
    <w:rsid w:val="00FA103D"/>
    <w:rsid w:val="00FA1086"/>
    <w:rsid w:val="00FA1351"/>
    <w:rsid w:val="00FA13B3"/>
    <w:rsid w:val="00FA1535"/>
    <w:rsid w:val="00FA1C1C"/>
    <w:rsid w:val="00FA1DA1"/>
    <w:rsid w:val="00FA1F56"/>
    <w:rsid w:val="00FA1FFE"/>
    <w:rsid w:val="00FA2480"/>
    <w:rsid w:val="00FA272B"/>
    <w:rsid w:val="00FA2B19"/>
    <w:rsid w:val="00FA2CCC"/>
    <w:rsid w:val="00FA2CCD"/>
    <w:rsid w:val="00FA2D82"/>
    <w:rsid w:val="00FA31EA"/>
    <w:rsid w:val="00FA37F2"/>
    <w:rsid w:val="00FA3885"/>
    <w:rsid w:val="00FA3C95"/>
    <w:rsid w:val="00FA3D74"/>
    <w:rsid w:val="00FA4020"/>
    <w:rsid w:val="00FA430C"/>
    <w:rsid w:val="00FA43D0"/>
    <w:rsid w:val="00FA43E4"/>
    <w:rsid w:val="00FA43FD"/>
    <w:rsid w:val="00FA4778"/>
    <w:rsid w:val="00FA47BB"/>
    <w:rsid w:val="00FA492D"/>
    <w:rsid w:val="00FA499B"/>
    <w:rsid w:val="00FA49C7"/>
    <w:rsid w:val="00FA49D7"/>
    <w:rsid w:val="00FA4AB9"/>
    <w:rsid w:val="00FA4BB1"/>
    <w:rsid w:val="00FA4C93"/>
    <w:rsid w:val="00FA4D11"/>
    <w:rsid w:val="00FA4E97"/>
    <w:rsid w:val="00FA5148"/>
    <w:rsid w:val="00FA53D5"/>
    <w:rsid w:val="00FA5761"/>
    <w:rsid w:val="00FA5785"/>
    <w:rsid w:val="00FA5861"/>
    <w:rsid w:val="00FA588F"/>
    <w:rsid w:val="00FA58C6"/>
    <w:rsid w:val="00FA5938"/>
    <w:rsid w:val="00FA5968"/>
    <w:rsid w:val="00FA5B82"/>
    <w:rsid w:val="00FA5DDE"/>
    <w:rsid w:val="00FA5F1D"/>
    <w:rsid w:val="00FA60FC"/>
    <w:rsid w:val="00FA62CA"/>
    <w:rsid w:val="00FA6418"/>
    <w:rsid w:val="00FA6468"/>
    <w:rsid w:val="00FA64C3"/>
    <w:rsid w:val="00FA6512"/>
    <w:rsid w:val="00FA68C7"/>
    <w:rsid w:val="00FA69D2"/>
    <w:rsid w:val="00FA6D49"/>
    <w:rsid w:val="00FA6DC8"/>
    <w:rsid w:val="00FA6EF6"/>
    <w:rsid w:val="00FA70EB"/>
    <w:rsid w:val="00FA7238"/>
    <w:rsid w:val="00FA727B"/>
    <w:rsid w:val="00FA74D4"/>
    <w:rsid w:val="00FA79AB"/>
    <w:rsid w:val="00FA7A39"/>
    <w:rsid w:val="00FA7A77"/>
    <w:rsid w:val="00FA7BF2"/>
    <w:rsid w:val="00FA7BF9"/>
    <w:rsid w:val="00FA7CAB"/>
    <w:rsid w:val="00FA7CB8"/>
    <w:rsid w:val="00FB00F1"/>
    <w:rsid w:val="00FB0294"/>
    <w:rsid w:val="00FB02F5"/>
    <w:rsid w:val="00FB05D3"/>
    <w:rsid w:val="00FB093B"/>
    <w:rsid w:val="00FB0C5F"/>
    <w:rsid w:val="00FB0D03"/>
    <w:rsid w:val="00FB0E9A"/>
    <w:rsid w:val="00FB106D"/>
    <w:rsid w:val="00FB1343"/>
    <w:rsid w:val="00FB1358"/>
    <w:rsid w:val="00FB14EC"/>
    <w:rsid w:val="00FB1543"/>
    <w:rsid w:val="00FB1971"/>
    <w:rsid w:val="00FB19E4"/>
    <w:rsid w:val="00FB1AFD"/>
    <w:rsid w:val="00FB1BBA"/>
    <w:rsid w:val="00FB1D80"/>
    <w:rsid w:val="00FB21A2"/>
    <w:rsid w:val="00FB254A"/>
    <w:rsid w:val="00FB25A3"/>
    <w:rsid w:val="00FB26BC"/>
    <w:rsid w:val="00FB2818"/>
    <w:rsid w:val="00FB2C87"/>
    <w:rsid w:val="00FB2D45"/>
    <w:rsid w:val="00FB2DEA"/>
    <w:rsid w:val="00FB2FF6"/>
    <w:rsid w:val="00FB304C"/>
    <w:rsid w:val="00FB320B"/>
    <w:rsid w:val="00FB3840"/>
    <w:rsid w:val="00FB38E4"/>
    <w:rsid w:val="00FB3974"/>
    <w:rsid w:val="00FB3A8E"/>
    <w:rsid w:val="00FB3D45"/>
    <w:rsid w:val="00FB401E"/>
    <w:rsid w:val="00FB4179"/>
    <w:rsid w:val="00FB42D1"/>
    <w:rsid w:val="00FB42F8"/>
    <w:rsid w:val="00FB448E"/>
    <w:rsid w:val="00FB44B5"/>
    <w:rsid w:val="00FB481E"/>
    <w:rsid w:val="00FB4983"/>
    <w:rsid w:val="00FB4A0A"/>
    <w:rsid w:val="00FB4AD6"/>
    <w:rsid w:val="00FB4B69"/>
    <w:rsid w:val="00FB5112"/>
    <w:rsid w:val="00FB5468"/>
    <w:rsid w:val="00FB5475"/>
    <w:rsid w:val="00FB585C"/>
    <w:rsid w:val="00FB5964"/>
    <w:rsid w:val="00FB5B2E"/>
    <w:rsid w:val="00FB5CC3"/>
    <w:rsid w:val="00FB6293"/>
    <w:rsid w:val="00FB62C0"/>
    <w:rsid w:val="00FB6320"/>
    <w:rsid w:val="00FB6496"/>
    <w:rsid w:val="00FB6557"/>
    <w:rsid w:val="00FB6597"/>
    <w:rsid w:val="00FB6618"/>
    <w:rsid w:val="00FB6876"/>
    <w:rsid w:val="00FB6A1A"/>
    <w:rsid w:val="00FB6A76"/>
    <w:rsid w:val="00FB6B57"/>
    <w:rsid w:val="00FB6E53"/>
    <w:rsid w:val="00FB6EAC"/>
    <w:rsid w:val="00FB6F6E"/>
    <w:rsid w:val="00FB738B"/>
    <w:rsid w:val="00FB7463"/>
    <w:rsid w:val="00FB7927"/>
    <w:rsid w:val="00FB7AD1"/>
    <w:rsid w:val="00FB7FD0"/>
    <w:rsid w:val="00FC04D5"/>
    <w:rsid w:val="00FC050C"/>
    <w:rsid w:val="00FC0683"/>
    <w:rsid w:val="00FC0A27"/>
    <w:rsid w:val="00FC0AFF"/>
    <w:rsid w:val="00FC121B"/>
    <w:rsid w:val="00FC1276"/>
    <w:rsid w:val="00FC128C"/>
    <w:rsid w:val="00FC17D4"/>
    <w:rsid w:val="00FC183B"/>
    <w:rsid w:val="00FC1899"/>
    <w:rsid w:val="00FC18B3"/>
    <w:rsid w:val="00FC1DA2"/>
    <w:rsid w:val="00FC252A"/>
    <w:rsid w:val="00FC25FC"/>
    <w:rsid w:val="00FC2C16"/>
    <w:rsid w:val="00FC2C86"/>
    <w:rsid w:val="00FC2D61"/>
    <w:rsid w:val="00FC2E2D"/>
    <w:rsid w:val="00FC2F7C"/>
    <w:rsid w:val="00FC3000"/>
    <w:rsid w:val="00FC3214"/>
    <w:rsid w:val="00FC322A"/>
    <w:rsid w:val="00FC338A"/>
    <w:rsid w:val="00FC35B4"/>
    <w:rsid w:val="00FC35BF"/>
    <w:rsid w:val="00FC35DC"/>
    <w:rsid w:val="00FC35F1"/>
    <w:rsid w:val="00FC3742"/>
    <w:rsid w:val="00FC3D1C"/>
    <w:rsid w:val="00FC3DFF"/>
    <w:rsid w:val="00FC42C6"/>
    <w:rsid w:val="00FC433D"/>
    <w:rsid w:val="00FC444A"/>
    <w:rsid w:val="00FC45D7"/>
    <w:rsid w:val="00FC4836"/>
    <w:rsid w:val="00FC4B43"/>
    <w:rsid w:val="00FC4B95"/>
    <w:rsid w:val="00FC4E0B"/>
    <w:rsid w:val="00FC5459"/>
    <w:rsid w:val="00FC5464"/>
    <w:rsid w:val="00FC5476"/>
    <w:rsid w:val="00FC5493"/>
    <w:rsid w:val="00FC54A1"/>
    <w:rsid w:val="00FC5654"/>
    <w:rsid w:val="00FC57A0"/>
    <w:rsid w:val="00FC5920"/>
    <w:rsid w:val="00FC5BB8"/>
    <w:rsid w:val="00FC5C0D"/>
    <w:rsid w:val="00FC5EE7"/>
    <w:rsid w:val="00FC62C3"/>
    <w:rsid w:val="00FC63B0"/>
    <w:rsid w:val="00FC6429"/>
    <w:rsid w:val="00FC642D"/>
    <w:rsid w:val="00FC657B"/>
    <w:rsid w:val="00FC68B2"/>
    <w:rsid w:val="00FC6F91"/>
    <w:rsid w:val="00FC70A2"/>
    <w:rsid w:val="00FC72D8"/>
    <w:rsid w:val="00FC72EE"/>
    <w:rsid w:val="00FC73DD"/>
    <w:rsid w:val="00FC7678"/>
    <w:rsid w:val="00FC76BE"/>
    <w:rsid w:val="00FC7796"/>
    <w:rsid w:val="00FC7B34"/>
    <w:rsid w:val="00FC7BB3"/>
    <w:rsid w:val="00FC7BCE"/>
    <w:rsid w:val="00FC7CCD"/>
    <w:rsid w:val="00FC7CF9"/>
    <w:rsid w:val="00FC7DC5"/>
    <w:rsid w:val="00FD0000"/>
    <w:rsid w:val="00FD0605"/>
    <w:rsid w:val="00FD0625"/>
    <w:rsid w:val="00FD075C"/>
    <w:rsid w:val="00FD07A1"/>
    <w:rsid w:val="00FD0991"/>
    <w:rsid w:val="00FD0D1E"/>
    <w:rsid w:val="00FD11D9"/>
    <w:rsid w:val="00FD1410"/>
    <w:rsid w:val="00FD153D"/>
    <w:rsid w:val="00FD159A"/>
    <w:rsid w:val="00FD187C"/>
    <w:rsid w:val="00FD1AD6"/>
    <w:rsid w:val="00FD1DDD"/>
    <w:rsid w:val="00FD1F57"/>
    <w:rsid w:val="00FD1F70"/>
    <w:rsid w:val="00FD201D"/>
    <w:rsid w:val="00FD205C"/>
    <w:rsid w:val="00FD2135"/>
    <w:rsid w:val="00FD2479"/>
    <w:rsid w:val="00FD2747"/>
    <w:rsid w:val="00FD2ABF"/>
    <w:rsid w:val="00FD2CD1"/>
    <w:rsid w:val="00FD2CEC"/>
    <w:rsid w:val="00FD32B7"/>
    <w:rsid w:val="00FD34F4"/>
    <w:rsid w:val="00FD35E6"/>
    <w:rsid w:val="00FD35EC"/>
    <w:rsid w:val="00FD3A62"/>
    <w:rsid w:val="00FD3ABA"/>
    <w:rsid w:val="00FD3AE9"/>
    <w:rsid w:val="00FD3C2D"/>
    <w:rsid w:val="00FD3C47"/>
    <w:rsid w:val="00FD3CF5"/>
    <w:rsid w:val="00FD3E54"/>
    <w:rsid w:val="00FD3EDA"/>
    <w:rsid w:val="00FD40D9"/>
    <w:rsid w:val="00FD43BD"/>
    <w:rsid w:val="00FD4C61"/>
    <w:rsid w:val="00FD4CFE"/>
    <w:rsid w:val="00FD5060"/>
    <w:rsid w:val="00FD53AC"/>
    <w:rsid w:val="00FD548B"/>
    <w:rsid w:val="00FD59B5"/>
    <w:rsid w:val="00FD6033"/>
    <w:rsid w:val="00FD607F"/>
    <w:rsid w:val="00FD60B2"/>
    <w:rsid w:val="00FD6347"/>
    <w:rsid w:val="00FD64B5"/>
    <w:rsid w:val="00FD67FA"/>
    <w:rsid w:val="00FD7BD4"/>
    <w:rsid w:val="00FD7E62"/>
    <w:rsid w:val="00FD7F2F"/>
    <w:rsid w:val="00FE0462"/>
    <w:rsid w:val="00FE059B"/>
    <w:rsid w:val="00FE06E2"/>
    <w:rsid w:val="00FE096F"/>
    <w:rsid w:val="00FE0B49"/>
    <w:rsid w:val="00FE0B58"/>
    <w:rsid w:val="00FE0DE7"/>
    <w:rsid w:val="00FE0ED5"/>
    <w:rsid w:val="00FE0F76"/>
    <w:rsid w:val="00FE115E"/>
    <w:rsid w:val="00FE1437"/>
    <w:rsid w:val="00FE1ABF"/>
    <w:rsid w:val="00FE1E10"/>
    <w:rsid w:val="00FE1E6A"/>
    <w:rsid w:val="00FE1E8B"/>
    <w:rsid w:val="00FE1FC7"/>
    <w:rsid w:val="00FE205C"/>
    <w:rsid w:val="00FE205D"/>
    <w:rsid w:val="00FE208B"/>
    <w:rsid w:val="00FE234D"/>
    <w:rsid w:val="00FE25C6"/>
    <w:rsid w:val="00FE275B"/>
    <w:rsid w:val="00FE2AC4"/>
    <w:rsid w:val="00FE2E2E"/>
    <w:rsid w:val="00FE2E41"/>
    <w:rsid w:val="00FE33D4"/>
    <w:rsid w:val="00FE34A9"/>
    <w:rsid w:val="00FE384F"/>
    <w:rsid w:val="00FE3966"/>
    <w:rsid w:val="00FE39F3"/>
    <w:rsid w:val="00FE3DCC"/>
    <w:rsid w:val="00FE3EA8"/>
    <w:rsid w:val="00FE3FE2"/>
    <w:rsid w:val="00FE4258"/>
    <w:rsid w:val="00FE4407"/>
    <w:rsid w:val="00FE46D0"/>
    <w:rsid w:val="00FE4803"/>
    <w:rsid w:val="00FE4956"/>
    <w:rsid w:val="00FE4973"/>
    <w:rsid w:val="00FE4BC5"/>
    <w:rsid w:val="00FE4C97"/>
    <w:rsid w:val="00FE4E99"/>
    <w:rsid w:val="00FE4F3C"/>
    <w:rsid w:val="00FE4F71"/>
    <w:rsid w:val="00FE5092"/>
    <w:rsid w:val="00FE517D"/>
    <w:rsid w:val="00FE52CB"/>
    <w:rsid w:val="00FE5854"/>
    <w:rsid w:val="00FE5B08"/>
    <w:rsid w:val="00FE601A"/>
    <w:rsid w:val="00FE6390"/>
    <w:rsid w:val="00FE63F0"/>
    <w:rsid w:val="00FE6886"/>
    <w:rsid w:val="00FE68B7"/>
    <w:rsid w:val="00FE6A57"/>
    <w:rsid w:val="00FE6D6E"/>
    <w:rsid w:val="00FE6EB7"/>
    <w:rsid w:val="00FE729E"/>
    <w:rsid w:val="00FE72E7"/>
    <w:rsid w:val="00FE73F3"/>
    <w:rsid w:val="00FE767E"/>
    <w:rsid w:val="00FE769F"/>
    <w:rsid w:val="00FE79DC"/>
    <w:rsid w:val="00FE7C64"/>
    <w:rsid w:val="00FE7DC4"/>
    <w:rsid w:val="00FE7E24"/>
    <w:rsid w:val="00FF0146"/>
    <w:rsid w:val="00FF02F0"/>
    <w:rsid w:val="00FF06AD"/>
    <w:rsid w:val="00FF0846"/>
    <w:rsid w:val="00FF08A4"/>
    <w:rsid w:val="00FF0949"/>
    <w:rsid w:val="00FF0C00"/>
    <w:rsid w:val="00FF0C8B"/>
    <w:rsid w:val="00FF0DA0"/>
    <w:rsid w:val="00FF0FF4"/>
    <w:rsid w:val="00FF109F"/>
    <w:rsid w:val="00FF140C"/>
    <w:rsid w:val="00FF164C"/>
    <w:rsid w:val="00FF169A"/>
    <w:rsid w:val="00FF1A0A"/>
    <w:rsid w:val="00FF1B23"/>
    <w:rsid w:val="00FF1D1C"/>
    <w:rsid w:val="00FF1DFF"/>
    <w:rsid w:val="00FF2054"/>
    <w:rsid w:val="00FF216B"/>
    <w:rsid w:val="00FF2379"/>
    <w:rsid w:val="00FF2444"/>
    <w:rsid w:val="00FF2665"/>
    <w:rsid w:val="00FF2A27"/>
    <w:rsid w:val="00FF2D6B"/>
    <w:rsid w:val="00FF2E65"/>
    <w:rsid w:val="00FF2E7D"/>
    <w:rsid w:val="00FF320D"/>
    <w:rsid w:val="00FF325B"/>
    <w:rsid w:val="00FF36CC"/>
    <w:rsid w:val="00FF3868"/>
    <w:rsid w:val="00FF38A0"/>
    <w:rsid w:val="00FF38A6"/>
    <w:rsid w:val="00FF396E"/>
    <w:rsid w:val="00FF3A09"/>
    <w:rsid w:val="00FF436A"/>
    <w:rsid w:val="00FF44CC"/>
    <w:rsid w:val="00FF50C5"/>
    <w:rsid w:val="00FF5167"/>
    <w:rsid w:val="00FF51EA"/>
    <w:rsid w:val="00FF55BC"/>
    <w:rsid w:val="00FF5664"/>
    <w:rsid w:val="00FF56BD"/>
    <w:rsid w:val="00FF5814"/>
    <w:rsid w:val="00FF661F"/>
    <w:rsid w:val="00FF6641"/>
    <w:rsid w:val="00FF6891"/>
    <w:rsid w:val="00FF6C80"/>
    <w:rsid w:val="00FF7041"/>
    <w:rsid w:val="00FF7123"/>
    <w:rsid w:val="00FF7380"/>
    <w:rsid w:val="00FF7477"/>
    <w:rsid w:val="00FF75E6"/>
    <w:rsid w:val="00FF76E9"/>
    <w:rsid w:val="00FF799B"/>
    <w:rsid w:val="00FF7A83"/>
    <w:rsid w:val="00FF7B32"/>
    <w:rsid w:val="00FF7C0C"/>
    <w:rsid w:val="00FF7C39"/>
    <w:rsid w:val="00FF7E12"/>
    <w:rsid w:val="00FF7E8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36802">
      <o:colormenu v:ext="edit" fillcolor="none" strokecolor="none [1]" shadowcolor="none [2]"/>
    </o:shapedefaults>
    <o:shapelayout v:ext="edit">
      <o:idmap v:ext="edit" data="1,392,621,153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126D4"/>
    <w:pPr>
      <w:tabs>
        <w:tab w:val="left" w:pos="397"/>
        <w:tab w:val="left" w:pos="567"/>
        <w:tab w:val="left" w:pos="851"/>
        <w:tab w:val="left" w:pos="1134"/>
        <w:tab w:val="left" w:pos="1418"/>
      </w:tabs>
      <w:ind w:firstLine="397"/>
      <w:jc w:val="both"/>
    </w:pPr>
    <w:rPr>
      <w:rFonts w:ascii="OrigGarmnd BT" w:eastAsia="Lucida Sans Unicode" w:hAnsi="OrigGarmnd BT" w:cs="Tahoma"/>
      <w:szCs w:val="24"/>
    </w:rPr>
  </w:style>
  <w:style w:type="paragraph" w:styleId="berschrift1">
    <w:name w:val="heading 1"/>
    <w:basedOn w:val="Standard"/>
    <w:next w:val="Standard"/>
    <w:qFormat/>
    <w:rsid w:val="007F4805"/>
    <w:pPr>
      <w:keepNext/>
      <w:spacing w:before="240"/>
      <w:outlineLvl w:val="0"/>
    </w:pPr>
    <w:rPr>
      <w:rFonts w:ascii="Arial" w:hAnsi="Arial" w:cs="Arial"/>
      <w:b/>
      <w:bCs/>
      <w:kern w:val="32"/>
      <w:sz w:val="32"/>
      <w:szCs w:val="32"/>
    </w:rPr>
  </w:style>
  <w:style w:type="paragraph" w:styleId="berschrift2">
    <w:name w:val="heading 2"/>
    <w:basedOn w:val="Standard"/>
    <w:next w:val="Standard"/>
    <w:qFormat/>
    <w:rsid w:val="007F4805"/>
    <w:pPr>
      <w:keepNext/>
      <w:spacing w:before="240"/>
      <w:outlineLvl w:val="1"/>
    </w:pPr>
    <w:rPr>
      <w:rFonts w:ascii="Arial" w:hAnsi="Arial" w:cs="Arial"/>
      <w:b/>
      <w:bCs/>
      <w:i/>
      <w:iCs/>
      <w:sz w:val="28"/>
      <w:szCs w:val="28"/>
    </w:rPr>
  </w:style>
  <w:style w:type="paragraph" w:styleId="berschrift3">
    <w:name w:val="heading 3"/>
    <w:basedOn w:val="Standard"/>
    <w:next w:val="Standard"/>
    <w:qFormat/>
    <w:rsid w:val="007F4805"/>
    <w:pPr>
      <w:keepNext/>
      <w:spacing w:before="240"/>
      <w:outlineLvl w:val="2"/>
    </w:pPr>
    <w:rPr>
      <w:rFonts w:ascii="Arial" w:hAnsi="Arial" w:cs="Arial"/>
      <w:b/>
      <w:bCs/>
      <w:sz w:val="26"/>
      <w:szCs w:val="26"/>
    </w:rPr>
  </w:style>
  <w:style w:type="paragraph" w:styleId="berschrift4">
    <w:name w:val="heading 4"/>
    <w:basedOn w:val="Standard"/>
    <w:next w:val="Standard"/>
    <w:qFormat/>
    <w:rsid w:val="007F4805"/>
    <w:pPr>
      <w:keepNext/>
      <w:spacing w:before="240"/>
      <w:outlineLvl w:val="3"/>
    </w:pPr>
    <w:rPr>
      <w:rFonts w:cs="Times New Roman"/>
      <w:b/>
      <w:bCs/>
      <w:sz w:val="28"/>
      <w:szCs w:val="28"/>
    </w:rPr>
  </w:style>
  <w:style w:type="paragraph" w:styleId="berschrift5">
    <w:name w:val="heading 5"/>
    <w:basedOn w:val="Standard"/>
    <w:next w:val="Standard"/>
    <w:qFormat/>
    <w:rsid w:val="007F4805"/>
    <w:pPr>
      <w:spacing w:before="240"/>
      <w:outlineLvl w:val="4"/>
    </w:pPr>
    <w:rPr>
      <w:b/>
      <w:bCs/>
      <w:i/>
      <w:iCs/>
      <w:sz w:val="26"/>
      <w:szCs w:val="26"/>
    </w:rPr>
  </w:style>
  <w:style w:type="paragraph" w:styleId="berschrift6">
    <w:name w:val="heading 6"/>
    <w:basedOn w:val="Standard"/>
    <w:next w:val="Standard"/>
    <w:qFormat/>
    <w:rsid w:val="007F4805"/>
    <w:pPr>
      <w:spacing w:before="240"/>
      <w:outlineLvl w:val="5"/>
    </w:pPr>
    <w:rPr>
      <w:rFonts w:cs="Times New Roman"/>
      <w:b/>
      <w:bCs/>
      <w:sz w:val="22"/>
      <w:szCs w:val="22"/>
    </w:rPr>
  </w:style>
  <w:style w:type="paragraph" w:styleId="berschrift7">
    <w:name w:val="heading 7"/>
    <w:basedOn w:val="Standard"/>
    <w:next w:val="Standard"/>
    <w:link w:val="berschrift7Zchn"/>
    <w:unhideWhenUsed/>
    <w:qFormat/>
    <w:rsid w:val="00E13E9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rsid w:val="007F4805"/>
    <w:rPr>
      <w:vertAlign w:val="superscript"/>
    </w:rPr>
  </w:style>
  <w:style w:type="character" w:styleId="Endnotenzeichen">
    <w:name w:val="endnote reference"/>
    <w:semiHidden/>
    <w:rsid w:val="007F4805"/>
  </w:style>
  <w:style w:type="paragraph" w:styleId="Textkrper">
    <w:name w:val="Body Text"/>
    <w:basedOn w:val="Standard"/>
    <w:rsid w:val="007F4805"/>
    <w:pPr>
      <w:spacing w:after="120"/>
    </w:pPr>
  </w:style>
  <w:style w:type="paragraph" w:customStyle="1" w:styleId="berschrift">
    <w:name w:val="Überschrift"/>
    <w:basedOn w:val="Standard"/>
    <w:next w:val="Textkrper"/>
    <w:rsid w:val="007F4805"/>
    <w:pPr>
      <w:keepNext/>
      <w:spacing w:before="240" w:after="120"/>
    </w:pPr>
    <w:rPr>
      <w:rFonts w:ascii="Arial" w:hAnsi="Arial"/>
      <w:sz w:val="28"/>
      <w:szCs w:val="28"/>
    </w:rPr>
  </w:style>
  <w:style w:type="paragraph" w:styleId="Liste">
    <w:name w:val="List"/>
    <w:basedOn w:val="Textkrper"/>
    <w:rsid w:val="007F4805"/>
  </w:style>
  <w:style w:type="paragraph" w:styleId="Fuzeile">
    <w:name w:val="footer"/>
    <w:basedOn w:val="Standard"/>
    <w:link w:val="FuzeileZchn"/>
    <w:uiPriority w:val="99"/>
    <w:rsid w:val="007F4805"/>
    <w:pPr>
      <w:suppressLineNumbers/>
      <w:tabs>
        <w:tab w:val="center" w:pos="4818"/>
        <w:tab w:val="right" w:pos="9637"/>
      </w:tabs>
    </w:pPr>
  </w:style>
  <w:style w:type="paragraph" w:customStyle="1" w:styleId="TabellenInhalt">
    <w:name w:val="Tabellen Inhalt"/>
    <w:basedOn w:val="Textkrper"/>
    <w:rsid w:val="007F4805"/>
    <w:pPr>
      <w:suppressLineNumbers/>
    </w:pPr>
  </w:style>
  <w:style w:type="paragraph" w:customStyle="1" w:styleId="Tabellenberschrift">
    <w:name w:val="Tabellen Überschrift"/>
    <w:basedOn w:val="TabellenInhalt"/>
    <w:rsid w:val="007F4805"/>
    <w:pPr>
      <w:jc w:val="center"/>
    </w:pPr>
    <w:rPr>
      <w:b/>
      <w:bCs/>
      <w:i/>
      <w:iCs/>
    </w:rPr>
  </w:style>
  <w:style w:type="paragraph" w:styleId="Beschriftung">
    <w:name w:val="caption"/>
    <w:basedOn w:val="Standard"/>
    <w:qFormat/>
    <w:rsid w:val="004C3839"/>
    <w:pPr>
      <w:suppressLineNumbers/>
      <w:tabs>
        <w:tab w:val="clear" w:pos="567"/>
        <w:tab w:val="left" w:pos="680"/>
      </w:tabs>
      <w:spacing w:before="120" w:after="120"/>
      <w:ind w:firstLine="0"/>
    </w:pPr>
    <w:rPr>
      <w:iCs/>
      <w:sz w:val="18"/>
      <w:szCs w:val="20"/>
    </w:rPr>
  </w:style>
  <w:style w:type="paragraph" w:customStyle="1" w:styleId="Text">
    <w:name w:val="Text"/>
    <w:basedOn w:val="Standard"/>
    <w:rsid w:val="00D461CD"/>
    <w:pPr>
      <w:autoSpaceDE w:val="0"/>
    </w:pPr>
    <w:rPr>
      <w:color w:val="000000"/>
    </w:rPr>
  </w:style>
  <w:style w:type="paragraph" w:customStyle="1" w:styleId="Rahmeninhalt">
    <w:name w:val="Rahmeninhalt"/>
    <w:basedOn w:val="Textkrper"/>
    <w:rsid w:val="007F4805"/>
  </w:style>
  <w:style w:type="paragraph" w:styleId="Funotentext">
    <w:name w:val="footnote text"/>
    <w:basedOn w:val="Text"/>
    <w:next w:val="Text"/>
    <w:link w:val="FunotentextZchn"/>
    <w:semiHidden/>
    <w:rsid w:val="001126D4"/>
    <w:pPr>
      <w:tabs>
        <w:tab w:val="clear" w:pos="567"/>
        <w:tab w:val="clear" w:pos="851"/>
        <w:tab w:val="left" w:pos="737"/>
      </w:tabs>
      <w:ind w:left="397" w:hanging="397"/>
    </w:pPr>
    <w:rPr>
      <w:sz w:val="17"/>
      <w:szCs w:val="20"/>
    </w:rPr>
  </w:style>
  <w:style w:type="paragraph" w:customStyle="1" w:styleId="Verzeichnis">
    <w:name w:val="Verzeichnis"/>
    <w:basedOn w:val="Standard"/>
    <w:rsid w:val="007F4805"/>
    <w:pPr>
      <w:suppressLineNumbers/>
      <w:tabs>
        <w:tab w:val="right" w:pos="9639"/>
      </w:tabs>
    </w:pPr>
  </w:style>
  <w:style w:type="paragraph" w:customStyle="1" w:styleId="Inhaltsverzeichnisberschrift">
    <w:name w:val="Inhaltsverzeichnis Überschrift"/>
    <w:basedOn w:val="berschrift"/>
    <w:rsid w:val="007F4805"/>
    <w:pPr>
      <w:suppressLineNumbers/>
    </w:pPr>
    <w:rPr>
      <w:b/>
      <w:bCs/>
      <w:sz w:val="32"/>
      <w:szCs w:val="32"/>
    </w:rPr>
  </w:style>
  <w:style w:type="paragraph" w:styleId="Verzeichnis1">
    <w:name w:val="toc 1"/>
    <w:basedOn w:val="Verzeichnis"/>
    <w:uiPriority w:val="39"/>
    <w:qFormat/>
    <w:rsid w:val="005654BF"/>
    <w:pPr>
      <w:tabs>
        <w:tab w:val="clear" w:pos="567"/>
        <w:tab w:val="clear" w:pos="851"/>
        <w:tab w:val="clear" w:pos="1134"/>
        <w:tab w:val="clear" w:pos="1418"/>
        <w:tab w:val="clear" w:pos="9639"/>
        <w:tab w:val="right" w:pos="6804"/>
      </w:tabs>
      <w:spacing w:before="240" w:after="140"/>
      <w:ind w:firstLine="0"/>
      <w:jc w:val="left"/>
    </w:pPr>
    <w:rPr>
      <w:sz w:val="22"/>
    </w:rPr>
  </w:style>
  <w:style w:type="paragraph" w:styleId="Verzeichnis2">
    <w:name w:val="toc 2"/>
    <w:basedOn w:val="Verzeichnis"/>
    <w:uiPriority w:val="39"/>
    <w:qFormat/>
    <w:rsid w:val="00384A12"/>
    <w:pPr>
      <w:tabs>
        <w:tab w:val="clear" w:pos="851"/>
        <w:tab w:val="clear" w:pos="1134"/>
        <w:tab w:val="clear" w:pos="1418"/>
        <w:tab w:val="clear" w:pos="9639"/>
        <w:tab w:val="left" w:pos="765"/>
        <w:tab w:val="right" w:pos="6804"/>
        <w:tab w:val="right" w:pos="9923"/>
      </w:tabs>
      <w:spacing w:before="70" w:after="70"/>
      <w:ind w:left="765" w:hanging="425"/>
      <w:jc w:val="left"/>
    </w:pPr>
  </w:style>
  <w:style w:type="paragraph" w:styleId="Verzeichnis3">
    <w:name w:val="toc 3"/>
    <w:basedOn w:val="Verzeichnis"/>
    <w:uiPriority w:val="39"/>
    <w:qFormat/>
    <w:rsid w:val="005654BF"/>
    <w:pPr>
      <w:tabs>
        <w:tab w:val="clear" w:pos="851"/>
        <w:tab w:val="clear" w:pos="1134"/>
        <w:tab w:val="clear" w:pos="9639"/>
        <w:tab w:val="left" w:pos="765"/>
        <w:tab w:val="left" w:pos="1021"/>
        <w:tab w:val="left" w:pos="1304"/>
        <w:tab w:val="right" w:pos="6804"/>
        <w:tab w:val="right" w:pos="9752"/>
      </w:tabs>
      <w:spacing w:before="70" w:after="70"/>
      <w:ind w:left="1304" w:hanging="539"/>
      <w:jc w:val="left"/>
    </w:pPr>
  </w:style>
  <w:style w:type="paragraph" w:styleId="Verzeichnis4">
    <w:name w:val="toc 4"/>
    <w:basedOn w:val="Verzeichnis"/>
    <w:uiPriority w:val="39"/>
    <w:rsid w:val="005654BF"/>
    <w:pPr>
      <w:tabs>
        <w:tab w:val="clear" w:pos="9639"/>
        <w:tab w:val="right" w:pos="6804"/>
        <w:tab w:val="right" w:pos="9809"/>
      </w:tabs>
      <w:spacing w:before="70" w:after="70"/>
      <w:ind w:left="1984" w:hanging="680"/>
      <w:jc w:val="left"/>
    </w:pPr>
  </w:style>
  <w:style w:type="paragraph" w:styleId="Verzeichnis5">
    <w:name w:val="toc 5"/>
    <w:basedOn w:val="Verzeichnis"/>
    <w:uiPriority w:val="39"/>
    <w:rsid w:val="008A3F5A"/>
    <w:pPr>
      <w:tabs>
        <w:tab w:val="clear" w:pos="9639"/>
        <w:tab w:val="right" w:pos="6804"/>
        <w:tab w:val="right" w:leader="dot" w:pos="9867"/>
      </w:tabs>
      <w:spacing w:after="113"/>
      <w:ind w:left="1361" w:firstLine="0"/>
      <w:jc w:val="left"/>
    </w:pPr>
  </w:style>
  <w:style w:type="paragraph" w:styleId="Verzeichnis6">
    <w:name w:val="toc 6"/>
    <w:basedOn w:val="Verzeichnis"/>
    <w:uiPriority w:val="39"/>
    <w:rsid w:val="008A3F5A"/>
    <w:pPr>
      <w:tabs>
        <w:tab w:val="right" w:leader="dot" w:pos="9924"/>
      </w:tabs>
      <w:spacing w:after="113"/>
      <w:ind w:left="1701" w:firstLine="0"/>
      <w:jc w:val="left"/>
    </w:pPr>
  </w:style>
  <w:style w:type="paragraph" w:styleId="Verzeichnis7">
    <w:name w:val="toc 7"/>
    <w:basedOn w:val="Verzeichnis"/>
    <w:uiPriority w:val="39"/>
    <w:rsid w:val="008A3F5A"/>
    <w:pPr>
      <w:tabs>
        <w:tab w:val="clear" w:pos="9639"/>
        <w:tab w:val="right" w:leader="dot" w:pos="9638"/>
      </w:tabs>
      <w:spacing w:after="113"/>
      <w:ind w:left="1695" w:firstLine="0"/>
      <w:jc w:val="left"/>
    </w:pPr>
  </w:style>
  <w:style w:type="paragraph" w:styleId="Verzeichnis8">
    <w:name w:val="toc 8"/>
    <w:basedOn w:val="Verzeichnis"/>
    <w:uiPriority w:val="39"/>
    <w:rsid w:val="008A3F5A"/>
    <w:pPr>
      <w:tabs>
        <w:tab w:val="clear" w:pos="9639"/>
        <w:tab w:val="right" w:leader="dot" w:pos="9638"/>
      </w:tabs>
      <w:spacing w:after="113"/>
      <w:ind w:left="1979" w:firstLine="0"/>
      <w:jc w:val="left"/>
    </w:pPr>
  </w:style>
  <w:style w:type="paragraph" w:styleId="Verzeichnis9">
    <w:name w:val="toc 9"/>
    <w:basedOn w:val="Verzeichnis"/>
    <w:uiPriority w:val="39"/>
    <w:rsid w:val="008A3F5A"/>
    <w:pPr>
      <w:tabs>
        <w:tab w:val="clear" w:pos="9639"/>
        <w:tab w:val="right" w:leader="dot" w:pos="9638"/>
      </w:tabs>
      <w:spacing w:after="113"/>
      <w:ind w:left="2262" w:firstLine="0"/>
      <w:jc w:val="left"/>
    </w:pPr>
  </w:style>
  <w:style w:type="paragraph" w:customStyle="1" w:styleId="Inhaltsverzeichnis10">
    <w:name w:val="Inhaltsverzeichnis 10"/>
    <w:basedOn w:val="Verzeichnis"/>
    <w:rsid w:val="007F4805"/>
    <w:pPr>
      <w:tabs>
        <w:tab w:val="clear" w:pos="9639"/>
        <w:tab w:val="right" w:leader="dot" w:pos="9638"/>
      </w:tabs>
      <w:spacing w:after="113"/>
      <w:ind w:left="2547"/>
    </w:pPr>
  </w:style>
  <w:style w:type="paragraph" w:styleId="Titel">
    <w:name w:val="Title"/>
    <w:basedOn w:val="TitelohneNummer"/>
    <w:next w:val="Titel2"/>
    <w:qFormat/>
    <w:rsid w:val="00A40306"/>
    <w:pPr>
      <w:numPr>
        <w:numId w:val="1"/>
      </w:numPr>
      <w:suppressAutoHyphens/>
      <w:spacing w:before="800"/>
      <w:ind w:left="431" w:hanging="431"/>
    </w:pPr>
  </w:style>
  <w:style w:type="paragraph" w:customStyle="1" w:styleId="Titel2">
    <w:name w:val="Titel 2"/>
    <w:basedOn w:val="Text"/>
    <w:next w:val="Text"/>
    <w:rsid w:val="00A40306"/>
    <w:pPr>
      <w:keepNext/>
      <w:keepLines/>
      <w:numPr>
        <w:ilvl w:val="1"/>
        <w:numId w:val="1"/>
      </w:numPr>
      <w:tabs>
        <w:tab w:val="clear" w:pos="397"/>
        <w:tab w:val="clear" w:pos="567"/>
        <w:tab w:val="clear" w:pos="851"/>
        <w:tab w:val="clear" w:pos="1427"/>
        <w:tab w:val="left" w:pos="624"/>
        <w:tab w:val="left" w:pos="1418"/>
      </w:tabs>
      <w:suppressAutoHyphens/>
      <w:spacing w:before="400" w:after="240"/>
      <w:ind w:left="624" w:hanging="624"/>
      <w:jc w:val="left"/>
      <w:outlineLvl w:val="1"/>
    </w:pPr>
    <w:rPr>
      <w:iCs/>
      <w:sz w:val="29"/>
      <w:szCs w:val="30"/>
    </w:rPr>
  </w:style>
  <w:style w:type="paragraph" w:styleId="Untertitel">
    <w:name w:val="Subtitle"/>
    <w:basedOn w:val="berschrift"/>
    <w:next w:val="Textkrper"/>
    <w:qFormat/>
    <w:rsid w:val="007F4805"/>
    <w:pPr>
      <w:jc w:val="center"/>
    </w:pPr>
    <w:rPr>
      <w:i/>
      <w:iCs/>
    </w:rPr>
  </w:style>
  <w:style w:type="paragraph" w:customStyle="1" w:styleId="Zitat">
    <w:name w:val="Zitat"/>
    <w:basedOn w:val="Text"/>
    <w:next w:val="Text"/>
    <w:rsid w:val="00F1290F"/>
    <w:pPr>
      <w:spacing w:before="180" w:after="180"/>
      <w:ind w:left="397" w:right="397" w:firstLine="0"/>
    </w:pPr>
    <w:rPr>
      <w:sz w:val="18"/>
    </w:rPr>
  </w:style>
  <w:style w:type="paragraph" w:customStyle="1" w:styleId="TextAbstand">
    <w:name w:val="Text Abstand"/>
    <w:basedOn w:val="Text"/>
    <w:next w:val="Text"/>
    <w:rsid w:val="007F4805"/>
    <w:pPr>
      <w:spacing w:after="283"/>
    </w:pPr>
  </w:style>
  <w:style w:type="paragraph" w:customStyle="1" w:styleId="Markierung-">
    <w:name w:val="Markierung -"/>
    <w:basedOn w:val="Text"/>
    <w:next w:val="Text"/>
    <w:rsid w:val="007F4805"/>
    <w:pPr>
      <w:spacing w:after="56"/>
      <w:ind w:left="432"/>
    </w:pPr>
  </w:style>
  <w:style w:type="paragraph" w:customStyle="1" w:styleId="Listeabcd">
    <w:name w:val="Liste abcd"/>
    <w:basedOn w:val="Text"/>
    <w:next w:val="Text"/>
    <w:rsid w:val="007F4805"/>
    <w:pPr>
      <w:spacing w:after="56"/>
      <w:ind w:left="432"/>
    </w:pPr>
  </w:style>
  <w:style w:type="paragraph" w:customStyle="1" w:styleId="NrListe">
    <w:name w:val="Nr. Liste"/>
    <w:basedOn w:val="Text"/>
    <w:rsid w:val="007F4805"/>
    <w:pPr>
      <w:numPr>
        <w:numId w:val="2"/>
      </w:numPr>
      <w:tabs>
        <w:tab w:val="left" w:pos="357"/>
      </w:tabs>
      <w:ind w:left="357" w:hanging="357"/>
    </w:pPr>
  </w:style>
  <w:style w:type="paragraph" w:customStyle="1" w:styleId="UnterTitel0">
    <w:name w:val="Unter Titel"/>
    <w:basedOn w:val="Text"/>
    <w:next w:val="Titel2"/>
    <w:rsid w:val="007F4805"/>
    <w:pPr>
      <w:keepNext/>
      <w:keepLines/>
      <w:spacing w:before="288" w:after="172"/>
      <w:jc w:val="center"/>
    </w:pPr>
    <w:rPr>
      <w:rFonts w:ascii="Swis721 BdRnd BT" w:eastAsia="Swis721 BdRnd BT" w:hAnsi="Swis721 BdRnd BT" w:cs="Swis721 BdRnd BT"/>
      <w:sz w:val="32"/>
      <w:szCs w:val="32"/>
    </w:rPr>
  </w:style>
  <w:style w:type="paragraph" w:customStyle="1" w:styleId="Titel3">
    <w:name w:val="Titel 3"/>
    <w:basedOn w:val="Text"/>
    <w:next w:val="Text"/>
    <w:rsid w:val="007F443B"/>
    <w:pPr>
      <w:keepNext/>
      <w:keepLines/>
      <w:numPr>
        <w:ilvl w:val="2"/>
        <w:numId w:val="1"/>
      </w:numPr>
      <w:tabs>
        <w:tab w:val="clear" w:pos="397"/>
        <w:tab w:val="clear" w:pos="567"/>
        <w:tab w:val="clear" w:pos="720"/>
        <w:tab w:val="left" w:pos="737"/>
      </w:tabs>
      <w:suppressAutoHyphens/>
      <w:spacing w:before="360" w:after="240"/>
      <w:ind w:left="737" w:hanging="737"/>
      <w:jc w:val="left"/>
      <w:outlineLvl w:val="2"/>
    </w:pPr>
    <w:rPr>
      <w:i/>
      <w:iCs/>
      <w:sz w:val="26"/>
      <w:szCs w:val="26"/>
    </w:rPr>
  </w:style>
  <w:style w:type="paragraph" w:styleId="Datum">
    <w:name w:val="Date"/>
    <w:basedOn w:val="Standard"/>
    <w:next w:val="Standard"/>
    <w:rsid w:val="007F4805"/>
  </w:style>
  <w:style w:type="paragraph" w:customStyle="1" w:styleId="Markierung">
    <w:name w:val="Markierung"/>
    <w:basedOn w:val="Text"/>
    <w:next w:val="Text"/>
    <w:rsid w:val="007F4805"/>
    <w:pPr>
      <w:spacing w:after="56"/>
      <w:ind w:firstLine="288"/>
    </w:pPr>
  </w:style>
  <w:style w:type="paragraph" w:customStyle="1" w:styleId="Markierung1">
    <w:name w:val="Markierung 1"/>
    <w:basedOn w:val="Text"/>
    <w:next w:val="Text"/>
    <w:rsid w:val="007F4805"/>
    <w:pPr>
      <w:spacing w:after="56"/>
      <w:ind w:firstLine="432"/>
    </w:pPr>
  </w:style>
  <w:style w:type="paragraph" w:customStyle="1" w:styleId="spintrotext">
    <w:name w:val="spintrotext"/>
    <w:basedOn w:val="Standard"/>
    <w:rsid w:val="007F4805"/>
    <w:pPr>
      <w:tabs>
        <w:tab w:val="clear" w:pos="567"/>
        <w:tab w:val="clear" w:pos="851"/>
        <w:tab w:val="clear" w:pos="1134"/>
        <w:tab w:val="clear" w:pos="1418"/>
      </w:tabs>
      <w:spacing w:before="100" w:beforeAutospacing="1" w:afterAutospacing="1"/>
    </w:pPr>
    <w:rPr>
      <w:rFonts w:ascii="Arial Unicode MS" w:eastAsia="Arial Unicode MS" w:hAnsi="Arial Unicode MS" w:cs="Arial Unicode MS"/>
    </w:rPr>
  </w:style>
  <w:style w:type="paragraph" w:styleId="Abbildungsverzeichnis">
    <w:name w:val="table of figures"/>
    <w:basedOn w:val="Standard"/>
    <w:next w:val="Standard"/>
    <w:uiPriority w:val="99"/>
    <w:rsid w:val="005C5111"/>
    <w:pPr>
      <w:tabs>
        <w:tab w:val="clear" w:pos="567"/>
        <w:tab w:val="clear" w:pos="851"/>
        <w:tab w:val="clear" w:pos="1134"/>
        <w:tab w:val="clear" w:pos="1418"/>
        <w:tab w:val="left" w:pos="794"/>
        <w:tab w:val="right" w:pos="6804"/>
        <w:tab w:val="left" w:pos="9923"/>
      </w:tabs>
      <w:spacing w:before="180" w:after="180"/>
      <w:ind w:left="482" w:hanging="482"/>
    </w:pPr>
  </w:style>
  <w:style w:type="paragraph" w:customStyle="1" w:styleId="KopfFulink">
    <w:name w:val="Kopf/Fuß link"/>
    <w:basedOn w:val="Text"/>
    <w:next w:val="KopfFumitt"/>
    <w:rsid w:val="007F4805"/>
    <w:pPr>
      <w:jc w:val="left"/>
    </w:pPr>
    <w:rPr>
      <w:rFonts w:ascii="E Galaxy" w:eastAsia="E Galaxy" w:hAnsi="E Galaxy" w:cs="E Galaxy"/>
      <w:sz w:val="22"/>
      <w:szCs w:val="22"/>
    </w:rPr>
  </w:style>
  <w:style w:type="paragraph" w:customStyle="1" w:styleId="KopfFumitt">
    <w:name w:val="Kopf/Fuß mitt"/>
    <w:basedOn w:val="Text"/>
    <w:next w:val="KopfFurech"/>
    <w:rsid w:val="007F4805"/>
    <w:pPr>
      <w:jc w:val="center"/>
    </w:pPr>
    <w:rPr>
      <w:rFonts w:ascii="E Galaxy" w:eastAsia="E Galaxy" w:hAnsi="E Galaxy" w:cs="E Galaxy"/>
      <w:sz w:val="22"/>
      <w:szCs w:val="22"/>
    </w:rPr>
  </w:style>
  <w:style w:type="paragraph" w:customStyle="1" w:styleId="KopfFurech">
    <w:name w:val="Kopf/Fuß rech"/>
    <w:basedOn w:val="Text"/>
    <w:next w:val="Text"/>
    <w:rsid w:val="007F4805"/>
    <w:pPr>
      <w:jc w:val="right"/>
    </w:pPr>
    <w:rPr>
      <w:rFonts w:ascii="E Galaxy" w:eastAsia="E Galaxy" w:hAnsi="E Galaxy" w:cs="E Galaxy"/>
      <w:sz w:val="22"/>
      <w:szCs w:val="22"/>
    </w:rPr>
  </w:style>
  <w:style w:type="paragraph" w:customStyle="1" w:styleId="TAbsteinf">
    <w:name w:val="T.Abst.einf."/>
    <w:basedOn w:val="Text"/>
    <w:next w:val="Text"/>
    <w:rsid w:val="007F4805"/>
    <w:pPr>
      <w:spacing w:after="283"/>
    </w:pPr>
  </w:style>
  <w:style w:type="paragraph" w:customStyle="1" w:styleId="Bildtitel">
    <w:name w:val="Bildtitel"/>
    <w:basedOn w:val="Text"/>
    <w:next w:val="Text"/>
    <w:rsid w:val="007F4805"/>
    <w:pPr>
      <w:jc w:val="left"/>
    </w:pPr>
    <w:rPr>
      <w:rFonts w:ascii="Arial MT" w:eastAsia="Arial MT" w:hAnsi="Arial MT" w:cs="Arial MT"/>
      <w:i/>
      <w:iCs/>
      <w:sz w:val="22"/>
      <w:szCs w:val="22"/>
    </w:rPr>
  </w:style>
  <w:style w:type="paragraph" w:customStyle="1" w:styleId="Spezial">
    <w:name w:val="Spezial"/>
    <w:basedOn w:val="Text"/>
    <w:next w:val="Text"/>
    <w:rsid w:val="007F4805"/>
    <w:pPr>
      <w:ind w:left="360" w:right="360"/>
      <w:jc w:val="center"/>
    </w:pPr>
    <w:rPr>
      <w:rFonts w:ascii="E Galaxy" w:eastAsia="E Galaxy" w:hAnsi="E Galaxy" w:cs="E Galaxy"/>
      <w:sz w:val="32"/>
      <w:szCs w:val="32"/>
    </w:rPr>
  </w:style>
  <w:style w:type="paragraph" w:customStyle="1" w:styleId="Future">
    <w:name w:val="Future"/>
    <w:basedOn w:val="Text"/>
    <w:next w:val="Text"/>
    <w:rsid w:val="007F4805"/>
    <w:pPr>
      <w:spacing w:before="216" w:after="216"/>
      <w:jc w:val="right"/>
    </w:pPr>
    <w:rPr>
      <w:rFonts w:ascii="E Future" w:eastAsia="E Future" w:hAnsi="E Future" w:cs="E Future"/>
      <w:sz w:val="48"/>
      <w:szCs w:val="48"/>
    </w:rPr>
  </w:style>
  <w:style w:type="paragraph" w:customStyle="1" w:styleId="Lebenslauf">
    <w:name w:val="Lebenslauf"/>
    <w:basedOn w:val="Text"/>
    <w:next w:val="Text"/>
    <w:rsid w:val="007F4805"/>
    <w:pPr>
      <w:spacing w:after="56"/>
      <w:ind w:left="1036" w:hanging="1036"/>
      <w:jc w:val="left"/>
    </w:pPr>
  </w:style>
  <w:style w:type="paragraph" w:customStyle="1" w:styleId="Lebenslauf2">
    <w:name w:val="Lebenslauf 2"/>
    <w:basedOn w:val="Text"/>
    <w:next w:val="Text"/>
    <w:rsid w:val="007F4805"/>
    <w:pPr>
      <w:spacing w:after="56"/>
      <w:ind w:left="2073" w:hanging="2073"/>
      <w:jc w:val="left"/>
    </w:pPr>
  </w:style>
  <w:style w:type="paragraph" w:customStyle="1" w:styleId="TitelohneNummer">
    <w:name w:val="Titel ohne Nummer"/>
    <w:basedOn w:val="Text"/>
    <w:next w:val="Text"/>
    <w:rsid w:val="000B67C5"/>
    <w:pPr>
      <w:keepNext/>
      <w:keepLines/>
      <w:spacing w:before="600" w:after="480"/>
      <w:ind w:firstLine="0"/>
      <w:jc w:val="center"/>
      <w:outlineLvl w:val="0"/>
    </w:pPr>
    <w:rPr>
      <w:rFonts w:ascii="Arial" w:eastAsia="Swis721 BT" w:hAnsi="Arial" w:cs="Times New Roman"/>
      <w:sz w:val="32"/>
      <w:szCs w:val="32"/>
    </w:rPr>
  </w:style>
  <w:style w:type="paragraph" w:customStyle="1" w:styleId="ZitatAbsto">
    <w:name w:val="Zitat Abst.o."/>
    <w:basedOn w:val="Text"/>
    <w:next w:val="Text"/>
    <w:rsid w:val="00F1290F"/>
    <w:pPr>
      <w:spacing w:before="180"/>
      <w:ind w:left="397" w:right="397" w:firstLine="0"/>
    </w:pPr>
    <w:rPr>
      <w:sz w:val="18"/>
    </w:rPr>
  </w:style>
  <w:style w:type="paragraph" w:customStyle="1" w:styleId="ZitatAbstu">
    <w:name w:val="Zitat Abst.u."/>
    <w:basedOn w:val="Text"/>
    <w:next w:val="Text"/>
    <w:rsid w:val="00F1290F"/>
    <w:pPr>
      <w:spacing w:after="180"/>
      <w:ind w:left="397" w:right="397" w:firstLine="284"/>
    </w:pPr>
    <w:rPr>
      <w:sz w:val="18"/>
    </w:rPr>
  </w:style>
  <w:style w:type="paragraph" w:customStyle="1" w:styleId="Titel3oAbo">
    <w:name w:val="Titel 3o.Ab.o"/>
    <w:basedOn w:val="Text"/>
    <w:next w:val="Text"/>
    <w:rsid w:val="00BE0E5A"/>
    <w:pPr>
      <w:keepNext/>
      <w:keepLines/>
      <w:tabs>
        <w:tab w:val="clear" w:pos="397"/>
        <w:tab w:val="clear" w:pos="567"/>
        <w:tab w:val="left" w:pos="737"/>
      </w:tabs>
      <w:spacing w:after="240"/>
      <w:ind w:left="737" w:hanging="737"/>
      <w:jc w:val="left"/>
    </w:pPr>
    <w:rPr>
      <w:i/>
      <w:iCs/>
      <w:sz w:val="26"/>
      <w:szCs w:val="30"/>
    </w:rPr>
  </w:style>
  <w:style w:type="paragraph" w:customStyle="1" w:styleId="TabellenText">
    <w:name w:val="Tabellen Text"/>
    <w:basedOn w:val="Text"/>
    <w:next w:val="Text"/>
    <w:rsid w:val="007F4805"/>
    <w:pPr>
      <w:spacing w:before="170" w:after="170"/>
      <w:jc w:val="left"/>
    </w:pPr>
    <w:rPr>
      <w:sz w:val="26"/>
      <w:szCs w:val="26"/>
    </w:rPr>
  </w:style>
  <w:style w:type="paragraph" w:customStyle="1" w:styleId="Titelseite">
    <w:name w:val="Titelseite"/>
    <w:basedOn w:val="Text"/>
    <w:next w:val="Titel2"/>
    <w:rsid w:val="007A493B"/>
    <w:pPr>
      <w:keepNext/>
      <w:keepLines/>
      <w:spacing w:after="288"/>
      <w:jc w:val="center"/>
    </w:pPr>
    <w:rPr>
      <w:rFonts w:ascii="Arial" w:eastAsia="Swis721 BT" w:hAnsi="Arial" w:cs="Times New Roman"/>
      <w:sz w:val="32"/>
      <w:szCs w:val="32"/>
    </w:rPr>
  </w:style>
  <w:style w:type="paragraph" w:customStyle="1" w:styleId="TabTxtklein">
    <w:name w:val="Tab.Txt.klein"/>
    <w:basedOn w:val="Text"/>
    <w:next w:val="Text"/>
    <w:rsid w:val="007F4805"/>
    <w:pPr>
      <w:jc w:val="left"/>
    </w:pPr>
    <w:rPr>
      <w:i/>
      <w:iCs/>
    </w:rPr>
  </w:style>
  <w:style w:type="paragraph" w:customStyle="1" w:styleId="TabTklAbsu">
    <w:name w:val="TabT.kl.Abs.u"/>
    <w:basedOn w:val="Text"/>
    <w:next w:val="Text"/>
    <w:rsid w:val="007F4805"/>
    <w:pPr>
      <w:spacing w:after="56"/>
      <w:jc w:val="left"/>
    </w:pPr>
    <w:rPr>
      <w:i/>
      <w:iCs/>
    </w:rPr>
  </w:style>
  <w:style w:type="paragraph" w:customStyle="1" w:styleId="TabTklZahl">
    <w:name w:val="TabT.kl.Zahl"/>
    <w:basedOn w:val="Text"/>
    <w:next w:val="Text"/>
    <w:rsid w:val="007F4805"/>
  </w:style>
  <w:style w:type="paragraph" w:customStyle="1" w:styleId="TTklAbuZahl">
    <w:name w:val="TTkl.Abu.Zahl"/>
    <w:basedOn w:val="Text"/>
    <w:next w:val="Text"/>
    <w:rsid w:val="007F4805"/>
    <w:pPr>
      <w:spacing w:after="56"/>
    </w:pPr>
  </w:style>
  <w:style w:type="paragraph" w:customStyle="1" w:styleId="Titel4oAbo">
    <w:name w:val="Titel 4o.Ab.o"/>
    <w:basedOn w:val="Text"/>
    <w:next w:val="Text"/>
    <w:rsid w:val="007F4805"/>
    <w:pPr>
      <w:keepNext/>
      <w:keepLines/>
      <w:spacing w:after="144"/>
      <w:jc w:val="left"/>
    </w:pPr>
    <w:rPr>
      <w:i/>
      <w:iCs/>
      <w:sz w:val="26"/>
      <w:szCs w:val="26"/>
    </w:rPr>
  </w:style>
  <w:style w:type="paragraph" w:customStyle="1" w:styleId="Titel4">
    <w:name w:val="Titel 4"/>
    <w:basedOn w:val="Text"/>
    <w:next w:val="Text"/>
    <w:rsid w:val="007F443B"/>
    <w:pPr>
      <w:keepNext/>
      <w:keepLines/>
      <w:numPr>
        <w:ilvl w:val="3"/>
        <w:numId w:val="14"/>
      </w:numPr>
      <w:suppressAutoHyphens/>
      <w:spacing w:before="120" w:after="142"/>
      <w:ind w:left="862" w:hanging="862"/>
      <w:outlineLvl w:val="3"/>
    </w:pPr>
    <w:rPr>
      <w:i/>
      <w:iCs/>
      <w:sz w:val="26"/>
    </w:rPr>
  </w:style>
  <w:style w:type="paragraph" w:customStyle="1" w:styleId="Reisetabelle">
    <w:name w:val="Reisetabelle"/>
    <w:basedOn w:val="Text"/>
    <w:next w:val="Text"/>
    <w:rsid w:val="007F4805"/>
    <w:pPr>
      <w:spacing w:before="56" w:after="56"/>
      <w:jc w:val="left"/>
    </w:pPr>
    <w:rPr>
      <w:szCs w:val="20"/>
    </w:rPr>
  </w:style>
  <w:style w:type="paragraph" w:customStyle="1" w:styleId="Titel6">
    <w:name w:val="Titel 6"/>
    <w:basedOn w:val="Titel4"/>
    <w:next w:val="Text"/>
    <w:rsid w:val="007F443B"/>
    <w:pPr>
      <w:spacing w:before="170" w:after="113"/>
      <w:outlineLvl w:val="4"/>
    </w:pPr>
    <w:rPr>
      <w:sz w:val="24"/>
    </w:rPr>
  </w:style>
  <w:style w:type="character" w:styleId="Hyperlink">
    <w:name w:val="Hyperlink"/>
    <w:basedOn w:val="Absatz-Standardschriftart"/>
    <w:uiPriority w:val="99"/>
    <w:rsid w:val="007F4805"/>
    <w:rPr>
      <w:color w:val="0000FF"/>
      <w:u w:val="single"/>
    </w:rPr>
  </w:style>
  <w:style w:type="paragraph" w:styleId="StandardWeb">
    <w:name w:val="Normal (Web)"/>
    <w:basedOn w:val="Standard"/>
    <w:uiPriority w:val="99"/>
    <w:rsid w:val="007F4805"/>
    <w:rPr>
      <w:rFonts w:cs="Times New Roman"/>
    </w:rPr>
  </w:style>
  <w:style w:type="paragraph" w:styleId="Index1">
    <w:name w:val="index 1"/>
    <w:basedOn w:val="Standard"/>
    <w:next w:val="Standard"/>
    <w:autoRedefine/>
    <w:uiPriority w:val="99"/>
    <w:semiHidden/>
    <w:rsid w:val="0029451B"/>
    <w:pPr>
      <w:tabs>
        <w:tab w:val="right" w:pos="3032"/>
      </w:tabs>
      <w:ind w:left="240" w:hanging="240"/>
      <w:jc w:val="left"/>
    </w:pPr>
  </w:style>
  <w:style w:type="paragraph" w:customStyle="1" w:styleId="Titel5oAbo">
    <w:name w:val="Titel 5o.Ab.o"/>
    <w:basedOn w:val="Titel4"/>
    <w:rsid w:val="00DB2FC0"/>
    <w:pPr>
      <w:tabs>
        <w:tab w:val="clear" w:pos="397"/>
        <w:tab w:val="clear" w:pos="864"/>
        <w:tab w:val="left" w:pos="851"/>
      </w:tabs>
      <w:spacing w:before="0"/>
      <w:ind w:left="851" w:hanging="851"/>
    </w:pPr>
  </w:style>
  <w:style w:type="paragraph" w:customStyle="1" w:styleId="Titel6oAbo">
    <w:name w:val="Titel 6o.Ab.o"/>
    <w:basedOn w:val="Titel6"/>
    <w:rsid w:val="007F4805"/>
    <w:pPr>
      <w:spacing w:before="0"/>
    </w:pPr>
  </w:style>
  <w:style w:type="paragraph" w:customStyle="1" w:styleId="ZitatAufzhlung">
    <w:name w:val="Zitat Aufzählung"/>
    <w:basedOn w:val="Zitat"/>
    <w:rsid w:val="00F1290F"/>
    <w:pPr>
      <w:ind w:hanging="397"/>
    </w:pPr>
  </w:style>
  <w:style w:type="paragraph" w:customStyle="1" w:styleId="TextAufzhlung">
    <w:name w:val="Text Aufzählung"/>
    <w:basedOn w:val="Text"/>
    <w:rsid w:val="007F4805"/>
    <w:pPr>
      <w:ind w:left="454" w:hanging="454"/>
    </w:pPr>
  </w:style>
  <w:style w:type="character" w:styleId="BesuchterHyperlink">
    <w:name w:val="FollowedHyperlink"/>
    <w:basedOn w:val="Absatz-Standardschriftart"/>
    <w:rsid w:val="007F4805"/>
    <w:rPr>
      <w:color w:val="800080"/>
      <w:u w:val="single"/>
    </w:rPr>
  </w:style>
  <w:style w:type="paragraph" w:styleId="HTMLVorformatiert">
    <w:name w:val="HTML Preformatted"/>
    <w:basedOn w:val="Standard"/>
    <w:link w:val="HTMLVorformatiertZchn"/>
    <w:uiPriority w:val="99"/>
    <w:rsid w:val="007F4805"/>
    <w:pPr>
      <w:tabs>
        <w:tab w:val="clear" w:pos="567"/>
        <w:tab w:val="clear" w:pos="851"/>
        <w:tab w:val="clear" w:pos="1134"/>
        <w:tab w:val="clear" w:pos="141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inition">
    <w:name w:val="Definition"/>
    <w:basedOn w:val="Text"/>
    <w:rsid w:val="008628B0"/>
    <w:pPr>
      <w:tabs>
        <w:tab w:val="clear" w:pos="397"/>
        <w:tab w:val="clear" w:pos="567"/>
        <w:tab w:val="left" w:pos="680"/>
      </w:tabs>
      <w:spacing w:before="240" w:after="240"/>
      <w:ind w:left="680" w:hanging="680"/>
    </w:pPr>
  </w:style>
  <w:style w:type="character" w:styleId="Zeilennummer">
    <w:name w:val="line number"/>
    <w:basedOn w:val="Absatz-Standardschriftart"/>
    <w:rsid w:val="007F4805"/>
  </w:style>
  <w:style w:type="character" w:styleId="Hervorhebung">
    <w:name w:val="Emphasis"/>
    <w:basedOn w:val="Absatz-Standardschriftart"/>
    <w:uiPriority w:val="20"/>
    <w:qFormat/>
    <w:rsid w:val="007F4805"/>
    <w:rPr>
      <w:i/>
      <w:iCs/>
    </w:rPr>
  </w:style>
  <w:style w:type="paragraph" w:customStyle="1" w:styleId="TextmitZeilennummer">
    <w:name w:val="Text mit Zeilennummer"/>
    <w:basedOn w:val="Text"/>
    <w:rsid w:val="007F4805"/>
    <w:pPr>
      <w:ind w:hanging="567"/>
    </w:pPr>
  </w:style>
  <w:style w:type="paragraph" w:customStyle="1" w:styleId="Titel5">
    <w:name w:val="Titel 5"/>
    <w:basedOn w:val="Text"/>
    <w:next w:val="Text"/>
    <w:rsid w:val="007F443B"/>
    <w:pPr>
      <w:keepNext/>
      <w:keepLines/>
      <w:numPr>
        <w:ilvl w:val="3"/>
        <w:numId w:val="1"/>
      </w:numPr>
      <w:tabs>
        <w:tab w:val="clear" w:pos="397"/>
        <w:tab w:val="clear" w:pos="864"/>
        <w:tab w:val="num" w:pos="0"/>
        <w:tab w:val="left" w:pos="851"/>
      </w:tabs>
      <w:suppressAutoHyphens/>
      <w:spacing w:before="300" w:after="220"/>
      <w:ind w:left="851" w:hanging="851"/>
      <w:outlineLvl w:val="3"/>
    </w:pPr>
    <w:rPr>
      <w:i/>
      <w:iCs/>
      <w:sz w:val="23"/>
    </w:rPr>
  </w:style>
  <w:style w:type="paragraph" w:styleId="Sprechblasentext">
    <w:name w:val="Balloon Text"/>
    <w:basedOn w:val="Standard"/>
    <w:link w:val="SprechblasentextZchn"/>
    <w:rsid w:val="00D64C46"/>
    <w:rPr>
      <w:rFonts w:ascii="Tahoma" w:hAnsi="Tahoma"/>
      <w:sz w:val="16"/>
      <w:szCs w:val="16"/>
    </w:rPr>
  </w:style>
  <w:style w:type="character" w:customStyle="1" w:styleId="SprechblasentextZchn">
    <w:name w:val="Sprechblasentext Zchn"/>
    <w:basedOn w:val="Absatz-Standardschriftart"/>
    <w:link w:val="Sprechblasentext"/>
    <w:rsid w:val="00D64C46"/>
    <w:rPr>
      <w:rFonts w:ascii="Tahoma" w:eastAsia="Lucida Sans Unicode" w:hAnsi="Tahoma" w:cs="Tahoma"/>
      <w:sz w:val="16"/>
      <w:szCs w:val="16"/>
    </w:rPr>
  </w:style>
  <w:style w:type="paragraph" w:customStyle="1" w:styleId="ZitatMitte">
    <w:name w:val="Zitat Mitte"/>
    <w:basedOn w:val="Zitat"/>
    <w:qFormat/>
    <w:rsid w:val="00FA2CCC"/>
    <w:pPr>
      <w:spacing w:before="0" w:after="0"/>
      <w:ind w:firstLine="284"/>
    </w:pPr>
  </w:style>
  <w:style w:type="character" w:styleId="Platzhaltertext">
    <w:name w:val="Placeholder Text"/>
    <w:basedOn w:val="Absatz-Standardschriftart"/>
    <w:uiPriority w:val="99"/>
    <w:semiHidden/>
    <w:rsid w:val="00330FB8"/>
    <w:rPr>
      <w:color w:val="808080"/>
    </w:rPr>
  </w:style>
  <w:style w:type="paragraph" w:styleId="Inhaltsverzeichnisberschrift0">
    <w:name w:val="TOC Heading"/>
    <w:basedOn w:val="berschrift1"/>
    <w:next w:val="Standard"/>
    <w:uiPriority w:val="39"/>
    <w:semiHidden/>
    <w:unhideWhenUsed/>
    <w:qFormat/>
    <w:rsid w:val="00731F25"/>
    <w:pPr>
      <w:keepLines/>
      <w:tabs>
        <w:tab w:val="clear" w:pos="567"/>
        <w:tab w:val="clear" w:pos="851"/>
        <w:tab w:val="clear" w:pos="1134"/>
        <w:tab w:val="clear" w:pos="1418"/>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Kopfzeile">
    <w:name w:val="header"/>
    <w:basedOn w:val="Standard"/>
    <w:link w:val="KopfzeileZchn"/>
    <w:uiPriority w:val="99"/>
    <w:rsid w:val="009D1E9C"/>
    <w:pPr>
      <w:tabs>
        <w:tab w:val="clear" w:pos="397"/>
        <w:tab w:val="clear" w:pos="567"/>
        <w:tab w:val="clear" w:pos="851"/>
        <w:tab w:val="clear" w:pos="1134"/>
        <w:tab w:val="clear" w:pos="1418"/>
        <w:tab w:val="center" w:pos="3402"/>
        <w:tab w:val="right" w:pos="6804"/>
      </w:tabs>
    </w:pPr>
    <w:rPr>
      <w:sz w:val="18"/>
    </w:rPr>
  </w:style>
  <w:style w:type="character" w:customStyle="1" w:styleId="KopfzeileZchn">
    <w:name w:val="Kopfzeile Zchn"/>
    <w:basedOn w:val="Absatz-Standardschriftart"/>
    <w:link w:val="Kopfzeile"/>
    <w:uiPriority w:val="99"/>
    <w:rsid w:val="009D1E9C"/>
    <w:rPr>
      <w:rFonts w:ascii="OrigGarmnd BT" w:eastAsia="Lucida Sans Unicode" w:hAnsi="OrigGarmnd BT" w:cs="Tahoma"/>
      <w:sz w:val="18"/>
      <w:szCs w:val="24"/>
    </w:rPr>
  </w:style>
  <w:style w:type="character" w:customStyle="1" w:styleId="FunotentextZchn">
    <w:name w:val="Fußnotentext Zchn"/>
    <w:basedOn w:val="Absatz-Standardschriftart"/>
    <w:link w:val="Funotentext"/>
    <w:semiHidden/>
    <w:rsid w:val="001126D4"/>
    <w:rPr>
      <w:rFonts w:ascii="OrigGarmnd BT" w:eastAsia="Lucida Sans Unicode" w:hAnsi="OrigGarmnd BT" w:cs="Tahoma"/>
      <w:color w:val="000000"/>
      <w:sz w:val="17"/>
    </w:rPr>
  </w:style>
  <w:style w:type="character" w:customStyle="1" w:styleId="info">
    <w:name w:val="info"/>
    <w:basedOn w:val="Absatz-Standardschriftart"/>
    <w:rsid w:val="00057518"/>
  </w:style>
  <w:style w:type="character" w:customStyle="1" w:styleId="berschrift7Zchn">
    <w:name w:val="Überschrift 7 Zchn"/>
    <w:basedOn w:val="Absatz-Standardschriftart"/>
    <w:link w:val="berschrift7"/>
    <w:rsid w:val="00E13E9B"/>
    <w:rPr>
      <w:rFonts w:asciiTheme="majorHAnsi" w:eastAsiaTheme="majorEastAsia" w:hAnsiTheme="majorHAnsi" w:cstheme="majorBidi"/>
      <w:i/>
      <w:iCs/>
      <w:color w:val="404040" w:themeColor="text1" w:themeTint="BF"/>
      <w:sz w:val="24"/>
      <w:szCs w:val="24"/>
    </w:rPr>
  </w:style>
  <w:style w:type="paragraph" w:styleId="Liste2">
    <w:name w:val="List 2"/>
    <w:basedOn w:val="Standard"/>
    <w:rsid w:val="00E13E9B"/>
    <w:pPr>
      <w:ind w:left="566" w:hanging="283"/>
      <w:contextualSpacing/>
    </w:pPr>
  </w:style>
  <w:style w:type="paragraph" w:styleId="Liste3">
    <w:name w:val="List 3"/>
    <w:basedOn w:val="Standard"/>
    <w:rsid w:val="00E13E9B"/>
    <w:pPr>
      <w:ind w:left="849" w:hanging="283"/>
      <w:contextualSpacing/>
    </w:pPr>
  </w:style>
  <w:style w:type="paragraph" w:styleId="Aufzhlungszeichen">
    <w:name w:val="List Bullet"/>
    <w:basedOn w:val="Standard"/>
    <w:rsid w:val="00E13E9B"/>
    <w:pPr>
      <w:numPr>
        <w:numId w:val="3"/>
      </w:numPr>
      <w:contextualSpacing/>
    </w:pPr>
  </w:style>
  <w:style w:type="paragraph" w:styleId="Aufzhlungszeichen2">
    <w:name w:val="List Bullet 2"/>
    <w:basedOn w:val="Standard"/>
    <w:rsid w:val="00E13E9B"/>
    <w:pPr>
      <w:numPr>
        <w:numId w:val="4"/>
      </w:numPr>
      <w:contextualSpacing/>
    </w:pPr>
  </w:style>
  <w:style w:type="paragraph" w:styleId="Listenfortsetzung2">
    <w:name w:val="List Continue 2"/>
    <w:basedOn w:val="Standard"/>
    <w:rsid w:val="00E13E9B"/>
    <w:pPr>
      <w:spacing w:after="120"/>
      <w:ind w:left="566"/>
      <w:contextualSpacing/>
    </w:pPr>
  </w:style>
  <w:style w:type="paragraph" w:customStyle="1" w:styleId="Zwischenberschrift">
    <w:name w:val="Zwischenüberschrift"/>
    <w:basedOn w:val="Text"/>
    <w:qFormat/>
    <w:rsid w:val="00EB7197"/>
    <w:pPr>
      <w:keepNext/>
      <w:spacing w:before="240" w:after="120"/>
      <w:ind w:firstLine="0"/>
    </w:pPr>
    <w:rPr>
      <w:i/>
    </w:rPr>
  </w:style>
  <w:style w:type="paragraph" w:customStyle="1" w:styleId="Default">
    <w:name w:val="Default"/>
    <w:rsid w:val="00690520"/>
    <w:pPr>
      <w:autoSpaceDE w:val="0"/>
      <w:autoSpaceDN w:val="0"/>
      <w:adjustRightInd w:val="0"/>
    </w:pPr>
    <w:rPr>
      <w:color w:val="000000"/>
      <w:sz w:val="24"/>
      <w:szCs w:val="24"/>
    </w:rPr>
  </w:style>
  <w:style w:type="character" w:styleId="Fett">
    <w:name w:val="Strong"/>
    <w:basedOn w:val="Absatz-Standardschriftart"/>
    <w:uiPriority w:val="22"/>
    <w:qFormat/>
    <w:rsid w:val="006420C7"/>
    <w:rPr>
      <w:b/>
      <w:bCs/>
    </w:rPr>
  </w:style>
  <w:style w:type="character" w:customStyle="1" w:styleId="mediumb-text">
    <w:name w:val="mediumb-text"/>
    <w:basedOn w:val="Absatz-Standardschriftart"/>
    <w:rsid w:val="00FA7A39"/>
  </w:style>
  <w:style w:type="character" w:customStyle="1" w:styleId="pubtitle">
    <w:name w:val="pubtitle"/>
    <w:basedOn w:val="Absatz-Standardschriftart"/>
    <w:rsid w:val="00896E28"/>
  </w:style>
  <w:style w:type="paragraph" w:customStyle="1" w:styleId="Literatur">
    <w:name w:val="Literatur"/>
    <w:basedOn w:val="Standard"/>
    <w:rsid w:val="00571F62"/>
    <w:pPr>
      <w:tabs>
        <w:tab w:val="clear" w:pos="1134"/>
        <w:tab w:val="clear" w:pos="1418"/>
      </w:tabs>
      <w:ind w:left="284" w:hanging="284"/>
    </w:pPr>
    <w:rPr>
      <w:rFonts w:cs="Times New Roman"/>
    </w:rPr>
  </w:style>
  <w:style w:type="paragraph" w:styleId="Listenfortsetzung">
    <w:name w:val="List Continue"/>
    <w:basedOn w:val="Standard"/>
    <w:rsid w:val="004434AB"/>
    <w:pPr>
      <w:spacing w:after="120"/>
      <w:ind w:left="283"/>
      <w:contextualSpacing/>
    </w:pPr>
  </w:style>
  <w:style w:type="paragraph" w:customStyle="1" w:styleId="Betreffzeile">
    <w:name w:val="Betreffzeile"/>
    <w:basedOn w:val="Standard"/>
    <w:rsid w:val="004434AB"/>
  </w:style>
  <w:style w:type="paragraph" w:styleId="Standardeinzug">
    <w:name w:val="Normal Indent"/>
    <w:basedOn w:val="Standard"/>
    <w:rsid w:val="004434AB"/>
    <w:pPr>
      <w:ind w:left="708"/>
    </w:pPr>
  </w:style>
  <w:style w:type="paragraph" w:styleId="Textkrper-Zeileneinzug">
    <w:name w:val="Body Text Indent"/>
    <w:basedOn w:val="Standard"/>
    <w:link w:val="Textkrper-ZeileneinzugZchn"/>
    <w:rsid w:val="004434AB"/>
    <w:pPr>
      <w:spacing w:after="120"/>
      <w:ind w:left="283"/>
    </w:pPr>
  </w:style>
  <w:style w:type="character" w:customStyle="1" w:styleId="Textkrper-ZeileneinzugZchn">
    <w:name w:val="Textkörper-Zeileneinzug Zchn"/>
    <w:basedOn w:val="Absatz-Standardschriftart"/>
    <w:link w:val="Textkrper-Zeileneinzug"/>
    <w:rsid w:val="004434AB"/>
    <w:rPr>
      <w:rFonts w:eastAsia="Lucida Sans Unicode" w:cs="Tahoma"/>
      <w:sz w:val="24"/>
      <w:szCs w:val="24"/>
    </w:rPr>
  </w:style>
  <w:style w:type="paragraph" w:styleId="Textkrper-Erstzeileneinzug2">
    <w:name w:val="Body Text First Indent 2"/>
    <w:basedOn w:val="Textkrper-Zeileneinzug"/>
    <w:link w:val="Textkrper-Erstzeileneinzug2Zchn"/>
    <w:rsid w:val="004434AB"/>
    <w:pPr>
      <w:spacing w:after="60"/>
      <w:ind w:left="360" w:firstLine="360"/>
    </w:pPr>
  </w:style>
  <w:style w:type="character" w:customStyle="1" w:styleId="Textkrper-Erstzeileneinzug2Zchn">
    <w:name w:val="Textkörper-Erstzeileneinzug 2 Zchn"/>
    <w:basedOn w:val="Textkrper-ZeileneinzugZchn"/>
    <w:link w:val="Textkrper-Erstzeileneinzug2"/>
    <w:rsid w:val="004434AB"/>
  </w:style>
  <w:style w:type="character" w:customStyle="1" w:styleId="citation">
    <w:name w:val="citation"/>
    <w:basedOn w:val="Absatz-Standardschriftart"/>
    <w:rsid w:val="00E6261E"/>
  </w:style>
  <w:style w:type="character" w:customStyle="1" w:styleId="text3">
    <w:name w:val="text3"/>
    <w:basedOn w:val="Absatz-Standardschriftart"/>
    <w:rsid w:val="00D95C68"/>
  </w:style>
  <w:style w:type="character" w:customStyle="1" w:styleId="ouvrage">
    <w:name w:val="ouvrage"/>
    <w:basedOn w:val="Absatz-Standardschriftart"/>
    <w:rsid w:val="003B3255"/>
  </w:style>
  <w:style w:type="character" w:styleId="HTMLZitat">
    <w:name w:val="HTML Cite"/>
    <w:basedOn w:val="Absatz-Standardschriftart"/>
    <w:uiPriority w:val="99"/>
    <w:unhideWhenUsed/>
    <w:rsid w:val="003B3255"/>
    <w:rPr>
      <w:i/>
      <w:iCs/>
    </w:rPr>
  </w:style>
  <w:style w:type="paragraph" w:styleId="Listenabsatz">
    <w:name w:val="List Paragraph"/>
    <w:basedOn w:val="Standard"/>
    <w:uiPriority w:val="34"/>
    <w:qFormat/>
    <w:rsid w:val="00C4004B"/>
    <w:pPr>
      <w:ind w:left="720"/>
      <w:contextualSpacing/>
    </w:pPr>
  </w:style>
  <w:style w:type="character" w:customStyle="1" w:styleId="HTMLVorformatiertZchn">
    <w:name w:val="HTML Vorformatiert Zchn"/>
    <w:basedOn w:val="Absatz-Standardschriftart"/>
    <w:link w:val="HTMLVorformatiert"/>
    <w:uiPriority w:val="99"/>
    <w:rsid w:val="00A54E4F"/>
    <w:rPr>
      <w:rFonts w:ascii="Arial Unicode MS" w:eastAsia="Arial Unicode MS" w:hAnsi="Arial Unicode MS" w:cs="Arial Unicode MS"/>
    </w:rPr>
  </w:style>
  <w:style w:type="character" w:customStyle="1" w:styleId="FuzeileZchn">
    <w:name w:val="Fußzeile Zchn"/>
    <w:basedOn w:val="Absatz-Standardschriftart"/>
    <w:link w:val="Fuzeile"/>
    <w:uiPriority w:val="99"/>
    <w:rsid w:val="00D20514"/>
    <w:rPr>
      <w:rFonts w:ascii="OrigGarmnd BT" w:eastAsia="Lucida Sans Unicode" w:hAnsi="OrigGarmnd BT" w:cs="Tahoma"/>
      <w:szCs w:val="24"/>
    </w:rPr>
  </w:style>
  <w:style w:type="paragraph" w:styleId="Index2">
    <w:name w:val="index 2"/>
    <w:basedOn w:val="Standard"/>
    <w:next w:val="Standard"/>
    <w:autoRedefine/>
    <w:uiPriority w:val="99"/>
    <w:rsid w:val="004707D1"/>
    <w:pPr>
      <w:tabs>
        <w:tab w:val="clear" w:pos="567"/>
        <w:tab w:val="clear" w:pos="851"/>
        <w:tab w:val="clear" w:pos="1134"/>
        <w:tab w:val="clear" w:pos="1418"/>
      </w:tabs>
      <w:ind w:left="400" w:hanging="200"/>
    </w:pPr>
  </w:style>
  <w:style w:type="paragraph" w:customStyle="1" w:styleId="Formel">
    <w:name w:val="Formel"/>
    <w:basedOn w:val="Text"/>
    <w:qFormat/>
    <w:rsid w:val="008C17C4"/>
    <w:pPr>
      <w:tabs>
        <w:tab w:val="clear" w:pos="397"/>
        <w:tab w:val="clear" w:pos="567"/>
        <w:tab w:val="clear" w:pos="851"/>
        <w:tab w:val="clear" w:pos="1134"/>
        <w:tab w:val="clear" w:pos="1418"/>
        <w:tab w:val="left" w:pos="737"/>
        <w:tab w:val="left" w:pos="1021"/>
        <w:tab w:val="left" w:pos="1304"/>
      </w:tabs>
      <w:spacing w:before="120" w:after="120"/>
      <w:ind w:left="397" w:firstLine="0"/>
      <w:jc w:val="left"/>
    </w:pPr>
  </w:style>
  <w:style w:type="paragraph" w:customStyle="1" w:styleId="Interpretation">
    <w:name w:val="Interpretation"/>
    <w:basedOn w:val="Text"/>
    <w:qFormat/>
    <w:rsid w:val="00CD1C0D"/>
    <w:pPr>
      <w:spacing w:before="100" w:after="100"/>
      <w:ind w:firstLine="0"/>
    </w:pPr>
    <w:rPr>
      <w:iCs/>
    </w:rPr>
  </w:style>
  <w:style w:type="paragraph" w:customStyle="1" w:styleId="Interpretation1Zeile">
    <w:name w:val="Interpretation (1. Zeile)"/>
    <w:basedOn w:val="Interpretation"/>
    <w:qFormat/>
    <w:rsid w:val="00D13621"/>
    <w:pPr>
      <w:spacing w:before="240"/>
    </w:pPr>
  </w:style>
  <w:style w:type="paragraph" w:customStyle="1" w:styleId="FallxDisambiguierung">
    <w:name w:val="Fall x (Disambiguierung)"/>
    <w:basedOn w:val="Formel"/>
    <w:qFormat/>
    <w:rsid w:val="008A30E0"/>
    <w:pPr>
      <w:spacing w:before="240"/>
      <w:ind w:left="851" w:hanging="851"/>
    </w:pPr>
  </w:style>
  <w:style w:type="paragraph" w:customStyle="1" w:styleId="FormelTabrechts">
    <w:name w:val="Formel Tab rechts"/>
    <w:basedOn w:val="Formel"/>
    <w:qFormat/>
    <w:rsid w:val="0010735C"/>
    <w:pPr>
      <w:tabs>
        <w:tab w:val="clear" w:pos="1021"/>
        <w:tab w:val="clear" w:pos="1304"/>
        <w:tab w:val="left" w:pos="1531"/>
        <w:tab w:val="left" w:pos="1956"/>
        <w:tab w:val="right" w:pos="6804"/>
      </w:tabs>
    </w:pPr>
  </w:style>
  <w:style w:type="paragraph" w:customStyle="1" w:styleId="InterpretationletzteZeile">
    <w:name w:val="Interpretation (letzte Zeile)"/>
    <w:basedOn w:val="Interpretation"/>
    <w:qFormat/>
    <w:rsid w:val="000758D7"/>
    <w:pPr>
      <w:spacing w:after="200"/>
    </w:pPr>
  </w:style>
  <w:style w:type="paragraph" w:styleId="Index9">
    <w:name w:val="index 9"/>
    <w:basedOn w:val="Standard"/>
    <w:next w:val="Standard"/>
    <w:autoRedefine/>
    <w:rsid w:val="00C6415A"/>
    <w:pPr>
      <w:tabs>
        <w:tab w:val="clear" w:pos="397"/>
        <w:tab w:val="clear" w:pos="567"/>
        <w:tab w:val="clear" w:pos="851"/>
        <w:tab w:val="clear" w:pos="1134"/>
        <w:tab w:val="clear" w:pos="1418"/>
      </w:tabs>
      <w:ind w:left="1800" w:hanging="200"/>
    </w:pPr>
  </w:style>
  <w:style w:type="paragraph" w:styleId="Index3">
    <w:name w:val="index 3"/>
    <w:basedOn w:val="Standard"/>
    <w:next w:val="Standard"/>
    <w:autoRedefine/>
    <w:uiPriority w:val="99"/>
    <w:rsid w:val="007612F4"/>
    <w:pPr>
      <w:tabs>
        <w:tab w:val="clear" w:pos="397"/>
        <w:tab w:val="clear" w:pos="567"/>
        <w:tab w:val="clear" w:pos="851"/>
        <w:tab w:val="clear" w:pos="1134"/>
        <w:tab w:val="clear" w:pos="1418"/>
      </w:tabs>
      <w:ind w:left="600" w:hanging="200"/>
    </w:pPr>
  </w:style>
</w:styles>
</file>

<file path=word/webSettings.xml><?xml version="1.0" encoding="utf-8"?>
<w:webSettings xmlns:r="http://schemas.openxmlformats.org/officeDocument/2006/relationships" xmlns:w="http://schemas.openxmlformats.org/wordprocessingml/2006/main">
  <w:divs>
    <w:div w:id="298458426">
      <w:bodyDiv w:val="1"/>
      <w:marLeft w:val="0"/>
      <w:marRight w:val="0"/>
      <w:marTop w:val="0"/>
      <w:marBottom w:val="0"/>
      <w:divBdr>
        <w:top w:val="none" w:sz="0" w:space="0" w:color="auto"/>
        <w:left w:val="none" w:sz="0" w:space="0" w:color="auto"/>
        <w:bottom w:val="none" w:sz="0" w:space="0" w:color="auto"/>
        <w:right w:val="none" w:sz="0" w:space="0" w:color="auto"/>
      </w:divBdr>
      <w:divsChild>
        <w:div w:id="238255960">
          <w:marLeft w:val="0"/>
          <w:marRight w:val="0"/>
          <w:marTop w:val="0"/>
          <w:marBottom w:val="0"/>
          <w:divBdr>
            <w:top w:val="none" w:sz="0" w:space="0" w:color="auto"/>
            <w:left w:val="none" w:sz="0" w:space="0" w:color="auto"/>
            <w:bottom w:val="none" w:sz="0" w:space="0" w:color="auto"/>
            <w:right w:val="none" w:sz="0" w:space="0" w:color="auto"/>
          </w:divBdr>
          <w:divsChild>
            <w:div w:id="164515864">
              <w:marLeft w:val="0"/>
              <w:marRight w:val="0"/>
              <w:marTop w:val="0"/>
              <w:marBottom w:val="0"/>
              <w:divBdr>
                <w:top w:val="none" w:sz="0" w:space="0" w:color="auto"/>
                <w:left w:val="none" w:sz="0" w:space="0" w:color="auto"/>
                <w:bottom w:val="none" w:sz="0" w:space="0" w:color="auto"/>
                <w:right w:val="none" w:sz="0" w:space="0" w:color="auto"/>
              </w:divBdr>
            </w:div>
            <w:div w:id="580918150">
              <w:marLeft w:val="0"/>
              <w:marRight w:val="0"/>
              <w:marTop w:val="0"/>
              <w:marBottom w:val="0"/>
              <w:divBdr>
                <w:top w:val="none" w:sz="0" w:space="0" w:color="auto"/>
                <w:left w:val="none" w:sz="0" w:space="0" w:color="auto"/>
                <w:bottom w:val="none" w:sz="0" w:space="0" w:color="auto"/>
                <w:right w:val="none" w:sz="0" w:space="0" w:color="auto"/>
              </w:divBdr>
            </w:div>
            <w:div w:id="924875368">
              <w:marLeft w:val="0"/>
              <w:marRight w:val="0"/>
              <w:marTop w:val="0"/>
              <w:marBottom w:val="0"/>
              <w:divBdr>
                <w:top w:val="none" w:sz="0" w:space="0" w:color="auto"/>
                <w:left w:val="none" w:sz="0" w:space="0" w:color="auto"/>
                <w:bottom w:val="none" w:sz="0" w:space="0" w:color="auto"/>
                <w:right w:val="none" w:sz="0" w:space="0" w:color="auto"/>
              </w:divBdr>
            </w:div>
            <w:div w:id="935361897">
              <w:marLeft w:val="0"/>
              <w:marRight w:val="0"/>
              <w:marTop w:val="0"/>
              <w:marBottom w:val="0"/>
              <w:divBdr>
                <w:top w:val="none" w:sz="0" w:space="0" w:color="auto"/>
                <w:left w:val="none" w:sz="0" w:space="0" w:color="auto"/>
                <w:bottom w:val="none" w:sz="0" w:space="0" w:color="auto"/>
                <w:right w:val="none" w:sz="0" w:space="0" w:color="auto"/>
              </w:divBdr>
            </w:div>
            <w:div w:id="1101334629">
              <w:marLeft w:val="0"/>
              <w:marRight w:val="0"/>
              <w:marTop w:val="0"/>
              <w:marBottom w:val="0"/>
              <w:divBdr>
                <w:top w:val="none" w:sz="0" w:space="0" w:color="auto"/>
                <w:left w:val="none" w:sz="0" w:space="0" w:color="auto"/>
                <w:bottom w:val="none" w:sz="0" w:space="0" w:color="auto"/>
                <w:right w:val="none" w:sz="0" w:space="0" w:color="auto"/>
              </w:divBdr>
            </w:div>
            <w:div w:id="1249774576">
              <w:marLeft w:val="0"/>
              <w:marRight w:val="0"/>
              <w:marTop w:val="0"/>
              <w:marBottom w:val="0"/>
              <w:divBdr>
                <w:top w:val="none" w:sz="0" w:space="0" w:color="auto"/>
                <w:left w:val="none" w:sz="0" w:space="0" w:color="auto"/>
                <w:bottom w:val="none" w:sz="0" w:space="0" w:color="auto"/>
                <w:right w:val="none" w:sz="0" w:space="0" w:color="auto"/>
              </w:divBdr>
            </w:div>
            <w:div w:id="1377461538">
              <w:marLeft w:val="0"/>
              <w:marRight w:val="0"/>
              <w:marTop w:val="0"/>
              <w:marBottom w:val="0"/>
              <w:divBdr>
                <w:top w:val="none" w:sz="0" w:space="0" w:color="auto"/>
                <w:left w:val="none" w:sz="0" w:space="0" w:color="auto"/>
                <w:bottom w:val="none" w:sz="0" w:space="0" w:color="auto"/>
                <w:right w:val="none" w:sz="0" w:space="0" w:color="auto"/>
              </w:divBdr>
            </w:div>
            <w:div w:id="1603761231">
              <w:marLeft w:val="0"/>
              <w:marRight w:val="0"/>
              <w:marTop w:val="0"/>
              <w:marBottom w:val="0"/>
              <w:divBdr>
                <w:top w:val="none" w:sz="0" w:space="0" w:color="auto"/>
                <w:left w:val="none" w:sz="0" w:space="0" w:color="auto"/>
                <w:bottom w:val="none" w:sz="0" w:space="0" w:color="auto"/>
                <w:right w:val="none" w:sz="0" w:space="0" w:color="auto"/>
              </w:divBdr>
            </w:div>
            <w:div w:id="1812670560">
              <w:marLeft w:val="0"/>
              <w:marRight w:val="0"/>
              <w:marTop w:val="0"/>
              <w:marBottom w:val="0"/>
              <w:divBdr>
                <w:top w:val="none" w:sz="0" w:space="0" w:color="auto"/>
                <w:left w:val="none" w:sz="0" w:space="0" w:color="auto"/>
                <w:bottom w:val="none" w:sz="0" w:space="0" w:color="auto"/>
                <w:right w:val="none" w:sz="0" w:space="0" w:color="auto"/>
              </w:divBdr>
            </w:div>
            <w:div w:id="1879539674">
              <w:marLeft w:val="0"/>
              <w:marRight w:val="0"/>
              <w:marTop w:val="0"/>
              <w:marBottom w:val="0"/>
              <w:divBdr>
                <w:top w:val="none" w:sz="0" w:space="0" w:color="auto"/>
                <w:left w:val="none" w:sz="0" w:space="0" w:color="auto"/>
                <w:bottom w:val="none" w:sz="0" w:space="0" w:color="auto"/>
                <w:right w:val="none" w:sz="0" w:space="0" w:color="auto"/>
              </w:divBdr>
            </w:div>
            <w:div w:id="18865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5199">
      <w:bodyDiv w:val="1"/>
      <w:marLeft w:val="0"/>
      <w:marRight w:val="0"/>
      <w:marTop w:val="0"/>
      <w:marBottom w:val="0"/>
      <w:divBdr>
        <w:top w:val="none" w:sz="0" w:space="0" w:color="auto"/>
        <w:left w:val="none" w:sz="0" w:space="0" w:color="auto"/>
        <w:bottom w:val="none" w:sz="0" w:space="0" w:color="auto"/>
        <w:right w:val="none" w:sz="0" w:space="0" w:color="auto"/>
      </w:divBdr>
    </w:div>
    <w:div w:id="422461645">
      <w:bodyDiv w:val="1"/>
      <w:marLeft w:val="0"/>
      <w:marRight w:val="0"/>
      <w:marTop w:val="0"/>
      <w:marBottom w:val="0"/>
      <w:divBdr>
        <w:top w:val="none" w:sz="0" w:space="0" w:color="auto"/>
        <w:left w:val="none" w:sz="0" w:space="0" w:color="auto"/>
        <w:bottom w:val="none" w:sz="0" w:space="0" w:color="auto"/>
        <w:right w:val="none" w:sz="0" w:space="0" w:color="auto"/>
      </w:divBdr>
    </w:div>
    <w:div w:id="433794110">
      <w:bodyDiv w:val="1"/>
      <w:marLeft w:val="0"/>
      <w:marRight w:val="0"/>
      <w:marTop w:val="0"/>
      <w:marBottom w:val="0"/>
      <w:divBdr>
        <w:top w:val="none" w:sz="0" w:space="0" w:color="auto"/>
        <w:left w:val="none" w:sz="0" w:space="0" w:color="auto"/>
        <w:bottom w:val="none" w:sz="0" w:space="0" w:color="auto"/>
        <w:right w:val="none" w:sz="0" w:space="0" w:color="auto"/>
      </w:divBdr>
    </w:div>
    <w:div w:id="440224990">
      <w:bodyDiv w:val="1"/>
      <w:marLeft w:val="0"/>
      <w:marRight w:val="0"/>
      <w:marTop w:val="0"/>
      <w:marBottom w:val="0"/>
      <w:divBdr>
        <w:top w:val="none" w:sz="0" w:space="0" w:color="auto"/>
        <w:left w:val="none" w:sz="0" w:space="0" w:color="auto"/>
        <w:bottom w:val="none" w:sz="0" w:space="0" w:color="auto"/>
        <w:right w:val="none" w:sz="0" w:space="0" w:color="auto"/>
      </w:divBdr>
    </w:div>
    <w:div w:id="462970328">
      <w:bodyDiv w:val="1"/>
      <w:marLeft w:val="0"/>
      <w:marRight w:val="0"/>
      <w:marTop w:val="0"/>
      <w:marBottom w:val="0"/>
      <w:divBdr>
        <w:top w:val="none" w:sz="0" w:space="0" w:color="auto"/>
        <w:left w:val="none" w:sz="0" w:space="0" w:color="auto"/>
        <w:bottom w:val="none" w:sz="0" w:space="0" w:color="auto"/>
        <w:right w:val="none" w:sz="0" w:space="0" w:color="auto"/>
      </w:divBdr>
    </w:div>
    <w:div w:id="483162189">
      <w:bodyDiv w:val="1"/>
      <w:marLeft w:val="0"/>
      <w:marRight w:val="0"/>
      <w:marTop w:val="0"/>
      <w:marBottom w:val="0"/>
      <w:divBdr>
        <w:top w:val="none" w:sz="0" w:space="0" w:color="auto"/>
        <w:left w:val="none" w:sz="0" w:space="0" w:color="auto"/>
        <w:bottom w:val="none" w:sz="0" w:space="0" w:color="auto"/>
        <w:right w:val="none" w:sz="0" w:space="0" w:color="auto"/>
      </w:divBdr>
    </w:div>
    <w:div w:id="756554882">
      <w:bodyDiv w:val="1"/>
      <w:marLeft w:val="0"/>
      <w:marRight w:val="0"/>
      <w:marTop w:val="0"/>
      <w:marBottom w:val="0"/>
      <w:divBdr>
        <w:top w:val="none" w:sz="0" w:space="0" w:color="auto"/>
        <w:left w:val="none" w:sz="0" w:space="0" w:color="auto"/>
        <w:bottom w:val="none" w:sz="0" w:space="0" w:color="auto"/>
        <w:right w:val="none" w:sz="0" w:space="0" w:color="auto"/>
      </w:divBdr>
    </w:div>
    <w:div w:id="879589692">
      <w:bodyDiv w:val="1"/>
      <w:marLeft w:val="0"/>
      <w:marRight w:val="0"/>
      <w:marTop w:val="0"/>
      <w:marBottom w:val="0"/>
      <w:divBdr>
        <w:top w:val="none" w:sz="0" w:space="0" w:color="auto"/>
        <w:left w:val="none" w:sz="0" w:space="0" w:color="auto"/>
        <w:bottom w:val="none" w:sz="0" w:space="0" w:color="auto"/>
        <w:right w:val="none" w:sz="0" w:space="0" w:color="auto"/>
      </w:divBdr>
    </w:div>
    <w:div w:id="891188590">
      <w:bodyDiv w:val="1"/>
      <w:marLeft w:val="0"/>
      <w:marRight w:val="0"/>
      <w:marTop w:val="0"/>
      <w:marBottom w:val="0"/>
      <w:divBdr>
        <w:top w:val="none" w:sz="0" w:space="0" w:color="auto"/>
        <w:left w:val="none" w:sz="0" w:space="0" w:color="auto"/>
        <w:bottom w:val="none" w:sz="0" w:space="0" w:color="auto"/>
        <w:right w:val="none" w:sz="0" w:space="0" w:color="auto"/>
      </w:divBdr>
    </w:div>
    <w:div w:id="988746896">
      <w:bodyDiv w:val="1"/>
      <w:marLeft w:val="0"/>
      <w:marRight w:val="0"/>
      <w:marTop w:val="0"/>
      <w:marBottom w:val="0"/>
      <w:divBdr>
        <w:top w:val="none" w:sz="0" w:space="0" w:color="auto"/>
        <w:left w:val="none" w:sz="0" w:space="0" w:color="auto"/>
        <w:bottom w:val="none" w:sz="0" w:space="0" w:color="auto"/>
        <w:right w:val="none" w:sz="0" w:space="0" w:color="auto"/>
      </w:divBdr>
    </w:div>
    <w:div w:id="1169520009">
      <w:bodyDiv w:val="1"/>
      <w:marLeft w:val="0"/>
      <w:marRight w:val="0"/>
      <w:marTop w:val="0"/>
      <w:marBottom w:val="0"/>
      <w:divBdr>
        <w:top w:val="none" w:sz="0" w:space="0" w:color="auto"/>
        <w:left w:val="none" w:sz="0" w:space="0" w:color="auto"/>
        <w:bottom w:val="none" w:sz="0" w:space="0" w:color="auto"/>
        <w:right w:val="none" w:sz="0" w:space="0" w:color="auto"/>
      </w:divBdr>
    </w:div>
    <w:div w:id="1178811963">
      <w:bodyDiv w:val="1"/>
      <w:marLeft w:val="0"/>
      <w:marRight w:val="0"/>
      <w:marTop w:val="0"/>
      <w:marBottom w:val="0"/>
      <w:divBdr>
        <w:top w:val="none" w:sz="0" w:space="0" w:color="auto"/>
        <w:left w:val="none" w:sz="0" w:space="0" w:color="auto"/>
        <w:bottom w:val="none" w:sz="0" w:space="0" w:color="auto"/>
        <w:right w:val="none" w:sz="0" w:space="0" w:color="auto"/>
      </w:divBdr>
    </w:div>
    <w:div w:id="1509056255">
      <w:bodyDiv w:val="1"/>
      <w:marLeft w:val="0"/>
      <w:marRight w:val="0"/>
      <w:marTop w:val="0"/>
      <w:marBottom w:val="0"/>
      <w:divBdr>
        <w:top w:val="none" w:sz="0" w:space="0" w:color="auto"/>
        <w:left w:val="none" w:sz="0" w:space="0" w:color="auto"/>
        <w:bottom w:val="none" w:sz="0" w:space="0" w:color="auto"/>
        <w:right w:val="none" w:sz="0" w:space="0" w:color="auto"/>
      </w:divBdr>
    </w:div>
    <w:div w:id="1736078561">
      <w:bodyDiv w:val="1"/>
      <w:marLeft w:val="0"/>
      <w:marRight w:val="0"/>
      <w:marTop w:val="0"/>
      <w:marBottom w:val="0"/>
      <w:divBdr>
        <w:top w:val="none" w:sz="0" w:space="0" w:color="auto"/>
        <w:left w:val="none" w:sz="0" w:space="0" w:color="auto"/>
        <w:bottom w:val="none" w:sz="0" w:space="0" w:color="auto"/>
        <w:right w:val="none" w:sz="0" w:space="0" w:color="auto"/>
      </w:divBdr>
    </w:div>
    <w:div w:id="1757439062">
      <w:bodyDiv w:val="1"/>
      <w:marLeft w:val="0"/>
      <w:marRight w:val="0"/>
      <w:marTop w:val="0"/>
      <w:marBottom w:val="0"/>
      <w:divBdr>
        <w:top w:val="none" w:sz="0" w:space="0" w:color="auto"/>
        <w:left w:val="none" w:sz="0" w:space="0" w:color="auto"/>
        <w:bottom w:val="none" w:sz="0" w:space="0" w:color="auto"/>
        <w:right w:val="none" w:sz="0" w:space="0" w:color="auto"/>
      </w:divBdr>
    </w:div>
    <w:div w:id="1830706082">
      <w:bodyDiv w:val="1"/>
      <w:marLeft w:val="0"/>
      <w:marRight w:val="0"/>
      <w:marTop w:val="0"/>
      <w:marBottom w:val="0"/>
      <w:divBdr>
        <w:top w:val="none" w:sz="0" w:space="0" w:color="auto"/>
        <w:left w:val="none" w:sz="0" w:space="0" w:color="auto"/>
        <w:bottom w:val="none" w:sz="0" w:space="0" w:color="auto"/>
        <w:right w:val="none" w:sz="0" w:space="0" w:color="auto"/>
      </w:divBdr>
    </w:div>
    <w:div w:id="1948661889">
      <w:bodyDiv w:val="1"/>
      <w:marLeft w:val="0"/>
      <w:marRight w:val="0"/>
      <w:marTop w:val="0"/>
      <w:marBottom w:val="0"/>
      <w:divBdr>
        <w:top w:val="none" w:sz="0" w:space="0" w:color="auto"/>
        <w:left w:val="none" w:sz="0" w:space="0" w:color="auto"/>
        <w:bottom w:val="none" w:sz="0" w:space="0" w:color="auto"/>
        <w:right w:val="none" w:sz="0" w:space="0" w:color="auto"/>
      </w:divBdr>
    </w:div>
    <w:div w:id="1964726720">
      <w:bodyDiv w:val="1"/>
      <w:marLeft w:val="0"/>
      <w:marRight w:val="0"/>
      <w:marTop w:val="0"/>
      <w:marBottom w:val="0"/>
      <w:divBdr>
        <w:top w:val="none" w:sz="0" w:space="0" w:color="auto"/>
        <w:left w:val="none" w:sz="0" w:space="0" w:color="auto"/>
        <w:bottom w:val="none" w:sz="0" w:space="0" w:color="auto"/>
        <w:right w:val="none" w:sz="0" w:space="0" w:color="auto"/>
      </w:divBdr>
    </w:div>
    <w:div w:id="2091386774">
      <w:bodyDiv w:val="1"/>
      <w:marLeft w:val="0"/>
      <w:marRight w:val="0"/>
      <w:marTop w:val="0"/>
      <w:marBottom w:val="0"/>
      <w:divBdr>
        <w:top w:val="none" w:sz="0" w:space="0" w:color="auto"/>
        <w:left w:val="none" w:sz="0" w:space="0" w:color="auto"/>
        <w:bottom w:val="none" w:sz="0" w:space="0" w:color="auto"/>
        <w:right w:val="none" w:sz="0" w:space="0" w:color="auto"/>
      </w:divBdr>
    </w:div>
    <w:div w:id="2145273569">
      <w:bodyDiv w:val="1"/>
      <w:marLeft w:val="0"/>
      <w:marRight w:val="0"/>
      <w:marTop w:val="0"/>
      <w:marBottom w:val="0"/>
      <w:divBdr>
        <w:top w:val="none" w:sz="0" w:space="0" w:color="auto"/>
        <w:left w:val="none" w:sz="0" w:space="0" w:color="auto"/>
        <w:bottom w:val="none" w:sz="0" w:space="0" w:color="auto"/>
        <w:right w:val="none" w:sz="0" w:space="0" w:color="auto"/>
      </w:divBdr>
      <w:divsChild>
        <w:div w:id="1474716235">
          <w:marLeft w:val="0"/>
          <w:marRight w:val="0"/>
          <w:marTop w:val="0"/>
          <w:marBottom w:val="0"/>
          <w:divBdr>
            <w:top w:val="none" w:sz="0" w:space="0" w:color="auto"/>
            <w:left w:val="none" w:sz="0" w:space="0" w:color="auto"/>
            <w:bottom w:val="none" w:sz="0" w:space="0" w:color="auto"/>
            <w:right w:val="none" w:sz="0" w:space="0" w:color="auto"/>
          </w:divBdr>
          <w:divsChild>
            <w:div w:id="253709293">
              <w:marLeft w:val="0"/>
              <w:marRight w:val="0"/>
              <w:marTop w:val="0"/>
              <w:marBottom w:val="0"/>
              <w:divBdr>
                <w:top w:val="none" w:sz="0" w:space="0" w:color="auto"/>
                <w:left w:val="none" w:sz="0" w:space="0" w:color="auto"/>
                <w:bottom w:val="none" w:sz="0" w:space="0" w:color="auto"/>
                <w:right w:val="none" w:sz="0" w:space="0" w:color="auto"/>
              </w:divBdr>
            </w:div>
            <w:div w:id="360715753">
              <w:marLeft w:val="0"/>
              <w:marRight w:val="0"/>
              <w:marTop w:val="0"/>
              <w:marBottom w:val="0"/>
              <w:divBdr>
                <w:top w:val="none" w:sz="0" w:space="0" w:color="auto"/>
                <w:left w:val="none" w:sz="0" w:space="0" w:color="auto"/>
                <w:bottom w:val="none" w:sz="0" w:space="0" w:color="auto"/>
                <w:right w:val="none" w:sz="0" w:space="0" w:color="auto"/>
              </w:divBdr>
            </w:div>
            <w:div w:id="679819025">
              <w:marLeft w:val="0"/>
              <w:marRight w:val="0"/>
              <w:marTop w:val="0"/>
              <w:marBottom w:val="0"/>
              <w:divBdr>
                <w:top w:val="none" w:sz="0" w:space="0" w:color="auto"/>
                <w:left w:val="none" w:sz="0" w:space="0" w:color="auto"/>
                <w:bottom w:val="none" w:sz="0" w:space="0" w:color="auto"/>
                <w:right w:val="none" w:sz="0" w:space="0" w:color="auto"/>
              </w:divBdr>
            </w:div>
            <w:div w:id="964389161">
              <w:marLeft w:val="0"/>
              <w:marRight w:val="0"/>
              <w:marTop w:val="0"/>
              <w:marBottom w:val="0"/>
              <w:divBdr>
                <w:top w:val="none" w:sz="0" w:space="0" w:color="auto"/>
                <w:left w:val="none" w:sz="0" w:space="0" w:color="auto"/>
                <w:bottom w:val="none" w:sz="0" w:space="0" w:color="auto"/>
                <w:right w:val="none" w:sz="0" w:space="0" w:color="auto"/>
              </w:divBdr>
            </w:div>
            <w:div w:id="974068847">
              <w:marLeft w:val="0"/>
              <w:marRight w:val="0"/>
              <w:marTop w:val="0"/>
              <w:marBottom w:val="0"/>
              <w:divBdr>
                <w:top w:val="none" w:sz="0" w:space="0" w:color="auto"/>
                <w:left w:val="none" w:sz="0" w:space="0" w:color="auto"/>
                <w:bottom w:val="none" w:sz="0" w:space="0" w:color="auto"/>
                <w:right w:val="none" w:sz="0" w:space="0" w:color="auto"/>
              </w:divBdr>
            </w:div>
            <w:div w:id="1340544263">
              <w:marLeft w:val="0"/>
              <w:marRight w:val="0"/>
              <w:marTop w:val="0"/>
              <w:marBottom w:val="0"/>
              <w:divBdr>
                <w:top w:val="none" w:sz="0" w:space="0" w:color="auto"/>
                <w:left w:val="none" w:sz="0" w:space="0" w:color="auto"/>
                <w:bottom w:val="none" w:sz="0" w:space="0" w:color="auto"/>
                <w:right w:val="none" w:sz="0" w:space="0" w:color="auto"/>
              </w:divBdr>
            </w:div>
            <w:div w:id="1401634942">
              <w:marLeft w:val="0"/>
              <w:marRight w:val="0"/>
              <w:marTop w:val="0"/>
              <w:marBottom w:val="0"/>
              <w:divBdr>
                <w:top w:val="none" w:sz="0" w:space="0" w:color="auto"/>
                <w:left w:val="none" w:sz="0" w:space="0" w:color="auto"/>
                <w:bottom w:val="none" w:sz="0" w:space="0" w:color="auto"/>
                <w:right w:val="none" w:sz="0" w:space="0" w:color="auto"/>
              </w:divBdr>
            </w:div>
            <w:div w:id="16645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12.xml"/><Relationship Id="rId34" Type="http://schemas.openxmlformats.org/officeDocument/2006/relationships/image" Target="media/image5.wmf"/><Relationship Id="rId42" Type="http://schemas.openxmlformats.org/officeDocument/2006/relationships/image" Target="media/image9.wmf"/><Relationship Id="rId47" Type="http://schemas.openxmlformats.org/officeDocument/2006/relationships/oleObject" Target="embeddings/oleObject13.bin"/><Relationship Id="rId50" Type="http://schemas.openxmlformats.org/officeDocument/2006/relationships/image" Target="media/image13.wmf"/><Relationship Id="rId55" Type="http://schemas.openxmlformats.org/officeDocument/2006/relationships/oleObject" Target="embeddings/oleObject17.bin"/><Relationship Id="rId63" Type="http://schemas.openxmlformats.org/officeDocument/2006/relationships/image" Target="media/image18.wmf"/><Relationship Id="rId68" Type="http://schemas.openxmlformats.org/officeDocument/2006/relationships/image" Target="media/image21.jpeg"/><Relationship Id="rId76"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header" Target="header18.xml"/><Relationship Id="rId97"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oleObject" Target="embeddings/oleObject3.bin"/><Relationship Id="rId11" Type="http://schemas.openxmlformats.org/officeDocument/2006/relationships/header" Target="header2.xml"/><Relationship Id="rId24" Type="http://schemas.openxmlformats.org/officeDocument/2006/relationships/image" Target="media/image1.jpeg"/><Relationship Id="rId32" Type="http://schemas.openxmlformats.org/officeDocument/2006/relationships/image" Target="media/image4.wmf"/><Relationship Id="rId37" Type="http://schemas.openxmlformats.org/officeDocument/2006/relationships/oleObject" Target="embeddings/oleObject8.bin"/><Relationship Id="rId40" Type="http://schemas.openxmlformats.org/officeDocument/2006/relationships/image" Target="media/image8.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16.wmf"/><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oleObject" Target="embeddings/oleObject33.bin"/><Relationship Id="rId87"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17.wmf"/><Relationship Id="rId82" Type="http://schemas.openxmlformats.org/officeDocument/2006/relationships/oleObject" Target="embeddings/oleObject36.bin"/><Relationship Id="rId90" Type="http://schemas.openxmlformats.org/officeDocument/2006/relationships/header" Target="header19.xml"/><Relationship Id="rId95" Type="http://schemas.openxmlformats.org/officeDocument/2006/relationships/header" Target="header23.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3.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2.wmf"/><Relationship Id="rId56" Type="http://schemas.openxmlformats.org/officeDocument/2006/relationships/oleObject" Target="embeddings/oleObject18.bin"/><Relationship Id="rId64" Type="http://schemas.openxmlformats.org/officeDocument/2006/relationships/oleObject" Target="embeddings/oleObject23.bin"/><Relationship Id="rId69" Type="http://schemas.openxmlformats.org/officeDocument/2006/relationships/image" Target="media/image22.jpeg"/><Relationship Id="rId77" Type="http://schemas.openxmlformats.org/officeDocument/2006/relationships/oleObject" Target="embeddings/oleObject31.bin"/><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5.bin"/><Relationship Id="rId72" Type="http://schemas.openxmlformats.org/officeDocument/2006/relationships/oleObject" Target="embeddings/oleObject26.bin"/><Relationship Id="rId80" Type="http://schemas.openxmlformats.org/officeDocument/2006/relationships/oleObject" Target="embeddings/oleObject34.bin"/><Relationship Id="rId85" Type="http://schemas.openxmlformats.org/officeDocument/2006/relationships/oleObject" Target="embeddings/oleObject39.bin"/><Relationship Id="rId93" Type="http://schemas.openxmlformats.org/officeDocument/2006/relationships/image" Target="media/image24.gif"/><Relationship Id="rId98" Type="http://schemas.openxmlformats.org/officeDocument/2006/relationships/header" Target="head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2.wmf"/><Relationship Id="rId33" Type="http://schemas.openxmlformats.org/officeDocument/2006/relationships/oleObject" Target="embeddings/oleObject6.bin"/><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20.bin"/><Relationship Id="rId67" Type="http://schemas.openxmlformats.org/officeDocument/2006/relationships/image" Target="media/image20.jpeg"/><Relationship Id="rId20" Type="http://schemas.openxmlformats.org/officeDocument/2006/relationships/header" Target="header11.xml"/><Relationship Id="rId41" Type="http://schemas.openxmlformats.org/officeDocument/2006/relationships/oleObject" Target="embeddings/oleObject10.bin"/><Relationship Id="rId54" Type="http://schemas.openxmlformats.org/officeDocument/2006/relationships/image" Target="media/image15.wmf"/><Relationship Id="rId62" Type="http://schemas.openxmlformats.org/officeDocument/2006/relationships/oleObject" Target="embeddings/oleObject22.bin"/><Relationship Id="rId70" Type="http://schemas.openxmlformats.org/officeDocument/2006/relationships/image" Target="media/image23.wmf"/><Relationship Id="rId75" Type="http://schemas.openxmlformats.org/officeDocument/2006/relationships/oleObject" Target="embeddings/oleObject29.bin"/><Relationship Id="rId83" Type="http://schemas.openxmlformats.org/officeDocument/2006/relationships/oleObject" Target="embeddings/oleObject37.bin"/><Relationship Id="rId88" Type="http://schemas.openxmlformats.org/officeDocument/2006/relationships/header" Target="header17.xml"/><Relationship Id="rId91" Type="http://schemas.openxmlformats.org/officeDocument/2006/relationships/header" Target="header20.xml"/><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oleObject" Target="embeddings/oleObject2.bin"/><Relationship Id="rId36" Type="http://schemas.openxmlformats.org/officeDocument/2006/relationships/image" Target="media/image6.wmf"/><Relationship Id="rId49" Type="http://schemas.openxmlformats.org/officeDocument/2006/relationships/oleObject" Target="embeddings/oleObject14.bin"/><Relationship Id="rId57" Type="http://schemas.openxmlformats.org/officeDocument/2006/relationships/oleObject" Target="embeddings/oleObject19.bin"/><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oleObject" Target="embeddings/oleObject21.bin"/><Relationship Id="rId65" Type="http://schemas.openxmlformats.org/officeDocument/2006/relationships/image" Target="media/image19.wmf"/><Relationship Id="rId73" Type="http://schemas.openxmlformats.org/officeDocument/2006/relationships/oleObject" Target="embeddings/oleObject27.bin"/><Relationship Id="rId78" Type="http://schemas.openxmlformats.org/officeDocument/2006/relationships/oleObject" Target="embeddings/oleObject32.bin"/><Relationship Id="rId81" Type="http://schemas.openxmlformats.org/officeDocument/2006/relationships/oleObject" Target="embeddings/oleObject35.bin"/><Relationship Id="rId86" Type="http://schemas.openxmlformats.org/officeDocument/2006/relationships/header" Target="header15.xml"/><Relationship Id="rId94" Type="http://schemas.openxmlformats.org/officeDocument/2006/relationships/header" Target="header2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Standard%20Ne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FB36C-C072-45EE-8B98-FE9778D4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Neu.dot</Template>
  <TotalTime>0</TotalTime>
  <Pages>502</Pages>
  <Words>156013</Words>
  <Characters>982884</Characters>
  <Application>Microsoft Office Word</Application>
  <DocSecurity>0</DocSecurity>
  <Lines>8190</Lines>
  <Paragraphs>2273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22</vt:lpstr>
      <vt:lpstr>22</vt:lpstr>
    </vt:vector>
  </TitlesOfParts>
  <Company/>
  <LinksUpToDate>false</LinksUpToDate>
  <CharactersWithSpaces>1136624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dc:title>
  <dc:creator>Martin</dc:creator>
  <cp:lastModifiedBy>User</cp:lastModifiedBy>
  <cp:revision>10</cp:revision>
  <cp:lastPrinted>2014-02-05T15:48:00Z</cp:lastPrinted>
  <dcterms:created xsi:type="dcterms:W3CDTF">2014-02-05T15:36:00Z</dcterms:created>
  <dcterms:modified xsi:type="dcterms:W3CDTF">2014-05-07T14:04:00Z</dcterms:modified>
</cp:coreProperties>
</file>